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7A0" w:rsidRDefault="003717A0">
      <w:pPr>
        <w:spacing w:line="1000" w:lineRule="exact"/>
        <w:jc w:val="center"/>
        <w:rPr>
          <w:rFonts w:ascii="宋体"/>
          <w:b/>
          <w:bCs/>
          <w:sz w:val="84"/>
          <w:szCs w:val="84"/>
        </w:rPr>
      </w:pPr>
    </w:p>
    <w:p w:rsidR="003717A0" w:rsidRDefault="003717A0">
      <w:pPr>
        <w:spacing w:line="1000" w:lineRule="exact"/>
        <w:jc w:val="center"/>
        <w:rPr>
          <w:rFonts w:ascii="宋体"/>
          <w:b/>
          <w:bCs/>
          <w:sz w:val="84"/>
          <w:szCs w:val="84"/>
        </w:rPr>
      </w:pPr>
    </w:p>
    <w:p w:rsidR="003717A0" w:rsidRDefault="003717A0">
      <w:pPr>
        <w:spacing w:line="480" w:lineRule="auto"/>
        <w:jc w:val="center"/>
        <w:rPr>
          <w:rFonts w:ascii="方正小标宋_GBK" w:eastAsia="方正小标宋_GBK" w:hAnsi="宋体" w:cs="宋体"/>
          <w:bCs/>
          <w:sz w:val="84"/>
          <w:szCs w:val="84"/>
        </w:rPr>
      </w:pPr>
      <w:r>
        <w:rPr>
          <w:rFonts w:ascii="方正小标宋_GBK" w:eastAsia="方正小标宋_GBK" w:hAnsi="宋体" w:cs="宋体" w:hint="eastAsia"/>
          <w:bCs/>
          <w:sz w:val="84"/>
          <w:szCs w:val="84"/>
        </w:rPr>
        <w:t>康复治疗学专业</w:t>
      </w:r>
    </w:p>
    <w:p w:rsidR="003717A0" w:rsidRPr="00A80E1A" w:rsidRDefault="003717A0">
      <w:pPr>
        <w:spacing w:line="480" w:lineRule="auto"/>
        <w:jc w:val="center"/>
        <w:rPr>
          <w:rFonts w:ascii="方正小标宋_GBK" w:eastAsia="方正小标宋_GBK" w:hAnsi="宋体" w:cs="宋体"/>
          <w:bCs/>
          <w:sz w:val="84"/>
          <w:szCs w:val="84"/>
        </w:rPr>
      </w:pPr>
      <w:r w:rsidRPr="00A80E1A">
        <w:rPr>
          <w:rFonts w:ascii="方正小标宋_GBK" w:eastAsia="方正小标宋_GBK" w:hAnsi="宋体" w:cs="宋体" w:hint="eastAsia"/>
          <w:bCs/>
          <w:sz w:val="84"/>
          <w:szCs w:val="84"/>
        </w:rPr>
        <w:t>课程质量标准</w:t>
      </w: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b/>
          <w:bCs/>
          <w:sz w:val="44"/>
          <w:szCs w:val="44"/>
        </w:rPr>
      </w:pPr>
    </w:p>
    <w:p w:rsidR="003717A0" w:rsidRDefault="003717A0">
      <w:pPr>
        <w:spacing w:line="480" w:lineRule="auto"/>
        <w:jc w:val="center"/>
        <w:rPr>
          <w:rFonts w:ascii="宋体" w:cs="宋体"/>
          <w:b/>
          <w:bCs/>
          <w:sz w:val="44"/>
          <w:szCs w:val="44"/>
        </w:rPr>
        <w:sectPr w:rsidR="003717A0">
          <w:footerReference w:type="even" r:id="rId7"/>
          <w:pgSz w:w="11906" w:h="16838"/>
          <w:pgMar w:top="1418" w:right="1418" w:bottom="1418" w:left="1418" w:header="851" w:footer="992" w:gutter="0"/>
          <w:cols w:space="720"/>
          <w:docGrid w:type="lines" w:linePitch="312"/>
        </w:sectPr>
      </w:pPr>
      <w:r>
        <w:rPr>
          <w:rFonts w:ascii="宋体" w:hAnsi="宋体" w:cs="宋体" w:hint="eastAsia"/>
          <w:b/>
          <w:bCs/>
          <w:sz w:val="44"/>
          <w:szCs w:val="44"/>
        </w:rPr>
        <w:t>南通大学医学院编印</w:t>
      </w:r>
    </w:p>
    <w:p w:rsidR="003717A0" w:rsidRDefault="003717A0" w:rsidP="00A80E1A">
      <w:pPr>
        <w:pStyle w:val="10"/>
        <w:widowControl w:val="0"/>
        <w:tabs>
          <w:tab w:val="right" w:leader="dot" w:pos="9288"/>
        </w:tabs>
        <w:spacing w:before="100" w:beforeAutospacing="1" w:afterAutospacing="1" w:line="240" w:lineRule="auto"/>
        <w:jc w:val="center"/>
        <w:rPr>
          <w:b/>
          <w:kern w:val="2"/>
          <w:sz w:val="36"/>
          <w:szCs w:val="36"/>
        </w:rPr>
      </w:pPr>
      <w:r>
        <w:rPr>
          <w:rFonts w:hint="eastAsia"/>
          <w:b/>
          <w:kern w:val="2"/>
          <w:sz w:val="36"/>
          <w:szCs w:val="36"/>
        </w:rPr>
        <w:lastRenderedPageBreak/>
        <w:t>目</w:t>
      </w:r>
      <w:r>
        <w:rPr>
          <w:b/>
          <w:kern w:val="2"/>
          <w:sz w:val="36"/>
          <w:szCs w:val="36"/>
        </w:rPr>
        <w:t xml:space="preserve">  </w:t>
      </w:r>
      <w:r>
        <w:rPr>
          <w:rFonts w:hint="eastAsia"/>
          <w:b/>
          <w:kern w:val="2"/>
          <w:sz w:val="36"/>
          <w:szCs w:val="36"/>
        </w:rPr>
        <w:t>录</w:t>
      </w:r>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r w:rsidRPr="00514AB1">
        <w:rPr>
          <w:rFonts w:asciiTheme="minorEastAsia" w:eastAsiaTheme="minorEastAsia" w:hAnsiTheme="minorEastAsia"/>
          <w:sz w:val="21"/>
          <w:szCs w:val="21"/>
        </w:rPr>
        <w:fldChar w:fldCharType="begin"/>
      </w:r>
      <w:r w:rsidR="00F52D2A" w:rsidRPr="00F52D2A">
        <w:rPr>
          <w:rFonts w:asciiTheme="minorEastAsia" w:eastAsiaTheme="minorEastAsia" w:hAnsiTheme="minorEastAsia"/>
          <w:sz w:val="21"/>
          <w:szCs w:val="21"/>
        </w:rPr>
        <w:instrText xml:space="preserve"> TOC \o "1-3" \h \z \u </w:instrText>
      </w:r>
      <w:r w:rsidRPr="00514AB1">
        <w:rPr>
          <w:rFonts w:asciiTheme="minorEastAsia" w:eastAsiaTheme="minorEastAsia" w:hAnsiTheme="minorEastAsia"/>
          <w:sz w:val="21"/>
          <w:szCs w:val="21"/>
        </w:rPr>
        <w:fldChar w:fldCharType="separate"/>
      </w:r>
      <w:hyperlink w:anchor="_Toc471830684" w:history="1">
        <w:r w:rsidR="00F52D2A" w:rsidRPr="00F52D2A">
          <w:rPr>
            <w:rStyle w:val="af4"/>
            <w:rFonts w:asciiTheme="minorEastAsia" w:eastAsiaTheme="minorEastAsia" w:hAnsiTheme="minorEastAsia" w:hint="eastAsia"/>
            <w:noProof/>
            <w:sz w:val="21"/>
            <w:szCs w:val="21"/>
          </w:rPr>
          <w:t>《大学计算机信息技术基础（</w:t>
        </w:r>
        <w:r w:rsidR="00F52D2A" w:rsidRPr="00F52D2A">
          <w:rPr>
            <w:rStyle w:val="af4"/>
            <w:rFonts w:asciiTheme="minorEastAsia" w:eastAsiaTheme="minorEastAsia" w:hAnsiTheme="minorEastAsia"/>
            <w:noProof/>
            <w:sz w:val="21"/>
            <w:szCs w:val="21"/>
          </w:rPr>
          <w:t>I</w:t>
        </w:r>
        <w:r w:rsidR="00F52D2A" w:rsidRPr="00F52D2A">
          <w:rPr>
            <w:rStyle w:val="af4"/>
            <w:rFonts w:asciiTheme="minorEastAsia" w:eastAsiaTheme="minorEastAsia" w:hAnsiTheme="minorEastAsia" w:hint="eastAsia"/>
            <w:noProof/>
            <w:sz w:val="21"/>
            <w:szCs w:val="21"/>
          </w:rPr>
          <w:t>）》课程质量标准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_Toc471830684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85" w:history="1">
        <w:r w:rsidR="00F52D2A" w:rsidRPr="00F52D2A">
          <w:rPr>
            <w:rStyle w:val="af4"/>
            <w:rFonts w:asciiTheme="minorEastAsia" w:eastAsiaTheme="minorEastAsia" w:hAnsiTheme="minorEastAsia" w:hint="eastAsia"/>
            <w:noProof/>
            <w:sz w:val="21"/>
            <w:szCs w:val="21"/>
          </w:rPr>
          <w:t>《廉洁教育概论》课程质量标准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_Toc471830685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14</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86" w:history="1">
        <w:r w:rsidR="00F52D2A" w:rsidRPr="00F52D2A">
          <w:rPr>
            <w:rStyle w:val="af4"/>
            <w:rFonts w:asciiTheme="minorEastAsia" w:eastAsiaTheme="minorEastAsia" w:hAnsiTheme="minorEastAsia" w:hint="eastAsia"/>
            <w:noProof/>
            <w:sz w:val="21"/>
            <w:szCs w:val="21"/>
          </w:rPr>
          <w:t>《马克思主义基本原理概论》课程质量标准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_Toc471830686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21</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87" w:history="1">
        <w:r w:rsidR="00F52D2A" w:rsidRPr="00F52D2A">
          <w:rPr>
            <w:rStyle w:val="af4"/>
            <w:rFonts w:asciiTheme="minorEastAsia" w:eastAsiaTheme="minorEastAsia" w:hAnsiTheme="minorEastAsia" w:hint="eastAsia"/>
            <w:noProof/>
            <w:sz w:val="21"/>
            <w:szCs w:val="21"/>
          </w:rPr>
          <w:t>《毛泽东思想和中国特色社会主义理论体系概论》课程质量标准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_Toc471830687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88" w:history="1">
        <w:r w:rsidR="00F52D2A" w:rsidRPr="00F52D2A">
          <w:rPr>
            <w:rStyle w:val="af4"/>
            <w:rFonts w:asciiTheme="minorEastAsia" w:eastAsiaTheme="minorEastAsia" w:hAnsiTheme="minorEastAsia" w:hint="eastAsia"/>
            <w:noProof/>
            <w:sz w:val="21"/>
            <w:szCs w:val="21"/>
          </w:rPr>
          <w:t>《思想道德修养与法律基础》课程质量标准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_Toc471830688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43</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89" w:history="1">
        <w:r w:rsidR="00F52D2A" w:rsidRPr="00F52D2A">
          <w:rPr>
            <w:rStyle w:val="af4"/>
            <w:rFonts w:asciiTheme="minorEastAsia" w:eastAsiaTheme="minorEastAsia" w:hAnsiTheme="minorEastAsia" w:hint="eastAsia"/>
            <w:noProof/>
            <w:sz w:val="21"/>
            <w:szCs w:val="21"/>
          </w:rPr>
          <w:t>《形势与政策》课程质量标准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_Toc471830689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49</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0" w:history="1">
        <w:r w:rsidR="00F52D2A" w:rsidRPr="00F52D2A">
          <w:rPr>
            <w:rStyle w:val="af4"/>
            <w:rFonts w:asciiTheme="minorEastAsia" w:eastAsiaTheme="minorEastAsia" w:hAnsiTheme="minorEastAsia" w:hint="eastAsia"/>
            <w:noProof/>
            <w:sz w:val="21"/>
            <w:szCs w:val="21"/>
          </w:rPr>
          <w:t>《中国近现代史纲要》课程质量标准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_Toc471830690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54</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1" w:history="1">
        <w:r w:rsidR="00F52D2A" w:rsidRPr="00F52D2A">
          <w:rPr>
            <w:rStyle w:val="af4"/>
            <w:rFonts w:asciiTheme="minorEastAsia" w:eastAsiaTheme="minorEastAsia" w:hAnsiTheme="minorEastAsia" w:hint="eastAsia"/>
            <w:noProof/>
            <w:sz w:val="21"/>
            <w:szCs w:val="21"/>
          </w:rPr>
          <w:t>《大学英语》课程质量标准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_Toc471830691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3" w:history="1">
        <w:r w:rsidR="00F52D2A" w:rsidRPr="00F52D2A">
          <w:rPr>
            <w:rStyle w:val="af4"/>
            <w:rFonts w:asciiTheme="minorEastAsia" w:eastAsiaTheme="minorEastAsia" w:hAnsiTheme="minorEastAsia" w:hint="eastAsia"/>
            <w:noProof/>
            <w:sz w:val="21"/>
            <w:szCs w:val="21"/>
          </w:rPr>
          <w:t>《大学物理</w:t>
        </w:r>
        <w:r w:rsidR="00F52D2A" w:rsidRPr="00F52D2A">
          <w:rPr>
            <w:rStyle w:val="af4"/>
            <w:rFonts w:asciiTheme="minorEastAsia" w:eastAsiaTheme="minorEastAsia" w:hAnsiTheme="minorEastAsia"/>
            <w:noProof/>
            <w:sz w:val="21"/>
            <w:szCs w:val="21"/>
          </w:rPr>
          <w:t>C</w:t>
        </w:r>
        <w:r w:rsidR="00F52D2A" w:rsidRPr="00F52D2A">
          <w:rPr>
            <w:rStyle w:val="af4"/>
            <w:rFonts w:asciiTheme="minorEastAsia" w:eastAsiaTheme="minorEastAsia" w:hAnsiTheme="minorEastAsia" w:hint="eastAsia"/>
            <w:noProof/>
            <w:sz w:val="21"/>
            <w:szCs w:val="21"/>
          </w:rPr>
          <w:t>》课程质量标准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_Toc471830693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142</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4" w:history="1">
        <w:r w:rsidR="00F52D2A" w:rsidRPr="00F52D2A">
          <w:rPr>
            <w:rStyle w:val="af4"/>
            <w:rFonts w:asciiTheme="minorEastAsia" w:eastAsiaTheme="minorEastAsia" w:hAnsiTheme="minorEastAsia" w:hint="eastAsia"/>
            <w:noProof/>
            <w:sz w:val="21"/>
            <w:szCs w:val="21"/>
          </w:rPr>
          <w:t>《医学信息学》课程质量标准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_Toc471830694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152</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5" w:history="1">
        <w:r w:rsidR="00F52D2A" w:rsidRPr="00F52D2A">
          <w:rPr>
            <w:rStyle w:val="af4"/>
            <w:rFonts w:asciiTheme="minorEastAsia" w:eastAsiaTheme="minorEastAsia" w:hAnsiTheme="minorEastAsia" w:hint="eastAsia"/>
            <w:noProof/>
            <w:sz w:val="21"/>
            <w:szCs w:val="21"/>
          </w:rPr>
          <w:t>《医用高等数学》课程质量标准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_Toc471830695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163</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6" w:history="1">
        <w:r w:rsidR="00F52D2A" w:rsidRPr="00F52D2A">
          <w:rPr>
            <w:rStyle w:val="af4"/>
            <w:rFonts w:asciiTheme="minorEastAsia" w:eastAsiaTheme="minorEastAsia" w:hAnsiTheme="minorEastAsia" w:hint="eastAsia"/>
            <w:noProof/>
            <w:sz w:val="21"/>
            <w:szCs w:val="21"/>
          </w:rPr>
          <w:t>《病理生理学》课程质量标准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_Toc471830696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173</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7" w:history="1">
        <w:r w:rsidR="00F52D2A" w:rsidRPr="00F52D2A">
          <w:rPr>
            <w:rStyle w:val="af4"/>
            <w:rFonts w:asciiTheme="minorEastAsia" w:eastAsiaTheme="minorEastAsia" w:hAnsiTheme="minorEastAsia" w:hint="eastAsia"/>
            <w:noProof/>
            <w:sz w:val="21"/>
            <w:szCs w:val="21"/>
          </w:rPr>
          <w:t>《病理学》课程质量标准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_Toc471830697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190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8" w:history="1">
        <w:r w:rsidR="00F52D2A" w:rsidRPr="00F52D2A">
          <w:rPr>
            <w:rStyle w:val="af4"/>
            <w:rFonts w:asciiTheme="minorEastAsia" w:eastAsiaTheme="minorEastAsia" w:hAnsiTheme="minorEastAsia" w:hint="eastAsia"/>
            <w:noProof/>
            <w:sz w:val="21"/>
            <w:szCs w:val="21"/>
          </w:rPr>
          <w:t>《免疫学》课程质量标准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_Toc471830698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227</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699" w:history="1">
        <w:r w:rsidR="00F52D2A" w:rsidRPr="00F52D2A">
          <w:rPr>
            <w:rStyle w:val="af4"/>
            <w:rFonts w:asciiTheme="minorEastAsia" w:eastAsiaTheme="minorEastAsia" w:hAnsiTheme="minorEastAsia" w:hint="eastAsia"/>
            <w:noProof/>
            <w:sz w:val="21"/>
            <w:szCs w:val="21"/>
          </w:rPr>
          <w:t>《人体解剖学》课程质量标准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_Toc471830699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249</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0" w:history="1">
        <w:r w:rsidR="00F52D2A" w:rsidRPr="00F52D2A">
          <w:rPr>
            <w:rStyle w:val="af4"/>
            <w:rFonts w:asciiTheme="minorEastAsia" w:eastAsiaTheme="minorEastAsia" w:hAnsiTheme="minorEastAsia" w:hint="eastAsia"/>
            <w:noProof/>
            <w:sz w:val="21"/>
            <w:szCs w:val="21"/>
          </w:rPr>
          <w:t>《生理学》课程质量标准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_Toc471830700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272</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1" w:history="1">
        <w:r w:rsidR="00F52D2A" w:rsidRPr="00F52D2A">
          <w:rPr>
            <w:rStyle w:val="af4"/>
            <w:rFonts w:asciiTheme="minorEastAsia" w:eastAsiaTheme="minorEastAsia" w:hAnsiTheme="minorEastAsia" w:hint="eastAsia"/>
            <w:noProof/>
            <w:sz w:val="21"/>
            <w:szCs w:val="21"/>
          </w:rPr>
          <w:t>《生物化学与分子生物学》课程质量标准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_Toc471830701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291</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2" w:history="1">
        <w:r w:rsidR="00F52D2A" w:rsidRPr="00F52D2A">
          <w:rPr>
            <w:rStyle w:val="af4"/>
            <w:rFonts w:asciiTheme="minorEastAsia" w:eastAsiaTheme="minorEastAsia" w:hAnsiTheme="minorEastAsia" w:hint="eastAsia"/>
            <w:noProof/>
            <w:sz w:val="21"/>
            <w:szCs w:val="21"/>
          </w:rPr>
          <w:t>《医学伦理学》课程质量标准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_Toc471830702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307</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3" w:history="1">
        <w:r w:rsidR="00F52D2A" w:rsidRPr="00F52D2A">
          <w:rPr>
            <w:rStyle w:val="af4"/>
            <w:rFonts w:asciiTheme="minorEastAsia" w:eastAsiaTheme="minorEastAsia" w:hAnsiTheme="minorEastAsia" w:hint="eastAsia"/>
            <w:noProof/>
            <w:sz w:val="21"/>
            <w:szCs w:val="21"/>
          </w:rPr>
          <w:t>《医学统计学》课程质量标准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_Toc471830703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318</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4" w:history="1">
        <w:r w:rsidR="00F52D2A" w:rsidRPr="00F52D2A">
          <w:rPr>
            <w:rStyle w:val="af4"/>
            <w:rFonts w:asciiTheme="minorEastAsia" w:eastAsiaTheme="minorEastAsia" w:hAnsiTheme="minorEastAsia" w:hint="eastAsia"/>
            <w:noProof/>
            <w:sz w:val="21"/>
            <w:szCs w:val="21"/>
          </w:rPr>
          <w:t>《医学影像学》课程质量标准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_Toc471830704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328</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5" w:history="1">
        <w:r w:rsidR="00F52D2A" w:rsidRPr="00F52D2A">
          <w:rPr>
            <w:rStyle w:val="af4"/>
            <w:rFonts w:asciiTheme="minorEastAsia" w:eastAsiaTheme="minorEastAsia" w:hAnsiTheme="minorEastAsia" w:hint="eastAsia"/>
            <w:noProof/>
            <w:sz w:val="21"/>
            <w:szCs w:val="21"/>
          </w:rPr>
          <w:t>《组织学与胚胎学》课程质量标准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_Toc471830705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345</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6" w:history="1">
        <w:r w:rsidR="00F52D2A" w:rsidRPr="00F52D2A">
          <w:rPr>
            <w:rStyle w:val="af4"/>
            <w:rFonts w:asciiTheme="minorEastAsia" w:eastAsiaTheme="minorEastAsia" w:hAnsiTheme="minorEastAsia" w:hint="eastAsia"/>
            <w:noProof/>
            <w:sz w:val="21"/>
            <w:szCs w:val="21"/>
          </w:rPr>
          <w:t>《医学英语》课程质量标准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_Toc471830706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360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7" w:history="1">
        <w:r w:rsidR="00F52D2A" w:rsidRPr="00F52D2A">
          <w:rPr>
            <w:rStyle w:val="af4"/>
            <w:rFonts w:asciiTheme="minorEastAsia" w:eastAsiaTheme="minorEastAsia" w:hAnsiTheme="minorEastAsia" w:hint="eastAsia"/>
            <w:noProof/>
            <w:sz w:val="21"/>
            <w:szCs w:val="21"/>
          </w:rPr>
          <w:t>《环境与辅助技术》课程质量标准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_Toc471830707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368</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8" w:history="1">
        <w:r w:rsidR="00F52D2A" w:rsidRPr="00F52D2A">
          <w:rPr>
            <w:rStyle w:val="af4"/>
            <w:rFonts w:asciiTheme="minorEastAsia" w:eastAsiaTheme="minorEastAsia" w:hAnsiTheme="minorEastAsia" w:hint="eastAsia"/>
            <w:noProof/>
            <w:sz w:val="21"/>
            <w:szCs w:val="21"/>
          </w:rPr>
          <w:t>《肌肉骨骼物理治疗学》课程质量标准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_Toc471830708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379</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09" w:history="1">
        <w:r w:rsidR="00F52D2A" w:rsidRPr="00F52D2A">
          <w:rPr>
            <w:rStyle w:val="af4"/>
            <w:rFonts w:asciiTheme="minorEastAsia" w:eastAsiaTheme="minorEastAsia" w:hAnsiTheme="minorEastAsia" w:hint="eastAsia"/>
            <w:noProof/>
            <w:sz w:val="21"/>
            <w:szCs w:val="21"/>
          </w:rPr>
          <w:t>《精神、职业治疗》课程质量标准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_Toc471830709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396</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0" w:history="1">
        <w:r w:rsidR="00F52D2A" w:rsidRPr="00F52D2A">
          <w:rPr>
            <w:rStyle w:val="af4"/>
            <w:rFonts w:asciiTheme="minorEastAsia" w:eastAsiaTheme="minorEastAsia" w:hAnsiTheme="minorEastAsia" w:hint="eastAsia"/>
            <w:noProof/>
            <w:sz w:val="21"/>
            <w:szCs w:val="21"/>
          </w:rPr>
          <w:t>《康复工程学》课程质量标准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_Toc471830710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406</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1" w:history="1">
        <w:r w:rsidR="00F52D2A" w:rsidRPr="00F52D2A">
          <w:rPr>
            <w:rStyle w:val="af4"/>
            <w:rFonts w:asciiTheme="minorEastAsia" w:eastAsiaTheme="minorEastAsia" w:hAnsiTheme="minorEastAsia" w:hint="eastAsia"/>
            <w:noProof/>
            <w:sz w:val="21"/>
            <w:szCs w:val="21"/>
          </w:rPr>
          <w:t>《康复功能评定学》课程质量标准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_Toc471830711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420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2" w:history="1">
        <w:r w:rsidR="00F52D2A" w:rsidRPr="00F52D2A">
          <w:rPr>
            <w:rStyle w:val="af4"/>
            <w:rFonts w:asciiTheme="minorEastAsia" w:eastAsiaTheme="minorEastAsia" w:hAnsiTheme="minorEastAsia" w:hint="eastAsia"/>
            <w:noProof/>
            <w:sz w:val="21"/>
            <w:szCs w:val="21"/>
          </w:rPr>
          <w:t>《康复心理学》课程质量标准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_Toc471830712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441</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3" w:history="1">
        <w:r w:rsidR="00F52D2A" w:rsidRPr="00F52D2A">
          <w:rPr>
            <w:rStyle w:val="af4"/>
            <w:rFonts w:asciiTheme="minorEastAsia" w:eastAsiaTheme="minorEastAsia" w:hAnsiTheme="minorEastAsia" w:hint="eastAsia"/>
            <w:noProof/>
            <w:sz w:val="21"/>
            <w:szCs w:val="21"/>
          </w:rPr>
          <w:t>《康复医学概论》课程质量标准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_Toc471830713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452</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4" w:history="1">
        <w:r w:rsidR="00F52D2A" w:rsidRPr="00F52D2A">
          <w:rPr>
            <w:rStyle w:val="af4"/>
            <w:rFonts w:asciiTheme="minorEastAsia" w:eastAsiaTheme="minorEastAsia" w:hAnsiTheme="minorEastAsia" w:hint="eastAsia"/>
            <w:noProof/>
            <w:sz w:val="21"/>
            <w:szCs w:val="21"/>
          </w:rPr>
          <w:t>《理疗学》课程质量标准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_Toc471830714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466</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5" w:history="1">
        <w:r w:rsidR="00F52D2A" w:rsidRPr="00F52D2A">
          <w:rPr>
            <w:rStyle w:val="af4"/>
            <w:rFonts w:asciiTheme="minorEastAsia" w:eastAsiaTheme="minorEastAsia" w:hAnsiTheme="minorEastAsia" w:hint="eastAsia"/>
            <w:noProof/>
            <w:sz w:val="21"/>
            <w:szCs w:val="21"/>
          </w:rPr>
          <w:t>《人体运动学》课程质量标准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_Toc471830715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482</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6" w:history="1">
        <w:r w:rsidR="00F52D2A" w:rsidRPr="00F52D2A">
          <w:rPr>
            <w:rStyle w:val="af4"/>
            <w:rFonts w:asciiTheme="minorEastAsia" w:eastAsiaTheme="minorEastAsia" w:hAnsiTheme="minorEastAsia" w:hint="eastAsia"/>
            <w:noProof/>
            <w:sz w:val="21"/>
            <w:szCs w:val="21"/>
          </w:rPr>
          <w:t>《语言治疗学》课程质量标准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_Toc471830716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497</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7" w:history="1">
        <w:r w:rsidR="00F52D2A" w:rsidRPr="00F52D2A">
          <w:rPr>
            <w:rStyle w:val="af4"/>
            <w:rFonts w:asciiTheme="minorEastAsia" w:eastAsiaTheme="minorEastAsia" w:hAnsiTheme="minorEastAsia" w:hint="eastAsia"/>
            <w:noProof/>
            <w:sz w:val="21"/>
            <w:szCs w:val="21"/>
          </w:rPr>
          <w:t>《运动治疗技术》课程质量标准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_Toc471830717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514</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8" w:history="1">
        <w:r w:rsidR="00F52D2A" w:rsidRPr="00F52D2A">
          <w:rPr>
            <w:rStyle w:val="af4"/>
            <w:rFonts w:asciiTheme="minorEastAsia" w:eastAsiaTheme="minorEastAsia" w:hAnsiTheme="minorEastAsia" w:hint="eastAsia"/>
            <w:noProof/>
            <w:sz w:val="21"/>
            <w:szCs w:val="21"/>
          </w:rPr>
          <w:t>《诊断学》课程质量标准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_Toc471830718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530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19" w:history="1">
        <w:r w:rsidR="00F52D2A" w:rsidRPr="00F52D2A">
          <w:rPr>
            <w:rStyle w:val="af4"/>
            <w:rFonts w:asciiTheme="minorEastAsia" w:eastAsiaTheme="minorEastAsia" w:hAnsiTheme="minorEastAsia" w:hint="eastAsia"/>
            <w:noProof/>
            <w:sz w:val="21"/>
            <w:szCs w:val="21"/>
          </w:rPr>
          <w:t>《作业治疗理论与技术》课程质量标准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_Toc471830719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550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0" w:history="1">
        <w:r w:rsidR="00F52D2A" w:rsidRPr="00F52D2A">
          <w:rPr>
            <w:rStyle w:val="af4"/>
            <w:rFonts w:asciiTheme="minorEastAsia" w:eastAsiaTheme="minorEastAsia" w:hAnsiTheme="minorEastAsia" w:hint="eastAsia"/>
            <w:noProof/>
            <w:sz w:val="21"/>
            <w:szCs w:val="21"/>
          </w:rPr>
          <w:t>《传统康复方法学》课程质量标准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_Toc471830720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568</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1" w:history="1">
        <w:r w:rsidR="00F52D2A" w:rsidRPr="00F52D2A">
          <w:rPr>
            <w:rStyle w:val="af4"/>
            <w:rFonts w:asciiTheme="minorEastAsia" w:eastAsiaTheme="minorEastAsia" w:hAnsiTheme="minorEastAsia" w:hint="eastAsia"/>
            <w:noProof/>
            <w:sz w:val="21"/>
            <w:szCs w:val="21"/>
          </w:rPr>
          <w:t>《儿科学》课程质量标准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_Toc471830721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587</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2" w:history="1">
        <w:r w:rsidR="00F52D2A" w:rsidRPr="00F52D2A">
          <w:rPr>
            <w:rStyle w:val="af4"/>
            <w:rFonts w:asciiTheme="minorEastAsia" w:eastAsiaTheme="minorEastAsia" w:hAnsiTheme="minorEastAsia" w:hint="eastAsia"/>
            <w:noProof/>
            <w:sz w:val="21"/>
            <w:szCs w:val="21"/>
          </w:rPr>
          <w:t>《儿童老年疾患的物理治疗》课程质量标准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_Toc471830722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600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3" w:history="1">
        <w:r w:rsidR="00F52D2A" w:rsidRPr="00F52D2A">
          <w:rPr>
            <w:rStyle w:val="af4"/>
            <w:rFonts w:asciiTheme="minorEastAsia" w:eastAsiaTheme="minorEastAsia" w:hAnsiTheme="minorEastAsia" w:hint="eastAsia"/>
            <w:noProof/>
            <w:sz w:val="21"/>
            <w:szCs w:val="21"/>
          </w:rPr>
          <w:t>《骨骼肌肉系统疾病作业治疗》课程质量标准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_Toc471830723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608</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4" w:history="1">
        <w:r w:rsidR="00F52D2A" w:rsidRPr="00F52D2A">
          <w:rPr>
            <w:rStyle w:val="af4"/>
            <w:rFonts w:asciiTheme="minorEastAsia" w:eastAsiaTheme="minorEastAsia" w:hAnsiTheme="minorEastAsia" w:hint="eastAsia"/>
            <w:noProof/>
            <w:sz w:val="21"/>
            <w:szCs w:val="21"/>
          </w:rPr>
          <w:t>《老年病作业治疗》课程质量标准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_Toc471830724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619</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5" w:history="1">
        <w:r w:rsidR="00F52D2A" w:rsidRPr="00F52D2A">
          <w:rPr>
            <w:rStyle w:val="af4"/>
            <w:rFonts w:asciiTheme="minorEastAsia" w:eastAsiaTheme="minorEastAsia" w:hAnsiTheme="minorEastAsia" w:hint="eastAsia"/>
            <w:noProof/>
            <w:sz w:val="21"/>
            <w:szCs w:val="21"/>
          </w:rPr>
          <w:t>《内科学》课程质量标准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_Toc471830725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629</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6" w:history="1">
        <w:r w:rsidR="00F52D2A" w:rsidRPr="00F52D2A">
          <w:rPr>
            <w:rStyle w:val="af4"/>
            <w:rFonts w:asciiTheme="minorEastAsia" w:eastAsiaTheme="minorEastAsia" w:hAnsiTheme="minorEastAsia" w:hint="eastAsia"/>
            <w:noProof/>
            <w:sz w:val="21"/>
            <w:szCs w:val="21"/>
          </w:rPr>
          <w:t>《神经病学》课程质量标准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_Toc471830726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681</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7" w:history="1">
        <w:r w:rsidR="00F52D2A" w:rsidRPr="00F52D2A">
          <w:rPr>
            <w:rStyle w:val="af4"/>
            <w:rFonts w:asciiTheme="minorEastAsia" w:eastAsiaTheme="minorEastAsia" w:hAnsiTheme="minorEastAsia" w:hint="eastAsia"/>
            <w:noProof/>
            <w:sz w:val="21"/>
            <w:szCs w:val="21"/>
          </w:rPr>
          <w:t>《神经系统疾病物理治疗》课程质量标准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_Toc471830727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695</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8" w:history="1">
        <w:r w:rsidR="00F52D2A" w:rsidRPr="00F52D2A">
          <w:rPr>
            <w:rStyle w:val="af4"/>
            <w:rFonts w:asciiTheme="minorEastAsia" w:eastAsiaTheme="minorEastAsia" w:hAnsiTheme="minorEastAsia" w:hint="eastAsia"/>
            <w:noProof/>
            <w:sz w:val="21"/>
            <w:szCs w:val="21"/>
          </w:rPr>
          <w:t>《神经系统疾病作业治疗》课程质量标准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_Toc471830728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713</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29" w:history="1">
        <w:r w:rsidR="00F52D2A" w:rsidRPr="00F52D2A">
          <w:rPr>
            <w:rStyle w:val="af4"/>
            <w:rFonts w:asciiTheme="minorEastAsia" w:eastAsiaTheme="minorEastAsia" w:hAnsiTheme="minorEastAsia" w:hint="eastAsia"/>
            <w:noProof/>
            <w:sz w:val="21"/>
            <w:szCs w:val="21"/>
          </w:rPr>
          <w:t>《外科学》课程质量标准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_Toc471830729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726</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30" w:history="1">
        <w:r w:rsidR="00F52D2A" w:rsidRPr="00F52D2A">
          <w:rPr>
            <w:rStyle w:val="af4"/>
            <w:rFonts w:asciiTheme="minorEastAsia" w:eastAsiaTheme="minorEastAsia" w:hAnsiTheme="minorEastAsia" w:hint="eastAsia"/>
            <w:noProof/>
            <w:sz w:val="21"/>
            <w:szCs w:val="21"/>
          </w:rPr>
          <w:t>《社会心理障碍的作业治疗》课程质量标准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_Toc471830730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751</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31" w:history="1">
        <w:r w:rsidR="00F52D2A" w:rsidRPr="00F52D2A">
          <w:rPr>
            <w:rStyle w:val="af4"/>
            <w:rFonts w:asciiTheme="minorEastAsia" w:eastAsiaTheme="minorEastAsia" w:hAnsiTheme="minorEastAsia" w:hint="eastAsia"/>
            <w:noProof/>
            <w:sz w:val="21"/>
            <w:szCs w:val="21"/>
          </w:rPr>
          <w:t>《肉毒毒素注射技术及应用》课程质量标准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_Toc471830731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760</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32" w:history="1">
        <w:r w:rsidR="00F52D2A" w:rsidRPr="00F52D2A">
          <w:rPr>
            <w:rStyle w:val="af4"/>
            <w:rFonts w:asciiTheme="minorEastAsia" w:eastAsiaTheme="minorEastAsia" w:hAnsiTheme="minorEastAsia" w:hint="eastAsia"/>
            <w:noProof/>
            <w:sz w:val="21"/>
            <w:szCs w:val="21"/>
          </w:rPr>
          <w:t>《平衡协调治疗技术的实践》课程质量标准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_Toc471830732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769</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33" w:history="1">
        <w:r w:rsidR="00F52D2A" w:rsidRPr="00F52D2A">
          <w:rPr>
            <w:rStyle w:val="af4"/>
            <w:rFonts w:asciiTheme="minorEastAsia" w:eastAsiaTheme="minorEastAsia" w:hAnsiTheme="minorEastAsia" w:hint="eastAsia"/>
            <w:noProof/>
            <w:sz w:val="21"/>
            <w:szCs w:val="21"/>
          </w:rPr>
          <w:t>《吞咽言语功能障碍的临床治疗》课程质量标准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_Toc471830733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776</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34" w:history="1">
        <w:r w:rsidR="00F52D2A" w:rsidRPr="00F52D2A">
          <w:rPr>
            <w:rStyle w:val="af4"/>
            <w:rFonts w:asciiTheme="minorEastAsia" w:eastAsiaTheme="minorEastAsia" w:hAnsiTheme="minorEastAsia" w:hint="eastAsia"/>
            <w:noProof/>
            <w:sz w:val="21"/>
            <w:szCs w:val="21"/>
          </w:rPr>
          <w:t>《支具的应用与制作》课程质量标准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_Toc471830734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784</w:t>
        </w:r>
        <w:r w:rsidRPr="00F52D2A">
          <w:rPr>
            <w:rFonts w:asciiTheme="minorEastAsia" w:eastAsiaTheme="minorEastAsia" w:hAnsiTheme="minorEastAsia"/>
            <w:noProof/>
            <w:webHidden/>
            <w:sz w:val="21"/>
            <w:szCs w:val="21"/>
          </w:rPr>
          <w:fldChar w:fldCharType="end"/>
        </w:r>
      </w:hyperlink>
    </w:p>
    <w:p w:rsidR="00F52D2A" w:rsidRPr="00F52D2A" w:rsidRDefault="00514AB1" w:rsidP="00F52D2A">
      <w:pPr>
        <w:pStyle w:val="10"/>
        <w:tabs>
          <w:tab w:val="right" w:leader="dot" w:pos="9060"/>
        </w:tabs>
        <w:rPr>
          <w:rFonts w:asciiTheme="minorEastAsia" w:eastAsiaTheme="minorEastAsia" w:hAnsiTheme="minorEastAsia" w:cstheme="minorBidi"/>
          <w:noProof/>
          <w:kern w:val="2"/>
          <w:sz w:val="21"/>
          <w:szCs w:val="21"/>
        </w:rPr>
      </w:pPr>
      <w:hyperlink w:anchor="_Toc471830735" w:history="1">
        <w:r w:rsidR="00F52D2A" w:rsidRPr="00F52D2A">
          <w:rPr>
            <w:rStyle w:val="af4"/>
            <w:rFonts w:asciiTheme="minorEastAsia" w:eastAsiaTheme="minorEastAsia" w:hAnsiTheme="minorEastAsia" w:hint="eastAsia"/>
            <w:noProof/>
            <w:sz w:val="21"/>
            <w:szCs w:val="21"/>
          </w:rPr>
          <w:t>《中西结合运动治疗技术》课程质量标准</w:t>
        </w:r>
        <w:r w:rsidR="00F52D2A" w:rsidRPr="00F52D2A">
          <w:rPr>
            <w:rFonts w:asciiTheme="minorEastAsia" w:eastAsiaTheme="minorEastAsia" w:hAnsiTheme="minorEastAsia"/>
            <w:noProof/>
            <w:webHidden/>
            <w:sz w:val="21"/>
            <w:szCs w:val="21"/>
          </w:rPr>
          <w:tab/>
        </w:r>
        <w:r w:rsidRPr="00F52D2A">
          <w:rPr>
            <w:rFonts w:asciiTheme="minorEastAsia" w:eastAsiaTheme="minorEastAsia" w:hAnsiTheme="minorEastAsia"/>
            <w:noProof/>
            <w:webHidden/>
            <w:sz w:val="21"/>
            <w:szCs w:val="21"/>
          </w:rPr>
          <w:fldChar w:fldCharType="begin"/>
        </w:r>
        <w:r w:rsidR="00F52D2A" w:rsidRPr="00F52D2A">
          <w:rPr>
            <w:rFonts w:asciiTheme="minorEastAsia" w:eastAsiaTheme="minorEastAsia" w:hAnsiTheme="minorEastAsia"/>
            <w:noProof/>
            <w:webHidden/>
            <w:sz w:val="21"/>
            <w:szCs w:val="21"/>
          </w:rPr>
          <w:instrText xml:space="preserve"> PAGEREF _Toc471830735 \h </w:instrText>
        </w:r>
        <w:r w:rsidRPr="00F52D2A">
          <w:rPr>
            <w:rFonts w:asciiTheme="minorEastAsia" w:eastAsiaTheme="minorEastAsia" w:hAnsiTheme="minorEastAsia"/>
            <w:noProof/>
            <w:webHidden/>
            <w:sz w:val="21"/>
            <w:szCs w:val="21"/>
          </w:rPr>
        </w:r>
        <w:r w:rsidRPr="00F52D2A">
          <w:rPr>
            <w:rFonts w:asciiTheme="minorEastAsia" w:eastAsiaTheme="minorEastAsia" w:hAnsiTheme="minorEastAsia"/>
            <w:noProof/>
            <w:webHidden/>
            <w:sz w:val="21"/>
            <w:szCs w:val="21"/>
          </w:rPr>
          <w:fldChar w:fldCharType="separate"/>
        </w:r>
        <w:r w:rsidR="00014590">
          <w:rPr>
            <w:rFonts w:asciiTheme="minorEastAsia" w:eastAsiaTheme="minorEastAsia" w:hAnsiTheme="minorEastAsia"/>
            <w:noProof/>
            <w:webHidden/>
            <w:sz w:val="21"/>
            <w:szCs w:val="21"/>
          </w:rPr>
          <w:t>791</w:t>
        </w:r>
        <w:r w:rsidRPr="00F52D2A">
          <w:rPr>
            <w:rFonts w:asciiTheme="minorEastAsia" w:eastAsiaTheme="minorEastAsia" w:hAnsiTheme="minorEastAsia"/>
            <w:noProof/>
            <w:webHidden/>
            <w:sz w:val="21"/>
            <w:szCs w:val="21"/>
          </w:rPr>
          <w:fldChar w:fldCharType="end"/>
        </w:r>
      </w:hyperlink>
    </w:p>
    <w:p w:rsidR="00F52D2A" w:rsidRDefault="00514AB1" w:rsidP="00F52D2A">
      <w:pPr>
        <w:spacing w:line="276" w:lineRule="auto"/>
      </w:pPr>
      <w:r w:rsidRPr="00F52D2A">
        <w:rPr>
          <w:rFonts w:asciiTheme="minorEastAsia" w:eastAsiaTheme="minorEastAsia" w:hAnsiTheme="minorEastAsia"/>
          <w:szCs w:val="21"/>
        </w:rPr>
        <w:fldChar w:fldCharType="end"/>
      </w:r>
    </w:p>
    <w:p w:rsidR="003717A0" w:rsidRDefault="003717A0">
      <w:pPr>
        <w:spacing w:line="360" w:lineRule="exact"/>
        <w:jc w:val="center"/>
        <w:rPr>
          <w:rFonts w:ascii="宋体"/>
          <w:kern w:val="0"/>
          <w:szCs w:val="21"/>
        </w:rPr>
      </w:pPr>
    </w:p>
    <w:p w:rsidR="003717A0" w:rsidRDefault="003717A0">
      <w:pPr>
        <w:rPr>
          <w:kern w:val="0"/>
        </w:rPr>
      </w:pPr>
    </w:p>
    <w:p w:rsidR="003717A0" w:rsidRDefault="003717A0">
      <w:pPr>
        <w:rPr>
          <w:kern w:val="0"/>
        </w:rPr>
        <w:sectPr w:rsidR="003717A0">
          <w:footerReference w:type="default" r:id="rId8"/>
          <w:pgSz w:w="11906" w:h="16838"/>
          <w:pgMar w:top="1418" w:right="1418" w:bottom="1418" w:left="1418" w:header="851" w:footer="992" w:gutter="0"/>
          <w:pgNumType w:start="1"/>
          <w:cols w:space="425"/>
          <w:docGrid w:type="linesAndChars" w:linePitch="312"/>
        </w:sectPr>
      </w:pPr>
    </w:p>
    <w:p w:rsidR="003717A0" w:rsidRDefault="003717A0">
      <w:pPr>
        <w:pStyle w:val="1"/>
        <w:spacing w:before="340" w:beforeAutospacing="1" w:after="330" w:afterAutospacing="1" w:line="578" w:lineRule="atLeast"/>
        <w:rPr>
          <w:rFonts w:ascii="黑体" w:hAnsi="Calibri"/>
          <w:b/>
          <w:szCs w:val="28"/>
        </w:rPr>
      </w:pPr>
      <w:bookmarkStart w:id="0" w:name="_Toc469312972"/>
      <w:bookmarkStart w:id="1" w:name="_Toc471830684"/>
      <w:r w:rsidRPr="00F5156D">
        <w:rPr>
          <w:rFonts w:ascii="黑体" w:hAnsi="Calibri" w:hint="eastAsia"/>
          <w:b/>
          <w:szCs w:val="28"/>
        </w:rPr>
        <w:lastRenderedPageBreak/>
        <w:t>《</w:t>
      </w:r>
      <w:r>
        <w:rPr>
          <w:rFonts w:ascii="黑体" w:hAnsi="Calibri" w:hint="eastAsia"/>
          <w:b/>
          <w:szCs w:val="28"/>
        </w:rPr>
        <w:t>大学计算机信息技术基础（</w:t>
      </w:r>
      <w:r>
        <w:rPr>
          <w:rFonts w:ascii="黑体" w:hAnsi="Calibri"/>
          <w:b/>
          <w:szCs w:val="28"/>
        </w:rPr>
        <w:t>I</w:t>
      </w:r>
      <w:r>
        <w:rPr>
          <w:rFonts w:ascii="黑体" w:hAnsi="Calibri" w:hint="eastAsia"/>
          <w:b/>
          <w:szCs w:val="28"/>
        </w:rPr>
        <w:t>）</w:t>
      </w:r>
      <w:r w:rsidRPr="00F5156D">
        <w:rPr>
          <w:rFonts w:ascii="黑体" w:hAnsi="Calibri" w:hint="eastAsia"/>
          <w:b/>
          <w:szCs w:val="28"/>
        </w:rPr>
        <w:t>》课程质量标准</w:t>
      </w:r>
      <w:bookmarkEnd w:id="0"/>
      <w:bookmarkEnd w:id="1"/>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23"/>
        <w:gridCol w:w="1483"/>
        <w:gridCol w:w="804"/>
        <w:gridCol w:w="181"/>
        <w:gridCol w:w="499"/>
        <w:gridCol w:w="742"/>
        <w:gridCol w:w="429"/>
        <w:gridCol w:w="312"/>
        <w:gridCol w:w="403"/>
        <w:gridCol w:w="1081"/>
        <w:gridCol w:w="1485"/>
      </w:tblGrid>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课程名称</w:t>
            </w:r>
          </w:p>
        </w:tc>
        <w:tc>
          <w:tcPr>
            <w:tcW w:w="7419" w:type="dxa"/>
            <w:gridSpan w:val="10"/>
          </w:tcPr>
          <w:p w:rsidR="003717A0" w:rsidRDefault="003717A0">
            <w:pPr>
              <w:adjustRightInd w:val="0"/>
              <w:snapToGrid w:val="0"/>
              <w:spacing w:line="440" w:lineRule="exact"/>
              <w:jc w:val="center"/>
              <w:rPr>
                <w:rFonts w:ascii="宋体"/>
                <w:sz w:val="22"/>
              </w:rPr>
            </w:pPr>
            <w:r>
              <w:rPr>
                <w:rFonts w:ascii="宋体" w:hAnsi="宋体" w:hint="eastAsia"/>
                <w:kern w:val="0"/>
                <w:sz w:val="22"/>
              </w:rPr>
              <w:t>大学计算机信息技术基础（</w:t>
            </w:r>
            <w:r>
              <w:rPr>
                <w:rFonts w:ascii="宋体" w:hAnsi="宋体"/>
                <w:kern w:val="0"/>
                <w:sz w:val="22"/>
              </w:rPr>
              <w:t>I</w:t>
            </w:r>
            <w:r>
              <w:rPr>
                <w:rFonts w:ascii="宋体" w:hAnsi="宋体" w:hint="eastAsia"/>
                <w:kern w:val="0"/>
                <w:sz w:val="22"/>
              </w:rPr>
              <w:t>）</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英译名称</w:t>
            </w:r>
          </w:p>
        </w:tc>
        <w:tc>
          <w:tcPr>
            <w:tcW w:w="7419" w:type="dxa"/>
            <w:gridSpan w:val="10"/>
          </w:tcPr>
          <w:p w:rsidR="003717A0" w:rsidRDefault="003717A0">
            <w:pPr>
              <w:widowControl/>
              <w:jc w:val="center"/>
              <w:rPr>
                <w:rFonts w:ascii="宋体"/>
                <w:kern w:val="0"/>
                <w:sz w:val="22"/>
              </w:rPr>
            </w:pPr>
            <w:r>
              <w:rPr>
                <w:rFonts w:ascii="宋体" w:hAnsi="宋体"/>
                <w:kern w:val="0"/>
                <w:sz w:val="24"/>
                <w:szCs w:val="24"/>
              </w:rPr>
              <w:t>Fundamentals of Computer Information Technology</w:t>
            </w:r>
            <w:r>
              <w:rPr>
                <w:rFonts w:ascii="宋体" w:hAnsi="宋体" w:hint="eastAsia"/>
                <w:kern w:val="0"/>
                <w:sz w:val="22"/>
              </w:rPr>
              <w:t>（</w:t>
            </w:r>
            <w:r>
              <w:rPr>
                <w:rFonts w:ascii="宋体" w:hAnsi="宋体"/>
                <w:kern w:val="0"/>
                <w:sz w:val="22"/>
              </w:rPr>
              <w:t>I</w:t>
            </w:r>
            <w:r>
              <w:rPr>
                <w:rFonts w:ascii="宋体" w:hAnsi="宋体" w:hint="eastAsia"/>
                <w:kern w:val="0"/>
                <w:sz w:val="22"/>
              </w:rPr>
              <w:t>）</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课程代码</w:t>
            </w:r>
          </w:p>
        </w:tc>
        <w:tc>
          <w:tcPr>
            <w:tcW w:w="2287" w:type="dxa"/>
            <w:gridSpan w:val="2"/>
          </w:tcPr>
          <w:p w:rsidR="003717A0" w:rsidRDefault="003717A0">
            <w:pPr>
              <w:adjustRightInd w:val="0"/>
              <w:snapToGrid w:val="0"/>
              <w:spacing w:line="440" w:lineRule="exact"/>
              <w:jc w:val="center"/>
              <w:rPr>
                <w:rFonts w:ascii="宋体"/>
                <w:kern w:val="0"/>
                <w:sz w:val="22"/>
              </w:rPr>
            </w:pPr>
            <w:r>
              <w:rPr>
                <w:rFonts w:ascii="宋体" w:hAnsi="宋体"/>
                <w:kern w:val="0"/>
                <w:sz w:val="22"/>
              </w:rPr>
              <w:t>130549</w:t>
            </w:r>
          </w:p>
        </w:tc>
        <w:tc>
          <w:tcPr>
            <w:tcW w:w="1851" w:type="dxa"/>
            <w:gridSpan w:val="4"/>
          </w:tcPr>
          <w:p w:rsidR="003717A0" w:rsidRDefault="003717A0">
            <w:pPr>
              <w:adjustRightInd w:val="0"/>
              <w:snapToGrid w:val="0"/>
              <w:spacing w:line="440" w:lineRule="exact"/>
              <w:jc w:val="center"/>
              <w:rPr>
                <w:rFonts w:ascii="宋体"/>
                <w:sz w:val="22"/>
              </w:rPr>
            </w:pPr>
            <w:r>
              <w:rPr>
                <w:rFonts w:ascii="宋体" w:hAnsi="宋体" w:hint="eastAsia"/>
                <w:sz w:val="22"/>
              </w:rPr>
              <w:t>课程开设学期</w:t>
            </w:r>
          </w:p>
        </w:tc>
        <w:tc>
          <w:tcPr>
            <w:tcW w:w="3281" w:type="dxa"/>
            <w:gridSpan w:val="4"/>
          </w:tcPr>
          <w:p w:rsidR="003717A0" w:rsidRDefault="003717A0">
            <w:pPr>
              <w:adjustRightInd w:val="0"/>
              <w:snapToGrid w:val="0"/>
              <w:spacing w:line="440" w:lineRule="exact"/>
              <w:jc w:val="center"/>
              <w:rPr>
                <w:rFonts w:ascii="宋体"/>
                <w:sz w:val="22"/>
              </w:rPr>
            </w:pPr>
            <w:r>
              <w:rPr>
                <w:rFonts w:ascii="宋体" w:hAnsi="宋体" w:hint="eastAsia"/>
                <w:kern w:val="0"/>
                <w:sz w:val="22"/>
              </w:rPr>
              <w:t>一</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课程学时</w:t>
            </w:r>
          </w:p>
        </w:tc>
        <w:tc>
          <w:tcPr>
            <w:tcW w:w="2287" w:type="dxa"/>
            <w:gridSpan w:val="2"/>
          </w:tcPr>
          <w:p w:rsidR="003717A0" w:rsidRDefault="003717A0">
            <w:pPr>
              <w:adjustRightInd w:val="0"/>
              <w:snapToGrid w:val="0"/>
              <w:spacing w:line="440" w:lineRule="exact"/>
              <w:jc w:val="center"/>
              <w:rPr>
                <w:rFonts w:ascii="宋体"/>
                <w:kern w:val="0"/>
                <w:sz w:val="22"/>
              </w:rPr>
            </w:pPr>
            <w:r>
              <w:rPr>
                <w:rFonts w:ascii="宋体" w:hAnsi="宋体"/>
                <w:kern w:val="0"/>
                <w:sz w:val="22"/>
              </w:rPr>
              <w:t>72</w:t>
            </w:r>
          </w:p>
        </w:tc>
        <w:tc>
          <w:tcPr>
            <w:tcW w:w="1851" w:type="dxa"/>
            <w:gridSpan w:val="4"/>
          </w:tcPr>
          <w:p w:rsidR="003717A0" w:rsidRDefault="003717A0">
            <w:pPr>
              <w:adjustRightInd w:val="0"/>
              <w:snapToGrid w:val="0"/>
              <w:spacing w:line="440" w:lineRule="exact"/>
              <w:jc w:val="center"/>
              <w:rPr>
                <w:rFonts w:ascii="宋体"/>
                <w:sz w:val="22"/>
              </w:rPr>
            </w:pPr>
            <w:r>
              <w:rPr>
                <w:rFonts w:ascii="宋体" w:hAnsi="宋体" w:hint="eastAsia"/>
                <w:sz w:val="22"/>
              </w:rPr>
              <w:t>课程学分</w:t>
            </w:r>
          </w:p>
        </w:tc>
        <w:tc>
          <w:tcPr>
            <w:tcW w:w="3281" w:type="dxa"/>
            <w:gridSpan w:val="4"/>
          </w:tcPr>
          <w:p w:rsidR="003717A0" w:rsidRDefault="003717A0">
            <w:pPr>
              <w:adjustRightInd w:val="0"/>
              <w:snapToGrid w:val="0"/>
              <w:spacing w:line="440" w:lineRule="exact"/>
              <w:jc w:val="center"/>
              <w:rPr>
                <w:rFonts w:ascii="宋体"/>
                <w:sz w:val="22"/>
              </w:rPr>
            </w:pPr>
            <w:r>
              <w:rPr>
                <w:rFonts w:ascii="宋体" w:hAnsi="宋体"/>
                <w:sz w:val="22"/>
              </w:rPr>
              <w:t>4</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课程类型</w:t>
            </w:r>
          </w:p>
        </w:tc>
        <w:tc>
          <w:tcPr>
            <w:tcW w:w="7419" w:type="dxa"/>
            <w:gridSpan w:val="10"/>
          </w:tcPr>
          <w:p w:rsidR="003717A0" w:rsidRDefault="003717A0">
            <w:pPr>
              <w:adjustRightInd w:val="0"/>
              <w:snapToGrid w:val="0"/>
              <w:spacing w:line="440" w:lineRule="exact"/>
              <w:jc w:val="center"/>
              <w:rPr>
                <w:rFonts w:ascii="宋体"/>
                <w:szCs w:val="21"/>
              </w:rPr>
            </w:pPr>
            <w:r>
              <w:rPr>
                <w:rFonts w:ascii="宋体" w:hAnsi="宋体" w:hint="eastAsia"/>
                <w:szCs w:val="21"/>
              </w:rPr>
              <w:t>■公共基础课□专业基础课□专业课□公共选修课■必修课□选修课</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开课学院</w:t>
            </w:r>
          </w:p>
        </w:tc>
        <w:tc>
          <w:tcPr>
            <w:tcW w:w="2468" w:type="dxa"/>
            <w:gridSpan w:val="3"/>
          </w:tcPr>
          <w:p w:rsidR="003717A0" w:rsidRDefault="003717A0">
            <w:pPr>
              <w:adjustRightInd w:val="0"/>
              <w:snapToGrid w:val="0"/>
              <w:spacing w:line="440" w:lineRule="exact"/>
              <w:jc w:val="center"/>
              <w:rPr>
                <w:rFonts w:ascii="宋体"/>
                <w:sz w:val="22"/>
              </w:rPr>
            </w:pPr>
            <w:r>
              <w:rPr>
                <w:rFonts w:ascii="宋体" w:hAnsi="宋体" w:hint="eastAsia"/>
                <w:kern w:val="0"/>
                <w:sz w:val="22"/>
              </w:rPr>
              <w:t>计算机科学与技术学院</w:t>
            </w:r>
          </w:p>
        </w:tc>
        <w:tc>
          <w:tcPr>
            <w:tcW w:w="2385" w:type="dxa"/>
            <w:gridSpan w:val="5"/>
          </w:tcPr>
          <w:p w:rsidR="003717A0" w:rsidRDefault="003717A0">
            <w:pPr>
              <w:adjustRightInd w:val="0"/>
              <w:snapToGrid w:val="0"/>
              <w:spacing w:line="440" w:lineRule="exact"/>
              <w:jc w:val="center"/>
              <w:rPr>
                <w:rFonts w:ascii="宋体"/>
                <w:sz w:val="22"/>
              </w:rPr>
            </w:pPr>
            <w:r>
              <w:rPr>
                <w:rFonts w:ascii="宋体" w:hAnsi="宋体" w:hint="eastAsia"/>
                <w:sz w:val="22"/>
              </w:rPr>
              <w:t>教学研究室室</w:t>
            </w:r>
            <w:r>
              <w:rPr>
                <w:rFonts w:ascii="宋体" w:hAnsi="宋体"/>
                <w:sz w:val="22"/>
              </w:rPr>
              <w:t>/</w:t>
            </w:r>
            <w:r>
              <w:rPr>
                <w:rFonts w:ascii="宋体" w:hAnsi="宋体" w:hint="eastAsia"/>
                <w:sz w:val="22"/>
              </w:rPr>
              <w:t>系</w:t>
            </w:r>
          </w:p>
        </w:tc>
        <w:tc>
          <w:tcPr>
            <w:tcW w:w="2566"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计算机基础教学部</w:t>
            </w:r>
          </w:p>
        </w:tc>
      </w:tr>
      <w:tr w:rsidR="003717A0">
        <w:trPr>
          <w:trHeight w:val="897"/>
          <w:jc w:val="center"/>
        </w:trPr>
        <w:tc>
          <w:tcPr>
            <w:tcW w:w="1623" w:type="dxa"/>
          </w:tcPr>
          <w:p w:rsidR="003717A0" w:rsidRDefault="003717A0">
            <w:pPr>
              <w:adjustRightInd w:val="0"/>
              <w:snapToGrid w:val="0"/>
              <w:spacing w:line="440" w:lineRule="exact"/>
              <w:rPr>
                <w:rFonts w:ascii="宋体"/>
                <w:sz w:val="22"/>
              </w:rPr>
            </w:pPr>
            <w:r>
              <w:rPr>
                <w:rFonts w:ascii="宋体" w:hAnsi="宋体" w:hint="eastAsia"/>
                <w:sz w:val="22"/>
              </w:rPr>
              <w:t>教材名称</w:t>
            </w:r>
          </w:p>
        </w:tc>
        <w:tc>
          <w:tcPr>
            <w:tcW w:w="7419" w:type="dxa"/>
            <w:gridSpan w:val="10"/>
          </w:tcPr>
          <w:p w:rsidR="003717A0" w:rsidRDefault="003717A0">
            <w:pPr>
              <w:adjustRightInd w:val="0"/>
              <w:snapToGrid w:val="0"/>
              <w:spacing w:line="440" w:lineRule="exact"/>
              <w:ind w:firstLineChars="148" w:firstLine="326"/>
              <w:rPr>
                <w:rFonts w:ascii="宋体"/>
                <w:kern w:val="0"/>
                <w:sz w:val="22"/>
              </w:rPr>
            </w:pPr>
            <w:r>
              <w:rPr>
                <w:rFonts w:ascii="宋体" w:hAnsi="宋体" w:hint="eastAsia"/>
                <w:kern w:val="0"/>
                <w:sz w:val="22"/>
              </w:rPr>
              <w:t>大学计算机信息技术教程</w:t>
            </w:r>
          </w:p>
          <w:p w:rsidR="003717A0" w:rsidRDefault="003717A0">
            <w:pPr>
              <w:adjustRightInd w:val="0"/>
              <w:snapToGrid w:val="0"/>
              <w:spacing w:line="440" w:lineRule="exact"/>
              <w:ind w:firstLineChars="148" w:firstLine="326"/>
              <w:jc w:val="left"/>
              <w:rPr>
                <w:rFonts w:ascii="宋体"/>
                <w:kern w:val="0"/>
                <w:sz w:val="22"/>
              </w:rPr>
            </w:pPr>
            <w:r>
              <w:rPr>
                <w:rFonts w:ascii="宋体" w:hAnsi="宋体" w:hint="eastAsia"/>
                <w:kern w:val="0"/>
                <w:sz w:val="22"/>
              </w:rPr>
              <w:t>大学计算机信息技术实验与测试教程</w:t>
            </w:r>
          </w:p>
        </w:tc>
      </w:tr>
      <w:tr w:rsidR="003717A0">
        <w:trPr>
          <w:trHeight w:val="897"/>
          <w:jc w:val="center"/>
        </w:trPr>
        <w:tc>
          <w:tcPr>
            <w:tcW w:w="1623" w:type="dxa"/>
          </w:tcPr>
          <w:p w:rsidR="003717A0" w:rsidRDefault="003717A0">
            <w:pPr>
              <w:adjustRightInd w:val="0"/>
              <w:snapToGrid w:val="0"/>
              <w:spacing w:line="440" w:lineRule="exact"/>
              <w:rPr>
                <w:rFonts w:ascii="宋体"/>
                <w:sz w:val="22"/>
              </w:rPr>
            </w:pPr>
            <w:r>
              <w:rPr>
                <w:rFonts w:ascii="宋体" w:hAnsi="宋体" w:hint="eastAsia"/>
                <w:sz w:val="22"/>
              </w:rPr>
              <w:t>教材出版信息</w:t>
            </w:r>
          </w:p>
        </w:tc>
        <w:tc>
          <w:tcPr>
            <w:tcW w:w="7419" w:type="dxa"/>
            <w:gridSpan w:val="10"/>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南京大学出版社，</w:t>
            </w:r>
            <w:r>
              <w:rPr>
                <w:rFonts w:ascii="宋体" w:hAnsi="宋体"/>
                <w:kern w:val="0"/>
                <w:sz w:val="22"/>
              </w:rPr>
              <w:t xml:space="preserve">2013 </w:t>
            </w:r>
            <w:r>
              <w:rPr>
                <w:rFonts w:ascii="宋体" w:hAnsi="宋体" w:hint="eastAsia"/>
                <w:kern w:val="0"/>
                <w:sz w:val="22"/>
              </w:rPr>
              <w:t>年</w:t>
            </w:r>
            <w:r>
              <w:rPr>
                <w:rFonts w:ascii="宋体" w:hAnsi="宋体"/>
                <w:kern w:val="0"/>
                <w:sz w:val="22"/>
              </w:rPr>
              <w:t xml:space="preserve">8 </w:t>
            </w:r>
            <w:r>
              <w:rPr>
                <w:rFonts w:ascii="宋体" w:hAnsi="宋体" w:hint="eastAsia"/>
                <w:kern w:val="0"/>
                <w:sz w:val="22"/>
              </w:rPr>
              <w:t>月第</w:t>
            </w:r>
            <w:r>
              <w:rPr>
                <w:rFonts w:ascii="宋体" w:hAnsi="宋体"/>
                <w:kern w:val="0"/>
                <w:sz w:val="22"/>
              </w:rPr>
              <w:t xml:space="preserve">6 </w:t>
            </w:r>
            <w:r>
              <w:rPr>
                <w:rFonts w:ascii="宋体" w:hAnsi="宋体" w:hint="eastAsia"/>
                <w:kern w:val="0"/>
                <w:sz w:val="22"/>
              </w:rPr>
              <w:t>版，</w:t>
            </w:r>
            <w:r>
              <w:rPr>
                <w:rFonts w:ascii="宋体" w:hAnsi="宋体"/>
                <w:kern w:val="0"/>
                <w:sz w:val="22"/>
              </w:rPr>
              <w:t>ISBN</w:t>
            </w:r>
            <w:r>
              <w:rPr>
                <w:rFonts w:ascii="宋体" w:hAnsi="宋体" w:hint="eastAsia"/>
                <w:kern w:val="0"/>
                <w:sz w:val="22"/>
              </w:rPr>
              <w:t>：</w:t>
            </w:r>
            <w:r>
              <w:rPr>
                <w:rFonts w:ascii="宋体" w:hAnsi="宋体"/>
                <w:kern w:val="0"/>
                <w:sz w:val="22"/>
              </w:rPr>
              <w:t>978-7-305-04005-4</w:t>
            </w:r>
          </w:p>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南京大学出版社，</w:t>
            </w:r>
            <w:r>
              <w:rPr>
                <w:rFonts w:ascii="宋体" w:hAnsi="宋体"/>
                <w:kern w:val="0"/>
                <w:sz w:val="22"/>
              </w:rPr>
              <w:t xml:space="preserve">2015 </w:t>
            </w:r>
            <w:r>
              <w:rPr>
                <w:rFonts w:ascii="宋体" w:hAnsi="宋体" w:hint="eastAsia"/>
                <w:kern w:val="0"/>
                <w:sz w:val="22"/>
              </w:rPr>
              <w:t>年</w:t>
            </w:r>
            <w:r>
              <w:rPr>
                <w:rFonts w:ascii="宋体" w:hAnsi="宋体"/>
                <w:kern w:val="0"/>
                <w:sz w:val="22"/>
              </w:rPr>
              <w:t xml:space="preserve">9 </w:t>
            </w:r>
            <w:r>
              <w:rPr>
                <w:rFonts w:ascii="宋体" w:hAnsi="宋体" w:hint="eastAsia"/>
                <w:kern w:val="0"/>
                <w:sz w:val="22"/>
              </w:rPr>
              <w:t>月第</w:t>
            </w:r>
            <w:r>
              <w:rPr>
                <w:rFonts w:ascii="宋体" w:hAnsi="宋体"/>
                <w:kern w:val="0"/>
                <w:sz w:val="22"/>
              </w:rPr>
              <w:t>1</w:t>
            </w:r>
            <w:r>
              <w:rPr>
                <w:rFonts w:ascii="宋体" w:hAnsi="宋体" w:hint="eastAsia"/>
                <w:kern w:val="0"/>
                <w:sz w:val="22"/>
              </w:rPr>
              <w:t>版，</w:t>
            </w:r>
            <w:r>
              <w:rPr>
                <w:rFonts w:ascii="宋体" w:hAnsi="宋体"/>
                <w:kern w:val="0"/>
                <w:sz w:val="22"/>
              </w:rPr>
              <w:t>ISBN</w:t>
            </w:r>
            <w:r>
              <w:rPr>
                <w:rFonts w:ascii="宋体" w:hAnsi="宋体" w:hint="eastAsia"/>
                <w:kern w:val="0"/>
                <w:sz w:val="22"/>
              </w:rPr>
              <w:t>：</w:t>
            </w:r>
            <w:r>
              <w:rPr>
                <w:rFonts w:ascii="宋体" w:hAnsi="宋体"/>
                <w:kern w:val="0"/>
                <w:sz w:val="22"/>
              </w:rPr>
              <w:t>978-7-305-15704-2</w:t>
            </w:r>
          </w:p>
        </w:tc>
      </w:tr>
      <w:tr w:rsidR="003717A0">
        <w:trPr>
          <w:trHeight w:val="448"/>
          <w:jc w:val="center"/>
        </w:trPr>
        <w:tc>
          <w:tcPr>
            <w:tcW w:w="1623" w:type="dxa"/>
          </w:tcPr>
          <w:p w:rsidR="003717A0" w:rsidRDefault="003717A0">
            <w:pPr>
              <w:adjustRightInd w:val="0"/>
              <w:snapToGrid w:val="0"/>
              <w:spacing w:line="440" w:lineRule="exact"/>
              <w:rPr>
                <w:rFonts w:ascii="宋体"/>
                <w:sz w:val="22"/>
              </w:rPr>
            </w:pPr>
            <w:r>
              <w:rPr>
                <w:rFonts w:ascii="宋体" w:hAnsi="宋体" w:hint="eastAsia"/>
                <w:sz w:val="22"/>
              </w:rPr>
              <w:t>教材性质</w:t>
            </w:r>
          </w:p>
        </w:tc>
        <w:tc>
          <w:tcPr>
            <w:tcW w:w="7419" w:type="dxa"/>
            <w:gridSpan w:val="10"/>
          </w:tcPr>
          <w:p w:rsidR="003717A0" w:rsidRDefault="003717A0">
            <w:pPr>
              <w:adjustRightInd w:val="0"/>
              <w:snapToGrid w:val="0"/>
              <w:spacing w:line="440" w:lineRule="exact"/>
              <w:rPr>
                <w:rFonts w:ascii="宋体"/>
                <w:sz w:val="22"/>
              </w:rPr>
            </w:pPr>
            <w:r>
              <w:rPr>
                <w:rFonts w:ascii="宋体" w:hAnsi="宋体" w:hint="eastAsia"/>
                <w:szCs w:val="21"/>
              </w:rPr>
              <w:t>□</w:t>
            </w:r>
            <w:r>
              <w:rPr>
                <w:rFonts w:ascii="宋体" w:hAnsi="宋体" w:hint="eastAsia"/>
                <w:sz w:val="22"/>
              </w:rPr>
              <w:t>国家</w:t>
            </w:r>
            <w:r>
              <w:rPr>
                <w:rFonts w:ascii="宋体" w:hAnsi="宋体" w:hint="eastAsia"/>
                <w:szCs w:val="21"/>
              </w:rPr>
              <w:t>□</w:t>
            </w:r>
            <w:r>
              <w:rPr>
                <w:rFonts w:ascii="宋体" w:hAnsi="宋体" w:hint="eastAsia"/>
                <w:sz w:val="22"/>
              </w:rPr>
              <w:t>部级规划</w:t>
            </w:r>
            <w:r>
              <w:rPr>
                <w:rFonts w:ascii="宋体" w:hAnsi="宋体" w:hint="eastAsia"/>
                <w:szCs w:val="21"/>
              </w:rPr>
              <w:t>■</w:t>
            </w:r>
            <w:r>
              <w:rPr>
                <w:rFonts w:ascii="宋体" w:hAnsi="宋体" w:hint="eastAsia"/>
                <w:sz w:val="22"/>
              </w:rPr>
              <w:t>省级规划</w:t>
            </w:r>
            <w:r>
              <w:rPr>
                <w:rFonts w:ascii="宋体" w:hAnsi="宋体" w:hint="eastAsia"/>
                <w:szCs w:val="21"/>
              </w:rPr>
              <w:t>□</w:t>
            </w:r>
            <w:r>
              <w:rPr>
                <w:rFonts w:ascii="宋体" w:hAnsi="宋体" w:hint="eastAsia"/>
                <w:sz w:val="22"/>
              </w:rPr>
              <w:t>自编</w:t>
            </w:r>
            <w:r>
              <w:rPr>
                <w:rFonts w:ascii="宋体" w:hAnsi="宋体" w:hint="eastAsia"/>
                <w:szCs w:val="21"/>
              </w:rPr>
              <w:t>□</w:t>
            </w:r>
            <w:r>
              <w:rPr>
                <w:rFonts w:ascii="宋体" w:hAnsi="宋体" w:hint="eastAsia"/>
                <w:sz w:val="22"/>
              </w:rPr>
              <w:t>其他</w:t>
            </w:r>
          </w:p>
        </w:tc>
      </w:tr>
      <w:tr w:rsidR="003717A0">
        <w:trPr>
          <w:trHeight w:val="448"/>
          <w:jc w:val="center"/>
        </w:trPr>
        <w:tc>
          <w:tcPr>
            <w:tcW w:w="1623" w:type="dxa"/>
          </w:tcPr>
          <w:p w:rsidR="003717A0" w:rsidRDefault="003717A0">
            <w:pPr>
              <w:adjustRightInd w:val="0"/>
              <w:snapToGrid w:val="0"/>
              <w:spacing w:line="440" w:lineRule="exact"/>
              <w:rPr>
                <w:rFonts w:ascii="宋体"/>
                <w:sz w:val="22"/>
              </w:rPr>
            </w:pPr>
            <w:r>
              <w:rPr>
                <w:rFonts w:ascii="宋体" w:hAnsi="宋体" w:hint="eastAsia"/>
                <w:sz w:val="22"/>
              </w:rPr>
              <w:t>考核方式</w:t>
            </w:r>
          </w:p>
        </w:tc>
        <w:tc>
          <w:tcPr>
            <w:tcW w:w="7419" w:type="dxa"/>
            <w:gridSpan w:val="10"/>
          </w:tcPr>
          <w:p w:rsidR="003717A0" w:rsidRDefault="003717A0">
            <w:pPr>
              <w:adjustRightInd w:val="0"/>
              <w:snapToGrid w:val="0"/>
              <w:spacing w:line="440" w:lineRule="exact"/>
              <w:rPr>
                <w:rFonts w:ascii="宋体"/>
                <w:sz w:val="22"/>
              </w:rPr>
            </w:pPr>
            <w:r>
              <w:rPr>
                <w:rFonts w:ascii="宋体" w:hAnsi="宋体" w:hint="eastAsia"/>
                <w:szCs w:val="21"/>
              </w:rPr>
              <w:t>■</w:t>
            </w:r>
            <w:r>
              <w:rPr>
                <w:rFonts w:ascii="宋体" w:hAnsi="宋体" w:hint="eastAsia"/>
                <w:sz w:val="22"/>
              </w:rPr>
              <w:t>考试</w:t>
            </w:r>
            <w:r>
              <w:rPr>
                <w:rFonts w:ascii="宋体" w:hAnsi="宋体" w:hint="eastAsia"/>
                <w:szCs w:val="21"/>
              </w:rPr>
              <w:t>□</w:t>
            </w:r>
            <w:r>
              <w:rPr>
                <w:rFonts w:ascii="宋体" w:hAnsi="宋体" w:hint="eastAsia"/>
                <w:sz w:val="22"/>
              </w:rPr>
              <w:t>考查</w:t>
            </w:r>
            <w:r>
              <w:rPr>
                <w:rFonts w:ascii="宋体" w:hAnsi="宋体" w:hint="eastAsia"/>
                <w:szCs w:val="21"/>
              </w:rPr>
              <w:t>□</w:t>
            </w:r>
            <w:r>
              <w:rPr>
                <w:rFonts w:ascii="宋体" w:hAnsi="宋体" w:hint="eastAsia"/>
                <w:sz w:val="22"/>
              </w:rPr>
              <w:t>开卷</w:t>
            </w:r>
            <w:r>
              <w:rPr>
                <w:rFonts w:ascii="宋体" w:hAnsi="宋体" w:hint="eastAsia"/>
                <w:szCs w:val="21"/>
              </w:rPr>
              <w:t>■</w:t>
            </w:r>
            <w:r>
              <w:rPr>
                <w:rFonts w:ascii="宋体" w:hAnsi="宋体" w:hint="eastAsia"/>
                <w:sz w:val="22"/>
              </w:rPr>
              <w:t>闭卷</w:t>
            </w:r>
            <w:r>
              <w:rPr>
                <w:rFonts w:ascii="宋体" w:hAnsi="宋体" w:hint="eastAsia"/>
                <w:szCs w:val="21"/>
              </w:rPr>
              <w:t>□</w:t>
            </w:r>
            <w:r>
              <w:rPr>
                <w:rFonts w:ascii="宋体" w:hAnsi="宋体" w:hint="eastAsia"/>
                <w:sz w:val="22"/>
              </w:rPr>
              <w:t>课程设计</w:t>
            </w:r>
            <w:r>
              <w:rPr>
                <w:rFonts w:ascii="宋体" w:hAnsi="宋体" w:hint="eastAsia"/>
                <w:szCs w:val="21"/>
              </w:rPr>
              <w:t>□</w:t>
            </w:r>
            <w:r>
              <w:rPr>
                <w:rFonts w:ascii="宋体" w:hAnsi="宋体" w:hint="eastAsia"/>
                <w:sz w:val="22"/>
              </w:rPr>
              <w:t>学期论文</w:t>
            </w:r>
            <w:r>
              <w:rPr>
                <w:rFonts w:ascii="宋体" w:hAnsi="宋体" w:hint="eastAsia"/>
                <w:szCs w:val="21"/>
              </w:rPr>
              <w:t>□</w:t>
            </w:r>
            <w:r>
              <w:rPr>
                <w:rFonts w:ascii="宋体" w:hAnsi="宋体" w:hint="eastAsia"/>
                <w:sz w:val="22"/>
              </w:rPr>
              <w:t>其他</w:t>
            </w:r>
          </w:p>
        </w:tc>
      </w:tr>
      <w:tr w:rsidR="003717A0">
        <w:trPr>
          <w:trHeight w:val="431"/>
          <w:jc w:val="center"/>
        </w:trPr>
        <w:tc>
          <w:tcPr>
            <w:tcW w:w="1623" w:type="dxa"/>
          </w:tcPr>
          <w:p w:rsidR="003717A0" w:rsidRDefault="003717A0">
            <w:pPr>
              <w:adjustRightInd w:val="0"/>
              <w:snapToGrid w:val="0"/>
              <w:spacing w:line="440" w:lineRule="exact"/>
              <w:rPr>
                <w:rFonts w:ascii="宋体"/>
                <w:sz w:val="22"/>
              </w:rPr>
            </w:pPr>
            <w:r>
              <w:rPr>
                <w:rFonts w:ascii="宋体" w:hAnsi="宋体" w:hint="eastAsia"/>
                <w:sz w:val="22"/>
              </w:rPr>
              <w:t>课程成绩</w:t>
            </w:r>
          </w:p>
        </w:tc>
        <w:tc>
          <w:tcPr>
            <w:tcW w:w="3709" w:type="dxa"/>
            <w:gridSpan w:val="5"/>
          </w:tcPr>
          <w:p w:rsidR="003717A0" w:rsidRDefault="003717A0">
            <w:pPr>
              <w:adjustRightInd w:val="0"/>
              <w:snapToGrid w:val="0"/>
              <w:spacing w:line="440" w:lineRule="exact"/>
              <w:rPr>
                <w:rFonts w:ascii="宋体"/>
                <w:sz w:val="22"/>
              </w:rPr>
            </w:pPr>
            <w:r>
              <w:rPr>
                <w:rFonts w:ascii="宋体" w:hAnsi="宋体" w:hint="eastAsia"/>
                <w:sz w:val="22"/>
              </w:rPr>
              <w:t>平时成绩</w:t>
            </w:r>
            <w:r>
              <w:rPr>
                <w:rFonts w:ascii="宋体" w:hAnsi="宋体"/>
                <w:sz w:val="22"/>
              </w:rPr>
              <w:t xml:space="preserve">  40%</w:t>
            </w:r>
          </w:p>
        </w:tc>
        <w:tc>
          <w:tcPr>
            <w:tcW w:w="3710" w:type="dxa"/>
            <w:gridSpan w:val="5"/>
          </w:tcPr>
          <w:p w:rsidR="003717A0" w:rsidRDefault="003717A0">
            <w:pPr>
              <w:adjustRightInd w:val="0"/>
              <w:snapToGrid w:val="0"/>
              <w:spacing w:line="440" w:lineRule="exact"/>
              <w:rPr>
                <w:rFonts w:ascii="宋体"/>
                <w:sz w:val="22"/>
              </w:rPr>
            </w:pPr>
            <w:r>
              <w:rPr>
                <w:rFonts w:ascii="宋体" w:hAnsi="宋体" w:hint="eastAsia"/>
                <w:sz w:val="22"/>
              </w:rPr>
              <w:t>期末成绩</w:t>
            </w:r>
            <w:r>
              <w:rPr>
                <w:rFonts w:ascii="宋体" w:hAnsi="宋体"/>
                <w:sz w:val="22"/>
              </w:rPr>
              <w:t xml:space="preserve">  60%</w:t>
            </w:r>
          </w:p>
        </w:tc>
      </w:tr>
      <w:tr w:rsidR="003717A0">
        <w:trPr>
          <w:trHeight w:val="448"/>
          <w:jc w:val="center"/>
        </w:trPr>
        <w:tc>
          <w:tcPr>
            <w:tcW w:w="9042" w:type="dxa"/>
            <w:gridSpan w:val="11"/>
          </w:tcPr>
          <w:p w:rsidR="003717A0" w:rsidRDefault="003717A0">
            <w:pPr>
              <w:adjustRightInd w:val="0"/>
              <w:snapToGrid w:val="0"/>
              <w:spacing w:line="440" w:lineRule="exact"/>
              <w:rPr>
                <w:rFonts w:ascii="宋体"/>
                <w:sz w:val="22"/>
              </w:rPr>
            </w:pPr>
            <w:r>
              <w:rPr>
                <w:rFonts w:ascii="宋体" w:hAnsi="宋体" w:hint="eastAsia"/>
                <w:sz w:val="22"/>
              </w:rPr>
              <w:t>主讲教师基本信息</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sz w:val="22"/>
              </w:rPr>
              <w:t>姓名</w:t>
            </w:r>
          </w:p>
        </w:tc>
        <w:tc>
          <w:tcPr>
            <w:tcW w:w="1483" w:type="dxa"/>
          </w:tcPr>
          <w:p w:rsidR="003717A0" w:rsidRDefault="003717A0">
            <w:pPr>
              <w:adjustRightInd w:val="0"/>
              <w:snapToGrid w:val="0"/>
              <w:spacing w:line="440" w:lineRule="exact"/>
              <w:jc w:val="center"/>
              <w:rPr>
                <w:rFonts w:ascii="宋体"/>
                <w:sz w:val="22"/>
              </w:rPr>
            </w:pPr>
            <w:r>
              <w:rPr>
                <w:rFonts w:ascii="宋体" w:hAnsi="宋体" w:hint="eastAsia"/>
                <w:sz w:val="22"/>
              </w:rPr>
              <w:t>性别</w:t>
            </w:r>
          </w:p>
        </w:tc>
        <w:tc>
          <w:tcPr>
            <w:tcW w:w="1484" w:type="dxa"/>
            <w:gridSpan w:val="3"/>
          </w:tcPr>
          <w:p w:rsidR="003717A0" w:rsidRDefault="003717A0">
            <w:pPr>
              <w:adjustRightInd w:val="0"/>
              <w:snapToGrid w:val="0"/>
              <w:spacing w:line="440" w:lineRule="exact"/>
              <w:jc w:val="center"/>
              <w:rPr>
                <w:rFonts w:ascii="宋体"/>
                <w:sz w:val="22"/>
              </w:rPr>
            </w:pPr>
            <w:r>
              <w:rPr>
                <w:rFonts w:ascii="宋体" w:hAnsi="宋体" w:hint="eastAsia"/>
                <w:sz w:val="22"/>
              </w:rPr>
              <w:t>学历</w:t>
            </w:r>
          </w:p>
        </w:tc>
        <w:tc>
          <w:tcPr>
            <w:tcW w:w="1483" w:type="dxa"/>
            <w:gridSpan w:val="3"/>
          </w:tcPr>
          <w:p w:rsidR="003717A0" w:rsidRDefault="003717A0">
            <w:pPr>
              <w:adjustRightInd w:val="0"/>
              <w:snapToGrid w:val="0"/>
              <w:spacing w:line="440" w:lineRule="exact"/>
              <w:jc w:val="center"/>
              <w:rPr>
                <w:rFonts w:ascii="宋体"/>
                <w:sz w:val="22"/>
              </w:rPr>
            </w:pPr>
            <w:r>
              <w:rPr>
                <w:rFonts w:ascii="宋体" w:hAnsi="宋体" w:hint="eastAsia"/>
                <w:sz w:val="22"/>
              </w:rPr>
              <w:t>学位</w:t>
            </w:r>
          </w:p>
        </w:tc>
        <w:tc>
          <w:tcPr>
            <w:tcW w:w="1484" w:type="dxa"/>
            <w:gridSpan w:val="2"/>
          </w:tcPr>
          <w:p w:rsidR="003717A0" w:rsidRDefault="003717A0">
            <w:pPr>
              <w:adjustRightInd w:val="0"/>
              <w:snapToGrid w:val="0"/>
              <w:spacing w:line="440" w:lineRule="exact"/>
              <w:jc w:val="center"/>
              <w:rPr>
                <w:rFonts w:ascii="宋体"/>
                <w:sz w:val="22"/>
              </w:rPr>
            </w:pPr>
            <w:r>
              <w:rPr>
                <w:rFonts w:ascii="宋体" w:hAnsi="宋体" w:hint="eastAsia"/>
                <w:sz w:val="22"/>
              </w:rPr>
              <w:t>职称</w:t>
            </w:r>
          </w:p>
        </w:tc>
        <w:tc>
          <w:tcPr>
            <w:tcW w:w="1485" w:type="dxa"/>
          </w:tcPr>
          <w:p w:rsidR="003717A0" w:rsidRDefault="003717A0">
            <w:pPr>
              <w:adjustRightInd w:val="0"/>
              <w:snapToGrid w:val="0"/>
              <w:spacing w:line="440" w:lineRule="exact"/>
              <w:jc w:val="center"/>
              <w:rPr>
                <w:rFonts w:ascii="宋体"/>
                <w:sz w:val="22"/>
              </w:rPr>
            </w:pPr>
            <w:r>
              <w:rPr>
                <w:rFonts w:ascii="宋体" w:hAnsi="宋体" w:hint="eastAsia"/>
                <w:sz w:val="22"/>
              </w:rPr>
              <w:t>从教时间</w:t>
            </w:r>
          </w:p>
        </w:tc>
      </w:tr>
      <w:tr w:rsidR="003717A0">
        <w:trPr>
          <w:trHeight w:val="448"/>
          <w:jc w:val="center"/>
        </w:trPr>
        <w:tc>
          <w:tcPr>
            <w:tcW w:w="1623" w:type="dxa"/>
            <w:vAlign w:val="center"/>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郑国平</w:t>
            </w:r>
          </w:p>
        </w:tc>
        <w:tc>
          <w:tcPr>
            <w:tcW w:w="148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男</w:t>
            </w:r>
          </w:p>
        </w:tc>
        <w:tc>
          <w:tcPr>
            <w:tcW w:w="1484"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本科</w:t>
            </w:r>
          </w:p>
        </w:tc>
        <w:tc>
          <w:tcPr>
            <w:tcW w:w="148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学士</w:t>
            </w:r>
          </w:p>
        </w:tc>
        <w:tc>
          <w:tcPr>
            <w:tcW w:w="148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副教授</w:t>
            </w:r>
          </w:p>
        </w:tc>
        <w:tc>
          <w:tcPr>
            <w:tcW w:w="1485"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1985.08</w:t>
            </w:r>
          </w:p>
        </w:tc>
      </w:tr>
      <w:tr w:rsidR="003717A0">
        <w:trPr>
          <w:trHeight w:val="448"/>
          <w:jc w:val="center"/>
        </w:trPr>
        <w:tc>
          <w:tcPr>
            <w:tcW w:w="162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彭志娟</w:t>
            </w:r>
          </w:p>
        </w:tc>
        <w:tc>
          <w:tcPr>
            <w:tcW w:w="148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女</w:t>
            </w:r>
          </w:p>
        </w:tc>
        <w:tc>
          <w:tcPr>
            <w:tcW w:w="1484"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p>
        </w:tc>
        <w:tc>
          <w:tcPr>
            <w:tcW w:w="148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硕士</w:t>
            </w:r>
          </w:p>
        </w:tc>
        <w:tc>
          <w:tcPr>
            <w:tcW w:w="148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副教授</w:t>
            </w:r>
          </w:p>
        </w:tc>
        <w:tc>
          <w:tcPr>
            <w:tcW w:w="1485"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1998.08</w:t>
            </w:r>
          </w:p>
        </w:tc>
      </w:tr>
      <w:tr w:rsidR="003717A0">
        <w:trPr>
          <w:trHeight w:val="448"/>
          <w:jc w:val="center"/>
        </w:trPr>
        <w:tc>
          <w:tcPr>
            <w:tcW w:w="1623" w:type="dxa"/>
          </w:tcPr>
          <w:p w:rsidR="003717A0" w:rsidRDefault="003717A0">
            <w:pPr>
              <w:adjustRightInd w:val="0"/>
              <w:snapToGrid w:val="0"/>
              <w:spacing w:line="440" w:lineRule="exact"/>
              <w:jc w:val="center"/>
              <w:rPr>
                <w:rFonts w:ascii="宋体"/>
                <w:sz w:val="22"/>
              </w:rPr>
            </w:pPr>
            <w:r>
              <w:rPr>
                <w:rFonts w:ascii="宋体" w:hAnsi="宋体" w:hint="eastAsia"/>
                <w:kern w:val="0"/>
                <w:sz w:val="22"/>
              </w:rPr>
              <w:t>程学云</w:t>
            </w:r>
          </w:p>
        </w:tc>
        <w:tc>
          <w:tcPr>
            <w:tcW w:w="148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女</w:t>
            </w:r>
          </w:p>
        </w:tc>
        <w:tc>
          <w:tcPr>
            <w:tcW w:w="1484"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p>
        </w:tc>
        <w:tc>
          <w:tcPr>
            <w:tcW w:w="148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硕士</w:t>
            </w:r>
          </w:p>
        </w:tc>
        <w:tc>
          <w:tcPr>
            <w:tcW w:w="148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副教授</w:t>
            </w:r>
          </w:p>
        </w:tc>
        <w:tc>
          <w:tcPr>
            <w:tcW w:w="1485"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2001.08</w:t>
            </w:r>
          </w:p>
        </w:tc>
      </w:tr>
      <w:tr w:rsidR="003717A0">
        <w:trPr>
          <w:trHeight w:val="448"/>
          <w:jc w:val="center"/>
        </w:trPr>
        <w:tc>
          <w:tcPr>
            <w:tcW w:w="162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朱玲玲</w:t>
            </w:r>
          </w:p>
        </w:tc>
        <w:tc>
          <w:tcPr>
            <w:tcW w:w="148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女</w:t>
            </w:r>
          </w:p>
        </w:tc>
        <w:tc>
          <w:tcPr>
            <w:tcW w:w="1484"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p>
        </w:tc>
        <w:tc>
          <w:tcPr>
            <w:tcW w:w="148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硕士</w:t>
            </w:r>
          </w:p>
        </w:tc>
        <w:tc>
          <w:tcPr>
            <w:tcW w:w="148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副教授</w:t>
            </w:r>
          </w:p>
        </w:tc>
        <w:tc>
          <w:tcPr>
            <w:tcW w:w="1485"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2001.08</w:t>
            </w:r>
          </w:p>
        </w:tc>
      </w:tr>
      <w:tr w:rsidR="003717A0">
        <w:trPr>
          <w:trHeight w:val="448"/>
          <w:jc w:val="center"/>
        </w:trPr>
        <w:tc>
          <w:tcPr>
            <w:tcW w:w="162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徐</w:t>
            </w:r>
            <w:r>
              <w:rPr>
                <w:rFonts w:ascii="宋体" w:hAnsi="宋体"/>
                <w:kern w:val="0"/>
                <w:sz w:val="22"/>
              </w:rPr>
              <w:t xml:space="preserve">  </w:t>
            </w:r>
            <w:r>
              <w:rPr>
                <w:rFonts w:ascii="宋体" w:hAnsi="宋体" w:hint="eastAsia"/>
                <w:kern w:val="0"/>
                <w:sz w:val="22"/>
              </w:rPr>
              <w:t>敏</w:t>
            </w:r>
          </w:p>
        </w:tc>
        <w:tc>
          <w:tcPr>
            <w:tcW w:w="148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女</w:t>
            </w:r>
          </w:p>
        </w:tc>
        <w:tc>
          <w:tcPr>
            <w:tcW w:w="1484"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r>
              <w:rPr>
                <w:rFonts w:ascii="宋体" w:hAnsi="宋体"/>
                <w:kern w:val="0"/>
                <w:sz w:val="22"/>
              </w:rPr>
              <w:t xml:space="preserve"> </w:t>
            </w:r>
          </w:p>
        </w:tc>
        <w:tc>
          <w:tcPr>
            <w:tcW w:w="148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硕士</w:t>
            </w:r>
          </w:p>
        </w:tc>
        <w:tc>
          <w:tcPr>
            <w:tcW w:w="148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副教授</w:t>
            </w:r>
          </w:p>
        </w:tc>
        <w:tc>
          <w:tcPr>
            <w:tcW w:w="1485"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2000.08</w:t>
            </w:r>
          </w:p>
        </w:tc>
      </w:tr>
      <w:tr w:rsidR="003717A0">
        <w:trPr>
          <w:trHeight w:val="431"/>
          <w:jc w:val="center"/>
        </w:trPr>
        <w:tc>
          <w:tcPr>
            <w:tcW w:w="9042" w:type="dxa"/>
            <w:gridSpan w:val="11"/>
          </w:tcPr>
          <w:p w:rsidR="003717A0" w:rsidRDefault="003717A0">
            <w:pPr>
              <w:adjustRightInd w:val="0"/>
              <w:snapToGrid w:val="0"/>
              <w:spacing w:line="440" w:lineRule="exact"/>
              <w:rPr>
                <w:rFonts w:ascii="宋体"/>
                <w:sz w:val="22"/>
              </w:rPr>
            </w:pPr>
            <w:r>
              <w:rPr>
                <w:rFonts w:ascii="宋体" w:hAnsi="宋体" w:hint="eastAsia"/>
                <w:sz w:val="22"/>
              </w:rPr>
              <w:t>课程简介</w:t>
            </w:r>
          </w:p>
        </w:tc>
      </w:tr>
      <w:tr w:rsidR="003717A0">
        <w:trPr>
          <w:trHeight w:val="452"/>
          <w:jc w:val="center"/>
        </w:trPr>
        <w:tc>
          <w:tcPr>
            <w:tcW w:w="9042" w:type="dxa"/>
            <w:gridSpan w:val="11"/>
          </w:tcPr>
          <w:p w:rsidR="003717A0" w:rsidRDefault="003717A0" w:rsidP="005E20B5">
            <w:pPr>
              <w:adjustRightInd w:val="0"/>
              <w:snapToGrid w:val="0"/>
              <w:spacing w:beforeLines="10" w:line="400" w:lineRule="exact"/>
              <w:ind w:firstLineChars="193" w:firstLine="425"/>
              <w:jc w:val="left"/>
              <w:rPr>
                <w:rFonts w:ascii="宋体"/>
                <w:sz w:val="22"/>
              </w:rPr>
            </w:pPr>
            <w:r>
              <w:rPr>
                <w:rFonts w:ascii="宋体" w:hAnsi="宋体" w:hint="eastAsia"/>
                <w:kern w:val="0"/>
                <w:sz w:val="22"/>
              </w:rPr>
              <w:t>大学计算机信息技术基础课程作为大学新生入学后的第一门计算机公共基础课程，在培养学生信息技术素养和动手操作能力方面有着举足轻重的作用。该课程由两个部分组成：一是理论知识部分，主要介绍计算机信息处理方面的基本概念、原理和技术，采用课堂教学的形式；二是实践部分，重点是计算机操作及常用软件的使用，采用实验课的形式。通过该课程的学习，学生能够掌握关于信息技术概述、计算机硬件、软件、网络、多媒体和信息系统中的最基本和最重要的概念和知识。</w:t>
            </w:r>
          </w:p>
        </w:tc>
      </w:tr>
    </w:tbl>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lastRenderedPageBreak/>
        <w:t>二、课程大纲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适应对象：本科</w:t>
      </w:r>
      <w:r>
        <w:rPr>
          <w:rFonts w:ascii="Times New Roman" w:hAnsi="Times New Roman" w:hint="eastAsia"/>
          <w:kern w:val="0"/>
          <w:sz w:val="22"/>
        </w:rPr>
        <w:t>层次，</w:t>
      </w:r>
      <w:r>
        <w:rPr>
          <w:rFonts w:ascii="宋体" w:hAnsi="宋体" w:hint="eastAsia"/>
        </w:rPr>
        <w:t>文科、医科等所有专业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130549</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72 </w:t>
      </w:r>
      <w:r>
        <w:rPr>
          <w:rFonts w:ascii="Times New Roman" w:hAnsi="宋体" w:hint="eastAsia"/>
          <w:kern w:val="0"/>
          <w:sz w:val="22"/>
        </w:rPr>
        <w:t>学时（理论学时</w:t>
      </w:r>
      <w:r>
        <w:rPr>
          <w:rFonts w:ascii="Times New Roman" w:hAnsi="宋体"/>
          <w:kern w:val="0"/>
          <w:sz w:val="22"/>
        </w:rPr>
        <w:t xml:space="preserve"> </w:t>
      </w:r>
      <w:r>
        <w:rPr>
          <w:rFonts w:ascii="Times New Roman" w:hAnsi="Times New Roman"/>
          <w:kern w:val="0"/>
          <w:sz w:val="22"/>
        </w:rPr>
        <w:t>42</w:t>
      </w:r>
      <w:r>
        <w:rPr>
          <w:rFonts w:ascii="Times New Roman" w:hAnsi="宋体" w:hint="eastAsia"/>
          <w:kern w:val="0"/>
          <w:sz w:val="22"/>
        </w:rPr>
        <w:t>，上机学时</w:t>
      </w:r>
      <w:r>
        <w:rPr>
          <w:rFonts w:ascii="Times New Roman" w:hAnsi="宋体"/>
          <w:kern w:val="0"/>
          <w:sz w:val="22"/>
        </w:rPr>
        <w:t xml:space="preserve"> </w:t>
      </w:r>
      <w:r>
        <w:rPr>
          <w:rFonts w:ascii="Times New Roman" w:hAnsi="Times New Roman"/>
          <w:kern w:val="0"/>
          <w:sz w:val="22"/>
        </w:rPr>
        <w:t>30</w:t>
      </w:r>
      <w:r>
        <w:rPr>
          <w:rFonts w:ascii="Times New Roman" w:hAnsi="宋体"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4</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本课程为计算机公共必修课，在全校</w:t>
      </w:r>
      <w:r>
        <w:rPr>
          <w:rFonts w:ascii="宋体" w:hAnsi="宋体" w:hint="eastAsia"/>
        </w:rPr>
        <w:t>文科、医科等专业</w:t>
      </w:r>
      <w:r>
        <w:rPr>
          <w:rFonts w:ascii="Times New Roman" w:hAnsi="宋体" w:hint="eastAsia"/>
          <w:kern w:val="0"/>
          <w:sz w:val="22"/>
        </w:rPr>
        <w:t>开设，一方面为了提高学生的计算机应用能力，培养学生的综合素质，另一方面为学生参加江苏省高等学校非计算机专业计算机基础知识和应用能力一级考试或全国计算机等级考试一级（</w:t>
      </w:r>
      <w:r>
        <w:rPr>
          <w:rFonts w:ascii="Times New Roman" w:hAnsi="宋体"/>
          <w:kern w:val="0"/>
          <w:sz w:val="22"/>
        </w:rPr>
        <w:t>MS Office</w:t>
      </w:r>
      <w:r>
        <w:rPr>
          <w:rFonts w:ascii="Times New Roman" w:hAnsi="宋体" w:hint="eastAsia"/>
          <w:kern w:val="0"/>
          <w:sz w:val="22"/>
        </w:rPr>
        <w:t>）做准备。</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numPr>
          <w:ilvl w:val="0"/>
          <w:numId w:val="1"/>
        </w:num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掌握信息技术、计算机硬件、计算机软件和计算机网络的基础知识和基本应用；</w:t>
      </w:r>
    </w:p>
    <w:p w:rsidR="003717A0" w:rsidRDefault="003717A0">
      <w:pPr>
        <w:numPr>
          <w:ilvl w:val="0"/>
          <w:numId w:val="1"/>
        </w:num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熟悉数字媒体的概念及其简单应用；</w:t>
      </w:r>
    </w:p>
    <w:p w:rsidR="003717A0" w:rsidRDefault="003717A0">
      <w:pPr>
        <w:numPr>
          <w:ilvl w:val="0"/>
          <w:numId w:val="1"/>
        </w:num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了解信息系统与数据库的基本概念和使用；</w:t>
      </w:r>
    </w:p>
    <w:p w:rsidR="003717A0" w:rsidRDefault="003717A0">
      <w:pPr>
        <w:numPr>
          <w:ilvl w:val="0"/>
          <w:numId w:val="1"/>
        </w:num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熟练掌握</w:t>
      </w:r>
      <w:r>
        <w:rPr>
          <w:rFonts w:ascii="Times New Roman" w:hAnsi="宋体"/>
          <w:kern w:val="0"/>
          <w:sz w:val="22"/>
        </w:rPr>
        <w:t>Windows 7</w:t>
      </w:r>
      <w:r>
        <w:rPr>
          <w:rFonts w:ascii="Times New Roman" w:hAnsi="宋体" w:hint="eastAsia"/>
          <w:kern w:val="0"/>
          <w:sz w:val="22"/>
        </w:rPr>
        <w:t>的基本操作，</w:t>
      </w:r>
      <w:r>
        <w:rPr>
          <w:rFonts w:ascii="Times New Roman" w:hAnsi="宋体"/>
          <w:kern w:val="0"/>
          <w:sz w:val="22"/>
        </w:rPr>
        <w:t>Word</w:t>
      </w:r>
      <w:r>
        <w:rPr>
          <w:rFonts w:ascii="Times New Roman" w:hAnsi="宋体" w:hint="eastAsia"/>
          <w:kern w:val="0"/>
          <w:sz w:val="22"/>
        </w:rPr>
        <w:t>、</w:t>
      </w:r>
      <w:r>
        <w:rPr>
          <w:rFonts w:ascii="Times New Roman" w:hAnsi="宋体"/>
          <w:kern w:val="0"/>
          <w:sz w:val="22"/>
        </w:rPr>
        <w:t>Excel</w:t>
      </w:r>
      <w:r>
        <w:rPr>
          <w:rFonts w:ascii="Times New Roman" w:hAnsi="宋体" w:hint="eastAsia"/>
          <w:kern w:val="0"/>
          <w:sz w:val="22"/>
        </w:rPr>
        <w:t>和</w:t>
      </w:r>
      <w:r>
        <w:rPr>
          <w:rFonts w:ascii="Times New Roman" w:hAnsi="宋体"/>
          <w:kern w:val="0"/>
          <w:sz w:val="22"/>
        </w:rPr>
        <w:t>PowerPoint</w:t>
      </w:r>
      <w:r>
        <w:rPr>
          <w:rFonts w:ascii="Times New Roman" w:hAnsi="宋体" w:hint="eastAsia"/>
          <w:kern w:val="0"/>
          <w:sz w:val="22"/>
        </w:rPr>
        <w:t>等常用软件的使用；</w:t>
      </w:r>
    </w:p>
    <w:p w:rsidR="003717A0" w:rsidRDefault="003717A0">
      <w:pPr>
        <w:numPr>
          <w:ilvl w:val="0"/>
          <w:numId w:val="1"/>
        </w:num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熟悉</w:t>
      </w:r>
      <w:r>
        <w:rPr>
          <w:rFonts w:ascii="Times New Roman" w:hAnsi="宋体"/>
          <w:kern w:val="0"/>
          <w:sz w:val="22"/>
        </w:rPr>
        <w:t>IE</w:t>
      </w:r>
      <w:r>
        <w:rPr>
          <w:rFonts w:ascii="Times New Roman" w:hAnsi="宋体" w:hint="eastAsia"/>
          <w:kern w:val="0"/>
          <w:sz w:val="22"/>
        </w:rPr>
        <w:t>、</w:t>
      </w:r>
      <w:r>
        <w:rPr>
          <w:rFonts w:ascii="Times New Roman" w:hAnsi="宋体"/>
          <w:kern w:val="0"/>
          <w:sz w:val="22"/>
        </w:rPr>
        <w:t>Outlook Express</w:t>
      </w:r>
      <w:r>
        <w:rPr>
          <w:rFonts w:ascii="Times New Roman" w:hAnsi="宋体" w:hint="eastAsia"/>
          <w:kern w:val="0"/>
          <w:sz w:val="22"/>
        </w:rPr>
        <w:t>等软件的基本使用。</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widowControl/>
        <w:adjustRightInd w:val="0"/>
        <w:ind w:firstLine="420"/>
        <w:jc w:val="left"/>
        <w:rPr>
          <w:rFonts w:ascii="宋体"/>
          <w:b/>
          <w:bCs/>
          <w:sz w:val="22"/>
        </w:rPr>
      </w:pPr>
      <w:r>
        <w:rPr>
          <w:rFonts w:ascii="宋体" w:hAnsi="宋体"/>
          <w:b/>
          <w:bCs/>
          <w:sz w:val="22"/>
        </w:rPr>
        <w:t>1)</w:t>
      </w:r>
      <w:r>
        <w:rPr>
          <w:rFonts w:ascii="宋体" w:hAnsi="宋体" w:hint="eastAsia"/>
          <w:b/>
          <w:bCs/>
          <w:sz w:val="22"/>
        </w:rPr>
        <w:t>理论教学</w:t>
      </w:r>
      <w:r>
        <w:rPr>
          <w:rFonts w:ascii="宋体" w:hAnsi="宋体"/>
          <w:b/>
          <w:bCs/>
          <w:sz w:val="22"/>
        </w:rPr>
        <w:t xml:space="preserve">   42</w:t>
      </w:r>
      <w:r>
        <w:rPr>
          <w:rFonts w:ascii="宋体" w:hAnsi="宋体" w:hint="eastAsia"/>
          <w:b/>
          <w:bCs/>
          <w:sz w:val="22"/>
        </w:rPr>
        <w:t>学时</w:t>
      </w:r>
    </w:p>
    <w:p w:rsidR="003717A0" w:rsidRDefault="003717A0" w:rsidP="005E20B5">
      <w:pPr>
        <w:spacing w:beforeLines="50" w:afterLines="50"/>
        <w:ind w:left="147" w:firstLine="420"/>
        <w:rPr>
          <w:rFonts w:ascii="宋体"/>
          <w:b/>
          <w:sz w:val="22"/>
        </w:rPr>
      </w:pPr>
      <w:r>
        <w:rPr>
          <w:rFonts w:ascii="宋体" w:hAnsi="宋体" w:hint="eastAsia"/>
          <w:b/>
          <w:sz w:val="22"/>
        </w:rPr>
        <w:t>第一章</w:t>
      </w:r>
      <w:r>
        <w:rPr>
          <w:rFonts w:ascii="宋体" w:hAnsi="宋体"/>
          <w:b/>
          <w:sz w:val="22"/>
        </w:rPr>
        <w:t xml:space="preserve"> </w:t>
      </w:r>
      <w:r>
        <w:rPr>
          <w:rFonts w:ascii="宋体" w:hAnsi="宋体" w:hint="eastAsia"/>
          <w:b/>
          <w:sz w:val="22"/>
        </w:rPr>
        <w:t>信息技术概述（</w:t>
      </w:r>
      <w:r>
        <w:rPr>
          <w:rFonts w:ascii="宋体" w:hAnsi="宋体"/>
          <w:b/>
          <w:sz w:val="22"/>
        </w:rPr>
        <w:t>6</w:t>
      </w:r>
      <w:r>
        <w:rPr>
          <w:rFonts w:ascii="宋体" w:hAnsi="宋体" w:hint="eastAsia"/>
          <w:b/>
          <w:sz w:val="22"/>
        </w:rPr>
        <w:t>学时）</w:t>
      </w:r>
    </w:p>
    <w:p w:rsidR="003717A0" w:rsidRDefault="003717A0">
      <w:pPr>
        <w:ind w:leftChars="470" w:left="1431" w:hangingChars="202" w:hanging="444"/>
        <w:rPr>
          <w:rFonts w:ascii="宋体"/>
          <w:sz w:val="22"/>
        </w:rPr>
      </w:pPr>
      <w:r>
        <w:rPr>
          <w:rFonts w:ascii="宋体" w:hAnsi="宋体"/>
          <w:sz w:val="22"/>
        </w:rPr>
        <w:t>1</w:t>
      </w:r>
      <w:r>
        <w:rPr>
          <w:rFonts w:ascii="宋体" w:hAnsi="宋体" w:hint="eastAsia"/>
          <w:sz w:val="22"/>
        </w:rPr>
        <w:t>．</w:t>
      </w:r>
      <w:r>
        <w:rPr>
          <w:rFonts w:ascii="宋体" w:hAnsi="宋体"/>
          <w:sz w:val="22"/>
        </w:rPr>
        <w:t>1</w:t>
      </w:r>
      <w:r>
        <w:rPr>
          <w:rFonts w:ascii="宋体" w:hAnsi="宋体" w:hint="eastAsia"/>
          <w:sz w:val="22"/>
        </w:rPr>
        <w:t>信息与信息技术</w:t>
      </w:r>
    </w:p>
    <w:p w:rsidR="003717A0" w:rsidRDefault="003717A0">
      <w:pPr>
        <w:ind w:leftChars="470" w:left="1431" w:hangingChars="202" w:hanging="444"/>
        <w:rPr>
          <w:rFonts w:ascii="宋体"/>
          <w:sz w:val="22"/>
        </w:rPr>
      </w:pPr>
      <w:r>
        <w:rPr>
          <w:rFonts w:ascii="宋体" w:hAnsi="宋体"/>
          <w:sz w:val="22"/>
        </w:rPr>
        <w:t>1</w:t>
      </w:r>
      <w:r>
        <w:rPr>
          <w:rFonts w:ascii="宋体" w:hAnsi="宋体" w:hint="eastAsia"/>
          <w:sz w:val="22"/>
        </w:rPr>
        <w:t>．</w:t>
      </w:r>
      <w:r>
        <w:rPr>
          <w:rFonts w:ascii="宋体" w:hAnsi="宋体"/>
          <w:sz w:val="22"/>
        </w:rPr>
        <w:t>2</w:t>
      </w:r>
      <w:r>
        <w:rPr>
          <w:rFonts w:ascii="宋体" w:hAnsi="宋体" w:hint="eastAsia"/>
          <w:sz w:val="22"/>
        </w:rPr>
        <w:t>数字技术基础</w:t>
      </w:r>
    </w:p>
    <w:p w:rsidR="003717A0" w:rsidRDefault="003717A0">
      <w:pPr>
        <w:ind w:leftChars="470" w:left="1431" w:hangingChars="202" w:hanging="444"/>
        <w:rPr>
          <w:rFonts w:ascii="宋体"/>
          <w:sz w:val="22"/>
        </w:rPr>
      </w:pPr>
      <w:r>
        <w:rPr>
          <w:rFonts w:ascii="宋体" w:hAnsi="宋体"/>
          <w:sz w:val="22"/>
        </w:rPr>
        <w:t>1</w:t>
      </w:r>
      <w:r>
        <w:rPr>
          <w:rFonts w:ascii="宋体" w:hAnsi="宋体" w:hint="eastAsia"/>
          <w:sz w:val="22"/>
        </w:rPr>
        <w:t>．</w:t>
      </w:r>
      <w:r>
        <w:rPr>
          <w:rFonts w:ascii="宋体" w:hAnsi="宋体"/>
          <w:sz w:val="22"/>
        </w:rPr>
        <w:t>3</w:t>
      </w:r>
      <w:r>
        <w:rPr>
          <w:rFonts w:ascii="宋体" w:hAnsi="宋体" w:hint="eastAsia"/>
          <w:sz w:val="22"/>
        </w:rPr>
        <w:t>微电子技术简介</w:t>
      </w:r>
    </w:p>
    <w:p w:rsidR="003717A0" w:rsidRDefault="003717A0" w:rsidP="005E20B5">
      <w:pPr>
        <w:spacing w:beforeLines="50" w:afterLines="50"/>
        <w:ind w:left="147" w:firstLine="420"/>
        <w:rPr>
          <w:rFonts w:ascii="宋体"/>
          <w:b/>
          <w:sz w:val="22"/>
        </w:rPr>
      </w:pPr>
      <w:r>
        <w:rPr>
          <w:rFonts w:ascii="宋体" w:hAnsi="宋体" w:hint="eastAsia"/>
          <w:b/>
          <w:sz w:val="22"/>
        </w:rPr>
        <w:t>第二章</w:t>
      </w:r>
      <w:r>
        <w:rPr>
          <w:rFonts w:ascii="宋体" w:hAnsi="宋体"/>
          <w:b/>
          <w:sz w:val="22"/>
        </w:rPr>
        <w:t xml:space="preserve"> </w:t>
      </w:r>
      <w:r>
        <w:rPr>
          <w:rFonts w:ascii="宋体" w:hAnsi="宋体" w:hint="eastAsia"/>
          <w:b/>
          <w:sz w:val="22"/>
        </w:rPr>
        <w:t>计算机组成原理（</w:t>
      </w:r>
      <w:r>
        <w:rPr>
          <w:rFonts w:ascii="宋体" w:hAnsi="宋体"/>
          <w:b/>
          <w:sz w:val="22"/>
        </w:rPr>
        <w:t>10</w:t>
      </w:r>
      <w:r>
        <w:rPr>
          <w:rFonts w:ascii="宋体" w:hAnsi="宋体" w:hint="eastAsia"/>
          <w:b/>
          <w:sz w:val="22"/>
        </w:rPr>
        <w:t>学时）</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w:t>
      </w:r>
      <w:r>
        <w:rPr>
          <w:rFonts w:ascii="宋体" w:hAnsi="宋体"/>
          <w:sz w:val="22"/>
        </w:rPr>
        <w:t>1</w:t>
      </w:r>
      <w:r>
        <w:rPr>
          <w:rFonts w:ascii="宋体" w:hAnsi="宋体" w:hint="eastAsia"/>
          <w:sz w:val="22"/>
        </w:rPr>
        <w:t>计算机组成与分类</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w:t>
      </w:r>
      <w:r>
        <w:rPr>
          <w:rFonts w:ascii="宋体" w:hAnsi="宋体"/>
          <w:sz w:val="22"/>
        </w:rPr>
        <w:t>2 CPU</w:t>
      </w:r>
      <w:r>
        <w:rPr>
          <w:rFonts w:ascii="宋体" w:hAnsi="宋体" w:hint="eastAsia"/>
          <w:sz w:val="22"/>
        </w:rPr>
        <w:t>的结构与原理</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w:t>
      </w:r>
      <w:r>
        <w:rPr>
          <w:rFonts w:ascii="宋体" w:hAnsi="宋体"/>
          <w:sz w:val="22"/>
        </w:rPr>
        <w:t>3 PC</w:t>
      </w:r>
      <w:r>
        <w:rPr>
          <w:rFonts w:ascii="宋体" w:hAnsi="宋体" w:hint="eastAsia"/>
          <w:sz w:val="22"/>
        </w:rPr>
        <w:t>主机的组成</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w:t>
      </w:r>
      <w:r>
        <w:rPr>
          <w:rFonts w:ascii="宋体" w:hAnsi="宋体"/>
          <w:sz w:val="22"/>
        </w:rPr>
        <w:t>4</w:t>
      </w:r>
      <w:r>
        <w:rPr>
          <w:rFonts w:ascii="宋体" w:hAnsi="宋体" w:hint="eastAsia"/>
          <w:sz w:val="22"/>
        </w:rPr>
        <w:t>常用输入设备</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w:t>
      </w:r>
      <w:r>
        <w:rPr>
          <w:rFonts w:ascii="宋体" w:hAnsi="宋体"/>
          <w:sz w:val="22"/>
        </w:rPr>
        <w:t>5</w:t>
      </w:r>
      <w:r>
        <w:rPr>
          <w:rFonts w:ascii="宋体" w:hAnsi="宋体" w:hint="eastAsia"/>
          <w:sz w:val="22"/>
        </w:rPr>
        <w:t>常用输出设备</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w:t>
      </w:r>
      <w:r>
        <w:rPr>
          <w:rFonts w:ascii="宋体" w:hAnsi="宋体"/>
          <w:sz w:val="22"/>
        </w:rPr>
        <w:t>6</w:t>
      </w:r>
      <w:r>
        <w:rPr>
          <w:rFonts w:ascii="宋体" w:hAnsi="宋体" w:hint="eastAsia"/>
          <w:sz w:val="22"/>
        </w:rPr>
        <w:t>外存储器</w:t>
      </w:r>
    </w:p>
    <w:p w:rsidR="003717A0" w:rsidRDefault="003717A0" w:rsidP="005E20B5">
      <w:pPr>
        <w:spacing w:beforeLines="50" w:afterLines="50"/>
        <w:ind w:left="147" w:firstLine="420"/>
        <w:rPr>
          <w:rFonts w:ascii="宋体"/>
          <w:b/>
          <w:sz w:val="22"/>
        </w:rPr>
      </w:pPr>
      <w:r>
        <w:rPr>
          <w:rFonts w:ascii="宋体" w:hAnsi="宋体" w:hint="eastAsia"/>
          <w:b/>
          <w:sz w:val="22"/>
        </w:rPr>
        <w:t>第三章</w:t>
      </w:r>
      <w:r>
        <w:rPr>
          <w:rFonts w:ascii="宋体" w:hAnsi="宋体"/>
          <w:b/>
          <w:sz w:val="22"/>
        </w:rPr>
        <w:t xml:space="preserve"> </w:t>
      </w:r>
      <w:r>
        <w:rPr>
          <w:rFonts w:ascii="宋体" w:hAnsi="宋体" w:hint="eastAsia"/>
          <w:b/>
          <w:sz w:val="22"/>
        </w:rPr>
        <w:t>计算机软件（</w:t>
      </w:r>
      <w:r>
        <w:rPr>
          <w:rFonts w:ascii="宋体" w:hAnsi="宋体"/>
          <w:b/>
          <w:sz w:val="22"/>
        </w:rPr>
        <w:t>6</w:t>
      </w:r>
      <w:r>
        <w:rPr>
          <w:rFonts w:ascii="宋体" w:hAnsi="宋体" w:hint="eastAsia"/>
          <w:b/>
          <w:sz w:val="22"/>
        </w:rPr>
        <w:t>学时）</w:t>
      </w:r>
    </w:p>
    <w:p w:rsidR="003717A0" w:rsidRDefault="003717A0">
      <w:pPr>
        <w:ind w:leftChars="470" w:left="1431" w:hangingChars="202" w:hanging="444"/>
        <w:rPr>
          <w:rFonts w:ascii="宋体"/>
          <w:sz w:val="22"/>
        </w:rPr>
      </w:pPr>
      <w:r>
        <w:rPr>
          <w:rFonts w:ascii="宋体" w:hAnsi="宋体"/>
          <w:sz w:val="22"/>
        </w:rPr>
        <w:t>3</w:t>
      </w:r>
      <w:r>
        <w:rPr>
          <w:rFonts w:ascii="宋体" w:hAnsi="宋体" w:hint="eastAsia"/>
          <w:sz w:val="22"/>
        </w:rPr>
        <w:t>．</w:t>
      </w:r>
      <w:r>
        <w:rPr>
          <w:rFonts w:ascii="宋体" w:hAnsi="宋体"/>
          <w:sz w:val="22"/>
        </w:rPr>
        <w:t>1</w:t>
      </w:r>
      <w:r>
        <w:rPr>
          <w:rFonts w:ascii="宋体" w:hAnsi="宋体" w:hint="eastAsia"/>
          <w:sz w:val="22"/>
        </w:rPr>
        <w:t>概述</w:t>
      </w:r>
    </w:p>
    <w:p w:rsidR="003717A0" w:rsidRDefault="003717A0">
      <w:pPr>
        <w:ind w:leftChars="470" w:left="1431" w:hangingChars="202" w:hanging="444"/>
        <w:rPr>
          <w:rFonts w:ascii="宋体"/>
          <w:sz w:val="22"/>
        </w:rPr>
      </w:pPr>
      <w:r>
        <w:rPr>
          <w:rFonts w:ascii="宋体" w:hAnsi="宋体"/>
          <w:sz w:val="22"/>
        </w:rPr>
        <w:t>3</w:t>
      </w:r>
      <w:r>
        <w:rPr>
          <w:rFonts w:ascii="宋体" w:hAnsi="宋体" w:hint="eastAsia"/>
          <w:sz w:val="22"/>
        </w:rPr>
        <w:t>．</w:t>
      </w:r>
      <w:r>
        <w:rPr>
          <w:rFonts w:ascii="宋体" w:hAnsi="宋体"/>
          <w:sz w:val="22"/>
        </w:rPr>
        <w:t>2</w:t>
      </w:r>
      <w:r>
        <w:rPr>
          <w:rFonts w:ascii="宋体" w:hAnsi="宋体" w:hint="eastAsia"/>
          <w:sz w:val="22"/>
        </w:rPr>
        <w:t>操作系统</w:t>
      </w:r>
    </w:p>
    <w:p w:rsidR="003717A0" w:rsidRDefault="003717A0">
      <w:pPr>
        <w:ind w:leftChars="470" w:left="1431" w:hangingChars="202" w:hanging="444"/>
        <w:rPr>
          <w:rFonts w:ascii="宋体"/>
          <w:sz w:val="22"/>
        </w:rPr>
      </w:pPr>
      <w:r>
        <w:rPr>
          <w:rFonts w:ascii="宋体" w:hAnsi="宋体"/>
          <w:sz w:val="22"/>
        </w:rPr>
        <w:t>3</w:t>
      </w:r>
      <w:r>
        <w:rPr>
          <w:rFonts w:ascii="宋体" w:hAnsi="宋体" w:hint="eastAsia"/>
          <w:sz w:val="22"/>
        </w:rPr>
        <w:t>．</w:t>
      </w:r>
      <w:r>
        <w:rPr>
          <w:rFonts w:ascii="宋体" w:hAnsi="宋体"/>
          <w:sz w:val="22"/>
        </w:rPr>
        <w:t>3</w:t>
      </w:r>
      <w:r>
        <w:rPr>
          <w:rFonts w:ascii="宋体" w:hAnsi="宋体" w:hint="eastAsia"/>
          <w:sz w:val="22"/>
        </w:rPr>
        <w:t>算法与程序设计语言</w:t>
      </w:r>
    </w:p>
    <w:p w:rsidR="003717A0" w:rsidRDefault="003717A0" w:rsidP="005E20B5">
      <w:pPr>
        <w:spacing w:beforeLines="50" w:afterLines="50"/>
        <w:ind w:left="147" w:firstLine="420"/>
        <w:rPr>
          <w:rFonts w:ascii="宋体"/>
          <w:b/>
          <w:sz w:val="22"/>
        </w:rPr>
      </w:pPr>
      <w:r>
        <w:rPr>
          <w:rFonts w:ascii="宋体" w:hAnsi="宋体" w:hint="eastAsia"/>
          <w:b/>
          <w:sz w:val="22"/>
        </w:rPr>
        <w:t>第四章</w:t>
      </w:r>
      <w:r>
        <w:rPr>
          <w:rFonts w:ascii="宋体" w:hAnsi="宋体"/>
          <w:b/>
          <w:sz w:val="22"/>
        </w:rPr>
        <w:t xml:space="preserve"> </w:t>
      </w:r>
      <w:r>
        <w:rPr>
          <w:rFonts w:ascii="宋体" w:hAnsi="宋体" w:hint="eastAsia"/>
          <w:b/>
          <w:sz w:val="22"/>
        </w:rPr>
        <w:t>计算机网络与因特网（</w:t>
      </w:r>
      <w:r>
        <w:rPr>
          <w:rFonts w:ascii="宋体" w:hAnsi="宋体"/>
          <w:b/>
          <w:sz w:val="22"/>
        </w:rPr>
        <w:t>8</w:t>
      </w:r>
      <w:r>
        <w:rPr>
          <w:rFonts w:ascii="宋体" w:hAnsi="宋体" w:hint="eastAsia"/>
          <w:b/>
          <w:sz w:val="22"/>
        </w:rPr>
        <w:t>学时）</w:t>
      </w:r>
    </w:p>
    <w:p w:rsidR="003717A0" w:rsidRDefault="003717A0">
      <w:pPr>
        <w:ind w:leftChars="470" w:left="1431" w:hangingChars="202" w:hanging="444"/>
        <w:rPr>
          <w:rFonts w:ascii="宋体"/>
          <w:sz w:val="22"/>
        </w:rPr>
      </w:pPr>
      <w:r>
        <w:rPr>
          <w:rFonts w:ascii="宋体" w:hAnsi="宋体"/>
          <w:sz w:val="22"/>
        </w:rPr>
        <w:t>4</w:t>
      </w:r>
      <w:r>
        <w:rPr>
          <w:rFonts w:ascii="宋体" w:hAnsi="宋体" w:hint="eastAsia"/>
          <w:sz w:val="22"/>
        </w:rPr>
        <w:t>．</w:t>
      </w:r>
      <w:r>
        <w:rPr>
          <w:rFonts w:ascii="宋体" w:hAnsi="宋体"/>
          <w:sz w:val="22"/>
        </w:rPr>
        <w:t>1</w:t>
      </w:r>
      <w:r>
        <w:rPr>
          <w:rFonts w:ascii="宋体" w:hAnsi="宋体" w:hint="eastAsia"/>
          <w:sz w:val="22"/>
        </w:rPr>
        <w:t>数字通信入门</w:t>
      </w:r>
      <w:r>
        <w:rPr>
          <w:rFonts w:ascii="宋体" w:hAnsi="宋体"/>
          <w:sz w:val="22"/>
        </w:rPr>
        <w:t xml:space="preserve"> </w:t>
      </w:r>
    </w:p>
    <w:p w:rsidR="003717A0" w:rsidRDefault="003717A0">
      <w:pPr>
        <w:ind w:leftChars="470" w:left="1431" w:hangingChars="202" w:hanging="444"/>
        <w:rPr>
          <w:rFonts w:ascii="宋体"/>
          <w:sz w:val="22"/>
        </w:rPr>
      </w:pPr>
      <w:r>
        <w:rPr>
          <w:rFonts w:ascii="宋体" w:hAnsi="宋体"/>
          <w:sz w:val="22"/>
        </w:rPr>
        <w:t>4</w:t>
      </w:r>
      <w:r>
        <w:rPr>
          <w:rFonts w:ascii="宋体" w:hAnsi="宋体" w:hint="eastAsia"/>
          <w:sz w:val="22"/>
        </w:rPr>
        <w:t>．</w:t>
      </w:r>
      <w:r>
        <w:rPr>
          <w:rFonts w:ascii="宋体" w:hAnsi="宋体"/>
          <w:sz w:val="22"/>
        </w:rPr>
        <w:t>2</w:t>
      </w:r>
      <w:r>
        <w:rPr>
          <w:rFonts w:ascii="宋体" w:hAnsi="宋体" w:hint="eastAsia"/>
          <w:sz w:val="22"/>
        </w:rPr>
        <w:t>计算机网络基础</w:t>
      </w:r>
    </w:p>
    <w:p w:rsidR="003717A0" w:rsidRDefault="003717A0">
      <w:pPr>
        <w:ind w:leftChars="470" w:left="1431" w:hangingChars="202" w:hanging="444"/>
        <w:rPr>
          <w:rFonts w:ascii="宋体"/>
          <w:sz w:val="22"/>
        </w:rPr>
      </w:pPr>
      <w:r>
        <w:rPr>
          <w:rFonts w:ascii="宋体" w:hAnsi="宋体"/>
          <w:sz w:val="22"/>
        </w:rPr>
        <w:lastRenderedPageBreak/>
        <w:t>4</w:t>
      </w:r>
      <w:r>
        <w:rPr>
          <w:rFonts w:ascii="宋体" w:hAnsi="宋体" w:hint="eastAsia"/>
          <w:sz w:val="22"/>
        </w:rPr>
        <w:t>．</w:t>
      </w:r>
      <w:r>
        <w:rPr>
          <w:rFonts w:ascii="宋体" w:hAnsi="宋体"/>
          <w:sz w:val="22"/>
        </w:rPr>
        <w:t>3</w:t>
      </w:r>
      <w:r>
        <w:rPr>
          <w:rFonts w:ascii="宋体" w:hAnsi="宋体" w:hint="eastAsia"/>
          <w:sz w:val="22"/>
        </w:rPr>
        <w:t>因特网的组成</w:t>
      </w:r>
    </w:p>
    <w:p w:rsidR="003717A0" w:rsidRDefault="003717A0">
      <w:pPr>
        <w:ind w:leftChars="470" w:left="1431" w:hangingChars="202" w:hanging="444"/>
        <w:rPr>
          <w:rFonts w:ascii="宋体"/>
          <w:sz w:val="22"/>
        </w:rPr>
      </w:pPr>
      <w:r>
        <w:rPr>
          <w:rFonts w:ascii="宋体" w:hAnsi="宋体"/>
          <w:sz w:val="22"/>
        </w:rPr>
        <w:t>4</w:t>
      </w:r>
      <w:r>
        <w:rPr>
          <w:rFonts w:ascii="宋体" w:hAnsi="宋体" w:hint="eastAsia"/>
          <w:sz w:val="22"/>
        </w:rPr>
        <w:t>．</w:t>
      </w:r>
      <w:r>
        <w:rPr>
          <w:rFonts w:ascii="宋体" w:hAnsi="宋体"/>
          <w:sz w:val="22"/>
        </w:rPr>
        <w:t>4</w:t>
      </w:r>
      <w:r>
        <w:rPr>
          <w:rFonts w:ascii="宋体" w:hAnsi="宋体" w:hint="eastAsia"/>
          <w:sz w:val="22"/>
        </w:rPr>
        <w:t>因特网提供的服务</w:t>
      </w:r>
    </w:p>
    <w:p w:rsidR="003717A0" w:rsidRDefault="003717A0">
      <w:pPr>
        <w:ind w:leftChars="470" w:left="1431" w:hangingChars="202" w:hanging="444"/>
        <w:rPr>
          <w:rFonts w:ascii="宋体"/>
          <w:sz w:val="22"/>
        </w:rPr>
      </w:pPr>
      <w:r>
        <w:rPr>
          <w:rFonts w:ascii="宋体" w:hAnsi="宋体"/>
          <w:sz w:val="22"/>
        </w:rPr>
        <w:t>4</w:t>
      </w:r>
      <w:r>
        <w:rPr>
          <w:rFonts w:ascii="宋体" w:hAnsi="宋体" w:hint="eastAsia"/>
          <w:sz w:val="22"/>
        </w:rPr>
        <w:t>．</w:t>
      </w:r>
      <w:r>
        <w:rPr>
          <w:rFonts w:ascii="宋体" w:hAnsi="宋体"/>
          <w:sz w:val="22"/>
        </w:rPr>
        <w:t>5</w:t>
      </w:r>
      <w:r>
        <w:rPr>
          <w:rFonts w:ascii="宋体" w:hAnsi="宋体" w:hint="eastAsia"/>
          <w:sz w:val="22"/>
        </w:rPr>
        <w:t>网络信息安全</w:t>
      </w:r>
    </w:p>
    <w:p w:rsidR="003717A0" w:rsidRDefault="003717A0" w:rsidP="005E20B5">
      <w:pPr>
        <w:spacing w:beforeLines="50" w:afterLines="50"/>
        <w:ind w:left="147" w:firstLine="420"/>
        <w:rPr>
          <w:rFonts w:ascii="宋体"/>
          <w:b/>
          <w:sz w:val="22"/>
        </w:rPr>
      </w:pPr>
      <w:r>
        <w:rPr>
          <w:rFonts w:ascii="宋体" w:hAnsi="宋体" w:hint="eastAsia"/>
          <w:b/>
          <w:sz w:val="22"/>
        </w:rPr>
        <w:t>第五章</w:t>
      </w:r>
      <w:r>
        <w:rPr>
          <w:rFonts w:ascii="宋体" w:hAnsi="宋体"/>
          <w:b/>
          <w:sz w:val="22"/>
        </w:rPr>
        <w:t xml:space="preserve"> </w:t>
      </w:r>
      <w:r>
        <w:rPr>
          <w:rFonts w:ascii="宋体" w:hAnsi="宋体" w:hint="eastAsia"/>
          <w:b/>
          <w:sz w:val="22"/>
        </w:rPr>
        <w:t>数字媒体及应用（</w:t>
      </w:r>
      <w:r>
        <w:rPr>
          <w:rFonts w:ascii="宋体" w:hAnsi="宋体"/>
          <w:b/>
          <w:sz w:val="22"/>
        </w:rPr>
        <w:t>8</w:t>
      </w:r>
      <w:r>
        <w:rPr>
          <w:rFonts w:ascii="宋体" w:hAnsi="宋体" w:hint="eastAsia"/>
          <w:b/>
          <w:sz w:val="22"/>
        </w:rPr>
        <w:t>学时）</w:t>
      </w:r>
    </w:p>
    <w:p w:rsidR="003717A0" w:rsidRDefault="003717A0">
      <w:pPr>
        <w:ind w:leftChars="470" w:left="1431" w:hangingChars="202" w:hanging="444"/>
        <w:rPr>
          <w:rFonts w:ascii="宋体"/>
          <w:sz w:val="22"/>
        </w:rPr>
      </w:pPr>
      <w:r>
        <w:rPr>
          <w:rFonts w:ascii="宋体" w:hAnsi="宋体"/>
          <w:sz w:val="22"/>
        </w:rPr>
        <w:t>5</w:t>
      </w:r>
      <w:r>
        <w:rPr>
          <w:rFonts w:ascii="宋体" w:hAnsi="宋体" w:hint="eastAsia"/>
          <w:sz w:val="22"/>
        </w:rPr>
        <w:t>．</w:t>
      </w:r>
      <w:r>
        <w:rPr>
          <w:rFonts w:ascii="宋体" w:hAnsi="宋体"/>
          <w:sz w:val="22"/>
        </w:rPr>
        <w:t>1</w:t>
      </w:r>
      <w:r>
        <w:rPr>
          <w:rFonts w:ascii="宋体" w:hAnsi="宋体" w:hint="eastAsia"/>
          <w:sz w:val="22"/>
        </w:rPr>
        <w:t>文本与文本处理</w:t>
      </w:r>
    </w:p>
    <w:p w:rsidR="003717A0" w:rsidRDefault="003717A0">
      <w:pPr>
        <w:ind w:leftChars="470" w:left="1431" w:hangingChars="202" w:hanging="444"/>
        <w:rPr>
          <w:rFonts w:ascii="宋体"/>
          <w:sz w:val="22"/>
        </w:rPr>
      </w:pPr>
      <w:r>
        <w:rPr>
          <w:rFonts w:ascii="宋体" w:hAnsi="宋体"/>
          <w:sz w:val="22"/>
        </w:rPr>
        <w:t>5</w:t>
      </w:r>
      <w:r>
        <w:rPr>
          <w:rFonts w:ascii="宋体" w:hAnsi="宋体" w:hint="eastAsia"/>
          <w:sz w:val="22"/>
        </w:rPr>
        <w:t>．</w:t>
      </w:r>
      <w:r>
        <w:rPr>
          <w:rFonts w:ascii="宋体" w:hAnsi="宋体"/>
          <w:sz w:val="22"/>
        </w:rPr>
        <w:t>2</w:t>
      </w:r>
      <w:r>
        <w:rPr>
          <w:rFonts w:ascii="宋体" w:hAnsi="宋体" w:hint="eastAsia"/>
          <w:sz w:val="22"/>
        </w:rPr>
        <w:t>图像与图形</w:t>
      </w:r>
      <w:r>
        <w:rPr>
          <w:rFonts w:ascii="宋体" w:hAnsi="宋体"/>
          <w:sz w:val="22"/>
        </w:rPr>
        <w:t xml:space="preserve"> </w:t>
      </w:r>
    </w:p>
    <w:p w:rsidR="003717A0" w:rsidRDefault="003717A0">
      <w:pPr>
        <w:ind w:leftChars="470" w:left="1431" w:hangingChars="202" w:hanging="444"/>
        <w:rPr>
          <w:rFonts w:ascii="宋体"/>
          <w:sz w:val="22"/>
        </w:rPr>
      </w:pPr>
      <w:r>
        <w:rPr>
          <w:rFonts w:ascii="宋体" w:hAnsi="宋体"/>
          <w:sz w:val="22"/>
        </w:rPr>
        <w:t>5</w:t>
      </w:r>
      <w:r>
        <w:rPr>
          <w:rFonts w:ascii="宋体" w:hAnsi="宋体" w:hint="eastAsia"/>
          <w:sz w:val="22"/>
        </w:rPr>
        <w:t>．</w:t>
      </w:r>
      <w:r>
        <w:rPr>
          <w:rFonts w:ascii="宋体" w:hAnsi="宋体"/>
          <w:sz w:val="22"/>
        </w:rPr>
        <w:t>3</w:t>
      </w:r>
      <w:r>
        <w:rPr>
          <w:rFonts w:ascii="宋体" w:hAnsi="宋体" w:hint="eastAsia"/>
          <w:sz w:val="22"/>
        </w:rPr>
        <w:t>数字声音及应用</w:t>
      </w:r>
    </w:p>
    <w:p w:rsidR="003717A0" w:rsidRDefault="003717A0">
      <w:pPr>
        <w:ind w:leftChars="470" w:left="1431" w:hangingChars="202" w:hanging="444"/>
        <w:rPr>
          <w:rFonts w:ascii="宋体"/>
          <w:sz w:val="22"/>
        </w:rPr>
      </w:pPr>
      <w:r>
        <w:rPr>
          <w:rFonts w:ascii="宋体" w:hAnsi="宋体"/>
          <w:sz w:val="22"/>
        </w:rPr>
        <w:t>5</w:t>
      </w:r>
      <w:r>
        <w:rPr>
          <w:rFonts w:ascii="宋体" w:hAnsi="宋体" w:hint="eastAsia"/>
          <w:sz w:val="22"/>
        </w:rPr>
        <w:t>．</w:t>
      </w:r>
      <w:r>
        <w:rPr>
          <w:rFonts w:ascii="宋体" w:hAnsi="宋体"/>
          <w:sz w:val="22"/>
        </w:rPr>
        <w:t>4</w:t>
      </w:r>
      <w:r>
        <w:rPr>
          <w:rFonts w:ascii="宋体" w:hAnsi="宋体" w:hint="eastAsia"/>
          <w:sz w:val="22"/>
        </w:rPr>
        <w:t>数字视频及应用</w:t>
      </w:r>
    </w:p>
    <w:p w:rsidR="003717A0" w:rsidRDefault="003717A0" w:rsidP="005E20B5">
      <w:pPr>
        <w:spacing w:beforeLines="50" w:afterLines="50"/>
        <w:ind w:left="147" w:firstLine="420"/>
        <w:rPr>
          <w:rFonts w:ascii="宋体"/>
          <w:b/>
          <w:sz w:val="22"/>
        </w:rPr>
      </w:pPr>
      <w:r>
        <w:rPr>
          <w:rFonts w:ascii="宋体" w:hAnsi="宋体" w:hint="eastAsia"/>
          <w:b/>
          <w:sz w:val="22"/>
        </w:rPr>
        <w:t>第六章</w:t>
      </w:r>
      <w:r>
        <w:rPr>
          <w:rFonts w:ascii="宋体" w:hAnsi="宋体"/>
          <w:b/>
          <w:sz w:val="22"/>
        </w:rPr>
        <w:t xml:space="preserve"> </w:t>
      </w:r>
      <w:r>
        <w:rPr>
          <w:rFonts w:ascii="宋体" w:hAnsi="宋体" w:hint="eastAsia"/>
          <w:b/>
          <w:sz w:val="22"/>
        </w:rPr>
        <w:t>信息系统与数据库（</w:t>
      </w:r>
      <w:r>
        <w:rPr>
          <w:rFonts w:ascii="宋体" w:hAnsi="宋体"/>
          <w:b/>
          <w:sz w:val="22"/>
        </w:rPr>
        <w:t>4</w:t>
      </w:r>
      <w:r>
        <w:rPr>
          <w:rFonts w:ascii="宋体" w:hAnsi="宋体" w:hint="eastAsia"/>
          <w:b/>
          <w:sz w:val="22"/>
        </w:rPr>
        <w:t>学时）</w:t>
      </w:r>
    </w:p>
    <w:p w:rsidR="003717A0" w:rsidRDefault="003717A0">
      <w:pPr>
        <w:ind w:leftChars="470" w:left="1431" w:hangingChars="202" w:hanging="444"/>
        <w:rPr>
          <w:rFonts w:ascii="宋体"/>
          <w:sz w:val="22"/>
        </w:rPr>
      </w:pPr>
      <w:r>
        <w:rPr>
          <w:rFonts w:ascii="宋体" w:hAnsi="宋体"/>
          <w:sz w:val="22"/>
        </w:rPr>
        <w:t>6</w:t>
      </w:r>
      <w:r>
        <w:rPr>
          <w:rFonts w:ascii="宋体" w:hAnsi="宋体" w:hint="eastAsia"/>
          <w:sz w:val="22"/>
        </w:rPr>
        <w:t>．</w:t>
      </w:r>
      <w:r>
        <w:rPr>
          <w:rFonts w:ascii="宋体" w:hAnsi="宋体"/>
          <w:sz w:val="22"/>
        </w:rPr>
        <w:t>1</w:t>
      </w:r>
      <w:r>
        <w:rPr>
          <w:rFonts w:ascii="宋体" w:hAnsi="宋体" w:hint="eastAsia"/>
          <w:sz w:val="22"/>
        </w:rPr>
        <w:t>计算机信息系统</w:t>
      </w:r>
    </w:p>
    <w:p w:rsidR="003717A0" w:rsidRDefault="003717A0">
      <w:pPr>
        <w:ind w:leftChars="470" w:left="1431" w:hangingChars="202" w:hanging="444"/>
        <w:rPr>
          <w:rFonts w:ascii="宋体"/>
          <w:sz w:val="22"/>
        </w:rPr>
      </w:pPr>
      <w:r>
        <w:rPr>
          <w:rFonts w:ascii="宋体" w:hAnsi="宋体"/>
          <w:sz w:val="22"/>
        </w:rPr>
        <w:t>6</w:t>
      </w:r>
      <w:r>
        <w:rPr>
          <w:rFonts w:ascii="宋体" w:hAnsi="宋体" w:hint="eastAsia"/>
          <w:sz w:val="22"/>
        </w:rPr>
        <w:t>．</w:t>
      </w:r>
      <w:r>
        <w:rPr>
          <w:rFonts w:ascii="宋体" w:hAnsi="宋体"/>
          <w:sz w:val="22"/>
        </w:rPr>
        <w:t>2</w:t>
      </w:r>
      <w:r>
        <w:rPr>
          <w:rFonts w:ascii="宋体" w:hAnsi="宋体" w:hint="eastAsia"/>
          <w:sz w:val="22"/>
        </w:rPr>
        <w:t>关系数据库简介</w:t>
      </w:r>
    </w:p>
    <w:p w:rsidR="003717A0" w:rsidRDefault="003717A0" w:rsidP="005E20B5">
      <w:pPr>
        <w:widowControl/>
        <w:adjustRightInd w:val="0"/>
        <w:spacing w:beforeLines="50" w:afterLines="50"/>
        <w:ind w:firstLineChars="288" w:firstLine="636"/>
        <w:jc w:val="left"/>
        <w:rPr>
          <w:rFonts w:ascii="宋体"/>
          <w:b/>
          <w:bCs/>
          <w:sz w:val="22"/>
        </w:rPr>
      </w:pPr>
      <w:r>
        <w:rPr>
          <w:rFonts w:ascii="宋体" w:hAnsi="宋体"/>
          <w:b/>
          <w:bCs/>
          <w:sz w:val="22"/>
        </w:rPr>
        <w:t>2)</w:t>
      </w:r>
      <w:r>
        <w:rPr>
          <w:rFonts w:ascii="宋体" w:hAnsi="宋体" w:hint="eastAsia"/>
          <w:b/>
          <w:bCs/>
          <w:sz w:val="22"/>
        </w:rPr>
        <w:t>实践教学</w:t>
      </w:r>
      <w:r>
        <w:rPr>
          <w:rFonts w:ascii="宋体" w:hAnsi="宋体"/>
          <w:b/>
          <w:bCs/>
          <w:sz w:val="22"/>
        </w:rPr>
        <w:t xml:space="preserve">  30</w:t>
      </w:r>
      <w:r>
        <w:rPr>
          <w:rFonts w:ascii="宋体" w:hAnsi="宋体" w:hint="eastAsia"/>
          <w:b/>
          <w:bCs/>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1   Windows</w:t>
      </w:r>
      <w:r>
        <w:rPr>
          <w:rFonts w:ascii="宋体" w:hAnsi="宋体" w:hint="eastAsia"/>
          <w:sz w:val="22"/>
        </w:rPr>
        <w:t>操作系统实验</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2   Word</w:t>
      </w:r>
      <w:r>
        <w:rPr>
          <w:rFonts w:ascii="宋体" w:hAnsi="宋体" w:hint="eastAsia"/>
          <w:sz w:val="22"/>
        </w:rPr>
        <w:t>的使用（</w:t>
      </w:r>
      <w:r>
        <w:rPr>
          <w:rFonts w:ascii="宋体" w:hAnsi="宋体"/>
          <w:sz w:val="22"/>
        </w:rPr>
        <w:t>1</w:t>
      </w:r>
      <w:r>
        <w:rPr>
          <w:rFonts w:ascii="宋体" w:hAnsi="宋体" w:hint="eastAsia"/>
          <w:sz w:val="22"/>
        </w:rPr>
        <w:t>）</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3   Word</w:t>
      </w:r>
      <w:r>
        <w:rPr>
          <w:rFonts w:ascii="宋体" w:hAnsi="宋体" w:hint="eastAsia"/>
          <w:sz w:val="22"/>
        </w:rPr>
        <w:t>的使用（</w:t>
      </w:r>
      <w:r>
        <w:rPr>
          <w:rFonts w:ascii="宋体" w:hAnsi="宋体"/>
          <w:sz w:val="22"/>
        </w:rPr>
        <w:t>2</w:t>
      </w:r>
      <w:r>
        <w:rPr>
          <w:rFonts w:ascii="宋体" w:hAnsi="宋体" w:hint="eastAsia"/>
          <w:sz w:val="22"/>
        </w:rPr>
        <w:t>）</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4   Excel</w:t>
      </w:r>
      <w:r>
        <w:rPr>
          <w:rFonts w:ascii="宋体" w:hAnsi="宋体" w:hint="eastAsia"/>
          <w:sz w:val="22"/>
        </w:rPr>
        <w:t>的使用</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5   PowerPoint</w:t>
      </w:r>
      <w:r>
        <w:rPr>
          <w:rFonts w:ascii="宋体" w:hAnsi="宋体" w:hint="eastAsia"/>
          <w:sz w:val="22"/>
        </w:rPr>
        <w:t>操作</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6   IE</w:t>
      </w:r>
      <w:r>
        <w:rPr>
          <w:rFonts w:ascii="宋体" w:hAnsi="宋体" w:hint="eastAsia"/>
          <w:sz w:val="22"/>
        </w:rPr>
        <w:t>浏览器与</w:t>
      </w:r>
      <w:r>
        <w:rPr>
          <w:rFonts w:ascii="宋体" w:hAnsi="宋体"/>
          <w:sz w:val="22"/>
        </w:rPr>
        <w:t xml:space="preserve">Outlook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 xml:space="preserve">7   </w:t>
      </w:r>
      <w:r>
        <w:rPr>
          <w:rFonts w:ascii="宋体" w:hAnsi="宋体" w:hint="eastAsia"/>
          <w:sz w:val="22"/>
        </w:rPr>
        <w:t>综合练习</w:t>
      </w:r>
      <w:r>
        <w:rPr>
          <w:rFonts w:ascii="宋体" w:hAnsi="宋体"/>
          <w:sz w:val="22"/>
        </w:rPr>
        <w:t>——</w:t>
      </w:r>
      <w:r>
        <w:rPr>
          <w:rFonts w:ascii="宋体" w:hAnsi="宋体" w:hint="eastAsia"/>
          <w:sz w:val="22"/>
        </w:rPr>
        <w:t>操作测试（一）</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 xml:space="preserve">8   </w:t>
      </w:r>
      <w:r>
        <w:rPr>
          <w:rFonts w:ascii="宋体" w:hAnsi="宋体" w:hint="eastAsia"/>
          <w:sz w:val="22"/>
        </w:rPr>
        <w:t>综合练习</w:t>
      </w:r>
      <w:r>
        <w:rPr>
          <w:rFonts w:ascii="宋体" w:hAnsi="宋体"/>
          <w:sz w:val="22"/>
        </w:rPr>
        <w:t>——</w:t>
      </w:r>
      <w:r>
        <w:rPr>
          <w:rFonts w:ascii="宋体" w:hAnsi="宋体" w:hint="eastAsia"/>
          <w:sz w:val="22"/>
        </w:rPr>
        <w:t>操作测试（二）</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 xml:space="preserve">9   </w:t>
      </w:r>
      <w:r>
        <w:rPr>
          <w:rFonts w:ascii="宋体" w:hAnsi="宋体" w:hint="eastAsia"/>
          <w:sz w:val="22"/>
        </w:rPr>
        <w:t>综合练习</w:t>
      </w:r>
      <w:r>
        <w:rPr>
          <w:rFonts w:ascii="宋体" w:hAnsi="宋体"/>
          <w:sz w:val="22"/>
        </w:rPr>
        <w:t>——</w:t>
      </w:r>
      <w:r>
        <w:rPr>
          <w:rFonts w:ascii="宋体" w:hAnsi="宋体" w:hint="eastAsia"/>
          <w:sz w:val="22"/>
        </w:rPr>
        <w:t>操作测试（三）</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ind w:leftChars="470" w:left="1431" w:hangingChars="202" w:hanging="444"/>
        <w:rPr>
          <w:rFonts w:ascii="宋体"/>
          <w:sz w:val="22"/>
        </w:rPr>
      </w:pPr>
      <w:r>
        <w:rPr>
          <w:rFonts w:ascii="宋体" w:hAnsi="宋体" w:hint="eastAsia"/>
          <w:sz w:val="22"/>
        </w:rPr>
        <w:t>实验</w:t>
      </w:r>
      <w:r>
        <w:rPr>
          <w:rFonts w:ascii="宋体" w:hAnsi="宋体"/>
          <w:sz w:val="22"/>
        </w:rPr>
        <w:t xml:space="preserve">10  </w:t>
      </w:r>
      <w:r>
        <w:rPr>
          <w:rFonts w:ascii="宋体" w:hAnsi="宋体" w:hint="eastAsia"/>
          <w:sz w:val="22"/>
        </w:rPr>
        <w:t>上机考试</w:t>
      </w:r>
      <w:r>
        <w:rPr>
          <w:rFonts w:ascii="宋体" w:hAnsi="宋体"/>
          <w:sz w:val="22"/>
        </w:rPr>
        <w:t xml:space="preserve">                   </w:t>
      </w:r>
      <w:r>
        <w:rPr>
          <w:rFonts w:ascii="宋体" w:hAnsi="宋体" w:hint="eastAsia"/>
          <w:sz w:val="22"/>
        </w:rPr>
        <w:t>（</w:t>
      </w:r>
      <w:r>
        <w:rPr>
          <w:rFonts w:ascii="宋体" w:hAnsi="宋体"/>
          <w:sz w:val="22"/>
        </w:rPr>
        <w:t>3</w:t>
      </w:r>
      <w:r>
        <w:rPr>
          <w:rFonts w:ascii="宋体" w:hAnsi="宋体" w:hint="eastAsia"/>
          <w:sz w:val="22"/>
        </w:rPr>
        <w:t>学时）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多媒体教室</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多媒体教学课件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机房</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本课程考试采用闭卷考核方法，时间为</w:t>
      </w:r>
      <w:r>
        <w:rPr>
          <w:rFonts w:ascii="Times New Roman" w:hAnsi="Times New Roman"/>
          <w:kern w:val="0"/>
          <w:sz w:val="22"/>
        </w:rPr>
        <w:t>90</w:t>
      </w:r>
      <w:r>
        <w:rPr>
          <w:rFonts w:ascii="Times New Roman" w:hAnsi="Times New Roman" w:hint="eastAsia"/>
          <w:kern w:val="0"/>
          <w:sz w:val="22"/>
        </w:rPr>
        <w:t>分钟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60%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w:t>
      </w:r>
      <w:r>
        <w:rPr>
          <w:rFonts w:ascii="Times New Roman" w:hAnsi="Times New Roman"/>
          <w:kern w:val="0"/>
          <w:sz w:val="22"/>
        </w:rPr>
        <w:t>+</w:t>
      </w:r>
      <w:r>
        <w:rPr>
          <w:rFonts w:ascii="Times New Roman" w:hAnsi="Times New Roman" w:hint="eastAsia"/>
          <w:kern w:val="0"/>
          <w:sz w:val="22"/>
        </w:rPr>
        <w:t>上机考核成绩占总成绩的</w:t>
      </w:r>
      <w:r>
        <w:rPr>
          <w:rFonts w:ascii="Times New Roman" w:hAnsi="Times New Roman"/>
          <w:kern w:val="0"/>
          <w:sz w:val="22"/>
        </w:rPr>
        <w:t>40%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教学参考文献目录：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、韩金仓</w:t>
      </w:r>
      <w:r>
        <w:rPr>
          <w:rFonts w:ascii="Times New Roman" w:hAnsi="Times New Roman"/>
          <w:kern w:val="0"/>
          <w:sz w:val="22"/>
        </w:rPr>
        <w:t xml:space="preserve">, </w:t>
      </w:r>
      <w:r>
        <w:rPr>
          <w:rFonts w:ascii="Times New Roman" w:hAnsi="Times New Roman" w:hint="eastAsia"/>
          <w:kern w:val="0"/>
          <w:sz w:val="22"/>
        </w:rPr>
        <w:t>侯振兴主编</w:t>
      </w:r>
      <w:r>
        <w:rPr>
          <w:rFonts w:ascii="Times New Roman" w:hAnsi="Times New Roman"/>
          <w:kern w:val="0"/>
          <w:sz w:val="22"/>
        </w:rPr>
        <w:t xml:space="preserve">. </w:t>
      </w:r>
      <w:r>
        <w:rPr>
          <w:rFonts w:ascii="Times New Roman" w:hAnsi="Times New Roman" w:hint="eastAsia"/>
          <w:kern w:val="0"/>
          <w:sz w:val="22"/>
        </w:rPr>
        <w:t>大学信息技术教程</w:t>
      </w:r>
      <w:r>
        <w:rPr>
          <w:rFonts w:ascii="Times New Roman" w:hAnsi="Times New Roman"/>
          <w:kern w:val="0"/>
          <w:sz w:val="22"/>
        </w:rPr>
        <w:t xml:space="preserve">. </w:t>
      </w:r>
      <w:r>
        <w:rPr>
          <w:rFonts w:ascii="Times New Roman" w:hAnsi="Times New Roman" w:hint="eastAsia"/>
          <w:kern w:val="0"/>
          <w:sz w:val="22"/>
        </w:rPr>
        <w:t>清华大学出版社</w:t>
      </w:r>
      <w:r>
        <w:rPr>
          <w:rFonts w:ascii="Times New Roman" w:hAnsi="Times New Roman"/>
          <w:kern w:val="0"/>
          <w:sz w:val="22"/>
        </w:rPr>
        <w:t>, 2014.</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、杨振山</w:t>
      </w:r>
      <w:r>
        <w:rPr>
          <w:rFonts w:ascii="Times New Roman" w:hAnsi="Times New Roman"/>
          <w:kern w:val="0"/>
          <w:sz w:val="22"/>
        </w:rPr>
        <w:t xml:space="preserve">, </w:t>
      </w:r>
      <w:r>
        <w:rPr>
          <w:rFonts w:ascii="Times New Roman" w:hAnsi="Times New Roman" w:hint="eastAsia"/>
          <w:kern w:val="0"/>
          <w:sz w:val="22"/>
        </w:rPr>
        <w:t>龚沛曾主编</w:t>
      </w:r>
      <w:r>
        <w:rPr>
          <w:rFonts w:ascii="Times New Roman" w:hAnsi="Times New Roman"/>
          <w:kern w:val="0"/>
          <w:sz w:val="22"/>
        </w:rPr>
        <w:t xml:space="preserve">. </w:t>
      </w:r>
      <w:r>
        <w:rPr>
          <w:rFonts w:ascii="Times New Roman" w:hAnsi="Times New Roman" w:hint="eastAsia"/>
          <w:kern w:val="0"/>
          <w:sz w:val="22"/>
        </w:rPr>
        <w:t>大学计算机基础</w:t>
      </w:r>
      <w:r>
        <w:rPr>
          <w:rFonts w:ascii="Times New Roman" w:hAnsi="Times New Roman"/>
          <w:kern w:val="0"/>
          <w:sz w:val="22"/>
        </w:rPr>
        <w:t xml:space="preserve">. </w:t>
      </w:r>
      <w:r>
        <w:rPr>
          <w:rFonts w:ascii="Times New Roman" w:hAnsi="Times New Roman" w:hint="eastAsia"/>
          <w:kern w:val="0"/>
          <w:sz w:val="22"/>
        </w:rPr>
        <w:t>高等教育出版社</w:t>
      </w:r>
      <w:r>
        <w:rPr>
          <w:rFonts w:ascii="Times New Roman" w:hAnsi="Times New Roman"/>
          <w:kern w:val="0"/>
          <w:sz w:val="22"/>
        </w:rPr>
        <w:t>, 2009.</w:t>
      </w:r>
    </w:p>
    <w:p w:rsidR="003717A0" w:rsidRDefault="003717A0">
      <w:pPr>
        <w:autoSpaceDE w:val="0"/>
        <w:autoSpaceDN w:val="0"/>
        <w:adjustRightInd w:val="0"/>
        <w:spacing w:line="360" w:lineRule="exact"/>
        <w:jc w:val="left"/>
        <w:rPr>
          <w:rFonts w:ascii="Times New Roman" w:hAnsi="Times New Roman"/>
          <w:kern w:val="0"/>
          <w:sz w:val="22"/>
        </w:rPr>
      </w:pPr>
    </w:p>
    <w:p w:rsidR="003717A0" w:rsidRDefault="003717A0">
      <w:pPr>
        <w:autoSpaceDE w:val="0"/>
        <w:autoSpaceDN w:val="0"/>
        <w:adjustRightInd w:val="0"/>
        <w:ind w:leftChars="2834" w:left="5951" w:firstLineChars="1" w:firstLine="2"/>
        <w:jc w:val="left"/>
        <w:rPr>
          <w:rFonts w:ascii="黑体" w:eastAsia="黑体" w:cs="黑体"/>
          <w:kern w:val="0"/>
          <w:szCs w:val="21"/>
        </w:rPr>
      </w:pPr>
      <w:r>
        <w:rPr>
          <w:rFonts w:ascii="黑体" w:eastAsia="黑体" w:cs="黑体" w:hint="eastAsia"/>
          <w:kern w:val="0"/>
          <w:szCs w:val="21"/>
        </w:rPr>
        <w:t>制定人：郑国平、程学云</w:t>
      </w:r>
    </w:p>
    <w:p w:rsidR="003717A0" w:rsidRDefault="003717A0">
      <w:pPr>
        <w:autoSpaceDE w:val="0"/>
        <w:autoSpaceDN w:val="0"/>
        <w:adjustRightInd w:val="0"/>
        <w:spacing w:line="360" w:lineRule="exact"/>
        <w:ind w:leftChars="2836" w:left="7609" w:hangingChars="787" w:hanging="1653"/>
        <w:jc w:val="left"/>
        <w:rPr>
          <w:rFonts w:ascii="黑体" w:eastAsia="黑体" w:cs="黑体"/>
          <w:kern w:val="0"/>
          <w:szCs w:val="21"/>
        </w:rPr>
      </w:pPr>
      <w:r>
        <w:rPr>
          <w:rFonts w:ascii="黑体" w:eastAsia="黑体" w:cs="黑体" w:hint="eastAsia"/>
          <w:kern w:val="0"/>
          <w:szCs w:val="21"/>
        </w:rPr>
        <w:t>审核人：彭志娟</w:t>
      </w:r>
    </w:p>
    <w:p w:rsidR="003717A0" w:rsidRDefault="003717A0" w:rsidP="005E20B5">
      <w:pPr>
        <w:adjustRightInd w:val="0"/>
        <w:snapToGrid w:val="0"/>
        <w:spacing w:beforeLines="50" w:afterLines="50" w:line="440" w:lineRule="exact"/>
        <w:jc w:val="center"/>
        <w:rPr>
          <w:rFonts w:ascii="Times New Roman" w:hAnsi="Times New Roman"/>
          <w:sz w:val="22"/>
        </w:rPr>
      </w:pPr>
      <w:r>
        <w:rPr>
          <w:rFonts w:ascii="黑体" w:eastAsia="黑体" w:cs="黑体"/>
          <w:kern w:val="0"/>
          <w:sz w:val="18"/>
          <w:szCs w:val="18"/>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本科层次，</w:t>
      </w:r>
      <w:r>
        <w:rPr>
          <w:rFonts w:ascii="宋体" w:hAnsi="宋体" w:hint="eastAsia"/>
          <w:sz w:val="22"/>
        </w:rPr>
        <w:t>文科、医科等所有专业</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通过考核来检查和了解学生对计算机信息处理技术的基础知识掌握情况，以及常用软件的使用能力，将来在计算机应用能力方面是否能满足工作的基本需要，适应社会发展。成绩不合格的学生需要重新学习本课程。</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第一部分计算机信息处理技术的基础知识期末闭卷考核</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第二部分常用软件的使用采用上机考核方式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60%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w:t>
      </w:r>
      <w:r>
        <w:rPr>
          <w:rFonts w:ascii="Times New Roman" w:hAnsi="Times New Roman"/>
          <w:kern w:val="0"/>
          <w:sz w:val="22"/>
        </w:rPr>
        <w:t>+</w:t>
      </w:r>
      <w:r>
        <w:rPr>
          <w:rFonts w:ascii="Times New Roman" w:hAnsi="Times New Roman" w:hint="eastAsia"/>
          <w:kern w:val="0"/>
          <w:sz w:val="22"/>
        </w:rPr>
        <w:t>上机考核成绩占总成绩的</w:t>
      </w:r>
      <w:r>
        <w:rPr>
          <w:rFonts w:ascii="Times New Roman" w:hAnsi="Times New Roman"/>
          <w:kern w:val="0"/>
          <w:sz w:val="22"/>
        </w:rPr>
        <w:t>40%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rsidP="005E20B5">
      <w:pPr>
        <w:widowControl/>
        <w:adjustRightInd w:val="0"/>
        <w:spacing w:beforeLines="50" w:afterLines="50"/>
        <w:ind w:firstLine="420"/>
        <w:jc w:val="left"/>
        <w:rPr>
          <w:rFonts w:ascii="宋体"/>
          <w:b/>
          <w:bCs/>
          <w:sz w:val="22"/>
        </w:rPr>
      </w:pPr>
      <w:r>
        <w:rPr>
          <w:rFonts w:ascii="宋体" w:hAnsi="宋体" w:hint="eastAsia"/>
          <w:b/>
          <w:bCs/>
          <w:sz w:val="22"/>
        </w:rPr>
        <w:t>第一部分计算机信息处理技术的基础知识</w:t>
      </w:r>
    </w:p>
    <w:p w:rsidR="003717A0" w:rsidRDefault="003717A0">
      <w:pPr>
        <w:ind w:left="147" w:firstLine="420"/>
        <w:rPr>
          <w:rFonts w:ascii="宋体"/>
          <w:sz w:val="22"/>
        </w:rPr>
      </w:pPr>
      <w:r>
        <w:rPr>
          <w:rFonts w:ascii="宋体" w:hAnsi="宋体"/>
          <w:sz w:val="22"/>
        </w:rPr>
        <w:t>1</w:t>
      </w:r>
      <w:r>
        <w:rPr>
          <w:rFonts w:ascii="宋体" w:hAnsi="宋体" w:hint="eastAsia"/>
          <w:sz w:val="22"/>
        </w:rPr>
        <w:t>．信息技术概述</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信息、信息技术与信息处理基本概念；信息化与信息社会的基本含义。</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数字技术基础；比特，二进制及其特点，不同进制数的表示、转换及其运算，数值信息的表示。</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微电子技术、集成电路及</w:t>
      </w:r>
      <w:r>
        <w:rPr>
          <w:rFonts w:ascii="宋体" w:hAnsi="宋体"/>
          <w:sz w:val="22"/>
        </w:rPr>
        <w:t>IC</w:t>
      </w:r>
      <w:r>
        <w:rPr>
          <w:rFonts w:ascii="宋体" w:hAnsi="宋体" w:hint="eastAsia"/>
          <w:sz w:val="22"/>
        </w:rPr>
        <w:t>的基础知识。</w:t>
      </w:r>
    </w:p>
    <w:p w:rsidR="003717A0" w:rsidRDefault="003717A0">
      <w:pPr>
        <w:ind w:left="147" w:firstLine="420"/>
        <w:rPr>
          <w:rFonts w:ascii="宋体"/>
          <w:sz w:val="22"/>
        </w:rPr>
      </w:pPr>
      <w:r>
        <w:rPr>
          <w:rFonts w:ascii="宋体" w:hAnsi="宋体"/>
          <w:sz w:val="22"/>
        </w:rPr>
        <w:t>2</w:t>
      </w:r>
      <w:r>
        <w:rPr>
          <w:rFonts w:ascii="宋体" w:hAnsi="宋体" w:hint="eastAsia"/>
          <w:sz w:val="22"/>
        </w:rPr>
        <w:t>．计算机组成原理</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计算机硬件的组成及其功能；计算机的分类。</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t>CPU</w:t>
      </w:r>
      <w:r>
        <w:rPr>
          <w:rFonts w:ascii="宋体" w:hAnsi="宋体" w:hint="eastAsia"/>
          <w:sz w:val="22"/>
        </w:rPr>
        <w:t>的结构；指令与指令系统；指令的执行过程；</w:t>
      </w:r>
      <w:r>
        <w:rPr>
          <w:rFonts w:ascii="宋体" w:hAnsi="宋体"/>
          <w:sz w:val="22"/>
        </w:rPr>
        <w:t>CPU</w:t>
      </w:r>
      <w:r>
        <w:rPr>
          <w:rFonts w:ascii="宋体" w:hAnsi="宋体" w:hint="eastAsia"/>
          <w:sz w:val="22"/>
        </w:rPr>
        <w:t>的性能指标。</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t>PC</w:t>
      </w:r>
      <w:r>
        <w:rPr>
          <w:rFonts w:ascii="宋体" w:hAnsi="宋体" w:hint="eastAsia"/>
          <w:sz w:val="22"/>
        </w:rPr>
        <w:t>主机的组成：</w:t>
      </w:r>
      <w:r>
        <w:rPr>
          <w:rFonts w:ascii="宋体" w:hAnsi="宋体"/>
          <w:sz w:val="22"/>
        </w:rPr>
        <w:t>PC</w:t>
      </w:r>
      <w:r>
        <w:rPr>
          <w:rFonts w:ascii="宋体" w:hAnsi="宋体" w:hint="eastAsia"/>
          <w:sz w:val="22"/>
        </w:rPr>
        <w:t>机的主板、芯片组与</w:t>
      </w:r>
      <w:r>
        <w:rPr>
          <w:rFonts w:ascii="宋体" w:hAnsi="宋体"/>
          <w:sz w:val="22"/>
        </w:rPr>
        <w:t>BIOS</w:t>
      </w:r>
      <w:r>
        <w:rPr>
          <w:rFonts w:ascii="宋体" w:hAnsi="宋体" w:hint="eastAsia"/>
          <w:sz w:val="22"/>
        </w:rPr>
        <w:t>；内存储器。</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t>PC</w:t>
      </w:r>
      <w:r>
        <w:rPr>
          <w:rFonts w:ascii="宋体" w:hAnsi="宋体" w:hint="eastAsia"/>
          <w:sz w:val="22"/>
        </w:rPr>
        <w:t>机</w:t>
      </w:r>
      <w:r>
        <w:rPr>
          <w:rFonts w:ascii="宋体" w:hAnsi="宋体"/>
          <w:sz w:val="22"/>
        </w:rPr>
        <w:t>I/O</w:t>
      </w:r>
      <w:r>
        <w:rPr>
          <w:rFonts w:ascii="宋体" w:hAnsi="宋体" w:hint="eastAsia"/>
          <w:sz w:val="22"/>
        </w:rPr>
        <w:t>操作的原理；</w:t>
      </w:r>
      <w:r>
        <w:rPr>
          <w:rFonts w:ascii="宋体" w:hAnsi="宋体"/>
          <w:sz w:val="22"/>
        </w:rPr>
        <w:t>I/O</w:t>
      </w:r>
      <w:r>
        <w:rPr>
          <w:rFonts w:ascii="宋体" w:hAnsi="宋体" w:hint="eastAsia"/>
          <w:sz w:val="22"/>
        </w:rPr>
        <w:t>总线与</w:t>
      </w:r>
      <w:r>
        <w:rPr>
          <w:rFonts w:ascii="宋体" w:hAnsi="宋体"/>
          <w:sz w:val="22"/>
        </w:rPr>
        <w:t>I/O</w:t>
      </w:r>
      <w:r>
        <w:rPr>
          <w:rFonts w:ascii="宋体" w:hAnsi="宋体" w:hint="eastAsia"/>
          <w:sz w:val="22"/>
        </w:rPr>
        <w:t>接口。</w:t>
      </w:r>
    </w:p>
    <w:p w:rsidR="003717A0" w:rsidRDefault="003717A0">
      <w:pPr>
        <w:ind w:leftChars="470" w:left="1431" w:hangingChars="202" w:hanging="444"/>
        <w:rPr>
          <w:rFonts w:ascii="宋体"/>
          <w:sz w:val="22"/>
        </w:rPr>
      </w:pPr>
      <w:r>
        <w:rPr>
          <w:rFonts w:ascii="宋体" w:hAnsi="宋体"/>
          <w:sz w:val="22"/>
        </w:rPr>
        <w:t>(5)</w:t>
      </w:r>
      <w:r>
        <w:rPr>
          <w:rFonts w:ascii="宋体" w:hAnsi="宋体"/>
          <w:sz w:val="22"/>
        </w:rPr>
        <w:tab/>
      </w:r>
      <w:r>
        <w:rPr>
          <w:rFonts w:ascii="宋体" w:hAnsi="宋体" w:hint="eastAsia"/>
          <w:sz w:val="22"/>
        </w:rPr>
        <w:t>常用输入设备</w:t>
      </w:r>
      <w:r>
        <w:rPr>
          <w:rFonts w:ascii="宋体" w:hAnsi="宋体"/>
          <w:sz w:val="22"/>
        </w:rPr>
        <w:t>(</w:t>
      </w:r>
      <w:r>
        <w:rPr>
          <w:rFonts w:ascii="宋体" w:hAnsi="宋体" w:hint="eastAsia"/>
          <w:sz w:val="22"/>
        </w:rPr>
        <w:t>键盘、鼠标、扫描仪、数码相机</w:t>
      </w:r>
      <w:r>
        <w:rPr>
          <w:rFonts w:ascii="宋体" w:hAnsi="宋体"/>
          <w:sz w:val="22"/>
        </w:rPr>
        <w:t>)</w:t>
      </w:r>
      <w:r>
        <w:rPr>
          <w:rFonts w:ascii="宋体" w:hAnsi="宋体" w:hint="eastAsia"/>
          <w:sz w:val="22"/>
        </w:rPr>
        <w:t>的功能、性能指标及工作原理。</w:t>
      </w:r>
    </w:p>
    <w:p w:rsidR="003717A0" w:rsidRDefault="003717A0">
      <w:pPr>
        <w:ind w:leftChars="470" w:left="1431" w:hangingChars="202" w:hanging="444"/>
        <w:rPr>
          <w:rFonts w:ascii="宋体"/>
          <w:sz w:val="22"/>
        </w:rPr>
      </w:pPr>
      <w:r>
        <w:rPr>
          <w:rFonts w:ascii="宋体" w:hAnsi="宋体"/>
          <w:sz w:val="22"/>
        </w:rPr>
        <w:t>(6)</w:t>
      </w:r>
      <w:r>
        <w:rPr>
          <w:rFonts w:ascii="宋体" w:hAnsi="宋体"/>
          <w:sz w:val="22"/>
        </w:rPr>
        <w:tab/>
      </w:r>
      <w:r>
        <w:rPr>
          <w:rFonts w:ascii="宋体" w:hAnsi="宋体" w:hint="eastAsia"/>
          <w:sz w:val="22"/>
        </w:rPr>
        <w:t>常用输出设备</w:t>
      </w:r>
      <w:r>
        <w:rPr>
          <w:rFonts w:ascii="宋体" w:hAnsi="宋体"/>
          <w:sz w:val="22"/>
        </w:rPr>
        <w:t>(</w:t>
      </w:r>
      <w:r>
        <w:rPr>
          <w:rFonts w:ascii="宋体" w:hAnsi="宋体" w:hint="eastAsia"/>
          <w:sz w:val="22"/>
        </w:rPr>
        <w:t>显示器、打印机</w:t>
      </w:r>
      <w:r>
        <w:rPr>
          <w:rFonts w:ascii="宋体" w:hAnsi="宋体"/>
          <w:sz w:val="22"/>
        </w:rPr>
        <w:t>)</w:t>
      </w:r>
      <w:r>
        <w:rPr>
          <w:rFonts w:ascii="宋体" w:hAnsi="宋体" w:hint="eastAsia"/>
          <w:sz w:val="22"/>
        </w:rPr>
        <w:t>的功能、分类、性能指标及基本工作原理。</w:t>
      </w:r>
    </w:p>
    <w:p w:rsidR="003717A0" w:rsidRDefault="003717A0">
      <w:pPr>
        <w:ind w:leftChars="470" w:left="1431" w:hangingChars="202" w:hanging="444"/>
        <w:rPr>
          <w:rFonts w:ascii="宋体"/>
          <w:sz w:val="22"/>
        </w:rPr>
      </w:pPr>
      <w:r>
        <w:rPr>
          <w:rFonts w:ascii="宋体" w:hAnsi="宋体"/>
          <w:sz w:val="22"/>
        </w:rPr>
        <w:t>(7)</w:t>
      </w:r>
      <w:r>
        <w:rPr>
          <w:rFonts w:ascii="宋体" w:hAnsi="宋体"/>
          <w:sz w:val="22"/>
        </w:rPr>
        <w:tab/>
      </w:r>
      <w:r>
        <w:rPr>
          <w:rFonts w:ascii="宋体" w:hAnsi="宋体" w:hint="eastAsia"/>
          <w:sz w:val="22"/>
        </w:rPr>
        <w:t>常用外存储器</w:t>
      </w:r>
      <w:r>
        <w:rPr>
          <w:rFonts w:ascii="宋体" w:hAnsi="宋体"/>
          <w:sz w:val="22"/>
        </w:rPr>
        <w:t>(</w:t>
      </w:r>
      <w:r>
        <w:rPr>
          <w:rFonts w:ascii="宋体" w:hAnsi="宋体" w:hint="eastAsia"/>
          <w:sz w:val="22"/>
        </w:rPr>
        <w:t>硬盘、光盘、</w:t>
      </w:r>
      <w:r>
        <w:rPr>
          <w:rFonts w:ascii="宋体" w:hAnsi="宋体"/>
          <w:sz w:val="22"/>
        </w:rPr>
        <w:t>U</w:t>
      </w:r>
      <w:r>
        <w:rPr>
          <w:rFonts w:ascii="宋体" w:hAnsi="宋体" w:hint="eastAsia"/>
          <w:sz w:val="22"/>
        </w:rPr>
        <w:t>盘</w:t>
      </w:r>
      <w:r>
        <w:rPr>
          <w:rFonts w:ascii="宋体" w:hAnsi="宋体"/>
          <w:sz w:val="22"/>
        </w:rPr>
        <w:t>)</w:t>
      </w:r>
      <w:r>
        <w:rPr>
          <w:rFonts w:ascii="宋体" w:hAnsi="宋体" w:hint="eastAsia"/>
          <w:sz w:val="22"/>
        </w:rPr>
        <w:t>的功能、分类、性能指标及基本工作原理。</w:t>
      </w:r>
    </w:p>
    <w:p w:rsidR="003717A0" w:rsidRDefault="003717A0">
      <w:pPr>
        <w:ind w:left="147" w:firstLine="420"/>
        <w:rPr>
          <w:rFonts w:ascii="宋体"/>
          <w:sz w:val="22"/>
        </w:rPr>
      </w:pPr>
      <w:r>
        <w:rPr>
          <w:rFonts w:ascii="宋体" w:hAnsi="宋体"/>
          <w:sz w:val="22"/>
        </w:rPr>
        <w:t>3</w:t>
      </w:r>
      <w:r>
        <w:rPr>
          <w:rFonts w:ascii="宋体" w:hAnsi="宋体" w:hint="eastAsia"/>
          <w:sz w:val="22"/>
        </w:rPr>
        <w:t>．计算机软件</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计算机软件的概念、分类及特点。</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操作系统的功能、分类和基本工作原理。</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常用操作系统及其特点。</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算法与数据结构的基本概念。</w:t>
      </w:r>
    </w:p>
    <w:p w:rsidR="003717A0" w:rsidRDefault="003717A0">
      <w:pPr>
        <w:ind w:leftChars="470" w:left="1431" w:hangingChars="202" w:hanging="444"/>
        <w:rPr>
          <w:rFonts w:ascii="宋体"/>
          <w:sz w:val="22"/>
        </w:rPr>
      </w:pPr>
      <w:r>
        <w:rPr>
          <w:rFonts w:ascii="宋体" w:hAnsi="宋体"/>
          <w:sz w:val="22"/>
        </w:rPr>
        <w:t>(5)</w:t>
      </w:r>
      <w:r>
        <w:rPr>
          <w:rFonts w:ascii="宋体" w:hAnsi="宋体"/>
          <w:sz w:val="22"/>
        </w:rPr>
        <w:tab/>
      </w:r>
      <w:r>
        <w:rPr>
          <w:rFonts w:ascii="宋体" w:hAnsi="宋体" w:hint="eastAsia"/>
          <w:sz w:val="22"/>
        </w:rPr>
        <w:t>程序设计语言的分类和常用程序设计语言；语言处理系统及其工作过程。</w:t>
      </w:r>
    </w:p>
    <w:p w:rsidR="003717A0" w:rsidRDefault="003717A0">
      <w:pPr>
        <w:ind w:left="147" w:firstLine="420"/>
        <w:rPr>
          <w:rFonts w:ascii="宋体"/>
          <w:sz w:val="22"/>
        </w:rPr>
      </w:pPr>
      <w:r>
        <w:rPr>
          <w:rFonts w:ascii="宋体" w:hAnsi="宋体"/>
          <w:sz w:val="22"/>
        </w:rPr>
        <w:t>4</w:t>
      </w:r>
      <w:r>
        <w:rPr>
          <w:rFonts w:ascii="宋体" w:hAnsi="宋体" w:hint="eastAsia"/>
          <w:sz w:val="22"/>
        </w:rPr>
        <w:t>．计算机网络</w:t>
      </w:r>
    </w:p>
    <w:p w:rsidR="003717A0" w:rsidRDefault="003717A0">
      <w:pPr>
        <w:ind w:leftChars="470" w:left="1431" w:hangingChars="202" w:hanging="444"/>
        <w:rPr>
          <w:rFonts w:ascii="宋体"/>
          <w:sz w:val="22"/>
        </w:rPr>
      </w:pPr>
      <w:r>
        <w:rPr>
          <w:rFonts w:ascii="宋体" w:hAnsi="宋体"/>
          <w:sz w:val="22"/>
        </w:rPr>
        <w:t xml:space="preserve">(1) </w:t>
      </w:r>
      <w:r>
        <w:rPr>
          <w:rFonts w:ascii="宋体" w:hAnsi="宋体" w:hint="eastAsia"/>
          <w:sz w:val="22"/>
        </w:rPr>
        <w:t>计算机网络的组成与分类；数字通信的基本原理；多路复用技术与交换技术；常用传输介质。</w:t>
      </w:r>
    </w:p>
    <w:p w:rsidR="003717A0" w:rsidRDefault="003717A0">
      <w:pPr>
        <w:ind w:leftChars="470" w:left="1431" w:hangingChars="202" w:hanging="444"/>
        <w:rPr>
          <w:rFonts w:ascii="宋体"/>
          <w:sz w:val="22"/>
        </w:rPr>
      </w:pPr>
      <w:r>
        <w:rPr>
          <w:rFonts w:ascii="宋体" w:hAnsi="宋体"/>
          <w:sz w:val="22"/>
        </w:rPr>
        <w:t>(2)</w:t>
      </w:r>
      <w:r>
        <w:rPr>
          <w:rFonts w:ascii="宋体" w:hAnsi="宋体" w:hint="eastAsia"/>
          <w:sz w:val="22"/>
        </w:rPr>
        <w:t>局域网的组成、特点和分类；局域网的基本原理；常用局域网。</w:t>
      </w:r>
    </w:p>
    <w:p w:rsidR="003717A0" w:rsidRDefault="003717A0">
      <w:pPr>
        <w:ind w:leftChars="470" w:left="1431" w:hangingChars="202" w:hanging="444"/>
        <w:rPr>
          <w:rFonts w:ascii="宋体"/>
          <w:sz w:val="22"/>
        </w:rPr>
      </w:pPr>
      <w:r>
        <w:rPr>
          <w:rFonts w:ascii="宋体" w:hAnsi="宋体"/>
          <w:sz w:val="22"/>
        </w:rPr>
        <w:t xml:space="preserve">(3) </w:t>
      </w:r>
      <w:r>
        <w:rPr>
          <w:rFonts w:ascii="宋体" w:hAnsi="宋体" w:hint="eastAsia"/>
          <w:sz w:val="22"/>
        </w:rPr>
        <w:t>因特网的组成与接入技术；网络互连协议</w:t>
      </w:r>
      <w:r>
        <w:rPr>
          <w:rFonts w:ascii="宋体" w:hAnsi="宋体"/>
          <w:sz w:val="22"/>
        </w:rPr>
        <w:t>TCP</w:t>
      </w:r>
      <w:r>
        <w:rPr>
          <w:rFonts w:ascii="宋体" w:hAnsi="宋体" w:hint="eastAsia"/>
          <w:sz w:val="22"/>
        </w:rPr>
        <w:t>／</w:t>
      </w:r>
      <w:r>
        <w:rPr>
          <w:rFonts w:ascii="宋体" w:hAnsi="宋体"/>
          <w:sz w:val="22"/>
        </w:rPr>
        <w:t>IP</w:t>
      </w:r>
      <w:r>
        <w:rPr>
          <w:rFonts w:ascii="宋体" w:hAnsi="宋体" w:hint="eastAsia"/>
          <w:sz w:val="22"/>
        </w:rPr>
        <w:t>的分层结构、</w:t>
      </w:r>
      <w:r>
        <w:rPr>
          <w:rFonts w:ascii="宋体" w:hAnsi="宋体"/>
          <w:sz w:val="22"/>
        </w:rPr>
        <w:t>IP</w:t>
      </w:r>
      <w:r>
        <w:rPr>
          <w:rFonts w:ascii="宋体" w:hAnsi="宋体" w:hint="eastAsia"/>
          <w:sz w:val="22"/>
        </w:rPr>
        <w:t>地址与域名</w:t>
      </w:r>
      <w:r>
        <w:rPr>
          <w:rFonts w:ascii="宋体" w:hAnsi="宋体" w:hint="eastAsia"/>
          <w:sz w:val="22"/>
        </w:rPr>
        <w:lastRenderedPageBreak/>
        <w:t>系统、ＩＰ数据报与路由器原理。</w:t>
      </w:r>
    </w:p>
    <w:p w:rsidR="003717A0" w:rsidRDefault="003717A0">
      <w:pPr>
        <w:ind w:leftChars="470" w:left="1431" w:hangingChars="202" w:hanging="444"/>
        <w:rPr>
          <w:rFonts w:ascii="宋体"/>
          <w:sz w:val="22"/>
        </w:rPr>
      </w:pPr>
      <w:r>
        <w:rPr>
          <w:rFonts w:ascii="宋体" w:hAnsi="宋体"/>
          <w:sz w:val="22"/>
        </w:rPr>
        <w:t>(4)</w:t>
      </w:r>
      <w:r>
        <w:rPr>
          <w:rFonts w:ascii="宋体" w:hAnsi="宋体" w:hint="eastAsia"/>
          <w:sz w:val="22"/>
        </w:rPr>
        <w:t>因特网提供的服务；电子邮件、即时通讯、文件传输与</w:t>
      </w:r>
      <w:r>
        <w:rPr>
          <w:rFonts w:ascii="宋体" w:hAnsi="宋体"/>
          <w:sz w:val="22"/>
        </w:rPr>
        <w:t>WWW</w:t>
      </w:r>
      <w:r>
        <w:rPr>
          <w:rFonts w:ascii="宋体" w:hAnsi="宋体" w:hint="eastAsia"/>
          <w:sz w:val="22"/>
        </w:rPr>
        <w:t>服务的基本原理。</w:t>
      </w:r>
    </w:p>
    <w:p w:rsidR="003717A0" w:rsidRDefault="003717A0">
      <w:pPr>
        <w:ind w:leftChars="470" w:left="1431" w:hangingChars="202" w:hanging="444"/>
        <w:rPr>
          <w:rFonts w:ascii="宋体"/>
          <w:sz w:val="22"/>
        </w:rPr>
      </w:pPr>
      <w:r>
        <w:rPr>
          <w:rFonts w:ascii="宋体" w:hAnsi="宋体"/>
          <w:sz w:val="22"/>
        </w:rPr>
        <w:t>(5)</w:t>
      </w:r>
      <w:r>
        <w:rPr>
          <w:rFonts w:ascii="宋体" w:hAnsi="宋体" w:hint="eastAsia"/>
          <w:sz w:val="22"/>
        </w:rPr>
        <w:t>网络信息安全的常用技术；计算机病毒防范。</w:t>
      </w:r>
    </w:p>
    <w:p w:rsidR="003717A0" w:rsidRDefault="003717A0">
      <w:pPr>
        <w:ind w:left="147" w:firstLine="420"/>
        <w:rPr>
          <w:rFonts w:ascii="宋体"/>
          <w:sz w:val="22"/>
        </w:rPr>
      </w:pPr>
      <w:r>
        <w:rPr>
          <w:rFonts w:ascii="宋体" w:hAnsi="宋体"/>
          <w:sz w:val="22"/>
        </w:rPr>
        <w:t>5</w:t>
      </w:r>
      <w:r>
        <w:rPr>
          <w:rFonts w:ascii="宋体" w:hAnsi="宋体" w:hint="eastAsia"/>
          <w:sz w:val="22"/>
        </w:rPr>
        <w:t>．数字媒体及应用</w:t>
      </w:r>
    </w:p>
    <w:p w:rsidR="003717A0" w:rsidRDefault="003717A0">
      <w:pPr>
        <w:ind w:leftChars="470" w:left="1431" w:hangingChars="202" w:hanging="444"/>
        <w:rPr>
          <w:rFonts w:ascii="宋体"/>
          <w:sz w:val="22"/>
        </w:rPr>
      </w:pPr>
      <w:r>
        <w:rPr>
          <w:rFonts w:ascii="宋体" w:hAnsi="宋体"/>
          <w:sz w:val="22"/>
        </w:rPr>
        <w:t>(1)</w:t>
      </w:r>
      <w:r>
        <w:rPr>
          <w:rFonts w:ascii="宋体" w:hAnsi="宋体" w:hint="eastAsia"/>
          <w:sz w:val="22"/>
        </w:rPr>
        <w:t>西文与汉字的编码；数字文本的制作与编辑；常用文本处理软件。</w:t>
      </w:r>
    </w:p>
    <w:p w:rsidR="003717A0" w:rsidRDefault="003717A0">
      <w:pPr>
        <w:ind w:leftChars="470" w:left="1431" w:hangingChars="202" w:hanging="444"/>
        <w:rPr>
          <w:rFonts w:ascii="宋体"/>
          <w:sz w:val="22"/>
        </w:rPr>
      </w:pPr>
      <w:r>
        <w:rPr>
          <w:rFonts w:ascii="宋体" w:hAnsi="宋体"/>
          <w:sz w:val="22"/>
        </w:rPr>
        <w:t xml:space="preserve">(2) </w:t>
      </w:r>
      <w:r>
        <w:rPr>
          <w:rFonts w:ascii="宋体" w:hAnsi="宋体" w:hint="eastAsia"/>
          <w:sz w:val="22"/>
        </w:rPr>
        <w:t>数字图像的获取、表示及常用图像文件格式；数字图像的编辑、处理与应用。计算机图形的概念及其应用。</w:t>
      </w:r>
    </w:p>
    <w:p w:rsidR="003717A0" w:rsidRDefault="003717A0">
      <w:pPr>
        <w:ind w:leftChars="470" w:left="1431" w:hangingChars="202" w:hanging="444"/>
        <w:rPr>
          <w:rFonts w:ascii="宋体"/>
          <w:sz w:val="22"/>
        </w:rPr>
      </w:pPr>
      <w:r>
        <w:rPr>
          <w:rFonts w:ascii="宋体" w:hAnsi="宋体"/>
          <w:sz w:val="22"/>
        </w:rPr>
        <w:t xml:space="preserve">(3) </w:t>
      </w:r>
      <w:r>
        <w:rPr>
          <w:rFonts w:ascii="宋体" w:hAnsi="宋体" w:hint="eastAsia"/>
          <w:sz w:val="22"/>
        </w:rPr>
        <w:t>数字声音获取的方法与设备；数字声音的压缩编码；语音合成与音乐合成的原理与应用。</w:t>
      </w:r>
    </w:p>
    <w:p w:rsidR="003717A0" w:rsidRDefault="003717A0">
      <w:pPr>
        <w:ind w:leftChars="470" w:left="1431" w:hangingChars="202" w:hanging="444"/>
        <w:rPr>
          <w:rFonts w:ascii="宋体"/>
          <w:sz w:val="22"/>
        </w:rPr>
      </w:pPr>
      <w:r>
        <w:rPr>
          <w:rFonts w:ascii="宋体" w:hAnsi="宋体"/>
          <w:sz w:val="22"/>
        </w:rPr>
        <w:t xml:space="preserve">(4) </w:t>
      </w:r>
      <w:r>
        <w:rPr>
          <w:rFonts w:ascii="宋体" w:hAnsi="宋体" w:hint="eastAsia"/>
          <w:sz w:val="22"/>
        </w:rPr>
        <w:t>数字视频获取的方法与设备；数字视频的压缩编码；数字视频的应用。</w:t>
      </w:r>
    </w:p>
    <w:p w:rsidR="003717A0" w:rsidRDefault="003717A0">
      <w:pPr>
        <w:ind w:left="147" w:firstLine="420"/>
        <w:rPr>
          <w:rFonts w:ascii="宋体"/>
          <w:sz w:val="22"/>
        </w:rPr>
      </w:pPr>
      <w:r>
        <w:rPr>
          <w:rFonts w:ascii="宋体" w:hAnsi="宋体"/>
          <w:sz w:val="22"/>
        </w:rPr>
        <w:t>6</w:t>
      </w:r>
      <w:r>
        <w:rPr>
          <w:rFonts w:ascii="宋体" w:hAnsi="宋体" w:hint="eastAsia"/>
          <w:sz w:val="22"/>
        </w:rPr>
        <w:t>．计算机信息系统与数据库</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计算机信息系统的特点、结构；主要类型和发展趋势。</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数据库系统的特点与组成。</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关系数据库的基本原理及常用关系型数据库。</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信息系统的开发与管理的基本概念，典型信息系统。</w:t>
      </w:r>
    </w:p>
    <w:p w:rsidR="003717A0" w:rsidRDefault="003717A0" w:rsidP="005E20B5">
      <w:pPr>
        <w:widowControl/>
        <w:adjustRightInd w:val="0"/>
        <w:spacing w:beforeLines="50" w:afterLines="50"/>
        <w:ind w:firstLine="420"/>
        <w:jc w:val="left"/>
        <w:rPr>
          <w:rFonts w:ascii="宋体"/>
          <w:b/>
          <w:bCs/>
          <w:sz w:val="22"/>
        </w:rPr>
      </w:pPr>
      <w:r>
        <w:rPr>
          <w:rFonts w:ascii="宋体" w:hAnsi="宋体" w:hint="eastAsia"/>
          <w:b/>
          <w:bCs/>
          <w:sz w:val="22"/>
        </w:rPr>
        <w:t>第二部分常用软件的使用</w:t>
      </w:r>
    </w:p>
    <w:p w:rsidR="003717A0" w:rsidRDefault="003717A0">
      <w:pPr>
        <w:ind w:left="147" w:firstLine="420"/>
        <w:rPr>
          <w:rFonts w:ascii="宋体"/>
          <w:sz w:val="22"/>
        </w:rPr>
      </w:pPr>
      <w:r>
        <w:rPr>
          <w:rFonts w:ascii="宋体" w:hAnsi="宋体"/>
          <w:sz w:val="22"/>
        </w:rPr>
        <w:t>1.</w:t>
      </w:r>
      <w:r>
        <w:rPr>
          <w:rFonts w:ascii="宋体" w:hAnsi="宋体" w:hint="eastAsia"/>
          <w:sz w:val="22"/>
        </w:rPr>
        <w:t>操作系统的使用</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t>Windows</w:t>
      </w:r>
      <w:r>
        <w:rPr>
          <w:rFonts w:ascii="宋体" w:hAnsi="宋体" w:hint="eastAsia"/>
          <w:sz w:val="22"/>
        </w:rPr>
        <w:t>操作系统的安装与维护</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t>PC</w:t>
      </w:r>
      <w:r>
        <w:rPr>
          <w:rFonts w:ascii="宋体" w:hAnsi="宋体" w:hint="eastAsia"/>
          <w:sz w:val="22"/>
        </w:rPr>
        <w:t>硬件和常用软件的安装与调试</w:t>
      </w:r>
      <w:r>
        <w:rPr>
          <w:rFonts w:ascii="宋体"/>
          <w:sz w:val="22"/>
        </w:rPr>
        <w:t>,</w:t>
      </w:r>
      <w:r>
        <w:rPr>
          <w:rFonts w:ascii="宋体" w:hAnsi="宋体" w:hint="eastAsia"/>
          <w:sz w:val="22"/>
        </w:rPr>
        <w:t>网络</w:t>
      </w:r>
      <w:r>
        <w:rPr>
          <w:rFonts w:ascii="宋体" w:eastAsia="MS Minchofalt" w:hAnsi="MS Minchofalt" w:cs="MS Minchofalt" w:hint="eastAsia"/>
          <w:sz w:val="22"/>
        </w:rPr>
        <w:t>､</w:t>
      </w:r>
      <w:r>
        <w:rPr>
          <w:rFonts w:ascii="宋体" w:hAnsi="宋体" w:cs="宋体" w:hint="eastAsia"/>
          <w:sz w:val="22"/>
        </w:rPr>
        <w:t>辅助存储器</w:t>
      </w:r>
      <w:r>
        <w:rPr>
          <w:rFonts w:ascii="宋体" w:eastAsia="MS Minchofalt" w:hAnsi="MS Minchofalt" w:cs="MS Minchofalt" w:hint="eastAsia"/>
          <w:sz w:val="22"/>
        </w:rPr>
        <w:t>､</w:t>
      </w:r>
      <w:r>
        <w:rPr>
          <w:rFonts w:ascii="宋体" w:hAnsi="宋体" w:cs="宋体" w:hint="eastAsia"/>
          <w:sz w:val="22"/>
        </w:rPr>
        <w:t>显示器</w:t>
      </w:r>
      <w:r>
        <w:rPr>
          <w:rFonts w:ascii="宋体" w:eastAsia="MS Minchofalt" w:hAnsi="MS Minchofalt" w:cs="MS Minchofalt" w:hint="eastAsia"/>
          <w:sz w:val="22"/>
        </w:rPr>
        <w:t>､</w:t>
      </w:r>
      <w:r>
        <w:rPr>
          <w:rFonts w:ascii="宋体" w:hAnsi="宋体" w:cs="宋体" w:hint="eastAsia"/>
          <w:sz w:val="22"/>
        </w:rPr>
        <w:t>键盘</w:t>
      </w:r>
      <w:r>
        <w:rPr>
          <w:rFonts w:ascii="宋体" w:eastAsia="MS Minchofalt" w:hAnsi="MS Minchofalt" w:cs="MS Minchofalt" w:hint="eastAsia"/>
          <w:sz w:val="22"/>
        </w:rPr>
        <w:t>､</w:t>
      </w:r>
      <w:r>
        <w:rPr>
          <w:rFonts w:ascii="宋体" w:hAnsi="宋体" w:cs="宋体" w:hint="eastAsia"/>
          <w:sz w:val="22"/>
        </w:rPr>
        <w:t>打印机等常用外部设备的使用与维护</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文件管理及操作</w:t>
      </w:r>
      <w:r>
        <w:rPr>
          <w:rFonts w:ascii="宋体" w:eastAsia="MS Minchofalt" w:hAnsi="MS Minchofalt" w:cs="MS Minchofalt" w:hint="eastAsia"/>
          <w:sz w:val="22"/>
        </w:rPr>
        <w:t>｡</w:t>
      </w:r>
    </w:p>
    <w:p w:rsidR="003717A0" w:rsidRDefault="003717A0">
      <w:pPr>
        <w:ind w:left="147" w:firstLine="420"/>
        <w:rPr>
          <w:rFonts w:ascii="宋体"/>
          <w:sz w:val="22"/>
        </w:rPr>
      </w:pPr>
      <w:r>
        <w:rPr>
          <w:rFonts w:ascii="宋体" w:hAnsi="宋体"/>
          <w:sz w:val="22"/>
        </w:rPr>
        <w:t>2.</w:t>
      </w:r>
      <w:r>
        <w:rPr>
          <w:rFonts w:ascii="宋体" w:hAnsi="宋体" w:hint="eastAsia"/>
          <w:sz w:val="22"/>
        </w:rPr>
        <w:t>因特网应用</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t>IE</w:t>
      </w:r>
      <w:r>
        <w:rPr>
          <w:rFonts w:ascii="宋体" w:hAnsi="宋体" w:hint="eastAsia"/>
          <w:sz w:val="22"/>
        </w:rPr>
        <w:t>浏览器</w:t>
      </w:r>
      <w:r>
        <w:rPr>
          <w:rFonts w:ascii="宋体" w:hAnsi="宋体"/>
          <w:sz w:val="22"/>
        </w:rPr>
        <w:t>:IE</w:t>
      </w:r>
      <w:r>
        <w:rPr>
          <w:rFonts w:ascii="宋体" w:hAnsi="宋体" w:hint="eastAsia"/>
          <w:sz w:val="22"/>
        </w:rPr>
        <w:t>浏览器设置</w:t>
      </w:r>
      <w:r>
        <w:rPr>
          <w:rFonts w:ascii="宋体"/>
          <w:sz w:val="22"/>
        </w:rPr>
        <w:t>,</w:t>
      </w:r>
      <w:r>
        <w:rPr>
          <w:rFonts w:ascii="宋体" w:hAnsi="宋体" w:hint="eastAsia"/>
          <w:sz w:val="22"/>
        </w:rPr>
        <w:t>网页浏览</w:t>
      </w:r>
      <w:r>
        <w:rPr>
          <w:rFonts w:ascii="宋体"/>
          <w:sz w:val="22"/>
        </w:rPr>
        <w:t>,</w:t>
      </w:r>
      <w:r>
        <w:rPr>
          <w:rFonts w:ascii="宋体" w:hAnsi="宋体" w:hint="eastAsia"/>
          <w:sz w:val="22"/>
        </w:rPr>
        <w:t>信息检索</w:t>
      </w:r>
      <w:r>
        <w:rPr>
          <w:rFonts w:ascii="宋体"/>
          <w:sz w:val="22"/>
        </w:rPr>
        <w:t>,</w:t>
      </w:r>
      <w:r>
        <w:rPr>
          <w:rFonts w:ascii="宋体" w:hAnsi="宋体" w:hint="eastAsia"/>
          <w:sz w:val="22"/>
        </w:rPr>
        <w:t>页面下载</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文件上传</w:t>
      </w:r>
      <w:r>
        <w:rPr>
          <w:rFonts w:ascii="宋体" w:eastAsia="MS Minchofalt" w:hAnsi="MS Minchofalt" w:cs="MS Minchofalt" w:hint="eastAsia"/>
          <w:sz w:val="22"/>
        </w:rPr>
        <w:t>､</w:t>
      </w:r>
      <w:r>
        <w:rPr>
          <w:rFonts w:ascii="宋体" w:hAnsi="宋体" w:cs="宋体" w:hint="eastAsia"/>
          <w:sz w:val="22"/>
        </w:rPr>
        <w:t>下载及相关工具软件的使用</w:t>
      </w:r>
      <w:r>
        <w:rPr>
          <w:rFonts w:ascii="宋体" w:hAnsi="宋体"/>
          <w:sz w:val="22"/>
        </w:rPr>
        <w:t>(WinRAR</w:t>
      </w:r>
      <w:r>
        <w:rPr>
          <w:rFonts w:ascii="宋体" w:eastAsia="MS Minchofalt" w:hAnsi="MS Minchofalt" w:cs="MS Minchofalt" w:hint="eastAsia"/>
          <w:sz w:val="22"/>
        </w:rPr>
        <w:t>､</w:t>
      </w:r>
      <w:r>
        <w:rPr>
          <w:rFonts w:ascii="宋体" w:hAnsi="宋体" w:cs="宋体" w:hint="eastAsia"/>
          <w:sz w:val="22"/>
        </w:rPr>
        <w:t>讯雷下载</w:t>
      </w:r>
      <w:r>
        <w:rPr>
          <w:rFonts w:ascii="宋体" w:eastAsia="MS Minchofalt" w:hAnsi="MS Minchofalt" w:cs="MS Minchofalt" w:hint="eastAsia"/>
          <w:sz w:val="22"/>
        </w:rPr>
        <w:t>､</w:t>
      </w:r>
      <w:r>
        <w:rPr>
          <w:rFonts w:ascii="宋体" w:hAnsi="宋体" w:cs="宋体" w:hint="eastAsia"/>
          <w:sz w:val="22"/>
        </w:rPr>
        <w:t>网际快车等</w:t>
      </w:r>
      <w:r>
        <w:rPr>
          <w:rFonts w:ascii="宋体" w:hAnsi="宋体"/>
          <w:sz w:val="22"/>
        </w:rPr>
        <w:t>)</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电子邮件</w:t>
      </w:r>
      <w:r>
        <w:rPr>
          <w:rFonts w:ascii="宋体" w:hAnsi="宋体"/>
          <w:sz w:val="22"/>
        </w:rPr>
        <w:t>:</w:t>
      </w:r>
      <w:r>
        <w:rPr>
          <w:rFonts w:ascii="宋体" w:hAnsi="宋体" w:hint="eastAsia"/>
          <w:sz w:val="22"/>
        </w:rPr>
        <w:t>创建账户和管理账户</w:t>
      </w:r>
      <w:r>
        <w:rPr>
          <w:rFonts w:ascii="宋体"/>
          <w:sz w:val="22"/>
        </w:rPr>
        <w:t>,</w:t>
      </w:r>
      <w:r>
        <w:rPr>
          <w:rFonts w:ascii="宋体" w:hAnsi="宋体" w:hint="eastAsia"/>
          <w:sz w:val="22"/>
        </w:rPr>
        <w:t>书写</w:t>
      </w:r>
      <w:r>
        <w:rPr>
          <w:rFonts w:ascii="宋体" w:eastAsia="MS Minchofalt" w:hAnsi="MS Minchofalt" w:cs="MS Minchofalt" w:hint="eastAsia"/>
          <w:sz w:val="22"/>
        </w:rPr>
        <w:t>､</w:t>
      </w:r>
      <w:r>
        <w:rPr>
          <w:rFonts w:ascii="宋体" w:hAnsi="宋体" w:cs="宋体" w:hint="eastAsia"/>
          <w:sz w:val="22"/>
        </w:rPr>
        <w:t>收发邮件</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常用搜索引擎的使用</w:t>
      </w:r>
      <w:r>
        <w:rPr>
          <w:rFonts w:ascii="宋体" w:eastAsia="MS Minchofalt" w:hAnsi="MS Minchofalt" w:cs="MS Minchofalt" w:hint="eastAsia"/>
          <w:sz w:val="22"/>
        </w:rPr>
        <w:t>｡</w:t>
      </w:r>
    </w:p>
    <w:p w:rsidR="003717A0" w:rsidRDefault="003717A0">
      <w:pPr>
        <w:ind w:left="147" w:firstLine="420"/>
        <w:rPr>
          <w:rFonts w:ascii="宋体"/>
          <w:sz w:val="22"/>
        </w:rPr>
      </w:pPr>
      <w:r>
        <w:rPr>
          <w:rFonts w:ascii="宋体" w:hAnsi="宋体"/>
          <w:sz w:val="22"/>
        </w:rPr>
        <w:t>3.Word</w:t>
      </w:r>
      <w:r>
        <w:rPr>
          <w:rFonts w:ascii="宋体" w:hAnsi="宋体" w:hint="eastAsia"/>
          <w:sz w:val="22"/>
        </w:rPr>
        <w:t>文字处理</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文字编辑</w:t>
      </w:r>
      <w:r>
        <w:rPr>
          <w:rFonts w:ascii="宋体" w:hAnsi="宋体"/>
          <w:sz w:val="22"/>
        </w:rPr>
        <w:t>:</w:t>
      </w:r>
      <w:r>
        <w:rPr>
          <w:rFonts w:ascii="宋体" w:hAnsi="宋体" w:hint="eastAsia"/>
          <w:sz w:val="22"/>
        </w:rPr>
        <w:t>文字的增</w:t>
      </w:r>
      <w:r>
        <w:rPr>
          <w:rFonts w:ascii="宋体" w:eastAsia="MS Minchofalt" w:hAnsi="MS Minchofalt" w:cs="MS Minchofalt" w:hint="eastAsia"/>
          <w:sz w:val="22"/>
        </w:rPr>
        <w:t>､</w:t>
      </w:r>
      <w:r>
        <w:rPr>
          <w:rFonts w:ascii="宋体" w:hAnsi="宋体" w:cs="宋体" w:hint="eastAsia"/>
          <w:sz w:val="22"/>
        </w:rPr>
        <w:t>删</w:t>
      </w:r>
      <w:r>
        <w:rPr>
          <w:rFonts w:ascii="宋体" w:eastAsia="MS Minchofalt" w:hAnsi="MS Minchofalt" w:cs="MS Minchofalt" w:hint="eastAsia"/>
          <w:sz w:val="22"/>
        </w:rPr>
        <w:t>､</w:t>
      </w:r>
      <w:r>
        <w:rPr>
          <w:rFonts w:ascii="宋体" w:hAnsi="宋体" w:cs="宋体" w:hint="eastAsia"/>
          <w:sz w:val="22"/>
        </w:rPr>
        <w:t>改</w:t>
      </w:r>
      <w:r>
        <w:rPr>
          <w:rFonts w:ascii="宋体" w:eastAsia="MS Minchofalt" w:hAnsi="MS Minchofalt" w:cs="MS Minchofalt" w:hint="eastAsia"/>
          <w:sz w:val="22"/>
        </w:rPr>
        <w:t>､</w:t>
      </w:r>
      <w:r>
        <w:rPr>
          <w:rFonts w:ascii="宋体" w:hAnsi="宋体" w:cs="宋体" w:hint="eastAsia"/>
          <w:sz w:val="22"/>
        </w:rPr>
        <w:t>复制</w:t>
      </w:r>
      <w:r>
        <w:rPr>
          <w:rFonts w:ascii="宋体" w:eastAsia="MS Minchofalt" w:hAnsi="MS Minchofalt" w:cs="MS Minchofalt" w:hint="eastAsia"/>
          <w:sz w:val="22"/>
        </w:rPr>
        <w:t>､</w:t>
      </w:r>
      <w:r>
        <w:rPr>
          <w:rFonts w:ascii="宋体" w:hAnsi="宋体" w:cs="宋体" w:hint="eastAsia"/>
          <w:sz w:val="22"/>
        </w:rPr>
        <w:t>移动</w:t>
      </w:r>
      <w:r>
        <w:rPr>
          <w:rFonts w:ascii="宋体" w:eastAsia="MS Minchofalt" w:hAnsi="MS Minchofalt" w:cs="MS Minchofalt" w:hint="eastAsia"/>
          <w:sz w:val="22"/>
        </w:rPr>
        <w:t>､</w:t>
      </w:r>
      <w:r>
        <w:rPr>
          <w:rFonts w:ascii="宋体" w:hAnsi="宋体" w:cs="宋体" w:hint="eastAsia"/>
          <w:sz w:val="22"/>
        </w:rPr>
        <w:t>查找和替换</w:t>
      </w:r>
      <w:r>
        <w:rPr>
          <w:rFonts w:ascii="宋体" w:hAnsi="宋体"/>
          <w:sz w:val="22"/>
        </w:rPr>
        <w:t>;</w:t>
      </w:r>
      <w:r>
        <w:rPr>
          <w:rFonts w:ascii="宋体" w:hAnsi="宋体" w:hint="eastAsia"/>
          <w:sz w:val="22"/>
        </w:rPr>
        <w:t>文本的校对</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页面设置</w:t>
      </w:r>
      <w:r>
        <w:rPr>
          <w:rFonts w:ascii="宋体" w:hAnsi="宋体"/>
          <w:sz w:val="22"/>
        </w:rPr>
        <w:t>:</w:t>
      </w:r>
      <w:r>
        <w:rPr>
          <w:rFonts w:ascii="宋体" w:hAnsi="宋体" w:hint="eastAsia"/>
          <w:sz w:val="22"/>
        </w:rPr>
        <w:t>页边距</w:t>
      </w:r>
      <w:r>
        <w:rPr>
          <w:rFonts w:ascii="宋体" w:eastAsia="MS Minchofalt" w:hAnsi="MS Minchofalt" w:cs="MS Minchofalt" w:hint="eastAsia"/>
          <w:sz w:val="22"/>
        </w:rPr>
        <w:t>､</w:t>
      </w:r>
      <w:r>
        <w:rPr>
          <w:rFonts w:ascii="宋体" w:hAnsi="宋体" w:cs="宋体" w:hint="eastAsia"/>
          <w:sz w:val="22"/>
        </w:rPr>
        <w:t>纸型</w:t>
      </w:r>
      <w:r>
        <w:rPr>
          <w:rFonts w:ascii="宋体" w:eastAsia="MS Minchofalt" w:hAnsi="MS Minchofalt" w:cs="MS Minchofalt" w:hint="eastAsia"/>
          <w:sz w:val="22"/>
        </w:rPr>
        <w:t>､</w:t>
      </w:r>
      <w:r>
        <w:rPr>
          <w:rFonts w:ascii="宋体" w:hAnsi="宋体" w:cs="宋体" w:hint="eastAsia"/>
          <w:sz w:val="22"/>
        </w:rPr>
        <w:t>纸张来源</w:t>
      </w:r>
      <w:r>
        <w:rPr>
          <w:rFonts w:ascii="宋体" w:eastAsia="MS Minchofalt" w:hAnsi="MS Minchofalt" w:cs="MS Minchofalt" w:hint="eastAsia"/>
          <w:sz w:val="22"/>
        </w:rPr>
        <w:t>､</w:t>
      </w:r>
      <w:r>
        <w:rPr>
          <w:rFonts w:ascii="宋体" w:hAnsi="宋体" w:cs="宋体" w:hint="eastAsia"/>
          <w:sz w:val="22"/>
        </w:rPr>
        <w:t>版式</w:t>
      </w:r>
      <w:r>
        <w:rPr>
          <w:rFonts w:ascii="宋体" w:eastAsia="MS Minchofalt" w:hAnsi="MS Minchofalt" w:cs="MS Minchofalt" w:hint="eastAsia"/>
          <w:sz w:val="22"/>
        </w:rPr>
        <w:t>､</w:t>
      </w:r>
      <w:r>
        <w:rPr>
          <w:rFonts w:ascii="宋体" w:hAnsi="宋体" w:cs="宋体" w:hint="eastAsia"/>
          <w:sz w:val="22"/>
        </w:rPr>
        <w:t>文档网格</w:t>
      </w:r>
      <w:r>
        <w:rPr>
          <w:rFonts w:ascii="宋体" w:eastAsia="MS Minchofalt" w:hAnsi="MS Minchofalt" w:cs="MS Minchofalt" w:hint="eastAsia"/>
          <w:sz w:val="22"/>
        </w:rPr>
        <w:t>､</w:t>
      </w:r>
      <w:r>
        <w:rPr>
          <w:rFonts w:ascii="宋体" w:hAnsi="宋体" w:cs="宋体" w:hint="eastAsia"/>
          <w:sz w:val="22"/>
        </w:rPr>
        <w:t>页码</w:t>
      </w:r>
      <w:r>
        <w:rPr>
          <w:rFonts w:ascii="宋体" w:eastAsia="MS Minchofalt" w:hAnsi="MS Minchofalt" w:cs="MS Minchofalt" w:hint="eastAsia"/>
          <w:sz w:val="22"/>
        </w:rPr>
        <w:t>､</w:t>
      </w:r>
      <w:r>
        <w:rPr>
          <w:rFonts w:ascii="宋体" w:hAnsi="宋体" w:cs="宋体" w:hint="eastAsia"/>
          <w:sz w:val="22"/>
        </w:rPr>
        <w:t>页眉</w:t>
      </w:r>
      <w:r>
        <w:rPr>
          <w:rFonts w:ascii="宋体" w:eastAsia="MS Minchofalt" w:hAnsi="MS Minchofalt" w:cs="MS Minchofalt" w:hint="eastAsia"/>
          <w:sz w:val="22"/>
        </w:rPr>
        <w:t>､</w:t>
      </w:r>
      <w:r>
        <w:rPr>
          <w:rFonts w:ascii="宋体" w:hAnsi="宋体" w:cs="宋体" w:hint="eastAsia"/>
          <w:sz w:val="22"/>
        </w:rPr>
        <w:t>页脚</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段落排版</w:t>
      </w:r>
      <w:r>
        <w:rPr>
          <w:rFonts w:ascii="宋体" w:hAnsi="宋体"/>
          <w:sz w:val="22"/>
        </w:rPr>
        <w:t>:</w:t>
      </w:r>
      <w:r>
        <w:rPr>
          <w:rFonts w:ascii="宋体" w:hAnsi="宋体" w:hint="eastAsia"/>
          <w:sz w:val="22"/>
        </w:rPr>
        <w:t>字体格式</w:t>
      </w:r>
      <w:r>
        <w:rPr>
          <w:rFonts w:ascii="宋体" w:eastAsia="MS Minchofalt" w:hAnsi="MS Minchofalt" w:cs="MS Minchofalt" w:hint="eastAsia"/>
          <w:sz w:val="22"/>
        </w:rPr>
        <w:t>､</w:t>
      </w:r>
      <w:r>
        <w:rPr>
          <w:rFonts w:ascii="宋体" w:hAnsi="宋体" w:cs="宋体" w:hint="eastAsia"/>
          <w:sz w:val="22"/>
        </w:rPr>
        <w:t>段落格式</w:t>
      </w:r>
      <w:r>
        <w:rPr>
          <w:rFonts w:ascii="宋体" w:eastAsia="MS Minchofalt" w:hAnsi="MS Minchofalt" w:cs="MS Minchofalt" w:hint="eastAsia"/>
          <w:sz w:val="22"/>
        </w:rPr>
        <w:t>､</w:t>
      </w:r>
      <w:r>
        <w:rPr>
          <w:rFonts w:ascii="宋体" w:hAnsi="宋体" w:cs="宋体" w:hint="eastAsia"/>
          <w:sz w:val="22"/>
        </w:rPr>
        <w:t>首字下沉</w:t>
      </w:r>
      <w:r>
        <w:rPr>
          <w:rFonts w:ascii="宋体" w:eastAsia="MS Minchofalt" w:hAnsi="MS Minchofalt" w:cs="MS Minchofalt" w:hint="eastAsia"/>
          <w:sz w:val="22"/>
        </w:rPr>
        <w:t>､</w:t>
      </w:r>
      <w:r>
        <w:rPr>
          <w:rFonts w:ascii="宋体" w:hAnsi="宋体" w:cs="宋体" w:hint="eastAsia"/>
          <w:sz w:val="22"/>
        </w:rPr>
        <w:t>边框和底纹</w:t>
      </w:r>
      <w:r>
        <w:rPr>
          <w:rFonts w:ascii="宋体" w:eastAsia="MS Minchofalt" w:hAnsi="MS Minchofalt" w:cs="MS Minchofalt" w:hint="eastAsia"/>
          <w:sz w:val="22"/>
        </w:rPr>
        <w:t>､</w:t>
      </w:r>
      <w:r>
        <w:rPr>
          <w:rFonts w:ascii="宋体" w:hAnsi="宋体" w:cs="宋体" w:hint="eastAsia"/>
          <w:sz w:val="22"/>
        </w:rPr>
        <w:t>分栏</w:t>
      </w:r>
      <w:r>
        <w:rPr>
          <w:rFonts w:ascii="宋体" w:eastAsia="MS Minchofalt" w:hAnsi="MS Minchofalt" w:cs="MS Minchofalt" w:hint="eastAsia"/>
          <w:sz w:val="22"/>
        </w:rPr>
        <w:t>､</w:t>
      </w:r>
      <w:r>
        <w:rPr>
          <w:rFonts w:ascii="宋体" w:hAnsi="宋体" w:cs="宋体" w:hint="eastAsia"/>
          <w:sz w:val="22"/>
        </w:rPr>
        <w:t>背景</w:t>
      </w:r>
      <w:r>
        <w:rPr>
          <w:rFonts w:ascii="宋体" w:eastAsia="MS Minchofalt" w:hAnsi="MS Minchofalt" w:cs="MS Minchofalt" w:hint="eastAsia"/>
          <w:sz w:val="22"/>
        </w:rPr>
        <w:t>､</w:t>
      </w:r>
      <w:r>
        <w:rPr>
          <w:rFonts w:ascii="宋体" w:hAnsi="宋体" w:cs="宋体" w:hint="eastAsia"/>
          <w:sz w:val="22"/>
        </w:rPr>
        <w:t>应用模板</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高级排版</w:t>
      </w:r>
      <w:r>
        <w:rPr>
          <w:rFonts w:ascii="宋体" w:hAnsi="宋体"/>
          <w:sz w:val="22"/>
        </w:rPr>
        <w:t>:</w:t>
      </w:r>
      <w:r>
        <w:rPr>
          <w:rFonts w:ascii="宋体" w:hAnsi="宋体" w:hint="eastAsia"/>
          <w:sz w:val="22"/>
        </w:rPr>
        <w:t>绘制图形</w:t>
      </w:r>
      <w:r>
        <w:rPr>
          <w:rFonts w:ascii="宋体" w:eastAsia="MS Minchofalt" w:hAnsi="MS Minchofalt" w:cs="MS Minchofalt" w:hint="eastAsia"/>
          <w:sz w:val="22"/>
        </w:rPr>
        <w:t>､</w:t>
      </w:r>
      <w:r>
        <w:rPr>
          <w:rFonts w:ascii="宋体" w:hAnsi="宋体" w:cs="宋体" w:hint="eastAsia"/>
          <w:sz w:val="22"/>
        </w:rPr>
        <w:t>图文混排</w:t>
      </w:r>
      <w:r>
        <w:rPr>
          <w:rFonts w:ascii="宋体" w:eastAsia="MS Minchofalt" w:hAnsi="MS Minchofalt" w:cs="MS Minchofalt" w:hint="eastAsia"/>
          <w:sz w:val="22"/>
        </w:rPr>
        <w:t>､</w:t>
      </w:r>
      <w:r>
        <w:rPr>
          <w:rFonts w:ascii="宋体" w:hAnsi="宋体" w:cs="宋体" w:hint="eastAsia"/>
          <w:sz w:val="22"/>
        </w:rPr>
        <w:t>艺术字</w:t>
      </w:r>
      <w:r>
        <w:rPr>
          <w:rFonts w:ascii="宋体" w:eastAsia="MS Minchofalt" w:hAnsi="MS Minchofalt" w:cs="MS Minchofalt" w:hint="eastAsia"/>
          <w:sz w:val="22"/>
        </w:rPr>
        <w:t>､</w:t>
      </w:r>
      <w:r>
        <w:rPr>
          <w:rFonts w:ascii="宋体" w:hAnsi="宋体" w:cs="宋体" w:hint="eastAsia"/>
          <w:sz w:val="22"/>
        </w:rPr>
        <w:t>文本框</w:t>
      </w:r>
      <w:r>
        <w:rPr>
          <w:rFonts w:ascii="宋体" w:eastAsia="MS Minchofalt" w:hAnsi="MS Minchofalt" w:cs="MS Minchofalt" w:hint="eastAsia"/>
          <w:sz w:val="22"/>
        </w:rPr>
        <w:t>､</w:t>
      </w:r>
      <w:r>
        <w:rPr>
          <w:rFonts w:ascii="宋体" w:hAnsi="宋体" w:cs="宋体" w:hint="eastAsia"/>
          <w:sz w:val="22"/>
        </w:rPr>
        <w:t>域</w:t>
      </w:r>
      <w:r>
        <w:rPr>
          <w:rFonts w:ascii="宋体" w:eastAsia="MS Minchofalt" w:hAnsi="MS Minchofalt" w:cs="MS Minchofalt" w:hint="eastAsia"/>
          <w:sz w:val="22"/>
        </w:rPr>
        <w:t>､</w:t>
      </w:r>
      <w:r>
        <w:rPr>
          <w:rFonts w:ascii="宋体" w:hAnsi="宋体" w:cs="宋体" w:hint="eastAsia"/>
          <w:sz w:val="22"/>
        </w:rPr>
        <w:t>其他对象插入及格式设置</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(5)</w:t>
      </w:r>
      <w:r>
        <w:rPr>
          <w:rFonts w:ascii="宋体" w:hAnsi="宋体"/>
          <w:sz w:val="22"/>
        </w:rPr>
        <w:tab/>
      </w:r>
      <w:r>
        <w:rPr>
          <w:rFonts w:ascii="宋体" w:hAnsi="宋体" w:hint="eastAsia"/>
          <w:sz w:val="22"/>
        </w:rPr>
        <w:t>表格处理</w:t>
      </w:r>
      <w:r>
        <w:rPr>
          <w:rFonts w:ascii="宋体" w:hAnsi="宋体"/>
          <w:sz w:val="22"/>
        </w:rPr>
        <w:t>:</w:t>
      </w:r>
      <w:r>
        <w:rPr>
          <w:rFonts w:ascii="宋体" w:hAnsi="宋体" w:hint="eastAsia"/>
          <w:sz w:val="22"/>
        </w:rPr>
        <w:t>表格插入</w:t>
      </w:r>
      <w:r>
        <w:rPr>
          <w:rFonts w:ascii="宋体" w:eastAsia="MS Minchofalt" w:hAnsi="MS Minchofalt" w:cs="MS Minchofalt" w:hint="eastAsia"/>
          <w:sz w:val="22"/>
        </w:rPr>
        <w:t>､</w:t>
      </w:r>
      <w:r>
        <w:rPr>
          <w:rFonts w:ascii="宋体" w:hAnsi="宋体" w:cs="宋体" w:hint="eastAsia"/>
          <w:sz w:val="22"/>
        </w:rPr>
        <w:t>表格编辑</w:t>
      </w:r>
      <w:r>
        <w:rPr>
          <w:rFonts w:ascii="宋体" w:eastAsia="MS Minchofalt" w:hAnsi="MS Minchofalt" w:cs="MS Minchofalt" w:hint="eastAsia"/>
          <w:sz w:val="22"/>
        </w:rPr>
        <w:t>､</w:t>
      </w:r>
      <w:r>
        <w:rPr>
          <w:rFonts w:ascii="宋体" w:hAnsi="宋体" w:cs="宋体" w:hint="eastAsia"/>
          <w:sz w:val="22"/>
        </w:rPr>
        <w:t>表格计算</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(6)</w:t>
      </w:r>
      <w:r>
        <w:rPr>
          <w:rFonts w:ascii="宋体" w:hAnsi="宋体"/>
          <w:sz w:val="22"/>
        </w:rPr>
        <w:tab/>
      </w:r>
      <w:r>
        <w:rPr>
          <w:rFonts w:ascii="宋体" w:hAnsi="宋体" w:hint="eastAsia"/>
          <w:sz w:val="22"/>
        </w:rPr>
        <w:t>文档创建</w:t>
      </w:r>
      <w:r>
        <w:rPr>
          <w:rFonts w:ascii="宋体" w:hAnsi="宋体"/>
          <w:sz w:val="22"/>
        </w:rPr>
        <w:t>:</w:t>
      </w:r>
      <w:r>
        <w:rPr>
          <w:rFonts w:ascii="宋体" w:hAnsi="宋体" w:hint="eastAsia"/>
          <w:sz w:val="22"/>
        </w:rPr>
        <w:t>文档的创建</w:t>
      </w:r>
      <w:r>
        <w:rPr>
          <w:rFonts w:ascii="宋体" w:eastAsia="MS Minchofalt" w:hAnsi="MS Minchofalt" w:cs="MS Minchofalt" w:hint="eastAsia"/>
          <w:sz w:val="22"/>
        </w:rPr>
        <w:t>､</w:t>
      </w:r>
      <w:r>
        <w:rPr>
          <w:rFonts w:ascii="宋体" w:hAnsi="宋体" w:cs="宋体" w:hint="eastAsia"/>
          <w:sz w:val="22"/>
        </w:rPr>
        <w:t>保存</w:t>
      </w:r>
      <w:r>
        <w:rPr>
          <w:rFonts w:ascii="宋体" w:eastAsia="MS Minchofalt" w:hAnsi="MS Minchofalt" w:cs="MS Minchofalt" w:hint="eastAsia"/>
          <w:sz w:val="22"/>
        </w:rPr>
        <w:t>､</w:t>
      </w:r>
      <w:r>
        <w:rPr>
          <w:rFonts w:ascii="宋体" w:hAnsi="宋体" w:cs="宋体" w:hint="eastAsia"/>
          <w:sz w:val="22"/>
        </w:rPr>
        <w:t>打印和保护</w:t>
      </w:r>
      <w:r>
        <w:rPr>
          <w:rFonts w:ascii="宋体" w:eastAsia="MS Minchofalt" w:hAnsi="MS Minchofalt" w:cs="MS Minchofalt" w:hint="eastAsia"/>
          <w:sz w:val="22"/>
        </w:rPr>
        <w:t>｡</w:t>
      </w:r>
    </w:p>
    <w:p w:rsidR="003717A0" w:rsidRDefault="003717A0">
      <w:pPr>
        <w:ind w:left="147" w:firstLine="420"/>
        <w:rPr>
          <w:rFonts w:ascii="宋体"/>
          <w:sz w:val="22"/>
        </w:rPr>
      </w:pPr>
      <w:r>
        <w:rPr>
          <w:rFonts w:ascii="宋体" w:hAnsi="宋体"/>
          <w:sz w:val="22"/>
        </w:rPr>
        <w:t>4.Excel</w:t>
      </w:r>
      <w:r>
        <w:rPr>
          <w:rFonts w:ascii="宋体" w:hAnsi="宋体" w:hint="eastAsia"/>
          <w:sz w:val="22"/>
        </w:rPr>
        <w:t>电子表格</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电子表格编辑</w:t>
      </w:r>
      <w:r>
        <w:rPr>
          <w:rFonts w:ascii="宋体" w:hAnsi="宋体"/>
          <w:sz w:val="22"/>
        </w:rPr>
        <w:t>:</w:t>
      </w:r>
      <w:r>
        <w:rPr>
          <w:rFonts w:ascii="宋体" w:hAnsi="宋体" w:hint="eastAsia"/>
          <w:sz w:val="22"/>
        </w:rPr>
        <w:t>数据输入</w:t>
      </w:r>
      <w:r>
        <w:rPr>
          <w:rFonts w:ascii="宋体" w:eastAsia="MS Minchofalt" w:hAnsi="MS Minchofalt" w:cs="MS Minchofalt" w:hint="eastAsia"/>
          <w:sz w:val="22"/>
        </w:rPr>
        <w:t>､</w:t>
      </w:r>
      <w:r>
        <w:rPr>
          <w:rFonts w:ascii="宋体" w:hAnsi="宋体" w:cs="宋体" w:hint="eastAsia"/>
          <w:sz w:val="22"/>
        </w:rPr>
        <w:t>编辑</w:t>
      </w:r>
      <w:r>
        <w:rPr>
          <w:rFonts w:ascii="宋体" w:eastAsia="MS Minchofalt" w:hAnsi="MS Minchofalt" w:cs="MS Minchofalt" w:hint="eastAsia"/>
          <w:sz w:val="22"/>
        </w:rPr>
        <w:t>､</w:t>
      </w:r>
      <w:r>
        <w:rPr>
          <w:rFonts w:ascii="宋体" w:hAnsi="宋体" w:cs="宋体" w:hint="eastAsia"/>
          <w:sz w:val="22"/>
        </w:rPr>
        <w:t>查找</w:t>
      </w:r>
      <w:r>
        <w:rPr>
          <w:rFonts w:ascii="宋体" w:eastAsia="MS Minchofalt" w:hAnsi="MS Minchofalt" w:cs="MS Minchofalt" w:hint="eastAsia"/>
          <w:sz w:val="22"/>
        </w:rPr>
        <w:t>､</w:t>
      </w:r>
      <w:r>
        <w:rPr>
          <w:rFonts w:ascii="宋体" w:hAnsi="宋体" w:cs="宋体" w:hint="eastAsia"/>
          <w:sz w:val="22"/>
        </w:rPr>
        <w:t>替换</w:t>
      </w:r>
      <w:r>
        <w:rPr>
          <w:rFonts w:ascii="宋体" w:hAnsi="宋体"/>
          <w:sz w:val="22"/>
        </w:rPr>
        <w:t>;</w:t>
      </w:r>
      <w:r>
        <w:rPr>
          <w:rFonts w:ascii="宋体" w:hAnsi="宋体" w:hint="eastAsia"/>
          <w:sz w:val="22"/>
        </w:rPr>
        <w:t>单元格删除</w:t>
      </w:r>
      <w:r>
        <w:rPr>
          <w:rFonts w:ascii="宋体" w:eastAsia="MS Minchofalt" w:hAnsi="MS Minchofalt" w:cs="MS Minchofalt" w:hint="eastAsia"/>
          <w:sz w:val="22"/>
        </w:rPr>
        <w:t>､</w:t>
      </w:r>
      <w:r>
        <w:rPr>
          <w:rFonts w:ascii="宋体" w:hAnsi="宋体" w:cs="宋体" w:hint="eastAsia"/>
          <w:sz w:val="22"/>
        </w:rPr>
        <w:t>清除</w:t>
      </w:r>
      <w:r>
        <w:rPr>
          <w:rFonts w:ascii="宋体" w:eastAsia="MS Minchofalt" w:hAnsi="MS Minchofalt" w:cs="MS Minchofalt" w:hint="eastAsia"/>
          <w:sz w:val="22"/>
        </w:rPr>
        <w:t>､</w:t>
      </w:r>
      <w:r>
        <w:rPr>
          <w:rFonts w:ascii="宋体" w:hAnsi="宋体" w:cs="宋体" w:hint="eastAsia"/>
          <w:sz w:val="22"/>
        </w:rPr>
        <w:t>复制</w:t>
      </w:r>
      <w:r>
        <w:rPr>
          <w:rFonts w:ascii="宋体" w:eastAsia="MS Minchofalt" w:hAnsi="MS Minchofalt" w:cs="MS Minchofalt" w:hint="eastAsia"/>
          <w:sz w:val="22"/>
        </w:rPr>
        <w:t>､</w:t>
      </w:r>
      <w:r>
        <w:rPr>
          <w:rFonts w:ascii="宋体" w:hAnsi="宋体" w:cs="宋体" w:hint="eastAsia"/>
          <w:sz w:val="22"/>
        </w:rPr>
        <w:t>移动</w:t>
      </w:r>
      <w:r>
        <w:rPr>
          <w:rFonts w:ascii="宋体" w:hAnsi="宋体"/>
          <w:sz w:val="22"/>
        </w:rPr>
        <w:t>;</w:t>
      </w:r>
      <w:r>
        <w:rPr>
          <w:rFonts w:ascii="宋体" w:hAnsi="宋体" w:hint="eastAsia"/>
          <w:sz w:val="22"/>
        </w:rPr>
        <w:t>填充柄的使用</w:t>
      </w:r>
      <w:r>
        <w:rPr>
          <w:rFonts w:ascii="宋体"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公式</w:t>
      </w:r>
      <w:r>
        <w:rPr>
          <w:rFonts w:ascii="宋体" w:eastAsia="MS Minchofalt" w:hAnsi="MS Minchofalt" w:cs="MS Minchofalt" w:hint="eastAsia"/>
          <w:sz w:val="22"/>
        </w:rPr>
        <w:t>､</w:t>
      </w:r>
      <w:r>
        <w:rPr>
          <w:rFonts w:ascii="宋体" w:hAnsi="宋体" w:cs="宋体" w:hint="eastAsia"/>
          <w:sz w:val="22"/>
        </w:rPr>
        <w:t>函数应用</w:t>
      </w:r>
      <w:r>
        <w:rPr>
          <w:rFonts w:ascii="宋体" w:hAnsi="宋体"/>
          <w:sz w:val="22"/>
        </w:rPr>
        <w:t>:</w:t>
      </w:r>
      <w:r>
        <w:rPr>
          <w:rFonts w:ascii="宋体" w:hAnsi="宋体" w:hint="eastAsia"/>
          <w:sz w:val="22"/>
        </w:rPr>
        <w:t>公式的使用</w:t>
      </w:r>
      <w:r>
        <w:rPr>
          <w:rFonts w:ascii="宋体" w:hAnsi="宋体"/>
          <w:sz w:val="22"/>
        </w:rPr>
        <w:t>;</w:t>
      </w:r>
      <w:r>
        <w:rPr>
          <w:rFonts w:ascii="宋体" w:hAnsi="宋体" w:hint="eastAsia"/>
          <w:sz w:val="22"/>
        </w:rPr>
        <w:t>相对地址</w:t>
      </w:r>
      <w:r>
        <w:rPr>
          <w:rFonts w:ascii="宋体" w:eastAsia="MS Minchofalt" w:hAnsi="MS Minchofalt" w:cs="MS Minchofalt" w:hint="eastAsia"/>
          <w:sz w:val="22"/>
        </w:rPr>
        <w:t>､</w:t>
      </w:r>
      <w:r>
        <w:rPr>
          <w:rFonts w:ascii="宋体" w:hAnsi="宋体" w:cs="宋体" w:hint="eastAsia"/>
          <w:sz w:val="22"/>
        </w:rPr>
        <w:t>绝对地址的使用</w:t>
      </w:r>
      <w:r>
        <w:rPr>
          <w:rFonts w:ascii="宋体" w:hAnsi="宋体"/>
          <w:sz w:val="22"/>
        </w:rPr>
        <w:t>;</w:t>
      </w:r>
      <w:r>
        <w:rPr>
          <w:rFonts w:ascii="宋体" w:hAnsi="宋体" w:hint="eastAsia"/>
          <w:sz w:val="22"/>
        </w:rPr>
        <w:t>常用函数</w:t>
      </w:r>
      <w:r>
        <w:rPr>
          <w:rFonts w:ascii="宋体" w:hAnsi="宋体"/>
          <w:sz w:val="22"/>
        </w:rPr>
        <w:t>(SUM</w:t>
      </w:r>
      <w:r>
        <w:rPr>
          <w:rFonts w:ascii="MS Minchofalt" w:eastAsia="MS Minchofalt" w:hAnsi="MS Minchofalt" w:cs="MS Minchofalt" w:hint="eastAsia"/>
          <w:sz w:val="22"/>
        </w:rPr>
        <w:t>､</w:t>
      </w:r>
      <w:r>
        <w:rPr>
          <w:rFonts w:ascii="宋体" w:hAnsi="宋体"/>
          <w:sz w:val="22"/>
        </w:rPr>
        <w:t>AVERAGE</w:t>
      </w:r>
      <w:r>
        <w:rPr>
          <w:rFonts w:ascii="MS Minchofalt" w:eastAsia="MS Minchofalt" w:hAnsi="MS Minchofalt" w:cs="MS Minchofalt" w:hint="eastAsia"/>
          <w:sz w:val="22"/>
        </w:rPr>
        <w:t>､</w:t>
      </w:r>
      <w:r>
        <w:rPr>
          <w:rFonts w:ascii="宋体" w:hAnsi="宋体"/>
          <w:sz w:val="22"/>
        </w:rPr>
        <w:t>MAX</w:t>
      </w:r>
      <w:r>
        <w:rPr>
          <w:rFonts w:ascii="MS Minchofalt" w:eastAsia="MS Minchofalt" w:hAnsi="MS Minchofalt" w:cs="MS Minchofalt" w:hint="eastAsia"/>
          <w:sz w:val="22"/>
        </w:rPr>
        <w:t>､</w:t>
      </w:r>
      <w:r>
        <w:rPr>
          <w:rFonts w:ascii="宋体" w:hAnsi="宋体"/>
          <w:sz w:val="22"/>
        </w:rPr>
        <w:t>MIN</w:t>
      </w:r>
      <w:r>
        <w:rPr>
          <w:rFonts w:ascii="MS Minchofalt" w:eastAsia="MS Minchofalt" w:hAnsi="MS Minchofalt" w:cs="MS Minchofalt" w:hint="eastAsia"/>
          <w:sz w:val="22"/>
        </w:rPr>
        <w:t>､</w:t>
      </w:r>
      <w:r>
        <w:rPr>
          <w:rFonts w:ascii="宋体" w:hAnsi="宋体"/>
          <w:sz w:val="22"/>
        </w:rPr>
        <w:t>COUNT</w:t>
      </w:r>
      <w:r>
        <w:rPr>
          <w:rFonts w:ascii="MS Minchofalt" w:eastAsia="MS Minchofalt" w:hAnsi="MS Minchofalt" w:cs="MS Minchofalt" w:hint="eastAsia"/>
          <w:sz w:val="22"/>
        </w:rPr>
        <w:t>､</w:t>
      </w:r>
      <w:r>
        <w:rPr>
          <w:rFonts w:ascii="宋体" w:hAnsi="宋体"/>
          <w:sz w:val="22"/>
        </w:rPr>
        <w:t>IF)</w:t>
      </w:r>
      <w:r>
        <w:rPr>
          <w:rFonts w:ascii="宋体" w:hAnsi="宋体" w:hint="eastAsia"/>
          <w:sz w:val="22"/>
        </w:rPr>
        <w:t>的使用</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工作表格式化</w:t>
      </w:r>
      <w:r>
        <w:rPr>
          <w:rFonts w:ascii="宋体" w:hAnsi="宋体"/>
          <w:sz w:val="22"/>
        </w:rPr>
        <w:t>:</w:t>
      </w:r>
      <w:r>
        <w:rPr>
          <w:rFonts w:ascii="宋体" w:hAnsi="宋体" w:hint="eastAsia"/>
          <w:sz w:val="22"/>
        </w:rPr>
        <w:t>设置行高</w:t>
      </w:r>
      <w:r>
        <w:rPr>
          <w:rFonts w:ascii="MS Minchofalt" w:eastAsia="MS Minchofalt" w:hAnsi="MS Minchofalt" w:cs="MS Minchofalt" w:hint="eastAsia"/>
          <w:sz w:val="22"/>
        </w:rPr>
        <w:t>､</w:t>
      </w:r>
      <w:r>
        <w:rPr>
          <w:rFonts w:ascii="宋体" w:hAnsi="宋体" w:cs="宋体" w:hint="eastAsia"/>
          <w:sz w:val="22"/>
        </w:rPr>
        <w:t>列宽</w:t>
      </w:r>
      <w:r>
        <w:rPr>
          <w:rFonts w:ascii="宋体" w:hAnsi="宋体"/>
          <w:sz w:val="22"/>
        </w:rPr>
        <w:t>;</w:t>
      </w:r>
      <w:r>
        <w:rPr>
          <w:rFonts w:ascii="宋体" w:hAnsi="宋体" w:hint="eastAsia"/>
          <w:sz w:val="22"/>
        </w:rPr>
        <w:t>行列隐藏与取消</w:t>
      </w:r>
      <w:r>
        <w:rPr>
          <w:rFonts w:ascii="宋体" w:hAnsi="宋体"/>
          <w:sz w:val="22"/>
        </w:rPr>
        <w:t>;</w:t>
      </w:r>
      <w:r>
        <w:rPr>
          <w:rFonts w:ascii="宋体" w:hAnsi="宋体" w:hint="eastAsia"/>
          <w:sz w:val="22"/>
        </w:rPr>
        <w:t>单元格格式设置</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图表</w:t>
      </w:r>
      <w:r>
        <w:rPr>
          <w:rFonts w:ascii="宋体" w:hAnsi="宋体"/>
          <w:sz w:val="22"/>
        </w:rPr>
        <w:t>:</w:t>
      </w:r>
      <w:r>
        <w:rPr>
          <w:rFonts w:ascii="宋体" w:hAnsi="宋体" w:hint="eastAsia"/>
          <w:sz w:val="22"/>
        </w:rPr>
        <w:t>图表创建</w:t>
      </w:r>
      <w:r>
        <w:rPr>
          <w:rFonts w:ascii="宋体" w:hAnsi="宋体"/>
          <w:sz w:val="22"/>
        </w:rPr>
        <w:t>;</w:t>
      </w:r>
      <w:r>
        <w:rPr>
          <w:rFonts w:ascii="宋体" w:hAnsi="宋体" w:hint="eastAsia"/>
          <w:sz w:val="22"/>
        </w:rPr>
        <w:t>图表修改</w:t>
      </w:r>
      <w:r>
        <w:rPr>
          <w:rFonts w:ascii="宋体" w:hAnsi="宋体"/>
          <w:sz w:val="22"/>
        </w:rPr>
        <w:t>;</w:t>
      </w:r>
      <w:r>
        <w:rPr>
          <w:rFonts w:ascii="宋体" w:hAnsi="宋体" w:hint="eastAsia"/>
          <w:sz w:val="22"/>
        </w:rPr>
        <w:t>图表移动和删除</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(5)</w:t>
      </w:r>
      <w:r>
        <w:rPr>
          <w:rFonts w:ascii="宋体" w:hAnsi="宋体"/>
          <w:sz w:val="22"/>
        </w:rPr>
        <w:tab/>
      </w:r>
      <w:r>
        <w:rPr>
          <w:rFonts w:ascii="宋体" w:hAnsi="宋体" w:hint="eastAsia"/>
          <w:sz w:val="22"/>
        </w:rPr>
        <w:t>数据列表处理</w:t>
      </w:r>
      <w:r>
        <w:rPr>
          <w:rFonts w:ascii="宋体" w:hAnsi="宋体"/>
          <w:sz w:val="22"/>
        </w:rPr>
        <w:t>:</w:t>
      </w:r>
      <w:r>
        <w:rPr>
          <w:rFonts w:ascii="宋体" w:hAnsi="宋体" w:hint="eastAsia"/>
          <w:sz w:val="22"/>
        </w:rPr>
        <w:t>数据列表的编辑</w:t>
      </w:r>
      <w:r>
        <w:rPr>
          <w:rFonts w:ascii="MS Minchofalt" w:eastAsia="MS Minchofalt" w:hAnsi="MS Minchofalt" w:cs="MS Minchofalt" w:hint="eastAsia"/>
          <w:sz w:val="22"/>
        </w:rPr>
        <w:t>､</w:t>
      </w:r>
      <w:r>
        <w:rPr>
          <w:rFonts w:ascii="宋体" w:hAnsi="宋体" w:cs="宋体" w:hint="eastAsia"/>
          <w:sz w:val="22"/>
        </w:rPr>
        <w:t>排序</w:t>
      </w:r>
      <w:r>
        <w:rPr>
          <w:rFonts w:ascii="MS Minchofalt" w:eastAsia="MS Minchofalt" w:hAnsi="MS Minchofalt" w:cs="MS Minchofalt" w:hint="eastAsia"/>
          <w:sz w:val="22"/>
        </w:rPr>
        <w:t>､</w:t>
      </w:r>
      <w:r>
        <w:rPr>
          <w:rFonts w:ascii="宋体" w:hAnsi="宋体" w:cs="宋体" w:hint="eastAsia"/>
          <w:sz w:val="22"/>
        </w:rPr>
        <w:t>筛选及分类汇总</w:t>
      </w:r>
      <w:r>
        <w:rPr>
          <w:rFonts w:ascii="宋体" w:hAnsi="宋体"/>
          <w:sz w:val="22"/>
        </w:rPr>
        <w:t>;</w:t>
      </w:r>
      <w:r>
        <w:rPr>
          <w:rFonts w:ascii="宋体" w:hAnsi="宋体" w:hint="eastAsia"/>
          <w:sz w:val="22"/>
        </w:rPr>
        <w:t>数据透视表的建立与编辑</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(6)</w:t>
      </w:r>
      <w:r>
        <w:rPr>
          <w:rFonts w:ascii="宋体" w:hAnsi="宋体"/>
          <w:sz w:val="22"/>
        </w:rPr>
        <w:tab/>
      </w:r>
      <w:r>
        <w:rPr>
          <w:rFonts w:ascii="宋体" w:hAnsi="宋体" w:hint="eastAsia"/>
          <w:sz w:val="22"/>
        </w:rPr>
        <w:t>工作簿管理及保存</w:t>
      </w:r>
      <w:r>
        <w:rPr>
          <w:rFonts w:ascii="宋体" w:hAnsi="宋体"/>
          <w:sz w:val="22"/>
        </w:rPr>
        <w:t>:</w:t>
      </w:r>
      <w:r>
        <w:rPr>
          <w:rFonts w:ascii="宋体" w:hAnsi="宋体" w:hint="eastAsia"/>
          <w:sz w:val="22"/>
        </w:rPr>
        <w:t>工作表的创建</w:t>
      </w:r>
      <w:r>
        <w:rPr>
          <w:rFonts w:ascii="MS Minchofalt" w:eastAsia="MS Minchofalt" w:hAnsi="MS Minchofalt" w:cs="MS Minchofalt" w:hint="eastAsia"/>
          <w:sz w:val="22"/>
        </w:rPr>
        <w:t>､</w:t>
      </w:r>
      <w:r>
        <w:rPr>
          <w:rFonts w:ascii="宋体" w:hAnsi="宋体" w:cs="宋体" w:hint="eastAsia"/>
          <w:sz w:val="22"/>
        </w:rPr>
        <w:t>删除</w:t>
      </w:r>
      <w:r>
        <w:rPr>
          <w:rFonts w:ascii="MS Minchofalt" w:eastAsia="MS Minchofalt" w:hAnsi="MS Minchofalt" w:cs="MS Minchofalt" w:hint="eastAsia"/>
          <w:sz w:val="22"/>
        </w:rPr>
        <w:t>､</w:t>
      </w:r>
      <w:r>
        <w:rPr>
          <w:rFonts w:ascii="宋体" w:hAnsi="宋体" w:cs="宋体" w:hint="eastAsia"/>
          <w:sz w:val="22"/>
        </w:rPr>
        <w:t>复制</w:t>
      </w:r>
      <w:r>
        <w:rPr>
          <w:rFonts w:ascii="MS Minchofalt" w:eastAsia="MS Minchofalt" w:hAnsi="MS Minchofalt" w:cs="MS Minchofalt" w:hint="eastAsia"/>
          <w:sz w:val="22"/>
        </w:rPr>
        <w:t>､</w:t>
      </w:r>
      <w:r>
        <w:rPr>
          <w:rFonts w:ascii="宋体" w:hAnsi="宋体" w:cs="宋体" w:hint="eastAsia"/>
          <w:sz w:val="22"/>
        </w:rPr>
        <w:t>移动及重命名</w:t>
      </w:r>
      <w:r>
        <w:rPr>
          <w:rFonts w:ascii="宋体" w:hAnsi="宋体"/>
          <w:sz w:val="22"/>
        </w:rPr>
        <w:t>;</w:t>
      </w:r>
      <w:r>
        <w:rPr>
          <w:rFonts w:ascii="宋体" w:hAnsi="宋体" w:hint="eastAsia"/>
          <w:sz w:val="22"/>
        </w:rPr>
        <w:t>工作表及工作簿的</w:t>
      </w:r>
      <w:r>
        <w:rPr>
          <w:rFonts w:ascii="宋体" w:hAnsi="宋体" w:hint="eastAsia"/>
          <w:sz w:val="22"/>
        </w:rPr>
        <w:lastRenderedPageBreak/>
        <w:t>保护</w:t>
      </w:r>
      <w:r>
        <w:rPr>
          <w:rFonts w:ascii="MS Minchofalt" w:eastAsia="MS Minchofalt" w:hAnsi="MS Minchofalt" w:cs="MS Minchofalt" w:hint="eastAsia"/>
          <w:sz w:val="22"/>
        </w:rPr>
        <w:t>､</w:t>
      </w:r>
      <w:r>
        <w:rPr>
          <w:rFonts w:ascii="宋体" w:hAnsi="宋体" w:cs="宋体" w:hint="eastAsia"/>
          <w:sz w:val="22"/>
        </w:rPr>
        <w:t>保存</w:t>
      </w:r>
      <w:r>
        <w:rPr>
          <w:rFonts w:ascii="MS Minchofalt" w:eastAsia="MS Minchofalt" w:hAnsi="MS Minchofalt" w:cs="MS Minchofalt" w:hint="eastAsia"/>
          <w:sz w:val="22"/>
        </w:rPr>
        <w:t>｡</w:t>
      </w:r>
    </w:p>
    <w:p w:rsidR="003717A0" w:rsidRDefault="003717A0">
      <w:pPr>
        <w:ind w:left="147" w:firstLine="420"/>
        <w:rPr>
          <w:rFonts w:ascii="宋体"/>
          <w:sz w:val="22"/>
        </w:rPr>
      </w:pPr>
      <w:r>
        <w:rPr>
          <w:rFonts w:ascii="宋体" w:hAnsi="宋体"/>
          <w:sz w:val="22"/>
        </w:rPr>
        <w:t>5.PowerPoint</w:t>
      </w:r>
      <w:r>
        <w:rPr>
          <w:rFonts w:ascii="宋体" w:hAnsi="宋体" w:hint="eastAsia"/>
          <w:sz w:val="22"/>
        </w:rPr>
        <w:t>演示文稿</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r>
      <w:r>
        <w:rPr>
          <w:rFonts w:ascii="宋体" w:hAnsi="宋体" w:hint="eastAsia"/>
          <w:sz w:val="22"/>
        </w:rPr>
        <w:t>基本操作</w:t>
      </w:r>
      <w:r>
        <w:rPr>
          <w:rFonts w:ascii="宋体" w:hAnsi="宋体"/>
          <w:sz w:val="22"/>
        </w:rPr>
        <w:t>:</w:t>
      </w:r>
      <w:r>
        <w:rPr>
          <w:rFonts w:ascii="宋体" w:hAnsi="宋体" w:hint="eastAsia"/>
          <w:sz w:val="22"/>
        </w:rPr>
        <w:t>利用模板制作演示文稿</w:t>
      </w:r>
      <w:r>
        <w:rPr>
          <w:rFonts w:ascii="宋体" w:hAnsi="宋体"/>
          <w:sz w:val="22"/>
        </w:rPr>
        <w:t>;</w:t>
      </w:r>
      <w:r>
        <w:rPr>
          <w:rFonts w:ascii="宋体" w:hAnsi="宋体" w:hint="eastAsia"/>
          <w:sz w:val="22"/>
        </w:rPr>
        <w:t>幻灯片插入</w:t>
      </w:r>
      <w:r>
        <w:rPr>
          <w:rFonts w:ascii="MS Minchofalt" w:eastAsia="MS Minchofalt" w:hAnsi="MS Minchofalt" w:cs="MS Minchofalt" w:hint="eastAsia"/>
          <w:sz w:val="22"/>
        </w:rPr>
        <w:t>､</w:t>
      </w:r>
      <w:r>
        <w:rPr>
          <w:rFonts w:ascii="宋体" w:hAnsi="宋体" w:cs="宋体" w:hint="eastAsia"/>
          <w:sz w:val="22"/>
        </w:rPr>
        <w:t>删除</w:t>
      </w:r>
      <w:r>
        <w:rPr>
          <w:rFonts w:ascii="MS Minchofalt" w:eastAsia="MS Minchofalt" w:hAnsi="MS Minchofalt" w:cs="MS Minchofalt" w:hint="eastAsia"/>
          <w:sz w:val="22"/>
        </w:rPr>
        <w:t>､</w:t>
      </w:r>
      <w:r>
        <w:rPr>
          <w:rFonts w:ascii="宋体" w:hAnsi="宋体" w:cs="宋体" w:hint="eastAsia"/>
          <w:sz w:val="22"/>
        </w:rPr>
        <w:t>复制</w:t>
      </w:r>
      <w:r>
        <w:rPr>
          <w:rFonts w:ascii="MS Minchofalt" w:eastAsia="MS Minchofalt" w:hAnsi="MS Minchofalt" w:cs="MS Minchofalt" w:hint="eastAsia"/>
          <w:sz w:val="22"/>
        </w:rPr>
        <w:t>､</w:t>
      </w:r>
      <w:r>
        <w:rPr>
          <w:rFonts w:ascii="宋体" w:hAnsi="宋体" w:cs="宋体" w:hint="eastAsia"/>
          <w:sz w:val="22"/>
        </w:rPr>
        <w:t>移动及编辑</w:t>
      </w:r>
      <w:r>
        <w:rPr>
          <w:rFonts w:ascii="宋体" w:hAnsi="宋体"/>
          <w:sz w:val="22"/>
        </w:rPr>
        <w:t>;</w:t>
      </w:r>
      <w:r>
        <w:rPr>
          <w:rFonts w:ascii="宋体" w:hAnsi="宋体" w:hint="eastAsia"/>
          <w:sz w:val="22"/>
        </w:rPr>
        <w:t>插入文本框</w:t>
      </w:r>
      <w:r>
        <w:rPr>
          <w:rFonts w:ascii="MS Minchofalt" w:eastAsia="MS Minchofalt" w:hAnsi="MS Minchofalt" w:cs="MS Minchofalt" w:hint="eastAsia"/>
          <w:sz w:val="22"/>
        </w:rPr>
        <w:t>､</w:t>
      </w:r>
      <w:r>
        <w:rPr>
          <w:rFonts w:ascii="宋体" w:hAnsi="宋体" w:cs="宋体" w:hint="eastAsia"/>
          <w:sz w:val="22"/>
        </w:rPr>
        <w:t>图片</w:t>
      </w:r>
      <w:r>
        <w:rPr>
          <w:rFonts w:ascii="MS Minchofalt" w:eastAsia="MS Minchofalt" w:hAnsi="MS Minchofalt" w:cs="MS Minchofalt" w:hint="eastAsia"/>
          <w:sz w:val="22"/>
        </w:rPr>
        <w:t>､</w:t>
      </w:r>
      <w:r>
        <w:rPr>
          <w:rFonts w:ascii="宋体" w:hAnsi="宋体"/>
          <w:sz w:val="22"/>
        </w:rPr>
        <w:t>SmartAart</w:t>
      </w:r>
      <w:r>
        <w:rPr>
          <w:rFonts w:ascii="宋体" w:hAnsi="宋体" w:hint="eastAsia"/>
          <w:sz w:val="22"/>
        </w:rPr>
        <w:t>图形及其他对象</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r>
      <w:r>
        <w:rPr>
          <w:rFonts w:ascii="宋体" w:hAnsi="宋体" w:hint="eastAsia"/>
          <w:sz w:val="22"/>
        </w:rPr>
        <w:t>文稿修饰</w:t>
      </w:r>
      <w:r>
        <w:rPr>
          <w:rFonts w:ascii="宋体" w:hAnsi="宋体"/>
          <w:sz w:val="22"/>
        </w:rPr>
        <w:t>:</w:t>
      </w:r>
      <w:r>
        <w:rPr>
          <w:rFonts w:ascii="宋体" w:hAnsi="宋体" w:hint="eastAsia"/>
          <w:sz w:val="22"/>
        </w:rPr>
        <w:t>文字</w:t>
      </w:r>
      <w:r>
        <w:rPr>
          <w:rFonts w:ascii="MS Minchofalt" w:eastAsia="MS Minchofalt" w:hAnsi="MS Minchofalt" w:cs="MS Minchofalt" w:hint="eastAsia"/>
          <w:sz w:val="22"/>
        </w:rPr>
        <w:t>､</w:t>
      </w:r>
      <w:r>
        <w:rPr>
          <w:rFonts w:ascii="宋体" w:hAnsi="宋体" w:cs="宋体" w:hint="eastAsia"/>
          <w:sz w:val="22"/>
        </w:rPr>
        <w:t>段落</w:t>
      </w:r>
      <w:r>
        <w:rPr>
          <w:rFonts w:ascii="MS Minchofalt" w:eastAsia="MS Minchofalt" w:hAnsi="MS Minchofalt" w:cs="MS Minchofalt" w:hint="eastAsia"/>
          <w:sz w:val="22"/>
        </w:rPr>
        <w:t>､</w:t>
      </w:r>
      <w:r>
        <w:rPr>
          <w:rFonts w:ascii="宋体" w:hAnsi="宋体" w:cs="宋体" w:hint="eastAsia"/>
          <w:sz w:val="22"/>
        </w:rPr>
        <w:t>对象格式设置</w:t>
      </w:r>
      <w:r>
        <w:rPr>
          <w:rFonts w:ascii="宋体" w:hAnsi="宋体"/>
          <w:sz w:val="22"/>
        </w:rPr>
        <w:t>;</w:t>
      </w:r>
      <w:r>
        <w:rPr>
          <w:rFonts w:ascii="宋体" w:hAnsi="宋体" w:hint="eastAsia"/>
          <w:sz w:val="22"/>
        </w:rPr>
        <w:t>幻灯片的主题</w:t>
      </w:r>
      <w:r>
        <w:rPr>
          <w:rFonts w:ascii="MS Minchofalt" w:eastAsia="MS Minchofalt" w:hAnsi="MS Minchofalt" w:cs="MS Minchofalt" w:hint="eastAsia"/>
          <w:sz w:val="22"/>
        </w:rPr>
        <w:t>､</w:t>
      </w:r>
      <w:r>
        <w:rPr>
          <w:rFonts w:ascii="宋体" w:hAnsi="宋体" w:cs="宋体" w:hint="eastAsia"/>
          <w:sz w:val="22"/>
        </w:rPr>
        <w:t>背景设置</w:t>
      </w:r>
      <w:r>
        <w:rPr>
          <w:rFonts w:ascii="MS Minchofalt" w:eastAsia="MS Minchofalt" w:hAnsi="MS Minchofalt" w:cs="MS Minchofalt" w:hint="eastAsia"/>
          <w:sz w:val="22"/>
        </w:rPr>
        <w:t>､</w:t>
      </w:r>
      <w:r>
        <w:rPr>
          <w:rFonts w:ascii="宋体" w:hAnsi="宋体" w:cs="宋体" w:hint="eastAsia"/>
          <w:sz w:val="22"/>
        </w:rPr>
        <w:t>母版应用</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r>
      <w:r>
        <w:rPr>
          <w:rFonts w:ascii="宋体" w:hAnsi="宋体" w:hint="eastAsia"/>
          <w:sz w:val="22"/>
        </w:rPr>
        <w:t>动画设置</w:t>
      </w:r>
      <w:r>
        <w:rPr>
          <w:rFonts w:ascii="宋体" w:hAnsi="宋体"/>
          <w:sz w:val="22"/>
        </w:rPr>
        <w:t>:</w:t>
      </w:r>
      <w:r>
        <w:rPr>
          <w:rFonts w:ascii="宋体" w:hAnsi="宋体" w:hint="eastAsia"/>
          <w:sz w:val="22"/>
        </w:rPr>
        <w:t>幻灯片中对象的动画设置</w:t>
      </w:r>
      <w:r>
        <w:rPr>
          <w:rFonts w:ascii="MS Minchofalt" w:eastAsia="MS Minchofalt" w:hAnsi="MS Minchofalt" w:cs="MS Minchofalt" w:hint="eastAsia"/>
          <w:sz w:val="22"/>
        </w:rPr>
        <w:t>､</w:t>
      </w:r>
      <w:r>
        <w:rPr>
          <w:rFonts w:ascii="宋体" w:hAnsi="宋体" w:cs="宋体" w:hint="eastAsia"/>
          <w:sz w:val="22"/>
        </w:rPr>
        <w:t>幻灯片间切换效果设置</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超链接</w:t>
      </w:r>
      <w:r>
        <w:rPr>
          <w:rFonts w:ascii="宋体" w:hAnsi="宋体"/>
          <w:sz w:val="22"/>
        </w:rPr>
        <w:t>:</w:t>
      </w:r>
      <w:r>
        <w:rPr>
          <w:rFonts w:ascii="宋体" w:hAnsi="宋体" w:hint="eastAsia"/>
          <w:sz w:val="22"/>
        </w:rPr>
        <w:t>超级链接的插入</w:t>
      </w:r>
      <w:r>
        <w:rPr>
          <w:rFonts w:ascii="MS Minchofalt" w:eastAsia="MS Minchofalt" w:hAnsi="MS Minchofalt" w:cs="MS Minchofalt" w:hint="eastAsia"/>
          <w:sz w:val="22"/>
        </w:rPr>
        <w:t>､</w:t>
      </w:r>
      <w:r>
        <w:rPr>
          <w:rFonts w:ascii="宋体" w:hAnsi="宋体" w:cs="宋体" w:hint="eastAsia"/>
          <w:sz w:val="22"/>
        </w:rPr>
        <w:t>删除</w:t>
      </w:r>
      <w:r>
        <w:rPr>
          <w:rFonts w:ascii="MS Minchofalt" w:eastAsia="MS Minchofalt" w:hAnsi="MS Minchofalt" w:cs="MS Minchofalt" w:hint="eastAsia"/>
          <w:sz w:val="22"/>
        </w:rPr>
        <w:t>､</w:t>
      </w:r>
      <w:r>
        <w:rPr>
          <w:rFonts w:ascii="宋体" w:hAnsi="宋体" w:cs="宋体" w:hint="eastAsia"/>
          <w:sz w:val="22"/>
        </w:rPr>
        <w:t>编辑</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(5)</w:t>
      </w:r>
      <w:r>
        <w:rPr>
          <w:rFonts w:ascii="宋体" w:hAnsi="宋体"/>
          <w:sz w:val="22"/>
        </w:rPr>
        <w:tab/>
      </w:r>
      <w:r>
        <w:rPr>
          <w:rFonts w:ascii="宋体" w:hAnsi="宋体" w:hint="eastAsia"/>
          <w:sz w:val="22"/>
        </w:rPr>
        <w:t>演示文稿放映设置和保存</w:t>
      </w:r>
      <w:r>
        <w:rPr>
          <w:rFonts w:ascii="MS Minchofalt" w:eastAsia="MS Minchofalt" w:hAnsi="MS Minchofalt" w:cs="MS Minchofalt" w:hint="eastAsia"/>
          <w:sz w:val="22"/>
        </w:rPr>
        <w:t>｡</w:t>
      </w:r>
    </w:p>
    <w:p w:rsidR="003717A0" w:rsidRDefault="003717A0">
      <w:pPr>
        <w:ind w:left="147" w:firstLine="420"/>
        <w:rPr>
          <w:rFonts w:ascii="宋体"/>
          <w:sz w:val="22"/>
        </w:rPr>
      </w:pPr>
      <w:r>
        <w:rPr>
          <w:rFonts w:ascii="宋体" w:hAnsi="宋体"/>
          <w:sz w:val="22"/>
        </w:rPr>
        <w:t>6.</w:t>
      </w:r>
      <w:r>
        <w:rPr>
          <w:rFonts w:ascii="宋体" w:hAnsi="宋体" w:hint="eastAsia"/>
          <w:sz w:val="22"/>
        </w:rPr>
        <w:t>综合应用</w:t>
      </w:r>
    </w:p>
    <w:p w:rsidR="003717A0" w:rsidRDefault="003717A0">
      <w:pPr>
        <w:ind w:leftChars="470" w:left="1431" w:hangingChars="202" w:hanging="444"/>
        <w:rPr>
          <w:rFonts w:ascii="宋体"/>
          <w:sz w:val="22"/>
        </w:rPr>
      </w:pPr>
      <w:r>
        <w:rPr>
          <w:rFonts w:ascii="宋体" w:hAnsi="宋体"/>
          <w:sz w:val="22"/>
        </w:rPr>
        <w:t>(1)</w:t>
      </w:r>
      <w:r>
        <w:rPr>
          <w:rFonts w:ascii="宋体" w:hAnsi="宋体"/>
          <w:sz w:val="22"/>
        </w:rPr>
        <w:tab/>
        <w:t>Word</w:t>
      </w:r>
      <w:r>
        <w:rPr>
          <w:rFonts w:ascii="宋体" w:hAnsi="宋体" w:hint="eastAsia"/>
          <w:sz w:val="22"/>
        </w:rPr>
        <w:t>文档与其他格式文档相互转换</w:t>
      </w:r>
      <w:r>
        <w:rPr>
          <w:rFonts w:ascii="宋体" w:hAnsi="宋体"/>
          <w:sz w:val="22"/>
        </w:rPr>
        <w:t>;</w:t>
      </w:r>
      <w:r>
        <w:rPr>
          <w:rFonts w:ascii="宋体" w:hAnsi="宋体" w:hint="eastAsia"/>
          <w:sz w:val="22"/>
        </w:rPr>
        <w:t>嵌入或链接其他应用程序对象</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(2</w:t>
      </w:r>
      <w:r>
        <w:rPr>
          <w:rFonts w:ascii="宋体" w:hAnsi="宋体"/>
          <w:sz w:val="22"/>
        </w:rPr>
        <w:tab/>
        <w:t>Excel</w:t>
      </w:r>
      <w:r>
        <w:rPr>
          <w:rFonts w:ascii="宋体" w:hAnsi="宋体" w:hint="eastAsia"/>
          <w:sz w:val="22"/>
        </w:rPr>
        <w:t>工作表与其他格式文件相互转换</w:t>
      </w:r>
      <w:r>
        <w:rPr>
          <w:rFonts w:ascii="宋体" w:hAnsi="宋体"/>
          <w:sz w:val="22"/>
        </w:rPr>
        <w:t>;</w:t>
      </w:r>
      <w:r>
        <w:rPr>
          <w:rFonts w:ascii="宋体" w:hAnsi="宋体" w:hint="eastAsia"/>
          <w:sz w:val="22"/>
        </w:rPr>
        <w:t>嵌入或链接其他应用程序对象</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(3)</w:t>
      </w:r>
      <w:r>
        <w:rPr>
          <w:rFonts w:ascii="宋体" w:hAnsi="宋体"/>
          <w:sz w:val="22"/>
        </w:rPr>
        <w:tab/>
        <w:t>PowerPoint</w:t>
      </w:r>
      <w:r>
        <w:rPr>
          <w:rFonts w:ascii="宋体" w:hAnsi="宋体" w:hint="eastAsia"/>
          <w:sz w:val="22"/>
        </w:rPr>
        <w:t>嵌入或链接其他应用程序对象</w:t>
      </w:r>
      <w:r>
        <w:rPr>
          <w:rFonts w:ascii="MS Minchofalt" w:eastAsia="MS Minchofalt" w:hAnsi="MS Minchofalt" w:cs="MS Minchofalt" w:hint="eastAsia"/>
          <w:sz w:val="22"/>
        </w:rPr>
        <w:t>｡</w:t>
      </w:r>
    </w:p>
    <w:p w:rsidR="003717A0" w:rsidRDefault="003717A0">
      <w:pPr>
        <w:ind w:leftChars="470" w:left="1431" w:hangingChars="202" w:hanging="444"/>
        <w:rPr>
          <w:rFonts w:ascii="宋体"/>
          <w:sz w:val="22"/>
        </w:rPr>
      </w:pPr>
      <w:r>
        <w:rPr>
          <w:rFonts w:ascii="宋体" w:hAnsi="宋体"/>
          <w:sz w:val="22"/>
        </w:rPr>
        <w:t>(4)</w:t>
      </w:r>
      <w:r>
        <w:rPr>
          <w:rFonts w:ascii="宋体" w:hAnsi="宋体"/>
          <w:sz w:val="22"/>
        </w:rPr>
        <w:tab/>
      </w:r>
      <w:r>
        <w:rPr>
          <w:rFonts w:ascii="宋体" w:hAnsi="宋体" w:hint="eastAsia"/>
          <w:sz w:val="22"/>
        </w:rPr>
        <w:t>综合利用</w:t>
      </w:r>
      <w:r>
        <w:rPr>
          <w:rFonts w:ascii="宋体" w:hAnsi="宋体"/>
          <w:sz w:val="22"/>
        </w:rPr>
        <w:t>Office</w:t>
      </w:r>
      <w:r>
        <w:rPr>
          <w:rFonts w:ascii="宋体" w:hAnsi="宋体" w:hint="eastAsia"/>
          <w:sz w:val="22"/>
        </w:rPr>
        <w:t>软件解决实际问题。</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六、考试样卷</w:t>
      </w:r>
    </w:p>
    <w:p w:rsidR="003717A0" w:rsidRDefault="003717A0">
      <w:pPr>
        <w:autoSpaceDE w:val="0"/>
        <w:autoSpaceDN w:val="0"/>
        <w:adjustRightInd w:val="0"/>
        <w:snapToGrid w:val="0"/>
        <w:spacing w:line="440" w:lineRule="exact"/>
        <w:jc w:val="center"/>
        <w:rPr>
          <w:rFonts w:ascii="宋体"/>
          <w:b/>
          <w:kern w:val="0"/>
          <w:sz w:val="22"/>
        </w:rPr>
      </w:pPr>
      <w:r>
        <w:rPr>
          <w:rFonts w:ascii="宋体" w:hAnsi="宋体" w:hint="eastAsia"/>
          <w:b/>
          <w:kern w:val="0"/>
          <w:sz w:val="22"/>
        </w:rPr>
        <w:t>《大学计算机信息技术基础（</w:t>
      </w:r>
      <w:r>
        <w:rPr>
          <w:rFonts w:ascii="宋体" w:hAnsi="宋体"/>
          <w:b/>
          <w:kern w:val="0"/>
          <w:sz w:val="22"/>
        </w:rPr>
        <w:t>I</w:t>
      </w:r>
      <w:r>
        <w:rPr>
          <w:rFonts w:ascii="宋体" w:hAnsi="宋体" w:hint="eastAsia"/>
          <w:b/>
          <w:kern w:val="0"/>
          <w:sz w:val="22"/>
        </w:rPr>
        <w:t>）》课程考试试题</w:t>
      </w:r>
    </w:p>
    <w:p w:rsidR="003717A0" w:rsidRDefault="003717A0">
      <w:pPr>
        <w:autoSpaceDE w:val="0"/>
        <w:autoSpaceDN w:val="0"/>
        <w:adjustRightInd w:val="0"/>
        <w:snapToGrid w:val="0"/>
        <w:spacing w:line="440" w:lineRule="exact"/>
        <w:jc w:val="center"/>
        <w:rPr>
          <w:rFonts w:ascii="宋体"/>
          <w:kern w:val="0"/>
          <w:sz w:val="22"/>
        </w:rPr>
      </w:pPr>
      <w:r>
        <w:rPr>
          <w:rFonts w:ascii="宋体" w:hAnsi="宋体"/>
          <w:kern w:val="0"/>
          <w:sz w:val="22"/>
        </w:rPr>
        <w:t xml:space="preserve">                           </w:t>
      </w:r>
      <w:r>
        <w:rPr>
          <w:rFonts w:ascii="宋体" w:hAnsi="宋体"/>
          <w:sz w:val="22"/>
          <w:u w:val="single"/>
        </w:rPr>
        <w:t xml:space="preserve">        </w:t>
      </w:r>
      <w:r>
        <w:rPr>
          <w:rFonts w:ascii="宋体" w:hAnsi="宋体" w:hint="eastAsia"/>
          <w:kern w:val="0"/>
          <w:sz w:val="22"/>
        </w:rPr>
        <w:t>年</w:t>
      </w:r>
      <w:r>
        <w:rPr>
          <w:rFonts w:ascii="宋体" w:hAnsi="宋体"/>
          <w:sz w:val="22"/>
          <w:u w:val="single"/>
        </w:rPr>
        <w:t xml:space="preserve">       </w:t>
      </w:r>
      <w:r>
        <w:rPr>
          <w:rFonts w:ascii="宋体" w:hAnsi="宋体" w:hint="eastAsia"/>
          <w:kern w:val="0"/>
          <w:sz w:val="22"/>
        </w:rPr>
        <w:t>学期</w:t>
      </w:r>
      <w:r>
        <w:rPr>
          <w:rFonts w:ascii="宋体" w:hAnsi="宋体"/>
          <w:sz w:val="22"/>
          <w:u w:val="single"/>
        </w:rPr>
        <w:t xml:space="preserve">       </w:t>
      </w:r>
      <w:r>
        <w:rPr>
          <w:rFonts w:ascii="宋体" w:hAnsi="宋体" w:hint="eastAsia"/>
          <w:kern w:val="0"/>
          <w:sz w:val="22"/>
        </w:rPr>
        <w:t>班级</w:t>
      </w:r>
    </w:p>
    <w:p w:rsidR="003717A0" w:rsidRDefault="003717A0">
      <w:pPr>
        <w:autoSpaceDE w:val="0"/>
        <w:autoSpaceDN w:val="0"/>
        <w:adjustRightInd w:val="0"/>
        <w:spacing w:line="440" w:lineRule="exact"/>
        <w:ind w:firstLineChars="193" w:firstLine="426"/>
        <w:jc w:val="center"/>
        <w:rPr>
          <w:rFonts w:ascii="宋体"/>
          <w:b/>
          <w:kern w:val="0"/>
          <w:sz w:val="22"/>
        </w:rPr>
      </w:pPr>
      <w:r>
        <w:rPr>
          <w:rFonts w:ascii="宋体" w:hAnsi="宋体" w:hint="eastAsia"/>
          <w:b/>
          <w:kern w:val="0"/>
          <w:sz w:val="22"/>
        </w:rPr>
        <w:t>时间：</w:t>
      </w:r>
      <w:r>
        <w:rPr>
          <w:rFonts w:ascii="宋体" w:hAnsi="宋体"/>
          <w:b/>
          <w:kern w:val="0"/>
          <w:sz w:val="22"/>
        </w:rPr>
        <w:t>90</w:t>
      </w:r>
      <w:r>
        <w:rPr>
          <w:rFonts w:ascii="宋体" w:hAnsi="宋体" w:hint="eastAsia"/>
          <w:b/>
          <w:kern w:val="0"/>
          <w:sz w:val="22"/>
        </w:rPr>
        <w:t>分钟</w:t>
      </w:r>
      <w:r>
        <w:rPr>
          <w:rFonts w:ascii="宋体" w:hAnsi="宋体"/>
          <w:b/>
          <w:kern w:val="0"/>
          <w:sz w:val="22"/>
        </w:rPr>
        <w:t xml:space="preserve">     </w:t>
      </w:r>
      <w:r>
        <w:rPr>
          <w:rFonts w:ascii="宋体" w:hAnsi="宋体" w:hint="eastAsia"/>
          <w:b/>
          <w:kern w:val="0"/>
          <w:sz w:val="22"/>
        </w:rPr>
        <w:t>总分：</w:t>
      </w:r>
      <w:r>
        <w:rPr>
          <w:rFonts w:ascii="宋体" w:hAnsi="宋体"/>
          <w:b/>
          <w:kern w:val="0"/>
          <w:sz w:val="22"/>
        </w:rPr>
        <w:t>100</w:t>
      </w:r>
      <w:r>
        <w:rPr>
          <w:rFonts w:ascii="宋体" w:hAnsi="宋体" w:hint="eastAsia"/>
          <w:b/>
          <w:kern w:val="0"/>
          <w:sz w:val="22"/>
        </w:rPr>
        <w:t>分</w: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hint="eastAsia"/>
          <w:b/>
          <w:kern w:val="0"/>
          <w:sz w:val="22"/>
        </w:rPr>
        <w:t>一</w:t>
      </w:r>
      <w:r>
        <w:rPr>
          <w:rFonts w:ascii="宋体" w:eastAsia="MS Minchofalt" w:hAnsi="MS Minchofalt" w:cs="MS Minchofalt" w:hint="eastAsia"/>
          <w:b/>
          <w:kern w:val="0"/>
          <w:sz w:val="22"/>
        </w:rPr>
        <w:t>､</w:t>
      </w:r>
      <w:r>
        <w:rPr>
          <w:rFonts w:ascii="宋体" w:cs="HTJ-PK7482000042d-Identity-H"/>
          <w:b/>
          <w:kern w:val="0"/>
          <w:sz w:val="22"/>
        </w:rPr>
        <w:tab/>
      </w:r>
      <w:r>
        <w:rPr>
          <w:rFonts w:ascii="宋体" w:hAnsi="宋体" w:cs="HTJ-PK7482000042d-Identity-H" w:hint="eastAsia"/>
          <w:b/>
          <w:kern w:val="0"/>
          <w:sz w:val="22"/>
        </w:rPr>
        <w:t>基础知识题</w:t>
      </w:r>
      <w:r>
        <w:rPr>
          <w:rFonts w:ascii="宋体" w:hAnsi="宋体" w:cs="HTJ-PK7482000042d-Identity-H"/>
          <w:b/>
          <w:kern w:val="0"/>
          <w:sz w:val="22"/>
        </w:rPr>
        <w:t>(</w:t>
      </w:r>
      <w:r>
        <w:rPr>
          <w:rFonts w:ascii="宋体" w:hAnsi="宋体" w:cs="HTJ-PK7482000042d-Identity-H" w:hint="eastAsia"/>
          <w:b/>
          <w:kern w:val="0"/>
          <w:sz w:val="22"/>
        </w:rPr>
        <w:t>共</w:t>
      </w:r>
      <w:r>
        <w:rPr>
          <w:rFonts w:ascii="宋体" w:hAnsi="宋体" w:cs="E-HZ-PK7482f0-Identity-H"/>
          <w:b/>
          <w:kern w:val="0"/>
          <w:sz w:val="22"/>
        </w:rPr>
        <w:t>45</w:t>
      </w:r>
      <w:r>
        <w:rPr>
          <w:rFonts w:ascii="宋体" w:hAnsi="宋体" w:cs="HTJ-PK7482000042d-Identity-H" w:hint="eastAsia"/>
          <w:b/>
          <w:kern w:val="0"/>
          <w:sz w:val="22"/>
        </w:rPr>
        <w:t>分</w:t>
      </w:r>
      <w:r>
        <w:rPr>
          <w:rFonts w:ascii="宋体" w:cs="HTJ-PK7482000042d-Identity-H"/>
          <w:b/>
          <w:kern w:val="0"/>
          <w:sz w:val="22"/>
        </w:rPr>
        <w:t>,</w:t>
      </w:r>
      <w:r>
        <w:rPr>
          <w:rFonts w:ascii="宋体" w:hAnsi="宋体" w:cs="HTJ-PK7482000042d-Identity-H" w:hint="eastAsia"/>
          <w:b/>
          <w:kern w:val="0"/>
          <w:sz w:val="22"/>
        </w:rPr>
        <w:t>每题</w:t>
      </w:r>
      <w:r>
        <w:rPr>
          <w:rFonts w:ascii="宋体" w:hAnsi="宋体" w:cs="E-HZ-PK7482f0-Identity-H"/>
          <w:b/>
          <w:kern w:val="0"/>
          <w:sz w:val="22"/>
        </w:rPr>
        <w:t>1</w:t>
      </w:r>
      <w:r>
        <w:rPr>
          <w:rFonts w:ascii="宋体" w:hAnsi="宋体" w:cs="HTJ-PK7482000042d-Identity-H" w:hint="eastAsia"/>
          <w:b/>
          <w:kern w:val="0"/>
          <w:sz w:val="22"/>
        </w:rPr>
        <w:t>分</w:t>
      </w:r>
      <w:r>
        <w:rPr>
          <w:rFonts w:ascii="宋体" w:hAnsi="宋体" w:cs="HTJ-PK7482000042d-Identity-H"/>
          <w:b/>
          <w:kern w:val="0"/>
          <w:sz w:val="22"/>
        </w:rPr>
        <w:t>)</w: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b/>
          <w:kern w:val="0"/>
          <w:sz w:val="22"/>
        </w:rPr>
        <w:t>(</w:t>
      </w:r>
      <w:r>
        <w:rPr>
          <w:rFonts w:ascii="宋体" w:hAnsi="宋体" w:cs="HTJ-PK7482000042d-Identity-H" w:hint="eastAsia"/>
          <w:b/>
          <w:kern w:val="0"/>
          <w:sz w:val="22"/>
        </w:rPr>
        <w:t>一</w:t>
      </w:r>
      <w:r>
        <w:rPr>
          <w:rFonts w:ascii="宋体" w:hAnsi="宋体" w:cs="HTJ-PK7482000042d-Identity-H"/>
          <w:b/>
          <w:kern w:val="0"/>
          <w:sz w:val="22"/>
        </w:rPr>
        <w:t>)</w:t>
      </w:r>
      <w:r>
        <w:rPr>
          <w:rFonts w:ascii="宋体" w:hAnsi="宋体" w:cs="HTJ-PK7482000042d-Identity-H" w:hint="eastAsia"/>
          <w:b/>
          <w:kern w:val="0"/>
          <w:sz w:val="22"/>
        </w:rPr>
        <w:t>单选题</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w:t>
      </w:r>
      <w:r>
        <w:rPr>
          <w:rFonts w:ascii="宋体" w:hAnsi="宋体" w:cs="SSJ-PK74820000426-Identity-H" w:hint="eastAsia"/>
          <w:kern w:val="0"/>
          <w:sz w:val="22"/>
        </w:rPr>
        <w:t>当前使用的个人计算机中</w:t>
      </w:r>
      <w:r>
        <w:rPr>
          <w:rFonts w:ascii="宋体" w:cs="SSJ-PK74820000426-Identity-H"/>
          <w:kern w:val="0"/>
          <w:sz w:val="22"/>
        </w:rPr>
        <w:t>,</w:t>
      </w:r>
      <w:r>
        <w:rPr>
          <w:rFonts w:ascii="宋体" w:hAnsi="宋体" w:cs="SSJ-PK74820000426-Identity-H" w:hint="eastAsia"/>
          <w:kern w:val="0"/>
          <w:sz w:val="22"/>
        </w:rPr>
        <w:t>在</w:t>
      </w:r>
      <w:r>
        <w:rPr>
          <w:rFonts w:ascii="宋体" w:hAnsi="宋体" w:cs="E-BZ-PK74835d-Identity-H"/>
          <w:kern w:val="0"/>
          <w:sz w:val="22"/>
        </w:rPr>
        <w:t xml:space="preserve">CPU </w:t>
      </w:r>
      <w:r>
        <w:rPr>
          <w:rFonts w:ascii="宋体" w:hAnsi="宋体" w:cs="SSJ-PK74820000426-Identity-H" w:hint="eastAsia"/>
          <w:kern w:val="0"/>
          <w:sz w:val="22"/>
        </w:rPr>
        <w:t>内部</w:t>
      </w:r>
      <w:r>
        <w:rPr>
          <w:rFonts w:ascii="宋体" w:cs="SSJ-PK74820000426-Identity-H"/>
          <w:kern w:val="0"/>
          <w:sz w:val="22"/>
        </w:rPr>
        <w:t>,</w:t>
      </w:r>
      <w:r>
        <w:rPr>
          <w:rFonts w:ascii="宋体" w:hAnsi="宋体" w:cs="SSJ-PK74820000426-Identity-H" w:hint="eastAsia"/>
          <w:kern w:val="0"/>
          <w:sz w:val="22"/>
        </w:rPr>
        <w:t>比特的两种状态是采用</w:t>
      </w:r>
      <w:r>
        <w:rPr>
          <w:rFonts w:ascii="宋体" w:hAnsi="宋体" w:cs="SSJ-PK74820000426-Identity-H"/>
          <w:kern w:val="0"/>
          <w:sz w:val="22"/>
          <w:u w:val="single"/>
        </w:rPr>
        <w:t xml:space="preserve">        </w:t>
      </w:r>
      <w:r>
        <w:rPr>
          <w:rFonts w:ascii="宋体" w:hAnsi="宋体" w:cs="SSJ-PK74820000426-Identity-H" w:hint="eastAsia"/>
          <w:kern w:val="0"/>
          <w:sz w:val="22"/>
        </w:rPr>
        <w:t>表示的</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SSJ-PK74820000426-Identity-H"/>
          <w:kern w:val="0"/>
          <w:sz w:val="22"/>
        </w:rPr>
      </w:pPr>
      <w:r>
        <w:rPr>
          <w:rFonts w:ascii="宋体" w:hAnsi="宋体" w:cs="E-BZ-PK74835d-Identity-H"/>
          <w:kern w:val="0"/>
          <w:sz w:val="22"/>
        </w:rPr>
        <w:t>A.</w:t>
      </w:r>
      <w:r>
        <w:rPr>
          <w:rFonts w:ascii="宋体" w:hAnsi="宋体" w:cs="SSJ-PK74820000426-Identity-H" w:hint="eastAsia"/>
          <w:kern w:val="0"/>
          <w:sz w:val="22"/>
        </w:rPr>
        <w:t>电容的大或小</w:t>
      </w:r>
      <w:r>
        <w:rPr>
          <w:rFonts w:ascii="宋体" w:cs="SSJ-PK74820000426-Identity-H"/>
          <w:kern w:val="0"/>
          <w:sz w:val="22"/>
        </w:rPr>
        <w:tab/>
      </w:r>
      <w:r>
        <w:rPr>
          <w:rFonts w:ascii="宋体" w:hAnsi="宋体" w:cs="E-BZ-PK74835d-Identity-H"/>
          <w:kern w:val="0"/>
          <w:sz w:val="22"/>
        </w:rPr>
        <w:t>B.</w:t>
      </w:r>
      <w:r>
        <w:rPr>
          <w:rFonts w:ascii="宋体" w:hAnsi="宋体" w:cs="SSJ-PK74820000426-Identity-H" w:hint="eastAsia"/>
          <w:kern w:val="0"/>
          <w:sz w:val="22"/>
        </w:rPr>
        <w:t>电平的高或低</w:t>
      </w:r>
      <w:r>
        <w:rPr>
          <w:rFonts w:ascii="宋体" w:cs="SSJ-PK74820000426-Identity-H"/>
          <w:kern w:val="0"/>
          <w:sz w:val="22"/>
        </w:rPr>
        <w:tab/>
      </w:r>
      <w:r>
        <w:rPr>
          <w:rFonts w:ascii="宋体" w:hAnsi="宋体" w:cs="E-BZ-PK74835d-Identity-H"/>
          <w:kern w:val="0"/>
          <w:sz w:val="22"/>
        </w:rPr>
        <w:t>C.</w:t>
      </w:r>
      <w:r>
        <w:rPr>
          <w:rFonts w:ascii="宋体" w:hAnsi="宋体" w:cs="SSJ-PK74820000426-Identity-H" w:hint="eastAsia"/>
          <w:kern w:val="0"/>
          <w:sz w:val="22"/>
        </w:rPr>
        <w:t>电流的有或无</w:t>
      </w:r>
      <w:r>
        <w:rPr>
          <w:rFonts w:ascii="宋体" w:cs="SSJ-PK74820000426-Identity-H"/>
          <w:kern w:val="0"/>
          <w:sz w:val="22"/>
        </w:rPr>
        <w:tab/>
      </w:r>
      <w:r>
        <w:rPr>
          <w:rFonts w:ascii="宋体" w:hAnsi="宋体" w:cs="E-BZ-PK74835d-Identity-H"/>
          <w:kern w:val="0"/>
          <w:sz w:val="22"/>
        </w:rPr>
        <w:t>D.</w:t>
      </w:r>
      <w:r>
        <w:rPr>
          <w:rFonts w:ascii="宋体" w:hAnsi="宋体" w:cs="SSJ-PK74820000426-Identity-H" w:hint="eastAsia"/>
          <w:kern w:val="0"/>
          <w:sz w:val="22"/>
        </w:rPr>
        <w:t>灯泡的亮或暗</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w:t>
      </w:r>
      <w:r>
        <w:rPr>
          <w:rFonts w:ascii="宋体" w:hAnsi="宋体" w:cs="SSJ-PK74820000426-Identity-H" w:hint="eastAsia"/>
          <w:kern w:val="0"/>
          <w:sz w:val="22"/>
        </w:rPr>
        <w:t>实施逻辑加运算</w:t>
      </w:r>
      <w:r>
        <w:rPr>
          <w:rFonts w:ascii="宋体" w:hAnsi="宋体" w:cs="SSJ-PK74820000426-Identity-H"/>
          <w:kern w:val="0"/>
          <w:sz w:val="22"/>
        </w:rPr>
        <w:t>:</w:t>
      </w:r>
      <w:r>
        <w:rPr>
          <w:rFonts w:ascii="宋体" w:hAnsi="宋体" w:cs="E-BZ-PK74835d-Identity-H"/>
          <w:kern w:val="0"/>
          <w:sz w:val="22"/>
        </w:rPr>
        <w:t>1010</w:t>
      </w:r>
      <w:r>
        <w:rPr>
          <w:rFonts w:ascii="宋体" w:hAnsi="宋体" w:cs="O3-PK748274-Identity-H" w:hint="eastAsia"/>
          <w:kern w:val="0"/>
          <w:sz w:val="22"/>
        </w:rPr>
        <w:t>∨</w:t>
      </w:r>
      <w:r>
        <w:rPr>
          <w:rFonts w:ascii="宋体" w:hAnsi="宋体" w:cs="E-BZ-PK74835d-Identity-H"/>
          <w:kern w:val="0"/>
          <w:sz w:val="22"/>
        </w:rPr>
        <w:t>1001</w:t>
      </w:r>
      <w:r>
        <w:rPr>
          <w:rFonts w:ascii="宋体" w:hAnsi="宋体" w:cs="SSJ-PK74820000426-Identity-H" w:hint="eastAsia"/>
          <w:kern w:val="0"/>
          <w:sz w:val="22"/>
        </w:rPr>
        <w:t>后的结果是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A.1000</w:t>
      </w:r>
      <w:r>
        <w:rPr>
          <w:rFonts w:ascii="宋体" w:hAnsi="宋体" w:cs="E-BZ-PK74835d-Identity-H"/>
          <w:kern w:val="0"/>
          <w:sz w:val="22"/>
        </w:rPr>
        <w:tab/>
      </w:r>
      <w:r>
        <w:rPr>
          <w:rFonts w:ascii="宋体" w:hAnsi="宋体" w:cs="E-BZ-PK74835d-Identity-H"/>
          <w:kern w:val="0"/>
          <w:sz w:val="22"/>
        </w:rPr>
        <w:tab/>
        <w:t>B.0001</w:t>
      </w:r>
      <w:r>
        <w:rPr>
          <w:rFonts w:ascii="宋体" w:hAnsi="宋体" w:cs="E-BZ-PK74835d-Identity-H"/>
          <w:kern w:val="0"/>
          <w:sz w:val="22"/>
        </w:rPr>
        <w:tab/>
      </w:r>
      <w:r>
        <w:rPr>
          <w:rFonts w:ascii="宋体" w:hAnsi="宋体" w:cs="E-BZ-PK74835d-Identity-H"/>
          <w:kern w:val="0"/>
          <w:sz w:val="22"/>
        </w:rPr>
        <w:tab/>
        <w:t>C.1001</w:t>
      </w:r>
      <w:r>
        <w:rPr>
          <w:rFonts w:ascii="宋体" w:hAnsi="宋体" w:cs="E-BZ-PK74835d-Identity-H"/>
          <w:kern w:val="0"/>
          <w:sz w:val="22"/>
        </w:rPr>
        <w:tab/>
      </w:r>
      <w:r>
        <w:rPr>
          <w:rFonts w:ascii="宋体" w:hAnsi="宋体" w:cs="E-BZ-PK74835d-Identity-H"/>
          <w:kern w:val="0"/>
          <w:sz w:val="22"/>
        </w:rPr>
        <w:tab/>
        <w:t>D.1011</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3.</w:t>
      </w:r>
      <w:r>
        <w:rPr>
          <w:rFonts w:ascii="宋体" w:hAnsi="宋体" w:cs="SSJ-PK74820000426-Identity-H" w:hint="eastAsia"/>
          <w:kern w:val="0"/>
          <w:sz w:val="22"/>
        </w:rPr>
        <w:t>下列有关我国汉字编码标准的叙述中</w:t>
      </w:r>
      <w:r>
        <w:rPr>
          <w:rFonts w:ascii="宋体" w:cs="SSJ-PK74820000426-Identity-H"/>
          <w:kern w:val="0"/>
          <w:sz w:val="22"/>
        </w:rPr>
        <w:t>,</w:t>
      </w:r>
      <w:r>
        <w:rPr>
          <w:rFonts w:ascii="宋体" w:hAnsi="宋体" w:cs="SSJ-PK74820000426-Identity-H" w:hint="eastAsia"/>
          <w:kern w:val="0"/>
          <w:sz w:val="22"/>
        </w:rPr>
        <w:t>错误的是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SSJ-PK74820000426-Identity-H"/>
          <w:kern w:val="0"/>
          <w:sz w:val="22"/>
        </w:rPr>
      </w:pPr>
      <w:r>
        <w:rPr>
          <w:rFonts w:ascii="宋体" w:hAnsi="宋体" w:cs="E-BZ-PK74835d-Identity-H"/>
          <w:kern w:val="0"/>
          <w:sz w:val="22"/>
        </w:rPr>
        <w:t>A.GB2312</w:t>
      </w:r>
      <w:r>
        <w:rPr>
          <w:rFonts w:ascii="宋体" w:hAnsi="宋体" w:cs="SSJ-PK74820000426-Identity-H" w:hint="eastAsia"/>
          <w:kern w:val="0"/>
          <w:sz w:val="22"/>
        </w:rPr>
        <w:t>国标字符集所包含的汉字许多情况下已不够使用</w:t>
      </w:r>
    </w:p>
    <w:p w:rsidR="003717A0" w:rsidRDefault="003717A0">
      <w:pPr>
        <w:autoSpaceDE w:val="0"/>
        <w:autoSpaceDN w:val="0"/>
        <w:adjustRightInd w:val="0"/>
        <w:ind w:leftChars="100" w:left="210"/>
        <w:jc w:val="left"/>
        <w:rPr>
          <w:rFonts w:ascii="宋体" w:cs="SSJ-PK74820000426-Identity-H"/>
          <w:kern w:val="0"/>
          <w:sz w:val="22"/>
        </w:rPr>
      </w:pPr>
      <w:r>
        <w:rPr>
          <w:rFonts w:ascii="宋体" w:hAnsi="宋体" w:cs="E-BZ-PK74835d-Identity-H"/>
          <w:kern w:val="0"/>
          <w:sz w:val="22"/>
        </w:rPr>
        <w:t>B.Unicode</w:t>
      </w:r>
      <w:r>
        <w:rPr>
          <w:rFonts w:ascii="宋体" w:hAnsi="宋体" w:cs="SSJ-PK74820000426-Identity-H" w:hint="eastAsia"/>
          <w:kern w:val="0"/>
          <w:sz w:val="22"/>
        </w:rPr>
        <w:t>是我国发布的多文种字符编码标准</w:t>
      </w:r>
    </w:p>
    <w:p w:rsidR="003717A0" w:rsidRDefault="003717A0">
      <w:pPr>
        <w:autoSpaceDE w:val="0"/>
        <w:autoSpaceDN w:val="0"/>
        <w:adjustRightInd w:val="0"/>
        <w:ind w:leftChars="100" w:left="210"/>
        <w:jc w:val="left"/>
        <w:rPr>
          <w:rFonts w:ascii="宋体" w:cs="SSJ-PK74820000426-Identity-H"/>
          <w:kern w:val="0"/>
          <w:sz w:val="22"/>
        </w:rPr>
      </w:pPr>
      <w:r>
        <w:rPr>
          <w:rFonts w:ascii="宋体" w:hAnsi="宋体" w:cs="E-BZ-PK74835d-Identity-H"/>
          <w:kern w:val="0"/>
          <w:sz w:val="22"/>
        </w:rPr>
        <w:t>C.GB18030</w:t>
      </w:r>
      <w:r>
        <w:rPr>
          <w:rFonts w:ascii="宋体" w:hAnsi="宋体" w:cs="SSJ-PK74820000426-Identity-H" w:hint="eastAsia"/>
          <w:kern w:val="0"/>
          <w:sz w:val="22"/>
        </w:rPr>
        <w:t>编码标准中所包含的汉字数目超过</w:t>
      </w:r>
      <w:r>
        <w:rPr>
          <w:rFonts w:ascii="宋体" w:hAnsi="宋体" w:cs="E-BZ-PK74835d-Identity-H"/>
          <w:kern w:val="0"/>
          <w:sz w:val="22"/>
        </w:rPr>
        <w:t>2</w:t>
      </w:r>
      <w:r>
        <w:rPr>
          <w:rFonts w:ascii="宋体" w:hAnsi="宋体" w:cs="SSJ-PK74820000426-Identity-H" w:hint="eastAsia"/>
          <w:kern w:val="0"/>
          <w:sz w:val="22"/>
        </w:rPr>
        <w:t>万个</w:t>
      </w:r>
    </w:p>
    <w:p w:rsidR="003717A0" w:rsidRDefault="003717A0">
      <w:pPr>
        <w:autoSpaceDE w:val="0"/>
        <w:autoSpaceDN w:val="0"/>
        <w:adjustRightInd w:val="0"/>
        <w:ind w:leftChars="100" w:left="210"/>
        <w:jc w:val="left"/>
        <w:rPr>
          <w:rFonts w:ascii="宋体" w:cs="SSJ-PK74820000426-Identity-H"/>
          <w:kern w:val="0"/>
          <w:sz w:val="22"/>
        </w:rPr>
      </w:pPr>
      <w:r>
        <w:rPr>
          <w:rFonts w:ascii="宋体" w:hAnsi="宋体" w:cs="E-BZ-PK74835d-Identity-H"/>
          <w:kern w:val="0"/>
          <w:sz w:val="22"/>
        </w:rPr>
        <w:t>D.</w:t>
      </w:r>
      <w:r>
        <w:rPr>
          <w:rFonts w:ascii="宋体" w:hAnsi="宋体" w:cs="SSJ-PK74820000426-Identity-H" w:hint="eastAsia"/>
          <w:kern w:val="0"/>
          <w:sz w:val="22"/>
        </w:rPr>
        <w:t>我国台湾地区使用的汉字编码标准与大陆不同</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E-BZ-PK74835d-Identity-H"/>
          <w:kern w:val="0"/>
          <w:sz w:val="22"/>
        </w:rPr>
        <w:t>4.</w:t>
      </w:r>
      <w:r>
        <w:rPr>
          <w:rFonts w:ascii="宋体" w:hAnsi="宋体" w:cs="SSJ-PK74820000426-Identity-H" w:hint="eastAsia"/>
          <w:kern w:val="0"/>
          <w:sz w:val="22"/>
        </w:rPr>
        <w:t>下列设备中可作为输入设备使用的是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r>
        <w:rPr>
          <w:rFonts w:ascii="宋体" w:hAnsi="宋体" w:cs="FN-BZ-PK748379-Identity-H" w:hint="eastAsia"/>
          <w:kern w:val="0"/>
          <w:sz w:val="22"/>
        </w:rPr>
        <w:t>①</w:t>
      </w:r>
      <w:r>
        <w:rPr>
          <w:rFonts w:ascii="宋体" w:hAnsi="宋体" w:cs="SSJ-PK74820000426-Identity-H" w:hint="eastAsia"/>
          <w:kern w:val="0"/>
          <w:sz w:val="22"/>
        </w:rPr>
        <w:t>触摸屏</w:t>
      </w:r>
      <w:r>
        <w:rPr>
          <w:rFonts w:ascii="宋体" w:hAnsi="宋体" w:cs="FN-BZ-PK748379-Identity-H" w:hint="eastAsia"/>
          <w:kern w:val="0"/>
          <w:sz w:val="22"/>
        </w:rPr>
        <w:t>②</w:t>
      </w:r>
      <w:r>
        <w:rPr>
          <w:rFonts w:ascii="宋体" w:hAnsi="宋体" w:cs="SSJ-PK74820000426-Identity-H" w:hint="eastAsia"/>
          <w:kern w:val="0"/>
          <w:sz w:val="22"/>
        </w:rPr>
        <w:t>传感器</w:t>
      </w:r>
      <w:r>
        <w:rPr>
          <w:rFonts w:ascii="宋体" w:hAnsi="宋体" w:cs="FN-BZ-PK748379-Identity-H" w:hint="eastAsia"/>
          <w:kern w:val="0"/>
          <w:sz w:val="22"/>
        </w:rPr>
        <w:t>③</w:t>
      </w:r>
      <w:r>
        <w:rPr>
          <w:rFonts w:ascii="宋体" w:hAnsi="宋体" w:cs="SSJ-PK74820000426-Identity-H" w:hint="eastAsia"/>
          <w:kern w:val="0"/>
          <w:sz w:val="22"/>
        </w:rPr>
        <w:t>数码相机</w:t>
      </w:r>
      <w:r>
        <w:rPr>
          <w:rFonts w:ascii="宋体" w:hAnsi="宋体" w:cs="FN-BZ-PK748379-Identity-H" w:hint="eastAsia"/>
          <w:kern w:val="0"/>
          <w:sz w:val="22"/>
        </w:rPr>
        <w:t>④</w:t>
      </w:r>
      <w:r>
        <w:rPr>
          <w:rFonts w:ascii="宋体" w:hAnsi="宋体" w:cs="SSJ-PK74820000426-Identity-H" w:hint="eastAsia"/>
          <w:kern w:val="0"/>
          <w:sz w:val="22"/>
        </w:rPr>
        <w:t>麦克风</w:t>
      </w:r>
      <w:r>
        <w:rPr>
          <w:rFonts w:ascii="宋体" w:hAnsi="宋体" w:cs="FN-BZ-PK748379-Identity-H" w:hint="eastAsia"/>
          <w:kern w:val="0"/>
          <w:sz w:val="22"/>
        </w:rPr>
        <w:t>⑤</w:t>
      </w:r>
      <w:r>
        <w:rPr>
          <w:rFonts w:ascii="宋体" w:hAnsi="宋体" w:cs="SSJ-PK74820000426-Identity-H" w:hint="eastAsia"/>
          <w:kern w:val="0"/>
          <w:sz w:val="22"/>
        </w:rPr>
        <w:t>音箱</w:t>
      </w:r>
      <w:r>
        <w:rPr>
          <w:rFonts w:ascii="宋体" w:hAnsi="宋体" w:cs="FN-BZ-PK748379-Identity-H" w:hint="eastAsia"/>
          <w:kern w:val="0"/>
          <w:sz w:val="22"/>
        </w:rPr>
        <w:t>⑥</w:t>
      </w:r>
      <w:r>
        <w:rPr>
          <w:rFonts w:ascii="宋体" w:hAnsi="宋体" w:cs="SSJ-PK74820000426-Identity-H" w:hint="eastAsia"/>
          <w:kern w:val="0"/>
          <w:sz w:val="22"/>
        </w:rPr>
        <w:t>绘图仪</w:t>
      </w:r>
      <w:r>
        <w:rPr>
          <w:rFonts w:ascii="宋体" w:hAnsi="宋体" w:cs="FN-BZ-PK748379-Identity-H" w:hint="eastAsia"/>
          <w:kern w:val="0"/>
          <w:sz w:val="22"/>
        </w:rPr>
        <w:t>⑦</w:t>
      </w:r>
      <w:r>
        <w:rPr>
          <w:rFonts w:ascii="宋体" w:hAnsi="宋体" w:cs="SSJ-PK74820000426-Identity-H" w:hint="eastAsia"/>
          <w:kern w:val="0"/>
          <w:sz w:val="22"/>
        </w:rPr>
        <w:t>显示器</w:t>
      </w:r>
    </w:p>
    <w:p w:rsidR="003717A0" w:rsidRDefault="003717A0">
      <w:pPr>
        <w:autoSpaceDE w:val="0"/>
        <w:autoSpaceDN w:val="0"/>
        <w:adjustRightInd w:val="0"/>
        <w:ind w:leftChars="100" w:left="210"/>
        <w:jc w:val="left"/>
        <w:rPr>
          <w:rFonts w:ascii="宋体" w:cs="FN-BZ-PK748379-Identity-H"/>
          <w:kern w:val="0"/>
          <w:sz w:val="22"/>
        </w:rPr>
      </w:pPr>
      <w:r>
        <w:rPr>
          <w:rFonts w:ascii="宋体" w:hAnsi="宋体" w:cs="E-BZ-PK74835d-Identity-H"/>
          <w:kern w:val="0"/>
          <w:sz w:val="22"/>
        </w:rPr>
        <w:t>A.</w:t>
      </w:r>
      <w:r>
        <w:rPr>
          <w:rFonts w:ascii="宋体" w:hAnsi="宋体" w:cs="FN-BZ-PK748379-Identity-H" w:hint="eastAsia"/>
          <w:kern w:val="0"/>
          <w:sz w:val="22"/>
        </w:rPr>
        <w:t>①②③④</w:t>
      </w:r>
      <w:r>
        <w:rPr>
          <w:rFonts w:ascii="宋体" w:cs="FN-BZ-PK748379-Identity-H"/>
          <w:kern w:val="0"/>
          <w:sz w:val="22"/>
        </w:rPr>
        <w:tab/>
      </w:r>
      <w:r>
        <w:rPr>
          <w:rFonts w:ascii="宋体" w:cs="FN-BZ-PK748379-Identity-H"/>
          <w:kern w:val="0"/>
          <w:sz w:val="22"/>
        </w:rPr>
        <w:tab/>
      </w:r>
      <w:r>
        <w:rPr>
          <w:rFonts w:ascii="宋体" w:cs="FN-BZ-PK748379-Identity-H"/>
          <w:kern w:val="0"/>
          <w:sz w:val="22"/>
        </w:rPr>
        <w:tab/>
      </w:r>
      <w:r>
        <w:rPr>
          <w:rFonts w:ascii="宋体" w:cs="FN-BZ-PK748379-Identity-H"/>
          <w:kern w:val="0"/>
          <w:sz w:val="22"/>
        </w:rPr>
        <w:tab/>
      </w:r>
      <w:r>
        <w:rPr>
          <w:rFonts w:ascii="宋体" w:hAnsi="宋体" w:cs="E-BZ-PK74835d-Identity-H"/>
          <w:kern w:val="0"/>
          <w:sz w:val="22"/>
        </w:rPr>
        <w:t>B.</w:t>
      </w:r>
      <w:r>
        <w:rPr>
          <w:rFonts w:ascii="宋体" w:hAnsi="宋体" w:cs="FN-BZ-PK748379-Identity-H" w:hint="eastAsia"/>
          <w:kern w:val="0"/>
          <w:sz w:val="22"/>
        </w:rPr>
        <w:t>①②⑤⑦</w:t>
      </w:r>
    </w:p>
    <w:p w:rsidR="003717A0" w:rsidRDefault="003717A0">
      <w:pPr>
        <w:autoSpaceDE w:val="0"/>
        <w:autoSpaceDN w:val="0"/>
        <w:adjustRightInd w:val="0"/>
        <w:ind w:leftChars="100" w:left="210"/>
        <w:jc w:val="left"/>
        <w:rPr>
          <w:rFonts w:ascii="宋体" w:cs="FN-BZ-PK748379-Identity-H"/>
          <w:kern w:val="0"/>
          <w:sz w:val="22"/>
        </w:rPr>
      </w:pPr>
      <w:r>
        <w:rPr>
          <w:rFonts w:ascii="宋体" w:hAnsi="宋体" w:cs="E-BZ-PK74835d-Identity-H"/>
          <w:kern w:val="0"/>
          <w:sz w:val="22"/>
        </w:rPr>
        <w:t>C.</w:t>
      </w:r>
      <w:r>
        <w:rPr>
          <w:rFonts w:ascii="宋体" w:hAnsi="宋体" w:cs="FN-BZ-PK748379-Identity-H" w:hint="eastAsia"/>
          <w:kern w:val="0"/>
          <w:sz w:val="22"/>
        </w:rPr>
        <w:t>③④⑤⑥</w:t>
      </w:r>
      <w:r>
        <w:rPr>
          <w:rFonts w:ascii="宋体" w:cs="FN-BZ-PK748379-Identity-H"/>
          <w:kern w:val="0"/>
          <w:sz w:val="22"/>
        </w:rPr>
        <w:tab/>
      </w:r>
      <w:r>
        <w:rPr>
          <w:rFonts w:ascii="宋体" w:cs="FN-BZ-PK748379-Identity-H"/>
          <w:kern w:val="0"/>
          <w:sz w:val="22"/>
        </w:rPr>
        <w:tab/>
      </w:r>
      <w:r>
        <w:rPr>
          <w:rFonts w:ascii="宋体" w:cs="FN-BZ-PK748379-Identity-H"/>
          <w:kern w:val="0"/>
          <w:sz w:val="22"/>
        </w:rPr>
        <w:tab/>
      </w:r>
      <w:r>
        <w:rPr>
          <w:rFonts w:ascii="宋体" w:cs="FN-BZ-PK748379-Identity-H"/>
          <w:kern w:val="0"/>
          <w:sz w:val="22"/>
        </w:rPr>
        <w:tab/>
      </w:r>
      <w:r>
        <w:rPr>
          <w:rFonts w:ascii="宋体" w:hAnsi="宋体" w:cs="E-BZ-PK74835d-Identity-H"/>
          <w:kern w:val="0"/>
          <w:sz w:val="22"/>
        </w:rPr>
        <w:t>D.</w:t>
      </w:r>
      <w:r>
        <w:rPr>
          <w:rFonts w:ascii="宋体" w:hAnsi="宋体" w:cs="FN-BZ-PK748379-Identity-H" w:hint="eastAsia"/>
          <w:kern w:val="0"/>
          <w:sz w:val="22"/>
        </w:rPr>
        <w:t>④⑤⑥⑦</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5.</w:t>
      </w:r>
      <w:r>
        <w:rPr>
          <w:rFonts w:ascii="宋体" w:hAnsi="宋体" w:cs="SSJ-PK74820000426-Identity-H" w:hint="eastAsia"/>
          <w:kern w:val="0"/>
          <w:sz w:val="22"/>
        </w:rPr>
        <w:t>近</w:t>
      </w:r>
      <w:r>
        <w:rPr>
          <w:rFonts w:ascii="宋体" w:hAnsi="宋体" w:cs="E-BZ-PK74835d-Identity-H"/>
          <w:kern w:val="0"/>
          <w:sz w:val="22"/>
        </w:rPr>
        <w:t>30</w:t>
      </w:r>
      <w:r>
        <w:rPr>
          <w:rFonts w:ascii="宋体" w:hAnsi="宋体" w:cs="SSJ-PK74820000426-Identity-H" w:hint="eastAsia"/>
          <w:kern w:val="0"/>
          <w:sz w:val="22"/>
        </w:rPr>
        <w:t>年来微处理器的发展非常迅速</w:t>
      </w:r>
      <w:r>
        <w:rPr>
          <w:rFonts w:ascii="宋体" w:cs="SSJ-PK74820000426-Identity-H"/>
          <w:kern w:val="0"/>
          <w:sz w:val="22"/>
        </w:rPr>
        <w:t>,</w:t>
      </w:r>
      <w:r>
        <w:rPr>
          <w:rFonts w:ascii="宋体" w:hAnsi="宋体" w:cs="SSJ-PK74820000426-Identity-H" w:hint="eastAsia"/>
          <w:kern w:val="0"/>
          <w:sz w:val="22"/>
        </w:rPr>
        <w:t>下面关于微处理器发展的叙述不准确的是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微处理器中包含的晶体管越来越多</w:t>
      </w:r>
      <w:r>
        <w:rPr>
          <w:rFonts w:ascii="宋体" w:cs="E-BZ-PK74835d-Identity-H"/>
          <w:kern w:val="0"/>
          <w:sz w:val="22"/>
        </w:rPr>
        <w:t>,</w:t>
      </w:r>
      <w:r>
        <w:rPr>
          <w:rFonts w:ascii="宋体" w:hAnsi="宋体" w:cs="E-BZ-PK74835d-Identity-H" w:hint="eastAsia"/>
          <w:kern w:val="0"/>
          <w:sz w:val="22"/>
        </w:rPr>
        <w:t>功能越来越强大</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微处理器中</w:t>
      </w:r>
      <w:r>
        <w:rPr>
          <w:rFonts w:ascii="宋体" w:hAnsi="宋体" w:cs="E-BZ-PK74835d-Identity-H"/>
          <w:kern w:val="0"/>
          <w:sz w:val="22"/>
        </w:rPr>
        <w:t>Cache</w:t>
      </w:r>
      <w:r>
        <w:rPr>
          <w:rFonts w:ascii="宋体" w:hAnsi="宋体" w:cs="E-BZ-PK74835d-Identity-H" w:hint="eastAsia"/>
          <w:kern w:val="0"/>
          <w:sz w:val="22"/>
        </w:rPr>
        <w:t>的容量越来越大</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微处理器的指令系统越来越标准化</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t>
      </w:r>
      <w:r>
        <w:rPr>
          <w:rFonts w:ascii="宋体" w:hAnsi="宋体" w:cs="E-BZ-PK74835d-Identity-H" w:hint="eastAsia"/>
          <w:kern w:val="0"/>
          <w:sz w:val="22"/>
        </w:rPr>
        <w:t>微处理器的性能价格比越来越高</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6.CPU</w:t>
      </w:r>
      <w:r>
        <w:rPr>
          <w:rFonts w:ascii="宋体" w:hAnsi="宋体" w:cs="SSJ-PK74820000426-Identity-H" w:hint="eastAsia"/>
          <w:kern w:val="0"/>
          <w:sz w:val="22"/>
        </w:rPr>
        <w:t>主要由寄存器组</w:t>
      </w:r>
      <w:r>
        <w:rPr>
          <w:rFonts w:ascii="宋体" w:eastAsia="MS Minchofalt" w:hAnsi="MS Minchofalt" w:cs="MS Minchofalt" w:hint="eastAsia"/>
          <w:kern w:val="0"/>
          <w:sz w:val="22"/>
        </w:rPr>
        <w:t>､</w:t>
      </w:r>
      <w:r>
        <w:rPr>
          <w:rFonts w:ascii="宋体" w:hAnsi="宋体" w:cs="宋体" w:hint="eastAsia"/>
          <w:kern w:val="0"/>
          <w:sz w:val="22"/>
        </w:rPr>
        <w:t>运算器和控制器</w:t>
      </w:r>
      <w:r>
        <w:rPr>
          <w:rFonts w:ascii="宋体" w:hAnsi="宋体" w:cs="E-BZ-PK74835d-Identity-H"/>
          <w:kern w:val="0"/>
          <w:sz w:val="22"/>
        </w:rPr>
        <w:t>3</w:t>
      </w:r>
      <w:r>
        <w:rPr>
          <w:rFonts w:ascii="宋体" w:hAnsi="宋体" w:cs="SSJ-PK74820000426-Identity-H" w:hint="eastAsia"/>
          <w:kern w:val="0"/>
          <w:sz w:val="22"/>
        </w:rPr>
        <w:t>个部分组成</w:t>
      </w:r>
      <w:r>
        <w:rPr>
          <w:rFonts w:ascii="宋体" w:cs="SSJ-PK74820000426-Identity-H"/>
          <w:kern w:val="0"/>
          <w:sz w:val="22"/>
        </w:rPr>
        <w:t>,</w:t>
      </w:r>
      <w:r>
        <w:rPr>
          <w:rFonts w:ascii="宋体" w:hAnsi="宋体" w:cs="SSJ-PK74820000426-Identity-H" w:hint="eastAsia"/>
          <w:kern w:val="0"/>
          <w:sz w:val="22"/>
        </w:rPr>
        <w:t>控制器的基本功能是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进行算术运算和逻辑运算</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存储各种数据和信息</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保持各种控制状态</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lastRenderedPageBreak/>
        <w:t>D.</w:t>
      </w:r>
      <w:r>
        <w:rPr>
          <w:rFonts w:ascii="宋体" w:hAnsi="宋体" w:cs="E-BZ-PK74835d-Identity-H" w:hint="eastAsia"/>
          <w:kern w:val="0"/>
          <w:sz w:val="22"/>
        </w:rPr>
        <w:t>指挥和控制各个部件协调一致地工作</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7.</w:t>
      </w:r>
      <w:r>
        <w:rPr>
          <w:rFonts w:ascii="宋体" w:hAnsi="宋体" w:cs="SSJ-PK74820000426-Identity-H" w:hint="eastAsia"/>
          <w:kern w:val="0"/>
          <w:sz w:val="22"/>
        </w:rPr>
        <w:t>下面列出的四种半导体存储器中</w:t>
      </w:r>
      <w:r>
        <w:rPr>
          <w:rFonts w:ascii="宋体" w:cs="SSJ-PK74820000426-Identity-H"/>
          <w:kern w:val="0"/>
          <w:sz w:val="22"/>
        </w:rPr>
        <w:t>,</w:t>
      </w:r>
      <w:r>
        <w:rPr>
          <w:rFonts w:ascii="宋体" w:hAnsi="宋体" w:cs="SSJ-PK74820000426-Identity-H" w:hint="eastAsia"/>
          <w:kern w:val="0"/>
          <w:sz w:val="22"/>
        </w:rPr>
        <w:t>属于非易失性存储器的是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A.SRAM</w:t>
      </w:r>
      <w:r>
        <w:rPr>
          <w:rFonts w:ascii="宋体" w:hAnsi="宋体" w:cs="E-BZ-PK74835d-Identity-H"/>
          <w:kern w:val="0"/>
          <w:sz w:val="22"/>
        </w:rPr>
        <w:tab/>
      </w:r>
      <w:r>
        <w:rPr>
          <w:rFonts w:ascii="宋体" w:hAnsi="宋体" w:cs="E-BZ-PK74835d-Identity-H"/>
          <w:kern w:val="0"/>
          <w:sz w:val="22"/>
        </w:rPr>
        <w:tab/>
        <w:t>B.DRAM</w:t>
      </w:r>
      <w:r>
        <w:rPr>
          <w:rFonts w:ascii="宋体" w:hAnsi="宋体" w:cs="E-BZ-PK74835d-Identity-H"/>
          <w:kern w:val="0"/>
          <w:sz w:val="22"/>
        </w:rPr>
        <w:tab/>
      </w:r>
      <w:r>
        <w:rPr>
          <w:rFonts w:ascii="宋体" w:hAnsi="宋体" w:cs="E-BZ-PK74835d-Identity-H"/>
          <w:kern w:val="0"/>
          <w:sz w:val="22"/>
        </w:rPr>
        <w:tab/>
        <w:t>C.cache</w:t>
      </w:r>
      <w:r>
        <w:rPr>
          <w:rFonts w:ascii="宋体" w:hAnsi="宋体" w:cs="E-BZ-PK74835d-Identity-H"/>
          <w:kern w:val="0"/>
          <w:sz w:val="22"/>
        </w:rPr>
        <w:tab/>
      </w:r>
      <w:r>
        <w:rPr>
          <w:rFonts w:ascii="宋体" w:hAnsi="宋体" w:cs="E-BZ-PK74835d-Identity-H"/>
          <w:kern w:val="0"/>
          <w:sz w:val="22"/>
        </w:rPr>
        <w:tab/>
        <w:t>D.Flash ROM</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8.</w:t>
      </w:r>
      <w:r>
        <w:rPr>
          <w:rFonts w:ascii="宋体" w:hAnsi="宋体" w:cs="SSJ-PK74820000426-Identity-H" w:hint="eastAsia"/>
          <w:kern w:val="0"/>
          <w:sz w:val="22"/>
        </w:rPr>
        <w:t>关于</w:t>
      </w:r>
      <w:r>
        <w:rPr>
          <w:rFonts w:ascii="宋体" w:hAnsi="宋体" w:cs="E-BZ-PK74835d-Identity-H"/>
          <w:kern w:val="0"/>
          <w:sz w:val="22"/>
        </w:rPr>
        <w:t>I/O</w:t>
      </w:r>
      <w:r>
        <w:rPr>
          <w:rFonts w:ascii="宋体" w:hAnsi="宋体" w:cs="SSJ-PK74820000426-Identity-H" w:hint="eastAsia"/>
          <w:kern w:val="0"/>
          <w:sz w:val="22"/>
        </w:rPr>
        <w:t>接口</w:t>
      </w:r>
      <w:r>
        <w:rPr>
          <w:rFonts w:ascii="宋体" w:cs="SSJ-PK74820000426-Identity-H"/>
          <w:kern w:val="0"/>
          <w:sz w:val="22"/>
        </w:rPr>
        <w:t>,</w:t>
      </w:r>
      <w:r>
        <w:rPr>
          <w:rFonts w:ascii="宋体" w:hAnsi="宋体" w:cs="SSJ-PK74820000426-Identity-H" w:hint="eastAsia"/>
          <w:kern w:val="0"/>
          <w:sz w:val="22"/>
        </w:rPr>
        <w:t>下列的说法</w:t>
      </w:r>
      <w:r>
        <w:rPr>
          <w:rFonts w:ascii="宋体" w:hAnsi="宋体" w:cs="SSJ-PK74820000426-Identity-H"/>
          <w:kern w:val="0"/>
          <w:sz w:val="22"/>
          <w:u w:val="single"/>
        </w:rPr>
        <w:t xml:space="preserve">        </w:t>
      </w:r>
      <w:r>
        <w:rPr>
          <w:rFonts w:ascii="宋体" w:hAnsi="宋体" w:cs="SSJ-PK74820000426-Identity-H" w:hint="eastAsia"/>
          <w:kern w:val="0"/>
          <w:sz w:val="22"/>
        </w:rPr>
        <w:t>是最确切的</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A.I/O</w:t>
      </w:r>
      <w:r>
        <w:rPr>
          <w:rFonts w:ascii="宋体" w:hAnsi="宋体" w:cs="E-BZ-PK74835d-Identity-H" w:hint="eastAsia"/>
          <w:kern w:val="0"/>
          <w:sz w:val="22"/>
        </w:rPr>
        <w:t>接口即</w:t>
      </w:r>
      <w:r>
        <w:rPr>
          <w:rFonts w:ascii="宋体" w:hAnsi="宋体" w:cs="E-BZ-PK74835d-Identity-H"/>
          <w:kern w:val="0"/>
          <w:sz w:val="22"/>
        </w:rPr>
        <w:t>I/O</w:t>
      </w:r>
      <w:r>
        <w:rPr>
          <w:rFonts w:ascii="宋体" w:hAnsi="宋体" w:cs="E-BZ-PK74835d-Identity-H" w:hint="eastAsia"/>
          <w:kern w:val="0"/>
          <w:sz w:val="22"/>
        </w:rPr>
        <w:t>控制器</w:t>
      </w:r>
      <w:r>
        <w:rPr>
          <w:rFonts w:ascii="宋体" w:cs="E-BZ-PK74835d-Identity-H"/>
          <w:kern w:val="0"/>
          <w:sz w:val="22"/>
        </w:rPr>
        <w:t>,</w:t>
      </w:r>
      <w:r>
        <w:rPr>
          <w:rFonts w:ascii="宋体" w:hAnsi="宋体" w:cs="E-BZ-PK74835d-Identity-H" w:hint="eastAsia"/>
          <w:kern w:val="0"/>
          <w:sz w:val="22"/>
        </w:rPr>
        <w:t>它负责对</w:t>
      </w:r>
      <w:r>
        <w:rPr>
          <w:rFonts w:ascii="宋体" w:hAnsi="宋体" w:cs="E-BZ-PK74835d-Identity-H"/>
          <w:kern w:val="0"/>
          <w:sz w:val="22"/>
        </w:rPr>
        <w:t>I/O</w:t>
      </w:r>
      <w:r>
        <w:rPr>
          <w:rFonts w:ascii="宋体" w:hAnsi="宋体" w:cs="E-BZ-PK74835d-Identity-H" w:hint="eastAsia"/>
          <w:kern w:val="0"/>
          <w:sz w:val="22"/>
        </w:rPr>
        <w:t>设备进行控制</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B.I/O</w:t>
      </w:r>
      <w:r>
        <w:rPr>
          <w:rFonts w:ascii="宋体" w:hAnsi="宋体" w:cs="E-BZ-PK74835d-Identity-H" w:hint="eastAsia"/>
          <w:kern w:val="0"/>
          <w:sz w:val="22"/>
        </w:rPr>
        <w:t>接口用来将</w:t>
      </w:r>
      <w:r>
        <w:rPr>
          <w:rFonts w:ascii="宋体" w:hAnsi="宋体" w:cs="E-BZ-PK74835d-Identity-H"/>
          <w:kern w:val="0"/>
          <w:sz w:val="22"/>
        </w:rPr>
        <w:t>I/O</w:t>
      </w:r>
      <w:r>
        <w:rPr>
          <w:rFonts w:ascii="宋体" w:hAnsi="宋体" w:cs="E-BZ-PK74835d-Identity-H" w:hint="eastAsia"/>
          <w:kern w:val="0"/>
          <w:sz w:val="22"/>
        </w:rPr>
        <w:t>设备与主机相互连接</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C.I/O</w:t>
      </w:r>
      <w:r>
        <w:rPr>
          <w:rFonts w:ascii="宋体" w:hAnsi="宋体" w:cs="E-BZ-PK74835d-Identity-H" w:hint="eastAsia"/>
          <w:kern w:val="0"/>
          <w:sz w:val="22"/>
        </w:rPr>
        <w:t>接口即主板上的扩充槽</w:t>
      </w:r>
      <w:r>
        <w:rPr>
          <w:rFonts w:ascii="宋体" w:cs="E-BZ-PK74835d-Identity-H"/>
          <w:kern w:val="0"/>
          <w:sz w:val="22"/>
        </w:rPr>
        <w:t>,</w:t>
      </w:r>
      <w:r>
        <w:rPr>
          <w:rFonts w:ascii="宋体" w:hAnsi="宋体" w:cs="E-BZ-PK74835d-Identity-H" w:hint="eastAsia"/>
          <w:kern w:val="0"/>
          <w:sz w:val="22"/>
        </w:rPr>
        <w:t>它用来连接</w:t>
      </w:r>
      <w:r>
        <w:rPr>
          <w:rFonts w:ascii="宋体" w:hAnsi="宋体" w:cs="E-BZ-PK74835d-Identity-H"/>
          <w:kern w:val="0"/>
          <w:sz w:val="22"/>
        </w:rPr>
        <w:t>I/O</w:t>
      </w:r>
      <w:r>
        <w:rPr>
          <w:rFonts w:ascii="宋体" w:hAnsi="宋体" w:cs="E-BZ-PK74835d-Identity-H" w:hint="eastAsia"/>
          <w:kern w:val="0"/>
          <w:sz w:val="22"/>
        </w:rPr>
        <w:t>设备与主存</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D.I/O</w:t>
      </w:r>
      <w:r>
        <w:rPr>
          <w:rFonts w:ascii="宋体" w:hAnsi="宋体" w:cs="E-BZ-PK74835d-Identity-H" w:hint="eastAsia"/>
          <w:kern w:val="0"/>
          <w:sz w:val="22"/>
        </w:rPr>
        <w:t>接口即</w:t>
      </w:r>
      <w:r>
        <w:rPr>
          <w:rFonts w:ascii="宋体" w:hAnsi="宋体" w:cs="E-BZ-PK74835d-Identity-H"/>
          <w:kern w:val="0"/>
          <w:sz w:val="22"/>
        </w:rPr>
        <w:t>I/O</w:t>
      </w:r>
      <w:r>
        <w:rPr>
          <w:rFonts w:ascii="宋体" w:hAnsi="宋体" w:cs="E-BZ-PK74835d-Identity-H" w:hint="eastAsia"/>
          <w:kern w:val="0"/>
          <w:sz w:val="22"/>
        </w:rPr>
        <w:t>总线</w:t>
      </w:r>
      <w:r>
        <w:rPr>
          <w:rFonts w:ascii="宋体" w:cs="E-BZ-PK74835d-Identity-H"/>
          <w:kern w:val="0"/>
          <w:sz w:val="22"/>
        </w:rPr>
        <w:t>,</w:t>
      </w:r>
      <w:r>
        <w:rPr>
          <w:rFonts w:ascii="宋体" w:hAnsi="宋体" w:cs="E-BZ-PK74835d-Identity-H" w:hint="eastAsia"/>
          <w:kern w:val="0"/>
          <w:sz w:val="22"/>
        </w:rPr>
        <w:t>用来连接</w:t>
      </w:r>
      <w:r>
        <w:rPr>
          <w:rFonts w:ascii="宋体" w:hAnsi="宋体" w:cs="E-BZ-PK74835d-Identity-H"/>
          <w:kern w:val="0"/>
          <w:sz w:val="22"/>
        </w:rPr>
        <w:t>I/O</w:t>
      </w:r>
      <w:r>
        <w:rPr>
          <w:rFonts w:ascii="宋体" w:hAnsi="宋体" w:cs="E-BZ-PK74835d-Identity-H" w:hint="eastAsia"/>
          <w:kern w:val="0"/>
          <w:sz w:val="22"/>
        </w:rPr>
        <w:t>设备与</w:t>
      </w:r>
      <w:r>
        <w:rPr>
          <w:rFonts w:ascii="宋体" w:hAnsi="宋体" w:cs="E-BZ-PK74835d-Identity-H"/>
          <w:kern w:val="0"/>
          <w:sz w:val="22"/>
        </w:rPr>
        <w:t>CPU</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9.</w:t>
      </w:r>
      <w:r>
        <w:rPr>
          <w:rFonts w:ascii="宋体" w:hAnsi="宋体" w:cs="SSJ-PK74820000426-Identity-H" w:hint="eastAsia"/>
          <w:kern w:val="0"/>
          <w:sz w:val="22"/>
        </w:rPr>
        <w:t>关于键盘上的</w:t>
      </w:r>
      <w:r>
        <w:rPr>
          <w:rFonts w:ascii="宋体" w:hAnsi="宋体" w:cs="E-BZ-PK74835d-Identity-H"/>
          <w:kern w:val="0"/>
          <w:sz w:val="22"/>
        </w:rPr>
        <w:t>CapsLock</w:t>
      </w:r>
      <w:r>
        <w:rPr>
          <w:rFonts w:ascii="宋体" w:hAnsi="宋体" w:cs="SSJ-PK74820000426-Identity-H" w:hint="eastAsia"/>
          <w:kern w:val="0"/>
          <w:sz w:val="22"/>
        </w:rPr>
        <w:t>键</w:t>
      </w:r>
      <w:r>
        <w:rPr>
          <w:rFonts w:ascii="宋体" w:cs="SSJ-PK74820000426-Identity-H"/>
          <w:kern w:val="0"/>
          <w:sz w:val="22"/>
        </w:rPr>
        <w:t>,</w:t>
      </w:r>
      <w:r>
        <w:rPr>
          <w:rFonts w:ascii="宋体" w:hAnsi="宋体" w:cs="SSJ-PK74820000426-Identity-H" w:hint="eastAsia"/>
          <w:kern w:val="0"/>
          <w:sz w:val="22"/>
        </w:rPr>
        <w:t>下列说法正确的是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A.CapsLock</w:t>
      </w:r>
      <w:r>
        <w:rPr>
          <w:rFonts w:ascii="宋体" w:hAnsi="宋体" w:cs="E-BZ-PK74835d-Identity-H" w:hint="eastAsia"/>
          <w:kern w:val="0"/>
          <w:sz w:val="22"/>
        </w:rPr>
        <w:t>键与</w:t>
      </w:r>
      <w:r>
        <w:rPr>
          <w:rFonts w:ascii="宋体" w:hAnsi="宋体" w:cs="E-BZ-PK74835d-Identity-H"/>
          <w:kern w:val="0"/>
          <w:sz w:val="22"/>
        </w:rPr>
        <w:t>Alt+Del</w:t>
      </w:r>
      <w:r>
        <w:rPr>
          <w:rFonts w:ascii="宋体" w:hAnsi="宋体" w:cs="E-BZ-PK74835d-Identity-H" w:hint="eastAsia"/>
          <w:kern w:val="0"/>
          <w:sz w:val="22"/>
        </w:rPr>
        <w:t>键组合可以实现计算机热启动</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当</w:t>
      </w:r>
      <w:r>
        <w:rPr>
          <w:rFonts w:ascii="宋体" w:hAnsi="宋体" w:cs="E-BZ-PK74835d-Identity-H"/>
          <w:kern w:val="0"/>
          <w:sz w:val="22"/>
        </w:rPr>
        <w:t>CapsLock</w:t>
      </w:r>
      <w:r>
        <w:rPr>
          <w:rFonts w:ascii="宋体" w:hAnsi="宋体" w:cs="E-BZ-PK74835d-Identity-H" w:hint="eastAsia"/>
          <w:kern w:val="0"/>
          <w:sz w:val="22"/>
        </w:rPr>
        <w:t>指示灯亮着的时候</w:t>
      </w:r>
      <w:r>
        <w:rPr>
          <w:rFonts w:ascii="宋体" w:cs="E-BZ-PK74835d-Identity-H"/>
          <w:kern w:val="0"/>
          <w:sz w:val="22"/>
        </w:rPr>
        <w:t>,</w:t>
      </w:r>
      <w:r>
        <w:rPr>
          <w:rFonts w:ascii="宋体" w:hAnsi="宋体" w:cs="E-BZ-PK74835d-Identity-H" w:hint="eastAsia"/>
          <w:kern w:val="0"/>
          <w:sz w:val="22"/>
        </w:rPr>
        <w:t>按主键盘的数字键</w:t>
      </w:r>
      <w:r>
        <w:rPr>
          <w:rFonts w:ascii="宋体" w:cs="E-BZ-PK74835d-Identity-H"/>
          <w:kern w:val="0"/>
          <w:sz w:val="22"/>
        </w:rPr>
        <w:t>,</w:t>
      </w:r>
      <w:r>
        <w:rPr>
          <w:rFonts w:ascii="宋体" w:hAnsi="宋体" w:cs="E-BZ-PK74835d-Identity-H" w:hint="eastAsia"/>
          <w:kern w:val="0"/>
          <w:sz w:val="22"/>
        </w:rPr>
        <w:t>可输入其上部的特殊字符</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当</w:t>
      </w:r>
      <w:r>
        <w:rPr>
          <w:rFonts w:ascii="宋体" w:hAnsi="宋体" w:cs="E-BZ-PK74835d-Identity-H"/>
          <w:kern w:val="0"/>
          <w:sz w:val="22"/>
        </w:rPr>
        <w:t>CapsLock</w:t>
      </w:r>
      <w:r>
        <w:rPr>
          <w:rFonts w:ascii="宋体" w:hAnsi="宋体" w:cs="E-BZ-PK74835d-Identity-H" w:hint="eastAsia"/>
          <w:kern w:val="0"/>
          <w:sz w:val="22"/>
        </w:rPr>
        <w:t>指示灯亮着的时候</w:t>
      </w:r>
      <w:r>
        <w:rPr>
          <w:rFonts w:ascii="宋体" w:cs="E-BZ-PK74835d-Identity-H"/>
          <w:kern w:val="0"/>
          <w:sz w:val="22"/>
        </w:rPr>
        <w:t>,</w:t>
      </w:r>
      <w:r>
        <w:rPr>
          <w:rFonts w:ascii="宋体" w:hAnsi="宋体" w:cs="E-BZ-PK74835d-Identity-H" w:hint="eastAsia"/>
          <w:kern w:val="0"/>
          <w:sz w:val="22"/>
        </w:rPr>
        <w:t>按字母键</w:t>
      </w:r>
      <w:r>
        <w:rPr>
          <w:rFonts w:ascii="宋体" w:cs="E-BZ-PK74835d-Identity-H"/>
          <w:kern w:val="0"/>
          <w:sz w:val="22"/>
        </w:rPr>
        <w:t>,</w:t>
      </w:r>
      <w:r>
        <w:rPr>
          <w:rFonts w:ascii="宋体" w:hAnsi="宋体" w:cs="E-BZ-PK74835d-Identity-H" w:hint="eastAsia"/>
          <w:kern w:val="0"/>
          <w:sz w:val="22"/>
        </w:rPr>
        <w:t>可输入大写字母</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D.CapsLock</w:t>
      </w:r>
      <w:r>
        <w:rPr>
          <w:rFonts w:ascii="宋体" w:hAnsi="宋体" w:cs="E-BZ-PK74835d-Identity-H" w:hint="eastAsia"/>
          <w:kern w:val="0"/>
          <w:sz w:val="22"/>
        </w:rPr>
        <w:t>键的功能可由用户自己定义</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10.</w:t>
      </w:r>
      <w:r>
        <w:rPr>
          <w:rFonts w:ascii="宋体" w:hAnsi="宋体" w:cs="SSJ-PK74820000426-Identity-H" w:hint="eastAsia"/>
          <w:kern w:val="0"/>
          <w:sz w:val="22"/>
        </w:rPr>
        <w:t>下列选项中</w:t>
      </w:r>
      <w:r>
        <w:rPr>
          <w:rFonts w:ascii="宋体" w:cs="SSJ-PK74820000426-Identity-H"/>
          <w:kern w:val="0"/>
          <w:sz w:val="22"/>
        </w:rPr>
        <w:t>,</w:t>
      </w:r>
      <w:r>
        <w:rPr>
          <w:rFonts w:ascii="宋体" w:hAnsi="宋体" w:cs="SSJ-PK74820000426-Identity-H" w:hint="eastAsia"/>
          <w:kern w:val="0"/>
          <w:sz w:val="22"/>
        </w:rPr>
        <w:t>不属于显示器组成部分的是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显示控制器</w:t>
      </w:r>
      <w:r>
        <w:rPr>
          <w:rFonts w:ascii="宋体" w:hAnsi="宋体" w:cs="E-BZ-PK74835d-Identity-H"/>
          <w:kern w:val="0"/>
          <w:sz w:val="22"/>
        </w:rPr>
        <w:t>(</w:t>
      </w:r>
      <w:r>
        <w:rPr>
          <w:rFonts w:ascii="宋体" w:hAnsi="宋体" w:cs="E-BZ-PK74835d-Identity-H" w:hint="eastAsia"/>
          <w:kern w:val="0"/>
          <w:sz w:val="22"/>
        </w:rPr>
        <w:t>显卡</w:t>
      </w:r>
      <w:r>
        <w:rPr>
          <w:rFonts w:ascii="宋体" w:hAnsi="宋体" w:cs="E-BZ-PK74835d-Identity-H"/>
          <w:kern w:val="0"/>
          <w:sz w:val="22"/>
        </w:rPr>
        <w:t>)</w:t>
      </w:r>
      <w:r>
        <w:rPr>
          <w:rFonts w:ascii="宋体" w:hAnsi="宋体" w:cs="E-BZ-PK74835d-Identity-H"/>
          <w:kern w:val="0"/>
          <w:sz w:val="22"/>
        </w:rPr>
        <w:tab/>
      </w:r>
      <w:r>
        <w:rPr>
          <w:rFonts w:ascii="宋体" w:hAnsi="宋体" w:cs="E-BZ-PK74835d-Identity-H"/>
          <w:kern w:val="0"/>
          <w:sz w:val="22"/>
        </w:rPr>
        <w:tab/>
        <w:t>B.CRT</w:t>
      </w:r>
      <w:r>
        <w:rPr>
          <w:rFonts w:ascii="宋体" w:hAnsi="宋体" w:cs="E-BZ-PK74835d-Identity-H" w:hint="eastAsia"/>
          <w:kern w:val="0"/>
          <w:sz w:val="22"/>
        </w:rPr>
        <w:t>或</w:t>
      </w:r>
      <w:r>
        <w:rPr>
          <w:rFonts w:ascii="宋体" w:hAnsi="宋体" w:cs="E-BZ-PK74835d-Identity-H"/>
          <w:kern w:val="0"/>
          <w:sz w:val="22"/>
        </w:rPr>
        <w:t>LCD</w:t>
      </w:r>
      <w:r>
        <w:rPr>
          <w:rFonts w:ascii="宋体" w:hAnsi="宋体" w:cs="E-BZ-PK74835d-Identity-H" w:hint="eastAsia"/>
          <w:kern w:val="0"/>
          <w:sz w:val="22"/>
        </w:rPr>
        <w:t>显示器</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C.CCD</w:t>
      </w:r>
      <w:r>
        <w:rPr>
          <w:rFonts w:ascii="宋体" w:hAnsi="宋体" w:cs="E-BZ-PK74835d-Identity-H" w:hint="eastAsia"/>
          <w:kern w:val="0"/>
          <w:sz w:val="22"/>
        </w:rPr>
        <w:t>芯片</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D.VGA</w:t>
      </w:r>
      <w:r>
        <w:rPr>
          <w:rFonts w:ascii="宋体" w:hAnsi="宋体" w:cs="E-BZ-PK74835d-Identity-H" w:hint="eastAsia"/>
          <w:kern w:val="0"/>
          <w:sz w:val="22"/>
        </w:rPr>
        <w:t>接口</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11.</w:t>
      </w:r>
      <w:r>
        <w:rPr>
          <w:rFonts w:ascii="宋体" w:hAnsi="宋体" w:cs="SSJ-PK74820000426-Identity-H" w:hint="eastAsia"/>
          <w:kern w:val="0"/>
          <w:sz w:val="22"/>
        </w:rPr>
        <w:t>从目前技术来看</w:t>
      </w:r>
      <w:r>
        <w:rPr>
          <w:rFonts w:ascii="宋体" w:cs="SSJ-PK74820000426-Identity-H"/>
          <w:kern w:val="0"/>
          <w:sz w:val="22"/>
        </w:rPr>
        <w:t>,</w:t>
      </w:r>
      <w:r>
        <w:rPr>
          <w:rFonts w:ascii="宋体" w:hAnsi="宋体" w:cs="SSJ-PK74820000426-Identity-H" w:hint="eastAsia"/>
          <w:kern w:val="0"/>
          <w:sz w:val="22"/>
        </w:rPr>
        <w:t>下列打印机中打印速度最快的是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点阵打印机</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激光打印机</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热敏打印机</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喷墨打印机</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12.</w:t>
      </w:r>
      <w:r>
        <w:rPr>
          <w:rFonts w:ascii="宋体" w:hAnsi="宋体" w:cs="SSJ-PK74820000426-Identity-H" w:hint="eastAsia"/>
          <w:kern w:val="0"/>
          <w:sz w:val="22"/>
        </w:rPr>
        <w:t>下面不属于硬盘存储器主要技术指标的是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数据传输速率</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盘片厚度</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缓冲存储器大小</w:t>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平均存取时间</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13.CD</w:t>
      </w:r>
      <w:r>
        <w:rPr>
          <w:rFonts w:ascii="宋体" w:hAnsi="宋体" w:cs="SSJ-PK74820000426-Identity-H" w:hint="eastAsia"/>
          <w:kern w:val="0"/>
          <w:sz w:val="22"/>
        </w:rPr>
        <w:t>光盘片根据其制造材料和信息读写特性的不同</w:t>
      </w:r>
      <w:r>
        <w:rPr>
          <w:rFonts w:ascii="宋体" w:cs="SSJ-PK74820000426-Identity-H"/>
          <w:kern w:val="0"/>
          <w:sz w:val="22"/>
        </w:rPr>
        <w:t>,</w:t>
      </w:r>
      <w:r>
        <w:rPr>
          <w:rFonts w:ascii="宋体" w:hAnsi="宋体" w:cs="SSJ-PK74820000426-Identity-H" w:hint="eastAsia"/>
          <w:kern w:val="0"/>
          <w:sz w:val="22"/>
        </w:rPr>
        <w:t>可以分为</w:t>
      </w:r>
      <w:r>
        <w:rPr>
          <w:rFonts w:ascii="宋体" w:hAnsi="宋体" w:cs="E-BZ-PK74835d-Identity-H"/>
          <w:kern w:val="0"/>
          <w:sz w:val="22"/>
        </w:rPr>
        <w:t>CDROM</w:t>
      </w:r>
      <w:r>
        <w:rPr>
          <w:rFonts w:ascii="宋体" w:eastAsia="MS Minchofalt" w:hAnsi="MS Minchofalt" w:cs="MS Minchofalt" w:hint="eastAsia"/>
          <w:kern w:val="0"/>
          <w:sz w:val="22"/>
        </w:rPr>
        <w:t>､</w:t>
      </w:r>
      <w:r>
        <w:rPr>
          <w:rFonts w:ascii="宋体" w:hAnsi="宋体" w:cs="E-BZ-PK74835d-Identity-H"/>
          <w:kern w:val="0"/>
          <w:sz w:val="22"/>
        </w:rPr>
        <w:t>CD-R</w:t>
      </w:r>
      <w:r>
        <w:rPr>
          <w:rFonts w:ascii="宋体" w:hAnsi="宋体" w:cs="SSJ-PK74820000426-Identity-H" w:hint="eastAsia"/>
          <w:kern w:val="0"/>
          <w:sz w:val="22"/>
        </w:rPr>
        <w:t>和</w:t>
      </w:r>
      <w:r>
        <w:rPr>
          <w:rFonts w:ascii="宋体" w:hAnsi="宋体" w:cs="E-BZ-PK74835d-Identity-H"/>
          <w:kern w:val="0"/>
          <w:sz w:val="22"/>
        </w:rPr>
        <w:t>CD-RW</w:t>
      </w:r>
      <w:r>
        <w:rPr>
          <w:rFonts w:ascii="宋体" w:eastAsia="MS Minchofalt" w:hAnsi="MS Minchofalt" w:cs="MS Minchofalt" w:hint="eastAsia"/>
          <w:kern w:val="0"/>
          <w:sz w:val="22"/>
        </w:rPr>
        <w:t>｡</w:t>
      </w:r>
      <w:r>
        <w:rPr>
          <w:rFonts w:ascii="宋体" w:hAnsi="宋体" w:cs="E-BZ-PK74835d-Identity-H"/>
          <w:kern w:val="0"/>
          <w:sz w:val="22"/>
        </w:rPr>
        <w:t>CD-R</w:t>
      </w:r>
      <w:r>
        <w:rPr>
          <w:rFonts w:ascii="宋体" w:hAnsi="宋体" w:cs="SSJ-PK74820000426-Identity-H" w:hint="eastAsia"/>
          <w:kern w:val="0"/>
          <w:sz w:val="22"/>
        </w:rPr>
        <w:t>光盘指的是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只读光盘</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随机存取光盘</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只写一次式光盘</w:t>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可擦写型光盘</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14.</w:t>
      </w:r>
      <w:r>
        <w:rPr>
          <w:rFonts w:ascii="宋体" w:hAnsi="宋体" w:cs="SSJ-PK74820000426-Identity-H" w:hint="eastAsia"/>
          <w:kern w:val="0"/>
          <w:sz w:val="22"/>
        </w:rPr>
        <w:t>软件可分为应用软件和系统软件两大类</w:t>
      </w:r>
      <w:r>
        <w:rPr>
          <w:rFonts w:ascii="宋体" w:eastAsia="MS Minchofalt" w:hAnsi="MS Minchofalt" w:cs="MS Minchofalt" w:hint="eastAsia"/>
          <w:kern w:val="0"/>
          <w:sz w:val="22"/>
        </w:rPr>
        <w:t>｡</w:t>
      </w:r>
      <w:r>
        <w:rPr>
          <w:rFonts w:ascii="宋体" w:hAnsi="宋体" w:cs="宋体" w:hint="eastAsia"/>
          <w:kern w:val="0"/>
          <w:sz w:val="22"/>
        </w:rPr>
        <w:t>下列软件中全部属于应用软</w:t>
      </w:r>
      <w:r>
        <w:rPr>
          <w:rFonts w:ascii="宋体" w:hAnsi="宋体" w:cs="SSJ-PK74820000426-Identity-H" w:hint="eastAsia"/>
          <w:kern w:val="0"/>
          <w:sz w:val="22"/>
        </w:rPr>
        <w:t>件的是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A.WPS</w:t>
      </w:r>
      <w:r>
        <w:rPr>
          <w:rFonts w:ascii="宋体" w:eastAsia="MS Minchofalt" w:hAnsi="MS Minchofalt" w:cs="MS Minchofalt" w:hint="eastAsia"/>
          <w:kern w:val="0"/>
          <w:sz w:val="22"/>
        </w:rPr>
        <w:t>､</w:t>
      </w:r>
      <w:r>
        <w:rPr>
          <w:rFonts w:ascii="宋体" w:hAnsi="宋体" w:cs="E-BZ-PK74835d-Identity-H"/>
          <w:kern w:val="0"/>
          <w:sz w:val="22"/>
        </w:rPr>
        <w:t>Windows</w:t>
      </w:r>
      <w:r>
        <w:rPr>
          <w:rFonts w:ascii="宋体" w:eastAsia="MS Minchofalt" w:hAnsi="MS Minchofalt" w:cs="MS Minchofalt" w:hint="eastAsia"/>
          <w:kern w:val="0"/>
          <w:sz w:val="22"/>
        </w:rPr>
        <w:t>､</w:t>
      </w:r>
      <w:r>
        <w:rPr>
          <w:rFonts w:ascii="宋体" w:hAnsi="宋体" w:cs="E-BZ-PK74835d-Identity-H"/>
          <w:kern w:val="0"/>
          <w:sz w:val="22"/>
        </w:rPr>
        <w:t>Word</w:t>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t>B.Power Point</w:t>
      </w:r>
      <w:r>
        <w:rPr>
          <w:rFonts w:ascii="宋体" w:eastAsia="MS Minchofalt" w:hAnsi="MS Minchofalt" w:cs="MS Minchofalt" w:hint="eastAsia"/>
          <w:kern w:val="0"/>
          <w:sz w:val="22"/>
        </w:rPr>
        <w:t>､</w:t>
      </w:r>
      <w:r>
        <w:rPr>
          <w:rFonts w:ascii="宋体" w:hAnsi="宋体" w:cs="E-BZ-PK74835d-Identity-H"/>
          <w:kern w:val="0"/>
          <w:sz w:val="22"/>
        </w:rPr>
        <w:t>QQ</w:t>
      </w:r>
      <w:r>
        <w:rPr>
          <w:rFonts w:ascii="宋体" w:eastAsia="MS Minchofalt" w:hAnsi="MS Minchofalt" w:cs="MS Minchofalt" w:hint="eastAsia"/>
          <w:kern w:val="0"/>
          <w:sz w:val="22"/>
        </w:rPr>
        <w:t>､</w:t>
      </w:r>
      <w:r>
        <w:rPr>
          <w:rFonts w:ascii="宋体" w:hAnsi="宋体" w:cs="E-BZ-PK74835d-Identity-H"/>
          <w:kern w:val="0"/>
          <w:sz w:val="22"/>
        </w:rPr>
        <w:t>UNIX</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C.BIOS</w:t>
      </w:r>
      <w:r>
        <w:rPr>
          <w:rFonts w:ascii="宋体" w:eastAsia="MS Minchofalt" w:hAnsi="MS Minchofalt" w:cs="MS Minchofalt" w:hint="eastAsia"/>
          <w:kern w:val="0"/>
          <w:sz w:val="22"/>
        </w:rPr>
        <w:t>､</w:t>
      </w:r>
      <w:r>
        <w:rPr>
          <w:rFonts w:ascii="宋体" w:hAnsi="宋体" w:cs="E-BZ-PK74835d-Identity-H"/>
          <w:kern w:val="0"/>
          <w:sz w:val="22"/>
        </w:rPr>
        <w:t>Photoshop</w:t>
      </w:r>
      <w:r>
        <w:rPr>
          <w:rFonts w:ascii="宋体" w:eastAsia="MS Minchofalt" w:hAnsi="MS Minchofalt" w:cs="MS Minchofalt" w:hint="eastAsia"/>
          <w:kern w:val="0"/>
          <w:sz w:val="22"/>
        </w:rPr>
        <w:t>､</w:t>
      </w:r>
      <w:r>
        <w:rPr>
          <w:rFonts w:ascii="宋体" w:hAnsi="宋体" w:cs="E-BZ-PK74835d-Identity-H"/>
          <w:kern w:val="0"/>
          <w:sz w:val="22"/>
        </w:rPr>
        <w:t>FORTRAN</w:t>
      </w:r>
      <w:r>
        <w:rPr>
          <w:rFonts w:ascii="宋体" w:hAnsi="宋体" w:cs="E-BZ-PK74835d-Identity-H" w:hint="eastAsia"/>
          <w:kern w:val="0"/>
          <w:sz w:val="22"/>
        </w:rPr>
        <w:t>编译器</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D.Power Point</w:t>
      </w:r>
      <w:r>
        <w:rPr>
          <w:rFonts w:ascii="宋体" w:eastAsia="MS Minchofalt" w:hAnsi="MS Minchofalt" w:cs="MS Minchofalt" w:hint="eastAsia"/>
          <w:kern w:val="0"/>
          <w:sz w:val="22"/>
        </w:rPr>
        <w:t>､</w:t>
      </w:r>
      <w:r>
        <w:rPr>
          <w:rFonts w:ascii="宋体" w:hAnsi="宋体" w:cs="E-BZ-PK74835d-Identity-H"/>
          <w:kern w:val="0"/>
          <w:sz w:val="22"/>
        </w:rPr>
        <w:t>Excel</w:t>
      </w:r>
      <w:r>
        <w:rPr>
          <w:rFonts w:ascii="宋体" w:eastAsia="MS Minchofalt" w:hAnsi="MS Minchofalt" w:cs="MS Minchofalt" w:hint="eastAsia"/>
          <w:kern w:val="0"/>
          <w:sz w:val="22"/>
        </w:rPr>
        <w:t>､</w:t>
      </w:r>
      <w:r>
        <w:rPr>
          <w:rFonts w:ascii="宋体" w:hAnsi="宋体" w:cs="E-BZ-PK74835d-Identity-H"/>
          <w:kern w:val="0"/>
          <w:sz w:val="22"/>
        </w:rPr>
        <w:t>Word</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15.</w:t>
      </w:r>
      <w:r>
        <w:rPr>
          <w:rFonts w:ascii="宋体" w:hAnsi="宋体" w:cs="SSJ-PK74820000426-Identity-H" w:hint="eastAsia"/>
          <w:kern w:val="0"/>
          <w:sz w:val="22"/>
        </w:rPr>
        <w:t>下面所列功能中</w:t>
      </w:r>
      <w:r>
        <w:rPr>
          <w:rFonts w:ascii="宋体" w:hAnsi="宋体" w:cs="SSJ-PK74820000426-Identity-H"/>
          <w:kern w:val="0"/>
          <w:sz w:val="22"/>
        </w:rPr>
        <w:t xml:space="preserve">, </w:t>
      </w:r>
      <w:r>
        <w:rPr>
          <w:rFonts w:ascii="宋体" w:hAnsi="宋体" w:cs="SSJ-PK74820000426-Identity-H" w:hint="eastAsia"/>
          <w:kern w:val="0"/>
          <w:sz w:val="22"/>
        </w:rPr>
        <w:t>功能</w:t>
      </w:r>
      <w:r>
        <w:rPr>
          <w:rFonts w:ascii="宋体" w:hAnsi="宋体" w:cs="SSJ-PK74820000426-Identity-H"/>
          <w:kern w:val="0"/>
          <w:sz w:val="22"/>
          <w:u w:val="single"/>
        </w:rPr>
        <w:t xml:space="preserve">        </w:t>
      </w:r>
      <w:r>
        <w:rPr>
          <w:rFonts w:ascii="宋体" w:hAnsi="宋体" w:cs="SSJ-PK74820000426-Identity-H" w:hint="eastAsia"/>
          <w:kern w:val="0"/>
          <w:sz w:val="22"/>
        </w:rPr>
        <w:t>不是操作系统所具有的</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A.CPU</w:t>
      </w:r>
      <w:r>
        <w:rPr>
          <w:rFonts w:ascii="宋体" w:hAnsi="宋体" w:cs="E-BZ-PK74835d-Identity-H" w:hint="eastAsia"/>
          <w:kern w:val="0"/>
          <w:sz w:val="22"/>
        </w:rPr>
        <w:t>管理</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成本管理</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文件管理</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存储管理</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16.Windows</w:t>
      </w:r>
      <w:r>
        <w:rPr>
          <w:rFonts w:ascii="宋体" w:hAnsi="宋体" w:cs="SSJ-PK74820000426-Identity-H"/>
          <w:kern w:val="0"/>
          <w:sz w:val="22"/>
        </w:rPr>
        <w:t>(</w:t>
      </w:r>
      <w:r>
        <w:rPr>
          <w:rFonts w:ascii="宋体" w:hAnsi="宋体" w:cs="SSJ-PK74820000426-Identity-H" w:hint="eastAsia"/>
          <w:kern w:val="0"/>
          <w:sz w:val="22"/>
        </w:rPr>
        <w:t>中文版</w:t>
      </w:r>
      <w:r>
        <w:rPr>
          <w:rFonts w:ascii="宋体" w:hAnsi="宋体" w:cs="SSJ-PK74820000426-Identity-H"/>
          <w:kern w:val="0"/>
          <w:sz w:val="22"/>
        </w:rPr>
        <w:t>)</w:t>
      </w:r>
      <w:r>
        <w:rPr>
          <w:rFonts w:ascii="宋体" w:hAnsi="宋体" w:cs="SSJ-PK74820000426-Identity-H" w:hint="eastAsia"/>
          <w:kern w:val="0"/>
          <w:sz w:val="22"/>
        </w:rPr>
        <w:t>有关文件夹的以下叙述中</w:t>
      </w:r>
      <w:r>
        <w:rPr>
          <w:rFonts w:ascii="宋体" w:cs="SSJ-PK74820000426-Identity-H"/>
          <w:kern w:val="0"/>
          <w:sz w:val="22"/>
        </w:rPr>
        <w:t>,</w:t>
      </w:r>
      <w:r>
        <w:rPr>
          <w:rFonts w:ascii="宋体" w:hAnsi="宋体" w:cs="SSJ-PK74820000426-Identity-H" w:hint="eastAsia"/>
          <w:kern w:val="0"/>
          <w:sz w:val="22"/>
        </w:rPr>
        <w:t>错误的是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网络上其他用户可以不受限制地修改共享文件夹中的文件</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文件夹为文件的查找提供了方便</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几乎所有文件夹都可以设置为共享</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t>
      </w:r>
      <w:r>
        <w:rPr>
          <w:rFonts w:ascii="宋体" w:hAnsi="宋体" w:cs="E-BZ-PK74835d-Identity-H" w:hint="eastAsia"/>
          <w:kern w:val="0"/>
          <w:sz w:val="22"/>
        </w:rPr>
        <w:t>将不同类型的文件放在不同的文件夹中</w:t>
      </w:r>
      <w:r>
        <w:rPr>
          <w:rFonts w:ascii="宋体" w:cs="E-BZ-PK74835d-Identity-H"/>
          <w:kern w:val="0"/>
          <w:sz w:val="22"/>
        </w:rPr>
        <w:t>,</w:t>
      </w:r>
      <w:r>
        <w:rPr>
          <w:rFonts w:ascii="宋体" w:hAnsi="宋体" w:cs="E-BZ-PK74835d-Identity-H" w:hint="eastAsia"/>
          <w:kern w:val="0"/>
          <w:sz w:val="22"/>
        </w:rPr>
        <w:t>方便了文件的分类存储</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E-BZ-PK74835d-Identity-H"/>
          <w:kern w:val="0"/>
          <w:sz w:val="22"/>
        </w:rPr>
        <w:t>17.</w:t>
      </w:r>
      <w:r>
        <w:rPr>
          <w:rFonts w:ascii="宋体" w:hAnsi="宋体" w:cs="SSJ-PK74820000426-Identity-H" w:hint="eastAsia"/>
          <w:kern w:val="0"/>
          <w:sz w:val="22"/>
        </w:rPr>
        <w:t>算法是使用计算机求解问题的步骤</w:t>
      </w:r>
      <w:r>
        <w:rPr>
          <w:rFonts w:ascii="宋体" w:cs="SSJ-PK74820000426-Identity-H"/>
          <w:kern w:val="0"/>
          <w:sz w:val="22"/>
        </w:rPr>
        <w:t>,</w:t>
      </w:r>
      <w:r>
        <w:rPr>
          <w:rFonts w:ascii="宋体" w:hAnsi="宋体" w:cs="SSJ-PK74820000426-Identity-H" w:hint="eastAsia"/>
          <w:kern w:val="0"/>
          <w:sz w:val="22"/>
        </w:rPr>
        <w:t>算法由于问题的不同而千变万化</w:t>
      </w:r>
      <w:r>
        <w:rPr>
          <w:rFonts w:ascii="宋体" w:cs="SSJ-PK74820000426-Identity-H"/>
          <w:kern w:val="0"/>
          <w:sz w:val="22"/>
        </w:rPr>
        <w:t>,</w:t>
      </w:r>
      <w:r>
        <w:rPr>
          <w:rFonts w:ascii="宋体" w:hAnsi="宋体" w:cs="SSJ-PK74820000426-Identity-H" w:hint="eastAsia"/>
          <w:kern w:val="0"/>
          <w:sz w:val="22"/>
        </w:rPr>
        <w:t>但它们必须满足若干共同的特性</w:t>
      </w:r>
      <w:r>
        <w:rPr>
          <w:rFonts w:ascii="宋体" w:cs="SSJ-PK74820000426-Identity-H"/>
          <w:kern w:val="0"/>
          <w:sz w:val="22"/>
        </w:rPr>
        <w:t>,</w:t>
      </w:r>
      <w:r>
        <w:rPr>
          <w:rFonts w:ascii="宋体" w:hAnsi="宋体" w:cs="SSJ-PK74820000426-Identity-H" w:hint="eastAsia"/>
          <w:kern w:val="0"/>
          <w:sz w:val="22"/>
        </w:rPr>
        <w:t>但</w:t>
      </w:r>
      <w:r>
        <w:rPr>
          <w:rFonts w:ascii="宋体" w:hAnsi="宋体" w:cs="SSJ-PK74820000426-Identity-H"/>
          <w:kern w:val="0"/>
          <w:sz w:val="22"/>
          <w:u w:val="single"/>
        </w:rPr>
        <w:t xml:space="preserve">        </w:t>
      </w:r>
      <w:r>
        <w:rPr>
          <w:rFonts w:ascii="宋体" w:hAnsi="宋体" w:cs="SSJ-PK74820000426-Identity-H" w:hint="eastAsia"/>
          <w:kern w:val="0"/>
          <w:sz w:val="22"/>
        </w:rPr>
        <w:t>这一特性不必满足</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操作的确定性</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操作步骤的有穷性</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操作的能行性</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必须有多个输入</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18.</w:t>
      </w:r>
      <w:r>
        <w:rPr>
          <w:rFonts w:ascii="宋体" w:hAnsi="宋体" w:cs="SSJ-PK74820000426-Identity-H" w:hint="eastAsia"/>
          <w:kern w:val="0"/>
          <w:sz w:val="22"/>
        </w:rPr>
        <w:t>下列不属于数字通信系统性能指标的是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信道带宽</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数据传输速率</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误码率</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通信距离</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lastRenderedPageBreak/>
        <w:t>19.</w:t>
      </w:r>
      <w:r>
        <w:rPr>
          <w:rFonts w:ascii="宋体" w:hAnsi="宋体" w:cs="SSJ-PK74820000426-Identity-H" w:hint="eastAsia"/>
          <w:kern w:val="0"/>
          <w:sz w:val="22"/>
        </w:rPr>
        <w:t>下列关于计算机网络的叙述中正确的是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计算机组网的目的主要是为了提高单机的运行效率</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网络中所有计算机运行的操作系统必须相同</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构成网络的多台计算机其硬件配置必须相同</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t>
      </w:r>
      <w:r>
        <w:rPr>
          <w:rFonts w:ascii="宋体" w:hAnsi="宋体" w:cs="E-BZ-PK74835d-Identity-H" w:hint="eastAsia"/>
          <w:kern w:val="0"/>
          <w:sz w:val="22"/>
        </w:rPr>
        <w:t>一些智能设备</w:t>
      </w:r>
      <w:r>
        <w:rPr>
          <w:rFonts w:ascii="宋体" w:hAnsi="宋体" w:cs="E-BZ-PK74835d-Identity-H"/>
          <w:kern w:val="0"/>
          <w:sz w:val="22"/>
        </w:rPr>
        <w:t>(</w:t>
      </w:r>
      <w:r>
        <w:rPr>
          <w:rFonts w:ascii="宋体" w:hAnsi="宋体" w:cs="E-BZ-PK74835d-Identity-H" w:hint="eastAsia"/>
          <w:kern w:val="0"/>
          <w:sz w:val="22"/>
        </w:rPr>
        <w:t>如手机</w:t>
      </w:r>
      <w:r>
        <w:rPr>
          <w:rFonts w:ascii="宋体" w:eastAsia="MS Minchofalt" w:hAnsi="MS Minchofalt" w:cs="MS Minchofalt" w:hint="eastAsia"/>
          <w:kern w:val="0"/>
          <w:sz w:val="22"/>
        </w:rPr>
        <w:t>､</w:t>
      </w:r>
      <w:r>
        <w:rPr>
          <w:rFonts w:ascii="宋体" w:hAnsi="宋体" w:cs="E-BZ-PK74835d-Identity-H"/>
          <w:kern w:val="0"/>
          <w:sz w:val="22"/>
        </w:rPr>
        <w:t>ATM</w:t>
      </w:r>
      <w:r>
        <w:rPr>
          <w:rFonts w:ascii="宋体" w:hAnsi="宋体" w:cs="E-BZ-PK74835d-Identity-H" w:hint="eastAsia"/>
          <w:kern w:val="0"/>
          <w:sz w:val="22"/>
        </w:rPr>
        <w:t>柜员机等</w:t>
      </w:r>
      <w:r>
        <w:rPr>
          <w:rFonts w:ascii="宋体" w:hAnsi="宋体" w:cs="E-BZ-PK74835d-Identity-H"/>
          <w:kern w:val="0"/>
          <w:sz w:val="22"/>
        </w:rPr>
        <w:t>)</w:t>
      </w:r>
      <w:r>
        <w:rPr>
          <w:rFonts w:ascii="宋体" w:hAnsi="宋体" w:cs="E-BZ-PK74835d-Identity-H" w:hint="eastAsia"/>
          <w:kern w:val="0"/>
          <w:sz w:val="22"/>
        </w:rPr>
        <w:t>也可以接入计算机网络</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20.</w:t>
      </w:r>
      <w:r>
        <w:rPr>
          <w:rFonts w:ascii="宋体" w:hAnsi="宋体" w:cs="SSJ-PK74820000426-Identity-H" w:hint="eastAsia"/>
          <w:kern w:val="0"/>
          <w:sz w:val="22"/>
        </w:rPr>
        <w:t>下列有关网络两种工作模式</w:t>
      </w:r>
      <w:r>
        <w:rPr>
          <w:rFonts w:ascii="宋体" w:hAnsi="宋体" w:cs="SSJ-PK74820000426-Identity-H"/>
          <w:kern w:val="0"/>
          <w:sz w:val="22"/>
        </w:rPr>
        <w:t>(</w:t>
      </w:r>
      <w:r>
        <w:rPr>
          <w:rFonts w:ascii="宋体" w:hAnsi="宋体" w:cs="SSJ-PK74820000426-Identity-H" w:hint="eastAsia"/>
          <w:kern w:val="0"/>
          <w:sz w:val="22"/>
        </w:rPr>
        <w:t>客户</w:t>
      </w:r>
      <w:r>
        <w:rPr>
          <w:rFonts w:ascii="宋体" w:hAnsi="宋体" w:cs="E-BZ-PK74835d-Identity-H"/>
          <w:kern w:val="0"/>
          <w:sz w:val="22"/>
        </w:rPr>
        <w:t>/</w:t>
      </w:r>
      <w:r>
        <w:rPr>
          <w:rFonts w:ascii="宋体" w:hAnsi="宋体" w:cs="SSJ-PK74820000426-Identity-H" w:hint="eastAsia"/>
          <w:kern w:val="0"/>
          <w:sz w:val="22"/>
        </w:rPr>
        <w:t>服务器模式和对等模式</w:t>
      </w:r>
      <w:r>
        <w:rPr>
          <w:rFonts w:ascii="宋体" w:hAnsi="宋体" w:cs="SSJ-PK74820000426-Identity-H"/>
          <w:kern w:val="0"/>
          <w:sz w:val="22"/>
        </w:rPr>
        <w:t>)</w:t>
      </w:r>
      <w:r>
        <w:rPr>
          <w:rFonts w:ascii="宋体" w:hAnsi="宋体" w:cs="SSJ-PK74820000426-Identity-H" w:hint="eastAsia"/>
          <w:kern w:val="0"/>
          <w:sz w:val="22"/>
        </w:rPr>
        <w:t>的叙述中</w:t>
      </w:r>
      <w:r>
        <w:rPr>
          <w:rFonts w:ascii="宋体" w:cs="SSJ-PK74820000426-Identity-H"/>
          <w:kern w:val="0"/>
          <w:sz w:val="22"/>
        </w:rPr>
        <w:t>,</w:t>
      </w:r>
      <w:r>
        <w:rPr>
          <w:rFonts w:ascii="宋体" w:hAnsi="宋体" w:cs="SSJ-PK74820000426-Identity-H" w:hint="eastAsia"/>
          <w:kern w:val="0"/>
          <w:sz w:val="22"/>
        </w:rPr>
        <w:t>错误的是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近年来盛行的“</w:t>
      </w:r>
      <w:r>
        <w:rPr>
          <w:rFonts w:ascii="宋体" w:hAnsi="宋体" w:cs="E-BZ-PK74835d-Identity-H"/>
          <w:kern w:val="0"/>
          <w:sz w:val="22"/>
        </w:rPr>
        <w:t>BT</w:t>
      </w:r>
      <w:r>
        <w:rPr>
          <w:rFonts w:ascii="宋体" w:hAnsi="宋体" w:cs="E-BZ-PK74835d-Identity-H" w:hint="eastAsia"/>
          <w:kern w:val="0"/>
          <w:sz w:val="22"/>
        </w:rPr>
        <w:t>”下载服务采用的是对等工作模式</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基于客户</w:t>
      </w:r>
      <w:r>
        <w:rPr>
          <w:rFonts w:ascii="宋体" w:hAnsi="宋体" w:cs="E-BZ-PK74835d-Identity-H"/>
          <w:kern w:val="0"/>
          <w:sz w:val="22"/>
        </w:rPr>
        <w:t>/</w:t>
      </w:r>
      <w:r>
        <w:rPr>
          <w:rFonts w:ascii="宋体" w:hAnsi="宋体" w:cs="E-BZ-PK74835d-Identity-H" w:hint="eastAsia"/>
          <w:kern w:val="0"/>
          <w:sz w:val="22"/>
        </w:rPr>
        <w:t>服务器模式的网络会因客户机的请求过多</w:t>
      </w:r>
      <w:r>
        <w:rPr>
          <w:rFonts w:ascii="宋体" w:eastAsia="MS Minchofalt" w:hAnsi="MS Minchofalt" w:cs="MS Minchofalt" w:hint="eastAsia"/>
          <w:kern w:val="0"/>
          <w:sz w:val="22"/>
        </w:rPr>
        <w:t>､</w:t>
      </w:r>
      <w:r>
        <w:rPr>
          <w:rFonts w:ascii="宋体" w:hAnsi="宋体" w:cs="宋体" w:hint="eastAsia"/>
          <w:kern w:val="0"/>
          <w:sz w:val="22"/>
        </w:rPr>
        <w:t>服务器负担过重</w:t>
      </w:r>
      <w:r>
        <w:rPr>
          <w:rFonts w:ascii="宋体" w:hAnsi="宋体" w:cs="E-BZ-PK74835d-Identity-H" w:hint="eastAsia"/>
          <w:kern w:val="0"/>
          <w:sz w:val="22"/>
        </w:rPr>
        <w:t>而导致整体性能下降</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C.Windows XP</w:t>
      </w:r>
      <w:r>
        <w:rPr>
          <w:rFonts w:ascii="宋体" w:hAnsi="宋体" w:cs="E-BZ-PK74835d-Identity-H" w:hint="eastAsia"/>
          <w:kern w:val="0"/>
          <w:sz w:val="22"/>
        </w:rPr>
        <w:t>操作系统中的＂网上邻居＂是按客户</w:t>
      </w:r>
      <w:r>
        <w:rPr>
          <w:rFonts w:ascii="宋体" w:hAnsi="宋体" w:cs="E-BZ-PK74835d-Identity-H"/>
          <w:kern w:val="0"/>
          <w:sz w:val="22"/>
        </w:rPr>
        <w:t>/</w:t>
      </w:r>
      <w:r>
        <w:rPr>
          <w:rFonts w:ascii="宋体" w:hAnsi="宋体" w:cs="E-BZ-PK74835d-Identity-H" w:hint="eastAsia"/>
          <w:kern w:val="0"/>
          <w:sz w:val="22"/>
        </w:rPr>
        <w:t>服务器模式工作的</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t>
      </w:r>
      <w:r>
        <w:rPr>
          <w:rFonts w:ascii="宋体" w:hAnsi="宋体" w:cs="E-BZ-PK74835d-Identity-H" w:hint="eastAsia"/>
          <w:kern w:val="0"/>
          <w:sz w:val="22"/>
        </w:rPr>
        <w:t>对等网络中的每台计算机既可以作为客户机也可以作为服务器</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21.</w:t>
      </w:r>
      <w:r>
        <w:rPr>
          <w:rFonts w:ascii="宋体" w:hAnsi="宋体" w:cs="SSJ-PK74820000426-Identity-H" w:hint="eastAsia"/>
          <w:kern w:val="0"/>
          <w:sz w:val="22"/>
        </w:rPr>
        <w:t>以下关于</w:t>
      </w:r>
      <w:r>
        <w:rPr>
          <w:rFonts w:ascii="宋体" w:hAnsi="宋体" w:cs="E-BZ-PK74835d-Identity-H"/>
          <w:kern w:val="0"/>
          <w:sz w:val="22"/>
        </w:rPr>
        <w:t>IP</w:t>
      </w:r>
      <w:r>
        <w:rPr>
          <w:rFonts w:ascii="宋体" w:hAnsi="宋体" w:cs="SSJ-PK74820000426-Identity-H" w:hint="eastAsia"/>
          <w:kern w:val="0"/>
          <w:sz w:val="22"/>
        </w:rPr>
        <w:t>协议的叙述中</w:t>
      </w:r>
      <w:r>
        <w:rPr>
          <w:rFonts w:ascii="宋体" w:cs="SSJ-PK74820000426-Identity-H"/>
          <w:kern w:val="0"/>
          <w:sz w:val="22"/>
        </w:rPr>
        <w:t>,</w:t>
      </w:r>
      <w:r>
        <w:rPr>
          <w:rFonts w:ascii="宋体" w:hAnsi="宋体" w:cs="SSJ-PK74820000426-Identity-H" w:hint="eastAsia"/>
          <w:kern w:val="0"/>
          <w:sz w:val="22"/>
        </w:rPr>
        <w:t>错误的是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A.IP</w:t>
      </w:r>
      <w:r>
        <w:rPr>
          <w:rFonts w:ascii="宋体" w:hAnsi="宋体" w:cs="E-BZ-PK74835d-Identity-H" w:hint="eastAsia"/>
          <w:kern w:val="0"/>
          <w:sz w:val="22"/>
        </w:rPr>
        <w:t>属于</w:t>
      </w:r>
      <w:r>
        <w:rPr>
          <w:rFonts w:ascii="宋体" w:hAnsi="宋体" w:cs="E-BZ-PK74835d-Identity-H"/>
          <w:kern w:val="0"/>
          <w:sz w:val="22"/>
        </w:rPr>
        <w:t>TCP/IP</w:t>
      </w:r>
      <w:r>
        <w:rPr>
          <w:rFonts w:ascii="宋体" w:hAnsi="宋体" w:cs="E-BZ-PK74835d-Identity-H" w:hint="eastAsia"/>
          <w:kern w:val="0"/>
          <w:sz w:val="22"/>
        </w:rPr>
        <w:t>协议中的网络互连层协议</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现在广泛使用的</w:t>
      </w:r>
      <w:r>
        <w:rPr>
          <w:rFonts w:ascii="宋体" w:hAnsi="宋体" w:cs="E-BZ-PK74835d-Identity-H"/>
          <w:kern w:val="0"/>
          <w:sz w:val="22"/>
        </w:rPr>
        <w:t>IP</w:t>
      </w:r>
      <w:r>
        <w:rPr>
          <w:rFonts w:ascii="宋体" w:hAnsi="宋体" w:cs="E-BZ-PK74835d-Identity-H" w:hint="eastAsia"/>
          <w:kern w:val="0"/>
          <w:sz w:val="22"/>
        </w:rPr>
        <w:t>协议是第</w:t>
      </w:r>
      <w:r>
        <w:rPr>
          <w:rFonts w:ascii="宋体" w:hAnsi="宋体" w:cs="E-BZ-PK74835d-Identity-H"/>
          <w:kern w:val="0"/>
          <w:sz w:val="22"/>
        </w:rPr>
        <w:t>6</w:t>
      </w:r>
      <w:r>
        <w:rPr>
          <w:rFonts w:ascii="宋体" w:hAnsi="宋体" w:cs="E-BZ-PK74835d-Identity-H" w:hint="eastAsia"/>
          <w:kern w:val="0"/>
          <w:sz w:val="22"/>
        </w:rPr>
        <w:t>版</w:t>
      </w:r>
      <w:r>
        <w:rPr>
          <w:rFonts w:ascii="宋体" w:hAnsi="宋体" w:cs="E-BZ-PK74835d-Identity-H"/>
          <w:kern w:val="0"/>
          <w:sz w:val="22"/>
        </w:rPr>
        <w:t>(IPv6)</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C.IP</w:t>
      </w:r>
      <w:r>
        <w:rPr>
          <w:rFonts w:ascii="宋体" w:hAnsi="宋体" w:cs="E-BZ-PK74835d-Identity-H" w:hint="eastAsia"/>
          <w:kern w:val="0"/>
          <w:sz w:val="22"/>
        </w:rPr>
        <w:t>协议规定了在网络中传输的数据包的统一格式</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D.IP</w:t>
      </w:r>
      <w:r>
        <w:rPr>
          <w:rFonts w:ascii="宋体" w:hAnsi="宋体" w:cs="E-BZ-PK74835d-Identity-H" w:hint="eastAsia"/>
          <w:kern w:val="0"/>
          <w:sz w:val="22"/>
        </w:rPr>
        <w:t>协议还规定了网络中的计算机如何统一进行编址</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22.</w:t>
      </w:r>
      <w:r>
        <w:rPr>
          <w:rFonts w:ascii="宋体" w:hAnsi="宋体" w:cs="SSJ-PK74820000426-Identity-H" w:hint="eastAsia"/>
          <w:kern w:val="0"/>
          <w:sz w:val="22"/>
        </w:rPr>
        <w:t>网络中的域名服务器存放着它所在网络中全部主机的</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域名</w:t>
      </w:r>
      <w:r>
        <w:rPr>
          <w:rFonts w:ascii="宋体" w:cs="E-BZ-PK74835d-Identity-H"/>
          <w:kern w:val="0"/>
          <w:sz w:val="22"/>
        </w:rPr>
        <w:tab/>
      </w:r>
      <w:r>
        <w:rPr>
          <w:rFonts w:ascii="宋体" w:cs="E-BZ-PK74835d-Identity-H"/>
          <w:kern w:val="0"/>
          <w:sz w:val="22"/>
        </w:rPr>
        <w:tab/>
      </w:r>
      <w:r>
        <w:rPr>
          <w:rFonts w:ascii="宋体" w:hAnsi="宋体" w:cs="E-BZ-PK74835d-Identity-H"/>
          <w:kern w:val="0"/>
          <w:sz w:val="22"/>
        </w:rPr>
        <w:t>B.IP</w:t>
      </w:r>
      <w:r>
        <w:rPr>
          <w:rFonts w:ascii="宋体" w:hAnsi="宋体" w:cs="E-BZ-PK74835d-Identity-H" w:hint="eastAsia"/>
          <w:kern w:val="0"/>
          <w:sz w:val="22"/>
        </w:rPr>
        <w:t>地址</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C.</w:t>
      </w:r>
      <w:r>
        <w:rPr>
          <w:rFonts w:ascii="宋体" w:hAnsi="宋体" w:cs="E-BZ-PK74835d-Identity-H" w:hint="eastAsia"/>
          <w:kern w:val="0"/>
          <w:sz w:val="22"/>
        </w:rPr>
        <w:t>用户名和口令</w:t>
      </w:r>
      <w:r>
        <w:rPr>
          <w:rFonts w:ascii="宋体" w:cs="E-BZ-PK74835d-Identity-H"/>
          <w:kern w:val="0"/>
          <w:sz w:val="22"/>
        </w:rPr>
        <w:tab/>
      </w:r>
      <w:r>
        <w:rPr>
          <w:rFonts w:ascii="宋体" w:cs="E-BZ-PK74835d-Identity-H"/>
          <w:kern w:val="0"/>
          <w:sz w:val="22"/>
        </w:rPr>
        <w:tab/>
      </w:r>
      <w:r>
        <w:rPr>
          <w:rFonts w:ascii="宋体" w:hAnsi="宋体" w:cs="E-BZ-PK74835d-Identity-H"/>
          <w:kern w:val="0"/>
          <w:sz w:val="22"/>
        </w:rPr>
        <w:t>D.</w:t>
      </w:r>
      <w:r>
        <w:rPr>
          <w:rFonts w:ascii="宋体" w:hAnsi="宋体" w:cs="E-BZ-PK74835d-Identity-H" w:hint="eastAsia"/>
          <w:kern w:val="0"/>
          <w:sz w:val="22"/>
        </w:rPr>
        <w:t>域名和</w:t>
      </w:r>
      <w:r>
        <w:rPr>
          <w:rFonts w:ascii="宋体" w:hAnsi="宋体" w:cs="E-BZ-PK74835d-Identity-H"/>
          <w:kern w:val="0"/>
          <w:sz w:val="22"/>
        </w:rPr>
        <w:t>IP</w:t>
      </w:r>
      <w:r>
        <w:rPr>
          <w:rFonts w:ascii="宋体" w:hAnsi="宋体" w:cs="E-BZ-PK74835d-Identity-H" w:hint="eastAsia"/>
          <w:kern w:val="0"/>
          <w:sz w:val="22"/>
        </w:rPr>
        <w:t>地址的对照表</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23.</w:t>
      </w:r>
      <w:r>
        <w:rPr>
          <w:rFonts w:ascii="宋体" w:hAnsi="宋体" w:cs="SSJ-PK74820000426-Identity-H" w:hint="eastAsia"/>
          <w:kern w:val="0"/>
          <w:sz w:val="22"/>
        </w:rPr>
        <w:t>使用</w:t>
      </w:r>
      <w:r>
        <w:rPr>
          <w:rFonts w:ascii="宋体" w:hAnsi="宋体" w:cs="E-BZ-PK74835d-Identity-H"/>
          <w:kern w:val="0"/>
          <w:sz w:val="22"/>
        </w:rPr>
        <w:t>ADSL</w:t>
      </w:r>
      <w:r>
        <w:rPr>
          <w:rFonts w:ascii="宋体" w:hAnsi="宋体" w:cs="SSJ-PK74820000426-Identity-H" w:hint="eastAsia"/>
          <w:kern w:val="0"/>
          <w:sz w:val="22"/>
        </w:rPr>
        <w:t>接入因特网时</w:t>
      </w:r>
      <w:r>
        <w:rPr>
          <w:rFonts w:ascii="宋体" w:cs="SSJ-PK74820000426-Identity-H"/>
          <w:kern w:val="0"/>
          <w:sz w:val="22"/>
        </w:rPr>
        <w:t>,</w:t>
      </w:r>
      <w:r>
        <w:rPr>
          <w:rFonts w:ascii="宋体" w:hAnsi="宋体" w:cs="SSJ-PK74820000426-Identity-H" w:hint="eastAsia"/>
          <w:kern w:val="0"/>
          <w:sz w:val="22"/>
        </w:rPr>
        <w:t>下面的叙述中正确的是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在上网的同时可以接听电话</w:t>
      </w:r>
      <w:r>
        <w:rPr>
          <w:rFonts w:ascii="宋体" w:cs="E-BZ-PK74835d-Identity-H"/>
          <w:kern w:val="0"/>
          <w:sz w:val="22"/>
        </w:rPr>
        <w:t>,</w:t>
      </w:r>
      <w:r>
        <w:rPr>
          <w:rFonts w:ascii="宋体" w:hAnsi="宋体" w:cs="E-BZ-PK74835d-Identity-H" w:hint="eastAsia"/>
          <w:kern w:val="0"/>
          <w:sz w:val="22"/>
        </w:rPr>
        <w:t>两者互不影响</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在上网的同时电话处于＂占线＂状态</w:t>
      </w:r>
      <w:r>
        <w:rPr>
          <w:rFonts w:ascii="宋体" w:cs="E-BZ-PK74835d-Identity-H"/>
          <w:kern w:val="0"/>
          <w:sz w:val="22"/>
        </w:rPr>
        <w:t>,</w:t>
      </w:r>
      <w:r>
        <w:rPr>
          <w:rFonts w:ascii="宋体" w:hAnsi="宋体" w:cs="E-BZ-PK74835d-Identity-H" w:hint="eastAsia"/>
          <w:kern w:val="0"/>
          <w:sz w:val="22"/>
        </w:rPr>
        <w:t>电话无法打入</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在上网的同时可以接听电话</w:t>
      </w:r>
      <w:r>
        <w:rPr>
          <w:rFonts w:ascii="宋体" w:cs="E-BZ-PK74835d-Identity-H"/>
          <w:kern w:val="0"/>
          <w:sz w:val="22"/>
        </w:rPr>
        <w:t>,</w:t>
      </w:r>
      <w:r>
        <w:rPr>
          <w:rFonts w:ascii="宋体" w:hAnsi="宋体" w:cs="E-BZ-PK74835d-Identity-H" w:hint="eastAsia"/>
          <w:kern w:val="0"/>
          <w:sz w:val="22"/>
        </w:rPr>
        <w:t>但数据传输暂时中止</w:t>
      </w:r>
      <w:r>
        <w:rPr>
          <w:rFonts w:ascii="宋体" w:cs="E-BZ-PK74835d-Identity-H"/>
          <w:kern w:val="0"/>
          <w:sz w:val="22"/>
        </w:rPr>
        <w:t>,</w:t>
      </w:r>
      <w:r>
        <w:rPr>
          <w:rFonts w:ascii="宋体" w:hAnsi="宋体" w:cs="E-BZ-PK74835d-Identity-H" w:hint="eastAsia"/>
          <w:kern w:val="0"/>
          <w:sz w:val="22"/>
        </w:rPr>
        <w:t>挂机后再恢复传输</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t>
      </w:r>
      <w:r>
        <w:rPr>
          <w:rFonts w:ascii="宋体" w:hAnsi="宋体" w:cs="E-BZ-PK74835d-Identity-H" w:hint="eastAsia"/>
          <w:kern w:val="0"/>
          <w:sz w:val="22"/>
        </w:rPr>
        <w:t>线路会根据两者的流量动态调整各自所占比例</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24.</w:t>
      </w:r>
      <w:r>
        <w:rPr>
          <w:rFonts w:ascii="宋体" w:hAnsi="宋体" w:cs="SSJ-PK74820000426-Identity-H" w:hint="eastAsia"/>
          <w:kern w:val="0"/>
          <w:sz w:val="22"/>
        </w:rPr>
        <w:t>信息系统中信息资源的访问控制是保证信息系统安全的措施之一</w:t>
      </w:r>
      <w:r>
        <w:rPr>
          <w:rFonts w:ascii="宋体" w:eastAsia="MS Minchofalt" w:hAnsi="MS Minchofalt" w:cs="MS Minchofalt" w:hint="eastAsia"/>
          <w:kern w:val="0"/>
          <w:sz w:val="22"/>
        </w:rPr>
        <w:t>｡</w:t>
      </w:r>
      <w:r>
        <w:rPr>
          <w:rFonts w:ascii="宋体" w:hAnsi="宋体" w:cs="宋体" w:hint="eastAsia"/>
          <w:kern w:val="0"/>
          <w:sz w:val="22"/>
        </w:rPr>
        <w:t>下</w:t>
      </w:r>
      <w:r>
        <w:rPr>
          <w:rFonts w:ascii="宋体" w:hAnsi="宋体" w:cs="SSJ-PK74820000426-Identity-H" w:hint="eastAsia"/>
          <w:kern w:val="0"/>
          <w:sz w:val="22"/>
        </w:rPr>
        <w:t>面关于访问控制的叙述中错误的是</w:t>
      </w:r>
      <w:r>
        <w:rPr>
          <w:rFonts w:ascii="宋体" w:hAnsi="宋体" w:cs="SSJ-PK74820000426-Identity-H"/>
          <w:kern w:val="0"/>
          <w:sz w:val="22"/>
          <w:u w:val="single"/>
        </w:rPr>
        <w:t xml:space="preserve">  </w:t>
      </w:r>
      <w:r>
        <w:rPr>
          <w:rFonts w:ascii="宋体" w:hAnsi="宋体" w:cs="SSJ-PK74820000426-Identity-H"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访问控制可以保证对信息的访问进行有序的控制</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访问控制是在用户身份鉴别的基础上进行的</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访问控制就是对系统内每个文件或资源规定各个</w:t>
      </w:r>
      <w:r>
        <w:rPr>
          <w:rFonts w:ascii="宋体" w:hAnsi="宋体" w:cs="E-BZ-PK74835d-Identity-H"/>
          <w:kern w:val="0"/>
          <w:sz w:val="22"/>
        </w:rPr>
        <w:t>(</w:t>
      </w:r>
      <w:r>
        <w:rPr>
          <w:rFonts w:ascii="宋体" w:hAnsi="宋体" w:cs="E-BZ-PK74835d-Identity-H" w:hint="eastAsia"/>
          <w:kern w:val="0"/>
          <w:sz w:val="22"/>
        </w:rPr>
        <w:t>类</w:t>
      </w:r>
      <w:r>
        <w:rPr>
          <w:rFonts w:ascii="宋体" w:hAnsi="宋体" w:cs="E-BZ-PK74835d-Identity-H"/>
          <w:kern w:val="0"/>
          <w:sz w:val="22"/>
        </w:rPr>
        <w:t>)</w:t>
      </w:r>
      <w:r>
        <w:rPr>
          <w:rFonts w:ascii="宋体" w:hAnsi="宋体" w:cs="E-BZ-PK74835d-Identity-H" w:hint="eastAsia"/>
          <w:kern w:val="0"/>
          <w:sz w:val="22"/>
        </w:rPr>
        <w:t>用户对它的操作使用权限</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t>
      </w:r>
      <w:r>
        <w:rPr>
          <w:rFonts w:ascii="宋体" w:hAnsi="宋体" w:cs="E-BZ-PK74835d-Identity-H" w:hint="eastAsia"/>
          <w:kern w:val="0"/>
          <w:sz w:val="22"/>
        </w:rPr>
        <w:t>访问控制就是对重要的文件进行加密处理</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25.</w:t>
      </w:r>
      <w:r>
        <w:rPr>
          <w:rFonts w:ascii="宋体" w:hAnsi="宋体" w:cs="SSJ-PK74820000426-Identity-H" w:hint="eastAsia"/>
          <w:kern w:val="0"/>
          <w:sz w:val="22"/>
        </w:rPr>
        <w:t>下列有关因特网防火墙的叙述中错误的是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因特网防火墙可以是一种硬件设备</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B.</w:t>
      </w:r>
      <w:r>
        <w:rPr>
          <w:rFonts w:ascii="宋体" w:hAnsi="宋体" w:cs="E-BZ-PK74835d-Identity-H" w:hint="eastAsia"/>
          <w:kern w:val="0"/>
          <w:sz w:val="22"/>
        </w:rPr>
        <w:t>因特网防火墙可以由软件来实现</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因特网防火墙也可以集成在路由器中</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D.Windows XP</w:t>
      </w:r>
      <w:r>
        <w:rPr>
          <w:rFonts w:ascii="宋体" w:hAnsi="宋体" w:cs="E-BZ-PK74835d-Identity-H" w:hint="eastAsia"/>
          <w:kern w:val="0"/>
          <w:sz w:val="22"/>
        </w:rPr>
        <w:t>操作系统不带有软件防火墙功能</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26.</w:t>
      </w:r>
      <w:r>
        <w:rPr>
          <w:rFonts w:ascii="宋体" w:hAnsi="宋体" w:cs="SSJ-PK74820000426-Identity-H" w:hint="eastAsia"/>
          <w:kern w:val="0"/>
          <w:sz w:val="22"/>
        </w:rPr>
        <w:t>下列软件中</w:t>
      </w:r>
      <w:r>
        <w:rPr>
          <w:rFonts w:ascii="宋体" w:cs="SSJ-PK74820000426-Identity-H"/>
          <w:kern w:val="0"/>
          <w:sz w:val="22"/>
        </w:rPr>
        <w:t>,</w:t>
      </w:r>
      <w:r>
        <w:rPr>
          <w:rFonts w:ascii="宋体" w:hAnsi="宋体" w:cs="SSJ-PK74820000426-Identity-H" w:hint="eastAsia"/>
          <w:kern w:val="0"/>
          <w:sz w:val="22"/>
        </w:rPr>
        <w:t>能够用来阅读</w:t>
      </w:r>
      <w:r>
        <w:rPr>
          <w:rFonts w:ascii="宋体" w:hAnsi="宋体" w:cs="E-BZ-PK74835d-Identity-H"/>
          <w:kern w:val="0"/>
          <w:sz w:val="22"/>
        </w:rPr>
        <w:t>PDF</w:t>
      </w:r>
      <w:r>
        <w:rPr>
          <w:rFonts w:ascii="宋体" w:hAnsi="宋体" w:cs="SSJ-PK74820000426-Identity-H" w:hint="eastAsia"/>
          <w:kern w:val="0"/>
          <w:sz w:val="22"/>
        </w:rPr>
        <w:t>文件的是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A.Acrobat Reader</w:t>
      </w:r>
      <w:r>
        <w:rPr>
          <w:rFonts w:ascii="宋体" w:hAnsi="宋体" w:cs="E-BZ-PK74835d-Identity-H"/>
          <w:kern w:val="0"/>
          <w:sz w:val="22"/>
        </w:rPr>
        <w:tab/>
      </w:r>
      <w:r>
        <w:rPr>
          <w:rFonts w:ascii="宋体" w:hAnsi="宋体" w:cs="E-BZ-PK74835d-Identity-H"/>
          <w:kern w:val="0"/>
          <w:sz w:val="22"/>
        </w:rPr>
        <w:tab/>
        <w:t>B.Word</w:t>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t>C.Excel</w:t>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t>D.Frontpage</w:t>
      </w:r>
    </w:p>
    <w:p w:rsidR="003717A0" w:rsidRDefault="003717A0">
      <w:pPr>
        <w:autoSpaceDE w:val="0"/>
        <w:autoSpaceDN w:val="0"/>
        <w:adjustRightInd w:val="0"/>
        <w:jc w:val="left"/>
        <w:rPr>
          <w:rFonts w:ascii="宋体" w:cs="SSJ-PK74820000426-Identity-H"/>
          <w:kern w:val="0"/>
          <w:sz w:val="22"/>
        </w:rPr>
      </w:pPr>
      <w:r>
        <w:rPr>
          <w:rFonts w:ascii="宋体" w:hAnsi="宋体" w:cs="E-BZ-PK74835d-Identity-H"/>
          <w:kern w:val="0"/>
          <w:sz w:val="22"/>
        </w:rPr>
        <w:t>27.</w:t>
      </w:r>
      <w:r>
        <w:rPr>
          <w:rFonts w:ascii="宋体" w:hAnsi="宋体" w:cs="SSJ-PK74820000426-Identity-H" w:hint="eastAsia"/>
          <w:kern w:val="0"/>
          <w:sz w:val="22"/>
        </w:rPr>
        <w:t>数字图像的获取步骤大体分为四步</w:t>
      </w:r>
      <w:r>
        <w:rPr>
          <w:rFonts w:ascii="宋体" w:cs="SSJ-PK74820000426-Identity-H"/>
          <w:kern w:val="0"/>
          <w:sz w:val="22"/>
        </w:rPr>
        <w:t>,</w:t>
      </w:r>
      <w:r>
        <w:rPr>
          <w:rFonts w:ascii="宋体" w:hAnsi="宋体" w:cs="SSJ-PK74820000426-Identity-H" w:hint="eastAsia"/>
          <w:kern w:val="0"/>
          <w:sz w:val="22"/>
        </w:rPr>
        <w:t>以下顺序正确的是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A.</w:t>
      </w:r>
      <w:r>
        <w:rPr>
          <w:rFonts w:ascii="宋体" w:hAnsi="宋体" w:cs="E-BZ-PK74835d-Identity-H" w:hint="eastAsia"/>
          <w:kern w:val="0"/>
          <w:sz w:val="22"/>
        </w:rPr>
        <w:t>扫描</w:t>
      </w:r>
      <w:r>
        <w:rPr>
          <w:rFonts w:ascii="宋体" w:hAnsi="宋体" w:cs="E-BZ-PK74835d-Identity-H"/>
          <w:kern w:val="0"/>
          <w:sz w:val="22"/>
        </w:rPr>
        <w:t xml:space="preserve"> </w:t>
      </w:r>
      <w:r>
        <w:rPr>
          <w:rFonts w:ascii="宋体" w:hAnsi="宋体" w:cs="E-BZ-PK74835d-Identity-H" w:hint="eastAsia"/>
          <w:kern w:val="0"/>
          <w:sz w:val="22"/>
        </w:rPr>
        <w:t>分色</w:t>
      </w:r>
      <w:r>
        <w:rPr>
          <w:rFonts w:ascii="宋体" w:hAnsi="宋体" w:cs="E-BZ-PK74835d-Identity-H"/>
          <w:kern w:val="0"/>
          <w:sz w:val="22"/>
        </w:rPr>
        <w:t xml:space="preserve"> </w:t>
      </w:r>
      <w:r>
        <w:rPr>
          <w:rFonts w:ascii="宋体" w:hAnsi="宋体" w:cs="E-BZ-PK74835d-Identity-H" w:hint="eastAsia"/>
          <w:kern w:val="0"/>
          <w:sz w:val="22"/>
        </w:rPr>
        <w:t>量化</w:t>
      </w:r>
      <w:r>
        <w:rPr>
          <w:rFonts w:ascii="宋体" w:hAnsi="宋体" w:cs="E-BZ-PK74835d-Identity-H"/>
          <w:kern w:val="0"/>
          <w:sz w:val="22"/>
        </w:rPr>
        <w:t xml:space="preserve"> </w:t>
      </w:r>
      <w:r>
        <w:rPr>
          <w:rFonts w:ascii="宋体" w:hAnsi="宋体" w:cs="E-BZ-PK74835d-Identity-H" w:hint="eastAsia"/>
          <w:kern w:val="0"/>
          <w:sz w:val="22"/>
        </w:rPr>
        <w:t>取样</w:t>
      </w:r>
      <w:r>
        <w:rPr>
          <w:rFonts w:ascii="宋体" w:cs="E-BZ-PK74835d-Identity-H"/>
          <w:kern w:val="0"/>
          <w:sz w:val="22"/>
        </w:rPr>
        <w:tab/>
      </w:r>
      <w:r>
        <w:rPr>
          <w:rFonts w:ascii="宋体" w:cs="E-BZ-PK74835d-Identity-H"/>
          <w:kern w:val="0"/>
          <w:sz w:val="22"/>
        </w:rPr>
        <w:tab/>
      </w:r>
      <w:r>
        <w:rPr>
          <w:rFonts w:ascii="宋体" w:cs="E-BZ-PK74835d-Identity-H"/>
          <w:kern w:val="0"/>
          <w:sz w:val="22"/>
        </w:rPr>
        <w:tab/>
      </w:r>
      <w:r>
        <w:rPr>
          <w:rFonts w:ascii="宋体" w:hAnsi="宋体" w:cs="E-BZ-PK74835d-Identity-H"/>
          <w:kern w:val="0"/>
          <w:sz w:val="22"/>
        </w:rPr>
        <w:t>B.</w:t>
      </w:r>
      <w:r>
        <w:rPr>
          <w:rFonts w:ascii="宋体" w:hAnsi="宋体" w:cs="E-BZ-PK74835d-Identity-H" w:hint="eastAsia"/>
          <w:kern w:val="0"/>
          <w:sz w:val="22"/>
        </w:rPr>
        <w:t>分色</w:t>
      </w:r>
      <w:r>
        <w:rPr>
          <w:rFonts w:ascii="宋体" w:hAnsi="宋体" w:cs="E-BZ-PK74835d-Identity-H"/>
          <w:kern w:val="0"/>
          <w:sz w:val="22"/>
        </w:rPr>
        <w:t xml:space="preserve"> </w:t>
      </w:r>
      <w:r>
        <w:rPr>
          <w:rFonts w:ascii="宋体" w:hAnsi="宋体" w:cs="E-BZ-PK74835d-Identity-H" w:hint="eastAsia"/>
          <w:kern w:val="0"/>
          <w:sz w:val="22"/>
        </w:rPr>
        <w:t>扫描</w:t>
      </w:r>
      <w:r>
        <w:rPr>
          <w:rFonts w:ascii="宋体" w:hAnsi="宋体" w:cs="E-BZ-PK74835d-Identity-H"/>
          <w:kern w:val="0"/>
          <w:sz w:val="22"/>
        </w:rPr>
        <w:t xml:space="preserve"> </w:t>
      </w:r>
      <w:r>
        <w:rPr>
          <w:rFonts w:ascii="宋体" w:hAnsi="宋体" w:cs="E-BZ-PK74835d-Identity-H" w:hint="eastAsia"/>
          <w:kern w:val="0"/>
          <w:sz w:val="22"/>
        </w:rPr>
        <w:t>量化</w:t>
      </w:r>
      <w:r>
        <w:rPr>
          <w:rFonts w:ascii="宋体" w:hAnsi="宋体" w:cs="E-BZ-PK74835d-Identity-H"/>
          <w:kern w:val="0"/>
          <w:sz w:val="22"/>
        </w:rPr>
        <w:t xml:space="preserve"> </w:t>
      </w:r>
      <w:r>
        <w:rPr>
          <w:rFonts w:ascii="宋体" w:hAnsi="宋体" w:cs="E-BZ-PK74835d-Identity-H" w:hint="eastAsia"/>
          <w:kern w:val="0"/>
          <w:sz w:val="22"/>
        </w:rPr>
        <w:t>取样</w:t>
      </w:r>
    </w:p>
    <w:p w:rsidR="003717A0" w:rsidRDefault="003717A0">
      <w:pPr>
        <w:autoSpaceDE w:val="0"/>
        <w:autoSpaceDN w:val="0"/>
        <w:adjustRightInd w:val="0"/>
        <w:ind w:leftChars="100" w:left="210"/>
        <w:jc w:val="left"/>
        <w:rPr>
          <w:rFonts w:ascii="宋体" w:cs="E-BZ-PK74835d-Identity-H"/>
          <w:kern w:val="0"/>
          <w:sz w:val="22"/>
        </w:rPr>
      </w:pPr>
      <w:r>
        <w:rPr>
          <w:rFonts w:ascii="宋体" w:hAnsi="宋体" w:cs="E-BZ-PK74835d-Identity-H"/>
          <w:kern w:val="0"/>
          <w:sz w:val="22"/>
        </w:rPr>
        <w:t>C.</w:t>
      </w:r>
      <w:r>
        <w:rPr>
          <w:rFonts w:ascii="宋体" w:hAnsi="宋体" w:cs="E-BZ-PK74835d-Identity-H" w:hint="eastAsia"/>
          <w:kern w:val="0"/>
          <w:sz w:val="22"/>
        </w:rPr>
        <w:t>扫描</w:t>
      </w:r>
      <w:r>
        <w:rPr>
          <w:rFonts w:ascii="宋体" w:hAnsi="宋体" w:cs="E-BZ-PK74835d-Identity-H"/>
          <w:kern w:val="0"/>
          <w:sz w:val="22"/>
        </w:rPr>
        <w:t xml:space="preserve"> </w:t>
      </w:r>
      <w:r>
        <w:rPr>
          <w:rFonts w:ascii="宋体" w:hAnsi="宋体" w:cs="E-BZ-PK74835d-Identity-H" w:hint="eastAsia"/>
          <w:kern w:val="0"/>
          <w:sz w:val="22"/>
        </w:rPr>
        <w:t>分色</w:t>
      </w:r>
      <w:r>
        <w:rPr>
          <w:rFonts w:ascii="宋体" w:hAnsi="宋体" w:cs="E-BZ-PK74835d-Identity-H"/>
          <w:kern w:val="0"/>
          <w:sz w:val="22"/>
        </w:rPr>
        <w:t xml:space="preserve"> </w:t>
      </w:r>
      <w:r>
        <w:rPr>
          <w:rFonts w:ascii="宋体" w:hAnsi="宋体" w:cs="E-BZ-PK74835d-Identity-H" w:hint="eastAsia"/>
          <w:kern w:val="0"/>
          <w:sz w:val="22"/>
        </w:rPr>
        <w:t>取样</w:t>
      </w:r>
      <w:r>
        <w:rPr>
          <w:rFonts w:ascii="宋体" w:hAnsi="宋体" w:cs="E-BZ-PK74835d-Identity-H"/>
          <w:kern w:val="0"/>
          <w:sz w:val="22"/>
        </w:rPr>
        <w:t xml:space="preserve"> </w:t>
      </w:r>
      <w:r>
        <w:rPr>
          <w:rFonts w:ascii="宋体" w:hAnsi="宋体" w:cs="E-BZ-PK74835d-Identity-H" w:hint="eastAsia"/>
          <w:kern w:val="0"/>
          <w:sz w:val="22"/>
        </w:rPr>
        <w:t>量化</w:t>
      </w:r>
      <w:r>
        <w:rPr>
          <w:rFonts w:ascii="宋体" w:hAnsi="宋体" w:cs="E-BZ-PK74835d-Identity-H"/>
          <w:kern w:val="0"/>
          <w:sz w:val="22"/>
        </w:rPr>
        <w:t xml:space="preserve"> </w:t>
      </w:r>
      <w:r>
        <w:rPr>
          <w:rFonts w:ascii="宋体" w:hAnsi="宋体" w:cs="E-BZ-PK74835d-Identity-H"/>
          <w:kern w:val="0"/>
          <w:sz w:val="22"/>
        </w:rPr>
        <w:tab/>
      </w:r>
      <w:r>
        <w:rPr>
          <w:rFonts w:ascii="宋体" w:hAnsi="宋体" w:cs="E-BZ-PK74835d-Identity-H"/>
          <w:kern w:val="0"/>
          <w:sz w:val="22"/>
        </w:rPr>
        <w:tab/>
      </w:r>
      <w:r>
        <w:rPr>
          <w:rFonts w:ascii="宋体" w:hAnsi="宋体" w:cs="E-BZ-PK74835d-Identity-H"/>
          <w:kern w:val="0"/>
          <w:sz w:val="22"/>
        </w:rPr>
        <w:tab/>
        <w:t>D.</w:t>
      </w:r>
      <w:r>
        <w:rPr>
          <w:rFonts w:ascii="宋体" w:hAnsi="宋体" w:cs="E-BZ-PK74835d-Identity-H" w:hint="eastAsia"/>
          <w:kern w:val="0"/>
          <w:sz w:val="22"/>
        </w:rPr>
        <w:t>量化</w:t>
      </w:r>
      <w:r>
        <w:rPr>
          <w:rFonts w:ascii="宋体" w:hAnsi="宋体" w:cs="E-BZ-PK74835d-Identity-H"/>
          <w:kern w:val="0"/>
          <w:sz w:val="22"/>
        </w:rPr>
        <w:t xml:space="preserve"> </w:t>
      </w:r>
      <w:r>
        <w:rPr>
          <w:rFonts w:ascii="宋体" w:hAnsi="宋体" w:cs="E-BZ-PK74835d-Identity-H" w:hint="eastAsia"/>
          <w:kern w:val="0"/>
          <w:sz w:val="22"/>
        </w:rPr>
        <w:t>取样</w:t>
      </w:r>
      <w:r>
        <w:rPr>
          <w:rFonts w:ascii="宋体" w:hAnsi="宋体" w:cs="E-BZ-PK74835d-Identity-H"/>
          <w:kern w:val="0"/>
          <w:sz w:val="22"/>
        </w:rPr>
        <w:t xml:space="preserve"> </w:t>
      </w:r>
      <w:r>
        <w:rPr>
          <w:rFonts w:ascii="宋体" w:hAnsi="宋体" w:cs="E-BZ-PK74835d-Identity-H" w:hint="eastAsia"/>
          <w:kern w:val="0"/>
          <w:sz w:val="22"/>
        </w:rPr>
        <w:t>扫描</w:t>
      </w:r>
      <w:r>
        <w:rPr>
          <w:rFonts w:ascii="宋体" w:hAnsi="宋体" w:cs="E-BZ-PK74835d-Identity-H"/>
          <w:kern w:val="0"/>
          <w:sz w:val="22"/>
        </w:rPr>
        <w:t xml:space="preserve"> </w:t>
      </w:r>
      <w:r>
        <w:rPr>
          <w:rFonts w:ascii="宋体" w:hAnsi="宋体" w:cs="E-BZ-PK74835d-Identity-H" w:hint="eastAsia"/>
          <w:kern w:val="0"/>
          <w:sz w:val="22"/>
        </w:rPr>
        <w:t>分色</w: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b/>
          <w:kern w:val="0"/>
          <w:sz w:val="22"/>
        </w:rPr>
        <w:t>(</w:t>
      </w:r>
      <w:r>
        <w:rPr>
          <w:rFonts w:ascii="宋体" w:hAnsi="宋体" w:cs="HTJ-PK7482000042d-Identity-H" w:hint="eastAsia"/>
          <w:b/>
          <w:kern w:val="0"/>
          <w:sz w:val="22"/>
        </w:rPr>
        <w:t>二</w:t>
      </w:r>
      <w:r>
        <w:rPr>
          <w:rFonts w:ascii="宋体" w:hAnsi="宋体" w:cs="HTJ-PK7482000042d-Identity-H"/>
          <w:b/>
          <w:kern w:val="0"/>
          <w:sz w:val="22"/>
        </w:rPr>
        <w:t>)</w:t>
      </w:r>
      <w:r>
        <w:rPr>
          <w:rFonts w:ascii="宋体" w:hAnsi="宋体" w:cs="HTJ-PK7482000042d-Identity-H" w:hint="eastAsia"/>
          <w:b/>
          <w:kern w:val="0"/>
          <w:sz w:val="22"/>
        </w:rPr>
        <w:t>判断题</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28.</w:t>
      </w:r>
      <w:r>
        <w:rPr>
          <w:rFonts w:ascii="宋体" w:hAnsi="宋体" w:cs="SSJ-PK74820000426-Identity-H" w:hint="eastAsia"/>
          <w:kern w:val="0"/>
          <w:sz w:val="22"/>
        </w:rPr>
        <w:t>信息系统的计算与处理技术可用于扩展人的大脑功能</w:t>
      </w:r>
      <w:r>
        <w:rPr>
          <w:rFonts w:ascii="宋体" w:cs="SSJ-PK74820000426-Identity-H"/>
          <w:kern w:val="0"/>
          <w:sz w:val="22"/>
        </w:rPr>
        <w:t>,</w:t>
      </w:r>
      <w:r>
        <w:rPr>
          <w:rFonts w:ascii="宋体" w:hAnsi="宋体" w:cs="SSJ-PK74820000426-Identity-H" w:hint="eastAsia"/>
          <w:kern w:val="0"/>
          <w:sz w:val="22"/>
        </w:rPr>
        <w:t>增强对信息的加工处理能力</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29.</w:t>
      </w:r>
      <w:r>
        <w:rPr>
          <w:rFonts w:ascii="宋体" w:hAnsi="宋体" w:cs="SSJ-PK74820000426-Identity-H" w:hint="eastAsia"/>
          <w:kern w:val="0"/>
          <w:sz w:val="22"/>
        </w:rPr>
        <w:t>一个</w:t>
      </w:r>
      <w:r>
        <w:rPr>
          <w:rFonts w:ascii="宋体" w:hAnsi="宋体" w:cs="SSJ-PK74820000426-Identity-H"/>
          <w:kern w:val="0"/>
          <w:sz w:val="22"/>
        </w:rPr>
        <w:t>CPU</w:t>
      </w:r>
      <w:r>
        <w:rPr>
          <w:rFonts w:ascii="宋体" w:hAnsi="宋体" w:cs="SSJ-PK74820000426-Identity-H" w:hint="eastAsia"/>
          <w:kern w:val="0"/>
          <w:sz w:val="22"/>
        </w:rPr>
        <w:t>所能执行的全部指令称为该</w:t>
      </w:r>
      <w:r>
        <w:rPr>
          <w:rFonts w:ascii="宋体" w:hAnsi="宋体" w:cs="SSJ-PK74820000426-Identity-H"/>
          <w:kern w:val="0"/>
          <w:sz w:val="22"/>
        </w:rPr>
        <w:t>CPU</w:t>
      </w:r>
      <w:r>
        <w:rPr>
          <w:rFonts w:ascii="宋体" w:hAnsi="宋体" w:cs="SSJ-PK74820000426-Identity-H" w:hint="eastAsia"/>
          <w:kern w:val="0"/>
          <w:sz w:val="22"/>
        </w:rPr>
        <w:t>的指令系统</w:t>
      </w:r>
      <w:r>
        <w:rPr>
          <w:rFonts w:ascii="宋体" w:cs="SSJ-PK74820000426-Identity-H"/>
          <w:kern w:val="0"/>
          <w:sz w:val="22"/>
        </w:rPr>
        <w:t>,</w:t>
      </w:r>
      <w:r>
        <w:rPr>
          <w:rFonts w:ascii="宋体" w:hAnsi="宋体" w:cs="SSJ-PK74820000426-Identity-H" w:hint="eastAsia"/>
          <w:kern w:val="0"/>
          <w:sz w:val="22"/>
        </w:rPr>
        <w:t>不同厂家生产的</w:t>
      </w:r>
      <w:r>
        <w:rPr>
          <w:rFonts w:ascii="宋体" w:hAnsi="宋体" w:cs="SSJ-PK74820000426-Identity-H"/>
          <w:kern w:val="0"/>
          <w:sz w:val="22"/>
        </w:rPr>
        <w:t>CPU</w:t>
      </w:r>
      <w:r>
        <w:rPr>
          <w:rFonts w:ascii="宋体" w:hAnsi="宋体" w:cs="SSJ-PK74820000426-Identity-H" w:hint="eastAsia"/>
          <w:kern w:val="0"/>
          <w:sz w:val="22"/>
        </w:rPr>
        <w:t>的指令系统相互兼容</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30.PC</w:t>
      </w:r>
      <w:r>
        <w:rPr>
          <w:rFonts w:ascii="宋体" w:hAnsi="宋体" w:cs="SSJ-PK74820000426-Identity-H" w:hint="eastAsia"/>
          <w:kern w:val="0"/>
          <w:sz w:val="22"/>
        </w:rPr>
        <w:t>中几乎所有部件和设备都以主板为基础进行安装和互相连接</w:t>
      </w:r>
      <w:r>
        <w:rPr>
          <w:rFonts w:ascii="宋体" w:cs="SSJ-PK74820000426-Identity-H"/>
          <w:kern w:val="0"/>
          <w:sz w:val="22"/>
        </w:rPr>
        <w:t>,</w:t>
      </w:r>
      <w:r>
        <w:rPr>
          <w:rFonts w:ascii="宋体" w:hAnsi="宋体" w:cs="SSJ-PK74820000426-Identity-H" w:hint="eastAsia"/>
          <w:kern w:val="0"/>
          <w:sz w:val="22"/>
        </w:rPr>
        <w:t>主板的稳定性影响着整个计</w:t>
      </w:r>
      <w:r>
        <w:rPr>
          <w:rFonts w:ascii="宋体" w:hAnsi="宋体" w:cs="SSJ-PK74820000426-Identity-H" w:hint="eastAsia"/>
          <w:kern w:val="0"/>
          <w:sz w:val="22"/>
        </w:rPr>
        <w:lastRenderedPageBreak/>
        <w:t>算机系统的稳定性</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31.</w:t>
      </w:r>
      <w:r>
        <w:rPr>
          <w:rFonts w:ascii="宋体" w:hAnsi="宋体" w:cs="SSJ-PK74820000426-Identity-H" w:hint="eastAsia"/>
          <w:kern w:val="0"/>
          <w:sz w:val="22"/>
        </w:rPr>
        <w:t>自由软件</w:t>
      </w:r>
      <w:r>
        <w:rPr>
          <w:rFonts w:ascii="宋体" w:hAnsi="宋体" w:cs="SSJ-PK74820000426-Identity-H"/>
          <w:kern w:val="0"/>
          <w:sz w:val="22"/>
        </w:rPr>
        <w:t>(freeware)</w:t>
      </w:r>
      <w:r>
        <w:rPr>
          <w:rFonts w:ascii="宋体" w:hAnsi="宋体" w:cs="SSJ-PK74820000426-Identity-H" w:hint="eastAsia"/>
          <w:kern w:val="0"/>
          <w:sz w:val="22"/>
        </w:rPr>
        <w:t>不允许随意复制</w:t>
      </w:r>
      <w:r>
        <w:rPr>
          <w:rFonts w:ascii="宋体" w:eastAsia="MS Minchofalt" w:hAnsi="MS Minchofalt" w:cs="MS Minchofalt" w:hint="eastAsia"/>
          <w:kern w:val="0"/>
          <w:sz w:val="22"/>
        </w:rPr>
        <w:t>､</w:t>
      </w:r>
      <w:r>
        <w:rPr>
          <w:rFonts w:ascii="宋体" w:hAnsi="宋体" w:cs="宋体" w:hint="eastAsia"/>
          <w:kern w:val="0"/>
          <w:sz w:val="22"/>
        </w:rPr>
        <w:t>修改其源代码</w:t>
      </w:r>
      <w:r>
        <w:rPr>
          <w:rFonts w:ascii="宋体" w:cs="SSJ-PK74820000426-Identity-H"/>
          <w:kern w:val="0"/>
          <w:sz w:val="22"/>
        </w:rPr>
        <w:t>,</w:t>
      </w:r>
      <w:r>
        <w:rPr>
          <w:rFonts w:ascii="宋体" w:hAnsi="宋体" w:cs="SSJ-PK74820000426-Identity-H" w:hint="eastAsia"/>
          <w:kern w:val="0"/>
          <w:sz w:val="22"/>
        </w:rPr>
        <w:t>但允许自行销售</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32.Java</w:t>
      </w:r>
      <w:r>
        <w:rPr>
          <w:rFonts w:ascii="宋体" w:hAnsi="宋体" w:cs="SSJ-PK74820000426-Identity-H" w:hint="eastAsia"/>
          <w:kern w:val="0"/>
          <w:sz w:val="22"/>
        </w:rPr>
        <w:t>语言适用于网络环境编程</w:t>
      </w:r>
      <w:r>
        <w:rPr>
          <w:rFonts w:ascii="宋体" w:cs="SSJ-PK74820000426-Identity-H"/>
          <w:kern w:val="0"/>
          <w:sz w:val="22"/>
        </w:rPr>
        <w:t>,</w:t>
      </w:r>
      <w:r>
        <w:rPr>
          <w:rFonts w:ascii="宋体" w:hAnsi="宋体" w:cs="SSJ-PK74820000426-Identity-H" w:hint="eastAsia"/>
          <w:kern w:val="0"/>
          <w:sz w:val="22"/>
        </w:rPr>
        <w:t>在</w:t>
      </w:r>
      <w:r>
        <w:rPr>
          <w:rFonts w:ascii="宋体" w:hAnsi="宋体" w:cs="SSJ-PK74820000426-Identity-H"/>
          <w:kern w:val="0"/>
          <w:sz w:val="22"/>
        </w:rPr>
        <w:t>Internet</w:t>
      </w:r>
      <w:r>
        <w:rPr>
          <w:rFonts w:ascii="宋体" w:hAnsi="宋体" w:cs="SSJ-PK74820000426-Identity-H" w:hint="eastAsia"/>
          <w:kern w:val="0"/>
          <w:sz w:val="22"/>
        </w:rPr>
        <w:t>上有很多用</w:t>
      </w:r>
      <w:r>
        <w:rPr>
          <w:rFonts w:ascii="宋体" w:hAnsi="宋体" w:cs="SSJ-PK74820000426-Identity-H"/>
          <w:kern w:val="0"/>
          <w:sz w:val="22"/>
        </w:rPr>
        <w:t>Java</w:t>
      </w:r>
      <w:r>
        <w:rPr>
          <w:rFonts w:ascii="宋体" w:hAnsi="宋体" w:cs="SSJ-PK74820000426-Identity-H" w:hint="eastAsia"/>
          <w:kern w:val="0"/>
          <w:sz w:val="22"/>
        </w:rPr>
        <w:t>语言编写的应用程序</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33.</w:t>
      </w:r>
      <w:r>
        <w:rPr>
          <w:rFonts w:ascii="宋体" w:hAnsi="宋体" w:cs="SSJ-PK74820000426-Identity-H" w:hint="eastAsia"/>
          <w:kern w:val="0"/>
          <w:sz w:val="22"/>
        </w:rPr>
        <w:t>通信系统概念上由</w:t>
      </w:r>
      <w:r>
        <w:rPr>
          <w:rFonts w:ascii="宋体" w:hAnsi="宋体" w:cs="SSJ-PK74820000426-Identity-H"/>
          <w:kern w:val="0"/>
          <w:sz w:val="22"/>
        </w:rPr>
        <w:t>3</w:t>
      </w:r>
      <w:r>
        <w:rPr>
          <w:rFonts w:ascii="宋体" w:hAnsi="宋体" w:cs="SSJ-PK74820000426-Identity-H" w:hint="eastAsia"/>
          <w:kern w:val="0"/>
          <w:sz w:val="22"/>
        </w:rPr>
        <w:t>个部分组成</w:t>
      </w:r>
      <w:r>
        <w:rPr>
          <w:rFonts w:ascii="宋体" w:hAnsi="宋体" w:cs="SSJ-PK74820000426-Identity-H"/>
          <w:kern w:val="0"/>
          <w:sz w:val="22"/>
        </w:rPr>
        <w:t>:</w:t>
      </w:r>
      <w:r>
        <w:rPr>
          <w:rFonts w:ascii="宋体" w:hAnsi="宋体" w:cs="SSJ-PK74820000426-Identity-H" w:hint="eastAsia"/>
          <w:kern w:val="0"/>
          <w:sz w:val="22"/>
        </w:rPr>
        <w:t>信源与信宿</w:t>
      </w:r>
      <w:r>
        <w:rPr>
          <w:rFonts w:ascii="宋体" w:eastAsia="MS Minchofalt" w:hAnsi="MS Minchofalt" w:cs="MS Minchofalt" w:hint="eastAsia"/>
          <w:kern w:val="0"/>
          <w:sz w:val="22"/>
        </w:rPr>
        <w:t>､</w:t>
      </w:r>
      <w:r>
        <w:rPr>
          <w:rFonts w:ascii="宋体" w:hAnsi="宋体" w:cs="宋体" w:hint="eastAsia"/>
          <w:kern w:val="0"/>
          <w:sz w:val="22"/>
        </w:rPr>
        <w:t>携带了信息的信号</w:t>
      </w:r>
      <w:r>
        <w:rPr>
          <w:rFonts w:ascii="宋体" w:eastAsia="MS Minchofalt" w:hAnsi="MS Minchofalt" w:cs="MS Minchofalt" w:hint="eastAsia"/>
          <w:kern w:val="0"/>
          <w:sz w:val="22"/>
        </w:rPr>
        <w:t>､</w:t>
      </w:r>
      <w:r>
        <w:rPr>
          <w:rFonts w:ascii="宋体" w:hAnsi="宋体" w:cs="宋体" w:hint="eastAsia"/>
          <w:kern w:val="0"/>
          <w:sz w:val="22"/>
        </w:rPr>
        <w:t>传</w:t>
      </w:r>
      <w:r>
        <w:rPr>
          <w:rFonts w:ascii="宋体" w:hAnsi="宋体" w:cs="SSJ-PK74820000426-Identity-H" w:hint="eastAsia"/>
          <w:kern w:val="0"/>
          <w:sz w:val="22"/>
        </w:rPr>
        <w:t>输信号的信道</w:t>
      </w:r>
      <w:r>
        <w:rPr>
          <w:rFonts w:ascii="宋体" w:cs="SSJ-PK74820000426-Identity-H"/>
          <w:kern w:val="0"/>
          <w:sz w:val="22"/>
        </w:rPr>
        <w:t>,</w:t>
      </w:r>
      <w:r>
        <w:rPr>
          <w:rFonts w:ascii="宋体" w:hAnsi="宋体" w:cs="SSJ-PK74820000426-Identity-H" w:hint="eastAsia"/>
          <w:kern w:val="0"/>
          <w:sz w:val="22"/>
        </w:rPr>
        <w:t>三者缺一不可</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34.</w:t>
      </w:r>
      <w:r>
        <w:rPr>
          <w:rFonts w:ascii="宋体" w:hAnsi="宋体" w:cs="SSJ-PK74820000426-Identity-H" w:hint="eastAsia"/>
          <w:kern w:val="0"/>
          <w:sz w:val="22"/>
        </w:rPr>
        <w:t>电话干线</w:t>
      </w:r>
      <w:r>
        <w:rPr>
          <w:rFonts w:ascii="宋体" w:hAnsi="宋体" w:cs="SSJ-PK74820000426-Identity-H"/>
          <w:kern w:val="0"/>
          <w:sz w:val="22"/>
        </w:rPr>
        <w:t>(</w:t>
      </w:r>
      <w:r>
        <w:rPr>
          <w:rFonts w:ascii="宋体" w:hAnsi="宋体" w:cs="SSJ-PK74820000426-Identity-H" w:hint="eastAsia"/>
          <w:kern w:val="0"/>
          <w:sz w:val="22"/>
        </w:rPr>
        <w:t>中继线</w:t>
      </w:r>
      <w:r>
        <w:rPr>
          <w:rFonts w:ascii="宋体" w:hAnsi="宋体" w:cs="SSJ-PK74820000426-Identity-H"/>
          <w:kern w:val="0"/>
          <w:sz w:val="22"/>
        </w:rPr>
        <w:t>)</w:t>
      </w:r>
      <w:r>
        <w:rPr>
          <w:rFonts w:ascii="宋体" w:hAnsi="宋体" w:cs="SSJ-PK74820000426-Identity-H" w:hint="eastAsia"/>
          <w:kern w:val="0"/>
          <w:sz w:val="22"/>
        </w:rPr>
        <w:t>采用数字形式传输语音信号</w:t>
      </w:r>
      <w:r>
        <w:rPr>
          <w:rFonts w:ascii="宋体" w:cs="SSJ-PK74820000426-Identity-H"/>
          <w:kern w:val="0"/>
          <w:sz w:val="22"/>
        </w:rPr>
        <w:t>,</w:t>
      </w:r>
      <w:r>
        <w:rPr>
          <w:rFonts w:ascii="宋体" w:hAnsi="宋体" w:cs="SSJ-PK74820000426-Identity-H" w:hint="eastAsia"/>
          <w:kern w:val="0"/>
          <w:sz w:val="22"/>
        </w:rPr>
        <w:t>它们也可以用来传输数字信号</w:t>
      </w:r>
      <w:r>
        <w:rPr>
          <w:rFonts w:ascii="宋体" w:hAnsi="宋体" w:cs="SSJ-PK74820000426-Identity-H"/>
          <w:kern w:val="0"/>
          <w:sz w:val="22"/>
        </w:rPr>
        <w:t>(</w:t>
      </w:r>
      <w:r>
        <w:rPr>
          <w:rFonts w:ascii="宋体" w:hAnsi="宋体" w:cs="SSJ-PK74820000426-Identity-H" w:hint="eastAsia"/>
          <w:kern w:val="0"/>
          <w:sz w:val="22"/>
        </w:rPr>
        <w:t>数据</w:t>
      </w:r>
      <w:r>
        <w:rPr>
          <w:rFonts w:ascii="宋体" w:hAnsi="宋体" w:cs="SSJ-PK74820000426-Identity-H"/>
          <w:kern w:val="0"/>
          <w:sz w:val="22"/>
        </w:rPr>
        <w:t>)</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35.</w:t>
      </w:r>
      <w:r>
        <w:rPr>
          <w:rFonts w:ascii="宋体" w:hAnsi="宋体" w:cs="SSJ-PK74820000426-Identity-H" w:hint="eastAsia"/>
          <w:kern w:val="0"/>
          <w:sz w:val="22"/>
        </w:rPr>
        <w:t>计算机网络最有吸引力的特性是资源共享</w:t>
      </w:r>
      <w:r>
        <w:rPr>
          <w:rFonts w:ascii="宋体" w:cs="SSJ-PK74820000426-Identity-H"/>
          <w:kern w:val="0"/>
          <w:sz w:val="22"/>
        </w:rPr>
        <w:t>,</w:t>
      </w:r>
      <w:r>
        <w:rPr>
          <w:rFonts w:ascii="宋体" w:hAnsi="宋体" w:cs="SSJ-PK74820000426-Identity-H" w:hint="eastAsia"/>
          <w:kern w:val="0"/>
          <w:sz w:val="22"/>
        </w:rPr>
        <w:t>即多台计算机可以共享数据</w:t>
      </w:r>
      <w:r>
        <w:rPr>
          <w:rFonts w:ascii="宋体" w:eastAsia="MS Minchofalt" w:hAnsi="MS Minchofalt" w:cs="MS Minchofalt" w:hint="eastAsia"/>
          <w:kern w:val="0"/>
          <w:sz w:val="22"/>
        </w:rPr>
        <w:t>､</w:t>
      </w:r>
      <w:r>
        <w:rPr>
          <w:rFonts w:ascii="宋体" w:hAnsi="宋体" w:cs="宋体" w:hint="eastAsia"/>
          <w:kern w:val="0"/>
          <w:sz w:val="22"/>
        </w:rPr>
        <w:t>打印机</w:t>
      </w:r>
      <w:r>
        <w:rPr>
          <w:rFonts w:ascii="宋体" w:eastAsia="MS Minchofalt" w:hAnsi="MS Minchofalt" w:cs="MS Minchofalt" w:hint="eastAsia"/>
          <w:kern w:val="0"/>
          <w:sz w:val="22"/>
        </w:rPr>
        <w:t>､</w:t>
      </w:r>
      <w:r>
        <w:rPr>
          <w:rFonts w:ascii="宋体" w:hAnsi="宋体" w:cs="宋体" w:hint="eastAsia"/>
          <w:kern w:val="0"/>
          <w:sz w:val="22"/>
        </w:rPr>
        <w:t>传真机等多种资源</w:t>
      </w:r>
      <w:r>
        <w:rPr>
          <w:rFonts w:ascii="宋体" w:cs="SSJ-PK74820000426-Identity-H"/>
          <w:kern w:val="0"/>
          <w:sz w:val="22"/>
        </w:rPr>
        <w:t>,</w:t>
      </w:r>
      <w:r>
        <w:rPr>
          <w:rFonts w:ascii="宋体" w:hAnsi="宋体" w:cs="SSJ-PK74820000426-Identity-H" w:hint="eastAsia"/>
          <w:kern w:val="0"/>
          <w:sz w:val="22"/>
        </w:rPr>
        <w:t>但不可以共享音乐资源</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36.</w:t>
      </w:r>
      <w:r>
        <w:rPr>
          <w:rFonts w:ascii="宋体" w:hAnsi="宋体" w:cs="SSJ-PK74820000426-Identity-H" w:hint="eastAsia"/>
          <w:kern w:val="0"/>
          <w:sz w:val="22"/>
        </w:rPr>
        <w:t>从概念上讲</w:t>
      </w:r>
      <w:r>
        <w:rPr>
          <w:rFonts w:ascii="宋体" w:hAnsi="宋体" w:cs="SSJ-PK74820000426-Identity-H"/>
          <w:kern w:val="0"/>
          <w:sz w:val="22"/>
        </w:rPr>
        <w:t xml:space="preserve">,WWW </w:t>
      </w:r>
      <w:r>
        <w:rPr>
          <w:rFonts w:ascii="宋体" w:hAnsi="宋体" w:cs="SSJ-PK74820000426-Identity-H" w:hint="eastAsia"/>
          <w:kern w:val="0"/>
          <w:sz w:val="22"/>
        </w:rPr>
        <w:t>网是按</w:t>
      </w:r>
      <w:r>
        <w:rPr>
          <w:rFonts w:ascii="宋体" w:hAnsi="宋体" w:cs="SSJ-PK74820000426-Identity-H"/>
          <w:kern w:val="0"/>
          <w:sz w:val="22"/>
        </w:rPr>
        <w:t>P2P</w:t>
      </w:r>
      <w:r>
        <w:rPr>
          <w:rFonts w:ascii="宋体" w:hAnsi="宋体" w:cs="SSJ-PK74820000426-Identity-H" w:hint="eastAsia"/>
          <w:kern w:val="0"/>
          <w:sz w:val="22"/>
        </w:rPr>
        <w:t>模式工作的</w:t>
      </w:r>
      <w:r>
        <w:rPr>
          <w:rFonts w:ascii="宋体" w:cs="SSJ-PK74820000426-Identity-H"/>
          <w:kern w:val="0"/>
          <w:sz w:val="22"/>
        </w:rPr>
        <w:t>,</w:t>
      </w:r>
      <w:r>
        <w:rPr>
          <w:rFonts w:ascii="宋体" w:hAnsi="宋体" w:cs="SSJ-PK74820000426-Identity-H" w:hint="eastAsia"/>
          <w:kern w:val="0"/>
          <w:sz w:val="22"/>
        </w:rPr>
        <w:t>只要上网的计算机安装微软的</w:t>
      </w:r>
      <w:r>
        <w:rPr>
          <w:rFonts w:ascii="宋体" w:hAnsi="宋体" w:cs="SSJ-PK74820000426-Identity-H"/>
          <w:kern w:val="0"/>
          <w:sz w:val="22"/>
        </w:rPr>
        <w:t>IE</w:t>
      </w:r>
      <w:r>
        <w:rPr>
          <w:rFonts w:ascii="宋体" w:hAnsi="宋体" w:cs="SSJ-PK74820000426-Identity-H" w:hint="eastAsia"/>
          <w:kern w:val="0"/>
          <w:sz w:val="22"/>
        </w:rPr>
        <w:t>浏览器便可</w:t>
      </w:r>
      <w:r>
        <w:rPr>
          <w:rFonts w:ascii="宋体" w:eastAsia="MS Minchofalt" w:hAnsi="MS Minchofalt" w:cs="MS Minchofalt" w:hint="eastAsia"/>
          <w:kern w:val="0"/>
          <w:sz w:val="22"/>
        </w:rPr>
        <w:t>｡</w: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b/>
          <w:kern w:val="0"/>
          <w:sz w:val="22"/>
        </w:rPr>
        <w:t>(</w:t>
      </w:r>
      <w:r>
        <w:rPr>
          <w:rFonts w:ascii="宋体" w:hAnsi="宋体" w:cs="HTJ-PK7482000042d-Identity-H" w:hint="eastAsia"/>
          <w:b/>
          <w:kern w:val="0"/>
          <w:sz w:val="22"/>
        </w:rPr>
        <w:t>三</w:t>
      </w:r>
      <w:r>
        <w:rPr>
          <w:rFonts w:ascii="宋体" w:hAnsi="宋体" w:cs="HTJ-PK7482000042d-Identity-H"/>
          <w:b/>
          <w:kern w:val="0"/>
          <w:sz w:val="22"/>
        </w:rPr>
        <w:t>)</w:t>
      </w:r>
      <w:r>
        <w:rPr>
          <w:rFonts w:ascii="宋体" w:hAnsi="宋体" w:cs="HTJ-PK7482000042d-Identity-H" w:hint="eastAsia"/>
          <w:b/>
          <w:kern w:val="0"/>
          <w:sz w:val="22"/>
        </w:rPr>
        <w:t>填空题</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37.</w:t>
      </w:r>
      <w:r>
        <w:rPr>
          <w:rFonts w:ascii="宋体" w:hAnsi="宋体" w:cs="SSJ-PK74820000426-Identity-H" w:hint="eastAsia"/>
          <w:kern w:val="0"/>
          <w:sz w:val="22"/>
        </w:rPr>
        <w:t>与十进制数</w:t>
      </w:r>
      <w:r>
        <w:rPr>
          <w:rFonts w:ascii="宋体" w:hAnsi="宋体" w:cs="SSJ-PK74820000426-Identity-H"/>
          <w:kern w:val="0"/>
          <w:sz w:val="22"/>
        </w:rPr>
        <w:t>0.25</w:t>
      </w:r>
      <w:r>
        <w:rPr>
          <w:rFonts w:ascii="宋体" w:hAnsi="宋体" w:cs="SSJ-PK74820000426-Identity-H" w:hint="eastAsia"/>
          <w:kern w:val="0"/>
          <w:sz w:val="22"/>
        </w:rPr>
        <w:t>等值的二进制数是</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38.</w:t>
      </w:r>
      <w:r>
        <w:rPr>
          <w:rFonts w:ascii="宋体" w:hAnsi="宋体" w:cs="SSJ-PK74820000426-Identity-H" w:hint="eastAsia"/>
          <w:kern w:val="0"/>
          <w:sz w:val="22"/>
        </w:rPr>
        <w:t>在</w:t>
      </w:r>
      <w:r>
        <w:rPr>
          <w:rFonts w:ascii="宋体" w:hAnsi="宋体" w:cs="SSJ-PK74820000426-Identity-H"/>
          <w:kern w:val="0"/>
          <w:sz w:val="22"/>
        </w:rPr>
        <w:t>PC</w:t>
      </w:r>
      <w:r>
        <w:rPr>
          <w:rFonts w:ascii="宋体" w:hAnsi="宋体" w:cs="SSJ-PK74820000426-Identity-H" w:hint="eastAsia"/>
          <w:kern w:val="0"/>
          <w:sz w:val="22"/>
        </w:rPr>
        <w:t>中表示带符号整数时</w:t>
      </w:r>
      <w:r>
        <w:rPr>
          <w:rFonts w:ascii="宋体" w:cs="SSJ-PK74820000426-Identity-H"/>
          <w:kern w:val="0"/>
          <w:sz w:val="22"/>
        </w:rPr>
        <w:t>,</w:t>
      </w:r>
      <w:r>
        <w:rPr>
          <w:rFonts w:ascii="宋体" w:hAnsi="宋体" w:cs="SSJ-PK74820000426-Identity-H" w:hint="eastAsia"/>
          <w:kern w:val="0"/>
          <w:sz w:val="22"/>
        </w:rPr>
        <w:t>最高位用</w:t>
      </w:r>
      <w:r>
        <w:rPr>
          <w:rFonts w:ascii="宋体" w:hAnsi="宋体" w:cs="SSJ-PK74820000426-Identity-H"/>
          <w:kern w:val="0"/>
          <w:sz w:val="22"/>
          <w:u w:val="single"/>
        </w:rPr>
        <w:t xml:space="preserve">        </w:t>
      </w:r>
      <w:r>
        <w:rPr>
          <w:rFonts w:ascii="宋体" w:hAnsi="宋体" w:cs="SSJ-PK74820000426-Identity-H" w:hint="eastAsia"/>
          <w:kern w:val="0"/>
          <w:sz w:val="22"/>
        </w:rPr>
        <w:t>来表示负数</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39.</w:t>
      </w:r>
      <w:r>
        <w:rPr>
          <w:rFonts w:ascii="宋体" w:hAnsi="宋体" w:cs="SSJ-PK74820000426-Identity-H" w:hint="eastAsia"/>
          <w:kern w:val="0"/>
          <w:sz w:val="22"/>
        </w:rPr>
        <w:t>用户为了防止他人使用自己的</w:t>
      </w:r>
      <w:r>
        <w:rPr>
          <w:rFonts w:ascii="宋体" w:hAnsi="宋体" w:cs="SSJ-PK74820000426-Identity-H"/>
          <w:kern w:val="0"/>
          <w:sz w:val="22"/>
        </w:rPr>
        <w:t>PC,</w:t>
      </w:r>
      <w:r>
        <w:rPr>
          <w:rFonts w:ascii="宋体" w:hAnsi="宋体" w:cs="SSJ-PK74820000426-Identity-H" w:hint="eastAsia"/>
          <w:kern w:val="0"/>
          <w:sz w:val="22"/>
        </w:rPr>
        <w:t>可以通过</w:t>
      </w:r>
      <w:r>
        <w:rPr>
          <w:rFonts w:ascii="宋体" w:hAnsi="宋体" w:cs="SSJ-PK74820000426-Identity-H"/>
          <w:kern w:val="0"/>
          <w:sz w:val="22"/>
        </w:rPr>
        <w:t>BIOS</w:t>
      </w:r>
      <w:r>
        <w:rPr>
          <w:rFonts w:ascii="宋体" w:hAnsi="宋体" w:cs="SSJ-PK74820000426-Identity-H" w:hint="eastAsia"/>
          <w:kern w:val="0"/>
          <w:sz w:val="22"/>
        </w:rPr>
        <w:t>中的</w:t>
      </w:r>
      <w:r>
        <w:rPr>
          <w:rFonts w:ascii="宋体" w:hAnsi="宋体" w:cs="SSJ-PK74820000426-Identity-H"/>
          <w:kern w:val="0"/>
          <w:sz w:val="22"/>
          <w:u w:val="single"/>
        </w:rPr>
        <w:t xml:space="preserve">        </w:t>
      </w:r>
      <w:r>
        <w:rPr>
          <w:rFonts w:ascii="宋体" w:hAnsi="宋体" w:cs="SSJ-PK74820000426-Identity-H" w:hint="eastAsia"/>
          <w:kern w:val="0"/>
          <w:sz w:val="22"/>
        </w:rPr>
        <w:t>设置程序对系统设置一个开机密码</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40.</w:t>
      </w:r>
      <w:r>
        <w:rPr>
          <w:rFonts w:ascii="宋体" w:hAnsi="宋体" w:cs="SSJ-PK74820000426-Identity-H" w:hint="eastAsia"/>
          <w:kern w:val="0"/>
          <w:sz w:val="22"/>
        </w:rPr>
        <w:t>扫描仪是基于</w:t>
      </w:r>
      <w:r>
        <w:rPr>
          <w:rFonts w:ascii="宋体" w:hAnsi="宋体" w:cs="SSJ-PK74820000426-Identity-H"/>
          <w:kern w:val="0"/>
          <w:sz w:val="22"/>
          <w:u w:val="single"/>
        </w:rPr>
        <w:t xml:space="preserve">        </w:t>
      </w:r>
      <w:r>
        <w:rPr>
          <w:rFonts w:ascii="宋体" w:hAnsi="宋体" w:cs="SSJ-PK74820000426-Identity-H" w:hint="eastAsia"/>
          <w:kern w:val="0"/>
          <w:sz w:val="22"/>
        </w:rPr>
        <w:t>原理设计的</w:t>
      </w:r>
      <w:r>
        <w:rPr>
          <w:rFonts w:ascii="宋体" w:cs="SSJ-PK74820000426-Identity-H"/>
          <w:kern w:val="0"/>
          <w:sz w:val="22"/>
        </w:rPr>
        <w:t>,</w:t>
      </w:r>
      <w:r>
        <w:rPr>
          <w:rFonts w:ascii="宋体" w:hAnsi="宋体" w:cs="SSJ-PK74820000426-Identity-H" w:hint="eastAsia"/>
          <w:kern w:val="0"/>
          <w:sz w:val="22"/>
        </w:rPr>
        <w:t>它使用的核心器件大多是</w:t>
      </w:r>
      <w:r>
        <w:rPr>
          <w:rFonts w:ascii="宋体" w:hAnsi="宋体" w:cs="SSJ-PK74820000426-Identity-H"/>
          <w:kern w:val="0"/>
          <w:sz w:val="22"/>
        </w:rPr>
        <w:t>CCD</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41.Windows</w:t>
      </w:r>
      <w:r>
        <w:rPr>
          <w:rFonts w:ascii="宋体" w:hAnsi="宋体" w:cs="SSJ-PK74820000426-Identity-H" w:hint="eastAsia"/>
          <w:kern w:val="0"/>
          <w:sz w:val="22"/>
        </w:rPr>
        <w:t>操作系统中</w:t>
      </w:r>
      <w:r>
        <w:rPr>
          <w:rFonts w:ascii="宋体" w:cs="SSJ-PK74820000426-Identity-H"/>
          <w:kern w:val="0"/>
          <w:sz w:val="22"/>
        </w:rPr>
        <w:t>,</w:t>
      </w:r>
      <w:r>
        <w:rPr>
          <w:rFonts w:ascii="宋体" w:hAnsi="宋体" w:cs="SSJ-PK74820000426-Identity-H" w:hint="eastAsia"/>
          <w:kern w:val="0"/>
          <w:sz w:val="22"/>
        </w:rPr>
        <w:t>非活动窗口对应的任务称为</w:t>
      </w:r>
      <w:r>
        <w:rPr>
          <w:rFonts w:ascii="宋体" w:hAnsi="宋体" w:cs="SSJ-PK74820000426-Identity-H"/>
          <w:kern w:val="0"/>
          <w:sz w:val="22"/>
          <w:u w:val="single"/>
        </w:rPr>
        <w:t xml:space="preserve">        </w:t>
      </w:r>
      <w:r>
        <w:rPr>
          <w:rFonts w:ascii="宋体" w:hAnsi="宋体" w:cs="SSJ-PK74820000426-Identity-H" w:hint="eastAsia"/>
          <w:kern w:val="0"/>
          <w:sz w:val="22"/>
        </w:rPr>
        <w:t>任务</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42.</w:t>
      </w:r>
      <w:r>
        <w:rPr>
          <w:rFonts w:ascii="宋体" w:hAnsi="宋体" w:cs="SSJ-PK74820000426-Identity-H" w:hint="eastAsia"/>
          <w:kern w:val="0"/>
          <w:sz w:val="22"/>
        </w:rPr>
        <w:t>在以太网中</w:t>
      </w:r>
      <w:r>
        <w:rPr>
          <w:rFonts w:ascii="宋体" w:cs="SSJ-PK74820000426-Identity-H"/>
          <w:kern w:val="0"/>
          <w:sz w:val="22"/>
        </w:rPr>
        <w:t>,</w:t>
      </w:r>
      <w:r>
        <w:rPr>
          <w:rFonts w:ascii="宋体" w:hAnsi="宋体" w:cs="SSJ-PK74820000426-Identity-H" w:hint="eastAsia"/>
          <w:kern w:val="0"/>
          <w:sz w:val="22"/>
        </w:rPr>
        <w:t>如果要求连接在网络中的每一台计算机各自独享一定的带宽</w:t>
      </w:r>
      <w:r>
        <w:rPr>
          <w:rFonts w:ascii="宋体" w:cs="SSJ-PK74820000426-Identity-H"/>
          <w:kern w:val="0"/>
          <w:sz w:val="22"/>
        </w:rPr>
        <w:t>,</w:t>
      </w:r>
      <w:r>
        <w:rPr>
          <w:rFonts w:ascii="宋体" w:hAnsi="宋体" w:cs="SSJ-PK74820000426-Identity-H" w:hint="eastAsia"/>
          <w:kern w:val="0"/>
          <w:sz w:val="22"/>
        </w:rPr>
        <w:t>则应选择</w:t>
      </w:r>
      <w:r>
        <w:rPr>
          <w:rFonts w:ascii="宋体" w:hAnsi="宋体" w:cs="SSJ-PK74820000426-Identity-H"/>
          <w:kern w:val="0"/>
          <w:sz w:val="22"/>
          <w:u w:val="single"/>
        </w:rPr>
        <w:t xml:space="preserve">        </w:t>
      </w:r>
      <w:r>
        <w:rPr>
          <w:rFonts w:ascii="宋体" w:hAnsi="宋体" w:cs="SSJ-PK74820000426-Identity-H" w:hint="eastAsia"/>
          <w:kern w:val="0"/>
          <w:sz w:val="22"/>
        </w:rPr>
        <w:t>来组网</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43.</w:t>
      </w:r>
      <w:r>
        <w:rPr>
          <w:rFonts w:ascii="宋体" w:hAnsi="宋体" w:cs="SSJ-PK74820000426-Identity-H" w:hint="eastAsia"/>
          <w:kern w:val="0"/>
          <w:sz w:val="22"/>
        </w:rPr>
        <w:t>接入无线局域网的计算机与接入点</w:t>
      </w:r>
      <w:r>
        <w:rPr>
          <w:rFonts w:ascii="宋体" w:hAnsi="宋体" w:cs="SSJ-PK74820000426-Identity-H"/>
          <w:kern w:val="0"/>
          <w:sz w:val="22"/>
        </w:rPr>
        <w:t>(AP)</w:t>
      </w:r>
      <w:r>
        <w:rPr>
          <w:rFonts w:ascii="宋体" w:hAnsi="宋体" w:cs="SSJ-PK74820000426-Identity-H" w:hint="eastAsia"/>
          <w:kern w:val="0"/>
          <w:sz w:val="22"/>
        </w:rPr>
        <w:t>之间的距离一般在几米～几十米之间</w:t>
      </w:r>
      <w:r>
        <w:rPr>
          <w:rFonts w:ascii="宋体" w:cs="SSJ-PK74820000426-Identity-H"/>
          <w:kern w:val="0"/>
          <w:sz w:val="22"/>
        </w:rPr>
        <w:t>,</w:t>
      </w:r>
      <w:r>
        <w:rPr>
          <w:rFonts w:ascii="宋体" w:hAnsi="宋体" w:cs="SSJ-PK74820000426-Identity-H" w:hint="eastAsia"/>
          <w:kern w:val="0"/>
          <w:sz w:val="22"/>
        </w:rPr>
        <w:t>距离越大</w:t>
      </w:r>
      <w:r>
        <w:rPr>
          <w:rFonts w:ascii="宋体" w:cs="SSJ-PK74820000426-Identity-H"/>
          <w:kern w:val="0"/>
          <w:sz w:val="22"/>
        </w:rPr>
        <w:t>,</w:t>
      </w:r>
      <w:r>
        <w:rPr>
          <w:rFonts w:ascii="宋体" w:hAnsi="宋体" w:cs="SSJ-PK74820000426-Identity-H" w:hint="eastAsia"/>
          <w:kern w:val="0"/>
          <w:sz w:val="22"/>
        </w:rPr>
        <w:t>穿越的墙体越多</w:t>
      </w:r>
      <w:r>
        <w:rPr>
          <w:rFonts w:ascii="宋体" w:cs="SSJ-PK74820000426-Identity-H"/>
          <w:kern w:val="0"/>
          <w:sz w:val="22"/>
        </w:rPr>
        <w:t>,</w:t>
      </w:r>
      <w:r>
        <w:rPr>
          <w:rFonts w:ascii="宋体" w:hAnsi="宋体" w:cs="SSJ-PK74820000426-Identity-H" w:hint="eastAsia"/>
          <w:kern w:val="0"/>
          <w:sz w:val="22"/>
        </w:rPr>
        <w:t>信号越</w:t>
      </w:r>
      <w:r>
        <w:rPr>
          <w:rFonts w:ascii="宋体" w:hAnsi="宋体" w:cs="SSJ-PK74820000426-Identity-H"/>
          <w:kern w:val="0"/>
          <w:sz w:val="22"/>
          <w:u w:val="single"/>
        </w:rPr>
        <w:t xml:space="preserve">        </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44.</w:t>
      </w:r>
      <w:r>
        <w:rPr>
          <w:rFonts w:ascii="宋体" w:hAnsi="宋体" w:cs="SSJ-PK74820000426-Identity-H" w:hint="eastAsia"/>
          <w:kern w:val="0"/>
          <w:sz w:val="22"/>
        </w:rPr>
        <w:t>使用</w:t>
      </w:r>
      <w:r>
        <w:rPr>
          <w:rFonts w:ascii="宋体" w:hAnsi="宋体" w:cs="SSJ-PK74820000426-Identity-H"/>
          <w:kern w:val="0"/>
          <w:sz w:val="22"/>
        </w:rPr>
        <w:t>IE</w:t>
      </w:r>
      <w:r>
        <w:rPr>
          <w:rFonts w:ascii="宋体" w:hAnsi="宋体" w:cs="SSJ-PK74820000426-Identity-H" w:hint="eastAsia"/>
          <w:kern w:val="0"/>
          <w:sz w:val="22"/>
        </w:rPr>
        <w:t>浏览器启动</w:t>
      </w:r>
      <w:r>
        <w:rPr>
          <w:rFonts w:ascii="宋体" w:hAnsi="宋体" w:cs="SSJ-PK74820000426-Identity-H"/>
          <w:kern w:val="0"/>
          <w:sz w:val="22"/>
        </w:rPr>
        <w:t>FTP</w:t>
      </w:r>
      <w:r>
        <w:rPr>
          <w:rFonts w:ascii="宋体" w:hAnsi="宋体" w:cs="SSJ-PK74820000426-Identity-H" w:hint="eastAsia"/>
          <w:kern w:val="0"/>
          <w:sz w:val="22"/>
        </w:rPr>
        <w:t>客户程序时</w:t>
      </w:r>
      <w:r>
        <w:rPr>
          <w:rFonts w:ascii="宋体" w:cs="SSJ-PK74820000426-Identity-H"/>
          <w:kern w:val="0"/>
          <w:sz w:val="22"/>
        </w:rPr>
        <w:t>,</w:t>
      </w:r>
      <w:r>
        <w:rPr>
          <w:rFonts w:ascii="宋体" w:hAnsi="宋体" w:cs="SSJ-PK74820000426-Identity-H" w:hint="eastAsia"/>
          <w:kern w:val="0"/>
          <w:sz w:val="22"/>
        </w:rPr>
        <w:t>用户需在地址栏中输入</w:t>
      </w:r>
      <w:r>
        <w:rPr>
          <w:rFonts w:ascii="宋体" w:hAnsi="宋体" w:cs="SSJ-PK74820000426-Identity-H"/>
          <w:kern w:val="0"/>
          <w:sz w:val="22"/>
        </w:rPr>
        <w:t>:</w:t>
      </w:r>
      <w:r>
        <w:rPr>
          <w:rFonts w:ascii="宋体" w:hAnsi="宋体" w:cs="SSJ-PK74820000426-Identity-H"/>
          <w:kern w:val="0"/>
          <w:sz w:val="22"/>
          <w:u w:val="single"/>
        </w:rPr>
        <w:t xml:space="preserve">        </w:t>
      </w:r>
      <w:r>
        <w:rPr>
          <w:rFonts w:ascii="宋体" w:hAnsi="宋体" w:cs="SSJ-PK74820000426-Identity-H"/>
          <w:kern w:val="0"/>
          <w:sz w:val="22"/>
        </w:rPr>
        <w:t>://</w:t>
      </w:r>
      <w:r>
        <w:rPr>
          <w:rFonts w:ascii="宋体" w:hAnsi="宋体" w:cs="SSJ-PK74820000426-Identity-H" w:hint="eastAsia"/>
          <w:kern w:val="0"/>
          <w:sz w:val="22"/>
        </w:rPr>
        <w:t>用户名</w:t>
      </w:r>
      <w:r>
        <w:rPr>
          <w:rFonts w:ascii="宋体" w:hAnsi="宋体" w:cs="SSJ-PK74820000426-Identity-H"/>
          <w:kern w:val="0"/>
          <w:sz w:val="22"/>
        </w:rPr>
        <w:t>:</w:t>
      </w:r>
      <w:r>
        <w:rPr>
          <w:rFonts w:ascii="宋体" w:hAnsi="宋体" w:cs="SSJ-PK74820000426-Identity-H" w:hint="eastAsia"/>
          <w:kern w:val="0"/>
          <w:sz w:val="22"/>
        </w:rPr>
        <w:t>口令</w:t>
      </w:r>
      <w:r>
        <w:rPr>
          <w:rFonts w:ascii="宋体" w:hAnsi="宋体" w:cs="SSJ-PK74820000426-Identity-H"/>
          <w:kern w:val="0"/>
          <w:sz w:val="22"/>
        </w:rPr>
        <w:t>@FTP</w:t>
      </w:r>
      <w:r>
        <w:rPr>
          <w:rFonts w:ascii="宋体" w:hAnsi="宋体" w:cs="SSJ-PK74820000426-Identity-H" w:hint="eastAsia"/>
          <w:kern w:val="0"/>
          <w:sz w:val="22"/>
        </w:rPr>
        <w:t>服务器域名</w:t>
      </w:r>
      <w:r>
        <w:rPr>
          <w:rFonts w:ascii="宋体" w:hAnsi="宋体" w:cs="SSJ-PK74820000426-Identity-H"/>
          <w:kern w:val="0"/>
          <w:sz w:val="22"/>
        </w:rPr>
        <w:t>:[</w:t>
      </w:r>
      <w:r>
        <w:rPr>
          <w:rFonts w:ascii="宋体" w:hAnsi="宋体" w:cs="SSJ-PK74820000426-Identity-H" w:hint="eastAsia"/>
          <w:kern w:val="0"/>
          <w:sz w:val="22"/>
        </w:rPr>
        <w:t>端口号</w:t>
      </w:r>
      <w:r>
        <w:rPr>
          <w:rFonts w:ascii="宋体" w:hAnsi="宋体" w:cs="SSJ-PK74820000426-Identity-H"/>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45.</w:t>
      </w:r>
      <w:r>
        <w:rPr>
          <w:rFonts w:ascii="宋体" w:hAnsi="宋体" w:cs="SSJ-PK74820000426-Identity-H" w:hint="eastAsia"/>
          <w:kern w:val="0"/>
          <w:sz w:val="22"/>
        </w:rPr>
        <w:t>使用计算机制作的数字文本结构</w:t>
      </w:r>
      <w:r>
        <w:rPr>
          <w:rFonts w:ascii="宋体" w:cs="SSJ-PK74820000426-Identity-H"/>
          <w:kern w:val="0"/>
          <w:sz w:val="22"/>
        </w:rPr>
        <w:t>,</w:t>
      </w:r>
      <w:r>
        <w:rPr>
          <w:rFonts w:ascii="宋体" w:hAnsi="宋体" w:cs="SSJ-PK74820000426-Identity-H" w:hint="eastAsia"/>
          <w:kern w:val="0"/>
          <w:sz w:val="22"/>
        </w:rPr>
        <w:t>可以分为线性结构与非线性结构</w:t>
      </w:r>
      <w:r>
        <w:rPr>
          <w:rFonts w:ascii="宋体" w:cs="SSJ-PK74820000426-Identity-H"/>
          <w:kern w:val="0"/>
          <w:sz w:val="22"/>
        </w:rPr>
        <w:t>,</w:t>
      </w:r>
      <w:r>
        <w:rPr>
          <w:rFonts w:ascii="宋体" w:hAnsi="宋体" w:cs="SSJ-PK74820000426-Identity-H" w:hint="eastAsia"/>
          <w:kern w:val="0"/>
          <w:sz w:val="22"/>
        </w:rPr>
        <w:t>简单文本呈现为一种</w:t>
      </w:r>
      <w:r>
        <w:rPr>
          <w:rFonts w:ascii="宋体" w:hAnsi="宋体" w:cs="SSJ-PK74820000426-Identity-H"/>
          <w:kern w:val="0"/>
          <w:sz w:val="22"/>
          <w:u w:val="single"/>
        </w:rPr>
        <w:t xml:space="preserve">        </w:t>
      </w:r>
      <w:r>
        <w:rPr>
          <w:rFonts w:ascii="宋体" w:hAnsi="宋体" w:cs="SSJ-PK74820000426-Identity-H" w:hint="eastAsia"/>
          <w:kern w:val="0"/>
          <w:sz w:val="22"/>
        </w:rPr>
        <w:t>结构</w:t>
      </w:r>
      <w:r>
        <w:rPr>
          <w:rFonts w:ascii="宋体" w:cs="SSJ-PK74820000426-Identity-H"/>
          <w:kern w:val="0"/>
          <w:sz w:val="22"/>
        </w:rPr>
        <w:t>,</w:t>
      </w:r>
      <w:r>
        <w:rPr>
          <w:rFonts w:ascii="宋体" w:hAnsi="宋体" w:cs="SSJ-PK74820000426-Identity-H" w:hint="eastAsia"/>
          <w:kern w:val="0"/>
          <w:sz w:val="22"/>
        </w:rPr>
        <w:t>写作和阅读均按顺序进行</w:t>
      </w:r>
      <w:r>
        <w:rPr>
          <w:rFonts w:ascii="宋体" w:eastAsia="MS Minchofalt" w:hAnsi="MS Minchofalt" w:cs="MS Minchofalt" w:hint="eastAsia"/>
          <w:kern w:val="0"/>
          <w:sz w:val="22"/>
        </w:rPr>
        <w:t>｡</w: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hint="eastAsia"/>
          <w:b/>
          <w:kern w:val="0"/>
          <w:sz w:val="22"/>
        </w:rPr>
        <w:t>二</w:t>
      </w:r>
      <w:r>
        <w:rPr>
          <w:rFonts w:ascii="宋体" w:eastAsia="MS Minchofalt" w:hAnsi="MS Minchofalt" w:cs="MS Minchofalt" w:hint="eastAsia"/>
          <w:b/>
          <w:kern w:val="0"/>
          <w:sz w:val="22"/>
        </w:rPr>
        <w:t>､</w:t>
      </w:r>
      <w:r>
        <w:rPr>
          <w:rFonts w:ascii="宋体" w:hAnsi="宋体" w:cs="宋体" w:hint="eastAsia"/>
          <w:b/>
          <w:kern w:val="0"/>
          <w:sz w:val="22"/>
        </w:rPr>
        <w:t>应用操作题</w: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b/>
          <w:kern w:val="0"/>
          <w:sz w:val="22"/>
        </w:rPr>
        <w:t>(</w:t>
      </w:r>
      <w:r>
        <w:rPr>
          <w:rFonts w:ascii="宋体" w:hAnsi="宋体" w:cs="HTJ-PK7482000042d-Identity-H" w:hint="eastAsia"/>
          <w:b/>
          <w:kern w:val="0"/>
          <w:sz w:val="22"/>
        </w:rPr>
        <w:t>一</w:t>
      </w:r>
      <w:r>
        <w:rPr>
          <w:rFonts w:ascii="宋体" w:hAnsi="宋体" w:cs="HTJ-PK7482000042d-Identity-H"/>
          <w:b/>
          <w:kern w:val="0"/>
          <w:sz w:val="22"/>
        </w:rPr>
        <w:t>)WORD</w:t>
      </w:r>
      <w:r>
        <w:rPr>
          <w:rFonts w:ascii="宋体" w:hAnsi="宋体" w:cs="HTJ-PK7482000042d-Identity-H" w:hint="eastAsia"/>
          <w:b/>
          <w:kern w:val="0"/>
          <w:sz w:val="22"/>
        </w:rPr>
        <w:t>操作题</w:t>
      </w:r>
      <w:r>
        <w:rPr>
          <w:rFonts w:ascii="宋体" w:hAnsi="宋体" w:cs="HTJ-PK7482000042d-Identity-H"/>
          <w:b/>
          <w:kern w:val="0"/>
          <w:sz w:val="22"/>
        </w:rPr>
        <w:t>(20</w:t>
      </w:r>
      <w:r>
        <w:rPr>
          <w:rFonts w:ascii="宋体" w:hAnsi="宋体" w:cs="HTJ-PK7482000042d-Identity-H" w:hint="eastAsia"/>
          <w:b/>
          <w:kern w:val="0"/>
          <w:sz w:val="22"/>
        </w:rPr>
        <w:t>分</w:t>
      </w:r>
      <w:r>
        <w:rPr>
          <w:rFonts w:ascii="宋体" w:hAnsi="宋体" w:cs="HTJ-PK7482000042d-Identity-H"/>
          <w:b/>
          <w:kern w:val="0"/>
          <w:sz w:val="22"/>
        </w:rPr>
        <w:t>)</w:t>
      </w:r>
    </w:p>
    <w:p w:rsidR="003717A0" w:rsidRDefault="003717A0">
      <w:pPr>
        <w:autoSpaceDE w:val="0"/>
        <w:autoSpaceDN w:val="0"/>
        <w:adjustRightInd w:val="0"/>
        <w:spacing w:line="360" w:lineRule="exact"/>
        <w:jc w:val="left"/>
        <w:rPr>
          <w:rFonts w:ascii="宋体" w:cs="FSJ-PK74820000480-Identity-H"/>
          <w:b/>
          <w:kern w:val="0"/>
          <w:sz w:val="22"/>
        </w:rPr>
      </w:pPr>
      <w:r>
        <w:rPr>
          <w:rFonts w:ascii="宋体" w:hAnsi="宋体" w:cs="FSJ-PK74820000480-Identity-H" w:hint="eastAsia"/>
          <w:b/>
          <w:kern w:val="0"/>
          <w:sz w:val="22"/>
        </w:rPr>
        <w:t>调入</w:t>
      </w:r>
      <w:r>
        <w:rPr>
          <w:rFonts w:ascii="宋体" w:hAnsi="宋体" w:cs="E-BZ-PK74835d-Identity-H"/>
          <w:b/>
          <w:kern w:val="0"/>
          <w:sz w:val="22"/>
        </w:rPr>
        <w:t>T</w:t>
      </w:r>
      <w:r>
        <w:rPr>
          <w:rFonts w:ascii="宋体" w:hAnsi="宋体" w:cs="FSJ-PK74820000480-Identity-H" w:hint="eastAsia"/>
          <w:b/>
          <w:kern w:val="0"/>
          <w:sz w:val="22"/>
        </w:rPr>
        <w:t>盘中的</w:t>
      </w:r>
      <w:r>
        <w:rPr>
          <w:rFonts w:ascii="宋体" w:hAnsi="宋体" w:cs="E-BZ-PK74835d-Identity-H"/>
          <w:b/>
          <w:kern w:val="0"/>
          <w:sz w:val="22"/>
        </w:rPr>
        <w:t>ED1.RTF</w:t>
      </w:r>
      <w:r>
        <w:rPr>
          <w:rFonts w:ascii="宋体" w:hAnsi="宋体" w:cs="FSJ-PK74820000480-Identity-H" w:hint="eastAsia"/>
          <w:b/>
          <w:kern w:val="0"/>
          <w:sz w:val="22"/>
        </w:rPr>
        <w:t>文件</w:t>
      </w:r>
      <w:r>
        <w:rPr>
          <w:rFonts w:ascii="宋体" w:cs="FSJ-PK74820000480-Identity-H"/>
          <w:b/>
          <w:kern w:val="0"/>
          <w:sz w:val="22"/>
        </w:rPr>
        <w:t>,</w:t>
      </w:r>
      <w:r>
        <w:rPr>
          <w:rFonts w:ascii="宋体" w:hAnsi="宋体" w:cs="FSJ-PK74820000480-Identity-H" w:hint="eastAsia"/>
          <w:b/>
          <w:kern w:val="0"/>
          <w:sz w:val="22"/>
        </w:rPr>
        <w:t>参考样张按下列要求进行操作</w:t>
      </w:r>
      <w:r>
        <w:rPr>
          <w:rFonts w:ascii="宋体" w:eastAsia="MS Minchofalt" w:hAnsi="MS Minchofalt" w:cs="MS Minchofalt" w:hint="eastAsia"/>
          <w:b/>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1.</w:t>
      </w:r>
      <w:r>
        <w:rPr>
          <w:rFonts w:ascii="宋体" w:hAnsi="宋体" w:cs="SSJ-PK74820000426-Identity-H" w:hint="eastAsia"/>
          <w:kern w:val="0"/>
          <w:sz w:val="22"/>
        </w:rPr>
        <w:t>将页面设置为</w:t>
      </w:r>
      <w:r>
        <w:rPr>
          <w:rFonts w:ascii="宋体" w:hAnsi="宋体" w:cs="SSJ-PK74820000426-Identity-H"/>
          <w:kern w:val="0"/>
          <w:sz w:val="22"/>
        </w:rPr>
        <w:t>:A4</w:t>
      </w:r>
      <w:r>
        <w:rPr>
          <w:rFonts w:ascii="宋体" w:hAnsi="宋体" w:cs="SSJ-PK74820000426-Identity-H" w:hint="eastAsia"/>
          <w:kern w:val="0"/>
          <w:sz w:val="22"/>
        </w:rPr>
        <w:t>纸</w:t>
      </w:r>
      <w:r>
        <w:rPr>
          <w:rFonts w:ascii="宋体" w:cs="SSJ-PK74820000426-Identity-H"/>
          <w:kern w:val="0"/>
          <w:sz w:val="22"/>
        </w:rPr>
        <w:t>,</w:t>
      </w:r>
      <w:r>
        <w:rPr>
          <w:rFonts w:ascii="宋体" w:hAnsi="宋体" w:cs="SSJ-PK74820000426-Identity-H" w:hint="eastAsia"/>
          <w:kern w:val="0"/>
          <w:sz w:val="22"/>
        </w:rPr>
        <w:t>上</w:t>
      </w:r>
      <w:r>
        <w:rPr>
          <w:rFonts w:ascii="宋体" w:eastAsia="MS Minchofalt" w:hAnsi="MS Minchofalt" w:cs="MS Minchofalt" w:hint="eastAsia"/>
          <w:kern w:val="0"/>
          <w:sz w:val="22"/>
        </w:rPr>
        <w:t>､</w:t>
      </w:r>
      <w:r>
        <w:rPr>
          <w:rFonts w:ascii="宋体" w:hAnsi="宋体" w:cs="宋体" w:hint="eastAsia"/>
          <w:kern w:val="0"/>
          <w:sz w:val="22"/>
        </w:rPr>
        <w:t>下页边距为</w:t>
      </w:r>
      <w:r>
        <w:rPr>
          <w:rFonts w:ascii="宋体" w:hAnsi="宋体" w:cs="SSJ-PK74820000426-Identity-H"/>
          <w:kern w:val="0"/>
          <w:sz w:val="22"/>
        </w:rPr>
        <w:t>2.5</w:t>
      </w:r>
      <w:r>
        <w:rPr>
          <w:rFonts w:ascii="宋体" w:hAnsi="宋体" w:cs="SSJ-PK74820000426-Identity-H" w:hint="eastAsia"/>
          <w:kern w:val="0"/>
          <w:sz w:val="22"/>
        </w:rPr>
        <w:t>厘米</w:t>
      </w:r>
      <w:r>
        <w:rPr>
          <w:rFonts w:ascii="宋体" w:cs="SSJ-PK74820000426-Identity-H"/>
          <w:kern w:val="0"/>
          <w:sz w:val="22"/>
        </w:rPr>
        <w:t>,</w:t>
      </w:r>
      <w:r>
        <w:rPr>
          <w:rFonts w:ascii="宋体" w:hAnsi="宋体" w:cs="SSJ-PK74820000426-Identity-H" w:hint="eastAsia"/>
          <w:kern w:val="0"/>
          <w:sz w:val="22"/>
        </w:rPr>
        <w:t>左</w:t>
      </w:r>
      <w:r>
        <w:rPr>
          <w:rFonts w:ascii="宋体" w:eastAsia="MS Minchofalt" w:hAnsi="MS Minchofalt" w:cs="MS Minchofalt" w:hint="eastAsia"/>
          <w:kern w:val="0"/>
          <w:sz w:val="22"/>
        </w:rPr>
        <w:t>､</w:t>
      </w:r>
      <w:r>
        <w:rPr>
          <w:rFonts w:ascii="宋体" w:hAnsi="宋体" w:cs="宋体" w:hint="eastAsia"/>
          <w:kern w:val="0"/>
          <w:sz w:val="22"/>
        </w:rPr>
        <w:t>右页边距为</w:t>
      </w:r>
      <w:r>
        <w:rPr>
          <w:rFonts w:ascii="宋体" w:hAnsi="宋体" w:cs="SSJ-PK74820000426-Identity-H"/>
          <w:kern w:val="0"/>
          <w:sz w:val="22"/>
        </w:rPr>
        <w:t>3</w:t>
      </w:r>
      <w:r>
        <w:rPr>
          <w:rFonts w:ascii="宋体" w:hAnsi="宋体" w:cs="SSJ-PK74820000426-Identity-H" w:hint="eastAsia"/>
          <w:kern w:val="0"/>
          <w:sz w:val="22"/>
        </w:rPr>
        <w:t>厘米</w:t>
      </w:r>
      <w:r>
        <w:rPr>
          <w:rFonts w:ascii="宋体" w:cs="SSJ-PK74820000426-Identity-H"/>
          <w:kern w:val="0"/>
          <w:sz w:val="22"/>
        </w:rPr>
        <w:t>,</w:t>
      </w:r>
      <w:r>
        <w:rPr>
          <w:rFonts w:ascii="宋体" w:hAnsi="宋体" w:cs="SSJ-PK74820000426-Identity-H" w:hint="eastAsia"/>
          <w:kern w:val="0"/>
          <w:sz w:val="22"/>
        </w:rPr>
        <w:t>每页</w:t>
      </w:r>
      <w:r>
        <w:rPr>
          <w:rFonts w:ascii="宋体" w:hAnsi="宋体" w:cs="SSJ-PK74820000426-Identity-H"/>
          <w:kern w:val="0"/>
          <w:sz w:val="22"/>
        </w:rPr>
        <w:t>40</w:t>
      </w:r>
      <w:r>
        <w:rPr>
          <w:rFonts w:ascii="宋体" w:hAnsi="宋体" w:cs="SSJ-PK74820000426-Identity-H" w:hint="eastAsia"/>
          <w:kern w:val="0"/>
          <w:sz w:val="22"/>
        </w:rPr>
        <w:t>行</w:t>
      </w:r>
      <w:r>
        <w:rPr>
          <w:rFonts w:ascii="宋体" w:cs="SSJ-PK74820000426-Identity-H"/>
          <w:kern w:val="0"/>
          <w:sz w:val="22"/>
        </w:rPr>
        <w:t>,</w:t>
      </w:r>
      <w:r>
        <w:rPr>
          <w:rFonts w:ascii="宋体" w:hAnsi="宋体" w:cs="SSJ-PK74820000426-Identity-H" w:hint="eastAsia"/>
          <w:kern w:val="0"/>
          <w:sz w:val="22"/>
        </w:rPr>
        <w:t>每行</w:t>
      </w:r>
      <w:r>
        <w:rPr>
          <w:rFonts w:ascii="宋体" w:hAnsi="宋体" w:cs="SSJ-PK74820000426-Identity-H"/>
          <w:kern w:val="0"/>
          <w:sz w:val="22"/>
        </w:rPr>
        <w:t>38</w:t>
      </w:r>
      <w:r>
        <w:rPr>
          <w:rFonts w:ascii="宋体" w:hAnsi="宋体" w:cs="SSJ-PK74820000426-Identity-H" w:hint="eastAsia"/>
          <w:kern w:val="0"/>
          <w:sz w:val="22"/>
        </w:rPr>
        <w:t>个字符</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2.</w:t>
      </w:r>
      <w:r>
        <w:rPr>
          <w:rFonts w:ascii="宋体" w:hAnsi="宋体" w:cs="SSJ-PK74820000426-Identity-H" w:hint="eastAsia"/>
          <w:kern w:val="0"/>
          <w:sz w:val="22"/>
        </w:rPr>
        <w:t>给文章加标题“中国福利彩票”</w:t>
      </w:r>
      <w:r>
        <w:rPr>
          <w:rFonts w:ascii="宋体" w:cs="SSJ-PK74820000426-Identity-H"/>
          <w:kern w:val="0"/>
          <w:sz w:val="22"/>
        </w:rPr>
        <w:t>,</w:t>
      </w:r>
      <w:r>
        <w:rPr>
          <w:rFonts w:ascii="宋体" w:hAnsi="宋体" w:cs="SSJ-PK74820000426-Identity-H" w:hint="eastAsia"/>
          <w:kern w:val="0"/>
          <w:sz w:val="22"/>
        </w:rPr>
        <w:t>设置其格式为黑体</w:t>
      </w:r>
      <w:r>
        <w:rPr>
          <w:rFonts w:ascii="宋体" w:eastAsia="MS Minchofalt" w:hAnsi="MS Minchofalt" w:cs="MS Minchofalt" w:hint="eastAsia"/>
          <w:kern w:val="0"/>
          <w:sz w:val="22"/>
        </w:rPr>
        <w:t>､</w:t>
      </w:r>
      <w:r>
        <w:rPr>
          <w:rFonts w:ascii="宋体" w:hAnsi="宋体" w:cs="宋体" w:hint="eastAsia"/>
          <w:kern w:val="0"/>
          <w:sz w:val="22"/>
        </w:rPr>
        <w:t>红色</w:t>
      </w:r>
      <w:r>
        <w:rPr>
          <w:rFonts w:ascii="宋体" w:eastAsia="MS Minchofalt" w:hAnsi="MS Minchofalt" w:cs="MS Minchofalt" w:hint="eastAsia"/>
          <w:kern w:val="0"/>
          <w:sz w:val="22"/>
        </w:rPr>
        <w:t>､</w:t>
      </w:r>
      <w:r>
        <w:rPr>
          <w:rFonts w:ascii="宋体" w:hAnsi="宋体" w:cs="宋体" w:hint="eastAsia"/>
          <w:kern w:val="0"/>
          <w:sz w:val="22"/>
        </w:rPr>
        <w:t>一号字</w:t>
      </w:r>
      <w:r>
        <w:rPr>
          <w:rFonts w:ascii="宋体" w:cs="SSJ-PK74820000426-Identity-H"/>
          <w:kern w:val="0"/>
          <w:sz w:val="22"/>
        </w:rPr>
        <w:t>,</w:t>
      </w:r>
      <w:r>
        <w:rPr>
          <w:rFonts w:ascii="宋体" w:hAnsi="宋体" w:cs="SSJ-PK74820000426-Identity-H" w:hint="eastAsia"/>
          <w:kern w:val="0"/>
          <w:sz w:val="22"/>
        </w:rPr>
        <w:t>居中显示</w:t>
      </w:r>
      <w:r>
        <w:rPr>
          <w:rFonts w:ascii="宋体" w:cs="SSJ-PK74820000426-Identity-H"/>
          <w:kern w:val="0"/>
          <w:sz w:val="22"/>
        </w:rPr>
        <w:t>,</w:t>
      </w:r>
      <w:r>
        <w:rPr>
          <w:rFonts w:ascii="宋体" w:hAnsi="宋体" w:cs="SSJ-PK74820000426-Identity-H" w:hint="eastAsia"/>
          <w:kern w:val="0"/>
          <w:sz w:val="22"/>
        </w:rPr>
        <w:t>标题段填充白色</w:t>
      </w:r>
      <w:r>
        <w:rPr>
          <w:rFonts w:ascii="宋体" w:cs="SSJ-PK74820000426-Identity-H"/>
          <w:kern w:val="0"/>
          <w:sz w:val="22"/>
        </w:rPr>
        <w:t>,</w:t>
      </w:r>
      <w:r>
        <w:rPr>
          <w:rFonts w:ascii="宋体" w:hAnsi="宋体" w:cs="SSJ-PK74820000426-Identity-H" w:hint="eastAsia"/>
          <w:kern w:val="0"/>
          <w:sz w:val="22"/>
        </w:rPr>
        <w:t>背景</w:t>
      </w:r>
      <w:r>
        <w:rPr>
          <w:rFonts w:ascii="宋体" w:hAnsi="宋体" w:cs="SSJ-PK74820000426-Identity-H"/>
          <w:kern w:val="0"/>
          <w:sz w:val="22"/>
        </w:rPr>
        <w:t>1,</w:t>
      </w:r>
      <w:r>
        <w:rPr>
          <w:rFonts w:ascii="宋体" w:hAnsi="宋体" w:cs="SSJ-PK74820000426-Identity-H" w:hint="eastAsia"/>
          <w:kern w:val="0"/>
          <w:sz w:val="22"/>
        </w:rPr>
        <w:t>深色</w:t>
      </w:r>
      <w:r>
        <w:rPr>
          <w:rFonts w:ascii="宋体" w:hAnsi="宋体" w:cs="SSJ-PK74820000426-Identity-H"/>
          <w:kern w:val="0"/>
          <w:sz w:val="22"/>
        </w:rPr>
        <w:t>15%</w:t>
      </w:r>
      <w:r>
        <w:rPr>
          <w:rFonts w:ascii="宋体" w:hAnsi="宋体" w:cs="SSJ-PK74820000426-Identity-H" w:hint="eastAsia"/>
          <w:kern w:val="0"/>
          <w:sz w:val="22"/>
        </w:rPr>
        <w:t>的底纹</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3.</w:t>
      </w:r>
      <w:r>
        <w:rPr>
          <w:rFonts w:ascii="宋体" w:hAnsi="宋体" w:cs="SSJ-PK74820000426-Identity-H" w:hint="eastAsia"/>
          <w:kern w:val="0"/>
          <w:sz w:val="22"/>
        </w:rPr>
        <w:t>设置正文第一段首字下沉</w:t>
      </w:r>
      <w:r>
        <w:rPr>
          <w:rFonts w:ascii="宋体" w:hAnsi="宋体" w:cs="SSJ-PK74820000426-Identity-H"/>
          <w:kern w:val="0"/>
          <w:sz w:val="22"/>
        </w:rPr>
        <w:t>2</w:t>
      </w:r>
      <w:r>
        <w:rPr>
          <w:rFonts w:ascii="宋体" w:hAnsi="宋体" w:cs="SSJ-PK74820000426-Identity-H" w:hint="eastAsia"/>
          <w:kern w:val="0"/>
          <w:sz w:val="22"/>
        </w:rPr>
        <w:t>行</w:t>
      </w:r>
      <w:r>
        <w:rPr>
          <w:rFonts w:ascii="宋体" w:cs="SSJ-PK74820000426-Identity-H"/>
          <w:kern w:val="0"/>
          <w:sz w:val="22"/>
        </w:rPr>
        <w:t>,</w:t>
      </w:r>
      <w:r>
        <w:rPr>
          <w:rFonts w:ascii="宋体" w:hAnsi="宋体" w:cs="SSJ-PK74820000426-Identity-H" w:hint="eastAsia"/>
          <w:kern w:val="0"/>
          <w:sz w:val="22"/>
        </w:rPr>
        <w:t>首字字体为楷体</w:t>
      </w:r>
      <w:r>
        <w:rPr>
          <w:rFonts w:ascii="宋体" w:cs="SSJ-PK74820000426-Identity-H"/>
          <w:kern w:val="0"/>
          <w:sz w:val="22"/>
        </w:rPr>
        <w:t>,</w:t>
      </w:r>
      <w:r>
        <w:rPr>
          <w:rFonts w:ascii="宋体" w:hAnsi="宋体" w:cs="SSJ-PK74820000426-Identity-H" w:hint="eastAsia"/>
          <w:kern w:val="0"/>
          <w:sz w:val="22"/>
        </w:rPr>
        <w:t>其余各段设置为首行缩进</w:t>
      </w:r>
      <w:r>
        <w:rPr>
          <w:rFonts w:ascii="宋体" w:hAnsi="宋体" w:cs="SSJ-PK74820000426-Identity-H"/>
          <w:kern w:val="0"/>
          <w:sz w:val="22"/>
        </w:rPr>
        <w:t>2</w:t>
      </w:r>
      <w:r>
        <w:rPr>
          <w:rFonts w:ascii="宋体" w:hAnsi="宋体" w:cs="SSJ-PK74820000426-Identity-H" w:hint="eastAsia"/>
          <w:kern w:val="0"/>
          <w:sz w:val="22"/>
        </w:rPr>
        <w:t>字符</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4.</w:t>
      </w:r>
      <w:r>
        <w:rPr>
          <w:rFonts w:ascii="宋体" w:hAnsi="宋体" w:cs="SSJ-PK74820000426-Identity-H" w:hint="eastAsia"/>
          <w:kern w:val="0"/>
          <w:sz w:val="22"/>
        </w:rPr>
        <w:t>将正文中所有的“福利彩票”设置为红色</w:t>
      </w:r>
      <w:r>
        <w:rPr>
          <w:rFonts w:ascii="宋体" w:eastAsia="MS Minchofalt" w:hAnsi="MS Minchofalt" w:cs="MS Minchofalt" w:hint="eastAsia"/>
          <w:kern w:val="0"/>
          <w:sz w:val="22"/>
        </w:rPr>
        <w:t>､</w:t>
      </w:r>
      <w:r>
        <w:rPr>
          <w:rFonts w:ascii="宋体" w:hAnsi="宋体" w:cs="宋体" w:hint="eastAsia"/>
          <w:kern w:val="0"/>
          <w:sz w:val="22"/>
        </w:rPr>
        <w:t>加着重号</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5.</w:t>
      </w:r>
      <w:r>
        <w:rPr>
          <w:rFonts w:ascii="宋体" w:hAnsi="宋体" w:cs="SSJ-PK74820000426-Identity-H" w:hint="eastAsia"/>
          <w:kern w:val="0"/>
          <w:sz w:val="22"/>
        </w:rPr>
        <w:t>参考样张</w:t>
      </w:r>
      <w:r>
        <w:rPr>
          <w:rFonts w:ascii="宋体" w:cs="SSJ-PK74820000426-Identity-H"/>
          <w:kern w:val="0"/>
          <w:sz w:val="22"/>
        </w:rPr>
        <w:t>,</w:t>
      </w:r>
      <w:r>
        <w:rPr>
          <w:rFonts w:ascii="宋体" w:hAnsi="宋体" w:cs="SSJ-PK74820000426-Identity-H" w:hint="eastAsia"/>
          <w:kern w:val="0"/>
          <w:sz w:val="22"/>
        </w:rPr>
        <w:t>在正文适当位置插入图片“福利彩票</w:t>
      </w:r>
      <w:r>
        <w:rPr>
          <w:rFonts w:ascii="宋体" w:hAnsi="宋体" w:cs="SSJ-PK74820000426-Identity-H"/>
          <w:kern w:val="0"/>
          <w:sz w:val="22"/>
        </w:rPr>
        <w:t>.jpg</w:t>
      </w:r>
      <w:r>
        <w:rPr>
          <w:rFonts w:ascii="宋体" w:hAnsi="宋体" w:cs="SSJ-PK74820000426-Identity-H" w:hint="eastAsia"/>
          <w:kern w:val="0"/>
          <w:sz w:val="22"/>
        </w:rPr>
        <w:t>”</w:t>
      </w:r>
      <w:r>
        <w:rPr>
          <w:rFonts w:ascii="宋体" w:cs="SSJ-PK74820000426-Identity-H"/>
          <w:kern w:val="0"/>
          <w:sz w:val="22"/>
        </w:rPr>
        <w:t>,</w:t>
      </w:r>
      <w:r>
        <w:rPr>
          <w:rFonts w:ascii="宋体" w:hAnsi="宋体" w:cs="SSJ-PK74820000426-Identity-H" w:hint="eastAsia"/>
          <w:kern w:val="0"/>
          <w:sz w:val="22"/>
        </w:rPr>
        <w:t>设置图片高度</w:t>
      </w:r>
      <w:r>
        <w:rPr>
          <w:rFonts w:ascii="宋体" w:eastAsia="MS Minchofalt" w:hAnsi="MS Minchofalt" w:cs="MS Minchofalt" w:hint="eastAsia"/>
          <w:kern w:val="0"/>
          <w:sz w:val="22"/>
        </w:rPr>
        <w:t>､</w:t>
      </w:r>
      <w:r>
        <w:rPr>
          <w:rFonts w:ascii="宋体" w:hAnsi="宋体" w:cs="SSJ-PK74820000426-Identity-H" w:hint="eastAsia"/>
          <w:kern w:val="0"/>
          <w:sz w:val="22"/>
        </w:rPr>
        <w:t>宽度缩放比例均为</w:t>
      </w:r>
      <w:r>
        <w:rPr>
          <w:rFonts w:ascii="宋体" w:hAnsi="宋体" w:cs="SSJ-PK74820000426-Identity-H"/>
          <w:kern w:val="0"/>
          <w:sz w:val="22"/>
        </w:rPr>
        <w:t>70%,</w:t>
      </w:r>
      <w:r>
        <w:rPr>
          <w:rFonts w:ascii="宋体" w:hAnsi="宋体" w:cs="SSJ-PK74820000426-Identity-H" w:hint="eastAsia"/>
          <w:kern w:val="0"/>
          <w:sz w:val="22"/>
        </w:rPr>
        <w:t>环绕方式为四周型</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6.</w:t>
      </w:r>
      <w:r>
        <w:rPr>
          <w:rFonts w:ascii="宋体" w:hAnsi="宋体" w:cs="SSJ-PK74820000426-Identity-H" w:hint="eastAsia"/>
          <w:kern w:val="0"/>
          <w:sz w:val="22"/>
        </w:rPr>
        <w:t>参考样张</w:t>
      </w:r>
      <w:r>
        <w:rPr>
          <w:rFonts w:ascii="宋体" w:cs="SSJ-PK74820000426-Identity-H"/>
          <w:kern w:val="0"/>
          <w:sz w:val="22"/>
        </w:rPr>
        <w:t>,</w:t>
      </w:r>
      <w:r>
        <w:rPr>
          <w:rFonts w:ascii="宋体" w:hAnsi="宋体" w:cs="SSJ-PK74820000426-Identity-H" w:hint="eastAsia"/>
          <w:kern w:val="0"/>
          <w:sz w:val="22"/>
        </w:rPr>
        <w:t>在正文适当位置插入自选图形“椭圆形标注”</w:t>
      </w:r>
      <w:r>
        <w:rPr>
          <w:rFonts w:ascii="宋体" w:cs="SSJ-PK74820000426-Identity-H"/>
          <w:kern w:val="0"/>
          <w:sz w:val="22"/>
        </w:rPr>
        <w:t>,</w:t>
      </w:r>
      <w:r>
        <w:rPr>
          <w:rFonts w:ascii="宋体" w:hAnsi="宋体" w:cs="SSJ-PK74820000426-Identity-H" w:hint="eastAsia"/>
          <w:kern w:val="0"/>
          <w:sz w:val="22"/>
        </w:rPr>
        <w:t>添加文字“扶老助残</w:t>
      </w:r>
      <w:r>
        <w:rPr>
          <w:rFonts w:ascii="宋体" w:eastAsia="MS Minchofalt" w:hAnsi="MS Minchofalt" w:cs="MS Minchofalt" w:hint="eastAsia"/>
          <w:kern w:val="0"/>
          <w:sz w:val="22"/>
        </w:rPr>
        <w:t>､</w:t>
      </w:r>
      <w:r>
        <w:rPr>
          <w:rFonts w:ascii="宋体" w:hAnsi="宋体" w:cs="宋体" w:hint="eastAsia"/>
          <w:kern w:val="0"/>
          <w:sz w:val="22"/>
        </w:rPr>
        <w:t>济困救孤”</w:t>
      </w:r>
      <w:r>
        <w:rPr>
          <w:rFonts w:ascii="宋体" w:cs="SSJ-PK74820000426-Identity-H"/>
          <w:kern w:val="0"/>
          <w:sz w:val="22"/>
        </w:rPr>
        <w:t>,</w:t>
      </w:r>
      <w:r>
        <w:rPr>
          <w:rFonts w:ascii="宋体" w:hAnsi="宋体" w:cs="SSJ-PK74820000426-Identity-H" w:hint="eastAsia"/>
          <w:kern w:val="0"/>
          <w:sz w:val="22"/>
        </w:rPr>
        <w:t>设置文字格式为</w:t>
      </w:r>
      <w:r>
        <w:rPr>
          <w:rFonts w:ascii="宋体" w:hAnsi="宋体" w:cs="SSJ-PK74820000426-Identity-H"/>
          <w:kern w:val="0"/>
          <w:sz w:val="22"/>
        </w:rPr>
        <w:t>:</w:t>
      </w:r>
      <w:r>
        <w:rPr>
          <w:rFonts w:ascii="宋体" w:hAnsi="宋体" w:cs="SSJ-PK74820000426-Identity-H" w:hint="eastAsia"/>
          <w:kern w:val="0"/>
          <w:sz w:val="22"/>
        </w:rPr>
        <w:t>仿宋</w:t>
      </w:r>
      <w:r>
        <w:rPr>
          <w:rFonts w:ascii="宋体" w:eastAsia="MS Minchofalt" w:hAnsi="MS Minchofalt" w:cs="MS Minchofalt" w:hint="eastAsia"/>
          <w:kern w:val="0"/>
          <w:sz w:val="22"/>
        </w:rPr>
        <w:t>､</w:t>
      </w:r>
      <w:r>
        <w:rPr>
          <w:rFonts w:ascii="宋体" w:hAnsi="宋体" w:cs="宋体" w:hint="eastAsia"/>
          <w:kern w:val="0"/>
          <w:sz w:val="22"/>
        </w:rPr>
        <w:t>红色</w:t>
      </w:r>
      <w:r>
        <w:rPr>
          <w:rFonts w:ascii="宋体" w:eastAsia="MS Minchofalt" w:hAnsi="MS Minchofalt" w:cs="MS Minchofalt" w:hint="eastAsia"/>
          <w:kern w:val="0"/>
          <w:sz w:val="22"/>
        </w:rPr>
        <w:t>､</w:t>
      </w:r>
      <w:r>
        <w:rPr>
          <w:rFonts w:ascii="宋体" w:hAnsi="宋体" w:cs="宋体" w:hint="eastAsia"/>
          <w:kern w:val="0"/>
          <w:sz w:val="22"/>
        </w:rPr>
        <w:t>三号字</w:t>
      </w:r>
      <w:r>
        <w:rPr>
          <w:rFonts w:ascii="宋体" w:eastAsia="MS Minchofalt" w:hAnsi="MS Minchofalt" w:cs="MS Minchofalt" w:hint="eastAsia"/>
          <w:kern w:val="0"/>
          <w:sz w:val="22"/>
        </w:rPr>
        <w:t>､</w:t>
      </w:r>
      <w:r>
        <w:rPr>
          <w:rFonts w:ascii="宋体" w:hAnsi="宋体" w:cs="宋体" w:hint="eastAsia"/>
          <w:kern w:val="0"/>
          <w:sz w:val="22"/>
        </w:rPr>
        <w:t>加粗</w:t>
      </w:r>
      <w:r>
        <w:rPr>
          <w:rFonts w:ascii="宋体" w:cs="SSJ-PK74820000426-Identity-H"/>
          <w:kern w:val="0"/>
          <w:sz w:val="22"/>
        </w:rPr>
        <w:t>,</w:t>
      </w:r>
      <w:r>
        <w:rPr>
          <w:rFonts w:ascii="宋体" w:hAnsi="宋体" w:cs="SSJ-PK74820000426-Identity-H" w:hint="eastAsia"/>
          <w:kern w:val="0"/>
          <w:sz w:val="22"/>
        </w:rPr>
        <w:t>设置自选图形格式为</w:t>
      </w:r>
      <w:r>
        <w:rPr>
          <w:rFonts w:ascii="宋体" w:hAnsi="宋体" w:cs="SSJ-PK74820000426-Identity-H"/>
          <w:kern w:val="0"/>
          <w:sz w:val="22"/>
        </w:rPr>
        <w:t>:</w:t>
      </w:r>
      <w:r>
        <w:rPr>
          <w:rFonts w:ascii="宋体" w:hAnsi="宋体" w:cs="SSJ-PK74820000426-Identity-H" w:hint="eastAsia"/>
          <w:kern w:val="0"/>
          <w:sz w:val="22"/>
        </w:rPr>
        <w:t>浅绿色填充色</w:t>
      </w:r>
      <w:r>
        <w:rPr>
          <w:rFonts w:ascii="宋体" w:eastAsia="MS Minchofalt" w:hAnsi="MS Minchofalt" w:cs="MS Minchofalt" w:hint="eastAsia"/>
          <w:kern w:val="0"/>
          <w:sz w:val="22"/>
        </w:rPr>
        <w:t>､</w:t>
      </w:r>
      <w:r>
        <w:rPr>
          <w:rFonts w:ascii="宋体" w:hAnsi="宋体" w:cs="宋体" w:hint="eastAsia"/>
          <w:kern w:val="0"/>
          <w:sz w:val="22"/>
        </w:rPr>
        <w:t>透明度</w:t>
      </w:r>
      <w:r>
        <w:rPr>
          <w:rFonts w:ascii="宋体" w:hAnsi="宋体" w:cs="SSJ-PK74820000426-Identity-H"/>
          <w:kern w:val="0"/>
          <w:sz w:val="22"/>
        </w:rPr>
        <w:t>50%</w:t>
      </w:r>
      <w:r>
        <w:rPr>
          <w:rFonts w:ascii="宋体" w:eastAsia="MS Minchofalt" w:hAnsi="MS Minchofalt" w:cs="MS Minchofalt" w:hint="eastAsia"/>
          <w:kern w:val="0"/>
          <w:sz w:val="22"/>
        </w:rPr>
        <w:t>､</w:t>
      </w:r>
      <w:r>
        <w:rPr>
          <w:rFonts w:ascii="宋体" w:hAnsi="宋体" w:cs="宋体" w:hint="eastAsia"/>
          <w:kern w:val="0"/>
          <w:sz w:val="22"/>
        </w:rPr>
        <w:t>紧密型</w:t>
      </w:r>
      <w:r>
        <w:rPr>
          <w:rFonts w:ascii="宋体" w:hAnsi="宋体" w:cs="SSJ-PK74820000426-Identity-H" w:hint="eastAsia"/>
          <w:kern w:val="0"/>
          <w:sz w:val="22"/>
        </w:rPr>
        <w:t>环绕</w:t>
      </w:r>
      <w:r>
        <w:rPr>
          <w:rFonts w:ascii="宋体" w:eastAsia="MS Minchofalt" w:hAnsi="MS Minchofalt" w:cs="MS Minchofalt" w:hint="eastAsia"/>
          <w:kern w:val="0"/>
          <w:sz w:val="22"/>
        </w:rPr>
        <w:t>､</w:t>
      </w:r>
      <w:r>
        <w:rPr>
          <w:rFonts w:ascii="宋体" w:hAnsi="宋体" w:cs="宋体" w:hint="eastAsia"/>
          <w:kern w:val="0"/>
          <w:sz w:val="22"/>
        </w:rPr>
        <w:t>右对齐</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7.</w:t>
      </w:r>
      <w:r>
        <w:rPr>
          <w:rFonts w:ascii="宋体" w:hAnsi="宋体" w:cs="SSJ-PK74820000426-Identity-H" w:hint="eastAsia"/>
          <w:kern w:val="0"/>
          <w:sz w:val="22"/>
        </w:rPr>
        <w:t>设置奇数页页眉为“中国福彩”</w:t>
      </w:r>
      <w:r>
        <w:rPr>
          <w:rFonts w:ascii="宋体" w:cs="SSJ-PK74820000426-Identity-H"/>
          <w:kern w:val="0"/>
          <w:sz w:val="22"/>
        </w:rPr>
        <w:t>,</w:t>
      </w:r>
      <w:r>
        <w:rPr>
          <w:rFonts w:ascii="宋体" w:hAnsi="宋体" w:cs="SSJ-PK74820000426-Identity-H" w:hint="eastAsia"/>
          <w:kern w:val="0"/>
          <w:sz w:val="22"/>
        </w:rPr>
        <w:t>偶数页页眉为“造福社会”</w:t>
      </w:r>
      <w:r>
        <w:rPr>
          <w:rFonts w:ascii="宋体" w:cs="SSJ-PK74820000426-Identity-H"/>
          <w:kern w:val="0"/>
          <w:sz w:val="22"/>
        </w:rPr>
        <w:t>,</w:t>
      </w:r>
      <w:r>
        <w:rPr>
          <w:rFonts w:ascii="宋体" w:hAnsi="宋体" w:cs="SSJ-PK74820000426-Identity-H" w:hint="eastAsia"/>
          <w:kern w:val="0"/>
          <w:sz w:val="22"/>
        </w:rPr>
        <w:t>均居中显示</w:t>
      </w:r>
      <w:r>
        <w:rPr>
          <w:rFonts w:ascii="宋体" w:cs="SSJ-PK74820000426-Identity-H"/>
          <w:kern w:val="0"/>
          <w:sz w:val="22"/>
        </w:rPr>
        <w:t>,</w:t>
      </w:r>
      <w:r>
        <w:rPr>
          <w:rFonts w:ascii="宋体" w:hAnsi="宋体" w:cs="SSJ-PK74820000426-Identity-H" w:hint="eastAsia"/>
          <w:kern w:val="0"/>
          <w:sz w:val="22"/>
        </w:rPr>
        <w:t>并在所有页的页面底端插入页码</w:t>
      </w:r>
      <w:r>
        <w:rPr>
          <w:rFonts w:ascii="宋体" w:cs="SSJ-PK74820000426-Identity-H"/>
          <w:kern w:val="0"/>
          <w:sz w:val="22"/>
        </w:rPr>
        <w:t>,</w:t>
      </w:r>
      <w:r>
        <w:rPr>
          <w:rFonts w:ascii="宋体" w:hAnsi="宋体" w:cs="SSJ-PK74820000426-Identity-H" w:hint="eastAsia"/>
          <w:kern w:val="0"/>
          <w:sz w:val="22"/>
        </w:rPr>
        <w:t>页码样式为“框中倾斜</w:t>
      </w:r>
      <w:r>
        <w:rPr>
          <w:rFonts w:ascii="宋体" w:hAnsi="宋体" w:cs="SSJ-PK74820000426-Identity-H"/>
          <w:kern w:val="0"/>
          <w:sz w:val="22"/>
        </w:rPr>
        <w:t>2</w:t>
      </w:r>
      <w:r>
        <w:rPr>
          <w:rFonts w:ascii="宋体" w:hAnsi="宋体" w:cs="SSJ-PK74820000426-Identity-H" w:hint="eastAsia"/>
          <w:kern w:val="0"/>
          <w:sz w:val="22"/>
        </w:rPr>
        <w:t>”</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8" w:hangingChars="149" w:hanging="328"/>
        <w:jc w:val="left"/>
        <w:rPr>
          <w:rFonts w:ascii="宋体" w:cs="SSJ-PK74820000426-Identity-H"/>
          <w:kern w:val="0"/>
          <w:sz w:val="22"/>
        </w:rPr>
      </w:pPr>
      <w:r>
        <w:rPr>
          <w:rFonts w:ascii="宋体" w:hAnsi="宋体" w:cs="SSJ-PK74820000426-Identity-H"/>
          <w:kern w:val="0"/>
          <w:sz w:val="22"/>
        </w:rPr>
        <w:t>8.</w:t>
      </w:r>
      <w:r>
        <w:rPr>
          <w:rFonts w:ascii="宋体" w:hAnsi="宋体" w:cs="SSJ-PK74820000426-Identity-H" w:hint="eastAsia"/>
          <w:kern w:val="0"/>
          <w:sz w:val="22"/>
        </w:rPr>
        <w:t>将编辑好的文章以文件名</w:t>
      </w:r>
      <w:r>
        <w:rPr>
          <w:rFonts w:ascii="宋体" w:hAnsi="宋体" w:cs="SSJ-PK74820000426-Identity-H"/>
          <w:kern w:val="0"/>
          <w:sz w:val="22"/>
        </w:rPr>
        <w:t>:ED1,</w:t>
      </w:r>
      <w:r>
        <w:rPr>
          <w:rFonts w:ascii="宋体" w:hAnsi="宋体" w:cs="SSJ-PK74820000426-Identity-H" w:hint="eastAsia"/>
          <w:kern w:val="0"/>
          <w:sz w:val="22"/>
        </w:rPr>
        <w:t>文件类型</w:t>
      </w:r>
      <w:r>
        <w:rPr>
          <w:rFonts w:ascii="宋体" w:hAnsi="宋体" w:cs="SSJ-PK74820000426-Identity-H"/>
          <w:kern w:val="0"/>
          <w:sz w:val="22"/>
        </w:rPr>
        <w:t>:RTF</w:t>
      </w:r>
      <w:r>
        <w:rPr>
          <w:rFonts w:ascii="宋体" w:hAnsi="宋体" w:cs="SSJ-PK74820000426-Identity-H" w:hint="eastAsia"/>
          <w:kern w:val="0"/>
          <w:sz w:val="22"/>
        </w:rPr>
        <w:t>格式</w:t>
      </w:r>
      <w:r>
        <w:rPr>
          <w:rFonts w:ascii="宋体" w:hAnsi="宋体" w:cs="SSJ-PK74820000426-Identity-H"/>
          <w:kern w:val="0"/>
          <w:sz w:val="22"/>
        </w:rPr>
        <w:t>(</w:t>
      </w:r>
      <w:r>
        <w:rPr>
          <w:rFonts w:ascii="MingLiU_HKSCS" w:eastAsia="MingLiU_HKSCS" w:cs="MingLiU_HKSCS" w:hint="eastAsia"/>
          <w:kern w:val="0"/>
          <w:sz w:val="22"/>
        </w:rPr>
        <w:t></w:t>
      </w:r>
      <w:r>
        <w:rPr>
          <w:rFonts w:ascii="宋体" w:hAnsi="宋体" w:cs="SSJ-PK74820000426-Identity-H"/>
          <w:kern w:val="0"/>
          <w:sz w:val="22"/>
        </w:rPr>
        <w:t>.RTF),</w:t>
      </w:r>
      <w:r>
        <w:rPr>
          <w:rFonts w:ascii="宋体" w:hAnsi="宋体" w:cs="SSJ-PK74820000426-Identity-H" w:hint="eastAsia"/>
          <w:kern w:val="0"/>
          <w:sz w:val="22"/>
        </w:rPr>
        <w:t>存放于</w:t>
      </w:r>
      <w:r>
        <w:rPr>
          <w:rFonts w:ascii="宋体" w:hAnsi="宋体" w:cs="SSJ-PK74820000426-Identity-H"/>
          <w:kern w:val="0"/>
          <w:sz w:val="22"/>
        </w:rPr>
        <w:t>T</w:t>
      </w:r>
      <w:r>
        <w:rPr>
          <w:rFonts w:ascii="宋体" w:hAnsi="宋体" w:cs="SSJ-PK74820000426-Identity-H" w:hint="eastAsia"/>
          <w:kern w:val="0"/>
          <w:sz w:val="22"/>
        </w:rPr>
        <w:t>盘中</w:t>
      </w:r>
      <w:r>
        <w:rPr>
          <w:rFonts w:ascii="宋体" w:eastAsia="MS Minchofalt" w:hAnsi="MS Minchofalt" w:cs="MS Minchofalt" w:hint="eastAsia"/>
          <w:kern w:val="0"/>
          <w:sz w:val="22"/>
        </w:rPr>
        <w:t>｡</w:t>
      </w:r>
    </w:p>
    <w:p w:rsidR="003717A0" w:rsidRDefault="003717A0">
      <w:pPr>
        <w:autoSpaceDE w:val="0"/>
        <w:autoSpaceDN w:val="0"/>
        <w:adjustRightInd w:val="0"/>
        <w:spacing w:line="360" w:lineRule="exact"/>
        <w:ind w:left="329" w:hangingChars="149" w:hanging="329"/>
        <w:jc w:val="left"/>
        <w:rPr>
          <w:rFonts w:ascii="宋体" w:cs="SSJ-PK74820000426-Identity-H"/>
          <w:b/>
          <w:kern w:val="0"/>
          <w:sz w:val="22"/>
        </w:rPr>
      </w:pPr>
      <w:r>
        <w:rPr>
          <w:rFonts w:ascii="宋体" w:hAnsi="宋体" w:cs="SSJ-PK74820000426-Identity-H" w:hint="eastAsia"/>
          <w:b/>
          <w:kern w:val="0"/>
          <w:sz w:val="22"/>
        </w:rPr>
        <w:lastRenderedPageBreak/>
        <w:t>样张</w:t>
      </w:r>
      <w:r>
        <w:rPr>
          <w:rFonts w:ascii="宋体" w:hAnsi="宋体" w:cs="SSJ-PK74820000426-Identity-H"/>
          <w:b/>
          <w:kern w:val="0"/>
          <w:sz w:val="22"/>
        </w:rPr>
        <w:t>:</w:t>
      </w:r>
    </w:p>
    <w:p w:rsidR="003717A0" w:rsidRDefault="003018D3">
      <w:pPr>
        <w:autoSpaceDE w:val="0"/>
        <w:autoSpaceDN w:val="0"/>
        <w:adjustRightInd w:val="0"/>
        <w:jc w:val="center"/>
        <w:rPr>
          <w:rFonts w:ascii="宋体" w:cs="FSJ-PK74820000480-Identity-H"/>
          <w:kern w:val="0"/>
          <w:sz w:val="19"/>
          <w:szCs w:val="19"/>
        </w:rPr>
      </w:pPr>
      <w:r w:rsidRPr="00514AB1">
        <w:rPr>
          <w:rFonts w:ascii="宋体" w:cs="FSJ-PK74820000480-Identity-H"/>
          <w:kern w:val="0"/>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05pt;height:237.05pt">
            <v:imagedata r:id="rId9" o:title=""/>
          </v:shape>
        </w:pic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b/>
          <w:kern w:val="0"/>
          <w:sz w:val="22"/>
        </w:rPr>
        <w:t>(</w:t>
      </w:r>
      <w:r>
        <w:rPr>
          <w:rFonts w:ascii="宋体" w:hAnsi="宋体" w:cs="HTJ-PK7482000042d-Identity-H" w:hint="eastAsia"/>
          <w:b/>
          <w:kern w:val="0"/>
          <w:sz w:val="22"/>
        </w:rPr>
        <w:t>二</w:t>
      </w:r>
      <w:r>
        <w:rPr>
          <w:rFonts w:ascii="宋体" w:hAnsi="宋体" w:cs="HTJ-PK7482000042d-Identity-H"/>
          <w:b/>
          <w:kern w:val="0"/>
          <w:sz w:val="22"/>
        </w:rPr>
        <w:t>)EXCEL</w:t>
      </w:r>
      <w:r>
        <w:rPr>
          <w:rFonts w:ascii="宋体" w:hAnsi="宋体" w:cs="HTJ-PK7482000042d-Identity-H" w:hint="eastAsia"/>
          <w:b/>
          <w:kern w:val="0"/>
          <w:sz w:val="22"/>
        </w:rPr>
        <w:t>操作题</w:t>
      </w:r>
      <w:r>
        <w:rPr>
          <w:rFonts w:ascii="宋体" w:hAnsi="宋体" w:cs="HTJ-PK7482000042d-Identity-H"/>
          <w:b/>
          <w:kern w:val="0"/>
          <w:sz w:val="22"/>
        </w:rPr>
        <w:t>(20</w:t>
      </w:r>
      <w:r>
        <w:rPr>
          <w:rFonts w:ascii="宋体" w:hAnsi="宋体" w:cs="HTJ-PK7482000042d-Identity-H" w:hint="eastAsia"/>
          <w:b/>
          <w:kern w:val="0"/>
          <w:sz w:val="22"/>
        </w:rPr>
        <w:t>分</w:t>
      </w:r>
      <w:r>
        <w:rPr>
          <w:rFonts w:ascii="宋体" w:hAnsi="宋体" w:cs="HTJ-PK7482000042d-Identity-H"/>
          <w:b/>
          <w:kern w:val="0"/>
          <w:sz w:val="22"/>
        </w:rPr>
        <w:t>)</w:t>
      </w:r>
    </w:p>
    <w:p w:rsidR="003717A0" w:rsidRDefault="003717A0">
      <w:pPr>
        <w:autoSpaceDE w:val="0"/>
        <w:autoSpaceDN w:val="0"/>
        <w:adjustRightInd w:val="0"/>
        <w:ind w:left="329" w:hangingChars="149" w:hanging="329"/>
        <w:jc w:val="left"/>
        <w:rPr>
          <w:rFonts w:ascii="宋体" w:cs="SSJ-PK74820000426-Identity-H"/>
          <w:b/>
          <w:kern w:val="0"/>
          <w:sz w:val="22"/>
        </w:rPr>
      </w:pPr>
      <w:r>
        <w:rPr>
          <w:rFonts w:ascii="宋体" w:hAnsi="宋体" w:cs="SSJ-PK74820000426-Identity-H" w:hint="eastAsia"/>
          <w:b/>
          <w:kern w:val="0"/>
          <w:sz w:val="22"/>
        </w:rPr>
        <w:t>调入</w:t>
      </w:r>
      <w:r>
        <w:rPr>
          <w:rFonts w:ascii="宋体" w:hAnsi="宋体" w:cs="SSJ-PK74820000426-Identity-H"/>
          <w:b/>
          <w:kern w:val="0"/>
          <w:sz w:val="22"/>
        </w:rPr>
        <w:t>T</w:t>
      </w:r>
      <w:r>
        <w:rPr>
          <w:rFonts w:ascii="宋体" w:hAnsi="宋体" w:cs="SSJ-PK74820000426-Identity-H" w:hint="eastAsia"/>
          <w:b/>
          <w:kern w:val="0"/>
          <w:sz w:val="22"/>
        </w:rPr>
        <w:t>盘中的</w:t>
      </w:r>
      <w:r>
        <w:rPr>
          <w:rFonts w:ascii="宋体" w:hAnsi="宋体" w:cs="SSJ-PK74820000426-Identity-H"/>
          <w:b/>
          <w:kern w:val="0"/>
          <w:sz w:val="22"/>
        </w:rPr>
        <w:t>EX1.XLSX</w:t>
      </w:r>
      <w:r>
        <w:rPr>
          <w:rFonts w:ascii="宋体" w:hAnsi="宋体" w:cs="SSJ-PK74820000426-Identity-H" w:hint="eastAsia"/>
          <w:b/>
          <w:kern w:val="0"/>
          <w:sz w:val="22"/>
        </w:rPr>
        <w:t>文件</w:t>
      </w:r>
      <w:r>
        <w:rPr>
          <w:rFonts w:ascii="宋体" w:cs="SSJ-PK74820000426-Identity-H"/>
          <w:b/>
          <w:kern w:val="0"/>
          <w:sz w:val="22"/>
        </w:rPr>
        <w:t>,</w:t>
      </w:r>
      <w:r>
        <w:rPr>
          <w:rFonts w:ascii="宋体" w:hAnsi="宋体" w:cs="SSJ-PK74820000426-Identity-H" w:hint="eastAsia"/>
          <w:b/>
          <w:kern w:val="0"/>
          <w:sz w:val="22"/>
        </w:rPr>
        <w:t>参考样张按下列要求进行操作</w:t>
      </w:r>
      <w:r>
        <w:rPr>
          <w:rFonts w:ascii="宋体" w:eastAsia="MS Minchofalt" w:hAnsi="MS Minchofalt" w:cs="MS Minchofalt" w:hint="eastAsia"/>
          <w:b/>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1.</w:t>
      </w:r>
      <w:r>
        <w:rPr>
          <w:rFonts w:ascii="宋体" w:hAnsi="宋体" w:cs="SSJ-PK74820000426-Identity-H" w:hint="eastAsia"/>
          <w:kern w:val="0"/>
          <w:sz w:val="22"/>
        </w:rPr>
        <w:t>在“用户”工作表中</w:t>
      </w:r>
      <w:r>
        <w:rPr>
          <w:rFonts w:ascii="宋体" w:cs="SSJ-PK74820000426-Identity-H"/>
          <w:kern w:val="0"/>
          <w:sz w:val="22"/>
        </w:rPr>
        <w:t>,</w:t>
      </w:r>
      <w:r>
        <w:rPr>
          <w:rFonts w:ascii="宋体" w:hAnsi="宋体" w:cs="SSJ-PK74820000426-Identity-H" w:hint="eastAsia"/>
          <w:kern w:val="0"/>
          <w:sz w:val="22"/>
        </w:rPr>
        <w:t>设置第一行标题文字在</w:t>
      </w:r>
      <w:r>
        <w:rPr>
          <w:rFonts w:ascii="宋体" w:hAnsi="宋体" w:cs="SSJ-PK74820000426-Identity-H"/>
          <w:kern w:val="0"/>
          <w:sz w:val="22"/>
        </w:rPr>
        <w:t>A1:D1</w:t>
      </w:r>
      <w:r>
        <w:rPr>
          <w:rFonts w:ascii="宋体" w:hAnsi="宋体" w:cs="SSJ-PK74820000426-Identity-H" w:hint="eastAsia"/>
          <w:kern w:val="0"/>
          <w:sz w:val="22"/>
        </w:rPr>
        <w:t>单元格区域合并后居中</w:t>
      </w:r>
      <w:r>
        <w:rPr>
          <w:rFonts w:ascii="宋体" w:cs="SSJ-PK74820000426-Identity-H"/>
          <w:kern w:val="0"/>
          <w:sz w:val="22"/>
        </w:rPr>
        <w:t>,</w:t>
      </w:r>
      <w:r>
        <w:rPr>
          <w:rFonts w:ascii="宋体" w:hAnsi="宋体" w:cs="SSJ-PK74820000426-Identity-H" w:hint="eastAsia"/>
          <w:kern w:val="0"/>
          <w:sz w:val="22"/>
        </w:rPr>
        <w:t>字体格式为楷体</w:t>
      </w:r>
      <w:r>
        <w:rPr>
          <w:rFonts w:ascii="宋体" w:eastAsia="MS Minchofalt" w:hAnsi="MS Minchofalt" w:cs="MS Minchofalt" w:hint="eastAsia"/>
          <w:kern w:val="0"/>
          <w:sz w:val="22"/>
        </w:rPr>
        <w:t>､</w:t>
      </w:r>
      <w:r>
        <w:rPr>
          <w:rFonts w:ascii="宋体" w:hAnsi="宋体" w:cs="SSJ-PK74820000426-Identity-H"/>
          <w:kern w:val="0"/>
          <w:sz w:val="22"/>
        </w:rPr>
        <w:t>18</w:t>
      </w:r>
      <w:r>
        <w:rPr>
          <w:rFonts w:ascii="宋体" w:hAnsi="宋体" w:cs="SSJ-PK74820000426-Identity-H" w:hint="eastAsia"/>
          <w:kern w:val="0"/>
          <w:sz w:val="22"/>
        </w:rPr>
        <w:t>号</w:t>
      </w:r>
      <w:r>
        <w:rPr>
          <w:rFonts w:ascii="宋体" w:eastAsia="MS Minchofalt" w:hAnsi="MS Minchofalt" w:cs="MS Minchofalt" w:hint="eastAsia"/>
          <w:kern w:val="0"/>
          <w:sz w:val="22"/>
        </w:rPr>
        <w:t>､</w:t>
      </w:r>
      <w:r>
        <w:rPr>
          <w:rFonts w:ascii="宋体" w:hAnsi="宋体" w:cs="宋体" w:hint="eastAsia"/>
          <w:kern w:val="0"/>
          <w:sz w:val="22"/>
        </w:rPr>
        <w:t>红色</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2.</w:t>
      </w:r>
      <w:r>
        <w:rPr>
          <w:rFonts w:ascii="宋体" w:hAnsi="宋体" w:cs="SSJ-PK74820000426-Identity-H" w:hint="eastAsia"/>
          <w:kern w:val="0"/>
          <w:sz w:val="22"/>
        </w:rPr>
        <w:t>复制“用户”工作表</w:t>
      </w:r>
      <w:r>
        <w:rPr>
          <w:rFonts w:ascii="宋体" w:cs="SSJ-PK74820000426-Identity-H"/>
          <w:kern w:val="0"/>
          <w:sz w:val="22"/>
        </w:rPr>
        <w:t>,</w:t>
      </w:r>
      <w:r>
        <w:rPr>
          <w:rFonts w:ascii="宋体" w:hAnsi="宋体" w:cs="SSJ-PK74820000426-Identity-H" w:hint="eastAsia"/>
          <w:kern w:val="0"/>
          <w:sz w:val="22"/>
        </w:rPr>
        <w:t>并将新工作表重命名为“备份”</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w:t>
      </w:r>
      <w:r>
        <w:rPr>
          <w:rFonts w:ascii="宋体" w:hAnsi="宋体" w:cs="SSJ-PK74820000426-Identity-H" w:hint="eastAsia"/>
          <w:kern w:val="0"/>
          <w:sz w:val="22"/>
        </w:rPr>
        <w:t>在“备份”工作表中</w:t>
      </w:r>
      <w:r>
        <w:rPr>
          <w:rFonts w:ascii="宋体" w:cs="SSJ-PK74820000426-Identity-H"/>
          <w:kern w:val="0"/>
          <w:sz w:val="22"/>
        </w:rPr>
        <w:t>,</w:t>
      </w:r>
      <w:r>
        <w:rPr>
          <w:rFonts w:ascii="宋体" w:hAnsi="宋体" w:cs="SSJ-PK74820000426-Identity-H" w:hint="eastAsia"/>
          <w:kern w:val="0"/>
          <w:sz w:val="22"/>
        </w:rPr>
        <w:t>将数据按“公司甲</w:t>
      </w:r>
      <w:r>
        <w:rPr>
          <w:rFonts w:ascii="宋体" w:eastAsia="MS Minchofalt" w:hAnsi="MS Minchofalt" w:cs="MS Minchofalt" w:hint="eastAsia"/>
          <w:kern w:val="0"/>
          <w:sz w:val="22"/>
        </w:rPr>
        <w:t>､</w:t>
      </w:r>
      <w:r>
        <w:rPr>
          <w:rFonts w:ascii="宋体" w:hAnsi="宋体" w:cs="宋体" w:hint="eastAsia"/>
          <w:kern w:val="0"/>
          <w:sz w:val="22"/>
        </w:rPr>
        <w:t>公司乙</w:t>
      </w:r>
      <w:r>
        <w:rPr>
          <w:rFonts w:ascii="宋体" w:eastAsia="MS Minchofalt" w:hAnsi="MS Minchofalt" w:cs="MS Minchofalt" w:hint="eastAsia"/>
          <w:kern w:val="0"/>
          <w:sz w:val="22"/>
        </w:rPr>
        <w:t>､</w:t>
      </w:r>
      <w:r>
        <w:rPr>
          <w:rFonts w:ascii="宋体" w:hAnsi="宋体" w:cs="宋体" w:hint="eastAsia"/>
          <w:kern w:val="0"/>
          <w:sz w:val="22"/>
        </w:rPr>
        <w:t>公司丙”的自定义序列</w:t>
      </w:r>
      <w:r>
        <w:rPr>
          <w:rFonts w:ascii="宋体" w:hAnsi="宋体" w:cs="SSJ-PK74820000426-Identity-H" w:hint="eastAsia"/>
          <w:kern w:val="0"/>
          <w:sz w:val="22"/>
        </w:rPr>
        <w:t>排序</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w:t>
      </w:r>
      <w:r>
        <w:rPr>
          <w:rFonts w:ascii="宋体" w:hAnsi="宋体" w:cs="SSJ-PK74820000426-Identity-H" w:hint="eastAsia"/>
          <w:kern w:val="0"/>
          <w:sz w:val="22"/>
        </w:rPr>
        <w:t>在“收入”工作表的</w:t>
      </w:r>
      <w:r>
        <w:rPr>
          <w:rFonts w:ascii="宋体" w:hAnsi="宋体" w:cs="SSJ-PK74820000426-Identity-H"/>
          <w:kern w:val="0"/>
          <w:sz w:val="22"/>
        </w:rPr>
        <w:t>G</w:t>
      </w:r>
      <w:r>
        <w:rPr>
          <w:rFonts w:ascii="宋体" w:hAnsi="宋体" w:cs="SSJ-PK74820000426-Identity-H" w:hint="eastAsia"/>
          <w:kern w:val="0"/>
          <w:sz w:val="22"/>
        </w:rPr>
        <w:t>列中</w:t>
      </w:r>
      <w:r>
        <w:rPr>
          <w:rFonts w:ascii="宋体" w:cs="SSJ-PK74820000426-Identity-H"/>
          <w:kern w:val="0"/>
          <w:sz w:val="22"/>
        </w:rPr>
        <w:t>,</w:t>
      </w:r>
      <w:r>
        <w:rPr>
          <w:rFonts w:ascii="宋体" w:hAnsi="宋体" w:cs="SSJ-PK74820000426-Identity-H" w:hint="eastAsia"/>
          <w:kern w:val="0"/>
          <w:sz w:val="22"/>
        </w:rPr>
        <w:t>利用公式分别计算相应年度各公司收入合计</w:t>
      </w:r>
      <w:r>
        <w:rPr>
          <w:rFonts w:ascii="宋体" w:hAnsi="宋体" w:cs="SSJ-PK74820000426-Identity-H"/>
          <w:kern w:val="0"/>
          <w:sz w:val="22"/>
        </w:rPr>
        <w:t>(</w:t>
      </w:r>
      <w:r>
        <w:rPr>
          <w:rFonts w:ascii="宋体" w:hAnsi="宋体" w:cs="SSJ-PK74820000426-Identity-H" w:hint="eastAsia"/>
          <w:kern w:val="0"/>
          <w:sz w:val="22"/>
        </w:rPr>
        <w:t>收入合计</w:t>
      </w:r>
      <w:r>
        <w:rPr>
          <w:rFonts w:ascii="宋体" w:hAnsi="宋体" w:cs="SSJ-PK74820000426-Identity-H"/>
          <w:kern w:val="0"/>
          <w:sz w:val="22"/>
        </w:rPr>
        <w:t>=</w:t>
      </w:r>
      <w:r>
        <w:rPr>
          <w:rFonts w:ascii="宋体" w:hAnsi="宋体" w:cs="SSJ-PK74820000426-Identity-H" w:hint="eastAsia"/>
          <w:kern w:val="0"/>
          <w:sz w:val="22"/>
        </w:rPr>
        <w:t>话费</w:t>
      </w:r>
      <w:r>
        <w:rPr>
          <w:rFonts w:ascii="宋体" w:hAnsi="宋体" w:cs="SSJ-PK74820000426-Identity-H"/>
          <w:kern w:val="0"/>
          <w:sz w:val="22"/>
        </w:rPr>
        <w:t>+</w:t>
      </w:r>
      <w:r>
        <w:rPr>
          <w:rFonts w:ascii="宋体" w:hAnsi="宋体" w:cs="SSJ-PK74820000426-Identity-H" w:hint="eastAsia"/>
          <w:kern w:val="0"/>
          <w:sz w:val="22"/>
        </w:rPr>
        <w:t>上网费</w:t>
      </w:r>
      <w:r>
        <w:rPr>
          <w:rFonts w:ascii="宋体" w:hAnsi="宋体" w:cs="SSJ-PK74820000426-Identity-H"/>
          <w:kern w:val="0"/>
          <w:sz w:val="22"/>
        </w:rPr>
        <w:t>+</w:t>
      </w:r>
      <w:r>
        <w:rPr>
          <w:rFonts w:ascii="宋体" w:hAnsi="宋体" w:cs="SSJ-PK74820000426-Identity-H" w:hint="eastAsia"/>
          <w:kern w:val="0"/>
          <w:sz w:val="22"/>
        </w:rPr>
        <w:t>其他费用</w:t>
      </w:r>
      <w:r>
        <w:rPr>
          <w:rFonts w:ascii="宋体" w:hAnsi="宋体" w:cs="SSJ-PK74820000426-Identity-H"/>
          <w:kern w:val="0"/>
          <w:sz w:val="22"/>
        </w:rPr>
        <w:t>)</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5.</w:t>
      </w:r>
      <w:r>
        <w:rPr>
          <w:rFonts w:ascii="宋体" w:hAnsi="宋体" w:cs="SSJ-PK74820000426-Identity-H" w:hint="eastAsia"/>
          <w:kern w:val="0"/>
          <w:sz w:val="22"/>
        </w:rPr>
        <w:t>在“收入”工作表的</w:t>
      </w:r>
      <w:r>
        <w:rPr>
          <w:rFonts w:ascii="宋体" w:hAnsi="宋体" w:cs="SSJ-PK74820000426-Identity-H"/>
          <w:kern w:val="0"/>
          <w:sz w:val="22"/>
        </w:rPr>
        <w:t>H</w:t>
      </w:r>
      <w:r>
        <w:rPr>
          <w:rFonts w:ascii="宋体" w:hAnsi="宋体" w:cs="SSJ-PK74820000426-Identity-H" w:hint="eastAsia"/>
          <w:kern w:val="0"/>
          <w:sz w:val="22"/>
        </w:rPr>
        <w:t>列中</w:t>
      </w:r>
      <w:r>
        <w:rPr>
          <w:rFonts w:ascii="宋体" w:cs="SSJ-PK74820000426-Identity-H"/>
          <w:kern w:val="0"/>
          <w:sz w:val="22"/>
        </w:rPr>
        <w:t>,</w:t>
      </w:r>
      <w:r>
        <w:rPr>
          <w:rFonts w:ascii="宋体" w:hAnsi="宋体" w:cs="SSJ-PK74820000426-Identity-H" w:hint="eastAsia"/>
          <w:kern w:val="0"/>
          <w:sz w:val="22"/>
        </w:rPr>
        <w:t>引用“用户”工作表数据</w:t>
      </w:r>
      <w:r>
        <w:rPr>
          <w:rFonts w:ascii="宋体" w:cs="SSJ-PK74820000426-Identity-H"/>
          <w:kern w:val="0"/>
          <w:sz w:val="22"/>
        </w:rPr>
        <w:t>,</w:t>
      </w:r>
      <w:r>
        <w:rPr>
          <w:rFonts w:ascii="宋体" w:hAnsi="宋体" w:cs="SSJ-PK74820000426-Identity-H" w:hint="eastAsia"/>
          <w:kern w:val="0"/>
          <w:sz w:val="22"/>
        </w:rPr>
        <w:t>分别计算相应年度各公司人均消费</w:t>
      </w:r>
      <w:r>
        <w:rPr>
          <w:rFonts w:ascii="宋体" w:cs="SSJ-PK74820000426-Identity-H"/>
          <w:kern w:val="0"/>
          <w:sz w:val="22"/>
        </w:rPr>
        <w:t>,</w:t>
      </w:r>
      <w:r>
        <w:rPr>
          <w:rFonts w:ascii="宋体" w:hAnsi="宋体" w:cs="SSJ-PK74820000426-Identity-H" w:hint="eastAsia"/>
          <w:kern w:val="0"/>
          <w:sz w:val="22"/>
        </w:rPr>
        <w:t>结果以带</w:t>
      </w:r>
      <w:r>
        <w:rPr>
          <w:rFonts w:ascii="宋体" w:hAnsi="宋体" w:cs="SSJ-PK74820000426-Identity-H"/>
          <w:kern w:val="0"/>
          <w:sz w:val="22"/>
        </w:rPr>
        <w:t>2</w:t>
      </w:r>
      <w:r>
        <w:rPr>
          <w:rFonts w:ascii="宋体" w:hAnsi="宋体" w:cs="SSJ-PK74820000426-Identity-H" w:hint="eastAsia"/>
          <w:kern w:val="0"/>
          <w:sz w:val="22"/>
        </w:rPr>
        <w:t>位小数的数值格式显示</w:t>
      </w:r>
      <w:r>
        <w:rPr>
          <w:rFonts w:ascii="宋体" w:hAnsi="宋体" w:cs="SSJ-PK74820000426-Identity-H"/>
          <w:kern w:val="0"/>
          <w:sz w:val="22"/>
        </w:rPr>
        <w:t>(</w:t>
      </w:r>
      <w:r>
        <w:rPr>
          <w:rFonts w:ascii="宋体" w:hAnsi="宋体" w:cs="SSJ-PK74820000426-Identity-H" w:hint="eastAsia"/>
          <w:kern w:val="0"/>
          <w:sz w:val="22"/>
        </w:rPr>
        <w:t>人均消费</w:t>
      </w:r>
      <w:r>
        <w:rPr>
          <w:rFonts w:ascii="宋体" w:hAnsi="宋体" w:cs="SSJ-PK74820000426-Identity-H"/>
          <w:kern w:val="0"/>
          <w:sz w:val="22"/>
        </w:rPr>
        <w:t>(</w:t>
      </w:r>
      <w:r>
        <w:rPr>
          <w:rFonts w:ascii="宋体" w:hAnsi="宋体" w:cs="SSJ-PK74820000426-Identity-H" w:hint="eastAsia"/>
          <w:kern w:val="0"/>
          <w:sz w:val="22"/>
        </w:rPr>
        <w:t>元</w:t>
      </w:r>
      <w:r>
        <w:rPr>
          <w:rFonts w:ascii="宋体" w:hAnsi="宋体" w:cs="SSJ-PK74820000426-Identity-H"/>
          <w:kern w:val="0"/>
          <w:sz w:val="22"/>
        </w:rPr>
        <w:t>)=</w:t>
      </w:r>
      <w:r>
        <w:rPr>
          <w:rFonts w:ascii="宋体" w:hAnsi="宋体" w:cs="SSJ-PK74820000426-Identity-H" w:hint="eastAsia"/>
          <w:kern w:val="0"/>
          <w:sz w:val="22"/>
        </w:rPr>
        <w:t>收入合计</w:t>
      </w:r>
      <w:r>
        <w:rPr>
          <w:rFonts w:ascii="宋体" w:hAnsi="宋体" w:cs="SSJ-PK74820000426-Identity-H"/>
          <w:kern w:val="0"/>
          <w:sz w:val="22"/>
        </w:rPr>
        <w:t>/</w:t>
      </w:r>
      <w:r>
        <w:rPr>
          <w:rFonts w:ascii="宋体" w:hAnsi="宋体" w:cs="SSJ-PK74820000426-Identity-H" w:hint="eastAsia"/>
          <w:kern w:val="0"/>
          <w:sz w:val="22"/>
        </w:rPr>
        <w:t>用户数×</w:t>
      </w:r>
      <w:r>
        <w:rPr>
          <w:rFonts w:ascii="宋体" w:hAnsi="宋体" w:cs="SSJ-PK74820000426-Identity-H"/>
          <w:kern w:val="0"/>
          <w:sz w:val="22"/>
        </w:rPr>
        <w:t>10000)</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6.</w:t>
      </w:r>
      <w:r>
        <w:rPr>
          <w:rFonts w:ascii="宋体" w:hAnsi="宋体" w:cs="SSJ-PK74820000426-Identity-H" w:hint="eastAsia"/>
          <w:kern w:val="0"/>
          <w:sz w:val="22"/>
        </w:rPr>
        <w:t>在“收入”工作表中</w:t>
      </w:r>
      <w:r>
        <w:rPr>
          <w:rFonts w:ascii="宋体" w:cs="SSJ-PK74820000426-Identity-H"/>
          <w:kern w:val="0"/>
          <w:sz w:val="22"/>
        </w:rPr>
        <w:t>,</w:t>
      </w:r>
      <w:r>
        <w:rPr>
          <w:rFonts w:ascii="宋体" w:hAnsi="宋体" w:cs="SSJ-PK74820000426-Identity-H" w:hint="eastAsia"/>
          <w:kern w:val="0"/>
          <w:sz w:val="22"/>
        </w:rPr>
        <w:t>自动筛选出“公司甲”的记录</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7.</w:t>
      </w:r>
      <w:r>
        <w:rPr>
          <w:rFonts w:ascii="宋体" w:hAnsi="宋体" w:cs="SSJ-PK74820000426-Identity-H" w:hint="eastAsia"/>
          <w:kern w:val="0"/>
          <w:sz w:val="22"/>
        </w:rPr>
        <w:t>参考样张</w:t>
      </w:r>
      <w:r>
        <w:rPr>
          <w:rFonts w:ascii="宋体" w:cs="SSJ-PK74820000426-Identity-H"/>
          <w:kern w:val="0"/>
          <w:sz w:val="22"/>
        </w:rPr>
        <w:t>,</w:t>
      </w:r>
      <w:r>
        <w:rPr>
          <w:rFonts w:ascii="宋体" w:hAnsi="宋体" w:cs="SSJ-PK74820000426-Identity-H" w:hint="eastAsia"/>
          <w:kern w:val="0"/>
          <w:sz w:val="22"/>
        </w:rPr>
        <w:t>在“收入”工作表中</w:t>
      </w:r>
      <w:r>
        <w:rPr>
          <w:rFonts w:ascii="宋体" w:cs="SSJ-PK74820000426-Identity-H"/>
          <w:kern w:val="0"/>
          <w:sz w:val="22"/>
        </w:rPr>
        <w:t>,</w:t>
      </w:r>
      <w:r>
        <w:rPr>
          <w:rFonts w:ascii="宋体" w:hAnsi="宋体" w:cs="SSJ-PK74820000426-Identity-H" w:hint="eastAsia"/>
          <w:kern w:val="0"/>
          <w:sz w:val="22"/>
        </w:rPr>
        <w:t>根据筛选的“公司甲”人均消费数据</w:t>
      </w:r>
      <w:r>
        <w:rPr>
          <w:rFonts w:ascii="宋体" w:cs="SSJ-PK74820000426-Identity-H"/>
          <w:kern w:val="0"/>
          <w:sz w:val="22"/>
        </w:rPr>
        <w:t>,</w:t>
      </w:r>
      <w:r>
        <w:rPr>
          <w:rFonts w:ascii="宋体" w:hAnsi="宋体" w:cs="SSJ-PK74820000426-Identity-H" w:hint="eastAsia"/>
          <w:kern w:val="0"/>
          <w:sz w:val="22"/>
        </w:rPr>
        <w:t>生成一张“带数据标记的折线图”</w:t>
      </w:r>
      <w:r>
        <w:rPr>
          <w:rFonts w:ascii="宋体" w:cs="SSJ-PK74820000426-Identity-H"/>
          <w:kern w:val="0"/>
          <w:sz w:val="22"/>
        </w:rPr>
        <w:t>,</w:t>
      </w:r>
      <w:r>
        <w:rPr>
          <w:rFonts w:ascii="宋体" w:hAnsi="宋体" w:cs="SSJ-PK74820000426-Identity-H" w:hint="eastAsia"/>
          <w:kern w:val="0"/>
          <w:sz w:val="22"/>
        </w:rPr>
        <w:t>嵌入当前工作表中</w:t>
      </w:r>
      <w:r>
        <w:rPr>
          <w:rFonts w:ascii="宋体" w:cs="SSJ-PK74820000426-Identity-H"/>
          <w:kern w:val="0"/>
          <w:sz w:val="22"/>
        </w:rPr>
        <w:t>,</w:t>
      </w:r>
      <w:r>
        <w:rPr>
          <w:rFonts w:ascii="宋体" w:hAnsi="宋体" w:cs="SSJ-PK74820000426-Identity-H" w:hint="eastAsia"/>
          <w:kern w:val="0"/>
          <w:sz w:val="22"/>
        </w:rPr>
        <w:t>图表标题为“公司甲近年用户人均消费”</w:t>
      </w:r>
      <w:r>
        <w:rPr>
          <w:rFonts w:ascii="宋体" w:cs="SSJ-PK74820000426-Identity-H"/>
          <w:kern w:val="0"/>
          <w:sz w:val="22"/>
        </w:rPr>
        <w:t>,</w:t>
      </w:r>
      <w:r>
        <w:rPr>
          <w:rFonts w:ascii="宋体" w:hAnsi="宋体" w:cs="SSJ-PK74820000426-Identity-H" w:hint="eastAsia"/>
          <w:kern w:val="0"/>
          <w:sz w:val="22"/>
        </w:rPr>
        <w:t>分类</w:t>
      </w:r>
      <w:r>
        <w:rPr>
          <w:rFonts w:ascii="宋体" w:hAnsi="宋体" w:cs="SSJ-PK74820000426-Identity-H"/>
          <w:kern w:val="0"/>
          <w:sz w:val="22"/>
        </w:rPr>
        <w:t>(X)</w:t>
      </w:r>
      <w:r>
        <w:rPr>
          <w:rFonts w:ascii="宋体" w:hAnsi="宋体" w:cs="SSJ-PK74820000426-Identity-H" w:hint="eastAsia"/>
          <w:kern w:val="0"/>
          <w:sz w:val="22"/>
        </w:rPr>
        <w:t>轴标志为相应年度</w:t>
      </w:r>
      <w:r>
        <w:rPr>
          <w:rFonts w:ascii="宋体" w:cs="SSJ-PK74820000426-Identity-H"/>
          <w:kern w:val="0"/>
          <w:sz w:val="22"/>
        </w:rPr>
        <w:t>,</w:t>
      </w:r>
      <w:r>
        <w:rPr>
          <w:rFonts w:ascii="宋体" w:hAnsi="宋体" w:cs="SSJ-PK74820000426-Identity-H" w:hint="eastAsia"/>
          <w:kern w:val="0"/>
          <w:sz w:val="22"/>
        </w:rPr>
        <w:t>无图例</w:t>
      </w:r>
      <w:r>
        <w:rPr>
          <w:rFonts w:ascii="宋体" w:cs="SSJ-PK74820000426-Identity-H"/>
          <w:kern w:val="0"/>
          <w:sz w:val="22"/>
        </w:rPr>
        <w:t>,</w:t>
      </w:r>
      <w:r>
        <w:rPr>
          <w:rFonts w:ascii="宋体" w:hAnsi="宋体" w:cs="SSJ-PK74820000426-Identity-H" w:hint="eastAsia"/>
          <w:kern w:val="0"/>
          <w:sz w:val="22"/>
        </w:rPr>
        <w:t>数据标签显示在数据点下方</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8.</w:t>
      </w:r>
      <w:r>
        <w:rPr>
          <w:rFonts w:ascii="宋体" w:hAnsi="宋体" w:cs="SSJ-PK74820000426-Identity-H" w:hint="eastAsia"/>
          <w:kern w:val="0"/>
          <w:sz w:val="22"/>
        </w:rPr>
        <w:t>将工作簿以文件名</w:t>
      </w:r>
      <w:r>
        <w:rPr>
          <w:rFonts w:ascii="宋体" w:hAnsi="宋体" w:cs="SSJ-PK74820000426-Identity-H"/>
          <w:kern w:val="0"/>
          <w:sz w:val="22"/>
        </w:rPr>
        <w:t>:EX1,</w:t>
      </w:r>
      <w:r>
        <w:rPr>
          <w:rFonts w:ascii="宋体" w:hAnsi="宋体" w:cs="SSJ-PK74820000426-Identity-H" w:hint="eastAsia"/>
          <w:kern w:val="0"/>
          <w:sz w:val="22"/>
        </w:rPr>
        <w:t>文件类型</w:t>
      </w:r>
      <w:r>
        <w:rPr>
          <w:rFonts w:ascii="宋体" w:hAnsi="宋体" w:cs="SSJ-PK74820000426-Identity-H"/>
          <w:kern w:val="0"/>
          <w:sz w:val="22"/>
        </w:rPr>
        <w:t>:Microsoft Excel</w:t>
      </w:r>
      <w:r>
        <w:rPr>
          <w:rFonts w:ascii="宋体" w:hAnsi="宋体" w:cs="SSJ-PK74820000426-Identity-H" w:hint="eastAsia"/>
          <w:kern w:val="0"/>
          <w:sz w:val="22"/>
        </w:rPr>
        <w:t>工作簿</w:t>
      </w:r>
      <w:r>
        <w:rPr>
          <w:rFonts w:ascii="宋体" w:hAnsi="宋体" w:cs="SSJ-PK74820000426-Identity-H"/>
          <w:kern w:val="0"/>
          <w:sz w:val="22"/>
        </w:rPr>
        <w:t>(.XLSX),</w:t>
      </w:r>
      <w:r>
        <w:rPr>
          <w:rFonts w:ascii="宋体" w:hAnsi="宋体" w:cs="SSJ-PK74820000426-Identity-H" w:hint="eastAsia"/>
          <w:kern w:val="0"/>
          <w:sz w:val="22"/>
        </w:rPr>
        <w:t>存放于</w:t>
      </w:r>
      <w:r>
        <w:rPr>
          <w:rFonts w:ascii="宋体" w:hAnsi="宋体" w:cs="SSJ-PK74820000426-Identity-H"/>
          <w:kern w:val="0"/>
          <w:sz w:val="22"/>
        </w:rPr>
        <w:t>T</w:t>
      </w:r>
      <w:r>
        <w:rPr>
          <w:rFonts w:ascii="宋体" w:hAnsi="宋体" w:cs="SSJ-PK74820000426-Identity-H" w:hint="eastAsia"/>
          <w:kern w:val="0"/>
          <w:sz w:val="22"/>
        </w:rPr>
        <w:t>盘中</w:t>
      </w:r>
      <w:r>
        <w:rPr>
          <w:rFonts w:ascii="宋体" w:eastAsia="MS Minchofalt" w:hAnsi="MS Minchofalt" w:cs="MS Minchofalt" w:hint="eastAsia"/>
          <w:kern w:val="0"/>
          <w:sz w:val="22"/>
        </w:rPr>
        <w:t>｡</w:t>
      </w:r>
    </w:p>
    <w:p w:rsidR="003717A0" w:rsidRDefault="003717A0">
      <w:pPr>
        <w:autoSpaceDE w:val="0"/>
        <w:autoSpaceDN w:val="0"/>
        <w:adjustRightInd w:val="0"/>
        <w:ind w:left="329" w:hangingChars="149" w:hanging="329"/>
        <w:jc w:val="left"/>
        <w:rPr>
          <w:rFonts w:ascii="宋体" w:cs="SSJ-PK74820000426-Identity-H"/>
          <w:b/>
          <w:kern w:val="0"/>
          <w:sz w:val="22"/>
        </w:rPr>
      </w:pPr>
      <w:r>
        <w:rPr>
          <w:rFonts w:ascii="宋体" w:hAnsi="宋体" w:cs="SSJ-PK74820000426-Identity-H" w:hint="eastAsia"/>
          <w:b/>
          <w:kern w:val="0"/>
          <w:sz w:val="22"/>
        </w:rPr>
        <w:t>样张</w:t>
      </w:r>
      <w:r>
        <w:rPr>
          <w:rFonts w:ascii="宋体" w:hAnsi="宋体" w:cs="SSJ-PK74820000426-Identity-H"/>
          <w:b/>
          <w:kern w:val="0"/>
          <w:sz w:val="22"/>
        </w:rPr>
        <w:t>:</w:t>
      </w:r>
    </w:p>
    <w:p w:rsidR="003717A0" w:rsidRDefault="003018D3">
      <w:pPr>
        <w:autoSpaceDE w:val="0"/>
        <w:autoSpaceDN w:val="0"/>
        <w:adjustRightInd w:val="0"/>
        <w:jc w:val="center"/>
        <w:rPr>
          <w:rFonts w:ascii="宋体" w:cs="FSJ-PK74820000480-Identity-H"/>
          <w:kern w:val="0"/>
          <w:sz w:val="22"/>
        </w:rPr>
      </w:pPr>
      <w:r w:rsidRPr="00514AB1">
        <w:rPr>
          <w:rFonts w:ascii="宋体" w:cs="FSJ-PK74820000480-Identity-H"/>
          <w:kern w:val="0"/>
          <w:sz w:val="22"/>
        </w:rPr>
        <w:pict>
          <v:shape id="_x0000_i1026" type="#_x0000_t75" style="width:198.85pt;height:139pt">
            <v:imagedata r:id="rId10" o:title=""/>
          </v:shape>
        </w:pict>
      </w:r>
      <w:r w:rsidRPr="00514AB1">
        <w:rPr>
          <w:rFonts w:ascii="宋体" w:cs="FSJ-PK74820000480-Identity-H"/>
          <w:kern w:val="0"/>
          <w:sz w:val="22"/>
        </w:rPr>
        <w:pict>
          <v:shape id="_x0000_i1027" type="#_x0000_t75" style="width:212.7pt;height:145.1pt">
            <v:imagedata r:id="rId11" o:title=""/>
          </v:shape>
        </w:pict>
      </w:r>
    </w:p>
    <w:p w:rsidR="003717A0" w:rsidRDefault="003717A0" w:rsidP="005E20B5">
      <w:pPr>
        <w:autoSpaceDE w:val="0"/>
        <w:autoSpaceDN w:val="0"/>
        <w:adjustRightInd w:val="0"/>
        <w:spacing w:beforeLines="50" w:afterLines="50"/>
        <w:jc w:val="left"/>
        <w:rPr>
          <w:rFonts w:ascii="宋体" w:cs="HTJ-PK7482000042d-Identity-H"/>
          <w:b/>
          <w:kern w:val="0"/>
          <w:sz w:val="22"/>
        </w:rPr>
      </w:pPr>
      <w:r>
        <w:rPr>
          <w:rFonts w:ascii="宋体" w:hAnsi="宋体" w:cs="HTJ-PK7482000042d-Identity-H"/>
          <w:b/>
          <w:kern w:val="0"/>
          <w:sz w:val="22"/>
        </w:rPr>
        <w:lastRenderedPageBreak/>
        <w:t xml:space="preserve"> (</w:t>
      </w:r>
      <w:r>
        <w:rPr>
          <w:rFonts w:ascii="宋体" w:hAnsi="宋体" w:cs="HTJ-PK7482000042d-Identity-H" w:hint="eastAsia"/>
          <w:b/>
          <w:kern w:val="0"/>
          <w:sz w:val="22"/>
        </w:rPr>
        <w:t>三</w:t>
      </w:r>
      <w:r>
        <w:rPr>
          <w:rFonts w:ascii="宋体" w:hAnsi="宋体" w:cs="HTJ-PK7482000042d-Identity-H"/>
          <w:b/>
          <w:kern w:val="0"/>
          <w:sz w:val="22"/>
        </w:rPr>
        <w:t>)POWER POINT</w:t>
      </w:r>
      <w:r>
        <w:rPr>
          <w:rFonts w:ascii="宋体" w:hAnsi="宋体" w:cs="HTJ-PK7482000042d-Identity-H" w:hint="eastAsia"/>
          <w:b/>
          <w:kern w:val="0"/>
          <w:sz w:val="22"/>
        </w:rPr>
        <w:t>操作题</w:t>
      </w:r>
      <w:r>
        <w:rPr>
          <w:rFonts w:ascii="宋体" w:hAnsi="宋体" w:cs="HTJ-PK7482000042d-Identity-H"/>
          <w:b/>
          <w:kern w:val="0"/>
          <w:sz w:val="22"/>
        </w:rPr>
        <w:t>(15</w:t>
      </w:r>
      <w:r>
        <w:rPr>
          <w:rFonts w:ascii="宋体" w:hAnsi="宋体" w:cs="HTJ-PK7482000042d-Identity-H" w:hint="eastAsia"/>
          <w:b/>
          <w:kern w:val="0"/>
          <w:sz w:val="22"/>
        </w:rPr>
        <w:t>分</w:t>
      </w:r>
      <w:r>
        <w:rPr>
          <w:rFonts w:ascii="宋体" w:hAnsi="宋体" w:cs="HTJ-PK7482000042d-Identity-H"/>
          <w:b/>
          <w:kern w:val="0"/>
          <w:sz w:val="22"/>
        </w:rPr>
        <w:t>)</w:t>
      </w:r>
    </w:p>
    <w:p w:rsidR="003717A0" w:rsidRDefault="003717A0">
      <w:pPr>
        <w:autoSpaceDE w:val="0"/>
        <w:autoSpaceDN w:val="0"/>
        <w:adjustRightInd w:val="0"/>
        <w:ind w:left="329" w:hangingChars="149" w:hanging="329"/>
        <w:jc w:val="left"/>
        <w:rPr>
          <w:rFonts w:ascii="宋体" w:cs="SSJ-PK74820000426-Identity-H"/>
          <w:b/>
          <w:kern w:val="0"/>
          <w:sz w:val="22"/>
        </w:rPr>
      </w:pPr>
      <w:r>
        <w:rPr>
          <w:rFonts w:ascii="宋体" w:hAnsi="宋体" w:cs="SSJ-PK74820000426-Identity-H" w:hint="eastAsia"/>
          <w:b/>
          <w:kern w:val="0"/>
          <w:sz w:val="22"/>
        </w:rPr>
        <w:t>调入</w:t>
      </w:r>
      <w:r>
        <w:rPr>
          <w:rFonts w:ascii="宋体" w:hAnsi="宋体" w:cs="SSJ-PK74820000426-Identity-H"/>
          <w:b/>
          <w:kern w:val="0"/>
          <w:sz w:val="22"/>
        </w:rPr>
        <w:t>T</w:t>
      </w:r>
      <w:r>
        <w:rPr>
          <w:rFonts w:ascii="宋体" w:hAnsi="宋体" w:cs="SSJ-PK74820000426-Identity-H" w:hint="eastAsia"/>
          <w:b/>
          <w:kern w:val="0"/>
          <w:sz w:val="22"/>
        </w:rPr>
        <w:t>盘中的</w:t>
      </w:r>
      <w:r>
        <w:rPr>
          <w:rFonts w:ascii="宋体" w:hAnsi="宋体" w:cs="SSJ-PK74820000426-Identity-H"/>
          <w:b/>
          <w:kern w:val="0"/>
          <w:sz w:val="22"/>
        </w:rPr>
        <w:t>Web.pptx</w:t>
      </w:r>
      <w:r>
        <w:rPr>
          <w:rFonts w:ascii="宋体" w:hAnsi="宋体" w:cs="SSJ-PK74820000426-Identity-H" w:hint="eastAsia"/>
          <w:b/>
          <w:kern w:val="0"/>
          <w:sz w:val="22"/>
        </w:rPr>
        <w:t>文件</w:t>
      </w:r>
      <w:r>
        <w:rPr>
          <w:rFonts w:ascii="宋体" w:cs="SSJ-PK74820000426-Identity-H"/>
          <w:b/>
          <w:kern w:val="0"/>
          <w:sz w:val="22"/>
        </w:rPr>
        <w:t>,</w:t>
      </w:r>
      <w:r>
        <w:rPr>
          <w:rFonts w:ascii="宋体" w:hAnsi="宋体" w:cs="SSJ-PK74820000426-Identity-H" w:hint="eastAsia"/>
          <w:b/>
          <w:kern w:val="0"/>
          <w:sz w:val="22"/>
        </w:rPr>
        <w:t>按下列要求进行操作</w:t>
      </w:r>
      <w:r>
        <w:rPr>
          <w:rFonts w:ascii="宋体" w:eastAsia="MS Minchofalt" w:hAnsi="MS Minchofalt" w:cs="MS Minchofalt" w:hint="eastAsia"/>
          <w:b/>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1.</w:t>
      </w:r>
      <w:r>
        <w:rPr>
          <w:rFonts w:ascii="宋体" w:hAnsi="宋体" w:cs="SSJ-PK74820000426-Identity-H" w:hint="eastAsia"/>
          <w:kern w:val="0"/>
          <w:sz w:val="22"/>
        </w:rPr>
        <w:t>所有幻灯片应用主题</w:t>
      </w:r>
      <w:r>
        <w:rPr>
          <w:rFonts w:ascii="宋体" w:hAnsi="宋体" w:cs="SSJ-PK74820000426-Identity-H"/>
          <w:kern w:val="0"/>
          <w:sz w:val="22"/>
        </w:rPr>
        <w:t>Moban01.potx,</w:t>
      </w:r>
      <w:r>
        <w:rPr>
          <w:rFonts w:ascii="宋体" w:hAnsi="宋体" w:cs="SSJ-PK74820000426-Identity-H" w:hint="eastAsia"/>
          <w:kern w:val="0"/>
          <w:sz w:val="22"/>
        </w:rPr>
        <w:t>所有幻灯片切换效果为立方体</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2.</w:t>
      </w:r>
      <w:r>
        <w:rPr>
          <w:rFonts w:ascii="宋体" w:hAnsi="宋体" w:cs="SSJ-PK74820000426-Identity-H" w:hint="eastAsia"/>
          <w:kern w:val="0"/>
          <w:sz w:val="22"/>
        </w:rPr>
        <w:t>在第二张幻灯片中插入图片</w:t>
      </w:r>
      <w:r>
        <w:rPr>
          <w:rFonts w:ascii="宋体" w:hAnsi="宋体" w:cs="SSJ-PK74820000426-Identity-H"/>
          <w:kern w:val="0"/>
          <w:sz w:val="22"/>
        </w:rPr>
        <w:t>cape.jpg,</w:t>
      </w:r>
      <w:r>
        <w:rPr>
          <w:rFonts w:ascii="宋体" w:hAnsi="宋体" w:cs="SSJ-PK74820000426-Identity-H" w:hint="eastAsia"/>
          <w:kern w:val="0"/>
          <w:sz w:val="22"/>
        </w:rPr>
        <w:t>设置图片高度为</w:t>
      </w:r>
      <w:r>
        <w:rPr>
          <w:rFonts w:ascii="宋体" w:hAnsi="宋体" w:cs="SSJ-PK74820000426-Identity-H"/>
          <w:kern w:val="0"/>
          <w:sz w:val="22"/>
        </w:rPr>
        <w:t>8</w:t>
      </w:r>
      <w:r>
        <w:rPr>
          <w:rFonts w:ascii="宋体" w:hAnsi="宋体" w:cs="SSJ-PK74820000426-Identity-H" w:hint="eastAsia"/>
          <w:kern w:val="0"/>
          <w:sz w:val="22"/>
        </w:rPr>
        <w:t>厘米</w:t>
      </w:r>
      <w:r>
        <w:rPr>
          <w:rFonts w:ascii="宋体" w:cs="SSJ-PK74820000426-Identity-H"/>
          <w:kern w:val="0"/>
          <w:sz w:val="22"/>
        </w:rPr>
        <w:t>,</w:t>
      </w:r>
      <w:r>
        <w:rPr>
          <w:rFonts w:ascii="宋体" w:hAnsi="宋体" w:cs="SSJ-PK74820000426-Identity-H" w:hint="eastAsia"/>
          <w:kern w:val="0"/>
          <w:sz w:val="22"/>
        </w:rPr>
        <w:t>宽度为</w:t>
      </w:r>
      <w:r>
        <w:rPr>
          <w:rFonts w:ascii="宋体" w:hAnsi="宋体" w:cs="SSJ-PK74820000426-Identity-H"/>
          <w:kern w:val="0"/>
          <w:sz w:val="22"/>
        </w:rPr>
        <w:t>10</w:t>
      </w:r>
      <w:r>
        <w:rPr>
          <w:rFonts w:ascii="宋体" w:hAnsi="宋体" w:cs="SSJ-PK74820000426-Identity-H" w:hint="eastAsia"/>
          <w:kern w:val="0"/>
          <w:sz w:val="22"/>
        </w:rPr>
        <w:t>厘米</w:t>
      </w:r>
      <w:r>
        <w:rPr>
          <w:rFonts w:ascii="宋体" w:cs="SSJ-PK74820000426-Identity-H"/>
          <w:kern w:val="0"/>
          <w:sz w:val="22"/>
        </w:rPr>
        <w:t>,</w:t>
      </w:r>
      <w:r>
        <w:rPr>
          <w:rFonts w:ascii="宋体" w:hAnsi="宋体" w:cs="SSJ-PK74820000426-Identity-H" w:hint="eastAsia"/>
          <w:kern w:val="0"/>
          <w:sz w:val="22"/>
        </w:rPr>
        <w:t>动画效果为单击时缩放进入</w:t>
      </w:r>
      <w:r>
        <w:rPr>
          <w:rFonts w:ascii="宋体" w:cs="SSJ-PK74820000426-Identity-H"/>
          <w:kern w:val="0"/>
          <w:sz w:val="22"/>
        </w:rPr>
        <w:t>,</w:t>
      </w:r>
      <w:r>
        <w:rPr>
          <w:rFonts w:ascii="宋体" w:hAnsi="宋体" w:cs="SSJ-PK74820000426-Identity-H" w:hint="eastAsia"/>
          <w:kern w:val="0"/>
          <w:sz w:val="22"/>
        </w:rPr>
        <w:t>持续时间为</w:t>
      </w:r>
      <w:r>
        <w:rPr>
          <w:rFonts w:ascii="宋体" w:hAnsi="宋体" w:cs="SSJ-PK74820000426-Identity-H"/>
          <w:kern w:val="0"/>
          <w:sz w:val="22"/>
        </w:rPr>
        <w:t>1</w:t>
      </w:r>
      <w:r>
        <w:rPr>
          <w:rFonts w:ascii="宋体" w:hAnsi="宋体" w:cs="SSJ-PK74820000426-Identity-H" w:hint="eastAsia"/>
          <w:kern w:val="0"/>
          <w:sz w:val="22"/>
        </w:rPr>
        <w:t>秒</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3.</w:t>
      </w:r>
      <w:r>
        <w:rPr>
          <w:rFonts w:ascii="宋体" w:hAnsi="宋体" w:cs="SSJ-PK74820000426-Identity-H" w:hint="eastAsia"/>
          <w:kern w:val="0"/>
          <w:sz w:val="22"/>
        </w:rPr>
        <w:t>为第二张幻灯片中带项目符号的文字创建超链接</w:t>
      </w:r>
      <w:r>
        <w:rPr>
          <w:rFonts w:ascii="宋体" w:cs="SSJ-PK74820000426-Identity-H"/>
          <w:kern w:val="0"/>
          <w:sz w:val="22"/>
        </w:rPr>
        <w:t>,</w:t>
      </w:r>
      <w:r>
        <w:rPr>
          <w:rFonts w:ascii="宋体" w:hAnsi="宋体" w:cs="SSJ-PK74820000426-Identity-H" w:hint="eastAsia"/>
          <w:kern w:val="0"/>
          <w:sz w:val="22"/>
        </w:rPr>
        <w:t>分别指向具有相应标题的幻灯片</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4.</w:t>
      </w:r>
      <w:r>
        <w:rPr>
          <w:rFonts w:ascii="宋体" w:hAnsi="宋体" w:cs="SSJ-PK74820000426-Identity-H" w:hint="eastAsia"/>
          <w:kern w:val="0"/>
          <w:sz w:val="22"/>
        </w:rPr>
        <w:t>将幻灯片大小设置为</w:t>
      </w:r>
      <w:r>
        <w:rPr>
          <w:rFonts w:ascii="宋体" w:hAnsi="宋体" w:cs="SSJ-PK74820000426-Identity-H"/>
          <w:kern w:val="0"/>
          <w:sz w:val="22"/>
        </w:rPr>
        <w:t>35</w:t>
      </w:r>
      <w:r>
        <w:rPr>
          <w:rFonts w:ascii="宋体" w:hAnsi="宋体" w:cs="SSJ-PK74820000426-Identity-H" w:hint="eastAsia"/>
          <w:kern w:val="0"/>
          <w:sz w:val="22"/>
        </w:rPr>
        <w:t>毫米幻灯片</w:t>
      </w:r>
      <w:r>
        <w:rPr>
          <w:rFonts w:ascii="宋体" w:cs="SSJ-PK74820000426-Identity-H"/>
          <w:kern w:val="0"/>
          <w:sz w:val="22"/>
        </w:rPr>
        <w:t>,</w:t>
      </w:r>
      <w:r>
        <w:rPr>
          <w:rFonts w:ascii="宋体" w:hAnsi="宋体" w:cs="SSJ-PK74820000426-Identity-H" w:hint="eastAsia"/>
          <w:kern w:val="0"/>
          <w:sz w:val="22"/>
        </w:rPr>
        <w:t>除标题幻灯片外</w:t>
      </w:r>
      <w:r>
        <w:rPr>
          <w:rFonts w:ascii="宋体" w:cs="SSJ-PK74820000426-Identity-H"/>
          <w:kern w:val="0"/>
          <w:sz w:val="22"/>
        </w:rPr>
        <w:t>,</w:t>
      </w:r>
      <w:r>
        <w:rPr>
          <w:rFonts w:ascii="宋体" w:hAnsi="宋体" w:cs="SSJ-PK74820000426-Identity-H" w:hint="eastAsia"/>
          <w:kern w:val="0"/>
          <w:sz w:val="22"/>
        </w:rPr>
        <w:t>在其他幻灯片中插入页脚“走近好望角”</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5.</w:t>
      </w:r>
      <w:r>
        <w:rPr>
          <w:rFonts w:ascii="宋体" w:hAnsi="宋体" w:cs="SSJ-PK74820000426-Identity-H" w:hint="eastAsia"/>
          <w:kern w:val="0"/>
          <w:sz w:val="22"/>
        </w:rPr>
        <w:t>利用幻灯片母版</w:t>
      </w:r>
      <w:r>
        <w:rPr>
          <w:rFonts w:ascii="宋体" w:cs="SSJ-PK74820000426-Identity-H"/>
          <w:kern w:val="0"/>
          <w:sz w:val="22"/>
        </w:rPr>
        <w:t>,</w:t>
      </w:r>
      <w:r>
        <w:rPr>
          <w:rFonts w:ascii="宋体" w:hAnsi="宋体" w:cs="SSJ-PK74820000426-Identity-H" w:hint="eastAsia"/>
          <w:kern w:val="0"/>
          <w:sz w:val="22"/>
        </w:rPr>
        <w:t>除标题幻灯片外</w:t>
      </w:r>
      <w:r>
        <w:rPr>
          <w:rFonts w:ascii="宋体" w:cs="SSJ-PK74820000426-Identity-H"/>
          <w:kern w:val="0"/>
          <w:sz w:val="22"/>
        </w:rPr>
        <w:t>,</w:t>
      </w:r>
      <w:r>
        <w:rPr>
          <w:rFonts w:ascii="宋体" w:hAnsi="宋体" w:cs="SSJ-PK74820000426-Identity-H" w:hint="eastAsia"/>
          <w:kern w:val="0"/>
          <w:sz w:val="22"/>
        </w:rPr>
        <w:t>在其他幻灯片的右下角插入笑脸形状</w:t>
      </w:r>
      <w:r>
        <w:rPr>
          <w:rFonts w:ascii="宋体" w:cs="SSJ-PK74820000426-Identity-H"/>
          <w:kern w:val="0"/>
          <w:sz w:val="22"/>
        </w:rPr>
        <w:t>,</w:t>
      </w:r>
      <w:r>
        <w:rPr>
          <w:rFonts w:ascii="宋体" w:hAnsi="宋体" w:cs="SSJ-PK74820000426-Identity-H" w:hint="eastAsia"/>
          <w:kern w:val="0"/>
          <w:sz w:val="22"/>
        </w:rPr>
        <w:t>单击该形状</w:t>
      </w:r>
      <w:r>
        <w:rPr>
          <w:rFonts w:ascii="宋体" w:cs="SSJ-PK74820000426-Identity-H"/>
          <w:kern w:val="0"/>
          <w:sz w:val="22"/>
        </w:rPr>
        <w:t>,</w:t>
      </w:r>
      <w:r>
        <w:rPr>
          <w:rFonts w:ascii="宋体" w:hAnsi="宋体" w:cs="SSJ-PK74820000426-Identity-H" w:hint="eastAsia"/>
          <w:kern w:val="0"/>
          <w:sz w:val="22"/>
        </w:rPr>
        <w:t>超链接指向第一张幻灯片</w:t>
      </w:r>
      <w:r>
        <w:rPr>
          <w:rFonts w:ascii="宋体" w:eastAsia="MS Minchofalt" w:hAnsi="MS Minchofalt" w:cs="MS Minchofalt" w:hint="eastAsia"/>
          <w:kern w:val="0"/>
          <w:sz w:val="22"/>
        </w:rPr>
        <w:t>｡</w:t>
      </w:r>
    </w:p>
    <w:p w:rsidR="003717A0" w:rsidRDefault="003717A0">
      <w:pPr>
        <w:autoSpaceDE w:val="0"/>
        <w:autoSpaceDN w:val="0"/>
        <w:adjustRightInd w:val="0"/>
        <w:ind w:left="328" w:hangingChars="149" w:hanging="328"/>
        <w:jc w:val="left"/>
        <w:rPr>
          <w:rFonts w:ascii="宋体" w:cs="SSJ-PK74820000426-Identity-H"/>
          <w:kern w:val="0"/>
          <w:sz w:val="22"/>
        </w:rPr>
      </w:pPr>
      <w:r>
        <w:rPr>
          <w:rFonts w:ascii="宋体" w:hAnsi="宋体" w:cs="SSJ-PK74820000426-Identity-H"/>
          <w:kern w:val="0"/>
          <w:sz w:val="22"/>
        </w:rPr>
        <w:t>6.</w:t>
      </w:r>
      <w:r>
        <w:rPr>
          <w:rFonts w:ascii="宋体" w:hAnsi="宋体" w:cs="SSJ-PK74820000426-Identity-H" w:hint="eastAsia"/>
          <w:kern w:val="0"/>
          <w:sz w:val="22"/>
        </w:rPr>
        <w:t>将制作好的演示文稿以文件名</w:t>
      </w:r>
      <w:r>
        <w:rPr>
          <w:rFonts w:ascii="宋体" w:hAnsi="宋体" w:cs="SSJ-PK74820000426-Identity-H"/>
          <w:kern w:val="0"/>
          <w:sz w:val="22"/>
        </w:rPr>
        <w:t>:Web,</w:t>
      </w:r>
      <w:r>
        <w:rPr>
          <w:rFonts w:ascii="宋体" w:hAnsi="宋体" w:cs="SSJ-PK74820000426-Identity-H" w:hint="eastAsia"/>
          <w:kern w:val="0"/>
          <w:sz w:val="22"/>
        </w:rPr>
        <w:t>文件类型</w:t>
      </w:r>
      <w:r>
        <w:rPr>
          <w:rFonts w:ascii="宋体" w:hAnsi="宋体" w:cs="SSJ-PK74820000426-Identity-H"/>
          <w:kern w:val="0"/>
          <w:sz w:val="22"/>
        </w:rPr>
        <w:t>:</w:t>
      </w:r>
      <w:r>
        <w:rPr>
          <w:rFonts w:ascii="宋体" w:hAnsi="宋体" w:cs="SSJ-PK74820000426-Identity-H" w:hint="eastAsia"/>
          <w:kern w:val="0"/>
          <w:sz w:val="22"/>
        </w:rPr>
        <w:t>演示文稿</w:t>
      </w:r>
      <w:r>
        <w:rPr>
          <w:rFonts w:ascii="宋体" w:hAnsi="宋体" w:cs="SSJ-PK74820000426-Identity-H"/>
          <w:kern w:val="0"/>
          <w:sz w:val="22"/>
        </w:rPr>
        <w:t>(.PPTX)</w:t>
      </w:r>
      <w:r>
        <w:rPr>
          <w:rFonts w:ascii="宋体" w:hAnsi="宋体" w:cs="SSJ-PK74820000426-Identity-H" w:hint="eastAsia"/>
          <w:kern w:val="0"/>
          <w:sz w:val="22"/>
        </w:rPr>
        <w:t>保存</w:t>
      </w:r>
      <w:r>
        <w:rPr>
          <w:rFonts w:ascii="宋体" w:cs="SSJ-PK74820000426-Identity-H"/>
          <w:kern w:val="0"/>
          <w:sz w:val="22"/>
        </w:rPr>
        <w:t>,</w:t>
      </w:r>
      <w:r>
        <w:rPr>
          <w:rFonts w:ascii="宋体" w:hAnsi="宋体" w:cs="SSJ-PK74820000426-Identity-H" w:hint="eastAsia"/>
          <w:kern w:val="0"/>
          <w:sz w:val="22"/>
        </w:rPr>
        <w:t>存放于</w:t>
      </w:r>
      <w:r>
        <w:rPr>
          <w:rFonts w:ascii="宋体" w:hAnsi="宋体" w:cs="SSJ-PK74820000426-Identity-H"/>
          <w:kern w:val="0"/>
          <w:sz w:val="22"/>
        </w:rPr>
        <w:t>T</w:t>
      </w:r>
      <w:r>
        <w:rPr>
          <w:rFonts w:ascii="宋体" w:hAnsi="宋体" w:cs="SSJ-PK74820000426-Identity-H" w:hint="eastAsia"/>
          <w:kern w:val="0"/>
          <w:sz w:val="22"/>
        </w:rPr>
        <w:t>盘中</w:t>
      </w:r>
      <w:r>
        <w:rPr>
          <w:rFonts w:ascii="宋体" w:eastAsia="MS Minchofalt" w:hAnsi="MS Minchofalt" w:cs="MS Minchofalt" w:hint="eastAsia"/>
          <w:kern w:val="0"/>
          <w:sz w:val="22"/>
        </w:rPr>
        <w:t>｡</w:t>
      </w:r>
    </w:p>
    <w:p w:rsidR="003717A0" w:rsidRDefault="003717A0">
      <w:pPr>
        <w:autoSpaceDE w:val="0"/>
        <w:autoSpaceDN w:val="0"/>
        <w:adjustRightInd w:val="0"/>
        <w:snapToGrid w:val="0"/>
        <w:rPr>
          <w:rFonts w:ascii="Times New Roman" w:eastAsia="黑体" w:hAnsi="Times New Roman"/>
          <w:b/>
          <w:kern w:val="0"/>
          <w:sz w:val="24"/>
          <w:szCs w:val="2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黑体" w:eastAsia="黑体"/>
          <w:bCs/>
          <w:sz w:val="36"/>
          <w:szCs w:val="36"/>
        </w:rPr>
      </w:pPr>
      <w:r>
        <w:rPr>
          <w:rFonts w:ascii="Times New Roman" w:eastAsia="黑体" w:hAnsi="Times New Roman"/>
          <w:kern w:val="0"/>
          <w:sz w:val="34"/>
          <w:szCs w:val="34"/>
        </w:rPr>
        <w:br w:type="page"/>
      </w:r>
      <w:r>
        <w:rPr>
          <w:rFonts w:ascii="Times New Roman" w:eastAsia="黑体" w:hAnsi="Times New Roman" w:cs="Times New Roman" w:hint="eastAsia"/>
          <w:b/>
          <w:bCs/>
          <w:kern w:val="0"/>
          <w:sz w:val="32"/>
          <w:szCs w:val="32"/>
        </w:rPr>
        <w:lastRenderedPageBreak/>
        <w:t>四、课程实施与保障</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2"/>
        <w:gridCol w:w="540"/>
        <w:gridCol w:w="8025"/>
        <w:gridCol w:w="27"/>
      </w:tblGrid>
      <w:tr w:rsidR="003717A0">
        <w:trPr>
          <w:cantSplit/>
          <w:trHeight w:val="237"/>
          <w:jc w:val="center"/>
        </w:trPr>
        <w:tc>
          <w:tcPr>
            <w:tcW w:w="1142"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052" w:type="dxa"/>
            <w:gridSpan w:val="2"/>
            <w:vAlign w:val="center"/>
          </w:tcPr>
          <w:p w:rsidR="003717A0" w:rsidRDefault="003717A0">
            <w:pPr>
              <w:autoSpaceDE w:val="0"/>
              <w:autoSpaceDN w:val="0"/>
              <w:adjustRightInd w:val="0"/>
              <w:snapToGrid w:val="0"/>
              <w:ind w:firstLineChars="150" w:firstLine="330"/>
              <w:jc w:val="left"/>
              <w:rPr>
                <w:rFonts w:ascii="Times New Roman" w:hAnsi="宋体"/>
                <w:kern w:val="0"/>
                <w:sz w:val="22"/>
              </w:rPr>
            </w:pPr>
            <w:r>
              <w:rPr>
                <w:rFonts w:ascii="Times New Roman" w:hAnsi="宋体" w:hint="eastAsia"/>
                <w:kern w:val="0"/>
                <w:sz w:val="22"/>
              </w:rPr>
              <w:t>本课程是必修课，教学内容分为理论知识部分和实践部分。理论知识部分主要介绍计算机信息处理方面的基本概念、原理和技术，采用课堂多媒体教学的形式；实践部分，重点是计算机操作及常用软件的使用，采用上机实践的形式。通过该课程学习，非计算机专业的学生不仅应该掌握计算机的操作使用，而且还要了解计算机信息处理的知识、原理与方法，更好地促进自己的专业学习与工作。</w:t>
            </w:r>
          </w:p>
          <w:p w:rsidR="003717A0" w:rsidRDefault="003717A0">
            <w:pPr>
              <w:autoSpaceDE w:val="0"/>
              <w:autoSpaceDN w:val="0"/>
              <w:adjustRightInd w:val="0"/>
              <w:snapToGrid w:val="0"/>
              <w:ind w:firstLineChars="150" w:firstLine="330"/>
              <w:jc w:val="left"/>
              <w:rPr>
                <w:rFonts w:ascii="Times New Roman" w:hAnsi="宋体"/>
                <w:kern w:val="0"/>
                <w:sz w:val="22"/>
              </w:rPr>
            </w:pPr>
            <w:r>
              <w:rPr>
                <w:rFonts w:ascii="Times New Roman" w:hAnsi="宋体" w:hint="eastAsia"/>
                <w:kern w:val="0"/>
                <w:sz w:val="22"/>
              </w:rPr>
              <w:t>该课程理论知识部分教学的基本任务：</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了解信息技术的基本概念，掌握数字技术基础知识；</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掌握微型计算机系统的组成和各部分功能；</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掌握操作系统的基本功能和作用；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掌握计算机网络的基本概念和因特网的基础知识；</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5. </w:t>
            </w:r>
            <w:r>
              <w:rPr>
                <w:rFonts w:ascii="Times New Roman" w:hAnsi="宋体" w:hint="eastAsia"/>
                <w:kern w:val="0"/>
                <w:sz w:val="22"/>
              </w:rPr>
              <w:t>掌握数字媒体及应用；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6. </w:t>
            </w:r>
            <w:r>
              <w:rPr>
                <w:rFonts w:ascii="Times New Roman" w:hAnsi="宋体" w:hint="eastAsia"/>
                <w:kern w:val="0"/>
                <w:sz w:val="22"/>
              </w:rPr>
              <w:t>了解计算机信息系统与数据库。</w:t>
            </w:r>
          </w:p>
          <w:p w:rsidR="003717A0" w:rsidRDefault="003717A0">
            <w:pPr>
              <w:autoSpaceDE w:val="0"/>
              <w:autoSpaceDN w:val="0"/>
              <w:adjustRightInd w:val="0"/>
              <w:snapToGrid w:val="0"/>
              <w:ind w:firstLineChars="150" w:firstLine="330"/>
              <w:jc w:val="left"/>
              <w:rPr>
                <w:rFonts w:ascii="Times New Roman" w:hAnsi="宋体"/>
                <w:kern w:val="0"/>
                <w:sz w:val="22"/>
              </w:rPr>
            </w:pPr>
            <w:r>
              <w:rPr>
                <w:rFonts w:ascii="Times New Roman" w:hAnsi="宋体" w:hint="eastAsia"/>
                <w:kern w:val="0"/>
                <w:sz w:val="22"/>
              </w:rPr>
              <w:t>该课程实践部分教学的基本任务：</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熟悉</w:t>
            </w:r>
            <w:r>
              <w:rPr>
                <w:rFonts w:ascii="Times New Roman" w:hAnsi="宋体"/>
                <w:kern w:val="0"/>
                <w:sz w:val="22"/>
              </w:rPr>
              <w:t>Windows</w:t>
            </w:r>
            <w:r>
              <w:rPr>
                <w:rFonts w:ascii="Times New Roman" w:hAnsi="宋体" w:hint="eastAsia"/>
                <w:kern w:val="0"/>
                <w:sz w:val="22"/>
              </w:rPr>
              <w:t>的基本操作和应用；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w:t>
            </w:r>
            <w:r>
              <w:rPr>
                <w:rFonts w:ascii="Times New Roman" w:hAnsi="宋体"/>
                <w:kern w:val="0"/>
                <w:sz w:val="22"/>
              </w:rPr>
              <w:t>IE</w:t>
            </w:r>
            <w:r>
              <w:rPr>
                <w:rFonts w:ascii="Times New Roman" w:hAnsi="宋体" w:hint="eastAsia"/>
                <w:kern w:val="0"/>
                <w:sz w:val="22"/>
              </w:rPr>
              <w:t>浏览器软件和</w:t>
            </w:r>
            <w:r>
              <w:rPr>
                <w:rFonts w:ascii="Times New Roman" w:hAnsi="宋体"/>
                <w:kern w:val="0"/>
                <w:sz w:val="22"/>
              </w:rPr>
              <w:t>Outlook Express</w:t>
            </w:r>
            <w:r>
              <w:rPr>
                <w:rFonts w:ascii="Times New Roman" w:hAnsi="宋体" w:hint="eastAsia"/>
                <w:kern w:val="0"/>
                <w:sz w:val="22"/>
              </w:rPr>
              <w:t>软件的基本操作和使用；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熟练掌握文字处理</w:t>
            </w:r>
            <w:r>
              <w:rPr>
                <w:rFonts w:ascii="Times New Roman" w:hAnsi="宋体"/>
                <w:kern w:val="0"/>
                <w:sz w:val="22"/>
              </w:rPr>
              <w:t>MS Word</w:t>
            </w:r>
            <w:r>
              <w:rPr>
                <w:rFonts w:ascii="Times New Roman" w:hAnsi="宋体" w:hint="eastAsia"/>
                <w:kern w:val="0"/>
                <w:sz w:val="22"/>
              </w:rPr>
              <w:t>的基本操作和应用；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熟练掌握电子表格软件</w:t>
            </w:r>
            <w:r>
              <w:rPr>
                <w:rFonts w:ascii="Times New Roman" w:hAnsi="宋体"/>
                <w:kern w:val="0"/>
                <w:sz w:val="22"/>
              </w:rPr>
              <w:t>Excel</w:t>
            </w:r>
            <w:r>
              <w:rPr>
                <w:rFonts w:ascii="Times New Roman" w:hAnsi="宋体" w:hint="eastAsia"/>
                <w:kern w:val="0"/>
                <w:sz w:val="22"/>
              </w:rPr>
              <w:t>的基本操作和应用；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5. </w:t>
            </w:r>
            <w:r>
              <w:rPr>
                <w:rFonts w:ascii="Times New Roman" w:hAnsi="宋体" w:hint="eastAsia"/>
                <w:kern w:val="0"/>
                <w:sz w:val="22"/>
              </w:rPr>
              <w:t>熟练掌握演示文稿制作软件</w:t>
            </w:r>
            <w:r>
              <w:rPr>
                <w:rFonts w:ascii="Times New Roman" w:hAnsi="宋体"/>
                <w:kern w:val="0"/>
                <w:sz w:val="22"/>
              </w:rPr>
              <w:t>PowerPoint</w:t>
            </w:r>
            <w:r>
              <w:rPr>
                <w:rFonts w:ascii="Times New Roman" w:hAnsi="宋体" w:hint="eastAsia"/>
                <w:kern w:val="0"/>
                <w:sz w:val="22"/>
              </w:rPr>
              <w:t>的基本操作和应用；</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6. </w:t>
            </w:r>
            <w:r>
              <w:rPr>
                <w:rFonts w:ascii="Times New Roman" w:hAnsi="宋体" w:hint="eastAsia"/>
                <w:kern w:val="0"/>
                <w:sz w:val="22"/>
              </w:rPr>
              <w:t>熟练掌握</w:t>
            </w:r>
            <w:r>
              <w:rPr>
                <w:rFonts w:ascii="Times New Roman" w:hAnsi="宋体"/>
                <w:kern w:val="0"/>
                <w:sz w:val="22"/>
              </w:rPr>
              <w:t>MS Office</w:t>
            </w:r>
            <w:r>
              <w:rPr>
                <w:rFonts w:ascii="Times New Roman" w:hAnsi="宋体" w:hint="eastAsia"/>
                <w:kern w:val="0"/>
                <w:sz w:val="22"/>
              </w:rPr>
              <w:t>软件的综合应用。</w:t>
            </w:r>
          </w:p>
        </w:tc>
      </w:tr>
      <w:tr w:rsidR="003717A0">
        <w:trPr>
          <w:cantSplit/>
          <w:trHeight w:val="140"/>
          <w:jc w:val="center"/>
        </w:trPr>
        <w:tc>
          <w:tcPr>
            <w:tcW w:w="602"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40"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052" w:type="dxa"/>
            <w:gridSpan w:val="2"/>
            <w:vAlign w:val="center"/>
          </w:tcPr>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熟悉教材各章节，明确教材的重点和难点部分，并依据教学大纲编写授课计划；</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完成各章节的教学设计，明确教学目标、教学重难点、教学方法、教学步骤和时间分配等；</w:t>
            </w:r>
            <w:r>
              <w:rPr>
                <w:rFonts w:ascii="Times New Roman" w:hAnsi="宋体"/>
                <w:kern w:val="0"/>
                <w:sz w:val="22"/>
              </w:rPr>
              <w:t xml:space="preserve"> </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根据授课内容制作课件，运用多媒体手段辅助教学；</w:t>
            </w:r>
            <w:r>
              <w:rPr>
                <w:rFonts w:ascii="Times New Roman" w:hAnsi="宋体"/>
                <w:kern w:val="0"/>
                <w:sz w:val="22"/>
              </w:rPr>
              <w:t xml:space="preserve"> </w:t>
            </w:r>
          </w:p>
          <w:p w:rsidR="003717A0" w:rsidRDefault="003717A0">
            <w:pPr>
              <w:autoSpaceDE w:val="0"/>
              <w:autoSpaceDN w:val="0"/>
              <w:adjustRightInd w:val="0"/>
              <w:snapToGrid w:val="0"/>
              <w:jc w:val="left"/>
            </w:pPr>
            <w:r>
              <w:rPr>
                <w:rFonts w:ascii="Times New Roman" w:hAnsi="宋体"/>
                <w:kern w:val="0"/>
                <w:sz w:val="22"/>
              </w:rPr>
              <w:t xml:space="preserve">5. </w:t>
            </w:r>
            <w:r>
              <w:rPr>
                <w:rFonts w:ascii="Times New Roman" w:hAnsi="宋体" w:hint="eastAsia"/>
                <w:kern w:val="0"/>
                <w:sz w:val="22"/>
              </w:rPr>
              <w:t>合理安排课后作业，让学生巩固课堂所学知识。</w:t>
            </w:r>
          </w:p>
        </w:tc>
      </w:tr>
      <w:tr w:rsidR="003717A0">
        <w:trPr>
          <w:cantSplit/>
          <w:trHeight w:val="204"/>
          <w:jc w:val="center"/>
        </w:trPr>
        <w:tc>
          <w:tcPr>
            <w:tcW w:w="602" w:type="dxa"/>
            <w:vMerge/>
            <w:vAlign w:val="center"/>
          </w:tcPr>
          <w:p w:rsidR="003717A0" w:rsidRDefault="003717A0">
            <w:pPr>
              <w:spacing w:line="340" w:lineRule="exact"/>
              <w:jc w:val="center"/>
            </w:pPr>
          </w:p>
        </w:tc>
        <w:tc>
          <w:tcPr>
            <w:tcW w:w="540" w:type="dxa"/>
            <w:textDirection w:val="tbRlV"/>
            <w:vAlign w:val="center"/>
          </w:tcPr>
          <w:p w:rsidR="003717A0" w:rsidRDefault="003717A0">
            <w:pPr>
              <w:spacing w:line="340" w:lineRule="exact"/>
              <w:ind w:left="113" w:right="113"/>
              <w:jc w:val="center"/>
            </w:pPr>
            <w:r>
              <w:rPr>
                <w:rFonts w:ascii="黑体" w:eastAsia="黑体" w:hint="eastAsia"/>
                <w:b/>
                <w:sz w:val="24"/>
                <w:szCs w:val="24"/>
              </w:rPr>
              <w:t>讲</w:t>
            </w:r>
            <w:r>
              <w:rPr>
                <w:rFonts w:ascii="黑体" w:eastAsia="黑体"/>
                <w:b/>
                <w:sz w:val="24"/>
                <w:szCs w:val="24"/>
              </w:rPr>
              <w:t xml:space="preserve">   </w:t>
            </w:r>
            <w:r>
              <w:rPr>
                <w:rFonts w:ascii="黑体" w:eastAsia="黑体" w:hint="eastAsia"/>
                <w:b/>
                <w:sz w:val="24"/>
                <w:szCs w:val="24"/>
              </w:rPr>
              <w:t>授</w:t>
            </w:r>
          </w:p>
        </w:tc>
        <w:tc>
          <w:tcPr>
            <w:tcW w:w="8052" w:type="dxa"/>
            <w:gridSpan w:val="2"/>
            <w:vAlign w:val="center"/>
          </w:tcPr>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思路清晰，详略得当，重点突出；</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综合使用多种教学方式（如启发式教学、案例分析教学、讨论式教学等），活跃课堂气氛，吸引学生的注意力；</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恰当运用多媒体教学，多引用案例变抽象为形象，激发学生学习兴趣；</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合理分配教学时间，进度基本符合授课计划的要求；</w:t>
            </w:r>
          </w:p>
          <w:p w:rsidR="003717A0" w:rsidRDefault="003717A0">
            <w:pPr>
              <w:autoSpaceDE w:val="0"/>
              <w:autoSpaceDN w:val="0"/>
              <w:adjustRightInd w:val="0"/>
              <w:snapToGrid w:val="0"/>
              <w:jc w:val="left"/>
            </w:pPr>
            <w:r>
              <w:rPr>
                <w:rFonts w:ascii="Times New Roman" w:hAnsi="宋体"/>
                <w:kern w:val="0"/>
                <w:sz w:val="22"/>
              </w:rPr>
              <w:t xml:space="preserve">5. </w:t>
            </w:r>
            <w:r>
              <w:rPr>
                <w:rFonts w:ascii="Times New Roman" w:hAnsi="宋体" w:hint="eastAsia"/>
                <w:kern w:val="0"/>
                <w:sz w:val="22"/>
              </w:rPr>
              <w:t>表达方式尽量便于学生理解，力求形象生动，使学生在掌握知识的过程中，保持较为浓厚的学习兴趣。</w:t>
            </w:r>
          </w:p>
        </w:tc>
      </w:tr>
      <w:tr w:rsidR="003717A0">
        <w:trPr>
          <w:gridAfter w:val="1"/>
          <w:wAfter w:w="27" w:type="dxa"/>
          <w:cantSplit/>
          <w:trHeight w:val="274"/>
          <w:jc w:val="center"/>
        </w:trPr>
        <w:tc>
          <w:tcPr>
            <w:tcW w:w="602"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40"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w:t>
            </w:r>
            <w:r>
              <w:rPr>
                <w:rFonts w:ascii="黑体" w:eastAsia="黑体"/>
                <w:b/>
                <w:sz w:val="24"/>
                <w:szCs w:val="24"/>
              </w:rPr>
              <w:t xml:space="preserve"> </w:t>
            </w:r>
            <w:r>
              <w:rPr>
                <w:rFonts w:ascii="黑体" w:eastAsia="黑体" w:hint="eastAsia"/>
                <w:b/>
                <w:sz w:val="24"/>
                <w:szCs w:val="24"/>
              </w:rPr>
              <w:t>业</w:t>
            </w:r>
            <w:r>
              <w:rPr>
                <w:rFonts w:ascii="黑体" w:eastAsia="黑体"/>
                <w:b/>
                <w:sz w:val="24"/>
                <w:szCs w:val="24"/>
              </w:rPr>
              <w:t xml:space="preserve"> </w:t>
            </w:r>
            <w:r>
              <w:rPr>
                <w:rFonts w:ascii="黑体" w:eastAsia="黑体" w:hint="eastAsia"/>
                <w:b/>
                <w:sz w:val="24"/>
                <w:szCs w:val="24"/>
              </w:rPr>
              <w:t>布</w:t>
            </w:r>
            <w:r>
              <w:rPr>
                <w:rFonts w:ascii="黑体" w:eastAsia="黑体"/>
                <w:b/>
                <w:sz w:val="24"/>
                <w:szCs w:val="24"/>
              </w:rPr>
              <w:t xml:space="preserve"> </w:t>
            </w:r>
            <w:r>
              <w:rPr>
                <w:rFonts w:ascii="黑体" w:eastAsia="黑体" w:hint="eastAsia"/>
                <w:b/>
                <w:sz w:val="24"/>
                <w:szCs w:val="24"/>
              </w:rPr>
              <w:t>置</w:t>
            </w:r>
            <w:r>
              <w:rPr>
                <w:rFonts w:ascii="黑体" w:eastAsia="黑体"/>
                <w:b/>
                <w:sz w:val="24"/>
                <w:szCs w:val="24"/>
              </w:rPr>
              <w:t xml:space="preserve"> </w:t>
            </w:r>
            <w:r>
              <w:rPr>
                <w:rFonts w:ascii="黑体" w:eastAsia="黑体" w:hint="eastAsia"/>
                <w:b/>
                <w:sz w:val="24"/>
                <w:szCs w:val="24"/>
              </w:rPr>
              <w:t>与</w:t>
            </w:r>
            <w:r>
              <w:rPr>
                <w:rFonts w:ascii="黑体" w:eastAsia="黑体"/>
                <w:b/>
                <w:sz w:val="24"/>
                <w:szCs w:val="24"/>
              </w:rPr>
              <w:t xml:space="preserve"> </w:t>
            </w:r>
            <w:r>
              <w:rPr>
                <w:rFonts w:ascii="黑体" w:eastAsia="黑体" w:hint="eastAsia"/>
                <w:b/>
                <w:sz w:val="24"/>
                <w:szCs w:val="24"/>
              </w:rPr>
              <w:t>批</w:t>
            </w:r>
            <w:r>
              <w:rPr>
                <w:rFonts w:ascii="黑体" w:eastAsia="黑体"/>
                <w:b/>
                <w:sz w:val="24"/>
                <w:szCs w:val="24"/>
              </w:rPr>
              <w:t xml:space="preserve"> </w:t>
            </w:r>
            <w:r>
              <w:rPr>
                <w:rFonts w:ascii="黑体" w:eastAsia="黑体" w:hint="eastAsia"/>
                <w:b/>
                <w:sz w:val="24"/>
                <w:szCs w:val="24"/>
              </w:rPr>
              <w:t>改</w:t>
            </w:r>
          </w:p>
        </w:tc>
        <w:tc>
          <w:tcPr>
            <w:tcW w:w="8025" w:type="dxa"/>
            <w:vAlign w:val="center"/>
          </w:tcPr>
          <w:p w:rsidR="003717A0" w:rsidRDefault="003717A0">
            <w:pPr>
              <w:autoSpaceDE w:val="0"/>
              <w:autoSpaceDN w:val="0"/>
              <w:adjustRightInd w:val="0"/>
              <w:snapToGrid w:val="0"/>
              <w:spacing w:line="360" w:lineRule="exact"/>
              <w:ind w:firstLineChars="150" w:firstLine="330"/>
              <w:jc w:val="left"/>
              <w:rPr>
                <w:rFonts w:ascii="Times New Roman" w:hAnsi="宋体"/>
                <w:kern w:val="0"/>
                <w:sz w:val="22"/>
              </w:rPr>
            </w:pPr>
            <w:r>
              <w:rPr>
                <w:rFonts w:ascii="Times New Roman" w:hAnsi="宋体" w:hint="eastAsia"/>
                <w:kern w:val="0"/>
                <w:sz w:val="22"/>
              </w:rPr>
              <w:t>学生必须完成一定数量的作业题，是本课程教学的基本要求，是实现人才培养目标的必要手段。本课程作业布置的要求：每一章节布置</w:t>
            </w:r>
            <w:r>
              <w:rPr>
                <w:rFonts w:ascii="Times New Roman" w:hAnsi="宋体"/>
                <w:kern w:val="0"/>
                <w:sz w:val="22"/>
              </w:rPr>
              <w:t>1~2</w:t>
            </w:r>
            <w:r>
              <w:rPr>
                <w:rFonts w:ascii="Times New Roman" w:hAnsi="宋体" w:hint="eastAsia"/>
                <w:kern w:val="0"/>
                <w:sz w:val="22"/>
              </w:rPr>
              <w:t>次课外作业习题。</w:t>
            </w:r>
          </w:p>
          <w:p w:rsidR="003717A0" w:rsidRDefault="003717A0">
            <w:pPr>
              <w:autoSpaceDE w:val="0"/>
              <w:autoSpaceDN w:val="0"/>
              <w:adjustRightInd w:val="0"/>
              <w:snapToGrid w:val="0"/>
              <w:spacing w:line="360" w:lineRule="exact"/>
              <w:ind w:firstLineChars="150" w:firstLine="330"/>
              <w:jc w:val="left"/>
              <w:rPr>
                <w:rFonts w:ascii="Times New Roman" w:hAnsi="宋体"/>
                <w:kern w:val="0"/>
                <w:sz w:val="22"/>
              </w:rPr>
            </w:pPr>
            <w:r>
              <w:rPr>
                <w:rFonts w:ascii="Times New Roman" w:hAnsi="宋体" w:hint="eastAsia"/>
                <w:kern w:val="0"/>
                <w:sz w:val="22"/>
              </w:rPr>
              <w:t>学生完成的作业必须达到以下基本要求：</w:t>
            </w:r>
          </w:p>
          <w:p w:rsidR="003717A0" w:rsidRDefault="003717A0">
            <w:pPr>
              <w:autoSpaceDE w:val="0"/>
              <w:autoSpaceDN w:val="0"/>
              <w:adjustRightInd w:val="0"/>
              <w:snapToGrid w:val="0"/>
              <w:spacing w:line="360" w:lineRule="exact"/>
              <w:ind w:firstLineChars="4" w:firstLine="9"/>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360" w:lineRule="exact"/>
              <w:ind w:firstLineChars="4" w:firstLine="9"/>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作业本规范，书写清晰；</w:t>
            </w:r>
          </w:p>
          <w:p w:rsidR="003717A0" w:rsidRDefault="003717A0">
            <w:pPr>
              <w:autoSpaceDE w:val="0"/>
              <w:autoSpaceDN w:val="0"/>
              <w:adjustRightInd w:val="0"/>
              <w:snapToGrid w:val="0"/>
              <w:spacing w:line="360" w:lineRule="exact"/>
              <w:ind w:firstLineChars="4" w:firstLine="9"/>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解题方法和步骤正确。</w:t>
            </w:r>
          </w:p>
          <w:p w:rsidR="003717A0" w:rsidRDefault="003717A0">
            <w:pPr>
              <w:autoSpaceDE w:val="0"/>
              <w:autoSpaceDN w:val="0"/>
              <w:adjustRightInd w:val="0"/>
              <w:snapToGrid w:val="0"/>
              <w:spacing w:line="360" w:lineRule="exact"/>
              <w:ind w:firstLineChars="150" w:firstLine="330"/>
              <w:jc w:val="left"/>
              <w:rPr>
                <w:rFonts w:ascii="Times New Roman" w:hAnsi="宋体"/>
                <w:kern w:val="0"/>
                <w:sz w:val="22"/>
              </w:rPr>
            </w:pPr>
            <w:r>
              <w:rPr>
                <w:rFonts w:ascii="Times New Roman" w:hAnsi="宋体" w:hint="eastAsia"/>
                <w:kern w:val="0"/>
                <w:sz w:val="22"/>
              </w:rPr>
              <w:t>教师批改或讲评作业的数量和次数要求如下：</w:t>
            </w:r>
          </w:p>
          <w:p w:rsidR="003717A0" w:rsidRDefault="003717A0">
            <w:pPr>
              <w:autoSpaceDE w:val="0"/>
              <w:autoSpaceDN w:val="0"/>
              <w:adjustRightInd w:val="0"/>
              <w:snapToGrid w:val="0"/>
              <w:spacing w:line="360" w:lineRule="exact"/>
              <w:ind w:firstLineChars="4" w:firstLine="9"/>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学生的作业要全批全改，并按时批改、讲评学生每次交来的作业；</w:t>
            </w:r>
          </w:p>
          <w:p w:rsidR="003717A0" w:rsidRDefault="003717A0">
            <w:pPr>
              <w:autoSpaceDE w:val="0"/>
              <w:autoSpaceDN w:val="0"/>
              <w:adjustRightInd w:val="0"/>
              <w:snapToGrid w:val="0"/>
              <w:spacing w:line="360" w:lineRule="exact"/>
              <w:ind w:firstLineChars="4" w:firstLine="9"/>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教师批改或讲评作业要认真、细致，每次批改或讲评作业后，要评定成绩，并写明日期；</w:t>
            </w:r>
          </w:p>
          <w:p w:rsidR="003717A0" w:rsidRDefault="003717A0">
            <w:pPr>
              <w:autoSpaceDE w:val="0"/>
              <w:autoSpaceDN w:val="0"/>
              <w:adjustRightInd w:val="0"/>
              <w:snapToGrid w:val="0"/>
              <w:spacing w:line="360" w:lineRule="exact"/>
              <w:ind w:firstLineChars="4" w:firstLine="9"/>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作业提交及完成情况作为本课程学期总评成绩中平时成绩的重要组成部分。</w:t>
            </w:r>
          </w:p>
        </w:tc>
      </w:tr>
      <w:tr w:rsidR="003717A0">
        <w:trPr>
          <w:gridAfter w:val="1"/>
          <w:wAfter w:w="27" w:type="dxa"/>
          <w:cantSplit/>
          <w:trHeight w:val="1386"/>
          <w:jc w:val="center"/>
        </w:trPr>
        <w:tc>
          <w:tcPr>
            <w:tcW w:w="602" w:type="dxa"/>
            <w:vMerge/>
            <w:vAlign w:val="center"/>
          </w:tcPr>
          <w:p w:rsidR="003717A0" w:rsidRDefault="003717A0">
            <w:pPr>
              <w:spacing w:line="340" w:lineRule="exact"/>
              <w:ind w:left="113" w:right="113"/>
              <w:jc w:val="center"/>
              <w:rPr>
                <w:rFonts w:ascii="黑体" w:eastAsia="黑体"/>
                <w:b/>
                <w:sz w:val="24"/>
                <w:szCs w:val="24"/>
              </w:rPr>
            </w:pPr>
          </w:p>
        </w:tc>
        <w:tc>
          <w:tcPr>
            <w:tcW w:w="540"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025" w:type="dxa"/>
            <w:vAlign w:val="center"/>
          </w:tcPr>
          <w:p w:rsidR="003717A0" w:rsidRDefault="003717A0">
            <w:pPr>
              <w:autoSpaceDE w:val="0"/>
              <w:autoSpaceDN w:val="0"/>
              <w:adjustRightInd w:val="0"/>
              <w:snapToGrid w:val="0"/>
              <w:ind w:firstLineChars="150" w:firstLine="330"/>
              <w:jc w:val="left"/>
              <w:rPr>
                <w:rFonts w:ascii="Times New Roman" w:hAnsi="宋体"/>
                <w:kern w:val="0"/>
                <w:sz w:val="22"/>
              </w:rPr>
            </w:pPr>
            <w:r>
              <w:rPr>
                <w:rFonts w:ascii="Times New Roman" w:hAnsi="宋体" w:hint="eastAsia"/>
                <w:kern w:val="0"/>
                <w:sz w:val="22"/>
              </w:rPr>
              <w:t>为直接了解学生的学习情况，帮助学生进一步理解和消化课堂上所学知识、改进学习方法和思维方式，培养其独立思考问题的能力，建议任课教师安排时间进行课外答疑与辅导工作，可以使用面对面的答疑方式，也可以借助网络资源实现远程答疑。</w:t>
            </w:r>
          </w:p>
        </w:tc>
      </w:tr>
      <w:tr w:rsidR="003717A0">
        <w:trPr>
          <w:gridAfter w:val="1"/>
          <w:wAfter w:w="27" w:type="dxa"/>
          <w:cantSplit/>
          <w:trHeight w:val="237"/>
          <w:jc w:val="center"/>
        </w:trPr>
        <w:tc>
          <w:tcPr>
            <w:tcW w:w="602" w:type="dxa"/>
            <w:vMerge/>
            <w:vAlign w:val="center"/>
          </w:tcPr>
          <w:p w:rsidR="003717A0" w:rsidRDefault="003717A0">
            <w:pPr>
              <w:spacing w:line="340" w:lineRule="exact"/>
              <w:ind w:left="113" w:right="113"/>
              <w:jc w:val="center"/>
              <w:rPr>
                <w:rFonts w:ascii="黑体" w:eastAsia="黑体"/>
                <w:b/>
                <w:sz w:val="24"/>
                <w:szCs w:val="24"/>
              </w:rPr>
            </w:pPr>
          </w:p>
        </w:tc>
        <w:tc>
          <w:tcPr>
            <w:tcW w:w="540"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w:t>
            </w:r>
            <w:r>
              <w:rPr>
                <w:rFonts w:ascii="黑体" w:eastAsia="黑体"/>
                <w:b/>
                <w:sz w:val="24"/>
                <w:szCs w:val="24"/>
              </w:rPr>
              <w:t xml:space="preserve"> </w:t>
            </w:r>
            <w:r>
              <w:rPr>
                <w:rFonts w:ascii="黑体" w:eastAsia="黑体" w:hint="eastAsia"/>
                <w:b/>
                <w:sz w:val="24"/>
                <w:szCs w:val="24"/>
              </w:rPr>
              <w:t>绩</w:t>
            </w:r>
            <w:r>
              <w:rPr>
                <w:rFonts w:ascii="黑体" w:eastAsia="黑体"/>
                <w:b/>
                <w:sz w:val="24"/>
                <w:szCs w:val="24"/>
              </w:rPr>
              <w:t xml:space="preserve"> </w:t>
            </w:r>
            <w:r>
              <w:rPr>
                <w:rFonts w:ascii="黑体" w:eastAsia="黑体" w:hint="eastAsia"/>
                <w:b/>
                <w:sz w:val="24"/>
                <w:szCs w:val="24"/>
              </w:rPr>
              <w:t>考</w:t>
            </w:r>
            <w:r>
              <w:rPr>
                <w:rFonts w:ascii="黑体" w:eastAsia="黑体"/>
                <w:b/>
                <w:sz w:val="24"/>
                <w:szCs w:val="24"/>
              </w:rPr>
              <w:t xml:space="preserve"> </w:t>
            </w:r>
            <w:r>
              <w:rPr>
                <w:rFonts w:ascii="黑体" w:eastAsia="黑体" w:hint="eastAsia"/>
                <w:b/>
                <w:sz w:val="24"/>
                <w:szCs w:val="24"/>
              </w:rPr>
              <w:t>核</w:t>
            </w:r>
          </w:p>
        </w:tc>
        <w:tc>
          <w:tcPr>
            <w:tcW w:w="8025" w:type="dxa"/>
            <w:vAlign w:val="center"/>
          </w:tcPr>
          <w:p w:rsidR="003717A0" w:rsidRDefault="003717A0">
            <w:pPr>
              <w:autoSpaceDE w:val="0"/>
              <w:autoSpaceDN w:val="0"/>
              <w:adjustRightInd w:val="0"/>
              <w:snapToGrid w:val="0"/>
              <w:ind w:firstLineChars="150" w:firstLine="330"/>
              <w:jc w:val="left"/>
              <w:rPr>
                <w:rFonts w:ascii="Times New Roman" w:hAnsi="宋体"/>
                <w:kern w:val="0"/>
                <w:sz w:val="22"/>
              </w:rPr>
            </w:pPr>
            <w:r>
              <w:rPr>
                <w:rFonts w:ascii="Times New Roman" w:hAnsi="宋体" w:hint="eastAsia"/>
                <w:kern w:val="0"/>
                <w:sz w:val="22"/>
              </w:rPr>
              <w:t>本课程为学期课程，成绩考核的方式：考试。考试时实行全校普本中文、医学等专业统考，即统一命题，统一考试，统一阅卷。考试学期总评成绩的评定方法如下：</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平时成绩和上机考核成绩占总评成绩的</w:t>
            </w:r>
            <w:r>
              <w:rPr>
                <w:rFonts w:ascii="Times New Roman" w:hAnsi="宋体"/>
                <w:kern w:val="0"/>
                <w:sz w:val="22"/>
              </w:rPr>
              <w:t>40%</w:t>
            </w:r>
            <w:r>
              <w:rPr>
                <w:rFonts w:ascii="Times New Roman" w:hAnsi="宋体" w:hint="eastAsia"/>
                <w:kern w:val="0"/>
                <w:sz w:val="22"/>
              </w:rPr>
              <w:t>；</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期末考试成绩占总评成绩的</w:t>
            </w:r>
            <w:r>
              <w:rPr>
                <w:rFonts w:ascii="Times New Roman" w:hAnsi="宋体"/>
                <w:kern w:val="0"/>
                <w:sz w:val="22"/>
              </w:rPr>
              <w:t>60%</w:t>
            </w:r>
            <w:r>
              <w:rPr>
                <w:rFonts w:ascii="Times New Roman" w:hAnsi="宋体" w:hint="eastAsia"/>
                <w:kern w:val="0"/>
                <w:sz w:val="22"/>
              </w:rPr>
              <w:t>；</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有下列情况之一者，平时成绩为不及格：</w:t>
            </w:r>
          </w:p>
          <w:p w:rsidR="003717A0" w:rsidRDefault="003717A0">
            <w:pPr>
              <w:autoSpaceDE w:val="0"/>
              <w:autoSpaceDN w:val="0"/>
              <w:adjustRightInd w:val="0"/>
              <w:snapToGrid w:val="0"/>
              <w:ind w:firstLineChars="104" w:firstLine="229"/>
              <w:jc w:val="lef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）缺交作业次数达</w:t>
            </w:r>
            <w:r>
              <w:rPr>
                <w:rFonts w:ascii="Times New Roman" w:hAnsi="宋体"/>
                <w:kern w:val="0"/>
                <w:sz w:val="22"/>
              </w:rPr>
              <w:t>1/3</w:t>
            </w:r>
            <w:r>
              <w:rPr>
                <w:rFonts w:ascii="Times New Roman" w:hAnsi="宋体" w:hint="eastAsia"/>
                <w:kern w:val="0"/>
                <w:sz w:val="22"/>
              </w:rPr>
              <w:t>以上者；</w:t>
            </w:r>
          </w:p>
          <w:p w:rsidR="003717A0" w:rsidRDefault="003717A0">
            <w:pPr>
              <w:autoSpaceDE w:val="0"/>
              <w:autoSpaceDN w:val="0"/>
              <w:adjustRightInd w:val="0"/>
              <w:snapToGrid w:val="0"/>
              <w:ind w:firstLineChars="104" w:firstLine="229"/>
              <w:jc w:val="lef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1/3</w:t>
            </w:r>
            <w:r>
              <w:rPr>
                <w:rFonts w:ascii="Times New Roman" w:hAnsi="宋体" w:hint="eastAsia"/>
                <w:kern w:val="0"/>
                <w:sz w:val="22"/>
              </w:rPr>
              <w:t>以上者。</w:t>
            </w:r>
          </w:p>
        </w:tc>
      </w:tr>
      <w:tr w:rsidR="003717A0">
        <w:trPr>
          <w:gridAfter w:val="1"/>
          <w:wAfter w:w="27" w:type="dxa"/>
          <w:cantSplit/>
          <w:trHeight w:val="210"/>
          <w:jc w:val="center"/>
        </w:trPr>
        <w:tc>
          <w:tcPr>
            <w:tcW w:w="602" w:type="dxa"/>
            <w:vMerge/>
            <w:vAlign w:val="center"/>
          </w:tcPr>
          <w:p w:rsidR="003717A0" w:rsidRDefault="003717A0">
            <w:pPr>
              <w:spacing w:line="340" w:lineRule="exact"/>
              <w:ind w:left="113" w:right="113"/>
              <w:jc w:val="center"/>
              <w:rPr>
                <w:rFonts w:ascii="黑体" w:eastAsia="黑体"/>
                <w:b/>
                <w:sz w:val="24"/>
                <w:szCs w:val="24"/>
              </w:rPr>
            </w:pPr>
          </w:p>
        </w:tc>
        <w:tc>
          <w:tcPr>
            <w:tcW w:w="540"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w:t>
            </w:r>
            <w:r>
              <w:rPr>
                <w:rFonts w:ascii="黑体" w:eastAsia="黑体"/>
                <w:b/>
                <w:sz w:val="24"/>
                <w:szCs w:val="24"/>
              </w:rPr>
              <w:t xml:space="preserve"> </w:t>
            </w:r>
            <w:r>
              <w:rPr>
                <w:rFonts w:ascii="黑体" w:eastAsia="黑体" w:hint="eastAsia"/>
                <w:b/>
                <w:sz w:val="24"/>
                <w:szCs w:val="24"/>
              </w:rPr>
              <w:t>二</w:t>
            </w:r>
            <w:r>
              <w:rPr>
                <w:rFonts w:ascii="黑体" w:eastAsia="黑体"/>
                <w:b/>
                <w:sz w:val="24"/>
                <w:szCs w:val="24"/>
              </w:rPr>
              <w:t xml:space="preserve"> </w:t>
            </w:r>
            <w:r>
              <w:rPr>
                <w:rFonts w:ascii="黑体" w:eastAsia="黑体" w:hint="eastAsia"/>
                <w:b/>
                <w:sz w:val="24"/>
                <w:szCs w:val="24"/>
              </w:rPr>
              <w:t>课</w:t>
            </w:r>
            <w:r>
              <w:rPr>
                <w:rFonts w:ascii="黑体" w:eastAsia="黑体"/>
                <w:b/>
                <w:sz w:val="24"/>
                <w:szCs w:val="24"/>
              </w:rPr>
              <w:t xml:space="preserve"> </w:t>
            </w:r>
            <w:r>
              <w:rPr>
                <w:rFonts w:ascii="黑体" w:eastAsia="黑体" w:hint="eastAsia"/>
                <w:b/>
                <w:sz w:val="24"/>
                <w:szCs w:val="24"/>
              </w:rPr>
              <w:t>堂</w:t>
            </w:r>
            <w:r>
              <w:rPr>
                <w:rFonts w:ascii="黑体" w:eastAsia="黑体"/>
                <w:b/>
                <w:sz w:val="24"/>
                <w:szCs w:val="24"/>
              </w:rPr>
              <w:t xml:space="preserve"> </w:t>
            </w:r>
            <w:r>
              <w:rPr>
                <w:rFonts w:ascii="黑体" w:eastAsia="黑体" w:hint="eastAsia"/>
                <w:b/>
                <w:sz w:val="24"/>
                <w:szCs w:val="24"/>
              </w:rPr>
              <w:t>活</w:t>
            </w:r>
            <w:r>
              <w:rPr>
                <w:rFonts w:ascii="黑体" w:eastAsia="黑体"/>
                <w:b/>
                <w:sz w:val="24"/>
                <w:szCs w:val="24"/>
              </w:rPr>
              <w:t xml:space="preserve"> </w:t>
            </w:r>
            <w:r>
              <w:rPr>
                <w:rFonts w:ascii="黑体" w:eastAsia="黑体" w:hint="eastAsia"/>
                <w:b/>
                <w:sz w:val="24"/>
                <w:szCs w:val="24"/>
              </w:rPr>
              <w:t>动</w:t>
            </w:r>
          </w:p>
        </w:tc>
        <w:tc>
          <w:tcPr>
            <w:tcW w:w="8025" w:type="dxa"/>
            <w:vAlign w:val="center"/>
          </w:tcPr>
          <w:p w:rsidR="003717A0" w:rsidRDefault="003717A0">
            <w:pPr>
              <w:autoSpaceDE w:val="0"/>
              <w:autoSpaceDN w:val="0"/>
              <w:adjustRightInd w:val="0"/>
              <w:snapToGrid w:val="0"/>
              <w:ind w:firstLineChars="150" w:firstLine="330"/>
              <w:jc w:val="left"/>
              <w:rPr>
                <w:rFonts w:ascii="Times New Roman" w:hAnsi="宋体"/>
                <w:kern w:val="0"/>
                <w:sz w:val="22"/>
              </w:rPr>
            </w:pPr>
            <w:r>
              <w:rPr>
                <w:rFonts w:ascii="Times New Roman" w:hAnsi="宋体" w:hint="eastAsia"/>
                <w:kern w:val="0"/>
                <w:sz w:val="22"/>
              </w:rPr>
              <w:t>根据南通大学全日制本科学生申请学士学位对计算机考试成绩的要求，申请授予法学、教育学、文学、历史学、医学等学士学位者必须通过江苏省普通高校非计算机专业计算机等级考试一级或全国计算机等级考试一级。计算机等级考试是面向社会，用于考查非计算机专业应试人员计算机应用知识与技能的计算机水平考试。学生在学完本课程后，还应准备参加非计算机专业计算机一级考试。建议如下：</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了解最新的计算机等级考试（一级）大纲，明确考试要求、考试范围、考试方式、考试题型、上机环境、</w:t>
            </w:r>
            <w:r>
              <w:rPr>
                <w:rFonts w:ascii="Times New Roman" w:hAnsi="宋体"/>
                <w:kern w:val="0"/>
                <w:sz w:val="22"/>
              </w:rPr>
              <w:t>Office</w:t>
            </w:r>
            <w:r>
              <w:rPr>
                <w:rFonts w:ascii="Times New Roman" w:hAnsi="宋体" w:hint="eastAsia"/>
                <w:kern w:val="0"/>
                <w:sz w:val="22"/>
              </w:rPr>
              <w:t>软件版本等；</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巩固书本上所学知识，理解书本中的重点和难点部分；</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多做历年真题，明确计算机等级考试出题的特点；</w:t>
            </w:r>
          </w:p>
          <w:p w:rsidR="003717A0" w:rsidRDefault="003717A0">
            <w:pPr>
              <w:autoSpaceDE w:val="0"/>
              <w:autoSpaceDN w:val="0"/>
              <w:adjustRightInd w:val="0"/>
              <w:snapToGrid w:val="0"/>
              <w:ind w:firstLineChars="4" w:firstLine="9"/>
              <w:jc w:val="lef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加强上机操作练习。只有通过不断的上机实践，才能发现问题，培养自己独立解决问题的能力，从而提高自己的计算机应用水平。</w:t>
            </w:r>
          </w:p>
        </w:tc>
      </w:tr>
      <w:tr w:rsidR="003717A0">
        <w:trPr>
          <w:gridAfter w:val="1"/>
          <w:wAfter w:w="27" w:type="dxa"/>
          <w:cantSplit/>
          <w:trHeight w:val="501"/>
          <w:jc w:val="center"/>
        </w:trPr>
        <w:tc>
          <w:tcPr>
            <w:tcW w:w="1142"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8025" w:type="dxa"/>
            <w:vAlign w:val="center"/>
          </w:tcPr>
          <w:p w:rsidR="003717A0" w:rsidRDefault="003717A0"/>
        </w:tc>
      </w:tr>
    </w:tbl>
    <w:p w:rsidR="003717A0" w:rsidRDefault="003717A0">
      <w:pPr>
        <w:spacing w:line="340" w:lineRule="exact"/>
        <w:ind w:leftChars="54" w:left="113" w:right="113" w:firstLineChars="3150" w:firstLine="6615"/>
        <w:jc w:val="right"/>
        <w:rPr>
          <w:rFonts w:ascii="Times New Roman" w:hAnsi="Times New Roman"/>
          <w:kern w:val="0"/>
          <w:sz w:val="22"/>
        </w:rPr>
      </w:pPr>
      <w:r>
        <w:t xml:space="preserve">                                                               </w:t>
      </w:r>
    </w:p>
    <w:p w:rsidR="003717A0" w:rsidRDefault="003717A0">
      <w:pPr>
        <w:adjustRightInd w:val="0"/>
        <w:snapToGrid w:val="0"/>
        <w:spacing w:line="500" w:lineRule="exact"/>
        <w:jc w:val="center"/>
        <w:rPr>
          <w:rFonts w:ascii="宋体"/>
          <w:sz w:val="22"/>
        </w:rPr>
      </w:pPr>
    </w:p>
    <w:p w:rsidR="003717A0" w:rsidRPr="00F5156D" w:rsidRDefault="003717A0">
      <w:pPr>
        <w:pStyle w:val="1"/>
        <w:rPr>
          <w:b/>
        </w:rPr>
      </w:pPr>
      <w:r>
        <w:br w:type="page"/>
      </w:r>
      <w:bookmarkStart w:id="2" w:name="_Toc469312973"/>
      <w:bookmarkStart w:id="3" w:name="_Toc471830685"/>
      <w:r w:rsidRPr="00F5156D">
        <w:rPr>
          <w:rFonts w:hint="eastAsia"/>
          <w:b/>
        </w:rPr>
        <w:lastRenderedPageBreak/>
        <w:t>《廉洁教育概论》课程质量标准</w:t>
      </w:r>
      <w:bookmarkEnd w:id="2"/>
      <w:bookmarkEnd w:id="3"/>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449"/>
        <w:gridCol w:w="248"/>
        <w:gridCol w:w="762"/>
        <w:gridCol w:w="761"/>
        <w:gridCol w:w="213"/>
        <w:gridCol w:w="201"/>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10"/>
          </w:tcPr>
          <w:p w:rsidR="003717A0" w:rsidRDefault="003717A0">
            <w:pPr>
              <w:adjustRightInd w:val="0"/>
              <w:snapToGrid w:val="0"/>
              <w:spacing w:line="500" w:lineRule="exact"/>
              <w:jc w:val="center"/>
              <w:rPr>
                <w:sz w:val="22"/>
              </w:rPr>
            </w:pPr>
            <w:r>
              <w:rPr>
                <w:rFonts w:ascii="宋体" w:hAnsi="宋体" w:hint="eastAsia"/>
                <w:sz w:val="22"/>
              </w:rPr>
              <w:t>廉洁教育概论</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10"/>
          </w:tcPr>
          <w:p w:rsidR="003717A0" w:rsidRDefault="003717A0">
            <w:pPr>
              <w:adjustRightInd w:val="0"/>
              <w:snapToGrid w:val="0"/>
              <w:spacing w:line="500" w:lineRule="exact"/>
              <w:jc w:val="center"/>
              <w:rPr>
                <w:sz w:val="22"/>
              </w:rPr>
            </w:pPr>
            <w:r>
              <w:rPr>
                <w:rFonts w:ascii="宋体" w:hAnsi="宋体"/>
                <w:sz w:val="22"/>
              </w:rPr>
              <w:t>Introduction to Integrity Education</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799" w:type="dxa"/>
            <w:gridSpan w:val="3"/>
          </w:tcPr>
          <w:p w:rsidR="003717A0" w:rsidRDefault="003717A0">
            <w:pPr>
              <w:adjustRightInd w:val="0"/>
              <w:snapToGrid w:val="0"/>
              <w:spacing w:line="500" w:lineRule="exact"/>
              <w:jc w:val="center"/>
              <w:rPr>
                <w:sz w:val="22"/>
              </w:rPr>
            </w:pPr>
            <w:r>
              <w:rPr>
                <w:sz w:val="22"/>
              </w:rPr>
              <w:t>240032</w:t>
            </w:r>
          </w:p>
        </w:tc>
        <w:tc>
          <w:tcPr>
            <w:tcW w:w="1984" w:type="dxa"/>
            <w:gridSpan w:val="4"/>
          </w:tcPr>
          <w:p w:rsidR="003717A0" w:rsidRDefault="003717A0">
            <w:pPr>
              <w:adjustRightInd w:val="0"/>
              <w:snapToGrid w:val="0"/>
              <w:spacing w:line="500" w:lineRule="exact"/>
              <w:jc w:val="center"/>
              <w:rPr>
                <w:sz w:val="22"/>
              </w:rPr>
            </w:pPr>
            <w:r>
              <w:rPr>
                <w:rFonts w:hint="eastAsia"/>
                <w:sz w:val="22"/>
              </w:rPr>
              <w:t>课程开设学期</w:t>
            </w:r>
          </w:p>
        </w:tc>
        <w:tc>
          <w:tcPr>
            <w:tcW w:w="2835" w:type="dxa"/>
            <w:gridSpan w:val="3"/>
          </w:tcPr>
          <w:p w:rsidR="003717A0" w:rsidRDefault="003717A0">
            <w:pPr>
              <w:adjustRightInd w:val="0"/>
              <w:snapToGrid w:val="0"/>
              <w:spacing w:line="500" w:lineRule="exact"/>
              <w:jc w:val="center"/>
              <w:rPr>
                <w:sz w:val="22"/>
              </w:rPr>
            </w:pPr>
            <w:r>
              <w:rPr>
                <w:rFonts w:hint="eastAsia"/>
                <w:sz w:val="22"/>
              </w:rPr>
              <w:t>第</w:t>
            </w:r>
            <w:r>
              <w:rPr>
                <w:sz w:val="22"/>
              </w:rPr>
              <w:t>2</w:t>
            </w:r>
            <w:r>
              <w:rPr>
                <w:rFonts w:hint="eastAsia"/>
                <w:sz w:val="22"/>
              </w:rPr>
              <w:t>、</w:t>
            </w:r>
            <w:r>
              <w:rPr>
                <w:sz w:val="22"/>
              </w:rPr>
              <w:t>3</w:t>
            </w:r>
            <w:r>
              <w:rPr>
                <w:rFonts w:hint="eastAsia"/>
                <w:sz w:val="22"/>
              </w:rPr>
              <w:t>学期</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799" w:type="dxa"/>
            <w:gridSpan w:val="3"/>
          </w:tcPr>
          <w:p w:rsidR="003717A0" w:rsidRDefault="003717A0">
            <w:pPr>
              <w:adjustRightInd w:val="0"/>
              <w:snapToGrid w:val="0"/>
              <w:spacing w:line="500" w:lineRule="exact"/>
              <w:jc w:val="center"/>
              <w:rPr>
                <w:sz w:val="22"/>
              </w:rPr>
            </w:pPr>
            <w:r>
              <w:rPr>
                <w:rFonts w:hint="eastAsia"/>
                <w:sz w:val="22"/>
              </w:rPr>
              <w:t>讲授</w:t>
            </w:r>
            <w:r>
              <w:rPr>
                <w:sz w:val="22"/>
              </w:rPr>
              <w:t>12</w:t>
            </w:r>
            <w:r>
              <w:rPr>
                <w:rFonts w:hint="eastAsia"/>
                <w:sz w:val="22"/>
              </w:rPr>
              <w:t>学时</w:t>
            </w:r>
            <w:r>
              <w:rPr>
                <w:sz w:val="22"/>
              </w:rPr>
              <w:t>/</w:t>
            </w:r>
            <w:r>
              <w:rPr>
                <w:rFonts w:hint="eastAsia"/>
                <w:sz w:val="22"/>
              </w:rPr>
              <w:t>实践</w:t>
            </w:r>
            <w:r>
              <w:rPr>
                <w:sz w:val="22"/>
              </w:rPr>
              <w:t>12</w:t>
            </w:r>
            <w:r>
              <w:rPr>
                <w:rFonts w:hint="eastAsia"/>
                <w:sz w:val="22"/>
              </w:rPr>
              <w:t>学时</w:t>
            </w:r>
          </w:p>
        </w:tc>
        <w:tc>
          <w:tcPr>
            <w:tcW w:w="1984" w:type="dxa"/>
            <w:gridSpan w:val="4"/>
          </w:tcPr>
          <w:p w:rsidR="003717A0" w:rsidRDefault="003717A0">
            <w:pPr>
              <w:adjustRightInd w:val="0"/>
              <w:snapToGrid w:val="0"/>
              <w:spacing w:line="500" w:lineRule="exact"/>
              <w:jc w:val="center"/>
              <w:rPr>
                <w:sz w:val="22"/>
              </w:rPr>
            </w:pPr>
            <w:r>
              <w:rPr>
                <w:rFonts w:hint="eastAsia"/>
                <w:sz w:val="22"/>
              </w:rPr>
              <w:t>课程学分</w:t>
            </w:r>
          </w:p>
        </w:tc>
        <w:tc>
          <w:tcPr>
            <w:tcW w:w="2835" w:type="dxa"/>
            <w:gridSpan w:val="3"/>
          </w:tcPr>
          <w:p w:rsidR="003717A0" w:rsidRDefault="003717A0">
            <w:pPr>
              <w:adjustRightInd w:val="0"/>
              <w:snapToGrid w:val="0"/>
              <w:spacing w:line="500" w:lineRule="exact"/>
              <w:jc w:val="center"/>
              <w:rPr>
                <w:sz w:val="22"/>
              </w:rPr>
            </w:pPr>
            <w:r>
              <w:rPr>
                <w:sz w:val="22"/>
              </w:rPr>
              <w:t>1</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10"/>
          </w:tcPr>
          <w:p w:rsidR="003717A0" w:rsidRDefault="003717A0">
            <w:pPr>
              <w:adjustRightInd w:val="0"/>
              <w:snapToGrid w:val="0"/>
              <w:spacing w:line="500" w:lineRule="exact"/>
              <w:jc w:val="center"/>
              <w:rPr>
                <w:sz w:val="22"/>
              </w:rPr>
            </w:pPr>
            <w:r>
              <w:rPr>
                <w:rFonts w:ascii="宋体" w:hAnsi="宋体" w:hint="eastAsia"/>
                <w:szCs w:val="21"/>
              </w:rPr>
              <w:t>■</w:t>
            </w:r>
            <w:r>
              <w:rPr>
                <w:rFonts w:hint="eastAsia"/>
                <w:sz w:val="22"/>
              </w:rPr>
              <w:t>公共基础课</w:t>
            </w:r>
            <w:r>
              <w:rPr>
                <w:rFonts w:ascii="宋体" w:hAnsi="宋体" w:hint="eastAsia"/>
                <w:sz w:val="22"/>
              </w:rPr>
              <w:t>□专业基础课□专业选修课□公共选修课</w:t>
            </w:r>
            <w:r>
              <w:rPr>
                <w:rFonts w:ascii="宋体" w:hAnsi="宋体" w:hint="eastAsia"/>
                <w:szCs w:val="21"/>
              </w:rPr>
              <w:t>■</w:t>
            </w:r>
            <w:r>
              <w:rPr>
                <w:rFonts w:ascii="宋体" w:hAnsi="宋体" w:hint="eastAsia"/>
                <w:sz w:val="22"/>
              </w:rPr>
              <w:t>必修课□选修课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政治学院</w:t>
            </w:r>
          </w:p>
        </w:tc>
        <w:tc>
          <w:tcPr>
            <w:tcW w:w="2634" w:type="dxa"/>
            <w:gridSpan w:val="6"/>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廉政教研室</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10"/>
          </w:tcPr>
          <w:p w:rsidR="003717A0" w:rsidRDefault="003717A0">
            <w:pPr>
              <w:adjustRightInd w:val="0"/>
              <w:snapToGrid w:val="0"/>
              <w:spacing w:line="500" w:lineRule="exact"/>
              <w:rPr>
                <w:sz w:val="22"/>
              </w:rPr>
            </w:pPr>
            <w:r>
              <w:rPr>
                <w:rFonts w:hint="eastAsia"/>
                <w:sz w:val="22"/>
              </w:rPr>
              <w:t>大学生廉洁文化教程</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10"/>
          </w:tcPr>
          <w:p w:rsidR="003717A0" w:rsidRDefault="003717A0">
            <w:pPr>
              <w:adjustRightInd w:val="0"/>
              <w:snapToGrid w:val="0"/>
              <w:spacing w:line="500" w:lineRule="exact"/>
              <w:rPr>
                <w:sz w:val="22"/>
              </w:rPr>
            </w:pPr>
            <w:r>
              <w:rPr>
                <w:rFonts w:hint="eastAsia"/>
                <w:sz w:val="22"/>
              </w:rPr>
              <w:t>南京大学出版社，</w:t>
            </w:r>
            <w:r>
              <w:rPr>
                <w:sz w:val="22"/>
              </w:rPr>
              <w:t>2013</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10"/>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10"/>
          </w:tcPr>
          <w:p w:rsidR="003717A0" w:rsidRDefault="003717A0">
            <w:pPr>
              <w:adjustRightInd w:val="0"/>
              <w:snapToGrid w:val="0"/>
              <w:spacing w:line="50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考查□开卷□闭卷□课程设计</w:t>
            </w:r>
            <w:r>
              <w:rPr>
                <w:rFonts w:ascii="宋体" w:hAnsi="宋体" w:hint="eastAsia"/>
                <w:szCs w:val="21"/>
              </w:rPr>
              <w:t>■</w:t>
            </w:r>
            <w:r>
              <w:rPr>
                <w:rFonts w:ascii="宋体" w:hAnsi="宋体" w:hint="eastAsia"/>
                <w:sz w:val="22"/>
              </w:rPr>
              <w:t>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5"/>
          </w:tcPr>
          <w:p w:rsidR="003717A0" w:rsidRDefault="003717A0">
            <w:pPr>
              <w:adjustRightInd w:val="0"/>
              <w:snapToGrid w:val="0"/>
              <w:spacing w:line="500" w:lineRule="exact"/>
              <w:rPr>
                <w:sz w:val="22"/>
              </w:rPr>
            </w:pPr>
            <w:r>
              <w:rPr>
                <w:rFonts w:hint="eastAsia"/>
                <w:sz w:val="22"/>
              </w:rPr>
              <w:t>平时成绩</w:t>
            </w:r>
            <w:r>
              <w:rPr>
                <w:sz w:val="22"/>
              </w:rPr>
              <w:t xml:space="preserve">  40%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60%</w:t>
            </w:r>
          </w:p>
        </w:tc>
      </w:tr>
      <w:tr w:rsidR="003717A0">
        <w:tc>
          <w:tcPr>
            <w:tcW w:w="9286" w:type="dxa"/>
            <w:gridSpan w:val="11"/>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3"/>
          </w:tcPr>
          <w:p w:rsidR="003717A0" w:rsidRDefault="003717A0">
            <w:pPr>
              <w:adjustRightInd w:val="0"/>
              <w:snapToGrid w:val="0"/>
              <w:spacing w:line="500" w:lineRule="exact"/>
              <w:jc w:val="center"/>
              <w:rPr>
                <w:sz w:val="22"/>
              </w:rPr>
            </w:pPr>
            <w:r>
              <w:rPr>
                <w:rFonts w:hint="eastAsia"/>
                <w:sz w:val="22"/>
              </w:rPr>
              <w:t>学历</w:t>
            </w:r>
          </w:p>
        </w:tc>
        <w:tc>
          <w:tcPr>
            <w:tcW w:w="1523" w:type="dxa"/>
            <w:gridSpan w:val="2"/>
          </w:tcPr>
          <w:p w:rsidR="003717A0" w:rsidRDefault="003717A0">
            <w:pPr>
              <w:adjustRightInd w:val="0"/>
              <w:snapToGrid w:val="0"/>
              <w:spacing w:line="500" w:lineRule="exact"/>
              <w:jc w:val="center"/>
              <w:rPr>
                <w:sz w:val="22"/>
              </w:rPr>
            </w:pPr>
            <w:r>
              <w:rPr>
                <w:rFonts w:hint="eastAsia"/>
                <w:sz w:val="22"/>
              </w:rPr>
              <w:t>学位</w:t>
            </w:r>
          </w:p>
        </w:tc>
        <w:tc>
          <w:tcPr>
            <w:tcW w:w="1524" w:type="dxa"/>
            <w:gridSpan w:val="3"/>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成云雷</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3"/>
          </w:tcPr>
          <w:p w:rsidR="003717A0" w:rsidRDefault="003717A0">
            <w:pPr>
              <w:adjustRightInd w:val="0"/>
              <w:snapToGrid w:val="0"/>
              <w:spacing w:line="500" w:lineRule="exact"/>
              <w:rPr>
                <w:sz w:val="22"/>
              </w:rPr>
            </w:pPr>
            <w:r>
              <w:rPr>
                <w:rFonts w:hint="eastAsia"/>
                <w:sz w:val="22"/>
              </w:rPr>
              <w:t>研究生</w:t>
            </w:r>
          </w:p>
        </w:tc>
        <w:tc>
          <w:tcPr>
            <w:tcW w:w="1523" w:type="dxa"/>
            <w:gridSpan w:val="2"/>
          </w:tcPr>
          <w:p w:rsidR="003717A0" w:rsidRDefault="003717A0">
            <w:pPr>
              <w:adjustRightInd w:val="0"/>
              <w:snapToGrid w:val="0"/>
              <w:spacing w:line="500" w:lineRule="exact"/>
              <w:rPr>
                <w:sz w:val="22"/>
              </w:rPr>
            </w:pPr>
            <w:r>
              <w:rPr>
                <w:rFonts w:hint="eastAsia"/>
                <w:sz w:val="22"/>
              </w:rPr>
              <w:t>博士</w:t>
            </w:r>
          </w:p>
        </w:tc>
        <w:tc>
          <w:tcPr>
            <w:tcW w:w="1524" w:type="dxa"/>
            <w:gridSpan w:val="3"/>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1990</w:t>
            </w:r>
            <w:r>
              <w:rPr>
                <w:rFonts w:hint="eastAsia"/>
                <w:sz w:val="22"/>
              </w:rPr>
              <w:t>年</w:t>
            </w:r>
          </w:p>
        </w:tc>
      </w:tr>
      <w:tr w:rsidR="003717A0">
        <w:tc>
          <w:tcPr>
            <w:tcW w:w="1668" w:type="dxa"/>
          </w:tcPr>
          <w:p w:rsidR="003717A0" w:rsidRDefault="003717A0">
            <w:pPr>
              <w:adjustRightInd w:val="0"/>
              <w:snapToGrid w:val="0"/>
              <w:spacing w:line="500" w:lineRule="exact"/>
              <w:rPr>
                <w:sz w:val="22"/>
              </w:rPr>
            </w:pPr>
            <w:r>
              <w:rPr>
                <w:rFonts w:hint="eastAsia"/>
                <w:sz w:val="22"/>
              </w:rPr>
              <w:t>张馨</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3"/>
          </w:tcPr>
          <w:p w:rsidR="003717A0" w:rsidRDefault="003717A0">
            <w:pPr>
              <w:adjustRightInd w:val="0"/>
              <w:snapToGrid w:val="0"/>
              <w:spacing w:line="500" w:lineRule="exact"/>
              <w:rPr>
                <w:sz w:val="22"/>
              </w:rPr>
            </w:pPr>
            <w:r>
              <w:rPr>
                <w:rFonts w:hint="eastAsia"/>
                <w:sz w:val="22"/>
              </w:rPr>
              <w:t>研究生</w:t>
            </w:r>
          </w:p>
        </w:tc>
        <w:tc>
          <w:tcPr>
            <w:tcW w:w="1523" w:type="dxa"/>
            <w:gridSpan w:val="2"/>
          </w:tcPr>
          <w:p w:rsidR="003717A0" w:rsidRDefault="003717A0">
            <w:pPr>
              <w:adjustRightInd w:val="0"/>
              <w:snapToGrid w:val="0"/>
              <w:spacing w:line="500" w:lineRule="exact"/>
              <w:rPr>
                <w:sz w:val="22"/>
              </w:rPr>
            </w:pPr>
            <w:r>
              <w:rPr>
                <w:rFonts w:hint="eastAsia"/>
                <w:sz w:val="22"/>
              </w:rPr>
              <w:t>硕士</w:t>
            </w:r>
          </w:p>
        </w:tc>
        <w:tc>
          <w:tcPr>
            <w:tcW w:w="1524" w:type="dxa"/>
            <w:gridSpan w:val="3"/>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2002</w:t>
            </w:r>
            <w:r>
              <w:rPr>
                <w:rFonts w:hint="eastAsia"/>
                <w:sz w:val="22"/>
              </w:rPr>
              <w:t>年</w:t>
            </w:r>
          </w:p>
        </w:tc>
      </w:tr>
      <w:tr w:rsidR="003717A0">
        <w:tc>
          <w:tcPr>
            <w:tcW w:w="1668" w:type="dxa"/>
          </w:tcPr>
          <w:p w:rsidR="003717A0" w:rsidRDefault="003717A0">
            <w:pPr>
              <w:adjustRightInd w:val="0"/>
              <w:snapToGrid w:val="0"/>
              <w:spacing w:line="500" w:lineRule="exact"/>
              <w:rPr>
                <w:sz w:val="22"/>
              </w:rPr>
            </w:pPr>
            <w:r>
              <w:rPr>
                <w:rFonts w:hint="eastAsia"/>
                <w:sz w:val="22"/>
              </w:rPr>
              <w:t>朱明</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3"/>
          </w:tcPr>
          <w:p w:rsidR="003717A0" w:rsidRDefault="003717A0">
            <w:pPr>
              <w:adjustRightInd w:val="0"/>
              <w:snapToGrid w:val="0"/>
              <w:spacing w:line="500" w:lineRule="exact"/>
              <w:rPr>
                <w:sz w:val="22"/>
              </w:rPr>
            </w:pPr>
            <w:r>
              <w:rPr>
                <w:rFonts w:hint="eastAsia"/>
                <w:sz w:val="22"/>
              </w:rPr>
              <w:t>本科</w:t>
            </w:r>
          </w:p>
        </w:tc>
        <w:tc>
          <w:tcPr>
            <w:tcW w:w="1523" w:type="dxa"/>
            <w:gridSpan w:val="2"/>
          </w:tcPr>
          <w:p w:rsidR="003717A0" w:rsidRDefault="003717A0">
            <w:pPr>
              <w:adjustRightInd w:val="0"/>
              <w:snapToGrid w:val="0"/>
              <w:spacing w:line="500" w:lineRule="exact"/>
              <w:rPr>
                <w:sz w:val="22"/>
              </w:rPr>
            </w:pPr>
            <w:r>
              <w:rPr>
                <w:rFonts w:hint="eastAsia"/>
                <w:sz w:val="22"/>
              </w:rPr>
              <w:t>学士</w:t>
            </w:r>
          </w:p>
        </w:tc>
        <w:tc>
          <w:tcPr>
            <w:tcW w:w="1524" w:type="dxa"/>
            <w:gridSpan w:val="3"/>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1983</w:t>
            </w:r>
            <w:r>
              <w:rPr>
                <w:rFonts w:hint="eastAsia"/>
                <w:sz w:val="22"/>
              </w:rPr>
              <w:t>年</w:t>
            </w:r>
          </w:p>
        </w:tc>
      </w:tr>
      <w:tr w:rsidR="003717A0">
        <w:tc>
          <w:tcPr>
            <w:tcW w:w="1668" w:type="dxa"/>
          </w:tcPr>
          <w:p w:rsidR="003717A0" w:rsidRDefault="003717A0">
            <w:pPr>
              <w:adjustRightInd w:val="0"/>
              <w:snapToGrid w:val="0"/>
              <w:spacing w:line="500" w:lineRule="exact"/>
              <w:rPr>
                <w:sz w:val="22"/>
              </w:rPr>
            </w:pPr>
            <w:r>
              <w:rPr>
                <w:rFonts w:hint="eastAsia"/>
                <w:sz w:val="22"/>
              </w:rPr>
              <w:t>李世艳</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3"/>
          </w:tcPr>
          <w:p w:rsidR="003717A0" w:rsidRDefault="003717A0">
            <w:pPr>
              <w:adjustRightInd w:val="0"/>
              <w:snapToGrid w:val="0"/>
              <w:spacing w:line="500" w:lineRule="exact"/>
              <w:rPr>
                <w:sz w:val="22"/>
              </w:rPr>
            </w:pPr>
            <w:r>
              <w:rPr>
                <w:rFonts w:hint="eastAsia"/>
                <w:sz w:val="22"/>
              </w:rPr>
              <w:t>研究生</w:t>
            </w:r>
          </w:p>
        </w:tc>
        <w:tc>
          <w:tcPr>
            <w:tcW w:w="1523" w:type="dxa"/>
            <w:gridSpan w:val="2"/>
          </w:tcPr>
          <w:p w:rsidR="003717A0" w:rsidRDefault="003717A0">
            <w:pPr>
              <w:adjustRightInd w:val="0"/>
              <w:snapToGrid w:val="0"/>
              <w:spacing w:line="500" w:lineRule="exact"/>
              <w:rPr>
                <w:sz w:val="22"/>
              </w:rPr>
            </w:pPr>
            <w:r>
              <w:rPr>
                <w:rFonts w:hint="eastAsia"/>
                <w:sz w:val="22"/>
              </w:rPr>
              <w:t>硕士</w:t>
            </w:r>
          </w:p>
        </w:tc>
        <w:tc>
          <w:tcPr>
            <w:tcW w:w="1524" w:type="dxa"/>
            <w:gridSpan w:val="3"/>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2007</w:t>
            </w:r>
            <w:r>
              <w:rPr>
                <w:rFonts w:hint="eastAsia"/>
                <w:sz w:val="22"/>
              </w:rPr>
              <w:t>年</w:t>
            </w:r>
          </w:p>
        </w:tc>
      </w:tr>
      <w:tr w:rsidR="003717A0">
        <w:tc>
          <w:tcPr>
            <w:tcW w:w="1668" w:type="dxa"/>
          </w:tcPr>
          <w:p w:rsidR="003717A0" w:rsidRDefault="003717A0">
            <w:pPr>
              <w:adjustRightInd w:val="0"/>
              <w:snapToGrid w:val="0"/>
              <w:spacing w:line="500" w:lineRule="exact"/>
              <w:rPr>
                <w:sz w:val="22"/>
              </w:rPr>
            </w:pPr>
            <w:r>
              <w:rPr>
                <w:rFonts w:hint="eastAsia"/>
                <w:sz w:val="22"/>
              </w:rPr>
              <w:t>黄红平</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3"/>
          </w:tcPr>
          <w:p w:rsidR="003717A0" w:rsidRDefault="003717A0">
            <w:pPr>
              <w:adjustRightInd w:val="0"/>
              <w:snapToGrid w:val="0"/>
              <w:spacing w:line="500" w:lineRule="exact"/>
              <w:rPr>
                <w:sz w:val="22"/>
              </w:rPr>
            </w:pPr>
            <w:r>
              <w:rPr>
                <w:rFonts w:hint="eastAsia"/>
                <w:sz w:val="22"/>
              </w:rPr>
              <w:t>研究生</w:t>
            </w:r>
          </w:p>
        </w:tc>
        <w:tc>
          <w:tcPr>
            <w:tcW w:w="1523" w:type="dxa"/>
            <w:gridSpan w:val="2"/>
          </w:tcPr>
          <w:p w:rsidR="003717A0" w:rsidRDefault="003717A0">
            <w:pPr>
              <w:adjustRightInd w:val="0"/>
              <w:snapToGrid w:val="0"/>
              <w:spacing w:line="500" w:lineRule="exact"/>
              <w:rPr>
                <w:sz w:val="22"/>
              </w:rPr>
            </w:pPr>
            <w:r>
              <w:rPr>
                <w:rFonts w:hint="eastAsia"/>
                <w:sz w:val="22"/>
              </w:rPr>
              <w:t>博士</w:t>
            </w:r>
          </w:p>
        </w:tc>
        <w:tc>
          <w:tcPr>
            <w:tcW w:w="1524" w:type="dxa"/>
            <w:gridSpan w:val="3"/>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2012</w:t>
            </w:r>
            <w:r>
              <w:rPr>
                <w:rFonts w:hint="eastAsia"/>
                <w:sz w:val="22"/>
              </w:rPr>
              <w:t>年</w:t>
            </w:r>
          </w:p>
        </w:tc>
      </w:tr>
      <w:tr w:rsidR="003717A0">
        <w:tc>
          <w:tcPr>
            <w:tcW w:w="9286" w:type="dxa"/>
            <w:gridSpan w:val="11"/>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1"/>
          </w:tcPr>
          <w:p w:rsidR="003717A0" w:rsidRDefault="003717A0">
            <w:pPr>
              <w:adjustRightInd w:val="0"/>
              <w:snapToGrid w:val="0"/>
              <w:spacing w:line="360" w:lineRule="exact"/>
              <w:ind w:firstLineChars="200" w:firstLine="420"/>
              <w:rPr>
                <w:sz w:val="22"/>
              </w:rPr>
            </w:pPr>
            <w:r>
              <w:rPr>
                <w:rFonts w:ascii="宋体" w:hAnsi="宋体" w:hint="eastAsia"/>
                <w:szCs w:val="21"/>
              </w:rPr>
              <w:t>该课程是面向全校本科生开设的公共必修课，是系统科学的开展高校廉洁教育的重要途径之一。授课内容主要包括</w:t>
            </w:r>
            <w:r>
              <w:rPr>
                <w:rFonts w:hint="eastAsia"/>
                <w:szCs w:val="18"/>
              </w:rPr>
              <w:t>廉洁思想的理论内涵与历史演进，国际国内反腐倡廉建设的总体现状与未来趋势以及大学生廉洁修身的</w:t>
            </w:r>
            <w:r>
              <w:rPr>
                <w:rFonts w:ascii="宋体" w:hAnsi="宋体" w:hint="eastAsia"/>
                <w:szCs w:val="21"/>
              </w:rPr>
              <w:t>意识培养与路径探索等方面。本</w:t>
            </w:r>
            <w:r>
              <w:rPr>
                <w:rFonts w:hint="eastAsia"/>
                <w:szCs w:val="18"/>
              </w:rPr>
              <w:t>课程的目的在于教育学生正确辨识不同的社会思潮和社会现象，认识到反腐倡廉对发展社会主义市场经济，繁荣社会主义文化，实现中华民族伟大复兴的重大意义，自觉遵守国家法律法规和社会道德规范，增强廉洁自律、拒腐反腐的自觉性和责任感，正确运用思想理论武器和法律武器，抵制现实生活中的违法乱纪、腐化堕落行为，不断增强拒腐反腐的能力。</w:t>
            </w:r>
          </w:p>
        </w:tc>
      </w:tr>
    </w:tbl>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适应对象：所有本科专业学生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sz w:val="22"/>
        </w:rPr>
        <w:t>240032</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hint="eastAsia"/>
          <w:sz w:val="22"/>
        </w:rPr>
        <w:t>讲授</w:t>
      </w:r>
      <w:r>
        <w:rPr>
          <w:sz w:val="22"/>
        </w:rPr>
        <w:t>12</w:t>
      </w:r>
      <w:r>
        <w:rPr>
          <w:rFonts w:hint="eastAsia"/>
          <w:sz w:val="22"/>
        </w:rPr>
        <w:t>学时</w:t>
      </w:r>
      <w:r>
        <w:rPr>
          <w:sz w:val="22"/>
        </w:rPr>
        <w:t>/</w:t>
      </w:r>
      <w:r>
        <w:rPr>
          <w:rFonts w:hint="eastAsia"/>
          <w:sz w:val="22"/>
        </w:rPr>
        <w:t>实践</w:t>
      </w:r>
      <w:r>
        <w:rPr>
          <w:sz w:val="22"/>
        </w:rPr>
        <w:t>12</w:t>
      </w:r>
      <w:r>
        <w:rPr>
          <w:rFonts w:hint="eastAsia"/>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1</w:t>
      </w:r>
      <w:r>
        <w:rPr>
          <w:rFonts w:ascii="Times New Roman" w:hAnsi="Times New Roman" w:hint="eastAsia"/>
          <w:kern w:val="0"/>
          <w:sz w:val="22"/>
        </w:rPr>
        <w:t>学分</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无</w:t>
      </w:r>
    </w:p>
    <w:p w:rsidR="003717A0" w:rsidRDefault="003717A0">
      <w:pPr>
        <w:numPr>
          <w:ilvl w:val="0"/>
          <w:numId w:val="2"/>
        </w:num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cs="Times New Roman" w:hint="eastAsia"/>
          <w:b/>
          <w:kern w:val="0"/>
          <w:sz w:val="24"/>
          <w:szCs w:val="24"/>
        </w:rPr>
        <w:t>课程性质与任务：</w:t>
      </w:r>
    </w:p>
    <w:p w:rsidR="003717A0" w:rsidRDefault="003717A0">
      <w:pPr>
        <w:autoSpaceDE w:val="0"/>
        <w:autoSpaceDN w:val="0"/>
        <w:adjustRightInd w:val="0"/>
        <w:snapToGrid w:val="0"/>
        <w:spacing w:line="440" w:lineRule="exact"/>
        <w:jc w:val="left"/>
        <w:rPr>
          <w:szCs w:val="18"/>
        </w:rPr>
      </w:pPr>
      <w:r>
        <w:rPr>
          <w:sz w:val="22"/>
        </w:rPr>
        <w:t xml:space="preserve"> </w:t>
      </w:r>
      <w:r>
        <w:rPr>
          <w:szCs w:val="18"/>
        </w:rPr>
        <w:t xml:space="preserve">   </w:t>
      </w:r>
      <w:r>
        <w:rPr>
          <w:rFonts w:hint="eastAsia"/>
          <w:szCs w:val="18"/>
        </w:rPr>
        <w:t>大学生廉洁教育是高校思想政治教育的重要方面。随着反腐倡廉建设成为社会关注的热点，廉洁教育也已纳入国民教育体系。根据教育部《关于在大中小学全面开展廉洁教育的意见》精神，开展加强大学生廉洁教育不仅是高校全面推进素质教育、强化和改进大学生思想道德建设的必然要求，更是推进高校反腐倡廉建设的重要战略任务。该课程的开设旨在引导学生正确辨识不同的社会思潮和社会现象，认识到反腐倡廉的重大意义，培养学生的守法意识，增强廉洁自律、拒腐反腐的自觉性和责任感，学会正确运用思想理论武器和法律武器抵制现实生活中的违法乱纪、腐化堕落行为，不断增强拒腐反腐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ind w:firstLineChars="200" w:firstLine="420"/>
        <w:jc w:val="left"/>
        <w:rPr>
          <w:szCs w:val="18"/>
        </w:rPr>
      </w:pPr>
      <w:r>
        <w:rPr>
          <w:rFonts w:hint="eastAsia"/>
          <w:szCs w:val="18"/>
        </w:rPr>
        <w:t>本课程通过对大学生开展廉洁基本理论知识和我国反腐倡廉建设情况的介绍，对大学生开展系统的廉洁教育，使他们能够对腐败现象和腐败问题有一个深刻的认知，对国家反腐倡廉建设有较为清晰的了解，能自觉树立正确的廉洁态度和价值观，从而提升自我综合素质，尤其是廉洁治学、廉洁从业的道德素质，构筑其拒腐防变的思想防线。</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课堂教学：</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绪论（</w:t>
      </w:r>
      <w:r>
        <w:rPr>
          <w:rFonts w:ascii="Calibri" w:hAnsi="Calibri" w:cs="Times New Roman"/>
          <w:b/>
          <w:kern w:val="2"/>
          <w:sz w:val="21"/>
          <w:szCs w:val="18"/>
        </w:rPr>
        <w:t>2</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一、廉洁、文化与廉洁文化</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（一）廉洁的基本含义</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（二）文化的基本含义</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w:t>
      </w:r>
      <w:r>
        <w:rPr>
          <w:rFonts w:ascii="Calibri" w:hAnsi="Calibri" w:cs="Times New Roman"/>
          <w:kern w:val="2"/>
          <w:sz w:val="21"/>
          <w:szCs w:val="18"/>
        </w:rPr>
        <w:t>“</w:t>
      </w:r>
      <w:r>
        <w:rPr>
          <w:rFonts w:ascii="Calibri" w:hAnsi="Calibri" w:cs="Times New Roman" w:hint="eastAsia"/>
          <w:kern w:val="2"/>
          <w:sz w:val="21"/>
          <w:szCs w:val="18"/>
        </w:rPr>
        <w:t>廉洁文化</w:t>
      </w:r>
      <w:r>
        <w:rPr>
          <w:rFonts w:ascii="Calibri" w:hAnsi="Calibri" w:cs="Times New Roman"/>
          <w:kern w:val="2"/>
          <w:sz w:val="21"/>
          <w:szCs w:val="18"/>
        </w:rPr>
        <w:t>”</w:t>
      </w:r>
      <w:r>
        <w:rPr>
          <w:rFonts w:ascii="Calibri" w:hAnsi="Calibri" w:cs="Times New Roman" w:hint="eastAsia"/>
          <w:kern w:val="2"/>
          <w:sz w:val="21"/>
          <w:szCs w:val="18"/>
        </w:rPr>
        <w:t>的基本含义</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二、大学生廉洁教育的主要内容和意义</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（一）大学生廉洁教育的主要内容</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（二）大学生廉洁教育的意义</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三、大学生廉洁教育的原则和途径</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（一）大学生廉洁教育的原则</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（二）大学生廉洁教育的途径</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第一篇</w:t>
      </w:r>
      <w:r>
        <w:rPr>
          <w:rFonts w:ascii="Calibri" w:hAnsi="Calibri" w:cs="Times New Roman"/>
          <w:b/>
          <w:kern w:val="2"/>
          <w:sz w:val="21"/>
          <w:szCs w:val="18"/>
        </w:rPr>
        <w:t xml:space="preserve"> </w:t>
      </w:r>
      <w:r>
        <w:rPr>
          <w:rFonts w:ascii="Calibri" w:hAnsi="Calibri" w:cs="Times New Roman" w:hint="eastAsia"/>
          <w:b/>
          <w:kern w:val="2"/>
          <w:sz w:val="21"/>
          <w:szCs w:val="18"/>
        </w:rPr>
        <w:t>理论篇（</w:t>
      </w:r>
      <w:r>
        <w:rPr>
          <w:rFonts w:ascii="Calibri" w:hAnsi="Calibri" w:cs="Times New Roman"/>
          <w:b/>
          <w:kern w:val="2"/>
          <w:sz w:val="21"/>
          <w:szCs w:val="18"/>
        </w:rPr>
        <w:t>2</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一、马克思主义经典作家的廉政文化思想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（一）马克思、恩格斯的廉政文化思想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（二）列宁的廉政文化思想</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lastRenderedPageBreak/>
        <w:t>二、中国共产党第一代领导集体的反腐倡廉思考</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（一）坚持党的宗旨，做人民的勤务员</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（二）开展党风建设，建立廉洁政府</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（三）勤俭节约，艰苦奋斗，发扬党的优良传统</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（四）加强组织建设，从严治党</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三、改革开放以来中国共产党反腐倡廉的理论创新</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（一）邓小平反腐倡廉思想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（二）江泽民反腐倡廉思想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（三）胡锦涛反腐倡廉建设思想</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第二篇</w:t>
      </w:r>
      <w:r>
        <w:rPr>
          <w:rFonts w:ascii="Calibri" w:hAnsi="Calibri" w:cs="Times New Roman"/>
          <w:b/>
          <w:kern w:val="2"/>
          <w:sz w:val="21"/>
          <w:szCs w:val="18"/>
        </w:rPr>
        <w:t xml:space="preserve"> </w:t>
      </w:r>
      <w:r>
        <w:rPr>
          <w:rFonts w:ascii="Calibri" w:hAnsi="Calibri" w:cs="Times New Roman" w:hint="eastAsia"/>
          <w:b/>
          <w:kern w:val="2"/>
          <w:sz w:val="21"/>
          <w:szCs w:val="18"/>
        </w:rPr>
        <w:t>历史篇（</w:t>
      </w:r>
      <w:r>
        <w:rPr>
          <w:rFonts w:ascii="Calibri" w:hAnsi="Calibri" w:cs="Times New Roman"/>
          <w:b/>
          <w:kern w:val="2"/>
          <w:sz w:val="21"/>
          <w:szCs w:val="18"/>
        </w:rPr>
        <w:t>1</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一、中国古代的廉政思想和制度</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（一）中国古代的廉政思想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（二）中国古代的廉政制度</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二、西方古代的廉政思想和制度</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（一）古代西方的廉政思想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（二）西方古代的廉政制度</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三、中西方古代廉政文化的启示</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（一）权力来源思想的启示</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（二）权力制约设想的启示</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（三）廉政制度人性基础的启示</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第三篇</w:t>
      </w:r>
      <w:r>
        <w:rPr>
          <w:rFonts w:ascii="Calibri" w:hAnsi="Calibri" w:cs="Times New Roman"/>
          <w:b/>
          <w:kern w:val="2"/>
          <w:sz w:val="21"/>
          <w:szCs w:val="18"/>
        </w:rPr>
        <w:t xml:space="preserve"> </w:t>
      </w:r>
      <w:r>
        <w:rPr>
          <w:rFonts w:ascii="Calibri" w:hAnsi="Calibri" w:cs="Times New Roman" w:hint="eastAsia"/>
          <w:b/>
          <w:kern w:val="2"/>
          <w:sz w:val="21"/>
          <w:szCs w:val="18"/>
        </w:rPr>
        <w:t>借鉴篇（</w:t>
      </w:r>
      <w:r>
        <w:rPr>
          <w:rFonts w:ascii="Calibri" w:hAnsi="Calibri" w:cs="Times New Roman"/>
          <w:b/>
          <w:kern w:val="2"/>
          <w:sz w:val="21"/>
          <w:szCs w:val="18"/>
        </w:rPr>
        <w:t>2</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一、反腐倡廉的全球透视与发展趋势</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（一）世界各国反腐倡廉的主要做法</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（二）国际上反腐倡廉的有益经验</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（三）全球反腐倡廉的主要趋势</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二、欧美主要发达国家的廉政建设经验</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（一）英国的反腐倡廉机制</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（二）芬兰的廉政建设举措</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（三）美国的廉政建设特点</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三、东亚新兴国家和地区廉政建设</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（一）新加坡廉政建设的成功经验</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（二）廉政公署与香港的廉政建设</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（三）韩国反腐败的主要经验</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第四篇</w:t>
      </w:r>
      <w:r>
        <w:rPr>
          <w:rFonts w:ascii="Calibri" w:hAnsi="Calibri" w:cs="Times New Roman"/>
          <w:b/>
          <w:kern w:val="2"/>
          <w:sz w:val="21"/>
          <w:szCs w:val="18"/>
        </w:rPr>
        <w:t xml:space="preserve"> </w:t>
      </w:r>
      <w:r>
        <w:rPr>
          <w:rFonts w:ascii="Calibri" w:hAnsi="Calibri" w:cs="Times New Roman" w:hint="eastAsia"/>
          <w:b/>
          <w:kern w:val="2"/>
          <w:sz w:val="21"/>
          <w:szCs w:val="18"/>
        </w:rPr>
        <w:t>制度篇（</w:t>
      </w:r>
      <w:r>
        <w:rPr>
          <w:rFonts w:ascii="Calibri" w:hAnsi="Calibri" w:cs="Times New Roman"/>
          <w:b/>
          <w:kern w:val="2"/>
          <w:sz w:val="21"/>
          <w:szCs w:val="18"/>
        </w:rPr>
        <w:t>2</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一、廉洁制度建设的内容、原则及意义</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（一）廉洁制度建设的主要内容</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（二）廉洁制度建设的基本原则</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（三）廉洁制度建设为廉政建设提供制度保证</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二、廉洁制度建设的理论依据</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（一）法治主义：廉洁制度建设的精神要义</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（二）恶性假定：廉洁制度建设的人性基础</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（三）利益刚性：廉洁制度建设的伦理精神</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（四）权力制衡：廉洁制度建设的核心机理</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（五）权利先在：廉洁制度建设的自然法则</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lastRenderedPageBreak/>
        <w:t>三、中国特色反腐倡廉制度体系</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（一）我国反腐倡廉制度建设的历史轨迹</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（二）中国特色反腐倡廉制度体系的基本框架</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（三）进一步推进反腐倡廉制度建设</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第五篇</w:t>
      </w:r>
      <w:r>
        <w:rPr>
          <w:rFonts w:ascii="Calibri" w:hAnsi="Calibri" w:cs="Times New Roman"/>
          <w:b/>
          <w:kern w:val="2"/>
          <w:sz w:val="21"/>
          <w:szCs w:val="18"/>
        </w:rPr>
        <w:t xml:space="preserve"> </w:t>
      </w:r>
      <w:r>
        <w:rPr>
          <w:rFonts w:ascii="Calibri" w:hAnsi="Calibri" w:cs="Times New Roman" w:hint="eastAsia"/>
          <w:b/>
          <w:kern w:val="2"/>
          <w:sz w:val="21"/>
          <w:szCs w:val="18"/>
        </w:rPr>
        <w:t>心理篇（网络自学）</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一、廉洁行为的社会心理</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（一）廉洁行为的社会动机</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（二）廉洁行为的社会认知</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（三）廉洁行为的社会态度</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（四）廉洁行为的社会影响</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（五）廉洁行为的社会文化心理</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二、腐败心理的主要表现及原因</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（一）腐败心理的主要表现</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（二）产生腐败心理的主要原因</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（三）腐败心理的预防与对策</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三、廉洁行为的心理优化途径</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（一）廉洁行为的自我提升</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（二）廉洁行为的人格完善</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（三）廉洁行为的道德心理构建</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（四）廉洁行为的幸福教育</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（五）反腐倡廉的文化生态环境优化</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第六篇</w:t>
      </w:r>
      <w:r>
        <w:rPr>
          <w:rFonts w:ascii="Calibri" w:hAnsi="Calibri" w:cs="Times New Roman"/>
          <w:b/>
          <w:kern w:val="2"/>
          <w:sz w:val="21"/>
          <w:szCs w:val="18"/>
        </w:rPr>
        <w:t xml:space="preserve"> </w:t>
      </w:r>
      <w:r>
        <w:rPr>
          <w:rFonts w:ascii="Calibri" w:hAnsi="Calibri" w:cs="Times New Roman" w:hint="eastAsia"/>
          <w:b/>
          <w:kern w:val="2"/>
          <w:sz w:val="21"/>
          <w:szCs w:val="18"/>
        </w:rPr>
        <w:t>实践篇（</w:t>
      </w:r>
      <w:r>
        <w:rPr>
          <w:rFonts w:ascii="Calibri" w:hAnsi="Calibri" w:cs="Times New Roman"/>
          <w:b/>
          <w:kern w:val="2"/>
          <w:sz w:val="21"/>
          <w:szCs w:val="18"/>
        </w:rPr>
        <w:t>2</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kern w:val="2"/>
          <w:sz w:val="21"/>
          <w:szCs w:val="18"/>
        </w:rPr>
        <w:t xml:space="preserve"> </w:t>
      </w:r>
      <w:r>
        <w:rPr>
          <w:rFonts w:ascii="Calibri" w:hAnsi="Calibri" w:cs="Times New Roman" w:hint="eastAsia"/>
          <w:kern w:val="2"/>
          <w:sz w:val="21"/>
          <w:szCs w:val="18"/>
        </w:rPr>
        <w:t>一、正确认识腐败的生成机制及其危害</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（一）腐败的生成机制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（二）腐败的严重危害性</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二、廉洁意识和技能的培养</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（一）培养廉洁意识和技能的重要性</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（二）培养廉洁意识</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（三）锤炼廉洁技能</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三、廉洁修身应从自身做起</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（一）大学生身边的腐败文化</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（二）促进廉洁修身的重要方面</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（三）廉洁修身的先贤经验与智慧</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第七篇</w:t>
      </w:r>
      <w:r>
        <w:rPr>
          <w:rFonts w:ascii="Calibri" w:hAnsi="Calibri" w:cs="Times New Roman"/>
          <w:b/>
          <w:kern w:val="2"/>
          <w:sz w:val="21"/>
          <w:szCs w:val="18"/>
        </w:rPr>
        <w:t xml:space="preserve"> </w:t>
      </w:r>
      <w:r>
        <w:rPr>
          <w:rFonts w:ascii="Calibri" w:hAnsi="Calibri" w:cs="Times New Roman" w:hint="eastAsia"/>
          <w:b/>
          <w:kern w:val="2"/>
          <w:sz w:val="21"/>
          <w:szCs w:val="18"/>
        </w:rPr>
        <w:t>展望篇（</w:t>
      </w:r>
      <w:r>
        <w:rPr>
          <w:rFonts w:ascii="Calibri" w:hAnsi="Calibri" w:cs="Times New Roman"/>
          <w:b/>
          <w:kern w:val="2"/>
          <w:sz w:val="21"/>
          <w:szCs w:val="18"/>
        </w:rPr>
        <w:t>1</w:t>
      </w:r>
      <w:r>
        <w:rPr>
          <w:rFonts w:ascii="Calibri" w:hAnsi="Calibri" w:cs="Times New Roman" w:hint="eastAsia"/>
          <w:b/>
          <w:kern w:val="2"/>
          <w:sz w:val="21"/>
          <w:szCs w:val="18"/>
        </w:rPr>
        <w:t>学时）</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一、当前有关反腐倡廉热点问题探讨</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（一）关于提高反腐倡廉建设科学化水平</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（二）关于反腐倡廉制度建设</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（三）关于网络反腐</w:t>
      </w:r>
    </w:p>
    <w:p w:rsidR="003717A0" w:rsidRDefault="003717A0">
      <w:pPr>
        <w:pStyle w:val="HTML"/>
        <w:ind w:firstLineChars="300" w:firstLine="630"/>
        <w:rPr>
          <w:rFonts w:ascii="Calibri" w:hAnsi="Calibri" w:cs="Times New Roman"/>
          <w:kern w:val="2"/>
          <w:sz w:val="21"/>
          <w:szCs w:val="18"/>
        </w:rPr>
      </w:pPr>
      <w:r>
        <w:rPr>
          <w:rFonts w:ascii="Calibri" w:hAnsi="Calibri" w:cs="Times New Roman" w:hint="eastAsia"/>
          <w:kern w:val="2"/>
          <w:sz w:val="21"/>
          <w:szCs w:val="18"/>
        </w:rPr>
        <w:t>二、中国特色反腐倡廉展望</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（一）正确认识腐败现象产生的原因及特点</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（二）科学判断反腐倡廉形势，坚定反腐倡廉信心</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（三）加强廉政文化建设，筑牢反腐倡廉的思想防线</w:t>
      </w:r>
    </w:p>
    <w:p w:rsidR="003717A0" w:rsidRDefault="003717A0">
      <w:pPr>
        <w:pStyle w:val="HTML"/>
        <w:ind w:firstLineChars="200" w:firstLine="422"/>
        <w:rPr>
          <w:rFonts w:ascii="Calibri" w:hAnsi="Calibri" w:cs="Times New Roman"/>
          <w:b/>
          <w:kern w:val="2"/>
          <w:sz w:val="21"/>
          <w:szCs w:val="18"/>
        </w:rPr>
      </w:pPr>
      <w:r>
        <w:rPr>
          <w:rFonts w:ascii="Calibri" w:hAnsi="Calibri" w:cs="Times New Roman" w:hint="eastAsia"/>
          <w:b/>
          <w:kern w:val="2"/>
          <w:sz w:val="21"/>
          <w:szCs w:val="18"/>
        </w:rPr>
        <w:t>实践教学：</w:t>
      </w:r>
    </w:p>
    <w:p w:rsidR="003717A0" w:rsidRDefault="003717A0">
      <w:pPr>
        <w:pStyle w:val="HTML"/>
        <w:ind w:firstLineChars="200" w:firstLine="420"/>
        <w:rPr>
          <w:rFonts w:ascii="Calibri" w:hAnsi="Calibri" w:cs="Times New Roman"/>
          <w:kern w:val="2"/>
          <w:sz w:val="21"/>
          <w:szCs w:val="18"/>
        </w:rPr>
      </w:pPr>
      <w:r>
        <w:rPr>
          <w:rFonts w:ascii="Calibri" w:hAnsi="Calibri" w:cs="Times New Roman" w:hint="eastAsia"/>
          <w:kern w:val="2"/>
          <w:sz w:val="21"/>
          <w:szCs w:val="18"/>
        </w:rPr>
        <w:t>网络教学</w:t>
      </w:r>
      <w:r>
        <w:rPr>
          <w:rFonts w:ascii="Calibri" w:hAnsi="Calibri" w:cs="Times New Roman"/>
          <w:kern w:val="2"/>
          <w:sz w:val="21"/>
          <w:szCs w:val="18"/>
        </w:rPr>
        <w:t>6</w:t>
      </w:r>
      <w:r>
        <w:rPr>
          <w:rFonts w:ascii="Calibri" w:hAnsi="Calibri" w:cs="Times New Roman" w:hint="eastAsia"/>
          <w:kern w:val="2"/>
          <w:sz w:val="21"/>
          <w:szCs w:val="18"/>
        </w:rPr>
        <w:t>学时，社会调查</w:t>
      </w:r>
      <w:r>
        <w:rPr>
          <w:rFonts w:ascii="Calibri" w:hAnsi="Calibri" w:cs="Times New Roman"/>
          <w:kern w:val="2"/>
          <w:sz w:val="21"/>
          <w:szCs w:val="18"/>
        </w:rPr>
        <w:t>6</w:t>
      </w:r>
      <w:r>
        <w:rPr>
          <w:rFonts w:ascii="Calibri" w:hAnsi="Calibri" w:cs="Times New Roman" w:hint="eastAsia"/>
          <w:kern w:val="2"/>
          <w:sz w:val="21"/>
          <w:szCs w:val="18"/>
        </w:rPr>
        <w:t>学时。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五、教学设备和设施</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多媒体教室</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多媒体教学课件</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网络教学平台</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本课程采取网络课程测试与学期论文相结合的考核方法。</w:t>
      </w:r>
    </w:p>
    <w:p w:rsidR="003717A0" w:rsidRDefault="003717A0">
      <w:pPr>
        <w:autoSpaceDE w:val="0"/>
        <w:autoSpaceDN w:val="0"/>
        <w:adjustRightInd w:val="0"/>
        <w:ind w:firstLineChars="193" w:firstLine="425"/>
        <w:jc w:val="left"/>
        <w:rPr>
          <w:rFonts w:ascii="Times New Roman" w:eastAsia="黑体" w:hAnsi="Times New Roman"/>
          <w:b/>
          <w:kern w:val="0"/>
          <w:sz w:val="24"/>
          <w:szCs w:val="24"/>
        </w:rPr>
      </w:pPr>
      <w:r>
        <w:rPr>
          <w:rFonts w:ascii="Times New Roman" w:hAnsi="Times New Roman" w:hint="eastAsia"/>
          <w:kern w:val="0"/>
          <w:sz w:val="22"/>
        </w:rPr>
        <w:t>平时成绩占</w:t>
      </w:r>
      <w:r>
        <w:rPr>
          <w:rFonts w:ascii="Times New Roman" w:hAnsi="Times New Roman"/>
          <w:kern w:val="0"/>
          <w:sz w:val="22"/>
        </w:rPr>
        <w:t>40%</w:t>
      </w:r>
      <w:r>
        <w:rPr>
          <w:rFonts w:ascii="Times New Roman" w:hAnsi="Times New Roman" w:hint="eastAsia"/>
          <w:kern w:val="0"/>
          <w:sz w:val="22"/>
        </w:rPr>
        <w:t>，考核成绩占</w:t>
      </w:r>
      <w:r>
        <w:rPr>
          <w:rFonts w:ascii="Times New Roman" w:hAnsi="Times New Roman"/>
          <w:kern w:val="0"/>
          <w:sz w:val="22"/>
        </w:rPr>
        <w:t>60%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ind w:firstLineChars="193" w:firstLine="426"/>
        <w:jc w:val="left"/>
        <w:rPr>
          <w:rFonts w:ascii="Times New Roman" w:hAnsi="Times New Roman"/>
          <w:b/>
          <w:kern w:val="0"/>
          <w:sz w:val="22"/>
        </w:rPr>
      </w:pPr>
      <w:r>
        <w:rPr>
          <w:rFonts w:ascii="Times New Roman" w:hAnsi="Times New Roman" w:hint="eastAsia"/>
          <w:b/>
          <w:kern w:val="0"/>
          <w:sz w:val="22"/>
        </w:rPr>
        <w:t>参考书目：</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《马克思恩格斯全集》、《列宁全集》、《毛泽东选集》（</w:t>
      </w:r>
      <w:r>
        <w:rPr>
          <w:rFonts w:ascii="Times New Roman" w:hAnsi="Times New Roman"/>
          <w:kern w:val="0"/>
          <w:sz w:val="22"/>
        </w:rPr>
        <w:t>1-4</w:t>
      </w:r>
      <w:r>
        <w:rPr>
          <w:rFonts w:ascii="Times New Roman" w:hAnsi="Times New Roman" w:hint="eastAsia"/>
          <w:kern w:val="0"/>
          <w:sz w:val="22"/>
        </w:rPr>
        <w:t>卷）、《邓小平文选》、《江泽民文选》、《中华人民共和国反腐败和廉政建设法规制度全书》、《中国共产党党风廉政建设文献选编》（</w:t>
      </w:r>
      <w:r>
        <w:rPr>
          <w:rFonts w:ascii="Times New Roman" w:hAnsi="Times New Roman"/>
          <w:kern w:val="0"/>
          <w:sz w:val="22"/>
        </w:rPr>
        <w:t>1-8</w:t>
      </w:r>
      <w:r>
        <w:rPr>
          <w:rFonts w:ascii="Times New Roman" w:hAnsi="Times New Roman" w:hint="eastAsia"/>
          <w:kern w:val="0"/>
          <w:sz w:val="22"/>
        </w:rPr>
        <w:t>卷）、《中国共产党反腐倡廉文献选编》、《经济史中的结构变迁》、《腐败症候群：财富权力和民主》、《来自上层的革命：苏联体制的终结》、《自由与权力》、《制度经济学：社会秩序与公共政策》、《变化社会中的政治秩序》、《论法的精神》、《反腐败策略：来自透明国际的报告》、《腐败与政府》、《制约腐败：构建国家廉政体系》、《全球反腐网：世界反贿赂斗争》、《全球青少年廉洁教育概论》、《世界贫困的挑战》、《腐败与全球经济》、《中国廉政史鉴》（</w:t>
      </w:r>
      <w:r>
        <w:rPr>
          <w:rFonts w:ascii="Times New Roman" w:hAnsi="Times New Roman"/>
          <w:kern w:val="0"/>
          <w:sz w:val="22"/>
        </w:rPr>
        <w:t>3</w:t>
      </w:r>
      <w:r>
        <w:rPr>
          <w:rFonts w:ascii="Times New Roman" w:hAnsi="Times New Roman" w:hint="eastAsia"/>
          <w:kern w:val="0"/>
          <w:sz w:val="22"/>
        </w:rPr>
        <w:t>卷）、《中国反贪史》、《廉政史鉴》</w:t>
      </w:r>
    </w:p>
    <w:p w:rsidR="003717A0" w:rsidRDefault="003717A0">
      <w:pPr>
        <w:autoSpaceDE w:val="0"/>
        <w:autoSpaceDN w:val="0"/>
        <w:adjustRightInd w:val="0"/>
        <w:ind w:firstLineChars="193" w:firstLine="426"/>
        <w:jc w:val="left"/>
        <w:rPr>
          <w:rFonts w:ascii="Times New Roman" w:hAnsi="Times New Roman"/>
          <w:b/>
          <w:kern w:val="0"/>
          <w:sz w:val="22"/>
        </w:rPr>
      </w:pPr>
      <w:r>
        <w:rPr>
          <w:rFonts w:ascii="Times New Roman" w:hAnsi="Times New Roman" w:hint="eastAsia"/>
          <w:b/>
          <w:kern w:val="0"/>
          <w:sz w:val="22"/>
        </w:rPr>
        <w:t>网站资源：</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中国廉政网</w:t>
      </w:r>
      <w:r>
        <w:rPr>
          <w:rFonts w:ascii="Times New Roman" w:hAnsi="Times New Roman"/>
          <w:kern w:val="0"/>
          <w:sz w:val="22"/>
        </w:rPr>
        <w:t xml:space="preserve"> http://csr.mos.gov.cn/mos/cms/html/122/index.html</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反腐倡廉</w:t>
      </w:r>
      <w:r>
        <w:rPr>
          <w:rFonts w:ascii="Times New Roman" w:hAnsi="Times New Roman"/>
          <w:kern w:val="0"/>
          <w:sz w:val="22"/>
        </w:rPr>
        <w:t>—</w:t>
      </w:r>
      <w:r>
        <w:rPr>
          <w:rFonts w:ascii="Times New Roman" w:hAnsi="Times New Roman" w:hint="eastAsia"/>
          <w:kern w:val="0"/>
          <w:sz w:val="22"/>
        </w:rPr>
        <w:t>人民网</w:t>
      </w:r>
      <w:r>
        <w:rPr>
          <w:rFonts w:ascii="Times New Roman" w:hAnsi="Times New Roman"/>
          <w:kern w:val="0"/>
          <w:sz w:val="22"/>
        </w:rPr>
        <w:t> http://fanfu.people.com.cn/</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中国反腐倡廉网</w:t>
      </w:r>
      <w:r>
        <w:rPr>
          <w:rFonts w:ascii="Times New Roman" w:hAnsi="Times New Roman"/>
          <w:kern w:val="0"/>
          <w:sz w:val="22"/>
        </w:rPr>
        <w:t>http://www.lianzheng.com.cn/</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中国廉政教研网</w:t>
      </w:r>
      <w:r>
        <w:rPr>
          <w:rFonts w:ascii="Times New Roman" w:hAnsi="Times New Roman"/>
          <w:kern w:val="0"/>
          <w:sz w:val="22"/>
        </w:rPr>
        <w:t> http://www.cpien.org.cn/yjjg/</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中国廉政文化网</w:t>
      </w:r>
      <w:r>
        <w:rPr>
          <w:rFonts w:ascii="Times New Roman" w:hAnsi="Times New Roman"/>
          <w:kern w:val="0"/>
          <w:sz w:val="22"/>
        </w:rPr>
        <w:t> http://www.cnicw.gov.cn/webHtml/index.aspx</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中国大学生廉洁教育在线</w:t>
      </w:r>
      <w:r>
        <w:rPr>
          <w:rFonts w:ascii="Times New Roman" w:hAnsi="Times New Roman"/>
          <w:kern w:val="0"/>
          <w:sz w:val="22"/>
        </w:rPr>
        <w:t> http://www.lianjiejiaoyu.com/</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南通廉政研究中心</w:t>
      </w:r>
      <w:r>
        <w:rPr>
          <w:rFonts w:ascii="Times New Roman" w:hAnsi="Times New Roman"/>
          <w:kern w:val="0"/>
          <w:sz w:val="22"/>
        </w:rPr>
        <w:t> http://lzwh.ntu.edu.cn</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ind w:firstLineChars="3118" w:firstLine="6548"/>
        <w:rPr>
          <w:rFonts w:ascii="黑体" w:eastAsia="黑体" w:hAnsi="黑体"/>
          <w:bCs/>
        </w:rPr>
      </w:pPr>
      <w:r>
        <w:rPr>
          <w:rFonts w:ascii="黑体" w:eastAsia="黑体" w:hAnsi="黑体" w:hint="eastAsia"/>
          <w:bCs/>
        </w:rPr>
        <w:t>制订者：张</w:t>
      </w:r>
      <w:r>
        <w:rPr>
          <w:rFonts w:ascii="黑体" w:eastAsia="黑体" w:hAnsi="黑体"/>
          <w:bCs/>
        </w:rPr>
        <w:t xml:space="preserve">  </w:t>
      </w:r>
      <w:r>
        <w:rPr>
          <w:rFonts w:ascii="黑体" w:eastAsia="黑体" w:hAnsi="黑体" w:hint="eastAsia"/>
          <w:bCs/>
        </w:rPr>
        <w:t>馨</w:t>
      </w:r>
    </w:p>
    <w:p w:rsidR="003717A0" w:rsidRDefault="003717A0">
      <w:pPr>
        <w:ind w:firstLineChars="3118" w:firstLine="6548"/>
        <w:rPr>
          <w:rFonts w:ascii="黑体" w:eastAsia="黑体" w:hAnsi="黑体"/>
          <w:bCs/>
        </w:rPr>
      </w:pPr>
      <w:r>
        <w:rPr>
          <w:rFonts w:ascii="黑体" w:eastAsia="黑体" w:hAnsi="黑体" w:hint="eastAsia"/>
          <w:bCs/>
        </w:rPr>
        <w:t>审核者：李本洲</w:t>
      </w: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eastAsia="黑体" w:hAnsi="Times New Roman"/>
          <w:b/>
          <w:kern w:val="0"/>
          <w:sz w:val="24"/>
          <w:szCs w:val="24"/>
        </w:rPr>
      </w:pPr>
      <w:r>
        <w:rPr>
          <w:rFonts w:ascii="Times New Roman" w:hAnsi="Times New Roman" w:hint="eastAsia"/>
          <w:kern w:val="0"/>
          <w:sz w:val="22"/>
        </w:rPr>
        <w:t>修读完本课程规定内容的全日制在校本科学生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ascii="Times New Roman" w:hAnsi="Times New Roman" w:hint="eastAsia"/>
          <w:kern w:val="0"/>
          <w:sz w:val="22"/>
        </w:rPr>
        <w:t>通过考核来检查和了解学生对本门课程内容的掌握程度，考核学生对廉洁文化基本理论的了解和掌握情况，对目前国内外反腐倡廉建设情况的掌握情况，对腐败问题是否有清晰的认知并树立廉洁修身的自我意识。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40"/>
        <w:jc w:val="left"/>
        <w:rPr>
          <w:rFonts w:ascii="Times New Roman" w:hAnsi="Times New Roman"/>
          <w:kern w:val="0"/>
          <w:sz w:val="22"/>
        </w:rPr>
      </w:pPr>
      <w:r>
        <w:rPr>
          <w:rFonts w:ascii="Times New Roman" w:hAnsi="Times New Roman" w:hint="eastAsia"/>
          <w:kern w:val="0"/>
          <w:sz w:val="22"/>
        </w:rPr>
        <w:t>网络测试与学期论文相结合</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ascii="Times New Roman" w:hAnsi="Times New Roman" w:hint="eastAsia"/>
          <w:kern w:val="0"/>
          <w:sz w:val="22"/>
        </w:rPr>
        <w:t>平时成绩占总成绩的</w:t>
      </w:r>
      <w:r>
        <w:rPr>
          <w:rFonts w:ascii="Times New Roman" w:hAnsi="Times New Roman"/>
          <w:kern w:val="0"/>
          <w:sz w:val="22"/>
        </w:rPr>
        <w:t>40%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60%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3" w:firstLine="425"/>
        <w:jc w:val="left"/>
        <w:rPr>
          <w:rFonts w:ascii="Times New Roman" w:hAnsi="Times New Roman"/>
          <w:kern w:val="0"/>
          <w:sz w:val="22"/>
        </w:rPr>
      </w:pPr>
      <w:r>
        <w:rPr>
          <w:rFonts w:ascii="Times New Roman" w:hAnsi="Times New Roman" w:hint="eastAsia"/>
          <w:kern w:val="0"/>
          <w:sz w:val="22"/>
        </w:rPr>
        <w:t>廉洁文化的内涵、反腐倡廉的理论沿革</w:t>
      </w:r>
    </w:p>
    <w:p w:rsidR="003717A0" w:rsidRDefault="003717A0">
      <w:pPr>
        <w:autoSpaceDE w:val="0"/>
        <w:autoSpaceDN w:val="0"/>
        <w:adjustRightInd w:val="0"/>
        <w:spacing w:line="440" w:lineRule="exact"/>
        <w:ind w:firstLineChars="193" w:firstLine="425"/>
        <w:jc w:val="left"/>
        <w:rPr>
          <w:rFonts w:ascii="Times New Roman" w:hAnsi="Times New Roman"/>
          <w:kern w:val="0"/>
          <w:sz w:val="22"/>
        </w:rPr>
      </w:pPr>
      <w:r>
        <w:rPr>
          <w:rFonts w:ascii="Times New Roman" w:hAnsi="Times New Roman" w:hint="eastAsia"/>
          <w:kern w:val="0"/>
          <w:sz w:val="22"/>
        </w:rPr>
        <w:t>中西方古代廉政思想和制度概况</w:t>
      </w:r>
    </w:p>
    <w:p w:rsidR="003717A0" w:rsidRDefault="003717A0">
      <w:pPr>
        <w:autoSpaceDE w:val="0"/>
        <w:autoSpaceDN w:val="0"/>
        <w:adjustRightInd w:val="0"/>
        <w:spacing w:line="440" w:lineRule="exact"/>
        <w:ind w:firstLineChars="193" w:firstLine="425"/>
        <w:jc w:val="left"/>
        <w:rPr>
          <w:rFonts w:ascii="Times New Roman" w:hAnsi="Times New Roman"/>
          <w:kern w:val="0"/>
          <w:sz w:val="22"/>
        </w:rPr>
      </w:pPr>
      <w:r>
        <w:rPr>
          <w:rFonts w:ascii="Times New Roman" w:hAnsi="Times New Roman" w:hint="eastAsia"/>
          <w:kern w:val="0"/>
          <w:sz w:val="22"/>
        </w:rPr>
        <w:t>全球廉洁国家和地区的优秀做法和经验</w:t>
      </w:r>
    </w:p>
    <w:p w:rsidR="003717A0" w:rsidRDefault="003717A0">
      <w:pPr>
        <w:autoSpaceDE w:val="0"/>
        <w:autoSpaceDN w:val="0"/>
        <w:adjustRightInd w:val="0"/>
        <w:spacing w:line="440" w:lineRule="exact"/>
        <w:ind w:firstLineChars="193" w:firstLine="425"/>
        <w:jc w:val="left"/>
        <w:rPr>
          <w:rFonts w:ascii="Times New Roman" w:hAnsi="Times New Roman"/>
          <w:kern w:val="0"/>
          <w:sz w:val="22"/>
        </w:rPr>
      </w:pPr>
      <w:r>
        <w:rPr>
          <w:rFonts w:ascii="Times New Roman" w:hAnsi="Times New Roman" w:hint="eastAsia"/>
          <w:kern w:val="0"/>
          <w:sz w:val="22"/>
        </w:rPr>
        <w:t>中国特色反腐倡廉制度体系框架与基本内容</w:t>
      </w:r>
    </w:p>
    <w:p w:rsidR="003717A0" w:rsidRDefault="003717A0">
      <w:pPr>
        <w:autoSpaceDE w:val="0"/>
        <w:autoSpaceDN w:val="0"/>
        <w:adjustRightInd w:val="0"/>
        <w:spacing w:line="440" w:lineRule="exact"/>
        <w:ind w:firstLineChars="193" w:firstLine="425"/>
        <w:jc w:val="left"/>
        <w:rPr>
          <w:rFonts w:ascii="Times New Roman" w:hAnsi="Times New Roman"/>
          <w:kern w:val="0"/>
          <w:sz w:val="22"/>
        </w:rPr>
      </w:pPr>
      <w:r>
        <w:rPr>
          <w:rFonts w:ascii="Times New Roman" w:hAnsi="Times New Roman" w:hint="eastAsia"/>
          <w:kern w:val="0"/>
          <w:sz w:val="22"/>
        </w:rPr>
        <w:t>腐败现象产生的原因与特点</w:t>
      </w:r>
    </w:p>
    <w:p w:rsidR="003717A0" w:rsidRDefault="003717A0">
      <w:pPr>
        <w:autoSpaceDE w:val="0"/>
        <w:autoSpaceDN w:val="0"/>
        <w:adjustRightInd w:val="0"/>
        <w:spacing w:line="440" w:lineRule="exact"/>
        <w:ind w:firstLineChars="193" w:firstLine="425"/>
        <w:jc w:val="left"/>
        <w:rPr>
          <w:rFonts w:ascii="Times New Roman" w:hAnsi="Times New Roman"/>
          <w:kern w:val="0"/>
          <w:sz w:val="22"/>
        </w:rPr>
      </w:pPr>
      <w:r>
        <w:rPr>
          <w:rFonts w:ascii="Times New Roman" w:hAnsi="Times New Roman" w:hint="eastAsia"/>
          <w:kern w:val="0"/>
          <w:sz w:val="22"/>
        </w:rPr>
        <w:t>廉洁意识与技能的培养</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440" w:lineRule="exact"/>
        <w:ind w:firstLineChars="200" w:firstLine="420"/>
        <w:jc w:val="left"/>
        <w:rPr>
          <w:szCs w:val="18"/>
        </w:rPr>
      </w:pPr>
      <w:r>
        <w:rPr>
          <w:rFonts w:hint="eastAsia"/>
          <w:szCs w:val="18"/>
        </w:rPr>
        <w:t>以考核廉洁文化、反腐倡廉等基本理论知识作为基本分，重点考查学生对所学知识的运用与转换。网络教学中能充分的自学网络平台上的教学资源，在论坛中能针对案例展开分析与讨论，熟练使用</w:t>
      </w:r>
      <w:r>
        <w:rPr>
          <w:szCs w:val="18"/>
        </w:rPr>
        <w:t>Blackboard</w:t>
      </w:r>
      <w:r>
        <w:rPr>
          <w:rFonts w:hint="eastAsia"/>
          <w:szCs w:val="18"/>
        </w:rPr>
        <w:t>操作平台完成网络测试题目。通过社会调查、学期论文的撰写，考查他们能够对腐败现象和腐败问题是否有较为深刻的认知，是否能自觉树立正确的廉洁态度和价值观，提升道德素质。</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jc w:val="center"/>
        <w:rPr>
          <w:rFonts w:ascii="黑体" w:eastAsia="黑体" w:hAnsi="黑体"/>
          <w:sz w:val="24"/>
          <w:szCs w:val="24"/>
        </w:rPr>
      </w:pPr>
      <w:r>
        <w:rPr>
          <w:rFonts w:ascii="黑体" w:eastAsia="黑体" w:hAnsi="黑体" w:hint="eastAsia"/>
          <w:sz w:val="24"/>
          <w:szCs w:val="24"/>
        </w:rPr>
        <w:t>“廉洁教育概论”课程网络测试题</w:t>
      </w:r>
    </w:p>
    <w:p w:rsidR="003717A0" w:rsidRDefault="003717A0" w:rsidP="005E20B5">
      <w:pPr>
        <w:adjustRightInd w:val="0"/>
        <w:snapToGrid w:val="0"/>
        <w:spacing w:afterLines="50" w:line="240" w:lineRule="exact"/>
        <w:rPr>
          <w:rFonts w:ascii="宋体"/>
          <w:b/>
          <w:szCs w:val="21"/>
        </w:rPr>
      </w:pPr>
      <w:r>
        <w:rPr>
          <w:rFonts w:ascii="宋体" w:hAnsi="宋体" w:hint="eastAsia"/>
          <w:b/>
          <w:szCs w:val="21"/>
        </w:rPr>
        <w:t>选择题（每题</w:t>
      </w:r>
      <w:r>
        <w:rPr>
          <w:rFonts w:ascii="宋体" w:hAnsi="宋体"/>
          <w:b/>
          <w:szCs w:val="21"/>
        </w:rPr>
        <w:t xml:space="preserve"> 4 </w:t>
      </w:r>
      <w:r>
        <w:rPr>
          <w:rFonts w:ascii="宋体" w:hAnsi="宋体" w:hint="eastAsia"/>
          <w:b/>
          <w:szCs w:val="21"/>
        </w:rPr>
        <w:t>分，共</w:t>
      </w:r>
      <w:r>
        <w:rPr>
          <w:rFonts w:ascii="宋体" w:hAnsi="宋体"/>
          <w:b/>
          <w:szCs w:val="21"/>
        </w:rPr>
        <w:t xml:space="preserve"> 25 </w:t>
      </w:r>
      <w:r>
        <w:rPr>
          <w:rFonts w:ascii="宋体" w:hAnsi="宋体" w:hint="eastAsia"/>
          <w:b/>
          <w:szCs w:val="21"/>
        </w:rPr>
        <w:t>题，共</w:t>
      </w:r>
      <w:r>
        <w:rPr>
          <w:rFonts w:ascii="宋体" w:hAnsi="宋体"/>
          <w:b/>
          <w:szCs w:val="21"/>
        </w:rPr>
        <w:t xml:space="preserve">100 </w:t>
      </w:r>
      <w:r>
        <w:rPr>
          <w:rFonts w:ascii="宋体" w:hAnsi="宋体" w:hint="eastAsia"/>
          <w:b/>
          <w:szCs w:val="21"/>
        </w:rPr>
        <w:t>分）</w:t>
      </w:r>
    </w:p>
    <w:p w:rsidR="003717A0" w:rsidRDefault="003717A0" w:rsidP="005E20B5">
      <w:pPr>
        <w:adjustRightInd w:val="0"/>
        <w:snapToGrid w:val="0"/>
        <w:spacing w:afterLines="50"/>
        <w:ind w:left="105" w:hangingChars="50" w:hanging="105"/>
        <w:rPr>
          <w:rFonts w:ascii="宋体"/>
          <w:szCs w:val="21"/>
        </w:rPr>
      </w:pPr>
      <w:r>
        <w:rPr>
          <w:rFonts w:ascii="宋体" w:hAnsi="宋体"/>
          <w:szCs w:val="21"/>
        </w:rPr>
        <w:t xml:space="preserve"> </w:t>
      </w:r>
      <w:r>
        <w:rPr>
          <w:rFonts w:ascii="宋体" w:hAnsi="宋体" w:hint="eastAsia"/>
          <w:szCs w:val="21"/>
        </w:rPr>
        <w:t>例题：由联合国决定设立的</w:t>
      </w:r>
      <w:r>
        <w:rPr>
          <w:rFonts w:ascii="宋体" w:hAnsi="宋体"/>
          <w:szCs w:val="21"/>
        </w:rPr>
        <w:t xml:space="preserve"> 12.9 </w:t>
      </w:r>
      <w:r>
        <w:rPr>
          <w:rFonts w:ascii="宋体" w:hAnsi="宋体" w:hint="eastAsia"/>
          <w:szCs w:val="21"/>
        </w:rPr>
        <w:t>国际反腐败日（</w:t>
      </w:r>
      <w:r>
        <w:rPr>
          <w:rFonts w:ascii="宋体" w:hAnsi="宋体"/>
          <w:szCs w:val="21"/>
        </w:rPr>
        <w:t>International Anti-Corruption Day</w:t>
      </w:r>
      <w:r>
        <w:rPr>
          <w:rFonts w:ascii="宋体" w:hAnsi="宋体" w:hint="eastAsia"/>
          <w:szCs w:val="21"/>
        </w:rPr>
        <w:t>）是从哪一年开始的？</w:t>
      </w:r>
      <w:r>
        <w:rPr>
          <w:rFonts w:ascii="宋体" w:hAnsi="宋体"/>
          <w:szCs w:val="21"/>
        </w:rPr>
        <w:t xml:space="preserve"> </w:t>
      </w: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 xml:space="preserve">1996 </w:t>
      </w:r>
      <w:r>
        <w:rPr>
          <w:rFonts w:ascii="宋体" w:hAnsi="宋体" w:hint="eastAsia"/>
          <w:szCs w:val="21"/>
        </w:rPr>
        <w:t>（</w:t>
      </w:r>
      <w:r>
        <w:rPr>
          <w:rFonts w:ascii="宋体" w:hAnsi="宋体"/>
          <w:szCs w:val="21"/>
        </w:rPr>
        <w:t>2</w:t>
      </w:r>
      <w:r>
        <w:rPr>
          <w:rFonts w:ascii="宋体" w:hAnsi="宋体" w:hint="eastAsia"/>
          <w:szCs w:val="21"/>
        </w:rPr>
        <w:t>）</w:t>
      </w:r>
      <w:r>
        <w:rPr>
          <w:rFonts w:ascii="宋体" w:hAnsi="宋体"/>
          <w:szCs w:val="21"/>
        </w:rPr>
        <w:t xml:space="preserve">2003 </w:t>
      </w:r>
      <w:r>
        <w:rPr>
          <w:rFonts w:ascii="宋体" w:hAnsi="宋体" w:hint="eastAsia"/>
          <w:szCs w:val="21"/>
        </w:rPr>
        <w:t>（</w:t>
      </w:r>
      <w:r>
        <w:rPr>
          <w:rFonts w:ascii="宋体" w:hAnsi="宋体"/>
          <w:szCs w:val="21"/>
        </w:rPr>
        <w:t>3</w:t>
      </w:r>
      <w:r>
        <w:rPr>
          <w:rFonts w:ascii="宋体" w:hAnsi="宋体" w:hint="eastAsia"/>
          <w:szCs w:val="21"/>
        </w:rPr>
        <w:t>）</w:t>
      </w:r>
      <w:r>
        <w:rPr>
          <w:rFonts w:ascii="宋体" w:hAnsi="宋体"/>
          <w:szCs w:val="21"/>
        </w:rPr>
        <w:t xml:space="preserve">2004 </w:t>
      </w:r>
      <w:r>
        <w:rPr>
          <w:rFonts w:ascii="宋体" w:hAnsi="宋体" w:hint="eastAsia"/>
          <w:szCs w:val="21"/>
        </w:rPr>
        <w:t>（</w:t>
      </w:r>
      <w:r>
        <w:rPr>
          <w:rFonts w:ascii="宋体" w:hAnsi="宋体"/>
          <w:szCs w:val="21"/>
        </w:rPr>
        <w:t>4</w:t>
      </w:r>
      <w:r>
        <w:rPr>
          <w:rFonts w:ascii="宋体" w:hAnsi="宋体" w:hint="eastAsia"/>
          <w:szCs w:val="21"/>
        </w:rPr>
        <w:t>）</w:t>
      </w:r>
      <w:r>
        <w:rPr>
          <w:rFonts w:ascii="宋体" w:hAnsi="宋体"/>
          <w:szCs w:val="21"/>
        </w:rPr>
        <w:t>2005</w:t>
      </w: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8"/>
              <w:jc w:val="left"/>
              <w:rPr>
                <w:rFonts w:ascii="Times New Roman" w:hAnsi="宋体"/>
                <w:kern w:val="0"/>
                <w:sz w:val="22"/>
              </w:rPr>
            </w:pPr>
            <w:r>
              <w:rPr>
                <w:rFonts w:ascii="Times New Roman" w:hAnsi="宋体" w:hint="eastAsia"/>
                <w:kern w:val="0"/>
                <w:sz w:val="22"/>
              </w:rPr>
              <w:t>结合当前形势，通俗易懂、深入浅出的讲授相关理论知识，让学生对</w:t>
            </w:r>
            <w:r>
              <w:rPr>
                <w:rFonts w:hint="eastAsia"/>
                <w:szCs w:val="18"/>
              </w:rPr>
              <w:t>廉洁思想的理论内涵与历史演进，国际国内反腐倡廉建设的总体现状与未来趋势有较为清晰的认识，培养大学生廉洁修身的</w:t>
            </w:r>
            <w:r>
              <w:rPr>
                <w:rFonts w:ascii="宋体" w:hAnsi="宋体" w:hint="eastAsia"/>
                <w:szCs w:val="21"/>
              </w:rPr>
              <w:t>意识，</w:t>
            </w:r>
            <w:r>
              <w:rPr>
                <w:rFonts w:hint="eastAsia"/>
                <w:szCs w:val="18"/>
              </w:rPr>
              <w:t>树立正确的廉洁态度和价值观，</w:t>
            </w:r>
            <w:r>
              <w:rPr>
                <w:rFonts w:ascii="宋体" w:hAnsi="宋体" w:hint="eastAsia"/>
                <w:szCs w:val="21"/>
              </w:rPr>
              <w:t>帮助学生探索廉洁技能培养的路径与方法。</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jc w:val="left"/>
              <w:rPr>
                <w:szCs w:val="18"/>
              </w:rPr>
            </w:pPr>
            <w:r>
              <w:rPr>
                <w:szCs w:val="18"/>
              </w:rPr>
              <w:t xml:space="preserve">1. </w:t>
            </w:r>
            <w:r>
              <w:rPr>
                <w:rFonts w:hint="eastAsia"/>
                <w:szCs w:val="18"/>
              </w:rPr>
              <w:t>掌握本课程教学大纲内容，严格按照教学大纲要求进行本课程教学内容的组织；</w:t>
            </w:r>
          </w:p>
          <w:p w:rsidR="003717A0" w:rsidRDefault="003717A0">
            <w:pPr>
              <w:autoSpaceDE w:val="0"/>
              <w:autoSpaceDN w:val="0"/>
              <w:adjustRightInd w:val="0"/>
              <w:snapToGrid w:val="0"/>
              <w:jc w:val="left"/>
              <w:rPr>
                <w:szCs w:val="18"/>
              </w:rPr>
            </w:pPr>
            <w:r>
              <w:rPr>
                <w:szCs w:val="18"/>
              </w:rPr>
              <w:t xml:space="preserve">2. </w:t>
            </w:r>
            <w:r>
              <w:rPr>
                <w:rFonts w:hint="eastAsia"/>
                <w:szCs w:val="18"/>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jc w:val="left"/>
              <w:rPr>
                <w:szCs w:val="18"/>
              </w:rPr>
            </w:pPr>
            <w:r>
              <w:rPr>
                <w:szCs w:val="18"/>
              </w:rPr>
              <w:t xml:space="preserve">3. </w:t>
            </w:r>
            <w:r>
              <w:rPr>
                <w:rFonts w:hint="eastAsia"/>
                <w:szCs w:val="18"/>
              </w:rPr>
              <w:t>结合课程特点，制作课件，运用多媒体教学手段讲授部分教学内容；搭建并不断完善网络授课平台；</w:t>
            </w:r>
          </w:p>
          <w:p w:rsidR="003717A0" w:rsidRDefault="003717A0">
            <w:pPr>
              <w:autoSpaceDE w:val="0"/>
              <w:autoSpaceDN w:val="0"/>
              <w:adjustRightInd w:val="0"/>
              <w:snapToGrid w:val="0"/>
              <w:jc w:val="left"/>
            </w:pPr>
            <w:r>
              <w:rPr>
                <w:szCs w:val="18"/>
              </w:rPr>
              <w:t xml:space="preserve">4. </w:t>
            </w:r>
            <w:r>
              <w:rPr>
                <w:rFonts w:hint="eastAsia"/>
                <w:szCs w:val="18"/>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该课程理论教学主要采用多媒体课堂讲授与网络论坛讨论相结合的形式。力求做到结论正确，条理清晰，重点突出，理论联系实际；</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采用多种教学方式（如启发式教学、案例分析教学、讨论式教学、多媒体示范教学等），注重培养学生的理论素养，提高学生发现、分析和解决问题的能力，以便让学生能体会和领略学科研究的思路和方法；</w:t>
            </w:r>
          </w:p>
          <w:p w:rsidR="003717A0" w:rsidRDefault="003717A0">
            <w:pPr>
              <w:autoSpaceDE w:val="0"/>
              <w:autoSpaceDN w:val="0"/>
              <w:adjustRightInd w:val="0"/>
              <w:snapToGrid w:val="0"/>
              <w:jc w:val="left"/>
            </w:pPr>
            <w:r>
              <w:rPr>
                <w:rFonts w:ascii="Times New Roman" w:hAnsi="宋体"/>
                <w:kern w:val="0"/>
                <w:sz w:val="22"/>
              </w:rPr>
              <w:t xml:space="preserve">3. </w:t>
            </w:r>
            <w:r>
              <w:rPr>
                <w:rFonts w:ascii="Times New Roman" w:hAnsi="宋体" w:hint="eastAsia"/>
                <w:kern w:val="0"/>
                <w:sz w:val="22"/>
              </w:rPr>
              <w:t>借用多媒体教学手段，加强直观教学；调动学生参与讨论的积极性，培养学生独立思考能力。</w:t>
            </w:r>
          </w:p>
        </w:tc>
      </w:tr>
      <w:tr w:rsidR="003717A0">
        <w:trPr>
          <w:gridAfter w:val="1"/>
          <w:wAfter w:w="26" w:type="dxa"/>
          <w:cantSplit/>
          <w:trHeight w:val="1909"/>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宋体"/>
                <w:kern w:val="0"/>
                <w:sz w:val="22"/>
              </w:rPr>
            </w:pPr>
            <w:r>
              <w:rPr>
                <w:rFonts w:hint="eastAsia"/>
              </w:rPr>
              <w:t>习题是重要教学环节之一，学生通过一定量的习题巩固和加深对课程内容的理解，同时也培养运用知识和分析问题的能力。在网络授课阶段，根据教学需要布置自学内容，同时完成网络测试习题。</w:t>
            </w:r>
            <w:r>
              <w:rPr>
                <w:rFonts w:ascii="Times New Roman" w:hAnsi="宋体" w:hint="eastAsia"/>
                <w:kern w:val="0"/>
                <w:sz w:val="22"/>
              </w:rPr>
              <w:t>学生必须在规定时间内完成。期末按百分制评出每个学生作业的总评成绩，作为本课程学期总评成绩中平时成绩的重要组成部分。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为直接了解学生的学习情况，帮助学生进一步理解和消化课堂上所学知识、改进学习方法和思维方式，培养其独立思考问题的能力，任课教师在网络教学时间需要重点进行课外答疑与辅导工作。</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ind w:firstLineChars="193" w:firstLine="425"/>
              <w:jc w:val="left"/>
              <w:rPr>
                <w:rFonts w:ascii="Times New Roman" w:hAnsi="宋体"/>
                <w:kern w:val="0"/>
                <w:sz w:val="22"/>
              </w:rPr>
            </w:pPr>
            <w:r>
              <w:rPr>
                <w:rFonts w:ascii="Times New Roman" w:hAnsi="宋体" w:hint="eastAsia"/>
                <w:kern w:val="0"/>
                <w:sz w:val="22"/>
              </w:rPr>
              <w:t>本课程为学期课程，采取网络测试与学期论文相结合的考核方式。考试学期总评成绩的评定方法如下：</w:t>
            </w:r>
            <w:r>
              <w:rPr>
                <w:rFonts w:ascii="Times New Roman" w:hAnsi="宋体"/>
                <w:kern w:val="0"/>
                <w:sz w:val="22"/>
              </w:rPr>
              <w:t xml:space="preserve">1. </w:t>
            </w:r>
            <w:r>
              <w:rPr>
                <w:rFonts w:ascii="Times New Roman" w:hAnsi="宋体" w:hint="eastAsia"/>
                <w:kern w:val="0"/>
                <w:sz w:val="22"/>
              </w:rPr>
              <w:t>平时上课表现及测试占总评成绩的</w:t>
            </w:r>
            <w:r>
              <w:rPr>
                <w:rFonts w:ascii="Times New Roman" w:hAnsi="宋体"/>
                <w:kern w:val="0"/>
                <w:sz w:val="22"/>
              </w:rPr>
              <w:t>40%</w:t>
            </w:r>
            <w:r>
              <w:rPr>
                <w:rFonts w:ascii="Times New Roman" w:hAnsi="宋体" w:hint="eastAsia"/>
                <w:kern w:val="0"/>
                <w:sz w:val="22"/>
              </w:rPr>
              <w:t>；</w:t>
            </w:r>
            <w:r>
              <w:rPr>
                <w:rFonts w:ascii="Times New Roman" w:hAnsi="宋体"/>
                <w:kern w:val="0"/>
                <w:sz w:val="22"/>
              </w:rPr>
              <w:t xml:space="preserve">2. </w:t>
            </w:r>
            <w:r>
              <w:rPr>
                <w:rFonts w:ascii="Times New Roman" w:hAnsi="宋体" w:hint="eastAsia"/>
                <w:kern w:val="0"/>
                <w:sz w:val="22"/>
              </w:rPr>
              <w:t>学期论文成绩占总评成绩的</w:t>
            </w:r>
            <w:r>
              <w:rPr>
                <w:rFonts w:ascii="Times New Roman" w:hAnsi="宋体"/>
                <w:kern w:val="0"/>
                <w:sz w:val="22"/>
              </w:rPr>
              <w:t>60%</w:t>
            </w:r>
            <w:r>
              <w:rPr>
                <w:rFonts w:ascii="Times New Roman" w:hAnsi="宋体" w:hint="eastAsia"/>
                <w:kern w:val="0"/>
                <w:sz w:val="22"/>
              </w:rPr>
              <w:t>；</w:t>
            </w:r>
            <w:r>
              <w:rPr>
                <w:rFonts w:ascii="Times New Roman" w:hAnsi="宋体"/>
                <w:kern w:val="0"/>
                <w:sz w:val="22"/>
              </w:rPr>
              <w:t xml:space="preserve">3. </w:t>
            </w:r>
            <w:r>
              <w:rPr>
                <w:rFonts w:ascii="Times New Roman" w:hAnsi="宋体" w:hint="eastAsia"/>
                <w:kern w:val="0"/>
                <w:sz w:val="22"/>
              </w:rPr>
              <w:t>有不参与网络课程学习或缺课达本学期总授课学时</w:t>
            </w:r>
            <w:r>
              <w:rPr>
                <w:rFonts w:ascii="Times New Roman" w:hAnsi="宋体"/>
                <w:kern w:val="0"/>
                <w:sz w:val="22"/>
              </w:rPr>
              <w:t>1/3</w:t>
            </w:r>
            <w:r>
              <w:rPr>
                <w:rFonts w:ascii="Times New Roman" w:hAnsi="宋体" w:hint="eastAsia"/>
                <w:kern w:val="0"/>
                <w:sz w:val="22"/>
              </w:rPr>
              <w:t>以上者，总评成绩为不及格。</w:t>
            </w:r>
          </w:p>
        </w:tc>
      </w:tr>
      <w:tr w:rsidR="003717A0">
        <w:trPr>
          <w:gridAfter w:val="1"/>
          <w:wAfter w:w="26" w:type="dxa"/>
          <w:cantSplit/>
          <w:trHeight w:val="1679"/>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1.</w:t>
            </w:r>
            <w:r>
              <w:rPr>
                <w:rFonts w:ascii="Times New Roman" w:hAnsi="宋体" w:hint="eastAsia"/>
                <w:kern w:val="0"/>
                <w:sz w:val="22"/>
              </w:rPr>
              <w:t>引导学生围绕热点问题或经典案例展开网络讨论或课堂辩论，培养学生理论联系实际的能力；</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2.</w:t>
            </w:r>
            <w:r>
              <w:rPr>
                <w:rFonts w:ascii="Times New Roman" w:hAnsi="宋体" w:hint="eastAsia"/>
                <w:kern w:val="0"/>
                <w:sz w:val="22"/>
              </w:rPr>
              <w:t>借助网络平台，与学生进行相关专题的讨论，帮助学生明辨是非，拓宽视野，提高理论素养。</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bookmarkStart w:id="4" w:name="_Toc469312974"/>
      <w:bookmarkStart w:id="5" w:name="_Toc471830686"/>
      <w:r w:rsidRPr="00F5156D">
        <w:rPr>
          <w:rFonts w:hint="eastAsia"/>
          <w:b/>
        </w:rPr>
        <w:lastRenderedPageBreak/>
        <w:t>《马克思主义基本原理概论》课程质量标准</w:t>
      </w:r>
      <w:bookmarkEnd w:id="4"/>
      <w:bookmarkEnd w:id="5"/>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马克思主义基本原理概论</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Introduction to the Principle of Marxism</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030376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一、二</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48</w:t>
            </w:r>
            <w:r>
              <w:rPr>
                <w:rFonts w:hint="eastAsia"/>
                <w:sz w:val="22"/>
              </w:rPr>
              <w:t>（</w:t>
            </w:r>
            <w:r>
              <w:rPr>
                <w:sz w:val="22"/>
              </w:rPr>
              <w:t>12</w:t>
            </w:r>
            <w:r>
              <w:rPr>
                <w:rFonts w:hint="eastAsia"/>
                <w:sz w:val="22"/>
              </w:rPr>
              <w:t>）</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□专业基础课□专业选修课□公共选修课□√必修课□选修课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政治学院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马克思主义基本原理</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马克思主义基本原理概论（</w:t>
            </w:r>
            <w:r>
              <w:rPr>
                <w:sz w:val="22"/>
              </w:rPr>
              <w:t>2015</w:t>
            </w:r>
            <w:r>
              <w:rPr>
                <w:rFonts w:hint="eastAsia"/>
                <w:sz w:val="22"/>
              </w:rPr>
              <w:t>年修订版）</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高等教育出版社，</w:t>
            </w:r>
            <w:r>
              <w:rPr>
                <w:sz w:val="22"/>
              </w:rPr>
              <w:t>2015</w:t>
            </w:r>
            <w:r>
              <w:rPr>
                <w:rFonts w:hint="eastAsia"/>
                <w:sz w:val="22"/>
              </w:rPr>
              <w:t>年</w:t>
            </w:r>
            <w:r>
              <w:rPr>
                <w:sz w:val="22"/>
              </w:rPr>
              <w:t>8</w:t>
            </w:r>
            <w:r>
              <w:rPr>
                <w:rFonts w:hint="eastAsia"/>
                <w:sz w:val="22"/>
              </w:rPr>
              <w:t>月第</w:t>
            </w:r>
            <w:r>
              <w:rPr>
                <w:sz w:val="22"/>
              </w:rPr>
              <w:t>6</w:t>
            </w:r>
            <w:r>
              <w:rPr>
                <w:rFonts w:hint="eastAsia"/>
                <w:sz w:val="22"/>
              </w:rPr>
              <w:t>版，书号：</w:t>
            </w:r>
            <w:r>
              <w:rPr>
                <w:sz w:val="22"/>
              </w:rPr>
              <w:t>ISBN 978-7-04-043197-1</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□考试□√考查□开卷□闭卷□课程设计□学期论文□其他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40%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60%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顾玉平</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1983.08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孙国志</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1998.08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张中文</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1987.08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方锦华</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大学</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1986.08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王玉玲</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2002.08</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sz w:val="22"/>
              </w:rPr>
              <w:t>本课程是根据</w:t>
            </w:r>
            <w:r>
              <w:rPr>
                <w:sz w:val="22"/>
              </w:rPr>
              <w:t>2005</w:t>
            </w:r>
            <w:r>
              <w:rPr>
                <w:rFonts w:hint="eastAsia"/>
                <w:sz w:val="22"/>
              </w:rPr>
              <w:t>年《</w:t>
            </w:r>
            <w:r>
              <w:rPr>
                <w:sz w:val="22"/>
              </w:rPr>
              <w:t>&lt;</w:t>
            </w:r>
            <w:r>
              <w:rPr>
                <w:rFonts w:hint="eastAsia"/>
                <w:sz w:val="22"/>
              </w:rPr>
              <w:t>中共中央宣传部</w:t>
            </w:r>
            <w:r>
              <w:rPr>
                <w:sz w:val="22"/>
              </w:rPr>
              <w:t xml:space="preserve"> </w:t>
            </w:r>
            <w:r>
              <w:rPr>
                <w:rFonts w:hint="eastAsia"/>
                <w:sz w:val="22"/>
              </w:rPr>
              <w:t>教育部关于进一步加强和改进高等学校思想政治理论课的意见</w:t>
            </w:r>
            <w:r>
              <w:rPr>
                <w:sz w:val="22"/>
              </w:rPr>
              <w:t>&gt;</w:t>
            </w:r>
            <w:r>
              <w:rPr>
                <w:rFonts w:hint="eastAsia"/>
                <w:sz w:val="22"/>
              </w:rPr>
              <w:t>实施方案》设立的，是我国高校本专科学生必修的一门思想政治理论课。本课程紧紧围绕什么是马克思主义，为什么要始终坚持马克思主义，如何坚持和发展马克思主义这个主题，以阐释马克思主义世界观、方法论为重点，以人类社会发展的基本规律为主线，全面阐明马克思主义的基本理论、基本立场、基本观点和基本方法。</w:t>
            </w:r>
          </w:p>
        </w:tc>
      </w:tr>
    </w:tbl>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适应对象：本科层次，所有专业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030376</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48</w:t>
      </w:r>
      <w:r>
        <w:rPr>
          <w:rFonts w:ascii="Times New Roman" w:hAnsi="Times New Roman" w:hint="eastAsia"/>
          <w:kern w:val="0"/>
          <w:sz w:val="22"/>
        </w:rPr>
        <w:t>（</w:t>
      </w:r>
      <w:r>
        <w:rPr>
          <w:rFonts w:ascii="Times New Roman" w:hAnsi="Times New Roman"/>
          <w:kern w:val="0"/>
          <w:sz w:val="22"/>
        </w:rPr>
        <w:t>12</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3</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无</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本课程是根据</w:t>
      </w:r>
      <w:r>
        <w:rPr>
          <w:sz w:val="22"/>
        </w:rPr>
        <w:t>2005</w:t>
      </w:r>
      <w:r>
        <w:rPr>
          <w:rFonts w:hint="eastAsia"/>
          <w:sz w:val="22"/>
        </w:rPr>
        <w:t>年《</w:t>
      </w:r>
      <w:r>
        <w:rPr>
          <w:sz w:val="22"/>
        </w:rPr>
        <w:t>&lt;</w:t>
      </w:r>
      <w:r>
        <w:rPr>
          <w:rFonts w:hint="eastAsia"/>
          <w:sz w:val="22"/>
        </w:rPr>
        <w:t>中共中央宣传部</w:t>
      </w:r>
      <w:r>
        <w:rPr>
          <w:sz w:val="22"/>
        </w:rPr>
        <w:t xml:space="preserve"> </w:t>
      </w:r>
      <w:r>
        <w:rPr>
          <w:rFonts w:hint="eastAsia"/>
          <w:sz w:val="22"/>
        </w:rPr>
        <w:t>教育部关于进一步加强和改进高等学校思想政治理论课的意见</w:t>
      </w:r>
      <w:r>
        <w:rPr>
          <w:sz w:val="22"/>
        </w:rPr>
        <w:t>&gt;</w:t>
      </w:r>
      <w:r>
        <w:rPr>
          <w:rFonts w:hint="eastAsia"/>
          <w:sz w:val="22"/>
        </w:rPr>
        <w:t>实施方案》设立的，是我国高校本专科学生必修的一门思想政治理论课。</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本课程重点学习马克思主义世界观和方法论，从整体上把握马克思主义基本原理，正确认识人类社会发展规律，具体包含正确认识物质世界的发展规律，资本主义社会的发展规律，和社会主义社会的发展规律。要求学生了解马克思主义基本原理，理解马克思主义理论是无产阶级及其政党观察问题、变革现实的世界观和方法论，学会运用马克思主义的立场、观点与方法去分析和解决问题，为社会主义事业努力奋斗。通过教师的教育教学，理论联系实际，帮助学生联系改革开放和社会主义现代化建设的实际，深刻理解和把握马克思主义基本原理的精神实质，提高运用科学理论分析和解决实际问题的能力。</w:t>
      </w:r>
      <w:r>
        <w:rPr>
          <w:rFonts w:ascii="Times New Roman" w:eastAsia="黑体" w:hAnsi="Times New Roman"/>
          <w:b/>
          <w:kern w:val="0"/>
          <w:sz w:val="24"/>
          <w:szCs w:val="24"/>
        </w:rPr>
        <w:t xml:space="preserve"> </w:t>
      </w:r>
    </w:p>
    <w:p w:rsidR="003717A0" w:rsidRDefault="003717A0">
      <w:pPr>
        <w:autoSpaceDE w:val="0"/>
        <w:autoSpaceDN w:val="0"/>
        <w:adjustRightInd w:val="0"/>
        <w:snapToGrid w:val="0"/>
        <w:spacing w:line="440" w:lineRule="exact"/>
        <w:ind w:firstLineChars="196" w:firstLine="472"/>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ind w:firstLine="432"/>
        <w:jc w:val="left"/>
        <w:rPr>
          <w:sz w:val="22"/>
        </w:rPr>
      </w:pPr>
      <w:r>
        <w:rPr>
          <w:rFonts w:hint="eastAsia"/>
          <w:sz w:val="22"/>
        </w:rPr>
        <w:t>该课程理论教学的基本任务：通过对本门课程的学习，对学生进行系统的马克思主义理论教育，帮助学生掌握马克思主义的世界观和方法论，树立马克思主义的人生观和价值观，学会用马克思主义的世界观和方法论观察和分析问题，培养和提高学生运用马克思主义理论分析和解决实际问题的能力。为学生确立建设中国特色社会主义的理想信念，自觉地坚持党的基本理论、基本路线和基本纲领打下扎实的理论基础。</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绪论（</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一、马克思主义和马克思主义基本原理</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二、马克思主义的创立和发展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三、马克思主义的鲜明特征</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四、自觉学习和运用马克思主义</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第一章</w:t>
      </w:r>
      <w:r>
        <w:rPr>
          <w:rFonts w:ascii="黑体" w:eastAsia="黑体"/>
          <w:b/>
          <w:sz w:val="22"/>
        </w:rPr>
        <w:t xml:space="preserve">  </w:t>
      </w:r>
      <w:r>
        <w:rPr>
          <w:rFonts w:ascii="黑体" w:eastAsia="黑体" w:hint="eastAsia"/>
          <w:b/>
          <w:sz w:val="22"/>
        </w:rPr>
        <w:t>世界的物质性及其发展规律（</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第一节</w:t>
      </w:r>
      <w:r>
        <w:rPr>
          <w:sz w:val="22"/>
        </w:rPr>
        <w:t xml:space="preserve"> </w:t>
      </w:r>
      <w:r>
        <w:rPr>
          <w:rFonts w:hint="eastAsia"/>
          <w:sz w:val="22"/>
        </w:rPr>
        <w:t>世界的物质性</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一、物质及其存在形态</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lastRenderedPageBreak/>
        <w:t>二、物质与意识的辩证关系</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三、世界统一于物质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事物的普遍联系与永恒发展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一、联系和发展的普遍性</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二、对立统一规律是事物发展的根本规律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第三节</w:t>
      </w:r>
      <w:r>
        <w:rPr>
          <w:sz w:val="22"/>
        </w:rPr>
        <w:t xml:space="preserve"> </w:t>
      </w:r>
      <w:r>
        <w:rPr>
          <w:rFonts w:hint="eastAsia"/>
          <w:sz w:val="22"/>
        </w:rPr>
        <w:t>唯物辩证法是认识世界和改造世界的根本方法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一、唯物辩证法是科学的认识方法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二、辩证思维方法与现代科学思维方法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三、以唯物辩证法为指导，不断增强思维能力</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第二章</w:t>
      </w:r>
      <w:r>
        <w:rPr>
          <w:rFonts w:ascii="黑体" w:eastAsia="黑体"/>
          <w:b/>
          <w:sz w:val="22"/>
        </w:rPr>
        <w:t xml:space="preserve">  </w:t>
      </w:r>
      <w:r>
        <w:rPr>
          <w:rFonts w:ascii="黑体" w:eastAsia="黑体" w:hint="eastAsia"/>
          <w:b/>
          <w:sz w:val="22"/>
        </w:rPr>
        <w:t>认识的本质及其发展规律（</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第一节</w:t>
      </w:r>
      <w:r>
        <w:rPr>
          <w:sz w:val="22"/>
        </w:rPr>
        <w:t xml:space="preserve"> </w:t>
      </w:r>
      <w:r>
        <w:rPr>
          <w:rFonts w:hint="eastAsia"/>
          <w:sz w:val="22"/>
        </w:rPr>
        <w:t>认识与实践</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一、实践是认识的基础</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二、认识是主体对客体的能动反映</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三、认识运动的基本规律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真理与价值</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一、真理的客观性、绝对性和相对性</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二、真理的检验标准</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三、真理与价值的辩证统一</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第三节</w:t>
      </w:r>
      <w:r>
        <w:rPr>
          <w:sz w:val="22"/>
        </w:rPr>
        <w:t xml:space="preserve"> </w:t>
      </w:r>
      <w:r>
        <w:rPr>
          <w:rFonts w:hint="eastAsia"/>
          <w:sz w:val="22"/>
        </w:rPr>
        <w:t>认识世界和改造世界</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一、认识世界和改造世界相结合</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二、从必然走向自由</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三、一切从实际出发，实事求是</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第三章</w:t>
      </w:r>
      <w:r>
        <w:rPr>
          <w:rFonts w:ascii="黑体" w:eastAsia="黑体"/>
          <w:b/>
          <w:sz w:val="22"/>
        </w:rPr>
        <w:t xml:space="preserve">  </w:t>
      </w:r>
      <w:r>
        <w:rPr>
          <w:rFonts w:ascii="黑体" w:eastAsia="黑体" w:hint="eastAsia"/>
          <w:b/>
          <w:sz w:val="22"/>
        </w:rPr>
        <w:t>人类社会及其发展规律（</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第一节</w:t>
      </w:r>
      <w:r>
        <w:rPr>
          <w:sz w:val="22"/>
        </w:rPr>
        <w:t xml:space="preserve"> </w:t>
      </w:r>
      <w:r>
        <w:rPr>
          <w:rFonts w:hint="eastAsia"/>
          <w:sz w:val="22"/>
        </w:rPr>
        <w:t>社会基本矛盾及其运动规律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一、社会存在与社会意识</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二、生产力与生产关系矛盾运动的规律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三、经济基础与上层建筑矛盾运动的规律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四、社会形态更替的一般规律及特殊形式</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社会历史发展的动力</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一、社会基本矛盾是社会发展的根本动力</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二、阶级斗争和社会革命在阶级社会发展中的作用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lastRenderedPageBreak/>
        <w:t>三、改革在社会发展中的作用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四、科学技术在社会发展中的作用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第三节</w:t>
      </w:r>
      <w:r>
        <w:rPr>
          <w:sz w:val="22"/>
        </w:rPr>
        <w:t xml:space="preserve"> </w:t>
      </w:r>
      <w:r>
        <w:rPr>
          <w:rFonts w:hint="eastAsia"/>
          <w:sz w:val="22"/>
        </w:rPr>
        <w:t>人民群众在历史发展中的作用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一、人民群众是历史的创造者</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二、个人在社会历史中的作用</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第四章</w:t>
      </w:r>
      <w:r>
        <w:rPr>
          <w:rFonts w:ascii="黑体" w:eastAsia="黑体"/>
          <w:b/>
          <w:sz w:val="22"/>
        </w:rPr>
        <w:t xml:space="preserve">  </w:t>
      </w:r>
      <w:r>
        <w:rPr>
          <w:rFonts w:ascii="黑体" w:eastAsia="黑体" w:hint="eastAsia"/>
          <w:b/>
          <w:sz w:val="22"/>
        </w:rPr>
        <w:t>资本主义的本质及规律（</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第一节</w:t>
      </w:r>
      <w:r>
        <w:rPr>
          <w:sz w:val="22"/>
        </w:rPr>
        <w:t xml:space="preserve"> </w:t>
      </w:r>
      <w:r>
        <w:rPr>
          <w:rFonts w:hint="eastAsia"/>
          <w:sz w:val="22"/>
        </w:rPr>
        <w:t>商品经济和价值规律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一、商品经济的形成和发展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二、价值规律及其作用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三、以私有制为基础的商品经济的基本矛盾</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四、科学认识马克思劳动价值论</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资本主义经济制度的本质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一、资本主义经济制度的产生</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二、劳动力成为商品与货币转化为资本</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三、资本主义所有制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四、生产剩余价值是资本主义生产方式的绝对规律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第三节</w:t>
      </w:r>
      <w:r>
        <w:rPr>
          <w:sz w:val="22"/>
        </w:rPr>
        <w:t xml:space="preserve"> </w:t>
      </w:r>
      <w:r>
        <w:rPr>
          <w:rFonts w:hint="eastAsia"/>
          <w:sz w:val="22"/>
        </w:rPr>
        <w:t>资本主义的政治制度和意识形态</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一、资本主义政治制度及其本质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二、资本主义意识形态及其本质</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第五章</w:t>
      </w:r>
      <w:r>
        <w:rPr>
          <w:rFonts w:ascii="黑体" w:eastAsia="黑体"/>
          <w:b/>
          <w:sz w:val="22"/>
        </w:rPr>
        <w:t xml:space="preserve">  </w:t>
      </w:r>
      <w:r>
        <w:rPr>
          <w:rFonts w:ascii="黑体" w:eastAsia="黑体" w:hint="eastAsia"/>
          <w:b/>
          <w:sz w:val="22"/>
        </w:rPr>
        <w:t>资本主义的发展及其趋势（</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第一节</w:t>
      </w:r>
      <w:r>
        <w:rPr>
          <w:sz w:val="22"/>
        </w:rPr>
        <w:t xml:space="preserve"> </w:t>
      </w:r>
      <w:r>
        <w:rPr>
          <w:rFonts w:hint="eastAsia"/>
          <w:sz w:val="22"/>
        </w:rPr>
        <w:t>垄断资本主义的形成与发展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一、资本主义从自由竞争到垄断</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二、垄断资本主义的发展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三、经济全球化及其后果</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正确当代资本主义的新变化</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一、当代资本主义新变化的表现和特点</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二、当代资本主义新变化的原因和实质</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第三节</w:t>
      </w:r>
      <w:r>
        <w:rPr>
          <w:sz w:val="22"/>
        </w:rPr>
        <w:t xml:space="preserve"> </w:t>
      </w:r>
      <w:r>
        <w:rPr>
          <w:rFonts w:hint="eastAsia"/>
          <w:sz w:val="22"/>
        </w:rPr>
        <w:t>资本主义的历史地位和发展趋势</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一、资本主义的历史地位</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二、资本主义为社会主义所代替的历史必然性</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第六章</w:t>
      </w:r>
      <w:r>
        <w:rPr>
          <w:rFonts w:ascii="黑体" w:eastAsia="黑体"/>
          <w:b/>
          <w:sz w:val="22"/>
        </w:rPr>
        <w:t xml:space="preserve">  </w:t>
      </w:r>
      <w:r>
        <w:rPr>
          <w:rFonts w:ascii="黑体" w:eastAsia="黑体" w:hint="eastAsia"/>
          <w:b/>
          <w:sz w:val="22"/>
        </w:rPr>
        <w:t>社会主义社会的发展及其规律（</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lastRenderedPageBreak/>
        <w:t>第一节</w:t>
      </w:r>
      <w:r>
        <w:rPr>
          <w:sz w:val="22"/>
        </w:rPr>
        <w:t xml:space="preserve"> </w:t>
      </w:r>
      <w:r>
        <w:rPr>
          <w:rFonts w:hint="eastAsia"/>
          <w:sz w:val="22"/>
        </w:rPr>
        <w:t>社会主义的产生和发展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一、社会主义从空想到科学</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二、社会主义从理论到现实</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三、社会主义从一国到多国</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科学社会主义的基本原则</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一、科学社会主义基本原则的主要内容</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二、正确把握科学社会主义基本原则</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第三节</w:t>
      </w:r>
      <w:r>
        <w:rPr>
          <w:sz w:val="22"/>
        </w:rPr>
        <w:t xml:space="preserve"> </w:t>
      </w:r>
      <w:r>
        <w:rPr>
          <w:rFonts w:hint="eastAsia"/>
          <w:sz w:val="22"/>
        </w:rPr>
        <w:t>在实践中探索现实社会主义的发展规律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一、俄、中等经济文化相对落后国家走向社会主义的必然性与建设社会主义的艰巨性</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二、社会主义发展道路的多样性</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三、社会主义在实践探索中曲折前进</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第七章</w:t>
      </w:r>
      <w:r>
        <w:rPr>
          <w:rFonts w:ascii="黑体" w:eastAsia="黑体"/>
          <w:b/>
          <w:sz w:val="22"/>
        </w:rPr>
        <w:t xml:space="preserve">  </w:t>
      </w:r>
      <w:r>
        <w:rPr>
          <w:rFonts w:ascii="黑体" w:eastAsia="黑体" w:hint="eastAsia"/>
          <w:b/>
          <w:sz w:val="22"/>
        </w:rPr>
        <w:t>共产主义崇高理想及其最终实现（</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第一节</w:t>
      </w:r>
      <w:r>
        <w:rPr>
          <w:sz w:val="22"/>
        </w:rPr>
        <w:t xml:space="preserve"> </w:t>
      </w:r>
      <w:r>
        <w:rPr>
          <w:rFonts w:hint="eastAsia"/>
          <w:sz w:val="22"/>
        </w:rPr>
        <w:t>马克思主义经典作家对共产主义社会的展望</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一、展望未来社会的科学立场和方法</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二、共产主义社会的基本特征</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第二节</w:t>
      </w:r>
      <w:r>
        <w:rPr>
          <w:sz w:val="22"/>
        </w:rPr>
        <w:t xml:space="preserve"> </w:t>
      </w:r>
      <w:r>
        <w:rPr>
          <w:rFonts w:hint="eastAsia"/>
          <w:sz w:val="22"/>
        </w:rPr>
        <w:t>共产主义社会是历史发展的必然趋势</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一、实现共产主义是历史发展规律的必然要求</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二、实现共产主义是一个长期的历史过程</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三、坚持发展中国特色社会主义，为实现共产主义而奋斗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ind w:firstLine="480"/>
        <w:jc w:val="left"/>
        <w:rPr>
          <w:rFonts w:ascii="宋体"/>
          <w:kern w:val="0"/>
          <w:sz w:val="24"/>
          <w:szCs w:val="24"/>
        </w:rPr>
      </w:pPr>
      <w:r>
        <w:rPr>
          <w:rFonts w:ascii="宋体" w:hAnsi="宋体" w:hint="eastAsia"/>
          <w:kern w:val="0"/>
          <w:sz w:val="24"/>
          <w:szCs w:val="24"/>
        </w:rPr>
        <w:t>多媒体教室</w:t>
      </w:r>
    </w:p>
    <w:p w:rsidR="003717A0" w:rsidRDefault="003717A0">
      <w:pPr>
        <w:autoSpaceDE w:val="0"/>
        <w:autoSpaceDN w:val="0"/>
        <w:adjustRightInd w:val="0"/>
        <w:snapToGrid w:val="0"/>
        <w:spacing w:line="440" w:lineRule="exact"/>
        <w:ind w:firstLine="480"/>
        <w:jc w:val="left"/>
        <w:rPr>
          <w:rFonts w:ascii="宋体"/>
          <w:kern w:val="0"/>
          <w:sz w:val="24"/>
          <w:szCs w:val="24"/>
        </w:rPr>
      </w:pPr>
      <w:r>
        <w:rPr>
          <w:rFonts w:ascii="宋体" w:hAnsi="宋体" w:hint="eastAsia"/>
          <w:kern w:val="0"/>
          <w:sz w:val="24"/>
          <w:szCs w:val="24"/>
        </w:rPr>
        <w:t>多媒体教学课件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本课程考试采用开卷考核方法，时间为</w:t>
      </w:r>
      <w:r>
        <w:rPr>
          <w:rFonts w:ascii="Times New Roman" w:hAnsi="Times New Roman"/>
          <w:kern w:val="0"/>
          <w:sz w:val="22"/>
        </w:rPr>
        <w:t>2</w:t>
      </w:r>
      <w:r>
        <w:rPr>
          <w:rFonts w:ascii="Times New Roman" w:hAnsi="Times New Roman" w:hint="eastAsia"/>
          <w:kern w:val="0"/>
          <w:sz w:val="22"/>
        </w:rPr>
        <w:t>小时。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期末考查成绩占总成绩的</w:t>
      </w:r>
      <w:r>
        <w:rPr>
          <w:rFonts w:ascii="Times New Roman" w:hAnsi="Times New Roman"/>
          <w:kern w:val="0"/>
          <w:sz w:val="22"/>
        </w:rPr>
        <w:t>60%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40%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教学参考文献目录</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．《马克思恩格斯选集》（人民出版社）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．《列宁选集》（人民出版社）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．《毛泽东选集》（人民出版社）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．《邓小平文选》（人民出版社）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．《江泽民文选》（人民出版社）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lastRenderedPageBreak/>
        <w:t>6</w:t>
      </w:r>
      <w:r>
        <w:rPr>
          <w:rFonts w:ascii="Times New Roman" w:hAnsi="Times New Roman" w:hint="eastAsia"/>
          <w:kern w:val="0"/>
          <w:sz w:val="22"/>
        </w:rPr>
        <w:t>．《十六大以来重要文献选编》（人民出版社）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．《“三个代表”重要思想学习纲要》（学习出版社）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．《科学发展观学习读本》（学习出版社）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．《十八大报告辅导读本》（人民出版社）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《习近平总书记系列重要讲话读本》（学习出版社人民出版社）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11.</w:t>
      </w:r>
      <w:r>
        <w:rPr>
          <w:rFonts w:ascii="Times New Roman" w:hAnsi="Times New Roman" w:hint="eastAsia"/>
          <w:kern w:val="0"/>
          <w:sz w:val="22"/>
        </w:rPr>
        <w:t>《习近平关于党风廉政建设和反腐败斗争论述摘编》（中央文献出版社、中国方正出版社）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12</w:t>
      </w:r>
      <w:r>
        <w:rPr>
          <w:rFonts w:ascii="Times New Roman" w:hAnsi="Times New Roman" w:hint="eastAsia"/>
          <w:kern w:val="0"/>
          <w:sz w:val="22"/>
        </w:rPr>
        <w:t>．庄梧龄主编：《马克思主义史》（人民出版杜</w:t>
      </w:r>
      <w:r>
        <w:rPr>
          <w:rFonts w:ascii="Times New Roman" w:hAnsi="Times New Roman"/>
          <w:kern w:val="0"/>
          <w:sz w:val="22"/>
        </w:rPr>
        <w:t>1996</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50" w:firstLine="550"/>
        <w:jc w:val="left"/>
        <w:rPr>
          <w:rFonts w:ascii="Times New Roman" w:hAnsi="Times New Roman"/>
          <w:kern w:val="0"/>
          <w:sz w:val="22"/>
        </w:rPr>
      </w:pPr>
      <w:r>
        <w:rPr>
          <w:rFonts w:ascii="Times New Roman" w:hAnsi="Times New Roman"/>
          <w:kern w:val="0"/>
          <w:sz w:val="22"/>
        </w:rPr>
        <w:t>13</w:t>
      </w:r>
      <w:r>
        <w:rPr>
          <w:rFonts w:ascii="Times New Roman" w:hAnsi="Times New Roman" w:hint="eastAsia"/>
          <w:kern w:val="0"/>
          <w:sz w:val="22"/>
        </w:rPr>
        <w:t>．孙正聿：《马克思辩证法理论的当代反思》（人民出版社</w:t>
      </w:r>
      <w:r>
        <w:rPr>
          <w:rFonts w:ascii="Times New Roman" w:hAnsi="Times New Roman"/>
          <w:kern w:val="0"/>
          <w:sz w:val="22"/>
        </w:rPr>
        <w:t>2002</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14</w:t>
      </w:r>
      <w:r>
        <w:rPr>
          <w:rFonts w:ascii="Times New Roman" w:hAnsi="Times New Roman" w:hint="eastAsia"/>
          <w:kern w:val="0"/>
          <w:sz w:val="22"/>
        </w:rPr>
        <w:t>．陶德麟：《认识发生论》（人民出版社</w:t>
      </w:r>
      <w:r>
        <w:rPr>
          <w:rFonts w:ascii="Times New Roman" w:hAnsi="Times New Roman"/>
          <w:kern w:val="0"/>
          <w:sz w:val="22"/>
        </w:rPr>
        <w:t>1991</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15</w:t>
      </w:r>
      <w:r>
        <w:rPr>
          <w:rFonts w:ascii="Times New Roman" w:hAnsi="Times New Roman" w:hint="eastAsia"/>
          <w:kern w:val="0"/>
          <w:sz w:val="22"/>
        </w:rPr>
        <w:t>．陈先达：《走向历史的深处</w:t>
      </w:r>
      <w:r>
        <w:rPr>
          <w:rFonts w:ascii="Times New Roman" w:hAnsi="Times New Roman"/>
          <w:kern w:val="0"/>
          <w:sz w:val="22"/>
        </w:rPr>
        <w:t>——</w:t>
      </w:r>
      <w:r>
        <w:rPr>
          <w:rFonts w:ascii="Times New Roman" w:hAnsi="Times New Roman" w:hint="eastAsia"/>
          <w:kern w:val="0"/>
          <w:sz w:val="22"/>
        </w:rPr>
        <w:t>历史唯物主义的现代阐释》（中国人民大学出版社</w:t>
      </w:r>
      <w:r>
        <w:rPr>
          <w:rFonts w:ascii="Times New Roman" w:hAnsi="Times New Roman"/>
          <w:kern w:val="0"/>
          <w:sz w:val="22"/>
        </w:rPr>
        <w:t>1995</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16</w:t>
      </w:r>
      <w:r>
        <w:rPr>
          <w:rFonts w:ascii="Times New Roman" w:hAnsi="Times New Roman" w:hint="eastAsia"/>
          <w:kern w:val="0"/>
          <w:sz w:val="22"/>
        </w:rPr>
        <w:t>．赵家祥等：《历史哲学》（中共中央党校出版社</w:t>
      </w:r>
      <w:r>
        <w:rPr>
          <w:rFonts w:ascii="Times New Roman" w:hAnsi="Times New Roman"/>
          <w:kern w:val="0"/>
          <w:sz w:val="22"/>
        </w:rPr>
        <w:t>2002</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 xml:space="preserve">17. </w:t>
      </w:r>
      <w:r>
        <w:rPr>
          <w:rFonts w:ascii="Times New Roman" w:hAnsi="Times New Roman" w:hint="eastAsia"/>
          <w:kern w:val="0"/>
          <w:sz w:val="22"/>
        </w:rPr>
        <w:t>俞可平主编：《全球化时代的“社会主义”》（中央编译出版社</w:t>
      </w:r>
      <w:r>
        <w:rPr>
          <w:rFonts w:ascii="Times New Roman" w:hAnsi="Times New Roman"/>
          <w:kern w:val="0"/>
          <w:sz w:val="22"/>
        </w:rPr>
        <w:t>1998</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18</w:t>
      </w:r>
      <w:r>
        <w:rPr>
          <w:rFonts w:ascii="Times New Roman" w:hAnsi="Times New Roman" w:hint="eastAsia"/>
          <w:kern w:val="0"/>
          <w:sz w:val="22"/>
        </w:rPr>
        <w:t>．顾海良、张雷声：《从马克思到社会主义市场经济》（北京出版社</w:t>
      </w:r>
      <w:r>
        <w:rPr>
          <w:rFonts w:ascii="Times New Roman" w:hAnsi="Times New Roman"/>
          <w:kern w:val="0"/>
          <w:sz w:val="22"/>
        </w:rPr>
        <w:t>2001</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19</w:t>
      </w:r>
      <w:r>
        <w:rPr>
          <w:rFonts w:ascii="Times New Roman" w:hAnsi="Times New Roman" w:hint="eastAsia"/>
          <w:kern w:val="0"/>
          <w:sz w:val="22"/>
        </w:rPr>
        <w:t>．厉以宁：《资奉主义的起源：比较经济史研究》（商务印书馆</w:t>
      </w:r>
      <w:r>
        <w:rPr>
          <w:rFonts w:ascii="Times New Roman" w:hAnsi="Times New Roman"/>
          <w:kern w:val="0"/>
          <w:sz w:val="22"/>
        </w:rPr>
        <w:t>2003</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20</w:t>
      </w:r>
      <w:r>
        <w:rPr>
          <w:rFonts w:ascii="Times New Roman" w:hAnsi="Times New Roman" w:hint="eastAsia"/>
          <w:kern w:val="0"/>
          <w:sz w:val="22"/>
        </w:rPr>
        <w:t>．高放、李景治、蒲国良主编：《科学社会主义的理论与实践》（中国人民大学出版社</w:t>
      </w:r>
      <w:r>
        <w:rPr>
          <w:rFonts w:ascii="Times New Roman" w:hAnsi="Times New Roman"/>
          <w:kern w:val="0"/>
          <w:sz w:val="22"/>
        </w:rPr>
        <w:t>2005</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21</w:t>
      </w:r>
      <w:r>
        <w:rPr>
          <w:rFonts w:ascii="Times New Roman" w:hAnsi="Times New Roman" w:hint="eastAsia"/>
          <w:kern w:val="0"/>
          <w:sz w:val="22"/>
        </w:rPr>
        <w:t>．姜凌等：《当代资本主义经济论》（人民出版社</w:t>
      </w:r>
      <w:r>
        <w:rPr>
          <w:rFonts w:ascii="Times New Roman" w:hAnsi="Times New Roman"/>
          <w:kern w:val="0"/>
          <w:sz w:val="22"/>
        </w:rPr>
        <w:t>2006</w:t>
      </w:r>
      <w:r>
        <w:rPr>
          <w:rFonts w:ascii="Times New Roman" w:hAnsi="Times New Roman" w:hint="eastAsia"/>
          <w:kern w:val="0"/>
          <w:sz w:val="22"/>
        </w:rPr>
        <w:t>年版）</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22</w:t>
      </w:r>
      <w:r>
        <w:rPr>
          <w:rFonts w:ascii="Times New Roman" w:hAnsi="Times New Roman" w:hint="eastAsia"/>
          <w:kern w:val="0"/>
          <w:sz w:val="22"/>
        </w:rPr>
        <w:t>．高校思想政治理论课程网站，</w:t>
      </w:r>
      <w:r w:rsidRPr="001F0230">
        <w:rPr>
          <w:rFonts w:ascii="Times New Roman" w:hAnsi="Times New Roman"/>
          <w:kern w:val="0"/>
          <w:sz w:val="22"/>
        </w:rPr>
        <w:t>http://www.sxz.edu.cn/</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p>
    <w:p w:rsidR="003717A0" w:rsidRDefault="003717A0" w:rsidP="000E7DCD">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330"/>
        <w:jc w:val="left"/>
        <w:rPr>
          <w:rFonts w:ascii="黑体" w:eastAsia="黑体" w:cs="黑体"/>
          <w:kern w:val="0"/>
          <w:szCs w:val="21"/>
        </w:rPr>
      </w:pPr>
      <w:r>
        <w:rPr>
          <w:rFonts w:ascii="黑体" w:eastAsia="黑体" w:cs="黑体" w:hint="eastAsia"/>
          <w:kern w:val="0"/>
          <w:szCs w:val="21"/>
        </w:rPr>
        <w:t>制定人：孙国志</w:t>
      </w:r>
    </w:p>
    <w:p w:rsidR="003717A0" w:rsidRDefault="003717A0">
      <w:pPr>
        <w:autoSpaceDE w:val="0"/>
        <w:autoSpaceDN w:val="0"/>
        <w:adjustRightInd w:val="0"/>
        <w:spacing w:line="360" w:lineRule="exact"/>
        <w:ind w:leftChars="2900" w:left="6090" w:firstLineChars="157" w:firstLine="330"/>
        <w:jc w:val="left"/>
        <w:rPr>
          <w:rFonts w:ascii="黑体" w:eastAsia="黑体" w:cs="黑体"/>
          <w:kern w:val="0"/>
          <w:szCs w:val="21"/>
        </w:rPr>
      </w:pPr>
      <w:r>
        <w:rPr>
          <w:rFonts w:ascii="黑体" w:eastAsia="黑体" w:cs="黑体" w:hint="eastAsia"/>
          <w:kern w:val="0"/>
          <w:szCs w:val="21"/>
        </w:rPr>
        <w:t>审核人：顾玉平</w:t>
      </w:r>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修读完本课程规定内容的全校各专业本科学生；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提出并获准免修本课程、申请进行课程水平考核的全校各专业本科学生。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通过考核来检查和了解学生对本门课程内容的掌握程度，考核学生对马克思主义基本原理的了解和掌握，了解学生科学的世界观、人生观和价值观的树立情况。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期末开卷考核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期末考查成绩占总成绩的</w:t>
      </w:r>
      <w:r>
        <w:rPr>
          <w:rFonts w:ascii="Times New Roman" w:hAnsi="Times New Roman"/>
          <w:kern w:val="0"/>
          <w:sz w:val="22"/>
        </w:rPr>
        <w:t>60%</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40%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1</w:t>
      </w:r>
      <w:r>
        <w:rPr>
          <w:rFonts w:ascii="宋体" w:hAnsi="宋体" w:hint="eastAsia"/>
          <w:kern w:val="0"/>
          <w:sz w:val="22"/>
        </w:rPr>
        <w:t>、世界的物质性及其发展规律</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2</w:t>
      </w:r>
      <w:r>
        <w:rPr>
          <w:rFonts w:ascii="宋体" w:hAnsi="宋体" w:hint="eastAsia"/>
          <w:kern w:val="0"/>
          <w:sz w:val="22"/>
        </w:rPr>
        <w:t>、认识的本质及其发展规律</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3</w:t>
      </w:r>
      <w:r>
        <w:rPr>
          <w:rFonts w:ascii="宋体" w:hAnsi="宋体" w:hint="eastAsia"/>
          <w:kern w:val="0"/>
          <w:sz w:val="22"/>
        </w:rPr>
        <w:t>、人类社会及其发展规律</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4</w:t>
      </w:r>
      <w:r>
        <w:rPr>
          <w:rFonts w:ascii="宋体" w:hAnsi="宋体" w:hint="eastAsia"/>
          <w:kern w:val="0"/>
          <w:sz w:val="22"/>
        </w:rPr>
        <w:t>、资本主义的本质及其规律</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5</w:t>
      </w:r>
      <w:r>
        <w:rPr>
          <w:rFonts w:ascii="宋体" w:hAnsi="宋体" w:hint="eastAsia"/>
          <w:kern w:val="0"/>
          <w:sz w:val="22"/>
        </w:rPr>
        <w:t>、资本主义的发展及其趋势</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6</w:t>
      </w:r>
      <w:r>
        <w:rPr>
          <w:rFonts w:ascii="宋体" w:hAnsi="宋体" w:hint="eastAsia"/>
          <w:kern w:val="0"/>
          <w:sz w:val="22"/>
        </w:rPr>
        <w:t>、社会主义的发展及其规律</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7</w:t>
      </w:r>
      <w:r>
        <w:rPr>
          <w:rFonts w:ascii="宋体" w:hAnsi="宋体" w:hint="eastAsia"/>
          <w:kern w:val="0"/>
          <w:sz w:val="22"/>
        </w:rPr>
        <w:t>、共产主义崇高理想及其最终实现</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440" w:lineRule="exact"/>
        <w:ind w:firstLineChars="200" w:firstLine="440"/>
        <w:jc w:val="left"/>
        <w:rPr>
          <w:rFonts w:ascii="Times New Roman" w:hAnsi="Times New Roman"/>
          <w:kern w:val="0"/>
          <w:sz w:val="22"/>
        </w:rPr>
      </w:pPr>
      <w:r>
        <w:rPr>
          <w:rFonts w:ascii="Times New Roman" w:hAnsi="Times New Roman" w:hint="eastAsia"/>
          <w:kern w:val="0"/>
          <w:sz w:val="22"/>
        </w:rPr>
        <w:t>以马克思主义基本原理为考查重点，检查学生对马克思主义哲学、马克思主义政治经济学和科学社会主义三个基本组成部分的掌握和理解，考核学生运用课程知识分析问题、解决问题的能力。</w:t>
      </w: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kern w:val="0"/>
          <w:sz w:val="34"/>
          <w:szCs w:val="34"/>
        </w:rPr>
        <w:br w:type="page"/>
      </w:r>
      <w:r>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本课程通过课堂讲授、讨论、辩论等帮助学生深入了解马克思主义的形成和发展，系统地掌握无产阶级的科学世界观和方法论，学习马克思主义关于自然、社会和人类思维发展一般规律的学说，提高学生分析、判断和解决问题的能力，并将所学知识运用到实践中去，夯实理论功底，开拓创新能力。</w:t>
            </w:r>
          </w:p>
          <w:p w:rsidR="003717A0" w:rsidRDefault="003717A0">
            <w:pPr>
              <w:autoSpaceDE w:val="0"/>
              <w:autoSpaceDN w:val="0"/>
              <w:adjustRightInd w:val="0"/>
              <w:snapToGrid w:val="0"/>
              <w:spacing w:line="360" w:lineRule="exact"/>
              <w:ind w:firstLineChars="65" w:firstLine="143"/>
              <w:jc w:val="left"/>
              <w:rPr>
                <w:rFonts w:ascii="Times New Roman" w:hAnsi="宋体"/>
                <w:kern w:val="0"/>
                <w:sz w:val="22"/>
              </w:rPr>
            </w:pPr>
            <w:r>
              <w:rPr>
                <w:rFonts w:ascii="Times New Roman" w:hAnsi="宋体" w:hint="eastAsia"/>
                <w:kern w:val="0"/>
                <w:sz w:val="22"/>
              </w:rPr>
              <w:t>该课程理论教学的基本任务：</w:t>
            </w:r>
          </w:p>
          <w:p w:rsidR="003717A0" w:rsidRDefault="003717A0">
            <w:pPr>
              <w:autoSpaceDE w:val="0"/>
              <w:autoSpaceDN w:val="0"/>
              <w:adjustRightInd w:val="0"/>
              <w:snapToGrid w:val="0"/>
              <w:spacing w:line="360" w:lineRule="exact"/>
              <w:ind w:firstLineChars="8" w:firstLine="18"/>
              <w:jc w:val="left"/>
              <w:rPr>
                <w:rFonts w:ascii="Times New Roman" w:hAnsi="宋体"/>
                <w:kern w:val="0"/>
                <w:sz w:val="22"/>
              </w:rPr>
            </w:pPr>
            <w:r>
              <w:rPr>
                <w:rFonts w:ascii="Times New Roman" w:hAnsi="宋体"/>
                <w:kern w:val="0"/>
                <w:sz w:val="22"/>
              </w:rPr>
              <w:t>1.</w:t>
            </w:r>
            <w:r>
              <w:rPr>
                <w:rFonts w:ascii="Times New Roman" w:hAnsi="宋体" w:hint="eastAsia"/>
                <w:kern w:val="0"/>
                <w:sz w:val="22"/>
              </w:rPr>
              <w:t>使学生总体上理解和把握马克思主义；</w:t>
            </w:r>
          </w:p>
          <w:p w:rsidR="003717A0" w:rsidRDefault="003717A0">
            <w:pPr>
              <w:autoSpaceDE w:val="0"/>
              <w:autoSpaceDN w:val="0"/>
              <w:adjustRightInd w:val="0"/>
              <w:snapToGrid w:val="0"/>
              <w:spacing w:line="360" w:lineRule="exact"/>
              <w:ind w:firstLineChars="8" w:firstLine="18"/>
              <w:jc w:val="left"/>
              <w:rPr>
                <w:rFonts w:ascii="Times New Roman" w:hAnsi="宋体"/>
                <w:kern w:val="0"/>
                <w:sz w:val="22"/>
              </w:rPr>
            </w:pPr>
            <w:r>
              <w:rPr>
                <w:rFonts w:ascii="Times New Roman" w:hAnsi="宋体"/>
                <w:kern w:val="0"/>
                <w:sz w:val="22"/>
              </w:rPr>
              <w:t>2.</w:t>
            </w:r>
            <w:r>
              <w:rPr>
                <w:rFonts w:ascii="Times New Roman" w:hAnsi="宋体" w:hint="eastAsia"/>
                <w:kern w:val="0"/>
                <w:sz w:val="22"/>
              </w:rPr>
              <w:t>帮助学生掌握马克思主义的基本原理；</w:t>
            </w:r>
          </w:p>
          <w:p w:rsidR="003717A0" w:rsidRDefault="003717A0">
            <w:pPr>
              <w:autoSpaceDE w:val="0"/>
              <w:autoSpaceDN w:val="0"/>
              <w:adjustRightInd w:val="0"/>
              <w:snapToGrid w:val="0"/>
              <w:spacing w:line="360" w:lineRule="exact"/>
              <w:ind w:firstLineChars="8" w:firstLine="18"/>
              <w:jc w:val="left"/>
              <w:rPr>
                <w:rFonts w:ascii="Times New Roman" w:hAnsi="宋体"/>
                <w:kern w:val="0"/>
                <w:sz w:val="22"/>
              </w:rPr>
            </w:pPr>
            <w:r>
              <w:rPr>
                <w:rFonts w:ascii="Times New Roman" w:hAnsi="宋体"/>
                <w:kern w:val="0"/>
                <w:sz w:val="22"/>
              </w:rPr>
              <w:t>3.</w:t>
            </w:r>
            <w:r>
              <w:rPr>
                <w:rFonts w:ascii="Times New Roman" w:hAnsi="宋体" w:hint="eastAsia"/>
                <w:kern w:val="0"/>
                <w:sz w:val="22"/>
              </w:rPr>
              <w:t>注重培养学生的思维方式，提高分析问题、解决问题的能力。</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熟悉教材各章节，借助相关书籍资料，并依据教学大纲编写授课计划，编写每次授课的教案。教案内容包括章节标题、教学目的、教法设计、课堂类型、时间分配、授课内容、课后作业、教学效果分析等方面；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结合课程特点，制作课件，运用多媒体教学手段讲授教学内容；</w:t>
            </w:r>
            <w:r>
              <w:rPr>
                <w:rFonts w:ascii="Times New Roman" w:hAnsi="宋体"/>
                <w:kern w:val="0"/>
                <w:sz w:val="22"/>
              </w:rPr>
              <w:t xml:space="preserve"> </w:t>
            </w:r>
          </w:p>
          <w:p w:rsidR="003717A0" w:rsidRDefault="003717A0">
            <w:pPr>
              <w:autoSpaceDE w:val="0"/>
              <w:autoSpaceDN w:val="0"/>
              <w:adjustRightInd w:val="0"/>
              <w:snapToGrid w:val="0"/>
              <w:spacing w:line="360" w:lineRule="exact"/>
              <w:jc w:val="left"/>
            </w:pPr>
            <w:r>
              <w:rPr>
                <w:rFonts w:ascii="Times New Roman" w:hAnsi="宋体"/>
                <w:kern w:val="0"/>
                <w:sz w:val="22"/>
              </w:rPr>
              <w:t xml:space="preserve">4. </w:t>
            </w:r>
            <w:r>
              <w:rPr>
                <w:rFonts w:ascii="Times New Roman" w:hAnsi="宋体" w:hint="eastAsia"/>
                <w:kern w:val="0"/>
                <w:sz w:val="22"/>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授课要求从整体上把握马克思主义理论的系统性，讲授中注意要点准确，循序渐进，条理清晰，重点突出，理论联系实际，熟练地讲解理论知识。</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采用多种教学方式（如启发式教学、案例分析教学、讨论式教学、多媒体示范教学等），注重培养学生思维方法，帮助学生树立科学的世界观、人生观和价值观，提高学生发现、分析和解决问题的能力。</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采用多种教学方法和教学手段，多媒体教学、课堂研讨、辩论相结合，培养学生分析问题解决问题的能力。</w:t>
            </w:r>
          </w:p>
          <w:p w:rsidR="003717A0" w:rsidRDefault="003717A0">
            <w:pPr>
              <w:autoSpaceDE w:val="0"/>
              <w:autoSpaceDN w:val="0"/>
              <w:adjustRightInd w:val="0"/>
              <w:snapToGrid w:val="0"/>
              <w:spacing w:line="360" w:lineRule="exact"/>
              <w:jc w:val="left"/>
            </w:pPr>
            <w:r>
              <w:rPr>
                <w:rFonts w:ascii="Times New Roman" w:hAnsi="宋体"/>
                <w:kern w:val="0"/>
                <w:sz w:val="22"/>
              </w:rPr>
              <w:t xml:space="preserve">4. </w:t>
            </w:r>
            <w:r>
              <w:rPr>
                <w:rFonts w:ascii="Times New Roman" w:hAnsi="宋体" w:hint="eastAsia"/>
                <w:kern w:val="0"/>
                <w:sz w:val="22"/>
              </w:rPr>
              <w:t>表达方式力求形象生动，理论联系实际，尽量便于学生理解、接受，使学生在掌握知识的过程中，保持较为浓厚的兴趣。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学生必须完成一定数量的作业题，是本课程教学的基本要求，是实现人才培养目标的必要手段。本课程作业布置的要求：两次课外作业习题。</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学生完成的作业必须达到以下基本要求：</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作业本规范。书写工整清晰；</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教师批改或讲评作业的数量和次数要求如下：</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学生的作业要全批全改，并有针对性地讲评学生作业情况；</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教师要认真批改或讲评作业，每次批改或讲评作业后，按百分制评定成绩；</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sz w:val="22"/>
              </w:rPr>
            </w:pPr>
            <w:r>
              <w:rPr>
                <w:rFonts w:hint="eastAsia"/>
                <w:sz w:val="22"/>
              </w:rPr>
              <w:t>为直接了解学生的学习情况，帮助学生进一步理解和消化课堂上所学知识、改进学习方法和思维方式，培养其独立思考问题的能力，建议任课教师安排时间进行课外答疑与辅导工作。</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本课程为大学公共必修课程，成绩考核的方式：考查。授课教师根据教学和教学班级情况，进行期末考查。学期总评成绩的评定方法如下：</w:t>
            </w:r>
          </w:p>
          <w:p w:rsidR="003717A0" w:rsidRDefault="003717A0">
            <w:pPr>
              <w:autoSpaceDE w:val="0"/>
              <w:autoSpaceDN w:val="0"/>
              <w:adjustRightInd w:val="0"/>
              <w:snapToGrid w:val="0"/>
              <w:spacing w:line="360" w:lineRule="exact"/>
              <w:ind w:firstLineChars="16" w:firstLine="3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平时成绩占总评成绩的</w:t>
            </w:r>
            <w:r>
              <w:rPr>
                <w:rFonts w:ascii="Times New Roman" w:hAnsi="宋体"/>
                <w:kern w:val="0"/>
                <w:sz w:val="22"/>
              </w:rPr>
              <w:t>40%</w:t>
            </w:r>
            <w:r>
              <w:rPr>
                <w:rFonts w:ascii="Times New Roman" w:hAnsi="宋体" w:hint="eastAsia"/>
                <w:kern w:val="0"/>
                <w:sz w:val="22"/>
              </w:rPr>
              <w:t>；</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期末考查成绩占总评成绩的</w:t>
            </w:r>
            <w:r>
              <w:rPr>
                <w:rFonts w:ascii="Times New Roman" w:hAnsi="宋体"/>
                <w:kern w:val="0"/>
                <w:sz w:val="22"/>
              </w:rPr>
              <w:t>60%</w:t>
            </w:r>
            <w:r>
              <w:rPr>
                <w:rFonts w:ascii="Times New Roman" w:hAnsi="宋体" w:hint="eastAsia"/>
                <w:kern w:val="0"/>
                <w:sz w:val="22"/>
              </w:rPr>
              <w:t>；</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有下列情况之一者，总评成绩为不及格：</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1/3</w:t>
            </w:r>
            <w:r>
              <w:rPr>
                <w:rFonts w:ascii="Times New Roman" w:hAnsi="宋体" w:hint="eastAsia"/>
                <w:kern w:val="0"/>
                <w:sz w:val="22"/>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ind w:firstLineChars="200" w:firstLine="440"/>
              <w:jc w:val="left"/>
              <w:rPr>
                <w:rFonts w:ascii="Times New Roman" w:hAnsi="宋体"/>
                <w:kern w:val="0"/>
                <w:sz w:val="22"/>
              </w:rPr>
            </w:pPr>
            <w:r>
              <w:rPr>
                <w:rFonts w:ascii="Times New Roman" w:hAnsi="宋体" w:hint="eastAsia"/>
                <w:kern w:val="0"/>
                <w:sz w:val="22"/>
              </w:rPr>
              <w:t>为了培养学生综合运用所学知识解决实际问题的能力和创新精神，教研室应定期聘请校内外专家学者与学生座谈，开设一些讲座介绍同时期党和国家的重要会议精神，组织学生进行相关社会实践考察活动。</w:t>
            </w:r>
          </w:p>
          <w:p w:rsidR="003717A0" w:rsidRDefault="003717A0">
            <w:pPr>
              <w:autoSpaceDE w:val="0"/>
              <w:autoSpaceDN w:val="0"/>
              <w:adjustRightInd w:val="0"/>
              <w:snapToGrid w:val="0"/>
              <w:spacing w:line="360" w:lineRule="exact"/>
              <w:ind w:firstLineChars="200" w:firstLine="440"/>
              <w:jc w:val="left"/>
              <w:rPr>
                <w:rFonts w:ascii="Times New Roman" w:hAnsi="宋体"/>
                <w:kern w:val="0"/>
                <w:sz w:val="22"/>
              </w:rPr>
            </w:pPr>
            <w:r>
              <w:rPr>
                <w:rFonts w:ascii="Times New Roman" w:hAnsi="宋体" w:hint="eastAsia"/>
                <w:kern w:val="0"/>
                <w:sz w:val="22"/>
              </w:rPr>
              <w:t>积极鼓励学生参加学术活动，比如学术研讨、学术讲座、学术沙龙等。</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rsidP="00F5156D">
      <w:pPr>
        <w:pStyle w:val="1"/>
        <w:rPr>
          <w:b/>
        </w:rPr>
      </w:pPr>
      <w:r>
        <w:br w:type="page"/>
      </w:r>
      <w:bookmarkStart w:id="6" w:name="_Toc469312975"/>
      <w:bookmarkStart w:id="7" w:name="_Toc471830687"/>
      <w:r w:rsidRPr="00F5156D">
        <w:rPr>
          <w:rFonts w:hint="eastAsia"/>
          <w:b/>
        </w:rPr>
        <w:lastRenderedPageBreak/>
        <w:t>《毛泽东思想和中国特色社会主义理论体系概论》课程质量标准</w:t>
      </w:r>
      <w:bookmarkEnd w:id="6"/>
      <w:bookmarkEnd w:id="7"/>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毛泽东思想和中国特色社会主义理论体系概论</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Introduction to MaoZedong Thought and Socialist Theoretical System with Chinese Characteristics</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030356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三、四</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96</w:t>
            </w:r>
            <w:r>
              <w:rPr>
                <w:rFonts w:hint="eastAsia"/>
                <w:sz w:val="22"/>
              </w:rPr>
              <w:t>（</w:t>
            </w:r>
            <w:r>
              <w:rPr>
                <w:sz w:val="22"/>
              </w:rPr>
              <w:t>42</w:t>
            </w:r>
            <w:r>
              <w:rPr>
                <w:rFonts w:hint="eastAsia"/>
                <w:sz w:val="22"/>
              </w:rPr>
              <w:t>）</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6</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□专业基础课□专业选修课□公共选修课□√必修课□选修课</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政治学院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当代中国马克思主义</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毛泽东思想和中国特色社会主义理论体系概论（</w:t>
            </w:r>
            <w:r>
              <w:rPr>
                <w:sz w:val="22"/>
              </w:rPr>
              <w:t>2013</w:t>
            </w:r>
            <w:r>
              <w:rPr>
                <w:rFonts w:hint="eastAsia"/>
                <w:sz w:val="22"/>
              </w:rPr>
              <w:t>年修订版）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高等教育出版社，</w:t>
            </w:r>
            <w:r>
              <w:rPr>
                <w:sz w:val="22"/>
              </w:rPr>
              <w:t>2014</w:t>
            </w:r>
            <w:r>
              <w:rPr>
                <w:rFonts w:hint="eastAsia"/>
                <w:sz w:val="22"/>
              </w:rPr>
              <w:t>年</w:t>
            </w:r>
            <w:r>
              <w:rPr>
                <w:sz w:val="22"/>
              </w:rPr>
              <w:t>1</w:t>
            </w:r>
            <w:r>
              <w:rPr>
                <w:rFonts w:hint="eastAsia"/>
                <w:sz w:val="22"/>
              </w:rPr>
              <w:t>月第</w:t>
            </w:r>
            <w:r>
              <w:rPr>
                <w:sz w:val="22"/>
              </w:rPr>
              <w:t>4</w:t>
            </w:r>
            <w:r>
              <w:rPr>
                <w:rFonts w:hint="eastAsia"/>
                <w:sz w:val="22"/>
              </w:rPr>
              <w:t>版，书号：</w:t>
            </w:r>
            <w:r>
              <w:rPr>
                <w:sz w:val="22"/>
              </w:rPr>
              <w:t>ISBN 978-7-04-038969-2</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□√国家□部级规划□省级规划□自编□其他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□√考试□考查□开卷□闭卷□课程设计□学期论文□其他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40%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60%</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蔡娟</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1988.08</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曹向阳</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大学</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1996.08</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吴日明</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1994.08</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徐晓旭</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1995.08</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王海柳</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1997.08</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sz w:val="22"/>
              </w:rPr>
              <w:t>本课程是根据</w:t>
            </w:r>
            <w:r>
              <w:rPr>
                <w:sz w:val="22"/>
              </w:rPr>
              <w:t>2005</w:t>
            </w:r>
            <w:r>
              <w:rPr>
                <w:rFonts w:hint="eastAsia"/>
                <w:sz w:val="22"/>
              </w:rPr>
              <w:t>年《</w:t>
            </w:r>
            <w:r>
              <w:rPr>
                <w:sz w:val="22"/>
              </w:rPr>
              <w:t>&lt;</w:t>
            </w:r>
            <w:r>
              <w:rPr>
                <w:rFonts w:hint="eastAsia"/>
                <w:sz w:val="22"/>
              </w:rPr>
              <w:t>中共中央宣传部</w:t>
            </w:r>
            <w:r>
              <w:rPr>
                <w:sz w:val="22"/>
              </w:rPr>
              <w:t xml:space="preserve"> </w:t>
            </w:r>
            <w:r>
              <w:rPr>
                <w:rFonts w:hint="eastAsia"/>
                <w:sz w:val="22"/>
              </w:rPr>
              <w:t>教育部关于进一步加强和改进高等学校思想政治理论课的意见</w:t>
            </w:r>
            <w:r>
              <w:rPr>
                <w:sz w:val="22"/>
              </w:rPr>
              <w:t>&gt;</w:t>
            </w:r>
            <w:r>
              <w:rPr>
                <w:rFonts w:hint="eastAsia"/>
                <w:sz w:val="22"/>
              </w:rPr>
              <w:t>实施方案》设立的，是我国高校本专科学生必修的一门思想政治理论课。课程主要讲授马克思主义及其中国化理论成果，帮助青年学生掌握基本理论，学会用基本理论指导自己的实际行动，坚定中国特色社会主义自信，自觉为实现中华民族伟大复兴中国梦而奋斗。</w:t>
            </w:r>
          </w:p>
        </w:tc>
      </w:tr>
    </w:tbl>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适应对象：本科层次，所有专业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030356</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96</w:t>
      </w:r>
      <w:r>
        <w:rPr>
          <w:rFonts w:ascii="Times New Roman" w:hAnsi="Times New Roman" w:hint="eastAsia"/>
          <w:kern w:val="0"/>
          <w:sz w:val="22"/>
        </w:rPr>
        <w:t>（</w:t>
      </w:r>
      <w:r>
        <w:rPr>
          <w:rFonts w:ascii="Times New Roman" w:hAnsi="Times New Roman"/>
          <w:kern w:val="0"/>
          <w:sz w:val="22"/>
        </w:rPr>
        <w:t>42</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6</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无</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本课程是根据</w:t>
      </w:r>
      <w:r>
        <w:rPr>
          <w:sz w:val="22"/>
        </w:rPr>
        <w:t>2005</w:t>
      </w:r>
      <w:r>
        <w:rPr>
          <w:rFonts w:hint="eastAsia"/>
          <w:sz w:val="22"/>
        </w:rPr>
        <w:t>年《</w:t>
      </w:r>
      <w:r>
        <w:rPr>
          <w:sz w:val="22"/>
        </w:rPr>
        <w:t>&lt;</w:t>
      </w:r>
      <w:r>
        <w:rPr>
          <w:rFonts w:hint="eastAsia"/>
          <w:sz w:val="22"/>
        </w:rPr>
        <w:t>中共中央宣传部</w:t>
      </w:r>
      <w:r>
        <w:rPr>
          <w:sz w:val="22"/>
        </w:rPr>
        <w:t xml:space="preserve"> </w:t>
      </w:r>
      <w:r>
        <w:rPr>
          <w:rFonts w:hint="eastAsia"/>
          <w:sz w:val="22"/>
        </w:rPr>
        <w:t>教育部关于进一步加强和改进高等学校思想政治理论课的意见</w:t>
      </w:r>
      <w:r>
        <w:rPr>
          <w:sz w:val="22"/>
        </w:rPr>
        <w:t>&gt;</w:t>
      </w:r>
      <w:r>
        <w:rPr>
          <w:rFonts w:hint="eastAsia"/>
          <w:sz w:val="22"/>
        </w:rPr>
        <w:t>实施方案》设立的，是我国高校本专科学生必修的一门思想政治理论课。</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本课程的目的是为了帮助学生系统掌握中国化马克思主义的形成发展、主要内容和精神实质，不断增强道路自信、理论自信、制度自信，坚定中国特色社会主义理想信念，帮助学生加强对党的基本理论、基本路线、基本纲领、基本经验、基本要求的理解和认识，增强对党的路线方针政策的理解和认同。通过教师的教育教学，理论联系实际，帮助学生联系改革开放和社会主义现代化建设的实际，联系自己的思想实际，深刻理解和把握基本理论的精神实质，提高运用科学理论分析和解决实际问题的能力。着力提高学生的理论素养，培养学生理论学习兴趣，增强理论思维能力和创新能力。</w:t>
      </w:r>
      <w:r>
        <w:rPr>
          <w:rFonts w:ascii="Times New Roman" w:eastAsia="黑体" w:hAnsi="Times New Roman"/>
          <w:b/>
          <w:kern w:val="0"/>
          <w:sz w:val="24"/>
          <w:szCs w:val="24"/>
        </w:rPr>
        <w:t xml:space="preserve"> </w:t>
      </w:r>
    </w:p>
    <w:p w:rsidR="003717A0" w:rsidRDefault="003717A0">
      <w:pPr>
        <w:autoSpaceDE w:val="0"/>
        <w:autoSpaceDN w:val="0"/>
        <w:adjustRightInd w:val="0"/>
        <w:snapToGrid w:val="0"/>
        <w:spacing w:line="440" w:lineRule="exact"/>
        <w:ind w:firstLineChars="196" w:firstLine="472"/>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该课程理论教学的基本任务：通过毛泽东思想和中国特色社会主义理论体系的整个教学过程，帮助学生系统、完整地掌握毛泽东思想和中国特色社会主义理论体系的形成发展、主要内容，了解和掌握党的基本理论、基本路线、基本纲领、基本经验、基本要求，提高学生理论素养，增强分析、判断和解决问题的能力，并将所学知识运用到实践，开拓创新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第一章</w:t>
      </w:r>
      <w:r>
        <w:rPr>
          <w:rFonts w:ascii="黑体" w:eastAsia="黑体"/>
          <w:b/>
          <w:sz w:val="22"/>
        </w:rPr>
        <w:t xml:space="preserve"> </w:t>
      </w:r>
      <w:r>
        <w:rPr>
          <w:rFonts w:ascii="黑体" w:eastAsia="黑体" w:hint="eastAsia"/>
          <w:b/>
          <w:sz w:val="22"/>
        </w:rPr>
        <w:t>马克思主义中国化两大理论成果（</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马克思主义中国化及其发展</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一、马克思主义中国化的提出</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二、马克思主义中国化的科学内涵</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三、马克思主义中国化两大理论成果的关系</w:t>
      </w:r>
    </w:p>
    <w:p w:rsidR="003717A0" w:rsidRDefault="003717A0">
      <w:pPr>
        <w:tabs>
          <w:tab w:val="left" w:pos="851"/>
        </w:tabs>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毛泽东思想</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一、毛泽东思想的形成和发展</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二、毛泽东思想的主要内容</w:t>
      </w:r>
      <w:r>
        <w:rPr>
          <w:sz w:val="22"/>
        </w:rPr>
        <w:t xml:space="preserve"> </w:t>
      </w:r>
    </w:p>
    <w:p w:rsidR="003717A0" w:rsidRDefault="003717A0">
      <w:pPr>
        <w:tabs>
          <w:tab w:val="left" w:pos="851"/>
        </w:tabs>
        <w:autoSpaceDE w:val="0"/>
        <w:autoSpaceDN w:val="0"/>
        <w:adjustRightInd w:val="0"/>
        <w:snapToGrid w:val="0"/>
        <w:spacing w:line="440" w:lineRule="exact"/>
        <w:jc w:val="left"/>
        <w:rPr>
          <w:sz w:val="22"/>
        </w:rPr>
      </w:pPr>
      <w:r>
        <w:rPr>
          <w:sz w:val="22"/>
        </w:rPr>
        <w:lastRenderedPageBreak/>
        <w:t xml:space="preserve">         </w:t>
      </w:r>
      <w:r>
        <w:rPr>
          <w:rFonts w:hint="eastAsia"/>
          <w:sz w:val="22"/>
        </w:rPr>
        <w:t>三、毛泽东思想的历史地位</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第三节</w:t>
      </w:r>
      <w:r>
        <w:rPr>
          <w:sz w:val="22"/>
        </w:rPr>
        <w:t xml:space="preserve"> </w:t>
      </w:r>
      <w:r>
        <w:rPr>
          <w:rFonts w:hint="eastAsia"/>
          <w:sz w:val="22"/>
        </w:rPr>
        <w:t>中国特色社会主义理论体系</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一、中国特色社会主义理论体系的形成和发展</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二、中国特色社会主义理论体系的主要内容</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三、中国特色社会主义理论体系的历史地位</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第四节</w:t>
      </w:r>
      <w:r>
        <w:rPr>
          <w:sz w:val="22"/>
        </w:rPr>
        <w:t xml:space="preserve"> </w:t>
      </w:r>
      <w:r>
        <w:rPr>
          <w:rFonts w:hint="eastAsia"/>
          <w:sz w:val="22"/>
        </w:rPr>
        <w:t>实事求是思想路线与马克思主义中国化理论成果的精髓</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一、实事求是思想路线的形成和发展</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二、实事求是思想路线的科学内涵</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三、实事求是是马克思主义中国化理论成果的精髓</w:t>
      </w:r>
      <w:r>
        <w:rPr>
          <w:sz w:val="22"/>
        </w:rPr>
        <w:t xml:space="preserve"> </w:t>
      </w:r>
    </w:p>
    <w:p w:rsidR="003717A0" w:rsidRDefault="003717A0">
      <w:pPr>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第二章</w:t>
      </w:r>
      <w:r>
        <w:rPr>
          <w:rFonts w:ascii="黑体" w:eastAsia="黑体"/>
          <w:b/>
          <w:sz w:val="22"/>
        </w:rPr>
        <w:t xml:space="preserve"> </w:t>
      </w:r>
      <w:r>
        <w:rPr>
          <w:rFonts w:ascii="黑体" w:eastAsia="黑体" w:hint="eastAsia"/>
          <w:b/>
          <w:sz w:val="22"/>
        </w:rPr>
        <w:t>新民主主义革命理论（</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新民主主义革命理论的形成</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一、近代中国国情和中国革命的时代特征</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二、中国革命经验的概括和总结</w:t>
      </w:r>
      <w:r>
        <w:rPr>
          <w:sz w:val="22"/>
        </w:rPr>
        <w:t xml:space="preserve"> </w:t>
      </w:r>
    </w:p>
    <w:p w:rsidR="003717A0" w:rsidRDefault="003717A0">
      <w:pPr>
        <w:tabs>
          <w:tab w:val="left" w:pos="426"/>
        </w:tabs>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新民主主义革命的总路线和基本纲领</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一、新民主主义革命的总路线</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二、新民主主义的基本纲领</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第三节</w:t>
      </w:r>
      <w:r>
        <w:rPr>
          <w:sz w:val="22"/>
        </w:rPr>
        <w:t xml:space="preserve"> </w:t>
      </w:r>
      <w:r>
        <w:rPr>
          <w:rFonts w:hint="eastAsia"/>
          <w:sz w:val="22"/>
        </w:rPr>
        <w:t>新民主主义革命的道路和基本经验</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一、新民主主义革命的道路</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二、新民主主义革命的三大法宝</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三、新民主主义革命理论的意义</w:t>
      </w:r>
    </w:p>
    <w:p w:rsidR="003717A0" w:rsidRDefault="003717A0">
      <w:pPr>
        <w:tabs>
          <w:tab w:val="left" w:pos="426"/>
        </w:tabs>
        <w:autoSpaceDE w:val="0"/>
        <w:autoSpaceDN w:val="0"/>
        <w:adjustRightInd w:val="0"/>
        <w:snapToGrid w:val="0"/>
        <w:spacing w:line="440" w:lineRule="exact"/>
        <w:ind w:firstLineChars="199" w:firstLine="440"/>
        <w:jc w:val="left"/>
        <w:rPr>
          <w:rFonts w:ascii="黑体" w:eastAsia="黑体"/>
          <w:b/>
          <w:sz w:val="22"/>
        </w:rPr>
      </w:pPr>
      <w:r>
        <w:rPr>
          <w:rFonts w:ascii="黑体" w:eastAsia="黑体" w:hint="eastAsia"/>
          <w:b/>
          <w:sz w:val="22"/>
        </w:rPr>
        <w:t>第三章</w:t>
      </w:r>
      <w:r>
        <w:rPr>
          <w:rFonts w:ascii="黑体" w:eastAsia="黑体"/>
          <w:b/>
          <w:sz w:val="22"/>
        </w:rPr>
        <w:t xml:space="preserve"> </w:t>
      </w:r>
      <w:r>
        <w:rPr>
          <w:rFonts w:ascii="黑体" w:eastAsia="黑体" w:hint="eastAsia"/>
          <w:b/>
          <w:sz w:val="22"/>
        </w:rPr>
        <w:t>社会主义改造理论（</w:t>
      </w:r>
      <w:r>
        <w:rPr>
          <w:rFonts w:ascii="黑体" w:eastAsia="黑体"/>
          <w:b/>
          <w:sz w:val="22"/>
        </w:rPr>
        <w:t>3</w:t>
      </w:r>
      <w:r>
        <w:rPr>
          <w:rFonts w:ascii="黑体" w:eastAsia="黑体" w:hint="eastAsia"/>
          <w:b/>
          <w:sz w:val="22"/>
        </w:rPr>
        <w:t>学时）</w:t>
      </w:r>
    </w:p>
    <w:p w:rsidR="003717A0" w:rsidRDefault="003717A0">
      <w:pPr>
        <w:tabs>
          <w:tab w:val="left" w:pos="851"/>
        </w:tabs>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从新民主主义到社会主义的转变</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一、新民主主义社会是一个过渡性的社会</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二、党在过渡时期的总路线及其理论依据</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社会主义改造道路和历史经验</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一、适合中国特点的社会主义改造道路</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二、社会主义改造的历史经验</w:t>
      </w:r>
    </w:p>
    <w:p w:rsidR="003717A0" w:rsidRDefault="003717A0">
      <w:pPr>
        <w:autoSpaceDE w:val="0"/>
        <w:autoSpaceDN w:val="0"/>
        <w:adjustRightInd w:val="0"/>
        <w:snapToGrid w:val="0"/>
        <w:spacing w:line="440" w:lineRule="exact"/>
        <w:ind w:firstLineChars="350" w:firstLine="770"/>
        <w:jc w:val="left"/>
        <w:rPr>
          <w:sz w:val="22"/>
        </w:rPr>
      </w:pPr>
      <w:r>
        <w:rPr>
          <w:rFonts w:hint="eastAsia"/>
          <w:sz w:val="22"/>
        </w:rPr>
        <w:t>第三节</w:t>
      </w:r>
      <w:r>
        <w:rPr>
          <w:sz w:val="22"/>
        </w:rPr>
        <w:t xml:space="preserve"> </w:t>
      </w:r>
      <w:r>
        <w:rPr>
          <w:rFonts w:hint="eastAsia"/>
          <w:sz w:val="22"/>
        </w:rPr>
        <w:t>社会主义制度在中国的确立</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一、社会主义基本制度的确立及其理论依据</w:t>
      </w:r>
    </w:p>
    <w:p w:rsidR="003717A0" w:rsidRDefault="003717A0">
      <w:pPr>
        <w:tabs>
          <w:tab w:val="left" w:pos="851"/>
        </w:tabs>
        <w:autoSpaceDE w:val="0"/>
        <w:autoSpaceDN w:val="0"/>
        <w:adjustRightInd w:val="0"/>
        <w:snapToGrid w:val="0"/>
        <w:spacing w:line="440" w:lineRule="exact"/>
        <w:jc w:val="left"/>
        <w:rPr>
          <w:sz w:val="22"/>
        </w:rPr>
      </w:pPr>
      <w:r>
        <w:rPr>
          <w:sz w:val="22"/>
        </w:rPr>
        <w:t xml:space="preserve">        </w:t>
      </w:r>
      <w:r>
        <w:rPr>
          <w:rFonts w:hint="eastAsia"/>
          <w:sz w:val="22"/>
        </w:rPr>
        <w:t>二、确立社会主义基本制度的重大意义</w:t>
      </w:r>
    </w:p>
    <w:p w:rsidR="003717A0" w:rsidRDefault="003717A0">
      <w:pPr>
        <w:tabs>
          <w:tab w:val="left" w:pos="851"/>
        </w:tabs>
        <w:autoSpaceDE w:val="0"/>
        <w:autoSpaceDN w:val="0"/>
        <w:adjustRightInd w:val="0"/>
        <w:snapToGrid w:val="0"/>
        <w:spacing w:line="440" w:lineRule="exact"/>
        <w:ind w:firstLineChars="200" w:firstLine="442"/>
        <w:jc w:val="left"/>
        <w:rPr>
          <w:rFonts w:ascii="黑体" w:eastAsia="黑体"/>
          <w:b/>
          <w:sz w:val="22"/>
        </w:rPr>
      </w:pPr>
      <w:r>
        <w:rPr>
          <w:rFonts w:ascii="黑体" w:eastAsia="黑体" w:hint="eastAsia"/>
          <w:b/>
          <w:sz w:val="22"/>
        </w:rPr>
        <w:t>第四章</w:t>
      </w:r>
      <w:r>
        <w:rPr>
          <w:rFonts w:ascii="黑体" w:eastAsia="黑体"/>
          <w:b/>
          <w:sz w:val="22"/>
        </w:rPr>
        <w:t xml:space="preserve"> </w:t>
      </w:r>
      <w:r>
        <w:rPr>
          <w:rFonts w:ascii="黑体" w:eastAsia="黑体" w:hint="eastAsia"/>
          <w:b/>
          <w:sz w:val="22"/>
        </w:rPr>
        <w:t>社会主义建设道路初步探索的理论成果（</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lastRenderedPageBreak/>
        <w:t xml:space="preserve">       </w:t>
      </w:r>
      <w:r>
        <w:rPr>
          <w:rFonts w:hint="eastAsia"/>
          <w:sz w:val="22"/>
        </w:rPr>
        <w:t>第一节</w:t>
      </w:r>
      <w:r>
        <w:rPr>
          <w:sz w:val="22"/>
        </w:rPr>
        <w:t xml:space="preserve"> </w:t>
      </w:r>
      <w:r>
        <w:rPr>
          <w:rFonts w:hint="eastAsia"/>
          <w:sz w:val="22"/>
        </w:rPr>
        <w:t>社会主义建设道路初步探索的重要思想成果</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一、调动一切积极因素为社会主义事业服务的思想</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二、正确认识和处理社会主义社会矛盾的思想</w:t>
      </w:r>
    </w:p>
    <w:p w:rsidR="003717A0" w:rsidRDefault="003717A0">
      <w:pPr>
        <w:autoSpaceDE w:val="0"/>
        <w:autoSpaceDN w:val="0"/>
        <w:adjustRightInd w:val="0"/>
        <w:snapToGrid w:val="0"/>
        <w:spacing w:line="440" w:lineRule="exact"/>
        <w:ind w:firstLineChars="450" w:firstLine="990"/>
        <w:jc w:val="left"/>
        <w:rPr>
          <w:sz w:val="22"/>
        </w:rPr>
      </w:pPr>
      <w:r>
        <w:rPr>
          <w:rFonts w:hint="eastAsia"/>
          <w:sz w:val="22"/>
        </w:rPr>
        <w:t>三、走中国工业化道路的思想</w:t>
      </w:r>
    </w:p>
    <w:p w:rsidR="003717A0" w:rsidRDefault="003717A0">
      <w:pPr>
        <w:autoSpaceDE w:val="0"/>
        <w:autoSpaceDN w:val="0"/>
        <w:adjustRightInd w:val="0"/>
        <w:snapToGrid w:val="0"/>
        <w:spacing w:line="440" w:lineRule="exact"/>
        <w:ind w:firstLineChars="450" w:firstLine="990"/>
        <w:jc w:val="left"/>
        <w:rPr>
          <w:sz w:val="22"/>
        </w:rPr>
      </w:pPr>
      <w:r>
        <w:rPr>
          <w:rFonts w:hint="eastAsia"/>
          <w:sz w:val="22"/>
        </w:rPr>
        <w:t>四、初步探索的其他理论成果</w:t>
      </w:r>
      <w:r>
        <w:rPr>
          <w:sz w:val="22"/>
        </w:rPr>
        <w:t xml:space="preserve"> </w:t>
      </w:r>
    </w:p>
    <w:p w:rsidR="003717A0" w:rsidRDefault="003717A0">
      <w:pPr>
        <w:autoSpaceDE w:val="0"/>
        <w:autoSpaceDN w:val="0"/>
        <w:adjustRightInd w:val="0"/>
        <w:snapToGrid w:val="0"/>
        <w:spacing w:line="440" w:lineRule="exact"/>
        <w:ind w:firstLineChars="300" w:firstLine="660"/>
        <w:jc w:val="left"/>
        <w:rPr>
          <w:sz w:val="22"/>
        </w:rPr>
      </w:pPr>
      <w:r>
        <w:rPr>
          <w:rFonts w:hint="eastAsia"/>
          <w:sz w:val="22"/>
        </w:rPr>
        <w:t>第二节</w:t>
      </w:r>
      <w:r>
        <w:rPr>
          <w:sz w:val="22"/>
        </w:rPr>
        <w:t xml:space="preserve"> </w:t>
      </w:r>
      <w:r>
        <w:rPr>
          <w:rFonts w:hint="eastAsia"/>
          <w:sz w:val="22"/>
        </w:rPr>
        <w:t>社会主义建设道路初步探索的意义和经验教训</w:t>
      </w:r>
    </w:p>
    <w:p w:rsidR="003717A0" w:rsidRDefault="003717A0">
      <w:pPr>
        <w:autoSpaceDE w:val="0"/>
        <w:autoSpaceDN w:val="0"/>
        <w:adjustRightInd w:val="0"/>
        <w:snapToGrid w:val="0"/>
        <w:spacing w:line="440" w:lineRule="exact"/>
        <w:ind w:firstLineChars="450" w:firstLine="990"/>
        <w:jc w:val="left"/>
        <w:rPr>
          <w:sz w:val="22"/>
        </w:rPr>
      </w:pPr>
      <w:r>
        <w:rPr>
          <w:rFonts w:hint="eastAsia"/>
          <w:sz w:val="22"/>
        </w:rPr>
        <w:t>一、社会主义建设道路初步探索的意义</w:t>
      </w:r>
    </w:p>
    <w:p w:rsidR="003717A0" w:rsidRDefault="003717A0">
      <w:pPr>
        <w:autoSpaceDE w:val="0"/>
        <w:autoSpaceDN w:val="0"/>
        <w:adjustRightInd w:val="0"/>
        <w:snapToGrid w:val="0"/>
        <w:spacing w:line="440" w:lineRule="exact"/>
        <w:ind w:firstLineChars="450" w:firstLine="990"/>
        <w:jc w:val="left"/>
        <w:rPr>
          <w:sz w:val="22"/>
        </w:rPr>
      </w:pPr>
      <w:r>
        <w:rPr>
          <w:rFonts w:hint="eastAsia"/>
          <w:sz w:val="22"/>
        </w:rPr>
        <w:t>二、社会主义建设道路初步探索的经验教训</w:t>
      </w:r>
    </w:p>
    <w:p w:rsidR="003717A0" w:rsidRDefault="003717A0">
      <w:pPr>
        <w:autoSpaceDE w:val="0"/>
        <w:autoSpaceDN w:val="0"/>
        <w:adjustRightInd w:val="0"/>
        <w:snapToGrid w:val="0"/>
        <w:spacing w:line="440" w:lineRule="exact"/>
        <w:ind w:firstLineChars="150" w:firstLine="331"/>
        <w:jc w:val="left"/>
        <w:rPr>
          <w:rFonts w:ascii="黑体" w:eastAsia="黑体"/>
          <w:b/>
          <w:sz w:val="22"/>
        </w:rPr>
      </w:pPr>
      <w:r>
        <w:rPr>
          <w:rFonts w:ascii="黑体" w:eastAsia="黑体" w:hint="eastAsia"/>
          <w:b/>
          <w:sz w:val="22"/>
        </w:rPr>
        <w:t>第五章</w:t>
      </w:r>
      <w:r>
        <w:rPr>
          <w:rFonts w:ascii="黑体" w:eastAsia="黑体"/>
          <w:b/>
          <w:sz w:val="22"/>
        </w:rPr>
        <w:t xml:space="preserve"> </w:t>
      </w:r>
      <w:r>
        <w:rPr>
          <w:rFonts w:ascii="黑体" w:eastAsia="黑体" w:hint="eastAsia"/>
          <w:b/>
          <w:sz w:val="22"/>
        </w:rPr>
        <w:t>建设中国特色社会主义总依据（</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ind w:firstLineChars="300" w:firstLine="660"/>
        <w:jc w:val="left"/>
        <w:rPr>
          <w:sz w:val="22"/>
        </w:rPr>
      </w:pPr>
      <w:r>
        <w:rPr>
          <w:rFonts w:hint="eastAsia"/>
          <w:sz w:val="22"/>
        </w:rPr>
        <w:t>第一节</w:t>
      </w:r>
      <w:r>
        <w:rPr>
          <w:sz w:val="22"/>
        </w:rPr>
        <w:t xml:space="preserve"> </w:t>
      </w:r>
      <w:r>
        <w:rPr>
          <w:rFonts w:hint="eastAsia"/>
          <w:sz w:val="22"/>
        </w:rPr>
        <w:t>社会主义初级阶段理论</w:t>
      </w:r>
    </w:p>
    <w:p w:rsidR="003717A0" w:rsidRDefault="003717A0">
      <w:pPr>
        <w:autoSpaceDE w:val="0"/>
        <w:autoSpaceDN w:val="0"/>
        <w:adjustRightInd w:val="0"/>
        <w:snapToGrid w:val="0"/>
        <w:spacing w:line="440" w:lineRule="exact"/>
        <w:ind w:firstLineChars="450" w:firstLine="990"/>
        <w:jc w:val="left"/>
        <w:rPr>
          <w:sz w:val="22"/>
        </w:rPr>
      </w:pPr>
      <w:r>
        <w:rPr>
          <w:rFonts w:hint="eastAsia"/>
          <w:sz w:val="22"/>
        </w:rPr>
        <w:t>一、社会主义初级阶段理论的形成和发展</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二、社会主义初级阶段的科学涵义和主要特征</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三、科学把握我国发展的阶段性特征</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社会主义初级阶段的基本路线和基本纲领</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一、社会主义初级阶段的主要矛盾</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二、社会主义初级阶段的基本路线</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三、社会主义初级阶段的基本纲领</w:t>
      </w:r>
    </w:p>
    <w:p w:rsidR="003717A0" w:rsidRDefault="003717A0">
      <w:pPr>
        <w:autoSpaceDE w:val="0"/>
        <w:autoSpaceDN w:val="0"/>
        <w:adjustRightInd w:val="0"/>
        <w:snapToGrid w:val="0"/>
        <w:spacing w:line="440" w:lineRule="exact"/>
        <w:ind w:firstLineChars="98" w:firstLine="216"/>
        <w:jc w:val="left"/>
        <w:rPr>
          <w:rFonts w:ascii="黑体" w:eastAsia="黑体"/>
          <w:b/>
          <w:sz w:val="22"/>
        </w:rPr>
      </w:pPr>
      <w:r>
        <w:rPr>
          <w:rFonts w:ascii="黑体" w:eastAsia="黑体" w:hint="eastAsia"/>
          <w:b/>
          <w:sz w:val="22"/>
        </w:rPr>
        <w:t>第六章</w:t>
      </w:r>
      <w:r>
        <w:rPr>
          <w:rFonts w:ascii="黑体" w:eastAsia="黑体"/>
          <w:b/>
          <w:sz w:val="22"/>
        </w:rPr>
        <w:t xml:space="preserve"> </w:t>
      </w:r>
      <w:r>
        <w:rPr>
          <w:rFonts w:ascii="黑体" w:eastAsia="黑体" w:hint="eastAsia"/>
          <w:b/>
          <w:sz w:val="22"/>
        </w:rPr>
        <w:t>社会主义本质和建设中国特色社会主义总任务（</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ind w:firstLineChars="100" w:firstLine="220"/>
        <w:jc w:val="left"/>
        <w:rPr>
          <w:sz w:val="22"/>
        </w:rPr>
      </w:pPr>
      <w:r>
        <w:rPr>
          <w:sz w:val="22"/>
        </w:rPr>
        <w:t xml:space="preserve">   </w:t>
      </w:r>
      <w:r>
        <w:rPr>
          <w:rFonts w:hint="eastAsia"/>
          <w:sz w:val="22"/>
        </w:rPr>
        <w:t>第一节</w:t>
      </w:r>
      <w:r>
        <w:rPr>
          <w:sz w:val="22"/>
        </w:rPr>
        <w:t xml:space="preserve"> </w:t>
      </w:r>
      <w:r>
        <w:rPr>
          <w:rFonts w:hint="eastAsia"/>
          <w:sz w:val="22"/>
        </w:rPr>
        <w:t>社会主义的本质</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一、社会主义本质理论的提出和科学内涵</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二、社会主义本质理论的重要意义</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社会主义的根本任务</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一、解放和发展社会生产力</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二、大力发展科学技术</w:t>
      </w:r>
      <w:r>
        <w:rPr>
          <w:sz w:val="22"/>
        </w:rPr>
        <w:t xml:space="preserve"> </w:t>
      </w:r>
    </w:p>
    <w:p w:rsidR="003717A0" w:rsidRDefault="003717A0">
      <w:pPr>
        <w:tabs>
          <w:tab w:val="left" w:pos="851"/>
        </w:tabs>
        <w:autoSpaceDE w:val="0"/>
        <w:autoSpaceDN w:val="0"/>
        <w:adjustRightInd w:val="0"/>
        <w:snapToGrid w:val="0"/>
        <w:spacing w:line="440" w:lineRule="exact"/>
        <w:jc w:val="left"/>
        <w:rPr>
          <w:sz w:val="22"/>
        </w:rPr>
      </w:pPr>
      <w:r>
        <w:rPr>
          <w:sz w:val="22"/>
        </w:rPr>
        <w:t xml:space="preserve">        </w:t>
      </w:r>
      <w:r>
        <w:rPr>
          <w:rFonts w:hint="eastAsia"/>
          <w:sz w:val="22"/>
        </w:rPr>
        <w:t>三、坚持科学发展</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第三节</w:t>
      </w:r>
      <w:r>
        <w:rPr>
          <w:sz w:val="22"/>
        </w:rPr>
        <w:t xml:space="preserve"> </w:t>
      </w:r>
      <w:r>
        <w:rPr>
          <w:rFonts w:hint="eastAsia"/>
          <w:sz w:val="22"/>
        </w:rPr>
        <w:t>中国特色社会主义的发展战略</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一、“三步走”发展战略</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二、全面建成小康社会</w:t>
      </w:r>
    </w:p>
    <w:p w:rsidR="003717A0" w:rsidRDefault="003717A0">
      <w:pPr>
        <w:autoSpaceDE w:val="0"/>
        <w:autoSpaceDN w:val="0"/>
        <w:adjustRightInd w:val="0"/>
        <w:snapToGrid w:val="0"/>
        <w:spacing w:line="440" w:lineRule="exact"/>
        <w:ind w:firstLineChars="400" w:firstLine="880"/>
        <w:jc w:val="left"/>
        <w:rPr>
          <w:sz w:val="22"/>
        </w:rPr>
      </w:pPr>
      <w:r>
        <w:rPr>
          <w:rFonts w:hint="eastAsia"/>
          <w:sz w:val="22"/>
        </w:rPr>
        <w:t>三、实现中华民族伟大复兴的中国梦</w:t>
      </w:r>
      <w:r>
        <w:rPr>
          <w:sz w:val="22"/>
        </w:rPr>
        <w:t xml:space="preserve"> </w:t>
      </w:r>
    </w:p>
    <w:p w:rsidR="003717A0" w:rsidRDefault="003717A0">
      <w:pPr>
        <w:autoSpaceDE w:val="0"/>
        <w:autoSpaceDN w:val="0"/>
        <w:adjustRightInd w:val="0"/>
        <w:snapToGrid w:val="0"/>
        <w:spacing w:line="440" w:lineRule="exact"/>
        <w:ind w:firstLineChars="98" w:firstLine="216"/>
        <w:jc w:val="left"/>
        <w:rPr>
          <w:rFonts w:ascii="黑体" w:eastAsia="黑体"/>
          <w:b/>
          <w:sz w:val="22"/>
        </w:rPr>
      </w:pPr>
      <w:r>
        <w:rPr>
          <w:rFonts w:ascii="黑体" w:eastAsia="黑体" w:hint="eastAsia"/>
          <w:b/>
          <w:sz w:val="22"/>
        </w:rPr>
        <w:t>第七章</w:t>
      </w:r>
      <w:r>
        <w:rPr>
          <w:rFonts w:ascii="黑体" w:eastAsia="黑体"/>
          <w:b/>
          <w:sz w:val="22"/>
        </w:rPr>
        <w:t xml:space="preserve"> </w:t>
      </w:r>
      <w:r>
        <w:rPr>
          <w:rFonts w:ascii="黑体" w:eastAsia="黑体" w:hint="eastAsia"/>
          <w:b/>
          <w:sz w:val="22"/>
        </w:rPr>
        <w:t>社会主义改革开放理论（</w:t>
      </w:r>
      <w:r>
        <w:rPr>
          <w:rFonts w:ascii="黑体" w:eastAsia="黑体"/>
          <w:b/>
          <w:sz w:val="22"/>
        </w:rPr>
        <w:t>3</w:t>
      </w:r>
      <w:r>
        <w:rPr>
          <w:rFonts w:ascii="黑体" w:eastAsia="黑体" w:hint="eastAsia"/>
          <w:b/>
          <w:sz w:val="22"/>
        </w:rPr>
        <w:t>学时）</w:t>
      </w:r>
    </w:p>
    <w:p w:rsidR="003717A0" w:rsidRDefault="003717A0">
      <w:pPr>
        <w:tabs>
          <w:tab w:val="left" w:pos="426"/>
        </w:tabs>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改革是发展中国特色社会主义的必由之路</w:t>
      </w:r>
      <w:r>
        <w:rPr>
          <w:sz w:val="22"/>
        </w:rPr>
        <w:t xml:space="preserve"> </w:t>
      </w:r>
    </w:p>
    <w:p w:rsidR="003717A0" w:rsidRDefault="003717A0">
      <w:pPr>
        <w:autoSpaceDE w:val="0"/>
        <w:autoSpaceDN w:val="0"/>
        <w:adjustRightInd w:val="0"/>
        <w:snapToGrid w:val="0"/>
        <w:spacing w:line="440" w:lineRule="exact"/>
        <w:jc w:val="left"/>
        <w:rPr>
          <w:sz w:val="22"/>
        </w:rPr>
      </w:pPr>
      <w:r>
        <w:rPr>
          <w:sz w:val="22"/>
        </w:rPr>
        <w:lastRenderedPageBreak/>
        <w:t xml:space="preserve">        </w:t>
      </w:r>
      <w:r>
        <w:rPr>
          <w:rFonts w:hint="eastAsia"/>
          <w:sz w:val="22"/>
        </w:rPr>
        <w:t>一、决定当代中国命运的关键抉择</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二、社会主义制度的自我完善和发展</w:t>
      </w:r>
    </w:p>
    <w:p w:rsidR="003717A0" w:rsidRDefault="003717A0">
      <w:pPr>
        <w:autoSpaceDE w:val="0"/>
        <w:autoSpaceDN w:val="0"/>
        <w:adjustRightInd w:val="0"/>
        <w:snapToGrid w:val="0"/>
        <w:spacing w:line="440" w:lineRule="exact"/>
        <w:ind w:firstLineChars="250" w:firstLine="550"/>
        <w:jc w:val="left"/>
        <w:rPr>
          <w:sz w:val="22"/>
        </w:rPr>
      </w:pPr>
      <w:r>
        <w:rPr>
          <w:rFonts w:hint="eastAsia"/>
          <w:sz w:val="22"/>
        </w:rPr>
        <w:t>第二节</w:t>
      </w:r>
      <w:r>
        <w:rPr>
          <w:sz w:val="22"/>
        </w:rPr>
        <w:t xml:space="preserve"> </w:t>
      </w:r>
      <w:r>
        <w:rPr>
          <w:rFonts w:hint="eastAsia"/>
          <w:sz w:val="22"/>
        </w:rPr>
        <w:t>坚定不移地推进改革</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一、全面深化改革</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二、坚持改革的正确方向</w:t>
      </w:r>
    </w:p>
    <w:p w:rsidR="003717A0" w:rsidRDefault="003717A0">
      <w:pPr>
        <w:autoSpaceDE w:val="0"/>
        <w:autoSpaceDN w:val="0"/>
        <w:adjustRightInd w:val="0"/>
        <w:snapToGrid w:val="0"/>
        <w:spacing w:line="440" w:lineRule="exact"/>
        <w:ind w:firstLineChars="350" w:firstLine="770"/>
        <w:jc w:val="left"/>
        <w:rPr>
          <w:sz w:val="22"/>
        </w:rPr>
      </w:pPr>
      <w:r>
        <w:rPr>
          <w:rFonts w:hint="eastAsia"/>
          <w:sz w:val="22"/>
        </w:rPr>
        <w:t>三、正确处理改革、发展、稳定的关系</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第三节</w:t>
      </w:r>
      <w:r>
        <w:rPr>
          <w:sz w:val="22"/>
        </w:rPr>
        <w:t xml:space="preserve"> </w:t>
      </w:r>
      <w:r>
        <w:rPr>
          <w:rFonts w:hint="eastAsia"/>
          <w:sz w:val="22"/>
        </w:rPr>
        <w:t>毫不动摇地坚持对外开放</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一、中国的发展离不开世界</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二、全方位、多层次、宽领域的外开放</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三、全面提高开放型经济水平</w:t>
      </w:r>
      <w:r>
        <w:rPr>
          <w:sz w:val="22"/>
        </w:rPr>
        <w:t xml:space="preserve"> </w:t>
      </w:r>
    </w:p>
    <w:p w:rsidR="003717A0" w:rsidRDefault="003717A0">
      <w:pPr>
        <w:autoSpaceDE w:val="0"/>
        <w:autoSpaceDN w:val="0"/>
        <w:adjustRightInd w:val="0"/>
        <w:snapToGrid w:val="0"/>
        <w:spacing w:line="440" w:lineRule="exact"/>
        <w:ind w:firstLineChars="98" w:firstLine="216"/>
        <w:jc w:val="left"/>
        <w:rPr>
          <w:rFonts w:ascii="黑体" w:eastAsia="黑体"/>
          <w:b/>
          <w:sz w:val="22"/>
        </w:rPr>
      </w:pPr>
      <w:r>
        <w:rPr>
          <w:rFonts w:ascii="黑体" w:eastAsia="黑体" w:hint="eastAsia"/>
          <w:b/>
          <w:sz w:val="22"/>
        </w:rPr>
        <w:t>第八章</w:t>
      </w:r>
      <w:r>
        <w:rPr>
          <w:rFonts w:ascii="黑体" w:eastAsia="黑体"/>
          <w:b/>
          <w:sz w:val="22"/>
        </w:rPr>
        <w:t xml:space="preserve"> </w:t>
      </w:r>
      <w:r>
        <w:rPr>
          <w:rFonts w:ascii="黑体" w:eastAsia="黑体" w:hint="eastAsia"/>
          <w:b/>
          <w:sz w:val="22"/>
        </w:rPr>
        <w:t>建设中国特色社会主义总布局（</w:t>
      </w:r>
      <w:r>
        <w:rPr>
          <w:rFonts w:ascii="黑体" w:eastAsia="黑体"/>
          <w:b/>
          <w:sz w:val="22"/>
        </w:rPr>
        <w:t>9</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建立中国特色社会主义经济</w:t>
      </w:r>
      <w:r>
        <w:rPr>
          <w:sz w:val="22"/>
        </w:rPr>
        <w:t xml:space="preserve"> </w:t>
      </w:r>
    </w:p>
    <w:p w:rsidR="003717A0" w:rsidRDefault="003717A0">
      <w:pPr>
        <w:tabs>
          <w:tab w:val="left" w:pos="851"/>
        </w:tabs>
        <w:autoSpaceDE w:val="0"/>
        <w:autoSpaceDN w:val="0"/>
        <w:adjustRightInd w:val="0"/>
        <w:snapToGrid w:val="0"/>
        <w:spacing w:line="440" w:lineRule="exact"/>
        <w:jc w:val="left"/>
        <w:rPr>
          <w:sz w:val="22"/>
        </w:rPr>
      </w:pPr>
      <w:r>
        <w:rPr>
          <w:sz w:val="22"/>
        </w:rPr>
        <w:t xml:space="preserve">       </w:t>
      </w:r>
      <w:r>
        <w:rPr>
          <w:rFonts w:hint="eastAsia"/>
          <w:sz w:val="22"/>
        </w:rPr>
        <w:t>一、社会主义市场经济理论的经济体制改革</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二、社会主义初级阶段的基本经济制度</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三、社会主义初级阶段的分配制度</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四、推动经济持续健康发展</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建设中国特色社会主义政治</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一、坚持走中国特色社会主义政治发展道路</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二、发展社会主义民主</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三、建设社会主义法治国家</w:t>
      </w:r>
      <w:r>
        <w:rPr>
          <w:sz w:val="22"/>
        </w:rPr>
        <w:t xml:space="preserve"> </w:t>
      </w:r>
    </w:p>
    <w:p w:rsidR="003717A0" w:rsidRDefault="003717A0">
      <w:pPr>
        <w:autoSpaceDE w:val="0"/>
        <w:autoSpaceDN w:val="0"/>
        <w:adjustRightInd w:val="0"/>
        <w:snapToGrid w:val="0"/>
        <w:spacing w:line="440" w:lineRule="exact"/>
        <w:ind w:firstLineChars="340" w:firstLine="748"/>
        <w:jc w:val="left"/>
        <w:rPr>
          <w:sz w:val="22"/>
        </w:rPr>
      </w:pPr>
      <w:r>
        <w:rPr>
          <w:rFonts w:hint="eastAsia"/>
          <w:sz w:val="22"/>
        </w:rPr>
        <w:t>四、推进政治体制改革</w:t>
      </w:r>
      <w:r>
        <w:rPr>
          <w:sz w:val="22"/>
        </w:rPr>
        <w:t xml:space="preserve"> </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第三节</w:t>
      </w:r>
      <w:r>
        <w:rPr>
          <w:sz w:val="22"/>
        </w:rPr>
        <w:t xml:space="preserve"> </w:t>
      </w:r>
      <w:r>
        <w:rPr>
          <w:rFonts w:hint="eastAsia"/>
          <w:sz w:val="22"/>
        </w:rPr>
        <w:t>建设中国特色社会主义文化</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一、坚持走中国特色社会主义文化发展道路</w:t>
      </w:r>
      <w:r>
        <w:rPr>
          <w:sz w:val="22"/>
        </w:rPr>
        <w:t xml:space="preserve"> </w:t>
      </w:r>
    </w:p>
    <w:p w:rsidR="003717A0" w:rsidRDefault="003717A0">
      <w:pPr>
        <w:tabs>
          <w:tab w:val="left" w:pos="851"/>
        </w:tabs>
        <w:autoSpaceDE w:val="0"/>
        <w:autoSpaceDN w:val="0"/>
        <w:adjustRightInd w:val="0"/>
        <w:snapToGrid w:val="0"/>
        <w:spacing w:line="440" w:lineRule="exact"/>
        <w:jc w:val="left"/>
        <w:rPr>
          <w:sz w:val="22"/>
        </w:rPr>
      </w:pPr>
      <w:r>
        <w:rPr>
          <w:sz w:val="22"/>
        </w:rPr>
        <w:t xml:space="preserve">       </w:t>
      </w:r>
      <w:r>
        <w:rPr>
          <w:rFonts w:hint="eastAsia"/>
          <w:sz w:val="22"/>
        </w:rPr>
        <w:t>二、建设社会主义核心价值体系</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三、加强思想道德建设和发展教育科学</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四、建设社会主义文化强国</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第四节</w:t>
      </w:r>
      <w:r>
        <w:rPr>
          <w:sz w:val="22"/>
        </w:rPr>
        <w:t xml:space="preserve"> </w:t>
      </w:r>
      <w:r>
        <w:rPr>
          <w:rFonts w:hint="eastAsia"/>
          <w:sz w:val="22"/>
        </w:rPr>
        <w:t>建设社会主义和谐社会</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一、建设社会主义和谐社会的总体思路</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二、保障和改善民生</w:t>
      </w:r>
    </w:p>
    <w:p w:rsidR="003717A0" w:rsidRDefault="003717A0">
      <w:pPr>
        <w:autoSpaceDE w:val="0"/>
        <w:autoSpaceDN w:val="0"/>
        <w:adjustRightInd w:val="0"/>
        <w:snapToGrid w:val="0"/>
        <w:spacing w:line="440" w:lineRule="exact"/>
        <w:ind w:firstLineChars="350" w:firstLine="770"/>
        <w:jc w:val="left"/>
        <w:rPr>
          <w:sz w:val="22"/>
        </w:rPr>
      </w:pPr>
      <w:r>
        <w:rPr>
          <w:rFonts w:hint="eastAsia"/>
          <w:sz w:val="22"/>
        </w:rPr>
        <w:t>三、创新社会治理体制</w:t>
      </w:r>
      <w:r>
        <w:rPr>
          <w:sz w:val="22"/>
        </w:rPr>
        <w:t xml:space="preserve"> </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第五节</w:t>
      </w:r>
      <w:r>
        <w:rPr>
          <w:sz w:val="22"/>
        </w:rPr>
        <w:t xml:space="preserve"> </w:t>
      </w:r>
      <w:r>
        <w:rPr>
          <w:rFonts w:hint="eastAsia"/>
          <w:sz w:val="22"/>
        </w:rPr>
        <w:t>建设社会主义生态文明</w:t>
      </w:r>
    </w:p>
    <w:p w:rsidR="003717A0" w:rsidRDefault="003717A0">
      <w:pPr>
        <w:autoSpaceDE w:val="0"/>
        <w:autoSpaceDN w:val="0"/>
        <w:adjustRightInd w:val="0"/>
        <w:snapToGrid w:val="0"/>
        <w:spacing w:line="440" w:lineRule="exact"/>
        <w:ind w:firstLineChars="350" w:firstLine="770"/>
        <w:jc w:val="left"/>
        <w:rPr>
          <w:sz w:val="22"/>
        </w:rPr>
      </w:pPr>
      <w:r>
        <w:rPr>
          <w:rFonts w:hint="eastAsia"/>
          <w:sz w:val="22"/>
        </w:rPr>
        <w:lastRenderedPageBreak/>
        <w:t>一、建设社会主义生态文明的总体要求</w:t>
      </w:r>
    </w:p>
    <w:p w:rsidR="003717A0" w:rsidRDefault="003717A0">
      <w:pPr>
        <w:autoSpaceDE w:val="0"/>
        <w:autoSpaceDN w:val="0"/>
        <w:adjustRightInd w:val="0"/>
        <w:snapToGrid w:val="0"/>
        <w:spacing w:line="440" w:lineRule="exact"/>
        <w:ind w:firstLineChars="350" w:firstLine="770"/>
        <w:jc w:val="left"/>
        <w:rPr>
          <w:sz w:val="22"/>
        </w:rPr>
      </w:pPr>
      <w:r>
        <w:rPr>
          <w:rFonts w:hint="eastAsia"/>
          <w:sz w:val="22"/>
        </w:rPr>
        <w:t>二、树立生态文明理念</w:t>
      </w:r>
    </w:p>
    <w:p w:rsidR="003717A0" w:rsidRDefault="003717A0">
      <w:pPr>
        <w:autoSpaceDE w:val="0"/>
        <w:autoSpaceDN w:val="0"/>
        <w:adjustRightInd w:val="0"/>
        <w:snapToGrid w:val="0"/>
        <w:spacing w:line="440" w:lineRule="exact"/>
        <w:ind w:firstLineChars="350" w:firstLine="770"/>
        <w:jc w:val="left"/>
        <w:rPr>
          <w:sz w:val="22"/>
        </w:rPr>
      </w:pPr>
      <w:r>
        <w:rPr>
          <w:rFonts w:hint="eastAsia"/>
          <w:sz w:val="22"/>
        </w:rPr>
        <w:t>三、坚持节约资源和保护环境的基本国策</w:t>
      </w:r>
    </w:p>
    <w:p w:rsidR="003717A0" w:rsidRDefault="003717A0">
      <w:pPr>
        <w:autoSpaceDE w:val="0"/>
        <w:autoSpaceDN w:val="0"/>
        <w:adjustRightInd w:val="0"/>
        <w:snapToGrid w:val="0"/>
        <w:spacing w:line="440" w:lineRule="exact"/>
        <w:ind w:firstLineChars="100" w:firstLine="221"/>
        <w:jc w:val="left"/>
        <w:rPr>
          <w:rFonts w:ascii="黑体" w:eastAsia="黑体"/>
          <w:b/>
          <w:sz w:val="22"/>
        </w:rPr>
      </w:pPr>
      <w:r>
        <w:rPr>
          <w:rFonts w:ascii="黑体" w:eastAsia="黑体" w:hint="eastAsia"/>
          <w:b/>
          <w:sz w:val="22"/>
        </w:rPr>
        <w:t>第九章</w:t>
      </w:r>
      <w:r>
        <w:rPr>
          <w:rFonts w:ascii="黑体" w:eastAsia="黑体"/>
          <w:b/>
          <w:sz w:val="22"/>
        </w:rPr>
        <w:t xml:space="preserve"> </w:t>
      </w:r>
      <w:r>
        <w:rPr>
          <w:rFonts w:ascii="黑体" w:eastAsia="黑体" w:hint="eastAsia"/>
          <w:b/>
          <w:sz w:val="22"/>
        </w:rPr>
        <w:t>实现祖国完全统一的理论（</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实现祖国完全统一是中华民族的根本利益</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一、维护国家统一是中华民族的优良传统</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二、实现祖国完全统一是中华民族伟大复兴的历史任务</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三、实现祖国完全统一是中国人民不可动摇的坚强意志</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“和平统一、一国两制”的科学构想及其实践</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一、“和平统一、一国两制”构想的形成和发展</w:t>
      </w:r>
      <w:r>
        <w:rPr>
          <w:sz w:val="22"/>
        </w:rPr>
        <w:t xml:space="preserve"> </w:t>
      </w:r>
    </w:p>
    <w:p w:rsidR="003717A0" w:rsidRDefault="003717A0">
      <w:pPr>
        <w:autoSpaceDE w:val="0"/>
        <w:autoSpaceDN w:val="0"/>
        <w:adjustRightInd w:val="0"/>
        <w:snapToGrid w:val="0"/>
        <w:spacing w:line="440" w:lineRule="exact"/>
        <w:ind w:firstLineChars="300" w:firstLine="660"/>
        <w:jc w:val="left"/>
        <w:rPr>
          <w:sz w:val="22"/>
        </w:rPr>
      </w:pPr>
      <w:r>
        <w:rPr>
          <w:rFonts w:hint="eastAsia"/>
          <w:sz w:val="22"/>
        </w:rPr>
        <w:t>二、“和平统一、一国两制”构想的基本内容和重要意义</w:t>
      </w:r>
    </w:p>
    <w:p w:rsidR="003717A0" w:rsidRDefault="003717A0">
      <w:pPr>
        <w:autoSpaceDE w:val="0"/>
        <w:autoSpaceDN w:val="0"/>
        <w:adjustRightInd w:val="0"/>
        <w:snapToGrid w:val="0"/>
        <w:spacing w:line="440" w:lineRule="exact"/>
        <w:ind w:firstLineChars="300" w:firstLine="660"/>
        <w:jc w:val="left"/>
        <w:rPr>
          <w:sz w:val="22"/>
        </w:rPr>
      </w:pPr>
      <w:r>
        <w:rPr>
          <w:rFonts w:hint="eastAsia"/>
          <w:sz w:val="22"/>
        </w:rPr>
        <w:t>三、“一国两制”构想在香港、澳门的成功实践</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四、新形势下对台湾工作方针</w:t>
      </w:r>
    </w:p>
    <w:p w:rsidR="003717A0" w:rsidRDefault="003717A0">
      <w:pPr>
        <w:autoSpaceDE w:val="0"/>
        <w:autoSpaceDN w:val="0"/>
        <w:adjustRightInd w:val="0"/>
        <w:snapToGrid w:val="0"/>
        <w:spacing w:line="440" w:lineRule="exact"/>
        <w:ind w:firstLineChars="100" w:firstLine="221"/>
        <w:jc w:val="left"/>
        <w:rPr>
          <w:rFonts w:ascii="黑体" w:eastAsia="黑体"/>
          <w:b/>
          <w:sz w:val="22"/>
        </w:rPr>
      </w:pPr>
      <w:r>
        <w:rPr>
          <w:rFonts w:ascii="黑体" w:eastAsia="黑体" w:hint="eastAsia"/>
          <w:b/>
          <w:sz w:val="22"/>
        </w:rPr>
        <w:t>第十章</w:t>
      </w:r>
      <w:r>
        <w:rPr>
          <w:rFonts w:ascii="黑体" w:eastAsia="黑体"/>
          <w:b/>
          <w:sz w:val="22"/>
        </w:rPr>
        <w:t xml:space="preserve"> </w:t>
      </w:r>
      <w:r>
        <w:rPr>
          <w:rFonts w:ascii="黑体" w:eastAsia="黑体" w:hint="eastAsia"/>
          <w:b/>
          <w:sz w:val="22"/>
        </w:rPr>
        <w:t>中国特色社会主义外交和国际战略（</w:t>
      </w:r>
      <w:r>
        <w:rPr>
          <w:rFonts w:ascii="黑体" w:eastAsia="黑体"/>
          <w:b/>
          <w:sz w:val="22"/>
        </w:rPr>
        <w:t>3</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外交和国际战略理论的形成依据</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一、和平与发展是当今时代的主题</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二、世界多极化和经济全球化趋势在曲折中发展</w:t>
      </w:r>
    </w:p>
    <w:p w:rsidR="003717A0" w:rsidRDefault="003717A0">
      <w:pPr>
        <w:autoSpaceDE w:val="0"/>
        <w:autoSpaceDN w:val="0"/>
        <w:adjustRightInd w:val="0"/>
        <w:snapToGrid w:val="0"/>
        <w:spacing w:line="440" w:lineRule="exact"/>
        <w:ind w:firstLineChars="300" w:firstLine="660"/>
        <w:jc w:val="left"/>
        <w:rPr>
          <w:sz w:val="22"/>
        </w:rPr>
      </w:pPr>
      <w:r>
        <w:rPr>
          <w:rFonts w:hint="eastAsia"/>
          <w:sz w:val="22"/>
        </w:rPr>
        <w:t>三、抓住和用好重要战略机遇期</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坚持走和平发展道路</w:t>
      </w:r>
      <w:r>
        <w:rPr>
          <w:sz w:val="22"/>
        </w:rPr>
        <w:t xml:space="preserve"> </w:t>
      </w:r>
    </w:p>
    <w:p w:rsidR="003717A0" w:rsidRDefault="003717A0">
      <w:pPr>
        <w:tabs>
          <w:tab w:val="left" w:pos="567"/>
        </w:tabs>
        <w:autoSpaceDE w:val="0"/>
        <w:autoSpaceDN w:val="0"/>
        <w:adjustRightInd w:val="0"/>
        <w:snapToGrid w:val="0"/>
        <w:spacing w:line="440" w:lineRule="exact"/>
        <w:jc w:val="left"/>
        <w:rPr>
          <w:sz w:val="22"/>
        </w:rPr>
      </w:pPr>
      <w:r>
        <w:rPr>
          <w:sz w:val="22"/>
        </w:rPr>
        <w:t xml:space="preserve">      </w:t>
      </w:r>
      <w:r>
        <w:rPr>
          <w:rFonts w:hint="eastAsia"/>
          <w:sz w:val="22"/>
        </w:rPr>
        <w:t>一、和平发展道路的根据和重要意义</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二、坚持独立自主和平外交政策</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三、实施互利共赢的开放战略</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四、推动建设持久和平、共同繁荣的和谐世界</w:t>
      </w:r>
    </w:p>
    <w:p w:rsidR="003717A0" w:rsidRDefault="003717A0">
      <w:pPr>
        <w:autoSpaceDE w:val="0"/>
        <w:autoSpaceDN w:val="0"/>
        <w:adjustRightInd w:val="0"/>
        <w:snapToGrid w:val="0"/>
        <w:spacing w:line="440" w:lineRule="exact"/>
        <w:jc w:val="left"/>
        <w:rPr>
          <w:rFonts w:ascii="黑体" w:eastAsia="黑体"/>
          <w:b/>
          <w:sz w:val="22"/>
        </w:rPr>
      </w:pPr>
      <w:r>
        <w:rPr>
          <w:rFonts w:ascii="黑体" w:eastAsia="黑体" w:hint="eastAsia"/>
          <w:b/>
          <w:sz w:val="22"/>
        </w:rPr>
        <w:t>第十一章</w:t>
      </w:r>
      <w:r>
        <w:rPr>
          <w:rFonts w:ascii="黑体" w:eastAsia="黑体"/>
          <w:b/>
          <w:sz w:val="22"/>
        </w:rPr>
        <w:t xml:space="preserve"> </w:t>
      </w:r>
      <w:r>
        <w:rPr>
          <w:rFonts w:ascii="黑体" w:eastAsia="黑体" w:hint="eastAsia"/>
          <w:b/>
          <w:sz w:val="22"/>
        </w:rPr>
        <w:t>建设中国特色社会主义的根本目的和依靠力量理论（</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建设中国特色社会主义的根本目的</w:t>
      </w:r>
    </w:p>
    <w:p w:rsidR="003717A0" w:rsidRDefault="003717A0">
      <w:pPr>
        <w:autoSpaceDE w:val="0"/>
        <w:autoSpaceDN w:val="0"/>
        <w:adjustRightInd w:val="0"/>
        <w:snapToGrid w:val="0"/>
        <w:spacing w:line="440" w:lineRule="exact"/>
        <w:ind w:firstLineChars="250" w:firstLine="550"/>
        <w:jc w:val="left"/>
        <w:rPr>
          <w:sz w:val="22"/>
        </w:rPr>
      </w:pPr>
      <w:r>
        <w:rPr>
          <w:rFonts w:hint="eastAsia"/>
          <w:sz w:val="22"/>
        </w:rPr>
        <w:t>一、坚持一切为了人民</w:t>
      </w:r>
    </w:p>
    <w:p w:rsidR="003717A0" w:rsidRDefault="003717A0">
      <w:pPr>
        <w:autoSpaceDE w:val="0"/>
        <w:autoSpaceDN w:val="0"/>
        <w:adjustRightInd w:val="0"/>
        <w:snapToGrid w:val="0"/>
        <w:spacing w:line="440" w:lineRule="exact"/>
        <w:ind w:firstLineChars="250" w:firstLine="550"/>
        <w:jc w:val="left"/>
        <w:rPr>
          <w:sz w:val="22"/>
        </w:rPr>
      </w:pPr>
      <w:r>
        <w:rPr>
          <w:rFonts w:hint="eastAsia"/>
          <w:sz w:val="22"/>
        </w:rPr>
        <w:t>二、坚持共同富裕目标</w:t>
      </w:r>
    </w:p>
    <w:p w:rsidR="003717A0" w:rsidRDefault="003717A0">
      <w:pPr>
        <w:autoSpaceDE w:val="0"/>
        <w:autoSpaceDN w:val="0"/>
        <w:adjustRightInd w:val="0"/>
        <w:snapToGrid w:val="0"/>
        <w:spacing w:line="440" w:lineRule="exact"/>
        <w:ind w:firstLineChars="250" w:firstLine="550"/>
        <w:jc w:val="left"/>
        <w:rPr>
          <w:sz w:val="22"/>
        </w:rPr>
      </w:pPr>
      <w:r>
        <w:rPr>
          <w:rFonts w:hint="eastAsia"/>
          <w:sz w:val="22"/>
        </w:rPr>
        <w:t>三、坚持经济社会发展与人的全面发展的统一</w:t>
      </w:r>
    </w:p>
    <w:p w:rsidR="003717A0" w:rsidRDefault="003717A0">
      <w:pPr>
        <w:autoSpaceDE w:val="0"/>
        <w:autoSpaceDN w:val="0"/>
        <w:adjustRightInd w:val="0"/>
        <w:snapToGrid w:val="0"/>
        <w:spacing w:line="440" w:lineRule="exact"/>
        <w:ind w:firstLineChars="150" w:firstLine="330"/>
        <w:jc w:val="left"/>
        <w:rPr>
          <w:sz w:val="22"/>
        </w:rPr>
      </w:pPr>
      <w:r>
        <w:rPr>
          <w:rFonts w:hint="eastAsia"/>
          <w:sz w:val="22"/>
        </w:rPr>
        <w:t>第二节中国特色社会主义建设的依靠力量</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一、工人、农民和知识分子是建设中国特色社会主义事业的根本力量</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二、新的社会阶层是中国特色社会主义事业的建设者</w:t>
      </w:r>
      <w:r>
        <w:rPr>
          <w:sz w:val="22"/>
        </w:rPr>
        <w:t xml:space="preserve"> </w:t>
      </w:r>
    </w:p>
    <w:p w:rsidR="003717A0" w:rsidRDefault="003717A0">
      <w:pPr>
        <w:autoSpaceDE w:val="0"/>
        <w:autoSpaceDN w:val="0"/>
        <w:adjustRightInd w:val="0"/>
        <w:snapToGrid w:val="0"/>
        <w:spacing w:line="440" w:lineRule="exact"/>
        <w:jc w:val="left"/>
        <w:rPr>
          <w:sz w:val="22"/>
        </w:rPr>
      </w:pPr>
      <w:r>
        <w:rPr>
          <w:sz w:val="22"/>
        </w:rPr>
        <w:lastRenderedPageBreak/>
        <w:t xml:space="preserve">     </w:t>
      </w:r>
      <w:r>
        <w:rPr>
          <w:rFonts w:hint="eastAsia"/>
          <w:sz w:val="22"/>
        </w:rPr>
        <w:t>三、巩固和发展全国各族人民的大团结</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第三节</w:t>
      </w:r>
      <w:r>
        <w:rPr>
          <w:sz w:val="22"/>
        </w:rPr>
        <w:t xml:space="preserve"> </w:t>
      </w:r>
      <w:r>
        <w:rPr>
          <w:rFonts w:hint="eastAsia"/>
          <w:sz w:val="22"/>
        </w:rPr>
        <w:t>巩固和发展爱国统一战线</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一、新时期爱国统一战线的内容和基本任务</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二、加强党对统一战线的领导</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三、全面贯彻党的民族宗教政策</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第四节国防和军队现代化建设</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一、人民解放军是保卫祖国和建设中国特色社会主义的重要力量</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二、建设巩固国防和强大军队是我国现代化建设的战略任务</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三、全面加强军队革命化现代化正规化建设</w:t>
      </w:r>
    </w:p>
    <w:p w:rsidR="003717A0" w:rsidRDefault="003717A0">
      <w:pPr>
        <w:autoSpaceDE w:val="0"/>
        <w:autoSpaceDN w:val="0"/>
        <w:adjustRightInd w:val="0"/>
        <w:snapToGrid w:val="0"/>
        <w:spacing w:line="440" w:lineRule="exact"/>
        <w:ind w:firstLineChars="250" w:firstLine="550"/>
        <w:jc w:val="left"/>
        <w:rPr>
          <w:sz w:val="22"/>
        </w:rPr>
      </w:pPr>
      <w:r>
        <w:rPr>
          <w:rFonts w:hint="eastAsia"/>
          <w:sz w:val="22"/>
        </w:rPr>
        <w:t>四、积极推进中国特色军事变革深入发展</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五、坚持走中国特色军民融合式发展路子</w:t>
      </w:r>
      <w:r>
        <w:rPr>
          <w:sz w:val="22"/>
        </w:rPr>
        <w:t xml:space="preserve"> </w:t>
      </w:r>
    </w:p>
    <w:p w:rsidR="003717A0" w:rsidRDefault="003717A0">
      <w:pPr>
        <w:autoSpaceDE w:val="0"/>
        <w:autoSpaceDN w:val="0"/>
        <w:adjustRightInd w:val="0"/>
        <w:snapToGrid w:val="0"/>
        <w:spacing w:line="440" w:lineRule="exact"/>
        <w:ind w:firstLineChars="100" w:firstLine="221"/>
        <w:jc w:val="left"/>
        <w:rPr>
          <w:rFonts w:ascii="黑体" w:eastAsia="黑体"/>
          <w:b/>
          <w:sz w:val="22"/>
        </w:rPr>
      </w:pPr>
      <w:r>
        <w:rPr>
          <w:rFonts w:ascii="黑体" w:eastAsia="黑体" w:hint="eastAsia"/>
          <w:b/>
          <w:sz w:val="22"/>
        </w:rPr>
        <w:t>第十二章</w:t>
      </w:r>
      <w:r>
        <w:rPr>
          <w:rFonts w:ascii="黑体" w:eastAsia="黑体"/>
          <w:b/>
          <w:sz w:val="22"/>
        </w:rPr>
        <w:t xml:space="preserve"> </w:t>
      </w:r>
      <w:r>
        <w:rPr>
          <w:rFonts w:ascii="黑体" w:eastAsia="黑体" w:hint="eastAsia"/>
          <w:b/>
          <w:sz w:val="22"/>
        </w:rPr>
        <w:t>中国特色社会主义领导核心理论（</w:t>
      </w:r>
      <w:r>
        <w:rPr>
          <w:rFonts w:ascii="黑体" w:eastAsia="黑体"/>
          <w:b/>
          <w:sz w:val="22"/>
        </w:rPr>
        <w:t>6</w:t>
      </w:r>
      <w:r>
        <w:rPr>
          <w:rFonts w:ascii="黑体" w:eastAsia="黑体" w:hint="eastAsia"/>
          <w:b/>
          <w:sz w:val="22"/>
        </w:rPr>
        <w:t>学时）</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第一节</w:t>
      </w:r>
      <w:r>
        <w:rPr>
          <w:sz w:val="22"/>
        </w:rPr>
        <w:t xml:space="preserve"> </w:t>
      </w:r>
      <w:r>
        <w:rPr>
          <w:rFonts w:hint="eastAsia"/>
          <w:sz w:val="22"/>
        </w:rPr>
        <w:t>党的领导是社会主义现代化建设的根本保证</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一、中国共产党的性质和宗旨</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二、中国共产党的执政地位是历史和人民的选择</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三、坚持党的领导必须改善党的领导</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第二节</w:t>
      </w:r>
      <w:r>
        <w:rPr>
          <w:sz w:val="22"/>
        </w:rPr>
        <w:t xml:space="preserve"> </w:t>
      </w:r>
      <w:r>
        <w:rPr>
          <w:rFonts w:hint="eastAsia"/>
          <w:sz w:val="22"/>
        </w:rPr>
        <w:t>全面提高党的建设科学化水平</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一、以改革创新精神推进党的建设新的伟大工程</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二、加强党的执政能力建设</w:t>
      </w:r>
      <w:r>
        <w:rPr>
          <w:sz w:val="22"/>
        </w:rPr>
        <w:t xml:space="preserve"> </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三、加强党的先进性和纯洁性建设</w:t>
      </w:r>
    </w:p>
    <w:p w:rsidR="003717A0" w:rsidRDefault="003717A0">
      <w:pPr>
        <w:autoSpaceDE w:val="0"/>
        <w:autoSpaceDN w:val="0"/>
        <w:adjustRightInd w:val="0"/>
        <w:snapToGrid w:val="0"/>
        <w:spacing w:line="440" w:lineRule="exact"/>
        <w:ind w:firstLineChars="250" w:firstLine="550"/>
        <w:jc w:val="left"/>
        <w:rPr>
          <w:sz w:val="22"/>
        </w:rPr>
      </w:pPr>
      <w:r>
        <w:rPr>
          <w:rFonts w:hint="eastAsia"/>
          <w:sz w:val="22"/>
        </w:rPr>
        <w:t>四、建设学习型、服务型、创新型马克思主义执政党</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ind w:firstLine="480"/>
        <w:jc w:val="left"/>
        <w:rPr>
          <w:rFonts w:ascii="宋体"/>
          <w:kern w:val="0"/>
          <w:sz w:val="24"/>
          <w:szCs w:val="24"/>
        </w:rPr>
      </w:pPr>
      <w:r>
        <w:rPr>
          <w:rFonts w:ascii="宋体" w:hAnsi="宋体" w:hint="eastAsia"/>
          <w:kern w:val="0"/>
          <w:sz w:val="24"/>
          <w:szCs w:val="24"/>
        </w:rPr>
        <w:t>多媒体教室</w:t>
      </w:r>
    </w:p>
    <w:p w:rsidR="003717A0" w:rsidRDefault="003717A0">
      <w:pPr>
        <w:autoSpaceDE w:val="0"/>
        <w:autoSpaceDN w:val="0"/>
        <w:adjustRightInd w:val="0"/>
        <w:snapToGrid w:val="0"/>
        <w:spacing w:line="440" w:lineRule="exact"/>
        <w:ind w:firstLine="480"/>
        <w:jc w:val="left"/>
        <w:rPr>
          <w:rFonts w:ascii="宋体"/>
          <w:kern w:val="0"/>
          <w:sz w:val="24"/>
          <w:szCs w:val="24"/>
        </w:rPr>
      </w:pPr>
      <w:r>
        <w:rPr>
          <w:rFonts w:ascii="宋体" w:hAnsi="宋体" w:hint="eastAsia"/>
          <w:kern w:val="0"/>
          <w:sz w:val="24"/>
          <w:szCs w:val="24"/>
        </w:rPr>
        <w:t>多媒体教学课件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本课程考试采用开卷考核方法，时间为</w:t>
      </w:r>
      <w:r>
        <w:rPr>
          <w:rFonts w:ascii="Times New Roman" w:hAnsi="Times New Roman"/>
          <w:kern w:val="0"/>
          <w:sz w:val="22"/>
        </w:rPr>
        <w:t>2</w:t>
      </w:r>
      <w:r>
        <w:rPr>
          <w:rFonts w:ascii="Times New Roman" w:hAnsi="Times New Roman" w:hint="eastAsia"/>
          <w:kern w:val="0"/>
          <w:sz w:val="22"/>
        </w:rPr>
        <w:t>小时。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60%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40%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教学参考文献目录</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、《毛泽东选集》（</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4</w:t>
      </w:r>
      <w:r>
        <w:rPr>
          <w:rFonts w:ascii="Times New Roman" w:hAnsi="Times New Roman" w:hint="eastAsia"/>
          <w:kern w:val="0"/>
          <w:sz w:val="22"/>
        </w:rPr>
        <w:t>卷，人民出版社）；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、《邓小平文选》（</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3</w:t>
      </w:r>
      <w:r>
        <w:rPr>
          <w:rFonts w:ascii="Times New Roman" w:hAnsi="Times New Roman" w:hint="eastAsia"/>
          <w:kern w:val="0"/>
          <w:sz w:val="22"/>
        </w:rPr>
        <w:t>卷，人民出版社）；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、《江泽民文选》（</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3</w:t>
      </w:r>
      <w:r>
        <w:rPr>
          <w:rFonts w:ascii="Times New Roman" w:hAnsi="Times New Roman" w:hint="eastAsia"/>
          <w:kern w:val="0"/>
          <w:sz w:val="22"/>
        </w:rPr>
        <w:t>卷，人民出版社）；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lastRenderedPageBreak/>
        <w:t>4</w:t>
      </w:r>
      <w:r>
        <w:rPr>
          <w:rFonts w:ascii="Times New Roman" w:hAnsi="Times New Roman" w:hint="eastAsia"/>
          <w:kern w:val="0"/>
          <w:sz w:val="22"/>
        </w:rPr>
        <w:t>、《十六大以来重要文献选编》（人民出版社）；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、《“三个代表”重要思想学习纲要》（学习出版社）；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、《科学发展观学习读本》（学习出版社）；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、《十八大报告辅导读本》（人民出版社）；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、《习近平总书记系列重要讲话读本》（学习出版社人民出版社）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、《习近平关于党风廉政建设和反腐败斗争论述摘编》，（中央文献出版社、中国方正出版社）</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、高校思想政治理论课程网站，</w:t>
      </w:r>
      <w:r w:rsidRPr="001F0230">
        <w:rPr>
          <w:rFonts w:ascii="Times New Roman" w:hAnsi="Times New Roman"/>
          <w:kern w:val="0"/>
          <w:sz w:val="22"/>
        </w:rPr>
        <w:t>http://www.sxz.edu.cn/</w:t>
      </w: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p>
    <w:p w:rsidR="003717A0" w:rsidRDefault="003717A0">
      <w:pPr>
        <w:autoSpaceDE w:val="0"/>
        <w:autoSpaceDN w:val="0"/>
        <w:adjustRightInd w:val="0"/>
        <w:spacing w:line="360" w:lineRule="exact"/>
        <w:ind w:firstLineChars="243" w:firstLine="535"/>
        <w:jc w:val="left"/>
        <w:rPr>
          <w:rFonts w:ascii="Times New Roman" w:hAnsi="Times New Roman"/>
          <w:kern w:val="0"/>
          <w:sz w:val="22"/>
        </w:rPr>
      </w:pPr>
    </w:p>
    <w:p w:rsidR="003717A0" w:rsidRPr="000E7DCD" w:rsidRDefault="003717A0" w:rsidP="000E7DCD">
      <w:pPr>
        <w:autoSpaceDE w:val="0"/>
        <w:autoSpaceDN w:val="0"/>
        <w:adjustRightInd w:val="0"/>
        <w:ind w:leftChars="2900" w:left="6090" w:firstLineChars="157" w:firstLine="330"/>
        <w:jc w:val="left"/>
        <w:rPr>
          <w:rFonts w:ascii="黑体" w:eastAsia="黑体" w:cs="黑体"/>
          <w:kern w:val="0"/>
          <w:szCs w:val="21"/>
        </w:rPr>
      </w:pPr>
      <w:r w:rsidRPr="000E7DCD">
        <w:rPr>
          <w:rFonts w:ascii="黑体" w:eastAsia="黑体" w:cs="黑体" w:hint="eastAsia"/>
          <w:kern w:val="0"/>
          <w:szCs w:val="21"/>
        </w:rPr>
        <w:t>制定人：曹向阳</w:t>
      </w:r>
    </w:p>
    <w:p w:rsidR="003717A0" w:rsidRPr="000E7DCD" w:rsidRDefault="003717A0" w:rsidP="000E7DCD">
      <w:pPr>
        <w:autoSpaceDE w:val="0"/>
        <w:autoSpaceDN w:val="0"/>
        <w:adjustRightInd w:val="0"/>
        <w:spacing w:line="360" w:lineRule="exact"/>
        <w:ind w:leftChars="2900" w:left="6090" w:firstLineChars="157" w:firstLine="330"/>
        <w:jc w:val="left"/>
        <w:rPr>
          <w:rFonts w:ascii="黑体" w:eastAsia="黑体" w:cs="黑体"/>
          <w:kern w:val="0"/>
          <w:szCs w:val="21"/>
        </w:rPr>
      </w:pPr>
      <w:r w:rsidRPr="000E7DCD">
        <w:rPr>
          <w:rFonts w:ascii="黑体" w:eastAsia="黑体" w:cs="黑体" w:hint="eastAsia"/>
          <w:kern w:val="0"/>
          <w:szCs w:val="21"/>
        </w:rPr>
        <w:t>审核人：蔡娟</w:t>
      </w:r>
    </w:p>
    <w:p w:rsidR="003717A0" w:rsidRDefault="003717A0" w:rsidP="005E20B5">
      <w:pPr>
        <w:adjustRightInd w:val="0"/>
        <w:snapToGrid w:val="0"/>
        <w:spacing w:beforeLines="50" w:afterLines="50" w:line="440" w:lineRule="exact"/>
        <w:jc w:val="center"/>
        <w:rPr>
          <w:rFonts w:ascii="黑体" w:eastAsia="黑体" w:cs="黑体"/>
          <w:kern w:val="0"/>
          <w:sz w:val="18"/>
          <w:szCs w:val="18"/>
        </w:rPr>
      </w:pPr>
      <w:r>
        <w:rPr>
          <w:rFonts w:ascii="黑体" w:eastAsia="黑体" w:cs="黑体"/>
          <w:kern w:val="0"/>
          <w:sz w:val="18"/>
          <w:szCs w:val="18"/>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修读完本课程规定内容的全校各专业本科学生；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提出并获准免修本课程、申请进行课程水平考核的全校各专业本科学生。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通过考核来检查和了解学生对本门课程内容的掌握程度，考核学生对毛泽东思想和中国特色社会主义理论体系的形成、主要内容和发展的了解和掌握，考核学生对党的路线方针政策的理解和认识，了解学生科学的世界观、人生观和价值观的树立情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期末开卷考核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60%</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40%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1</w:t>
      </w:r>
      <w:r>
        <w:rPr>
          <w:rFonts w:ascii="宋体" w:hAnsi="宋体" w:hint="eastAsia"/>
          <w:kern w:val="0"/>
          <w:sz w:val="22"/>
        </w:rPr>
        <w:t>、马克思主义中国化及其两大理论成果</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2</w:t>
      </w:r>
      <w:r>
        <w:rPr>
          <w:rFonts w:ascii="宋体" w:hAnsi="宋体" w:hint="eastAsia"/>
          <w:kern w:val="0"/>
          <w:sz w:val="22"/>
        </w:rPr>
        <w:t>、新民主主义革命理论</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3</w:t>
      </w:r>
      <w:r>
        <w:rPr>
          <w:rFonts w:ascii="宋体" w:hAnsi="宋体" w:hint="eastAsia"/>
          <w:kern w:val="0"/>
          <w:sz w:val="22"/>
        </w:rPr>
        <w:t>、社会主义改造理论</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4</w:t>
      </w:r>
      <w:r>
        <w:rPr>
          <w:rFonts w:ascii="宋体" w:hAnsi="宋体" w:hint="eastAsia"/>
          <w:kern w:val="0"/>
          <w:sz w:val="22"/>
        </w:rPr>
        <w:t>、社会主义建设道路初步探索的理论成果</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5</w:t>
      </w:r>
      <w:r>
        <w:rPr>
          <w:rFonts w:ascii="宋体" w:hAnsi="宋体" w:hint="eastAsia"/>
          <w:kern w:val="0"/>
          <w:sz w:val="22"/>
        </w:rPr>
        <w:t>、建设中国特色社会主义总依据</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6</w:t>
      </w:r>
      <w:r>
        <w:rPr>
          <w:rFonts w:ascii="宋体" w:hAnsi="宋体" w:hint="eastAsia"/>
          <w:kern w:val="0"/>
          <w:sz w:val="22"/>
        </w:rPr>
        <w:t>、社会主义本质和建设中国特色社会主义总任务</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7</w:t>
      </w:r>
      <w:r>
        <w:rPr>
          <w:rFonts w:ascii="宋体" w:hAnsi="宋体" w:hint="eastAsia"/>
          <w:kern w:val="0"/>
          <w:sz w:val="22"/>
        </w:rPr>
        <w:t>、社会主义改革开放理论</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8</w:t>
      </w:r>
      <w:r>
        <w:rPr>
          <w:rFonts w:ascii="宋体" w:hAnsi="宋体" w:hint="eastAsia"/>
          <w:kern w:val="0"/>
          <w:sz w:val="22"/>
        </w:rPr>
        <w:t>、建设中国特色社会主义总布局</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9</w:t>
      </w:r>
      <w:r>
        <w:rPr>
          <w:rFonts w:ascii="宋体" w:hAnsi="宋体" w:hint="eastAsia"/>
          <w:kern w:val="0"/>
          <w:sz w:val="22"/>
        </w:rPr>
        <w:t>、实现祖国完全统一的理论</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10</w:t>
      </w:r>
      <w:r>
        <w:rPr>
          <w:rFonts w:ascii="宋体" w:hAnsi="宋体" w:hint="eastAsia"/>
          <w:kern w:val="0"/>
          <w:sz w:val="22"/>
        </w:rPr>
        <w:t>、中国特色社会主义外交和国际战略</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11</w:t>
      </w:r>
      <w:r>
        <w:rPr>
          <w:rFonts w:ascii="宋体" w:hAnsi="宋体" w:hint="eastAsia"/>
          <w:kern w:val="0"/>
          <w:sz w:val="22"/>
        </w:rPr>
        <w:t>、建设中国特色社会主义的根本目的和依靠力量理论</w:t>
      </w:r>
    </w:p>
    <w:p w:rsidR="003717A0" w:rsidRDefault="003717A0">
      <w:pPr>
        <w:autoSpaceDE w:val="0"/>
        <w:autoSpaceDN w:val="0"/>
        <w:adjustRightInd w:val="0"/>
        <w:spacing w:line="440" w:lineRule="exact"/>
        <w:ind w:firstLineChars="192" w:firstLine="422"/>
        <w:jc w:val="left"/>
        <w:rPr>
          <w:rFonts w:ascii="宋体"/>
          <w:kern w:val="0"/>
          <w:sz w:val="22"/>
        </w:rPr>
      </w:pPr>
      <w:r>
        <w:rPr>
          <w:rFonts w:ascii="宋体" w:hAnsi="宋体"/>
          <w:kern w:val="0"/>
          <w:sz w:val="22"/>
        </w:rPr>
        <w:t>12</w:t>
      </w:r>
      <w:r>
        <w:rPr>
          <w:rFonts w:ascii="宋体" w:hAnsi="宋体" w:hint="eastAsia"/>
          <w:kern w:val="0"/>
          <w:sz w:val="22"/>
        </w:rPr>
        <w:t>、中国特色社会主义领导核心理论</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440" w:lineRule="exact"/>
        <w:ind w:firstLineChars="200" w:firstLine="440"/>
        <w:jc w:val="left"/>
        <w:rPr>
          <w:rFonts w:ascii="Times New Roman" w:hAnsi="Times New Roman"/>
          <w:kern w:val="0"/>
          <w:sz w:val="22"/>
        </w:rPr>
      </w:pPr>
      <w:r>
        <w:rPr>
          <w:rFonts w:ascii="Times New Roman" w:hAnsi="Times New Roman" w:hint="eastAsia"/>
          <w:kern w:val="0"/>
          <w:sz w:val="22"/>
        </w:rPr>
        <w:t>以马克思主义中国化两大理论成果、建设中国特色社会主义总布局、中国特色社会主义领导核心等为考试重点，考核学生运用课程知识分析问题、解决问题的能力，同时检查学生对毛泽东思想和中国特色社会主义理论体系的掌握和理解。</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rPr>
          <w:rFonts w:ascii="黑体" w:eastAsia="黑体" w:hAnsi="Times New Roman"/>
          <w:b/>
          <w:kern w:val="0"/>
          <w:sz w:val="32"/>
          <w:szCs w:val="32"/>
        </w:rPr>
      </w:pPr>
      <w:r>
        <w:rPr>
          <w:rFonts w:ascii="黑体" w:eastAsia="黑体" w:hint="eastAsia"/>
          <w:b/>
          <w:sz w:val="32"/>
          <w:szCs w:val="32"/>
        </w:rPr>
        <w:lastRenderedPageBreak/>
        <w:t>《毛泽东思想和中国特色社会主义理论体系概论》考试试题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p>
    <w:p w:rsidR="003717A0" w:rsidRDefault="003717A0">
      <w:pPr>
        <w:autoSpaceDE w:val="0"/>
        <w:autoSpaceDN w:val="0"/>
        <w:adjustRightInd w:val="0"/>
        <w:snapToGrid w:val="0"/>
        <w:spacing w:line="440" w:lineRule="exact"/>
        <w:ind w:firstLineChars="550" w:firstLine="1760"/>
        <w:rPr>
          <w:rFonts w:ascii="Times New Roman" w:hAnsi="Times New Roman"/>
          <w:kern w:val="0"/>
          <w:sz w:val="22"/>
        </w:rPr>
      </w:pPr>
      <w:r>
        <w:rPr>
          <w:sz w:val="32"/>
          <w:u w:val="single"/>
        </w:rPr>
        <w:t xml:space="preserve">       </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jc w:val="left"/>
        <w:rPr>
          <w:rFonts w:ascii="Times New Roman" w:hAnsi="Times New Roman"/>
          <w:b/>
          <w:kern w:val="0"/>
          <w:sz w:val="22"/>
        </w:rPr>
      </w:pPr>
    </w:p>
    <w:p w:rsidR="003717A0" w:rsidRDefault="003717A0">
      <w:pPr>
        <w:autoSpaceDE w:val="0"/>
        <w:autoSpaceDN w:val="0"/>
        <w:adjustRightInd w:val="0"/>
        <w:spacing w:line="440" w:lineRule="exact"/>
        <w:jc w:val="left"/>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p>
    <w:tbl>
      <w:tblPr>
        <w:tblW w:w="9000" w:type="dxa"/>
        <w:tblInd w:w="113" w:type="dxa"/>
        <w:tblBorders>
          <w:top w:val="single" w:sz="4" w:space="0" w:color="auto"/>
          <w:left w:val="single" w:sz="4" w:space="0" w:color="auto"/>
          <w:bottom w:val="single" w:sz="4" w:space="0" w:color="auto"/>
          <w:right w:val="single" w:sz="4" w:space="0" w:color="auto"/>
        </w:tblBorders>
        <w:tblLayout w:type="fixed"/>
        <w:tblLook w:val="00A0"/>
      </w:tblPr>
      <w:tblGrid>
        <w:gridCol w:w="800"/>
        <w:gridCol w:w="1400"/>
        <w:gridCol w:w="800"/>
        <w:gridCol w:w="6000"/>
      </w:tblGrid>
      <w:tr w:rsidR="003717A0">
        <w:trPr>
          <w:cantSplit/>
        </w:trPr>
        <w:tc>
          <w:tcPr>
            <w:tcW w:w="800" w:type="dxa"/>
            <w:tcBorders>
              <w:top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得分</w:t>
            </w: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评卷人</w:t>
            </w:r>
          </w:p>
        </w:tc>
        <w:tc>
          <w:tcPr>
            <w:tcW w:w="800" w:type="dxa"/>
            <w:vMerge w:val="restart"/>
            <w:tcBorders>
              <w:top w:val="nil"/>
              <w:left w:val="single" w:sz="4" w:space="0" w:color="auto"/>
              <w:bottom w:val="nil"/>
              <w:right w:val="nil"/>
            </w:tcBorders>
          </w:tcPr>
          <w:p w:rsidR="003717A0" w:rsidRDefault="003717A0">
            <w:pPr>
              <w:jc w:val="right"/>
              <w:rPr>
                <w:rFonts w:ascii="黑体" w:eastAsia="黑体" w:hAnsi="宋体"/>
                <w:sz w:val="24"/>
              </w:rPr>
            </w:pPr>
            <w:r>
              <w:rPr>
                <w:rFonts w:ascii="黑体" w:eastAsia="黑体" w:hAnsi="宋体" w:hint="eastAsia"/>
                <w:sz w:val="24"/>
              </w:rPr>
              <w:t>一、</w:t>
            </w:r>
          </w:p>
        </w:tc>
        <w:tc>
          <w:tcPr>
            <w:tcW w:w="6000" w:type="dxa"/>
            <w:vMerge w:val="restart"/>
            <w:tcBorders>
              <w:top w:val="nil"/>
              <w:left w:val="nil"/>
              <w:bottom w:val="nil"/>
              <w:right w:val="nil"/>
            </w:tcBorders>
          </w:tcPr>
          <w:p w:rsidR="003717A0" w:rsidRDefault="003717A0">
            <w:pPr>
              <w:rPr>
                <w:rFonts w:ascii="黑体" w:eastAsia="黑体" w:hAnsi="宋体"/>
                <w:sz w:val="24"/>
              </w:rPr>
            </w:pPr>
            <w:r>
              <w:rPr>
                <w:rFonts w:ascii="黑体" w:eastAsia="黑体" w:hAnsi="宋体" w:hint="eastAsia"/>
                <w:sz w:val="24"/>
              </w:rPr>
              <w:t>简答题：（每小题</w:t>
            </w:r>
            <w:r>
              <w:rPr>
                <w:rFonts w:ascii="黑体" w:eastAsia="黑体" w:hAnsi="宋体"/>
                <w:sz w:val="24"/>
              </w:rPr>
              <w:t>8</w:t>
            </w:r>
            <w:r>
              <w:rPr>
                <w:rFonts w:ascii="黑体" w:eastAsia="黑体" w:hAnsi="宋体" w:hint="eastAsia"/>
                <w:sz w:val="24"/>
              </w:rPr>
              <w:t>分，本大题共</w:t>
            </w:r>
            <w:r>
              <w:rPr>
                <w:rFonts w:ascii="黑体" w:eastAsia="黑体" w:hAnsi="宋体"/>
                <w:sz w:val="24"/>
              </w:rPr>
              <w:t>40</w:t>
            </w:r>
            <w:r>
              <w:rPr>
                <w:rFonts w:ascii="黑体" w:eastAsia="黑体" w:hAnsi="宋体" w:hint="eastAsia"/>
                <w:sz w:val="24"/>
              </w:rPr>
              <w:t>分）</w:t>
            </w:r>
          </w:p>
        </w:tc>
      </w:tr>
      <w:tr w:rsidR="003717A0">
        <w:trPr>
          <w:cantSplit/>
        </w:trPr>
        <w:tc>
          <w:tcPr>
            <w:tcW w:w="800" w:type="dxa"/>
            <w:tcBorders>
              <w:top w:val="single" w:sz="4" w:space="0" w:color="auto"/>
              <w:bottom w:val="single" w:sz="4" w:space="0" w:color="auto"/>
              <w:right w:val="single" w:sz="4" w:space="0" w:color="auto"/>
            </w:tcBorders>
          </w:tcPr>
          <w:p w:rsidR="003717A0" w:rsidRDefault="003717A0">
            <w:pPr>
              <w:rPr>
                <w:rFonts w:ascii="宋体"/>
              </w:rPr>
            </w:pP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rPr>
                <w:rFonts w:ascii="宋体"/>
              </w:rPr>
            </w:pPr>
          </w:p>
        </w:tc>
        <w:tc>
          <w:tcPr>
            <w:tcW w:w="800" w:type="dxa"/>
            <w:vMerge/>
            <w:tcBorders>
              <w:top w:val="nil"/>
              <w:left w:val="single" w:sz="4" w:space="0" w:color="auto"/>
              <w:bottom w:val="nil"/>
              <w:right w:val="nil"/>
            </w:tcBorders>
            <w:vAlign w:val="center"/>
          </w:tcPr>
          <w:p w:rsidR="003717A0" w:rsidRDefault="003717A0">
            <w:pPr>
              <w:widowControl/>
              <w:jc w:val="left"/>
              <w:rPr>
                <w:rFonts w:ascii="黑体" w:eastAsia="黑体" w:hAnsi="宋体"/>
                <w:sz w:val="24"/>
              </w:rPr>
            </w:pPr>
          </w:p>
        </w:tc>
        <w:tc>
          <w:tcPr>
            <w:tcW w:w="6000" w:type="dxa"/>
            <w:vMerge/>
            <w:tcBorders>
              <w:top w:val="nil"/>
              <w:left w:val="nil"/>
              <w:bottom w:val="nil"/>
              <w:right w:val="nil"/>
            </w:tcBorders>
            <w:vAlign w:val="center"/>
          </w:tcPr>
          <w:p w:rsidR="003717A0" w:rsidRDefault="003717A0">
            <w:pPr>
              <w:widowControl/>
              <w:jc w:val="left"/>
              <w:rPr>
                <w:rFonts w:ascii="黑体" w:eastAsia="黑体" w:hAnsi="宋体"/>
                <w:sz w:val="24"/>
              </w:rPr>
            </w:pPr>
          </w:p>
        </w:tc>
      </w:tr>
    </w:tbl>
    <w:p w:rsidR="003717A0" w:rsidRDefault="003717A0">
      <w:pPr>
        <w:rPr>
          <w:rFonts w:eastAsia="楷体_GB2312"/>
          <w:sz w:val="24"/>
        </w:rPr>
      </w:pPr>
      <w:r>
        <w:rPr>
          <w:rFonts w:ascii="楷体_GB2312" w:eastAsia="楷体_GB2312"/>
          <w:sz w:val="24"/>
        </w:rPr>
        <w:t>1</w:t>
      </w:r>
      <w:r>
        <w:rPr>
          <w:rFonts w:eastAsia="楷体_GB2312"/>
          <w:sz w:val="24"/>
        </w:rPr>
        <w:t>.</w:t>
      </w:r>
      <w:r>
        <w:t xml:space="preserve"> </w:t>
      </w:r>
      <w:r>
        <w:rPr>
          <w:rFonts w:eastAsia="楷体_GB2312" w:hint="eastAsia"/>
          <w:sz w:val="24"/>
        </w:rPr>
        <w:t>为什么邓小平理论、“三个代表”重要思想、科学发展观被统称为中国特色社会主义理论体系？</w:t>
      </w:r>
      <w:r>
        <w:rPr>
          <w:rFonts w:eastAsia="楷体_GB2312"/>
          <w:sz w:val="24"/>
        </w:rPr>
        <w:t xml:space="preserve"> </w:t>
      </w:r>
    </w:p>
    <w:p w:rsidR="003717A0" w:rsidRDefault="003717A0">
      <w:pPr>
        <w:rPr>
          <w:rFonts w:ascii="楷体_GB2312" w:eastAsia="楷体_GB2312"/>
          <w:sz w:val="24"/>
        </w:rPr>
      </w:pPr>
      <w:r>
        <w:rPr>
          <w:rFonts w:ascii="楷体_GB2312" w:eastAsia="楷体_GB2312"/>
          <w:sz w:val="24"/>
        </w:rPr>
        <w:t>2.</w:t>
      </w:r>
      <w:r>
        <w:t xml:space="preserve"> </w:t>
      </w:r>
      <w:r>
        <w:rPr>
          <w:rFonts w:ascii="楷体_GB2312" w:eastAsia="楷体_GB2312" w:hint="eastAsia"/>
          <w:sz w:val="24"/>
        </w:rPr>
        <w:t>简述中国共产党的宗旨和服务型政党的内涵。</w:t>
      </w:r>
    </w:p>
    <w:p w:rsidR="003717A0" w:rsidRDefault="003717A0">
      <w:pPr>
        <w:rPr>
          <w:rFonts w:ascii="楷体_GB2312" w:eastAsia="楷体_GB2312"/>
          <w:sz w:val="24"/>
        </w:rPr>
      </w:pPr>
      <w:r>
        <w:rPr>
          <w:rFonts w:ascii="楷体_GB2312" w:eastAsia="楷体_GB2312"/>
          <w:sz w:val="24"/>
        </w:rPr>
        <w:t xml:space="preserve">3. </w:t>
      </w:r>
      <w:r>
        <w:rPr>
          <w:rFonts w:ascii="楷体_GB2312" w:eastAsia="楷体_GB2312" w:hint="eastAsia"/>
          <w:sz w:val="24"/>
        </w:rPr>
        <w:t>简述战略机遇期的内涵及当前国内的有利条件和面对的困难。</w:t>
      </w:r>
    </w:p>
    <w:p w:rsidR="003717A0" w:rsidRDefault="003717A0">
      <w:pPr>
        <w:rPr>
          <w:rFonts w:ascii="楷体_GB2312" w:eastAsia="楷体_GB2312"/>
          <w:sz w:val="24"/>
        </w:rPr>
      </w:pPr>
      <w:r>
        <w:rPr>
          <w:rFonts w:ascii="楷体_GB2312" w:eastAsia="楷体_GB2312"/>
          <w:sz w:val="24"/>
        </w:rPr>
        <w:t>4.</w:t>
      </w:r>
      <w:r>
        <w:t xml:space="preserve"> </w:t>
      </w:r>
      <w:r>
        <w:rPr>
          <w:rFonts w:ascii="楷体_GB2312" w:eastAsia="楷体_GB2312" w:hint="eastAsia"/>
          <w:sz w:val="24"/>
        </w:rPr>
        <w:t>简述社会主义建设道路初步探索的经验教训。</w:t>
      </w:r>
    </w:p>
    <w:p w:rsidR="003717A0" w:rsidRDefault="003717A0">
      <w:pPr>
        <w:rPr>
          <w:rFonts w:eastAsia="楷体_GB2312"/>
          <w:sz w:val="24"/>
        </w:rPr>
      </w:pPr>
      <w:r>
        <w:rPr>
          <w:rFonts w:ascii="楷体_GB2312" w:eastAsia="楷体_GB2312"/>
          <w:sz w:val="24"/>
        </w:rPr>
        <w:t xml:space="preserve">5. </w:t>
      </w:r>
      <w:r>
        <w:rPr>
          <w:rFonts w:eastAsia="楷体_GB2312" w:hint="eastAsia"/>
          <w:sz w:val="24"/>
        </w:rPr>
        <w:t>简述建设“法治中国”的目标和任务。</w:t>
      </w:r>
    </w:p>
    <w:tbl>
      <w:tblPr>
        <w:tblW w:w="9000" w:type="dxa"/>
        <w:tblInd w:w="113" w:type="dxa"/>
        <w:tblBorders>
          <w:top w:val="single" w:sz="4" w:space="0" w:color="auto"/>
          <w:left w:val="single" w:sz="4" w:space="0" w:color="auto"/>
          <w:bottom w:val="single" w:sz="4" w:space="0" w:color="auto"/>
          <w:right w:val="single" w:sz="4" w:space="0" w:color="auto"/>
        </w:tblBorders>
        <w:tblLayout w:type="fixed"/>
        <w:tblLook w:val="00A0"/>
      </w:tblPr>
      <w:tblGrid>
        <w:gridCol w:w="800"/>
        <w:gridCol w:w="1400"/>
        <w:gridCol w:w="800"/>
        <w:gridCol w:w="6000"/>
      </w:tblGrid>
      <w:tr w:rsidR="003717A0">
        <w:trPr>
          <w:cantSplit/>
        </w:trPr>
        <w:tc>
          <w:tcPr>
            <w:tcW w:w="800" w:type="dxa"/>
            <w:tcBorders>
              <w:top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得分</w:t>
            </w: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评卷人</w:t>
            </w:r>
          </w:p>
        </w:tc>
        <w:tc>
          <w:tcPr>
            <w:tcW w:w="800" w:type="dxa"/>
            <w:vMerge w:val="restart"/>
            <w:tcBorders>
              <w:top w:val="nil"/>
              <w:left w:val="single" w:sz="4" w:space="0" w:color="auto"/>
              <w:bottom w:val="nil"/>
              <w:right w:val="nil"/>
            </w:tcBorders>
          </w:tcPr>
          <w:p w:rsidR="003717A0" w:rsidRDefault="003717A0">
            <w:pPr>
              <w:jc w:val="right"/>
              <w:rPr>
                <w:rFonts w:ascii="黑体" w:eastAsia="黑体" w:hAnsi="宋体"/>
                <w:sz w:val="24"/>
              </w:rPr>
            </w:pPr>
            <w:r>
              <w:rPr>
                <w:rFonts w:ascii="黑体" w:eastAsia="黑体" w:hAnsi="宋体" w:hint="eastAsia"/>
                <w:sz w:val="24"/>
              </w:rPr>
              <w:t>二、</w:t>
            </w:r>
          </w:p>
        </w:tc>
        <w:tc>
          <w:tcPr>
            <w:tcW w:w="6000" w:type="dxa"/>
            <w:vMerge w:val="restart"/>
            <w:tcBorders>
              <w:top w:val="nil"/>
              <w:left w:val="nil"/>
              <w:bottom w:val="nil"/>
              <w:right w:val="nil"/>
            </w:tcBorders>
          </w:tcPr>
          <w:p w:rsidR="003717A0" w:rsidRDefault="003717A0">
            <w:pPr>
              <w:rPr>
                <w:rFonts w:ascii="黑体" w:eastAsia="黑体" w:hAnsi="宋体"/>
                <w:sz w:val="24"/>
              </w:rPr>
            </w:pPr>
            <w:r>
              <w:rPr>
                <w:rFonts w:ascii="黑体" w:eastAsia="黑体" w:hAnsi="宋体" w:hint="eastAsia"/>
                <w:sz w:val="24"/>
              </w:rPr>
              <w:t>辨析题：（判断对错，并说明理由。每小题</w:t>
            </w:r>
            <w:r>
              <w:rPr>
                <w:rFonts w:ascii="黑体" w:eastAsia="黑体" w:hAnsi="宋体"/>
                <w:sz w:val="24"/>
              </w:rPr>
              <w:t>10</w:t>
            </w:r>
            <w:r>
              <w:rPr>
                <w:rFonts w:ascii="黑体" w:eastAsia="黑体" w:hAnsi="宋体" w:hint="eastAsia"/>
                <w:sz w:val="24"/>
              </w:rPr>
              <w:t>分，本大题共</w:t>
            </w:r>
            <w:r>
              <w:rPr>
                <w:rFonts w:ascii="黑体" w:eastAsia="黑体" w:hAnsi="宋体"/>
                <w:sz w:val="24"/>
              </w:rPr>
              <w:t>20</w:t>
            </w:r>
            <w:r>
              <w:rPr>
                <w:rFonts w:ascii="黑体" w:eastAsia="黑体" w:hAnsi="宋体" w:hint="eastAsia"/>
                <w:sz w:val="24"/>
              </w:rPr>
              <w:t>分）</w:t>
            </w:r>
          </w:p>
        </w:tc>
      </w:tr>
      <w:tr w:rsidR="003717A0">
        <w:trPr>
          <w:cantSplit/>
        </w:trPr>
        <w:tc>
          <w:tcPr>
            <w:tcW w:w="800" w:type="dxa"/>
            <w:tcBorders>
              <w:top w:val="single" w:sz="4" w:space="0" w:color="auto"/>
              <w:bottom w:val="single" w:sz="4" w:space="0" w:color="auto"/>
              <w:right w:val="single" w:sz="4" w:space="0" w:color="auto"/>
            </w:tcBorders>
          </w:tcPr>
          <w:p w:rsidR="003717A0" w:rsidRDefault="003717A0">
            <w:pPr>
              <w:rPr>
                <w:rFonts w:ascii="宋体"/>
              </w:rPr>
            </w:pP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rPr>
                <w:rFonts w:ascii="宋体"/>
              </w:rPr>
            </w:pPr>
          </w:p>
        </w:tc>
        <w:tc>
          <w:tcPr>
            <w:tcW w:w="800" w:type="dxa"/>
            <w:vMerge/>
            <w:tcBorders>
              <w:top w:val="nil"/>
              <w:left w:val="single" w:sz="4" w:space="0" w:color="auto"/>
              <w:bottom w:val="nil"/>
              <w:right w:val="nil"/>
            </w:tcBorders>
            <w:vAlign w:val="center"/>
          </w:tcPr>
          <w:p w:rsidR="003717A0" w:rsidRDefault="003717A0">
            <w:pPr>
              <w:widowControl/>
              <w:jc w:val="left"/>
              <w:rPr>
                <w:rFonts w:ascii="黑体" w:eastAsia="黑体" w:hAnsi="宋体"/>
                <w:sz w:val="24"/>
              </w:rPr>
            </w:pPr>
          </w:p>
        </w:tc>
        <w:tc>
          <w:tcPr>
            <w:tcW w:w="6000" w:type="dxa"/>
            <w:vMerge/>
            <w:tcBorders>
              <w:top w:val="nil"/>
              <w:left w:val="nil"/>
              <w:bottom w:val="nil"/>
              <w:right w:val="nil"/>
            </w:tcBorders>
            <w:vAlign w:val="center"/>
          </w:tcPr>
          <w:p w:rsidR="003717A0" w:rsidRDefault="003717A0">
            <w:pPr>
              <w:widowControl/>
              <w:jc w:val="left"/>
              <w:rPr>
                <w:rFonts w:ascii="黑体" w:eastAsia="黑体" w:hAnsi="宋体"/>
                <w:sz w:val="24"/>
              </w:rPr>
            </w:pPr>
          </w:p>
        </w:tc>
      </w:tr>
    </w:tbl>
    <w:p w:rsidR="003717A0" w:rsidRDefault="003717A0">
      <w:pPr>
        <w:rPr>
          <w:rFonts w:ascii="楷体_GB2312" w:eastAsia="楷体_GB2312"/>
          <w:sz w:val="24"/>
        </w:rPr>
      </w:pPr>
      <w:r>
        <w:rPr>
          <w:rFonts w:ascii="楷体_GB2312" w:eastAsia="楷体_GB2312"/>
          <w:sz w:val="24"/>
        </w:rPr>
        <w:t>1.</w:t>
      </w:r>
      <w:r>
        <w:t xml:space="preserve"> </w:t>
      </w:r>
      <w:r>
        <w:rPr>
          <w:rFonts w:ascii="楷体_GB2312" w:eastAsia="楷体_GB2312" w:hint="eastAsia"/>
          <w:sz w:val="24"/>
        </w:rPr>
        <w:t>公有制经济的性质和实现形式是两个相同层次的问题。</w:t>
      </w:r>
    </w:p>
    <w:p w:rsidR="003717A0" w:rsidRDefault="003717A0">
      <w:pPr>
        <w:rPr>
          <w:rFonts w:ascii="楷体_GB2312" w:eastAsia="楷体_GB2312"/>
          <w:sz w:val="24"/>
        </w:rPr>
      </w:pPr>
      <w:r>
        <w:rPr>
          <w:rFonts w:ascii="楷体_GB2312" w:eastAsia="楷体_GB2312"/>
          <w:sz w:val="24"/>
        </w:rPr>
        <w:t>2.</w:t>
      </w:r>
      <w:r>
        <w:rPr>
          <w:rFonts w:ascii="楷体_GB2312" w:eastAsia="楷体_GB2312" w:hint="eastAsia"/>
          <w:sz w:val="24"/>
        </w:rPr>
        <w:t>新民主主义革命实质上就是党领导下农民革命。</w:t>
      </w:r>
    </w:p>
    <w:tbl>
      <w:tblPr>
        <w:tblW w:w="9000" w:type="dxa"/>
        <w:tblInd w:w="113" w:type="dxa"/>
        <w:tblBorders>
          <w:top w:val="single" w:sz="4" w:space="0" w:color="auto"/>
          <w:left w:val="single" w:sz="4" w:space="0" w:color="auto"/>
          <w:bottom w:val="single" w:sz="4" w:space="0" w:color="auto"/>
          <w:right w:val="single" w:sz="4" w:space="0" w:color="auto"/>
        </w:tblBorders>
        <w:tblLayout w:type="fixed"/>
        <w:tblLook w:val="00A0"/>
      </w:tblPr>
      <w:tblGrid>
        <w:gridCol w:w="800"/>
        <w:gridCol w:w="1400"/>
        <w:gridCol w:w="800"/>
        <w:gridCol w:w="6000"/>
      </w:tblGrid>
      <w:tr w:rsidR="003717A0">
        <w:trPr>
          <w:cantSplit/>
        </w:trPr>
        <w:tc>
          <w:tcPr>
            <w:tcW w:w="800" w:type="dxa"/>
            <w:tcBorders>
              <w:top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得分</w:t>
            </w: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评卷人</w:t>
            </w:r>
          </w:p>
        </w:tc>
        <w:tc>
          <w:tcPr>
            <w:tcW w:w="800" w:type="dxa"/>
            <w:vMerge w:val="restart"/>
            <w:tcBorders>
              <w:top w:val="nil"/>
              <w:left w:val="single" w:sz="4" w:space="0" w:color="auto"/>
              <w:bottom w:val="nil"/>
              <w:right w:val="nil"/>
            </w:tcBorders>
          </w:tcPr>
          <w:p w:rsidR="003717A0" w:rsidRDefault="003717A0">
            <w:pPr>
              <w:jc w:val="right"/>
              <w:rPr>
                <w:rFonts w:ascii="黑体" w:eastAsia="黑体" w:hAnsi="宋体"/>
                <w:sz w:val="24"/>
              </w:rPr>
            </w:pPr>
            <w:r>
              <w:rPr>
                <w:rFonts w:ascii="黑体" w:eastAsia="黑体" w:hAnsi="宋体" w:hint="eastAsia"/>
                <w:sz w:val="24"/>
              </w:rPr>
              <w:t>三、</w:t>
            </w:r>
          </w:p>
        </w:tc>
        <w:tc>
          <w:tcPr>
            <w:tcW w:w="6000" w:type="dxa"/>
            <w:vMerge w:val="restart"/>
            <w:tcBorders>
              <w:top w:val="nil"/>
              <w:left w:val="nil"/>
              <w:bottom w:val="nil"/>
              <w:right w:val="nil"/>
            </w:tcBorders>
          </w:tcPr>
          <w:p w:rsidR="003717A0" w:rsidRDefault="003717A0">
            <w:pPr>
              <w:rPr>
                <w:rFonts w:ascii="黑体" w:eastAsia="黑体" w:hAnsi="宋体"/>
                <w:sz w:val="24"/>
              </w:rPr>
            </w:pPr>
            <w:r>
              <w:rPr>
                <w:rFonts w:ascii="黑体" w:eastAsia="黑体" w:hAnsi="宋体" w:hint="eastAsia"/>
                <w:sz w:val="24"/>
              </w:rPr>
              <w:t>材料分析题：（本大题共</w:t>
            </w:r>
            <w:r>
              <w:rPr>
                <w:rFonts w:ascii="黑体" w:eastAsia="黑体" w:hAnsi="宋体"/>
                <w:sz w:val="24"/>
              </w:rPr>
              <w:t>20</w:t>
            </w:r>
            <w:r>
              <w:rPr>
                <w:rFonts w:ascii="黑体" w:eastAsia="黑体" w:hAnsi="宋体" w:hint="eastAsia"/>
                <w:sz w:val="24"/>
              </w:rPr>
              <w:t>分）</w:t>
            </w:r>
          </w:p>
        </w:tc>
      </w:tr>
      <w:tr w:rsidR="003717A0">
        <w:trPr>
          <w:cantSplit/>
        </w:trPr>
        <w:tc>
          <w:tcPr>
            <w:tcW w:w="800" w:type="dxa"/>
            <w:tcBorders>
              <w:top w:val="single" w:sz="4" w:space="0" w:color="auto"/>
              <w:bottom w:val="single" w:sz="4" w:space="0" w:color="auto"/>
              <w:right w:val="single" w:sz="4" w:space="0" w:color="auto"/>
            </w:tcBorders>
          </w:tcPr>
          <w:p w:rsidR="003717A0" w:rsidRDefault="003717A0">
            <w:pPr>
              <w:rPr>
                <w:rFonts w:ascii="宋体"/>
              </w:rPr>
            </w:pP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rPr>
                <w:rFonts w:ascii="宋体"/>
              </w:rPr>
            </w:pPr>
          </w:p>
        </w:tc>
        <w:tc>
          <w:tcPr>
            <w:tcW w:w="800" w:type="dxa"/>
            <w:vMerge/>
            <w:tcBorders>
              <w:top w:val="nil"/>
              <w:left w:val="single" w:sz="4" w:space="0" w:color="auto"/>
              <w:bottom w:val="nil"/>
              <w:right w:val="nil"/>
            </w:tcBorders>
            <w:vAlign w:val="center"/>
          </w:tcPr>
          <w:p w:rsidR="003717A0" w:rsidRDefault="003717A0">
            <w:pPr>
              <w:widowControl/>
              <w:jc w:val="left"/>
              <w:rPr>
                <w:rFonts w:ascii="黑体" w:eastAsia="黑体" w:hAnsi="宋体"/>
                <w:sz w:val="24"/>
              </w:rPr>
            </w:pPr>
          </w:p>
        </w:tc>
        <w:tc>
          <w:tcPr>
            <w:tcW w:w="6000" w:type="dxa"/>
            <w:vMerge/>
            <w:tcBorders>
              <w:top w:val="nil"/>
              <w:left w:val="nil"/>
              <w:bottom w:val="nil"/>
              <w:right w:val="nil"/>
            </w:tcBorders>
            <w:vAlign w:val="center"/>
          </w:tcPr>
          <w:p w:rsidR="003717A0" w:rsidRDefault="003717A0">
            <w:pPr>
              <w:widowControl/>
              <w:jc w:val="left"/>
              <w:rPr>
                <w:rFonts w:ascii="黑体" w:eastAsia="黑体" w:hAnsi="宋体"/>
                <w:sz w:val="24"/>
              </w:rPr>
            </w:pPr>
          </w:p>
        </w:tc>
      </w:tr>
    </w:tbl>
    <w:p w:rsidR="003717A0" w:rsidRDefault="003717A0">
      <w:pPr>
        <w:rPr>
          <w:rFonts w:eastAsia="楷体_GB2312"/>
          <w:sz w:val="24"/>
        </w:rPr>
      </w:pPr>
      <w:r>
        <w:rPr>
          <w:rFonts w:eastAsia="楷体_GB2312" w:hint="eastAsia"/>
          <w:sz w:val="24"/>
        </w:rPr>
        <w:t>阅读以下材料，并回答问题。</w:t>
      </w:r>
    </w:p>
    <w:p w:rsidR="003717A0" w:rsidRDefault="003717A0">
      <w:pPr>
        <w:pStyle w:val="HTML"/>
        <w:ind w:firstLineChars="200" w:firstLine="480"/>
        <w:rPr>
          <w:rFonts w:ascii="Times New Roman" w:eastAsia="楷体_GB2312" w:hAnsi="Times New Roman" w:cs="Times New Roman"/>
          <w:kern w:val="2"/>
        </w:rPr>
      </w:pPr>
      <w:r>
        <w:rPr>
          <w:rFonts w:ascii="Times New Roman" w:eastAsia="楷体_GB2312" w:hAnsi="Times New Roman" w:cs="Times New Roman" w:hint="eastAsia"/>
          <w:kern w:val="2"/>
        </w:rPr>
        <w:t>材料一：“适应经济全球化新形势，必须实行更加积极主动的开放战略，完善互利共赢、多元平衡、安全高效的开放型经济体系。······统筹双边、多边、区域次区域开放合作，加快实施自由贸易区战略，推动同周边国家互联互通。提高抵御国际经济风险能力。</w:t>
      </w:r>
      <w:r>
        <w:rPr>
          <w:rFonts w:ascii="Times New Roman" w:eastAsia="楷体_GB2312" w:hAnsi="Times New Roman" w:cs="Times New Roman"/>
          <w:kern w:val="2"/>
        </w:rPr>
        <w:t xml:space="preserve">                       ——</w:t>
      </w:r>
      <w:r>
        <w:rPr>
          <w:rFonts w:ascii="Times New Roman" w:eastAsia="楷体_GB2312" w:hAnsi="Times New Roman" w:cs="Times New Roman" w:hint="eastAsia"/>
          <w:kern w:val="2"/>
        </w:rPr>
        <w:t>胡锦涛：《十八大报告》，</w:t>
      </w:r>
      <w:r>
        <w:rPr>
          <w:rFonts w:ascii="Times New Roman" w:eastAsia="楷体_GB2312" w:hAnsi="Times New Roman" w:cs="Times New Roman"/>
          <w:kern w:val="2"/>
        </w:rPr>
        <w:t>2012</w:t>
      </w:r>
      <w:r>
        <w:rPr>
          <w:rFonts w:ascii="Times New Roman" w:eastAsia="楷体_GB2312" w:hAnsi="Times New Roman" w:cs="Times New Roman" w:hint="eastAsia"/>
          <w:kern w:val="2"/>
        </w:rPr>
        <w:t>年</w:t>
      </w:r>
      <w:r>
        <w:rPr>
          <w:rFonts w:ascii="Times New Roman" w:eastAsia="楷体_GB2312" w:hAnsi="Times New Roman" w:cs="Times New Roman"/>
          <w:kern w:val="2"/>
        </w:rPr>
        <w:t>11</w:t>
      </w:r>
      <w:r>
        <w:rPr>
          <w:rFonts w:ascii="Times New Roman" w:eastAsia="楷体_GB2312" w:hAnsi="Times New Roman" w:cs="Times New Roman" w:hint="eastAsia"/>
          <w:kern w:val="2"/>
        </w:rPr>
        <w:t>月</w:t>
      </w:r>
    </w:p>
    <w:p w:rsidR="003717A0" w:rsidRDefault="003717A0">
      <w:pPr>
        <w:pStyle w:val="HTML"/>
        <w:ind w:firstLineChars="200" w:firstLine="480"/>
        <w:rPr>
          <w:rFonts w:ascii="Times New Roman" w:eastAsia="楷体_GB2312" w:hAnsi="Times New Roman" w:cs="Times New Roman"/>
          <w:kern w:val="2"/>
        </w:rPr>
      </w:pPr>
      <w:r>
        <w:rPr>
          <w:rFonts w:ascii="Times New Roman" w:eastAsia="楷体_GB2312" w:hAnsi="Times New Roman" w:cs="Times New Roman"/>
          <w:kern w:val="2"/>
        </w:rPr>
        <w:t xml:space="preserve"> </w:t>
      </w:r>
      <w:r>
        <w:rPr>
          <w:rFonts w:ascii="Times New Roman" w:eastAsia="楷体_GB2312" w:hAnsi="Times New Roman" w:cs="Times New Roman" w:hint="eastAsia"/>
          <w:kern w:val="2"/>
        </w:rPr>
        <w:t>材料二：“一带一路”沿线大多是新兴经济体和发展中国家，总人口约</w:t>
      </w:r>
      <w:r>
        <w:rPr>
          <w:rFonts w:ascii="Times New Roman" w:eastAsia="楷体_GB2312" w:hAnsi="Times New Roman" w:cs="Times New Roman"/>
          <w:kern w:val="2"/>
        </w:rPr>
        <w:t>44</w:t>
      </w:r>
      <w:r>
        <w:rPr>
          <w:rFonts w:ascii="Times New Roman" w:eastAsia="楷体_GB2312" w:hAnsi="Times New Roman" w:cs="Times New Roman" w:hint="eastAsia"/>
          <w:kern w:val="2"/>
        </w:rPr>
        <w:t>亿，经济总量约</w:t>
      </w:r>
      <w:r>
        <w:rPr>
          <w:rFonts w:ascii="Times New Roman" w:eastAsia="楷体_GB2312" w:hAnsi="Times New Roman" w:cs="Times New Roman"/>
          <w:kern w:val="2"/>
        </w:rPr>
        <w:t>21</w:t>
      </w:r>
      <w:r>
        <w:rPr>
          <w:rFonts w:ascii="Times New Roman" w:eastAsia="楷体_GB2312" w:hAnsi="Times New Roman" w:cs="Times New Roman" w:hint="eastAsia"/>
          <w:kern w:val="2"/>
        </w:rPr>
        <w:t>万亿美元，分别约占全球的</w:t>
      </w:r>
      <w:r>
        <w:rPr>
          <w:rFonts w:ascii="Times New Roman" w:eastAsia="楷体_GB2312" w:hAnsi="Times New Roman" w:cs="Times New Roman"/>
          <w:kern w:val="2"/>
        </w:rPr>
        <w:t>63%</w:t>
      </w:r>
      <w:r>
        <w:rPr>
          <w:rFonts w:ascii="Times New Roman" w:eastAsia="楷体_GB2312" w:hAnsi="Times New Roman" w:cs="Times New Roman" w:hint="eastAsia"/>
          <w:kern w:val="2"/>
        </w:rPr>
        <w:t>和</w:t>
      </w:r>
      <w:r>
        <w:rPr>
          <w:rFonts w:ascii="Times New Roman" w:eastAsia="楷体_GB2312" w:hAnsi="Times New Roman" w:cs="Times New Roman"/>
          <w:kern w:val="2"/>
        </w:rPr>
        <w:t>29%</w:t>
      </w:r>
      <w:r>
        <w:rPr>
          <w:rFonts w:ascii="Times New Roman" w:eastAsia="楷体_GB2312" w:hAnsi="Times New Roman" w:cs="Times New Roman" w:hint="eastAsia"/>
          <w:kern w:val="2"/>
        </w:rPr>
        <w:t>。这些国家普遍处于经济发展的上升期，开展互利合作的前景广阔。深挖我国与沿线国家的合作潜力，必将提升新兴经济体和发展中国家在我国对外开放格局中的地位。</w:t>
      </w:r>
    </w:p>
    <w:p w:rsidR="003717A0" w:rsidRDefault="003717A0">
      <w:pPr>
        <w:pStyle w:val="HTML"/>
        <w:ind w:firstLineChars="250" w:firstLine="600"/>
        <w:rPr>
          <w:rFonts w:ascii="Times New Roman" w:eastAsia="楷体_GB2312" w:hAnsi="Times New Roman" w:cs="Times New Roman"/>
          <w:kern w:val="2"/>
        </w:rPr>
      </w:pPr>
      <w:r>
        <w:rPr>
          <w:rFonts w:ascii="Times New Roman" w:eastAsia="楷体_GB2312" w:hAnsi="Times New Roman" w:cs="Times New Roman"/>
          <w:kern w:val="2"/>
        </w:rPr>
        <w:t>——</w:t>
      </w:r>
      <w:r>
        <w:rPr>
          <w:rFonts w:ascii="Times New Roman" w:eastAsia="楷体_GB2312" w:hAnsi="Times New Roman" w:cs="Times New Roman" w:hint="eastAsia"/>
          <w:kern w:val="2"/>
        </w:rPr>
        <w:t>《“一带一路”战略引领中国开放经济新格局》，中国经济新闻网</w:t>
      </w:r>
      <w:r>
        <w:rPr>
          <w:rFonts w:ascii="Times New Roman" w:eastAsia="楷体_GB2312" w:hAnsi="Times New Roman" w:cs="Times New Roman"/>
          <w:kern w:val="2"/>
        </w:rPr>
        <w:t>2014.12.17</w:t>
      </w:r>
    </w:p>
    <w:p w:rsidR="003717A0" w:rsidRDefault="003717A0">
      <w:pPr>
        <w:pStyle w:val="HTML"/>
        <w:ind w:firstLineChars="200" w:firstLine="480"/>
        <w:rPr>
          <w:rFonts w:ascii="Times New Roman" w:eastAsia="楷体_GB2312" w:hAnsi="Times New Roman" w:cs="Times New Roman"/>
          <w:kern w:val="2"/>
        </w:rPr>
      </w:pPr>
      <w:r>
        <w:rPr>
          <w:rFonts w:ascii="Times New Roman" w:eastAsia="楷体_GB2312" w:hAnsi="Times New Roman" w:cs="Times New Roman" w:hint="eastAsia"/>
          <w:kern w:val="2"/>
        </w:rPr>
        <w:t>材料三：习近平主席提出的“一带一路”是一个突破性、全局性的长期战略。“一带一路”是打造中国与相关各国互利共赢的“利益共同体”和共同发展繁荣“命运共同体”的战略构想。“新丝绸之路经济带”东边牵着亚太经济圈，西边系着发达的欧洲经济圈，是“世界上最长、最具有发展潜力的经济大走廊”。“</w:t>
      </w:r>
      <w:r>
        <w:rPr>
          <w:rFonts w:ascii="Times New Roman" w:eastAsia="楷体_GB2312" w:hAnsi="Times New Roman" w:cs="Times New Roman"/>
          <w:kern w:val="2"/>
        </w:rPr>
        <w:t>21</w:t>
      </w:r>
      <w:r>
        <w:rPr>
          <w:rFonts w:ascii="Times New Roman" w:eastAsia="楷体_GB2312" w:hAnsi="Times New Roman" w:cs="Times New Roman" w:hint="eastAsia"/>
          <w:kern w:val="2"/>
        </w:rPr>
        <w:t>世纪海上丝绸之路”通过海上互联互通、港口城市合作机制以及海洋经济合作，将中国和东南亚等国家临海港口城市串连了起来。“一带一路”将带动整个中国西部地区的开发和开放，解决中国的区域间发展差距问题，以实现新时期国内的城乡、区域间均衡性发展。因此，“一带一路”实际上是统筹改革开放的全新战略，是我国新时期对外开放的“龙头”。</w:t>
      </w:r>
    </w:p>
    <w:p w:rsidR="003717A0" w:rsidRDefault="003717A0">
      <w:pPr>
        <w:ind w:firstLineChars="1200" w:firstLine="2520"/>
        <w:rPr>
          <w:rFonts w:eastAsia="楷体_GB2312"/>
          <w:sz w:val="24"/>
        </w:rPr>
      </w:pPr>
      <w:r>
        <w:rPr>
          <w:rFonts w:ascii="Times New Roman" w:eastAsia="楷体_GB2312" w:hAnsi="Times New Roman"/>
        </w:rPr>
        <w:t>——</w:t>
      </w:r>
      <w:r>
        <w:rPr>
          <w:rFonts w:ascii="Times New Roman" w:eastAsia="楷体_GB2312" w:hAnsi="Times New Roman" w:hint="eastAsia"/>
        </w:rPr>
        <w:t>《我国新时期对外开放的龙头》，《光明日报》</w:t>
      </w:r>
      <w:r>
        <w:rPr>
          <w:rFonts w:ascii="Times New Roman" w:eastAsia="楷体_GB2312" w:hAnsi="Times New Roman"/>
        </w:rPr>
        <w:t>2015</w:t>
      </w:r>
      <w:r>
        <w:rPr>
          <w:rFonts w:ascii="Times New Roman" w:eastAsia="楷体_GB2312" w:hAnsi="Times New Roman" w:hint="eastAsia"/>
        </w:rPr>
        <w:t>年</w:t>
      </w:r>
      <w:r>
        <w:rPr>
          <w:rFonts w:ascii="Times New Roman" w:eastAsia="楷体_GB2312" w:hAnsi="Times New Roman"/>
        </w:rPr>
        <w:t>3</w:t>
      </w:r>
      <w:r>
        <w:rPr>
          <w:rFonts w:ascii="Times New Roman" w:eastAsia="楷体_GB2312" w:hAnsi="Times New Roman" w:hint="eastAsia"/>
        </w:rPr>
        <w:t>月</w:t>
      </w:r>
      <w:r>
        <w:rPr>
          <w:rFonts w:ascii="Times New Roman" w:eastAsia="楷体_GB2312" w:hAnsi="Times New Roman"/>
        </w:rPr>
        <w:t>12</w:t>
      </w:r>
      <w:r>
        <w:rPr>
          <w:rFonts w:ascii="Times New Roman" w:eastAsia="楷体_GB2312" w:hAnsi="Times New Roman" w:hint="eastAsia"/>
        </w:rPr>
        <w:t>日</w:t>
      </w:r>
    </w:p>
    <w:p w:rsidR="003717A0" w:rsidRDefault="003717A0">
      <w:pPr>
        <w:pStyle w:val="HTML"/>
        <w:ind w:firstLineChars="150" w:firstLine="360"/>
        <w:rPr>
          <w:rFonts w:ascii="Times New Roman" w:eastAsia="楷体_GB2312" w:hAnsi="Times New Roman" w:cs="Times New Roman"/>
          <w:kern w:val="2"/>
        </w:rPr>
      </w:pPr>
      <w:r>
        <w:rPr>
          <w:rFonts w:ascii="楷体_GB2312" w:eastAsia="楷体_GB2312" w:hAnsi="Times New Roman" w:cs="Times New Roman"/>
          <w:kern w:val="2"/>
        </w:rPr>
        <w:t>1</w:t>
      </w:r>
      <w:r>
        <w:rPr>
          <w:rFonts w:ascii="楷体_GB2312" w:eastAsia="楷体_GB2312"/>
        </w:rPr>
        <w:t>.20</w:t>
      </w:r>
      <w:r>
        <w:rPr>
          <w:rFonts w:ascii="楷体_GB2312" w:eastAsia="楷体_GB2312" w:hint="eastAsia"/>
        </w:rPr>
        <w:t>世纪</w:t>
      </w:r>
      <w:r>
        <w:rPr>
          <w:rFonts w:ascii="楷体_GB2312" w:eastAsia="楷体_GB2312"/>
        </w:rPr>
        <w:t>70</w:t>
      </w:r>
      <w:r>
        <w:rPr>
          <w:rFonts w:ascii="楷体_GB2312" w:eastAsia="楷体_GB2312" w:hint="eastAsia"/>
        </w:rPr>
        <w:t>年代末，中国实行对外开放的原因？（</w:t>
      </w:r>
      <w:r>
        <w:rPr>
          <w:rFonts w:ascii="楷体_GB2312" w:eastAsia="楷体_GB2312"/>
        </w:rPr>
        <w:t>6</w:t>
      </w:r>
      <w:r>
        <w:rPr>
          <w:rFonts w:ascii="楷体_GB2312" w:eastAsia="楷体_GB2312" w:hint="eastAsia"/>
        </w:rPr>
        <w:t>分）</w:t>
      </w:r>
    </w:p>
    <w:p w:rsidR="003717A0" w:rsidRDefault="003717A0">
      <w:pPr>
        <w:pStyle w:val="HTML"/>
        <w:ind w:firstLineChars="150" w:firstLine="360"/>
        <w:rPr>
          <w:rFonts w:ascii="Times New Roman" w:eastAsia="楷体_GB2312" w:hAnsi="Times New Roman" w:cs="Times New Roman"/>
          <w:kern w:val="2"/>
        </w:rPr>
      </w:pPr>
      <w:r>
        <w:rPr>
          <w:rFonts w:ascii="Times New Roman" w:eastAsia="楷体_GB2312" w:hAnsi="Times New Roman" w:cs="Times New Roman"/>
          <w:kern w:val="2"/>
        </w:rPr>
        <w:t>2</w:t>
      </w:r>
      <w:r>
        <w:rPr>
          <w:rFonts w:ascii="楷体_GB2312" w:eastAsia="楷体_GB2312"/>
        </w:rPr>
        <w:t>.</w:t>
      </w:r>
      <w:r>
        <w:rPr>
          <w:rFonts w:ascii="楷体_GB2312" w:eastAsia="楷体_GB2312" w:hint="eastAsia"/>
        </w:rPr>
        <w:t>当前，我国对外开放面临哪些新形势？（</w:t>
      </w:r>
      <w:r>
        <w:rPr>
          <w:rFonts w:ascii="楷体_GB2312" w:eastAsia="楷体_GB2312"/>
        </w:rPr>
        <w:t>6</w:t>
      </w:r>
      <w:r>
        <w:rPr>
          <w:rFonts w:ascii="楷体_GB2312" w:eastAsia="楷体_GB2312" w:hint="eastAsia"/>
        </w:rPr>
        <w:t>分）</w:t>
      </w:r>
    </w:p>
    <w:p w:rsidR="003717A0" w:rsidRDefault="003717A0">
      <w:pPr>
        <w:pStyle w:val="HTML"/>
        <w:ind w:firstLineChars="150" w:firstLine="360"/>
        <w:rPr>
          <w:rFonts w:ascii="Times New Roman" w:eastAsia="楷体_GB2312" w:hAnsi="Times New Roman" w:cs="Times New Roman"/>
          <w:kern w:val="2"/>
        </w:rPr>
      </w:pPr>
      <w:r>
        <w:rPr>
          <w:rFonts w:ascii="Times New Roman" w:eastAsia="楷体_GB2312" w:hAnsi="Times New Roman" w:cs="Times New Roman"/>
          <w:kern w:val="2"/>
        </w:rPr>
        <w:lastRenderedPageBreak/>
        <w:t>3</w:t>
      </w:r>
      <w:r>
        <w:rPr>
          <w:rFonts w:ascii="楷体_GB2312" w:eastAsia="楷体_GB2312"/>
        </w:rPr>
        <w:t>.</w:t>
      </w:r>
      <w:r>
        <w:rPr>
          <w:rFonts w:ascii="Times New Roman" w:eastAsia="楷体_GB2312" w:hAnsi="Times New Roman" w:cs="Times New Roman"/>
          <w:kern w:val="2"/>
        </w:rPr>
        <w:t xml:space="preserve"> </w:t>
      </w:r>
      <w:r>
        <w:rPr>
          <w:rFonts w:ascii="Times New Roman" w:eastAsia="楷体_GB2312" w:hAnsi="Times New Roman" w:cs="Times New Roman" w:hint="eastAsia"/>
          <w:kern w:val="2"/>
        </w:rPr>
        <w:t>“一带一路”战略指的是什么？我国实施“一带一路”战略有何重大作用和意义？</w:t>
      </w:r>
      <w:r>
        <w:rPr>
          <w:rFonts w:ascii="楷体_GB2312" w:eastAsia="楷体_GB2312" w:hint="eastAsia"/>
        </w:rPr>
        <w:t>（</w:t>
      </w:r>
      <w:r>
        <w:rPr>
          <w:rFonts w:ascii="楷体_GB2312" w:eastAsia="楷体_GB2312"/>
        </w:rPr>
        <w:t>8</w:t>
      </w:r>
      <w:r>
        <w:rPr>
          <w:rFonts w:ascii="楷体_GB2312" w:eastAsia="楷体_GB2312" w:hint="eastAsia"/>
        </w:rPr>
        <w:t>分）</w:t>
      </w:r>
    </w:p>
    <w:tbl>
      <w:tblPr>
        <w:tblW w:w="9000" w:type="dxa"/>
        <w:tblInd w:w="113" w:type="dxa"/>
        <w:tblBorders>
          <w:top w:val="single" w:sz="4" w:space="0" w:color="auto"/>
          <w:left w:val="single" w:sz="4" w:space="0" w:color="auto"/>
          <w:bottom w:val="single" w:sz="4" w:space="0" w:color="auto"/>
          <w:right w:val="single" w:sz="4" w:space="0" w:color="auto"/>
        </w:tblBorders>
        <w:tblLayout w:type="fixed"/>
        <w:tblLook w:val="00A0"/>
      </w:tblPr>
      <w:tblGrid>
        <w:gridCol w:w="800"/>
        <w:gridCol w:w="1400"/>
        <w:gridCol w:w="800"/>
        <w:gridCol w:w="6000"/>
      </w:tblGrid>
      <w:tr w:rsidR="003717A0">
        <w:trPr>
          <w:cantSplit/>
        </w:trPr>
        <w:tc>
          <w:tcPr>
            <w:tcW w:w="800" w:type="dxa"/>
            <w:tcBorders>
              <w:top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得分</w:t>
            </w: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jc w:val="center"/>
              <w:rPr>
                <w:rFonts w:ascii="宋体"/>
              </w:rPr>
            </w:pPr>
            <w:r>
              <w:rPr>
                <w:rFonts w:ascii="宋体" w:hAnsi="宋体" w:hint="eastAsia"/>
              </w:rPr>
              <w:t>评卷人</w:t>
            </w:r>
          </w:p>
        </w:tc>
        <w:tc>
          <w:tcPr>
            <w:tcW w:w="800" w:type="dxa"/>
            <w:vMerge w:val="restart"/>
            <w:tcBorders>
              <w:top w:val="nil"/>
              <w:left w:val="single" w:sz="4" w:space="0" w:color="auto"/>
              <w:bottom w:val="nil"/>
              <w:right w:val="nil"/>
            </w:tcBorders>
          </w:tcPr>
          <w:p w:rsidR="003717A0" w:rsidRDefault="003717A0">
            <w:pPr>
              <w:jc w:val="right"/>
              <w:rPr>
                <w:rFonts w:ascii="黑体" w:eastAsia="黑体" w:hAnsi="宋体"/>
                <w:sz w:val="24"/>
              </w:rPr>
            </w:pPr>
            <w:r>
              <w:rPr>
                <w:rFonts w:ascii="黑体" w:eastAsia="黑体" w:hAnsi="宋体" w:hint="eastAsia"/>
                <w:sz w:val="24"/>
              </w:rPr>
              <w:t>四、</w:t>
            </w:r>
          </w:p>
        </w:tc>
        <w:tc>
          <w:tcPr>
            <w:tcW w:w="6000" w:type="dxa"/>
            <w:vMerge w:val="restart"/>
            <w:tcBorders>
              <w:top w:val="nil"/>
              <w:left w:val="nil"/>
              <w:bottom w:val="nil"/>
              <w:right w:val="nil"/>
            </w:tcBorders>
          </w:tcPr>
          <w:p w:rsidR="003717A0" w:rsidRDefault="003717A0">
            <w:pPr>
              <w:rPr>
                <w:rFonts w:ascii="黑体" w:eastAsia="黑体" w:hAnsi="宋体"/>
                <w:sz w:val="24"/>
              </w:rPr>
            </w:pPr>
            <w:r>
              <w:rPr>
                <w:rFonts w:ascii="黑体" w:eastAsia="黑体" w:hAnsi="宋体" w:hint="eastAsia"/>
                <w:sz w:val="24"/>
              </w:rPr>
              <w:t>论述题：（本大题共</w:t>
            </w:r>
            <w:r>
              <w:rPr>
                <w:rFonts w:ascii="黑体" w:eastAsia="黑体" w:hAnsi="宋体"/>
                <w:sz w:val="24"/>
              </w:rPr>
              <w:t>20</w:t>
            </w:r>
            <w:r>
              <w:rPr>
                <w:rFonts w:ascii="黑体" w:eastAsia="黑体" w:hAnsi="宋体" w:hint="eastAsia"/>
                <w:sz w:val="24"/>
              </w:rPr>
              <w:t>分）</w:t>
            </w:r>
          </w:p>
        </w:tc>
      </w:tr>
      <w:tr w:rsidR="003717A0">
        <w:trPr>
          <w:cantSplit/>
        </w:trPr>
        <w:tc>
          <w:tcPr>
            <w:tcW w:w="800" w:type="dxa"/>
            <w:tcBorders>
              <w:top w:val="single" w:sz="4" w:space="0" w:color="auto"/>
              <w:bottom w:val="single" w:sz="4" w:space="0" w:color="auto"/>
              <w:right w:val="single" w:sz="4" w:space="0" w:color="auto"/>
            </w:tcBorders>
          </w:tcPr>
          <w:p w:rsidR="003717A0" w:rsidRDefault="003717A0">
            <w:pPr>
              <w:rPr>
                <w:rFonts w:ascii="宋体"/>
              </w:rPr>
            </w:pPr>
          </w:p>
        </w:tc>
        <w:tc>
          <w:tcPr>
            <w:tcW w:w="1400" w:type="dxa"/>
            <w:tcBorders>
              <w:top w:val="single" w:sz="4" w:space="0" w:color="auto"/>
              <w:left w:val="single" w:sz="4" w:space="0" w:color="auto"/>
              <w:bottom w:val="single" w:sz="4" w:space="0" w:color="auto"/>
              <w:right w:val="single" w:sz="4" w:space="0" w:color="auto"/>
            </w:tcBorders>
          </w:tcPr>
          <w:p w:rsidR="003717A0" w:rsidRDefault="003717A0">
            <w:pPr>
              <w:rPr>
                <w:rFonts w:ascii="宋体"/>
              </w:rPr>
            </w:pPr>
          </w:p>
        </w:tc>
        <w:tc>
          <w:tcPr>
            <w:tcW w:w="800" w:type="dxa"/>
            <w:vMerge/>
            <w:tcBorders>
              <w:top w:val="nil"/>
              <w:left w:val="single" w:sz="4" w:space="0" w:color="auto"/>
              <w:bottom w:val="nil"/>
              <w:right w:val="nil"/>
            </w:tcBorders>
            <w:vAlign w:val="center"/>
          </w:tcPr>
          <w:p w:rsidR="003717A0" w:rsidRDefault="003717A0">
            <w:pPr>
              <w:widowControl/>
              <w:jc w:val="left"/>
              <w:rPr>
                <w:rFonts w:ascii="黑体" w:eastAsia="黑体" w:hAnsi="宋体"/>
                <w:sz w:val="24"/>
              </w:rPr>
            </w:pPr>
          </w:p>
        </w:tc>
        <w:tc>
          <w:tcPr>
            <w:tcW w:w="6000" w:type="dxa"/>
            <w:vMerge/>
            <w:tcBorders>
              <w:top w:val="nil"/>
              <w:left w:val="nil"/>
              <w:bottom w:val="nil"/>
              <w:right w:val="nil"/>
            </w:tcBorders>
            <w:vAlign w:val="center"/>
          </w:tcPr>
          <w:p w:rsidR="003717A0" w:rsidRDefault="003717A0">
            <w:pPr>
              <w:widowControl/>
              <w:jc w:val="left"/>
              <w:rPr>
                <w:rFonts w:ascii="黑体" w:eastAsia="黑体" w:hAnsi="宋体"/>
                <w:sz w:val="24"/>
              </w:rPr>
            </w:pPr>
          </w:p>
        </w:tc>
      </w:tr>
    </w:tbl>
    <w:p w:rsidR="003717A0" w:rsidRDefault="003717A0">
      <w:pPr>
        <w:rPr>
          <w:rFonts w:eastAsia="楷体_GB2312"/>
          <w:sz w:val="24"/>
        </w:rPr>
      </w:pPr>
      <w:r>
        <w:rPr>
          <w:rFonts w:eastAsia="楷体_GB2312"/>
          <w:sz w:val="24"/>
        </w:rPr>
        <w:t>1</w:t>
      </w:r>
      <w:r>
        <w:rPr>
          <w:rFonts w:eastAsia="楷体_GB2312" w:hint="eastAsia"/>
          <w:sz w:val="24"/>
        </w:rPr>
        <w:t>．</w:t>
      </w:r>
      <w:r>
        <w:rPr>
          <w:rFonts w:eastAsia="楷体_GB2312"/>
          <w:sz w:val="24"/>
        </w:rPr>
        <w:t>2012</w:t>
      </w:r>
      <w:r>
        <w:rPr>
          <w:rFonts w:eastAsia="楷体_GB2312" w:hint="eastAsia"/>
          <w:sz w:val="24"/>
        </w:rPr>
        <w:t>年</w:t>
      </w:r>
      <w:r>
        <w:rPr>
          <w:rFonts w:eastAsia="楷体_GB2312"/>
          <w:sz w:val="24"/>
        </w:rPr>
        <w:t>11</w:t>
      </w:r>
      <w:r>
        <w:rPr>
          <w:rFonts w:eastAsia="楷体_GB2312" w:hint="eastAsia"/>
          <w:sz w:val="24"/>
        </w:rPr>
        <w:t>月</w:t>
      </w:r>
      <w:r>
        <w:rPr>
          <w:rFonts w:eastAsia="楷体_GB2312"/>
          <w:sz w:val="24"/>
        </w:rPr>
        <w:t>29</w:t>
      </w:r>
      <w:r>
        <w:rPr>
          <w:rFonts w:eastAsia="楷体_GB2312" w:hint="eastAsia"/>
          <w:sz w:val="24"/>
        </w:rPr>
        <w:t>日，习近平在参观“复兴之路”展览时指出：“每个人都有理想和追求，都有自己的梦想。现在，大家都在讨论中国梦，我以为，实现中华民族伟大复兴，就是中华民族近代以来最伟大的梦想。这个梦想，凝聚了几代中国人的夙愿，体现了中华民族和中国人民的整体利益，是每一个中华儿女的共同期盼。”</w:t>
      </w:r>
    </w:p>
    <w:p w:rsidR="003717A0" w:rsidRDefault="003717A0">
      <w:pPr>
        <w:ind w:firstLineChars="200" w:firstLine="480"/>
        <w:rPr>
          <w:rFonts w:eastAsia="楷体_GB2312"/>
          <w:sz w:val="28"/>
        </w:rPr>
      </w:pPr>
      <w:r>
        <w:rPr>
          <w:rFonts w:eastAsia="楷体_GB2312" w:hint="eastAsia"/>
          <w:sz w:val="24"/>
        </w:rPr>
        <w:t>联系实际，谈谈你对“中国梦”的理解。</w:t>
      </w:r>
    </w:p>
    <w:p w:rsidR="003717A0" w:rsidRDefault="003717A0">
      <w:pPr>
        <w:rPr>
          <w:rFonts w:ascii="楷体_GB2312" w:eastAsia="楷体_GB2312"/>
          <w:sz w:val="2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黑体" w:eastAsia="黑体"/>
          <w:b/>
          <w:sz w:val="28"/>
          <w:szCs w:val="28"/>
        </w:rPr>
      </w:pPr>
      <w:r>
        <w:rPr>
          <w:rFonts w:ascii="黑体" w:eastAsia="黑体"/>
          <w:b/>
          <w:sz w:val="28"/>
          <w:szCs w:val="28"/>
        </w:rPr>
        <w:br w:type="page"/>
      </w:r>
      <w:r>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pacing w:line="400" w:lineRule="exact"/>
              <w:ind w:firstLineChars="193" w:firstLine="425"/>
              <w:jc w:val="left"/>
              <w:rPr>
                <w:rFonts w:ascii="Times New Roman" w:hAnsi="宋体"/>
                <w:kern w:val="0"/>
                <w:sz w:val="22"/>
              </w:rPr>
            </w:pPr>
            <w:r>
              <w:rPr>
                <w:rFonts w:ascii="Times New Roman" w:hAnsi="宋体" w:hint="eastAsia"/>
                <w:kern w:val="0"/>
                <w:sz w:val="22"/>
              </w:rPr>
              <w:t>本课程通过课堂讲授、讨论、辩论等帮助学生系统、完整地了解和掌握毛泽东思想和中国特色社会主义理论体系的形成、主要内容和发展，了解和掌握党的路线方针政策，不断提高学生分析、判断和解决问题的能力，并将所学知识运用到实践中去，夯实理论功底，开拓创新能力。</w:t>
            </w:r>
          </w:p>
          <w:p w:rsidR="003717A0" w:rsidRDefault="003717A0">
            <w:pPr>
              <w:autoSpaceDE w:val="0"/>
              <w:autoSpaceDN w:val="0"/>
              <w:adjustRightInd w:val="0"/>
              <w:snapToGrid w:val="0"/>
              <w:spacing w:line="400" w:lineRule="exact"/>
              <w:ind w:firstLineChars="65" w:firstLine="143"/>
              <w:jc w:val="left"/>
              <w:rPr>
                <w:rFonts w:ascii="Times New Roman" w:hAnsi="宋体"/>
                <w:kern w:val="0"/>
                <w:sz w:val="22"/>
              </w:rPr>
            </w:pPr>
            <w:r>
              <w:rPr>
                <w:rFonts w:ascii="Times New Roman" w:hAnsi="宋体" w:hint="eastAsia"/>
                <w:kern w:val="0"/>
                <w:sz w:val="22"/>
              </w:rPr>
              <w:t>该课程理论教学的基本任务：</w:t>
            </w:r>
          </w:p>
          <w:p w:rsidR="003717A0" w:rsidRDefault="003717A0">
            <w:pPr>
              <w:autoSpaceDE w:val="0"/>
              <w:autoSpaceDN w:val="0"/>
              <w:adjustRightInd w:val="0"/>
              <w:snapToGrid w:val="0"/>
              <w:spacing w:line="400" w:lineRule="exact"/>
              <w:ind w:firstLineChars="8" w:firstLine="18"/>
              <w:jc w:val="left"/>
              <w:rPr>
                <w:rFonts w:ascii="Times New Roman" w:hAnsi="宋体"/>
                <w:kern w:val="0"/>
                <w:sz w:val="22"/>
              </w:rPr>
            </w:pPr>
            <w:r>
              <w:rPr>
                <w:rFonts w:ascii="Times New Roman" w:hAnsi="宋体"/>
                <w:kern w:val="0"/>
                <w:sz w:val="22"/>
              </w:rPr>
              <w:t>1.</w:t>
            </w:r>
            <w:r>
              <w:rPr>
                <w:rFonts w:ascii="Times New Roman" w:hAnsi="宋体" w:hint="eastAsia"/>
                <w:kern w:val="0"/>
                <w:sz w:val="22"/>
              </w:rPr>
              <w:t>使学生掌握毛泽东思想和中国特色社会主义理论体系的主要内容；</w:t>
            </w:r>
          </w:p>
          <w:p w:rsidR="003717A0" w:rsidRDefault="003717A0">
            <w:pPr>
              <w:autoSpaceDE w:val="0"/>
              <w:autoSpaceDN w:val="0"/>
              <w:adjustRightInd w:val="0"/>
              <w:snapToGrid w:val="0"/>
              <w:spacing w:line="400" w:lineRule="exact"/>
              <w:ind w:firstLineChars="8" w:firstLine="18"/>
              <w:jc w:val="left"/>
              <w:rPr>
                <w:rFonts w:ascii="Times New Roman" w:hAnsi="宋体"/>
                <w:kern w:val="0"/>
                <w:sz w:val="22"/>
              </w:rPr>
            </w:pPr>
            <w:r>
              <w:rPr>
                <w:rFonts w:ascii="Times New Roman" w:hAnsi="宋体"/>
                <w:kern w:val="0"/>
                <w:sz w:val="22"/>
              </w:rPr>
              <w:t>2.</w:t>
            </w:r>
            <w:r>
              <w:rPr>
                <w:rFonts w:ascii="Times New Roman" w:hAnsi="宋体" w:hint="eastAsia"/>
                <w:kern w:val="0"/>
                <w:sz w:val="22"/>
              </w:rPr>
              <w:t>帮助学生深入了解党的路线方针政策；</w:t>
            </w:r>
          </w:p>
          <w:p w:rsidR="003717A0" w:rsidRDefault="003717A0">
            <w:pPr>
              <w:autoSpaceDE w:val="0"/>
              <w:autoSpaceDN w:val="0"/>
              <w:adjustRightInd w:val="0"/>
              <w:snapToGrid w:val="0"/>
              <w:spacing w:line="400" w:lineRule="exact"/>
              <w:ind w:firstLineChars="8" w:firstLine="18"/>
              <w:jc w:val="left"/>
              <w:rPr>
                <w:rFonts w:ascii="Times New Roman" w:hAnsi="宋体"/>
                <w:kern w:val="0"/>
                <w:sz w:val="22"/>
              </w:rPr>
            </w:pPr>
            <w:r>
              <w:rPr>
                <w:rFonts w:ascii="Times New Roman" w:hAnsi="宋体"/>
                <w:kern w:val="0"/>
                <w:sz w:val="22"/>
              </w:rPr>
              <w:t>3.</w:t>
            </w:r>
            <w:r>
              <w:rPr>
                <w:rFonts w:ascii="Times New Roman" w:hAnsi="宋体" w:hint="eastAsia"/>
                <w:kern w:val="0"/>
                <w:sz w:val="22"/>
              </w:rPr>
              <w:t>注重培养学生的思维方式，提高分析问题、解决问题的能力。</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熟悉教材各章节，借助相关书籍资料，并依据教学大纲编写授课计划，编写每次授课的教案。教案内容包括章节标题、教学目的、教法设计、课堂类型、时间分配、授课内容、课后作业、教学效果分析等方面；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结合课程特点，制作课件，运用多媒体教学手段讲授教学内容；</w:t>
            </w:r>
            <w:r>
              <w:rPr>
                <w:rFonts w:ascii="Times New Roman" w:hAnsi="宋体"/>
                <w:kern w:val="0"/>
                <w:sz w:val="22"/>
              </w:rPr>
              <w:t xml:space="preserve"> </w:t>
            </w:r>
          </w:p>
          <w:p w:rsidR="003717A0" w:rsidRDefault="003717A0">
            <w:pPr>
              <w:autoSpaceDE w:val="0"/>
              <w:autoSpaceDN w:val="0"/>
              <w:adjustRightInd w:val="0"/>
              <w:snapToGrid w:val="0"/>
              <w:spacing w:line="400" w:lineRule="exact"/>
              <w:jc w:val="left"/>
            </w:pPr>
            <w:r>
              <w:rPr>
                <w:rFonts w:ascii="Times New Roman" w:hAnsi="宋体"/>
                <w:kern w:val="0"/>
                <w:sz w:val="22"/>
              </w:rPr>
              <w:t xml:space="preserve">4. </w:t>
            </w:r>
            <w:r>
              <w:rPr>
                <w:rFonts w:ascii="Times New Roman" w:hAnsi="宋体" w:hint="eastAsia"/>
                <w:kern w:val="0"/>
                <w:sz w:val="22"/>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要点准确，推理正确，条理清晰，重点突出，理论联系实际，熟练地讲解理论知识。</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采用多种教学方式（如启发式教学、案例分析教学、讨论式教学、多媒体示范教学等），注重培养学生思维方法，帮助学生树立科学的世界观、人生观和价值观，提高学生发现、分析和解决问题的能力。</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多媒体教学手段、课堂研讨、辩论相结合，以培养学生分析问题解决问题的能力。</w:t>
            </w:r>
          </w:p>
          <w:p w:rsidR="003717A0" w:rsidRDefault="003717A0">
            <w:pPr>
              <w:autoSpaceDE w:val="0"/>
              <w:autoSpaceDN w:val="0"/>
              <w:adjustRightInd w:val="0"/>
              <w:snapToGrid w:val="0"/>
              <w:spacing w:line="400" w:lineRule="exact"/>
              <w:jc w:val="left"/>
            </w:pPr>
            <w:r>
              <w:rPr>
                <w:rFonts w:ascii="Times New Roman" w:hAnsi="宋体"/>
                <w:kern w:val="0"/>
                <w:sz w:val="22"/>
              </w:rPr>
              <w:t xml:space="preserve">4. </w:t>
            </w:r>
            <w:r>
              <w:rPr>
                <w:rFonts w:ascii="Times New Roman" w:hAnsi="宋体" w:hint="eastAsia"/>
                <w:kern w:val="0"/>
                <w:sz w:val="22"/>
              </w:rPr>
              <w:t>表达方式尽量便于学生理解、接受，力求形象生动，理论联系实际，使学生在掌握知识的过程中，保持较为浓厚的兴趣。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hint="eastAsia"/>
                <w:kern w:val="0"/>
                <w:sz w:val="22"/>
              </w:rPr>
              <w:t>学生必须完成一定数量的作业题，是本课程教学的基本要求，是实现人才培养目标的必要手段。本课程作业布置的要求：两次课外作业习题。</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hint="eastAsia"/>
                <w:kern w:val="0"/>
                <w:sz w:val="22"/>
              </w:rPr>
              <w:t>学生完成的作业必须达到以下基本要求：</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作业本规范。书写工整清晰；</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hint="eastAsia"/>
                <w:kern w:val="0"/>
                <w:sz w:val="22"/>
              </w:rPr>
              <w:t>教师批改或讲评作业的数量和次数要求如下：</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学生的作业要全批全改，并按时批改、讲评学生每次交来的作业；</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教师批改或讲评作业要认真、细致，每次批改或讲评作业后，按百分制评定成绩，并写明日期；</w:t>
            </w:r>
          </w:p>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400" w:lineRule="exact"/>
              <w:ind w:firstLineChars="193" w:firstLine="425"/>
              <w:jc w:val="left"/>
              <w:rPr>
                <w:sz w:val="22"/>
              </w:rPr>
            </w:pPr>
            <w:r>
              <w:rPr>
                <w:rFonts w:hint="eastAsia"/>
                <w:sz w:val="22"/>
              </w:rPr>
              <w:t>为直接了解学生的学习情况，帮助学生进一步理解和消化课堂上所学知识、改进学习方法和思维方式，培养其独立思考问题的能力，建议任课教师安排时间进行课外答疑与辅导工作。</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400" w:lineRule="exact"/>
              <w:ind w:firstLineChars="193" w:firstLine="425"/>
              <w:jc w:val="left"/>
              <w:rPr>
                <w:rFonts w:ascii="Times New Roman" w:hAnsi="宋体"/>
                <w:kern w:val="0"/>
                <w:sz w:val="22"/>
              </w:rPr>
            </w:pPr>
            <w:r>
              <w:rPr>
                <w:rFonts w:ascii="Times New Roman" w:hAnsi="宋体" w:hint="eastAsia"/>
                <w:kern w:val="0"/>
                <w:sz w:val="22"/>
              </w:rPr>
              <w:t>本课程为大学公共必修课程，成绩考核的方式：考试。考试时实行全校统考，即全校本一、本二、本三学生分别统一命题，统一考试，统一阅卷。考试学期总评成绩的评定方法如下：</w:t>
            </w:r>
          </w:p>
          <w:p w:rsidR="003717A0" w:rsidRDefault="003717A0">
            <w:pPr>
              <w:autoSpaceDE w:val="0"/>
              <w:autoSpaceDN w:val="0"/>
              <w:adjustRightInd w:val="0"/>
              <w:snapToGrid w:val="0"/>
              <w:spacing w:line="400" w:lineRule="exact"/>
              <w:ind w:firstLineChars="16" w:firstLine="3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平时成绩占总评成绩的</w:t>
            </w:r>
            <w:r>
              <w:rPr>
                <w:rFonts w:ascii="Times New Roman" w:hAnsi="宋体"/>
                <w:kern w:val="0"/>
                <w:sz w:val="22"/>
              </w:rPr>
              <w:t>40%</w:t>
            </w:r>
            <w:r>
              <w:rPr>
                <w:rFonts w:ascii="Times New Roman" w:hAnsi="宋体" w:hint="eastAsia"/>
                <w:kern w:val="0"/>
                <w:sz w:val="22"/>
              </w:rPr>
              <w:t>；</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2.</w:t>
            </w:r>
            <w:r>
              <w:rPr>
                <w:rFonts w:ascii="Times New Roman" w:hAnsi="宋体" w:hint="eastAsia"/>
                <w:kern w:val="0"/>
                <w:sz w:val="22"/>
              </w:rPr>
              <w:t>期末考试成绩占总评成绩的</w:t>
            </w:r>
            <w:r>
              <w:rPr>
                <w:rFonts w:ascii="Times New Roman" w:hAnsi="宋体"/>
                <w:kern w:val="0"/>
                <w:sz w:val="22"/>
              </w:rPr>
              <w:t>60%</w:t>
            </w:r>
            <w:r>
              <w:rPr>
                <w:rFonts w:ascii="Times New Roman" w:hAnsi="宋体" w:hint="eastAsia"/>
                <w:kern w:val="0"/>
                <w:sz w:val="22"/>
              </w:rPr>
              <w:t>；</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有下列情况之一者，总评成绩为不及格：</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）缺交作业者；</w:t>
            </w:r>
          </w:p>
          <w:p w:rsidR="003717A0" w:rsidRDefault="003717A0">
            <w:pPr>
              <w:autoSpaceDE w:val="0"/>
              <w:autoSpaceDN w:val="0"/>
              <w:adjustRightInd w:val="0"/>
              <w:snapToGrid w:val="0"/>
              <w:spacing w:line="40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1/3</w:t>
            </w:r>
            <w:r>
              <w:rPr>
                <w:rFonts w:ascii="Times New Roman" w:hAnsi="宋体" w:hint="eastAsia"/>
                <w:kern w:val="0"/>
                <w:sz w:val="22"/>
              </w:rPr>
              <w:t>以上者。</w:t>
            </w:r>
          </w:p>
        </w:tc>
      </w:tr>
      <w:tr w:rsidR="003717A0">
        <w:trPr>
          <w:gridAfter w:val="1"/>
          <w:wAfter w:w="26" w:type="dxa"/>
          <w:cantSplit/>
          <w:trHeight w:val="1309"/>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400" w:lineRule="exact"/>
              <w:ind w:firstLineChars="200" w:firstLine="440"/>
              <w:jc w:val="left"/>
              <w:rPr>
                <w:rFonts w:ascii="Times New Roman" w:hAnsi="宋体"/>
                <w:kern w:val="0"/>
                <w:sz w:val="22"/>
              </w:rPr>
            </w:pPr>
            <w:r>
              <w:rPr>
                <w:rFonts w:ascii="Times New Roman" w:hAnsi="宋体" w:hint="eastAsia"/>
                <w:kern w:val="0"/>
                <w:sz w:val="22"/>
              </w:rPr>
              <w:t>为了培养学生综合运用所学知识解决实际问题的能力和创新精神，教研室应定期聘请校内外专家学者与学生座谈，开设一些讲座介绍同时期党和国家的重要会议精神，组织学生进行相关社会实践考察活动。</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8" w:name="_Toc469312976"/>
      <w:bookmarkStart w:id="9" w:name="_Toc471830688"/>
      <w:r w:rsidRPr="00F5156D">
        <w:rPr>
          <w:rFonts w:hint="eastAsia"/>
          <w:b/>
        </w:rPr>
        <w:lastRenderedPageBreak/>
        <w:t>《思想道德修养与法律基础》课程质量标准</w:t>
      </w:r>
      <w:bookmarkEnd w:id="8"/>
      <w:bookmarkEnd w:id="9"/>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思想道德修养与法律基础</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 Ideological and Moral Cultivation and Legal Basis</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030208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一、二</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48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Cs w:val="21"/>
              </w:rPr>
              <w:t>■</w:t>
            </w:r>
            <w:r>
              <w:rPr>
                <w:rFonts w:hint="eastAsia"/>
                <w:sz w:val="22"/>
              </w:rPr>
              <w:t>公共基础课</w:t>
            </w:r>
            <w:r>
              <w:rPr>
                <w:rFonts w:ascii="宋体" w:hAnsi="宋体" w:hint="eastAsia"/>
                <w:sz w:val="22"/>
              </w:rPr>
              <w:t>□专业基础课□专业选修课□公共选修课</w:t>
            </w:r>
            <w:r>
              <w:rPr>
                <w:rFonts w:ascii="宋体" w:hAnsi="宋体" w:hint="eastAsia"/>
                <w:szCs w:val="21"/>
              </w:rPr>
              <w:t>■</w:t>
            </w:r>
            <w:r>
              <w:rPr>
                <w:rFonts w:ascii="宋体" w:hAnsi="宋体" w:hint="eastAsia"/>
                <w:sz w:val="22"/>
              </w:rPr>
              <w:t>必修课□选修课</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政治学院</w:t>
            </w:r>
            <w:r>
              <w:rPr>
                <w:sz w:val="22"/>
              </w:rPr>
              <w:t xml:space="preserve"> </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思想品德</w:t>
            </w:r>
          </w:p>
        </w:tc>
      </w:tr>
      <w:tr w:rsidR="003717A0" w:rsidTr="000E7DCD">
        <w:trPr>
          <w:jc w:val="center"/>
        </w:trPr>
        <w:tc>
          <w:tcPr>
            <w:tcW w:w="1668" w:type="dxa"/>
          </w:tcPr>
          <w:p w:rsidR="003717A0" w:rsidRDefault="003717A0">
            <w:pPr>
              <w:adjustRightInd w:val="0"/>
              <w:snapToGrid w:val="0"/>
              <w:spacing w:line="500" w:lineRule="exact"/>
              <w:jc w:val="left"/>
              <w:rPr>
                <w:sz w:val="22"/>
              </w:rPr>
            </w:pPr>
            <w:r>
              <w:rPr>
                <w:rFonts w:hint="eastAsia"/>
                <w:sz w:val="22"/>
              </w:rPr>
              <w:t>教材名称</w:t>
            </w:r>
          </w:p>
        </w:tc>
        <w:tc>
          <w:tcPr>
            <w:tcW w:w="7618" w:type="dxa"/>
            <w:gridSpan w:val="9"/>
          </w:tcPr>
          <w:p w:rsidR="003717A0" w:rsidRDefault="003717A0">
            <w:pPr>
              <w:adjustRightInd w:val="0"/>
              <w:snapToGrid w:val="0"/>
              <w:spacing w:line="500" w:lineRule="exact"/>
              <w:jc w:val="left"/>
              <w:rPr>
                <w:sz w:val="22"/>
              </w:rPr>
            </w:pPr>
            <w:r>
              <w:rPr>
                <w:rFonts w:hint="eastAsia"/>
                <w:sz w:val="22"/>
              </w:rPr>
              <w:t>《思想道德修养与法律基础》（</w:t>
            </w:r>
            <w:r>
              <w:rPr>
                <w:sz w:val="22"/>
              </w:rPr>
              <w:t>2015</w:t>
            </w:r>
            <w:r>
              <w:rPr>
                <w:rFonts w:hint="eastAsia"/>
                <w:sz w:val="22"/>
              </w:rPr>
              <w:t>年修订版）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高等教育出版社，</w:t>
            </w:r>
            <w:r>
              <w:rPr>
                <w:sz w:val="22"/>
              </w:rPr>
              <w:t>2015</w:t>
            </w:r>
            <w:r>
              <w:rPr>
                <w:rFonts w:hint="eastAsia"/>
                <w:sz w:val="22"/>
              </w:rPr>
              <w:t>年</w:t>
            </w:r>
            <w:r>
              <w:rPr>
                <w:sz w:val="22"/>
              </w:rPr>
              <w:t>8</w:t>
            </w:r>
            <w:r>
              <w:rPr>
                <w:rFonts w:hint="eastAsia"/>
                <w:sz w:val="22"/>
              </w:rPr>
              <w:t>月第</w:t>
            </w:r>
            <w:r>
              <w:rPr>
                <w:sz w:val="22"/>
              </w:rPr>
              <w:t>7</w:t>
            </w:r>
            <w:r>
              <w:rPr>
                <w:rFonts w:hint="eastAsia"/>
                <w:sz w:val="22"/>
              </w:rPr>
              <w:t>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w:t>
            </w:r>
            <w:r>
              <w:rPr>
                <w:rFonts w:ascii="宋体" w:hAnsi="宋体" w:hint="eastAsia"/>
                <w:szCs w:val="21"/>
              </w:rPr>
              <w:t>■</w:t>
            </w:r>
            <w:r>
              <w:rPr>
                <w:rFonts w:ascii="宋体" w:hAnsi="宋体" w:hint="eastAsia"/>
                <w:sz w:val="22"/>
              </w:rPr>
              <w:t>部级规划□省级规划□自编□其他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w:t>
            </w:r>
            <w:r>
              <w:rPr>
                <w:rFonts w:ascii="宋体" w:hAnsi="宋体" w:hint="eastAsia"/>
                <w:szCs w:val="21"/>
              </w:rPr>
              <w:t>■</w:t>
            </w:r>
            <w:r>
              <w:rPr>
                <w:rFonts w:ascii="宋体" w:hAnsi="宋体" w:hint="eastAsia"/>
                <w:sz w:val="22"/>
              </w:rPr>
              <w:t>开卷□闭卷□课程设计□学期论文□其他</w:t>
            </w:r>
            <w:r>
              <w:rPr>
                <w:rFonts w:ascii="宋体" w:hAnsi="宋体"/>
                <w:sz w:val="22"/>
              </w:rPr>
              <w:t xml:space="preserve"> </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40%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60%</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刘亚军</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2004</w:t>
            </w:r>
            <w:r>
              <w:rPr>
                <w:rFonts w:hint="eastAsia"/>
                <w:sz w:val="22"/>
              </w:rPr>
              <w:t>年</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周围</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1989</w:t>
            </w:r>
            <w:r>
              <w:rPr>
                <w:rFonts w:hint="eastAsia"/>
                <w:sz w:val="22"/>
              </w:rPr>
              <w:t>年</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万时乐</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1984</w:t>
            </w:r>
            <w:r>
              <w:rPr>
                <w:rFonts w:hint="eastAsia"/>
                <w:sz w:val="22"/>
              </w:rPr>
              <w:t>年</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张卫海</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2004</w:t>
            </w:r>
            <w:r>
              <w:rPr>
                <w:rFonts w:hint="eastAsia"/>
                <w:sz w:val="22"/>
              </w:rPr>
              <w:t>年</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李佳</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2001</w:t>
            </w:r>
            <w:r>
              <w:rPr>
                <w:rFonts w:hint="eastAsia"/>
                <w:sz w:val="22"/>
              </w:rPr>
              <w:t>年</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0E7DCD">
        <w:trPr>
          <w:jc w:val="center"/>
        </w:trPr>
        <w:tc>
          <w:tcPr>
            <w:tcW w:w="9286" w:type="dxa"/>
            <w:gridSpan w:val="10"/>
          </w:tcPr>
          <w:p w:rsidR="003717A0" w:rsidRDefault="003717A0">
            <w:pPr>
              <w:adjustRightInd w:val="0"/>
              <w:snapToGrid w:val="0"/>
              <w:spacing w:line="276" w:lineRule="auto"/>
              <w:rPr>
                <w:sz w:val="22"/>
              </w:rPr>
            </w:pPr>
            <w:r>
              <w:rPr>
                <w:sz w:val="22"/>
              </w:rPr>
              <w:t xml:space="preserve">  </w:t>
            </w:r>
          </w:p>
          <w:p w:rsidR="003717A0" w:rsidRDefault="003717A0">
            <w:pPr>
              <w:adjustRightInd w:val="0"/>
              <w:snapToGrid w:val="0"/>
              <w:spacing w:line="276" w:lineRule="auto"/>
              <w:ind w:firstLineChars="150" w:firstLine="330"/>
              <w:rPr>
                <w:sz w:val="22"/>
              </w:rPr>
            </w:pPr>
            <w:r>
              <w:rPr>
                <w:rFonts w:ascii="Arial" w:hAnsi="Arial" w:hint="eastAsia"/>
                <w:sz w:val="22"/>
              </w:rPr>
              <w:t>《</w:t>
            </w:r>
            <w:r>
              <w:rPr>
                <w:rFonts w:ascii="Arial" w:hAnsi="Arial" w:hint="eastAsia"/>
                <w:kern w:val="0"/>
                <w:sz w:val="22"/>
              </w:rPr>
              <w:t>思想道德修养与法律基础》是高校思想政治理论课程体系的主干课程，同时也是各专业的必修课程。本课程以马克思主义为指导，以正确的人生观、价值观、道德观和法制观教育为主要内容，以社会主义核心价值体系及社会主义荣辱观贯穿教学的全过程，通过理论学习和实践体验，帮助学生投身社会主义和谐文化建设，形成崇高的理想信念，弘扬以爱国主义为核心的民族精神和以改革开放为核心的时代精神，确立正确的人生观和价值观，加强思想品德修养，增强学法守法的自觉性，全面提高思想道德素质和法律素质</w:t>
            </w:r>
            <w:r>
              <w:rPr>
                <w:rFonts w:ascii="Arial" w:hAnsi="Arial" w:hint="eastAsia"/>
                <w:sz w:val="22"/>
              </w:rPr>
              <w:t>。</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适应对象：本科层次，除思想政治教育专业外的全校各专业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sz w:val="22"/>
        </w:rPr>
        <w:t>030208</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宋体"/>
          <w:kern w:val="0"/>
          <w:sz w:val="22"/>
        </w:rPr>
        <w:t>48</w:t>
      </w:r>
      <w:r>
        <w:rPr>
          <w:rFonts w:ascii="Times New Roman" w:hAnsi="宋体" w:hint="eastAsia"/>
          <w:kern w:val="0"/>
          <w:sz w:val="22"/>
        </w:rPr>
        <w:t>学时（理论教学</w:t>
      </w:r>
      <w:r>
        <w:rPr>
          <w:rFonts w:ascii="Times New Roman" w:hAnsi="宋体"/>
          <w:kern w:val="0"/>
          <w:sz w:val="22"/>
        </w:rPr>
        <w:t>36</w:t>
      </w:r>
      <w:r>
        <w:rPr>
          <w:rFonts w:ascii="Times New Roman" w:hAnsi="宋体" w:hint="eastAsia"/>
          <w:kern w:val="0"/>
          <w:sz w:val="22"/>
        </w:rPr>
        <w:t>学时，实践教学</w:t>
      </w:r>
      <w:r>
        <w:rPr>
          <w:rFonts w:ascii="Times New Roman" w:hAnsi="宋体"/>
          <w:kern w:val="0"/>
          <w:sz w:val="22"/>
        </w:rPr>
        <w:t>12</w:t>
      </w:r>
      <w:r>
        <w:rPr>
          <w:rFonts w:ascii="Times New Roman" w:hAnsi="宋体" w:hint="eastAsia"/>
          <w:kern w:val="0"/>
          <w:sz w:val="22"/>
        </w:rPr>
        <w:t>学时）</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3</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spacing w:line="312" w:lineRule="auto"/>
        <w:ind w:firstLineChars="200" w:firstLine="440"/>
        <w:rPr>
          <w:rFonts w:ascii="Arial" w:hAnsi="Arial"/>
          <w:sz w:val="24"/>
        </w:rPr>
      </w:pPr>
      <w:r>
        <w:rPr>
          <w:sz w:val="22"/>
        </w:rPr>
        <w:t xml:space="preserve">   </w:t>
      </w:r>
      <w:r>
        <w:rPr>
          <w:rFonts w:ascii="Arial" w:hAnsi="Arial" w:hint="eastAsia"/>
          <w:sz w:val="24"/>
        </w:rPr>
        <w:t>本课程是为了贯彻落实《中共中央国务院关于进一步加强和改进大学生思想政治教育的意见》（简称“中央</w:t>
      </w:r>
      <w:r>
        <w:rPr>
          <w:rFonts w:ascii="Arial" w:hAnsi="Arial"/>
          <w:sz w:val="24"/>
        </w:rPr>
        <w:t>16</w:t>
      </w:r>
      <w:r>
        <w:rPr>
          <w:rFonts w:ascii="Arial" w:hAnsi="Arial" w:hint="eastAsia"/>
          <w:sz w:val="24"/>
        </w:rPr>
        <w:t>号文件”），根据《中共中央宣传部、教育部关于进一步加强和改进高等学校思想政治理论课的意见的实施方案》，由过去</w:t>
      </w:r>
      <w:r>
        <w:rPr>
          <w:rFonts w:ascii="Arial" w:hAnsi="Arial"/>
          <w:sz w:val="24"/>
        </w:rPr>
        <w:t>“</w:t>
      </w:r>
      <w:r>
        <w:rPr>
          <w:rFonts w:ascii="Arial" w:hAnsi="Arial" w:hint="eastAsia"/>
          <w:sz w:val="24"/>
        </w:rPr>
        <w:t>两课</w:t>
      </w:r>
      <w:r>
        <w:rPr>
          <w:rFonts w:ascii="Arial" w:hAnsi="Arial"/>
          <w:sz w:val="24"/>
        </w:rPr>
        <w:t>”</w:t>
      </w:r>
      <w:r>
        <w:rPr>
          <w:rFonts w:ascii="Arial" w:hAnsi="Arial" w:hint="eastAsia"/>
          <w:sz w:val="24"/>
        </w:rPr>
        <w:t>中的七门课程，改革为四门课程之其中的一门课程。“思想道德修养与法律基础”课是普通高等学校“思想政治理论课”教育的重要课程之一，是高等学校对大学生进行系统的思想道德教育和法律基础教育的主要渠道和基本环节。</w:t>
      </w:r>
    </w:p>
    <w:p w:rsidR="003717A0" w:rsidRDefault="003717A0">
      <w:pPr>
        <w:spacing w:line="312" w:lineRule="auto"/>
        <w:ind w:firstLineChars="200" w:firstLine="480"/>
        <w:rPr>
          <w:b/>
          <w:sz w:val="24"/>
        </w:rPr>
      </w:pPr>
      <w:r>
        <w:rPr>
          <w:rFonts w:ascii="Arial" w:hAnsi="Arial" w:hint="eastAsia"/>
          <w:sz w:val="24"/>
        </w:rPr>
        <w:t>本课程旨在通过课堂教学以及社会实践，帮助大学生尽快的适应大学生活，提高大学生的思想道德修养和法律修养，帮助大学生树立正确的世界观、人生观、价值观，培养大学生的健全人格。通过本课程的学习，使大学生对思想道德修养与法律基础有较全面认识和掌握，并能运用相关理论解决人生道路上出现的思想道德或法律方面的问题，培养大学生的法律意识和法律观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spacing w:line="312" w:lineRule="auto"/>
        <w:ind w:firstLineChars="200" w:firstLine="440"/>
        <w:rPr>
          <w:b/>
          <w:sz w:val="24"/>
        </w:rPr>
      </w:pPr>
      <w:r>
        <w:rPr>
          <w:sz w:val="22"/>
        </w:rPr>
        <w:t xml:space="preserve">  </w:t>
      </w:r>
      <w:r>
        <w:rPr>
          <w:rFonts w:ascii="Arial" w:hAnsi="Arial" w:hint="eastAsia"/>
          <w:sz w:val="24"/>
        </w:rPr>
        <w:t>本课程教学目的在于通过课堂教学以及社会实践，帮助大学生尽快的适应大学生活，提高大学生的思想道德修养和法律修养，帮助大学生树立正确的世界观、人生观、价值观，培养大学生的健全人格。通过本课程的学习，使大学生对思想道德修养与法律基础有较全面认识和掌握，并能运用相关理论解决人生道路上出现的思想道德或法律方面的问题，培养大学生的法律意识和法律观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绪论</w:t>
      </w:r>
      <w:r>
        <w:rPr>
          <w:rFonts w:ascii="Arial" w:hAnsi="Arial"/>
          <w:sz w:val="24"/>
        </w:rPr>
        <w:t xml:space="preserve"> </w:t>
      </w:r>
      <w:r>
        <w:rPr>
          <w:rFonts w:ascii="Arial" w:hAnsi="Arial" w:hint="eastAsia"/>
          <w:sz w:val="24"/>
        </w:rPr>
        <w:t>珍惜大学生活</w:t>
      </w:r>
      <w:r>
        <w:rPr>
          <w:rFonts w:ascii="Arial" w:hAnsi="Arial"/>
          <w:sz w:val="24"/>
        </w:rPr>
        <w:t xml:space="preserve"> </w:t>
      </w:r>
      <w:r>
        <w:rPr>
          <w:rFonts w:ascii="Arial" w:hAnsi="Arial" w:hint="eastAsia"/>
          <w:sz w:val="24"/>
        </w:rPr>
        <w:t>开拓新的境界（</w:t>
      </w:r>
      <w:r>
        <w:rPr>
          <w:rFonts w:ascii="Arial" w:hAnsi="Arial"/>
          <w:sz w:val="24"/>
        </w:rPr>
        <w:t>3</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适应人生新阶段</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提升思想道德素质与法律素质</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培育和践行社会主义核心价值观</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第四节</w:t>
      </w:r>
      <w:r>
        <w:rPr>
          <w:rFonts w:ascii="Arial" w:hAnsi="Arial"/>
          <w:sz w:val="24"/>
        </w:rPr>
        <w:t xml:space="preserve"> </w:t>
      </w:r>
      <w:r>
        <w:rPr>
          <w:rFonts w:ascii="Arial" w:hAnsi="Arial" w:hint="eastAsia"/>
          <w:sz w:val="24"/>
        </w:rPr>
        <w:t>学习本课程的意义和方法</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第一章</w:t>
      </w:r>
      <w:r>
        <w:rPr>
          <w:rFonts w:ascii="Arial" w:hAnsi="Arial"/>
          <w:sz w:val="24"/>
        </w:rPr>
        <w:t xml:space="preserve"> </w:t>
      </w:r>
      <w:r>
        <w:rPr>
          <w:rFonts w:ascii="Arial" w:hAnsi="Arial" w:hint="eastAsia"/>
          <w:sz w:val="24"/>
        </w:rPr>
        <w:t>追求远大理想</w:t>
      </w:r>
      <w:r>
        <w:rPr>
          <w:rFonts w:ascii="Arial" w:hAnsi="Arial"/>
          <w:sz w:val="24"/>
        </w:rPr>
        <w:t xml:space="preserve"> </w:t>
      </w:r>
      <w:r>
        <w:rPr>
          <w:rFonts w:ascii="Arial" w:hAnsi="Arial" w:hint="eastAsia"/>
          <w:sz w:val="24"/>
        </w:rPr>
        <w:t>坚定崇高信念（</w:t>
      </w:r>
      <w:r>
        <w:rPr>
          <w:rFonts w:ascii="Arial" w:hAnsi="Arial"/>
          <w:sz w:val="24"/>
        </w:rPr>
        <w:t>6</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理想信念与大学生成长成才</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树立科学的理想信念</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在实践中化理想为现实</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第二章</w:t>
      </w:r>
      <w:r>
        <w:rPr>
          <w:rFonts w:ascii="Arial" w:hAnsi="Arial"/>
          <w:sz w:val="24"/>
        </w:rPr>
        <w:t xml:space="preserve"> </w:t>
      </w:r>
      <w:r>
        <w:rPr>
          <w:rFonts w:ascii="Arial" w:hAnsi="Arial" w:hint="eastAsia"/>
          <w:sz w:val="24"/>
        </w:rPr>
        <w:t>弘扬中国精神</w:t>
      </w:r>
      <w:r>
        <w:rPr>
          <w:rFonts w:ascii="Arial" w:hAnsi="Arial"/>
          <w:sz w:val="24"/>
        </w:rPr>
        <w:t xml:space="preserve"> </w:t>
      </w:r>
      <w:r>
        <w:rPr>
          <w:rFonts w:ascii="Arial" w:hAnsi="Arial" w:hint="eastAsia"/>
          <w:sz w:val="24"/>
        </w:rPr>
        <w:t>共筑精神家园（</w:t>
      </w:r>
      <w:r>
        <w:rPr>
          <w:rFonts w:ascii="Arial" w:hAnsi="Arial"/>
          <w:sz w:val="24"/>
        </w:rPr>
        <w:t>6</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lastRenderedPageBreak/>
        <w:t>第一节</w:t>
      </w:r>
      <w:r>
        <w:rPr>
          <w:rFonts w:ascii="Arial" w:hAnsi="Arial"/>
          <w:sz w:val="24"/>
        </w:rPr>
        <w:t xml:space="preserve"> </w:t>
      </w:r>
      <w:r>
        <w:rPr>
          <w:rFonts w:ascii="Arial" w:hAnsi="Arial" w:hint="eastAsia"/>
          <w:sz w:val="24"/>
        </w:rPr>
        <w:t>中国精神的传承与价值</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以爱国主义为核心的民族精神</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以改革创新为核心的时代精神</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第三章</w:t>
      </w:r>
      <w:r>
        <w:rPr>
          <w:rFonts w:ascii="Arial" w:hAnsi="Arial"/>
          <w:sz w:val="24"/>
        </w:rPr>
        <w:t xml:space="preserve"> </w:t>
      </w:r>
      <w:r>
        <w:rPr>
          <w:rFonts w:ascii="Arial" w:hAnsi="Arial" w:hint="eastAsia"/>
          <w:sz w:val="24"/>
        </w:rPr>
        <w:t>领悟人生真谛</w:t>
      </w:r>
      <w:r>
        <w:rPr>
          <w:rFonts w:ascii="Arial" w:hAnsi="Arial"/>
          <w:sz w:val="24"/>
        </w:rPr>
        <w:t xml:space="preserve"> </w:t>
      </w:r>
      <w:r>
        <w:rPr>
          <w:rFonts w:ascii="Arial" w:hAnsi="Arial" w:hint="eastAsia"/>
          <w:sz w:val="24"/>
        </w:rPr>
        <w:t>创造人生价值（</w:t>
      </w:r>
      <w:r>
        <w:rPr>
          <w:rFonts w:ascii="Arial" w:hAnsi="Arial"/>
          <w:sz w:val="24"/>
        </w:rPr>
        <w:t>6</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树立正确的人生观</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创造有价值的人生</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科学对待人生环境</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第四章</w:t>
      </w:r>
      <w:r>
        <w:rPr>
          <w:rFonts w:ascii="Arial" w:hAnsi="Arial"/>
          <w:sz w:val="24"/>
        </w:rPr>
        <w:t xml:space="preserve"> </w:t>
      </w:r>
      <w:r>
        <w:rPr>
          <w:rFonts w:ascii="Arial" w:hAnsi="Arial" w:hint="eastAsia"/>
          <w:sz w:val="24"/>
        </w:rPr>
        <w:t>注重道德传承</w:t>
      </w:r>
      <w:r>
        <w:rPr>
          <w:rFonts w:ascii="Arial" w:hAnsi="Arial"/>
          <w:sz w:val="24"/>
        </w:rPr>
        <w:t xml:space="preserve"> </w:t>
      </w:r>
      <w:r>
        <w:rPr>
          <w:rFonts w:ascii="Arial" w:hAnsi="Arial" w:hint="eastAsia"/>
          <w:sz w:val="24"/>
        </w:rPr>
        <w:t>加强道德实践（</w:t>
      </w:r>
      <w:r>
        <w:rPr>
          <w:rFonts w:ascii="Arial" w:hAnsi="Arial"/>
          <w:sz w:val="24"/>
        </w:rPr>
        <w:t>6</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道德及其历史发展</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弘扬中华传统美德</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继承与发扬中国革命道德</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第四节</w:t>
      </w:r>
      <w:r>
        <w:rPr>
          <w:rFonts w:ascii="Arial" w:hAnsi="Arial"/>
          <w:sz w:val="24"/>
        </w:rPr>
        <w:t xml:space="preserve"> </w:t>
      </w:r>
      <w:r>
        <w:rPr>
          <w:rFonts w:ascii="Arial" w:hAnsi="Arial" w:hint="eastAsia"/>
          <w:sz w:val="24"/>
        </w:rPr>
        <w:t>加强社会主义道德建设</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第五章</w:t>
      </w:r>
      <w:r>
        <w:rPr>
          <w:rFonts w:ascii="Arial" w:hAnsi="Arial"/>
          <w:sz w:val="24"/>
        </w:rPr>
        <w:t xml:space="preserve"> </w:t>
      </w:r>
      <w:r>
        <w:rPr>
          <w:rFonts w:ascii="Arial" w:hAnsi="Arial" w:hint="eastAsia"/>
          <w:sz w:val="24"/>
        </w:rPr>
        <w:t>遵守道德规范</w:t>
      </w:r>
      <w:r>
        <w:rPr>
          <w:rFonts w:ascii="Arial" w:hAnsi="Arial"/>
          <w:sz w:val="24"/>
        </w:rPr>
        <w:t xml:space="preserve"> </w:t>
      </w:r>
      <w:r>
        <w:rPr>
          <w:rFonts w:ascii="Arial" w:hAnsi="Arial" w:hint="eastAsia"/>
          <w:sz w:val="24"/>
        </w:rPr>
        <w:t>锤炼高尚品格（</w:t>
      </w:r>
      <w:r>
        <w:rPr>
          <w:rFonts w:ascii="Arial" w:hAnsi="Arial"/>
          <w:sz w:val="24"/>
        </w:rPr>
        <w:t>6</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社会公德</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职业道德</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家庭美德</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第四节</w:t>
      </w:r>
      <w:r>
        <w:rPr>
          <w:rFonts w:ascii="Arial" w:hAnsi="Arial"/>
          <w:sz w:val="24"/>
        </w:rPr>
        <w:t xml:space="preserve"> </w:t>
      </w:r>
      <w:r>
        <w:rPr>
          <w:rFonts w:ascii="Arial" w:hAnsi="Arial" w:hint="eastAsia"/>
          <w:sz w:val="24"/>
        </w:rPr>
        <w:t>个人品德</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第六章</w:t>
      </w:r>
      <w:r>
        <w:rPr>
          <w:rFonts w:ascii="Arial" w:hAnsi="Arial"/>
          <w:sz w:val="24"/>
        </w:rPr>
        <w:t xml:space="preserve"> </w:t>
      </w:r>
      <w:r>
        <w:rPr>
          <w:rFonts w:ascii="Arial" w:hAnsi="Arial" w:hint="eastAsia"/>
          <w:sz w:val="24"/>
        </w:rPr>
        <w:t>学习宪法法律</w:t>
      </w:r>
      <w:r>
        <w:rPr>
          <w:rFonts w:ascii="Arial" w:hAnsi="Arial"/>
          <w:sz w:val="24"/>
        </w:rPr>
        <w:t xml:space="preserve"> </w:t>
      </w:r>
      <w:r>
        <w:rPr>
          <w:rFonts w:ascii="Arial" w:hAnsi="Arial" w:hint="eastAsia"/>
          <w:sz w:val="24"/>
        </w:rPr>
        <w:t>建设法治体系（</w:t>
      </w:r>
      <w:r>
        <w:rPr>
          <w:rFonts w:ascii="Arial" w:hAnsi="Arial"/>
          <w:sz w:val="24"/>
        </w:rPr>
        <w:t>4</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法律的概念及发展</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我国社会主义法律</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我国的宪法与法律部门</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第四节</w:t>
      </w:r>
      <w:r>
        <w:rPr>
          <w:rFonts w:ascii="Arial" w:hAnsi="Arial"/>
          <w:sz w:val="24"/>
        </w:rPr>
        <w:t xml:space="preserve"> </w:t>
      </w:r>
      <w:r>
        <w:rPr>
          <w:rFonts w:ascii="Arial" w:hAnsi="Arial" w:hint="eastAsia"/>
          <w:sz w:val="24"/>
        </w:rPr>
        <w:t>建设中国特色社会主义法治体系</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第七章</w:t>
      </w:r>
      <w:r>
        <w:rPr>
          <w:rFonts w:ascii="Arial" w:hAnsi="Arial"/>
          <w:sz w:val="24"/>
        </w:rPr>
        <w:t xml:space="preserve"> </w:t>
      </w:r>
      <w:r>
        <w:rPr>
          <w:rFonts w:ascii="Arial" w:hAnsi="Arial" w:hint="eastAsia"/>
          <w:sz w:val="24"/>
        </w:rPr>
        <w:t>树立法治观念</w:t>
      </w:r>
      <w:r>
        <w:rPr>
          <w:rFonts w:ascii="Arial" w:hAnsi="Arial"/>
          <w:sz w:val="24"/>
        </w:rPr>
        <w:t xml:space="preserve"> </w:t>
      </w:r>
      <w:r>
        <w:rPr>
          <w:rFonts w:ascii="Arial" w:hAnsi="Arial" w:hint="eastAsia"/>
          <w:sz w:val="24"/>
        </w:rPr>
        <w:t>尊重法律权威（</w:t>
      </w:r>
      <w:r>
        <w:rPr>
          <w:rFonts w:ascii="Arial" w:hAnsi="Arial"/>
          <w:sz w:val="24"/>
        </w:rPr>
        <w:t>4</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树立社会主义法治观念</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培养社会主义法律思维</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尊重社会主义法律权威</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第八章</w:t>
      </w:r>
      <w:r>
        <w:rPr>
          <w:rFonts w:ascii="Arial" w:hAnsi="Arial"/>
          <w:sz w:val="24"/>
        </w:rPr>
        <w:t xml:space="preserve"> </w:t>
      </w:r>
      <w:r>
        <w:rPr>
          <w:rFonts w:ascii="Arial" w:hAnsi="Arial" w:hint="eastAsia"/>
          <w:sz w:val="24"/>
        </w:rPr>
        <w:t>行使法律权利</w:t>
      </w:r>
      <w:r>
        <w:rPr>
          <w:rFonts w:ascii="Arial" w:hAnsi="Arial"/>
          <w:sz w:val="24"/>
        </w:rPr>
        <w:t xml:space="preserve"> </w:t>
      </w:r>
      <w:r>
        <w:rPr>
          <w:rFonts w:ascii="Arial" w:hAnsi="Arial" w:hint="eastAsia"/>
          <w:sz w:val="24"/>
        </w:rPr>
        <w:t>履行法律义务（</w:t>
      </w:r>
      <w:r>
        <w:rPr>
          <w:rFonts w:ascii="Arial" w:hAnsi="Arial"/>
          <w:sz w:val="24"/>
        </w:rPr>
        <w:t>4</w:t>
      </w:r>
      <w:r>
        <w:rPr>
          <w:rFonts w:ascii="Arial" w:hAnsi="Arial" w:hint="eastAsia"/>
          <w:sz w:val="24"/>
        </w:rPr>
        <w:t>学时）</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第一节</w:t>
      </w:r>
      <w:r>
        <w:rPr>
          <w:rFonts w:ascii="Arial" w:hAnsi="Arial"/>
          <w:sz w:val="24"/>
        </w:rPr>
        <w:t xml:space="preserve"> </w:t>
      </w:r>
      <w:r>
        <w:rPr>
          <w:rFonts w:ascii="Arial" w:hAnsi="Arial" w:hint="eastAsia"/>
          <w:sz w:val="24"/>
        </w:rPr>
        <w:t>法律权利与法律义务</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第二节</w:t>
      </w:r>
      <w:r>
        <w:rPr>
          <w:rFonts w:ascii="Arial" w:hAnsi="Arial"/>
          <w:sz w:val="24"/>
        </w:rPr>
        <w:t xml:space="preserve"> </w:t>
      </w:r>
      <w:r>
        <w:rPr>
          <w:rFonts w:ascii="Arial" w:hAnsi="Arial" w:hint="eastAsia"/>
          <w:sz w:val="24"/>
        </w:rPr>
        <w:t>我国宪法法律规定的权利与义务</w:t>
      </w:r>
    </w:p>
    <w:p w:rsidR="003717A0" w:rsidRDefault="003717A0">
      <w:pPr>
        <w:autoSpaceDE w:val="0"/>
        <w:autoSpaceDN w:val="0"/>
        <w:adjustRightInd w:val="0"/>
        <w:snapToGrid w:val="0"/>
        <w:ind w:leftChars="202" w:left="424"/>
        <w:jc w:val="left"/>
        <w:rPr>
          <w:rFonts w:ascii="Arial" w:hAnsi="Arial"/>
          <w:sz w:val="24"/>
        </w:rPr>
      </w:pPr>
      <w:r>
        <w:rPr>
          <w:rFonts w:ascii="Arial" w:hAnsi="Arial" w:hint="eastAsia"/>
          <w:sz w:val="24"/>
        </w:rPr>
        <w:t>第三节</w:t>
      </w:r>
      <w:r>
        <w:rPr>
          <w:rFonts w:ascii="Arial" w:hAnsi="Arial"/>
          <w:sz w:val="24"/>
        </w:rPr>
        <w:t xml:space="preserve"> </w:t>
      </w:r>
      <w:r>
        <w:rPr>
          <w:rFonts w:ascii="Arial" w:hAnsi="Arial" w:hint="eastAsia"/>
          <w:sz w:val="24"/>
        </w:rPr>
        <w:t>依法行使权利与履行义务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pacing w:line="360" w:lineRule="exact"/>
        <w:ind w:firstLineChars="200" w:firstLine="480"/>
        <w:jc w:val="left"/>
        <w:rPr>
          <w:rFonts w:ascii="Arial" w:hAnsi="Arial"/>
          <w:sz w:val="24"/>
        </w:rPr>
      </w:pPr>
      <w:r>
        <w:rPr>
          <w:rFonts w:ascii="Arial" w:hAnsi="Arial" w:hint="eastAsia"/>
          <w:sz w:val="24"/>
        </w:rPr>
        <w:t>多媒体教室</w:t>
      </w:r>
    </w:p>
    <w:p w:rsidR="003717A0" w:rsidRDefault="003717A0">
      <w:pPr>
        <w:autoSpaceDE w:val="0"/>
        <w:autoSpaceDN w:val="0"/>
        <w:adjustRightInd w:val="0"/>
        <w:spacing w:line="360" w:lineRule="exact"/>
        <w:ind w:firstLineChars="200" w:firstLine="480"/>
        <w:jc w:val="left"/>
        <w:rPr>
          <w:rFonts w:ascii="Arial" w:hAnsi="Arial"/>
          <w:sz w:val="24"/>
        </w:rPr>
      </w:pPr>
      <w:r>
        <w:rPr>
          <w:rFonts w:ascii="Arial" w:hAnsi="Arial" w:hint="eastAsia"/>
          <w:sz w:val="24"/>
        </w:rPr>
        <w:t>多媒体教学课件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63"/>
        <w:jc w:val="left"/>
        <w:rPr>
          <w:rFonts w:ascii="Arial" w:hAnsi="Arial"/>
          <w:sz w:val="24"/>
        </w:rPr>
      </w:pPr>
      <w:r>
        <w:rPr>
          <w:rFonts w:ascii="Arial" w:hAnsi="Arial" w:hint="eastAsia"/>
          <w:sz w:val="24"/>
        </w:rPr>
        <w:t>本课程考核实行开卷随堂考试。时间为</w:t>
      </w:r>
      <w:r>
        <w:rPr>
          <w:rFonts w:ascii="Arial" w:hAnsi="Arial"/>
          <w:sz w:val="24"/>
        </w:rPr>
        <w:t>2</w:t>
      </w:r>
      <w:r>
        <w:rPr>
          <w:rFonts w:ascii="Arial" w:hAnsi="Arial" w:hint="eastAsia"/>
          <w:sz w:val="24"/>
        </w:rPr>
        <w:t>小时。考试时，可带书本及参考资料，不允许相互交流、查看手机及互换资料。平时成绩占</w:t>
      </w:r>
      <w:r>
        <w:rPr>
          <w:rFonts w:ascii="Arial" w:hAnsi="Arial"/>
          <w:sz w:val="24"/>
        </w:rPr>
        <w:t>40%</w:t>
      </w:r>
      <w:r>
        <w:rPr>
          <w:rFonts w:ascii="Arial" w:hAnsi="Arial" w:hint="eastAsia"/>
          <w:sz w:val="24"/>
        </w:rPr>
        <w:t>，考试成绩占</w:t>
      </w:r>
      <w:r>
        <w:rPr>
          <w:rFonts w:ascii="Arial" w:hAnsi="Arial"/>
          <w:sz w:val="24"/>
        </w:rPr>
        <w:t>60%</w:t>
      </w:r>
    </w:p>
    <w:p w:rsidR="003717A0" w:rsidRDefault="003717A0">
      <w:pPr>
        <w:autoSpaceDE w:val="0"/>
        <w:autoSpaceDN w:val="0"/>
        <w:adjustRightInd w:val="0"/>
        <w:snapToGrid w:val="0"/>
        <w:spacing w:line="440" w:lineRule="exact"/>
        <w:ind w:firstLineChars="200" w:firstLine="480"/>
        <w:jc w:val="left"/>
        <w:rPr>
          <w:rFonts w:ascii="Arial" w:hAnsi="Arial"/>
          <w:sz w:val="24"/>
        </w:rPr>
      </w:pPr>
      <w:r>
        <w:rPr>
          <w:rFonts w:ascii="Arial" w:hAnsi="Arial" w:hint="eastAsia"/>
          <w:sz w:val="24"/>
        </w:rPr>
        <w:t>平时成绩主要包括考勤、作业、上课状态、发言情况、实践环节、笔记等六个方面。</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ind w:leftChars="202" w:left="424"/>
        <w:jc w:val="left"/>
        <w:rPr>
          <w:rFonts w:ascii="Arial" w:hAnsi="Arial"/>
          <w:sz w:val="24"/>
        </w:rPr>
      </w:pPr>
      <w:r>
        <w:rPr>
          <w:rFonts w:ascii="Arial" w:hAnsi="Arial" w:hint="eastAsia"/>
          <w:sz w:val="24"/>
        </w:rPr>
        <w:t>教学参考文献目录：</w:t>
      </w:r>
    </w:p>
    <w:p w:rsidR="003717A0" w:rsidRDefault="003717A0">
      <w:pPr>
        <w:autoSpaceDE w:val="0"/>
        <w:autoSpaceDN w:val="0"/>
        <w:adjustRightInd w:val="0"/>
        <w:spacing w:line="360" w:lineRule="exact"/>
        <w:ind w:leftChars="202" w:left="424"/>
        <w:jc w:val="left"/>
        <w:rPr>
          <w:rFonts w:ascii="Arial" w:hAnsi="Arial"/>
          <w:sz w:val="24"/>
        </w:rPr>
      </w:pPr>
      <w:r>
        <w:rPr>
          <w:rFonts w:ascii="Arial" w:hAnsi="Arial" w:hint="eastAsia"/>
          <w:sz w:val="24"/>
        </w:rPr>
        <w:t>（一）教材</w:t>
      </w:r>
    </w:p>
    <w:p w:rsidR="003717A0" w:rsidRDefault="003717A0">
      <w:pPr>
        <w:autoSpaceDE w:val="0"/>
        <w:autoSpaceDN w:val="0"/>
        <w:adjustRightInd w:val="0"/>
        <w:spacing w:line="360" w:lineRule="exact"/>
        <w:ind w:leftChars="202" w:left="424"/>
        <w:jc w:val="left"/>
        <w:rPr>
          <w:rFonts w:ascii="Arial" w:hAnsi="Arial"/>
          <w:sz w:val="24"/>
        </w:rPr>
      </w:pPr>
      <w:r>
        <w:rPr>
          <w:rFonts w:ascii="Arial" w:hAnsi="Arial" w:hint="eastAsia"/>
          <w:sz w:val="24"/>
        </w:rPr>
        <w:t>部编教材</w:t>
      </w:r>
    </w:p>
    <w:p w:rsidR="003717A0" w:rsidRDefault="003717A0">
      <w:pPr>
        <w:autoSpaceDE w:val="0"/>
        <w:autoSpaceDN w:val="0"/>
        <w:adjustRightInd w:val="0"/>
        <w:spacing w:line="360" w:lineRule="exact"/>
        <w:ind w:leftChars="202" w:left="424"/>
        <w:jc w:val="left"/>
        <w:rPr>
          <w:rFonts w:ascii="Arial" w:hAnsi="Arial"/>
          <w:sz w:val="24"/>
        </w:rPr>
      </w:pPr>
      <w:r>
        <w:rPr>
          <w:rFonts w:ascii="Arial" w:hAnsi="Arial" w:hint="eastAsia"/>
          <w:sz w:val="24"/>
        </w:rPr>
        <w:t>（二）参考书目及文献</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lastRenderedPageBreak/>
        <w:t>1.</w:t>
      </w:r>
      <w:r>
        <w:rPr>
          <w:rFonts w:ascii="Arial" w:hAnsi="Arial" w:hint="eastAsia"/>
          <w:sz w:val="24"/>
        </w:rPr>
        <w:t>《新时期高校思想政治工作理论与实践》，靳诺、郑永廷等著，高等教育出版社</w:t>
      </w:r>
      <w:r>
        <w:rPr>
          <w:rFonts w:ascii="Arial" w:hAnsi="Arial"/>
          <w:sz w:val="24"/>
        </w:rPr>
        <w:t>2003</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2.</w:t>
      </w:r>
      <w:r>
        <w:rPr>
          <w:rFonts w:ascii="Arial" w:hAnsi="Arial" w:hint="eastAsia"/>
          <w:sz w:val="24"/>
        </w:rPr>
        <w:t>《人的存在与教育》，舒志定，学林出版社</w:t>
      </w:r>
      <w:r>
        <w:rPr>
          <w:rFonts w:ascii="Arial" w:hAnsi="Arial"/>
          <w:sz w:val="24"/>
        </w:rPr>
        <w:t>2004</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3.</w:t>
      </w:r>
      <w:r>
        <w:rPr>
          <w:rFonts w:ascii="Arial" w:hAnsi="Arial" w:hint="eastAsia"/>
          <w:sz w:val="24"/>
        </w:rPr>
        <w:t>《我是谁》，教育部高等教育司组编，高等教育出版社</w:t>
      </w:r>
      <w:r>
        <w:rPr>
          <w:rFonts w:ascii="Arial" w:hAnsi="Arial"/>
          <w:sz w:val="24"/>
        </w:rPr>
        <w:t>2005</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4</w:t>
      </w:r>
      <w:r>
        <w:rPr>
          <w:rFonts w:ascii="Arial" w:hAnsi="Arial" w:hint="eastAsia"/>
          <w:sz w:val="24"/>
        </w:rPr>
        <w:t>．《大学生问题》，马长英，中国青年出版社</w:t>
      </w:r>
      <w:r>
        <w:rPr>
          <w:rFonts w:ascii="Arial" w:hAnsi="Arial"/>
          <w:sz w:val="24"/>
        </w:rPr>
        <w:t>2001</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5.</w:t>
      </w:r>
      <w:r>
        <w:rPr>
          <w:rFonts w:ascii="Arial" w:hAnsi="Arial" w:hint="eastAsia"/>
          <w:sz w:val="24"/>
        </w:rPr>
        <w:t>《高校政治理论课参考文献》，周全华主编，中山大学出版社</w:t>
      </w:r>
      <w:r>
        <w:rPr>
          <w:rFonts w:ascii="Arial" w:hAnsi="Arial"/>
          <w:sz w:val="24"/>
        </w:rPr>
        <w:t>2002</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6.</w:t>
      </w:r>
      <w:r>
        <w:rPr>
          <w:rFonts w:ascii="Arial" w:hAnsi="Arial" w:hint="eastAsia"/>
          <w:sz w:val="24"/>
        </w:rPr>
        <w:t>《现代思想道德教育与方法》，郑永廷，广东高等教育出版社</w:t>
      </w:r>
      <w:r>
        <w:rPr>
          <w:rFonts w:ascii="Arial" w:hAnsi="Arial"/>
          <w:sz w:val="24"/>
        </w:rPr>
        <w:t>2000</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7</w:t>
      </w:r>
      <w:r>
        <w:rPr>
          <w:rFonts w:ascii="Arial" w:hAnsi="Arial" w:hint="eastAsia"/>
          <w:sz w:val="24"/>
        </w:rPr>
        <w:t>．《当今世界教育思潮》，毕淑芝、王义高主编，人民教育出版社</w:t>
      </w:r>
      <w:r>
        <w:rPr>
          <w:rFonts w:ascii="Arial" w:hAnsi="Arial"/>
          <w:sz w:val="24"/>
        </w:rPr>
        <w:t>2003</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8</w:t>
      </w:r>
      <w:r>
        <w:rPr>
          <w:rFonts w:ascii="Arial" w:hAnsi="Arial" w:hint="eastAsia"/>
          <w:sz w:val="24"/>
        </w:rPr>
        <w:t>．《德育创新论》，吴亚林，东方出版社</w:t>
      </w:r>
      <w:r>
        <w:rPr>
          <w:rFonts w:ascii="Arial" w:hAnsi="Arial"/>
          <w:sz w:val="24"/>
        </w:rPr>
        <w:t>2001</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9</w:t>
      </w:r>
      <w:r>
        <w:rPr>
          <w:rFonts w:ascii="Arial" w:hAnsi="Arial" w:hint="eastAsia"/>
          <w:sz w:val="24"/>
        </w:rPr>
        <w:t>．《现代德育人本论》，杨超，广东人民出版社</w:t>
      </w:r>
      <w:r>
        <w:rPr>
          <w:rFonts w:ascii="Arial" w:hAnsi="Arial"/>
          <w:sz w:val="24"/>
        </w:rPr>
        <w:t>2005</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10</w:t>
      </w:r>
      <w:r>
        <w:rPr>
          <w:rFonts w:ascii="Arial" w:hAnsi="Arial" w:hint="eastAsia"/>
          <w:sz w:val="24"/>
        </w:rPr>
        <w:t>．《美德的起源</w:t>
      </w:r>
      <w:r>
        <w:rPr>
          <w:rFonts w:ascii="Arial" w:hAnsi="Arial"/>
          <w:sz w:val="24"/>
        </w:rPr>
        <w:t>—</w:t>
      </w:r>
      <w:r>
        <w:rPr>
          <w:rFonts w:ascii="Arial" w:hAnsi="Arial" w:hint="eastAsia"/>
          <w:sz w:val="24"/>
        </w:rPr>
        <w:t>人类本能与协作的进化》，</w:t>
      </w:r>
      <w:r>
        <w:rPr>
          <w:rFonts w:ascii="Arial" w:hAnsi="Arial"/>
          <w:sz w:val="24"/>
        </w:rPr>
        <w:t>[</w:t>
      </w:r>
      <w:r>
        <w:rPr>
          <w:rFonts w:ascii="Arial" w:hAnsi="Arial" w:hint="eastAsia"/>
          <w:sz w:val="24"/>
        </w:rPr>
        <w:t>美</w:t>
      </w:r>
      <w:r>
        <w:rPr>
          <w:rFonts w:ascii="Arial" w:hAnsi="Arial"/>
          <w:sz w:val="24"/>
        </w:rPr>
        <w:t>]</w:t>
      </w:r>
      <w:r>
        <w:rPr>
          <w:rFonts w:ascii="Arial" w:hAnsi="Arial" w:hint="eastAsia"/>
          <w:sz w:val="24"/>
        </w:rPr>
        <w:t>麦特</w:t>
      </w:r>
      <w:r>
        <w:rPr>
          <w:rFonts w:ascii="Arial" w:hAnsi="Arial"/>
          <w:sz w:val="24"/>
        </w:rPr>
        <w:t>·</w:t>
      </w:r>
      <w:r>
        <w:rPr>
          <w:rFonts w:ascii="Arial" w:hAnsi="Arial" w:hint="eastAsia"/>
          <w:sz w:val="24"/>
        </w:rPr>
        <w:t>里德雷，刘珩译，中央</w:t>
      </w:r>
      <w:r>
        <w:rPr>
          <w:rFonts w:ascii="Arial" w:hAnsi="Arial"/>
          <w:sz w:val="24"/>
        </w:rPr>
        <w:t xml:space="preserve"> </w:t>
      </w:r>
      <w:r>
        <w:rPr>
          <w:rFonts w:ascii="Arial" w:hAnsi="Arial" w:hint="eastAsia"/>
          <w:sz w:val="24"/>
        </w:rPr>
        <w:t>编译出版社</w:t>
      </w:r>
      <w:r>
        <w:rPr>
          <w:rFonts w:ascii="Arial" w:hAnsi="Arial"/>
          <w:sz w:val="24"/>
        </w:rPr>
        <w:t>2004</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11.</w:t>
      </w:r>
      <w:r>
        <w:rPr>
          <w:rFonts w:ascii="Arial" w:hAnsi="Arial" w:hint="eastAsia"/>
          <w:sz w:val="24"/>
        </w:rPr>
        <w:t>《道德建设的文化机制研究》，魏则胜，广东人民出版社</w:t>
      </w:r>
      <w:r>
        <w:rPr>
          <w:rFonts w:ascii="Arial" w:hAnsi="Arial"/>
          <w:sz w:val="24"/>
        </w:rPr>
        <w:t>2005</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12.</w:t>
      </w:r>
      <w:r>
        <w:rPr>
          <w:rFonts w:ascii="Arial" w:hAnsi="Arial" w:hint="eastAsia"/>
          <w:sz w:val="24"/>
        </w:rPr>
        <w:t>《伦理学》，罗国杰，人民出版社</w:t>
      </w:r>
      <w:r>
        <w:rPr>
          <w:rFonts w:ascii="Arial" w:hAnsi="Arial"/>
          <w:sz w:val="24"/>
        </w:rPr>
        <w:t>1989</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13.</w:t>
      </w:r>
      <w:r>
        <w:rPr>
          <w:rFonts w:ascii="Arial" w:hAnsi="Arial" w:hint="eastAsia"/>
          <w:sz w:val="24"/>
        </w:rPr>
        <w:t>《现代道德教育论》，李萍，广东人民出版社</w:t>
      </w:r>
      <w:r>
        <w:rPr>
          <w:rFonts w:ascii="Arial" w:hAnsi="Arial"/>
          <w:sz w:val="24"/>
        </w:rPr>
        <w:t>1999</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14</w:t>
      </w:r>
      <w:r>
        <w:rPr>
          <w:rFonts w:ascii="Arial" w:hAnsi="Arial" w:hint="eastAsia"/>
          <w:sz w:val="24"/>
        </w:rPr>
        <w:t>．《面对道德</w:t>
      </w:r>
      <w:r>
        <w:rPr>
          <w:rFonts w:ascii="Arial" w:hAnsi="Arial"/>
          <w:sz w:val="24"/>
        </w:rPr>
        <w:t>----</w:t>
      </w:r>
      <w:r>
        <w:rPr>
          <w:rFonts w:ascii="Arial" w:hAnsi="Arial" w:hint="eastAsia"/>
          <w:sz w:val="24"/>
        </w:rPr>
        <w:t>关于素质教育的思考》，陈晓平，中央编译出版社</w:t>
      </w:r>
      <w:r>
        <w:rPr>
          <w:rFonts w:ascii="Arial" w:hAnsi="Arial"/>
          <w:sz w:val="24"/>
        </w:rPr>
        <w:t>2002</w:t>
      </w:r>
      <w:r>
        <w:rPr>
          <w:rFonts w:ascii="Arial" w:hAnsi="Arial" w:hint="eastAsia"/>
          <w:sz w:val="24"/>
        </w:rPr>
        <w:t>年版。</w:t>
      </w:r>
      <w:r>
        <w:rPr>
          <w:rFonts w:ascii="Arial" w:hAnsi="Arial"/>
          <w:sz w:val="24"/>
        </w:rPr>
        <w:t xml:space="preserve">   15.</w:t>
      </w:r>
      <w:r>
        <w:rPr>
          <w:rFonts w:ascii="Arial" w:hAnsi="Arial" w:hint="eastAsia"/>
          <w:sz w:val="24"/>
        </w:rPr>
        <w:t>《社交礼仪教程》，金正昆，中国人民大学出版社</w:t>
      </w:r>
      <w:r>
        <w:rPr>
          <w:rFonts w:ascii="Arial" w:hAnsi="Arial"/>
          <w:sz w:val="24"/>
        </w:rPr>
        <w:t>2002</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16</w:t>
      </w:r>
      <w:r>
        <w:rPr>
          <w:rFonts w:ascii="Arial" w:hAnsi="Arial" w:hint="eastAsia"/>
          <w:sz w:val="24"/>
        </w:rPr>
        <w:t>．《个人交往主体性研究》，龙柏林，广东人民出版社</w:t>
      </w:r>
      <w:r>
        <w:rPr>
          <w:rFonts w:ascii="Arial" w:hAnsi="Arial"/>
          <w:sz w:val="24"/>
        </w:rPr>
        <w:t>2005</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17.</w:t>
      </w:r>
      <w:r>
        <w:rPr>
          <w:rFonts w:ascii="Arial" w:hAnsi="Arial" w:hint="eastAsia"/>
          <w:sz w:val="24"/>
        </w:rPr>
        <w:t>《冲突与整合》，侯惠勤、姜迎春、黄明理，中国人民大学出版社</w:t>
      </w:r>
      <w:r>
        <w:rPr>
          <w:rFonts w:ascii="Arial" w:hAnsi="Arial"/>
          <w:sz w:val="24"/>
        </w:rPr>
        <w:t>2004</w:t>
      </w:r>
      <w:r>
        <w:rPr>
          <w:rFonts w:ascii="Arial" w:hAnsi="Arial" w:hint="eastAsia"/>
          <w:sz w:val="24"/>
        </w:rPr>
        <w:t>年版。</w:t>
      </w:r>
      <w:r>
        <w:rPr>
          <w:rFonts w:ascii="Arial" w:hAnsi="Arial"/>
          <w:sz w:val="24"/>
        </w:rPr>
        <w:t xml:space="preserve">    18</w:t>
      </w:r>
      <w:r>
        <w:rPr>
          <w:rFonts w:ascii="Arial" w:hAnsi="Arial" w:hint="eastAsia"/>
          <w:sz w:val="24"/>
        </w:rPr>
        <w:t>．《主体性道德人格教育》，肖川，北京师范大学</w:t>
      </w:r>
      <w:r>
        <w:rPr>
          <w:rFonts w:ascii="Arial" w:hAnsi="Arial"/>
          <w:sz w:val="24"/>
        </w:rPr>
        <w:t>2002</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19</w:t>
      </w:r>
      <w:r>
        <w:rPr>
          <w:rFonts w:ascii="Arial" w:hAnsi="Arial" w:hint="eastAsia"/>
          <w:sz w:val="24"/>
        </w:rPr>
        <w:t>．《善的求索</w:t>
      </w:r>
      <w:r>
        <w:rPr>
          <w:rFonts w:ascii="Arial" w:hAnsi="Arial"/>
          <w:sz w:val="24"/>
        </w:rPr>
        <w:t>——</w:t>
      </w:r>
      <w:r>
        <w:rPr>
          <w:rFonts w:ascii="Arial" w:hAnsi="Arial" w:hint="eastAsia"/>
          <w:sz w:val="24"/>
        </w:rPr>
        <w:t>道德哲学导论》，</w:t>
      </w:r>
      <w:r>
        <w:rPr>
          <w:rFonts w:ascii="Arial" w:hAnsi="Arial"/>
          <w:sz w:val="24"/>
        </w:rPr>
        <w:t>[</w:t>
      </w:r>
      <w:r>
        <w:rPr>
          <w:rFonts w:ascii="Arial" w:hAnsi="Arial" w:hint="eastAsia"/>
          <w:sz w:val="24"/>
        </w:rPr>
        <w:t>美</w:t>
      </w:r>
      <w:r>
        <w:rPr>
          <w:rFonts w:ascii="Arial" w:hAnsi="Arial"/>
          <w:sz w:val="24"/>
        </w:rPr>
        <w:t xml:space="preserve">] </w:t>
      </w:r>
      <w:r>
        <w:rPr>
          <w:rFonts w:ascii="Arial" w:hAnsi="Arial" w:hint="eastAsia"/>
          <w:sz w:val="24"/>
        </w:rPr>
        <w:t>威廉</w:t>
      </w:r>
      <w:r>
        <w:rPr>
          <w:rFonts w:ascii="Arial" w:hAnsi="Arial"/>
          <w:sz w:val="24"/>
        </w:rPr>
        <w:t>·</w:t>
      </w:r>
      <w:r>
        <w:rPr>
          <w:rFonts w:ascii="Arial" w:hAnsi="Arial" w:hint="eastAsia"/>
          <w:sz w:val="24"/>
        </w:rPr>
        <w:t>弗兰克纳，黄合伟等译，辽宁教育出版社</w:t>
      </w:r>
      <w:r>
        <w:rPr>
          <w:rFonts w:ascii="Arial" w:hAnsi="Arial"/>
          <w:sz w:val="24"/>
        </w:rPr>
        <w:t>1987</w:t>
      </w:r>
      <w:r>
        <w:rPr>
          <w:rFonts w:ascii="Arial" w:hAnsi="Arial" w:hint="eastAsia"/>
          <w:sz w:val="24"/>
        </w:rPr>
        <w:t>年版。</w:t>
      </w:r>
      <w:r>
        <w:rPr>
          <w:rFonts w:ascii="Arial" w:hAnsi="Arial"/>
          <w:sz w:val="24"/>
        </w:rPr>
        <w:t xml:space="preserve"> </w:t>
      </w:r>
    </w:p>
    <w:p w:rsidR="003717A0" w:rsidRDefault="003717A0">
      <w:pPr>
        <w:wordWrap w:val="0"/>
        <w:topLinePunct/>
        <w:adjustRightInd w:val="0"/>
        <w:snapToGrid w:val="0"/>
        <w:spacing w:line="400" w:lineRule="atLeast"/>
        <w:ind w:leftChars="202" w:left="424" w:firstLineChars="171" w:firstLine="410"/>
        <w:jc w:val="left"/>
        <w:rPr>
          <w:rFonts w:ascii="Arial" w:hAnsi="Arial"/>
          <w:sz w:val="24"/>
        </w:rPr>
      </w:pPr>
      <w:r>
        <w:rPr>
          <w:rFonts w:ascii="Arial" w:hAnsi="Arial"/>
          <w:sz w:val="24"/>
        </w:rPr>
        <w:t>20</w:t>
      </w:r>
      <w:r>
        <w:rPr>
          <w:rFonts w:ascii="Arial" w:hAnsi="Arial" w:hint="eastAsia"/>
          <w:sz w:val="24"/>
        </w:rPr>
        <w:t>．《诚信</w:t>
      </w:r>
      <w:r>
        <w:rPr>
          <w:rFonts w:ascii="Arial" w:hAnsi="Arial"/>
          <w:sz w:val="24"/>
        </w:rPr>
        <w:t xml:space="preserve"> </w:t>
      </w:r>
      <w:r>
        <w:rPr>
          <w:rFonts w:ascii="Arial" w:hAnsi="Arial" w:hint="eastAsia"/>
          <w:sz w:val="24"/>
        </w:rPr>
        <w:t>善待</w:t>
      </w:r>
      <w:r>
        <w:rPr>
          <w:rFonts w:ascii="Arial" w:hAnsi="Arial"/>
          <w:sz w:val="24"/>
        </w:rPr>
        <w:t xml:space="preserve"> </w:t>
      </w:r>
      <w:r>
        <w:rPr>
          <w:rFonts w:ascii="Arial" w:hAnsi="Arial" w:hint="eastAsia"/>
          <w:sz w:val="24"/>
        </w:rPr>
        <w:t>宽容》，</w:t>
      </w:r>
      <w:r>
        <w:rPr>
          <w:rFonts w:ascii="Arial" w:hAnsi="Arial"/>
          <w:sz w:val="24"/>
        </w:rPr>
        <w:t>[</w:t>
      </w:r>
      <w:r>
        <w:rPr>
          <w:rFonts w:ascii="Arial" w:hAnsi="Arial" w:hint="eastAsia"/>
          <w:sz w:val="24"/>
        </w:rPr>
        <w:t>美</w:t>
      </w:r>
      <w:r>
        <w:rPr>
          <w:rFonts w:ascii="Arial" w:hAnsi="Arial"/>
          <w:sz w:val="24"/>
        </w:rPr>
        <w:t>]</w:t>
      </w:r>
      <w:r>
        <w:rPr>
          <w:rFonts w:ascii="Arial" w:hAnsi="Arial" w:hint="eastAsia"/>
          <w:sz w:val="24"/>
        </w:rPr>
        <w:t>阿尔伯特</w:t>
      </w:r>
      <w:r>
        <w:rPr>
          <w:rFonts w:ascii="Arial" w:hAnsi="Arial"/>
          <w:sz w:val="24"/>
        </w:rPr>
        <w:t>·</w:t>
      </w:r>
      <w:r>
        <w:rPr>
          <w:rFonts w:ascii="Arial" w:hAnsi="Arial" w:hint="eastAsia"/>
          <w:sz w:val="24"/>
        </w:rPr>
        <w:t>哈伯德，李家驹译，陕西师范大学出版社</w:t>
      </w:r>
      <w:r>
        <w:rPr>
          <w:rFonts w:ascii="Arial" w:hAnsi="Arial"/>
          <w:sz w:val="24"/>
        </w:rPr>
        <w:t>2003</w:t>
      </w:r>
      <w:r>
        <w:rPr>
          <w:rFonts w:ascii="Arial" w:hAnsi="Arial" w:hint="eastAsia"/>
          <w:sz w:val="24"/>
        </w:rPr>
        <w:t>年版。</w:t>
      </w:r>
      <w:r>
        <w:rPr>
          <w:rFonts w:ascii="Arial" w:hAnsi="Arial"/>
          <w:sz w:val="24"/>
        </w:rPr>
        <w:t xml:space="preserve"> </w:t>
      </w:r>
    </w:p>
    <w:p w:rsidR="003717A0" w:rsidRDefault="003717A0" w:rsidP="000E7DCD">
      <w:pPr>
        <w:wordWrap w:val="0"/>
        <w:topLinePunct/>
        <w:adjustRightInd w:val="0"/>
        <w:snapToGrid w:val="0"/>
        <w:spacing w:line="400" w:lineRule="atLeast"/>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0E7DCD" w:rsidRDefault="003717A0" w:rsidP="000E7DCD">
      <w:pPr>
        <w:autoSpaceDE w:val="0"/>
        <w:autoSpaceDN w:val="0"/>
        <w:adjustRightInd w:val="0"/>
        <w:jc w:val="right"/>
        <w:rPr>
          <w:rFonts w:ascii="黑体" w:eastAsia="黑体" w:cs="黑体"/>
          <w:kern w:val="0"/>
          <w:szCs w:val="21"/>
        </w:rPr>
      </w:pPr>
      <w:r w:rsidRPr="000E7DCD">
        <w:rPr>
          <w:rFonts w:ascii="黑体" w:eastAsia="黑体" w:cs="黑体" w:hint="eastAsia"/>
          <w:kern w:val="0"/>
          <w:szCs w:val="21"/>
        </w:rPr>
        <w:t>制定人：刘亚军</w:t>
      </w:r>
      <w:r w:rsidRPr="000E7DCD">
        <w:rPr>
          <w:rFonts w:ascii="黑体" w:eastAsia="黑体" w:cs="黑体"/>
          <w:kern w:val="0"/>
          <w:szCs w:val="21"/>
        </w:rPr>
        <w:t xml:space="preserve"> </w:t>
      </w:r>
    </w:p>
    <w:p w:rsidR="003717A0" w:rsidRPr="000E7DCD" w:rsidRDefault="003717A0" w:rsidP="000E7DCD">
      <w:pPr>
        <w:autoSpaceDE w:val="0"/>
        <w:autoSpaceDN w:val="0"/>
        <w:adjustRightInd w:val="0"/>
        <w:jc w:val="right"/>
        <w:rPr>
          <w:rFonts w:ascii="黑体" w:eastAsia="黑体" w:cs="黑体"/>
          <w:kern w:val="0"/>
          <w:szCs w:val="21"/>
        </w:rPr>
      </w:pPr>
      <w:r w:rsidRPr="000E7DCD">
        <w:rPr>
          <w:rFonts w:ascii="黑体" w:eastAsia="黑体" w:cs="黑体" w:hint="eastAsia"/>
          <w:kern w:val="0"/>
          <w:szCs w:val="21"/>
        </w:rPr>
        <w:t>审核人：顾玉平</w:t>
      </w:r>
    </w:p>
    <w:p w:rsidR="003717A0" w:rsidRDefault="003717A0" w:rsidP="005E20B5">
      <w:pPr>
        <w:adjustRightInd w:val="0"/>
        <w:snapToGrid w:val="0"/>
        <w:spacing w:beforeLines="50" w:afterLines="50" w:line="440" w:lineRule="exact"/>
        <w:jc w:val="center"/>
        <w:rPr>
          <w:rFonts w:ascii="Times New Roman" w:hAnsi="Times New Roman"/>
          <w:sz w:val="22"/>
        </w:rPr>
      </w:pPr>
      <w:r>
        <w:rPr>
          <w:rFonts w:ascii="黑体" w:eastAsia="黑体" w:cs="黑体"/>
          <w:kern w:val="0"/>
          <w:sz w:val="18"/>
          <w:szCs w:val="18"/>
        </w:rPr>
        <w:t xml:space="preserve"> </w:t>
      </w:r>
      <w:r>
        <w:rPr>
          <w:rFonts w:ascii="黑体" w:eastAsia="黑体" w:cs="黑体"/>
          <w:kern w:val="0"/>
          <w:sz w:val="18"/>
          <w:szCs w:val="18"/>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80"/>
        <w:jc w:val="left"/>
        <w:rPr>
          <w:rFonts w:ascii="Arial" w:hAnsi="Arial"/>
          <w:sz w:val="24"/>
        </w:rPr>
      </w:pPr>
      <w:r>
        <w:rPr>
          <w:rFonts w:ascii="Arial" w:hAnsi="Arial" w:hint="eastAsia"/>
          <w:sz w:val="24"/>
        </w:rPr>
        <w:t>除思想政治教育专业外的全校各专业</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80"/>
        <w:jc w:val="left"/>
        <w:rPr>
          <w:rFonts w:ascii="Arial" w:hAnsi="Arial"/>
          <w:sz w:val="24"/>
        </w:rPr>
      </w:pPr>
      <w:r>
        <w:rPr>
          <w:rFonts w:ascii="Arial" w:hAnsi="Arial" w:hint="eastAsia"/>
          <w:sz w:val="24"/>
        </w:rPr>
        <w:t>考核采取平时表现和期末考试相结合的学生全过程学习效果综合评价体系，注重考核学生对《思想道德修养与法律基础》课程基本知识和基本规律的掌握程度，尤其是着重考察学生运用所学知识和理论分析、解决实际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80"/>
        <w:jc w:val="left"/>
        <w:rPr>
          <w:rFonts w:ascii="Arial" w:hAnsi="Arial"/>
          <w:sz w:val="24"/>
        </w:rPr>
      </w:pPr>
      <w:r>
        <w:rPr>
          <w:rFonts w:ascii="Arial" w:hAnsi="Arial" w:hint="eastAsia"/>
          <w:sz w:val="24"/>
        </w:rPr>
        <w:t>考查，开卷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40" w:lineRule="exact"/>
        <w:ind w:firstLineChars="200" w:firstLine="480"/>
        <w:jc w:val="left"/>
        <w:rPr>
          <w:rFonts w:ascii="Arial" w:hAnsi="Arial"/>
          <w:sz w:val="24"/>
        </w:rPr>
      </w:pPr>
      <w:r>
        <w:rPr>
          <w:rFonts w:ascii="Arial" w:hAnsi="Arial" w:hint="eastAsia"/>
          <w:sz w:val="24"/>
        </w:rPr>
        <w:t>平时成绩占</w:t>
      </w:r>
      <w:r>
        <w:rPr>
          <w:rFonts w:ascii="Arial" w:hAnsi="Arial"/>
          <w:sz w:val="24"/>
        </w:rPr>
        <w:t>40%</w:t>
      </w:r>
      <w:r>
        <w:rPr>
          <w:rFonts w:ascii="Arial" w:hAnsi="Arial" w:hint="eastAsia"/>
          <w:sz w:val="24"/>
        </w:rPr>
        <w:t>，考试成绩占</w:t>
      </w:r>
      <w:r>
        <w:rPr>
          <w:rFonts w:ascii="Arial" w:hAnsi="Arial"/>
          <w:sz w:val="24"/>
        </w:rPr>
        <w:t>60%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360" w:lineRule="exact"/>
        <w:ind w:firstLineChars="193" w:firstLine="463"/>
        <w:jc w:val="left"/>
        <w:rPr>
          <w:rFonts w:ascii="Arial" w:hAnsi="Arial"/>
          <w:sz w:val="24"/>
        </w:rPr>
      </w:pPr>
      <w:r>
        <w:rPr>
          <w:rFonts w:ascii="Arial" w:hAnsi="Arial" w:hint="eastAsia"/>
          <w:sz w:val="24"/>
        </w:rPr>
        <w:t>大学生的历史使命、中国精神的内涵、人生观相关知识、道德的基本理论、社会公德和职业道德及家庭美德、我国法律体系、公民的权利与义务。</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360" w:lineRule="exact"/>
        <w:ind w:firstLineChars="193" w:firstLine="463"/>
        <w:jc w:val="left"/>
        <w:rPr>
          <w:rFonts w:ascii="Arial" w:hAnsi="Arial"/>
          <w:sz w:val="24"/>
        </w:rPr>
      </w:pPr>
      <w:r>
        <w:rPr>
          <w:rFonts w:ascii="Arial" w:hAnsi="Arial" w:hint="eastAsia"/>
          <w:sz w:val="24"/>
        </w:rPr>
        <w:t>要求大学生掌握相关的理论知识，能够运用相关理论分析国家发展问题、道德发展问题、个人发展问题，能够具备运用法律相关知识维护自身利益、抵制违法犯罪的实践能力。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rsidP="005E20B5">
      <w:pPr>
        <w:adjustRightInd w:val="0"/>
        <w:snapToGrid w:val="0"/>
        <w:spacing w:beforeLines="50" w:afterLines="50" w:line="440" w:lineRule="exact"/>
        <w:jc w:val="center"/>
        <w:rPr>
          <w:rFonts w:ascii="Times New Roman" w:eastAsia="黑体" w:hAnsi="Times New Roman"/>
          <w:kern w:val="0"/>
          <w:sz w:val="34"/>
          <w:szCs w:val="34"/>
        </w:rPr>
      </w:pPr>
      <w:r>
        <w:rPr>
          <w:rFonts w:ascii="Times New Roman" w:eastAsia="黑体" w:hAnsi="Times New Roman"/>
          <w:kern w:val="0"/>
          <w:sz w:val="34"/>
          <w:szCs w:val="34"/>
        </w:rPr>
        <w:br w:type="page"/>
      </w:r>
      <w:r>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00" w:firstLine="440"/>
              <w:jc w:val="left"/>
              <w:rPr>
                <w:rFonts w:ascii="Times New Roman" w:hAnsi="宋体"/>
                <w:kern w:val="0"/>
                <w:sz w:val="22"/>
              </w:rPr>
            </w:pPr>
            <w:r>
              <w:rPr>
                <w:rFonts w:hint="eastAsia"/>
                <w:sz w:val="22"/>
              </w:rPr>
              <w:t>教学要遵循理论结合实际的基本要求。既加强课程内容的理论性，体系性，还要加强课程内容与学生思想实际的融合性，以期达到更好的教育效果。</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numPr>
                <w:ilvl w:val="0"/>
                <w:numId w:val="3"/>
              </w:numPr>
              <w:autoSpaceDE w:val="0"/>
              <w:autoSpaceDN w:val="0"/>
              <w:adjustRightInd w:val="0"/>
              <w:snapToGrid w:val="0"/>
              <w:spacing w:line="360" w:lineRule="exact"/>
              <w:jc w:val="left"/>
              <w:rPr>
                <w:sz w:val="22"/>
              </w:rPr>
            </w:pPr>
            <w:r>
              <w:rPr>
                <w:rFonts w:hint="eastAsia"/>
                <w:sz w:val="22"/>
              </w:rPr>
              <w:t>严格按照大纲进行备课。</w:t>
            </w:r>
          </w:p>
          <w:p w:rsidR="003717A0" w:rsidRDefault="003717A0">
            <w:pPr>
              <w:numPr>
                <w:ilvl w:val="0"/>
                <w:numId w:val="3"/>
              </w:numPr>
              <w:autoSpaceDE w:val="0"/>
              <w:autoSpaceDN w:val="0"/>
              <w:adjustRightInd w:val="0"/>
              <w:snapToGrid w:val="0"/>
              <w:spacing w:line="360" w:lineRule="exact"/>
              <w:jc w:val="left"/>
              <w:rPr>
                <w:sz w:val="22"/>
              </w:rPr>
            </w:pPr>
            <w:r>
              <w:rPr>
                <w:rFonts w:hint="eastAsia"/>
                <w:sz w:val="22"/>
              </w:rPr>
              <w:t>各教师在统一教学主体内容的基础上，可以根据个人的研究积累进行适当调整。</w:t>
            </w:r>
          </w:p>
          <w:p w:rsidR="003717A0" w:rsidRDefault="003717A0">
            <w:pPr>
              <w:numPr>
                <w:ilvl w:val="0"/>
                <w:numId w:val="3"/>
              </w:numPr>
              <w:autoSpaceDE w:val="0"/>
              <w:autoSpaceDN w:val="0"/>
              <w:adjustRightInd w:val="0"/>
              <w:snapToGrid w:val="0"/>
              <w:spacing w:line="360" w:lineRule="exact"/>
              <w:jc w:val="left"/>
              <w:rPr>
                <w:sz w:val="22"/>
              </w:rPr>
            </w:pPr>
            <w:r>
              <w:rPr>
                <w:rFonts w:hint="eastAsia"/>
                <w:sz w:val="22"/>
              </w:rPr>
              <w:t>教师根据所授学生的专业，不断摸索适合的教学方法、适切的教学方案。</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numPr>
                <w:ilvl w:val="0"/>
                <w:numId w:val="4"/>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课堂讲授要坚持正面引导。</w:t>
            </w:r>
          </w:p>
          <w:p w:rsidR="003717A0" w:rsidRDefault="003717A0">
            <w:pPr>
              <w:numPr>
                <w:ilvl w:val="0"/>
                <w:numId w:val="4"/>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课堂讲授要理论结合社会生活实际、学生思想实际，做到有的放矢。</w:t>
            </w:r>
          </w:p>
          <w:p w:rsidR="003717A0" w:rsidRDefault="003717A0">
            <w:pPr>
              <w:numPr>
                <w:ilvl w:val="0"/>
                <w:numId w:val="4"/>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课堂讲授要充分调动学生的主体性，增加学生对教学的参与度。</w:t>
            </w:r>
          </w:p>
          <w:p w:rsidR="003717A0" w:rsidRDefault="003717A0">
            <w:pPr>
              <w:autoSpaceDE w:val="0"/>
              <w:autoSpaceDN w:val="0"/>
              <w:adjustRightInd w:val="0"/>
              <w:snapToGrid w:val="0"/>
              <w:spacing w:line="360" w:lineRule="exact"/>
              <w:jc w:val="left"/>
            </w:pP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numPr>
                <w:ilvl w:val="0"/>
                <w:numId w:val="5"/>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教师根据课堂教学内容布置作业，作业形式为小论文。每学期不少于两次。</w:t>
            </w:r>
          </w:p>
          <w:p w:rsidR="003717A0" w:rsidRDefault="003717A0">
            <w:pPr>
              <w:numPr>
                <w:ilvl w:val="0"/>
                <w:numId w:val="5"/>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教师根据教学重点，结合时事或结合同学发展中的问题、困境，让学生自主选择主题进行演讲。</w:t>
            </w:r>
          </w:p>
          <w:p w:rsidR="003717A0" w:rsidRDefault="003717A0">
            <w:pPr>
              <w:numPr>
                <w:ilvl w:val="0"/>
                <w:numId w:val="5"/>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教师与学生共同确定社会实践主题，学生自愿组合成团队共同完成实践任务，撰写实践报告。</w:t>
            </w:r>
          </w:p>
          <w:p w:rsidR="003717A0" w:rsidRDefault="003717A0">
            <w:pPr>
              <w:numPr>
                <w:ilvl w:val="0"/>
                <w:numId w:val="5"/>
              </w:num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教师认真、仔细批阅作业和实践报告，以百分制计分。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为更好了解学生的思想状况，建议教师利用课外时间与学生沟通，对学生进行课外指导。</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平时成绩占</w:t>
            </w:r>
            <w:r>
              <w:rPr>
                <w:rFonts w:ascii="Times New Roman" w:hAnsi="宋体"/>
                <w:kern w:val="0"/>
                <w:sz w:val="22"/>
              </w:rPr>
              <w:t>40%</w:t>
            </w:r>
            <w:r>
              <w:rPr>
                <w:rFonts w:ascii="Times New Roman" w:hAnsi="宋体" w:hint="eastAsia"/>
                <w:kern w:val="0"/>
                <w:sz w:val="22"/>
              </w:rPr>
              <w:t>，考试成绩占</w:t>
            </w:r>
            <w:r>
              <w:rPr>
                <w:rFonts w:ascii="Times New Roman" w:hAnsi="宋体"/>
                <w:kern w:val="0"/>
                <w:sz w:val="22"/>
              </w:rPr>
              <w:t>50%</w:t>
            </w:r>
          </w:p>
          <w:p w:rsidR="003717A0" w:rsidRDefault="003717A0">
            <w:pPr>
              <w:autoSpaceDE w:val="0"/>
              <w:autoSpaceDN w:val="0"/>
              <w:adjustRightInd w:val="0"/>
              <w:snapToGrid w:val="0"/>
              <w:spacing w:line="440" w:lineRule="exact"/>
              <w:jc w:val="left"/>
              <w:rPr>
                <w:rFonts w:ascii="Times New Roman" w:hAnsi="宋体"/>
                <w:kern w:val="0"/>
                <w:sz w:val="22"/>
              </w:rPr>
            </w:pPr>
            <w:r>
              <w:rPr>
                <w:rFonts w:ascii="Times New Roman" w:hAnsi="宋体" w:hint="eastAsia"/>
                <w:kern w:val="0"/>
                <w:sz w:val="22"/>
              </w:rPr>
              <w:t>平时成绩主要包括考勤、作业、上课状态、发言情况、实践环节、笔记等六个方面。其中，实践报告（包括调研报告、观后感、基本思想概括等）占平时成绩的</w:t>
            </w:r>
            <w:r>
              <w:rPr>
                <w:rFonts w:ascii="Times New Roman" w:hAnsi="宋体"/>
                <w:kern w:val="0"/>
                <w:sz w:val="22"/>
              </w:rPr>
              <w:t>20%</w:t>
            </w:r>
            <w:r>
              <w:rPr>
                <w:rFonts w:ascii="Times New Roman" w:hAnsi="宋体" w:hint="eastAsia"/>
                <w:kern w:val="0"/>
                <w:sz w:val="22"/>
              </w:rPr>
              <w:t>。</w:t>
            </w:r>
            <w:r>
              <w:rPr>
                <w:rFonts w:ascii="Times New Roman" w:hAnsi="宋体"/>
                <w:kern w:val="0"/>
                <w:sz w:val="22"/>
              </w:rPr>
              <w:t xml:space="preserve"> </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考核最终成绩按优、良、中、及格、不及格五等级进行评定。</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 </w:t>
            </w:r>
            <w:r>
              <w:rPr>
                <w:rFonts w:ascii="Times New Roman" w:hAnsi="宋体" w:hint="eastAsia"/>
                <w:kern w:val="0"/>
                <w:sz w:val="22"/>
              </w:rPr>
              <w:t>有下列情况之一者，总评成绩为不及格：</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）缺交作业次数达</w:t>
            </w:r>
            <w:r>
              <w:rPr>
                <w:rFonts w:ascii="Times New Roman" w:hAnsi="宋体"/>
                <w:kern w:val="0"/>
                <w:sz w:val="22"/>
              </w:rPr>
              <w:t>1/3</w:t>
            </w:r>
            <w:r>
              <w:rPr>
                <w:rFonts w:ascii="Times New Roman" w:hAnsi="宋体" w:hint="eastAsia"/>
                <w:kern w:val="0"/>
                <w:sz w:val="22"/>
              </w:rPr>
              <w:t>以上者；</w:t>
            </w:r>
          </w:p>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1/3</w:t>
            </w:r>
            <w:r>
              <w:rPr>
                <w:rFonts w:ascii="Times New Roman" w:hAnsi="宋体" w:hint="eastAsia"/>
                <w:kern w:val="0"/>
                <w:sz w:val="22"/>
              </w:rPr>
              <w:t>以上者。</w:t>
            </w:r>
          </w:p>
        </w:tc>
      </w:tr>
      <w:tr w:rsidR="003717A0">
        <w:trPr>
          <w:gridAfter w:val="1"/>
          <w:wAfter w:w="26" w:type="dxa"/>
          <w:cantSplit/>
          <w:trHeight w:val="154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按国家人才培养方案统一要求，在《思想道德修养与法律基础》课程的</w:t>
            </w:r>
            <w:r>
              <w:rPr>
                <w:rFonts w:ascii="Times New Roman" w:hAnsi="宋体"/>
                <w:kern w:val="0"/>
                <w:sz w:val="22"/>
              </w:rPr>
              <w:t>48</w:t>
            </w:r>
            <w:r>
              <w:rPr>
                <w:rFonts w:ascii="Times New Roman" w:hAnsi="宋体" w:hint="eastAsia"/>
                <w:kern w:val="0"/>
                <w:sz w:val="22"/>
              </w:rPr>
              <w:t>学时中，安排</w:t>
            </w:r>
            <w:r>
              <w:rPr>
                <w:rFonts w:ascii="Times New Roman" w:hAnsi="宋体"/>
                <w:kern w:val="0"/>
                <w:sz w:val="22"/>
              </w:rPr>
              <w:t>12</w:t>
            </w:r>
            <w:r>
              <w:rPr>
                <w:rFonts w:ascii="Times New Roman" w:hAnsi="宋体" w:hint="eastAsia"/>
                <w:kern w:val="0"/>
                <w:sz w:val="22"/>
              </w:rPr>
              <w:t>学时进行实践教学环节。课程结合学校实际情况，由教研室制订课程实践的基本方案，由任课教师根据上课班级的具体情况安排实践环节。学生完成实践过程并撰写实践报告。教师将实践报告成绩纳入平时成绩。</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Pr="00F5156D" w:rsidRDefault="003717A0">
      <w:pPr>
        <w:pStyle w:val="1"/>
        <w:rPr>
          <w:b/>
        </w:rPr>
      </w:pPr>
      <w:bookmarkStart w:id="10" w:name="_Toc469312977"/>
      <w:bookmarkStart w:id="11" w:name="_Toc471830689"/>
      <w:r w:rsidRPr="00F5156D">
        <w:rPr>
          <w:rFonts w:hint="eastAsia"/>
          <w:b/>
        </w:rPr>
        <w:lastRenderedPageBreak/>
        <w:t>《形势与政策》课程质量标准</w:t>
      </w:r>
      <w:bookmarkEnd w:id="10"/>
      <w:bookmarkEnd w:id="11"/>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形势与政策</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rFonts w:ascii="Times New Roman" w:hAnsi="Times New Roman"/>
                <w:sz w:val="22"/>
              </w:rPr>
            </w:pPr>
            <w:r>
              <w:rPr>
                <w:rStyle w:val="opdicttext22"/>
                <w:rFonts w:ascii="Times New Roman" w:hAnsi="Times New Roman" w:cs="Arial"/>
                <w:sz w:val="22"/>
              </w:rPr>
              <w:t>situation and policy</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030209</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一、二</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Cs w:val="21"/>
              </w:rPr>
              <w:t>■</w:t>
            </w:r>
            <w:r>
              <w:rPr>
                <w:rFonts w:hint="eastAsia"/>
                <w:sz w:val="22"/>
              </w:rPr>
              <w:t>公共基础课</w:t>
            </w:r>
            <w:r>
              <w:rPr>
                <w:rFonts w:ascii="宋体" w:hAnsi="宋体" w:hint="eastAsia"/>
                <w:sz w:val="22"/>
              </w:rPr>
              <w:t>□专业基础课□专业选修课□公共选修课□必修课□选修课</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政治学院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形势与政策教研室</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18"/>
                <w:szCs w:val="18"/>
              </w:rPr>
              <w:t xml:space="preserve">　</w:t>
            </w:r>
            <w:r>
              <w:rPr>
                <w:rFonts w:hint="eastAsia"/>
                <w:sz w:val="22"/>
              </w:rPr>
              <w:t>《时事报告·大学生版》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中宣部《时事报告》杂志社编辑出版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w:t>
            </w:r>
            <w:r>
              <w:rPr>
                <w:rFonts w:ascii="宋体" w:hAnsi="宋体" w:hint="eastAsia"/>
                <w:szCs w:val="21"/>
              </w:rPr>
              <w:t>■</w:t>
            </w:r>
            <w:r>
              <w:rPr>
                <w:rFonts w:ascii="宋体" w:hAnsi="宋体" w:hint="eastAsia"/>
                <w:sz w:val="22"/>
              </w:rPr>
              <w:t>部级规划□省级规划□自编□其他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考查□开卷□闭卷□课程设计□学期论文□其他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40%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60%</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姚志平</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研究员</w:t>
            </w:r>
          </w:p>
        </w:tc>
        <w:tc>
          <w:tcPr>
            <w:tcW w:w="1524" w:type="dxa"/>
          </w:tcPr>
          <w:p w:rsidR="003717A0" w:rsidRDefault="003717A0">
            <w:pPr>
              <w:adjustRightInd w:val="0"/>
              <w:snapToGrid w:val="0"/>
              <w:spacing w:line="500" w:lineRule="exact"/>
              <w:rPr>
                <w:sz w:val="22"/>
              </w:rPr>
            </w:pPr>
            <w:r>
              <w:rPr>
                <w:sz w:val="22"/>
              </w:rPr>
              <w:t>1985</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孙</w:t>
            </w:r>
            <w:r>
              <w:rPr>
                <w:sz w:val="22"/>
              </w:rPr>
              <w:t xml:space="preserve">  </w:t>
            </w:r>
            <w:r>
              <w:rPr>
                <w:rFonts w:hint="eastAsia"/>
                <w:sz w:val="22"/>
              </w:rPr>
              <w:t>泊</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副研究员</w:t>
            </w:r>
          </w:p>
        </w:tc>
        <w:tc>
          <w:tcPr>
            <w:tcW w:w="1524" w:type="dxa"/>
          </w:tcPr>
          <w:p w:rsidR="003717A0" w:rsidRDefault="003717A0">
            <w:pPr>
              <w:adjustRightInd w:val="0"/>
              <w:snapToGrid w:val="0"/>
              <w:spacing w:line="500" w:lineRule="exact"/>
              <w:rPr>
                <w:sz w:val="22"/>
              </w:rPr>
            </w:pPr>
            <w:r>
              <w:rPr>
                <w:sz w:val="22"/>
              </w:rPr>
              <w:t>2004</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张李军</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2003</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吴世丽</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2012</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0E7DCD">
        <w:trPr>
          <w:jc w:val="center"/>
        </w:trPr>
        <w:tc>
          <w:tcPr>
            <w:tcW w:w="9286" w:type="dxa"/>
            <w:gridSpan w:val="10"/>
          </w:tcPr>
          <w:p w:rsidR="003717A0" w:rsidRDefault="003717A0">
            <w:pPr>
              <w:adjustRightInd w:val="0"/>
              <w:snapToGrid w:val="0"/>
              <w:spacing w:line="360" w:lineRule="auto"/>
              <w:rPr>
                <w:rFonts w:cs="宋体"/>
                <w:kern w:val="0"/>
                <w:szCs w:val="21"/>
              </w:rPr>
            </w:pPr>
            <w:r>
              <w:rPr>
                <w:sz w:val="22"/>
              </w:rPr>
              <w:t xml:space="preserve">    </w:t>
            </w:r>
            <w:r>
              <w:rPr>
                <w:rFonts w:ascii="宋体" w:hAnsi="宋体" w:cs="宋体" w:hint="eastAsia"/>
                <w:kern w:val="0"/>
                <w:szCs w:val="21"/>
              </w:rPr>
              <w:t>《形势与政策》课是一门以马克思列宁主义、毛泽东思想和中国特色社会主义理论为指导的课程。它的基本任务是通过适时地进行形势与政策、世界政治经济与国际关系基本知识的教育。帮助学生开阔视野，及时了解和正确对待国内外重大时事，</w:t>
            </w:r>
            <w:r>
              <w:rPr>
                <w:rFonts w:ascii="宋体" w:hAnsi="宋体" w:hint="eastAsia"/>
                <w:szCs w:val="21"/>
                <w:shd w:val="clear" w:color="auto" w:fill="FFFFFF"/>
              </w:rPr>
              <w:t>使大学生在改革开放的环境下有坚定正确的政治立场、较强的政治鉴别能力。</w:t>
            </w:r>
            <w:r>
              <w:rPr>
                <w:rFonts w:ascii="宋体" w:hAnsi="宋体" w:cs="宋体" w:hint="eastAsia"/>
                <w:kern w:val="0"/>
                <w:szCs w:val="21"/>
              </w:rPr>
              <w:t>根据教育部的规定，《形势与政策》课作为大学生必修课要列入教育全过程，保证平均每周不少于一学时，教学以专题讲授形式为主，其他形式为辅。为了使课程的效果更明显，不但内容上要有针对性、时效性，而且力求教学形式多样、教学手段灵活，做到课内、课外相结合，讲授和讨论相结合，听课和辅助以课外读物相结合等，吸引学生积极主动参与</w:t>
            </w:r>
            <w:r>
              <w:rPr>
                <w:rFonts w:cs="宋体" w:hint="eastAsia"/>
                <w:kern w:val="0"/>
                <w:szCs w:val="21"/>
              </w:rPr>
              <w:t>。</w:t>
            </w:r>
          </w:p>
        </w:tc>
      </w:tr>
    </w:tbl>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适应对象：南通大学本科专业一年级学生</w:t>
      </w:r>
    </w:p>
    <w:p w:rsidR="003717A0" w:rsidRDefault="003717A0">
      <w:pPr>
        <w:autoSpaceDE w:val="0"/>
        <w:autoSpaceDN w:val="0"/>
        <w:adjustRightInd w:val="0"/>
        <w:spacing w:line="360" w:lineRule="exact"/>
        <w:ind w:firstLineChars="193" w:firstLine="425"/>
        <w:jc w:val="left"/>
        <w:rPr>
          <w:rFonts w:ascii="宋体"/>
          <w:sz w:val="22"/>
        </w:rPr>
      </w:pPr>
      <w:r>
        <w:rPr>
          <w:rFonts w:ascii="Times New Roman" w:hAnsi="宋体" w:hint="eastAsia"/>
          <w:kern w:val="0"/>
          <w:sz w:val="22"/>
        </w:rPr>
        <w:t>课程代码：</w:t>
      </w:r>
      <w:r>
        <w:rPr>
          <w:rFonts w:ascii="宋体" w:hAnsi="宋体"/>
          <w:sz w:val="22"/>
        </w:rPr>
        <w:t>030209</w:t>
      </w:r>
    </w:p>
    <w:p w:rsidR="003717A0" w:rsidRDefault="003717A0">
      <w:pPr>
        <w:autoSpaceDE w:val="0"/>
        <w:autoSpaceDN w:val="0"/>
        <w:adjustRightInd w:val="0"/>
        <w:spacing w:line="360" w:lineRule="exact"/>
        <w:ind w:firstLineChars="193" w:firstLine="425"/>
        <w:jc w:val="left"/>
        <w:rPr>
          <w:rFonts w:ascii="宋体"/>
          <w:kern w:val="0"/>
          <w:sz w:val="22"/>
        </w:rPr>
      </w:pPr>
      <w:r>
        <w:rPr>
          <w:rFonts w:ascii="Times New Roman" w:hAnsi="宋体" w:hint="eastAsia"/>
          <w:kern w:val="0"/>
          <w:sz w:val="22"/>
        </w:rPr>
        <w:t>学时分配：</w:t>
      </w:r>
      <w:r>
        <w:rPr>
          <w:rFonts w:ascii="宋体" w:hAnsi="宋体" w:hint="eastAsia"/>
          <w:sz w:val="22"/>
        </w:rPr>
        <w:t>理论讲授</w:t>
      </w:r>
      <w:r>
        <w:rPr>
          <w:rFonts w:ascii="宋体" w:hAnsi="宋体"/>
          <w:sz w:val="22"/>
        </w:rPr>
        <w:t>30</w:t>
      </w:r>
      <w:r>
        <w:rPr>
          <w:rFonts w:ascii="宋体" w:hAnsi="宋体" w:hint="eastAsia"/>
          <w:sz w:val="22"/>
        </w:rPr>
        <w:t>学时</w:t>
      </w:r>
      <w:r>
        <w:rPr>
          <w:rFonts w:ascii="宋体" w:hAnsi="宋体"/>
          <w:sz w:val="22"/>
        </w:rPr>
        <w:t>/</w:t>
      </w:r>
      <w:r>
        <w:rPr>
          <w:rFonts w:ascii="宋体" w:hAnsi="宋体" w:hint="eastAsia"/>
          <w:sz w:val="22"/>
        </w:rPr>
        <w:t>考查</w:t>
      </w:r>
      <w:r>
        <w:rPr>
          <w:rFonts w:ascii="宋体" w:hAnsi="宋体"/>
          <w:sz w:val="22"/>
        </w:rPr>
        <w:t>2</w:t>
      </w:r>
      <w:r>
        <w:rPr>
          <w:rFonts w:ascii="宋体" w:hAnsi="宋体" w:hint="eastAsia"/>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2</w:t>
      </w:r>
      <w:r>
        <w:rPr>
          <w:rFonts w:ascii="Times New Roman" w:hAnsi="Times New Roman" w:hint="eastAsia"/>
          <w:kern w:val="0"/>
          <w:sz w:val="22"/>
        </w:rPr>
        <w:t>学分</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无</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pStyle w:val="af0"/>
        <w:shd w:val="clear" w:color="auto" w:fill="FFFFFF"/>
        <w:spacing w:before="0" w:beforeAutospacing="0" w:after="75" w:afterAutospacing="0" w:line="315" w:lineRule="atLeast"/>
        <w:ind w:firstLineChars="200" w:firstLine="440"/>
        <w:rPr>
          <w:sz w:val="22"/>
          <w:szCs w:val="22"/>
        </w:rPr>
      </w:pPr>
      <w:r>
        <w:rPr>
          <w:rFonts w:hint="eastAsia"/>
          <w:sz w:val="22"/>
          <w:szCs w:val="22"/>
        </w:rPr>
        <w:t>《形势与政策》课是一门以马克思列宁主义、毛泽东思想、邓小平理论和“三个代表”重要思想为指导，以高校培养目标为依据的高校思想政治理论系列课程中的一门必修课，是对学生进行形势与政策教育的主要渠道。</w:t>
      </w:r>
    </w:p>
    <w:p w:rsidR="003717A0" w:rsidRDefault="003717A0">
      <w:pPr>
        <w:pStyle w:val="af0"/>
        <w:shd w:val="clear" w:color="auto" w:fill="FFFFFF"/>
        <w:spacing w:before="0" w:beforeAutospacing="0" w:after="75" w:afterAutospacing="0" w:line="315" w:lineRule="atLeast"/>
        <w:ind w:firstLineChars="200" w:firstLine="440"/>
        <w:rPr>
          <w:sz w:val="22"/>
          <w:szCs w:val="22"/>
        </w:rPr>
      </w:pPr>
      <w:r>
        <w:rPr>
          <w:rFonts w:hint="eastAsia"/>
          <w:sz w:val="22"/>
          <w:szCs w:val="22"/>
        </w:rPr>
        <w:t>《形势与政策》课的基本任务是紧密结合国内外形势，紧密结合大学生的思想实际，通过适时地进行国内外时事、形势与政策基本知识的教育，帮助学生开阔视野，及时了解和正确对待国内外重大时事，使当代大学生在改革开放的环境和复杂的国际形势下有坚定正确的政治立场、较强的政治鉴别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jc w:val="left"/>
        <w:rPr>
          <w:sz w:val="22"/>
          <w:shd w:val="clear" w:color="auto" w:fill="FFFFFF"/>
        </w:rPr>
      </w:pPr>
      <w:r>
        <w:rPr>
          <w:sz w:val="22"/>
        </w:rPr>
        <w:t xml:space="preserve">   </w:t>
      </w:r>
      <w:r>
        <w:rPr>
          <w:rFonts w:hint="eastAsia"/>
          <w:sz w:val="22"/>
          <w:shd w:val="clear" w:color="auto" w:fill="FFFFFF"/>
        </w:rPr>
        <w:t>通过本课程的教学，学生应该了解国内外重大时事，全面认识和正确理解党的基本路线、重大方针和政策，认清形势和任务，掌握时代的脉搏，</w:t>
      </w:r>
      <w:r>
        <w:rPr>
          <w:rFonts w:hint="eastAsia"/>
          <w:bCs/>
          <w:sz w:val="22"/>
          <w:shd w:val="clear" w:color="auto" w:fill="FFFFFF"/>
        </w:rPr>
        <w:t>激发爱国主义精神</w:t>
      </w:r>
      <w:r>
        <w:rPr>
          <w:rFonts w:hint="eastAsia"/>
          <w:sz w:val="22"/>
          <w:shd w:val="clear" w:color="auto" w:fill="FFFFFF"/>
        </w:rPr>
        <w:t>，增强民族自信心和</w:t>
      </w:r>
      <w:r>
        <w:rPr>
          <w:rFonts w:hint="eastAsia"/>
          <w:bCs/>
          <w:sz w:val="22"/>
          <w:shd w:val="clear" w:color="auto" w:fill="FFFFFF"/>
        </w:rPr>
        <w:t>社会责任感</w:t>
      </w:r>
      <w:r>
        <w:rPr>
          <w:rFonts w:hint="eastAsia"/>
          <w:sz w:val="22"/>
          <w:shd w:val="clear" w:color="auto" w:fill="FFFFFF"/>
        </w:rPr>
        <w:t>，珍惜和维护国家改革发展稳定的大局，为建设有中国特色的社会主义而努力学习和健康成长。</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left"/>
        <w:rPr>
          <w:rFonts w:ascii="宋体"/>
          <w:kern w:val="0"/>
          <w:sz w:val="22"/>
        </w:rPr>
      </w:pPr>
      <w:r>
        <w:rPr>
          <w:rFonts w:ascii="Times New Roman" w:eastAsia="黑体" w:hAnsi="Times New Roman"/>
          <w:b/>
          <w:kern w:val="0"/>
          <w:sz w:val="24"/>
          <w:szCs w:val="24"/>
        </w:rPr>
        <w:t xml:space="preserve">   </w:t>
      </w:r>
      <w:r>
        <w:rPr>
          <w:rFonts w:ascii="宋体" w:hAnsi="宋体"/>
          <w:kern w:val="0"/>
          <w:sz w:val="22"/>
        </w:rPr>
        <w:t xml:space="preserve"> </w:t>
      </w:r>
      <w:r>
        <w:rPr>
          <w:rFonts w:ascii="宋体" w:hAnsi="宋体" w:hint="eastAsia"/>
          <w:kern w:val="0"/>
          <w:sz w:val="22"/>
        </w:rPr>
        <w:t>形势与政策课程的教学内容时效性强，变动性大。在教学内容上以教育部社科司每学期开学前发布的</w:t>
      </w:r>
      <w:r>
        <w:rPr>
          <w:rFonts w:hint="eastAsia"/>
          <w:sz w:val="22"/>
        </w:rPr>
        <w:t>《高校“形势与政策”教育教学要点》为指导，分“</w:t>
      </w:r>
      <w:r>
        <w:rPr>
          <w:rFonts w:ascii="宋体" w:hAnsi="宋体" w:cs="宋体" w:hint="eastAsia"/>
          <w:kern w:val="0"/>
          <w:sz w:val="22"/>
        </w:rPr>
        <w:t>国内形势</w:t>
      </w:r>
      <w:r>
        <w:rPr>
          <w:rFonts w:hint="eastAsia"/>
          <w:sz w:val="22"/>
        </w:rPr>
        <w:t>”和“国际形势”两大部分，结合实际情况进行专题教学。</w:t>
      </w:r>
    </w:p>
    <w:p w:rsidR="003717A0" w:rsidRDefault="003717A0">
      <w:pPr>
        <w:widowControl/>
        <w:spacing w:before="150" w:line="360" w:lineRule="auto"/>
        <w:ind w:firstLineChars="200" w:firstLine="440"/>
        <w:jc w:val="left"/>
        <w:rPr>
          <w:rFonts w:ascii="宋体" w:cs="宋体"/>
          <w:kern w:val="0"/>
          <w:sz w:val="22"/>
        </w:rPr>
      </w:pPr>
      <w:r>
        <w:rPr>
          <w:rFonts w:ascii="宋体" w:hAnsi="宋体" w:cs="宋体" w:hint="eastAsia"/>
          <w:kern w:val="0"/>
          <w:sz w:val="22"/>
        </w:rPr>
        <w:t>国内形势方面（</w:t>
      </w:r>
      <w:r>
        <w:rPr>
          <w:rFonts w:ascii="宋体" w:hAnsi="宋体" w:cs="宋体"/>
          <w:kern w:val="0"/>
          <w:sz w:val="22"/>
        </w:rPr>
        <w:t>20</w:t>
      </w:r>
      <w:r>
        <w:rPr>
          <w:rFonts w:ascii="宋体" w:hAnsi="宋体" w:cs="宋体" w:hint="eastAsia"/>
          <w:kern w:val="0"/>
          <w:sz w:val="22"/>
        </w:rPr>
        <w:t>学时）：</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1</w:t>
      </w:r>
      <w:r>
        <w:rPr>
          <w:rFonts w:ascii="宋体" w:hAnsi="宋体" w:cs="宋体" w:hint="eastAsia"/>
          <w:kern w:val="0"/>
          <w:sz w:val="22"/>
        </w:rPr>
        <w:t>．深入学习贯彻习近平总书记系列重要讲话精神。</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2</w:t>
      </w:r>
      <w:r>
        <w:rPr>
          <w:rFonts w:ascii="宋体" w:hAnsi="宋体" w:cs="宋体" w:hint="eastAsia"/>
          <w:kern w:val="0"/>
          <w:sz w:val="22"/>
        </w:rPr>
        <w:t>．大力培育和践行社会主义核心价值观。</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3</w:t>
      </w:r>
      <w:r>
        <w:rPr>
          <w:rFonts w:ascii="宋体" w:hAnsi="宋体" w:cs="宋体" w:hint="eastAsia"/>
          <w:kern w:val="0"/>
          <w:sz w:val="22"/>
        </w:rPr>
        <w:t>．正确认识和判断当前党风廉政建设和反腐败斗争形势。</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4</w:t>
      </w:r>
      <w:r>
        <w:rPr>
          <w:rFonts w:ascii="宋体" w:hAnsi="宋体" w:cs="宋体" w:hint="eastAsia"/>
          <w:kern w:val="0"/>
          <w:sz w:val="22"/>
        </w:rPr>
        <w:t>．准确把握我国</w:t>
      </w:r>
      <w:r>
        <w:rPr>
          <w:rFonts w:ascii="宋体" w:hAnsi="宋体" w:cs="宋体" w:hint="eastAsia"/>
          <w:bCs/>
          <w:kern w:val="0"/>
          <w:sz w:val="22"/>
        </w:rPr>
        <w:t>经济发展新常态的趋势性变化。</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5</w:t>
      </w:r>
      <w:r>
        <w:rPr>
          <w:rFonts w:ascii="宋体" w:hAnsi="宋体" w:cs="宋体" w:hint="eastAsia"/>
          <w:kern w:val="0"/>
          <w:sz w:val="22"/>
        </w:rPr>
        <w:t>．正确理解事关农业农村长远发展的重大问题。</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6</w:t>
      </w:r>
      <w:r>
        <w:rPr>
          <w:rFonts w:ascii="宋体" w:hAnsi="宋体" w:cs="宋体" w:hint="eastAsia"/>
          <w:kern w:val="0"/>
          <w:sz w:val="22"/>
        </w:rPr>
        <w:t>．全面认识当前我国社会领域的改革发展形势与措施。</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7</w:t>
      </w:r>
      <w:r>
        <w:rPr>
          <w:rFonts w:ascii="宋体" w:hAnsi="宋体" w:cs="宋体" w:hint="eastAsia"/>
          <w:kern w:val="0"/>
          <w:sz w:val="22"/>
        </w:rPr>
        <w:t>．建党、建国、抗战胜利等重大主题纪念活动。</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 xml:space="preserve">8. </w:t>
      </w:r>
      <w:r>
        <w:rPr>
          <w:rFonts w:ascii="宋体" w:hAnsi="宋体" w:cs="宋体" w:hint="eastAsia"/>
          <w:kern w:val="0"/>
          <w:sz w:val="22"/>
        </w:rPr>
        <w:t>每年的全国“两会”和党的重要会议精神。</w:t>
      </w:r>
    </w:p>
    <w:p w:rsidR="003717A0" w:rsidRDefault="003717A0">
      <w:pPr>
        <w:widowControl/>
        <w:spacing w:line="360" w:lineRule="auto"/>
        <w:ind w:firstLineChars="200" w:firstLine="440"/>
        <w:jc w:val="left"/>
        <w:rPr>
          <w:rFonts w:ascii="宋体" w:cs="宋体"/>
          <w:kern w:val="0"/>
          <w:sz w:val="22"/>
        </w:rPr>
      </w:pPr>
      <w:r>
        <w:rPr>
          <w:rFonts w:ascii="宋体" w:hAnsi="宋体" w:cs="宋体" w:hint="eastAsia"/>
          <w:kern w:val="0"/>
          <w:sz w:val="22"/>
        </w:rPr>
        <w:lastRenderedPageBreak/>
        <w:t>国际形势方面（</w:t>
      </w:r>
      <w:r>
        <w:rPr>
          <w:rFonts w:ascii="宋体" w:hAnsi="宋体" w:cs="宋体"/>
          <w:kern w:val="0"/>
          <w:sz w:val="22"/>
        </w:rPr>
        <w:t>10</w:t>
      </w:r>
      <w:r>
        <w:rPr>
          <w:rFonts w:ascii="宋体" w:hAnsi="宋体" w:cs="宋体" w:hint="eastAsia"/>
          <w:kern w:val="0"/>
          <w:sz w:val="22"/>
        </w:rPr>
        <w:t>学时）：</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1</w:t>
      </w:r>
      <w:r>
        <w:rPr>
          <w:rFonts w:ascii="宋体" w:hAnsi="宋体" w:cs="宋体" w:hint="eastAsia"/>
          <w:kern w:val="0"/>
          <w:sz w:val="22"/>
        </w:rPr>
        <w:t>．世界经济格局的新变化。</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2</w:t>
      </w:r>
      <w:r>
        <w:rPr>
          <w:rFonts w:ascii="宋体" w:hAnsi="宋体" w:cs="宋体" w:hint="eastAsia"/>
          <w:kern w:val="0"/>
          <w:sz w:val="22"/>
        </w:rPr>
        <w:t>．大国关系不断调整，把握其对世界格局产生的深远影响。</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3</w:t>
      </w:r>
      <w:r>
        <w:rPr>
          <w:rFonts w:ascii="宋体" w:hAnsi="宋体" w:cs="宋体" w:hint="eastAsia"/>
          <w:kern w:val="0"/>
          <w:sz w:val="22"/>
        </w:rPr>
        <w:t>．周边地区发展形势，清醒认识存在的诸多风险和挑战。</w:t>
      </w:r>
    </w:p>
    <w:p w:rsidR="003717A0" w:rsidRDefault="003717A0">
      <w:pPr>
        <w:widowControl/>
        <w:spacing w:line="360" w:lineRule="auto"/>
        <w:ind w:firstLineChars="200" w:firstLine="440"/>
        <w:jc w:val="left"/>
        <w:rPr>
          <w:rFonts w:ascii="宋体" w:cs="宋体"/>
          <w:kern w:val="0"/>
          <w:sz w:val="22"/>
        </w:rPr>
      </w:pPr>
      <w:r>
        <w:rPr>
          <w:rFonts w:ascii="宋体" w:hAnsi="宋体" w:cs="宋体"/>
          <w:kern w:val="0"/>
          <w:sz w:val="22"/>
        </w:rPr>
        <w:t>4</w:t>
      </w:r>
      <w:r>
        <w:rPr>
          <w:rFonts w:ascii="宋体" w:hAnsi="宋体" w:cs="宋体" w:hint="eastAsia"/>
          <w:kern w:val="0"/>
          <w:sz w:val="22"/>
        </w:rPr>
        <w:t>．深刻认识地区热点问题和国际安全威胁的多样性。</w:t>
      </w:r>
    </w:p>
    <w:p w:rsidR="003717A0" w:rsidRDefault="003717A0">
      <w:pPr>
        <w:widowControl/>
        <w:spacing w:after="150" w:line="360" w:lineRule="auto"/>
        <w:ind w:firstLineChars="200" w:firstLine="440"/>
        <w:jc w:val="left"/>
        <w:rPr>
          <w:rFonts w:ascii="宋体" w:cs="宋体"/>
          <w:kern w:val="0"/>
          <w:sz w:val="22"/>
        </w:rPr>
      </w:pPr>
      <w:r>
        <w:rPr>
          <w:rFonts w:ascii="宋体" w:hAnsi="宋体" w:cs="宋体"/>
          <w:kern w:val="0"/>
          <w:sz w:val="22"/>
        </w:rPr>
        <w:t>5</w:t>
      </w:r>
      <w:r>
        <w:rPr>
          <w:rFonts w:ascii="宋体" w:hAnsi="宋体" w:cs="宋体" w:hint="eastAsia"/>
          <w:kern w:val="0"/>
          <w:sz w:val="22"/>
        </w:rPr>
        <w:t>．全面理解中国外交的政策举措。</w:t>
      </w:r>
    </w:p>
    <w:p w:rsidR="003717A0" w:rsidRDefault="003717A0">
      <w:pPr>
        <w:widowControl/>
        <w:spacing w:after="150" w:line="360" w:lineRule="auto"/>
        <w:ind w:firstLineChars="200" w:firstLine="440"/>
        <w:jc w:val="left"/>
        <w:rPr>
          <w:rFonts w:ascii="宋体" w:cs="宋体"/>
          <w:kern w:val="0"/>
          <w:sz w:val="22"/>
        </w:rPr>
      </w:pPr>
      <w:r>
        <w:rPr>
          <w:rFonts w:ascii="宋体" w:hAnsi="宋体" w:cs="宋体" w:hint="eastAsia"/>
          <w:kern w:val="0"/>
          <w:sz w:val="22"/>
        </w:rPr>
        <w:t>最终考核（</w:t>
      </w:r>
      <w:r>
        <w:rPr>
          <w:rFonts w:ascii="宋体" w:hAnsi="宋体" w:cs="宋体"/>
          <w:kern w:val="0"/>
          <w:sz w:val="22"/>
        </w:rPr>
        <w:t>2</w:t>
      </w:r>
      <w:r>
        <w:rPr>
          <w:rFonts w:ascii="宋体" w:hAnsi="宋体" w:cs="宋体" w:hint="eastAsia"/>
          <w:kern w:val="0"/>
          <w:sz w:val="22"/>
        </w:rPr>
        <w:t>学时）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多媒体教室</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多媒体教学课件</w:t>
      </w:r>
    </w:p>
    <w:p w:rsidR="003717A0" w:rsidRDefault="003717A0">
      <w:pPr>
        <w:autoSpaceDE w:val="0"/>
        <w:autoSpaceDN w:val="0"/>
        <w:adjustRightInd w:val="0"/>
        <w:ind w:firstLineChars="193" w:firstLine="425"/>
        <w:jc w:val="left"/>
        <w:rPr>
          <w:rFonts w:ascii="Times New Roman" w:hAnsi="Times New Roman"/>
          <w:kern w:val="0"/>
          <w:sz w:val="22"/>
        </w:rPr>
      </w:pPr>
      <w:r>
        <w:rPr>
          <w:rFonts w:ascii="Times New Roman" w:hAnsi="Times New Roman" w:hint="eastAsia"/>
          <w:kern w:val="0"/>
          <w:sz w:val="22"/>
        </w:rPr>
        <w:t>网络教学平台</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pStyle w:val="af0"/>
        <w:shd w:val="clear" w:color="auto" w:fill="FFFFFF"/>
        <w:spacing w:before="0" w:beforeAutospacing="0" w:after="75" w:afterAutospacing="0" w:line="315" w:lineRule="atLeast"/>
        <w:ind w:firstLineChars="200" w:firstLine="440"/>
        <w:rPr>
          <w:sz w:val="22"/>
          <w:szCs w:val="22"/>
        </w:rPr>
      </w:pPr>
      <w:r>
        <w:rPr>
          <w:rFonts w:hint="eastAsia"/>
          <w:sz w:val="22"/>
          <w:szCs w:val="22"/>
        </w:rPr>
        <w:t>严格执行考勤纪律，积极开展课堂讨论和布置平时作业，作为平时成绩的主要依据；学年课程结束，进行随堂考察，题目和具体要求由任课教师自主确定；本课程成绩实行不及格、及格、中、良、优的等级制，由平时成绩和课程作业成绩构成，具体比例为</w:t>
      </w:r>
      <w:r>
        <w:rPr>
          <w:sz w:val="22"/>
          <w:szCs w:val="22"/>
        </w:rPr>
        <w:t xml:space="preserve"> 40%</w:t>
      </w:r>
      <w:r>
        <w:rPr>
          <w:rFonts w:hint="eastAsia"/>
          <w:sz w:val="22"/>
          <w:szCs w:val="22"/>
        </w:rPr>
        <w:t>：</w:t>
      </w:r>
      <w:r>
        <w:rPr>
          <w:sz w:val="22"/>
          <w:szCs w:val="22"/>
        </w:rPr>
        <w:t>60%</w:t>
      </w:r>
      <w:r>
        <w:rPr>
          <w:rFonts w:hint="eastAsia"/>
          <w:sz w:val="22"/>
          <w:szCs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pStyle w:val="af0"/>
        <w:shd w:val="clear" w:color="auto" w:fill="FFFFFF"/>
        <w:spacing w:before="0" w:beforeAutospacing="0" w:after="75" w:afterAutospacing="0" w:line="315" w:lineRule="atLeast"/>
        <w:ind w:firstLineChars="200" w:firstLine="440"/>
        <w:rPr>
          <w:sz w:val="22"/>
          <w:szCs w:val="22"/>
        </w:rPr>
      </w:pPr>
      <w:r>
        <w:rPr>
          <w:sz w:val="22"/>
          <w:szCs w:val="22"/>
        </w:rPr>
        <w:t>1.</w:t>
      </w:r>
      <w:r>
        <w:rPr>
          <w:rFonts w:hint="eastAsia"/>
          <w:sz w:val="22"/>
          <w:szCs w:val="22"/>
        </w:rPr>
        <w:t>《时事报告（大学生版）》、《时事》</w:t>
      </w:r>
      <w:r>
        <w:rPr>
          <w:sz w:val="22"/>
          <w:szCs w:val="22"/>
        </w:rPr>
        <w:t>DVD</w:t>
      </w:r>
      <w:r>
        <w:rPr>
          <w:rFonts w:hint="eastAsia"/>
          <w:sz w:val="22"/>
          <w:szCs w:val="22"/>
        </w:rPr>
        <w:t>，教育部社政司委托中宣部时事报告杂志社编辑出版，时事报告杂志社。</w:t>
      </w:r>
    </w:p>
    <w:p w:rsidR="003717A0" w:rsidRDefault="003717A0">
      <w:pPr>
        <w:pStyle w:val="af0"/>
        <w:shd w:val="clear" w:color="auto" w:fill="FFFFFF"/>
        <w:spacing w:before="0" w:beforeAutospacing="0" w:after="75" w:afterAutospacing="0" w:line="315" w:lineRule="atLeast"/>
        <w:ind w:firstLineChars="200" w:firstLine="440"/>
        <w:rPr>
          <w:sz w:val="22"/>
          <w:szCs w:val="22"/>
        </w:rPr>
      </w:pPr>
      <w:r>
        <w:rPr>
          <w:sz w:val="22"/>
          <w:szCs w:val="22"/>
        </w:rPr>
        <w:t>2</w:t>
      </w:r>
      <w:r>
        <w:rPr>
          <w:rFonts w:hint="eastAsia"/>
          <w:sz w:val="22"/>
          <w:szCs w:val="22"/>
        </w:rPr>
        <w:t xml:space="preserve">．教育部社科司每年发布的上、下半年年高校“形势与政策”教育教学要点。　</w:t>
      </w:r>
    </w:p>
    <w:p w:rsidR="003717A0" w:rsidRDefault="003717A0">
      <w:pPr>
        <w:pStyle w:val="af0"/>
        <w:shd w:val="clear" w:color="auto" w:fill="FFFFFF"/>
        <w:spacing w:before="0" w:beforeAutospacing="0" w:after="75" w:afterAutospacing="0" w:line="315" w:lineRule="atLeast"/>
        <w:ind w:firstLineChars="200" w:firstLine="440"/>
        <w:rPr>
          <w:sz w:val="22"/>
          <w:szCs w:val="22"/>
        </w:rPr>
      </w:pPr>
      <w:r>
        <w:rPr>
          <w:sz w:val="22"/>
          <w:szCs w:val="22"/>
        </w:rPr>
        <w:t>3.</w:t>
      </w:r>
      <w:r>
        <w:rPr>
          <w:rFonts w:hint="eastAsia"/>
          <w:sz w:val="22"/>
          <w:szCs w:val="22"/>
        </w:rPr>
        <w:t>《习近平谈治国理政》外文出版社，</w:t>
      </w:r>
      <w:r>
        <w:rPr>
          <w:rFonts w:cs="黑体"/>
          <w:sz w:val="22"/>
          <w:szCs w:val="22"/>
        </w:rPr>
        <w:t>2014</w:t>
      </w:r>
      <w:r>
        <w:rPr>
          <w:rFonts w:cs="黑体" w:hint="eastAsia"/>
          <w:sz w:val="22"/>
          <w:szCs w:val="22"/>
        </w:rPr>
        <w:t>年版。</w:t>
      </w:r>
    </w:p>
    <w:p w:rsidR="003717A0" w:rsidRDefault="003717A0">
      <w:pPr>
        <w:autoSpaceDE w:val="0"/>
        <w:autoSpaceDN w:val="0"/>
        <w:adjustRightInd w:val="0"/>
        <w:rPr>
          <w:rFonts w:ascii="宋体" w:cs="黑体"/>
          <w:kern w:val="0"/>
          <w:sz w:val="22"/>
        </w:rPr>
      </w:pPr>
      <w:r>
        <w:rPr>
          <w:rFonts w:ascii="宋体" w:hAnsi="宋体" w:cs="黑体"/>
          <w:kern w:val="0"/>
          <w:sz w:val="22"/>
        </w:rPr>
        <w:t xml:space="preserve">    </w:t>
      </w:r>
      <w:r>
        <w:rPr>
          <w:rFonts w:ascii="宋体" w:hAnsi="宋体" w:cs="宋体"/>
          <w:kern w:val="0"/>
          <w:sz w:val="22"/>
        </w:rPr>
        <w:t>4.</w:t>
      </w:r>
      <w:r>
        <w:rPr>
          <w:rFonts w:ascii="宋体" w:hAnsi="宋体" w:cs="宋体" w:hint="eastAsia"/>
          <w:kern w:val="0"/>
          <w:sz w:val="22"/>
        </w:rPr>
        <w:t>《十</w:t>
      </w:r>
      <w:r>
        <w:rPr>
          <w:rFonts w:ascii="宋体" w:hAnsi="宋体" w:cs="黑体" w:hint="eastAsia"/>
          <w:kern w:val="0"/>
          <w:sz w:val="22"/>
        </w:rPr>
        <w:t>八大以来重要文献选编（上）》中央出版社，</w:t>
      </w:r>
      <w:r>
        <w:rPr>
          <w:rFonts w:ascii="宋体" w:hAnsi="宋体" w:cs="黑体"/>
          <w:kern w:val="0"/>
          <w:sz w:val="22"/>
        </w:rPr>
        <w:t>2014</w:t>
      </w:r>
      <w:r>
        <w:rPr>
          <w:rFonts w:ascii="宋体" w:hAnsi="宋体" w:cs="黑体" w:hint="eastAsia"/>
          <w:kern w:val="0"/>
          <w:sz w:val="22"/>
        </w:rPr>
        <w:t>年版。</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330"/>
        <w:jc w:val="left"/>
        <w:rPr>
          <w:rFonts w:ascii="宋体" w:cs="黑体"/>
          <w:kern w:val="0"/>
          <w:szCs w:val="21"/>
        </w:rPr>
      </w:pPr>
      <w:r>
        <w:rPr>
          <w:rFonts w:ascii="宋体" w:hAnsi="宋体" w:cs="黑体" w:hint="eastAsia"/>
          <w:kern w:val="0"/>
          <w:szCs w:val="21"/>
        </w:rPr>
        <w:t>制定人：张李军</w:t>
      </w:r>
    </w:p>
    <w:p w:rsidR="003717A0" w:rsidRDefault="003717A0">
      <w:pPr>
        <w:autoSpaceDE w:val="0"/>
        <w:autoSpaceDN w:val="0"/>
        <w:adjustRightInd w:val="0"/>
        <w:spacing w:line="360" w:lineRule="exact"/>
        <w:ind w:leftChars="2900" w:left="6090" w:firstLineChars="157" w:firstLine="330"/>
        <w:jc w:val="left"/>
        <w:rPr>
          <w:rFonts w:ascii="宋体" w:cs="黑体"/>
          <w:kern w:val="0"/>
          <w:szCs w:val="21"/>
        </w:rPr>
      </w:pPr>
      <w:r>
        <w:rPr>
          <w:rFonts w:ascii="宋体" w:hAnsi="宋体" w:cs="黑体" w:hint="eastAsia"/>
          <w:kern w:val="0"/>
          <w:szCs w:val="21"/>
        </w:rPr>
        <w:t>审核人：</w:t>
      </w:r>
      <w:r>
        <w:rPr>
          <w:rFonts w:ascii="宋体" w:hAnsi="宋体" w:hint="eastAsia"/>
          <w:bCs/>
          <w:szCs w:val="21"/>
        </w:rPr>
        <w:t>李本洲</w:t>
      </w: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pPr>
        <w:autoSpaceDE w:val="0"/>
        <w:autoSpaceDN w:val="0"/>
        <w:adjustRightInd w:val="0"/>
        <w:spacing w:line="360" w:lineRule="exact"/>
        <w:ind w:leftChars="3510" w:left="7371" w:firstLineChars="157" w:firstLine="330"/>
        <w:jc w:val="left"/>
        <w:rPr>
          <w:rFonts w:ascii="宋体" w:cs="黑体"/>
          <w:kern w:val="0"/>
          <w:szCs w:val="21"/>
        </w:rPr>
      </w:pPr>
    </w:p>
    <w:p w:rsidR="003717A0" w:rsidRDefault="003717A0" w:rsidP="005E20B5">
      <w:pPr>
        <w:adjustRightInd w:val="0"/>
        <w:snapToGrid w:val="0"/>
        <w:spacing w:beforeLines="50" w:afterLines="50" w:line="440" w:lineRule="exact"/>
        <w:jc w:val="center"/>
        <w:rPr>
          <w:rFonts w:ascii="黑体" w:eastAsia="黑体"/>
          <w:b/>
          <w:sz w:val="28"/>
          <w:szCs w:val="28"/>
        </w:rPr>
      </w:pPr>
      <w:r>
        <w:rPr>
          <w:rFonts w:ascii="黑体" w:eastAsia="黑体"/>
          <w:b/>
          <w:sz w:val="28"/>
          <w:szCs w:val="28"/>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eastAsia="黑体" w:hAnsi="Times New Roman"/>
          <w:b/>
          <w:kern w:val="0"/>
          <w:sz w:val="24"/>
          <w:szCs w:val="24"/>
        </w:rPr>
      </w:pPr>
      <w:r>
        <w:rPr>
          <w:rFonts w:ascii="Times New Roman" w:hAnsi="Times New Roman" w:hint="eastAsia"/>
          <w:kern w:val="0"/>
          <w:sz w:val="22"/>
        </w:rPr>
        <w:t>修读完本课程规定内容的全日制在校本科学生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ind w:firstLineChars="200" w:firstLine="440"/>
        <w:jc w:val="left"/>
        <w:rPr>
          <w:rFonts w:ascii="Times New Roman" w:eastAsia="黑体" w:hAnsi="Times New Roman"/>
          <w:b/>
          <w:kern w:val="0"/>
          <w:sz w:val="22"/>
        </w:rPr>
      </w:pPr>
      <w:r>
        <w:rPr>
          <w:rFonts w:ascii="Times New Roman" w:hAnsi="Times New Roman" w:hint="eastAsia"/>
          <w:kern w:val="0"/>
          <w:sz w:val="22"/>
        </w:rPr>
        <w:t>通过考核来检查和了解学生对本门课程内容的掌握程度，考核学生对当前国内外形势的了解情况，帮助当代</w:t>
      </w:r>
      <w:r>
        <w:rPr>
          <w:rFonts w:hint="eastAsia"/>
          <w:sz w:val="22"/>
          <w:shd w:val="clear" w:color="auto" w:fill="FFFFFF"/>
        </w:rPr>
        <w:t>大学生在改革开放的环境下树立坚定正确的政治立场、具有较强的政治鉴别能力，成为中国特色社会主义事业的合格建设者和可靠接班人</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widowControl/>
        <w:ind w:firstLineChars="200" w:firstLine="440"/>
        <w:jc w:val="left"/>
        <w:rPr>
          <w:rFonts w:ascii="宋体" w:cs="宋体"/>
          <w:kern w:val="0"/>
          <w:sz w:val="22"/>
        </w:rPr>
      </w:pPr>
      <w:r>
        <w:rPr>
          <w:rFonts w:ascii="宋体" w:hAnsi="宋体" w:cs="宋体" w:hint="eastAsia"/>
          <w:kern w:val="0"/>
          <w:sz w:val="22"/>
        </w:rPr>
        <w:t>本课程以考查方式进行最终考核。形式可采用开卷、写论文等多种方式进行。学生最终成绩以优、良、中、及格、不及格评定。</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ascii="Times New Roman" w:hAnsi="Times New Roman" w:hint="eastAsia"/>
          <w:kern w:val="0"/>
          <w:sz w:val="22"/>
        </w:rPr>
        <w:t>平时成绩占总成绩的</w:t>
      </w:r>
      <w:r>
        <w:rPr>
          <w:rFonts w:ascii="Times New Roman" w:hAnsi="Times New Roman"/>
          <w:kern w:val="0"/>
          <w:sz w:val="22"/>
        </w:rPr>
        <w:t>40%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期末考查成绩占总成绩的</w:t>
      </w:r>
      <w:r>
        <w:rPr>
          <w:rFonts w:ascii="Times New Roman" w:hAnsi="Times New Roman"/>
          <w:kern w:val="0"/>
          <w:sz w:val="22"/>
        </w:rPr>
        <w:t>60%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ind w:firstLineChars="192" w:firstLine="422"/>
        <w:jc w:val="left"/>
        <w:rPr>
          <w:rFonts w:ascii="宋体"/>
          <w:kern w:val="0"/>
          <w:sz w:val="22"/>
        </w:rPr>
      </w:pPr>
      <w:r>
        <w:rPr>
          <w:rFonts w:ascii="宋体" w:hAnsi="宋体" w:hint="eastAsia"/>
          <w:kern w:val="0"/>
          <w:sz w:val="22"/>
        </w:rPr>
        <w:t>习近平总书记系列讲话精神</w:t>
      </w:r>
    </w:p>
    <w:p w:rsidR="003717A0" w:rsidRDefault="003717A0">
      <w:pPr>
        <w:autoSpaceDE w:val="0"/>
        <w:autoSpaceDN w:val="0"/>
        <w:adjustRightInd w:val="0"/>
        <w:ind w:firstLineChars="192" w:firstLine="422"/>
        <w:jc w:val="left"/>
        <w:rPr>
          <w:rFonts w:ascii="宋体"/>
          <w:kern w:val="0"/>
          <w:sz w:val="22"/>
        </w:rPr>
      </w:pPr>
      <w:r>
        <w:rPr>
          <w:rFonts w:ascii="宋体" w:hAnsi="宋体" w:hint="eastAsia"/>
          <w:kern w:val="0"/>
          <w:sz w:val="22"/>
        </w:rPr>
        <w:t>十八大以来党的重要会议主要内容和精神</w:t>
      </w:r>
    </w:p>
    <w:p w:rsidR="003717A0" w:rsidRDefault="003717A0">
      <w:pPr>
        <w:autoSpaceDE w:val="0"/>
        <w:autoSpaceDN w:val="0"/>
        <w:adjustRightInd w:val="0"/>
        <w:ind w:firstLineChars="192" w:firstLine="422"/>
        <w:jc w:val="left"/>
        <w:rPr>
          <w:rFonts w:ascii="宋体"/>
          <w:sz w:val="22"/>
        </w:rPr>
      </w:pPr>
      <w:r>
        <w:rPr>
          <w:rFonts w:ascii="宋体" w:hAnsi="宋体" w:hint="eastAsia"/>
          <w:sz w:val="22"/>
        </w:rPr>
        <w:t>当前党风廉政建设和反腐败斗争形势</w:t>
      </w:r>
    </w:p>
    <w:p w:rsidR="003717A0" w:rsidRDefault="003717A0">
      <w:pPr>
        <w:autoSpaceDE w:val="0"/>
        <w:autoSpaceDN w:val="0"/>
        <w:adjustRightInd w:val="0"/>
        <w:ind w:firstLineChars="192" w:firstLine="422"/>
        <w:jc w:val="left"/>
        <w:rPr>
          <w:rFonts w:ascii="宋体"/>
          <w:sz w:val="22"/>
        </w:rPr>
      </w:pPr>
      <w:r>
        <w:rPr>
          <w:rFonts w:ascii="宋体" w:hAnsi="宋体" w:hint="eastAsia"/>
          <w:sz w:val="22"/>
        </w:rPr>
        <w:t>当年“两会”的主要内容和精神</w:t>
      </w:r>
    </w:p>
    <w:p w:rsidR="003717A0" w:rsidRDefault="003717A0">
      <w:pPr>
        <w:autoSpaceDE w:val="0"/>
        <w:autoSpaceDN w:val="0"/>
        <w:adjustRightInd w:val="0"/>
        <w:ind w:firstLineChars="192" w:firstLine="422"/>
        <w:jc w:val="left"/>
        <w:rPr>
          <w:rFonts w:ascii="宋体"/>
          <w:sz w:val="22"/>
        </w:rPr>
      </w:pPr>
      <w:r>
        <w:rPr>
          <w:rFonts w:ascii="宋体" w:hAnsi="宋体" w:cs="宋体" w:hint="eastAsia"/>
          <w:bCs/>
          <w:kern w:val="0"/>
          <w:sz w:val="22"/>
        </w:rPr>
        <w:t>经济发展新常态的趋势性变化</w:t>
      </w:r>
    </w:p>
    <w:p w:rsidR="003717A0" w:rsidRDefault="003717A0">
      <w:pPr>
        <w:autoSpaceDE w:val="0"/>
        <w:autoSpaceDN w:val="0"/>
        <w:adjustRightInd w:val="0"/>
        <w:ind w:firstLineChars="192" w:firstLine="422"/>
        <w:jc w:val="left"/>
        <w:rPr>
          <w:rFonts w:ascii="宋体" w:cs="宋体"/>
          <w:kern w:val="0"/>
          <w:sz w:val="22"/>
        </w:rPr>
      </w:pPr>
      <w:r>
        <w:rPr>
          <w:rFonts w:ascii="宋体" w:hAnsi="宋体" w:cs="宋体" w:hint="eastAsia"/>
          <w:kern w:val="0"/>
          <w:sz w:val="22"/>
        </w:rPr>
        <w:t>当前我国社会领域的改革发展形势与措施</w:t>
      </w:r>
    </w:p>
    <w:p w:rsidR="003717A0" w:rsidRDefault="003717A0">
      <w:pPr>
        <w:autoSpaceDE w:val="0"/>
        <w:autoSpaceDN w:val="0"/>
        <w:adjustRightInd w:val="0"/>
        <w:ind w:firstLineChars="192" w:firstLine="422"/>
        <w:jc w:val="left"/>
        <w:rPr>
          <w:rFonts w:ascii="宋体" w:cs="宋体"/>
          <w:kern w:val="0"/>
          <w:sz w:val="22"/>
        </w:rPr>
      </w:pPr>
      <w:r>
        <w:rPr>
          <w:rFonts w:ascii="宋体" w:hAnsi="宋体" w:cs="宋体" w:hint="eastAsia"/>
          <w:kern w:val="0"/>
          <w:sz w:val="22"/>
        </w:rPr>
        <w:t>世界经济格局的新变化</w:t>
      </w:r>
    </w:p>
    <w:p w:rsidR="003717A0" w:rsidRDefault="003717A0">
      <w:pPr>
        <w:autoSpaceDE w:val="0"/>
        <w:autoSpaceDN w:val="0"/>
        <w:adjustRightInd w:val="0"/>
        <w:ind w:firstLineChars="192" w:firstLine="422"/>
        <w:jc w:val="left"/>
        <w:rPr>
          <w:rFonts w:ascii="宋体" w:cs="宋体"/>
          <w:kern w:val="0"/>
          <w:sz w:val="22"/>
        </w:rPr>
      </w:pPr>
      <w:r>
        <w:rPr>
          <w:rFonts w:ascii="宋体" w:hAnsi="宋体" w:cs="宋体" w:hint="eastAsia"/>
          <w:kern w:val="0"/>
          <w:sz w:val="22"/>
        </w:rPr>
        <w:t>大国关系变化对世界格局产生的深远影响</w:t>
      </w:r>
    </w:p>
    <w:p w:rsidR="003717A0" w:rsidRDefault="003717A0">
      <w:pPr>
        <w:autoSpaceDE w:val="0"/>
        <w:autoSpaceDN w:val="0"/>
        <w:adjustRightInd w:val="0"/>
        <w:ind w:firstLineChars="192" w:firstLine="422"/>
        <w:jc w:val="left"/>
        <w:rPr>
          <w:rFonts w:ascii="宋体"/>
          <w:b/>
          <w:kern w:val="0"/>
          <w:sz w:val="22"/>
        </w:rPr>
      </w:pPr>
      <w:r>
        <w:rPr>
          <w:rFonts w:ascii="宋体" w:hAnsi="宋体" w:cs="宋体" w:hint="eastAsia"/>
          <w:kern w:val="0"/>
          <w:sz w:val="22"/>
        </w:rPr>
        <w:t>周边形势和地区热点对我国的影响</w:t>
      </w:r>
    </w:p>
    <w:p w:rsidR="003717A0" w:rsidRDefault="003717A0">
      <w:pPr>
        <w:autoSpaceDE w:val="0"/>
        <w:autoSpaceDN w:val="0"/>
        <w:adjustRightInd w:val="0"/>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jc w:val="left"/>
        <w:rPr>
          <w:sz w:val="22"/>
        </w:rPr>
      </w:pPr>
      <w:r>
        <w:rPr>
          <w:sz w:val="22"/>
        </w:rPr>
        <w:t xml:space="preserve">    </w:t>
      </w:r>
      <w:r>
        <w:rPr>
          <w:rFonts w:hint="eastAsia"/>
          <w:sz w:val="22"/>
        </w:rPr>
        <w:t>通过对相关知识的讲解，让学生对我国的发展态势，党和国家的重要政策举措和当前的国际关系有相应的了解，能够做出正确的判断，</w:t>
      </w:r>
      <w:r>
        <w:rPr>
          <w:rFonts w:hint="eastAsia"/>
          <w:sz w:val="22"/>
          <w:shd w:val="clear" w:color="auto" w:fill="FFFFFF"/>
        </w:rPr>
        <w:t>树立坚定正确的政治立场、具有较强的政治鉴别能力。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rPr>
          <w:rFonts w:ascii="宋体"/>
          <w:b/>
          <w:kern w:val="0"/>
          <w:sz w:val="24"/>
          <w:szCs w:val="24"/>
        </w:rPr>
      </w:pPr>
      <w:r>
        <w:rPr>
          <w:sz w:val="22"/>
        </w:rPr>
        <w:t xml:space="preserve">                            </w:t>
      </w:r>
      <w:r>
        <w:rPr>
          <w:rFonts w:ascii="宋体" w:hAnsi="宋体"/>
          <w:sz w:val="22"/>
        </w:rPr>
        <w:t xml:space="preserve">   </w:t>
      </w:r>
      <w:r>
        <w:rPr>
          <w:rFonts w:ascii="宋体" w:hAnsi="宋体"/>
          <w:b/>
          <w:sz w:val="24"/>
          <w:szCs w:val="24"/>
        </w:rPr>
        <w:t xml:space="preserve"> </w:t>
      </w:r>
      <w:r>
        <w:rPr>
          <w:rFonts w:ascii="宋体" w:hAnsi="宋体" w:hint="eastAsia"/>
          <w:b/>
          <w:sz w:val="24"/>
          <w:szCs w:val="24"/>
        </w:rPr>
        <w:t>形势与政策</w:t>
      </w:r>
      <w:r>
        <w:rPr>
          <w:rFonts w:ascii="宋体" w:hAnsi="宋体" w:hint="eastAsia"/>
          <w:b/>
          <w:kern w:val="0"/>
          <w:sz w:val="24"/>
          <w:szCs w:val="24"/>
        </w:rPr>
        <w:t>课程考查试题</w:t>
      </w:r>
    </w:p>
    <w:p w:rsidR="003717A0" w:rsidRDefault="003717A0">
      <w:pPr>
        <w:autoSpaceDE w:val="0"/>
        <w:autoSpaceDN w:val="0"/>
        <w:adjustRightInd w:val="0"/>
        <w:snapToGrid w:val="0"/>
        <w:spacing w:line="440" w:lineRule="exact"/>
        <w:jc w:val="center"/>
        <w:rPr>
          <w:rFonts w:ascii="宋体"/>
          <w:kern w:val="0"/>
          <w:sz w:val="22"/>
        </w:rPr>
      </w:pPr>
      <w:r>
        <w:rPr>
          <w:rFonts w:ascii="宋体" w:hAnsi="宋体"/>
          <w:kern w:val="0"/>
          <w:sz w:val="22"/>
        </w:rPr>
        <w:t xml:space="preserve">                           </w:t>
      </w:r>
      <w:r>
        <w:rPr>
          <w:rFonts w:ascii="宋体" w:hAnsi="宋体"/>
          <w:sz w:val="32"/>
          <w:u w:val="single"/>
        </w:rPr>
        <w:t xml:space="preserve">        </w:t>
      </w:r>
      <w:r>
        <w:rPr>
          <w:rFonts w:ascii="宋体" w:hAnsi="宋体" w:hint="eastAsia"/>
          <w:kern w:val="0"/>
          <w:sz w:val="22"/>
        </w:rPr>
        <w:t>年</w:t>
      </w:r>
      <w:r>
        <w:rPr>
          <w:rFonts w:ascii="宋体" w:hAnsi="宋体"/>
          <w:sz w:val="32"/>
          <w:u w:val="single"/>
        </w:rPr>
        <w:t xml:space="preserve">       </w:t>
      </w:r>
      <w:r>
        <w:rPr>
          <w:rFonts w:ascii="宋体" w:hAnsi="宋体" w:hint="eastAsia"/>
          <w:kern w:val="0"/>
          <w:sz w:val="22"/>
        </w:rPr>
        <w:t>学期</w:t>
      </w:r>
      <w:r>
        <w:rPr>
          <w:rFonts w:ascii="宋体" w:hAnsi="宋体"/>
          <w:sz w:val="32"/>
          <w:u w:val="single"/>
        </w:rPr>
        <w:t xml:space="preserve">       </w:t>
      </w:r>
      <w:r>
        <w:rPr>
          <w:rFonts w:ascii="宋体" w:hAnsi="宋体" w:hint="eastAsia"/>
          <w:kern w:val="0"/>
          <w:sz w:val="22"/>
        </w:rPr>
        <w:t>班级</w:t>
      </w:r>
    </w:p>
    <w:p w:rsidR="003717A0" w:rsidRDefault="003717A0">
      <w:pPr>
        <w:autoSpaceDE w:val="0"/>
        <w:autoSpaceDN w:val="0"/>
        <w:adjustRightInd w:val="0"/>
        <w:spacing w:line="440" w:lineRule="exact"/>
        <w:ind w:firstLineChars="193" w:firstLine="426"/>
        <w:jc w:val="left"/>
        <w:rPr>
          <w:rFonts w:ascii="宋体"/>
          <w:b/>
          <w:kern w:val="0"/>
          <w:sz w:val="22"/>
        </w:rPr>
      </w:pPr>
      <w:r>
        <w:rPr>
          <w:rFonts w:ascii="宋体" w:hAnsi="宋体" w:hint="eastAsia"/>
          <w:b/>
          <w:kern w:val="0"/>
          <w:sz w:val="22"/>
        </w:rPr>
        <w:t>时间：</w:t>
      </w:r>
      <w:r>
        <w:rPr>
          <w:rFonts w:ascii="宋体" w:hAnsi="宋体"/>
          <w:b/>
          <w:kern w:val="0"/>
          <w:sz w:val="22"/>
        </w:rPr>
        <w:t xml:space="preserve"> 120</w:t>
      </w:r>
      <w:r>
        <w:rPr>
          <w:rFonts w:ascii="宋体" w:hAnsi="宋体" w:hint="eastAsia"/>
          <w:b/>
          <w:kern w:val="0"/>
          <w:sz w:val="22"/>
        </w:rPr>
        <w:t>分钟</w:t>
      </w:r>
      <w:r>
        <w:rPr>
          <w:rFonts w:ascii="宋体" w:hAnsi="宋体"/>
          <w:b/>
          <w:kern w:val="0"/>
          <w:sz w:val="22"/>
        </w:rPr>
        <w:t xml:space="preserve">   </w:t>
      </w:r>
      <w:r>
        <w:rPr>
          <w:rFonts w:ascii="宋体" w:hAnsi="宋体" w:hint="eastAsia"/>
          <w:b/>
          <w:kern w:val="0"/>
          <w:sz w:val="22"/>
        </w:rPr>
        <w:t>总分：</w:t>
      </w:r>
      <w:r>
        <w:rPr>
          <w:rFonts w:ascii="宋体" w:hAnsi="宋体"/>
          <w:b/>
          <w:kern w:val="0"/>
          <w:sz w:val="22"/>
        </w:rPr>
        <w:t>100</w:t>
      </w:r>
    </w:p>
    <w:p w:rsidR="003717A0" w:rsidRDefault="003717A0">
      <w:pPr>
        <w:widowControl/>
        <w:jc w:val="left"/>
        <w:rPr>
          <w:rFonts w:ascii="宋体"/>
          <w:b/>
          <w:kern w:val="0"/>
          <w:sz w:val="24"/>
          <w:szCs w:val="24"/>
        </w:rPr>
      </w:pPr>
      <w:r>
        <w:rPr>
          <w:rFonts w:ascii="宋体" w:hAnsi="宋体" w:hint="eastAsia"/>
          <w:b/>
          <w:kern w:val="0"/>
          <w:sz w:val="24"/>
          <w:szCs w:val="24"/>
        </w:rPr>
        <w:t>一、论述题（</w:t>
      </w:r>
      <w:r>
        <w:rPr>
          <w:rFonts w:ascii="宋体" w:hAnsi="宋体"/>
          <w:b/>
          <w:kern w:val="0"/>
          <w:sz w:val="24"/>
          <w:szCs w:val="24"/>
        </w:rPr>
        <w:t>2</w:t>
      </w:r>
      <w:r>
        <w:rPr>
          <w:rFonts w:ascii="宋体" w:hAnsi="宋体" w:hint="eastAsia"/>
          <w:b/>
          <w:kern w:val="0"/>
          <w:sz w:val="24"/>
          <w:szCs w:val="24"/>
        </w:rPr>
        <w:t>×</w:t>
      </w:r>
      <w:r>
        <w:rPr>
          <w:rFonts w:ascii="宋体" w:hAnsi="宋体"/>
          <w:b/>
          <w:kern w:val="0"/>
          <w:sz w:val="24"/>
          <w:szCs w:val="24"/>
        </w:rPr>
        <w:t>50</w:t>
      </w:r>
      <w:r>
        <w:rPr>
          <w:rFonts w:ascii="宋体" w:hAnsi="宋体" w:hint="eastAsia"/>
          <w:b/>
          <w:kern w:val="0"/>
          <w:sz w:val="24"/>
          <w:szCs w:val="24"/>
        </w:rPr>
        <w:t>）</w:t>
      </w:r>
    </w:p>
    <w:p w:rsidR="003717A0" w:rsidRDefault="003717A0">
      <w:pPr>
        <w:widowControl/>
        <w:jc w:val="left"/>
        <w:rPr>
          <w:rFonts w:ascii="宋体"/>
          <w:kern w:val="0"/>
          <w:sz w:val="24"/>
          <w:szCs w:val="24"/>
        </w:rPr>
      </w:pPr>
      <w:r>
        <w:rPr>
          <w:rFonts w:ascii="宋体" w:hAnsi="宋体"/>
          <w:kern w:val="0"/>
          <w:sz w:val="24"/>
          <w:szCs w:val="24"/>
        </w:rPr>
        <w:t>1</w:t>
      </w:r>
      <w:r>
        <w:rPr>
          <w:rFonts w:ascii="宋体" w:hAnsi="宋体" w:hint="eastAsia"/>
          <w:kern w:val="0"/>
          <w:sz w:val="24"/>
          <w:szCs w:val="24"/>
        </w:rPr>
        <w:t>、论述对“四个全面”的理解。</w:t>
      </w:r>
    </w:p>
    <w:p w:rsidR="003717A0" w:rsidRDefault="003717A0">
      <w:pPr>
        <w:widowControl/>
        <w:jc w:val="left"/>
        <w:rPr>
          <w:rFonts w:ascii="宋体"/>
          <w:kern w:val="0"/>
          <w:sz w:val="24"/>
          <w:szCs w:val="24"/>
        </w:rPr>
      </w:pPr>
      <w:r>
        <w:rPr>
          <w:rFonts w:ascii="宋体" w:hAnsi="宋体"/>
          <w:kern w:val="0"/>
          <w:sz w:val="24"/>
          <w:szCs w:val="24"/>
        </w:rPr>
        <w:t>2</w:t>
      </w:r>
      <w:r>
        <w:rPr>
          <w:rFonts w:ascii="宋体" w:hAnsi="宋体" w:hint="eastAsia"/>
          <w:kern w:val="0"/>
          <w:sz w:val="24"/>
          <w:szCs w:val="24"/>
        </w:rPr>
        <w:t>、论述“一带一路”的重要意义。</w:t>
      </w:r>
    </w:p>
    <w:p w:rsidR="003717A0" w:rsidRDefault="003717A0">
      <w:pPr>
        <w:widowControl/>
        <w:jc w:val="left"/>
        <w:rPr>
          <w:rFonts w:ascii="宋体"/>
          <w:kern w:val="0"/>
          <w:sz w:val="24"/>
          <w:szCs w:val="24"/>
        </w:rPr>
      </w:pPr>
    </w:p>
    <w:p w:rsidR="003717A0" w:rsidRDefault="003717A0">
      <w:pPr>
        <w:widowControl/>
        <w:jc w:val="left"/>
        <w:rPr>
          <w:rFonts w:ascii="宋体"/>
          <w:kern w:val="0"/>
          <w:sz w:val="24"/>
          <w:szCs w:val="24"/>
        </w:rPr>
      </w:pPr>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宋体"/>
          <w:kern w:val="0"/>
          <w:sz w:val="24"/>
          <w:szCs w:val="24"/>
        </w:rPr>
        <w:br w:type="page"/>
      </w:r>
      <w:r>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ind w:firstLineChars="200" w:firstLine="440"/>
              <w:jc w:val="left"/>
              <w:rPr>
                <w:rFonts w:ascii="Times New Roman" w:hAnsi="宋体"/>
                <w:kern w:val="0"/>
                <w:sz w:val="22"/>
              </w:rPr>
            </w:pPr>
            <w:r>
              <w:rPr>
                <w:rFonts w:hint="eastAsia"/>
                <w:sz w:val="22"/>
              </w:rPr>
              <w:t>以教育部社科司每年发布的教学要点为指导，</w:t>
            </w:r>
            <w:r>
              <w:rPr>
                <w:rFonts w:hint="eastAsia"/>
                <w:shd w:val="clear" w:color="auto" w:fill="FFFFFF"/>
              </w:rPr>
              <w:t>紧密结合国内外形势，紧密结合大学生的思想实际，通过适时地进行国内外时事、形势与政策基本知识的教育，帮助学生开阔视野，及时了解和正确对待国内外重大时事，使大学生在改革开放的环境下有坚定正确的政治立场、较强的政治鉴别能力。</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掌握本课程教学大纲内容，以教学大纲为要求组织本课程的教学内容；</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结合课程特点，制作课件，运用多媒体教学手段讲授部分教学内容；</w:t>
            </w:r>
            <w:r>
              <w:rPr>
                <w:rFonts w:ascii="Times New Roman" w:hAnsi="宋体"/>
                <w:kern w:val="0"/>
                <w:sz w:val="22"/>
              </w:rPr>
              <w:t xml:space="preserve"> </w:t>
            </w:r>
          </w:p>
          <w:p w:rsidR="003717A0" w:rsidRDefault="003717A0">
            <w:pPr>
              <w:autoSpaceDE w:val="0"/>
              <w:autoSpaceDN w:val="0"/>
              <w:adjustRightInd w:val="0"/>
              <w:snapToGrid w:val="0"/>
              <w:jc w:val="left"/>
            </w:pPr>
            <w:r>
              <w:rPr>
                <w:rFonts w:ascii="Times New Roman" w:hAnsi="宋体"/>
                <w:kern w:val="0"/>
                <w:sz w:val="22"/>
              </w:rPr>
              <w:t xml:space="preserve">4. </w:t>
            </w:r>
            <w:r>
              <w:rPr>
                <w:rFonts w:ascii="Times New Roman" w:hAnsi="宋体" w:hint="eastAsia"/>
                <w:kern w:val="0"/>
                <w:sz w:val="22"/>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jc w:val="left"/>
              <w:rPr>
                <w:rFonts w:ascii="Times New Roman" w:hAnsi="宋体"/>
                <w:kern w:val="0"/>
                <w:sz w:val="22"/>
              </w:rPr>
            </w:pPr>
            <w:r>
              <w:rPr>
                <w:sz w:val="22"/>
              </w:rPr>
              <w:t>1.</w:t>
            </w:r>
            <w:r>
              <w:rPr>
                <w:rFonts w:ascii="Times New Roman" w:hAnsi="宋体" w:hint="eastAsia"/>
                <w:kern w:val="0"/>
                <w:sz w:val="22"/>
              </w:rPr>
              <w:t>采用多种教学方式（如启发式教学、案例分析教学、讨论式教学、多媒体示范教学等），注重培养学生的综合素质，提高学生发现、分析和解决问题的能力，以便让学生能正确理解和看待国内外重大问题和社会矛盾。</w:t>
            </w:r>
          </w:p>
          <w:p w:rsidR="003717A0" w:rsidRDefault="003717A0">
            <w:pPr>
              <w:autoSpaceDE w:val="0"/>
              <w:autoSpaceDN w:val="0"/>
              <w:adjustRightInd w:val="0"/>
              <w:snapToGrid w:val="0"/>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多媒体教学手段、课堂实验、实物演示相结合，以培养学生实践动手的能力。</w:t>
            </w:r>
          </w:p>
          <w:p w:rsidR="003717A0" w:rsidRDefault="003717A0">
            <w:pPr>
              <w:autoSpaceDE w:val="0"/>
              <w:autoSpaceDN w:val="0"/>
              <w:adjustRightInd w:val="0"/>
              <w:snapToGrid w:val="0"/>
              <w:jc w:val="left"/>
            </w:pPr>
            <w:r>
              <w:rPr>
                <w:rFonts w:ascii="Times New Roman" w:hAnsi="宋体"/>
                <w:kern w:val="0"/>
                <w:sz w:val="22"/>
              </w:rPr>
              <w:t xml:space="preserve">3. </w:t>
            </w:r>
            <w:r>
              <w:rPr>
                <w:rFonts w:ascii="Times New Roman" w:hAnsi="宋体" w:hint="eastAsia"/>
                <w:kern w:val="0"/>
                <w:sz w:val="22"/>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ind w:firstLineChars="200" w:firstLine="440"/>
              <w:jc w:val="left"/>
              <w:rPr>
                <w:rFonts w:ascii="宋体"/>
                <w:kern w:val="0"/>
                <w:sz w:val="22"/>
              </w:rPr>
            </w:pPr>
            <w:r>
              <w:rPr>
                <w:rFonts w:ascii="宋体" w:hAnsi="宋体" w:hint="eastAsia"/>
                <w:kern w:val="0"/>
                <w:sz w:val="22"/>
              </w:rPr>
              <w:t>学生必须完成一定数量的作业题，是本课程教学的基本要求，是实现人才培养目标的必要手段。本课程作业布置的要求：每完成</w:t>
            </w:r>
            <w:r>
              <w:rPr>
                <w:rFonts w:ascii="宋体" w:hAnsi="宋体"/>
                <w:kern w:val="0"/>
                <w:sz w:val="22"/>
              </w:rPr>
              <w:t>6</w:t>
            </w:r>
            <w:r>
              <w:rPr>
                <w:rFonts w:ascii="宋体" w:hAnsi="宋体" w:hint="eastAsia"/>
                <w:kern w:val="0"/>
                <w:sz w:val="22"/>
              </w:rPr>
              <w:t>个学时布置一个课外作业习题。</w:t>
            </w:r>
          </w:p>
          <w:p w:rsidR="003717A0" w:rsidRDefault="003717A0">
            <w:pPr>
              <w:autoSpaceDE w:val="0"/>
              <w:autoSpaceDN w:val="0"/>
              <w:adjustRightInd w:val="0"/>
              <w:snapToGrid w:val="0"/>
              <w:ind w:firstLineChars="193" w:firstLine="425"/>
              <w:jc w:val="left"/>
              <w:rPr>
                <w:rFonts w:ascii="宋体"/>
                <w:kern w:val="0"/>
                <w:sz w:val="22"/>
              </w:rPr>
            </w:pPr>
            <w:r>
              <w:rPr>
                <w:rFonts w:ascii="宋体" w:hAnsi="宋体" w:hint="eastAsia"/>
                <w:kern w:val="0"/>
                <w:sz w:val="22"/>
              </w:rPr>
              <w:t>学生完成的作业必须达到以下基本要求：按时按量完成作业，不缺交，不抄袭；作业规范，书写清晰。</w:t>
            </w:r>
          </w:p>
          <w:p w:rsidR="003717A0" w:rsidRDefault="003717A0">
            <w:pPr>
              <w:autoSpaceDE w:val="0"/>
              <w:autoSpaceDN w:val="0"/>
              <w:adjustRightInd w:val="0"/>
              <w:snapToGrid w:val="0"/>
              <w:ind w:firstLineChars="193" w:firstLine="425"/>
              <w:jc w:val="left"/>
              <w:rPr>
                <w:rFonts w:ascii="宋体"/>
                <w:kern w:val="0"/>
                <w:sz w:val="22"/>
              </w:rPr>
            </w:pPr>
            <w:r>
              <w:rPr>
                <w:rFonts w:ascii="宋体" w:hAnsi="宋体" w:hint="eastAsia"/>
                <w:kern w:val="0"/>
                <w:sz w:val="22"/>
              </w:rPr>
              <w:t>教师批改或讲评作业的数量和次数要求如下：学生的作业要全批全改，并按时批改、讲评学生每次交来的作业；教师批改或讲评作业要认真、细致，每次批改或讲评作业后，按百分制制评定成绩，并写明日期；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ind w:firstLineChars="193" w:firstLine="425"/>
              <w:jc w:val="left"/>
              <w:rPr>
                <w:rFonts w:ascii="宋体"/>
                <w:kern w:val="0"/>
                <w:sz w:val="22"/>
              </w:rPr>
            </w:pPr>
            <w:r>
              <w:rPr>
                <w:rFonts w:ascii="宋体" w:hAnsi="宋体" w:hint="eastAsia"/>
                <w:kern w:val="0"/>
                <w:sz w:val="22"/>
              </w:rPr>
              <w:t>为直接了解学生的学习情况，帮助学生进一步理解和消化课堂上所学知识、改进学习方法和思维方式，培养其独立思考问题的能力，建议任课教师安排时间进行课外答疑与辅导工作。</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ind w:firstLineChars="193" w:firstLine="425"/>
              <w:jc w:val="left"/>
              <w:rPr>
                <w:rFonts w:ascii="宋体"/>
                <w:kern w:val="0"/>
                <w:sz w:val="22"/>
              </w:rPr>
            </w:pPr>
            <w:r>
              <w:rPr>
                <w:rFonts w:ascii="宋体" w:hAnsi="宋体" w:hint="eastAsia"/>
                <w:kern w:val="0"/>
                <w:sz w:val="22"/>
              </w:rPr>
              <w:t>本课程为学年课程，成绩考核的方式：学年结束随堂考查。学年总评成绩的评定方法：平时成绩占总评成绩的</w:t>
            </w:r>
            <w:r>
              <w:rPr>
                <w:rFonts w:ascii="宋体" w:hAnsi="宋体"/>
                <w:kern w:val="0"/>
                <w:sz w:val="22"/>
              </w:rPr>
              <w:t>40%</w:t>
            </w:r>
            <w:r>
              <w:rPr>
                <w:rFonts w:ascii="宋体" w:hAnsi="宋体" w:hint="eastAsia"/>
                <w:kern w:val="0"/>
                <w:sz w:val="22"/>
              </w:rPr>
              <w:t>；期末考试成绩占总评成绩的</w:t>
            </w:r>
            <w:r>
              <w:rPr>
                <w:rFonts w:ascii="宋体" w:hAnsi="宋体"/>
                <w:kern w:val="0"/>
                <w:sz w:val="22"/>
              </w:rPr>
              <w:t>60%</w:t>
            </w:r>
            <w:r>
              <w:rPr>
                <w:rFonts w:ascii="宋体" w:hAnsi="宋体" w:hint="eastAsia"/>
                <w:kern w:val="0"/>
                <w:sz w:val="22"/>
              </w:rPr>
              <w:t>；</w:t>
            </w:r>
          </w:p>
          <w:p w:rsidR="003717A0" w:rsidRDefault="003717A0">
            <w:pPr>
              <w:autoSpaceDE w:val="0"/>
              <w:autoSpaceDN w:val="0"/>
              <w:adjustRightInd w:val="0"/>
              <w:snapToGrid w:val="0"/>
              <w:ind w:firstLineChars="200" w:firstLine="440"/>
              <w:jc w:val="left"/>
              <w:rPr>
                <w:rFonts w:ascii="宋体"/>
                <w:kern w:val="0"/>
                <w:sz w:val="22"/>
              </w:rPr>
            </w:pPr>
            <w:r>
              <w:rPr>
                <w:rFonts w:ascii="宋体" w:hAnsi="宋体" w:hint="eastAsia"/>
                <w:kern w:val="0"/>
                <w:sz w:val="22"/>
              </w:rPr>
              <w:t>有下列情况之一，总评成绩为不及格。缺交作业次数达</w:t>
            </w:r>
            <w:r>
              <w:rPr>
                <w:rFonts w:ascii="宋体" w:hAnsi="宋体"/>
                <w:kern w:val="0"/>
                <w:sz w:val="22"/>
              </w:rPr>
              <w:t>1/3</w:t>
            </w:r>
            <w:r>
              <w:rPr>
                <w:rFonts w:ascii="宋体" w:hAnsi="宋体" w:hint="eastAsia"/>
                <w:kern w:val="0"/>
                <w:sz w:val="22"/>
              </w:rPr>
              <w:t>以上；缺课次数达本学期总授课学时的</w:t>
            </w:r>
            <w:r>
              <w:rPr>
                <w:rFonts w:ascii="宋体" w:hAnsi="宋体"/>
                <w:kern w:val="0"/>
                <w:sz w:val="22"/>
              </w:rPr>
              <w:t>1/3</w:t>
            </w:r>
            <w:r>
              <w:rPr>
                <w:rFonts w:ascii="宋体" w:hAnsi="宋体" w:hint="eastAsia"/>
                <w:kern w:val="0"/>
                <w:sz w:val="22"/>
              </w:rPr>
              <w:t>以上。</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jc w:val="left"/>
              <w:rPr>
                <w:rFonts w:ascii="宋体"/>
                <w:kern w:val="0"/>
                <w:sz w:val="22"/>
              </w:rPr>
            </w:pPr>
            <w:r>
              <w:rPr>
                <w:rFonts w:ascii="宋体" w:hAnsi="宋体"/>
                <w:kern w:val="0"/>
                <w:sz w:val="22"/>
              </w:rPr>
              <w:t>1.</w:t>
            </w:r>
            <w:r>
              <w:rPr>
                <w:rFonts w:ascii="宋体" w:hAnsi="宋体" w:hint="eastAsia"/>
                <w:kern w:val="0"/>
                <w:sz w:val="22"/>
              </w:rPr>
              <w:t>引导学生围绕热点问题或经典案例展开网络讨论或课堂辩论，培养学生理论联系实际的能力；</w:t>
            </w:r>
          </w:p>
          <w:p w:rsidR="003717A0" w:rsidRDefault="003717A0">
            <w:pPr>
              <w:autoSpaceDE w:val="0"/>
              <w:autoSpaceDN w:val="0"/>
              <w:adjustRightInd w:val="0"/>
              <w:snapToGrid w:val="0"/>
              <w:jc w:val="left"/>
              <w:rPr>
                <w:rFonts w:ascii="宋体"/>
                <w:kern w:val="0"/>
                <w:sz w:val="22"/>
              </w:rPr>
            </w:pPr>
            <w:r>
              <w:rPr>
                <w:rFonts w:ascii="宋体" w:hAnsi="宋体"/>
                <w:kern w:val="0"/>
                <w:sz w:val="22"/>
              </w:rPr>
              <w:t>2.</w:t>
            </w:r>
            <w:r>
              <w:rPr>
                <w:rFonts w:ascii="宋体" w:hAnsi="宋体" w:hint="eastAsia"/>
                <w:kern w:val="0"/>
                <w:sz w:val="22"/>
              </w:rPr>
              <w:t>借助网络平台，与学生进行相关专题的讨论，帮助学生明辨是非，拓宽视野，提高理论素养。</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bookmarkStart w:id="12" w:name="_Toc469312978"/>
      <w:bookmarkStart w:id="13" w:name="_Toc471830690"/>
      <w:r w:rsidRPr="00F5156D">
        <w:rPr>
          <w:rFonts w:hint="eastAsia"/>
          <w:b/>
        </w:rPr>
        <w:lastRenderedPageBreak/>
        <w:t>《中国近现代史纲要》课程质量标准</w:t>
      </w:r>
      <w:bookmarkEnd w:id="12"/>
      <w:bookmarkEnd w:id="13"/>
    </w:p>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中国近现代史纲要</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Outline of modern history of China</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一、二</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□专业基础课□专业选修课□公共选修课□必修课□选修课</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政治学院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中国近现代史</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《中国近现代史纲要》（</w:t>
            </w:r>
            <w:r>
              <w:rPr>
                <w:sz w:val="22"/>
              </w:rPr>
              <w:t>2015</w:t>
            </w:r>
            <w:r>
              <w:rPr>
                <w:rFonts w:hint="eastAsia"/>
                <w:sz w:val="22"/>
              </w:rPr>
              <w:t>年修订版）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高等教育出版社，</w:t>
            </w:r>
            <w:r>
              <w:rPr>
                <w:sz w:val="22"/>
              </w:rPr>
              <w:t>2015</w:t>
            </w:r>
            <w:r>
              <w:rPr>
                <w:rFonts w:hint="eastAsia"/>
                <w:sz w:val="22"/>
              </w:rPr>
              <w:t>年</w:t>
            </w:r>
            <w:r>
              <w:rPr>
                <w:sz w:val="22"/>
              </w:rPr>
              <w:t>8</w:t>
            </w:r>
            <w:r>
              <w:rPr>
                <w:rFonts w:hint="eastAsia"/>
                <w:sz w:val="22"/>
              </w:rPr>
              <w:t>月第</w:t>
            </w:r>
            <w:r>
              <w:rPr>
                <w:sz w:val="22"/>
              </w:rPr>
              <w:t>6</w:t>
            </w:r>
            <w:r>
              <w:rPr>
                <w:rFonts w:hint="eastAsia"/>
                <w:sz w:val="22"/>
              </w:rPr>
              <w:t>版</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√□国家□部级规划□省级规划□自编□其他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□考试√□考查□开卷□闭卷□课程设计□学期论文□其他</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50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50</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0E7DC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朱丹彤</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1995</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姜德琪</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r>
              <w:rPr>
                <w:sz w:val="22"/>
              </w:rPr>
              <w:t xml:space="preserve"> </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1985</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范科霞</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1988</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郑智辉</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1997</w:t>
            </w:r>
          </w:p>
        </w:tc>
      </w:tr>
      <w:tr w:rsidR="003717A0" w:rsidTr="000E7DCD">
        <w:trPr>
          <w:jc w:val="center"/>
        </w:trPr>
        <w:tc>
          <w:tcPr>
            <w:tcW w:w="1668" w:type="dxa"/>
          </w:tcPr>
          <w:p w:rsidR="003717A0" w:rsidRDefault="003717A0">
            <w:pPr>
              <w:adjustRightInd w:val="0"/>
              <w:snapToGrid w:val="0"/>
              <w:spacing w:line="500" w:lineRule="exact"/>
              <w:rPr>
                <w:sz w:val="22"/>
              </w:rPr>
            </w:pPr>
            <w:r>
              <w:rPr>
                <w:rFonts w:hint="eastAsia"/>
                <w:sz w:val="22"/>
              </w:rPr>
              <w:t>刘远柱</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1998</w:t>
            </w:r>
          </w:p>
        </w:tc>
      </w:tr>
      <w:tr w:rsidR="003717A0" w:rsidTr="000E7DC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0E7DCD">
        <w:trPr>
          <w:jc w:val="center"/>
        </w:trPr>
        <w:tc>
          <w:tcPr>
            <w:tcW w:w="9286" w:type="dxa"/>
            <w:gridSpan w:val="10"/>
          </w:tcPr>
          <w:p w:rsidR="003717A0" w:rsidRDefault="003717A0">
            <w:pPr>
              <w:adjustRightInd w:val="0"/>
              <w:snapToGrid w:val="0"/>
              <w:spacing w:line="500" w:lineRule="exact"/>
              <w:rPr>
                <w:rFonts w:ascii="Verdana" w:hAnsi="Verdana" w:cs="宋体"/>
                <w:kern w:val="0"/>
                <w:szCs w:val="21"/>
              </w:rPr>
            </w:pPr>
            <w:r>
              <w:rPr>
                <w:sz w:val="22"/>
              </w:rPr>
              <w:t xml:space="preserve">    </w:t>
            </w:r>
            <w:r>
              <w:rPr>
                <w:rFonts w:ascii="Verdana" w:hAnsi="Verdana" w:cs="宋体" w:hint="eastAsia"/>
                <w:kern w:val="0"/>
                <w:szCs w:val="21"/>
              </w:rPr>
              <w:t>《中国近现代史纲要》课程是全国普通高等院校在校本科生必修的一门思想政治理论课。通过本门课程的学习，使学生较好地掌握中国近现代史的基础知识，把握中国近现代史的基本线索及发展规律；帮助学生了解国史﹑国情；使学生树立正确的历史观，培养其正确分析历史事件、评论历史人物的能力，深刻领会历史和人民为什么和怎样选择了马克思主义、选择了中国共产党、选择了社会主义道路、选择了改革开放。</w:t>
            </w:r>
          </w:p>
        </w:tc>
      </w:tr>
    </w:tbl>
    <w:p w:rsidR="003717A0"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适应对象：本科层次，全校一年级学生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32</w:t>
      </w:r>
      <w:r>
        <w:rPr>
          <w:rFonts w:ascii="Times New Roman" w:hAnsi="宋体" w:hint="eastAsia"/>
          <w:kern w:val="0"/>
          <w:sz w:val="22"/>
        </w:rPr>
        <w:t>学时（理论教学</w:t>
      </w:r>
      <w:r>
        <w:rPr>
          <w:rFonts w:ascii="Times New Roman" w:hAnsi="宋体"/>
          <w:kern w:val="0"/>
          <w:sz w:val="22"/>
        </w:rPr>
        <w:t>28</w:t>
      </w:r>
      <w:r>
        <w:rPr>
          <w:rFonts w:ascii="Times New Roman" w:hAnsi="宋体" w:hint="eastAsia"/>
          <w:kern w:val="0"/>
          <w:sz w:val="22"/>
        </w:rPr>
        <w:t>学时，社会实践</w:t>
      </w:r>
      <w:r>
        <w:rPr>
          <w:rFonts w:ascii="Times New Roman" w:hAnsi="宋体"/>
          <w:kern w:val="0"/>
          <w:sz w:val="22"/>
        </w:rPr>
        <w:t>4</w:t>
      </w:r>
      <w:r>
        <w:rPr>
          <w:rFonts w:ascii="Times New Roman" w:hAnsi="宋体" w:hint="eastAsia"/>
          <w:kern w:val="0"/>
          <w:sz w:val="22"/>
        </w:rPr>
        <w:t>学时）</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2</w:t>
      </w:r>
    </w:p>
    <w:p w:rsidR="003717A0" w:rsidRDefault="003717A0" w:rsidP="000E7DCD">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sz w:val="22"/>
        </w:rPr>
        <w:t xml:space="preserve"> </w:t>
      </w:r>
      <w:r>
        <w:rPr>
          <w:rFonts w:ascii="Times New Roman" w:hAnsi="宋体" w:hint="eastAsia"/>
          <w:kern w:val="0"/>
          <w:sz w:val="22"/>
        </w:rPr>
        <w:t>《中国近现代史纲要》是面向大学生开设的公共政治理论课，是国家高等学校进行马克思主义基本理论、中国化的马克思主义理论教学的必修课。它是在原中国革命史、毛泽东思想概论课的基础上，根据中共中央宣传部、国家教育部联合颁发的《关于进一步加强和改进高等学校思想政治理论课的意见》（教社政</w:t>
      </w:r>
      <w:r>
        <w:rPr>
          <w:rFonts w:ascii="Times New Roman" w:hAnsi="宋体"/>
          <w:kern w:val="0"/>
          <w:sz w:val="22"/>
        </w:rPr>
        <w:t>[2005]5</w:t>
      </w:r>
      <w:r>
        <w:rPr>
          <w:rFonts w:ascii="Times New Roman" w:hAnsi="宋体" w:hint="eastAsia"/>
          <w:kern w:val="0"/>
          <w:sz w:val="22"/>
        </w:rPr>
        <w:t>号）和《关于进一步加强和改进高等学校思想政治理论课的实施方案》（教社政</w:t>
      </w:r>
      <w:r>
        <w:rPr>
          <w:rFonts w:ascii="Times New Roman" w:hAnsi="宋体"/>
          <w:kern w:val="0"/>
          <w:sz w:val="22"/>
        </w:rPr>
        <w:t>[2005]9</w:t>
      </w:r>
      <w:r>
        <w:rPr>
          <w:rFonts w:ascii="Times New Roman" w:hAnsi="宋体" w:hint="eastAsia"/>
          <w:kern w:val="0"/>
          <w:sz w:val="22"/>
        </w:rPr>
        <w:t>号）文件精神，于</w:t>
      </w:r>
      <w:r>
        <w:rPr>
          <w:rFonts w:ascii="Times New Roman" w:hAnsi="宋体"/>
          <w:kern w:val="0"/>
          <w:sz w:val="22"/>
        </w:rPr>
        <w:t>2008</w:t>
      </w:r>
      <w:r>
        <w:rPr>
          <w:rFonts w:ascii="Times New Roman" w:hAnsi="宋体" w:hint="eastAsia"/>
          <w:kern w:val="0"/>
          <w:sz w:val="22"/>
        </w:rPr>
        <w:t>年秋开始在全校本科生中（文学系历史专业、政治学院思想政治教育专业学生除外）普遍开设的一门思想政治理论必修课。</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sz w:val="22"/>
        </w:rPr>
        <w:t xml:space="preserve"> </w:t>
      </w:r>
      <w:r>
        <w:rPr>
          <w:rFonts w:ascii="Times New Roman" w:hAnsi="宋体" w:hint="eastAsia"/>
          <w:kern w:val="0"/>
          <w:sz w:val="22"/>
        </w:rPr>
        <w:t>通过教学使学生从宏观上对中国近现代史有一个基本的认识，掌握中国近代社会发展的规律，从而增强社会主义信念，以致能更好地坚定走中国特色社会主义道路。</w:t>
      </w:r>
    </w:p>
    <w:p w:rsidR="003717A0" w:rsidRDefault="003717A0">
      <w:pPr>
        <w:autoSpaceDE w:val="0"/>
        <w:autoSpaceDN w:val="0"/>
        <w:adjustRightInd w:val="0"/>
        <w:spacing w:line="360" w:lineRule="exact"/>
        <w:ind w:firstLineChars="193" w:firstLine="425"/>
        <w:jc w:val="left"/>
        <w:rPr>
          <w:rFonts w:ascii="Verdana" w:hAnsi="Verdana" w:cs="宋体"/>
          <w:kern w:val="0"/>
          <w:szCs w:val="21"/>
        </w:rPr>
      </w:pPr>
      <w:r>
        <w:rPr>
          <w:rFonts w:ascii="Times New Roman" w:hAnsi="宋体" w:hint="eastAsia"/>
          <w:kern w:val="0"/>
          <w:sz w:val="22"/>
        </w:rPr>
        <w:t>由于本课程是大学生的必修公共政治理论课，而不是历史系本科生的专业课，因此，在进行本课程的课程教学时，应该注意结合近现代史的发展，着力阐明近现代中国历史的发展规律，总结这个时期历史的基本经验，即要注意加强它的理论性。与此同时，在论述中国近现代史的基本问题时，还要注意联系社会上流行的有关思潮，联系大学生经常关注或者感到困惑的重大问题，有针对性的说明有关的历史情况，着重从正面讲清</w:t>
      </w:r>
      <w:r>
        <w:rPr>
          <w:rFonts w:ascii="Verdana" w:hAnsi="Verdana" w:cs="宋体" w:hint="eastAsia"/>
          <w:kern w:val="0"/>
          <w:szCs w:val="21"/>
        </w:rPr>
        <w:t>历史和人民为什么和怎样选择了马克思主义、选择了中国共产党、选择了社会主义道路、选择了改革开放。</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上编：从鸦片战争到五四运动前夜（</w:t>
      </w:r>
      <w:r>
        <w:rPr>
          <w:rFonts w:ascii="Times New Roman" w:hAnsi="宋体"/>
          <w:kern w:val="0"/>
          <w:sz w:val="22"/>
        </w:rPr>
        <w:t>1840</w:t>
      </w:r>
      <w:r>
        <w:rPr>
          <w:rFonts w:ascii="Times New Roman" w:hAnsi="宋体"/>
          <w:kern w:val="0"/>
          <w:sz w:val="22"/>
        </w:rPr>
        <w:t>—</w:t>
      </w:r>
      <w:r>
        <w:rPr>
          <w:rFonts w:ascii="Times New Roman" w:hAnsi="宋体"/>
          <w:kern w:val="0"/>
          <w:sz w:val="22"/>
        </w:rPr>
        <w:t>1919</w:t>
      </w:r>
      <w:r>
        <w:rPr>
          <w:rFonts w:ascii="Times New Roman" w:hAnsi="宋体" w:hint="eastAsia"/>
          <w:kern w:val="0"/>
          <w:sz w:val="22"/>
        </w:rPr>
        <w:t>）（</w:t>
      </w:r>
      <w:r>
        <w:rPr>
          <w:rFonts w:ascii="Times New Roman" w:hAnsi="宋体"/>
          <w:kern w:val="0"/>
          <w:sz w:val="22"/>
        </w:rPr>
        <w:t>10</w:t>
      </w:r>
      <w:r>
        <w:rPr>
          <w:rFonts w:ascii="Times New Roman" w:hAnsi="宋体" w:hint="eastAsia"/>
          <w:kern w:val="0"/>
          <w:sz w:val="22"/>
        </w:rPr>
        <w:t>课时）</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综</w:t>
      </w:r>
      <w:r>
        <w:rPr>
          <w:rFonts w:ascii="Times New Roman" w:hAnsi="宋体"/>
          <w:kern w:val="0"/>
          <w:sz w:val="22"/>
        </w:rPr>
        <w:t>  </w:t>
      </w:r>
      <w:r>
        <w:rPr>
          <w:rFonts w:ascii="Times New Roman" w:hAnsi="宋体" w:hint="eastAsia"/>
          <w:kern w:val="0"/>
          <w:sz w:val="22"/>
        </w:rPr>
        <w:t>述：风云变幻的八十年</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第一章：反对外国侵略的斗争</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第二章：对国家出路的早期探索</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第三章：辛亥革命与君主专制制度的终结</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中编：从五四运动到新中国成立（</w:t>
      </w:r>
      <w:r>
        <w:rPr>
          <w:rFonts w:ascii="Times New Roman" w:hAnsi="宋体"/>
          <w:kern w:val="0"/>
          <w:sz w:val="22"/>
        </w:rPr>
        <w:t>1919</w:t>
      </w:r>
      <w:r>
        <w:rPr>
          <w:rFonts w:ascii="Times New Roman" w:hAnsi="宋体"/>
          <w:kern w:val="0"/>
          <w:sz w:val="22"/>
        </w:rPr>
        <w:t>—</w:t>
      </w:r>
      <w:r>
        <w:rPr>
          <w:rFonts w:ascii="Times New Roman" w:hAnsi="宋体"/>
          <w:kern w:val="0"/>
          <w:sz w:val="22"/>
        </w:rPr>
        <w:t>1949</w:t>
      </w:r>
      <w:r>
        <w:rPr>
          <w:rFonts w:ascii="Times New Roman" w:hAnsi="宋体" w:hint="eastAsia"/>
          <w:kern w:val="0"/>
          <w:sz w:val="22"/>
        </w:rPr>
        <w:t>）（</w:t>
      </w:r>
      <w:r>
        <w:rPr>
          <w:rFonts w:ascii="Times New Roman" w:hAnsi="宋体"/>
          <w:kern w:val="0"/>
          <w:sz w:val="22"/>
        </w:rPr>
        <w:t>14</w:t>
      </w:r>
      <w:r>
        <w:rPr>
          <w:rFonts w:ascii="Times New Roman" w:hAnsi="宋体" w:hint="eastAsia"/>
          <w:kern w:val="0"/>
          <w:sz w:val="22"/>
        </w:rPr>
        <w:t>课时）</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第四章：开天辟地的大事变</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第五章：中国革命的新道路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第六章：中华民族的抗日战争</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第七章：为新中国而奋斗</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下编：从新中国成立到社会主义现代化建设新时期（</w:t>
      </w:r>
      <w:r>
        <w:rPr>
          <w:rFonts w:ascii="Times New Roman" w:hAnsi="宋体"/>
          <w:kern w:val="0"/>
          <w:sz w:val="22"/>
        </w:rPr>
        <w:t>1949</w:t>
      </w:r>
      <w:r>
        <w:rPr>
          <w:rFonts w:ascii="Times New Roman" w:hAnsi="宋体"/>
          <w:kern w:val="0"/>
          <w:sz w:val="22"/>
        </w:rPr>
        <w:t>—</w:t>
      </w:r>
      <w:r>
        <w:rPr>
          <w:rFonts w:ascii="Times New Roman" w:hAnsi="宋体"/>
          <w:kern w:val="0"/>
          <w:sz w:val="22"/>
        </w:rPr>
        <w:t>2006</w:t>
      </w:r>
      <w:r>
        <w:rPr>
          <w:rFonts w:ascii="Times New Roman" w:hAnsi="宋体" w:hint="eastAsia"/>
          <w:kern w:val="0"/>
          <w:sz w:val="22"/>
        </w:rPr>
        <w:t>）（</w:t>
      </w:r>
      <w:r>
        <w:rPr>
          <w:rFonts w:ascii="Times New Roman" w:hAnsi="宋体"/>
          <w:kern w:val="0"/>
          <w:sz w:val="22"/>
        </w:rPr>
        <w:t>4</w:t>
      </w:r>
      <w:r>
        <w:rPr>
          <w:rFonts w:ascii="Times New Roman" w:hAnsi="宋体" w:hint="eastAsia"/>
          <w:kern w:val="0"/>
          <w:sz w:val="22"/>
        </w:rPr>
        <w:t>课时）</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lastRenderedPageBreak/>
        <w:t>综</w:t>
      </w:r>
      <w:r>
        <w:rPr>
          <w:rFonts w:ascii="Times New Roman" w:hAnsi="宋体"/>
          <w:kern w:val="0"/>
          <w:sz w:val="22"/>
        </w:rPr>
        <w:t>  </w:t>
      </w:r>
      <w:r>
        <w:rPr>
          <w:rFonts w:ascii="Times New Roman" w:hAnsi="宋体" w:hint="eastAsia"/>
          <w:kern w:val="0"/>
          <w:sz w:val="22"/>
        </w:rPr>
        <w:t>述：辉煌的历史征程</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第八章：社会主义基本制度在中国的确立</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第九章：社会主义建设在探索中曲折发展</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第十章：改革开放与现代化建设新时期</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多媒体教室</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多媒体教学课件</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本课程考核实行开卷随堂考试。时间为</w:t>
      </w:r>
      <w:r>
        <w:rPr>
          <w:rFonts w:ascii="Times New Roman" w:hAnsi="宋体"/>
          <w:kern w:val="0"/>
          <w:sz w:val="22"/>
        </w:rPr>
        <w:t>2</w:t>
      </w:r>
      <w:r>
        <w:rPr>
          <w:rFonts w:ascii="Times New Roman" w:hAnsi="宋体" w:hint="eastAsia"/>
          <w:kern w:val="0"/>
          <w:sz w:val="22"/>
        </w:rPr>
        <w:t>小时。考试时，可带书本及参考资料，不允许相互交流、查看手机及互换资料。平时成绩占</w:t>
      </w:r>
      <w:r>
        <w:rPr>
          <w:rFonts w:ascii="Times New Roman" w:hAnsi="宋体"/>
          <w:kern w:val="0"/>
          <w:sz w:val="22"/>
        </w:rPr>
        <w:t>50%</w:t>
      </w:r>
      <w:r>
        <w:rPr>
          <w:rFonts w:ascii="Times New Roman" w:hAnsi="宋体" w:hint="eastAsia"/>
          <w:kern w:val="0"/>
          <w:sz w:val="22"/>
        </w:rPr>
        <w:t>，考试成绩占</w:t>
      </w:r>
      <w:r>
        <w:rPr>
          <w:rFonts w:ascii="Times New Roman" w:hAnsi="宋体"/>
          <w:kern w:val="0"/>
          <w:sz w:val="22"/>
        </w:rPr>
        <w:t>50%</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平时成绩主要包括考勤、作业、上课状态、发言情况、实践环节、笔记等六个方面。</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教学参考文献目录：</w:t>
      </w:r>
    </w:p>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（一）教材</w:t>
      </w:r>
    </w:p>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部编教材</w:t>
      </w:r>
    </w:p>
    <w:p w:rsidR="003717A0" w:rsidRDefault="003717A0">
      <w:pPr>
        <w:autoSpaceDE w:val="0"/>
        <w:autoSpaceDN w:val="0"/>
        <w:adjustRightInd w:val="0"/>
        <w:spacing w:line="360" w:lineRule="exact"/>
        <w:jc w:val="left"/>
        <w:rPr>
          <w:rFonts w:ascii="Times New Roman" w:hAnsi="宋体"/>
          <w:kern w:val="0"/>
          <w:sz w:val="22"/>
        </w:rPr>
      </w:pPr>
    </w:p>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（二）参考书目及文献</w:t>
      </w:r>
    </w:p>
    <w:p w:rsidR="003717A0" w:rsidRDefault="003717A0">
      <w:pPr>
        <w:widowControl/>
        <w:spacing w:line="360" w:lineRule="atLeast"/>
        <w:rPr>
          <w:rFonts w:ascii="Times New Roman" w:hAnsi="Times New Roman"/>
          <w:kern w:val="0"/>
          <w:szCs w:val="21"/>
        </w:rPr>
      </w:pPr>
      <w:r>
        <w:rPr>
          <w:rFonts w:ascii="宋体" w:hAnsi="宋体"/>
          <w:kern w:val="0"/>
          <w:szCs w:val="21"/>
        </w:rPr>
        <w:t>1</w:t>
      </w:r>
      <w:r>
        <w:rPr>
          <w:rFonts w:ascii="宋体" w:hAnsi="宋体" w:hint="eastAsia"/>
          <w:kern w:val="0"/>
          <w:szCs w:val="21"/>
        </w:rPr>
        <w:t>、《毛泽东选集》</w:t>
      </w:r>
      <w:r>
        <w:rPr>
          <w:rFonts w:ascii="宋体" w:hAnsi="宋体"/>
          <w:kern w:val="0"/>
          <w:szCs w:val="21"/>
        </w:rPr>
        <w:t>1-4</w:t>
      </w:r>
      <w:r>
        <w:rPr>
          <w:rFonts w:ascii="宋体" w:hAnsi="宋体" w:hint="eastAsia"/>
          <w:kern w:val="0"/>
          <w:szCs w:val="21"/>
        </w:rPr>
        <w:t>册，人民出版社</w:t>
      </w:r>
      <w:r>
        <w:rPr>
          <w:rFonts w:ascii="宋体" w:hAnsi="宋体"/>
          <w:kern w:val="0"/>
          <w:szCs w:val="21"/>
        </w:rPr>
        <w:t>1993</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2</w:t>
      </w:r>
      <w:r>
        <w:rPr>
          <w:rFonts w:ascii="宋体" w:hAnsi="宋体" w:hint="eastAsia"/>
          <w:kern w:val="0"/>
          <w:szCs w:val="21"/>
        </w:rPr>
        <w:t>、马克思：《鸦片贸易史》、《中国革命和欧洲革命》、《中国和英国的条约》、《英中冲突》、《对华贸易》、《英人在华的残暴行为》、《新的对华战争》，《马克思恩格斯选集》（第</w:t>
      </w:r>
      <w:r>
        <w:rPr>
          <w:rFonts w:ascii="宋体" w:hAnsi="宋体"/>
          <w:kern w:val="0"/>
          <w:szCs w:val="21"/>
        </w:rPr>
        <w:t>2</w:t>
      </w:r>
      <w:r>
        <w:rPr>
          <w:rFonts w:ascii="宋体" w:hAnsi="宋体" w:hint="eastAsia"/>
          <w:kern w:val="0"/>
          <w:szCs w:val="21"/>
        </w:rPr>
        <w:t>卷），人民出版社，</w:t>
      </w:r>
      <w:r>
        <w:rPr>
          <w:rFonts w:ascii="宋体" w:hAnsi="宋体"/>
          <w:kern w:val="0"/>
          <w:szCs w:val="21"/>
        </w:rPr>
        <w:t>1972</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3</w:t>
      </w:r>
      <w:r>
        <w:rPr>
          <w:rFonts w:ascii="宋体" w:hAnsi="宋体" w:hint="eastAsia"/>
          <w:kern w:val="0"/>
          <w:szCs w:val="21"/>
        </w:rPr>
        <w:t>、恩格斯：《波斯与中国》、《英人对华新的战争》、《俄国在远东的成功》，《马克思恩格斯选集》（第</w:t>
      </w:r>
      <w:r>
        <w:rPr>
          <w:rFonts w:ascii="宋体" w:hAnsi="宋体"/>
          <w:kern w:val="0"/>
          <w:szCs w:val="21"/>
        </w:rPr>
        <w:t>2</w:t>
      </w:r>
      <w:r>
        <w:rPr>
          <w:rFonts w:ascii="宋体" w:hAnsi="宋体" w:hint="eastAsia"/>
          <w:kern w:val="0"/>
          <w:szCs w:val="21"/>
        </w:rPr>
        <w:t>卷），人民出版社，</w:t>
      </w:r>
      <w:r>
        <w:rPr>
          <w:rFonts w:ascii="宋体" w:hAnsi="宋体"/>
          <w:kern w:val="0"/>
          <w:szCs w:val="21"/>
        </w:rPr>
        <w:t>1972</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4</w:t>
      </w:r>
      <w:r>
        <w:rPr>
          <w:rFonts w:ascii="宋体" w:hAnsi="宋体" w:hint="eastAsia"/>
          <w:kern w:val="0"/>
          <w:szCs w:val="21"/>
        </w:rPr>
        <w:t>、胡绳：《中国共产党的七十年》，中共党史出版社</w:t>
      </w:r>
      <w:r>
        <w:rPr>
          <w:rFonts w:ascii="宋体" w:hAnsi="宋体"/>
          <w:kern w:val="0"/>
          <w:szCs w:val="21"/>
        </w:rPr>
        <w:t>1991</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5</w:t>
      </w:r>
      <w:r>
        <w:rPr>
          <w:rFonts w:ascii="宋体" w:hAnsi="宋体" w:hint="eastAsia"/>
          <w:kern w:val="0"/>
          <w:szCs w:val="21"/>
        </w:rPr>
        <w:t>、王桧林：《中国现代史》（上、下），北京师范大学出版社，</w:t>
      </w:r>
      <w:r>
        <w:rPr>
          <w:rFonts w:ascii="宋体"/>
          <w:kern w:val="0"/>
        </w:rPr>
        <w:t> </w:t>
      </w:r>
      <w:r>
        <w:rPr>
          <w:rFonts w:ascii="宋体" w:hAnsi="宋体"/>
          <w:kern w:val="0"/>
          <w:szCs w:val="21"/>
        </w:rPr>
        <w:t>1991</w:t>
      </w:r>
      <w:r>
        <w:rPr>
          <w:rFonts w:ascii="宋体"/>
          <w:kern w:val="0"/>
        </w:rPr>
        <w:t> </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6</w:t>
      </w:r>
      <w:r>
        <w:rPr>
          <w:rFonts w:ascii="宋体" w:hAnsi="宋体" w:hint="eastAsia"/>
          <w:kern w:val="0"/>
          <w:szCs w:val="21"/>
        </w:rPr>
        <w:t>、王维礼：《中国现代史大事纪事本末》（上、下）</w:t>
      </w:r>
      <w:r>
        <w:rPr>
          <w:rFonts w:ascii="宋体" w:hAnsi="宋体"/>
          <w:kern w:val="0"/>
          <w:szCs w:val="21"/>
        </w:rPr>
        <w:t xml:space="preserve"> </w:t>
      </w:r>
      <w:r>
        <w:rPr>
          <w:rFonts w:ascii="宋体" w:hAnsi="宋体" w:hint="eastAsia"/>
          <w:kern w:val="0"/>
          <w:szCs w:val="21"/>
        </w:rPr>
        <w:t>，</w:t>
      </w:r>
      <w:r>
        <w:rPr>
          <w:rFonts w:ascii="宋体" w:hAnsi="宋体"/>
          <w:kern w:val="0"/>
          <w:szCs w:val="21"/>
        </w:rPr>
        <w:t xml:space="preserve"> </w:t>
      </w:r>
      <w:r>
        <w:rPr>
          <w:rFonts w:ascii="宋体" w:hAnsi="宋体" w:hint="eastAsia"/>
          <w:kern w:val="0"/>
          <w:szCs w:val="21"/>
        </w:rPr>
        <w:t>黑龙江人民出版社</w:t>
      </w:r>
      <w:r>
        <w:rPr>
          <w:rFonts w:ascii="宋体" w:hAnsi="宋体"/>
          <w:kern w:val="0"/>
          <w:szCs w:val="21"/>
        </w:rPr>
        <w:t xml:space="preserve"> </w:t>
      </w:r>
      <w:r>
        <w:rPr>
          <w:rFonts w:ascii="宋体" w:hAnsi="宋体" w:hint="eastAsia"/>
          <w:kern w:val="0"/>
          <w:szCs w:val="21"/>
        </w:rPr>
        <w:t>，</w:t>
      </w:r>
      <w:r>
        <w:rPr>
          <w:rFonts w:ascii="宋体"/>
          <w:kern w:val="0"/>
        </w:rPr>
        <w:t> </w:t>
      </w:r>
      <w:r>
        <w:rPr>
          <w:rFonts w:ascii="宋体" w:hAnsi="宋体"/>
          <w:kern w:val="0"/>
          <w:szCs w:val="21"/>
        </w:rPr>
        <w:t>1987</w:t>
      </w:r>
      <w:r>
        <w:rPr>
          <w:rFonts w:ascii="宋体"/>
          <w:kern w:val="0"/>
        </w:rPr>
        <w:t> </w:t>
      </w:r>
      <w:r>
        <w:rPr>
          <w:rFonts w:ascii="宋体" w:hAnsi="宋体" w:hint="eastAsia"/>
          <w:kern w:val="0"/>
          <w:szCs w:val="21"/>
        </w:rPr>
        <w:t>年</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7</w:t>
      </w:r>
      <w:r>
        <w:rPr>
          <w:rFonts w:ascii="宋体" w:hAnsi="宋体" w:hint="eastAsia"/>
          <w:kern w:val="0"/>
          <w:szCs w:val="21"/>
        </w:rPr>
        <w:t>、白寿彝：《中国通史》（第</w:t>
      </w:r>
      <w:r>
        <w:rPr>
          <w:rFonts w:ascii="宋体"/>
          <w:kern w:val="0"/>
        </w:rPr>
        <w:t> </w:t>
      </w:r>
      <w:r>
        <w:rPr>
          <w:rFonts w:ascii="宋体" w:hAnsi="宋体"/>
          <w:kern w:val="0"/>
          <w:szCs w:val="21"/>
        </w:rPr>
        <w:t>21</w:t>
      </w:r>
      <w:r>
        <w:rPr>
          <w:rFonts w:ascii="宋体"/>
          <w:kern w:val="0"/>
        </w:rPr>
        <w:t> </w:t>
      </w:r>
      <w:r>
        <w:rPr>
          <w:rFonts w:ascii="宋体" w:hAnsi="宋体" w:hint="eastAsia"/>
          <w:kern w:val="0"/>
          <w:szCs w:val="21"/>
        </w:rPr>
        <w:t>、</w:t>
      </w:r>
      <w:r>
        <w:rPr>
          <w:rFonts w:ascii="宋体"/>
          <w:kern w:val="0"/>
        </w:rPr>
        <w:t> </w:t>
      </w:r>
      <w:r>
        <w:rPr>
          <w:rFonts w:ascii="宋体" w:hAnsi="宋体"/>
          <w:kern w:val="0"/>
          <w:szCs w:val="21"/>
        </w:rPr>
        <w:t>22</w:t>
      </w:r>
      <w:r>
        <w:rPr>
          <w:rFonts w:ascii="宋体"/>
          <w:kern w:val="0"/>
        </w:rPr>
        <w:t> </w:t>
      </w:r>
      <w:r>
        <w:rPr>
          <w:rFonts w:ascii="宋体" w:hAnsi="宋体" w:hint="eastAsia"/>
          <w:kern w:val="0"/>
          <w:szCs w:val="21"/>
        </w:rPr>
        <w:t>册），上海人民出版社，</w:t>
      </w:r>
      <w:r>
        <w:rPr>
          <w:rFonts w:ascii="宋体"/>
          <w:kern w:val="0"/>
        </w:rPr>
        <w:t> </w:t>
      </w:r>
      <w:r>
        <w:rPr>
          <w:rFonts w:ascii="宋体" w:hAnsi="宋体"/>
          <w:kern w:val="0"/>
          <w:szCs w:val="21"/>
        </w:rPr>
        <w:t>1999</w:t>
      </w:r>
      <w:r>
        <w:rPr>
          <w:rFonts w:ascii="宋体"/>
          <w:kern w:val="0"/>
        </w:rPr>
        <w:t> </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8</w:t>
      </w:r>
      <w:r>
        <w:rPr>
          <w:rFonts w:ascii="宋体" w:hAnsi="宋体" w:hint="eastAsia"/>
          <w:kern w:val="0"/>
          <w:szCs w:val="21"/>
        </w:rPr>
        <w:t>、中国史学会主编：《戊戌变法》，上海人民出版社，</w:t>
      </w:r>
      <w:r>
        <w:rPr>
          <w:rFonts w:ascii="宋体" w:hAnsi="宋体"/>
          <w:kern w:val="0"/>
          <w:szCs w:val="21"/>
        </w:rPr>
        <w:t>2000</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9</w:t>
      </w:r>
      <w:r>
        <w:rPr>
          <w:rFonts w:ascii="宋体" w:hAnsi="宋体" w:hint="eastAsia"/>
          <w:kern w:val="0"/>
          <w:szCs w:val="21"/>
        </w:rPr>
        <w:t>、胡绳《从鸦片战争到五四运动》（人民出版社，</w:t>
      </w:r>
      <w:r>
        <w:rPr>
          <w:rFonts w:ascii="宋体" w:hAnsi="宋体"/>
          <w:kern w:val="0"/>
          <w:szCs w:val="21"/>
        </w:rPr>
        <w:t>1998</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10</w:t>
      </w:r>
      <w:r>
        <w:rPr>
          <w:rFonts w:ascii="宋体" w:hAnsi="宋体" w:hint="eastAsia"/>
          <w:kern w:val="0"/>
          <w:szCs w:val="21"/>
        </w:rPr>
        <w:t>、李新、陈铁健：《中国新民主主义革命史长编》（共</w:t>
      </w:r>
      <w:r>
        <w:rPr>
          <w:rFonts w:ascii="宋体"/>
          <w:kern w:val="0"/>
        </w:rPr>
        <w:t> </w:t>
      </w:r>
      <w:r>
        <w:rPr>
          <w:rFonts w:ascii="宋体" w:hAnsi="宋体"/>
          <w:kern w:val="0"/>
          <w:szCs w:val="21"/>
        </w:rPr>
        <w:t>12</w:t>
      </w:r>
      <w:r>
        <w:rPr>
          <w:rFonts w:ascii="宋体"/>
          <w:kern w:val="0"/>
        </w:rPr>
        <w:t> </w:t>
      </w:r>
      <w:r>
        <w:rPr>
          <w:rFonts w:ascii="宋体" w:hAnsi="宋体" w:hint="eastAsia"/>
          <w:kern w:val="0"/>
          <w:szCs w:val="21"/>
        </w:rPr>
        <w:t>卷），上海人民出版社</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11</w:t>
      </w:r>
      <w:r>
        <w:rPr>
          <w:rFonts w:ascii="宋体" w:hAnsi="宋体" w:hint="eastAsia"/>
          <w:kern w:val="0"/>
          <w:szCs w:val="21"/>
        </w:rPr>
        <w:t>、费正清等：《剑桥中华民国史》（上、下），中国社会科学出版社，</w:t>
      </w:r>
      <w:r>
        <w:rPr>
          <w:rFonts w:ascii="宋体"/>
          <w:kern w:val="0"/>
        </w:rPr>
        <w:t> </w:t>
      </w:r>
      <w:r>
        <w:rPr>
          <w:rFonts w:ascii="宋体" w:hAnsi="宋体"/>
          <w:kern w:val="0"/>
          <w:szCs w:val="21"/>
        </w:rPr>
        <w:t>1994</w:t>
      </w:r>
      <w:r>
        <w:rPr>
          <w:rFonts w:ascii="宋体"/>
          <w:kern w:val="0"/>
        </w:rPr>
        <w:t> </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12</w:t>
      </w:r>
      <w:r>
        <w:rPr>
          <w:rFonts w:ascii="宋体" w:hAnsi="宋体" w:hint="eastAsia"/>
          <w:kern w:val="0"/>
          <w:szCs w:val="21"/>
        </w:rPr>
        <w:t>、彭明：《五四运动史》，人民出版社，</w:t>
      </w:r>
      <w:r>
        <w:rPr>
          <w:rFonts w:ascii="宋体"/>
          <w:kern w:val="0"/>
        </w:rPr>
        <w:t> </w:t>
      </w:r>
      <w:r>
        <w:rPr>
          <w:rFonts w:ascii="宋体" w:hAnsi="宋体"/>
          <w:kern w:val="0"/>
          <w:szCs w:val="21"/>
        </w:rPr>
        <w:t>1996</w:t>
      </w:r>
      <w:r>
        <w:rPr>
          <w:rFonts w:ascii="宋体" w:hAnsi="宋体" w:hint="eastAsia"/>
          <w:kern w:val="0"/>
          <w:szCs w:val="21"/>
        </w:rPr>
        <w:t>年修订本</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13</w:t>
      </w:r>
      <w:r>
        <w:rPr>
          <w:rFonts w:ascii="宋体" w:hAnsi="宋体" w:hint="eastAsia"/>
          <w:kern w:val="0"/>
          <w:szCs w:val="21"/>
        </w:rPr>
        <w:t>、章开沅、林增平：《辛亥革命运动史稿》，中国人民大学出版社，</w:t>
      </w:r>
      <w:r>
        <w:rPr>
          <w:rFonts w:ascii="宋体" w:hAnsi="宋体"/>
          <w:kern w:val="0"/>
          <w:szCs w:val="21"/>
        </w:rPr>
        <w:t>1988</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14</w:t>
      </w:r>
      <w:r>
        <w:rPr>
          <w:rFonts w:ascii="宋体" w:hAnsi="宋体" w:hint="eastAsia"/>
          <w:kern w:val="0"/>
          <w:szCs w:val="21"/>
        </w:rPr>
        <w:t>、耿云志：《从启蒙运动到马克思主义在中国的传播》，人民出版社，</w:t>
      </w:r>
      <w:r>
        <w:rPr>
          <w:rFonts w:ascii="宋体" w:hAnsi="宋体"/>
          <w:kern w:val="0"/>
          <w:szCs w:val="21"/>
        </w:rPr>
        <w:t>1983</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15</w:t>
      </w:r>
      <w:r>
        <w:rPr>
          <w:rFonts w:ascii="宋体" w:hAnsi="宋体" w:hint="eastAsia"/>
          <w:kern w:val="0"/>
          <w:szCs w:val="21"/>
        </w:rPr>
        <w:t>、毛泽东：《中国革命与中国共产党》（节选）。</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lastRenderedPageBreak/>
        <w:t>16</w:t>
      </w:r>
      <w:r>
        <w:rPr>
          <w:rFonts w:ascii="宋体" w:hAnsi="宋体" w:hint="eastAsia"/>
          <w:kern w:val="0"/>
          <w:szCs w:val="21"/>
        </w:rPr>
        <w:t>、（英）李约瑟：《中国科学技术史》，科学出版社、上海古籍出版社，</w:t>
      </w:r>
      <w:r>
        <w:rPr>
          <w:rFonts w:ascii="宋体" w:hAnsi="宋体"/>
          <w:kern w:val="0"/>
          <w:szCs w:val="21"/>
        </w:rPr>
        <w:t>1990</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17</w:t>
      </w:r>
      <w:r>
        <w:rPr>
          <w:rFonts w:ascii="宋体" w:hAnsi="宋体" w:hint="eastAsia"/>
          <w:kern w:val="0"/>
          <w:szCs w:val="21"/>
        </w:rPr>
        <w:t>、李剑农：《中国近百年政治史》，复旦大学出版社，</w:t>
      </w:r>
      <w:r>
        <w:rPr>
          <w:rFonts w:ascii="宋体" w:hAnsi="宋体"/>
          <w:kern w:val="0"/>
          <w:szCs w:val="21"/>
        </w:rPr>
        <w:t>2002</w:t>
      </w:r>
      <w:r>
        <w:rPr>
          <w:rFonts w:ascii="宋体" w:hAnsi="宋体" w:hint="eastAsia"/>
          <w:kern w:val="0"/>
          <w:szCs w:val="21"/>
        </w:rPr>
        <w:t>年版。</w:t>
      </w:r>
    </w:p>
    <w:p w:rsidR="003717A0" w:rsidRDefault="003717A0">
      <w:pPr>
        <w:widowControl/>
        <w:spacing w:line="360" w:lineRule="atLeast"/>
        <w:jc w:val="left"/>
        <w:rPr>
          <w:rFonts w:ascii="Times New Roman" w:hAnsi="Times New Roman"/>
          <w:kern w:val="0"/>
          <w:szCs w:val="21"/>
        </w:rPr>
      </w:pPr>
      <w:r>
        <w:rPr>
          <w:rFonts w:ascii="宋体" w:hAnsi="宋体"/>
          <w:kern w:val="0"/>
          <w:szCs w:val="21"/>
        </w:rPr>
        <w:t>18</w:t>
      </w:r>
      <w:r>
        <w:rPr>
          <w:rFonts w:ascii="宋体" w:hAnsi="宋体" w:hint="eastAsia"/>
          <w:kern w:val="0"/>
          <w:szCs w:val="21"/>
        </w:rPr>
        <w:t>、李侃：《中国近代史》（第四版），中华书局，</w:t>
      </w:r>
      <w:r>
        <w:rPr>
          <w:rFonts w:ascii="宋体" w:hAnsi="宋体"/>
          <w:kern w:val="0"/>
          <w:szCs w:val="21"/>
        </w:rPr>
        <w:t>2004</w:t>
      </w:r>
      <w:r>
        <w:rPr>
          <w:rFonts w:ascii="宋体" w:hAnsi="宋体" w:hint="eastAsia"/>
          <w:kern w:val="0"/>
          <w:szCs w:val="21"/>
        </w:rPr>
        <w:t>年版。</w:t>
      </w:r>
    </w:p>
    <w:p w:rsidR="003717A0" w:rsidRDefault="003717A0">
      <w:pPr>
        <w:widowControl/>
        <w:spacing w:line="360" w:lineRule="atLeast"/>
        <w:rPr>
          <w:rFonts w:ascii="Times New Roman" w:hAnsi="Times New Roman"/>
          <w:kern w:val="0"/>
          <w:szCs w:val="21"/>
        </w:rPr>
      </w:pPr>
      <w:r>
        <w:rPr>
          <w:rFonts w:ascii="宋体" w:hAnsi="宋体"/>
          <w:kern w:val="0"/>
          <w:szCs w:val="21"/>
        </w:rPr>
        <w:t>19</w:t>
      </w:r>
      <w:r>
        <w:rPr>
          <w:rFonts w:ascii="宋体" w:hAnsi="宋体" w:hint="eastAsia"/>
          <w:kern w:val="0"/>
          <w:szCs w:val="21"/>
        </w:rPr>
        <w:t>、军事科学院主编：《中国抗日战争史》</w:t>
      </w:r>
      <w:r>
        <w:rPr>
          <w:rFonts w:ascii="宋体" w:hAnsi="宋体"/>
          <w:kern w:val="0"/>
          <w:szCs w:val="21"/>
        </w:rPr>
        <w:t>(</w:t>
      </w:r>
      <w:r>
        <w:rPr>
          <w:rFonts w:ascii="宋体" w:hAnsi="宋体" w:hint="eastAsia"/>
          <w:kern w:val="0"/>
          <w:szCs w:val="21"/>
        </w:rPr>
        <w:t>上中下卷</w:t>
      </w:r>
      <w:r>
        <w:rPr>
          <w:rFonts w:ascii="宋体" w:hAnsi="宋体"/>
          <w:kern w:val="0"/>
          <w:szCs w:val="21"/>
        </w:rPr>
        <w:t>) .</w:t>
      </w:r>
      <w:r>
        <w:rPr>
          <w:rFonts w:ascii="宋体" w:hAnsi="宋体" w:hint="eastAsia"/>
          <w:kern w:val="0"/>
          <w:szCs w:val="21"/>
        </w:rPr>
        <w:t>解放军出版社</w:t>
      </w:r>
      <w:r>
        <w:rPr>
          <w:rFonts w:ascii="宋体" w:hAnsi="宋体"/>
          <w:kern w:val="0"/>
          <w:szCs w:val="21"/>
        </w:rPr>
        <w:t>, 1994</w:t>
      </w:r>
      <w:r>
        <w:rPr>
          <w:rFonts w:ascii="宋体" w:hAnsi="宋体" w:hint="eastAsia"/>
          <w:kern w:val="0"/>
          <w:szCs w:val="21"/>
        </w:rPr>
        <w:t>年版。</w:t>
      </w:r>
    </w:p>
    <w:p w:rsidR="003717A0" w:rsidRDefault="003717A0">
      <w:pPr>
        <w:autoSpaceDE w:val="0"/>
        <w:autoSpaceDN w:val="0"/>
        <w:adjustRightInd w:val="0"/>
        <w:spacing w:line="360" w:lineRule="exact"/>
        <w:jc w:val="left"/>
        <w:rPr>
          <w:rFonts w:ascii="Times New Roman" w:hAnsi="Times New Roman"/>
          <w:kern w:val="0"/>
          <w:sz w:val="22"/>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r>
        <w:rPr>
          <w:rFonts w:ascii="黑体" w:eastAsia="黑体" w:cs="黑体" w:hint="eastAsia"/>
          <w:kern w:val="0"/>
          <w:sz w:val="18"/>
          <w:szCs w:val="18"/>
        </w:rPr>
        <w:t>制定人：朱丹彤</w:t>
      </w:r>
    </w:p>
    <w:p w:rsidR="003717A0" w:rsidRDefault="003717A0" w:rsidP="000E7DCD">
      <w:pPr>
        <w:autoSpaceDE w:val="0"/>
        <w:autoSpaceDN w:val="0"/>
        <w:adjustRightInd w:val="0"/>
        <w:ind w:leftChars="2900" w:left="6090" w:firstLineChars="157" w:firstLine="283"/>
        <w:jc w:val="left"/>
        <w:rPr>
          <w:rFonts w:ascii="黑体" w:eastAsia="黑体" w:cs="黑体"/>
          <w:kern w:val="0"/>
          <w:sz w:val="18"/>
          <w:szCs w:val="18"/>
        </w:rPr>
      </w:pPr>
      <w:r>
        <w:rPr>
          <w:rFonts w:ascii="黑体" w:eastAsia="黑体" w:cs="黑体" w:hint="eastAsia"/>
          <w:kern w:val="0"/>
          <w:sz w:val="18"/>
          <w:szCs w:val="18"/>
        </w:rPr>
        <w:t>审核人：蔡娟</w:t>
      </w:r>
    </w:p>
    <w:p w:rsidR="003717A0" w:rsidRPr="00F5156D" w:rsidRDefault="003717A0" w:rsidP="00F5156D">
      <w:pPr>
        <w:autoSpaceDE w:val="0"/>
        <w:autoSpaceDN w:val="0"/>
        <w:adjustRightInd w:val="0"/>
        <w:spacing w:line="360" w:lineRule="exact"/>
        <w:jc w:val="center"/>
        <w:rPr>
          <w:rFonts w:ascii="黑体" w:eastAsia="黑体" w:cs="黑体"/>
          <w:kern w:val="0"/>
          <w:sz w:val="18"/>
          <w:szCs w:val="18"/>
        </w:rPr>
      </w:pPr>
      <w:r>
        <w:rPr>
          <w:rFonts w:ascii="黑体" w:eastAsia="黑体" w:cs="黑体"/>
          <w:kern w:val="0"/>
          <w:sz w:val="18"/>
          <w:szCs w:val="18"/>
        </w:rPr>
        <w:br w:type="page"/>
      </w:r>
      <w:r>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jc w:val="left"/>
        <w:rPr>
          <w:rFonts w:ascii="Times New Roman" w:hAnsi="宋体"/>
          <w:kern w:val="0"/>
          <w:sz w:val="22"/>
        </w:rPr>
      </w:pPr>
      <w:r>
        <w:rPr>
          <w:rFonts w:ascii="Times New Roman" w:hAnsi="宋体" w:hint="eastAsia"/>
          <w:kern w:val="0"/>
          <w:sz w:val="22"/>
        </w:rPr>
        <w:t>全校本科学生（文学系历史专业、政治学院思想政治教育专业学生除外。）</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40"/>
        <w:jc w:val="left"/>
        <w:rPr>
          <w:rFonts w:ascii="Times New Roman" w:hAnsi="宋体"/>
          <w:kern w:val="0"/>
          <w:sz w:val="22"/>
        </w:rPr>
      </w:pPr>
      <w:r>
        <w:rPr>
          <w:rFonts w:ascii="Times New Roman" w:hAnsi="宋体" w:hint="eastAsia"/>
          <w:kern w:val="0"/>
          <w:sz w:val="22"/>
        </w:rPr>
        <w:t>考核采取平时表现和期末考试相结合的学生全过程学习效果综合评价体系，注重考核学生对《中国近现代史纲要》基本知识和基本规律的掌握程度，尤其是着重考察学生运用所学知识和理论分析、解决实际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本课程考核实行开卷随堂考试。时间为</w:t>
      </w:r>
      <w:r>
        <w:rPr>
          <w:rFonts w:ascii="Times New Roman" w:hAnsi="宋体"/>
          <w:kern w:val="0"/>
          <w:sz w:val="22"/>
        </w:rPr>
        <w:t>2</w:t>
      </w:r>
      <w:r>
        <w:rPr>
          <w:rFonts w:ascii="Times New Roman" w:hAnsi="宋体" w:hint="eastAsia"/>
          <w:kern w:val="0"/>
          <w:sz w:val="22"/>
        </w:rPr>
        <w:t>小时。考试时，可带书本及参考资料，不允许相互交流、查看手机及互换资料。</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平时成绩占</w:t>
      </w:r>
      <w:r>
        <w:rPr>
          <w:rFonts w:ascii="Times New Roman" w:hAnsi="宋体"/>
          <w:kern w:val="0"/>
          <w:sz w:val="22"/>
        </w:rPr>
        <w:t>50%</w:t>
      </w:r>
      <w:r>
        <w:rPr>
          <w:rFonts w:ascii="Times New Roman" w:hAnsi="宋体" w:hint="eastAsia"/>
          <w:kern w:val="0"/>
          <w:sz w:val="22"/>
        </w:rPr>
        <w:t>，考试成绩占</w:t>
      </w:r>
      <w:r>
        <w:rPr>
          <w:rFonts w:ascii="Times New Roman" w:hAnsi="宋体"/>
          <w:kern w:val="0"/>
          <w:sz w:val="22"/>
        </w:rPr>
        <w:t>50%</w:t>
      </w:r>
    </w:p>
    <w:p w:rsidR="003717A0" w:rsidRDefault="003717A0">
      <w:pPr>
        <w:autoSpaceDE w:val="0"/>
        <w:autoSpaceDN w:val="0"/>
        <w:adjustRightInd w:val="0"/>
        <w:snapToGrid w:val="0"/>
        <w:spacing w:line="440" w:lineRule="exact"/>
        <w:jc w:val="left"/>
        <w:rPr>
          <w:rFonts w:ascii="Times New Roman" w:hAnsi="宋体"/>
          <w:kern w:val="0"/>
          <w:sz w:val="22"/>
        </w:rPr>
      </w:pPr>
      <w:r>
        <w:rPr>
          <w:rFonts w:ascii="Times New Roman" w:hAnsi="宋体" w:hint="eastAsia"/>
          <w:kern w:val="0"/>
          <w:sz w:val="22"/>
        </w:rPr>
        <w:t>平时成绩主要包括考勤、作业、上课状态、发言情况、实践环节、笔记等六个方面。其中，实践报告（包括调研报告、观后感、基本思想概括等）占平时成绩的</w:t>
      </w:r>
      <w:r>
        <w:rPr>
          <w:rFonts w:ascii="Times New Roman" w:hAnsi="宋体"/>
          <w:kern w:val="0"/>
          <w:sz w:val="22"/>
        </w:rPr>
        <w:t>30%</w:t>
      </w:r>
      <w:r>
        <w:rPr>
          <w:rFonts w:ascii="Times New Roman" w:hAnsi="宋体" w:hint="eastAsia"/>
          <w:kern w:val="0"/>
          <w:sz w:val="22"/>
        </w:rPr>
        <w:t>，由学生自主撰写，使用统一的格式，按时上交，任课教师公正按百分制评分，若是分组报告还要根据各位同学对报告所作贡献给予酌情评定。</w:t>
      </w:r>
      <w:r>
        <w:rPr>
          <w:rFonts w:ascii="Times New Roman" w:hAnsi="宋体"/>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Times New Roman" w:eastAsia="黑体" w:hAnsi="Times New Roman"/>
          <w:kern w:val="0"/>
          <w:sz w:val="34"/>
          <w:szCs w:val="34"/>
        </w:rPr>
      </w:pPr>
      <w:r>
        <w:rPr>
          <w:rFonts w:ascii="Times New Roman" w:eastAsia="黑体" w:hAnsi="Times New Roman"/>
          <w:kern w:val="0"/>
          <w:sz w:val="34"/>
          <w:szCs w:val="34"/>
        </w:rPr>
        <w:br w:type="page"/>
      </w:r>
      <w:r>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825"/>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00" w:firstLine="440"/>
              <w:jc w:val="left"/>
              <w:rPr>
                <w:rFonts w:ascii="Times New Roman" w:hAnsi="宋体"/>
                <w:kern w:val="0"/>
                <w:sz w:val="22"/>
              </w:rPr>
            </w:pPr>
            <w:r>
              <w:rPr>
                <w:rFonts w:ascii="Times New Roman" w:hAnsi="宋体" w:hint="eastAsia"/>
                <w:kern w:val="0"/>
                <w:sz w:val="22"/>
              </w:rPr>
              <w:t>教学遵循“精”与“管用”的原则，采取课堂教学（以专题教学为主）和实践教学协同进行。在课堂教学中我们广泛采用“三步教学法”，即</w:t>
            </w:r>
            <w:r>
              <w:rPr>
                <w:rFonts w:ascii="宋体" w:hAnsi="宋体" w:hint="eastAsia"/>
                <w:kern w:val="0"/>
                <w:sz w:val="22"/>
              </w:rPr>
              <w:t>讲</w:t>
            </w:r>
            <w:r>
              <w:rPr>
                <w:rFonts w:ascii="宋体" w:hAnsi="宋体"/>
                <w:kern w:val="0"/>
                <w:sz w:val="22"/>
              </w:rPr>
              <w:t>—</w:t>
            </w:r>
            <w:r>
              <w:rPr>
                <w:rFonts w:ascii="Times New Roman" w:hAnsi="宋体" w:hint="eastAsia"/>
                <w:kern w:val="0"/>
                <w:sz w:val="22"/>
              </w:rPr>
              <w:t>看</w:t>
            </w:r>
            <w:r>
              <w:rPr>
                <w:rFonts w:ascii="Times New Roman" w:hAnsi="宋体"/>
                <w:kern w:val="0"/>
                <w:sz w:val="22"/>
              </w:rPr>
              <w:t>—</w:t>
            </w:r>
            <w:r>
              <w:rPr>
                <w:rFonts w:ascii="Times New Roman" w:hAnsi="宋体" w:hint="eastAsia"/>
                <w:kern w:val="0"/>
                <w:sz w:val="22"/>
              </w:rPr>
              <w:t>论。“讲”就是精讲理论，力求讲出新意、讲出特色、讲出深度、讲出规律；“看”就是看教学影视资料、看现实生活的变化，看经典原著；“论”即开展课堂讨论、网上辩论等。</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1</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2</w:t>
            </w:r>
            <w:r>
              <w:rPr>
                <w:rFonts w:ascii="Times New Roman" w:hAnsi="宋体" w:hint="eastAsia"/>
                <w:kern w:val="0"/>
                <w:sz w:val="22"/>
              </w:rPr>
              <w:t>、在教研室统一制作教案与</w:t>
            </w:r>
            <w:r>
              <w:rPr>
                <w:rFonts w:ascii="Times New Roman" w:hAnsi="宋体"/>
                <w:kern w:val="0"/>
                <w:sz w:val="22"/>
              </w:rPr>
              <w:t>PPT</w:t>
            </w:r>
            <w:r>
              <w:rPr>
                <w:rFonts w:ascii="Times New Roman" w:hAnsi="宋体" w:hint="eastAsia"/>
                <w:kern w:val="0"/>
                <w:sz w:val="22"/>
              </w:rPr>
              <w:t>的基础上各任课老师根据自身特点进行适当调整；</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3</w:t>
            </w:r>
            <w:r>
              <w:rPr>
                <w:rFonts w:ascii="Times New Roman" w:hAnsi="宋体" w:hint="eastAsia"/>
                <w:kern w:val="0"/>
                <w:sz w:val="22"/>
              </w:rPr>
              <w:t>、不断探索各章的教学方法，构思授课方案、技巧与方法。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pPr>
            <w:r>
              <w:rPr>
                <w:rFonts w:ascii="Times New Roman" w:hAnsi="宋体"/>
                <w:kern w:val="0"/>
                <w:sz w:val="22"/>
              </w:rPr>
              <w:t>1</w:t>
            </w:r>
            <w:r>
              <w:rPr>
                <w:rFonts w:ascii="Times New Roman" w:hAnsi="宋体" w:hint="eastAsia"/>
                <w:kern w:val="0"/>
                <w:sz w:val="22"/>
              </w:rPr>
              <w:t>、课堂讲授注重史论结合，论从史出、由史知理。</w:t>
            </w:r>
            <w:r>
              <w:rPr>
                <w:rFonts w:ascii="Times New Roman" w:hAnsi="宋体"/>
                <w:kern w:val="0"/>
                <w:sz w:val="22"/>
              </w:rPr>
              <w:br/>
              <w:t>2</w:t>
            </w:r>
            <w:r>
              <w:rPr>
                <w:rFonts w:ascii="Times New Roman" w:hAnsi="宋体" w:hint="eastAsia"/>
                <w:kern w:val="0"/>
                <w:sz w:val="22"/>
              </w:rPr>
              <w:t>、注重理论与实践相结合、历史与现实相结合。</w:t>
            </w:r>
            <w:r>
              <w:rPr>
                <w:rFonts w:ascii="Times New Roman" w:hAnsi="宋体"/>
                <w:kern w:val="0"/>
                <w:sz w:val="22"/>
              </w:rPr>
              <w:br/>
              <w:t>3</w:t>
            </w:r>
            <w:r>
              <w:rPr>
                <w:rFonts w:ascii="Times New Roman" w:hAnsi="宋体" w:hint="eastAsia"/>
                <w:kern w:val="0"/>
                <w:sz w:val="22"/>
              </w:rPr>
              <w:t>、课堂讲授注重历史纵向线索的深入和横向背景的交代。</w:t>
            </w:r>
            <w:r>
              <w:rPr>
                <w:rFonts w:ascii="Times New Roman" w:hAnsi="宋体"/>
                <w:kern w:val="0"/>
                <w:sz w:val="22"/>
              </w:rPr>
              <w:br/>
              <w:t>4</w:t>
            </w:r>
            <w:r>
              <w:rPr>
                <w:rFonts w:ascii="Times New Roman" w:hAnsi="宋体" w:hint="eastAsia"/>
                <w:kern w:val="0"/>
                <w:sz w:val="22"/>
              </w:rPr>
              <w:t>、注重对学生进行唯物史观、爱国主义精神、民族团结意识培养。</w:t>
            </w:r>
          </w:p>
        </w:tc>
      </w:tr>
      <w:tr w:rsidR="003717A0">
        <w:trPr>
          <w:gridAfter w:val="1"/>
          <w:wAfter w:w="26" w:type="dxa"/>
          <w:cantSplit/>
          <w:trHeight w:val="2497"/>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1</w:t>
            </w:r>
            <w:r>
              <w:rPr>
                <w:rFonts w:ascii="Times New Roman" w:hAnsi="宋体" w:hint="eastAsia"/>
                <w:kern w:val="0"/>
                <w:sz w:val="22"/>
              </w:rPr>
              <w:t>、结合课堂教学内容，布置相应研究课题，撰写课程小论文。每学期不得少于两次。</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2</w:t>
            </w:r>
            <w:r>
              <w:rPr>
                <w:rFonts w:ascii="Times New Roman" w:hAnsi="宋体" w:hint="eastAsia"/>
                <w:kern w:val="0"/>
                <w:sz w:val="22"/>
              </w:rPr>
              <w:t>、教师根据教学重点难点和当前时事等选择一个主题，组织学生进行心得交流、演讲比赛、讨论会、读书活动等。活动中表现良好者在平时成绩中给予适当加分。</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3</w:t>
            </w:r>
            <w:r>
              <w:rPr>
                <w:rFonts w:ascii="Times New Roman" w:hAnsi="宋体" w:hint="eastAsia"/>
                <w:kern w:val="0"/>
                <w:sz w:val="22"/>
              </w:rPr>
              <w:t>、布置社会实践选题范围，由学生自行组团合作完成选题、调研、撰写实践报告。小组成员按贡献大小进行排名，排名前两位者适当给予加分。</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4</w:t>
            </w:r>
            <w:r>
              <w:rPr>
                <w:rFonts w:ascii="Times New Roman" w:hAnsi="宋体" w:hint="eastAsia"/>
                <w:kern w:val="0"/>
                <w:sz w:val="22"/>
              </w:rPr>
              <w:t>、教师在批改过程中要认真、细致，按优、良、中、及格、不及格等级进行成绩的评定。</w:t>
            </w:r>
          </w:p>
        </w:tc>
      </w:tr>
      <w:tr w:rsidR="003717A0">
        <w:trPr>
          <w:gridAfter w:val="1"/>
          <w:wAfter w:w="26" w:type="dxa"/>
          <w:cantSplit/>
          <w:trHeight w:val="78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利用课后休息或网络进行课外答疑。</w:t>
            </w:r>
          </w:p>
        </w:tc>
      </w:tr>
      <w:tr w:rsidR="003717A0">
        <w:trPr>
          <w:gridAfter w:val="1"/>
          <w:wAfter w:w="26" w:type="dxa"/>
          <w:cantSplit/>
          <w:trHeight w:val="270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pacing w:line="360" w:lineRule="exact"/>
              <w:jc w:val="left"/>
              <w:rPr>
                <w:rFonts w:ascii="Times New Roman" w:hAnsi="宋体"/>
                <w:kern w:val="0"/>
                <w:sz w:val="22"/>
              </w:rPr>
            </w:pPr>
            <w:r>
              <w:rPr>
                <w:rFonts w:ascii="Times New Roman" w:hAnsi="宋体" w:hint="eastAsia"/>
                <w:kern w:val="0"/>
                <w:sz w:val="22"/>
              </w:rPr>
              <w:t>平时成绩占</w:t>
            </w:r>
            <w:r>
              <w:rPr>
                <w:rFonts w:ascii="Times New Roman" w:hAnsi="宋体"/>
                <w:kern w:val="0"/>
                <w:sz w:val="22"/>
              </w:rPr>
              <w:t>50%</w:t>
            </w:r>
            <w:r>
              <w:rPr>
                <w:rFonts w:ascii="Times New Roman" w:hAnsi="宋体" w:hint="eastAsia"/>
                <w:kern w:val="0"/>
                <w:sz w:val="22"/>
              </w:rPr>
              <w:t>，考试成绩占</w:t>
            </w:r>
            <w:r>
              <w:rPr>
                <w:rFonts w:ascii="Times New Roman" w:hAnsi="宋体"/>
                <w:kern w:val="0"/>
                <w:sz w:val="22"/>
              </w:rPr>
              <w:t>50%</w:t>
            </w:r>
          </w:p>
          <w:p w:rsidR="003717A0" w:rsidRDefault="003717A0">
            <w:pPr>
              <w:autoSpaceDE w:val="0"/>
              <w:autoSpaceDN w:val="0"/>
              <w:adjustRightInd w:val="0"/>
              <w:snapToGrid w:val="0"/>
              <w:spacing w:line="440" w:lineRule="exact"/>
              <w:jc w:val="left"/>
              <w:rPr>
                <w:rFonts w:ascii="Times New Roman" w:hAnsi="宋体"/>
                <w:kern w:val="0"/>
                <w:sz w:val="22"/>
              </w:rPr>
            </w:pPr>
            <w:r>
              <w:rPr>
                <w:rFonts w:ascii="Times New Roman" w:hAnsi="宋体" w:hint="eastAsia"/>
                <w:kern w:val="0"/>
                <w:sz w:val="22"/>
              </w:rPr>
              <w:t>平时成绩主要包括考勤、作业、上课状态、发言情况、实践环节、笔记等六个方面。其中，实践报告（包括调研报告、观后感、基本思想概括等）占平时成绩的</w:t>
            </w:r>
            <w:r>
              <w:rPr>
                <w:rFonts w:ascii="Times New Roman" w:hAnsi="宋体"/>
                <w:kern w:val="0"/>
                <w:sz w:val="22"/>
              </w:rPr>
              <w:t>30%</w:t>
            </w:r>
            <w:r>
              <w:rPr>
                <w:rFonts w:ascii="Times New Roman" w:hAnsi="宋体" w:hint="eastAsia"/>
                <w:kern w:val="0"/>
                <w:sz w:val="22"/>
              </w:rPr>
              <w:t>，由学生自主撰写，使用统一的格式，按时上交，任课教师公正按百分制评分，若是分组报告还要根据各位同学对报告所作贡献给予酌情评定。</w:t>
            </w:r>
            <w:r>
              <w:rPr>
                <w:rFonts w:ascii="Times New Roman" w:hAnsi="宋体"/>
                <w:kern w:val="0"/>
                <w:sz w:val="22"/>
              </w:rPr>
              <w:t xml:space="preserve"> </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考核最终成绩按优、良、中、及格、不及格五等级进行评定。</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宋体" w:hAnsi="宋体" w:hint="eastAsia"/>
                <w:szCs w:val="21"/>
              </w:rPr>
              <w:t>按照国家教委的人才培养方案的要求，《中国近现代史纲要》课程</w:t>
            </w:r>
            <w:r>
              <w:rPr>
                <w:rFonts w:ascii="宋体" w:hAnsi="宋体"/>
                <w:szCs w:val="21"/>
              </w:rPr>
              <w:t>32</w:t>
            </w:r>
            <w:r>
              <w:rPr>
                <w:rFonts w:ascii="宋体" w:hAnsi="宋体" w:hint="eastAsia"/>
                <w:szCs w:val="21"/>
              </w:rPr>
              <w:t>学时中安排</w:t>
            </w:r>
            <w:r>
              <w:rPr>
                <w:rFonts w:ascii="宋体" w:hAnsi="宋体"/>
                <w:szCs w:val="21"/>
              </w:rPr>
              <w:t>4</w:t>
            </w:r>
            <w:r>
              <w:rPr>
                <w:rFonts w:ascii="宋体" w:hAnsi="宋体" w:hint="eastAsia"/>
                <w:szCs w:val="21"/>
              </w:rPr>
              <w:t>学时进行实践教学环节。结合学校实际，本教研室制定详细课程实践方案，由任课教师每学期根据具体情况组织学生进行并完成实践报告。实践报告占平时成绩的</w:t>
            </w:r>
            <w:r>
              <w:rPr>
                <w:rFonts w:ascii="宋体" w:hAnsi="宋体"/>
                <w:szCs w:val="21"/>
              </w:rPr>
              <w:t>30%</w:t>
            </w:r>
            <w:r>
              <w:rPr>
                <w:rFonts w:ascii="宋体" w:hAnsi="宋体" w:hint="eastAsia"/>
                <w:szCs w:val="21"/>
              </w:rPr>
              <w:t>，优秀实践报告进行评奖并给予一定奖励。</w:t>
            </w:r>
          </w:p>
        </w:tc>
      </w:tr>
    </w:tbl>
    <w:p w:rsidR="003717A0" w:rsidRPr="00F5156D" w:rsidRDefault="003717A0">
      <w:pPr>
        <w:pStyle w:val="1"/>
        <w:rPr>
          <w:b/>
          <w:kern w:val="0"/>
        </w:rPr>
      </w:pPr>
      <w:bookmarkStart w:id="14" w:name="_Toc278186503"/>
      <w:bookmarkStart w:id="15" w:name="_Toc469312979"/>
      <w:bookmarkStart w:id="16" w:name="_Toc471830691"/>
      <w:r w:rsidRPr="00F5156D">
        <w:rPr>
          <w:rFonts w:hint="eastAsia"/>
          <w:b/>
          <w:kern w:val="0"/>
        </w:rPr>
        <w:lastRenderedPageBreak/>
        <w:t>《大学英语》课程质量标准</w:t>
      </w:r>
      <w:bookmarkEnd w:id="14"/>
      <w:bookmarkEnd w:id="15"/>
      <w:bookmarkEnd w:id="16"/>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为适应我国高等教育发展的新形势，深化教学改革，提高教学质量，满足新时期国家和社会对人才培养的需要，教育部特制定《大学英语课程教学要求（试行）》，作为非英语专业本科生英语教学的主要依据。</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鉴于我校教学资源、学生入学水平以及社会需求，我们参照《课程要求》，根据我校实际情况，特制定《南通大学大学英语教学大纲》，指导我校的大学英语教学。</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kern w:val="0"/>
          <w:sz w:val="24"/>
        </w:rPr>
      </w:pPr>
      <w:r>
        <w:rPr>
          <w:rFonts w:ascii="黑体" w:eastAsia="黑体" w:hAnsi="黑体" w:cs="宋体" w:hint="eastAsia"/>
          <w:b/>
          <w:kern w:val="0"/>
          <w:sz w:val="24"/>
        </w:rPr>
        <w:t>一．课程性质和目标</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大学英语教学是高等教育的一个有机组成部分，大学英语课程是南通大学学生的一门必修基础课程，以英语语言知识与应用技能、学习策略和跨文化交际为主要内容，以外语教学理论为指导，并集多种教学模式和教学手段为一体的教学体系。</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依据我校在校生及毕业生的就业、考研具体特点，我校大学英语的教学目标是培养学生的英语综合应用能力，特别是听说能力，使他们在今后工作和社会交往中能用英语有效地进行口头和书面的信息交流，同时增强其自主学习能力、提高综合文化素养，以适应我国经济发展和国际交流的需要。具体体现在四个方面能力的培养：</w:t>
      </w:r>
      <w:r>
        <w:rPr>
          <w:rFonts w:ascii="宋体" w:hAnsi="宋体" w:cs="宋体"/>
          <w:kern w:val="0"/>
          <w:sz w:val="22"/>
        </w:rPr>
        <w:t>1</w:t>
      </w:r>
      <w:r>
        <w:rPr>
          <w:rFonts w:ascii="宋体" w:hAnsi="宋体" w:cs="宋体" w:hint="eastAsia"/>
          <w:kern w:val="0"/>
          <w:sz w:val="22"/>
        </w:rPr>
        <w:t>）培养学生的听说实用能力；</w:t>
      </w:r>
      <w:r>
        <w:rPr>
          <w:rFonts w:ascii="宋体" w:hAnsi="宋体" w:cs="宋体"/>
          <w:kern w:val="0"/>
          <w:sz w:val="22"/>
        </w:rPr>
        <w:t>2</w:t>
      </w:r>
      <w:r>
        <w:rPr>
          <w:rFonts w:ascii="宋体" w:hAnsi="宋体" w:cs="宋体" w:hint="eastAsia"/>
          <w:kern w:val="0"/>
          <w:sz w:val="22"/>
        </w:rPr>
        <w:t>）培养学生的读写应用能力；</w:t>
      </w:r>
      <w:r>
        <w:rPr>
          <w:rFonts w:ascii="宋体" w:hAnsi="宋体" w:cs="宋体"/>
          <w:kern w:val="0"/>
          <w:sz w:val="22"/>
        </w:rPr>
        <w:t>3)</w:t>
      </w:r>
      <w:r>
        <w:rPr>
          <w:rFonts w:ascii="宋体" w:hAnsi="宋体" w:cs="宋体" w:hint="eastAsia"/>
          <w:kern w:val="0"/>
          <w:sz w:val="22"/>
        </w:rPr>
        <w:t>培养学生的自主学习能力；</w:t>
      </w:r>
      <w:r>
        <w:rPr>
          <w:rFonts w:ascii="宋体" w:hAnsi="宋体" w:cs="宋体"/>
          <w:kern w:val="0"/>
          <w:sz w:val="22"/>
        </w:rPr>
        <w:t>4</w:t>
      </w:r>
      <w:r>
        <w:rPr>
          <w:rFonts w:ascii="宋体" w:hAnsi="宋体" w:cs="宋体" w:hint="eastAsia"/>
          <w:kern w:val="0"/>
          <w:sz w:val="22"/>
        </w:rPr>
        <w:t>）培养学生的文化素养和交际能力。</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二．教学原则</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大纲的教学原则最大限度地遵循学会使用外语（第二语言）的自然法则，即（</w:t>
      </w:r>
      <w:r>
        <w:rPr>
          <w:rFonts w:ascii="宋体" w:hAnsi="宋体" w:cs="宋体"/>
          <w:kern w:val="0"/>
          <w:sz w:val="22"/>
        </w:rPr>
        <w:t>A</w:t>
      </w:r>
      <w:r>
        <w:rPr>
          <w:rFonts w:ascii="宋体" w:hAnsi="宋体" w:cs="宋体" w:hint="eastAsia"/>
          <w:kern w:val="0"/>
          <w:sz w:val="22"/>
        </w:rPr>
        <w:t>）语言的本质是声音的，听不懂、说不出来的英语不是语言；（</w:t>
      </w:r>
      <w:r>
        <w:rPr>
          <w:rFonts w:ascii="宋体" w:hAnsi="宋体" w:cs="宋体"/>
          <w:kern w:val="0"/>
          <w:sz w:val="22"/>
        </w:rPr>
        <w:t>B</w:t>
      </w:r>
      <w:r>
        <w:rPr>
          <w:rFonts w:ascii="宋体" w:hAnsi="宋体" w:cs="宋体" w:hint="eastAsia"/>
          <w:kern w:val="0"/>
          <w:sz w:val="22"/>
        </w:rPr>
        <w:t>）语言既是交际的工具也是思维的工具，学会英语就是学会用英语思维、用英语交际，而学会使用英语进行思维和交际的能力是一个漫长的技能训练过程，因此大学英语教学必须是一个训练学生用英语思维和交际的过程，必须遵循技能训练的一般法则；（</w:t>
      </w:r>
      <w:r>
        <w:rPr>
          <w:rFonts w:ascii="宋体" w:hAnsi="宋体" w:cs="宋体"/>
          <w:kern w:val="0"/>
          <w:sz w:val="22"/>
        </w:rPr>
        <w:t>C</w:t>
      </w:r>
      <w:r>
        <w:rPr>
          <w:rFonts w:ascii="宋体" w:hAnsi="宋体" w:cs="宋体" w:hint="eastAsia"/>
          <w:kern w:val="0"/>
          <w:sz w:val="22"/>
        </w:rPr>
        <w:t>）学生要想把英语作为思维和交际工具学习，必须在有限的时间内充足的英语语言接触，大学英语教学必须为学生提供充足的英语输入（声音的和书面的）和有充分英语输出（声音的和书面的）的机会；（</w:t>
      </w:r>
      <w:r>
        <w:rPr>
          <w:rFonts w:ascii="宋体" w:hAnsi="宋体" w:cs="宋体"/>
          <w:kern w:val="0"/>
          <w:sz w:val="22"/>
        </w:rPr>
        <w:t>D</w:t>
      </w:r>
      <w:r>
        <w:rPr>
          <w:rFonts w:ascii="宋体" w:hAnsi="宋体" w:cs="宋体" w:hint="eastAsia"/>
          <w:kern w:val="0"/>
          <w:sz w:val="22"/>
        </w:rPr>
        <w:t>）贯彻分类指导、因材施教的原则以适应立体化、网络化、个性化英语教学和学习的实际需要。英语学习者个体差异极大，大学英语教学必须有意识地识别出学生的差异，有能力照顾到学生间的个体差异，为情况水平各异的学生学习群体提供最适合自己的学习资源、学习进度和学习方式；（</w:t>
      </w:r>
      <w:r>
        <w:rPr>
          <w:rFonts w:ascii="宋体" w:hAnsi="宋体" w:cs="宋体"/>
          <w:kern w:val="0"/>
          <w:sz w:val="22"/>
        </w:rPr>
        <w:t>E</w:t>
      </w:r>
      <w:r>
        <w:rPr>
          <w:rFonts w:ascii="宋体" w:hAnsi="宋体" w:cs="宋体" w:hint="eastAsia"/>
          <w:kern w:val="0"/>
          <w:sz w:val="22"/>
        </w:rPr>
        <w:t>）反对“应试教育”，彻底实行兴趣驱动学生学习英语的法则。</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三．课程教学对象</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lastRenderedPageBreak/>
        <w:t>本大纲的教学对象是我校非英语专业的本科生。依据我校历年招生情况和毕业生的特点，结合我校生源来源广、水平差异大的特点，我们把入校新生分为两大类：体音美专业学生和普通非英语专业学生，其中体音美专业学生入学时只具备最基础的听、说、读、写能力，而普通非英语专业学生应达到《高中英语课程标准》七级的要求，掌握了一定量的词汇，并在听、说、读、写方面受到初步的训练。</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四．课程教学要求</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我校学生入学时因专业差异而存在较大的英语水平差异，大学英语教学实行分类指导，因材施教的原则，以适应个性化的实际需要。</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大学阶段的英语教学要求分为三个层次，即一般要求、较高要求和更高要求。这三个不同层次的要求是我校非英语专业本科生经过大学阶段的英语学习与实践应当选择达到的英语水平标准，其中一般要求是每个大学毕业生必须达到的目标。达到或未达到《高中英语课程标准》七级的大学新生可将一般要求作为大学阶段英语学习的目标。较高要求和更高要求是对那些学有余力，英语基础较好，达到《高中英语课程标准》八、九级的大学新生而设置的。这三个要求包括了英语语言知识、应用技能、学习策略和跨文化交际等方面的内容，并以定性和定量的描述体现了大学英语教学的指导思想，即强调培养学生的英语听说能力，以及读写译等英语综合应用能力和专业英语技能。</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参照南通大学历年新生入学时的英语基础，把教育部的《大学英语课程教学要求》的教学要求做了的适当调整，使之更加符合我校教学实际。</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宋体" w:cs="宋体"/>
          <w:kern w:val="0"/>
          <w:sz w:val="24"/>
        </w:rPr>
      </w:pPr>
      <w:r>
        <w:rPr>
          <w:rFonts w:ascii="仿宋_GB2312" w:eastAsia="仿宋_GB2312" w:hAnsi="宋体" w:cs="宋体" w:hint="eastAsia"/>
          <w:b/>
          <w:kern w:val="0"/>
          <w:sz w:val="24"/>
        </w:rPr>
        <w:t>三个层次的英语能力要求如下：</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宋体" w:cs="宋体"/>
          <w:kern w:val="0"/>
          <w:sz w:val="24"/>
        </w:rPr>
      </w:pPr>
      <w:r>
        <w:rPr>
          <w:rFonts w:ascii="仿宋_GB2312" w:eastAsia="仿宋_GB2312" w:hAnsi="宋体" w:cs="宋体" w:hint="eastAsia"/>
          <w:b/>
          <w:kern w:val="0"/>
          <w:sz w:val="24"/>
        </w:rPr>
        <w:t>一般要求：</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1</w:t>
      </w:r>
      <w:r>
        <w:rPr>
          <w:rFonts w:ascii="宋体" w:hAnsi="宋体" w:cs="宋体" w:hint="eastAsia"/>
          <w:kern w:val="0"/>
          <w:sz w:val="22"/>
        </w:rPr>
        <w:t>．听力理解能力：能听懂英语授课，能听懂日常英语谈话和一般性题材讲座，能基本听懂英语国家慢速英语节目，语速为每分钟</w:t>
      </w:r>
      <w:r>
        <w:rPr>
          <w:rFonts w:ascii="宋体" w:hAnsi="宋体" w:cs="宋体"/>
          <w:kern w:val="0"/>
          <w:sz w:val="22"/>
        </w:rPr>
        <w:t>110</w:t>
      </w:r>
      <w:r>
        <w:rPr>
          <w:rFonts w:ascii="宋体" w:hAnsi="宋体" w:cs="宋体" w:hint="eastAsia"/>
          <w:kern w:val="0"/>
          <w:sz w:val="22"/>
        </w:rPr>
        <w:t>词左右，能掌握其中心大意，抓住要点。能运用基本的听力技巧帮助理解。</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 xml:space="preserve">2. </w:t>
      </w:r>
      <w:r>
        <w:rPr>
          <w:rFonts w:ascii="宋体" w:hAnsi="宋体" w:cs="宋体" w:hint="eastAsia"/>
          <w:kern w:val="0"/>
          <w:sz w:val="22"/>
        </w:rPr>
        <w:t>口语表达能力：能在学习过程中用英语交流，并能就某一主题进行讨论。能就日常话题和来自讲英语国家的人士进行交谈。能就所熟悉的话题经准备后作简短发言，表达比较清楚，语音、语调基本正确。能在交谈中使用基本的会话策略。</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3</w:t>
      </w:r>
      <w:r>
        <w:rPr>
          <w:rFonts w:ascii="宋体" w:hAnsi="宋体" w:cs="宋体" w:hint="eastAsia"/>
          <w:kern w:val="0"/>
          <w:sz w:val="22"/>
        </w:rPr>
        <w:t>．阅读理解能力：能够基本读懂一般性题材的英文文章，阅读速度达到每分钟</w:t>
      </w:r>
      <w:r>
        <w:rPr>
          <w:rFonts w:ascii="宋体" w:hAnsi="宋体" w:cs="宋体"/>
          <w:kern w:val="0"/>
          <w:sz w:val="22"/>
        </w:rPr>
        <w:t>70</w:t>
      </w:r>
      <w:r>
        <w:rPr>
          <w:rFonts w:ascii="宋体" w:hAnsi="宋体" w:cs="宋体" w:hint="eastAsia"/>
          <w:kern w:val="0"/>
          <w:sz w:val="22"/>
        </w:rPr>
        <w:t>词，在快速阅读篇幅较长、难度略低的材料时，阅读速度达到每分钟</w:t>
      </w:r>
      <w:r>
        <w:rPr>
          <w:rFonts w:ascii="宋体" w:hAnsi="宋体" w:cs="宋体"/>
          <w:kern w:val="0"/>
          <w:sz w:val="22"/>
        </w:rPr>
        <w:t>100</w:t>
      </w:r>
      <w:r>
        <w:rPr>
          <w:rFonts w:ascii="宋体" w:hAnsi="宋体" w:cs="宋体" w:hint="eastAsia"/>
          <w:kern w:val="0"/>
          <w:sz w:val="22"/>
        </w:rPr>
        <w:t>词，能基本读懂国内英文报刊，掌握中心意思，理解主要事实和有关细节。能读懂工作、生活中常见的应用文体的材料。能在阅读中使用有效的阅读方法。</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lastRenderedPageBreak/>
        <w:t>在阅读篇幅较长、难度略低、生词不超过总词数</w:t>
      </w:r>
      <w:r>
        <w:rPr>
          <w:rFonts w:ascii="宋体" w:hAnsi="宋体" w:cs="宋体"/>
          <w:kern w:val="0"/>
          <w:sz w:val="22"/>
        </w:rPr>
        <w:t>3</w:t>
      </w:r>
      <w:r>
        <w:rPr>
          <w:rFonts w:ascii="宋体" w:hAnsi="宋体" w:cs="宋体" w:hint="eastAsia"/>
          <w:kern w:val="0"/>
          <w:sz w:val="22"/>
        </w:rPr>
        <w:t>％的材料时，能掌握中心大意，抓住主要事实和有关细节，阅读速度达到每分钟</w:t>
      </w:r>
      <w:r>
        <w:rPr>
          <w:rFonts w:ascii="宋体" w:hAnsi="宋体" w:cs="宋体"/>
          <w:kern w:val="0"/>
          <w:sz w:val="22"/>
        </w:rPr>
        <w:t>90</w:t>
      </w:r>
      <w:r>
        <w:rPr>
          <w:rFonts w:ascii="宋体" w:hAnsi="宋体" w:cs="宋体" w:hint="eastAsia"/>
          <w:kern w:val="0"/>
          <w:sz w:val="22"/>
        </w:rPr>
        <w:t>词。</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 xml:space="preserve"> 4</w:t>
      </w:r>
      <w:r>
        <w:rPr>
          <w:rFonts w:ascii="宋体" w:hAnsi="宋体" w:cs="宋体" w:hint="eastAsia"/>
          <w:kern w:val="0"/>
          <w:sz w:val="22"/>
        </w:rPr>
        <w:t>．书面表达能力：能用常见的应用文体完成一般的写作任务，能描述个人经历、事件、观感、情感等，能就一般性话题或提纲在半小时内写出</w:t>
      </w:r>
      <w:r>
        <w:rPr>
          <w:rFonts w:ascii="宋体" w:hAnsi="宋体" w:cs="宋体"/>
          <w:kern w:val="0"/>
          <w:sz w:val="22"/>
        </w:rPr>
        <w:t>120</w:t>
      </w:r>
      <w:r>
        <w:rPr>
          <w:rFonts w:ascii="宋体" w:hAnsi="宋体" w:cs="宋体" w:hint="eastAsia"/>
          <w:kern w:val="0"/>
          <w:sz w:val="22"/>
        </w:rPr>
        <w:t>词的短文，内容基本完整、用词恰当，语篇连贯。能在一般或应用写作中使用恰当的写作技能。</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5</w:t>
      </w:r>
      <w:r>
        <w:rPr>
          <w:rFonts w:ascii="宋体" w:hAnsi="宋体" w:cs="宋体" w:hint="eastAsia"/>
          <w:kern w:val="0"/>
          <w:sz w:val="22"/>
        </w:rPr>
        <w:t>．翻译能力：能借助词典对题材熟悉的文章进行英汉互译，英汉译速为每小时</w:t>
      </w:r>
      <w:r>
        <w:rPr>
          <w:rFonts w:ascii="宋体" w:hAnsi="宋体" w:cs="宋体"/>
          <w:kern w:val="0"/>
          <w:sz w:val="22"/>
        </w:rPr>
        <w:t>300</w:t>
      </w:r>
      <w:r>
        <w:rPr>
          <w:rFonts w:ascii="宋体" w:hAnsi="宋体" w:cs="宋体" w:hint="eastAsia"/>
          <w:kern w:val="0"/>
          <w:sz w:val="22"/>
        </w:rPr>
        <w:t>英语单词，汉英译速为每小时</w:t>
      </w:r>
      <w:r>
        <w:rPr>
          <w:rFonts w:ascii="宋体" w:hAnsi="宋体" w:cs="宋体"/>
          <w:kern w:val="0"/>
          <w:sz w:val="22"/>
        </w:rPr>
        <w:t>200-250</w:t>
      </w:r>
      <w:r>
        <w:rPr>
          <w:rFonts w:ascii="宋体" w:hAnsi="宋体" w:cs="宋体" w:hint="eastAsia"/>
          <w:kern w:val="0"/>
          <w:sz w:val="22"/>
        </w:rPr>
        <w:t>个汉字译文基本流畅，能在翻译时使用适当的翻译技巧。</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6.</w:t>
      </w:r>
      <w:r>
        <w:rPr>
          <w:rFonts w:ascii="宋体" w:hAnsi="宋体" w:cs="宋体" w:hint="eastAsia"/>
          <w:kern w:val="0"/>
          <w:sz w:val="22"/>
        </w:rPr>
        <w:t>掌握词汇量：应达到</w:t>
      </w:r>
      <w:r>
        <w:rPr>
          <w:rFonts w:ascii="宋体" w:hAnsi="宋体" w:cs="宋体"/>
          <w:kern w:val="0"/>
          <w:sz w:val="22"/>
        </w:rPr>
        <w:t>4000</w:t>
      </w:r>
      <w:r>
        <w:rPr>
          <w:rFonts w:ascii="宋体" w:hAnsi="宋体" w:cs="宋体" w:hint="eastAsia"/>
          <w:kern w:val="0"/>
          <w:sz w:val="22"/>
        </w:rPr>
        <w:t>个单词和</w:t>
      </w:r>
      <w:r>
        <w:rPr>
          <w:rFonts w:ascii="宋体" w:hAnsi="宋体" w:cs="宋体"/>
          <w:kern w:val="0"/>
          <w:sz w:val="22"/>
        </w:rPr>
        <w:t>600</w:t>
      </w:r>
      <w:r>
        <w:rPr>
          <w:rFonts w:ascii="宋体" w:hAnsi="宋体" w:cs="宋体" w:hint="eastAsia"/>
          <w:kern w:val="0"/>
          <w:sz w:val="22"/>
        </w:rPr>
        <w:t>个词组，其中</w:t>
      </w:r>
      <w:r>
        <w:rPr>
          <w:rFonts w:ascii="宋体" w:hAnsi="宋体" w:cs="宋体"/>
          <w:kern w:val="0"/>
          <w:sz w:val="22"/>
        </w:rPr>
        <w:t>2000</w:t>
      </w:r>
      <w:r>
        <w:rPr>
          <w:rFonts w:ascii="宋体" w:hAnsi="宋体" w:cs="宋体" w:hint="eastAsia"/>
          <w:kern w:val="0"/>
          <w:sz w:val="22"/>
        </w:rPr>
        <w:t>个单词为积极词汇，即要求学生能够在认知的基础上学会熟练运用，包括在口头表达以及书面表达两个方面。</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一般要求是南通大学非英语专业本科毕业生应达到的基本要求，学生应达到测试成绩合格。</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较高要求：</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1</w:t>
      </w:r>
      <w:r>
        <w:rPr>
          <w:rFonts w:ascii="宋体" w:hAnsi="宋体" w:cs="宋体" w:hint="eastAsia"/>
          <w:kern w:val="0"/>
          <w:sz w:val="22"/>
        </w:rPr>
        <w:t>．听力理解能力：能够基本听懂来自英语国家人士的谈话和讲座，能听懂题材熟悉、篇幅较长的国内英语广播或电视节目，能够听懂我校英语广播电台所播放的英语学习节目，语速为每分钟</w:t>
      </w:r>
      <w:r>
        <w:rPr>
          <w:rFonts w:ascii="宋体" w:hAnsi="宋体" w:cs="宋体"/>
          <w:kern w:val="0"/>
          <w:sz w:val="22"/>
        </w:rPr>
        <w:t>140</w:t>
      </w:r>
      <w:r>
        <w:rPr>
          <w:rFonts w:ascii="宋体" w:hAnsi="宋体" w:cs="宋体" w:hint="eastAsia"/>
          <w:kern w:val="0"/>
          <w:sz w:val="22"/>
        </w:rPr>
        <w:t>词左右。能基本听懂外国专家用英语讲授的专业课程。能掌握其中心大意，抓住要点。</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2</w:t>
      </w:r>
      <w:r>
        <w:rPr>
          <w:rFonts w:ascii="宋体" w:hAnsi="宋体" w:cs="宋体" w:hint="eastAsia"/>
          <w:kern w:val="0"/>
          <w:sz w:val="22"/>
        </w:rPr>
        <w:t>．口语表达能力：能够和来自英语国家的人士进行比较流利的会话，较好地掌握会话策略，能基本表达个人意见、情感观点等，能基本陈述事实、事件、理由等，表达思想清楚，语音、语调基本正确。</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3</w:t>
      </w:r>
      <w:r>
        <w:rPr>
          <w:rFonts w:ascii="宋体" w:hAnsi="宋体" w:cs="宋体" w:hint="eastAsia"/>
          <w:kern w:val="0"/>
          <w:sz w:val="22"/>
        </w:rPr>
        <w:t>．阅读理解能力：能基本阅读英语国家报刊杂志的一般性题材的文章，阅读速度为每分钟</w:t>
      </w:r>
      <w:r>
        <w:rPr>
          <w:rFonts w:ascii="宋体" w:hAnsi="宋体" w:cs="宋体"/>
          <w:kern w:val="0"/>
          <w:sz w:val="22"/>
        </w:rPr>
        <w:t>80</w:t>
      </w:r>
      <w:r>
        <w:rPr>
          <w:rFonts w:ascii="宋体" w:hAnsi="宋体" w:cs="宋体" w:hint="eastAsia"/>
          <w:kern w:val="0"/>
          <w:sz w:val="22"/>
        </w:rPr>
        <w:t>词，在快速阅读篇幅较长的材料时，阅读速度达到每分钟</w:t>
      </w:r>
      <w:r>
        <w:rPr>
          <w:rFonts w:ascii="宋体" w:hAnsi="宋体" w:cs="宋体"/>
          <w:kern w:val="0"/>
          <w:sz w:val="22"/>
        </w:rPr>
        <w:t>120</w:t>
      </w:r>
      <w:r>
        <w:rPr>
          <w:rFonts w:ascii="宋体" w:hAnsi="宋体" w:cs="宋体" w:hint="eastAsia"/>
          <w:kern w:val="0"/>
          <w:sz w:val="22"/>
        </w:rPr>
        <w:t>词，能就阅读材料进行略读或寻读。能够基本读懂自己专业方面的综述性文献，并能正确理解中心大意，抓住主要事实和有关细节。</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4</w:t>
      </w:r>
      <w:r>
        <w:rPr>
          <w:rFonts w:ascii="宋体" w:hAnsi="宋体" w:cs="宋体" w:hint="eastAsia"/>
          <w:kern w:val="0"/>
          <w:sz w:val="22"/>
        </w:rPr>
        <w:t>．书面表达能力：能写日常应用文，能写自己专业论文的英语摘要，能借助参考资料写出与专业相关、结构基本清晰、内容较为丰富的报告和论文，能描写各种图表，能就一定的话题在半小时内写出</w:t>
      </w:r>
      <w:r>
        <w:rPr>
          <w:rFonts w:ascii="宋体" w:hAnsi="宋体" w:cs="宋体"/>
          <w:kern w:val="0"/>
          <w:sz w:val="22"/>
        </w:rPr>
        <w:t>160</w:t>
      </w:r>
      <w:r>
        <w:rPr>
          <w:rFonts w:ascii="宋体" w:hAnsi="宋体" w:cs="宋体" w:hint="eastAsia"/>
          <w:kern w:val="0"/>
          <w:sz w:val="22"/>
        </w:rPr>
        <w:t>词的短文，内容完整，条理清楚，文理通顺。</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5</w:t>
      </w:r>
      <w:r>
        <w:rPr>
          <w:rFonts w:ascii="宋体" w:hAnsi="宋体" w:cs="宋体" w:hint="eastAsia"/>
          <w:kern w:val="0"/>
          <w:sz w:val="22"/>
        </w:rPr>
        <w:t>．翻译能力：能借助词典翻译一般英美报刊上题材熟悉的文章，能摘译所学专业的英语科普文章，并能撰写所学专业的英语小论文。英汉译速为每小时</w:t>
      </w:r>
      <w:r>
        <w:rPr>
          <w:rFonts w:ascii="宋体" w:hAnsi="宋体" w:cs="宋体"/>
          <w:kern w:val="0"/>
          <w:sz w:val="22"/>
        </w:rPr>
        <w:t>350</w:t>
      </w:r>
      <w:r>
        <w:rPr>
          <w:rFonts w:ascii="宋体" w:hAnsi="宋体" w:cs="宋体" w:hint="eastAsia"/>
          <w:kern w:val="0"/>
          <w:sz w:val="22"/>
        </w:rPr>
        <w:t>英语单词，汉英译速为</w:t>
      </w:r>
      <w:r>
        <w:rPr>
          <w:rFonts w:ascii="宋体" w:hAnsi="宋体" w:cs="宋体"/>
          <w:kern w:val="0"/>
          <w:sz w:val="22"/>
        </w:rPr>
        <w:t>300</w:t>
      </w:r>
      <w:r>
        <w:rPr>
          <w:rFonts w:ascii="宋体" w:hAnsi="宋体" w:cs="宋体" w:hint="eastAsia"/>
          <w:kern w:val="0"/>
          <w:sz w:val="22"/>
        </w:rPr>
        <w:t>个汉字。译文基本通顺、达意，无重大语言错误。</w:t>
      </w:r>
      <w:r>
        <w:rPr>
          <w:rFonts w:ascii="宋体" w:hAnsi="宋体" w:cs="宋体"/>
          <w:kern w:val="0"/>
          <w:sz w:val="22"/>
        </w:rPr>
        <w:t xml:space="preserve">   </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 xml:space="preserve">6. </w:t>
      </w:r>
      <w:r>
        <w:rPr>
          <w:rFonts w:ascii="宋体" w:hAnsi="宋体" w:cs="宋体" w:hint="eastAsia"/>
          <w:kern w:val="0"/>
          <w:sz w:val="22"/>
        </w:rPr>
        <w:t>掌握词汇量：应达到</w:t>
      </w:r>
      <w:r>
        <w:rPr>
          <w:rFonts w:ascii="宋体" w:hAnsi="宋体" w:cs="宋体"/>
          <w:kern w:val="0"/>
          <w:sz w:val="22"/>
        </w:rPr>
        <w:t>5500</w:t>
      </w:r>
      <w:r>
        <w:rPr>
          <w:rFonts w:ascii="宋体" w:hAnsi="宋体" w:cs="宋体" w:hint="eastAsia"/>
          <w:kern w:val="0"/>
          <w:sz w:val="22"/>
        </w:rPr>
        <w:t>个单词和</w:t>
      </w:r>
      <w:r>
        <w:rPr>
          <w:rFonts w:ascii="宋体" w:hAnsi="宋体" w:cs="宋体"/>
          <w:kern w:val="0"/>
          <w:sz w:val="22"/>
        </w:rPr>
        <w:t>1200</w:t>
      </w:r>
      <w:r>
        <w:rPr>
          <w:rFonts w:ascii="宋体" w:hAnsi="宋体" w:cs="宋体" w:hint="eastAsia"/>
          <w:kern w:val="0"/>
          <w:sz w:val="22"/>
        </w:rPr>
        <w:t>个词组，其中</w:t>
      </w:r>
      <w:r>
        <w:rPr>
          <w:rFonts w:ascii="宋体" w:hAnsi="宋体" w:cs="宋体"/>
          <w:kern w:val="0"/>
          <w:sz w:val="22"/>
        </w:rPr>
        <w:t>2500</w:t>
      </w:r>
      <w:r>
        <w:rPr>
          <w:rFonts w:ascii="宋体" w:hAnsi="宋体" w:cs="宋体" w:hint="eastAsia"/>
          <w:kern w:val="0"/>
          <w:sz w:val="22"/>
        </w:rPr>
        <w:t>个单词为积极词汇。</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lastRenderedPageBreak/>
        <w:t>较高要求是针对经过测试达到一般要求的学生，该阶段学生须达到上述要求，并通过全国大学英语四级考试。</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2"/>
        <w:jc w:val="left"/>
        <w:rPr>
          <w:rFonts w:ascii="宋体" w:cs="宋体"/>
          <w:kern w:val="0"/>
          <w:sz w:val="24"/>
        </w:rPr>
      </w:pPr>
      <w:r>
        <w:rPr>
          <w:rFonts w:ascii="仿宋_GB2312" w:eastAsia="仿宋_GB2312" w:hAnsi="宋体" w:cs="宋体" w:hint="eastAsia"/>
          <w:b/>
          <w:kern w:val="0"/>
          <w:sz w:val="24"/>
        </w:rPr>
        <w:t>更高要求：</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1</w:t>
      </w:r>
      <w:r>
        <w:rPr>
          <w:rFonts w:ascii="宋体" w:hAnsi="宋体" w:cs="宋体" w:hint="eastAsia"/>
          <w:kern w:val="0"/>
          <w:sz w:val="22"/>
        </w:rPr>
        <w:t>．听力理解能力：能听懂内容稍长的对话、短文等，并在其结构较为复杂、观点较为隐含时也能理解要点。能基本听懂英语国家的广播电视节目。能听懂自己专业方面的讲座，并掌握其中心大意，抓住要点。</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2</w:t>
      </w:r>
      <w:r>
        <w:rPr>
          <w:rFonts w:ascii="宋体" w:hAnsi="宋体" w:cs="宋体" w:hint="eastAsia"/>
          <w:kern w:val="0"/>
          <w:sz w:val="22"/>
        </w:rPr>
        <w:t>．口语表达能力：能就一般或专业性的话题较为流利、准确地进行对话或讨论，能用简练的语言概括较长、语言稍难的文本或讲话，能在国际会议和专业交流中宣读论文并参加讨论。</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3</w:t>
      </w:r>
      <w:r>
        <w:rPr>
          <w:rFonts w:ascii="宋体" w:hAnsi="宋体" w:cs="宋体" w:hint="eastAsia"/>
          <w:kern w:val="0"/>
          <w:sz w:val="22"/>
        </w:rPr>
        <w:t>．阅读理解能力：</w:t>
      </w:r>
      <w:r>
        <w:rPr>
          <w:rFonts w:ascii="宋体" w:hAnsi="宋体" w:cs="宋体"/>
          <w:kern w:val="0"/>
          <w:sz w:val="22"/>
        </w:rPr>
        <w:t xml:space="preserve"> </w:t>
      </w:r>
      <w:r>
        <w:rPr>
          <w:rFonts w:ascii="宋体" w:hAnsi="宋体" w:cs="宋体" w:hint="eastAsia"/>
          <w:kern w:val="0"/>
          <w:sz w:val="22"/>
        </w:rPr>
        <w:t>能读懂有一定难度的文章，理解其意义，借助词典能阅读英语原版书籍和英语国家报刊杂志上的文章。能比较顺利地阅读自己专业有关的综述性文献。</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4</w:t>
      </w:r>
      <w:r>
        <w:rPr>
          <w:rFonts w:ascii="宋体" w:hAnsi="宋体" w:cs="宋体" w:hint="eastAsia"/>
          <w:kern w:val="0"/>
          <w:sz w:val="22"/>
        </w:rPr>
        <w:t>．书面表达能力：能就一般性主题比较自如地表达个人的观点，做到文章结构清晰、内容丰富、逻辑性强。能用英语撰写所学专业的技术报告、论文。能在半小时内写出</w:t>
      </w:r>
      <w:r>
        <w:rPr>
          <w:rFonts w:ascii="宋体" w:hAnsi="宋体" w:cs="宋体"/>
          <w:kern w:val="0"/>
          <w:sz w:val="22"/>
        </w:rPr>
        <w:t>200</w:t>
      </w:r>
      <w:r>
        <w:rPr>
          <w:rFonts w:ascii="宋体" w:hAnsi="宋体" w:cs="宋体" w:hint="eastAsia"/>
          <w:kern w:val="0"/>
          <w:sz w:val="22"/>
        </w:rPr>
        <w:t>词的说明文或议论文，内容完整，文理通顺，思想表达清楚。</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5</w:t>
      </w:r>
      <w:r>
        <w:rPr>
          <w:rFonts w:ascii="宋体" w:hAnsi="宋体" w:cs="宋体" w:hint="eastAsia"/>
          <w:kern w:val="0"/>
          <w:sz w:val="22"/>
        </w:rPr>
        <w:t>．翻译能力：</w:t>
      </w:r>
      <w:r>
        <w:rPr>
          <w:rFonts w:ascii="宋体" w:hAnsi="宋体" w:cs="宋体"/>
          <w:kern w:val="0"/>
          <w:sz w:val="22"/>
        </w:rPr>
        <w:t xml:space="preserve"> </w:t>
      </w:r>
      <w:r>
        <w:rPr>
          <w:rFonts w:ascii="宋体" w:hAnsi="宋体" w:cs="宋体" w:hint="eastAsia"/>
          <w:kern w:val="0"/>
          <w:sz w:val="22"/>
        </w:rPr>
        <w:t>能借助词典翻译英美报刊上有一定难度的科普、文化、评论等文章，能翻译反映中国国情或文化介绍性的文章。英汉译速为每小时</w:t>
      </w:r>
      <w:r>
        <w:rPr>
          <w:rFonts w:ascii="宋体" w:hAnsi="宋体" w:cs="宋体"/>
          <w:kern w:val="0"/>
          <w:sz w:val="22"/>
        </w:rPr>
        <w:t>400</w:t>
      </w:r>
      <w:r>
        <w:rPr>
          <w:rFonts w:ascii="宋体" w:hAnsi="宋体" w:cs="宋体" w:hint="eastAsia"/>
          <w:kern w:val="0"/>
          <w:sz w:val="22"/>
        </w:rPr>
        <w:t>英语单词，汉英译速为每小时</w:t>
      </w:r>
      <w:r>
        <w:rPr>
          <w:rFonts w:ascii="宋体" w:hAnsi="宋体" w:cs="宋体"/>
          <w:kern w:val="0"/>
          <w:sz w:val="22"/>
        </w:rPr>
        <w:t>350</w:t>
      </w:r>
      <w:r>
        <w:rPr>
          <w:rFonts w:ascii="宋体" w:hAnsi="宋体" w:cs="宋体" w:hint="eastAsia"/>
          <w:kern w:val="0"/>
          <w:sz w:val="22"/>
        </w:rPr>
        <w:t>个汉字，译文内容准确，基本无误译现象，文字通顺、达意，语言错误较少。</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kern w:val="0"/>
          <w:sz w:val="22"/>
        </w:rPr>
        <w:t>6</w:t>
      </w:r>
      <w:r>
        <w:rPr>
          <w:rFonts w:ascii="宋体" w:hAnsi="宋体" w:cs="宋体" w:hint="eastAsia"/>
          <w:kern w:val="0"/>
          <w:sz w:val="22"/>
        </w:rPr>
        <w:t>．掌握词汇量：应达到</w:t>
      </w:r>
      <w:r>
        <w:rPr>
          <w:rFonts w:ascii="宋体" w:hAnsi="宋体" w:cs="宋体"/>
          <w:kern w:val="0"/>
          <w:sz w:val="22"/>
        </w:rPr>
        <w:t>6500</w:t>
      </w:r>
      <w:r>
        <w:rPr>
          <w:rFonts w:ascii="宋体" w:hAnsi="宋体" w:cs="宋体" w:hint="eastAsia"/>
          <w:kern w:val="0"/>
          <w:sz w:val="22"/>
        </w:rPr>
        <w:t>个单词和</w:t>
      </w:r>
      <w:r>
        <w:rPr>
          <w:rFonts w:ascii="宋体" w:hAnsi="宋体" w:cs="宋体"/>
          <w:kern w:val="0"/>
          <w:sz w:val="22"/>
        </w:rPr>
        <w:t>1700</w:t>
      </w:r>
      <w:r>
        <w:rPr>
          <w:rFonts w:ascii="宋体" w:hAnsi="宋体" w:cs="宋体" w:hint="eastAsia"/>
          <w:kern w:val="0"/>
          <w:sz w:val="22"/>
        </w:rPr>
        <w:t>个词组，其中</w:t>
      </w:r>
      <w:r>
        <w:rPr>
          <w:rFonts w:ascii="宋体" w:hAnsi="宋体" w:cs="宋体"/>
          <w:kern w:val="0"/>
          <w:sz w:val="22"/>
        </w:rPr>
        <w:t>3000</w:t>
      </w:r>
      <w:r>
        <w:rPr>
          <w:rFonts w:ascii="宋体" w:hAnsi="宋体" w:cs="宋体" w:hint="eastAsia"/>
          <w:kern w:val="0"/>
          <w:sz w:val="22"/>
        </w:rPr>
        <w:t>个单词为积极词汇。</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更高要求是针对经过测试达到较高要求的学生，该阶段学生须达到上述要求，并通过全国大学英语四级考试，并完成大学英语课程的</w:t>
      </w:r>
      <w:r>
        <w:rPr>
          <w:rFonts w:ascii="宋体" w:hAnsi="宋体" w:cs="宋体"/>
          <w:kern w:val="0"/>
          <w:sz w:val="22"/>
        </w:rPr>
        <w:t>14</w:t>
      </w:r>
      <w:r>
        <w:rPr>
          <w:rFonts w:ascii="宋体" w:hAnsi="宋体" w:cs="宋体" w:hint="eastAsia"/>
          <w:kern w:val="0"/>
          <w:sz w:val="22"/>
        </w:rPr>
        <w:t>个学分。</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在上述三个层次的听、说、读、写、译等五种能力培养中，应特别重视听说能力的培养和训练。词汇的掌握也是提高听说能力及英语综合应用能力的基础，特别是积极词汇，并要在教学中应安排一定的跨文化交际的内容以提高学生的综合素质。</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五．课程设置</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40"/>
        <w:jc w:val="left"/>
        <w:rPr>
          <w:rFonts w:ascii="宋体" w:cs="宋体"/>
          <w:kern w:val="0"/>
          <w:sz w:val="22"/>
        </w:rPr>
      </w:pPr>
      <w:r>
        <w:rPr>
          <w:rFonts w:ascii="宋体" w:hAnsi="宋体" w:cs="宋体" w:hint="eastAsia"/>
          <w:kern w:val="0"/>
          <w:sz w:val="22"/>
        </w:rPr>
        <w:t>大学英语课程将综合英语类、语言技能类、语言应用类、语言文化类和专业英语等必修课程和选修课程有机结合，以确保不同层次的学生在英语应用能力方面得到充分的训练和提高。</w:t>
      </w:r>
    </w:p>
    <w:p w:rsidR="003717A0" w:rsidRDefault="003717A0" w:rsidP="00566E4D">
      <w:pPr>
        <w:pStyle w:val="1"/>
        <w:rPr>
          <w:rFonts w:ascii="宋体" w:cs="宋体"/>
          <w:b/>
          <w:kern w:val="0"/>
          <w:sz w:val="32"/>
          <w:szCs w:val="32"/>
        </w:rPr>
      </w:pPr>
      <w:r>
        <w:rPr>
          <w:rFonts w:ascii="仿宋_GB2312" w:eastAsia="仿宋_GB2312" w:hAnsi="宋体" w:cs="宋体"/>
          <w:b/>
          <w:kern w:val="0"/>
          <w:sz w:val="32"/>
          <w:szCs w:val="32"/>
        </w:rPr>
        <w:br w:type="page"/>
      </w:r>
      <w:bookmarkStart w:id="17" w:name="_Toc469312873"/>
      <w:bookmarkStart w:id="18" w:name="_Toc469312980"/>
      <w:bookmarkStart w:id="19" w:name="_Toc471830692"/>
      <w:r>
        <w:rPr>
          <w:rFonts w:hint="eastAsia"/>
        </w:rPr>
        <w:lastRenderedPageBreak/>
        <w:t>大学英语课程安排</w:t>
      </w:r>
      <w:bookmarkEnd w:id="17"/>
      <w:bookmarkEnd w:id="18"/>
      <w:bookmarkEnd w:id="19"/>
    </w:p>
    <w:tbl>
      <w:tblPr>
        <w:tblW w:w="8106"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3"/>
        <w:gridCol w:w="1299"/>
        <w:gridCol w:w="1041"/>
        <w:gridCol w:w="1119"/>
        <w:gridCol w:w="1800"/>
        <w:gridCol w:w="854"/>
      </w:tblGrid>
      <w:tr w:rsidR="003717A0">
        <w:trPr>
          <w:trHeight w:val="601"/>
          <w:jc w:val="center"/>
        </w:trPr>
        <w:tc>
          <w:tcPr>
            <w:tcW w:w="1993"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b/>
                <w:kern w:val="0"/>
                <w:sz w:val="24"/>
              </w:rPr>
              <w:t>课程名称</w:t>
            </w:r>
          </w:p>
        </w:tc>
        <w:tc>
          <w:tcPr>
            <w:tcW w:w="129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b/>
                <w:kern w:val="0"/>
                <w:sz w:val="24"/>
              </w:rPr>
              <w:t>学分</w:t>
            </w:r>
          </w:p>
        </w:tc>
        <w:tc>
          <w:tcPr>
            <w:tcW w:w="1041"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b/>
                <w:kern w:val="0"/>
                <w:sz w:val="24"/>
              </w:rPr>
              <w:t>总学时</w:t>
            </w:r>
          </w:p>
        </w:tc>
        <w:tc>
          <w:tcPr>
            <w:tcW w:w="111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b/>
                <w:kern w:val="0"/>
                <w:sz w:val="24"/>
              </w:rPr>
              <w:t>周学时</w:t>
            </w:r>
          </w:p>
        </w:tc>
        <w:tc>
          <w:tcPr>
            <w:tcW w:w="1800"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b/>
                <w:kern w:val="0"/>
                <w:sz w:val="24"/>
              </w:rPr>
              <w:t>开课学期</w:t>
            </w:r>
          </w:p>
        </w:tc>
        <w:tc>
          <w:tcPr>
            <w:tcW w:w="854"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b/>
                <w:kern w:val="0"/>
                <w:sz w:val="24"/>
              </w:rPr>
              <w:t>备注</w:t>
            </w:r>
          </w:p>
        </w:tc>
      </w:tr>
      <w:tr w:rsidR="003717A0">
        <w:trPr>
          <w:jc w:val="center"/>
        </w:trPr>
        <w:tc>
          <w:tcPr>
            <w:tcW w:w="1993"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kern w:val="0"/>
                <w:sz w:val="24"/>
              </w:rPr>
              <w:t>大学英语Ⅰ</w:t>
            </w:r>
          </w:p>
        </w:tc>
        <w:tc>
          <w:tcPr>
            <w:tcW w:w="129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w:t>
            </w:r>
          </w:p>
        </w:tc>
        <w:tc>
          <w:tcPr>
            <w:tcW w:w="1041"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72</w:t>
            </w:r>
          </w:p>
        </w:tc>
        <w:tc>
          <w:tcPr>
            <w:tcW w:w="111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w:t>
            </w:r>
          </w:p>
        </w:tc>
        <w:tc>
          <w:tcPr>
            <w:tcW w:w="1800"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1</w:t>
            </w:r>
          </w:p>
        </w:tc>
        <w:tc>
          <w:tcPr>
            <w:tcW w:w="854" w:type="dxa"/>
            <w:vMerge w:val="restart"/>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kern w:val="0"/>
                <w:sz w:val="24"/>
              </w:rPr>
              <w:t>必修</w:t>
            </w:r>
          </w:p>
        </w:tc>
      </w:tr>
      <w:tr w:rsidR="003717A0">
        <w:trPr>
          <w:jc w:val="center"/>
        </w:trPr>
        <w:tc>
          <w:tcPr>
            <w:tcW w:w="1993"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kern w:val="0"/>
                <w:sz w:val="24"/>
              </w:rPr>
              <w:t>大学英语Ⅱ</w:t>
            </w:r>
          </w:p>
        </w:tc>
        <w:tc>
          <w:tcPr>
            <w:tcW w:w="129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w:t>
            </w:r>
          </w:p>
        </w:tc>
        <w:tc>
          <w:tcPr>
            <w:tcW w:w="1041"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72</w:t>
            </w:r>
          </w:p>
        </w:tc>
        <w:tc>
          <w:tcPr>
            <w:tcW w:w="111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w:t>
            </w:r>
          </w:p>
        </w:tc>
        <w:tc>
          <w:tcPr>
            <w:tcW w:w="1800"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2</w:t>
            </w:r>
          </w:p>
        </w:tc>
        <w:tc>
          <w:tcPr>
            <w:tcW w:w="854" w:type="dxa"/>
            <w:vMerge/>
            <w:vAlign w:val="center"/>
          </w:tcPr>
          <w:p w:rsidR="003717A0" w:rsidRDefault="003717A0">
            <w:pPr>
              <w:widowControl/>
              <w:jc w:val="left"/>
              <w:rPr>
                <w:rFonts w:ascii="宋体" w:cs="宋体"/>
                <w:kern w:val="0"/>
                <w:sz w:val="24"/>
              </w:rPr>
            </w:pPr>
          </w:p>
        </w:tc>
      </w:tr>
      <w:tr w:rsidR="003717A0">
        <w:trPr>
          <w:jc w:val="center"/>
        </w:trPr>
        <w:tc>
          <w:tcPr>
            <w:tcW w:w="1993"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kern w:val="0"/>
                <w:sz w:val="24"/>
              </w:rPr>
              <w:t>大学英语Ⅲ</w:t>
            </w:r>
          </w:p>
        </w:tc>
        <w:tc>
          <w:tcPr>
            <w:tcW w:w="129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3</w:t>
            </w:r>
          </w:p>
        </w:tc>
        <w:tc>
          <w:tcPr>
            <w:tcW w:w="1041"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48</w:t>
            </w:r>
          </w:p>
        </w:tc>
        <w:tc>
          <w:tcPr>
            <w:tcW w:w="111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3</w:t>
            </w:r>
          </w:p>
        </w:tc>
        <w:tc>
          <w:tcPr>
            <w:tcW w:w="1800"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3</w:t>
            </w:r>
          </w:p>
        </w:tc>
        <w:tc>
          <w:tcPr>
            <w:tcW w:w="854" w:type="dxa"/>
            <w:vMerge/>
            <w:vAlign w:val="center"/>
          </w:tcPr>
          <w:p w:rsidR="003717A0" w:rsidRDefault="003717A0">
            <w:pPr>
              <w:widowControl/>
              <w:jc w:val="left"/>
              <w:rPr>
                <w:rFonts w:ascii="宋体" w:cs="宋体"/>
                <w:kern w:val="0"/>
                <w:sz w:val="24"/>
              </w:rPr>
            </w:pPr>
          </w:p>
        </w:tc>
      </w:tr>
      <w:tr w:rsidR="003717A0">
        <w:trPr>
          <w:jc w:val="center"/>
        </w:trPr>
        <w:tc>
          <w:tcPr>
            <w:tcW w:w="1993"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hint="eastAsia"/>
                <w:kern w:val="0"/>
                <w:sz w:val="24"/>
              </w:rPr>
              <w:t>大学英语Ⅳ＊</w:t>
            </w:r>
          </w:p>
        </w:tc>
        <w:tc>
          <w:tcPr>
            <w:tcW w:w="129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3</w:t>
            </w:r>
          </w:p>
        </w:tc>
        <w:tc>
          <w:tcPr>
            <w:tcW w:w="1041"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48</w:t>
            </w:r>
          </w:p>
        </w:tc>
        <w:tc>
          <w:tcPr>
            <w:tcW w:w="1119"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3</w:t>
            </w:r>
          </w:p>
        </w:tc>
        <w:tc>
          <w:tcPr>
            <w:tcW w:w="1800" w:type="dxa"/>
            <w:vAlign w:val="center"/>
          </w:tcPr>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cs="宋体"/>
                <w:kern w:val="0"/>
                <w:sz w:val="24"/>
              </w:rPr>
            </w:pPr>
            <w:r>
              <w:rPr>
                <w:rFonts w:ascii="仿宋_GB2312" w:eastAsia="仿宋_GB2312" w:hAnsi="宋体" w:cs="宋体"/>
                <w:kern w:val="0"/>
                <w:sz w:val="24"/>
              </w:rPr>
              <w:t>4</w:t>
            </w:r>
          </w:p>
        </w:tc>
        <w:tc>
          <w:tcPr>
            <w:tcW w:w="854" w:type="dxa"/>
            <w:vMerge/>
            <w:vAlign w:val="center"/>
          </w:tcPr>
          <w:p w:rsidR="003717A0" w:rsidRDefault="003717A0">
            <w:pPr>
              <w:widowControl/>
              <w:jc w:val="left"/>
              <w:rPr>
                <w:rFonts w:ascii="宋体" w:cs="宋体"/>
                <w:kern w:val="0"/>
                <w:sz w:val="24"/>
              </w:rPr>
            </w:pPr>
          </w:p>
        </w:tc>
      </w:tr>
    </w:tbl>
    <w:p w:rsidR="003717A0" w:rsidRDefault="003717A0">
      <w:pPr>
        <w:widowControl/>
        <w:spacing w:line="360" w:lineRule="auto"/>
        <w:jc w:val="left"/>
        <w:rPr>
          <w:rFonts w:ascii="宋体" w:cs="宋体"/>
          <w:kern w:val="0"/>
          <w:sz w:val="24"/>
        </w:rPr>
      </w:pPr>
      <w:r>
        <w:rPr>
          <w:rFonts w:ascii="宋体" w:hAnsi="宋体" w:cs="宋体" w:hint="eastAsia"/>
          <w:kern w:val="0"/>
          <w:sz w:val="24"/>
        </w:rPr>
        <w:t>注：大学英语Ⅳ＊是指针对未过四级的学生和过了四级的学生开设不同的课程：未过四级的学生必修“大学英语Ⅳ”；对于过了四级的学生，“基础学术英语（写作）”为指定选修课程；同时，学生针对自己的专业从“基础学术英语（人文社科）”、“基础学术英语（经济管理）”、“基础学术英语（理工）”和“基础学术英语（医学）”中选择一门，修得相应学分。</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六．教学模式</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改革传统的以教师为中心、课堂讲授为主的程序化、单一化的被动教学模式，采用在教师引导下，以学生为主体，强调师生互动，以自主学习和个性化学习方式为标志的新教学模式。大学英语的教学采用课堂教学与网络教学相结合、教师讲授和组织操练相结合、教师课堂面授指导和学生自主学习相结合的基本模式。创设基于网络和多媒体教学的弹性学习环境，建立“外语自主学习中心”，使英语学习朝着个性化学习、主动式学习的方向发展，实现从以教师为中心、单纯传授语言知识和技能的教学模式向以学生为中心，既传授一般的语言知识与技能，更培养语言运用能力和自主学习能力的教学模式的转变。</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积极推广采用建立在现代教育技术和网络多媒体应用基础上的，以教师指导、学生自主、双向互动为基本特征的研究性教学方法。通过教学方法改革，促进封闭性教学方式向自主式、开放式的学习方式转化；浅层学习方法向深层学习方法转化；单一学习方式向多元学习方式转化；语言知识向语言技能转化；知识学习向能力培养转化。通过主题式教学、合作式学习、网络探索式学习、学习策略培养等多种教学形式，辅以个人自主学习、小组讨论学习、大班讨论学习、网络论坛交流等多种教学活动，充分挖掘学生自主学习潜力，从而促进学生学习能力的提高，实现由浅层的知识学习向深层的应用与实践能力的转化。</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lastRenderedPageBreak/>
        <w:t>大学英语课程在一、二年级开设，总教学时数为</w:t>
      </w:r>
      <w:r>
        <w:rPr>
          <w:rFonts w:ascii="宋体" w:hAnsi="宋体" w:cs="宋体"/>
          <w:kern w:val="0"/>
          <w:sz w:val="24"/>
        </w:rPr>
        <w:t>240</w:t>
      </w:r>
      <w:r>
        <w:rPr>
          <w:rFonts w:ascii="宋体" w:hAnsi="宋体" w:cs="宋体" w:hint="eastAsia"/>
          <w:kern w:val="0"/>
          <w:sz w:val="24"/>
        </w:rPr>
        <w:t>学时，共</w:t>
      </w:r>
      <w:r>
        <w:rPr>
          <w:rFonts w:ascii="宋体" w:hAnsi="宋体" w:cs="宋体"/>
          <w:kern w:val="0"/>
          <w:sz w:val="24"/>
        </w:rPr>
        <w:t>18</w:t>
      </w:r>
      <w:r>
        <w:rPr>
          <w:rFonts w:ascii="宋体" w:hAnsi="宋体" w:cs="宋体" w:hint="eastAsia"/>
          <w:kern w:val="0"/>
          <w:sz w:val="24"/>
        </w:rPr>
        <w:t>学分，其中课内</w:t>
      </w:r>
      <w:r>
        <w:rPr>
          <w:rFonts w:ascii="宋体" w:hAnsi="宋体" w:cs="宋体"/>
          <w:kern w:val="0"/>
          <w:sz w:val="24"/>
        </w:rPr>
        <w:t>14</w:t>
      </w:r>
      <w:r>
        <w:rPr>
          <w:rFonts w:ascii="宋体" w:hAnsi="宋体" w:cs="宋体" w:hint="eastAsia"/>
          <w:kern w:val="0"/>
          <w:sz w:val="24"/>
        </w:rPr>
        <w:t>学分，网络自主学习</w:t>
      </w:r>
      <w:r>
        <w:rPr>
          <w:rFonts w:ascii="宋体" w:hAnsi="宋体" w:cs="宋体"/>
          <w:kern w:val="0"/>
          <w:sz w:val="24"/>
        </w:rPr>
        <w:t>4</w:t>
      </w:r>
      <w:r>
        <w:rPr>
          <w:rFonts w:ascii="宋体" w:hAnsi="宋体" w:cs="宋体" w:hint="eastAsia"/>
          <w:kern w:val="0"/>
          <w:sz w:val="24"/>
        </w:rPr>
        <w:t>学分。一年级采用“</w:t>
      </w:r>
      <w:r>
        <w:rPr>
          <w:rFonts w:ascii="宋体" w:hAnsi="宋体" w:cs="宋体"/>
          <w:kern w:val="0"/>
          <w:sz w:val="24"/>
        </w:rPr>
        <w:t>3+X1+X2</w:t>
      </w:r>
      <w:r>
        <w:rPr>
          <w:rFonts w:ascii="宋体" w:hAnsi="宋体" w:cs="宋体" w:hint="eastAsia"/>
          <w:kern w:val="0"/>
          <w:sz w:val="24"/>
        </w:rPr>
        <w:t>”课程模式；二年级采用“</w:t>
      </w:r>
      <w:r>
        <w:rPr>
          <w:rFonts w:ascii="宋体" w:hAnsi="宋体" w:cs="宋体"/>
          <w:kern w:val="0"/>
          <w:sz w:val="24"/>
        </w:rPr>
        <w:t>2+X1+X2</w:t>
      </w:r>
      <w:r>
        <w:rPr>
          <w:rFonts w:ascii="宋体" w:hAnsi="宋体" w:cs="宋体" w:hint="eastAsia"/>
          <w:kern w:val="0"/>
          <w:sz w:val="24"/>
        </w:rPr>
        <w:t>”课程模式，其中：</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w:t>
      </w:r>
      <w:r>
        <w:rPr>
          <w:rFonts w:ascii="宋体" w:hAnsi="宋体" w:cs="宋体"/>
          <w:kern w:val="0"/>
          <w:sz w:val="24"/>
        </w:rPr>
        <w:t>3</w:t>
      </w:r>
      <w:r>
        <w:rPr>
          <w:rFonts w:ascii="宋体" w:hAnsi="宋体" w:cs="宋体" w:hint="eastAsia"/>
          <w:kern w:val="0"/>
          <w:sz w:val="24"/>
        </w:rPr>
        <w:t>”或“</w:t>
      </w:r>
      <w:r>
        <w:rPr>
          <w:rFonts w:ascii="宋体" w:hAnsi="宋体" w:cs="宋体"/>
          <w:kern w:val="0"/>
          <w:sz w:val="24"/>
        </w:rPr>
        <w:t>2</w:t>
      </w:r>
      <w:r>
        <w:rPr>
          <w:rFonts w:ascii="宋体" w:hAnsi="宋体" w:cs="宋体" w:hint="eastAsia"/>
          <w:kern w:val="0"/>
          <w:sz w:val="24"/>
        </w:rPr>
        <w:t>”：为课堂教学形式，每周</w:t>
      </w:r>
      <w:r>
        <w:rPr>
          <w:rFonts w:ascii="宋体" w:hAnsi="宋体" w:cs="宋体"/>
          <w:kern w:val="0"/>
          <w:sz w:val="24"/>
        </w:rPr>
        <w:t>3</w:t>
      </w:r>
      <w:r>
        <w:rPr>
          <w:rFonts w:ascii="宋体" w:hAnsi="宋体" w:cs="宋体" w:hint="eastAsia"/>
          <w:kern w:val="0"/>
          <w:sz w:val="24"/>
        </w:rPr>
        <w:t>学时或每周</w:t>
      </w:r>
      <w:r>
        <w:rPr>
          <w:rFonts w:ascii="宋体" w:hAnsi="宋体" w:cs="宋体"/>
          <w:kern w:val="0"/>
          <w:sz w:val="24"/>
        </w:rPr>
        <w:t>2</w:t>
      </w:r>
      <w:r>
        <w:rPr>
          <w:rFonts w:ascii="宋体" w:hAnsi="宋体" w:cs="宋体" w:hint="eastAsia"/>
          <w:kern w:val="0"/>
          <w:sz w:val="24"/>
        </w:rPr>
        <w:t>学时，计</w:t>
      </w:r>
      <w:r>
        <w:rPr>
          <w:rFonts w:ascii="宋体" w:hAnsi="宋体" w:cs="宋体"/>
          <w:kern w:val="0"/>
          <w:sz w:val="24"/>
        </w:rPr>
        <w:t>3</w:t>
      </w:r>
      <w:r>
        <w:rPr>
          <w:rFonts w:ascii="宋体" w:hAnsi="宋体" w:cs="宋体" w:hint="eastAsia"/>
          <w:kern w:val="0"/>
          <w:sz w:val="24"/>
        </w:rPr>
        <w:t>或</w:t>
      </w:r>
      <w:r>
        <w:rPr>
          <w:rFonts w:ascii="宋体" w:hAnsi="宋体" w:cs="宋体"/>
          <w:kern w:val="0"/>
          <w:sz w:val="24"/>
        </w:rPr>
        <w:t>2</w:t>
      </w:r>
      <w:r>
        <w:rPr>
          <w:rFonts w:ascii="宋体" w:hAnsi="宋体" w:cs="宋体" w:hint="eastAsia"/>
          <w:kern w:val="0"/>
          <w:sz w:val="24"/>
        </w:rPr>
        <w:t>学分。主要根据教学大纲的要求，组织进行英语口语训练；</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w:t>
      </w:r>
      <w:r>
        <w:rPr>
          <w:rFonts w:ascii="宋体" w:hAnsi="宋体" w:cs="宋体"/>
          <w:kern w:val="0"/>
          <w:sz w:val="24"/>
        </w:rPr>
        <w:t>X1</w:t>
      </w:r>
      <w:r>
        <w:rPr>
          <w:rFonts w:ascii="宋体" w:hAnsi="宋体" w:cs="宋体" w:hint="eastAsia"/>
          <w:kern w:val="0"/>
          <w:sz w:val="24"/>
        </w:rPr>
        <w:t>”：为网络导读形式，每两周一次，每次</w:t>
      </w:r>
      <w:r>
        <w:rPr>
          <w:rFonts w:ascii="宋体" w:hAnsi="宋体" w:cs="宋体"/>
          <w:kern w:val="0"/>
          <w:sz w:val="24"/>
        </w:rPr>
        <w:t>2</w:t>
      </w:r>
      <w:r>
        <w:rPr>
          <w:rFonts w:ascii="宋体" w:hAnsi="宋体" w:cs="宋体" w:hint="eastAsia"/>
          <w:kern w:val="0"/>
          <w:sz w:val="24"/>
        </w:rPr>
        <w:t>学时，计</w:t>
      </w:r>
      <w:r>
        <w:rPr>
          <w:rFonts w:ascii="宋体" w:hAnsi="宋体" w:cs="宋体"/>
          <w:kern w:val="0"/>
          <w:sz w:val="24"/>
        </w:rPr>
        <w:t>1</w:t>
      </w:r>
      <w:r>
        <w:rPr>
          <w:rFonts w:ascii="宋体" w:hAnsi="宋体" w:cs="宋体" w:hint="eastAsia"/>
          <w:kern w:val="0"/>
          <w:sz w:val="24"/>
        </w:rPr>
        <w:t>学分。根据教学大纲和学习进程要求，学生集中在外语自主学习中心进行网络自主学习，任课教师进行集中面授、辅导和答疑，随时掌握学生自学进度，布置课外学习任务，并监控学生的学习过程和练习情况。</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w:t>
      </w:r>
      <w:r>
        <w:rPr>
          <w:rFonts w:ascii="宋体" w:hAnsi="宋体" w:cs="宋体"/>
          <w:kern w:val="0"/>
          <w:sz w:val="24"/>
        </w:rPr>
        <w:t>X2</w:t>
      </w:r>
      <w:r>
        <w:rPr>
          <w:rFonts w:ascii="宋体" w:hAnsi="宋体" w:cs="宋体" w:hint="eastAsia"/>
          <w:kern w:val="0"/>
          <w:sz w:val="24"/>
        </w:rPr>
        <w:t>”：为学生课外网络自主学习，每周不少于</w:t>
      </w:r>
      <w:r>
        <w:rPr>
          <w:rFonts w:ascii="宋体" w:hAnsi="宋体" w:cs="宋体"/>
          <w:kern w:val="0"/>
          <w:sz w:val="24"/>
        </w:rPr>
        <w:t>4</w:t>
      </w:r>
      <w:r>
        <w:rPr>
          <w:rFonts w:ascii="宋体" w:hAnsi="宋体" w:cs="宋体" w:hint="eastAsia"/>
          <w:kern w:val="0"/>
          <w:sz w:val="24"/>
        </w:rPr>
        <w:t>小时，计</w:t>
      </w:r>
      <w:r>
        <w:rPr>
          <w:rFonts w:ascii="宋体" w:hAnsi="宋体" w:cs="宋体"/>
          <w:kern w:val="0"/>
          <w:sz w:val="24"/>
        </w:rPr>
        <w:t>1</w:t>
      </w:r>
      <w:r>
        <w:rPr>
          <w:rFonts w:ascii="宋体" w:hAnsi="宋体" w:cs="宋体" w:hint="eastAsia"/>
          <w:kern w:val="0"/>
          <w:sz w:val="24"/>
        </w:rPr>
        <w:t>学分。学生利用校园网、机房、自主学习室等网络教学平台及英语资源库进行网络自主学习。学生根据教学要求，在教师的指导下，自主设定网络学习目标，合理安排网络学习进程，完成教师所布置的单元测试、阅读、写作、听力等任务，网络平台系统自动评分和记录分析。学生的自主学习成绩以及学生上网时数均作为形成性评价的重要指标。</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七．教学评价</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教学评价是大学英语教学的重要环节之一，全面、客观、科学、准确的多元评价体系对于实现课程教学目标至关重要。新的评价方法主要采用形成性评价和终结性评价相结合的方法，强调对学生学习过程的评价和英语听说能力的考核。</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形成性评价包括学生自我评价、学生相互间的评价、教师对学生的评价等。通过课堂活动和课外活动的记录、网上自主学习记录、学习档案记录、访谈和座谈等形式对学生学习过程进行观察、评价和监督，促进学生有效地学习。教师通过听写、英汉互译、写作、小测验、期中考试、课堂问答、作业、泛听、预习、上机学习与参与课内外语言实践活动等情况评定学生平时成绩。终结性评价以学校统一命题的期末考试为主要形式，包括口语考试和综合英语考试。</w:t>
      </w:r>
    </w:p>
    <w:p w:rsidR="003717A0" w:rsidRDefault="003717A0">
      <w:pPr>
        <w:widowControl/>
        <w:spacing w:line="360" w:lineRule="auto"/>
        <w:ind w:firstLineChars="200" w:firstLine="480"/>
        <w:jc w:val="left"/>
        <w:rPr>
          <w:rFonts w:ascii="宋体" w:cs="宋体"/>
          <w:kern w:val="0"/>
          <w:sz w:val="24"/>
        </w:rPr>
      </w:pP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具体表现为：</w:t>
      </w:r>
    </w:p>
    <w:p w:rsidR="003717A0" w:rsidRDefault="003717A0">
      <w:pPr>
        <w:widowControl/>
        <w:spacing w:line="360" w:lineRule="auto"/>
        <w:ind w:firstLineChars="200" w:firstLine="480"/>
        <w:jc w:val="left"/>
        <w:rPr>
          <w:rFonts w:ascii="宋体" w:cs="宋体"/>
          <w:kern w:val="0"/>
          <w:sz w:val="24"/>
        </w:rPr>
      </w:pPr>
      <w:r>
        <w:rPr>
          <w:rFonts w:ascii="宋体" w:hAnsi="宋体" w:cs="宋体"/>
          <w:kern w:val="0"/>
          <w:sz w:val="24"/>
        </w:rPr>
        <w:t>1</w:t>
      </w:r>
      <w:r>
        <w:rPr>
          <w:rFonts w:ascii="宋体" w:hAnsi="宋体" w:cs="宋体" w:hint="eastAsia"/>
          <w:kern w:val="0"/>
          <w:sz w:val="24"/>
        </w:rPr>
        <w:t>）（普通非英语专业学生）学期综合成绩</w:t>
      </w:r>
      <w:r>
        <w:rPr>
          <w:rFonts w:ascii="宋体" w:hAnsi="宋体" w:cs="宋体"/>
          <w:kern w:val="0"/>
          <w:sz w:val="24"/>
        </w:rPr>
        <w:t xml:space="preserve">= </w:t>
      </w:r>
      <w:r>
        <w:rPr>
          <w:rFonts w:ascii="宋体" w:hAnsi="宋体" w:cs="宋体" w:hint="eastAsia"/>
          <w:kern w:val="0"/>
          <w:sz w:val="24"/>
        </w:rPr>
        <w:t>平时成绩（</w:t>
      </w:r>
      <w:r>
        <w:rPr>
          <w:rFonts w:ascii="宋体" w:hAnsi="宋体" w:cs="宋体"/>
          <w:kern w:val="0"/>
          <w:sz w:val="24"/>
        </w:rPr>
        <w:t>50%</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期末成绩（</w:t>
      </w:r>
      <w:r>
        <w:rPr>
          <w:rFonts w:ascii="宋体" w:hAnsi="宋体" w:cs="宋体"/>
          <w:kern w:val="0"/>
          <w:sz w:val="24"/>
        </w:rPr>
        <w:t>40%</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口语考试成绩（</w:t>
      </w:r>
      <w:r>
        <w:rPr>
          <w:rFonts w:ascii="宋体" w:hAnsi="宋体" w:cs="宋体"/>
          <w:kern w:val="0"/>
          <w:sz w:val="24"/>
        </w:rPr>
        <w:t>10%</w:t>
      </w:r>
      <w:r>
        <w:rPr>
          <w:rFonts w:ascii="宋体" w:hAnsi="宋体" w:cs="宋体" w:hint="eastAsia"/>
          <w:kern w:val="0"/>
          <w:sz w:val="24"/>
        </w:rPr>
        <w:t>）</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其中：平时成绩</w:t>
      </w:r>
      <w:r>
        <w:rPr>
          <w:rFonts w:ascii="宋体" w:hAnsi="宋体" w:cs="宋体"/>
          <w:kern w:val="0"/>
          <w:sz w:val="24"/>
        </w:rPr>
        <w:t>=</w:t>
      </w:r>
      <w:r>
        <w:rPr>
          <w:rFonts w:ascii="宋体" w:hAnsi="宋体" w:cs="宋体" w:hint="eastAsia"/>
          <w:kern w:val="0"/>
          <w:sz w:val="24"/>
        </w:rPr>
        <w:t>小测验（</w:t>
      </w:r>
      <w:r>
        <w:rPr>
          <w:rFonts w:ascii="宋体" w:hAnsi="宋体" w:cs="宋体"/>
          <w:kern w:val="0"/>
          <w:sz w:val="24"/>
        </w:rPr>
        <w:t>10%</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课堂表现（</w:t>
      </w:r>
      <w:r>
        <w:rPr>
          <w:rFonts w:ascii="宋体" w:hAnsi="宋体" w:cs="宋体"/>
          <w:kern w:val="0"/>
          <w:sz w:val="24"/>
        </w:rPr>
        <w:t>10%</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写作练习（</w:t>
      </w:r>
      <w:r>
        <w:rPr>
          <w:rFonts w:ascii="宋体" w:hAnsi="宋体" w:cs="宋体"/>
          <w:kern w:val="0"/>
          <w:sz w:val="24"/>
        </w:rPr>
        <w:t>10%</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网络课程作业（</w:t>
      </w:r>
      <w:r>
        <w:rPr>
          <w:rFonts w:ascii="宋体" w:hAnsi="宋体" w:cs="宋体"/>
          <w:kern w:val="0"/>
          <w:sz w:val="24"/>
        </w:rPr>
        <w:t>10%</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课外上网时长（</w:t>
      </w:r>
      <w:r>
        <w:rPr>
          <w:rFonts w:ascii="宋体" w:hAnsi="宋体" w:cs="宋体"/>
          <w:kern w:val="0"/>
          <w:sz w:val="24"/>
        </w:rPr>
        <w:t>10%</w:t>
      </w:r>
      <w:r>
        <w:rPr>
          <w:rFonts w:ascii="宋体" w:hAnsi="宋体" w:cs="宋体" w:hint="eastAsia"/>
          <w:kern w:val="0"/>
          <w:sz w:val="24"/>
        </w:rPr>
        <w:t>）</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lastRenderedPageBreak/>
        <w:t>口语成绩由各年级教研室在每学期期末组织考试给出。</w:t>
      </w:r>
    </w:p>
    <w:p w:rsidR="003717A0" w:rsidRDefault="003717A0">
      <w:pPr>
        <w:widowControl/>
        <w:spacing w:line="360" w:lineRule="auto"/>
        <w:ind w:firstLineChars="200" w:firstLine="480"/>
        <w:jc w:val="left"/>
        <w:rPr>
          <w:rFonts w:ascii="宋体" w:cs="宋体"/>
          <w:kern w:val="0"/>
          <w:sz w:val="24"/>
        </w:rPr>
      </w:pPr>
      <w:r>
        <w:rPr>
          <w:rFonts w:ascii="宋体" w:cs="宋体"/>
          <w:kern w:val="0"/>
          <w:sz w:val="24"/>
        </w:rPr>
        <w:t> </w:t>
      </w:r>
    </w:p>
    <w:p w:rsidR="003717A0" w:rsidRDefault="003717A0">
      <w:pPr>
        <w:widowControl/>
        <w:spacing w:line="360" w:lineRule="auto"/>
        <w:ind w:firstLineChars="200" w:firstLine="480"/>
        <w:jc w:val="left"/>
        <w:rPr>
          <w:rFonts w:ascii="宋体" w:cs="宋体"/>
          <w:kern w:val="0"/>
          <w:sz w:val="24"/>
        </w:rPr>
      </w:pPr>
      <w:r>
        <w:rPr>
          <w:rFonts w:ascii="宋体" w:hAnsi="宋体" w:cs="宋体"/>
          <w:kern w:val="0"/>
          <w:sz w:val="24"/>
        </w:rPr>
        <w:t>2</w:t>
      </w:r>
      <w:r>
        <w:rPr>
          <w:rFonts w:ascii="宋体" w:hAnsi="宋体" w:cs="宋体" w:hint="eastAsia"/>
          <w:kern w:val="0"/>
          <w:sz w:val="24"/>
        </w:rPr>
        <w:t>）（体音美专业学生）学期综合成绩</w:t>
      </w:r>
      <w:r>
        <w:rPr>
          <w:rFonts w:ascii="宋体" w:hAnsi="宋体" w:cs="宋体"/>
          <w:kern w:val="0"/>
          <w:sz w:val="24"/>
        </w:rPr>
        <w:t xml:space="preserve">= </w:t>
      </w:r>
      <w:r>
        <w:rPr>
          <w:rFonts w:ascii="宋体" w:hAnsi="宋体" w:cs="宋体" w:hint="eastAsia"/>
          <w:kern w:val="0"/>
          <w:sz w:val="24"/>
        </w:rPr>
        <w:t>平时成绩（</w:t>
      </w:r>
      <w:r>
        <w:rPr>
          <w:rFonts w:ascii="宋体" w:hAnsi="宋体" w:cs="宋体"/>
          <w:kern w:val="0"/>
          <w:sz w:val="24"/>
        </w:rPr>
        <w:t>30%</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期末成绩（</w:t>
      </w:r>
      <w:r>
        <w:rPr>
          <w:rFonts w:ascii="宋体" w:hAnsi="宋体" w:cs="宋体"/>
          <w:kern w:val="0"/>
          <w:sz w:val="24"/>
        </w:rPr>
        <w:t>70%</w:t>
      </w:r>
      <w:r>
        <w:rPr>
          <w:rFonts w:ascii="宋体" w:hAnsi="宋体" w:cs="宋体" w:hint="eastAsia"/>
          <w:kern w:val="0"/>
          <w:sz w:val="24"/>
        </w:rPr>
        <w:t>）</w:t>
      </w:r>
      <w:r>
        <w:rPr>
          <w:rFonts w:ascii="宋体" w:hAnsi="宋体" w:cs="宋体"/>
          <w:kern w:val="0"/>
          <w:sz w:val="24"/>
        </w:rPr>
        <w:t xml:space="preserve"> </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其中：平时成绩</w:t>
      </w:r>
      <w:r>
        <w:rPr>
          <w:rFonts w:ascii="宋体" w:hAnsi="宋体" w:cs="宋体"/>
          <w:kern w:val="0"/>
          <w:sz w:val="24"/>
        </w:rPr>
        <w:t>=</w:t>
      </w:r>
      <w:r>
        <w:rPr>
          <w:rFonts w:ascii="宋体" w:hAnsi="宋体" w:cs="宋体" w:hint="eastAsia"/>
          <w:kern w:val="0"/>
          <w:sz w:val="24"/>
        </w:rPr>
        <w:t>课堂表现（</w:t>
      </w:r>
      <w:r>
        <w:rPr>
          <w:rFonts w:ascii="宋体" w:hAnsi="宋体" w:cs="宋体"/>
          <w:kern w:val="0"/>
          <w:sz w:val="24"/>
        </w:rPr>
        <w:t>70%</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课外作业（</w:t>
      </w:r>
      <w:r>
        <w:rPr>
          <w:rFonts w:ascii="宋体" w:hAnsi="宋体" w:cs="宋体"/>
          <w:kern w:val="0"/>
          <w:sz w:val="24"/>
        </w:rPr>
        <w:t>30%</w:t>
      </w:r>
      <w:r>
        <w:rPr>
          <w:rFonts w:ascii="宋体" w:hAnsi="宋体" w:cs="宋体" w:hint="eastAsia"/>
          <w:kern w:val="0"/>
          <w:sz w:val="24"/>
        </w:rPr>
        <w:t>）</w:t>
      </w:r>
    </w:p>
    <w:p w:rsidR="003717A0" w:rsidRDefault="003717A0">
      <w:pPr>
        <w:widowControl/>
        <w:spacing w:line="360" w:lineRule="auto"/>
        <w:ind w:firstLineChars="200" w:firstLine="480"/>
        <w:jc w:val="left"/>
        <w:rPr>
          <w:rFonts w:ascii="宋体" w:cs="宋体"/>
          <w:kern w:val="0"/>
          <w:sz w:val="24"/>
        </w:rPr>
      </w:pPr>
      <w:r>
        <w:rPr>
          <w:rFonts w:ascii="宋体" w:cs="宋体"/>
          <w:kern w:val="0"/>
          <w:sz w:val="24"/>
        </w:rPr>
        <w:t> </w:t>
      </w:r>
      <w:r>
        <w:rPr>
          <w:rFonts w:ascii="宋体" w:hAnsi="宋体" w:cs="宋体" w:hint="eastAsia"/>
          <w:kern w:val="0"/>
          <w:sz w:val="24"/>
        </w:rPr>
        <w:t>学期综合成绩不及格者必须重修。</w:t>
      </w:r>
    </w:p>
    <w:p w:rsidR="003717A0" w:rsidRDefault="003717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黑体" w:eastAsia="黑体" w:hAnsi="黑体" w:cs="宋体"/>
          <w:b/>
          <w:kern w:val="0"/>
          <w:sz w:val="24"/>
        </w:rPr>
      </w:pPr>
      <w:r>
        <w:rPr>
          <w:rFonts w:ascii="黑体" w:eastAsia="黑体" w:hAnsi="黑体" w:cs="宋体" w:hint="eastAsia"/>
          <w:b/>
          <w:kern w:val="0"/>
          <w:sz w:val="24"/>
        </w:rPr>
        <w:t>八．教材及参考书</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《新视野大学英语》读写教程学生用书</w:t>
      </w:r>
      <w:r>
        <w:rPr>
          <w:rFonts w:ascii="宋体" w:hAnsi="宋体" w:cs="宋体"/>
          <w:kern w:val="0"/>
          <w:sz w:val="24"/>
        </w:rPr>
        <w:t>1-4</w:t>
      </w:r>
      <w:r>
        <w:rPr>
          <w:rFonts w:ascii="宋体" w:hAnsi="宋体" w:cs="宋体" w:hint="eastAsia"/>
          <w:kern w:val="0"/>
          <w:sz w:val="24"/>
        </w:rPr>
        <w:t>册</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《新视野大学英语》读写教程教师用书</w:t>
      </w:r>
      <w:r>
        <w:rPr>
          <w:rFonts w:ascii="宋体" w:hAnsi="宋体" w:cs="宋体"/>
          <w:kern w:val="0"/>
          <w:sz w:val="24"/>
        </w:rPr>
        <w:t>1-4</w:t>
      </w:r>
      <w:r>
        <w:rPr>
          <w:rFonts w:ascii="宋体" w:hAnsi="宋体" w:cs="宋体" w:hint="eastAsia"/>
          <w:kern w:val="0"/>
          <w:sz w:val="24"/>
        </w:rPr>
        <w:t>册</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《新视野大学英语》听说教程学生用书</w:t>
      </w:r>
      <w:r>
        <w:rPr>
          <w:rFonts w:ascii="宋体" w:hAnsi="宋体" w:cs="宋体"/>
          <w:kern w:val="0"/>
          <w:sz w:val="24"/>
        </w:rPr>
        <w:t>1-4</w:t>
      </w:r>
      <w:r>
        <w:rPr>
          <w:rFonts w:ascii="宋体" w:hAnsi="宋体" w:cs="宋体" w:hint="eastAsia"/>
          <w:kern w:val="0"/>
          <w:sz w:val="24"/>
        </w:rPr>
        <w:t>册</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《新视野大学英语》听说教程教师用书</w:t>
      </w:r>
      <w:r>
        <w:rPr>
          <w:rFonts w:ascii="宋体" w:hAnsi="宋体" w:cs="宋体"/>
          <w:kern w:val="0"/>
          <w:sz w:val="24"/>
        </w:rPr>
        <w:t>1-4</w:t>
      </w:r>
      <w:r>
        <w:rPr>
          <w:rFonts w:ascii="宋体" w:hAnsi="宋体" w:cs="宋体" w:hint="eastAsia"/>
          <w:kern w:val="0"/>
          <w:sz w:val="24"/>
        </w:rPr>
        <w:t>册</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《流程英语口语教程》学生用书</w:t>
      </w:r>
      <w:r>
        <w:rPr>
          <w:rFonts w:ascii="宋体" w:hAnsi="宋体" w:cs="宋体"/>
          <w:kern w:val="0"/>
          <w:sz w:val="24"/>
        </w:rPr>
        <w:t>1-4</w:t>
      </w:r>
      <w:r>
        <w:rPr>
          <w:rFonts w:ascii="宋体" w:hAnsi="宋体" w:cs="宋体" w:hint="eastAsia"/>
          <w:kern w:val="0"/>
          <w:sz w:val="24"/>
        </w:rPr>
        <w:t>册</w:t>
      </w:r>
      <w:r>
        <w:rPr>
          <w:rFonts w:ascii="宋体" w:hAnsi="宋体" w:cs="宋体"/>
          <w:kern w:val="0"/>
          <w:sz w:val="24"/>
        </w:rPr>
        <w:t xml:space="preserve">   </w:t>
      </w:r>
      <w:r>
        <w:rPr>
          <w:rFonts w:ascii="宋体" w:hAnsi="宋体" w:cs="宋体" w:hint="eastAsia"/>
          <w:kern w:val="0"/>
          <w:sz w:val="24"/>
        </w:rPr>
        <w:t>上海外语教学与研究出版社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《流程英语口语教程》教师用书</w:t>
      </w:r>
      <w:r>
        <w:rPr>
          <w:rFonts w:ascii="宋体" w:hAnsi="宋体" w:cs="宋体"/>
          <w:kern w:val="0"/>
          <w:sz w:val="24"/>
        </w:rPr>
        <w:t>1-4</w:t>
      </w:r>
      <w:r>
        <w:rPr>
          <w:rFonts w:ascii="宋体" w:hAnsi="宋体" w:cs="宋体" w:hint="eastAsia"/>
          <w:kern w:val="0"/>
          <w:sz w:val="24"/>
        </w:rPr>
        <w:t>册</w:t>
      </w:r>
      <w:r>
        <w:rPr>
          <w:rFonts w:ascii="宋体" w:hAnsi="宋体" w:cs="宋体"/>
          <w:kern w:val="0"/>
          <w:sz w:val="24"/>
        </w:rPr>
        <w:t xml:space="preserve">   </w:t>
      </w:r>
      <w:r>
        <w:rPr>
          <w:rFonts w:ascii="宋体" w:hAnsi="宋体" w:cs="宋体" w:hint="eastAsia"/>
          <w:kern w:val="0"/>
          <w:sz w:val="24"/>
        </w:rPr>
        <w:t>上海外语教学与研究出版社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《基础学术英语（人文社科）》学生用书</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《基础学术英语（经济管理）》学生用书</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《基础学术英语（理工）》学生用书</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《基础学术英语（医学）》学生用书</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《基础学术英语（写作）》学生用书</w:t>
      </w:r>
      <w:r>
        <w:rPr>
          <w:rFonts w:ascii="宋体" w:hAnsi="宋体" w:cs="宋体"/>
          <w:kern w:val="0"/>
          <w:sz w:val="24"/>
        </w:rPr>
        <w:t xml:space="preserve">   </w:t>
      </w:r>
      <w:r>
        <w:rPr>
          <w:rFonts w:ascii="宋体" w:hAnsi="宋体" w:cs="宋体" w:hint="eastAsia"/>
          <w:kern w:val="0"/>
          <w:sz w:val="24"/>
        </w:rPr>
        <w:t>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《大学英语教学大纲》</w:t>
      </w:r>
      <w:r>
        <w:rPr>
          <w:rFonts w:ascii="宋体" w:hAnsi="宋体" w:cs="宋体"/>
          <w:kern w:val="0"/>
          <w:sz w:val="24"/>
        </w:rPr>
        <w:t>[</w:t>
      </w:r>
      <w:r>
        <w:rPr>
          <w:rFonts w:ascii="宋体" w:hAnsi="宋体" w:cs="宋体" w:hint="eastAsia"/>
          <w:kern w:val="0"/>
          <w:sz w:val="24"/>
        </w:rPr>
        <w:t>修订本</w:t>
      </w:r>
      <w:r>
        <w:rPr>
          <w:rFonts w:ascii="宋体" w:hAnsi="宋体" w:cs="宋体"/>
          <w:kern w:val="0"/>
          <w:sz w:val="24"/>
        </w:rPr>
        <w:t xml:space="preserve">]  </w:t>
      </w:r>
      <w:r>
        <w:rPr>
          <w:rFonts w:ascii="宋体" w:hAnsi="宋体" w:cs="宋体" w:hint="eastAsia"/>
          <w:kern w:val="0"/>
          <w:sz w:val="24"/>
        </w:rPr>
        <w:t>上海外语教育出版社，高等教育出版社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《现代英语用法词典》张道真，外语教学与研究出版社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《英语多功能词典》外语教学与研究出版社</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《英美文化词典》胡文仲</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w:t>
      </w:r>
      <w:r>
        <w:rPr>
          <w:rFonts w:ascii="宋体" w:hAnsi="宋体" w:cs="宋体"/>
          <w:kern w:val="0"/>
          <w:sz w:val="24"/>
        </w:rPr>
        <w:t>Chambers Dictionary of Synonyms and Antonyms</w:t>
      </w:r>
      <w:r>
        <w:rPr>
          <w:rFonts w:ascii="宋体" w:hAnsi="宋体" w:cs="宋体" w:hint="eastAsia"/>
          <w:kern w:val="0"/>
          <w:sz w:val="24"/>
        </w:rPr>
        <w:t>”</w:t>
      </w:r>
      <w:r>
        <w:rPr>
          <w:rFonts w:ascii="宋体" w:hAnsi="宋体" w:cs="宋体"/>
          <w:kern w:val="0"/>
          <w:sz w:val="24"/>
        </w:rPr>
        <w:t xml:space="preserve"> Marin H. Manser, Chambers, Cambridge</w:t>
      </w:r>
    </w:p>
    <w:p w:rsidR="003717A0" w:rsidRDefault="003717A0">
      <w:pPr>
        <w:widowControl/>
        <w:spacing w:line="360" w:lineRule="auto"/>
        <w:ind w:firstLineChars="200" w:firstLine="480"/>
        <w:jc w:val="left"/>
        <w:rPr>
          <w:rFonts w:ascii="宋体" w:cs="宋体"/>
          <w:kern w:val="0"/>
          <w:sz w:val="24"/>
        </w:rPr>
      </w:pPr>
      <w:r>
        <w:rPr>
          <w:rFonts w:ascii="宋体" w:hAnsi="宋体" w:cs="宋体" w:hint="eastAsia"/>
          <w:kern w:val="0"/>
          <w:sz w:val="24"/>
        </w:rPr>
        <w:t>“</w:t>
      </w:r>
      <w:r>
        <w:rPr>
          <w:rFonts w:ascii="宋体" w:hAnsi="宋体" w:cs="宋体"/>
          <w:kern w:val="0"/>
          <w:sz w:val="24"/>
        </w:rPr>
        <w:t>Longman Dictionary of Contemporary English</w:t>
      </w:r>
      <w:r>
        <w:rPr>
          <w:rFonts w:ascii="宋体" w:hAnsi="宋体" w:cs="宋体" w:hint="eastAsia"/>
          <w:kern w:val="0"/>
          <w:sz w:val="24"/>
        </w:rPr>
        <w:t>”</w:t>
      </w:r>
      <w:r>
        <w:rPr>
          <w:rFonts w:ascii="宋体" w:hAnsi="宋体" w:cs="宋体"/>
          <w:kern w:val="0"/>
          <w:sz w:val="24"/>
        </w:rPr>
        <w:t xml:space="preserve"> Longman Group Ltd. </w:t>
      </w:r>
    </w:p>
    <w:p w:rsidR="003717A0" w:rsidRDefault="003717A0">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w:t>
      </w:r>
    </w:p>
    <w:p w:rsidR="003717A0" w:rsidRDefault="003717A0">
      <w:pPr>
        <w:widowControl/>
        <w:spacing w:line="360" w:lineRule="auto"/>
        <w:jc w:val="left"/>
        <w:rPr>
          <w:b/>
          <w:bCs/>
          <w:sz w:val="24"/>
          <w:szCs w:val="24"/>
        </w:rPr>
      </w:pPr>
    </w:p>
    <w:p w:rsidR="003717A0" w:rsidRDefault="003717A0">
      <w:pPr>
        <w:widowControl/>
        <w:spacing w:line="360" w:lineRule="auto"/>
        <w:jc w:val="left"/>
        <w:rPr>
          <w:b/>
          <w:bCs/>
          <w:sz w:val="24"/>
          <w:szCs w:val="24"/>
        </w:rPr>
      </w:pPr>
    </w:p>
    <w:p w:rsidR="003717A0" w:rsidRDefault="003717A0">
      <w:pPr>
        <w:widowControl/>
        <w:spacing w:line="360" w:lineRule="auto"/>
        <w:jc w:val="center"/>
        <w:rPr>
          <w:b/>
          <w:bCs/>
          <w:sz w:val="24"/>
          <w:szCs w:val="24"/>
        </w:rPr>
      </w:pPr>
      <w:r>
        <w:rPr>
          <w:b/>
          <w:bCs/>
          <w:sz w:val="24"/>
          <w:szCs w:val="24"/>
        </w:rPr>
        <w:br w:type="page"/>
      </w:r>
      <w:r>
        <w:rPr>
          <w:rFonts w:ascii="仿宋_GB2312" w:eastAsia="仿宋_GB2312" w:hint="eastAsia"/>
          <w:b/>
          <w:bCs/>
          <w:sz w:val="36"/>
          <w:szCs w:val="36"/>
        </w:rPr>
        <w:lastRenderedPageBreak/>
        <w:t>南通大学大学英语教学分级大纲</w:t>
      </w:r>
    </w:p>
    <w:p w:rsidR="003717A0" w:rsidRDefault="003717A0"/>
    <w:p w:rsidR="003717A0" w:rsidRDefault="003717A0">
      <w:pPr>
        <w:spacing w:line="360" w:lineRule="auto"/>
        <w:jc w:val="center"/>
        <w:rPr>
          <w:b/>
          <w:bCs/>
        </w:rPr>
      </w:pPr>
      <w:r>
        <w:rPr>
          <w:rFonts w:hint="eastAsia"/>
          <w:b/>
          <w:bCs/>
        </w:rPr>
        <w:t>大学英语教学大纲（一级）</w:t>
      </w:r>
    </w:p>
    <w:tbl>
      <w:tblPr>
        <w:tblpPr w:leftFromText="180" w:rightFromText="180" w:vertAnchor="text" w:horzAnchor="page" w:tblpX="2002" w:tblpY="35"/>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1"/>
        <w:gridCol w:w="1170"/>
        <w:gridCol w:w="1379"/>
        <w:gridCol w:w="1377"/>
        <w:gridCol w:w="2885"/>
      </w:tblGrid>
      <w:tr w:rsidR="003717A0">
        <w:trPr>
          <w:trHeight w:val="467"/>
        </w:trPr>
        <w:tc>
          <w:tcPr>
            <w:tcW w:w="1711" w:type="dxa"/>
            <w:vAlign w:val="center"/>
          </w:tcPr>
          <w:p w:rsidR="003717A0" w:rsidRDefault="003717A0">
            <w:pPr>
              <w:jc w:val="center"/>
              <w:rPr>
                <w:szCs w:val="21"/>
              </w:rPr>
            </w:pPr>
            <w:r>
              <w:rPr>
                <w:rFonts w:hint="eastAsia"/>
                <w:szCs w:val="21"/>
              </w:rPr>
              <w:t>课程名称</w:t>
            </w:r>
          </w:p>
        </w:tc>
        <w:tc>
          <w:tcPr>
            <w:tcW w:w="2549" w:type="dxa"/>
            <w:gridSpan w:val="2"/>
            <w:vAlign w:val="center"/>
          </w:tcPr>
          <w:p w:rsidR="003717A0" w:rsidRDefault="003717A0">
            <w:pPr>
              <w:jc w:val="center"/>
              <w:rPr>
                <w:szCs w:val="21"/>
              </w:rPr>
            </w:pPr>
            <w:r>
              <w:rPr>
                <w:rFonts w:hint="eastAsia"/>
                <w:szCs w:val="21"/>
              </w:rPr>
              <w:t>大学英语</w:t>
            </w:r>
            <w:r>
              <w:rPr>
                <w:szCs w:val="21"/>
              </w:rPr>
              <w:t>I</w:t>
            </w:r>
          </w:p>
        </w:tc>
        <w:tc>
          <w:tcPr>
            <w:tcW w:w="1377" w:type="dxa"/>
            <w:vAlign w:val="center"/>
          </w:tcPr>
          <w:p w:rsidR="003717A0" w:rsidRDefault="003717A0">
            <w:pPr>
              <w:jc w:val="center"/>
              <w:rPr>
                <w:szCs w:val="21"/>
              </w:rPr>
            </w:pPr>
            <w:r>
              <w:rPr>
                <w:rFonts w:hint="eastAsia"/>
                <w:szCs w:val="21"/>
              </w:rPr>
              <w:t>编写人</w:t>
            </w:r>
          </w:p>
        </w:tc>
        <w:tc>
          <w:tcPr>
            <w:tcW w:w="2885" w:type="dxa"/>
            <w:vAlign w:val="center"/>
          </w:tcPr>
          <w:p w:rsidR="003717A0" w:rsidRDefault="003717A0">
            <w:pPr>
              <w:jc w:val="center"/>
              <w:rPr>
                <w:szCs w:val="21"/>
              </w:rPr>
            </w:pPr>
            <w:r>
              <w:rPr>
                <w:rFonts w:hint="eastAsia"/>
                <w:szCs w:val="21"/>
              </w:rPr>
              <w:t>沈利华</w:t>
            </w:r>
          </w:p>
        </w:tc>
      </w:tr>
      <w:tr w:rsidR="003717A0">
        <w:trPr>
          <w:trHeight w:val="437"/>
        </w:trPr>
        <w:tc>
          <w:tcPr>
            <w:tcW w:w="1711" w:type="dxa"/>
            <w:vAlign w:val="center"/>
          </w:tcPr>
          <w:p w:rsidR="003717A0" w:rsidRDefault="003717A0">
            <w:pPr>
              <w:jc w:val="center"/>
              <w:rPr>
                <w:szCs w:val="21"/>
              </w:rPr>
            </w:pPr>
            <w:r>
              <w:rPr>
                <w:rFonts w:hint="eastAsia"/>
                <w:szCs w:val="21"/>
              </w:rPr>
              <w:t>课程代码</w:t>
            </w:r>
          </w:p>
        </w:tc>
        <w:tc>
          <w:tcPr>
            <w:tcW w:w="2549" w:type="dxa"/>
            <w:gridSpan w:val="2"/>
            <w:vAlign w:val="center"/>
          </w:tcPr>
          <w:p w:rsidR="003717A0" w:rsidRDefault="003717A0">
            <w:pPr>
              <w:jc w:val="center"/>
              <w:rPr>
                <w:szCs w:val="21"/>
              </w:rPr>
            </w:pPr>
            <w:r>
              <w:rPr>
                <w:szCs w:val="21"/>
              </w:rPr>
              <w:t>07741</w:t>
            </w:r>
          </w:p>
        </w:tc>
        <w:tc>
          <w:tcPr>
            <w:tcW w:w="1377" w:type="dxa"/>
            <w:vAlign w:val="center"/>
          </w:tcPr>
          <w:p w:rsidR="003717A0" w:rsidRDefault="003717A0">
            <w:pPr>
              <w:jc w:val="center"/>
              <w:rPr>
                <w:szCs w:val="21"/>
              </w:rPr>
            </w:pPr>
            <w:r>
              <w:rPr>
                <w:rFonts w:hint="eastAsia"/>
                <w:szCs w:val="21"/>
              </w:rPr>
              <w:t>编写时间</w:t>
            </w:r>
          </w:p>
        </w:tc>
        <w:tc>
          <w:tcPr>
            <w:tcW w:w="2885" w:type="dxa"/>
            <w:vAlign w:val="center"/>
          </w:tcPr>
          <w:p w:rsidR="003717A0" w:rsidRDefault="003717A0">
            <w:pPr>
              <w:jc w:val="center"/>
              <w:rPr>
                <w:szCs w:val="21"/>
              </w:rPr>
            </w:pPr>
            <w:r>
              <w:rPr>
                <w:szCs w:val="21"/>
              </w:rPr>
              <w:t>2012</w:t>
            </w:r>
            <w:r>
              <w:rPr>
                <w:rFonts w:hint="eastAsia"/>
                <w:szCs w:val="21"/>
              </w:rPr>
              <w:t>年</w:t>
            </w:r>
            <w:r>
              <w:rPr>
                <w:szCs w:val="21"/>
              </w:rPr>
              <w:t>8</w:t>
            </w:r>
            <w:r>
              <w:rPr>
                <w:rFonts w:hint="eastAsia"/>
                <w:szCs w:val="21"/>
              </w:rPr>
              <w:t>月</w:t>
            </w:r>
          </w:p>
        </w:tc>
      </w:tr>
      <w:tr w:rsidR="003717A0">
        <w:trPr>
          <w:trHeight w:val="452"/>
        </w:trPr>
        <w:tc>
          <w:tcPr>
            <w:tcW w:w="1711" w:type="dxa"/>
            <w:vAlign w:val="center"/>
          </w:tcPr>
          <w:p w:rsidR="003717A0" w:rsidRDefault="003717A0">
            <w:pPr>
              <w:jc w:val="center"/>
              <w:rPr>
                <w:szCs w:val="21"/>
              </w:rPr>
            </w:pPr>
            <w:r>
              <w:rPr>
                <w:rFonts w:hint="eastAsia"/>
                <w:szCs w:val="21"/>
              </w:rPr>
              <w:t>周学时数</w:t>
            </w:r>
          </w:p>
        </w:tc>
        <w:tc>
          <w:tcPr>
            <w:tcW w:w="2549" w:type="dxa"/>
            <w:gridSpan w:val="2"/>
            <w:vAlign w:val="center"/>
          </w:tcPr>
          <w:p w:rsidR="003717A0" w:rsidRDefault="003717A0">
            <w:pPr>
              <w:jc w:val="center"/>
              <w:rPr>
                <w:szCs w:val="21"/>
              </w:rPr>
            </w:pPr>
            <w:r>
              <w:rPr>
                <w:szCs w:val="21"/>
              </w:rPr>
              <w:t>4</w:t>
            </w:r>
          </w:p>
        </w:tc>
        <w:tc>
          <w:tcPr>
            <w:tcW w:w="1377" w:type="dxa"/>
            <w:vAlign w:val="center"/>
          </w:tcPr>
          <w:p w:rsidR="003717A0" w:rsidRDefault="003717A0">
            <w:pPr>
              <w:jc w:val="center"/>
              <w:rPr>
                <w:szCs w:val="21"/>
              </w:rPr>
            </w:pPr>
            <w:r>
              <w:rPr>
                <w:rFonts w:hint="eastAsia"/>
                <w:szCs w:val="21"/>
              </w:rPr>
              <w:t>总学时数</w:t>
            </w:r>
          </w:p>
        </w:tc>
        <w:tc>
          <w:tcPr>
            <w:tcW w:w="2885" w:type="dxa"/>
            <w:vAlign w:val="center"/>
          </w:tcPr>
          <w:p w:rsidR="003717A0" w:rsidRDefault="003717A0">
            <w:pPr>
              <w:jc w:val="center"/>
              <w:rPr>
                <w:szCs w:val="21"/>
              </w:rPr>
            </w:pPr>
            <w:r>
              <w:rPr>
                <w:szCs w:val="21"/>
              </w:rPr>
              <w:t>72</w:t>
            </w:r>
          </w:p>
        </w:tc>
      </w:tr>
      <w:tr w:rsidR="003717A0">
        <w:trPr>
          <w:trHeight w:val="437"/>
        </w:trPr>
        <w:tc>
          <w:tcPr>
            <w:tcW w:w="1711" w:type="dxa"/>
            <w:vAlign w:val="center"/>
          </w:tcPr>
          <w:p w:rsidR="003717A0" w:rsidRDefault="003717A0">
            <w:pPr>
              <w:jc w:val="center"/>
              <w:rPr>
                <w:szCs w:val="21"/>
              </w:rPr>
            </w:pPr>
            <w:r>
              <w:rPr>
                <w:rFonts w:hint="eastAsia"/>
                <w:szCs w:val="21"/>
              </w:rPr>
              <w:t>任课教师</w:t>
            </w:r>
          </w:p>
        </w:tc>
        <w:tc>
          <w:tcPr>
            <w:tcW w:w="2549" w:type="dxa"/>
            <w:gridSpan w:val="2"/>
            <w:vAlign w:val="center"/>
          </w:tcPr>
          <w:p w:rsidR="003717A0" w:rsidRDefault="003717A0">
            <w:pPr>
              <w:jc w:val="center"/>
              <w:rPr>
                <w:szCs w:val="21"/>
              </w:rPr>
            </w:pPr>
            <w:r>
              <w:rPr>
                <w:rFonts w:hint="eastAsia"/>
                <w:szCs w:val="21"/>
              </w:rPr>
              <w:t>公共外语教学部教师</w:t>
            </w:r>
          </w:p>
        </w:tc>
        <w:tc>
          <w:tcPr>
            <w:tcW w:w="1377" w:type="dxa"/>
            <w:vAlign w:val="center"/>
          </w:tcPr>
          <w:p w:rsidR="003717A0" w:rsidRDefault="003717A0">
            <w:pPr>
              <w:jc w:val="center"/>
              <w:rPr>
                <w:szCs w:val="21"/>
              </w:rPr>
            </w:pPr>
            <w:r>
              <w:rPr>
                <w:rFonts w:hint="eastAsia"/>
                <w:szCs w:val="21"/>
              </w:rPr>
              <w:t>开课校区</w:t>
            </w:r>
          </w:p>
        </w:tc>
        <w:tc>
          <w:tcPr>
            <w:tcW w:w="2885" w:type="dxa"/>
            <w:vAlign w:val="center"/>
          </w:tcPr>
          <w:p w:rsidR="003717A0" w:rsidRDefault="003717A0">
            <w:pPr>
              <w:jc w:val="center"/>
              <w:rPr>
                <w:szCs w:val="21"/>
              </w:rPr>
            </w:pPr>
            <w:r>
              <w:rPr>
                <w:rFonts w:hint="eastAsia"/>
                <w:szCs w:val="21"/>
              </w:rPr>
              <w:t>主校区、启秀校区、钟秀校区</w:t>
            </w:r>
          </w:p>
        </w:tc>
      </w:tr>
      <w:tr w:rsidR="003717A0">
        <w:trPr>
          <w:trHeight w:val="527"/>
        </w:trPr>
        <w:tc>
          <w:tcPr>
            <w:tcW w:w="1711" w:type="dxa"/>
            <w:vAlign w:val="center"/>
          </w:tcPr>
          <w:p w:rsidR="003717A0" w:rsidRDefault="003717A0">
            <w:pPr>
              <w:jc w:val="center"/>
              <w:rPr>
                <w:szCs w:val="21"/>
              </w:rPr>
            </w:pPr>
            <w:r>
              <w:rPr>
                <w:rFonts w:hint="eastAsia"/>
                <w:szCs w:val="21"/>
              </w:rPr>
              <w:t>课程性质</w:t>
            </w:r>
          </w:p>
        </w:tc>
        <w:tc>
          <w:tcPr>
            <w:tcW w:w="6811" w:type="dxa"/>
            <w:gridSpan w:val="4"/>
            <w:vAlign w:val="center"/>
          </w:tcPr>
          <w:p w:rsidR="003717A0" w:rsidRDefault="003717A0">
            <w:pPr>
              <w:jc w:val="center"/>
              <w:rPr>
                <w:szCs w:val="21"/>
              </w:rPr>
            </w:pPr>
            <w:r>
              <w:rPr>
                <w:rFonts w:hint="eastAsia"/>
                <w:szCs w:val="21"/>
              </w:rPr>
              <w:t>公共基础课</w:t>
            </w:r>
          </w:p>
        </w:tc>
      </w:tr>
      <w:tr w:rsidR="003717A0">
        <w:trPr>
          <w:trHeight w:val="572"/>
        </w:trPr>
        <w:tc>
          <w:tcPr>
            <w:tcW w:w="1711" w:type="dxa"/>
            <w:vAlign w:val="center"/>
          </w:tcPr>
          <w:p w:rsidR="003717A0" w:rsidRDefault="003717A0">
            <w:pPr>
              <w:jc w:val="center"/>
              <w:rPr>
                <w:szCs w:val="21"/>
              </w:rPr>
            </w:pPr>
            <w:r>
              <w:rPr>
                <w:rFonts w:hint="eastAsia"/>
                <w:szCs w:val="21"/>
              </w:rPr>
              <w:t>先修课程</w:t>
            </w:r>
          </w:p>
        </w:tc>
        <w:tc>
          <w:tcPr>
            <w:tcW w:w="6811" w:type="dxa"/>
            <w:gridSpan w:val="4"/>
            <w:vAlign w:val="center"/>
          </w:tcPr>
          <w:p w:rsidR="003717A0" w:rsidRDefault="003717A0">
            <w:pPr>
              <w:jc w:val="center"/>
              <w:rPr>
                <w:szCs w:val="21"/>
              </w:rPr>
            </w:pPr>
            <w:r>
              <w:rPr>
                <w:rFonts w:hint="eastAsia"/>
                <w:szCs w:val="21"/>
              </w:rPr>
              <w:t>高中阶段英语</w:t>
            </w:r>
          </w:p>
        </w:tc>
      </w:tr>
      <w:tr w:rsidR="003717A0">
        <w:trPr>
          <w:trHeight w:val="1091"/>
        </w:trPr>
        <w:tc>
          <w:tcPr>
            <w:tcW w:w="2881" w:type="dxa"/>
            <w:gridSpan w:val="2"/>
            <w:vAlign w:val="center"/>
          </w:tcPr>
          <w:p w:rsidR="003717A0" w:rsidRDefault="003717A0">
            <w:pPr>
              <w:rPr>
                <w:szCs w:val="21"/>
              </w:rPr>
            </w:pPr>
            <w:r>
              <w:rPr>
                <w:rFonts w:hint="eastAsia"/>
                <w:szCs w:val="21"/>
              </w:rPr>
              <w:t>使用教材</w:t>
            </w:r>
          </w:p>
        </w:tc>
        <w:tc>
          <w:tcPr>
            <w:tcW w:w="5641" w:type="dxa"/>
            <w:gridSpan w:val="3"/>
            <w:vAlign w:val="center"/>
          </w:tcPr>
          <w:p w:rsidR="003717A0" w:rsidRDefault="003717A0">
            <w:pPr>
              <w:widowControl/>
              <w:spacing w:line="360" w:lineRule="auto"/>
              <w:ind w:firstLineChars="200" w:firstLine="420"/>
              <w:jc w:val="left"/>
              <w:rPr>
                <w:szCs w:val="21"/>
              </w:rPr>
            </w:pPr>
            <w:r>
              <w:rPr>
                <w:rFonts w:hint="eastAsia"/>
                <w:szCs w:val="21"/>
              </w:rPr>
              <w:t>《新视野大学英语读写教程</w:t>
            </w:r>
            <w:r>
              <w:rPr>
                <w:szCs w:val="21"/>
              </w:rPr>
              <w:t xml:space="preserve"> </w:t>
            </w:r>
            <w:r>
              <w:rPr>
                <w:rFonts w:hint="eastAsia"/>
                <w:szCs w:val="21"/>
              </w:rPr>
              <w:t>第</w:t>
            </w:r>
            <w:r>
              <w:rPr>
                <w:szCs w:val="21"/>
              </w:rPr>
              <w:t>1</w:t>
            </w:r>
            <w:r>
              <w:rPr>
                <w:rFonts w:hint="eastAsia"/>
                <w:szCs w:val="21"/>
              </w:rPr>
              <w:t>册》，外语教学与研究出版社；《流程英语口语教程》学生用书第</w:t>
            </w:r>
            <w:r>
              <w:rPr>
                <w:szCs w:val="21"/>
              </w:rPr>
              <w:t>1</w:t>
            </w:r>
            <w:r>
              <w:rPr>
                <w:rFonts w:hint="eastAsia"/>
                <w:szCs w:val="21"/>
              </w:rPr>
              <w:t>册，上海外语教学与研究出版社</w:t>
            </w:r>
          </w:p>
          <w:p w:rsidR="003717A0" w:rsidRDefault="003717A0">
            <w:pPr>
              <w:rPr>
                <w:szCs w:val="21"/>
              </w:rPr>
            </w:pPr>
          </w:p>
        </w:tc>
      </w:tr>
    </w:tbl>
    <w:p w:rsidR="003717A0" w:rsidRDefault="003717A0">
      <w:pPr>
        <w:spacing w:line="360" w:lineRule="auto"/>
        <w:rPr>
          <w:b/>
          <w:bCs/>
        </w:rPr>
      </w:pPr>
    </w:p>
    <w:p w:rsidR="003717A0" w:rsidRDefault="003717A0">
      <w:pPr>
        <w:spacing w:line="360" w:lineRule="auto"/>
        <w:rPr>
          <w:b/>
          <w:bCs/>
        </w:rPr>
      </w:pPr>
      <w:r>
        <w:rPr>
          <w:rFonts w:hint="eastAsia"/>
          <w:b/>
          <w:bCs/>
        </w:rPr>
        <w:t>本课程教学目的</w:t>
      </w:r>
    </w:p>
    <w:p w:rsidR="003717A0" w:rsidRDefault="003717A0">
      <w:pPr>
        <w:spacing w:line="360" w:lineRule="auto"/>
        <w:ind w:firstLine="435"/>
      </w:pPr>
      <w:r>
        <w:rPr>
          <w:rFonts w:hint="eastAsia"/>
        </w:rPr>
        <w:t>大学英语是以外语教学理论为指导，以英语语言知识与应用技能、跨文化交际和学习策略为主要内容，并集多种教学模式和教学手段为一体的教学体系。大学英语的教学目标是培养学生的英语综合应用能力，使他们在今后学习、工作和社会交往中能用英语有效地进行交际，同时增强其自主学习能力，提高综合文化素养，以适应我国社会发展和国际交流的需要。由于语言既是符号系统（</w:t>
      </w:r>
      <w:r>
        <w:t>a system of symbols</w:t>
      </w:r>
      <w:r>
        <w:rPr>
          <w:rFonts w:hint="eastAsia"/>
        </w:rPr>
        <w:t>），也是交际工具</w:t>
      </w:r>
      <w:r>
        <w:t>( a tool for communication)</w:t>
      </w:r>
      <w:r>
        <w:rPr>
          <w:rFonts w:hint="eastAsia"/>
        </w:rPr>
        <w:t>；既是思维工具</w:t>
      </w:r>
      <w:r>
        <w:t>( the dress of thought)</w:t>
      </w:r>
      <w:r>
        <w:rPr>
          <w:rFonts w:hint="eastAsia"/>
        </w:rPr>
        <w:t>，也是文化载体</w:t>
      </w:r>
      <w:r>
        <w:t>( a carrier of culture)</w:t>
      </w:r>
      <w:r>
        <w:rPr>
          <w:rFonts w:hint="eastAsia"/>
        </w:rPr>
        <w:t>，因此，大学英语教学的最终目的就是帮助学生打好语言基础，即在重视语言形式学习的同时，熟悉英语国家人的思维方式，借鉴和吸收英语文化精华，提高文化素质，培养学生的语言综合应用能力。大学英语基础阶段“综合英语”课程的教学则是达到上述目标的重要环节之一。</w:t>
      </w:r>
    </w:p>
    <w:p w:rsidR="003717A0" w:rsidRDefault="003717A0">
      <w:pPr>
        <w:spacing w:line="360" w:lineRule="auto"/>
        <w:rPr>
          <w:b/>
          <w:bCs/>
        </w:rPr>
      </w:pPr>
      <w:r>
        <w:rPr>
          <w:rFonts w:hint="eastAsia"/>
          <w:b/>
          <w:bCs/>
        </w:rPr>
        <w:t>本课程教学对象</w:t>
      </w:r>
    </w:p>
    <w:p w:rsidR="003717A0" w:rsidRDefault="003717A0">
      <w:pPr>
        <w:spacing w:line="360" w:lineRule="auto"/>
        <w:ind w:firstLineChars="200" w:firstLine="420"/>
      </w:pPr>
      <w:r>
        <w:rPr>
          <w:rFonts w:hint="eastAsia"/>
        </w:rPr>
        <w:t>大学英语基础阶段的“综合英语”课程教学的对象为入学时已掌握了一定的英语语言语法知识，一定数量单词和读、听、写、说等方面受过初步训练的大学英语一、二年级本科生。大学英语教学分为基础阶段和高级阶段。基础阶段主要完成</w:t>
      </w:r>
      <w:r>
        <w:t>1-4</w:t>
      </w:r>
      <w:r>
        <w:rPr>
          <w:rFonts w:hint="eastAsia"/>
        </w:rPr>
        <w:t>级的教学任务，教学实践为</w:t>
      </w:r>
      <w:r>
        <w:t>1-2</w:t>
      </w:r>
      <w:r>
        <w:rPr>
          <w:rFonts w:hint="eastAsia"/>
        </w:rPr>
        <w:t>年级的四个学期：高级阶段主要完成大学英语拓展课程的教学任务，实践为</w:t>
      </w:r>
      <w:r>
        <w:t>3-4</w:t>
      </w:r>
      <w:r>
        <w:rPr>
          <w:rFonts w:hint="eastAsia"/>
        </w:rPr>
        <w:t>年级的前三个阶段。本课程主要针对基础阶段的大学英语学习者。</w:t>
      </w:r>
    </w:p>
    <w:p w:rsidR="003717A0" w:rsidRDefault="003717A0">
      <w:pPr>
        <w:spacing w:line="360" w:lineRule="auto"/>
        <w:rPr>
          <w:b/>
          <w:bCs/>
        </w:rPr>
      </w:pPr>
      <w:r>
        <w:rPr>
          <w:rFonts w:hint="eastAsia"/>
          <w:b/>
          <w:bCs/>
        </w:rPr>
        <w:lastRenderedPageBreak/>
        <w:t>教学手段、原则与要求</w:t>
      </w:r>
    </w:p>
    <w:p w:rsidR="003717A0" w:rsidRDefault="003717A0">
      <w:pPr>
        <w:spacing w:line="360" w:lineRule="auto"/>
        <w:ind w:firstLine="435"/>
      </w:pPr>
      <w:r>
        <w:rPr>
          <w:rFonts w:hint="eastAsia"/>
        </w:rPr>
        <w:t>“综合英语”课程采用多媒体大班课，充分应用先进的多媒体网络等现代教育技术，引入计算机多媒体教学和网络学习平台，采用全方位、立体化的多媒体教学手段，提高教学效率和学生的学习质量。坚持“厚语言基础、强综合应用能力、因人因材施教”的教学原则。由于我校大学英语的教学模式为“</w:t>
      </w:r>
      <w:r>
        <w:t>3+X1+X2</w:t>
      </w:r>
      <w:r>
        <w:rPr>
          <w:rFonts w:hint="eastAsia"/>
        </w:rPr>
        <w:t>”</w:t>
      </w:r>
      <w:r>
        <w:t xml:space="preserve">, </w:t>
      </w:r>
      <w:r>
        <w:rPr>
          <w:rFonts w:hint="eastAsia"/>
        </w:rPr>
        <w:t>“</w:t>
      </w:r>
      <w:r>
        <w:t>3</w:t>
      </w:r>
      <w:r>
        <w:rPr>
          <w:rFonts w:hint="eastAsia"/>
        </w:rPr>
        <w:t>”为每周两节口语训练课，一节综合指导课；“</w:t>
      </w:r>
      <w:r>
        <w:t>X1</w:t>
      </w:r>
      <w:r>
        <w:rPr>
          <w:rFonts w:hint="eastAsia"/>
        </w:rPr>
        <w:t>”为网络导读课，每两周</w:t>
      </w:r>
      <w:r>
        <w:t>2</w:t>
      </w:r>
      <w:r>
        <w:rPr>
          <w:rFonts w:hint="eastAsia"/>
        </w:rPr>
        <w:t>学时；“</w:t>
      </w:r>
      <w:r>
        <w:t>X2</w:t>
      </w:r>
      <w:r>
        <w:rPr>
          <w:rFonts w:hint="eastAsia"/>
        </w:rPr>
        <w:t>”为学生课外网络自主学习，每周不少于</w:t>
      </w:r>
      <w:r>
        <w:t>4</w:t>
      </w:r>
      <w:r>
        <w:rPr>
          <w:rFonts w:hint="eastAsia"/>
        </w:rPr>
        <w:t>小时，学生根据自己的英语水平、学习进度和教师要求，随时随地上网提交书面读、写、译作业，参加论坛讨论、单元测试、强化听力和口语训练等内容，教师网络辅导答疑。因此，在</w:t>
      </w:r>
      <w:r>
        <w:t>X2</w:t>
      </w:r>
      <w:r>
        <w:rPr>
          <w:rFonts w:hint="eastAsia"/>
        </w:rPr>
        <w:t>时段内，教师必须要求学生完成该单元的学习情况。</w:t>
      </w:r>
    </w:p>
    <w:p w:rsidR="003717A0" w:rsidRDefault="003717A0">
      <w:pPr>
        <w:spacing w:line="360" w:lineRule="auto"/>
        <w:ind w:firstLineChars="200" w:firstLine="420"/>
      </w:pPr>
    </w:p>
    <w:p w:rsidR="003717A0" w:rsidRDefault="003717A0">
      <w:pPr>
        <w:spacing w:line="360" w:lineRule="auto"/>
        <w:rPr>
          <w:b/>
          <w:sz w:val="24"/>
        </w:rPr>
      </w:pPr>
      <w:r>
        <w:rPr>
          <w:b/>
          <w:sz w:val="24"/>
        </w:rPr>
        <w:t>Band One</w:t>
      </w:r>
    </w:p>
    <w:p w:rsidR="003717A0" w:rsidRDefault="003717A0">
      <w:pPr>
        <w:spacing w:line="360" w:lineRule="auto"/>
        <w:rPr>
          <w:b/>
          <w:sz w:val="24"/>
        </w:rPr>
      </w:pPr>
      <w:r>
        <w:rPr>
          <w:b/>
          <w:sz w:val="24"/>
        </w:rPr>
        <w:t xml:space="preserve">Unit 1  </w:t>
      </w:r>
    </w:p>
    <w:p w:rsidR="003717A0" w:rsidRDefault="003717A0">
      <w:pPr>
        <w:rPr>
          <w:b/>
          <w:i/>
          <w:sz w:val="24"/>
        </w:rPr>
      </w:pPr>
    </w:p>
    <w:p w:rsidR="003717A0" w:rsidRDefault="003717A0">
      <w:pPr>
        <w:rPr>
          <w:b/>
          <w:i/>
          <w:sz w:val="24"/>
        </w:rPr>
      </w:pPr>
      <w:r>
        <w:rPr>
          <w:b/>
          <w:i/>
          <w:sz w:val="24"/>
        </w:rPr>
        <w:t>Time allotment :</w:t>
      </w:r>
    </w:p>
    <w:p w:rsidR="003717A0" w:rsidRDefault="003717A0">
      <w:pPr>
        <w:numPr>
          <w:ilvl w:val="0"/>
          <w:numId w:val="6"/>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6"/>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6"/>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rPr>
          <w:b/>
          <w:i/>
          <w:sz w:val="24"/>
        </w:rPr>
      </w:pPr>
    </w:p>
    <w:p w:rsidR="003717A0" w:rsidRDefault="003717A0">
      <w:pPr>
        <w:rPr>
          <w:b/>
          <w:i/>
          <w:sz w:val="24"/>
        </w:rPr>
      </w:pPr>
      <w:r>
        <w:rPr>
          <w:b/>
          <w:i/>
          <w:sz w:val="24"/>
        </w:rPr>
        <w:t>Answer questions after finishing reading Text A::</w:t>
      </w:r>
    </w:p>
    <w:p w:rsidR="003717A0" w:rsidRDefault="003717A0">
      <w:r>
        <w:t xml:space="preserve">1.What made the author's English learning in junior middle school very successful?  </w:t>
      </w:r>
    </w:p>
    <w:p w:rsidR="003717A0" w:rsidRDefault="003717A0">
      <w:r>
        <w:t xml:space="preserve">2.What is basic to online English learning?  </w:t>
      </w:r>
    </w:p>
    <w:p w:rsidR="003717A0" w:rsidRDefault="003717A0">
      <w:r>
        <w:t xml:space="preserve">3.What interested the author most about English?  </w:t>
      </w:r>
    </w:p>
    <w:p w:rsidR="003717A0" w:rsidRDefault="003717A0"/>
    <w:p w:rsidR="003717A0" w:rsidRDefault="003717A0">
      <w:pPr>
        <w:rPr>
          <w:b/>
          <w:i/>
          <w:sz w:val="24"/>
        </w:rPr>
      </w:pPr>
      <w:r>
        <w:rPr>
          <w:b/>
          <w:i/>
          <w:sz w:val="24"/>
        </w:rPr>
        <w:t>Key words in Text A:</w:t>
      </w:r>
    </w:p>
    <w:p w:rsidR="003717A0" w:rsidRDefault="003717A0">
      <w:pPr>
        <w:rPr>
          <w:bCs/>
          <w:iCs/>
          <w:sz w:val="24"/>
        </w:rPr>
      </w:pPr>
      <w:r>
        <w:rPr>
          <w:bCs/>
          <w:iCs/>
          <w:sz w:val="24"/>
        </w:rPr>
        <w:t>reward, frustrate, junior, positive, intimidate, access, participate, virtual, commitment, minimum, embarrass, reap, benefit, insight, communicate, gap</w:t>
      </w:r>
    </w:p>
    <w:p w:rsidR="003717A0" w:rsidRDefault="003717A0"/>
    <w:p w:rsidR="003717A0" w:rsidRDefault="003717A0">
      <w:pPr>
        <w:rPr>
          <w:b/>
          <w:i/>
          <w:sz w:val="24"/>
        </w:rPr>
      </w:pPr>
      <w:r>
        <w:rPr>
          <w:b/>
          <w:i/>
          <w:sz w:val="24"/>
        </w:rPr>
        <w:t>Key phrases and expressions in Text A:</w:t>
      </w:r>
    </w:p>
    <w:p w:rsidR="003717A0" w:rsidRDefault="003717A0">
      <w:pPr>
        <w:rPr>
          <w:szCs w:val="21"/>
        </w:rPr>
      </w:pPr>
      <w:r>
        <w:rPr>
          <w:bCs/>
          <w:iCs/>
          <w:sz w:val="24"/>
        </w:rPr>
        <w:t xml:space="preserve">be well worth sth./doing sth., </w:t>
      </w:r>
      <w:r>
        <w:rPr>
          <w:szCs w:val="21"/>
        </w:rPr>
        <w:t xml:space="preserve">not only…but also…, to be far from perfect, get access to, keep up with, reap the benefits of hard work, come across, participate in, reach out to, to lose one's desire / eagerness to say anything in English, to get access to the necessary equipment, to stay at the same level forever, to keep up with the flow of the course, to meet the minimum standards set by the course, to cry with frustration, trade(exchange/ give) sth for anything, teach me the value of hard work, give me insights into another culture, keep my mind open to new ways of seeing things, bridge the gap between different </w:t>
      </w:r>
      <w:r>
        <w:rPr>
          <w:szCs w:val="21"/>
        </w:rPr>
        <w:lastRenderedPageBreak/>
        <w:t xml:space="preserve">cultures  </w:t>
      </w:r>
    </w:p>
    <w:p w:rsidR="003717A0" w:rsidRDefault="003717A0">
      <w:r>
        <w:rPr>
          <w:szCs w:val="21"/>
        </w:rPr>
        <w:t xml:space="preserve">    </w:t>
      </w:r>
    </w:p>
    <w:p w:rsidR="003717A0" w:rsidRDefault="003717A0">
      <w:pPr>
        <w:rPr>
          <w:b/>
          <w:i/>
          <w:sz w:val="24"/>
        </w:rPr>
      </w:pPr>
      <w:r>
        <w:rPr>
          <w:b/>
          <w:i/>
          <w:sz w:val="24"/>
        </w:rPr>
        <w:t>Key structures in Text A:</w:t>
      </w:r>
    </w:p>
    <w:p w:rsidR="003717A0" w:rsidRDefault="003717A0">
      <w:pPr>
        <w:widowControl/>
        <w:numPr>
          <w:ilvl w:val="0"/>
          <w:numId w:val="7"/>
        </w:numPr>
        <w:spacing w:line="360" w:lineRule="exact"/>
        <w:jc w:val="left"/>
        <w:rPr>
          <w:rFonts w:eastAsia="Times New Roman" w:cs="Times New Roman"/>
          <w:b/>
          <w:bCs/>
          <w:kern w:val="0"/>
          <w:szCs w:val="18"/>
        </w:rPr>
      </w:pPr>
      <w:r>
        <w:rPr>
          <w:rFonts w:eastAsia="Times New Roman" w:cs="Times New Roman"/>
          <w:b/>
          <w:bCs/>
          <w:kern w:val="0"/>
          <w:szCs w:val="18"/>
        </w:rPr>
        <w:t>Get familiar with present participle phrase</w:t>
      </w:r>
    </w:p>
    <w:p w:rsidR="003717A0" w:rsidRDefault="003717A0">
      <w:pPr>
        <w:widowControl/>
        <w:spacing w:line="360" w:lineRule="exact"/>
        <w:jc w:val="left"/>
        <w:rPr>
          <w:rFonts w:eastAsia="Times New Roman"/>
          <w:bCs/>
          <w:kern w:val="0"/>
          <w:szCs w:val="18"/>
          <w:u w:val="single"/>
        </w:rPr>
      </w:pPr>
      <w:r>
        <w:rPr>
          <w:rFonts w:eastAsia="Times New Roman"/>
          <w:b/>
          <w:kern w:val="0"/>
          <w:szCs w:val="18"/>
          <w:u w:val="single"/>
        </w:rPr>
        <w:t xml:space="preserve">Because of </w:t>
      </w:r>
      <w:r>
        <w:rPr>
          <w:rFonts w:eastAsia="Times New Roman"/>
          <w:b/>
          <w:kern w:val="0"/>
          <w:szCs w:val="18"/>
        </w:rPr>
        <w:t>this positive method,</w:t>
      </w:r>
      <w:r>
        <w:rPr>
          <w:rFonts w:eastAsia="Times New Roman"/>
          <w:b/>
          <w:kern w:val="0"/>
          <w:szCs w:val="18"/>
          <w:u w:val="single"/>
        </w:rPr>
        <w:t xml:space="preserve"> I eagerly answered</w:t>
      </w:r>
      <w:r>
        <w:rPr>
          <w:rFonts w:eastAsia="Times New Roman"/>
          <w:b/>
          <w:kern w:val="0"/>
          <w:szCs w:val="18"/>
        </w:rPr>
        <w:t xml:space="preserve"> all the questions I could, </w:t>
      </w:r>
      <w:r>
        <w:rPr>
          <w:rFonts w:eastAsia="Times New Roman"/>
          <w:b/>
          <w:kern w:val="0"/>
          <w:szCs w:val="18"/>
          <w:u w:val="single"/>
        </w:rPr>
        <w:t xml:space="preserve">never worrying much about </w:t>
      </w:r>
      <w:r>
        <w:rPr>
          <w:rFonts w:eastAsia="Times New Roman"/>
          <w:b/>
          <w:kern w:val="0"/>
          <w:szCs w:val="18"/>
        </w:rPr>
        <w:t xml:space="preserve">making mistakes. (L. 6) </w:t>
      </w:r>
    </w:p>
    <w:p w:rsidR="003717A0" w:rsidRDefault="003717A0">
      <w:pPr>
        <w:widowControl/>
        <w:spacing w:line="360" w:lineRule="exact"/>
        <w:jc w:val="left"/>
        <w:rPr>
          <w:rFonts w:eastAsia="Times New Roman"/>
          <w:bCs/>
          <w:iCs/>
          <w:kern w:val="0"/>
          <w:szCs w:val="18"/>
        </w:rPr>
      </w:pPr>
      <w:r>
        <w:rPr>
          <w:rFonts w:eastAsia="Times New Roman"/>
          <w:bCs/>
          <w:iCs/>
          <w:kern w:val="0"/>
          <w:szCs w:val="18"/>
        </w:rPr>
        <w:t xml:space="preserve">Whenever we answered incorrectly, she pointed a long stick at us and, </w:t>
      </w:r>
      <w:r>
        <w:rPr>
          <w:rFonts w:eastAsia="Times New Roman"/>
          <w:b/>
          <w:bCs/>
          <w:iCs/>
          <w:kern w:val="0"/>
          <w:szCs w:val="18"/>
        </w:rPr>
        <w:t>shaking</w:t>
      </w:r>
      <w:r>
        <w:rPr>
          <w:rFonts w:eastAsia="Times New Roman"/>
          <w:bCs/>
          <w:iCs/>
          <w:kern w:val="0"/>
          <w:szCs w:val="18"/>
        </w:rPr>
        <w:t xml:space="preserve"> it up and down, shouted…  (Line.11).</w:t>
      </w:r>
    </w:p>
    <w:p w:rsidR="003717A0" w:rsidRDefault="003717A0">
      <w:pPr>
        <w:widowControl/>
        <w:spacing w:line="360" w:lineRule="exact"/>
        <w:jc w:val="left"/>
        <w:rPr>
          <w:rFonts w:eastAsia="Times New Roman"/>
          <w:bCs/>
          <w:iCs/>
          <w:kern w:val="0"/>
          <w:szCs w:val="18"/>
        </w:rPr>
      </w:pPr>
      <w:r>
        <w:rPr>
          <w:rFonts w:eastAsia="Times New Roman"/>
          <w:bCs/>
          <w:iCs/>
          <w:kern w:val="0"/>
          <w:szCs w:val="18"/>
        </w:rPr>
        <w:t xml:space="preserve">…I needed to think out my ideas and wrote a reply before </w:t>
      </w:r>
      <w:r>
        <w:rPr>
          <w:rFonts w:eastAsia="Times New Roman"/>
          <w:b/>
          <w:bCs/>
          <w:iCs/>
          <w:kern w:val="0"/>
          <w:szCs w:val="18"/>
        </w:rPr>
        <w:t>posting</w:t>
      </w:r>
      <w:r>
        <w:rPr>
          <w:rFonts w:eastAsia="Times New Roman"/>
          <w:bCs/>
          <w:iCs/>
          <w:kern w:val="0"/>
          <w:szCs w:val="18"/>
        </w:rPr>
        <w:t xml:space="preserve"> it on the screen. (Line.39, )</w:t>
      </w:r>
    </w:p>
    <w:p w:rsidR="003717A0" w:rsidRDefault="003717A0">
      <w:pPr>
        <w:widowControl/>
        <w:numPr>
          <w:ilvl w:val="0"/>
          <w:numId w:val="7"/>
        </w:numPr>
        <w:spacing w:line="360" w:lineRule="exact"/>
        <w:jc w:val="left"/>
        <w:rPr>
          <w:rFonts w:eastAsia="Times New Roman"/>
          <w:b/>
          <w:kern w:val="0"/>
          <w:szCs w:val="18"/>
        </w:rPr>
      </w:pPr>
      <w:r>
        <w:rPr>
          <w:rFonts w:eastAsia="Times New Roman" w:cs="Times New Roman"/>
          <w:b/>
          <w:bCs/>
          <w:kern w:val="0"/>
          <w:szCs w:val="18"/>
        </w:rPr>
        <w:t xml:space="preserve">Get familiar with the usage of </w:t>
      </w:r>
      <w:r>
        <w:rPr>
          <w:rFonts w:eastAsia="Times New Roman"/>
          <w:b/>
          <w:bCs/>
          <w:i/>
          <w:iCs/>
          <w:kern w:val="0"/>
          <w:szCs w:val="18"/>
        </w:rPr>
        <w:t>now that</w:t>
      </w:r>
    </w:p>
    <w:p w:rsidR="003717A0" w:rsidRDefault="003717A0">
      <w:pPr>
        <w:widowControl/>
        <w:spacing w:line="360" w:lineRule="exact"/>
        <w:jc w:val="left"/>
        <w:rPr>
          <w:rFonts w:ascii="Arial Unicode MS" w:hAnsi="Arial Unicode MS" w:cs="Arial Unicode MS"/>
          <w:bCs/>
          <w:kern w:val="0"/>
          <w:szCs w:val="18"/>
        </w:rPr>
      </w:pPr>
      <w:r>
        <w:rPr>
          <w:rFonts w:eastAsia="Times New Roman"/>
          <w:b/>
          <w:kern w:val="0"/>
          <w:szCs w:val="18"/>
          <w:u w:val="single"/>
        </w:rPr>
        <w:t>Now that</w:t>
      </w:r>
      <w:r>
        <w:rPr>
          <w:rFonts w:eastAsia="Times New Roman"/>
          <w:b/>
          <w:kern w:val="0"/>
          <w:szCs w:val="18"/>
        </w:rPr>
        <w:t xml:space="preserve"> I speak a foreign language,</w:t>
      </w:r>
      <w:r>
        <w:rPr>
          <w:rFonts w:eastAsia="Times New Roman"/>
          <w:b/>
          <w:kern w:val="0"/>
          <w:szCs w:val="18"/>
          <w:u w:val="single"/>
        </w:rPr>
        <w:t xml:space="preserve"> instead of</w:t>
      </w:r>
      <w:r>
        <w:rPr>
          <w:rFonts w:eastAsia="Times New Roman"/>
          <w:b/>
          <w:kern w:val="0"/>
          <w:szCs w:val="18"/>
        </w:rPr>
        <w:t xml:space="preserve"> staring into space when English is being spoken, </w:t>
      </w:r>
      <w:r>
        <w:rPr>
          <w:rFonts w:eastAsia="Times New Roman"/>
          <w:b/>
          <w:kern w:val="0"/>
          <w:szCs w:val="18"/>
          <w:u w:val="single"/>
        </w:rPr>
        <w:t>I can participate</w:t>
      </w:r>
      <w:r>
        <w:rPr>
          <w:rFonts w:eastAsia="Times New Roman"/>
          <w:b/>
          <w:kern w:val="0"/>
          <w:szCs w:val="18"/>
        </w:rPr>
        <w:t xml:space="preserve"> and make friends. (L.50)</w:t>
      </w:r>
    </w:p>
    <w:p w:rsidR="003717A0" w:rsidRDefault="003717A0">
      <w:pPr>
        <w:widowControl/>
        <w:spacing w:line="360" w:lineRule="exact"/>
        <w:ind w:firstLineChars="200" w:firstLine="420"/>
        <w:jc w:val="left"/>
        <w:rPr>
          <w:rFonts w:eastAsia="Times New Roman"/>
          <w:bCs/>
          <w:kern w:val="0"/>
          <w:szCs w:val="18"/>
        </w:rPr>
      </w:pPr>
      <w:r>
        <w:rPr>
          <w:rFonts w:eastAsia="Times New Roman"/>
          <w:bCs/>
          <w:kern w:val="0"/>
          <w:szCs w:val="18"/>
          <w:u w:val="single"/>
        </w:rPr>
        <w:t>Now that we have taken the online course</w:t>
      </w:r>
      <w:r>
        <w:rPr>
          <w:rFonts w:eastAsia="Times New Roman"/>
          <w:bCs/>
          <w:kern w:val="0"/>
          <w:szCs w:val="18"/>
        </w:rPr>
        <w:t xml:space="preserve">, instead of feeling embarrassed when making mistakes in the regular class, </w:t>
      </w:r>
      <w:r>
        <w:rPr>
          <w:rFonts w:eastAsia="Times New Roman"/>
          <w:bCs/>
          <w:kern w:val="0"/>
          <w:szCs w:val="18"/>
          <w:u w:val="single"/>
        </w:rPr>
        <w:t>we should reap some benefits from it.</w:t>
      </w:r>
      <w:r>
        <w:rPr>
          <w:rFonts w:eastAsia="Times New Roman"/>
          <w:bCs/>
          <w:kern w:val="0"/>
          <w:szCs w:val="18"/>
        </w:rPr>
        <w:t xml:space="preserve"> </w:t>
      </w:r>
    </w:p>
    <w:p w:rsidR="003717A0" w:rsidRDefault="003717A0">
      <w:pPr>
        <w:widowControl/>
        <w:spacing w:line="360" w:lineRule="exact"/>
        <w:ind w:firstLineChars="200" w:firstLine="420"/>
        <w:jc w:val="left"/>
        <w:rPr>
          <w:rFonts w:eastAsia="Times New Roman"/>
          <w:bCs/>
          <w:kern w:val="0"/>
          <w:szCs w:val="18"/>
        </w:rPr>
      </w:pPr>
      <w:r>
        <w:rPr>
          <w:rFonts w:eastAsia="Times New Roman"/>
          <w:bCs/>
          <w:kern w:val="0"/>
          <w:szCs w:val="18"/>
          <w:u w:val="single"/>
        </w:rPr>
        <w:t>Now that you are willing to accept his advice,</w:t>
      </w:r>
      <w:r>
        <w:rPr>
          <w:rFonts w:eastAsia="Times New Roman"/>
          <w:bCs/>
          <w:kern w:val="0"/>
          <w:szCs w:val="18"/>
        </w:rPr>
        <w:t xml:space="preserve">  </w:t>
      </w:r>
      <w:r>
        <w:rPr>
          <w:rFonts w:eastAsia="Times New Roman"/>
          <w:bCs/>
          <w:kern w:val="0"/>
          <w:szCs w:val="18"/>
          <w:u w:val="single"/>
        </w:rPr>
        <w:t xml:space="preserve">instead of </w:t>
      </w:r>
      <w:r>
        <w:rPr>
          <w:rFonts w:eastAsia="Times New Roman"/>
          <w:bCs/>
          <w:kern w:val="0"/>
          <w:szCs w:val="18"/>
        </w:rPr>
        <w:t xml:space="preserve">turning a blind eye to it, you can cooperate with each other. </w:t>
      </w:r>
    </w:p>
    <w:p w:rsidR="003717A0" w:rsidRDefault="003717A0">
      <w:pPr>
        <w:widowControl/>
        <w:numPr>
          <w:ilvl w:val="0"/>
          <w:numId w:val="7"/>
        </w:numPr>
        <w:spacing w:line="360" w:lineRule="exact"/>
        <w:jc w:val="left"/>
        <w:rPr>
          <w:rFonts w:eastAsia="Times New Roman"/>
          <w:b/>
          <w:bCs/>
          <w:iCs/>
          <w:kern w:val="0"/>
          <w:szCs w:val="18"/>
        </w:rPr>
      </w:pPr>
      <w:r>
        <w:rPr>
          <w:rFonts w:eastAsia="Times New Roman" w:cs="Times New Roman"/>
          <w:b/>
          <w:bCs/>
          <w:kern w:val="0"/>
          <w:szCs w:val="18"/>
        </w:rPr>
        <w:t xml:space="preserve">Get familiar with the usage of </w:t>
      </w:r>
      <w:r>
        <w:rPr>
          <w:rFonts w:eastAsia="Times New Roman"/>
          <w:b/>
          <w:bCs/>
          <w:i/>
          <w:kern w:val="0"/>
          <w:szCs w:val="18"/>
        </w:rPr>
        <w:t>not only… but (also)</w:t>
      </w:r>
    </w:p>
    <w:p w:rsidR="003717A0" w:rsidRDefault="003717A0">
      <w:pPr>
        <w:widowControl/>
        <w:spacing w:line="360" w:lineRule="exact"/>
        <w:jc w:val="left"/>
        <w:rPr>
          <w:rFonts w:eastAsia="Times New Roman"/>
          <w:iCs/>
          <w:kern w:val="0"/>
          <w:szCs w:val="18"/>
        </w:rPr>
      </w:pPr>
      <w:r>
        <w:rPr>
          <w:rFonts w:eastAsia="Times New Roman"/>
          <w:iCs/>
          <w:kern w:val="0"/>
          <w:szCs w:val="18"/>
        </w:rPr>
        <w:t xml:space="preserve">Not only </w:t>
      </w:r>
      <w:r>
        <w:rPr>
          <w:rFonts w:eastAsia="Times New Roman"/>
          <w:i/>
          <w:iCs/>
          <w:kern w:val="0"/>
          <w:szCs w:val="18"/>
        </w:rPr>
        <w:t>did I</w:t>
      </w:r>
      <w:r>
        <w:rPr>
          <w:rFonts w:eastAsia="Times New Roman"/>
          <w:iCs/>
          <w:kern w:val="0"/>
          <w:szCs w:val="18"/>
        </w:rPr>
        <w:t xml:space="preserve"> lose my joy in answering questions, but also I totally lost my desire to say anything at all in English. (Line.13) </w:t>
      </w:r>
    </w:p>
    <w:p w:rsidR="003717A0" w:rsidRDefault="003717A0">
      <w:pPr>
        <w:widowControl/>
        <w:spacing w:line="360" w:lineRule="exact"/>
        <w:jc w:val="left"/>
        <w:rPr>
          <w:rFonts w:eastAsia="Times New Roman"/>
          <w:b/>
          <w:bCs/>
          <w:iCs/>
          <w:kern w:val="0"/>
          <w:szCs w:val="18"/>
        </w:rPr>
      </w:pPr>
      <w:r>
        <w:rPr>
          <w:rFonts w:eastAsia="Times New Roman"/>
          <w:b/>
          <w:bCs/>
          <w:iCs/>
          <w:kern w:val="0"/>
          <w:szCs w:val="18"/>
        </w:rPr>
        <w:t xml:space="preserve">Using </w:t>
      </w:r>
      <w:r>
        <w:rPr>
          <w:rFonts w:eastAsia="Times New Roman"/>
          <w:b/>
          <w:bCs/>
          <w:i/>
          <w:kern w:val="0"/>
          <w:szCs w:val="18"/>
        </w:rPr>
        <w:t xml:space="preserve">not only… but (also) </w:t>
      </w:r>
      <w:r>
        <w:rPr>
          <w:rFonts w:eastAsia="Times New Roman"/>
          <w:b/>
          <w:bCs/>
          <w:iCs/>
          <w:kern w:val="0"/>
          <w:szCs w:val="18"/>
        </w:rPr>
        <w:t>to rewrite sentences at P.11</w:t>
      </w:r>
    </w:p>
    <w:p w:rsidR="003717A0" w:rsidRDefault="003717A0">
      <w:pPr>
        <w:widowControl/>
        <w:numPr>
          <w:ilvl w:val="0"/>
          <w:numId w:val="7"/>
        </w:numPr>
        <w:spacing w:line="360" w:lineRule="exact"/>
        <w:jc w:val="left"/>
        <w:rPr>
          <w:rFonts w:eastAsia="Times New Roman"/>
          <w:b/>
          <w:i/>
          <w:kern w:val="0"/>
          <w:szCs w:val="18"/>
        </w:rPr>
      </w:pPr>
      <w:r>
        <w:rPr>
          <w:rFonts w:eastAsia="Times New Roman" w:cs="Times New Roman"/>
          <w:b/>
          <w:iCs/>
          <w:kern w:val="0"/>
          <w:szCs w:val="18"/>
        </w:rPr>
        <w:t xml:space="preserve">The usage of </w:t>
      </w:r>
      <w:r>
        <w:rPr>
          <w:rFonts w:eastAsia="Times New Roman"/>
          <w:b/>
          <w:i/>
          <w:kern w:val="0"/>
          <w:szCs w:val="18"/>
        </w:rPr>
        <w:t>While</w:t>
      </w:r>
    </w:p>
    <w:p w:rsidR="003717A0" w:rsidRDefault="003717A0">
      <w:pPr>
        <w:widowControl/>
        <w:spacing w:line="260" w:lineRule="atLeast"/>
        <w:jc w:val="left"/>
        <w:rPr>
          <w:rFonts w:eastAsia="Times New Roman"/>
          <w:bCs/>
          <w:iCs/>
          <w:kern w:val="0"/>
          <w:szCs w:val="18"/>
        </w:rPr>
      </w:pPr>
      <w:r>
        <w:rPr>
          <w:rFonts w:eastAsia="Times New Roman"/>
          <w:b/>
          <w:iCs/>
          <w:kern w:val="0"/>
          <w:szCs w:val="18"/>
        </w:rPr>
        <w:t xml:space="preserve">Using </w:t>
      </w:r>
      <w:r>
        <w:rPr>
          <w:rFonts w:eastAsia="Times New Roman"/>
          <w:b/>
          <w:i/>
          <w:kern w:val="0"/>
          <w:szCs w:val="18"/>
        </w:rPr>
        <w:t>while</w:t>
      </w:r>
      <w:r>
        <w:rPr>
          <w:rFonts w:eastAsia="Times New Roman"/>
          <w:b/>
          <w:iCs/>
          <w:kern w:val="0"/>
          <w:szCs w:val="18"/>
        </w:rPr>
        <w:t xml:space="preserve"> to rewrite sentences at P.10. </w:t>
      </w:r>
    </w:p>
    <w:p w:rsidR="003717A0" w:rsidRDefault="003717A0">
      <w:pPr>
        <w:rPr>
          <w:rFonts w:eastAsia="Times New Roman"/>
          <w:bCs/>
          <w:iCs/>
          <w:kern w:val="0"/>
          <w:sz w:val="18"/>
          <w:szCs w:val="18"/>
        </w:rPr>
      </w:pPr>
    </w:p>
    <w:p w:rsidR="003717A0" w:rsidRDefault="003717A0">
      <w:pPr>
        <w:rPr>
          <w:b/>
          <w:i/>
          <w:szCs w:val="21"/>
        </w:rPr>
      </w:pPr>
      <w:r>
        <w:rPr>
          <w:b/>
          <w:i/>
          <w:szCs w:val="21"/>
        </w:rPr>
        <w:t>Key phrases and expressions in Text B</w:t>
      </w:r>
    </w:p>
    <w:p w:rsidR="003717A0" w:rsidRDefault="003717A0">
      <w:pPr>
        <w:rPr>
          <w:bCs/>
          <w:iCs/>
          <w:szCs w:val="21"/>
        </w:rPr>
      </w:pPr>
      <w:r>
        <w:rPr>
          <w:bCs/>
          <w:iCs/>
          <w:szCs w:val="21"/>
        </w:rPr>
        <w:t>play a role in, to be aware of, in addition, reflect on, allow for, speak up, be finished with, on sb’s part/on the part of sb., catch up with, remind sb. Of sth., be open-minded about, feel (un)comfortable doing sth., gain insight from sth./sb., see sth. as, entrust sth. to sb., think through, follow one’s example, from one’s perspective, make sth. understood, comment on, involve in, take the risk</w:t>
      </w:r>
    </w:p>
    <w:p w:rsidR="003717A0" w:rsidRDefault="003717A0"/>
    <w:p w:rsidR="003717A0" w:rsidRDefault="003717A0">
      <w:pPr>
        <w:rPr>
          <w:b/>
          <w:i/>
          <w:sz w:val="24"/>
        </w:rPr>
      </w:pPr>
      <w:r>
        <w:rPr>
          <w:b/>
          <w:i/>
          <w:sz w:val="24"/>
        </w:rPr>
        <w:t>Topic for writing:</w:t>
      </w:r>
    </w:p>
    <w:p w:rsidR="003717A0" w:rsidRDefault="003717A0">
      <w:pPr>
        <w:ind w:left="1065"/>
      </w:pPr>
      <w:r>
        <w:t xml:space="preserve"> Directions: You are allowed 30 minutes to write a composition with on the topic </w:t>
      </w:r>
      <w:r>
        <w:rPr>
          <w:b/>
          <w:i/>
        </w:rPr>
        <w:t>Tips on Learning English</w:t>
      </w:r>
      <w:r>
        <w:t>. You should write at least 130 words.</w:t>
      </w:r>
    </w:p>
    <w:p w:rsidR="003717A0" w:rsidRDefault="003717A0">
      <w:pPr>
        <w:rPr>
          <w:sz w:val="18"/>
          <w:szCs w:val="18"/>
        </w:rPr>
      </w:pPr>
    </w:p>
    <w:p w:rsidR="003717A0" w:rsidRDefault="003717A0">
      <w:pPr>
        <w:rPr>
          <w:b/>
          <w:i/>
          <w:szCs w:val="21"/>
        </w:rPr>
      </w:pPr>
      <w:r>
        <w:rPr>
          <w:b/>
          <w:i/>
          <w:szCs w:val="21"/>
        </w:rPr>
        <w:t>Additional work:</w:t>
      </w:r>
    </w:p>
    <w:p w:rsidR="003717A0" w:rsidRDefault="003717A0">
      <w:pPr>
        <w:numPr>
          <w:ilvl w:val="0"/>
          <w:numId w:val="8"/>
        </w:numPr>
        <w:rPr>
          <w:szCs w:val="21"/>
        </w:rPr>
      </w:pPr>
      <w:r>
        <w:rPr>
          <w:szCs w:val="21"/>
        </w:rPr>
        <w:t>Recite the 7</w:t>
      </w:r>
      <w:r>
        <w:rPr>
          <w:szCs w:val="21"/>
          <w:vertAlign w:val="superscript"/>
        </w:rPr>
        <w:t>th</w:t>
      </w:r>
      <w:r>
        <w:rPr>
          <w:szCs w:val="21"/>
        </w:rPr>
        <w:t xml:space="preserve"> and 8</w:t>
      </w:r>
      <w:r>
        <w:rPr>
          <w:szCs w:val="21"/>
          <w:vertAlign w:val="superscript"/>
        </w:rPr>
        <w:t>th</w:t>
      </w:r>
      <w:r>
        <w:rPr>
          <w:szCs w:val="21"/>
        </w:rPr>
        <w:t xml:space="preserve"> paragraph in Text A.</w:t>
      </w:r>
    </w:p>
    <w:p w:rsidR="003717A0" w:rsidRDefault="003717A0">
      <w:pPr>
        <w:numPr>
          <w:ilvl w:val="0"/>
          <w:numId w:val="8"/>
        </w:numPr>
        <w:rPr>
          <w:szCs w:val="21"/>
        </w:rPr>
      </w:pPr>
      <w:r>
        <w:rPr>
          <w:szCs w:val="21"/>
        </w:rPr>
        <w:t>Summarize different features of teaching and learning among different nations.</w:t>
      </w:r>
    </w:p>
    <w:p w:rsidR="003717A0" w:rsidRDefault="003717A0">
      <w:pPr>
        <w:jc w:val="center"/>
        <w:rPr>
          <w:b/>
          <w:sz w:val="24"/>
        </w:rPr>
      </w:pPr>
    </w:p>
    <w:p w:rsidR="003717A0" w:rsidRDefault="003717A0">
      <w:pPr>
        <w:jc w:val="left"/>
        <w:rPr>
          <w:b/>
          <w:sz w:val="24"/>
        </w:rPr>
      </w:pPr>
      <w:r>
        <w:rPr>
          <w:b/>
          <w:sz w:val="24"/>
        </w:rPr>
        <w:t xml:space="preserve">Unit 2 </w:t>
      </w:r>
    </w:p>
    <w:p w:rsidR="003717A0" w:rsidRDefault="003717A0">
      <w:pPr>
        <w:jc w:val="center"/>
        <w:rPr>
          <w:b/>
          <w:sz w:val="24"/>
        </w:rPr>
      </w:pPr>
    </w:p>
    <w:p w:rsidR="003717A0" w:rsidRDefault="003717A0">
      <w:pPr>
        <w:rPr>
          <w:b/>
          <w:i/>
          <w:sz w:val="24"/>
        </w:rPr>
      </w:pPr>
      <w:r>
        <w:rPr>
          <w:b/>
          <w:i/>
          <w:sz w:val="24"/>
        </w:rPr>
        <w:t>Time allotment (6 periods):</w:t>
      </w:r>
    </w:p>
    <w:p w:rsidR="003717A0" w:rsidRDefault="003717A0">
      <w:pPr>
        <w:numPr>
          <w:ilvl w:val="0"/>
          <w:numId w:val="9"/>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lastRenderedPageBreak/>
        <w:t xml:space="preserve">words and structures </w:t>
      </w:r>
    </w:p>
    <w:p w:rsidR="003717A0" w:rsidRDefault="003717A0">
      <w:pPr>
        <w:numPr>
          <w:ilvl w:val="0"/>
          <w:numId w:val="9"/>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9"/>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 w:rsidR="003717A0" w:rsidRDefault="003717A0">
      <w:pPr>
        <w:rPr>
          <w:b/>
          <w:i/>
          <w:sz w:val="24"/>
        </w:rPr>
      </w:pPr>
      <w:r>
        <w:rPr>
          <w:b/>
          <w:i/>
          <w:sz w:val="24"/>
        </w:rPr>
        <w:t>Answering questions after finishing reading Text A:</w:t>
      </w:r>
    </w:p>
    <w:p w:rsidR="003717A0" w:rsidRDefault="003717A0">
      <w:pPr>
        <w:numPr>
          <w:ilvl w:val="0"/>
          <w:numId w:val="10"/>
        </w:numPr>
        <w:rPr>
          <w:szCs w:val="21"/>
        </w:rPr>
      </w:pPr>
      <w:r>
        <w:rPr>
          <w:szCs w:val="21"/>
        </w:rPr>
        <w:t>What kind of conflicts can be categorized into the generation gap and what cannot?</w:t>
      </w:r>
    </w:p>
    <w:p w:rsidR="003717A0" w:rsidRDefault="003717A0">
      <w:pPr>
        <w:rPr>
          <w:szCs w:val="21"/>
        </w:rPr>
      </w:pPr>
      <w:r>
        <w:rPr>
          <w:szCs w:val="21"/>
        </w:rPr>
        <w:t>2.  Are there any things different between the generation gap in China and that in America?</w:t>
      </w:r>
    </w:p>
    <w:p w:rsidR="003717A0" w:rsidRDefault="003717A0">
      <w:pPr>
        <w:rPr>
          <w:b/>
          <w:i/>
          <w:sz w:val="24"/>
        </w:rPr>
      </w:pPr>
      <w:r>
        <w:rPr>
          <w:b/>
          <w:i/>
          <w:sz w:val="24"/>
        </w:rPr>
        <w:t xml:space="preserve"> </w:t>
      </w:r>
    </w:p>
    <w:p w:rsidR="003717A0" w:rsidRDefault="003717A0">
      <w:pPr>
        <w:rPr>
          <w:b/>
          <w:i/>
          <w:sz w:val="24"/>
        </w:rPr>
      </w:pPr>
      <w:r>
        <w:rPr>
          <w:b/>
          <w:i/>
          <w:sz w:val="24"/>
        </w:rPr>
        <w:t>Key words in Text A:</w:t>
      </w:r>
    </w:p>
    <w:p w:rsidR="003717A0" w:rsidRDefault="003717A0">
      <w:pPr>
        <w:rPr>
          <w:bCs/>
          <w:iCs/>
          <w:szCs w:val="21"/>
        </w:rPr>
      </w:pPr>
      <w:r>
        <w:rPr>
          <w:bCs/>
          <w:iCs/>
          <w:szCs w:val="21"/>
        </w:rPr>
        <w:t>concern, blast, burst, rhythm, stuff, awful, offensive, appeal, rid, negative, patience, identity</w:t>
      </w:r>
    </w:p>
    <w:p w:rsidR="003717A0" w:rsidRDefault="003717A0">
      <w:pPr>
        <w:rPr>
          <w:b/>
          <w:i/>
          <w:szCs w:val="21"/>
        </w:rPr>
      </w:pPr>
    </w:p>
    <w:p w:rsidR="003717A0" w:rsidRDefault="003717A0">
      <w:pPr>
        <w:rPr>
          <w:b/>
          <w:i/>
          <w:sz w:val="24"/>
        </w:rPr>
      </w:pPr>
      <w:r>
        <w:rPr>
          <w:b/>
          <w:i/>
          <w:sz w:val="24"/>
        </w:rPr>
        <w:t>Key phrases and expressions in Text A:</w:t>
      </w:r>
    </w:p>
    <w:p w:rsidR="003717A0" w:rsidRDefault="003717A0">
      <w:pPr>
        <w:rPr>
          <w:bCs/>
          <w:iCs/>
          <w:szCs w:val="21"/>
        </w:rPr>
      </w:pPr>
      <w:r>
        <w:rPr>
          <w:bCs/>
          <w:iCs/>
          <w:szCs w:val="21"/>
        </w:rPr>
        <w:t>click on, blast forth, (sing) along with, turn off/on, burst into, over and over, reach for, turn up/down, as well as, as usual, wear makeup, bolt out of, leave for, in peace and quiet, join sb. (in doing sth.), make one’s blood boil, appeal to, get rid of, knots in one’s stomach, a problem with sb., have a ... influence on sb., be concerned about, in any case, talk sth. over</w:t>
      </w:r>
    </w:p>
    <w:p w:rsidR="003717A0" w:rsidRDefault="003717A0">
      <w:pPr>
        <w:rPr>
          <w:szCs w:val="21"/>
        </w:rPr>
      </w:pPr>
    </w:p>
    <w:p w:rsidR="003717A0" w:rsidRDefault="003717A0">
      <w:pPr>
        <w:rPr>
          <w:b/>
          <w:i/>
          <w:sz w:val="24"/>
        </w:rPr>
      </w:pPr>
      <w:r>
        <w:rPr>
          <w:b/>
          <w:i/>
          <w:sz w:val="24"/>
        </w:rPr>
        <w:t>Key structures in Text A:</w:t>
      </w:r>
    </w:p>
    <w:p w:rsidR="003717A0" w:rsidRDefault="003717A0">
      <w:pPr>
        <w:numPr>
          <w:ilvl w:val="0"/>
          <w:numId w:val="11"/>
        </w:numPr>
        <w:rPr>
          <w:b/>
          <w:bCs/>
          <w:szCs w:val="21"/>
        </w:rPr>
      </w:pPr>
      <w:r>
        <w:rPr>
          <w:b/>
          <w:bCs/>
          <w:szCs w:val="21"/>
        </w:rPr>
        <w:t xml:space="preserve">Get familiar with </w:t>
      </w:r>
      <w:r>
        <w:rPr>
          <w:b/>
          <w:bCs/>
          <w:i/>
          <w:iCs/>
        </w:rPr>
        <w:t xml:space="preserve">Absolute Structure. </w:t>
      </w:r>
    </w:p>
    <w:p w:rsidR="003717A0" w:rsidRDefault="003717A0">
      <w:pPr>
        <w:ind w:firstLineChars="200" w:firstLine="420"/>
        <w:rPr>
          <w:b/>
          <w:szCs w:val="21"/>
        </w:rPr>
      </w:pPr>
      <w:bookmarkStart w:id="20" w:name="3_5"/>
      <w:bookmarkStart w:id="21" w:name="sub145_3_5"/>
      <w:bookmarkEnd w:id="20"/>
      <w:bookmarkEnd w:id="21"/>
      <w:r>
        <w:rPr>
          <w:szCs w:val="21"/>
        </w:rPr>
        <w:t xml:space="preserve"> I’ve seen other teenagers walking around town </w:t>
      </w:r>
      <w:r>
        <w:rPr>
          <w:szCs w:val="21"/>
          <w:u w:val="single"/>
        </w:rPr>
        <w:t>with tattoos and piercings all over their bodies.</w:t>
      </w:r>
      <w:r>
        <w:rPr>
          <w:b/>
          <w:szCs w:val="21"/>
        </w:rPr>
        <w:t xml:space="preserve"> </w:t>
      </w:r>
    </w:p>
    <w:p w:rsidR="003717A0" w:rsidRDefault="003717A0">
      <w:pPr>
        <w:ind w:firstLineChars="200" w:firstLine="420"/>
        <w:rPr>
          <w:szCs w:val="21"/>
        </w:rPr>
      </w:pPr>
      <w:r>
        <w:t xml:space="preserve"> The teacher entered the classroom, with a ruler in his hand. </w:t>
      </w:r>
    </w:p>
    <w:p w:rsidR="003717A0" w:rsidRDefault="003717A0">
      <w:pPr>
        <w:numPr>
          <w:ilvl w:val="0"/>
          <w:numId w:val="11"/>
        </w:numPr>
        <w:rPr>
          <w:b/>
          <w:bCs/>
          <w:szCs w:val="21"/>
        </w:rPr>
      </w:pPr>
      <w:r>
        <w:rPr>
          <w:b/>
          <w:bCs/>
          <w:szCs w:val="21"/>
        </w:rPr>
        <w:t xml:space="preserve"> Get familiar with </w:t>
      </w:r>
      <w:r>
        <w:rPr>
          <w:b/>
          <w:bCs/>
          <w:i/>
          <w:iCs/>
        </w:rPr>
        <w:t>Subjunctive Mood</w:t>
      </w:r>
      <w:r>
        <w:rPr>
          <w:b/>
          <w:bCs/>
          <w:szCs w:val="21"/>
        </w:rPr>
        <w:t xml:space="preserve">.  </w:t>
      </w:r>
    </w:p>
    <w:p w:rsidR="003717A0" w:rsidRDefault="003717A0">
      <w:pPr>
        <w:rPr>
          <w:rFonts w:ascii="宋体"/>
          <w:szCs w:val="21"/>
        </w:rPr>
      </w:pPr>
      <w:r>
        <w:rPr>
          <w:szCs w:val="21"/>
        </w:rPr>
        <w:t xml:space="preserve">     “What worries me,”  said Steve, “is that music</w:t>
      </w:r>
      <w:r>
        <w:rPr>
          <w:szCs w:val="21"/>
          <w:u w:val="single"/>
        </w:rPr>
        <w:t xml:space="preserve"> could have</w:t>
      </w:r>
      <w:r>
        <w:rPr>
          <w:szCs w:val="21"/>
        </w:rPr>
        <w:t xml:space="preserve"> a negative influence on Sandy”.</w:t>
      </w:r>
    </w:p>
    <w:p w:rsidR="003717A0" w:rsidRDefault="003717A0">
      <w:pPr>
        <w:numPr>
          <w:ilvl w:val="0"/>
          <w:numId w:val="11"/>
        </w:numPr>
        <w:rPr>
          <w:b/>
          <w:bCs/>
          <w:szCs w:val="21"/>
        </w:rPr>
      </w:pPr>
      <w:r>
        <w:rPr>
          <w:b/>
          <w:bCs/>
          <w:szCs w:val="21"/>
        </w:rPr>
        <w:t>Using “as” clause to rewrite sentences at P.36.</w:t>
      </w:r>
    </w:p>
    <w:p w:rsidR="003717A0" w:rsidRDefault="003717A0">
      <w:pPr>
        <w:numPr>
          <w:ilvl w:val="0"/>
          <w:numId w:val="11"/>
        </w:numPr>
        <w:rPr>
          <w:b/>
          <w:bCs/>
          <w:szCs w:val="21"/>
        </w:rPr>
      </w:pPr>
      <w:r>
        <w:rPr>
          <w:b/>
          <w:bCs/>
          <w:szCs w:val="21"/>
        </w:rPr>
        <w:t xml:space="preserve">Using “while+V-ing” to rewrite sentence at P.37. </w:t>
      </w:r>
    </w:p>
    <w:p w:rsidR="003717A0" w:rsidRDefault="003717A0">
      <w:pPr>
        <w:rPr>
          <w:szCs w:val="21"/>
        </w:rPr>
      </w:pPr>
    </w:p>
    <w:p w:rsidR="003717A0" w:rsidRDefault="003717A0">
      <w:pPr>
        <w:rPr>
          <w:b/>
          <w:i/>
          <w:szCs w:val="21"/>
        </w:rPr>
      </w:pPr>
      <w:r>
        <w:rPr>
          <w:b/>
          <w:i/>
          <w:szCs w:val="21"/>
        </w:rPr>
        <w:t>Key phrases and expressions in Text B</w:t>
      </w:r>
    </w:p>
    <w:p w:rsidR="003717A0" w:rsidRDefault="003717A0">
      <w:pPr>
        <w:rPr>
          <w:bCs/>
          <w:iCs/>
          <w:szCs w:val="21"/>
        </w:rPr>
      </w:pPr>
      <w:r>
        <w:rPr>
          <w:bCs/>
          <w:iCs/>
          <w:szCs w:val="21"/>
        </w:rPr>
        <w:t xml:space="preserve">in turn, tap into, tend to do., evaluations over sth., look to sb. for sth., apply to, lie in, relate to, bridge a gap, gain confidence, as opposed to, get across, check in, put away, lose one’s cool, awaken sb. to sth. </w:t>
      </w:r>
    </w:p>
    <w:p w:rsidR="003717A0" w:rsidRDefault="003717A0"/>
    <w:p w:rsidR="003717A0" w:rsidRDefault="003717A0">
      <w:pPr>
        <w:rPr>
          <w:b/>
          <w:i/>
          <w:sz w:val="24"/>
        </w:rPr>
      </w:pPr>
      <w:r>
        <w:rPr>
          <w:b/>
          <w:i/>
          <w:sz w:val="24"/>
        </w:rPr>
        <w:t>Topic for writing:</w:t>
      </w:r>
    </w:p>
    <w:p w:rsidR="003717A0" w:rsidRDefault="003717A0">
      <w:pPr>
        <w:numPr>
          <w:ilvl w:val="0"/>
          <w:numId w:val="12"/>
        </w:numPr>
      </w:pPr>
      <w:r>
        <w:t xml:space="preserve">Directions: You are allowed 30 minutes to write a composition with on the topic </w:t>
      </w:r>
      <w:r>
        <w:rPr>
          <w:b/>
          <w:i/>
        </w:rPr>
        <w:t>On the Generation Gap</w:t>
      </w:r>
      <w:r>
        <w:t xml:space="preserve">. You should write at least 130 words. </w:t>
      </w:r>
    </w:p>
    <w:p w:rsidR="003717A0" w:rsidRDefault="003717A0">
      <w:pPr>
        <w:rPr>
          <w:sz w:val="18"/>
          <w:szCs w:val="18"/>
        </w:rPr>
      </w:pPr>
    </w:p>
    <w:p w:rsidR="003717A0" w:rsidRDefault="003717A0">
      <w:pPr>
        <w:rPr>
          <w:b/>
          <w:i/>
          <w:szCs w:val="21"/>
        </w:rPr>
      </w:pPr>
      <w:r>
        <w:rPr>
          <w:b/>
          <w:i/>
          <w:szCs w:val="21"/>
        </w:rPr>
        <w:t>Additional work:</w:t>
      </w:r>
    </w:p>
    <w:p w:rsidR="003717A0" w:rsidRDefault="003717A0">
      <w:pPr>
        <w:numPr>
          <w:ilvl w:val="0"/>
          <w:numId w:val="13"/>
        </w:numPr>
        <w:rPr>
          <w:szCs w:val="21"/>
        </w:rPr>
      </w:pPr>
      <w:r>
        <w:rPr>
          <w:szCs w:val="21"/>
        </w:rPr>
        <w:t>Recite the 1</w:t>
      </w:r>
      <w:r>
        <w:rPr>
          <w:szCs w:val="21"/>
          <w:vertAlign w:val="superscript"/>
        </w:rPr>
        <w:t>st</w:t>
      </w:r>
      <w:r>
        <w:rPr>
          <w:szCs w:val="21"/>
        </w:rPr>
        <w:t>, 24</w:t>
      </w:r>
      <w:r>
        <w:rPr>
          <w:szCs w:val="21"/>
          <w:vertAlign w:val="superscript"/>
        </w:rPr>
        <w:t>th</w:t>
      </w:r>
      <w:r>
        <w:rPr>
          <w:szCs w:val="21"/>
        </w:rPr>
        <w:t xml:space="preserve"> and 29</w:t>
      </w:r>
      <w:r>
        <w:rPr>
          <w:szCs w:val="21"/>
          <w:vertAlign w:val="superscript"/>
        </w:rPr>
        <w:t>th</w:t>
      </w:r>
      <w:r>
        <w:rPr>
          <w:szCs w:val="21"/>
        </w:rPr>
        <w:t xml:space="preserve"> paragraph in Text A.</w:t>
      </w:r>
    </w:p>
    <w:p w:rsidR="003717A0" w:rsidRDefault="003717A0">
      <w:pPr>
        <w:numPr>
          <w:ilvl w:val="0"/>
          <w:numId w:val="13"/>
        </w:numPr>
        <w:rPr>
          <w:szCs w:val="21"/>
        </w:rPr>
      </w:pPr>
      <w:r>
        <w:rPr>
          <w:szCs w:val="21"/>
        </w:rPr>
        <w:t>Discuss different forms of generation gap.</w:t>
      </w:r>
    </w:p>
    <w:p w:rsidR="003717A0" w:rsidRDefault="003717A0">
      <w:pPr>
        <w:numPr>
          <w:ilvl w:val="0"/>
          <w:numId w:val="13"/>
        </w:numPr>
        <w:rPr>
          <w:szCs w:val="21"/>
        </w:rPr>
      </w:pPr>
      <w:r>
        <w:rPr>
          <w:szCs w:val="21"/>
        </w:rPr>
        <w:t xml:space="preserve">Come up with the methods to bridge the generation gap and reflect over your attitude towards  your parents. </w:t>
      </w:r>
    </w:p>
    <w:p w:rsidR="003717A0" w:rsidRDefault="003717A0"/>
    <w:p w:rsidR="003717A0" w:rsidRDefault="003717A0">
      <w:pPr>
        <w:rPr>
          <w:b/>
          <w:sz w:val="32"/>
          <w:szCs w:val="32"/>
        </w:rPr>
      </w:pPr>
      <w:r>
        <w:rPr>
          <w:b/>
          <w:sz w:val="32"/>
          <w:szCs w:val="32"/>
        </w:rPr>
        <w:t xml:space="preserve">Unit 3 </w:t>
      </w:r>
    </w:p>
    <w:p w:rsidR="003717A0" w:rsidRDefault="003717A0">
      <w:pPr>
        <w:snapToGrid w:val="0"/>
        <w:rPr>
          <w:b/>
          <w:i/>
          <w:sz w:val="24"/>
        </w:rPr>
      </w:pPr>
      <w:r>
        <w:rPr>
          <w:b/>
          <w:i/>
          <w:sz w:val="24"/>
        </w:rPr>
        <w:lastRenderedPageBreak/>
        <w:t>Time allotment (6 periods):</w:t>
      </w:r>
    </w:p>
    <w:p w:rsidR="003717A0" w:rsidRDefault="003717A0">
      <w:pPr>
        <w:numPr>
          <w:ilvl w:val="0"/>
          <w:numId w:val="14"/>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14"/>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14"/>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rPr>
          <w:b/>
          <w:i/>
          <w:sz w:val="24"/>
        </w:rPr>
      </w:pPr>
      <w:r>
        <w:rPr>
          <w:b/>
          <w:i/>
          <w:sz w:val="24"/>
        </w:rPr>
        <w:t>Answer questions after finishing reading Text A:</w:t>
      </w:r>
    </w:p>
    <w:p w:rsidR="003717A0" w:rsidRDefault="003717A0">
      <w:r>
        <w:rPr>
          <w:bCs/>
          <w:iCs/>
          <w:sz w:val="24"/>
        </w:rPr>
        <w:t>1.</w:t>
      </w:r>
      <w:r>
        <w:rPr>
          <w:b/>
          <w:i/>
          <w:sz w:val="24"/>
        </w:rPr>
        <w:t xml:space="preserve"> </w:t>
      </w:r>
      <w:r>
        <w:t xml:space="preserve"> What do you think people stared at the father and the son?</w:t>
      </w:r>
    </w:p>
    <w:p w:rsidR="003717A0" w:rsidRDefault="003717A0">
      <w:pPr>
        <w:snapToGrid w:val="0"/>
      </w:pPr>
      <w:r>
        <w:t>2.  What do you think a “good heart” is?</w:t>
      </w:r>
    </w:p>
    <w:p w:rsidR="003717A0" w:rsidRDefault="003717A0">
      <w:pPr>
        <w:snapToGrid w:val="0"/>
        <w:ind w:left="420" w:hangingChars="200" w:hanging="420"/>
      </w:pPr>
      <w:r>
        <w:t>3.  What is the difference between how the son felt about his father as a youth and how he feels                                  many years later?</w:t>
      </w:r>
    </w:p>
    <w:p w:rsidR="003717A0" w:rsidRDefault="003717A0">
      <w:pPr>
        <w:snapToGrid w:val="0"/>
        <w:ind w:left="420" w:hangingChars="200" w:hanging="420"/>
      </w:pPr>
    </w:p>
    <w:p w:rsidR="003717A0" w:rsidRDefault="003717A0">
      <w:pPr>
        <w:rPr>
          <w:b/>
          <w:i/>
          <w:sz w:val="24"/>
        </w:rPr>
      </w:pPr>
      <w:r>
        <w:rPr>
          <w:b/>
          <w:i/>
          <w:sz w:val="24"/>
        </w:rPr>
        <w:t>Key words in Text A:</w:t>
      </w:r>
    </w:p>
    <w:p w:rsidR="003717A0" w:rsidRDefault="003717A0">
      <w:pPr>
        <w:rPr>
          <w:bCs/>
          <w:iCs/>
          <w:szCs w:val="21"/>
        </w:rPr>
      </w:pPr>
      <w:r>
        <w:rPr>
          <w:bCs/>
          <w:iCs/>
          <w:szCs w:val="21"/>
        </w:rPr>
        <w:t>lean, balance, bother, coordinate, pace, adjust, despite, cling, subject, stress, complaint, envy, engage, occasion, urge, worthy</w:t>
      </w:r>
    </w:p>
    <w:p w:rsidR="003717A0" w:rsidRDefault="003717A0">
      <w:pPr>
        <w:snapToGrid w:val="0"/>
        <w:rPr>
          <w:b/>
          <w:i/>
          <w:sz w:val="24"/>
        </w:rPr>
      </w:pPr>
    </w:p>
    <w:p w:rsidR="003717A0" w:rsidRDefault="003717A0">
      <w:pPr>
        <w:rPr>
          <w:b/>
          <w:i/>
          <w:sz w:val="24"/>
        </w:rPr>
      </w:pPr>
      <w:r>
        <w:rPr>
          <w:b/>
          <w:i/>
          <w:sz w:val="24"/>
        </w:rPr>
        <w:t>Key phrases and expressions in Text A:</w:t>
      </w:r>
    </w:p>
    <w:p w:rsidR="003717A0" w:rsidRDefault="003717A0">
      <w:pPr>
        <w:rPr>
          <w:b/>
          <w:i/>
          <w:sz w:val="24"/>
        </w:rPr>
      </w:pPr>
      <w:r>
        <w:rPr>
          <w:b/>
          <w:i/>
          <w:sz w:val="24"/>
        </w:rPr>
        <w:t xml:space="preserve">Lean on, let on, start out, make it, on leave, see (to it) that, </w:t>
      </w:r>
      <w:r>
        <w:rPr>
          <w:szCs w:val="21"/>
        </w:rPr>
        <w:t>to be embarrassed to be seen with sb., to set the pace, to try to adjust to sb., to go to work sick, to subject himself to such shame and stress, not to show envy of the more fortunate or able, to look for a “good heart” in others, a proper standard by which to judge people, (not ) to be content to sit and watch, to be urged to take a dive, complain about trifles</w:t>
      </w:r>
    </w:p>
    <w:p w:rsidR="003717A0" w:rsidRDefault="003717A0">
      <w:pPr>
        <w:snapToGrid w:val="0"/>
        <w:ind w:firstLineChars="150" w:firstLine="361"/>
        <w:rPr>
          <w:b/>
          <w:sz w:val="24"/>
        </w:rPr>
      </w:pPr>
    </w:p>
    <w:p w:rsidR="003717A0" w:rsidRDefault="003717A0">
      <w:pPr>
        <w:rPr>
          <w:b/>
          <w:i/>
          <w:sz w:val="24"/>
        </w:rPr>
      </w:pPr>
      <w:r>
        <w:rPr>
          <w:b/>
          <w:i/>
          <w:sz w:val="24"/>
        </w:rPr>
        <w:t>Key structures in Text A:</w:t>
      </w:r>
    </w:p>
    <w:p w:rsidR="003717A0" w:rsidRDefault="003717A0">
      <w:pPr>
        <w:snapToGrid w:val="0"/>
        <w:rPr>
          <w:b/>
          <w:bCs/>
          <w:szCs w:val="21"/>
        </w:rPr>
      </w:pPr>
      <w:r>
        <w:rPr>
          <w:b/>
          <w:sz w:val="24"/>
        </w:rPr>
        <w:t xml:space="preserve">1. </w:t>
      </w:r>
      <w:r>
        <w:rPr>
          <w:b/>
          <w:bCs/>
          <w:szCs w:val="21"/>
        </w:rPr>
        <w:t xml:space="preserve">Typical patterns for cherishing the memory of sb. / sth. </w:t>
      </w:r>
    </w:p>
    <w:p w:rsidR="003717A0" w:rsidRDefault="003717A0">
      <w:pPr>
        <w:ind w:right="840"/>
        <w:rPr>
          <w:b/>
          <w:bCs/>
          <w:szCs w:val="21"/>
        </w:rPr>
      </w:pPr>
      <w:r>
        <w:rPr>
          <w:b/>
          <w:bCs/>
          <w:szCs w:val="21"/>
        </w:rPr>
        <w:t xml:space="preserve">  When I think of it now, I am amazed at how much courage it must have taken for a grown man to subject himself to such shame and stress. (L. 20)</w:t>
      </w:r>
    </w:p>
    <w:p w:rsidR="003717A0" w:rsidRDefault="003717A0">
      <w:pPr>
        <w:ind w:right="840"/>
        <w:rPr>
          <w:b/>
          <w:bCs/>
          <w:szCs w:val="21"/>
        </w:rPr>
      </w:pPr>
      <w:r>
        <w:rPr>
          <w:b/>
          <w:bCs/>
          <w:szCs w:val="21"/>
        </w:rPr>
        <w:t xml:space="preserve">  I think of him when I complain about trifles, when I am envious of another’s good fortune, when I don’t have a “good heart”. (L.47)</w:t>
      </w:r>
    </w:p>
    <w:p w:rsidR="003717A0" w:rsidRDefault="003717A0">
      <w:pPr>
        <w:ind w:right="840"/>
        <w:rPr>
          <w:b/>
          <w:bCs/>
          <w:szCs w:val="21"/>
        </w:rPr>
      </w:pPr>
      <w:r>
        <w:rPr>
          <w:b/>
          <w:bCs/>
          <w:szCs w:val="21"/>
        </w:rPr>
        <w:t>2. Typical patterns for time-sequence description</w:t>
      </w:r>
    </w:p>
    <w:p w:rsidR="003717A0" w:rsidRDefault="003717A0">
      <w:pPr>
        <w:ind w:right="840"/>
        <w:rPr>
          <w:b/>
          <w:bCs/>
          <w:szCs w:val="21"/>
        </w:rPr>
      </w:pPr>
      <w:r>
        <w:rPr>
          <w:b/>
          <w:bCs/>
          <w:szCs w:val="21"/>
        </w:rPr>
        <w:t>….\, and he would not have to go outside again until we met him in Brooklyn on his way home. (L. 18)</w:t>
      </w:r>
    </w:p>
    <w:p w:rsidR="003717A0" w:rsidRDefault="003717A0">
      <w:pPr>
        <w:ind w:right="840"/>
        <w:rPr>
          <w:szCs w:val="21"/>
        </w:rPr>
      </w:pPr>
      <w:r>
        <w:rPr>
          <w:b/>
          <w:bCs/>
          <w:szCs w:val="21"/>
        </w:rPr>
        <w:t>Once there, he wound cling to the hand-rail until he reached the lower steps that the warmer tunnel air kept free of ice.(L.15)</w:t>
      </w:r>
    </w:p>
    <w:p w:rsidR="003717A0" w:rsidRDefault="003717A0">
      <w:pPr>
        <w:numPr>
          <w:ilvl w:val="0"/>
          <w:numId w:val="15"/>
        </w:numPr>
        <w:ind w:right="840"/>
        <w:rPr>
          <w:b/>
          <w:bCs/>
          <w:szCs w:val="21"/>
        </w:rPr>
      </w:pPr>
      <w:r>
        <w:rPr>
          <w:rFonts w:cs="Times New Roman"/>
          <w:b/>
          <w:bCs/>
          <w:szCs w:val="21"/>
        </w:rPr>
        <w:t xml:space="preserve">Now that i am older, I believe that is a proper standard by which to judge people, </w:t>
      </w:r>
      <w:r>
        <w:rPr>
          <w:b/>
          <w:bCs/>
          <w:szCs w:val="21"/>
          <w:u w:val="single"/>
        </w:rPr>
        <w:t>even though</w:t>
      </w:r>
      <w:r>
        <w:rPr>
          <w:b/>
          <w:bCs/>
          <w:szCs w:val="21"/>
        </w:rPr>
        <w:t xml:space="preserve"> I still don't know precisely what a "good heart" is. (Line 24)</w:t>
      </w:r>
    </w:p>
    <w:p w:rsidR="003717A0" w:rsidRDefault="003717A0">
      <w:pPr>
        <w:ind w:right="840"/>
        <w:rPr>
          <w:b/>
          <w:bCs/>
          <w:szCs w:val="21"/>
        </w:rPr>
      </w:pPr>
      <w:r>
        <w:rPr>
          <w:b/>
          <w:bCs/>
          <w:szCs w:val="21"/>
        </w:rPr>
        <w:t xml:space="preserve">Using “even though” to rewrite sentences at P.62. </w:t>
      </w:r>
    </w:p>
    <w:p w:rsidR="003717A0" w:rsidRDefault="003717A0">
      <w:pPr>
        <w:ind w:right="840"/>
        <w:rPr>
          <w:szCs w:val="21"/>
        </w:rPr>
      </w:pPr>
      <w:r>
        <w:rPr>
          <w:b/>
          <w:bCs/>
          <w:szCs w:val="21"/>
        </w:rPr>
        <w:t>Identify the differences in using “even if, even though and though”.</w:t>
      </w:r>
    </w:p>
    <w:p w:rsidR="003717A0" w:rsidRDefault="003717A0">
      <w:pPr>
        <w:rPr>
          <w:b/>
          <w:bCs/>
          <w:szCs w:val="21"/>
        </w:rPr>
      </w:pPr>
      <w:r>
        <w:rPr>
          <w:b/>
          <w:bCs/>
          <w:szCs w:val="21"/>
        </w:rPr>
        <w:t xml:space="preserve">The ellipsis in adverbial clause. See exercise at P.63 </w:t>
      </w:r>
    </w:p>
    <w:p w:rsidR="003717A0" w:rsidRDefault="003717A0">
      <w:pPr>
        <w:rPr>
          <w:b/>
          <w:bCs/>
          <w:szCs w:val="21"/>
        </w:rPr>
      </w:pPr>
    </w:p>
    <w:p w:rsidR="003717A0" w:rsidRDefault="003717A0">
      <w:pPr>
        <w:rPr>
          <w:b/>
          <w:i/>
          <w:szCs w:val="21"/>
        </w:rPr>
      </w:pPr>
      <w:r>
        <w:rPr>
          <w:b/>
          <w:i/>
          <w:szCs w:val="21"/>
        </w:rPr>
        <w:t>Key phrases and expressions in Text B</w:t>
      </w:r>
    </w:p>
    <w:p w:rsidR="003717A0" w:rsidRDefault="003717A0">
      <w:pPr>
        <w:rPr>
          <w:b/>
          <w:i/>
          <w:szCs w:val="21"/>
        </w:rPr>
      </w:pPr>
      <w:r>
        <w:rPr>
          <w:szCs w:val="21"/>
        </w:rPr>
        <w:t xml:space="preserve">rush … to / be rushed to (a certain place), come to, now and again, call for, do sth. in time to do sth. else, extend one’s hand to, squeeze a message of, hold to, with that, set out, call a request for, offer words of </w:t>
      </w:r>
      <w:r>
        <w:rPr>
          <w:szCs w:val="21"/>
        </w:rPr>
        <w:lastRenderedPageBreak/>
        <w:t xml:space="preserve">hope/ strength/sympathy </w:t>
      </w:r>
    </w:p>
    <w:p w:rsidR="003717A0" w:rsidRDefault="003717A0">
      <w:pPr>
        <w:rPr>
          <w:b/>
          <w:i/>
          <w:sz w:val="24"/>
        </w:rPr>
      </w:pPr>
    </w:p>
    <w:p w:rsidR="003717A0" w:rsidRDefault="003717A0">
      <w:pPr>
        <w:rPr>
          <w:b/>
          <w:i/>
          <w:sz w:val="24"/>
        </w:rPr>
      </w:pPr>
      <w:r>
        <w:rPr>
          <w:b/>
          <w:i/>
          <w:sz w:val="24"/>
        </w:rPr>
        <w:t>Topic for writing:</w:t>
      </w:r>
    </w:p>
    <w:p w:rsidR="003717A0" w:rsidRDefault="003717A0">
      <w:pPr>
        <w:ind w:left="1050" w:hangingChars="500" w:hanging="1050"/>
      </w:pPr>
      <w:r>
        <w:t xml:space="preserve">Directions: You are allowed 30 minutes to write a composition with on the topic </w:t>
      </w:r>
      <w:r>
        <w:rPr>
          <w:b/>
          <w:bCs/>
          <w:i/>
          <w:iCs/>
        </w:rPr>
        <w:t>What is a good heart?</w:t>
      </w:r>
      <w:r>
        <w:t xml:space="preserve"> You should write at least 130 words.</w:t>
      </w:r>
    </w:p>
    <w:p w:rsidR="003717A0" w:rsidRDefault="003717A0">
      <w:pPr>
        <w:rPr>
          <w:b/>
          <w:i/>
          <w:szCs w:val="21"/>
        </w:rPr>
      </w:pPr>
    </w:p>
    <w:p w:rsidR="003717A0" w:rsidRDefault="003717A0">
      <w:pPr>
        <w:rPr>
          <w:b/>
          <w:i/>
          <w:szCs w:val="21"/>
        </w:rPr>
      </w:pPr>
      <w:r>
        <w:rPr>
          <w:b/>
          <w:i/>
          <w:szCs w:val="21"/>
        </w:rPr>
        <w:t>Additional work:</w:t>
      </w:r>
    </w:p>
    <w:p w:rsidR="003717A0" w:rsidRDefault="003717A0">
      <w:pPr>
        <w:numPr>
          <w:ilvl w:val="0"/>
          <w:numId w:val="16"/>
        </w:numPr>
        <w:rPr>
          <w:szCs w:val="21"/>
        </w:rPr>
      </w:pPr>
      <w:r>
        <w:rPr>
          <w:szCs w:val="21"/>
        </w:rPr>
        <w:t>Recite the 1</w:t>
      </w:r>
      <w:r>
        <w:rPr>
          <w:szCs w:val="21"/>
          <w:vertAlign w:val="superscript"/>
        </w:rPr>
        <w:t xml:space="preserve">st </w:t>
      </w:r>
      <w:r>
        <w:rPr>
          <w:szCs w:val="21"/>
        </w:rPr>
        <w:t>, 4</w:t>
      </w:r>
      <w:r>
        <w:rPr>
          <w:szCs w:val="21"/>
          <w:vertAlign w:val="superscript"/>
        </w:rPr>
        <w:t>th</w:t>
      </w:r>
      <w:r>
        <w:rPr>
          <w:szCs w:val="21"/>
        </w:rPr>
        <w:t xml:space="preserve"> , 9</w:t>
      </w:r>
      <w:r>
        <w:rPr>
          <w:szCs w:val="21"/>
          <w:vertAlign w:val="superscript"/>
        </w:rPr>
        <w:t>th</w:t>
      </w:r>
      <w:r>
        <w:rPr>
          <w:szCs w:val="21"/>
        </w:rPr>
        <w:t xml:space="preserve"> and 12</w:t>
      </w:r>
      <w:r>
        <w:rPr>
          <w:szCs w:val="21"/>
          <w:vertAlign w:val="superscript"/>
        </w:rPr>
        <w:t>th</w:t>
      </w:r>
      <w:r>
        <w:rPr>
          <w:szCs w:val="21"/>
        </w:rPr>
        <w:t xml:space="preserve"> paragraph in Text A.</w:t>
      </w:r>
    </w:p>
    <w:p w:rsidR="003717A0" w:rsidRDefault="003717A0">
      <w:pPr>
        <w:numPr>
          <w:ilvl w:val="0"/>
          <w:numId w:val="16"/>
        </w:numPr>
        <w:rPr>
          <w:bCs/>
          <w:iCs/>
          <w:kern w:val="0"/>
          <w:szCs w:val="21"/>
        </w:rPr>
      </w:pPr>
      <w:r>
        <w:rPr>
          <w:szCs w:val="21"/>
        </w:rPr>
        <w:t xml:space="preserve">Summarize the characteristics of a good heart. </w:t>
      </w:r>
    </w:p>
    <w:p w:rsidR="003717A0" w:rsidRDefault="003717A0">
      <w:pPr>
        <w:jc w:val="center"/>
        <w:rPr>
          <w:b/>
          <w:sz w:val="32"/>
        </w:rPr>
      </w:pPr>
    </w:p>
    <w:p w:rsidR="003717A0" w:rsidRDefault="003717A0">
      <w:pPr>
        <w:rPr>
          <w:b/>
          <w:sz w:val="32"/>
        </w:rPr>
      </w:pPr>
      <w:r>
        <w:rPr>
          <w:b/>
          <w:sz w:val="32"/>
        </w:rPr>
        <w:t xml:space="preserve">Unit 4 </w:t>
      </w:r>
    </w:p>
    <w:p w:rsidR="003717A0" w:rsidRDefault="003717A0">
      <w:pPr>
        <w:jc w:val="center"/>
        <w:rPr>
          <w:b/>
          <w:sz w:val="24"/>
        </w:rPr>
      </w:pPr>
    </w:p>
    <w:p w:rsidR="003717A0" w:rsidRDefault="003717A0">
      <w:pPr>
        <w:rPr>
          <w:b/>
          <w:i/>
          <w:sz w:val="24"/>
        </w:rPr>
      </w:pPr>
      <w:r>
        <w:rPr>
          <w:b/>
          <w:i/>
          <w:sz w:val="24"/>
        </w:rPr>
        <w:t>Time allotment (6 periods):</w:t>
      </w:r>
    </w:p>
    <w:p w:rsidR="003717A0" w:rsidRDefault="003717A0">
      <w:pPr>
        <w:numPr>
          <w:ilvl w:val="0"/>
          <w:numId w:val="17"/>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17"/>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17"/>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 w:rsidR="003717A0" w:rsidRDefault="003717A0">
      <w:pPr>
        <w:rPr>
          <w:b/>
          <w:i/>
          <w:sz w:val="24"/>
        </w:rPr>
      </w:pPr>
      <w:r>
        <w:rPr>
          <w:b/>
          <w:i/>
          <w:sz w:val="24"/>
        </w:rPr>
        <w:t>Answer questions after finishing reading Text A:</w:t>
      </w:r>
    </w:p>
    <w:p w:rsidR="003717A0" w:rsidRDefault="003717A0">
      <w:pPr>
        <w:numPr>
          <w:ilvl w:val="0"/>
          <w:numId w:val="18"/>
        </w:numPr>
        <w:rPr>
          <w:szCs w:val="21"/>
        </w:rPr>
      </w:pPr>
      <w:r>
        <w:rPr>
          <w:szCs w:val="21"/>
        </w:rPr>
        <w:t>How do you think of the tips on making a good impression giving in the text?</w:t>
      </w:r>
    </w:p>
    <w:p w:rsidR="003717A0" w:rsidRDefault="003717A0">
      <w:pPr>
        <w:rPr>
          <w:szCs w:val="21"/>
        </w:rPr>
      </w:pPr>
      <w:r>
        <w:rPr>
          <w:szCs w:val="21"/>
        </w:rPr>
        <w:t>2.  Discuss the importance of a first good impression.</w:t>
      </w:r>
    </w:p>
    <w:p w:rsidR="003717A0" w:rsidRDefault="003717A0">
      <w:pPr>
        <w:rPr>
          <w:b/>
          <w:i/>
          <w:sz w:val="24"/>
        </w:rPr>
      </w:pPr>
      <w:r>
        <w:rPr>
          <w:b/>
          <w:i/>
          <w:sz w:val="24"/>
        </w:rPr>
        <w:t xml:space="preserve"> </w:t>
      </w:r>
    </w:p>
    <w:p w:rsidR="003717A0" w:rsidRDefault="003717A0">
      <w:pPr>
        <w:rPr>
          <w:b/>
          <w:i/>
          <w:sz w:val="24"/>
        </w:rPr>
      </w:pPr>
      <w:r>
        <w:rPr>
          <w:b/>
          <w:i/>
          <w:sz w:val="24"/>
        </w:rPr>
        <w:t>Key words in Text A:</w:t>
      </w:r>
    </w:p>
    <w:p w:rsidR="003717A0" w:rsidRDefault="003717A0">
      <w:pPr>
        <w:rPr>
          <w:bCs/>
          <w:iCs/>
          <w:szCs w:val="21"/>
        </w:rPr>
      </w:pPr>
      <w:r>
        <w:rPr>
          <w:bCs/>
          <w:iCs/>
          <w:szCs w:val="21"/>
        </w:rPr>
        <w:t xml:space="preserve">impression, conscious, interview, encounter, focus, absorbed, consistent, address, depress, contact, relax, entertainment, </w:t>
      </w:r>
    </w:p>
    <w:p w:rsidR="003717A0" w:rsidRDefault="003717A0">
      <w:pPr>
        <w:rPr>
          <w:b/>
          <w:i/>
          <w:szCs w:val="21"/>
        </w:rPr>
      </w:pPr>
    </w:p>
    <w:p w:rsidR="003717A0" w:rsidRDefault="003717A0">
      <w:pPr>
        <w:rPr>
          <w:b/>
          <w:i/>
          <w:sz w:val="24"/>
        </w:rPr>
      </w:pPr>
      <w:r>
        <w:rPr>
          <w:b/>
          <w:i/>
          <w:sz w:val="24"/>
        </w:rPr>
        <w:t>Key phrases and expressions in Text A:</w:t>
      </w:r>
    </w:p>
    <w:p w:rsidR="003717A0" w:rsidRDefault="003717A0">
      <w:pPr>
        <w:rPr>
          <w:bCs/>
          <w:iCs/>
          <w:szCs w:val="21"/>
        </w:rPr>
      </w:pPr>
      <w:r>
        <w:rPr>
          <w:bCs/>
          <w:iCs/>
          <w:szCs w:val="21"/>
        </w:rPr>
        <w:t xml:space="preserve">make up, a chain of, range from… to, focus on, make persuasive presentation, be committed to, be absorbed in, stride into, drive... crazy, at one’s best, eye contact, lighten up, break the stress, take...seriously. </w:t>
      </w:r>
    </w:p>
    <w:p w:rsidR="003717A0" w:rsidRDefault="003717A0">
      <w:pPr>
        <w:rPr>
          <w:szCs w:val="21"/>
        </w:rPr>
      </w:pPr>
    </w:p>
    <w:p w:rsidR="003717A0" w:rsidRDefault="003717A0">
      <w:pPr>
        <w:rPr>
          <w:b/>
          <w:i/>
          <w:sz w:val="24"/>
        </w:rPr>
      </w:pPr>
      <w:r>
        <w:rPr>
          <w:b/>
          <w:i/>
          <w:sz w:val="24"/>
        </w:rPr>
        <w:t>Key structures in Text A:</w:t>
      </w:r>
    </w:p>
    <w:p w:rsidR="003717A0" w:rsidRDefault="003717A0">
      <w:pPr>
        <w:numPr>
          <w:ilvl w:val="0"/>
          <w:numId w:val="19"/>
        </w:numPr>
        <w:rPr>
          <w:b/>
          <w:bCs/>
          <w:szCs w:val="21"/>
        </w:rPr>
      </w:pPr>
      <w:r>
        <w:rPr>
          <w:rFonts w:cs="Times New Roman"/>
          <w:b/>
          <w:bCs/>
          <w:szCs w:val="21"/>
        </w:rPr>
        <w:t>Using present participle to rewrite sentences at P.85.</w:t>
      </w:r>
    </w:p>
    <w:p w:rsidR="003717A0" w:rsidRDefault="003717A0">
      <w:pPr>
        <w:rPr>
          <w:b/>
          <w:bCs/>
          <w:szCs w:val="21"/>
          <w:u w:val="single"/>
        </w:rPr>
      </w:pPr>
      <w:r>
        <w:rPr>
          <w:b/>
          <w:bCs/>
          <w:szCs w:val="21"/>
        </w:rPr>
        <w:t xml:space="preserve">  We show our true feeling with our eyes, faces, bodies, and attitudes, </w:t>
      </w:r>
      <w:r>
        <w:rPr>
          <w:b/>
          <w:bCs/>
          <w:szCs w:val="21"/>
          <w:u w:val="single"/>
        </w:rPr>
        <w:t xml:space="preserve">causing a chain of reactions. </w:t>
      </w:r>
    </w:p>
    <w:p w:rsidR="003717A0" w:rsidRDefault="003717A0">
      <w:pPr>
        <w:rPr>
          <w:szCs w:val="21"/>
        </w:rPr>
      </w:pPr>
      <w:r>
        <w:rPr>
          <w:szCs w:val="21"/>
        </w:rPr>
        <w:t xml:space="preserve">  Hearing their teacher's voice, the pupils stopped talking at once.</w:t>
      </w:r>
      <w:r>
        <w:rPr>
          <w:rFonts w:hint="eastAsia"/>
          <w:szCs w:val="21"/>
        </w:rPr>
        <w:t>（</w:t>
      </w:r>
      <w:r>
        <w:rPr>
          <w:szCs w:val="21"/>
        </w:rPr>
        <w:t>= On hearing their teacher's voice</w:t>
      </w:r>
      <w:r>
        <w:rPr>
          <w:rFonts w:hint="eastAsia"/>
          <w:szCs w:val="21"/>
        </w:rPr>
        <w:t>…）</w:t>
      </w:r>
    </w:p>
    <w:p w:rsidR="003717A0" w:rsidRDefault="003717A0">
      <w:pPr>
        <w:rPr>
          <w:szCs w:val="21"/>
        </w:rPr>
      </w:pPr>
      <w:r>
        <w:rPr>
          <w:szCs w:val="21"/>
        </w:rPr>
        <w:t xml:space="preserve">  Not knowing how to work out the difficult physics problem, he asked the teacher for help.</w:t>
      </w:r>
    </w:p>
    <w:p w:rsidR="003717A0" w:rsidRDefault="003717A0">
      <w:pPr>
        <w:rPr>
          <w:szCs w:val="21"/>
        </w:rPr>
      </w:pPr>
      <w:r>
        <w:rPr>
          <w:szCs w:val="21"/>
        </w:rPr>
        <w:t xml:space="preserve">  Having lived with the girl for 5 years, we all know her very well.</w:t>
      </w:r>
      <w:r>
        <w:rPr>
          <w:szCs w:val="21"/>
        </w:rPr>
        <w:br/>
        <w:t xml:space="preserve">  Working hard, you'll succeed. = If you work hard, you'll succeed. </w:t>
      </w:r>
    </w:p>
    <w:p w:rsidR="003717A0" w:rsidRDefault="003717A0">
      <w:pPr>
        <w:rPr>
          <w:b/>
          <w:bCs/>
          <w:szCs w:val="21"/>
        </w:rPr>
      </w:pPr>
      <w:r>
        <w:rPr>
          <w:szCs w:val="21"/>
        </w:rPr>
        <w:t xml:space="preserve">  Weighing almost one hundred times, the stone was moved by him alone.</w:t>
      </w:r>
      <w:r>
        <w:rPr>
          <w:szCs w:val="21"/>
        </w:rPr>
        <w:br/>
      </w:r>
      <w:r>
        <w:rPr>
          <w:szCs w:val="21"/>
        </w:rPr>
        <w:lastRenderedPageBreak/>
        <w:t>   Their car was caught in a traffic jam, thus causing the delay.</w:t>
      </w:r>
      <w:r>
        <w:rPr>
          <w:szCs w:val="21"/>
        </w:rPr>
        <w:br/>
        <w:t>   The children ran out of the room, laughing and talking merrily.</w:t>
      </w:r>
      <w:r>
        <w:rPr>
          <w:szCs w:val="21"/>
        </w:rPr>
        <w:br/>
      </w:r>
      <w:r>
        <w:rPr>
          <w:b/>
          <w:bCs/>
          <w:szCs w:val="21"/>
        </w:rPr>
        <w:t xml:space="preserve">2. Using “so...(that)” to rewrite sentences at P.86. </w:t>
      </w:r>
    </w:p>
    <w:p w:rsidR="003717A0" w:rsidRDefault="003717A0">
      <w:pPr>
        <w:rPr>
          <w:szCs w:val="21"/>
        </w:rPr>
      </w:pPr>
    </w:p>
    <w:p w:rsidR="003717A0" w:rsidRDefault="003717A0">
      <w:pPr>
        <w:rPr>
          <w:b/>
          <w:i/>
          <w:szCs w:val="21"/>
        </w:rPr>
      </w:pPr>
      <w:r>
        <w:rPr>
          <w:b/>
          <w:i/>
          <w:szCs w:val="21"/>
        </w:rPr>
        <w:t>Key phrases and expressions in Text B</w:t>
      </w:r>
    </w:p>
    <w:p w:rsidR="003717A0" w:rsidRDefault="003717A0">
      <w:pPr>
        <w:rPr>
          <w:bCs/>
          <w:iCs/>
          <w:szCs w:val="21"/>
        </w:rPr>
      </w:pPr>
      <w:r>
        <w:rPr>
          <w:bCs/>
          <w:iCs/>
          <w:szCs w:val="21"/>
        </w:rPr>
        <w:t>snap judgment, sound reason, love at first sight, in relation to, be acquainted with, be aware of, pick up, account for, rub hands, give insights into, be promoted, be content with, by means of, a wealth of, in part, feel at home</w:t>
      </w:r>
    </w:p>
    <w:p w:rsidR="003717A0" w:rsidRDefault="003717A0"/>
    <w:p w:rsidR="003717A0" w:rsidRDefault="003717A0">
      <w:pPr>
        <w:rPr>
          <w:b/>
          <w:i/>
          <w:sz w:val="24"/>
        </w:rPr>
      </w:pPr>
      <w:r>
        <w:rPr>
          <w:b/>
          <w:i/>
          <w:sz w:val="24"/>
        </w:rPr>
        <w:t>Topic for writing:</w:t>
      </w:r>
    </w:p>
    <w:p w:rsidR="003717A0" w:rsidRDefault="003717A0">
      <w:pPr>
        <w:ind w:left="1050" w:hangingChars="500" w:hanging="1050"/>
        <w:rPr>
          <w:sz w:val="18"/>
          <w:szCs w:val="18"/>
        </w:rPr>
      </w:pPr>
      <w:r>
        <w:t xml:space="preserve">Directions: You are allowed 30 minutes to write a composition with on the topic </w:t>
      </w:r>
      <w:r>
        <w:rPr>
          <w:b/>
          <w:i/>
        </w:rPr>
        <w:t>How to Make a Good Impression in a Job Interview</w:t>
      </w:r>
      <w:r>
        <w:t>. You should write at least 130 words.</w:t>
      </w:r>
    </w:p>
    <w:p w:rsidR="003717A0" w:rsidRDefault="003717A0">
      <w:pPr>
        <w:rPr>
          <w:b/>
          <w:i/>
          <w:szCs w:val="21"/>
        </w:rPr>
      </w:pPr>
      <w:r>
        <w:rPr>
          <w:b/>
          <w:i/>
          <w:szCs w:val="21"/>
        </w:rPr>
        <w:t>Additional work:</w:t>
      </w:r>
    </w:p>
    <w:p w:rsidR="003717A0" w:rsidRDefault="003717A0">
      <w:pPr>
        <w:numPr>
          <w:ilvl w:val="0"/>
          <w:numId w:val="20"/>
        </w:numPr>
        <w:rPr>
          <w:szCs w:val="21"/>
        </w:rPr>
      </w:pPr>
      <w:r>
        <w:rPr>
          <w:szCs w:val="21"/>
        </w:rPr>
        <w:t>Recite the 1</w:t>
      </w:r>
      <w:r>
        <w:rPr>
          <w:szCs w:val="21"/>
          <w:vertAlign w:val="superscript"/>
        </w:rPr>
        <w:t xml:space="preserve">st </w:t>
      </w:r>
      <w:r>
        <w:rPr>
          <w:szCs w:val="21"/>
        </w:rPr>
        <w:t>and 15</w:t>
      </w:r>
      <w:r>
        <w:rPr>
          <w:szCs w:val="21"/>
          <w:vertAlign w:val="superscript"/>
        </w:rPr>
        <w:t>th</w:t>
      </w:r>
      <w:r>
        <w:rPr>
          <w:szCs w:val="21"/>
        </w:rPr>
        <w:t xml:space="preserve"> paragraph in Text A.</w:t>
      </w:r>
    </w:p>
    <w:p w:rsidR="003717A0" w:rsidRDefault="003717A0">
      <w:pPr>
        <w:numPr>
          <w:ilvl w:val="0"/>
          <w:numId w:val="20"/>
        </w:numPr>
        <w:rPr>
          <w:szCs w:val="21"/>
        </w:rPr>
      </w:pPr>
      <w:r>
        <w:rPr>
          <w:szCs w:val="21"/>
        </w:rPr>
        <w:t xml:space="preserve">Summarize four tips of making a good impression. </w:t>
      </w:r>
    </w:p>
    <w:p w:rsidR="003717A0" w:rsidRDefault="003717A0">
      <w:pPr>
        <w:jc w:val="center"/>
        <w:rPr>
          <w:b/>
          <w:sz w:val="32"/>
        </w:rPr>
      </w:pPr>
    </w:p>
    <w:p w:rsidR="003717A0" w:rsidRDefault="003717A0">
      <w:pPr>
        <w:rPr>
          <w:b/>
          <w:sz w:val="32"/>
        </w:rPr>
      </w:pPr>
      <w:r>
        <w:rPr>
          <w:b/>
          <w:sz w:val="32"/>
        </w:rPr>
        <w:t xml:space="preserve">Unit 5 </w:t>
      </w:r>
    </w:p>
    <w:p w:rsidR="003717A0" w:rsidRDefault="003717A0">
      <w:pPr>
        <w:jc w:val="center"/>
        <w:rPr>
          <w:b/>
          <w:sz w:val="24"/>
        </w:rPr>
      </w:pPr>
    </w:p>
    <w:p w:rsidR="003717A0" w:rsidRDefault="003717A0">
      <w:pPr>
        <w:rPr>
          <w:b/>
          <w:i/>
          <w:sz w:val="24"/>
        </w:rPr>
      </w:pPr>
      <w:r>
        <w:rPr>
          <w:b/>
          <w:i/>
          <w:sz w:val="24"/>
        </w:rPr>
        <w:t>Time allotment (6 periods):</w:t>
      </w:r>
    </w:p>
    <w:p w:rsidR="003717A0" w:rsidRDefault="003717A0">
      <w:pPr>
        <w:numPr>
          <w:ilvl w:val="0"/>
          <w:numId w:val="21"/>
        </w:numPr>
      </w:pPr>
      <w:r>
        <w:t>1</w:t>
      </w:r>
      <w:r>
        <w:rPr>
          <w:vertAlign w:val="superscript"/>
        </w:rPr>
        <w:t>st</w:t>
      </w:r>
      <w:r>
        <w:t xml:space="preserve"> and 2</w:t>
      </w:r>
      <w:r>
        <w:rPr>
          <w:vertAlign w:val="superscript"/>
        </w:rPr>
        <w:t>nd</w:t>
      </w:r>
      <w:r>
        <w:t xml:space="preserve"> period: Text A study:</w:t>
      </w:r>
    </w:p>
    <w:p w:rsidR="003717A0" w:rsidRDefault="003717A0">
      <w:r>
        <w:t xml:space="preserve">                  background information; cultural notes; text organization;</w:t>
      </w:r>
    </w:p>
    <w:p w:rsidR="003717A0" w:rsidRDefault="003717A0">
      <w:pPr>
        <w:ind w:firstLineChars="900" w:firstLine="1890"/>
      </w:pPr>
      <w:r>
        <w:t>words and structures;</w:t>
      </w:r>
    </w:p>
    <w:p w:rsidR="003717A0" w:rsidRDefault="003717A0">
      <w:pPr>
        <w:numPr>
          <w:ilvl w:val="0"/>
          <w:numId w:val="21"/>
        </w:numPr>
      </w:pPr>
      <w:r>
        <w:t>3</w:t>
      </w:r>
      <w:r>
        <w:rPr>
          <w:vertAlign w:val="superscript"/>
        </w:rPr>
        <w:t>rd</w:t>
      </w:r>
      <w:r>
        <w:t xml:space="preserve"> and 4</w:t>
      </w:r>
      <w:r>
        <w:rPr>
          <w:vertAlign w:val="superscript"/>
        </w:rPr>
        <w:t>th</w:t>
      </w:r>
      <w:r>
        <w:t xml:space="preserve"> period: Text A study:</w:t>
      </w:r>
    </w:p>
    <w:p w:rsidR="003717A0" w:rsidRDefault="003717A0">
      <w:pPr>
        <w:ind w:firstLineChars="900" w:firstLine="1890"/>
      </w:pPr>
      <w:r>
        <w:t>Review key language points; exercises after text A; essay writing;</w:t>
      </w:r>
    </w:p>
    <w:p w:rsidR="003717A0" w:rsidRDefault="003717A0">
      <w:pPr>
        <w:numPr>
          <w:ilvl w:val="0"/>
          <w:numId w:val="21"/>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w:t>
      </w:r>
    </w:p>
    <w:p w:rsidR="003717A0" w:rsidRDefault="003717A0"/>
    <w:p w:rsidR="003717A0" w:rsidRDefault="003717A0">
      <w:pPr>
        <w:rPr>
          <w:b/>
          <w:i/>
          <w:sz w:val="24"/>
        </w:rPr>
      </w:pPr>
      <w:r>
        <w:rPr>
          <w:b/>
          <w:i/>
          <w:sz w:val="24"/>
        </w:rPr>
        <w:t>Answer questions after finishing reading Text A:</w:t>
      </w:r>
    </w:p>
    <w:p w:rsidR="003717A0" w:rsidRDefault="003717A0">
      <w:pPr>
        <w:snapToGrid w:val="0"/>
      </w:pPr>
      <w:r>
        <w:rPr>
          <w:bCs/>
        </w:rPr>
        <w:t>1. What is the name of the disease that appeared more than 20 years ago?</w:t>
      </w:r>
    </w:p>
    <w:p w:rsidR="003717A0" w:rsidRDefault="003717A0">
      <w:pPr>
        <w:snapToGrid w:val="0"/>
      </w:pPr>
      <w:r>
        <w:rPr>
          <w:bCs/>
        </w:rPr>
        <w:t>2. What war does this passage describe?</w:t>
      </w:r>
    </w:p>
    <w:p w:rsidR="003717A0" w:rsidRDefault="003717A0">
      <w:pPr>
        <w:snapToGrid w:val="0"/>
        <w:rPr>
          <w:bCs/>
        </w:rPr>
      </w:pPr>
      <w:r>
        <w:rPr>
          <w:bCs/>
        </w:rPr>
        <w:t>3. What must each of us learn to do?</w:t>
      </w:r>
    </w:p>
    <w:p w:rsidR="003717A0" w:rsidRDefault="003717A0">
      <w:pPr>
        <w:rPr>
          <w:b/>
          <w:i/>
          <w:sz w:val="24"/>
        </w:rPr>
      </w:pPr>
      <w:r>
        <w:rPr>
          <w:b/>
          <w:i/>
          <w:sz w:val="24"/>
        </w:rPr>
        <w:t xml:space="preserve"> </w:t>
      </w:r>
    </w:p>
    <w:p w:rsidR="003717A0" w:rsidRDefault="003717A0">
      <w:pPr>
        <w:rPr>
          <w:b/>
          <w:i/>
          <w:sz w:val="24"/>
        </w:rPr>
      </w:pPr>
      <w:r>
        <w:rPr>
          <w:b/>
          <w:i/>
          <w:sz w:val="24"/>
        </w:rPr>
        <w:t>Key words in Text A:</w:t>
      </w:r>
    </w:p>
    <w:p w:rsidR="003717A0" w:rsidRDefault="003717A0">
      <w:pPr>
        <w:rPr>
          <w:bCs/>
          <w:iCs/>
          <w:szCs w:val="21"/>
        </w:rPr>
      </w:pPr>
      <w:r>
        <w:rPr>
          <w:bCs/>
          <w:iCs/>
          <w:szCs w:val="21"/>
        </w:rPr>
        <w:t>acquire, immune, diagnose, implement, combat, valuable, illustrate, risk, plague, represent, threaten, distract</w:t>
      </w:r>
    </w:p>
    <w:p w:rsidR="003717A0" w:rsidRDefault="003717A0">
      <w:pPr>
        <w:rPr>
          <w:b/>
          <w:i/>
          <w:szCs w:val="21"/>
        </w:rPr>
      </w:pPr>
    </w:p>
    <w:p w:rsidR="003717A0" w:rsidRDefault="003717A0">
      <w:pPr>
        <w:rPr>
          <w:b/>
          <w:i/>
          <w:sz w:val="24"/>
        </w:rPr>
      </w:pPr>
      <w:r>
        <w:rPr>
          <w:b/>
          <w:i/>
          <w:sz w:val="24"/>
        </w:rPr>
        <w:t>Key phrases and expressions in Text A:</w:t>
      </w:r>
    </w:p>
    <w:p w:rsidR="003717A0" w:rsidRDefault="003717A0">
      <w:pPr>
        <w:rPr>
          <w:bCs/>
          <w:iCs/>
          <w:szCs w:val="21"/>
        </w:rPr>
      </w:pPr>
      <w:r>
        <w:rPr>
          <w:bCs/>
          <w:iCs/>
          <w:szCs w:val="21"/>
        </w:rPr>
        <w:t>be diagnosed with, be infected with, be expected to, suffer from, a lack of, force it to do sth., keep sth. around, be against, pass out, paly a role in, the risk of doing sth., the solutions to sth., regardless of, guard against, wipe out, distract from, sign up</w:t>
      </w:r>
    </w:p>
    <w:p w:rsidR="003717A0" w:rsidRDefault="003717A0">
      <w:pPr>
        <w:rPr>
          <w:szCs w:val="21"/>
        </w:rPr>
      </w:pPr>
    </w:p>
    <w:p w:rsidR="003717A0" w:rsidRDefault="003717A0">
      <w:pPr>
        <w:rPr>
          <w:b/>
          <w:i/>
          <w:sz w:val="24"/>
        </w:rPr>
      </w:pPr>
      <w:r>
        <w:rPr>
          <w:b/>
          <w:i/>
          <w:sz w:val="24"/>
        </w:rPr>
        <w:t>Key structures in Text A:</w:t>
      </w:r>
    </w:p>
    <w:p w:rsidR="003717A0" w:rsidRDefault="003717A0">
      <w:pPr>
        <w:snapToGrid w:val="0"/>
        <w:rPr>
          <w:b/>
          <w:bCs/>
        </w:rPr>
      </w:pPr>
      <w:r>
        <w:t xml:space="preserve">1. </w:t>
      </w:r>
      <w:r>
        <w:rPr>
          <w:b/>
          <w:bCs/>
        </w:rPr>
        <w:t>Typical patterns for comparison and contrast:</w:t>
      </w:r>
    </w:p>
    <w:p w:rsidR="003717A0" w:rsidRDefault="003717A0">
      <w:pPr>
        <w:snapToGrid w:val="0"/>
        <w:rPr>
          <w:bCs/>
        </w:rPr>
      </w:pPr>
      <w:r>
        <w:rPr>
          <w:bCs/>
        </w:rPr>
        <w:lastRenderedPageBreak/>
        <w:t xml:space="preserve">1) Despite / In spite of sth,  sb / sth (else) is   + adj. in doing … (or: Despite </w:t>
      </w:r>
      <w:r>
        <w:rPr>
          <w:rFonts w:hint="eastAsia"/>
          <w:bCs/>
        </w:rPr>
        <w:t>…</w:t>
      </w:r>
      <w:r>
        <w:rPr>
          <w:bCs/>
        </w:rPr>
        <w:t>, sb / sth still does sth else.) ……</w:t>
      </w:r>
      <w:r>
        <w:t xml:space="preserve"> </w:t>
      </w:r>
    </w:p>
    <w:p w:rsidR="003717A0" w:rsidRDefault="003717A0">
      <w:pPr>
        <w:snapToGrid w:val="0"/>
      </w:pPr>
      <w:r>
        <w:rPr>
          <w:bCs/>
        </w:rPr>
        <w:t xml:space="preserve"> Despite endless criticism from the public, he is still persistent in pursuing his wrong course. </w:t>
      </w:r>
    </w:p>
    <w:p w:rsidR="003717A0" w:rsidRDefault="003717A0">
      <w:pPr>
        <w:numPr>
          <w:ilvl w:val="0"/>
          <w:numId w:val="22"/>
        </w:numPr>
        <w:snapToGrid w:val="0"/>
        <w:rPr>
          <w:bCs/>
        </w:rPr>
      </w:pPr>
      <w:r>
        <w:rPr>
          <w:rFonts w:cs="Times New Roman"/>
          <w:bCs/>
        </w:rPr>
        <w:t xml:space="preserve">. In place of sth./sb, sth(else)/sb (else ) do/does </w:t>
      </w:r>
      <w:r>
        <w:rPr>
          <w:rFonts w:hint="eastAsia"/>
          <w:bCs/>
        </w:rPr>
        <w:t>…</w:t>
      </w:r>
      <w:r>
        <w:rPr>
          <w:bCs/>
        </w:rPr>
        <w:t xml:space="preserve"> </w:t>
      </w:r>
    </w:p>
    <w:p w:rsidR="003717A0" w:rsidRDefault="003717A0">
      <w:pPr>
        <w:snapToGrid w:val="0"/>
        <w:rPr>
          <w:bCs/>
        </w:rPr>
      </w:pPr>
      <w:r>
        <w:rPr>
          <w:bCs/>
        </w:rPr>
        <w:t xml:space="preserve"> In place of others’ colorful lives, he lived his 47 years’ life in disappointment and even frustration.</w:t>
      </w:r>
    </w:p>
    <w:p w:rsidR="003717A0" w:rsidRDefault="003717A0">
      <w:pPr>
        <w:snapToGrid w:val="0"/>
        <w:rPr>
          <w:bCs/>
        </w:rPr>
      </w:pPr>
      <w:r>
        <w:rPr>
          <w:bCs/>
        </w:rPr>
        <w:t xml:space="preserve">3) Sth. /Sb. has / does </w:t>
      </w:r>
      <w:r>
        <w:rPr>
          <w:rFonts w:hint="eastAsia"/>
          <w:bCs/>
        </w:rPr>
        <w:t>／</w:t>
      </w:r>
      <w:r>
        <w:rPr>
          <w:bCs/>
        </w:rPr>
        <w:t>is more</w:t>
      </w:r>
      <w:r>
        <w:rPr>
          <w:rFonts w:hint="eastAsia"/>
          <w:bCs/>
        </w:rPr>
        <w:t>…</w:t>
      </w:r>
      <w:r>
        <w:rPr>
          <w:bCs/>
        </w:rPr>
        <w:t xml:space="preserve"> than… </w:t>
      </w:r>
      <w:r>
        <w:t xml:space="preserve"> </w:t>
      </w:r>
    </w:p>
    <w:p w:rsidR="003717A0" w:rsidRDefault="003717A0">
      <w:pPr>
        <w:snapToGrid w:val="0"/>
      </w:pPr>
      <w:r>
        <w:rPr>
          <w:bCs/>
        </w:rPr>
        <w:t xml:space="preserve"> He dwelt more on the memories of their past life than his wife because he could not forget the days when they were deeply in love. </w:t>
      </w:r>
    </w:p>
    <w:p w:rsidR="003717A0" w:rsidRDefault="003717A0">
      <w:pPr>
        <w:rPr>
          <w:szCs w:val="21"/>
        </w:rPr>
      </w:pPr>
    </w:p>
    <w:p w:rsidR="003717A0" w:rsidRDefault="003717A0">
      <w:pPr>
        <w:numPr>
          <w:ilvl w:val="0"/>
          <w:numId w:val="23"/>
        </w:numPr>
        <w:rPr>
          <w:b/>
          <w:bCs/>
          <w:szCs w:val="21"/>
        </w:rPr>
      </w:pPr>
      <w:r>
        <w:rPr>
          <w:rFonts w:eastAsia="Times New Roman" w:cs="Times New Roman"/>
          <w:szCs w:val="21"/>
        </w:rPr>
        <w:t>  </w:t>
      </w:r>
      <w:r>
        <w:rPr>
          <w:b/>
          <w:bCs/>
          <w:szCs w:val="21"/>
        </w:rPr>
        <w:t>Past participle used as attributive.</w:t>
      </w:r>
    </w:p>
    <w:p w:rsidR="003717A0" w:rsidRDefault="003717A0">
      <w:pPr>
        <w:rPr>
          <w:b/>
          <w:bCs/>
          <w:szCs w:val="21"/>
        </w:rPr>
      </w:pPr>
      <w:r>
        <w:rPr>
          <w:b/>
          <w:bCs/>
          <w:szCs w:val="21"/>
        </w:rPr>
        <w:t xml:space="preserve">(Para.2 L1)  Nearly half of the people </w:t>
      </w:r>
      <w:r>
        <w:rPr>
          <w:b/>
          <w:bCs/>
          <w:i/>
          <w:szCs w:val="21"/>
          <w:u w:val="single"/>
        </w:rPr>
        <w:t>diagnosed with</w:t>
      </w:r>
      <w:r>
        <w:rPr>
          <w:b/>
          <w:bCs/>
          <w:szCs w:val="21"/>
        </w:rPr>
        <w:t xml:space="preserve"> the virus are blacks and Latinos.</w:t>
      </w:r>
    </w:p>
    <w:p w:rsidR="003717A0" w:rsidRDefault="003717A0">
      <w:pPr>
        <w:rPr>
          <w:szCs w:val="21"/>
        </w:rPr>
      </w:pPr>
      <w:r>
        <w:rPr>
          <w:szCs w:val="21"/>
        </w:rPr>
        <w:t xml:space="preserve">We must adapt our thinking to the changed conditions. </w:t>
      </w:r>
    </w:p>
    <w:p w:rsidR="003717A0" w:rsidRDefault="003717A0">
      <w:pPr>
        <w:rPr>
          <w:szCs w:val="21"/>
        </w:rPr>
      </w:pPr>
      <w:r>
        <w:rPr>
          <w:szCs w:val="21"/>
        </w:rPr>
        <w:t>The concert given by their friends was a success.</w:t>
      </w:r>
    </w:p>
    <w:p w:rsidR="003717A0" w:rsidRDefault="003717A0">
      <w:pPr>
        <w:rPr>
          <w:szCs w:val="21"/>
        </w:rPr>
      </w:pPr>
      <w:r>
        <w:rPr>
          <w:szCs w:val="21"/>
        </w:rPr>
        <w:t xml:space="preserve">The meeting, attended by over five thousand people, welcomed the great hero. </w:t>
      </w:r>
    </w:p>
    <w:p w:rsidR="003717A0" w:rsidRDefault="003717A0">
      <w:pPr>
        <w:rPr>
          <w:szCs w:val="21"/>
        </w:rPr>
      </w:pPr>
    </w:p>
    <w:p w:rsidR="003717A0" w:rsidRDefault="003717A0">
      <w:pPr>
        <w:numPr>
          <w:ilvl w:val="0"/>
          <w:numId w:val="23"/>
        </w:numPr>
        <w:rPr>
          <w:b/>
          <w:bCs/>
          <w:szCs w:val="21"/>
        </w:rPr>
      </w:pPr>
      <w:r>
        <w:rPr>
          <w:rFonts w:cs="Times New Roman"/>
          <w:b/>
          <w:bCs/>
          <w:szCs w:val="21"/>
        </w:rPr>
        <w:t xml:space="preserve">The usage of </w:t>
      </w:r>
      <w:r>
        <w:rPr>
          <w:b/>
          <w:bCs/>
          <w:szCs w:val="21"/>
        </w:rPr>
        <w:t xml:space="preserve">“despite”. See exercise at P.112. </w:t>
      </w:r>
    </w:p>
    <w:p w:rsidR="003717A0" w:rsidRDefault="003717A0">
      <w:pPr>
        <w:rPr>
          <w:b/>
          <w:bCs/>
          <w:szCs w:val="21"/>
        </w:rPr>
      </w:pPr>
      <w:r>
        <w:rPr>
          <w:b/>
          <w:bCs/>
          <w:szCs w:val="21"/>
        </w:rPr>
        <w:t>(Para.3 L1) </w:t>
      </w:r>
      <w:r>
        <w:rPr>
          <w:b/>
          <w:bCs/>
          <w:i/>
          <w:iCs/>
          <w:szCs w:val="21"/>
          <w:u w:val="single"/>
        </w:rPr>
        <w:t>Despite</w:t>
      </w:r>
      <w:r>
        <w:rPr>
          <w:b/>
          <w:bCs/>
          <w:szCs w:val="21"/>
        </w:rPr>
        <w:t xml:space="preserve"> such alarming numbers, the federal and state governments have been slow in implementing programs to stop the spread of AIDS.</w:t>
      </w:r>
    </w:p>
    <w:p w:rsidR="003717A0" w:rsidRDefault="003717A0">
      <w:pPr>
        <w:rPr>
          <w:szCs w:val="21"/>
        </w:rPr>
      </w:pPr>
      <w:r>
        <w:rPr>
          <w:szCs w:val="21"/>
        </w:rPr>
        <w:t>Despite his advanced years</w:t>
      </w:r>
      <w:r>
        <w:rPr>
          <w:rFonts w:hint="eastAsia"/>
          <w:szCs w:val="21"/>
        </w:rPr>
        <w:t>，</w:t>
      </w:r>
      <w:r>
        <w:rPr>
          <w:szCs w:val="21"/>
        </w:rPr>
        <w:t>he is learning to drive</w:t>
      </w:r>
      <w:r>
        <w:rPr>
          <w:rFonts w:hint="eastAsia"/>
          <w:szCs w:val="21"/>
        </w:rPr>
        <w:t>．</w:t>
      </w:r>
    </w:p>
    <w:p w:rsidR="003717A0" w:rsidRDefault="003717A0">
      <w:pPr>
        <w:rPr>
          <w:szCs w:val="21"/>
        </w:rPr>
      </w:pPr>
      <w:r>
        <w:rPr>
          <w:szCs w:val="21"/>
        </w:rPr>
        <w:t>Despite the drought</w:t>
      </w:r>
      <w:r>
        <w:rPr>
          <w:rFonts w:hint="eastAsia"/>
          <w:szCs w:val="21"/>
        </w:rPr>
        <w:t>，</w:t>
      </w:r>
      <w:r>
        <w:rPr>
          <w:szCs w:val="21"/>
        </w:rPr>
        <w:t>we expect a good crop</w:t>
      </w:r>
      <w:r>
        <w:rPr>
          <w:rFonts w:hint="eastAsia"/>
          <w:szCs w:val="21"/>
        </w:rPr>
        <w:t>．</w:t>
      </w:r>
    </w:p>
    <w:p w:rsidR="003717A0" w:rsidRDefault="003717A0">
      <w:pPr>
        <w:rPr>
          <w:szCs w:val="21"/>
        </w:rPr>
      </w:pPr>
      <w:r>
        <w:rPr>
          <w:szCs w:val="21"/>
        </w:rPr>
        <w:t>In spite of the police brandishing their clubs and pistols</w:t>
      </w:r>
      <w:r>
        <w:rPr>
          <w:rFonts w:hint="eastAsia"/>
          <w:szCs w:val="21"/>
        </w:rPr>
        <w:t>，</w:t>
      </w:r>
      <w:r>
        <w:rPr>
          <w:szCs w:val="21"/>
        </w:rPr>
        <w:t>people showed not the slightest fear</w:t>
      </w:r>
      <w:r>
        <w:rPr>
          <w:rFonts w:hint="eastAsia"/>
          <w:szCs w:val="21"/>
        </w:rPr>
        <w:t>．</w:t>
      </w:r>
    </w:p>
    <w:p w:rsidR="003717A0" w:rsidRDefault="003717A0">
      <w:pPr>
        <w:rPr>
          <w:szCs w:val="21"/>
        </w:rPr>
      </w:pPr>
      <w:r>
        <w:rPr>
          <w:szCs w:val="21"/>
        </w:rPr>
        <w:t>We arrived at the station in spite of the storm</w:t>
      </w:r>
      <w:r>
        <w:rPr>
          <w:rFonts w:hint="eastAsia"/>
          <w:szCs w:val="21"/>
        </w:rPr>
        <w:t>．</w:t>
      </w:r>
    </w:p>
    <w:p w:rsidR="003717A0" w:rsidRDefault="003717A0">
      <w:pPr>
        <w:rPr>
          <w:szCs w:val="21"/>
        </w:rPr>
      </w:pPr>
    </w:p>
    <w:p w:rsidR="003717A0" w:rsidRDefault="003717A0">
      <w:pPr>
        <w:numPr>
          <w:ilvl w:val="0"/>
          <w:numId w:val="23"/>
        </w:numPr>
        <w:rPr>
          <w:b/>
          <w:bCs/>
          <w:szCs w:val="21"/>
        </w:rPr>
      </w:pPr>
      <w:r>
        <w:rPr>
          <w:rFonts w:cs="Times New Roman"/>
          <w:b/>
          <w:bCs/>
          <w:szCs w:val="21"/>
        </w:rPr>
        <w:t xml:space="preserve">The usage of </w:t>
      </w:r>
      <w:r>
        <w:rPr>
          <w:b/>
          <w:bCs/>
          <w:szCs w:val="21"/>
        </w:rPr>
        <w:t>“it”.</w:t>
      </w:r>
    </w:p>
    <w:p w:rsidR="003717A0" w:rsidRDefault="003717A0">
      <w:pPr>
        <w:rPr>
          <w:szCs w:val="21"/>
        </w:rPr>
      </w:pPr>
      <w:r>
        <w:rPr>
          <w:b/>
          <w:bCs/>
          <w:szCs w:val="21"/>
        </w:rPr>
        <w:t xml:space="preserve"> (Para.5 L4 ) </w:t>
      </w:r>
      <w:r>
        <w:rPr>
          <w:b/>
          <w:bCs/>
          <w:i/>
          <w:iCs/>
          <w:szCs w:val="21"/>
          <w:u w:val="single"/>
        </w:rPr>
        <w:t>It</w:t>
      </w:r>
      <w:r>
        <w:rPr>
          <w:b/>
          <w:bCs/>
          <w:szCs w:val="21"/>
        </w:rPr>
        <w:t xml:space="preserve"> is amazing how many people she has educated on the job.</w:t>
      </w:r>
    </w:p>
    <w:p w:rsidR="003717A0" w:rsidRDefault="003717A0">
      <w:pPr>
        <w:ind w:firstLineChars="196" w:firstLine="413"/>
        <w:rPr>
          <w:szCs w:val="21"/>
        </w:rPr>
      </w:pPr>
      <w:bookmarkStart w:id="22" w:name="1_1"/>
      <w:bookmarkEnd w:id="22"/>
      <w:r>
        <w:rPr>
          <w:b/>
          <w:bCs/>
          <w:szCs w:val="21"/>
        </w:rPr>
        <w:t>1) logical subject is “to do” construction.</w:t>
      </w:r>
    </w:p>
    <w:p w:rsidR="003717A0" w:rsidRDefault="003717A0">
      <w:pPr>
        <w:rPr>
          <w:szCs w:val="21"/>
        </w:rPr>
      </w:pPr>
      <w:r>
        <w:rPr>
          <w:rFonts w:hint="eastAsia"/>
          <w:szCs w:val="21"/>
        </w:rPr>
        <w:t xml:space="preserve">　</w:t>
      </w:r>
      <w:r>
        <w:rPr>
          <w:szCs w:val="21"/>
        </w:rPr>
        <w:t xml:space="preserve">  It is very kind of you to give me a hand in time.</w:t>
      </w:r>
    </w:p>
    <w:p w:rsidR="003717A0" w:rsidRDefault="003717A0">
      <w:pPr>
        <w:rPr>
          <w:szCs w:val="21"/>
        </w:rPr>
      </w:pPr>
      <w:r>
        <w:rPr>
          <w:rFonts w:hint="eastAsia"/>
          <w:szCs w:val="21"/>
        </w:rPr>
        <w:t xml:space="preserve">　　</w:t>
      </w:r>
      <w:r>
        <w:rPr>
          <w:szCs w:val="21"/>
        </w:rPr>
        <w:t>It is my pleasure to address the meeting.</w:t>
      </w:r>
    </w:p>
    <w:p w:rsidR="003717A0" w:rsidRDefault="003717A0">
      <w:pPr>
        <w:rPr>
          <w:szCs w:val="21"/>
        </w:rPr>
      </w:pPr>
      <w:r>
        <w:rPr>
          <w:rFonts w:hint="eastAsia"/>
          <w:szCs w:val="21"/>
        </w:rPr>
        <w:t xml:space="preserve">　　</w:t>
      </w:r>
      <w:r>
        <w:rPr>
          <w:szCs w:val="21"/>
        </w:rPr>
        <w:t>It was pretty hard for him to bring up the child on his own.</w:t>
      </w:r>
    </w:p>
    <w:p w:rsidR="003717A0" w:rsidRDefault="003717A0">
      <w:pPr>
        <w:ind w:firstLineChars="196" w:firstLine="413"/>
        <w:rPr>
          <w:szCs w:val="21"/>
        </w:rPr>
      </w:pPr>
      <w:bookmarkStart w:id="23" w:name="1_2"/>
      <w:bookmarkEnd w:id="23"/>
      <w:r>
        <w:rPr>
          <w:b/>
          <w:bCs/>
          <w:szCs w:val="21"/>
        </w:rPr>
        <w:t>2) logical subject is a clause.</w:t>
      </w:r>
    </w:p>
    <w:p w:rsidR="003717A0" w:rsidRDefault="003717A0">
      <w:pPr>
        <w:rPr>
          <w:szCs w:val="21"/>
        </w:rPr>
      </w:pPr>
      <w:r>
        <w:rPr>
          <w:rFonts w:hint="eastAsia"/>
          <w:szCs w:val="21"/>
        </w:rPr>
        <w:t xml:space="preserve">　　如：</w:t>
      </w:r>
      <w:r>
        <w:rPr>
          <w:szCs w:val="21"/>
        </w:rPr>
        <w:t>It so happened that the tickets were sold out.</w:t>
      </w:r>
    </w:p>
    <w:p w:rsidR="003717A0" w:rsidRDefault="003717A0">
      <w:pPr>
        <w:rPr>
          <w:szCs w:val="21"/>
        </w:rPr>
      </w:pPr>
      <w:r>
        <w:rPr>
          <w:rFonts w:hint="eastAsia"/>
          <w:szCs w:val="21"/>
        </w:rPr>
        <w:t xml:space="preserve">　　</w:t>
      </w:r>
      <w:r>
        <w:rPr>
          <w:szCs w:val="21"/>
        </w:rPr>
        <w:t>It is extremely obvious that she has been lying about her identity.</w:t>
      </w:r>
    </w:p>
    <w:p w:rsidR="003717A0" w:rsidRDefault="003717A0">
      <w:pPr>
        <w:rPr>
          <w:szCs w:val="21"/>
        </w:rPr>
      </w:pPr>
      <w:r>
        <w:rPr>
          <w:rFonts w:hint="eastAsia"/>
          <w:szCs w:val="21"/>
        </w:rPr>
        <w:t xml:space="preserve">　　</w:t>
      </w:r>
      <w:r>
        <w:rPr>
          <w:szCs w:val="21"/>
        </w:rPr>
        <w:t>It suddenly occurred to me that the message must have been hidden</w:t>
      </w:r>
    </w:p>
    <w:p w:rsidR="003717A0" w:rsidRDefault="003717A0">
      <w:pPr>
        <w:rPr>
          <w:szCs w:val="21"/>
        </w:rPr>
      </w:pPr>
      <w:r>
        <w:rPr>
          <w:rFonts w:hint="eastAsia"/>
          <w:szCs w:val="21"/>
        </w:rPr>
        <w:t xml:space="preserve">　　</w:t>
      </w:r>
      <w:r>
        <w:rPr>
          <w:szCs w:val="21"/>
        </w:rPr>
        <w:t>between the layers of the briefcase.</w:t>
      </w:r>
    </w:p>
    <w:p w:rsidR="003717A0" w:rsidRDefault="003717A0">
      <w:pPr>
        <w:ind w:firstLineChars="196" w:firstLine="413"/>
        <w:rPr>
          <w:szCs w:val="21"/>
        </w:rPr>
      </w:pPr>
      <w:bookmarkStart w:id="24" w:name="1_3"/>
      <w:bookmarkEnd w:id="24"/>
      <w:r>
        <w:rPr>
          <w:b/>
          <w:bCs/>
          <w:szCs w:val="21"/>
        </w:rPr>
        <w:t>3) logical subject is a noun phrase.</w:t>
      </w:r>
    </w:p>
    <w:p w:rsidR="003717A0" w:rsidRDefault="003717A0">
      <w:pPr>
        <w:rPr>
          <w:szCs w:val="21"/>
        </w:rPr>
      </w:pPr>
      <w:r>
        <w:rPr>
          <w:rFonts w:hint="eastAsia"/>
          <w:szCs w:val="21"/>
        </w:rPr>
        <w:t xml:space="preserve">　　</w:t>
      </w:r>
      <w:r>
        <w:rPr>
          <w:szCs w:val="21"/>
        </w:rPr>
        <w:t>It is no use reasoning with him.</w:t>
      </w:r>
    </w:p>
    <w:p w:rsidR="003717A0" w:rsidRDefault="003717A0">
      <w:pPr>
        <w:rPr>
          <w:szCs w:val="21"/>
        </w:rPr>
      </w:pPr>
      <w:r>
        <w:rPr>
          <w:rFonts w:hint="eastAsia"/>
          <w:szCs w:val="21"/>
        </w:rPr>
        <w:t xml:space="preserve">　　</w:t>
      </w:r>
      <w:r>
        <w:rPr>
          <w:szCs w:val="21"/>
        </w:rPr>
        <w:t>It is no good reading in dim light.</w:t>
      </w:r>
    </w:p>
    <w:p w:rsidR="003717A0" w:rsidRDefault="003717A0">
      <w:pPr>
        <w:rPr>
          <w:szCs w:val="21"/>
        </w:rPr>
      </w:pPr>
      <w:r>
        <w:rPr>
          <w:rFonts w:hint="eastAsia"/>
          <w:szCs w:val="21"/>
        </w:rPr>
        <w:t xml:space="preserve">　　</w:t>
      </w:r>
    </w:p>
    <w:p w:rsidR="003717A0" w:rsidRDefault="003717A0">
      <w:pPr>
        <w:numPr>
          <w:ilvl w:val="0"/>
          <w:numId w:val="23"/>
        </w:numPr>
        <w:rPr>
          <w:b/>
          <w:bCs/>
          <w:szCs w:val="21"/>
        </w:rPr>
      </w:pPr>
      <w:r>
        <w:rPr>
          <w:rFonts w:cs="Times New Roman"/>
          <w:szCs w:val="21"/>
        </w:rPr>
        <w:t xml:space="preserve"> </w:t>
      </w:r>
      <w:r>
        <w:rPr>
          <w:b/>
          <w:bCs/>
          <w:szCs w:val="21"/>
        </w:rPr>
        <w:t>The usage of “while” in adverbial clause of concession.</w:t>
      </w:r>
    </w:p>
    <w:p w:rsidR="003717A0" w:rsidRDefault="003717A0">
      <w:pPr>
        <w:rPr>
          <w:b/>
          <w:bCs/>
          <w:szCs w:val="21"/>
        </w:rPr>
      </w:pPr>
      <w:r>
        <w:rPr>
          <w:b/>
          <w:bCs/>
          <w:szCs w:val="21"/>
        </w:rPr>
        <w:t>(Para.7 L2) While no one way of winning the war against AIDS exists, the network shares these lessons learned in its battle against AIDS.</w:t>
      </w:r>
    </w:p>
    <w:p w:rsidR="003717A0" w:rsidRDefault="003717A0">
      <w:pPr>
        <w:rPr>
          <w:szCs w:val="21"/>
        </w:rPr>
      </w:pPr>
      <w:r>
        <w:rPr>
          <w:szCs w:val="21"/>
        </w:rPr>
        <w:t>      1) While he loves his students, he is very strict with them.</w:t>
      </w:r>
    </w:p>
    <w:p w:rsidR="003717A0" w:rsidRDefault="003717A0">
      <w:pPr>
        <w:rPr>
          <w:szCs w:val="21"/>
        </w:rPr>
      </w:pPr>
      <w:r>
        <w:rPr>
          <w:szCs w:val="21"/>
        </w:rPr>
        <w:t>          2</w:t>
      </w:r>
      <w:r>
        <w:rPr>
          <w:rFonts w:hint="eastAsia"/>
          <w:szCs w:val="21"/>
        </w:rPr>
        <w:t>）</w:t>
      </w:r>
      <w:r>
        <w:rPr>
          <w:szCs w:val="21"/>
        </w:rPr>
        <w:t>While these experiments are interesting and useful, it is important to remember that they may not always tell us much.</w:t>
      </w:r>
    </w:p>
    <w:p w:rsidR="003717A0" w:rsidRDefault="003717A0">
      <w:pPr>
        <w:rPr>
          <w:szCs w:val="21"/>
        </w:rPr>
      </w:pPr>
    </w:p>
    <w:p w:rsidR="003717A0" w:rsidRDefault="003717A0">
      <w:pPr>
        <w:rPr>
          <w:b/>
          <w:i/>
          <w:szCs w:val="21"/>
        </w:rPr>
      </w:pPr>
      <w:r>
        <w:rPr>
          <w:b/>
          <w:i/>
          <w:szCs w:val="21"/>
        </w:rPr>
        <w:t>Key phrases and expressions in Text B</w:t>
      </w:r>
    </w:p>
    <w:p w:rsidR="003717A0" w:rsidRDefault="003717A0">
      <w:pPr>
        <w:rPr>
          <w:bCs/>
          <w:iCs/>
          <w:szCs w:val="21"/>
        </w:rPr>
      </w:pPr>
      <w:r>
        <w:rPr>
          <w:bCs/>
          <w:iCs/>
          <w:szCs w:val="21"/>
        </w:rPr>
        <w:lastRenderedPageBreak/>
        <w:t>climb the ladder, commence the moves, thrust me into the air, push off the diving board, lift my arms and shoulders back, be close to the board, hit my hands, correct myself, spread my hands wide apart, lose control, feel intense fear, shocked faces, in haste, push him away, get away, have a shot at sth., endanger others; lives</w:t>
      </w:r>
    </w:p>
    <w:p w:rsidR="003717A0" w:rsidRDefault="003717A0"/>
    <w:p w:rsidR="003717A0" w:rsidRDefault="003717A0">
      <w:pPr>
        <w:rPr>
          <w:b/>
          <w:i/>
          <w:sz w:val="24"/>
        </w:rPr>
      </w:pPr>
      <w:r>
        <w:rPr>
          <w:b/>
          <w:i/>
          <w:sz w:val="24"/>
        </w:rPr>
        <w:t>Topic for writing:</w:t>
      </w:r>
    </w:p>
    <w:p w:rsidR="003717A0" w:rsidRDefault="003717A0">
      <w:pPr>
        <w:numPr>
          <w:ilvl w:val="0"/>
          <w:numId w:val="24"/>
        </w:numPr>
        <w:rPr>
          <w:sz w:val="18"/>
          <w:szCs w:val="18"/>
        </w:rPr>
      </w:pPr>
      <w:r>
        <w:t xml:space="preserve">Directions: You are allowed 30 minutes to write a composition with on the topic </w:t>
      </w:r>
      <w:r>
        <w:rPr>
          <w:b/>
          <w:i/>
        </w:rPr>
        <w:t>My Views on Online Education</w:t>
      </w:r>
      <w:r>
        <w:t xml:space="preserve">. You should write at least 120 words. </w:t>
      </w:r>
    </w:p>
    <w:p w:rsidR="003717A0" w:rsidRDefault="003717A0">
      <w:pPr>
        <w:rPr>
          <w:b/>
          <w:i/>
          <w:szCs w:val="21"/>
        </w:rPr>
      </w:pPr>
      <w:r>
        <w:rPr>
          <w:b/>
          <w:i/>
          <w:szCs w:val="21"/>
        </w:rPr>
        <w:t>Additional work:</w:t>
      </w:r>
    </w:p>
    <w:p w:rsidR="003717A0" w:rsidRDefault="003717A0">
      <w:pPr>
        <w:numPr>
          <w:ilvl w:val="0"/>
          <w:numId w:val="25"/>
        </w:numPr>
        <w:rPr>
          <w:szCs w:val="21"/>
        </w:rPr>
      </w:pPr>
      <w:r>
        <w:rPr>
          <w:szCs w:val="21"/>
        </w:rPr>
        <w:t>Recite the 4</w:t>
      </w:r>
      <w:r>
        <w:rPr>
          <w:szCs w:val="21"/>
          <w:vertAlign w:val="superscript"/>
        </w:rPr>
        <w:t>th</w:t>
      </w:r>
      <w:r>
        <w:rPr>
          <w:szCs w:val="21"/>
        </w:rPr>
        <w:t xml:space="preserve"> , 9</w:t>
      </w:r>
      <w:r>
        <w:rPr>
          <w:szCs w:val="21"/>
          <w:vertAlign w:val="superscript"/>
        </w:rPr>
        <w:t>th</w:t>
      </w:r>
      <w:r>
        <w:rPr>
          <w:szCs w:val="21"/>
        </w:rPr>
        <w:t xml:space="preserve"> and 11</w:t>
      </w:r>
      <w:r>
        <w:rPr>
          <w:szCs w:val="21"/>
          <w:vertAlign w:val="superscript"/>
        </w:rPr>
        <w:t>th</w:t>
      </w:r>
      <w:r>
        <w:rPr>
          <w:szCs w:val="21"/>
        </w:rPr>
        <w:t xml:space="preserve"> paragraph in Text A.</w:t>
      </w:r>
    </w:p>
    <w:p w:rsidR="003717A0" w:rsidRDefault="003717A0">
      <w:pPr>
        <w:numPr>
          <w:ilvl w:val="0"/>
          <w:numId w:val="25"/>
        </w:numPr>
        <w:rPr>
          <w:szCs w:val="21"/>
        </w:rPr>
      </w:pPr>
      <w:r>
        <w:rPr>
          <w:szCs w:val="21"/>
        </w:rPr>
        <w:t>Search the Internet for information about AIDS and make an oral report to your class.</w:t>
      </w:r>
    </w:p>
    <w:p w:rsidR="003717A0" w:rsidRDefault="003717A0">
      <w:pPr>
        <w:numPr>
          <w:ilvl w:val="0"/>
          <w:numId w:val="25"/>
        </w:numPr>
        <w:rPr>
          <w:szCs w:val="21"/>
        </w:rPr>
      </w:pPr>
      <w:r>
        <w:rPr>
          <w:szCs w:val="21"/>
        </w:rPr>
        <w:t>Present your own opinions to your class on what we should do to prevent AIDS.</w:t>
      </w:r>
    </w:p>
    <w:p w:rsidR="003717A0" w:rsidRDefault="003717A0">
      <w:pPr>
        <w:rPr>
          <w:b/>
          <w:bCs/>
          <w:szCs w:val="21"/>
        </w:rPr>
      </w:pPr>
    </w:p>
    <w:p w:rsidR="003717A0" w:rsidRDefault="003717A0">
      <w:pPr>
        <w:rPr>
          <w:b/>
          <w:bCs/>
          <w:sz w:val="24"/>
          <w:szCs w:val="24"/>
        </w:rPr>
      </w:pPr>
      <w:r>
        <w:rPr>
          <w:b/>
          <w:bCs/>
          <w:sz w:val="24"/>
          <w:szCs w:val="24"/>
        </w:rPr>
        <w:t xml:space="preserve">Unit 6 </w:t>
      </w:r>
    </w:p>
    <w:p w:rsidR="003717A0" w:rsidRDefault="003717A0">
      <w:pPr>
        <w:rPr>
          <w:b/>
          <w:i/>
          <w:szCs w:val="21"/>
        </w:rPr>
      </w:pPr>
    </w:p>
    <w:p w:rsidR="003717A0" w:rsidRDefault="003717A0">
      <w:pPr>
        <w:rPr>
          <w:b/>
          <w:i/>
          <w:szCs w:val="21"/>
        </w:rPr>
      </w:pPr>
      <w:r>
        <w:rPr>
          <w:b/>
          <w:i/>
          <w:szCs w:val="21"/>
        </w:rPr>
        <w:t>Time allotment (6 periods):</w:t>
      </w:r>
    </w:p>
    <w:p w:rsidR="003717A0" w:rsidRDefault="003717A0">
      <w:pPr>
        <w:numPr>
          <w:ilvl w:val="0"/>
          <w:numId w:val="26"/>
        </w:numPr>
        <w:rPr>
          <w:szCs w:val="21"/>
        </w:rPr>
      </w:pPr>
      <w:r>
        <w:rPr>
          <w:szCs w:val="21"/>
        </w:rPr>
        <w:t>1</w:t>
      </w:r>
      <w:r>
        <w:rPr>
          <w:szCs w:val="21"/>
          <w:vertAlign w:val="superscript"/>
        </w:rPr>
        <w:t>st</w:t>
      </w:r>
      <w:r>
        <w:rPr>
          <w:szCs w:val="21"/>
        </w:rPr>
        <w:t xml:space="preserve"> and 2</w:t>
      </w:r>
      <w:r>
        <w:rPr>
          <w:szCs w:val="21"/>
          <w:vertAlign w:val="superscript"/>
        </w:rPr>
        <w:t>nd</w:t>
      </w:r>
      <w:r>
        <w:rPr>
          <w:szCs w:val="21"/>
        </w:rPr>
        <w:t xml:space="preserve"> periods: Text A study</w:t>
      </w:r>
      <w:r>
        <w:rPr>
          <w:rFonts w:hint="eastAsia"/>
          <w:szCs w:val="21"/>
        </w:rPr>
        <w:t>：</w:t>
      </w:r>
    </w:p>
    <w:p w:rsidR="003717A0" w:rsidRDefault="003717A0">
      <w:pPr>
        <w:ind w:left="2100" w:hangingChars="1000" w:hanging="2100"/>
        <w:rPr>
          <w:szCs w:val="21"/>
        </w:rPr>
      </w:pPr>
      <w:r>
        <w:rPr>
          <w:szCs w:val="21"/>
        </w:rPr>
        <w:t xml:space="preserve">                  Topic discussions; cultural notes; text organization; vocabulary and structure</w:t>
      </w:r>
    </w:p>
    <w:p w:rsidR="003717A0" w:rsidRDefault="003717A0">
      <w:pPr>
        <w:rPr>
          <w:szCs w:val="21"/>
        </w:rPr>
      </w:pPr>
      <w:r>
        <w:rPr>
          <w:szCs w:val="21"/>
        </w:rPr>
        <w:t>2.  3</w:t>
      </w:r>
      <w:r>
        <w:rPr>
          <w:szCs w:val="21"/>
          <w:vertAlign w:val="superscript"/>
        </w:rPr>
        <w:t>rd</w:t>
      </w:r>
      <w:r>
        <w:rPr>
          <w:szCs w:val="21"/>
        </w:rPr>
        <w:t xml:space="preserve"> and 4</w:t>
      </w:r>
      <w:r>
        <w:rPr>
          <w:szCs w:val="21"/>
          <w:vertAlign w:val="superscript"/>
        </w:rPr>
        <w:t>th</w:t>
      </w:r>
      <w:r>
        <w:rPr>
          <w:szCs w:val="21"/>
        </w:rPr>
        <w:t xml:space="preserve"> periods: Text A study</w:t>
      </w:r>
      <w:r>
        <w:rPr>
          <w:rFonts w:hint="eastAsia"/>
          <w:szCs w:val="21"/>
        </w:rPr>
        <w:t>：</w:t>
      </w:r>
    </w:p>
    <w:p w:rsidR="003717A0" w:rsidRDefault="003717A0">
      <w:pPr>
        <w:ind w:firstLineChars="900" w:firstLine="1890"/>
        <w:rPr>
          <w:szCs w:val="21"/>
        </w:rPr>
      </w:pPr>
      <w:r>
        <w:rPr>
          <w:szCs w:val="21"/>
        </w:rPr>
        <w:t>Review key language points; exercises after text A; essay writing;</w:t>
      </w:r>
    </w:p>
    <w:p w:rsidR="003717A0" w:rsidRDefault="003717A0">
      <w:pPr>
        <w:numPr>
          <w:ilvl w:val="0"/>
          <w:numId w:val="27"/>
        </w:numPr>
        <w:rPr>
          <w:szCs w:val="21"/>
        </w:rPr>
      </w:pPr>
      <w:r>
        <w:rPr>
          <w:szCs w:val="21"/>
        </w:rPr>
        <w:t>5</w:t>
      </w:r>
      <w:r>
        <w:rPr>
          <w:szCs w:val="21"/>
          <w:vertAlign w:val="superscript"/>
        </w:rPr>
        <w:t>th</w:t>
      </w:r>
      <w:r>
        <w:rPr>
          <w:szCs w:val="21"/>
        </w:rPr>
        <w:t xml:space="preserve"> and 6</w:t>
      </w:r>
      <w:r>
        <w:rPr>
          <w:szCs w:val="21"/>
          <w:vertAlign w:val="superscript"/>
        </w:rPr>
        <w:t>th</w:t>
      </w:r>
      <w:r>
        <w:rPr>
          <w:szCs w:val="21"/>
        </w:rPr>
        <w:t xml:space="preserve"> periods: Text B study:</w:t>
      </w:r>
    </w:p>
    <w:p w:rsidR="003717A0" w:rsidRDefault="003717A0">
      <w:pPr>
        <w:ind w:left="1890" w:hangingChars="900" w:hanging="1890"/>
        <w:rPr>
          <w:szCs w:val="21"/>
        </w:rPr>
      </w:pPr>
      <w:r>
        <w:rPr>
          <w:szCs w:val="21"/>
        </w:rPr>
        <w:t xml:space="preserve">                  Reading skills, practice reading skills in text B, language points in the text, exercises after text B</w:t>
      </w:r>
    </w:p>
    <w:p w:rsidR="003717A0" w:rsidRDefault="003717A0">
      <w:pPr>
        <w:rPr>
          <w:szCs w:val="21"/>
        </w:rPr>
      </w:pPr>
    </w:p>
    <w:p w:rsidR="003717A0" w:rsidRDefault="003717A0">
      <w:pPr>
        <w:rPr>
          <w:b/>
          <w:i/>
          <w:szCs w:val="21"/>
        </w:rPr>
      </w:pPr>
      <w:r>
        <w:rPr>
          <w:b/>
          <w:i/>
          <w:szCs w:val="21"/>
        </w:rPr>
        <w:t>Answer questions after finishing reading Text A:</w:t>
      </w:r>
    </w:p>
    <w:p w:rsidR="003717A0" w:rsidRDefault="003717A0">
      <w:pPr>
        <w:rPr>
          <w:szCs w:val="21"/>
        </w:rPr>
      </w:pPr>
      <w:r>
        <w:rPr>
          <w:szCs w:val="21"/>
        </w:rPr>
        <w:t xml:space="preserve">1.  What is your ideal job in future? Why? </w:t>
      </w:r>
    </w:p>
    <w:p w:rsidR="003717A0" w:rsidRDefault="003717A0">
      <w:pPr>
        <w:rPr>
          <w:szCs w:val="21"/>
        </w:rPr>
      </w:pPr>
      <w:r>
        <w:rPr>
          <w:szCs w:val="21"/>
        </w:rPr>
        <w:t xml:space="preserve">2.  Would you accept a job as a trashman? Give your reasons. </w:t>
      </w:r>
    </w:p>
    <w:p w:rsidR="003717A0" w:rsidRDefault="003717A0">
      <w:pPr>
        <w:rPr>
          <w:szCs w:val="21"/>
        </w:rPr>
      </w:pPr>
      <w:r>
        <w:rPr>
          <w:szCs w:val="21"/>
        </w:rPr>
        <w:t xml:space="preserve">3.  What is your opinion of people’s prejudice against trashman? </w:t>
      </w:r>
    </w:p>
    <w:p w:rsidR="003717A0" w:rsidRDefault="003717A0">
      <w:pPr>
        <w:rPr>
          <w:szCs w:val="21"/>
        </w:rPr>
      </w:pPr>
    </w:p>
    <w:p w:rsidR="003717A0" w:rsidRDefault="003717A0">
      <w:pPr>
        <w:rPr>
          <w:b/>
          <w:i/>
          <w:szCs w:val="21"/>
        </w:rPr>
      </w:pPr>
      <w:r>
        <w:rPr>
          <w:b/>
          <w:i/>
          <w:szCs w:val="21"/>
        </w:rPr>
        <w:t>Key words in Text A:</w:t>
      </w:r>
    </w:p>
    <w:p w:rsidR="003717A0" w:rsidRDefault="003717A0">
      <w:pPr>
        <w:rPr>
          <w:bCs/>
          <w:iCs/>
          <w:szCs w:val="21"/>
        </w:rPr>
      </w:pPr>
      <w:r>
        <w:rPr>
          <w:bCs/>
          <w:iCs/>
          <w:szCs w:val="21"/>
        </w:rPr>
        <w:t>continuous, dump, route, outdoor, register, peculiar, rage, original, employment, frank</w:t>
      </w:r>
    </w:p>
    <w:p w:rsidR="003717A0" w:rsidRDefault="003717A0">
      <w:pPr>
        <w:rPr>
          <w:b/>
          <w:i/>
          <w:szCs w:val="21"/>
        </w:rPr>
      </w:pPr>
    </w:p>
    <w:p w:rsidR="003717A0" w:rsidRDefault="003717A0">
      <w:pPr>
        <w:rPr>
          <w:b/>
          <w:i/>
          <w:szCs w:val="21"/>
        </w:rPr>
      </w:pPr>
      <w:r>
        <w:rPr>
          <w:b/>
          <w:i/>
          <w:szCs w:val="21"/>
        </w:rPr>
        <w:t>Key phrases and expressions in Text A:</w:t>
      </w:r>
    </w:p>
    <w:p w:rsidR="003717A0" w:rsidRDefault="003717A0">
      <w:pPr>
        <w:rPr>
          <w:b/>
          <w:i/>
          <w:szCs w:val="21"/>
        </w:rPr>
      </w:pPr>
      <w:r>
        <w:rPr>
          <w:b/>
          <w:i/>
          <w:szCs w:val="21"/>
        </w:rPr>
        <w:t>Solid hours, head to, on the route, make the rounds, go with, be shocked to do, stare at sb., rage about sth., nothing but, go around, be ashamed of, be angry with, stay away from, contrary to, do harm to, have a lot of sympathy for sb., be in trouble, look down on/upon, leave behind</w:t>
      </w:r>
    </w:p>
    <w:p w:rsidR="003717A0" w:rsidRDefault="003717A0">
      <w:pPr>
        <w:rPr>
          <w:szCs w:val="21"/>
        </w:rPr>
      </w:pPr>
    </w:p>
    <w:p w:rsidR="003717A0" w:rsidRDefault="003717A0">
      <w:pPr>
        <w:rPr>
          <w:b/>
          <w:i/>
          <w:szCs w:val="21"/>
        </w:rPr>
      </w:pPr>
      <w:r>
        <w:rPr>
          <w:b/>
          <w:i/>
          <w:szCs w:val="21"/>
        </w:rPr>
        <w:t>Key structures in Text A:</w:t>
      </w:r>
    </w:p>
    <w:p w:rsidR="003717A0" w:rsidRDefault="003717A0">
      <w:pPr>
        <w:numPr>
          <w:ilvl w:val="0"/>
          <w:numId w:val="28"/>
        </w:numPr>
        <w:rPr>
          <w:b/>
          <w:bCs/>
          <w:szCs w:val="21"/>
        </w:rPr>
      </w:pPr>
      <w:r>
        <w:rPr>
          <w:b/>
          <w:bCs/>
          <w:szCs w:val="21"/>
        </w:rPr>
        <w:t>Using inverted order to rewrite sentences at P.136. (so, nor, neither)</w:t>
      </w:r>
    </w:p>
    <w:p w:rsidR="003717A0" w:rsidRDefault="003717A0">
      <w:pPr>
        <w:rPr>
          <w:b/>
          <w:bCs/>
          <w:szCs w:val="21"/>
        </w:rPr>
      </w:pPr>
      <w:r>
        <w:rPr>
          <w:b/>
          <w:bCs/>
          <w:szCs w:val="21"/>
        </w:rPr>
        <w:t xml:space="preserve">   Saturday meant most adults were at home on the route. </w:t>
      </w:r>
      <w:r>
        <w:rPr>
          <w:b/>
          <w:bCs/>
          <w:szCs w:val="21"/>
          <w:u w:val="single"/>
        </w:rPr>
        <w:t xml:space="preserve">So were school-age children. </w:t>
      </w:r>
    </w:p>
    <w:p w:rsidR="003717A0" w:rsidRDefault="003717A0">
      <w:pPr>
        <w:ind w:firstLineChars="100" w:firstLine="210"/>
        <w:rPr>
          <w:szCs w:val="21"/>
        </w:rPr>
      </w:pPr>
      <w:bookmarkStart w:id="25" w:name="2_1"/>
      <w:bookmarkStart w:id="26" w:name="sub145_2_1"/>
      <w:bookmarkEnd w:id="25"/>
      <w:bookmarkEnd w:id="26"/>
      <w:r>
        <w:rPr>
          <w:szCs w:val="21"/>
        </w:rPr>
        <w:t>Other types of inverted order</w:t>
      </w:r>
    </w:p>
    <w:p w:rsidR="003717A0" w:rsidRDefault="003717A0">
      <w:pPr>
        <w:ind w:firstLine="420"/>
        <w:rPr>
          <w:szCs w:val="21"/>
        </w:rPr>
      </w:pPr>
      <w:r>
        <w:rPr>
          <w:szCs w:val="21"/>
        </w:rPr>
        <w:t xml:space="preserve">Be: 1) I am well now. So are they. =I am well now. They are well, too. </w:t>
      </w:r>
    </w:p>
    <w:p w:rsidR="003717A0" w:rsidRDefault="003717A0">
      <w:pPr>
        <w:ind w:firstLine="420"/>
        <w:rPr>
          <w:szCs w:val="21"/>
        </w:rPr>
      </w:pPr>
      <w:r>
        <w:rPr>
          <w:szCs w:val="21"/>
        </w:rPr>
        <w:t xml:space="preserve">   2) She is a student. So is he. = She is a student. He is a student ,too.</w:t>
      </w:r>
    </w:p>
    <w:p w:rsidR="003717A0" w:rsidRDefault="003717A0">
      <w:pPr>
        <w:ind w:leftChars="200" w:left="735" w:hangingChars="150" w:hanging="315"/>
        <w:rPr>
          <w:szCs w:val="21"/>
        </w:rPr>
      </w:pPr>
      <w:r>
        <w:rPr>
          <w:szCs w:val="21"/>
        </w:rPr>
        <w:t xml:space="preserve">Modal verbs: 1) I’ d like another drink. So would John. =I’d like another drink. The same can be said </w:t>
      </w:r>
      <w:r>
        <w:rPr>
          <w:szCs w:val="21"/>
        </w:rPr>
        <w:lastRenderedPageBreak/>
        <w:t xml:space="preserve">of John. </w:t>
      </w:r>
    </w:p>
    <w:p w:rsidR="003717A0" w:rsidRDefault="003717A0">
      <w:pPr>
        <w:ind w:leftChars="200" w:left="630" w:hangingChars="100" w:hanging="210"/>
        <w:rPr>
          <w:szCs w:val="21"/>
        </w:rPr>
      </w:pPr>
      <w:r>
        <w:rPr>
          <w:szCs w:val="21"/>
        </w:rPr>
        <w:t xml:space="preserve">           2) He can paint nice paintings. So can I. = He can paint nice paintings, and I can paint nice paintings, too. </w:t>
      </w:r>
    </w:p>
    <w:p w:rsidR="003717A0" w:rsidRDefault="003717A0">
      <w:pPr>
        <w:ind w:firstLineChars="200" w:firstLine="420"/>
        <w:rPr>
          <w:szCs w:val="21"/>
        </w:rPr>
      </w:pPr>
      <w:r>
        <w:rPr>
          <w:szCs w:val="21"/>
        </w:rPr>
        <w:t>Auxiliary verbs: 1) I know who he is. So does she. =I know who he is. She also knows who he is.</w:t>
      </w:r>
    </w:p>
    <w:p w:rsidR="003717A0" w:rsidRDefault="003717A0">
      <w:pPr>
        <w:ind w:leftChars="200" w:left="525" w:hangingChars="50" w:hanging="105"/>
        <w:rPr>
          <w:szCs w:val="21"/>
        </w:rPr>
      </w:pPr>
      <w:r>
        <w:rPr>
          <w:szCs w:val="21"/>
        </w:rPr>
        <w:t xml:space="preserve">              2) We have come to realize all work is equally important. So has Sara= We have come to realize all work is equally important. The same is true of Sara.</w:t>
      </w:r>
    </w:p>
    <w:p w:rsidR="003717A0" w:rsidRDefault="003717A0">
      <w:pPr>
        <w:rPr>
          <w:szCs w:val="21"/>
        </w:rPr>
      </w:pPr>
      <w:bookmarkStart w:id="27" w:name="2_2"/>
      <w:bookmarkStart w:id="28" w:name="sub145_2_2"/>
      <w:bookmarkEnd w:id="27"/>
      <w:bookmarkEnd w:id="28"/>
    </w:p>
    <w:p w:rsidR="003717A0" w:rsidRDefault="003717A0">
      <w:pPr>
        <w:numPr>
          <w:ilvl w:val="0"/>
          <w:numId w:val="28"/>
        </w:numPr>
        <w:rPr>
          <w:b/>
          <w:bCs/>
          <w:szCs w:val="21"/>
        </w:rPr>
      </w:pPr>
      <w:r>
        <w:rPr>
          <w:b/>
          <w:bCs/>
          <w:szCs w:val="21"/>
        </w:rPr>
        <w:t>Using “even if” to rewrite sentences at P.137.</w:t>
      </w:r>
    </w:p>
    <w:p w:rsidR="003717A0" w:rsidRDefault="003717A0">
      <w:pPr>
        <w:rPr>
          <w:b/>
          <w:bCs/>
          <w:szCs w:val="21"/>
        </w:rPr>
      </w:pPr>
      <w:r>
        <w:rPr>
          <w:b/>
          <w:bCs/>
          <w:szCs w:val="21"/>
        </w:rPr>
        <w:t xml:space="preserve">   The lifting gets easier every load, </w:t>
      </w:r>
      <w:r>
        <w:rPr>
          <w:b/>
          <w:bCs/>
          <w:szCs w:val="21"/>
          <w:u w:val="single"/>
        </w:rPr>
        <w:t xml:space="preserve">even if my shoulder muscle is sore. </w:t>
      </w:r>
    </w:p>
    <w:p w:rsidR="003717A0" w:rsidRDefault="003717A0">
      <w:pPr>
        <w:ind w:firstLineChars="100" w:firstLine="210"/>
        <w:rPr>
          <w:szCs w:val="21"/>
        </w:rPr>
      </w:pPr>
      <w:r>
        <w:rPr>
          <w:szCs w:val="21"/>
        </w:rPr>
        <w:t>Adverbial clause of concession is place before the main clause.</w:t>
      </w:r>
    </w:p>
    <w:p w:rsidR="003717A0" w:rsidRDefault="003717A0">
      <w:pPr>
        <w:pStyle w:val="block-2"/>
        <w:spacing w:before="0" w:beforeAutospacing="0" w:after="0" w:afterAutospacing="0" w:line="180" w:lineRule="atLeast"/>
        <w:ind w:firstLineChars="50" w:firstLine="120"/>
        <w:rPr>
          <w:rFonts w:ascii="Times New Roman" w:hAnsi="Times New Roman" w:cs="Times New Roman"/>
          <w:kern w:val="2"/>
          <w:sz w:val="21"/>
          <w:szCs w:val="21"/>
        </w:rPr>
      </w:pPr>
      <w:r>
        <w:rPr>
          <w:szCs w:val="21"/>
        </w:rPr>
        <w:t xml:space="preserve">1) </w:t>
      </w:r>
      <w:r>
        <w:rPr>
          <w:rFonts w:ascii="Times New Roman" w:hAnsi="Times New Roman" w:cs="Times New Roman"/>
          <w:kern w:val="2"/>
          <w:sz w:val="21"/>
          <w:szCs w:val="21"/>
        </w:rPr>
        <w:t xml:space="preserve">Even if I fail this time, I would try again. </w:t>
      </w:r>
    </w:p>
    <w:p w:rsidR="003717A0" w:rsidRDefault="003717A0">
      <w:pPr>
        <w:pStyle w:val="block-2"/>
        <w:spacing w:before="0" w:beforeAutospacing="0" w:after="0" w:afterAutospacing="0" w:line="180" w:lineRule="atLeast"/>
        <w:ind w:firstLineChars="50" w:firstLine="120"/>
        <w:rPr>
          <w:rFonts w:ascii="Times New Roman" w:hAnsi="Times New Roman" w:cs="Times New Roman"/>
          <w:kern w:val="2"/>
          <w:sz w:val="21"/>
          <w:szCs w:val="21"/>
        </w:rPr>
      </w:pPr>
      <w:r>
        <w:rPr>
          <w:szCs w:val="21"/>
        </w:rPr>
        <w:t xml:space="preserve">2) </w:t>
      </w:r>
      <w:r>
        <w:rPr>
          <w:rFonts w:ascii="Times New Roman" w:hAnsi="Times New Roman" w:cs="Times New Roman"/>
          <w:kern w:val="2"/>
          <w:sz w:val="21"/>
          <w:szCs w:val="21"/>
        </w:rPr>
        <w:t>Even if one graduated from college, he should still continue to learn.</w:t>
      </w:r>
    </w:p>
    <w:p w:rsidR="003717A0" w:rsidRDefault="003717A0">
      <w:pPr>
        <w:ind w:firstLineChars="100" w:firstLine="210"/>
        <w:rPr>
          <w:szCs w:val="21"/>
        </w:rPr>
      </w:pPr>
      <w:r>
        <w:rPr>
          <w:szCs w:val="21"/>
        </w:rPr>
        <w:t>Adverbial clause of concession is place after the main clause.</w:t>
      </w:r>
    </w:p>
    <w:p w:rsidR="003717A0" w:rsidRDefault="003717A0">
      <w:pPr>
        <w:pStyle w:val="block-3"/>
        <w:spacing w:before="0" w:beforeAutospacing="0" w:after="0" w:afterAutospacing="0" w:line="180" w:lineRule="atLeast"/>
        <w:ind w:leftChars="57" w:left="120"/>
        <w:rPr>
          <w:rFonts w:ascii="Times New Roman" w:hAnsi="Times New Roman" w:cs="Times New Roman"/>
          <w:kern w:val="2"/>
          <w:sz w:val="21"/>
          <w:szCs w:val="21"/>
        </w:rPr>
      </w:pPr>
      <w:r>
        <w:rPr>
          <w:rFonts w:ascii="Times New Roman" w:hAnsi="Times New Roman" w:cs="Times New Roman"/>
          <w:kern w:val="2"/>
          <w:sz w:val="21"/>
          <w:szCs w:val="21"/>
        </w:rPr>
        <w:t>1) We should practice economy even if we are rich.</w:t>
      </w:r>
      <w:r>
        <w:rPr>
          <w:rFonts w:ascii="Times New Roman" w:hAnsi="Times New Roman" w:cs="Times New Roman"/>
          <w:kern w:val="2"/>
          <w:sz w:val="21"/>
          <w:szCs w:val="21"/>
        </w:rPr>
        <w:br/>
        <w:t>2) We'll go even if it rains.</w:t>
      </w:r>
    </w:p>
    <w:p w:rsidR="003717A0" w:rsidRDefault="003717A0">
      <w:pPr>
        <w:rPr>
          <w:b/>
          <w:i/>
          <w:szCs w:val="21"/>
        </w:rPr>
      </w:pPr>
      <w:r>
        <w:rPr>
          <w:b/>
          <w:i/>
          <w:szCs w:val="21"/>
        </w:rPr>
        <w:t>Key phrases and expressions in Text B</w:t>
      </w:r>
    </w:p>
    <w:p w:rsidR="003717A0" w:rsidRDefault="003717A0">
      <w:pPr>
        <w:rPr>
          <w:b/>
          <w:i/>
          <w:szCs w:val="21"/>
        </w:rPr>
      </w:pPr>
      <w:r>
        <w:rPr>
          <w:b/>
          <w:i/>
          <w:szCs w:val="21"/>
        </w:rPr>
        <w:t xml:space="preserve">Addict oneself to sth., devote to, compete with, make inquiries about, pick sb. out, wind up, straighten out, keep sb. at home, be alone with, be content to do sth. </w:t>
      </w:r>
    </w:p>
    <w:p w:rsidR="003717A0" w:rsidRDefault="003717A0"/>
    <w:p w:rsidR="003717A0" w:rsidRDefault="003717A0">
      <w:pPr>
        <w:rPr>
          <w:b/>
          <w:i/>
          <w:sz w:val="24"/>
        </w:rPr>
      </w:pPr>
      <w:r>
        <w:rPr>
          <w:b/>
          <w:i/>
          <w:sz w:val="24"/>
        </w:rPr>
        <w:t>Topic for writing:</w:t>
      </w:r>
    </w:p>
    <w:p w:rsidR="003717A0" w:rsidRDefault="003717A0">
      <w:pPr>
        <w:numPr>
          <w:ilvl w:val="0"/>
          <w:numId w:val="29"/>
        </w:numPr>
      </w:pPr>
      <w:r>
        <w:t xml:space="preserve">Directions: You are allowed 30 minutes to write a composition with on the topic </w:t>
      </w:r>
      <w:r>
        <w:rPr>
          <w:b/>
          <w:i/>
          <w:iCs/>
        </w:rPr>
        <w:t>My Opinion on College Graduates' Work in the Future</w:t>
      </w:r>
      <w:r>
        <w:rPr>
          <w:b/>
        </w:rPr>
        <w:t>.</w:t>
      </w:r>
      <w:r>
        <w:t xml:space="preserve"> You should write at least 130 words. </w:t>
      </w:r>
    </w:p>
    <w:p w:rsidR="003717A0" w:rsidRDefault="003717A0">
      <w:pPr>
        <w:rPr>
          <w:sz w:val="18"/>
          <w:szCs w:val="18"/>
        </w:rPr>
      </w:pPr>
    </w:p>
    <w:p w:rsidR="003717A0" w:rsidRDefault="003717A0">
      <w:pPr>
        <w:rPr>
          <w:b/>
          <w:i/>
          <w:szCs w:val="21"/>
        </w:rPr>
      </w:pPr>
      <w:r>
        <w:rPr>
          <w:b/>
          <w:i/>
          <w:szCs w:val="21"/>
        </w:rPr>
        <w:t>Additional work:</w:t>
      </w:r>
    </w:p>
    <w:p w:rsidR="003717A0" w:rsidRDefault="003717A0">
      <w:pPr>
        <w:numPr>
          <w:ilvl w:val="0"/>
          <w:numId w:val="30"/>
        </w:numPr>
        <w:rPr>
          <w:szCs w:val="21"/>
        </w:rPr>
      </w:pPr>
      <w:r>
        <w:rPr>
          <w:szCs w:val="21"/>
        </w:rPr>
        <w:t>Recite the 1</w:t>
      </w:r>
      <w:r>
        <w:rPr>
          <w:szCs w:val="21"/>
          <w:vertAlign w:val="superscript"/>
        </w:rPr>
        <w:t>st</w:t>
      </w:r>
      <w:r>
        <w:rPr>
          <w:szCs w:val="21"/>
        </w:rPr>
        <w:t>, 12</w:t>
      </w:r>
      <w:r>
        <w:rPr>
          <w:szCs w:val="21"/>
          <w:vertAlign w:val="superscript"/>
        </w:rPr>
        <w:t>th</w:t>
      </w:r>
      <w:r>
        <w:rPr>
          <w:szCs w:val="21"/>
        </w:rPr>
        <w:t xml:space="preserve"> , 13</w:t>
      </w:r>
      <w:r>
        <w:rPr>
          <w:szCs w:val="21"/>
          <w:vertAlign w:val="superscript"/>
        </w:rPr>
        <w:t xml:space="preserve">th  </w:t>
      </w:r>
      <w:r>
        <w:rPr>
          <w:szCs w:val="21"/>
        </w:rPr>
        <w:t>and</w:t>
      </w:r>
      <w:r>
        <w:rPr>
          <w:szCs w:val="21"/>
          <w:vertAlign w:val="superscript"/>
        </w:rPr>
        <w:t xml:space="preserve">  </w:t>
      </w:r>
      <w:r>
        <w:rPr>
          <w:szCs w:val="21"/>
        </w:rPr>
        <w:t>14</w:t>
      </w:r>
      <w:r>
        <w:rPr>
          <w:szCs w:val="21"/>
          <w:vertAlign w:val="superscript"/>
        </w:rPr>
        <w:t>th</w:t>
      </w:r>
      <w:r>
        <w:rPr>
          <w:szCs w:val="21"/>
        </w:rPr>
        <w:t xml:space="preserve">  paragraphs in Text A. </w:t>
      </w:r>
    </w:p>
    <w:p w:rsidR="003717A0" w:rsidRDefault="003717A0">
      <w:pPr>
        <w:numPr>
          <w:ilvl w:val="0"/>
          <w:numId w:val="30"/>
        </w:numPr>
        <w:rPr>
          <w:szCs w:val="21"/>
        </w:rPr>
      </w:pPr>
      <w:r>
        <w:rPr>
          <w:szCs w:val="21"/>
        </w:rPr>
        <w:t>Imitate the long sentences and typical descriptive sentences in text A in your writing.</w:t>
      </w:r>
    </w:p>
    <w:p w:rsidR="003717A0" w:rsidRDefault="003717A0">
      <w:pPr>
        <w:numPr>
          <w:ilvl w:val="0"/>
          <w:numId w:val="30"/>
        </w:numPr>
        <w:rPr>
          <w:szCs w:val="21"/>
        </w:rPr>
      </w:pPr>
      <w:r>
        <w:rPr>
          <w:szCs w:val="21"/>
        </w:rPr>
        <w:t xml:space="preserve">Explore more deeply the meanings of work, and reflect on the right attitudes we should take in our future career. </w:t>
      </w:r>
    </w:p>
    <w:p w:rsidR="003717A0" w:rsidRDefault="003717A0">
      <w:pPr>
        <w:jc w:val="center"/>
        <w:rPr>
          <w:b/>
          <w:sz w:val="24"/>
        </w:rPr>
      </w:pPr>
    </w:p>
    <w:p w:rsidR="003717A0" w:rsidRDefault="003717A0">
      <w:pPr>
        <w:rPr>
          <w:b/>
          <w:sz w:val="24"/>
        </w:rPr>
      </w:pPr>
      <w:r>
        <w:rPr>
          <w:b/>
          <w:sz w:val="24"/>
        </w:rPr>
        <w:t>Unit 7</w:t>
      </w:r>
    </w:p>
    <w:p w:rsidR="003717A0" w:rsidRDefault="003717A0">
      <w:pPr>
        <w:rPr>
          <w:b/>
          <w:i/>
          <w:sz w:val="24"/>
        </w:rPr>
      </w:pPr>
    </w:p>
    <w:p w:rsidR="003717A0" w:rsidRDefault="003717A0">
      <w:pPr>
        <w:rPr>
          <w:b/>
          <w:i/>
          <w:sz w:val="24"/>
        </w:rPr>
      </w:pPr>
      <w:r>
        <w:rPr>
          <w:b/>
          <w:i/>
          <w:sz w:val="24"/>
        </w:rPr>
        <w:t>Time allotment (6 periods):</w:t>
      </w:r>
    </w:p>
    <w:p w:rsidR="003717A0" w:rsidRDefault="003717A0">
      <w:pPr>
        <w:numPr>
          <w:ilvl w:val="0"/>
          <w:numId w:val="31"/>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31"/>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31"/>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 w:rsidR="003717A0" w:rsidRDefault="003717A0">
      <w:pPr>
        <w:rPr>
          <w:b/>
          <w:i/>
          <w:sz w:val="24"/>
        </w:rPr>
      </w:pPr>
      <w:r>
        <w:rPr>
          <w:b/>
          <w:i/>
          <w:sz w:val="24"/>
        </w:rPr>
        <w:t>Answer questions after finishing reading Text A:</w:t>
      </w:r>
    </w:p>
    <w:p w:rsidR="003717A0" w:rsidRDefault="003717A0">
      <w:pPr>
        <w:numPr>
          <w:ilvl w:val="0"/>
          <w:numId w:val="32"/>
        </w:numPr>
        <w:rPr>
          <w:szCs w:val="21"/>
        </w:rPr>
      </w:pPr>
      <w:r>
        <w:rPr>
          <w:szCs w:val="21"/>
        </w:rPr>
        <w:t xml:space="preserve">Where might robberies take place? What tools would robbers use to commit robbery? Why would some people rob others? </w:t>
      </w:r>
    </w:p>
    <w:p w:rsidR="003717A0" w:rsidRDefault="003717A0">
      <w:pPr>
        <w:rPr>
          <w:szCs w:val="21"/>
        </w:rPr>
      </w:pPr>
      <w:r>
        <w:rPr>
          <w:szCs w:val="21"/>
        </w:rPr>
        <w:t xml:space="preserve">2.  How would you behave in case of an armed robbery? Why? </w:t>
      </w:r>
    </w:p>
    <w:p w:rsidR="003717A0" w:rsidRDefault="003717A0">
      <w:pPr>
        <w:rPr>
          <w:b/>
          <w:i/>
          <w:sz w:val="24"/>
        </w:rPr>
      </w:pPr>
      <w:r>
        <w:rPr>
          <w:b/>
          <w:i/>
          <w:sz w:val="24"/>
        </w:rPr>
        <w:lastRenderedPageBreak/>
        <w:t xml:space="preserve"> </w:t>
      </w:r>
    </w:p>
    <w:p w:rsidR="003717A0" w:rsidRDefault="003717A0">
      <w:pPr>
        <w:rPr>
          <w:b/>
          <w:i/>
          <w:sz w:val="24"/>
        </w:rPr>
      </w:pPr>
      <w:r>
        <w:rPr>
          <w:b/>
          <w:i/>
          <w:sz w:val="24"/>
        </w:rPr>
        <w:t>Key words in Text A:</w:t>
      </w:r>
    </w:p>
    <w:p w:rsidR="003717A0" w:rsidRDefault="003717A0">
      <w:pPr>
        <w:rPr>
          <w:bCs/>
          <w:iCs/>
          <w:szCs w:val="21"/>
        </w:rPr>
      </w:pPr>
      <w:r>
        <w:rPr>
          <w:bCs/>
          <w:iCs/>
          <w:szCs w:val="21"/>
        </w:rPr>
        <w:t xml:space="preserve">contrive, instinct, enlarge, polish, attach, offend, mercy, span, rob, spare, exception, bark, current, foundation, identify </w:t>
      </w:r>
    </w:p>
    <w:p w:rsidR="003717A0" w:rsidRDefault="003717A0">
      <w:pPr>
        <w:rPr>
          <w:szCs w:val="21"/>
        </w:rPr>
      </w:pPr>
    </w:p>
    <w:p w:rsidR="003717A0" w:rsidRDefault="003717A0">
      <w:pPr>
        <w:rPr>
          <w:b/>
          <w:bCs/>
          <w:szCs w:val="21"/>
        </w:rPr>
      </w:pPr>
      <w:r>
        <w:rPr>
          <w:b/>
          <w:bCs/>
          <w:szCs w:val="21"/>
        </w:rPr>
        <w:t>Key phrases and expressions in Text A:</w:t>
      </w:r>
    </w:p>
    <w:p w:rsidR="003717A0" w:rsidRDefault="003717A0">
      <w:pPr>
        <w:rPr>
          <w:b/>
          <w:bCs/>
          <w:szCs w:val="21"/>
        </w:rPr>
      </w:pPr>
      <w:r>
        <w:rPr>
          <w:b/>
          <w:bCs/>
          <w:szCs w:val="21"/>
        </w:rPr>
        <w:t xml:space="preserve">dace to face (with), pull into, as if, rather than, get to one’s feet, eat (away)at, hold sb./sth. dear, be out of control, be cautious of, </w:t>
      </w:r>
      <w:r>
        <w:rPr>
          <w:szCs w:val="21"/>
        </w:rPr>
        <w:t xml:space="preserve">to emerge from the shrub, focus one’s attention on …, (footsteps) fade down the street, be flat on one’s face, stick to sth., in detail  </w:t>
      </w:r>
    </w:p>
    <w:p w:rsidR="003717A0" w:rsidRDefault="003717A0">
      <w:pPr>
        <w:rPr>
          <w:szCs w:val="21"/>
        </w:rPr>
      </w:pPr>
    </w:p>
    <w:p w:rsidR="003717A0" w:rsidRDefault="003717A0">
      <w:pPr>
        <w:rPr>
          <w:b/>
          <w:i/>
          <w:sz w:val="24"/>
        </w:rPr>
      </w:pPr>
      <w:r>
        <w:rPr>
          <w:b/>
          <w:i/>
          <w:sz w:val="24"/>
        </w:rPr>
        <w:t>Key structures in Text A:</w:t>
      </w:r>
    </w:p>
    <w:p w:rsidR="003717A0" w:rsidRDefault="003717A0">
      <w:pPr>
        <w:rPr>
          <w:b/>
          <w:bCs/>
        </w:rPr>
      </w:pPr>
      <w:r>
        <w:t xml:space="preserve">1. </w:t>
      </w:r>
      <w:r>
        <w:rPr>
          <w:b/>
          <w:bCs/>
        </w:rPr>
        <w:t>Typical patterns for concurrence</w:t>
      </w:r>
    </w:p>
    <w:p w:rsidR="003717A0" w:rsidRDefault="003717A0">
      <w:r>
        <w:rPr>
          <w:b/>
          <w:bCs/>
          <w:u w:val="single"/>
        </w:rPr>
        <w:t xml:space="preserve"> As </w:t>
      </w:r>
      <w:r>
        <w:rPr>
          <w:b/>
          <w:bCs/>
        </w:rPr>
        <w:t xml:space="preserve">I spoke, I set the KFC box on the planter beside the pathway…. (L. 7)   </w:t>
      </w:r>
      <w:r>
        <w:t xml:space="preserve">  </w:t>
      </w:r>
    </w:p>
    <w:p w:rsidR="003717A0" w:rsidRDefault="003717A0">
      <w:r>
        <w:rPr>
          <w:u w:val="single"/>
        </w:rPr>
        <w:t xml:space="preserve"> As</w:t>
      </w:r>
      <w:r>
        <w:t xml:space="preserve"> the police were entering the building from the front entrance, the thieves escaped through the back door.</w:t>
      </w:r>
    </w:p>
    <w:p w:rsidR="003717A0" w:rsidRDefault="003717A0">
      <w:r>
        <w:rPr>
          <w:u w:val="single"/>
        </w:rPr>
        <w:t>As</w:t>
      </w:r>
      <w:r>
        <w:t xml:space="preserve"> he shouted: “Freeze!”, the policeman pulled out his pistol.</w:t>
      </w:r>
    </w:p>
    <w:p w:rsidR="003717A0" w:rsidRDefault="003717A0"/>
    <w:p w:rsidR="003717A0" w:rsidRDefault="003717A0">
      <w:pPr>
        <w:numPr>
          <w:ilvl w:val="0"/>
          <w:numId w:val="32"/>
        </w:numPr>
        <w:rPr>
          <w:b/>
          <w:bCs/>
        </w:rPr>
      </w:pPr>
      <w:r>
        <w:rPr>
          <w:b/>
          <w:bCs/>
        </w:rPr>
        <w:t>Typical patterns for simile</w:t>
      </w:r>
    </w:p>
    <w:p w:rsidR="003717A0" w:rsidRDefault="003717A0">
      <w:pPr>
        <w:rPr>
          <w:b/>
          <w:bCs/>
        </w:rPr>
      </w:pPr>
      <w:r>
        <w:rPr>
          <w:b/>
          <w:bCs/>
        </w:rPr>
        <w:t xml:space="preserve">His dark eyes shone </w:t>
      </w:r>
      <w:r>
        <w:rPr>
          <w:b/>
          <w:bCs/>
          <w:u w:val="single"/>
        </w:rPr>
        <w:t>like</w:t>
      </w:r>
      <w:r>
        <w:rPr>
          <w:b/>
          <w:bCs/>
        </w:rPr>
        <w:t xml:space="preserve"> polished glass. (L. 22)</w:t>
      </w:r>
    </w:p>
    <w:p w:rsidR="003717A0" w:rsidRDefault="003717A0">
      <w:pPr>
        <w:rPr>
          <w:b/>
          <w:bCs/>
        </w:rPr>
      </w:pPr>
      <w:r>
        <w:rPr>
          <w:b/>
          <w:bCs/>
        </w:rPr>
        <w:t xml:space="preserve">Turning those pages and studying their photographs </w:t>
      </w:r>
      <w:r>
        <w:rPr>
          <w:b/>
          <w:bCs/>
          <w:u w:val="single"/>
        </w:rPr>
        <w:t>is like</w:t>
      </w:r>
      <w:r>
        <w:rPr>
          <w:b/>
          <w:bCs/>
        </w:rPr>
        <w:t xml:space="preserve"> flowing on a sad current … (L. 56)</w:t>
      </w:r>
    </w:p>
    <w:p w:rsidR="003717A0" w:rsidRDefault="003717A0">
      <w:pPr>
        <w:rPr>
          <w:b/>
          <w:bCs/>
        </w:rPr>
      </w:pPr>
      <w:r>
        <w:rPr>
          <w:b/>
          <w:bCs/>
        </w:rPr>
        <w:t>…his arms and legs moved unexpectedly,</w:t>
      </w:r>
      <w:r>
        <w:rPr>
          <w:b/>
          <w:bCs/>
          <w:u w:val="single"/>
        </w:rPr>
        <w:t xml:space="preserve"> as if</w:t>
      </w:r>
      <w:r>
        <w:rPr>
          <w:b/>
          <w:bCs/>
        </w:rPr>
        <w:t xml:space="preserve"> attached to unseen wires. (L. 23)</w:t>
      </w:r>
    </w:p>
    <w:p w:rsidR="003717A0" w:rsidRDefault="003717A0">
      <w:pPr>
        <w:ind w:firstLineChars="100" w:firstLine="210"/>
        <w:rPr>
          <w:szCs w:val="21"/>
        </w:rPr>
      </w:pPr>
    </w:p>
    <w:p w:rsidR="003717A0" w:rsidRDefault="003717A0">
      <w:pPr>
        <w:numPr>
          <w:ilvl w:val="0"/>
          <w:numId w:val="32"/>
        </w:numPr>
        <w:rPr>
          <w:b/>
          <w:bCs/>
          <w:szCs w:val="21"/>
        </w:rPr>
      </w:pPr>
      <w:r>
        <w:rPr>
          <w:b/>
          <w:bCs/>
          <w:szCs w:val="21"/>
        </w:rPr>
        <w:t>Typical patterns for suggestion</w:t>
      </w:r>
    </w:p>
    <w:p w:rsidR="003717A0" w:rsidRDefault="003717A0">
      <w:pPr>
        <w:rPr>
          <w:b/>
          <w:bCs/>
          <w:szCs w:val="21"/>
        </w:rPr>
      </w:pPr>
      <w:r>
        <w:rPr>
          <w:b/>
          <w:bCs/>
        </w:rPr>
        <w:t>Presently, all we can do is look at smug shots and stick our fingers in the dam. (L. 63)</w:t>
      </w:r>
    </w:p>
    <w:p w:rsidR="003717A0" w:rsidRDefault="003717A0">
      <w:r>
        <w:t xml:space="preserve">All (that) sb could/can do is (to) do sth.  </w:t>
      </w:r>
    </w:p>
    <w:p w:rsidR="003717A0" w:rsidRDefault="003717A0">
      <w:r>
        <w:t xml:space="preserve">As a student, </w:t>
      </w:r>
      <w:r>
        <w:rPr>
          <w:u w:val="single"/>
        </w:rPr>
        <w:t>all you’ve got to do</w:t>
      </w:r>
      <w:r>
        <w:t xml:space="preserve"> now at college </w:t>
      </w:r>
      <w:r>
        <w:rPr>
          <w:u w:val="single"/>
        </w:rPr>
        <w:t>is to</w:t>
      </w:r>
      <w:r>
        <w:t xml:space="preserve"> put all your heart into acquiring knowledge.</w:t>
      </w:r>
    </w:p>
    <w:p w:rsidR="003717A0" w:rsidRDefault="003717A0"/>
    <w:p w:rsidR="003717A0" w:rsidRDefault="003717A0">
      <w:pPr>
        <w:numPr>
          <w:ilvl w:val="0"/>
          <w:numId w:val="31"/>
        </w:numPr>
        <w:rPr>
          <w:b/>
          <w:szCs w:val="32"/>
        </w:rPr>
      </w:pPr>
      <w:r>
        <w:rPr>
          <w:b/>
          <w:szCs w:val="21"/>
        </w:rPr>
        <w:t>The usage of “rather than”. See exercise at P.161.</w:t>
      </w:r>
    </w:p>
    <w:p w:rsidR="003717A0" w:rsidRDefault="003717A0">
      <w:pPr>
        <w:rPr>
          <w:b/>
          <w:szCs w:val="32"/>
        </w:rPr>
      </w:pPr>
      <w:r>
        <w:rPr>
          <w:b/>
          <w:szCs w:val="21"/>
        </w:rPr>
        <w:t xml:space="preserve">…because their attention focuses on the guns, </w:t>
      </w:r>
      <w:r>
        <w:rPr>
          <w:b/>
          <w:szCs w:val="21"/>
          <w:u w:val="single"/>
        </w:rPr>
        <w:t>rather than</w:t>
      </w:r>
      <w:r>
        <w:rPr>
          <w:b/>
          <w:szCs w:val="21"/>
        </w:rPr>
        <w:t xml:space="preserve"> on their users.</w:t>
      </w:r>
    </w:p>
    <w:p w:rsidR="003717A0" w:rsidRDefault="003717A0">
      <w:pPr>
        <w:rPr>
          <w:b/>
          <w:i/>
          <w:szCs w:val="21"/>
        </w:rPr>
      </w:pPr>
    </w:p>
    <w:p w:rsidR="003717A0" w:rsidRDefault="003717A0">
      <w:pPr>
        <w:rPr>
          <w:b/>
          <w:i/>
          <w:szCs w:val="21"/>
        </w:rPr>
      </w:pPr>
      <w:r>
        <w:rPr>
          <w:b/>
          <w:i/>
          <w:szCs w:val="21"/>
        </w:rPr>
        <w:t>Key phrases and expressions in Text B</w:t>
      </w:r>
    </w:p>
    <w:p w:rsidR="003717A0" w:rsidRDefault="003717A0">
      <w:pPr>
        <w:rPr>
          <w:bCs/>
          <w:iCs/>
          <w:szCs w:val="21"/>
        </w:rPr>
      </w:pPr>
      <w:r>
        <w:rPr>
          <w:bCs/>
          <w:iCs/>
          <w:szCs w:val="21"/>
        </w:rPr>
        <w:t xml:space="preserve">ignorance of, be immune to, transport sth. from ... to ..., be intended for, be capable of doing sth., wait in line, believe in, keep sb./sth. from doing sth., hear of, at the sight of, put the price on one’s life </w:t>
      </w:r>
    </w:p>
    <w:p w:rsidR="003717A0" w:rsidRDefault="003717A0">
      <w:pPr>
        <w:rPr>
          <w:b/>
          <w:i/>
          <w:sz w:val="24"/>
        </w:rPr>
      </w:pPr>
    </w:p>
    <w:p w:rsidR="003717A0" w:rsidRDefault="003717A0">
      <w:pPr>
        <w:rPr>
          <w:b/>
          <w:i/>
          <w:sz w:val="24"/>
        </w:rPr>
      </w:pPr>
      <w:r>
        <w:rPr>
          <w:b/>
          <w:i/>
          <w:sz w:val="24"/>
        </w:rPr>
        <w:t>Topic for writing:</w:t>
      </w:r>
    </w:p>
    <w:p w:rsidR="003717A0" w:rsidRDefault="003717A0">
      <w:pPr>
        <w:ind w:left="1050" w:hangingChars="500" w:hanging="1050"/>
        <w:rPr>
          <w:b/>
          <w:i/>
        </w:rPr>
      </w:pPr>
      <w:r>
        <w:t xml:space="preserve">Directions: You are allowed 30 minutes to write a composition with on the topic </w:t>
      </w:r>
      <w:r>
        <w:rPr>
          <w:b/>
          <w:i/>
        </w:rPr>
        <w:t xml:space="preserve">Changes in the </w:t>
      </w:r>
    </w:p>
    <w:p w:rsidR="003717A0" w:rsidRDefault="003717A0">
      <w:pPr>
        <w:ind w:left="1054" w:hangingChars="500" w:hanging="1054"/>
      </w:pPr>
      <w:r>
        <w:rPr>
          <w:b/>
          <w:i/>
        </w:rPr>
        <w:t>Age Distribution of Drug Addicts.</w:t>
      </w:r>
      <w:r>
        <w:t xml:space="preserve"> You should write at least 130 words.</w:t>
      </w:r>
    </w:p>
    <w:p w:rsidR="003717A0" w:rsidRDefault="003018D3">
      <w:pPr>
        <w:ind w:firstLineChars="200" w:firstLine="420"/>
      </w:pPr>
      <w:r>
        <w:lastRenderedPageBreak/>
        <w:pict>
          <v:shape id="_x0000_i1028" type="#_x0000_t75" style="width:238.15pt;height:144.55pt">
            <v:imagedata r:id="rId12" o:title=""/>
          </v:shape>
        </w:pict>
      </w:r>
    </w:p>
    <w:p w:rsidR="003717A0" w:rsidRDefault="003717A0"/>
    <w:p w:rsidR="003717A0" w:rsidRDefault="003717A0">
      <w:pPr>
        <w:rPr>
          <w:b/>
          <w:i/>
          <w:szCs w:val="21"/>
        </w:rPr>
      </w:pPr>
      <w:r>
        <w:t xml:space="preserve"> </w:t>
      </w:r>
      <w:r>
        <w:rPr>
          <w:b/>
          <w:i/>
          <w:szCs w:val="21"/>
        </w:rPr>
        <w:t>Additional work:</w:t>
      </w:r>
    </w:p>
    <w:p w:rsidR="003717A0" w:rsidRDefault="003717A0">
      <w:pPr>
        <w:numPr>
          <w:ilvl w:val="0"/>
          <w:numId w:val="33"/>
        </w:numPr>
        <w:rPr>
          <w:szCs w:val="21"/>
        </w:rPr>
      </w:pPr>
      <w:r>
        <w:rPr>
          <w:szCs w:val="21"/>
        </w:rPr>
        <w:t xml:space="preserve">Search the Internet for more information about gun control. You may search for opinions both for and against it. And keep double-entry journals. </w:t>
      </w:r>
    </w:p>
    <w:p w:rsidR="003717A0" w:rsidRDefault="003717A0">
      <w:pPr>
        <w:numPr>
          <w:ilvl w:val="0"/>
          <w:numId w:val="33"/>
        </w:numPr>
        <w:rPr>
          <w:szCs w:val="21"/>
        </w:rPr>
      </w:pPr>
      <w:r>
        <w:rPr>
          <w:szCs w:val="21"/>
        </w:rPr>
        <w:t>Summarize different measures we can take to prevent the robbery taking place unpredictably</w:t>
      </w:r>
    </w:p>
    <w:p w:rsidR="003717A0" w:rsidRDefault="003717A0">
      <w:pPr>
        <w:rPr>
          <w:szCs w:val="21"/>
        </w:rPr>
      </w:pPr>
      <w:r>
        <w:rPr>
          <w:szCs w:val="21"/>
        </w:rPr>
        <w:t xml:space="preserve">whether indoors or outdoors, in daylight or at night, esp. a robbery with guns. </w:t>
      </w:r>
    </w:p>
    <w:p w:rsidR="003717A0" w:rsidRDefault="003717A0">
      <w:r>
        <w:rPr>
          <w:szCs w:val="21"/>
        </w:rPr>
        <w:t xml:space="preserve">3.  </w:t>
      </w:r>
      <w:r>
        <w:t>Write a short paragraph with a set of sequential actions based on the following main idea and actions.</w:t>
      </w:r>
    </w:p>
    <w:p w:rsidR="003717A0" w:rsidRDefault="003717A0">
      <w:pPr>
        <w:ind w:firstLineChars="196" w:firstLine="413"/>
      </w:pPr>
      <w:r>
        <w:rPr>
          <w:b/>
          <w:bCs/>
          <w:i/>
          <w:u w:val="single"/>
        </w:rPr>
        <w:t>Main idea:</w:t>
      </w:r>
      <w:r>
        <w:t xml:space="preserve"> </w:t>
      </w:r>
      <w:r>
        <w:rPr>
          <w:i/>
        </w:rPr>
        <w:t>I got my exercise-book locked at home.</w:t>
      </w:r>
    </w:p>
    <w:p w:rsidR="003717A0" w:rsidRDefault="003717A0">
      <w:pPr>
        <w:ind w:firstLineChars="150" w:firstLine="316"/>
        <w:rPr>
          <w:i/>
          <w:szCs w:val="21"/>
        </w:rPr>
      </w:pPr>
      <w:r>
        <w:rPr>
          <w:b/>
          <w:bCs/>
          <w:i/>
          <w:u w:val="single"/>
        </w:rPr>
        <w:t>The set of actions:</w:t>
      </w:r>
      <w:r>
        <w:rPr>
          <w:i/>
          <w:u w:val="single"/>
        </w:rPr>
        <w:t xml:space="preserve"> </w:t>
      </w:r>
      <w:r>
        <w:rPr>
          <w:i/>
        </w:rPr>
        <w:t xml:space="preserve">forget the exercise-book, rush back, find a stone, break the window, reach through the hole, turn the knob, open the door, grab the exercise-book, and get away quickly  </w:t>
      </w:r>
    </w:p>
    <w:p w:rsidR="003717A0" w:rsidRDefault="003717A0">
      <w:pPr>
        <w:ind w:firstLineChars="150" w:firstLine="315"/>
        <w:rPr>
          <w:szCs w:val="21"/>
        </w:rPr>
      </w:pPr>
    </w:p>
    <w:p w:rsidR="003717A0" w:rsidRDefault="003717A0"/>
    <w:p w:rsidR="003717A0" w:rsidRDefault="003717A0">
      <w:pPr>
        <w:rPr>
          <w:b/>
          <w:sz w:val="24"/>
        </w:rPr>
      </w:pPr>
      <w:r>
        <w:rPr>
          <w:b/>
          <w:sz w:val="24"/>
        </w:rPr>
        <w:t>Unit 8</w:t>
      </w:r>
    </w:p>
    <w:p w:rsidR="003717A0" w:rsidRDefault="003717A0">
      <w:pPr>
        <w:rPr>
          <w:i/>
        </w:rPr>
      </w:pPr>
    </w:p>
    <w:p w:rsidR="003717A0" w:rsidRDefault="003717A0">
      <w:pPr>
        <w:rPr>
          <w:b/>
          <w:i/>
          <w:sz w:val="24"/>
        </w:rPr>
      </w:pPr>
      <w:r>
        <w:rPr>
          <w:b/>
          <w:i/>
          <w:sz w:val="24"/>
        </w:rPr>
        <w:t>Time allotment (6 periods):</w:t>
      </w:r>
    </w:p>
    <w:p w:rsidR="003717A0" w:rsidRDefault="003717A0">
      <w:pPr>
        <w:numPr>
          <w:ilvl w:val="0"/>
          <w:numId w:val="34"/>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34"/>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34"/>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 w:rsidR="003717A0" w:rsidRDefault="003717A0">
      <w:pPr>
        <w:rPr>
          <w:b/>
          <w:i/>
          <w:sz w:val="24"/>
        </w:rPr>
      </w:pPr>
      <w:r>
        <w:rPr>
          <w:b/>
          <w:i/>
          <w:sz w:val="24"/>
        </w:rPr>
        <w:t>Answer questions after finishing reading Text A:</w:t>
      </w:r>
    </w:p>
    <w:p w:rsidR="003717A0" w:rsidRDefault="003717A0">
      <w:pPr>
        <w:numPr>
          <w:ilvl w:val="0"/>
          <w:numId w:val="35"/>
        </w:numPr>
        <w:rPr>
          <w:bCs/>
          <w:szCs w:val="21"/>
        </w:rPr>
      </w:pPr>
      <w:r>
        <w:rPr>
          <w:szCs w:val="21"/>
        </w:rPr>
        <w:t xml:space="preserve">How many examples of getting good ideas are discussed in the text? How did they get good ideas? </w:t>
      </w:r>
      <w:r>
        <w:rPr>
          <w:bCs/>
          <w:szCs w:val="21"/>
        </w:rPr>
        <w:t>Have you ever experienced the sudden arrival of a bright idea?</w:t>
      </w:r>
    </w:p>
    <w:p w:rsidR="003717A0" w:rsidRDefault="003717A0">
      <w:pPr>
        <w:numPr>
          <w:ilvl w:val="0"/>
          <w:numId w:val="35"/>
        </w:numPr>
        <w:rPr>
          <w:bCs/>
          <w:szCs w:val="21"/>
        </w:rPr>
      </w:pPr>
      <w:r>
        <w:rPr>
          <w:bCs/>
          <w:szCs w:val="21"/>
        </w:rPr>
        <w:t>What insights do you get from the stories in the text?  Is genius the result of nurture or nature?  Are there any secrets to being creative?</w:t>
      </w:r>
    </w:p>
    <w:p w:rsidR="003717A0" w:rsidRDefault="003717A0">
      <w:pPr>
        <w:rPr>
          <w:bCs/>
          <w:szCs w:val="21"/>
        </w:rPr>
      </w:pPr>
    </w:p>
    <w:p w:rsidR="003717A0" w:rsidRDefault="003717A0">
      <w:pPr>
        <w:rPr>
          <w:b/>
          <w:i/>
          <w:sz w:val="24"/>
        </w:rPr>
      </w:pPr>
      <w:r>
        <w:rPr>
          <w:b/>
          <w:i/>
          <w:sz w:val="24"/>
        </w:rPr>
        <w:t>Key words in Text A:</w:t>
      </w:r>
    </w:p>
    <w:p w:rsidR="003717A0" w:rsidRDefault="003717A0">
      <w:pPr>
        <w:rPr>
          <w:bCs/>
          <w:iCs/>
          <w:szCs w:val="21"/>
        </w:rPr>
      </w:pPr>
      <w:r>
        <w:rPr>
          <w:bCs/>
          <w:iCs/>
          <w:szCs w:val="21"/>
        </w:rPr>
        <w:t>flash, occur, intensify, dramatic, compose, occupy, contrast, stable, existence, explosion, exemplify, representative, instinctive, responsible</w:t>
      </w:r>
    </w:p>
    <w:p w:rsidR="003717A0" w:rsidRDefault="003717A0">
      <w:pPr>
        <w:rPr>
          <w:b/>
          <w:i/>
          <w:szCs w:val="21"/>
        </w:rPr>
      </w:pPr>
    </w:p>
    <w:p w:rsidR="003717A0" w:rsidRDefault="003717A0">
      <w:pPr>
        <w:rPr>
          <w:b/>
          <w:i/>
          <w:sz w:val="24"/>
        </w:rPr>
      </w:pPr>
      <w:r>
        <w:rPr>
          <w:b/>
          <w:i/>
          <w:sz w:val="24"/>
        </w:rPr>
        <w:lastRenderedPageBreak/>
        <w:t>Key phrases and expressions in Text A:</w:t>
      </w:r>
    </w:p>
    <w:p w:rsidR="003717A0" w:rsidRDefault="003717A0">
      <w:pPr>
        <w:rPr>
          <w:b/>
          <w:i/>
          <w:sz w:val="24"/>
        </w:rPr>
      </w:pPr>
      <w:r>
        <w:rPr>
          <w:b/>
          <w:i/>
          <w:sz w:val="24"/>
        </w:rPr>
        <w:t>Sleep on, burst into, be unknown to sb., depend on, write down, draw examples from, in ... degree, the more..., the more..., be occupied with, seek for, feel as though, in a mighty flood of water, rush and roar, take shape, put into, at work, search for, keep on doing sth., fill with, be responsible for</w:t>
      </w:r>
    </w:p>
    <w:p w:rsidR="003717A0" w:rsidRDefault="003717A0">
      <w:pPr>
        <w:rPr>
          <w:szCs w:val="21"/>
        </w:rPr>
      </w:pPr>
    </w:p>
    <w:p w:rsidR="003717A0" w:rsidRDefault="003717A0">
      <w:pPr>
        <w:rPr>
          <w:b/>
          <w:i/>
          <w:sz w:val="24"/>
        </w:rPr>
      </w:pPr>
      <w:r>
        <w:rPr>
          <w:b/>
          <w:i/>
          <w:sz w:val="24"/>
        </w:rPr>
        <w:t>Key structures in Text A:</w:t>
      </w:r>
    </w:p>
    <w:p w:rsidR="003717A0" w:rsidRDefault="003717A0">
      <w:pPr>
        <w:rPr>
          <w:b/>
          <w:i/>
          <w:sz w:val="24"/>
        </w:rPr>
      </w:pPr>
    </w:p>
    <w:p w:rsidR="003717A0" w:rsidRDefault="003717A0">
      <w:pPr>
        <w:numPr>
          <w:ilvl w:val="0"/>
          <w:numId w:val="36"/>
        </w:numPr>
        <w:rPr>
          <w:b/>
          <w:bCs/>
          <w:szCs w:val="21"/>
        </w:rPr>
      </w:pPr>
      <w:r>
        <w:rPr>
          <w:rFonts w:cs="Times New Roman"/>
          <w:szCs w:val="21"/>
        </w:rPr>
        <w:t xml:space="preserve"> </w:t>
      </w:r>
      <w:r>
        <w:rPr>
          <w:b/>
          <w:bCs/>
          <w:szCs w:val="21"/>
        </w:rPr>
        <w:t xml:space="preserve">Attributive clause. See exercise at P.184. </w:t>
      </w:r>
    </w:p>
    <w:p w:rsidR="003717A0" w:rsidRDefault="003717A0">
      <w:pPr>
        <w:rPr>
          <w:b/>
          <w:szCs w:val="21"/>
        </w:rPr>
      </w:pPr>
      <w:r>
        <w:rPr>
          <w:b/>
          <w:bCs/>
          <w:szCs w:val="21"/>
        </w:rPr>
        <w:t xml:space="preserve">All of us have experienced this sudden arrival of a new idea, but it is easiest to examine it in the great creative personalities, many </w:t>
      </w:r>
      <w:r>
        <w:rPr>
          <w:b/>
          <w:bCs/>
          <w:szCs w:val="21"/>
          <w:u w:val="single"/>
        </w:rPr>
        <w:t>of whom</w:t>
      </w:r>
      <w:r>
        <w:rPr>
          <w:b/>
          <w:bCs/>
          <w:szCs w:val="21"/>
        </w:rPr>
        <w:t xml:space="preserve"> experienced it in an intensified form and have written it down in their life stories and letters. </w:t>
      </w:r>
    </w:p>
    <w:p w:rsidR="003717A0" w:rsidRDefault="003717A0">
      <w:pPr>
        <w:rPr>
          <w:szCs w:val="21"/>
        </w:rPr>
      </w:pPr>
      <w:r>
        <w:rPr>
          <w:szCs w:val="21"/>
        </w:rPr>
        <w:t xml:space="preserve"> </w:t>
      </w:r>
    </w:p>
    <w:p w:rsidR="003717A0" w:rsidRDefault="003717A0">
      <w:pPr>
        <w:numPr>
          <w:ilvl w:val="0"/>
          <w:numId w:val="36"/>
        </w:numPr>
        <w:rPr>
          <w:b/>
          <w:bCs/>
          <w:szCs w:val="21"/>
        </w:rPr>
      </w:pPr>
      <w:r>
        <w:rPr>
          <w:rFonts w:cs="Times New Roman"/>
          <w:szCs w:val="21"/>
        </w:rPr>
        <w:t xml:space="preserve"> </w:t>
      </w:r>
      <w:r>
        <w:rPr>
          <w:b/>
          <w:bCs/>
          <w:szCs w:val="21"/>
        </w:rPr>
        <w:t>Using “the more... The more....” to rewrite sentences at P.185.</w:t>
      </w:r>
    </w:p>
    <w:p w:rsidR="003717A0" w:rsidRDefault="003717A0">
      <w:pPr>
        <w:rPr>
          <w:b/>
          <w:bCs/>
          <w:szCs w:val="21"/>
        </w:rPr>
      </w:pPr>
      <w:r>
        <w:rPr>
          <w:b/>
          <w:bCs/>
          <w:szCs w:val="21"/>
        </w:rPr>
        <w:t xml:space="preserve">The more highly insightful the person, the sharper the signals become.         </w:t>
      </w:r>
    </w:p>
    <w:p w:rsidR="003717A0" w:rsidRDefault="003717A0">
      <w:pPr>
        <w:rPr>
          <w:szCs w:val="21"/>
        </w:rPr>
      </w:pPr>
    </w:p>
    <w:p w:rsidR="003717A0" w:rsidRDefault="003717A0">
      <w:pPr>
        <w:rPr>
          <w:b/>
          <w:i/>
          <w:szCs w:val="21"/>
        </w:rPr>
      </w:pPr>
      <w:r>
        <w:rPr>
          <w:b/>
          <w:i/>
          <w:szCs w:val="21"/>
        </w:rPr>
        <w:t>Key phrases and expressions in Text B</w:t>
      </w:r>
    </w:p>
    <w:p w:rsidR="003717A0" w:rsidRDefault="003717A0">
      <w:pPr>
        <w:rPr>
          <w:b/>
          <w:i/>
          <w:szCs w:val="21"/>
        </w:rPr>
      </w:pPr>
      <w:r>
        <w:rPr>
          <w:b/>
          <w:i/>
          <w:szCs w:val="21"/>
        </w:rPr>
        <w:t>emerge from, reveal one’s secret, separate from, act upon, run by, be ready to, come one’s way, fall asleep, take advantage of, allow oneself to, try doing, lead to, at once, transfer to, take up</w:t>
      </w:r>
    </w:p>
    <w:p w:rsidR="003717A0" w:rsidRDefault="003717A0"/>
    <w:p w:rsidR="003717A0" w:rsidRDefault="003717A0">
      <w:pPr>
        <w:rPr>
          <w:b/>
          <w:i/>
          <w:sz w:val="24"/>
        </w:rPr>
      </w:pPr>
      <w:r>
        <w:rPr>
          <w:b/>
          <w:i/>
          <w:sz w:val="24"/>
        </w:rPr>
        <w:t>Topic for writing:</w:t>
      </w:r>
    </w:p>
    <w:p w:rsidR="003717A0" w:rsidRDefault="003717A0">
      <w:pPr>
        <w:numPr>
          <w:ilvl w:val="0"/>
          <w:numId w:val="37"/>
        </w:numPr>
      </w:pPr>
      <w:r>
        <w:t xml:space="preserve">Directions: You are allowed 30 minutes to write a composition with on the topic </w:t>
      </w:r>
      <w:r>
        <w:rPr>
          <w:b/>
          <w:i/>
        </w:rPr>
        <w:t>Ways of Increasing Creativity</w:t>
      </w:r>
      <w:r>
        <w:t>. You should write at least 130 words.</w:t>
      </w:r>
    </w:p>
    <w:p w:rsidR="003717A0" w:rsidRDefault="003717A0">
      <w:pPr>
        <w:rPr>
          <w:sz w:val="18"/>
          <w:szCs w:val="18"/>
        </w:rPr>
      </w:pPr>
    </w:p>
    <w:p w:rsidR="003717A0" w:rsidRDefault="003717A0">
      <w:pPr>
        <w:rPr>
          <w:b/>
          <w:i/>
          <w:szCs w:val="21"/>
        </w:rPr>
      </w:pPr>
      <w:r>
        <w:rPr>
          <w:b/>
          <w:i/>
          <w:szCs w:val="21"/>
        </w:rPr>
        <w:t>Additional work:</w:t>
      </w:r>
    </w:p>
    <w:p w:rsidR="003717A0" w:rsidRDefault="003717A0">
      <w:pPr>
        <w:numPr>
          <w:ilvl w:val="0"/>
          <w:numId w:val="38"/>
        </w:numPr>
        <w:rPr>
          <w:szCs w:val="21"/>
        </w:rPr>
      </w:pPr>
      <w:r>
        <w:rPr>
          <w:szCs w:val="21"/>
        </w:rPr>
        <w:t xml:space="preserve">Retell the story of how the famous people mentioned in the text got their bright ideas. </w:t>
      </w:r>
    </w:p>
    <w:p w:rsidR="003717A0" w:rsidRDefault="003717A0">
      <w:pPr>
        <w:jc w:val="center"/>
        <w:rPr>
          <w:b/>
          <w:sz w:val="24"/>
        </w:rPr>
      </w:pPr>
    </w:p>
    <w:p w:rsidR="003717A0" w:rsidRDefault="003717A0">
      <w:pPr>
        <w:rPr>
          <w:b/>
          <w:sz w:val="24"/>
        </w:rPr>
      </w:pPr>
    </w:p>
    <w:p w:rsidR="003717A0" w:rsidRDefault="003717A0">
      <w:pPr>
        <w:rPr>
          <w:b/>
          <w:sz w:val="24"/>
        </w:rPr>
      </w:pPr>
      <w:r>
        <w:rPr>
          <w:b/>
          <w:sz w:val="24"/>
        </w:rPr>
        <w:t>Unit 9</w:t>
      </w:r>
    </w:p>
    <w:p w:rsidR="003717A0" w:rsidRDefault="003717A0">
      <w:pPr>
        <w:jc w:val="center"/>
        <w:rPr>
          <w:b/>
          <w:sz w:val="24"/>
        </w:rPr>
      </w:pPr>
    </w:p>
    <w:p w:rsidR="003717A0" w:rsidRDefault="003717A0">
      <w:pPr>
        <w:rPr>
          <w:b/>
          <w:i/>
          <w:sz w:val="24"/>
        </w:rPr>
      </w:pPr>
      <w:r>
        <w:rPr>
          <w:b/>
          <w:i/>
          <w:sz w:val="24"/>
        </w:rPr>
        <w:t>Time allotment (6 periods):</w:t>
      </w:r>
    </w:p>
    <w:p w:rsidR="003717A0" w:rsidRDefault="003717A0">
      <w:pPr>
        <w:numPr>
          <w:ilvl w:val="0"/>
          <w:numId w:val="39"/>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39"/>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39"/>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 w:rsidR="003717A0" w:rsidRDefault="003717A0">
      <w:pPr>
        <w:rPr>
          <w:b/>
          <w:i/>
          <w:sz w:val="24"/>
        </w:rPr>
      </w:pPr>
      <w:r>
        <w:rPr>
          <w:b/>
          <w:i/>
          <w:sz w:val="24"/>
        </w:rPr>
        <w:t>Answer questions after finishing reading Text A&amp;B:</w:t>
      </w:r>
    </w:p>
    <w:p w:rsidR="003717A0" w:rsidRDefault="003717A0">
      <w:pPr>
        <w:numPr>
          <w:ilvl w:val="0"/>
          <w:numId w:val="40"/>
        </w:numPr>
        <w:rPr>
          <w:szCs w:val="21"/>
        </w:rPr>
      </w:pPr>
      <w:r>
        <w:rPr>
          <w:szCs w:val="21"/>
        </w:rPr>
        <w:t>How to reach your excellence in your learning? What are the tips offered in the passage?</w:t>
      </w:r>
    </w:p>
    <w:p w:rsidR="003717A0" w:rsidRDefault="003717A0">
      <w:pPr>
        <w:ind w:left="360"/>
        <w:rPr>
          <w:szCs w:val="21"/>
        </w:rPr>
      </w:pPr>
      <w:r>
        <w:rPr>
          <w:szCs w:val="21"/>
        </w:rPr>
        <w:t>Are there any other tips that may be beneficial according to your own experiences?</w:t>
      </w:r>
    </w:p>
    <w:p w:rsidR="003717A0" w:rsidRDefault="003717A0">
      <w:pPr>
        <w:ind w:left="420" w:hangingChars="200" w:hanging="420"/>
        <w:rPr>
          <w:szCs w:val="21"/>
        </w:rPr>
      </w:pPr>
      <w:r>
        <w:rPr>
          <w:szCs w:val="21"/>
        </w:rPr>
        <w:t>2.  Do you remember what questions puzzled you most when you chose your major? Why did you choose your present major?</w:t>
      </w:r>
    </w:p>
    <w:p w:rsidR="003717A0" w:rsidRDefault="003717A0">
      <w:pPr>
        <w:rPr>
          <w:b/>
          <w:i/>
          <w:sz w:val="24"/>
        </w:rPr>
      </w:pPr>
      <w:r>
        <w:rPr>
          <w:b/>
          <w:i/>
          <w:sz w:val="24"/>
        </w:rPr>
        <w:lastRenderedPageBreak/>
        <w:t xml:space="preserve"> </w:t>
      </w:r>
    </w:p>
    <w:p w:rsidR="003717A0" w:rsidRDefault="003717A0">
      <w:pPr>
        <w:rPr>
          <w:b/>
          <w:i/>
          <w:sz w:val="24"/>
        </w:rPr>
      </w:pPr>
      <w:r>
        <w:rPr>
          <w:b/>
          <w:i/>
          <w:sz w:val="24"/>
        </w:rPr>
        <w:t>Key words in Text A:</w:t>
      </w:r>
    </w:p>
    <w:p w:rsidR="003717A0" w:rsidRDefault="003717A0">
      <w:pPr>
        <w:rPr>
          <w:bCs/>
          <w:iCs/>
          <w:szCs w:val="21"/>
        </w:rPr>
      </w:pPr>
      <w:r>
        <w:rPr>
          <w:bCs/>
          <w:iCs/>
          <w:szCs w:val="21"/>
        </w:rPr>
        <w:t>whatsoever, arouse, accomplish, awaken, alternative, cease, adapt, profit</w:t>
      </w:r>
    </w:p>
    <w:p w:rsidR="003717A0" w:rsidRDefault="003717A0">
      <w:pPr>
        <w:rPr>
          <w:b/>
          <w:i/>
          <w:szCs w:val="21"/>
        </w:rPr>
      </w:pPr>
    </w:p>
    <w:p w:rsidR="003717A0" w:rsidRDefault="003717A0">
      <w:pPr>
        <w:rPr>
          <w:b/>
          <w:i/>
          <w:sz w:val="24"/>
        </w:rPr>
      </w:pPr>
      <w:r>
        <w:rPr>
          <w:b/>
          <w:i/>
          <w:sz w:val="24"/>
        </w:rPr>
        <w:t>Key phrases and expressions in Text A:</w:t>
      </w:r>
    </w:p>
    <w:p w:rsidR="003717A0" w:rsidRDefault="003717A0">
      <w:pPr>
        <w:rPr>
          <w:b/>
          <w:i/>
          <w:sz w:val="24"/>
        </w:rPr>
      </w:pPr>
      <w:r>
        <w:rPr>
          <w:b/>
          <w:i/>
          <w:sz w:val="24"/>
        </w:rPr>
        <w:t>post remarkable grades, sit back, grant oneself a present, according to a reasonable plan, manage one’s work and time, plow through...without cease, improve one’s performance at school</w:t>
      </w:r>
    </w:p>
    <w:p w:rsidR="003717A0" w:rsidRDefault="003717A0">
      <w:pPr>
        <w:rPr>
          <w:szCs w:val="21"/>
        </w:rPr>
      </w:pPr>
    </w:p>
    <w:p w:rsidR="003717A0" w:rsidRDefault="003717A0">
      <w:pPr>
        <w:rPr>
          <w:b/>
          <w:i/>
          <w:sz w:val="24"/>
        </w:rPr>
      </w:pPr>
      <w:r>
        <w:rPr>
          <w:b/>
          <w:i/>
          <w:sz w:val="24"/>
        </w:rPr>
        <w:t>Key structures in Text A:</w:t>
      </w:r>
    </w:p>
    <w:p w:rsidR="003717A0" w:rsidRDefault="003717A0">
      <w:pPr>
        <w:rPr>
          <w:b/>
          <w:sz w:val="24"/>
        </w:rPr>
      </w:pPr>
      <w:r>
        <w:rPr>
          <w:sz w:val="24"/>
        </w:rPr>
        <w:t>1.</w:t>
      </w:r>
      <w:r>
        <w:rPr>
          <w:b/>
          <w:sz w:val="24"/>
        </w:rPr>
        <w:t xml:space="preserve">  </w:t>
      </w:r>
      <w:r>
        <w:rPr>
          <w:b/>
          <w:bCs/>
          <w:iCs/>
          <w:szCs w:val="21"/>
          <w:u w:val="single"/>
        </w:rPr>
        <w:t>No matter how difficult</w:t>
      </w:r>
      <w:r>
        <w:rPr>
          <w:szCs w:val="21"/>
        </w:rPr>
        <w:t xml:space="preserve"> a professor’s question is, that one special student seems to know the answer. </w:t>
      </w:r>
    </w:p>
    <w:p w:rsidR="003717A0" w:rsidRDefault="003717A0">
      <w:pPr>
        <w:ind w:firstLineChars="100" w:firstLine="210"/>
        <w:rPr>
          <w:szCs w:val="21"/>
        </w:rPr>
      </w:pPr>
      <w:r>
        <w:rPr>
          <w:szCs w:val="21"/>
        </w:rPr>
        <w:t xml:space="preserve">  no matter how + adj./adv + subject +verb …</w:t>
      </w:r>
    </w:p>
    <w:p w:rsidR="003717A0" w:rsidRDefault="003717A0">
      <w:pPr>
        <w:ind w:firstLineChars="100" w:firstLine="210"/>
        <w:rPr>
          <w:szCs w:val="21"/>
        </w:rPr>
      </w:pPr>
      <w:r>
        <w:rPr>
          <w:szCs w:val="21"/>
        </w:rPr>
        <w:t xml:space="preserve">            We have to face that possibility </w:t>
      </w:r>
      <w:r>
        <w:rPr>
          <w:szCs w:val="21"/>
          <w:u w:val="single"/>
        </w:rPr>
        <w:t>no matter how unlikely</w:t>
      </w:r>
      <w:r>
        <w:rPr>
          <w:szCs w:val="21"/>
        </w:rPr>
        <w:t xml:space="preserve"> it may sound.</w:t>
      </w:r>
    </w:p>
    <w:p w:rsidR="003717A0" w:rsidRDefault="003717A0">
      <w:pPr>
        <w:ind w:firstLineChars="100" w:firstLine="210"/>
        <w:rPr>
          <w:szCs w:val="21"/>
        </w:rPr>
      </w:pPr>
      <w:r>
        <w:rPr>
          <w:szCs w:val="21"/>
        </w:rPr>
        <w:t>however + adj./adv + subject +verb…</w:t>
      </w:r>
    </w:p>
    <w:p w:rsidR="003717A0" w:rsidRDefault="003717A0">
      <w:pPr>
        <w:ind w:firstLineChars="100" w:firstLine="210"/>
        <w:rPr>
          <w:szCs w:val="21"/>
        </w:rPr>
      </w:pPr>
      <w:r>
        <w:rPr>
          <w:szCs w:val="21"/>
        </w:rPr>
        <w:t xml:space="preserve">We will never countenance violence, however serious the </w:t>
      </w:r>
      <w:r>
        <w:rPr>
          <w:rStyle w:val="highlight"/>
          <w:rFonts w:cs="Arial"/>
          <w:szCs w:val="21"/>
        </w:rPr>
        <w:t>threat against</w:t>
      </w:r>
      <w:r>
        <w:rPr>
          <w:szCs w:val="21"/>
        </w:rPr>
        <w:t xml:space="preserve"> us</w:t>
      </w:r>
    </w:p>
    <w:p w:rsidR="003717A0" w:rsidRDefault="003717A0">
      <w:pPr>
        <w:rPr>
          <w:szCs w:val="21"/>
        </w:rPr>
      </w:pPr>
      <w:r>
        <w:rPr>
          <w:szCs w:val="21"/>
        </w:rPr>
        <w:t xml:space="preserve">2. </w:t>
      </w:r>
      <w:r>
        <w:rPr>
          <w:b/>
          <w:bCs/>
          <w:i/>
          <w:iCs/>
          <w:szCs w:val="21"/>
          <w:u w:val="single"/>
        </w:rPr>
        <w:t>Should</w:t>
      </w:r>
      <w:r>
        <w:rPr>
          <w:szCs w:val="21"/>
        </w:rPr>
        <w:t xml:space="preserve"> you ask successful students around you, you will discover more tips. </w:t>
      </w:r>
    </w:p>
    <w:p w:rsidR="003717A0" w:rsidRDefault="003717A0">
      <w:pPr>
        <w:rPr>
          <w:szCs w:val="21"/>
        </w:rPr>
      </w:pPr>
      <w:r>
        <w:rPr>
          <w:szCs w:val="21"/>
        </w:rPr>
        <w:t xml:space="preserve">  Should + subject + verb = If + subject + verb</w:t>
      </w:r>
    </w:p>
    <w:p w:rsidR="003717A0" w:rsidRDefault="003717A0">
      <w:pPr>
        <w:ind w:firstLineChars="50" w:firstLine="105"/>
        <w:rPr>
          <w:szCs w:val="21"/>
        </w:rPr>
      </w:pPr>
      <w:r>
        <w:rPr>
          <w:szCs w:val="21"/>
        </w:rPr>
        <w:t xml:space="preserve"> Should a serious crisis arise, the public would have to be informed of it. </w:t>
      </w:r>
    </w:p>
    <w:p w:rsidR="003717A0" w:rsidRDefault="003717A0">
      <w:pPr>
        <w:ind w:firstLineChars="100" w:firstLine="210"/>
        <w:rPr>
          <w:szCs w:val="21"/>
        </w:rPr>
      </w:pPr>
      <w:r>
        <w:rPr>
          <w:szCs w:val="21"/>
        </w:rPr>
        <w:t xml:space="preserve">Should your car break down, change to a bus. </w:t>
      </w:r>
    </w:p>
    <w:p w:rsidR="003717A0" w:rsidRDefault="003717A0">
      <w:pPr>
        <w:rPr>
          <w:szCs w:val="21"/>
        </w:rPr>
      </w:pPr>
    </w:p>
    <w:p w:rsidR="003717A0" w:rsidRDefault="003717A0">
      <w:pPr>
        <w:rPr>
          <w:b/>
          <w:i/>
          <w:szCs w:val="21"/>
        </w:rPr>
      </w:pPr>
      <w:r>
        <w:rPr>
          <w:b/>
          <w:i/>
          <w:szCs w:val="21"/>
        </w:rPr>
        <w:t>Key phrases and expressions in Text B</w:t>
      </w:r>
    </w:p>
    <w:p w:rsidR="003717A0" w:rsidRDefault="003717A0">
      <w:pPr>
        <w:rPr>
          <w:bCs/>
          <w:iCs/>
          <w:szCs w:val="21"/>
        </w:rPr>
      </w:pPr>
      <w:r>
        <w:rPr>
          <w:bCs/>
          <w:iCs/>
          <w:szCs w:val="21"/>
        </w:rPr>
        <w:t>after years of indecision, make a breakthrough, host an international conference, pose a challenge to/ pose for pictures, several instances of/ in instance, be an expert in/ be expert in, a spoonful of, be fluent in, be advertised in, be wakened by, coin a catch phrase, drop out of school, figure out how to, would rather do than do</w:t>
      </w:r>
    </w:p>
    <w:p w:rsidR="003717A0" w:rsidRDefault="003717A0"/>
    <w:p w:rsidR="003717A0" w:rsidRDefault="003717A0">
      <w:pPr>
        <w:rPr>
          <w:b/>
          <w:i/>
          <w:sz w:val="24"/>
        </w:rPr>
      </w:pPr>
      <w:r>
        <w:rPr>
          <w:b/>
          <w:i/>
          <w:sz w:val="24"/>
        </w:rPr>
        <w:t>Topic for writing:</w:t>
      </w:r>
    </w:p>
    <w:p w:rsidR="003717A0" w:rsidRDefault="003717A0">
      <w:pPr>
        <w:numPr>
          <w:ilvl w:val="0"/>
          <w:numId w:val="41"/>
        </w:numPr>
      </w:pPr>
      <w:r>
        <w:t xml:space="preserve">Directions: You are allowed 30 minutes to write a composition with on the topic </w:t>
      </w:r>
      <w:r>
        <w:rPr>
          <w:b/>
          <w:i/>
        </w:rPr>
        <w:t>My Concept of Enrolling in Recurrent Education</w:t>
      </w:r>
      <w:r>
        <w:t xml:space="preserve">. You should write at least 120 words. </w:t>
      </w:r>
    </w:p>
    <w:p w:rsidR="003717A0" w:rsidRDefault="003717A0">
      <w:pPr>
        <w:rPr>
          <w:b/>
          <w:i/>
          <w:szCs w:val="21"/>
        </w:rPr>
      </w:pPr>
      <w:r>
        <w:rPr>
          <w:b/>
          <w:i/>
          <w:szCs w:val="21"/>
        </w:rPr>
        <w:t>Additional work:</w:t>
      </w:r>
    </w:p>
    <w:p w:rsidR="003717A0" w:rsidRDefault="003717A0">
      <w:pPr>
        <w:numPr>
          <w:ilvl w:val="0"/>
          <w:numId w:val="42"/>
        </w:numPr>
        <w:rPr>
          <w:szCs w:val="21"/>
        </w:rPr>
      </w:pPr>
      <w:r>
        <w:rPr>
          <w:szCs w:val="21"/>
        </w:rPr>
        <w:t>Recite the 4</w:t>
      </w:r>
      <w:r>
        <w:rPr>
          <w:szCs w:val="21"/>
          <w:vertAlign w:val="superscript"/>
        </w:rPr>
        <w:t xml:space="preserve"> th</w:t>
      </w:r>
      <w:r>
        <w:rPr>
          <w:szCs w:val="21"/>
        </w:rPr>
        <w:t>, 5</w:t>
      </w:r>
      <w:r>
        <w:rPr>
          <w:szCs w:val="21"/>
          <w:vertAlign w:val="superscript"/>
        </w:rPr>
        <w:t xml:space="preserve"> th</w:t>
      </w:r>
      <w:r>
        <w:rPr>
          <w:szCs w:val="21"/>
        </w:rPr>
        <w:t xml:space="preserve"> and 7</w:t>
      </w:r>
      <w:r>
        <w:rPr>
          <w:szCs w:val="21"/>
          <w:vertAlign w:val="superscript"/>
        </w:rPr>
        <w:t>th</w:t>
      </w:r>
      <w:r>
        <w:rPr>
          <w:szCs w:val="21"/>
        </w:rPr>
        <w:t xml:space="preserve"> paragraph in Text A.</w:t>
      </w:r>
    </w:p>
    <w:p w:rsidR="003717A0" w:rsidRDefault="003717A0">
      <w:pPr>
        <w:numPr>
          <w:ilvl w:val="0"/>
          <w:numId w:val="42"/>
        </w:numPr>
        <w:rPr>
          <w:szCs w:val="21"/>
        </w:rPr>
      </w:pPr>
      <w:r>
        <w:rPr>
          <w:szCs w:val="21"/>
        </w:rPr>
        <w:t>Summarize three tips of how to make college success easy.</w:t>
      </w:r>
    </w:p>
    <w:p w:rsidR="003717A0" w:rsidRDefault="003717A0">
      <w:pPr>
        <w:numPr>
          <w:ilvl w:val="0"/>
          <w:numId w:val="42"/>
        </w:numPr>
        <w:rPr>
          <w:szCs w:val="21"/>
        </w:rPr>
      </w:pPr>
      <w:r>
        <w:rPr>
          <w:szCs w:val="21"/>
        </w:rPr>
        <w:t xml:space="preserve">Talk about your questions of choosing a major. </w:t>
      </w:r>
    </w:p>
    <w:p w:rsidR="003717A0" w:rsidRDefault="003717A0">
      <w:pPr>
        <w:numPr>
          <w:ilvl w:val="0"/>
          <w:numId w:val="42"/>
        </w:numPr>
        <w:rPr>
          <w:szCs w:val="21"/>
        </w:rPr>
      </w:pPr>
      <w:r>
        <w:rPr>
          <w:szCs w:val="21"/>
        </w:rPr>
        <w:t>Practice reading skill in reading comprehension.</w:t>
      </w:r>
    </w:p>
    <w:p w:rsidR="003717A0" w:rsidRDefault="003717A0">
      <w:pPr>
        <w:rPr>
          <w:szCs w:val="21"/>
        </w:rPr>
      </w:pPr>
    </w:p>
    <w:p w:rsidR="003717A0" w:rsidRDefault="003717A0">
      <w:pPr>
        <w:rPr>
          <w:b/>
          <w:szCs w:val="21"/>
        </w:rPr>
      </w:pPr>
      <w:r>
        <w:rPr>
          <w:b/>
          <w:sz w:val="24"/>
          <w:szCs w:val="24"/>
        </w:rPr>
        <w:t xml:space="preserve">Unit 10         </w:t>
      </w:r>
    </w:p>
    <w:p w:rsidR="003717A0" w:rsidRDefault="003717A0">
      <w:pPr>
        <w:rPr>
          <w:b/>
          <w:i/>
          <w:sz w:val="24"/>
        </w:rPr>
      </w:pPr>
      <w:r>
        <w:rPr>
          <w:b/>
          <w:bCs/>
          <w:sz w:val="24"/>
        </w:rPr>
        <w:t>Time allotment (6 periods):</w:t>
      </w:r>
    </w:p>
    <w:p w:rsidR="003717A0" w:rsidRDefault="003717A0">
      <w:pPr>
        <w:numPr>
          <w:ilvl w:val="0"/>
          <w:numId w:val="43"/>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43"/>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of text A; paragraph writing;</w:t>
      </w:r>
    </w:p>
    <w:p w:rsidR="003717A0" w:rsidRDefault="003717A0">
      <w:pPr>
        <w:numPr>
          <w:ilvl w:val="0"/>
          <w:numId w:val="43"/>
        </w:numPr>
      </w:pPr>
      <w:r>
        <w:t>5</w:t>
      </w:r>
      <w:r>
        <w:rPr>
          <w:vertAlign w:val="superscript"/>
        </w:rPr>
        <w:t>th</w:t>
      </w:r>
      <w:r>
        <w:t xml:space="preserve"> and 6</w:t>
      </w:r>
      <w:r>
        <w:rPr>
          <w:vertAlign w:val="superscript"/>
        </w:rPr>
        <w:t>th</w:t>
      </w:r>
      <w:r>
        <w:t xml:space="preserve"> period: Text B study:</w:t>
      </w:r>
    </w:p>
    <w:p w:rsidR="003717A0" w:rsidRDefault="003717A0">
      <w:r>
        <w:lastRenderedPageBreak/>
        <w:t xml:space="preserve">                  cultural notes; words and structures </w:t>
      </w:r>
    </w:p>
    <w:p w:rsidR="003717A0" w:rsidRDefault="003717A0">
      <w:pPr>
        <w:rPr>
          <w:b/>
          <w:bCs/>
          <w:sz w:val="24"/>
        </w:rPr>
      </w:pPr>
    </w:p>
    <w:p w:rsidR="003717A0" w:rsidRDefault="003717A0">
      <w:pPr>
        <w:rPr>
          <w:b/>
          <w:bCs/>
        </w:rPr>
      </w:pPr>
      <w:r>
        <w:rPr>
          <w:b/>
          <w:bCs/>
        </w:rPr>
        <w:t xml:space="preserve">Questions for discussion </w:t>
      </w:r>
    </w:p>
    <w:p w:rsidR="003717A0" w:rsidRDefault="003717A0">
      <w:pPr>
        <w:numPr>
          <w:ilvl w:val="0"/>
          <w:numId w:val="44"/>
        </w:numPr>
      </w:pPr>
      <w:r>
        <w:rPr>
          <w:rFonts w:cs="Times New Roman"/>
        </w:rPr>
        <w:t xml:space="preserve">. </w:t>
      </w:r>
      <w:r>
        <w:t>Should we leave some room for cheating on exams</w:t>
      </w:r>
      <w:r>
        <w:rPr>
          <w:rFonts w:hint="eastAsia"/>
        </w:rPr>
        <w:t>？</w:t>
      </w:r>
    </w:p>
    <w:p w:rsidR="003717A0" w:rsidRDefault="003717A0">
      <w:pPr>
        <w:numPr>
          <w:ilvl w:val="0"/>
          <w:numId w:val="44"/>
        </w:numPr>
      </w:pPr>
      <w:r>
        <w:rPr>
          <w:rFonts w:cs="Times New Roman"/>
        </w:rPr>
        <w:t>. Does it pay to be honest?</w:t>
      </w:r>
    </w:p>
    <w:p w:rsidR="003717A0" w:rsidRDefault="003717A0"/>
    <w:p w:rsidR="003717A0" w:rsidRDefault="003717A0">
      <w:pPr>
        <w:rPr>
          <w:b/>
          <w:i/>
          <w:sz w:val="24"/>
        </w:rPr>
      </w:pPr>
      <w:r>
        <w:rPr>
          <w:b/>
          <w:i/>
          <w:sz w:val="24"/>
        </w:rPr>
        <w:t>Key words in Text A:</w:t>
      </w:r>
    </w:p>
    <w:p w:rsidR="003717A0" w:rsidRDefault="003717A0">
      <w:pPr>
        <w:rPr>
          <w:bCs/>
          <w:iCs/>
          <w:szCs w:val="21"/>
        </w:rPr>
      </w:pPr>
      <w:r>
        <w:rPr>
          <w:bCs/>
          <w:iCs/>
          <w:szCs w:val="21"/>
        </w:rPr>
        <w:t>demonstrate, integrity, convenience, scarce, consist, ensure, protest, intelligent, concede, clarify, appoint, genuine, rely, inevitable, preserve, tough, conscience, component, enrich, yield, tempt</w:t>
      </w:r>
    </w:p>
    <w:p w:rsidR="003717A0" w:rsidRDefault="003717A0">
      <w:pPr>
        <w:rPr>
          <w:b/>
          <w:bCs/>
          <w:i/>
          <w:iCs/>
        </w:rPr>
      </w:pPr>
    </w:p>
    <w:p w:rsidR="003717A0" w:rsidRDefault="003717A0">
      <w:pPr>
        <w:rPr>
          <w:b/>
          <w:bCs/>
          <w:i/>
          <w:iCs/>
          <w:sz w:val="24"/>
          <w:szCs w:val="24"/>
        </w:rPr>
      </w:pPr>
      <w:r>
        <w:rPr>
          <w:b/>
          <w:bCs/>
          <w:i/>
          <w:iCs/>
          <w:sz w:val="24"/>
          <w:szCs w:val="24"/>
        </w:rPr>
        <w:t>Key phrases and expressions in Text A:</w:t>
      </w:r>
    </w:p>
    <w:p w:rsidR="003717A0" w:rsidRDefault="003717A0">
      <w:pPr>
        <w:rPr>
          <w:szCs w:val="21"/>
        </w:rPr>
      </w:pPr>
      <w:r>
        <w:rPr>
          <w:szCs w:val="21"/>
        </w:rPr>
        <w:t xml:space="preserve">A standard of morality and boundaries, sell out to convenience, be relative to, at hand, an inner compass for, in short supply, demand of, stand for your convictions, confront with, give sb. credit, be honest and open about, clarify one’s point, engage in personal cover-up areas, in other words, yield to </w:t>
      </w:r>
    </w:p>
    <w:p w:rsidR="003717A0" w:rsidRDefault="003717A0">
      <w:pPr>
        <w:rPr>
          <w:b/>
          <w:bCs/>
        </w:rPr>
      </w:pPr>
    </w:p>
    <w:p w:rsidR="003717A0" w:rsidRDefault="003717A0">
      <w:pPr>
        <w:rPr>
          <w:b/>
          <w:i/>
          <w:sz w:val="24"/>
        </w:rPr>
      </w:pPr>
      <w:r>
        <w:rPr>
          <w:b/>
          <w:i/>
          <w:sz w:val="24"/>
        </w:rPr>
        <w:t>Key structures in Text A:</w:t>
      </w:r>
    </w:p>
    <w:p w:rsidR="003717A0" w:rsidRDefault="003717A0">
      <w:pPr>
        <w:rPr>
          <w:b/>
          <w:bCs/>
          <w:kern w:val="0"/>
          <w:szCs w:val="18"/>
        </w:rPr>
      </w:pPr>
      <w:r>
        <w:rPr>
          <w:b/>
          <w:bCs/>
          <w:kern w:val="0"/>
          <w:szCs w:val="18"/>
        </w:rPr>
        <w:t xml:space="preserve">1. An adverbial clause introduced by </w:t>
      </w:r>
      <w:r>
        <w:rPr>
          <w:rFonts w:hint="eastAsia"/>
          <w:b/>
          <w:bCs/>
          <w:kern w:val="0"/>
          <w:szCs w:val="18"/>
        </w:rPr>
        <w:t>“</w:t>
      </w:r>
      <w:r>
        <w:rPr>
          <w:b/>
          <w:bCs/>
          <w:kern w:val="0"/>
          <w:szCs w:val="18"/>
        </w:rPr>
        <w:t>where</w:t>
      </w:r>
      <w:r>
        <w:rPr>
          <w:rFonts w:hint="eastAsia"/>
          <w:b/>
          <w:bCs/>
          <w:kern w:val="0"/>
          <w:szCs w:val="18"/>
        </w:rPr>
        <w:t>”</w:t>
      </w:r>
      <w:r>
        <w:rPr>
          <w:b/>
          <w:bCs/>
          <w:kern w:val="0"/>
          <w:szCs w:val="18"/>
        </w:rPr>
        <w:t xml:space="preserve">.  (page 236) </w:t>
      </w:r>
    </w:p>
    <w:p w:rsidR="003717A0" w:rsidRDefault="003717A0">
      <w:pPr>
        <w:rPr>
          <w:b/>
          <w:bCs/>
          <w:kern w:val="0"/>
          <w:szCs w:val="18"/>
        </w:rPr>
      </w:pPr>
    </w:p>
    <w:p w:rsidR="003717A0" w:rsidRDefault="003717A0">
      <w:pPr>
        <w:rPr>
          <w:b/>
          <w:bCs/>
          <w:kern w:val="0"/>
          <w:szCs w:val="18"/>
        </w:rPr>
      </w:pPr>
      <w:r>
        <w:rPr>
          <w:b/>
          <w:bCs/>
          <w:kern w:val="0"/>
          <w:szCs w:val="18"/>
        </w:rPr>
        <w:t xml:space="preserve">2. A noun clause introduced by  </w:t>
      </w:r>
      <w:r>
        <w:rPr>
          <w:rFonts w:hint="eastAsia"/>
          <w:b/>
          <w:bCs/>
          <w:kern w:val="0"/>
          <w:szCs w:val="18"/>
        </w:rPr>
        <w:t>“</w:t>
      </w:r>
      <w:r>
        <w:rPr>
          <w:b/>
          <w:bCs/>
          <w:kern w:val="0"/>
          <w:szCs w:val="18"/>
        </w:rPr>
        <w:t>what</w:t>
      </w:r>
      <w:r>
        <w:rPr>
          <w:rFonts w:hint="eastAsia"/>
          <w:b/>
          <w:bCs/>
          <w:kern w:val="0"/>
          <w:szCs w:val="18"/>
        </w:rPr>
        <w:t>”</w:t>
      </w:r>
      <w:r>
        <w:rPr>
          <w:b/>
          <w:bCs/>
          <w:kern w:val="0"/>
          <w:szCs w:val="18"/>
        </w:rPr>
        <w:t>.  (page 237)</w:t>
      </w:r>
    </w:p>
    <w:p w:rsidR="003717A0" w:rsidRDefault="003717A0">
      <w:pPr>
        <w:rPr>
          <w:b/>
          <w:i/>
          <w:szCs w:val="21"/>
        </w:rPr>
      </w:pPr>
    </w:p>
    <w:p w:rsidR="003717A0" w:rsidRDefault="003717A0">
      <w:pPr>
        <w:rPr>
          <w:b/>
          <w:i/>
          <w:szCs w:val="21"/>
        </w:rPr>
      </w:pPr>
      <w:r>
        <w:rPr>
          <w:b/>
          <w:i/>
          <w:szCs w:val="21"/>
        </w:rPr>
        <w:t>Key phrases and expressions in Text B</w:t>
      </w:r>
    </w:p>
    <w:p w:rsidR="003717A0" w:rsidRDefault="003717A0">
      <w:pPr>
        <w:rPr>
          <w:b/>
          <w:i/>
          <w:szCs w:val="21"/>
        </w:rPr>
      </w:pPr>
      <w:r>
        <w:rPr>
          <w:b/>
          <w:i/>
          <w:szCs w:val="21"/>
        </w:rPr>
        <w:t>Get access to, hand over, be aware of, hail as, figure out, get off, be inclined to do, regardless of, look sb.in the eyes, a question of honesty, make the most of</w:t>
      </w:r>
    </w:p>
    <w:p w:rsidR="003717A0" w:rsidRDefault="003717A0">
      <w:pPr>
        <w:rPr>
          <w:b/>
          <w:i/>
          <w:sz w:val="24"/>
        </w:rPr>
      </w:pPr>
    </w:p>
    <w:p w:rsidR="003717A0" w:rsidRDefault="003717A0">
      <w:pPr>
        <w:rPr>
          <w:b/>
          <w:i/>
          <w:sz w:val="24"/>
        </w:rPr>
      </w:pPr>
      <w:r>
        <w:rPr>
          <w:b/>
          <w:i/>
          <w:sz w:val="24"/>
        </w:rPr>
        <w:t>Topic for writing:</w:t>
      </w:r>
    </w:p>
    <w:p w:rsidR="003717A0" w:rsidRDefault="003717A0">
      <w:pPr>
        <w:rPr>
          <w:b/>
          <w:i/>
          <w:szCs w:val="21"/>
        </w:rPr>
      </w:pPr>
      <w:r>
        <w:rPr>
          <w:b/>
          <w:i/>
          <w:szCs w:val="21"/>
        </w:rPr>
        <w:t>To write a composition concerning the topic: “ How to be honest and open”.</w:t>
      </w:r>
    </w:p>
    <w:p w:rsidR="003717A0" w:rsidRDefault="003717A0">
      <w:pPr>
        <w:rPr>
          <w:b/>
          <w:i/>
          <w:szCs w:val="21"/>
        </w:rPr>
      </w:pPr>
    </w:p>
    <w:p w:rsidR="003717A0" w:rsidRDefault="003717A0">
      <w:pPr>
        <w:rPr>
          <w:b/>
          <w:i/>
          <w:szCs w:val="21"/>
        </w:rPr>
      </w:pPr>
      <w:r>
        <w:rPr>
          <w:b/>
          <w:i/>
          <w:szCs w:val="21"/>
        </w:rPr>
        <w:t>Additional work:</w:t>
      </w:r>
    </w:p>
    <w:p w:rsidR="003717A0" w:rsidRDefault="003717A0">
      <w:pPr>
        <w:jc w:val="left"/>
        <w:rPr>
          <w:b/>
          <w:bCs/>
        </w:rPr>
      </w:pPr>
      <w:r>
        <w:rPr>
          <w:b/>
          <w:bCs/>
        </w:rPr>
        <w:t>1. Finish doing the Exercises of section A &amp; B</w:t>
      </w:r>
    </w:p>
    <w:p w:rsidR="003717A0" w:rsidRDefault="003717A0">
      <w:pPr>
        <w:jc w:val="left"/>
        <w:rPr>
          <w:b/>
          <w:bCs/>
        </w:rPr>
      </w:pPr>
      <w:r>
        <w:rPr>
          <w:b/>
          <w:bCs/>
        </w:rPr>
        <w:t>2. Write a paragraph of a general principle supported by an example, choose one of the three topics on page242.</w:t>
      </w:r>
    </w:p>
    <w:p w:rsidR="003717A0" w:rsidRDefault="003717A0">
      <w:pPr>
        <w:spacing w:line="360" w:lineRule="auto"/>
        <w:ind w:firstLineChars="200" w:firstLine="420"/>
      </w:pPr>
    </w:p>
    <w:p w:rsidR="003717A0" w:rsidRDefault="003717A0">
      <w:pPr>
        <w:spacing w:line="360" w:lineRule="auto"/>
        <w:ind w:firstLineChars="200" w:firstLine="420"/>
      </w:pPr>
    </w:p>
    <w:p w:rsidR="003717A0" w:rsidRDefault="003717A0">
      <w:pPr>
        <w:spacing w:line="360" w:lineRule="auto"/>
        <w:ind w:firstLineChars="200" w:firstLine="420"/>
      </w:pPr>
    </w:p>
    <w:p w:rsidR="003717A0" w:rsidRDefault="003717A0">
      <w:pPr>
        <w:spacing w:line="360" w:lineRule="auto"/>
      </w:pPr>
    </w:p>
    <w:p w:rsidR="003717A0" w:rsidRDefault="003717A0">
      <w:pPr>
        <w:jc w:val="center"/>
        <w:rPr>
          <w:b/>
          <w:sz w:val="32"/>
          <w:szCs w:val="32"/>
        </w:rPr>
      </w:pPr>
      <w:r>
        <w:rPr>
          <w:b/>
          <w:sz w:val="32"/>
          <w:szCs w:val="32"/>
        </w:rPr>
        <w:br w:type="page"/>
      </w:r>
      <w:r>
        <w:rPr>
          <w:rFonts w:hint="eastAsia"/>
          <w:b/>
          <w:sz w:val="32"/>
          <w:szCs w:val="32"/>
        </w:rPr>
        <w:lastRenderedPageBreak/>
        <w:t>大学英语教学大纲</w:t>
      </w:r>
      <w:r>
        <w:rPr>
          <w:b/>
          <w:sz w:val="32"/>
          <w:szCs w:val="32"/>
        </w:rPr>
        <w:t xml:space="preserve"> (</w:t>
      </w:r>
      <w:r>
        <w:rPr>
          <w:rFonts w:hint="eastAsia"/>
          <w:b/>
          <w:sz w:val="32"/>
          <w:szCs w:val="32"/>
        </w:rPr>
        <w:t>二级</w:t>
      </w:r>
      <w:r>
        <w:rPr>
          <w:b/>
          <w:sz w:val="32"/>
          <w:szCs w:val="32"/>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1"/>
        <w:gridCol w:w="17"/>
        <w:gridCol w:w="2532"/>
        <w:gridCol w:w="1377"/>
        <w:gridCol w:w="2885"/>
      </w:tblGrid>
      <w:tr w:rsidR="003717A0">
        <w:trPr>
          <w:trHeight w:val="467"/>
        </w:trPr>
        <w:tc>
          <w:tcPr>
            <w:tcW w:w="1711" w:type="dxa"/>
            <w:vAlign w:val="center"/>
          </w:tcPr>
          <w:p w:rsidR="003717A0" w:rsidRDefault="003717A0">
            <w:pPr>
              <w:jc w:val="center"/>
              <w:rPr>
                <w:szCs w:val="21"/>
              </w:rPr>
            </w:pPr>
            <w:r>
              <w:rPr>
                <w:rFonts w:hint="eastAsia"/>
                <w:szCs w:val="21"/>
              </w:rPr>
              <w:t>课程名称</w:t>
            </w:r>
          </w:p>
        </w:tc>
        <w:tc>
          <w:tcPr>
            <w:tcW w:w="2549" w:type="dxa"/>
            <w:gridSpan w:val="2"/>
            <w:vAlign w:val="center"/>
          </w:tcPr>
          <w:p w:rsidR="003717A0" w:rsidRDefault="003717A0">
            <w:pPr>
              <w:jc w:val="center"/>
              <w:rPr>
                <w:szCs w:val="21"/>
              </w:rPr>
            </w:pPr>
            <w:r>
              <w:rPr>
                <w:rFonts w:hint="eastAsia"/>
                <w:szCs w:val="21"/>
              </w:rPr>
              <w:t>大学英语</w:t>
            </w:r>
            <w:r>
              <w:rPr>
                <w:szCs w:val="21"/>
              </w:rPr>
              <w:t>II</w:t>
            </w:r>
          </w:p>
        </w:tc>
        <w:tc>
          <w:tcPr>
            <w:tcW w:w="1377" w:type="dxa"/>
            <w:vAlign w:val="center"/>
          </w:tcPr>
          <w:p w:rsidR="003717A0" w:rsidRDefault="003717A0">
            <w:pPr>
              <w:jc w:val="center"/>
              <w:rPr>
                <w:szCs w:val="21"/>
              </w:rPr>
            </w:pPr>
            <w:r>
              <w:rPr>
                <w:rFonts w:hint="eastAsia"/>
                <w:szCs w:val="21"/>
              </w:rPr>
              <w:t>编写人</w:t>
            </w:r>
          </w:p>
        </w:tc>
        <w:tc>
          <w:tcPr>
            <w:tcW w:w="2885" w:type="dxa"/>
            <w:vAlign w:val="center"/>
          </w:tcPr>
          <w:p w:rsidR="003717A0" w:rsidRDefault="003717A0">
            <w:pPr>
              <w:jc w:val="center"/>
              <w:rPr>
                <w:szCs w:val="21"/>
              </w:rPr>
            </w:pPr>
            <w:r>
              <w:rPr>
                <w:rFonts w:hint="eastAsia"/>
                <w:szCs w:val="21"/>
              </w:rPr>
              <w:t>刘陈露</w:t>
            </w:r>
          </w:p>
        </w:tc>
      </w:tr>
      <w:tr w:rsidR="003717A0">
        <w:trPr>
          <w:trHeight w:val="437"/>
        </w:trPr>
        <w:tc>
          <w:tcPr>
            <w:tcW w:w="1711" w:type="dxa"/>
            <w:vAlign w:val="center"/>
          </w:tcPr>
          <w:p w:rsidR="003717A0" w:rsidRDefault="003717A0">
            <w:pPr>
              <w:jc w:val="center"/>
              <w:rPr>
                <w:szCs w:val="21"/>
              </w:rPr>
            </w:pPr>
            <w:r>
              <w:rPr>
                <w:rFonts w:hint="eastAsia"/>
                <w:szCs w:val="21"/>
              </w:rPr>
              <w:t>课程代码</w:t>
            </w:r>
          </w:p>
        </w:tc>
        <w:tc>
          <w:tcPr>
            <w:tcW w:w="2549" w:type="dxa"/>
            <w:gridSpan w:val="2"/>
            <w:vAlign w:val="center"/>
          </w:tcPr>
          <w:p w:rsidR="003717A0" w:rsidRDefault="003717A0">
            <w:pPr>
              <w:jc w:val="center"/>
              <w:rPr>
                <w:szCs w:val="21"/>
              </w:rPr>
            </w:pPr>
            <w:r>
              <w:rPr>
                <w:szCs w:val="21"/>
              </w:rPr>
              <w:t>07741</w:t>
            </w:r>
          </w:p>
        </w:tc>
        <w:tc>
          <w:tcPr>
            <w:tcW w:w="1377" w:type="dxa"/>
            <w:vAlign w:val="center"/>
          </w:tcPr>
          <w:p w:rsidR="003717A0" w:rsidRDefault="003717A0">
            <w:pPr>
              <w:jc w:val="center"/>
              <w:rPr>
                <w:szCs w:val="21"/>
              </w:rPr>
            </w:pPr>
            <w:r>
              <w:rPr>
                <w:rFonts w:hint="eastAsia"/>
                <w:szCs w:val="21"/>
              </w:rPr>
              <w:t>编写时间</w:t>
            </w:r>
          </w:p>
        </w:tc>
        <w:tc>
          <w:tcPr>
            <w:tcW w:w="2885" w:type="dxa"/>
            <w:vAlign w:val="center"/>
          </w:tcPr>
          <w:p w:rsidR="003717A0" w:rsidRDefault="003717A0">
            <w:pPr>
              <w:jc w:val="center"/>
              <w:rPr>
                <w:szCs w:val="21"/>
              </w:rPr>
            </w:pPr>
            <w:r>
              <w:rPr>
                <w:szCs w:val="21"/>
              </w:rPr>
              <w:t>2012</w:t>
            </w:r>
            <w:r>
              <w:rPr>
                <w:rFonts w:hint="eastAsia"/>
                <w:szCs w:val="21"/>
              </w:rPr>
              <w:t>年</w:t>
            </w:r>
            <w:r>
              <w:rPr>
                <w:szCs w:val="21"/>
              </w:rPr>
              <w:t>8</w:t>
            </w:r>
            <w:r>
              <w:rPr>
                <w:rFonts w:hint="eastAsia"/>
                <w:szCs w:val="21"/>
              </w:rPr>
              <w:t>月</w:t>
            </w:r>
          </w:p>
        </w:tc>
      </w:tr>
      <w:tr w:rsidR="003717A0">
        <w:trPr>
          <w:trHeight w:val="452"/>
        </w:trPr>
        <w:tc>
          <w:tcPr>
            <w:tcW w:w="1711" w:type="dxa"/>
            <w:vAlign w:val="center"/>
          </w:tcPr>
          <w:p w:rsidR="003717A0" w:rsidRDefault="003717A0">
            <w:pPr>
              <w:jc w:val="center"/>
              <w:rPr>
                <w:szCs w:val="21"/>
              </w:rPr>
            </w:pPr>
            <w:r>
              <w:rPr>
                <w:rFonts w:hint="eastAsia"/>
                <w:szCs w:val="21"/>
              </w:rPr>
              <w:t>周学时数</w:t>
            </w:r>
          </w:p>
        </w:tc>
        <w:tc>
          <w:tcPr>
            <w:tcW w:w="2549" w:type="dxa"/>
            <w:gridSpan w:val="2"/>
            <w:vAlign w:val="center"/>
          </w:tcPr>
          <w:p w:rsidR="003717A0" w:rsidRDefault="003717A0">
            <w:pPr>
              <w:jc w:val="center"/>
              <w:rPr>
                <w:szCs w:val="21"/>
              </w:rPr>
            </w:pPr>
            <w:r>
              <w:rPr>
                <w:szCs w:val="21"/>
              </w:rPr>
              <w:t>4</w:t>
            </w:r>
          </w:p>
        </w:tc>
        <w:tc>
          <w:tcPr>
            <w:tcW w:w="1377" w:type="dxa"/>
            <w:vAlign w:val="center"/>
          </w:tcPr>
          <w:p w:rsidR="003717A0" w:rsidRDefault="003717A0">
            <w:pPr>
              <w:jc w:val="center"/>
              <w:rPr>
                <w:szCs w:val="21"/>
              </w:rPr>
            </w:pPr>
            <w:r>
              <w:rPr>
                <w:rFonts w:hint="eastAsia"/>
                <w:szCs w:val="21"/>
              </w:rPr>
              <w:t>总学时数</w:t>
            </w:r>
          </w:p>
        </w:tc>
        <w:tc>
          <w:tcPr>
            <w:tcW w:w="2885" w:type="dxa"/>
            <w:vAlign w:val="center"/>
          </w:tcPr>
          <w:p w:rsidR="003717A0" w:rsidRDefault="003717A0">
            <w:pPr>
              <w:jc w:val="center"/>
              <w:rPr>
                <w:szCs w:val="21"/>
              </w:rPr>
            </w:pPr>
            <w:r>
              <w:rPr>
                <w:szCs w:val="21"/>
              </w:rPr>
              <w:t>72</w:t>
            </w:r>
          </w:p>
        </w:tc>
      </w:tr>
      <w:tr w:rsidR="003717A0">
        <w:trPr>
          <w:trHeight w:val="437"/>
        </w:trPr>
        <w:tc>
          <w:tcPr>
            <w:tcW w:w="1711" w:type="dxa"/>
            <w:vAlign w:val="center"/>
          </w:tcPr>
          <w:p w:rsidR="003717A0" w:rsidRDefault="003717A0">
            <w:pPr>
              <w:jc w:val="center"/>
              <w:rPr>
                <w:szCs w:val="21"/>
              </w:rPr>
            </w:pPr>
            <w:r>
              <w:rPr>
                <w:rFonts w:hint="eastAsia"/>
                <w:szCs w:val="21"/>
              </w:rPr>
              <w:t>任课教师</w:t>
            </w:r>
          </w:p>
        </w:tc>
        <w:tc>
          <w:tcPr>
            <w:tcW w:w="2549" w:type="dxa"/>
            <w:gridSpan w:val="2"/>
            <w:vAlign w:val="center"/>
          </w:tcPr>
          <w:p w:rsidR="003717A0" w:rsidRDefault="003717A0">
            <w:pPr>
              <w:jc w:val="center"/>
              <w:rPr>
                <w:szCs w:val="21"/>
              </w:rPr>
            </w:pPr>
            <w:r>
              <w:rPr>
                <w:rFonts w:hint="eastAsia"/>
                <w:szCs w:val="21"/>
              </w:rPr>
              <w:t>公共外语教学部教师</w:t>
            </w:r>
          </w:p>
        </w:tc>
        <w:tc>
          <w:tcPr>
            <w:tcW w:w="1377" w:type="dxa"/>
            <w:vAlign w:val="center"/>
          </w:tcPr>
          <w:p w:rsidR="003717A0" w:rsidRDefault="003717A0">
            <w:pPr>
              <w:jc w:val="center"/>
              <w:rPr>
                <w:szCs w:val="21"/>
              </w:rPr>
            </w:pPr>
            <w:r>
              <w:rPr>
                <w:rFonts w:hint="eastAsia"/>
                <w:szCs w:val="21"/>
              </w:rPr>
              <w:t>开课校区</w:t>
            </w:r>
          </w:p>
        </w:tc>
        <w:tc>
          <w:tcPr>
            <w:tcW w:w="2885" w:type="dxa"/>
            <w:vAlign w:val="center"/>
          </w:tcPr>
          <w:p w:rsidR="003717A0" w:rsidRDefault="003717A0">
            <w:pPr>
              <w:jc w:val="center"/>
              <w:rPr>
                <w:szCs w:val="21"/>
              </w:rPr>
            </w:pPr>
            <w:r>
              <w:rPr>
                <w:rFonts w:hint="eastAsia"/>
                <w:szCs w:val="21"/>
              </w:rPr>
              <w:t>主校区、启秀校区、钟秀校区</w:t>
            </w:r>
          </w:p>
        </w:tc>
      </w:tr>
      <w:tr w:rsidR="003717A0">
        <w:trPr>
          <w:trHeight w:val="527"/>
        </w:trPr>
        <w:tc>
          <w:tcPr>
            <w:tcW w:w="1711" w:type="dxa"/>
            <w:vAlign w:val="center"/>
          </w:tcPr>
          <w:p w:rsidR="003717A0" w:rsidRDefault="003717A0">
            <w:pPr>
              <w:jc w:val="center"/>
              <w:rPr>
                <w:szCs w:val="21"/>
              </w:rPr>
            </w:pPr>
            <w:r>
              <w:rPr>
                <w:rFonts w:hint="eastAsia"/>
                <w:szCs w:val="21"/>
              </w:rPr>
              <w:t>课程性质</w:t>
            </w:r>
          </w:p>
        </w:tc>
        <w:tc>
          <w:tcPr>
            <w:tcW w:w="6811" w:type="dxa"/>
            <w:gridSpan w:val="4"/>
            <w:vAlign w:val="center"/>
          </w:tcPr>
          <w:p w:rsidR="003717A0" w:rsidRDefault="003717A0">
            <w:pPr>
              <w:jc w:val="center"/>
              <w:rPr>
                <w:szCs w:val="21"/>
              </w:rPr>
            </w:pPr>
            <w:r>
              <w:rPr>
                <w:rFonts w:hint="eastAsia"/>
                <w:szCs w:val="21"/>
              </w:rPr>
              <w:t>公共基础课</w:t>
            </w:r>
          </w:p>
        </w:tc>
      </w:tr>
      <w:tr w:rsidR="003717A0">
        <w:trPr>
          <w:trHeight w:val="572"/>
        </w:trPr>
        <w:tc>
          <w:tcPr>
            <w:tcW w:w="1711" w:type="dxa"/>
            <w:vAlign w:val="center"/>
          </w:tcPr>
          <w:p w:rsidR="003717A0" w:rsidRDefault="003717A0">
            <w:pPr>
              <w:jc w:val="center"/>
              <w:rPr>
                <w:szCs w:val="21"/>
              </w:rPr>
            </w:pPr>
            <w:r>
              <w:rPr>
                <w:rFonts w:hint="eastAsia"/>
                <w:szCs w:val="21"/>
              </w:rPr>
              <w:t>先修课程</w:t>
            </w:r>
          </w:p>
        </w:tc>
        <w:tc>
          <w:tcPr>
            <w:tcW w:w="6811" w:type="dxa"/>
            <w:gridSpan w:val="4"/>
            <w:vAlign w:val="center"/>
          </w:tcPr>
          <w:p w:rsidR="003717A0" w:rsidRDefault="003717A0">
            <w:pPr>
              <w:jc w:val="center"/>
              <w:rPr>
                <w:szCs w:val="21"/>
              </w:rPr>
            </w:pPr>
            <w:r>
              <w:rPr>
                <w:rFonts w:hint="eastAsia"/>
                <w:szCs w:val="21"/>
              </w:rPr>
              <w:t>大学英语</w:t>
            </w:r>
            <w:r>
              <w:rPr>
                <w:szCs w:val="21"/>
              </w:rPr>
              <w:t xml:space="preserve"> I</w:t>
            </w:r>
          </w:p>
        </w:tc>
      </w:tr>
      <w:tr w:rsidR="003717A0">
        <w:trPr>
          <w:trHeight w:val="1091"/>
        </w:trPr>
        <w:tc>
          <w:tcPr>
            <w:tcW w:w="1728" w:type="dxa"/>
            <w:gridSpan w:val="2"/>
            <w:vAlign w:val="center"/>
          </w:tcPr>
          <w:p w:rsidR="003717A0" w:rsidRDefault="003717A0">
            <w:pPr>
              <w:rPr>
                <w:szCs w:val="21"/>
              </w:rPr>
            </w:pPr>
            <w:r>
              <w:rPr>
                <w:rFonts w:hint="eastAsia"/>
                <w:szCs w:val="21"/>
              </w:rPr>
              <w:t>使用教材</w:t>
            </w:r>
          </w:p>
        </w:tc>
        <w:tc>
          <w:tcPr>
            <w:tcW w:w="6794" w:type="dxa"/>
            <w:gridSpan w:val="3"/>
            <w:vAlign w:val="center"/>
          </w:tcPr>
          <w:p w:rsidR="003717A0" w:rsidRDefault="003717A0">
            <w:pPr>
              <w:widowControl/>
              <w:spacing w:line="360" w:lineRule="auto"/>
              <w:jc w:val="left"/>
              <w:rPr>
                <w:szCs w:val="21"/>
              </w:rPr>
            </w:pPr>
            <w:r>
              <w:rPr>
                <w:rFonts w:hint="eastAsia"/>
                <w:szCs w:val="21"/>
              </w:rPr>
              <w:t>《新视野大学英语读写教程</w:t>
            </w:r>
            <w:r>
              <w:rPr>
                <w:szCs w:val="21"/>
              </w:rPr>
              <w:t xml:space="preserve"> </w:t>
            </w:r>
            <w:r>
              <w:rPr>
                <w:rFonts w:hint="eastAsia"/>
                <w:szCs w:val="21"/>
              </w:rPr>
              <w:t>第</w:t>
            </w:r>
            <w:r>
              <w:rPr>
                <w:szCs w:val="21"/>
              </w:rPr>
              <w:t>2</w:t>
            </w:r>
            <w:r>
              <w:rPr>
                <w:rFonts w:hint="eastAsia"/>
                <w:szCs w:val="21"/>
              </w:rPr>
              <w:t>册》，外语教学与研究出版社；《流程英语口语教程》学生用书第</w:t>
            </w:r>
            <w:r>
              <w:rPr>
                <w:szCs w:val="21"/>
              </w:rPr>
              <w:t>2</w:t>
            </w:r>
            <w:r>
              <w:rPr>
                <w:rFonts w:hint="eastAsia"/>
                <w:szCs w:val="21"/>
              </w:rPr>
              <w:t>册，上海外语教学与研究出版社</w:t>
            </w:r>
          </w:p>
          <w:p w:rsidR="003717A0" w:rsidRDefault="003717A0">
            <w:pPr>
              <w:rPr>
                <w:szCs w:val="21"/>
              </w:rPr>
            </w:pPr>
          </w:p>
        </w:tc>
      </w:tr>
    </w:tbl>
    <w:p w:rsidR="003717A0" w:rsidRDefault="003717A0"/>
    <w:p w:rsidR="003717A0" w:rsidRDefault="003717A0">
      <w:pPr>
        <w:spacing w:line="360" w:lineRule="auto"/>
      </w:pPr>
      <w:r>
        <w:rPr>
          <w:rFonts w:hint="eastAsia"/>
        </w:rPr>
        <w:t>本课程教学目的</w:t>
      </w:r>
    </w:p>
    <w:p w:rsidR="003717A0" w:rsidRDefault="003717A0">
      <w:pPr>
        <w:spacing w:line="360" w:lineRule="auto"/>
        <w:ind w:firstLine="435"/>
      </w:pPr>
      <w:r>
        <w:rPr>
          <w:rFonts w:hint="eastAsia"/>
        </w:rPr>
        <w:t>大学英语是以外语教学理论为指导，以英语语言知识与应用技能、跨文化交际和学习策略为主要内容，并集多种教学模式和教学手段为一体的教学体系。大学英语的教学目标是培养学生的英语综合应用能力，使他们在今后学习、工作和社会交往中能用英语有效地进行交际，同时增强其自主学习能力，提高综合文化素养，以适应我国社会发展和国际交流的需要。由于语言既是符号系统（</w:t>
      </w:r>
      <w:r>
        <w:t>a system of symbols</w:t>
      </w:r>
      <w:r>
        <w:rPr>
          <w:rFonts w:hint="eastAsia"/>
        </w:rPr>
        <w:t>），也是交际工具</w:t>
      </w:r>
      <w:r>
        <w:t>( a tool for communication)</w:t>
      </w:r>
      <w:r>
        <w:rPr>
          <w:rFonts w:hint="eastAsia"/>
        </w:rPr>
        <w:t>；既是思维工具</w:t>
      </w:r>
      <w:r>
        <w:t>( the dress of thought)</w:t>
      </w:r>
      <w:r>
        <w:rPr>
          <w:rFonts w:hint="eastAsia"/>
        </w:rPr>
        <w:t>，也是文化载体</w:t>
      </w:r>
      <w:r>
        <w:t>( a carrier of culture)</w:t>
      </w:r>
      <w:r>
        <w:rPr>
          <w:rFonts w:hint="eastAsia"/>
        </w:rPr>
        <w:t>，因此，大学英语教学的最终目的就是帮助学生打好语言基础，即在重视语言形式学习的同时，熟悉英语国家人的思维方式，借鉴和吸收英语文化精华，提高文化素质，培养学生的语言综合应用能力。大学英语基础阶段“综合英语”课程的教学则是达到上述目标的重要环节之一。</w:t>
      </w:r>
    </w:p>
    <w:p w:rsidR="003717A0" w:rsidRDefault="003717A0">
      <w:pPr>
        <w:spacing w:line="360" w:lineRule="auto"/>
      </w:pPr>
      <w:r>
        <w:rPr>
          <w:rFonts w:hint="eastAsia"/>
        </w:rPr>
        <w:t>本课程教学对象</w:t>
      </w:r>
    </w:p>
    <w:p w:rsidR="003717A0" w:rsidRDefault="003717A0">
      <w:pPr>
        <w:spacing w:line="360" w:lineRule="auto"/>
        <w:ind w:firstLine="435"/>
      </w:pPr>
      <w:r>
        <w:rPr>
          <w:rFonts w:hint="eastAsia"/>
        </w:rPr>
        <w:t>大学英语基础阶段的“大学英语”课程教学的对象为入学时已掌握了一定的英语语言语法知识，一定数量单词和读、听、写、说等方面受过初步训练的大学英语一、二年级本科生。大学英语教学分为基础阶段和高级阶段。基础阶段主要完成</w:t>
      </w:r>
      <w:r>
        <w:t>1-4</w:t>
      </w:r>
      <w:r>
        <w:rPr>
          <w:rFonts w:hint="eastAsia"/>
        </w:rPr>
        <w:t>级的教学任务，教学实践为</w:t>
      </w:r>
      <w:r>
        <w:t>1-2</w:t>
      </w:r>
      <w:r>
        <w:rPr>
          <w:rFonts w:hint="eastAsia"/>
        </w:rPr>
        <w:t>年级的四个学期：高级阶段主要完成大学英语拓展课程的教学任务，实践为</w:t>
      </w:r>
      <w:r>
        <w:t>3-4</w:t>
      </w:r>
      <w:r>
        <w:rPr>
          <w:rFonts w:hint="eastAsia"/>
        </w:rPr>
        <w:t>年级的前三个阶段。本课程主要针对基础阶段的大学英语学习者。</w:t>
      </w:r>
    </w:p>
    <w:p w:rsidR="003717A0" w:rsidRDefault="003717A0">
      <w:pPr>
        <w:spacing w:line="360" w:lineRule="auto"/>
        <w:ind w:firstLine="435"/>
      </w:pPr>
      <w:r>
        <w:rPr>
          <w:rFonts w:hint="eastAsia"/>
        </w:rPr>
        <w:t>教学手段、原则与要求</w:t>
      </w:r>
    </w:p>
    <w:p w:rsidR="003717A0" w:rsidRDefault="003717A0">
      <w:pPr>
        <w:spacing w:line="360" w:lineRule="auto"/>
        <w:ind w:firstLine="435"/>
      </w:pPr>
      <w:r>
        <w:rPr>
          <w:rFonts w:hint="eastAsia"/>
        </w:rPr>
        <w:t>“综合英语”课程采用多媒体大班课，充分应用先进的多媒体网络等现代教育技术，引入计算机多媒体教学和网络学习平台，采用全方位、立体化的多媒体教学手段，提高教学效率和学生的学</w:t>
      </w:r>
      <w:r>
        <w:rPr>
          <w:rFonts w:hint="eastAsia"/>
        </w:rPr>
        <w:lastRenderedPageBreak/>
        <w:t>习质量。坚持“厚语言基础、强综合应用能力、因人因材施教”的教学原则。我校大学英语二级的教学模式为“</w:t>
      </w:r>
      <w:r>
        <w:t>3+X1+X2</w:t>
      </w:r>
      <w:r>
        <w:rPr>
          <w:rFonts w:hint="eastAsia"/>
        </w:rPr>
        <w:t>”，即每周</w:t>
      </w:r>
      <w:r>
        <w:t>3</w:t>
      </w:r>
      <w:r>
        <w:rPr>
          <w:rFonts w:hint="eastAsia"/>
        </w:rPr>
        <w:t>节以口语、翻译、写作训练为主的“综合英语”课程，</w:t>
      </w:r>
      <w:r>
        <w:t>X1</w:t>
      </w:r>
      <w:r>
        <w:rPr>
          <w:rFonts w:hint="eastAsia"/>
        </w:rPr>
        <w:t>为每两周一次</w:t>
      </w:r>
      <w:r>
        <w:t>2</w:t>
      </w:r>
      <w:r>
        <w:rPr>
          <w:rFonts w:hint="eastAsia"/>
        </w:rPr>
        <w:t>学时的的网络导学及单元测试，</w:t>
      </w:r>
      <w:r>
        <w:t xml:space="preserve">X2 </w:t>
      </w:r>
      <w:r>
        <w:rPr>
          <w:rFonts w:hint="eastAsia"/>
        </w:rPr>
        <w:t>是指学生根据自己的英语水平、学习进度和教师要求，随时随地上网提交书面读、写、译作业，参加论坛讨论、单元测试、强化听力和口语训练等内容，因此，在</w:t>
      </w:r>
      <w:r>
        <w:t>X2</w:t>
      </w:r>
      <w:r>
        <w:rPr>
          <w:rFonts w:hint="eastAsia"/>
        </w:rPr>
        <w:t>时段内，教师必须要求学生完成该单元的学习情况。</w:t>
      </w:r>
      <w:r>
        <w:t xml:space="preserve">X2 </w:t>
      </w:r>
      <w:r>
        <w:rPr>
          <w:rFonts w:hint="eastAsia"/>
        </w:rPr>
        <w:t>部分的学习时间每周不得低于</w:t>
      </w:r>
      <w:r>
        <w:t>4</w:t>
      </w:r>
      <w:r>
        <w:rPr>
          <w:rFonts w:hint="eastAsia"/>
        </w:rPr>
        <w:t>小时。</w:t>
      </w:r>
    </w:p>
    <w:p w:rsidR="003717A0" w:rsidRDefault="003717A0">
      <w:pPr>
        <w:spacing w:line="360" w:lineRule="auto"/>
        <w:rPr>
          <w:b/>
          <w:sz w:val="28"/>
          <w:szCs w:val="28"/>
        </w:rPr>
      </w:pPr>
      <w:r>
        <w:rPr>
          <w:b/>
          <w:sz w:val="28"/>
          <w:szCs w:val="28"/>
        </w:rPr>
        <w:t>Band Two</w:t>
      </w:r>
    </w:p>
    <w:p w:rsidR="003717A0" w:rsidRDefault="003717A0">
      <w:pPr>
        <w:spacing w:line="360" w:lineRule="auto"/>
        <w:rPr>
          <w:b/>
          <w:sz w:val="24"/>
          <w:szCs w:val="24"/>
        </w:rPr>
      </w:pPr>
      <w:r>
        <w:rPr>
          <w:b/>
          <w:sz w:val="24"/>
          <w:szCs w:val="24"/>
        </w:rPr>
        <w:t xml:space="preserve">Unit 1 Time-Conscious Americans </w:t>
      </w:r>
    </w:p>
    <w:p w:rsidR="003717A0" w:rsidRDefault="003717A0">
      <w:pPr>
        <w:rPr>
          <w:b/>
          <w:i/>
          <w:sz w:val="24"/>
        </w:rPr>
      </w:pPr>
      <w:r>
        <w:rPr>
          <w:b/>
          <w:i/>
          <w:sz w:val="24"/>
        </w:rPr>
        <w:t>Teaching objectives:</w:t>
      </w:r>
    </w:p>
    <w:p w:rsidR="003717A0" w:rsidRDefault="003717A0">
      <w:pPr>
        <w:numPr>
          <w:ilvl w:val="0"/>
          <w:numId w:val="45"/>
        </w:numPr>
      </w:pPr>
      <w:r>
        <w:t xml:space="preserve">Get some useful information about the difference of </w:t>
      </w:r>
      <w:r>
        <w:rPr>
          <w:u w:val="single"/>
        </w:rPr>
        <w:t>the concept of time</w:t>
      </w:r>
      <w:r>
        <w:t xml:space="preserve"> among different nations.</w:t>
      </w:r>
    </w:p>
    <w:p w:rsidR="003717A0" w:rsidRDefault="003717A0">
      <w:pPr>
        <w:numPr>
          <w:ilvl w:val="0"/>
          <w:numId w:val="45"/>
        </w:numPr>
      </w:pPr>
      <w:r>
        <w:t xml:space="preserve">Know more about </w:t>
      </w:r>
      <w:r>
        <w:rPr>
          <w:u w:val="single"/>
        </w:rPr>
        <w:t>culture shock</w:t>
      </w:r>
      <w:r>
        <w:t xml:space="preserve"> and the methods to adapt to a new culture.</w:t>
      </w:r>
    </w:p>
    <w:p w:rsidR="003717A0" w:rsidRDefault="003717A0">
      <w:pPr>
        <w:numPr>
          <w:ilvl w:val="0"/>
          <w:numId w:val="45"/>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pPr>
        <w:numPr>
          <w:ilvl w:val="0"/>
          <w:numId w:val="46"/>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46"/>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46"/>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rPr>
          <w:b/>
          <w:i/>
          <w:sz w:val="24"/>
        </w:rPr>
      </w:pPr>
      <w:r>
        <w:rPr>
          <w:b/>
          <w:i/>
          <w:sz w:val="24"/>
        </w:rPr>
        <w:t>Questions for Discussion:</w:t>
      </w:r>
    </w:p>
    <w:p w:rsidR="003717A0" w:rsidRDefault="003717A0">
      <w:pPr>
        <w:numPr>
          <w:ilvl w:val="0"/>
          <w:numId w:val="47"/>
        </w:numPr>
        <w:rPr>
          <w:szCs w:val="21"/>
        </w:rPr>
      </w:pPr>
      <w:r>
        <w:rPr>
          <w:szCs w:val="21"/>
        </w:rPr>
        <w:t>How do Americans value time? What benefits can they reap from this time-conscious attitude? Does the attitude also have any disadvantages?</w:t>
      </w:r>
    </w:p>
    <w:p w:rsidR="003717A0" w:rsidRDefault="003717A0">
      <w:pPr>
        <w:rPr>
          <w:szCs w:val="21"/>
        </w:rPr>
      </w:pPr>
      <w:r>
        <w:rPr>
          <w:szCs w:val="21"/>
        </w:rPr>
        <w:t>2.  How do Chinese people value time? What about its advantages and disadvantages?</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299" w:hangingChars="539" w:hanging="1299"/>
      </w:pPr>
      <w:r>
        <w:rPr>
          <w:b/>
          <w:i/>
          <w:sz w:val="24"/>
        </w:rPr>
        <w:t xml:space="preserve">Key words: </w:t>
      </w:r>
      <w:r>
        <w:rPr>
          <w:szCs w:val="21"/>
        </w:rPr>
        <w:t>commit  explore  budget  acute  abrupt  ritual  convention  assess  efficient elapse  competence  fulfill</w:t>
      </w:r>
    </w:p>
    <w:p w:rsidR="003717A0" w:rsidRDefault="003717A0">
      <w:pPr>
        <w:spacing w:line="360" w:lineRule="auto"/>
        <w:ind w:left="1181" w:hangingChars="490" w:hanging="1181"/>
        <w:rPr>
          <w:szCs w:val="21"/>
        </w:rPr>
      </w:pPr>
      <w:r>
        <w:rPr>
          <w:b/>
          <w:i/>
          <w:sz w:val="24"/>
        </w:rPr>
        <w:t xml:space="preserve">Key phrases and expressions: </w:t>
      </w:r>
      <w:r>
        <w:rPr>
          <w:szCs w:val="21"/>
        </w:rPr>
        <w:t xml:space="preserve">be committed to   be slaves to   account for     run out  move ahead  go with   in person   be worthy of </w:t>
      </w:r>
    </w:p>
    <w:p w:rsidR="003717A0" w:rsidRDefault="003717A0">
      <w:pPr>
        <w:spacing w:line="360" w:lineRule="auto"/>
        <w:rPr>
          <w:b/>
          <w:i/>
          <w:sz w:val="24"/>
        </w:rPr>
      </w:pPr>
      <w:r>
        <w:rPr>
          <w:b/>
          <w:i/>
          <w:sz w:val="24"/>
        </w:rPr>
        <w:t>Grammatical Structure</w:t>
      </w:r>
    </w:p>
    <w:p w:rsidR="003717A0" w:rsidRDefault="003717A0">
      <w:pPr>
        <w:numPr>
          <w:ilvl w:val="0"/>
          <w:numId w:val="48"/>
        </w:numPr>
        <w:rPr>
          <w:szCs w:val="21"/>
        </w:rPr>
      </w:pPr>
      <w:r>
        <w:rPr>
          <w:szCs w:val="21"/>
        </w:rPr>
        <w:t xml:space="preserve">Time is one of the two elements that Americans save carefully, the other </w:t>
      </w:r>
      <w:r>
        <w:rPr>
          <w:szCs w:val="21"/>
          <w:u w:val="single"/>
        </w:rPr>
        <w:t>being</w:t>
      </w:r>
      <w:r>
        <w:rPr>
          <w:szCs w:val="21"/>
        </w:rPr>
        <w:t xml:space="preserve"> labor. </w:t>
      </w:r>
    </w:p>
    <w:p w:rsidR="003717A0" w:rsidRDefault="003717A0">
      <w:pPr>
        <w:ind w:firstLineChars="100" w:firstLine="210"/>
        <w:rPr>
          <w:b/>
          <w:szCs w:val="21"/>
        </w:rPr>
      </w:pPr>
      <w:r>
        <w:rPr>
          <w:rFonts w:hint="eastAsia"/>
          <w:szCs w:val="21"/>
        </w:rPr>
        <w:t>（</w:t>
      </w:r>
      <w:r>
        <w:rPr>
          <w:szCs w:val="21"/>
        </w:rPr>
        <w:t>Absolute Construction</w:t>
      </w:r>
      <w:r>
        <w:rPr>
          <w:rFonts w:hint="eastAsia"/>
          <w:szCs w:val="21"/>
        </w:rPr>
        <w:t>）</w:t>
      </w:r>
    </w:p>
    <w:p w:rsidR="003717A0" w:rsidRDefault="003717A0">
      <w:pPr>
        <w:numPr>
          <w:ilvl w:val="0"/>
          <w:numId w:val="48"/>
        </w:numPr>
        <w:spacing w:line="360" w:lineRule="auto"/>
        <w:rPr>
          <w:szCs w:val="21"/>
        </w:rPr>
      </w:pPr>
      <w:r>
        <w:rPr>
          <w:szCs w:val="21"/>
        </w:rPr>
        <w:t>Time is treated</w:t>
      </w:r>
      <w:r>
        <w:rPr>
          <w:szCs w:val="21"/>
          <w:u w:val="single"/>
        </w:rPr>
        <w:t xml:space="preserve"> as if it were something almost real</w:t>
      </w:r>
      <w:r>
        <w:rPr>
          <w:szCs w:val="21"/>
        </w:rPr>
        <w:t>. (Subjunctive Mood)</w:t>
      </w:r>
    </w:p>
    <w:p w:rsidR="003717A0" w:rsidRDefault="003717A0">
      <w:pPr>
        <w:numPr>
          <w:ilvl w:val="0"/>
          <w:numId w:val="48"/>
        </w:numPr>
        <w:rPr>
          <w:bCs/>
          <w:szCs w:val="21"/>
        </w:rPr>
      </w:pPr>
      <w:r>
        <w:rPr>
          <w:bCs/>
          <w:szCs w:val="21"/>
        </w:rPr>
        <w:t xml:space="preserve">Normally, Americans do not assess their visitors in such relaxed surroundings over extended small talk; </w:t>
      </w:r>
      <w:r>
        <w:rPr>
          <w:bCs/>
          <w:szCs w:val="21"/>
          <w:u w:val="single"/>
        </w:rPr>
        <w:t>much less do they take them out for dinner</w:t>
      </w:r>
      <w:r>
        <w:rPr>
          <w:bCs/>
          <w:szCs w:val="21"/>
        </w:rPr>
        <w:t>…  (Inversion)</w:t>
      </w:r>
    </w:p>
    <w:p w:rsidR="003717A0" w:rsidRDefault="003717A0">
      <w:pPr>
        <w:ind w:left="3685" w:hangingChars="1748" w:hanging="3685"/>
        <w:rPr>
          <w:szCs w:val="21"/>
        </w:rPr>
      </w:pPr>
      <w:r>
        <w:rPr>
          <w:b/>
          <w:i/>
          <w:szCs w:val="21"/>
        </w:rPr>
        <w:t xml:space="preserve">Key phrases and expressions in Text B: </w:t>
      </w:r>
      <w:r>
        <w:rPr>
          <w:szCs w:val="21"/>
        </w:rPr>
        <w:t xml:space="preserve">in spite of   adjust to    be tired of   be hostile to  feel </w:t>
      </w:r>
      <w:r>
        <w:rPr>
          <w:szCs w:val="21"/>
        </w:rPr>
        <w:lastRenderedPageBreak/>
        <w:t xml:space="preserve">distressed   recovery from    go through </w:t>
      </w:r>
    </w:p>
    <w:p w:rsidR="003717A0" w:rsidRDefault="003717A0">
      <w:pPr>
        <w:rPr>
          <w:bCs/>
          <w:szCs w:val="21"/>
        </w:rPr>
      </w:pPr>
    </w:p>
    <w:p w:rsidR="003717A0" w:rsidRDefault="003717A0">
      <w:pPr>
        <w:spacing w:line="360" w:lineRule="auto"/>
        <w:ind w:left="1181" w:hangingChars="490" w:hanging="1181"/>
        <w:rPr>
          <w:b/>
          <w:i/>
          <w:sz w:val="24"/>
        </w:rPr>
      </w:pPr>
      <w:r>
        <w:rPr>
          <w:b/>
          <w:i/>
          <w:sz w:val="24"/>
        </w:rPr>
        <w:t>Topic for writing:</w:t>
      </w:r>
    </w:p>
    <w:p w:rsidR="003717A0" w:rsidRDefault="003717A0">
      <w:pPr>
        <w:spacing w:line="360" w:lineRule="auto"/>
        <w:ind w:left="1029" w:hangingChars="490" w:hanging="1029"/>
      </w:pPr>
      <w:r>
        <w:t>My Concept of Time</w:t>
      </w:r>
    </w:p>
    <w:p w:rsidR="003717A0" w:rsidRDefault="003717A0">
      <w:pPr>
        <w:spacing w:line="360" w:lineRule="auto"/>
        <w:ind w:left="1033" w:hangingChars="490" w:hanging="1033"/>
        <w:rPr>
          <w:b/>
          <w:i/>
          <w:szCs w:val="21"/>
        </w:rPr>
      </w:pPr>
      <w:r>
        <w:rPr>
          <w:b/>
          <w:i/>
          <w:szCs w:val="21"/>
        </w:rPr>
        <w:t>Additional work:</w:t>
      </w:r>
    </w:p>
    <w:p w:rsidR="003717A0" w:rsidRDefault="003717A0">
      <w:pPr>
        <w:numPr>
          <w:ilvl w:val="0"/>
          <w:numId w:val="49"/>
        </w:numPr>
        <w:rPr>
          <w:szCs w:val="21"/>
        </w:rPr>
      </w:pPr>
      <w:r>
        <w:rPr>
          <w:szCs w:val="21"/>
        </w:rPr>
        <w:t>Recite the 1</w:t>
      </w:r>
      <w:r>
        <w:rPr>
          <w:szCs w:val="21"/>
          <w:vertAlign w:val="superscript"/>
        </w:rPr>
        <w:t>st</w:t>
      </w:r>
      <w:r>
        <w:rPr>
          <w:szCs w:val="21"/>
        </w:rPr>
        <w:t>, 3</w:t>
      </w:r>
      <w:r>
        <w:rPr>
          <w:szCs w:val="21"/>
          <w:vertAlign w:val="superscript"/>
        </w:rPr>
        <w:t>rd</w:t>
      </w:r>
      <w:r>
        <w:rPr>
          <w:szCs w:val="21"/>
        </w:rPr>
        <w:t xml:space="preserve"> and 8</w:t>
      </w:r>
      <w:r>
        <w:rPr>
          <w:szCs w:val="21"/>
          <w:vertAlign w:val="superscript"/>
        </w:rPr>
        <w:t>th</w:t>
      </w:r>
      <w:r>
        <w:rPr>
          <w:szCs w:val="21"/>
        </w:rPr>
        <w:t xml:space="preserve"> paragraph in Text A.</w:t>
      </w:r>
    </w:p>
    <w:p w:rsidR="003717A0" w:rsidRDefault="003717A0">
      <w:pPr>
        <w:numPr>
          <w:ilvl w:val="0"/>
          <w:numId w:val="49"/>
        </w:numPr>
        <w:rPr>
          <w:szCs w:val="21"/>
        </w:rPr>
      </w:pPr>
      <w:r>
        <w:rPr>
          <w:szCs w:val="21"/>
        </w:rPr>
        <w:t>Summarize different features of attitudes towards time among different nations.</w:t>
      </w:r>
    </w:p>
    <w:p w:rsidR="003717A0" w:rsidRDefault="003717A0">
      <w:pPr>
        <w:numPr>
          <w:ilvl w:val="0"/>
          <w:numId w:val="49"/>
        </w:numPr>
        <w:rPr>
          <w:szCs w:val="21"/>
        </w:rPr>
      </w:pPr>
      <w:r>
        <w:rPr>
          <w:szCs w:val="21"/>
        </w:rPr>
        <w:t xml:space="preserve">Summarize the feature of culture shock. </w:t>
      </w:r>
    </w:p>
    <w:p w:rsidR="003717A0" w:rsidRDefault="003717A0">
      <w:pPr>
        <w:spacing w:line="360" w:lineRule="auto"/>
        <w:ind w:left="1029" w:hangingChars="490" w:hanging="1029"/>
      </w:pPr>
    </w:p>
    <w:p w:rsidR="003717A0" w:rsidRDefault="003717A0">
      <w:pPr>
        <w:spacing w:line="360" w:lineRule="auto"/>
        <w:ind w:left="1181" w:hangingChars="490" w:hanging="1181"/>
        <w:rPr>
          <w:b/>
          <w:sz w:val="24"/>
          <w:szCs w:val="24"/>
        </w:rPr>
      </w:pPr>
      <w:r>
        <w:rPr>
          <w:b/>
          <w:sz w:val="24"/>
          <w:szCs w:val="24"/>
        </w:rPr>
        <w:t>Unit 2 Learning the Olympic Standard for Love</w:t>
      </w:r>
    </w:p>
    <w:p w:rsidR="003717A0" w:rsidRDefault="003717A0">
      <w:pPr>
        <w:rPr>
          <w:b/>
          <w:i/>
          <w:sz w:val="24"/>
        </w:rPr>
      </w:pPr>
      <w:r>
        <w:rPr>
          <w:b/>
          <w:i/>
          <w:sz w:val="24"/>
        </w:rPr>
        <w:t>Teaching objectives:</w:t>
      </w:r>
    </w:p>
    <w:p w:rsidR="003717A0" w:rsidRDefault="003717A0">
      <w:r>
        <w:rPr>
          <w:szCs w:val="21"/>
        </w:rPr>
        <w:t>1. Understand the Main Idea of the text: the Olympic Standard for Love</w:t>
      </w:r>
    </w:p>
    <w:p w:rsidR="003717A0" w:rsidRDefault="003717A0">
      <w:pPr>
        <w:rPr>
          <w:u w:val="single"/>
        </w:rPr>
      </w:pPr>
      <w:r>
        <w:t>2. Know more about</w:t>
      </w:r>
      <w:r>
        <w:rPr>
          <w:u w:val="single"/>
        </w:rPr>
        <w:t xml:space="preserve"> Olympic standards</w:t>
      </w:r>
    </w:p>
    <w:p w:rsidR="003717A0" w:rsidRDefault="003717A0">
      <w:r>
        <w:t>3. Learn the writing technique of narration.</w:t>
      </w:r>
    </w:p>
    <w:p w:rsidR="003717A0" w:rsidRDefault="003717A0">
      <w:r>
        <w:t>4. Have a good command of the core words, phrases, expressions and sentence structures presented in the texts and exercises.</w:t>
      </w:r>
    </w:p>
    <w:p w:rsidR="003717A0" w:rsidRDefault="003717A0">
      <w:pPr>
        <w:rPr>
          <w:b/>
          <w:i/>
          <w:sz w:val="24"/>
        </w:rPr>
      </w:pPr>
      <w:r>
        <w:rPr>
          <w:b/>
          <w:i/>
          <w:sz w:val="24"/>
        </w:rPr>
        <w:t>Time allotment (6 periods):</w:t>
      </w:r>
    </w:p>
    <w:p w:rsidR="003717A0" w:rsidRDefault="003717A0">
      <w:r>
        <w:t>1. 1</w:t>
      </w:r>
      <w:r>
        <w:rPr>
          <w:vertAlign w:val="superscript"/>
        </w:rPr>
        <w:t>st</w:t>
      </w:r>
      <w:r>
        <w:t xml:space="preserve"> and 2</w:t>
      </w:r>
      <w:r>
        <w:rPr>
          <w:vertAlign w:val="superscript"/>
        </w:rPr>
        <w:t>nd</w:t>
      </w:r>
      <w:r>
        <w:t xml:space="preserve"> period: </w:t>
      </w:r>
    </w:p>
    <w:p w:rsidR="003717A0" w:rsidRDefault="003717A0">
      <w:r>
        <w:t xml:space="preserve">     Text A: background information; cultural notes; text organization; words and structures </w:t>
      </w:r>
    </w:p>
    <w:p w:rsidR="003717A0" w:rsidRDefault="003717A0">
      <w:r>
        <w:t>2. 3</w:t>
      </w:r>
      <w:r>
        <w:rPr>
          <w:vertAlign w:val="superscript"/>
        </w:rPr>
        <w:t>rd</w:t>
      </w:r>
      <w:r>
        <w:t xml:space="preserve"> and 4</w:t>
      </w:r>
      <w:r>
        <w:rPr>
          <w:vertAlign w:val="superscript"/>
        </w:rPr>
        <w:t>th</w:t>
      </w:r>
      <w:r>
        <w:t xml:space="preserve"> period: </w:t>
      </w:r>
    </w:p>
    <w:p w:rsidR="003717A0" w:rsidRDefault="003717A0">
      <w:pPr>
        <w:ind w:firstLineChars="250" w:firstLine="525"/>
      </w:pPr>
      <w:r>
        <w:t>Text A: Review key language points; exercises after text A; essay writing;</w:t>
      </w:r>
    </w:p>
    <w:p w:rsidR="003717A0" w:rsidRDefault="003717A0">
      <w:r>
        <w:t>3. 5</w:t>
      </w:r>
      <w:r>
        <w:rPr>
          <w:vertAlign w:val="superscript"/>
        </w:rPr>
        <w:t>th</w:t>
      </w:r>
      <w:r>
        <w:t xml:space="preserve"> and 6</w:t>
      </w:r>
      <w:r>
        <w:rPr>
          <w:vertAlign w:val="superscript"/>
        </w:rPr>
        <w:t>th</w:t>
      </w:r>
      <w:r>
        <w:t xml:space="preserve"> period: </w:t>
      </w:r>
    </w:p>
    <w:p w:rsidR="003717A0" w:rsidRDefault="003717A0">
      <w:r>
        <w:t xml:space="preserve">     Text B: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pPr>
        <w:rPr>
          <w:szCs w:val="21"/>
        </w:rPr>
      </w:pPr>
      <w:r>
        <w:rPr>
          <w:szCs w:val="21"/>
        </w:rPr>
        <w:t xml:space="preserve">1. What are the impressions and feelings of the writer on her coach? </w:t>
      </w:r>
    </w:p>
    <w:p w:rsidR="003717A0" w:rsidRDefault="003717A0">
      <w:pPr>
        <w:rPr>
          <w:szCs w:val="21"/>
        </w:rPr>
      </w:pPr>
      <w:r>
        <w:rPr>
          <w:szCs w:val="21"/>
        </w:rPr>
        <w:t xml:space="preserve">2. What is the Olympic standard for love? </w:t>
      </w:r>
    </w:p>
    <w:p w:rsidR="003717A0" w:rsidRDefault="003717A0">
      <w:pPr>
        <w:rPr>
          <w:szCs w:val="21"/>
        </w:rPr>
      </w:pPr>
      <w:r>
        <w:rPr>
          <w:szCs w:val="21"/>
        </w:rPr>
        <w:t>3. What are the Olympic spirits and what can we learn from them?</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181" w:hangingChars="490" w:hanging="1181"/>
        <w:rPr>
          <w:szCs w:val="21"/>
        </w:rPr>
      </w:pPr>
      <w:r>
        <w:rPr>
          <w:b/>
          <w:i/>
          <w:sz w:val="24"/>
        </w:rPr>
        <w:t xml:space="preserve">Key words: </w:t>
      </w:r>
      <w:r>
        <w:rPr>
          <w:szCs w:val="21"/>
        </w:rPr>
        <w:t>presence    promising   gratitude   anniversary    fatigue    approximate    fuss  indifferent  rebel   shift   assert    persist   frown  rank    bond</w:t>
      </w:r>
    </w:p>
    <w:p w:rsidR="003717A0" w:rsidRDefault="003717A0">
      <w:pPr>
        <w:spacing w:line="360" w:lineRule="auto"/>
        <w:ind w:left="3070" w:hangingChars="1274" w:hanging="3070"/>
        <w:rPr>
          <w:szCs w:val="21"/>
        </w:rPr>
      </w:pPr>
      <w:r>
        <w:rPr>
          <w:b/>
          <w:i/>
          <w:sz w:val="24"/>
        </w:rPr>
        <w:t xml:space="preserve">Key phrases and expressions: </w:t>
      </w:r>
      <w:r>
        <w:rPr>
          <w:szCs w:val="21"/>
        </w:rPr>
        <w:t>next to sb.   in his presence   reply to  by no means   count on   on one occasion   come upon   pack into   swear at      be indifferent to</w:t>
      </w:r>
    </w:p>
    <w:p w:rsidR="003717A0" w:rsidRDefault="003717A0">
      <w:pPr>
        <w:spacing w:line="360" w:lineRule="auto"/>
        <w:rPr>
          <w:b/>
          <w:i/>
          <w:sz w:val="24"/>
        </w:rPr>
      </w:pPr>
      <w:r>
        <w:rPr>
          <w:b/>
          <w:i/>
          <w:sz w:val="24"/>
        </w:rPr>
        <w:t>Grammatical Structure</w:t>
      </w:r>
    </w:p>
    <w:p w:rsidR="003717A0" w:rsidRDefault="003717A0">
      <w:pPr>
        <w:numPr>
          <w:ilvl w:val="0"/>
          <w:numId w:val="50"/>
        </w:numPr>
        <w:spacing w:line="360" w:lineRule="auto"/>
        <w:rPr>
          <w:szCs w:val="21"/>
        </w:rPr>
      </w:pPr>
      <w:r>
        <w:rPr>
          <w:szCs w:val="21"/>
        </w:rPr>
        <w:t xml:space="preserve">He never asked this of me again, </w:t>
      </w:r>
      <w:r>
        <w:rPr>
          <w:szCs w:val="21"/>
          <w:u w:val="single"/>
        </w:rPr>
        <w:t>nor did</w:t>
      </w:r>
      <w:r>
        <w:rPr>
          <w:szCs w:val="21"/>
        </w:rPr>
        <w:t xml:space="preserve"> he take much notice of my outburst. ( inversion)</w:t>
      </w:r>
    </w:p>
    <w:p w:rsidR="003717A0" w:rsidRDefault="003717A0">
      <w:pPr>
        <w:numPr>
          <w:ilvl w:val="0"/>
          <w:numId w:val="50"/>
        </w:numPr>
        <w:spacing w:line="360" w:lineRule="auto"/>
        <w:rPr>
          <w:szCs w:val="21"/>
        </w:rPr>
      </w:pPr>
      <w:r>
        <w:rPr>
          <w:bCs/>
          <w:iCs/>
          <w:szCs w:val="21"/>
          <w:u w:val="single"/>
        </w:rPr>
        <w:t>When coaching</w:t>
      </w:r>
      <w:r>
        <w:rPr>
          <w:bCs/>
          <w:szCs w:val="21"/>
        </w:rPr>
        <w:t>, he would sing out his instructions keeping rhythm with our stride.</w:t>
      </w:r>
    </w:p>
    <w:p w:rsidR="003717A0" w:rsidRDefault="003717A0">
      <w:pPr>
        <w:spacing w:line="360" w:lineRule="auto"/>
        <w:ind w:firstLineChars="150" w:firstLine="315"/>
        <w:rPr>
          <w:bCs/>
          <w:szCs w:val="21"/>
        </w:rPr>
      </w:pPr>
      <w:r>
        <w:rPr>
          <w:bCs/>
          <w:szCs w:val="21"/>
        </w:rPr>
        <w:t>( -ing participle clause)</w:t>
      </w:r>
    </w:p>
    <w:p w:rsidR="003717A0" w:rsidRDefault="003717A0">
      <w:pPr>
        <w:spacing w:line="360" w:lineRule="auto"/>
        <w:ind w:left="3483" w:hangingChars="1652" w:hanging="3483"/>
        <w:rPr>
          <w:szCs w:val="21"/>
        </w:rPr>
      </w:pPr>
      <w:r>
        <w:rPr>
          <w:b/>
          <w:i/>
          <w:szCs w:val="21"/>
        </w:rPr>
        <w:lastRenderedPageBreak/>
        <w:t xml:space="preserve">Key phrases and expressions in Text B: </w:t>
      </w:r>
      <w:r>
        <w:rPr>
          <w:szCs w:val="21"/>
        </w:rPr>
        <w:t>for the sake of   act as  above all   set one’s mind on</w:t>
      </w:r>
    </w:p>
    <w:p w:rsidR="003717A0" w:rsidRDefault="003717A0">
      <w:pPr>
        <w:spacing w:line="360" w:lineRule="auto"/>
        <w:ind w:left="3469" w:hangingChars="1652" w:hanging="3469"/>
        <w:rPr>
          <w:szCs w:val="21"/>
        </w:rPr>
      </w:pPr>
      <w:r>
        <w:rPr>
          <w:szCs w:val="21"/>
        </w:rPr>
        <w:t xml:space="preserve">  focus on  see sth. as   set the stage for  . be used to  hold one’s breath  strip sb. of sth. </w:t>
      </w:r>
    </w:p>
    <w:p w:rsidR="003717A0" w:rsidRDefault="003717A0">
      <w:pPr>
        <w:spacing w:line="360" w:lineRule="auto"/>
        <w:ind w:left="3469" w:hangingChars="1652" w:hanging="3469"/>
        <w:rPr>
          <w:szCs w:val="21"/>
        </w:rPr>
      </w:pPr>
      <w:r>
        <w:rPr>
          <w:szCs w:val="21"/>
        </w:rPr>
        <w:t xml:space="preserve">  charge sb. with  sth.</w:t>
      </w:r>
    </w:p>
    <w:p w:rsidR="003717A0" w:rsidRDefault="003717A0">
      <w:pPr>
        <w:spacing w:line="360" w:lineRule="auto"/>
        <w:ind w:left="1181" w:hangingChars="490" w:hanging="1181"/>
        <w:rPr>
          <w:b/>
          <w:i/>
          <w:sz w:val="24"/>
        </w:rPr>
      </w:pPr>
      <w:r>
        <w:rPr>
          <w:b/>
          <w:i/>
          <w:sz w:val="24"/>
        </w:rPr>
        <w:t>Topic for writing:</w:t>
      </w:r>
    </w:p>
    <w:p w:rsidR="003717A0" w:rsidRDefault="003717A0">
      <w:pPr>
        <w:spacing w:line="360" w:lineRule="auto"/>
        <w:ind w:firstLineChars="150" w:firstLine="315"/>
      </w:pPr>
      <w:r>
        <w:t>Young Generation Lacking of Striving Spirit</w:t>
      </w:r>
    </w:p>
    <w:p w:rsidR="003717A0" w:rsidRDefault="003717A0">
      <w:pPr>
        <w:spacing w:line="360" w:lineRule="auto"/>
        <w:ind w:left="1033" w:hangingChars="490" w:hanging="1033"/>
        <w:rPr>
          <w:b/>
          <w:i/>
          <w:szCs w:val="21"/>
        </w:rPr>
      </w:pPr>
      <w:r>
        <w:rPr>
          <w:b/>
          <w:i/>
          <w:szCs w:val="21"/>
        </w:rPr>
        <w:t>Additional work:</w:t>
      </w:r>
    </w:p>
    <w:p w:rsidR="003717A0" w:rsidRDefault="003717A0">
      <w:pPr>
        <w:numPr>
          <w:ilvl w:val="0"/>
          <w:numId w:val="51"/>
        </w:numPr>
        <w:rPr>
          <w:szCs w:val="21"/>
        </w:rPr>
      </w:pPr>
      <w:r>
        <w:rPr>
          <w:szCs w:val="21"/>
        </w:rPr>
        <w:t>Recite the last two paragraphs in Text A.</w:t>
      </w:r>
    </w:p>
    <w:p w:rsidR="003717A0" w:rsidRDefault="003717A0">
      <w:pPr>
        <w:numPr>
          <w:ilvl w:val="0"/>
          <w:numId w:val="51"/>
        </w:numPr>
        <w:rPr>
          <w:szCs w:val="21"/>
        </w:rPr>
      </w:pPr>
      <w:r>
        <w:rPr>
          <w:szCs w:val="21"/>
        </w:rPr>
        <w:t>Write a summary of text A.</w:t>
      </w:r>
    </w:p>
    <w:p w:rsidR="003717A0" w:rsidRDefault="003717A0">
      <w:pPr>
        <w:numPr>
          <w:ilvl w:val="0"/>
          <w:numId w:val="51"/>
        </w:numPr>
        <w:rPr>
          <w:szCs w:val="21"/>
        </w:rPr>
      </w:pPr>
      <w:r>
        <w:rPr>
          <w:szCs w:val="21"/>
        </w:rPr>
        <w:t>Search and read more information about the Olympic Games and Olympic athletes you like.</w:t>
      </w:r>
    </w:p>
    <w:p w:rsidR="003717A0" w:rsidRDefault="003717A0">
      <w:pPr>
        <w:spacing w:line="360" w:lineRule="auto"/>
        <w:rPr>
          <w:szCs w:val="21"/>
        </w:rPr>
      </w:pPr>
    </w:p>
    <w:p w:rsidR="003717A0" w:rsidRDefault="003717A0">
      <w:pPr>
        <w:spacing w:line="360" w:lineRule="auto"/>
        <w:rPr>
          <w:b/>
          <w:sz w:val="24"/>
          <w:szCs w:val="24"/>
        </w:rPr>
      </w:pPr>
      <w:r>
        <w:rPr>
          <w:b/>
          <w:sz w:val="24"/>
          <w:szCs w:val="24"/>
        </w:rPr>
        <w:t>Unit 3 Marriage Across Nations</w:t>
      </w:r>
    </w:p>
    <w:p w:rsidR="003717A0" w:rsidRDefault="003717A0">
      <w:pPr>
        <w:rPr>
          <w:b/>
          <w:i/>
          <w:sz w:val="24"/>
        </w:rPr>
      </w:pPr>
      <w:r>
        <w:rPr>
          <w:b/>
          <w:i/>
          <w:sz w:val="24"/>
        </w:rPr>
        <w:t>Teaching objectives:</w:t>
      </w:r>
    </w:p>
    <w:p w:rsidR="003717A0" w:rsidRDefault="003717A0">
      <w:pPr>
        <w:numPr>
          <w:ilvl w:val="0"/>
          <w:numId w:val="52"/>
        </w:numPr>
      </w:pPr>
      <w:r>
        <w:t xml:space="preserve">Get some useful information about the advantages and disadvantages of </w:t>
      </w:r>
      <w:r>
        <w:rPr>
          <w:u w:val="single"/>
        </w:rPr>
        <w:t>marriage across nations</w:t>
      </w:r>
      <w:r>
        <w:t>.</w:t>
      </w:r>
    </w:p>
    <w:p w:rsidR="003717A0" w:rsidRDefault="003717A0">
      <w:pPr>
        <w:numPr>
          <w:ilvl w:val="0"/>
          <w:numId w:val="52"/>
        </w:numPr>
      </w:pPr>
      <w:r>
        <w:t xml:space="preserve">Know more about </w:t>
      </w:r>
      <w:r>
        <w:rPr>
          <w:u w:val="single"/>
        </w:rPr>
        <w:t>cultural differences</w:t>
      </w:r>
      <w:r>
        <w:t>.</w:t>
      </w:r>
    </w:p>
    <w:p w:rsidR="003717A0" w:rsidRDefault="003717A0">
      <w:pPr>
        <w:numPr>
          <w:ilvl w:val="0"/>
          <w:numId w:val="52"/>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r>
        <w:t>1.1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r>
        <w:t>2. 3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r>
        <w:t>3. 5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pPr>
        <w:numPr>
          <w:ilvl w:val="0"/>
          <w:numId w:val="53"/>
        </w:numPr>
        <w:rPr>
          <w:szCs w:val="21"/>
        </w:rPr>
      </w:pPr>
      <w:r>
        <w:rPr>
          <w:szCs w:val="21"/>
        </w:rPr>
        <w:t>What is the main barrier in Gail and Mark’s marriage? What do you think they could do to resolve the problems in their marriage?</w:t>
      </w:r>
    </w:p>
    <w:p w:rsidR="003717A0" w:rsidRDefault="003717A0">
      <w:pPr>
        <w:rPr>
          <w:szCs w:val="21"/>
        </w:rPr>
      </w:pPr>
      <w:r>
        <w:rPr>
          <w:szCs w:val="21"/>
        </w:rPr>
        <w:t>2.  Can you list the advantages and disadvantages of marriage across nations?</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299" w:hangingChars="539" w:hanging="1299"/>
        <w:rPr>
          <w:szCs w:val="21"/>
        </w:rPr>
      </w:pPr>
      <w:r>
        <w:rPr>
          <w:b/>
          <w:i/>
          <w:sz w:val="24"/>
        </w:rPr>
        <w:t xml:space="preserve">Key words: </w:t>
      </w:r>
      <w:r>
        <w:rPr>
          <w:szCs w:val="21"/>
        </w:rPr>
        <w:t>compromise  subtle  mutual   incompatible  subsequently  reservation  indication   confirm  suspect  hesitate  realistic  resolve</w:t>
      </w:r>
    </w:p>
    <w:p w:rsidR="003717A0" w:rsidRDefault="003717A0">
      <w:pPr>
        <w:spacing w:line="360" w:lineRule="auto"/>
        <w:ind w:left="1299" w:hangingChars="539" w:hanging="1299"/>
        <w:rPr>
          <w:szCs w:val="21"/>
        </w:rPr>
      </w:pPr>
      <w:r>
        <w:rPr>
          <w:b/>
          <w:i/>
          <w:sz w:val="24"/>
        </w:rPr>
        <w:t xml:space="preserve">Key phrases and expressions: </w:t>
      </w:r>
      <w:r>
        <w:rPr>
          <w:szCs w:val="21"/>
        </w:rPr>
        <w:t xml:space="preserve">ups and downs  be involved with  in the expectation that… work out  for a time  have an effect on  meet with  all along  </w:t>
      </w:r>
    </w:p>
    <w:p w:rsidR="003717A0" w:rsidRDefault="003717A0">
      <w:pPr>
        <w:spacing w:line="360" w:lineRule="auto"/>
        <w:ind w:leftChars="615" w:left="1291" w:firstLineChars="49" w:firstLine="103"/>
        <w:rPr>
          <w:szCs w:val="21"/>
        </w:rPr>
      </w:pPr>
      <w:r>
        <w:rPr>
          <w:szCs w:val="21"/>
        </w:rPr>
        <w:t>harbor reservations about   on the surface  at one’s worst  proceed to do sth.</w:t>
      </w:r>
    </w:p>
    <w:p w:rsidR="003717A0" w:rsidRDefault="003717A0">
      <w:pPr>
        <w:spacing w:line="360" w:lineRule="auto"/>
        <w:rPr>
          <w:b/>
          <w:i/>
          <w:sz w:val="24"/>
        </w:rPr>
      </w:pPr>
      <w:r>
        <w:rPr>
          <w:b/>
          <w:i/>
          <w:sz w:val="24"/>
        </w:rPr>
        <w:t>Grammatical Structure</w:t>
      </w:r>
    </w:p>
    <w:p w:rsidR="003717A0" w:rsidRDefault="003717A0">
      <w:pPr>
        <w:numPr>
          <w:ilvl w:val="0"/>
          <w:numId w:val="54"/>
        </w:numPr>
        <w:spacing w:line="360" w:lineRule="auto"/>
      </w:pPr>
      <w:r>
        <w:t xml:space="preserve">To start with I must admit that at first I harbored reservations about a mixed marriage, </w:t>
      </w:r>
      <w:r>
        <w:rPr>
          <w:u w:val="single"/>
        </w:rPr>
        <w:t>prejudices you might even call them</w:t>
      </w:r>
      <w:r>
        <w:t>. ( appositional structure)</w:t>
      </w:r>
    </w:p>
    <w:p w:rsidR="003717A0" w:rsidRDefault="003717A0">
      <w:pPr>
        <w:numPr>
          <w:ilvl w:val="0"/>
          <w:numId w:val="54"/>
        </w:numPr>
        <w:spacing w:line="360" w:lineRule="auto"/>
        <w:rPr>
          <w:szCs w:val="21"/>
        </w:rPr>
      </w:pPr>
      <w:r>
        <w:rPr>
          <w:szCs w:val="21"/>
        </w:rPr>
        <w:lastRenderedPageBreak/>
        <w:t xml:space="preserve">…it’s </w:t>
      </w:r>
      <w:r>
        <w:rPr>
          <w:szCs w:val="21"/>
          <w:u w:val="single"/>
        </w:rPr>
        <w:t>never too</w:t>
      </w:r>
      <w:r>
        <w:rPr>
          <w:szCs w:val="21"/>
        </w:rPr>
        <w:t xml:space="preserve"> late</w:t>
      </w:r>
      <w:r>
        <w:rPr>
          <w:szCs w:val="21"/>
          <w:u w:val="single"/>
        </w:rPr>
        <w:t xml:space="preserve"> to </w:t>
      </w:r>
      <w:r>
        <w:rPr>
          <w:szCs w:val="21"/>
        </w:rPr>
        <w:t>change your mind. (never too…to…)</w:t>
      </w:r>
    </w:p>
    <w:p w:rsidR="003717A0" w:rsidRDefault="003717A0">
      <w:pPr>
        <w:numPr>
          <w:ilvl w:val="0"/>
          <w:numId w:val="54"/>
        </w:numPr>
        <w:spacing w:line="360" w:lineRule="auto"/>
        <w:rPr>
          <w:szCs w:val="21"/>
        </w:rPr>
      </w:pPr>
      <w:r>
        <w:rPr>
          <w:szCs w:val="21"/>
        </w:rPr>
        <w:t>Why the haste? (Ellipsis)</w:t>
      </w:r>
    </w:p>
    <w:p w:rsidR="003717A0" w:rsidRDefault="003717A0">
      <w:pPr>
        <w:spacing w:line="360" w:lineRule="auto"/>
        <w:rPr>
          <w:szCs w:val="21"/>
        </w:rPr>
      </w:pPr>
      <w:r>
        <w:rPr>
          <w:b/>
          <w:i/>
          <w:szCs w:val="21"/>
        </w:rPr>
        <w:t xml:space="preserve">Key phrases and expressions in Text B: </w:t>
      </w:r>
      <w:r>
        <w:rPr>
          <w:szCs w:val="21"/>
        </w:rPr>
        <w:t xml:space="preserve">come up with   win sb. over   from head to toe  </w:t>
      </w:r>
    </w:p>
    <w:p w:rsidR="003717A0" w:rsidRDefault="003717A0">
      <w:pPr>
        <w:spacing w:line="360" w:lineRule="auto"/>
        <w:ind w:firstLineChars="400" w:firstLine="840"/>
        <w:rPr>
          <w:szCs w:val="21"/>
        </w:rPr>
      </w:pPr>
      <w:r>
        <w:rPr>
          <w:szCs w:val="21"/>
        </w:rPr>
        <w:t xml:space="preserve">on the short side   goose bumps   be compelled to do  on one’s behalf   </w:t>
      </w:r>
    </w:p>
    <w:p w:rsidR="003717A0" w:rsidRDefault="003717A0">
      <w:pPr>
        <w:spacing w:line="360" w:lineRule="auto"/>
        <w:ind w:firstLineChars="400" w:firstLine="840"/>
        <w:rPr>
          <w:szCs w:val="21"/>
        </w:rPr>
      </w:pPr>
      <w:r>
        <w:rPr>
          <w:szCs w:val="21"/>
        </w:rPr>
        <w:t>put sb. to bed   hit it off</w:t>
      </w:r>
    </w:p>
    <w:p w:rsidR="003717A0" w:rsidRDefault="003717A0">
      <w:pPr>
        <w:rPr>
          <w:b/>
          <w:i/>
          <w:sz w:val="24"/>
        </w:rPr>
      </w:pPr>
      <w:r>
        <w:rPr>
          <w:b/>
          <w:i/>
          <w:sz w:val="24"/>
        </w:rPr>
        <w:t>Topic for writing:</w:t>
      </w:r>
    </w:p>
    <w:p w:rsidR="003717A0" w:rsidRDefault="003717A0">
      <w:pPr>
        <w:spacing w:line="360" w:lineRule="auto"/>
      </w:pPr>
      <w:r>
        <w:t>My Views on Mixed Marriage</w:t>
      </w:r>
    </w:p>
    <w:p w:rsidR="003717A0" w:rsidRDefault="003717A0">
      <w:pPr>
        <w:rPr>
          <w:b/>
          <w:i/>
          <w:szCs w:val="21"/>
        </w:rPr>
      </w:pPr>
      <w:r>
        <w:rPr>
          <w:b/>
          <w:i/>
          <w:szCs w:val="21"/>
        </w:rPr>
        <w:t>Additional work:</w:t>
      </w:r>
    </w:p>
    <w:p w:rsidR="003717A0" w:rsidRDefault="003717A0">
      <w:pPr>
        <w:numPr>
          <w:ilvl w:val="0"/>
          <w:numId w:val="55"/>
        </w:numPr>
        <w:rPr>
          <w:szCs w:val="21"/>
        </w:rPr>
      </w:pPr>
      <w:r>
        <w:rPr>
          <w:szCs w:val="21"/>
        </w:rPr>
        <w:t>Recite the 1</w:t>
      </w:r>
      <w:r>
        <w:rPr>
          <w:szCs w:val="21"/>
          <w:vertAlign w:val="superscript"/>
        </w:rPr>
        <w:t>st</w:t>
      </w:r>
      <w:r>
        <w:rPr>
          <w:szCs w:val="21"/>
        </w:rPr>
        <w:t>, 2</w:t>
      </w:r>
      <w:r>
        <w:rPr>
          <w:szCs w:val="21"/>
          <w:vertAlign w:val="superscript"/>
        </w:rPr>
        <w:t>nd</w:t>
      </w:r>
      <w:r>
        <w:rPr>
          <w:szCs w:val="21"/>
        </w:rPr>
        <w:t xml:space="preserve"> and 3</w:t>
      </w:r>
      <w:r>
        <w:rPr>
          <w:szCs w:val="21"/>
          <w:vertAlign w:val="superscript"/>
        </w:rPr>
        <w:t>rd</w:t>
      </w:r>
      <w:r>
        <w:rPr>
          <w:szCs w:val="21"/>
        </w:rPr>
        <w:t xml:space="preserve"> paragraphs in Text A.</w:t>
      </w:r>
    </w:p>
    <w:p w:rsidR="003717A0" w:rsidRDefault="003717A0">
      <w:pPr>
        <w:rPr>
          <w:szCs w:val="21"/>
        </w:rPr>
      </w:pPr>
      <w:r>
        <w:rPr>
          <w:szCs w:val="21"/>
        </w:rPr>
        <w:t>2.  Summarize features of marriage across nations.</w:t>
      </w:r>
    </w:p>
    <w:p w:rsidR="003717A0" w:rsidRDefault="003717A0">
      <w:pPr>
        <w:rPr>
          <w:szCs w:val="21"/>
        </w:rPr>
      </w:pPr>
      <w:r>
        <w:rPr>
          <w:szCs w:val="21"/>
        </w:rPr>
        <w:t xml:space="preserve">3.  Summarize the features of cultural differences. </w:t>
      </w:r>
    </w:p>
    <w:p w:rsidR="003717A0" w:rsidRDefault="003717A0">
      <w:pPr>
        <w:spacing w:line="360" w:lineRule="auto"/>
        <w:rPr>
          <w:szCs w:val="21"/>
        </w:rPr>
      </w:pPr>
    </w:p>
    <w:p w:rsidR="003717A0" w:rsidRDefault="003717A0">
      <w:pPr>
        <w:spacing w:line="360" w:lineRule="auto"/>
        <w:rPr>
          <w:b/>
          <w:sz w:val="24"/>
          <w:szCs w:val="24"/>
        </w:rPr>
      </w:pPr>
      <w:r>
        <w:rPr>
          <w:b/>
          <w:sz w:val="24"/>
          <w:szCs w:val="24"/>
        </w:rPr>
        <w:t>Unit 4 A Test of True Love</w:t>
      </w:r>
    </w:p>
    <w:p w:rsidR="003717A0" w:rsidRDefault="003717A0">
      <w:pPr>
        <w:rPr>
          <w:b/>
          <w:i/>
          <w:sz w:val="24"/>
        </w:rPr>
      </w:pPr>
      <w:r>
        <w:rPr>
          <w:b/>
          <w:i/>
          <w:sz w:val="24"/>
        </w:rPr>
        <w:t>Teaching objectives:</w:t>
      </w:r>
    </w:p>
    <w:p w:rsidR="003717A0" w:rsidRDefault="003717A0">
      <w:pPr>
        <w:numPr>
          <w:ilvl w:val="0"/>
          <w:numId w:val="56"/>
        </w:numPr>
      </w:pPr>
      <w:r>
        <w:t>Stimulate Ss to discuss what is of great value in love.</w:t>
      </w:r>
    </w:p>
    <w:p w:rsidR="003717A0" w:rsidRDefault="003717A0">
      <w:pPr>
        <w:numPr>
          <w:ilvl w:val="0"/>
          <w:numId w:val="56"/>
        </w:numPr>
      </w:pPr>
      <w:r>
        <w:t xml:space="preserve">Be familiar with the writing skills of the text and make use of it in writing. </w:t>
      </w:r>
    </w:p>
    <w:p w:rsidR="003717A0" w:rsidRDefault="003717A0">
      <w:r>
        <w:t xml:space="preserve">    Writing skills: A paragraph of a point of view supported by reasons.</w:t>
      </w:r>
    </w:p>
    <w:p w:rsidR="003717A0" w:rsidRDefault="003717A0">
      <w:pPr>
        <w:numPr>
          <w:ilvl w:val="0"/>
          <w:numId w:val="56"/>
        </w:numPr>
      </w:pPr>
      <w:r>
        <w:t>Improve Ss reading skills by studying Section B and passages in the Extensive Reading.</w:t>
      </w:r>
    </w:p>
    <w:p w:rsidR="003717A0" w:rsidRDefault="003717A0">
      <w:r>
        <w:t xml:space="preserve">    Reading skills: Reading for the key idea in a sentence. </w:t>
      </w:r>
    </w:p>
    <w:p w:rsidR="003717A0" w:rsidRDefault="003717A0">
      <w:pPr>
        <w:numPr>
          <w:ilvl w:val="0"/>
          <w:numId w:val="56"/>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pPr>
        <w:numPr>
          <w:ilvl w:val="0"/>
          <w:numId w:val="22"/>
        </w:numPr>
        <w:tabs>
          <w:tab w:val="left" w:pos="360"/>
        </w:tabs>
        <w:ind w:left="360" w:hanging="360"/>
      </w:pPr>
      <w:r>
        <w:rPr>
          <w:rFonts w:cs="Times New Roman"/>
        </w:rP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22"/>
        </w:numPr>
        <w:tabs>
          <w:tab w:val="left" w:pos="360"/>
        </w:tabs>
        <w:ind w:left="360" w:hanging="360"/>
      </w:pPr>
      <w:r>
        <w:rPr>
          <w:rFonts w:cs="Times New Roman"/>
        </w:rP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22"/>
        </w:numPr>
        <w:tabs>
          <w:tab w:val="left" w:pos="360"/>
        </w:tabs>
        <w:ind w:left="360" w:hanging="360"/>
      </w:pPr>
      <w:r>
        <w:rPr>
          <w:rFonts w:cs="Times New Roman"/>
        </w:rP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pPr>
        <w:numPr>
          <w:ilvl w:val="0"/>
          <w:numId w:val="57"/>
        </w:numPr>
        <w:rPr>
          <w:szCs w:val="21"/>
        </w:rPr>
      </w:pPr>
      <w:r>
        <w:rPr>
          <w:szCs w:val="21"/>
        </w:rPr>
        <w:t>If you were John Blandford, would you invite the forty-year-old lady to dinner? Why or why not?</w:t>
      </w:r>
    </w:p>
    <w:p w:rsidR="003717A0" w:rsidRDefault="003717A0">
      <w:pPr>
        <w:numPr>
          <w:ilvl w:val="0"/>
          <w:numId w:val="57"/>
        </w:numPr>
        <w:rPr>
          <w:szCs w:val="21"/>
        </w:rPr>
      </w:pPr>
      <w:r>
        <w:rPr>
          <w:szCs w:val="21"/>
        </w:rPr>
        <w:t>Do you believe there's magic between lovers? Why or why not?</w:t>
      </w:r>
    </w:p>
    <w:p w:rsidR="003717A0" w:rsidRDefault="003717A0">
      <w:pPr>
        <w:numPr>
          <w:ilvl w:val="0"/>
          <w:numId w:val="57"/>
        </w:numPr>
        <w:rPr>
          <w:szCs w:val="21"/>
        </w:rPr>
      </w:pPr>
      <w:r>
        <w:rPr>
          <w:szCs w:val="21"/>
        </w:rPr>
        <w:t>Do you think love needs testing? Give your reasons.</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299" w:hangingChars="539" w:hanging="1299"/>
        <w:rPr>
          <w:szCs w:val="21"/>
        </w:rPr>
      </w:pPr>
      <w:r>
        <w:rPr>
          <w:b/>
          <w:i/>
          <w:sz w:val="24"/>
        </w:rPr>
        <w:t xml:space="preserve">Key words: </w:t>
      </w:r>
      <w:r>
        <w:rPr>
          <w:szCs w:val="21"/>
        </w:rPr>
        <w:t>identical  volunteer  overseas  nourish  decline  objection  forbid  spectacular   fancy   vanish  compress   resist</w:t>
      </w:r>
    </w:p>
    <w:p w:rsidR="003717A0" w:rsidRDefault="003717A0">
      <w:pPr>
        <w:spacing w:line="360" w:lineRule="auto"/>
        <w:ind w:left="1299" w:hangingChars="539" w:hanging="1299"/>
        <w:rPr>
          <w:szCs w:val="21"/>
        </w:rPr>
      </w:pPr>
      <w:r>
        <w:rPr>
          <w:b/>
          <w:i/>
          <w:sz w:val="24"/>
        </w:rPr>
        <w:t xml:space="preserve">Key phrases and expressions: </w:t>
      </w:r>
      <w:r>
        <w:rPr>
          <w:szCs w:val="21"/>
        </w:rPr>
        <w:t xml:space="preserve">volunteer for   without fail  as long as   decline one's request  be free to do sth,   right away   more than  identify him to others  </w:t>
      </w:r>
    </w:p>
    <w:p w:rsidR="003717A0" w:rsidRDefault="003717A0">
      <w:pPr>
        <w:spacing w:line="360" w:lineRule="auto"/>
        <w:ind w:leftChars="570" w:left="1279" w:hangingChars="39" w:hanging="82"/>
        <w:rPr>
          <w:szCs w:val="21"/>
        </w:rPr>
      </w:pPr>
      <w:r>
        <w:rPr>
          <w:szCs w:val="21"/>
        </w:rPr>
        <w:lastRenderedPageBreak/>
        <w:t>be thankful to sb. for sth.</w:t>
      </w:r>
    </w:p>
    <w:p w:rsidR="003717A0" w:rsidRDefault="003717A0">
      <w:pPr>
        <w:spacing w:line="360" w:lineRule="auto"/>
        <w:rPr>
          <w:b/>
          <w:i/>
          <w:sz w:val="24"/>
        </w:rPr>
      </w:pPr>
      <w:r>
        <w:rPr>
          <w:b/>
          <w:i/>
          <w:sz w:val="24"/>
        </w:rPr>
        <w:t>Grammatical Structure</w:t>
      </w:r>
    </w:p>
    <w:p w:rsidR="003717A0" w:rsidRDefault="003717A0">
      <w:pPr>
        <w:numPr>
          <w:ilvl w:val="0"/>
          <w:numId w:val="58"/>
        </w:numPr>
        <w:rPr>
          <w:szCs w:val="21"/>
        </w:rPr>
      </w:pPr>
      <w:r>
        <w:rPr>
          <w:szCs w:val="21"/>
        </w:rPr>
        <w:t xml:space="preserve">Blandford resisted the urge to follow the younger woman, though it was not easy to do so. </w:t>
      </w:r>
    </w:p>
    <w:p w:rsidR="003717A0" w:rsidRDefault="003717A0">
      <w:pPr>
        <w:spacing w:line="360" w:lineRule="auto"/>
        <w:ind w:left="360"/>
        <w:rPr>
          <w:szCs w:val="21"/>
        </w:rPr>
      </w:pPr>
      <w:r>
        <w:rPr>
          <w:szCs w:val="21"/>
        </w:rPr>
        <w:t>( “It” as the formal subject)</w:t>
      </w:r>
    </w:p>
    <w:p w:rsidR="003717A0" w:rsidRDefault="003717A0">
      <w:pPr>
        <w:numPr>
          <w:ilvl w:val="0"/>
          <w:numId w:val="58"/>
        </w:numPr>
        <w:rPr>
          <w:szCs w:val="21"/>
        </w:rPr>
      </w:pPr>
      <w:r>
        <w:rPr>
          <w:szCs w:val="21"/>
        </w:rPr>
        <w:t>As long as he received letters from her, he felt as though he could survive. ( as long as )</w:t>
      </w:r>
    </w:p>
    <w:p w:rsidR="003717A0" w:rsidRDefault="003717A0">
      <w:pPr>
        <w:numPr>
          <w:ilvl w:val="0"/>
          <w:numId w:val="58"/>
        </w:numPr>
        <w:jc w:val="left"/>
        <w:rPr>
          <w:bCs/>
          <w:szCs w:val="21"/>
        </w:rPr>
      </w:pPr>
      <w:r>
        <w:rPr>
          <w:bCs/>
          <w:szCs w:val="21"/>
        </w:rPr>
        <w:t>Suppose I'm beautiful. I'd always be bothered by the feeling that you loved me for my beauty, and that kind of love would disgust me. ("Suppose" is followed by a conditional clause)</w:t>
      </w:r>
    </w:p>
    <w:p w:rsidR="003717A0" w:rsidRDefault="003717A0">
      <w:pPr>
        <w:numPr>
          <w:ilvl w:val="0"/>
          <w:numId w:val="58"/>
        </w:numPr>
        <w:rPr>
          <w:bCs/>
          <w:szCs w:val="21"/>
        </w:rPr>
      </w:pPr>
      <w:r>
        <w:rPr>
          <w:bCs/>
          <w:szCs w:val="21"/>
        </w:rPr>
        <w:t>... so strong was his desire to follow the girl, yet so deep was his longing for the woman ...</w:t>
      </w:r>
    </w:p>
    <w:p w:rsidR="003717A0" w:rsidRDefault="003717A0">
      <w:pPr>
        <w:ind w:left="360"/>
        <w:jc w:val="left"/>
        <w:rPr>
          <w:bCs/>
          <w:szCs w:val="21"/>
        </w:rPr>
      </w:pPr>
      <w:r>
        <w:rPr>
          <w:bCs/>
          <w:szCs w:val="21"/>
        </w:rPr>
        <w:t>("so" placed at the beginning of a sentence, its predicate should be inverted.)</w:t>
      </w:r>
    </w:p>
    <w:p w:rsidR="003717A0" w:rsidRDefault="003717A0">
      <w:pPr>
        <w:spacing w:line="360" w:lineRule="auto"/>
        <w:rPr>
          <w:szCs w:val="21"/>
        </w:rPr>
      </w:pPr>
      <w:r>
        <w:rPr>
          <w:b/>
          <w:i/>
          <w:szCs w:val="21"/>
        </w:rPr>
        <w:t xml:space="preserve">Key phrases and expressions in Text B: </w:t>
      </w:r>
      <w:r>
        <w:rPr>
          <w:szCs w:val="21"/>
        </w:rPr>
        <w:t xml:space="preserve">under the whips of  from day to day  on occasion   take its toll on  disappear into the distance   cling to  be/become accustomed to (doing) sth. </w:t>
      </w:r>
    </w:p>
    <w:p w:rsidR="003717A0" w:rsidRDefault="003717A0">
      <w:pPr>
        <w:spacing w:line="360" w:lineRule="auto"/>
        <w:rPr>
          <w:szCs w:val="21"/>
        </w:rPr>
      </w:pPr>
      <w:r>
        <w:rPr>
          <w:szCs w:val="21"/>
        </w:rPr>
        <w:t xml:space="preserve"> a far cry from   on earth   </w:t>
      </w:r>
    </w:p>
    <w:p w:rsidR="003717A0" w:rsidRDefault="003717A0">
      <w:pPr>
        <w:rPr>
          <w:b/>
          <w:i/>
          <w:sz w:val="24"/>
        </w:rPr>
      </w:pPr>
      <w:r>
        <w:rPr>
          <w:b/>
          <w:i/>
          <w:sz w:val="24"/>
        </w:rPr>
        <w:t>Topic for writing:</w:t>
      </w:r>
    </w:p>
    <w:p w:rsidR="003717A0" w:rsidRDefault="003717A0">
      <w:pPr>
        <w:spacing w:line="360" w:lineRule="auto"/>
      </w:pPr>
      <w:r>
        <w:t>Write a love letter to someone in your heart</w:t>
      </w:r>
    </w:p>
    <w:p w:rsidR="003717A0" w:rsidRDefault="003717A0">
      <w:pPr>
        <w:rPr>
          <w:b/>
          <w:i/>
          <w:szCs w:val="21"/>
        </w:rPr>
      </w:pPr>
      <w:r>
        <w:rPr>
          <w:b/>
          <w:i/>
          <w:szCs w:val="21"/>
        </w:rPr>
        <w:t>Additional work:</w:t>
      </w:r>
    </w:p>
    <w:p w:rsidR="003717A0" w:rsidRDefault="003717A0">
      <w:pPr>
        <w:numPr>
          <w:ilvl w:val="0"/>
          <w:numId w:val="59"/>
        </w:numPr>
      </w:pPr>
      <w:r>
        <w:rPr>
          <w:szCs w:val="21"/>
        </w:rPr>
        <w:t>Recite the 3</w:t>
      </w:r>
      <w:r>
        <w:rPr>
          <w:szCs w:val="21"/>
          <w:vertAlign w:val="superscript"/>
        </w:rPr>
        <w:t>rd</w:t>
      </w:r>
      <w:r>
        <w:rPr>
          <w:szCs w:val="21"/>
        </w:rPr>
        <w:t>, 4</w:t>
      </w:r>
      <w:r>
        <w:rPr>
          <w:szCs w:val="21"/>
          <w:vertAlign w:val="superscript"/>
        </w:rPr>
        <w:t xml:space="preserve">th </w:t>
      </w:r>
      <w:r>
        <w:rPr>
          <w:szCs w:val="21"/>
        </w:rPr>
        <w:t>and 12</w:t>
      </w:r>
      <w:r>
        <w:rPr>
          <w:szCs w:val="21"/>
          <w:vertAlign w:val="superscript"/>
        </w:rPr>
        <w:t>th</w:t>
      </w:r>
      <w:r>
        <w:rPr>
          <w:szCs w:val="21"/>
        </w:rPr>
        <w:t xml:space="preserve"> paragraph in Text A.</w:t>
      </w:r>
    </w:p>
    <w:p w:rsidR="003717A0" w:rsidRDefault="003717A0">
      <w:pPr>
        <w:numPr>
          <w:ilvl w:val="0"/>
          <w:numId w:val="59"/>
        </w:numPr>
        <w:spacing w:line="360" w:lineRule="auto"/>
        <w:rPr>
          <w:szCs w:val="21"/>
        </w:rPr>
      </w:pPr>
      <w:r>
        <w:rPr>
          <w:szCs w:val="21"/>
        </w:rPr>
        <w:t>Retell the story of Text A.</w:t>
      </w:r>
    </w:p>
    <w:p w:rsidR="003717A0" w:rsidRDefault="003717A0">
      <w:pPr>
        <w:numPr>
          <w:ilvl w:val="0"/>
          <w:numId w:val="59"/>
        </w:numPr>
        <w:spacing w:line="360" w:lineRule="auto"/>
        <w:rPr>
          <w:szCs w:val="21"/>
        </w:rPr>
      </w:pPr>
      <w:r>
        <w:rPr>
          <w:szCs w:val="21"/>
        </w:rPr>
        <w:t>Search and read some proverbs, poems, lyrics and essays about love.</w:t>
      </w:r>
    </w:p>
    <w:p w:rsidR="003717A0" w:rsidRDefault="003717A0">
      <w:pPr>
        <w:spacing w:line="360" w:lineRule="auto"/>
        <w:rPr>
          <w:szCs w:val="21"/>
        </w:rPr>
      </w:pPr>
    </w:p>
    <w:p w:rsidR="003717A0" w:rsidRDefault="003717A0">
      <w:pPr>
        <w:spacing w:line="360" w:lineRule="auto"/>
        <w:rPr>
          <w:b/>
          <w:sz w:val="24"/>
          <w:szCs w:val="24"/>
        </w:rPr>
      </w:pPr>
      <w:r>
        <w:rPr>
          <w:b/>
          <w:sz w:val="24"/>
          <w:szCs w:val="24"/>
        </w:rPr>
        <w:t>Unit 5 Weeping for My Smoking Daughter</w:t>
      </w:r>
    </w:p>
    <w:p w:rsidR="003717A0" w:rsidRDefault="003717A0">
      <w:pPr>
        <w:rPr>
          <w:bCs/>
        </w:rPr>
      </w:pPr>
      <w:r>
        <w:rPr>
          <w:b/>
          <w:i/>
          <w:sz w:val="24"/>
        </w:rPr>
        <w:t>Teaching objectives:</w:t>
      </w:r>
      <w:r>
        <w:rPr>
          <w:b/>
          <w:bCs/>
        </w:rPr>
        <w:t xml:space="preserve"> </w:t>
      </w:r>
    </w:p>
    <w:p w:rsidR="003717A0" w:rsidRDefault="003717A0">
      <w:pPr>
        <w:numPr>
          <w:ilvl w:val="0"/>
          <w:numId w:val="60"/>
        </w:numPr>
        <w:rPr>
          <w:szCs w:val="21"/>
        </w:rPr>
      </w:pPr>
      <w:r>
        <w:rPr>
          <w:szCs w:val="21"/>
        </w:rPr>
        <w:t>grasp the main idea and have a command of commonly-used expressions about the topic of smoking and suggestions on stop spoiling children;</w:t>
      </w:r>
    </w:p>
    <w:p w:rsidR="003717A0" w:rsidRDefault="003717A0">
      <w:pPr>
        <w:numPr>
          <w:ilvl w:val="0"/>
          <w:numId w:val="60"/>
        </w:numPr>
        <w:rPr>
          <w:szCs w:val="21"/>
        </w:rPr>
      </w:pPr>
      <w:r>
        <w:rPr>
          <w:szCs w:val="21"/>
        </w:rPr>
        <w:t>appreciate the main writing technique employed in the text—cause and effect, and try to learn the technique through writing practice;</w:t>
      </w:r>
    </w:p>
    <w:p w:rsidR="003717A0" w:rsidRDefault="003717A0">
      <w:pPr>
        <w:numPr>
          <w:ilvl w:val="0"/>
          <w:numId w:val="60"/>
        </w:numPr>
        <w:rPr>
          <w:szCs w:val="21"/>
        </w:rPr>
      </w:pPr>
      <w:r>
        <w:rPr>
          <w:szCs w:val="21"/>
        </w:rPr>
        <w:t xml:space="preserve">learn the </w:t>
      </w:r>
      <w:r>
        <w:rPr>
          <w:rStyle w:val="black1"/>
          <w:b w:val="0"/>
          <w:szCs w:val="21"/>
        </w:rPr>
        <w:t>reading skills ----Understand Figurative Languages,</w:t>
      </w:r>
      <w:r>
        <w:rPr>
          <w:szCs w:val="21"/>
        </w:rPr>
        <w:t xml:space="preserve"> and try to acquire the skill through reading practice;</w:t>
      </w:r>
    </w:p>
    <w:p w:rsidR="003717A0" w:rsidRDefault="003717A0">
      <w:pPr>
        <w:numPr>
          <w:ilvl w:val="0"/>
          <w:numId w:val="60"/>
        </w:numPr>
        <w:rPr>
          <w:szCs w:val="21"/>
        </w:rPr>
      </w:pPr>
      <w:r>
        <w:rPr>
          <w:szCs w:val="21"/>
        </w:rPr>
        <w:t>master the key language points and grammatical structures through related practice</w:t>
      </w:r>
    </w:p>
    <w:p w:rsidR="003717A0" w:rsidRDefault="003717A0">
      <w:pPr>
        <w:spacing w:line="360" w:lineRule="auto"/>
        <w:rPr>
          <w:szCs w:val="21"/>
        </w:rPr>
      </w:pPr>
    </w:p>
    <w:p w:rsidR="003717A0" w:rsidRDefault="003717A0">
      <w:pPr>
        <w:rPr>
          <w:b/>
          <w:i/>
          <w:sz w:val="24"/>
        </w:rPr>
      </w:pPr>
      <w:r>
        <w:rPr>
          <w:b/>
          <w:i/>
          <w:sz w:val="24"/>
        </w:rPr>
        <w:t>Time allotment (6 periods):</w:t>
      </w:r>
    </w:p>
    <w:p w:rsidR="003717A0" w:rsidRDefault="003717A0">
      <w:pPr>
        <w:numPr>
          <w:ilvl w:val="0"/>
          <w:numId w:val="61"/>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61"/>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61"/>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r>
        <w:lastRenderedPageBreak/>
        <w:t>1.  Why do you think people smoke? Do you or anyone you know smoke?</w:t>
      </w:r>
    </w:p>
    <w:p w:rsidR="003717A0" w:rsidRDefault="003717A0">
      <w:r>
        <w:t xml:space="preserve">2. </w:t>
      </w:r>
      <w:r>
        <w:tab/>
        <w:t>People say smoking is harmful to one’s health? Do you agree? Is it easy to quit smoking?</w:t>
      </w:r>
    </w:p>
    <w:p w:rsidR="003717A0" w:rsidRDefault="003717A0">
      <w:pPr>
        <w:spacing w:line="360" w:lineRule="auto"/>
        <w:rPr>
          <w:b/>
          <w:i/>
          <w:sz w:val="24"/>
        </w:rPr>
      </w:pPr>
      <w:r>
        <w:rPr>
          <w:b/>
          <w:i/>
          <w:sz w:val="24"/>
        </w:rPr>
        <w:t>Important Language Points in Text A</w:t>
      </w:r>
    </w:p>
    <w:p w:rsidR="003717A0" w:rsidRDefault="003717A0">
      <w:pPr>
        <w:spacing w:line="360" w:lineRule="auto"/>
        <w:rPr>
          <w:szCs w:val="21"/>
        </w:rPr>
      </w:pPr>
      <w:r>
        <w:rPr>
          <w:b/>
          <w:i/>
          <w:sz w:val="24"/>
        </w:rPr>
        <w:t xml:space="preserve">Key words: </w:t>
      </w:r>
      <w:r>
        <w:rPr>
          <w:szCs w:val="21"/>
        </w:rPr>
        <w:t>geometry  insecticide  zone  package  weep  filter  hook   noticeable  slim             drag  starve</w:t>
      </w:r>
    </w:p>
    <w:p w:rsidR="003717A0" w:rsidRDefault="003717A0">
      <w:pPr>
        <w:spacing w:line="360" w:lineRule="auto"/>
        <w:ind w:left="708" w:hangingChars="294" w:hanging="708"/>
        <w:rPr>
          <w:bCs/>
          <w:szCs w:val="21"/>
        </w:rPr>
      </w:pPr>
      <w:r>
        <w:rPr>
          <w:b/>
          <w:i/>
          <w:sz w:val="24"/>
        </w:rPr>
        <w:t xml:space="preserve">Key phrases and expressions: </w:t>
      </w:r>
      <w:r>
        <w:rPr>
          <w:bCs/>
          <w:szCs w:val="21"/>
        </w:rPr>
        <w:t xml:space="preserve">win over   smoke like chimneys  close at hand  pick up    be grateful to sb for sth   lean on  direct at   a bunch of  sit by  be stuck in </w:t>
      </w:r>
    </w:p>
    <w:p w:rsidR="003717A0" w:rsidRDefault="003717A0">
      <w:pPr>
        <w:spacing w:line="360" w:lineRule="auto"/>
        <w:ind w:leftChars="285" w:left="686" w:hangingChars="42" w:hanging="88"/>
        <w:rPr>
          <w:bCs/>
          <w:szCs w:val="21"/>
        </w:rPr>
      </w:pPr>
      <w:r>
        <w:rPr>
          <w:bCs/>
          <w:szCs w:val="21"/>
        </w:rPr>
        <w:t xml:space="preserve"> leave sb. low   starve sb. of  sth.</w:t>
      </w:r>
    </w:p>
    <w:p w:rsidR="003717A0" w:rsidRDefault="003717A0">
      <w:pPr>
        <w:spacing w:line="360" w:lineRule="auto"/>
        <w:rPr>
          <w:b/>
          <w:i/>
          <w:sz w:val="24"/>
        </w:rPr>
      </w:pPr>
      <w:r>
        <w:rPr>
          <w:b/>
          <w:i/>
          <w:sz w:val="24"/>
        </w:rPr>
        <w:t>Grammatical Structure</w:t>
      </w:r>
    </w:p>
    <w:p w:rsidR="003717A0" w:rsidRDefault="003717A0">
      <w:pPr>
        <w:spacing w:line="360" w:lineRule="auto"/>
        <w:rPr>
          <w:szCs w:val="21"/>
        </w:rPr>
      </w:pPr>
      <w:r>
        <w:t>1. While she is doing her homework,</w:t>
      </w:r>
      <w:r>
        <w:rPr>
          <w:u w:val="single"/>
        </w:rPr>
        <w:t xml:space="preserve"> her feet on the bench in front of her</w:t>
      </w:r>
      <w:r>
        <w:t xml:space="preserve"> and </w:t>
      </w:r>
      <w:r>
        <w:rPr>
          <w:u w:val="single"/>
        </w:rPr>
        <w:t xml:space="preserve">her calculator clicking out answers </w:t>
      </w:r>
      <w:r>
        <w:t>... (</w:t>
      </w:r>
      <w:r>
        <w:rPr>
          <w:szCs w:val="21"/>
        </w:rPr>
        <w:t>Absolute Construction)</w:t>
      </w:r>
    </w:p>
    <w:p w:rsidR="003717A0" w:rsidRDefault="003717A0">
      <w:pPr>
        <w:spacing w:line="360" w:lineRule="auto"/>
        <w:ind w:left="210" w:hangingChars="100" w:hanging="210"/>
        <w:rPr>
          <w:i/>
        </w:rPr>
      </w:pPr>
      <w:r>
        <w:rPr>
          <w:szCs w:val="21"/>
        </w:rPr>
        <w:t xml:space="preserve">2. </w:t>
      </w:r>
      <w:r>
        <w:t xml:space="preserve">They’re filtered, for </w:t>
      </w:r>
      <w:r>
        <w:rPr>
          <w:b/>
        </w:rPr>
        <w:t>which</w:t>
      </w:r>
      <w:r>
        <w:t xml:space="preserve"> I am grateful. (“which” is used to refer back to the idea expressed by the whole previous clause.</w:t>
      </w:r>
      <w:r>
        <w:rPr>
          <w:i/>
        </w:rPr>
        <w:t>)</w:t>
      </w:r>
    </w:p>
    <w:p w:rsidR="003717A0" w:rsidRDefault="003717A0">
      <w:pPr>
        <w:spacing w:line="360" w:lineRule="auto"/>
        <w:ind w:left="210" w:hangingChars="100" w:hanging="210"/>
      </w:pPr>
      <w:r>
        <w:rPr>
          <w:szCs w:val="21"/>
        </w:rPr>
        <w:t xml:space="preserve">3. </w:t>
      </w:r>
      <w:r>
        <w:t xml:space="preserve">… holding one of the instruments, </w:t>
      </w:r>
      <w:r>
        <w:rPr>
          <w:b/>
          <w:bCs/>
        </w:rPr>
        <w:t>so</w:t>
      </w:r>
      <w:r>
        <w:t xml:space="preserve"> white, </w:t>
      </w:r>
      <w:r>
        <w:rPr>
          <w:b/>
          <w:bCs/>
        </w:rPr>
        <w:t>so</w:t>
      </w:r>
      <w:r>
        <w:t xml:space="preserve"> precisely rolled, </w:t>
      </w:r>
      <w:r>
        <w:rPr>
          <w:b/>
          <w:bCs/>
        </w:rPr>
        <w:t>that</w:t>
      </w:r>
      <w:r>
        <w:t xml:space="preserve"> could cause my daughter’s death. (so…that…)</w:t>
      </w:r>
    </w:p>
    <w:p w:rsidR="003717A0" w:rsidRDefault="003717A0">
      <w:pPr>
        <w:spacing w:line="360" w:lineRule="auto"/>
        <w:ind w:left="211" w:hangingChars="100" w:hanging="211"/>
        <w:rPr>
          <w:szCs w:val="21"/>
        </w:rPr>
      </w:pPr>
      <w:r>
        <w:rPr>
          <w:b/>
          <w:i/>
          <w:szCs w:val="21"/>
        </w:rPr>
        <w:t xml:space="preserve">Key phrases and expressions in Text B: </w:t>
      </w:r>
      <w:r>
        <w:rPr>
          <w:szCs w:val="21"/>
        </w:rPr>
        <w:t xml:space="preserve">make a point   take …for granted   hold down </w:t>
      </w:r>
    </w:p>
    <w:p w:rsidR="003717A0" w:rsidRDefault="003717A0">
      <w:pPr>
        <w:spacing w:line="360" w:lineRule="auto"/>
        <w:ind w:left="210" w:hangingChars="100" w:hanging="210"/>
        <w:rPr>
          <w:szCs w:val="21"/>
        </w:rPr>
      </w:pPr>
      <w:r>
        <w:rPr>
          <w:szCs w:val="21"/>
        </w:rPr>
        <w:t xml:space="preserve"> to some degree  on demand  pack with  stand up to   go through   compensate sb. for sth.</w:t>
      </w:r>
    </w:p>
    <w:p w:rsidR="003717A0" w:rsidRDefault="003717A0">
      <w:pPr>
        <w:spacing w:line="360" w:lineRule="auto"/>
        <w:ind w:left="210" w:hangingChars="100" w:hanging="210"/>
        <w:rPr>
          <w:szCs w:val="21"/>
        </w:rPr>
      </w:pPr>
      <w:r>
        <w:rPr>
          <w:szCs w:val="21"/>
        </w:rPr>
        <w:t>fluctuate between A and B  be greedy for  . submit (to sb. /sth. )  be insensitive to</w:t>
      </w:r>
    </w:p>
    <w:p w:rsidR="003717A0" w:rsidRDefault="003717A0">
      <w:pPr>
        <w:rPr>
          <w:b/>
          <w:i/>
          <w:sz w:val="24"/>
        </w:rPr>
      </w:pPr>
      <w:r>
        <w:rPr>
          <w:b/>
          <w:i/>
          <w:sz w:val="24"/>
        </w:rPr>
        <w:t>Topic for writing:</w:t>
      </w:r>
    </w:p>
    <w:p w:rsidR="003717A0" w:rsidRDefault="003717A0">
      <w:pPr>
        <w:spacing w:line="360" w:lineRule="auto"/>
        <w:ind w:left="210" w:hangingChars="100" w:hanging="210"/>
      </w:pPr>
      <w:r>
        <w:t>Banning smoking in public places</w:t>
      </w:r>
    </w:p>
    <w:p w:rsidR="003717A0" w:rsidRDefault="003717A0">
      <w:pPr>
        <w:rPr>
          <w:b/>
          <w:i/>
          <w:szCs w:val="21"/>
        </w:rPr>
      </w:pPr>
      <w:r>
        <w:rPr>
          <w:b/>
          <w:i/>
          <w:szCs w:val="21"/>
        </w:rPr>
        <w:t>Additional work:</w:t>
      </w:r>
    </w:p>
    <w:p w:rsidR="003717A0" w:rsidRDefault="003717A0">
      <w:pPr>
        <w:rPr>
          <w:szCs w:val="21"/>
        </w:rPr>
      </w:pPr>
      <w:r>
        <w:rPr>
          <w:szCs w:val="21"/>
        </w:rPr>
        <w:t>1.  Recite the 1</w:t>
      </w:r>
      <w:r>
        <w:rPr>
          <w:szCs w:val="21"/>
          <w:vertAlign w:val="superscript"/>
        </w:rPr>
        <w:t>st</w:t>
      </w:r>
      <w:r>
        <w:rPr>
          <w:szCs w:val="21"/>
        </w:rPr>
        <w:t>, 6</w:t>
      </w:r>
      <w:r>
        <w:rPr>
          <w:szCs w:val="21"/>
          <w:vertAlign w:val="superscript"/>
        </w:rPr>
        <w:t xml:space="preserve"> th</w:t>
      </w:r>
      <w:r>
        <w:rPr>
          <w:szCs w:val="21"/>
        </w:rPr>
        <w:t xml:space="preserve"> and 8</w:t>
      </w:r>
      <w:r>
        <w:rPr>
          <w:szCs w:val="21"/>
          <w:vertAlign w:val="superscript"/>
        </w:rPr>
        <w:t>th</w:t>
      </w:r>
      <w:r>
        <w:rPr>
          <w:szCs w:val="21"/>
        </w:rPr>
        <w:t xml:space="preserve"> paragraph in Text A.</w:t>
      </w:r>
    </w:p>
    <w:p w:rsidR="003717A0" w:rsidRDefault="003717A0">
      <w:pPr>
        <w:numPr>
          <w:ilvl w:val="0"/>
          <w:numId w:val="55"/>
        </w:numPr>
        <w:rPr>
          <w:szCs w:val="21"/>
        </w:rPr>
      </w:pPr>
      <w:r>
        <w:rPr>
          <w:szCs w:val="21"/>
        </w:rPr>
        <w:t>Summarize different approaches to giving up smoking.</w:t>
      </w:r>
    </w:p>
    <w:p w:rsidR="003717A0" w:rsidRDefault="003717A0">
      <w:pPr>
        <w:numPr>
          <w:ilvl w:val="0"/>
          <w:numId w:val="55"/>
        </w:numPr>
        <w:rPr>
          <w:szCs w:val="21"/>
        </w:rPr>
      </w:pPr>
      <w:r>
        <w:rPr>
          <w:szCs w:val="21"/>
        </w:rPr>
        <w:t xml:space="preserve">Summarize ways of using figurative language. </w:t>
      </w:r>
    </w:p>
    <w:p w:rsidR="003717A0" w:rsidRDefault="003717A0">
      <w:pPr>
        <w:spacing w:line="360" w:lineRule="auto"/>
        <w:ind w:left="210" w:hangingChars="100" w:hanging="210"/>
        <w:rPr>
          <w:szCs w:val="21"/>
        </w:rPr>
      </w:pPr>
    </w:p>
    <w:p w:rsidR="003717A0" w:rsidRDefault="003717A0">
      <w:pPr>
        <w:spacing w:line="360" w:lineRule="auto"/>
        <w:ind w:left="210" w:hangingChars="100" w:hanging="210"/>
        <w:rPr>
          <w:szCs w:val="21"/>
        </w:rPr>
      </w:pPr>
    </w:p>
    <w:p w:rsidR="003717A0" w:rsidRDefault="003717A0">
      <w:pPr>
        <w:spacing w:line="360" w:lineRule="auto"/>
        <w:ind w:left="241" w:hangingChars="100" w:hanging="241"/>
        <w:rPr>
          <w:b/>
          <w:sz w:val="24"/>
          <w:szCs w:val="24"/>
        </w:rPr>
      </w:pPr>
      <w:r>
        <w:rPr>
          <w:b/>
          <w:sz w:val="24"/>
          <w:szCs w:val="24"/>
        </w:rPr>
        <w:t>Unit 6 As His Name Is, So Is He!</w:t>
      </w:r>
    </w:p>
    <w:p w:rsidR="003717A0" w:rsidRDefault="003717A0">
      <w:pPr>
        <w:rPr>
          <w:b/>
          <w:i/>
          <w:sz w:val="24"/>
        </w:rPr>
      </w:pPr>
      <w:r>
        <w:rPr>
          <w:b/>
          <w:i/>
          <w:sz w:val="24"/>
        </w:rPr>
        <w:t>Teaching objectives:</w:t>
      </w:r>
    </w:p>
    <w:p w:rsidR="003717A0" w:rsidRDefault="003717A0">
      <w:r>
        <w:t xml:space="preserve">1.  Get some useful information about </w:t>
      </w:r>
      <w:r>
        <w:rPr>
          <w:u w:val="single"/>
        </w:rPr>
        <w:t>personal names</w:t>
      </w:r>
      <w:r>
        <w:t xml:space="preserve"> in English speaking countries.</w:t>
      </w:r>
    </w:p>
    <w:p w:rsidR="003717A0" w:rsidRDefault="003717A0">
      <w:pPr>
        <w:numPr>
          <w:ilvl w:val="0"/>
          <w:numId w:val="53"/>
        </w:numPr>
      </w:pPr>
      <w:r>
        <w:t xml:space="preserve">Consider why people tend to </w:t>
      </w:r>
      <w:r>
        <w:rPr>
          <w:u w:val="single"/>
        </w:rPr>
        <w:t>judge by appearances</w:t>
      </w:r>
      <w:r>
        <w:t>.</w:t>
      </w:r>
    </w:p>
    <w:p w:rsidR="003717A0" w:rsidRDefault="003717A0">
      <w:pPr>
        <w:numPr>
          <w:ilvl w:val="0"/>
          <w:numId w:val="53"/>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r>
        <w:t>1.1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lastRenderedPageBreak/>
        <w:t xml:space="preserve">words and structures </w:t>
      </w:r>
    </w:p>
    <w:p w:rsidR="003717A0" w:rsidRDefault="003717A0">
      <w:pPr>
        <w:numPr>
          <w:ilvl w:val="0"/>
          <w:numId w:val="47"/>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47"/>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pPr>
        <w:rPr>
          <w:szCs w:val="21"/>
        </w:rPr>
      </w:pPr>
      <w:r>
        <w:rPr>
          <w:szCs w:val="21"/>
        </w:rPr>
        <w:t>1.  How did Debbie feel about her first name and why? What did the writer think of Debbie’s name change?</w:t>
      </w:r>
    </w:p>
    <w:p w:rsidR="003717A0" w:rsidRDefault="003717A0">
      <w:pPr>
        <w:numPr>
          <w:ilvl w:val="0"/>
          <w:numId w:val="62"/>
        </w:numPr>
        <w:rPr>
          <w:szCs w:val="21"/>
        </w:rPr>
      </w:pPr>
      <w:r>
        <w:rPr>
          <w:szCs w:val="21"/>
        </w:rPr>
        <w:t xml:space="preserve"> Do you think people’s names are related to their success? Why or why not?</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303" w:hangingChars="541" w:hanging="1303"/>
        <w:rPr>
          <w:szCs w:val="21"/>
        </w:rPr>
      </w:pPr>
      <w:r>
        <w:rPr>
          <w:b/>
          <w:i/>
          <w:sz w:val="24"/>
        </w:rPr>
        <w:t xml:space="preserve">Key words: </w:t>
      </w:r>
      <w:r>
        <w:rPr>
          <w:szCs w:val="21"/>
        </w:rPr>
        <w:t>substitute  reserve  latter  qualify  critic  refine   extent   physicist   objective  appealing   despair</w:t>
      </w:r>
    </w:p>
    <w:p w:rsidR="003717A0" w:rsidRDefault="003717A0">
      <w:pPr>
        <w:spacing w:line="360" w:lineRule="auto"/>
        <w:ind w:left="1303" w:hangingChars="541" w:hanging="1303"/>
        <w:rPr>
          <w:szCs w:val="21"/>
        </w:rPr>
      </w:pPr>
      <w:r>
        <w:rPr>
          <w:b/>
          <w:i/>
          <w:sz w:val="24"/>
        </w:rPr>
        <w:t xml:space="preserve">Key phrases and expressions: </w:t>
      </w:r>
      <w:r>
        <w:rPr>
          <w:szCs w:val="21"/>
        </w:rPr>
        <w:t xml:space="preserve">be known as   feel like  fill out   take…seriously  if only     for better or worse  attach to   turn down  a blind date  come up to  </w:t>
      </w:r>
    </w:p>
    <w:p w:rsidR="003717A0" w:rsidRDefault="003717A0">
      <w:pPr>
        <w:spacing w:line="360" w:lineRule="auto"/>
        <w:ind w:leftChars="616" w:left="1294" w:firstLineChars="98" w:firstLine="206"/>
        <w:rPr>
          <w:szCs w:val="21"/>
        </w:rPr>
      </w:pPr>
      <w:r>
        <w:rPr>
          <w:szCs w:val="21"/>
        </w:rPr>
        <w:t xml:space="preserve">press for   ill at ease  be guilty of  . project…on  take charge of  </w:t>
      </w:r>
    </w:p>
    <w:p w:rsidR="003717A0" w:rsidRDefault="003717A0">
      <w:pPr>
        <w:spacing w:line="360" w:lineRule="auto"/>
        <w:ind w:leftChars="616" w:left="1294" w:firstLineChars="98" w:firstLine="206"/>
        <w:rPr>
          <w:szCs w:val="21"/>
        </w:rPr>
      </w:pPr>
      <w:r>
        <w:rPr>
          <w:szCs w:val="21"/>
        </w:rPr>
        <w:t>be stuck with</w:t>
      </w:r>
    </w:p>
    <w:p w:rsidR="003717A0" w:rsidRDefault="003717A0">
      <w:pPr>
        <w:spacing w:line="360" w:lineRule="auto"/>
        <w:rPr>
          <w:b/>
          <w:i/>
          <w:sz w:val="24"/>
        </w:rPr>
      </w:pPr>
      <w:r>
        <w:rPr>
          <w:b/>
          <w:i/>
          <w:sz w:val="24"/>
        </w:rPr>
        <w:t>Grammatical Structure</w:t>
      </w:r>
    </w:p>
    <w:p w:rsidR="003717A0" w:rsidRDefault="003717A0">
      <w:pPr>
        <w:ind w:left="315" w:hangingChars="150" w:hanging="315"/>
        <w:rPr>
          <w:szCs w:val="21"/>
        </w:rPr>
      </w:pPr>
      <w:r>
        <w:rPr>
          <w:szCs w:val="21"/>
        </w:rPr>
        <w:t xml:space="preserve">1. </w:t>
      </w:r>
      <w:r>
        <w:rPr>
          <w:szCs w:val="21"/>
          <w:u w:val="single"/>
        </w:rPr>
        <w:t>As</w:t>
      </w:r>
      <w:r>
        <w:rPr>
          <w:szCs w:val="21"/>
        </w:rPr>
        <w:t xml:space="preserve"> his name is, </w:t>
      </w:r>
      <w:r>
        <w:rPr>
          <w:szCs w:val="21"/>
          <w:u w:val="single"/>
        </w:rPr>
        <w:t>so</w:t>
      </w:r>
      <w:r>
        <w:rPr>
          <w:szCs w:val="21"/>
        </w:rPr>
        <w:t xml:space="preserve"> is he. (The “as…so…” structure here is used to express parallelism or proportionality.)</w:t>
      </w:r>
    </w:p>
    <w:p w:rsidR="003717A0" w:rsidRDefault="003717A0">
      <w:pPr>
        <w:ind w:left="210" w:hangingChars="100" w:hanging="210"/>
        <w:rPr>
          <w:szCs w:val="21"/>
        </w:rPr>
      </w:pPr>
      <w:r>
        <w:rPr>
          <w:szCs w:val="21"/>
        </w:rPr>
        <w:t xml:space="preserve">2. One day, </w:t>
      </w:r>
      <w:r>
        <w:rPr>
          <w:szCs w:val="21"/>
          <w:u w:val="single"/>
        </w:rPr>
        <w:t>while filling out</w:t>
      </w:r>
      <w:r>
        <w:rPr>
          <w:szCs w:val="21"/>
        </w:rPr>
        <w:t xml:space="preserve"> an application form for a publishing job, the young woman impulsively substituted her middle name, Lynne, for her first name Debbie. (“-ing” particle clause with a conjunction)</w:t>
      </w:r>
    </w:p>
    <w:p w:rsidR="003717A0" w:rsidRDefault="003717A0">
      <w:pPr>
        <w:ind w:left="210" w:hangingChars="100" w:hanging="210"/>
        <w:rPr>
          <w:szCs w:val="21"/>
        </w:rPr>
      </w:pPr>
      <w:r>
        <w:rPr>
          <w:szCs w:val="21"/>
        </w:rPr>
        <w:t xml:space="preserve">3. One woman </w:t>
      </w:r>
      <w:r>
        <w:rPr>
          <w:szCs w:val="21"/>
          <w:u w:val="single"/>
        </w:rPr>
        <w:t>I know</w:t>
      </w:r>
      <w:r>
        <w:rPr>
          <w:szCs w:val="21"/>
        </w:rPr>
        <w:t xml:space="preserve"> turned down a blind date with a man named Harry because “he sounded dull”. (Restrictive Attributive Clause)</w:t>
      </w:r>
    </w:p>
    <w:p w:rsidR="003717A0" w:rsidRDefault="003717A0">
      <w:pPr>
        <w:spacing w:line="360" w:lineRule="auto"/>
        <w:rPr>
          <w:szCs w:val="21"/>
        </w:rPr>
      </w:pPr>
      <w:r>
        <w:rPr>
          <w:szCs w:val="21"/>
        </w:rPr>
        <w:t xml:space="preserve">  The latter name particularly bothers me since my name is Joe, </w:t>
      </w:r>
      <w:r>
        <w:rPr>
          <w:szCs w:val="21"/>
          <w:u w:val="single"/>
        </w:rPr>
        <w:t>which some think makes me more qualified to be a baseball player than, say, an art critic</w:t>
      </w:r>
      <w:r>
        <w:rPr>
          <w:szCs w:val="21"/>
        </w:rPr>
        <w:t>. ( Non- Restrictive Attributive Clause)</w:t>
      </w:r>
    </w:p>
    <w:p w:rsidR="003717A0" w:rsidRDefault="003717A0">
      <w:pPr>
        <w:spacing w:line="360" w:lineRule="auto"/>
        <w:rPr>
          <w:szCs w:val="21"/>
        </w:rPr>
      </w:pPr>
      <w:r>
        <w:rPr>
          <w:b/>
          <w:i/>
          <w:szCs w:val="21"/>
        </w:rPr>
        <w:t>Key phrases and expressions in Text B:</w:t>
      </w:r>
      <w:r>
        <w:rPr>
          <w:szCs w:val="21"/>
        </w:rPr>
        <w:t xml:space="preserve"> go to great lengths  take sides  conceal sth. from sb     act out  tune out  turn off   access to     blend with  out of character  out of bounds</w:t>
      </w:r>
    </w:p>
    <w:p w:rsidR="003717A0" w:rsidRDefault="003717A0">
      <w:pPr>
        <w:spacing w:line="360" w:lineRule="auto"/>
        <w:rPr>
          <w:szCs w:val="21"/>
        </w:rPr>
      </w:pPr>
    </w:p>
    <w:p w:rsidR="003717A0" w:rsidRDefault="003717A0">
      <w:pPr>
        <w:rPr>
          <w:b/>
          <w:i/>
          <w:sz w:val="24"/>
        </w:rPr>
      </w:pPr>
      <w:r>
        <w:rPr>
          <w:b/>
          <w:i/>
          <w:sz w:val="24"/>
        </w:rPr>
        <w:t>Topic for writing:</w:t>
      </w:r>
    </w:p>
    <w:p w:rsidR="003717A0" w:rsidRDefault="003717A0">
      <w:pPr>
        <w:spacing w:line="360" w:lineRule="auto"/>
      </w:pPr>
      <w:r>
        <w:t>Knowledge and Diploma</w:t>
      </w:r>
    </w:p>
    <w:p w:rsidR="003717A0" w:rsidRDefault="003717A0">
      <w:pPr>
        <w:rPr>
          <w:b/>
          <w:i/>
          <w:szCs w:val="21"/>
        </w:rPr>
      </w:pPr>
      <w:r>
        <w:rPr>
          <w:b/>
          <w:i/>
          <w:szCs w:val="21"/>
        </w:rPr>
        <w:t>Additional work:</w:t>
      </w:r>
    </w:p>
    <w:p w:rsidR="003717A0" w:rsidRDefault="003717A0">
      <w:pPr>
        <w:rPr>
          <w:szCs w:val="21"/>
        </w:rPr>
      </w:pPr>
      <w:r>
        <w:rPr>
          <w:szCs w:val="21"/>
        </w:rPr>
        <w:t>1 .Recite the 1</w:t>
      </w:r>
      <w:r>
        <w:rPr>
          <w:szCs w:val="21"/>
          <w:vertAlign w:val="superscript"/>
        </w:rPr>
        <w:t>st</w:t>
      </w:r>
      <w:r>
        <w:rPr>
          <w:szCs w:val="21"/>
        </w:rPr>
        <w:t>, 3</w:t>
      </w:r>
      <w:r>
        <w:rPr>
          <w:szCs w:val="21"/>
          <w:vertAlign w:val="superscript"/>
        </w:rPr>
        <w:t>rd</w:t>
      </w:r>
      <w:r>
        <w:rPr>
          <w:szCs w:val="21"/>
        </w:rPr>
        <w:t xml:space="preserve"> and 8</w:t>
      </w:r>
      <w:r>
        <w:rPr>
          <w:szCs w:val="21"/>
          <w:vertAlign w:val="superscript"/>
        </w:rPr>
        <w:t>th</w:t>
      </w:r>
      <w:r>
        <w:rPr>
          <w:szCs w:val="21"/>
        </w:rPr>
        <w:t xml:space="preserve"> paragraph in Text A.</w:t>
      </w:r>
    </w:p>
    <w:p w:rsidR="003717A0" w:rsidRDefault="003717A0">
      <w:pPr>
        <w:widowControl/>
        <w:jc w:val="left"/>
        <w:rPr>
          <w:szCs w:val="21"/>
        </w:rPr>
      </w:pPr>
      <w:r>
        <w:rPr>
          <w:szCs w:val="21"/>
        </w:rPr>
        <w:t>2. Summarize the passage in section A using the tips below:</w:t>
      </w:r>
    </w:p>
    <w:p w:rsidR="003717A0" w:rsidRDefault="003717A0">
      <w:pPr>
        <w:widowControl/>
        <w:ind w:firstLineChars="150" w:firstLine="315"/>
        <w:jc w:val="left"/>
        <w:rPr>
          <w:szCs w:val="21"/>
        </w:rPr>
      </w:pPr>
      <w:r>
        <w:rPr>
          <w:szCs w:val="21"/>
        </w:rPr>
        <w:t>make a difference     lead to success    suggest qualities    specific images</w:t>
      </w:r>
    </w:p>
    <w:p w:rsidR="003717A0" w:rsidRDefault="003717A0">
      <w:pPr>
        <w:ind w:leftChars="150" w:left="315"/>
        <w:rPr>
          <w:szCs w:val="21"/>
        </w:rPr>
      </w:pPr>
      <w:r>
        <w:rPr>
          <w:szCs w:val="21"/>
        </w:rPr>
        <w:t xml:space="preserve">a positive sense   name stereotyping   prejudices against   affect one’s evaluation </w:t>
      </w:r>
    </w:p>
    <w:p w:rsidR="003717A0" w:rsidRDefault="003717A0">
      <w:pPr>
        <w:rPr>
          <w:szCs w:val="21"/>
        </w:rPr>
      </w:pPr>
      <w:r>
        <w:rPr>
          <w:szCs w:val="21"/>
        </w:rPr>
        <w:t>3. Summarize the disadvantages of judging by appearances.</w:t>
      </w:r>
    </w:p>
    <w:p w:rsidR="003717A0" w:rsidRDefault="003717A0">
      <w:pPr>
        <w:spacing w:line="360" w:lineRule="auto"/>
        <w:rPr>
          <w:szCs w:val="21"/>
        </w:rPr>
      </w:pPr>
    </w:p>
    <w:p w:rsidR="003717A0" w:rsidRDefault="003717A0">
      <w:pPr>
        <w:spacing w:line="360" w:lineRule="auto"/>
        <w:rPr>
          <w:b/>
          <w:sz w:val="24"/>
          <w:szCs w:val="24"/>
        </w:rPr>
      </w:pPr>
      <w:r>
        <w:rPr>
          <w:b/>
          <w:sz w:val="24"/>
          <w:szCs w:val="24"/>
        </w:rPr>
        <w:lastRenderedPageBreak/>
        <w:t>Unit 7 Lighten Your Load and Save Your Life</w:t>
      </w:r>
    </w:p>
    <w:p w:rsidR="003717A0" w:rsidRDefault="003717A0">
      <w:pPr>
        <w:rPr>
          <w:b/>
          <w:i/>
          <w:sz w:val="24"/>
        </w:rPr>
      </w:pPr>
      <w:r>
        <w:rPr>
          <w:b/>
          <w:i/>
          <w:sz w:val="24"/>
        </w:rPr>
        <w:t>Teaching objectives:</w:t>
      </w:r>
    </w:p>
    <w:p w:rsidR="003717A0" w:rsidRDefault="003717A0">
      <w:r>
        <w:t>1.  Learn the harms of stress and how to lighten one’s load and improve one’s life..</w:t>
      </w:r>
    </w:p>
    <w:p w:rsidR="003717A0" w:rsidRDefault="003717A0">
      <w:r>
        <w:t>2.  Learn how to achieve a balance between life and work .</w:t>
      </w:r>
    </w:p>
    <w:p w:rsidR="003717A0" w:rsidRDefault="003717A0">
      <w:pPr>
        <w:numPr>
          <w:ilvl w:val="0"/>
          <w:numId w:val="62"/>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r>
        <w:t>1. 1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r>
        <w:t>2. 3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r>
        <w:t>3. 5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pPr>
        <w:rPr>
          <w:szCs w:val="21"/>
        </w:rPr>
      </w:pPr>
      <w:r>
        <w:rPr>
          <w:szCs w:val="21"/>
        </w:rPr>
        <w:t>1.  Of work and life, which should be our priority, and why?</w:t>
      </w:r>
    </w:p>
    <w:p w:rsidR="003717A0" w:rsidRDefault="003717A0">
      <w:pPr>
        <w:rPr>
          <w:szCs w:val="21"/>
        </w:rPr>
      </w:pPr>
      <w:r>
        <w:rPr>
          <w:szCs w:val="21"/>
        </w:rPr>
        <w:t>2.  How do you understand the last sentence of the text: You can’t fight. You can’t flee. You have to learn how to flow.</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299" w:hangingChars="539" w:hanging="1299"/>
        <w:rPr>
          <w:szCs w:val="21"/>
        </w:rPr>
      </w:pPr>
      <w:r>
        <w:rPr>
          <w:b/>
          <w:i/>
          <w:sz w:val="24"/>
        </w:rPr>
        <w:t xml:space="preserve">Key words: </w:t>
      </w:r>
      <w:r>
        <w:rPr>
          <w:szCs w:val="21"/>
        </w:rPr>
        <w:t>overwhelm  tense  excess  pump   perceive   stir  outlet  physiological  recommend   stimulate  priority   independent</w:t>
      </w:r>
    </w:p>
    <w:p w:rsidR="003717A0" w:rsidRDefault="003717A0">
      <w:pPr>
        <w:spacing w:line="360" w:lineRule="auto"/>
        <w:ind w:left="1299" w:hangingChars="539" w:hanging="1299"/>
        <w:rPr>
          <w:szCs w:val="21"/>
        </w:rPr>
      </w:pPr>
      <w:r>
        <w:rPr>
          <w:b/>
          <w:i/>
          <w:sz w:val="24"/>
        </w:rPr>
        <w:t xml:space="preserve">Key phrases and expressions: </w:t>
      </w:r>
      <w:r>
        <w:rPr>
          <w:szCs w:val="21"/>
        </w:rPr>
        <w:t xml:space="preserve">among other things  blow one’s top  on one’s trail </w:t>
      </w:r>
    </w:p>
    <w:p w:rsidR="003717A0" w:rsidRDefault="003717A0">
      <w:pPr>
        <w:spacing w:line="360" w:lineRule="auto"/>
        <w:ind w:leftChars="114" w:left="1161" w:hangingChars="439" w:hanging="922"/>
        <w:rPr>
          <w:szCs w:val="21"/>
        </w:rPr>
      </w:pPr>
      <w:r>
        <w:rPr>
          <w:szCs w:val="21"/>
        </w:rPr>
        <w:t xml:space="preserve"> cut down   keep in mind  attribute to  on the exterior/interior  blow apart</w:t>
      </w:r>
    </w:p>
    <w:p w:rsidR="003717A0" w:rsidRDefault="003717A0">
      <w:pPr>
        <w:spacing w:line="360" w:lineRule="auto"/>
        <w:rPr>
          <w:b/>
          <w:i/>
          <w:sz w:val="24"/>
        </w:rPr>
      </w:pPr>
      <w:r>
        <w:rPr>
          <w:b/>
          <w:i/>
          <w:sz w:val="24"/>
        </w:rPr>
        <w:t>Grammatical Structure</w:t>
      </w:r>
    </w:p>
    <w:p w:rsidR="003717A0" w:rsidRDefault="003717A0">
      <w:pPr>
        <w:spacing w:line="360" w:lineRule="auto"/>
      </w:pPr>
      <w:r>
        <w:rPr>
          <w:szCs w:val="21"/>
        </w:rPr>
        <w:t xml:space="preserve">1. </w:t>
      </w:r>
      <w:r>
        <w:rPr>
          <w:u w:val="single"/>
        </w:rPr>
        <w:t>On the exterior</w:t>
      </w:r>
      <w:r>
        <w:t>, he was cool, calm and collected</w:t>
      </w:r>
      <w:r>
        <w:rPr>
          <w:u w:val="single"/>
        </w:rPr>
        <w:t xml:space="preserve"> but on the interior</w:t>
      </w:r>
      <w:r>
        <w:t>, stress was killing him.</w:t>
      </w:r>
    </w:p>
    <w:p w:rsidR="003717A0" w:rsidRDefault="003717A0">
      <w:pPr>
        <w:spacing w:line="360" w:lineRule="auto"/>
      </w:pPr>
      <w:r>
        <w:rPr>
          <w:szCs w:val="21"/>
        </w:rPr>
        <w:t xml:space="preserve">  (</w:t>
      </w:r>
      <w:r>
        <w:t xml:space="preserve">On the exterior, </w:t>
      </w:r>
      <w:r>
        <w:rPr>
          <w:rFonts w:hint="eastAsia"/>
        </w:rPr>
        <w:t>…</w:t>
      </w:r>
      <w:r>
        <w:t xml:space="preserve">., but on the interior, </w:t>
      </w:r>
      <w:r>
        <w:rPr>
          <w:rFonts w:hint="eastAsia"/>
        </w:rPr>
        <w:t>…</w:t>
      </w:r>
      <w:r>
        <w:t>)</w:t>
      </w:r>
    </w:p>
    <w:p w:rsidR="003717A0" w:rsidRDefault="003717A0">
      <w:pPr>
        <w:spacing w:line="360" w:lineRule="auto"/>
      </w:pPr>
      <w:r>
        <w:t>2. And they give the same emphasis to a traffic jam that they give a family argument.</w:t>
      </w:r>
    </w:p>
    <w:p w:rsidR="003717A0" w:rsidRDefault="003717A0">
      <w:pPr>
        <w:spacing w:line="360" w:lineRule="auto"/>
      </w:pPr>
      <w:r>
        <w:rPr>
          <w:szCs w:val="21"/>
        </w:rPr>
        <w:t xml:space="preserve"> (</w:t>
      </w:r>
      <w:r>
        <w:t>sb. gives the same emphasis to sth. that he / she gives sth.)</w:t>
      </w:r>
    </w:p>
    <w:p w:rsidR="003717A0" w:rsidRDefault="003717A0">
      <w:pPr>
        <w:numPr>
          <w:ilvl w:val="0"/>
          <w:numId w:val="62"/>
        </w:numPr>
        <w:spacing w:line="360" w:lineRule="auto"/>
      </w:pPr>
      <w:r>
        <w:t>From Eliot</w:t>
      </w:r>
      <w:r>
        <w:rPr>
          <w:rFonts w:hint="eastAsia"/>
        </w:rPr>
        <w:t>’</w:t>
      </w:r>
      <w:r>
        <w:t xml:space="preserve">s viewpoint, the other key to controlling stress is to </w:t>
      </w:r>
      <w:r>
        <w:rPr>
          <w:rFonts w:hint="eastAsia"/>
        </w:rPr>
        <w:t>“</w:t>
      </w:r>
      <w:r>
        <w:t xml:space="preserve">realize that there are other troublesome parts of your life over which you can have little or no control </w:t>
      </w:r>
      <w:r>
        <w:rPr>
          <w:rFonts w:hint="eastAsia"/>
        </w:rPr>
        <w:t>―</w:t>
      </w:r>
      <w:r>
        <w:t xml:space="preserve"> like the economy and politicians.</w:t>
      </w:r>
      <w:r>
        <w:rPr>
          <w:rFonts w:hint="eastAsia"/>
        </w:rPr>
        <w:t>”</w:t>
      </w:r>
      <w:r>
        <w:t>(From sb.</w:t>
      </w:r>
      <w:r>
        <w:rPr>
          <w:rFonts w:hint="eastAsia"/>
        </w:rPr>
        <w:t>’</w:t>
      </w:r>
      <w:r>
        <w:t>s viewpoint / point of view, the (other) key to doing sth. is to realize / admit / beware that)</w:t>
      </w:r>
    </w:p>
    <w:p w:rsidR="003717A0" w:rsidRDefault="003717A0">
      <w:pPr>
        <w:spacing w:line="360" w:lineRule="auto"/>
        <w:rPr>
          <w:szCs w:val="21"/>
        </w:rPr>
      </w:pPr>
      <w:r>
        <w:rPr>
          <w:b/>
          <w:i/>
          <w:szCs w:val="21"/>
        </w:rPr>
        <w:t xml:space="preserve">Key phrases and expressions in Text B: </w:t>
      </w:r>
      <w:r>
        <w:rPr>
          <w:szCs w:val="21"/>
        </w:rPr>
        <w:t xml:space="preserve">a distinction between A and B </w:t>
      </w:r>
      <w:r>
        <w:rPr>
          <w:b/>
          <w:i/>
          <w:szCs w:val="21"/>
        </w:rPr>
        <w:t xml:space="preserve"> </w:t>
      </w:r>
      <w:r>
        <w:rPr>
          <w:szCs w:val="21"/>
        </w:rPr>
        <w:t xml:space="preserve">other than   </w:t>
      </w:r>
      <w:r>
        <w:rPr>
          <w:bCs/>
          <w:szCs w:val="21"/>
        </w:rPr>
        <w:t>fear for</w:t>
      </w:r>
    </w:p>
    <w:p w:rsidR="003717A0" w:rsidRDefault="003717A0">
      <w:pPr>
        <w:spacing w:line="360" w:lineRule="auto"/>
        <w:ind w:firstLineChars="100" w:firstLine="210"/>
        <w:rPr>
          <w:szCs w:val="21"/>
        </w:rPr>
      </w:pPr>
      <w:r>
        <w:rPr>
          <w:szCs w:val="21"/>
        </w:rPr>
        <w:t xml:space="preserve">to the contrary  </w:t>
      </w:r>
      <w:r>
        <w:t xml:space="preserve">reward sb. with sth.  </w:t>
      </w:r>
      <w:r>
        <w:rPr>
          <w:szCs w:val="21"/>
        </w:rPr>
        <w:t xml:space="preserve">to burn the midnight oil   equate A with B  </w:t>
      </w:r>
    </w:p>
    <w:p w:rsidR="003717A0" w:rsidRDefault="003717A0">
      <w:pPr>
        <w:spacing w:line="360" w:lineRule="auto"/>
        <w:ind w:firstLineChars="100" w:firstLine="210"/>
        <w:rPr>
          <w:szCs w:val="21"/>
        </w:rPr>
      </w:pPr>
      <w:r>
        <w:rPr>
          <w:szCs w:val="21"/>
        </w:rPr>
        <w:t xml:space="preserve">be indispensable to  come in  put all one’s eggs in one basket </w:t>
      </w:r>
    </w:p>
    <w:p w:rsidR="003717A0" w:rsidRDefault="003717A0">
      <w:pPr>
        <w:rPr>
          <w:b/>
          <w:i/>
          <w:szCs w:val="21"/>
        </w:rPr>
      </w:pPr>
      <w:r>
        <w:rPr>
          <w:b/>
          <w:i/>
          <w:szCs w:val="21"/>
        </w:rPr>
        <w:t>Topic for writing:</w:t>
      </w:r>
    </w:p>
    <w:p w:rsidR="003717A0" w:rsidRDefault="003717A0">
      <w:pPr>
        <w:spacing w:line="360" w:lineRule="auto"/>
        <w:ind w:firstLineChars="100" w:firstLine="210"/>
      </w:pPr>
      <w:r>
        <w:lastRenderedPageBreak/>
        <w:t>On Stress</w:t>
      </w:r>
    </w:p>
    <w:p w:rsidR="003717A0" w:rsidRDefault="003717A0">
      <w:pPr>
        <w:rPr>
          <w:b/>
          <w:i/>
          <w:szCs w:val="21"/>
        </w:rPr>
      </w:pPr>
      <w:r>
        <w:rPr>
          <w:b/>
          <w:i/>
          <w:szCs w:val="21"/>
        </w:rPr>
        <w:t>Additional work:</w:t>
      </w:r>
    </w:p>
    <w:p w:rsidR="003717A0" w:rsidRDefault="003717A0">
      <w:pPr>
        <w:numPr>
          <w:ilvl w:val="1"/>
          <w:numId w:val="60"/>
        </w:numPr>
        <w:rPr>
          <w:szCs w:val="21"/>
        </w:rPr>
      </w:pPr>
      <w:r>
        <w:rPr>
          <w:szCs w:val="21"/>
        </w:rPr>
        <w:t>Recite the 5</w:t>
      </w:r>
      <w:r>
        <w:rPr>
          <w:szCs w:val="21"/>
          <w:vertAlign w:val="superscript"/>
        </w:rPr>
        <w:t>th</w:t>
      </w:r>
      <w:r>
        <w:rPr>
          <w:szCs w:val="21"/>
        </w:rPr>
        <w:t xml:space="preserve"> paragraph in Text A.</w:t>
      </w:r>
    </w:p>
    <w:p w:rsidR="003717A0" w:rsidRDefault="003717A0">
      <w:pPr>
        <w:spacing w:line="360" w:lineRule="auto"/>
        <w:rPr>
          <w:szCs w:val="21"/>
        </w:rPr>
      </w:pPr>
      <w:r>
        <w:rPr>
          <w:szCs w:val="21"/>
        </w:rPr>
        <w:t xml:space="preserve">           2..  Summarize Text A.</w:t>
      </w:r>
    </w:p>
    <w:p w:rsidR="003717A0" w:rsidRDefault="003717A0">
      <w:pPr>
        <w:spacing w:line="360" w:lineRule="auto"/>
        <w:rPr>
          <w:szCs w:val="21"/>
        </w:rPr>
      </w:pPr>
      <w:r>
        <w:rPr>
          <w:szCs w:val="21"/>
        </w:rPr>
        <w:t xml:space="preserve">           3.  Summarize the ways to ease the stress.</w:t>
      </w:r>
    </w:p>
    <w:p w:rsidR="003717A0" w:rsidRDefault="003717A0">
      <w:pPr>
        <w:spacing w:line="360" w:lineRule="auto"/>
        <w:rPr>
          <w:szCs w:val="21"/>
        </w:rPr>
      </w:pPr>
    </w:p>
    <w:p w:rsidR="003717A0" w:rsidRDefault="003717A0">
      <w:pPr>
        <w:spacing w:line="360" w:lineRule="auto"/>
        <w:rPr>
          <w:b/>
          <w:sz w:val="24"/>
          <w:szCs w:val="24"/>
        </w:rPr>
      </w:pPr>
      <w:r>
        <w:rPr>
          <w:b/>
          <w:sz w:val="24"/>
          <w:szCs w:val="24"/>
        </w:rPr>
        <w:t>Unit 8 There’s a Lot to Life than a Job</w:t>
      </w:r>
    </w:p>
    <w:p w:rsidR="003717A0" w:rsidRDefault="003717A0">
      <w:pPr>
        <w:rPr>
          <w:b/>
          <w:i/>
          <w:sz w:val="24"/>
        </w:rPr>
      </w:pPr>
      <w:r>
        <w:rPr>
          <w:b/>
          <w:i/>
          <w:sz w:val="24"/>
        </w:rPr>
        <w:t>Teaching objectives:</w:t>
      </w:r>
    </w:p>
    <w:p w:rsidR="003717A0" w:rsidRDefault="003717A0">
      <w:pPr>
        <w:rPr>
          <w:bCs/>
          <w:iCs/>
        </w:rPr>
      </w:pPr>
      <w:r>
        <w:rPr>
          <w:bCs/>
          <w:iCs/>
        </w:rPr>
        <w:t>1.</w:t>
      </w:r>
      <w:r>
        <w:rPr>
          <w:iCs/>
        </w:rPr>
        <w:t xml:space="preserve">  </w:t>
      </w:r>
      <w:r>
        <w:rPr>
          <w:bCs/>
          <w:iCs/>
        </w:rPr>
        <w:t>Develop a positive philosophy of life.</w:t>
      </w:r>
    </w:p>
    <w:p w:rsidR="003717A0" w:rsidRDefault="003717A0">
      <w:pPr>
        <w:rPr>
          <w:bCs/>
          <w:iCs/>
        </w:rPr>
      </w:pPr>
      <w:r>
        <w:rPr>
          <w:bCs/>
          <w:iCs/>
        </w:rPr>
        <w:t>2.  Practice new vocabulary.</w:t>
      </w:r>
    </w:p>
    <w:p w:rsidR="003717A0" w:rsidRDefault="003717A0">
      <w:pPr>
        <w:rPr>
          <w:bCs/>
          <w:iCs/>
        </w:rPr>
      </w:pPr>
      <w:r>
        <w:rPr>
          <w:bCs/>
          <w:iCs/>
        </w:rPr>
        <w:t>3.  Learn to identify the writer’s purpose.</w:t>
      </w:r>
    </w:p>
    <w:p w:rsidR="003717A0" w:rsidRDefault="003717A0">
      <w:pPr>
        <w:numPr>
          <w:ilvl w:val="0"/>
          <w:numId w:val="63"/>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pPr>
        <w:numPr>
          <w:ilvl w:val="0"/>
          <w:numId w:val="61"/>
        </w:numPr>
      </w:pP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61"/>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61"/>
        </w:numPr>
      </w:pPr>
      <w:r>
        <w:t>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ind w:left="1181" w:hangingChars="490" w:hanging="1181"/>
        <w:rPr>
          <w:b/>
          <w:i/>
          <w:sz w:val="24"/>
        </w:rPr>
      </w:pPr>
      <w:r>
        <w:rPr>
          <w:b/>
          <w:i/>
          <w:sz w:val="24"/>
        </w:rPr>
        <w:t>Questions for Discussion:</w:t>
      </w:r>
    </w:p>
    <w:p w:rsidR="003717A0" w:rsidRDefault="003717A0">
      <w:pPr>
        <w:rPr>
          <w:szCs w:val="21"/>
        </w:rPr>
      </w:pPr>
      <w:r>
        <w:rPr>
          <w:szCs w:val="21"/>
        </w:rPr>
        <w:t>1.  According to the text, what is the duty of educational institutions?</w:t>
      </w:r>
    </w:p>
    <w:p w:rsidR="003717A0" w:rsidRDefault="003717A0">
      <w:pPr>
        <w:rPr>
          <w:szCs w:val="21"/>
        </w:rPr>
      </w:pPr>
      <w:r>
        <w:rPr>
          <w:szCs w:val="21"/>
        </w:rPr>
        <w:t>2.  What does education teach us to see? What should education be about in the long run?</w:t>
      </w:r>
    </w:p>
    <w:p w:rsidR="003717A0" w:rsidRDefault="003717A0">
      <w:pPr>
        <w:spacing w:line="360" w:lineRule="auto"/>
        <w:rPr>
          <w:b/>
          <w:i/>
          <w:sz w:val="24"/>
        </w:rPr>
      </w:pPr>
      <w:r>
        <w:rPr>
          <w:b/>
          <w:i/>
          <w:sz w:val="24"/>
        </w:rPr>
        <w:t>Important Language Points in Text A</w:t>
      </w:r>
    </w:p>
    <w:p w:rsidR="003717A0" w:rsidRDefault="003717A0">
      <w:pPr>
        <w:snapToGrid w:val="0"/>
        <w:spacing w:line="360" w:lineRule="auto"/>
        <w:ind w:left="826" w:hangingChars="343" w:hanging="826"/>
      </w:pPr>
      <w:r>
        <w:rPr>
          <w:b/>
          <w:i/>
          <w:sz w:val="24"/>
        </w:rPr>
        <w:t xml:space="preserve">Key words: </w:t>
      </w:r>
      <w:r>
        <w:rPr>
          <w:szCs w:val="21"/>
        </w:rPr>
        <w:t xml:space="preserve">enroll  </w:t>
      </w:r>
      <w:r>
        <w:t xml:space="preserve">elementary  secondary  agency  confine  occupation  render  contribution  </w:t>
      </w:r>
      <w:r>
        <w:rPr>
          <w:szCs w:val="21"/>
        </w:rPr>
        <w:t>accumulate  distinguish</w:t>
      </w:r>
    </w:p>
    <w:p w:rsidR="003717A0" w:rsidRDefault="003717A0">
      <w:pPr>
        <w:spacing w:line="360" w:lineRule="auto"/>
        <w:rPr>
          <w:szCs w:val="21"/>
        </w:rPr>
      </w:pPr>
      <w:r>
        <w:rPr>
          <w:szCs w:val="21"/>
        </w:rPr>
        <w:t xml:space="preserve"> </w:t>
      </w:r>
      <w:r>
        <w:rPr>
          <w:b/>
          <w:i/>
          <w:sz w:val="24"/>
        </w:rPr>
        <w:t xml:space="preserve">Key phrases and expressions: </w:t>
      </w:r>
      <w:r>
        <w:rPr>
          <w:szCs w:val="21"/>
        </w:rPr>
        <w:t xml:space="preserve">be wasted on sb.  if only  well off  arrive at the conclusion   be meant to  have a perspective on sth.  only to  in the long run  send in  distinguish right    from wrong </w:t>
      </w:r>
    </w:p>
    <w:p w:rsidR="003717A0" w:rsidRDefault="003717A0">
      <w:pPr>
        <w:spacing w:line="360" w:lineRule="auto"/>
        <w:rPr>
          <w:b/>
          <w:i/>
          <w:sz w:val="24"/>
        </w:rPr>
      </w:pPr>
      <w:r>
        <w:rPr>
          <w:b/>
          <w:i/>
          <w:sz w:val="24"/>
        </w:rPr>
        <w:t>Grammatical Structure</w:t>
      </w:r>
    </w:p>
    <w:p w:rsidR="003717A0" w:rsidRDefault="003717A0">
      <w:pPr>
        <w:numPr>
          <w:ilvl w:val="3"/>
          <w:numId w:val="59"/>
        </w:numPr>
        <w:spacing w:line="360" w:lineRule="auto"/>
        <w:rPr>
          <w:szCs w:val="21"/>
        </w:rPr>
      </w:pPr>
      <w:r>
        <w:rPr>
          <w:rFonts w:hint="eastAsia"/>
          <w:szCs w:val="21"/>
        </w:rPr>
        <w:t>…“</w:t>
      </w:r>
      <w:r>
        <w:rPr>
          <w:szCs w:val="21"/>
        </w:rPr>
        <w:t>If only I knew then what I know now.”  ( if only)</w:t>
      </w:r>
    </w:p>
    <w:p w:rsidR="003717A0" w:rsidRDefault="003717A0">
      <w:pPr>
        <w:numPr>
          <w:ilvl w:val="3"/>
          <w:numId w:val="59"/>
        </w:numPr>
        <w:spacing w:line="360" w:lineRule="auto"/>
        <w:rPr>
          <w:szCs w:val="21"/>
        </w:rPr>
      </w:pPr>
      <w:r>
        <w:rPr>
          <w:szCs w:val="21"/>
        </w:rPr>
        <w:t>… If it (whatever it may be) won’t compute and you can’t drink it… ( “computer” used to express passive meaning)</w:t>
      </w:r>
    </w:p>
    <w:p w:rsidR="003717A0" w:rsidRDefault="003717A0">
      <w:pPr>
        <w:numPr>
          <w:ilvl w:val="3"/>
          <w:numId w:val="59"/>
        </w:numPr>
        <w:spacing w:line="360" w:lineRule="auto"/>
        <w:rPr>
          <w:szCs w:val="21"/>
        </w:rPr>
      </w:pPr>
      <w:r>
        <w:rPr>
          <w:szCs w:val="21"/>
        </w:rPr>
        <w:t xml:space="preserve">And we are better for our understanding of these other contributions — be they scientific or artistic. (be </w:t>
      </w:r>
      <w:r>
        <w:rPr>
          <w:rFonts w:hint="eastAsia"/>
          <w:szCs w:val="21"/>
        </w:rPr>
        <w:t>…</w:t>
      </w:r>
      <w:r>
        <w:rPr>
          <w:szCs w:val="21"/>
        </w:rPr>
        <w:t xml:space="preserve"> or </w:t>
      </w:r>
      <w:r>
        <w:rPr>
          <w:rFonts w:hint="eastAsia"/>
          <w:szCs w:val="21"/>
        </w:rPr>
        <w:t>…</w:t>
      </w:r>
      <w:r>
        <w:rPr>
          <w:szCs w:val="21"/>
        </w:rPr>
        <w:t>)</w:t>
      </w:r>
    </w:p>
    <w:p w:rsidR="003717A0" w:rsidRDefault="003717A0">
      <w:pPr>
        <w:spacing w:line="360" w:lineRule="auto"/>
        <w:rPr>
          <w:szCs w:val="21"/>
        </w:rPr>
      </w:pPr>
      <w:r>
        <w:rPr>
          <w:b/>
          <w:i/>
          <w:szCs w:val="21"/>
        </w:rPr>
        <w:t xml:space="preserve">Key phrases and expressions in Text B: </w:t>
      </w:r>
      <w:r>
        <w:rPr>
          <w:szCs w:val="21"/>
        </w:rPr>
        <w:t xml:space="preserve">play it safe   the vast majority of   whether… or not    in </w:t>
      </w:r>
      <w:r>
        <w:rPr>
          <w:szCs w:val="21"/>
        </w:rPr>
        <w:lastRenderedPageBreak/>
        <w:t xml:space="preserve">short   be committed to  by comparison   nuclear family   a large proportion of  </w:t>
      </w:r>
    </w:p>
    <w:p w:rsidR="003717A0" w:rsidRDefault="003717A0">
      <w:pPr>
        <w:spacing w:line="360" w:lineRule="auto"/>
        <w:rPr>
          <w:szCs w:val="21"/>
        </w:rPr>
      </w:pPr>
      <w:r>
        <w:rPr>
          <w:szCs w:val="21"/>
        </w:rPr>
        <w:t xml:space="preserve"> be associated with   in the absence of   grind to a halt  </w:t>
      </w:r>
    </w:p>
    <w:p w:rsidR="003717A0" w:rsidRDefault="003717A0">
      <w:pPr>
        <w:spacing w:line="360" w:lineRule="auto"/>
        <w:rPr>
          <w:b/>
          <w:i/>
          <w:sz w:val="24"/>
        </w:rPr>
      </w:pPr>
      <w:r>
        <w:rPr>
          <w:szCs w:val="21"/>
        </w:rPr>
        <w:t xml:space="preserve"> </w:t>
      </w:r>
      <w:r>
        <w:rPr>
          <w:b/>
          <w:i/>
          <w:sz w:val="24"/>
        </w:rPr>
        <w:t>Topic for writing:</w:t>
      </w:r>
    </w:p>
    <w:p w:rsidR="003717A0" w:rsidRDefault="003717A0">
      <w:pPr>
        <w:spacing w:line="360" w:lineRule="auto"/>
      </w:pPr>
      <w:r>
        <w:t>Preparation for the Future at College</w:t>
      </w:r>
    </w:p>
    <w:p w:rsidR="003717A0" w:rsidRDefault="003717A0">
      <w:pPr>
        <w:rPr>
          <w:b/>
          <w:i/>
          <w:szCs w:val="21"/>
        </w:rPr>
      </w:pPr>
      <w:r>
        <w:rPr>
          <w:b/>
          <w:i/>
          <w:szCs w:val="21"/>
        </w:rPr>
        <w:t>Additional work:</w:t>
      </w:r>
    </w:p>
    <w:p w:rsidR="003717A0" w:rsidRDefault="003717A0">
      <w:pPr>
        <w:rPr>
          <w:szCs w:val="21"/>
        </w:rPr>
      </w:pPr>
      <w:r>
        <w:rPr>
          <w:szCs w:val="21"/>
        </w:rPr>
        <w:t>1.  Recite the 4-8th paragraph in Text A.</w:t>
      </w:r>
    </w:p>
    <w:p w:rsidR="003717A0" w:rsidRDefault="003717A0">
      <w:pPr>
        <w:rPr>
          <w:szCs w:val="21"/>
        </w:rPr>
      </w:pPr>
      <w:r>
        <w:rPr>
          <w:szCs w:val="21"/>
        </w:rPr>
        <w:t>2.  Learn to write a paragraph of an argument supported by facts</w:t>
      </w:r>
    </w:p>
    <w:p w:rsidR="003717A0" w:rsidRDefault="003717A0">
      <w:pPr>
        <w:spacing w:line="360" w:lineRule="auto"/>
        <w:rPr>
          <w:szCs w:val="21"/>
        </w:rPr>
      </w:pPr>
    </w:p>
    <w:p w:rsidR="003717A0" w:rsidRDefault="003717A0">
      <w:pPr>
        <w:spacing w:line="360" w:lineRule="auto"/>
        <w:rPr>
          <w:b/>
          <w:sz w:val="24"/>
          <w:szCs w:val="24"/>
        </w:rPr>
      </w:pPr>
      <w:r>
        <w:rPr>
          <w:b/>
          <w:sz w:val="24"/>
          <w:szCs w:val="24"/>
        </w:rPr>
        <w:t>Unit 9 Never Be a Quitter in Face of Life</w:t>
      </w:r>
    </w:p>
    <w:p w:rsidR="003717A0" w:rsidRDefault="003717A0">
      <w:pPr>
        <w:rPr>
          <w:b/>
          <w:i/>
          <w:sz w:val="24"/>
        </w:rPr>
      </w:pPr>
      <w:r>
        <w:rPr>
          <w:b/>
          <w:i/>
          <w:sz w:val="24"/>
        </w:rPr>
        <w:t>Teaching objectives:</w:t>
      </w:r>
    </w:p>
    <w:p w:rsidR="003717A0" w:rsidRDefault="003717A0">
      <w:pPr>
        <w:numPr>
          <w:ilvl w:val="0"/>
          <w:numId w:val="64"/>
        </w:numPr>
      </w:pPr>
      <w:r>
        <w:t xml:space="preserve">Understand </w:t>
      </w:r>
      <w:r>
        <w:rPr>
          <w:u w:val="single"/>
        </w:rPr>
        <w:t>what qualities lead to the writers' success</w:t>
      </w:r>
      <w:r>
        <w:t xml:space="preserve"> in their respective stories in Text A and Text B.</w:t>
      </w:r>
    </w:p>
    <w:p w:rsidR="003717A0" w:rsidRDefault="003717A0">
      <w:pPr>
        <w:numPr>
          <w:ilvl w:val="0"/>
          <w:numId w:val="64"/>
        </w:numPr>
      </w:pPr>
      <w:r>
        <w:t xml:space="preserve">Be able to state your own opinion on the important factors in </w:t>
      </w:r>
      <w:r>
        <w:rPr>
          <w:u w:val="single"/>
        </w:rPr>
        <w:t>ensuring success.</w:t>
      </w:r>
    </w:p>
    <w:p w:rsidR="003717A0" w:rsidRDefault="003717A0">
      <w:pPr>
        <w:numPr>
          <w:ilvl w:val="0"/>
          <w:numId w:val="64"/>
        </w:numPr>
      </w:pPr>
      <w:r>
        <w:t xml:space="preserve">Practice the skill of </w:t>
      </w:r>
      <w:r>
        <w:rPr>
          <w:u w:val="single"/>
        </w:rPr>
        <w:t xml:space="preserve">predicting the writer's ideas </w:t>
      </w:r>
      <w:r>
        <w:t>in active reading</w:t>
      </w:r>
      <w:r>
        <w:rPr>
          <w:u w:val="single"/>
        </w:rPr>
        <w:t>.</w:t>
      </w:r>
    </w:p>
    <w:p w:rsidR="003717A0" w:rsidRDefault="003717A0">
      <w:pPr>
        <w:numPr>
          <w:ilvl w:val="0"/>
          <w:numId w:val="64"/>
        </w:numPr>
      </w:pPr>
      <w:r>
        <w:t xml:space="preserve">Grasp the important </w:t>
      </w:r>
      <w:r>
        <w:rPr>
          <w:u w:val="single"/>
        </w:rPr>
        <w:t xml:space="preserve">words and phrases </w:t>
      </w:r>
      <w:r>
        <w:t>presented in section A, section B, and exercises.</w:t>
      </w:r>
    </w:p>
    <w:p w:rsidR="003717A0" w:rsidRDefault="003717A0">
      <w:pPr>
        <w:rPr>
          <w:b/>
          <w:i/>
          <w:sz w:val="24"/>
        </w:rPr>
      </w:pPr>
      <w:r>
        <w:rPr>
          <w:b/>
          <w:i/>
          <w:sz w:val="24"/>
        </w:rPr>
        <w:t>Time allotment (6 periods):</w:t>
      </w:r>
    </w:p>
    <w:p w:rsidR="003717A0" w:rsidRDefault="003717A0">
      <w:pPr>
        <w:numPr>
          <w:ilvl w:val="0"/>
          <w:numId w:val="65"/>
        </w:numPr>
      </w:pPr>
      <w:r>
        <w:rPr>
          <w:szCs w:val="21"/>
        </w:rPr>
        <w:t xml:space="preserve">1. </w:t>
      </w: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pPr>
        <w:numPr>
          <w:ilvl w:val="0"/>
          <w:numId w:val="65"/>
        </w:numPr>
      </w:pPr>
      <w:r>
        <w:t>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pPr>
        <w:numPr>
          <w:ilvl w:val="0"/>
          <w:numId w:val="65"/>
        </w:numPr>
      </w:pPr>
      <w:r>
        <w:t>5</w:t>
      </w:r>
      <w:r>
        <w:rPr>
          <w:vertAlign w:val="superscript"/>
        </w:rPr>
        <w:t>th</w:t>
      </w:r>
      <w:r>
        <w:t xml:space="preserve"> and 6</w:t>
      </w:r>
      <w:r>
        <w:rPr>
          <w:vertAlign w:val="superscript"/>
        </w:rPr>
        <w:t>th</w:t>
      </w:r>
      <w:r>
        <w:t xml:space="preserve"> period: Text B study:</w:t>
      </w:r>
    </w:p>
    <w:p w:rsidR="003717A0" w:rsidRDefault="003717A0">
      <w:pPr>
        <w:spacing w:line="360" w:lineRule="auto"/>
      </w:pPr>
      <w:r>
        <w:t xml:space="preserve">                  cultural notes; words and structures</w:t>
      </w:r>
    </w:p>
    <w:p w:rsidR="003717A0" w:rsidRDefault="003717A0">
      <w:pPr>
        <w:spacing w:line="360" w:lineRule="auto"/>
        <w:rPr>
          <w:b/>
          <w:i/>
          <w:sz w:val="24"/>
        </w:rPr>
      </w:pPr>
      <w:r>
        <w:rPr>
          <w:b/>
          <w:i/>
          <w:sz w:val="24"/>
        </w:rPr>
        <w:t>Questions for Discussion:</w:t>
      </w:r>
    </w:p>
    <w:p w:rsidR="003717A0" w:rsidRDefault="003717A0">
      <w:pPr>
        <w:numPr>
          <w:ilvl w:val="0"/>
          <w:numId w:val="24"/>
        </w:numPr>
        <w:tabs>
          <w:tab w:val="clear" w:pos="1320"/>
          <w:tab w:val="left" w:pos="360"/>
        </w:tabs>
        <w:ind w:left="360"/>
        <w:rPr>
          <w:szCs w:val="21"/>
        </w:rPr>
      </w:pPr>
      <w:r>
        <w:rPr>
          <w:szCs w:val="21"/>
        </w:rPr>
        <w:t>1. What do you usually do in face of difficulty?</w:t>
      </w:r>
    </w:p>
    <w:p w:rsidR="003717A0" w:rsidRDefault="003717A0">
      <w:pPr>
        <w:numPr>
          <w:ilvl w:val="0"/>
          <w:numId w:val="24"/>
        </w:numPr>
        <w:tabs>
          <w:tab w:val="clear" w:pos="1320"/>
          <w:tab w:val="left" w:pos="360"/>
        </w:tabs>
        <w:ind w:left="360"/>
        <w:rPr>
          <w:szCs w:val="21"/>
        </w:rPr>
      </w:pPr>
      <w:r>
        <w:rPr>
          <w:szCs w:val="21"/>
        </w:rPr>
        <w:t>What is the secret of success? A(success)= X( hard work )+Y(good methods)+Z(stop talking and start to work)</w:t>
      </w:r>
    </w:p>
    <w:p w:rsidR="003717A0" w:rsidRDefault="003717A0">
      <w:pPr>
        <w:numPr>
          <w:ilvl w:val="0"/>
          <w:numId w:val="24"/>
        </w:numPr>
        <w:tabs>
          <w:tab w:val="clear" w:pos="1320"/>
          <w:tab w:val="left" w:pos="360"/>
        </w:tabs>
        <w:ind w:left="360"/>
        <w:rPr>
          <w:szCs w:val="21"/>
        </w:rPr>
      </w:pPr>
      <w:r>
        <w:rPr>
          <w:szCs w:val="21"/>
        </w:rPr>
        <w:t>Who has had the biggest influence on you? And in What ways?</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181" w:hangingChars="490" w:hanging="1181"/>
        <w:rPr>
          <w:szCs w:val="21"/>
        </w:rPr>
      </w:pPr>
      <w:r>
        <w:rPr>
          <w:b/>
          <w:i/>
          <w:sz w:val="24"/>
        </w:rPr>
        <w:t xml:space="preserve">Key words: </w:t>
      </w:r>
      <w:r>
        <w:rPr>
          <w:sz w:val="24"/>
        </w:rPr>
        <w:t xml:space="preserve">tender   </w:t>
      </w:r>
      <w:r>
        <w:rPr>
          <w:szCs w:val="21"/>
        </w:rPr>
        <w:t>equivalent  scatter  deceive  ambitious  advanced   corruption  revolve   correspond  keen   depart   summit</w:t>
      </w:r>
    </w:p>
    <w:p w:rsidR="003717A0" w:rsidRDefault="003717A0">
      <w:pPr>
        <w:spacing w:line="360" w:lineRule="auto"/>
        <w:ind w:left="1181" w:hangingChars="490" w:hanging="1181"/>
        <w:rPr>
          <w:szCs w:val="21"/>
        </w:rPr>
      </w:pPr>
      <w:r>
        <w:rPr>
          <w:b/>
          <w:i/>
          <w:sz w:val="24"/>
        </w:rPr>
        <w:t xml:space="preserve">Key phrases and expressions: </w:t>
      </w:r>
      <w:r>
        <w:rPr>
          <w:szCs w:val="21"/>
        </w:rPr>
        <w:t xml:space="preserve">in ( the) face of   make sth. of sb.   have sth. at heart  </w:t>
      </w:r>
    </w:p>
    <w:p w:rsidR="003717A0" w:rsidRDefault="003717A0">
      <w:pPr>
        <w:spacing w:line="360" w:lineRule="auto"/>
        <w:ind w:left="1029" w:hangingChars="490" w:hanging="1029"/>
        <w:rPr>
          <w:szCs w:val="21"/>
        </w:rPr>
      </w:pPr>
      <w:r>
        <w:rPr>
          <w:szCs w:val="21"/>
        </w:rPr>
        <w:t xml:space="preserve">be entitled to  pick up the pieces  deceive oneself about   sign up for   lap up   </w:t>
      </w:r>
    </w:p>
    <w:p w:rsidR="003717A0" w:rsidRDefault="003717A0">
      <w:pPr>
        <w:spacing w:line="360" w:lineRule="auto"/>
        <w:ind w:left="1029" w:hangingChars="490" w:hanging="1029"/>
        <w:rPr>
          <w:szCs w:val="21"/>
        </w:rPr>
      </w:pPr>
      <w:r>
        <w:rPr>
          <w:szCs w:val="21"/>
        </w:rPr>
        <w:t>revolve around doing sth.  apply for  know better  be keen to  out of touch with</w:t>
      </w:r>
    </w:p>
    <w:p w:rsidR="003717A0" w:rsidRDefault="003717A0">
      <w:pPr>
        <w:spacing w:line="360" w:lineRule="auto"/>
        <w:rPr>
          <w:b/>
          <w:i/>
          <w:sz w:val="24"/>
        </w:rPr>
      </w:pPr>
      <w:r>
        <w:rPr>
          <w:b/>
          <w:i/>
          <w:sz w:val="24"/>
        </w:rPr>
        <w:t>Grammatical Structure</w:t>
      </w:r>
    </w:p>
    <w:p w:rsidR="003717A0" w:rsidRDefault="003717A0">
      <w:pPr>
        <w:numPr>
          <w:ilvl w:val="3"/>
          <w:numId w:val="24"/>
        </w:numPr>
        <w:tabs>
          <w:tab w:val="clear" w:pos="2640"/>
          <w:tab w:val="left" w:pos="1680"/>
        </w:tabs>
        <w:spacing w:line="360" w:lineRule="auto"/>
        <w:ind w:left="1680"/>
        <w:rPr>
          <w:bCs/>
          <w:sz w:val="24"/>
        </w:rPr>
      </w:pPr>
      <w:r>
        <w:rPr>
          <w:bCs/>
          <w:sz w:val="24"/>
        </w:rPr>
        <w:t xml:space="preserve">Edwin James was </w:t>
      </w:r>
      <w:r>
        <w:rPr>
          <w:bCs/>
          <w:sz w:val="24"/>
          <w:u w:val="single"/>
        </w:rPr>
        <w:t xml:space="preserve">no smarter than </w:t>
      </w:r>
      <w:r>
        <w:rPr>
          <w:bCs/>
          <w:sz w:val="24"/>
        </w:rPr>
        <w:t>anybody else,…  (no+ comparative degree of adj./adv. +than)</w:t>
      </w:r>
    </w:p>
    <w:p w:rsidR="003717A0" w:rsidRDefault="003717A0">
      <w:pPr>
        <w:numPr>
          <w:ilvl w:val="3"/>
          <w:numId w:val="24"/>
        </w:numPr>
        <w:tabs>
          <w:tab w:val="clear" w:pos="2640"/>
          <w:tab w:val="left" w:pos="1680"/>
        </w:tabs>
        <w:spacing w:line="360" w:lineRule="auto"/>
        <w:ind w:left="1680"/>
        <w:rPr>
          <w:szCs w:val="21"/>
        </w:rPr>
      </w:pPr>
      <w:r>
        <w:rPr>
          <w:bCs/>
          <w:sz w:val="24"/>
        </w:rPr>
        <w:lastRenderedPageBreak/>
        <w:t>“</w:t>
      </w:r>
      <w:r>
        <w:rPr>
          <w:bCs/>
          <w:sz w:val="24"/>
          <w:u w:val="single"/>
        </w:rPr>
        <w:t>Even if</w:t>
      </w:r>
      <w:r>
        <w:rPr>
          <w:bCs/>
          <w:sz w:val="24"/>
        </w:rPr>
        <w:t xml:space="preserve"> you get to the top, you have to watch out.” (even if)</w:t>
      </w:r>
    </w:p>
    <w:p w:rsidR="003717A0" w:rsidRDefault="003717A0">
      <w:pPr>
        <w:numPr>
          <w:ilvl w:val="3"/>
          <w:numId w:val="24"/>
        </w:numPr>
        <w:tabs>
          <w:tab w:val="clear" w:pos="2640"/>
          <w:tab w:val="left" w:pos="1680"/>
        </w:tabs>
        <w:spacing w:line="360" w:lineRule="auto"/>
        <w:ind w:left="1680"/>
        <w:rPr>
          <w:szCs w:val="21"/>
        </w:rPr>
      </w:pPr>
      <w:r>
        <w:rPr>
          <w:bCs/>
          <w:sz w:val="24"/>
        </w:rPr>
        <w:t>“The bigger they come, the harder they fall.” ( the more.. the more…)</w:t>
      </w:r>
    </w:p>
    <w:p w:rsidR="003717A0" w:rsidRDefault="003717A0">
      <w:pPr>
        <w:spacing w:line="360" w:lineRule="auto"/>
        <w:rPr>
          <w:szCs w:val="21"/>
        </w:rPr>
      </w:pPr>
      <w:r>
        <w:rPr>
          <w:b/>
          <w:i/>
          <w:szCs w:val="21"/>
        </w:rPr>
        <w:t xml:space="preserve">Key phrases and expressions in Text B: </w:t>
      </w:r>
      <w:r>
        <w:rPr>
          <w:szCs w:val="21"/>
        </w:rPr>
        <w:t>apply for  pay off   in the meantime  take offense at</w:t>
      </w:r>
    </w:p>
    <w:p w:rsidR="003717A0" w:rsidRDefault="003717A0">
      <w:pPr>
        <w:spacing w:line="360" w:lineRule="auto"/>
        <w:rPr>
          <w:szCs w:val="21"/>
        </w:rPr>
      </w:pPr>
      <w:r>
        <w:rPr>
          <w:szCs w:val="21"/>
        </w:rPr>
        <w:t xml:space="preserve">characterize sth. as   with reference to   have a sense of pride in doing sth.  fill up </w:t>
      </w:r>
    </w:p>
    <w:p w:rsidR="003717A0" w:rsidRDefault="003717A0">
      <w:pPr>
        <w:spacing w:line="360" w:lineRule="auto"/>
        <w:rPr>
          <w:szCs w:val="21"/>
        </w:rPr>
      </w:pPr>
      <w:r>
        <w:rPr>
          <w:szCs w:val="21"/>
        </w:rPr>
        <w:t>be obliged to do sth.</w:t>
      </w:r>
    </w:p>
    <w:p w:rsidR="003717A0" w:rsidRDefault="003717A0">
      <w:pPr>
        <w:rPr>
          <w:b/>
          <w:i/>
          <w:sz w:val="24"/>
        </w:rPr>
      </w:pPr>
      <w:r>
        <w:rPr>
          <w:b/>
          <w:i/>
          <w:sz w:val="24"/>
        </w:rPr>
        <w:t>Topic for writing:</w:t>
      </w:r>
    </w:p>
    <w:p w:rsidR="003717A0" w:rsidRDefault="003717A0">
      <w:pPr>
        <w:spacing w:line="360" w:lineRule="auto"/>
      </w:pPr>
      <w:r>
        <w:t>The Way to Achieve Success</w:t>
      </w:r>
    </w:p>
    <w:p w:rsidR="003717A0" w:rsidRDefault="003717A0">
      <w:pPr>
        <w:rPr>
          <w:b/>
          <w:i/>
          <w:szCs w:val="21"/>
        </w:rPr>
      </w:pPr>
      <w:r>
        <w:rPr>
          <w:b/>
          <w:i/>
          <w:szCs w:val="21"/>
        </w:rPr>
        <w:t>Additional work:</w:t>
      </w:r>
    </w:p>
    <w:p w:rsidR="003717A0" w:rsidRDefault="003717A0">
      <w:pPr>
        <w:numPr>
          <w:ilvl w:val="0"/>
          <w:numId w:val="66"/>
        </w:numPr>
        <w:rPr>
          <w:szCs w:val="21"/>
        </w:rPr>
      </w:pPr>
      <w:r>
        <w:rPr>
          <w:szCs w:val="21"/>
        </w:rPr>
        <w:t>Recite some sentences with powerful words and educational message for you in this unit.</w:t>
      </w:r>
    </w:p>
    <w:p w:rsidR="003717A0" w:rsidRDefault="003717A0">
      <w:pPr>
        <w:numPr>
          <w:ilvl w:val="0"/>
          <w:numId w:val="66"/>
        </w:numPr>
        <w:rPr>
          <w:szCs w:val="21"/>
        </w:rPr>
      </w:pPr>
      <w:r>
        <w:rPr>
          <w:szCs w:val="21"/>
        </w:rPr>
        <w:t xml:space="preserve">Tell the class the successful person you admire most and summarize the characteristics that lead to the person's success.  </w:t>
      </w:r>
    </w:p>
    <w:p w:rsidR="003717A0" w:rsidRDefault="003717A0">
      <w:pPr>
        <w:spacing w:line="360" w:lineRule="auto"/>
        <w:rPr>
          <w:szCs w:val="21"/>
        </w:rPr>
      </w:pPr>
    </w:p>
    <w:p w:rsidR="003717A0" w:rsidRDefault="003717A0">
      <w:pPr>
        <w:spacing w:line="360" w:lineRule="auto"/>
        <w:rPr>
          <w:b/>
          <w:sz w:val="24"/>
          <w:szCs w:val="24"/>
        </w:rPr>
      </w:pPr>
      <w:r>
        <w:rPr>
          <w:b/>
          <w:sz w:val="24"/>
          <w:szCs w:val="24"/>
        </w:rPr>
        <w:t>Unit10 Reports on Britain Under the Bombs</w:t>
      </w:r>
    </w:p>
    <w:p w:rsidR="003717A0" w:rsidRDefault="003717A0">
      <w:pPr>
        <w:rPr>
          <w:b/>
          <w:i/>
          <w:sz w:val="24"/>
        </w:rPr>
      </w:pPr>
      <w:r>
        <w:rPr>
          <w:b/>
          <w:i/>
          <w:sz w:val="24"/>
        </w:rPr>
        <w:t>Teaching objectives:</w:t>
      </w:r>
    </w:p>
    <w:p w:rsidR="003717A0" w:rsidRDefault="003717A0">
      <w:r>
        <w:rPr>
          <w:sz w:val="24"/>
        </w:rPr>
        <w:t xml:space="preserve">1.  </w:t>
      </w:r>
      <w:r>
        <w:t>Talk about war</w:t>
      </w:r>
    </w:p>
    <w:p w:rsidR="003717A0" w:rsidRDefault="003717A0">
      <w:r>
        <w:t>2.  Understand human spirits in war</w:t>
      </w:r>
    </w:p>
    <w:p w:rsidR="003717A0" w:rsidRDefault="003717A0">
      <w:pPr>
        <w:numPr>
          <w:ilvl w:val="0"/>
          <w:numId w:val="66"/>
        </w:numPr>
      </w:pPr>
      <w:r>
        <w:t>Develop a paragraph with details and write a letter of sympathy.</w:t>
      </w:r>
    </w:p>
    <w:p w:rsidR="003717A0" w:rsidRDefault="003717A0">
      <w:pPr>
        <w:numPr>
          <w:ilvl w:val="0"/>
          <w:numId w:val="66"/>
        </w:numPr>
      </w:pPr>
      <w:r>
        <w:t>Understand a word’s denotation and connotation.</w:t>
      </w:r>
    </w:p>
    <w:p w:rsidR="003717A0" w:rsidRDefault="003717A0">
      <w:pPr>
        <w:numPr>
          <w:ilvl w:val="0"/>
          <w:numId w:val="66"/>
        </w:numPr>
      </w:pPr>
      <w: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r>
        <w:rPr>
          <w:sz w:val="24"/>
        </w:rPr>
        <w:t xml:space="preserve">1. </w:t>
      </w:r>
      <w:r>
        <w:t>1</w:t>
      </w:r>
      <w:r>
        <w:rPr>
          <w:vertAlign w:val="superscript"/>
        </w:rPr>
        <w:t>st</w:t>
      </w:r>
      <w:r>
        <w:t xml:space="preserve"> and 2</w:t>
      </w:r>
      <w:r>
        <w:rPr>
          <w:vertAlign w:val="superscript"/>
        </w:rPr>
        <w:t>nd</w:t>
      </w:r>
      <w:r>
        <w:t xml:space="preserve"> period: Text A study</w:t>
      </w:r>
      <w:r>
        <w:rPr>
          <w:rFonts w:hint="eastAsia"/>
        </w:rPr>
        <w:t>：</w:t>
      </w:r>
    </w:p>
    <w:p w:rsidR="003717A0" w:rsidRDefault="003717A0">
      <w:r>
        <w:t xml:space="preserve">                  background information; cultural notes; text organization; </w:t>
      </w:r>
    </w:p>
    <w:p w:rsidR="003717A0" w:rsidRDefault="003717A0">
      <w:pPr>
        <w:ind w:firstLineChars="900" w:firstLine="1890"/>
      </w:pPr>
      <w:r>
        <w:t xml:space="preserve">words and structures </w:t>
      </w:r>
    </w:p>
    <w:p w:rsidR="003717A0" w:rsidRDefault="003717A0">
      <w:r>
        <w:t>2. 3</w:t>
      </w:r>
      <w:r>
        <w:rPr>
          <w:vertAlign w:val="superscript"/>
        </w:rPr>
        <w:t>rd</w:t>
      </w:r>
      <w:r>
        <w:t xml:space="preserve"> and 4</w:t>
      </w:r>
      <w:r>
        <w:rPr>
          <w:vertAlign w:val="superscript"/>
        </w:rPr>
        <w:t>th</w:t>
      </w:r>
      <w:r>
        <w:t xml:space="preserve"> period: Text A study</w:t>
      </w:r>
      <w:r>
        <w:rPr>
          <w:rFonts w:hint="eastAsia"/>
        </w:rPr>
        <w:t>：</w:t>
      </w:r>
    </w:p>
    <w:p w:rsidR="003717A0" w:rsidRDefault="003717A0">
      <w:pPr>
        <w:ind w:firstLineChars="900" w:firstLine="1890"/>
      </w:pPr>
      <w:r>
        <w:t>Review key language points; exercises after text A; essay writing;</w:t>
      </w:r>
    </w:p>
    <w:p w:rsidR="003717A0" w:rsidRDefault="003717A0">
      <w:r>
        <w:t>3. 5</w:t>
      </w:r>
      <w:r>
        <w:rPr>
          <w:vertAlign w:val="superscript"/>
        </w:rPr>
        <w:t>th</w:t>
      </w:r>
      <w:r>
        <w:t xml:space="preserve"> and 6</w:t>
      </w:r>
      <w:r>
        <w:rPr>
          <w:vertAlign w:val="superscript"/>
        </w:rPr>
        <w:t>th</w:t>
      </w:r>
      <w:r>
        <w:t xml:space="preserve"> period: Text B study:</w:t>
      </w:r>
    </w:p>
    <w:p w:rsidR="003717A0" w:rsidRDefault="003717A0">
      <w:r>
        <w:t xml:space="preserve">                  cultural notes; words and structures </w:t>
      </w:r>
    </w:p>
    <w:p w:rsidR="003717A0" w:rsidRDefault="003717A0">
      <w:pPr>
        <w:spacing w:line="360" w:lineRule="auto"/>
        <w:rPr>
          <w:b/>
          <w:i/>
          <w:sz w:val="24"/>
        </w:rPr>
      </w:pPr>
      <w:r>
        <w:rPr>
          <w:b/>
          <w:i/>
          <w:sz w:val="24"/>
        </w:rPr>
        <w:t>Questions for Discussion:</w:t>
      </w:r>
    </w:p>
    <w:p w:rsidR="003717A0" w:rsidRDefault="003717A0">
      <w:pPr>
        <w:rPr>
          <w:szCs w:val="21"/>
        </w:rPr>
      </w:pPr>
      <w:r>
        <w:rPr>
          <w:sz w:val="24"/>
        </w:rPr>
        <w:t xml:space="preserve">1. </w:t>
      </w:r>
      <w:r>
        <w:rPr>
          <w:szCs w:val="21"/>
        </w:rPr>
        <w:t>How can’t we keep the world free of war?</w:t>
      </w:r>
    </w:p>
    <w:p w:rsidR="003717A0" w:rsidRDefault="003717A0">
      <w:pPr>
        <w:rPr>
          <w:szCs w:val="21"/>
        </w:rPr>
      </w:pPr>
      <w:r>
        <w:rPr>
          <w:szCs w:val="21"/>
        </w:rPr>
        <w:t>2.  How should we keep our nation free from war?</w:t>
      </w:r>
    </w:p>
    <w:p w:rsidR="003717A0" w:rsidRDefault="003717A0">
      <w:pPr>
        <w:spacing w:line="360" w:lineRule="auto"/>
        <w:rPr>
          <w:b/>
          <w:i/>
          <w:sz w:val="24"/>
        </w:rPr>
      </w:pPr>
      <w:r>
        <w:rPr>
          <w:b/>
          <w:i/>
          <w:sz w:val="24"/>
        </w:rPr>
        <w:t>Important Language Points in Text A</w:t>
      </w:r>
    </w:p>
    <w:p w:rsidR="003717A0" w:rsidRDefault="003717A0">
      <w:pPr>
        <w:spacing w:line="360" w:lineRule="auto"/>
        <w:ind w:left="1181" w:hangingChars="490" w:hanging="1181"/>
      </w:pPr>
      <w:r>
        <w:rPr>
          <w:b/>
          <w:i/>
          <w:sz w:val="24"/>
        </w:rPr>
        <w:t xml:space="preserve">Key words: </w:t>
      </w:r>
      <w:r>
        <w:t>survival  endure  cast  invade  surrender  convince  boast  historic  agony  crash  spit  rage  heroic  resolution  exhaust  smash  underneath  wreckage</w:t>
      </w:r>
    </w:p>
    <w:p w:rsidR="003717A0" w:rsidRDefault="003717A0">
      <w:pPr>
        <w:spacing w:line="360" w:lineRule="auto"/>
        <w:ind w:left="1181" w:hangingChars="490" w:hanging="1181"/>
        <w:rPr>
          <w:szCs w:val="21"/>
        </w:rPr>
      </w:pPr>
      <w:r>
        <w:rPr>
          <w:b/>
          <w:i/>
          <w:sz w:val="24"/>
        </w:rPr>
        <w:t xml:space="preserve">Key phrases and expressions: </w:t>
      </w:r>
      <w:r>
        <w:rPr>
          <w:szCs w:val="21"/>
        </w:rPr>
        <w:t>come over  under the waves of   a tone of concern/ sorrow for sb.    drive off  ultimate triumph over  give in/ surrender  in broad daylight  carry on  have the satisfaction of doing sth.  to cast shadow over/upon</w:t>
      </w:r>
    </w:p>
    <w:p w:rsidR="003717A0" w:rsidRDefault="003717A0">
      <w:pPr>
        <w:spacing w:line="360" w:lineRule="auto"/>
        <w:rPr>
          <w:b/>
          <w:i/>
          <w:sz w:val="24"/>
        </w:rPr>
      </w:pPr>
      <w:r>
        <w:rPr>
          <w:b/>
          <w:i/>
          <w:sz w:val="24"/>
        </w:rPr>
        <w:t>Grammatical Structure</w:t>
      </w:r>
    </w:p>
    <w:p w:rsidR="003717A0" w:rsidRDefault="003717A0">
      <w:pPr>
        <w:numPr>
          <w:ilvl w:val="3"/>
          <w:numId w:val="66"/>
        </w:numPr>
        <w:spacing w:line="360" w:lineRule="auto"/>
        <w:rPr>
          <w:bCs/>
          <w:szCs w:val="21"/>
        </w:rPr>
      </w:pPr>
      <w:r>
        <w:rPr>
          <w:bCs/>
          <w:szCs w:val="21"/>
        </w:rPr>
        <w:lastRenderedPageBreak/>
        <w:t xml:space="preserve">The fires were brought under control. Bottles of dairy milk arrived in doorways, and women took them in, </w:t>
      </w:r>
      <w:r>
        <w:rPr>
          <w:b/>
          <w:bCs/>
          <w:i/>
          <w:iCs/>
          <w:szCs w:val="21"/>
        </w:rPr>
        <w:t>as though</w:t>
      </w:r>
      <w:r>
        <w:rPr>
          <w:bCs/>
          <w:szCs w:val="21"/>
        </w:rPr>
        <w:t xml:space="preserve"> the war were a thousand miles away. (as though)</w:t>
      </w:r>
    </w:p>
    <w:p w:rsidR="003717A0" w:rsidRDefault="003717A0">
      <w:pPr>
        <w:numPr>
          <w:ilvl w:val="3"/>
          <w:numId w:val="66"/>
        </w:numPr>
        <w:spacing w:line="360" w:lineRule="auto"/>
        <w:rPr>
          <w:sz w:val="24"/>
        </w:rPr>
      </w:pPr>
      <w:r>
        <w:rPr>
          <w:bCs/>
          <w:szCs w:val="21"/>
        </w:rPr>
        <w:t xml:space="preserve">Mark it down that </w:t>
      </w:r>
      <w:r>
        <w:rPr>
          <w:rFonts w:hint="eastAsia"/>
          <w:bCs/>
          <w:szCs w:val="21"/>
        </w:rPr>
        <w:t>…</w:t>
      </w:r>
      <w:r>
        <w:rPr>
          <w:bCs/>
          <w:szCs w:val="21"/>
        </w:rPr>
        <w:t xml:space="preserve"> that all are equal under the bomb, that this is a war of speed and organization, and that </w:t>
      </w:r>
      <w:r>
        <w:rPr>
          <w:b/>
          <w:bCs/>
          <w:i/>
          <w:iCs/>
          <w:szCs w:val="21"/>
        </w:rPr>
        <w:t xml:space="preserve">whichever </w:t>
      </w:r>
      <w:r>
        <w:rPr>
          <w:bCs/>
          <w:szCs w:val="21"/>
        </w:rPr>
        <w:t>political system best provides for the defense and decency of the little man will win. (whichever)</w:t>
      </w:r>
    </w:p>
    <w:p w:rsidR="003717A0" w:rsidRDefault="003717A0">
      <w:pPr>
        <w:spacing w:line="360" w:lineRule="auto"/>
        <w:rPr>
          <w:szCs w:val="21"/>
        </w:rPr>
      </w:pPr>
      <w:r>
        <w:rPr>
          <w:b/>
          <w:i/>
          <w:szCs w:val="21"/>
        </w:rPr>
        <w:t xml:space="preserve">Key phrases and expressions in Text B: </w:t>
      </w:r>
      <w:r>
        <w:rPr>
          <w:szCs w:val="21"/>
        </w:rPr>
        <w:t>drift down  break off   sink into  in the spirit of    expect of  remind of  make for  at a glimpse  seize with  keep on  give way to</w:t>
      </w:r>
    </w:p>
    <w:p w:rsidR="003717A0" w:rsidRDefault="003717A0">
      <w:pPr>
        <w:rPr>
          <w:b/>
          <w:i/>
          <w:sz w:val="24"/>
        </w:rPr>
      </w:pPr>
      <w:r>
        <w:rPr>
          <w:b/>
          <w:i/>
          <w:sz w:val="24"/>
        </w:rPr>
        <w:t>Topic for writing:</w:t>
      </w:r>
    </w:p>
    <w:p w:rsidR="003717A0" w:rsidRDefault="003717A0">
      <w:pPr>
        <w:spacing w:line="360" w:lineRule="auto"/>
      </w:pPr>
      <w:r>
        <w:t>Write a letter to a relative who was hurt in a car accident</w:t>
      </w:r>
    </w:p>
    <w:p w:rsidR="003717A0" w:rsidRDefault="003717A0">
      <w:pPr>
        <w:rPr>
          <w:b/>
          <w:i/>
          <w:szCs w:val="21"/>
        </w:rPr>
      </w:pPr>
      <w:r>
        <w:rPr>
          <w:b/>
          <w:i/>
          <w:szCs w:val="21"/>
        </w:rPr>
        <w:t>Additional work:</w:t>
      </w:r>
    </w:p>
    <w:p w:rsidR="003717A0" w:rsidRDefault="003717A0">
      <w:pPr>
        <w:spacing w:line="360" w:lineRule="auto"/>
        <w:rPr>
          <w:szCs w:val="21"/>
        </w:rPr>
      </w:pPr>
      <w:r>
        <w:rPr>
          <w:szCs w:val="21"/>
        </w:rPr>
        <w:t>1.  Collect information about the famous battles in the history. State the time, the two sides of the battles, the key figures and the main reason for the battles.</w:t>
      </w:r>
    </w:p>
    <w:p w:rsidR="003717A0" w:rsidRDefault="003717A0">
      <w:pPr>
        <w:spacing w:line="360" w:lineRule="auto"/>
        <w:rPr>
          <w:szCs w:val="21"/>
        </w:rPr>
      </w:pPr>
      <w:r>
        <w:rPr>
          <w:szCs w:val="21"/>
        </w:rPr>
        <w:t xml:space="preserve">2.  Work in groups and collect pictures of different weapons. Make a Power-point show and give a presentation to the class. You can develop your topic under certain category like firearms, warship, fighter planes </w:t>
      </w:r>
      <w:r>
        <w:rPr>
          <w:rFonts w:hint="eastAsia"/>
          <w:szCs w:val="21"/>
        </w:rPr>
        <w:t>…</w:t>
      </w:r>
      <w:r>
        <w:rPr>
          <w:szCs w:val="21"/>
        </w:rPr>
        <w:t>. Give such information as specific names, functions, history ….</w:t>
      </w:r>
    </w:p>
    <w:p w:rsidR="003717A0" w:rsidRDefault="003717A0">
      <w:pPr>
        <w:spacing w:line="360" w:lineRule="auto"/>
        <w:rPr>
          <w:sz w:val="24"/>
        </w:rPr>
      </w:pPr>
    </w:p>
    <w:p w:rsidR="003717A0" w:rsidRDefault="003717A0">
      <w:pPr>
        <w:spacing w:line="360" w:lineRule="auto"/>
        <w:ind w:firstLineChars="200" w:firstLine="420"/>
      </w:pPr>
    </w:p>
    <w:p w:rsidR="003717A0" w:rsidRDefault="003717A0">
      <w:pPr>
        <w:spacing w:line="360" w:lineRule="auto"/>
        <w:ind w:firstLineChars="200" w:firstLine="420"/>
      </w:pPr>
    </w:p>
    <w:p w:rsidR="003717A0" w:rsidRDefault="003717A0">
      <w:pPr>
        <w:spacing w:line="360" w:lineRule="auto"/>
        <w:ind w:firstLineChars="200" w:firstLine="420"/>
      </w:pPr>
    </w:p>
    <w:p w:rsidR="003717A0" w:rsidRDefault="003717A0">
      <w:pPr>
        <w:spacing w:line="360" w:lineRule="auto"/>
        <w:jc w:val="center"/>
      </w:pPr>
      <w:r>
        <w:br w:type="page"/>
      </w:r>
      <w:r>
        <w:rPr>
          <w:rFonts w:hint="eastAsia"/>
          <w:b/>
          <w:bCs/>
          <w:sz w:val="28"/>
          <w:szCs w:val="28"/>
        </w:rPr>
        <w:lastRenderedPageBreak/>
        <w:t>大学英语教学大纲（三级）</w:t>
      </w:r>
    </w:p>
    <w:p w:rsidR="003717A0" w:rsidRDefault="003717A0">
      <w:pPr>
        <w:rPr>
          <w:rFonts w:eastAsia="仿宋_GB2312"/>
          <w:sz w:val="24"/>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497"/>
        <w:gridCol w:w="1055"/>
        <w:gridCol w:w="1275"/>
        <w:gridCol w:w="3311"/>
      </w:tblGrid>
      <w:tr w:rsidR="003717A0" w:rsidTr="00F5156D">
        <w:trPr>
          <w:trHeight w:val="467"/>
          <w:jc w:val="center"/>
        </w:trPr>
        <w:tc>
          <w:tcPr>
            <w:tcW w:w="1384" w:type="dxa"/>
            <w:vAlign w:val="center"/>
          </w:tcPr>
          <w:p w:rsidR="003717A0" w:rsidRDefault="003717A0">
            <w:pPr>
              <w:jc w:val="center"/>
              <w:rPr>
                <w:rFonts w:eastAsia="仿宋_GB2312"/>
                <w:sz w:val="24"/>
              </w:rPr>
            </w:pPr>
            <w:r>
              <w:rPr>
                <w:rFonts w:eastAsia="仿宋_GB2312" w:hint="eastAsia"/>
                <w:sz w:val="24"/>
              </w:rPr>
              <w:t>课程名称</w:t>
            </w:r>
          </w:p>
        </w:tc>
        <w:tc>
          <w:tcPr>
            <w:tcW w:w="2552" w:type="dxa"/>
            <w:gridSpan w:val="2"/>
            <w:vAlign w:val="center"/>
          </w:tcPr>
          <w:p w:rsidR="003717A0" w:rsidRDefault="003717A0">
            <w:pPr>
              <w:jc w:val="center"/>
              <w:rPr>
                <w:rFonts w:eastAsia="仿宋_GB2312"/>
                <w:sz w:val="24"/>
              </w:rPr>
            </w:pPr>
            <w:r>
              <w:rPr>
                <w:rFonts w:eastAsia="仿宋_GB2312" w:hint="eastAsia"/>
                <w:sz w:val="24"/>
              </w:rPr>
              <w:t>大学英语</w:t>
            </w:r>
            <w:r>
              <w:rPr>
                <w:rFonts w:eastAsia="仿宋_GB2312"/>
                <w:sz w:val="24"/>
              </w:rPr>
              <w:t>III</w:t>
            </w:r>
          </w:p>
        </w:tc>
        <w:tc>
          <w:tcPr>
            <w:tcW w:w="1275" w:type="dxa"/>
            <w:vAlign w:val="center"/>
          </w:tcPr>
          <w:p w:rsidR="003717A0" w:rsidRDefault="003717A0">
            <w:pPr>
              <w:jc w:val="center"/>
              <w:rPr>
                <w:rFonts w:eastAsia="仿宋_GB2312"/>
                <w:sz w:val="24"/>
              </w:rPr>
            </w:pPr>
            <w:r>
              <w:rPr>
                <w:rFonts w:eastAsia="仿宋_GB2312" w:hint="eastAsia"/>
                <w:sz w:val="24"/>
              </w:rPr>
              <w:t>编写人</w:t>
            </w:r>
          </w:p>
        </w:tc>
        <w:tc>
          <w:tcPr>
            <w:tcW w:w="3311" w:type="dxa"/>
            <w:vAlign w:val="center"/>
          </w:tcPr>
          <w:p w:rsidR="003717A0" w:rsidRDefault="003717A0">
            <w:pPr>
              <w:jc w:val="center"/>
              <w:rPr>
                <w:rFonts w:eastAsia="仿宋_GB2312"/>
                <w:sz w:val="24"/>
              </w:rPr>
            </w:pPr>
            <w:r>
              <w:rPr>
                <w:rFonts w:eastAsia="仿宋_GB2312" w:hint="eastAsia"/>
                <w:sz w:val="24"/>
              </w:rPr>
              <w:t>龚培蓓</w:t>
            </w:r>
          </w:p>
        </w:tc>
      </w:tr>
      <w:tr w:rsidR="003717A0" w:rsidTr="00F5156D">
        <w:trPr>
          <w:trHeight w:val="437"/>
          <w:jc w:val="center"/>
        </w:trPr>
        <w:tc>
          <w:tcPr>
            <w:tcW w:w="1384" w:type="dxa"/>
            <w:vAlign w:val="center"/>
          </w:tcPr>
          <w:p w:rsidR="003717A0" w:rsidRDefault="003717A0">
            <w:pPr>
              <w:jc w:val="center"/>
              <w:rPr>
                <w:rFonts w:eastAsia="仿宋_GB2312"/>
                <w:sz w:val="24"/>
              </w:rPr>
            </w:pPr>
            <w:r>
              <w:rPr>
                <w:rFonts w:eastAsia="仿宋_GB2312" w:hint="eastAsia"/>
                <w:sz w:val="24"/>
              </w:rPr>
              <w:t>课程代码</w:t>
            </w:r>
          </w:p>
        </w:tc>
        <w:tc>
          <w:tcPr>
            <w:tcW w:w="2552" w:type="dxa"/>
            <w:gridSpan w:val="2"/>
            <w:vAlign w:val="center"/>
          </w:tcPr>
          <w:p w:rsidR="003717A0" w:rsidRDefault="003717A0">
            <w:pPr>
              <w:jc w:val="center"/>
              <w:rPr>
                <w:rFonts w:eastAsia="仿宋_GB2312"/>
                <w:sz w:val="24"/>
              </w:rPr>
            </w:pPr>
            <w:r>
              <w:rPr>
                <w:rFonts w:eastAsia="仿宋_GB2312"/>
                <w:sz w:val="24"/>
              </w:rPr>
              <w:t>07741</w:t>
            </w:r>
          </w:p>
        </w:tc>
        <w:tc>
          <w:tcPr>
            <w:tcW w:w="1275" w:type="dxa"/>
            <w:vAlign w:val="center"/>
          </w:tcPr>
          <w:p w:rsidR="003717A0" w:rsidRDefault="003717A0">
            <w:pPr>
              <w:jc w:val="center"/>
              <w:rPr>
                <w:rFonts w:eastAsia="仿宋_GB2312"/>
                <w:sz w:val="24"/>
              </w:rPr>
            </w:pPr>
            <w:r>
              <w:rPr>
                <w:rFonts w:eastAsia="仿宋_GB2312" w:hint="eastAsia"/>
                <w:sz w:val="24"/>
              </w:rPr>
              <w:t>编写时间</w:t>
            </w:r>
          </w:p>
        </w:tc>
        <w:tc>
          <w:tcPr>
            <w:tcW w:w="3311" w:type="dxa"/>
            <w:vAlign w:val="center"/>
          </w:tcPr>
          <w:p w:rsidR="003717A0" w:rsidRDefault="003717A0">
            <w:pPr>
              <w:jc w:val="center"/>
              <w:rPr>
                <w:rFonts w:eastAsia="仿宋_GB2312"/>
                <w:sz w:val="24"/>
              </w:rPr>
            </w:pPr>
            <w:r>
              <w:rPr>
                <w:rFonts w:eastAsia="仿宋_GB2312"/>
                <w:sz w:val="24"/>
              </w:rPr>
              <w:t>2012</w:t>
            </w:r>
            <w:r>
              <w:rPr>
                <w:rFonts w:eastAsia="仿宋_GB2312" w:hint="eastAsia"/>
                <w:sz w:val="24"/>
              </w:rPr>
              <w:t>年</w:t>
            </w:r>
            <w:r>
              <w:rPr>
                <w:rFonts w:eastAsia="仿宋_GB2312"/>
                <w:sz w:val="24"/>
              </w:rPr>
              <w:t>8</w:t>
            </w:r>
            <w:r>
              <w:rPr>
                <w:rFonts w:eastAsia="仿宋_GB2312" w:hint="eastAsia"/>
                <w:sz w:val="24"/>
              </w:rPr>
              <w:t>月</w:t>
            </w:r>
          </w:p>
        </w:tc>
      </w:tr>
      <w:tr w:rsidR="003717A0" w:rsidTr="00F5156D">
        <w:trPr>
          <w:trHeight w:val="452"/>
          <w:jc w:val="center"/>
        </w:trPr>
        <w:tc>
          <w:tcPr>
            <w:tcW w:w="1384" w:type="dxa"/>
            <w:vAlign w:val="center"/>
          </w:tcPr>
          <w:p w:rsidR="003717A0" w:rsidRDefault="003717A0">
            <w:pPr>
              <w:jc w:val="center"/>
              <w:rPr>
                <w:rFonts w:eastAsia="仿宋_GB2312"/>
                <w:sz w:val="24"/>
              </w:rPr>
            </w:pPr>
            <w:r>
              <w:rPr>
                <w:rFonts w:eastAsia="仿宋_GB2312" w:hint="eastAsia"/>
                <w:sz w:val="24"/>
              </w:rPr>
              <w:t>周学时数</w:t>
            </w:r>
          </w:p>
        </w:tc>
        <w:tc>
          <w:tcPr>
            <w:tcW w:w="2552" w:type="dxa"/>
            <w:gridSpan w:val="2"/>
            <w:vAlign w:val="center"/>
          </w:tcPr>
          <w:p w:rsidR="003717A0" w:rsidRDefault="003717A0">
            <w:pPr>
              <w:jc w:val="center"/>
              <w:rPr>
                <w:rFonts w:eastAsia="仿宋_GB2312"/>
                <w:sz w:val="24"/>
              </w:rPr>
            </w:pPr>
            <w:r>
              <w:rPr>
                <w:rFonts w:eastAsia="仿宋_GB2312"/>
                <w:sz w:val="24"/>
              </w:rPr>
              <w:t>3</w:t>
            </w:r>
          </w:p>
        </w:tc>
        <w:tc>
          <w:tcPr>
            <w:tcW w:w="1275" w:type="dxa"/>
            <w:vAlign w:val="center"/>
          </w:tcPr>
          <w:p w:rsidR="003717A0" w:rsidRDefault="003717A0">
            <w:pPr>
              <w:jc w:val="center"/>
              <w:rPr>
                <w:rFonts w:eastAsia="仿宋_GB2312"/>
                <w:sz w:val="24"/>
              </w:rPr>
            </w:pPr>
            <w:r>
              <w:rPr>
                <w:rFonts w:eastAsia="仿宋_GB2312" w:hint="eastAsia"/>
                <w:sz w:val="24"/>
              </w:rPr>
              <w:t>总学时数</w:t>
            </w:r>
          </w:p>
        </w:tc>
        <w:tc>
          <w:tcPr>
            <w:tcW w:w="3311" w:type="dxa"/>
            <w:vAlign w:val="center"/>
          </w:tcPr>
          <w:p w:rsidR="003717A0" w:rsidRDefault="003717A0">
            <w:pPr>
              <w:jc w:val="center"/>
              <w:rPr>
                <w:rFonts w:eastAsia="仿宋_GB2312"/>
                <w:sz w:val="24"/>
              </w:rPr>
            </w:pPr>
            <w:r>
              <w:rPr>
                <w:rFonts w:eastAsia="仿宋_GB2312"/>
                <w:sz w:val="24"/>
              </w:rPr>
              <w:t>48</w:t>
            </w:r>
          </w:p>
        </w:tc>
      </w:tr>
      <w:tr w:rsidR="003717A0" w:rsidTr="00F5156D">
        <w:trPr>
          <w:trHeight w:val="437"/>
          <w:jc w:val="center"/>
        </w:trPr>
        <w:tc>
          <w:tcPr>
            <w:tcW w:w="1384" w:type="dxa"/>
            <w:vAlign w:val="center"/>
          </w:tcPr>
          <w:p w:rsidR="003717A0" w:rsidRDefault="003717A0">
            <w:pPr>
              <w:jc w:val="center"/>
              <w:rPr>
                <w:rFonts w:eastAsia="仿宋_GB2312"/>
                <w:sz w:val="24"/>
              </w:rPr>
            </w:pPr>
            <w:r>
              <w:rPr>
                <w:rFonts w:eastAsia="仿宋_GB2312" w:hint="eastAsia"/>
                <w:sz w:val="24"/>
              </w:rPr>
              <w:t>任课教师</w:t>
            </w:r>
          </w:p>
        </w:tc>
        <w:tc>
          <w:tcPr>
            <w:tcW w:w="2552" w:type="dxa"/>
            <w:gridSpan w:val="2"/>
            <w:vAlign w:val="center"/>
          </w:tcPr>
          <w:p w:rsidR="003717A0" w:rsidRDefault="003717A0">
            <w:pPr>
              <w:jc w:val="center"/>
              <w:rPr>
                <w:rFonts w:eastAsia="仿宋_GB2312"/>
                <w:sz w:val="24"/>
              </w:rPr>
            </w:pPr>
            <w:r>
              <w:rPr>
                <w:rFonts w:eastAsia="仿宋_GB2312" w:hint="eastAsia"/>
                <w:sz w:val="24"/>
              </w:rPr>
              <w:t>公共外语教学部教师</w:t>
            </w:r>
          </w:p>
        </w:tc>
        <w:tc>
          <w:tcPr>
            <w:tcW w:w="1275" w:type="dxa"/>
            <w:vAlign w:val="center"/>
          </w:tcPr>
          <w:p w:rsidR="003717A0" w:rsidRDefault="003717A0">
            <w:pPr>
              <w:jc w:val="center"/>
              <w:rPr>
                <w:rFonts w:eastAsia="仿宋_GB2312"/>
                <w:sz w:val="24"/>
              </w:rPr>
            </w:pPr>
            <w:r>
              <w:rPr>
                <w:rFonts w:eastAsia="仿宋_GB2312" w:hint="eastAsia"/>
                <w:sz w:val="24"/>
              </w:rPr>
              <w:t>开课校区</w:t>
            </w:r>
          </w:p>
        </w:tc>
        <w:tc>
          <w:tcPr>
            <w:tcW w:w="3311" w:type="dxa"/>
            <w:vAlign w:val="center"/>
          </w:tcPr>
          <w:p w:rsidR="003717A0" w:rsidRDefault="003717A0">
            <w:pPr>
              <w:jc w:val="center"/>
              <w:rPr>
                <w:rFonts w:eastAsia="仿宋_GB2312"/>
                <w:sz w:val="24"/>
              </w:rPr>
            </w:pPr>
            <w:r>
              <w:rPr>
                <w:rFonts w:eastAsia="仿宋_GB2312" w:hint="eastAsia"/>
                <w:sz w:val="24"/>
              </w:rPr>
              <w:t>主校区、启秀校区、钟秀校区</w:t>
            </w:r>
          </w:p>
        </w:tc>
      </w:tr>
      <w:tr w:rsidR="003717A0" w:rsidTr="00F5156D">
        <w:trPr>
          <w:trHeight w:val="527"/>
          <w:jc w:val="center"/>
        </w:trPr>
        <w:tc>
          <w:tcPr>
            <w:tcW w:w="1384" w:type="dxa"/>
            <w:vAlign w:val="center"/>
          </w:tcPr>
          <w:p w:rsidR="003717A0" w:rsidRDefault="003717A0">
            <w:pPr>
              <w:jc w:val="center"/>
              <w:rPr>
                <w:rFonts w:eastAsia="仿宋_GB2312"/>
                <w:sz w:val="24"/>
              </w:rPr>
            </w:pPr>
            <w:r>
              <w:rPr>
                <w:rFonts w:eastAsia="仿宋_GB2312" w:hint="eastAsia"/>
                <w:sz w:val="24"/>
              </w:rPr>
              <w:t>课程性质</w:t>
            </w:r>
          </w:p>
        </w:tc>
        <w:tc>
          <w:tcPr>
            <w:tcW w:w="7138" w:type="dxa"/>
            <w:gridSpan w:val="4"/>
            <w:vAlign w:val="center"/>
          </w:tcPr>
          <w:p w:rsidR="003717A0" w:rsidRDefault="003717A0">
            <w:pPr>
              <w:jc w:val="center"/>
              <w:rPr>
                <w:rFonts w:eastAsia="仿宋_GB2312"/>
                <w:sz w:val="24"/>
              </w:rPr>
            </w:pPr>
            <w:r>
              <w:rPr>
                <w:rFonts w:eastAsia="仿宋_GB2312" w:hint="eastAsia"/>
                <w:sz w:val="24"/>
              </w:rPr>
              <w:t>公共基础课</w:t>
            </w:r>
          </w:p>
        </w:tc>
      </w:tr>
      <w:tr w:rsidR="003717A0" w:rsidTr="00F5156D">
        <w:trPr>
          <w:trHeight w:val="572"/>
          <w:jc w:val="center"/>
        </w:trPr>
        <w:tc>
          <w:tcPr>
            <w:tcW w:w="1384" w:type="dxa"/>
            <w:vAlign w:val="center"/>
          </w:tcPr>
          <w:p w:rsidR="003717A0" w:rsidRDefault="003717A0">
            <w:pPr>
              <w:jc w:val="center"/>
              <w:rPr>
                <w:rFonts w:eastAsia="仿宋_GB2312"/>
                <w:sz w:val="24"/>
              </w:rPr>
            </w:pPr>
            <w:r>
              <w:rPr>
                <w:rFonts w:eastAsia="仿宋_GB2312" w:hint="eastAsia"/>
                <w:sz w:val="24"/>
              </w:rPr>
              <w:t>先修课程</w:t>
            </w:r>
          </w:p>
        </w:tc>
        <w:tc>
          <w:tcPr>
            <w:tcW w:w="7138" w:type="dxa"/>
            <w:gridSpan w:val="4"/>
            <w:vAlign w:val="center"/>
          </w:tcPr>
          <w:p w:rsidR="003717A0" w:rsidRDefault="003717A0">
            <w:pPr>
              <w:jc w:val="center"/>
              <w:rPr>
                <w:rFonts w:eastAsia="仿宋_GB2312"/>
                <w:sz w:val="24"/>
              </w:rPr>
            </w:pPr>
            <w:r>
              <w:rPr>
                <w:rFonts w:eastAsia="仿宋_GB2312" w:hint="eastAsia"/>
                <w:sz w:val="24"/>
              </w:rPr>
              <w:t>大学英语</w:t>
            </w:r>
            <w:r>
              <w:rPr>
                <w:rFonts w:eastAsia="仿宋_GB2312"/>
                <w:sz w:val="24"/>
              </w:rPr>
              <w:t>I</w:t>
            </w:r>
            <w:r>
              <w:rPr>
                <w:rFonts w:eastAsia="仿宋_GB2312" w:hint="eastAsia"/>
                <w:sz w:val="24"/>
              </w:rPr>
              <w:t>、大学英语</w:t>
            </w:r>
            <w:r>
              <w:rPr>
                <w:rFonts w:eastAsia="仿宋_GB2312"/>
                <w:sz w:val="24"/>
              </w:rPr>
              <w:t>II</w:t>
            </w:r>
          </w:p>
        </w:tc>
      </w:tr>
      <w:tr w:rsidR="003717A0" w:rsidTr="00F5156D">
        <w:trPr>
          <w:trHeight w:val="1091"/>
          <w:jc w:val="center"/>
        </w:trPr>
        <w:tc>
          <w:tcPr>
            <w:tcW w:w="2881" w:type="dxa"/>
            <w:gridSpan w:val="2"/>
            <w:vAlign w:val="center"/>
          </w:tcPr>
          <w:p w:rsidR="003717A0" w:rsidRDefault="003717A0">
            <w:pPr>
              <w:rPr>
                <w:rFonts w:eastAsia="仿宋_GB2312"/>
                <w:sz w:val="24"/>
              </w:rPr>
            </w:pPr>
            <w:r>
              <w:rPr>
                <w:rFonts w:eastAsia="仿宋_GB2312" w:hint="eastAsia"/>
                <w:sz w:val="24"/>
              </w:rPr>
              <w:t>使用教材</w:t>
            </w:r>
          </w:p>
        </w:tc>
        <w:tc>
          <w:tcPr>
            <w:tcW w:w="5641" w:type="dxa"/>
            <w:gridSpan w:val="3"/>
            <w:vAlign w:val="center"/>
          </w:tcPr>
          <w:p w:rsidR="003717A0" w:rsidRDefault="003717A0">
            <w:pPr>
              <w:widowControl/>
              <w:spacing w:line="360" w:lineRule="auto"/>
              <w:ind w:firstLineChars="200" w:firstLine="420"/>
              <w:jc w:val="left"/>
              <w:rPr>
                <w:szCs w:val="21"/>
              </w:rPr>
            </w:pPr>
            <w:r>
              <w:rPr>
                <w:rFonts w:hint="eastAsia"/>
                <w:szCs w:val="21"/>
              </w:rPr>
              <w:t>《新视野大学英语读写教程</w:t>
            </w:r>
            <w:r>
              <w:rPr>
                <w:szCs w:val="21"/>
              </w:rPr>
              <w:t xml:space="preserve"> </w:t>
            </w:r>
            <w:r>
              <w:rPr>
                <w:rFonts w:hint="eastAsia"/>
                <w:szCs w:val="21"/>
              </w:rPr>
              <w:t>第</w:t>
            </w:r>
            <w:r>
              <w:rPr>
                <w:szCs w:val="21"/>
              </w:rPr>
              <w:t>3</w:t>
            </w:r>
            <w:r>
              <w:rPr>
                <w:rFonts w:hint="eastAsia"/>
                <w:szCs w:val="21"/>
              </w:rPr>
              <w:t>册》，外语教学与研究出版社；《流程英语口语教程》学生用书第</w:t>
            </w:r>
            <w:r>
              <w:rPr>
                <w:szCs w:val="21"/>
              </w:rPr>
              <w:t>3</w:t>
            </w:r>
            <w:r>
              <w:rPr>
                <w:rFonts w:hint="eastAsia"/>
                <w:szCs w:val="21"/>
              </w:rPr>
              <w:t>册，上海外语教学与研究出版社</w:t>
            </w:r>
          </w:p>
        </w:tc>
      </w:tr>
    </w:tbl>
    <w:p w:rsidR="003717A0" w:rsidRDefault="003717A0">
      <w:pPr>
        <w:rPr>
          <w:rFonts w:eastAsia="仿宋_GB2312"/>
          <w:sz w:val="24"/>
        </w:rPr>
      </w:pPr>
    </w:p>
    <w:p w:rsidR="003717A0" w:rsidRDefault="003717A0">
      <w:pPr>
        <w:spacing w:line="360" w:lineRule="auto"/>
        <w:rPr>
          <w:rFonts w:eastAsia="仿宋_GB2312"/>
          <w:b/>
          <w:sz w:val="24"/>
        </w:rPr>
      </w:pPr>
      <w:r>
        <w:rPr>
          <w:rFonts w:eastAsia="仿宋_GB2312" w:hint="eastAsia"/>
          <w:b/>
          <w:sz w:val="24"/>
        </w:rPr>
        <w:t>本课程教学目的</w:t>
      </w:r>
    </w:p>
    <w:p w:rsidR="003717A0" w:rsidRDefault="003717A0">
      <w:pPr>
        <w:spacing w:line="360" w:lineRule="auto"/>
        <w:ind w:firstLine="435"/>
        <w:rPr>
          <w:rFonts w:eastAsia="仿宋_GB2312"/>
          <w:sz w:val="24"/>
        </w:rPr>
      </w:pPr>
      <w:r>
        <w:rPr>
          <w:rFonts w:eastAsia="仿宋_GB2312" w:hint="eastAsia"/>
          <w:sz w:val="24"/>
        </w:rPr>
        <w:t>大学英语是以外语教学理论为指导，以英语语言知识与应用技能、跨文化交际和学习策略为主要内容，并集多种教学模式和教学手段为一体的教学体系。大学英语的教学目标是培养学生的英语综合应用能力，使他们在今后学习、工作和社会交往中能用英语有效地进行交际，同时增强其自主学习能力，提高综合文化素养，以适应我国社会发展和国际交流的需要。由于语言既是符号系统（</w:t>
      </w:r>
      <w:r>
        <w:rPr>
          <w:rFonts w:eastAsia="仿宋_GB2312"/>
          <w:sz w:val="24"/>
        </w:rPr>
        <w:t>a system of symbols</w:t>
      </w:r>
      <w:r>
        <w:rPr>
          <w:rFonts w:eastAsia="仿宋_GB2312" w:hint="eastAsia"/>
          <w:sz w:val="24"/>
        </w:rPr>
        <w:t>），也是交际工具</w:t>
      </w:r>
      <w:r>
        <w:rPr>
          <w:rFonts w:eastAsia="仿宋_GB2312"/>
          <w:sz w:val="24"/>
        </w:rPr>
        <w:t>( a tool for communication)</w:t>
      </w:r>
      <w:r>
        <w:rPr>
          <w:rFonts w:eastAsia="仿宋_GB2312" w:hint="eastAsia"/>
          <w:sz w:val="24"/>
        </w:rPr>
        <w:t>；既是思维工具</w:t>
      </w:r>
      <w:r>
        <w:rPr>
          <w:rFonts w:eastAsia="仿宋_GB2312"/>
          <w:sz w:val="24"/>
        </w:rPr>
        <w:t>( the dress of thought)</w:t>
      </w:r>
      <w:r>
        <w:rPr>
          <w:rFonts w:eastAsia="仿宋_GB2312" w:hint="eastAsia"/>
          <w:sz w:val="24"/>
        </w:rPr>
        <w:t>，也是文化载体</w:t>
      </w:r>
      <w:r>
        <w:rPr>
          <w:rFonts w:eastAsia="仿宋_GB2312"/>
          <w:sz w:val="24"/>
        </w:rPr>
        <w:t>( a carrier of culture)</w:t>
      </w:r>
      <w:r>
        <w:rPr>
          <w:rFonts w:eastAsia="仿宋_GB2312" w:hint="eastAsia"/>
          <w:sz w:val="24"/>
        </w:rPr>
        <w:t>，因此，大学英语教学的最终目的就是帮助学生打好语言基础，即在重视语言形式学习的同时，熟悉英语国家人的思维方式，借鉴和吸收英语文化精华，提高文化素质，培养学生的语言综合应用能力。大学英语基础阶段</w:t>
      </w:r>
      <w:r>
        <w:rPr>
          <w:rFonts w:eastAsia="仿宋_GB2312"/>
          <w:sz w:val="24"/>
        </w:rPr>
        <w:t>“</w:t>
      </w:r>
      <w:r>
        <w:rPr>
          <w:rFonts w:eastAsia="仿宋_GB2312" w:hint="eastAsia"/>
          <w:sz w:val="24"/>
        </w:rPr>
        <w:t>综合英语</w:t>
      </w:r>
      <w:r>
        <w:rPr>
          <w:rFonts w:eastAsia="仿宋_GB2312"/>
          <w:sz w:val="24"/>
        </w:rPr>
        <w:t>”</w:t>
      </w:r>
      <w:r>
        <w:rPr>
          <w:rFonts w:eastAsia="仿宋_GB2312" w:hint="eastAsia"/>
          <w:sz w:val="24"/>
        </w:rPr>
        <w:t>课程的教学则是达到上述目标的重要环节之一。</w:t>
      </w:r>
    </w:p>
    <w:p w:rsidR="003717A0" w:rsidRDefault="003717A0">
      <w:pPr>
        <w:spacing w:line="360" w:lineRule="auto"/>
        <w:rPr>
          <w:rFonts w:eastAsia="仿宋_GB2312"/>
          <w:b/>
          <w:sz w:val="24"/>
        </w:rPr>
      </w:pPr>
      <w:r>
        <w:rPr>
          <w:rFonts w:eastAsia="仿宋_GB2312" w:hint="eastAsia"/>
          <w:b/>
          <w:sz w:val="24"/>
        </w:rPr>
        <w:t>本课程教学对象</w:t>
      </w:r>
    </w:p>
    <w:p w:rsidR="003717A0" w:rsidRDefault="003717A0">
      <w:pPr>
        <w:spacing w:line="360" w:lineRule="auto"/>
        <w:ind w:firstLine="435"/>
        <w:rPr>
          <w:rFonts w:eastAsia="仿宋_GB2312"/>
          <w:sz w:val="24"/>
        </w:rPr>
      </w:pPr>
      <w:r>
        <w:rPr>
          <w:rFonts w:eastAsia="仿宋_GB2312" w:hint="eastAsia"/>
          <w:sz w:val="24"/>
        </w:rPr>
        <w:t>大学英语基础阶段的</w:t>
      </w:r>
      <w:r>
        <w:rPr>
          <w:rFonts w:eastAsia="仿宋_GB2312"/>
          <w:sz w:val="24"/>
        </w:rPr>
        <w:t>“</w:t>
      </w:r>
      <w:r>
        <w:rPr>
          <w:rFonts w:eastAsia="仿宋_GB2312" w:hint="eastAsia"/>
          <w:sz w:val="24"/>
        </w:rPr>
        <w:t>大学英语</w:t>
      </w:r>
      <w:r>
        <w:rPr>
          <w:rFonts w:eastAsia="仿宋_GB2312"/>
          <w:sz w:val="24"/>
        </w:rPr>
        <w:t>”</w:t>
      </w:r>
      <w:r>
        <w:rPr>
          <w:rFonts w:eastAsia="仿宋_GB2312" w:hint="eastAsia"/>
          <w:sz w:val="24"/>
        </w:rPr>
        <w:t>课程教学的对象为入学时已掌握了一定的英语语言语法知识，一定数量单词和读、听、写、说等方面受过初步训练的大学英语一、二年级本科生。大学英语教学分为基础阶段和高级阶段。基础阶段主要完成</w:t>
      </w:r>
      <w:r>
        <w:rPr>
          <w:rFonts w:eastAsia="仿宋_GB2312"/>
          <w:sz w:val="24"/>
        </w:rPr>
        <w:t>1-4</w:t>
      </w:r>
      <w:r>
        <w:rPr>
          <w:rFonts w:eastAsia="仿宋_GB2312" w:hint="eastAsia"/>
          <w:sz w:val="24"/>
        </w:rPr>
        <w:t>级的教学任务，教学实践为</w:t>
      </w:r>
      <w:r>
        <w:rPr>
          <w:rFonts w:eastAsia="仿宋_GB2312"/>
          <w:sz w:val="24"/>
        </w:rPr>
        <w:t>1-2</w:t>
      </w:r>
      <w:r>
        <w:rPr>
          <w:rFonts w:eastAsia="仿宋_GB2312" w:hint="eastAsia"/>
          <w:sz w:val="24"/>
        </w:rPr>
        <w:t>年级的四个学期：高级阶段主要完成大学英语拓展课程的教学任务，实践为</w:t>
      </w:r>
      <w:r>
        <w:rPr>
          <w:rFonts w:eastAsia="仿宋_GB2312"/>
          <w:sz w:val="24"/>
        </w:rPr>
        <w:t>3-4</w:t>
      </w:r>
      <w:r>
        <w:rPr>
          <w:rFonts w:eastAsia="仿宋_GB2312" w:hint="eastAsia"/>
          <w:sz w:val="24"/>
        </w:rPr>
        <w:t>年级的前三个阶段。本课程主要针对基础阶段的大学英语学习者。</w:t>
      </w:r>
    </w:p>
    <w:p w:rsidR="003717A0" w:rsidRDefault="003717A0">
      <w:pPr>
        <w:spacing w:line="360" w:lineRule="auto"/>
        <w:rPr>
          <w:rFonts w:eastAsia="仿宋_GB2312"/>
          <w:b/>
          <w:sz w:val="24"/>
        </w:rPr>
      </w:pPr>
      <w:r>
        <w:rPr>
          <w:rFonts w:eastAsia="仿宋_GB2312" w:hint="eastAsia"/>
          <w:b/>
          <w:sz w:val="24"/>
        </w:rPr>
        <w:t>教学手段、原则与要求</w:t>
      </w:r>
    </w:p>
    <w:p w:rsidR="003717A0" w:rsidRDefault="003717A0">
      <w:pPr>
        <w:spacing w:line="360" w:lineRule="auto"/>
        <w:ind w:firstLine="435"/>
        <w:rPr>
          <w:rFonts w:eastAsia="仿宋_GB2312"/>
          <w:sz w:val="24"/>
        </w:rPr>
      </w:pPr>
      <w:r>
        <w:rPr>
          <w:rFonts w:eastAsia="仿宋_GB2312"/>
          <w:sz w:val="24"/>
        </w:rPr>
        <w:lastRenderedPageBreak/>
        <w:t>“</w:t>
      </w:r>
      <w:r>
        <w:rPr>
          <w:rFonts w:eastAsia="仿宋_GB2312" w:hint="eastAsia"/>
          <w:sz w:val="24"/>
        </w:rPr>
        <w:t>大学英语</w:t>
      </w:r>
      <w:r>
        <w:rPr>
          <w:rFonts w:eastAsia="仿宋_GB2312"/>
          <w:sz w:val="24"/>
        </w:rPr>
        <w:t>III”</w:t>
      </w:r>
      <w:r>
        <w:rPr>
          <w:rFonts w:eastAsia="仿宋_GB2312" w:hint="eastAsia"/>
          <w:sz w:val="24"/>
        </w:rPr>
        <w:t>课程采用多媒体大班课，充分应用先进的多媒体网络等现代教育技术，引入计算机多媒体教学和网络学习平台，采用全方位、立体化的多媒体教学手段，提高教学效率和学生的学习质量。坚持</w:t>
      </w:r>
      <w:r>
        <w:rPr>
          <w:rFonts w:eastAsia="仿宋_GB2312"/>
          <w:sz w:val="24"/>
        </w:rPr>
        <w:t>“</w:t>
      </w:r>
      <w:r>
        <w:rPr>
          <w:rFonts w:eastAsia="仿宋_GB2312" w:hint="eastAsia"/>
          <w:sz w:val="24"/>
        </w:rPr>
        <w:t>厚语言基础、强综合应用能力、因人因材施教</w:t>
      </w:r>
      <w:r>
        <w:rPr>
          <w:rFonts w:eastAsia="仿宋_GB2312"/>
          <w:sz w:val="24"/>
        </w:rPr>
        <w:t>”</w:t>
      </w:r>
      <w:r>
        <w:rPr>
          <w:rFonts w:eastAsia="仿宋_GB2312" w:hint="eastAsia"/>
          <w:sz w:val="24"/>
        </w:rPr>
        <w:t>的教学原则。由于我校大学英语的教学模式为“</w:t>
      </w:r>
      <w:r>
        <w:rPr>
          <w:rFonts w:eastAsia="仿宋_GB2312"/>
          <w:sz w:val="24"/>
        </w:rPr>
        <w:t>2+X1+X2”</w:t>
      </w:r>
      <w:r>
        <w:rPr>
          <w:rFonts w:eastAsia="仿宋_GB2312" w:hint="eastAsia"/>
          <w:sz w:val="24"/>
        </w:rPr>
        <w:t>，即每两周</w:t>
      </w:r>
      <w:r>
        <w:rPr>
          <w:rFonts w:eastAsia="仿宋_GB2312"/>
          <w:sz w:val="24"/>
        </w:rPr>
        <w:t>2</w:t>
      </w:r>
      <w:r>
        <w:rPr>
          <w:rFonts w:eastAsia="仿宋_GB2312" w:hint="eastAsia"/>
          <w:sz w:val="24"/>
        </w:rPr>
        <w:t>节大班</w:t>
      </w:r>
      <w:r>
        <w:rPr>
          <w:rFonts w:eastAsia="仿宋_GB2312"/>
          <w:sz w:val="24"/>
        </w:rPr>
        <w:t>“</w:t>
      </w:r>
      <w:r>
        <w:rPr>
          <w:rFonts w:eastAsia="仿宋_GB2312" w:hint="eastAsia"/>
          <w:sz w:val="24"/>
        </w:rPr>
        <w:t>综合英语</w:t>
      </w:r>
      <w:r>
        <w:rPr>
          <w:rFonts w:eastAsia="仿宋_GB2312"/>
          <w:sz w:val="24"/>
        </w:rPr>
        <w:t>”</w:t>
      </w:r>
      <w:r>
        <w:rPr>
          <w:rFonts w:eastAsia="仿宋_GB2312" w:hint="eastAsia"/>
          <w:sz w:val="24"/>
        </w:rPr>
        <w:t>课程，每周</w:t>
      </w:r>
      <w:r>
        <w:rPr>
          <w:rFonts w:eastAsia="仿宋_GB2312"/>
          <w:sz w:val="24"/>
        </w:rPr>
        <w:t>2</w:t>
      </w:r>
      <w:r>
        <w:rPr>
          <w:rFonts w:eastAsia="仿宋_GB2312" w:hint="eastAsia"/>
          <w:sz w:val="24"/>
        </w:rPr>
        <w:t>节小班</w:t>
      </w:r>
      <w:r>
        <w:rPr>
          <w:rFonts w:eastAsia="仿宋_GB2312"/>
          <w:sz w:val="24"/>
        </w:rPr>
        <w:t>“</w:t>
      </w:r>
      <w:r>
        <w:rPr>
          <w:rFonts w:eastAsia="仿宋_GB2312" w:hint="eastAsia"/>
          <w:sz w:val="24"/>
        </w:rPr>
        <w:t>口语</w:t>
      </w:r>
      <w:r>
        <w:rPr>
          <w:rFonts w:eastAsia="仿宋_GB2312"/>
          <w:sz w:val="24"/>
        </w:rPr>
        <w:t>”</w:t>
      </w:r>
      <w:r>
        <w:rPr>
          <w:rFonts w:eastAsia="仿宋_GB2312" w:hint="eastAsia"/>
          <w:sz w:val="24"/>
        </w:rPr>
        <w:t>课程，另外，</w:t>
      </w:r>
      <w:r>
        <w:rPr>
          <w:rFonts w:eastAsia="仿宋_GB2312"/>
          <w:sz w:val="24"/>
        </w:rPr>
        <w:t xml:space="preserve">X2 </w:t>
      </w:r>
      <w:r>
        <w:rPr>
          <w:rFonts w:eastAsia="仿宋_GB2312" w:hint="eastAsia"/>
          <w:sz w:val="24"/>
        </w:rPr>
        <w:t>时数指学生根据自己的英语水平、学习进度和教师要求，随时随地上网提交书面读、写、译作业，参加论坛讨论、单元测试、强化听力和口语训练等内容，因此，在</w:t>
      </w:r>
      <w:r>
        <w:rPr>
          <w:rFonts w:eastAsia="仿宋_GB2312"/>
          <w:sz w:val="24"/>
        </w:rPr>
        <w:t>X2</w:t>
      </w:r>
      <w:r>
        <w:rPr>
          <w:rFonts w:eastAsia="仿宋_GB2312" w:hint="eastAsia"/>
          <w:sz w:val="24"/>
        </w:rPr>
        <w:t>时段内，教师必须要求学生完成该单元的学习情况。</w:t>
      </w:r>
      <w:r>
        <w:rPr>
          <w:rFonts w:eastAsia="仿宋_GB2312"/>
          <w:sz w:val="24"/>
        </w:rPr>
        <w:t xml:space="preserve">X2 </w:t>
      </w:r>
      <w:r>
        <w:rPr>
          <w:rFonts w:eastAsia="仿宋_GB2312" w:hint="eastAsia"/>
          <w:sz w:val="24"/>
        </w:rPr>
        <w:t>部分的学习时间每周不得低于</w:t>
      </w:r>
      <w:r>
        <w:rPr>
          <w:rFonts w:eastAsia="仿宋_GB2312"/>
          <w:sz w:val="24"/>
        </w:rPr>
        <w:t>4</w:t>
      </w:r>
      <w:r>
        <w:rPr>
          <w:rFonts w:eastAsia="仿宋_GB2312" w:hint="eastAsia"/>
          <w:sz w:val="24"/>
        </w:rPr>
        <w:t>小时。</w:t>
      </w:r>
    </w:p>
    <w:p w:rsidR="003717A0" w:rsidRDefault="003717A0">
      <w:pPr>
        <w:spacing w:line="360" w:lineRule="auto"/>
        <w:rPr>
          <w:rFonts w:eastAsia="仿宋_GB2312"/>
          <w:b/>
          <w:sz w:val="24"/>
        </w:rPr>
      </w:pPr>
      <w:r>
        <w:rPr>
          <w:rFonts w:eastAsia="仿宋_GB2312"/>
          <w:b/>
          <w:sz w:val="24"/>
        </w:rPr>
        <w:t>Band Three</w:t>
      </w:r>
    </w:p>
    <w:p w:rsidR="003717A0" w:rsidRDefault="003717A0">
      <w:pPr>
        <w:spacing w:line="360" w:lineRule="auto"/>
        <w:rPr>
          <w:rFonts w:eastAsia="仿宋_GB2312"/>
          <w:b/>
          <w:sz w:val="24"/>
        </w:rPr>
      </w:pPr>
      <w:r>
        <w:rPr>
          <w:rFonts w:eastAsia="仿宋_GB2312"/>
          <w:b/>
          <w:sz w:val="24"/>
        </w:rPr>
        <w:t>Unit 1 Love Without Limitations</w:t>
      </w:r>
    </w:p>
    <w:p w:rsidR="003717A0" w:rsidRDefault="003717A0">
      <w:pPr>
        <w:rPr>
          <w:b/>
          <w:i/>
          <w:sz w:val="24"/>
        </w:rPr>
      </w:pPr>
      <w:r>
        <w:rPr>
          <w:b/>
          <w:i/>
          <w:sz w:val="24"/>
        </w:rPr>
        <w:t>Teaching objectives:</w:t>
      </w:r>
    </w:p>
    <w:p w:rsidR="003717A0" w:rsidRDefault="003717A0">
      <w:pPr>
        <w:numPr>
          <w:ilvl w:val="0"/>
          <w:numId w:val="45"/>
        </w:numPr>
        <w:rPr>
          <w:sz w:val="24"/>
        </w:rPr>
      </w:pPr>
      <w:r>
        <w:rPr>
          <w:sz w:val="24"/>
        </w:rPr>
        <w:t xml:space="preserve">Grasp the main idea that the </w:t>
      </w:r>
      <w:r>
        <w:rPr>
          <w:sz w:val="24"/>
          <w:u w:val="single"/>
        </w:rPr>
        <w:t>content love</w:t>
      </w:r>
      <w:r>
        <w:rPr>
          <w:sz w:val="24"/>
        </w:rPr>
        <w:t xml:space="preserve"> and support of our friends and family would get us through whatever life might present, and know something about the </w:t>
      </w:r>
      <w:r>
        <w:rPr>
          <w:sz w:val="24"/>
          <w:u w:val="single"/>
        </w:rPr>
        <w:t>framework for love</w:t>
      </w:r>
      <w:r>
        <w:rPr>
          <w:sz w:val="24"/>
        </w:rPr>
        <w:t>.</w:t>
      </w:r>
    </w:p>
    <w:p w:rsidR="003717A0" w:rsidRDefault="003717A0">
      <w:pPr>
        <w:numPr>
          <w:ilvl w:val="0"/>
          <w:numId w:val="45"/>
        </w:numPr>
        <w:rPr>
          <w:sz w:val="24"/>
        </w:rPr>
      </w:pPr>
      <w:r>
        <w:rPr>
          <w:sz w:val="24"/>
        </w:rPr>
        <w:t>Appreciate the main writing technique employed in the text--- situation-problem-solution/response-evaluation and an important reading skill- scanning.</w:t>
      </w:r>
    </w:p>
    <w:p w:rsidR="003717A0" w:rsidRDefault="003717A0">
      <w:pPr>
        <w:numPr>
          <w:ilvl w:val="0"/>
          <w:numId w:val="45"/>
        </w:numPr>
        <w:rPr>
          <w:sz w:val="24"/>
        </w:rPr>
      </w:pPr>
      <w:r>
        <w:rPr>
          <w:sz w:val="24"/>
        </w:rPr>
        <w:t>Grasp the important words and phrases presented in section A, section B, and exercises.</w:t>
      </w:r>
    </w:p>
    <w:p w:rsidR="003717A0" w:rsidRDefault="003717A0">
      <w:pPr>
        <w:rPr>
          <w:b/>
          <w:i/>
          <w:sz w:val="24"/>
        </w:rPr>
      </w:pPr>
      <w:r>
        <w:rPr>
          <w:b/>
          <w:i/>
          <w:sz w:val="24"/>
        </w:rPr>
        <w:t>Time allotment (6 periods):</w:t>
      </w:r>
    </w:p>
    <w:p w:rsidR="003717A0" w:rsidRDefault="003717A0">
      <w:pPr>
        <w:numPr>
          <w:ilvl w:val="0"/>
          <w:numId w:val="61"/>
        </w:numPr>
        <w:rPr>
          <w:sz w:val="24"/>
        </w:rPr>
      </w:pPr>
      <w:r>
        <w:rPr>
          <w:sz w:val="24"/>
        </w:rPr>
        <w:t>1</w:t>
      </w:r>
      <w:r>
        <w:rPr>
          <w:sz w:val="24"/>
          <w:vertAlign w:val="superscript"/>
        </w:rPr>
        <w:t>st</w:t>
      </w:r>
      <w:r>
        <w:rPr>
          <w:sz w:val="24"/>
        </w:rPr>
        <w:t xml:space="preserve"> and 2</w:t>
      </w:r>
      <w:r>
        <w:rPr>
          <w:sz w:val="24"/>
          <w:vertAlign w:val="superscript"/>
        </w:rPr>
        <w:t>nd</w:t>
      </w:r>
      <w:r>
        <w:rPr>
          <w:sz w:val="24"/>
        </w:rPr>
        <w:t xml:space="preserve"> period: Text A study</w:t>
      </w:r>
      <w:r>
        <w:rPr>
          <w:rFonts w:hint="eastAsia"/>
          <w:sz w:val="24"/>
        </w:rPr>
        <w:t>：</w:t>
      </w:r>
    </w:p>
    <w:p w:rsidR="003717A0" w:rsidRDefault="003717A0">
      <w:pPr>
        <w:rPr>
          <w:sz w:val="24"/>
        </w:rPr>
      </w:pPr>
      <w:r>
        <w:rPr>
          <w:sz w:val="24"/>
        </w:rPr>
        <w:t xml:space="preserve">                  background information; cultural notes; text organization; </w:t>
      </w:r>
    </w:p>
    <w:p w:rsidR="003717A0" w:rsidRDefault="003717A0">
      <w:pPr>
        <w:ind w:firstLineChars="900" w:firstLine="2160"/>
        <w:rPr>
          <w:sz w:val="24"/>
        </w:rPr>
      </w:pPr>
      <w:r>
        <w:rPr>
          <w:sz w:val="24"/>
        </w:rPr>
        <w:t xml:space="preserve">words and structures </w:t>
      </w:r>
    </w:p>
    <w:p w:rsidR="003717A0" w:rsidRDefault="003717A0">
      <w:pPr>
        <w:numPr>
          <w:ilvl w:val="0"/>
          <w:numId w:val="61"/>
        </w:numPr>
        <w:rPr>
          <w:sz w:val="24"/>
        </w:rPr>
      </w:pPr>
      <w:r>
        <w:rPr>
          <w:sz w:val="24"/>
        </w:rPr>
        <w:t>3</w:t>
      </w:r>
      <w:r>
        <w:rPr>
          <w:sz w:val="24"/>
          <w:vertAlign w:val="superscript"/>
        </w:rPr>
        <w:t>rd</w:t>
      </w:r>
      <w:r>
        <w:rPr>
          <w:sz w:val="24"/>
        </w:rPr>
        <w:t xml:space="preserve"> and 4</w:t>
      </w:r>
      <w:r>
        <w:rPr>
          <w:sz w:val="24"/>
          <w:vertAlign w:val="superscript"/>
        </w:rPr>
        <w:t>th</w:t>
      </w:r>
      <w:r>
        <w:rPr>
          <w:sz w:val="24"/>
        </w:rPr>
        <w:t xml:space="preserve"> period: Text A study</w:t>
      </w:r>
      <w:r>
        <w:rPr>
          <w:rFonts w:hint="eastAsia"/>
          <w:sz w:val="24"/>
        </w:rPr>
        <w:t>：</w:t>
      </w:r>
    </w:p>
    <w:p w:rsidR="003717A0" w:rsidRDefault="003717A0">
      <w:pPr>
        <w:ind w:firstLineChars="900" w:firstLine="2160"/>
        <w:rPr>
          <w:sz w:val="24"/>
        </w:rPr>
      </w:pPr>
      <w:r>
        <w:rPr>
          <w:sz w:val="24"/>
        </w:rPr>
        <w:t>Review key language points; exercises after text A; essay writing;</w:t>
      </w:r>
    </w:p>
    <w:p w:rsidR="003717A0" w:rsidRDefault="003717A0">
      <w:pPr>
        <w:numPr>
          <w:ilvl w:val="0"/>
          <w:numId w:val="61"/>
        </w:numPr>
        <w:rPr>
          <w:sz w:val="24"/>
        </w:rPr>
      </w:pPr>
      <w:r>
        <w:rPr>
          <w:sz w:val="24"/>
        </w:rPr>
        <w:t>5</w:t>
      </w:r>
      <w:r>
        <w:rPr>
          <w:sz w:val="24"/>
          <w:vertAlign w:val="superscript"/>
        </w:rPr>
        <w:t>th</w:t>
      </w:r>
      <w:r>
        <w:rPr>
          <w:sz w:val="24"/>
        </w:rPr>
        <w:t xml:space="preserve"> and 6</w:t>
      </w:r>
      <w:r>
        <w:rPr>
          <w:sz w:val="24"/>
          <w:vertAlign w:val="superscript"/>
        </w:rPr>
        <w:t>th</w:t>
      </w:r>
      <w:r>
        <w:rPr>
          <w:sz w:val="24"/>
        </w:rPr>
        <w:t xml:space="preserve"> period: Text B study:</w:t>
      </w:r>
    </w:p>
    <w:p w:rsidR="003717A0" w:rsidRDefault="003717A0">
      <w:pPr>
        <w:rPr>
          <w:sz w:val="24"/>
        </w:rPr>
      </w:pPr>
      <w:r>
        <w:rPr>
          <w:sz w:val="24"/>
        </w:rPr>
        <w:t xml:space="preserve">                  cultural notes; words and structures </w:t>
      </w:r>
    </w:p>
    <w:p w:rsidR="003717A0" w:rsidRDefault="003717A0">
      <w:pPr>
        <w:rPr>
          <w:sz w:val="24"/>
        </w:rPr>
      </w:pPr>
    </w:p>
    <w:p w:rsidR="003717A0" w:rsidRDefault="003717A0">
      <w:pPr>
        <w:rPr>
          <w:b/>
          <w:i/>
          <w:sz w:val="24"/>
        </w:rPr>
      </w:pPr>
      <w:r>
        <w:rPr>
          <w:b/>
          <w:i/>
          <w:sz w:val="24"/>
        </w:rPr>
        <w:t>Answer questions after finishing reading Text A:</w:t>
      </w:r>
    </w:p>
    <w:p w:rsidR="003717A0" w:rsidRDefault="003717A0">
      <w:pPr>
        <w:numPr>
          <w:ilvl w:val="0"/>
          <w:numId w:val="47"/>
        </w:numPr>
        <w:rPr>
          <w:sz w:val="24"/>
        </w:rPr>
      </w:pPr>
      <w:r>
        <w:rPr>
          <w:sz w:val="24"/>
        </w:rPr>
        <w:t>If you were in Margaret’s shoes, how would you treat Jimmy?</w:t>
      </w:r>
    </w:p>
    <w:p w:rsidR="003717A0" w:rsidRDefault="003717A0">
      <w:pPr>
        <w:rPr>
          <w:sz w:val="24"/>
        </w:rPr>
      </w:pPr>
      <w:r>
        <w:rPr>
          <w:sz w:val="24"/>
        </w:rPr>
        <w:t>2.  How should we treat the disabled?</w:t>
      </w:r>
    </w:p>
    <w:p w:rsidR="003717A0" w:rsidRDefault="003717A0">
      <w:pPr>
        <w:spacing w:line="360" w:lineRule="auto"/>
        <w:ind w:left="1294" w:hangingChars="539" w:hanging="1294"/>
        <w:rPr>
          <w:rFonts w:eastAsia="仿宋_GB2312"/>
          <w:sz w:val="24"/>
        </w:rPr>
      </w:pPr>
    </w:p>
    <w:p w:rsidR="003717A0" w:rsidRDefault="003717A0">
      <w:pPr>
        <w:spacing w:line="360" w:lineRule="auto"/>
        <w:ind w:left="1294" w:hangingChars="539" w:hanging="1294"/>
        <w:rPr>
          <w:rFonts w:eastAsia="仿宋_GB2312"/>
          <w:sz w:val="24"/>
        </w:rPr>
      </w:pPr>
      <w:r>
        <w:rPr>
          <w:rFonts w:eastAsia="仿宋_GB2312"/>
          <w:sz w:val="24"/>
        </w:rPr>
        <w:t xml:space="preserve">Key words: </w:t>
      </w:r>
      <w:r>
        <w:rPr>
          <w:sz w:val="24"/>
        </w:rPr>
        <w:t>inspire, considerate,parallel,manipulate,provocate,mislead,penetrate, vacant</w:t>
      </w:r>
    </w:p>
    <w:p w:rsidR="003717A0" w:rsidRDefault="003717A0">
      <w:r>
        <w:rPr>
          <w:rFonts w:eastAsia="仿宋_GB2312"/>
          <w:sz w:val="24"/>
        </w:rPr>
        <w:t xml:space="preserve">Key phrases and expressions: </w:t>
      </w:r>
      <w:r>
        <w:rPr>
          <w:sz w:val="24"/>
        </w:rPr>
        <w:t xml:space="preserve"> track down, </w:t>
      </w:r>
      <w:r>
        <w:t>pick on</w:t>
      </w:r>
      <w:r>
        <w:tab/>
        <w:t xml:space="preserve">tell on work out </w:t>
      </w:r>
      <w:r>
        <w:tab/>
        <w:t>call on</w:t>
      </w:r>
      <w:r>
        <w:tab/>
        <w:t xml:space="preserve">reckon with  account for </w:t>
      </w:r>
      <w:r>
        <w:tab/>
        <w:t xml:space="preserve"> end up doing  get through  hit/strike home on one</w:t>
      </w:r>
      <w:r>
        <w:rPr>
          <w:rFonts w:hint="eastAsia"/>
        </w:rPr>
        <w:t>’</w:t>
      </w:r>
      <w:r>
        <w:t xml:space="preserve">s own in disguise revolve around </w:t>
      </w:r>
      <w:r>
        <w:tab/>
        <w:t>race through</w:t>
      </w:r>
      <w:r>
        <w:tab/>
        <w:t xml:space="preserve"> pray for</w:t>
      </w:r>
    </w:p>
    <w:p w:rsidR="003717A0" w:rsidRDefault="003717A0">
      <w:pPr>
        <w:rPr>
          <w:rFonts w:eastAsia="仿宋_GB2312"/>
          <w:sz w:val="24"/>
        </w:rPr>
      </w:pPr>
    </w:p>
    <w:p w:rsidR="003717A0" w:rsidRDefault="003717A0">
      <w:pPr>
        <w:rPr>
          <w:rFonts w:eastAsia="仿宋_GB2312"/>
          <w:sz w:val="24"/>
        </w:rPr>
      </w:pPr>
      <w:r>
        <w:rPr>
          <w:rFonts w:eastAsia="仿宋_GB2312"/>
          <w:sz w:val="24"/>
        </w:rPr>
        <w:t>Grammatical Structure</w:t>
      </w:r>
    </w:p>
    <w:p w:rsidR="003717A0" w:rsidRDefault="003717A0">
      <w:pPr>
        <w:rPr>
          <w:sz w:val="24"/>
        </w:rPr>
      </w:pPr>
      <w:r>
        <w:rPr>
          <w:sz w:val="24"/>
        </w:rPr>
        <w:t>1….Jimmy unloaded color-coded boxes</w:t>
      </w:r>
    </w:p>
    <w:p w:rsidR="003717A0" w:rsidRDefault="003717A0">
      <w:pPr>
        <w:ind w:firstLine="420"/>
        <w:rPr>
          <w:sz w:val="24"/>
        </w:rPr>
      </w:pPr>
      <w:r>
        <w:rPr>
          <w:sz w:val="24"/>
        </w:rPr>
        <w:lastRenderedPageBreak/>
        <w:t>The word formation of “noun+ V-ed”.similar examples:</w:t>
      </w:r>
    </w:p>
    <w:p w:rsidR="003717A0" w:rsidRDefault="003717A0">
      <w:pPr>
        <w:ind w:firstLine="420"/>
        <w:rPr>
          <w:sz w:val="24"/>
        </w:rPr>
      </w:pPr>
      <w:r>
        <w:rPr>
          <w:sz w:val="24"/>
        </w:rPr>
        <w:t>Kid-centeded ; iorn-added</w:t>
      </w:r>
    </w:p>
    <w:p w:rsidR="003717A0" w:rsidRDefault="003717A0">
      <w:pPr>
        <w:ind w:firstLine="420"/>
        <w:rPr>
          <w:sz w:val="24"/>
        </w:rPr>
      </w:pPr>
      <w:r>
        <w:rPr>
          <w:sz w:val="24"/>
        </w:rPr>
        <w:t>Heart-broken; homemade</w:t>
      </w:r>
    </w:p>
    <w:p w:rsidR="003717A0" w:rsidRDefault="003717A0">
      <w:pPr>
        <w:ind w:left="360" w:hangingChars="150" w:hanging="360"/>
        <w:rPr>
          <w:sz w:val="24"/>
        </w:rPr>
      </w:pPr>
      <w:r>
        <w:rPr>
          <w:sz w:val="24"/>
        </w:rPr>
        <w:t>2. In fact, caring for someone who loves as deeply and appreciates my efforts as much as Jimmy does has enriched my life more than anything else ever could have.</w:t>
      </w:r>
    </w:p>
    <w:p w:rsidR="003717A0" w:rsidRDefault="003717A0">
      <w:pPr>
        <w:ind w:firstLineChars="150" w:firstLine="360"/>
        <w:rPr>
          <w:sz w:val="24"/>
        </w:rPr>
      </w:pPr>
      <w:r>
        <w:rPr>
          <w:sz w:val="24"/>
        </w:rPr>
        <w:t>The subject of the long sentence is “caring for someone” and the predicate is “has enriched”</w:t>
      </w:r>
    </w:p>
    <w:p w:rsidR="003717A0" w:rsidRDefault="003717A0">
      <w:pPr>
        <w:ind w:left="240" w:hangingChars="100" w:hanging="240"/>
        <w:rPr>
          <w:sz w:val="24"/>
        </w:rPr>
      </w:pPr>
      <w:r>
        <w:rPr>
          <w:sz w:val="24"/>
        </w:rPr>
        <w:t>3. No matter how much I tried to make things stay the same ,even Jimmy grasped that the world he had known was gone.</w:t>
      </w:r>
    </w:p>
    <w:p w:rsidR="003717A0" w:rsidRDefault="003717A0">
      <w:pPr>
        <w:ind w:firstLineChars="100" w:firstLine="240"/>
        <w:rPr>
          <w:sz w:val="24"/>
        </w:rPr>
      </w:pPr>
      <w:r>
        <w:rPr>
          <w:sz w:val="24"/>
        </w:rPr>
        <w:t>No matter how/when /where/what/who,etc.</w:t>
      </w:r>
    </w:p>
    <w:p w:rsidR="003717A0" w:rsidRDefault="003717A0">
      <w:pPr>
        <w:rPr>
          <w:rFonts w:eastAsia="仿宋_GB2312"/>
          <w:sz w:val="24"/>
        </w:rPr>
      </w:pPr>
    </w:p>
    <w:p w:rsidR="003717A0" w:rsidRDefault="003717A0">
      <w:pPr>
        <w:spacing w:line="360" w:lineRule="auto"/>
        <w:ind w:left="1176" w:hangingChars="490" w:hanging="1176"/>
        <w:rPr>
          <w:rFonts w:eastAsia="仿宋_GB2312"/>
          <w:sz w:val="24"/>
        </w:rPr>
      </w:pPr>
      <w:r>
        <w:rPr>
          <w:rFonts w:eastAsia="仿宋_GB2312"/>
          <w:sz w:val="24"/>
        </w:rPr>
        <w:t>Topic for writing:</w:t>
      </w:r>
    </w:p>
    <w:p w:rsidR="003717A0" w:rsidRDefault="003717A0">
      <w:pPr>
        <w:spacing w:line="360" w:lineRule="auto"/>
        <w:ind w:left="1176" w:hangingChars="490" w:hanging="1176"/>
        <w:rPr>
          <w:bCs/>
          <w:sz w:val="24"/>
        </w:rPr>
      </w:pPr>
      <w:r>
        <w:rPr>
          <w:bCs/>
          <w:i/>
          <w:sz w:val="24"/>
        </w:rPr>
        <w:t>The fight against air pollution</w:t>
      </w:r>
      <w:r>
        <w:rPr>
          <w:bCs/>
          <w:sz w:val="24"/>
        </w:rPr>
        <w:t xml:space="preserve"> </w:t>
      </w:r>
    </w:p>
    <w:p w:rsidR="003717A0" w:rsidRDefault="003717A0">
      <w:pPr>
        <w:rPr>
          <w:b/>
          <w:i/>
          <w:sz w:val="24"/>
        </w:rPr>
      </w:pPr>
      <w:r>
        <w:rPr>
          <w:b/>
          <w:i/>
          <w:sz w:val="24"/>
        </w:rPr>
        <w:t>Additional work:</w:t>
      </w:r>
    </w:p>
    <w:p w:rsidR="003717A0" w:rsidRDefault="003717A0">
      <w:pPr>
        <w:numPr>
          <w:ilvl w:val="0"/>
          <w:numId w:val="49"/>
        </w:numPr>
        <w:rPr>
          <w:sz w:val="24"/>
        </w:rPr>
      </w:pPr>
      <w:r>
        <w:rPr>
          <w:sz w:val="24"/>
        </w:rPr>
        <w:t>Recite the 1</w:t>
      </w:r>
      <w:r>
        <w:rPr>
          <w:sz w:val="24"/>
          <w:vertAlign w:val="superscript"/>
        </w:rPr>
        <w:t>st</w:t>
      </w:r>
      <w:r>
        <w:rPr>
          <w:sz w:val="24"/>
        </w:rPr>
        <w:t>, 4</w:t>
      </w:r>
      <w:r>
        <w:rPr>
          <w:sz w:val="24"/>
          <w:vertAlign w:val="superscript"/>
        </w:rPr>
        <w:t>rd</w:t>
      </w:r>
      <w:r>
        <w:rPr>
          <w:sz w:val="24"/>
        </w:rPr>
        <w:t xml:space="preserve"> and 12</w:t>
      </w:r>
      <w:r>
        <w:rPr>
          <w:sz w:val="24"/>
          <w:vertAlign w:val="superscript"/>
        </w:rPr>
        <w:t>th</w:t>
      </w:r>
      <w:r>
        <w:rPr>
          <w:sz w:val="24"/>
        </w:rPr>
        <w:t xml:space="preserve"> paragraphs in Text A.</w:t>
      </w:r>
    </w:p>
    <w:p w:rsidR="003717A0" w:rsidRDefault="003717A0">
      <w:pPr>
        <w:numPr>
          <w:ilvl w:val="0"/>
          <w:numId w:val="49"/>
        </w:numPr>
        <w:rPr>
          <w:sz w:val="24"/>
        </w:rPr>
      </w:pPr>
      <w:r>
        <w:rPr>
          <w:sz w:val="24"/>
        </w:rPr>
        <w:t>Summarize different people’s attitudes the disabled and prepare a presentation.</w:t>
      </w:r>
    </w:p>
    <w:p w:rsidR="003717A0" w:rsidRDefault="003717A0">
      <w:pPr>
        <w:numPr>
          <w:ilvl w:val="0"/>
          <w:numId w:val="49"/>
        </w:numPr>
        <w:rPr>
          <w:sz w:val="24"/>
        </w:rPr>
      </w:pPr>
      <w:r>
        <w:rPr>
          <w:sz w:val="24"/>
        </w:rPr>
        <w:t xml:space="preserve">Summarize the framework for love. </w:t>
      </w:r>
    </w:p>
    <w:p w:rsidR="003717A0" w:rsidRDefault="003717A0">
      <w:pPr>
        <w:spacing w:line="360" w:lineRule="auto"/>
        <w:ind w:left="1176" w:hangingChars="490" w:hanging="1176"/>
        <w:rPr>
          <w:rFonts w:eastAsia="仿宋_GB2312"/>
          <w:sz w:val="24"/>
        </w:rPr>
      </w:pPr>
    </w:p>
    <w:p w:rsidR="003717A0" w:rsidRDefault="003717A0">
      <w:pPr>
        <w:spacing w:line="360" w:lineRule="auto"/>
        <w:ind w:left="1181" w:hangingChars="490" w:hanging="1181"/>
        <w:rPr>
          <w:rFonts w:eastAsia="仿宋_GB2312"/>
          <w:b/>
          <w:sz w:val="24"/>
        </w:rPr>
      </w:pPr>
      <w:r>
        <w:rPr>
          <w:rFonts w:eastAsia="仿宋_GB2312"/>
          <w:b/>
          <w:sz w:val="24"/>
        </w:rPr>
        <w:t>Unit 2 Iron and the Effects of Exercise</w:t>
      </w:r>
    </w:p>
    <w:p w:rsidR="003717A0" w:rsidRDefault="003717A0">
      <w:pPr>
        <w:rPr>
          <w:bCs/>
          <w:sz w:val="24"/>
        </w:rPr>
      </w:pPr>
      <w:r>
        <w:rPr>
          <w:b/>
          <w:sz w:val="24"/>
        </w:rPr>
        <w:t>Teaching Objectives</w:t>
      </w:r>
    </w:p>
    <w:p w:rsidR="003717A0" w:rsidRDefault="003717A0">
      <w:pPr>
        <w:ind w:leftChars="150" w:left="675" w:hangingChars="150" w:hanging="360"/>
        <w:rPr>
          <w:bCs/>
          <w:sz w:val="24"/>
        </w:rPr>
      </w:pPr>
      <w:r>
        <w:rPr>
          <w:bCs/>
          <w:sz w:val="24"/>
        </w:rPr>
        <w:t>1) grasp the main idea (Iron deficiency and physical exercises are closely related to each other and we need to take proper measures to correct iron deficiency) and have a command of commonly-used expressions about this topic(iron deficiency) ;</w:t>
      </w:r>
    </w:p>
    <w:p w:rsidR="003717A0" w:rsidRDefault="003717A0">
      <w:pPr>
        <w:ind w:leftChars="150" w:left="555" w:hangingChars="100" w:hanging="240"/>
        <w:rPr>
          <w:bCs/>
          <w:sz w:val="24"/>
        </w:rPr>
      </w:pPr>
      <w:r>
        <w:rPr>
          <w:bCs/>
          <w:sz w:val="24"/>
        </w:rPr>
        <w:t>2) appreciate the main writing technique employed in the text—cause and effect, and try to learn the technique through writing practice;</w:t>
      </w:r>
    </w:p>
    <w:p w:rsidR="003717A0" w:rsidRDefault="003717A0">
      <w:pPr>
        <w:ind w:firstLineChars="150" w:firstLine="360"/>
        <w:rPr>
          <w:bCs/>
          <w:sz w:val="24"/>
        </w:rPr>
      </w:pPr>
      <w:r>
        <w:rPr>
          <w:bCs/>
          <w:sz w:val="24"/>
        </w:rPr>
        <w:t>3) master the key language points and grammatical structures through related practice</w:t>
      </w:r>
    </w:p>
    <w:p w:rsidR="003717A0" w:rsidRDefault="003717A0">
      <w:pPr>
        <w:rPr>
          <w:b/>
          <w:sz w:val="24"/>
        </w:rPr>
      </w:pPr>
    </w:p>
    <w:p w:rsidR="003717A0" w:rsidRDefault="003717A0">
      <w:pPr>
        <w:rPr>
          <w:b/>
          <w:i/>
          <w:sz w:val="24"/>
        </w:rPr>
      </w:pPr>
      <w:r>
        <w:rPr>
          <w:b/>
          <w:i/>
          <w:sz w:val="24"/>
        </w:rPr>
        <w:t>Time allotment (6 periods):</w:t>
      </w:r>
    </w:p>
    <w:p w:rsidR="003717A0" w:rsidRDefault="003717A0">
      <w:pPr>
        <w:numPr>
          <w:ilvl w:val="0"/>
          <w:numId w:val="61"/>
        </w:numPr>
        <w:rPr>
          <w:sz w:val="24"/>
        </w:rPr>
      </w:pPr>
      <w:r>
        <w:rPr>
          <w:sz w:val="24"/>
        </w:rPr>
        <w:t>1</w:t>
      </w:r>
      <w:r>
        <w:rPr>
          <w:sz w:val="24"/>
          <w:vertAlign w:val="superscript"/>
        </w:rPr>
        <w:t>st</w:t>
      </w:r>
      <w:r>
        <w:rPr>
          <w:sz w:val="24"/>
        </w:rPr>
        <w:t xml:space="preserve"> and 2</w:t>
      </w:r>
      <w:r>
        <w:rPr>
          <w:sz w:val="24"/>
          <w:vertAlign w:val="superscript"/>
        </w:rPr>
        <w:t>nd</w:t>
      </w:r>
      <w:r>
        <w:rPr>
          <w:sz w:val="24"/>
        </w:rPr>
        <w:t xml:space="preserve"> period: Text A study</w:t>
      </w:r>
      <w:r>
        <w:rPr>
          <w:rFonts w:hint="eastAsia"/>
          <w:sz w:val="24"/>
        </w:rPr>
        <w:t>：</w:t>
      </w:r>
    </w:p>
    <w:p w:rsidR="003717A0" w:rsidRDefault="003717A0">
      <w:pPr>
        <w:rPr>
          <w:sz w:val="24"/>
        </w:rPr>
      </w:pPr>
      <w:r>
        <w:rPr>
          <w:sz w:val="24"/>
        </w:rPr>
        <w:t xml:space="preserve">                  background information; cultural notes; text organization; </w:t>
      </w:r>
    </w:p>
    <w:p w:rsidR="003717A0" w:rsidRDefault="003717A0">
      <w:pPr>
        <w:ind w:firstLineChars="900" w:firstLine="2160"/>
        <w:rPr>
          <w:sz w:val="24"/>
        </w:rPr>
      </w:pPr>
      <w:r>
        <w:rPr>
          <w:sz w:val="24"/>
        </w:rPr>
        <w:t xml:space="preserve">words and structures </w:t>
      </w:r>
    </w:p>
    <w:p w:rsidR="003717A0" w:rsidRDefault="003717A0">
      <w:pPr>
        <w:numPr>
          <w:ilvl w:val="0"/>
          <w:numId w:val="61"/>
        </w:numPr>
        <w:rPr>
          <w:sz w:val="24"/>
        </w:rPr>
      </w:pPr>
      <w:r>
        <w:rPr>
          <w:sz w:val="24"/>
        </w:rPr>
        <w:t>3</w:t>
      </w:r>
      <w:r>
        <w:rPr>
          <w:sz w:val="24"/>
          <w:vertAlign w:val="superscript"/>
        </w:rPr>
        <w:t>rd</w:t>
      </w:r>
      <w:r>
        <w:rPr>
          <w:sz w:val="24"/>
        </w:rPr>
        <w:t xml:space="preserve"> and 4</w:t>
      </w:r>
      <w:r>
        <w:rPr>
          <w:sz w:val="24"/>
          <w:vertAlign w:val="superscript"/>
        </w:rPr>
        <w:t>th</w:t>
      </w:r>
      <w:r>
        <w:rPr>
          <w:sz w:val="24"/>
        </w:rPr>
        <w:t xml:space="preserve"> period: Text A study</w:t>
      </w:r>
      <w:r>
        <w:rPr>
          <w:rFonts w:hint="eastAsia"/>
          <w:sz w:val="24"/>
        </w:rPr>
        <w:t>：</w:t>
      </w:r>
    </w:p>
    <w:p w:rsidR="003717A0" w:rsidRDefault="003717A0">
      <w:pPr>
        <w:ind w:firstLineChars="900" w:firstLine="2160"/>
        <w:rPr>
          <w:sz w:val="24"/>
        </w:rPr>
      </w:pPr>
      <w:r>
        <w:rPr>
          <w:sz w:val="24"/>
        </w:rPr>
        <w:t>Review key language points; exercises after text A; essay writing;</w:t>
      </w:r>
    </w:p>
    <w:p w:rsidR="003717A0" w:rsidRDefault="003717A0">
      <w:pPr>
        <w:numPr>
          <w:ilvl w:val="0"/>
          <w:numId w:val="61"/>
        </w:numPr>
        <w:rPr>
          <w:sz w:val="24"/>
        </w:rPr>
      </w:pPr>
      <w:r>
        <w:rPr>
          <w:sz w:val="24"/>
        </w:rPr>
        <w:t>5</w:t>
      </w:r>
      <w:r>
        <w:rPr>
          <w:sz w:val="24"/>
          <w:vertAlign w:val="superscript"/>
        </w:rPr>
        <w:t>th</w:t>
      </w:r>
      <w:r>
        <w:rPr>
          <w:sz w:val="24"/>
        </w:rPr>
        <w:t xml:space="preserve"> and 6</w:t>
      </w:r>
      <w:r>
        <w:rPr>
          <w:sz w:val="24"/>
          <w:vertAlign w:val="superscript"/>
        </w:rPr>
        <w:t>th</w:t>
      </w:r>
      <w:r>
        <w:rPr>
          <w:sz w:val="24"/>
        </w:rPr>
        <w:t xml:space="preserve"> period: Text B study:</w:t>
      </w:r>
    </w:p>
    <w:p w:rsidR="003717A0" w:rsidRDefault="003717A0">
      <w:pPr>
        <w:rPr>
          <w:sz w:val="24"/>
        </w:rPr>
      </w:pPr>
      <w:r>
        <w:rPr>
          <w:sz w:val="24"/>
        </w:rPr>
        <w:t xml:space="preserve">                  cultural notes; words and structures </w:t>
      </w:r>
    </w:p>
    <w:p w:rsidR="003717A0" w:rsidRDefault="003717A0">
      <w:pPr>
        <w:spacing w:line="360" w:lineRule="auto"/>
        <w:ind w:left="1176" w:hangingChars="490" w:hanging="1176"/>
        <w:rPr>
          <w:rFonts w:eastAsia="仿宋_GB2312"/>
          <w:sz w:val="24"/>
        </w:rPr>
      </w:pPr>
      <w:r>
        <w:rPr>
          <w:rFonts w:eastAsia="仿宋_GB2312"/>
          <w:sz w:val="24"/>
        </w:rPr>
        <w:t>Questions for Discussion:</w:t>
      </w:r>
    </w:p>
    <w:p w:rsidR="003717A0" w:rsidRDefault="003717A0">
      <w:pPr>
        <w:rPr>
          <w:rFonts w:eastAsia="仿宋_GB2312"/>
          <w:sz w:val="24"/>
        </w:rPr>
      </w:pPr>
      <w:r>
        <w:rPr>
          <w:rFonts w:eastAsia="仿宋_GB2312"/>
          <w:sz w:val="24"/>
        </w:rPr>
        <w:t xml:space="preserve">1. What are the impressions and feelings of the writer on her coach? </w:t>
      </w:r>
    </w:p>
    <w:p w:rsidR="003717A0" w:rsidRDefault="003717A0">
      <w:pPr>
        <w:rPr>
          <w:rFonts w:eastAsia="仿宋_GB2312"/>
          <w:sz w:val="24"/>
        </w:rPr>
      </w:pPr>
      <w:r>
        <w:rPr>
          <w:rFonts w:eastAsia="仿宋_GB2312"/>
          <w:sz w:val="24"/>
        </w:rPr>
        <w:t xml:space="preserve">2. What is the Olympic standard for love? </w:t>
      </w:r>
    </w:p>
    <w:p w:rsidR="003717A0" w:rsidRDefault="003717A0">
      <w:pPr>
        <w:rPr>
          <w:rFonts w:eastAsia="仿宋_GB2312"/>
          <w:sz w:val="24"/>
        </w:rPr>
      </w:pPr>
      <w:r>
        <w:rPr>
          <w:rFonts w:eastAsia="仿宋_GB2312"/>
          <w:sz w:val="24"/>
        </w:rPr>
        <w:t>3. What are the Olympic spirits and what can we learn from them?</w:t>
      </w:r>
    </w:p>
    <w:p w:rsidR="003717A0" w:rsidRDefault="003717A0">
      <w:pPr>
        <w:spacing w:line="360" w:lineRule="auto"/>
        <w:rPr>
          <w:rFonts w:eastAsia="仿宋_GB2312"/>
          <w:sz w:val="24"/>
        </w:rPr>
      </w:pPr>
      <w:r>
        <w:rPr>
          <w:rFonts w:eastAsia="仿宋_GB2312"/>
          <w:sz w:val="24"/>
        </w:rPr>
        <w:t>Important Language Points in Text A</w:t>
      </w:r>
    </w:p>
    <w:p w:rsidR="003717A0" w:rsidRDefault="003717A0">
      <w:pPr>
        <w:spacing w:line="360" w:lineRule="auto"/>
        <w:ind w:left="1176" w:hangingChars="490" w:hanging="1176"/>
        <w:rPr>
          <w:rFonts w:eastAsia="仿宋_GB2312"/>
          <w:sz w:val="24"/>
        </w:rPr>
      </w:pPr>
      <w:r>
        <w:rPr>
          <w:rFonts w:eastAsia="仿宋_GB2312"/>
          <w:sz w:val="24"/>
        </w:rPr>
        <w:t xml:space="preserve">Key words: </w:t>
      </w:r>
      <w:r>
        <w:rPr>
          <w:sz w:val="24"/>
        </w:rPr>
        <w:t xml:space="preserve"> </w:t>
      </w:r>
      <w:r>
        <w:rPr>
          <w:bCs/>
          <w:sz w:val="24"/>
        </w:rPr>
        <w:t xml:space="preserve">moderate, evidence, supplement, </w:t>
      </w:r>
      <w:r>
        <w:rPr>
          <w:sz w:val="24"/>
        </w:rPr>
        <w:t xml:space="preserve"> </w:t>
      </w:r>
      <w:r>
        <w:rPr>
          <w:bCs/>
          <w:sz w:val="24"/>
        </w:rPr>
        <w:t xml:space="preserve">restrict, </w:t>
      </w:r>
      <w:r>
        <w:rPr>
          <w:sz w:val="24"/>
        </w:rPr>
        <w:t xml:space="preserve">digest, </w:t>
      </w:r>
      <w:r>
        <w:rPr>
          <w:bCs/>
          <w:sz w:val="24"/>
        </w:rPr>
        <w:t xml:space="preserve">sufficient, undo, interfere, </w:t>
      </w:r>
      <w:r>
        <w:rPr>
          <w:bCs/>
          <w:sz w:val="24"/>
        </w:rPr>
        <w:lastRenderedPageBreak/>
        <w:t>consume, advisable, derive</w:t>
      </w:r>
    </w:p>
    <w:p w:rsidR="003717A0" w:rsidRDefault="003717A0">
      <w:pPr>
        <w:jc w:val="left"/>
        <w:rPr>
          <w:sz w:val="24"/>
        </w:rPr>
      </w:pPr>
      <w:r>
        <w:rPr>
          <w:rFonts w:eastAsia="仿宋_GB2312"/>
          <w:sz w:val="24"/>
        </w:rPr>
        <w:t xml:space="preserve">Key phrases and expressions: </w:t>
      </w:r>
      <w:r>
        <w:rPr>
          <w:sz w:val="24"/>
        </w:rPr>
        <w:t xml:space="preserve"> to frequently have iron deficiencies</w:t>
      </w:r>
      <w:r>
        <w:rPr>
          <w:sz w:val="24"/>
        </w:rPr>
        <w:tab/>
        <w:t xml:space="preserve"> to show evidence of iron loss</w:t>
      </w:r>
      <w:r>
        <w:rPr>
          <w:sz w:val="24"/>
        </w:rPr>
        <w:tab/>
        <w:t xml:space="preserve"> to bounce back</w:t>
      </w:r>
    </w:p>
    <w:p w:rsidR="003717A0" w:rsidRDefault="003717A0">
      <w:pPr>
        <w:jc w:val="left"/>
        <w:rPr>
          <w:sz w:val="24"/>
        </w:rPr>
      </w:pPr>
      <w:r>
        <w:rPr>
          <w:sz w:val="24"/>
        </w:rPr>
        <w:t xml:space="preserve">to be at greatest risk </w:t>
      </w:r>
      <w:r>
        <w:rPr>
          <w:sz w:val="24"/>
        </w:rPr>
        <w:tab/>
        <w:t xml:space="preserve"> through a variety of mechanisms</w:t>
      </w:r>
      <w:r>
        <w:rPr>
          <w:sz w:val="24"/>
        </w:rPr>
        <w:tab/>
        <w:t xml:space="preserve">to modify your diet </w:t>
      </w:r>
    </w:p>
    <w:p w:rsidR="003717A0" w:rsidRDefault="003717A0">
      <w:pPr>
        <w:jc w:val="left"/>
        <w:rPr>
          <w:sz w:val="24"/>
        </w:rPr>
      </w:pPr>
      <w:r>
        <w:rPr>
          <w:sz w:val="24"/>
        </w:rPr>
        <w:t>to undo the problem</w:t>
      </w:r>
      <w:r>
        <w:rPr>
          <w:sz w:val="24"/>
        </w:rPr>
        <w:tab/>
        <w:t>to add more iron-rich foods to the diet</w:t>
      </w:r>
      <w:r>
        <w:rPr>
          <w:sz w:val="24"/>
        </w:rPr>
        <w:tab/>
        <w:t>to enhance the amount of iron absorbed to sum up</w:t>
      </w:r>
      <w:r>
        <w:rPr>
          <w:sz w:val="24"/>
        </w:rPr>
        <w:tab/>
        <w:t>lead to</w:t>
      </w:r>
      <w:r>
        <w:rPr>
          <w:sz w:val="24"/>
        </w:rPr>
        <w:tab/>
        <w:t>tip over the edge interfere in</w:t>
      </w:r>
      <w:r>
        <w:rPr>
          <w:sz w:val="24"/>
        </w:rPr>
        <w:tab/>
        <w:t xml:space="preserve">take in </w:t>
      </w:r>
      <w:r>
        <w:rPr>
          <w:sz w:val="24"/>
        </w:rPr>
        <w:tab/>
        <w:t>up to</w:t>
      </w:r>
    </w:p>
    <w:p w:rsidR="003717A0" w:rsidRDefault="003717A0">
      <w:pPr>
        <w:jc w:val="left"/>
        <w:rPr>
          <w:sz w:val="24"/>
        </w:rPr>
      </w:pPr>
      <w:r>
        <w:rPr>
          <w:sz w:val="24"/>
        </w:rPr>
        <w:t xml:space="preserve"> be liable to do sth.</w:t>
      </w:r>
      <w:r>
        <w:rPr>
          <w:sz w:val="24"/>
        </w:rPr>
        <w:tab/>
        <w:t>be typical of</w:t>
      </w:r>
      <w:r>
        <w:rPr>
          <w:sz w:val="24"/>
        </w:rPr>
        <w:tab/>
        <w:t xml:space="preserve"> it is advisable that</w:t>
      </w:r>
      <w:r>
        <w:rPr>
          <w:rFonts w:hint="eastAsia"/>
          <w:sz w:val="24"/>
        </w:rPr>
        <w:t>…</w:t>
      </w:r>
      <w:r>
        <w:rPr>
          <w:sz w:val="24"/>
        </w:rPr>
        <w:t>..derive from</w:t>
      </w:r>
      <w:r>
        <w:rPr>
          <w:sz w:val="24"/>
        </w:rPr>
        <w:tab/>
        <w:t xml:space="preserve"> go up safety-conscious in addition</w:t>
      </w:r>
      <w:r>
        <w:rPr>
          <w:sz w:val="24"/>
        </w:rPr>
        <w:tab/>
        <w:t>at a moderate speed</w:t>
      </w:r>
      <w:r>
        <w:rPr>
          <w:sz w:val="24"/>
        </w:rPr>
        <w:tab/>
      </w:r>
    </w:p>
    <w:p w:rsidR="003717A0" w:rsidRDefault="003717A0">
      <w:pPr>
        <w:spacing w:line="360" w:lineRule="auto"/>
        <w:ind w:left="3058" w:hangingChars="1274" w:hanging="3058"/>
        <w:rPr>
          <w:rFonts w:eastAsia="仿宋_GB2312"/>
          <w:sz w:val="24"/>
        </w:rPr>
      </w:pPr>
    </w:p>
    <w:p w:rsidR="003717A0" w:rsidRDefault="003717A0">
      <w:pPr>
        <w:spacing w:line="360" w:lineRule="auto"/>
        <w:rPr>
          <w:rFonts w:eastAsia="仿宋_GB2312"/>
          <w:sz w:val="24"/>
        </w:rPr>
      </w:pPr>
      <w:r>
        <w:rPr>
          <w:rFonts w:eastAsia="仿宋_GB2312"/>
          <w:sz w:val="24"/>
        </w:rPr>
        <w:t>Grammatical Structure</w:t>
      </w:r>
    </w:p>
    <w:p w:rsidR="003717A0" w:rsidRDefault="003717A0">
      <w:pPr>
        <w:ind w:left="593" w:hangingChars="247" w:hanging="593"/>
        <w:rPr>
          <w:sz w:val="24"/>
        </w:rPr>
      </w:pPr>
      <w:r>
        <w:rPr>
          <w:sz w:val="24"/>
        </w:rPr>
        <w:t xml:space="preserve">1. And because women often restrict their diet in an effort to control weight, they may not consume enough </w:t>
      </w:r>
    </w:p>
    <w:p w:rsidR="003717A0" w:rsidRDefault="003717A0">
      <w:pPr>
        <w:ind w:leftChars="200" w:left="528" w:hangingChars="45" w:hanging="108"/>
        <w:rPr>
          <w:sz w:val="24"/>
        </w:rPr>
      </w:pPr>
      <w:r>
        <w:rPr>
          <w:sz w:val="24"/>
        </w:rPr>
        <w:t xml:space="preserve">iron-rich food, and are liable to experience a deficiency. </w:t>
      </w:r>
    </w:p>
    <w:p w:rsidR="003717A0" w:rsidRDefault="003717A0">
      <w:pPr>
        <w:ind w:leftChars="100" w:left="210" w:firstLineChars="98" w:firstLine="235"/>
        <w:rPr>
          <w:sz w:val="24"/>
        </w:rPr>
      </w:pPr>
      <w:r>
        <w:rPr>
          <w:sz w:val="24"/>
        </w:rPr>
        <w:t xml:space="preserve">be liable to do sth. </w:t>
      </w:r>
      <w:r>
        <w:rPr>
          <w:rFonts w:hint="eastAsia"/>
          <w:sz w:val="24"/>
        </w:rPr>
        <w:t>有可能会</w:t>
      </w:r>
      <w:r>
        <w:rPr>
          <w:sz w:val="24"/>
        </w:rPr>
        <w:t>……</w:t>
      </w:r>
      <w:r>
        <w:rPr>
          <w:rFonts w:hint="eastAsia"/>
          <w:sz w:val="24"/>
        </w:rPr>
        <w:t>，易于：</w:t>
      </w:r>
      <w:r>
        <w:rPr>
          <w:sz w:val="24"/>
        </w:rPr>
        <w:tab/>
        <w:t xml:space="preserve">He is liable to get angry. </w:t>
      </w:r>
      <w:r>
        <w:rPr>
          <w:rFonts w:hint="eastAsia"/>
          <w:sz w:val="24"/>
        </w:rPr>
        <w:t>他容易发脾气。</w:t>
      </w:r>
    </w:p>
    <w:p w:rsidR="003717A0" w:rsidRDefault="003717A0">
      <w:pPr>
        <w:tabs>
          <w:tab w:val="left" w:pos="3915"/>
        </w:tabs>
        <w:ind w:left="353" w:hangingChars="147" w:hanging="353"/>
        <w:rPr>
          <w:sz w:val="24"/>
        </w:rPr>
      </w:pPr>
      <w:r>
        <w:rPr>
          <w:sz w:val="24"/>
        </w:rPr>
        <w:t xml:space="preserve">2. it’s advisable for people in these groups to have a yearly blood test to check blood iron reserves. </w:t>
      </w:r>
    </w:p>
    <w:p w:rsidR="003717A0" w:rsidRDefault="003717A0">
      <w:pPr>
        <w:ind w:leftChars="98" w:left="206"/>
        <w:rPr>
          <w:sz w:val="24"/>
        </w:rPr>
      </w:pPr>
      <w:r>
        <w:rPr>
          <w:rStyle w:val="black1"/>
          <w:b w:val="0"/>
          <w:sz w:val="24"/>
        </w:rPr>
        <w:t xml:space="preserve">It is advisable (for sb.) to do sth. / It is advisable that </w:t>
      </w:r>
      <w:r>
        <w:rPr>
          <w:sz w:val="24"/>
        </w:rPr>
        <w:t>+sb shiuld do sth</w:t>
      </w:r>
      <w:r>
        <w:rPr>
          <w:rFonts w:hint="eastAsia"/>
          <w:sz w:val="24"/>
        </w:rPr>
        <w:t>最好</w:t>
      </w:r>
      <w:r>
        <w:rPr>
          <w:sz w:val="24"/>
        </w:rPr>
        <w:t>……</w:t>
      </w:r>
      <w:r>
        <w:rPr>
          <w:rFonts w:hint="eastAsia"/>
          <w:sz w:val="24"/>
        </w:rPr>
        <w:t>，做某事是可取的</w:t>
      </w:r>
      <w:r>
        <w:rPr>
          <w:sz w:val="24"/>
        </w:rPr>
        <w:t>/</w:t>
      </w:r>
      <w:r>
        <w:rPr>
          <w:rFonts w:hint="eastAsia"/>
          <w:sz w:val="24"/>
        </w:rPr>
        <w:t>明智的</w:t>
      </w:r>
    </w:p>
    <w:p w:rsidR="003717A0" w:rsidRDefault="003717A0">
      <w:pPr>
        <w:ind w:left="235" w:hangingChars="98" w:hanging="235"/>
        <w:rPr>
          <w:sz w:val="24"/>
        </w:rPr>
      </w:pPr>
      <w:r>
        <w:rPr>
          <w:sz w:val="24"/>
        </w:rPr>
        <w:t>3. The iron content of tomato sauce cooked in an iron pot for three hours showed a striking increase, the level going up nearly 30 times.</w:t>
      </w:r>
    </w:p>
    <w:p w:rsidR="003717A0" w:rsidRDefault="003717A0">
      <w:pPr>
        <w:ind w:firstLineChars="98" w:firstLine="235"/>
        <w:rPr>
          <w:sz w:val="24"/>
        </w:rPr>
      </w:pPr>
      <w:r>
        <w:rPr>
          <w:sz w:val="24"/>
        </w:rPr>
        <w:t>the level going up nearly 30 times</w:t>
      </w:r>
      <w:r>
        <w:rPr>
          <w:rFonts w:hint="eastAsia"/>
          <w:sz w:val="24"/>
        </w:rPr>
        <w:t>是分词的独立结构</w:t>
      </w:r>
    </w:p>
    <w:p w:rsidR="003717A0" w:rsidRDefault="003717A0">
      <w:pPr>
        <w:spacing w:line="360" w:lineRule="auto"/>
        <w:ind w:left="1176" w:hangingChars="490" w:hanging="1176"/>
        <w:rPr>
          <w:rFonts w:eastAsia="仿宋_GB2312"/>
          <w:sz w:val="24"/>
        </w:rPr>
      </w:pPr>
      <w:r>
        <w:rPr>
          <w:rFonts w:eastAsia="仿宋_GB2312"/>
          <w:sz w:val="24"/>
        </w:rPr>
        <w:t>Topic for writing:</w:t>
      </w:r>
    </w:p>
    <w:p w:rsidR="003717A0" w:rsidRDefault="003717A0">
      <w:pPr>
        <w:spacing w:line="360" w:lineRule="auto"/>
        <w:ind w:left="1176" w:hangingChars="490" w:hanging="1176"/>
        <w:rPr>
          <w:bCs/>
          <w:iCs/>
          <w:sz w:val="24"/>
        </w:rPr>
      </w:pPr>
      <w:r>
        <w:rPr>
          <w:bCs/>
          <w:iCs/>
          <w:sz w:val="24"/>
        </w:rPr>
        <w:t>The Performance of Chinese and American Students in Studies</w:t>
      </w:r>
    </w:p>
    <w:p w:rsidR="003717A0" w:rsidRDefault="003717A0">
      <w:pPr>
        <w:ind w:firstLineChars="147" w:firstLine="353"/>
        <w:jc w:val="left"/>
        <w:rPr>
          <w:bCs/>
          <w:iCs/>
          <w:sz w:val="24"/>
        </w:rPr>
      </w:pPr>
      <w:r>
        <w:rPr>
          <w:bCs/>
          <w:iCs/>
          <w:sz w:val="24"/>
        </w:rPr>
        <w:t>Additional work:</w:t>
      </w:r>
    </w:p>
    <w:p w:rsidR="003717A0" w:rsidRDefault="003717A0">
      <w:pPr>
        <w:ind w:firstLineChars="350" w:firstLine="840"/>
        <w:jc w:val="left"/>
        <w:rPr>
          <w:sz w:val="24"/>
        </w:rPr>
      </w:pPr>
      <w:r>
        <w:rPr>
          <w:sz w:val="24"/>
        </w:rPr>
        <w:t>1. Recite the 1</w:t>
      </w:r>
      <w:r>
        <w:rPr>
          <w:sz w:val="24"/>
          <w:vertAlign w:val="superscript"/>
        </w:rPr>
        <w:t>st</w:t>
      </w:r>
      <w:r>
        <w:rPr>
          <w:sz w:val="24"/>
        </w:rPr>
        <w:t>, 4</w:t>
      </w:r>
      <w:r>
        <w:rPr>
          <w:sz w:val="24"/>
          <w:vertAlign w:val="superscript"/>
        </w:rPr>
        <w:t>nd</w:t>
      </w:r>
      <w:r>
        <w:rPr>
          <w:sz w:val="24"/>
        </w:rPr>
        <w:t xml:space="preserve"> and 6</w:t>
      </w:r>
      <w:r>
        <w:rPr>
          <w:sz w:val="24"/>
          <w:vertAlign w:val="superscript"/>
        </w:rPr>
        <w:t>rd</w:t>
      </w:r>
      <w:r>
        <w:rPr>
          <w:sz w:val="24"/>
        </w:rPr>
        <w:t xml:space="preserve"> paragraphs in Text A.</w:t>
      </w:r>
    </w:p>
    <w:p w:rsidR="003717A0" w:rsidRDefault="003717A0">
      <w:pPr>
        <w:ind w:leftChars="200" w:left="420" w:firstLineChars="200" w:firstLine="480"/>
        <w:jc w:val="left"/>
        <w:rPr>
          <w:sz w:val="24"/>
        </w:rPr>
      </w:pPr>
      <w:r>
        <w:rPr>
          <w:sz w:val="24"/>
        </w:rPr>
        <w:t>2. Summarize the text and prepare to give presentation in class.</w:t>
      </w:r>
    </w:p>
    <w:p w:rsidR="003717A0" w:rsidRDefault="003717A0">
      <w:pPr>
        <w:snapToGrid w:val="0"/>
        <w:ind w:firstLineChars="350" w:firstLine="840"/>
        <w:jc w:val="left"/>
        <w:rPr>
          <w:sz w:val="24"/>
        </w:rPr>
      </w:pPr>
      <w:r>
        <w:rPr>
          <w:sz w:val="24"/>
        </w:rPr>
        <w:t xml:space="preserve">3. Group discussion: </w:t>
      </w:r>
    </w:p>
    <w:p w:rsidR="003717A0" w:rsidRDefault="003717A0">
      <w:pPr>
        <w:snapToGrid w:val="0"/>
        <w:ind w:left="540" w:hangingChars="225" w:hanging="540"/>
        <w:jc w:val="left"/>
        <w:rPr>
          <w:bCs/>
          <w:sz w:val="24"/>
        </w:rPr>
      </w:pPr>
      <w:r>
        <w:rPr>
          <w:bCs/>
          <w:sz w:val="24"/>
        </w:rPr>
        <w:t xml:space="preserve">      1) Do you have exercise every day?  What are the good and bad effects of exercise?</w:t>
      </w:r>
    </w:p>
    <w:p w:rsidR="003717A0" w:rsidRDefault="003717A0">
      <w:pPr>
        <w:snapToGrid w:val="0"/>
        <w:ind w:firstLineChars="350" w:firstLine="840"/>
        <w:jc w:val="left"/>
        <w:rPr>
          <w:bCs/>
          <w:sz w:val="24"/>
        </w:rPr>
      </w:pPr>
      <w:r>
        <w:rPr>
          <w:bCs/>
          <w:sz w:val="24"/>
        </w:rPr>
        <w:t>2) If iron levels are low, what problems can people experience?</w:t>
      </w:r>
    </w:p>
    <w:p w:rsidR="003717A0" w:rsidRDefault="003717A0">
      <w:pPr>
        <w:ind w:firstLineChars="370" w:firstLine="888"/>
        <w:jc w:val="left"/>
        <w:rPr>
          <w:bCs/>
          <w:sz w:val="24"/>
        </w:rPr>
      </w:pPr>
      <w:r>
        <w:rPr>
          <w:bCs/>
          <w:sz w:val="24"/>
        </w:rPr>
        <w:t>3) What kind of food can we eat to correct iron deficiency in our bodies?</w:t>
      </w:r>
    </w:p>
    <w:p w:rsidR="003717A0" w:rsidRDefault="003717A0">
      <w:pPr>
        <w:spacing w:line="360" w:lineRule="auto"/>
        <w:rPr>
          <w:rFonts w:eastAsia="仿宋_GB2312"/>
          <w:sz w:val="24"/>
        </w:rPr>
      </w:pPr>
    </w:p>
    <w:p w:rsidR="003717A0" w:rsidRDefault="003717A0">
      <w:pPr>
        <w:spacing w:line="360" w:lineRule="auto"/>
        <w:rPr>
          <w:rFonts w:eastAsia="仿宋_GB2312"/>
          <w:b/>
          <w:sz w:val="24"/>
        </w:rPr>
      </w:pPr>
      <w:r>
        <w:rPr>
          <w:rFonts w:eastAsia="仿宋_GB2312"/>
          <w:b/>
          <w:sz w:val="24"/>
        </w:rPr>
        <w:t>Unit 3 Where Principles Come First</w:t>
      </w:r>
    </w:p>
    <w:p w:rsidR="003717A0" w:rsidRDefault="003717A0">
      <w:pPr>
        <w:rPr>
          <w:bCs/>
          <w:iCs/>
          <w:sz w:val="24"/>
        </w:rPr>
      </w:pPr>
      <w:r>
        <w:rPr>
          <w:bCs/>
          <w:iCs/>
          <w:sz w:val="24"/>
        </w:rPr>
        <w:t>Teaching objectives:</w:t>
      </w:r>
    </w:p>
    <w:p w:rsidR="003717A0" w:rsidRDefault="003717A0">
      <w:pPr>
        <w:rPr>
          <w:sz w:val="24"/>
        </w:rPr>
      </w:pPr>
      <w:r>
        <w:rPr>
          <w:sz w:val="24"/>
        </w:rPr>
        <w:t>1. To Require students to think about principles in education.</w:t>
      </w:r>
    </w:p>
    <w:p w:rsidR="003717A0" w:rsidRDefault="003717A0">
      <w:pPr>
        <w:rPr>
          <w:sz w:val="24"/>
        </w:rPr>
      </w:pPr>
      <w:r>
        <w:rPr>
          <w:sz w:val="24"/>
        </w:rPr>
        <w:t>2. To help students learn the new words and expressions.</w:t>
      </w:r>
    </w:p>
    <w:p w:rsidR="003717A0" w:rsidRDefault="003717A0">
      <w:pPr>
        <w:rPr>
          <w:sz w:val="24"/>
        </w:rPr>
      </w:pPr>
      <w:r>
        <w:rPr>
          <w:sz w:val="24"/>
        </w:rPr>
        <w:t>3. To get the students to communicate in English confidently.</w:t>
      </w:r>
    </w:p>
    <w:p w:rsidR="003717A0" w:rsidRDefault="003717A0">
      <w:pPr>
        <w:rPr>
          <w:sz w:val="24"/>
        </w:rPr>
      </w:pPr>
      <w:r>
        <w:rPr>
          <w:sz w:val="24"/>
        </w:rPr>
        <w:t>4. To teach the reading skill--- predict the general direction of the writer’s thinking.</w:t>
      </w:r>
    </w:p>
    <w:p w:rsidR="003717A0" w:rsidRDefault="003717A0">
      <w:pPr>
        <w:rPr>
          <w:b/>
          <w:i/>
          <w:sz w:val="24"/>
        </w:rPr>
      </w:pPr>
    </w:p>
    <w:p w:rsidR="003717A0" w:rsidRDefault="003717A0">
      <w:pPr>
        <w:rPr>
          <w:bCs/>
          <w:iCs/>
          <w:sz w:val="24"/>
        </w:rPr>
      </w:pPr>
      <w:r>
        <w:rPr>
          <w:bCs/>
          <w:iCs/>
          <w:sz w:val="24"/>
        </w:rPr>
        <w:t>Time allotment (6 periods):</w:t>
      </w:r>
    </w:p>
    <w:p w:rsidR="003717A0" w:rsidRDefault="003717A0">
      <w:pPr>
        <w:rPr>
          <w:sz w:val="24"/>
        </w:rPr>
      </w:pPr>
      <w:r>
        <w:rPr>
          <w:sz w:val="24"/>
        </w:rPr>
        <w:t>1.1</w:t>
      </w:r>
      <w:r>
        <w:rPr>
          <w:sz w:val="24"/>
          <w:vertAlign w:val="superscript"/>
        </w:rPr>
        <w:t>st</w:t>
      </w:r>
      <w:r>
        <w:rPr>
          <w:sz w:val="24"/>
        </w:rPr>
        <w:t xml:space="preserve"> and 2</w:t>
      </w:r>
      <w:r>
        <w:rPr>
          <w:sz w:val="24"/>
          <w:vertAlign w:val="superscript"/>
        </w:rPr>
        <w:t>nd</w:t>
      </w:r>
      <w:r>
        <w:rPr>
          <w:sz w:val="24"/>
        </w:rPr>
        <w:t xml:space="preserve"> period: Text A study</w:t>
      </w:r>
      <w:r>
        <w:rPr>
          <w:rFonts w:hint="eastAsia"/>
          <w:sz w:val="24"/>
        </w:rPr>
        <w:t>：</w:t>
      </w:r>
    </w:p>
    <w:p w:rsidR="003717A0" w:rsidRDefault="003717A0">
      <w:pPr>
        <w:rPr>
          <w:sz w:val="24"/>
        </w:rPr>
      </w:pPr>
      <w:r>
        <w:rPr>
          <w:sz w:val="24"/>
        </w:rPr>
        <w:lastRenderedPageBreak/>
        <w:t xml:space="preserve">                  background information; cultural notes; text organization; </w:t>
      </w:r>
    </w:p>
    <w:p w:rsidR="003717A0" w:rsidRDefault="003717A0">
      <w:pPr>
        <w:ind w:firstLineChars="900" w:firstLine="2160"/>
        <w:rPr>
          <w:sz w:val="24"/>
        </w:rPr>
      </w:pPr>
      <w:r>
        <w:rPr>
          <w:sz w:val="24"/>
        </w:rPr>
        <w:t xml:space="preserve">words and structures </w:t>
      </w:r>
    </w:p>
    <w:p w:rsidR="003717A0" w:rsidRDefault="003717A0">
      <w:pPr>
        <w:rPr>
          <w:sz w:val="24"/>
        </w:rPr>
      </w:pPr>
      <w:r>
        <w:rPr>
          <w:sz w:val="24"/>
        </w:rPr>
        <w:t>2. 3</w:t>
      </w:r>
      <w:r>
        <w:rPr>
          <w:sz w:val="24"/>
          <w:vertAlign w:val="superscript"/>
        </w:rPr>
        <w:t>rd</w:t>
      </w:r>
      <w:r>
        <w:rPr>
          <w:sz w:val="24"/>
        </w:rPr>
        <w:t xml:space="preserve"> and 4</w:t>
      </w:r>
      <w:r>
        <w:rPr>
          <w:sz w:val="24"/>
          <w:vertAlign w:val="superscript"/>
        </w:rPr>
        <w:t>th</w:t>
      </w:r>
      <w:r>
        <w:rPr>
          <w:sz w:val="24"/>
        </w:rPr>
        <w:t xml:space="preserve"> period: Text A study</w:t>
      </w:r>
      <w:r>
        <w:rPr>
          <w:rFonts w:hint="eastAsia"/>
          <w:sz w:val="24"/>
        </w:rPr>
        <w:t>：</w:t>
      </w:r>
    </w:p>
    <w:p w:rsidR="003717A0" w:rsidRDefault="003717A0">
      <w:pPr>
        <w:ind w:firstLineChars="900" w:firstLine="2160"/>
        <w:rPr>
          <w:sz w:val="24"/>
        </w:rPr>
      </w:pPr>
      <w:r>
        <w:rPr>
          <w:sz w:val="24"/>
        </w:rPr>
        <w:t>Review key language points; exercises after text A; essay writing;</w:t>
      </w:r>
    </w:p>
    <w:p w:rsidR="003717A0" w:rsidRDefault="003717A0">
      <w:pPr>
        <w:rPr>
          <w:sz w:val="24"/>
        </w:rPr>
      </w:pPr>
      <w:r>
        <w:rPr>
          <w:sz w:val="24"/>
        </w:rPr>
        <w:t>3. 5</w:t>
      </w:r>
      <w:r>
        <w:rPr>
          <w:sz w:val="24"/>
          <w:vertAlign w:val="superscript"/>
        </w:rPr>
        <w:t>th</w:t>
      </w:r>
      <w:r>
        <w:rPr>
          <w:sz w:val="24"/>
        </w:rPr>
        <w:t xml:space="preserve"> and 6</w:t>
      </w:r>
      <w:r>
        <w:rPr>
          <w:sz w:val="24"/>
          <w:vertAlign w:val="superscript"/>
        </w:rPr>
        <w:t>th</w:t>
      </w:r>
      <w:r>
        <w:rPr>
          <w:sz w:val="24"/>
        </w:rPr>
        <w:t xml:space="preserve"> period: Text B study:</w:t>
      </w:r>
    </w:p>
    <w:p w:rsidR="003717A0" w:rsidRDefault="003717A0">
      <w:pPr>
        <w:rPr>
          <w:sz w:val="24"/>
        </w:rPr>
      </w:pPr>
      <w:r>
        <w:rPr>
          <w:sz w:val="24"/>
        </w:rPr>
        <w:t xml:space="preserve">                  cultural notes; words and structures </w:t>
      </w:r>
    </w:p>
    <w:p w:rsidR="003717A0" w:rsidRDefault="003717A0">
      <w:pPr>
        <w:rPr>
          <w:b/>
          <w:i/>
          <w:sz w:val="24"/>
        </w:rPr>
      </w:pPr>
    </w:p>
    <w:p w:rsidR="003717A0" w:rsidRDefault="003717A0">
      <w:pPr>
        <w:rPr>
          <w:bCs/>
          <w:iCs/>
          <w:sz w:val="24"/>
        </w:rPr>
      </w:pPr>
      <w:r>
        <w:rPr>
          <w:bCs/>
          <w:iCs/>
          <w:sz w:val="24"/>
        </w:rPr>
        <w:t>Answer questions after finishing reading Text A:</w:t>
      </w:r>
    </w:p>
    <w:p w:rsidR="003717A0" w:rsidRDefault="003717A0">
      <w:pPr>
        <w:rPr>
          <w:sz w:val="24"/>
        </w:rPr>
      </w:pPr>
      <w:r>
        <w:rPr>
          <w:sz w:val="24"/>
        </w:rPr>
        <w:t xml:space="preserve">1.What does the Hyde School see as its main job when educating children?  </w:t>
      </w:r>
    </w:p>
    <w:p w:rsidR="003717A0" w:rsidRDefault="003717A0">
      <w:pPr>
        <w:rPr>
          <w:sz w:val="24"/>
        </w:rPr>
      </w:pPr>
      <w:r>
        <w:rPr>
          <w:sz w:val="24"/>
        </w:rPr>
        <w:t xml:space="preserve">2.What is the biggest challenge that the Hyde School faces in carrying out their work?  </w:t>
      </w:r>
    </w:p>
    <w:p w:rsidR="003717A0" w:rsidRDefault="003717A0">
      <w:pPr>
        <w:rPr>
          <w:sz w:val="24"/>
        </w:rPr>
      </w:pPr>
      <w:r>
        <w:rPr>
          <w:sz w:val="24"/>
        </w:rPr>
        <w:t xml:space="preserve">3.When you went to elementary or middle school, how were your parents involved in your education?  </w:t>
      </w:r>
    </w:p>
    <w:p w:rsidR="003717A0" w:rsidRDefault="003717A0">
      <w:pPr>
        <w:spacing w:line="360" w:lineRule="auto"/>
        <w:rPr>
          <w:rFonts w:eastAsia="仿宋_GB2312"/>
          <w:sz w:val="24"/>
        </w:rPr>
      </w:pPr>
      <w:r>
        <w:rPr>
          <w:rFonts w:eastAsia="仿宋_GB2312"/>
          <w:sz w:val="24"/>
        </w:rPr>
        <w:t>Important Language Points in Text A</w:t>
      </w:r>
    </w:p>
    <w:p w:rsidR="003717A0" w:rsidRDefault="003717A0">
      <w:pPr>
        <w:spacing w:line="360" w:lineRule="auto"/>
        <w:ind w:left="1294" w:hangingChars="539" w:hanging="1294"/>
        <w:rPr>
          <w:rFonts w:eastAsia="仿宋_GB2312"/>
          <w:sz w:val="24"/>
        </w:rPr>
      </w:pPr>
      <w:r>
        <w:rPr>
          <w:rFonts w:eastAsia="仿宋_GB2312"/>
          <w:sz w:val="24"/>
        </w:rPr>
        <w:t xml:space="preserve">Key words: </w:t>
      </w:r>
      <w:r>
        <w:rPr>
          <w:rStyle w:val="texta1"/>
          <w:rFonts w:ascii="Times New Roman" w:hAnsi="Times New Roman"/>
          <w:bCs/>
          <w:sz w:val="24"/>
          <w:szCs w:val="24"/>
        </w:rPr>
        <w:t xml:space="preserve">publicity, </w:t>
      </w:r>
      <w:r>
        <w:rPr>
          <w:sz w:val="24"/>
        </w:rPr>
        <w:t>cultivate</w:t>
      </w:r>
      <w:r>
        <w:rPr>
          <w:rFonts w:hint="eastAsia"/>
          <w:sz w:val="24"/>
        </w:rPr>
        <w:t>，</w:t>
      </w:r>
      <w:r>
        <w:rPr>
          <w:sz w:val="24"/>
        </w:rPr>
        <w:t>suspend</w:t>
      </w:r>
      <w:r>
        <w:rPr>
          <w:rFonts w:hint="eastAsia"/>
          <w:sz w:val="24"/>
        </w:rPr>
        <w:t>，</w:t>
      </w:r>
      <w:r>
        <w:rPr>
          <w:sz w:val="24"/>
        </w:rPr>
        <w:t>conventional</w:t>
      </w:r>
      <w:r>
        <w:rPr>
          <w:rFonts w:hint="eastAsia"/>
          <w:sz w:val="24"/>
        </w:rPr>
        <w:t>，</w:t>
      </w:r>
      <w:r>
        <w:rPr>
          <w:sz w:val="24"/>
        </w:rPr>
        <w:t>reform</w:t>
      </w:r>
      <w:r>
        <w:rPr>
          <w:rFonts w:hint="eastAsia"/>
          <w:sz w:val="24"/>
        </w:rPr>
        <w:t>，</w:t>
      </w:r>
      <w:r>
        <w:rPr>
          <w:sz w:val="24"/>
        </w:rPr>
        <w:t>admission</w:t>
      </w:r>
      <w:r>
        <w:rPr>
          <w:rFonts w:hint="eastAsia"/>
          <w:sz w:val="24"/>
        </w:rPr>
        <w:t>，</w:t>
      </w:r>
      <w:r>
        <w:rPr>
          <w:sz w:val="24"/>
        </w:rPr>
        <w:t>attendance</w:t>
      </w:r>
      <w:r>
        <w:rPr>
          <w:rFonts w:hint="eastAsia"/>
          <w:sz w:val="24"/>
        </w:rPr>
        <w:t>，</w:t>
      </w:r>
      <w:r>
        <w:rPr>
          <w:sz w:val="24"/>
        </w:rPr>
        <w:t>worthwhile</w:t>
      </w:r>
      <w:r>
        <w:rPr>
          <w:rFonts w:hint="eastAsia"/>
          <w:sz w:val="24"/>
        </w:rPr>
        <w:t>，</w:t>
      </w:r>
      <w:r>
        <w:rPr>
          <w:sz w:val="24"/>
        </w:rPr>
        <w:t>optimistic</w:t>
      </w:r>
      <w:r>
        <w:rPr>
          <w:rFonts w:hint="eastAsia"/>
          <w:sz w:val="24"/>
        </w:rPr>
        <w:t>，</w:t>
      </w:r>
      <w:r>
        <w:rPr>
          <w:sz w:val="24"/>
        </w:rPr>
        <w:t>faculty</w:t>
      </w:r>
      <w:r>
        <w:rPr>
          <w:rFonts w:hint="eastAsia"/>
          <w:sz w:val="24"/>
        </w:rPr>
        <w:t>，</w:t>
      </w:r>
      <w:r>
        <w:rPr>
          <w:sz w:val="24"/>
        </w:rPr>
        <w:t xml:space="preserve"> insult</w:t>
      </w:r>
      <w:r>
        <w:rPr>
          <w:rFonts w:hint="eastAsia"/>
          <w:sz w:val="24"/>
        </w:rPr>
        <w:t>，</w:t>
      </w:r>
      <w:r>
        <w:rPr>
          <w:sz w:val="24"/>
        </w:rPr>
        <w:t>curse</w:t>
      </w:r>
    </w:p>
    <w:p w:rsidR="003717A0" w:rsidRDefault="003717A0">
      <w:pPr>
        <w:jc w:val="left"/>
        <w:rPr>
          <w:sz w:val="24"/>
        </w:rPr>
      </w:pPr>
      <w:r>
        <w:rPr>
          <w:rFonts w:eastAsia="仿宋_GB2312"/>
          <w:sz w:val="24"/>
        </w:rPr>
        <w:t xml:space="preserve">Key phrases and expressions: </w:t>
      </w:r>
      <w:r>
        <w:rPr>
          <w:sz w:val="24"/>
        </w:rPr>
        <w:t>1. see</w:t>
      </w:r>
      <w:r>
        <w:rPr>
          <w:rFonts w:hint="eastAsia"/>
          <w:sz w:val="24"/>
        </w:rPr>
        <w:t>…</w:t>
      </w:r>
      <w:r>
        <w:rPr>
          <w:sz w:val="24"/>
        </w:rPr>
        <w:t>as</w:t>
      </w:r>
      <w:r>
        <w:rPr>
          <w:sz w:val="24"/>
        </w:rPr>
        <w:tab/>
        <w:t>2. be associated with</w:t>
      </w:r>
      <w:r>
        <w:rPr>
          <w:sz w:val="24"/>
        </w:rPr>
        <w:tab/>
        <w:t>3. over one</w:t>
      </w:r>
      <w:r>
        <w:rPr>
          <w:rFonts w:hint="eastAsia"/>
          <w:sz w:val="24"/>
        </w:rPr>
        <w:t>’</w:t>
      </w:r>
      <w:r>
        <w:rPr>
          <w:sz w:val="24"/>
        </w:rPr>
        <w:t>s protest</w:t>
      </w:r>
    </w:p>
    <w:p w:rsidR="003717A0" w:rsidRDefault="003717A0">
      <w:pPr>
        <w:jc w:val="left"/>
        <w:rPr>
          <w:sz w:val="24"/>
        </w:rPr>
      </w:pPr>
      <w:r>
        <w:rPr>
          <w:sz w:val="24"/>
        </w:rPr>
        <w:t>4. put forth</w:t>
      </w:r>
      <w:r>
        <w:rPr>
          <w:sz w:val="24"/>
        </w:rPr>
        <w:tab/>
        <w:t>5. complete with</w:t>
      </w:r>
      <w:r>
        <w:rPr>
          <w:sz w:val="24"/>
        </w:rPr>
        <w:tab/>
        <w:t>6. do/ try one</w:t>
      </w:r>
      <w:r>
        <w:rPr>
          <w:rFonts w:hint="eastAsia"/>
          <w:sz w:val="24"/>
        </w:rPr>
        <w:t>’</w:t>
      </w:r>
      <w:r>
        <w:rPr>
          <w:sz w:val="24"/>
        </w:rPr>
        <w:t>s utmost</w:t>
      </w:r>
    </w:p>
    <w:p w:rsidR="003717A0" w:rsidRDefault="003717A0">
      <w:pPr>
        <w:jc w:val="left"/>
        <w:rPr>
          <w:sz w:val="24"/>
        </w:rPr>
      </w:pPr>
      <w:r>
        <w:rPr>
          <w:sz w:val="24"/>
        </w:rPr>
        <w:t>7.work out</w:t>
      </w:r>
      <w:r>
        <w:rPr>
          <w:sz w:val="24"/>
        </w:rPr>
        <w:tab/>
        <w:t>8. at the outset</w:t>
      </w:r>
      <w:r>
        <w:rPr>
          <w:sz w:val="24"/>
        </w:rPr>
        <w:tab/>
        <w:t>9. kind of</w:t>
      </w:r>
    </w:p>
    <w:p w:rsidR="003717A0" w:rsidRDefault="003717A0">
      <w:pPr>
        <w:jc w:val="left"/>
        <w:rPr>
          <w:sz w:val="24"/>
        </w:rPr>
      </w:pPr>
      <w:r>
        <w:rPr>
          <w:sz w:val="24"/>
        </w:rPr>
        <w:t>10. come first</w:t>
      </w:r>
      <w:r>
        <w:rPr>
          <w:sz w:val="24"/>
        </w:rPr>
        <w:tab/>
        <w:t xml:space="preserve">11. be scheduled to </w:t>
      </w:r>
      <w:r>
        <w:rPr>
          <w:sz w:val="24"/>
        </w:rPr>
        <w:tab/>
        <w:t>12. agree in sth.</w:t>
      </w:r>
    </w:p>
    <w:p w:rsidR="003717A0" w:rsidRDefault="003717A0">
      <w:pPr>
        <w:jc w:val="left"/>
        <w:rPr>
          <w:sz w:val="24"/>
        </w:rPr>
      </w:pPr>
      <w:r>
        <w:rPr>
          <w:sz w:val="24"/>
        </w:rPr>
        <w:t>13. have nothing to do with</w:t>
      </w:r>
      <w:r>
        <w:rPr>
          <w:sz w:val="24"/>
        </w:rPr>
        <w:tab/>
        <w:t>14. agree to do</w:t>
      </w:r>
      <w:r>
        <w:rPr>
          <w:sz w:val="24"/>
        </w:rPr>
        <w:tab/>
        <w:t>15. tend to do</w:t>
      </w:r>
    </w:p>
    <w:p w:rsidR="003717A0" w:rsidRDefault="003717A0">
      <w:pPr>
        <w:jc w:val="left"/>
        <w:rPr>
          <w:sz w:val="24"/>
        </w:rPr>
      </w:pPr>
      <w:r>
        <w:rPr>
          <w:sz w:val="24"/>
        </w:rPr>
        <w:t>16. work out</w:t>
      </w:r>
      <w:r>
        <w:rPr>
          <w:sz w:val="24"/>
        </w:rPr>
        <w:tab/>
        <w:t>17. make commitment to</w:t>
      </w:r>
      <w:r>
        <w:rPr>
          <w:sz w:val="24"/>
        </w:rPr>
        <w:tab/>
        <w:t>18. focus on</w:t>
      </w:r>
    </w:p>
    <w:p w:rsidR="003717A0" w:rsidRDefault="003717A0">
      <w:pPr>
        <w:jc w:val="left"/>
        <w:rPr>
          <w:sz w:val="24"/>
        </w:rPr>
      </w:pPr>
      <w:r>
        <w:rPr>
          <w:sz w:val="24"/>
        </w:rPr>
        <w:t>19. inner-city schools</w:t>
      </w:r>
      <w:r>
        <w:rPr>
          <w:sz w:val="24"/>
        </w:rPr>
        <w:tab/>
        <w:t xml:space="preserve"> 20. eye the program</w:t>
      </w:r>
      <w:r>
        <w:rPr>
          <w:sz w:val="24"/>
        </w:rPr>
        <w:tab/>
        <w:t>21. quest for truth</w:t>
      </w:r>
    </w:p>
    <w:p w:rsidR="003717A0" w:rsidRDefault="003717A0">
      <w:pPr>
        <w:jc w:val="left"/>
        <w:rPr>
          <w:sz w:val="24"/>
        </w:rPr>
      </w:pPr>
      <w:r>
        <w:rPr>
          <w:sz w:val="24"/>
        </w:rPr>
        <w:t>22. take responsibility for</w:t>
      </w:r>
      <w:r>
        <w:rPr>
          <w:sz w:val="24"/>
        </w:rPr>
        <w:tab/>
        <w:t>23. spend sth. on sth./ (in) doing sth.</w:t>
      </w:r>
      <w:r>
        <w:rPr>
          <w:sz w:val="24"/>
        </w:rPr>
        <w:tab/>
        <w:t>24. be enrolled in</w:t>
      </w:r>
    </w:p>
    <w:p w:rsidR="003717A0" w:rsidRDefault="003717A0">
      <w:pPr>
        <w:jc w:val="left"/>
        <w:rPr>
          <w:sz w:val="24"/>
        </w:rPr>
      </w:pPr>
      <w:r>
        <w:rPr>
          <w:sz w:val="24"/>
        </w:rPr>
        <w:t>25. prepare sb. for sth.</w:t>
      </w:r>
      <w:r>
        <w:rPr>
          <w:sz w:val="24"/>
        </w:rPr>
        <w:tab/>
        <w:t>26. spread sth. to</w:t>
      </w:r>
      <w:r>
        <w:rPr>
          <w:sz w:val="24"/>
        </w:rPr>
        <w:tab/>
        <w:t xml:space="preserve"> 27. be willing to do</w:t>
      </w:r>
    </w:p>
    <w:p w:rsidR="003717A0" w:rsidRDefault="003717A0">
      <w:pPr>
        <w:spacing w:line="360" w:lineRule="auto"/>
        <w:ind w:leftChars="615" w:left="1291" w:firstLineChars="49" w:firstLine="118"/>
        <w:rPr>
          <w:rFonts w:eastAsia="仿宋_GB2312"/>
          <w:sz w:val="24"/>
        </w:rPr>
      </w:pPr>
    </w:p>
    <w:p w:rsidR="003717A0" w:rsidRDefault="003717A0">
      <w:pPr>
        <w:spacing w:line="360" w:lineRule="auto"/>
        <w:rPr>
          <w:rFonts w:eastAsia="仿宋_GB2312"/>
          <w:sz w:val="24"/>
        </w:rPr>
      </w:pPr>
      <w:r>
        <w:rPr>
          <w:rFonts w:eastAsia="仿宋_GB2312"/>
          <w:sz w:val="24"/>
        </w:rPr>
        <w:t>Grammatical Structure</w:t>
      </w:r>
    </w:p>
    <w:p w:rsidR="003717A0" w:rsidRDefault="003717A0">
      <w:pPr>
        <w:widowControl/>
        <w:spacing w:line="360" w:lineRule="exact"/>
        <w:jc w:val="left"/>
        <w:rPr>
          <w:rFonts w:ascii="宋体"/>
          <w:sz w:val="24"/>
        </w:rPr>
      </w:pPr>
      <w:r>
        <w:rPr>
          <w:rFonts w:ascii="宋体" w:hAnsi="宋体" w:cs="Arial Unicode MS"/>
          <w:kern w:val="0"/>
          <w:sz w:val="24"/>
        </w:rPr>
        <w:t>1</w:t>
      </w:r>
      <w:r>
        <w:rPr>
          <w:rFonts w:ascii="宋体" w:cs="Arial Unicode MS"/>
          <w:kern w:val="0"/>
          <w:sz w:val="24"/>
        </w:rPr>
        <w:t>.</w:t>
      </w:r>
      <w:r>
        <w:rPr>
          <w:rFonts w:eastAsia="Times New Roman"/>
          <w:kern w:val="0"/>
          <w:sz w:val="24"/>
          <w:u w:val="single"/>
        </w:rPr>
        <w:t>As</w:t>
      </w:r>
      <w:r>
        <w:rPr>
          <w:rFonts w:eastAsia="Times New Roman"/>
          <w:kern w:val="0"/>
          <w:sz w:val="24"/>
        </w:rPr>
        <w:t xml:space="preserve"> in Maine the quest for truth is also widespread at the school in Connecticut. (L24)“as” is used to compare situations by that they are similar. “as” </w:t>
      </w:r>
      <w:r>
        <w:rPr>
          <w:rFonts w:ascii="宋体" w:hAnsi="宋体" w:hint="eastAsia"/>
          <w:kern w:val="0"/>
          <w:sz w:val="24"/>
        </w:rPr>
        <w:t>可作副词、连词，表示“同样地，一样地；以</w:t>
      </w:r>
      <w:r>
        <w:rPr>
          <w:rFonts w:ascii="宋体" w:hint="eastAsia"/>
          <w:kern w:val="0"/>
          <w:sz w:val="24"/>
        </w:rPr>
        <w:t>…</w:t>
      </w:r>
      <w:r>
        <w:rPr>
          <w:rFonts w:ascii="宋体" w:hAnsi="宋体" w:hint="eastAsia"/>
          <w:kern w:val="0"/>
          <w:sz w:val="24"/>
        </w:rPr>
        <w:t>的方式，如同</w:t>
      </w:r>
      <w:r>
        <w:rPr>
          <w:rFonts w:ascii="宋体" w:hint="eastAsia"/>
          <w:kern w:val="0"/>
          <w:sz w:val="24"/>
        </w:rPr>
        <w:t>…</w:t>
      </w:r>
      <w:r>
        <w:rPr>
          <w:rFonts w:ascii="宋体" w:hAnsi="宋体" w:hint="eastAsia"/>
          <w:kern w:val="0"/>
          <w:sz w:val="24"/>
        </w:rPr>
        <w:t>那样”。</w:t>
      </w:r>
    </w:p>
    <w:p w:rsidR="003717A0" w:rsidRDefault="003717A0">
      <w:pPr>
        <w:widowControl/>
        <w:spacing w:line="360" w:lineRule="exact"/>
        <w:jc w:val="left"/>
        <w:rPr>
          <w:kern w:val="0"/>
          <w:sz w:val="24"/>
        </w:rPr>
      </w:pPr>
      <w:r>
        <w:rPr>
          <w:kern w:val="0"/>
          <w:sz w:val="24"/>
          <w:u w:val="single"/>
        </w:rPr>
        <w:t>2. Once</w:t>
      </w:r>
      <w:r>
        <w:rPr>
          <w:kern w:val="0"/>
          <w:sz w:val="24"/>
        </w:rPr>
        <w:t xml:space="preserve"> the problem are worked out, Hyde should work well in public schools, says a teacher at Bath who taught for 14 years in public schools. (L66)</w:t>
      </w:r>
    </w:p>
    <w:p w:rsidR="003717A0" w:rsidRDefault="003717A0">
      <w:pPr>
        <w:widowControl/>
        <w:spacing w:line="360" w:lineRule="exact"/>
        <w:jc w:val="left"/>
        <w:rPr>
          <w:rFonts w:ascii="宋体"/>
          <w:kern w:val="0"/>
          <w:sz w:val="24"/>
        </w:rPr>
      </w:pPr>
      <w:r>
        <w:rPr>
          <w:kern w:val="0"/>
          <w:sz w:val="24"/>
        </w:rPr>
        <w:t>“once” can be used as a conjunction with the meaning “from the moment</w:t>
      </w:r>
      <w:r>
        <w:rPr>
          <w:i/>
          <w:iCs/>
          <w:kern w:val="0"/>
          <w:sz w:val="24"/>
        </w:rPr>
        <w:t>” .</w:t>
      </w:r>
      <w:r>
        <w:rPr>
          <w:kern w:val="0"/>
          <w:sz w:val="24"/>
        </w:rPr>
        <w:t xml:space="preserve"> “Once”</w:t>
      </w:r>
      <w:r>
        <w:rPr>
          <w:rFonts w:ascii="宋体" w:hAnsi="宋体" w:hint="eastAsia"/>
          <w:kern w:val="0"/>
          <w:sz w:val="24"/>
        </w:rPr>
        <w:t>作连词，表示”一旦</w:t>
      </w:r>
      <w:r>
        <w:rPr>
          <w:rFonts w:ascii="宋体" w:hint="eastAsia"/>
          <w:kern w:val="0"/>
          <w:sz w:val="24"/>
        </w:rPr>
        <w:t>…</w:t>
      </w:r>
      <w:r>
        <w:rPr>
          <w:rFonts w:ascii="宋体" w:hAnsi="宋体" w:hint="eastAsia"/>
          <w:kern w:val="0"/>
          <w:sz w:val="24"/>
        </w:rPr>
        <w:t>就</w:t>
      </w:r>
      <w:r>
        <w:rPr>
          <w:rFonts w:ascii="宋体" w:hint="eastAsia"/>
          <w:kern w:val="0"/>
          <w:sz w:val="24"/>
        </w:rPr>
        <w:t>…</w:t>
      </w:r>
      <w:r>
        <w:rPr>
          <w:rFonts w:ascii="宋体" w:hAnsi="宋体"/>
          <w:kern w:val="0"/>
          <w:sz w:val="24"/>
        </w:rPr>
        <w:t xml:space="preserve">, </w:t>
      </w:r>
      <w:r>
        <w:rPr>
          <w:rFonts w:ascii="宋体" w:hAnsi="宋体" w:hint="eastAsia"/>
          <w:kern w:val="0"/>
          <w:sz w:val="24"/>
        </w:rPr>
        <w:t>一</w:t>
      </w:r>
      <w:r>
        <w:rPr>
          <w:rFonts w:ascii="宋体" w:hint="eastAsia"/>
          <w:kern w:val="0"/>
          <w:sz w:val="24"/>
        </w:rPr>
        <w:t>…</w:t>
      </w:r>
      <w:r>
        <w:rPr>
          <w:rFonts w:ascii="宋体" w:hAnsi="宋体" w:hint="eastAsia"/>
          <w:kern w:val="0"/>
          <w:sz w:val="24"/>
        </w:rPr>
        <w:t>就</w:t>
      </w:r>
      <w:r>
        <w:rPr>
          <w:rFonts w:ascii="宋体" w:hint="eastAsia"/>
          <w:kern w:val="0"/>
          <w:sz w:val="24"/>
        </w:rPr>
        <w:t>…”</w:t>
      </w:r>
      <w:r>
        <w:rPr>
          <w:rFonts w:ascii="宋体"/>
          <w:kern w:val="0"/>
          <w:sz w:val="24"/>
        </w:rPr>
        <w:t>,</w:t>
      </w:r>
      <w:r>
        <w:rPr>
          <w:rFonts w:ascii="宋体" w:hAnsi="宋体" w:hint="eastAsia"/>
          <w:kern w:val="0"/>
          <w:sz w:val="24"/>
        </w:rPr>
        <w:t>引导状语从句。</w:t>
      </w:r>
    </w:p>
    <w:p w:rsidR="003717A0" w:rsidRDefault="003717A0">
      <w:pPr>
        <w:widowControl/>
        <w:spacing w:line="360" w:lineRule="exact"/>
        <w:jc w:val="left"/>
        <w:rPr>
          <w:kern w:val="0"/>
          <w:sz w:val="24"/>
        </w:rPr>
      </w:pPr>
      <w:r>
        <w:rPr>
          <w:rFonts w:ascii="宋体" w:hAnsi="宋体"/>
          <w:kern w:val="0"/>
          <w:sz w:val="24"/>
        </w:rPr>
        <w:t>3.</w:t>
      </w:r>
      <w:r>
        <w:rPr>
          <w:kern w:val="0"/>
          <w:sz w:val="24"/>
        </w:rPr>
        <w:t>The Hyde School</w:t>
      </w:r>
      <w:r>
        <w:rPr>
          <w:kern w:val="0"/>
          <w:sz w:val="24"/>
          <w:u w:val="single"/>
        </w:rPr>
        <w:t xml:space="preserve"> operates on the principle that </w:t>
      </w:r>
      <w:r>
        <w:rPr>
          <w:kern w:val="0"/>
          <w:sz w:val="24"/>
        </w:rPr>
        <w:t>if you teach students the merit of such values as truth, courage, integrity, leadership, curiosity and concern, then academic achievement naturally follows. (L1)</w:t>
      </w:r>
    </w:p>
    <w:p w:rsidR="003717A0" w:rsidRDefault="003717A0">
      <w:pPr>
        <w:widowControl/>
        <w:spacing w:line="360" w:lineRule="exact"/>
        <w:jc w:val="left"/>
        <w:rPr>
          <w:rFonts w:ascii="宋体" w:cs="Arial Unicode MS"/>
          <w:kern w:val="0"/>
          <w:sz w:val="24"/>
        </w:rPr>
      </w:pPr>
      <w:r>
        <w:rPr>
          <w:rFonts w:ascii="宋体" w:hAnsi="宋体" w:cs="Arial Unicode MS" w:hint="eastAsia"/>
          <w:kern w:val="0"/>
          <w:sz w:val="24"/>
        </w:rPr>
        <w:t>句型提炼</w:t>
      </w:r>
      <w:r>
        <w:rPr>
          <w:rFonts w:ascii="宋体" w:hAnsi="宋体" w:cs="Arial Unicode MS"/>
          <w:kern w:val="0"/>
          <w:sz w:val="24"/>
        </w:rPr>
        <w:t>:</w:t>
      </w:r>
      <w:r>
        <w:rPr>
          <w:rFonts w:ascii="Arial Unicode MS" w:hAnsi="Arial Unicode MS" w:cs="Arial Unicode MS"/>
          <w:kern w:val="0"/>
          <w:sz w:val="24"/>
        </w:rPr>
        <w:t xml:space="preserve"> Sb. do sth. on the principle that …</w:t>
      </w:r>
      <w:r>
        <w:rPr>
          <w:rFonts w:ascii="宋体" w:hAnsi="宋体" w:cs="Arial Unicode MS" w:hint="eastAsia"/>
          <w:kern w:val="0"/>
          <w:sz w:val="24"/>
        </w:rPr>
        <w:t>用于说明</w:t>
      </w:r>
      <w:r>
        <w:rPr>
          <w:rFonts w:ascii="宋体" w:cs="Arial Unicode MS" w:hint="eastAsia"/>
          <w:kern w:val="0"/>
          <w:sz w:val="24"/>
        </w:rPr>
        <w:t>“</w:t>
      </w:r>
      <w:r>
        <w:rPr>
          <w:rFonts w:ascii="宋体" w:hAnsi="宋体" w:cs="Arial Unicode MS" w:hint="eastAsia"/>
          <w:kern w:val="0"/>
          <w:sz w:val="24"/>
        </w:rPr>
        <w:t>某人做事原则</w:t>
      </w:r>
      <w:r>
        <w:rPr>
          <w:rFonts w:ascii="宋体" w:cs="Arial Unicode MS" w:hint="eastAsia"/>
          <w:kern w:val="0"/>
          <w:sz w:val="24"/>
        </w:rPr>
        <w:t>”</w:t>
      </w:r>
      <w:r>
        <w:rPr>
          <w:rFonts w:ascii="宋体" w:hAnsi="宋体" w:cs="Arial Unicode MS" w:hint="eastAsia"/>
          <w:kern w:val="0"/>
          <w:sz w:val="24"/>
        </w:rPr>
        <w:t>。</w:t>
      </w:r>
    </w:p>
    <w:p w:rsidR="003717A0" w:rsidRDefault="003717A0">
      <w:pPr>
        <w:widowControl/>
        <w:spacing w:line="360" w:lineRule="exact"/>
        <w:jc w:val="left"/>
        <w:rPr>
          <w:kern w:val="0"/>
          <w:sz w:val="24"/>
        </w:rPr>
      </w:pPr>
      <w:r>
        <w:rPr>
          <w:rFonts w:ascii="宋体" w:hAnsi="宋体" w:cs="Arial Unicode MS"/>
          <w:kern w:val="0"/>
          <w:sz w:val="24"/>
        </w:rPr>
        <w:t>4.</w:t>
      </w:r>
      <w:r>
        <w:rPr>
          <w:kern w:val="0"/>
          <w:sz w:val="24"/>
        </w:rPr>
        <w:t>He notes “</w:t>
      </w:r>
      <w:r>
        <w:rPr>
          <w:kern w:val="0"/>
          <w:sz w:val="24"/>
          <w:u w:val="single"/>
        </w:rPr>
        <w:t>no amount of change</w:t>
      </w:r>
      <w:r>
        <w:rPr>
          <w:kern w:val="0"/>
          <w:sz w:val="24"/>
        </w:rPr>
        <w:t>” with the horse and carriage “</w:t>
      </w:r>
      <w:r>
        <w:rPr>
          <w:kern w:val="0"/>
          <w:sz w:val="24"/>
          <w:u w:val="single"/>
        </w:rPr>
        <w:t xml:space="preserve">will produce </w:t>
      </w:r>
      <w:r>
        <w:rPr>
          <w:kern w:val="0"/>
          <w:sz w:val="24"/>
        </w:rPr>
        <w:t>an automobile”. (L36)</w:t>
      </w:r>
    </w:p>
    <w:p w:rsidR="003717A0" w:rsidRDefault="003717A0">
      <w:pPr>
        <w:widowControl/>
        <w:spacing w:line="360" w:lineRule="exact"/>
        <w:jc w:val="left"/>
        <w:rPr>
          <w:rFonts w:ascii="宋体" w:cs="Arial Unicode MS"/>
          <w:kern w:val="0"/>
          <w:sz w:val="24"/>
        </w:rPr>
      </w:pPr>
      <w:r>
        <w:rPr>
          <w:rFonts w:ascii="宋体" w:hAnsi="宋体" w:cs="Arial Unicode MS" w:hint="eastAsia"/>
          <w:kern w:val="0"/>
          <w:sz w:val="24"/>
        </w:rPr>
        <w:lastRenderedPageBreak/>
        <w:t>句型提炼</w:t>
      </w:r>
      <w:r>
        <w:rPr>
          <w:rFonts w:ascii="宋体" w:hAnsi="宋体" w:cs="Arial Unicode MS"/>
          <w:kern w:val="0"/>
          <w:sz w:val="24"/>
        </w:rPr>
        <w:t>:</w:t>
      </w:r>
      <w:r>
        <w:rPr>
          <w:kern w:val="0"/>
          <w:sz w:val="24"/>
        </w:rPr>
        <w:t xml:space="preserve"> No amount of change / effort /…with sth. / sb. will do sth. else. </w:t>
      </w:r>
      <w:r>
        <w:rPr>
          <w:rFonts w:ascii="宋体" w:hAnsi="宋体" w:cs="Arial Unicode MS" w:hint="eastAsia"/>
          <w:kern w:val="0"/>
          <w:sz w:val="24"/>
        </w:rPr>
        <w:t>用于表述</w:t>
      </w:r>
      <w:r>
        <w:rPr>
          <w:rFonts w:ascii="宋体" w:cs="Arial Unicode MS" w:hint="eastAsia"/>
          <w:kern w:val="0"/>
          <w:sz w:val="24"/>
        </w:rPr>
        <w:t>“</w:t>
      </w:r>
      <w:r>
        <w:rPr>
          <w:rFonts w:ascii="宋体" w:hAnsi="宋体" w:cs="Arial Unicode MS" w:hint="eastAsia"/>
          <w:kern w:val="0"/>
          <w:sz w:val="24"/>
        </w:rPr>
        <w:t>不论怎样，对某人／事不起作用</w:t>
      </w:r>
      <w:r>
        <w:rPr>
          <w:rFonts w:ascii="宋体" w:cs="Arial Unicode MS" w:hint="eastAsia"/>
          <w:kern w:val="0"/>
          <w:sz w:val="24"/>
        </w:rPr>
        <w:t>”</w:t>
      </w:r>
      <w:r>
        <w:rPr>
          <w:rFonts w:ascii="宋体" w:hAnsi="宋体" w:cs="Arial Unicode MS" w:hint="eastAsia"/>
          <w:kern w:val="0"/>
          <w:sz w:val="24"/>
        </w:rPr>
        <w:t>。</w:t>
      </w:r>
    </w:p>
    <w:p w:rsidR="003717A0" w:rsidRDefault="003717A0">
      <w:pPr>
        <w:widowControl/>
        <w:spacing w:line="360" w:lineRule="exact"/>
        <w:jc w:val="left"/>
        <w:rPr>
          <w:kern w:val="0"/>
          <w:sz w:val="24"/>
        </w:rPr>
      </w:pPr>
      <w:r>
        <w:rPr>
          <w:rFonts w:ascii="宋体" w:hAnsi="宋体" w:cs="Arial Unicode MS"/>
          <w:kern w:val="0"/>
          <w:sz w:val="24"/>
        </w:rPr>
        <w:t>5.</w:t>
      </w:r>
      <w:r>
        <w:rPr>
          <w:kern w:val="0"/>
          <w:sz w:val="24"/>
        </w:rPr>
        <w:t xml:space="preserve">Commitment among parents </w:t>
      </w:r>
      <w:r>
        <w:rPr>
          <w:kern w:val="0"/>
          <w:sz w:val="24"/>
          <w:u w:val="single"/>
        </w:rPr>
        <w:t>is a key ingredient in</w:t>
      </w:r>
      <w:r>
        <w:rPr>
          <w:kern w:val="0"/>
          <w:sz w:val="24"/>
        </w:rPr>
        <w:t xml:space="preserve"> the Hyde mixture. (L51)</w:t>
      </w:r>
    </w:p>
    <w:p w:rsidR="003717A0" w:rsidRDefault="003717A0">
      <w:pPr>
        <w:spacing w:line="360" w:lineRule="auto"/>
        <w:rPr>
          <w:rFonts w:eastAsia="仿宋_GB2312"/>
          <w:sz w:val="24"/>
        </w:rPr>
      </w:pPr>
    </w:p>
    <w:p w:rsidR="003717A0" w:rsidRDefault="003717A0">
      <w:pPr>
        <w:spacing w:line="360" w:lineRule="auto"/>
        <w:rPr>
          <w:rFonts w:eastAsia="仿宋_GB2312"/>
          <w:sz w:val="24"/>
        </w:rPr>
      </w:pPr>
      <w:r>
        <w:rPr>
          <w:rFonts w:eastAsia="仿宋_GB2312"/>
          <w:sz w:val="24"/>
        </w:rPr>
        <w:t xml:space="preserve">Key phrases and expressions in Text B: </w:t>
      </w:r>
    </w:p>
    <w:p w:rsidR="003717A0" w:rsidRDefault="003717A0">
      <w:pPr>
        <w:spacing w:line="360" w:lineRule="auto"/>
        <w:ind w:firstLineChars="400" w:firstLine="960"/>
        <w:jc w:val="left"/>
        <w:rPr>
          <w:rFonts w:eastAsia="仿宋_GB2312"/>
          <w:sz w:val="24"/>
        </w:rPr>
      </w:pPr>
      <w:r>
        <w:rPr>
          <w:rFonts w:eastAsia="仿宋_GB2312"/>
          <w:sz w:val="24"/>
        </w:rPr>
        <w:t>1. come/get to grips with</w:t>
      </w:r>
      <w:r>
        <w:rPr>
          <w:rFonts w:eastAsia="仿宋_GB2312"/>
          <w:sz w:val="24"/>
        </w:rPr>
        <w:tab/>
        <w:t>2. be superior to</w:t>
      </w:r>
    </w:p>
    <w:p w:rsidR="003717A0" w:rsidRDefault="003717A0">
      <w:pPr>
        <w:spacing w:line="360" w:lineRule="auto"/>
        <w:ind w:firstLineChars="400" w:firstLine="960"/>
        <w:jc w:val="left"/>
        <w:rPr>
          <w:rFonts w:eastAsia="仿宋_GB2312"/>
          <w:sz w:val="24"/>
        </w:rPr>
      </w:pPr>
      <w:r>
        <w:rPr>
          <w:rFonts w:eastAsia="仿宋_GB2312"/>
          <w:sz w:val="24"/>
        </w:rPr>
        <w:t>3. be inferior to</w:t>
      </w:r>
      <w:r>
        <w:rPr>
          <w:rFonts w:eastAsia="仿宋_GB2312"/>
          <w:sz w:val="24"/>
        </w:rPr>
        <w:tab/>
        <w:t>4. distinguish</w:t>
      </w:r>
      <w:r>
        <w:rPr>
          <w:rFonts w:eastAsia="仿宋_GB2312" w:hint="eastAsia"/>
          <w:sz w:val="24"/>
        </w:rPr>
        <w:t>…</w:t>
      </w:r>
      <w:r>
        <w:rPr>
          <w:rFonts w:eastAsia="仿宋_GB2312"/>
          <w:sz w:val="24"/>
        </w:rPr>
        <w:t>from</w:t>
      </w:r>
    </w:p>
    <w:p w:rsidR="003717A0" w:rsidRDefault="003717A0">
      <w:pPr>
        <w:spacing w:line="360" w:lineRule="auto"/>
        <w:ind w:firstLineChars="400" w:firstLine="960"/>
        <w:jc w:val="left"/>
        <w:rPr>
          <w:rFonts w:eastAsia="仿宋_GB2312"/>
          <w:sz w:val="24"/>
        </w:rPr>
      </w:pPr>
      <w:r>
        <w:rPr>
          <w:rFonts w:eastAsia="仿宋_GB2312"/>
          <w:sz w:val="24"/>
        </w:rPr>
        <w:t>5. be true of</w:t>
      </w:r>
      <w:r>
        <w:rPr>
          <w:rFonts w:eastAsia="仿宋_GB2312"/>
          <w:sz w:val="24"/>
        </w:rPr>
        <w:tab/>
        <w:t>6. fall through</w:t>
      </w:r>
    </w:p>
    <w:p w:rsidR="003717A0" w:rsidRDefault="003717A0">
      <w:pPr>
        <w:spacing w:line="360" w:lineRule="auto"/>
        <w:ind w:firstLineChars="400" w:firstLine="960"/>
        <w:jc w:val="left"/>
        <w:rPr>
          <w:rFonts w:eastAsia="仿宋_GB2312"/>
          <w:sz w:val="24"/>
        </w:rPr>
      </w:pPr>
      <w:r>
        <w:rPr>
          <w:rFonts w:eastAsia="仿宋_GB2312"/>
          <w:sz w:val="24"/>
        </w:rPr>
        <w:t>7. owing to</w:t>
      </w:r>
      <w:r>
        <w:rPr>
          <w:rFonts w:eastAsia="仿宋_GB2312"/>
          <w:sz w:val="24"/>
        </w:rPr>
        <w:tab/>
        <w:t>8. press for</w:t>
      </w:r>
    </w:p>
    <w:p w:rsidR="003717A0" w:rsidRDefault="003717A0">
      <w:pPr>
        <w:spacing w:line="360" w:lineRule="auto"/>
        <w:ind w:firstLineChars="400" w:firstLine="960"/>
        <w:jc w:val="left"/>
        <w:rPr>
          <w:rFonts w:eastAsia="仿宋_GB2312"/>
          <w:sz w:val="24"/>
        </w:rPr>
      </w:pPr>
      <w:r>
        <w:rPr>
          <w:rFonts w:eastAsia="仿宋_GB2312"/>
          <w:sz w:val="24"/>
        </w:rPr>
        <w:t>9. wonder at</w:t>
      </w:r>
      <w:r>
        <w:rPr>
          <w:rFonts w:eastAsia="仿宋_GB2312"/>
          <w:sz w:val="24"/>
        </w:rPr>
        <w:tab/>
        <w:t>10. lag behind</w:t>
      </w:r>
    </w:p>
    <w:p w:rsidR="003717A0" w:rsidRDefault="003717A0">
      <w:pPr>
        <w:spacing w:line="360" w:lineRule="auto"/>
        <w:ind w:firstLineChars="400" w:firstLine="960"/>
        <w:jc w:val="left"/>
        <w:rPr>
          <w:rFonts w:eastAsia="仿宋_GB2312"/>
          <w:sz w:val="24"/>
        </w:rPr>
      </w:pPr>
      <w:r>
        <w:rPr>
          <w:rFonts w:eastAsia="仿宋_GB2312"/>
          <w:sz w:val="24"/>
        </w:rPr>
        <w:t>11. in a pinch</w:t>
      </w:r>
      <w:r>
        <w:rPr>
          <w:rFonts w:eastAsia="仿宋_GB2312"/>
          <w:sz w:val="24"/>
        </w:rPr>
        <w:tab/>
        <w:t>12. exert oneself</w:t>
      </w:r>
    </w:p>
    <w:p w:rsidR="003717A0" w:rsidRDefault="003717A0">
      <w:pPr>
        <w:spacing w:line="360" w:lineRule="auto"/>
        <w:ind w:firstLineChars="400" w:firstLine="960"/>
        <w:jc w:val="left"/>
        <w:rPr>
          <w:rFonts w:eastAsia="仿宋_GB2312"/>
          <w:sz w:val="24"/>
        </w:rPr>
      </w:pPr>
      <w:r>
        <w:rPr>
          <w:rFonts w:eastAsia="仿宋_GB2312"/>
          <w:sz w:val="24"/>
        </w:rPr>
        <w:t>13. in contrast to</w:t>
      </w:r>
      <w:r>
        <w:rPr>
          <w:rFonts w:eastAsia="仿宋_GB2312"/>
          <w:sz w:val="24"/>
        </w:rPr>
        <w:tab/>
        <w:t>14. in some way</w:t>
      </w:r>
    </w:p>
    <w:p w:rsidR="003717A0" w:rsidRDefault="003717A0">
      <w:pPr>
        <w:spacing w:line="360" w:lineRule="auto"/>
        <w:ind w:firstLineChars="400" w:firstLine="960"/>
        <w:jc w:val="left"/>
        <w:rPr>
          <w:rFonts w:eastAsia="仿宋_GB2312"/>
          <w:sz w:val="24"/>
        </w:rPr>
      </w:pPr>
      <w:r>
        <w:rPr>
          <w:rFonts w:eastAsia="仿宋_GB2312"/>
          <w:sz w:val="24"/>
        </w:rPr>
        <w:t>15. set up</w:t>
      </w:r>
      <w:r>
        <w:rPr>
          <w:rFonts w:eastAsia="仿宋_GB2312"/>
          <w:sz w:val="24"/>
        </w:rPr>
        <w:tab/>
        <w:t>16. owing to</w:t>
      </w:r>
    </w:p>
    <w:p w:rsidR="003717A0" w:rsidRDefault="003717A0">
      <w:pPr>
        <w:spacing w:line="360" w:lineRule="auto"/>
        <w:ind w:firstLineChars="400" w:firstLine="960"/>
        <w:jc w:val="left"/>
        <w:rPr>
          <w:rFonts w:eastAsia="仿宋_GB2312"/>
          <w:sz w:val="24"/>
        </w:rPr>
      </w:pPr>
      <w:r>
        <w:rPr>
          <w:rFonts w:eastAsia="仿宋_GB2312"/>
          <w:sz w:val="24"/>
        </w:rPr>
        <w:t>17. proceed from</w:t>
      </w:r>
      <w:r>
        <w:rPr>
          <w:rFonts w:eastAsia="仿宋_GB2312"/>
          <w:sz w:val="24"/>
        </w:rPr>
        <w:tab/>
        <w:t>18. take measures</w:t>
      </w:r>
    </w:p>
    <w:p w:rsidR="003717A0" w:rsidRDefault="003717A0">
      <w:pPr>
        <w:rPr>
          <w:rFonts w:eastAsia="仿宋_GB2312"/>
          <w:sz w:val="24"/>
        </w:rPr>
      </w:pPr>
      <w:r>
        <w:rPr>
          <w:rFonts w:eastAsia="仿宋_GB2312"/>
          <w:sz w:val="24"/>
        </w:rPr>
        <w:t>Topic for writing:</w:t>
      </w:r>
    </w:p>
    <w:p w:rsidR="003717A0" w:rsidRDefault="003717A0">
      <w:pPr>
        <w:ind w:firstLineChars="200" w:firstLine="480"/>
        <w:rPr>
          <w:bCs/>
          <w:iCs/>
          <w:sz w:val="24"/>
        </w:rPr>
      </w:pPr>
      <w:r>
        <w:rPr>
          <w:bCs/>
          <w:iCs/>
          <w:sz w:val="24"/>
        </w:rPr>
        <w:t>Exercise Has Unexpected Benefits.</w:t>
      </w:r>
    </w:p>
    <w:p w:rsidR="003717A0" w:rsidRDefault="003717A0">
      <w:pPr>
        <w:rPr>
          <w:bCs/>
          <w:iCs/>
          <w:sz w:val="24"/>
        </w:rPr>
      </w:pPr>
      <w:r>
        <w:rPr>
          <w:bCs/>
          <w:iCs/>
          <w:sz w:val="24"/>
        </w:rPr>
        <w:t>Additional work:</w:t>
      </w:r>
    </w:p>
    <w:p w:rsidR="003717A0" w:rsidRDefault="003717A0">
      <w:pPr>
        <w:rPr>
          <w:sz w:val="24"/>
        </w:rPr>
      </w:pPr>
      <w:r>
        <w:rPr>
          <w:sz w:val="24"/>
        </w:rPr>
        <w:t>1.Recite the 14</w:t>
      </w:r>
      <w:r>
        <w:rPr>
          <w:sz w:val="24"/>
          <w:vertAlign w:val="superscript"/>
        </w:rPr>
        <w:t>th</w:t>
      </w:r>
      <w:r>
        <w:rPr>
          <w:sz w:val="24"/>
        </w:rPr>
        <w:t xml:space="preserve"> and 15</w:t>
      </w:r>
      <w:r>
        <w:rPr>
          <w:sz w:val="24"/>
          <w:vertAlign w:val="superscript"/>
        </w:rPr>
        <w:t>th</w:t>
      </w:r>
      <w:r>
        <w:rPr>
          <w:sz w:val="24"/>
        </w:rPr>
        <w:t xml:space="preserve"> paragraph in Text A.</w:t>
      </w:r>
    </w:p>
    <w:p w:rsidR="003717A0" w:rsidRDefault="003717A0">
      <w:pPr>
        <w:rPr>
          <w:sz w:val="24"/>
        </w:rPr>
      </w:pPr>
      <w:r>
        <w:rPr>
          <w:sz w:val="24"/>
        </w:rPr>
        <w:t>2.Summarize the key principles in education and differences in western and Chinese education.</w:t>
      </w:r>
    </w:p>
    <w:p w:rsidR="003717A0" w:rsidRDefault="003717A0">
      <w:pPr>
        <w:spacing w:line="360" w:lineRule="auto"/>
        <w:rPr>
          <w:rFonts w:eastAsia="仿宋_GB2312"/>
          <w:sz w:val="24"/>
        </w:rPr>
      </w:pPr>
    </w:p>
    <w:p w:rsidR="003717A0" w:rsidRDefault="003717A0">
      <w:pPr>
        <w:spacing w:line="360" w:lineRule="auto"/>
        <w:rPr>
          <w:rFonts w:eastAsia="仿宋_GB2312"/>
          <w:b/>
          <w:sz w:val="24"/>
        </w:rPr>
      </w:pPr>
      <w:r>
        <w:rPr>
          <w:rFonts w:eastAsia="仿宋_GB2312"/>
          <w:b/>
          <w:sz w:val="24"/>
        </w:rPr>
        <w:t>Unit 4 Five Famous Symbols of American Culture</w:t>
      </w:r>
    </w:p>
    <w:p w:rsidR="003717A0" w:rsidRDefault="003717A0">
      <w:pPr>
        <w:rPr>
          <w:bCs/>
          <w:iCs/>
          <w:sz w:val="24"/>
        </w:rPr>
      </w:pPr>
      <w:r>
        <w:rPr>
          <w:bCs/>
          <w:iCs/>
          <w:sz w:val="24"/>
        </w:rPr>
        <w:t>Teaching objectives:</w:t>
      </w:r>
    </w:p>
    <w:p w:rsidR="003717A0" w:rsidRDefault="003717A0">
      <w:pPr>
        <w:rPr>
          <w:bCs/>
          <w:iCs/>
          <w:sz w:val="24"/>
        </w:rPr>
      </w:pPr>
      <w:r>
        <w:rPr>
          <w:bCs/>
          <w:iCs/>
          <w:sz w:val="24"/>
        </w:rPr>
        <w:t>1. To Require students to understand American history and culture.</w:t>
      </w:r>
    </w:p>
    <w:p w:rsidR="003717A0" w:rsidRDefault="003717A0">
      <w:pPr>
        <w:rPr>
          <w:bCs/>
          <w:iCs/>
          <w:sz w:val="24"/>
        </w:rPr>
      </w:pPr>
      <w:r>
        <w:rPr>
          <w:bCs/>
          <w:iCs/>
          <w:sz w:val="24"/>
        </w:rPr>
        <w:t>2. To help students learn the new words and expressions.</w:t>
      </w:r>
    </w:p>
    <w:p w:rsidR="003717A0" w:rsidRDefault="003717A0">
      <w:pPr>
        <w:rPr>
          <w:bCs/>
          <w:iCs/>
          <w:sz w:val="24"/>
        </w:rPr>
      </w:pPr>
      <w:r>
        <w:rPr>
          <w:bCs/>
          <w:iCs/>
          <w:sz w:val="24"/>
        </w:rPr>
        <w:t>3. To get the students to communicate in English confidently.</w:t>
      </w:r>
    </w:p>
    <w:p w:rsidR="003717A0" w:rsidRDefault="003717A0">
      <w:pPr>
        <w:rPr>
          <w:bCs/>
          <w:iCs/>
          <w:sz w:val="24"/>
        </w:rPr>
      </w:pPr>
      <w:r>
        <w:rPr>
          <w:bCs/>
          <w:iCs/>
          <w:sz w:val="24"/>
        </w:rPr>
        <w:t>4. To teach the reading skill--- appreciate figurative language.</w:t>
      </w:r>
    </w:p>
    <w:p w:rsidR="003717A0" w:rsidRDefault="003717A0">
      <w:pPr>
        <w:rPr>
          <w:bCs/>
          <w:iCs/>
          <w:sz w:val="24"/>
        </w:rPr>
      </w:pPr>
    </w:p>
    <w:p w:rsidR="003717A0" w:rsidRDefault="003717A0">
      <w:pPr>
        <w:rPr>
          <w:bCs/>
          <w:iCs/>
          <w:sz w:val="24"/>
        </w:rPr>
      </w:pPr>
      <w:r>
        <w:rPr>
          <w:bCs/>
          <w:iCs/>
          <w:sz w:val="24"/>
        </w:rPr>
        <w:t>Time allotment (6 periods):</w:t>
      </w:r>
    </w:p>
    <w:p w:rsidR="003717A0" w:rsidRDefault="003717A0">
      <w:pPr>
        <w:rPr>
          <w:bCs/>
          <w:iCs/>
          <w:sz w:val="24"/>
        </w:rPr>
      </w:pPr>
      <w:r>
        <w:rPr>
          <w:bCs/>
          <w:iCs/>
          <w:sz w:val="24"/>
        </w:rPr>
        <w:t>1.1</w:t>
      </w:r>
      <w:r>
        <w:rPr>
          <w:bCs/>
          <w:iCs/>
          <w:sz w:val="24"/>
          <w:vertAlign w:val="superscript"/>
        </w:rPr>
        <w:t>st</w:t>
      </w:r>
      <w:r>
        <w:rPr>
          <w:bCs/>
          <w:iCs/>
          <w:sz w:val="24"/>
        </w:rPr>
        <w:t xml:space="preserve"> and 2</w:t>
      </w:r>
      <w:r>
        <w:rPr>
          <w:bCs/>
          <w:iCs/>
          <w:sz w:val="24"/>
          <w:vertAlign w:val="superscript"/>
        </w:rPr>
        <w:t>nd</w:t>
      </w:r>
      <w:r>
        <w:rPr>
          <w:bCs/>
          <w:iCs/>
          <w:sz w:val="24"/>
        </w:rPr>
        <w:t xml:space="preserve"> period: Text A study</w:t>
      </w:r>
      <w:r>
        <w:rPr>
          <w:rFonts w:hint="eastAsia"/>
          <w:bCs/>
          <w:iCs/>
          <w:sz w:val="24"/>
        </w:rPr>
        <w:t>：</w:t>
      </w:r>
    </w:p>
    <w:p w:rsidR="003717A0" w:rsidRDefault="003717A0">
      <w:pPr>
        <w:rPr>
          <w:bCs/>
          <w:iCs/>
          <w:sz w:val="24"/>
        </w:rPr>
      </w:pPr>
      <w:r>
        <w:rPr>
          <w:bCs/>
          <w:iCs/>
          <w:sz w:val="24"/>
        </w:rPr>
        <w:t xml:space="preserve">                  background information; cultural notes; text organization; </w:t>
      </w:r>
    </w:p>
    <w:p w:rsidR="003717A0" w:rsidRDefault="003717A0">
      <w:pPr>
        <w:ind w:firstLineChars="900" w:firstLine="2160"/>
        <w:rPr>
          <w:bCs/>
          <w:iCs/>
          <w:sz w:val="24"/>
        </w:rPr>
      </w:pPr>
      <w:r>
        <w:rPr>
          <w:bCs/>
          <w:iCs/>
          <w:sz w:val="24"/>
        </w:rPr>
        <w:t xml:space="preserve">words and structures </w:t>
      </w:r>
    </w:p>
    <w:p w:rsidR="003717A0" w:rsidRDefault="003717A0">
      <w:pPr>
        <w:rPr>
          <w:bCs/>
          <w:iCs/>
          <w:sz w:val="24"/>
        </w:rPr>
      </w:pPr>
      <w:r>
        <w:rPr>
          <w:bCs/>
          <w:iCs/>
          <w:sz w:val="24"/>
        </w:rPr>
        <w:t>2.3</w:t>
      </w:r>
      <w:r>
        <w:rPr>
          <w:bCs/>
          <w:iCs/>
          <w:sz w:val="24"/>
          <w:vertAlign w:val="superscript"/>
        </w:rPr>
        <w:t>rd</w:t>
      </w:r>
      <w:r>
        <w:rPr>
          <w:bCs/>
          <w:iCs/>
          <w:sz w:val="24"/>
        </w:rPr>
        <w:t xml:space="preserve"> and 4</w:t>
      </w:r>
      <w:r>
        <w:rPr>
          <w:bCs/>
          <w:iCs/>
          <w:sz w:val="24"/>
          <w:vertAlign w:val="superscript"/>
        </w:rPr>
        <w:t>th</w:t>
      </w:r>
      <w:r>
        <w:rPr>
          <w:bCs/>
          <w:iCs/>
          <w:sz w:val="24"/>
        </w:rPr>
        <w:t xml:space="preserve"> period: Text A study</w:t>
      </w:r>
      <w:r>
        <w:rPr>
          <w:rFonts w:hint="eastAsia"/>
          <w:bCs/>
          <w:iCs/>
          <w:sz w:val="24"/>
        </w:rPr>
        <w:t>：</w:t>
      </w:r>
    </w:p>
    <w:p w:rsidR="003717A0" w:rsidRDefault="003717A0">
      <w:pPr>
        <w:ind w:leftChars="600" w:left="1260" w:firstLineChars="300" w:firstLine="720"/>
        <w:rPr>
          <w:bCs/>
          <w:iCs/>
          <w:sz w:val="24"/>
        </w:rPr>
      </w:pPr>
      <w:r>
        <w:rPr>
          <w:bCs/>
          <w:iCs/>
          <w:sz w:val="24"/>
        </w:rPr>
        <w:t>Review key language points; exercises after text A; essay writing;</w:t>
      </w:r>
    </w:p>
    <w:p w:rsidR="003717A0" w:rsidRDefault="003717A0">
      <w:pPr>
        <w:rPr>
          <w:bCs/>
          <w:iCs/>
          <w:sz w:val="24"/>
        </w:rPr>
      </w:pPr>
      <w:r>
        <w:rPr>
          <w:bCs/>
          <w:iCs/>
          <w:sz w:val="24"/>
        </w:rPr>
        <w:t>3.5</w:t>
      </w:r>
      <w:r>
        <w:rPr>
          <w:bCs/>
          <w:iCs/>
          <w:sz w:val="24"/>
          <w:vertAlign w:val="superscript"/>
        </w:rPr>
        <w:t>th</w:t>
      </w:r>
      <w:r>
        <w:rPr>
          <w:bCs/>
          <w:iCs/>
          <w:sz w:val="24"/>
        </w:rPr>
        <w:t xml:space="preserve"> and 6</w:t>
      </w:r>
      <w:r>
        <w:rPr>
          <w:bCs/>
          <w:iCs/>
          <w:sz w:val="24"/>
          <w:vertAlign w:val="superscript"/>
        </w:rPr>
        <w:t>th</w:t>
      </w:r>
      <w:r>
        <w:rPr>
          <w:bCs/>
          <w:iCs/>
          <w:sz w:val="24"/>
        </w:rPr>
        <w:t xml:space="preserve"> period: Text B study:</w:t>
      </w:r>
    </w:p>
    <w:p w:rsidR="003717A0" w:rsidRDefault="003717A0">
      <w:pPr>
        <w:rPr>
          <w:bCs/>
          <w:iCs/>
          <w:sz w:val="24"/>
        </w:rPr>
      </w:pPr>
      <w:r>
        <w:rPr>
          <w:bCs/>
          <w:iCs/>
          <w:sz w:val="24"/>
        </w:rPr>
        <w:t xml:space="preserve">                  cultural notes; words and structures </w:t>
      </w:r>
    </w:p>
    <w:p w:rsidR="003717A0" w:rsidRDefault="003717A0">
      <w:pPr>
        <w:rPr>
          <w:bCs/>
          <w:iCs/>
          <w:sz w:val="24"/>
        </w:rPr>
      </w:pPr>
    </w:p>
    <w:p w:rsidR="003717A0" w:rsidRDefault="003717A0">
      <w:pPr>
        <w:rPr>
          <w:bCs/>
          <w:iCs/>
          <w:sz w:val="24"/>
        </w:rPr>
      </w:pPr>
      <w:r>
        <w:rPr>
          <w:bCs/>
          <w:iCs/>
          <w:sz w:val="24"/>
        </w:rPr>
        <w:lastRenderedPageBreak/>
        <w:t>Answer questions after finishing reading Text A:</w:t>
      </w:r>
    </w:p>
    <w:p w:rsidR="003717A0" w:rsidRDefault="003717A0">
      <w:pPr>
        <w:rPr>
          <w:bCs/>
          <w:iCs/>
          <w:sz w:val="24"/>
        </w:rPr>
      </w:pPr>
      <w:r>
        <w:rPr>
          <w:bCs/>
          <w:iCs/>
          <w:sz w:val="24"/>
        </w:rPr>
        <w:t xml:space="preserve">1.What six symbols does the writer claim are definitely American?  </w:t>
      </w:r>
    </w:p>
    <w:p w:rsidR="003717A0" w:rsidRDefault="003717A0">
      <w:pPr>
        <w:rPr>
          <w:bCs/>
          <w:iCs/>
          <w:sz w:val="24"/>
        </w:rPr>
      </w:pPr>
      <w:r>
        <w:rPr>
          <w:bCs/>
          <w:iCs/>
          <w:sz w:val="24"/>
        </w:rPr>
        <w:t xml:space="preserve">2.What does the Buffalo nickel symbolize?  </w:t>
      </w:r>
    </w:p>
    <w:p w:rsidR="003717A0" w:rsidRDefault="003717A0">
      <w:pPr>
        <w:rPr>
          <w:bCs/>
          <w:iCs/>
          <w:sz w:val="24"/>
        </w:rPr>
      </w:pPr>
      <w:r>
        <w:rPr>
          <w:bCs/>
          <w:iCs/>
          <w:sz w:val="24"/>
        </w:rPr>
        <w:t xml:space="preserve">3.What else do you know about the American symbols?  </w:t>
      </w:r>
    </w:p>
    <w:p w:rsidR="003717A0" w:rsidRDefault="003717A0">
      <w:pPr>
        <w:rPr>
          <w:bCs/>
          <w:iCs/>
          <w:sz w:val="24"/>
        </w:rPr>
      </w:pPr>
    </w:p>
    <w:p w:rsidR="003717A0" w:rsidRDefault="003717A0">
      <w:pPr>
        <w:spacing w:line="360" w:lineRule="auto"/>
        <w:rPr>
          <w:rFonts w:eastAsia="仿宋_GB2312"/>
          <w:sz w:val="24"/>
        </w:rPr>
      </w:pPr>
      <w:r>
        <w:rPr>
          <w:rFonts w:eastAsia="仿宋_GB2312"/>
          <w:sz w:val="24"/>
        </w:rPr>
        <w:t>Important Language Points in Text A</w:t>
      </w:r>
    </w:p>
    <w:p w:rsidR="003717A0" w:rsidRDefault="003717A0">
      <w:pPr>
        <w:spacing w:line="360" w:lineRule="auto"/>
        <w:ind w:left="1294" w:hangingChars="539" w:hanging="1294"/>
        <w:rPr>
          <w:rFonts w:eastAsia="仿宋_GB2312"/>
          <w:sz w:val="24"/>
        </w:rPr>
      </w:pPr>
      <w:r>
        <w:rPr>
          <w:rFonts w:eastAsia="仿宋_GB2312"/>
          <w:sz w:val="24"/>
        </w:rPr>
        <w:t xml:space="preserve">Key words: </w:t>
      </w:r>
      <w:r>
        <w:rPr>
          <w:sz w:val="24"/>
        </w:rPr>
        <w:t>statue</w:t>
      </w:r>
      <w:r>
        <w:rPr>
          <w:sz w:val="24"/>
        </w:rPr>
        <w:tab/>
        <w:t>liberty enlighten approve assemble dedicate exaggerate version universal  solemn origin  recruit inspire</w:t>
      </w:r>
    </w:p>
    <w:p w:rsidR="003717A0" w:rsidRDefault="003717A0">
      <w:pPr>
        <w:rPr>
          <w:sz w:val="24"/>
        </w:rPr>
      </w:pPr>
      <w:r>
        <w:rPr>
          <w:rFonts w:eastAsia="仿宋_GB2312"/>
          <w:sz w:val="24"/>
        </w:rPr>
        <w:t xml:space="preserve">Key phrases and expressions: </w:t>
      </w:r>
      <w:r>
        <w:rPr>
          <w:sz w:val="24"/>
        </w:rPr>
        <w:t>1. work on</w:t>
      </w:r>
      <w:r>
        <w:rPr>
          <w:sz w:val="24"/>
        </w:rPr>
        <w:tab/>
        <w:t>2. approve of</w:t>
      </w:r>
      <w:r>
        <w:rPr>
          <w:sz w:val="24"/>
        </w:rPr>
        <w:tab/>
        <w:t>3. go ahead</w:t>
      </w:r>
    </w:p>
    <w:p w:rsidR="003717A0" w:rsidRDefault="003717A0">
      <w:pPr>
        <w:rPr>
          <w:sz w:val="24"/>
        </w:rPr>
      </w:pPr>
      <w:r>
        <w:rPr>
          <w:sz w:val="24"/>
        </w:rPr>
        <w:t>4. for sale</w:t>
      </w:r>
      <w:r>
        <w:rPr>
          <w:sz w:val="24"/>
        </w:rPr>
        <w:tab/>
        <w:t>5. come up with</w:t>
      </w:r>
      <w:r>
        <w:rPr>
          <w:sz w:val="24"/>
        </w:rPr>
        <w:tab/>
        <w:t>6. name after</w:t>
      </w:r>
    </w:p>
    <w:p w:rsidR="003717A0" w:rsidRDefault="003717A0">
      <w:pPr>
        <w:rPr>
          <w:sz w:val="24"/>
        </w:rPr>
      </w:pPr>
      <w:r>
        <w:rPr>
          <w:sz w:val="24"/>
        </w:rPr>
        <w:t>7.rise to fame</w:t>
      </w:r>
      <w:r>
        <w:rPr>
          <w:sz w:val="24"/>
        </w:rPr>
        <w:tab/>
        <w:t>8. capture one</w:t>
      </w:r>
      <w:r>
        <w:rPr>
          <w:rFonts w:hint="eastAsia"/>
          <w:sz w:val="24"/>
        </w:rPr>
        <w:t>’</w:t>
      </w:r>
      <w:r>
        <w:rPr>
          <w:sz w:val="24"/>
        </w:rPr>
        <w:t>s attention</w:t>
      </w:r>
      <w:r>
        <w:rPr>
          <w:sz w:val="24"/>
        </w:rPr>
        <w:tab/>
        <w:t>9. pose for</w:t>
      </w:r>
    </w:p>
    <w:p w:rsidR="003717A0" w:rsidRDefault="003717A0">
      <w:pPr>
        <w:rPr>
          <w:sz w:val="24"/>
        </w:rPr>
      </w:pPr>
      <w:r>
        <w:rPr>
          <w:sz w:val="24"/>
        </w:rPr>
        <w:t>10. go against</w:t>
      </w:r>
      <w:r>
        <w:rPr>
          <w:sz w:val="24"/>
        </w:rPr>
        <w:tab/>
        <w:t>11. be in love with sb.</w:t>
      </w:r>
      <w:r>
        <w:rPr>
          <w:sz w:val="24"/>
        </w:rPr>
        <w:tab/>
        <w:t>12. save sb./sth. from</w:t>
      </w:r>
    </w:p>
    <w:p w:rsidR="003717A0" w:rsidRDefault="003717A0">
      <w:pPr>
        <w:rPr>
          <w:sz w:val="24"/>
        </w:rPr>
      </w:pPr>
      <w:r>
        <w:rPr>
          <w:sz w:val="24"/>
        </w:rPr>
        <w:t>13. run away from</w:t>
      </w:r>
      <w:r>
        <w:rPr>
          <w:sz w:val="24"/>
        </w:rPr>
        <w:tab/>
        <w:t>14. joke gift</w:t>
      </w:r>
      <w:r>
        <w:rPr>
          <w:sz w:val="24"/>
        </w:rPr>
        <w:tab/>
        <w:t>15. no longer</w:t>
      </w:r>
    </w:p>
    <w:p w:rsidR="003717A0" w:rsidRDefault="003717A0">
      <w:pPr>
        <w:rPr>
          <w:sz w:val="24"/>
        </w:rPr>
      </w:pPr>
      <w:r>
        <w:rPr>
          <w:sz w:val="24"/>
        </w:rPr>
        <w:t>16. earn a reputation</w:t>
      </w:r>
      <w:r>
        <w:rPr>
          <w:sz w:val="24"/>
        </w:rPr>
        <w:tab/>
        <w:t>17. sign a contract with</w:t>
      </w:r>
      <w:r>
        <w:rPr>
          <w:sz w:val="24"/>
        </w:rPr>
        <w:tab/>
        <w:t>18. be short for</w:t>
      </w:r>
    </w:p>
    <w:p w:rsidR="003717A0" w:rsidRDefault="003717A0">
      <w:pPr>
        <w:rPr>
          <w:sz w:val="24"/>
        </w:rPr>
      </w:pPr>
      <w:r>
        <w:rPr>
          <w:sz w:val="24"/>
        </w:rPr>
        <w:t>19. evolve from</w:t>
      </w:r>
      <w:r>
        <w:rPr>
          <w:sz w:val="24"/>
        </w:rPr>
        <w:tab/>
        <w:t>20. make from</w:t>
      </w:r>
      <w:r>
        <w:rPr>
          <w:sz w:val="24"/>
        </w:rPr>
        <w:tab/>
      </w:r>
    </w:p>
    <w:p w:rsidR="003717A0" w:rsidRDefault="003717A0">
      <w:pPr>
        <w:spacing w:line="360" w:lineRule="auto"/>
        <w:ind w:leftChars="570" w:left="1291" w:hangingChars="39" w:hanging="94"/>
        <w:rPr>
          <w:rFonts w:eastAsia="仿宋_GB2312"/>
          <w:sz w:val="24"/>
        </w:rPr>
      </w:pPr>
    </w:p>
    <w:p w:rsidR="003717A0" w:rsidRDefault="003717A0">
      <w:pPr>
        <w:spacing w:line="360" w:lineRule="auto"/>
        <w:rPr>
          <w:rFonts w:eastAsia="仿宋_GB2312"/>
          <w:sz w:val="24"/>
        </w:rPr>
      </w:pPr>
      <w:r>
        <w:rPr>
          <w:rFonts w:eastAsia="仿宋_GB2312"/>
          <w:sz w:val="24"/>
        </w:rPr>
        <w:t>Grammatical Structure</w:t>
      </w:r>
    </w:p>
    <w:p w:rsidR="003717A0" w:rsidRDefault="003717A0">
      <w:pPr>
        <w:widowControl/>
        <w:spacing w:line="360" w:lineRule="exact"/>
        <w:jc w:val="left"/>
        <w:rPr>
          <w:rFonts w:eastAsia="Times New Roman"/>
          <w:bCs/>
          <w:kern w:val="0"/>
          <w:sz w:val="24"/>
        </w:rPr>
      </w:pPr>
      <w:r>
        <w:rPr>
          <w:rFonts w:ascii="宋体" w:hAnsi="宋体" w:cs="Arial Unicode MS"/>
          <w:bCs/>
          <w:kern w:val="0"/>
          <w:sz w:val="24"/>
        </w:rPr>
        <w:t>1</w:t>
      </w:r>
      <w:r>
        <w:rPr>
          <w:rFonts w:ascii="宋体" w:cs="Arial Unicode MS"/>
          <w:bCs/>
          <w:kern w:val="0"/>
          <w:sz w:val="24"/>
        </w:rPr>
        <w:t>.</w:t>
      </w:r>
      <w:r>
        <w:rPr>
          <w:rFonts w:ascii="宋体" w:hAnsi="宋体" w:cs="Arial Unicode MS" w:hint="eastAsia"/>
          <w:bCs/>
          <w:kern w:val="0"/>
          <w:sz w:val="24"/>
        </w:rPr>
        <w:t>原句</w:t>
      </w:r>
      <w:r>
        <w:rPr>
          <w:rFonts w:ascii="宋体" w:hAnsi="宋体" w:cs="Arial Unicode MS"/>
          <w:bCs/>
          <w:kern w:val="0"/>
          <w:sz w:val="24"/>
        </w:rPr>
        <w:t xml:space="preserve">: </w:t>
      </w:r>
      <w:r>
        <w:rPr>
          <w:rFonts w:eastAsia="Times New Roman"/>
          <w:bCs/>
          <w:kern w:val="0"/>
          <w:sz w:val="24"/>
        </w:rPr>
        <w:t>Mattel refashioned the doll into a decent, all-American—</w:t>
      </w:r>
      <w:r>
        <w:rPr>
          <w:rFonts w:eastAsia="Times New Roman"/>
          <w:bCs/>
          <w:kern w:val="0"/>
          <w:sz w:val="24"/>
          <w:u w:val="single"/>
        </w:rPr>
        <w:t>although with an exaggerated breast size</w:t>
      </w:r>
      <w:r>
        <w:rPr>
          <w:rFonts w:eastAsia="Times New Roman"/>
          <w:bCs/>
          <w:kern w:val="0"/>
          <w:sz w:val="24"/>
        </w:rPr>
        <w:t>—version and named it after Barbara, who was then a teenager.(L24)</w:t>
      </w:r>
    </w:p>
    <w:p w:rsidR="003717A0" w:rsidRDefault="003717A0">
      <w:pPr>
        <w:widowControl/>
        <w:spacing w:line="360" w:lineRule="exact"/>
        <w:jc w:val="left"/>
        <w:rPr>
          <w:rFonts w:eastAsia="Times New Roman"/>
          <w:bCs/>
          <w:kern w:val="0"/>
          <w:sz w:val="24"/>
        </w:rPr>
      </w:pPr>
      <w:r>
        <w:rPr>
          <w:rFonts w:eastAsia="Times New Roman"/>
          <w:bCs/>
          <w:kern w:val="0"/>
          <w:sz w:val="24"/>
        </w:rPr>
        <w:t xml:space="preserve">Note the structure “conj.+ prepositional phrase” (“although with an exaggerated breast size”). </w:t>
      </w:r>
    </w:p>
    <w:p w:rsidR="003717A0" w:rsidRDefault="003717A0">
      <w:pPr>
        <w:widowControl/>
        <w:spacing w:line="360" w:lineRule="exact"/>
        <w:jc w:val="left"/>
        <w:rPr>
          <w:bCs/>
          <w:kern w:val="0"/>
          <w:sz w:val="24"/>
        </w:rPr>
      </w:pPr>
      <w:r>
        <w:rPr>
          <w:bCs/>
          <w:kern w:val="0"/>
          <w:sz w:val="24"/>
        </w:rPr>
        <w:t xml:space="preserve">2. </w:t>
      </w:r>
      <w:r>
        <w:rPr>
          <w:rFonts w:ascii="宋体" w:hAnsi="宋体" w:cs="Arial Unicode MS" w:hint="eastAsia"/>
          <w:bCs/>
          <w:kern w:val="0"/>
          <w:sz w:val="24"/>
        </w:rPr>
        <w:t>原句</w:t>
      </w:r>
      <w:r>
        <w:rPr>
          <w:rFonts w:ascii="宋体" w:hAnsi="宋体" w:cs="Arial Unicode MS"/>
          <w:bCs/>
          <w:kern w:val="0"/>
          <w:sz w:val="24"/>
        </w:rPr>
        <w:t xml:space="preserve">: </w:t>
      </w:r>
      <w:r>
        <w:rPr>
          <w:bCs/>
          <w:kern w:val="0"/>
          <w:sz w:val="24"/>
        </w:rPr>
        <w:t xml:space="preserve">After the war, a character called Uncle Sam began appearing in political cartoons, </w:t>
      </w:r>
      <w:r>
        <w:rPr>
          <w:bCs/>
          <w:kern w:val="0"/>
          <w:sz w:val="24"/>
          <w:u w:val="single"/>
        </w:rPr>
        <w:t>his form evolving from an earlier cartoon character called Brother Jonathan that was popular during the American Revolution.</w:t>
      </w:r>
      <w:r>
        <w:rPr>
          <w:bCs/>
          <w:kern w:val="0"/>
          <w:sz w:val="24"/>
        </w:rPr>
        <w:t>(L74)</w:t>
      </w:r>
    </w:p>
    <w:p w:rsidR="003717A0" w:rsidRDefault="003717A0">
      <w:pPr>
        <w:widowControl/>
        <w:spacing w:line="360" w:lineRule="exact"/>
        <w:jc w:val="left"/>
        <w:rPr>
          <w:bCs/>
          <w:kern w:val="0"/>
          <w:sz w:val="24"/>
        </w:rPr>
      </w:pPr>
      <w:r>
        <w:rPr>
          <w:bCs/>
          <w:kern w:val="0"/>
          <w:sz w:val="24"/>
        </w:rPr>
        <w:t xml:space="preserve">Notice the absolute structure “his form evolving from an earlier cartoon character called Brother Jonathan that was popular during the American Revolution”. This kind of absolute structure can be transformed into a full sentence. (In this case, the transformation is “His form evolved from an earlier cartoon character called Brother Jonathan that was popular during the American Revolution.”) Conversely, a full sentence can be made into an absolute structure by changing the main verb into its </w:t>
      </w:r>
      <w:r>
        <w:rPr>
          <w:bCs/>
          <w:i/>
          <w:kern w:val="0"/>
          <w:sz w:val="24"/>
        </w:rPr>
        <w:t xml:space="preserve">–ing </w:t>
      </w:r>
      <w:r>
        <w:rPr>
          <w:bCs/>
          <w:kern w:val="0"/>
          <w:sz w:val="24"/>
        </w:rPr>
        <w:t>form.</w:t>
      </w:r>
    </w:p>
    <w:p w:rsidR="003717A0" w:rsidRDefault="003717A0">
      <w:pPr>
        <w:widowControl/>
        <w:spacing w:line="360" w:lineRule="exact"/>
        <w:jc w:val="left"/>
        <w:rPr>
          <w:bCs/>
          <w:kern w:val="0"/>
          <w:sz w:val="24"/>
        </w:rPr>
      </w:pPr>
      <w:r>
        <w:rPr>
          <w:rFonts w:ascii="宋体" w:hAnsi="宋体"/>
          <w:bCs/>
          <w:kern w:val="0"/>
          <w:sz w:val="24"/>
        </w:rPr>
        <w:t>3.</w:t>
      </w:r>
      <w:r>
        <w:rPr>
          <w:rFonts w:ascii="宋体" w:hAnsi="宋体" w:hint="eastAsia"/>
          <w:bCs/>
          <w:kern w:val="0"/>
          <w:sz w:val="24"/>
        </w:rPr>
        <w:t>原句：</w:t>
      </w:r>
      <w:r>
        <w:rPr>
          <w:bCs/>
          <w:kern w:val="0"/>
          <w:sz w:val="24"/>
        </w:rPr>
        <w:t xml:space="preserve">His mother </w:t>
      </w:r>
      <w:r>
        <w:rPr>
          <w:bCs/>
          <w:kern w:val="0"/>
          <w:sz w:val="24"/>
          <w:u w:val="single"/>
        </w:rPr>
        <w:t xml:space="preserve">could not approve of </w:t>
      </w:r>
      <w:r>
        <w:rPr>
          <w:bCs/>
          <w:kern w:val="0"/>
          <w:sz w:val="24"/>
        </w:rPr>
        <w:t xml:space="preserve">her son’s affection for a woman she had never met, but Bartholdi </w:t>
      </w:r>
      <w:r>
        <w:rPr>
          <w:bCs/>
          <w:kern w:val="0"/>
          <w:sz w:val="24"/>
          <w:u w:val="single"/>
        </w:rPr>
        <w:t>went ahead and</w:t>
      </w:r>
      <w:r>
        <w:rPr>
          <w:bCs/>
          <w:kern w:val="0"/>
          <w:sz w:val="24"/>
        </w:rPr>
        <w:t xml:space="preserve"> married his love in 1876.(L5)</w:t>
      </w:r>
    </w:p>
    <w:p w:rsidR="003717A0" w:rsidRDefault="003717A0">
      <w:pPr>
        <w:widowControl/>
        <w:spacing w:line="360" w:lineRule="exact"/>
        <w:jc w:val="left"/>
        <w:rPr>
          <w:rFonts w:ascii="宋体" w:cs="Arial Unicode MS"/>
          <w:bCs/>
          <w:kern w:val="0"/>
          <w:sz w:val="24"/>
        </w:rPr>
      </w:pPr>
      <w:r>
        <w:rPr>
          <w:rFonts w:ascii="宋体" w:hAnsi="宋体" w:cs="Arial Unicode MS" w:hint="eastAsia"/>
          <w:bCs/>
          <w:kern w:val="0"/>
          <w:sz w:val="24"/>
        </w:rPr>
        <w:t>句型提炼</w:t>
      </w:r>
      <w:r>
        <w:rPr>
          <w:rFonts w:ascii="宋体" w:hAnsi="宋体" w:cs="Arial Unicode MS"/>
          <w:bCs/>
          <w:kern w:val="0"/>
          <w:sz w:val="24"/>
        </w:rPr>
        <w:t>:</w:t>
      </w:r>
      <w:r>
        <w:rPr>
          <w:rFonts w:ascii="Arial Unicode MS" w:hAnsi="Arial Unicode MS" w:cs="Arial Unicode MS"/>
          <w:bCs/>
          <w:kern w:val="0"/>
          <w:sz w:val="24"/>
        </w:rPr>
        <w:t xml:space="preserve"> </w:t>
      </w:r>
      <w:r>
        <w:rPr>
          <w:rFonts w:eastAsia="Times New Roman"/>
          <w:bCs/>
          <w:kern w:val="0"/>
          <w:sz w:val="24"/>
        </w:rPr>
        <w:t>Some people disapprove of / object to sb.’s doing sth., but sb. go ahead and …</w:t>
      </w:r>
      <w:r>
        <w:rPr>
          <w:rFonts w:ascii="宋体" w:hAnsi="宋体" w:cs="Arial Unicode MS" w:hint="eastAsia"/>
          <w:bCs/>
          <w:kern w:val="0"/>
          <w:sz w:val="24"/>
        </w:rPr>
        <w:t>用于表述</w:t>
      </w:r>
      <w:r>
        <w:rPr>
          <w:rFonts w:ascii="宋体" w:cs="Arial Unicode MS" w:hint="eastAsia"/>
          <w:bCs/>
          <w:kern w:val="0"/>
          <w:sz w:val="24"/>
        </w:rPr>
        <w:t>“</w:t>
      </w:r>
      <w:r>
        <w:rPr>
          <w:rFonts w:ascii="宋体" w:hAnsi="宋体" w:cs="Arial Unicode MS" w:hint="eastAsia"/>
          <w:bCs/>
          <w:kern w:val="0"/>
          <w:sz w:val="24"/>
        </w:rPr>
        <w:t>某人做某事的执着或固执</w:t>
      </w:r>
      <w:r>
        <w:rPr>
          <w:rFonts w:ascii="宋体" w:cs="Arial Unicode MS" w:hint="eastAsia"/>
          <w:bCs/>
          <w:kern w:val="0"/>
          <w:sz w:val="24"/>
        </w:rPr>
        <w:t>”</w:t>
      </w:r>
      <w:r>
        <w:rPr>
          <w:rFonts w:ascii="宋体" w:hAnsi="宋体" w:cs="Arial Unicode MS" w:hint="eastAsia"/>
          <w:bCs/>
          <w:kern w:val="0"/>
          <w:sz w:val="24"/>
        </w:rPr>
        <w:t>。</w:t>
      </w:r>
    </w:p>
    <w:p w:rsidR="003717A0" w:rsidRDefault="003717A0">
      <w:pPr>
        <w:widowControl/>
        <w:spacing w:line="360" w:lineRule="exact"/>
        <w:jc w:val="left"/>
        <w:rPr>
          <w:bCs/>
          <w:kern w:val="0"/>
          <w:sz w:val="24"/>
        </w:rPr>
      </w:pPr>
      <w:r>
        <w:rPr>
          <w:rFonts w:ascii="宋体" w:hAnsi="宋体" w:cs="Arial Unicode MS"/>
          <w:bCs/>
          <w:kern w:val="0"/>
          <w:sz w:val="24"/>
        </w:rPr>
        <w:t xml:space="preserve">4. </w:t>
      </w:r>
      <w:r>
        <w:rPr>
          <w:rFonts w:ascii="宋体" w:hAnsi="宋体" w:cs="Arial Unicode MS" w:hint="eastAsia"/>
          <w:bCs/>
          <w:kern w:val="0"/>
          <w:sz w:val="24"/>
        </w:rPr>
        <w:t>原句</w:t>
      </w:r>
      <w:r>
        <w:rPr>
          <w:rFonts w:ascii="Arial Unicode MS" w:hAnsi="Arial Unicode MS" w:cs="Arial Unicode MS" w:hint="eastAsia"/>
          <w:bCs/>
          <w:kern w:val="0"/>
          <w:sz w:val="24"/>
        </w:rPr>
        <w:t>：</w:t>
      </w:r>
      <w:r>
        <w:rPr>
          <w:bCs/>
          <w:kern w:val="0"/>
          <w:sz w:val="24"/>
          <w:u w:val="single"/>
        </w:rPr>
        <w:t>He was strongly influenced by medieval artists and inspired by the Gothic window of an old farmhouse</w:t>
      </w:r>
      <w:r>
        <w:rPr>
          <w:bCs/>
          <w:kern w:val="0"/>
          <w:sz w:val="24"/>
        </w:rPr>
        <w:t xml:space="preserve">, </w:t>
      </w:r>
      <w:r>
        <w:rPr>
          <w:bCs/>
          <w:kern w:val="0"/>
          <w:sz w:val="24"/>
          <w:u w:val="single"/>
        </w:rPr>
        <w:t>but</w:t>
      </w:r>
      <w:r>
        <w:rPr>
          <w:bCs/>
          <w:kern w:val="0"/>
          <w:sz w:val="24"/>
        </w:rPr>
        <w:t xml:space="preserve"> the faces in his composition were what </w:t>
      </w:r>
      <w:r>
        <w:rPr>
          <w:bCs/>
          <w:kern w:val="0"/>
          <w:sz w:val="24"/>
          <w:u w:val="single"/>
        </w:rPr>
        <w:t>captured the world’s attention</w:t>
      </w:r>
      <w:r>
        <w:rPr>
          <w:bCs/>
          <w:kern w:val="0"/>
          <w:sz w:val="24"/>
        </w:rPr>
        <w:t>.(L39)</w:t>
      </w:r>
    </w:p>
    <w:p w:rsidR="003717A0" w:rsidRDefault="003717A0">
      <w:pPr>
        <w:widowControl/>
        <w:spacing w:line="360" w:lineRule="exact"/>
        <w:jc w:val="left"/>
        <w:rPr>
          <w:rFonts w:ascii="宋体"/>
          <w:bCs/>
          <w:kern w:val="0"/>
          <w:sz w:val="24"/>
        </w:rPr>
      </w:pPr>
      <w:r>
        <w:rPr>
          <w:rFonts w:ascii="宋体" w:hAnsi="宋体" w:cs="Arial Unicode MS" w:hint="eastAsia"/>
          <w:bCs/>
          <w:kern w:val="0"/>
          <w:sz w:val="24"/>
        </w:rPr>
        <w:lastRenderedPageBreak/>
        <w:t>句型提炼</w:t>
      </w:r>
      <w:r>
        <w:rPr>
          <w:rFonts w:ascii="宋体" w:hAnsi="宋体" w:cs="Arial Unicode MS"/>
          <w:bCs/>
          <w:kern w:val="0"/>
          <w:sz w:val="24"/>
        </w:rPr>
        <w:t>:</w:t>
      </w:r>
      <w:r>
        <w:rPr>
          <w:bCs/>
          <w:kern w:val="0"/>
          <w:sz w:val="24"/>
        </w:rPr>
        <w:t xml:space="preserve"> Sb. do sth., but sth. else be what captures people’s attention. </w:t>
      </w:r>
      <w:r>
        <w:rPr>
          <w:rFonts w:ascii="宋体" w:hAnsi="宋体" w:hint="eastAsia"/>
          <w:bCs/>
          <w:kern w:val="0"/>
          <w:sz w:val="24"/>
        </w:rPr>
        <w:t>用于表述</w:t>
      </w:r>
      <w:r>
        <w:rPr>
          <w:rFonts w:ascii="宋体" w:hint="eastAsia"/>
          <w:bCs/>
          <w:kern w:val="0"/>
          <w:sz w:val="24"/>
        </w:rPr>
        <w:t>“</w:t>
      </w:r>
      <w:r>
        <w:rPr>
          <w:rFonts w:ascii="宋体" w:hAnsi="宋体" w:hint="eastAsia"/>
          <w:bCs/>
          <w:kern w:val="0"/>
          <w:sz w:val="24"/>
        </w:rPr>
        <w:t>引人注目的是人们意料之外的事物</w:t>
      </w:r>
      <w:r>
        <w:rPr>
          <w:rFonts w:ascii="宋体" w:hint="eastAsia"/>
          <w:bCs/>
          <w:kern w:val="0"/>
          <w:sz w:val="24"/>
        </w:rPr>
        <w:t>”</w:t>
      </w:r>
      <w:r>
        <w:rPr>
          <w:rFonts w:ascii="宋体" w:hAnsi="宋体" w:hint="eastAsia"/>
          <w:bCs/>
          <w:kern w:val="0"/>
          <w:sz w:val="24"/>
        </w:rPr>
        <w:t>。</w:t>
      </w:r>
    </w:p>
    <w:p w:rsidR="003717A0" w:rsidRDefault="003717A0">
      <w:pPr>
        <w:widowControl/>
        <w:spacing w:line="360" w:lineRule="exact"/>
        <w:jc w:val="left"/>
        <w:rPr>
          <w:bCs/>
          <w:kern w:val="0"/>
          <w:sz w:val="24"/>
        </w:rPr>
      </w:pPr>
      <w:r>
        <w:rPr>
          <w:rFonts w:ascii="宋体" w:hAnsi="宋体" w:cs="Arial Unicode MS"/>
          <w:bCs/>
          <w:kern w:val="0"/>
          <w:sz w:val="24"/>
        </w:rPr>
        <w:t>5.</w:t>
      </w:r>
      <w:r>
        <w:rPr>
          <w:rFonts w:ascii="宋体" w:hAnsi="宋体" w:cs="Arial Unicode MS" w:hint="eastAsia"/>
          <w:bCs/>
          <w:kern w:val="0"/>
          <w:sz w:val="24"/>
        </w:rPr>
        <w:t>原句：</w:t>
      </w:r>
      <w:r>
        <w:rPr>
          <w:bCs/>
          <w:kern w:val="0"/>
          <w:sz w:val="24"/>
        </w:rPr>
        <w:t>Now more than sixty years old, Barbara—who declines interviews but is said to have loved the doll—may be the most famous unknown figure on the planet.(L29)</w:t>
      </w:r>
    </w:p>
    <w:p w:rsidR="003717A0" w:rsidRDefault="003717A0">
      <w:pPr>
        <w:widowControl/>
        <w:spacing w:line="360" w:lineRule="exact"/>
        <w:jc w:val="left"/>
        <w:rPr>
          <w:bCs/>
          <w:kern w:val="0"/>
          <w:sz w:val="24"/>
        </w:rPr>
      </w:pPr>
      <w:r>
        <w:rPr>
          <w:rFonts w:ascii="宋体" w:hAnsi="宋体" w:cs="Arial Unicode MS" w:hint="eastAsia"/>
          <w:bCs/>
          <w:kern w:val="0"/>
          <w:sz w:val="24"/>
        </w:rPr>
        <w:t>句型提炼</w:t>
      </w:r>
      <w:r>
        <w:rPr>
          <w:rFonts w:ascii="宋体" w:hAnsi="宋体" w:cs="Arial Unicode MS"/>
          <w:bCs/>
          <w:kern w:val="0"/>
          <w:sz w:val="24"/>
        </w:rPr>
        <w:t>:</w:t>
      </w:r>
      <w:r>
        <w:rPr>
          <w:bCs/>
          <w:kern w:val="0"/>
          <w:sz w:val="24"/>
        </w:rPr>
        <w:t xml:space="preserve"> Sb. / Sth.—… (description of sb. or sth.)—be …</w:t>
      </w:r>
      <w:r>
        <w:rPr>
          <w:rFonts w:hint="eastAsia"/>
          <w:bCs/>
          <w:kern w:val="0"/>
          <w:sz w:val="24"/>
        </w:rPr>
        <w:t>用于表述</w:t>
      </w:r>
      <w:r>
        <w:rPr>
          <w:bCs/>
          <w:kern w:val="0"/>
          <w:sz w:val="24"/>
        </w:rPr>
        <w:t>“</w:t>
      </w:r>
      <w:r>
        <w:rPr>
          <w:rFonts w:hint="eastAsia"/>
          <w:bCs/>
          <w:kern w:val="0"/>
          <w:sz w:val="24"/>
        </w:rPr>
        <w:t>通过对某人或事的细节描述，从而对其进行界定</w:t>
      </w:r>
      <w:r>
        <w:rPr>
          <w:bCs/>
          <w:kern w:val="0"/>
          <w:sz w:val="24"/>
        </w:rPr>
        <w:t>”</w:t>
      </w:r>
      <w:r>
        <w:rPr>
          <w:rFonts w:hint="eastAsia"/>
          <w:bCs/>
          <w:kern w:val="0"/>
          <w:sz w:val="24"/>
        </w:rPr>
        <w:t>。</w:t>
      </w:r>
    </w:p>
    <w:p w:rsidR="003717A0" w:rsidRDefault="003717A0">
      <w:pPr>
        <w:widowControl/>
        <w:spacing w:line="360" w:lineRule="exact"/>
        <w:jc w:val="left"/>
        <w:rPr>
          <w:rFonts w:ascii="宋体"/>
          <w:bCs/>
          <w:kern w:val="0"/>
          <w:sz w:val="24"/>
        </w:rPr>
      </w:pPr>
    </w:p>
    <w:p w:rsidR="003717A0" w:rsidRDefault="003717A0">
      <w:pPr>
        <w:widowControl/>
        <w:spacing w:line="360" w:lineRule="exact"/>
        <w:jc w:val="left"/>
        <w:rPr>
          <w:rFonts w:ascii="宋体" w:cs="Arial Unicode MS"/>
          <w:bCs/>
          <w:kern w:val="0"/>
          <w:sz w:val="24"/>
        </w:rPr>
      </w:pPr>
    </w:p>
    <w:p w:rsidR="003717A0" w:rsidRDefault="003717A0">
      <w:pPr>
        <w:rPr>
          <w:rFonts w:eastAsia="仿宋_GB2312"/>
          <w:sz w:val="24"/>
        </w:rPr>
      </w:pPr>
      <w:r>
        <w:rPr>
          <w:rFonts w:eastAsia="仿宋_GB2312"/>
          <w:sz w:val="24"/>
        </w:rPr>
        <w:t>Topic for writing:</w:t>
      </w:r>
    </w:p>
    <w:p w:rsidR="003717A0" w:rsidRDefault="003717A0">
      <w:pPr>
        <w:rPr>
          <w:bCs/>
          <w:iCs/>
          <w:sz w:val="24"/>
        </w:rPr>
      </w:pPr>
      <w:r>
        <w:rPr>
          <w:bCs/>
          <w:iCs/>
          <w:sz w:val="24"/>
        </w:rPr>
        <w:t>The Development of Our University.</w:t>
      </w:r>
    </w:p>
    <w:p w:rsidR="003717A0" w:rsidRDefault="003717A0">
      <w:pPr>
        <w:rPr>
          <w:bCs/>
          <w:iCs/>
          <w:sz w:val="24"/>
        </w:rPr>
      </w:pPr>
      <w:r>
        <w:rPr>
          <w:bCs/>
          <w:iCs/>
          <w:sz w:val="24"/>
        </w:rPr>
        <w:t>Additional work:</w:t>
      </w:r>
    </w:p>
    <w:p w:rsidR="003717A0" w:rsidRDefault="003717A0">
      <w:pPr>
        <w:numPr>
          <w:ilvl w:val="0"/>
          <w:numId w:val="33"/>
        </w:numPr>
        <w:rPr>
          <w:bCs/>
          <w:iCs/>
          <w:sz w:val="24"/>
        </w:rPr>
      </w:pPr>
      <w:r>
        <w:rPr>
          <w:bCs/>
          <w:iCs/>
          <w:sz w:val="24"/>
        </w:rPr>
        <w:t>Recite the 1</w:t>
      </w:r>
      <w:r>
        <w:rPr>
          <w:bCs/>
          <w:iCs/>
          <w:sz w:val="24"/>
          <w:vertAlign w:val="superscript"/>
        </w:rPr>
        <w:t>st</w:t>
      </w:r>
      <w:r>
        <w:rPr>
          <w:bCs/>
          <w:iCs/>
          <w:sz w:val="24"/>
        </w:rPr>
        <w:t xml:space="preserve"> ,2</w:t>
      </w:r>
      <w:r>
        <w:rPr>
          <w:bCs/>
          <w:iCs/>
          <w:sz w:val="24"/>
          <w:vertAlign w:val="superscript"/>
        </w:rPr>
        <w:t>nd</w:t>
      </w:r>
      <w:r>
        <w:rPr>
          <w:bCs/>
          <w:iCs/>
          <w:sz w:val="24"/>
        </w:rPr>
        <w:t xml:space="preserve"> ,9</w:t>
      </w:r>
      <w:r>
        <w:rPr>
          <w:bCs/>
          <w:iCs/>
          <w:sz w:val="24"/>
          <w:vertAlign w:val="superscript"/>
        </w:rPr>
        <w:t>th</w:t>
      </w:r>
      <w:r>
        <w:rPr>
          <w:bCs/>
          <w:iCs/>
          <w:sz w:val="24"/>
        </w:rPr>
        <w:t xml:space="preserve"> and 10</w:t>
      </w:r>
      <w:r>
        <w:rPr>
          <w:bCs/>
          <w:iCs/>
          <w:sz w:val="24"/>
          <w:vertAlign w:val="superscript"/>
        </w:rPr>
        <w:t>th</w:t>
      </w:r>
      <w:r>
        <w:rPr>
          <w:bCs/>
          <w:iCs/>
          <w:sz w:val="24"/>
        </w:rPr>
        <w:t xml:space="preserve"> paragraph in Text A.</w:t>
      </w:r>
    </w:p>
    <w:p w:rsidR="003717A0" w:rsidRDefault="003717A0">
      <w:pPr>
        <w:numPr>
          <w:ilvl w:val="0"/>
          <w:numId w:val="33"/>
        </w:numPr>
        <w:rPr>
          <w:bCs/>
          <w:iCs/>
          <w:sz w:val="24"/>
        </w:rPr>
      </w:pPr>
      <w:r>
        <w:rPr>
          <w:bCs/>
          <w:iCs/>
          <w:sz w:val="24"/>
        </w:rPr>
        <w:t>Summarize five famous symbols of American culture and retell the stories of the five symbols.</w:t>
      </w:r>
    </w:p>
    <w:p w:rsidR="003717A0" w:rsidRDefault="003717A0">
      <w:pPr>
        <w:spacing w:line="360" w:lineRule="auto"/>
        <w:rPr>
          <w:rFonts w:eastAsia="仿宋_GB2312"/>
          <w:sz w:val="24"/>
        </w:rPr>
      </w:pPr>
    </w:p>
    <w:p w:rsidR="003717A0" w:rsidRDefault="003717A0">
      <w:pPr>
        <w:spacing w:line="360" w:lineRule="auto"/>
        <w:rPr>
          <w:rFonts w:eastAsia="仿宋_GB2312"/>
          <w:b/>
          <w:sz w:val="24"/>
        </w:rPr>
      </w:pPr>
      <w:r>
        <w:rPr>
          <w:rFonts w:eastAsia="仿宋_GB2312"/>
          <w:b/>
          <w:sz w:val="24"/>
        </w:rPr>
        <w:t>Unit 5 Graceful Hands</w:t>
      </w:r>
    </w:p>
    <w:p w:rsidR="003717A0" w:rsidRDefault="003717A0">
      <w:pPr>
        <w:rPr>
          <w:sz w:val="24"/>
          <w:szCs w:val="24"/>
        </w:rPr>
      </w:pPr>
      <w:r>
        <w:rPr>
          <w:sz w:val="24"/>
          <w:szCs w:val="24"/>
        </w:rPr>
        <w:t>Teaching objectives:</w:t>
      </w:r>
    </w:p>
    <w:p w:rsidR="003717A0" w:rsidRDefault="003717A0">
      <w:pPr>
        <w:rPr>
          <w:sz w:val="24"/>
          <w:szCs w:val="24"/>
        </w:rPr>
      </w:pPr>
      <w:r>
        <w:rPr>
          <w:sz w:val="24"/>
          <w:szCs w:val="24"/>
        </w:rPr>
        <w:t>1. To Require students to grasp the skill of narrating in a chronological order.</w:t>
      </w:r>
    </w:p>
    <w:p w:rsidR="003717A0" w:rsidRDefault="003717A0">
      <w:pPr>
        <w:rPr>
          <w:sz w:val="24"/>
          <w:szCs w:val="24"/>
        </w:rPr>
      </w:pPr>
      <w:r>
        <w:rPr>
          <w:sz w:val="24"/>
          <w:szCs w:val="24"/>
        </w:rPr>
        <w:t>2. To help students learn the new words and expressions.</w:t>
      </w:r>
    </w:p>
    <w:p w:rsidR="003717A0" w:rsidRDefault="003717A0">
      <w:pPr>
        <w:rPr>
          <w:sz w:val="24"/>
          <w:szCs w:val="24"/>
        </w:rPr>
      </w:pPr>
      <w:r>
        <w:rPr>
          <w:sz w:val="24"/>
          <w:szCs w:val="24"/>
        </w:rPr>
        <w:t>3. To get the students to communicate in English confidently.</w:t>
      </w:r>
    </w:p>
    <w:p w:rsidR="003717A0" w:rsidRDefault="003717A0">
      <w:pPr>
        <w:rPr>
          <w:sz w:val="24"/>
          <w:szCs w:val="24"/>
        </w:rPr>
      </w:pPr>
      <w:r>
        <w:rPr>
          <w:sz w:val="24"/>
          <w:szCs w:val="24"/>
        </w:rPr>
        <w:t>4. To teach the reading skill--- predict the general direction of the writer’s thinking.</w:t>
      </w:r>
    </w:p>
    <w:p w:rsidR="003717A0" w:rsidRDefault="003717A0">
      <w:pPr>
        <w:rPr>
          <w:sz w:val="24"/>
          <w:szCs w:val="24"/>
        </w:rPr>
      </w:pPr>
      <w:r>
        <w:rPr>
          <w:sz w:val="24"/>
          <w:szCs w:val="24"/>
        </w:rPr>
        <w:t> </w:t>
      </w:r>
    </w:p>
    <w:p w:rsidR="003717A0" w:rsidRDefault="003717A0">
      <w:pPr>
        <w:rPr>
          <w:sz w:val="24"/>
          <w:szCs w:val="24"/>
        </w:rPr>
      </w:pPr>
      <w:r>
        <w:rPr>
          <w:sz w:val="24"/>
          <w:szCs w:val="24"/>
        </w:rPr>
        <w:t>Time allotment (6 periods):</w:t>
      </w:r>
    </w:p>
    <w:p w:rsidR="003717A0" w:rsidRDefault="003717A0">
      <w:pPr>
        <w:rPr>
          <w:sz w:val="24"/>
          <w:szCs w:val="24"/>
        </w:rPr>
      </w:pPr>
      <w:r>
        <w:rPr>
          <w:sz w:val="24"/>
          <w:szCs w:val="24"/>
        </w:rPr>
        <w:t>1.1st and 2nd period: Text A study</w:t>
      </w:r>
      <w:r>
        <w:rPr>
          <w:rFonts w:hint="eastAsia"/>
          <w:sz w:val="24"/>
          <w:szCs w:val="24"/>
        </w:rPr>
        <w:t>：</w:t>
      </w:r>
    </w:p>
    <w:p w:rsidR="003717A0" w:rsidRDefault="003717A0">
      <w:pPr>
        <w:rPr>
          <w:sz w:val="24"/>
          <w:szCs w:val="24"/>
        </w:rPr>
      </w:pPr>
      <w:r>
        <w:rPr>
          <w:sz w:val="24"/>
          <w:szCs w:val="24"/>
        </w:rPr>
        <w:t>                  background information; cultural notes; text organization; words and structures</w:t>
      </w:r>
    </w:p>
    <w:p w:rsidR="003717A0" w:rsidRDefault="003717A0">
      <w:pPr>
        <w:rPr>
          <w:sz w:val="24"/>
          <w:szCs w:val="24"/>
        </w:rPr>
      </w:pPr>
      <w:r>
        <w:rPr>
          <w:sz w:val="24"/>
          <w:szCs w:val="24"/>
        </w:rPr>
        <w:t>2.3rd and 4th period: Text A study</w:t>
      </w:r>
      <w:r>
        <w:rPr>
          <w:rFonts w:hint="eastAsia"/>
          <w:sz w:val="24"/>
          <w:szCs w:val="24"/>
        </w:rPr>
        <w:t>：</w:t>
      </w:r>
    </w:p>
    <w:p w:rsidR="003717A0" w:rsidRDefault="003717A0">
      <w:pPr>
        <w:ind w:firstLineChars="400" w:firstLine="960"/>
        <w:rPr>
          <w:sz w:val="24"/>
          <w:szCs w:val="24"/>
        </w:rPr>
      </w:pPr>
      <w:r>
        <w:rPr>
          <w:sz w:val="24"/>
          <w:szCs w:val="24"/>
        </w:rPr>
        <w:t>Review key language points; exercises after text A; essay writing;</w:t>
      </w:r>
    </w:p>
    <w:p w:rsidR="003717A0" w:rsidRDefault="003717A0">
      <w:pPr>
        <w:rPr>
          <w:sz w:val="24"/>
          <w:szCs w:val="24"/>
        </w:rPr>
      </w:pPr>
      <w:r>
        <w:rPr>
          <w:sz w:val="24"/>
          <w:szCs w:val="24"/>
        </w:rPr>
        <w:t>3.5th and 6th period: Text B study:</w:t>
      </w:r>
    </w:p>
    <w:p w:rsidR="003717A0" w:rsidRDefault="003717A0">
      <w:pPr>
        <w:rPr>
          <w:sz w:val="24"/>
          <w:szCs w:val="24"/>
        </w:rPr>
      </w:pPr>
      <w:r>
        <w:rPr>
          <w:sz w:val="24"/>
          <w:szCs w:val="24"/>
        </w:rPr>
        <w:t>                  cultural notes; words and structures</w:t>
      </w:r>
    </w:p>
    <w:p w:rsidR="003717A0" w:rsidRDefault="003717A0">
      <w:pPr>
        <w:rPr>
          <w:sz w:val="24"/>
          <w:szCs w:val="24"/>
        </w:rPr>
      </w:pPr>
      <w:r>
        <w:rPr>
          <w:sz w:val="24"/>
          <w:szCs w:val="24"/>
        </w:rPr>
        <w:t> </w:t>
      </w:r>
    </w:p>
    <w:p w:rsidR="003717A0" w:rsidRDefault="003717A0">
      <w:pPr>
        <w:rPr>
          <w:sz w:val="24"/>
          <w:szCs w:val="24"/>
        </w:rPr>
      </w:pPr>
      <w:r>
        <w:rPr>
          <w:sz w:val="24"/>
          <w:szCs w:val="24"/>
        </w:rPr>
        <w:t>Answer questions after finishing reading Text A:</w:t>
      </w:r>
    </w:p>
    <w:p w:rsidR="003717A0" w:rsidRDefault="003717A0">
      <w:pPr>
        <w:rPr>
          <w:sz w:val="24"/>
          <w:szCs w:val="24"/>
        </w:rPr>
      </w:pPr>
      <w:r>
        <w:rPr>
          <w:sz w:val="24"/>
          <w:szCs w:val="24"/>
        </w:rPr>
        <w:t>1.What do you think of the title of the passage? </w:t>
      </w:r>
    </w:p>
    <w:p w:rsidR="003717A0" w:rsidRDefault="003717A0">
      <w:pPr>
        <w:rPr>
          <w:sz w:val="24"/>
          <w:szCs w:val="24"/>
        </w:rPr>
      </w:pPr>
      <w:r>
        <w:rPr>
          <w:sz w:val="24"/>
          <w:szCs w:val="24"/>
        </w:rPr>
        <w:t>2.Why does the writer say it was a privilege Mrs. Clark allowed her to be there seeing her die?? </w:t>
      </w:r>
    </w:p>
    <w:p w:rsidR="003717A0" w:rsidRDefault="003717A0">
      <w:pPr>
        <w:rPr>
          <w:sz w:val="24"/>
          <w:szCs w:val="24"/>
        </w:rPr>
      </w:pPr>
      <w:r>
        <w:rPr>
          <w:sz w:val="24"/>
          <w:szCs w:val="24"/>
        </w:rPr>
        <w:t>3.Give your comments on Mrs. Clark after reading the passage? </w:t>
      </w:r>
    </w:p>
    <w:p w:rsidR="003717A0" w:rsidRDefault="003717A0">
      <w:pPr>
        <w:rPr>
          <w:rFonts w:eastAsia="仿宋_GB2312"/>
          <w:sz w:val="24"/>
          <w:szCs w:val="24"/>
        </w:rPr>
      </w:pPr>
    </w:p>
    <w:p w:rsidR="003717A0" w:rsidRDefault="003717A0">
      <w:pPr>
        <w:rPr>
          <w:sz w:val="24"/>
          <w:szCs w:val="24"/>
        </w:rPr>
      </w:pPr>
      <w:r>
        <w:rPr>
          <w:rFonts w:eastAsia="仿宋_GB2312"/>
          <w:sz w:val="24"/>
          <w:szCs w:val="24"/>
        </w:rPr>
        <w:t xml:space="preserve">Key words: </w:t>
      </w:r>
      <w:r>
        <w:rPr>
          <w:sz w:val="24"/>
          <w:szCs w:val="24"/>
        </w:rPr>
        <w:t xml:space="preserve">shift, spare, graceful, decay, switch, secure, slide, procedure, interval, privilege, episode, association, </w:t>
      </w:r>
    </w:p>
    <w:p w:rsidR="003717A0" w:rsidRDefault="003717A0">
      <w:pPr>
        <w:rPr>
          <w:rFonts w:eastAsia="仿宋_GB2312"/>
          <w:sz w:val="24"/>
        </w:rPr>
      </w:pPr>
    </w:p>
    <w:p w:rsidR="003717A0" w:rsidRDefault="003717A0">
      <w:pPr>
        <w:rPr>
          <w:rFonts w:eastAsia="仿宋_GB2312"/>
          <w:sz w:val="24"/>
        </w:rPr>
      </w:pPr>
      <w:r>
        <w:rPr>
          <w:rFonts w:eastAsia="仿宋_GB2312"/>
          <w:sz w:val="24"/>
        </w:rPr>
        <w:t>Key phrases and expressions:</w:t>
      </w:r>
    </w:p>
    <w:p w:rsidR="003717A0" w:rsidRDefault="003717A0">
      <w:pPr>
        <w:rPr>
          <w:sz w:val="24"/>
        </w:rPr>
      </w:pPr>
      <w:r>
        <w:rPr>
          <w:sz w:val="24"/>
        </w:rPr>
        <w:t>1. work on</w:t>
      </w:r>
      <w:r>
        <w:rPr>
          <w:sz w:val="24"/>
        </w:rPr>
        <w:tab/>
        <w:t>2. approve of</w:t>
      </w:r>
      <w:r>
        <w:rPr>
          <w:sz w:val="24"/>
        </w:rPr>
        <w:tab/>
        <w:t>3. go ahead</w:t>
      </w:r>
    </w:p>
    <w:p w:rsidR="003717A0" w:rsidRDefault="003717A0">
      <w:pPr>
        <w:rPr>
          <w:sz w:val="24"/>
        </w:rPr>
      </w:pPr>
      <w:r>
        <w:rPr>
          <w:sz w:val="24"/>
        </w:rPr>
        <w:t>4. for sale</w:t>
      </w:r>
      <w:r>
        <w:rPr>
          <w:sz w:val="24"/>
        </w:rPr>
        <w:tab/>
        <w:t>5. come up with</w:t>
      </w:r>
      <w:r>
        <w:rPr>
          <w:sz w:val="24"/>
        </w:rPr>
        <w:tab/>
        <w:t>6. name after</w:t>
      </w:r>
    </w:p>
    <w:p w:rsidR="003717A0" w:rsidRDefault="003717A0">
      <w:pPr>
        <w:rPr>
          <w:sz w:val="24"/>
        </w:rPr>
      </w:pPr>
      <w:r>
        <w:rPr>
          <w:sz w:val="24"/>
        </w:rPr>
        <w:lastRenderedPageBreak/>
        <w:t>7.rise to fame</w:t>
      </w:r>
      <w:r>
        <w:rPr>
          <w:sz w:val="24"/>
        </w:rPr>
        <w:tab/>
        <w:t>8. capture one’s attention</w:t>
      </w:r>
      <w:r>
        <w:rPr>
          <w:sz w:val="24"/>
        </w:rPr>
        <w:tab/>
        <w:t>9. pose for</w:t>
      </w:r>
    </w:p>
    <w:p w:rsidR="003717A0" w:rsidRDefault="003717A0">
      <w:pPr>
        <w:rPr>
          <w:sz w:val="24"/>
        </w:rPr>
      </w:pPr>
      <w:r>
        <w:rPr>
          <w:sz w:val="24"/>
        </w:rPr>
        <w:t>10. go against</w:t>
      </w:r>
      <w:r>
        <w:rPr>
          <w:sz w:val="24"/>
        </w:rPr>
        <w:tab/>
        <w:t>11. be in love with sb.</w:t>
      </w:r>
      <w:r>
        <w:rPr>
          <w:sz w:val="24"/>
        </w:rPr>
        <w:tab/>
        <w:t>12. save sb./sth. from</w:t>
      </w:r>
    </w:p>
    <w:p w:rsidR="003717A0" w:rsidRDefault="003717A0">
      <w:pPr>
        <w:rPr>
          <w:sz w:val="24"/>
        </w:rPr>
      </w:pPr>
      <w:r>
        <w:rPr>
          <w:sz w:val="24"/>
        </w:rPr>
        <w:t>13. run away from</w:t>
      </w:r>
      <w:r>
        <w:rPr>
          <w:sz w:val="24"/>
        </w:rPr>
        <w:tab/>
        <w:t>14. joke gift</w:t>
      </w:r>
      <w:r>
        <w:rPr>
          <w:sz w:val="24"/>
        </w:rPr>
        <w:tab/>
        <w:t>15. no longer</w:t>
      </w:r>
    </w:p>
    <w:p w:rsidR="003717A0" w:rsidRDefault="003717A0">
      <w:pPr>
        <w:rPr>
          <w:sz w:val="24"/>
        </w:rPr>
      </w:pPr>
      <w:r>
        <w:rPr>
          <w:sz w:val="24"/>
        </w:rPr>
        <w:t>16. earn a reputation</w:t>
      </w:r>
      <w:r>
        <w:rPr>
          <w:sz w:val="24"/>
        </w:rPr>
        <w:tab/>
        <w:t>17. sign a contract with</w:t>
      </w:r>
      <w:r>
        <w:rPr>
          <w:sz w:val="24"/>
        </w:rPr>
        <w:tab/>
        <w:t>18. be short for</w:t>
      </w:r>
    </w:p>
    <w:p w:rsidR="003717A0" w:rsidRDefault="003717A0">
      <w:pPr>
        <w:rPr>
          <w:sz w:val="24"/>
        </w:rPr>
      </w:pPr>
      <w:r>
        <w:rPr>
          <w:sz w:val="24"/>
        </w:rPr>
        <w:t>19. evolve from</w:t>
      </w:r>
      <w:r>
        <w:rPr>
          <w:sz w:val="24"/>
        </w:rPr>
        <w:tab/>
        <w:t>20. make from</w:t>
      </w:r>
      <w:r>
        <w:rPr>
          <w:sz w:val="24"/>
        </w:rPr>
        <w:tab/>
      </w:r>
    </w:p>
    <w:p w:rsidR="003717A0" w:rsidRDefault="003717A0">
      <w:pPr>
        <w:rPr>
          <w:sz w:val="24"/>
        </w:rPr>
      </w:pPr>
      <w:r>
        <w:rPr>
          <w:sz w:val="24"/>
        </w:rPr>
        <w:t>1. the pit of one</w:t>
      </w:r>
      <w:r>
        <w:rPr>
          <w:rFonts w:hint="eastAsia"/>
          <w:sz w:val="24"/>
        </w:rPr>
        <w:t>’</w:t>
      </w:r>
      <w:r>
        <w:rPr>
          <w:sz w:val="24"/>
        </w:rPr>
        <w:t>s stomach</w:t>
      </w:r>
      <w:r>
        <w:rPr>
          <w:sz w:val="24"/>
        </w:rPr>
        <w:tab/>
        <w:t>2. reach for</w:t>
      </w:r>
      <w:r>
        <w:rPr>
          <w:sz w:val="24"/>
        </w:rPr>
        <w:tab/>
        <w:t>3. hang around</w:t>
      </w:r>
    </w:p>
    <w:p w:rsidR="003717A0" w:rsidRDefault="003717A0">
      <w:pPr>
        <w:rPr>
          <w:sz w:val="24"/>
        </w:rPr>
      </w:pPr>
      <w:r>
        <w:rPr>
          <w:sz w:val="24"/>
        </w:rPr>
        <w:t>4. be taped to</w:t>
      </w:r>
      <w:r>
        <w:rPr>
          <w:sz w:val="24"/>
        </w:rPr>
        <w:tab/>
        <w:t>5. rise and fall</w:t>
      </w:r>
      <w:r>
        <w:rPr>
          <w:sz w:val="24"/>
        </w:rPr>
        <w:tab/>
        <w:t>6. feel for</w:t>
      </w:r>
    </w:p>
    <w:p w:rsidR="003717A0" w:rsidRDefault="003717A0">
      <w:pPr>
        <w:rPr>
          <w:sz w:val="24"/>
        </w:rPr>
      </w:pPr>
      <w:r>
        <w:rPr>
          <w:sz w:val="24"/>
        </w:rPr>
        <w:t>7.bend to</w:t>
      </w:r>
      <w:r>
        <w:rPr>
          <w:sz w:val="24"/>
        </w:rPr>
        <w:tab/>
        <w:t>8. ease one</w:t>
      </w:r>
      <w:r>
        <w:rPr>
          <w:rFonts w:hint="eastAsia"/>
          <w:sz w:val="24"/>
        </w:rPr>
        <w:t>’</w:t>
      </w:r>
      <w:r>
        <w:rPr>
          <w:sz w:val="24"/>
        </w:rPr>
        <w:t>s thirst</w:t>
      </w:r>
      <w:r>
        <w:rPr>
          <w:sz w:val="24"/>
        </w:rPr>
        <w:tab/>
        <w:t>9. make no attempt to do sth.</w:t>
      </w:r>
    </w:p>
    <w:p w:rsidR="003717A0" w:rsidRDefault="003717A0">
      <w:pPr>
        <w:rPr>
          <w:sz w:val="24"/>
        </w:rPr>
      </w:pPr>
      <w:r>
        <w:rPr>
          <w:sz w:val="24"/>
        </w:rPr>
        <w:t>10. go about sth./doing sth.</w:t>
      </w:r>
      <w:r>
        <w:rPr>
          <w:sz w:val="24"/>
        </w:rPr>
        <w:tab/>
        <w:t>11. provide for</w:t>
      </w:r>
      <w:r>
        <w:rPr>
          <w:sz w:val="24"/>
        </w:rPr>
        <w:tab/>
        <w:t>12. except for</w:t>
      </w:r>
    </w:p>
    <w:p w:rsidR="003717A0" w:rsidRDefault="003717A0">
      <w:pPr>
        <w:rPr>
          <w:sz w:val="24"/>
        </w:rPr>
      </w:pPr>
      <w:r>
        <w:rPr>
          <w:sz w:val="24"/>
        </w:rPr>
        <w:t>13. a victim of some terrible famine</w:t>
      </w:r>
      <w:r>
        <w:rPr>
          <w:sz w:val="24"/>
        </w:rPr>
        <w:tab/>
        <w:t>14.remove from</w:t>
      </w:r>
      <w:r>
        <w:rPr>
          <w:sz w:val="24"/>
        </w:rPr>
        <w:tab/>
        <w:t>15. avoid doing sth.</w:t>
      </w:r>
    </w:p>
    <w:p w:rsidR="003717A0" w:rsidRDefault="003717A0">
      <w:pPr>
        <w:rPr>
          <w:sz w:val="24"/>
        </w:rPr>
      </w:pPr>
      <w:r>
        <w:rPr>
          <w:sz w:val="24"/>
        </w:rPr>
        <w:t>16. the palm of one</w:t>
      </w:r>
      <w:r>
        <w:rPr>
          <w:rFonts w:hint="eastAsia"/>
          <w:sz w:val="24"/>
        </w:rPr>
        <w:t>’</w:t>
      </w:r>
      <w:r>
        <w:rPr>
          <w:sz w:val="24"/>
        </w:rPr>
        <w:t>s hand</w:t>
      </w:r>
      <w:r>
        <w:rPr>
          <w:sz w:val="24"/>
        </w:rPr>
        <w:tab/>
        <w:t>17. pull up</w:t>
      </w:r>
      <w:r>
        <w:rPr>
          <w:sz w:val="24"/>
        </w:rPr>
        <w:tab/>
        <w:t>18. spend the last ounce of one</w:t>
      </w:r>
      <w:r>
        <w:rPr>
          <w:rFonts w:hint="eastAsia"/>
          <w:sz w:val="24"/>
        </w:rPr>
        <w:t>’</w:t>
      </w:r>
      <w:r>
        <w:rPr>
          <w:sz w:val="24"/>
        </w:rPr>
        <w:t>s strength</w:t>
      </w:r>
    </w:p>
    <w:p w:rsidR="003717A0" w:rsidRDefault="003717A0">
      <w:pPr>
        <w:rPr>
          <w:sz w:val="24"/>
        </w:rPr>
      </w:pPr>
      <w:r>
        <w:rPr>
          <w:sz w:val="24"/>
        </w:rPr>
        <w:t>19.sense one</w:t>
      </w:r>
      <w:r>
        <w:rPr>
          <w:rFonts w:hint="eastAsia"/>
          <w:sz w:val="24"/>
        </w:rPr>
        <w:t>’</w:t>
      </w:r>
      <w:r>
        <w:rPr>
          <w:sz w:val="24"/>
        </w:rPr>
        <w:t>s thoughts</w:t>
      </w:r>
      <w:r>
        <w:rPr>
          <w:sz w:val="24"/>
        </w:rPr>
        <w:tab/>
        <w:t>20. stand still</w:t>
      </w:r>
      <w:r>
        <w:rPr>
          <w:sz w:val="24"/>
        </w:rPr>
        <w:tab/>
        <w:t>21. some unknown interval of time</w:t>
      </w:r>
    </w:p>
    <w:p w:rsidR="003717A0" w:rsidRDefault="003717A0">
      <w:pPr>
        <w:rPr>
          <w:sz w:val="24"/>
        </w:rPr>
      </w:pPr>
      <w:r>
        <w:rPr>
          <w:sz w:val="24"/>
        </w:rPr>
        <w:t>22.without warning</w:t>
      </w:r>
      <w:r>
        <w:rPr>
          <w:sz w:val="24"/>
        </w:rPr>
        <w:tab/>
        <w:t>23. a blank stare</w:t>
      </w:r>
      <w:r>
        <w:rPr>
          <w:sz w:val="24"/>
        </w:rPr>
        <w:tab/>
        <w:t>24. a swell of emotion</w:t>
      </w:r>
    </w:p>
    <w:p w:rsidR="003717A0" w:rsidRDefault="003717A0">
      <w:pPr>
        <w:numPr>
          <w:ilvl w:val="0"/>
          <w:numId w:val="67"/>
        </w:numPr>
        <w:rPr>
          <w:sz w:val="24"/>
        </w:rPr>
      </w:pPr>
      <w:r>
        <w:rPr>
          <w:rFonts w:eastAsia="Times New Roman" w:cs="Times New Roman"/>
          <w:sz w:val="24"/>
        </w:rPr>
        <w:t> </w:t>
      </w:r>
      <w:r>
        <w:rPr>
          <w:rFonts w:cs="Times New Roman"/>
          <w:sz w:val="24"/>
        </w:rPr>
        <w:t>be done</w:t>
      </w:r>
      <w:r>
        <w:rPr>
          <w:rFonts w:cs="Times New Roman"/>
          <w:sz w:val="24"/>
        </w:rPr>
        <w:tab/>
        <w:t>26.be equipped to</w:t>
      </w:r>
      <w:r>
        <w:rPr>
          <w:rFonts w:cs="Times New Roman"/>
          <w:sz w:val="24"/>
        </w:rPr>
        <w:tab/>
        <w:t>27. read about sth./sb.</w:t>
      </w:r>
    </w:p>
    <w:p w:rsidR="003717A0" w:rsidRDefault="003717A0">
      <w:pPr>
        <w:spacing w:line="360" w:lineRule="auto"/>
        <w:rPr>
          <w:rFonts w:eastAsia="仿宋_GB2312"/>
          <w:sz w:val="24"/>
        </w:rPr>
      </w:pPr>
      <w:r>
        <w:rPr>
          <w:rFonts w:eastAsia="仿宋_GB2312"/>
          <w:sz w:val="24"/>
        </w:rPr>
        <w:t>Grammatical Structure:</w:t>
      </w:r>
    </w:p>
    <w:p w:rsidR="003717A0" w:rsidRDefault="003717A0">
      <w:pPr>
        <w:spacing w:line="360" w:lineRule="auto"/>
        <w:rPr>
          <w:rFonts w:eastAsia="仿宋_GB2312"/>
          <w:sz w:val="24"/>
        </w:rPr>
      </w:pPr>
      <w:r>
        <w:rPr>
          <w:rFonts w:eastAsia="仿宋_GB2312"/>
          <w:sz w:val="24"/>
        </w:rPr>
        <w:t>Key structures in Text A:</w:t>
      </w:r>
    </w:p>
    <w:p w:rsidR="003717A0" w:rsidRDefault="003717A0">
      <w:pPr>
        <w:spacing w:line="360" w:lineRule="auto"/>
        <w:rPr>
          <w:sz w:val="24"/>
        </w:rPr>
      </w:pPr>
      <w:r>
        <w:rPr>
          <w:sz w:val="24"/>
        </w:rPr>
        <w:t>1.</w:t>
      </w:r>
      <w:r>
        <w:rPr>
          <w:rFonts w:hint="eastAsia"/>
          <w:sz w:val="24"/>
        </w:rPr>
        <w:t>原句</w:t>
      </w:r>
      <w:r>
        <w:rPr>
          <w:sz w:val="24"/>
        </w:rPr>
        <w:t>: … I know from her medical chart and the report I received from the preceding shiftthat tonight she will die. (L1-2)</w:t>
      </w:r>
    </w:p>
    <w:p w:rsidR="003717A0" w:rsidRDefault="003717A0">
      <w:pPr>
        <w:spacing w:line="360" w:lineRule="auto"/>
        <w:rPr>
          <w:sz w:val="24"/>
        </w:rPr>
      </w:pPr>
      <w:r>
        <w:rPr>
          <w:rFonts w:hint="eastAsia"/>
          <w:sz w:val="24"/>
        </w:rPr>
        <w:t>句型提炼</w:t>
      </w:r>
      <w:r>
        <w:rPr>
          <w:sz w:val="24"/>
        </w:rPr>
        <w:t>:Sb. know/learn/judge/infer/deduce from … that … </w:t>
      </w:r>
      <w:r>
        <w:rPr>
          <w:rFonts w:hint="eastAsia"/>
          <w:sz w:val="24"/>
        </w:rPr>
        <w:t>某人从</w:t>
      </w:r>
      <w:r>
        <w:rPr>
          <w:sz w:val="24"/>
        </w:rPr>
        <w:t>······</w:t>
      </w:r>
      <w:r>
        <w:rPr>
          <w:rFonts w:hint="eastAsia"/>
          <w:sz w:val="24"/>
        </w:rPr>
        <w:t>中得知</w:t>
      </w:r>
      <w:r>
        <w:rPr>
          <w:sz w:val="24"/>
        </w:rPr>
        <w:t>/</w:t>
      </w:r>
      <w:r>
        <w:rPr>
          <w:rFonts w:hint="eastAsia"/>
          <w:sz w:val="24"/>
        </w:rPr>
        <w:t>推断出</w:t>
      </w:r>
      <w:r>
        <w:rPr>
          <w:sz w:val="24"/>
        </w:rPr>
        <w:t>······</w:t>
      </w:r>
    </w:p>
    <w:p w:rsidR="003717A0" w:rsidRDefault="003717A0">
      <w:pPr>
        <w:spacing w:line="360" w:lineRule="auto"/>
        <w:rPr>
          <w:rFonts w:eastAsia="仿宋_GB2312"/>
          <w:sz w:val="24"/>
        </w:rPr>
      </w:pPr>
      <w:r>
        <w:rPr>
          <w:rFonts w:hint="eastAsia"/>
          <w:sz w:val="24"/>
        </w:rPr>
        <w:t>用于表述</w:t>
      </w:r>
      <w:r>
        <w:rPr>
          <w:sz w:val="24"/>
        </w:rPr>
        <w:t>“</w:t>
      </w:r>
      <w:r>
        <w:rPr>
          <w:rFonts w:hint="eastAsia"/>
          <w:sz w:val="24"/>
        </w:rPr>
        <w:t>依据特定情况对事物的判断</w:t>
      </w:r>
      <w:r>
        <w:rPr>
          <w:rFonts w:eastAsia="仿宋_GB2312"/>
          <w:sz w:val="24"/>
        </w:rPr>
        <w:t>”</w:t>
      </w:r>
      <w:r>
        <w:rPr>
          <w:rFonts w:eastAsia="仿宋_GB2312" w:hint="eastAsia"/>
          <w:sz w:val="24"/>
        </w:rPr>
        <w:t>。</w:t>
      </w:r>
    </w:p>
    <w:p w:rsidR="003717A0" w:rsidRDefault="003717A0">
      <w:pPr>
        <w:spacing w:line="360" w:lineRule="auto"/>
        <w:rPr>
          <w:sz w:val="24"/>
        </w:rPr>
      </w:pPr>
      <w:r>
        <w:rPr>
          <w:sz w:val="24"/>
        </w:rPr>
        <w:t>2. </w:t>
      </w:r>
      <w:r>
        <w:rPr>
          <w:rFonts w:hint="eastAsia"/>
          <w:sz w:val="24"/>
        </w:rPr>
        <w:t>原句</w:t>
      </w:r>
      <w:r>
        <w:rPr>
          <w:sz w:val="24"/>
        </w:rPr>
        <w:t>: … not until I run my hand up over her knees do I feel any of the life-giving warmth of blood. (L31)</w:t>
      </w:r>
    </w:p>
    <w:p w:rsidR="003717A0" w:rsidRDefault="003717A0">
      <w:pPr>
        <w:spacing w:line="360" w:lineRule="auto"/>
        <w:rPr>
          <w:sz w:val="24"/>
        </w:rPr>
      </w:pPr>
      <w:r>
        <w:rPr>
          <w:sz w:val="24"/>
        </w:rPr>
        <w:t>Not until+</w:t>
      </w:r>
      <w:r>
        <w:rPr>
          <w:rFonts w:hint="eastAsia"/>
          <w:sz w:val="24"/>
        </w:rPr>
        <w:t>从句</w:t>
      </w:r>
      <w:r>
        <w:rPr>
          <w:sz w:val="24"/>
        </w:rPr>
        <w:t> do sb. do sth. </w:t>
      </w:r>
      <w:r>
        <w:rPr>
          <w:rFonts w:hint="eastAsia"/>
          <w:sz w:val="24"/>
        </w:rPr>
        <w:t>直到</w:t>
      </w:r>
      <w:r>
        <w:rPr>
          <w:sz w:val="24"/>
        </w:rPr>
        <w:t>······</w:t>
      </w:r>
      <w:r>
        <w:rPr>
          <w:rFonts w:hint="eastAsia"/>
          <w:sz w:val="24"/>
        </w:rPr>
        <w:t>，某人才做了某事。</w:t>
      </w:r>
    </w:p>
    <w:p w:rsidR="003717A0" w:rsidRDefault="003717A0">
      <w:pPr>
        <w:spacing w:line="360" w:lineRule="auto"/>
        <w:rPr>
          <w:sz w:val="24"/>
        </w:rPr>
      </w:pPr>
      <w:r>
        <w:rPr>
          <w:rFonts w:hint="eastAsia"/>
          <w:sz w:val="24"/>
        </w:rPr>
        <w:t>用于强调</w:t>
      </w:r>
      <w:r>
        <w:rPr>
          <w:sz w:val="24"/>
        </w:rPr>
        <w:t>“</w:t>
      </w:r>
      <w:r>
        <w:rPr>
          <w:rFonts w:hint="eastAsia"/>
          <w:sz w:val="24"/>
        </w:rPr>
        <w:t>事物发生的特定因素</w:t>
      </w:r>
      <w:r>
        <w:rPr>
          <w:sz w:val="24"/>
        </w:rPr>
        <w:t>”</w:t>
      </w:r>
      <w:r>
        <w:rPr>
          <w:rFonts w:hint="eastAsia"/>
          <w:sz w:val="24"/>
        </w:rPr>
        <w:t>。</w:t>
      </w:r>
    </w:p>
    <w:p w:rsidR="003717A0" w:rsidRDefault="003717A0">
      <w:pPr>
        <w:spacing w:line="360" w:lineRule="auto"/>
        <w:rPr>
          <w:sz w:val="24"/>
        </w:rPr>
      </w:pPr>
      <w:r>
        <w:rPr>
          <w:sz w:val="24"/>
        </w:rPr>
        <w:t>3. </w:t>
      </w:r>
      <w:r>
        <w:rPr>
          <w:rFonts w:hint="eastAsia"/>
          <w:sz w:val="24"/>
        </w:rPr>
        <w:t>原句：</w:t>
      </w:r>
      <w:r>
        <w:rPr>
          <w:sz w:val="24"/>
        </w:rPr>
        <w:t>I wonder briefly if she has any family, …(L34)</w:t>
      </w:r>
    </w:p>
    <w:p w:rsidR="003717A0" w:rsidRDefault="003717A0">
      <w:pPr>
        <w:spacing w:line="360" w:lineRule="auto"/>
        <w:rPr>
          <w:sz w:val="24"/>
        </w:rPr>
      </w:pPr>
      <w:r>
        <w:rPr>
          <w:rFonts w:hint="eastAsia"/>
          <w:sz w:val="24"/>
        </w:rPr>
        <w:t>句型提炼</w:t>
      </w:r>
      <w:r>
        <w:rPr>
          <w:sz w:val="24"/>
        </w:rPr>
        <w:t>:Sb. wonder briefly if/whether/what/how … </w:t>
      </w:r>
      <w:r>
        <w:rPr>
          <w:rFonts w:hint="eastAsia"/>
          <w:sz w:val="24"/>
        </w:rPr>
        <w:t>某人一时间纳闷</w:t>
      </w:r>
      <w:r>
        <w:rPr>
          <w:sz w:val="24"/>
        </w:rPr>
        <w:t>/</w:t>
      </w:r>
      <w:r>
        <w:rPr>
          <w:rFonts w:hint="eastAsia"/>
          <w:sz w:val="24"/>
        </w:rPr>
        <w:t>想知道是否</w:t>
      </w:r>
      <w:r>
        <w:rPr>
          <w:sz w:val="24"/>
        </w:rPr>
        <w:t>/</w:t>
      </w:r>
      <w:r>
        <w:rPr>
          <w:rFonts w:hint="eastAsia"/>
          <w:sz w:val="24"/>
        </w:rPr>
        <w:t>什么</w:t>
      </w:r>
      <w:r>
        <w:rPr>
          <w:sz w:val="24"/>
        </w:rPr>
        <w:t>/</w:t>
      </w:r>
      <w:r>
        <w:rPr>
          <w:rFonts w:hint="eastAsia"/>
          <w:sz w:val="24"/>
        </w:rPr>
        <w:t>如何</w:t>
      </w:r>
      <w:r>
        <w:rPr>
          <w:sz w:val="24"/>
        </w:rPr>
        <w:t>······</w:t>
      </w:r>
    </w:p>
    <w:p w:rsidR="003717A0" w:rsidRDefault="003717A0">
      <w:pPr>
        <w:spacing w:line="360" w:lineRule="auto"/>
        <w:rPr>
          <w:sz w:val="24"/>
        </w:rPr>
      </w:pPr>
      <w:r>
        <w:rPr>
          <w:rFonts w:hint="eastAsia"/>
          <w:sz w:val="24"/>
        </w:rPr>
        <w:t>用于表述</w:t>
      </w:r>
      <w:r>
        <w:rPr>
          <w:sz w:val="24"/>
        </w:rPr>
        <w:t>“</w:t>
      </w:r>
      <w:r>
        <w:rPr>
          <w:rFonts w:hint="eastAsia"/>
          <w:sz w:val="24"/>
        </w:rPr>
        <w:t>某人对事物产生的一时好奇</w:t>
      </w:r>
      <w:r>
        <w:rPr>
          <w:sz w:val="24"/>
        </w:rPr>
        <w:t>”</w:t>
      </w:r>
      <w:r>
        <w:rPr>
          <w:rFonts w:hint="eastAsia"/>
          <w:sz w:val="24"/>
        </w:rPr>
        <w:t>。</w:t>
      </w:r>
    </w:p>
    <w:p w:rsidR="003717A0" w:rsidRDefault="003717A0">
      <w:pPr>
        <w:spacing w:line="360" w:lineRule="auto"/>
        <w:rPr>
          <w:sz w:val="24"/>
        </w:rPr>
      </w:pPr>
      <w:r>
        <w:rPr>
          <w:sz w:val="24"/>
        </w:rPr>
        <w:t>4.</w:t>
      </w:r>
      <w:r>
        <w:rPr>
          <w:rFonts w:hint="eastAsia"/>
          <w:sz w:val="24"/>
        </w:rPr>
        <w:t>原句：</w:t>
      </w:r>
      <w:r>
        <w:rPr>
          <w:sz w:val="24"/>
        </w:rPr>
        <w:t>There is no hint in the room anywhere that this is a person who is loved. (L36)</w:t>
      </w:r>
    </w:p>
    <w:p w:rsidR="003717A0" w:rsidRDefault="003717A0">
      <w:pPr>
        <w:spacing w:line="360" w:lineRule="auto"/>
        <w:rPr>
          <w:sz w:val="24"/>
        </w:rPr>
      </w:pPr>
      <w:r>
        <w:rPr>
          <w:rFonts w:hint="eastAsia"/>
          <w:sz w:val="24"/>
        </w:rPr>
        <w:t>句型提炼</w:t>
      </w:r>
      <w:r>
        <w:rPr>
          <w:sz w:val="24"/>
        </w:rPr>
        <w:t>: There is no hint/sign … that … </w:t>
      </w:r>
      <w:r>
        <w:rPr>
          <w:rFonts w:hint="eastAsia"/>
          <w:sz w:val="24"/>
        </w:rPr>
        <w:t>没有迹象表明</w:t>
      </w:r>
      <w:r>
        <w:rPr>
          <w:sz w:val="24"/>
        </w:rPr>
        <w:t>······</w:t>
      </w:r>
    </w:p>
    <w:p w:rsidR="003717A0" w:rsidRDefault="003717A0">
      <w:pPr>
        <w:spacing w:line="360" w:lineRule="auto"/>
        <w:rPr>
          <w:sz w:val="24"/>
        </w:rPr>
      </w:pPr>
      <w:r>
        <w:rPr>
          <w:rFonts w:hint="eastAsia"/>
          <w:sz w:val="24"/>
        </w:rPr>
        <w:t>用于强调</w:t>
      </w:r>
      <w:r>
        <w:rPr>
          <w:sz w:val="24"/>
        </w:rPr>
        <w:t>“</w:t>
      </w:r>
      <w:r>
        <w:rPr>
          <w:rFonts w:hint="eastAsia"/>
          <w:sz w:val="24"/>
        </w:rPr>
        <w:t>某事的迹象不明</w:t>
      </w:r>
      <w:r>
        <w:rPr>
          <w:sz w:val="24"/>
        </w:rPr>
        <w:t>”</w:t>
      </w:r>
      <w:r>
        <w:rPr>
          <w:rFonts w:hint="eastAsia"/>
          <w:sz w:val="24"/>
        </w:rPr>
        <w:t>。</w:t>
      </w:r>
    </w:p>
    <w:p w:rsidR="003717A0" w:rsidRDefault="003717A0">
      <w:pPr>
        <w:spacing w:line="360" w:lineRule="auto"/>
        <w:rPr>
          <w:sz w:val="24"/>
        </w:rPr>
      </w:pPr>
      <w:r>
        <w:rPr>
          <w:sz w:val="24"/>
        </w:rPr>
        <w:t>5.</w:t>
      </w:r>
      <w:r>
        <w:rPr>
          <w:rFonts w:hint="eastAsia"/>
          <w:sz w:val="24"/>
        </w:rPr>
        <w:t>原句：</w:t>
      </w:r>
      <w:r>
        <w:rPr>
          <w:sz w:val="24"/>
        </w:rPr>
        <w:t>Some unknown interval of time passes before her eyes open again, …(L49)</w:t>
      </w:r>
    </w:p>
    <w:p w:rsidR="003717A0" w:rsidRDefault="003717A0">
      <w:pPr>
        <w:spacing w:line="360" w:lineRule="auto"/>
        <w:rPr>
          <w:sz w:val="24"/>
        </w:rPr>
      </w:pPr>
      <w:r>
        <w:rPr>
          <w:rFonts w:hint="eastAsia"/>
          <w:sz w:val="24"/>
        </w:rPr>
        <w:t>句型提炼</w:t>
      </w:r>
      <w:r>
        <w:rPr>
          <w:sz w:val="24"/>
        </w:rPr>
        <w:t>: Some time passes/elapses before +</w:t>
      </w:r>
      <w:r>
        <w:rPr>
          <w:rFonts w:hint="eastAsia"/>
          <w:sz w:val="24"/>
        </w:rPr>
        <w:t>从句：多长时间以后</w:t>
      </w:r>
      <w:r>
        <w:rPr>
          <w:sz w:val="24"/>
        </w:rPr>
        <w:t>·····</w:t>
      </w:r>
      <w:r>
        <w:rPr>
          <w:rFonts w:hint="eastAsia"/>
          <w:sz w:val="24"/>
        </w:rPr>
        <w:t>发生</w:t>
      </w:r>
    </w:p>
    <w:p w:rsidR="003717A0" w:rsidRDefault="003717A0">
      <w:pPr>
        <w:spacing w:line="360" w:lineRule="auto"/>
        <w:rPr>
          <w:sz w:val="24"/>
        </w:rPr>
      </w:pPr>
      <w:r>
        <w:rPr>
          <w:rFonts w:hint="eastAsia"/>
          <w:sz w:val="24"/>
        </w:rPr>
        <w:t>用于表述</w:t>
      </w:r>
      <w:r>
        <w:rPr>
          <w:sz w:val="24"/>
        </w:rPr>
        <w:t>“</w:t>
      </w:r>
      <w:r>
        <w:rPr>
          <w:rFonts w:hint="eastAsia"/>
          <w:sz w:val="24"/>
        </w:rPr>
        <w:t>某段时间以后某事发生</w:t>
      </w:r>
      <w:r>
        <w:rPr>
          <w:sz w:val="24"/>
        </w:rPr>
        <w:t>”</w:t>
      </w:r>
      <w:r>
        <w:rPr>
          <w:rFonts w:hint="eastAsia"/>
          <w:sz w:val="24"/>
        </w:rPr>
        <w:t>。</w:t>
      </w:r>
    </w:p>
    <w:p w:rsidR="003717A0" w:rsidRDefault="003717A0">
      <w:pPr>
        <w:spacing w:line="360" w:lineRule="auto"/>
        <w:rPr>
          <w:sz w:val="24"/>
        </w:rPr>
      </w:pPr>
      <w:r>
        <w:rPr>
          <w:sz w:val="24"/>
        </w:rPr>
        <w:lastRenderedPageBreak/>
        <w:t>6.</w:t>
      </w:r>
      <w:r>
        <w:rPr>
          <w:rFonts w:hint="eastAsia"/>
          <w:sz w:val="24"/>
        </w:rPr>
        <w:t>原句：</w:t>
      </w:r>
      <w:r>
        <w:rPr>
          <w:sz w:val="24"/>
        </w:rPr>
        <w:t>There is a swell of emotion within me for this stranger who so quickly came into and went from my life. (L33)</w:t>
      </w:r>
    </w:p>
    <w:p w:rsidR="003717A0" w:rsidRDefault="003717A0">
      <w:pPr>
        <w:spacing w:line="360" w:lineRule="auto"/>
        <w:rPr>
          <w:sz w:val="24"/>
        </w:rPr>
      </w:pPr>
      <w:r>
        <w:rPr>
          <w:rFonts w:hint="eastAsia"/>
          <w:sz w:val="24"/>
        </w:rPr>
        <w:t>句型提炼</w:t>
      </w:r>
      <w:r>
        <w:rPr>
          <w:sz w:val="24"/>
        </w:rPr>
        <w:t>: There is a/an swell/fit/outburst of… within sb. for sb. who… / for sth. that...  </w:t>
      </w:r>
      <w:r>
        <w:rPr>
          <w:rFonts w:hint="eastAsia"/>
          <w:sz w:val="24"/>
        </w:rPr>
        <w:t>对这个</w:t>
      </w:r>
      <w:r>
        <w:rPr>
          <w:sz w:val="24"/>
        </w:rPr>
        <w:t>······</w:t>
      </w:r>
      <w:r>
        <w:rPr>
          <w:rFonts w:hint="eastAsia"/>
          <w:sz w:val="24"/>
        </w:rPr>
        <w:t>人</w:t>
      </w:r>
      <w:r>
        <w:rPr>
          <w:sz w:val="24"/>
        </w:rPr>
        <w:t>/</w:t>
      </w:r>
      <w:r>
        <w:rPr>
          <w:rFonts w:hint="eastAsia"/>
          <w:sz w:val="24"/>
        </w:rPr>
        <w:t>事，某人心中涌起了一种（股）</w:t>
      </w:r>
      <w:r>
        <w:rPr>
          <w:sz w:val="24"/>
        </w:rPr>
        <w:t>······</w:t>
      </w:r>
    </w:p>
    <w:p w:rsidR="003717A0" w:rsidRDefault="003717A0">
      <w:pPr>
        <w:spacing w:line="360" w:lineRule="auto"/>
        <w:rPr>
          <w:sz w:val="24"/>
        </w:rPr>
      </w:pPr>
      <w:r>
        <w:rPr>
          <w:rFonts w:hint="eastAsia"/>
          <w:sz w:val="24"/>
        </w:rPr>
        <w:t>用于表述</w:t>
      </w:r>
      <w:r>
        <w:rPr>
          <w:sz w:val="24"/>
        </w:rPr>
        <w:t>“</w:t>
      </w:r>
      <w:r>
        <w:rPr>
          <w:rFonts w:hint="eastAsia"/>
          <w:sz w:val="24"/>
        </w:rPr>
        <w:t>人对事物的心里感受</w:t>
      </w:r>
      <w:r>
        <w:rPr>
          <w:sz w:val="24"/>
        </w:rPr>
        <w:t>”</w:t>
      </w:r>
      <w:r>
        <w:rPr>
          <w:rFonts w:hint="eastAsia"/>
          <w:sz w:val="24"/>
        </w:rPr>
        <w:t>。</w:t>
      </w:r>
    </w:p>
    <w:p w:rsidR="003717A0" w:rsidRDefault="003717A0">
      <w:pPr>
        <w:spacing w:line="360" w:lineRule="auto"/>
        <w:rPr>
          <w:sz w:val="24"/>
        </w:rPr>
      </w:pPr>
      <w:r>
        <w:rPr>
          <w:sz w:val="24"/>
        </w:rPr>
        <w:t>Topic for writing:</w:t>
      </w:r>
    </w:p>
    <w:p w:rsidR="003717A0" w:rsidRDefault="003717A0">
      <w:pPr>
        <w:spacing w:line="360" w:lineRule="auto"/>
        <w:rPr>
          <w:sz w:val="24"/>
        </w:rPr>
      </w:pPr>
      <w:r>
        <w:rPr>
          <w:sz w:val="24"/>
        </w:rPr>
        <w:t> It is romantic in the snow. </w:t>
      </w:r>
    </w:p>
    <w:p w:rsidR="003717A0" w:rsidRDefault="003717A0">
      <w:pPr>
        <w:spacing w:line="360" w:lineRule="auto"/>
        <w:rPr>
          <w:sz w:val="24"/>
        </w:rPr>
      </w:pPr>
      <w:r>
        <w:rPr>
          <w:sz w:val="24"/>
        </w:rPr>
        <w:t> Additional work:</w:t>
      </w:r>
    </w:p>
    <w:p w:rsidR="003717A0" w:rsidRDefault="003717A0">
      <w:pPr>
        <w:spacing w:line="360" w:lineRule="auto"/>
        <w:rPr>
          <w:sz w:val="24"/>
        </w:rPr>
      </w:pPr>
      <w:r>
        <w:rPr>
          <w:sz w:val="24"/>
        </w:rPr>
        <w:t>1.Recite the 5th and 6th paragraph in Text A.</w:t>
      </w:r>
    </w:p>
    <w:p w:rsidR="003717A0" w:rsidRDefault="003717A0">
      <w:pPr>
        <w:spacing w:line="360" w:lineRule="auto"/>
        <w:rPr>
          <w:sz w:val="24"/>
        </w:rPr>
      </w:pPr>
      <w:r>
        <w:rPr>
          <w:sz w:val="24"/>
        </w:rPr>
        <w:t>2.Summarize what a dying person needs most.</w:t>
      </w:r>
    </w:p>
    <w:p w:rsidR="003717A0" w:rsidRDefault="003717A0">
      <w:pPr>
        <w:spacing w:line="360" w:lineRule="auto"/>
        <w:rPr>
          <w:sz w:val="24"/>
        </w:rPr>
      </w:pPr>
      <w:r>
        <w:rPr>
          <w:sz w:val="24"/>
        </w:rPr>
        <w:t>3.Suppose you are suffering from a fatal illness and will die in no more than one year, what do you want to do most during this period?</w:t>
      </w:r>
    </w:p>
    <w:p w:rsidR="003717A0" w:rsidRDefault="003717A0">
      <w:pPr>
        <w:spacing w:line="360" w:lineRule="auto"/>
        <w:rPr>
          <w:sz w:val="24"/>
        </w:rPr>
      </w:pPr>
    </w:p>
    <w:p w:rsidR="003717A0" w:rsidRDefault="003717A0">
      <w:pPr>
        <w:rPr>
          <w:b/>
          <w:sz w:val="24"/>
        </w:rPr>
      </w:pPr>
      <w:r>
        <w:rPr>
          <w:b/>
          <w:sz w:val="24"/>
        </w:rPr>
        <w:t>Unit 6 How to Prepare for Earthquakes</w:t>
      </w:r>
    </w:p>
    <w:p w:rsidR="003717A0" w:rsidRDefault="003717A0">
      <w:pPr>
        <w:rPr>
          <w:sz w:val="24"/>
        </w:rPr>
      </w:pPr>
      <w:r>
        <w:rPr>
          <w:sz w:val="24"/>
        </w:rPr>
        <w:t> </w:t>
      </w:r>
    </w:p>
    <w:p w:rsidR="003717A0" w:rsidRDefault="003717A0">
      <w:pPr>
        <w:rPr>
          <w:sz w:val="24"/>
        </w:rPr>
      </w:pPr>
      <w:r>
        <w:rPr>
          <w:sz w:val="24"/>
        </w:rPr>
        <w:t>Teaching objectives:</w:t>
      </w:r>
    </w:p>
    <w:p w:rsidR="003717A0" w:rsidRDefault="003717A0">
      <w:pPr>
        <w:rPr>
          <w:sz w:val="24"/>
        </w:rPr>
      </w:pPr>
      <w:r>
        <w:rPr>
          <w:sz w:val="24"/>
        </w:rPr>
        <w:t>1. To Require students to think about natural disasters.</w:t>
      </w:r>
    </w:p>
    <w:p w:rsidR="003717A0" w:rsidRDefault="003717A0">
      <w:pPr>
        <w:rPr>
          <w:sz w:val="24"/>
        </w:rPr>
      </w:pPr>
      <w:r>
        <w:rPr>
          <w:sz w:val="24"/>
        </w:rPr>
        <w:t>2. To help students learn the new words and expressions.</w:t>
      </w:r>
    </w:p>
    <w:p w:rsidR="003717A0" w:rsidRDefault="003717A0">
      <w:pPr>
        <w:rPr>
          <w:sz w:val="24"/>
        </w:rPr>
      </w:pPr>
      <w:r>
        <w:rPr>
          <w:sz w:val="24"/>
        </w:rPr>
        <w:t>3. To get the students to communicate in English confidently.</w:t>
      </w:r>
    </w:p>
    <w:p w:rsidR="003717A0" w:rsidRDefault="003717A0">
      <w:pPr>
        <w:rPr>
          <w:sz w:val="24"/>
        </w:rPr>
      </w:pPr>
      <w:r>
        <w:rPr>
          <w:sz w:val="24"/>
        </w:rPr>
        <w:t>4. To teach the reading skill--- predict the general direction of the writer’s thinking.</w:t>
      </w:r>
    </w:p>
    <w:p w:rsidR="003717A0" w:rsidRDefault="003717A0">
      <w:pPr>
        <w:rPr>
          <w:sz w:val="24"/>
        </w:rPr>
      </w:pPr>
      <w:r>
        <w:rPr>
          <w:sz w:val="24"/>
        </w:rPr>
        <w:t> </w:t>
      </w:r>
    </w:p>
    <w:p w:rsidR="003717A0" w:rsidRDefault="003717A0">
      <w:pPr>
        <w:rPr>
          <w:sz w:val="24"/>
        </w:rPr>
      </w:pPr>
      <w:r>
        <w:rPr>
          <w:sz w:val="24"/>
        </w:rPr>
        <w:t>Time allotment (6 periods):</w:t>
      </w:r>
    </w:p>
    <w:p w:rsidR="003717A0" w:rsidRDefault="003717A0">
      <w:pPr>
        <w:rPr>
          <w:sz w:val="24"/>
        </w:rPr>
      </w:pPr>
      <w:r>
        <w:rPr>
          <w:sz w:val="24"/>
        </w:rPr>
        <w:t>1.1st and 2nd period: Text A study</w:t>
      </w:r>
      <w:r>
        <w:rPr>
          <w:rFonts w:hint="eastAsia"/>
          <w:sz w:val="24"/>
        </w:rPr>
        <w:t>：</w:t>
      </w:r>
    </w:p>
    <w:p w:rsidR="003717A0" w:rsidRDefault="003717A0">
      <w:pPr>
        <w:ind w:left="1080" w:hangingChars="450" w:hanging="1080"/>
        <w:rPr>
          <w:sz w:val="24"/>
        </w:rPr>
      </w:pPr>
      <w:r>
        <w:rPr>
          <w:sz w:val="24"/>
        </w:rPr>
        <w:t>                  background information; cultural notes; text organization; words and structures</w:t>
      </w:r>
    </w:p>
    <w:p w:rsidR="003717A0" w:rsidRDefault="003717A0">
      <w:pPr>
        <w:rPr>
          <w:sz w:val="24"/>
        </w:rPr>
      </w:pPr>
      <w:r>
        <w:rPr>
          <w:sz w:val="24"/>
        </w:rPr>
        <w:t>2.3rd and 4th period: Text A study</w:t>
      </w:r>
      <w:r>
        <w:rPr>
          <w:rFonts w:hint="eastAsia"/>
          <w:sz w:val="24"/>
        </w:rPr>
        <w:t>：</w:t>
      </w:r>
    </w:p>
    <w:p w:rsidR="003717A0" w:rsidRDefault="003717A0">
      <w:pPr>
        <w:ind w:firstLineChars="450" w:firstLine="1080"/>
        <w:rPr>
          <w:sz w:val="24"/>
        </w:rPr>
      </w:pPr>
      <w:r>
        <w:rPr>
          <w:sz w:val="24"/>
        </w:rPr>
        <w:t>Review key language points; exercises after text A; essay writing;</w:t>
      </w:r>
    </w:p>
    <w:p w:rsidR="003717A0" w:rsidRDefault="003717A0">
      <w:pPr>
        <w:rPr>
          <w:sz w:val="24"/>
        </w:rPr>
      </w:pPr>
      <w:r>
        <w:rPr>
          <w:sz w:val="24"/>
        </w:rPr>
        <w:t>3.5th and 6th period: Text B study:</w:t>
      </w:r>
    </w:p>
    <w:p w:rsidR="003717A0" w:rsidRDefault="003717A0">
      <w:pPr>
        <w:rPr>
          <w:sz w:val="24"/>
        </w:rPr>
      </w:pPr>
      <w:r>
        <w:rPr>
          <w:sz w:val="24"/>
        </w:rPr>
        <w:t>                  cultural notes; words and structures</w:t>
      </w:r>
    </w:p>
    <w:p w:rsidR="003717A0" w:rsidRDefault="003717A0">
      <w:pPr>
        <w:rPr>
          <w:sz w:val="24"/>
        </w:rPr>
      </w:pPr>
      <w:r>
        <w:rPr>
          <w:sz w:val="24"/>
        </w:rPr>
        <w:t> </w:t>
      </w:r>
    </w:p>
    <w:p w:rsidR="003717A0" w:rsidRDefault="003717A0">
      <w:pPr>
        <w:rPr>
          <w:sz w:val="24"/>
        </w:rPr>
      </w:pPr>
      <w:r>
        <w:rPr>
          <w:sz w:val="24"/>
        </w:rPr>
        <w:t>Answer questions after finishing reading Text A:</w:t>
      </w:r>
    </w:p>
    <w:p w:rsidR="003717A0" w:rsidRDefault="003717A0">
      <w:pPr>
        <w:rPr>
          <w:sz w:val="24"/>
        </w:rPr>
      </w:pPr>
      <w:r>
        <w:rPr>
          <w:sz w:val="24"/>
        </w:rPr>
        <w:t>1.What do you know about the formation of an earthquake? </w:t>
      </w:r>
    </w:p>
    <w:p w:rsidR="003717A0" w:rsidRDefault="003717A0">
      <w:pPr>
        <w:rPr>
          <w:sz w:val="24"/>
        </w:rPr>
      </w:pPr>
      <w:r>
        <w:rPr>
          <w:sz w:val="24"/>
        </w:rPr>
        <w:t>2.What does a strong earthquake bring to us? </w:t>
      </w:r>
    </w:p>
    <w:p w:rsidR="003717A0" w:rsidRDefault="003717A0">
      <w:pPr>
        <w:rPr>
          <w:sz w:val="24"/>
        </w:rPr>
      </w:pPr>
      <w:r>
        <w:rPr>
          <w:sz w:val="24"/>
        </w:rPr>
        <w:t>3.How to predict a strong earthquake? </w:t>
      </w:r>
    </w:p>
    <w:p w:rsidR="003717A0" w:rsidRDefault="003717A0">
      <w:pPr>
        <w:rPr>
          <w:sz w:val="24"/>
        </w:rPr>
      </w:pPr>
      <w:r>
        <w:rPr>
          <w:sz w:val="24"/>
        </w:rPr>
        <w:t>4. How to prevent the great damage caused by a strong earthquake?</w:t>
      </w:r>
    </w:p>
    <w:p w:rsidR="003717A0" w:rsidRDefault="003717A0">
      <w:pPr>
        <w:rPr>
          <w:sz w:val="24"/>
        </w:rPr>
      </w:pPr>
      <w:r>
        <w:rPr>
          <w:sz w:val="24"/>
        </w:rPr>
        <w:t>5. How to prepare ourselves well for a strong earthquake?</w:t>
      </w:r>
    </w:p>
    <w:p w:rsidR="003717A0" w:rsidRDefault="003717A0">
      <w:pPr>
        <w:rPr>
          <w:rFonts w:eastAsia="仿宋_GB2312"/>
          <w:sz w:val="24"/>
        </w:rPr>
      </w:pPr>
    </w:p>
    <w:p w:rsidR="003717A0" w:rsidRDefault="003717A0">
      <w:pPr>
        <w:rPr>
          <w:sz w:val="24"/>
        </w:rPr>
      </w:pPr>
      <w:r>
        <w:rPr>
          <w:rFonts w:eastAsia="仿宋_GB2312"/>
          <w:sz w:val="24"/>
        </w:rPr>
        <w:t xml:space="preserve">Key words: </w:t>
      </w:r>
      <w:r>
        <w:rPr>
          <w:sz w:val="24"/>
        </w:rPr>
        <w:t>detect, withstand ,  joint, enclose, fasten, accidentally, extinguish, handy, portable, sensible, occurrence, resistant</w:t>
      </w:r>
    </w:p>
    <w:p w:rsidR="003717A0" w:rsidRDefault="003717A0">
      <w:pPr>
        <w:rPr>
          <w:sz w:val="24"/>
        </w:rPr>
      </w:pPr>
    </w:p>
    <w:p w:rsidR="003717A0" w:rsidRDefault="003717A0">
      <w:pPr>
        <w:rPr>
          <w:sz w:val="24"/>
        </w:rPr>
      </w:pPr>
      <w:r>
        <w:rPr>
          <w:sz w:val="24"/>
        </w:rPr>
        <w:t>Key phrases: 1. watch</w:t>
      </w:r>
      <w:r>
        <w:rPr>
          <w:rFonts w:hint="eastAsia"/>
          <w:sz w:val="24"/>
        </w:rPr>
        <w:t>…</w:t>
      </w:r>
      <w:r>
        <w:rPr>
          <w:sz w:val="24"/>
        </w:rPr>
        <w:t>for</w:t>
      </w:r>
      <w:r>
        <w:rPr>
          <w:sz w:val="24"/>
        </w:rPr>
        <w:tab/>
        <w:t>2. attach</w:t>
      </w:r>
      <w:r>
        <w:rPr>
          <w:rFonts w:hint="eastAsia"/>
          <w:sz w:val="24"/>
        </w:rPr>
        <w:t>…</w:t>
      </w:r>
      <w:r>
        <w:rPr>
          <w:sz w:val="24"/>
        </w:rPr>
        <w:t> to</w:t>
      </w:r>
      <w:r>
        <w:rPr>
          <w:sz w:val="24"/>
        </w:rPr>
        <w:tab/>
        <w:t>3. in addition to</w:t>
      </w:r>
    </w:p>
    <w:p w:rsidR="003717A0" w:rsidRDefault="003717A0">
      <w:pPr>
        <w:rPr>
          <w:sz w:val="24"/>
        </w:rPr>
      </w:pPr>
      <w:r>
        <w:rPr>
          <w:sz w:val="24"/>
        </w:rPr>
        <w:t>4. check in</w:t>
      </w:r>
      <w:r>
        <w:rPr>
          <w:sz w:val="24"/>
        </w:rPr>
        <w:tab/>
        <w:t>5. keep sth. handy</w:t>
      </w:r>
      <w:r>
        <w:rPr>
          <w:sz w:val="24"/>
        </w:rPr>
        <w:tab/>
        <w:t>6. if necessary</w:t>
      </w:r>
    </w:p>
    <w:p w:rsidR="003717A0" w:rsidRDefault="003717A0">
      <w:pPr>
        <w:rPr>
          <w:sz w:val="24"/>
        </w:rPr>
      </w:pPr>
      <w:r>
        <w:rPr>
          <w:sz w:val="24"/>
        </w:rPr>
        <w:t>7.Agree on/ upon</w:t>
      </w:r>
      <w:r>
        <w:rPr>
          <w:sz w:val="24"/>
        </w:rPr>
        <w:tab/>
        <w:t>8. be likely to do</w:t>
      </w:r>
      <w:r>
        <w:rPr>
          <w:sz w:val="24"/>
        </w:rPr>
        <w:tab/>
        <w:t>9. learn a great deal about</w:t>
      </w:r>
    </w:p>
    <w:p w:rsidR="003717A0" w:rsidRDefault="003717A0">
      <w:pPr>
        <w:rPr>
          <w:sz w:val="24"/>
        </w:rPr>
      </w:pPr>
      <w:r>
        <w:rPr>
          <w:sz w:val="24"/>
        </w:rPr>
        <w:t>10. be resistant to</w:t>
      </w:r>
      <w:r>
        <w:rPr>
          <w:sz w:val="24"/>
        </w:rPr>
        <w:tab/>
        <w:t>11. make a difference in</w:t>
      </w:r>
      <w:r>
        <w:rPr>
          <w:sz w:val="24"/>
        </w:rPr>
        <w:tab/>
        <w:t>12. take precautions</w:t>
      </w:r>
    </w:p>
    <w:p w:rsidR="003717A0" w:rsidRDefault="003717A0">
      <w:pPr>
        <w:rPr>
          <w:sz w:val="24"/>
        </w:rPr>
      </w:pPr>
      <w:r>
        <w:rPr>
          <w:sz w:val="24"/>
        </w:rPr>
        <w:t>13. earthquake prediction</w:t>
      </w:r>
      <w:r>
        <w:rPr>
          <w:sz w:val="24"/>
        </w:rPr>
        <w:tab/>
        <w:t>14. freeze to death</w:t>
      </w:r>
      <w:r>
        <w:rPr>
          <w:sz w:val="24"/>
        </w:rPr>
        <w:tab/>
        <w:t>15. experimental data</w:t>
      </w:r>
    </w:p>
    <w:p w:rsidR="003717A0" w:rsidRDefault="003717A0">
      <w:pPr>
        <w:rPr>
          <w:sz w:val="24"/>
        </w:rPr>
      </w:pPr>
      <w:r>
        <w:rPr>
          <w:sz w:val="24"/>
        </w:rPr>
        <w:t>16. a school of fish</w:t>
      </w:r>
      <w:r>
        <w:rPr>
          <w:sz w:val="24"/>
        </w:rPr>
        <w:tab/>
        <w:t>17. after all</w:t>
      </w:r>
      <w:r>
        <w:rPr>
          <w:sz w:val="24"/>
        </w:rPr>
        <w:tab/>
        <w:t>18. falling buildings</w:t>
      </w:r>
    </w:p>
    <w:p w:rsidR="003717A0" w:rsidRDefault="003717A0">
      <w:pPr>
        <w:rPr>
          <w:sz w:val="24"/>
        </w:rPr>
      </w:pPr>
      <w:r>
        <w:rPr>
          <w:sz w:val="24"/>
        </w:rPr>
        <w:t>19. the destruction of rain forests</w:t>
      </w:r>
      <w:r>
        <w:rPr>
          <w:sz w:val="24"/>
        </w:rPr>
        <w:tab/>
        <w:t>20.be a major concern</w:t>
      </w:r>
      <w:r>
        <w:rPr>
          <w:sz w:val="24"/>
        </w:rPr>
        <w:tab/>
        <w:t>21. fasten the door</w:t>
      </w:r>
    </w:p>
    <w:p w:rsidR="003717A0" w:rsidRDefault="003717A0">
      <w:pPr>
        <w:rPr>
          <w:sz w:val="24"/>
        </w:rPr>
      </w:pPr>
      <w:r>
        <w:rPr>
          <w:sz w:val="24"/>
        </w:rPr>
        <w:t>22. a radio receiver</w:t>
      </w:r>
      <w:r>
        <w:rPr>
          <w:sz w:val="24"/>
        </w:rPr>
        <w:tab/>
        <w:t>23. hang up the receiver</w:t>
      </w:r>
      <w:r>
        <w:rPr>
          <w:sz w:val="24"/>
        </w:rPr>
        <w:tab/>
        <w:t>24. extra batteries</w:t>
      </w:r>
    </w:p>
    <w:p w:rsidR="003717A0" w:rsidRDefault="003717A0">
      <w:pPr>
        <w:rPr>
          <w:sz w:val="24"/>
        </w:rPr>
      </w:pPr>
      <w:r>
        <w:rPr>
          <w:sz w:val="24"/>
        </w:rPr>
        <w:t>25. first-aid supplies</w:t>
      </w:r>
      <w:r>
        <w:rPr>
          <w:sz w:val="24"/>
        </w:rPr>
        <w:tab/>
        <w:t>26. small cans of gas</w:t>
      </w:r>
      <w:r>
        <w:rPr>
          <w:sz w:val="24"/>
        </w:rPr>
        <w:tab/>
        <w:t>27. fragments of broken glass</w:t>
      </w:r>
    </w:p>
    <w:p w:rsidR="003717A0" w:rsidRDefault="003717A0">
      <w:pPr>
        <w:rPr>
          <w:sz w:val="24"/>
        </w:rPr>
      </w:pPr>
    </w:p>
    <w:p w:rsidR="003717A0" w:rsidRDefault="003717A0">
      <w:pPr>
        <w:rPr>
          <w:sz w:val="24"/>
        </w:rPr>
      </w:pPr>
      <w:r>
        <w:rPr>
          <w:sz w:val="24"/>
        </w:rPr>
        <w:t>Key structures:</w:t>
      </w:r>
    </w:p>
    <w:p w:rsidR="003717A0" w:rsidRDefault="003717A0">
      <w:pPr>
        <w:rPr>
          <w:sz w:val="24"/>
        </w:rPr>
      </w:pPr>
      <w:r>
        <w:rPr>
          <w:sz w:val="24"/>
        </w:rPr>
        <w:t>1.</w:t>
      </w:r>
      <w:r>
        <w:rPr>
          <w:rFonts w:hint="eastAsia"/>
          <w:sz w:val="24"/>
        </w:rPr>
        <w:t>原句</w:t>
      </w:r>
      <w:r>
        <w:rPr>
          <w:sz w:val="24"/>
        </w:rPr>
        <w:t>: Before the Hanshin earthquake in Japan, there were reports of large schools of fish swimming near the surface of the water. (L9)</w:t>
      </w:r>
    </w:p>
    <w:p w:rsidR="003717A0" w:rsidRDefault="003717A0">
      <w:pPr>
        <w:rPr>
          <w:sz w:val="24"/>
        </w:rPr>
      </w:pPr>
      <w:r>
        <w:rPr>
          <w:rFonts w:hint="eastAsia"/>
          <w:sz w:val="24"/>
        </w:rPr>
        <w:t>句型提炼</w:t>
      </w:r>
      <w:r>
        <w:rPr>
          <w:sz w:val="24"/>
        </w:rPr>
        <w:t>:There be reports of sb. / sth. doing sth.  </w:t>
      </w:r>
      <w:r>
        <w:rPr>
          <w:rFonts w:hint="eastAsia"/>
          <w:sz w:val="24"/>
        </w:rPr>
        <w:t>有报道说某人／物</w:t>
      </w:r>
      <w:r>
        <w:rPr>
          <w:sz w:val="24"/>
        </w:rPr>
        <w:t>······</w:t>
      </w:r>
    </w:p>
    <w:p w:rsidR="003717A0" w:rsidRDefault="003717A0">
      <w:pPr>
        <w:rPr>
          <w:sz w:val="24"/>
        </w:rPr>
      </w:pPr>
      <w:r>
        <w:rPr>
          <w:rFonts w:hint="eastAsia"/>
          <w:sz w:val="24"/>
        </w:rPr>
        <w:t>用于提供</w:t>
      </w:r>
      <w:r>
        <w:rPr>
          <w:sz w:val="24"/>
        </w:rPr>
        <w:t>“</w:t>
      </w:r>
      <w:r>
        <w:rPr>
          <w:rFonts w:hint="eastAsia"/>
          <w:sz w:val="24"/>
        </w:rPr>
        <w:t>佐证或事实</w:t>
      </w:r>
      <w:r>
        <w:rPr>
          <w:sz w:val="24"/>
        </w:rPr>
        <w:t>”</w:t>
      </w:r>
      <w:r>
        <w:rPr>
          <w:rFonts w:hint="eastAsia"/>
          <w:sz w:val="24"/>
        </w:rPr>
        <w:t>。</w:t>
      </w:r>
    </w:p>
    <w:p w:rsidR="003717A0" w:rsidRDefault="003717A0">
      <w:pPr>
        <w:rPr>
          <w:sz w:val="24"/>
        </w:rPr>
      </w:pPr>
      <w:r>
        <w:rPr>
          <w:sz w:val="24"/>
        </w:rPr>
        <w:t>2. </w:t>
      </w:r>
      <w:r>
        <w:rPr>
          <w:rFonts w:hint="eastAsia"/>
          <w:sz w:val="24"/>
        </w:rPr>
        <w:t>原句</w:t>
      </w:r>
      <w:r>
        <w:rPr>
          <w:sz w:val="24"/>
        </w:rPr>
        <w:t>: Perhaps most interesting, and most easily measured, is a chemical change in ground water before a quake. (L12)</w:t>
      </w:r>
    </w:p>
    <w:p w:rsidR="003717A0" w:rsidRDefault="003717A0">
      <w:pPr>
        <w:rPr>
          <w:sz w:val="24"/>
        </w:rPr>
      </w:pPr>
      <w:r>
        <w:rPr>
          <w:rFonts w:hint="eastAsia"/>
          <w:sz w:val="24"/>
        </w:rPr>
        <w:t>句型提炼</w:t>
      </w:r>
      <w:r>
        <w:rPr>
          <w:sz w:val="24"/>
        </w:rPr>
        <w:t>: Perhaps most + adj. / p.p., and most adj. / p.p., be … </w:t>
      </w:r>
      <w:r>
        <w:rPr>
          <w:rFonts w:hint="eastAsia"/>
          <w:sz w:val="24"/>
        </w:rPr>
        <w:t>也许最</w:t>
      </w:r>
      <w:r>
        <w:rPr>
          <w:sz w:val="24"/>
        </w:rPr>
        <w:t>······</w:t>
      </w:r>
      <w:r>
        <w:rPr>
          <w:rFonts w:hint="eastAsia"/>
          <w:sz w:val="24"/>
        </w:rPr>
        <w:t>、也最</w:t>
      </w:r>
      <w:r>
        <w:rPr>
          <w:sz w:val="24"/>
        </w:rPr>
        <w:t>······</w:t>
      </w:r>
      <w:r>
        <w:rPr>
          <w:rFonts w:hint="eastAsia"/>
          <w:sz w:val="24"/>
        </w:rPr>
        <w:t>的，是</w:t>
      </w:r>
      <w:r>
        <w:rPr>
          <w:sz w:val="24"/>
        </w:rPr>
        <w:t>······</w:t>
      </w:r>
    </w:p>
    <w:p w:rsidR="003717A0" w:rsidRDefault="003717A0">
      <w:pPr>
        <w:rPr>
          <w:sz w:val="24"/>
        </w:rPr>
      </w:pPr>
      <w:r>
        <w:rPr>
          <w:rFonts w:hint="eastAsia"/>
          <w:sz w:val="24"/>
        </w:rPr>
        <w:t>用于强调</w:t>
      </w:r>
      <w:r>
        <w:rPr>
          <w:sz w:val="24"/>
        </w:rPr>
        <w:t>“</w:t>
      </w:r>
      <w:r>
        <w:rPr>
          <w:rFonts w:hint="eastAsia"/>
          <w:sz w:val="24"/>
        </w:rPr>
        <w:t>事物最显著的特性</w:t>
      </w:r>
      <w:r>
        <w:rPr>
          <w:sz w:val="24"/>
        </w:rPr>
        <w:t>”</w:t>
      </w:r>
      <w:r>
        <w:rPr>
          <w:rFonts w:hint="eastAsia"/>
          <w:sz w:val="24"/>
        </w:rPr>
        <w:t>。</w:t>
      </w:r>
    </w:p>
    <w:p w:rsidR="003717A0" w:rsidRDefault="003717A0">
      <w:pPr>
        <w:rPr>
          <w:sz w:val="24"/>
        </w:rPr>
      </w:pPr>
      <w:r>
        <w:rPr>
          <w:sz w:val="24"/>
        </w:rPr>
        <w:t>3.</w:t>
      </w:r>
      <w:r>
        <w:rPr>
          <w:rFonts w:hint="eastAsia"/>
          <w:sz w:val="24"/>
        </w:rPr>
        <w:t>原句：</w:t>
      </w:r>
      <w:r>
        <w:rPr>
          <w:sz w:val="24"/>
        </w:rPr>
        <w:t>Steel seems to be the best material, but not if it is welded to form a rigid structure. (L19)</w:t>
      </w:r>
    </w:p>
    <w:p w:rsidR="003717A0" w:rsidRDefault="003717A0">
      <w:pPr>
        <w:rPr>
          <w:sz w:val="24"/>
        </w:rPr>
      </w:pPr>
      <w:r>
        <w:rPr>
          <w:rFonts w:hint="eastAsia"/>
          <w:sz w:val="24"/>
        </w:rPr>
        <w:t>句型提炼</w:t>
      </w:r>
      <w:r>
        <w:rPr>
          <w:sz w:val="24"/>
        </w:rPr>
        <w:t>: Sb. / Sth. seem to be …, but not if … </w:t>
      </w:r>
      <w:r>
        <w:rPr>
          <w:rFonts w:hint="eastAsia"/>
          <w:sz w:val="24"/>
        </w:rPr>
        <w:t>某人／物似乎是</w:t>
      </w:r>
      <w:r>
        <w:rPr>
          <w:sz w:val="24"/>
        </w:rPr>
        <w:t>······</w:t>
      </w:r>
      <w:r>
        <w:rPr>
          <w:rFonts w:hint="eastAsia"/>
          <w:sz w:val="24"/>
        </w:rPr>
        <w:t>，但一旦</w:t>
      </w:r>
      <w:r>
        <w:rPr>
          <w:sz w:val="24"/>
        </w:rPr>
        <w:t>······</w:t>
      </w:r>
      <w:r>
        <w:rPr>
          <w:rFonts w:hint="eastAsia"/>
          <w:sz w:val="24"/>
        </w:rPr>
        <w:t>就并非如此了。</w:t>
      </w:r>
    </w:p>
    <w:p w:rsidR="003717A0" w:rsidRDefault="003717A0">
      <w:pPr>
        <w:rPr>
          <w:sz w:val="24"/>
        </w:rPr>
      </w:pPr>
      <w:r>
        <w:rPr>
          <w:rFonts w:hint="eastAsia"/>
          <w:sz w:val="24"/>
        </w:rPr>
        <w:t>用于阐明</w:t>
      </w:r>
      <w:r>
        <w:rPr>
          <w:sz w:val="24"/>
        </w:rPr>
        <w:t>“</w:t>
      </w:r>
      <w:r>
        <w:rPr>
          <w:rFonts w:hint="eastAsia"/>
          <w:sz w:val="24"/>
        </w:rPr>
        <w:t>事物的辩证关系</w:t>
      </w:r>
      <w:r>
        <w:rPr>
          <w:sz w:val="24"/>
        </w:rPr>
        <w:t> ”</w:t>
      </w:r>
      <w:r>
        <w:rPr>
          <w:rFonts w:hint="eastAsia"/>
          <w:sz w:val="24"/>
        </w:rPr>
        <w:t>。</w:t>
      </w:r>
    </w:p>
    <w:p w:rsidR="003717A0" w:rsidRDefault="003717A0">
      <w:pPr>
        <w:rPr>
          <w:sz w:val="24"/>
        </w:rPr>
      </w:pPr>
      <w:r>
        <w:rPr>
          <w:sz w:val="24"/>
        </w:rPr>
        <w:t>4. </w:t>
      </w:r>
      <w:r>
        <w:rPr>
          <w:rFonts w:hint="eastAsia"/>
          <w:sz w:val="24"/>
        </w:rPr>
        <w:t>原句：</w:t>
      </w:r>
      <w:r>
        <w:rPr>
          <w:sz w:val="24"/>
        </w:rPr>
        <w:t>In addition to preparing their houses, people in these regions need to prepare themselves.(L34)</w:t>
      </w:r>
    </w:p>
    <w:p w:rsidR="003717A0" w:rsidRDefault="003717A0">
      <w:pPr>
        <w:rPr>
          <w:sz w:val="24"/>
        </w:rPr>
      </w:pPr>
      <w:r>
        <w:rPr>
          <w:rFonts w:hint="eastAsia"/>
          <w:sz w:val="24"/>
        </w:rPr>
        <w:t>句型提炼</w:t>
      </w:r>
      <w:r>
        <w:rPr>
          <w:sz w:val="24"/>
        </w:rPr>
        <w:t>: In addition to doing sth., sb. need to do sth. else. </w:t>
      </w:r>
      <w:r>
        <w:rPr>
          <w:rFonts w:hint="eastAsia"/>
          <w:sz w:val="24"/>
        </w:rPr>
        <w:t>除了做某事，某人还需做</w:t>
      </w:r>
      <w:r>
        <w:rPr>
          <w:sz w:val="24"/>
        </w:rPr>
        <w:t>······</w:t>
      </w:r>
    </w:p>
    <w:p w:rsidR="003717A0" w:rsidRDefault="003717A0">
      <w:pPr>
        <w:spacing w:line="360" w:lineRule="auto"/>
        <w:rPr>
          <w:sz w:val="24"/>
        </w:rPr>
      </w:pPr>
      <w:r>
        <w:rPr>
          <w:rFonts w:hint="eastAsia"/>
          <w:sz w:val="24"/>
        </w:rPr>
        <w:t>用于表述</w:t>
      </w:r>
      <w:r>
        <w:rPr>
          <w:sz w:val="24"/>
        </w:rPr>
        <w:t>“</w:t>
      </w:r>
      <w:r>
        <w:rPr>
          <w:rFonts w:hint="eastAsia"/>
          <w:sz w:val="24"/>
        </w:rPr>
        <w:t>给人的建议</w:t>
      </w:r>
      <w:r>
        <w:rPr>
          <w:sz w:val="24"/>
        </w:rPr>
        <w:t>”</w:t>
      </w:r>
      <w:r>
        <w:rPr>
          <w:rFonts w:hint="eastAsia"/>
          <w:sz w:val="24"/>
        </w:rPr>
        <w:t>。</w:t>
      </w:r>
    </w:p>
    <w:p w:rsidR="003717A0" w:rsidRDefault="003717A0">
      <w:pPr>
        <w:rPr>
          <w:sz w:val="24"/>
        </w:rPr>
      </w:pPr>
      <w:r>
        <w:rPr>
          <w:sz w:val="24"/>
        </w:rPr>
        <w:t>5.</w:t>
      </w:r>
      <w:r>
        <w:rPr>
          <w:rFonts w:hint="eastAsia"/>
          <w:sz w:val="24"/>
        </w:rPr>
        <w:t>原句：</w:t>
      </w:r>
      <w:r>
        <w:rPr>
          <w:sz w:val="24"/>
        </w:rPr>
        <w:t>Also important is an arrangement for family members to communicate if there is an earthquake. (L54)</w:t>
      </w:r>
    </w:p>
    <w:p w:rsidR="003717A0" w:rsidRDefault="003717A0">
      <w:pPr>
        <w:rPr>
          <w:sz w:val="24"/>
        </w:rPr>
      </w:pPr>
      <w:r>
        <w:rPr>
          <w:rFonts w:hint="eastAsia"/>
          <w:sz w:val="24"/>
        </w:rPr>
        <w:t>句型提炼</w:t>
      </w:r>
      <w:r>
        <w:rPr>
          <w:sz w:val="24"/>
        </w:rPr>
        <w:t>: Also important be sth. / to do sth. </w:t>
      </w:r>
      <w:r>
        <w:rPr>
          <w:rFonts w:hint="eastAsia"/>
          <w:sz w:val="24"/>
        </w:rPr>
        <w:t>某事／做</w:t>
      </w:r>
      <w:r>
        <w:rPr>
          <w:sz w:val="24"/>
        </w:rPr>
        <w:t>······ </w:t>
      </w:r>
      <w:r>
        <w:rPr>
          <w:rFonts w:hint="eastAsia"/>
          <w:sz w:val="24"/>
        </w:rPr>
        <w:t>也很重要。</w:t>
      </w:r>
    </w:p>
    <w:p w:rsidR="003717A0" w:rsidRDefault="003717A0">
      <w:pPr>
        <w:rPr>
          <w:sz w:val="24"/>
        </w:rPr>
      </w:pPr>
      <w:r>
        <w:rPr>
          <w:rFonts w:hint="eastAsia"/>
          <w:sz w:val="24"/>
        </w:rPr>
        <w:t>用于表述</w:t>
      </w:r>
      <w:r>
        <w:rPr>
          <w:sz w:val="24"/>
        </w:rPr>
        <w:t>“</w:t>
      </w:r>
      <w:r>
        <w:rPr>
          <w:rFonts w:hint="eastAsia"/>
          <w:sz w:val="24"/>
        </w:rPr>
        <w:t>给人的建议</w:t>
      </w:r>
      <w:r>
        <w:rPr>
          <w:sz w:val="24"/>
        </w:rPr>
        <w:t>”</w:t>
      </w:r>
      <w:r>
        <w:rPr>
          <w:rFonts w:hint="eastAsia"/>
          <w:sz w:val="24"/>
        </w:rPr>
        <w:t>。</w:t>
      </w:r>
    </w:p>
    <w:p w:rsidR="003717A0" w:rsidRDefault="003717A0">
      <w:pPr>
        <w:rPr>
          <w:sz w:val="24"/>
        </w:rPr>
      </w:pPr>
    </w:p>
    <w:p w:rsidR="003717A0" w:rsidRDefault="003717A0">
      <w:pPr>
        <w:rPr>
          <w:sz w:val="24"/>
        </w:rPr>
      </w:pPr>
      <w:r>
        <w:rPr>
          <w:sz w:val="24"/>
        </w:rPr>
        <w:t>Topic for writing:</w:t>
      </w:r>
    </w:p>
    <w:p w:rsidR="003717A0" w:rsidRDefault="003717A0">
      <w:pPr>
        <w:ind w:firstLineChars="200" w:firstLine="480"/>
        <w:rPr>
          <w:sz w:val="24"/>
        </w:rPr>
      </w:pPr>
      <w:r>
        <w:rPr>
          <w:sz w:val="24"/>
        </w:rPr>
        <w:t>Life Would Be Difficult Without the Internet.</w:t>
      </w:r>
    </w:p>
    <w:p w:rsidR="003717A0" w:rsidRDefault="003717A0">
      <w:pPr>
        <w:rPr>
          <w:sz w:val="24"/>
        </w:rPr>
      </w:pPr>
    </w:p>
    <w:p w:rsidR="003717A0" w:rsidRDefault="003717A0">
      <w:pPr>
        <w:rPr>
          <w:sz w:val="24"/>
        </w:rPr>
      </w:pPr>
      <w:r>
        <w:rPr>
          <w:sz w:val="24"/>
        </w:rPr>
        <w:t>Additional work:</w:t>
      </w:r>
    </w:p>
    <w:p w:rsidR="003717A0" w:rsidRDefault="003717A0">
      <w:pPr>
        <w:rPr>
          <w:sz w:val="24"/>
        </w:rPr>
      </w:pPr>
      <w:r>
        <w:rPr>
          <w:sz w:val="24"/>
        </w:rPr>
        <w:t>1. Recite the 6th and7th paragraph in Text A.</w:t>
      </w:r>
    </w:p>
    <w:p w:rsidR="003717A0" w:rsidRDefault="003717A0">
      <w:pPr>
        <w:rPr>
          <w:sz w:val="24"/>
        </w:rPr>
      </w:pPr>
      <w:r>
        <w:rPr>
          <w:sz w:val="24"/>
        </w:rPr>
        <w:t>2. Browse the Internet for the story about earthquakes that impress you most, and share it with your classmates.</w:t>
      </w:r>
    </w:p>
    <w:p w:rsidR="003717A0" w:rsidRDefault="003717A0">
      <w:pPr>
        <w:rPr>
          <w:sz w:val="24"/>
        </w:rPr>
      </w:pPr>
    </w:p>
    <w:p w:rsidR="003717A0" w:rsidRDefault="003717A0">
      <w:pPr>
        <w:jc w:val="left"/>
        <w:rPr>
          <w:b/>
          <w:bCs/>
          <w:sz w:val="24"/>
        </w:rPr>
      </w:pPr>
      <w:r>
        <w:rPr>
          <w:b/>
          <w:bCs/>
          <w:sz w:val="24"/>
        </w:rPr>
        <w:t>Unit 7 Bill Gates</w:t>
      </w:r>
    </w:p>
    <w:p w:rsidR="003717A0" w:rsidRDefault="003717A0">
      <w:pPr>
        <w:rPr>
          <w:bCs/>
          <w:sz w:val="24"/>
        </w:rPr>
      </w:pPr>
      <w:r>
        <w:rPr>
          <w:bCs/>
          <w:sz w:val="24"/>
        </w:rPr>
        <w:lastRenderedPageBreak/>
        <w:t>Teaching objectives:</w:t>
      </w:r>
    </w:p>
    <w:p w:rsidR="003717A0" w:rsidRDefault="003717A0">
      <w:pPr>
        <w:rPr>
          <w:bCs/>
          <w:sz w:val="24"/>
        </w:rPr>
      </w:pPr>
      <w:r>
        <w:rPr>
          <w:bCs/>
          <w:sz w:val="24"/>
        </w:rPr>
        <w:t>1. To give students an introduction to Bill Gates, and how he made great success in his career.</w:t>
      </w:r>
    </w:p>
    <w:p w:rsidR="003717A0" w:rsidRDefault="003717A0">
      <w:pPr>
        <w:rPr>
          <w:bCs/>
          <w:sz w:val="24"/>
        </w:rPr>
      </w:pPr>
      <w:r>
        <w:rPr>
          <w:bCs/>
          <w:sz w:val="24"/>
        </w:rPr>
        <w:t xml:space="preserve">2. To help the students to grasp the structure of the text and the devices used in it </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1. 1</w:t>
      </w:r>
      <w:r>
        <w:rPr>
          <w:bCs/>
          <w:sz w:val="24"/>
          <w:vertAlign w:val="superscript"/>
        </w:rPr>
        <w:t>st</w:t>
      </w:r>
      <w:r>
        <w:rPr>
          <w:bCs/>
          <w:sz w:val="24"/>
        </w:rPr>
        <w:t xml:space="preserve"> and 2</w:t>
      </w:r>
      <w:r>
        <w:rPr>
          <w:bCs/>
          <w:sz w:val="24"/>
          <w:vertAlign w:val="superscript"/>
        </w:rPr>
        <w:t>nd</w:t>
      </w:r>
      <w:r>
        <w:rPr>
          <w:bCs/>
          <w:sz w:val="24"/>
        </w:rPr>
        <w:t xml:space="preserve"> period: </w:t>
      </w:r>
    </w:p>
    <w:p w:rsidR="003717A0" w:rsidRDefault="003717A0">
      <w:pPr>
        <w:ind w:left="600" w:hangingChars="250" w:hanging="600"/>
        <w:rPr>
          <w:bCs/>
          <w:sz w:val="24"/>
        </w:rPr>
      </w:pPr>
      <w:r>
        <w:rPr>
          <w:bCs/>
          <w:sz w:val="24"/>
        </w:rPr>
        <w:t xml:space="preserve">     Text A: background information; cultural notes; text organization; words and structures </w:t>
      </w:r>
    </w:p>
    <w:p w:rsidR="003717A0" w:rsidRDefault="003717A0">
      <w:pPr>
        <w:rPr>
          <w:bCs/>
          <w:sz w:val="24"/>
        </w:rPr>
      </w:pPr>
      <w:r>
        <w:rPr>
          <w:bCs/>
          <w:sz w:val="24"/>
        </w:rPr>
        <w:t>2. 3</w:t>
      </w:r>
      <w:r>
        <w:rPr>
          <w:bCs/>
          <w:sz w:val="24"/>
          <w:vertAlign w:val="superscript"/>
        </w:rPr>
        <w:t>rd</w:t>
      </w:r>
      <w:r>
        <w:rPr>
          <w:bCs/>
          <w:sz w:val="24"/>
        </w:rPr>
        <w:t xml:space="preserve"> and 4</w:t>
      </w:r>
      <w:r>
        <w:rPr>
          <w:bCs/>
          <w:sz w:val="24"/>
          <w:vertAlign w:val="superscript"/>
        </w:rPr>
        <w:t>th</w:t>
      </w:r>
      <w:r>
        <w:rPr>
          <w:bCs/>
          <w:sz w:val="24"/>
        </w:rPr>
        <w:t xml:space="preserve"> period: </w:t>
      </w:r>
    </w:p>
    <w:p w:rsidR="003717A0" w:rsidRDefault="003717A0">
      <w:pPr>
        <w:ind w:firstLineChars="250" w:firstLine="600"/>
        <w:rPr>
          <w:bCs/>
          <w:sz w:val="24"/>
        </w:rPr>
      </w:pPr>
      <w:r>
        <w:rPr>
          <w:bCs/>
          <w:sz w:val="24"/>
        </w:rPr>
        <w:t>Text A: Review key language points; exercises after text A; essay writing;</w:t>
      </w:r>
    </w:p>
    <w:p w:rsidR="003717A0" w:rsidRDefault="003717A0">
      <w:pPr>
        <w:rPr>
          <w:bCs/>
          <w:sz w:val="24"/>
        </w:rPr>
      </w:pPr>
      <w:r>
        <w:rPr>
          <w:bCs/>
          <w:sz w:val="24"/>
        </w:rPr>
        <w:t>3. 5</w:t>
      </w:r>
      <w:r>
        <w:rPr>
          <w:bCs/>
          <w:sz w:val="24"/>
          <w:vertAlign w:val="superscript"/>
        </w:rPr>
        <w:t>th</w:t>
      </w:r>
      <w:r>
        <w:rPr>
          <w:bCs/>
          <w:sz w:val="24"/>
        </w:rPr>
        <w:t xml:space="preserve"> and 6</w:t>
      </w:r>
      <w:r>
        <w:rPr>
          <w:bCs/>
          <w:sz w:val="24"/>
          <w:vertAlign w:val="superscript"/>
        </w:rPr>
        <w:t>th</w:t>
      </w:r>
      <w:r>
        <w:rPr>
          <w:bCs/>
          <w:sz w:val="24"/>
        </w:rPr>
        <w:t xml:space="preserve"> period: </w:t>
      </w:r>
    </w:p>
    <w:p w:rsidR="003717A0" w:rsidRDefault="003717A0">
      <w:pPr>
        <w:rPr>
          <w:bCs/>
          <w:sz w:val="24"/>
        </w:rPr>
      </w:pPr>
      <w:r>
        <w:rPr>
          <w:bCs/>
          <w:sz w:val="24"/>
        </w:rPr>
        <w:t xml:space="preserve">     Text B: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 What has contributed to the success of Bill Gate? </w:t>
      </w:r>
    </w:p>
    <w:p w:rsidR="003717A0" w:rsidRDefault="003717A0">
      <w:pPr>
        <w:rPr>
          <w:bCs/>
          <w:sz w:val="24"/>
        </w:rPr>
      </w:pPr>
      <w:r>
        <w:rPr>
          <w:bCs/>
          <w:sz w:val="24"/>
        </w:rPr>
        <w:t xml:space="preserve">2. To what extent does one’s personality influence their future success? </w:t>
      </w:r>
    </w:p>
    <w:p w:rsidR="003717A0" w:rsidRDefault="003717A0">
      <w:pPr>
        <w:rPr>
          <w:bCs/>
          <w:sz w:val="24"/>
        </w:rPr>
      </w:pPr>
      <w:r>
        <w:rPr>
          <w:bCs/>
          <w:sz w:val="24"/>
        </w:rPr>
        <w:t>3. Do you think one’s academic performance can guarantee their future achievement?</w:t>
      </w:r>
    </w:p>
    <w:p w:rsidR="003717A0" w:rsidRDefault="003717A0">
      <w:pPr>
        <w:rPr>
          <w:bCs/>
          <w:sz w:val="24"/>
        </w:rPr>
      </w:pPr>
    </w:p>
    <w:p w:rsidR="003717A0" w:rsidRDefault="003717A0">
      <w:pPr>
        <w:rPr>
          <w:bCs/>
          <w:sz w:val="24"/>
        </w:rPr>
      </w:pPr>
      <w:r>
        <w:rPr>
          <w:bCs/>
          <w:sz w:val="24"/>
        </w:rPr>
        <w:t xml:space="preserve">Key words: modernize, </w:t>
      </w:r>
      <w:r>
        <w:rPr>
          <w:bCs/>
          <w:kern w:val="0"/>
          <w:sz w:val="24"/>
        </w:rPr>
        <w:t xml:space="preserve">understate, </w:t>
      </w:r>
      <w:r>
        <w:rPr>
          <w:bCs/>
          <w:sz w:val="24"/>
        </w:rPr>
        <w:t>c</w:t>
      </w:r>
      <w:r>
        <w:rPr>
          <w:bCs/>
          <w:kern w:val="0"/>
          <w:sz w:val="24"/>
        </w:rPr>
        <w:t xml:space="preserve">onservation, maximum, </w:t>
      </w:r>
      <w:r>
        <w:rPr>
          <w:bCs/>
          <w:sz w:val="24"/>
        </w:rPr>
        <w:t>punctual, commercial, frame, panel, procession, vague, conquer,  interpret,  fold</w:t>
      </w:r>
    </w:p>
    <w:p w:rsidR="003717A0" w:rsidRDefault="003717A0">
      <w:pPr>
        <w:rPr>
          <w:bCs/>
          <w:sz w:val="24"/>
        </w:rPr>
      </w:pPr>
      <w:r>
        <w:rPr>
          <w:bCs/>
          <w:sz w:val="24"/>
        </w:rPr>
        <w:t>Key phrases and expressions:</w:t>
      </w:r>
    </w:p>
    <w:p w:rsidR="003717A0" w:rsidRDefault="003717A0">
      <w:pPr>
        <w:rPr>
          <w:bCs/>
          <w:sz w:val="24"/>
        </w:rPr>
      </w:pPr>
      <w:r>
        <w:rPr>
          <w:bCs/>
          <w:sz w:val="24"/>
        </w:rPr>
        <w:t>1. turn out</w:t>
      </w:r>
      <w:r>
        <w:rPr>
          <w:bCs/>
          <w:sz w:val="24"/>
        </w:rPr>
        <w:tab/>
        <w:t xml:space="preserve">2. belong in </w:t>
      </w:r>
      <w:r>
        <w:rPr>
          <w:bCs/>
          <w:sz w:val="24"/>
        </w:rPr>
        <w:tab/>
        <w:t>3. stem from</w:t>
      </w:r>
    </w:p>
    <w:p w:rsidR="003717A0" w:rsidRDefault="003717A0">
      <w:pPr>
        <w:rPr>
          <w:bCs/>
          <w:sz w:val="24"/>
        </w:rPr>
      </w:pPr>
      <w:r>
        <w:rPr>
          <w:bCs/>
          <w:sz w:val="24"/>
        </w:rPr>
        <w:t>4. at times</w:t>
      </w:r>
      <w:r>
        <w:rPr>
          <w:bCs/>
          <w:sz w:val="24"/>
        </w:rPr>
        <w:tab/>
        <w:t>5. as to</w:t>
      </w:r>
      <w:r>
        <w:rPr>
          <w:bCs/>
          <w:sz w:val="24"/>
        </w:rPr>
        <w:tab/>
        <w:t>6. expect from/of</w:t>
      </w:r>
    </w:p>
    <w:p w:rsidR="003717A0" w:rsidRDefault="003717A0">
      <w:pPr>
        <w:rPr>
          <w:bCs/>
          <w:sz w:val="24"/>
        </w:rPr>
      </w:pPr>
      <w:r>
        <w:rPr>
          <w:bCs/>
          <w:sz w:val="24"/>
        </w:rPr>
        <w:t>7. put in</w:t>
      </w:r>
      <w:r>
        <w:rPr>
          <w:bCs/>
          <w:sz w:val="24"/>
        </w:rPr>
        <w:tab/>
        <w:t xml:space="preserve">8. in high gear </w:t>
      </w:r>
      <w:r>
        <w:rPr>
          <w:bCs/>
          <w:sz w:val="24"/>
        </w:rPr>
        <w:tab/>
        <w:t>9. on the subject of</w:t>
      </w:r>
    </w:p>
    <w:p w:rsidR="003717A0" w:rsidRDefault="003717A0">
      <w:pPr>
        <w:rPr>
          <w:bCs/>
          <w:sz w:val="24"/>
        </w:rPr>
      </w:pPr>
      <w:r>
        <w:rPr>
          <w:bCs/>
          <w:sz w:val="24"/>
        </w:rPr>
        <w:t>10. in the interest of</w:t>
      </w:r>
      <w:r>
        <w:rPr>
          <w:bCs/>
          <w:sz w:val="24"/>
        </w:rPr>
        <w:tab/>
        <w:t>11. multiple frames</w:t>
      </w:r>
      <w:r>
        <w:rPr>
          <w:bCs/>
          <w:sz w:val="24"/>
        </w:rPr>
        <w:tab/>
        <w:t>12. bat out</w:t>
      </w:r>
    </w:p>
    <w:p w:rsidR="003717A0" w:rsidRDefault="003717A0">
      <w:pPr>
        <w:rPr>
          <w:bCs/>
          <w:sz w:val="24"/>
        </w:rPr>
      </w:pPr>
      <w:r>
        <w:rPr>
          <w:bCs/>
          <w:sz w:val="24"/>
        </w:rPr>
        <w:t>13.by name</w:t>
      </w:r>
      <w:r>
        <w:rPr>
          <w:bCs/>
          <w:sz w:val="24"/>
        </w:rPr>
        <w:tab/>
        <w:t>14. hand out</w:t>
      </w:r>
      <w:r>
        <w:rPr>
          <w:bCs/>
          <w:sz w:val="24"/>
        </w:rPr>
        <w:tab/>
        <w:t>15. There is no use doing sth.</w:t>
      </w:r>
    </w:p>
    <w:p w:rsidR="003717A0" w:rsidRDefault="003717A0">
      <w:pPr>
        <w:rPr>
          <w:bCs/>
          <w:sz w:val="24"/>
        </w:rPr>
      </w:pPr>
      <w:r>
        <w:rPr>
          <w:bCs/>
          <w:sz w:val="24"/>
        </w:rPr>
        <w:t>16. drop out of</w:t>
      </w:r>
      <w:r>
        <w:rPr>
          <w:bCs/>
          <w:sz w:val="24"/>
        </w:rPr>
        <w:tab/>
        <w:t>17.claw one</w:t>
      </w:r>
      <w:r>
        <w:rPr>
          <w:rFonts w:hint="eastAsia"/>
          <w:bCs/>
          <w:sz w:val="24"/>
        </w:rPr>
        <w:t>’</w:t>
      </w:r>
      <w:r>
        <w:rPr>
          <w:bCs/>
          <w:sz w:val="24"/>
        </w:rPr>
        <w:t>s way</w:t>
      </w:r>
      <w:r>
        <w:rPr>
          <w:bCs/>
          <w:sz w:val="24"/>
        </w:rPr>
        <w:tab/>
        <w:t>18. nothing less than</w:t>
      </w:r>
    </w:p>
    <w:p w:rsidR="003717A0" w:rsidRDefault="003717A0">
      <w:pPr>
        <w:rPr>
          <w:bCs/>
          <w:sz w:val="24"/>
        </w:rPr>
      </w:pPr>
      <w:r>
        <w:rPr>
          <w:bCs/>
          <w:sz w:val="24"/>
        </w:rPr>
        <w:t>19. without (a) doubt</w:t>
      </w:r>
      <w:r>
        <w:rPr>
          <w:bCs/>
          <w:sz w:val="24"/>
        </w:rPr>
        <w:tab/>
        <w:t>20. work on</w:t>
      </w:r>
      <w:r>
        <w:rPr>
          <w:bCs/>
          <w:sz w:val="24"/>
        </w:rPr>
        <w:tab/>
      </w:r>
    </w:p>
    <w:p w:rsidR="003717A0" w:rsidRDefault="003717A0">
      <w:pPr>
        <w:rPr>
          <w:bCs/>
          <w:sz w:val="24"/>
        </w:rPr>
      </w:pPr>
    </w:p>
    <w:p w:rsidR="003717A0" w:rsidRDefault="003717A0">
      <w:pPr>
        <w:rPr>
          <w:bCs/>
          <w:sz w:val="24"/>
        </w:rPr>
      </w:pPr>
      <w:r>
        <w:rPr>
          <w:bCs/>
          <w:sz w:val="24"/>
        </w:rPr>
        <w:t>Key structures in Text A:</w:t>
      </w:r>
    </w:p>
    <w:p w:rsidR="003717A0" w:rsidRDefault="003717A0">
      <w:pPr>
        <w:numPr>
          <w:ilvl w:val="0"/>
          <w:numId w:val="68"/>
        </w:numPr>
        <w:tabs>
          <w:tab w:val="clear" w:pos="360"/>
          <w:tab w:val="left" w:pos="0"/>
        </w:tabs>
        <w:rPr>
          <w:bCs/>
          <w:sz w:val="24"/>
        </w:rPr>
      </w:pPr>
      <w:r>
        <w:rPr>
          <w:bCs/>
          <w:sz w:val="24"/>
        </w:rPr>
        <w:t xml:space="preserve">The schedule he keeps is one hint </w:t>
      </w:r>
      <w:r>
        <w:rPr>
          <w:bCs/>
          <w:sz w:val="24"/>
          <w:u w:val="single"/>
        </w:rPr>
        <w:t>as to</w:t>
      </w:r>
      <w:r>
        <w:rPr>
          <w:bCs/>
          <w:sz w:val="24"/>
        </w:rPr>
        <w:t xml:space="preserve"> what he expects from his employees. (L13-14)</w:t>
      </w:r>
    </w:p>
    <w:p w:rsidR="003717A0" w:rsidRDefault="003717A0">
      <w:pPr>
        <w:rPr>
          <w:bCs/>
          <w:sz w:val="24"/>
        </w:rPr>
      </w:pPr>
      <w:r>
        <w:rPr>
          <w:bCs/>
          <w:sz w:val="24"/>
        </w:rPr>
        <w:t>as to</w:t>
      </w:r>
      <w:r>
        <w:rPr>
          <w:rFonts w:hint="eastAsia"/>
          <w:bCs/>
          <w:sz w:val="24"/>
        </w:rPr>
        <w:t>“关于，至于”，可放在句首或与</w:t>
      </w:r>
      <w:r>
        <w:rPr>
          <w:bCs/>
          <w:sz w:val="24"/>
        </w:rPr>
        <w:t>wh-</w:t>
      </w:r>
      <w:r>
        <w:rPr>
          <w:rFonts w:hint="eastAsia"/>
          <w:bCs/>
          <w:sz w:val="24"/>
        </w:rPr>
        <w:t>疑问词引导的动词不定式和名词性从句连用（有时可省略）。</w:t>
      </w:r>
    </w:p>
    <w:p w:rsidR="003717A0" w:rsidRDefault="003717A0">
      <w:pPr>
        <w:jc w:val="left"/>
        <w:rPr>
          <w:bCs/>
          <w:sz w:val="24"/>
        </w:rPr>
      </w:pPr>
      <w:r>
        <w:rPr>
          <w:bCs/>
          <w:sz w:val="24"/>
        </w:rPr>
        <w:t xml:space="preserve">2. You had better just adjust to it because </w:t>
      </w:r>
      <w:r>
        <w:rPr>
          <w:bCs/>
          <w:sz w:val="24"/>
          <w:u w:val="single"/>
        </w:rPr>
        <w:t>there’s no use trying</w:t>
      </w:r>
      <w:r>
        <w:rPr>
          <w:bCs/>
          <w:sz w:val="24"/>
        </w:rPr>
        <w:t xml:space="preserve"> to beat him.(L50-51)</w:t>
      </w:r>
    </w:p>
    <w:p w:rsidR="003717A0" w:rsidRDefault="003717A0">
      <w:pPr>
        <w:rPr>
          <w:bCs/>
          <w:sz w:val="24"/>
        </w:rPr>
      </w:pPr>
      <w:r>
        <w:rPr>
          <w:bCs/>
          <w:sz w:val="24"/>
        </w:rPr>
        <w:t>There is no use doing sth.</w:t>
      </w:r>
      <w:r>
        <w:rPr>
          <w:rFonts w:hint="eastAsia"/>
          <w:bCs/>
          <w:sz w:val="24"/>
        </w:rPr>
        <w:t>表示做某事没什么用。类似的句型是</w:t>
      </w:r>
      <w:r>
        <w:rPr>
          <w:bCs/>
          <w:sz w:val="24"/>
        </w:rPr>
        <w:t xml:space="preserve">There/It is no good/sense/point/ doing sth. </w:t>
      </w:r>
      <w:r>
        <w:rPr>
          <w:rFonts w:hint="eastAsia"/>
          <w:bCs/>
          <w:sz w:val="24"/>
        </w:rPr>
        <w:t>做某事没有意义</w:t>
      </w:r>
    </w:p>
    <w:p w:rsidR="003717A0" w:rsidRDefault="003717A0">
      <w:pPr>
        <w:rPr>
          <w:bCs/>
          <w:sz w:val="24"/>
        </w:rPr>
      </w:pPr>
      <w:r>
        <w:rPr>
          <w:bCs/>
          <w:sz w:val="24"/>
        </w:rPr>
        <w:t>Topic for writing:</w:t>
      </w:r>
    </w:p>
    <w:p w:rsidR="003717A0" w:rsidRDefault="003717A0">
      <w:pPr>
        <w:rPr>
          <w:bCs/>
          <w:sz w:val="24"/>
        </w:rPr>
      </w:pPr>
      <w:r>
        <w:rPr>
          <w:bCs/>
          <w:sz w:val="24"/>
        </w:rPr>
        <w:t>High Technology – a Bliss or a Curse?. You should write at least 120 words and base your composition on the outline (given in Chinese) below:</w:t>
      </w:r>
    </w:p>
    <w:p w:rsidR="003717A0" w:rsidRDefault="003717A0">
      <w:pPr>
        <w:ind w:left="600" w:hangingChars="250" w:hanging="600"/>
        <w:rPr>
          <w:bCs/>
          <w:sz w:val="24"/>
        </w:rPr>
      </w:pPr>
      <w:r>
        <w:rPr>
          <w:rFonts w:hint="eastAsia"/>
          <w:bCs/>
          <w:sz w:val="24"/>
        </w:rPr>
        <w:t xml:space="preserve">　</w:t>
      </w:r>
      <w:r>
        <w:rPr>
          <w:bCs/>
          <w:sz w:val="24"/>
        </w:rPr>
        <w:t xml:space="preserve">1. </w:t>
      </w:r>
      <w:r>
        <w:rPr>
          <w:rFonts w:hint="eastAsia"/>
          <w:bCs/>
          <w:sz w:val="24"/>
        </w:rPr>
        <w:t>有人认为高科技给我们带来了极大的便利，甚至改变了人们的生活方式和思维方式；也有人认为在高科技时代人们失去了很多。</w:t>
      </w:r>
    </w:p>
    <w:p w:rsidR="003717A0" w:rsidRDefault="003717A0">
      <w:pPr>
        <w:rPr>
          <w:bCs/>
          <w:sz w:val="24"/>
        </w:rPr>
      </w:pPr>
      <w:r>
        <w:rPr>
          <w:rFonts w:hint="eastAsia"/>
          <w:bCs/>
          <w:sz w:val="24"/>
        </w:rPr>
        <w:t xml:space="preserve">　</w:t>
      </w:r>
      <w:r>
        <w:rPr>
          <w:bCs/>
          <w:sz w:val="24"/>
        </w:rPr>
        <w:t xml:space="preserve">2. </w:t>
      </w:r>
      <w:r>
        <w:rPr>
          <w:rFonts w:hint="eastAsia"/>
          <w:bCs/>
          <w:sz w:val="24"/>
        </w:rPr>
        <w:t>对此你的看法是</w:t>
      </w:r>
      <w:r>
        <w:rPr>
          <w:bCs/>
          <w:sz w:val="24"/>
        </w:rPr>
        <w:t>….</w:t>
      </w:r>
    </w:p>
    <w:p w:rsidR="003717A0" w:rsidRDefault="003717A0">
      <w:pPr>
        <w:rPr>
          <w:bCs/>
          <w:sz w:val="24"/>
        </w:rPr>
      </w:pPr>
    </w:p>
    <w:p w:rsidR="003717A0" w:rsidRDefault="003717A0">
      <w:pPr>
        <w:rPr>
          <w:bCs/>
          <w:sz w:val="24"/>
        </w:rPr>
      </w:pPr>
      <w:r>
        <w:rPr>
          <w:bCs/>
          <w:sz w:val="24"/>
        </w:rPr>
        <w:lastRenderedPageBreak/>
        <w:t>Additional work:</w:t>
      </w:r>
    </w:p>
    <w:p w:rsidR="003717A0" w:rsidRDefault="003717A0">
      <w:pPr>
        <w:rPr>
          <w:bCs/>
          <w:sz w:val="24"/>
        </w:rPr>
      </w:pPr>
      <w:r>
        <w:rPr>
          <w:bCs/>
          <w:sz w:val="24"/>
        </w:rPr>
        <w:t>3. Recite the last two paragraphs in Text A.</w:t>
      </w:r>
    </w:p>
    <w:p w:rsidR="003717A0" w:rsidRDefault="003717A0">
      <w:pPr>
        <w:numPr>
          <w:ilvl w:val="0"/>
          <w:numId w:val="49"/>
        </w:numPr>
        <w:rPr>
          <w:bCs/>
          <w:sz w:val="24"/>
        </w:rPr>
      </w:pPr>
      <w:r>
        <w:rPr>
          <w:bCs/>
          <w:sz w:val="24"/>
        </w:rPr>
        <w:t>Write a summary of text A.</w:t>
      </w:r>
    </w:p>
    <w:p w:rsidR="003717A0" w:rsidRDefault="003717A0">
      <w:pPr>
        <w:numPr>
          <w:ilvl w:val="0"/>
          <w:numId w:val="49"/>
        </w:numPr>
        <w:rPr>
          <w:bCs/>
          <w:sz w:val="24"/>
        </w:rPr>
      </w:pPr>
      <w:r>
        <w:rPr>
          <w:bCs/>
          <w:sz w:val="24"/>
        </w:rPr>
        <w:t>Search and read more information about Bill Gates and other high-tech giants.</w:t>
      </w:r>
    </w:p>
    <w:p w:rsidR="003717A0" w:rsidRDefault="003717A0">
      <w:pPr>
        <w:rPr>
          <w:bCs/>
          <w:sz w:val="24"/>
        </w:rPr>
      </w:pPr>
    </w:p>
    <w:p w:rsidR="003717A0" w:rsidRDefault="003717A0">
      <w:pPr>
        <w:jc w:val="left"/>
        <w:rPr>
          <w:b/>
          <w:bCs/>
          <w:sz w:val="24"/>
        </w:rPr>
      </w:pPr>
      <w:r>
        <w:rPr>
          <w:b/>
          <w:bCs/>
          <w:sz w:val="24"/>
        </w:rPr>
        <w:t>Unit 8 Legal and Moral Implications of Cloning</w:t>
      </w:r>
    </w:p>
    <w:p w:rsidR="003717A0" w:rsidRDefault="003717A0">
      <w:pPr>
        <w:rPr>
          <w:bCs/>
          <w:sz w:val="24"/>
        </w:rPr>
      </w:pPr>
      <w:r>
        <w:rPr>
          <w:bCs/>
          <w:sz w:val="24"/>
        </w:rPr>
        <w:t>Teaching objectives:</w:t>
      </w:r>
    </w:p>
    <w:p w:rsidR="003717A0" w:rsidRDefault="003717A0">
      <w:pPr>
        <w:rPr>
          <w:bCs/>
          <w:sz w:val="24"/>
        </w:rPr>
      </w:pPr>
      <w:r>
        <w:rPr>
          <w:bCs/>
          <w:sz w:val="24"/>
        </w:rPr>
        <w:t>1. To help the students to understand the legal and moral implications of cloning</w:t>
      </w:r>
    </w:p>
    <w:p w:rsidR="003717A0" w:rsidRDefault="003717A0">
      <w:pPr>
        <w:rPr>
          <w:bCs/>
          <w:sz w:val="24"/>
        </w:rPr>
      </w:pPr>
      <w:r>
        <w:rPr>
          <w:bCs/>
          <w:sz w:val="24"/>
        </w:rPr>
        <w:t>2. To learn new words and expressions</w:t>
      </w:r>
    </w:p>
    <w:p w:rsidR="003717A0" w:rsidRDefault="003717A0">
      <w:pPr>
        <w:rPr>
          <w:bCs/>
          <w:sz w:val="24"/>
        </w:rPr>
      </w:pPr>
      <w:r>
        <w:rPr>
          <w:bCs/>
          <w:sz w:val="24"/>
        </w:rPr>
        <w:t>3. To learn the writing skills, general and detail</w:t>
      </w:r>
    </w:p>
    <w:p w:rsidR="003717A0" w:rsidRDefault="003717A0">
      <w:pPr>
        <w:rPr>
          <w:bCs/>
          <w:sz w:val="24"/>
        </w:rPr>
      </w:pPr>
      <w:r>
        <w:rPr>
          <w:bCs/>
          <w:sz w:val="24"/>
        </w:rPr>
        <w:t>4. To know some background knowledge about the cloning.</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1. 1</w:t>
      </w:r>
      <w:r>
        <w:rPr>
          <w:bCs/>
          <w:sz w:val="24"/>
          <w:vertAlign w:val="superscript"/>
        </w:rPr>
        <w:t>st</w:t>
      </w:r>
      <w:r>
        <w:rPr>
          <w:bCs/>
          <w:sz w:val="24"/>
        </w:rPr>
        <w:t xml:space="preserve"> and 2</w:t>
      </w:r>
      <w:r>
        <w:rPr>
          <w:bCs/>
          <w:sz w:val="24"/>
          <w:vertAlign w:val="superscript"/>
        </w:rPr>
        <w:t>nd</w:t>
      </w:r>
      <w:r>
        <w:rPr>
          <w:bCs/>
          <w:sz w:val="24"/>
        </w:rPr>
        <w:t xml:space="preserve"> period: </w:t>
      </w:r>
    </w:p>
    <w:p w:rsidR="003717A0" w:rsidRDefault="003717A0">
      <w:pPr>
        <w:rPr>
          <w:bCs/>
          <w:sz w:val="24"/>
        </w:rPr>
      </w:pPr>
      <w:r>
        <w:rPr>
          <w:bCs/>
          <w:sz w:val="24"/>
        </w:rPr>
        <w:t xml:space="preserve">     Text A: background information; cultural notes; text organization; words and structures </w:t>
      </w:r>
    </w:p>
    <w:p w:rsidR="003717A0" w:rsidRDefault="003717A0">
      <w:pPr>
        <w:rPr>
          <w:bCs/>
          <w:sz w:val="24"/>
        </w:rPr>
      </w:pPr>
      <w:r>
        <w:rPr>
          <w:bCs/>
          <w:sz w:val="24"/>
        </w:rPr>
        <w:t>2. 3</w:t>
      </w:r>
      <w:r>
        <w:rPr>
          <w:bCs/>
          <w:sz w:val="24"/>
          <w:vertAlign w:val="superscript"/>
        </w:rPr>
        <w:t>rd</w:t>
      </w:r>
      <w:r>
        <w:rPr>
          <w:bCs/>
          <w:sz w:val="24"/>
        </w:rPr>
        <w:t xml:space="preserve"> and 4</w:t>
      </w:r>
      <w:r>
        <w:rPr>
          <w:bCs/>
          <w:sz w:val="24"/>
          <w:vertAlign w:val="superscript"/>
        </w:rPr>
        <w:t>th</w:t>
      </w:r>
      <w:r>
        <w:rPr>
          <w:bCs/>
          <w:sz w:val="24"/>
        </w:rPr>
        <w:t xml:space="preserve"> period: </w:t>
      </w:r>
    </w:p>
    <w:p w:rsidR="003717A0" w:rsidRDefault="003717A0">
      <w:pPr>
        <w:ind w:firstLineChars="250" w:firstLine="600"/>
        <w:rPr>
          <w:bCs/>
          <w:sz w:val="24"/>
        </w:rPr>
      </w:pPr>
      <w:r>
        <w:rPr>
          <w:bCs/>
          <w:sz w:val="24"/>
        </w:rPr>
        <w:t>Text A: Review key language points; exercises after text A; essay writing;</w:t>
      </w:r>
    </w:p>
    <w:p w:rsidR="003717A0" w:rsidRDefault="003717A0">
      <w:pPr>
        <w:rPr>
          <w:bCs/>
          <w:sz w:val="24"/>
        </w:rPr>
      </w:pPr>
      <w:r>
        <w:rPr>
          <w:bCs/>
          <w:sz w:val="24"/>
        </w:rPr>
        <w:t>3. 5</w:t>
      </w:r>
      <w:r>
        <w:rPr>
          <w:bCs/>
          <w:sz w:val="24"/>
          <w:vertAlign w:val="superscript"/>
        </w:rPr>
        <w:t>th</w:t>
      </w:r>
      <w:r>
        <w:rPr>
          <w:bCs/>
          <w:sz w:val="24"/>
        </w:rPr>
        <w:t xml:space="preserve"> and 6</w:t>
      </w:r>
      <w:r>
        <w:rPr>
          <w:bCs/>
          <w:sz w:val="24"/>
          <w:vertAlign w:val="superscript"/>
        </w:rPr>
        <w:t>th</w:t>
      </w:r>
      <w:r>
        <w:rPr>
          <w:bCs/>
          <w:sz w:val="24"/>
        </w:rPr>
        <w:t xml:space="preserve"> period: </w:t>
      </w:r>
    </w:p>
    <w:p w:rsidR="003717A0" w:rsidRDefault="003717A0">
      <w:pPr>
        <w:rPr>
          <w:bCs/>
          <w:sz w:val="24"/>
        </w:rPr>
      </w:pPr>
      <w:r>
        <w:rPr>
          <w:bCs/>
          <w:sz w:val="24"/>
        </w:rPr>
        <w:t xml:space="preserve">     Text B: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 What do you think of human cloning? Do you agree or disagree? </w:t>
      </w:r>
    </w:p>
    <w:p w:rsidR="003717A0" w:rsidRDefault="003717A0">
      <w:pPr>
        <w:rPr>
          <w:bCs/>
          <w:sz w:val="24"/>
        </w:rPr>
      </w:pPr>
      <w:r>
        <w:rPr>
          <w:bCs/>
          <w:sz w:val="24"/>
        </w:rPr>
        <w:t xml:space="preserve">2. What can we do to make full use of the cloning technology? </w:t>
      </w:r>
    </w:p>
    <w:p w:rsidR="003717A0" w:rsidRDefault="003717A0">
      <w:pPr>
        <w:rPr>
          <w:bCs/>
          <w:sz w:val="24"/>
        </w:rPr>
      </w:pPr>
      <w:r>
        <w:rPr>
          <w:bCs/>
          <w:sz w:val="24"/>
        </w:rPr>
        <w:t xml:space="preserve">3. Find more information about the latest development in cloning. </w:t>
      </w:r>
    </w:p>
    <w:p w:rsidR="003717A0" w:rsidRDefault="003717A0">
      <w:pPr>
        <w:rPr>
          <w:bCs/>
          <w:sz w:val="24"/>
        </w:rPr>
      </w:pPr>
    </w:p>
    <w:p w:rsidR="003717A0" w:rsidRDefault="003717A0">
      <w:pPr>
        <w:rPr>
          <w:bCs/>
          <w:sz w:val="24"/>
        </w:rPr>
      </w:pPr>
      <w:r>
        <w:rPr>
          <w:bCs/>
          <w:sz w:val="24"/>
        </w:rPr>
        <w:t>Key words: implication, clone, fiction, draft, guideline, prohibit, split, generate, mount, genetic, resemble, minor, intact, breed</w:t>
      </w:r>
    </w:p>
    <w:p w:rsidR="003717A0" w:rsidRDefault="003717A0">
      <w:pPr>
        <w:rPr>
          <w:bCs/>
          <w:sz w:val="24"/>
        </w:rPr>
      </w:pPr>
    </w:p>
    <w:p w:rsidR="003717A0" w:rsidRDefault="003717A0">
      <w:pPr>
        <w:rPr>
          <w:bCs/>
          <w:sz w:val="24"/>
        </w:rPr>
      </w:pPr>
      <w:r>
        <w:rPr>
          <w:bCs/>
          <w:sz w:val="24"/>
        </w:rPr>
        <w:t>Key phrases and expressions:</w:t>
      </w:r>
    </w:p>
    <w:p w:rsidR="003717A0" w:rsidRDefault="003717A0">
      <w:pPr>
        <w:rPr>
          <w:bCs/>
          <w:sz w:val="24"/>
        </w:rPr>
      </w:pPr>
      <w:r>
        <w:rPr>
          <w:bCs/>
          <w:sz w:val="24"/>
        </w:rPr>
        <w:t>1. within reach</w:t>
      </w:r>
      <w:r>
        <w:rPr>
          <w:bCs/>
          <w:sz w:val="24"/>
        </w:rPr>
        <w:tab/>
        <w:t>2. come to life</w:t>
      </w:r>
      <w:r>
        <w:rPr>
          <w:bCs/>
          <w:sz w:val="24"/>
        </w:rPr>
        <w:tab/>
        <w:t>3. in the wake of</w:t>
      </w:r>
    </w:p>
    <w:p w:rsidR="003717A0" w:rsidRDefault="003717A0">
      <w:pPr>
        <w:rPr>
          <w:bCs/>
          <w:sz w:val="24"/>
        </w:rPr>
      </w:pPr>
      <w:r>
        <w:rPr>
          <w:bCs/>
          <w:sz w:val="24"/>
        </w:rPr>
        <w:t>4. in the first place</w:t>
      </w:r>
      <w:r>
        <w:rPr>
          <w:bCs/>
          <w:sz w:val="24"/>
        </w:rPr>
        <w:tab/>
        <w:t>5. fall into</w:t>
      </w:r>
      <w:r>
        <w:rPr>
          <w:bCs/>
          <w:sz w:val="24"/>
        </w:rPr>
        <w:tab/>
        <w:t>6. in theory</w:t>
      </w:r>
    </w:p>
    <w:p w:rsidR="003717A0" w:rsidRDefault="003717A0">
      <w:pPr>
        <w:rPr>
          <w:bCs/>
          <w:sz w:val="24"/>
        </w:rPr>
      </w:pPr>
      <w:r>
        <w:rPr>
          <w:bCs/>
          <w:sz w:val="24"/>
        </w:rPr>
        <w:t>7. fall ino</w:t>
      </w:r>
      <w:r>
        <w:rPr>
          <w:bCs/>
          <w:sz w:val="24"/>
        </w:rPr>
        <w:tab/>
        <w:t xml:space="preserve">8. break apart </w:t>
      </w:r>
      <w:r>
        <w:rPr>
          <w:bCs/>
          <w:sz w:val="24"/>
        </w:rPr>
        <w:tab/>
        <w:t>9. identical to/with</w:t>
      </w:r>
    </w:p>
    <w:p w:rsidR="003717A0" w:rsidRDefault="003717A0">
      <w:pPr>
        <w:rPr>
          <w:bCs/>
          <w:sz w:val="24"/>
        </w:rPr>
      </w:pPr>
      <w:r>
        <w:rPr>
          <w:bCs/>
          <w:sz w:val="24"/>
        </w:rPr>
        <w:t>10. and so forth/on</w:t>
      </w:r>
      <w:r>
        <w:rPr>
          <w:bCs/>
          <w:sz w:val="24"/>
        </w:rPr>
        <w:tab/>
        <w:t>11. What if…</w:t>
      </w:r>
      <w:r>
        <w:rPr>
          <w:bCs/>
          <w:sz w:val="24"/>
        </w:rPr>
        <w:tab/>
        <w:t>12. with … in mind</w:t>
      </w:r>
    </w:p>
    <w:p w:rsidR="003717A0" w:rsidRDefault="003717A0">
      <w:pPr>
        <w:rPr>
          <w:bCs/>
          <w:sz w:val="24"/>
        </w:rPr>
      </w:pPr>
      <w:r>
        <w:rPr>
          <w:bCs/>
          <w:sz w:val="24"/>
        </w:rPr>
        <w:t>13.get around</w:t>
      </w:r>
      <w:r>
        <w:rPr>
          <w:bCs/>
          <w:sz w:val="24"/>
        </w:rPr>
        <w:tab/>
        <w:t>14. refer to</w:t>
      </w:r>
      <w:r>
        <w:rPr>
          <w:bCs/>
          <w:sz w:val="24"/>
        </w:rPr>
        <w:tab/>
        <w:t>15. under the name of</w:t>
      </w:r>
    </w:p>
    <w:p w:rsidR="003717A0" w:rsidRDefault="003717A0">
      <w:pPr>
        <w:rPr>
          <w:bCs/>
          <w:sz w:val="24"/>
        </w:rPr>
      </w:pPr>
      <w:r>
        <w:rPr>
          <w:bCs/>
          <w:sz w:val="24"/>
        </w:rPr>
        <w:t>16. regardless of</w:t>
      </w:r>
      <w:r>
        <w:rPr>
          <w:bCs/>
          <w:sz w:val="24"/>
        </w:rPr>
        <w:tab/>
        <w:t>17.be concerned about</w:t>
      </w:r>
      <w:r>
        <w:rPr>
          <w:bCs/>
          <w:sz w:val="24"/>
        </w:rPr>
        <w:tab/>
        <w:t>18. puzzle over</w:t>
      </w:r>
    </w:p>
    <w:p w:rsidR="003717A0" w:rsidRDefault="003717A0">
      <w:pPr>
        <w:rPr>
          <w:bCs/>
          <w:sz w:val="24"/>
        </w:rPr>
      </w:pPr>
      <w:r>
        <w:rPr>
          <w:bCs/>
          <w:sz w:val="24"/>
        </w:rPr>
        <w:t>Key structures:</w:t>
      </w:r>
    </w:p>
    <w:p w:rsidR="003717A0" w:rsidRDefault="003717A0">
      <w:pPr>
        <w:rPr>
          <w:bCs/>
          <w:sz w:val="24"/>
        </w:rPr>
      </w:pPr>
      <w:r>
        <w:rPr>
          <w:bCs/>
          <w:sz w:val="24"/>
        </w:rPr>
        <w:t xml:space="preserve">1. </w:t>
      </w:r>
      <w:r>
        <w:rPr>
          <w:bCs/>
          <w:sz w:val="24"/>
          <w:u w:val="single"/>
        </w:rPr>
        <w:t>What if</w:t>
      </w:r>
      <w:r>
        <w:rPr>
          <w:bCs/>
          <w:sz w:val="24"/>
        </w:rPr>
        <w:t xml:space="preserve"> parents decided to clone a child in order to harvest organs? (L45)</w:t>
      </w:r>
    </w:p>
    <w:p w:rsidR="003717A0" w:rsidRDefault="003717A0">
      <w:pPr>
        <w:rPr>
          <w:bCs/>
          <w:sz w:val="24"/>
        </w:rPr>
      </w:pPr>
      <w:r>
        <w:rPr>
          <w:bCs/>
          <w:sz w:val="24"/>
        </w:rPr>
        <w:t xml:space="preserve">What if: </w:t>
      </w:r>
      <w:r>
        <w:rPr>
          <w:rFonts w:hint="eastAsia"/>
          <w:bCs/>
          <w:sz w:val="24"/>
        </w:rPr>
        <w:t>要是</w:t>
      </w:r>
      <w:r>
        <w:rPr>
          <w:bCs/>
          <w:sz w:val="24"/>
        </w:rPr>
        <w:t>…</w:t>
      </w:r>
      <w:r>
        <w:rPr>
          <w:rFonts w:hint="eastAsia"/>
          <w:bCs/>
          <w:sz w:val="24"/>
        </w:rPr>
        <w:t>怎么办？</w:t>
      </w:r>
    </w:p>
    <w:p w:rsidR="003717A0" w:rsidRDefault="003717A0">
      <w:pPr>
        <w:rPr>
          <w:bCs/>
          <w:sz w:val="24"/>
        </w:rPr>
      </w:pPr>
      <w:r>
        <w:rPr>
          <w:bCs/>
          <w:sz w:val="24"/>
        </w:rPr>
        <w:t xml:space="preserve">2. But some parents already produce second children </w:t>
      </w:r>
      <w:r>
        <w:rPr>
          <w:bCs/>
          <w:sz w:val="24"/>
          <w:u w:val="single"/>
        </w:rPr>
        <w:t>with nonfatal transplants in mind</w:t>
      </w:r>
      <w:r>
        <w:rPr>
          <w:bCs/>
          <w:sz w:val="24"/>
        </w:rPr>
        <w:t>, and many experts do not oppose this. (L48-49)</w:t>
      </w:r>
    </w:p>
    <w:p w:rsidR="003717A0" w:rsidRDefault="003717A0">
      <w:pPr>
        <w:rPr>
          <w:bCs/>
          <w:sz w:val="24"/>
        </w:rPr>
      </w:pPr>
      <w:r>
        <w:rPr>
          <w:bCs/>
          <w:sz w:val="24"/>
        </w:rPr>
        <w:t>“With +n.+ prepositional phrase”</w:t>
      </w:r>
      <w:r>
        <w:rPr>
          <w:rFonts w:hint="eastAsia"/>
          <w:bCs/>
          <w:sz w:val="24"/>
        </w:rPr>
        <w:t>用作伴随状语。</w:t>
      </w:r>
    </w:p>
    <w:p w:rsidR="003717A0" w:rsidRDefault="003717A0">
      <w:pPr>
        <w:rPr>
          <w:bCs/>
          <w:sz w:val="24"/>
        </w:rPr>
      </w:pPr>
      <w:r>
        <w:rPr>
          <w:bCs/>
          <w:sz w:val="24"/>
        </w:rPr>
        <w:t>Topic for writing:</w:t>
      </w:r>
    </w:p>
    <w:p w:rsidR="003717A0" w:rsidRDefault="003717A0">
      <w:pPr>
        <w:rPr>
          <w:bCs/>
          <w:sz w:val="24"/>
        </w:rPr>
      </w:pPr>
      <w:r>
        <w:rPr>
          <w:bCs/>
          <w:sz w:val="24"/>
        </w:rPr>
        <w:t xml:space="preserve"> On Cloning. You should write at least 120 words and base your composition on the outline </w:t>
      </w:r>
      <w:r>
        <w:rPr>
          <w:bCs/>
          <w:sz w:val="24"/>
        </w:rPr>
        <w:lastRenderedPageBreak/>
        <w:t>(given in Chinese) below:</w:t>
      </w:r>
    </w:p>
    <w:p w:rsidR="003717A0" w:rsidRDefault="003717A0">
      <w:pPr>
        <w:ind w:left="600" w:hangingChars="250" w:hanging="600"/>
        <w:rPr>
          <w:bCs/>
          <w:sz w:val="24"/>
        </w:rPr>
      </w:pPr>
      <w:r>
        <w:rPr>
          <w:rFonts w:hint="eastAsia"/>
          <w:bCs/>
          <w:sz w:val="24"/>
        </w:rPr>
        <w:t xml:space="preserve">　</w:t>
      </w:r>
      <w:r>
        <w:rPr>
          <w:bCs/>
          <w:sz w:val="24"/>
        </w:rPr>
        <w:t xml:space="preserve">1. </w:t>
      </w:r>
      <w:r>
        <w:rPr>
          <w:rFonts w:hint="eastAsia"/>
          <w:bCs/>
          <w:sz w:val="24"/>
        </w:rPr>
        <w:t>随着第一头克隆羊的诞生，克隆成为人们争论的焦点。</w:t>
      </w:r>
    </w:p>
    <w:p w:rsidR="003717A0" w:rsidRDefault="003717A0">
      <w:pPr>
        <w:rPr>
          <w:bCs/>
          <w:sz w:val="24"/>
        </w:rPr>
      </w:pPr>
      <w:r>
        <w:rPr>
          <w:rFonts w:hint="eastAsia"/>
          <w:bCs/>
          <w:sz w:val="24"/>
        </w:rPr>
        <w:t xml:space="preserve">　</w:t>
      </w:r>
      <w:r>
        <w:rPr>
          <w:bCs/>
          <w:sz w:val="24"/>
        </w:rPr>
        <w:t xml:space="preserve">2. </w:t>
      </w:r>
      <w:r>
        <w:rPr>
          <w:rFonts w:hint="eastAsia"/>
          <w:bCs/>
          <w:sz w:val="24"/>
        </w:rPr>
        <w:t>克隆可以给人类带来福音，但也可能带来灾难。</w:t>
      </w:r>
    </w:p>
    <w:p w:rsidR="003717A0" w:rsidRDefault="003717A0">
      <w:pPr>
        <w:rPr>
          <w:bCs/>
          <w:sz w:val="24"/>
        </w:rPr>
      </w:pPr>
      <w:r>
        <w:rPr>
          <w:bCs/>
          <w:sz w:val="24"/>
        </w:rPr>
        <w:t xml:space="preserve">  3. </w:t>
      </w:r>
      <w:r>
        <w:rPr>
          <w:rFonts w:hint="eastAsia"/>
          <w:bCs/>
          <w:sz w:val="24"/>
        </w:rPr>
        <w:t>谈谈你的看法。</w:t>
      </w: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1. Recite the last two paragraphs in Text A.</w:t>
      </w:r>
    </w:p>
    <w:p w:rsidR="003717A0" w:rsidRDefault="003717A0">
      <w:pPr>
        <w:rPr>
          <w:bCs/>
          <w:sz w:val="24"/>
        </w:rPr>
      </w:pPr>
      <w:r>
        <w:rPr>
          <w:bCs/>
          <w:sz w:val="24"/>
        </w:rPr>
        <w:t>2.Write a summary of text A.</w:t>
      </w:r>
    </w:p>
    <w:p w:rsidR="003717A0" w:rsidRDefault="003717A0">
      <w:pPr>
        <w:rPr>
          <w:bCs/>
          <w:sz w:val="24"/>
        </w:rPr>
      </w:pPr>
      <w:r>
        <w:rPr>
          <w:bCs/>
          <w:sz w:val="24"/>
        </w:rPr>
        <w:t>3.Search and read more information about cloning development.</w:t>
      </w:r>
    </w:p>
    <w:p w:rsidR="003717A0" w:rsidRDefault="003717A0">
      <w:pPr>
        <w:rPr>
          <w:bCs/>
          <w:sz w:val="24"/>
        </w:rPr>
      </w:pPr>
    </w:p>
    <w:p w:rsidR="003717A0" w:rsidRDefault="003717A0">
      <w:pPr>
        <w:rPr>
          <w:bCs/>
          <w:sz w:val="24"/>
        </w:rPr>
      </w:pPr>
    </w:p>
    <w:p w:rsidR="003717A0" w:rsidRDefault="003717A0">
      <w:pPr>
        <w:pStyle w:val="af1"/>
        <w:jc w:val="left"/>
        <w:rPr>
          <w:bCs/>
        </w:rPr>
      </w:pPr>
      <w:r>
        <w:rPr>
          <w:bCs/>
        </w:rPr>
        <w:t>Unit 9 Premarital Agreement</w:t>
      </w:r>
    </w:p>
    <w:p w:rsidR="003717A0" w:rsidRDefault="003717A0">
      <w:pPr>
        <w:rPr>
          <w:bCs/>
          <w:sz w:val="24"/>
        </w:rPr>
      </w:pPr>
      <w:r>
        <w:rPr>
          <w:bCs/>
          <w:sz w:val="24"/>
        </w:rPr>
        <w:t>Teaching objectives:</w:t>
      </w:r>
    </w:p>
    <w:p w:rsidR="003717A0" w:rsidRDefault="003717A0">
      <w:pPr>
        <w:rPr>
          <w:bCs/>
          <w:sz w:val="24"/>
          <w:szCs w:val="24"/>
        </w:rPr>
      </w:pPr>
      <w:r>
        <w:rPr>
          <w:bCs/>
          <w:sz w:val="24"/>
          <w:szCs w:val="24"/>
        </w:rPr>
        <w:t xml:space="preserve">1. Get some useful information about </w:t>
      </w:r>
      <w:r>
        <w:rPr>
          <w:bCs/>
          <w:sz w:val="24"/>
          <w:szCs w:val="24"/>
          <w:u w:val="single"/>
        </w:rPr>
        <w:t>premarital agreements</w:t>
      </w:r>
      <w:r>
        <w:rPr>
          <w:bCs/>
          <w:sz w:val="24"/>
          <w:szCs w:val="24"/>
        </w:rPr>
        <w:t>.</w:t>
      </w:r>
    </w:p>
    <w:p w:rsidR="003717A0" w:rsidRDefault="003717A0">
      <w:pPr>
        <w:numPr>
          <w:ilvl w:val="0"/>
          <w:numId w:val="68"/>
        </w:numPr>
        <w:rPr>
          <w:bCs/>
          <w:sz w:val="24"/>
          <w:szCs w:val="24"/>
        </w:rPr>
      </w:pPr>
      <w:r>
        <w:rPr>
          <w:bCs/>
          <w:sz w:val="24"/>
          <w:szCs w:val="24"/>
        </w:rPr>
        <w:t xml:space="preserve">Know more about </w:t>
      </w:r>
      <w:r>
        <w:rPr>
          <w:bCs/>
          <w:sz w:val="24"/>
          <w:szCs w:val="24"/>
          <w:u w:val="single"/>
        </w:rPr>
        <w:t>some changes of traditional family structure</w:t>
      </w:r>
      <w:r>
        <w:rPr>
          <w:bCs/>
          <w:sz w:val="24"/>
          <w:szCs w:val="24"/>
        </w:rPr>
        <w:t>.</w:t>
      </w:r>
    </w:p>
    <w:p w:rsidR="003717A0" w:rsidRDefault="003717A0">
      <w:pPr>
        <w:numPr>
          <w:ilvl w:val="0"/>
          <w:numId w:val="68"/>
        </w:numPr>
        <w:rPr>
          <w:bCs/>
          <w:sz w:val="24"/>
          <w:szCs w:val="24"/>
        </w:rPr>
      </w:pPr>
      <w:r>
        <w:rPr>
          <w:bCs/>
          <w:sz w:val="24"/>
          <w:szCs w:val="24"/>
        </w:rPr>
        <w:t>Practice the writing technique of supporing a statement with particular examples.</w:t>
      </w:r>
    </w:p>
    <w:p w:rsidR="003717A0" w:rsidRDefault="003717A0">
      <w:pPr>
        <w:numPr>
          <w:ilvl w:val="0"/>
          <w:numId w:val="68"/>
        </w:numPr>
        <w:rPr>
          <w:bCs/>
          <w:sz w:val="24"/>
          <w:szCs w:val="24"/>
        </w:rPr>
      </w:pPr>
      <w:r>
        <w:rPr>
          <w:bCs/>
          <w:sz w:val="24"/>
          <w:szCs w:val="24"/>
        </w:rPr>
        <w:t>Grasp the important words and phrases presented in section A, section B, and exercises.</w:t>
      </w:r>
    </w:p>
    <w:p w:rsidR="003717A0" w:rsidRDefault="003717A0">
      <w:pPr>
        <w:rPr>
          <w:bCs/>
          <w:sz w:val="24"/>
          <w:szCs w:val="24"/>
        </w:rPr>
      </w:pPr>
    </w:p>
    <w:p w:rsidR="003717A0" w:rsidRDefault="003717A0">
      <w:pPr>
        <w:rPr>
          <w:bCs/>
          <w:sz w:val="24"/>
          <w:szCs w:val="24"/>
        </w:rPr>
      </w:pPr>
      <w:r>
        <w:rPr>
          <w:bCs/>
          <w:sz w:val="24"/>
          <w:szCs w:val="24"/>
        </w:rPr>
        <w:t>Time allotment (6 periods):</w:t>
      </w:r>
    </w:p>
    <w:p w:rsidR="003717A0" w:rsidRDefault="003717A0">
      <w:pPr>
        <w:rPr>
          <w:bCs/>
          <w:sz w:val="24"/>
          <w:szCs w:val="24"/>
        </w:rPr>
      </w:pPr>
      <w:r>
        <w:rPr>
          <w:bCs/>
          <w:sz w:val="24"/>
          <w:szCs w:val="24"/>
        </w:rPr>
        <w:t>1.1</w:t>
      </w:r>
      <w:r>
        <w:rPr>
          <w:bCs/>
          <w:sz w:val="24"/>
          <w:szCs w:val="24"/>
          <w:vertAlign w:val="superscript"/>
        </w:rPr>
        <w:t>st</w:t>
      </w:r>
      <w:r>
        <w:rPr>
          <w:bCs/>
          <w:sz w:val="24"/>
          <w:szCs w:val="24"/>
        </w:rPr>
        <w:t xml:space="preserve"> and 2</w:t>
      </w:r>
      <w:r>
        <w:rPr>
          <w:bCs/>
          <w:sz w:val="24"/>
          <w:szCs w:val="24"/>
          <w:vertAlign w:val="superscript"/>
        </w:rPr>
        <w:t>nd</w:t>
      </w:r>
      <w:r>
        <w:rPr>
          <w:bCs/>
          <w:sz w:val="24"/>
          <w:szCs w:val="24"/>
        </w:rPr>
        <w:t xml:space="preserve"> period: Text A study</w:t>
      </w:r>
      <w:r>
        <w:rPr>
          <w:rFonts w:hint="eastAsia"/>
          <w:bCs/>
          <w:sz w:val="24"/>
          <w:szCs w:val="24"/>
        </w:rPr>
        <w:t>：</w:t>
      </w:r>
    </w:p>
    <w:p w:rsidR="003717A0" w:rsidRDefault="003717A0">
      <w:pPr>
        <w:rPr>
          <w:bCs/>
          <w:sz w:val="24"/>
          <w:szCs w:val="24"/>
        </w:rPr>
      </w:pPr>
      <w:r>
        <w:rPr>
          <w:bCs/>
          <w:sz w:val="24"/>
          <w:szCs w:val="24"/>
        </w:rPr>
        <w:t xml:space="preserve">                  background information; cultural notes; text organization; </w:t>
      </w:r>
    </w:p>
    <w:p w:rsidR="003717A0" w:rsidRDefault="003717A0">
      <w:pPr>
        <w:ind w:firstLineChars="900" w:firstLine="2160"/>
        <w:rPr>
          <w:bCs/>
          <w:sz w:val="24"/>
          <w:szCs w:val="24"/>
        </w:rPr>
      </w:pPr>
      <w:r>
        <w:rPr>
          <w:bCs/>
          <w:sz w:val="24"/>
          <w:szCs w:val="24"/>
        </w:rPr>
        <w:t xml:space="preserve">words and structures </w:t>
      </w:r>
    </w:p>
    <w:p w:rsidR="003717A0" w:rsidRDefault="003717A0">
      <w:pPr>
        <w:rPr>
          <w:bCs/>
          <w:sz w:val="24"/>
          <w:szCs w:val="24"/>
        </w:rPr>
      </w:pPr>
      <w:r>
        <w:rPr>
          <w:bCs/>
          <w:sz w:val="24"/>
          <w:szCs w:val="24"/>
        </w:rPr>
        <w:t>2.3</w:t>
      </w:r>
      <w:r>
        <w:rPr>
          <w:bCs/>
          <w:sz w:val="24"/>
          <w:szCs w:val="24"/>
          <w:vertAlign w:val="superscript"/>
        </w:rPr>
        <w:t>rd</w:t>
      </w:r>
      <w:r>
        <w:rPr>
          <w:bCs/>
          <w:sz w:val="24"/>
          <w:szCs w:val="24"/>
        </w:rPr>
        <w:t xml:space="preserve"> and 4</w:t>
      </w:r>
      <w:r>
        <w:rPr>
          <w:bCs/>
          <w:sz w:val="24"/>
          <w:szCs w:val="24"/>
          <w:vertAlign w:val="superscript"/>
        </w:rPr>
        <w:t>th</w:t>
      </w:r>
      <w:r>
        <w:rPr>
          <w:bCs/>
          <w:sz w:val="24"/>
          <w:szCs w:val="24"/>
        </w:rPr>
        <w:t xml:space="preserve"> period: Text A study</w:t>
      </w:r>
      <w:r>
        <w:rPr>
          <w:rFonts w:hint="eastAsia"/>
          <w:bCs/>
          <w:sz w:val="24"/>
          <w:szCs w:val="24"/>
        </w:rPr>
        <w:t>：</w:t>
      </w:r>
    </w:p>
    <w:p w:rsidR="003717A0" w:rsidRDefault="003717A0">
      <w:pPr>
        <w:ind w:firstLineChars="800" w:firstLine="1920"/>
        <w:rPr>
          <w:bCs/>
          <w:sz w:val="24"/>
          <w:szCs w:val="24"/>
        </w:rPr>
      </w:pPr>
      <w:r>
        <w:rPr>
          <w:bCs/>
          <w:sz w:val="24"/>
          <w:szCs w:val="24"/>
        </w:rPr>
        <w:t>Review key language points; exercises after text A; essay writing;</w:t>
      </w:r>
    </w:p>
    <w:p w:rsidR="003717A0" w:rsidRDefault="003717A0">
      <w:pPr>
        <w:rPr>
          <w:bCs/>
          <w:sz w:val="24"/>
          <w:szCs w:val="24"/>
        </w:rPr>
      </w:pPr>
      <w:r>
        <w:rPr>
          <w:bCs/>
          <w:sz w:val="24"/>
          <w:szCs w:val="24"/>
        </w:rPr>
        <w:t>3.5</w:t>
      </w:r>
      <w:r>
        <w:rPr>
          <w:bCs/>
          <w:sz w:val="24"/>
          <w:szCs w:val="24"/>
          <w:vertAlign w:val="superscript"/>
        </w:rPr>
        <w:t>th</w:t>
      </w:r>
      <w:r>
        <w:rPr>
          <w:bCs/>
          <w:sz w:val="24"/>
          <w:szCs w:val="24"/>
        </w:rPr>
        <w:t xml:space="preserve"> and 6</w:t>
      </w:r>
      <w:r>
        <w:rPr>
          <w:bCs/>
          <w:sz w:val="24"/>
          <w:szCs w:val="24"/>
          <w:vertAlign w:val="superscript"/>
        </w:rPr>
        <w:t>th</w:t>
      </w:r>
      <w:r>
        <w:rPr>
          <w:bCs/>
          <w:sz w:val="24"/>
          <w:szCs w:val="24"/>
        </w:rPr>
        <w:t xml:space="preserve"> period: Text B study:</w:t>
      </w:r>
    </w:p>
    <w:p w:rsidR="003717A0" w:rsidRDefault="003717A0">
      <w:pPr>
        <w:rPr>
          <w:bCs/>
          <w:sz w:val="24"/>
          <w:szCs w:val="24"/>
        </w:rPr>
      </w:pPr>
      <w:r>
        <w:rPr>
          <w:bCs/>
          <w:sz w:val="24"/>
          <w:szCs w:val="24"/>
        </w:rPr>
        <w:t xml:space="preserve">                  cultural notes; words and structures </w:t>
      </w:r>
    </w:p>
    <w:p w:rsidR="003717A0" w:rsidRDefault="003717A0">
      <w:pPr>
        <w:rPr>
          <w:bCs/>
          <w:sz w:val="24"/>
          <w:szCs w:val="24"/>
        </w:rPr>
      </w:pPr>
    </w:p>
    <w:p w:rsidR="003717A0" w:rsidRDefault="003717A0">
      <w:pPr>
        <w:rPr>
          <w:bCs/>
          <w:sz w:val="24"/>
          <w:szCs w:val="24"/>
        </w:rPr>
      </w:pPr>
      <w:r>
        <w:rPr>
          <w:bCs/>
          <w:sz w:val="24"/>
          <w:szCs w:val="24"/>
        </w:rPr>
        <w:t>Answer questions after finishing reading Text A:</w:t>
      </w:r>
    </w:p>
    <w:p w:rsidR="003717A0" w:rsidRDefault="003717A0">
      <w:pPr>
        <w:rPr>
          <w:bCs/>
          <w:sz w:val="24"/>
          <w:szCs w:val="24"/>
        </w:rPr>
      </w:pPr>
      <w:r>
        <w:rPr>
          <w:bCs/>
          <w:sz w:val="24"/>
          <w:szCs w:val="24"/>
        </w:rPr>
        <w:t>1.What are prenups? Who needs to have prenups?</w:t>
      </w:r>
    </w:p>
    <w:p w:rsidR="003717A0" w:rsidRDefault="003717A0">
      <w:pPr>
        <w:rPr>
          <w:bCs/>
          <w:sz w:val="24"/>
          <w:szCs w:val="24"/>
        </w:rPr>
      </w:pPr>
      <w:r>
        <w:rPr>
          <w:bCs/>
          <w:sz w:val="24"/>
          <w:szCs w:val="24"/>
        </w:rPr>
        <w:t>2.What are some points to be taken care of regarding prenups?</w:t>
      </w:r>
    </w:p>
    <w:p w:rsidR="003717A0" w:rsidRDefault="003717A0">
      <w:pPr>
        <w:rPr>
          <w:bCs/>
          <w:sz w:val="24"/>
          <w:szCs w:val="24"/>
        </w:rPr>
      </w:pPr>
      <w:r>
        <w:rPr>
          <w:bCs/>
          <w:sz w:val="24"/>
          <w:szCs w:val="24"/>
        </w:rPr>
        <w:t>3.What is a general evaluation of prenups?</w:t>
      </w:r>
    </w:p>
    <w:p w:rsidR="003717A0" w:rsidRDefault="003717A0">
      <w:pPr>
        <w:rPr>
          <w:bCs/>
          <w:sz w:val="24"/>
        </w:rPr>
      </w:pPr>
    </w:p>
    <w:p w:rsidR="003717A0" w:rsidRDefault="003717A0">
      <w:pPr>
        <w:rPr>
          <w:bCs/>
          <w:szCs w:val="21"/>
        </w:rPr>
      </w:pPr>
      <w:r>
        <w:rPr>
          <w:bCs/>
          <w:sz w:val="24"/>
        </w:rPr>
        <w:t xml:space="preserve">Key words: </w:t>
      </w:r>
      <w:r>
        <w:rPr>
          <w:bCs/>
          <w:sz w:val="24"/>
          <w:szCs w:val="24"/>
        </w:rPr>
        <w:t>verify, propective, contest, sting, exposure, academy, estate, shield, enforce, forge, dispute, valid</w:t>
      </w:r>
      <w:r>
        <w:rPr>
          <w:bCs/>
          <w:szCs w:val="21"/>
        </w:rPr>
        <w:t xml:space="preserve"> </w:t>
      </w:r>
    </w:p>
    <w:p w:rsidR="003717A0" w:rsidRDefault="003717A0">
      <w:pPr>
        <w:rPr>
          <w:bCs/>
          <w:szCs w:val="21"/>
        </w:rPr>
      </w:pPr>
    </w:p>
    <w:p w:rsidR="003717A0" w:rsidRDefault="003717A0">
      <w:pPr>
        <w:rPr>
          <w:bCs/>
          <w:sz w:val="24"/>
        </w:rPr>
      </w:pPr>
      <w:r>
        <w:rPr>
          <w:bCs/>
          <w:sz w:val="24"/>
        </w:rPr>
        <w:t xml:space="preserve">Key phrases and expressions: </w:t>
      </w:r>
    </w:p>
    <w:p w:rsidR="003717A0" w:rsidRDefault="003717A0">
      <w:pPr>
        <w:rPr>
          <w:bCs/>
          <w:sz w:val="24"/>
        </w:rPr>
      </w:pPr>
      <w:r>
        <w:rPr>
          <w:bCs/>
          <w:sz w:val="24"/>
        </w:rPr>
        <w:t>1. work out</w:t>
      </w:r>
      <w:r>
        <w:rPr>
          <w:bCs/>
          <w:sz w:val="24"/>
        </w:rPr>
        <w:tab/>
        <w:t>2. store away/up</w:t>
      </w:r>
      <w:r>
        <w:rPr>
          <w:bCs/>
          <w:sz w:val="24"/>
        </w:rPr>
        <w:tab/>
        <w:t>3. insist on/upon</w:t>
      </w:r>
    </w:p>
    <w:p w:rsidR="003717A0" w:rsidRDefault="003717A0">
      <w:pPr>
        <w:rPr>
          <w:bCs/>
          <w:sz w:val="24"/>
        </w:rPr>
      </w:pPr>
      <w:r>
        <w:rPr>
          <w:bCs/>
          <w:sz w:val="24"/>
        </w:rPr>
        <w:t xml:space="preserve">4. fanacial assets </w:t>
      </w:r>
      <w:r>
        <w:rPr>
          <w:bCs/>
          <w:sz w:val="24"/>
        </w:rPr>
        <w:tab/>
        <w:t>5. make no mistakes about</w:t>
      </w:r>
      <w:r>
        <w:rPr>
          <w:rFonts w:hint="eastAsia"/>
          <w:bCs/>
          <w:sz w:val="24"/>
        </w:rPr>
        <w:t>…</w:t>
      </w:r>
      <w:r>
        <w:rPr>
          <w:bCs/>
          <w:sz w:val="24"/>
        </w:rPr>
        <w:tab/>
        <w:t>6. gain in</w:t>
      </w:r>
    </w:p>
    <w:p w:rsidR="003717A0" w:rsidRDefault="003717A0">
      <w:pPr>
        <w:rPr>
          <w:bCs/>
          <w:sz w:val="24"/>
        </w:rPr>
      </w:pPr>
      <w:r>
        <w:rPr>
          <w:bCs/>
          <w:sz w:val="24"/>
        </w:rPr>
        <w:t>7. community property</w:t>
      </w:r>
      <w:r>
        <w:rPr>
          <w:bCs/>
          <w:sz w:val="24"/>
        </w:rPr>
        <w:tab/>
        <w:t>8. make/hit the headlines</w:t>
      </w:r>
      <w:r>
        <w:rPr>
          <w:bCs/>
          <w:sz w:val="24"/>
        </w:rPr>
        <w:tab/>
        <w:t>9. pass on to</w:t>
      </w:r>
    </w:p>
    <w:p w:rsidR="003717A0" w:rsidRDefault="003717A0">
      <w:pPr>
        <w:rPr>
          <w:bCs/>
          <w:sz w:val="24"/>
        </w:rPr>
      </w:pPr>
      <w:r>
        <w:rPr>
          <w:bCs/>
          <w:sz w:val="24"/>
        </w:rPr>
        <w:t>10. call for</w:t>
      </w:r>
      <w:r>
        <w:rPr>
          <w:bCs/>
          <w:sz w:val="24"/>
        </w:rPr>
        <w:tab/>
        <w:t>11. be in line for/to do sth.</w:t>
      </w:r>
      <w:r>
        <w:rPr>
          <w:bCs/>
          <w:sz w:val="24"/>
        </w:rPr>
        <w:tab/>
        <w:t>12. under pressure</w:t>
      </w:r>
    </w:p>
    <w:p w:rsidR="003717A0" w:rsidRDefault="003717A0">
      <w:pPr>
        <w:rPr>
          <w:bCs/>
          <w:sz w:val="24"/>
        </w:rPr>
      </w:pPr>
      <w:r>
        <w:rPr>
          <w:bCs/>
          <w:sz w:val="24"/>
        </w:rPr>
        <w:t>13. draw up</w:t>
      </w:r>
      <w:r>
        <w:rPr>
          <w:bCs/>
          <w:sz w:val="24"/>
        </w:rPr>
        <w:tab/>
        <w:t>14. a sword hanging over one</w:t>
      </w:r>
      <w:r>
        <w:rPr>
          <w:rFonts w:hint="eastAsia"/>
          <w:bCs/>
          <w:sz w:val="24"/>
        </w:rPr>
        <w:t>’</w:t>
      </w:r>
      <w:r>
        <w:rPr>
          <w:bCs/>
          <w:sz w:val="24"/>
        </w:rPr>
        <w:t>s head</w:t>
      </w:r>
      <w:r>
        <w:rPr>
          <w:bCs/>
          <w:sz w:val="24"/>
        </w:rPr>
        <w:tab/>
        <w:t>15. send out</w:t>
      </w:r>
    </w:p>
    <w:p w:rsidR="003717A0" w:rsidRDefault="003717A0">
      <w:pPr>
        <w:rPr>
          <w:bCs/>
          <w:sz w:val="24"/>
        </w:rPr>
      </w:pPr>
      <w:r>
        <w:rPr>
          <w:bCs/>
          <w:sz w:val="24"/>
        </w:rPr>
        <w:t>16. take advice</w:t>
      </w:r>
      <w:r>
        <w:rPr>
          <w:bCs/>
          <w:sz w:val="24"/>
        </w:rPr>
        <w:tab/>
        <w:t>17. under one</w:t>
      </w:r>
      <w:r>
        <w:rPr>
          <w:rFonts w:hint="eastAsia"/>
          <w:bCs/>
          <w:sz w:val="24"/>
        </w:rPr>
        <w:t>’</w:t>
      </w:r>
      <w:r>
        <w:rPr>
          <w:bCs/>
          <w:sz w:val="24"/>
        </w:rPr>
        <w:t>s nose</w:t>
      </w:r>
      <w:r>
        <w:rPr>
          <w:bCs/>
          <w:sz w:val="24"/>
        </w:rPr>
        <w:tab/>
        <w:t>18. ague over/ about</w:t>
      </w:r>
    </w:p>
    <w:p w:rsidR="003717A0" w:rsidRDefault="003717A0">
      <w:pPr>
        <w:rPr>
          <w:bCs/>
          <w:sz w:val="24"/>
        </w:rPr>
      </w:pPr>
      <w:r>
        <w:rPr>
          <w:bCs/>
          <w:sz w:val="24"/>
        </w:rPr>
        <w:t>19. break out</w:t>
      </w:r>
      <w:r>
        <w:rPr>
          <w:bCs/>
          <w:sz w:val="24"/>
        </w:rPr>
        <w:tab/>
        <w:t>20. just about</w:t>
      </w:r>
      <w:r>
        <w:rPr>
          <w:bCs/>
          <w:sz w:val="24"/>
        </w:rPr>
        <w:tab/>
        <w:t>21. court-shopping</w:t>
      </w:r>
    </w:p>
    <w:p w:rsidR="003717A0" w:rsidRDefault="003717A0">
      <w:pPr>
        <w:rPr>
          <w:bCs/>
          <w:sz w:val="24"/>
        </w:rPr>
      </w:pPr>
      <w:r>
        <w:rPr>
          <w:bCs/>
          <w:sz w:val="24"/>
        </w:rPr>
        <w:t>22. enter into</w:t>
      </w:r>
      <w:r>
        <w:rPr>
          <w:bCs/>
          <w:sz w:val="24"/>
        </w:rPr>
        <w:tab/>
        <w:t>23. have no bearing on</w:t>
      </w:r>
      <w:r>
        <w:rPr>
          <w:bCs/>
          <w:sz w:val="24"/>
        </w:rPr>
        <w:tab/>
        <w:t>24. end up</w:t>
      </w:r>
    </w:p>
    <w:p w:rsidR="003717A0" w:rsidRDefault="003717A0">
      <w:pPr>
        <w:rPr>
          <w:bCs/>
          <w:sz w:val="24"/>
        </w:rPr>
      </w:pPr>
      <w:r>
        <w:rPr>
          <w:bCs/>
          <w:sz w:val="24"/>
        </w:rPr>
        <w:lastRenderedPageBreak/>
        <w:t>25. lay sth. bear</w:t>
      </w:r>
      <w:r>
        <w:rPr>
          <w:bCs/>
          <w:sz w:val="24"/>
        </w:rPr>
        <w:tab/>
        <w:t>26. shed/throw/cast light on</w:t>
      </w:r>
      <w:r>
        <w:rPr>
          <w:bCs/>
          <w:sz w:val="24"/>
        </w:rPr>
        <w:tab/>
      </w:r>
    </w:p>
    <w:p w:rsidR="003717A0" w:rsidRDefault="003717A0">
      <w:pPr>
        <w:rPr>
          <w:bCs/>
          <w:sz w:val="24"/>
        </w:rPr>
      </w:pPr>
    </w:p>
    <w:p w:rsidR="003717A0" w:rsidRDefault="003717A0">
      <w:pPr>
        <w:rPr>
          <w:bCs/>
          <w:sz w:val="24"/>
        </w:rPr>
      </w:pPr>
      <w:r>
        <w:rPr>
          <w:bCs/>
          <w:sz w:val="24"/>
        </w:rPr>
        <w:t>Key structures:</w:t>
      </w:r>
    </w:p>
    <w:p w:rsidR="003717A0" w:rsidRDefault="003717A0">
      <w:pPr>
        <w:ind w:left="360" w:hangingChars="150" w:hanging="360"/>
        <w:rPr>
          <w:bCs/>
          <w:sz w:val="24"/>
          <w:szCs w:val="24"/>
        </w:rPr>
      </w:pPr>
      <w:r>
        <w:rPr>
          <w:bCs/>
          <w:sz w:val="24"/>
          <w:szCs w:val="24"/>
        </w:rPr>
        <w:t xml:space="preserve">1. The laws are based </w:t>
      </w:r>
      <w:r>
        <w:rPr>
          <w:bCs/>
          <w:sz w:val="24"/>
          <w:szCs w:val="24"/>
          <w:u w:val="single"/>
        </w:rPr>
        <w:t>either</w:t>
      </w:r>
      <w:r>
        <w:rPr>
          <w:bCs/>
          <w:sz w:val="24"/>
          <w:szCs w:val="24"/>
        </w:rPr>
        <w:t xml:space="preserve"> on “community property” (split evenly) </w:t>
      </w:r>
      <w:r>
        <w:rPr>
          <w:bCs/>
          <w:sz w:val="24"/>
          <w:szCs w:val="24"/>
          <w:u w:val="single"/>
        </w:rPr>
        <w:t>or</w:t>
      </w:r>
      <w:r>
        <w:rPr>
          <w:bCs/>
          <w:sz w:val="24"/>
          <w:szCs w:val="24"/>
        </w:rPr>
        <w:t xml:space="preserve"> on “reasonable distribution”. (L15)</w:t>
      </w:r>
    </w:p>
    <w:p w:rsidR="003717A0" w:rsidRDefault="003717A0">
      <w:pPr>
        <w:ind w:left="360" w:hangingChars="150" w:hanging="360"/>
        <w:rPr>
          <w:bCs/>
          <w:sz w:val="24"/>
          <w:szCs w:val="24"/>
        </w:rPr>
      </w:pPr>
      <w:r>
        <w:rPr>
          <w:bCs/>
          <w:sz w:val="24"/>
          <w:szCs w:val="24"/>
        </w:rPr>
        <w:t xml:space="preserve">2. A typical candidate for a prenuptial agreement </w:t>
      </w:r>
      <w:r>
        <w:rPr>
          <w:bCs/>
          <w:sz w:val="24"/>
          <w:szCs w:val="24"/>
          <w:u w:val="single"/>
        </w:rPr>
        <w:t>is a man who</w:t>
      </w:r>
      <w:r>
        <w:rPr>
          <w:bCs/>
          <w:sz w:val="24"/>
          <w:szCs w:val="24"/>
        </w:rPr>
        <w:t xml:space="preserve"> has accumulated considerable wealth,</w:t>
      </w:r>
      <w:r>
        <w:rPr>
          <w:rFonts w:hint="eastAsia"/>
          <w:bCs/>
          <w:sz w:val="24"/>
          <w:szCs w:val="24"/>
        </w:rPr>
        <w:t>…</w:t>
      </w:r>
      <w:r>
        <w:rPr>
          <w:bCs/>
          <w:sz w:val="24"/>
          <w:szCs w:val="24"/>
        </w:rPr>
        <w:t xml:space="preserve"> (L25) </w:t>
      </w:r>
    </w:p>
    <w:p w:rsidR="003717A0" w:rsidRDefault="003717A0">
      <w:pPr>
        <w:ind w:firstLineChars="250" w:firstLine="600"/>
        <w:rPr>
          <w:bCs/>
          <w:sz w:val="24"/>
          <w:szCs w:val="24"/>
        </w:rPr>
      </w:pPr>
      <w:r>
        <w:rPr>
          <w:bCs/>
          <w:sz w:val="24"/>
          <w:szCs w:val="24"/>
        </w:rPr>
        <w:t>…is  the one  who / that + clause   (……</w:t>
      </w:r>
      <w:r>
        <w:rPr>
          <w:rFonts w:hint="eastAsia"/>
          <w:bCs/>
          <w:sz w:val="24"/>
          <w:szCs w:val="24"/>
        </w:rPr>
        <w:t>是一种</w:t>
      </w:r>
      <w:r>
        <w:rPr>
          <w:bCs/>
          <w:sz w:val="24"/>
          <w:szCs w:val="24"/>
        </w:rPr>
        <w:t>……</w:t>
      </w:r>
      <w:r>
        <w:rPr>
          <w:rFonts w:hint="eastAsia"/>
          <w:bCs/>
          <w:sz w:val="24"/>
          <w:szCs w:val="24"/>
        </w:rPr>
        <w:t>的人</w:t>
      </w:r>
      <w:r>
        <w:rPr>
          <w:bCs/>
          <w:sz w:val="24"/>
          <w:szCs w:val="24"/>
        </w:rPr>
        <w:t xml:space="preserve"> /</w:t>
      </w:r>
      <w:r>
        <w:rPr>
          <w:rFonts w:hint="eastAsia"/>
          <w:bCs/>
          <w:sz w:val="24"/>
          <w:szCs w:val="24"/>
        </w:rPr>
        <w:t>物</w:t>
      </w:r>
      <w:r>
        <w:rPr>
          <w:bCs/>
          <w:sz w:val="24"/>
          <w:szCs w:val="24"/>
        </w:rPr>
        <w:t>)</w:t>
      </w:r>
    </w:p>
    <w:p w:rsidR="003717A0" w:rsidRDefault="003717A0">
      <w:pPr>
        <w:ind w:left="240" w:hangingChars="100" w:hanging="240"/>
        <w:rPr>
          <w:bCs/>
          <w:sz w:val="24"/>
          <w:szCs w:val="24"/>
        </w:rPr>
      </w:pPr>
      <w:r>
        <w:rPr>
          <w:bCs/>
          <w:sz w:val="24"/>
          <w:szCs w:val="24"/>
        </w:rPr>
        <w:t xml:space="preserve">3. But </w:t>
      </w:r>
      <w:r>
        <w:rPr>
          <w:bCs/>
          <w:sz w:val="24"/>
          <w:szCs w:val="24"/>
          <w:u w:val="single"/>
        </w:rPr>
        <w:t>never</w:t>
      </w:r>
      <w:r>
        <w:rPr>
          <w:bCs/>
          <w:sz w:val="24"/>
          <w:szCs w:val="24"/>
        </w:rPr>
        <w:t xml:space="preserve">, ever, warn marriage law consultants, </w:t>
      </w:r>
      <w:r>
        <w:rPr>
          <w:bCs/>
          <w:sz w:val="24"/>
          <w:szCs w:val="24"/>
          <w:u w:val="single"/>
        </w:rPr>
        <w:t>should you</w:t>
      </w:r>
      <w:r>
        <w:rPr>
          <w:bCs/>
          <w:sz w:val="24"/>
          <w:szCs w:val="24"/>
        </w:rPr>
        <w:t xml:space="preserve"> use the same lawyer as your future spouse does.. (L41)</w:t>
      </w:r>
    </w:p>
    <w:p w:rsidR="003717A0" w:rsidRDefault="003717A0">
      <w:pPr>
        <w:ind w:left="240" w:hangingChars="100" w:hanging="240"/>
        <w:rPr>
          <w:bCs/>
          <w:sz w:val="24"/>
          <w:szCs w:val="24"/>
        </w:rPr>
      </w:pPr>
      <w:r>
        <w:rPr>
          <w:bCs/>
          <w:sz w:val="24"/>
          <w:szCs w:val="24"/>
        </w:rPr>
        <w:t xml:space="preserve">  nowhere, no longer, hardly, little, few, seldom, rarely, barely</w:t>
      </w:r>
      <w:r>
        <w:rPr>
          <w:rFonts w:hint="eastAsia"/>
          <w:bCs/>
          <w:sz w:val="24"/>
          <w:szCs w:val="24"/>
        </w:rPr>
        <w:t>等表示否定意义的副词位于句首时，句子通常要部分倒装，即：助动词或情态动词位于主语之前。</w:t>
      </w:r>
    </w:p>
    <w:p w:rsidR="003717A0" w:rsidRDefault="003717A0">
      <w:pPr>
        <w:rPr>
          <w:bCs/>
          <w:sz w:val="24"/>
        </w:rPr>
      </w:pPr>
      <w:r>
        <w:rPr>
          <w:bCs/>
          <w:sz w:val="24"/>
        </w:rPr>
        <w:t>Topic for writing:</w:t>
      </w:r>
    </w:p>
    <w:p w:rsidR="003717A0" w:rsidRDefault="003717A0">
      <w:pPr>
        <w:ind w:left="1200" w:hangingChars="500" w:hanging="1200"/>
        <w:rPr>
          <w:bCs/>
          <w:sz w:val="24"/>
          <w:szCs w:val="24"/>
        </w:rPr>
      </w:pPr>
      <w:r>
        <w:rPr>
          <w:bCs/>
          <w:sz w:val="24"/>
          <w:szCs w:val="24"/>
        </w:rPr>
        <w:t>Directions: You are allowed 30 minutes to write a composition with on the topic My Views on Premarital agreements. You should write at least 130 words, and base your composition on the outline (given in Chinese) below:</w:t>
      </w:r>
    </w:p>
    <w:p w:rsidR="003717A0" w:rsidRDefault="003717A0">
      <w:pPr>
        <w:numPr>
          <w:ilvl w:val="0"/>
          <w:numId w:val="69"/>
        </w:numPr>
        <w:rPr>
          <w:bCs/>
          <w:sz w:val="24"/>
          <w:szCs w:val="24"/>
        </w:rPr>
      </w:pPr>
      <w:r>
        <w:rPr>
          <w:rFonts w:hint="eastAsia"/>
          <w:bCs/>
          <w:sz w:val="24"/>
          <w:szCs w:val="24"/>
        </w:rPr>
        <w:t>婚前协议现象当下开始流行；</w:t>
      </w:r>
    </w:p>
    <w:p w:rsidR="003717A0" w:rsidRDefault="003717A0">
      <w:pPr>
        <w:numPr>
          <w:ilvl w:val="0"/>
          <w:numId w:val="69"/>
        </w:numPr>
        <w:rPr>
          <w:bCs/>
          <w:sz w:val="24"/>
          <w:szCs w:val="24"/>
        </w:rPr>
      </w:pPr>
      <w:r>
        <w:rPr>
          <w:rFonts w:hint="eastAsia"/>
          <w:bCs/>
          <w:sz w:val="24"/>
          <w:szCs w:val="24"/>
        </w:rPr>
        <w:t>人们对婚前协议看法不一；</w:t>
      </w:r>
    </w:p>
    <w:p w:rsidR="003717A0" w:rsidRDefault="003717A0">
      <w:pPr>
        <w:numPr>
          <w:ilvl w:val="0"/>
          <w:numId w:val="69"/>
        </w:numPr>
        <w:rPr>
          <w:bCs/>
          <w:sz w:val="24"/>
          <w:szCs w:val="24"/>
        </w:rPr>
      </w:pPr>
      <w:r>
        <w:rPr>
          <w:rFonts w:hint="eastAsia"/>
          <w:bCs/>
          <w:sz w:val="24"/>
          <w:szCs w:val="24"/>
        </w:rPr>
        <w:t>我的看法。</w:t>
      </w:r>
    </w:p>
    <w:p w:rsidR="003717A0" w:rsidRDefault="003717A0">
      <w:pPr>
        <w:rPr>
          <w:bCs/>
          <w:sz w:val="24"/>
          <w:szCs w:val="24"/>
        </w:rPr>
      </w:pPr>
    </w:p>
    <w:p w:rsidR="003717A0" w:rsidRDefault="003717A0">
      <w:pPr>
        <w:rPr>
          <w:bCs/>
          <w:sz w:val="24"/>
          <w:szCs w:val="24"/>
        </w:rPr>
      </w:pPr>
      <w:r>
        <w:rPr>
          <w:bCs/>
          <w:sz w:val="24"/>
          <w:szCs w:val="24"/>
        </w:rPr>
        <w:t>Additional work:</w:t>
      </w:r>
    </w:p>
    <w:p w:rsidR="003717A0" w:rsidRDefault="003717A0">
      <w:pPr>
        <w:rPr>
          <w:bCs/>
          <w:sz w:val="24"/>
          <w:szCs w:val="24"/>
        </w:rPr>
      </w:pPr>
      <w:r>
        <w:rPr>
          <w:bCs/>
          <w:sz w:val="24"/>
          <w:szCs w:val="24"/>
        </w:rPr>
        <w:t>1.Recite the first two paragraphs in Text A.</w:t>
      </w:r>
    </w:p>
    <w:p w:rsidR="003717A0" w:rsidRDefault="003717A0">
      <w:pPr>
        <w:rPr>
          <w:bCs/>
          <w:sz w:val="24"/>
          <w:szCs w:val="24"/>
        </w:rPr>
      </w:pPr>
      <w:r>
        <w:rPr>
          <w:bCs/>
          <w:sz w:val="24"/>
          <w:szCs w:val="24"/>
        </w:rPr>
        <w:t>2.Summarize the main idea of Text A.</w:t>
      </w:r>
    </w:p>
    <w:p w:rsidR="003717A0" w:rsidRDefault="003717A0">
      <w:pPr>
        <w:rPr>
          <w:bCs/>
          <w:sz w:val="24"/>
          <w:szCs w:val="24"/>
        </w:rPr>
      </w:pPr>
      <w:r>
        <w:rPr>
          <w:bCs/>
          <w:sz w:val="24"/>
          <w:szCs w:val="24"/>
        </w:rPr>
        <w:t xml:space="preserve">3.Discuss the benefits of traditional families. </w:t>
      </w: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pStyle w:val="af1"/>
        <w:jc w:val="left"/>
        <w:rPr>
          <w:bCs/>
        </w:rPr>
      </w:pPr>
      <w:r>
        <w:rPr>
          <w:bCs/>
        </w:rPr>
        <w:t>Unit 10 The Challenging Friend I Didn’t Know</w:t>
      </w:r>
    </w:p>
    <w:p w:rsidR="003717A0" w:rsidRDefault="003717A0">
      <w:pPr>
        <w:jc w:val="center"/>
        <w:rPr>
          <w:bCs/>
          <w:sz w:val="24"/>
        </w:rPr>
      </w:pPr>
    </w:p>
    <w:p w:rsidR="003717A0" w:rsidRDefault="003717A0">
      <w:pPr>
        <w:rPr>
          <w:bCs/>
          <w:sz w:val="24"/>
        </w:rPr>
      </w:pPr>
      <w:r>
        <w:rPr>
          <w:bCs/>
          <w:sz w:val="24"/>
        </w:rPr>
        <w:t>Teaching objectives:</w:t>
      </w:r>
    </w:p>
    <w:p w:rsidR="003717A0" w:rsidRDefault="003717A0">
      <w:pPr>
        <w:rPr>
          <w:bCs/>
          <w:sz w:val="24"/>
        </w:rPr>
      </w:pPr>
      <w:r>
        <w:rPr>
          <w:bCs/>
          <w:sz w:val="24"/>
        </w:rPr>
        <w:t xml:space="preserve">1.Know more about </w:t>
      </w:r>
      <w:r>
        <w:rPr>
          <w:bCs/>
          <w:sz w:val="24"/>
          <w:u w:val="single"/>
        </w:rPr>
        <w:t xml:space="preserve">the benefits </w:t>
      </w:r>
      <w:r>
        <w:rPr>
          <w:bCs/>
          <w:sz w:val="24"/>
        </w:rPr>
        <w:t>that challenge between friends could bring about.</w:t>
      </w:r>
    </w:p>
    <w:p w:rsidR="003717A0" w:rsidRDefault="003717A0">
      <w:pPr>
        <w:rPr>
          <w:bCs/>
          <w:sz w:val="24"/>
        </w:rPr>
      </w:pPr>
      <w:r>
        <w:rPr>
          <w:bCs/>
          <w:sz w:val="24"/>
        </w:rPr>
        <w:t xml:space="preserve">2.Get some useful information about </w:t>
      </w:r>
      <w:r>
        <w:rPr>
          <w:bCs/>
          <w:sz w:val="24"/>
          <w:u w:val="single"/>
        </w:rPr>
        <w:t>the value of a good friend</w:t>
      </w:r>
      <w:r>
        <w:rPr>
          <w:bCs/>
          <w:sz w:val="24"/>
        </w:rPr>
        <w:t>.</w:t>
      </w:r>
    </w:p>
    <w:p w:rsidR="003717A0" w:rsidRDefault="003717A0">
      <w:pPr>
        <w:rPr>
          <w:bCs/>
          <w:sz w:val="24"/>
        </w:rPr>
      </w:pPr>
      <w:r>
        <w:rPr>
          <w:bCs/>
          <w:sz w:val="24"/>
        </w:rPr>
        <w:t>3.Practice the writing technique of comparison and contrast.</w:t>
      </w:r>
    </w:p>
    <w:p w:rsidR="003717A0" w:rsidRDefault="003717A0">
      <w:pPr>
        <w:rPr>
          <w:bCs/>
          <w:sz w:val="24"/>
        </w:rPr>
      </w:pPr>
      <w:r>
        <w:rPr>
          <w:bCs/>
          <w:sz w:val="24"/>
        </w:rPr>
        <w:t>4.Grasp the important words and phrases presented in section A, section B, and exercises.</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firstLineChars="900" w:firstLine="2160"/>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lastRenderedPageBreak/>
        <w:t>Answer questions after finishing reading Text A:</w:t>
      </w:r>
    </w:p>
    <w:p w:rsidR="003717A0" w:rsidRDefault="003717A0">
      <w:pPr>
        <w:rPr>
          <w:bCs/>
          <w:sz w:val="24"/>
        </w:rPr>
      </w:pPr>
      <w:r>
        <w:rPr>
          <w:bCs/>
          <w:sz w:val="24"/>
        </w:rPr>
        <w:t>1.What was the difference between John and the author during the time of schooling?</w:t>
      </w:r>
    </w:p>
    <w:p w:rsidR="003717A0" w:rsidRDefault="003717A0">
      <w:pPr>
        <w:rPr>
          <w:bCs/>
          <w:sz w:val="24"/>
        </w:rPr>
      </w:pPr>
      <w:r>
        <w:rPr>
          <w:bCs/>
          <w:sz w:val="24"/>
        </w:rPr>
        <w:t>2.Which fields were both friends successful in respectively?</w:t>
      </w:r>
    </w:p>
    <w:p w:rsidR="003717A0" w:rsidRDefault="003717A0">
      <w:pPr>
        <w:rPr>
          <w:bCs/>
          <w:sz w:val="24"/>
        </w:rPr>
      </w:pPr>
      <w:r>
        <w:rPr>
          <w:bCs/>
          <w:sz w:val="24"/>
        </w:rPr>
        <w:t>3.In what way did John feel subordinate to the author later on?</w:t>
      </w:r>
    </w:p>
    <w:p w:rsidR="003717A0" w:rsidRDefault="003717A0">
      <w:pPr>
        <w:rPr>
          <w:bCs/>
          <w:sz w:val="24"/>
        </w:rPr>
      </w:pPr>
    </w:p>
    <w:p w:rsidR="003717A0" w:rsidRDefault="003717A0">
      <w:pPr>
        <w:rPr>
          <w:bCs/>
          <w:sz w:val="24"/>
        </w:rPr>
      </w:pPr>
      <w:r>
        <w:rPr>
          <w:bCs/>
          <w:sz w:val="24"/>
        </w:rPr>
        <w:t>Key words:cruise, slam, dread, extension, altitude, harness, solar, dynamic, broaden, impose, undersized, tension</w:t>
      </w:r>
    </w:p>
    <w:p w:rsidR="003717A0" w:rsidRDefault="003717A0">
      <w:pPr>
        <w:rPr>
          <w:bCs/>
          <w:sz w:val="24"/>
        </w:rPr>
      </w:pPr>
    </w:p>
    <w:p w:rsidR="003717A0" w:rsidRDefault="003717A0">
      <w:pPr>
        <w:rPr>
          <w:bCs/>
          <w:sz w:val="24"/>
        </w:rPr>
      </w:pPr>
      <w:r>
        <w:rPr>
          <w:bCs/>
          <w:sz w:val="24"/>
        </w:rPr>
        <w:t xml:space="preserve">Key phrases and expressions: </w:t>
      </w:r>
    </w:p>
    <w:p w:rsidR="003717A0" w:rsidRDefault="003717A0">
      <w:pPr>
        <w:rPr>
          <w:bCs/>
          <w:sz w:val="24"/>
        </w:rPr>
      </w:pPr>
      <w:r>
        <w:rPr>
          <w:bCs/>
          <w:sz w:val="24"/>
        </w:rPr>
        <w:t>1. to be free with</w:t>
      </w:r>
      <w:r>
        <w:rPr>
          <w:bCs/>
          <w:sz w:val="24"/>
        </w:rPr>
        <w:tab/>
        <w:t>2. excuses for misdoings</w:t>
      </w:r>
      <w:r>
        <w:rPr>
          <w:bCs/>
          <w:sz w:val="24"/>
        </w:rPr>
        <w:tab/>
        <w:t>3. refer to… as</w:t>
      </w:r>
    </w:p>
    <w:p w:rsidR="003717A0" w:rsidRDefault="003717A0">
      <w:pPr>
        <w:rPr>
          <w:bCs/>
          <w:sz w:val="24"/>
        </w:rPr>
      </w:pPr>
      <w:r>
        <w:rPr>
          <w:bCs/>
          <w:sz w:val="24"/>
        </w:rPr>
        <w:t>4. do… with clarity</w:t>
      </w:r>
      <w:r>
        <w:rPr>
          <w:bCs/>
          <w:sz w:val="24"/>
        </w:rPr>
        <w:tab/>
        <w:t>5. take to</w:t>
      </w:r>
      <w:r>
        <w:rPr>
          <w:bCs/>
          <w:sz w:val="24"/>
        </w:rPr>
        <w:tab/>
        <w:t>6. like a duck to water</w:t>
      </w:r>
    </w:p>
    <w:p w:rsidR="003717A0" w:rsidRDefault="003717A0">
      <w:pPr>
        <w:rPr>
          <w:bCs/>
          <w:sz w:val="24"/>
        </w:rPr>
      </w:pPr>
      <w:r>
        <w:rPr>
          <w:bCs/>
          <w:sz w:val="24"/>
        </w:rPr>
        <w:t>7. to deal expertly with sth.</w:t>
      </w:r>
      <w:r>
        <w:rPr>
          <w:bCs/>
          <w:sz w:val="24"/>
        </w:rPr>
        <w:tab/>
        <w:t>8. cruise through</w:t>
      </w:r>
      <w:r>
        <w:rPr>
          <w:bCs/>
          <w:sz w:val="24"/>
        </w:rPr>
        <w:tab/>
        <w:t>9. slam one’s head against a wall</w:t>
      </w:r>
    </w:p>
    <w:p w:rsidR="003717A0" w:rsidRDefault="003717A0">
      <w:pPr>
        <w:rPr>
          <w:bCs/>
          <w:sz w:val="24"/>
        </w:rPr>
      </w:pPr>
      <w:r>
        <w:rPr>
          <w:bCs/>
          <w:sz w:val="24"/>
        </w:rPr>
        <w:t>10. by word of mouth</w:t>
      </w:r>
      <w:r>
        <w:rPr>
          <w:bCs/>
          <w:sz w:val="24"/>
        </w:rPr>
        <w:tab/>
        <w:t>11. keep sb. up to date with sth.</w:t>
      </w:r>
      <w:r>
        <w:rPr>
          <w:bCs/>
          <w:sz w:val="24"/>
        </w:rPr>
        <w:tab/>
        <w:t>12. to mind nothing else</w:t>
      </w:r>
    </w:p>
    <w:p w:rsidR="003717A0" w:rsidRDefault="003717A0">
      <w:pPr>
        <w:rPr>
          <w:bCs/>
          <w:sz w:val="24"/>
        </w:rPr>
      </w:pPr>
      <w:r>
        <w:rPr>
          <w:bCs/>
          <w:sz w:val="24"/>
        </w:rPr>
        <w:t>13. to see mention of sb. in the press</w:t>
      </w:r>
      <w:r>
        <w:rPr>
          <w:bCs/>
          <w:sz w:val="24"/>
        </w:rPr>
        <w:tab/>
        <w:t>14. in one’s own line</w:t>
      </w:r>
      <w:r>
        <w:rPr>
          <w:bCs/>
          <w:sz w:val="24"/>
        </w:rPr>
        <w:tab/>
        <w:t xml:space="preserve">15. a streak of </w:t>
      </w:r>
    </w:p>
    <w:p w:rsidR="003717A0" w:rsidRDefault="003717A0">
      <w:pPr>
        <w:rPr>
          <w:bCs/>
          <w:sz w:val="24"/>
        </w:rPr>
      </w:pPr>
      <w:r>
        <w:rPr>
          <w:bCs/>
          <w:sz w:val="24"/>
        </w:rPr>
        <w:t>16. without a single failure</w:t>
      </w:r>
      <w:r>
        <w:rPr>
          <w:bCs/>
          <w:sz w:val="24"/>
        </w:rPr>
        <w:tab/>
        <w:t xml:space="preserve">17. an imposing specimen of a man </w:t>
      </w:r>
      <w:r>
        <w:rPr>
          <w:bCs/>
          <w:sz w:val="24"/>
        </w:rPr>
        <w:tab/>
      </w:r>
    </w:p>
    <w:p w:rsidR="003717A0" w:rsidRDefault="003717A0">
      <w:pPr>
        <w:rPr>
          <w:bCs/>
          <w:sz w:val="24"/>
        </w:rPr>
      </w:pPr>
      <w:r>
        <w:rPr>
          <w:bCs/>
          <w:sz w:val="24"/>
        </w:rPr>
        <w:t>18. to kill oneself at sth.   19. to substitute A for B</w:t>
      </w:r>
      <w:r>
        <w:rPr>
          <w:bCs/>
          <w:sz w:val="24"/>
        </w:rPr>
        <w:tab/>
      </w:r>
    </w:p>
    <w:p w:rsidR="003717A0" w:rsidRDefault="003717A0">
      <w:pPr>
        <w:rPr>
          <w:bCs/>
          <w:sz w:val="24"/>
        </w:rPr>
      </w:pPr>
      <w:r>
        <w:rPr>
          <w:bCs/>
          <w:sz w:val="24"/>
        </w:rPr>
        <w:t>20. dawn on/upon</w:t>
      </w:r>
      <w:r>
        <w:rPr>
          <w:bCs/>
          <w:sz w:val="24"/>
        </w:rPr>
        <w:tab/>
        <w:t>21. being what sb is</w:t>
      </w:r>
    </w:p>
    <w:p w:rsidR="003717A0" w:rsidRDefault="003717A0">
      <w:pPr>
        <w:rPr>
          <w:bCs/>
          <w:sz w:val="24"/>
        </w:rPr>
      </w:pPr>
      <w:r>
        <w:rPr>
          <w:bCs/>
          <w:sz w:val="24"/>
        </w:rPr>
        <w:t>22. to the memory of</w:t>
      </w:r>
      <w:r>
        <w:rPr>
          <w:bCs/>
          <w:sz w:val="24"/>
        </w:rPr>
        <w:tab/>
      </w:r>
      <w:r>
        <w:rPr>
          <w:bCs/>
          <w:sz w:val="24"/>
        </w:rPr>
        <w:tab/>
      </w:r>
    </w:p>
    <w:p w:rsidR="003717A0" w:rsidRDefault="003717A0">
      <w:pPr>
        <w:rPr>
          <w:bCs/>
          <w:sz w:val="24"/>
        </w:rPr>
      </w:pPr>
    </w:p>
    <w:p w:rsidR="003717A0" w:rsidRDefault="003717A0">
      <w:pPr>
        <w:rPr>
          <w:bCs/>
          <w:sz w:val="24"/>
        </w:rPr>
      </w:pPr>
      <w:r>
        <w:rPr>
          <w:bCs/>
          <w:sz w:val="24"/>
        </w:rPr>
        <w:t>Key structures in Text A:</w:t>
      </w:r>
    </w:p>
    <w:p w:rsidR="003717A0" w:rsidRDefault="003717A0">
      <w:pPr>
        <w:rPr>
          <w:bCs/>
          <w:sz w:val="24"/>
        </w:rPr>
      </w:pPr>
      <w:r>
        <w:rPr>
          <w:bCs/>
          <w:sz w:val="24"/>
        </w:rPr>
        <w:t xml:space="preserve">1. </w:t>
      </w:r>
      <w:r>
        <w:rPr>
          <w:bCs/>
          <w:sz w:val="24"/>
          <w:u w:val="single"/>
        </w:rPr>
        <w:t>Whatever</w:t>
      </w:r>
      <w:r>
        <w:rPr>
          <w:bCs/>
          <w:sz w:val="24"/>
        </w:rPr>
        <w:t xml:space="preserve"> they say, I am always horribly embarrassed. (L39)</w:t>
      </w:r>
    </w:p>
    <w:p w:rsidR="003717A0" w:rsidRDefault="003717A0">
      <w:pPr>
        <w:rPr>
          <w:bCs/>
          <w:sz w:val="24"/>
        </w:rPr>
      </w:pPr>
      <w:r>
        <w:rPr>
          <w:bCs/>
          <w:sz w:val="24"/>
        </w:rPr>
        <w:t>2.  Substitute writing stories for doing sums and you have exactly my story.(L62)</w:t>
      </w:r>
    </w:p>
    <w:p w:rsidR="003717A0" w:rsidRDefault="003717A0">
      <w:pPr>
        <w:ind w:leftChars="150" w:left="315"/>
        <w:rPr>
          <w:bCs/>
          <w:sz w:val="24"/>
        </w:rPr>
      </w:pPr>
      <w:r>
        <w:rPr>
          <w:bCs/>
          <w:sz w:val="24"/>
        </w:rPr>
        <w:t>Note that “and” can be used to connect two clauses, the second of which refers to sth. that results from the first.</w:t>
      </w:r>
    </w:p>
    <w:p w:rsidR="003717A0" w:rsidRDefault="003717A0">
      <w:pPr>
        <w:rPr>
          <w:bCs/>
          <w:sz w:val="24"/>
        </w:rPr>
      </w:pPr>
    </w:p>
    <w:p w:rsidR="003717A0" w:rsidRDefault="003717A0">
      <w:pPr>
        <w:rPr>
          <w:bCs/>
          <w:sz w:val="24"/>
        </w:rPr>
      </w:pPr>
      <w:r>
        <w:rPr>
          <w:bCs/>
          <w:sz w:val="24"/>
        </w:rPr>
        <w:t xml:space="preserve">Topic for writing: </w:t>
      </w:r>
    </w:p>
    <w:p w:rsidR="003717A0" w:rsidRDefault="003717A0">
      <w:pPr>
        <w:rPr>
          <w:bCs/>
          <w:sz w:val="24"/>
          <w:u w:val="single"/>
        </w:rPr>
      </w:pPr>
      <w:r>
        <w:rPr>
          <w:bCs/>
          <w:sz w:val="24"/>
        </w:rPr>
        <w:t>Competition between Friends.</w:t>
      </w:r>
    </w:p>
    <w:p w:rsidR="003717A0" w:rsidRDefault="003717A0">
      <w:pPr>
        <w:pStyle w:val="af0"/>
        <w:rPr>
          <w:rFonts w:ascii="Times New Roman" w:hAnsi="Times New Roman" w:cs="Times New Roman"/>
          <w:bCs/>
          <w:kern w:val="2"/>
        </w:rPr>
      </w:pPr>
      <w:r>
        <w:rPr>
          <w:rFonts w:ascii="Times New Roman" w:hAnsi="Times New Roman" w:cs="Times New Roman"/>
          <w:bCs/>
          <w:kern w:val="2"/>
        </w:rPr>
        <w:t xml:space="preserve">Directions: Do you agree or disagree with the following statement? </w:t>
      </w:r>
      <w:r>
        <w:rPr>
          <w:rFonts w:ascii="Times New Roman" w:hAnsi="Times New Roman" w:cs="Times New Roman" w:hint="eastAsia"/>
          <w:bCs/>
          <w:kern w:val="2"/>
        </w:rPr>
        <w:t>“</w:t>
      </w:r>
      <w:r>
        <w:rPr>
          <w:rFonts w:ascii="Times New Roman" w:hAnsi="Times New Roman" w:cs="Times New Roman"/>
          <w:bCs/>
          <w:kern w:val="2"/>
        </w:rPr>
        <w:t>Competition with friends may have negative effect on friendship.” Use specific reasons and details to support your answer.</w:t>
      </w:r>
    </w:p>
    <w:p w:rsidR="003717A0" w:rsidRDefault="003717A0">
      <w:pPr>
        <w:rPr>
          <w:bCs/>
          <w:sz w:val="24"/>
        </w:rPr>
      </w:pPr>
      <w:r>
        <w:rPr>
          <w:bCs/>
          <w:sz w:val="24"/>
        </w:rPr>
        <w:t xml:space="preserve">You are allowed 30 minutes to write the composition within 130 words </w:t>
      </w:r>
    </w:p>
    <w:p w:rsidR="003717A0" w:rsidRDefault="003717A0">
      <w:pPr>
        <w:rPr>
          <w:bCs/>
          <w:sz w:val="24"/>
        </w:rPr>
      </w:pPr>
    </w:p>
    <w:p w:rsidR="003717A0" w:rsidRDefault="003717A0">
      <w:pPr>
        <w:rPr>
          <w:bCs/>
          <w:sz w:val="24"/>
        </w:rPr>
      </w:pPr>
      <w:r>
        <w:rPr>
          <w:bCs/>
          <w:sz w:val="24"/>
        </w:rPr>
        <w:t>Additional work:</w:t>
      </w:r>
    </w:p>
    <w:p w:rsidR="003717A0" w:rsidRDefault="003717A0">
      <w:pPr>
        <w:numPr>
          <w:ilvl w:val="0"/>
          <w:numId w:val="49"/>
        </w:numPr>
        <w:rPr>
          <w:bCs/>
          <w:sz w:val="24"/>
        </w:rPr>
      </w:pPr>
      <w:r>
        <w:rPr>
          <w:bCs/>
          <w:sz w:val="24"/>
        </w:rPr>
        <w:t>Recite paragraph 7 in Text A.</w:t>
      </w:r>
    </w:p>
    <w:p w:rsidR="003717A0" w:rsidRDefault="003717A0">
      <w:pPr>
        <w:numPr>
          <w:ilvl w:val="0"/>
          <w:numId w:val="49"/>
        </w:numPr>
        <w:rPr>
          <w:bCs/>
          <w:sz w:val="24"/>
        </w:rPr>
      </w:pPr>
      <w:r>
        <w:rPr>
          <w:bCs/>
          <w:sz w:val="24"/>
        </w:rPr>
        <w:t>Summarize the main idea of Text A.</w:t>
      </w:r>
    </w:p>
    <w:p w:rsidR="003717A0" w:rsidRDefault="003717A0">
      <w:pPr>
        <w:numPr>
          <w:ilvl w:val="0"/>
          <w:numId w:val="49"/>
        </w:numPr>
        <w:rPr>
          <w:bCs/>
          <w:sz w:val="24"/>
        </w:rPr>
      </w:pPr>
      <w:r>
        <w:rPr>
          <w:bCs/>
          <w:sz w:val="24"/>
        </w:rPr>
        <w:t xml:space="preserve">Search for informations about the value of friendship. </w:t>
      </w: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spacing w:line="360" w:lineRule="auto"/>
        <w:jc w:val="center"/>
        <w:rPr>
          <w:b/>
          <w:bCs/>
          <w:sz w:val="28"/>
          <w:szCs w:val="28"/>
        </w:rPr>
      </w:pPr>
      <w:r>
        <w:rPr>
          <w:bCs/>
          <w:sz w:val="24"/>
        </w:rPr>
        <w:br w:type="page"/>
      </w:r>
      <w:r>
        <w:rPr>
          <w:rFonts w:hint="eastAsia"/>
          <w:b/>
          <w:bCs/>
          <w:sz w:val="28"/>
          <w:szCs w:val="28"/>
        </w:rPr>
        <w:lastRenderedPageBreak/>
        <w:t>大学英语课堂教学大纲（四级）</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2552"/>
        <w:gridCol w:w="1275"/>
        <w:gridCol w:w="3311"/>
      </w:tblGrid>
      <w:tr w:rsidR="003717A0">
        <w:trPr>
          <w:trHeight w:val="467"/>
        </w:trPr>
        <w:tc>
          <w:tcPr>
            <w:tcW w:w="1384" w:type="dxa"/>
            <w:vAlign w:val="center"/>
          </w:tcPr>
          <w:p w:rsidR="003717A0" w:rsidRDefault="003717A0">
            <w:pPr>
              <w:jc w:val="center"/>
              <w:rPr>
                <w:rFonts w:eastAsia="仿宋_GB2312"/>
                <w:sz w:val="24"/>
              </w:rPr>
            </w:pPr>
            <w:r>
              <w:rPr>
                <w:rFonts w:eastAsia="仿宋_GB2312" w:hint="eastAsia"/>
                <w:sz w:val="24"/>
              </w:rPr>
              <w:t>课程名称</w:t>
            </w:r>
          </w:p>
        </w:tc>
        <w:tc>
          <w:tcPr>
            <w:tcW w:w="2552" w:type="dxa"/>
            <w:vAlign w:val="center"/>
          </w:tcPr>
          <w:p w:rsidR="003717A0" w:rsidRDefault="003717A0">
            <w:pPr>
              <w:jc w:val="center"/>
              <w:rPr>
                <w:rFonts w:eastAsia="仿宋_GB2312"/>
                <w:sz w:val="24"/>
              </w:rPr>
            </w:pPr>
            <w:r>
              <w:rPr>
                <w:rFonts w:eastAsia="仿宋_GB2312" w:hint="eastAsia"/>
                <w:sz w:val="24"/>
              </w:rPr>
              <w:t>大学英语</w:t>
            </w:r>
            <w:r>
              <w:rPr>
                <w:rFonts w:eastAsia="仿宋_GB2312"/>
                <w:sz w:val="24"/>
              </w:rPr>
              <w:t>I</w:t>
            </w:r>
            <w:r>
              <w:rPr>
                <w:rFonts w:ascii="仿宋_GB2312" w:eastAsia="仿宋_GB2312"/>
                <w:sz w:val="24"/>
              </w:rPr>
              <w:t>V</w:t>
            </w:r>
            <w:r>
              <w:rPr>
                <w:rFonts w:ascii="仿宋_GB2312" w:eastAsia="仿宋_GB2312" w:hint="eastAsia"/>
                <w:sz w:val="24"/>
              </w:rPr>
              <w:t>＊</w:t>
            </w:r>
          </w:p>
        </w:tc>
        <w:tc>
          <w:tcPr>
            <w:tcW w:w="1275" w:type="dxa"/>
            <w:vAlign w:val="center"/>
          </w:tcPr>
          <w:p w:rsidR="003717A0" w:rsidRDefault="003717A0">
            <w:pPr>
              <w:jc w:val="center"/>
              <w:rPr>
                <w:rFonts w:eastAsia="仿宋_GB2312"/>
                <w:sz w:val="24"/>
              </w:rPr>
            </w:pPr>
            <w:r>
              <w:rPr>
                <w:rFonts w:eastAsia="仿宋_GB2312" w:hint="eastAsia"/>
                <w:sz w:val="24"/>
              </w:rPr>
              <w:t>编写人</w:t>
            </w:r>
          </w:p>
        </w:tc>
        <w:tc>
          <w:tcPr>
            <w:tcW w:w="3311" w:type="dxa"/>
            <w:vAlign w:val="center"/>
          </w:tcPr>
          <w:p w:rsidR="003717A0" w:rsidRDefault="003717A0">
            <w:pPr>
              <w:jc w:val="center"/>
              <w:rPr>
                <w:rFonts w:eastAsia="仿宋_GB2312"/>
                <w:sz w:val="24"/>
              </w:rPr>
            </w:pPr>
            <w:r>
              <w:rPr>
                <w:rFonts w:eastAsia="仿宋_GB2312" w:hint="eastAsia"/>
                <w:sz w:val="24"/>
              </w:rPr>
              <w:t>龚培蓓</w:t>
            </w:r>
          </w:p>
        </w:tc>
      </w:tr>
      <w:tr w:rsidR="003717A0">
        <w:trPr>
          <w:trHeight w:val="437"/>
        </w:trPr>
        <w:tc>
          <w:tcPr>
            <w:tcW w:w="1384" w:type="dxa"/>
            <w:vAlign w:val="center"/>
          </w:tcPr>
          <w:p w:rsidR="003717A0" w:rsidRDefault="003717A0">
            <w:pPr>
              <w:jc w:val="center"/>
              <w:rPr>
                <w:rFonts w:eastAsia="仿宋_GB2312"/>
                <w:sz w:val="24"/>
              </w:rPr>
            </w:pPr>
            <w:r>
              <w:rPr>
                <w:rFonts w:eastAsia="仿宋_GB2312" w:hint="eastAsia"/>
                <w:sz w:val="24"/>
              </w:rPr>
              <w:t>课程代码</w:t>
            </w:r>
          </w:p>
        </w:tc>
        <w:tc>
          <w:tcPr>
            <w:tcW w:w="2552" w:type="dxa"/>
            <w:vAlign w:val="center"/>
          </w:tcPr>
          <w:p w:rsidR="003717A0" w:rsidRDefault="003717A0">
            <w:pPr>
              <w:jc w:val="center"/>
              <w:rPr>
                <w:rFonts w:eastAsia="仿宋_GB2312"/>
                <w:sz w:val="24"/>
              </w:rPr>
            </w:pPr>
            <w:r>
              <w:rPr>
                <w:rFonts w:eastAsia="仿宋_GB2312"/>
                <w:sz w:val="24"/>
              </w:rPr>
              <w:t>07741</w:t>
            </w:r>
          </w:p>
        </w:tc>
        <w:tc>
          <w:tcPr>
            <w:tcW w:w="1275" w:type="dxa"/>
            <w:vAlign w:val="center"/>
          </w:tcPr>
          <w:p w:rsidR="003717A0" w:rsidRDefault="003717A0">
            <w:pPr>
              <w:jc w:val="center"/>
              <w:rPr>
                <w:rFonts w:eastAsia="仿宋_GB2312"/>
                <w:sz w:val="24"/>
              </w:rPr>
            </w:pPr>
            <w:r>
              <w:rPr>
                <w:rFonts w:eastAsia="仿宋_GB2312" w:hint="eastAsia"/>
                <w:sz w:val="24"/>
              </w:rPr>
              <w:t>编写时间</w:t>
            </w:r>
          </w:p>
        </w:tc>
        <w:tc>
          <w:tcPr>
            <w:tcW w:w="3311" w:type="dxa"/>
            <w:vAlign w:val="center"/>
          </w:tcPr>
          <w:p w:rsidR="003717A0" w:rsidRDefault="003717A0">
            <w:pPr>
              <w:jc w:val="center"/>
              <w:rPr>
                <w:rFonts w:eastAsia="仿宋_GB2312"/>
                <w:sz w:val="24"/>
              </w:rPr>
            </w:pPr>
            <w:r>
              <w:rPr>
                <w:rFonts w:eastAsia="仿宋_GB2312"/>
                <w:sz w:val="24"/>
              </w:rPr>
              <w:t>2012</w:t>
            </w:r>
            <w:r>
              <w:rPr>
                <w:rFonts w:eastAsia="仿宋_GB2312" w:hint="eastAsia"/>
                <w:sz w:val="24"/>
              </w:rPr>
              <w:t>年</w:t>
            </w:r>
            <w:r>
              <w:rPr>
                <w:rFonts w:eastAsia="仿宋_GB2312"/>
                <w:sz w:val="24"/>
              </w:rPr>
              <w:t>8</w:t>
            </w:r>
            <w:r>
              <w:rPr>
                <w:rFonts w:eastAsia="仿宋_GB2312" w:hint="eastAsia"/>
                <w:sz w:val="24"/>
              </w:rPr>
              <w:t>月</w:t>
            </w:r>
          </w:p>
        </w:tc>
      </w:tr>
      <w:tr w:rsidR="003717A0">
        <w:trPr>
          <w:trHeight w:val="452"/>
        </w:trPr>
        <w:tc>
          <w:tcPr>
            <w:tcW w:w="1384" w:type="dxa"/>
            <w:vAlign w:val="center"/>
          </w:tcPr>
          <w:p w:rsidR="003717A0" w:rsidRDefault="003717A0">
            <w:pPr>
              <w:jc w:val="center"/>
              <w:rPr>
                <w:rFonts w:eastAsia="仿宋_GB2312"/>
                <w:sz w:val="24"/>
              </w:rPr>
            </w:pPr>
            <w:r>
              <w:rPr>
                <w:rFonts w:eastAsia="仿宋_GB2312" w:hint="eastAsia"/>
                <w:sz w:val="24"/>
              </w:rPr>
              <w:t>周学时数</w:t>
            </w:r>
          </w:p>
        </w:tc>
        <w:tc>
          <w:tcPr>
            <w:tcW w:w="2552" w:type="dxa"/>
            <w:vAlign w:val="center"/>
          </w:tcPr>
          <w:p w:rsidR="003717A0" w:rsidRDefault="003717A0">
            <w:pPr>
              <w:jc w:val="center"/>
              <w:rPr>
                <w:rFonts w:eastAsia="仿宋_GB2312"/>
                <w:sz w:val="24"/>
              </w:rPr>
            </w:pPr>
            <w:r>
              <w:rPr>
                <w:rFonts w:eastAsia="仿宋_GB2312"/>
                <w:sz w:val="24"/>
              </w:rPr>
              <w:t>3</w:t>
            </w:r>
          </w:p>
        </w:tc>
        <w:tc>
          <w:tcPr>
            <w:tcW w:w="1275" w:type="dxa"/>
            <w:vAlign w:val="center"/>
          </w:tcPr>
          <w:p w:rsidR="003717A0" w:rsidRDefault="003717A0">
            <w:pPr>
              <w:jc w:val="center"/>
              <w:rPr>
                <w:rFonts w:eastAsia="仿宋_GB2312"/>
                <w:sz w:val="24"/>
              </w:rPr>
            </w:pPr>
            <w:r>
              <w:rPr>
                <w:rFonts w:eastAsia="仿宋_GB2312" w:hint="eastAsia"/>
                <w:sz w:val="24"/>
              </w:rPr>
              <w:t>总学时数</w:t>
            </w:r>
          </w:p>
        </w:tc>
        <w:tc>
          <w:tcPr>
            <w:tcW w:w="3311" w:type="dxa"/>
            <w:vAlign w:val="center"/>
          </w:tcPr>
          <w:p w:rsidR="003717A0" w:rsidRDefault="003717A0">
            <w:pPr>
              <w:jc w:val="center"/>
              <w:rPr>
                <w:rFonts w:eastAsia="仿宋_GB2312"/>
                <w:sz w:val="24"/>
              </w:rPr>
            </w:pPr>
            <w:r>
              <w:rPr>
                <w:rFonts w:eastAsia="仿宋_GB2312"/>
                <w:sz w:val="24"/>
              </w:rPr>
              <w:t>48</w:t>
            </w:r>
          </w:p>
        </w:tc>
      </w:tr>
      <w:tr w:rsidR="003717A0">
        <w:trPr>
          <w:trHeight w:val="437"/>
        </w:trPr>
        <w:tc>
          <w:tcPr>
            <w:tcW w:w="1384" w:type="dxa"/>
            <w:vAlign w:val="center"/>
          </w:tcPr>
          <w:p w:rsidR="003717A0" w:rsidRDefault="003717A0">
            <w:pPr>
              <w:jc w:val="center"/>
              <w:rPr>
                <w:rFonts w:eastAsia="仿宋_GB2312"/>
                <w:sz w:val="24"/>
              </w:rPr>
            </w:pPr>
            <w:r>
              <w:rPr>
                <w:rFonts w:eastAsia="仿宋_GB2312" w:hint="eastAsia"/>
                <w:sz w:val="24"/>
              </w:rPr>
              <w:t>任课教师</w:t>
            </w:r>
          </w:p>
        </w:tc>
        <w:tc>
          <w:tcPr>
            <w:tcW w:w="2552" w:type="dxa"/>
            <w:vAlign w:val="center"/>
          </w:tcPr>
          <w:p w:rsidR="003717A0" w:rsidRDefault="003717A0">
            <w:pPr>
              <w:jc w:val="center"/>
              <w:rPr>
                <w:rFonts w:eastAsia="仿宋_GB2312"/>
                <w:sz w:val="24"/>
              </w:rPr>
            </w:pPr>
            <w:r>
              <w:rPr>
                <w:rFonts w:eastAsia="仿宋_GB2312" w:hint="eastAsia"/>
                <w:sz w:val="24"/>
              </w:rPr>
              <w:t>公共外语教学部教师</w:t>
            </w:r>
          </w:p>
        </w:tc>
        <w:tc>
          <w:tcPr>
            <w:tcW w:w="1275" w:type="dxa"/>
            <w:vAlign w:val="center"/>
          </w:tcPr>
          <w:p w:rsidR="003717A0" w:rsidRDefault="003717A0">
            <w:pPr>
              <w:jc w:val="center"/>
              <w:rPr>
                <w:rFonts w:eastAsia="仿宋_GB2312"/>
                <w:sz w:val="24"/>
              </w:rPr>
            </w:pPr>
            <w:r>
              <w:rPr>
                <w:rFonts w:eastAsia="仿宋_GB2312" w:hint="eastAsia"/>
                <w:sz w:val="24"/>
              </w:rPr>
              <w:t>开课校区</w:t>
            </w:r>
          </w:p>
        </w:tc>
        <w:tc>
          <w:tcPr>
            <w:tcW w:w="3311" w:type="dxa"/>
            <w:vAlign w:val="center"/>
          </w:tcPr>
          <w:p w:rsidR="003717A0" w:rsidRDefault="003717A0">
            <w:pPr>
              <w:jc w:val="center"/>
              <w:rPr>
                <w:rFonts w:eastAsia="仿宋_GB2312"/>
                <w:sz w:val="24"/>
              </w:rPr>
            </w:pPr>
            <w:r>
              <w:rPr>
                <w:rFonts w:eastAsia="仿宋_GB2312" w:hint="eastAsia"/>
                <w:sz w:val="24"/>
              </w:rPr>
              <w:t>主校区、启秀校区、钟秀校区</w:t>
            </w:r>
          </w:p>
        </w:tc>
      </w:tr>
      <w:tr w:rsidR="003717A0">
        <w:trPr>
          <w:trHeight w:val="527"/>
        </w:trPr>
        <w:tc>
          <w:tcPr>
            <w:tcW w:w="1384" w:type="dxa"/>
            <w:vAlign w:val="center"/>
          </w:tcPr>
          <w:p w:rsidR="003717A0" w:rsidRDefault="003717A0">
            <w:pPr>
              <w:jc w:val="center"/>
              <w:rPr>
                <w:rFonts w:eastAsia="仿宋_GB2312"/>
                <w:sz w:val="24"/>
              </w:rPr>
            </w:pPr>
            <w:r>
              <w:rPr>
                <w:rFonts w:eastAsia="仿宋_GB2312" w:hint="eastAsia"/>
                <w:sz w:val="24"/>
              </w:rPr>
              <w:t>课程性质</w:t>
            </w:r>
          </w:p>
        </w:tc>
        <w:tc>
          <w:tcPr>
            <w:tcW w:w="7138" w:type="dxa"/>
            <w:gridSpan w:val="3"/>
            <w:vAlign w:val="center"/>
          </w:tcPr>
          <w:p w:rsidR="003717A0" w:rsidRDefault="003717A0">
            <w:pPr>
              <w:jc w:val="center"/>
              <w:rPr>
                <w:rFonts w:eastAsia="仿宋_GB2312"/>
                <w:sz w:val="24"/>
              </w:rPr>
            </w:pPr>
            <w:r>
              <w:rPr>
                <w:rFonts w:eastAsia="仿宋_GB2312" w:hint="eastAsia"/>
                <w:sz w:val="24"/>
              </w:rPr>
              <w:t>公共基础课</w:t>
            </w:r>
          </w:p>
        </w:tc>
      </w:tr>
      <w:tr w:rsidR="003717A0">
        <w:trPr>
          <w:trHeight w:val="572"/>
        </w:trPr>
        <w:tc>
          <w:tcPr>
            <w:tcW w:w="1384" w:type="dxa"/>
            <w:vAlign w:val="center"/>
          </w:tcPr>
          <w:p w:rsidR="003717A0" w:rsidRDefault="003717A0">
            <w:pPr>
              <w:jc w:val="center"/>
              <w:rPr>
                <w:rFonts w:eastAsia="仿宋_GB2312"/>
                <w:sz w:val="24"/>
              </w:rPr>
            </w:pPr>
            <w:r>
              <w:rPr>
                <w:rFonts w:eastAsia="仿宋_GB2312" w:hint="eastAsia"/>
                <w:sz w:val="24"/>
              </w:rPr>
              <w:t>先修课程</w:t>
            </w:r>
          </w:p>
        </w:tc>
        <w:tc>
          <w:tcPr>
            <w:tcW w:w="7138" w:type="dxa"/>
            <w:gridSpan w:val="3"/>
            <w:vAlign w:val="center"/>
          </w:tcPr>
          <w:p w:rsidR="003717A0" w:rsidRDefault="003717A0">
            <w:pPr>
              <w:jc w:val="center"/>
              <w:rPr>
                <w:rFonts w:eastAsia="仿宋_GB2312"/>
                <w:sz w:val="24"/>
              </w:rPr>
            </w:pPr>
            <w:r>
              <w:rPr>
                <w:rFonts w:eastAsia="仿宋_GB2312" w:hint="eastAsia"/>
                <w:sz w:val="24"/>
              </w:rPr>
              <w:t>大学英语</w:t>
            </w:r>
            <w:r>
              <w:rPr>
                <w:rFonts w:eastAsia="仿宋_GB2312"/>
                <w:sz w:val="24"/>
              </w:rPr>
              <w:t>I</w:t>
            </w:r>
            <w:r>
              <w:rPr>
                <w:rFonts w:eastAsia="仿宋_GB2312" w:hint="eastAsia"/>
                <w:sz w:val="24"/>
              </w:rPr>
              <w:t>、大学英语</w:t>
            </w:r>
            <w:r>
              <w:rPr>
                <w:rFonts w:eastAsia="仿宋_GB2312"/>
                <w:sz w:val="24"/>
              </w:rPr>
              <w:t>II</w:t>
            </w:r>
            <w:r>
              <w:rPr>
                <w:rFonts w:eastAsia="仿宋_GB2312" w:hint="eastAsia"/>
                <w:sz w:val="24"/>
              </w:rPr>
              <w:t>、大学英语</w:t>
            </w:r>
            <w:r>
              <w:rPr>
                <w:rFonts w:eastAsia="仿宋_GB2312"/>
                <w:sz w:val="24"/>
              </w:rPr>
              <w:t>III</w:t>
            </w:r>
          </w:p>
        </w:tc>
      </w:tr>
      <w:tr w:rsidR="003717A0">
        <w:trPr>
          <w:trHeight w:val="1091"/>
        </w:trPr>
        <w:tc>
          <w:tcPr>
            <w:tcW w:w="1384" w:type="dxa"/>
            <w:vAlign w:val="center"/>
          </w:tcPr>
          <w:p w:rsidR="003717A0" w:rsidRDefault="003717A0">
            <w:pPr>
              <w:rPr>
                <w:rFonts w:eastAsia="仿宋_GB2312"/>
                <w:sz w:val="24"/>
              </w:rPr>
            </w:pPr>
            <w:r>
              <w:rPr>
                <w:rFonts w:eastAsia="仿宋_GB2312" w:hint="eastAsia"/>
                <w:sz w:val="24"/>
              </w:rPr>
              <w:t>使用教材</w:t>
            </w:r>
          </w:p>
        </w:tc>
        <w:tc>
          <w:tcPr>
            <w:tcW w:w="7138" w:type="dxa"/>
            <w:gridSpan w:val="3"/>
            <w:vAlign w:val="center"/>
          </w:tcPr>
          <w:p w:rsidR="003717A0" w:rsidRDefault="003717A0">
            <w:pPr>
              <w:widowControl/>
              <w:spacing w:line="360" w:lineRule="auto"/>
              <w:ind w:firstLineChars="200" w:firstLine="420"/>
              <w:jc w:val="left"/>
              <w:rPr>
                <w:rFonts w:ascii="仿宋_GB2312" w:eastAsia="仿宋_GB2312" w:hAnsi="宋体" w:cs="宋体"/>
                <w:kern w:val="0"/>
                <w:sz w:val="24"/>
              </w:rPr>
            </w:pPr>
            <w:r>
              <w:rPr>
                <w:rFonts w:hint="eastAsia"/>
                <w:szCs w:val="21"/>
              </w:rPr>
              <w:t>未过四级的学生：《新视野大学英语读写教程</w:t>
            </w:r>
            <w:r>
              <w:rPr>
                <w:szCs w:val="21"/>
              </w:rPr>
              <w:t xml:space="preserve"> </w:t>
            </w:r>
            <w:r>
              <w:rPr>
                <w:rFonts w:hint="eastAsia"/>
                <w:szCs w:val="21"/>
              </w:rPr>
              <w:t>第</w:t>
            </w:r>
            <w:r>
              <w:rPr>
                <w:szCs w:val="21"/>
              </w:rPr>
              <w:t>4</w:t>
            </w:r>
            <w:r>
              <w:rPr>
                <w:rFonts w:hint="eastAsia"/>
                <w:szCs w:val="21"/>
              </w:rPr>
              <w:t>册》，外语教学与研究出版社；《流程英语口语教程》学生用书第</w:t>
            </w:r>
            <w:r>
              <w:rPr>
                <w:szCs w:val="21"/>
              </w:rPr>
              <w:t>4</w:t>
            </w:r>
            <w:r>
              <w:rPr>
                <w:rFonts w:hint="eastAsia"/>
                <w:szCs w:val="21"/>
              </w:rPr>
              <w:t>册，上海外语教学与研究出版社；</w:t>
            </w:r>
            <w:r>
              <w:rPr>
                <w:rFonts w:ascii="仿宋_GB2312" w:eastAsia="仿宋_GB2312" w:hAnsi="宋体" w:cs="宋体"/>
                <w:kern w:val="0"/>
                <w:sz w:val="24"/>
              </w:rPr>
              <w:t xml:space="preserve"> </w:t>
            </w:r>
          </w:p>
          <w:p w:rsidR="003717A0" w:rsidRDefault="003717A0">
            <w:pPr>
              <w:widowControl/>
              <w:spacing w:line="360" w:lineRule="auto"/>
              <w:ind w:firstLineChars="200" w:firstLine="420"/>
              <w:jc w:val="left"/>
              <w:rPr>
                <w:rFonts w:ascii="宋体" w:cs="宋体"/>
                <w:kern w:val="0"/>
                <w:szCs w:val="21"/>
              </w:rPr>
            </w:pPr>
            <w:r>
              <w:rPr>
                <w:rFonts w:hint="eastAsia"/>
                <w:szCs w:val="21"/>
              </w:rPr>
              <w:t>过了四级的学生：</w:t>
            </w:r>
            <w:r>
              <w:rPr>
                <w:rFonts w:ascii="宋体" w:hAnsi="宋体" w:cs="宋体" w:hint="eastAsia"/>
                <w:kern w:val="0"/>
                <w:szCs w:val="21"/>
              </w:rPr>
              <w:t>《基础学术英语（写作）》学生用书，外语教学与研究出版社</w:t>
            </w:r>
          </w:p>
          <w:p w:rsidR="003717A0" w:rsidRDefault="003717A0">
            <w:pPr>
              <w:widowControl/>
              <w:spacing w:line="360" w:lineRule="auto"/>
              <w:ind w:firstLineChars="200" w:firstLine="420"/>
              <w:jc w:val="left"/>
              <w:rPr>
                <w:szCs w:val="21"/>
              </w:rPr>
            </w:pPr>
            <w:r>
              <w:rPr>
                <w:rFonts w:ascii="宋体" w:hAnsi="宋体" w:cs="宋体" w:hint="eastAsia"/>
                <w:kern w:val="0"/>
                <w:szCs w:val="21"/>
              </w:rPr>
              <w:t>另外，学生</w:t>
            </w:r>
            <w:r>
              <w:rPr>
                <w:rFonts w:hint="eastAsia"/>
                <w:szCs w:val="21"/>
              </w:rPr>
              <w:t>根据自己的专业类别再从下列教材</w:t>
            </w:r>
            <w:r>
              <w:rPr>
                <w:rFonts w:ascii="宋体" w:hAnsi="宋体" w:cs="宋体" w:hint="eastAsia"/>
                <w:kern w:val="0"/>
                <w:szCs w:val="21"/>
              </w:rPr>
              <w:t>中选择一本：</w:t>
            </w:r>
          </w:p>
          <w:p w:rsidR="003717A0" w:rsidRDefault="003717A0">
            <w:pPr>
              <w:widowControl/>
              <w:spacing w:line="360" w:lineRule="auto"/>
              <w:ind w:firstLineChars="200" w:firstLine="420"/>
              <w:jc w:val="left"/>
              <w:rPr>
                <w:rFonts w:ascii="宋体" w:cs="宋体"/>
                <w:kern w:val="0"/>
                <w:szCs w:val="21"/>
              </w:rPr>
            </w:pPr>
            <w:r>
              <w:rPr>
                <w:rFonts w:ascii="宋体" w:hAnsi="宋体" w:cs="宋体" w:hint="eastAsia"/>
                <w:kern w:val="0"/>
                <w:szCs w:val="21"/>
              </w:rPr>
              <w:t>《基础学术英语（人文社科）》学生用书，外语教学与研究出版社</w:t>
            </w:r>
          </w:p>
          <w:p w:rsidR="003717A0" w:rsidRDefault="003717A0">
            <w:pPr>
              <w:widowControl/>
              <w:spacing w:line="360" w:lineRule="auto"/>
              <w:ind w:firstLineChars="200" w:firstLine="420"/>
              <w:jc w:val="left"/>
              <w:rPr>
                <w:rFonts w:ascii="宋体" w:cs="宋体"/>
                <w:kern w:val="0"/>
                <w:szCs w:val="21"/>
              </w:rPr>
            </w:pPr>
            <w:r>
              <w:rPr>
                <w:rFonts w:ascii="宋体" w:hAnsi="宋体" w:cs="宋体" w:hint="eastAsia"/>
                <w:kern w:val="0"/>
                <w:szCs w:val="21"/>
              </w:rPr>
              <w:t>《基础学术英语（经济管理）》学生用书，外语教学与研究出版社</w:t>
            </w:r>
          </w:p>
          <w:p w:rsidR="003717A0" w:rsidRDefault="003717A0">
            <w:pPr>
              <w:widowControl/>
              <w:spacing w:line="360" w:lineRule="auto"/>
              <w:ind w:firstLineChars="200" w:firstLine="420"/>
              <w:jc w:val="left"/>
              <w:rPr>
                <w:rFonts w:ascii="宋体" w:cs="宋体"/>
                <w:kern w:val="0"/>
                <w:szCs w:val="21"/>
              </w:rPr>
            </w:pPr>
            <w:r>
              <w:rPr>
                <w:rFonts w:ascii="宋体" w:hAnsi="宋体" w:cs="宋体" w:hint="eastAsia"/>
                <w:kern w:val="0"/>
                <w:szCs w:val="21"/>
              </w:rPr>
              <w:t>《基础学术英语（理工）》学生用书，外语教学与研究出版社</w:t>
            </w:r>
          </w:p>
          <w:p w:rsidR="003717A0" w:rsidRDefault="003717A0">
            <w:pPr>
              <w:widowControl/>
              <w:spacing w:line="360" w:lineRule="auto"/>
              <w:ind w:firstLineChars="200" w:firstLine="420"/>
              <w:jc w:val="left"/>
              <w:rPr>
                <w:rFonts w:ascii="宋体" w:cs="宋体"/>
                <w:kern w:val="0"/>
                <w:szCs w:val="21"/>
              </w:rPr>
            </w:pPr>
            <w:r>
              <w:rPr>
                <w:rFonts w:ascii="宋体" w:hAnsi="宋体" w:cs="宋体" w:hint="eastAsia"/>
                <w:kern w:val="0"/>
                <w:szCs w:val="21"/>
              </w:rPr>
              <w:t>《基础学术英语（医学）》学生用书，外语教学与研究出版社</w:t>
            </w:r>
          </w:p>
          <w:p w:rsidR="003717A0" w:rsidRDefault="003717A0">
            <w:pPr>
              <w:widowControl/>
              <w:spacing w:line="360" w:lineRule="auto"/>
              <w:ind w:firstLineChars="200" w:firstLine="420"/>
              <w:jc w:val="left"/>
              <w:rPr>
                <w:rFonts w:ascii="宋体" w:cs="宋体"/>
                <w:kern w:val="0"/>
                <w:szCs w:val="21"/>
              </w:rPr>
            </w:pPr>
          </w:p>
          <w:p w:rsidR="003717A0" w:rsidRDefault="003717A0">
            <w:pPr>
              <w:widowControl/>
              <w:spacing w:line="360" w:lineRule="auto"/>
              <w:ind w:firstLineChars="200" w:firstLine="420"/>
              <w:jc w:val="left"/>
              <w:rPr>
                <w:szCs w:val="21"/>
              </w:rPr>
            </w:pPr>
          </w:p>
        </w:tc>
      </w:tr>
    </w:tbl>
    <w:p w:rsidR="003717A0" w:rsidRDefault="003717A0">
      <w:pPr>
        <w:spacing w:line="360" w:lineRule="auto"/>
        <w:rPr>
          <w:rFonts w:eastAsia="仿宋_GB2312"/>
          <w:b/>
          <w:sz w:val="24"/>
        </w:rPr>
      </w:pPr>
      <w:r>
        <w:rPr>
          <w:rFonts w:eastAsia="仿宋_GB2312" w:hint="eastAsia"/>
          <w:b/>
          <w:sz w:val="24"/>
        </w:rPr>
        <w:t>针对未过四级的学生：</w:t>
      </w:r>
    </w:p>
    <w:p w:rsidR="003717A0" w:rsidRDefault="003717A0">
      <w:pPr>
        <w:spacing w:line="360" w:lineRule="auto"/>
        <w:rPr>
          <w:rFonts w:eastAsia="仿宋_GB2312"/>
          <w:b/>
          <w:sz w:val="24"/>
        </w:rPr>
      </w:pPr>
      <w:r>
        <w:rPr>
          <w:rFonts w:eastAsia="仿宋_GB2312" w:hint="eastAsia"/>
          <w:b/>
          <w:sz w:val="24"/>
        </w:rPr>
        <w:t>本课程教学目的</w:t>
      </w:r>
    </w:p>
    <w:p w:rsidR="003717A0" w:rsidRDefault="003717A0">
      <w:pPr>
        <w:spacing w:line="360" w:lineRule="auto"/>
        <w:ind w:firstLine="435"/>
        <w:rPr>
          <w:rFonts w:eastAsia="仿宋_GB2312"/>
          <w:sz w:val="24"/>
        </w:rPr>
      </w:pPr>
      <w:r>
        <w:rPr>
          <w:rFonts w:eastAsia="仿宋_GB2312" w:hint="eastAsia"/>
          <w:sz w:val="24"/>
        </w:rPr>
        <w:t>大学英语是以外语教学理论为指导，以英语语言知识与应用技能、跨文化交际和学习策略为主要内容，并集多种教学模式和教学手段为一体的教学体系。大学英语的教学目标是培养学生的英语综合应用能力，使他们在今后学习、工作和社会交往中能用英语有效地进行交际，同时增强其自主学习能力，提高综合文化素养，以适应我国社会发展和国际交流的需要。由于语言既是符号系统（</w:t>
      </w:r>
      <w:r>
        <w:rPr>
          <w:rFonts w:eastAsia="仿宋_GB2312"/>
          <w:sz w:val="24"/>
        </w:rPr>
        <w:t>a system of symbols</w:t>
      </w:r>
      <w:r>
        <w:rPr>
          <w:rFonts w:eastAsia="仿宋_GB2312" w:hint="eastAsia"/>
          <w:sz w:val="24"/>
        </w:rPr>
        <w:t>），也是交际工具</w:t>
      </w:r>
      <w:r>
        <w:rPr>
          <w:rFonts w:eastAsia="仿宋_GB2312"/>
          <w:sz w:val="24"/>
        </w:rPr>
        <w:t>( a tool for communication)</w:t>
      </w:r>
      <w:r>
        <w:rPr>
          <w:rFonts w:eastAsia="仿宋_GB2312" w:hint="eastAsia"/>
          <w:sz w:val="24"/>
        </w:rPr>
        <w:t>；既是思维工具</w:t>
      </w:r>
      <w:r>
        <w:rPr>
          <w:rFonts w:eastAsia="仿宋_GB2312"/>
          <w:sz w:val="24"/>
        </w:rPr>
        <w:t>( the dress of thought)</w:t>
      </w:r>
      <w:r>
        <w:rPr>
          <w:rFonts w:eastAsia="仿宋_GB2312" w:hint="eastAsia"/>
          <w:sz w:val="24"/>
        </w:rPr>
        <w:t>，也是文化载体</w:t>
      </w:r>
      <w:r>
        <w:rPr>
          <w:rFonts w:eastAsia="仿宋_GB2312"/>
          <w:sz w:val="24"/>
        </w:rPr>
        <w:t>( a carrier of culture)</w:t>
      </w:r>
      <w:r>
        <w:rPr>
          <w:rFonts w:eastAsia="仿宋_GB2312" w:hint="eastAsia"/>
          <w:sz w:val="24"/>
        </w:rPr>
        <w:t>，因此，大学英语教学的最终目的就是帮助学生打好语言基础，即在重视语言形式学习的同时，熟悉英语国家人的思维方式，借鉴和吸收英语文化精华，提高文化素</w:t>
      </w:r>
      <w:r>
        <w:rPr>
          <w:rFonts w:eastAsia="仿宋_GB2312" w:hint="eastAsia"/>
          <w:sz w:val="24"/>
        </w:rPr>
        <w:lastRenderedPageBreak/>
        <w:t>质，培养学生的语言综合应用能力。大学英语基础阶段</w:t>
      </w:r>
      <w:r>
        <w:rPr>
          <w:rFonts w:eastAsia="仿宋_GB2312"/>
          <w:sz w:val="24"/>
        </w:rPr>
        <w:t>“</w:t>
      </w:r>
      <w:r>
        <w:rPr>
          <w:rFonts w:eastAsia="仿宋_GB2312" w:hint="eastAsia"/>
          <w:sz w:val="24"/>
        </w:rPr>
        <w:t>综合英语</w:t>
      </w:r>
      <w:r>
        <w:rPr>
          <w:rFonts w:eastAsia="仿宋_GB2312"/>
          <w:sz w:val="24"/>
        </w:rPr>
        <w:t>”</w:t>
      </w:r>
      <w:r>
        <w:rPr>
          <w:rFonts w:eastAsia="仿宋_GB2312" w:hint="eastAsia"/>
          <w:sz w:val="24"/>
        </w:rPr>
        <w:t>课程的教学则是达到上述目标的重要环节之一。</w:t>
      </w:r>
    </w:p>
    <w:p w:rsidR="003717A0" w:rsidRDefault="003717A0">
      <w:pPr>
        <w:spacing w:line="360" w:lineRule="auto"/>
        <w:rPr>
          <w:rFonts w:eastAsia="仿宋_GB2312"/>
          <w:b/>
          <w:sz w:val="24"/>
        </w:rPr>
      </w:pPr>
      <w:r>
        <w:rPr>
          <w:rFonts w:eastAsia="仿宋_GB2312" w:hint="eastAsia"/>
          <w:b/>
          <w:sz w:val="24"/>
        </w:rPr>
        <w:t>本课程教学对象</w:t>
      </w:r>
    </w:p>
    <w:p w:rsidR="003717A0" w:rsidRDefault="003717A0">
      <w:pPr>
        <w:spacing w:line="360" w:lineRule="auto"/>
        <w:ind w:firstLine="435"/>
        <w:rPr>
          <w:rFonts w:eastAsia="仿宋_GB2312"/>
          <w:sz w:val="24"/>
        </w:rPr>
      </w:pPr>
      <w:r>
        <w:rPr>
          <w:rFonts w:eastAsia="仿宋_GB2312" w:hint="eastAsia"/>
          <w:sz w:val="24"/>
        </w:rPr>
        <w:t>大学英语基础阶段的</w:t>
      </w:r>
      <w:r>
        <w:rPr>
          <w:rFonts w:eastAsia="仿宋_GB2312"/>
          <w:sz w:val="24"/>
        </w:rPr>
        <w:t>“</w:t>
      </w:r>
      <w:r>
        <w:rPr>
          <w:rFonts w:eastAsia="仿宋_GB2312" w:hint="eastAsia"/>
          <w:sz w:val="24"/>
        </w:rPr>
        <w:t>综合英语</w:t>
      </w:r>
      <w:r>
        <w:rPr>
          <w:rFonts w:eastAsia="仿宋_GB2312"/>
          <w:sz w:val="24"/>
        </w:rPr>
        <w:t>”</w:t>
      </w:r>
      <w:r>
        <w:rPr>
          <w:rFonts w:eastAsia="仿宋_GB2312" w:hint="eastAsia"/>
          <w:sz w:val="24"/>
        </w:rPr>
        <w:t>课程教学的对象为入学时已掌握了一定的英语语言语法知识，一定数量单词和读、听、写、说等方面受过初步训练的大学英语一、二年级本科生。大学英语教学分为基础阶段和高级阶段。基础阶段主要完成</w:t>
      </w:r>
      <w:r>
        <w:rPr>
          <w:rFonts w:eastAsia="仿宋_GB2312"/>
          <w:sz w:val="24"/>
        </w:rPr>
        <w:t>1-4</w:t>
      </w:r>
      <w:r>
        <w:rPr>
          <w:rFonts w:eastAsia="仿宋_GB2312" w:hint="eastAsia"/>
          <w:sz w:val="24"/>
        </w:rPr>
        <w:t>级的教学任务，教学实践为</w:t>
      </w:r>
      <w:r>
        <w:rPr>
          <w:rFonts w:eastAsia="仿宋_GB2312"/>
          <w:sz w:val="24"/>
        </w:rPr>
        <w:t>1-2</w:t>
      </w:r>
      <w:r>
        <w:rPr>
          <w:rFonts w:eastAsia="仿宋_GB2312" w:hint="eastAsia"/>
          <w:sz w:val="24"/>
        </w:rPr>
        <w:t>年级的四个学期：高级阶段主要完成大学英语拓展课程的教学任务，实践为</w:t>
      </w:r>
      <w:r>
        <w:rPr>
          <w:rFonts w:eastAsia="仿宋_GB2312"/>
          <w:sz w:val="24"/>
        </w:rPr>
        <w:t>3-4</w:t>
      </w:r>
      <w:r>
        <w:rPr>
          <w:rFonts w:eastAsia="仿宋_GB2312" w:hint="eastAsia"/>
          <w:sz w:val="24"/>
        </w:rPr>
        <w:t>年级的前三个阶段。本课程主要针对基础阶段的大学英语学习者。</w:t>
      </w:r>
    </w:p>
    <w:p w:rsidR="003717A0" w:rsidRDefault="003717A0">
      <w:pPr>
        <w:spacing w:line="360" w:lineRule="auto"/>
        <w:rPr>
          <w:rFonts w:eastAsia="仿宋_GB2312"/>
          <w:sz w:val="24"/>
        </w:rPr>
      </w:pPr>
      <w:r>
        <w:rPr>
          <w:rFonts w:eastAsia="仿宋_GB2312" w:hint="eastAsia"/>
          <w:sz w:val="24"/>
        </w:rPr>
        <w:t>教学手段、原则与要求</w:t>
      </w:r>
    </w:p>
    <w:p w:rsidR="003717A0" w:rsidRDefault="003717A0">
      <w:pPr>
        <w:spacing w:line="360" w:lineRule="auto"/>
        <w:ind w:firstLine="435"/>
        <w:rPr>
          <w:rFonts w:eastAsia="仿宋_GB2312"/>
          <w:sz w:val="24"/>
        </w:rPr>
      </w:pPr>
      <w:r>
        <w:rPr>
          <w:rFonts w:eastAsia="仿宋_GB2312"/>
          <w:sz w:val="24"/>
        </w:rPr>
        <w:t>“</w:t>
      </w:r>
      <w:r>
        <w:rPr>
          <w:rFonts w:eastAsia="仿宋_GB2312" w:hint="eastAsia"/>
          <w:sz w:val="24"/>
        </w:rPr>
        <w:t>大学英语</w:t>
      </w:r>
      <w:r>
        <w:rPr>
          <w:rFonts w:eastAsia="仿宋_GB2312"/>
          <w:sz w:val="24"/>
        </w:rPr>
        <w:t>IV”</w:t>
      </w:r>
      <w:r>
        <w:rPr>
          <w:rFonts w:eastAsia="仿宋_GB2312" w:hint="eastAsia"/>
          <w:sz w:val="24"/>
        </w:rPr>
        <w:t>课程采用多媒体大班课，充分应用先进的多媒体网络等现代教育技术，引入计算机多媒体教学和网络学习平台，采用全方位、立体化的多媒体教学手段，提高教学效率和学生的学习质量。坚持</w:t>
      </w:r>
      <w:r>
        <w:rPr>
          <w:rFonts w:eastAsia="仿宋_GB2312"/>
          <w:sz w:val="24"/>
        </w:rPr>
        <w:t>“</w:t>
      </w:r>
      <w:r>
        <w:rPr>
          <w:rFonts w:eastAsia="仿宋_GB2312" w:hint="eastAsia"/>
          <w:sz w:val="24"/>
        </w:rPr>
        <w:t>厚语言基础、强综合应用能力、因人因材施教</w:t>
      </w:r>
      <w:r>
        <w:rPr>
          <w:rFonts w:eastAsia="仿宋_GB2312"/>
          <w:sz w:val="24"/>
        </w:rPr>
        <w:t>”</w:t>
      </w:r>
      <w:r>
        <w:rPr>
          <w:rFonts w:eastAsia="仿宋_GB2312" w:hint="eastAsia"/>
          <w:sz w:val="24"/>
        </w:rPr>
        <w:t>的教学原则。由于我校大学英语的教学模式为“</w:t>
      </w:r>
      <w:r>
        <w:rPr>
          <w:rFonts w:eastAsia="仿宋_GB2312"/>
          <w:sz w:val="24"/>
        </w:rPr>
        <w:t>2+X1+X2”</w:t>
      </w:r>
      <w:r>
        <w:rPr>
          <w:rFonts w:eastAsia="仿宋_GB2312" w:hint="eastAsia"/>
          <w:sz w:val="24"/>
        </w:rPr>
        <w:t>，即每两周</w:t>
      </w:r>
      <w:r>
        <w:rPr>
          <w:rFonts w:eastAsia="仿宋_GB2312"/>
          <w:sz w:val="24"/>
        </w:rPr>
        <w:t>2</w:t>
      </w:r>
      <w:r>
        <w:rPr>
          <w:rFonts w:eastAsia="仿宋_GB2312" w:hint="eastAsia"/>
          <w:sz w:val="24"/>
        </w:rPr>
        <w:t>节大班</w:t>
      </w:r>
      <w:r>
        <w:rPr>
          <w:rFonts w:eastAsia="仿宋_GB2312"/>
          <w:sz w:val="24"/>
        </w:rPr>
        <w:t>“</w:t>
      </w:r>
      <w:r>
        <w:rPr>
          <w:rFonts w:eastAsia="仿宋_GB2312" w:hint="eastAsia"/>
          <w:sz w:val="24"/>
        </w:rPr>
        <w:t>综合英语</w:t>
      </w:r>
      <w:r>
        <w:rPr>
          <w:rFonts w:eastAsia="仿宋_GB2312"/>
          <w:sz w:val="24"/>
        </w:rPr>
        <w:t>”</w:t>
      </w:r>
      <w:r>
        <w:rPr>
          <w:rFonts w:eastAsia="仿宋_GB2312" w:hint="eastAsia"/>
          <w:sz w:val="24"/>
        </w:rPr>
        <w:t>课程，每周</w:t>
      </w:r>
      <w:r>
        <w:rPr>
          <w:rFonts w:eastAsia="仿宋_GB2312"/>
          <w:sz w:val="24"/>
        </w:rPr>
        <w:t>2</w:t>
      </w:r>
      <w:r>
        <w:rPr>
          <w:rFonts w:eastAsia="仿宋_GB2312" w:hint="eastAsia"/>
          <w:sz w:val="24"/>
        </w:rPr>
        <w:t>节小班</w:t>
      </w:r>
      <w:r>
        <w:rPr>
          <w:rFonts w:eastAsia="仿宋_GB2312"/>
          <w:sz w:val="24"/>
        </w:rPr>
        <w:t>“</w:t>
      </w:r>
      <w:r>
        <w:rPr>
          <w:rFonts w:eastAsia="仿宋_GB2312" w:hint="eastAsia"/>
          <w:sz w:val="24"/>
        </w:rPr>
        <w:t>口语</w:t>
      </w:r>
      <w:r>
        <w:rPr>
          <w:rFonts w:eastAsia="仿宋_GB2312"/>
          <w:sz w:val="24"/>
        </w:rPr>
        <w:t>”</w:t>
      </w:r>
      <w:r>
        <w:rPr>
          <w:rFonts w:eastAsia="仿宋_GB2312" w:hint="eastAsia"/>
          <w:sz w:val="24"/>
        </w:rPr>
        <w:t>课程，另外，</w:t>
      </w:r>
      <w:r>
        <w:rPr>
          <w:rFonts w:eastAsia="仿宋_GB2312"/>
          <w:sz w:val="24"/>
        </w:rPr>
        <w:t xml:space="preserve">X2 </w:t>
      </w:r>
      <w:r>
        <w:rPr>
          <w:rFonts w:eastAsia="仿宋_GB2312" w:hint="eastAsia"/>
          <w:sz w:val="24"/>
        </w:rPr>
        <w:t>时数指学生根据自己的英语水平、学习进度和教师要求，随时随地上网提交书面读、写、译作业，参加论坛讨论、单元测试、强化听力和口语训练等内容，因此，在</w:t>
      </w:r>
      <w:r>
        <w:rPr>
          <w:rFonts w:eastAsia="仿宋_GB2312"/>
          <w:sz w:val="24"/>
        </w:rPr>
        <w:t>X2</w:t>
      </w:r>
      <w:r>
        <w:rPr>
          <w:rFonts w:eastAsia="仿宋_GB2312" w:hint="eastAsia"/>
          <w:sz w:val="24"/>
        </w:rPr>
        <w:t>时段内，教师必须要求学生完成该单元的学习情况。</w:t>
      </w:r>
      <w:r>
        <w:rPr>
          <w:rFonts w:eastAsia="仿宋_GB2312"/>
          <w:sz w:val="24"/>
        </w:rPr>
        <w:t xml:space="preserve">X2 </w:t>
      </w:r>
      <w:r>
        <w:rPr>
          <w:rFonts w:eastAsia="仿宋_GB2312" w:hint="eastAsia"/>
          <w:sz w:val="24"/>
        </w:rPr>
        <w:t>部分的学习时间每周不得低于</w:t>
      </w:r>
      <w:r>
        <w:rPr>
          <w:rFonts w:eastAsia="仿宋_GB2312"/>
          <w:sz w:val="24"/>
        </w:rPr>
        <w:t>4</w:t>
      </w:r>
      <w:r>
        <w:rPr>
          <w:rFonts w:eastAsia="仿宋_GB2312" w:hint="eastAsia"/>
          <w:sz w:val="24"/>
        </w:rPr>
        <w:t>小时。</w:t>
      </w:r>
    </w:p>
    <w:p w:rsidR="003717A0" w:rsidRDefault="003717A0">
      <w:pPr>
        <w:spacing w:line="360" w:lineRule="auto"/>
        <w:rPr>
          <w:rFonts w:eastAsia="仿宋_GB2312"/>
          <w:b/>
          <w:sz w:val="24"/>
        </w:rPr>
      </w:pPr>
      <w:r>
        <w:rPr>
          <w:rFonts w:eastAsia="仿宋_GB2312"/>
          <w:b/>
          <w:sz w:val="24"/>
        </w:rPr>
        <w:t>Band Four</w:t>
      </w:r>
    </w:p>
    <w:p w:rsidR="003717A0" w:rsidRDefault="003717A0">
      <w:pPr>
        <w:rPr>
          <w:b/>
          <w:bCs/>
          <w:sz w:val="24"/>
        </w:rPr>
      </w:pPr>
      <w:r>
        <w:rPr>
          <w:b/>
          <w:bCs/>
          <w:sz w:val="24"/>
        </w:rPr>
        <w:t>Unit One</w:t>
      </w:r>
      <w:r>
        <w:rPr>
          <w:rFonts w:hint="eastAsia"/>
          <w:b/>
          <w:bCs/>
          <w:sz w:val="24"/>
        </w:rPr>
        <w:t>：</w:t>
      </w:r>
      <w:r>
        <w:rPr>
          <w:b/>
          <w:bCs/>
          <w:sz w:val="24"/>
        </w:rPr>
        <w:t>The Tail of Fame</w:t>
      </w:r>
    </w:p>
    <w:p w:rsidR="003717A0" w:rsidRDefault="003717A0">
      <w:pPr>
        <w:rPr>
          <w:bCs/>
          <w:sz w:val="24"/>
        </w:rPr>
      </w:pPr>
      <w:r>
        <w:rPr>
          <w:bCs/>
          <w:sz w:val="24"/>
        </w:rPr>
        <w:t>Teaching objectives:</w:t>
      </w:r>
    </w:p>
    <w:p w:rsidR="003717A0" w:rsidRDefault="003717A0">
      <w:pPr>
        <w:rPr>
          <w:bCs/>
          <w:sz w:val="24"/>
        </w:rPr>
      </w:pPr>
      <w:r>
        <w:rPr>
          <w:bCs/>
          <w:sz w:val="24"/>
        </w:rPr>
        <w:t xml:space="preserve">1. Have the Ss know some ideas of fame. </w:t>
      </w:r>
    </w:p>
    <w:p w:rsidR="003717A0" w:rsidRDefault="003717A0">
      <w:pPr>
        <w:rPr>
          <w:bCs/>
          <w:sz w:val="24"/>
        </w:rPr>
      </w:pPr>
      <w:r>
        <w:rPr>
          <w:bCs/>
          <w:sz w:val="24"/>
        </w:rPr>
        <w:t>2. Guide the Ss use freely the active expressions, key grammatical points and sentence patterns in this text.</w:t>
      </w:r>
    </w:p>
    <w:p w:rsidR="003717A0" w:rsidRDefault="003717A0">
      <w:pPr>
        <w:rPr>
          <w:bCs/>
          <w:sz w:val="24"/>
        </w:rPr>
      </w:pPr>
      <w:r>
        <w:rPr>
          <w:bCs/>
          <w:sz w:val="24"/>
        </w:rPr>
        <w:t>3. Instruct the Ss to understand the meaning of seeking fame.</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1. 1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2. 3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leftChars="1000" w:left="2100"/>
        <w:rPr>
          <w:bCs/>
          <w:sz w:val="24"/>
        </w:rPr>
      </w:pPr>
      <w:r>
        <w:rPr>
          <w:bCs/>
          <w:sz w:val="24"/>
        </w:rPr>
        <w:t>Review key language points; exercises after text A; essay writing;</w:t>
      </w:r>
    </w:p>
    <w:p w:rsidR="003717A0" w:rsidRDefault="003717A0">
      <w:pPr>
        <w:rPr>
          <w:bCs/>
          <w:sz w:val="24"/>
        </w:rPr>
      </w:pPr>
      <w:r>
        <w:rPr>
          <w:bCs/>
          <w:sz w:val="24"/>
        </w:rPr>
        <w:t>3. 5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lastRenderedPageBreak/>
        <w:t>1. What burden would a celebrity shoulder in reality?</w:t>
      </w:r>
    </w:p>
    <w:p w:rsidR="003717A0" w:rsidRDefault="003717A0">
      <w:pPr>
        <w:rPr>
          <w:bCs/>
          <w:sz w:val="24"/>
        </w:rPr>
      </w:pPr>
      <w:r>
        <w:rPr>
          <w:bCs/>
          <w:sz w:val="24"/>
        </w:rPr>
        <w:t>2.  What price should be paid to gain fame?</w:t>
      </w:r>
    </w:p>
    <w:p w:rsidR="003717A0" w:rsidRDefault="003717A0">
      <w:pPr>
        <w:rPr>
          <w:bCs/>
          <w:sz w:val="24"/>
        </w:rPr>
      </w:pPr>
    </w:p>
    <w:p w:rsidR="003717A0" w:rsidRDefault="003717A0">
      <w:pPr>
        <w:rPr>
          <w:bCs/>
          <w:sz w:val="24"/>
        </w:rPr>
      </w:pPr>
      <w:r>
        <w:rPr>
          <w:bCs/>
          <w:sz w:val="24"/>
        </w:rPr>
        <w:t>Key words:</w:t>
      </w:r>
    </w:p>
    <w:p w:rsidR="003717A0" w:rsidRDefault="003717A0">
      <w:pPr>
        <w:rPr>
          <w:bCs/>
          <w:sz w:val="24"/>
        </w:rPr>
      </w:pPr>
      <w:r>
        <w:rPr>
          <w:bCs/>
          <w:sz w:val="24"/>
        </w:rPr>
        <w:t>Pessimistic, conquest, bankrupt, motive, worship, imperial,  idle, sustain, distinct, fraud</w:t>
      </w:r>
    </w:p>
    <w:p w:rsidR="003717A0" w:rsidRDefault="003717A0">
      <w:pPr>
        <w:rPr>
          <w:bCs/>
          <w:sz w:val="24"/>
        </w:rPr>
      </w:pPr>
    </w:p>
    <w:p w:rsidR="003717A0" w:rsidRDefault="003717A0">
      <w:pPr>
        <w:rPr>
          <w:bCs/>
          <w:sz w:val="24"/>
        </w:rPr>
      </w:pPr>
      <w:r>
        <w:rPr>
          <w:bCs/>
          <w:sz w:val="24"/>
        </w:rPr>
        <w:t>Key phrases and expressions:</w:t>
      </w:r>
    </w:p>
    <w:p w:rsidR="003717A0" w:rsidRDefault="003717A0">
      <w:pPr>
        <w:rPr>
          <w:bCs/>
          <w:sz w:val="24"/>
        </w:rPr>
      </w:pPr>
      <w:r>
        <w:rPr>
          <w:bCs/>
          <w:sz w:val="24"/>
        </w:rPr>
        <w:t>1. at best</w:t>
      </w:r>
      <w:r>
        <w:rPr>
          <w:bCs/>
          <w:sz w:val="24"/>
        </w:rPr>
        <w:tab/>
        <w:t>2. be hard-pressed to</w:t>
      </w:r>
      <w:r>
        <w:rPr>
          <w:bCs/>
          <w:sz w:val="24"/>
        </w:rPr>
        <w:tab/>
        <w:t>3. other than</w:t>
      </w:r>
    </w:p>
    <w:p w:rsidR="003717A0" w:rsidRDefault="003717A0">
      <w:pPr>
        <w:rPr>
          <w:bCs/>
          <w:sz w:val="24"/>
        </w:rPr>
      </w:pPr>
      <w:r>
        <w:rPr>
          <w:bCs/>
          <w:sz w:val="24"/>
        </w:rPr>
        <w:t xml:space="preserve">4. thank sb. out of oneself </w:t>
      </w:r>
      <w:r>
        <w:rPr>
          <w:bCs/>
          <w:sz w:val="24"/>
        </w:rPr>
        <w:tab/>
        <w:t>5. remain true to oneself</w:t>
      </w:r>
      <w:r>
        <w:rPr>
          <w:bCs/>
          <w:sz w:val="24"/>
        </w:rPr>
        <w:tab/>
        <w:t>6. accuse sb. of sth.</w:t>
      </w:r>
    </w:p>
    <w:p w:rsidR="003717A0" w:rsidRDefault="003717A0">
      <w:pPr>
        <w:rPr>
          <w:bCs/>
          <w:sz w:val="24"/>
        </w:rPr>
      </w:pPr>
      <w:r>
        <w:rPr>
          <w:bCs/>
          <w:sz w:val="24"/>
        </w:rPr>
        <w:t xml:space="preserve">7. sell out </w:t>
      </w:r>
      <w:r>
        <w:rPr>
          <w:bCs/>
          <w:sz w:val="24"/>
        </w:rPr>
        <w:tab/>
        <w:t>8. be thrown out of</w:t>
      </w:r>
      <w:r>
        <w:rPr>
          <w:bCs/>
          <w:sz w:val="24"/>
        </w:rPr>
        <w:tab/>
        <w:t>9. pay for</w:t>
      </w:r>
    </w:p>
    <w:p w:rsidR="003717A0" w:rsidRDefault="003717A0">
      <w:pPr>
        <w:rPr>
          <w:bCs/>
          <w:sz w:val="24"/>
        </w:rPr>
      </w:pPr>
      <w:r>
        <w:rPr>
          <w:bCs/>
          <w:sz w:val="24"/>
        </w:rPr>
        <w:t>10. run a risk of</w:t>
      </w:r>
      <w:r>
        <w:rPr>
          <w:bCs/>
          <w:sz w:val="24"/>
        </w:rPr>
        <w:tab/>
        <w:t>11. come upon</w:t>
      </w:r>
      <w:r>
        <w:rPr>
          <w:bCs/>
          <w:sz w:val="24"/>
        </w:rPr>
        <w:tab/>
        <w:t xml:space="preserve">12. participate in </w:t>
      </w:r>
    </w:p>
    <w:p w:rsidR="003717A0" w:rsidRDefault="003717A0">
      <w:pPr>
        <w:rPr>
          <w:bCs/>
          <w:sz w:val="24"/>
        </w:rPr>
      </w:pPr>
      <w:r>
        <w:rPr>
          <w:bCs/>
          <w:sz w:val="24"/>
        </w:rPr>
        <w:t xml:space="preserve">13. at one’s worst </w:t>
      </w:r>
      <w:r>
        <w:rPr>
          <w:bCs/>
          <w:sz w:val="24"/>
        </w:rPr>
        <w:tab/>
        <w:t>14. end up</w:t>
      </w:r>
      <w:r>
        <w:rPr>
          <w:bCs/>
          <w:sz w:val="24"/>
        </w:rPr>
        <w:tab/>
        <w:t>15. give a realistic account of</w:t>
      </w:r>
    </w:p>
    <w:p w:rsidR="003717A0" w:rsidRDefault="003717A0">
      <w:pPr>
        <w:rPr>
          <w:bCs/>
          <w:sz w:val="24"/>
        </w:rPr>
      </w:pPr>
      <w:r>
        <w:rPr>
          <w:bCs/>
          <w:sz w:val="24"/>
        </w:rPr>
        <w:t>16. appeal to one’s eye</w:t>
      </w:r>
      <w:r>
        <w:rPr>
          <w:bCs/>
          <w:sz w:val="24"/>
        </w:rPr>
        <w:tab/>
        <w:t xml:space="preserve">17. make a good salary </w:t>
      </w:r>
      <w:r>
        <w:rPr>
          <w:bCs/>
          <w:sz w:val="24"/>
        </w:rPr>
        <w:tab/>
        <w:t xml:space="preserve">18. for the sake of </w:t>
      </w:r>
    </w:p>
    <w:p w:rsidR="003717A0" w:rsidRDefault="003717A0">
      <w:pPr>
        <w:rPr>
          <w:bCs/>
          <w:sz w:val="24"/>
        </w:rPr>
      </w:pPr>
      <w:r>
        <w:rPr>
          <w:bCs/>
          <w:sz w:val="24"/>
        </w:rPr>
        <w:t>19. let sth. take over</w:t>
      </w:r>
      <w:r>
        <w:rPr>
          <w:bCs/>
          <w:sz w:val="24"/>
        </w:rPr>
        <w:tab/>
        <w:t xml:space="preserve">20. rock and roll </w:t>
      </w:r>
      <w:r>
        <w:rPr>
          <w:bCs/>
          <w:sz w:val="24"/>
        </w:rPr>
        <w:tab/>
        <w:t>21. reap the greatest reward</w:t>
      </w:r>
    </w:p>
    <w:p w:rsidR="003717A0" w:rsidRDefault="003717A0">
      <w:pPr>
        <w:rPr>
          <w:bCs/>
          <w:sz w:val="24"/>
        </w:rPr>
      </w:pPr>
      <w:r>
        <w:rPr>
          <w:bCs/>
          <w:sz w:val="24"/>
        </w:rPr>
        <w:t>22. the conquest of fame</w:t>
      </w:r>
      <w:r>
        <w:rPr>
          <w:bCs/>
          <w:sz w:val="24"/>
        </w:rPr>
        <w:tab/>
        <w:t>23. drowning in fame’s imperial glory</w:t>
      </w:r>
    </w:p>
    <w:p w:rsidR="003717A0" w:rsidRDefault="003717A0">
      <w:pPr>
        <w:rPr>
          <w:bCs/>
          <w:sz w:val="24"/>
        </w:rPr>
      </w:pPr>
      <w:r>
        <w:rPr>
          <w:bCs/>
          <w:sz w:val="24"/>
        </w:rPr>
        <w:t>24. the next flavor of the month</w:t>
      </w:r>
      <w:r>
        <w:rPr>
          <w:bCs/>
          <w:sz w:val="24"/>
        </w:rPr>
        <w:tab/>
        <w:t>25.expell from</w:t>
      </w:r>
      <w:r>
        <w:rPr>
          <w:bCs/>
          <w:sz w:val="24"/>
        </w:rPr>
        <w:tab/>
        <w:t>26. the circle of public favor</w:t>
      </w:r>
    </w:p>
    <w:p w:rsidR="003717A0" w:rsidRDefault="003717A0">
      <w:pPr>
        <w:rPr>
          <w:bCs/>
          <w:sz w:val="24"/>
        </w:rPr>
      </w:pPr>
    </w:p>
    <w:p w:rsidR="003717A0" w:rsidRDefault="003717A0">
      <w:pPr>
        <w:rPr>
          <w:bCs/>
          <w:sz w:val="24"/>
        </w:rPr>
      </w:pPr>
      <w:r>
        <w:rPr>
          <w:bCs/>
          <w:sz w:val="24"/>
        </w:rPr>
        <w:t>Key structures in Text A:</w:t>
      </w:r>
    </w:p>
    <w:p w:rsidR="003717A0" w:rsidRDefault="003717A0">
      <w:pPr>
        <w:rPr>
          <w:bCs/>
          <w:sz w:val="24"/>
        </w:rPr>
      </w:pPr>
      <w:r>
        <w:rPr>
          <w:bCs/>
          <w:sz w:val="24"/>
        </w:rPr>
        <w:t xml:space="preserve">1. The public simply discounts styles </w:t>
      </w:r>
      <w:r>
        <w:rPr>
          <w:bCs/>
          <w:sz w:val="24"/>
          <w:u w:val="single"/>
        </w:rPr>
        <w:t xml:space="preserve">other than </w:t>
      </w:r>
      <w:r>
        <w:rPr>
          <w:bCs/>
          <w:sz w:val="24"/>
        </w:rPr>
        <w:t>those for which the artist has become famous. (L21)</w:t>
      </w:r>
    </w:p>
    <w:p w:rsidR="003717A0" w:rsidRDefault="003717A0">
      <w:pPr>
        <w:rPr>
          <w:bCs/>
          <w:sz w:val="24"/>
        </w:rPr>
      </w:pPr>
      <w:r>
        <w:rPr>
          <w:bCs/>
          <w:sz w:val="24"/>
        </w:rPr>
        <w:t>other than</w:t>
      </w:r>
      <w:r>
        <w:rPr>
          <w:rFonts w:hint="eastAsia"/>
          <w:bCs/>
          <w:sz w:val="24"/>
        </w:rPr>
        <w:t>除了……</w:t>
      </w:r>
    </w:p>
    <w:p w:rsidR="003717A0" w:rsidRDefault="003717A0">
      <w:pPr>
        <w:rPr>
          <w:bCs/>
          <w:sz w:val="24"/>
        </w:rPr>
      </w:pPr>
      <w:r>
        <w:rPr>
          <w:bCs/>
          <w:sz w:val="24"/>
        </w:rPr>
        <w:t>[preposition] use this in a negative sentence to show that the thing, person etc that you mention is the only person or thing that is not included in your statement</w:t>
      </w:r>
    </w:p>
    <w:p w:rsidR="003717A0" w:rsidRDefault="003717A0">
      <w:pPr>
        <w:rPr>
          <w:bCs/>
          <w:sz w:val="24"/>
        </w:rPr>
      </w:pPr>
      <w:r>
        <w:rPr>
          <w:bCs/>
          <w:sz w:val="24"/>
        </w:rPr>
        <w:t xml:space="preserve">    </w:t>
      </w:r>
    </w:p>
    <w:p w:rsidR="003717A0" w:rsidRDefault="003717A0">
      <w:pPr>
        <w:rPr>
          <w:bCs/>
          <w:sz w:val="24"/>
        </w:rPr>
      </w:pPr>
    </w:p>
    <w:p w:rsidR="003717A0" w:rsidRDefault="003717A0">
      <w:pPr>
        <w:rPr>
          <w:bCs/>
          <w:sz w:val="24"/>
        </w:rPr>
      </w:pPr>
      <w:r>
        <w:rPr>
          <w:bCs/>
          <w:sz w:val="24"/>
        </w:rPr>
        <w:t xml:space="preserve">2. He </w:t>
      </w:r>
      <w:r>
        <w:rPr>
          <w:bCs/>
          <w:sz w:val="24"/>
          <w:u w:val="single"/>
        </w:rPr>
        <w:t>should have hired</w:t>
      </w:r>
      <w:r>
        <w:rPr>
          <w:bCs/>
          <w:sz w:val="24"/>
        </w:rPr>
        <w:t xml:space="preserve"> a better attorney, though. </w:t>
      </w:r>
    </w:p>
    <w:p w:rsidR="003717A0" w:rsidRDefault="003717A0">
      <w:pPr>
        <w:ind w:firstLineChars="100" w:firstLine="240"/>
        <w:rPr>
          <w:bCs/>
          <w:sz w:val="24"/>
        </w:rPr>
      </w:pPr>
      <w:r>
        <w:rPr>
          <w:bCs/>
          <w:sz w:val="24"/>
        </w:rPr>
        <w:t>should/would/need/might/must have done (</w:t>
      </w:r>
      <w:r>
        <w:rPr>
          <w:rFonts w:hint="eastAsia"/>
          <w:bCs/>
          <w:sz w:val="24"/>
        </w:rPr>
        <w:t>虚拟语气</w:t>
      </w:r>
      <w:r>
        <w:rPr>
          <w:bCs/>
          <w:sz w:val="24"/>
        </w:rPr>
        <w:t>)</w:t>
      </w:r>
    </w:p>
    <w:p w:rsidR="003717A0" w:rsidRDefault="003717A0">
      <w:pPr>
        <w:ind w:firstLineChars="100" w:firstLine="240"/>
        <w:rPr>
          <w:bCs/>
          <w:sz w:val="24"/>
        </w:rPr>
      </w:pPr>
      <w:r>
        <w:rPr>
          <w:rFonts w:hint="eastAsia"/>
          <w:bCs/>
          <w:sz w:val="24"/>
        </w:rPr>
        <w:t>表示与现在事实相反的情况：</w:t>
      </w:r>
    </w:p>
    <w:p w:rsidR="003717A0" w:rsidRDefault="003717A0">
      <w:pPr>
        <w:rPr>
          <w:bCs/>
          <w:sz w:val="24"/>
        </w:rPr>
      </w:pPr>
      <w:r>
        <w:rPr>
          <w:bCs/>
          <w:sz w:val="24"/>
        </w:rPr>
        <w:t xml:space="preserve">    1) If there</w:t>
      </w:r>
      <w:r>
        <w:rPr>
          <w:bCs/>
          <w:sz w:val="24"/>
          <w:u w:val="single"/>
        </w:rPr>
        <w:t xml:space="preserve"> were</w:t>
      </w:r>
      <w:r>
        <w:rPr>
          <w:bCs/>
          <w:sz w:val="24"/>
        </w:rPr>
        <w:t xml:space="preserve"> no air or water, there </w:t>
      </w:r>
      <w:r>
        <w:rPr>
          <w:bCs/>
          <w:sz w:val="24"/>
          <w:u w:val="single"/>
        </w:rPr>
        <w:t>wou</w:t>
      </w:r>
      <w:r>
        <w:rPr>
          <w:bCs/>
          <w:sz w:val="24"/>
        </w:rPr>
        <w:t xml:space="preserve">ld be no living things on the earth. </w:t>
      </w:r>
    </w:p>
    <w:p w:rsidR="003717A0" w:rsidRDefault="003717A0">
      <w:pPr>
        <w:rPr>
          <w:bCs/>
          <w:sz w:val="24"/>
        </w:rPr>
      </w:pPr>
      <w:r>
        <w:rPr>
          <w:rFonts w:hint="eastAsia"/>
          <w:bCs/>
          <w:sz w:val="24"/>
        </w:rPr>
        <w:t xml:space="preserve">　　</w:t>
      </w:r>
      <w:r>
        <w:rPr>
          <w:bCs/>
          <w:sz w:val="24"/>
        </w:rPr>
        <w:t xml:space="preserve">2) If I </w:t>
      </w:r>
      <w:r>
        <w:rPr>
          <w:bCs/>
          <w:sz w:val="24"/>
          <w:u w:val="single"/>
        </w:rPr>
        <w:t xml:space="preserve">had </w:t>
      </w:r>
      <w:r>
        <w:rPr>
          <w:bCs/>
          <w:sz w:val="24"/>
        </w:rPr>
        <w:t xml:space="preserve">any money with me, I </w:t>
      </w:r>
      <w:r>
        <w:rPr>
          <w:bCs/>
          <w:sz w:val="24"/>
          <w:u w:val="single"/>
        </w:rPr>
        <w:t xml:space="preserve">could lend </w:t>
      </w:r>
      <w:r>
        <w:rPr>
          <w:bCs/>
          <w:sz w:val="24"/>
        </w:rPr>
        <w:t>you some.</w:t>
      </w:r>
    </w:p>
    <w:p w:rsidR="003717A0" w:rsidRDefault="003717A0">
      <w:pPr>
        <w:ind w:firstLineChars="100" w:firstLine="240"/>
        <w:rPr>
          <w:bCs/>
          <w:sz w:val="24"/>
        </w:rPr>
      </w:pPr>
      <w:r>
        <w:rPr>
          <w:rFonts w:hint="eastAsia"/>
          <w:bCs/>
          <w:sz w:val="24"/>
        </w:rPr>
        <w:t>表示与过去事实相反的情况</w:t>
      </w:r>
    </w:p>
    <w:p w:rsidR="003717A0" w:rsidRDefault="003717A0">
      <w:pPr>
        <w:ind w:firstLineChars="200" w:firstLine="480"/>
        <w:rPr>
          <w:bCs/>
          <w:sz w:val="24"/>
        </w:rPr>
      </w:pPr>
      <w:r>
        <w:rPr>
          <w:bCs/>
          <w:sz w:val="24"/>
        </w:rPr>
        <w:t xml:space="preserve">1) If I </w:t>
      </w:r>
      <w:r>
        <w:rPr>
          <w:bCs/>
          <w:sz w:val="24"/>
          <w:u w:val="single"/>
        </w:rPr>
        <w:t>had got</w:t>
      </w:r>
      <w:r>
        <w:rPr>
          <w:bCs/>
          <w:sz w:val="24"/>
        </w:rPr>
        <w:t xml:space="preserve"> there earlier, I s</w:t>
      </w:r>
      <w:r>
        <w:rPr>
          <w:bCs/>
          <w:sz w:val="24"/>
          <w:u w:val="single"/>
        </w:rPr>
        <w:t>hould/could have met</w:t>
      </w:r>
      <w:r>
        <w:rPr>
          <w:bCs/>
          <w:sz w:val="24"/>
        </w:rPr>
        <w:t xml:space="preserve"> her. </w:t>
      </w:r>
    </w:p>
    <w:p w:rsidR="003717A0" w:rsidRDefault="003717A0">
      <w:pPr>
        <w:ind w:firstLine="420"/>
        <w:rPr>
          <w:bCs/>
          <w:sz w:val="24"/>
        </w:rPr>
      </w:pPr>
      <w:r>
        <w:rPr>
          <w:bCs/>
          <w:sz w:val="24"/>
        </w:rPr>
        <w:t xml:space="preserve">2) If he </w:t>
      </w:r>
      <w:r>
        <w:rPr>
          <w:bCs/>
          <w:sz w:val="24"/>
          <w:u w:val="single"/>
        </w:rPr>
        <w:t xml:space="preserve">had taken </w:t>
      </w:r>
      <w:r>
        <w:rPr>
          <w:bCs/>
          <w:sz w:val="24"/>
        </w:rPr>
        <w:t xml:space="preserve">my advice, he </w:t>
      </w:r>
      <w:r>
        <w:rPr>
          <w:bCs/>
          <w:sz w:val="24"/>
          <w:u w:val="single"/>
        </w:rPr>
        <w:t>would not have made</w:t>
      </w:r>
      <w:r>
        <w:rPr>
          <w:bCs/>
          <w:sz w:val="24"/>
        </w:rPr>
        <w:t xml:space="preserve"> such a mistake.</w:t>
      </w:r>
    </w:p>
    <w:p w:rsidR="003717A0" w:rsidRDefault="003717A0">
      <w:pPr>
        <w:ind w:firstLineChars="100" w:firstLine="240"/>
        <w:rPr>
          <w:bCs/>
          <w:sz w:val="24"/>
        </w:rPr>
      </w:pPr>
      <w:r>
        <w:rPr>
          <w:rFonts w:hint="eastAsia"/>
          <w:bCs/>
          <w:sz w:val="24"/>
        </w:rPr>
        <w:t>表示对将来情况的主观推测</w:t>
      </w:r>
    </w:p>
    <w:p w:rsidR="003717A0" w:rsidRDefault="003717A0">
      <w:pPr>
        <w:ind w:firstLineChars="200" w:firstLine="480"/>
        <w:rPr>
          <w:bCs/>
          <w:sz w:val="24"/>
        </w:rPr>
      </w:pPr>
      <w:r>
        <w:rPr>
          <w:bCs/>
          <w:sz w:val="24"/>
        </w:rPr>
        <w:t xml:space="preserve">1) If he </w:t>
      </w:r>
      <w:r>
        <w:rPr>
          <w:bCs/>
          <w:sz w:val="24"/>
          <w:u w:val="single"/>
        </w:rPr>
        <w:t xml:space="preserve">should come </w:t>
      </w:r>
      <w:r>
        <w:rPr>
          <w:bCs/>
          <w:sz w:val="24"/>
        </w:rPr>
        <w:t xml:space="preserve">here tomorrow, I </w:t>
      </w:r>
      <w:r>
        <w:rPr>
          <w:bCs/>
          <w:sz w:val="24"/>
          <w:u w:val="single"/>
        </w:rPr>
        <w:t>would talk</w:t>
      </w:r>
      <w:r>
        <w:rPr>
          <w:bCs/>
          <w:sz w:val="24"/>
        </w:rPr>
        <w:t xml:space="preserve"> to him. </w:t>
      </w:r>
    </w:p>
    <w:p w:rsidR="003717A0" w:rsidRDefault="003717A0">
      <w:pPr>
        <w:rPr>
          <w:bCs/>
          <w:sz w:val="24"/>
        </w:rPr>
      </w:pPr>
      <w:r>
        <w:rPr>
          <w:rFonts w:hint="eastAsia"/>
          <w:bCs/>
          <w:sz w:val="24"/>
        </w:rPr>
        <w:t xml:space="preserve">　　</w:t>
      </w:r>
      <w:r>
        <w:rPr>
          <w:bCs/>
          <w:sz w:val="24"/>
        </w:rPr>
        <w:t xml:space="preserve">2) If there </w:t>
      </w:r>
      <w:r>
        <w:rPr>
          <w:bCs/>
          <w:sz w:val="24"/>
          <w:u w:val="single"/>
        </w:rPr>
        <w:t>were</w:t>
      </w:r>
      <w:r>
        <w:rPr>
          <w:bCs/>
          <w:sz w:val="24"/>
        </w:rPr>
        <w:t xml:space="preserve"> a heavy snow next Sunday, we</w:t>
      </w:r>
      <w:r>
        <w:rPr>
          <w:bCs/>
          <w:sz w:val="24"/>
          <w:u w:val="single"/>
        </w:rPr>
        <w:t xml:space="preserve"> would not go</w:t>
      </w:r>
      <w:r>
        <w:rPr>
          <w:bCs/>
          <w:sz w:val="24"/>
        </w:rPr>
        <w:t xml:space="preserve"> skating. </w:t>
      </w:r>
    </w:p>
    <w:p w:rsidR="003717A0" w:rsidRDefault="003717A0">
      <w:pPr>
        <w:ind w:firstLineChars="200" w:firstLine="480"/>
        <w:rPr>
          <w:bCs/>
          <w:sz w:val="24"/>
        </w:rPr>
      </w:pPr>
      <w:r>
        <w:rPr>
          <w:bCs/>
          <w:sz w:val="24"/>
        </w:rPr>
        <w:t>3) If she</w:t>
      </w:r>
      <w:r>
        <w:rPr>
          <w:bCs/>
          <w:sz w:val="24"/>
          <w:u w:val="single"/>
        </w:rPr>
        <w:t xml:space="preserve"> were to be here</w:t>
      </w:r>
      <w:r>
        <w:rPr>
          <w:bCs/>
          <w:sz w:val="24"/>
        </w:rPr>
        <w:t xml:space="preserve"> next Monday, I </w:t>
      </w:r>
      <w:r>
        <w:rPr>
          <w:bCs/>
          <w:sz w:val="24"/>
          <w:u w:val="single"/>
        </w:rPr>
        <w:t>would tell</w:t>
      </w:r>
      <w:r>
        <w:rPr>
          <w:bCs/>
          <w:sz w:val="24"/>
        </w:rPr>
        <w:t xml:space="preserve"> her about the matter. </w:t>
      </w:r>
    </w:p>
    <w:p w:rsidR="003717A0" w:rsidRDefault="003717A0">
      <w:pPr>
        <w:rPr>
          <w:bCs/>
          <w:sz w:val="24"/>
        </w:rPr>
      </w:pPr>
      <w:r>
        <w:rPr>
          <w:bCs/>
          <w:sz w:val="24"/>
        </w:rPr>
        <w:t>Topic for writing:</w:t>
      </w:r>
    </w:p>
    <w:p w:rsidR="003717A0" w:rsidRDefault="003717A0">
      <w:pPr>
        <w:rPr>
          <w:bCs/>
          <w:sz w:val="24"/>
        </w:rPr>
      </w:pPr>
      <w:r>
        <w:rPr>
          <w:bCs/>
          <w:sz w:val="24"/>
        </w:rPr>
        <w:t>Directions: You are allowed 30 minutes to write a composition with on the topic The Tail of Fame</w:t>
      </w:r>
    </w:p>
    <w:p w:rsidR="003717A0" w:rsidRDefault="003717A0">
      <w:pPr>
        <w:ind w:left="1200" w:hangingChars="500" w:hanging="1200"/>
        <w:rPr>
          <w:bCs/>
          <w:sz w:val="24"/>
        </w:rPr>
      </w:pPr>
      <w:r>
        <w:rPr>
          <w:bCs/>
          <w:sz w:val="24"/>
        </w:rPr>
        <w:t>. You should write at least 130 words, and base your composition on the outline (given in Chinese) below:</w:t>
      </w:r>
    </w:p>
    <w:p w:rsidR="003717A0" w:rsidRDefault="003717A0">
      <w:pPr>
        <w:rPr>
          <w:bCs/>
          <w:sz w:val="24"/>
        </w:rPr>
      </w:pPr>
      <w:r>
        <w:rPr>
          <w:bCs/>
          <w:sz w:val="24"/>
        </w:rPr>
        <w:t xml:space="preserve">Outlines: </w:t>
      </w:r>
    </w:p>
    <w:p w:rsidR="003717A0" w:rsidRDefault="003717A0">
      <w:pPr>
        <w:rPr>
          <w:bCs/>
          <w:sz w:val="24"/>
        </w:rPr>
      </w:pPr>
      <w:r>
        <w:rPr>
          <w:bCs/>
          <w:sz w:val="24"/>
        </w:rPr>
        <w:t xml:space="preserve"> </w:t>
      </w:r>
      <w:r>
        <w:rPr>
          <w:rFonts w:hint="eastAsia"/>
          <w:bCs/>
          <w:sz w:val="24"/>
        </w:rPr>
        <w:t>你对追求名气的看法；</w:t>
      </w:r>
    </w:p>
    <w:p w:rsidR="003717A0" w:rsidRDefault="003717A0">
      <w:pPr>
        <w:rPr>
          <w:bCs/>
          <w:sz w:val="24"/>
        </w:rPr>
      </w:pPr>
      <w:r>
        <w:rPr>
          <w:bCs/>
          <w:sz w:val="24"/>
        </w:rPr>
        <w:lastRenderedPageBreak/>
        <w:t xml:space="preserve"> </w:t>
      </w:r>
      <w:r>
        <w:rPr>
          <w:rFonts w:hint="eastAsia"/>
          <w:bCs/>
          <w:sz w:val="24"/>
        </w:rPr>
        <w:t>对你的观点进行深入论述；</w:t>
      </w:r>
    </w:p>
    <w:p w:rsidR="003717A0" w:rsidRDefault="003717A0">
      <w:pPr>
        <w:rPr>
          <w:bCs/>
          <w:sz w:val="24"/>
        </w:rPr>
      </w:pPr>
      <w:r>
        <w:rPr>
          <w:bCs/>
          <w:sz w:val="24"/>
        </w:rPr>
        <w:t xml:space="preserve"> </w:t>
      </w:r>
      <w:r>
        <w:rPr>
          <w:rFonts w:hint="eastAsia"/>
          <w:bCs/>
          <w:sz w:val="24"/>
        </w:rPr>
        <w:t>你的建议。</w:t>
      </w:r>
    </w:p>
    <w:p w:rsidR="003717A0" w:rsidRDefault="003717A0">
      <w:pPr>
        <w:rPr>
          <w:bCs/>
          <w:sz w:val="24"/>
        </w:rPr>
      </w:pP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1.Recite the 1</w:t>
      </w:r>
      <w:r>
        <w:rPr>
          <w:bCs/>
          <w:sz w:val="24"/>
          <w:vertAlign w:val="superscript"/>
        </w:rPr>
        <w:t>st</w:t>
      </w:r>
      <w:r>
        <w:rPr>
          <w:bCs/>
          <w:sz w:val="24"/>
        </w:rPr>
        <w:t>, 5</w:t>
      </w:r>
      <w:r>
        <w:rPr>
          <w:bCs/>
          <w:sz w:val="24"/>
          <w:vertAlign w:val="superscript"/>
        </w:rPr>
        <w:t>th</w:t>
      </w:r>
      <w:r>
        <w:rPr>
          <w:bCs/>
          <w:sz w:val="24"/>
        </w:rPr>
        <w:t xml:space="preserve"> and 7</w:t>
      </w:r>
      <w:r>
        <w:rPr>
          <w:bCs/>
          <w:sz w:val="24"/>
          <w:vertAlign w:val="superscript"/>
        </w:rPr>
        <w:t>th</w:t>
      </w:r>
      <w:r>
        <w:rPr>
          <w:bCs/>
          <w:sz w:val="24"/>
        </w:rPr>
        <w:t xml:space="preserve"> paragraph in Text A.</w:t>
      </w:r>
    </w:p>
    <w:p w:rsidR="003717A0" w:rsidRDefault="003717A0">
      <w:pPr>
        <w:rPr>
          <w:bCs/>
          <w:sz w:val="24"/>
        </w:rPr>
      </w:pPr>
      <w:r>
        <w:rPr>
          <w:bCs/>
          <w:sz w:val="24"/>
        </w:rPr>
        <w:t>2.Summarize different results of gaining fame.</w:t>
      </w:r>
    </w:p>
    <w:p w:rsidR="003717A0" w:rsidRDefault="003717A0">
      <w:pPr>
        <w:rPr>
          <w:bCs/>
          <w:sz w:val="24"/>
        </w:rPr>
      </w:pPr>
      <w:r>
        <w:rPr>
          <w:bCs/>
          <w:sz w:val="24"/>
        </w:rPr>
        <w:t xml:space="preserve">3.Summarize the connection between failure and fame. </w:t>
      </w:r>
    </w:p>
    <w:p w:rsidR="003717A0" w:rsidRDefault="003717A0">
      <w:pPr>
        <w:rPr>
          <w:bCs/>
          <w:sz w:val="24"/>
        </w:rPr>
      </w:pPr>
    </w:p>
    <w:p w:rsidR="003717A0" w:rsidRDefault="003717A0">
      <w:pPr>
        <w:rPr>
          <w:bCs/>
          <w:sz w:val="24"/>
        </w:rPr>
      </w:pPr>
    </w:p>
    <w:p w:rsidR="003717A0" w:rsidRDefault="003717A0">
      <w:pPr>
        <w:rPr>
          <w:b/>
          <w:bCs/>
          <w:sz w:val="24"/>
        </w:rPr>
      </w:pPr>
      <w:r>
        <w:rPr>
          <w:b/>
          <w:bCs/>
          <w:sz w:val="24"/>
        </w:rPr>
        <w:t>Unit Two: Charlie Chaplin</w:t>
      </w:r>
    </w:p>
    <w:p w:rsidR="003717A0" w:rsidRDefault="003717A0">
      <w:pPr>
        <w:rPr>
          <w:bCs/>
          <w:sz w:val="24"/>
        </w:rPr>
      </w:pPr>
      <w:r>
        <w:rPr>
          <w:bCs/>
          <w:sz w:val="24"/>
        </w:rPr>
        <w:t>Teaching objectives:</w:t>
      </w:r>
    </w:p>
    <w:p w:rsidR="003717A0" w:rsidRDefault="003717A0">
      <w:pPr>
        <w:rPr>
          <w:bCs/>
          <w:sz w:val="24"/>
        </w:rPr>
      </w:pPr>
      <w:r>
        <w:rPr>
          <w:bCs/>
          <w:sz w:val="24"/>
        </w:rPr>
        <w:t xml:space="preserve">1. Have the Ss know some information of Charlie Chaplin. </w:t>
      </w:r>
    </w:p>
    <w:p w:rsidR="003717A0" w:rsidRDefault="003717A0">
      <w:pPr>
        <w:rPr>
          <w:bCs/>
          <w:sz w:val="24"/>
        </w:rPr>
      </w:pPr>
      <w:r>
        <w:rPr>
          <w:bCs/>
          <w:sz w:val="24"/>
        </w:rPr>
        <w:t>2. Guide the Ss use freely the active expressions, key grammatical points and sentence patterns in this text.</w:t>
      </w:r>
    </w:p>
    <w:p w:rsidR="003717A0" w:rsidRDefault="003717A0">
      <w:pPr>
        <w:rPr>
          <w:bCs/>
          <w:sz w:val="24"/>
        </w:rPr>
      </w:pPr>
      <w:r>
        <w:rPr>
          <w:bCs/>
          <w:sz w:val="24"/>
        </w:rPr>
        <w:t>3. Instruct the Ss to talk about Chaplin’s movies.</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1. 1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2. 3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leftChars="950" w:left="1995"/>
        <w:rPr>
          <w:bCs/>
          <w:sz w:val="24"/>
        </w:rPr>
      </w:pPr>
      <w:r>
        <w:rPr>
          <w:bCs/>
          <w:sz w:val="24"/>
        </w:rPr>
        <w:t>Review key language points; exercises after text A; essay writing;</w:t>
      </w:r>
    </w:p>
    <w:p w:rsidR="003717A0" w:rsidRDefault="003717A0">
      <w:pPr>
        <w:rPr>
          <w:bCs/>
          <w:sz w:val="24"/>
        </w:rPr>
      </w:pPr>
      <w:r>
        <w:rPr>
          <w:bCs/>
          <w:sz w:val="24"/>
        </w:rPr>
        <w:t>3. 5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1. What influenced Chaplin’s creations?</w:t>
      </w:r>
    </w:p>
    <w:p w:rsidR="003717A0" w:rsidRDefault="003717A0">
      <w:pPr>
        <w:numPr>
          <w:ilvl w:val="0"/>
          <w:numId w:val="70"/>
        </w:numPr>
        <w:rPr>
          <w:bCs/>
          <w:sz w:val="24"/>
        </w:rPr>
      </w:pPr>
      <w:r>
        <w:rPr>
          <w:rFonts w:cs="Times New Roman"/>
          <w:bCs/>
          <w:sz w:val="24"/>
        </w:rPr>
        <w:t xml:space="preserve"> </w:t>
      </w:r>
      <w:r>
        <w:rPr>
          <w:bCs/>
          <w:sz w:val="24"/>
        </w:rPr>
        <w:t>What impresses you most about Chaplin’s life?</w:t>
      </w:r>
    </w:p>
    <w:p w:rsidR="003717A0" w:rsidRDefault="003717A0">
      <w:pPr>
        <w:rPr>
          <w:bCs/>
          <w:sz w:val="24"/>
        </w:rPr>
      </w:pPr>
    </w:p>
    <w:p w:rsidR="003717A0" w:rsidRDefault="003717A0">
      <w:pPr>
        <w:rPr>
          <w:bCs/>
          <w:sz w:val="24"/>
        </w:rPr>
      </w:pPr>
      <w:r>
        <w:rPr>
          <w:bCs/>
          <w:sz w:val="24"/>
        </w:rPr>
        <w:t>Key words:</w:t>
      </w:r>
    </w:p>
    <w:p w:rsidR="003717A0" w:rsidRDefault="003717A0">
      <w:pPr>
        <w:rPr>
          <w:bCs/>
          <w:sz w:val="24"/>
        </w:rPr>
      </w:pPr>
      <w:r>
        <w:rPr>
          <w:bCs/>
          <w:sz w:val="24"/>
        </w:rPr>
        <w:t xml:space="preserve"> Comic, applause, crude, revolt, immense, rouse, script, execute, collision, clumsy</w:t>
      </w:r>
    </w:p>
    <w:p w:rsidR="003717A0" w:rsidRDefault="003717A0">
      <w:pPr>
        <w:rPr>
          <w:bCs/>
          <w:sz w:val="24"/>
        </w:rPr>
      </w:pPr>
    </w:p>
    <w:p w:rsidR="003717A0" w:rsidRDefault="003717A0">
      <w:pPr>
        <w:rPr>
          <w:bCs/>
          <w:sz w:val="24"/>
        </w:rPr>
      </w:pPr>
      <w:r>
        <w:rPr>
          <w:bCs/>
          <w:sz w:val="24"/>
        </w:rPr>
        <w:t>Key phrases and expressions:</w:t>
      </w:r>
    </w:p>
    <w:p w:rsidR="003717A0" w:rsidRDefault="003717A0">
      <w:pPr>
        <w:rPr>
          <w:bCs/>
          <w:sz w:val="24"/>
        </w:rPr>
      </w:pPr>
      <w:r>
        <w:rPr>
          <w:bCs/>
          <w:sz w:val="24"/>
        </w:rPr>
        <w:t>1. cut down</w:t>
      </w:r>
      <w:r>
        <w:rPr>
          <w:bCs/>
          <w:sz w:val="24"/>
        </w:rPr>
        <w:tab/>
        <w:t>2. for good</w:t>
      </w:r>
      <w:r>
        <w:rPr>
          <w:bCs/>
          <w:sz w:val="24"/>
        </w:rPr>
        <w:tab/>
        <w:t>3. trip up</w:t>
      </w:r>
    </w:p>
    <w:p w:rsidR="003717A0" w:rsidRDefault="003717A0">
      <w:pPr>
        <w:rPr>
          <w:bCs/>
          <w:sz w:val="24"/>
        </w:rPr>
      </w:pPr>
      <w:r>
        <w:rPr>
          <w:bCs/>
          <w:sz w:val="24"/>
        </w:rPr>
        <w:t xml:space="preserve">4. make up </w:t>
      </w:r>
      <w:r>
        <w:rPr>
          <w:bCs/>
          <w:sz w:val="24"/>
        </w:rPr>
        <w:tab/>
        <w:t>5. come down in the world</w:t>
      </w:r>
      <w:r>
        <w:rPr>
          <w:bCs/>
          <w:sz w:val="24"/>
        </w:rPr>
        <w:tab/>
        <w:t>6. to a degree</w:t>
      </w:r>
    </w:p>
    <w:p w:rsidR="003717A0" w:rsidRDefault="003717A0">
      <w:pPr>
        <w:rPr>
          <w:bCs/>
          <w:sz w:val="24"/>
        </w:rPr>
      </w:pPr>
      <w:r>
        <w:rPr>
          <w:bCs/>
          <w:sz w:val="24"/>
        </w:rPr>
        <w:t xml:space="preserve">7. go along </w:t>
      </w:r>
      <w:r>
        <w:rPr>
          <w:bCs/>
          <w:sz w:val="24"/>
        </w:rPr>
        <w:tab/>
        <w:t xml:space="preserve">8. find one's way into      </w:t>
      </w:r>
      <w:r>
        <w:rPr>
          <w:bCs/>
          <w:sz w:val="24"/>
        </w:rPr>
        <w:tab/>
        <w:t>9. sad to say</w:t>
      </w:r>
    </w:p>
    <w:p w:rsidR="003717A0" w:rsidRDefault="003717A0">
      <w:pPr>
        <w:rPr>
          <w:bCs/>
          <w:sz w:val="24"/>
        </w:rPr>
      </w:pPr>
      <w:r>
        <w:rPr>
          <w:bCs/>
          <w:sz w:val="24"/>
        </w:rPr>
        <w:t>10. sad to say</w:t>
      </w:r>
      <w:r>
        <w:rPr>
          <w:bCs/>
          <w:sz w:val="24"/>
        </w:rPr>
        <w:tab/>
        <w:t>11. revolt against</w:t>
      </w:r>
      <w:r>
        <w:rPr>
          <w:bCs/>
          <w:sz w:val="24"/>
        </w:rPr>
        <w:tab/>
        <w:t xml:space="preserve">12. all the same </w:t>
      </w:r>
    </w:p>
    <w:p w:rsidR="003717A0" w:rsidRDefault="003717A0">
      <w:pPr>
        <w:rPr>
          <w:bCs/>
          <w:sz w:val="24"/>
        </w:rPr>
      </w:pPr>
      <w:r>
        <w:rPr>
          <w:bCs/>
          <w:sz w:val="24"/>
        </w:rPr>
        <w:t xml:space="preserve">13. have the urge to do  </w:t>
      </w:r>
      <w:r>
        <w:rPr>
          <w:bCs/>
          <w:sz w:val="24"/>
        </w:rPr>
        <w:tab/>
        <w:t>14. have a deep need to do</w:t>
      </w:r>
      <w:r>
        <w:rPr>
          <w:bCs/>
          <w:sz w:val="24"/>
        </w:rPr>
        <w:tab/>
        <w:t>15. lose one</w:t>
      </w:r>
      <w:r>
        <w:rPr>
          <w:rFonts w:hint="eastAsia"/>
          <w:bCs/>
          <w:sz w:val="24"/>
        </w:rPr>
        <w:t>’</w:t>
      </w:r>
      <w:r>
        <w:rPr>
          <w:bCs/>
          <w:sz w:val="24"/>
        </w:rPr>
        <w:t>s faith in</w:t>
      </w:r>
    </w:p>
    <w:p w:rsidR="003717A0" w:rsidRDefault="003717A0">
      <w:pPr>
        <w:rPr>
          <w:bCs/>
          <w:sz w:val="24"/>
        </w:rPr>
      </w:pPr>
      <w:r>
        <w:rPr>
          <w:bCs/>
          <w:sz w:val="24"/>
        </w:rPr>
        <w:t xml:space="preserve">16.walk into the sunset with </w:t>
      </w:r>
      <w:r>
        <w:rPr>
          <w:bCs/>
          <w:sz w:val="24"/>
        </w:rPr>
        <w:tab/>
        <w:t>17. talent scout</w:t>
      </w:r>
      <w:r>
        <w:rPr>
          <w:bCs/>
          <w:sz w:val="24"/>
        </w:rPr>
        <w:tab/>
        <w:t xml:space="preserve">18. talking movie </w:t>
      </w:r>
    </w:p>
    <w:p w:rsidR="003717A0" w:rsidRDefault="003717A0">
      <w:pPr>
        <w:rPr>
          <w:bCs/>
          <w:sz w:val="24"/>
        </w:rPr>
      </w:pPr>
      <w:r>
        <w:rPr>
          <w:bCs/>
          <w:sz w:val="24"/>
        </w:rPr>
        <w:t>19. find sth. in sb.</w:t>
      </w:r>
      <w:r>
        <w:rPr>
          <w:bCs/>
          <w:sz w:val="24"/>
        </w:rPr>
        <w:tab/>
        <w:t>20. all that</w:t>
      </w:r>
      <w:r>
        <w:rPr>
          <w:bCs/>
          <w:sz w:val="24"/>
        </w:rPr>
        <w:tab/>
        <w:t>21. in rags</w:t>
      </w:r>
    </w:p>
    <w:p w:rsidR="003717A0" w:rsidRDefault="003717A0">
      <w:pPr>
        <w:rPr>
          <w:bCs/>
          <w:sz w:val="24"/>
        </w:rPr>
      </w:pPr>
      <w:r>
        <w:rPr>
          <w:bCs/>
          <w:sz w:val="24"/>
        </w:rPr>
        <w:t>22. recruit sb. to do</w:t>
      </w:r>
      <w:r>
        <w:rPr>
          <w:bCs/>
          <w:sz w:val="24"/>
        </w:rPr>
        <w:tab/>
        <w:t>23. clap for</w:t>
      </w:r>
      <w:r>
        <w:rPr>
          <w:bCs/>
          <w:sz w:val="24"/>
        </w:rPr>
        <w:tab/>
        <w:t>24. sport tiny moustaches</w:t>
      </w:r>
    </w:p>
    <w:p w:rsidR="003717A0" w:rsidRDefault="003717A0">
      <w:pPr>
        <w:rPr>
          <w:bCs/>
          <w:sz w:val="24"/>
        </w:rPr>
      </w:pPr>
      <w:r>
        <w:rPr>
          <w:bCs/>
          <w:sz w:val="24"/>
        </w:rPr>
        <w:t>25. quick eye for</w:t>
      </w:r>
      <w:r>
        <w:rPr>
          <w:bCs/>
          <w:sz w:val="24"/>
        </w:rPr>
        <w:tab/>
        <w:t>26. in the ranks of</w:t>
      </w:r>
      <w:r>
        <w:rPr>
          <w:bCs/>
          <w:sz w:val="24"/>
        </w:rPr>
        <w:tab/>
        <w:t>27. turn into</w:t>
      </w:r>
    </w:p>
    <w:p w:rsidR="003717A0" w:rsidRDefault="003717A0">
      <w:pPr>
        <w:rPr>
          <w:bCs/>
          <w:sz w:val="24"/>
        </w:rPr>
      </w:pPr>
      <w:r>
        <w:rPr>
          <w:bCs/>
          <w:sz w:val="24"/>
        </w:rPr>
        <w:t>Key structures in Text A:</w:t>
      </w:r>
    </w:p>
    <w:p w:rsidR="003717A0" w:rsidRDefault="003717A0">
      <w:pPr>
        <w:rPr>
          <w:bCs/>
          <w:sz w:val="24"/>
        </w:rPr>
      </w:pPr>
      <w:r>
        <w:rPr>
          <w:bCs/>
          <w:sz w:val="24"/>
        </w:rPr>
        <w:lastRenderedPageBreak/>
        <w:t>1. Dickens might have created Charlie Chaplin’s childhood.</w:t>
      </w:r>
    </w:p>
    <w:p w:rsidR="003717A0" w:rsidRDefault="003717A0">
      <w:pPr>
        <w:rPr>
          <w:bCs/>
          <w:sz w:val="24"/>
        </w:rPr>
      </w:pPr>
      <w:r>
        <w:rPr>
          <w:bCs/>
          <w:sz w:val="24"/>
        </w:rPr>
        <w:t>might have v-ed: used to say that something was possible in the past, but it did not in fact happen</w:t>
      </w:r>
    </w:p>
    <w:p w:rsidR="003717A0" w:rsidRDefault="003717A0">
      <w:pPr>
        <w:rPr>
          <w:bCs/>
          <w:sz w:val="24"/>
        </w:rPr>
      </w:pPr>
      <w:r>
        <w:rPr>
          <w:rFonts w:hint="eastAsia"/>
          <w:bCs/>
          <w:sz w:val="24"/>
        </w:rPr>
        <w:t>虚拟语气</w:t>
      </w:r>
    </w:p>
    <w:p w:rsidR="003717A0" w:rsidRDefault="003717A0">
      <w:pPr>
        <w:rPr>
          <w:bCs/>
          <w:sz w:val="24"/>
        </w:rPr>
      </w:pPr>
      <w:r>
        <w:rPr>
          <w:bCs/>
          <w:sz w:val="24"/>
        </w:rPr>
        <w:t>2. In Oona O’Neill Chaplin, he found a partner whose stability and affection spanned the 37 years age difference between them that had seemed so threatening, that when the official who was marrying them in 1942, turned to the beautiful girl of 17 who’d given notice of their wedding date</w:t>
      </w:r>
    </w:p>
    <w:p w:rsidR="003717A0" w:rsidRDefault="003717A0">
      <w:pPr>
        <w:rPr>
          <w:bCs/>
          <w:sz w:val="24"/>
        </w:rPr>
      </w:pPr>
      <w:r>
        <w:rPr>
          <w:bCs/>
          <w:sz w:val="24"/>
        </w:rPr>
        <w:t>and said, … (L56)</w:t>
      </w:r>
    </w:p>
    <w:p w:rsidR="003717A0" w:rsidRDefault="003018D3">
      <w:pPr>
        <w:rPr>
          <w:rFonts w:ascii="宋体" w:cs="宋体"/>
          <w:bCs/>
          <w:kern w:val="0"/>
          <w:sz w:val="24"/>
        </w:rPr>
      </w:pPr>
      <w:r w:rsidRPr="00514AB1">
        <w:rPr>
          <w:rFonts w:ascii="宋体" w:cs="宋体"/>
          <w:bCs/>
          <w:kern w:val="0"/>
          <w:sz w:val="24"/>
        </w:rPr>
        <w:pict>
          <v:shape id="_x0000_i1029" type="#_x0000_t75" style="width:304.05pt;height:139.55pt" filled="t">
            <v:imagedata r:id="rId13" o:title=""/>
          </v:shape>
        </w:pict>
      </w:r>
    </w:p>
    <w:p w:rsidR="003717A0" w:rsidRDefault="003717A0">
      <w:pPr>
        <w:rPr>
          <w:bCs/>
          <w:sz w:val="24"/>
        </w:rPr>
      </w:pPr>
      <w:r>
        <w:rPr>
          <w:bCs/>
          <w:sz w:val="24"/>
        </w:rPr>
        <w:t>Topic for writing:</w:t>
      </w:r>
    </w:p>
    <w:p w:rsidR="003717A0" w:rsidRDefault="003717A0">
      <w:pPr>
        <w:rPr>
          <w:bCs/>
          <w:sz w:val="24"/>
        </w:rPr>
      </w:pPr>
      <w:r>
        <w:rPr>
          <w:bCs/>
          <w:sz w:val="24"/>
        </w:rPr>
        <w:t>Directions: You are allowed 30 minutes to write a composition with on the topic Privacy of Famous people. You should write at least 130 words, and base your composition on the outline (given in Chinese) below:</w:t>
      </w:r>
    </w:p>
    <w:p w:rsidR="003717A0" w:rsidRDefault="003717A0">
      <w:pPr>
        <w:rPr>
          <w:bCs/>
          <w:sz w:val="24"/>
        </w:rPr>
      </w:pPr>
      <w:r>
        <w:rPr>
          <w:bCs/>
          <w:sz w:val="24"/>
        </w:rPr>
        <w:t xml:space="preserve">Outlines: </w:t>
      </w:r>
    </w:p>
    <w:p w:rsidR="003717A0" w:rsidRDefault="003717A0">
      <w:pPr>
        <w:rPr>
          <w:bCs/>
          <w:sz w:val="24"/>
        </w:rPr>
      </w:pPr>
      <w:r>
        <w:rPr>
          <w:bCs/>
          <w:sz w:val="24"/>
        </w:rPr>
        <w:t xml:space="preserve"> </w:t>
      </w:r>
      <w:r>
        <w:rPr>
          <w:rFonts w:hint="eastAsia"/>
          <w:bCs/>
          <w:sz w:val="24"/>
        </w:rPr>
        <w:t>许多人对名人的私生活很感兴趣；</w:t>
      </w:r>
    </w:p>
    <w:p w:rsidR="003717A0" w:rsidRDefault="003717A0">
      <w:pPr>
        <w:rPr>
          <w:bCs/>
          <w:sz w:val="24"/>
        </w:rPr>
      </w:pPr>
      <w:r>
        <w:rPr>
          <w:bCs/>
          <w:sz w:val="24"/>
        </w:rPr>
        <w:t xml:space="preserve"> </w:t>
      </w:r>
      <w:r>
        <w:rPr>
          <w:rFonts w:hint="eastAsia"/>
          <w:bCs/>
          <w:sz w:val="24"/>
        </w:rPr>
        <w:t>曝光名人的私生活对其会产生哪些影响；</w:t>
      </w:r>
    </w:p>
    <w:p w:rsidR="003717A0" w:rsidRDefault="003717A0">
      <w:pPr>
        <w:rPr>
          <w:bCs/>
          <w:sz w:val="24"/>
        </w:rPr>
      </w:pPr>
      <w:r>
        <w:rPr>
          <w:bCs/>
          <w:sz w:val="24"/>
        </w:rPr>
        <w:t xml:space="preserve"> </w:t>
      </w:r>
      <w:r>
        <w:rPr>
          <w:rFonts w:hint="eastAsia"/>
          <w:bCs/>
          <w:sz w:val="24"/>
        </w:rPr>
        <w:t>你如何看待这一现象。</w:t>
      </w:r>
    </w:p>
    <w:p w:rsidR="003717A0" w:rsidRDefault="003717A0">
      <w:pPr>
        <w:rPr>
          <w:bCs/>
          <w:sz w:val="24"/>
        </w:rPr>
      </w:pP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1.Recite the 5</w:t>
      </w:r>
      <w:r>
        <w:rPr>
          <w:bCs/>
          <w:sz w:val="24"/>
          <w:vertAlign w:val="superscript"/>
        </w:rPr>
        <w:t>th</w:t>
      </w:r>
      <w:r>
        <w:rPr>
          <w:bCs/>
          <w:sz w:val="24"/>
        </w:rPr>
        <w:t xml:space="preserve"> and 6</w:t>
      </w:r>
      <w:r>
        <w:rPr>
          <w:bCs/>
          <w:sz w:val="24"/>
          <w:vertAlign w:val="superscript"/>
        </w:rPr>
        <w:t>th</w:t>
      </w:r>
      <w:r>
        <w:rPr>
          <w:bCs/>
          <w:sz w:val="24"/>
        </w:rPr>
        <w:t xml:space="preserve"> paragraph in Text A.</w:t>
      </w:r>
    </w:p>
    <w:p w:rsidR="003717A0" w:rsidRDefault="003717A0">
      <w:pPr>
        <w:rPr>
          <w:bCs/>
          <w:sz w:val="24"/>
        </w:rPr>
      </w:pPr>
      <w:r>
        <w:rPr>
          <w:bCs/>
          <w:sz w:val="24"/>
        </w:rPr>
        <w:t>2.Summarize Chaplin’s life of being an actor.</w:t>
      </w:r>
    </w:p>
    <w:p w:rsidR="003717A0" w:rsidRDefault="003717A0">
      <w:pPr>
        <w:rPr>
          <w:bCs/>
          <w:sz w:val="24"/>
        </w:rPr>
      </w:pPr>
    </w:p>
    <w:p w:rsidR="003717A0" w:rsidRDefault="003717A0">
      <w:pPr>
        <w:rPr>
          <w:bCs/>
          <w:sz w:val="24"/>
        </w:rPr>
      </w:pPr>
    </w:p>
    <w:p w:rsidR="003717A0" w:rsidRDefault="003717A0">
      <w:pPr>
        <w:rPr>
          <w:b/>
          <w:bCs/>
          <w:sz w:val="24"/>
        </w:rPr>
      </w:pPr>
      <w:r>
        <w:rPr>
          <w:b/>
          <w:bCs/>
          <w:sz w:val="24"/>
        </w:rPr>
        <w:t>Unit Three: Longing for a New Welfare System</w:t>
      </w:r>
    </w:p>
    <w:p w:rsidR="003717A0" w:rsidRDefault="003717A0">
      <w:pPr>
        <w:rPr>
          <w:bCs/>
          <w:sz w:val="24"/>
        </w:rPr>
      </w:pPr>
    </w:p>
    <w:p w:rsidR="003717A0" w:rsidRDefault="003717A0">
      <w:pPr>
        <w:rPr>
          <w:bCs/>
          <w:sz w:val="24"/>
        </w:rPr>
      </w:pPr>
      <w:r>
        <w:rPr>
          <w:bCs/>
          <w:sz w:val="24"/>
        </w:rPr>
        <w:t>Teaching objectives:</w:t>
      </w:r>
    </w:p>
    <w:p w:rsidR="003717A0" w:rsidRDefault="003717A0">
      <w:pPr>
        <w:numPr>
          <w:ilvl w:val="0"/>
          <w:numId w:val="71"/>
        </w:numPr>
        <w:rPr>
          <w:bCs/>
          <w:sz w:val="24"/>
        </w:rPr>
      </w:pPr>
      <w:r>
        <w:rPr>
          <w:bCs/>
          <w:sz w:val="24"/>
        </w:rPr>
        <w:t>An insight into life of welfare clients in US and suggestions to improve the present welfare system</w:t>
      </w:r>
    </w:p>
    <w:p w:rsidR="003717A0" w:rsidRDefault="003717A0">
      <w:pPr>
        <w:numPr>
          <w:ilvl w:val="0"/>
          <w:numId w:val="71"/>
        </w:numPr>
        <w:rPr>
          <w:bCs/>
          <w:sz w:val="24"/>
        </w:rPr>
      </w:pPr>
      <w:r>
        <w:rPr>
          <w:bCs/>
          <w:sz w:val="24"/>
        </w:rPr>
        <w:t>To grasp the main idea and structure of the text;</w:t>
      </w:r>
    </w:p>
    <w:p w:rsidR="003717A0" w:rsidRDefault="003717A0">
      <w:pPr>
        <w:numPr>
          <w:ilvl w:val="0"/>
          <w:numId w:val="71"/>
        </w:numPr>
        <w:rPr>
          <w:bCs/>
          <w:sz w:val="24"/>
        </w:rPr>
      </w:pPr>
      <w:r>
        <w:rPr>
          <w:bCs/>
          <w:sz w:val="24"/>
        </w:rPr>
        <w:t>To master the key language points and grammatical structures in the text;</w:t>
      </w:r>
    </w:p>
    <w:p w:rsidR="003717A0" w:rsidRDefault="003717A0">
      <w:pPr>
        <w:numPr>
          <w:ilvl w:val="0"/>
          <w:numId w:val="71"/>
        </w:numPr>
        <w:rPr>
          <w:bCs/>
          <w:sz w:val="24"/>
        </w:rPr>
      </w:pPr>
      <w:r>
        <w:rPr>
          <w:bCs/>
          <w:sz w:val="24"/>
        </w:rPr>
        <w:t>To write a paragraph of general statement supported by examples;</w:t>
      </w:r>
    </w:p>
    <w:p w:rsidR="003717A0" w:rsidRDefault="003717A0">
      <w:pPr>
        <w:numPr>
          <w:ilvl w:val="0"/>
          <w:numId w:val="71"/>
        </w:numPr>
        <w:rPr>
          <w:bCs/>
          <w:sz w:val="24"/>
        </w:rPr>
      </w:pPr>
      <w:r>
        <w:rPr>
          <w:bCs/>
          <w:sz w:val="24"/>
        </w:rPr>
        <w:t>To practice the writing of letters of consolation.</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lastRenderedPageBreak/>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leftChars="950" w:left="1995"/>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numPr>
          <w:ilvl w:val="3"/>
          <w:numId w:val="57"/>
        </w:numPr>
        <w:rPr>
          <w:bCs/>
          <w:sz w:val="24"/>
        </w:rPr>
      </w:pPr>
      <w:r>
        <w:rPr>
          <w:bCs/>
          <w:sz w:val="24"/>
        </w:rPr>
        <w:t>How much do you know about welfare system in the US? Find out more and make a report to the class.</w:t>
      </w:r>
    </w:p>
    <w:p w:rsidR="003717A0" w:rsidRDefault="003717A0">
      <w:pPr>
        <w:numPr>
          <w:ilvl w:val="3"/>
          <w:numId w:val="57"/>
        </w:numPr>
        <w:rPr>
          <w:bCs/>
          <w:sz w:val="24"/>
        </w:rPr>
      </w:pPr>
      <w:r>
        <w:rPr>
          <w:bCs/>
          <w:sz w:val="24"/>
        </w:rPr>
        <w:t>What should an effective welfare system be like?</w:t>
      </w:r>
    </w:p>
    <w:p w:rsidR="003717A0" w:rsidRDefault="003717A0">
      <w:pPr>
        <w:numPr>
          <w:ilvl w:val="3"/>
          <w:numId w:val="57"/>
        </w:numPr>
        <w:rPr>
          <w:bCs/>
          <w:sz w:val="24"/>
        </w:rPr>
      </w:pPr>
      <w:r>
        <w:rPr>
          <w:bCs/>
          <w:sz w:val="24"/>
        </w:rPr>
        <w:t>If you were a caseworker, what would you do when faced with welfare clients cheating?</w:t>
      </w:r>
    </w:p>
    <w:p w:rsidR="003717A0" w:rsidRDefault="003717A0">
      <w:pPr>
        <w:rPr>
          <w:bCs/>
          <w:sz w:val="24"/>
        </w:rPr>
      </w:pPr>
      <w:r>
        <w:rPr>
          <w:bCs/>
          <w:sz w:val="24"/>
        </w:rPr>
        <w:t>Key words: opt, temptation, profile, notify, certify, bid, alert, provision, thrive, convict</w:t>
      </w:r>
    </w:p>
    <w:p w:rsidR="003717A0" w:rsidRDefault="003717A0">
      <w:pPr>
        <w:rPr>
          <w:bCs/>
          <w:sz w:val="24"/>
        </w:rPr>
      </w:pPr>
    </w:p>
    <w:p w:rsidR="003717A0" w:rsidRDefault="003717A0">
      <w:pPr>
        <w:rPr>
          <w:bCs/>
          <w:sz w:val="24"/>
        </w:rPr>
      </w:pPr>
      <w:r>
        <w:rPr>
          <w:bCs/>
          <w:sz w:val="24"/>
        </w:rPr>
        <w:t>Key phrases and expressions in Text A:</w:t>
      </w:r>
    </w:p>
    <w:p w:rsidR="003717A0" w:rsidRDefault="003717A0">
      <w:pPr>
        <w:rPr>
          <w:bCs/>
          <w:sz w:val="24"/>
        </w:rPr>
      </w:pPr>
      <w:r>
        <w:rPr>
          <w:bCs/>
          <w:sz w:val="24"/>
        </w:rPr>
        <w:t>1. to long for a new life</w:t>
      </w:r>
      <w:r>
        <w:rPr>
          <w:bCs/>
          <w:sz w:val="24"/>
        </w:rPr>
        <w:tab/>
        <w:t>2. be faced with</w:t>
      </w:r>
      <w:r>
        <w:rPr>
          <w:bCs/>
          <w:sz w:val="24"/>
        </w:rPr>
        <w:tab/>
        <w:t>3. to bleed sb. for money</w:t>
      </w:r>
    </w:p>
    <w:p w:rsidR="003717A0" w:rsidRDefault="003717A0">
      <w:pPr>
        <w:rPr>
          <w:bCs/>
          <w:sz w:val="24"/>
        </w:rPr>
      </w:pPr>
      <w:r>
        <w:rPr>
          <w:bCs/>
          <w:sz w:val="24"/>
        </w:rPr>
        <w:t>4. to opt to live a life of honesty</w:t>
      </w:r>
      <w:r>
        <w:rPr>
          <w:bCs/>
          <w:sz w:val="24"/>
        </w:rPr>
        <w:tab/>
        <w:t>5. drum up</w:t>
      </w:r>
      <w:r>
        <w:rPr>
          <w:bCs/>
          <w:sz w:val="24"/>
        </w:rPr>
        <w:tab/>
        <w:t>6. under the table</w:t>
      </w:r>
    </w:p>
    <w:p w:rsidR="003717A0" w:rsidRDefault="003717A0">
      <w:pPr>
        <w:rPr>
          <w:bCs/>
          <w:sz w:val="24"/>
        </w:rPr>
      </w:pPr>
      <w:r>
        <w:rPr>
          <w:bCs/>
          <w:sz w:val="24"/>
        </w:rPr>
        <w:t>7. yield to temptation</w:t>
      </w:r>
      <w:r>
        <w:rPr>
          <w:bCs/>
          <w:sz w:val="24"/>
        </w:rPr>
        <w:tab/>
        <w:t>8. get involved in a sticky situation</w:t>
      </w:r>
      <w:r>
        <w:rPr>
          <w:bCs/>
          <w:sz w:val="24"/>
        </w:rPr>
        <w:tab/>
        <w:t>9. deep down</w:t>
      </w:r>
    </w:p>
    <w:p w:rsidR="003717A0" w:rsidRDefault="003717A0">
      <w:pPr>
        <w:rPr>
          <w:bCs/>
          <w:sz w:val="24"/>
        </w:rPr>
      </w:pPr>
      <w:r>
        <w:rPr>
          <w:bCs/>
          <w:sz w:val="24"/>
        </w:rPr>
        <w:t>10. make a fool of sb</w:t>
      </w:r>
      <w:r>
        <w:rPr>
          <w:bCs/>
          <w:sz w:val="24"/>
        </w:rPr>
        <w:tab/>
        <w:t>11. a man with high ideals</w:t>
      </w:r>
      <w:r>
        <w:rPr>
          <w:bCs/>
          <w:sz w:val="24"/>
        </w:rPr>
        <w:tab/>
        <w:t>12. to be being bitter</w:t>
      </w:r>
    </w:p>
    <w:p w:rsidR="003717A0" w:rsidRDefault="003717A0">
      <w:pPr>
        <w:rPr>
          <w:bCs/>
          <w:sz w:val="24"/>
        </w:rPr>
      </w:pPr>
      <w:r>
        <w:rPr>
          <w:bCs/>
          <w:sz w:val="24"/>
        </w:rPr>
        <w:t>13. talk back</w:t>
      </w:r>
      <w:r>
        <w:rPr>
          <w:bCs/>
          <w:sz w:val="24"/>
        </w:rPr>
        <w:tab/>
        <w:t>14. break down</w:t>
      </w:r>
      <w:r>
        <w:rPr>
          <w:bCs/>
          <w:sz w:val="24"/>
        </w:rPr>
        <w:tab/>
        <w:t>15. get around</w:t>
      </w:r>
    </w:p>
    <w:p w:rsidR="003717A0" w:rsidRDefault="003717A0">
      <w:pPr>
        <w:rPr>
          <w:bCs/>
          <w:sz w:val="24"/>
        </w:rPr>
      </w:pPr>
      <w:r>
        <w:rPr>
          <w:bCs/>
          <w:sz w:val="24"/>
        </w:rPr>
        <w:t>16. cuts in welfare</w:t>
      </w:r>
      <w:r>
        <w:rPr>
          <w:bCs/>
          <w:sz w:val="24"/>
        </w:rPr>
        <w:tab/>
        <w:t>17. to feel sth in a unique way</w:t>
      </w:r>
      <w:r>
        <w:rPr>
          <w:bCs/>
          <w:sz w:val="24"/>
        </w:rPr>
        <w:tab/>
        <w:t>18. to endure a lecture</w:t>
      </w:r>
    </w:p>
    <w:p w:rsidR="003717A0" w:rsidRDefault="003717A0">
      <w:pPr>
        <w:rPr>
          <w:bCs/>
          <w:sz w:val="24"/>
        </w:rPr>
      </w:pPr>
      <w:r>
        <w:rPr>
          <w:bCs/>
          <w:sz w:val="24"/>
        </w:rPr>
        <w:t>19. to get the cheapest bid</w:t>
      </w:r>
      <w:r>
        <w:rPr>
          <w:bCs/>
          <w:sz w:val="24"/>
        </w:rPr>
        <w:tab/>
        <w:t>20. lend itself to</w:t>
      </w:r>
      <w:r>
        <w:rPr>
          <w:bCs/>
          <w:sz w:val="24"/>
        </w:rPr>
        <w:tab/>
        <w:t>21. convict</w:t>
      </w:r>
      <w:r>
        <w:rPr>
          <w:rFonts w:hint="eastAsia"/>
          <w:bCs/>
          <w:sz w:val="24"/>
        </w:rPr>
        <w:t>…</w:t>
      </w:r>
      <w:r>
        <w:rPr>
          <w:bCs/>
          <w:sz w:val="24"/>
        </w:rPr>
        <w:t>of</w:t>
      </w:r>
    </w:p>
    <w:p w:rsidR="003717A0" w:rsidRDefault="003717A0">
      <w:pPr>
        <w:rPr>
          <w:bCs/>
          <w:sz w:val="24"/>
        </w:rPr>
      </w:pPr>
    </w:p>
    <w:p w:rsidR="003717A0" w:rsidRDefault="003717A0">
      <w:pPr>
        <w:rPr>
          <w:bCs/>
          <w:sz w:val="24"/>
        </w:rPr>
      </w:pPr>
      <w:r>
        <w:rPr>
          <w:bCs/>
          <w:sz w:val="24"/>
        </w:rPr>
        <w:t>Key structures in Text A:</w:t>
      </w:r>
    </w:p>
    <w:p w:rsidR="003717A0" w:rsidRDefault="003717A0">
      <w:pPr>
        <w:rPr>
          <w:bCs/>
          <w:sz w:val="24"/>
        </w:rPr>
      </w:pPr>
      <w:r>
        <w:rPr>
          <w:bCs/>
          <w:sz w:val="24"/>
        </w:rPr>
        <w:t xml:space="preserve">1. I’m not being bitter.  (Para.3) </w:t>
      </w:r>
    </w:p>
    <w:p w:rsidR="003717A0" w:rsidRDefault="003717A0">
      <w:pPr>
        <w:ind w:firstLineChars="200" w:firstLine="480"/>
        <w:rPr>
          <w:bCs/>
          <w:sz w:val="24"/>
        </w:rPr>
      </w:pPr>
      <w:r>
        <w:rPr>
          <w:bCs/>
          <w:sz w:val="24"/>
        </w:rPr>
        <w:t>The structure “be being + adjective / noun” is used to talk about action and behavior.</w:t>
      </w:r>
    </w:p>
    <w:p w:rsidR="003717A0" w:rsidRDefault="003717A0">
      <w:pPr>
        <w:rPr>
          <w:bCs/>
          <w:sz w:val="24"/>
        </w:rPr>
      </w:pPr>
      <w:r>
        <w:rPr>
          <w:bCs/>
          <w:sz w:val="24"/>
        </w:rPr>
        <w:t>2.There needs to be a lawyer who can act as a champion for the rights of welfare clients, … (Para 15)</w:t>
      </w:r>
    </w:p>
    <w:p w:rsidR="003717A0" w:rsidRDefault="003717A0">
      <w:pPr>
        <w:rPr>
          <w:bCs/>
          <w:sz w:val="24"/>
        </w:rPr>
      </w:pPr>
      <w:r>
        <w:rPr>
          <w:bCs/>
          <w:sz w:val="24"/>
        </w:rPr>
        <w:t xml:space="preserve">The word “there” is followed by the verb “need”. Some other verbs can also be used this way. </w:t>
      </w:r>
    </w:p>
    <w:p w:rsidR="003717A0" w:rsidRDefault="003717A0">
      <w:pPr>
        <w:rPr>
          <w:bCs/>
          <w:sz w:val="24"/>
        </w:rPr>
      </w:pPr>
      <w:r>
        <w:rPr>
          <w:bCs/>
          <w:sz w:val="24"/>
        </w:rPr>
        <w:t>Writing practice:</w:t>
      </w:r>
    </w:p>
    <w:p w:rsidR="003717A0" w:rsidRDefault="003717A0">
      <w:pPr>
        <w:rPr>
          <w:bCs/>
          <w:sz w:val="24"/>
        </w:rPr>
      </w:pPr>
      <w:r>
        <w:rPr>
          <w:bCs/>
          <w:sz w:val="24"/>
        </w:rPr>
        <w:t>Topic: Long for a Quality-Oriented Education System</w:t>
      </w:r>
    </w:p>
    <w:p w:rsidR="003717A0" w:rsidRDefault="003717A0">
      <w:pPr>
        <w:rPr>
          <w:bCs/>
          <w:sz w:val="24"/>
        </w:rPr>
      </w:pPr>
    </w:p>
    <w:p w:rsidR="003717A0" w:rsidRDefault="003717A0">
      <w:pPr>
        <w:rPr>
          <w:bCs/>
          <w:sz w:val="24"/>
        </w:rPr>
      </w:pPr>
      <w:r>
        <w:rPr>
          <w:bCs/>
          <w:sz w:val="24"/>
        </w:rPr>
        <w:t>Outlines:</w:t>
      </w:r>
    </w:p>
    <w:p w:rsidR="003717A0" w:rsidRDefault="003717A0">
      <w:pPr>
        <w:numPr>
          <w:ilvl w:val="3"/>
          <w:numId w:val="58"/>
        </w:numPr>
        <w:rPr>
          <w:bCs/>
          <w:sz w:val="24"/>
        </w:rPr>
      </w:pPr>
      <w:r>
        <w:rPr>
          <w:rFonts w:hint="eastAsia"/>
          <w:bCs/>
          <w:sz w:val="24"/>
        </w:rPr>
        <w:t>应试教育制度下的不良现象；</w:t>
      </w:r>
    </w:p>
    <w:p w:rsidR="003717A0" w:rsidRDefault="003717A0">
      <w:pPr>
        <w:numPr>
          <w:ilvl w:val="3"/>
          <w:numId w:val="58"/>
        </w:numPr>
        <w:rPr>
          <w:bCs/>
          <w:sz w:val="24"/>
        </w:rPr>
      </w:pPr>
      <w:r>
        <w:rPr>
          <w:rFonts w:hint="eastAsia"/>
          <w:bCs/>
          <w:sz w:val="24"/>
        </w:rPr>
        <w:t>应试教育制度的深层问题；</w:t>
      </w:r>
    </w:p>
    <w:p w:rsidR="003717A0" w:rsidRDefault="003717A0">
      <w:pPr>
        <w:numPr>
          <w:ilvl w:val="3"/>
          <w:numId w:val="58"/>
        </w:numPr>
        <w:rPr>
          <w:bCs/>
          <w:sz w:val="24"/>
        </w:rPr>
      </w:pPr>
      <w:r>
        <w:rPr>
          <w:rFonts w:hint="eastAsia"/>
          <w:bCs/>
          <w:sz w:val="24"/>
        </w:rPr>
        <w:t>你的建议</w:t>
      </w: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Do you think a better welfare system will encourage more lazy people ? (open)</w:t>
      </w:r>
    </w:p>
    <w:p w:rsidR="003717A0" w:rsidRDefault="003717A0">
      <w:pPr>
        <w:rPr>
          <w:bCs/>
          <w:sz w:val="24"/>
        </w:rPr>
      </w:pPr>
    </w:p>
    <w:p w:rsidR="003717A0" w:rsidRDefault="003717A0">
      <w:pPr>
        <w:rPr>
          <w:bCs/>
          <w:sz w:val="24"/>
        </w:rPr>
      </w:pPr>
    </w:p>
    <w:p w:rsidR="003717A0" w:rsidRDefault="003717A0">
      <w:pPr>
        <w:rPr>
          <w:b/>
          <w:bCs/>
          <w:sz w:val="24"/>
        </w:rPr>
      </w:pPr>
      <w:r>
        <w:rPr>
          <w:b/>
          <w:bCs/>
          <w:sz w:val="24"/>
        </w:rPr>
        <w:lastRenderedPageBreak/>
        <w:t>Unit Four: The Telecommunications Revolution</w:t>
      </w:r>
    </w:p>
    <w:p w:rsidR="003717A0" w:rsidRDefault="003717A0">
      <w:pPr>
        <w:rPr>
          <w:bCs/>
          <w:sz w:val="24"/>
        </w:rPr>
      </w:pPr>
      <w:r>
        <w:rPr>
          <w:bCs/>
          <w:sz w:val="24"/>
        </w:rPr>
        <w:t>Teaching objectives:</w:t>
      </w:r>
    </w:p>
    <w:p w:rsidR="003717A0" w:rsidRDefault="003717A0">
      <w:pPr>
        <w:rPr>
          <w:bCs/>
          <w:sz w:val="24"/>
        </w:rPr>
      </w:pPr>
      <w:r>
        <w:rPr>
          <w:bCs/>
          <w:sz w:val="24"/>
        </w:rPr>
        <w:t>1.Talk about Electronic Communication.</w:t>
      </w:r>
    </w:p>
    <w:p w:rsidR="003717A0" w:rsidRDefault="003717A0">
      <w:pPr>
        <w:rPr>
          <w:bCs/>
          <w:sz w:val="24"/>
        </w:rPr>
      </w:pPr>
      <w:r>
        <w:rPr>
          <w:bCs/>
          <w:sz w:val="24"/>
        </w:rPr>
        <w:t>2.Practice new vocabulary.</w:t>
      </w:r>
    </w:p>
    <w:p w:rsidR="003717A0" w:rsidRDefault="003717A0">
      <w:pPr>
        <w:rPr>
          <w:bCs/>
          <w:sz w:val="24"/>
        </w:rPr>
      </w:pPr>
      <w:r>
        <w:rPr>
          <w:bCs/>
          <w:sz w:val="24"/>
        </w:rPr>
        <w:t>3.Develop paragraphs of facts and opinions.</w:t>
      </w:r>
    </w:p>
    <w:p w:rsidR="003717A0" w:rsidRDefault="003717A0">
      <w:pPr>
        <w:rPr>
          <w:bCs/>
          <w:sz w:val="24"/>
        </w:rPr>
      </w:pPr>
      <w:r>
        <w:rPr>
          <w:bCs/>
          <w:sz w:val="24"/>
        </w:rPr>
        <w:t>4. Write passages about comparison.</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1. 1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2. 3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leftChars="600" w:left="1260" w:firstLineChars="300" w:firstLine="720"/>
        <w:rPr>
          <w:bCs/>
          <w:sz w:val="24"/>
        </w:rPr>
      </w:pPr>
      <w:r>
        <w:rPr>
          <w:bCs/>
          <w:sz w:val="24"/>
        </w:rPr>
        <w:t>Review key language points; exercises after text A; essay writing;</w:t>
      </w:r>
    </w:p>
    <w:p w:rsidR="003717A0" w:rsidRDefault="003717A0">
      <w:pPr>
        <w:rPr>
          <w:bCs/>
          <w:sz w:val="24"/>
        </w:rPr>
      </w:pPr>
      <w:r>
        <w:rPr>
          <w:bCs/>
          <w:sz w:val="24"/>
        </w:rPr>
        <w:t>3. 5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ind w:left="1065"/>
        <w:rPr>
          <w:bCs/>
          <w:sz w:val="24"/>
        </w:rPr>
      </w:pPr>
      <w:r>
        <w:rPr>
          <w:bCs/>
          <w:sz w:val="24"/>
        </w:rPr>
        <w:t>1. What are the characteristics of the Information Age?</w:t>
      </w:r>
    </w:p>
    <w:p w:rsidR="003717A0" w:rsidRDefault="003717A0">
      <w:pPr>
        <w:ind w:left="1065"/>
        <w:rPr>
          <w:bCs/>
          <w:sz w:val="24"/>
        </w:rPr>
      </w:pPr>
      <w:r>
        <w:rPr>
          <w:bCs/>
          <w:sz w:val="24"/>
        </w:rPr>
        <w:t>2. Why is telecommunications a key factor separating the winners from the losers?</w:t>
      </w:r>
    </w:p>
    <w:p w:rsidR="003717A0" w:rsidRDefault="003717A0">
      <w:pPr>
        <w:ind w:left="1065"/>
        <w:rPr>
          <w:bCs/>
          <w:sz w:val="24"/>
        </w:rPr>
      </w:pPr>
      <w:r>
        <w:rPr>
          <w:bCs/>
          <w:sz w:val="24"/>
        </w:rPr>
        <w:t>3. Discuss what impact the telecommunications revolution may have on our life?</w:t>
      </w:r>
    </w:p>
    <w:p w:rsidR="003717A0" w:rsidRDefault="003717A0">
      <w:pPr>
        <w:ind w:left="1065"/>
        <w:rPr>
          <w:bCs/>
          <w:sz w:val="24"/>
        </w:rPr>
      </w:pPr>
    </w:p>
    <w:p w:rsidR="003717A0" w:rsidRDefault="003717A0">
      <w:pPr>
        <w:rPr>
          <w:bCs/>
          <w:sz w:val="24"/>
        </w:rPr>
      </w:pPr>
      <w:r>
        <w:rPr>
          <w:bCs/>
          <w:sz w:val="24"/>
        </w:rPr>
        <w:t>Key words: dumb, optical, parade, condense, intensive,  recession, scratch, log, invest,  reliable, disposal</w:t>
      </w:r>
    </w:p>
    <w:p w:rsidR="003717A0" w:rsidRDefault="003717A0">
      <w:pPr>
        <w:ind w:left="1065"/>
        <w:rPr>
          <w:bCs/>
          <w:sz w:val="24"/>
        </w:rPr>
      </w:pPr>
    </w:p>
    <w:p w:rsidR="003717A0" w:rsidRDefault="003717A0">
      <w:pPr>
        <w:rPr>
          <w:bCs/>
          <w:sz w:val="24"/>
        </w:rPr>
      </w:pPr>
      <w:r>
        <w:rPr>
          <w:bCs/>
          <w:sz w:val="24"/>
        </w:rPr>
        <w:t>Key phrases and expressions:</w:t>
      </w:r>
    </w:p>
    <w:p w:rsidR="003717A0" w:rsidRDefault="003717A0">
      <w:pPr>
        <w:ind w:left="1065"/>
        <w:rPr>
          <w:bCs/>
          <w:sz w:val="24"/>
        </w:rPr>
      </w:pPr>
      <w:r>
        <w:rPr>
          <w:bCs/>
          <w:sz w:val="24"/>
        </w:rPr>
        <w:t>1. to boost living standards</w:t>
      </w:r>
    </w:p>
    <w:p w:rsidR="003717A0" w:rsidRDefault="003717A0">
      <w:pPr>
        <w:ind w:left="1065"/>
        <w:rPr>
          <w:bCs/>
          <w:sz w:val="24"/>
        </w:rPr>
      </w:pPr>
      <w:r>
        <w:rPr>
          <w:bCs/>
          <w:sz w:val="24"/>
        </w:rPr>
        <w:t>2. to promote internal investment</w:t>
      </w:r>
      <w:r>
        <w:rPr>
          <w:bCs/>
          <w:sz w:val="24"/>
        </w:rPr>
        <w:tab/>
      </w:r>
    </w:p>
    <w:p w:rsidR="003717A0" w:rsidRDefault="003717A0">
      <w:pPr>
        <w:ind w:left="1065"/>
        <w:rPr>
          <w:bCs/>
          <w:sz w:val="24"/>
        </w:rPr>
      </w:pPr>
      <w:r>
        <w:rPr>
          <w:bCs/>
          <w:sz w:val="24"/>
        </w:rPr>
        <w:t>3. the latest wireless transmission system</w:t>
      </w:r>
    </w:p>
    <w:p w:rsidR="003717A0" w:rsidRDefault="003717A0">
      <w:pPr>
        <w:ind w:left="1065"/>
        <w:rPr>
          <w:bCs/>
          <w:sz w:val="24"/>
        </w:rPr>
      </w:pPr>
      <w:r>
        <w:rPr>
          <w:bCs/>
          <w:sz w:val="24"/>
        </w:rPr>
        <w:t>4. a parade of</w:t>
      </w:r>
      <w:r>
        <w:rPr>
          <w:bCs/>
          <w:sz w:val="24"/>
        </w:rPr>
        <w:tab/>
        <w:t>5. to go too far</w:t>
      </w:r>
      <w:r>
        <w:rPr>
          <w:bCs/>
          <w:sz w:val="24"/>
        </w:rPr>
        <w:tab/>
        <w:t>6. to be desperate for</w:t>
      </w:r>
    </w:p>
    <w:p w:rsidR="003717A0" w:rsidRDefault="003717A0">
      <w:pPr>
        <w:ind w:left="1065"/>
        <w:rPr>
          <w:bCs/>
          <w:sz w:val="24"/>
        </w:rPr>
      </w:pPr>
      <w:r>
        <w:rPr>
          <w:bCs/>
          <w:sz w:val="24"/>
        </w:rPr>
        <w:t>7. to lack experience in sth.</w:t>
      </w:r>
      <w:r>
        <w:rPr>
          <w:bCs/>
          <w:sz w:val="24"/>
        </w:rPr>
        <w:tab/>
        <w:t>8. to weigh costs</w:t>
      </w:r>
    </w:p>
    <w:p w:rsidR="003717A0" w:rsidRDefault="003717A0">
      <w:pPr>
        <w:ind w:left="1065"/>
        <w:rPr>
          <w:bCs/>
          <w:sz w:val="24"/>
        </w:rPr>
      </w:pPr>
      <w:r>
        <w:rPr>
          <w:bCs/>
          <w:sz w:val="24"/>
        </w:rPr>
        <w:t>9. to choose between technologies</w:t>
      </w:r>
    </w:p>
    <w:p w:rsidR="003717A0" w:rsidRDefault="003717A0">
      <w:pPr>
        <w:ind w:left="1065"/>
        <w:rPr>
          <w:bCs/>
          <w:sz w:val="24"/>
        </w:rPr>
      </w:pPr>
      <w:r>
        <w:rPr>
          <w:bCs/>
          <w:sz w:val="24"/>
        </w:rPr>
        <w:t>10. factors separating winners from losers</w:t>
      </w:r>
      <w:r>
        <w:rPr>
          <w:bCs/>
          <w:sz w:val="24"/>
        </w:rPr>
        <w:tab/>
      </w:r>
    </w:p>
    <w:p w:rsidR="003717A0" w:rsidRDefault="003717A0">
      <w:pPr>
        <w:ind w:left="1065"/>
        <w:rPr>
          <w:bCs/>
          <w:sz w:val="24"/>
        </w:rPr>
      </w:pPr>
      <w:r>
        <w:rPr>
          <w:bCs/>
          <w:sz w:val="24"/>
        </w:rPr>
        <w:t xml:space="preserve">11. to thrive in the Information Age </w:t>
      </w:r>
      <w:r>
        <w:rPr>
          <w:bCs/>
          <w:sz w:val="24"/>
        </w:rPr>
        <w:tab/>
      </w:r>
    </w:p>
    <w:p w:rsidR="003717A0" w:rsidRDefault="003717A0">
      <w:pPr>
        <w:ind w:left="1065"/>
        <w:rPr>
          <w:bCs/>
          <w:sz w:val="24"/>
        </w:rPr>
      </w:pPr>
      <w:r>
        <w:rPr>
          <w:bCs/>
          <w:sz w:val="24"/>
        </w:rPr>
        <w:t>12. to lick the problem of funds</w:t>
      </w:r>
    </w:p>
    <w:p w:rsidR="003717A0" w:rsidRDefault="003717A0">
      <w:pPr>
        <w:ind w:left="1065"/>
        <w:rPr>
          <w:bCs/>
          <w:sz w:val="24"/>
        </w:rPr>
      </w:pPr>
      <w:r>
        <w:rPr>
          <w:bCs/>
          <w:sz w:val="24"/>
        </w:rPr>
        <w:t>13. high-capacity optical fiber</w:t>
      </w:r>
      <w:r>
        <w:rPr>
          <w:bCs/>
          <w:sz w:val="24"/>
        </w:rPr>
        <w:tab/>
        <w:t xml:space="preserve">14 basic infrastructure </w:t>
      </w:r>
      <w:r>
        <w:rPr>
          <w:bCs/>
          <w:sz w:val="24"/>
        </w:rPr>
        <w:tab/>
      </w:r>
    </w:p>
    <w:p w:rsidR="003717A0" w:rsidRDefault="003717A0">
      <w:pPr>
        <w:ind w:left="1065"/>
        <w:rPr>
          <w:bCs/>
          <w:sz w:val="24"/>
        </w:rPr>
      </w:pPr>
      <w:r>
        <w:rPr>
          <w:bCs/>
          <w:sz w:val="24"/>
        </w:rPr>
        <w:t>15. information superhighway</w:t>
      </w:r>
    </w:p>
    <w:p w:rsidR="003717A0" w:rsidRDefault="003717A0">
      <w:pPr>
        <w:ind w:left="1065"/>
        <w:rPr>
          <w:bCs/>
          <w:sz w:val="24"/>
        </w:rPr>
      </w:pPr>
      <w:r>
        <w:rPr>
          <w:bCs/>
          <w:sz w:val="24"/>
        </w:rPr>
        <w:t xml:space="preserve">16. to offer peak performance </w:t>
      </w:r>
      <w:r>
        <w:rPr>
          <w:bCs/>
          <w:sz w:val="24"/>
        </w:rPr>
        <w:tab/>
        <w:t>17. to accept higher price tag for sth.</w:t>
      </w:r>
      <w:r>
        <w:rPr>
          <w:bCs/>
          <w:sz w:val="24"/>
        </w:rPr>
        <w:tab/>
      </w:r>
    </w:p>
    <w:p w:rsidR="003717A0" w:rsidRDefault="003717A0">
      <w:pPr>
        <w:ind w:left="1065"/>
        <w:rPr>
          <w:bCs/>
          <w:sz w:val="24"/>
        </w:rPr>
      </w:pPr>
      <w:r>
        <w:rPr>
          <w:bCs/>
          <w:sz w:val="24"/>
        </w:rPr>
        <w:t xml:space="preserve">18. at one’s disposal </w:t>
      </w:r>
    </w:p>
    <w:p w:rsidR="003717A0" w:rsidRDefault="003717A0">
      <w:pPr>
        <w:numPr>
          <w:ilvl w:val="0"/>
          <w:numId w:val="72"/>
        </w:numPr>
        <w:ind w:left="360" w:hanging="360"/>
        <w:rPr>
          <w:bCs/>
          <w:sz w:val="24"/>
        </w:rPr>
      </w:pPr>
      <w:r>
        <w:rPr>
          <w:rFonts w:cs="Times New Roman"/>
          <w:bCs/>
          <w:sz w:val="24"/>
        </w:rPr>
        <w:t>to remain in contact with sb.</w:t>
      </w:r>
      <w:r>
        <w:rPr>
          <w:rFonts w:cs="Times New Roman"/>
          <w:bCs/>
          <w:sz w:val="24"/>
        </w:rPr>
        <w:tab/>
      </w:r>
      <w:r>
        <w:rPr>
          <w:bCs/>
          <w:sz w:val="24"/>
        </w:rPr>
        <w:t xml:space="preserve"> 20. to make a bold leap</w:t>
      </w:r>
    </w:p>
    <w:p w:rsidR="003717A0" w:rsidRDefault="003717A0">
      <w:pPr>
        <w:rPr>
          <w:bCs/>
          <w:sz w:val="24"/>
        </w:rPr>
      </w:pPr>
      <w:r>
        <w:rPr>
          <w:bCs/>
          <w:sz w:val="24"/>
        </w:rPr>
        <w:t>Key structures in Text A:</w:t>
      </w:r>
    </w:p>
    <w:p w:rsidR="003717A0" w:rsidRDefault="003717A0">
      <w:pPr>
        <w:rPr>
          <w:bCs/>
          <w:sz w:val="24"/>
        </w:rPr>
      </w:pPr>
      <w:r>
        <w:rPr>
          <w:bCs/>
          <w:sz w:val="24"/>
        </w:rPr>
        <w:t>1.Many experts think Vietnam is going too far by requiring that all mobile phones be expensive digital models, when it is desperate for any phones, period. (Para.3)</w:t>
      </w:r>
    </w:p>
    <w:p w:rsidR="003717A0" w:rsidRDefault="003717A0">
      <w:pPr>
        <w:rPr>
          <w:bCs/>
          <w:sz w:val="24"/>
        </w:rPr>
      </w:pPr>
      <w:r>
        <w:rPr>
          <w:bCs/>
          <w:sz w:val="24"/>
        </w:rPr>
        <w:t xml:space="preserve">The word “period” can be used at the end of a statement to show that you believe you have </w:t>
      </w:r>
      <w:r>
        <w:rPr>
          <w:bCs/>
          <w:sz w:val="24"/>
        </w:rPr>
        <w:lastRenderedPageBreak/>
        <w:t xml:space="preserve">said all there is to say on a subject and you are not going to discuss it any more. </w:t>
      </w:r>
    </w:p>
    <w:p w:rsidR="003717A0" w:rsidRDefault="003717A0">
      <w:pPr>
        <w:rPr>
          <w:bCs/>
          <w:sz w:val="24"/>
        </w:rPr>
      </w:pPr>
      <w:r>
        <w:rPr>
          <w:bCs/>
          <w:sz w:val="24"/>
        </w:rPr>
        <w:t>2. Wireless demand and usage have also exploded across the entire width and breadth of Latin America. (Para.8)</w:t>
      </w:r>
    </w:p>
    <w:p w:rsidR="003717A0" w:rsidRDefault="003717A0">
      <w:pPr>
        <w:ind w:left="360"/>
        <w:rPr>
          <w:bCs/>
          <w:sz w:val="24"/>
        </w:rPr>
      </w:pPr>
      <w:r>
        <w:rPr>
          <w:bCs/>
          <w:sz w:val="24"/>
        </w:rPr>
        <w:t>The phrase “the width and breadth of” means “the entire extent of something”. Another phrase that is just as common is “the length and breadth of”.</w:t>
      </w:r>
    </w:p>
    <w:p w:rsidR="003717A0" w:rsidRDefault="003717A0">
      <w:pPr>
        <w:jc w:val="left"/>
        <w:rPr>
          <w:bCs/>
          <w:sz w:val="24"/>
        </w:rPr>
      </w:pPr>
      <w:r>
        <w:rPr>
          <w:bCs/>
          <w:sz w:val="24"/>
        </w:rPr>
        <w:t>3.That’s partly because Latin American customers talk two to four times as long on the phone as people in North America. (Para.8)</w:t>
      </w:r>
    </w:p>
    <w:p w:rsidR="003717A0" w:rsidRDefault="003717A0">
      <w:pPr>
        <w:ind w:left="360"/>
        <w:rPr>
          <w:bCs/>
          <w:sz w:val="24"/>
        </w:rPr>
      </w:pPr>
      <w:r>
        <w:rPr>
          <w:bCs/>
          <w:sz w:val="24"/>
        </w:rPr>
        <w:t>Note the structure “two to four times as long as” in the sentence. We can use this structure to indicate the size or extent of something by comparing it to something else.</w:t>
      </w:r>
    </w:p>
    <w:p w:rsidR="003717A0" w:rsidRDefault="003717A0">
      <w:pPr>
        <w:ind w:left="360"/>
        <w:rPr>
          <w:bCs/>
          <w:sz w:val="24"/>
        </w:rPr>
      </w:pPr>
    </w:p>
    <w:p w:rsidR="003717A0" w:rsidRDefault="003717A0">
      <w:pPr>
        <w:rPr>
          <w:bCs/>
          <w:sz w:val="24"/>
        </w:rPr>
      </w:pPr>
      <w:r>
        <w:rPr>
          <w:bCs/>
          <w:sz w:val="24"/>
        </w:rPr>
        <w:t>Topic for writing:</w:t>
      </w:r>
    </w:p>
    <w:p w:rsidR="003717A0" w:rsidRDefault="003717A0">
      <w:pPr>
        <w:rPr>
          <w:bCs/>
          <w:sz w:val="24"/>
        </w:rPr>
      </w:pPr>
      <w:r>
        <w:rPr>
          <w:bCs/>
          <w:sz w:val="24"/>
        </w:rPr>
        <w:t>TV: a Blessing or a Curse</w:t>
      </w:r>
    </w:p>
    <w:p w:rsidR="003717A0" w:rsidRDefault="003717A0">
      <w:pPr>
        <w:rPr>
          <w:bCs/>
          <w:sz w:val="24"/>
        </w:rPr>
      </w:pPr>
    </w:p>
    <w:p w:rsidR="003717A0" w:rsidRDefault="003717A0">
      <w:pPr>
        <w:rPr>
          <w:bCs/>
          <w:sz w:val="24"/>
        </w:rPr>
      </w:pPr>
    </w:p>
    <w:p w:rsidR="003717A0" w:rsidRDefault="003717A0">
      <w:pPr>
        <w:rPr>
          <w:b/>
          <w:bCs/>
          <w:sz w:val="24"/>
        </w:rPr>
      </w:pPr>
      <w:r>
        <w:rPr>
          <w:b/>
          <w:bCs/>
          <w:sz w:val="24"/>
        </w:rPr>
        <w:t>Unit Five: Choose to Be Alone on Purpose</w:t>
      </w:r>
    </w:p>
    <w:p w:rsidR="003717A0" w:rsidRDefault="003717A0">
      <w:pPr>
        <w:rPr>
          <w:bCs/>
          <w:sz w:val="24"/>
        </w:rPr>
      </w:pPr>
      <w:r>
        <w:rPr>
          <w:bCs/>
          <w:sz w:val="24"/>
        </w:rPr>
        <w:t>Teaching objectives:</w:t>
      </w:r>
    </w:p>
    <w:p w:rsidR="003717A0" w:rsidRDefault="003717A0">
      <w:pPr>
        <w:rPr>
          <w:bCs/>
          <w:sz w:val="24"/>
        </w:rPr>
      </w:pPr>
      <w:r>
        <w:rPr>
          <w:bCs/>
          <w:sz w:val="24"/>
        </w:rPr>
        <w:t>1.Learn about solitude and company.</w:t>
      </w:r>
    </w:p>
    <w:p w:rsidR="003717A0" w:rsidRDefault="003717A0">
      <w:pPr>
        <w:tabs>
          <w:tab w:val="left" w:pos="360"/>
        </w:tabs>
        <w:rPr>
          <w:bCs/>
          <w:sz w:val="24"/>
        </w:rPr>
      </w:pPr>
      <w:r>
        <w:rPr>
          <w:bCs/>
          <w:sz w:val="24"/>
        </w:rPr>
        <w:t>2.Find ways to solve roommates’ problems.</w:t>
      </w:r>
    </w:p>
    <w:p w:rsidR="003717A0" w:rsidRDefault="003717A0">
      <w:pPr>
        <w:tabs>
          <w:tab w:val="left" w:pos="360"/>
        </w:tabs>
        <w:rPr>
          <w:bCs/>
          <w:sz w:val="24"/>
        </w:rPr>
      </w:pPr>
      <w:r>
        <w:rPr>
          <w:bCs/>
          <w:sz w:val="24"/>
        </w:rPr>
        <w:t>3.Practice new vocabulary.</w:t>
      </w:r>
    </w:p>
    <w:p w:rsidR="003717A0" w:rsidRDefault="003717A0">
      <w:pPr>
        <w:rPr>
          <w:bCs/>
          <w:sz w:val="24"/>
        </w:rPr>
      </w:pPr>
      <w:r>
        <w:rPr>
          <w:bCs/>
          <w:sz w:val="24"/>
        </w:rPr>
        <w:t>4.Learn to recognize paragraph patterns.</w:t>
      </w:r>
    </w:p>
    <w:p w:rsidR="003717A0" w:rsidRDefault="003717A0">
      <w:pPr>
        <w:rPr>
          <w:bCs/>
          <w:sz w:val="24"/>
        </w:rPr>
      </w:pPr>
      <w:r>
        <w:rPr>
          <w:bCs/>
          <w:sz w:val="24"/>
        </w:rPr>
        <w:t xml:space="preserve">5.Write paragraphs with comparisons and contrasts. </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2. 3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leftChars="600" w:left="1260" w:firstLineChars="300" w:firstLine="720"/>
        <w:rPr>
          <w:bCs/>
          <w:sz w:val="24"/>
        </w:rPr>
      </w:pPr>
      <w:r>
        <w:rPr>
          <w:bCs/>
          <w:sz w:val="24"/>
        </w:rPr>
        <w:t>Review key language points; exercises after text A; essay writing;</w:t>
      </w:r>
    </w:p>
    <w:p w:rsidR="003717A0" w:rsidRDefault="003717A0">
      <w:pPr>
        <w:rPr>
          <w:bCs/>
          <w:sz w:val="24"/>
        </w:rPr>
      </w:pPr>
      <w:r>
        <w:rPr>
          <w:bCs/>
          <w:sz w:val="24"/>
        </w:rPr>
        <w:t>3. 5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ind w:left="1065"/>
        <w:rPr>
          <w:bCs/>
          <w:sz w:val="24"/>
        </w:rPr>
      </w:pPr>
      <w:r>
        <w:rPr>
          <w:bCs/>
          <w:sz w:val="24"/>
        </w:rPr>
        <w:t>1.Discuss the advantages and disadvantages of solitude or living alone.</w:t>
      </w:r>
    </w:p>
    <w:p w:rsidR="003717A0" w:rsidRDefault="003717A0">
      <w:pPr>
        <w:ind w:left="1065"/>
        <w:rPr>
          <w:bCs/>
          <w:sz w:val="24"/>
        </w:rPr>
      </w:pPr>
      <w:r>
        <w:rPr>
          <w:bCs/>
          <w:sz w:val="24"/>
        </w:rPr>
        <w:t>2.Do you have the moments when you feel solitude is the best companion?</w:t>
      </w:r>
    </w:p>
    <w:p w:rsidR="003717A0" w:rsidRDefault="003717A0">
      <w:pPr>
        <w:ind w:left="1065"/>
        <w:rPr>
          <w:bCs/>
          <w:sz w:val="24"/>
        </w:rPr>
      </w:pPr>
      <w:r>
        <w:rPr>
          <w:bCs/>
          <w:sz w:val="24"/>
        </w:rPr>
        <w:t>3.Do you think solitude can give rise to inspiration? Give your reasons.</w:t>
      </w:r>
    </w:p>
    <w:p w:rsidR="003717A0" w:rsidRDefault="003717A0">
      <w:pPr>
        <w:ind w:left="1065"/>
        <w:rPr>
          <w:bCs/>
          <w:sz w:val="24"/>
        </w:rPr>
      </w:pPr>
    </w:p>
    <w:p w:rsidR="003717A0" w:rsidRDefault="003717A0">
      <w:pPr>
        <w:rPr>
          <w:bCs/>
          <w:sz w:val="24"/>
        </w:rPr>
      </w:pPr>
      <w:r>
        <w:rPr>
          <w:bCs/>
          <w:sz w:val="24"/>
        </w:rPr>
        <w:t>Key words: solitary, tame, inspiration, creep, dictate, ego, humble, seal</w:t>
      </w:r>
    </w:p>
    <w:p w:rsidR="003717A0" w:rsidRDefault="003717A0">
      <w:pPr>
        <w:rPr>
          <w:bCs/>
          <w:sz w:val="24"/>
        </w:rPr>
      </w:pPr>
    </w:p>
    <w:p w:rsidR="003717A0" w:rsidRDefault="003717A0">
      <w:pPr>
        <w:rPr>
          <w:bCs/>
          <w:sz w:val="24"/>
        </w:rPr>
      </w:pPr>
      <w:r>
        <w:rPr>
          <w:bCs/>
          <w:sz w:val="24"/>
        </w:rPr>
        <w:t>Key phrases and expressions in Text A:</w:t>
      </w:r>
    </w:p>
    <w:p w:rsidR="003717A0" w:rsidRDefault="003717A0">
      <w:pPr>
        <w:rPr>
          <w:bCs/>
          <w:sz w:val="24"/>
        </w:rPr>
      </w:pPr>
      <w:r>
        <w:rPr>
          <w:bCs/>
          <w:sz w:val="24"/>
        </w:rPr>
        <w:t>1. to tame the great wild areas</w:t>
      </w:r>
      <w:r>
        <w:rPr>
          <w:bCs/>
          <w:sz w:val="24"/>
        </w:rPr>
        <w:tab/>
        <w:t xml:space="preserve">2. a major commodity </w:t>
      </w:r>
    </w:p>
    <w:p w:rsidR="003717A0" w:rsidRDefault="003717A0">
      <w:pPr>
        <w:rPr>
          <w:bCs/>
          <w:sz w:val="24"/>
        </w:rPr>
      </w:pPr>
      <w:r>
        <w:rPr>
          <w:bCs/>
          <w:sz w:val="24"/>
        </w:rPr>
        <w:t>3. to speak highly of oneself</w:t>
      </w:r>
    </w:p>
    <w:p w:rsidR="003717A0" w:rsidRDefault="003717A0">
      <w:pPr>
        <w:rPr>
          <w:bCs/>
          <w:sz w:val="24"/>
        </w:rPr>
      </w:pPr>
      <w:r>
        <w:rPr>
          <w:bCs/>
          <w:sz w:val="24"/>
        </w:rPr>
        <w:t>4. to speak highly of oneself</w:t>
      </w:r>
      <w:r>
        <w:rPr>
          <w:bCs/>
          <w:sz w:val="24"/>
        </w:rPr>
        <w:tab/>
        <w:t>5. to creep away</w:t>
      </w:r>
      <w:r>
        <w:rPr>
          <w:bCs/>
          <w:sz w:val="24"/>
        </w:rPr>
        <w:tab/>
        <w:t>6. a busy road</w:t>
      </w:r>
    </w:p>
    <w:p w:rsidR="003717A0" w:rsidRDefault="003717A0">
      <w:pPr>
        <w:rPr>
          <w:bCs/>
          <w:sz w:val="24"/>
        </w:rPr>
      </w:pPr>
      <w:r>
        <w:rPr>
          <w:bCs/>
          <w:sz w:val="24"/>
        </w:rPr>
        <w:t>7. to have company</w:t>
      </w:r>
      <w:r>
        <w:rPr>
          <w:bCs/>
          <w:sz w:val="24"/>
        </w:rPr>
        <w:tab/>
        <w:t>8. the main point of one</w:t>
      </w:r>
      <w:r>
        <w:rPr>
          <w:rFonts w:hint="eastAsia"/>
          <w:bCs/>
          <w:sz w:val="24"/>
        </w:rPr>
        <w:t>’</w:t>
      </w:r>
      <w:r>
        <w:rPr>
          <w:bCs/>
          <w:sz w:val="24"/>
        </w:rPr>
        <w:t>s nobility</w:t>
      </w:r>
      <w:r>
        <w:rPr>
          <w:bCs/>
          <w:sz w:val="24"/>
        </w:rPr>
        <w:tab/>
        <w:t xml:space="preserve">9. to chop wood </w:t>
      </w:r>
    </w:p>
    <w:p w:rsidR="003717A0" w:rsidRDefault="003717A0">
      <w:pPr>
        <w:rPr>
          <w:bCs/>
          <w:sz w:val="24"/>
        </w:rPr>
      </w:pPr>
      <w:r>
        <w:rPr>
          <w:bCs/>
          <w:sz w:val="24"/>
        </w:rPr>
        <w:t>10. to do a laundry</w:t>
      </w:r>
      <w:r>
        <w:rPr>
          <w:bCs/>
          <w:sz w:val="24"/>
        </w:rPr>
        <w:tab/>
        <w:t xml:space="preserve">11. to have </w:t>
      </w:r>
      <w:r>
        <w:rPr>
          <w:rFonts w:hint="eastAsia"/>
          <w:bCs/>
          <w:sz w:val="24"/>
        </w:rPr>
        <w:t>…</w:t>
      </w:r>
      <w:r>
        <w:rPr>
          <w:bCs/>
          <w:sz w:val="24"/>
        </w:rPr>
        <w:t xml:space="preserve"> for company</w:t>
      </w:r>
      <w:r>
        <w:rPr>
          <w:bCs/>
          <w:sz w:val="24"/>
        </w:rPr>
        <w:tab/>
        <w:t>12. as you please</w:t>
      </w:r>
    </w:p>
    <w:p w:rsidR="003717A0" w:rsidRDefault="003717A0">
      <w:pPr>
        <w:rPr>
          <w:bCs/>
          <w:sz w:val="24"/>
        </w:rPr>
      </w:pPr>
      <w:r>
        <w:rPr>
          <w:bCs/>
          <w:sz w:val="24"/>
        </w:rPr>
        <w:lastRenderedPageBreak/>
        <w:t>13. to stay up late</w:t>
      </w:r>
      <w:r>
        <w:rPr>
          <w:bCs/>
          <w:sz w:val="24"/>
        </w:rPr>
        <w:tab/>
        <w:t>14. to talk at length</w:t>
      </w:r>
      <w:r>
        <w:rPr>
          <w:bCs/>
          <w:sz w:val="24"/>
        </w:rPr>
        <w:tab/>
        <w:t xml:space="preserve">15. a happy ending </w:t>
      </w:r>
    </w:p>
    <w:p w:rsidR="003717A0" w:rsidRDefault="003717A0">
      <w:pPr>
        <w:rPr>
          <w:bCs/>
          <w:sz w:val="24"/>
        </w:rPr>
      </w:pPr>
      <w:r>
        <w:rPr>
          <w:bCs/>
          <w:sz w:val="24"/>
        </w:rPr>
        <w:t>16. to cast out</w:t>
      </w:r>
      <w:r>
        <w:rPr>
          <w:bCs/>
          <w:sz w:val="24"/>
        </w:rPr>
        <w:tab/>
        <w:t>17. to seek out</w:t>
      </w:r>
      <w:r>
        <w:rPr>
          <w:bCs/>
          <w:sz w:val="24"/>
        </w:rPr>
        <w:tab/>
        <w:t xml:space="preserve">18. to set forth </w:t>
      </w:r>
    </w:p>
    <w:p w:rsidR="003717A0" w:rsidRDefault="003717A0">
      <w:pPr>
        <w:rPr>
          <w:bCs/>
          <w:sz w:val="24"/>
        </w:rPr>
      </w:pPr>
      <w:r>
        <w:rPr>
          <w:bCs/>
          <w:sz w:val="24"/>
        </w:rPr>
        <w:t>19. to stretch out</w:t>
      </w:r>
      <w:r>
        <w:rPr>
          <w:bCs/>
          <w:sz w:val="24"/>
        </w:rPr>
        <w:tab/>
        <w:t>20. to settle down</w:t>
      </w:r>
      <w:r>
        <w:rPr>
          <w:bCs/>
          <w:sz w:val="24"/>
        </w:rPr>
        <w:tab/>
      </w:r>
    </w:p>
    <w:p w:rsidR="003717A0" w:rsidRDefault="003717A0">
      <w:pPr>
        <w:rPr>
          <w:bCs/>
          <w:sz w:val="24"/>
        </w:rPr>
      </w:pPr>
    </w:p>
    <w:p w:rsidR="003717A0" w:rsidRDefault="003717A0">
      <w:pPr>
        <w:rPr>
          <w:bCs/>
          <w:sz w:val="24"/>
        </w:rPr>
      </w:pPr>
    </w:p>
    <w:p w:rsidR="003717A0" w:rsidRDefault="003717A0">
      <w:pPr>
        <w:rPr>
          <w:bCs/>
          <w:sz w:val="24"/>
        </w:rPr>
      </w:pPr>
      <w:r>
        <w:rPr>
          <w:bCs/>
          <w:sz w:val="24"/>
        </w:rPr>
        <w:t>Key structures in Text A:</w:t>
      </w:r>
    </w:p>
    <w:p w:rsidR="003717A0" w:rsidRDefault="003717A0">
      <w:pPr>
        <w:rPr>
          <w:bCs/>
          <w:sz w:val="24"/>
        </w:rPr>
      </w:pPr>
      <w:r>
        <w:rPr>
          <w:bCs/>
          <w:sz w:val="24"/>
        </w:rPr>
        <w:t>1.Loneliness may be a sort of national disease here, and it’s more embarrassing for us to admit than any other sin. (para.2)</w:t>
      </w:r>
    </w:p>
    <w:p w:rsidR="003717A0" w:rsidRDefault="003717A0">
      <w:pPr>
        <w:ind w:firstLineChars="196" w:firstLine="470"/>
        <w:rPr>
          <w:bCs/>
          <w:sz w:val="24"/>
        </w:rPr>
      </w:pPr>
      <w:r>
        <w:rPr>
          <w:rFonts w:hint="eastAsia"/>
          <w:bCs/>
          <w:sz w:val="24"/>
        </w:rPr>
        <w:t>孤独或许是这里的一种民族弊病，我们羞于承认它，甚于其他任何罪恶。</w:t>
      </w:r>
    </w:p>
    <w:p w:rsidR="003717A0" w:rsidRDefault="003717A0">
      <w:pPr>
        <w:ind w:firstLineChars="196" w:firstLine="470"/>
        <w:rPr>
          <w:bCs/>
          <w:sz w:val="24"/>
        </w:rPr>
      </w:pPr>
      <w:r>
        <w:rPr>
          <w:bCs/>
          <w:sz w:val="24"/>
        </w:rPr>
        <w:t xml:space="preserve">Sth. be a kind of thing, and it’s more …(adj.) for sb. to do than any other thing.   </w:t>
      </w:r>
      <w:r>
        <w:rPr>
          <w:rFonts w:hint="eastAsia"/>
          <w:bCs/>
          <w:sz w:val="24"/>
        </w:rPr>
        <w:t>某事是</w:t>
      </w:r>
      <w:r>
        <w:rPr>
          <w:bCs/>
          <w:sz w:val="24"/>
        </w:rPr>
        <w:t>······</w:t>
      </w:r>
      <w:r>
        <w:rPr>
          <w:rFonts w:hint="eastAsia"/>
          <w:bCs/>
          <w:sz w:val="24"/>
        </w:rPr>
        <w:t>，我们做某事，甚于其它任何事情。</w:t>
      </w:r>
    </w:p>
    <w:p w:rsidR="003717A0" w:rsidRDefault="003717A0">
      <w:pPr>
        <w:rPr>
          <w:bCs/>
          <w:sz w:val="24"/>
        </w:rPr>
      </w:pPr>
      <w:r>
        <w:rPr>
          <w:bCs/>
          <w:sz w:val="24"/>
        </w:rPr>
        <w:t>2.Consider Dorothy Wordsworth, for instance, helping her brother William put on his coat, finding his notebook and pencil for him, and waving as he sets forth into the early spring sunlight to look at flowers all by himself. (Para.4)</w:t>
      </w:r>
    </w:p>
    <w:p w:rsidR="003717A0" w:rsidRDefault="003717A0">
      <w:pPr>
        <w:ind w:firstLineChars="200" w:firstLine="480"/>
        <w:rPr>
          <w:bCs/>
          <w:sz w:val="24"/>
        </w:rPr>
      </w:pPr>
      <w:r>
        <w:rPr>
          <w:rFonts w:hint="eastAsia"/>
          <w:bCs/>
          <w:sz w:val="24"/>
        </w:rPr>
        <w:t>就拿多萝西</w:t>
      </w:r>
      <w:r>
        <w:rPr>
          <w:bCs/>
          <w:sz w:val="24"/>
        </w:rPr>
        <w:t>•</w:t>
      </w:r>
      <w:r>
        <w:rPr>
          <w:rFonts w:hint="eastAsia"/>
          <w:bCs/>
          <w:sz w:val="24"/>
        </w:rPr>
        <w:t>华兹华斯来说吧，她帮哥哥威廉穿上外衣，为他找到笔记本和铅笔，向他挥手告别，目送他走进早春的阳光去独自对花沉思。</w:t>
      </w:r>
    </w:p>
    <w:p w:rsidR="003717A0" w:rsidRDefault="003717A0">
      <w:pPr>
        <w:ind w:firstLineChars="196" w:firstLine="470"/>
        <w:rPr>
          <w:bCs/>
          <w:sz w:val="24"/>
        </w:rPr>
      </w:pPr>
      <w:r>
        <w:rPr>
          <w:bCs/>
          <w:sz w:val="24"/>
        </w:rPr>
        <w:t>(Just) Consider / Look at sb., for example / instance, doing this, doing that, and doing …</w:t>
      </w:r>
      <w:r>
        <w:rPr>
          <w:rFonts w:hint="eastAsia"/>
          <w:bCs/>
          <w:sz w:val="24"/>
        </w:rPr>
        <w:t>就拿某人来说</w:t>
      </w:r>
      <w:r>
        <w:rPr>
          <w:bCs/>
          <w:sz w:val="24"/>
        </w:rPr>
        <w:t xml:space="preserve"> /</w:t>
      </w:r>
      <w:r>
        <w:rPr>
          <w:rFonts w:hint="eastAsia"/>
          <w:bCs/>
          <w:sz w:val="24"/>
        </w:rPr>
        <w:t>为例吧</w:t>
      </w:r>
      <w:r>
        <w:rPr>
          <w:bCs/>
          <w:sz w:val="24"/>
        </w:rPr>
        <w:t xml:space="preserve">,  </w:t>
      </w:r>
      <w:r>
        <w:rPr>
          <w:rFonts w:hint="eastAsia"/>
          <w:bCs/>
          <w:sz w:val="24"/>
        </w:rPr>
        <w:t>他／她做……，做……，做……</w:t>
      </w:r>
    </w:p>
    <w:p w:rsidR="003717A0" w:rsidRDefault="003717A0">
      <w:pPr>
        <w:jc w:val="left"/>
        <w:rPr>
          <w:bCs/>
          <w:sz w:val="24"/>
        </w:rPr>
      </w:pPr>
      <w:r>
        <w:rPr>
          <w:bCs/>
          <w:sz w:val="24"/>
        </w:rPr>
        <w:t>3.Then, rather than trouble to put it in his own handwriting, he calls the girls to come back and write it down while he dictates. (Para.6)</w:t>
      </w:r>
    </w:p>
    <w:p w:rsidR="003717A0" w:rsidRDefault="003717A0">
      <w:pPr>
        <w:ind w:firstLineChars="147" w:firstLine="353"/>
        <w:jc w:val="left"/>
        <w:rPr>
          <w:bCs/>
          <w:sz w:val="24"/>
        </w:rPr>
      </w:pPr>
      <w:r>
        <w:rPr>
          <w:rFonts w:hint="eastAsia"/>
          <w:bCs/>
          <w:sz w:val="24"/>
        </w:rPr>
        <w:t>然而他并不自己费神将诗歌写下来，而是唤回女儿们，向她们口述，由她们记下来。</w:t>
      </w:r>
    </w:p>
    <w:p w:rsidR="003717A0" w:rsidRDefault="003717A0">
      <w:pPr>
        <w:ind w:firstLineChars="147" w:firstLine="353"/>
        <w:jc w:val="left"/>
        <w:rPr>
          <w:bCs/>
          <w:sz w:val="24"/>
        </w:rPr>
      </w:pPr>
      <w:r>
        <w:rPr>
          <w:bCs/>
          <w:sz w:val="24"/>
        </w:rPr>
        <w:t xml:space="preserve">Rather than do sth., sb. do (would do) sth. else. </w:t>
      </w:r>
      <w:r>
        <w:rPr>
          <w:rFonts w:hint="eastAsia"/>
          <w:bCs/>
          <w:sz w:val="24"/>
        </w:rPr>
        <w:t>某人并不</w:t>
      </w:r>
      <w:r>
        <w:rPr>
          <w:bCs/>
          <w:sz w:val="24"/>
        </w:rPr>
        <w:t xml:space="preserve">……, </w:t>
      </w:r>
      <w:r>
        <w:rPr>
          <w:rFonts w:hint="eastAsia"/>
          <w:bCs/>
          <w:sz w:val="24"/>
        </w:rPr>
        <w:t>而是</w:t>
      </w:r>
      <w:r>
        <w:rPr>
          <w:bCs/>
          <w:sz w:val="24"/>
        </w:rPr>
        <w:t>……</w:t>
      </w:r>
    </w:p>
    <w:p w:rsidR="003717A0" w:rsidRDefault="003717A0">
      <w:pPr>
        <w:rPr>
          <w:bCs/>
          <w:sz w:val="24"/>
        </w:rPr>
      </w:pPr>
      <w:r>
        <w:rPr>
          <w:rFonts w:hint="eastAsia"/>
          <w:bCs/>
          <w:sz w:val="24"/>
        </w:rPr>
        <w:t>用于表述“某人的真实做法”。</w:t>
      </w:r>
    </w:p>
    <w:p w:rsidR="003717A0" w:rsidRDefault="003717A0">
      <w:pPr>
        <w:rPr>
          <w:bCs/>
          <w:sz w:val="24"/>
        </w:rPr>
      </w:pPr>
      <w:r>
        <w:rPr>
          <w:bCs/>
          <w:sz w:val="24"/>
        </w:rPr>
        <w:t>4.We admire him, not for his self-reliance, but because he was all by himself out there at Walden Pond, and he wanted to be. (para.8)</w:t>
      </w:r>
    </w:p>
    <w:p w:rsidR="003717A0" w:rsidRDefault="003717A0">
      <w:pPr>
        <w:tabs>
          <w:tab w:val="left" w:pos="360"/>
        </w:tabs>
        <w:ind w:firstLineChars="150" w:firstLine="360"/>
        <w:rPr>
          <w:bCs/>
          <w:sz w:val="24"/>
        </w:rPr>
      </w:pPr>
      <w:r>
        <w:rPr>
          <w:rFonts w:hint="eastAsia"/>
          <w:bCs/>
          <w:sz w:val="24"/>
        </w:rPr>
        <w:t>我们钦佩他，并非因为他能自力更生，而是因为他孤身一人在瓦尔登湖畔生活，他喜欢这样。</w:t>
      </w:r>
    </w:p>
    <w:p w:rsidR="003717A0" w:rsidRDefault="003717A0">
      <w:pPr>
        <w:tabs>
          <w:tab w:val="left" w:pos="360"/>
        </w:tabs>
        <w:ind w:firstLineChars="196" w:firstLine="470"/>
        <w:rPr>
          <w:bCs/>
          <w:sz w:val="24"/>
        </w:rPr>
      </w:pPr>
      <w:r>
        <w:rPr>
          <w:bCs/>
          <w:sz w:val="24"/>
        </w:rPr>
        <w:t>Sb. do sth., not for…(</w:t>
      </w:r>
      <w:r>
        <w:rPr>
          <w:rFonts w:hint="eastAsia"/>
          <w:bCs/>
          <w:sz w:val="24"/>
        </w:rPr>
        <w:t>短语</w:t>
      </w:r>
      <w:r>
        <w:rPr>
          <w:bCs/>
          <w:sz w:val="24"/>
        </w:rPr>
        <w:t xml:space="preserve">), but because </w:t>
      </w:r>
      <w:r>
        <w:rPr>
          <w:rFonts w:hint="eastAsia"/>
          <w:bCs/>
          <w:sz w:val="24"/>
        </w:rPr>
        <w:t>…</w:t>
      </w:r>
      <w:r>
        <w:rPr>
          <w:bCs/>
          <w:sz w:val="24"/>
        </w:rPr>
        <w:t xml:space="preserve"> (</w:t>
      </w:r>
      <w:r>
        <w:rPr>
          <w:rFonts w:hint="eastAsia"/>
          <w:bCs/>
          <w:sz w:val="24"/>
        </w:rPr>
        <w:t>从句</w:t>
      </w:r>
      <w:r>
        <w:rPr>
          <w:bCs/>
          <w:sz w:val="24"/>
        </w:rPr>
        <w:t xml:space="preserve">) </w:t>
      </w:r>
      <w:r>
        <w:rPr>
          <w:rFonts w:hint="eastAsia"/>
          <w:bCs/>
          <w:sz w:val="24"/>
        </w:rPr>
        <w:t>某人做某事，并非因为……</w:t>
      </w:r>
      <w:r>
        <w:rPr>
          <w:bCs/>
          <w:sz w:val="24"/>
        </w:rPr>
        <w:t xml:space="preserve">, </w:t>
      </w:r>
      <w:r>
        <w:rPr>
          <w:rFonts w:hint="eastAsia"/>
          <w:bCs/>
          <w:sz w:val="24"/>
        </w:rPr>
        <w:t>而是因为……</w:t>
      </w:r>
    </w:p>
    <w:p w:rsidR="003717A0" w:rsidRDefault="003717A0">
      <w:pPr>
        <w:rPr>
          <w:bCs/>
          <w:sz w:val="24"/>
        </w:rPr>
      </w:pPr>
      <w:r>
        <w:rPr>
          <w:rFonts w:hint="eastAsia"/>
          <w:bCs/>
          <w:sz w:val="24"/>
        </w:rPr>
        <w:t>用于表示“某人做某事的真实原因”。</w:t>
      </w:r>
    </w:p>
    <w:p w:rsidR="003717A0" w:rsidRDefault="003717A0">
      <w:pPr>
        <w:numPr>
          <w:ilvl w:val="0"/>
          <w:numId w:val="58"/>
        </w:numPr>
        <w:rPr>
          <w:bCs/>
          <w:sz w:val="24"/>
        </w:rPr>
      </w:pPr>
      <w:r>
        <w:rPr>
          <w:bCs/>
          <w:sz w:val="24"/>
        </w:rPr>
        <w:t>The condition of loneliness rises and falls, but the need to talk goes on forever. (Para.12)</w:t>
      </w:r>
    </w:p>
    <w:p w:rsidR="003717A0" w:rsidRDefault="003717A0">
      <w:pPr>
        <w:ind w:firstLineChars="200" w:firstLine="480"/>
        <w:rPr>
          <w:bCs/>
          <w:sz w:val="24"/>
        </w:rPr>
      </w:pPr>
      <w:r>
        <w:rPr>
          <w:rFonts w:hint="eastAsia"/>
          <w:bCs/>
          <w:sz w:val="24"/>
        </w:rPr>
        <w:t>孤独的感觉时起时落，但我们却永远需要与人交谈。</w:t>
      </w:r>
    </w:p>
    <w:p w:rsidR="003717A0" w:rsidRDefault="003717A0">
      <w:pPr>
        <w:ind w:firstLineChars="196" w:firstLine="470"/>
        <w:rPr>
          <w:bCs/>
          <w:sz w:val="24"/>
        </w:rPr>
      </w:pPr>
      <w:r>
        <w:rPr>
          <w:bCs/>
          <w:sz w:val="24"/>
        </w:rPr>
        <w:t xml:space="preserve">Sth. rise and fall, but sth. else go on forever. </w:t>
      </w:r>
      <w:r>
        <w:rPr>
          <w:rFonts w:hint="eastAsia"/>
          <w:bCs/>
          <w:sz w:val="24"/>
        </w:rPr>
        <w:t>某种东西时起时落，但持久不变是……。</w:t>
      </w:r>
    </w:p>
    <w:p w:rsidR="003717A0" w:rsidRDefault="003717A0">
      <w:pPr>
        <w:rPr>
          <w:bCs/>
          <w:sz w:val="24"/>
        </w:rPr>
      </w:pPr>
      <w:r>
        <w:rPr>
          <w:rFonts w:hint="eastAsia"/>
          <w:bCs/>
          <w:sz w:val="24"/>
        </w:rPr>
        <w:t>用于表述“事物的辩证关系”。</w:t>
      </w:r>
    </w:p>
    <w:p w:rsidR="003717A0" w:rsidRDefault="003717A0">
      <w:pPr>
        <w:rPr>
          <w:bCs/>
          <w:sz w:val="24"/>
        </w:rPr>
      </w:pPr>
    </w:p>
    <w:p w:rsidR="003717A0" w:rsidRDefault="003717A0">
      <w:pPr>
        <w:rPr>
          <w:bCs/>
          <w:sz w:val="24"/>
        </w:rPr>
      </w:pPr>
      <w:r>
        <w:rPr>
          <w:bCs/>
          <w:sz w:val="24"/>
        </w:rPr>
        <w:t>Topic for writing:</w:t>
      </w:r>
    </w:p>
    <w:p w:rsidR="003717A0" w:rsidRDefault="003717A0">
      <w:pPr>
        <w:rPr>
          <w:bCs/>
          <w:sz w:val="24"/>
        </w:rPr>
      </w:pPr>
      <w:r>
        <w:rPr>
          <w:bCs/>
          <w:sz w:val="24"/>
        </w:rPr>
        <w:t>Directions: Write one paragraph based on the following topic:</w:t>
      </w:r>
    </w:p>
    <w:p w:rsidR="003717A0" w:rsidRDefault="003717A0">
      <w:pPr>
        <w:ind w:firstLineChars="686" w:firstLine="1646"/>
        <w:rPr>
          <w:bCs/>
          <w:sz w:val="24"/>
        </w:rPr>
      </w:pPr>
      <w:r>
        <w:rPr>
          <w:bCs/>
          <w:sz w:val="24"/>
        </w:rPr>
        <w:t xml:space="preserve">Railways and Automobile Roads </w:t>
      </w:r>
    </w:p>
    <w:p w:rsidR="003717A0" w:rsidRDefault="003717A0">
      <w:pPr>
        <w:rPr>
          <w:bCs/>
          <w:sz w:val="24"/>
        </w:rPr>
      </w:pP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 xml:space="preserve">Debate </w:t>
      </w:r>
    </w:p>
    <w:p w:rsidR="003717A0" w:rsidRDefault="003717A0">
      <w:pPr>
        <w:rPr>
          <w:bCs/>
          <w:sz w:val="24"/>
        </w:rPr>
      </w:pPr>
      <w:r>
        <w:rPr>
          <w:bCs/>
          <w:sz w:val="24"/>
        </w:rPr>
        <w:t>Young couples and their parents should live separately</w:t>
      </w:r>
    </w:p>
    <w:p w:rsidR="003717A0" w:rsidRDefault="003717A0">
      <w:pPr>
        <w:rPr>
          <w:bCs/>
          <w:sz w:val="24"/>
        </w:rPr>
      </w:pPr>
      <w:r>
        <w:rPr>
          <w:bCs/>
          <w:sz w:val="24"/>
        </w:rPr>
        <w:t>Young couples and their parents should live together</w:t>
      </w:r>
    </w:p>
    <w:p w:rsidR="003717A0" w:rsidRDefault="003717A0">
      <w:pPr>
        <w:rPr>
          <w:bCs/>
          <w:sz w:val="24"/>
        </w:rPr>
      </w:pPr>
      <w:r>
        <w:rPr>
          <w:bCs/>
          <w:sz w:val="24"/>
        </w:rPr>
        <w:lastRenderedPageBreak/>
        <w:t xml:space="preserve"> </w:t>
      </w:r>
    </w:p>
    <w:p w:rsidR="003717A0" w:rsidRDefault="003717A0">
      <w:pPr>
        <w:rPr>
          <w:bCs/>
          <w:sz w:val="24"/>
        </w:rPr>
      </w:pPr>
    </w:p>
    <w:p w:rsidR="003717A0" w:rsidRDefault="003717A0">
      <w:pPr>
        <w:rPr>
          <w:bCs/>
          <w:sz w:val="24"/>
        </w:rPr>
      </w:pPr>
    </w:p>
    <w:p w:rsidR="003717A0" w:rsidRDefault="003717A0">
      <w:pPr>
        <w:rPr>
          <w:b/>
          <w:bCs/>
          <w:sz w:val="24"/>
        </w:rPr>
      </w:pPr>
      <w:r>
        <w:rPr>
          <w:b/>
          <w:bCs/>
          <w:sz w:val="24"/>
        </w:rPr>
        <w:t>Unit Six: Bribery and Business Ethics</w:t>
      </w:r>
    </w:p>
    <w:p w:rsidR="003717A0" w:rsidRDefault="003717A0">
      <w:pPr>
        <w:rPr>
          <w:bCs/>
          <w:sz w:val="24"/>
        </w:rPr>
      </w:pPr>
      <w:r>
        <w:rPr>
          <w:bCs/>
          <w:sz w:val="24"/>
        </w:rPr>
        <w:t>Teaching objectives:</w:t>
      </w:r>
    </w:p>
    <w:p w:rsidR="003717A0" w:rsidRDefault="003717A0">
      <w:pPr>
        <w:rPr>
          <w:bCs/>
          <w:sz w:val="24"/>
        </w:rPr>
      </w:pPr>
      <w:r>
        <w:rPr>
          <w:bCs/>
          <w:sz w:val="24"/>
        </w:rPr>
        <w:t>1. To Require students think what business ethics are.</w:t>
      </w:r>
    </w:p>
    <w:p w:rsidR="003717A0" w:rsidRDefault="003717A0">
      <w:pPr>
        <w:rPr>
          <w:bCs/>
          <w:sz w:val="24"/>
        </w:rPr>
      </w:pPr>
      <w:r>
        <w:rPr>
          <w:bCs/>
          <w:sz w:val="24"/>
        </w:rPr>
        <w:t>2. To help students learn the new words and expressions.</w:t>
      </w:r>
    </w:p>
    <w:p w:rsidR="003717A0" w:rsidRDefault="003717A0">
      <w:pPr>
        <w:rPr>
          <w:bCs/>
          <w:sz w:val="24"/>
        </w:rPr>
      </w:pPr>
      <w:r>
        <w:rPr>
          <w:bCs/>
          <w:sz w:val="24"/>
        </w:rPr>
        <w:t>3. To get the students to communicate in English confidently.</w:t>
      </w:r>
    </w:p>
    <w:p w:rsidR="003717A0" w:rsidRDefault="003717A0">
      <w:pPr>
        <w:rPr>
          <w:bCs/>
          <w:sz w:val="24"/>
        </w:rPr>
      </w:pPr>
      <w:r>
        <w:rPr>
          <w:bCs/>
          <w:sz w:val="24"/>
        </w:rPr>
        <w:t>4. To teach the reading skill--- finding out word meanings through many different ways.</w:t>
      </w: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firstLineChars="900" w:firstLine="2160"/>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 Do you think it necessary to include business ethics in business courses? Give your reasons.  </w:t>
      </w:r>
    </w:p>
    <w:p w:rsidR="003717A0" w:rsidRDefault="003717A0">
      <w:pPr>
        <w:rPr>
          <w:bCs/>
          <w:sz w:val="24"/>
        </w:rPr>
      </w:pPr>
      <w:r>
        <w:rPr>
          <w:bCs/>
          <w:sz w:val="24"/>
        </w:rPr>
        <w:t xml:space="preserve">2. Do you think the giving and seeking of bribes can be banned by law? What might be a better solution?  </w:t>
      </w:r>
    </w:p>
    <w:p w:rsidR="003717A0" w:rsidRDefault="003717A0">
      <w:pPr>
        <w:rPr>
          <w:bCs/>
          <w:sz w:val="24"/>
        </w:rPr>
      </w:pPr>
      <w:r>
        <w:rPr>
          <w:bCs/>
          <w:sz w:val="24"/>
        </w:rPr>
        <w:t xml:space="preserve">3. Give your comments on the code of conduct proposed by ICC?  </w:t>
      </w:r>
    </w:p>
    <w:p w:rsidR="003717A0" w:rsidRDefault="003717A0">
      <w:pPr>
        <w:rPr>
          <w:bCs/>
          <w:sz w:val="24"/>
        </w:rPr>
      </w:pPr>
    </w:p>
    <w:p w:rsidR="003717A0" w:rsidRDefault="003717A0">
      <w:pPr>
        <w:rPr>
          <w:bCs/>
          <w:sz w:val="24"/>
        </w:rPr>
      </w:pPr>
      <w:r>
        <w:rPr>
          <w:bCs/>
          <w:sz w:val="24"/>
        </w:rPr>
        <w:t>Key words: bribery, ethics, quick-witted</w:t>
      </w:r>
    </w:p>
    <w:p w:rsidR="003717A0" w:rsidRDefault="003717A0">
      <w:pPr>
        <w:rPr>
          <w:bCs/>
          <w:sz w:val="24"/>
        </w:rPr>
      </w:pPr>
      <w:r>
        <w:rPr>
          <w:bCs/>
          <w:sz w:val="24"/>
        </w:rPr>
        <w:t xml:space="preserve">Key phrases and expressions: </w:t>
      </w:r>
    </w:p>
    <w:p w:rsidR="003717A0" w:rsidRDefault="003717A0">
      <w:pPr>
        <w:rPr>
          <w:bCs/>
          <w:sz w:val="24"/>
        </w:rPr>
      </w:pPr>
      <w:r>
        <w:rPr>
          <w:bCs/>
          <w:sz w:val="24"/>
        </w:rPr>
        <w:t>1. on the increase</w:t>
      </w:r>
      <w:r>
        <w:rPr>
          <w:bCs/>
          <w:sz w:val="24"/>
        </w:rPr>
        <w:tab/>
        <w:t>2. a way of life</w:t>
      </w:r>
      <w:r>
        <w:rPr>
          <w:bCs/>
          <w:sz w:val="24"/>
        </w:rPr>
        <w:tab/>
        <w:t>3. pay up</w:t>
      </w:r>
    </w:p>
    <w:p w:rsidR="003717A0" w:rsidRDefault="003717A0">
      <w:pPr>
        <w:rPr>
          <w:bCs/>
          <w:sz w:val="24"/>
        </w:rPr>
      </w:pPr>
      <w:r>
        <w:rPr>
          <w:bCs/>
          <w:sz w:val="24"/>
        </w:rPr>
        <w:t>4. stand by</w:t>
      </w:r>
      <w:r>
        <w:rPr>
          <w:bCs/>
          <w:sz w:val="24"/>
        </w:rPr>
        <w:tab/>
        <w:t>5. in practice</w:t>
      </w:r>
      <w:r>
        <w:rPr>
          <w:bCs/>
          <w:sz w:val="24"/>
        </w:rPr>
        <w:tab/>
        <w:t>6. accuse of</w:t>
      </w:r>
    </w:p>
    <w:p w:rsidR="003717A0" w:rsidRDefault="003717A0">
      <w:pPr>
        <w:rPr>
          <w:bCs/>
          <w:sz w:val="24"/>
        </w:rPr>
      </w:pPr>
      <w:r>
        <w:rPr>
          <w:bCs/>
          <w:sz w:val="24"/>
        </w:rPr>
        <w:t>7.in private</w:t>
      </w:r>
      <w:r>
        <w:rPr>
          <w:bCs/>
          <w:sz w:val="24"/>
        </w:rPr>
        <w:tab/>
        <w:t>8. a fact of life</w:t>
      </w:r>
      <w:r>
        <w:rPr>
          <w:bCs/>
          <w:sz w:val="24"/>
        </w:rPr>
        <w:tab/>
        <w:t>9. consist of</w:t>
      </w:r>
    </w:p>
    <w:p w:rsidR="003717A0" w:rsidRDefault="003717A0">
      <w:pPr>
        <w:rPr>
          <w:bCs/>
          <w:sz w:val="24"/>
        </w:rPr>
      </w:pPr>
      <w:r>
        <w:rPr>
          <w:bCs/>
          <w:sz w:val="24"/>
        </w:rPr>
        <w:t xml:space="preserve">10. in support of </w:t>
      </w:r>
      <w:r>
        <w:rPr>
          <w:bCs/>
          <w:sz w:val="24"/>
        </w:rPr>
        <w:tab/>
        <w:t>11. under investigation</w:t>
      </w:r>
      <w:r>
        <w:rPr>
          <w:bCs/>
          <w:sz w:val="24"/>
        </w:rPr>
        <w:tab/>
        <w:t>12. throw out</w:t>
      </w:r>
    </w:p>
    <w:p w:rsidR="003717A0" w:rsidRDefault="003717A0">
      <w:pPr>
        <w:rPr>
          <w:bCs/>
          <w:sz w:val="24"/>
        </w:rPr>
      </w:pPr>
      <w:r>
        <w:rPr>
          <w:bCs/>
          <w:sz w:val="24"/>
        </w:rPr>
        <w:t>13. close a deal</w:t>
      </w:r>
      <w:r>
        <w:rPr>
          <w:bCs/>
          <w:sz w:val="24"/>
        </w:rPr>
        <w:tab/>
        <w:t>14. speed up</w:t>
      </w:r>
      <w:r>
        <w:rPr>
          <w:bCs/>
          <w:sz w:val="24"/>
        </w:rPr>
        <w:tab/>
        <w:t>15. hit upon / on</w:t>
      </w:r>
    </w:p>
    <w:p w:rsidR="003717A0" w:rsidRDefault="003717A0">
      <w:pPr>
        <w:rPr>
          <w:bCs/>
          <w:sz w:val="24"/>
        </w:rPr>
      </w:pPr>
      <w:r>
        <w:rPr>
          <w:bCs/>
          <w:sz w:val="24"/>
        </w:rPr>
        <w:t>16. distinguish between</w:t>
      </w:r>
      <w:r>
        <w:rPr>
          <w:bCs/>
          <w:sz w:val="24"/>
        </w:rPr>
        <w:tab/>
        <w:t xml:space="preserve">17. amount to </w:t>
      </w:r>
      <w:r>
        <w:rPr>
          <w:bCs/>
          <w:sz w:val="24"/>
        </w:rPr>
        <w:tab/>
        <w:t>18. behave oneself</w:t>
      </w:r>
    </w:p>
    <w:p w:rsidR="003717A0" w:rsidRDefault="003717A0">
      <w:pPr>
        <w:rPr>
          <w:bCs/>
          <w:sz w:val="24"/>
        </w:rPr>
      </w:pPr>
      <w:r>
        <w:rPr>
          <w:bCs/>
          <w:sz w:val="24"/>
        </w:rPr>
        <w:t>19. be caught in  20. on the take  21. square</w:t>
      </w:r>
      <w:r>
        <w:rPr>
          <w:rFonts w:hint="eastAsia"/>
          <w:bCs/>
          <w:sz w:val="24"/>
        </w:rPr>
        <w:t>…</w:t>
      </w:r>
      <w:r>
        <w:rPr>
          <w:bCs/>
          <w:sz w:val="24"/>
        </w:rPr>
        <w:t xml:space="preserve"> with</w:t>
      </w:r>
    </w:p>
    <w:p w:rsidR="003717A0" w:rsidRDefault="003717A0">
      <w:pPr>
        <w:rPr>
          <w:bCs/>
          <w:sz w:val="24"/>
        </w:rPr>
      </w:pPr>
    </w:p>
    <w:p w:rsidR="003717A0" w:rsidRDefault="003717A0">
      <w:pPr>
        <w:rPr>
          <w:bCs/>
          <w:sz w:val="24"/>
        </w:rPr>
      </w:pPr>
    </w:p>
    <w:p w:rsidR="003717A0" w:rsidRDefault="003717A0">
      <w:pPr>
        <w:rPr>
          <w:bCs/>
          <w:sz w:val="24"/>
        </w:rPr>
      </w:pPr>
      <w:r>
        <w:rPr>
          <w:bCs/>
          <w:sz w:val="24"/>
        </w:rPr>
        <w:t>Key structures in Text A:</w:t>
      </w:r>
    </w:p>
    <w:p w:rsidR="003717A0" w:rsidRDefault="003717A0">
      <w:pPr>
        <w:widowControl/>
        <w:spacing w:line="360" w:lineRule="exact"/>
        <w:jc w:val="left"/>
        <w:rPr>
          <w:bCs/>
          <w:kern w:val="0"/>
          <w:sz w:val="24"/>
        </w:rPr>
      </w:pPr>
      <w:r>
        <w:rPr>
          <w:bCs/>
          <w:kern w:val="0"/>
          <w:sz w:val="24"/>
        </w:rPr>
        <w:t>1. Typical patterns for sb.’s reaction to sth.:</w:t>
      </w:r>
    </w:p>
    <w:p w:rsidR="003717A0" w:rsidRDefault="003717A0">
      <w:pPr>
        <w:widowControl/>
        <w:spacing w:line="360" w:lineRule="exact"/>
        <w:jc w:val="left"/>
        <w:rPr>
          <w:bCs/>
          <w:kern w:val="0"/>
          <w:sz w:val="24"/>
        </w:rPr>
      </w:pPr>
      <w:r>
        <w:rPr>
          <w:rFonts w:hint="eastAsia"/>
          <w:bCs/>
          <w:kern w:val="0"/>
          <w:sz w:val="24"/>
        </w:rPr>
        <w:t>原句</w:t>
      </w:r>
      <w:r>
        <w:rPr>
          <w:bCs/>
          <w:kern w:val="0"/>
          <w:sz w:val="24"/>
        </w:rPr>
        <w:t xml:space="preserve">: </w:t>
      </w:r>
      <w:r>
        <w:rPr>
          <w:bCs/>
          <w:kern w:val="0"/>
          <w:sz w:val="24"/>
          <w:u w:val="single"/>
        </w:rPr>
        <w:t>Students</w:t>
      </w:r>
      <w:r>
        <w:rPr>
          <w:bCs/>
          <w:kern w:val="0"/>
          <w:sz w:val="24"/>
        </w:rPr>
        <w:t xml:space="preserve"> taking business courses </w:t>
      </w:r>
      <w:r>
        <w:rPr>
          <w:bCs/>
          <w:kern w:val="0"/>
          <w:sz w:val="24"/>
          <w:u w:val="single"/>
        </w:rPr>
        <w:t>are</w:t>
      </w:r>
      <w:r>
        <w:rPr>
          <w:bCs/>
          <w:kern w:val="0"/>
          <w:sz w:val="24"/>
        </w:rPr>
        <w:t xml:space="preserve"> </w:t>
      </w:r>
      <w:r>
        <w:rPr>
          <w:bCs/>
          <w:kern w:val="0"/>
          <w:sz w:val="24"/>
          <w:u w:val="single"/>
        </w:rPr>
        <w:t>sometimes a little surprised to find that</w:t>
      </w:r>
      <w:r>
        <w:rPr>
          <w:bCs/>
          <w:kern w:val="0"/>
          <w:sz w:val="24"/>
        </w:rPr>
        <w:t xml:space="preserve"> classes on business ethics have been included in their schedule. (L. 1)</w:t>
      </w:r>
    </w:p>
    <w:p w:rsidR="003717A0" w:rsidRDefault="003717A0">
      <w:pPr>
        <w:widowControl/>
        <w:spacing w:line="360" w:lineRule="exact"/>
        <w:jc w:val="left"/>
        <w:rPr>
          <w:bCs/>
          <w:kern w:val="0"/>
          <w:sz w:val="24"/>
        </w:rPr>
      </w:pPr>
      <w:r>
        <w:rPr>
          <w:rFonts w:hint="eastAsia"/>
          <w:bCs/>
          <w:kern w:val="0"/>
          <w:sz w:val="24"/>
        </w:rPr>
        <w:t>商科</w:t>
      </w:r>
      <w:r>
        <w:rPr>
          <w:rFonts w:hint="eastAsia"/>
          <w:bCs/>
          <w:kern w:val="0"/>
          <w:sz w:val="24"/>
          <w:u w:val="single"/>
        </w:rPr>
        <w:t>学生有时对</w:t>
      </w:r>
      <w:r>
        <w:rPr>
          <w:rFonts w:hint="eastAsia"/>
          <w:bCs/>
          <w:kern w:val="0"/>
          <w:sz w:val="24"/>
        </w:rPr>
        <w:t>课程里包括商业道德课</w:t>
      </w:r>
      <w:r>
        <w:rPr>
          <w:rFonts w:hint="eastAsia"/>
          <w:bCs/>
          <w:kern w:val="0"/>
          <w:sz w:val="24"/>
          <w:u w:val="single"/>
        </w:rPr>
        <w:t>略感吃惊</w:t>
      </w:r>
      <w:r>
        <w:rPr>
          <w:rFonts w:hint="eastAsia"/>
          <w:bCs/>
          <w:kern w:val="0"/>
          <w:sz w:val="24"/>
        </w:rPr>
        <w:t>。</w:t>
      </w:r>
    </w:p>
    <w:p w:rsidR="003717A0" w:rsidRDefault="003717A0">
      <w:pPr>
        <w:widowControl/>
        <w:spacing w:line="360" w:lineRule="exact"/>
        <w:jc w:val="left"/>
        <w:rPr>
          <w:bCs/>
          <w:kern w:val="0"/>
          <w:sz w:val="24"/>
        </w:rPr>
      </w:pPr>
      <w:r>
        <w:rPr>
          <w:rFonts w:hint="eastAsia"/>
          <w:bCs/>
          <w:kern w:val="0"/>
          <w:sz w:val="24"/>
        </w:rPr>
        <w:t>句型提炼</w:t>
      </w:r>
      <w:r>
        <w:rPr>
          <w:bCs/>
          <w:kern w:val="0"/>
          <w:sz w:val="24"/>
        </w:rPr>
        <w:t>:</w:t>
      </w:r>
    </w:p>
    <w:p w:rsidR="003717A0" w:rsidRDefault="003717A0">
      <w:pPr>
        <w:widowControl/>
        <w:spacing w:line="360" w:lineRule="exact"/>
        <w:jc w:val="left"/>
        <w:rPr>
          <w:bCs/>
          <w:kern w:val="0"/>
          <w:sz w:val="24"/>
        </w:rPr>
      </w:pPr>
      <w:r>
        <w:rPr>
          <w:bCs/>
          <w:kern w:val="0"/>
          <w:sz w:val="24"/>
        </w:rPr>
        <w:lastRenderedPageBreak/>
        <w:t xml:space="preserve"> Sb. is </w:t>
      </w:r>
      <w:r>
        <w:rPr>
          <w:bCs/>
          <w:kern w:val="0"/>
          <w:sz w:val="24"/>
          <w:u w:val="single"/>
        </w:rPr>
        <w:t xml:space="preserve">a little (much / very) surprised (distressed / delighted / disappointed / excited </w:t>
      </w:r>
      <w:r>
        <w:rPr>
          <w:rFonts w:hint="eastAsia"/>
          <w:bCs/>
          <w:kern w:val="0"/>
          <w:sz w:val="24"/>
          <w:u w:val="single"/>
        </w:rPr>
        <w:t>／</w:t>
      </w:r>
      <w:r>
        <w:rPr>
          <w:bCs/>
          <w:kern w:val="0"/>
          <w:sz w:val="24"/>
          <w:u w:val="single"/>
        </w:rPr>
        <w:t>depressed )</w:t>
      </w:r>
      <w:r>
        <w:rPr>
          <w:bCs/>
          <w:kern w:val="0"/>
          <w:sz w:val="24"/>
        </w:rPr>
        <w:t xml:space="preserve"> to </w:t>
      </w:r>
      <w:r>
        <w:rPr>
          <w:bCs/>
          <w:kern w:val="0"/>
          <w:sz w:val="24"/>
          <w:u w:val="single"/>
        </w:rPr>
        <w:t>find / know / learn</w:t>
      </w:r>
      <w:r>
        <w:rPr>
          <w:bCs/>
          <w:kern w:val="0"/>
          <w:sz w:val="24"/>
        </w:rPr>
        <w:t xml:space="preserve"> that…</w:t>
      </w:r>
    </w:p>
    <w:p w:rsidR="003717A0" w:rsidRDefault="003717A0">
      <w:pPr>
        <w:widowControl/>
        <w:spacing w:line="360" w:lineRule="exact"/>
        <w:jc w:val="left"/>
        <w:rPr>
          <w:bCs/>
          <w:kern w:val="0"/>
          <w:sz w:val="24"/>
        </w:rPr>
      </w:pPr>
      <w:r>
        <w:rPr>
          <w:bCs/>
          <w:kern w:val="0"/>
          <w:sz w:val="24"/>
        </w:rPr>
        <w:t xml:space="preserve">   </w:t>
      </w:r>
      <w:r>
        <w:rPr>
          <w:rFonts w:hint="eastAsia"/>
          <w:bCs/>
          <w:kern w:val="0"/>
          <w:sz w:val="24"/>
        </w:rPr>
        <w:t>某人</w:t>
      </w:r>
      <w:r>
        <w:rPr>
          <w:bCs/>
          <w:kern w:val="0"/>
          <w:sz w:val="24"/>
        </w:rPr>
        <w:t xml:space="preserve"> </w:t>
      </w:r>
      <w:r>
        <w:rPr>
          <w:rFonts w:hint="eastAsia"/>
          <w:bCs/>
          <w:kern w:val="0"/>
          <w:sz w:val="24"/>
        </w:rPr>
        <w:t>对</w:t>
      </w:r>
      <w:r>
        <w:rPr>
          <w:bCs/>
          <w:kern w:val="0"/>
          <w:sz w:val="24"/>
        </w:rPr>
        <w:t xml:space="preserve">······ </w:t>
      </w:r>
      <w:r>
        <w:rPr>
          <w:rFonts w:hint="eastAsia"/>
          <w:bCs/>
          <w:kern w:val="0"/>
          <w:sz w:val="24"/>
        </w:rPr>
        <w:t>略</w:t>
      </w:r>
      <w:r>
        <w:rPr>
          <w:bCs/>
          <w:kern w:val="0"/>
          <w:sz w:val="24"/>
        </w:rPr>
        <w:t>(</w:t>
      </w:r>
      <w:r>
        <w:rPr>
          <w:rFonts w:hint="eastAsia"/>
          <w:bCs/>
          <w:kern w:val="0"/>
          <w:sz w:val="24"/>
        </w:rPr>
        <w:t>非常</w:t>
      </w:r>
      <w:r>
        <w:rPr>
          <w:bCs/>
          <w:kern w:val="0"/>
          <w:sz w:val="24"/>
        </w:rPr>
        <w:t>)</w:t>
      </w:r>
      <w:r>
        <w:rPr>
          <w:rFonts w:hint="eastAsia"/>
          <w:bCs/>
          <w:kern w:val="0"/>
          <w:sz w:val="24"/>
        </w:rPr>
        <w:t>感惊讶</w:t>
      </w:r>
      <w:r>
        <w:rPr>
          <w:bCs/>
          <w:kern w:val="0"/>
          <w:sz w:val="24"/>
        </w:rPr>
        <w:t xml:space="preserve"> / </w:t>
      </w:r>
      <w:r>
        <w:rPr>
          <w:rFonts w:hint="eastAsia"/>
          <w:bCs/>
          <w:kern w:val="0"/>
          <w:sz w:val="24"/>
        </w:rPr>
        <w:t>忧虑／高兴／</w:t>
      </w:r>
      <w:r>
        <w:rPr>
          <w:bCs/>
          <w:kern w:val="0"/>
          <w:sz w:val="24"/>
        </w:rPr>
        <w:t xml:space="preserve"> </w:t>
      </w:r>
      <w:r>
        <w:rPr>
          <w:rFonts w:hint="eastAsia"/>
          <w:bCs/>
          <w:kern w:val="0"/>
          <w:sz w:val="24"/>
        </w:rPr>
        <w:t>扫兴／兴奋／沮丧。</w:t>
      </w:r>
    </w:p>
    <w:p w:rsidR="003717A0" w:rsidRDefault="003717A0">
      <w:pPr>
        <w:rPr>
          <w:bCs/>
          <w:sz w:val="24"/>
        </w:rPr>
      </w:pPr>
    </w:p>
    <w:p w:rsidR="003717A0" w:rsidRDefault="003717A0">
      <w:pPr>
        <w:widowControl/>
        <w:spacing w:line="360" w:lineRule="exact"/>
        <w:jc w:val="left"/>
        <w:rPr>
          <w:rFonts w:eastAsia="Times New Roman"/>
          <w:bCs/>
          <w:kern w:val="0"/>
          <w:sz w:val="24"/>
        </w:rPr>
      </w:pPr>
      <w:r>
        <w:rPr>
          <w:bCs/>
          <w:kern w:val="0"/>
          <w:sz w:val="24"/>
        </w:rPr>
        <w:t xml:space="preserve">2. </w:t>
      </w:r>
      <w:r>
        <w:rPr>
          <w:rFonts w:ascii="宋体" w:hAnsi="宋体" w:cs="宋体" w:hint="eastAsia"/>
          <w:bCs/>
          <w:kern w:val="0"/>
          <w:sz w:val="24"/>
        </w:rPr>
        <w:t>原句</w:t>
      </w:r>
      <w:r>
        <w:rPr>
          <w:rFonts w:eastAsia="Times New Roman"/>
          <w:bCs/>
          <w:kern w:val="0"/>
          <w:sz w:val="24"/>
        </w:rPr>
        <w:t xml:space="preserve">: </w:t>
      </w:r>
      <w:r>
        <w:rPr>
          <w:rFonts w:eastAsia="Times New Roman"/>
          <w:bCs/>
          <w:kern w:val="0"/>
          <w:sz w:val="24"/>
          <w:u w:val="single"/>
        </w:rPr>
        <w:t>It is difficult to resist the impression</w:t>
      </w:r>
      <w:r>
        <w:rPr>
          <w:rFonts w:eastAsia="Times New Roman"/>
          <w:bCs/>
          <w:kern w:val="0"/>
          <w:sz w:val="24"/>
        </w:rPr>
        <w:t xml:space="preserve"> </w:t>
      </w:r>
      <w:r>
        <w:rPr>
          <w:rFonts w:eastAsia="Times New Roman"/>
          <w:bCs/>
          <w:kern w:val="0"/>
          <w:sz w:val="24"/>
          <w:u w:val="single"/>
        </w:rPr>
        <w:t>that</w:t>
      </w:r>
      <w:r>
        <w:rPr>
          <w:rFonts w:eastAsia="Times New Roman"/>
          <w:bCs/>
          <w:kern w:val="0"/>
          <w:sz w:val="24"/>
        </w:rPr>
        <w:t xml:space="preserve"> bribery and other questionable payments are on the increase. (L. 22)</w:t>
      </w:r>
    </w:p>
    <w:p w:rsidR="003717A0" w:rsidRDefault="003717A0">
      <w:pPr>
        <w:widowControl/>
        <w:spacing w:line="360" w:lineRule="exact"/>
        <w:jc w:val="left"/>
        <w:rPr>
          <w:rFonts w:eastAsia="Times New Roman"/>
          <w:bCs/>
          <w:kern w:val="0"/>
          <w:sz w:val="24"/>
        </w:rPr>
      </w:pPr>
      <w:r>
        <w:rPr>
          <w:rFonts w:ascii="宋体" w:hAnsi="宋体" w:cs="宋体" w:hint="eastAsia"/>
          <w:bCs/>
          <w:kern w:val="0"/>
          <w:sz w:val="24"/>
          <w:u w:val="single"/>
        </w:rPr>
        <w:t>很容易产生这样的印象</w:t>
      </w:r>
      <w:r>
        <w:rPr>
          <w:rFonts w:ascii="宋体" w:hAnsi="宋体" w:cs="宋体" w:hint="eastAsia"/>
          <w:bCs/>
          <w:kern w:val="0"/>
          <w:sz w:val="24"/>
        </w:rPr>
        <w:t>：贿赂以及其他可疑开支正日渐增多。</w:t>
      </w:r>
    </w:p>
    <w:p w:rsidR="003717A0" w:rsidRDefault="003717A0">
      <w:pPr>
        <w:widowControl/>
        <w:spacing w:line="360" w:lineRule="exact"/>
        <w:jc w:val="left"/>
        <w:rPr>
          <w:bCs/>
          <w:kern w:val="0"/>
          <w:sz w:val="24"/>
        </w:rPr>
      </w:pPr>
      <w:r>
        <w:rPr>
          <w:rFonts w:ascii="宋体" w:hAnsi="宋体" w:cs="宋体" w:hint="eastAsia"/>
          <w:bCs/>
          <w:kern w:val="0"/>
          <w:sz w:val="24"/>
        </w:rPr>
        <w:t>句型提炼</w:t>
      </w:r>
      <w:r>
        <w:rPr>
          <w:bCs/>
          <w:kern w:val="0"/>
          <w:sz w:val="24"/>
        </w:rPr>
        <w:t>:</w:t>
      </w:r>
    </w:p>
    <w:p w:rsidR="003717A0" w:rsidRDefault="003717A0">
      <w:pPr>
        <w:widowControl/>
        <w:spacing w:line="360" w:lineRule="exact"/>
        <w:jc w:val="left"/>
        <w:rPr>
          <w:rFonts w:eastAsia="Times New Roman"/>
          <w:bCs/>
          <w:kern w:val="0"/>
          <w:sz w:val="24"/>
        </w:rPr>
      </w:pPr>
      <w:r>
        <w:rPr>
          <w:rFonts w:eastAsia="Times New Roman"/>
          <w:bCs/>
          <w:kern w:val="0"/>
          <w:sz w:val="24"/>
        </w:rPr>
        <w:t xml:space="preserve"> It is difficult (for one) to resist </w:t>
      </w:r>
      <w:r>
        <w:rPr>
          <w:rFonts w:eastAsia="Times New Roman"/>
          <w:bCs/>
          <w:kern w:val="0"/>
          <w:sz w:val="24"/>
          <w:u w:val="single"/>
        </w:rPr>
        <w:t>the impression / notion / feeling / idea / opinion / conclusion</w:t>
      </w:r>
      <w:r>
        <w:rPr>
          <w:rFonts w:eastAsia="Times New Roman"/>
          <w:bCs/>
          <w:kern w:val="0"/>
          <w:sz w:val="24"/>
        </w:rPr>
        <w:t xml:space="preserve"> that…</w:t>
      </w:r>
    </w:p>
    <w:p w:rsidR="003717A0" w:rsidRDefault="003717A0">
      <w:pPr>
        <w:widowControl/>
        <w:spacing w:line="360" w:lineRule="exact"/>
        <w:ind w:firstLineChars="200" w:firstLine="480"/>
        <w:jc w:val="left"/>
        <w:rPr>
          <w:rFonts w:eastAsia="Times New Roman"/>
          <w:bCs/>
          <w:kern w:val="0"/>
          <w:sz w:val="24"/>
        </w:rPr>
      </w:pPr>
      <w:r>
        <w:rPr>
          <w:rFonts w:eastAsia="Times New Roman"/>
          <w:bCs/>
          <w:kern w:val="0"/>
          <w:sz w:val="24"/>
        </w:rPr>
        <w:t xml:space="preserve">     </w:t>
      </w:r>
      <w:r>
        <w:rPr>
          <w:rFonts w:ascii="宋体" w:hAnsi="宋体" w:cs="宋体" w:hint="eastAsia"/>
          <w:bCs/>
          <w:kern w:val="0"/>
          <w:sz w:val="24"/>
        </w:rPr>
        <w:t>很容易产生（得出）这样的印象／概念／感受／看法／结论：</w:t>
      </w:r>
      <w:r>
        <w:rPr>
          <w:rFonts w:eastAsia="Times New Roman"/>
          <w:bCs/>
          <w:kern w:val="0"/>
          <w:sz w:val="24"/>
        </w:rPr>
        <w:t>······</w:t>
      </w:r>
    </w:p>
    <w:p w:rsidR="003717A0" w:rsidRDefault="003717A0">
      <w:pPr>
        <w:widowControl/>
        <w:spacing w:line="360" w:lineRule="exact"/>
        <w:jc w:val="left"/>
        <w:rPr>
          <w:bCs/>
          <w:kern w:val="0"/>
          <w:sz w:val="24"/>
          <w:u w:val="single"/>
        </w:rPr>
      </w:pPr>
      <w:r>
        <w:rPr>
          <w:bCs/>
          <w:kern w:val="0"/>
          <w:sz w:val="24"/>
        </w:rPr>
        <w:t>3.</w:t>
      </w:r>
      <w:r>
        <w:rPr>
          <w:bCs/>
          <w:kern w:val="0"/>
          <w:sz w:val="24"/>
          <w:u w:val="single"/>
        </w:rPr>
        <w:t xml:space="preserve"> An interesting / striking / typical example of… is provided by the story of sb. who…   </w:t>
      </w:r>
      <w:r>
        <w:rPr>
          <w:rFonts w:hint="eastAsia"/>
          <w:bCs/>
          <w:kern w:val="0"/>
          <w:sz w:val="24"/>
          <w:u w:val="single"/>
        </w:rPr>
        <w:t>有个故事是说明</w:t>
      </w:r>
      <w:r>
        <w:rPr>
          <w:bCs/>
          <w:kern w:val="0"/>
          <w:sz w:val="24"/>
          <w:u w:val="single"/>
        </w:rPr>
        <w:t xml:space="preserve"> ······ </w:t>
      </w:r>
      <w:r>
        <w:rPr>
          <w:rFonts w:hint="eastAsia"/>
          <w:bCs/>
          <w:kern w:val="0"/>
          <w:sz w:val="24"/>
          <w:u w:val="single"/>
        </w:rPr>
        <w:t>的有趣／突出／典型的例子：某人</w:t>
      </w:r>
      <w:r>
        <w:rPr>
          <w:bCs/>
          <w:kern w:val="0"/>
          <w:sz w:val="24"/>
          <w:u w:val="single"/>
        </w:rPr>
        <w:t xml:space="preserve"> ······</w:t>
      </w:r>
    </w:p>
    <w:p w:rsidR="003717A0" w:rsidRDefault="003717A0">
      <w:pPr>
        <w:widowControl/>
        <w:spacing w:line="360" w:lineRule="exact"/>
        <w:jc w:val="left"/>
        <w:rPr>
          <w:bCs/>
          <w:kern w:val="0"/>
          <w:sz w:val="24"/>
          <w:u w:val="single"/>
        </w:rPr>
      </w:pPr>
    </w:p>
    <w:p w:rsidR="003717A0" w:rsidRDefault="003717A0">
      <w:pPr>
        <w:rPr>
          <w:bCs/>
          <w:sz w:val="24"/>
        </w:rPr>
      </w:pPr>
      <w:r>
        <w:rPr>
          <w:bCs/>
          <w:sz w:val="24"/>
        </w:rPr>
        <w:t>Topic for writing:</w:t>
      </w:r>
    </w:p>
    <w:p w:rsidR="003717A0" w:rsidRDefault="003717A0">
      <w:pPr>
        <w:ind w:left="1065"/>
        <w:rPr>
          <w:bCs/>
          <w:sz w:val="24"/>
        </w:rPr>
      </w:pPr>
      <w:r>
        <w:rPr>
          <w:bCs/>
          <w:sz w:val="24"/>
        </w:rPr>
        <w:t xml:space="preserve"> Directions: You are allowed 30 minutes to write a composition with on the topic Preparations for future career. You should write at least 130 words.</w:t>
      </w: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Recite the 6</w:t>
      </w:r>
      <w:r>
        <w:rPr>
          <w:bCs/>
          <w:sz w:val="24"/>
          <w:vertAlign w:val="superscript"/>
        </w:rPr>
        <w:t>th</w:t>
      </w:r>
      <w:r>
        <w:rPr>
          <w:bCs/>
          <w:sz w:val="24"/>
        </w:rPr>
        <w:t>, 7</w:t>
      </w:r>
      <w:r>
        <w:rPr>
          <w:bCs/>
          <w:sz w:val="24"/>
          <w:vertAlign w:val="superscript"/>
        </w:rPr>
        <w:t>th</w:t>
      </w:r>
      <w:r>
        <w:rPr>
          <w:bCs/>
          <w:sz w:val="24"/>
        </w:rPr>
        <w:t xml:space="preserve"> and 8</w:t>
      </w:r>
      <w:r>
        <w:rPr>
          <w:bCs/>
          <w:sz w:val="24"/>
          <w:vertAlign w:val="superscript"/>
        </w:rPr>
        <w:t>th</w:t>
      </w:r>
      <w:r>
        <w:rPr>
          <w:bCs/>
          <w:sz w:val="24"/>
        </w:rPr>
        <w:t xml:space="preserve"> paragraph in Text A.</w:t>
      </w:r>
    </w:p>
    <w:p w:rsidR="003717A0" w:rsidRDefault="003717A0">
      <w:pPr>
        <w:widowControl/>
        <w:spacing w:line="360" w:lineRule="exact"/>
        <w:jc w:val="left"/>
        <w:rPr>
          <w:bCs/>
          <w:kern w:val="0"/>
          <w:sz w:val="24"/>
          <w:u w:val="single"/>
        </w:rPr>
      </w:pPr>
    </w:p>
    <w:p w:rsidR="003717A0" w:rsidRDefault="003717A0">
      <w:pPr>
        <w:widowControl/>
        <w:spacing w:line="360" w:lineRule="exact"/>
        <w:jc w:val="left"/>
        <w:rPr>
          <w:bCs/>
          <w:kern w:val="0"/>
          <w:sz w:val="24"/>
          <w:u w:val="single"/>
        </w:rPr>
      </w:pPr>
    </w:p>
    <w:p w:rsidR="003717A0" w:rsidRDefault="003717A0">
      <w:pPr>
        <w:widowControl/>
        <w:spacing w:line="360" w:lineRule="exact"/>
        <w:jc w:val="left"/>
        <w:rPr>
          <w:b/>
          <w:bCs/>
          <w:sz w:val="24"/>
        </w:rPr>
      </w:pPr>
      <w:r>
        <w:rPr>
          <w:b/>
          <w:bCs/>
          <w:sz w:val="24"/>
        </w:rPr>
        <w:t>Unit Seven: Research into Population Genetics</w:t>
      </w:r>
    </w:p>
    <w:p w:rsidR="003717A0" w:rsidRDefault="003717A0">
      <w:pPr>
        <w:rPr>
          <w:bCs/>
          <w:sz w:val="24"/>
        </w:rPr>
      </w:pPr>
      <w:r>
        <w:rPr>
          <w:bCs/>
          <w:sz w:val="24"/>
        </w:rPr>
        <w:t>Teaching objectives:</w:t>
      </w:r>
    </w:p>
    <w:p w:rsidR="003717A0" w:rsidRDefault="003717A0">
      <w:pPr>
        <w:rPr>
          <w:bCs/>
          <w:sz w:val="24"/>
        </w:rPr>
      </w:pPr>
      <w:r>
        <w:rPr>
          <w:bCs/>
          <w:sz w:val="24"/>
        </w:rPr>
        <w:t>1. To Require students think what the principal reasons for researchers to conduct population genetics are.</w:t>
      </w:r>
    </w:p>
    <w:p w:rsidR="003717A0" w:rsidRDefault="003717A0">
      <w:pPr>
        <w:rPr>
          <w:bCs/>
          <w:sz w:val="24"/>
        </w:rPr>
      </w:pPr>
      <w:r>
        <w:rPr>
          <w:bCs/>
          <w:sz w:val="24"/>
        </w:rPr>
        <w:t>2. To help students learn the new words and expressions.</w:t>
      </w:r>
    </w:p>
    <w:p w:rsidR="003717A0" w:rsidRDefault="003717A0">
      <w:pPr>
        <w:rPr>
          <w:bCs/>
          <w:sz w:val="24"/>
        </w:rPr>
      </w:pPr>
      <w:r>
        <w:rPr>
          <w:bCs/>
          <w:sz w:val="24"/>
        </w:rPr>
        <w:t>3. To get the students to communicate in English confidently.</w:t>
      </w:r>
    </w:p>
    <w:p w:rsidR="003717A0" w:rsidRDefault="003717A0">
      <w:pPr>
        <w:rPr>
          <w:bCs/>
          <w:sz w:val="24"/>
        </w:rPr>
      </w:pPr>
      <w:r>
        <w:rPr>
          <w:bCs/>
          <w:sz w:val="24"/>
        </w:rPr>
        <w:t>4. To teach the reading skill--- finding out word meanings through many different ways.</w:t>
      </w: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firstLineChars="900" w:firstLine="2160"/>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 How much do you know about human genetics? Try to find more by searching the Internet.  </w:t>
      </w:r>
    </w:p>
    <w:p w:rsidR="003717A0" w:rsidRDefault="003717A0">
      <w:pPr>
        <w:rPr>
          <w:bCs/>
          <w:sz w:val="24"/>
        </w:rPr>
      </w:pPr>
      <w:r>
        <w:rPr>
          <w:bCs/>
          <w:sz w:val="24"/>
        </w:rPr>
        <w:t>2.  What are the scientific and social consequences of the research on population genetics?</w:t>
      </w:r>
    </w:p>
    <w:p w:rsidR="003717A0" w:rsidRDefault="003717A0">
      <w:pPr>
        <w:rPr>
          <w:bCs/>
          <w:sz w:val="24"/>
        </w:rPr>
      </w:pPr>
      <w:r>
        <w:rPr>
          <w:bCs/>
          <w:sz w:val="24"/>
        </w:rPr>
        <w:lastRenderedPageBreak/>
        <w:t xml:space="preserve">3.Will the findings about genetics help eliminate racial prejudice? </w:t>
      </w:r>
    </w:p>
    <w:p w:rsidR="003717A0" w:rsidRDefault="003717A0">
      <w:pPr>
        <w:widowControl/>
        <w:spacing w:line="360" w:lineRule="exact"/>
        <w:jc w:val="left"/>
        <w:rPr>
          <w:bCs/>
          <w:sz w:val="24"/>
        </w:rPr>
      </w:pPr>
    </w:p>
    <w:p w:rsidR="003717A0" w:rsidRDefault="003717A0">
      <w:pPr>
        <w:widowControl/>
        <w:spacing w:line="360" w:lineRule="exact"/>
        <w:jc w:val="left"/>
        <w:rPr>
          <w:bCs/>
          <w:sz w:val="24"/>
        </w:rPr>
      </w:pPr>
      <w:r>
        <w:rPr>
          <w:bCs/>
          <w:sz w:val="24"/>
        </w:rPr>
        <w:t>Key words: genetics, superiority, bias</w:t>
      </w:r>
    </w:p>
    <w:p w:rsidR="003717A0" w:rsidRDefault="003717A0">
      <w:pPr>
        <w:widowControl/>
        <w:spacing w:line="360" w:lineRule="exact"/>
        <w:jc w:val="left"/>
        <w:rPr>
          <w:bCs/>
          <w:sz w:val="24"/>
        </w:rPr>
      </w:pPr>
      <w:r>
        <w:rPr>
          <w:bCs/>
          <w:sz w:val="24"/>
        </w:rPr>
        <w:t xml:space="preserve">Key phrases and expressions: </w:t>
      </w:r>
    </w:p>
    <w:p w:rsidR="003717A0" w:rsidRDefault="003717A0">
      <w:pPr>
        <w:widowControl/>
        <w:spacing w:line="360" w:lineRule="exact"/>
        <w:jc w:val="left"/>
        <w:rPr>
          <w:bCs/>
          <w:sz w:val="24"/>
        </w:rPr>
      </w:pPr>
      <w:r>
        <w:rPr>
          <w:bCs/>
          <w:sz w:val="24"/>
        </w:rPr>
        <w:t>1.to date</w:t>
      </w:r>
      <w:r>
        <w:rPr>
          <w:bCs/>
          <w:sz w:val="24"/>
        </w:rPr>
        <w:tab/>
        <w:t>2. nothing less than</w:t>
      </w:r>
      <w:r>
        <w:rPr>
          <w:bCs/>
          <w:sz w:val="24"/>
        </w:rPr>
        <w:tab/>
        <w:t>3. be confined to</w:t>
      </w:r>
    </w:p>
    <w:p w:rsidR="003717A0" w:rsidRDefault="003717A0">
      <w:pPr>
        <w:widowControl/>
        <w:spacing w:line="360" w:lineRule="exact"/>
        <w:jc w:val="left"/>
        <w:rPr>
          <w:bCs/>
          <w:sz w:val="24"/>
        </w:rPr>
      </w:pPr>
      <w:r>
        <w:rPr>
          <w:bCs/>
          <w:sz w:val="24"/>
        </w:rPr>
        <w:t>4.as of/ from</w:t>
      </w:r>
      <w:r>
        <w:rPr>
          <w:bCs/>
          <w:sz w:val="24"/>
        </w:rPr>
        <w:tab/>
        <w:t>5. in effect</w:t>
      </w:r>
      <w:r>
        <w:rPr>
          <w:bCs/>
          <w:sz w:val="24"/>
        </w:rPr>
        <w:tab/>
        <w:t>6. in combination with</w:t>
      </w:r>
    </w:p>
    <w:p w:rsidR="003717A0" w:rsidRDefault="003717A0">
      <w:pPr>
        <w:widowControl/>
        <w:spacing w:line="360" w:lineRule="exact"/>
        <w:jc w:val="left"/>
        <w:rPr>
          <w:bCs/>
          <w:sz w:val="24"/>
        </w:rPr>
      </w:pPr>
      <w:r>
        <w:rPr>
          <w:bCs/>
          <w:sz w:val="24"/>
        </w:rPr>
        <w:t>7.be descended from</w:t>
      </w:r>
      <w:r>
        <w:rPr>
          <w:bCs/>
          <w:sz w:val="24"/>
        </w:rPr>
        <w:tab/>
      </w:r>
      <w:r>
        <w:rPr>
          <w:bCs/>
          <w:sz w:val="24"/>
        </w:rPr>
        <w:tab/>
      </w:r>
    </w:p>
    <w:p w:rsidR="003717A0" w:rsidRDefault="003717A0">
      <w:pPr>
        <w:rPr>
          <w:bCs/>
          <w:sz w:val="24"/>
        </w:rPr>
      </w:pPr>
    </w:p>
    <w:p w:rsidR="003717A0" w:rsidRDefault="003717A0">
      <w:pPr>
        <w:rPr>
          <w:bCs/>
          <w:sz w:val="24"/>
        </w:rPr>
      </w:pPr>
      <w:r>
        <w:rPr>
          <w:bCs/>
          <w:sz w:val="24"/>
        </w:rPr>
        <w:t>Key structures in Text A:</w:t>
      </w:r>
    </w:p>
    <w:p w:rsidR="003717A0" w:rsidRDefault="003717A0">
      <w:pPr>
        <w:widowControl/>
        <w:spacing w:line="360" w:lineRule="exact"/>
        <w:ind w:firstLineChars="200" w:firstLine="480"/>
        <w:jc w:val="left"/>
        <w:rPr>
          <w:bCs/>
          <w:kern w:val="0"/>
          <w:sz w:val="24"/>
        </w:rPr>
      </w:pPr>
      <w:r>
        <w:rPr>
          <w:bCs/>
          <w:kern w:val="0"/>
          <w:sz w:val="24"/>
        </w:rPr>
        <w:t>1. Typical patterns for revelation of truth &amp; fact:</w:t>
      </w:r>
    </w:p>
    <w:p w:rsidR="003717A0" w:rsidRDefault="003717A0">
      <w:pPr>
        <w:widowControl/>
        <w:spacing w:line="360" w:lineRule="exact"/>
        <w:ind w:firstLineChars="200" w:firstLine="480"/>
        <w:jc w:val="left"/>
        <w:rPr>
          <w:bCs/>
          <w:kern w:val="0"/>
          <w:sz w:val="24"/>
        </w:rPr>
      </w:pPr>
      <w:r>
        <w:rPr>
          <w:rFonts w:hint="eastAsia"/>
          <w:bCs/>
          <w:kern w:val="0"/>
          <w:sz w:val="24"/>
        </w:rPr>
        <w:t>原句</w:t>
      </w:r>
      <w:r>
        <w:rPr>
          <w:bCs/>
          <w:kern w:val="0"/>
          <w:sz w:val="24"/>
        </w:rPr>
        <w:t>: Because Australia’s native people and black Africans share such superficial characteristics as skin color and body shape, they were widely assumed to be closely related. But their genes tell a different story. (L. 36)</w:t>
      </w:r>
    </w:p>
    <w:p w:rsidR="003717A0" w:rsidRDefault="003717A0">
      <w:pPr>
        <w:widowControl/>
        <w:spacing w:line="360" w:lineRule="exact"/>
        <w:ind w:firstLineChars="200" w:firstLine="480"/>
        <w:jc w:val="left"/>
        <w:rPr>
          <w:bCs/>
          <w:kern w:val="0"/>
          <w:sz w:val="24"/>
        </w:rPr>
      </w:pPr>
      <w:r>
        <w:rPr>
          <w:rFonts w:hint="eastAsia"/>
          <w:bCs/>
          <w:kern w:val="0"/>
          <w:sz w:val="24"/>
        </w:rPr>
        <w:t>句型提炼</w:t>
      </w:r>
    </w:p>
    <w:p w:rsidR="003717A0" w:rsidRDefault="003717A0">
      <w:pPr>
        <w:widowControl/>
        <w:spacing w:line="360" w:lineRule="exact"/>
        <w:ind w:firstLineChars="200" w:firstLine="480"/>
        <w:jc w:val="left"/>
        <w:rPr>
          <w:bCs/>
          <w:kern w:val="0"/>
          <w:sz w:val="24"/>
        </w:rPr>
      </w:pPr>
      <w:r>
        <w:rPr>
          <w:bCs/>
          <w:kern w:val="0"/>
          <w:sz w:val="24"/>
        </w:rPr>
        <w:t xml:space="preserve">Sth./Sb. is widely assumed/believed/ thought to… But sth./sb. else tells a different story. </w:t>
      </w:r>
      <w:r>
        <w:rPr>
          <w:bCs/>
          <w:kern w:val="0"/>
          <w:sz w:val="24"/>
        </w:rPr>
        <w:br/>
      </w:r>
      <w:r>
        <w:rPr>
          <w:rFonts w:hint="eastAsia"/>
          <w:bCs/>
          <w:kern w:val="0"/>
          <w:sz w:val="24"/>
        </w:rPr>
        <w:t>人们普遍认为</w:t>
      </w:r>
      <w:r>
        <w:rPr>
          <w:bCs/>
          <w:kern w:val="0"/>
          <w:sz w:val="24"/>
        </w:rPr>
        <w:t>······</w:t>
      </w:r>
      <w:r>
        <w:rPr>
          <w:rFonts w:hint="eastAsia"/>
          <w:bCs/>
          <w:kern w:val="0"/>
          <w:sz w:val="24"/>
        </w:rPr>
        <w:t>然而</w:t>
      </w:r>
      <w:r>
        <w:rPr>
          <w:bCs/>
          <w:kern w:val="0"/>
          <w:sz w:val="24"/>
        </w:rPr>
        <w:t>······</w:t>
      </w:r>
      <w:r>
        <w:rPr>
          <w:rFonts w:hint="eastAsia"/>
          <w:bCs/>
          <w:kern w:val="0"/>
          <w:sz w:val="24"/>
        </w:rPr>
        <w:t>表明并非如此</w:t>
      </w:r>
    </w:p>
    <w:p w:rsidR="003717A0" w:rsidRDefault="003717A0">
      <w:pPr>
        <w:widowControl/>
        <w:spacing w:line="360" w:lineRule="exact"/>
        <w:ind w:firstLineChars="200" w:firstLine="480"/>
        <w:jc w:val="left"/>
        <w:rPr>
          <w:bCs/>
          <w:kern w:val="0"/>
          <w:sz w:val="24"/>
        </w:rPr>
      </w:pPr>
      <w:r>
        <w:rPr>
          <w:rFonts w:hint="eastAsia"/>
          <w:bCs/>
          <w:kern w:val="0"/>
          <w:sz w:val="24"/>
        </w:rPr>
        <w:t>原句</w:t>
      </w:r>
      <w:r>
        <w:rPr>
          <w:bCs/>
          <w:kern w:val="0"/>
          <w:sz w:val="24"/>
        </w:rPr>
        <w:t>: The unique character of the clicking sounds in their language has persuaded some researchers that the Khoisan people are directly descended from the most primitive human ancestors. But their genes beg to differ. (L. 48)</w:t>
      </w:r>
    </w:p>
    <w:p w:rsidR="003717A0" w:rsidRDefault="003717A0">
      <w:pPr>
        <w:widowControl/>
        <w:spacing w:line="360" w:lineRule="exact"/>
        <w:ind w:firstLineChars="200" w:firstLine="480"/>
        <w:jc w:val="left"/>
        <w:rPr>
          <w:bCs/>
          <w:kern w:val="0"/>
          <w:sz w:val="24"/>
        </w:rPr>
      </w:pPr>
      <w:r>
        <w:rPr>
          <w:rFonts w:hint="eastAsia"/>
          <w:bCs/>
          <w:kern w:val="0"/>
          <w:sz w:val="24"/>
        </w:rPr>
        <w:t>句型提炼</w:t>
      </w:r>
    </w:p>
    <w:p w:rsidR="003717A0" w:rsidRDefault="003717A0">
      <w:pPr>
        <w:widowControl/>
        <w:spacing w:line="360" w:lineRule="exact"/>
        <w:ind w:firstLineChars="200" w:firstLine="480"/>
        <w:jc w:val="left"/>
        <w:rPr>
          <w:bCs/>
          <w:kern w:val="0"/>
          <w:sz w:val="24"/>
        </w:rPr>
      </w:pPr>
      <w:r>
        <w:rPr>
          <w:bCs/>
          <w:kern w:val="0"/>
          <w:sz w:val="24"/>
        </w:rPr>
        <w:t xml:space="preserve">  Sth. superficial has persuaded sb. that… But sth.  else begs to differ. </w:t>
      </w:r>
      <w:r>
        <w:rPr>
          <w:bCs/>
          <w:kern w:val="0"/>
          <w:sz w:val="24"/>
        </w:rPr>
        <w:br/>
      </w:r>
      <w:r>
        <w:rPr>
          <w:rFonts w:hint="eastAsia"/>
          <w:bCs/>
          <w:kern w:val="0"/>
          <w:sz w:val="24"/>
        </w:rPr>
        <w:t>表面现象使得某人认为</w:t>
      </w:r>
      <w:r>
        <w:rPr>
          <w:bCs/>
          <w:kern w:val="0"/>
          <w:sz w:val="24"/>
        </w:rPr>
        <w:t>······</w:t>
      </w:r>
      <w:r>
        <w:rPr>
          <w:rFonts w:hint="eastAsia"/>
          <w:bCs/>
          <w:kern w:val="0"/>
          <w:sz w:val="24"/>
        </w:rPr>
        <w:t>然而</w:t>
      </w:r>
      <w:r>
        <w:rPr>
          <w:bCs/>
          <w:kern w:val="0"/>
          <w:sz w:val="24"/>
        </w:rPr>
        <w:t>······</w:t>
      </w:r>
      <w:r>
        <w:rPr>
          <w:rFonts w:hint="eastAsia"/>
          <w:bCs/>
          <w:kern w:val="0"/>
          <w:sz w:val="24"/>
        </w:rPr>
        <w:t>说明了不同的结果。</w:t>
      </w:r>
    </w:p>
    <w:p w:rsidR="003717A0" w:rsidRDefault="003717A0">
      <w:pPr>
        <w:widowControl/>
        <w:spacing w:line="360" w:lineRule="exact"/>
        <w:ind w:firstLineChars="200" w:firstLine="480"/>
        <w:jc w:val="left"/>
        <w:rPr>
          <w:bCs/>
          <w:kern w:val="0"/>
          <w:sz w:val="24"/>
        </w:rPr>
      </w:pPr>
      <w:r>
        <w:rPr>
          <w:bCs/>
          <w:kern w:val="0"/>
          <w:sz w:val="24"/>
        </w:rPr>
        <w:t>2. Typical patterns for confirmation of sth.:</w:t>
      </w:r>
    </w:p>
    <w:p w:rsidR="003717A0" w:rsidRDefault="003717A0">
      <w:pPr>
        <w:widowControl/>
        <w:spacing w:line="360" w:lineRule="exact"/>
        <w:ind w:firstLineChars="200" w:firstLine="480"/>
        <w:jc w:val="left"/>
        <w:rPr>
          <w:bCs/>
          <w:kern w:val="0"/>
          <w:sz w:val="24"/>
        </w:rPr>
      </w:pPr>
      <w:r>
        <w:rPr>
          <w:rFonts w:hint="eastAsia"/>
          <w:bCs/>
          <w:kern w:val="0"/>
          <w:sz w:val="24"/>
        </w:rPr>
        <w:t>原句</w:t>
      </w:r>
      <w:r>
        <w:rPr>
          <w:bCs/>
          <w:kern w:val="0"/>
          <w:sz w:val="24"/>
        </w:rPr>
        <w:t>: The same map, in combination with ancient human bones, confirms that Africa was the birthplace of humanity and thus the starting point of the original human movements. (L. 42)</w:t>
      </w:r>
    </w:p>
    <w:p w:rsidR="003717A0" w:rsidRDefault="003717A0">
      <w:pPr>
        <w:widowControl/>
        <w:spacing w:line="360" w:lineRule="exact"/>
        <w:ind w:firstLineChars="200" w:firstLine="480"/>
        <w:jc w:val="left"/>
        <w:rPr>
          <w:bCs/>
          <w:kern w:val="0"/>
          <w:sz w:val="24"/>
        </w:rPr>
      </w:pPr>
      <w:r>
        <w:rPr>
          <w:rFonts w:hint="eastAsia"/>
          <w:bCs/>
          <w:kern w:val="0"/>
          <w:sz w:val="24"/>
        </w:rPr>
        <w:t>句型提炼</w:t>
      </w:r>
    </w:p>
    <w:p w:rsidR="003717A0" w:rsidRDefault="003717A0">
      <w:pPr>
        <w:widowControl/>
        <w:spacing w:line="360" w:lineRule="exact"/>
        <w:ind w:firstLineChars="200" w:firstLine="480"/>
        <w:jc w:val="left"/>
        <w:rPr>
          <w:bCs/>
          <w:kern w:val="0"/>
          <w:sz w:val="24"/>
        </w:rPr>
      </w:pPr>
      <w:r>
        <w:rPr>
          <w:bCs/>
          <w:kern w:val="0"/>
          <w:sz w:val="24"/>
        </w:rPr>
        <w:t>Sth., in combination with sth. else, confirms that…</w:t>
      </w:r>
      <w:r>
        <w:rPr>
          <w:bCs/>
          <w:kern w:val="0"/>
          <w:sz w:val="24"/>
        </w:rPr>
        <w:br/>
      </w:r>
      <w:r>
        <w:rPr>
          <w:rFonts w:hint="eastAsia"/>
          <w:bCs/>
          <w:kern w:val="0"/>
          <w:sz w:val="24"/>
        </w:rPr>
        <w:t>结合</w:t>
      </w:r>
      <w:r>
        <w:rPr>
          <w:bCs/>
          <w:kern w:val="0"/>
          <w:sz w:val="24"/>
        </w:rPr>
        <w:t>······</w:t>
      </w:r>
      <w:r>
        <w:rPr>
          <w:rFonts w:hint="eastAsia"/>
          <w:bCs/>
          <w:kern w:val="0"/>
          <w:sz w:val="24"/>
        </w:rPr>
        <w:t>，</w:t>
      </w:r>
      <w:r>
        <w:rPr>
          <w:bCs/>
          <w:kern w:val="0"/>
          <w:sz w:val="24"/>
        </w:rPr>
        <w:t xml:space="preserve"> </w:t>
      </w:r>
      <w:r>
        <w:rPr>
          <w:rFonts w:hint="eastAsia"/>
          <w:bCs/>
          <w:kern w:val="0"/>
          <w:sz w:val="24"/>
        </w:rPr>
        <w:t>某事证实了</w:t>
      </w:r>
      <w:r>
        <w:rPr>
          <w:bCs/>
          <w:kern w:val="0"/>
          <w:sz w:val="24"/>
        </w:rPr>
        <w:t>······</w:t>
      </w:r>
    </w:p>
    <w:p w:rsidR="003717A0" w:rsidRDefault="003717A0">
      <w:pPr>
        <w:widowControl/>
        <w:spacing w:line="360" w:lineRule="exact"/>
        <w:ind w:firstLineChars="200" w:firstLine="480"/>
        <w:jc w:val="left"/>
        <w:rPr>
          <w:bCs/>
          <w:kern w:val="0"/>
          <w:sz w:val="24"/>
        </w:rPr>
      </w:pPr>
      <w:r>
        <w:rPr>
          <w:bCs/>
          <w:kern w:val="0"/>
          <w:sz w:val="24"/>
        </w:rPr>
        <w:t>Their Human Genome Project, in combination with the new findings of archaeology, confirms that Europeans are a mixture of Asians and Africans.</w:t>
      </w:r>
    </w:p>
    <w:p w:rsidR="003717A0" w:rsidRDefault="003717A0">
      <w:pPr>
        <w:widowControl/>
        <w:spacing w:line="360" w:lineRule="exact"/>
        <w:ind w:firstLineChars="200" w:firstLine="480"/>
        <w:jc w:val="left"/>
        <w:rPr>
          <w:bCs/>
          <w:kern w:val="0"/>
          <w:sz w:val="24"/>
        </w:rPr>
      </w:pPr>
      <w:r>
        <w:rPr>
          <w:bCs/>
          <w:kern w:val="0"/>
          <w:sz w:val="24"/>
        </w:rPr>
        <w:t>3. Typical patterns for the purpose of doing sth.</w:t>
      </w:r>
      <w:r>
        <w:rPr>
          <w:rFonts w:hint="eastAsia"/>
          <w:bCs/>
          <w:kern w:val="0"/>
          <w:sz w:val="24"/>
        </w:rPr>
        <w:t>：</w:t>
      </w:r>
    </w:p>
    <w:p w:rsidR="003717A0" w:rsidRDefault="003717A0">
      <w:pPr>
        <w:widowControl/>
        <w:spacing w:line="360" w:lineRule="exact"/>
        <w:ind w:firstLineChars="200" w:firstLine="480"/>
        <w:jc w:val="left"/>
        <w:rPr>
          <w:bCs/>
          <w:kern w:val="0"/>
          <w:sz w:val="24"/>
        </w:rPr>
      </w:pPr>
      <w:r>
        <w:rPr>
          <w:rFonts w:hint="eastAsia"/>
          <w:bCs/>
          <w:kern w:val="0"/>
          <w:sz w:val="24"/>
        </w:rPr>
        <w:t>原句</w:t>
      </w:r>
      <w:r>
        <w:rPr>
          <w:bCs/>
          <w:kern w:val="0"/>
          <w:sz w:val="24"/>
        </w:rPr>
        <w:t>: The study’s ultimate aim, he says, is to “weaken conventional notions of race” that cause racial prejudice. (L. 68)</w:t>
      </w:r>
    </w:p>
    <w:p w:rsidR="003717A0" w:rsidRDefault="003717A0">
      <w:pPr>
        <w:widowControl/>
        <w:spacing w:line="360" w:lineRule="exact"/>
        <w:ind w:firstLineChars="200" w:firstLine="480"/>
        <w:jc w:val="left"/>
        <w:rPr>
          <w:bCs/>
          <w:kern w:val="0"/>
          <w:sz w:val="24"/>
        </w:rPr>
      </w:pPr>
      <w:r>
        <w:rPr>
          <w:rFonts w:hint="eastAsia"/>
          <w:bCs/>
          <w:kern w:val="0"/>
          <w:sz w:val="24"/>
        </w:rPr>
        <w:t>句型提炼</w:t>
      </w:r>
    </w:p>
    <w:p w:rsidR="003717A0" w:rsidRDefault="003717A0">
      <w:pPr>
        <w:widowControl/>
        <w:spacing w:line="360" w:lineRule="exact"/>
        <w:ind w:firstLineChars="200" w:firstLine="480"/>
        <w:jc w:val="left"/>
        <w:rPr>
          <w:bCs/>
          <w:kern w:val="0"/>
          <w:sz w:val="24"/>
        </w:rPr>
      </w:pPr>
      <w:r>
        <w:rPr>
          <w:bCs/>
          <w:kern w:val="0"/>
          <w:sz w:val="24"/>
        </w:rPr>
        <w:t>The ultimate aim/target/objective/ goal of doing sth. is to…</w:t>
      </w:r>
      <w:r>
        <w:rPr>
          <w:bCs/>
          <w:kern w:val="0"/>
          <w:sz w:val="24"/>
        </w:rPr>
        <w:br/>
      </w:r>
      <w:r>
        <w:rPr>
          <w:rFonts w:hint="eastAsia"/>
          <w:bCs/>
          <w:kern w:val="0"/>
          <w:sz w:val="24"/>
        </w:rPr>
        <w:t>做某事的最终目的是</w:t>
      </w:r>
      <w:r>
        <w:rPr>
          <w:bCs/>
          <w:kern w:val="0"/>
          <w:sz w:val="24"/>
        </w:rPr>
        <w:t>······</w:t>
      </w:r>
    </w:p>
    <w:p w:rsidR="003717A0" w:rsidRDefault="003717A0">
      <w:pPr>
        <w:rPr>
          <w:bCs/>
          <w:sz w:val="24"/>
        </w:rPr>
      </w:pPr>
    </w:p>
    <w:p w:rsidR="003717A0" w:rsidRDefault="003717A0">
      <w:pPr>
        <w:rPr>
          <w:bCs/>
          <w:sz w:val="24"/>
        </w:rPr>
      </w:pPr>
      <w:r>
        <w:rPr>
          <w:bCs/>
          <w:sz w:val="24"/>
        </w:rPr>
        <w:lastRenderedPageBreak/>
        <w:t>Topic for writing:</w:t>
      </w:r>
    </w:p>
    <w:p w:rsidR="003717A0" w:rsidRDefault="003717A0">
      <w:pPr>
        <w:ind w:left="1065"/>
        <w:rPr>
          <w:bCs/>
          <w:sz w:val="24"/>
        </w:rPr>
      </w:pPr>
      <w:r>
        <w:rPr>
          <w:bCs/>
          <w:sz w:val="24"/>
        </w:rPr>
        <w:t xml:space="preserve"> Directions: You are allowed 30 minutes to write a composition with on the topic Genius is 1% inspiration and 99% perspiration. You should write at least 130 words.</w:t>
      </w:r>
    </w:p>
    <w:p w:rsidR="003717A0" w:rsidRDefault="003717A0">
      <w:pPr>
        <w:rPr>
          <w:bCs/>
          <w:sz w:val="24"/>
        </w:rPr>
      </w:pPr>
    </w:p>
    <w:p w:rsidR="003717A0" w:rsidRDefault="003717A0">
      <w:pPr>
        <w:rPr>
          <w:bCs/>
          <w:sz w:val="24"/>
        </w:rPr>
      </w:pPr>
      <w:r>
        <w:rPr>
          <w:bCs/>
          <w:sz w:val="24"/>
        </w:rPr>
        <w:t>Additional work:</w:t>
      </w:r>
    </w:p>
    <w:p w:rsidR="003717A0" w:rsidRDefault="003717A0">
      <w:pPr>
        <w:rPr>
          <w:bCs/>
          <w:sz w:val="24"/>
        </w:rPr>
      </w:pPr>
      <w:r>
        <w:rPr>
          <w:bCs/>
          <w:sz w:val="24"/>
        </w:rPr>
        <w:t>Recite the 5</w:t>
      </w:r>
      <w:r>
        <w:rPr>
          <w:bCs/>
          <w:sz w:val="24"/>
          <w:vertAlign w:val="superscript"/>
        </w:rPr>
        <w:t>th</w:t>
      </w:r>
      <w:r>
        <w:rPr>
          <w:bCs/>
          <w:sz w:val="24"/>
        </w:rPr>
        <w:t>, 6</w:t>
      </w:r>
      <w:r>
        <w:rPr>
          <w:bCs/>
          <w:sz w:val="24"/>
          <w:vertAlign w:val="superscript"/>
        </w:rPr>
        <w:t>th</w:t>
      </w:r>
      <w:r>
        <w:rPr>
          <w:bCs/>
          <w:sz w:val="24"/>
        </w:rPr>
        <w:t xml:space="preserve"> paragraph in Text A.</w:t>
      </w:r>
    </w:p>
    <w:p w:rsidR="003717A0" w:rsidRDefault="003717A0">
      <w:pPr>
        <w:widowControl/>
        <w:spacing w:line="360" w:lineRule="exact"/>
        <w:rPr>
          <w:rFonts w:eastAsia="Times New Roman"/>
          <w:bCs/>
          <w:kern w:val="0"/>
          <w:sz w:val="24"/>
        </w:rPr>
      </w:pPr>
    </w:p>
    <w:p w:rsidR="003717A0" w:rsidRDefault="003717A0">
      <w:pPr>
        <w:widowControl/>
        <w:spacing w:line="360" w:lineRule="exact"/>
        <w:rPr>
          <w:b/>
          <w:bCs/>
          <w:sz w:val="24"/>
        </w:rPr>
      </w:pPr>
      <w:r>
        <w:rPr>
          <w:b/>
          <w:bCs/>
          <w:sz w:val="24"/>
        </w:rPr>
        <w:t>Unit Eight Slavery Gave Me Nothing to Lose</w:t>
      </w:r>
    </w:p>
    <w:p w:rsidR="003717A0" w:rsidRDefault="003717A0">
      <w:pPr>
        <w:rPr>
          <w:bCs/>
          <w:sz w:val="24"/>
        </w:rPr>
      </w:pPr>
      <w:r>
        <w:rPr>
          <w:bCs/>
          <w:sz w:val="24"/>
        </w:rPr>
        <w:t>Teaching objectives:</w:t>
      </w:r>
    </w:p>
    <w:p w:rsidR="003717A0" w:rsidRDefault="003717A0">
      <w:pPr>
        <w:snapToGrid w:val="0"/>
        <w:ind w:left="360" w:hangingChars="150" w:hanging="360"/>
        <w:rPr>
          <w:bCs/>
          <w:sz w:val="24"/>
        </w:rPr>
      </w:pPr>
      <w:r>
        <w:rPr>
          <w:bCs/>
          <w:sz w:val="24"/>
        </w:rPr>
        <w:t xml:space="preserve">1. To make students know racial problems in the United States and learn of the blacks’ current situation in the United States </w:t>
      </w:r>
    </w:p>
    <w:p w:rsidR="003717A0" w:rsidRDefault="003717A0">
      <w:pPr>
        <w:snapToGrid w:val="0"/>
        <w:rPr>
          <w:bCs/>
          <w:sz w:val="24"/>
        </w:rPr>
      </w:pPr>
      <w:r>
        <w:rPr>
          <w:bCs/>
          <w:sz w:val="24"/>
        </w:rPr>
        <w:t xml:space="preserve">2. To know the meaning and usage of some important words, phrases and patterns </w:t>
      </w:r>
    </w:p>
    <w:p w:rsidR="003717A0" w:rsidRDefault="003717A0">
      <w:pPr>
        <w:snapToGrid w:val="0"/>
        <w:rPr>
          <w:bCs/>
          <w:sz w:val="24"/>
        </w:rPr>
      </w:pPr>
      <w:r>
        <w:rPr>
          <w:bCs/>
          <w:sz w:val="24"/>
        </w:rPr>
        <w:t>3. To be familiar with the writing skills of the text and make use of it in writing</w:t>
      </w:r>
    </w:p>
    <w:p w:rsidR="003717A0" w:rsidRDefault="003717A0">
      <w:pPr>
        <w:snapToGrid w:val="0"/>
        <w:rPr>
          <w:bCs/>
          <w:sz w:val="24"/>
        </w:rPr>
      </w:pPr>
      <w:r>
        <w:rPr>
          <w:bCs/>
          <w:sz w:val="24"/>
        </w:rPr>
        <w:t xml:space="preserve">4. To improve Ss reading skills by studying section B </w:t>
      </w:r>
    </w:p>
    <w:p w:rsidR="003717A0" w:rsidRDefault="003717A0">
      <w:pPr>
        <w:snapToGrid w:val="0"/>
        <w:rPr>
          <w:bCs/>
          <w:sz w:val="24"/>
        </w:rPr>
      </w:pPr>
      <w:r>
        <w:rPr>
          <w:bCs/>
          <w:sz w:val="24"/>
        </w:rPr>
        <w:t>5. To respond and cooperate with classmates willingly</w:t>
      </w:r>
    </w:p>
    <w:p w:rsidR="003717A0" w:rsidRDefault="003717A0">
      <w:pPr>
        <w:snapToGrid w:val="0"/>
        <w:rPr>
          <w:bCs/>
          <w:sz w:val="24"/>
        </w:rPr>
      </w:pPr>
      <w:r>
        <w:rPr>
          <w:bCs/>
          <w:sz w:val="24"/>
        </w:rPr>
        <w:t>6. To participate actively</w:t>
      </w:r>
    </w:p>
    <w:p w:rsidR="003717A0" w:rsidRDefault="003717A0">
      <w:pPr>
        <w:snapToGrid w:val="0"/>
        <w:rPr>
          <w:bCs/>
          <w:sz w:val="24"/>
        </w:rPr>
      </w:pPr>
      <w:r>
        <w:rPr>
          <w:bCs/>
          <w:sz w:val="24"/>
        </w:rPr>
        <w:t>7. To read sentences and texts with proper intonation</w:t>
      </w:r>
    </w:p>
    <w:p w:rsidR="003717A0" w:rsidRDefault="003717A0">
      <w:pPr>
        <w:snapToGrid w:val="0"/>
        <w:rPr>
          <w:bCs/>
          <w:sz w:val="24"/>
        </w:rPr>
      </w:pPr>
      <w:r>
        <w:rPr>
          <w:bCs/>
          <w:sz w:val="24"/>
        </w:rPr>
        <w:t>8. To write smoothly and legibly</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firstLineChars="900" w:firstLine="2160"/>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1.What is the attitude of the villagers toward the Northerners when the writer was little?  </w:t>
      </w:r>
    </w:p>
    <w:p w:rsidR="003717A0" w:rsidRDefault="003717A0">
      <w:pPr>
        <w:rPr>
          <w:bCs/>
          <w:sz w:val="24"/>
        </w:rPr>
      </w:pPr>
      <w:r>
        <w:rPr>
          <w:bCs/>
          <w:sz w:val="24"/>
        </w:rPr>
        <w:t xml:space="preserve">2.What does the writer think of herself and the blacks?  </w:t>
      </w:r>
    </w:p>
    <w:p w:rsidR="003717A0" w:rsidRDefault="003717A0">
      <w:pPr>
        <w:rPr>
          <w:bCs/>
          <w:sz w:val="24"/>
        </w:rPr>
      </w:pPr>
      <w:r>
        <w:rPr>
          <w:bCs/>
          <w:sz w:val="24"/>
        </w:rPr>
        <w:t xml:space="preserve">3.What is the major figure of speech employed in the passage? Give some examples. </w:t>
      </w:r>
    </w:p>
    <w:p w:rsidR="003717A0" w:rsidRDefault="003717A0">
      <w:pPr>
        <w:widowControl/>
        <w:spacing w:line="360" w:lineRule="exact"/>
        <w:rPr>
          <w:bCs/>
          <w:sz w:val="24"/>
        </w:rPr>
      </w:pPr>
    </w:p>
    <w:p w:rsidR="003717A0" w:rsidRDefault="003717A0">
      <w:pPr>
        <w:widowControl/>
        <w:spacing w:line="360" w:lineRule="exact"/>
        <w:rPr>
          <w:bCs/>
          <w:sz w:val="24"/>
        </w:rPr>
      </w:pPr>
      <w:r>
        <w:rPr>
          <w:bCs/>
          <w:sz w:val="24"/>
        </w:rPr>
        <w:t>Key words: exclusively, permanent, register</w:t>
      </w:r>
    </w:p>
    <w:p w:rsidR="003717A0" w:rsidRDefault="003717A0">
      <w:pPr>
        <w:widowControl/>
        <w:spacing w:line="360" w:lineRule="exact"/>
        <w:rPr>
          <w:bCs/>
          <w:sz w:val="24"/>
        </w:rPr>
      </w:pPr>
    </w:p>
    <w:p w:rsidR="003717A0" w:rsidRDefault="003717A0">
      <w:pPr>
        <w:widowControl/>
        <w:spacing w:line="360" w:lineRule="exact"/>
        <w:rPr>
          <w:bCs/>
          <w:sz w:val="24"/>
        </w:rPr>
      </w:pPr>
      <w:r>
        <w:rPr>
          <w:bCs/>
          <w:sz w:val="24"/>
        </w:rPr>
        <w:t xml:space="preserve">Key phrases and expressions: </w:t>
      </w:r>
    </w:p>
    <w:p w:rsidR="003717A0" w:rsidRDefault="003717A0">
      <w:pPr>
        <w:widowControl/>
        <w:spacing w:line="360" w:lineRule="exact"/>
        <w:ind w:firstLineChars="200" w:firstLine="480"/>
        <w:rPr>
          <w:bCs/>
          <w:sz w:val="24"/>
        </w:rPr>
      </w:pPr>
      <w:r>
        <w:rPr>
          <w:bCs/>
          <w:sz w:val="24"/>
        </w:rPr>
        <w:t xml:space="preserve">1. up to </w:t>
      </w:r>
      <w:r>
        <w:rPr>
          <w:bCs/>
          <w:sz w:val="24"/>
        </w:rPr>
        <w:tab/>
        <w:t>2. peer at sb. cautiously</w:t>
      </w:r>
      <w:r>
        <w:rPr>
          <w:bCs/>
          <w:sz w:val="24"/>
        </w:rPr>
        <w:tab/>
        <w:t>3. get pleasure out of sth.</w:t>
      </w:r>
    </w:p>
    <w:p w:rsidR="003717A0" w:rsidRDefault="003717A0">
      <w:pPr>
        <w:widowControl/>
        <w:spacing w:line="360" w:lineRule="exact"/>
        <w:ind w:firstLineChars="200" w:firstLine="480"/>
        <w:rPr>
          <w:bCs/>
          <w:sz w:val="24"/>
        </w:rPr>
      </w:pPr>
      <w:r>
        <w:rPr>
          <w:bCs/>
          <w:sz w:val="24"/>
        </w:rPr>
        <w:t>4. be a front row seat for sb.</w:t>
      </w:r>
      <w:r>
        <w:rPr>
          <w:bCs/>
          <w:sz w:val="24"/>
        </w:rPr>
        <w:tab/>
        <w:t>5. in passing</w:t>
      </w:r>
      <w:r>
        <w:rPr>
          <w:bCs/>
          <w:sz w:val="24"/>
        </w:rPr>
        <w:tab/>
        <w:t>6. an exchange of greetings</w:t>
      </w:r>
    </w:p>
    <w:p w:rsidR="003717A0" w:rsidRDefault="003717A0">
      <w:pPr>
        <w:widowControl/>
        <w:spacing w:line="360" w:lineRule="exact"/>
        <w:ind w:firstLineChars="200" w:firstLine="480"/>
        <w:rPr>
          <w:bCs/>
          <w:sz w:val="24"/>
        </w:rPr>
      </w:pPr>
      <w:r>
        <w:rPr>
          <w:bCs/>
          <w:sz w:val="24"/>
        </w:rPr>
        <w:t xml:space="preserve">7.go a piece of the way </w:t>
      </w:r>
      <w:r>
        <w:rPr>
          <w:bCs/>
          <w:sz w:val="24"/>
        </w:rPr>
        <w:tab/>
        <w:t>8. just in time to do sth.</w:t>
      </w:r>
      <w:r>
        <w:rPr>
          <w:bCs/>
          <w:sz w:val="24"/>
        </w:rPr>
        <w:tab/>
        <w:t xml:space="preserve">9. break off the conversation </w:t>
      </w:r>
    </w:p>
    <w:p w:rsidR="003717A0" w:rsidRDefault="003717A0">
      <w:pPr>
        <w:widowControl/>
        <w:spacing w:line="360" w:lineRule="exact"/>
        <w:ind w:firstLineChars="200" w:firstLine="480"/>
        <w:rPr>
          <w:bCs/>
          <w:sz w:val="24"/>
        </w:rPr>
      </w:pPr>
      <w:r>
        <w:rPr>
          <w:bCs/>
          <w:sz w:val="24"/>
        </w:rPr>
        <w:t>10. differ from</w:t>
      </w:r>
      <w:r>
        <w:rPr>
          <w:bCs/>
          <w:sz w:val="24"/>
        </w:rPr>
        <w:tab/>
        <w:t>11. in that</w:t>
      </w:r>
      <w:r>
        <w:rPr>
          <w:bCs/>
          <w:sz w:val="24"/>
        </w:rPr>
        <w:tab/>
        <w:t>12. give sb. Generously of sth.</w:t>
      </w:r>
    </w:p>
    <w:p w:rsidR="003717A0" w:rsidRDefault="003717A0">
      <w:pPr>
        <w:widowControl/>
        <w:spacing w:line="360" w:lineRule="exact"/>
        <w:ind w:firstLineChars="200" w:firstLine="480"/>
        <w:rPr>
          <w:bCs/>
          <w:sz w:val="24"/>
        </w:rPr>
      </w:pPr>
      <w:r>
        <w:rPr>
          <w:bCs/>
          <w:sz w:val="24"/>
        </w:rPr>
        <w:t xml:space="preserve">13. disapprove of </w:t>
      </w:r>
      <w:r>
        <w:rPr>
          <w:bCs/>
          <w:sz w:val="24"/>
        </w:rPr>
        <w:tab/>
        <w:t>14. belong to</w:t>
      </w:r>
      <w:r>
        <w:rPr>
          <w:bCs/>
          <w:sz w:val="24"/>
        </w:rPr>
        <w:tab/>
        <w:t xml:space="preserve">15. suffer a huge change </w:t>
      </w:r>
    </w:p>
    <w:p w:rsidR="003717A0" w:rsidRDefault="003717A0">
      <w:pPr>
        <w:widowControl/>
        <w:spacing w:line="360" w:lineRule="exact"/>
        <w:ind w:firstLineChars="200" w:firstLine="480"/>
        <w:rPr>
          <w:bCs/>
          <w:sz w:val="24"/>
        </w:rPr>
      </w:pPr>
      <w:r>
        <w:rPr>
          <w:bCs/>
          <w:sz w:val="24"/>
        </w:rPr>
        <w:t>16. guarantee not to do sth.</w:t>
      </w:r>
      <w:r>
        <w:rPr>
          <w:bCs/>
          <w:sz w:val="24"/>
        </w:rPr>
        <w:tab/>
        <w:t>17. at one</w:t>
      </w:r>
      <w:r>
        <w:rPr>
          <w:rFonts w:hint="eastAsia"/>
          <w:bCs/>
          <w:sz w:val="24"/>
        </w:rPr>
        <w:t>’</w:t>
      </w:r>
      <w:r>
        <w:rPr>
          <w:bCs/>
          <w:sz w:val="24"/>
        </w:rPr>
        <w:t xml:space="preserve">s elbow </w:t>
      </w:r>
      <w:r>
        <w:rPr>
          <w:bCs/>
          <w:sz w:val="24"/>
        </w:rPr>
        <w:tab/>
        <w:t>18. remind sb. that ---</w:t>
      </w:r>
    </w:p>
    <w:p w:rsidR="003717A0" w:rsidRDefault="003717A0">
      <w:pPr>
        <w:widowControl/>
        <w:spacing w:line="360" w:lineRule="exact"/>
        <w:ind w:firstLineChars="200" w:firstLine="480"/>
        <w:rPr>
          <w:bCs/>
          <w:sz w:val="24"/>
        </w:rPr>
      </w:pPr>
      <w:r>
        <w:rPr>
          <w:bCs/>
          <w:sz w:val="24"/>
        </w:rPr>
        <w:lastRenderedPageBreak/>
        <w:t xml:space="preserve">19. instead of </w:t>
      </w:r>
      <w:r>
        <w:rPr>
          <w:bCs/>
          <w:sz w:val="24"/>
        </w:rPr>
        <w:tab/>
        <w:t>20. on the line</w:t>
      </w:r>
      <w:r>
        <w:rPr>
          <w:bCs/>
          <w:sz w:val="24"/>
        </w:rPr>
        <w:tab/>
        <w:t>21. the price one pays for sth.</w:t>
      </w:r>
    </w:p>
    <w:p w:rsidR="003717A0" w:rsidRDefault="003717A0">
      <w:pPr>
        <w:widowControl/>
        <w:spacing w:line="360" w:lineRule="exact"/>
        <w:ind w:firstLineChars="200" w:firstLine="480"/>
        <w:rPr>
          <w:bCs/>
          <w:sz w:val="24"/>
        </w:rPr>
      </w:pPr>
      <w:r>
        <w:rPr>
          <w:bCs/>
          <w:sz w:val="24"/>
        </w:rPr>
        <w:t>22. feel colored</w:t>
      </w:r>
      <w:r>
        <w:rPr>
          <w:bCs/>
          <w:sz w:val="24"/>
        </w:rPr>
        <w:tab/>
        <w:t>23.achieve the unconscious Zora</w:t>
      </w:r>
      <w:r>
        <w:rPr>
          <w:bCs/>
          <w:sz w:val="24"/>
        </w:rPr>
        <w:tab/>
        <w:t>24. have sth. in common</w:t>
      </w:r>
    </w:p>
    <w:p w:rsidR="003717A0" w:rsidRDefault="003717A0">
      <w:pPr>
        <w:widowControl/>
        <w:spacing w:line="360" w:lineRule="exact"/>
        <w:ind w:firstLineChars="200" w:firstLine="480"/>
        <w:rPr>
          <w:bCs/>
          <w:sz w:val="24"/>
        </w:rPr>
      </w:pPr>
      <w:r>
        <w:rPr>
          <w:bCs/>
          <w:sz w:val="24"/>
        </w:rPr>
        <w:t>25. in the main</w:t>
      </w:r>
      <w:r>
        <w:rPr>
          <w:bCs/>
          <w:sz w:val="24"/>
        </w:rPr>
        <w:tab/>
        <w:t>26. prop up</w:t>
      </w:r>
      <w:r>
        <w:rPr>
          <w:bCs/>
          <w:sz w:val="24"/>
        </w:rPr>
        <w:tab/>
        <w:t>27. in company with</w:t>
      </w:r>
    </w:p>
    <w:p w:rsidR="003717A0" w:rsidRDefault="003717A0">
      <w:pPr>
        <w:widowControl/>
        <w:spacing w:line="360" w:lineRule="exact"/>
        <w:ind w:firstLineChars="200" w:firstLine="480"/>
        <w:rPr>
          <w:bCs/>
          <w:sz w:val="24"/>
        </w:rPr>
      </w:pPr>
      <w:r>
        <w:rPr>
          <w:bCs/>
          <w:sz w:val="24"/>
        </w:rPr>
        <w:t>28. decay away</w:t>
      </w:r>
      <w:r>
        <w:rPr>
          <w:bCs/>
          <w:sz w:val="24"/>
        </w:rPr>
        <w:tab/>
        <w:t xml:space="preserve">29.bend under the weight of </w:t>
      </w:r>
      <w:r>
        <w:rPr>
          <w:bCs/>
          <w:sz w:val="24"/>
        </w:rPr>
        <w:tab/>
        <w:t>30. with a little fragrance</w:t>
      </w:r>
    </w:p>
    <w:p w:rsidR="003717A0" w:rsidRDefault="003717A0">
      <w:pPr>
        <w:rPr>
          <w:bCs/>
          <w:sz w:val="24"/>
        </w:rPr>
      </w:pPr>
      <w:r>
        <w:rPr>
          <w:bCs/>
          <w:sz w:val="24"/>
        </w:rPr>
        <w:t>Key structures in Text A:</w:t>
      </w:r>
    </w:p>
    <w:p w:rsidR="003717A0" w:rsidRDefault="003717A0">
      <w:pPr>
        <w:rPr>
          <w:sz w:val="24"/>
        </w:rPr>
      </w:pPr>
      <w:r>
        <w:rPr>
          <w:sz w:val="24"/>
        </w:rPr>
        <w:t>1.Up to my thirteenth year I lived in the little Negro town of Eatonville, Florida. (Para. 1)</w:t>
      </w:r>
    </w:p>
    <w:p w:rsidR="003717A0" w:rsidRDefault="003717A0">
      <w:pPr>
        <w:rPr>
          <w:sz w:val="24"/>
        </w:rPr>
      </w:pPr>
      <w:r>
        <w:rPr>
          <w:sz w:val="24"/>
        </w:rPr>
        <w:t>The word “Negro” is now considered old-fashioned and offensive by many people and words such as “black” and “African-American” are used instead, especially in formal situations such as newspapers or government statements. The word “colored” is sometimes also considered offensive.</w:t>
      </w:r>
    </w:p>
    <w:p w:rsidR="003717A0" w:rsidRDefault="003717A0">
      <w:pPr>
        <w:rPr>
          <w:sz w:val="24"/>
        </w:rPr>
      </w:pPr>
    </w:p>
    <w:p w:rsidR="003717A0" w:rsidRDefault="003717A0">
      <w:pPr>
        <w:rPr>
          <w:sz w:val="24"/>
        </w:rPr>
      </w:pPr>
      <w:r>
        <w:rPr>
          <w:sz w:val="24"/>
        </w:rPr>
        <w:t>2. They were peered at from behind curtains by the timid. (Para. 1)</w:t>
      </w:r>
    </w:p>
    <w:p w:rsidR="003717A0" w:rsidRDefault="003717A0">
      <w:pPr>
        <w:rPr>
          <w:sz w:val="24"/>
        </w:rPr>
      </w:pPr>
      <w:r>
        <w:rPr>
          <w:sz w:val="24"/>
        </w:rPr>
        <w:t xml:space="preserve">Meaning: Those timid people would look out through their curtains at the Northerners carefully. </w:t>
      </w:r>
    </w:p>
    <w:p w:rsidR="003717A0" w:rsidRDefault="003717A0">
      <w:pPr>
        <w:rPr>
          <w:sz w:val="24"/>
        </w:rPr>
      </w:pPr>
      <w:r>
        <w:rPr>
          <w:sz w:val="24"/>
        </w:rPr>
        <w:t>Note that in the sentence “from” is followed by “behind”. After a preposition, we can sometimes use another propositional phrase:</w:t>
      </w:r>
    </w:p>
    <w:p w:rsidR="003717A0" w:rsidRDefault="003717A0">
      <w:pPr>
        <w:rPr>
          <w:sz w:val="24"/>
        </w:rPr>
      </w:pPr>
    </w:p>
    <w:p w:rsidR="003717A0" w:rsidRDefault="003717A0">
      <w:pPr>
        <w:rPr>
          <w:sz w:val="24"/>
        </w:rPr>
      </w:pPr>
    </w:p>
    <w:p w:rsidR="003717A0" w:rsidRDefault="003717A0">
      <w:pPr>
        <w:rPr>
          <w:sz w:val="24"/>
        </w:rPr>
      </w:pPr>
      <w:r>
        <w:rPr>
          <w:sz w:val="24"/>
        </w:rPr>
        <w:t>3. I would probably “go a piece of the way” with them… (Para. 2)</w:t>
      </w:r>
    </w:p>
    <w:p w:rsidR="003717A0" w:rsidRDefault="003717A0">
      <w:pPr>
        <w:rPr>
          <w:sz w:val="24"/>
        </w:rPr>
      </w:pPr>
      <w:r>
        <w:rPr>
          <w:sz w:val="24"/>
        </w:rPr>
        <w:t>Meaning: I would most likely go a short distance together with them.</w:t>
      </w:r>
    </w:p>
    <w:p w:rsidR="003717A0" w:rsidRDefault="003717A0">
      <w:pPr>
        <w:rPr>
          <w:sz w:val="24"/>
        </w:rPr>
      </w:pPr>
      <w:r>
        <w:rPr>
          <w:sz w:val="24"/>
        </w:rPr>
        <w:t>“go a piece of the way” is a local expression, meaning “follow a short distance”.</w:t>
      </w:r>
    </w:p>
    <w:p w:rsidR="003717A0" w:rsidRDefault="003717A0">
      <w:pPr>
        <w:rPr>
          <w:sz w:val="24"/>
        </w:rPr>
      </w:pPr>
    </w:p>
    <w:p w:rsidR="003717A0" w:rsidRDefault="003717A0">
      <w:pPr>
        <w:rPr>
          <w:sz w:val="24"/>
        </w:rPr>
      </w:pPr>
      <w:r>
        <w:rPr>
          <w:sz w:val="24"/>
        </w:rPr>
        <w:t>4. …I became a permanent brown-like the best shoe polish, guaranteed not to rub nor run. (Para. 2)</w:t>
      </w:r>
    </w:p>
    <w:p w:rsidR="003717A0" w:rsidRDefault="003717A0">
      <w:pPr>
        <w:rPr>
          <w:sz w:val="24"/>
        </w:rPr>
      </w:pPr>
      <w:r>
        <w:rPr>
          <w:sz w:val="24"/>
        </w:rPr>
        <w:t xml:space="preserve">   Meaning: The writer is saying that her color is fixed, and will not fade away or change as the best brown shoe polish.</w:t>
      </w:r>
    </w:p>
    <w:p w:rsidR="003717A0" w:rsidRDefault="003717A0">
      <w:pPr>
        <w:rPr>
          <w:sz w:val="24"/>
        </w:rPr>
      </w:pPr>
      <w:r>
        <w:rPr>
          <w:sz w:val="24"/>
        </w:rPr>
        <w:t xml:space="preserve">   permanent: a. lasting for a long time or for ever</w:t>
      </w:r>
    </w:p>
    <w:p w:rsidR="003717A0" w:rsidRDefault="003717A0">
      <w:pPr>
        <w:rPr>
          <w:sz w:val="24"/>
        </w:rPr>
      </w:pPr>
      <w:r>
        <w:rPr>
          <w:sz w:val="24"/>
        </w:rPr>
        <w:t xml:space="preserve">  </w:t>
      </w:r>
    </w:p>
    <w:p w:rsidR="003717A0" w:rsidRDefault="003717A0">
      <w:pPr>
        <w:rPr>
          <w:sz w:val="24"/>
        </w:rPr>
      </w:pPr>
      <w:r>
        <w:rPr>
          <w:sz w:val="24"/>
        </w:rPr>
        <w:t>5. But in the main, I feel like a brown bag of mixed items propped up against a wall-against a wall in company with other bags, white, red and yellow. (Para. 7)</w:t>
      </w:r>
    </w:p>
    <w:p w:rsidR="003717A0" w:rsidRDefault="003717A0">
      <w:pPr>
        <w:rPr>
          <w:sz w:val="24"/>
        </w:rPr>
      </w:pPr>
      <w:r>
        <w:rPr>
          <w:sz w:val="24"/>
        </w:rPr>
        <w:t>Meaning: In general, I have the feeling that I am like a brown bag full of different items, leaning against a wall. There are also other bags of different colors against the wall together with the brown bags.</w:t>
      </w:r>
    </w:p>
    <w:p w:rsidR="003717A0" w:rsidRDefault="003717A0">
      <w:pPr>
        <w:rPr>
          <w:sz w:val="24"/>
        </w:rPr>
      </w:pPr>
      <w:r>
        <w:rPr>
          <w:sz w:val="24"/>
        </w:rPr>
        <w:t>prop up: prevent sth. from falling down by putting sth. Else under or against it</w:t>
      </w:r>
    </w:p>
    <w:p w:rsidR="003717A0" w:rsidRDefault="003717A0">
      <w:pPr>
        <w:rPr>
          <w:sz w:val="24"/>
        </w:rPr>
      </w:pPr>
      <w:r>
        <w:rPr>
          <w:sz w:val="24"/>
        </w:rPr>
        <w:t>in company with: together with</w:t>
      </w:r>
    </w:p>
    <w:p w:rsidR="003717A0" w:rsidRDefault="003717A0">
      <w:pPr>
        <w:rPr>
          <w:sz w:val="24"/>
        </w:rPr>
      </w:pPr>
    </w:p>
    <w:p w:rsidR="003717A0" w:rsidRDefault="003717A0">
      <w:pPr>
        <w:rPr>
          <w:sz w:val="24"/>
        </w:rPr>
      </w:pPr>
      <w:r>
        <w:rPr>
          <w:sz w:val="24"/>
        </w:rPr>
        <w:t xml:space="preserve">  </w:t>
      </w:r>
    </w:p>
    <w:p w:rsidR="003717A0" w:rsidRDefault="003717A0">
      <w:pPr>
        <w:rPr>
          <w:sz w:val="24"/>
        </w:rPr>
      </w:pPr>
      <w:r>
        <w:rPr>
          <w:sz w:val="24"/>
        </w:rPr>
        <w:t xml:space="preserve">6. Perhaps that is how the Great Suffer of Bags filled them in the first place-who knows? </w:t>
      </w:r>
    </w:p>
    <w:p w:rsidR="003717A0" w:rsidRDefault="003717A0">
      <w:pPr>
        <w:rPr>
          <w:sz w:val="24"/>
        </w:rPr>
      </w:pPr>
      <w:r>
        <w:rPr>
          <w:sz w:val="24"/>
        </w:rPr>
        <w:t>(Para. 7)</w:t>
      </w:r>
    </w:p>
    <w:p w:rsidR="003717A0" w:rsidRDefault="003717A0">
      <w:pPr>
        <w:rPr>
          <w:sz w:val="24"/>
        </w:rPr>
      </w:pPr>
      <w:r>
        <w:rPr>
          <w:sz w:val="24"/>
        </w:rPr>
        <w:t>Meaning: Maybe at the very beginning the creator of nature wants the world to be the way it is.</w:t>
      </w:r>
    </w:p>
    <w:p w:rsidR="003717A0" w:rsidRDefault="003717A0">
      <w:pPr>
        <w:rPr>
          <w:sz w:val="24"/>
        </w:rPr>
      </w:pPr>
      <w:r>
        <w:rPr>
          <w:sz w:val="24"/>
        </w:rPr>
        <w:t>Here “the Great Suffer of Bags” probably refers to God.</w:t>
      </w:r>
    </w:p>
    <w:p w:rsidR="003717A0" w:rsidRDefault="003717A0">
      <w:pPr>
        <w:rPr>
          <w:sz w:val="24"/>
        </w:rPr>
      </w:pPr>
    </w:p>
    <w:p w:rsidR="003717A0" w:rsidRDefault="003717A0">
      <w:pPr>
        <w:rPr>
          <w:bCs/>
          <w:sz w:val="24"/>
        </w:rPr>
      </w:pPr>
      <w:r>
        <w:rPr>
          <w:bCs/>
          <w:sz w:val="24"/>
        </w:rPr>
        <w:t>Topic for writing:</w:t>
      </w:r>
    </w:p>
    <w:p w:rsidR="003717A0" w:rsidRDefault="003717A0">
      <w:pPr>
        <w:snapToGrid w:val="0"/>
        <w:ind w:left="420"/>
        <w:rPr>
          <w:bCs/>
          <w:sz w:val="24"/>
        </w:rPr>
      </w:pPr>
      <w:r>
        <w:rPr>
          <w:bCs/>
          <w:sz w:val="24"/>
        </w:rPr>
        <w:lastRenderedPageBreak/>
        <w:t>Directions: You are allowed 30 minutes to write a composition with on the topic:  Electronic Dictionaries</w:t>
      </w:r>
    </w:p>
    <w:p w:rsidR="003717A0" w:rsidRDefault="003717A0">
      <w:pPr>
        <w:snapToGrid w:val="0"/>
        <w:ind w:firstLineChars="650" w:firstLine="1560"/>
        <w:rPr>
          <w:bCs/>
          <w:sz w:val="24"/>
        </w:rPr>
      </w:pPr>
    </w:p>
    <w:p w:rsidR="003717A0" w:rsidRDefault="003717A0">
      <w:pPr>
        <w:snapToGrid w:val="0"/>
        <w:ind w:firstLineChars="650" w:firstLine="1560"/>
        <w:rPr>
          <w:bCs/>
          <w:sz w:val="24"/>
        </w:rPr>
      </w:pPr>
      <w:r>
        <w:rPr>
          <w:bCs/>
          <w:sz w:val="24"/>
        </w:rPr>
        <w:t xml:space="preserve">Outline:  1. </w:t>
      </w:r>
      <w:r>
        <w:rPr>
          <w:rFonts w:hint="eastAsia"/>
          <w:bCs/>
          <w:sz w:val="24"/>
        </w:rPr>
        <w:t>电子词典的便利之处</w:t>
      </w:r>
    </w:p>
    <w:p w:rsidR="003717A0" w:rsidRDefault="003717A0">
      <w:pPr>
        <w:snapToGrid w:val="0"/>
        <w:ind w:firstLineChars="1100" w:firstLine="2640"/>
        <w:rPr>
          <w:bCs/>
          <w:sz w:val="24"/>
        </w:rPr>
      </w:pPr>
      <w:r>
        <w:rPr>
          <w:bCs/>
          <w:sz w:val="24"/>
        </w:rPr>
        <w:t xml:space="preserve">2. </w:t>
      </w:r>
      <w:r>
        <w:rPr>
          <w:rFonts w:hint="eastAsia"/>
          <w:bCs/>
          <w:sz w:val="24"/>
        </w:rPr>
        <w:t>电子词典的不足之处</w:t>
      </w:r>
    </w:p>
    <w:p w:rsidR="003717A0" w:rsidRDefault="003717A0">
      <w:pPr>
        <w:snapToGrid w:val="0"/>
        <w:ind w:firstLineChars="1100" w:firstLine="2640"/>
        <w:rPr>
          <w:bCs/>
          <w:sz w:val="24"/>
        </w:rPr>
      </w:pPr>
      <w:r>
        <w:rPr>
          <w:bCs/>
          <w:sz w:val="24"/>
        </w:rPr>
        <w:t xml:space="preserve">3. </w:t>
      </w:r>
      <w:r>
        <w:rPr>
          <w:rFonts w:hint="eastAsia"/>
          <w:bCs/>
          <w:sz w:val="24"/>
        </w:rPr>
        <w:t>电子词典的使用情况</w:t>
      </w:r>
    </w:p>
    <w:p w:rsidR="003717A0" w:rsidRDefault="003717A0">
      <w:pPr>
        <w:snapToGrid w:val="0"/>
        <w:ind w:firstLineChars="1100" w:firstLine="2640"/>
        <w:rPr>
          <w:bCs/>
          <w:sz w:val="24"/>
        </w:rPr>
      </w:pPr>
    </w:p>
    <w:p w:rsidR="003717A0" w:rsidRDefault="003717A0">
      <w:pPr>
        <w:snapToGrid w:val="0"/>
        <w:rPr>
          <w:b/>
          <w:bCs/>
          <w:sz w:val="24"/>
        </w:rPr>
      </w:pPr>
      <w:r>
        <w:rPr>
          <w:b/>
          <w:bCs/>
          <w:sz w:val="24"/>
        </w:rPr>
        <w:t>Unit Nine</w:t>
      </w:r>
    </w:p>
    <w:p w:rsidR="003717A0" w:rsidRDefault="003717A0">
      <w:pPr>
        <w:rPr>
          <w:bCs/>
          <w:sz w:val="24"/>
        </w:rPr>
      </w:pPr>
      <w:r>
        <w:rPr>
          <w:bCs/>
          <w:sz w:val="24"/>
        </w:rPr>
        <w:t>Teaching objectives:</w:t>
      </w:r>
    </w:p>
    <w:p w:rsidR="003717A0" w:rsidRDefault="003717A0">
      <w:pPr>
        <w:snapToGrid w:val="0"/>
        <w:rPr>
          <w:bCs/>
          <w:sz w:val="24"/>
        </w:rPr>
      </w:pPr>
      <w:r>
        <w:rPr>
          <w:bCs/>
          <w:sz w:val="24"/>
        </w:rPr>
        <w:t xml:space="preserve">1. To make students know people’s different responses to the Euro Disney through citing a typical lawsuit as the prologue to the point at issue—Euro Disney is a pleasant blend of cultures or a painful clash. </w:t>
      </w:r>
    </w:p>
    <w:p w:rsidR="003717A0" w:rsidRDefault="003717A0">
      <w:pPr>
        <w:snapToGrid w:val="0"/>
        <w:rPr>
          <w:bCs/>
          <w:sz w:val="24"/>
        </w:rPr>
      </w:pPr>
      <w:r>
        <w:rPr>
          <w:bCs/>
          <w:sz w:val="24"/>
        </w:rPr>
        <w:t xml:space="preserve">2. To know the meaning and usage of some important words, phrases and patterns </w:t>
      </w:r>
    </w:p>
    <w:p w:rsidR="003717A0" w:rsidRDefault="003717A0">
      <w:pPr>
        <w:snapToGrid w:val="0"/>
        <w:rPr>
          <w:bCs/>
          <w:sz w:val="24"/>
        </w:rPr>
      </w:pPr>
      <w:r>
        <w:rPr>
          <w:bCs/>
          <w:sz w:val="24"/>
        </w:rPr>
        <w:t>3. To be familiar with the writing skills of the text and make use of it in writing</w:t>
      </w:r>
    </w:p>
    <w:p w:rsidR="003717A0" w:rsidRDefault="003717A0">
      <w:pPr>
        <w:snapToGrid w:val="0"/>
        <w:rPr>
          <w:bCs/>
          <w:sz w:val="24"/>
        </w:rPr>
      </w:pPr>
      <w:r>
        <w:rPr>
          <w:bCs/>
          <w:sz w:val="24"/>
        </w:rPr>
        <w:t xml:space="preserve">4. To improve Ss reading skills by studying section B </w:t>
      </w:r>
    </w:p>
    <w:p w:rsidR="003717A0" w:rsidRDefault="003717A0">
      <w:pPr>
        <w:snapToGrid w:val="0"/>
        <w:rPr>
          <w:bCs/>
          <w:sz w:val="24"/>
        </w:rPr>
      </w:pPr>
      <w:r>
        <w:rPr>
          <w:bCs/>
          <w:sz w:val="24"/>
        </w:rPr>
        <w:t>5. To respond and cooperate with classmates willingly</w:t>
      </w:r>
    </w:p>
    <w:p w:rsidR="003717A0" w:rsidRDefault="003717A0">
      <w:pPr>
        <w:snapToGrid w:val="0"/>
        <w:rPr>
          <w:bCs/>
          <w:sz w:val="24"/>
        </w:rPr>
      </w:pPr>
      <w:r>
        <w:rPr>
          <w:bCs/>
          <w:sz w:val="24"/>
        </w:rPr>
        <w:t>6. To participate actively</w:t>
      </w:r>
    </w:p>
    <w:p w:rsidR="003717A0" w:rsidRDefault="003717A0">
      <w:pPr>
        <w:snapToGrid w:val="0"/>
        <w:rPr>
          <w:bCs/>
          <w:sz w:val="24"/>
        </w:rPr>
      </w:pPr>
      <w:r>
        <w:rPr>
          <w:bCs/>
          <w:sz w:val="24"/>
        </w:rPr>
        <w:t>7. To read sentences and texts with proper intonation</w:t>
      </w:r>
    </w:p>
    <w:p w:rsidR="003717A0" w:rsidRDefault="003717A0">
      <w:pPr>
        <w:snapToGrid w:val="0"/>
        <w:rPr>
          <w:bCs/>
          <w:sz w:val="24"/>
        </w:rPr>
      </w:pPr>
      <w:r>
        <w:rPr>
          <w:bCs/>
          <w:sz w:val="24"/>
        </w:rPr>
        <w:t>8. To write smoothly and legibly</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firstLineChars="900" w:firstLine="2160"/>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 What does having Disneyland in France seem like according to the writer?  </w:t>
      </w:r>
    </w:p>
    <w:p w:rsidR="003717A0" w:rsidRDefault="003717A0">
      <w:pPr>
        <w:rPr>
          <w:bCs/>
          <w:sz w:val="24"/>
        </w:rPr>
      </w:pPr>
      <w:r>
        <w:rPr>
          <w:bCs/>
          <w:sz w:val="24"/>
        </w:rPr>
        <w:t xml:space="preserve">2. Whom will Disneyland have the biggest influence?  </w:t>
      </w:r>
    </w:p>
    <w:p w:rsidR="003717A0" w:rsidRDefault="003717A0">
      <w:pPr>
        <w:rPr>
          <w:bCs/>
          <w:sz w:val="24"/>
        </w:rPr>
      </w:pPr>
      <w:r>
        <w:rPr>
          <w:bCs/>
          <w:sz w:val="24"/>
        </w:rPr>
        <w:t xml:space="preserve">3. Does Disneyland have a responsibility to include the local culture in its attractions and shows?  </w:t>
      </w:r>
    </w:p>
    <w:p w:rsidR="003717A0" w:rsidRDefault="003717A0">
      <w:pPr>
        <w:snapToGrid w:val="0"/>
        <w:rPr>
          <w:bCs/>
          <w:sz w:val="24"/>
        </w:rPr>
      </w:pPr>
    </w:p>
    <w:p w:rsidR="003717A0" w:rsidRDefault="003717A0">
      <w:pPr>
        <w:snapToGrid w:val="0"/>
        <w:rPr>
          <w:bCs/>
          <w:sz w:val="24"/>
        </w:rPr>
      </w:pPr>
      <w:r>
        <w:rPr>
          <w:bCs/>
          <w:sz w:val="24"/>
        </w:rPr>
        <w:t>Key words: contend, contemplate</w:t>
      </w:r>
    </w:p>
    <w:p w:rsidR="003717A0" w:rsidRDefault="003717A0">
      <w:pPr>
        <w:snapToGrid w:val="0"/>
        <w:rPr>
          <w:bCs/>
          <w:sz w:val="24"/>
        </w:rPr>
      </w:pPr>
      <w:r>
        <w:rPr>
          <w:bCs/>
          <w:sz w:val="24"/>
        </w:rPr>
        <w:t xml:space="preserve">Key phrases and expressions: </w:t>
      </w:r>
    </w:p>
    <w:p w:rsidR="003717A0" w:rsidRDefault="003717A0">
      <w:pPr>
        <w:snapToGrid w:val="0"/>
        <w:rPr>
          <w:bCs/>
          <w:sz w:val="24"/>
        </w:rPr>
      </w:pPr>
      <w:r>
        <w:rPr>
          <w:bCs/>
          <w:sz w:val="24"/>
        </w:rPr>
        <w:t xml:space="preserve">1. to seek work with a company </w:t>
      </w:r>
    </w:p>
    <w:p w:rsidR="003717A0" w:rsidRDefault="003717A0">
      <w:pPr>
        <w:rPr>
          <w:sz w:val="24"/>
        </w:rPr>
      </w:pPr>
      <w:r>
        <w:rPr>
          <w:sz w:val="24"/>
        </w:rPr>
        <w:t>2. to shave off one</w:t>
      </w:r>
      <w:r>
        <w:rPr>
          <w:rFonts w:hint="eastAsia"/>
          <w:sz w:val="24"/>
        </w:rPr>
        <w:t>’</w:t>
      </w:r>
      <w:r>
        <w:rPr>
          <w:sz w:val="24"/>
        </w:rPr>
        <w:t xml:space="preserve">s moustaches </w:t>
      </w:r>
      <w:r>
        <w:rPr>
          <w:sz w:val="24"/>
        </w:rPr>
        <w:tab/>
        <w:t xml:space="preserve">3. to take sb. to court </w:t>
      </w:r>
    </w:p>
    <w:p w:rsidR="003717A0" w:rsidRDefault="003717A0">
      <w:pPr>
        <w:rPr>
          <w:sz w:val="24"/>
        </w:rPr>
      </w:pPr>
      <w:r>
        <w:rPr>
          <w:sz w:val="24"/>
        </w:rPr>
        <w:t xml:space="preserve"> dress and appearance code </w:t>
      </w:r>
      <w:r>
        <w:rPr>
          <w:sz w:val="24"/>
        </w:rPr>
        <w:tab/>
        <w:t xml:space="preserve">5. to offend individual liberty 6. delicate cultural issues </w:t>
      </w:r>
    </w:p>
    <w:p w:rsidR="003717A0" w:rsidRDefault="003717A0">
      <w:pPr>
        <w:rPr>
          <w:sz w:val="24"/>
        </w:rPr>
      </w:pPr>
      <w:r>
        <w:rPr>
          <w:sz w:val="24"/>
        </w:rPr>
        <w:t xml:space="preserve">7. have a terrible time </w:t>
      </w:r>
      <w:r>
        <w:rPr>
          <w:sz w:val="24"/>
        </w:rPr>
        <w:tab/>
        <w:t>8. so far</w:t>
      </w:r>
      <w:r>
        <w:rPr>
          <w:sz w:val="24"/>
        </w:rPr>
        <w:tab/>
        <w:t xml:space="preserve">9. come into service </w:t>
      </w:r>
    </w:p>
    <w:p w:rsidR="003717A0" w:rsidRDefault="003717A0">
      <w:pPr>
        <w:rPr>
          <w:sz w:val="24"/>
        </w:rPr>
      </w:pPr>
      <w:r>
        <w:rPr>
          <w:sz w:val="24"/>
        </w:rPr>
        <w:t>10. one</w:t>
      </w:r>
      <w:r>
        <w:rPr>
          <w:rFonts w:hint="eastAsia"/>
          <w:sz w:val="24"/>
        </w:rPr>
        <w:t>’</w:t>
      </w:r>
      <w:r>
        <w:rPr>
          <w:sz w:val="24"/>
        </w:rPr>
        <w:t>s first trip to Europe 11. to put sth. before sth. else</w:t>
      </w:r>
      <w:r>
        <w:rPr>
          <w:sz w:val="24"/>
        </w:rPr>
        <w:tab/>
      </w:r>
    </w:p>
    <w:p w:rsidR="003717A0" w:rsidRDefault="003717A0">
      <w:pPr>
        <w:rPr>
          <w:sz w:val="24"/>
        </w:rPr>
      </w:pPr>
      <w:r>
        <w:rPr>
          <w:sz w:val="24"/>
        </w:rPr>
        <w:t xml:space="preserve">12. be untroubled about </w:t>
      </w:r>
      <w:r>
        <w:rPr>
          <w:rFonts w:hint="eastAsia"/>
          <w:sz w:val="24"/>
        </w:rPr>
        <w:t>…</w:t>
      </w:r>
      <w:r>
        <w:rPr>
          <w:sz w:val="24"/>
        </w:rPr>
        <w:t xml:space="preserve">13. make a series of concessions </w:t>
      </w:r>
    </w:p>
    <w:p w:rsidR="003717A0" w:rsidRDefault="003717A0">
      <w:pPr>
        <w:rPr>
          <w:sz w:val="24"/>
        </w:rPr>
      </w:pPr>
      <w:r>
        <w:rPr>
          <w:sz w:val="24"/>
        </w:rPr>
        <w:t xml:space="preserve">14. figure prominently / largely in </w:t>
      </w:r>
      <w:r>
        <w:rPr>
          <w:sz w:val="24"/>
        </w:rPr>
        <w:tab/>
        <w:t>15. in a flash 16. in response to</w:t>
      </w:r>
      <w:r>
        <w:rPr>
          <w:sz w:val="24"/>
        </w:rPr>
        <w:tab/>
      </w:r>
    </w:p>
    <w:p w:rsidR="003717A0" w:rsidRDefault="003717A0">
      <w:pPr>
        <w:rPr>
          <w:sz w:val="24"/>
        </w:rPr>
      </w:pPr>
      <w:r>
        <w:rPr>
          <w:sz w:val="24"/>
        </w:rPr>
        <w:t>17. come into</w:t>
      </w:r>
      <w:r>
        <w:rPr>
          <w:sz w:val="24"/>
        </w:rPr>
        <w:tab/>
        <w:t>18. for all 19. as a concession to sth.</w:t>
      </w:r>
      <w:r>
        <w:rPr>
          <w:sz w:val="24"/>
        </w:rPr>
        <w:tab/>
        <w:t>20. be another prize for sb.</w:t>
      </w:r>
    </w:p>
    <w:p w:rsidR="003717A0" w:rsidRDefault="003717A0">
      <w:pPr>
        <w:rPr>
          <w:sz w:val="24"/>
        </w:rPr>
      </w:pPr>
      <w:r>
        <w:rPr>
          <w:sz w:val="24"/>
        </w:rPr>
        <w:t>21. put sth. at the top of a list of things to do</w:t>
      </w:r>
    </w:p>
    <w:p w:rsidR="003717A0" w:rsidRDefault="003717A0">
      <w:pPr>
        <w:rPr>
          <w:bCs/>
          <w:sz w:val="24"/>
        </w:rPr>
      </w:pPr>
      <w:r>
        <w:rPr>
          <w:bCs/>
          <w:sz w:val="24"/>
        </w:rPr>
        <w:lastRenderedPageBreak/>
        <w:t>Some difficulties in Text A:</w:t>
      </w:r>
    </w:p>
    <w:p w:rsidR="003717A0" w:rsidRDefault="003717A0">
      <w:pPr>
        <w:rPr>
          <w:bCs/>
          <w:sz w:val="24"/>
        </w:rPr>
      </w:pPr>
      <w:r>
        <w:rPr>
          <w:bCs/>
          <w:sz w:val="24"/>
        </w:rPr>
        <w:t>Key structures:</w:t>
      </w:r>
    </w:p>
    <w:p w:rsidR="003717A0" w:rsidRDefault="003717A0">
      <w:pPr>
        <w:rPr>
          <w:bCs/>
          <w:sz w:val="24"/>
        </w:rPr>
      </w:pPr>
      <w:r>
        <w:rPr>
          <w:bCs/>
          <w:sz w:val="24"/>
        </w:rPr>
        <w:t xml:space="preserve">1. The case (of…) is an illustration of sth. </w:t>
      </w:r>
      <w:r>
        <w:rPr>
          <w:bCs/>
          <w:sz w:val="24"/>
          <w:u w:val="single"/>
        </w:rPr>
        <w:t>delicate/sticky/difficult</w:t>
      </w:r>
      <w:r>
        <w:rPr>
          <w:bCs/>
          <w:sz w:val="24"/>
        </w:rPr>
        <w:t xml:space="preserve"> </w:t>
      </w:r>
      <w:r>
        <w:rPr>
          <w:bCs/>
          <w:sz w:val="24"/>
          <w:u w:val="single"/>
        </w:rPr>
        <w:t>sb. faces</w:t>
      </w:r>
      <w:r>
        <w:rPr>
          <w:bCs/>
          <w:sz w:val="24"/>
        </w:rPr>
        <w:t xml:space="preserve"> </w:t>
      </w:r>
      <w:r>
        <w:rPr>
          <w:bCs/>
          <w:sz w:val="24"/>
          <w:u w:val="single"/>
        </w:rPr>
        <w:t>as he/she</w:t>
      </w:r>
      <w:r>
        <w:rPr>
          <w:bCs/>
          <w:sz w:val="24"/>
        </w:rPr>
        <w:t>…</w:t>
      </w:r>
    </w:p>
    <w:p w:rsidR="003717A0" w:rsidRDefault="003717A0">
      <w:pPr>
        <w:rPr>
          <w:bCs/>
          <w:sz w:val="24"/>
        </w:rPr>
      </w:pPr>
      <w:r>
        <w:rPr>
          <w:rFonts w:hint="eastAsia"/>
          <w:bCs/>
          <w:sz w:val="24"/>
        </w:rPr>
        <w:t>正当某人</w:t>
      </w:r>
      <w:r>
        <w:rPr>
          <w:bCs/>
          <w:sz w:val="24"/>
        </w:rPr>
        <w:t xml:space="preserve">······ </w:t>
      </w:r>
      <w:r>
        <w:rPr>
          <w:rFonts w:hint="eastAsia"/>
          <w:bCs/>
          <w:sz w:val="24"/>
        </w:rPr>
        <w:t>，而这一</w:t>
      </w:r>
      <w:r>
        <w:rPr>
          <w:bCs/>
          <w:sz w:val="24"/>
        </w:rPr>
        <w:t xml:space="preserve"> (······) </w:t>
      </w:r>
      <w:r>
        <w:rPr>
          <w:rFonts w:hint="eastAsia"/>
          <w:bCs/>
          <w:sz w:val="24"/>
        </w:rPr>
        <w:t>案子正说明了某人面临的某一棘手问题</w:t>
      </w:r>
      <w:r>
        <w:rPr>
          <w:bCs/>
          <w:sz w:val="24"/>
        </w:rPr>
        <w:t>/</w:t>
      </w:r>
      <w:r>
        <w:rPr>
          <w:rFonts w:hint="eastAsia"/>
          <w:bCs/>
          <w:sz w:val="24"/>
        </w:rPr>
        <w:t>难题。</w:t>
      </w:r>
    </w:p>
    <w:p w:rsidR="003717A0" w:rsidRDefault="003717A0">
      <w:pPr>
        <w:rPr>
          <w:bCs/>
          <w:sz w:val="24"/>
        </w:rPr>
      </w:pPr>
    </w:p>
    <w:p w:rsidR="003717A0" w:rsidRDefault="003717A0">
      <w:pPr>
        <w:rPr>
          <w:bCs/>
          <w:sz w:val="24"/>
        </w:rPr>
      </w:pPr>
      <w:r>
        <w:rPr>
          <w:bCs/>
          <w:sz w:val="24"/>
        </w:rPr>
        <w:t>2. For all his/her + a noun phrase, sb. is (more)  adj./v-ed + prep. phrase.</w:t>
      </w:r>
      <w:r>
        <w:rPr>
          <w:rFonts w:hint="eastAsia"/>
          <w:bCs/>
          <w:sz w:val="24"/>
        </w:rPr>
        <w:t>尽管</w:t>
      </w:r>
      <w:r>
        <w:rPr>
          <w:bCs/>
          <w:sz w:val="24"/>
        </w:rPr>
        <w:t xml:space="preserve">······,  </w:t>
      </w:r>
      <w:r>
        <w:rPr>
          <w:rFonts w:hint="eastAsia"/>
          <w:bCs/>
          <w:sz w:val="24"/>
        </w:rPr>
        <w:t>某人却</w:t>
      </w:r>
      <w:r>
        <w:rPr>
          <w:bCs/>
          <w:sz w:val="24"/>
        </w:rPr>
        <w:t xml:space="preserve"> (</w:t>
      </w:r>
      <w:r>
        <w:rPr>
          <w:rFonts w:hint="eastAsia"/>
          <w:bCs/>
          <w:sz w:val="24"/>
        </w:rPr>
        <w:t>更多地</w:t>
      </w:r>
      <w:r>
        <w:rPr>
          <w:bCs/>
          <w:sz w:val="24"/>
        </w:rPr>
        <w:t>) ······</w:t>
      </w:r>
    </w:p>
    <w:p w:rsidR="003717A0" w:rsidRDefault="003717A0">
      <w:pPr>
        <w:rPr>
          <w:bCs/>
          <w:sz w:val="24"/>
        </w:rPr>
      </w:pPr>
    </w:p>
    <w:p w:rsidR="003717A0" w:rsidRDefault="003717A0">
      <w:pPr>
        <w:numPr>
          <w:ilvl w:val="0"/>
          <w:numId w:val="73"/>
        </w:numPr>
        <w:rPr>
          <w:bCs/>
          <w:sz w:val="24"/>
        </w:rPr>
      </w:pPr>
      <w:r>
        <w:rPr>
          <w:rFonts w:cs="Times New Roman"/>
          <w:bCs/>
          <w:sz w:val="24"/>
          <w:u w:val="single"/>
        </w:rPr>
        <w:t>Sb. points out/argues</w:t>
      </w:r>
      <w:r>
        <w:rPr>
          <w:bCs/>
          <w:sz w:val="24"/>
        </w:rPr>
        <w:t xml:space="preserve"> that </w:t>
      </w:r>
      <w:r>
        <w:rPr>
          <w:bCs/>
          <w:sz w:val="24"/>
          <w:u w:val="single"/>
        </w:rPr>
        <w:t>sth.</w:t>
      </w:r>
      <w:r>
        <w:rPr>
          <w:bCs/>
          <w:sz w:val="24"/>
        </w:rPr>
        <w:t xml:space="preserve">,  </w:t>
      </w:r>
      <w:r>
        <w:rPr>
          <w:bCs/>
          <w:sz w:val="24"/>
          <w:u w:val="single"/>
        </w:rPr>
        <w:t>a noun (phrase)</w:t>
      </w:r>
      <w:r>
        <w:rPr>
          <w:bCs/>
          <w:sz w:val="24"/>
        </w:rPr>
        <w:t xml:space="preserve">, is </w:t>
      </w:r>
      <w:r>
        <w:rPr>
          <w:bCs/>
          <w:sz w:val="24"/>
          <w:u w:val="single"/>
        </w:rPr>
        <w:t>v-ed</w:t>
      </w:r>
      <w:r>
        <w:rPr>
          <w:bCs/>
          <w:sz w:val="24"/>
        </w:rPr>
        <w:t xml:space="preserve"> + not + </w:t>
      </w:r>
      <w:r>
        <w:rPr>
          <w:bCs/>
          <w:sz w:val="24"/>
          <w:u w:val="single"/>
        </w:rPr>
        <w:t>prep. phrase</w:t>
      </w:r>
      <w:r>
        <w:rPr>
          <w:bCs/>
          <w:sz w:val="24"/>
        </w:rPr>
        <w:t xml:space="preserve"> (or: </w:t>
      </w:r>
      <w:r>
        <w:rPr>
          <w:bCs/>
          <w:sz w:val="24"/>
          <w:u w:val="single"/>
        </w:rPr>
        <w:t>adj.</w:t>
      </w:r>
      <w:r>
        <w:rPr>
          <w:bCs/>
          <w:sz w:val="24"/>
        </w:rPr>
        <w:t xml:space="preserve"> + </w:t>
      </w:r>
      <w:r>
        <w:rPr>
          <w:bCs/>
          <w:sz w:val="24"/>
          <w:u w:val="single"/>
        </w:rPr>
        <w:t>not</w:t>
      </w:r>
      <w:r>
        <w:rPr>
          <w:bCs/>
          <w:sz w:val="24"/>
        </w:rPr>
        <w:t xml:space="preserve"> + </w:t>
      </w:r>
      <w:r>
        <w:rPr>
          <w:bCs/>
          <w:sz w:val="24"/>
          <w:u w:val="single"/>
        </w:rPr>
        <w:t>prep. phrase</w:t>
      </w:r>
      <w:r>
        <w:rPr>
          <w:bCs/>
          <w:sz w:val="24"/>
        </w:rPr>
        <w:t xml:space="preserve">), as some </w:t>
      </w:r>
      <w:r>
        <w:rPr>
          <w:bCs/>
          <w:sz w:val="24"/>
          <w:u w:val="single"/>
        </w:rPr>
        <w:t>might think</w:t>
      </w:r>
      <w:r>
        <w:rPr>
          <w:bCs/>
          <w:sz w:val="24"/>
        </w:rPr>
        <w:t xml:space="preserve">, but </w:t>
      </w:r>
      <w:r>
        <w:rPr>
          <w:bCs/>
          <w:sz w:val="24"/>
          <w:u w:val="single"/>
        </w:rPr>
        <w:t>prep. phrase</w:t>
      </w:r>
      <w:r>
        <w:rPr>
          <w:bCs/>
          <w:sz w:val="24"/>
        </w:rPr>
        <w:t>.</w:t>
      </w:r>
      <w:r>
        <w:rPr>
          <w:rFonts w:hint="eastAsia"/>
          <w:bCs/>
          <w:sz w:val="24"/>
        </w:rPr>
        <w:t>某人</w:t>
      </w:r>
      <w:r>
        <w:rPr>
          <w:rFonts w:hint="eastAsia"/>
          <w:bCs/>
          <w:sz w:val="24"/>
          <w:u w:val="single"/>
        </w:rPr>
        <w:t>指出</w:t>
      </w:r>
      <w:r>
        <w:rPr>
          <w:bCs/>
          <w:sz w:val="24"/>
          <w:u w:val="single"/>
        </w:rPr>
        <w:t>/</w:t>
      </w:r>
      <w:r>
        <w:rPr>
          <w:rFonts w:hint="eastAsia"/>
          <w:bCs/>
          <w:sz w:val="24"/>
          <w:u w:val="single"/>
        </w:rPr>
        <w:t>坚持认为</w:t>
      </w:r>
      <w:r>
        <w:rPr>
          <w:rFonts w:hint="eastAsia"/>
          <w:bCs/>
          <w:sz w:val="24"/>
        </w:rPr>
        <w:t>，</w:t>
      </w:r>
      <w:r>
        <w:rPr>
          <w:rFonts w:hint="eastAsia"/>
          <w:bCs/>
          <w:sz w:val="24"/>
          <w:u w:val="single"/>
        </w:rPr>
        <w:t>某事</w:t>
      </w:r>
      <w:r>
        <w:rPr>
          <w:rFonts w:hint="eastAsia"/>
          <w:bCs/>
          <w:sz w:val="24"/>
        </w:rPr>
        <w:t>，即</w:t>
      </w:r>
      <w:r>
        <w:rPr>
          <w:bCs/>
          <w:sz w:val="24"/>
        </w:rPr>
        <w:t>······</w:t>
      </w:r>
      <w:r>
        <w:rPr>
          <w:rFonts w:hint="eastAsia"/>
          <w:bCs/>
          <w:sz w:val="24"/>
        </w:rPr>
        <w:t>，不是像一些人</w:t>
      </w:r>
      <w:r>
        <w:rPr>
          <w:rFonts w:hint="eastAsia"/>
          <w:bCs/>
          <w:sz w:val="24"/>
          <w:u w:val="single"/>
        </w:rPr>
        <w:t>所想的那样</w:t>
      </w:r>
      <w:r>
        <w:rPr>
          <w:bCs/>
          <w:sz w:val="24"/>
        </w:rPr>
        <w:t>·······</w:t>
      </w:r>
      <w:r>
        <w:rPr>
          <w:rFonts w:hint="eastAsia"/>
          <w:bCs/>
          <w:sz w:val="24"/>
        </w:rPr>
        <w:t>，而是</w:t>
      </w:r>
      <w:r>
        <w:rPr>
          <w:bCs/>
          <w:sz w:val="24"/>
        </w:rPr>
        <w:t>······</w:t>
      </w:r>
    </w:p>
    <w:p w:rsidR="003717A0" w:rsidRDefault="003717A0">
      <w:pPr>
        <w:rPr>
          <w:bCs/>
          <w:sz w:val="24"/>
        </w:rPr>
      </w:pPr>
      <w:r>
        <w:rPr>
          <w:bCs/>
          <w:sz w:val="24"/>
        </w:rPr>
        <w:t>Topic for writing:</w:t>
      </w:r>
    </w:p>
    <w:p w:rsidR="003717A0" w:rsidRDefault="003717A0">
      <w:pPr>
        <w:jc w:val="center"/>
        <w:rPr>
          <w:bCs/>
          <w:sz w:val="24"/>
        </w:rPr>
      </w:pPr>
      <w:r>
        <w:rPr>
          <w:bCs/>
          <w:sz w:val="24"/>
        </w:rPr>
        <w:t xml:space="preserve">Directions: You are allowed 30 minutes to write a composition with on the following topic:  </w:t>
      </w:r>
    </w:p>
    <w:p w:rsidR="003717A0" w:rsidRDefault="003717A0">
      <w:pPr>
        <w:jc w:val="center"/>
        <w:rPr>
          <w:bCs/>
          <w:sz w:val="24"/>
        </w:rPr>
      </w:pPr>
      <w:r>
        <w:rPr>
          <w:bCs/>
          <w:sz w:val="24"/>
        </w:rPr>
        <w:t>Inspiration from Exchanges across Cultures</w:t>
      </w:r>
    </w:p>
    <w:p w:rsidR="003717A0" w:rsidRDefault="003717A0">
      <w:pPr>
        <w:rPr>
          <w:bCs/>
          <w:sz w:val="24"/>
        </w:rPr>
      </w:pPr>
      <w:r>
        <w:rPr>
          <w:bCs/>
          <w:sz w:val="24"/>
        </w:rPr>
        <w:t xml:space="preserve">1. </w:t>
      </w:r>
      <w:r>
        <w:rPr>
          <w:rFonts w:hint="eastAsia"/>
          <w:bCs/>
          <w:sz w:val="24"/>
        </w:rPr>
        <w:t>跨文化交流给各国人民带来了益处。</w:t>
      </w:r>
    </w:p>
    <w:p w:rsidR="003717A0" w:rsidRDefault="003717A0">
      <w:pPr>
        <w:rPr>
          <w:bCs/>
          <w:sz w:val="24"/>
        </w:rPr>
      </w:pPr>
      <w:r>
        <w:rPr>
          <w:bCs/>
          <w:sz w:val="24"/>
        </w:rPr>
        <w:t xml:space="preserve">2. </w:t>
      </w:r>
      <w:r>
        <w:rPr>
          <w:rFonts w:hint="eastAsia"/>
          <w:bCs/>
          <w:sz w:val="24"/>
        </w:rPr>
        <w:t>通过对比说明异国文化给我们的启示。</w:t>
      </w:r>
    </w:p>
    <w:p w:rsidR="003717A0" w:rsidRDefault="003717A0">
      <w:pPr>
        <w:rPr>
          <w:bCs/>
          <w:sz w:val="24"/>
        </w:rPr>
      </w:pPr>
      <w:r>
        <w:rPr>
          <w:bCs/>
          <w:sz w:val="24"/>
        </w:rPr>
        <w:t xml:space="preserve">3. </w:t>
      </w:r>
      <w:r>
        <w:rPr>
          <w:rFonts w:hint="eastAsia"/>
          <w:bCs/>
          <w:sz w:val="24"/>
        </w:rPr>
        <w:t>你的看法。</w:t>
      </w:r>
    </w:p>
    <w:p w:rsidR="003717A0" w:rsidRDefault="003717A0">
      <w:pPr>
        <w:rPr>
          <w:bCs/>
          <w:sz w:val="24"/>
        </w:rPr>
      </w:pPr>
    </w:p>
    <w:p w:rsidR="003717A0" w:rsidRDefault="003717A0">
      <w:pPr>
        <w:rPr>
          <w:b/>
          <w:bCs/>
          <w:sz w:val="24"/>
        </w:rPr>
      </w:pPr>
      <w:r>
        <w:rPr>
          <w:b/>
          <w:bCs/>
          <w:sz w:val="24"/>
        </w:rPr>
        <w:t>Unit Ten How to Cultivate EQ</w:t>
      </w:r>
    </w:p>
    <w:p w:rsidR="003717A0" w:rsidRDefault="003717A0">
      <w:pPr>
        <w:rPr>
          <w:bCs/>
          <w:sz w:val="24"/>
        </w:rPr>
      </w:pPr>
      <w:r>
        <w:rPr>
          <w:bCs/>
          <w:sz w:val="24"/>
        </w:rPr>
        <w:t>Teaching objectives:</w:t>
      </w:r>
    </w:p>
    <w:p w:rsidR="003717A0" w:rsidRDefault="003717A0">
      <w:pPr>
        <w:rPr>
          <w:bCs/>
          <w:sz w:val="24"/>
        </w:rPr>
      </w:pPr>
      <w:r>
        <w:rPr>
          <w:bCs/>
          <w:sz w:val="24"/>
        </w:rPr>
        <w:t xml:space="preserve">1. To make students know that EQ may be crucial for business success. To cultivate our EQ, our effort should be aimed at improving four adaptive skills: raising consciousness; using imagery; considering and reconsidering events to choose the most creative response to them; and integrating the perspectives of others. As long as we keep at such effort, we can make it, for they are based on our knowledge about the mechanisms of the mind. In effect, without EQ, IQ alone is worth little.     </w:t>
      </w:r>
    </w:p>
    <w:p w:rsidR="003717A0" w:rsidRDefault="003717A0">
      <w:pPr>
        <w:snapToGrid w:val="0"/>
        <w:rPr>
          <w:bCs/>
          <w:sz w:val="24"/>
        </w:rPr>
      </w:pPr>
      <w:r>
        <w:rPr>
          <w:bCs/>
          <w:sz w:val="24"/>
        </w:rPr>
        <w:t xml:space="preserve">2. To know the meaning and usage of some important words, phrases and patterns </w:t>
      </w:r>
    </w:p>
    <w:p w:rsidR="003717A0" w:rsidRDefault="003717A0">
      <w:pPr>
        <w:snapToGrid w:val="0"/>
        <w:rPr>
          <w:bCs/>
          <w:sz w:val="24"/>
        </w:rPr>
      </w:pPr>
      <w:r>
        <w:rPr>
          <w:bCs/>
          <w:sz w:val="24"/>
        </w:rPr>
        <w:t>3. To be familiar with the writing skills of the text and make use of it in writing</w:t>
      </w:r>
    </w:p>
    <w:p w:rsidR="003717A0" w:rsidRDefault="003717A0">
      <w:pPr>
        <w:snapToGrid w:val="0"/>
        <w:rPr>
          <w:bCs/>
          <w:sz w:val="24"/>
        </w:rPr>
      </w:pPr>
      <w:r>
        <w:rPr>
          <w:bCs/>
          <w:sz w:val="24"/>
        </w:rPr>
        <w:t xml:space="preserve">4. To improve Ss reading skills by studying section B </w:t>
      </w:r>
    </w:p>
    <w:p w:rsidR="003717A0" w:rsidRDefault="003717A0">
      <w:pPr>
        <w:snapToGrid w:val="0"/>
        <w:rPr>
          <w:bCs/>
          <w:sz w:val="24"/>
        </w:rPr>
      </w:pPr>
      <w:r>
        <w:rPr>
          <w:bCs/>
          <w:sz w:val="24"/>
        </w:rPr>
        <w:t>5. To respond and cooperate with classmates willingly</w:t>
      </w:r>
    </w:p>
    <w:p w:rsidR="003717A0" w:rsidRDefault="003717A0">
      <w:pPr>
        <w:snapToGrid w:val="0"/>
        <w:rPr>
          <w:bCs/>
          <w:sz w:val="24"/>
        </w:rPr>
      </w:pPr>
      <w:r>
        <w:rPr>
          <w:bCs/>
          <w:sz w:val="24"/>
        </w:rPr>
        <w:t>6. To participate actively</w:t>
      </w:r>
    </w:p>
    <w:p w:rsidR="003717A0" w:rsidRDefault="003717A0">
      <w:pPr>
        <w:snapToGrid w:val="0"/>
        <w:rPr>
          <w:bCs/>
          <w:sz w:val="24"/>
        </w:rPr>
      </w:pPr>
      <w:r>
        <w:rPr>
          <w:bCs/>
          <w:sz w:val="24"/>
        </w:rPr>
        <w:t>7. To read sentences and texts with proper intonation</w:t>
      </w:r>
    </w:p>
    <w:p w:rsidR="003717A0" w:rsidRDefault="003717A0">
      <w:pPr>
        <w:snapToGrid w:val="0"/>
        <w:rPr>
          <w:bCs/>
          <w:sz w:val="24"/>
        </w:rPr>
      </w:pPr>
      <w:r>
        <w:rPr>
          <w:bCs/>
          <w:sz w:val="24"/>
        </w:rPr>
        <w:t>8. To write smoothly and legibly</w:t>
      </w:r>
    </w:p>
    <w:p w:rsidR="003717A0" w:rsidRDefault="003717A0">
      <w:pPr>
        <w:rPr>
          <w:bCs/>
          <w:sz w:val="24"/>
        </w:rPr>
      </w:pPr>
    </w:p>
    <w:p w:rsidR="003717A0" w:rsidRDefault="003717A0">
      <w:pPr>
        <w:rPr>
          <w:bCs/>
          <w:sz w:val="24"/>
        </w:rPr>
      </w:pPr>
      <w:r>
        <w:rPr>
          <w:bCs/>
          <w:sz w:val="24"/>
        </w:rPr>
        <w:t>Time allotment (6 periods):</w:t>
      </w:r>
    </w:p>
    <w:p w:rsidR="003717A0" w:rsidRDefault="003717A0">
      <w:pPr>
        <w:rPr>
          <w:bCs/>
          <w:sz w:val="24"/>
        </w:rPr>
      </w:pPr>
      <w:r>
        <w:rPr>
          <w:bCs/>
          <w:sz w:val="24"/>
        </w:rPr>
        <w:t>1.1</w:t>
      </w:r>
      <w:r>
        <w:rPr>
          <w:bCs/>
          <w:sz w:val="24"/>
          <w:vertAlign w:val="superscript"/>
        </w:rPr>
        <w:t>st</w:t>
      </w:r>
      <w:r>
        <w:rPr>
          <w:bCs/>
          <w:sz w:val="24"/>
        </w:rPr>
        <w:t xml:space="preserve"> and 2</w:t>
      </w:r>
      <w:r>
        <w:rPr>
          <w:bCs/>
          <w:sz w:val="24"/>
          <w:vertAlign w:val="superscript"/>
        </w:rPr>
        <w:t>nd</w:t>
      </w:r>
      <w:r>
        <w:rPr>
          <w:bCs/>
          <w:sz w:val="24"/>
        </w:rPr>
        <w:t xml:space="preserve"> period: Text A study</w:t>
      </w:r>
      <w:r>
        <w:rPr>
          <w:rFonts w:hint="eastAsia"/>
          <w:bCs/>
          <w:sz w:val="24"/>
        </w:rPr>
        <w:t>：</w:t>
      </w:r>
    </w:p>
    <w:p w:rsidR="003717A0" w:rsidRDefault="003717A0">
      <w:pPr>
        <w:rPr>
          <w:bCs/>
          <w:sz w:val="24"/>
        </w:rPr>
      </w:pPr>
      <w:r>
        <w:rPr>
          <w:bCs/>
          <w:sz w:val="24"/>
        </w:rPr>
        <w:t xml:space="preserve">                  background information; cultural notes; text organization; </w:t>
      </w:r>
    </w:p>
    <w:p w:rsidR="003717A0" w:rsidRDefault="003717A0">
      <w:pPr>
        <w:ind w:firstLineChars="900" w:firstLine="2160"/>
        <w:rPr>
          <w:bCs/>
          <w:sz w:val="24"/>
        </w:rPr>
      </w:pPr>
      <w:r>
        <w:rPr>
          <w:bCs/>
          <w:sz w:val="24"/>
        </w:rPr>
        <w:t xml:space="preserve">words and structures </w:t>
      </w:r>
    </w:p>
    <w:p w:rsidR="003717A0" w:rsidRDefault="003717A0">
      <w:pPr>
        <w:rPr>
          <w:bCs/>
          <w:sz w:val="24"/>
        </w:rPr>
      </w:pPr>
      <w:r>
        <w:rPr>
          <w:bCs/>
          <w:sz w:val="24"/>
        </w:rPr>
        <w:t>2.3</w:t>
      </w:r>
      <w:r>
        <w:rPr>
          <w:bCs/>
          <w:sz w:val="24"/>
          <w:vertAlign w:val="superscript"/>
        </w:rPr>
        <w:t>rd</w:t>
      </w:r>
      <w:r>
        <w:rPr>
          <w:bCs/>
          <w:sz w:val="24"/>
        </w:rPr>
        <w:t xml:space="preserve"> and 4</w:t>
      </w:r>
      <w:r>
        <w:rPr>
          <w:bCs/>
          <w:sz w:val="24"/>
          <w:vertAlign w:val="superscript"/>
        </w:rPr>
        <w:t>th</w:t>
      </w:r>
      <w:r>
        <w:rPr>
          <w:bCs/>
          <w:sz w:val="24"/>
        </w:rPr>
        <w:t xml:space="preserve"> period: Text A study</w:t>
      </w:r>
      <w:r>
        <w:rPr>
          <w:rFonts w:hint="eastAsia"/>
          <w:bCs/>
          <w:sz w:val="24"/>
        </w:rPr>
        <w:t>：</w:t>
      </w:r>
    </w:p>
    <w:p w:rsidR="003717A0" w:rsidRDefault="003717A0">
      <w:pPr>
        <w:ind w:firstLineChars="900" w:firstLine="2160"/>
        <w:rPr>
          <w:bCs/>
          <w:sz w:val="24"/>
        </w:rPr>
      </w:pPr>
      <w:r>
        <w:rPr>
          <w:bCs/>
          <w:sz w:val="24"/>
        </w:rPr>
        <w:t>Review key language points; exercises after text A; essay writing;</w:t>
      </w:r>
    </w:p>
    <w:p w:rsidR="003717A0" w:rsidRDefault="003717A0">
      <w:pPr>
        <w:rPr>
          <w:bCs/>
          <w:sz w:val="24"/>
        </w:rPr>
      </w:pPr>
      <w:r>
        <w:rPr>
          <w:bCs/>
          <w:sz w:val="24"/>
        </w:rPr>
        <w:t>3.5</w:t>
      </w:r>
      <w:r>
        <w:rPr>
          <w:bCs/>
          <w:sz w:val="24"/>
          <w:vertAlign w:val="superscript"/>
        </w:rPr>
        <w:t>th</w:t>
      </w:r>
      <w:r>
        <w:rPr>
          <w:bCs/>
          <w:sz w:val="24"/>
        </w:rPr>
        <w:t xml:space="preserve"> and 6</w:t>
      </w:r>
      <w:r>
        <w:rPr>
          <w:bCs/>
          <w:sz w:val="24"/>
          <w:vertAlign w:val="superscript"/>
        </w:rPr>
        <w:t>th</w:t>
      </w:r>
      <w:r>
        <w:rPr>
          <w:bCs/>
          <w:sz w:val="24"/>
        </w:rPr>
        <w:t xml:space="preserve"> period: Text B study:</w:t>
      </w:r>
    </w:p>
    <w:p w:rsidR="003717A0" w:rsidRDefault="003717A0">
      <w:pPr>
        <w:rPr>
          <w:bCs/>
          <w:sz w:val="24"/>
        </w:rPr>
      </w:pPr>
      <w:r>
        <w:rPr>
          <w:bCs/>
          <w:sz w:val="24"/>
        </w:rPr>
        <w:t xml:space="preserve">                  cultural notes; words and structures </w:t>
      </w:r>
    </w:p>
    <w:p w:rsidR="003717A0" w:rsidRDefault="003717A0">
      <w:pPr>
        <w:rPr>
          <w:bCs/>
          <w:sz w:val="24"/>
        </w:rPr>
      </w:pPr>
    </w:p>
    <w:p w:rsidR="003717A0" w:rsidRDefault="003717A0">
      <w:pPr>
        <w:rPr>
          <w:bCs/>
          <w:sz w:val="24"/>
        </w:rPr>
      </w:pPr>
      <w:r>
        <w:rPr>
          <w:bCs/>
          <w:sz w:val="24"/>
        </w:rPr>
        <w:t>Answer questions after finishing reading Text A:</w:t>
      </w:r>
    </w:p>
    <w:p w:rsidR="003717A0" w:rsidRDefault="003717A0">
      <w:pPr>
        <w:rPr>
          <w:bCs/>
          <w:sz w:val="24"/>
        </w:rPr>
      </w:pPr>
      <w:r>
        <w:rPr>
          <w:bCs/>
          <w:sz w:val="24"/>
        </w:rPr>
        <w:t xml:space="preserve">1. What has become the hot ticket for business success?  </w:t>
      </w:r>
    </w:p>
    <w:p w:rsidR="003717A0" w:rsidRDefault="003717A0">
      <w:pPr>
        <w:rPr>
          <w:bCs/>
          <w:sz w:val="24"/>
        </w:rPr>
      </w:pPr>
      <w:r>
        <w:rPr>
          <w:bCs/>
          <w:sz w:val="24"/>
        </w:rPr>
        <w:lastRenderedPageBreak/>
        <w:t xml:space="preserve">2. What should be integrated as we cultivate our Emotional Intelligence?  </w:t>
      </w:r>
    </w:p>
    <w:p w:rsidR="003717A0" w:rsidRDefault="003717A0">
      <w:pPr>
        <w:rPr>
          <w:bCs/>
          <w:sz w:val="24"/>
        </w:rPr>
      </w:pPr>
      <w:r>
        <w:rPr>
          <w:bCs/>
          <w:sz w:val="24"/>
        </w:rPr>
        <w:t xml:space="preserve">3. Do you believe that emotional maturity and self-knowledge have more value than academic training? Give your reasons.  </w:t>
      </w:r>
    </w:p>
    <w:p w:rsidR="003717A0" w:rsidRDefault="003717A0">
      <w:pPr>
        <w:rPr>
          <w:bCs/>
          <w:sz w:val="24"/>
        </w:rPr>
      </w:pPr>
    </w:p>
    <w:p w:rsidR="003717A0" w:rsidRDefault="003717A0">
      <w:pPr>
        <w:rPr>
          <w:bCs/>
          <w:sz w:val="24"/>
        </w:rPr>
      </w:pPr>
      <w:r>
        <w:rPr>
          <w:bCs/>
          <w:sz w:val="24"/>
        </w:rPr>
        <w:t>Key words: incorporate, trigger</w:t>
      </w:r>
    </w:p>
    <w:p w:rsidR="003717A0" w:rsidRDefault="003717A0">
      <w:pPr>
        <w:rPr>
          <w:bCs/>
          <w:sz w:val="24"/>
        </w:rPr>
      </w:pPr>
      <w:r>
        <w:rPr>
          <w:bCs/>
          <w:sz w:val="24"/>
        </w:rPr>
        <w:t>Key phrases and expressions in Text A:</w:t>
      </w:r>
    </w:p>
    <w:p w:rsidR="003717A0" w:rsidRDefault="003717A0">
      <w:pPr>
        <w:rPr>
          <w:bCs/>
          <w:sz w:val="24"/>
        </w:rPr>
      </w:pPr>
      <w:r>
        <w:rPr>
          <w:bCs/>
          <w:sz w:val="24"/>
        </w:rPr>
        <w:t>1. to have the right stuff (for/to do)</w:t>
      </w:r>
      <w:r>
        <w:rPr>
          <w:rFonts w:hint="eastAsia"/>
          <w:bCs/>
          <w:sz w:val="24"/>
        </w:rPr>
        <w:t>…</w:t>
      </w:r>
      <w:r>
        <w:rPr>
          <w:bCs/>
          <w:sz w:val="24"/>
        </w:rPr>
        <w:t xml:space="preserve"> </w:t>
      </w:r>
      <w:r>
        <w:rPr>
          <w:bCs/>
          <w:sz w:val="24"/>
        </w:rPr>
        <w:tab/>
        <w:t>2. to be the true measure of</w:t>
      </w:r>
      <w:r>
        <w:rPr>
          <w:rFonts w:hint="eastAsia"/>
          <w:bCs/>
          <w:sz w:val="24"/>
        </w:rPr>
        <w:t>…</w:t>
      </w:r>
      <w:r>
        <w:rPr>
          <w:bCs/>
          <w:sz w:val="24"/>
        </w:rPr>
        <w:tab/>
      </w:r>
    </w:p>
    <w:p w:rsidR="003717A0" w:rsidRDefault="003717A0">
      <w:pPr>
        <w:rPr>
          <w:bCs/>
          <w:sz w:val="24"/>
        </w:rPr>
      </w:pPr>
      <w:r>
        <w:rPr>
          <w:bCs/>
          <w:sz w:val="24"/>
        </w:rPr>
        <w:t xml:space="preserve">3. the hot ticket for success 4. to embrace a highly personal practice </w:t>
      </w:r>
      <w:r>
        <w:rPr>
          <w:bCs/>
          <w:sz w:val="24"/>
        </w:rPr>
        <w:tab/>
      </w:r>
    </w:p>
    <w:p w:rsidR="003717A0" w:rsidRDefault="003717A0">
      <w:pPr>
        <w:rPr>
          <w:bCs/>
          <w:sz w:val="24"/>
        </w:rPr>
      </w:pPr>
      <w:r>
        <w:rPr>
          <w:bCs/>
          <w:sz w:val="24"/>
        </w:rPr>
        <w:t>5.escape the conditioned confines of your past</w:t>
      </w:r>
      <w:r>
        <w:rPr>
          <w:bCs/>
          <w:sz w:val="24"/>
        </w:rPr>
        <w:tab/>
        <w:t>6. in the act of doing (sth.)</w:t>
      </w:r>
    </w:p>
    <w:p w:rsidR="003717A0" w:rsidRDefault="003717A0">
      <w:pPr>
        <w:rPr>
          <w:bCs/>
          <w:sz w:val="24"/>
        </w:rPr>
      </w:pPr>
      <w:r>
        <w:rPr>
          <w:bCs/>
          <w:sz w:val="24"/>
        </w:rPr>
        <w:t>7.dream with passion about sth.</w:t>
      </w:r>
      <w:r>
        <w:rPr>
          <w:bCs/>
          <w:sz w:val="24"/>
        </w:rPr>
        <w:tab/>
        <w:t>8. choose the most creative response to sth.</w:t>
      </w:r>
      <w:r>
        <w:rPr>
          <w:bCs/>
          <w:sz w:val="24"/>
        </w:rPr>
        <w:tab/>
      </w:r>
    </w:p>
    <w:p w:rsidR="003717A0" w:rsidRDefault="003717A0">
      <w:pPr>
        <w:rPr>
          <w:bCs/>
          <w:sz w:val="24"/>
        </w:rPr>
      </w:pPr>
      <w:r>
        <w:rPr>
          <w:bCs/>
          <w:sz w:val="24"/>
        </w:rPr>
        <w:t xml:space="preserve">9. assign many interpretations to sth. </w:t>
      </w:r>
    </w:p>
    <w:p w:rsidR="003717A0" w:rsidRDefault="003717A0">
      <w:pPr>
        <w:rPr>
          <w:bCs/>
          <w:sz w:val="24"/>
        </w:rPr>
      </w:pPr>
      <w:r>
        <w:rPr>
          <w:bCs/>
          <w:sz w:val="24"/>
        </w:rPr>
        <w:t>10. one’s first trip to Europe 11. integrate/incorporate the perspectives of others</w:t>
      </w:r>
      <w:r>
        <w:rPr>
          <w:bCs/>
          <w:sz w:val="24"/>
        </w:rPr>
        <w:tab/>
      </w:r>
    </w:p>
    <w:p w:rsidR="003717A0" w:rsidRDefault="003717A0">
      <w:pPr>
        <w:rPr>
          <w:bCs/>
          <w:sz w:val="24"/>
        </w:rPr>
      </w:pPr>
      <w:r>
        <w:rPr>
          <w:bCs/>
          <w:sz w:val="24"/>
        </w:rPr>
        <w:t xml:space="preserve">12. trigger a brain response 13. need a discipline for doing sth. </w:t>
      </w:r>
      <w:r>
        <w:rPr>
          <w:bCs/>
          <w:sz w:val="24"/>
        </w:rPr>
        <w:tab/>
      </w:r>
    </w:p>
    <w:p w:rsidR="003717A0" w:rsidRDefault="003717A0">
      <w:pPr>
        <w:rPr>
          <w:bCs/>
          <w:sz w:val="24"/>
        </w:rPr>
      </w:pPr>
      <w:r>
        <w:rPr>
          <w:bCs/>
          <w:sz w:val="24"/>
        </w:rPr>
        <w:t>14. in the sense that---15. in a flash 16. be cut in half</w:t>
      </w:r>
      <w:r>
        <w:rPr>
          <w:bCs/>
          <w:sz w:val="24"/>
        </w:rPr>
        <w:tab/>
        <w:t xml:space="preserve">17. be confined to </w:t>
      </w:r>
      <w:r>
        <w:rPr>
          <w:bCs/>
          <w:sz w:val="24"/>
        </w:rPr>
        <w:tab/>
      </w:r>
    </w:p>
    <w:p w:rsidR="003717A0" w:rsidRDefault="003717A0">
      <w:pPr>
        <w:rPr>
          <w:bCs/>
          <w:sz w:val="24"/>
        </w:rPr>
      </w:pPr>
      <w:r>
        <w:rPr>
          <w:bCs/>
          <w:sz w:val="24"/>
        </w:rPr>
        <w:t>18. shape one’s senses</w:t>
      </w:r>
    </w:p>
    <w:p w:rsidR="003717A0" w:rsidRDefault="003717A0">
      <w:pPr>
        <w:rPr>
          <w:bCs/>
          <w:sz w:val="24"/>
        </w:rPr>
      </w:pPr>
      <w:r>
        <w:rPr>
          <w:bCs/>
          <w:sz w:val="24"/>
        </w:rPr>
        <w:t>19. in the sense that---</w:t>
      </w:r>
      <w:r>
        <w:rPr>
          <w:bCs/>
          <w:sz w:val="24"/>
        </w:rPr>
        <w:tab/>
        <w:t>20. sort through</w:t>
      </w:r>
      <w:r>
        <w:rPr>
          <w:bCs/>
          <w:sz w:val="24"/>
        </w:rPr>
        <w:tab/>
        <w:t xml:space="preserve">21. aim at </w:t>
      </w:r>
    </w:p>
    <w:p w:rsidR="003717A0" w:rsidRDefault="003717A0">
      <w:pPr>
        <w:rPr>
          <w:bCs/>
          <w:sz w:val="24"/>
        </w:rPr>
      </w:pPr>
      <w:r>
        <w:rPr>
          <w:bCs/>
          <w:sz w:val="24"/>
        </w:rPr>
        <w:t xml:space="preserve">22. keep at it </w:t>
      </w:r>
      <w:r>
        <w:rPr>
          <w:bCs/>
          <w:sz w:val="24"/>
        </w:rPr>
        <w:tab/>
        <w:t xml:space="preserve">23. take note of </w:t>
      </w:r>
      <w:r>
        <w:rPr>
          <w:bCs/>
          <w:sz w:val="24"/>
        </w:rPr>
        <w:tab/>
        <w:t>24. set aside</w:t>
      </w:r>
    </w:p>
    <w:p w:rsidR="003717A0" w:rsidRDefault="003717A0">
      <w:pPr>
        <w:rPr>
          <w:bCs/>
          <w:sz w:val="24"/>
        </w:rPr>
      </w:pPr>
      <w:r>
        <w:rPr>
          <w:bCs/>
          <w:sz w:val="24"/>
        </w:rPr>
        <w:t xml:space="preserve">Key structures: </w:t>
      </w:r>
    </w:p>
    <w:p w:rsidR="003717A0" w:rsidRDefault="003717A0">
      <w:pPr>
        <w:rPr>
          <w:bCs/>
          <w:sz w:val="24"/>
        </w:rPr>
      </w:pPr>
      <w:r>
        <w:rPr>
          <w:bCs/>
          <w:sz w:val="24"/>
        </w:rPr>
        <w:t>1. Typical patterns for revealing interrelations between things:</w:t>
      </w:r>
    </w:p>
    <w:p w:rsidR="003717A0" w:rsidRDefault="003717A0">
      <w:pPr>
        <w:rPr>
          <w:bCs/>
          <w:sz w:val="24"/>
        </w:rPr>
      </w:pPr>
    </w:p>
    <w:p w:rsidR="003717A0" w:rsidRDefault="003717A0">
      <w:pPr>
        <w:rPr>
          <w:bCs/>
          <w:sz w:val="24"/>
        </w:rPr>
      </w:pPr>
      <w:r>
        <w:rPr>
          <w:rFonts w:hint="eastAsia"/>
          <w:bCs/>
          <w:sz w:val="24"/>
        </w:rPr>
        <w:t>原句</w:t>
      </w:r>
      <w:r>
        <w:rPr>
          <w:bCs/>
          <w:sz w:val="24"/>
        </w:rPr>
        <w:t xml:space="preserve">: And </w:t>
      </w:r>
      <w:r>
        <w:rPr>
          <w:bCs/>
          <w:sz w:val="24"/>
          <w:u w:val="single"/>
        </w:rPr>
        <w:t>application takes</w:t>
      </w:r>
      <w:r>
        <w:rPr>
          <w:bCs/>
          <w:sz w:val="24"/>
        </w:rPr>
        <w:t xml:space="preserve"> judgment, </w:t>
      </w:r>
      <w:r>
        <w:rPr>
          <w:bCs/>
          <w:sz w:val="24"/>
          <w:u w:val="single"/>
        </w:rPr>
        <w:t>which involves something</w:t>
      </w:r>
      <w:r>
        <w:rPr>
          <w:bCs/>
          <w:sz w:val="24"/>
        </w:rPr>
        <w:t xml:space="preserve"> of a sixth sense— a high performance of the mind. (L. 3)</w:t>
      </w:r>
    </w:p>
    <w:p w:rsidR="003717A0" w:rsidRDefault="003717A0">
      <w:pPr>
        <w:rPr>
          <w:bCs/>
          <w:sz w:val="24"/>
        </w:rPr>
      </w:pPr>
      <w:r>
        <w:rPr>
          <w:rFonts w:hint="eastAsia"/>
          <w:bCs/>
          <w:sz w:val="24"/>
        </w:rPr>
        <w:t>句型提炼</w:t>
      </w:r>
      <w:r>
        <w:rPr>
          <w:bCs/>
          <w:sz w:val="24"/>
        </w:rPr>
        <w:t xml:space="preserve">: Sth. takes/needs/calls for/requires sth. else, which involves/entails…—… </w:t>
      </w:r>
      <w:r>
        <w:rPr>
          <w:bCs/>
          <w:sz w:val="24"/>
        </w:rPr>
        <w:br/>
      </w:r>
      <w:r>
        <w:rPr>
          <w:rFonts w:hint="eastAsia"/>
          <w:bCs/>
          <w:sz w:val="24"/>
        </w:rPr>
        <w:t>某一事物需要另一事物，而另一事物又涉及到</w:t>
      </w:r>
      <w:r>
        <w:rPr>
          <w:bCs/>
          <w:sz w:val="24"/>
        </w:rPr>
        <w:t>······ —</w:t>
      </w:r>
      <w:r>
        <w:rPr>
          <w:rFonts w:hint="eastAsia"/>
          <w:bCs/>
          <w:sz w:val="24"/>
        </w:rPr>
        <w:t>即</w:t>
      </w:r>
      <w:r>
        <w:rPr>
          <w:bCs/>
          <w:sz w:val="24"/>
        </w:rPr>
        <w:t>······</w:t>
      </w:r>
    </w:p>
    <w:p w:rsidR="003717A0" w:rsidRDefault="003717A0">
      <w:pPr>
        <w:rPr>
          <w:bCs/>
          <w:sz w:val="24"/>
        </w:rPr>
      </w:pPr>
      <w:r>
        <w:rPr>
          <w:bCs/>
          <w:sz w:val="24"/>
        </w:rPr>
        <w:t>2. Typical patterns for advancing one’s advice:</w:t>
      </w:r>
    </w:p>
    <w:p w:rsidR="003717A0" w:rsidRDefault="003717A0">
      <w:pPr>
        <w:rPr>
          <w:bCs/>
          <w:sz w:val="24"/>
        </w:rPr>
      </w:pPr>
      <w:r>
        <w:rPr>
          <w:rFonts w:hint="eastAsia"/>
          <w:bCs/>
          <w:sz w:val="24"/>
        </w:rPr>
        <w:t>原句</w:t>
      </w:r>
      <w:r>
        <w:rPr>
          <w:bCs/>
          <w:sz w:val="24"/>
        </w:rPr>
        <w:t xml:space="preserve">: </w:t>
      </w:r>
      <w:r>
        <w:rPr>
          <w:bCs/>
          <w:sz w:val="24"/>
          <w:u w:val="single"/>
        </w:rPr>
        <w:t>Every time something important happens</w:t>
      </w:r>
      <w:r>
        <w:rPr>
          <w:bCs/>
          <w:sz w:val="24"/>
        </w:rPr>
        <w:t xml:space="preserve">, assign </w:t>
      </w:r>
      <w:r>
        <w:rPr>
          <w:bCs/>
          <w:sz w:val="24"/>
          <w:u w:val="single"/>
        </w:rPr>
        <w:t>as many</w:t>
      </w:r>
      <w:r>
        <w:rPr>
          <w:bCs/>
          <w:sz w:val="24"/>
        </w:rPr>
        <w:t xml:space="preserve"> interpretations to it </w:t>
      </w:r>
      <w:r>
        <w:rPr>
          <w:bCs/>
          <w:sz w:val="24"/>
          <w:u w:val="single"/>
        </w:rPr>
        <w:t>as possible</w:t>
      </w:r>
      <w:r>
        <w:rPr>
          <w:bCs/>
          <w:sz w:val="24"/>
        </w:rPr>
        <w:t xml:space="preserve">, </w:t>
      </w:r>
      <w:r>
        <w:rPr>
          <w:bCs/>
          <w:sz w:val="24"/>
          <w:u w:val="single"/>
        </w:rPr>
        <w:t>even</w:t>
      </w:r>
      <w:r>
        <w:rPr>
          <w:bCs/>
          <w:sz w:val="24"/>
        </w:rPr>
        <w:t xml:space="preserve"> crazy </w:t>
      </w:r>
      <w:r>
        <w:rPr>
          <w:bCs/>
          <w:sz w:val="24"/>
          <w:u w:val="single"/>
        </w:rPr>
        <w:t>ones</w:t>
      </w:r>
      <w:r>
        <w:rPr>
          <w:bCs/>
          <w:sz w:val="24"/>
        </w:rPr>
        <w:t xml:space="preserve">. </w:t>
      </w:r>
      <w:r>
        <w:rPr>
          <w:bCs/>
          <w:sz w:val="24"/>
          <w:u w:val="single"/>
        </w:rPr>
        <w:t>Then go with</w:t>
      </w:r>
      <w:r>
        <w:rPr>
          <w:bCs/>
          <w:sz w:val="24"/>
        </w:rPr>
        <w:t xml:space="preserve"> the interpretation </w:t>
      </w:r>
      <w:r>
        <w:rPr>
          <w:bCs/>
          <w:sz w:val="24"/>
          <w:u w:val="single"/>
        </w:rPr>
        <w:t>most supportive of your dreams</w:t>
      </w:r>
      <w:r>
        <w:rPr>
          <w:bCs/>
          <w:sz w:val="24"/>
        </w:rPr>
        <w:t xml:space="preserve">. (L. 34) </w:t>
      </w:r>
    </w:p>
    <w:p w:rsidR="003717A0" w:rsidRDefault="003717A0">
      <w:pPr>
        <w:rPr>
          <w:bCs/>
          <w:sz w:val="24"/>
        </w:rPr>
      </w:pPr>
      <w:r>
        <w:rPr>
          <w:rFonts w:hint="eastAsia"/>
          <w:bCs/>
          <w:sz w:val="24"/>
        </w:rPr>
        <w:t>句型提炼</w:t>
      </w:r>
      <w:r>
        <w:rPr>
          <w:bCs/>
          <w:sz w:val="24"/>
        </w:rPr>
        <w:t xml:space="preserve">:Every time sth. + </w:t>
      </w:r>
      <w:r>
        <w:rPr>
          <w:bCs/>
          <w:sz w:val="24"/>
          <w:u w:val="single"/>
        </w:rPr>
        <w:t>adj.</w:t>
      </w:r>
      <w:r>
        <w:rPr>
          <w:bCs/>
          <w:sz w:val="24"/>
        </w:rPr>
        <w:t xml:space="preserve"> happens, </w:t>
      </w:r>
      <w:r>
        <w:rPr>
          <w:bCs/>
          <w:sz w:val="24"/>
          <w:u w:val="single"/>
        </w:rPr>
        <w:t>do</w:t>
      </w:r>
      <w:r>
        <w:rPr>
          <w:bCs/>
          <w:sz w:val="24"/>
        </w:rPr>
        <w:t xml:space="preserve"> as </w:t>
      </w:r>
      <w:r>
        <w:rPr>
          <w:bCs/>
          <w:sz w:val="24"/>
          <w:u w:val="single"/>
        </w:rPr>
        <w:t>+ adj.</w:t>
      </w:r>
      <w:r>
        <w:rPr>
          <w:bCs/>
          <w:sz w:val="24"/>
        </w:rPr>
        <w:t xml:space="preserve"> + </w:t>
      </w:r>
      <w:r>
        <w:rPr>
          <w:bCs/>
          <w:sz w:val="24"/>
          <w:u w:val="single"/>
        </w:rPr>
        <w:t>n.</w:t>
      </w:r>
      <w:r>
        <w:rPr>
          <w:bCs/>
          <w:sz w:val="24"/>
        </w:rPr>
        <w:t xml:space="preserve"> + prep. + it as possible, even… one(s). Then </w:t>
      </w:r>
      <w:r>
        <w:rPr>
          <w:bCs/>
          <w:sz w:val="24"/>
          <w:u w:val="single"/>
        </w:rPr>
        <w:t>go with</w:t>
      </w:r>
      <w:r>
        <w:rPr>
          <w:bCs/>
          <w:sz w:val="24"/>
        </w:rPr>
        <w:t xml:space="preserve">… most supportive of </w:t>
      </w:r>
      <w:r>
        <w:rPr>
          <w:bCs/>
          <w:sz w:val="24"/>
          <w:u w:val="single"/>
        </w:rPr>
        <w:t>your dreams</w:t>
      </w:r>
      <w:r>
        <w:rPr>
          <w:bCs/>
          <w:sz w:val="24"/>
        </w:rPr>
        <w:t>.</w:t>
      </w:r>
      <w:r>
        <w:rPr>
          <w:bCs/>
          <w:sz w:val="24"/>
        </w:rPr>
        <w:br/>
      </w:r>
      <w:r>
        <w:rPr>
          <w:rFonts w:hint="eastAsia"/>
          <w:bCs/>
          <w:sz w:val="24"/>
          <w:u w:val="single"/>
        </w:rPr>
        <w:t>每当发生</w:t>
      </w:r>
      <w:r>
        <w:rPr>
          <w:bCs/>
          <w:sz w:val="24"/>
          <w:u w:val="single"/>
        </w:rPr>
        <w:t>······</w:t>
      </w:r>
      <w:r>
        <w:rPr>
          <w:rFonts w:hint="eastAsia"/>
          <w:bCs/>
          <w:sz w:val="24"/>
          <w:u w:val="single"/>
        </w:rPr>
        <w:t>事情时</w:t>
      </w:r>
      <w:r>
        <w:rPr>
          <w:rFonts w:hint="eastAsia"/>
          <w:bCs/>
          <w:sz w:val="24"/>
        </w:rPr>
        <w:t>，</w:t>
      </w:r>
      <w:r>
        <w:rPr>
          <w:rFonts w:hint="eastAsia"/>
          <w:bCs/>
          <w:sz w:val="24"/>
          <w:u w:val="single"/>
        </w:rPr>
        <w:t>要尽可能</w:t>
      </w:r>
      <w:r>
        <w:rPr>
          <w:bCs/>
          <w:sz w:val="24"/>
        </w:rPr>
        <w:t>······</w:t>
      </w:r>
      <w:r>
        <w:rPr>
          <w:rFonts w:hint="eastAsia"/>
          <w:bCs/>
          <w:sz w:val="24"/>
        </w:rPr>
        <w:t>，</w:t>
      </w:r>
      <w:r>
        <w:rPr>
          <w:rFonts w:hint="eastAsia"/>
          <w:bCs/>
          <w:sz w:val="24"/>
          <w:u w:val="single"/>
        </w:rPr>
        <w:t>甚至</w:t>
      </w:r>
      <w:r>
        <w:rPr>
          <w:bCs/>
          <w:sz w:val="24"/>
        </w:rPr>
        <w:t>······</w:t>
      </w:r>
      <w:r>
        <w:rPr>
          <w:rFonts w:hint="eastAsia"/>
          <w:bCs/>
          <w:sz w:val="24"/>
        </w:rPr>
        <w:t>，然后照着最有利于自己</w:t>
      </w:r>
      <w:r>
        <w:rPr>
          <w:rFonts w:hint="eastAsia"/>
          <w:bCs/>
          <w:sz w:val="24"/>
          <w:u w:val="single"/>
        </w:rPr>
        <w:t>理想的</w:t>
      </w:r>
      <w:r>
        <w:rPr>
          <w:bCs/>
          <w:sz w:val="24"/>
        </w:rPr>
        <w:t>······</w:t>
      </w:r>
      <w:r>
        <w:rPr>
          <w:rFonts w:hint="eastAsia"/>
          <w:bCs/>
          <w:sz w:val="24"/>
          <w:u w:val="single"/>
        </w:rPr>
        <w:t>去做</w:t>
      </w:r>
      <w:r>
        <w:rPr>
          <w:rFonts w:hint="eastAsia"/>
          <w:bCs/>
          <w:sz w:val="24"/>
        </w:rPr>
        <w:t>。</w:t>
      </w:r>
      <w:r>
        <w:rPr>
          <w:bCs/>
          <w:sz w:val="24"/>
        </w:rPr>
        <w:t xml:space="preserve"> </w:t>
      </w:r>
    </w:p>
    <w:p w:rsidR="003717A0" w:rsidRDefault="003717A0">
      <w:pPr>
        <w:rPr>
          <w:bCs/>
          <w:sz w:val="24"/>
        </w:rPr>
      </w:pPr>
      <w:r>
        <w:rPr>
          <w:bCs/>
          <w:sz w:val="24"/>
        </w:rPr>
        <w:t>Topic for writing:</w:t>
      </w:r>
    </w:p>
    <w:p w:rsidR="003717A0" w:rsidRDefault="003717A0">
      <w:pPr>
        <w:jc w:val="center"/>
        <w:rPr>
          <w:bCs/>
          <w:sz w:val="24"/>
        </w:rPr>
      </w:pPr>
      <w:r>
        <w:rPr>
          <w:bCs/>
          <w:sz w:val="24"/>
        </w:rPr>
        <w:t xml:space="preserve">Directions: You are allowed 30 minutes to write a composition with on the following topic:  </w:t>
      </w:r>
    </w:p>
    <w:p w:rsidR="003717A0" w:rsidRDefault="003717A0">
      <w:pPr>
        <w:jc w:val="center"/>
        <w:rPr>
          <w:bCs/>
          <w:sz w:val="24"/>
        </w:rPr>
      </w:pPr>
      <w:r>
        <w:rPr>
          <w:bCs/>
          <w:sz w:val="24"/>
        </w:rPr>
        <w:t>Diagnoses of the Problem with the College Student</w:t>
      </w:r>
    </w:p>
    <w:p w:rsidR="003717A0" w:rsidRDefault="003717A0">
      <w:pPr>
        <w:rPr>
          <w:bCs/>
          <w:sz w:val="24"/>
        </w:rPr>
      </w:pPr>
      <w:r>
        <w:rPr>
          <w:bCs/>
          <w:sz w:val="24"/>
        </w:rPr>
        <w:t xml:space="preserve">1)   </w:t>
      </w:r>
      <w:r>
        <w:rPr>
          <w:rFonts w:hint="eastAsia"/>
          <w:bCs/>
          <w:sz w:val="24"/>
        </w:rPr>
        <w:t>我国大学生中存在的主要问题是</w:t>
      </w:r>
      <w:r>
        <w:rPr>
          <w:bCs/>
          <w:sz w:val="24"/>
        </w:rPr>
        <w:t xml:space="preserve">······    </w:t>
      </w:r>
    </w:p>
    <w:p w:rsidR="003717A0" w:rsidRDefault="003717A0">
      <w:pPr>
        <w:rPr>
          <w:bCs/>
          <w:sz w:val="24"/>
        </w:rPr>
      </w:pPr>
      <w:r>
        <w:rPr>
          <w:bCs/>
          <w:sz w:val="24"/>
        </w:rPr>
        <w:t xml:space="preserve">2)   </w:t>
      </w:r>
      <w:r>
        <w:rPr>
          <w:rFonts w:hint="eastAsia"/>
          <w:bCs/>
          <w:sz w:val="24"/>
        </w:rPr>
        <w:t>根据问题的特征说明其成因。</w:t>
      </w:r>
    </w:p>
    <w:p w:rsidR="003717A0" w:rsidRDefault="003717A0">
      <w:pPr>
        <w:rPr>
          <w:bCs/>
          <w:sz w:val="24"/>
        </w:rPr>
      </w:pPr>
      <w:r>
        <w:rPr>
          <w:bCs/>
          <w:sz w:val="24"/>
        </w:rPr>
        <w:t xml:space="preserve">3)   </w:t>
      </w:r>
      <w:r>
        <w:rPr>
          <w:rFonts w:hint="eastAsia"/>
          <w:bCs/>
          <w:sz w:val="24"/>
        </w:rPr>
        <w:t>你认为该如何解决相应的问题。</w:t>
      </w:r>
    </w:p>
    <w:p w:rsidR="003717A0" w:rsidRDefault="003717A0">
      <w:pPr>
        <w:rPr>
          <w:sz w:val="24"/>
        </w:rPr>
      </w:pPr>
    </w:p>
    <w:p w:rsidR="003717A0" w:rsidRDefault="003717A0">
      <w:pPr>
        <w:snapToGrid w:val="0"/>
        <w:ind w:firstLineChars="1100" w:firstLine="2640"/>
        <w:rPr>
          <w:bCs/>
          <w:sz w:val="24"/>
        </w:rPr>
      </w:pP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rPr>
          <w:bCs/>
          <w:sz w:val="24"/>
        </w:rPr>
      </w:pPr>
    </w:p>
    <w:p w:rsidR="003717A0" w:rsidRDefault="003717A0">
      <w:pPr>
        <w:rPr>
          <w:rFonts w:ascii="仿宋" w:eastAsia="仿宋" w:hAnsi="仿宋"/>
          <w:b/>
          <w:bCs/>
          <w:sz w:val="28"/>
          <w:szCs w:val="28"/>
        </w:rPr>
      </w:pPr>
      <w:r>
        <w:rPr>
          <w:rFonts w:ascii="仿宋" w:eastAsia="仿宋" w:hAnsi="仿宋" w:hint="eastAsia"/>
          <w:b/>
          <w:bCs/>
          <w:sz w:val="28"/>
          <w:szCs w:val="28"/>
        </w:rPr>
        <w:lastRenderedPageBreak/>
        <w:t>针对已经通过四级考试的学生：</w:t>
      </w:r>
    </w:p>
    <w:p w:rsidR="003717A0" w:rsidRDefault="003717A0" w:rsidP="00F5156D">
      <w:pPr>
        <w:jc w:val="center"/>
        <w:rPr>
          <w:rFonts w:eastAsia="黑体"/>
          <w:sz w:val="32"/>
          <w:szCs w:val="32"/>
        </w:rPr>
      </w:pPr>
      <w:r>
        <w:rPr>
          <w:rFonts w:eastAsia="黑体" w:hint="eastAsia"/>
          <w:sz w:val="32"/>
          <w:szCs w:val="32"/>
        </w:rPr>
        <w:t>《基础学术英语（医学类）》课程教学大纲</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课程性质：选修</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学时：</w:t>
      </w:r>
      <w:r>
        <w:rPr>
          <w:rFonts w:ascii="宋体" w:hAnsi="宋体" w:cs="宋体"/>
          <w:kern w:val="0"/>
          <w:szCs w:val="21"/>
        </w:rPr>
        <w:t xml:space="preserve">32      </w:t>
      </w:r>
      <w:r>
        <w:rPr>
          <w:rFonts w:ascii="宋体" w:hAnsi="宋体" w:cs="宋体" w:hint="eastAsia"/>
          <w:kern w:val="0"/>
          <w:szCs w:val="21"/>
        </w:rPr>
        <w:t>学分：</w:t>
      </w:r>
      <w:r>
        <w:rPr>
          <w:rFonts w:ascii="宋体" w:hAnsi="宋体" w:cs="宋体"/>
          <w:kern w:val="0"/>
          <w:szCs w:val="21"/>
        </w:rPr>
        <w:t xml:space="preserve"> 3</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开课学期：第</w:t>
      </w:r>
      <w:r>
        <w:rPr>
          <w:rFonts w:ascii="宋体" w:hAnsi="宋体" w:cs="宋体"/>
          <w:kern w:val="0"/>
          <w:szCs w:val="21"/>
        </w:rPr>
        <w:t>4</w:t>
      </w:r>
      <w:r>
        <w:rPr>
          <w:rFonts w:ascii="宋体" w:hAnsi="宋体" w:cs="宋体" w:hint="eastAsia"/>
          <w:kern w:val="0"/>
          <w:szCs w:val="21"/>
        </w:rPr>
        <w:t>学期</w:t>
      </w:r>
      <w:r>
        <w:rPr>
          <w:rFonts w:ascii="宋体" w:cs="宋体"/>
          <w:kern w:val="0"/>
          <w:szCs w:val="21"/>
        </w:rPr>
        <w:t> </w:t>
      </w:r>
      <w:r>
        <w:rPr>
          <w:rFonts w:ascii="宋体" w:hAnsi="宋体" w:cs="宋体"/>
          <w:kern w:val="0"/>
          <w:szCs w:val="21"/>
        </w:rPr>
        <w:t xml:space="preserve">    </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适用专业：医学临床及相关专业</w:t>
      </w: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一、课程的地位与作用</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医学英语（</w:t>
      </w:r>
      <w:r>
        <w:rPr>
          <w:rFonts w:ascii="宋体" w:hAnsi="宋体" w:cs="宋体"/>
          <w:kern w:val="0"/>
          <w:szCs w:val="21"/>
        </w:rPr>
        <w:t>EGAP</w:t>
      </w:r>
      <w:r>
        <w:rPr>
          <w:rFonts w:ascii="宋体" w:hAnsi="宋体" w:cs="宋体" w:hint="eastAsia"/>
          <w:kern w:val="0"/>
          <w:szCs w:val="21"/>
        </w:rPr>
        <w:t>）是大学英语课程体系中的选修课，旨在帮助学生初步接触医学专业领域热门话题，使语言教学与专业知识紧密结合，培养基本的专业思维模式，帮助学生有效得体地使用英语进行专业学习，使学生初步具有使用英语进行学术交流的能力，帮助学生从大一大学英语基础语言技能的学习顺利过渡到大三大四专业医学英语和医学专业其他科目的学习。</w:t>
      </w: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二、教学目标与要求</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启发学生在大学阶段的学习自主性、分析思考的能动性、和在知识积累基础上的创造性。以医学专业英语的学习为切入点，深化语言学习与专业知识技术的内涵关联，提升学习语言的实效和在真实世界中的应用能力。以英语为语言载体，向学生介绍入门级浅易专业知识，培养学生对本专业深入研究的兴趣。同时，在提高学生语言能力的基础上，</w:t>
      </w:r>
      <w:r>
        <w:rPr>
          <w:rFonts w:ascii="宋体" w:hAnsi="宋体" w:cs="宋体"/>
          <w:kern w:val="0"/>
          <w:szCs w:val="21"/>
        </w:rPr>
        <w:t xml:space="preserve"> </w:t>
      </w:r>
      <w:r>
        <w:rPr>
          <w:rFonts w:ascii="宋体" w:hAnsi="宋体" w:cs="宋体" w:hint="eastAsia"/>
          <w:kern w:val="0"/>
          <w:szCs w:val="21"/>
        </w:rPr>
        <w:t>提高医学专业学生的专业观察能力、专业思索能力、专业表达能力和专业探索能力。</w:t>
      </w: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三、课程学时分配</w:t>
      </w:r>
    </w:p>
    <w:tbl>
      <w:tblPr>
        <w:tblW w:w="7680" w:type="dxa"/>
        <w:tblCellSpacing w:w="0" w:type="dxa"/>
        <w:tblInd w:w="-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394"/>
        <w:gridCol w:w="5756"/>
        <w:gridCol w:w="510"/>
        <w:gridCol w:w="510"/>
        <w:gridCol w:w="510"/>
      </w:tblGrid>
      <w:tr w:rsidR="003717A0">
        <w:trPr>
          <w:tblCellSpacing w:w="0" w:type="dxa"/>
        </w:trPr>
        <w:tc>
          <w:tcPr>
            <w:tcW w:w="6150" w:type="dxa"/>
            <w:gridSpan w:val="2"/>
            <w:vMerge w:val="restart"/>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讲</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课</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内</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容</w:t>
            </w:r>
          </w:p>
        </w:tc>
        <w:tc>
          <w:tcPr>
            <w:tcW w:w="1530" w:type="dxa"/>
            <w:gridSpan w:val="3"/>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学</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时</w:t>
            </w:r>
          </w:p>
        </w:tc>
      </w:tr>
      <w:tr w:rsidR="003717A0">
        <w:trPr>
          <w:tblCellSpacing w:w="0" w:type="dxa"/>
        </w:trPr>
        <w:tc>
          <w:tcPr>
            <w:tcW w:w="6150" w:type="dxa"/>
            <w:gridSpan w:val="2"/>
            <w:vMerge/>
            <w:tcBorders>
              <w:top w:val="outset" w:sz="6" w:space="0" w:color="auto"/>
              <w:bottom w:val="outset" w:sz="6" w:space="0" w:color="auto"/>
              <w:right w:val="outset" w:sz="6" w:space="0" w:color="auto"/>
            </w:tcBorders>
            <w:vAlign w:val="center"/>
          </w:tcPr>
          <w:p w:rsidR="003717A0" w:rsidRDefault="003717A0">
            <w:pPr>
              <w:widowControl/>
              <w:jc w:val="left"/>
              <w:rPr>
                <w:rFonts w:ascii="宋体" w:cs="宋体"/>
                <w:kern w:val="0"/>
                <w:szCs w:val="21"/>
              </w:rPr>
            </w:pP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讲课</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实验</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上机</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1</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第一单元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心理健康</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2</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第二单元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心脑血管保健</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第三单元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人体骨骼结构和作用</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第四单元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肿瘤分类探索</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5</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第五单元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内分泌疾病新知</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6</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第六单元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皮肤病</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7</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第七单元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呼吸系统疾病</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r w:rsidR="003717A0">
        <w:trPr>
          <w:tblCellSpacing w:w="0" w:type="dxa"/>
        </w:trPr>
        <w:tc>
          <w:tcPr>
            <w:tcW w:w="394" w:type="dxa"/>
            <w:tcBorders>
              <w:top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8</w:t>
            </w:r>
          </w:p>
        </w:tc>
        <w:tc>
          <w:tcPr>
            <w:tcW w:w="5756"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第八单元</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消化系统疾病探讨</w:t>
            </w:r>
          </w:p>
        </w:tc>
        <w:tc>
          <w:tcPr>
            <w:tcW w:w="510" w:type="dxa"/>
            <w:tcBorders>
              <w:top w:val="outset" w:sz="6" w:space="0" w:color="auto"/>
              <w:left w:val="outset" w:sz="6" w:space="0" w:color="auto"/>
              <w:bottom w:val="outset" w:sz="6" w:space="0" w:color="auto"/>
              <w:right w:val="outset" w:sz="6" w:space="0" w:color="auto"/>
            </w:tcBorders>
            <w:vAlign w:val="center"/>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4</w:t>
            </w:r>
          </w:p>
        </w:tc>
        <w:tc>
          <w:tcPr>
            <w:tcW w:w="510" w:type="dxa"/>
            <w:tcBorders>
              <w:top w:val="outset" w:sz="6" w:space="0" w:color="auto"/>
              <w:left w:val="outset" w:sz="6" w:space="0" w:color="auto"/>
              <w:bottom w:val="outset" w:sz="6" w:space="0" w:color="auto"/>
              <w:right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p>
        </w:tc>
        <w:tc>
          <w:tcPr>
            <w:tcW w:w="510" w:type="dxa"/>
            <w:tcBorders>
              <w:top w:val="outset" w:sz="6" w:space="0" w:color="auto"/>
              <w:left w:val="outset" w:sz="6" w:space="0" w:color="auto"/>
              <w:bottom w:val="outset" w:sz="6" w:space="0" w:color="auto"/>
            </w:tcBorders>
          </w:tcPr>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3</w:t>
            </w:r>
          </w:p>
        </w:tc>
      </w:tr>
    </w:tbl>
    <w:p w:rsidR="003717A0" w:rsidRDefault="003717A0">
      <w:pPr>
        <w:widowControl/>
        <w:spacing w:before="100" w:beforeAutospacing="1" w:after="100" w:afterAutospacing="1"/>
        <w:jc w:val="left"/>
        <w:rPr>
          <w:rFonts w:ascii="宋体" w:cs="宋体"/>
          <w:kern w:val="0"/>
          <w:szCs w:val="21"/>
        </w:rPr>
      </w:pP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四、课程习</w:t>
      </w:r>
      <w:r>
        <w:rPr>
          <w:rFonts w:ascii="宋体" w:hAnsi="宋体" w:cs="宋体"/>
          <w:b/>
          <w:kern w:val="0"/>
          <w:szCs w:val="21"/>
        </w:rPr>
        <w:t>1</w:t>
      </w:r>
      <w:r>
        <w:rPr>
          <w:rFonts w:ascii="宋体" w:hAnsi="宋体" w:cs="宋体" w:hint="eastAsia"/>
          <w:b/>
          <w:kern w:val="0"/>
          <w:szCs w:val="21"/>
        </w:rPr>
        <w:t>题课（讨论课）的要求</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lastRenderedPageBreak/>
        <w:t>以理论讲述和课堂讨论为主，网络平台提供背景知识供学生自主学习为辅，帮助学生形成在医学专业方向上的学术思维模式。</w:t>
      </w: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五、教学方法及手段（含现代化教学手段）</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多媒体教学方式结合传统教学方式进行基础语言知识教学</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课堂讨论拓展专业思维</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学生课堂陈述练习专业医学讨论常用口语</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课后自主学习增强专业阅读能力，强化对基础知识的理解与掌握</w:t>
      </w: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六、课程考核方式</w:t>
      </w:r>
    </w:p>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1</w:t>
      </w:r>
      <w:r>
        <w:rPr>
          <w:rFonts w:ascii="宋体" w:hAnsi="宋体" w:cs="宋体" w:hint="eastAsia"/>
          <w:kern w:val="0"/>
          <w:szCs w:val="21"/>
        </w:rPr>
        <w:t>、考核方式</w:t>
      </w:r>
    </w:p>
    <w:p w:rsidR="003717A0" w:rsidRDefault="003717A0">
      <w:pPr>
        <w:widowControl/>
        <w:spacing w:before="100" w:beforeAutospacing="1" w:after="100" w:afterAutospacing="1"/>
        <w:ind w:firstLineChars="200" w:firstLine="420"/>
        <w:jc w:val="left"/>
        <w:rPr>
          <w:rFonts w:ascii="宋体" w:cs="宋体"/>
          <w:kern w:val="0"/>
          <w:szCs w:val="21"/>
        </w:rPr>
      </w:pPr>
      <w:r>
        <w:rPr>
          <w:rFonts w:ascii="宋体" w:hAnsi="宋体" w:cs="宋体" w:hint="eastAsia"/>
          <w:kern w:val="0"/>
          <w:szCs w:val="21"/>
        </w:rPr>
        <w:t>考查：每周网络自主学习时间统计、平时作业、课堂个人演示、课堂回答问题、课堂讨论、期末论文</w:t>
      </w:r>
    </w:p>
    <w:p w:rsidR="003717A0" w:rsidRDefault="003717A0">
      <w:pPr>
        <w:widowControl/>
        <w:spacing w:before="100" w:beforeAutospacing="1" w:after="100" w:afterAutospacing="1"/>
        <w:jc w:val="left"/>
        <w:rPr>
          <w:rFonts w:ascii="宋体" w:cs="宋体"/>
          <w:kern w:val="0"/>
          <w:szCs w:val="21"/>
        </w:rPr>
      </w:pPr>
      <w:r>
        <w:rPr>
          <w:rFonts w:ascii="宋体" w:hAnsi="宋体" w:cs="宋体"/>
          <w:kern w:val="0"/>
          <w:szCs w:val="21"/>
        </w:rPr>
        <w:t>2</w:t>
      </w:r>
      <w:r>
        <w:rPr>
          <w:rFonts w:ascii="宋体" w:hAnsi="宋体" w:cs="宋体" w:hint="eastAsia"/>
          <w:kern w:val="0"/>
          <w:szCs w:val="21"/>
        </w:rPr>
        <w:t>、成绩评定</w:t>
      </w:r>
    </w:p>
    <w:p w:rsidR="003717A0" w:rsidRDefault="003717A0">
      <w:pPr>
        <w:widowControl/>
        <w:spacing w:before="100" w:beforeAutospacing="1" w:after="100" w:afterAutospacing="1"/>
        <w:jc w:val="left"/>
        <w:rPr>
          <w:rFonts w:ascii="宋体" w:cs="宋体"/>
          <w:kern w:val="0"/>
          <w:szCs w:val="21"/>
        </w:rPr>
      </w:pP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由于本课程具有较强的应用性和网络操作性，所以课程考核采用形成性考核与终结性考试相结合的方式，其中形成性考核包括平时作业和每周网络平台自主学习时间</w:t>
      </w:r>
      <w:r>
        <w:rPr>
          <w:rFonts w:ascii="宋体" w:hAnsi="宋体" w:cs="宋体"/>
          <w:kern w:val="0"/>
          <w:szCs w:val="21"/>
        </w:rPr>
        <w:t>15%</w:t>
      </w:r>
      <w:r>
        <w:rPr>
          <w:rFonts w:ascii="宋体" w:hAnsi="宋体" w:cs="宋体" w:hint="eastAsia"/>
          <w:kern w:val="0"/>
          <w:szCs w:val="21"/>
        </w:rPr>
        <w:t>，课堂个人演示</w:t>
      </w:r>
      <w:r>
        <w:rPr>
          <w:rFonts w:ascii="宋体" w:hAnsi="宋体" w:cs="宋体"/>
          <w:kern w:val="0"/>
          <w:szCs w:val="21"/>
        </w:rPr>
        <w:t>10%</w:t>
      </w:r>
      <w:r>
        <w:rPr>
          <w:rFonts w:ascii="宋体" w:hAnsi="宋体" w:cs="宋体" w:hint="eastAsia"/>
          <w:kern w:val="0"/>
          <w:szCs w:val="21"/>
        </w:rPr>
        <w:t>，包括课堂回答问题和小组讨论在内的课堂综合表现</w:t>
      </w:r>
      <w:r>
        <w:rPr>
          <w:rFonts w:ascii="宋体" w:hAnsi="宋体" w:cs="宋体"/>
          <w:kern w:val="0"/>
          <w:szCs w:val="21"/>
        </w:rPr>
        <w:t>10%</w:t>
      </w:r>
      <w:r>
        <w:rPr>
          <w:rFonts w:ascii="宋体" w:hAnsi="宋体" w:cs="宋体" w:hint="eastAsia"/>
          <w:kern w:val="0"/>
          <w:szCs w:val="21"/>
        </w:rPr>
        <w:t>，论文片段写作</w:t>
      </w:r>
      <w:r>
        <w:rPr>
          <w:rFonts w:ascii="宋体" w:hAnsi="宋体" w:cs="宋体"/>
          <w:kern w:val="0"/>
          <w:szCs w:val="21"/>
        </w:rPr>
        <w:t>15%</w:t>
      </w:r>
      <w:r>
        <w:rPr>
          <w:rFonts w:ascii="宋体" w:hAnsi="宋体" w:cs="宋体" w:hint="eastAsia"/>
          <w:kern w:val="0"/>
          <w:szCs w:val="21"/>
        </w:rPr>
        <w:t>；终结性考试为期末试卷形式包括：听力，阅读，翻译，文章综述写作，共占课程总成绩的</w:t>
      </w:r>
      <w:r>
        <w:rPr>
          <w:rFonts w:ascii="宋体" w:hAnsi="宋体" w:cs="宋体"/>
          <w:kern w:val="0"/>
          <w:szCs w:val="21"/>
        </w:rPr>
        <w:t>50%</w:t>
      </w:r>
      <w:r>
        <w:rPr>
          <w:rFonts w:ascii="宋体" w:hAnsi="宋体" w:cs="宋体" w:hint="eastAsia"/>
          <w:kern w:val="0"/>
          <w:szCs w:val="21"/>
        </w:rPr>
        <w:t>。</w:t>
      </w:r>
    </w:p>
    <w:p w:rsidR="003717A0" w:rsidRDefault="003717A0">
      <w:pPr>
        <w:widowControl/>
        <w:spacing w:before="100" w:beforeAutospacing="1" w:after="100" w:afterAutospacing="1"/>
        <w:jc w:val="left"/>
        <w:rPr>
          <w:rFonts w:ascii="宋体" w:cs="宋体"/>
          <w:b/>
          <w:kern w:val="0"/>
          <w:szCs w:val="21"/>
        </w:rPr>
      </w:pPr>
      <w:r>
        <w:rPr>
          <w:rFonts w:ascii="宋体" w:hAnsi="宋体" w:cs="宋体" w:hint="eastAsia"/>
          <w:b/>
          <w:kern w:val="0"/>
          <w:szCs w:val="21"/>
        </w:rPr>
        <w:t>七、课程主要参考书</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《学术英语（医学）》</w:t>
      </w:r>
      <w:r>
        <w:rPr>
          <w:rFonts w:ascii="宋体" w:hAnsi="宋体" w:cs="宋体"/>
          <w:kern w:val="0"/>
          <w:szCs w:val="21"/>
        </w:rPr>
        <w:t xml:space="preserve"> </w:t>
      </w:r>
      <w:r>
        <w:rPr>
          <w:rFonts w:ascii="宋体" w:hAnsi="宋体" w:cs="宋体" w:hint="eastAsia"/>
          <w:kern w:val="0"/>
          <w:szCs w:val="21"/>
        </w:rPr>
        <w:t>季佩英、孙庆祥主编，外语教学与研究出版社</w:t>
      </w:r>
      <w:r>
        <w:rPr>
          <w:rFonts w:ascii="Verdana" w:hAnsi="Verdana" w:cs="宋体"/>
          <w:kern w:val="0"/>
          <w:szCs w:val="21"/>
        </w:rPr>
        <w:t> </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《医学英语词汇学习手册》，郭莉萍主编</w:t>
      </w:r>
      <w:r>
        <w:rPr>
          <w:rFonts w:ascii="宋体" w:hAnsi="宋体" w:cs="宋体"/>
          <w:kern w:val="0"/>
          <w:szCs w:val="21"/>
        </w:rPr>
        <w:t xml:space="preserve"> </w:t>
      </w:r>
      <w:r>
        <w:rPr>
          <w:rFonts w:ascii="宋体" w:hAnsi="宋体" w:cs="宋体" w:hint="eastAsia"/>
          <w:kern w:val="0"/>
          <w:szCs w:val="21"/>
        </w:rPr>
        <w:t>中国协和医科大学出版社</w:t>
      </w:r>
      <w:r>
        <w:rPr>
          <w:rFonts w:ascii="宋体" w:cs="宋体"/>
          <w:kern w:val="0"/>
          <w:szCs w:val="21"/>
        </w:rPr>
        <w:t>  </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《医学英语论文写作》，杨树隽、薛廷民</w:t>
      </w:r>
      <w:r>
        <w:rPr>
          <w:rFonts w:ascii="宋体" w:hAnsi="宋体" w:cs="宋体"/>
          <w:kern w:val="0"/>
          <w:szCs w:val="21"/>
        </w:rPr>
        <w:t xml:space="preserve"> </w:t>
      </w:r>
      <w:r>
        <w:rPr>
          <w:rFonts w:ascii="宋体" w:hAnsi="宋体" w:cs="宋体" w:hint="eastAsia"/>
          <w:kern w:val="0"/>
          <w:szCs w:val="21"/>
        </w:rPr>
        <w:t>编著，人民军医出版社</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《医学英语文献阅读一》，辛铜川</w:t>
      </w:r>
      <w:r>
        <w:rPr>
          <w:rFonts w:ascii="宋体" w:hAnsi="宋体" w:cs="宋体"/>
          <w:kern w:val="0"/>
          <w:szCs w:val="21"/>
        </w:rPr>
        <w:t xml:space="preserve"> </w:t>
      </w:r>
      <w:r>
        <w:rPr>
          <w:rFonts w:ascii="宋体" w:hAnsi="宋体" w:cs="宋体" w:hint="eastAsia"/>
          <w:kern w:val="0"/>
          <w:szCs w:val="21"/>
        </w:rPr>
        <w:t>主编，世界图书出版社</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《医学英语文献阅读二》，</w:t>
      </w:r>
      <w:r>
        <w:rPr>
          <w:rFonts w:ascii="宋体" w:hAnsi="宋体" w:cs="宋体"/>
          <w:kern w:val="0"/>
          <w:szCs w:val="21"/>
        </w:rPr>
        <w:t xml:space="preserve"> </w:t>
      </w:r>
      <w:r>
        <w:rPr>
          <w:rFonts w:ascii="宋体" w:hAnsi="宋体" w:cs="宋体" w:hint="eastAsia"/>
          <w:kern w:val="0"/>
          <w:szCs w:val="21"/>
        </w:rPr>
        <w:t>曹素贞</w:t>
      </w:r>
      <w:r>
        <w:rPr>
          <w:rFonts w:ascii="宋体" w:hAnsi="宋体" w:cs="宋体"/>
          <w:kern w:val="0"/>
          <w:szCs w:val="21"/>
        </w:rPr>
        <w:t xml:space="preserve"> </w:t>
      </w:r>
      <w:r>
        <w:rPr>
          <w:rFonts w:ascii="宋体" w:hAnsi="宋体" w:cs="宋体" w:hint="eastAsia"/>
          <w:kern w:val="0"/>
          <w:szCs w:val="21"/>
        </w:rPr>
        <w:t>主编，世界图书出版社</w:t>
      </w:r>
    </w:p>
    <w:p w:rsidR="003717A0" w:rsidRDefault="003717A0">
      <w:pPr>
        <w:widowControl/>
        <w:spacing w:before="100" w:beforeAutospacing="1" w:after="100" w:afterAutospacing="1"/>
        <w:jc w:val="left"/>
        <w:rPr>
          <w:rFonts w:ascii="宋体" w:cs="宋体"/>
          <w:kern w:val="0"/>
          <w:szCs w:val="21"/>
        </w:rPr>
      </w:pPr>
      <w:r>
        <w:rPr>
          <w:rFonts w:ascii="宋体" w:hAnsi="宋体" w:cs="宋体" w:hint="eastAsia"/>
          <w:kern w:val="0"/>
          <w:szCs w:val="21"/>
        </w:rPr>
        <w:t>《医学英语阅读教程》，戴月兰、高丽</w:t>
      </w:r>
      <w:r>
        <w:rPr>
          <w:rFonts w:ascii="宋体" w:hAnsi="宋体" w:cs="宋体"/>
          <w:kern w:val="0"/>
          <w:szCs w:val="21"/>
        </w:rPr>
        <w:t xml:space="preserve"> </w:t>
      </w:r>
      <w:r>
        <w:rPr>
          <w:rFonts w:ascii="宋体" w:hAnsi="宋体" w:cs="宋体" w:hint="eastAsia"/>
          <w:kern w:val="0"/>
          <w:szCs w:val="21"/>
        </w:rPr>
        <w:t>主编，南京大学出版社</w:t>
      </w:r>
    </w:p>
    <w:p w:rsidR="003717A0" w:rsidRDefault="003717A0">
      <w:pPr>
        <w:widowControl/>
        <w:spacing w:before="100" w:beforeAutospacing="1" w:after="100" w:afterAutospacing="1"/>
        <w:jc w:val="left"/>
        <w:rPr>
          <w:rFonts w:ascii="宋体" w:cs="宋体"/>
          <w:kern w:val="0"/>
          <w:sz w:val="24"/>
        </w:rPr>
      </w:pPr>
      <w:r>
        <w:rPr>
          <w:rFonts w:ascii="宋体" w:hAnsi="宋体" w:cs="宋体" w:hint="eastAsia"/>
          <w:kern w:val="0"/>
          <w:szCs w:val="21"/>
        </w:rPr>
        <w:t>《人与世界</w:t>
      </w:r>
      <w:r>
        <w:rPr>
          <w:rFonts w:ascii="宋体" w:hAnsi="宋体" w:cs="宋体"/>
          <w:kern w:val="0"/>
          <w:szCs w:val="21"/>
        </w:rPr>
        <w:t>——</w:t>
      </w:r>
      <w:r>
        <w:rPr>
          <w:rFonts w:ascii="宋体" w:hAnsi="宋体" w:cs="宋体" w:hint="eastAsia"/>
          <w:kern w:val="0"/>
          <w:szCs w:val="21"/>
        </w:rPr>
        <w:t>医学英语阅读教程》，张大纲、薛雯</w:t>
      </w:r>
      <w:r>
        <w:rPr>
          <w:rFonts w:ascii="宋体" w:hAnsi="宋体" w:cs="宋体"/>
          <w:kern w:val="0"/>
          <w:szCs w:val="21"/>
        </w:rPr>
        <w:t xml:space="preserve"> </w:t>
      </w:r>
      <w:r>
        <w:rPr>
          <w:rFonts w:ascii="宋体" w:hAnsi="宋体" w:cs="宋体" w:hint="eastAsia"/>
          <w:kern w:val="0"/>
          <w:szCs w:val="21"/>
        </w:rPr>
        <w:t>主编，中国协和医科大学出版社</w:t>
      </w:r>
      <w:r>
        <w:rPr>
          <w:rFonts w:ascii="宋体" w:cs="宋体"/>
          <w:kern w:val="0"/>
          <w:szCs w:val="21"/>
        </w:rPr>
        <w:t> </w:t>
      </w:r>
      <w:r>
        <w:rPr>
          <w:rFonts w:ascii="宋体" w:cs="宋体"/>
          <w:kern w:val="0"/>
          <w:sz w:val="24"/>
        </w:rPr>
        <w:t>          </w:t>
      </w:r>
    </w:p>
    <w:p w:rsidR="003717A0" w:rsidRDefault="003717A0">
      <w:pPr>
        <w:rPr>
          <w:rFonts w:eastAsia="黑体"/>
          <w:sz w:val="32"/>
          <w:szCs w:val="32"/>
        </w:rPr>
      </w:pPr>
      <w:r>
        <w:rPr>
          <w:rFonts w:eastAsia="黑体" w:hint="eastAsia"/>
          <w:sz w:val="32"/>
          <w:szCs w:val="32"/>
        </w:rPr>
        <w:t>《基础学术英语（人文社科类）》课程教学大纲</w:t>
      </w:r>
    </w:p>
    <w:p w:rsidR="003717A0" w:rsidRDefault="003717A0">
      <w:pPr>
        <w:ind w:firstLineChars="300" w:firstLine="964"/>
        <w:rPr>
          <w:b/>
          <w:sz w:val="32"/>
          <w:szCs w:val="32"/>
        </w:rPr>
      </w:pPr>
    </w:p>
    <w:p w:rsidR="003717A0" w:rsidRDefault="003717A0">
      <w:pPr>
        <w:rPr>
          <w:szCs w:val="21"/>
        </w:rPr>
      </w:pPr>
      <w:r>
        <w:rPr>
          <w:rFonts w:hint="eastAsia"/>
          <w:b/>
          <w:szCs w:val="21"/>
        </w:rPr>
        <w:lastRenderedPageBreak/>
        <w:t>课程类别</w:t>
      </w:r>
      <w:r>
        <w:rPr>
          <w:rFonts w:hint="eastAsia"/>
          <w:szCs w:val="21"/>
        </w:rPr>
        <w:t>：专业基础课程</w:t>
      </w:r>
    </w:p>
    <w:p w:rsidR="003717A0" w:rsidRDefault="003717A0">
      <w:pPr>
        <w:rPr>
          <w:szCs w:val="21"/>
        </w:rPr>
      </w:pPr>
      <w:r>
        <w:rPr>
          <w:rFonts w:hint="eastAsia"/>
          <w:b/>
          <w:szCs w:val="21"/>
        </w:rPr>
        <w:t>授课对象</w:t>
      </w:r>
      <w:r>
        <w:rPr>
          <w:rFonts w:hint="eastAsia"/>
          <w:szCs w:val="21"/>
        </w:rPr>
        <w:t>：人文社科专业学生</w:t>
      </w:r>
    </w:p>
    <w:p w:rsidR="003717A0" w:rsidRDefault="003717A0">
      <w:pPr>
        <w:rPr>
          <w:szCs w:val="21"/>
        </w:rPr>
      </w:pPr>
      <w:r>
        <w:rPr>
          <w:rFonts w:hint="eastAsia"/>
          <w:b/>
          <w:szCs w:val="21"/>
        </w:rPr>
        <w:t>开课学期：</w:t>
      </w:r>
      <w:r>
        <w:rPr>
          <w:rFonts w:hint="eastAsia"/>
          <w:szCs w:val="21"/>
        </w:rPr>
        <w:t>第</w:t>
      </w:r>
      <w:r>
        <w:rPr>
          <w:szCs w:val="21"/>
        </w:rPr>
        <w:t>4</w:t>
      </w:r>
      <w:r>
        <w:rPr>
          <w:rFonts w:hint="eastAsia"/>
          <w:szCs w:val="21"/>
        </w:rPr>
        <w:t>学期</w:t>
      </w:r>
    </w:p>
    <w:p w:rsidR="003717A0" w:rsidRDefault="003717A0">
      <w:pPr>
        <w:rPr>
          <w:szCs w:val="21"/>
        </w:rPr>
      </w:pPr>
      <w:r>
        <w:rPr>
          <w:rFonts w:hint="eastAsia"/>
          <w:b/>
          <w:szCs w:val="21"/>
        </w:rPr>
        <w:t>学</w:t>
      </w:r>
      <w:r>
        <w:rPr>
          <w:b/>
          <w:szCs w:val="21"/>
        </w:rPr>
        <w:t xml:space="preserve">    </w:t>
      </w:r>
      <w:r>
        <w:rPr>
          <w:rFonts w:hint="eastAsia"/>
          <w:b/>
          <w:szCs w:val="21"/>
        </w:rPr>
        <w:t>分：</w:t>
      </w:r>
      <w:r>
        <w:rPr>
          <w:szCs w:val="21"/>
        </w:rPr>
        <w:t>3</w:t>
      </w:r>
      <w:r>
        <w:rPr>
          <w:rFonts w:hint="eastAsia"/>
          <w:szCs w:val="21"/>
        </w:rPr>
        <w:t>学分</w:t>
      </w:r>
    </w:p>
    <w:p w:rsidR="003717A0" w:rsidRDefault="003717A0">
      <w:pPr>
        <w:snapToGrid w:val="0"/>
      </w:pPr>
    </w:p>
    <w:p w:rsidR="003717A0" w:rsidRDefault="003717A0">
      <w:pPr>
        <w:snapToGrid w:val="0"/>
        <w:rPr>
          <w:b/>
          <w:szCs w:val="21"/>
        </w:rPr>
      </w:pPr>
      <w:r>
        <w:rPr>
          <w:rFonts w:hint="eastAsia"/>
          <w:b/>
          <w:szCs w:val="21"/>
        </w:rPr>
        <w:t>一、教学目的</w:t>
      </w:r>
    </w:p>
    <w:p w:rsidR="003717A0" w:rsidRDefault="003717A0">
      <w:pPr>
        <w:ind w:left="420" w:firstLine="420"/>
        <w:rPr>
          <w:bCs/>
          <w:szCs w:val="21"/>
        </w:rPr>
      </w:pPr>
      <w:r>
        <w:rPr>
          <w:rFonts w:hint="eastAsia"/>
          <w:szCs w:val="21"/>
        </w:rPr>
        <w:t>本课程高校专门用途英语系列教材之一，是针对新时期大学英语发展方向和新形势下我国人才培养目标对高等教育的要求而开发，以教育部《普通高等学校本科专业目录》的学科建设为基础，结合专家、学者、教师对专门用途英语教学的理论与实践研究成果，根据院校实际教学情况综合考虑而编写的一套教材。该教材旨在将大学英语教学与学生所学专业相结合，提高大学生的学术英语能力及专业英语水平，为学生毕业后直接使用英语从事专业工作，或继续深造学习、进行学术研究以及参加学术活动打下坚实基础。学术英语教材包括两大类，及学术提升类和专业拓展类。针对南通大学学生能力水平和大学英语教学的具体情况，我们开设的学术英语课的类别是学术提升类。学术提升类教材以“用中学（</w:t>
      </w:r>
      <w:r>
        <w:rPr>
          <w:szCs w:val="21"/>
        </w:rPr>
        <w:t>learning by doing</w:t>
      </w:r>
      <w:r>
        <w:rPr>
          <w:rFonts w:hint="eastAsia"/>
          <w:szCs w:val="21"/>
        </w:rPr>
        <w:t>）”的教学理念为指导思想，以大学科概念为划分基础，旨在帮助学生夯实语言技能，提升学术能力（</w:t>
      </w:r>
      <w:r>
        <w:rPr>
          <w:szCs w:val="21"/>
        </w:rPr>
        <w:t>academic skills</w:t>
      </w:r>
      <w:r>
        <w:rPr>
          <w:rFonts w:hint="eastAsia"/>
          <w:szCs w:val="21"/>
        </w:rPr>
        <w:t>）</w:t>
      </w:r>
      <w:r>
        <w:rPr>
          <w:szCs w:val="21"/>
        </w:rPr>
        <w:t>,</w:t>
      </w:r>
      <w:r>
        <w:rPr>
          <w:rFonts w:hint="eastAsia"/>
          <w:szCs w:val="21"/>
        </w:rPr>
        <w:t>包括学术阅读、学术听力、学术写作和学术口语的能力，以及批判性思维能力和创新思维能力等。学术听力主要培养学生听专业学术发言、记笔记、整理笔记的能力；学术口语主要是培养参加学术讨论和进行学术发言时恰当、得体地使用英语的能力；学术写作主要是培养学生完成项目的过程中学会如何规范地撰写学术论文，包括学术规范写作、文献综述、研究方法、恰当引用、避免抄袭等。</w:t>
      </w:r>
      <w:r>
        <w:rPr>
          <w:rFonts w:hint="eastAsia"/>
          <w:bCs/>
          <w:szCs w:val="21"/>
        </w:rPr>
        <w:t>该课程旨在在大学英语基础课程学习的基础上，拓展文科专业学生的专业视野；培养和提高文科专业学生的学术听力、学术口语和学术写作，为文科学生的后续发展打好基础；实现英语工具性与人文性的统一，培养学生的人文精神；提高学生学以致用的能力。</w:t>
      </w:r>
    </w:p>
    <w:p w:rsidR="003717A0" w:rsidRDefault="003717A0">
      <w:pPr>
        <w:ind w:firstLineChars="200" w:firstLine="420"/>
        <w:rPr>
          <w:szCs w:val="21"/>
        </w:rPr>
      </w:pPr>
    </w:p>
    <w:p w:rsidR="003717A0" w:rsidRDefault="003717A0">
      <w:pPr>
        <w:rPr>
          <w:szCs w:val="21"/>
        </w:rPr>
      </w:pPr>
      <w:r>
        <w:rPr>
          <w:szCs w:val="21"/>
        </w:rPr>
        <w:t xml:space="preserve"> </w:t>
      </w:r>
    </w:p>
    <w:p w:rsidR="003717A0" w:rsidRDefault="003717A0">
      <w:pPr>
        <w:rPr>
          <w:b/>
          <w:szCs w:val="21"/>
        </w:rPr>
      </w:pPr>
      <w:r>
        <w:rPr>
          <w:rFonts w:hint="eastAsia"/>
          <w:b/>
          <w:szCs w:val="21"/>
        </w:rPr>
        <w:t>二、课程特色</w:t>
      </w:r>
    </w:p>
    <w:p w:rsidR="003717A0" w:rsidRDefault="003717A0">
      <w:pPr>
        <w:ind w:firstLineChars="200" w:firstLine="420"/>
        <w:rPr>
          <w:szCs w:val="21"/>
        </w:rPr>
      </w:pPr>
      <w:r>
        <w:rPr>
          <w:rFonts w:hint="eastAsia"/>
          <w:szCs w:val="21"/>
        </w:rPr>
        <w:t>多视角的专业内容，丰富学生的文学、历史、文化、经济、社会、教育等方面的知识；输入与输出紧密结合，语言技能与专业知识兼顾，提高学生的学术综合能力；培养学生思辨能力，多样的听说读写与调查研究，培养学生自主学习、团队合作能力和探究精神。</w:t>
      </w:r>
    </w:p>
    <w:p w:rsidR="003717A0" w:rsidRDefault="003717A0">
      <w:pPr>
        <w:rPr>
          <w:szCs w:val="21"/>
        </w:rPr>
      </w:pPr>
    </w:p>
    <w:p w:rsidR="003717A0" w:rsidRDefault="003717A0">
      <w:pPr>
        <w:rPr>
          <w:b/>
          <w:szCs w:val="21"/>
        </w:rPr>
      </w:pPr>
      <w:r>
        <w:rPr>
          <w:rFonts w:hint="eastAsia"/>
          <w:b/>
          <w:szCs w:val="21"/>
        </w:rPr>
        <w:t>三、选修课的要求</w:t>
      </w:r>
    </w:p>
    <w:p w:rsidR="003717A0" w:rsidRDefault="003717A0">
      <w:pPr>
        <w:ind w:firstLineChars="200" w:firstLine="420"/>
        <w:rPr>
          <w:szCs w:val="21"/>
        </w:rPr>
      </w:pPr>
      <w:r>
        <w:rPr>
          <w:rFonts w:hint="eastAsia"/>
          <w:szCs w:val="21"/>
        </w:rPr>
        <w:t>大一、大二完成新视野大学英语的学习，通过大学英语四级，具备了一定的英文写作能力和实战基础。</w:t>
      </w:r>
    </w:p>
    <w:p w:rsidR="003717A0" w:rsidRDefault="003717A0">
      <w:pPr>
        <w:rPr>
          <w:szCs w:val="21"/>
        </w:rPr>
      </w:pPr>
    </w:p>
    <w:p w:rsidR="003717A0" w:rsidRDefault="003717A0">
      <w:pPr>
        <w:rPr>
          <w:b/>
          <w:szCs w:val="21"/>
        </w:rPr>
      </w:pPr>
      <w:r>
        <w:rPr>
          <w:rFonts w:hint="eastAsia"/>
          <w:b/>
          <w:szCs w:val="21"/>
        </w:rPr>
        <w:t>四、课程考核方式及成绩评定</w:t>
      </w:r>
    </w:p>
    <w:p w:rsidR="003717A0" w:rsidRDefault="003717A0">
      <w:pPr>
        <w:ind w:firstLineChars="150" w:firstLine="315"/>
        <w:rPr>
          <w:szCs w:val="21"/>
        </w:rPr>
      </w:pPr>
      <w:r>
        <w:rPr>
          <w:rFonts w:hint="eastAsia"/>
          <w:szCs w:val="21"/>
        </w:rPr>
        <w:t>本课程实行的是基于网络平台自主学习方式，课程考核采用形成性考核与终结性考试相结合。形成性考核包括平时作业和每周网络平台自主学习时间</w:t>
      </w:r>
      <w:r>
        <w:rPr>
          <w:szCs w:val="21"/>
        </w:rPr>
        <w:t>10%</w:t>
      </w:r>
      <w:r>
        <w:rPr>
          <w:rFonts w:hint="eastAsia"/>
          <w:szCs w:val="21"/>
        </w:rPr>
        <w:t>；课堂个人演示</w:t>
      </w:r>
      <w:r>
        <w:rPr>
          <w:szCs w:val="21"/>
        </w:rPr>
        <w:t>10%</w:t>
      </w:r>
      <w:r>
        <w:rPr>
          <w:rFonts w:hint="eastAsia"/>
          <w:szCs w:val="21"/>
        </w:rPr>
        <w:t>；课堂回答问题和小组讨论在内的课堂综合表现</w:t>
      </w:r>
      <w:r>
        <w:rPr>
          <w:szCs w:val="21"/>
        </w:rPr>
        <w:t>10%</w:t>
      </w:r>
      <w:r>
        <w:rPr>
          <w:rFonts w:hint="eastAsia"/>
          <w:szCs w:val="21"/>
        </w:rPr>
        <w:t>；论文片段写作</w:t>
      </w:r>
      <w:r>
        <w:rPr>
          <w:szCs w:val="21"/>
        </w:rPr>
        <w:t>20%</w:t>
      </w:r>
      <w:r>
        <w:rPr>
          <w:rFonts w:hint="eastAsia"/>
          <w:szCs w:val="21"/>
        </w:rPr>
        <w:t>；终结性考试为期末试卷形式，占课程总成绩的</w:t>
      </w:r>
      <w:r>
        <w:rPr>
          <w:szCs w:val="21"/>
        </w:rPr>
        <w:t>50%</w:t>
      </w:r>
      <w:r>
        <w:rPr>
          <w:rFonts w:hint="eastAsia"/>
          <w:szCs w:val="21"/>
        </w:rPr>
        <w:t>，考试内容涵盖听力，阅读，翻译，文章综述写作等。</w:t>
      </w:r>
    </w:p>
    <w:p w:rsidR="003717A0" w:rsidRDefault="003717A0">
      <w:pPr>
        <w:rPr>
          <w:szCs w:val="21"/>
        </w:rPr>
      </w:pPr>
    </w:p>
    <w:p w:rsidR="003717A0" w:rsidRDefault="003717A0">
      <w:pPr>
        <w:rPr>
          <w:b/>
          <w:szCs w:val="21"/>
        </w:rPr>
      </w:pPr>
      <w:r>
        <w:rPr>
          <w:rFonts w:hint="eastAsia"/>
          <w:b/>
          <w:szCs w:val="21"/>
        </w:rPr>
        <w:t>五、课程教学环节、内容及学时分配（每个主题</w:t>
      </w:r>
      <w:r>
        <w:rPr>
          <w:b/>
          <w:szCs w:val="21"/>
        </w:rPr>
        <w:t>3</w:t>
      </w:r>
      <w:r>
        <w:rPr>
          <w:rFonts w:hint="eastAsia"/>
          <w:b/>
          <w:szCs w:val="21"/>
        </w:rPr>
        <w:t>学时）</w:t>
      </w:r>
    </w:p>
    <w:p w:rsidR="003717A0" w:rsidRDefault="003717A0">
      <w:pPr>
        <w:rPr>
          <w:szCs w:val="21"/>
        </w:rPr>
      </w:pPr>
    </w:p>
    <w:p w:rsidR="003717A0" w:rsidRDefault="003717A0">
      <w:pPr>
        <w:rPr>
          <w:szCs w:val="21"/>
        </w:rPr>
      </w:pPr>
    </w:p>
    <w:p w:rsidR="003717A0" w:rsidRDefault="003717A0">
      <w:r>
        <w:rPr>
          <w:b/>
          <w:szCs w:val="21"/>
        </w:rPr>
        <w:t>Topic one</w:t>
      </w:r>
      <w:r>
        <w:t xml:space="preserve">     </w:t>
      </w:r>
      <w:r>
        <w:rPr>
          <w:rFonts w:hint="eastAsia"/>
        </w:rPr>
        <w:t>文学</w:t>
      </w:r>
      <w:r>
        <w:t>(</w:t>
      </w:r>
      <w:r>
        <w:rPr>
          <w:szCs w:val="21"/>
        </w:rPr>
        <w:t>The Art of Literature</w:t>
      </w:r>
      <w:r>
        <w:rPr>
          <w:rFonts w:hint="eastAsia"/>
          <w:szCs w:val="21"/>
        </w:rPr>
        <w:t>）</w:t>
      </w:r>
    </w:p>
    <w:p w:rsidR="003717A0" w:rsidRDefault="003717A0">
      <w:r>
        <w:rPr>
          <w:b/>
          <w:szCs w:val="21"/>
        </w:rPr>
        <w:t xml:space="preserve">Topic two </w:t>
      </w:r>
      <w:r>
        <w:t xml:space="preserve">    </w:t>
      </w:r>
      <w:r>
        <w:rPr>
          <w:rFonts w:hint="eastAsia"/>
        </w:rPr>
        <w:t>语言</w:t>
      </w:r>
      <w:r>
        <w:rPr>
          <w:rFonts w:hint="eastAsia"/>
          <w:szCs w:val="21"/>
        </w:rPr>
        <w:t>（</w:t>
      </w:r>
      <w:r>
        <w:rPr>
          <w:szCs w:val="21"/>
        </w:rPr>
        <w:t>Language</w:t>
      </w:r>
      <w:r>
        <w:rPr>
          <w:rFonts w:hint="eastAsia"/>
          <w:szCs w:val="21"/>
        </w:rPr>
        <w:t>）</w:t>
      </w:r>
    </w:p>
    <w:p w:rsidR="003717A0" w:rsidRDefault="003717A0">
      <w:r>
        <w:rPr>
          <w:b/>
          <w:szCs w:val="21"/>
        </w:rPr>
        <w:t xml:space="preserve">Topic three </w:t>
      </w:r>
      <w:r>
        <w:t xml:space="preserve">   </w:t>
      </w:r>
      <w:r>
        <w:rPr>
          <w:rFonts w:hint="eastAsia"/>
        </w:rPr>
        <w:t>历史</w:t>
      </w:r>
      <w:r>
        <w:rPr>
          <w:rFonts w:hint="eastAsia"/>
          <w:szCs w:val="21"/>
        </w:rPr>
        <w:t>（</w:t>
      </w:r>
      <w:r>
        <w:rPr>
          <w:szCs w:val="21"/>
        </w:rPr>
        <w:t>Studying History</w:t>
      </w:r>
      <w:r>
        <w:rPr>
          <w:rFonts w:hint="eastAsia"/>
          <w:szCs w:val="21"/>
        </w:rPr>
        <w:t>）</w:t>
      </w:r>
    </w:p>
    <w:p w:rsidR="003717A0" w:rsidRDefault="003717A0">
      <w:pPr>
        <w:rPr>
          <w:szCs w:val="21"/>
        </w:rPr>
      </w:pPr>
      <w:r>
        <w:rPr>
          <w:b/>
          <w:szCs w:val="21"/>
        </w:rPr>
        <w:lastRenderedPageBreak/>
        <w:t>Topic four</w:t>
      </w:r>
      <w:r>
        <w:rPr>
          <w:szCs w:val="21"/>
        </w:rPr>
        <w:t xml:space="preserve"> </w:t>
      </w:r>
      <w:r>
        <w:t xml:space="preserve">    </w:t>
      </w:r>
      <w:r>
        <w:rPr>
          <w:rFonts w:hint="eastAsia"/>
        </w:rPr>
        <w:t>文化</w:t>
      </w:r>
      <w:r>
        <w:rPr>
          <w:szCs w:val="21"/>
        </w:rPr>
        <w:t>(Cultural Study)</w:t>
      </w:r>
    </w:p>
    <w:p w:rsidR="003717A0" w:rsidRDefault="003717A0">
      <w:pPr>
        <w:rPr>
          <w:szCs w:val="21"/>
        </w:rPr>
      </w:pPr>
      <w:r>
        <w:rPr>
          <w:b/>
          <w:szCs w:val="21"/>
        </w:rPr>
        <w:t>Topic five</w:t>
      </w:r>
      <w:r>
        <w:rPr>
          <w:szCs w:val="21"/>
        </w:rPr>
        <w:t xml:space="preserve">     </w:t>
      </w:r>
      <w:r>
        <w:rPr>
          <w:rFonts w:hint="eastAsia"/>
          <w:szCs w:val="21"/>
        </w:rPr>
        <w:t>教育</w:t>
      </w:r>
      <w:r>
        <w:rPr>
          <w:szCs w:val="21"/>
        </w:rPr>
        <w:t>(Education)</w:t>
      </w:r>
    </w:p>
    <w:p w:rsidR="003717A0" w:rsidRDefault="003717A0">
      <w:r>
        <w:rPr>
          <w:b/>
          <w:szCs w:val="21"/>
        </w:rPr>
        <w:t>Topic six</w:t>
      </w:r>
      <w:r>
        <w:t xml:space="preserve">      </w:t>
      </w:r>
      <w:r>
        <w:rPr>
          <w:rFonts w:hint="eastAsia"/>
        </w:rPr>
        <w:t>社会</w:t>
      </w:r>
      <w:r>
        <w:rPr>
          <w:szCs w:val="21"/>
        </w:rPr>
        <w:t>(Sociology Matters)</w:t>
      </w:r>
    </w:p>
    <w:p w:rsidR="003717A0" w:rsidRDefault="003717A0">
      <w:r>
        <w:rPr>
          <w:b/>
          <w:szCs w:val="21"/>
        </w:rPr>
        <w:t xml:space="preserve">Topic seven </w:t>
      </w:r>
      <w:r>
        <w:t xml:space="preserve">   </w:t>
      </w:r>
      <w:r>
        <w:rPr>
          <w:rFonts w:hint="eastAsia"/>
        </w:rPr>
        <w:t>经济</w:t>
      </w:r>
      <w:r>
        <w:rPr>
          <w:szCs w:val="21"/>
        </w:rPr>
        <w:t>(Economic Activities)</w:t>
      </w:r>
    </w:p>
    <w:p w:rsidR="003717A0" w:rsidRDefault="003717A0">
      <w:pPr>
        <w:rPr>
          <w:szCs w:val="21"/>
        </w:rPr>
      </w:pPr>
      <w:r>
        <w:rPr>
          <w:b/>
          <w:szCs w:val="21"/>
        </w:rPr>
        <w:t>Topic eight</w:t>
      </w:r>
      <w:r>
        <w:rPr>
          <w:szCs w:val="21"/>
        </w:rPr>
        <w:t xml:space="preserve"> </w:t>
      </w:r>
      <w:r>
        <w:t xml:space="preserve">   </w:t>
      </w:r>
      <w:r>
        <w:rPr>
          <w:rFonts w:hint="eastAsia"/>
        </w:rPr>
        <w:t>艺术</w:t>
      </w:r>
      <w:r>
        <w:rPr>
          <w:szCs w:val="21"/>
        </w:rPr>
        <w:t>(Art)</w:t>
      </w:r>
    </w:p>
    <w:p w:rsidR="003717A0" w:rsidRDefault="003717A0">
      <w:pPr>
        <w:rPr>
          <w:szCs w:val="21"/>
        </w:rPr>
      </w:pPr>
    </w:p>
    <w:p w:rsidR="003717A0" w:rsidRDefault="003717A0"/>
    <w:p w:rsidR="003717A0" w:rsidRDefault="003717A0">
      <w:r>
        <w:rPr>
          <w:rFonts w:hint="eastAsia"/>
          <w:b/>
        </w:rPr>
        <w:t>单元结构</w:t>
      </w:r>
      <w:r>
        <w:rPr>
          <w:rFonts w:hint="eastAsia"/>
        </w:rPr>
        <w:t>：</w:t>
      </w:r>
    </w:p>
    <w:p w:rsidR="003717A0" w:rsidRDefault="003717A0">
      <w:pPr>
        <w:rPr>
          <w:b/>
          <w:szCs w:val="21"/>
        </w:rPr>
      </w:pPr>
      <w:r>
        <w:rPr>
          <w:b/>
          <w:szCs w:val="21"/>
        </w:rPr>
        <w:t>1. Listening and speaking (main vocabulary, related compound dictation, questions)</w:t>
      </w:r>
    </w:p>
    <w:p w:rsidR="003717A0" w:rsidRDefault="003717A0">
      <w:pPr>
        <w:rPr>
          <w:b/>
          <w:szCs w:val="21"/>
        </w:rPr>
      </w:pPr>
      <w:r>
        <w:rPr>
          <w:b/>
          <w:szCs w:val="21"/>
        </w:rPr>
        <w:t>2. Critical thinking and reading</w:t>
      </w:r>
    </w:p>
    <w:p w:rsidR="003717A0" w:rsidRDefault="003717A0">
      <w:pPr>
        <w:ind w:firstLineChars="100" w:firstLine="211"/>
        <w:rPr>
          <w:szCs w:val="21"/>
        </w:rPr>
      </w:pPr>
      <w:r>
        <w:rPr>
          <w:b/>
          <w:szCs w:val="21"/>
        </w:rPr>
        <w:t xml:space="preserve">Text A </w:t>
      </w:r>
      <w:r>
        <w:rPr>
          <w:szCs w:val="21"/>
        </w:rPr>
        <w:t>(vocabulary list, exercises)</w:t>
      </w:r>
    </w:p>
    <w:p w:rsidR="003717A0" w:rsidRDefault="003717A0">
      <w:pPr>
        <w:ind w:left="1470" w:hangingChars="700" w:hanging="1470"/>
        <w:rPr>
          <w:szCs w:val="21"/>
        </w:rPr>
      </w:pPr>
      <w:r>
        <w:rPr>
          <w:szCs w:val="21"/>
        </w:rPr>
        <w:t xml:space="preserve">     Exercise 1 Discovering the main idea of the text (true or false exercises, question answering exercises)</w:t>
      </w:r>
    </w:p>
    <w:p w:rsidR="003717A0" w:rsidRDefault="003717A0">
      <w:pPr>
        <w:ind w:leftChars="300" w:left="1470" w:hangingChars="400" w:hanging="840"/>
        <w:rPr>
          <w:szCs w:val="21"/>
        </w:rPr>
      </w:pPr>
      <w:r>
        <w:rPr>
          <w:szCs w:val="21"/>
        </w:rPr>
        <w:t>Exercises 2 Checking your special vocabulary (English meaning of the Chinese phrases ,meaning matching or blank filling )</w:t>
      </w:r>
    </w:p>
    <w:p w:rsidR="003717A0" w:rsidRDefault="003717A0">
      <w:pPr>
        <w:ind w:leftChars="300" w:left="1470" w:hangingChars="400" w:hanging="840"/>
        <w:rPr>
          <w:szCs w:val="21"/>
        </w:rPr>
      </w:pPr>
      <w:r>
        <w:rPr>
          <w:szCs w:val="21"/>
        </w:rPr>
        <w:t>Exercise 3 Enhancing your translation ability (English or Chinese paragraphs translation)</w:t>
      </w:r>
    </w:p>
    <w:p w:rsidR="003717A0" w:rsidRDefault="003717A0">
      <w:pPr>
        <w:rPr>
          <w:szCs w:val="21"/>
        </w:rPr>
      </w:pPr>
    </w:p>
    <w:p w:rsidR="003717A0" w:rsidRDefault="003717A0">
      <w:pPr>
        <w:ind w:firstLineChars="100" w:firstLine="211"/>
        <w:rPr>
          <w:b/>
          <w:szCs w:val="21"/>
        </w:rPr>
      </w:pPr>
      <w:r>
        <w:rPr>
          <w:b/>
          <w:szCs w:val="21"/>
        </w:rPr>
        <w:t>Text B</w:t>
      </w:r>
    </w:p>
    <w:p w:rsidR="003717A0" w:rsidRDefault="003717A0">
      <w:pPr>
        <w:ind w:leftChars="258" w:left="1382" w:hangingChars="400" w:hanging="840"/>
        <w:rPr>
          <w:szCs w:val="21"/>
        </w:rPr>
      </w:pPr>
      <w:r>
        <w:rPr>
          <w:szCs w:val="21"/>
        </w:rPr>
        <w:t>Exercise 1 Discovering the main idea of the text (true or false exercises, question answering exercises)</w:t>
      </w:r>
    </w:p>
    <w:p w:rsidR="003717A0" w:rsidRDefault="003717A0">
      <w:pPr>
        <w:ind w:leftChars="258" w:left="1382" w:hangingChars="400" w:hanging="840"/>
        <w:rPr>
          <w:szCs w:val="21"/>
        </w:rPr>
      </w:pPr>
      <w:r>
        <w:rPr>
          <w:szCs w:val="21"/>
        </w:rPr>
        <w:t>Exercises 2 Checking your special vocabulary (English meaning of the Chinese phrases ,meaning matching or blank filling )</w:t>
      </w:r>
    </w:p>
    <w:p w:rsidR="003717A0" w:rsidRDefault="003717A0">
      <w:pPr>
        <w:ind w:leftChars="300" w:left="1260" w:hangingChars="300" w:hanging="630"/>
        <w:rPr>
          <w:szCs w:val="21"/>
        </w:rPr>
      </w:pPr>
      <w:r>
        <w:rPr>
          <w:szCs w:val="21"/>
        </w:rPr>
        <w:t>Exercise 3 Enhancing your translation ability (English or Chinese paragraphs translation)</w:t>
      </w:r>
    </w:p>
    <w:p w:rsidR="003717A0" w:rsidRDefault="003717A0">
      <w:pPr>
        <w:rPr>
          <w:szCs w:val="21"/>
        </w:rPr>
      </w:pPr>
    </w:p>
    <w:p w:rsidR="003717A0" w:rsidRDefault="003717A0">
      <w:pPr>
        <w:ind w:firstLineChars="100" w:firstLine="211"/>
        <w:rPr>
          <w:b/>
          <w:szCs w:val="21"/>
        </w:rPr>
      </w:pPr>
      <w:r>
        <w:rPr>
          <w:b/>
          <w:szCs w:val="21"/>
        </w:rPr>
        <w:t xml:space="preserve">Text C </w:t>
      </w:r>
    </w:p>
    <w:p w:rsidR="003717A0" w:rsidRDefault="003717A0">
      <w:pPr>
        <w:ind w:leftChars="158" w:left="332" w:firstLineChars="100" w:firstLine="210"/>
        <w:rPr>
          <w:szCs w:val="21"/>
        </w:rPr>
      </w:pPr>
      <w:r>
        <w:rPr>
          <w:szCs w:val="21"/>
        </w:rPr>
        <w:t>theme-related writing ( an academic paper; a report; a summary; an abstract)</w:t>
      </w:r>
    </w:p>
    <w:p w:rsidR="003717A0" w:rsidRDefault="003717A0">
      <w:pPr>
        <w:rPr>
          <w:szCs w:val="21"/>
        </w:rPr>
      </w:pPr>
    </w:p>
    <w:p w:rsidR="003717A0" w:rsidRDefault="003717A0">
      <w:pPr>
        <w:rPr>
          <w:b/>
          <w:szCs w:val="21"/>
        </w:rPr>
      </w:pPr>
      <w:r>
        <w:rPr>
          <w:b/>
          <w:szCs w:val="21"/>
        </w:rPr>
        <w:t xml:space="preserve">3. Speaking </w:t>
      </w:r>
    </w:p>
    <w:p w:rsidR="003717A0" w:rsidRDefault="003717A0">
      <w:pPr>
        <w:ind w:firstLineChars="150" w:firstLine="315"/>
        <w:rPr>
          <w:szCs w:val="21"/>
        </w:rPr>
      </w:pPr>
      <w:r>
        <w:rPr>
          <w:szCs w:val="21"/>
        </w:rPr>
        <w:t>Theme-related speech</w:t>
      </w:r>
    </w:p>
    <w:p w:rsidR="003717A0" w:rsidRDefault="003717A0">
      <w:pPr>
        <w:ind w:firstLineChars="150" w:firstLine="315"/>
        <w:rPr>
          <w:szCs w:val="21"/>
        </w:rPr>
      </w:pPr>
      <w:r>
        <w:rPr>
          <w:szCs w:val="21"/>
        </w:rPr>
        <w:t>Commenting others’ view</w:t>
      </w:r>
    </w:p>
    <w:p w:rsidR="003717A0" w:rsidRDefault="003717A0">
      <w:pPr>
        <w:ind w:firstLineChars="150" w:firstLine="315"/>
        <w:rPr>
          <w:szCs w:val="21"/>
        </w:rPr>
      </w:pPr>
    </w:p>
    <w:p w:rsidR="003717A0" w:rsidRDefault="003717A0">
      <w:pPr>
        <w:ind w:firstLineChars="150" w:firstLine="315"/>
        <w:rPr>
          <w:szCs w:val="21"/>
        </w:rPr>
      </w:pPr>
    </w:p>
    <w:p w:rsidR="003717A0" w:rsidRDefault="003717A0">
      <w:pPr>
        <w:ind w:firstLineChars="150" w:firstLine="315"/>
        <w:rPr>
          <w:szCs w:val="21"/>
        </w:rPr>
      </w:pPr>
    </w:p>
    <w:p w:rsidR="003717A0" w:rsidRDefault="003717A0">
      <w:pPr>
        <w:ind w:firstLineChars="150" w:firstLine="315"/>
        <w:rPr>
          <w:szCs w:val="21"/>
        </w:rPr>
      </w:pPr>
    </w:p>
    <w:p w:rsidR="003717A0" w:rsidRDefault="003717A0">
      <w:pPr>
        <w:jc w:val="center"/>
        <w:rPr>
          <w:rFonts w:eastAsia="黑体"/>
          <w:sz w:val="32"/>
          <w:szCs w:val="32"/>
        </w:rPr>
      </w:pPr>
      <w:r>
        <w:rPr>
          <w:szCs w:val="21"/>
        </w:rPr>
        <w:br w:type="page"/>
      </w:r>
      <w:r>
        <w:rPr>
          <w:rFonts w:eastAsia="黑体" w:hint="eastAsia"/>
          <w:sz w:val="32"/>
          <w:szCs w:val="32"/>
        </w:rPr>
        <w:lastRenderedPageBreak/>
        <w:t>《基础学术英语（经济管理）》课程教学大纲</w:t>
      </w:r>
    </w:p>
    <w:p w:rsidR="003717A0" w:rsidRDefault="003717A0">
      <w:pPr>
        <w:jc w:val="center"/>
        <w:rPr>
          <w:rFonts w:eastAsia="黑体"/>
          <w:sz w:val="32"/>
          <w:szCs w:val="32"/>
        </w:rPr>
      </w:pPr>
    </w:p>
    <w:p w:rsidR="003717A0" w:rsidRDefault="003717A0">
      <w:pPr>
        <w:rPr>
          <w:szCs w:val="21"/>
        </w:rPr>
      </w:pPr>
      <w:r>
        <w:rPr>
          <w:rFonts w:hint="eastAsia"/>
          <w:b/>
          <w:szCs w:val="21"/>
        </w:rPr>
        <w:t>课程类别</w:t>
      </w:r>
      <w:r>
        <w:rPr>
          <w:rFonts w:hint="eastAsia"/>
          <w:szCs w:val="21"/>
        </w:rPr>
        <w:t>：专业基础课程</w:t>
      </w:r>
    </w:p>
    <w:p w:rsidR="003717A0" w:rsidRDefault="003717A0">
      <w:pPr>
        <w:rPr>
          <w:szCs w:val="21"/>
        </w:rPr>
      </w:pPr>
      <w:r>
        <w:rPr>
          <w:rFonts w:hint="eastAsia"/>
          <w:b/>
          <w:szCs w:val="21"/>
        </w:rPr>
        <w:t>授课对象</w:t>
      </w:r>
      <w:r>
        <w:rPr>
          <w:rFonts w:hint="eastAsia"/>
          <w:szCs w:val="21"/>
        </w:rPr>
        <w:t>：经管类专业学生</w:t>
      </w:r>
    </w:p>
    <w:p w:rsidR="003717A0" w:rsidRDefault="003717A0">
      <w:pPr>
        <w:rPr>
          <w:szCs w:val="21"/>
        </w:rPr>
      </w:pPr>
      <w:r>
        <w:rPr>
          <w:rFonts w:hint="eastAsia"/>
          <w:b/>
          <w:szCs w:val="21"/>
        </w:rPr>
        <w:t>开课学期：</w:t>
      </w:r>
      <w:r>
        <w:rPr>
          <w:rFonts w:hint="eastAsia"/>
          <w:szCs w:val="21"/>
        </w:rPr>
        <w:t>第</w:t>
      </w:r>
      <w:r>
        <w:rPr>
          <w:szCs w:val="21"/>
        </w:rPr>
        <w:t>4</w:t>
      </w:r>
      <w:r>
        <w:rPr>
          <w:rFonts w:hint="eastAsia"/>
          <w:szCs w:val="21"/>
        </w:rPr>
        <w:t>学期</w:t>
      </w:r>
    </w:p>
    <w:p w:rsidR="003717A0" w:rsidRDefault="003717A0">
      <w:pPr>
        <w:rPr>
          <w:szCs w:val="21"/>
        </w:rPr>
      </w:pPr>
      <w:r>
        <w:rPr>
          <w:rFonts w:hint="eastAsia"/>
          <w:b/>
          <w:szCs w:val="21"/>
        </w:rPr>
        <w:t>学</w:t>
      </w:r>
      <w:r>
        <w:rPr>
          <w:b/>
          <w:szCs w:val="21"/>
        </w:rPr>
        <w:t xml:space="preserve">    </w:t>
      </w:r>
      <w:r>
        <w:rPr>
          <w:rFonts w:hint="eastAsia"/>
          <w:b/>
          <w:szCs w:val="21"/>
        </w:rPr>
        <w:t>分：</w:t>
      </w:r>
      <w:r>
        <w:rPr>
          <w:szCs w:val="21"/>
        </w:rPr>
        <w:t>3</w:t>
      </w:r>
      <w:r>
        <w:rPr>
          <w:rFonts w:hint="eastAsia"/>
          <w:szCs w:val="21"/>
        </w:rPr>
        <w:t>学分</w:t>
      </w:r>
    </w:p>
    <w:p w:rsidR="003717A0" w:rsidRDefault="003717A0">
      <w:pPr>
        <w:snapToGrid w:val="0"/>
      </w:pPr>
    </w:p>
    <w:p w:rsidR="003717A0" w:rsidRDefault="003717A0">
      <w:pPr>
        <w:snapToGrid w:val="0"/>
        <w:rPr>
          <w:b/>
          <w:szCs w:val="21"/>
        </w:rPr>
      </w:pPr>
      <w:r>
        <w:rPr>
          <w:rFonts w:hint="eastAsia"/>
          <w:b/>
          <w:szCs w:val="21"/>
        </w:rPr>
        <w:t>一、教学目的</w:t>
      </w:r>
    </w:p>
    <w:p w:rsidR="003717A0" w:rsidRDefault="003717A0">
      <w:pPr>
        <w:ind w:firstLineChars="200" w:firstLine="420"/>
        <w:rPr>
          <w:szCs w:val="21"/>
        </w:rPr>
      </w:pPr>
      <w:r>
        <w:rPr>
          <w:rFonts w:hint="eastAsia"/>
          <w:szCs w:val="21"/>
        </w:rPr>
        <w:t>本课程高校专门用途英语系列教材之一，是针对新时期大学英语发展方向和新形势下我国人才培养目标对高等教育的要求而开发，以教育部《普通高等学校本科专业目录》的学科建设为基础，结合专家、学者、教师对专门用途英语教学的理论与实践研究成果，根据院校实际教学情况综合考虑而编写的一套教材。该教材旨在将大学英语教学与学生所学专业相结合，提高大学生的学术英语能力及专业英语水平，为学生毕业后直接使用英语从事专业工作，或继续深造学习、进行学术研究以及参加学术活动打下坚实基础。学术英语教材包括两大类，及学术提升类和专业拓展类。针对南通大学学生能力水平和大学英语教学的具体情况，我们开设的学术英语课的类别是学术提升类。学术提升类教材以“用中学（</w:t>
      </w:r>
      <w:r>
        <w:rPr>
          <w:szCs w:val="21"/>
        </w:rPr>
        <w:t>learning by doing</w:t>
      </w:r>
      <w:r>
        <w:rPr>
          <w:rFonts w:hint="eastAsia"/>
          <w:szCs w:val="21"/>
        </w:rPr>
        <w:t>）”的教学理念为指导思想，以大学科概念为划分基础，旨在帮助学生夯实语言技能，提升学术能力（</w:t>
      </w:r>
      <w:r>
        <w:rPr>
          <w:szCs w:val="21"/>
        </w:rPr>
        <w:t>academic skills</w:t>
      </w:r>
      <w:r>
        <w:rPr>
          <w:rFonts w:hint="eastAsia"/>
          <w:szCs w:val="21"/>
        </w:rPr>
        <w:t>）</w:t>
      </w:r>
      <w:r>
        <w:rPr>
          <w:szCs w:val="21"/>
        </w:rPr>
        <w:t>,</w:t>
      </w:r>
      <w:r>
        <w:rPr>
          <w:rFonts w:hint="eastAsia"/>
          <w:szCs w:val="21"/>
        </w:rPr>
        <w:t>包括学术阅读、学术听力、学术写作和学术口语的能力，以及批判性思维能力和创新思维能力等。学术听力主要培养学生听专业学术发言、记笔记、整理笔记的能力；学术口语主要是培养参加学术讨论和进行学术发言时恰当、得体地使用英语的能力；学术写作主要是培养学生完成项目的过程中学会如何规范地撰写学术论文，包括学术规范写作、文献综述、研究方法、恰当引用、避免抄袭等。</w:t>
      </w:r>
    </w:p>
    <w:p w:rsidR="003717A0" w:rsidRDefault="003717A0">
      <w:pPr>
        <w:rPr>
          <w:szCs w:val="21"/>
        </w:rPr>
      </w:pPr>
      <w:r>
        <w:rPr>
          <w:szCs w:val="21"/>
        </w:rPr>
        <w:t xml:space="preserve"> </w:t>
      </w:r>
    </w:p>
    <w:p w:rsidR="003717A0" w:rsidRDefault="003717A0">
      <w:pPr>
        <w:rPr>
          <w:b/>
          <w:szCs w:val="21"/>
        </w:rPr>
      </w:pPr>
      <w:r>
        <w:rPr>
          <w:rFonts w:hint="eastAsia"/>
          <w:b/>
          <w:szCs w:val="21"/>
        </w:rPr>
        <w:t>二、课程特色</w:t>
      </w:r>
    </w:p>
    <w:p w:rsidR="003717A0" w:rsidRDefault="003717A0">
      <w:pPr>
        <w:ind w:firstLineChars="200" w:firstLine="420"/>
        <w:rPr>
          <w:szCs w:val="21"/>
        </w:rPr>
      </w:pPr>
      <w:r>
        <w:rPr>
          <w:rFonts w:hint="eastAsia"/>
          <w:szCs w:val="21"/>
        </w:rPr>
        <w:t>多视角的专业内容，丰富学生的文学、历史、管理、经济、社会、等方面的知识；输入与输出紧密结合，语言技能与专业知识兼顾，提高学生的学术综合能力；培养学生思辨能力，多样的听说读写与调查研究，培养学生自主学习、团队合作能力和探究精神。</w:t>
      </w:r>
    </w:p>
    <w:p w:rsidR="003717A0" w:rsidRDefault="003717A0">
      <w:pPr>
        <w:rPr>
          <w:szCs w:val="21"/>
        </w:rPr>
      </w:pPr>
    </w:p>
    <w:p w:rsidR="003717A0" w:rsidRDefault="003717A0">
      <w:pPr>
        <w:rPr>
          <w:b/>
          <w:szCs w:val="21"/>
        </w:rPr>
      </w:pPr>
      <w:r>
        <w:rPr>
          <w:rFonts w:hint="eastAsia"/>
          <w:b/>
          <w:szCs w:val="21"/>
        </w:rPr>
        <w:t>三、选修课的要求</w:t>
      </w:r>
    </w:p>
    <w:p w:rsidR="003717A0" w:rsidRDefault="003717A0">
      <w:pPr>
        <w:ind w:firstLineChars="200" w:firstLine="420"/>
        <w:rPr>
          <w:szCs w:val="21"/>
        </w:rPr>
      </w:pPr>
      <w:r>
        <w:rPr>
          <w:rFonts w:hint="eastAsia"/>
          <w:szCs w:val="21"/>
        </w:rPr>
        <w:t>大一、大二完成新视野大学英语的学习，通过大学英语四级，具备了一定的英文写作能力和实战基础。</w:t>
      </w:r>
    </w:p>
    <w:p w:rsidR="003717A0" w:rsidRDefault="003717A0">
      <w:pPr>
        <w:rPr>
          <w:szCs w:val="21"/>
        </w:rPr>
      </w:pPr>
    </w:p>
    <w:p w:rsidR="003717A0" w:rsidRDefault="003717A0">
      <w:pPr>
        <w:rPr>
          <w:b/>
          <w:szCs w:val="21"/>
        </w:rPr>
      </w:pPr>
      <w:r>
        <w:rPr>
          <w:rFonts w:hint="eastAsia"/>
          <w:b/>
          <w:szCs w:val="21"/>
        </w:rPr>
        <w:t>四、课程考核方式及成绩评定</w:t>
      </w:r>
    </w:p>
    <w:p w:rsidR="003717A0" w:rsidRDefault="003717A0">
      <w:pPr>
        <w:ind w:firstLineChars="150" w:firstLine="315"/>
        <w:rPr>
          <w:szCs w:val="21"/>
        </w:rPr>
      </w:pPr>
      <w:r>
        <w:rPr>
          <w:rFonts w:hint="eastAsia"/>
          <w:szCs w:val="21"/>
        </w:rPr>
        <w:t>本课程实行的是基于网络平台自主学习方式，课程考核采用形成性考核与终结性考试相结合。形成性考核包括平时作业和每周网络平台自主学习时间</w:t>
      </w:r>
      <w:r>
        <w:rPr>
          <w:szCs w:val="21"/>
        </w:rPr>
        <w:t>10%</w:t>
      </w:r>
      <w:r>
        <w:rPr>
          <w:rFonts w:hint="eastAsia"/>
          <w:szCs w:val="21"/>
        </w:rPr>
        <w:t>；课堂个人演示</w:t>
      </w:r>
      <w:r>
        <w:rPr>
          <w:szCs w:val="21"/>
        </w:rPr>
        <w:t>10%</w:t>
      </w:r>
      <w:r>
        <w:rPr>
          <w:rFonts w:hint="eastAsia"/>
          <w:szCs w:val="21"/>
        </w:rPr>
        <w:t>；课堂回答问题和小组讨论在内的课堂综合表现</w:t>
      </w:r>
      <w:r>
        <w:rPr>
          <w:szCs w:val="21"/>
        </w:rPr>
        <w:t>10%</w:t>
      </w:r>
      <w:r>
        <w:rPr>
          <w:rFonts w:hint="eastAsia"/>
          <w:szCs w:val="21"/>
        </w:rPr>
        <w:t>；论文片段写作</w:t>
      </w:r>
      <w:r>
        <w:rPr>
          <w:szCs w:val="21"/>
        </w:rPr>
        <w:t>20%</w:t>
      </w:r>
      <w:r>
        <w:rPr>
          <w:rFonts w:hint="eastAsia"/>
          <w:szCs w:val="21"/>
        </w:rPr>
        <w:t>；终结性考试为期末试卷形式，占课程总成绩的</w:t>
      </w:r>
      <w:r>
        <w:rPr>
          <w:szCs w:val="21"/>
        </w:rPr>
        <w:t>50%</w:t>
      </w:r>
      <w:r>
        <w:rPr>
          <w:rFonts w:hint="eastAsia"/>
          <w:szCs w:val="21"/>
        </w:rPr>
        <w:t>，考试内容涵盖听力，阅读，翻译，文章综述写作等。</w:t>
      </w:r>
    </w:p>
    <w:p w:rsidR="003717A0" w:rsidRDefault="003717A0">
      <w:pPr>
        <w:rPr>
          <w:szCs w:val="21"/>
        </w:rPr>
      </w:pPr>
    </w:p>
    <w:p w:rsidR="003717A0" w:rsidRDefault="003717A0">
      <w:pPr>
        <w:rPr>
          <w:b/>
          <w:szCs w:val="21"/>
        </w:rPr>
      </w:pPr>
      <w:r>
        <w:rPr>
          <w:rFonts w:hint="eastAsia"/>
          <w:b/>
          <w:szCs w:val="21"/>
        </w:rPr>
        <w:t>五、课程教学环节、内容及学时分配（每个主题</w:t>
      </w:r>
      <w:r>
        <w:rPr>
          <w:b/>
          <w:szCs w:val="21"/>
        </w:rPr>
        <w:t>2</w:t>
      </w:r>
      <w:r>
        <w:rPr>
          <w:rFonts w:hint="eastAsia"/>
          <w:b/>
          <w:szCs w:val="21"/>
        </w:rPr>
        <w:t>学时）</w:t>
      </w:r>
    </w:p>
    <w:p w:rsidR="003717A0" w:rsidRDefault="003717A0">
      <w:r>
        <w:rPr>
          <w:b/>
          <w:szCs w:val="21"/>
        </w:rPr>
        <w:t>Topic one</w:t>
      </w:r>
      <w:r>
        <w:t xml:space="preserve">      </w:t>
      </w:r>
      <w:r>
        <w:rPr>
          <w:rFonts w:hint="eastAsia"/>
        </w:rPr>
        <w:t>高效沟通技巧</w:t>
      </w:r>
      <w:r>
        <w:rPr>
          <w:rFonts w:hint="eastAsia"/>
          <w:szCs w:val="21"/>
        </w:rPr>
        <w:t>（</w:t>
      </w:r>
      <w:r>
        <w:rPr>
          <w:szCs w:val="21"/>
        </w:rPr>
        <w:t>Effective communication skills</w:t>
      </w:r>
      <w:r>
        <w:rPr>
          <w:rFonts w:hint="eastAsia"/>
          <w:szCs w:val="21"/>
        </w:rPr>
        <w:t>）</w:t>
      </w:r>
    </w:p>
    <w:p w:rsidR="003717A0" w:rsidRDefault="003717A0">
      <w:r>
        <w:rPr>
          <w:b/>
          <w:szCs w:val="21"/>
        </w:rPr>
        <w:t xml:space="preserve">Topic two </w:t>
      </w:r>
      <w:r>
        <w:t xml:space="preserve">     </w:t>
      </w:r>
      <w:r>
        <w:rPr>
          <w:rFonts w:hint="eastAsia"/>
        </w:rPr>
        <w:t>市场营销</w:t>
      </w:r>
      <w:r>
        <w:rPr>
          <w:rFonts w:hint="eastAsia"/>
          <w:szCs w:val="21"/>
        </w:rPr>
        <w:t>（</w:t>
      </w:r>
      <w:r>
        <w:rPr>
          <w:szCs w:val="21"/>
        </w:rPr>
        <w:t>marketing management</w:t>
      </w:r>
      <w:r>
        <w:rPr>
          <w:rFonts w:hint="eastAsia"/>
          <w:szCs w:val="21"/>
        </w:rPr>
        <w:t>）</w:t>
      </w:r>
    </w:p>
    <w:p w:rsidR="003717A0" w:rsidRDefault="003717A0">
      <w:r>
        <w:rPr>
          <w:b/>
          <w:szCs w:val="21"/>
        </w:rPr>
        <w:t xml:space="preserve">Topic three </w:t>
      </w:r>
      <w:r>
        <w:t xml:space="preserve">   </w:t>
      </w:r>
      <w:r>
        <w:rPr>
          <w:rFonts w:hint="eastAsia"/>
        </w:rPr>
        <w:t>职业生涯与自我管理</w:t>
      </w:r>
      <w:r>
        <w:rPr>
          <w:rFonts w:hint="eastAsia"/>
          <w:szCs w:val="21"/>
        </w:rPr>
        <w:t>（</w:t>
      </w:r>
      <w:r>
        <w:rPr>
          <w:szCs w:val="21"/>
        </w:rPr>
        <w:t>Career and self management</w:t>
      </w:r>
      <w:r>
        <w:rPr>
          <w:rFonts w:hint="eastAsia"/>
          <w:szCs w:val="21"/>
        </w:rPr>
        <w:t>）</w:t>
      </w:r>
    </w:p>
    <w:p w:rsidR="003717A0" w:rsidRDefault="003717A0">
      <w:pPr>
        <w:rPr>
          <w:szCs w:val="21"/>
        </w:rPr>
      </w:pPr>
      <w:r>
        <w:rPr>
          <w:b/>
          <w:szCs w:val="21"/>
        </w:rPr>
        <w:t>Topic four</w:t>
      </w:r>
      <w:r>
        <w:rPr>
          <w:szCs w:val="21"/>
        </w:rPr>
        <w:t xml:space="preserve"> </w:t>
      </w:r>
      <w:r>
        <w:t xml:space="preserve">    </w:t>
      </w:r>
      <w:r>
        <w:rPr>
          <w:rFonts w:hint="eastAsia"/>
        </w:rPr>
        <w:t>人才甄选与面谈</w:t>
      </w:r>
      <w:r>
        <w:rPr>
          <w:szCs w:val="21"/>
        </w:rPr>
        <w:t>(Talent selection and interview)</w:t>
      </w:r>
    </w:p>
    <w:p w:rsidR="003717A0" w:rsidRDefault="003717A0">
      <w:pPr>
        <w:rPr>
          <w:szCs w:val="21"/>
        </w:rPr>
      </w:pPr>
      <w:r>
        <w:rPr>
          <w:b/>
          <w:szCs w:val="21"/>
        </w:rPr>
        <w:t>Topic five</w:t>
      </w:r>
      <w:r>
        <w:rPr>
          <w:szCs w:val="21"/>
        </w:rPr>
        <w:t xml:space="preserve">     </w:t>
      </w:r>
      <w:r>
        <w:rPr>
          <w:rFonts w:hint="eastAsia"/>
          <w:szCs w:val="21"/>
        </w:rPr>
        <w:t>双赢谈判</w:t>
      </w:r>
      <w:r>
        <w:rPr>
          <w:szCs w:val="21"/>
        </w:rPr>
        <w:t>(Win-win negotiation)</w:t>
      </w:r>
    </w:p>
    <w:p w:rsidR="003717A0" w:rsidRDefault="003717A0">
      <w:r>
        <w:rPr>
          <w:b/>
          <w:szCs w:val="21"/>
        </w:rPr>
        <w:lastRenderedPageBreak/>
        <w:t>Topic six</w:t>
      </w:r>
      <w:r>
        <w:t xml:space="preserve">      </w:t>
      </w:r>
      <w:r>
        <w:rPr>
          <w:rFonts w:hint="eastAsia"/>
        </w:rPr>
        <w:t>商务礼仪</w:t>
      </w:r>
      <w:r>
        <w:rPr>
          <w:szCs w:val="21"/>
        </w:rPr>
        <w:t>(Business etiquette)</w:t>
      </w:r>
    </w:p>
    <w:p w:rsidR="003717A0" w:rsidRDefault="003717A0">
      <w:r>
        <w:rPr>
          <w:b/>
          <w:szCs w:val="21"/>
        </w:rPr>
        <w:t xml:space="preserve">Topic seven </w:t>
      </w:r>
      <w:r>
        <w:t xml:space="preserve">   </w:t>
      </w:r>
      <w:r>
        <w:rPr>
          <w:rFonts w:hint="eastAsia"/>
        </w:rPr>
        <w:t>目标与绩效管理</w:t>
      </w:r>
      <w:r>
        <w:rPr>
          <w:szCs w:val="21"/>
        </w:rPr>
        <w:t>(Goal and performance management)</w:t>
      </w:r>
    </w:p>
    <w:p w:rsidR="003717A0" w:rsidRDefault="003717A0">
      <w:pPr>
        <w:rPr>
          <w:szCs w:val="21"/>
        </w:rPr>
      </w:pPr>
      <w:r>
        <w:rPr>
          <w:b/>
          <w:szCs w:val="21"/>
        </w:rPr>
        <w:t>Topic eight</w:t>
      </w:r>
      <w:r>
        <w:rPr>
          <w:szCs w:val="21"/>
        </w:rPr>
        <w:t xml:space="preserve"> </w:t>
      </w:r>
      <w:r>
        <w:t xml:space="preserve">   </w:t>
      </w:r>
      <w:r>
        <w:rPr>
          <w:rFonts w:hint="eastAsia"/>
        </w:rPr>
        <w:t>财务管理</w:t>
      </w:r>
      <w:r>
        <w:rPr>
          <w:szCs w:val="21"/>
        </w:rPr>
        <w:t>(Financial management)</w:t>
      </w:r>
    </w:p>
    <w:p w:rsidR="003717A0" w:rsidRDefault="003717A0"/>
    <w:p w:rsidR="003717A0" w:rsidRDefault="003717A0">
      <w:r>
        <w:rPr>
          <w:rFonts w:hint="eastAsia"/>
          <w:b/>
        </w:rPr>
        <w:t>单元结构</w:t>
      </w:r>
      <w:r>
        <w:rPr>
          <w:rFonts w:hint="eastAsia"/>
        </w:rPr>
        <w:t>：</w:t>
      </w:r>
    </w:p>
    <w:p w:rsidR="003717A0" w:rsidRDefault="003717A0">
      <w:pPr>
        <w:rPr>
          <w:b/>
          <w:szCs w:val="21"/>
        </w:rPr>
      </w:pPr>
      <w:r>
        <w:rPr>
          <w:b/>
          <w:szCs w:val="21"/>
        </w:rPr>
        <w:t>1. Listening and speaking (main vocabulary, related compound dictation, questions)</w:t>
      </w:r>
    </w:p>
    <w:p w:rsidR="003717A0" w:rsidRDefault="003717A0">
      <w:pPr>
        <w:rPr>
          <w:b/>
          <w:szCs w:val="21"/>
        </w:rPr>
      </w:pPr>
      <w:r>
        <w:rPr>
          <w:b/>
          <w:szCs w:val="21"/>
        </w:rPr>
        <w:t>2. Critical thinking and reading</w:t>
      </w:r>
    </w:p>
    <w:p w:rsidR="003717A0" w:rsidRDefault="003717A0">
      <w:pPr>
        <w:ind w:firstLineChars="100" w:firstLine="211"/>
        <w:rPr>
          <w:szCs w:val="21"/>
        </w:rPr>
      </w:pPr>
      <w:r>
        <w:rPr>
          <w:b/>
          <w:szCs w:val="21"/>
        </w:rPr>
        <w:t xml:space="preserve">Text A </w:t>
      </w:r>
      <w:r>
        <w:rPr>
          <w:szCs w:val="21"/>
        </w:rPr>
        <w:t>(vocabulary list, exercises)</w:t>
      </w:r>
    </w:p>
    <w:p w:rsidR="003717A0" w:rsidRDefault="003717A0">
      <w:pPr>
        <w:ind w:left="1470" w:hangingChars="700" w:hanging="1470"/>
        <w:rPr>
          <w:szCs w:val="21"/>
        </w:rPr>
      </w:pPr>
      <w:r>
        <w:rPr>
          <w:szCs w:val="21"/>
        </w:rPr>
        <w:t xml:space="preserve">   Exercise 1 Discovering the main idea of the text (true or false exercises, question answering exercises)</w:t>
      </w:r>
    </w:p>
    <w:p w:rsidR="003717A0" w:rsidRDefault="003717A0">
      <w:pPr>
        <w:ind w:leftChars="200" w:left="1050" w:hangingChars="300" w:hanging="630"/>
        <w:rPr>
          <w:szCs w:val="21"/>
        </w:rPr>
      </w:pPr>
      <w:r>
        <w:rPr>
          <w:szCs w:val="21"/>
        </w:rPr>
        <w:t>Exercises 2 Checking your special vocabulary (English meaning of the Chinese phrases, meaning matching or blank filling)</w:t>
      </w:r>
    </w:p>
    <w:p w:rsidR="003717A0" w:rsidRDefault="003717A0">
      <w:pPr>
        <w:ind w:firstLineChars="200" w:firstLine="420"/>
        <w:rPr>
          <w:szCs w:val="21"/>
        </w:rPr>
      </w:pPr>
      <w:r>
        <w:rPr>
          <w:szCs w:val="21"/>
        </w:rPr>
        <w:t>Exercise 3 Enhancing your translation ability (English or Chinese paragraphs translation)</w:t>
      </w:r>
    </w:p>
    <w:p w:rsidR="003717A0" w:rsidRDefault="003717A0">
      <w:pPr>
        <w:rPr>
          <w:szCs w:val="21"/>
        </w:rPr>
      </w:pPr>
    </w:p>
    <w:p w:rsidR="003717A0" w:rsidRDefault="003717A0">
      <w:pPr>
        <w:ind w:firstLineChars="100" w:firstLine="211"/>
        <w:rPr>
          <w:b/>
          <w:szCs w:val="21"/>
        </w:rPr>
      </w:pPr>
      <w:r>
        <w:rPr>
          <w:b/>
          <w:szCs w:val="21"/>
        </w:rPr>
        <w:t>Text B</w:t>
      </w:r>
    </w:p>
    <w:p w:rsidR="003717A0" w:rsidRDefault="003717A0">
      <w:pPr>
        <w:ind w:leftChars="258" w:left="1382" w:hangingChars="400" w:hanging="840"/>
        <w:rPr>
          <w:szCs w:val="21"/>
        </w:rPr>
      </w:pPr>
      <w:r>
        <w:rPr>
          <w:szCs w:val="21"/>
        </w:rPr>
        <w:t>Exercise 1 Discovering the main idea of the text (true or false exercises, question answering exercises)</w:t>
      </w:r>
    </w:p>
    <w:p w:rsidR="003717A0" w:rsidRDefault="003717A0">
      <w:pPr>
        <w:ind w:leftChars="258" w:left="1382" w:hangingChars="400" w:hanging="840"/>
        <w:rPr>
          <w:szCs w:val="21"/>
        </w:rPr>
      </w:pPr>
      <w:r>
        <w:rPr>
          <w:szCs w:val="21"/>
        </w:rPr>
        <w:t>Exercises 2 Checking your special vocabulary (English meaning of the Chinese phrases, meaning matching or blank filling)</w:t>
      </w:r>
    </w:p>
    <w:p w:rsidR="003717A0" w:rsidRDefault="003717A0">
      <w:pPr>
        <w:ind w:firstLineChars="200" w:firstLine="420"/>
        <w:rPr>
          <w:szCs w:val="21"/>
        </w:rPr>
      </w:pPr>
      <w:r>
        <w:rPr>
          <w:szCs w:val="21"/>
        </w:rPr>
        <w:t>Exercise 3 Enhancing your translation ability (English or Chinese paragraphs translation)</w:t>
      </w:r>
    </w:p>
    <w:p w:rsidR="003717A0" w:rsidRDefault="003717A0">
      <w:pPr>
        <w:rPr>
          <w:szCs w:val="21"/>
        </w:rPr>
      </w:pPr>
    </w:p>
    <w:p w:rsidR="003717A0" w:rsidRDefault="003717A0">
      <w:pPr>
        <w:rPr>
          <w:b/>
          <w:szCs w:val="21"/>
        </w:rPr>
      </w:pPr>
      <w:r>
        <w:rPr>
          <w:b/>
          <w:szCs w:val="21"/>
        </w:rPr>
        <w:t xml:space="preserve">Text C </w:t>
      </w:r>
    </w:p>
    <w:p w:rsidR="003717A0" w:rsidRDefault="003717A0">
      <w:pPr>
        <w:ind w:leftChars="158" w:left="332"/>
        <w:rPr>
          <w:szCs w:val="21"/>
        </w:rPr>
      </w:pPr>
      <w:r>
        <w:rPr>
          <w:szCs w:val="21"/>
        </w:rPr>
        <w:t>theme-related writing ( a short speech; an academic paper; a report;  a summary; an abstract; a business contract; a graph; an instruction)</w:t>
      </w:r>
    </w:p>
    <w:p w:rsidR="003717A0" w:rsidRDefault="003717A0">
      <w:pPr>
        <w:rPr>
          <w:szCs w:val="21"/>
        </w:rPr>
      </w:pPr>
    </w:p>
    <w:p w:rsidR="003717A0" w:rsidRDefault="003717A0">
      <w:pPr>
        <w:rPr>
          <w:b/>
          <w:szCs w:val="21"/>
        </w:rPr>
      </w:pPr>
      <w:r>
        <w:rPr>
          <w:b/>
          <w:szCs w:val="21"/>
        </w:rPr>
        <w:t xml:space="preserve">3. Speaking and debating </w:t>
      </w:r>
    </w:p>
    <w:p w:rsidR="003717A0" w:rsidRDefault="003717A0">
      <w:pPr>
        <w:ind w:firstLineChars="150" w:firstLine="315"/>
        <w:rPr>
          <w:szCs w:val="21"/>
        </w:rPr>
      </w:pPr>
      <w:r>
        <w:rPr>
          <w:szCs w:val="21"/>
        </w:rPr>
        <w:t>Voicing your view</w:t>
      </w:r>
    </w:p>
    <w:p w:rsidR="003717A0" w:rsidRDefault="003717A0">
      <w:pPr>
        <w:ind w:firstLineChars="150" w:firstLine="315"/>
        <w:rPr>
          <w:szCs w:val="21"/>
        </w:rPr>
      </w:pPr>
      <w:r>
        <w:rPr>
          <w:szCs w:val="21"/>
        </w:rPr>
        <w:t>Commenting others’ view</w:t>
      </w:r>
    </w:p>
    <w:p w:rsidR="003717A0" w:rsidRDefault="003717A0"/>
    <w:p w:rsidR="003717A0" w:rsidRDefault="003717A0"/>
    <w:p w:rsidR="003717A0" w:rsidRDefault="003717A0">
      <w:pPr>
        <w:rPr>
          <w:b/>
        </w:rPr>
      </w:pPr>
      <w:r>
        <w:rPr>
          <w:rFonts w:hint="eastAsia"/>
          <w:b/>
        </w:rPr>
        <w:t>六、参考教材</w:t>
      </w:r>
      <w:r>
        <w:rPr>
          <w:b/>
        </w:rPr>
        <w:t>:</w:t>
      </w:r>
    </w:p>
    <w:p w:rsidR="003717A0" w:rsidRDefault="003717A0">
      <w:pPr>
        <w:rPr>
          <w:szCs w:val="21"/>
        </w:rPr>
      </w:pPr>
      <w:r>
        <w:rPr>
          <w:szCs w:val="21"/>
        </w:rPr>
        <w:t>Academic English for Business</w:t>
      </w:r>
    </w:p>
    <w:p w:rsidR="003717A0" w:rsidRDefault="003717A0">
      <w:pPr>
        <w:rPr>
          <w:szCs w:val="21"/>
        </w:rPr>
      </w:pPr>
    </w:p>
    <w:p w:rsidR="003717A0" w:rsidRDefault="003717A0">
      <w:pPr>
        <w:rPr>
          <w:b/>
          <w:szCs w:val="21"/>
        </w:rPr>
      </w:pPr>
      <w:r>
        <w:rPr>
          <w:rFonts w:hint="eastAsia"/>
          <w:b/>
          <w:szCs w:val="21"/>
        </w:rPr>
        <w:t>七、参考书目</w:t>
      </w:r>
    </w:p>
    <w:p w:rsidR="003717A0" w:rsidRDefault="003717A0">
      <w:pPr>
        <w:rPr>
          <w:szCs w:val="21"/>
        </w:rPr>
      </w:pPr>
      <w:r>
        <w:rPr>
          <w:szCs w:val="21"/>
        </w:rPr>
        <w:t>1. Carl McDaniel &amp; Lawrence J. Gitman. (2007). The Future of Business. Cangage South Western.</w:t>
      </w:r>
    </w:p>
    <w:p w:rsidR="003717A0" w:rsidRDefault="003717A0">
      <w:pPr>
        <w:rPr>
          <w:szCs w:val="21"/>
        </w:rPr>
      </w:pPr>
      <w:r>
        <w:rPr>
          <w:szCs w:val="21"/>
        </w:rPr>
        <w:t>2. HowardSchultz &amp; JoanneGordon. (2012) Onward: How Starbucks Fought for Its Life Without Losing Its Soul. Rodale Press.</w:t>
      </w:r>
    </w:p>
    <w:p w:rsidR="003717A0" w:rsidRDefault="003717A0">
      <w:pPr>
        <w:rPr>
          <w:szCs w:val="21"/>
        </w:rPr>
      </w:pPr>
      <w:r>
        <w:rPr>
          <w:szCs w:val="21"/>
        </w:rPr>
        <w:t>3.Yunus &amp; Muhammad. (2009). Creating a World Without Poverty: Social Business and the Future of Capitalism. Public Affairs</w:t>
      </w:r>
    </w:p>
    <w:p w:rsidR="003717A0" w:rsidRDefault="003717A0">
      <w:pPr>
        <w:rPr>
          <w:szCs w:val="21"/>
        </w:rPr>
      </w:pPr>
      <w:r>
        <w:rPr>
          <w:szCs w:val="21"/>
        </w:rPr>
        <w:t>4.  Susan Drake. (2008).The Complete Idiot's Guide to Guerrilla Marketing. Penguin</w:t>
      </w:r>
    </w:p>
    <w:p w:rsidR="003717A0" w:rsidRDefault="003717A0">
      <w:pPr>
        <w:rPr>
          <w:szCs w:val="21"/>
        </w:rPr>
      </w:pPr>
      <w:r>
        <w:rPr>
          <w:szCs w:val="21"/>
        </w:rPr>
        <w:t>5.  Patrick Lencioni.(2011).The Four Obsessions Of An Extraordinary Executive: A Leadership Fable. Wiley</w:t>
      </w:r>
    </w:p>
    <w:p w:rsidR="003717A0" w:rsidRDefault="003717A0">
      <w:pPr>
        <w:rPr>
          <w:szCs w:val="21"/>
        </w:rPr>
      </w:pPr>
      <w:r>
        <w:rPr>
          <w:szCs w:val="21"/>
        </w:rPr>
        <w:t>6. George Hallenbeck (2011).The CIO Edge: Seven Leadership Skills You Need To Drive Results. McGraw-Hill</w:t>
      </w:r>
    </w:p>
    <w:p w:rsidR="003717A0" w:rsidRDefault="003717A0">
      <w:pPr>
        <w:rPr>
          <w:szCs w:val="21"/>
        </w:rPr>
      </w:pPr>
      <w:r>
        <w:rPr>
          <w:szCs w:val="21"/>
        </w:rPr>
        <w:t>7. H. McKinley Conway &amp; LauraJones Kelley (2001). Site World: The Book of Corporate Globle Strategie. Conway Data</w:t>
      </w:r>
    </w:p>
    <w:p w:rsidR="003717A0" w:rsidRDefault="003717A0">
      <w:pPr>
        <w:rPr>
          <w:szCs w:val="21"/>
        </w:rPr>
      </w:pPr>
      <w:r>
        <w:rPr>
          <w:szCs w:val="21"/>
        </w:rPr>
        <w:lastRenderedPageBreak/>
        <w:t>8. Peter Doyle (2008).Value-Based Marketing - Marketing Strategies for Corporate Growth and Shareholder Value. Wiley</w:t>
      </w:r>
    </w:p>
    <w:p w:rsidR="003717A0" w:rsidRDefault="003717A0">
      <w:pPr>
        <w:rPr>
          <w:szCs w:val="21"/>
        </w:rPr>
      </w:pPr>
      <w:r>
        <w:rPr>
          <w:szCs w:val="21"/>
        </w:rPr>
        <w:t>9. Quinten Kroes (2010). E-Business Law of the European Union. Kluwer Law International</w:t>
      </w:r>
    </w:p>
    <w:p w:rsidR="003717A0" w:rsidRDefault="003717A0">
      <w:pPr>
        <w:rPr>
          <w:szCs w:val="21"/>
        </w:rPr>
      </w:pPr>
      <w:r>
        <w:rPr>
          <w:szCs w:val="21"/>
        </w:rPr>
        <w:t>10. VeljkoMilutinovic &amp; Frederic Patricelli. (2003) Mastering E-Business Infrastructure. Kluwer Academic Publishers</w:t>
      </w:r>
    </w:p>
    <w:p w:rsidR="003717A0" w:rsidRDefault="003717A0">
      <w:pPr>
        <w:rPr>
          <w:szCs w:val="21"/>
        </w:rPr>
      </w:pPr>
      <w:r>
        <w:rPr>
          <w:szCs w:val="21"/>
        </w:rPr>
        <w:t>11. Marieke de Mooij (2010). Consumer Behavior and Culture: Consequences for Global Marketing and Advertising. SAGE Publications Inc.</w:t>
      </w:r>
    </w:p>
    <w:p w:rsidR="003717A0" w:rsidRDefault="003717A0">
      <w:pPr>
        <w:rPr>
          <w:szCs w:val="21"/>
        </w:rPr>
      </w:pPr>
      <w:r>
        <w:rPr>
          <w:szCs w:val="21"/>
        </w:rPr>
        <w:t>12. John O'Shaughnessy. (2013). Consumer Behavior: Perspectives, Findings and Explanations. Palgrave Macmillan.</w:t>
      </w:r>
    </w:p>
    <w:p w:rsidR="003717A0" w:rsidRDefault="003717A0">
      <w:pPr>
        <w:rPr>
          <w:szCs w:val="21"/>
        </w:rPr>
      </w:pPr>
      <w:r>
        <w:rPr>
          <w:szCs w:val="21"/>
        </w:rPr>
        <w:t>13. Bauer, D. J. 2007. Root causes of academic dishonesty. Retrieved February 6, 2011, from http://www.chinapost.com.tw/</w:t>
      </w:r>
    </w:p>
    <w:p w:rsidR="003717A0" w:rsidRDefault="003717A0">
      <w:pPr>
        <w:rPr>
          <w:szCs w:val="21"/>
        </w:rPr>
      </w:pPr>
      <w:r>
        <w:rPr>
          <w:szCs w:val="21"/>
        </w:rPr>
        <w:t>14. Cong-cong &amp; Li Yong-yan (Eds.), 2003. English for Academic Communication (pp. 329-402). Nanjing: Nanjing University Press.</w:t>
      </w:r>
    </w:p>
    <w:p w:rsidR="003717A0" w:rsidRDefault="003717A0">
      <w:pPr>
        <w:rPr>
          <w:szCs w:val="21"/>
        </w:rPr>
      </w:pPr>
      <w:r>
        <w:rPr>
          <w:szCs w:val="21"/>
        </w:rPr>
        <w:t>15. Hacker, D. &amp; Fister, B. nd. List of style manuals. Retrieved February 6, 2011, from http: //bcs.bedfordstmartins.com</w:t>
      </w:r>
    </w:p>
    <w:p w:rsidR="003717A0" w:rsidRDefault="003717A0">
      <w:pPr>
        <w:rPr>
          <w:szCs w:val="21"/>
        </w:rPr>
      </w:pPr>
      <w:r>
        <w:rPr>
          <w:szCs w:val="21"/>
        </w:rPr>
        <w:t>16. Jia Wei-guo (Ed.). 2008. English for International Academic Communication. Beijing: Foreign Language Teaching and Research Press.</w:t>
      </w:r>
    </w:p>
    <w:p w:rsidR="003717A0" w:rsidRDefault="003717A0">
      <w:pPr>
        <w:rPr>
          <w:szCs w:val="21"/>
        </w:rPr>
      </w:pPr>
      <w:r>
        <w:rPr>
          <w:szCs w:val="21"/>
        </w:rPr>
        <w:t>17. Hong-li &amp; Guo Ji-rong (Eds.), 2008. English for Academic Communication. Xi’an: Xian Jiaotong University Press.</w:t>
      </w:r>
    </w:p>
    <w:p w:rsidR="003717A0" w:rsidRDefault="003717A0">
      <w:pPr>
        <w:rPr>
          <w:szCs w:val="21"/>
        </w:rPr>
      </w:pPr>
      <w:r>
        <w:rPr>
          <w:szCs w:val="21"/>
        </w:rPr>
        <w:t>18. Zeng-Lei &amp; Lin Ze-Xuan (Eds.). 2004. English for International Academic Conferences. Chongqing: Chongqing University Press.</w:t>
      </w:r>
    </w:p>
    <w:p w:rsidR="003717A0" w:rsidRDefault="003717A0"/>
    <w:p w:rsidR="003717A0" w:rsidRDefault="003717A0">
      <w:pPr>
        <w:rPr>
          <w:szCs w:val="21"/>
        </w:rPr>
      </w:pPr>
    </w:p>
    <w:p w:rsidR="003717A0" w:rsidRDefault="003717A0">
      <w:pPr>
        <w:rPr>
          <w:szCs w:val="21"/>
        </w:rPr>
      </w:pPr>
    </w:p>
    <w:p w:rsidR="003717A0" w:rsidRDefault="003717A0">
      <w:pPr>
        <w:jc w:val="center"/>
        <w:rPr>
          <w:szCs w:val="21"/>
        </w:rPr>
      </w:pPr>
      <w:r>
        <w:rPr>
          <w:szCs w:val="21"/>
        </w:rPr>
        <w:br w:type="page"/>
      </w:r>
      <w:r>
        <w:rPr>
          <w:rFonts w:eastAsia="黑体" w:hint="eastAsia"/>
          <w:sz w:val="32"/>
          <w:szCs w:val="32"/>
        </w:rPr>
        <w:lastRenderedPageBreak/>
        <w:t>《基础学术英语（理工类）》课程教学大纲</w:t>
      </w:r>
    </w:p>
    <w:p w:rsidR="003717A0" w:rsidRDefault="003717A0">
      <w:pPr>
        <w:pStyle w:val="dash6b63-6587"/>
        <w:adjustRightInd w:val="0"/>
        <w:snapToGrid w:val="0"/>
        <w:spacing w:before="0" w:beforeAutospacing="0" w:after="0" w:afterAutospacing="0" w:line="360" w:lineRule="auto"/>
        <w:rPr>
          <w:rStyle w:val="dash6b63-6587--char"/>
          <w:b/>
          <w:bCs/>
          <w:sz w:val="21"/>
          <w:szCs w:val="21"/>
        </w:rPr>
      </w:pPr>
      <w:r>
        <w:rPr>
          <w:rStyle w:val="dash6b63-6587--char"/>
          <w:rFonts w:hint="eastAsia"/>
          <w:b/>
          <w:bCs/>
          <w:sz w:val="21"/>
          <w:szCs w:val="21"/>
        </w:rPr>
        <w:t>一、课程基本信息</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r>
        <w:rPr>
          <w:rStyle w:val="dash6b63-6587--char"/>
          <w:sz w:val="21"/>
          <w:szCs w:val="21"/>
        </w:rPr>
        <w:t>1</w:t>
      </w:r>
      <w:r>
        <w:rPr>
          <w:rStyle w:val="dash6b63-6587--char"/>
          <w:rFonts w:hint="eastAsia"/>
          <w:sz w:val="21"/>
          <w:szCs w:val="21"/>
        </w:rPr>
        <w:t>、课程名称：</w:t>
      </w:r>
      <w:r>
        <w:rPr>
          <w:rFonts w:hint="eastAsia"/>
          <w:sz w:val="21"/>
          <w:szCs w:val="21"/>
        </w:rPr>
        <w:t>《基础学术英语（理工类）》</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r>
        <w:rPr>
          <w:rStyle w:val="dash6b63-6587--char"/>
          <w:sz w:val="21"/>
          <w:szCs w:val="21"/>
        </w:rPr>
        <w:t>2</w:t>
      </w:r>
      <w:r>
        <w:rPr>
          <w:rStyle w:val="dash6b63-6587--char"/>
          <w:rFonts w:hint="eastAsia"/>
          <w:sz w:val="21"/>
          <w:szCs w:val="21"/>
        </w:rPr>
        <w:t>、课程类别：专业</w:t>
      </w:r>
      <w:r>
        <w:rPr>
          <w:rFonts w:hint="eastAsia"/>
          <w:sz w:val="21"/>
          <w:szCs w:val="21"/>
        </w:rPr>
        <w:t>基础</w:t>
      </w:r>
      <w:r>
        <w:rPr>
          <w:rStyle w:val="dash6b63-6587--char"/>
          <w:rFonts w:hint="eastAsia"/>
          <w:sz w:val="21"/>
          <w:szCs w:val="21"/>
        </w:rPr>
        <w:t>课程</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r>
        <w:rPr>
          <w:rStyle w:val="dash6b63-6587--char"/>
          <w:sz w:val="21"/>
          <w:szCs w:val="21"/>
        </w:rPr>
        <w:t>3</w:t>
      </w:r>
      <w:r>
        <w:rPr>
          <w:rStyle w:val="dash6b63-6587--char"/>
          <w:rFonts w:hint="eastAsia"/>
          <w:sz w:val="21"/>
          <w:szCs w:val="21"/>
        </w:rPr>
        <w:t>、课程学时：</w:t>
      </w:r>
      <w:r>
        <w:rPr>
          <w:rStyle w:val="dash6b63-6587--char"/>
          <w:sz w:val="21"/>
          <w:szCs w:val="21"/>
        </w:rPr>
        <w:t>32</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r>
        <w:rPr>
          <w:rStyle w:val="dash6b63-6587--char"/>
          <w:sz w:val="21"/>
          <w:szCs w:val="21"/>
        </w:rPr>
        <w:t>4</w:t>
      </w:r>
      <w:r>
        <w:rPr>
          <w:rStyle w:val="dash6b63-6587--char"/>
          <w:rFonts w:hint="eastAsia"/>
          <w:sz w:val="21"/>
          <w:szCs w:val="21"/>
        </w:rPr>
        <w:t>、学分：</w:t>
      </w:r>
      <w:r>
        <w:rPr>
          <w:rStyle w:val="dash6b63-6587--char"/>
          <w:sz w:val="21"/>
          <w:szCs w:val="21"/>
        </w:rPr>
        <w:t>3</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r>
        <w:rPr>
          <w:rStyle w:val="dash6b63-6587--char"/>
          <w:sz w:val="21"/>
          <w:szCs w:val="21"/>
        </w:rPr>
        <w:t>5</w:t>
      </w:r>
      <w:r>
        <w:rPr>
          <w:rStyle w:val="dash6b63-6587--char"/>
          <w:rFonts w:hint="eastAsia"/>
          <w:sz w:val="21"/>
          <w:szCs w:val="21"/>
        </w:rPr>
        <w:t>、</w:t>
      </w:r>
      <w:r>
        <w:rPr>
          <w:rFonts w:hint="eastAsia"/>
          <w:bCs/>
          <w:sz w:val="21"/>
          <w:szCs w:val="21"/>
        </w:rPr>
        <w:t>课程性质：选修</w:t>
      </w:r>
      <w:r>
        <w:rPr>
          <w:bCs/>
          <w:sz w:val="21"/>
          <w:szCs w:val="21"/>
        </w:rPr>
        <w:t xml:space="preserve"> </w:t>
      </w:r>
    </w:p>
    <w:p w:rsidR="003717A0" w:rsidRDefault="003717A0">
      <w:pPr>
        <w:pStyle w:val="dash6b63-6587"/>
        <w:adjustRightInd w:val="0"/>
        <w:snapToGrid w:val="0"/>
        <w:spacing w:before="0" w:beforeAutospacing="0" w:after="0" w:afterAutospacing="0" w:line="360" w:lineRule="auto"/>
        <w:ind w:firstLine="482"/>
        <w:rPr>
          <w:bCs/>
          <w:sz w:val="21"/>
          <w:szCs w:val="21"/>
        </w:rPr>
      </w:pPr>
      <w:r>
        <w:rPr>
          <w:rStyle w:val="dash6b63-6587--char"/>
          <w:sz w:val="21"/>
          <w:szCs w:val="21"/>
        </w:rPr>
        <w:t>6</w:t>
      </w:r>
      <w:r>
        <w:rPr>
          <w:rStyle w:val="dash6b63-6587--char"/>
          <w:rFonts w:hint="eastAsia"/>
          <w:sz w:val="21"/>
          <w:szCs w:val="21"/>
        </w:rPr>
        <w:t>、</w:t>
      </w:r>
      <w:r>
        <w:rPr>
          <w:rFonts w:hint="eastAsia"/>
          <w:bCs/>
          <w:sz w:val="21"/>
          <w:szCs w:val="21"/>
        </w:rPr>
        <w:t>开课学期：第</w:t>
      </w:r>
      <w:r>
        <w:rPr>
          <w:bCs/>
          <w:sz w:val="21"/>
          <w:szCs w:val="21"/>
        </w:rPr>
        <w:t>4</w:t>
      </w:r>
      <w:r>
        <w:rPr>
          <w:rFonts w:hint="eastAsia"/>
          <w:bCs/>
          <w:sz w:val="21"/>
          <w:szCs w:val="21"/>
        </w:rPr>
        <w:t>学期</w:t>
      </w:r>
      <w:r>
        <w:rPr>
          <w:bCs/>
          <w:sz w:val="21"/>
          <w:szCs w:val="21"/>
        </w:rPr>
        <w:t xml:space="preserve">  </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r>
        <w:rPr>
          <w:rStyle w:val="dash6b63-6587--char"/>
          <w:sz w:val="21"/>
          <w:szCs w:val="21"/>
        </w:rPr>
        <w:t>7</w:t>
      </w:r>
      <w:r>
        <w:rPr>
          <w:rStyle w:val="dash6b63-6587--char"/>
          <w:rFonts w:hint="eastAsia"/>
          <w:sz w:val="21"/>
          <w:szCs w:val="21"/>
        </w:rPr>
        <w:t>、授课对象：完成大学基础英语课程，通过</w:t>
      </w:r>
      <w:r>
        <w:rPr>
          <w:rStyle w:val="dash6b63-6587--char"/>
          <w:sz w:val="21"/>
          <w:szCs w:val="21"/>
        </w:rPr>
        <w:t>CET-4</w:t>
      </w:r>
      <w:r>
        <w:rPr>
          <w:rStyle w:val="dash6b63-6587--char"/>
          <w:rFonts w:hint="eastAsia"/>
          <w:sz w:val="21"/>
          <w:szCs w:val="21"/>
        </w:rPr>
        <w:t>，达到一定要求的学生</w:t>
      </w:r>
    </w:p>
    <w:p w:rsidR="003717A0" w:rsidRDefault="003717A0">
      <w:pPr>
        <w:pStyle w:val="dash6b63-6587"/>
        <w:adjustRightInd w:val="0"/>
        <w:snapToGrid w:val="0"/>
        <w:spacing w:before="0" w:beforeAutospacing="0" w:after="0" w:afterAutospacing="0" w:line="360" w:lineRule="auto"/>
        <w:ind w:firstLine="482"/>
        <w:rPr>
          <w:rStyle w:val="dash6b63-6587--char"/>
          <w:sz w:val="21"/>
          <w:szCs w:val="21"/>
        </w:rPr>
      </w:pPr>
    </w:p>
    <w:p w:rsidR="003717A0" w:rsidRDefault="003717A0">
      <w:pPr>
        <w:pStyle w:val="dash6b63-6587"/>
        <w:adjustRightInd w:val="0"/>
        <w:snapToGrid w:val="0"/>
        <w:spacing w:before="0" w:beforeAutospacing="0" w:after="0" w:afterAutospacing="0" w:line="360" w:lineRule="auto"/>
        <w:rPr>
          <w:rStyle w:val="dash6b63-6587--char"/>
          <w:b/>
          <w:sz w:val="21"/>
          <w:szCs w:val="21"/>
        </w:rPr>
      </w:pPr>
      <w:r>
        <w:rPr>
          <w:rStyle w:val="dash6b63-6587--char"/>
          <w:rFonts w:hint="eastAsia"/>
          <w:b/>
          <w:bCs/>
          <w:sz w:val="21"/>
          <w:szCs w:val="21"/>
        </w:rPr>
        <w:t>二、课程的目标与任务</w:t>
      </w:r>
    </w:p>
    <w:p w:rsidR="003717A0" w:rsidRDefault="003717A0">
      <w:pPr>
        <w:wordWrap w:val="0"/>
        <w:spacing w:line="360" w:lineRule="auto"/>
        <w:ind w:firstLineChars="200" w:firstLine="420"/>
        <w:rPr>
          <w:rFonts w:ascii="宋体" w:cs="Tahoma"/>
          <w:kern w:val="0"/>
          <w:szCs w:val="21"/>
        </w:rPr>
      </w:pPr>
      <w:r>
        <w:rPr>
          <w:rFonts w:hint="eastAsia"/>
          <w:szCs w:val="21"/>
        </w:rPr>
        <w:t>教育部颁布的《大学英语课程教学要求》指出：“各高校应根据实际情况，按照《课程要求》和本校的大学英语教学目标设计出各自的大学英语课程体系，将综合英语类，语言技能类，语言应用类，语言文化类和专业英语类等必修课程和选修课程有机结合，确保不同层次的学生在英语应用能力方面得到充分的训练和提高。”《学术英语（理工）》是针对通过国家大学英语四级考试的非英语专业学生所开设的语言技能类和语言文化类拓展课程之一，同时也是南通大学大学英语课程体系中的拓展课程。本课程的目的在于</w:t>
      </w:r>
      <w:r>
        <w:rPr>
          <w:rFonts w:ascii="宋体" w:cs="Tahoma" w:hint="eastAsia"/>
          <w:kern w:val="0"/>
          <w:szCs w:val="21"/>
        </w:rPr>
        <w:t>满足南通大学学生中</w:t>
      </w:r>
      <w:r>
        <w:rPr>
          <w:rFonts w:hint="eastAsia"/>
          <w:szCs w:val="21"/>
        </w:rPr>
        <w:t>特定学习者即理工类专业学生</w:t>
      </w:r>
      <w:r>
        <w:rPr>
          <w:rFonts w:ascii="宋体" w:cs="Tahoma" w:hint="eastAsia"/>
          <w:kern w:val="0"/>
          <w:szCs w:val="21"/>
        </w:rPr>
        <w:t>在完成基础阶段的英语学习后，进一步提高英语能力的学习需要</w:t>
      </w:r>
      <w:r>
        <w:rPr>
          <w:rFonts w:hint="eastAsia"/>
          <w:szCs w:val="21"/>
        </w:rPr>
        <w:t>。本课程力争</w:t>
      </w:r>
      <w:r>
        <w:rPr>
          <w:rFonts w:cs="Tahoma" w:hint="eastAsia"/>
          <w:szCs w:val="21"/>
        </w:rPr>
        <w:t>通过学术性听、说、读、写训练，</w:t>
      </w:r>
      <w:r>
        <w:rPr>
          <w:rFonts w:hint="eastAsia"/>
          <w:szCs w:val="21"/>
        </w:rPr>
        <w:t>系统地培养理工类学生在专业学习和研究上运用英语的能力，</w:t>
      </w:r>
      <w:r>
        <w:rPr>
          <w:rFonts w:cs="Tahoma" w:hint="eastAsia"/>
          <w:szCs w:val="21"/>
        </w:rPr>
        <w:t>使学生能够规范、熟练地用英语进行书面和口头学术交流，</w:t>
      </w:r>
      <w:r>
        <w:rPr>
          <w:rFonts w:hint="eastAsia"/>
          <w:szCs w:val="21"/>
        </w:rPr>
        <w:t>具体包括</w:t>
      </w:r>
      <w:r>
        <w:rPr>
          <w:szCs w:val="21"/>
        </w:rPr>
        <w:t>1</w:t>
      </w:r>
      <w:r>
        <w:rPr>
          <w:rFonts w:hint="eastAsia"/>
          <w:szCs w:val="21"/>
        </w:rPr>
        <w:t>）听专业课程和专业讲座的能力；</w:t>
      </w:r>
      <w:r>
        <w:rPr>
          <w:szCs w:val="21"/>
        </w:rPr>
        <w:t>2</w:t>
      </w:r>
      <w:r>
        <w:rPr>
          <w:rFonts w:hint="eastAsia"/>
          <w:szCs w:val="21"/>
        </w:rPr>
        <w:t>）搜索，阅读和评价专业文献的能力；</w:t>
      </w:r>
      <w:r>
        <w:rPr>
          <w:szCs w:val="21"/>
        </w:rPr>
        <w:t>3</w:t>
      </w:r>
      <w:r>
        <w:rPr>
          <w:rFonts w:hint="eastAsia"/>
          <w:szCs w:val="21"/>
        </w:rPr>
        <w:t>）撰写文献摘要，述评和专业小论文的能力；</w:t>
      </w:r>
      <w:r>
        <w:rPr>
          <w:szCs w:val="21"/>
        </w:rPr>
        <w:t>4</w:t>
      </w:r>
      <w:r>
        <w:rPr>
          <w:rFonts w:hint="eastAsia"/>
          <w:szCs w:val="21"/>
        </w:rPr>
        <w:t>）口头陈述和演示科研成果的能力；</w:t>
      </w:r>
      <w:r>
        <w:rPr>
          <w:szCs w:val="21"/>
        </w:rPr>
        <w:t>5</w:t>
      </w:r>
      <w:r>
        <w:rPr>
          <w:rFonts w:hint="eastAsia"/>
          <w:szCs w:val="21"/>
        </w:rPr>
        <w:t>）参加学术讨论的能力。</w:t>
      </w:r>
      <w:r>
        <w:rPr>
          <w:szCs w:val="21"/>
        </w:rPr>
        <w:t xml:space="preserve"> </w:t>
      </w:r>
    </w:p>
    <w:p w:rsidR="003717A0" w:rsidRDefault="003717A0">
      <w:pPr>
        <w:pStyle w:val="21"/>
        <w:spacing w:after="0" w:line="360" w:lineRule="auto"/>
        <w:ind w:leftChars="0" w:left="0"/>
        <w:jc w:val="both"/>
        <w:rPr>
          <w:rFonts w:hAnsi="宋体"/>
          <w:sz w:val="21"/>
          <w:szCs w:val="21"/>
        </w:rPr>
      </w:pPr>
    </w:p>
    <w:p w:rsidR="003717A0" w:rsidRDefault="003717A0">
      <w:pPr>
        <w:pStyle w:val="dash6b63-6587"/>
        <w:adjustRightInd w:val="0"/>
        <w:snapToGrid w:val="0"/>
        <w:spacing w:before="0" w:beforeAutospacing="0" w:after="0" w:afterAutospacing="0" w:line="360" w:lineRule="auto"/>
        <w:rPr>
          <w:rStyle w:val="dash6b63-6587--char"/>
          <w:b/>
          <w:bCs/>
          <w:sz w:val="21"/>
          <w:szCs w:val="21"/>
        </w:rPr>
      </w:pPr>
      <w:r>
        <w:rPr>
          <w:rStyle w:val="dash6b63-6587--char"/>
          <w:rFonts w:hint="eastAsia"/>
          <w:b/>
          <w:bCs/>
          <w:sz w:val="21"/>
          <w:szCs w:val="21"/>
        </w:rPr>
        <w:t>三、课程的主要教学内容与学时分配</w:t>
      </w:r>
    </w:p>
    <w:p w:rsidR="003717A0" w:rsidRDefault="003717A0">
      <w:pPr>
        <w:pStyle w:val="dash6b63-6587"/>
        <w:adjustRightInd w:val="0"/>
        <w:snapToGrid w:val="0"/>
        <w:spacing w:before="0" w:beforeAutospacing="0" w:after="0" w:afterAutospacing="0" w:line="360" w:lineRule="auto"/>
        <w:ind w:firstLineChars="200" w:firstLine="420"/>
        <w:rPr>
          <w:sz w:val="21"/>
          <w:szCs w:val="21"/>
        </w:rPr>
      </w:pPr>
      <w:r>
        <w:rPr>
          <w:rStyle w:val="dash6b63-6587--char"/>
          <w:rFonts w:hint="eastAsia"/>
          <w:bCs/>
          <w:sz w:val="21"/>
          <w:szCs w:val="21"/>
        </w:rPr>
        <w:t>根据南通大学本科人才培养方案</w:t>
      </w:r>
      <w:r>
        <w:rPr>
          <w:rStyle w:val="dash6b63-6587--char"/>
          <w:bCs/>
          <w:sz w:val="21"/>
          <w:szCs w:val="21"/>
        </w:rPr>
        <w:t>,</w:t>
      </w:r>
      <w:r>
        <w:rPr>
          <w:rStyle w:val="dash6b63-6587--char"/>
          <w:rFonts w:hint="eastAsia"/>
          <w:bCs/>
          <w:sz w:val="21"/>
          <w:szCs w:val="21"/>
        </w:rPr>
        <w:t>本选修课程一共开课十一周，</w:t>
      </w:r>
      <w:r>
        <w:rPr>
          <w:rFonts w:hint="eastAsia"/>
          <w:sz w:val="21"/>
          <w:szCs w:val="21"/>
        </w:rPr>
        <w:t>每周</w:t>
      </w:r>
      <w:r>
        <w:rPr>
          <w:sz w:val="21"/>
          <w:szCs w:val="21"/>
        </w:rPr>
        <w:t>3</w:t>
      </w:r>
      <w:r>
        <w:rPr>
          <w:rFonts w:hint="eastAsia"/>
          <w:sz w:val="21"/>
          <w:szCs w:val="21"/>
        </w:rPr>
        <w:t>学时课堂教学</w:t>
      </w:r>
      <w:r>
        <w:rPr>
          <w:sz w:val="21"/>
          <w:szCs w:val="21"/>
        </w:rPr>
        <w:t>+</w:t>
      </w:r>
      <w:r>
        <w:rPr>
          <w:rFonts w:hint="eastAsia"/>
          <w:sz w:val="21"/>
          <w:szCs w:val="21"/>
        </w:rPr>
        <w:t>每周</w:t>
      </w:r>
      <w:r>
        <w:rPr>
          <w:sz w:val="21"/>
          <w:szCs w:val="21"/>
        </w:rPr>
        <w:t>3</w:t>
      </w:r>
      <w:r>
        <w:rPr>
          <w:rFonts w:hint="eastAsia"/>
          <w:sz w:val="21"/>
          <w:szCs w:val="21"/>
        </w:rPr>
        <w:t>学时自主学习网络课件并完成相应作业。</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p>
    <w:p w:rsidR="003717A0" w:rsidRDefault="003717A0">
      <w:r>
        <w:t>Unit 1. Computer</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lastRenderedPageBreak/>
        <w:t xml:space="preserve">Text C </w:t>
      </w:r>
      <w:r>
        <w:rPr>
          <w:rFonts w:hint="eastAsia"/>
        </w:rPr>
        <w:t>（自主阅读）</w:t>
      </w:r>
    </w:p>
    <w:p w:rsidR="003717A0" w:rsidRDefault="003717A0">
      <w:pPr>
        <w:ind w:leftChars="200" w:left="420" w:firstLineChars="100" w:firstLine="210"/>
      </w:pPr>
      <w:r>
        <w:t>Speak &amp; debate (voicing your views based on the following clues, commenting your peers’ ideas)</w:t>
      </w:r>
    </w:p>
    <w:p w:rsidR="003717A0" w:rsidRDefault="003717A0">
      <w:pPr>
        <w:ind w:leftChars="200" w:left="420" w:firstLineChars="100" w:firstLine="210"/>
      </w:pPr>
      <w:r>
        <w:t>Write &amp; refine (writing a theme-related article based on the following outlines, absorbing your peers’ ideas)</w:t>
      </w:r>
    </w:p>
    <w:p w:rsidR="003717A0" w:rsidRDefault="003717A0"/>
    <w:p w:rsidR="003717A0" w:rsidRDefault="003717A0">
      <w:r>
        <w:t>Unit 2. Astronomy</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t xml:space="preserve">Text C </w:t>
      </w:r>
      <w:r>
        <w:rPr>
          <w:rFonts w:hint="eastAsia"/>
        </w:rPr>
        <w:t>（自主阅读）</w:t>
      </w:r>
    </w:p>
    <w:p w:rsidR="003717A0" w:rsidRDefault="003717A0">
      <w:pPr>
        <w:ind w:leftChars="300" w:left="630"/>
      </w:pPr>
      <w:r>
        <w:t>Speak &amp; debate (voicing your views based on the following clues, commenting your peers’ ideas)</w:t>
      </w:r>
    </w:p>
    <w:p w:rsidR="003717A0" w:rsidRDefault="003717A0">
      <w:pPr>
        <w:ind w:leftChars="300" w:left="630"/>
      </w:pPr>
      <w:r>
        <w:t>Write &amp; refine (writing a theme-related article based on the following outlines, absorbing your peers’ ideas)</w:t>
      </w:r>
    </w:p>
    <w:p w:rsidR="003717A0" w:rsidRDefault="003717A0"/>
    <w:p w:rsidR="003717A0" w:rsidRDefault="003717A0">
      <w:r>
        <w:t>Unit 3 natural phenomenon</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t xml:space="preserve">Text C </w:t>
      </w:r>
      <w:r>
        <w:rPr>
          <w:rFonts w:hint="eastAsia"/>
        </w:rPr>
        <w:t>（自主阅读）</w:t>
      </w:r>
    </w:p>
    <w:p w:rsidR="003717A0" w:rsidRDefault="003717A0">
      <w:pPr>
        <w:ind w:leftChars="300" w:left="630"/>
      </w:pPr>
      <w:r>
        <w:t>Speak &amp; debate (voicing your views based on the following clues, commenting your peers’ ideas)</w:t>
      </w:r>
    </w:p>
    <w:p w:rsidR="003717A0" w:rsidRDefault="003717A0">
      <w:pPr>
        <w:ind w:leftChars="300" w:left="630"/>
      </w:pPr>
      <w:r>
        <w:t>Write &amp; refine (writing a theme-related article based on the following outlines, absorbing your peers’ ideas)</w:t>
      </w:r>
    </w:p>
    <w:p w:rsidR="003717A0" w:rsidRDefault="003717A0"/>
    <w:p w:rsidR="003717A0" w:rsidRDefault="003717A0">
      <w:r>
        <w:t>Unit 4 biology</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t xml:space="preserve">Text C </w:t>
      </w:r>
      <w:r>
        <w:rPr>
          <w:rFonts w:hint="eastAsia"/>
        </w:rPr>
        <w:t>（自主阅读）</w:t>
      </w:r>
    </w:p>
    <w:p w:rsidR="003717A0" w:rsidRDefault="003717A0">
      <w:pPr>
        <w:ind w:leftChars="300" w:left="630"/>
      </w:pPr>
      <w:r>
        <w:t>Speak &amp; debate (voicing your views based on the following clues, commenting your peers’ ideas)</w:t>
      </w:r>
    </w:p>
    <w:p w:rsidR="003717A0" w:rsidRDefault="003717A0">
      <w:pPr>
        <w:ind w:leftChars="300" w:left="630"/>
      </w:pPr>
      <w:r>
        <w:t>Write &amp; refine (writing a theme-related article based on the following outlines, absorbing your peers’ ideas)</w:t>
      </w:r>
    </w:p>
    <w:p w:rsidR="003717A0" w:rsidRDefault="003717A0"/>
    <w:p w:rsidR="003717A0" w:rsidRDefault="003717A0">
      <w:r>
        <w:t>Unit 5 environment</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lastRenderedPageBreak/>
        <w:t xml:space="preserve">Text C </w:t>
      </w:r>
      <w:r>
        <w:rPr>
          <w:rFonts w:hint="eastAsia"/>
        </w:rPr>
        <w:t>（自主阅读）</w:t>
      </w:r>
    </w:p>
    <w:p w:rsidR="003717A0" w:rsidRDefault="003717A0">
      <w:pPr>
        <w:ind w:leftChars="200" w:left="420"/>
      </w:pPr>
      <w:r>
        <w:t>Speak &amp; debate (voicing your views based on the following clues, commenting your peers’ ideas)</w:t>
      </w:r>
    </w:p>
    <w:p w:rsidR="003717A0" w:rsidRDefault="003717A0">
      <w:pPr>
        <w:ind w:leftChars="200" w:left="420"/>
      </w:pPr>
      <w:r>
        <w:t>Write &amp; refine (writing a theme-related article based on the following outlines, absorbing your peers’ ideas)</w:t>
      </w:r>
    </w:p>
    <w:p w:rsidR="003717A0" w:rsidRDefault="003717A0"/>
    <w:p w:rsidR="003717A0" w:rsidRDefault="003717A0">
      <w:r>
        <w:t>Unit 6 high-tech</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t xml:space="preserve">Text C </w:t>
      </w:r>
      <w:r>
        <w:rPr>
          <w:rFonts w:hint="eastAsia"/>
        </w:rPr>
        <w:t>（自主阅读）</w:t>
      </w:r>
    </w:p>
    <w:p w:rsidR="003717A0" w:rsidRDefault="003717A0">
      <w:pPr>
        <w:ind w:leftChars="200" w:left="420"/>
      </w:pPr>
      <w:r>
        <w:t>Speak &amp; debate (voicing your views based on the following clues, commenting your peers’ ideas)</w:t>
      </w:r>
    </w:p>
    <w:p w:rsidR="003717A0" w:rsidRDefault="003717A0">
      <w:pPr>
        <w:ind w:leftChars="200" w:left="420"/>
      </w:pPr>
      <w:r>
        <w:t>Write &amp; refine (writing a theme-related article based on the following outlines, absorbing your peers’ ideas)</w:t>
      </w:r>
    </w:p>
    <w:p w:rsidR="003717A0" w:rsidRDefault="003717A0"/>
    <w:p w:rsidR="003717A0" w:rsidRDefault="003717A0">
      <w:r>
        <w:t>Unit 7 military</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t xml:space="preserve">Text C </w:t>
      </w:r>
      <w:r>
        <w:rPr>
          <w:rFonts w:hint="eastAsia"/>
        </w:rPr>
        <w:t>（自主阅读）</w:t>
      </w:r>
    </w:p>
    <w:p w:rsidR="003717A0" w:rsidRDefault="003717A0">
      <w:pPr>
        <w:ind w:leftChars="200" w:left="420"/>
      </w:pPr>
      <w:r>
        <w:t>Speak &amp; debate (voicing your views based on the following clues, commenting your peers’ ideas)</w:t>
      </w:r>
    </w:p>
    <w:p w:rsidR="003717A0" w:rsidRDefault="003717A0">
      <w:pPr>
        <w:ind w:leftChars="200" w:left="420"/>
      </w:pPr>
      <w:r>
        <w:t>Write &amp; refine (writing a theme-related article based on the following outlines, absorbing your peers’ ideas)</w:t>
      </w:r>
    </w:p>
    <w:p w:rsidR="003717A0" w:rsidRDefault="003717A0"/>
    <w:p w:rsidR="003717A0" w:rsidRDefault="003717A0">
      <w:r>
        <w:t>Unit 8 new energy</w:t>
      </w:r>
    </w:p>
    <w:p w:rsidR="003717A0" w:rsidRDefault="003717A0">
      <w:pPr>
        <w:ind w:firstLineChars="100" w:firstLine="210"/>
      </w:pPr>
      <w:r>
        <w:t xml:space="preserve">Text A </w:t>
      </w:r>
    </w:p>
    <w:p w:rsidR="003717A0" w:rsidRDefault="003717A0">
      <w:pPr>
        <w:ind w:firstLineChars="200" w:firstLine="420"/>
      </w:pPr>
      <w:r>
        <w:t>Task 1 discovering the main idea of the text (</w:t>
      </w:r>
      <w:r>
        <w:rPr>
          <w:rFonts w:hint="eastAsia"/>
        </w:rPr>
        <w:t>判断正误，回答问题等</w:t>
      </w:r>
      <w:r>
        <w:t>)</w:t>
      </w:r>
    </w:p>
    <w:p w:rsidR="003717A0" w:rsidRDefault="003717A0">
      <w:pPr>
        <w:ind w:firstLineChars="200" w:firstLine="420"/>
      </w:pPr>
      <w:r>
        <w:t>Task 2 checking your specialized vocabulary (</w:t>
      </w:r>
      <w:r>
        <w:rPr>
          <w:rFonts w:hint="eastAsia"/>
        </w:rPr>
        <w:t>配对练习即词汇，英文释义，词汇填空题等</w:t>
      </w:r>
      <w:r>
        <w:t>)</w:t>
      </w:r>
    </w:p>
    <w:p w:rsidR="003717A0" w:rsidRDefault="003717A0">
      <w:pPr>
        <w:ind w:firstLineChars="200" w:firstLine="420"/>
      </w:pPr>
      <w:r>
        <w:t>Task 3 enhancing your translation ability (</w:t>
      </w:r>
      <w:r>
        <w:rPr>
          <w:rFonts w:hint="eastAsia"/>
        </w:rPr>
        <w:t>英译汉，汉译英</w:t>
      </w:r>
      <w:r>
        <w:t>)</w:t>
      </w:r>
    </w:p>
    <w:p w:rsidR="003717A0" w:rsidRDefault="003717A0">
      <w:pPr>
        <w:ind w:firstLineChars="100" w:firstLine="210"/>
      </w:pPr>
      <w:r>
        <w:t xml:space="preserve">Text B </w:t>
      </w:r>
      <w:r>
        <w:rPr>
          <w:rFonts w:hint="eastAsia"/>
        </w:rPr>
        <w:t>（同上）</w:t>
      </w:r>
    </w:p>
    <w:p w:rsidR="003717A0" w:rsidRDefault="003717A0">
      <w:pPr>
        <w:ind w:firstLineChars="100" w:firstLine="210"/>
      </w:pPr>
      <w:r>
        <w:t xml:space="preserve">Text C </w:t>
      </w:r>
      <w:r>
        <w:rPr>
          <w:rFonts w:hint="eastAsia"/>
        </w:rPr>
        <w:t>（自主阅读）</w:t>
      </w:r>
    </w:p>
    <w:p w:rsidR="003717A0" w:rsidRDefault="003717A0">
      <w:pPr>
        <w:ind w:leftChars="200" w:left="420"/>
      </w:pPr>
      <w:r>
        <w:t>Speak &amp; debate (voicing your views based on the following clues, commenting your peers’ ideas)</w:t>
      </w:r>
    </w:p>
    <w:p w:rsidR="003717A0" w:rsidRDefault="003717A0">
      <w:pPr>
        <w:ind w:leftChars="200" w:left="420"/>
      </w:pPr>
      <w:r>
        <w:t>Write &amp; refine (writing a theme-related article based on the following outlines, absorbing your peers’ ideas)</w:t>
      </w:r>
    </w:p>
    <w:p w:rsidR="003717A0" w:rsidRDefault="003717A0">
      <w:pPr>
        <w:pStyle w:val="dash6b63-6587"/>
        <w:adjustRightInd w:val="0"/>
        <w:snapToGrid w:val="0"/>
        <w:spacing w:before="0" w:beforeAutospacing="0" w:after="0" w:afterAutospacing="0" w:line="360" w:lineRule="auto"/>
        <w:rPr>
          <w:rStyle w:val="dash6b63-6587--char"/>
          <w:bCs/>
          <w:sz w:val="21"/>
          <w:szCs w:val="21"/>
        </w:rPr>
      </w:pPr>
    </w:p>
    <w:p w:rsidR="003717A0" w:rsidRDefault="003717A0">
      <w:pPr>
        <w:pStyle w:val="dash6b63-6587"/>
        <w:adjustRightInd w:val="0"/>
        <w:snapToGrid w:val="0"/>
        <w:spacing w:before="0" w:beforeAutospacing="0" w:after="0" w:afterAutospacing="0" w:line="360" w:lineRule="auto"/>
        <w:rPr>
          <w:rStyle w:val="dash6b63-6587--char"/>
          <w:bCs/>
          <w:sz w:val="21"/>
          <w:szCs w:val="21"/>
        </w:rPr>
      </w:pPr>
      <w:r>
        <w:rPr>
          <w:rStyle w:val="dash6b63-6587--char"/>
          <w:rFonts w:hint="eastAsia"/>
          <w:bCs/>
          <w:sz w:val="21"/>
          <w:szCs w:val="21"/>
        </w:rPr>
        <w:t>课后作业：</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bCs/>
          <w:sz w:val="21"/>
          <w:szCs w:val="21"/>
        </w:rPr>
        <w:t xml:space="preserve">1. </w:t>
      </w:r>
      <w:r>
        <w:rPr>
          <w:rStyle w:val="dash6b63-6587--char"/>
          <w:rFonts w:hint="eastAsia"/>
          <w:bCs/>
          <w:sz w:val="21"/>
          <w:szCs w:val="21"/>
        </w:rPr>
        <w:t>完成书后</w:t>
      </w:r>
      <w:r>
        <w:rPr>
          <w:rStyle w:val="dash6b63-6587--char"/>
          <w:bCs/>
          <w:sz w:val="21"/>
          <w:szCs w:val="21"/>
        </w:rPr>
        <w:t>enhancing your academic language</w:t>
      </w:r>
      <w:r>
        <w:rPr>
          <w:rStyle w:val="dash6b63-6587--char"/>
          <w:rFonts w:hint="eastAsia"/>
          <w:bCs/>
          <w:sz w:val="21"/>
          <w:szCs w:val="21"/>
        </w:rPr>
        <w:t>部分（根据实际要求进行选做），涵盖学术性听、说、读、写训练。</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bCs/>
          <w:sz w:val="21"/>
          <w:szCs w:val="21"/>
        </w:rPr>
        <w:t xml:space="preserve">2. </w:t>
      </w:r>
      <w:r>
        <w:rPr>
          <w:rStyle w:val="dash6b63-6587--char"/>
          <w:rFonts w:hint="eastAsia"/>
          <w:bCs/>
          <w:sz w:val="21"/>
          <w:szCs w:val="21"/>
        </w:rPr>
        <w:t>完成扩展性听说读写训练</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bCs/>
          <w:sz w:val="21"/>
          <w:szCs w:val="21"/>
        </w:rPr>
        <w:lastRenderedPageBreak/>
        <w:t xml:space="preserve">3. </w:t>
      </w:r>
      <w:r>
        <w:rPr>
          <w:rStyle w:val="dash6b63-6587--char"/>
          <w:rFonts w:hint="eastAsia"/>
          <w:bCs/>
          <w:sz w:val="21"/>
          <w:szCs w:val="21"/>
        </w:rPr>
        <w:t>根据课程进度，要求学生选择话题（学生感兴趣的或者是和本专业相关的）进行相关的选题，选择</w:t>
      </w:r>
      <w:r>
        <w:rPr>
          <w:rFonts w:hint="eastAsia"/>
          <w:sz w:val="21"/>
          <w:szCs w:val="21"/>
        </w:rPr>
        <w:t>研究方法、查阅资料、做摘要和摘要卡片；熟悉学术论文写作规范和特点</w:t>
      </w:r>
      <w:r>
        <w:rPr>
          <w:rStyle w:val="dash6b63-6587--char"/>
          <w:rFonts w:hint="eastAsia"/>
          <w:bCs/>
          <w:sz w:val="21"/>
          <w:szCs w:val="21"/>
        </w:rPr>
        <w:t>，撰写学期期末学术小论文（</w:t>
      </w:r>
      <w:r>
        <w:rPr>
          <w:rFonts w:hint="eastAsia"/>
          <w:sz w:val="21"/>
          <w:szCs w:val="21"/>
        </w:rPr>
        <w:t>提纲、文献综述、论文摘要、引言、正文和结论等各部分的写作）</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bCs/>
          <w:sz w:val="21"/>
          <w:szCs w:val="21"/>
        </w:rPr>
        <w:t xml:space="preserve">4. </w:t>
      </w:r>
      <w:r>
        <w:rPr>
          <w:rStyle w:val="dash6b63-6587--char"/>
          <w:rFonts w:hint="eastAsia"/>
          <w:bCs/>
          <w:sz w:val="21"/>
          <w:szCs w:val="21"/>
        </w:rPr>
        <w:t>要求学生进行口头论述答辩，回答学生和老师的提问</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p>
    <w:p w:rsidR="003717A0" w:rsidRDefault="003717A0">
      <w:pPr>
        <w:pStyle w:val="dash6b63-6587"/>
        <w:adjustRightInd w:val="0"/>
        <w:snapToGrid w:val="0"/>
        <w:spacing w:before="0" w:beforeAutospacing="0" w:after="0" w:afterAutospacing="0" w:line="360" w:lineRule="auto"/>
        <w:rPr>
          <w:rStyle w:val="dash6b63-6587--char"/>
          <w:b/>
          <w:sz w:val="21"/>
          <w:szCs w:val="21"/>
        </w:rPr>
      </w:pPr>
      <w:r>
        <w:rPr>
          <w:rStyle w:val="dash6b63-6587--char"/>
          <w:rFonts w:hint="eastAsia"/>
          <w:b/>
          <w:bCs/>
          <w:sz w:val="21"/>
          <w:szCs w:val="21"/>
        </w:rPr>
        <w:t>四、考试考核办法</w:t>
      </w:r>
    </w:p>
    <w:p w:rsidR="003717A0" w:rsidRPr="00F5156D" w:rsidRDefault="003717A0" w:rsidP="00F5156D">
      <w:pPr>
        <w:pStyle w:val="dash6b63-6587"/>
        <w:adjustRightInd w:val="0"/>
        <w:snapToGrid w:val="0"/>
        <w:spacing w:before="0" w:beforeAutospacing="0" w:after="0" w:afterAutospacing="0" w:line="360" w:lineRule="auto"/>
        <w:ind w:firstLineChars="200" w:firstLine="420"/>
        <w:rPr>
          <w:snapToGrid w:val="0"/>
          <w:sz w:val="21"/>
          <w:szCs w:val="21"/>
        </w:rPr>
      </w:pPr>
      <w:r>
        <w:rPr>
          <w:rFonts w:hint="eastAsia"/>
          <w:snapToGrid w:val="0"/>
          <w:sz w:val="21"/>
          <w:szCs w:val="21"/>
        </w:rPr>
        <w:t>平时作业与口试（</w:t>
      </w:r>
      <w:r>
        <w:rPr>
          <w:snapToGrid w:val="0"/>
          <w:sz w:val="21"/>
          <w:szCs w:val="21"/>
        </w:rPr>
        <w:t>oral presentation</w:t>
      </w:r>
      <w:r>
        <w:rPr>
          <w:rFonts w:hint="eastAsia"/>
          <w:snapToGrid w:val="0"/>
          <w:sz w:val="21"/>
          <w:szCs w:val="21"/>
        </w:rPr>
        <w:t>）相结合，期末考试与平时考核相结合</w:t>
      </w:r>
    </w:p>
    <w:p w:rsidR="003717A0" w:rsidRDefault="003717A0">
      <w:pPr>
        <w:pStyle w:val="dash6b63-6587"/>
        <w:adjustRightInd w:val="0"/>
        <w:snapToGrid w:val="0"/>
        <w:spacing w:before="0" w:beforeAutospacing="0" w:after="0" w:afterAutospacing="0" w:line="360" w:lineRule="auto"/>
        <w:rPr>
          <w:b/>
          <w:snapToGrid w:val="0"/>
          <w:sz w:val="21"/>
          <w:szCs w:val="21"/>
        </w:rPr>
      </w:pPr>
      <w:r>
        <w:rPr>
          <w:rStyle w:val="dash6b63-6587--char"/>
          <w:rFonts w:hint="eastAsia"/>
          <w:b/>
          <w:bCs/>
          <w:sz w:val="21"/>
          <w:szCs w:val="21"/>
        </w:rPr>
        <w:t>五、</w:t>
      </w:r>
      <w:r>
        <w:rPr>
          <w:rFonts w:hint="eastAsia"/>
          <w:b/>
          <w:snapToGrid w:val="0"/>
          <w:sz w:val="21"/>
          <w:szCs w:val="21"/>
        </w:rPr>
        <w:t>教学方法及手段</w:t>
      </w:r>
    </w:p>
    <w:p w:rsidR="003717A0" w:rsidRDefault="003717A0">
      <w:pPr>
        <w:pStyle w:val="dash6b63-6587"/>
        <w:adjustRightInd w:val="0"/>
        <w:snapToGrid w:val="0"/>
        <w:spacing w:before="0" w:beforeAutospacing="0" w:after="0" w:afterAutospacing="0" w:line="360" w:lineRule="auto"/>
        <w:ind w:firstLineChars="200" w:firstLine="420"/>
        <w:rPr>
          <w:snapToGrid w:val="0"/>
          <w:sz w:val="21"/>
          <w:szCs w:val="21"/>
        </w:rPr>
      </w:pPr>
      <w:r>
        <w:rPr>
          <w:rFonts w:hint="eastAsia"/>
          <w:snapToGrid w:val="0"/>
          <w:sz w:val="21"/>
          <w:szCs w:val="21"/>
        </w:rPr>
        <w:t>多媒体教学</w:t>
      </w:r>
    </w:p>
    <w:p w:rsidR="003717A0" w:rsidRDefault="003717A0">
      <w:pPr>
        <w:pStyle w:val="dash6b63-6587"/>
        <w:adjustRightInd w:val="0"/>
        <w:snapToGrid w:val="0"/>
        <w:spacing w:before="0" w:beforeAutospacing="0" w:after="0" w:afterAutospacing="0" w:line="360" w:lineRule="auto"/>
        <w:ind w:firstLineChars="200" w:firstLine="420"/>
        <w:rPr>
          <w:snapToGrid w:val="0"/>
          <w:sz w:val="21"/>
          <w:szCs w:val="21"/>
        </w:rPr>
      </w:pPr>
      <w:r>
        <w:rPr>
          <w:rFonts w:hint="eastAsia"/>
          <w:snapToGrid w:val="0"/>
          <w:sz w:val="21"/>
          <w:szCs w:val="21"/>
        </w:rPr>
        <w:t>网络教学</w:t>
      </w:r>
    </w:p>
    <w:p w:rsidR="003717A0" w:rsidRDefault="003717A0">
      <w:pPr>
        <w:pStyle w:val="dash6b63-6587"/>
        <w:adjustRightInd w:val="0"/>
        <w:snapToGrid w:val="0"/>
        <w:spacing w:before="0" w:beforeAutospacing="0" w:after="0" w:afterAutospacing="0" w:line="360" w:lineRule="auto"/>
        <w:rPr>
          <w:rStyle w:val="dash6b63-6587--char"/>
          <w:b/>
          <w:bCs/>
          <w:sz w:val="21"/>
          <w:szCs w:val="21"/>
        </w:rPr>
      </w:pPr>
      <w:r>
        <w:rPr>
          <w:rStyle w:val="dash6b63-6587--char"/>
          <w:rFonts w:hint="eastAsia"/>
          <w:b/>
          <w:sz w:val="21"/>
          <w:szCs w:val="21"/>
        </w:rPr>
        <w:t>六</w:t>
      </w:r>
      <w:r>
        <w:rPr>
          <w:rStyle w:val="dash6b63-6587--char"/>
          <w:rFonts w:hint="eastAsia"/>
          <w:b/>
          <w:bCs/>
          <w:sz w:val="21"/>
          <w:szCs w:val="21"/>
        </w:rPr>
        <w:t>、教材及参考书</w:t>
      </w:r>
    </w:p>
    <w:p w:rsidR="003717A0" w:rsidRDefault="003717A0">
      <w:pPr>
        <w:pStyle w:val="dash6b63-6587"/>
        <w:adjustRightInd w:val="0"/>
        <w:snapToGrid w:val="0"/>
        <w:spacing w:before="0" w:beforeAutospacing="0" w:after="0" w:afterAutospacing="0" w:line="360" w:lineRule="auto"/>
        <w:ind w:firstLineChars="196" w:firstLine="412"/>
        <w:rPr>
          <w:rStyle w:val="dash6b63-6587--char"/>
          <w:b/>
          <w:bCs/>
          <w:sz w:val="21"/>
          <w:szCs w:val="21"/>
        </w:rPr>
      </w:pPr>
      <w:r>
        <w:rPr>
          <w:rStyle w:val="dash6b63-6587--char"/>
          <w:rFonts w:hint="eastAsia"/>
          <w:bCs/>
          <w:sz w:val="21"/>
          <w:szCs w:val="21"/>
        </w:rPr>
        <w:t>学术英语（理工）</w:t>
      </w:r>
      <w:r>
        <w:rPr>
          <w:rStyle w:val="dash6b63-6587--char"/>
          <w:bCs/>
          <w:sz w:val="21"/>
          <w:szCs w:val="21"/>
        </w:rPr>
        <w:t xml:space="preserve">  </w:t>
      </w:r>
      <w:r>
        <w:rPr>
          <w:rStyle w:val="dash6b63-6587--char"/>
          <w:rFonts w:hint="eastAsia"/>
          <w:bCs/>
          <w:sz w:val="21"/>
          <w:szCs w:val="21"/>
        </w:rPr>
        <w:t>主编</w:t>
      </w:r>
      <w:r>
        <w:rPr>
          <w:rStyle w:val="dash6b63-6587--char"/>
          <w:bCs/>
          <w:sz w:val="21"/>
          <w:szCs w:val="21"/>
        </w:rPr>
        <w:t xml:space="preserve"> </w:t>
      </w:r>
      <w:r>
        <w:rPr>
          <w:rStyle w:val="dash6b63-6587--char"/>
          <w:rFonts w:hint="eastAsia"/>
          <w:bCs/>
          <w:sz w:val="21"/>
          <w:szCs w:val="21"/>
        </w:rPr>
        <w:t>蔡基刚</w:t>
      </w:r>
      <w:r>
        <w:rPr>
          <w:rStyle w:val="dash6b63-6587--char"/>
          <w:bCs/>
          <w:sz w:val="21"/>
          <w:szCs w:val="21"/>
        </w:rPr>
        <w:t xml:space="preserve">     </w:t>
      </w:r>
      <w:r>
        <w:rPr>
          <w:rStyle w:val="dash6b63-6587--char"/>
          <w:rFonts w:hint="eastAsia"/>
          <w:bCs/>
          <w:sz w:val="21"/>
          <w:szCs w:val="21"/>
        </w:rPr>
        <w:t>外语教学与研究出版社</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bCs/>
          <w:sz w:val="21"/>
          <w:szCs w:val="21"/>
        </w:rPr>
        <w:t>TED VOA BBC CNN</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rFonts w:hint="eastAsia"/>
          <w:bCs/>
          <w:sz w:val="21"/>
          <w:szCs w:val="21"/>
        </w:rPr>
        <w:t>世界名校公开课</w:t>
      </w:r>
    </w:p>
    <w:p w:rsidR="003717A0" w:rsidRDefault="003717A0">
      <w:pPr>
        <w:pStyle w:val="dash6b63-6587"/>
        <w:adjustRightInd w:val="0"/>
        <w:snapToGrid w:val="0"/>
        <w:spacing w:before="0" w:beforeAutospacing="0" w:after="0" w:afterAutospacing="0" w:line="360" w:lineRule="auto"/>
        <w:ind w:firstLineChars="200" w:firstLine="420"/>
        <w:rPr>
          <w:rStyle w:val="dash6b63-6587--char"/>
          <w:bCs/>
          <w:sz w:val="21"/>
          <w:szCs w:val="21"/>
        </w:rPr>
      </w:pPr>
      <w:r>
        <w:rPr>
          <w:rStyle w:val="dash6b63-6587--char"/>
          <w:rFonts w:hint="eastAsia"/>
          <w:bCs/>
          <w:sz w:val="21"/>
          <w:szCs w:val="21"/>
        </w:rPr>
        <w:t>网络公开资料等</w:t>
      </w:r>
    </w:p>
    <w:p w:rsidR="003717A0" w:rsidRDefault="003717A0">
      <w:pPr>
        <w:pStyle w:val="a7"/>
        <w:spacing w:line="360" w:lineRule="auto"/>
        <w:ind w:left="359" w:firstLineChars="2989" w:firstLine="6277"/>
        <w:rPr>
          <w:rFonts w:eastAsia="黑体"/>
          <w:szCs w:val="21"/>
        </w:rPr>
      </w:pPr>
    </w:p>
    <w:p w:rsidR="003717A0" w:rsidRDefault="003717A0" w:rsidP="00F5156D">
      <w:pPr>
        <w:spacing w:line="360" w:lineRule="auto"/>
        <w:jc w:val="center"/>
        <w:rPr>
          <w:rFonts w:ascii="宋体"/>
          <w:bCs/>
          <w:szCs w:val="21"/>
        </w:rPr>
      </w:pPr>
      <w:r>
        <w:rPr>
          <w:rFonts w:ascii="宋体"/>
          <w:bCs/>
          <w:szCs w:val="21"/>
        </w:rPr>
        <w:br w:type="page"/>
      </w:r>
      <w:r>
        <w:rPr>
          <w:rFonts w:eastAsia="黑体" w:hint="eastAsia"/>
          <w:sz w:val="32"/>
          <w:szCs w:val="32"/>
        </w:rPr>
        <w:lastRenderedPageBreak/>
        <w:t>《基础学术英语（写作）》课程教学大纲</w:t>
      </w:r>
    </w:p>
    <w:p w:rsidR="003717A0" w:rsidRPr="00F5156D" w:rsidRDefault="003717A0" w:rsidP="00F5156D">
      <w:pPr>
        <w:spacing w:line="360" w:lineRule="auto"/>
        <w:jc w:val="center"/>
        <w:rPr>
          <w:rFonts w:ascii="宋体"/>
          <w:bCs/>
          <w:szCs w:val="21"/>
        </w:rPr>
      </w:pPr>
    </w:p>
    <w:p w:rsidR="003717A0" w:rsidRDefault="003717A0">
      <w:pPr>
        <w:rPr>
          <w:rFonts w:eastAsia="黑体"/>
          <w:b/>
          <w:sz w:val="28"/>
          <w:szCs w:val="28"/>
        </w:rPr>
      </w:pPr>
      <w:r>
        <w:rPr>
          <w:b/>
          <w:sz w:val="28"/>
          <w:szCs w:val="28"/>
        </w:rPr>
        <w:t xml:space="preserve"> </w:t>
      </w:r>
      <w:r>
        <w:rPr>
          <w:rFonts w:hint="eastAsia"/>
          <w:b/>
          <w:sz w:val="28"/>
          <w:szCs w:val="28"/>
        </w:rPr>
        <w:t>一、课程教学总览</w:t>
      </w:r>
    </w:p>
    <w:tbl>
      <w:tblPr>
        <w:tblW w:w="8585"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1"/>
        <w:gridCol w:w="2839"/>
        <w:gridCol w:w="3905"/>
      </w:tblGrid>
      <w:tr w:rsidR="003717A0">
        <w:trPr>
          <w:trHeight w:val="637"/>
          <w:jc w:val="center"/>
        </w:trPr>
        <w:tc>
          <w:tcPr>
            <w:tcW w:w="1841" w:type="dxa"/>
            <w:vAlign w:val="center"/>
          </w:tcPr>
          <w:p w:rsidR="003717A0" w:rsidRDefault="003717A0">
            <w:pPr>
              <w:snapToGrid w:val="0"/>
              <w:jc w:val="center"/>
              <w:rPr>
                <w:b/>
                <w:szCs w:val="21"/>
              </w:rPr>
            </w:pPr>
            <w:r>
              <w:rPr>
                <w:rFonts w:hint="eastAsia"/>
                <w:b/>
              </w:rPr>
              <w:t>教学内容</w:t>
            </w:r>
          </w:p>
        </w:tc>
        <w:tc>
          <w:tcPr>
            <w:tcW w:w="2839" w:type="dxa"/>
            <w:vAlign w:val="center"/>
          </w:tcPr>
          <w:p w:rsidR="003717A0" w:rsidRDefault="003717A0">
            <w:pPr>
              <w:autoSpaceDE w:val="0"/>
              <w:autoSpaceDN w:val="0"/>
              <w:adjustRightInd w:val="0"/>
              <w:snapToGrid w:val="0"/>
              <w:jc w:val="center"/>
              <w:rPr>
                <w:rFonts w:hAnsi="宋体" w:cs="宋体"/>
                <w:b/>
                <w:szCs w:val="21"/>
              </w:rPr>
            </w:pPr>
            <w:r>
              <w:rPr>
                <w:rFonts w:hint="eastAsia"/>
                <w:b/>
              </w:rPr>
              <w:t>具体任务</w:t>
            </w:r>
          </w:p>
        </w:tc>
        <w:tc>
          <w:tcPr>
            <w:tcW w:w="3905" w:type="dxa"/>
            <w:vAlign w:val="center"/>
          </w:tcPr>
          <w:p w:rsidR="003717A0" w:rsidRDefault="003717A0">
            <w:pPr>
              <w:snapToGrid w:val="0"/>
              <w:jc w:val="center"/>
              <w:rPr>
                <w:rFonts w:hAnsi="宋体" w:cs="宋体"/>
                <w:b/>
                <w:szCs w:val="21"/>
              </w:rPr>
            </w:pPr>
            <w:r>
              <w:rPr>
                <w:rFonts w:hint="eastAsia"/>
                <w:b/>
              </w:rPr>
              <w:t>预设练习</w:t>
            </w:r>
          </w:p>
        </w:tc>
      </w:tr>
      <w:tr w:rsidR="003717A0">
        <w:trPr>
          <w:trHeight w:val="910"/>
          <w:jc w:val="center"/>
        </w:trPr>
        <w:tc>
          <w:tcPr>
            <w:tcW w:w="1841" w:type="dxa"/>
            <w:vAlign w:val="center"/>
          </w:tcPr>
          <w:p w:rsidR="003717A0" w:rsidRDefault="003717A0">
            <w:pPr>
              <w:snapToGrid w:val="0"/>
              <w:jc w:val="center"/>
              <w:rPr>
                <w:rFonts w:ascii="宋体" w:cs="宋体"/>
                <w:szCs w:val="21"/>
              </w:rPr>
            </w:pPr>
            <w:r>
              <w:rPr>
                <w:rFonts w:ascii="宋体" w:hAnsi="宋体" w:cs="宋体" w:hint="eastAsia"/>
                <w:szCs w:val="21"/>
              </w:rPr>
              <w:t>学术英语写作简介和特点</w:t>
            </w:r>
          </w:p>
        </w:tc>
        <w:tc>
          <w:tcPr>
            <w:tcW w:w="2839" w:type="dxa"/>
            <w:vAlign w:val="center"/>
          </w:tcPr>
          <w:p w:rsidR="003717A0" w:rsidRDefault="003717A0">
            <w:pPr>
              <w:numPr>
                <w:ilvl w:val="0"/>
                <w:numId w:val="74"/>
              </w:numPr>
              <w:autoSpaceDE w:val="0"/>
              <w:autoSpaceDN w:val="0"/>
              <w:adjustRightInd w:val="0"/>
              <w:snapToGrid w:val="0"/>
              <w:rPr>
                <w:rFonts w:hAnsi="宋体" w:cs="宋体"/>
                <w:szCs w:val="21"/>
              </w:rPr>
            </w:pPr>
            <w:r>
              <w:rPr>
                <w:rFonts w:hAnsi="宋体" w:cs="宋体" w:hint="eastAsia"/>
                <w:szCs w:val="21"/>
              </w:rPr>
              <w:t>学术英语写作类型</w:t>
            </w:r>
          </w:p>
          <w:p w:rsidR="003717A0" w:rsidRDefault="003717A0">
            <w:pPr>
              <w:numPr>
                <w:ilvl w:val="0"/>
                <w:numId w:val="74"/>
              </w:numPr>
              <w:autoSpaceDE w:val="0"/>
              <w:autoSpaceDN w:val="0"/>
              <w:adjustRightInd w:val="0"/>
              <w:snapToGrid w:val="0"/>
              <w:rPr>
                <w:rFonts w:hAnsi="宋体" w:cs="宋体"/>
                <w:szCs w:val="21"/>
              </w:rPr>
            </w:pPr>
            <w:r>
              <w:rPr>
                <w:rFonts w:hAnsi="宋体" w:cs="宋体" w:hint="eastAsia"/>
                <w:szCs w:val="21"/>
              </w:rPr>
              <w:t>学术英语写作结构</w:t>
            </w:r>
          </w:p>
          <w:p w:rsidR="003717A0" w:rsidRDefault="003717A0">
            <w:pPr>
              <w:numPr>
                <w:ilvl w:val="0"/>
                <w:numId w:val="74"/>
              </w:numPr>
              <w:autoSpaceDE w:val="0"/>
              <w:autoSpaceDN w:val="0"/>
              <w:adjustRightInd w:val="0"/>
              <w:snapToGrid w:val="0"/>
              <w:rPr>
                <w:rFonts w:hAnsi="宋体" w:cs="宋体"/>
                <w:szCs w:val="21"/>
              </w:rPr>
            </w:pPr>
            <w:r>
              <w:rPr>
                <w:rFonts w:hAnsi="宋体" w:cs="宋体" w:hint="eastAsia"/>
                <w:szCs w:val="21"/>
              </w:rPr>
              <w:t>学术英语写作特点</w:t>
            </w:r>
          </w:p>
          <w:p w:rsidR="003717A0" w:rsidRDefault="003717A0">
            <w:pPr>
              <w:numPr>
                <w:ilvl w:val="0"/>
                <w:numId w:val="74"/>
              </w:numPr>
              <w:autoSpaceDE w:val="0"/>
              <w:autoSpaceDN w:val="0"/>
              <w:adjustRightInd w:val="0"/>
              <w:snapToGrid w:val="0"/>
              <w:rPr>
                <w:rFonts w:hAnsi="宋体" w:cs="宋体"/>
                <w:szCs w:val="21"/>
              </w:rPr>
            </w:pPr>
            <w:r>
              <w:rPr>
                <w:rFonts w:hAnsi="宋体" w:cs="宋体" w:hint="eastAsia"/>
                <w:szCs w:val="21"/>
              </w:rPr>
              <w:t>学术英语写作过程</w:t>
            </w:r>
          </w:p>
        </w:tc>
        <w:tc>
          <w:tcPr>
            <w:tcW w:w="3905" w:type="dxa"/>
            <w:vAlign w:val="center"/>
          </w:tcPr>
          <w:p w:rsidR="003717A0" w:rsidRDefault="003717A0">
            <w:pPr>
              <w:snapToGrid w:val="0"/>
              <w:jc w:val="left"/>
              <w:rPr>
                <w:rFonts w:hAnsi="宋体" w:cs="宋体"/>
                <w:szCs w:val="21"/>
              </w:rPr>
            </w:pPr>
            <w:r>
              <w:rPr>
                <w:rFonts w:hAnsi="宋体" w:cs="宋体"/>
                <w:szCs w:val="21"/>
              </w:rPr>
              <w:t xml:space="preserve">Choose an academic area that interests you and start reading in that direction. </w:t>
            </w:r>
          </w:p>
          <w:p w:rsidR="003717A0" w:rsidRDefault="003717A0">
            <w:pPr>
              <w:snapToGrid w:val="0"/>
              <w:jc w:val="left"/>
              <w:rPr>
                <w:rFonts w:hAnsi="宋体" w:cs="宋体"/>
                <w:szCs w:val="21"/>
              </w:rPr>
            </w:pPr>
            <w:r>
              <w:rPr>
                <w:rFonts w:hAnsi="宋体" w:cs="宋体"/>
                <w:szCs w:val="21"/>
              </w:rPr>
              <w:t xml:space="preserve">Discuss your ideas with your classmates and teacher. </w:t>
            </w:r>
          </w:p>
          <w:p w:rsidR="003717A0" w:rsidRDefault="003717A0">
            <w:pPr>
              <w:snapToGrid w:val="0"/>
              <w:jc w:val="left"/>
              <w:rPr>
                <w:rFonts w:hAnsi="宋体" w:cs="宋体"/>
                <w:szCs w:val="21"/>
              </w:rPr>
            </w:pPr>
            <w:r>
              <w:rPr>
                <w:rFonts w:hAnsi="宋体" w:cs="宋体"/>
                <w:szCs w:val="21"/>
              </w:rPr>
              <w:t xml:space="preserve">Then write a research proposal for further discussion. </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选题</w:t>
            </w:r>
            <w:r>
              <w:rPr>
                <w:rFonts w:ascii="宋体" w:hAnsi="宋体" w:cs="宋体"/>
                <w:szCs w:val="21"/>
              </w:rPr>
              <w:t xml:space="preserve"> </w:t>
            </w:r>
          </w:p>
        </w:tc>
        <w:tc>
          <w:tcPr>
            <w:tcW w:w="2839" w:type="dxa"/>
            <w:vAlign w:val="center"/>
          </w:tcPr>
          <w:p w:rsidR="003717A0" w:rsidRDefault="003717A0">
            <w:pPr>
              <w:numPr>
                <w:ilvl w:val="0"/>
                <w:numId w:val="75"/>
              </w:numPr>
              <w:autoSpaceDN w:val="0"/>
              <w:adjustRightInd w:val="0"/>
              <w:spacing w:line="315" w:lineRule="atLeast"/>
              <w:rPr>
                <w:rFonts w:hAnsi="宋体" w:cs="宋体"/>
                <w:szCs w:val="21"/>
              </w:rPr>
            </w:pPr>
            <w:r>
              <w:rPr>
                <w:rFonts w:hAnsi="宋体" w:cs="宋体" w:hint="eastAsia"/>
                <w:szCs w:val="21"/>
              </w:rPr>
              <w:t>选题的原则</w:t>
            </w:r>
          </w:p>
          <w:p w:rsidR="003717A0" w:rsidRDefault="003717A0">
            <w:pPr>
              <w:numPr>
                <w:ilvl w:val="0"/>
                <w:numId w:val="75"/>
              </w:numPr>
              <w:autoSpaceDN w:val="0"/>
              <w:adjustRightInd w:val="0"/>
              <w:spacing w:line="315" w:lineRule="atLeast"/>
              <w:rPr>
                <w:rFonts w:hAnsi="宋体" w:cs="宋体"/>
                <w:szCs w:val="21"/>
              </w:rPr>
            </w:pPr>
            <w:r>
              <w:rPr>
                <w:rFonts w:hAnsi="宋体" w:cs="宋体" w:hint="eastAsia"/>
                <w:szCs w:val="21"/>
              </w:rPr>
              <w:t>选题的方法</w:t>
            </w:r>
          </w:p>
        </w:tc>
        <w:tc>
          <w:tcPr>
            <w:tcW w:w="3905" w:type="dxa"/>
            <w:vAlign w:val="center"/>
          </w:tcPr>
          <w:p w:rsidR="003717A0" w:rsidRDefault="003717A0">
            <w:pPr>
              <w:autoSpaceDN w:val="0"/>
              <w:spacing w:line="315" w:lineRule="atLeast"/>
              <w:jc w:val="left"/>
              <w:rPr>
                <w:rFonts w:ascii="宋体" w:cs="宋体"/>
                <w:szCs w:val="21"/>
              </w:rPr>
            </w:pPr>
            <w:r>
              <w:rPr>
                <w:rFonts w:hAnsi="宋体" w:cs="宋体"/>
                <w:szCs w:val="21"/>
              </w:rPr>
              <w:t xml:space="preserve">Evaluate given titles and decide whether they are feasible research topics. </w:t>
            </w:r>
          </w:p>
        </w:tc>
      </w:tr>
      <w:tr w:rsidR="003717A0">
        <w:trPr>
          <w:trHeight w:val="296"/>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导论与文献综述</w:t>
            </w:r>
          </w:p>
        </w:tc>
        <w:tc>
          <w:tcPr>
            <w:tcW w:w="2839" w:type="dxa"/>
            <w:vAlign w:val="center"/>
          </w:tcPr>
          <w:p w:rsidR="003717A0" w:rsidRDefault="003717A0">
            <w:pPr>
              <w:numPr>
                <w:ilvl w:val="0"/>
                <w:numId w:val="76"/>
              </w:numPr>
              <w:autoSpaceDN w:val="0"/>
              <w:adjustRightInd w:val="0"/>
              <w:spacing w:line="315" w:lineRule="atLeast"/>
              <w:rPr>
                <w:rFonts w:hAnsi="宋体" w:cs="宋体"/>
                <w:szCs w:val="21"/>
              </w:rPr>
            </w:pPr>
            <w:r>
              <w:rPr>
                <w:rFonts w:hAnsi="宋体" w:cs="宋体" w:hint="eastAsia"/>
                <w:szCs w:val="21"/>
              </w:rPr>
              <w:t>写好导论的注意点（语言点：怎样开篇）</w:t>
            </w:r>
          </w:p>
          <w:p w:rsidR="003717A0" w:rsidRDefault="003717A0">
            <w:pPr>
              <w:numPr>
                <w:ilvl w:val="0"/>
                <w:numId w:val="76"/>
              </w:numPr>
              <w:autoSpaceDN w:val="0"/>
              <w:adjustRightInd w:val="0"/>
              <w:spacing w:line="315" w:lineRule="atLeast"/>
              <w:rPr>
                <w:rFonts w:hAnsi="宋体" w:cs="宋体"/>
                <w:szCs w:val="21"/>
              </w:rPr>
            </w:pPr>
            <w:r>
              <w:rPr>
                <w:rFonts w:hAnsi="宋体" w:cs="宋体" w:hint="eastAsia"/>
                <w:szCs w:val="21"/>
              </w:rPr>
              <w:t>论文献综述的重要性和写作注意点（语言点：</w:t>
            </w:r>
            <w:r>
              <w:rPr>
                <w:rFonts w:hAnsi="宋体" w:cs="宋体"/>
                <w:szCs w:val="21"/>
              </w:rPr>
              <w:t>tense &amp; negative comments</w:t>
            </w:r>
            <w:r>
              <w:rPr>
                <w:rFonts w:hAnsi="宋体" w:cs="宋体" w:hint="eastAsia"/>
                <w:szCs w:val="21"/>
              </w:rPr>
              <w:t>）</w:t>
            </w:r>
          </w:p>
        </w:tc>
        <w:tc>
          <w:tcPr>
            <w:tcW w:w="3905" w:type="dxa"/>
            <w:vAlign w:val="center"/>
          </w:tcPr>
          <w:p w:rsidR="003717A0" w:rsidRDefault="003717A0">
            <w:pPr>
              <w:autoSpaceDN w:val="0"/>
              <w:jc w:val="left"/>
              <w:rPr>
                <w:rFonts w:hAnsi="宋体" w:cs="宋体"/>
                <w:szCs w:val="21"/>
              </w:rPr>
            </w:pPr>
            <w:r>
              <w:rPr>
                <w:rFonts w:hAnsi="宋体" w:cs="宋体"/>
                <w:szCs w:val="21"/>
              </w:rPr>
              <w:t xml:space="preserve">Find a recent journal in your field of interest. </w:t>
            </w:r>
          </w:p>
          <w:p w:rsidR="003717A0" w:rsidRDefault="003717A0">
            <w:pPr>
              <w:autoSpaceDN w:val="0"/>
              <w:jc w:val="left"/>
              <w:rPr>
                <w:rFonts w:hAnsi="宋体" w:cs="宋体"/>
                <w:szCs w:val="21"/>
              </w:rPr>
            </w:pPr>
            <w:r>
              <w:rPr>
                <w:rFonts w:hAnsi="宋体" w:cs="宋体"/>
                <w:szCs w:val="21"/>
              </w:rPr>
              <w:t xml:space="preserve">Look at the introductions and literature review of up to 3 articles. </w:t>
            </w:r>
          </w:p>
          <w:p w:rsidR="003717A0" w:rsidRDefault="003717A0">
            <w:pPr>
              <w:autoSpaceDN w:val="0"/>
              <w:jc w:val="left"/>
              <w:rPr>
                <w:rFonts w:ascii="宋体" w:cs="宋体"/>
                <w:szCs w:val="21"/>
              </w:rPr>
            </w:pPr>
            <w:r>
              <w:rPr>
                <w:rFonts w:hAnsi="宋体" w:cs="宋体"/>
                <w:szCs w:val="21"/>
              </w:rPr>
              <w:t xml:space="preserve">Then write an essay to report how these authors present their introductions and literature reviews, and also make comments on their presentations. </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方法与结果写作</w:t>
            </w:r>
          </w:p>
        </w:tc>
        <w:tc>
          <w:tcPr>
            <w:tcW w:w="2839" w:type="dxa"/>
            <w:vAlign w:val="center"/>
          </w:tcPr>
          <w:p w:rsidR="003717A0" w:rsidRDefault="003717A0">
            <w:pPr>
              <w:spacing w:line="300" w:lineRule="auto"/>
              <w:rPr>
                <w:rFonts w:hAnsi="宋体" w:cs="宋体"/>
                <w:szCs w:val="21"/>
              </w:rPr>
            </w:pPr>
            <w:r>
              <w:rPr>
                <w:rFonts w:hint="eastAsia"/>
                <w:szCs w:val="21"/>
              </w:rPr>
              <w:t>研究方法写作中包含的内容</w:t>
            </w:r>
            <w:r>
              <w:rPr>
                <w:rFonts w:hAnsi="宋体" w:cs="宋体" w:hint="eastAsia"/>
                <w:szCs w:val="21"/>
              </w:rPr>
              <w:t>（语言点：祈使句</w:t>
            </w:r>
            <w:r>
              <w:rPr>
                <w:rFonts w:hAnsi="宋体" w:cs="宋体"/>
                <w:szCs w:val="21"/>
              </w:rPr>
              <w:t>)</w:t>
            </w:r>
          </w:p>
          <w:p w:rsidR="003717A0" w:rsidRDefault="003717A0">
            <w:pPr>
              <w:numPr>
                <w:ilvl w:val="0"/>
                <w:numId w:val="77"/>
              </w:numPr>
              <w:autoSpaceDN w:val="0"/>
              <w:adjustRightInd w:val="0"/>
              <w:spacing w:line="315" w:lineRule="atLeast"/>
              <w:rPr>
                <w:rFonts w:hAnsi="宋体" w:cs="宋体"/>
                <w:szCs w:val="21"/>
              </w:rPr>
            </w:pPr>
            <w:r>
              <w:rPr>
                <w:rFonts w:hAnsi="宋体" w:cs="宋体" w:hint="eastAsia"/>
                <w:szCs w:val="21"/>
              </w:rPr>
              <w:t>研究结果写作中包含的内容和结果评述</w:t>
            </w:r>
          </w:p>
        </w:tc>
        <w:tc>
          <w:tcPr>
            <w:tcW w:w="3905" w:type="dxa"/>
            <w:vAlign w:val="center"/>
          </w:tcPr>
          <w:p w:rsidR="003717A0" w:rsidRDefault="003717A0">
            <w:pPr>
              <w:autoSpaceDN w:val="0"/>
              <w:spacing w:line="315" w:lineRule="atLeast"/>
              <w:jc w:val="left"/>
              <w:rPr>
                <w:rFonts w:ascii="宋体" w:cs="宋体"/>
                <w:szCs w:val="21"/>
              </w:rPr>
            </w:pPr>
            <w:r>
              <w:rPr>
                <w:rFonts w:hAnsi="宋体" w:cs="宋体"/>
                <w:szCs w:val="21"/>
              </w:rPr>
              <w:t>Write a Results section for your own research.</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图表写作</w:t>
            </w:r>
          </w:p>
        </w:tc>
        <w:tc>
          <w:tcPr>
            <w:tcW w:w="2839" w:type="dxa"/>
            <w:vAlign w:val="center"/>
          </w:tcPr>
          <w:p w:rsidR="003717A0" w:rsidRDefault="003717A0">
            <w:pPr>
              <w:numPr>
                <w:ilvl w:val="0"/>
                <w:numId w:val="78"/>
              </w:numPr>
              <w:autoSpaceDN w:val="0"/>
              <w:adjustRightInd w:val="0"/>
              <w:spacing w:line="315" w:lineRule="atLeast"/>
              <w:rPr>
                <w:rFonts w:hAnsi="宋体" w:cs="宋体"/>
                <w:szCs w:val="21"/>
              </w:rPr>
            </w:pPr>
            <w:r>
              <w:rPr>
                <w:rFonts w:hAnsi="宋体" w:cs="宋体" w:hint="eastAsia"/>
                <w:szCs w:val="21"/>
              </w:rPr>
              <w:t>图表的类型（语言点：不同图表的表达）</w:t>
            </w:r>
          </w:p>
          <w:p w:rsidR="003717A0" w:rsidRDefault="003717A0">
            <w:pPr>
              <w:numPr>
                <w:ilvl w:val="0"/>
                <w:numId w:val="78"/>
              </w:numPr>
              <w:autoSpaceDN w:val="0"/>
              <w:adjustRightInd w:val="0"/>
              <w:spacing w:line="315" w:lineRule="atLeast"/>
              <w:rPr>
                <w:rFonts w:hAnsi="宋体" w:cs="宋体"/>
                <w:szCs w:val="21"/>
              </w:rPr>
            </w:pPr>
            <w:r>
              <w:rPr>
                <w:rFonts w:hAnsi="宋体" w:cs="宋体" w:hint="eastAsia"/>
                <w:szCs w:val="21"/>
              </w:rPr>
              <w:t>数据评述</w:t>
            </w:r>
            <w:r>
              <w:rPr>
                <w:rFonts w:hAnsi="宋体" w:cs="宋体"/>
                <w:szCs w:val="21"/>
              </w:rPr>
              <w:t xml:space="preserve"> </w:t>
            </w:r>
            <w:r>
              <w:rPr>
                <w:rFonts w:hAnsi="宋体" w:cs="宋体" w:hint="eastAsia"/>
                <w:szCs w:val="21"/>
              </w:rPr>
              <w:t>（语言点：数据用词和句式）</w:t>
            </w:r>
          </w:p>
        </w:tc>
        <w:tc>
          <w:tcPr>
            <w:tcW w:w="3905" w:type="dxa"/>
            <w:vAlign w:val="center"/>
          </w:tcPr>
          <w:p w:rsidR="003717A0" w:rsidRDefault="003717A0">
            <w:pPr>
              <w:autoSpaceDN w:val="0"/>
              <w:spacing w:line="315" w:lineRule="atLeast"/>
              <w:jc w:val="left"/>
              <w:rPr>
                <w:rFonts w:ascii="宋体" w:cs="宋体"/>
                <w:szCs w:val="21"/>
              </w:rPr>
            </w:pPr>
            <w:r>
              <w:rPr>
                <w:rFonts w:hAnsi="宋体" w:cs="宋体"/>
                <w:szCs w:val="21"/>
              </w:rPr>
              <w:t xml:space="preserve">Write a data commentary from your own field of study based on data that you have selected. </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讨论与结论写作</w:t>
            </w:r>
          </w:p>
        </w:tc>
        <w:tc>
          <w:tcPr>
            <w:tcW w:w="2839" w:type="dxa"/>
            <w:vAlign w:val="center"/>
          </w:tcPr>
          <w:p w:rsidR="003717A0" w:rsidRDefault="003717A0">
            <w:pPr>
              <w:numPr>
                <w:ilvl w:val="0"/>
                <w:numId w:val="79"/>
              </w:numPr>
              <w:autoSpaceDN w:val="0"/>
              <w:adjustRightInd w:val="0"/>
              <w:spacing w:line="315" w:lineRule="atLeast"/>
              <w:rPr>
                <w:rFonts w:hAnsi="宋体" w:cs="宋体"/>
                <w:szCs w:val="21"/>
              </w:rPr>
            </w:pPr>
            <w:r>
              <w:rPr>
                <w:rFonts w:hAnsi="宋体" w:cs="宋体" w:hint="eastAsia"/>
                <w:szCs w:val="21"/>
              </w:rPr>
              <w:t>讨论写作中的注意点（语言点：语态的使用，比较和对比）</w:t>
            </w:r>
          </w:p>
          <w:p w:rsidR="003717A0" w:rsidRDefault="003717A0">
            <w:pPr>
              <w:numPr>
                <w:ilvl w:val="0"/>
                <w:numId w:val="79"/>
              </w:numPr>
              <w:autoSpaceDN w:val="0"/>
              <w:adjustRightInd w:val="0"/>
              <w:spacing w:line="315" w:lineRule="atLeast"/>
              <w:rPr>
                <w:rFonts w:hAnsi="宋体" w:cs="宋体"/>
                <w:szCs w:val="21"/>
              </w:rPr>
            </w:pPr>
            <w:r>
              <w:rPr>
                <w:rFonts w:hAnsi="宋体" w:cs="宋体" w:hint="eastAsia"/>
                <w:szCs w:val="21"/>
              </w:rPr>
              <w:t>结论写作的构成（语言点：因果关系，句间的过度）</w:t>
            </w:r>
          </w:p>
        </w:tc>
        <w:tc>
          <w:tcPr>
            <w:tcW w:w="3905" w:type="dxa"/>
            <w:vAlign w:val="center"/>
          </w:tcPr>
          <w:p w:rsidR="003717A0" w:rsidRDefault="003717A0">
            <w:pPr>
              <w:autoSpaceDN w:val="0"/>
              <w:spacing w:line="315" w:lineRule="atLeast"/>
              <w:jc w:val="left"/>
              <w:rPr>
                <w:rFonts w:hAnsi="宋体" w:cs="宋体"/>
                <w:szCs w:val="21"/>
              </w:rPr>
            </w:pPr>
            <w:r>
              <w:rPr>
                <w:rFonts w:hAnsi="宋体" w:cs="宋体"/>
                <w:szCs w:val="21"/>
              </w:rPr>
              <w:t>Find a technical report or research paper from a journal or other resources.</w:t>
            </w:r>
          </w:p>
          <w:p w:rsidR="003717A0" w:rsidRDefault="003717A0">
            <w:pPr>
              <w:autoSpaceDN w:val="0"/>
              <w:spacing w:line="315" w:lineRule="atLeast"/>
              <w:jc w:val="left"/>
              <w:rPr>
                <w:rFonts w:ascii="宋体" w:cs="宋体"/>
                <w:szCs w:val="21"/>
              </w:rPr>
            </w:pPr>
            <w:r>
              <w:rPr>
                <w:rFonts w:hAnsi="宋体" w:cs="宋体"/>
                <w:szCs w:val="21"/>
              </w:rPr>
              <w:t xml:space="preserve">In a 300-word essay, evaluate the Discussion and Conclusions sections. </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摘要写作</w:t>
            </w:r>
          </w:p>
        </w:tc>
        <w:tc>
          <w:tcPr>
            <w:tcW w:w="2839" w:type="dxa"/>
            <w:vAlign w:val="center"/>
          </w:tcPr>
          <w:p w:rsidR="003717A0" w:rsidRDefault="003717A0">
            <w:pPr>
              <w:autoSpaceDN w:val="0"/>
              <w:spacing w:line="315" w:lineRule="atLeast"/>
              <w:rPr>
                <w:rFonts w:ascii="宋体" w:cs="宋体"/>
                <w:szCs w:val="21"/>
              </w:rPr>
            </w:pPr>
            <w:r>
              <w:rPr>
                <w:rFonts w:hAnsi="宋体" w:cs="宋体" w:hint="eastAsia"/>
                <w:szCs w:val="21"/>
              </w:rPr>
              <w:t>摘要写作注意点（语言点：摘要语法，连贯性）</w:t>
            </w:r>
          </w:p>
        </w:tc>
        <w:tc>
          <w:tcPr>
            <w:tcW w:w="3905" w:type="dxa"/>
            <w:vAlign w:val="center"/>
          </w:tcPr>
          <w:p w:rsidR="003717A0" w:rsidRDefault="003717A0">
            <w:pPr>
              <w:autoSpaceDN w:val="0"/>
              <w:spacing w:line="315" w:lineRule="atLeast"/>
              <w:jc w:val="left"/>
              <w:rPr>
                <w:rFonts w:ascii="宋体" w:cs="宋体"/>
                <w:szCs w:val="21"/>
              </w:rPr>
            </w:pPr>
            <w:r>
              <w:rPr>
                <w:rFonts w:hAnsi="宋体" w:cs="宋体"/>
                <w:szCs w:val="21"/>
              </w:rPr>
              <w:t xml:space="preserve">Write an abstract based on the given research paper. </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标题、致谢、文献目录、引注</w:t>
            </w:r>
            <w:r>
              <w:rPr>
                <w:rFonts w:ascii="宋体" w:hAnsi="宋体" w:cs="宋体"/>
                <w:szCs w:val="21"/>
              </w:rPr>
              <w:t xml:space="preserve">     </w:t>
            </w:r>
          </w:p>
        </w:tc>
        <w:tc>
          <w:tcPr>
            <w:tcW w:w="2839" w:type="dxa"/>
            <w:vAlign w:val="center"/>
          </w:tcPr>
          <w:p w:rsidR="003717A0" w:rsidRDefault="003717A0">
            <w:pPr>
              <w:autoSpaceDN w:val="0"/>
              <w:spacing w:line="315" w:lineRule="atLeast"/>
              <w:rPr>
                <w:rFonts w:ascii="宋体" w:cs="宋体"/>
                <w:szCs w:val="21"/>
              </w:rPr>
            </w:pPr>
            <w:r>
              <w:rPr>
                <w:rFonts w:hAnsi="宋体" w:cs="宋体" w:hint="eastAsia"/>
                <w:szCs w:val="21"/>
              </w:rPr>
              <w:t>各部分的构成、相应的格式</w:t>
            </w:r>
          </w:p>
        </w:tc>
        <w:tc>
          <w:tcPr>
            <w:tcW w:w="3905" w:type="dxa"/>
            <w:vAlign w:val="center"/>
          </w:tcPr>
          <w:p w:rsidR="003717A0" w:rsidRDefault="003717A0">
            <w:pPr>
              <w:autoSpaceDN w:val="0"/>
              <w:spacing w:line="315" w:lineRule="atLeast"/>
              <w:jc w:val="left"/>
              <w:rPr>
                <w:rFonts w:ascii="宋体" w:cs="宋体"/>
                <w:szCs w:val="21"/>
              </w:rPr>
            </w:pPr>
            <w:r>
              <w:rPr>
                <w:rFonts w:hAnsi="宋体" w:cs="宋体"/>
                <w:szCs w:val="21"/>
              </w:rPr>
              <w:t>Write the Acknowledgments for one of your research papers.</w:t>
            </w:r>
          </w:p>
        </w:tc>
      </w:tr>
      <w:tr w:rsidR="003717A0">
        <w:trPr>
          <w:jc w:val="center"/>
        </w:trPr>
        <w:tc>
          <w:tcPr>
            <w:tcW w:w="1841" w:type="dxa"/>
            <w:vAlign w:val="center"/>
          </w:tcPr>
          <w:p w:rsidR="003717A0" w:rsidRDefault="003717A0">
            <w:pPr>
              <w:autoSpaceDN w:val="0"/>
              <w:spacing w:line="315" w:lineRule="atLeast"/>
              <w:jc w:val="center"/>
              <w:rPr>
                <w:szCs w:val="21"/>
              </w:rPr>
            </w:pPr>
            <w:r>
              <w:rPr>
                <w:rFonts w:ascii="宋体" w:hAnsi="宋体" w:cs="宋体" w:hint="eastAsia"/>
                <w:szCs w:val="21"/>
              </w:rPr>
              <w:t>学术应用文写作一读书报告</w:t>
            </w:r>
            <w:r>
              <w:rPr>
                <w:rFonts w:ascii="宋体" w:hAnsi="宋体" w:cs="宋体"/>
                <w:szCs w:val="21"/>
              </w:rPr>
              <w:t>&amp;</w:t>
            </w:r>
            <w:r>
              <w:rPr>
                <w:rFonts w:ascii="宋体" w:hAnsi="宋体" w:cs="宋体" w:hint="eastAsia"/>
                <w:szCs w:val="21"/>
              </w:rPr>
              <w:t>读书评论</w:t>
            </w:r>
          </w:p>
        </w:tc>
        <w:tc>
          <w:tcPr>
            <w:tcW w:w="2839" w:type="dxa"/>
            <w:vAlign w:val="center"/>
          </w:tcPr>
          <w:p w:rsidR="003717A0" w:rsidRDefault="003717A0">
            <w:pPr>
              <w:numPr>
                <w:ilvl w:val="0"/>
                <w:numId w:val="80"/>
              </w:numPr>
              <w:autoSpaceDN w:val="0"/>
              <w:adjustRightInd w:val="0"/>
              <w:spacing w:line="315" w:lineRule="atLeast"/>
              <w:rPr>
                <w:rFonts w:hAnsi="宋体" w:cs="宋体"/>
                <w:szCs w:val="21"/>
              </w:rPr>
            </w:pPr>
            <w:r>
              <w:rPr>
                <w:rFonts w:hAnsi="宋体" w:cs="宋体" w:hint="eastAsia"/>
                <w:szCs w:val="21"/>
              </w:rPr>
              <w:t>格式</w:t>
            </w:r>
          </w:p>
          <w:p w:rsidR="003717A0" w:rsidRDefault="003717A0">
            <w:pPr>
              <w:numPr>
                <w:ilvl w:val="0"/>
                <w:numId w:val="80"/>
              </w:numPr>
              <w:autoSpaceDN w:val="0"/>
              <w:adjustRightInd w:val="0"/>
              <w:spacing w:line="315" w:lineRule="atLeast"/>
              <w:rPr>
                <w:rFonts w:hAnsi="宋体" w:cs="宋体"/>
                <w:szCs w:val="21"/>
              </w:rPr>
            </w:pPr>
            <w:r>
              <w:rPr>
                <w:rFonts w:hAnsi="宋体" w:cs="宋体" w:hint="eastAsia"/>
                <w:szCs w:val="21"/>
              </w:rPr>
              <w:t>写作特点</w:t>
            </w:r>
          </w:p>
        </w:tc>
        <w:tc>
          <w:tcPr>
            <w:tcW w:w="3905" w:type="dxa"/>
            <w:vAlign w:val="center"/>
          </w:tcPr>
          <w:p w:rsidR="003717A0" w:rsidRDefault="003717A0">
            <w:pPr>
              <w:autoSpaceDN w:val="0"/>
              <w:spacing w:line="315" w:lineRule="atLeast"/>
              <w:jc w:val="left"/>
              <w:rPr>
                <w:rFonts w:ascii="宋体" w:cs="宋体"/>
                <w:szCs w:val="21"/>
              </w:rPr>
            </w:pPr>
            <w:r>
              <w:rPr>
                <w:rFonts w:hAnsi="宋体" w:cs="宋体"/>
                <w:szCs w:val="21"/>
              </w:rPr>
              <w:t>Write a book report and a book review.</w:t>
            </w:r>
          </w:p>
        </w:tc>
      </w:tr>
      <w:tr w:rsidR="003717A0">
        <w:trPr>
          <w:jc w:val="center"/>
        </w:trPr>
        <w:tc>
          <w:tcPr>
            <w:tcW w:w="1841" w:type="dxa"/>
            <w:vAlign w:val="center"/>
          </w:tcPr>
          <w:p w:rsidR="003717A0" w:rsidRDefault="003717A0">
            <w:pPr>
              <w:autoSpaceDN w:val="0"/>
              <w:spacing w:line="315" w:lineRule="atLeast"/>
              <w:jc w:val="center"/>
              <w:rPr>
                <w:szCs w:val="21"/>
              </w:rPr>
            </w:pPr>
            <w:r>
              <w:rPr>
                <w:rFonts w:hAnsi="宋体" w:cs="宋体" w:hint="eastAsia"/>
                <w:szCs w:val="21"/>
              </w:rPr>
              <w:t>学术</w:t>
            </w:r>
            <w:r>
              <w:rPr>
                <w:rFonts w:ascii="宋体" w:hAnsi="宋体" w:cs="宋体" w:hint="eastAsia"/>
                <w:szCs w:val="21"/>
              </w:rPr>
              <w:t>应用文写作</w:t>
            </w:r>
            <w:r>
              <w:rPr>
                <w:rFonts w:ascii="宋体" w:cs="宋体"/>
                <w:szCs w:val="21"/>
              </w:rPr>
              <w:lastRenderedPageBreak/>
              <w:t>--</w:t>
            </w:r>
            <w:r>
              <w:rPr>
                <w:rFonts w:ascii="宋体" w:hAnsi="宋体" w:cs="宋体" w:hint="eastAsia"/>
                <w:szCs w:val="21"/>
              </w:rPr>
              <w:t>学术访问与合作</w:t>
            </w:r>
            <w:r>
              <w:rPr>
                <w:rFonts w:ascii="宋体" w:hAnsi="宋体" w:cs="宋体"/>
                <w:szCs w:val="21"/>
              </w:rPr>
              <w:t xml:space="preserve"> </w:t>
            </w:r>
          </w:p>
        </w:tc>
        <w:tc>
          <w:tcPr>
            <w:tcW w:w="2839" w:type="dxa"/>
            <w:vAlign w:val="center"/>
          </w:tcPr>
          <w:p w:rsidR="003717A0" w:rsidRDefault="003717A0">
            <w:pPr>
              <w:autoSpaceDN w:val="0"/>
              <w:spacing w:line="315" w:lineRule="atLeast"/>
              <w:rPr>
                <w:rFonts w:hAnsi="宋体" w:cs="宋体"/>
                <w:szCs w:val="21"/>
              </w:rPr>
            </w:pPr>
            <w:r>
              <w:rPr>
                <w:rFonts w:hAnsi="宋体" w:cs="宋体" w:hint="eastAsia"/>
                <w:szCs w:val="21"/>
              </w:rPr>
              <w:lastRenderedPageBreak/>
              <w:t>范例解读并练习</w:t>
            </w:r>
          </w:p>
        </w:tc>
        <w:tc>
          <w:tcPr>
            <w:tcW w:w="3905" w:type="dxa"/>
            <w:vAlign w:val="center"/>
          </w:tcPr>
          <w:p w:rsidR="003717A0" w:rsidRDefault="003717A0">
            <w:pPr>
              <w:autoSpaceDN w:val="0"/>
              <w:spacing w:line="315" w:lineRule="atLeast"/>
              <w:jc w:val="left"/>
              <w:rPr>
                <w:rFonts w:hAnsi="宋体" w:cs="宋体"/>
                <w:szCs w:val="21"/>
              </w:rPr>
            </w:pPr>
            <w:r>
              <w:rPr>
                <w:rFonts w:hAnsi="宋体" w:cs="宋体"/>
                <w:szCs w:val="21"/>
              </w:rPr>
              <w:t>Write an application form.</w:t>
            </w:r>
          </w:p>
        </w:tc>
      </w:tr>
      <w:tr w:rsidR="003717A0">
        <w:trPr>
          <w:jc w:val="center"/>
        </w:trPr>
        <w:tc>
          <w:tcPr>
            <w:tcW w:w="1841" w:type="dxa"/>
            <w:vAlign w:val="center"/>
          </w:tcPr>
          <w:p w:rsidR="003717A0" w:rsidRDefault="003717A0">
            <w:pPr>
              <w:autoSpaceDN w:val="0"/>
              <w:spacing w:line="315" w:lineRule="atLeast"/>
              <w:jc w:val="center"/>
              <w:rPr>
                <w:rFonts w:hAnsi="宋体" w:cs="宋体"/>
                <w:szCs w:val="21"/>
              </w:rPr>
            </w:pPr>
            <w:r>
              <w:rPr>
                <w:rFonts w:hAnsi="宋体" w:cs="宋体" w:hint="eastAsia"/>
                <w:szCs w:val="21"/>
              </w:rPr>
              <w:lastRenderedPageBreak/>
              <w:t>拟稿</w:t>
            </w:r>
            <w:r>
              <w:rPr>
                <w:rFonts w:hAnsi="宋体" w:cs="宋体"/>
                <w:szCs w:val="21"/>
              </w:rPr>
              <w:t xml:space="preserve"> </w:t>
            </w:r>
          </w:p>
        </w:tc>
        <w:tc>
          <w:tcPr>
            <w:tcW w:w="2839" w:type="dxa"/>
            <w:vAlign w:val="center"/>
          </w:tcPr>
          <w:p w:rsidR="003717A0" w:rsidRDefault="003717A0">
            <w:pPr>
              <w:autoSpaceDN w:val="0"/>
              <w:spacing w:line="315" w:lineRule="atLeast"/>
              <w:rPr>
                <w:rFonts w:hAnsi="宋体" w:cs="宋体"/>
                <w:szCs w:val="21"/>
              </w:rPr>
            </w:pPr>
            <w:r>
              <w:rPr>
                <w:rFonts w:hAnsi="宋体" w:cs="宋体" w:hint="eastAsia"/>
                <w:szCs w:val="21"/>
              </w:rPr>
              <w:t>拟稿</w:t>
            </w:r>
          </w:p>
        </w:tc>
        <w:tc>
          <w:tcPr>
            <w:tcW w:w="3905" w:type="dxa"/>
            <w:vAlign w:val="center"/>
          </w:tcPr>
          <w:p w:rsidR="003717A0" w:rsidRDefault="003717A0">
            <w:pPr>
              <w:autoSpaceDN w:val="0"/>
              <w:spacing w:line="315" w:lineRule="atLeast"/>
              <w:jc w:val="left"/>
              <w:rPr>
                <w:rFonts w:hAnsi="宋体" w:cs="宋体"/>
                <w:szCs w:val="21"/>
              </w:rPr>
            </w:pPr>
            <w:r>
              <w:rPr>
                <w:rFonts w:hAnsi="宋体" w:cs="宋体"/>
                <w:szCs w:val="21"/>
              </w:rPr>
              <w:t xml:space="preserve">Write your own essay. </w:t>
            </w:r>
          </w:p>
        </w:tc>
      </w:tr>
    </w:tbl>
    <w:p w:rsidR="003717A0" w:rsidRDefault="003717A0">
      <w:pPr>
        <w:rPr>
          <w:rFonts w:eastAsia="黑体"/>
          <w:b/>
          <w:bCs/>
          <w:sz w:val="32"/>
        </w:rPr>
      </w:pPr>
    </w:p>
    <w:p w:rsidR="003717A0" w:rsidRDefault="003717A0">
      <w:pPr>
        <w:rPr>
          <w:rFonts w:eastAsia="黑体"/>
          <w:b/>
          <w:bCs/>
          <w:sz w:val="28"/>
          <w:szCs w:val="28"/>
        </w:rPr>
      </w:pPr>
      <w:r>
        <w:rPr>
          <w:rFonts w:eastAsia="黑体" w:hint="eastAsia"/>
          <w:b/>
          <w:bCs/>
          <w:sz w:val="28"/>
          <w:szCs w:val="28"/>
        </w:rPr>
        <w:t>二、教学内容</w:t>
      </w:r>
    </w:p>
    <w:p w:rsidR="003717A0" w:rsidRDefault="003717A0">
      <w:pPr>
        <w:rPr>
          <w:sz w:val="24"/>
        </w:rPr>
      </w:pPr>
      <w:r>
        <w:rPr>
          <w:b/>
          <w:bCs/>
          <w:sz w:val="24"/>
        </w:rPr>
        <w:t>Chapter 1 An overview of effective academic writing</w:t>
      </w:r>
    </w:p>
    <w:p w:rsidR="003717A0" w:rsidRDefault="003717A0">
      <w:pPr>
        <w:jc w:val="left"/>
        <w:rPr>
          <w:bCs/>
          <w:sz w:val="24"/>
        </w:rPr>
      </w:pPr>
      <w:r>
        <w:rPr>
          <w:bCs/>
          <w:sz w:val="24"/>
        </w:rPr>
        <w:t>Part I Warming up</w:t>
      </w:r>
    </w:p>
    <w:p w:rsidR="003717A0" w:rsidRDefault="003717A0">
      <w:pPr>
        <w:pStyle w:val="ab"/>
        <w:rPr>
          <w:bCs/>
          <w:sz w:val="24"/>
          <w:szCs w:val="24"/>
        </w:rPr>
      </w:pPr>
      <w:r>
        <w:rPr>
          <w:bCs/>
          <w:sz w:val="24"/>
          <w:szCs w:val="24"/>
        </w:rPr>
        <w:t>Part II An overview of effective academic writing</w:t>
      </w:r>
    </w:p>
    <w:p w:rsidR="003717A0" w:rsidRDefault="003717A0">
      <w:pPr>
        <w:ind w:firstLineChars="100" w:firstLine="240"/>
        <w:rPr>
          <w:bCs/>
          <w:sz w:val="24"/>
        </w:rPr>
      </w:pPr>
      <w:r>
        <w:rPr>
          <w:bCs/>
          <w:sz w:val="24"/>
        </w:rPr>
        <w:t>1 Introduction</w:t>
      </w:r>
    </w:p>
    <w:p w:rsidR="003717A0" w:rsidRDefault="003717A0">
      <w:pPr>
        <w:ind w:firstLineChars="100" w:firstLine="240"/>
        <w:rPr>
          <w:bCs/>
          <w:sz w:val="24"/>
        </w:rPr>
      </w:pPr>
      <w:r>
        <w:rPr>
          <w:bCs/>
          <w:sz w:val="24"/>
        </w:rPr>
        <w:t>2 Characteristics of effective academic writing</w:t>
      </w:r>
    </w:p>
    <w:p w:rsidR="003717A0" w:rsidRDefault="003717A0">
      <w:pPr>
        <w:ind w:firstLineChars="100" w:firstLine="240"/>
        <w:rPr>
          <w:sz w:val="24"/>
        </w:rPr>
      </w:pPr>
      <w:r>
        <w:rPr>
          <w:sz w:val="24"/>
        </w:rPr>
        <w:t>3 Steps to effective academic writing</w:t>
      </w:r>
    </w:p>
    <w:p w:rsidR="003717A0" w:rsidRDefault="003717A0">
      <w:pPr>
        <w:ind w:firstLineChars="100" w:firstLine="240"/>
        <w:rPr>
          <w:sz w:val="24"/>
        </w:rPr>
      </w:pPr>
      <w:r>
        <w:rPr>
          <w:sz w:val="24"/>
        </w:rPr>
        <w:t>4 The Practical Significance of Academic Writing</w:t>
      </w:r>
    </w:p>
    <w:p w:rsidR="003717A0" w:rsidRDefault="003717A0">
      <w:pPr>
        <w:rPr>
          <w:b/>
          <w:bCs/>
          <w:sz w:val="24"/>
        </w:rPr>
      </w:pPr>
    </w:p>
    <w:p w:rsidR="003717A0" w:rsidRDefault="003717A0">
      <w:pPr>
        <w:rPr>
          <w:b/>
          <w:bCs/>
          <w:sz w:val="24"/>
        </w:rPr>
      </w:pPr>
      <w:r>
        <w:rPr>
          <w:b/>
          <w:bCs/>
          <w:sz w:val="24"/>
        </w:rPr>
        <w:t>Chapter 2 Choosing a topic</w:t>
      </w:r>
    </w:p>
    <w:p w:rsidR="003717A0" w:rsidRDefault="003717A0">
      <w:pPr>
        <w:jc w:val="left"/>
        <w:rPr>
          <w:bCs/>
          <w:sz w:val="24"/>
        </w:rPr>
      </w:pPr>
      <w:r>
        <w:rPr>
          <w:bCs/>
          <w:sz w:val="24"/>
        </w:rPr>
        <w:t>Part I Warming up</w:t>
      </w:r>
    </w:p>
    <w:p w:rsidR="003717A0" w:rsidRDefault="003717A0">
      <w:pPr>
        <w:pStyle w:val="ab"/>
        <w:rPr>
          <w:bCs/>
          <w:sz w:val="24"/>
          <w:szCs w:val="24"/>
        </w:rPr>
      </w:pPr>
      <w:r>
        <w:rPr>
          <w:bCs/>
          <w:sz w:val="24"/>
          <w:szCs w:val="24"/>
        </w:rPr>
        <w:t>Part II Choosing a topic</w:t>
      </w:r>
    </w:p>
    <w:p w:rsidR="003717A0" w:rsidRDefault="003717A0">
      <w:pPr>
        <w:ind w:firstLineChars="100" w:firstLine="240"/>
        <w:rPr>
          <w:bCs/>
          <w:sz w:val="24"/>
        </w:rPr>
      </w:pPr>
      <w:r>
        <w:rPr>
          <w:bCs/>
          <w:sz w:val="24"/>
        </w:rPr>
        <w:t>1 Choose a general subject</w:t>
      </w:r>
    </w:p>
    <w:p w:rsidR="003717A0" w:rsidRDefault="003717A0">
      <w:pPr>
        <w:ind w:firstLineChars="100" w:firstLine="240"/>
        <w:rPr>
          <w:bCs/>
          <w:sz w:val="24"/>
        </w:rPr>
      </w:pPr>
      <w:r>
        <w:rPr>
          <w:bCs/>
          <w:sz w:val="24"/>
        </w:rPr>
        <w:t>2 Narrow your general subject to a specific topic</w:t>
      </w:r>
    </w:p>
    <w:p w:rsidR="003717A0" w:rsidRDefault="003717A0">
      <w:pPr>
        <w:ind w:firstLineChars="100" w:firstLine="240"/>
        <w:rPr>
          <w:bCs/>
          <w:sz w:val="24"/>
        </w:rPr>
      </w:pPr>
      <w:r>
        <w:rPr>
          <w:bCs/>
          <w:sz w:val="24"/>
        </w:rPr>
        <w:t>3 Work with the specific topic</w:t>
      </w:r>
    </w:p>
    <w:p w:rsidR="003717A0" w:rsidRDefault="003717A0">
      <w:pPr>
        <w:rPr>
          <w:bCs/>
          <w:sz w:val="24"/>
        </w:rPr>
      </w:pPr>
      <w:r>
        <w:rPr>
          <w:bCs/>
          <w:sz w:val="24"/>
        </w:rPr>
        <w:t>Part III Assignment (Group work)</w:t>
      </w:r>
    </w:p>
    <w:p w:rsidR="003717A0" w:rsidRDefault="003717A0">
      <w:pPr>
        <w:rPr>
          <w:b/>
          <w:sz w:val="24"/>
        </w:rPr>
      </w:pPr>
    </w:p>
    <w:p w:rsidR="003717A0" w:rsidRDefault="003717A0">
      <w:pPr>
        <w:rPr>
          <w:bCs/>
          <w:sz w:val="24"/>
        </w:rPr>
      </w:pPr>
      <w:r>
        <w:rPr>
          <w:b/>
          <w:sz w:val="24"/>
        </w:rPr>
        <w:t>Chapter3. Structuring a Thesis &amp; Writing Introductions</w:t>
      </w:r>
    </w:p>
    <w:p w:rsidR="003717A0" w:rsidRDefault="003717A0">
      <w:pPr>
        <w:rPr>
          <w:sz w:val="24"/>
        </w:rPr>
      </w:pPr>
      <w:r>
        <w:rPr>
          <w:bCs/>
          <w:sz w:val="24"/>
        </w:rPr>
        <w:t xml:space="preserve">Part I Warming up  </w:t>
      </w:r>
    </w:p>
    <w:p w:rsidR="003717A0" w:rsidRDefault="003717A0">
      <w:pPr>
        <w:ind w:leftChars="-270" w:left="-567" w:firstLineChars="236" w:firstLine="566"/>
        <w:rPr>
          <w:bCs/>
          <w:sz w:val="24"/>
          <w:u w:val="single"/>
        </w:rPr>
      </w:pPr>
      <w:r>
        <w:rPr>
          <w:bCs/>
          <w:sz w:val="24"/>
        </w:rPr>
        <w:t xml:space="preserve">Part II Structuring a thesis &amp; writing introductions </w:t>
      </w:r>
    </w:p>
    <w:p w:rsidR="003717A0" w:rsidRDefault="003717A0">
      <w:pPr>
        <w:ind w:firstLineChars="100" w:firstLine="240"/>
        <w:rPr>
          <w:bCs/>
          <w:sz w:val="24"/>
        </w:rPr>
      </w:pPr>
      <w:r>
        <w:rPr>
          <w:bCs/>
          <w:sz w:val="24"/>
        </w:rPr>
        <w:t>1 Structuring a thesis</w:t>
      </w:r>
    </w:p>
    <w:p w:rsidR="003717A0" w:rsidRDefault="003717A0">
      <w:pPr>
        <w:ind w:firstLineChars="100" w:firstLine="240"/>
        <w:rPr>
          <w:sz w:val="24"/>
        </w:rPr>
      </w:pPr>
      <w:r>
        <w:rPr>
          <w:bCs/>
          <w:sz w:val="24"/>
        </w:rPr>
        <w:t>2 Writing introductions</w:t>
      </w:r>
    </w:p>
    <w:p w:rsidR="003717A0" w:rsidRDefault="003717A0">
      <w:pPr>
        <w:ind w:firstLineChars="100" w:firstLine="240"/>
        <w:rPr>
          <w:sz w:val="24"/>
        </w:rPr>
      </w:pPr>
      <w:r>
        <w:rPr>
          <w:sz w:val="24"/>
        </w:rPr>
        <w:t>3 Language focus</w:t>
      </w:r>
    </w:p>
    <w:p w:rsidR="003717A0" w:rsidRDefault="003717A0">
      <w:pPr>
        <w:rPr>
          <w:bCs/>
          <w:sz w:val="24"/>
        </w:rPr>
      </w:pPr>
      <w:r>
        <w:rPr>
          <w:bCs/>
          <w:sz w:val="24"/>
        </w:rPr>
        <w:t>Part III Assignment</w:t>
      </w:r>
    </w:p>
    <w:p w:rsidR="003717A0" w:rsidRDefault="003717A0">
      <w:pPr>
        <w:rPr>
          <w:b/>
          <w:sz w:val="24"/>
        </w:rPr>
      </w:pPr>
    </w:p>
    <w:p w:rsidR="003717A0" w:rsidRDefault="003717A0">
      <w:pPr>
        <w:rPr>
          <w:b/>
          <w:sz w:val="24"/>
        </w:rPr>
      </w:pPr>
      <w:r>
        <w:rPr>
          <w:b/>
          <w:sz w:val="24"/>
        </w:rPr>
        <w:t>Chapter 4</w:t>
      </w:r>
      <w:r>
        <w:rPr>
          <w:rFonts w:hint="eastAsia"/>
          <w:b/>
          <w:sz w:val="24"/>
        </w:rPr>
        <w:t>．</w:t>
      </w:r>
      <w:r>
        <w:rPr>
          <w:b/>
          <w:sz w:val="24"/>
        </w:rPr>
        <w:t>Writing Literature Reviews</w:t>
      </w:r>
    </w:p>
    <w:p w:rsidR="003717A0" w:rsidRDefault="003717A0">
      <w:pPr>
        <w:jc w:val="left"/>
        <w:rPr>
          <w:bCs/>
          <w:sz w:val="24"/>
        </w:rPr>
      </w:pPr>
      <w:r>
        <w:rPr>
          <w:bCs/>
          <w:sz w:val="24"/>
        </w:rPr>
        <w:t>Part I Warming up</w:t>
      </w:r>
    </w:p>
    <w:p w:rsidR="003717A0" w:rsidRDefault="003717A0">
      <w:pPr>
        <w:ind w:leftChars="-270" w:left="-567" w:firstLineChars="236" w:firstLine="566"/>
        <w:rPr>
          <w:bCs/>
          <w:sz w:val="24"/>
          <w:u w:val="single"/>
        </w:rPr>
      </w:pPr>
      <w:r>
        <w:rPr>
          <w:bCs/>
          <w:sz w:val="24"/>
        </w:rPr>
        <w:t xml:space="preserve">Part II Writing a literature review </w:t>
      </w:r>
    </w:p>
    <w:p w:rsidR="003717A0" w:rsidRDefault="003717A0">
      <w:pPr>
        <w:rPr>
          <w:bCs/>
          <w:sz w:val="24"/>
        </w:rPr>
      </w:pPr>
      <w:r>
        <w:rPr>
          <w:bCs/>
          <w:sz w:val="24"/>
        </w:rPr>
        <w:t>Part III Assignment</w:t>
      </w:r>
    </w:p>
    <w:p w:rsidR="003717A0" w:rsidRDefault="003717A0">
      <w:pPr>
        <w:rPr>
          <w:b/>
          <w:bCs/>
          <w:sz w:val="24"/>
        </w:rPr>
      </w:pPr>
    </w:p>
    <w:p w:rsidR="003717A0" w:rsidRDefault="003717A0">
      <w:pPr>
        <w:rPr>
          <w:b/>
          <w:bCs/>
          <w:sz w:val="24"/>
        </w:rPr>
      </w:pPr>
      <w:r>
        <w:rPr>
          <w:b/>
          <w:bCs/>
          <w:sz w:val="24"/>
        </w:rPr>
        <w:t>Chapter 5 Writing about methods</w:t>
      </w:r>
    </w:p>
    <w:p w:rsidR="003717A0" w:rsidRDefault="003717A0">
      <w:pPr>
        <w:jc w:val="left"/>
        <w:rPr>
          <w:bCs/>
          <w:sz w:val="24"/>
        </w:rPr>
      </w:pPr>
      <w:r>
        <w:rPr>
          <w:bCs/>
          <w:sz w:val="24"/>
        </w:rPr>
        <w:t>Part I Warming up</w:t>
      </w:r>
    </w:p>
    <w:p w:rsidR="003717A0" w:rsidRDefault="003717A0">
      <w:pPr>
        <w:rPr>
          <w:bCs/>
          <w:sz w:val="24"/>
        </w:rPr>
      </w:pPr>
      <w:r>
        <w:rPr>
          <w:bCs/>
          <w:sz w:val="24"/>
        </w:rPr>
        <w:t>Part II Writing about methods</w:t>
      </w:r>
    </w:p>
    <w:p w:rsidR="003717A0" w:rsidRDefault="003717A0">
      <w:pPr>
        <w:rPr>
          <w:bCs/>
          <w:sz w:val="24"/>
        </w:rPr>
      </w:pPr>
      <w:r>
        <w:rPr>
          <w:bCs/>
          <w:sz w:val="24"/>
        </w:rPr>
        <w:t>Part III Assignment</w:t>
      </w:r>
    </w:p>
    <w:p w:rsidR="003717A0" w:rsidRDefault="003717A0">
      <w:pPr>
        <w:rPr>
          <w:b/>
          <w:bCs/>
          <w:sz w:val="24"/>
        </w:rPr>
      </w:pPr>
    </w:p>
    <w:p w:rsidR="003717A0" w:rsidRDefault="003717A0">
      <w:pPr>
        <w:rPr>
          <w:b/>
          <w:bCs/>
          <w:sz w:val="24"/>
        </w:rPr>
      </w:pPr>
      <w:r>
        <w:rPr>
          <w:b/>
          <w:bCs/>
          <w:sz w:val="24"/>
        </w:rPr>
        <w:t>Chapter 6 Writing results and discussions</w:t>
      </w:r>
    </w:p>
    <w:p w:rsidR="003717A0" w:rsidRDefault="003717A0">
      <w:pPr>
        <w:rPr>
          <w:bCs/>
          <w:iCs/>
          <w:sz w:val="24"/>
        </w:rPr>
      </w:pPr>
      <w:r>
        <w:rPr>
          <w:bCs/>
          <w:sz w:val="24"/>
        </w:rPr>
        <w:t xml:space="preserve">Part I </w:t>
      </w:r>
      <w:r>
        <w:rPr>
          <w:bCs/>
          <w:iCs/>
          <w:sz w:val="24"/>
        </w:rPr>
        <w:t xml:space="preserve"> The Results Section</w:t>
      </w:r>
    </w:p>
    <w:p w:rsidR="003717A0" w:rsidRDefault="003717A0">
      <w:pPr>
        <w:rPr>
          <w:bCs/>
          <w:iCs/>
          <w:sz w:val="24"/>
        </w:rPr>
      </w:pPr>
      <w:r>
        <w:rPr>
          <w:bCs/>
          <w:sz w:val="24"/>
        </w:rPr>
        <w:t xml:space="preserve">Part II </w:t>
      </w:r>
      <w:r>
        <w:rPr>
          <w:bCs/>
          <w:iCs/>
          <w:sz w:val="24"/>
        </w:rPr>
        <w:t>The Discussion Section</w:t>
      </w:r>
    </w:p>
    <w:p w:rsidR="003717A0" w:rsidRDefault="003717A0">
      <w:pPr>
        <w:rPr>
          <w:bCs/>
          <w:iCs/>
          <w:sz w:val="24"/>
        </w:rPr>
      </w:pPr>
      <w:r>
        <w:rPr>
          <w:bCs/>
          <w:sz w:val="24"/>
        </w:rPr>
        <w:lastRenderedPageBreak/>
        <w:t xml:space="preserve">Part III </w:t>
      </w:r>
      <w:r>
        <w:rPr>
          <w:bCs/>
          <w:iCs/>
          <w:sz w:val="24"/>
        </w:rPr>
        <w:t>Language</w:t>
      </w:r>
    </w:p>
    <w:p w:rsidR="003717A0" w:rsidRDefault="003717A0">
      <w:pPr>
        <w:rPr>
          <w:b/>
          <w:sz w:val="24"/>
        </w:rPr>
      </w:pPr>
    </w:p>
    <w:p w:rsidR="003717A0" w:rsidRDefault="003717A0">
      <w:pPr>
        <w:rPr>
          <w:b/>
          <w:sz w:val="24"/>
        </w:rPr>
      </w:pPr>
      <w:r>
        <w:rPr>
          <w:b/>
          <w:sz w:val="24"/>
        </w:rPr>
        <w:t>Chapter 7 Writing a conclusion</w:t>
      </w:r>
    </w:p>
    <w:p w:rsidR="003717A0" w:rsidRDefault="003717A0">
      <w:pPr>
        <w:rPr>
          <w:b/>
          <w:bCs/>
          <w:sz w:val="24"/>
        </w:rPr>
      </w:pPr>
      <w:r>
        <w:rPr>
          <w:bCs/>
          <w:sz w:val="24"/>
        </w:rPr>
        <w:t xml:space="preserve">Part I </w:t>
      </w:r>
      <w:r>
        <w:rPr>
          <w:sz w:val="24"/>
        </w:rPr>
        <w:t>Conclusions</w:t>
      </w:r>
    </w:p>
    <w:p w:rsidR="003717A0" w:rsidRDefault="003717A0">
      <w:pPr>
        <w:rPr>
          <w:sz w:val="24"/>
        </w:rPr>
      </w:pPr>
      <w:r>
        <w:rPr>
          <w:bCs/>
          <w:sz w:val="24"/>
        </w:rPr>
        <w:t xml:space="preserve">Part II </w:t>
      </w:r>
      <w:r>
        <w:rPr>
          <w:sz w:val="24"/>
        </w:rPr>
        <w:t>Language</w:t>
      </w:r>
    </w:p>
    <w:p w:rsidR="003717A0" w:rsidRDefault="003717A0">
      <w:pPr>
        <w:rPr>
          <w:b/>
          <w:sz w:val="24"/>
        </w:rPr>
      </w:pPr>
      <w:r>
        <w:rPr>
          <w:b/>
          <w:sz w:val="24"/>
        </w:rPr>
        <w:t>Chapter 8 Reference writing</w:t>
      </w:r>
    </w:p>
    <w:p w:rsidR="003717A0" w:rsidRDefault="003717A0">
      <w:pPr>
        <w:rPr>
          <w:b/>
          <w:sz w:val="24"/>
        </w:rPr>
      </w:pPr>
    </w:p>
    <w:p w:rsidR="003717A0" w:rsidRDefault="003717A0">
      <w:pPr>
        <w:rPr>
          <w:b/>
          <w:sz w:val="24"/>
        </w:rPr>
      </w:pPr>
    </w:p>
    <w:p w:rsidR="003717A0" w:rsidRPr="00F5156D" w:rsidRDefault="003717A0">
      <w:pPr>
        <w:pStyle w:val="1"/>
        <w:rPr>
          <w:rFonts w:ascii="黑体"/>
          <w:b/>
        </w:rPr>
      </w:pPr>
      <w:r>
        <w:br w:type="page"/>
      </w:r>
      <w:bookmarkStart w:id="29" w:name="_Toc469312981"/>
      <w:bookmarkStart w:id="30" w:name="_Toc471830693"/>
      <w:r w:rsidRPr="00F5156D">
        <w:rPr>
          <w:rFonts w:ascii="黑体" w:hAnsi="黑体" w:hint="eastAsia"/>
          <w:b/>
        </w:rPr>
        <w:lastRenderedPageBreak/>
        <w:t>《大学物理</w:t>
      </w:r>
      <w:r w:rsidRPr="00F5156D">
        <w:rPr>
          <w:rFonts w:ascii="黑体" w:hAnsi="黑体"/>
          <w:b/>
        </w:rPr>
        <w:t>C</w:t>
      </w:r>
      <w:r w:rsidRPr="00F5156D">
        <w:rPr>
          <w:rFonts w:ascii="黑体" w:hAnsi="黑体" w:hint="eastAsia"/>
          <w:b/>
        </w:rPr>
        <w:t>》课程质量标准</w:t>
      </w:r>
      <w:bookmarkEnd w:id="29"/>
      <w:bookmarkEnd w:id="30"/>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课程名称</w:t>
            </w:r>
          </w:p>
        </w:tc>
        <w:tc>
          <w:tcPr>
            <w:tcW w:w="7618" w:type="dxa"/>
            <w:gridSpan w:val="9"/>
          </w:tcPr>
          <w:p w:rsidR="003717A0" w:rsidRDefault="003717A0">
            <w:pPr>
              <w:adjustRightInd w:val="0"/>
              <w:snapToGrid w:val="0"/>
              <w:spacing w:line="440" w:lineRule="exact"/>
              <w:jc w:val="center"/>
              <w:rPr>
                <w:rFonts w:ascii="楷体_GB2312" w:eastAsia="楷体_GB2312" w:hAnsi="Times New Roman"/>
                <w:sz w:val="22"/>
              </w:rPr>
            </w:pPr>
            <w:r>
              <w:rPr>
                <w:rFonts w:ascii="楷体_GB2312" w:eastAsia="楷体_GB2312" w:hint="eastAsia"/>
                <w:sz w:val="22"/>
              </w:rPr>
              <w:t>大学物理</w:t>
            </w:r>
            <w:r>
              <w:rPr>
                <w:rFonts w:ascii="Times New Roman" w:eastAsia="楷体_GB2312" w:hAnsi="Times New Roman"/>
                <w:sz w:val="22"/>
              </w:rPr>
              <w:t>C</w:t>
            </w:r>
          </w:p>
        </w:tc>
      </w:tr>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英译名称</w:t>
            </w:r>
          </w:p>
        </w:tc>
        <w:tc>
          <w:tcPr>
            <w:tcW w:w="7618" w:type="dxa"/>
            <w:gridSpan w:val="9"/>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kern w:val="0"/>
                <w:sz w:val="22"/>
              </w:rPr>
              <w:t>Medical Physics</w:t>
            </w:r>
          </w:p>
        </w:tc>
      </w:tr>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课程代码</w:t>
            </w:r>
          </w:p>
        </w:tc>
        <w:tc>
          <w:tcPr>
            <w:tcW w:w="2350"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kern w:val="0"/>
                <w:sz w:val="22"/>
              </w:rPr>
              <w:t>020318</w:t>
            </w:r>
          </w:p>
        </w:tc>
        <w:tc>
          <w:tcPr>
            <w:tcW w:w="1902" w:type="dxa"/>
            <w:gridSpan w:val="3"/>
          </w:tcPr>
          <w:p w:rsidR="003717A0" w:rsidRDefault="003717A0">
            <w:pPr>
              <w:adjustRightInd w:val="0"/>
              <w:snapToGrid w:val="0"/>
              <w:spacing w:line="440" w:lineRule="exact"/>
              <w:jc w:val="center"/>
              <w:rPr>
                <w:rFonts w:ascii="Times New Roman" w:hAnsi="Times New Roman"/>
                <w:sz w:val="22"/>
              </w:rPr>
            </w:pPr>
            <w:r>
              <w:rPr>
                <w:rFonts w:ascii="Times New Roman" w:hAnsi="Times New Roman" w:hint="eastAsia"/>
                <w:sz w:val="22"/>
              </w:rPr>
              <w:t>课程开设学期</w:t>
            </w:r>
          </w:p>
        </w:tc>
        <w:tc>
          <w:tcPr>
            <w:tcW w:w="3366" w:type="dxa"/>
            <w:gridSpan w:val="4"/>
          </w:tcPr>
          <w:p w:rsidR="003717A0" w:rsidRDefault="003717A0">
            <w:pPr>
              <w:adjustRightInd w:val="0"/>
              <w:snapToGrid w:val="0"/>
              <w:spacing w:line="440" w:lineRule="exact"/>
              <w:jc w:val="center"/>
              <w:rPr>
                <w:rFonts w:ascii="Times New Roman" w:hAnsi="Times New Roman"/>
                <w:sz w:val="22"/>
              </w:rPr>
            </w:pPr>
            <w:r>
              <w:rPr>
                <w:rFonts w:ascii="Times New Roman" w:eastAsia="楷体_GB2312" w:hAnsi="Times New Roman" w:hint="eastAsia"/>
                <w:kern w:val="0"/>
                <w:sz w:val="22"/>
              </w:rPr>
              <w:t>一</w:t>
            </w:r>
          </w:p>
        </w:tc>
      </w:tr>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课程学时</w:t>
            </w:r>
          </w:p>
        </w:tc>
        <w:tc>
          <w:tcPr>
            <w:tcW w:w="2350"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kern w:val="0"/>
                <w:sz w:val="22"/>
              </w:rPr>
              <w:t>72</w:t>
            </w:r>
          </w:p>
        </w:tc>
        <w:tc>
          <w:tcPr>
            <w:tcW w:w="1902" w:type="dxa"/>
            <w:gridSpan w:val="3"/>
          </w:tcPr>
          <w:p w:rsidR="003717A0" w:rsidRDefault="003717A0">
            <w:pPr>
              <w:adjustRightInd w:val="0"/>
              <w:snapToGrid w:val="0"/>
              <w:spacing w:line="440" w:lineRule="exact"/>
              <w:jc w:val="center"/>
              <w:rPr>
                <w:rFonts w:ascii="Times New Roman" w:hAnsi="Times New Roman"/>
                <w:sz w:val="22"/>
              </w:rPr>
            </w:pPr>
            <w:r>
              <w:rPr>
                <w:rFonts w:ascii="Times New Roman" w:hAnsi="Times New Roman" w:hint="eastAsia"/>
                <w:sz w:val="22"/>
              </w:rPr>
              <w:t>课程学分</w:t>
            </w:r>
          </w:p>
        </w:tc>
        <w:tc>
          <w:tcPr>
            <w:tcW w:w="3366" w:type="dxa"/>
            <w:gridSpan w:val="4"/>
          </w:tcPr>
          <w:p w:rsidR="003717A0" w:rsidRDefault="003717A0">
            <w:pPr>
              <w:adjustRightInd w:val="0"/>
              <w:snapToGrid w:val="0"/>
              <w:spacing w:line="440" w:lineRule="exact"/>
              <w:jc w:val="center"/>
              <w:rPr>
                <w:rFonts w:ascii="Times New Roman" w:hAnsi="Times New Roman"/>
                <w:sz w:val="22"/>
              </w:rPr>
            </w:pPr>
            <w:r>
              <w:rPr>
                <w:rFonts w:ascii="Times New Roman" w:hAnsi="Times New Roman"/>
                <w:sz w:val="22"/>
              </w:rPr>
              <w:t>4</w:t>
            </w:r>
          </w:p>
        </w:tc>
      </w:tr>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课程类型</w:t>
            </w:r>
          </w:p>
        </w:tc>
        <w:tc>
          <w:tcPr>
            <w:tcW w:w="7618" w:type="dxa"/>
            <w:gridSpan w:val="9"/>
          </w:tcPr>
          <w:p w:rsidR="003717A0" w:rsidRDefault="003717A0">
            <w:pPr>
              <w:adjustRightInd w:val="0"/>
              <w:snapToGrid w:val="0"/>
              <w:spacing w:line="440" w:lineRule="exact"/>
              <w:jc w:val="center"/>
              <w:rPr>
                <w:rFonts w:ascii="Times New Roman" w:hAnsi="Times New Roman"/>
                <w:szCs w:val="21"/>
              </w:rPr>
            </w:pPr>
            <w:r>
              <w:rPr>
                <w:rFonts w:ascii="宋体" w:hAnsi="宋体" w:hint="eastAsia"/>
                <w:szCs w:val="21"/>
              </w:rPr>
              <w:t>■</w:t>
            </w:r>
            <w:r>
              <w:rPr>
                <w:rFonts w:ascii="Times New Roman" w:hAnsi="Times New Roman" w:hint="eastAsia"/>
                <w:szCs w:val="21"/>
              </w:rPr>
              <w:t>公共基础课</w:t>
            </w:r>
            <w:r>
              <w:rPr>
                <w:rFonts w:ascii="宋体" w:hAnsi="宋体" w:hint="eastAsia"/>
                <w:szCs w:val="21"/>
              </w:rPr>
              <w:t>□</w:t>
            </w:r>
            <w:r>
              <w:rPr>
                <w:rFonts w:ascii="Times New Roman" w:hAnsi="Times New Roman" w:hint="eastAsia"/>
                <w:szCs w:val="21"/>
              </w:rPr>
              <w:t>专业基础课</w:t>
            </w:r>
            <w:r>
              <w:rPr>
                <w:rFonts w:ascii="宋体" w:hAnsi="宋体" w:hint="eastAsia"/>
                <w:szCs w:val="21"/>
              </w:rPr>
              <w:t>□</w:t>
            </w:r>
            <w:r>
              <w:rPr>
                <w:rFonts w:ascii="Times New Roman" w:hAnsi="Times New Roman" w:hint="eastAsia"/>
                <w:szCs w:val="21"/>
              </w:rPr>
              <w:t>专业选修课</w:t>
            </w:r>
            <w:r>
              <w:rPr>
                <w:rFonts w:ascii="宋体" w:hAnsi="宋体" w:hint="eastAsia"/>
                <w:szCs w:val="21"/>
              </w:rPr>
              <w:t>□</w:t>
            </w:r>
            <w:r>
              <w:rPr>
                <w:rFonts w:ascii="Times New Roman" w:hAnsi="Times New Roman" w:hint="eastAsia"/>
                <w:szCs w:val="21"/>
              </w:rPr>
              <w:t>公共选修课</w:t>
            </w:r>
            <w:r>
              <w:rPr>
                <w:rFonts w:ascii="宋体" w:hAnsi="宋体" w:hint="eastAsia"/>
                <w:szCs w:val="21"/>
              </w:rPr>
              <w:t>■</w:t>
            </w:r>
            <w:r>
              <w:rPr>
                <w:rFonts w:ascii="Times New Roman" w:hAnsi="Times New Roman" w:hint="eastAsia"/>
                <w:szCs w:val="21"/>
              </w:rPr>
              <w:t>必修课</w:t>
            </w:r>
            <w:r>
              <w:rPr>
                <w:rFonts w:ascii="宋体" w:hAnsi="宋体" w:hint="eastAsia"/>
                <w:szCs w:val="21"/>
              </w:rPr>
              <w:t>□</w:t>
            </w:r>
            <w:r>
              <w:rPr>
                <w:rFonts w:ascii="Times New Roman" w:hAnsi="Times New Roman" w:hint="eastAsia"/>
                <w:szCs w:val="21"/>
              </w:rPr>
              <w:t>选修课</w:t>
            </w:r>
          </w:p>
        </w:tc>
      </w:tr>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开课学院</w:t>
            </w:r>
          </w:p>
        </w:tc>
        <w:tc>
          <w:tcPr>
            <w:tcW w:w="2350" w:type="dxa"/>
            <w:gridSpan w:val="2"/>
          </w:tcPr>
          <w:p w:rsidR="003717A0" w:rsidRDefault="003717A0">
            <w:pPr>
              <w:adjustRightInd w:val="0"/>
              <w:snapToGrid w:val="0"/>
              <w:spacing w:line="440" w:lineRule="exact"/>
              <w:jc w:val="center"/>
              <w:rPr>
                <w:rFonts w:ascii="Times New Roman" w:hAnsi="Times New Roman"/>
                <w:sz w:val="22"/>
              </w:rPr>
            </w:pPr>
            <w:r>
              <w:rPr>
                <w:rFonts w:ascii="楷体_GB2312" w:eastAsia="楷体_GB2312" w:hint="eastAsia"/>
                <w:sz w:val="22"/>
              </w:rPr>
              <w:t>理</w:t>
            </w:r>
            <w:r>
              <w:rPr>
                <w:rFonts w:ascii="Times New Roman" w:eastAsia="楷体_GB2312" w:hAnsi="Times New Roman" w:hint="eastAsia"/>
                <w:kern w:val="0"/>
                <w:sz w:val="22"/>
              </w:rPr>
              <w:t>学院</w:t>
            </w:r>
          </w:p>
        </w:tc>
        <w:tc>
          <w:tcPr>
            <w:tcW w:w="2634" w:type="dxa"/>
            <w:gridSpan w:val="5"/>
          </w:tcPr>
          <w:p w:rsidR="003717A0" w:rsidRDefault="003717A0">
            <w:pPr>
              <w:adjustRightInd w:val="0"/>
              <w:snapToGrid w:val="0"/>
              <w:spacing w:line="440" w:lineRule="exact"/>
              <w:jc w:val="center"/>
              <w:rPr>
                <w:rFonts w:ascii="Times New Roman" w:hAnsi="Times New Roman"/>
                <w:sz w:val="22"/>
              </w:rPr>
            </w:pPr>
            <w:r>
              <w:rPr>
                <w:rFonts w:ascii="Times New Roman" w:hAnsi="Times New Roman" w:hint="eastAsia"/>
                <w:sz w:val="22"/>
              </w:rPr>
              <w:t>教学研究室室</w:t>
            </w:r>
            <w:r>
              <w:rPr>
                <w:rFonts w:ascii="Times New Roman" w:hAnsi="Times New Roman"/>
                <w:sz w:val="22"/>
              </w:rPr>
              <w:t>/</w:t>
            </w:r>
            <w:r>
              <w:rPr>
                <w:rFonts w:ascii="Times New Roman" w:hAnsi="Times New Roman" w:hint="eastAsia"/>
                <w:sz w:val="22"/>
              </w:rPr>
              <w:t>系</w:t>
            </w:r>
          </w:p>
        </w:tc>
        <w:tc>
          <w:tcPr>
            <w:tcW w:w="263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楷体_GB2312" w:eastAsia="楷体_GB2312" w:hint="eastAsia"/>
                <w:sz w:val="22"/>
              </w:rPr>
              <w:t>物理</w:t>
            </w:r>
          </w:p>
        </w:tc>
      </w:tr>
      <w:tr w:rsidR="003717A0">
        <w:tc>
          <w:tcPr>
            <w:tcW w:w="1668" w:type="dxa"/>
          </w:tcPr>
          <w:p w:rsidR="003717A0" w:rsidRDefault="003717A0">
            <w:pPr>
              <w:adjustRightInd w:val="0"/>
              <w:snapToGrid w:val="0"/>
              <w:spacing w:line="440" w:lineRule="exact"/>
              <w:rPr>
                <w:rFonts w:ascii="Times New Roman" w:hAnsi="Times New Roman"/>
                <w:sz w:val="22"/>
              </w:rPr>
            </w:pPr>
            <w:r>
              <w:rPr>
                <w:rFonts w:ascii="Times New Roman" w:hint="eastAsia"/>
                <w:sz w:val="22"/>
              </w:rPr>
              <w:t>教材名称</w:t>
            </w:r>
          </w:p>
        </w:tc>
        <w:tc>
          <w:tcPr>
            <w:tcW w:w="7618" w:type="dxa"/>
            <w:gridSpan w:val="9"/>
          </w:tcPr>
          <w:p w:rsidR="003717A0" w:rsidRDefault="003717A0">
            <w:pPr>
              <w:adjustRightInd w:val="0"/>
              <w:snapToGrid w:val="0"/>
              <w:spacing w:line="440" w:lineRule="exact"/>
              <w:jc w:val="center"/>
              <w:rPr>
                <w:rFonts w:ascii="Times New Roman" w:eastAsia="楷体_GB2312" w:hAnsi="Times New Roman"/>
                <w:kern w:val="0"/>
                <w:sz w:val="22"/>
              </w:rPr>
            </w:pPr>
            <w:r>
              <w:rPr>
                <w:rFonts w:ascii="楷体_GB2312" w:eastAsia="楷体_GB2312" w:hint="eastAsia"/>
                <w:sz w:val="22"/>
              </w:rPr>
              <w:t>医学物理学</w:t>
            </w:r>
          </w:p>
        </w:tc>
      </w:tr>
      <w:tr w:rsidR="003717A0">
        <w:tc>
          <w:tcPr>
            <w:tcW w:w="1668" w:type="dxa"/>
          </w:tcPr>
          <w:p w:rsidR="003717A0" w:rsidRDefault="003717A0">
            <w:pPr>
              <w:adjustRightInd w:val="0"/>
              <w:snapToGrid w:val="0"/>
              <w:spacing w:line="440" w:lineRule="exact"/>
              <w:rPr>
                <w:rFonts w:ascii="Times New Roman" w:hAnsi="Times New Roman"/>
                <w:sz w:val="22"/>
              </w:rPr>
            </w:pPr>
            <w:r>
              <w:rPr>
                <w:rFonts w:ascii="Times New Roman" w:hint="eastAsia"/>
                <w:sz w:val="22"/>
              </w:rPr>
              <w:t>教材出版信息</w:t>
            </w:r>
          </w:p>
        </w:tc>
        <w:tc>
          <w:tcPr>
            <w:tcW w:w="7618" w:type="dxa"/>
            <w:gridSpan w:val="9"/>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人民卫生出版社，</w:t>
            </w:r>
            <w:r>
              <w:rPr>
                <w:rFonts w:ascii="Times New Roman" w:eastAsia="楷体_GB2312" w:hAnsi="Times New Roman"/>
                <w:kern w:val="0"/>
                <w:sz w:val="22"/>
              </w:rPr>
              <w:t xml:space="preserve">2013 </w:t>
            </w:r>
            <w:r>
              <w:rPr>
                <w:rFonts w:ascii="Times New Roman" w:eastAsia="楷体_GB2312" w:hAnsi="Times New Roman" w:hint="eastAsia"/>
                <w:kern w:val="0"/>
                <w:sz w:val="22"/>
              </w:rPr>
              <w:t>年</w:t>
            </w:r>
            <w:r>
              <w:rPr>
                <w:rFonts w:ascii="Times New Roman" w:eastAsia="楷体_GB2312" w:hAnsi="Times New Roman"/>
                <w:kern w:val="0"/>
                <w:sz w:val="22"/>
              </w:rPr>
              <w:t xml:space="preserve">3 </w:t>
            </w:r>
            <w:r>
              <w:rPr>
                <w:rFonts w:ascii="Times New Roman" w:eastAsia="楷体_GB2312" w:hAnsi="Times New Roman" w:hint="eastAsia"/>
                <w:kern w:val="0"/>
                <w:sz w:val="22"/>
              </w:rPr>
              <w:t>月第</w:t>
            </w:r>
            <w:r>
              <w:rPr>
                <w:rFonts w:ascii="Times New Roman" w:eastAsia="楷体_GB2312" w:hAnsi="Times New Roman"/>
                <w:kern w:val="0"/>
                <w:sz w:val="22"/>
              </w:rPr>
              <w:t xml:space="preserve">8 </w:t>
            </w:r>
            <w:r>
              <w:rPr>
                <w:rFonts w:ascii="Times New Roman" w:eastAsia="楷体_GB2312" w:hAnsi="Times New Roman" w:hint="eastAsia"/>
                <w:kern w:val="0"/>
                <w:sz w:val="22"/>
              </w:rPr>
              <w:t>版，书号：</w:t>
            </w:r>
            <w:r>
              <w:rPr>
                <w:rFonts w:ascii="Times New Roman" w:eastAsia="楷体_GB2312" w:hAnsi="Times New Roman"/>
                <w:kern w:val="0"/>
                <w:sz w:val="22"/>
              </w:rPr>
              <w:t>ISBN 978-7-117-17125-0</w:t>
            </w:r>
          </w:p>
        </w:tc>
      </w:tr>
      <w:tr w:rsidR="003717A0">
        <w:tc>
          <w:tcPr>
            <w:tcW w:w="1668" w:type="dxa"/>
          </w:tcPr>
          <w:p w:rsidR="003717A0" w:rsidRDefault="003717A0">
            <w:pPr>
              <w:adjustRightInd w:val="0"/>
              <w:snapToGrid w:val="0"/>
              <w:spacing w:line="440" w:lineRule="exact"/>
              <w:rPr>
                <w:rFonts w:ascii="Times New Roman" w:hAnsi="Times New Roman"/>
                <w:sz w:val="22"/>
              </w:rPr>
            </w:pPr>
            <w:r>
              <w:rPr>
                <w:rFonts w:ascii="Times New Roman" w:hint="eastAsia"/>
                <w:sz w:val="22"/>
              </w:rPr>
              <w:t>教材性质</w:t>
            </w:r>
          </w:p>
        </w:tc>
        <w:tc>
          <w:tcPr>
            <w:tcW w:w="7618" w:type="dxa"/>
            <w:gridSpan w:val="9"/>
          </w:tcPr>
          <w:p w:rsidR="003717A0" w:rsidRDefault="003717A0">
            <w:pPr>
              <w:adjustRightInd w:val="0"/>
              <w:snapToGrid w:val="0"/>
              <w:spacing w:line="440" w:lineRule="exact"/>
              <w:rPr>
                <w:rFonts w:ascii="Times New Roman" w:hAnsi="Times New Roman"/>
                <w:sz w:val="22"/>
              </w:rPr>
            </w:pPr>
            <w:r>
              <w:rPr>
                <w:rFonts w:ascii="宋体" w:hAnsi="宋体" w:hint="eastAsia"/>
                <w:szCs w:val="21"/>
              </w:rPr>
              <w:t>■</w:t>
            </w:r>
            <w:r>
              <w:rPr>
                <w:rFonts w:ascii="Times New Roman" w:hAnsi="宋体" w:hint="eastAsia"/>
                <w:sz w:val="22"/>
              </w:rPr>
              <w:t>国家</w:t>
            </w:r>
            <w:r>
              <w:rPr>
                <w:rFonts w:ascii="宋体" w:hAnsi="宋体" w:hint="eastAsia"/>
                <w:szCs w:val="21"/>
              </w:rPr>
              <w:t>□</w:t>
            </w:r>
            <w:r>
              <w:rPr>
                <w:rFonts w:ascii="Times New Roman" w:hAnsi="宋体" w:hint="eastAsia"/>
                <w:sz w:val="22"/>
              </w:rPr>
              <w:t>部级规划</w:t>
            </w:r>
            <w:r>
              <w:rPr>
                <w:rFonts w:ascii="宋体" w:hAnsi="宋体" w:hint="eastAsia"/>
                <w:szCs w:val="21"/>
              </w:rPr>
              <w:t>□</w:t>
            </w:r>
            <w:r>
              <w:rPr>
                <w:rFonts w:ascii="Times New Roman" w:hAnsi="宋体" w:hint="eastAsia"/>
                <w:sz w:val="22"/>
              </w:rPr>
              <w:t>省级规划</w:t>
            </w:r>
            <w:r>
              <w:rPr>
                <w:rFonts w:ascii="宋体" w:hAnsi="宋体" w:hint="eastAsia"/>
                <w:szCs w:val="21"/>
              </w:rPr>
              <w:t>□</w:t>
            </w:r>
            <w:r>
              <w:rPr>
                <w:rFonts w:ascii="Times New Roman" w:hAnsi="宋体" w:hint="eastAsia"/>
                <w:sz w:val="22"/>
              </w:rPr>
              <w:t>自编</w:t>
            </w:r>
            <w:r>
              <w:rPr>
                <w:rFonts w:ascii="宋体" w:hAnsi="宋体" w:hint="eastAsia"/>
                <w:szCs w:val="21"/>
              </w:rPr>
              <w:t>□</w:t>
            </w:r>
            <w:r>
              <w:rPr>
                <w:rFonts w:ascii="Times New Roman" w:hAnsi="宋体" w:hint="eastAsia"/>
                <w:sz w:val="22"/>
              </w:rPr>
              <w:t>其他</w:t>
            </w:r>
          </w:p>
        </w:tc>
      </w:tr>
      <w:tr w:rsidR="003717A0">
        <w:tc>
          <w:tcPr>
            <w:tcW w:w="1668" w:type="dxa"/>
          </w:tcPr>
          <w:p w:rsidR="003717A0" w:rsidRDefault="003717A0">
            <w:pPr>
              <w:adjustRightInd w:val="0"/>
              <w:snapToGrid w:val="0"/>
              <w:spacing w:line="440" w:lineRule="exact"/>
              <w:rPr>
                <w:rFonts w:ascii="Times New Roman" w:hAnsi="Times New Roman"/>
                <w:sz w:val="22"/>
              </w:rPr>
            </w:pPr>
            <w:r>
              <w:rPr>
                <w:rFonts w:ascii="Times New Roman" w:hint="eastAsia"/>
                <w:sz w:val="22"/>
              </w:rPr>
              <w:t>考核方式</w:t>
            </w:r>
          </w:p>
        </w:tc>
        <w:tc>
          <w:tcPr>
            <w:tcW w:w="7618" w:type="dxa"/>
            <w:gridSpan w:val="9"/>
          </w:tcPr>
          <w:p w:rsidR="003717A0" w:rsidRDefault="003717A0">
            <w:pPr>
              <w:adjustRightInd w:val="0"/>
              <w:snapToGrid w:val="0"/>
              <w:spacing w:line="440" w:lineRule="exact"/>
              <w:rPr>
                <w:rFonts w:ascii="Times New Roman" w:hAnsi="Times New Roman"/>
                <w:sz w:val="22"/>
              </w:rPr>
            </w:pPr>
            <w:r>
              <w:rPr>
                <w:rFonts w:ascii="宋体" w:hAnsi="宋体" w:hint="eastAsia"/>
                <w:szCs w:val="21"/>
              </w:rPr>
              <w:t>■</w:t>
            </w:r>
            <w:r>
              <w:rPr>
                <w:rFonts w:ascii="Times New Roman" w:hAnsi="宋体" w:hint="eastAsia"/>
                <w:sz w:val="22"/>
              </w:rPr>
              <w:t>考试</w:t>
            </w:r>
            <w:r>
              <w:rPr>
                <w:rFonts w:ascii="宋体" w:hAnsi="宋体" w:hint="eastAsia"/>
                <w:szCs w:val="21"/>
              </w:rPr>
              <w:t>□</w:t>
            </w:r>
            <w:r>
              <w:rPr>
                <w:rFonts w:ascii="Times New Roman" w:hAnsi="宋体" w:hint="eastAsia"/>
                <w:sz w:val="22"/>
              </w:rPr>
              <w:t>考查</w:t>
            </w:r>
            <w:r>
              <w:rPr>
                <w:rFonts w:ascii="宋体" w:hAnsi="宋体" w:hint="eastAsia"/>
                <w:szCs w:val="21"/>
              </w:rPr>
              <w:t>□</w:t>
            </w:r>
            <w:r>
              <w:rPr>
                <w:rFonts w:ascii="Times New Roman" w:hAnsi="宋体" w:hint="eastAsia"/>
                <w:sz w:val="22"/>
              </w:rPr>
              <w:t>开卷</w:t>
            </w:r>
            <w:r>
              <w:rPr>
                <w:rFonts w:ascii="宋体" w:hAnsi="宋体" w:hint="eastAsia"/>
                <w:szCs w:val="21"/>
              </w:rPr>
              <w:t>■</w:t>
            </w:r>
            <w:r>
              <w:rPr>
                <w:rFonts w:ascii="Times New Roman" w:hAnsi="宋体" w:hint="eastAsia"/>
                <w:sz w:val="22"/>
              </w:rPr>
              <w:t>闭卷</w:t>
            </w:r>
            <w:r>
              <w:rPr>
                <w:rFonts w:ascii="宋体" w:hAnsi="宋体" w:hint="eastAsia"/>
                <w:szCs w:val="21"/>
              </w:rPr>
              <w:t>□</w:t>
            </w:r>
            <w:r>
              <w:rPr>
                <w:rFonts w:ascii="Times New Roman" w:hAnsi="宋体" w:hint="eastAsia"/>
                <w:sz w:val="22"/>
              </w:rPr>
              <w:t>课程设计</w:t>
            </w:r>
            <w:r>
              <w:rPr>
                <w:rFonts w:ascii="宋体" w:hAnsi="宋体" w:hint="eastAsia"/>
                <w:szCs w:val="21"/>
              </w:rPr>
              <w:t>□</w:t>
            </w:r>
            <w:r>
              <w:rPr>
                <w:rFonts w:ascii="Times New Roman" w:hAnsi="宋体" w:hint="eastAsia"/>
                <w:sz w:val="22"/>
              </w:rPr>
              <w:t>学期论文</w:t>
            </w:r>
            <w:r>
              <w:rPr>
                <w:rFonts w:ascii="宋体" w:hAnsi="宋体" w:hint="eastAsia"/>
                <w:szCs w:val="21"/>
              </w:rPr>
              <w:t>□</w:t>
            </w:r>
            <w:r>
              <w:rPr>
                <w:rFonts w:ascii="Times New Roman" w:hAnsi="宋体" w:hint="eastAsia"/>
                <w:sz w:val="22"/>
              </w:rPr>
              <w:t>其他</w:t>
            </w:r>
          </w:p>
        </w:tc>
      </w:tr>
      <w:tr w:rsidR="003717A0">
        <w:tc>
          <w:tcPr>
            <w:tcW w:w="1668" w:type="dxa"/>
          </w:tcPr>
          <w:p w:rsidR="003717A0" w:rsidRDefault="003717A0">
            <w:pPr>
              <w:adjustRightInd w:val="0"/>
              <w:snapToGrid w:val="0"/>
              <w:spacing w:line="440" w:lineRule="exact"/>
              <w:rPr>
                <w:rFonts w:ascii="Times New Roman" w:hAnsi="Times New Roman"/>
                <w:sz w:val="22"/>
              </w:rPr>
            </w:pPr>
            <w:r>
              <w:rPr>
                <w:rFonts w:ascii="Times New Roman" w:hint="eastAsia"/>
                <w:sz w:val="22"/>
              </w:rPr>
              <w:t>课程成绩</w:t>
            </w:r>
          </w:p>
        </w:tc>
        <w:tc>
          <w:tcPr>
            <w:tcW w:w="3809" w:type="dxa"/>
            <w:gridSpan w:val="4"/>
          </w:tcPr>
          <w:p w:rsidR="003717A0" w:rsidRDefault="003717A0">
            <w:pPr>
              <w:adjustRightInd w:val="0"/>
              <w:snapToGrid w:val="0"/>
              <w:spacing w:line="440" w:lineRule="exact"/>
              <w:rPr>
                <w:rFonts w:ascii="Times New Roman" w:hAnsi="Times New Roman"/>
                <w:sz w:val="22"/>
              </w:rPr>
            </w:pPr>
            <w:r>
              <w:rPr>
                <w:rFonts w:ascii="Times New Roman" w:hint="eastAsia"/>
                <w:sz w:val="22"/>
              </w:rPr>
              <w:t>平时成绩</w:t>
            </w:r>
            <w:r>
              <w:rPr>
                <w:rFonts w:ascii="Times New Roman" w:hAnsi="Times New Roman"/>
                <w:sz w:val="22"/>
              </w:rPr>
              <w:t xml:space="preserve">  30%</w:t>
            </w:r>
          </w:p>
        </w:tc>
        <w:tc>
          <w:tcPr>
            <w:tcW w:w="3809" w:type="dxa"/>
            <w:gridSpan w:val="5"/>
          </w:tcPr>
          <w:p w:rsidR="003717A0" w:rsidRDefault="003717A0">
            <w:pPr>
              <w:adjustRightInd w:val="0"/>
              <w:snapToGrid w:val="0"/>
              <w:spacing w:line="440" w:lineRule="exact"/>
              <w:rPr>
                <w:rFonts w:ascii="Times New Roman" w:hAnsi="Times New Roman"/>
                <w:sz w:val="22"/>
              </w:rPr>
            </w:pPr>
            <w:r>
              <w:rPr>
                <w:rFonts w:ascii="Times New Roman" w:hint="eastAsia"/>
                <w:sz w:val="22"/>
              </w:rPr>
              <w:t>期末成绩</w:t>
            </w:r>
            <w:r>
              <w:rPr>
                <w:rFonts w:ascii="Times New Roman" w:hAnsi="Times New Roman"/>
                <w:sz w:val="22"/>
              </w:rPr>
              <w:t>70%</w:t>
            </w:r>
          </w:p>
        </w:tc>
      </w:tr>
      <w:tr w:rsidR="003717A0">
        <w:tc>
          <w:tcPr>
            <w:tcW w:w="9286" w:type="dxa"/>
            <w:gridSpan w:val="10"/>
          </w:tcPr>
          <w:p w:rsidR="003717A0" w:rsidRDefault="003717A0">
            <w:pPr>
              <w:adjustRightInd w:val="0"/>
              <w:snapToGrid w:val="0"/>
              <w:spacing w:line="440" w:lineRule="exact"/>
              <w:rPr>
                <w:rFonts w:ascii="Times New Roman" w:hAnsi="Times New Roman"/>
                <w:sz w:val="22"/>
              </w:rPr>
            </w:pPr>
            <w:r>
              <w:rPr>
                <w:rFonts w:ascii="Times New Roman" w:hint="eastAsia"/>
                <w:sz w:val="22"/>
              </w:rPr>
              <w:t>主讲教师基本信息</w:t>
            </w:r>
          </w:p>
        </w:tc>
      </w:tr>
      <w:tr w:rsidR="003717A0">
        <w:tc>
          <w:tcPr>
            <w:tcW w:w="1668"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姓名</w:t>
            </w:r>
          </w:p>
        </w:tc>
        <w:tc>
          <w:tcPr>
            <w:tcW w:w="1523"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性别</w:t>
            </w:r>
          </w:p>
        </w:tc>
        <w:tc>
          <w:tcPr>
            <w:tcW w:w="1524" w:type="dxa"/>
            <w:gridSpan w:val="2"/>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学历</w:t>
            </w:r>
          </w:p>
        </w:tc>
        <w:tc>
          <w:tcPr>
            <w:tcW w:w="1523" w:type="dxa"/>
            <w:gridSpan w:val="3"/>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学位</w:t>
            </w:r>
          </w:p>
        </w:tc>
        <w:tc>
          <w:tcPr>
            <w:tcW w:w="1524" w:type="dxa"/>
            <w:gridSpan w:val="2"/>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职称</w:t>
            </w:r>
          </w:p>
        </w:tc>
        <w:tc>
          <w:tcPr>
            <w:tcW w:w="1524" w:type="dxa"/>
          </w:tcPr>
          <w:p w:rsidR="003717A0" w:rsidRDefault="003717A0">
            <w:pPr>
              <w:adjustRightInd w:val="0"/>
              <w:snapToGrid w:val="0"/>
              <w:spacing w:line="440" w:lineRule="exact"/>
              <w:jc w:val="center"/>
              <w:rPr>
                <w:rFonts w:ascii="Times New Roman" w:hAnsi="Times New Roman"/>
                <w:sz w:val="22"/>
              </w:rPr>
            </w:pPr>
            <w:r>
              <w:rPr>
                <w:rFonts w:ascii="Times New Roman" w:hint="eastAsia"/>
                <w:sz w:val="22"/>
              </w:rPr>
              <w:t>从教时间</w:t>
            </w:r>
          </w:p>
        </w:tc>
      </w:tr>
      <w:tr w:rsidR="003717A0">
        <w:tc>
          <w:tcPr>
            <w:tcW w:w="1668"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姚力</w:t>
            </w:r>
            <w:r>
              <w:rPr>
                <w:rFonts w:ascii="Times New Roman" w:eastAsia="楷体_GB2312" w:hAnsi="Times New Roman"/>
                <w:kern w:val="0"/>
                <w:sz w:val="22"/>
              </w:rPr>
              <w:t xml:space="preserve"> </w:t>
            </w:r>
          </w:p>
        </w:tc>
        <w:tc>
          <w:tcPr>
            <w:tcW w:w="1523"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男</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本</w:t>
            </w:r>
            <w:r>
              <w:rPr>
                <w:rFonts w:ascii="Times New Roman" w:eastAsia="楷体_GB2312" w:hAnsi="Times New Roman"/>
                <w:kern w:val="0"/>
                <w:sz w:val="22"/>
              </w:rPr>
              <w:t xml:space="preserve"> </w:t>
            </w:r>
            <w:r>
              <w:rPr>
                <w:rFonts w:ascii="Times New Roman" w:eastAsia="楷体_GB2312" w:hAnsi="Times New Roman" w:hint="eastAsia"/>
                <w:kern w:val="0"/>
                <w:sz w:val="22"/>
              </w:rPr>
              <w:t>科</w:t>
            </w:r>
          </w:p>
        </w:tc>
        <w:tc>
          <w:tcPr>
            <w:tcW w:w="1523" w:type="dxa"/>
            <w:gridSpan w:val="3"/>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硕士</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教</w:t>
            </w:r>
            <w:r>
              <w:rPr>
                <w:rFonts w:ascii="Times New Roman" w:eastAsia="楷体_GB2312" w:hAnsi="Times New Roman"/>
                <w:kern w:val="0"/>
                <w:sz w:val="22"/>
              </w:rPr>
              <w:t xml:space="preserve"> </w:t>
            </w:r>
            <w:r>
              <w:rPr>
                <w:rFonts w:ascii="Times New Roman" w:eastAsia="楷体_GB2312" w:hAnsi="Times New Roman" w:hint="eastAsia"/>
                <w:kern w:val="0"/>
                <w:sz w:val="22"/>
              </w:rPr>
              <w:t>授</w:t>
            </w:r>
          </w:p>
        </w:tc>
        <w:tc>
          <w:tcPr>
            <w:tcW w:w="1524" w:type="dxa"/>
          </w:tcPr>
          <w:p w:rsidR="003717A0" w:rsidRDefault="003717A0">
            <w:pPr>
              <w:adjustRightInd w:val="0"/>
              <w:snapToGrid w:val="0"/>
              <w:spacing w:line="440" w:lineRule="exact"/>
              <w:ind w:firstLineChars="100" w:firstLine="220"/>
              <w:rPr>
                <w:rFonts w:ascii="Times New Roman" w:eastAsia="楷体_GB2312" w:hAnsi="Times New Roman"/>
                <w:kern w:val="0"/>
                <w:sz w:val="22"/>
              </w:rPr>
            </w:pPr>
            <w:r>
              <w:rPr>
                <w:rFonts w:ascii="Times New Roman" w:eastAsia="楷体_GB2312" w:hAnsi="Times New Roman"/>
                <w:kern w:val="0"/>
                <w:sz w:val="22"/>
              </w:rPr>
              <w:t>1987.9</w:t>
            </w:r>
          </w:p>
        </w:tc>
      </w:tr>
      <w:tr w:rsidR="003717A0">
        <w:tc>
          <w:tcPr>
            <w:tcW w:w="1668"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袁国秋</w:t>
            </w:r>
          </w:p>
        </w:tc>
        <w:tc>
          <w:tcPr>
            <w:tcW w:w="1523"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男</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研究生</w:t>
            </w:r>
          </w:p>
        </w:tc>
        <w:tc>
          <w:tcPr>
            <w:tcW w:w="1523" w:type="dxa"/>
            <w:gridSpan w:val="3"/>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博士</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副教授</w:t>
            </w:r>
          </w:p>
        </w:tc>
        <w:tc>
          <w:tcPr>
            <w:tcW w:w="1524" w:type="dxa"/>
          </w:tcPr>
          <w:p w:rsidR="003717A0" w:rsidRDefault="003717A0">
            <w:pPr>
              <w:adjustRightInd w:val="0"/>
              <w:snapToGrid w:val="0"/>
              <w:spacing w:line="440" w:lineRule="exact"/>
              <w:ind w:firstLineChars="100" w:firstLine="220"/>
              <w:rPr>
                <w:rFonts w:ascii="Times New Roman" w:eastAsia="楷体_GB2312" w:hAnsi="Times New Roman"/>
                <w:kern w:val="0"/>
                <w:sz w:val="22"/>
              </w:rPr>
            </w:pPr>
            <w:r>
              <w:rPr>
                <w:rFonts w:ascii="Times New Roman" w:eastAsia="楷体_GB2312" w:hAnsi="Times New Roman"/>
                <w:kern w:val="0"/>
                <w:sz w:val="22"/>
              </w:rPr>
              <w:t>1997.12</w:t>
            </w:r>
          </w:p>
        </w:tc>
      </w:tr>
      <w:tr w:rsidR="003717A0">
        <w:tc>
          <w:tcPr>
            <w:tcW w:w="1668"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赵志云</w:t>
            </w:r>
          </w:p>
        </w:tc>
        <w:tc>
          <w:tcPr>
            <w:tcW w:w="1523"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女</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研究生</w:t>
            </w:r>
          </w:p>
        </w:tc>
        <w:tc>
          <w:tcPr>
            <w:tcW w:w="1523" w:type="dxa"/>
            <w:gridSpan w:val="3"/>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博士</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副教授</w:t>
            </w:r>
          </w:p>
        </w:tc>
        <w:tc>
          <w:tcPr>
            <w:tcW w:w="1524" w:type="dxa"/>
          </w:tcPr>
          <w:p w:rsidR="003717A0" w:rsidRDefault="003717A0">
            <w:pPr>
              <w:adjustRightInd w:val="0"/>
              <w:snapToGrid w:val="0"/>
              <w:spacing w:line="440" w:lineRule="exact"/>
              <w:ind w:firstLineChars="100" w:firstLine="220"/>
              <w:rPr>
                <w:rFonts w:ascii="Times New Roman" w:eastAsia="楷体_GB2312" w:hAnsi="Times New Roman"/>
                <w:kern w:val="0"/>
                <w:sz w:val="22"/>
              </w:rPr>
            </w:pPr>
            <w:r>
              <w:rPr>
                <w:rFonts w:ascii="Times New Roman" w:eastAsia="楷体_GB2312" w:hAnsi="Times New Roman"/>
                <w:kern w:val="0"/>
                <w:sz w:val="22"/>
              </w:rPr>
              <w:t>2004.7</w:t>
            </w:r>
          </w:p>
        </w:tc>
      </w:tr>
      <w:tr w:rsidR="003717A0">
        <w:tc>
          <w:tcPr>
            <w:tcW w:w="9286" w:type="dxa"/>
            <w:gridSpan w:val="10"/>
          </w:tcPr>
          <w:p w:rsidR="003717A0" w:rsidRDefault="003717A0">
            <w:pPr>
              <w:adjustRightInd w:val="0"/>
              <w:snapToGrid w:val="0"/>
              <w:spacing w:line="440" w:lineRule="exact"/>
              <w:rPr>
                <w:rFonts w:ascii="Times New Roman" w:hAnsi="Times New Roman"/>
                <w:sz w:val="22"/>
              </w:rPr>
            </w:pPr>
            <w:r>
              <w:rPr>
                <w:rFonts w:ascii="Times New Roman" w:hint="eastAsia"/>
                <w:sz w:val="22"/>
              </w:rPr>
              <w:t>课程简介</w:t>
            </w:r>
          </w:p>
        </w:tc>
      </w:tr>
      <w:tr w:rsidR="003717A0">
        <w:tc>
          <w:tcPr>
            <w:tcW w:w="9286" w:type="dxa"/>
            <w:gridSpan w:val="10"/>
          </w:tcPr>
          <w:p w:rsidR="003717A0" w:rsidRDefault="003717A0">
            <w:pPr>
              <w:adjustRightInd w:val="0"/>
              <w:snapToGrid w:val="0"/>
              <w:spacing w:line="440" w:lineRule="exact"/>
              <w:ind w:firstLineChars="200" w:firstLine="440"/>
              <w:rPr>
                <w:rFonts w:ascii="Times New Roman"/>
                <w:sz w:val="22"/>
              </w:rPr>
            </w:pPr>
            <w:r>
              <w:rPr>
                <w:rFonts w:ascii="Times New Roman" w:hint="eastAsia"/>
                <w:sz w:val="22"/>
              </w:rPr>
              <w:t>物理学是生命科学的基础学科之一，任何生命过程的本质</w:t>
            </w:r>
            <w:r>
              <w:rPr>
                <w:rFonts w:ascii="Times New Roman"/>
                <w:sz w:val="22"/>
              </w:rPr>
              <w:t>——</w:t>
            </w:r>
            <w:r>
              <w:rPr>
                <w:rFonts w:ascii="Times New Roman" w:hint="eastAsia"/>
                <w:sz w:val="22"/>
              </w:rPr>
              <w:t>能量的交换、信息的传递、体内控制和调节、疾病发生机制等都与物理过程密切联系。《医学物理学》是国家教育部规定的高等医学院校医学类专业的一门必修基础课。课程内容既参照卫生部</w:t>
            </w:r>
            <w:r>
              <w:rPr>
                <w:rFonts w:ascii="Times New Roman"/>
                <w:sz w:val="22"/>
              </w:rPr>
              <w:t xml:space="preserve"> </w:t>
            </w:r>
            <w:r>
              <w:rPr>
                <w:rFonts w:ascii="Times New Roman" w:hint="eastAsia"/>
                <w:sz w:val="22"/>
              </w:rPr>
              <w:t>“高等医学院校《医用物理学》教学大纲（试用本）”，也结合教材参考的学时（</w:t>
            </w:r>
            <w:r>
              <w:rPr>
                <w:rFonts w:ascii="Times New Roman"/>
                <w:sz w:val="22"/>
              </w:rPr>
              <w:t>72~108</w:t>
            </w:r>
            <w:r>
              <w:rPr>
                <w:rFonts w:ascii="Times New Roman" w:hint="eastAsia"/>
                <w:sz w:val="22"/>
              </w:rPr>
              <w:t>），并针对当前教育改革倡导素质教育的特点编写，包含了力学、电磁学、热力学、光学以及近代物理学的基本概念、基本规律和基本方法，并兼顾与医学相关的物理学知识的阐述。在教学过程中，注重培养学生运用物理学知识分析和解决问题的能力，同时介绍基础和临床医学中的物理新技术，为学习后继医学课程以及从事医疗卫生工作和科学研究打好基础。《教学大纲》内容分为掌握、熟悉、了解和自学（自学内容不作考试要求）。</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二、课程大纲</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rsidP="00F5156D">
      <w:pPr>
        <w:autoSpaceDE w:val="0"/>
        <w:autoSpaceDN w:val="0"/>
        <w:adjustRightInd w:val="0"/>
        <w:spacing w:line="360" w:lineRule="auto"/>
        <w:ind w:firstLineChars="193" w:firstLine="425"/>
        <w:jc w:val="left"/>
        <w:rPr>
          <w:rFonts w:ascii="Times New Roman" w:hAnsi="宋体"/>
          <w:kern w:val="0"/>
          <w:sz w:val="22"/>
        </w:rPr>
      </w:pPr>
      <w:r>
        <w:rPr>
          <w:rFonts w:ascii="Times New Roman" w:hAnsi="宋体" w:hint="eastAsia"/>
          <w:kern w:val="0"/>
          <w:sz w:val="22"/>
        </w:rPr>
        <w:t>适应对象：本科层次，康复治疗学</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020318</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72 </w:t>
      </w:r>
      <w:r>
        <w:rPr>
          <w:rFonts w:ascii="Times New Roman" w:hAnsi="宋体" w:hint="eastAsia"/>
          <w:kern w:val="0"/>
          <w:sz w:val="22"/>
        </w:rPr>
        <w:t>学时（理论学时</w:t>
      </w:r>
      <w:r>
        <w:rPr>
          <w:rFonts w:ascii="Times New Roman" w:hAnsi="Times New Roman"/>
          <w:kern w:val="0"/>
          <w:sz w:val="22"/>
        </w:rPr>
        <w:t>54</w:t>
      </w:r>
      <w:r>
        <w:rPr>
          <w:rFonts w:ascii="Times New Roman" w:hAnsi="宋体" w:hint="eastAsia"/>
          <w:kern w:val="0"/>
          <w:sz w:val="22"/>
        </w:rPr>
        <w:t>学时，实验学时</w:t>
      </w:r>
      <w:r>
        <w:rPr>
          <w:rFonts w:ascii="Times New Roman" w:hAnsi="Times New Roman"/>
          <w:kern w:val="0"/>
          <w:sz w:val="22"/>
        </w:rPr>
        <w:t>18</w:t>
      </w:r>
      <w:r>
        <w:rPr>
          <w:rFonts w:ascii="Times New Roman" w:hAnsi="宋体" w:hint="eastAsia"/>
          <w:kern w:val="0"/>
          <w:sz w:val="22"/>
        </w:rPr>
        <w:t>学时）</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4</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先修课程：无</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后续课程：医学基础课</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本课程是五年制医学类专业本科学生的必修基础课，是深入了解生命过程本质</w:t>
      </w:r>
      <w:r>
        <w:rPr>
          <w:rFonts w:ascii="Times New Roman" w:hAnsi="宋体"/>
          <w:kern w:val="0"/>
          <w:sz w:val="22"/>
        </w:rPr>
        <w:t>——</w:t>
      </w:r>
      <w:r>
        <w:rPr>
          <w:rFonts w:ascii="Times New Roman" w:hAnsi="宋体" w:hint="eastAsia"/>
          <w:kern w:val="0"/>
          <w:sz w:val="22"/>
        </w:rPr>
        <w:t>能量的交换、信息的传递、体内控制和调节、疾病发生机制等的必备知识。主要学习物理学中力学、电磁学、热力学、光学以及近代物理学的基本概念、基本规律和基本方法，并兼顾与医学相关的物理学知识。</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宋体" w:hint="eastAsia"/>
          <w:kern w:val="0"/>
          <w:sz w:val="22"/>
        </w:rPr>
        <w:t>掌握物理学的基本理论、基本分析和解决问题的方法，了解医学研究和应用中所涉及的物理学方法以及新技术。考虑到理论课</w:t>
      </w:r>
      <w:r>
        <w:rPr>
          <w:rFonts w:ascii="Times New Roman" w:hAnsi="Times New Roman"/>
          <w:kern w:val="0"/>
          <w:sz w:val="22"/>
        </w:rPr>
        <w:t>54</w:t>
      </w:r>
      <w:r>
        <w:rPr>
          <w:rFonts w:ascii="Times New Roman" w:hAnsi="宋体" w:hint="eastAsia"/>
          <w:kern w:val="0"/>
          <w:sz w:val="22"/>
        </w:rPr>
        <w:t>学时并与高等数学同时开课的现状，在保证物理学系统性的前提下，尽量避免大量使用微积分知识，注重培养学生分析问题、解决问题和自学的能力，为后继医学课程以及从事医疗卫生工作和科学研究打好基础。</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3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流体的运动（</w:t>
      </w:r>
      <w:r>
        <w:rPr>
          <w:rFonts w:ascii="Times New Roman" w:eastAsia="黑体" w:hAnsi="Times New Roman"/>
          <w:b/>
          <w:kern w:val="0"/>
          <w:sz w:val="22"/>
        </w:rPr>
        <w:t xml:space="preserve">6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第一节</w:t>
      </w:r>
      <w:r>
        <w:rPr>
          <w:rFonts w:ascii="Times New Roman" w:hAnsi="Times New Roman"/>
          <w:kern w:val="0"/>
          <w:sz w:val="22"/>
        </w:rPr>
        <w:t xml:space="preserve"> </w:t>
      </w:r>
      <w:r>
        <w:rPr>
          <w:rFonts w:ascii="Times New Roman" w:hAnsi="Times New Roman" w:hint="eastAsia"/>
          <w:kern w:val="0"/>
          <w:sz w:val="22"/>
        </w:rPr>
        <w:t>理想流体</w:t>
      </w:r>
      <w:r>
        <w:rPr>
          <w:rFonts w:ascii="Times New Roman" w:hAnsi="Times New Roman"/>
          <w:kern w:val="0"/>
          <w:sz w:val="22"/>
        </w:rPr>
        <w:t xml:space="preserve"> </w:t>
      </w:r>
      <w:r>
        <w:rPr>
          <w:rFonts w:ascii="Times New Roman" w:hAnsi="Times New Roman" w:hint="eastAsia"/>
          <w:kern w:val="0"/>
          <w:sz w:val="22"/>
        </w:rPr>
        <w:t>稳定流动</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w:t>
      </w:r>
      <w:r>
        <w:rPr>
          <w:rFonts w:ascii="Times New Roman" w:hAnsi="Times New Roman" w:hint="eastAsia"/>
          <w:kern w:val="0"/>
          <w:sz w:val="22"/>
        </w:rPr>
        <w:t>理想流体的伯努利方程</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Times New Roman" w:hAnsi="Times New Roman"/>
          <w:kern w:val="0"/>
          <w:sz w:val="22"/>
        </w:rPr>
        <w:t xml:space="preserve"> </w:t>
      </w:r>
      <w:r>
        <w:rPr>
          <w:rFonts w:ascii="Times New Roman" w:hAnsi="Times New Roman" w:hint="eastAsia"/>
          <w:kern w:val="0"/>
          <w:sz w:val="22"/>
        </w:rPr>
        <w:t>粘性流体的流动</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第四节</w:t>
      </w:r>
      <w:r>
        <w:rPr>
          <w:rFonts w:ascii="Times New Roman" w:hAnsi="Times New Roman"/>
          <w:kern w:val="0"/>
          <w:sz w:val="22"/>
        </w:rPr>
        <w:t xml:space="preserve"> </w:t>
      </w:r>
      <w:r>
        <w:rPr>
          <w:rFonts w:ascii="Times New Roman" w:hAnsi="Times New Roman" w:hint="eastAsia"/>
          <w:kern w:val="0"/>
          <w:sz w:val="22"/>
        </w:rPr>
        <w:t>粘性流体的流动规律</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4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振动（</w:t>
      </w:r>
      <w:r>
        <w:rPr>
          <w:rFonts w:ascii="Times New Roman" w:eastAsia="黑体" w:hAnsi="Times New Roman"/>
          <w:b/>
          <w:kern w:val="0"/>
          <w:sz w:val="22"/>
        </w:rPr>
        <w:t xml:space="preserve">4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第一节</w:t>
      </w:r>
      <w:r>
        <w:rPr>
          <w:rFonts w:ascii="Times New Roman" w:hAnsi="Times New Roman"/>
          <w:kern w:val="0"/>
          <w:sz w:val="22"/>
        </w:rPr>
        <w:t xml:space="preserve"> </w:t>
      </w:r>
      <w:r>
        <w:rPr>
          <w:rFonts w:ascii="Times New Roman" w:hAnsi="Times New Roman" w:hint="eastAsia"/>
          <w:kern w:val="0"/>
          <w:sz w:val="22"/>
        </w:rPr>
        <w:t>简谐振动（补一维瞬时速度和加速度概念）</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Times New Roman" w:hAnsi="Times New Roman"/>
          <w:kern w:val="0"/>
          <w:sz w:val="22"/>
        </w:rPr>
        <w:t xml:space="preserve"> </w:t>
      </w:r>
      <w:r>
        <w:rPr>
          <w:rFonts w:ascii="Times New Roman" w:hAnsi="Times New Roman" w:hint="eastAsia"/>
          <w:kern w:val="0"/>
          <w:sz w:val="22"/>
        </w:rPr>
        <w:t>简谐振动的合成</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5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机械波（</w:t>
      </w:r>
      <w:r>
        <w:rPr>
          <w:rFonts w:ascii="Times New Roman" w:eastAsia="黑体" w:hAnsi="Times New Roman"/>
          <w:b/>
          <w:kern w:val="0"/>
          <w:sz w:val="22"/>
        </w:rPr>
        <w:t xml:space="preserve">6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第一节机械波</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lastRenderedPageBreak/>
        <w:t>第二节</w:t>
      </w:r>
      <w:r>
        <w:rPr>
          <w:rFonts w:ascii="Times New Roman" w:hAnsi="Times New Roman"/>
          <w:kern w:val="0"/>
          <w:sz w:val="22"/>
        </w:rPr>
        <w:t xml:space="preserve"> </w:t>
      </w:r>
      <w:r>
        <w:rPr>
          <w:rFonts w:ascii="Times New Roman" w:hAnsi="Times New Roman" w:hint="eastAsia"/>
          <w:kern w:val="0"/>
          <w:sz w:val="22"/>
        </w:rPr>
        <w:t>简谐波</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Times New Roman" w:hAnsi="Times New Roman"/>
          <w:kern w:val="0"/>
          <w:sz w:val="22"/>
        </w:rPr>
        <w:t xml:space="preserve"> </w:t>
      </w:r>
      <w:r>
        <w:rPr>
          <w:rFonts w:ascii="Times New Roman" w:hAnsi="Times New Roman" w:hint="eastAsia"/>
          <w:kern w:val="0"/>
          <w:sz w:val="22"/>
        </w:rPr>
        <w:t>波的能量</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第五节</w:t>
      </w:r>
      <w:r>
        <w:rPr>
          <w:rFonts w:ascii="Times New Roman" w:hAnsi="Times New Roman"/>
          <w:kern w:val="0"/>
          <w:sz w:val="22"/>
        </w:rPr>
        <w:t xml:space="preserve"> </w:t>
      </w:r>
      <w:r>
        <w:rPr>
          <w:rFonts w:ascii="Times New Roman" w:hAnsi="Times New Roman" w:hint="eastAsia"/>
          <w:kern w:val="0"/>
          <w:sz w:val="22"/>
        </w:rPr>
        <w:t>声波</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第六节</w:t>
      </w:r>
      <w:r>
        <w:rPr>
          <w:rFonts w:ascii="宋体" w:hAnsi="宋体"/>
          <w:kern w:val="0"/>
          <w:sz w:val="28"/>
          <w:szCs w:val="28"/>
          <w:vertAlign w:val="superscript"/>
        </w:rPr>
        <w:t>*</w:t>
      </w:r>
      <w:r>
        <w:rPr>
          <w:rFonts w:ascii="Times New Roman" w:hAnsi="Times New Roman"/>
          <w:kern w:val="0"/>
          <w:sz w:val="22"/>
        </w:rPr>
        <w:t xml:space="preserve"> </w:t>
      </w:r>
      <w:r>
        <w:rPr>
          <w:rFonts w:ascii="Times New Roman" w:hAnsi="Times New Roman" w:hint="eastAsia"/>
          <w:kern w:val="0"/>
          <w:sz w:val="22"/>
        </w:rPr>
        <w:t>多普勒效应</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6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分子动理论（</w:t>
      </w:r>
      <w:r>
        <w:rPr>
          <w:rFonts w:ascii="Times New Roman" w:eastAsia="黑体" w:hAnsi="Times New Roman"/>
          <w:b/>
          <w:kern w:val="0"/>
          <w:sz w:val="22"/>
        </w:rPr>
        <w:t xml:space="preserve">4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第五节</w:t>
      </w:r>
      <w:r>
        <w:rPr>
          <w:rFonts w:ascii="Times New Roman" w:hAnsi="Times New Roman"/>
          <w:kern w:val="0"/>
          <w:sz w:val="22"/>
        </w:rPr>
        <w:t xml:space="preserve"> </w:t>
      </w:r>
      <w:r>
        <w:rPr>
          <w:rFonts w:ascii="Times New Roman" w:hAnsi="Times New Roman" w:hint="eastAsia"/>
          <w:kern w:val="0"/>
          <w:sz w:val="22"/>
        </w:rPr>
        <w:t>液体的表面现象</w:t>
      </w:r>
      <w:r>
        <w:rPr>
          <w:rFonts w:ascii="Times New Roman" w:eastAsia="黑体" w:hAnsi="Times New Roman" w:hint="eastAsia"/>
          <w:kern w:val="0"/>
          <w:sz w:val="22"/>
        </w:rPr>
        <w:t>（</w:t>
      </w:r>
      <w:r>
        <w:rPr>
          <w:rFonts w:ascii="Times New Roman" w:eastAsia="黑体" w:hAnsi="Times New Roman"/>
          <w:kern w:val="0"/>
          <w:sz w:val="22"/>
        </w:rPr>
        <w:t xml:space="preserve">4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hAnsi="Times New Roman"/>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8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静电场（</w:t>
      </w:r>
      <w:r>
        <w:rPr>
          <w:rFonts w:ascii="Times New Roman" w:eastAsia="黑体" w:hAnsi="Times New Roman"/>
          <w:b/>
          <w:kern w:val="0"/>
          <w:sz w:val="22"/>
        </w:rPr>
        <w:t xml:space="preserve">8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200" w:firstLine="440"/>
        <w:jc w:val="left"/>
        <w:rPr>
          <w:rFonts w:ascii="Times New Roman" w:hAnsi="Times New Roman"/>
          <w:kern w:val="0"/>
          <w:sz w:val="22"/>
        </w:rPr>
      </w:pPr>
      <w:r>
        <w:rPr>
          <w:rFonts w:ascii="Times New Roman" w:hAnsi="Times New Roman" w:hint="eastAsia"/>
          <w:kern w:val="0"/>
          <w:sz w:val="22"/>
        </w:rPr>
        <w:t>第一节</w:t>
      </w:r>
      <w:r>
        <w:rPr>
          <w:rFonts w:ascii="Times New Roman" w:hAnsi="Times New Roman"/>
          <w:kern w:val="0"/>
          <w:sz w:val="22"/>
        </w:rPr>
        <w:t xml:space="preserve"> </w:t>
      </w:r>
      <w:r>
        <w:rPr>
          <w:rFonts w:ascii="Times New Roman" w:hAnsi="Times New Roman" w:hint="eastAsia"/>
          <w:kern w:val="0"/>
          <w:sz w:val="22"/>
        </w:rPr>
        <w:t>电场强度</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w:t>
      </w:r>
      <w:r>
        <w:rPr>
          <w:rFonts w:ascii="Times New Roman" w:hAnsi="Times New Roman" w:hint="eastAsia"/>
          <w:kern w:val="0"/>
          <w:sz w:val="22"/>
        </w:rPr>
        <w:t>高斯定理</w:t>
      </w:r>
      <w:r>
        <w:rPr>
          <w:rFonts w:ascii="Times New Roman" w:eastAsia="黑体" w:hAnsi="Times New Roman" w:hint="eastAsia"/>
          <w:kern w:val="0"/>
          <w:sz w:val="22"/>
        </w:rPr>
        <w:t>（</w:t>
      </w:r>
      <w:r>
        <w:rPr>
          <w:rFonts w:ascii="Times New Roman" w:eastAsia="黑体" w:hAnsi="Times New Roman"/>
          <w:kern w:val="0"/>
          <w:sz w:val="22"/>
        </w:rPr>
        <w:t xml:space="preserve">4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Times New Roman" w:hAnsi="Times New Roman"/>
          <w:kern w:val="0"/>
          <w:sz w:val="22"/>
        </w:rPr>
        <w:t xml:space="preserve"> </w:t>
      </w:r>
      <w:r>
        <w:rPr>
          <w:rFonts w:ascii="Times New Roman" w:hAnsi="Times New Roman" w:hint="eastAsia"/>
          <w:kern w:val="0"/>
          <w:sz w:val="22"/>
        </w:rPr>
        <w:t>电势</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9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直流电（</w:t>
      </w:r>
      <w:r>
        <w:rPr>
          <w:rFonts w:ascii="Times New Roman" w:eastAsia="黑体" w:hAnsi="Times New Roman"/>
          <w:b/>
          <w:kern w:val="0"/>
          <w:sz w:val="22"/>
        </w:rPr>
        <w:t xml:space="preserve">4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第一节</w:t>
      </w:r>
      <w:r>
        <w:rPr>
          <w:rFonts w:ascii="Times New Roman" w:hAnsi="Times New Roman"/>
          <w:kern w:val="0"/>
          <w:sz w:val="22"/>
        </w:rPr>
        <w:t xml:space="preserve"> </w:t>
      </w:r>
      <w:r>
        <w:rPr>
          <w:rFonts w:ascii="Times New Roman" w:hAnsi="Times New Roman" w:hint="eastAsia"/>
          <w:kern w:val="0"/>
          <w:sz w:val="22"/>
        </w:rPr>
        <w:t>电流密度</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w:t>
      </w:r>
      <w:r>
        <w:rPr>
          <w:rFonts w:ascii="Times New Roman" w:hAnsi="Times New Roman" w:hint="eastAsia"/>
          <w:kern w:val="0"/>
          <w:sz w:val="22"/>
        </w:rPr>
        <w:t>基尔霍夫定律</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宋体" w:hAnsi="宋体"/>
          <w:kern w:val="0"/>
          <w:sz w:val="28"/>
          <w:szCs w:val="28"/>
          <w:vertAlign w:val="superscript"/>
        </w:rPr>
        <w:t>*</w:t>
      </w:r>
      <w:r>
        <w:rPr>
          <w:rFonts w:ascii="Times New Roman" w:hAnsi="Times New Roman"/>
          <w:kern w:val="0"/>
          <w:sz w:val="22"/>
        </w:rPr>
        <w:t xml:space="preserve"> </w:t>
      </w:r>
      <w:r>
        <w:rPr>
          <w:rFonts w:ascii="Times New Roman" w:hAnsi="Times New Roman" w:hint="eastAsia"/>
          <w:kern w:val="0"/>
          <w:sz w:val="22"/>
        </w:rPr>
        <w:t>电容器的充电和放电</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hAnsi="Times New Roman"/>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12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波动光学（</w:t>
      </w:r>
      <w:r>
        <w:rPr>
          <w:rFonts w:ascii="Times New Roman" w:eastAsia="黑体" w:hAnsi="Times New Roman"/>
          <w:b/>
          <w:kern w:val="0"/>
          <w:sz w:val="22"/>
        </w:rPr>
        <w:t xml:space="preserve">6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第一节</w:t>
      </w:r>
      <w:r>
        <w:rPr>
          <w:rFonts w:ascii="Times New Roman" w:hAnsi="Times New Roman"/>
          <w:kern w:val="0"/>
          <w:sz w:val="22"/>
        </w:rPr>
        <w:t xml:space="preserve"> </w:t>
      </w:r>
      <w:r>
        <w:rPr>
          <w:rFonts w:ascii="Times New Roman" w:hAnsi="Times New Roman" w:hint="eastAsia"/>
          <w:kern w:val="0"/>
          <w:sz w:val="22"/>
        </w:rPr>
        <w:t>光的干涉</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w:t>
      </w:r>
      <w:r>
        <w:rPr>
          <w:rFonts w:ascii="Times New Roman" w:hAnsi="Times New Roman" w:hint="eastAsia"/>
          <w:kern w:val="0"/>
          <w:sz w:val="22"/>
        </w:rPr>
        <w:t>光的衍涉</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Times New Roman" w:hAnsi="Times New Roman"/>
          <w:kern w:val="0"/>
          <w:sz w:val="22"/>
        </w:rPr>
        <w:t xml:space="preserve"> </w:t>
      </w:r>
      <w:r>
        <w:rPr>
          <w:rFonts w:ascii="Times New Roman" w:hAnsi="Times New Roman" w:hint="eastAsia"/>
          <w:kern w:val="0"/>
          <w:sz w:val="22"/>
        </w:rPr>
        <w:t>光的偏振</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b/>
          <w:sz w:val="18"/>
          <w:szCs w:val="18"/>
        </w:rPr>
      </w:pPr>
      <w:r>
        <w:rPr>
          <w:rFonts w:ascii="Times New Roman" w:eastAsia="黑体" w:hAnsi="Times New Roman" w:hint="eastAsia"/>
          <w:b/>
          <w:kern w:val="0"/>
          <w:sz w:val="22"/>
        </w:rPr>
        <w:t>第</w:t>
      </w:r>
      <w:r>
        <w:rPr>
          <w:rFonts w:ascii="Times New Roman" w:eastAsia="黑体" w:hAnsi="Times New Roman"/>
          <w:b/>
          <w:kern w:val="0"/>
          <w:sz w:val="22"/>
        </w:rPr>
        <w:t xml:space="preserve"> 13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几何光学（</w:t>
      </w:r>
      <w:r>
        <w:rPr>
          <w:rFonts w:ascii="Times New Roman" w:eastAsia="黑体" w:hAnsi="Times New Roman"/>
          <w:b/>
          <w:kern w:val="0"/>
          <w:sz w:val="22"/>
        </w:rPr>
        <w:t xml:space="preserve">6 </w:t>
      </w:r>
      <w:r>
        <w:rPr>
          <w:rFonts w:ascii="Times New Roman" w:eastAsia="黑体" w:hAnsi="Times New Roman" w:hint="eastAsia"/>
          <w:b/>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第一节</w:t>
      </w:r>
      <w:r>
        <w:rPr>
          <w:rFonts w:ascii="Times New Roman" w:hAnsi="Times New Roman"/>
          <w:kern w:val="0"/>
          <w:sz w:val="22"/>
        </w:rPr>
        <w:t xml:space="preserve"> </w:t>
      </w:r>
      <w:r>
        <w:rPr>
          <w:rFonts w:ascii="Times New Roman" w:hAnsi="Times New Roman" w:hint="eastAsia"/>
          <w:kern w:val="0"/>
          <w:sz w:val="22"/>
        </w:rPr>
        <w:t>球面折射</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w:t>
      </w:r>
      <w:r>
        <w:rPr>
          <w:rFonts w:ascii="Times New Roman" w:hAnsi="Times New Roman" w:hint="eastAsia"/>
          <w:kern w:val="0"/>
          <w:sz w:val="22"/>
        </w:rPr>
        <w:t>透镜</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第三节</w:t>
      </w:r>
      <w:r>
        <w:rPr>
          <w:rFonts w:ascii="Times New Roman" w:hAnsi="Times New Roman"/>
          <w:kern w:val="0"/>
          <w:sz w:val="22"/>
        </w:rPr>
        <w:t xml:space="preserve"> </w:t>
      </w:r>
      <w:r>
        <w:rPr>
          <w:rFonts w:ascii="Times New Roman" w:hAnsi="Times New Roman" w:hint="eastAsia"/>
          <w:kern w:val="0"/>
          <w:sz w:val="22"/>
        </w:rPr>
        <w:t>眼睛</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16 </w:t>
      </w:r>
      <w:r>
        <w:rPr>
          <w:rFonts w:ascii="Times New Roman" w:eastAsia="黑体" w:hAnsi="Times New Roman" w:hint="eastAsia"/>
          <w:b/>
          <w:kern w:val="0"/>
          <w:sz w:val="22"/>
        </w:rPr>
        <w:t>章</w:t>
      </w:r>
      <w:r>
        <w:rPr>
          <w:rFonts w:ascii="Times New Roman" w:eastAsia="黑体" w:hAnsi="Times New Roman"/>
          <w:b/>
          <w:kern w:val="0"/>
          <w:sz w:val="22"/>
        </w:rPr>
        <w:t xml:space="preserve"> X</w:t>
      </w:r>
      <w:r>
        <w:rPr>
          <w:rFonts w:ascii="Times New Roman" w:eastAsia="黑体" w:hAnsi="Times New Roman" w:hint="eastAsia"/>
          <w:b/>
          <w:kern w:val="0"/>
          <w:sz w:val="22"/>
        </w:rPr>
        <w:t>射线（</w:t>
      </w:r>
      <w:r>
        <w:rPr>
          <w:rFonts w:ascii="Times New Roman" w:eastAsia="黑体" w:hAnsi="Times New Roman"/>
          <w:b/>
          <w:kern w:val="0"/>
          <w:sz w:val="22"/>
        </w:rPr>
        <w:t xml:space="preserve">4 </w:t>
      </w:r>
      <w:r>
        <w:rPr>
          <w:rFonts w:ascii="Times New Roman" w:eastAsia="黑体" w:hAnsi="Times New Roman" w:hint="eastAsia"/>
          <w:b/>
          <w:kern w:val="0"/>
          <w:sz w:val="22"/>
        </w:rPr>
        <w:t>学时）</w:t>
      </w:r>
    </w:p>
    <w:p w:rsidR="003717A0" w:rsidRDefault="003717A0" w:rsidP="00F5156D">
      <w:pPr>
        <w:numPr>
          <w:ilvl w:val="0"/>
          <w:numId w:val="81"/>
        </w:numPr>
        <w:autoSpaceDE w:val="0"/>
        <w:autoSpaceDN w:val="0"/>
        <w:adjustRightInd w:val="0"/>
        <w:spacing w:line="360" w:lineRule="auto"/>
        <w:jc w:val="left"/>
        <w:rPr>
          <w:rFonts w:ascii="Times New Roman" w:hAnsi="Times New Roman"/>
          <w:kern w:val="0"/>
          <w:sz w:val="22"/>
        </w:rPr>
      </w:pPr>
      <w:r>
        <w:rPr>
          <w:rFonts w:ascii="Times New Roman" w:hAnsi="Times New Roman"/>
          <w:kern w:val="0"/>
          <w:sz w:val="22"/>
        </w:rPr>
        <w:t>X</w:t>
      </w:r>
      <w:r>
        <w:rPr>
          <w:rFonts w:ascii="Times New Roman" w:hAnsi="Times New Roman" w:hint="eastAsia"/>
          <w:kern w:val="0"/>
          <w:sz w:val="22"/>
        </w:rPr>
        <w:t>射线的产生</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200" w:firstLine="440"/>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X</w:t>
      </w:r>
      <w:r>
        <w:rPr>
          <w:rFonts w:ascii="Times New Roman" w:hAnsi="Times New Roman" w:hint="eastAsia"/>
          <w:kern w:val="0"/>
          <w:sz w:val="22"/>
        </w:rPr>
        <w:t>射线谱</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第四节</w:t>
      </w:r>
      <w:r>
        <w:rPr>
          <w:rFonts w:ascii="Times New Roman" w:hAnsi="Times New Roman"/>
          <w:kern w:val="0"/>
          <w:sz w:val="22"/>
        </w:rPr>
        <w:t xml:space="preserve"> </w:t>
      </w:r>
      <w:r>
        <w:rPr>
          <w:rFonts w:ascii="Times New Roman" w:hAnsi="Times New Roman" w:hint="eastAsia"/>
          <w:kern w:val="0"/>
          <w:sz w:val="22"/>
        </w:rPr>
        <w:t>物质对</w:t>
      </w:r>
      <w:r>
        <w:rPr>
          <w:rFonts w:ascii="Times New Roman" w:hAnsi="Times New Roman"/>
          <w:kern w:val="0"/>
          <w:sz w:val="22"/>
        </w:rPr>
        <w:t>X</w:t>
      </w:r>
      <w:r>
        <w:rPr>
          <w:rFonts w:ascii="Times New Roman" w:hAnsi="Times New Roman" w:hint="eastAsia"/>
          <w:kern w:val="0"/>
          <w:sz w:val="22"/>
        </w:rPr>
        <w:t>射线的衰减规律</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 xml:space="preserve"> 17 </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ascii="Times New Roman" w:eastAsia="黑体" w:hAnsi="Times New Roman" w:hint="eastAsia"/>
          <w:b/>
          <w:kern w:val="0"/>
          <w:sz w:val="22"/>
        </w:rPr>
        <w:t>原子核和放射性（</w:t>
      </w:r>
      <w:r>
        <w:rPr>
          <w:rFonts w:ascii="Times New Roman" w:eastAsia="黑体" w:hAnsi="Times New Roman"/>
          <w:b/>
          <w:kern w:val="0"/>
          <w:sz w:val="22"/>
        </w:rPr>
        <w:t xml:space="preserve">6 </w:t>
      </w:r>
      <w:r>
        <w:rPr>
          <w:rFonts w:ascii="Times New Roman" w:eastAsia="黑体" w:hAnsi="Times New Roman" w:hint="eastAsia"/>
          <w:b/>
          <w:kern w:val="0"/>
          <w:sz w:val="22"/>
        </w:rPr>
        <w:t>学时）</w:t>
      </w:r>
    </w:p>
    <w:p w:rsidR="003717A0" w:rsidRDefault="003717A0" w:rsidP="00F5156D">
      <w:pPr>
        <w:numPr>
          <w:ilvl w:val="0"/>
          <w:numId w:val="82"/>
        </w:numPr>
        <w:autoSpaceDE w:val="0"/>
        <w:autoSpaceDN w:val="0"/>
        <w:adjustRightInd w:val="0"/>
        <w:spacing w:line="360" w:lineRule="auto"/>
        <w:jc w:val="left"/>
        <w:rPr>
          <w:rFonts w:ascii="Times New Roman" w:hAnsi="Times New Roman"/>
          <w:kern w:val="0"/>
          <w:sz w:val="22"/>
        </w:rPr>
      </w:pPr>
      <w:r>
        <w:rPr>
          <w:rFonts w:ascii="Times New Roman" w:hAnsi="Times New Roman" w:hint="eastAsia"/>
          <w:kern w:val="0"/>
          <w:sz w:val="22"/>
        </w:rPr>
        <w:t>原子核的基本性质</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left="422"/>
        <w:jc w:val="left"/>
        <w:rPr>
          <w:rFonts w:ascii="Times New Roman" w:hAnsi="Times New Roman"/>
          <w:kern w:val="0"/>
          <w:sz w:val="22"/>
        </w:rPr>
      </w:pPr>
      <w:r>
        <w:rPr>
          <w:rFonts w:ascii="Times New Roman" w:hAnsi="Times New Roman" w:hint="eastAsia"/>
          <w:kern w:val="0"/>
          <w:sz w:val="22"/>
        </w:rPr>
        <w:t>第二节</w:t>
      </w:r>
      <w:r>
        <w:rPr>
          <w:rFonts w:ascii="Times New Roman" w:hAnsi="Times New Roman"/>
          <w:kern w:val="0"/>
          <w:sz w:val="22"/>
        </w:rPr>
        <w:t xml:space="preserve"> </w:t>
      </w:r>
      <w:r>
        <w:rPr>
          <w:rFonts w:ascii="Times New Roman" w:hAnsi="Times New Roman" w:hint="eastAsia"/>
          <w:kern w:val="0"/>
          <w:sz w:val="22"/>
        </w:rPr>
        <w:t>原子核的衰变类型</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lastRenderedPageBreak/>
        <w:t>第三节</w:t>
      </w:r>
      <w:r>
        <w:rPr>
          <w:rFonts w:ascii="Times New Roman" w:hAnsi="Times New Roman"/>
          <w:kern w:val="0"/>
          <w:sz w:val="22"/>
        </w:rPr>
        <w:t xml:space="preserve"> </w:t>
      </w:r>
      <w:r>
        <w:rPr>
          <w:rFonts w:ascii="Times New Roman" w:hAnsi="Times New Roman" w:hint="eastAsia"/>
          <w:kern w:val="0"/>
          <w:sz w:val="22"/>
        </w:rPr>
        <w:t>原子核的衰变规律</w:t>
      </w:r>
      <w:r>
        <w:rPr>
          <w:rFonts w:ascii="Times New Roman" w:eastAsia="黑体" w:hAnsi="Times New Roman" w:hint="eastAsia"/>
          <w:kern w:val="0"/>
          <w:sz w:val="22"/>
        </w:rPr>
        <w:t>（</w:t>
      </w:r>
      <w:r>
        <w:rPr>
          <w:rFonts w:ascii="Times New Roman" w:eastAsia="黑体" w:hAnsi="Times New Roman"/>
          <w:kern w:val="0"/>
          <w:sz w:val="22"/>
        </w:rPr>
        <w:t xml:space="preserve">2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92" w:firstLine="422"/>
        <w:jc w:val="left"/>
        <w:rPr>
          <w:rFonts w:ascii="Times New Roman" w:hAnsi="Times New Roman"/>
          <w:kern w:val="0"/>
          <w:sz w:val="22"/>
        </w:rPr>
      </w:pPr>
      <w:r>
        <w:rPr>
          <w:rFonts w:ascii="Times New Roman" w:hAnsi="Times New Roman" w:hint="eastAsia"/>
          <w:kern w:val="0"/>
          <w:sz w:val="22"/>
        </w:rPr>
        <w:t>第四节</w:t>
      </w:r>
      <w:r>
        <w:rPr>
          <w:rFonts w:ascii="Times New Roman" w:hAnsi="Times New Roman"/>
          <w:kern w:val="0"/>
          <w:sz w:val="22"/>
        </w:rPr>
        <w:t xml:space="preserve"> </w:t>
      </w:r>
      <w:r>
        <w:rPr>
          <w:rFonts w:ascii="Times New Roman" w:hAnsi="Times New Roman" w:hint="eastAsia"/>
          <w:kern w:val="0"/>
          <w:sz w:val="22"/>
        </w:rPr>
        <w:t>射线与物质的相互作用</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pacing w:line="360" w:lineRule="auto"/>
        <w:ind w:firstLineChars="150" w:firstLine="330"/>
        <w:jc w:val="left"/>
        <w:rPr>
          <w:rFonts w:ascii="Times New Roman" w:hAnsi="Times New Roman"/>
          <w:kern w:val="0"/>
          <w:sz w:val="22"/>
        </w:rPr>
      </w:pPr>
      <w:r>
        <w:rPr>
          <w:rFonts w:ascii="Times New Roman" w:hAnsi="Times New Roman"/>
          <w:kern w:val="0"/>
          <w:sz w:val="22"/>
        </w:rPr>
        <w:t xml:space="preserve"> </w:t>
      </w:r>
      <w:r>
        <w:rPr>
          <w:rFonts w:ascii="Times New Roman" w:hAnsi="Times New Roman" w:hint="eastAsia"/>
          <w:kern w:val="0"/>
          <w:sz w:val="22"/>
        </w:rPr>
        <w:t>第五节</w:t>
      </w:r>
      <w:r>
        <w:rPr>
          <w:rFonts w:ascii="Times New Roman" w:hAnsi="Times New Roman"/>
          <w:kern w:val="0"/>
          <w:sz w:val="22"/>
        </w:rPr>
        <w:t xml:space="preserve"> </w:t>
      </w:r>
      <w:r>
        <w:rPr>
          <w:rFonts w:ascii="Times New Roman" w:hAnsi="Times New Roman" w:hint="eastAsia"/>
          <w:kern w:val="0"/>
          <w:sz w:val="22"/>
        </w:rPr>
        <w:t>辐射剂量与防护及测量原理</w:t>
      </w:r>
      <w:r>
        <w:rPr>
          <w:rFonts w:ascii="Times New Roman" w:eastAsia="黑体" w:hAnsi="Times New Roman" w:hint="eastAsia"/>
          <w:kern w:val="0"/>
          <w:sz w:val="22"/>
        </w:rPr>
        <w:t>（</w:t>
      </w:r>
      <w:r>
        <w:rPr>
          <w:rFonts w:ascii="Times New Roman" w:eastAsia="黑体" w:hAnsi="Times New Roman"/>
          <w:kern w:val="0"/>
          <w:sz w:val="22"/>
        </w:rPr>
        <w:t xml:space="preserve">1 </w:t>
      </w:r>
      <w:r>
        <w:rPr>
          <w:rFonts w:ascii="Times New Roman" w:eastAsia="黑体" w:hAnsi="Times New Roman" w:hint="eastAsia"/>
          <w:kern w:val="0"/>
          <w:sz w:val="22"/>
        </w:rPr>
        <w:t>学时）</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多媒体教室</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多媒体教学课件</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本课程考试采用闭卷考核方法，时间为</w:t>
      </w:r>
      <w:r>
        <w:rPr>
          <w:rFonts w:ascii="Times New Roman" w:hAnsi="Times New Roman"/>
          <w:kern w:val="0"/>
          <w:sz w:val="22"/>
        </w:rPr>
        <w:t>2</w:t>
      </w:r>
      <w:r>
        <w:rPr>
          <w:rFonts w:ascii="Times New Roman" w:hAnsi="Times New Roman" w:hint="eastAsia"/>
          <w:kern w:val="0"/>
          <w:sz w:val="22"/>
        </w:rPr>
        <w:t>小时。</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70%</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30%</w:t>
      </w:r>
      <w:r>
        <w:rPr>
          <w:rFonts w:ascii="Times New Roman" w:hAnsi="Times New Roman" w:hint="eastAsia"/>
          <w:kern w:val="0"/>
          <w:sz w:val="22"/>
        </w:rPr>
        <w:t>。</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教学参考文献目录</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、医学物理学，王磊</w:t>
      </w:r>
      <w:r>
        <w:rPr>
          <w:rFonts w:ascii="Times New Roman" w:hAnsi="Times New Roman"/>
          <w:kern w:val="0"/>
          <w:sz w:val="22"/>
        </w:rPr>
        <w:t xml:space="preserve"> </w:t>
      </w:r>
      <w:r>
        <w:rPr>
          <w:rFonts w:ascii="Times New Roman" w:hAnsi="Times New Roman" w:hint="eastAsia"/>
          <w:kern w:val="0"/>
          <w:sz w:val="22"/>
        </w:rPr>
        <w:t>冀敏主编，人民卫生出版社，</w:t>
      </w:r>
      <w:r>
        <w:rPr>
          <w:rFonts w:ascii="Times New Roman" w:hAnsi="Times New Roman"/>
          <w:kern w:val="0"/>
          <w:sz w:val="22"/>
        </w:rPr>
        <w:t>2013</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、医用物理学，陈仲本，况明星主编，高等教育出版社，</w:t>
      </w:r>
      <w:r>
        <w:rPr>
          <w:rFonts w:ascii="Times New Roman" w:hAnsi="Times New Roman"/>
          <w:kern w:val="0"/>
          <w:sz w:val="22"/>
        </w:rPr>
        <w:t>2005</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、医用物理学，梁路光，赵大源主编，高等教育出版社，</w:t>
      </w:r>
      <w:r>
        <w:rPr>
          <w:rFonts w:ascii="Times New Roman" w:hAnsi="Times New Roman"/>
          <w:kern w:val="0"/>
          <w:sz w:val="22"/>
        </w:rPr>
        <w:t>2004</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、医用物理学，胡纪湘主编，人民卫生出版社，</w:t>
      </w:r>
      <w:r>
        <w:rPr>
          <w:rFonts w:ascii="Times New Roman" w:hAnsi="Times New Roman"/>
          <w:kern w:val="0"/>
          <w:sz w:val="22"/>
        </w:rPr>
        <w:t>1998</w:t>
      </w:r>
    </w:p>
    <w:p w:rsidR="003717A0" w:rsidRDefault="003717A0" w:rsidP="00F5156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、医用物理学，葛成荫，</w:t>
      </w:r>
      <w:r>
        <w:rPr>
          <w:rFonts w:ascii="Times New Roman" w:hAnsi="Times New Roman"/>
          <w:kern w:val="0"/>
          <w:sz w:val="22"/>
        </w:rPr>
        <w:t xml:space="preserve"> </w:t>
      </w:r>
      <w:r>
        <w:rPr>
          <w:rFonts w:ascii="Times New Roman" w:hAnsi="Times New Roman" w:hint="eastAsia"/>
          <w:kern w:val="0"/>
          <w:sz w:val="22"/>
        </w:rPr>
        <w:t>刘建华主编，浙江大学出版社，</w:t>
      </w:r>
      <w:r>
        <w:rPr>
          <w:rFonts w:ascii="Times New Roman" w:hAnsi="Times New Roman"/>
          <w:kern w:val="0"/>
          <w:sz w:val="22"/>
        </w:rPr>
        <w:t>1989</w:t>
      </w:r>
    </w:p>
    <w:p w:rsidR="003717A0" w:rsidRDefault="003717A0">
      <w:pPr>
        <w:autoSpaceDE w:val="0"/>
        <w:autoSpaceDN w:val="0"/>
        <w:adjustRightInd w:val="0"/>
        <w:ind w:firstLineChars="193" w:firstLine="425"/>
        <w:jc w:val="left"/>
        <w:rPr>
          <w:rFonts w:ascii="Times New Roman" w:hAnsi="Times New Roman"/>
          <w:kern w:val="0"/>
          <w:sz w:val="22"/>
        </w:rPr>
      </w:pPr>
    </w:p>
    <w:p w:rsidR="003717A0" w:rsidRDefault="003717A0" w:rsidP="005E20B5">
      <w:pPr>
        <w:adjustRightInd w:val="0"/>
        <w:snapToGrid w:val="0"/>
        <w:spacing w:beforeLines="50" w:afterLines="50" w:line="440" w:lineRule="exact"/>
        <w:jc w:val="center"/>
        <w:rPr>
          <w:rFonts w:ascii="Times New Roman" w:hAnsi="Times New Roman"/>
          <w:sz w:val="22"/>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修读完本课程规定内容的康复治疗学专业的本科学生；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提出并获准免修本课程、申请进行课程水平考核的康复治疗学专业的本科学生；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提出并获准副修第二专业、申请进行课程水平考核的非医学类专业的本科学生。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通过考核来检查和了解学生对本门课程内容的掌握程度，考核学生对普通</w:t>
      </w:r>
      <w:r>
        <w:rPr>
          <w:rFonts w:ascii="Times New Roman" w:hAnsi="宋体" w:hint="eastAsia"/>
          <w:kern w:val="0"/>
          <w:sz w:val="22"/>
        </w:rPr>
        <w:t>物理学的基本概念、基本规律和基本方法</w:t>
      </w:r>
      <w:r>
        <w:rPr>
          <w:rFonts w:ascii="Times New Roman" w:hAnsi="Times New Roman" w:hint="eastAsia"/>
          <w:kern w:val="0"/>
          <w:sz w:val="22"/>
        </w:rPr>
        <w:t>的掌握情况。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期末闭卷考核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70%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30%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．流体的流动</w:t>
      </w:r>
      <w:r>
        <w:rPr>
          <w:rFonts w:ascii="Times New Roman" w:hAnsi="Times New Roman"/>
          <w:kern w:val="0"/>
          <w:sz w:val="22"/>
        </w:rPr>
        <w:t xml:space="preserve"> </w:t>
      </w:r>
    </w:p>
    <w:p w:rsidR="003717A0" w:rsidRDefault="003717A0">
      <w:pPr>
        <w:autoSpaceDE w:val="0"/>
        <w:autoSpaceDN w:val="0"/>
        <w:adjustRightInd w:val="0"/>
        <w:spacing w:line="360" w:lineRule="exact"/>
        <w:ind w:leftChars="307" w:left="839" w:hangingChars="88" w:hanging="19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理解理想流体的稳定流动、流线和流管概念；（</w:t>
      </w:r>
      <w:r>
        <w:rPr>
          <w:rFonts w:ascii="Times New Roman" w:hAnsi="Times New Roman"/>
          <w:kern w:val="0"/>
          <w:sz w:val="22"/>
        </w:rPr>
        <w:t>2</w:t>
      </w:r>
      <w:r>
        <w:rPr>
          <w:rFonts w:ascii="Times New Roman" w:hAnsi="Times New Roman" w:hint="eastAsia"/>
          <w:kern w:val="0"/>
          <w:sz w:val="22"/>
        </w:rPr>
        <w:t>）掌握流体连续性方程及伯努利方程并能熟练应用；（</w:t>
      </w:r>
      <w:r>
        <w:rPr>
          <w:rFonts w:ascii="Times New Roman" w:hAnsi="Times New Roman"/>
          <w:kern w:val="0"/>
          <w:sz w:val="22"/>
        </w:rPr>
        <w:t>3</w:t>
      </w:r>
      <w:r>
        <w:rPr>
          <w:rFonts w:ascii="Times New Roman" w:hAnsi="Times New Roman" w:hint="eastAsia"/>
          <w:kern w:val="0"/>
          <w:sz w:val="22"/>
        </w:rPr>
        <w:t>）掌握牛顿粘滞性定律和泊肃叶公式的内涵和适用条件；（</w:t>
      </w:r>
      <w:r>
        <w:rPr>
          <w:rFonts w:ascii="Times New Roman" w:hAnsi="Times New Roman"/>
          <w:kern w:val="0"/>
          <w:sz w:val="22"/>
        </w:rPr>
        <w:t>4</w:t>
      </w:r>
      <w:r>
        <w:rPr>
          <w:rFonts w:ascii="Times New Roman" w:hAnsi="Times New Roman" w:hint="eastAsia"/>
          <w:kern w:val="0"/>
          <w:sz w:val="22"/>
        </w:rPr>
        <w:t>）了解粘性流体的伯努利方程，熟悉层流、湍流、雷诺数和斯托克斯公式。</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振动和波动</w:t>
      </w:r>
    </w:p>
    <w:p w:rsidR="003717A0" w:rsidRDefault="003717A0">
      <w:pPr>
        <w:autoSpaceDE w:val="0"/>
        <w:autoSpaceDN w:val="0"/>
        <w:adjustRightInd w:val="0"/>
        <w:spacing w:line="360" w:lineRule="exact"/>
        <w:ind w:leftChars="307" w:left="839" w:hangingChars="88" w:hanging="19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掌握简谐振动的定义、振动方程、简谐振动的特征量以及简谐振动的能量；（</w:t>
      </w:r>
      <w:r>
        <w:rPr>
          <w:rFonts w:ascii="Times New Roman" w:hAnsi="Times New Roman"/>
          <w:kern w:val="0"/>
          <w:sz w:val="22"/>
        </w:rPr>
        <w:t>2</w:t>
      </w:r>
      <w:r>
        <w:rPr>
          <w:rFonts w:ascii="Times New Roman" w:hAnsi="Times New Roman" w:hint="eastAsia"/>
          <w:kern w:val="0"/>
          <w:sz w:val="22"/>
        </w:rPr>
        <w:t>）熟悉简谐振动的旋转矢量表示方法；（</w:t>
      </w:r>
      <w:r>
        <w:rPr>
          <w:rFonts w:ascii="Times New Roman" w:hAnsi="Times New Roman"/>
          <w:kern w:val="0"/>
          <w:sz w:val="22"/>
        </w:rPr>
        <w:t>3</w:t>
      </w:r>
      <w:r>
        <w:rPr>
          <w:rFonts w:ascii="Times New Roman" w:hAnsi="Times New Roman" w:hint="eastAsia"/>
          <w:kern w:val="0"/>
          <w:sz w:val="22"/>
        </w:rPr>
        <w:t>）熟悉振动方向一致、同频率的简谐运动的合成方法；（</w:t>
      </w:r>
      <w:r>
        <w:rPr>
          <w:rFonts w:ascii="Times New Roman" w:hAnsi="Times New Roman"/>
          <w:kern w:val="0"/>
          <w:sz w:val="22"/>
        </w:rPr>
        <w:t>4</w:t>
      </w:r>
      <w:r>
        <w:rPr>
          <w:rFonts w:ascii="Times New Roman" w:hAnsi="Times New Roman" w:hint="eastAsia"/>
          <w:kern w:val="0"/>
          <w:sz w:val="22"/>
        </w:rPr>
        <w:t>）掌握行波、简谐波的一般概念及波动方程；（</w:t>
      </w:r>
      <w:r>
        <w:rPr>
          <w:rFonts w:ascii="Times New Roman" w:hAnsi="Times New Roman"/>
          <w:kern w:val="0"/>
          <w:sz w:val="22"/>
        </w:rPr>
        <w:t>5</w:t>
      </w:r>
      <w:r>
        <w:rPr>
          <w:rFonts w:ascii="Times New Roman" w:hAnsi="Times New Roman" w:hint="eastAsia"/>
          <w:kern w:val="0"/>
          <w:sz w:val="22"/>
        </w:rPr>
        <w:t>）了解影响波速、波的能量的因素；（</w:t>
      </w:r>
      <w:r>
        <w:rPr>
          <w:rFonts w:ascii="Times New Roman" w:hAnsi="Times New Roman"/>
          <w:kern w:val="0"/>
          <w:sz w:val="22"/>
        </w:rPr>
        <w:t>6</w:t>
      </w:r>
      <w:r>
        <w:rPr>
          <w:rFonts w:ascii="Times New Roman" w:hAnsi="Times New Roman" w:hint="eastAsia"/>
          <w:kern w:val="0"/>
          <w:sz w:val="22"/>
        </w:rPr>
        <w:t>）了解惠更斯原理、波的反射和折射；（</w:t>
      </w:r>
      <w:r>
        <w:rPr>
          <w:rFonts w:ascii="Times New Roman" w:hAnsi="Times New Roman"/>
          <w:kern w:val="0"/>
          <w:sz w:val="22"/>
        </w:rPr>
        <w:t>7</w:t>
      </w:r>
      <w:r>
        <w:rPr>
          <w:rFonts w:ascii="Times New Roman" w:hAnsi="Times New Roman" w:hint="eastAsia"/>
          <w:kern w:val="0"/>
          <w:sz w:val="22"/>
        </w:rPr>
        <w:t>）熟悉声强、声阻抗、声强级和等响度曲线；（</w:t>
      </w:r>
      <w:r>
        <w:rPr>
          <w:rFonts w:ascii="Times New Roman" w:hAnsi="Times New Roman"/>
          <w:kern w:val="0"/>
          <w:sz w:val="22"/>
        </w:rPr>
        <w:t>8</w:t>
      </w:r>
      <w:r>
        <w:rPr>
          <w:rFonts w:ascii="Times New Roman" w:hAnsi="Times New Roman" w:hint="eastAsia"/>
          <w:kern w:val="0"/>
          <w:sz w:val="22"/>
        </w:rPr>
        <w:t>）熟悉多普勒效应及计算公式</w:t>
      </w:r>
      <w:r>
        <w:rPr>
          <w:rFonts w:ascii="宋体" w:hAnsi="宋体"/>
          <w:kern w:val="0"/>
          <w:sz w:val="28"/>
          <w:szCs w:val="28"/>
          <w:vertAlign w:val="superscript"/>
        </w:rPr>
        <w:t>*</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．分子动理论</w:t>
      </w:r>
      <w:r>
        <w:rPr>
          <w:rFonts w:ascii="Times New Roman" w:hAnsi="Times New Roman"/>
          <w:kern w:val="0"/>
          <w:sz w:val="22"/>
        </w:rPr>
        <w:t xml:space="preserve"> </w:t>
      </w:r>
    </w:p>
    <w:p w:rsidR="003717A0" w:rsidRDefault="003717A0">
      <w:pPr>
        <w:autoSpaceDE w:val="0"/>
        <w:autoSpaceDN w:val="0"/>
        <w:adjustRightInd w:val="0"/>
        <w:spacing w:line="360" w:lineRule="exact"/>
        <w:ind w:leftChars="307" w:left="839" w:hangingChars="88" w:hanging="19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掌握液体表面张力，表面能的概念及它们与表面张力系数的关系，掌握附加压强公式；（</w:t>
      </w:r>
      <w:r>
        <w:rPr>
          <w:rFonts w:ascii="Times New Roman" w:hAnsi="Times New Roman"/>
          <w:kern w:val="0"/>
          <w:sz w:val="22"/>
        </w:rPr>
        <w:t>2</w:t>
      </w:r>
      <w:r>
        <w:rPr>
          <w:rFonts w:ascii="Times New Roman" w:hAnsi="Times New Roman" w:hint="eastAsia"/>
          <w:kern w:val="0"/>
          <w:sz w:val="22"/>
        </w:rPr>
        <w:t>）熟悉润湿、不润湿现象、毛细现象和气体栓塞现象。</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静电场和直流电</w:t>
      </w:r>
    </w:p>
    <w:p w:rsidR="003717A0" w:rsidRDefault="003717A0">
      <w:pPr>
        <w:autoSpaceDE w:val="0"/>
        <w:autoSpaceDN w:val="0"/>
        <w:adjustRightInd w:val="0"/>
        <w:spacing w:line="360" w:lineRule="exact"/>
        <w:ind w:leftChars="307" w:left="839" w:hangingChars="88" w:hanging="19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熟悉库仑定律及其适用条件；（</w:t>
      </w:r>
      <w:r>
        <w:rPr>
          <w:rFonts w:ascii="Times New Roman" w:hAnsi="Times New Roman"/>
          <w:kern w:val="0"/>
          <w:sz w:val="22"/>
        </w:rPr>
        <w:t>2</w:t>
      </w:r>
      <w:r>
        <w:rPr>
          <w:rFonts w:ascii="Times New Roman" w:hAnsi="Times New Roman" w:hint="eastAsia"/>
          <w:kern w:val="0"/>
          <w:sz w:val="22"/>
        </w:rPr>
        <w:t>）掌握高斯定理计算电场，掌握电势的定义与计算，了解环路定理；（</w:t>
      </w:r>
      <w:r>
        <w:rPr>
          <w:rFonts w:ascii="Times New Roman" w:hAnsi="Times New Roman"/>
          <w:kern w:val="0"/>
          <w:sz w:val="22"/>
        </w:rPr>
        <w:t>3</w:t>
      </w:r>
      <w:r>
        <w:rPr>
          <w:rFonts w:ascii="Times New Roman" w:hAnsi="Times New Roman" w:hint="eastAsia"/>
          <w:kern w:val="0"/>
          <w:sz w:val="22"/>
        </w:rPr>
        <w:t>）了解静电场与电介质极化规律</w:t>
      </w:r>
      <w:r>
        <w:rPr>
          <w:rFonts w:ascii="宋体" w:hAnsi="宋体"/>
          <w:kern w:val="0"/>
          <w:sz w:val="28"/>
          <w:szCs w:val="28"/>
          <w:vertAlign w:val="superscript"/>
        </w:rPr>
        <w:t>*</w:t>
      </w:r>
      <w:r>
        <w:rPr>
          <w:rFonts w:ascii="Times New Roman" w:hAnsi="Times New Roman" w:hint="eastAsia"/>
          <w:kern w:val="0"/>
          <w:sz w:val="22"/>
        </w:rPr>
        <w:t>；（</w:t>
      </w:r>
      <w:r>
        <w:rPr>
          <w:rFonts w:ascii="Times New Roman" w:hAnsi="Times New Roman"/>
          <w:kern w:val="0"/>
          <w:sz w:val="22"/>
        </w:rPr>
        <w:t>4</w:t>
      </w:r>
      <w:r>
        <w:rPr>
          <w:rFonts w:ascii="Times New Roman" w:hAnsi="Times New Roman" w:hint="eastAsia"/>
          <w:kern w:val="0"/>
          <w:sz w:val="22"/>
        </w:rPr>
        <w:t>）熟悉电流密度，欧姆定律的微分形式；</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5</w:t>
      </w:r>
      <w:r>
        <w:rPr>
          <w:rFonts w:ascii="Times New Roman" w:hAnsi="Times New Roman" w:hint="eastAsia"/>
          <w:kern w:val="0"/>
          <w:sz w:val="22"/>
        </w:rPr>
        <w:t>）掌握基尔霍夫第一、第二定律；</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）了解电容器的充、放电特性，时间常数的意义</w:t>
      </w:r>
      <w:r>
        <w:rPr>
          <w:rFonts w:ascii="宋体" w:hAnsi="宋体"/>
          <w:kern w:val="0"/>
          <w:sz w:val="28"/>
          <w:szCs w:val="28"/>
          <w:vertAlign w:val="superscript"/>
        </w:rPr>
        <w:t>*</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．波动光学和几何光学</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熟悉光的相干条件及获得相干光的基本原理和方法；（</w:t>
      </w:r>
      <w:r>
        <w:rPr>
          <w:rFonts w:ascii="Times New Roman" w:hAnsi="Times New Roman"/>
          <w:kern w:val="0"/>
          <w:sz w:val="22"/>
        </w:rPr>
        <w:t>2</w:t>
      </w:r>
      <w:r>
        <w:rPr>
          <w:rFonts w:ascii="Times New Roman" w:hAnsi="Times New Roman" w:hint="eastAsia"/>
          <w:kern w:val="0"/>
          <w:sz w:val="22"/>
        </w:rPr>
        <w:t>）掌握杨氏双缝干涉实验的基本装置和实验规律及干涉条纹位置的计算；（</w:t>
      </w:r>
      <w:r>
        <w:rPr>
          <w:rFonts w:ascii="Times New Roman" w:hAnsi="Times New Roman"/>
          <w:kern w:val="0"/>
          <w:sz w:val="22"/>
        </w:rPr>
        <w:t>3</w:t>
      </w:r>
      <w:r>
        <w:rPr>
          <w:rFonts w:ascii="Times New Roman" w:hAnsi="Times New Roman" w:hint="eastAsia"/>
          <w:kern w:val="0"/>
          <w:sz w:val="22"/>
        </w:rPr>
        <w:t>）熟悉光程和半波损失的概念，掌</w:t>
      </w:r>
      <w:r>
        <w:rPr>
          <w:rFonts w:ascii="Times New Roman" w:hAnsi="Times New Roman" w:hint="eastAsia"/>
          <w:kern w:val="0"/>
          <w:sz w:val="22"/>
        </w:rPr>
        <w:lastRenderedPageBreak/>
        <w:t>握光程和光程差的计算方法，熟悉光程差和相位差之间的关系；（</w:t>
      </w:r>
      <w:r>
        <w:rPr>
          <w:rFonts w:ascii="Times New Roman" w:hAnsi="Times New Roman"/>
          <w:kern w:val="0"/>
          <w:sz w:val="22"/>
        </w:rPr>
        <w:t>4</w:t>
      </w:r>
      <w:r>
        <w:rPr>
          <w:rFonts w:ascii="Times New Roman" w:hAnsi="Times New Roman" w:hint="eastAsia"/>
          <w:kern w:val="0"/>
          <w:sz w:val="22"/>
        </w:rPr>
        <w:t>）掌握薄膜等厚干涉的规律，了解薄膜干涉原理在实际中的应用；（</w:t>
      </w:r>
      <w:r>
        <w:rPr>
          <w:rFonts w:ascii="Times New Roman" w:hAnsi="Times New Roman"/>
          <w:kern w:val="0"/>
          <w:sz w:val="22"/>
        </w:rPr>
        <w:t>5</w:t>
      </w:r>
      <w:r>
        <w:rPr>
          <w:rFonts w:ascii="Times New Roman" w:hAnsi="Times New Roman" w:hint="eastAsia"/>
          <w:kern w:val="0"/>
          <w:sz w:val="22"/>
        </w:rPr>
        <w:t>）熟悉半波带的概念，掌握单缝衍射条纹的明暗条件和计算方法；了解光栅衍射方程的应用</w:t>
      </w:r>
      <w:r>
        <w:rPr>
          <w:rFonts w:ascii="宋体" w:hAnsi="宋体"/>
          <w:kern w:val="0"/>
          <w:sz w:val="28"/>
          <w:szCs w:val="28"/>
          <w:vertAlign w:val="superscript"/>
        </w:rPr>
        <w:t>*</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）熟悉自然光和完全线偏光的概念，掌握光强的马吕斯定律。（</w:t>
      </w:r>
      <w:r>
        <w:rPr>
          <w:rFonts w:ascii="Times New Roman" w:hAnsi="Times New Roman"/>
          <w:kern w:val="0"/>
          <w:sz w:val="22"/>
        </w:rPr>
        <w:t>7</w:t>
      </w:r>
      <w:r>
        <w:rPr>
          <w:rFonts w:ascii="Times New Roman" w:hAnsi="Times New Roman" w:hint="eastAsia"/>
          <w:kern w:val="0"/>
          <w:sz w:val="22"/>
        </w:rPr>
        <w:t>）掌握单球面折射和共轴球面折射系统的成像规律；（</w:t>
      </w:r>
      <w:r>
        <w:rPr>
          <w:rFonts w:ascii="Times New Roman" w:hAnsi="Times New Roman"/>
          <w:kern w:val="0"/>
          <w:sz w:val="22"/>
        </w:rPr>
        <w:t>8</w:t>
      </w:r>
      <w:r>
        <w:rPr>
          <w:rFonts w:ascii="Times New Roman" w:hAnsi="Times New Roman" w:hint="eastAsia"/>
          <w:kern w:val="0"/>
          <w:sz w:val="22"/>
        </w:rPr>
        <w:t>）掌握薄透镜成像公式和薄透镜组合成像法；（</w:t>
      </w:r>
      <w:r>
        <w:rPr>
          <w:rFonts w:ascii="Times New Roman" w:hAnsi="Times New Roman"/>
          <w:kern w:val="0"/>
          <w:sz w:val="22"/>
        </w:rPr>
        <w:t>9</w:t>
      </w:r>
      <w:r>
        <w:rPr>
          <w:rFonts w:ascii="Times New Roman" w:hAnsi="Times New Roman" w:hint="eastAsia"/>
          <w:kern w:val="0"/>
          <w:sz w:val="22"/>
        </w:rPr>
        <w:t>）了解眼睛成像的光学特点；（</w:t>
      </w:r>
      <w:r>
        <w:rPr>
          <w:rFonts w:ascii="Times New Roman" w:hAnsi="Times New Roman"/>
          <w:kern w:val="0"/>
          <w:sz w:val="22"/>
        </w:rPr>
        <w:t>10</w:t>
      </w:r>
      <w:r>
        <w:rPr>
          <w:rFonts w:ascii="Times New Roman" w:hAnsi="Times New Roman" w:hint="eastAsia"/>
          <w:kern w:val="0"/>
          <w:sz w:val="22"/>
        </w:rPr>
        <w:t>）熟悉视角、视力等概念；（</w:t>
      </w:r>
      <w:r>
        <w:rPr>
          <w:rFonts w:ascii="Times New Roman" w:hAnsi="Times New Roman"/>
          <w:kern w:val="0"/>
          <w:sz w:val="22"/>
        </w:rPr>
        <w:t>11</w:t>
      </w:r>
      <w:r>
        <w:rPr>
          <w:rFonts w:ascii="Times New Roman" w:hAnsi="Times New Roman" w:hint="eastAsia"/>
          <w:kern w:val="0"/>
          <w:sz w:val="22"/>
        </w:rPr>
        <w:t>）熟悉显微镜的成像特点，分辨本领等概念。</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w:t>
      </w:r>
      <w:r>
        <w:rPr>
          <w:rFonts w:ascii="Times New Roman" w:hAnsi="Times New Roman"/>
          <w:kern w:val="0"/>
          <w:sz w:val="22"/>
        </w:rPr>
        <w:t xml:space="preserve"> X</w:t>
      </w:r>
      <w:r>
        <w:rPr>
          <w:rFonts w:ascii="Times New Roman" w:hAnsi="Times New Roman" w:hint="eastAsia"/>
          <w:kern w:val="0"/>
          <w:sz w:val="22"/>
        </w:rPr>
        <w:t>射线</w:t>
      </w:r>
      <w:r>
        <w:rPr>
          <w:rFonts w:ascii="Times New Roman" w:hAnsi="Times New Roman"/>
          <w:kern w:val="0"/>
          <w:sz w:val="22"/>
        </w:rPr>
        <w:t xml:space="preserve"> </w:t>
      </w:r>
      <w:r>
        <w:rPr>
          <w:rFonts w:ascii="Times New Roman" w:hAnsi="Times New Roman" w:hint="eastAsia"/>
          <w:kern w:val="0"/>
          <w:sz w:val="22"/>
        </w:rPr>
        <w:t>原子核和放射性</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熟悉</w:t>
      </w:r>
      <w:r>
        <w:rPr>
          <w:rFonts w:ascii="Times New Roman" w:hAnsi="Times New Roman"/>
          <w:kern w:val="0"/>
          <w:sz w:val="22"/>
        </w:rPr>
        <w:t>X</w:t>
      </w:r>
      <w:r>
        <w:rPr>
          <w:rFonts w:ascii="Times New Roman" w:hAnsi="Times New Roman" w:hint="eastAsia"/>
          <w:kern w:val="0"/>
          <w:sz w:val="22"/>
        </w:rPr>
        <w:t>射线的产生机理、</w:t>
      </w:r>
      <w:r>
        <w:rPr>
          <w:rFonts w:ascii="Times New Roman" w:hAnsi="Times New Roman"/>
          <w:kern w:val="0"/>
          <w:sz w:val="22"/>
        </w:rPr>
        <w:t>X</w:t>
      </w:r>
      <w:r>
        <w:rPr>
          <w:rFonts w:ascii="Times New Roman" w:hAnsi="Times New Roman" w:hint="eastAsia"/>
          <w:kern w:val="0"/>
          <w:sz w:val="22"/>
        </w:rPr>
        <w:t>射线机的基本组成和</w:t>
      </w:r>
      <w:r>
        <w:rPr>
          <w:rFonts w:ascii="Times New Roman" w:hAnsi="Times New Roman"/>
          <w:kern w:val="0"/>
          <w:sz w:val="22"/>
        </w:rPr>
        <w:t>X</w:t>
      </w:r>
      <w:r>
        <w:rPr>
          <w:rFonts w:ascii="Times New Roman" w:hAnsi="Times New Roman" w:hint="eastAsia"/>
          <w:kern w:val="0"/>
          <w:sz w:val="22"/>
        </w:rPr>
        <w:t>射线的性质；（</w:t>
      </w:r>
      <w:r>
        <w:rPr>
          <w:rFonts w:ascii="Times New Roman" w:hAnsi="Times New Roman"/>
          <w:kern w:val="0"/>
          <w:sz w:val="22"/>
        </w:rPr>
        <w:t>2</w:t>
      </w:r>
      <w:r>
        <w:rPr>
          <w:rFonts w:ascii="Times New Roman" w:hAnsi="Times New Roman" w:hint="eastAsia"/>
          <w:kern w:val="0"/>
          <w:sz w:val="22"/>
        </w:rPr>
        <w:t>）掌握</w:t>
      </w:r>
      <w:r>
        <w:rPr>
          <w:rFonts w:ascii="Times New Roman" w:hAnsi="Times New Roman"/>
          <w:kern w:val="0"/>
          <w:sz w:val="22"/>
        </w:rPr>
        <w:t>X</w:t>
      </w:r>
      <w:r>
        <w:rPr>
          <w:rFonts w:ascii="Times New Roman" w:hAnsi="Times New Roman" w:hint="eastAsia"/>
          <w:kern w:val="0"/>
          <w:sz w:val="22"/>
        </w:rPr>
        <w:t>射线强度和硬度的概念、</w:t>
      </w:r>
      <w:r>
        <w:rPr>
          <w:rFonts w:ascii="Times New Roman" w:hAnsi="Times New Roman"/>
          <w:kern w:val="0"/>
          <w:sz w:val="22"/>
        </w:rPr>
        <w:t>X</w:t>
      </w:r>
      <w:r>
        <w:rPr>
          <w:rFonts w:ascii="Times New Roman" w:hAnsi="Times New Roman" w:hint="eastAsia"/>
          <w:kern w:val="0"/>
          <w:sz w:val="22"/>
        </w:rPr>
        <w:t>射线连续谱和标识谱的产生机制、物质对</w:t>
      </w:r>
      <w:r>
        <w:rPr>
          <w:rFonts w:ascii="Times New Roman" w:hAnsi="Times New Roman"/>
          <w:kern w:val="0"/>
          <w:sz w:val="22"/>
        </w:rPr>
        <w:t>X</w:t>
      </w:r>
      <w:r>
        <w:rPr>
          <w:rFonts w:ascii="Times New Roman" w:hAnsi="Times New Roman" w:hint="eastAsia"/>
          <w:kern w:val="0"/>
          <w:sz w:val="22"/>
        </w:rPr>
        <w:t>射线的衰减规律；（</w:t>
      </w:r>
      <w:r>
        <w:rPr>
          <w:rFonts w:ascii="Times New Roman" w:hAnsi="Times New Roman"/>
          <w:kern w:val="0"/>
          <w:sz w:val="22"/>
        </w:rPr>
        <w:t>3</w:t>
      </w:r>
      <w:r>
        <w:rPr>
          <w:rFonts w:ascii="Times New Roman" w:hAnsi="Times New Roman" w:hint="eastAsia"/>
          <w:kern w:val="0"/>
          <w:sz w:val="22"/>
        </w:rPr>
        <w:t>）了解</w:t>
      </w:r>
      <w:r>
        <w:rPr>
          <w:rFonts w:ascii="Times New Roman" w:hAnsi="Times New Roman"/>
          <w:kern w:val="0"/>
          <w:sz w:val="22"/>
        </w:rPr>
        <w:t>X</w:t>
      </w:r>
      <w:r>
        <w:rPr>
          <w:rFonts w:ascii="Times New Roman" w:hAnsi="Times New Roman" w:hint="eastAsia"/>
          <w:kern w:val="0"/>
          <w:sz w:val="22"/>
        </w:rPr>
        <w:t>射线的医学应用。（</w:t>
      </w:r>
      <w:r>
        <w:rPr>
          <w:rFonts w:ascii="Times New Roman" w:hAnsi="Times New Roman"/>
          <w:kern w:val="0"/>
          <w:sz w:val="22"/>
        </w:rPr>
        <w:t>4</w:t>
      </w:r>
      <w:r>
        <w:rPr>
          <w:rFonts w:ascii="Times New Roman" w:hAnsi="Times New Roman" w:hint="eastAsia"/>
          <w:kern w:val="0"/>
          <w:sz w:val="22"/>
        </w:rPr>
        <w:t>）掌握原子核的基本性质和原子核的衰变类型；（</w:t>
      </w:r>
      <w:r>
        <w:rPr>
          <w:rFonts w:ascii="Times New Roman" w:hAnsi="Times New Roman"/>
          <w:kern w:val="0"/>
          <w:sz w:val="22"/>
        </w:rPr>
        <w:t>5</w:t>
      </w:r>
      <w:r>
        <w:rPr>
          <w:rFonts w:ascii="Times New Roman" w:hAnsi="Times New Roman" w:hint="eastAsia"/>
          <w:kern w:val="0"/>
          <w:sz w:val="22"/>
        </w:rPr>
        <w:t>）掌握放射性核衰变规律；（</w:t>
      </w:r>
      <w:r>
        <w:rPr>
          <w:rFonts w:ascii="Times New Roman" w:hAnsi="Times New Roman"/>
          <w:kern w:val="0"/>
          <w:sz w:val="22"/>
        </w:rPr>
        <w:t>6</w:t>
      </w:r>
      <w:r>
        <w:rPr>
          <w:rFonts w:ascii="Times New Roman" w:hAnsi="Times New Roman" w:hint="eastAsia"/>
          <w:kern w:val="0"/>
          <w:sz w:val="22"/>
        </w:rPr>
        <w:t>）熟悉放射性与物质相互作用；（</w:t>
      </w:r>
      <w:r>
        <w:rPr>
          <w:rFonts w:ascii="Times New Roman" w:hAnsi="Times New Roman"/>
          <w:kern w:val="0"/>
          <w:sz w:val="22"/>
        </w:rPr>
        <w:t>7</w:t>
      </w:r>
      <w:r>
        <w:rPr>
          <w:rFonts w:ascii="Times New Roman" w:hAnsi="Times New Roman" w:hint="eastAsia"/>
          <w:kern w:val="0"/>
          <w:sz w:val="22"/>
        </w:rPr>
        <w:t>）熟悉放射性的防护知识和医学应用。</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以医学</w:t>
      </w:r>
      <w:r>
        <w:rPr>
          <w:rFonts w:ascii="Times New Roman" w:hAnsi="宋体" w:hint="eastAsia"/>
          <w:kern w:val="0"/>
          <w:sz w:val="22"/>
        </w:rPr>
        <w:t>物理学的基本概念、基本规律和基本方法</w:t>
      </w:r>
      <w:r>
        <w:rPr>
          <w:rFonts w:ascii="Times New Roman" w:hAnsi="Times New Roman" w:hint="eastAsia"/>
          <w:kern w:val="0"/>
          <w:sz w:val="22"/>
        </w:rPr>
        <w:t>为考试重点，考核学生运用课程所学内容分析问题和解决问题的能力。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医学院《医学物理学》课程考试试题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r>
        <w:rPr>
          <w:sz w:val="32"/>
          <w:u w:val="single"/>
        </w:rPr>
        <w:t xml:space="preserve">        </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 xml:space="preserve">120 </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 xml:space="preserve">100 </w:t>
      </w:r>
      <w:r>
        <w:rPr>
          <w:rFonts w:ascii="Times New Roman" w:hAnsi="Times New Roman" w:hint="eastAsia"/>
          <w:b/>
          <w:kern w:val="0"/>
          <w:sz w:val="22"/>
        </w:rPr>
        <w:t>分</w:t>
      </w:r>
    </w:p>
    <w:p w:rsidR="003717A0" w:rsidRDefault="003717A0">
      <w:pPr>
        <w:autoSpaceDE w:val="0"/>
        <w:autoSpaceDN w:val="0"/>
        <w:adjustRightInd w:val="0"/>
        <w:spacing w:line="360" w:lineRule="exact"/>
        <w:ind w:leftChars="162" w:left="340"/>
        <w:jc w:val="left"/>
        <w:rPr>
          <w:rFonts w:ascii="Times New Roman" w:hAnsi="Times New Roman"/>
          <w:kern w:val="0"/>
          <w:sz w:val="22"/>
        </w:rPr>
      </w:pPr>
      <w:r>
        <w:rPr>
          <w:rFonts w:ascii="Times New Roman" w:hAnsi="Times New Roman" w:hint="eastAsia"/>
          <w:kern w:val="0"/>
          <w:sz w:val="22"/>
        </w:rPr>
        <w:t>一、是非题（将答案填入每题后的括号内。用“√”表示正确，“╳”表示错误，每题</w:t>
      </w:r>
      <w:r>
        <w:rPr>
          <w:rFonts w:ascii="Times New Roman" w:hAnsi="Times New Roman"/>
          <w:kern w:val="0"/>
          <w:sz w:val="22"/>
        </w:rPr>
        <w:t>2</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、理想流体作稳定流动时，在不同流管中具有相同横截面积处的流速和流量均相同。</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、将毛细血管插入与之润湿的液体中，则管内液位低于管外；若插入与之不润湿的液体中，则管内液位高于管外。</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、斯托克斯定律表明，小球在液体中下沉所受到的阻力与小球的半径有关，而与小球的运动状态无关。</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、在温度升高时，通常液体的粘滞系数减小，而气体的粘滞系数增大。</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、在等响度曲线中，响度级和声强级在数值上相同的纯音频率为</w:t>
      </w:r>
      <w:r>
        <w:rPr>
          <w:rFonts w:ascii="Times New Roman" w:hAnsi="Times New Roman"/>
          <w:kern w:val="0"/>
          <w:sz w:val="22"/>
        </w:rPr>
        <w:t>1000Hz</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、在波动过程中，单位体积介质中的波动能量是恒定的，不随时间变化。</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、闭和曲面外的电荷虽然对总的电通量没有贡献，但它们可以影响曲面上各点的场强分布，从而改变曲面局部各面积元的电通量。</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、截面积相同的铝丝和钨丝串联，接在直流电源上，则通过铝丝和钨丝的电流密度相同，铝丝和钨丝内的电场强度也相同。</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、任何光通过一起偏器后，其光强都将减少一半。</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、光波由光疏到光密媒质反射时一定要产生半波损失。</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11</w:t>
      </w:r>
      <w:r>
        <w:rPr>
          <w:rFonts w:ascii="Times New Roman" w:hAnsi="Times New Roman" w:hint="eastAsia"/>
          <w:kern w:val="0"/>
          <w:sz w:val="22"/>
        </w:rPr>
        <w:t>、色差的产生是因为介质对不同波长的光波折射率不同，矫正色差最简单的方法是在透</w:t>
      </w:r>
      <w:r>
        <w:rPr>
          <w:rFonts w:ascii="Times New Roman" w:hAnsi="Times New Roman" w:hint="eastAsia"/>
          <w:kern w:val="0"/>
          <w:sz w:val="22"/>
        </w:rPr>
        <w:lastRenderedPageBreak/>
        <w:t>镜前加一个光阑。</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12</w:t>
      </w:r>
      <w:r>
        <w:rPr>
          <w:rFonts w:ascii="Times New Roman" w:hAnsi="Times New Roman" w:hint="eastAsia"/>
          <w:kern w:val="0"/>
          <w:sz w:val="22"/>
        </w:rPr>
        <w:t>、在圆孔衍射中，艾里斑的直径反比于入射光的波长。</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13</w:t>
      </w:r>
      <w:r>
        <w:rPr>
          <w:rFonts w:ascii="Times New Roman" w:hAnsi="Times New Roman" w:hint="eastAsia"/>
          <w:kern w:val="0"/>
          <w:sz w:val="22"/>
        </w:rPr>
        <w:t>、在显微镜中使用油浸物镜的目的是提高显微镜的放大倍数。</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14</w:t>
      </w:r>
      <w:r>
        <w:rPr>
          <w:rFonts w:ascii="Times New Roman" w:hAnsi="Times New Roman" w:hint="eastAsia"/>
          <w:kern w:val="0"/>
          <w:sz w:val="22"/>
        </w:rPr>
        <w:t>、原子核的结合能就是质子和中子在组成原子核的过程中所释放的能量。</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15</w:t>
      </w:r>
      <w:r>
        <w:rPr>
          <w:rFonts w:ascii="Times New Roman" w:hAnsi="Times New Roman" w:hint="eastAsia"/>
          <w:kern w:val="0"/>
          <w:sz w:val="22"/>
        </w:rPr>
        <w:t>、</w:t>
      </w:r>
      <w:r w:rsidR="00514AB1" w:rsidRPr="00514AB1">
        <w:rPr>
          <w:rFonts w:ascii="Times New Roman" w:hAnsi="Times New Roman"/>
          <w:kern w:val="0"/>
          <w:sz w:val="22"/>
        </w:rPr>
        <w:pict>
          <v:shape id="_x0000_i1030" type="#_x0000_t75" style="width:11.65pt;height:12.75pt" fillcolor="#000005">
            <v:imagedata r:id="rId14" o:title=""/>
          </v:shape>
        </w:pict>
      </w:r>
      <w:r>
        <w:rPr>
          <w:rFonts w:ascii="Times New Roman" w:hAnsi="Times New Roman" w:hint="eastAsia"/>
          <w:kern w:val="0"/>
          <w:sz w:val="22"/>
        </w:rPr>
        <w:t>射线管中靶角越小，则有效焦点越大。</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pacing w:line="360" w:lineRule="exact"/>
        <w:jc w:val="left"/>
        <w:rPr>
          <w:rFonts w:ascii="Times New Roman" w:hAnsi="Times New Roman"/>
          <w:kern w:val="0"/>
          <w:sz w:val="22"/>
        </w:rPr>
      </w:pPr>
      <w:r>
        <w:rPr>
          <w:rFonts w:ascii="Times New Roman" w:hAnsi="Times New Roman" w:hint="eastAsia"/>
          <w:kern w:val="0"/>
          <w:sz w:val="22"/>
        </w:rPr>
        <w:t>二、单选题：（将正确答案写在题前的“（　）”内，每题</w:t>
      </w:r>
      <w:r>
        <w:rPr>
          <w:rFonts w:ascii="Times New Roman" w:hAnsi="Times New Roman"/>
          <w:kern w:val="0"/>
          <w:sz w:val="22"/>
        </w:rPr>
        <w:t>2</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）理想流体作稳定流动时，流场内一定有</w:t>
      </w:r>
    </w:p>
    <w:p w:rsidR="003717A0" w:rsidRDefault="003717A0">
      <w:pPr>
        <w:autoSpaceDE w:val="0"/>
        <w:autoSpaceDN w:val="0"/>
        <w:adjustRightInd w:val="0"/>
        <w:spacing w:line="360" w:lineRule="exact"/>
        <w:ind w:leftChars="400" w:left="840" w:firstLineChars="400" w:firstLine="880"/>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、流线是一族平行直线。</w:t>
      </w:r>
      <w:r>
        <w:rPr>
          <w:rFonts w:ascii="Times New Roman" w:hAnsi="Times New Roman"/>
          <w:kern w:val="0"/>
          <w:sz w:val="22"/>
        </w:rPr>
        <w:t xml:space="preserve">     B</w:t>
      </w:r>
      <w:r>
        <w:rPr>
          <w:rFonts w:ascii="Times New Roman" w:hAnsi="Times New Roman" w:hint="eastAsia"/>
          <w:kern w:val="0"/>
          <w:sz w:val="22"/>
        </w:rPr>
        <w:t>、各点的流速相同。</w:t>
      </w:r>
    </w:p>
    <w:p w:rsidR="003717A0" w:rsidRDefault="003717A0">
      <w:pPr>
        <w:autoSpaceDE w:val="0"/>
        <w:autoSpaceDN w:val="0"/>
        <w:adjustRightInd w:val="0"/>
        <w:spacing w:line="360" w:lineRule="exact"/>
        <w:ind w:leftChars="400" w:left="840" w:firstLineChars="400" w:firstLine="880"/>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、流线之间互不相交。</w:t>
      </w:r>
      <w:r>
        <w:rPr>
          <w:rFonts w:ascii="Times New Roman" w:hAnsi="Times New Roman"/>
          <w:kern w:val="0"/>
          <w:sz w:val="22"/>
        </w:rPr>
        <w:t xml:space="preserve">       D</w:t>
      </w:r>
      <w:r>
        <w:rPr>
          <w:rFonts w:ascii="Times New Roman" w:hAnsi="Times New Roman" w:hint="eastAsia"/>
          <w:kern w:val="0"/>
          <w:sz w:val="22"/>
        </w:rPr>
        <w:t>、流速大小不变，方向可随时间变化。</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2</w:t>
      </w:r>
      <w:r>
        <w:rPr>
          <w:rFonts w:ascii="Times New Roman" w:hAnsi="Times New Roman" w:hint="eastAsia"/>
          <w:kern w:val="0"/>
          <w:sz w:val="22"/>
        </w:rPr>
        <w:t>）当某种流体流过半径为</w:t>
      </w:r>
      <w:r>
        <w:rPr>
          <w:rFonts w:ascii="Times New Roman" w:hAnsi="Times New Roman"/>
          <w:kern w:val="0"/>
          <w:sz w:val="22"/>
        </w:rPr>
        <w:t>r</w:t>
      </w:r>
      <w:r>
        <w:rPr>
          <w:rFonts w:ascii="Times New Roman" w:hAnsi="Times New Roman" w:hint="eastAsia"/>
          <w:kern w:val="0"/>
          <w:sz w:val="22"/>
        </w:rPr>
        <w:t>的圆管时，流阻为</w:t>
      </w:r>
      <w:r>
        <w:rPr>
          <w:rFonts w:ascii="Times New Roman" w:hAnsi="Times New Roman"/>
          <w:kern w:val="0"/>
          <w:sz w:val="22"/>
        </w:rPr>
        <w:t>R</w:t>
      </w:r>
      <w:r>
        <w:rPr>
          <w:rFonts w:ascii="Times New Roman" w:hAnsi="Times New Roman" w:hint="eastAsia"/>
          <w:kern w:val="0"/>
          <w:sz w:val="22"/>
        </w:rPr>
        <w:t>。随着温度的下降，流体粘滞系数比原先增加了</w:t>
      </w:r>
      <w:r>
        <w:rPr>
          <w:rFonts w:ascii="Times New Roman" w:hAnsi="Times New Roman"/>
          <w:kern w:val="0"/>
          <w:sz w:val="22"/>
        </w:rPr>
        <w:t>25%</w:t>
      </w:r>
      <w:r>
        <w:rPr>
          <w:rFonts w:ascii="Times New Roman" w:hAnsi="Times New Roman" w:hint="eastAsia"/>
          <w:kern w:val="0"/>
          <w:sz w:val="22"/>
        </w:rPr>
        <w:t>，则降温后该流体流过时的流阻为：</w:t>
      </w:r>
    </w:p>
    <w:p w:rsidR="003717A0" w:rsidRDefault="003717A0">
      <w:pPr>
        <w:autoSpaceDE w:val="0"/>
        <w:autoSpaceDN w:val="0"/>
        <w:adjustRightInd w:val="0"/>
        <w:spacing w:line="360" w:lineRule="exact"/>
        <w:ind w:leftChars="400" w:left="840" w:firstLineChars="300" w:firstLine="660"/>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 xml:space="preserve"> 16R        B</w:t>
      </w:r>
      <w:r>
        <w:rPr>
          <w:rFonts w:ascii="Times New Roman" w:hAnsi="Times New Roman" w:hint="eastAsia"/>
          <w:kern w:val="0"/>
          <w:sz w:val="22"/>
        </w:rPr>
        <w:t>、</w:t>
      </w:r>
      <w:r>
        <w:rPr>
          <w:rFonts w:ascii="Times New Roman" w:hAnsi="Times New Roman"/>
          <w:kern w:val="0"/>
          <w:sz w:val="22"/>
        </w:rPr>
        <w:t>4R        C</w:t>
      </w:r>
      <w:r>
        <w:rPr>
          <w:rFonts w:ascii="Times New Roman" w:hAnsi="Times New Roman" w:hint="eastAsia"/>
          <w:kern w:val="0"/>
          <w:sz w:val="22"/>
        </w:rPr>
        <w:t>、</w:t>
      </w:r>
      <w:r>
        <w:rPr>
          <w:rFonts w:ascii="Times New Roman" w:hAnsi="Times New Roman"/>
          <w:kern w:val="0"/>
          <w:sz w:val="22"/>
        </w:rPr>
        <w:t>0.8R            D</w:t>
      </w:r>
      <w:r>
        <w:rPr>
          <w:rFonts w:ascii="Times New Roman" w:hAnsi="Times New Roman" w:hint="eastAsia"/>
          <w:kern w:val="0"/>
          <w:sz w:val="22"/>
        </w:rPr>
        <w:t>、</w:t>
      </w:r>
      <w:r>
        <w:rPr>
          <w:rFonts w:ascii="Times New Roman" w:hAnsi="Times New Roman"/>
          <w:kern w:val="0"/>
          <w:sz w:val="22"/>
        </w:rPr>
        <w:t>1.25R</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 (3) </w:t>
      </w:r>
      <w:r>
        <w:rPr>
          <w:rFonts w:ascii="Times New Roman" w:hAnsi="Times New Roman" w:hint="eastAsia"/>
          <w:kern w:val="0"/>
          <w:sz w:val="22"/>
        </w:rPr>
        <w:t>有一个振子在直线上作简谐振动，当距离平衡位置</w:t>
      </w:r>
      <w:r>
        <w:rPr>
          <w:rFonts w:ascii="Times New Roman" w:hAnsi="Times New Roman"/>
          <w:kern w:val="0"/>
          <w:sz w:val="22"/>
        </w:rPr>
        <w:t>2</w:t>
      </w:r>
      <w:r>
        <w:rPr>
          <w:rFonts w:ascii="Times New Roman" w:hAnsi="Times New Roman" w:hint="eastAsia"/>
          <w:kern w:val="0"/>
          <w:sz w:val="22"/>
        </w:rPr>
        <w:t>厘米时，其加速度为</w:t>
      </w:r>
      <w:r>
        <w:rPr>
          <w:rFonts w:ascii="Times New Roman" w:hAnsi="Times New Roman"/>
          <w:kern w:val="0"/>
          <w:sz w:val="22"/>
        </w:rPr>
        <w:t>8</w:t>
      </w:r>
      <w:r>
        <w:rPr>
          <w:rFonts w:ascii="Times New Roman" w:hAnsi="Times New Roman" w:hint="eastAsia"/>
          <w:kern w:val="0"/>
          <w:sz w:val="22"/>
        </w:rPr>
        <w:t>厘米</w:t>
      </w:r>
      <w:r>
        <w:rPr>
          <w:rFonts w:ascii="Times New Roman" w:hAnsi="Times New Roman"/>
          <w:kern w:val="0"/>
          <w:sz w:val="22"/>
        </w:rPr>
        <w:t>/</w:t>
      </w:r>
      <w:r>
        <w:rPr>
          <w:rFonts w:ascii="Times New Roman" w:hAnsi="Times New Roman" w:hint="eastAsia"/>
          <w:kern w:val="0"/>
          <w:sz w:val="22"/>
        </w:rPr>
        <w:t>秒</w:t>
      </w:r>
      <w:r>
        <w:rPr>
          <w:rFonts w:ascii="Times New Roman" w:hAnsi="Times New Roman"/>
          <w:kern w:val="0"/>
          <w:sz w:val="22"/>
        </w:rPr>
        <w:t>2</w:t>
      </w:r>
      <w:r>
        <w:rPr>
          <w:rFonts w:ascii="Times New Roman" w:hAnsi="Times New Roman" w:hint="eastAsia"/>
          <w:kern w:val="0"/>
          <w:sz w:val="22"/>
        </w:rPr>
        <w:t>，该振子的振动周期为</w:t>
      </w:r>
      <w:r>
        <w:rPr>
          <w:rFonts w:ascii="Times New Roman" w:hAnsi="Times New Roman"/>
          <w:kern w:val="0"/>
          <w:sz w:val="22"/>
          <w:u w:val="single"/>
        </w:rPr>
        <w:t xml:space="preserve">    </w:t>
      </w:r>
      <w:r>
        <w:rPr>
          <w:rFonts w:ascii="Times New Roman" w:hAnsi="Times New Roman" w:hint="eastAsia"/>
          <w:kern w:val="0"/>
          <w:sz w:val="22"/>
        </w:rPr>
        <w:t>秒。</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w:t>
      </w:r>
      <w:r>
        <w:rPr>
          <w:rFonts w:ascii="Times New Roman" w:hAnsi="Times New Roman"/>
          <w:kern w:val="0"/>
          <w:sz w:val="22"/>
        </w:rPr>
        <w:t>3.14         B</w:t>
      </w:r>
      <w:r>
        <w:rPr>
          <w:rFonts w:ascii="Times New Roman" w:hAnsi="Times New Roman" w:hint="eastAsia"/>
          <w:kern w:val="0"/>
          <w:sz w:val="22"/>
        </w:rPr>
        <w:t>、</w:t>
      </w:r>
      <w:r>
        <w:rPr>
          <w:rFonts w:ascii="Times New Roman" w:hAnsi="Times New Roman"/>
          <w:kern w:val="0"/>
          <w:sz w:val="22"/>
        </w:rPr>
        <w:t>6.28       C</w:t>
      </w:r>
      <w:r>
        <w:rPr>
          <w:rFonts w:ascii="Times New Roman" w:hAnsi="Times New Roman" w:hint="eastAsia"/>
          <w:kern w:val="0"/>
          <w:sz w:val="22"/>
        </w:rPr>
        <w:t>、</w:t>
      </w:r>
      <w:r>
        <w:rPr>
          <w:rFonts w:ascii="Times New Roman" w:hAnsi="Times New Roman"/>
          <w:kern w:val="0"/>
          <w:sz w:val="22"/>
        </w:rPr>
        <w:t>4.44            D</w:t>
      </w:r>
      <w:r>
        <w:rPr>
          <w:rFonts w:ascii="Times New Roman" w:hAnsi="Times New Roman" w:hint="eastAsia"/>
          <w:kern w:val="0"/>
          <w:sz w:val="22"/>
        </w:rPr>
        <w:t>、</w:t>
      </w:r>
      <w:r>
        <w:rPr>
          <w:rFonts w:ascii="Times New Roman" w:hAnsi="Times New Roman"/>
          <w:kern w:val="0"/>
          <w:sz w:val="22"/>
        </w:rPr>
        <w:t>2.22</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 (4) </w:t>
      </w:r>
      <w:r>
        <w:rPr>
          <w:rFonts w:ascii="Times New Roman" w:hAnsi="Times New Roman" w:hint="eastAsia"/>
          <w:kern w:val="0"/>
          <w:sz w:val="22"/>
        </w:rPr>
        <w:t>在空气中，两声源的声强之比为</w:t>
      </w:r>
      <w:r>
        <w:rPr>
          <w:rFonts w:ascii="Times New Roman" w:hAnsi="Times New Roman"/>
          <w:kern w:val="0"/>
          <w:sz w:val="22"/>
        </w:rPr>
        <w:t>100:1</w:t>
      </w:r>
      <w:r>
        <w:rPr>
          <w:rFonts w:ascii="Times New Roman" w:hAnsi="Times New Roman" w:hint="eastAsia"/>
          <w:kern w:val="0"/>
          <w:sz w:val="22"/>
        </w:rPr>
        <w:t>，则它们声强级相差</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w:t>
      </w:r>
      <w:r>
        <w:rPr>
          <w:rFonts w:ascii="Times New Roman" w:hAnsi="Times New Roman"/>
          <w:kern w:val="0"/>
          <w:sz w:val="22"/>
        </w:rPr>
        <w:t>2dB         B</w:t>
      </w:r>
      <w:r>
        <w:rPr>
          <w:rFonts w:ascii="Times New Roman" w:hAnsi="Times New Roman" w:hint="eastAsia"/>
          <w:kern w:val="0"/>
          <w:sz w:val="22"/>
        </w:rPr>
        <w:t>、</w:t>
      </w:r>
      <w:r>
        <w:rPr>
          <w:rFonts w:ascii="Times New Roman" w:hAnsi="Times New Roman"/>
          <w:kern w:val="0"/>
          <w:sz w:val="22"/>
        </w:rPr>
        <w:t>20dB      C</w:t>
      </w:r>
      <w:r>
        <w:rPr>
          <w:rFonts w:ascii="Times New Roman" w:hAnsi="Times New Roman" w:hint="eastAsia"/>
          <w:kern w:val="0"/>
          <w:sz w:val="22"/>
        </w:rPr>
        <w:t>、</w:t>
      </w:r>
      <w:r>
        <w:rPr>
          <w:rFonts w:ascii="Times New Roman" w:hAnsi="Times New Roman"/>
          <w:kern w:val="0"/>
          <w:sz w:val="22"/>
        </w:rPr>
        <w:t>4dB            D</w:t>
      </w:r>
      <w:r>
        <w:rPr>
          <w:rFonts w:ascii="Times New Roman" w:hAnsi="Times New Roman" w:hint="eastAsia"/>
          <w:kern w:val="0"/>
          <w:sz w:val="22"/>
        </w:rPr>
        <w:t>、</w:t>
      </w:r>
      <w:r>
        <w:rPr>
          <w:rFonts w:ascii="Times New Roman" w:hAnsi="Times New Roman"/>
          <w:kern w:val="0"/>
          <w:sz w:val="22"/>
        </w:rPr>
        <w:t>40dB</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 (5) </w:t>
      </w:r>
      <w:r>
        <w:rPr>
          <w:rFonts w:ascii="Times New Roman" w:hAnsi="Times New Roman" w:hint="eastAsia"/>
          <w:kern w:val="0"/>
          <w:sz w:val="22"/>
        </w:rPr>
        <w:t>已知波动方程为</w:t>
      </w:r>
      <w:r>
        <w:rPr>
          <w:rFonts w:ascii="Times New Roman" w:hAnsi="Times New Roman"/>
          <w:kern w:val="0"/>
          <w:sz w:val="22"/>
        </w:rPr>
        <w:t>y=5Sin(40t+0.5x)</w:t>
      </w:r>
      <w:r>
        <w:rPr>
          <w:rFonts w:ascii="Times New Roman" w:hAnsi="Times New Roman" w:hint="eastAsia"/>
          <w:kern w:val="0"/>
          <w:sz w:val="22"/>
        </w:rPr>
        <w:t>，</w:t>
      </w:r>
      <w:r>
        <w:rPr>
          <w:rFonts w:ascii="Times New Roman" w:hAnsi="Times New Roman"/>
          <w:kern w:val="0"/>
          <w:sz w:val="22"/>
        </w:rPr>
        <w:t>x</w:t>
      </w:r>
      <w:r>
        <w:rPr>
          <w:rFonts w:ascii="Times New Roman" w:hAnsi="Times New Roman" w:hint="eastAsia"/>
          <w:kern w:val="0"/>
          <w:sz w:val="22"/>
        </w:rPr>
        <w:t>，</w:t>
      </w:r>
      <w:r>
        <w:rPr>
          <w:rFonts w:ascii="Times New Roman" w:hAnsi="Times New Roman"/>
          <w:kern w:val="0"/>
          <w:sz w:val="22"/>
        </w:rPr>
        <w:t>y</w:t>
      </w:r>
      <w:r>
        <w:rPr>
          <w:rFonts w:ascii="Times New Roman" w:hAnsi="Times New Roman" w:hint="eastAsia"/>
          <w:kern w:val="0"/>
          <w:sz w:val="22"/>
        </w:rPr>
        <w:t>的单位为厘米，时间</w:t>
      </w:r>
      <w:r>
        <w:rPr>
          <w:rFonts w:ascii="Times New Roman" w:hAnsi="Times New Roman"/>
          <w:kern w:val="0"/>
          <w:sz w:val="22"/>
        </w:rPr>
        <w:t>t</w:t>
      </w:r>
      <w:r>
        <w:rPr>
          <w:rFonts w:ascii="Times New Roman" w:hAnsi="Times New Roman" w:hint="eastAsia"/>
          <w:kern w:val="0"/>
          <w:sz w:val="22"/>
        </w:rPr>
        <w:t>的单位为秒，则波速（厘米</w:t>
      </w:r>
      <w:r>
        <w:rPr>
          <w:rFonts w:ascii="Times New Roman" w:hAnsi="Times New Roman"/>
          <w:kern w:val="0"/>
          <w:sz w:val="22"/>
        </w:rPr>
        <w:t>/</w:t>
      </w:r>
      <w:r>
        <w:rPr>
          <w:rFonts w:ascii="Times New Roman" w:hAnsi="Times New Roman" w:hint="eastAsia"/>
          <w:kern w:val="0"/>
          <w:sz w:val="22"/>
        </w:rPr>
        <w:t>秒）为</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w:t>
      </w:r>
      <w:r>
        <w:rPr>
          <w:rFonts w:ascii="Times New Roman" w:hAnsi="Times New Roman"/>
          <w:kern w:val="0"/>
          <w:sz w:val="22"/>
        </w:rPr>
        <w:t>20</w:t>
      </w:r>
      <w:r w:rsidR="00514AB1" w:rsidRPr="00514AB1">
        <w:rPr>
          <w:rFonts w:ascii="Times New Roman" w:hAnsi="Times New Roman"/>
          <w:kern w:val="0"/>
          <w:sz w:val="22"/>
        </w:rPr>
        <w:pict>
          <v:shape id="_x0000_i1031" type="#_x0000_t75" style="width:11.1pt;height:11.1pt">
            <v:imagedata r:id="rId15" o:title=""/>
          </v:shape>
        </w:pict>
      </w:r>
      <w:r>
        <w:rPr>
          <w:rFonts w:ascii="Times New Roman" w:hAnsi="Times New Roman"/>
          <w:kern w:val="0"/>
          <w:sz w:val="22"/>
        </w:rPr>
        <w:t xml:space="preserve">         B</w:t>
      </w:r>
      <w:r>
        <w:rPr>
          <w:rFonts w:ascii="Times New Roman" w:hAnsi="Times New Roman" w:hint="eastAsia"/>
          <w:kern w:val="0"/>
          <w:sz w:val="22"/>
        </w:rPr>
        <w:t>、</w:t>
      </w:r>
      <w:r>
        <w:rPr>
          <w:rFonts w:ascii="Times New Roman" w:hAnsi="Times New Roman"/>
          <w:kern w:val="0"/>
          <w:sz w:val="22"/>
        </w:rPr>
        <w:t>80</w:t>
      </w:r>
      <w:r w:rsidR="00514AB1" w:rsidRPr="00514AB1">
        <w:rPr>
          <w:rFonts w:ascii="Times New Roman" w:hAnsi="Times New Roman"/>
          <w:kern w:val="0"/>
          <w:sz w:val="22"/>
        </w:rPr>
        <w:pict>
          <v:shape id="_x0000_i1032" type="#_x0000_t75" style="width:11.1pt;height:11.1pt">
            <v:imagedata r:id="rId15" o:title=""/>
          </v:shape>
        </w:pict>
      </w:r>
      <w:r>
        <w:rPr>
          <w:rFonts w:ascii="Times New Roman" w:hAnsi="Times New Roman"/>
          <w:kern w:val="0"/>
          <w:sz w:val="22"/>
        </w:rPr>
        <w:t xml:space="preserve">      C</w:t>
      </w:r>
      <w:r>
        <w:rPr>
          <w:rFonts w:ascii="Times New Roman" w:hAnsi="Times New Roman" w:hint="eastAsia"/>
          <w:kern w:val="0"/>
          <w:sz w:val="22"/>
        </w:rPr>
        <w:t>、</w:t>
      </w:r>
      <w:r>
        <w:rPr>
          <w:rFonts w:ascii="Times New Roman" w:hAnsi="Times New Roman"/>
          <w:kern w:val="0"/>
          <w:sz w:val="22"/>
        </w:rPr>
        <w:t>80             D</w:t>
      </w:r>
      <w:r>
        <w:rPr>
          <w:rFonts w:ascii="Times New Roman" w:hAnsi="Times New Roman" w:hint="eastAsia"/>
          <w:kern w:val="0"/>
          <w:sz w:val="22"/>
        </w:rPr>
        <w:t>、</w:t>
      </w:r>
      <w:r>
        <w:rPr>
          <w:rFonts w:ascii="Times New Roman" w:hAnsi="Times New Roman"/>
          <w:kern w:val="0"/>
          <w:sz w:val="22"/>
        </w:rPr>
        <w:t>20</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）一列火车静止时，汽笛发出声音的频率</w:t>
      </w:r>
      <w:r>
        <w:rPr>
          <w:rFonts w:ascii="Times New Roman" w:hAnsi="Times New Roman"/>
          <w:kern w:val="0"/>
          <w:sz w:val="22"/>
        </w:rPr>
        <w:t>640Hz</w:t>
      </w:r>
      <w:r>
        <w:rPr>
          <w:rFonts w:ascii="Times New Roman" w:hAnsi="Times New Roman" w:hint="eastAsia"/>
          <w:kern w:val="0"/>
          <w:sz w:val="22"/>
        </w:rPr>
        <w:t>，当火车以</w:t>
      </w:r>
      <w:r>
        <w:rPr>
          <w:rFonts w:ascii="Times New Roman" w:hAnsi="Times New Roman"/>
          <w:kern w:val="0"/>
          <w:sz w:val="22"/>
        </w:rPr>
        <w:t>20</w:t>
      </w:r>
      <w:r>
        <w:rPr>
          <w:rFonts w:ascii="Times New Roman" w:hAnsi="Times New Roman" w:hint="eastAsia"/>
          <w:kern w:val="0"/>
          <w:sz w:val="22"/>
        </w:rPr>
        <w:t>米</w:t>
      </w:r>
      <w:r>
        <w:rPr>
          <w:rFonts w:ascii="Times New Roman" w:hAnsi="Times New Roman"/>
          <w:kern w:val="0"/>
          <w:sz w:val="22"/>
        </w:rPr>
        <w:t>/</w:t>
      </w:r>
      <w:r>
        <w:rPr>
          <w:rFonts w:ascii="Times New Roman" w:hAnsi="Times New Roman" w:hint="eastAsia"/>
          <w:kern w:val="0"/>
          <w:sz w:val="22"/>
        </w:rPr>
        <w:t>秒的速度进站时，站台上的旅客听到汽笛声音的频率为：（声速取</w:t>
      </w:r>
      <w:r>
        <w:rPr>
          <w:rFonts w:ascii="Times New Roman" w:hAnsi="Times New Roman"/>
          <w:kern w:val="0"/>
          <w:sz w:val="22"/>
        </w:rPr>
        <w:t>340</w:t>
      </w:r>
      <w:r>
        <w:rPr>
          <w:rFonts w:ascii="Times New Roman" w:hAnsi="Times New Roman" w:hint="eastAsia"/>
          <w:kern w:val="0"/>
          <w:sz w:val="22"/>
        </w:rPr>
        <w:t>米</w:t>
      </w:r>
      <w:r>
        <w:rPr>
          <w:rFonts w:ascii="Times New Roman" w:hAnsi="Times New Roman"/>
          <w:kern w:val="0"/>
          <w:sz w:val="22"/>
        </w:rPr>
        <w:t>/</w:t>
      </w:r>
      <w:r>
        <w:rPr>
          <w:rFonts w:ascii="Times New Roman" w:hAnsi="Times New Roman" w:hint="eastAsia"/>
          <w:kern w:val="0"/>
          <w:sz w:val="22"/>
        </w:rPr>
        <w:t>秒）</w:t>
      </w:r>
    </w:p>
    <w:p w:rsidR="003717A0" w:rsidRDefault="003717A0">
      <w:pPr>
        <w:autoSpaceDE w:val="0"/>
        <w:autoSpaceDN w:val="0"/>
        <w:adjustRightInd w:val="0"/>
        <w:spacing w:line="360" w:lineRule="exact"/>
        <w:ind w:leftChars="400" w:left="840" w:firstLineChars="300" w:firstLine="660"/>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677.6Hz      B</w:t>
      </w:r>
      <w:r>
        <w:rPr>
          <w:rFonts w:ascii="Times New Roman" w:hAnsi="Times New Roman" w:hint="eastAsia"/>
          <w:kern w:val="0"/>
          <w:sz w:val="22"/>
        </w:rPr>
        <w:t>、</w:t>
      </w:r>
      <w:r>
        <w:rPr>
          <w:rFonts w:ascii="Times New Roman" w:hAnsi="Times New Roman"/>
          <w:kern w:val="0"/>
          <w:sz w:val="22"/>
        </w:rPr>
        <w:t>604.4Hz   C</w:t>
      </w:r>
      <w:r>
        <w:rPr>
          <w:rFonts w:ascii="Times New Roman" w:hAnsi="Times New Roman" w:hint="eastAsia"/>
          <w:kern w:val="0"/>
          <w:sz w:val="22"/>
        </w:rPr>
        <w:t>、</w:t>
      </w:r>
      <w:r>
        <w:rPr>
          <w:rFonts w:ascii="Times New Roman" w:hAnsi="Times New Roman"/>
          <w:kern w:val="0"/>
          <w:sz w:val="22"/>
        </w:rPr>
        <w:t>640Hz        D</w:t>
      </w:r>
      <w:r>
        <w:rPr>
          <w:rFonts w:ascii="Times New Roman" w:hAnsi="Times New Roman" w:hint="eastAsia"/>
          <w:kern w:val="0"/>
          <w:sz w:val="22"/>
        </w:rPr>
        <w:t>、</w:t>
      </w:r>
      <w:r>
        <w:rPr>
          <w:rFonts w:ascii="Times New Roman" w:hAnsi="Times New Roman"/>
          <w:kern w:val="0"/>
          <w:sz w:val="22"/>
        </w:rPr>
        <w:t>680Hz</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 (7) </w:t>
      </w:r>
      <w:r>
        <w:rPr>
          <w:rFonts w:ascii="Times New Roman" w:hAnsi="Times New Roman" w:hint="eastAsia"/>
          <w:kern w:val="0"/>
          <w:sz w:val="22"/>
        </w:rPr>
        <w:t>肥皂泡的直径为</w:t>
      </w:r>
      <w:r>
        <w:rPr>
          <w:rFonts w:ascii="Times New Roman" w:hAnsi="Times New Roman"/>
          <w:kern w:val="0"/>
          <w:sz w:val="22"/>
        </w:rPr>
        <w:t>5</w:t>
      </w:r>
      <w:r>
        <w:rPr>
          <w:rFonts w:ascii="Times New Roman" w:hAnsi="Times New Roman" w:hint="eastAsia"/>
          <w:kern w:val="0"/>
          <w:sz w:val="22"/>
        </w:rPr>
        <w:t>厘米，肥皂泡的表面张力系数为</w:t>
      </w:r>
      <w:r>
        <w:rPr>
          <w:rFonts w:ascii="Times New Roman" w:hAnsi="Times New Roman"/>
          <w:kern w:val="0"/>
          <w:sz w:val="22"/>
        </w:rPr>
        <w:t>25</w:t>
      </w:r>
      <w:r w:rsidR="00514AB1" w:rsidRPr="00514AB1">
        <w:rPr>
          <w:rFonts w:ascii="Times New Roman" w:hAnsi="Times New Roman"/>
          <w:kern w:val="0"/>
          <w:sz w:val="22"/>
        </w:rPr>
        <w:pict>
          <v:shape id="_x0000_i1033" type="#_x0000_t75" style="width:29.9pt;height:15.5pt">
            <v:imagedata r:id="rId16" o:title=""/>
          </v:shape>
        </w:pict>
      </w:r>
      <w:r>
        <w:rPr>
          <w:rFonts w:ascii="Times New Roman" w:hAnsi="Times New Roman"/>
          <w:kern w:val="0"/>
          <w:sz w:val="22"/>
        </w:rPr>
        <w:t xml:space="preserve">N/m, </w:t>
      </w:r>
      <w:r>
        <w:rPr>
          <w:rFonts w:ascii="Times New Roman" w:hAnsi="Times New Roman" w:hint="eastAsia"/>
          <w:kern w:val="0"/>
          <w:sz w:val="22"/>
        </w:rPr>
        <w:t>肥皂泡内的压强比泡外</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、大</w:t>
      </w:r>
      <w:r>
        <w:rPr>
          <w:rFonts w:ascii="Times New Roman" w:hAnsi="Times New Roman"/>
          <w:kern w:val="0"/>
          <w:sz w:val="22"/>
        </w:rPr>
        <w:t>4 Pa      B</w:t>
      </w:r>
      <w:r>
        <w:rPr>
          <w:rFonts w:ascii="Times New Roman" w:hAnsi="Times New Roman" w:hint="eastAsia"/>
          <w:kern w:val="0"/>
          <w:sz w:val="22"/>
        </w:rPr>
        <w:t>、小</w:t>
      </w:r>
      <w:r>
        <w:rPr>
          <w:rFonts w:ascii="Times New Roman" w:hAnsi="Times New Roman"/>
          <w:kern w:val="0"/>
          <w:sz w:val="22"/>
        </w:rPr>
        <w:t>4 Pa     C</w:t>
      </w:r>
      <w:r>
        <w:rPr>
          <w:rFonts w:ascii="Times New Roman" w:hAnsi="Times New Roman" w:hint="eastAsia"/>
          <w:kern w:val="0"/>
          <w:sz w:val="22"/>
        </w:rPr>
        <w:t>、大</w:t>
      </w:r>
      <w:r>
        <w:rPr>
          <w:rFonts w:ascii="Times New Roman" w:hAnsi="Times New Roman"/>
          <w:kern w:val="0"/>
          <w:sz w:val="22"/>
        </w:rPr>
        <w:t>2 Pa      D</w:t>
      </w:r>
      <w:r>
        <w:rPr>
          <w:rFonts w:ascii="Times New Roman" w:hAnsi="Times New Roman" w:hint="eastAsia"/>
          <w:kern w:val="0"/>
          <w:sz w:val="22"/>
        </w:rPr>
        <w:t>、小</w:t>
      </w:r>
      <w:r>
        <w:rPr>
          <w:rFonts w:ascii="Times New Roman" w:hAnsi="Times New Roman"/>
          <w:kern w:val="0"/>
          <w:sz w:val="22"/>
        </w:rPr>
        <w:t xml:space="preserve"> 2 Pa</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w:t>
      </w:r>
      <w:r>
        <w:rPr>
          <w:rFonts w:ascii="Times New Roman" w:hAnsi="Times New Roman" w:hint="eastAsia"/>
          <w:kern w:val="0"/>
          <w:sz w:val="22"/>
        </w:rPr>
        <w:t>（</w:t>
      </w:r>
      <w:r>
        <w:rPr>
          <w:rFonts w:ascii="Times New Roman" w:hAnsi="Times New Roman"/>
          <w:kern w:val="0"/>
          <w:sz w:val="22"/>
        </w:rPr>
        <w:t>8</w:t>
      </w:r>
      <w:r>
        <w:rPr>
          <w:rFonts w:ascii="Times New Roman" w:hAnsi="Times New Roman" w:hint="eastAsia"/>
          <w:kern w:val="0"/>
          <w:sz w:val="22"/>
        </w:rPr>
        <w:t>）一束波长为</w:t>
      </w:r>
      <w:r w:rsidR="00514AB1" w:rsidRPr="00514AB1">
        <w:rPr>
          <w:rFonts w:ascii="Times New Roman" w:hAnsi="Times New Roman"/>
          <w:kern w:val="0"/>
          <w:sz w:val="22"/>
        </w:rPr>
        <w:pict>
          <v:shape id="_x0000_i1034" type="#_x0000_t75" style="width:11.1pt;height:14.4pt" fillcolor="#000005">
            <v:imagedata r:id="rId17" o:title=""/>
          </v:shape>
        </w:pict>
      </w:r>
      <w:r>
        <w:rPr>
          <w:rFonts w:ascii="Times New Roman" w:hAnsi="Times New Roman" w:hint="eastAsia"/>
          <w:kern w:val="0"/>
          <w:sz w:val="22"/>
        </w:rPr>
        <w:t>的光线垂直投射到一个双缝上</w:t>
      </w:r>
      <w:r>
        <w:rPr>
          <w:rFonts w:ascii="Times New Roman" w:hAnsi="Times New Roman"/>
          <w:kern w:val="0"/>
          <w:sz w:val="22"/>
        </w:rPr>
        <w:t>,</w:t>
      </w:r>
      <w:r>
        <w:rPr>
          <w:rFonts w:ascii="Times New Roman" w:hAnsi="Times New Roman" w:hint="eastAsia"/>
          <w:kern w:val="0"/>
          <w:sz w:val="22"/>
        </w:rPr>
        <w:t>在屏上形成干涉条纹。若</w:t>
      </w:r>
      <w:r>
        <w:rPr>
          <w:rFonts w:ascii="Times New Roman" w:hAnsi="Times New Roman"/>
          <w:kern w:val="0"/>
          <w:sz w:val="22"/>
        </w:rPr>
        <w:t>P</w:t>
      </w:r>
      <w:r>
        <w:rPr>
          <w:rFonts w:ascii="Times New Roman" w:hAnsi="Times New Roman" w:hint="eastAsia"/>
          <w:kern w:val="0"/>
          <w:sz w:val="22"/>
        </w:rPr>
        <w:t>点为第三级暗纹的位置，那么由两缝到达</w:t>
      </w:r>
      <w:r>
        <w:rPr>
          <w:rFonts w:ascii="Times New Roman" w:hAnsi="Times New Roman"/>
          <w:kern w:val="0"/>
          <w:sz w:val="22"/>
        </w:rPr>
        <w:t>P</w:t>
      </w:r>
      <w:r>
        <w:rPr>
          <w:rFonts w:ascii="Times New Roman" w:hAnsi="Times New Roman" w:hint="eastAsia"/>
          <w:kern w:val="0"/>
          <w:sz w:val="22"/>
        </w:rPr>
        <w:t>点的光程差为</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w:t>
      </w:r>
      <w:r w:rsidR="00514AB1" w:rsidRPr="00514AB1">
        <w:rPr>
          <w:rFonts w:ascii="Times New Roman" w:hAnsi="Times New Roman"/>
          <w:kern w:val="0"/>
          <w:sz w:val="22"/>
        </w:rPr>
        <w:pict>
          <v:shape id="_x0000_i1035" type="#_x0000_t75" style="width:17.7pt;height:14.4pt" fillcolor="#000005">
            <v:imagedata r:id="rId18" o:title=""/>
          </v:shape>
        </w:pict>
      </w:r>
      <w:r>
        <w:rPr>
          <w:rFonts w:ascii="Times New Roman" w:hAnsi="Times New Roman"/>
          <w:kern w:val="0"/>
          <w:sz w:val="22"/>
        </w:rPr>
        <w:t xml:space="preserve">         B</w:t>
      </w:r>
      <w:r>
        <w:rPr>
          <w:rFonts w:ascii="Times New Roman" w:hAnsi="Times New Roman" w:hint="eastAsia"/>
          <w:kern w:val="0"/>
          <w:sz w:val="22"/>
        </w:rPr>
        <w:t>、</w:t>
      </w:r>
      <w:r w:rsidR="00514AB1" w:rsidRPr="00514AB1">
        <w:rPr>
          <w:rFonts w:ascii="Times New Roman" w:hAnsi="Times New Roman"/>
          <w:kern w:val="0"/>
          <w:sz w:val="22"/>
        </w:rPr>
        <w:pict>
          <v:shape id="_x0000_i1036" type="#_x0000_t75" style="width:18.85pt;height:30.45pt" fillcolor="#000005">
            <v:imagedata r:id="rId19" o:title=""/>
          </v:shape>
        </w:pict>
      </w:r>
      <w:r>
        <w:rPr>
          <w:rFonts w:ascii="Times New Roman" w:hAnsi="Times New Roman"/>
          <w:kern w:val="0"/>
          <w:sz w:val="22"/>
        </w:rPr>
        <w:t xml:space="preserve">         C</w:t>
      </w:r>
      <w:r>
        <w:rPr>
          <w:rFonts w:ascii="Times New Roman" w:hAnsi="Times New Roman" w:hint="eastAsia"/>
          <w:kern w:val="0"/>
          <w:sz w:val="22"/>
        </w:rPr>
        <w:t>、</w:t>
      </w:r>
      <w:r w:rsidR="00514AB1" w:rsidRPr="00514AB1">
        <w:rPr>
          <w:rFonts w:ascii="Times New Roman" w:hAnsi="Times New Roman"/>
          <w:kern w:val="0"/>
          <w:sz w:val="22"/>
        </w:rPr>
        <w:pict>
          <v:shape id="_x0000_i1037" type="#_x0000_t75" style="width:12.75pt;height:30.45pt" fillcolor="#000005">
            <v:imagedata r:id="rId20" o:title=""/>
          </v:shape>
        </w:pict>
      </w:r>
      <w:r>
        <w:rPr>
          <w:rFonts w:ascii="Times New Roman" w:hAnsi="Times New Roman"/>
          <w:kern w:val="0"/>
          <w:sz w:val="22"/>
        </w:rPr>
        <w:t xml:space="preserve">             D</w:t>
      </w:r>
      <w:r>
        <w:rPr>
          <w:rFonts w:ascii="Times New Roman" w:hAnsi="Times New Roman" w:hint="eastAsia"/>
          <w:kern w:val="0"/>
          <w:sz w:val="22"/>
        </w:rPr>
        <w:t>、</w:t>
      </w:r>
      <w:r w:rsidR="00514AB1" w:rsidRPr="00514AB1">
        <w:rPr>
          <w:rFonts w:ascii="Times New Roman" w:hAnsi="Times New Roman"/>
          <w:kern w:val="0"/>
          <w:sz w:val="22"/>
        </w:rPr>
        <w:pict>
          <v:shape id="_x0000_i1038" type="#_x0000_t75" style="width:18.85pt;height:30.45pt" fillcolor="#000005">
            <v:imagedata r:id="rId21" o:title=""/>
          </v:shape>
        </w:pic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   )</w:t>
      </w:r>
      <w:r>
        <w:rPr>
          <w:rFonts w:ascii="Times New Roman" w:hAnsi="Times New Roman" w:hint="eastAsia"/>
          <w:kern w:val="0"/>
          <w:sz w:val="22"/>
        </w:rPr>
        <w:t>（</w:t>
      </w:r>
      <w:r>
        <w:rPr>
          <w:rFonts w:ascii="Times New Roman" w:hAnsi="Times New Roman"/>
          <w:kern w:val="0"/>
          <w:sz w:val="22"/>
        </w:rPr>
        <w:t>9</w:t>
      </w:r>
      <w:r>
        <w:rPr>
          <w:rFonts w:ascii="Times New Roman" w:hAnsi="Times New Roman" w:hint="eastAsia"/>
          <w:kern w:val="0"/>
          <w:sz w:val="22"/>
        </w:rPr>
        <w:t>）两种物质对某种</w:t>
      </w:r>
      <w:r>
        <w:rPr>
          <w:rFonts w:ascii="Times New Roman" w:hAnsi="Times New Roman"/>
          <w:kern w:val="0"/>
          <w:sz w:val="22"/>
        </w:rPr>
        <w:t>X</w:t>
      </w:r>
      <w:r>
        <w:rPr>
          <w:rFonts w:ascii="Times New Roman" w:hAnsi="Times New Roman" w:hint="eastAsia"/>
          <w:kern w:val="0"/>
          <w:sz w:val="22"/>
        </w:rPr>
        <w:t>射线吸收的半价层之比为</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2</w:t>
      </w:r>
      <w:r>
        <w:rPr>
          <w:rFonts w:ascii="Times New Roman" w:hAnsi="Times New Roman" w:hint="eastAsia"/>
          <w:kern w:val="0"/>
          <w:sz w:val="22"/>
        </w:rPr>
        <w:t>，则它们的吸收系数之比为：</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w:t>
      </w:r>
      <w:r>
        <w:rPr>
          <w:rFonts w:ascii="Times New Roman" w:hAnsi="Times New Roman" w:hint="eastAsia"/>
          <w:kern w:val="0"/>
          <w:sz w:val="22"/>
        </w:rPr>
        <w:t xml:space="preserve">　　　</w:t>
      </w:r>
      <w:r>
        <w:rPr>
          <w:rFonts w:ascii="Times New Roman" w:hAnsi="Times New Roman"/>
          <w:kern w:val="0"/>
          <w:sz w:val="22"/>
        </w:rPr>
        <w:t xml:space="preserve">  A</w:t>
      </w:r>
      <w:r>
        <w:rPr>
          <w:rFonts w:ascii="Times New Roman" w:hAnsi="Times New Roman" w:hint="eastAsia"/>
          <w:kern w:val="0"/>
          <w:sz w:val="22"/>
        </w:rPr>
        <w:t>、</w:t>
      </w:r>
      <w:r w:rsidR="00514AB1" w:rsidRPr="00514AB1">
        <w:rPr>
          <w:rFonts w:ascii="Times New Roman" w:hAnsi="Times New Roman"/>
          <w:kern w:val="0"/>
          <w:sz w:val="22"/>
        </w:rPr>
        <w:pict>
          <v:shape id="_x0000_i1039" type="#_x0000_t75" style="width:18.85pt;height:17.7pt" fillcolor="#000005">
            <v:imagedata r:id="rId22" o:title=""/>
          </v:shape>
        </w:pict>
      </w:r>
      <w:r>
        <w:rPr>
          <w:rFonts w:ascii="Times New Roman" w:hAnsi="Times New Roman" w:hint="eastAsia"/>
          <w:kern w:val="0"/>
          <w:sz w:val="22"/>
        </w:rPr>
        <w:t>：</w:t>
      </w:r>
      <w:r>
        <w:rPr>
          <w:rFonts w:ascii="Times New Roman" w:hAnsi="Times New Roman"/>
          <w:kern w:val="0"/>
          <w:sz w:val="22"/>
        </w:rPr>
        <w:t>1     B</w:t>
      </w: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sidR="00514AB1" w:rsidRPr="00514AB1">
        <w:rPr>
          <w:rFonts w:ascii="Times New Roman" w:hAnsi="Times New Roman"/>
          <w:kern w:val="0"/>
          <w:sz w:val="22"/>
        </w:rPr>
        <w:pict>
          <v:shape id="_x0000_i1040" type="#_x0000_t75" style="width:18.85pt;height:17.7pt" fillcolor="#000005">
            <v:imagedata r:id="rId22" o:title=""/>
          </v:shape>
        </w:pict>
      </w:r>
      <w:r>
        <w:rPr>
          <w:rFonts w:ascii="Times New Roman" w:hAnsi="Times New Roman"/>
          <w:kern w:val="0"/>
          <w:sz w:val="22"/>
        </w:rPr>
        <w:t xml:space="preserve">       C</w:t>
      </w: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4       D</w:t>
      </w:r>
      <w:r>
        <w:rPr>
          <w:rFonts w:ascii="Times New Roman" w:hAnsi="Times New Roman" w:hint="eastAsia"/>
          <w:kern w:val="0"/>
          <w:sz w:val="22"/>
        </w:rPr>
        <w:t>、</w:t>
      </w:r>
      <w:r>
        <w:rPr>
          <w:rFonts w:ascii="Times New Roman" w:hAnsi="Times New Roman"/>
          <w:kern w:val="0"/>
          <w:sz w:val="22"/>
        </w:rPr>
        <w:t>2</w:t>
      </w:r>
      <w:r>
        <w:rPr>
          <w:rFonts w:ascii="Times New Roman" w:hAnsi="Times New Roman" w:hint="eastAsia"/>
          <w:kern w:val="0"/>
          <w:sz w:val="22"/>
        </w:rPr>
        <w:t>：</w:t>
      </w:r>
      <w:r>
        <w:rPr>
          <w:rFonts w:ascii="Times New Roman" w:hAnsi="Times New Roman"/>
          <w:kern w:val="0"/>
          <w:sz w:val="22"/>
        </w:rPr>
        <w:t>1</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   )</w:t>
      </w:r>
      <w:r>
        <w:rPr>
          <w:rFonts w:ascii="Times New Roman" w:hAnsi="Times New Roman" w:hint="eastAsia"/>
          <w:kern w:val="0"/>
          <w:sz w:val="22"/>
        </w:rPr>
        <w:t>（１</w:t>
      </w:r>
      <w:r>
        <w:rPr>
          <w:rFonts w:ascii="Times New Roman" w:hAnsi="Times New Roman"/>
          <w:kern w:val="0"/>
          <w:sz w:val="22"/>
        </w:rPr>
        <w:t>0</w:t>
      </w:r>
      <w:r>
        <w:rPr>
          <w:rFonts w:ascii="Times New Roman" w:hAnsi="Times New Roman" w:hint="eastAsia"/>
          <w:kern w:val="0"/>
          <w:sz w:val="22"/>
        </w:rPr>
        <w:t>）为防止</w:t>
      </w:r>
      <w:r w:rsidR="00514AB1" w:rsidRPr="00514AB1">
        <w:rPr>
          <w:rFonts w:ascii="Times New Roman" w:hAnsi="Times New Roman"/>
          <w:kern w:val="0"/>
          <w:sz w:val="22"/>
        </w:rPr>
        <w:pict>
          <v:shape id="_x0000_i1041" type="#_x0000_t75" style="width:9.95pt;height:12.75pt" fillcolor="#000005">
            <v:imagedata r:id="rId23" o:title=""/>
          </v:shape>
        </w:pict>
      </w:r>
      <w:r>
        <w:rPr>
          <w:rFonts w:ascii="Times New Roman" w:hAnsi="Times New Roman" w:hint="eastAsia"/>
          <w:kern w:val="0"/>
          <w:sz w:val="22"/>
        </w:rPr>
        <w:t>射线对人体的过量照射</w:t>
      </w:r>
      <w:r>
        <w:rPr>
          <w:rFonts w:ascii="Times New Roman" w:hAnsi="Times New Roman"/>
          <w:kern w:val="0"/>
          <w:sz w:val="22"/>
        </w:rPr>
        <w:t>,</w:t>
      </w:r>
      <w:r>
        <w:rPr>
          <w:rFonts w:ascii="Times New Roman" w:hAnsi="Times New Roman" w:hint="eastAsia"/>
          <w:kern w:val="0"/>
          <w:sz w:val="22"/>
        </w:rPr>
        <w:t>最常用的防护材料是</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kern w:val="0"/>
          <w:sz w:val="22"/>
        </w:rPr>
        <w:t xml:space="preserve">      </w:t>
      </w:r>
      <w:r>
        <w:rPr>
          <w:rFonts w:ascii="Times New Roman" w:hAnsi="Times New Roman" w:hint="eastAsia"/>
          <w:kern w:val="0"/>
          <w:sz w:val="22"/>
        </w:rPr>
        <w:t xml:space="preserve">　　　　</w:t>
      </w:r>
      <w:r>
        <w:rPr>
          <w:rFonts w:ascii="Times New Roman" w:hAnsi="Times New Roman"/>
          <w:kern w:val="0"/>
          <w:sz w:val="22"/>
        </w:rPr>
        <w:t>A</w:t>
      </w:r>
      <w:r>
        <w:rPr>
          <w:rFonts w:ascii="Times New Roman" w:hAnsi="Times New Roman" w:hint="eastAsia"/>
          <w:kern w:val="0"/>
          <w:sz w:val="22"/>
        </w:rPr>
        <w:t>、铜</w:t>
      </w:r>
      <w:r>
        <w:rPr>
          <w:rFonts w:ascii="Times New Roman" w:hAnsi="Times New Roman"/>
          <w:kern w:val="0"/>
          <w:sz w:val="22"/>
        </w:rPr>
        <w:t xml:space="preserve">        B</w:t>
      </w:r>
      <w:r>
        <w:rPr>
          <w:rFonts w:ascii="Times New Roman" w:hAnsi="Times New Roman" w:hint="eastAsia"/>
          <w:kern w:val="0"/>
          <w:sz w:val="22"/>
        </w:rPr>
        <w:t>、水</w:t>
      </w:r>
      <w:r>
        <w:rPr>
          <w:rFonts w:ascii="Times New Roman" w:hAnsi="Times New Roman"/>
          <w:kern w:val="0"/>
          <w:sz w:val="22"/>
        </w:rPr>
        <w:t xml:space="preserve">         C</w:t>
      </w:r>
      <w:r>
        <w:rPr>
          <w:rFonts w:ascii="Times New Roman" w:hAnsi="Times New Roman" w:hint="eastAsia"/>
          <w:kern w:val="0"/>
          <w:sz w:val="22"/>
        </w:rPr>
        <w:t>、铅</w:t>
      </w:r>
      <w:r>
        <w:rPr>
          <w:rFonts w:ascii="Times New Roman" w:hAnsi="Times New Roman"/>
          <w:kern w:val="0"/>
          <w:sz w:val="22"/>
        </w:rPr>
        <w:t xml:space="preserve">       D</w:t>
      </w:r>
      <w:r>
        <w:rPr>
          <w:rFonts w:ascii="Times New Roman" w:hAnsi="Times New Roman" w:hint="eastAsia"/>
          <w:kern w:val="0"/>
          <w:sz w:val="22"/>
        </w:rPr>
        <w:t>、铝</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三、计算填空题（共</w:t>
      </w:r>
      <w:r>
        <w:rPr>
          <w:rFonts w:ascii="Times New Roman" w:hAnsi="Times New Roman"/>
          <w:kern w:val="0"/>
          <w:sz w:val="22"/>
        </w:rPr>
        <w:t>50</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1</w:t>
      </w:r>
      <w:r>
        <w:rPr>
          <w:rFonts w:ascii="Times New Roman" w:hAnsi="Times New Roman" w:hint="eastAsia"/>
          <w:kern w:val="0"/>
          <w:sz w:val="22"/>
        </w:rPr>
        <w:t>）有一个底面积为</w:t>
      </w:r>
      <w:r>
        <w:rPr>
          <w:rFonts w:ascii="Times New Roman" w:hAnsi="Times New Roman"/>
          <w:kern w:val="0"/>
          <w:sz w:val="22"/>
        </w:rPr>
        <w:t xml:space="preserve">10 </w:t>
      </w:r>
      <w:r>
        <w:rPr>
          <w:rFonts w:ascii="Times New Roman" w:hAnsi="Times New Roman" w:hint="eastAsia"/>
          <w:kern w:val="0"/>
          <w:sz w:val="22"/>
        </w:rPr>
        <w:t>平方米的圆柱型水池，池深</w:t>
      </w:r>
      <w:r>
        <w:rPr>
          <w:rFonts w:ascii="Times New Roman" w:hAnsi="Times New Roman"/>
          <w:kern w:val="0"/>
          <w:sz w:val="22"/>
        </w:rPr>
        <w:t>5</w:t>
      </w:r>
      <w:r>
        <w:rPr>
          <w:rFonts w:ascii="Times New Roman" w:hAnsi="Times New Roman" w:hint="eastAsia"/>
          <w:kern w:val="0"/>
          <w:sz w:val="22"/>
        </w:rPr>
        <w:t>米。在池底部有一敞开的出水孔，孔的面积是水池底面积的</w:t>
      </w:r>
      <w:r>
        <w:rPr>
          <w:rFonts w:ascii="Times New Roman" w:hAnsi="Times New Roman"/>
          <w:kern w:val="0"/>
          <w:sz w:val="22"/>
        </w:rPr>
        <w:t>1/4000</w:t>
      </w:r>
      <w:r>
        <w:rPr>
          <w:rFonts w:ascii="Times New Roman" w:hAnsi="Times New Roman" w:hint="eastAsia"/>
          <w:kern w:val="0"/>
          <w:sz w:val="22"/>
        </w:rPr>
        <w:t>。现向水池内注水，若要水始终不溢出水池，则注入水的流量不应超过多少立方米</w:t>
      </w:r>
      <w:r>
        <w:rPr>
          <w:rFonts w:ascii="Times New Roman" w:hAnsi="Times New Roman"/>
          <w:kern w:val="0"/>
          <w:sz w:val="22"/>
        </w:rPr>
        <w:t>/</w:t>
      </w:r>
      <w:r>
        <w:rPr>
          <w:rFonts w:ascii="Times New Roman" w:hAnsi="Times New Roman" w:hint="eastAsia"/>
          <w:kern w:val="0"/>
          <w:sz w:val="22"/>
        </w:rPr>
        <w:t>小时？（重力加速度取</w:t>
      </w:r>
      <w:r>
        <w:rPr>
          <w:rFonts w:ascii="Times New Roman" w:hAnsi="Times New Roman"/>
          <w:kern w:val="0"/>
          <w:sz w:val="22"/>
        </w:rPr>
        <w:t>10</w:t>
      </w:r>
      <w:r>
        <w:rPr>
          <w:rFonts w:ascii="Times New Roman" w:hAnsi="Times New Roman" w:hint="eastAsia"/>
          <w:kern w:val="0"/>
          <w:sz w:val="22"/>
        </w:rPr>
        <w:t>米</w:t>
      </w:r>
      <w:r>
        <w:rPr>
          <w:rFonts w:ascii="Times New Roman" w:hAnsi="Times New Roman"/>
          <w:kern w:val="0"/>
          <w:sz w:val="22"/>
        </w:rPr>
        <w:t>/</w:t>
      </w:r>
      <w:r>
        <w:rPr>
          <w:rFonts w:ascii="Times New Roman" w:hAnsi="Times New Roman" w:hint="eastAsia"/>
          <w:kern w:val="0"/>
          <w:sz w:val="22"/>
        </w:rPr>
        <w:t>秒</w:t>
      </w:r>
      <w:r>
        <w:rPr>
          <w:rFonts w:ascii="Times New Roman" w:hAnsi="Times New Roman"/>
          <w:kern w:val="0"/>
          <w:sz w:val="22"/>
          <w:vertAlign w:val="superscript"/>
        </w:rPr>
        <w:t>2</w:t>
      </w:r>
      <w:r>
        <w:rPr>
          <w:rFonts w:ascii="Times New Roman" w:hAnsi="Times New Roman" w:hint="eastAsia"/>
          <w:kern w:val="0"/>
          <w:sz w:val="22"/>
        </w:rPr>
        <w:t>）（</w:t>
      </w:r>
      <w:r>
        <w:rPr>
          <w:rFonts w:ascii="Times New Roman" w:hAnsi="Times New Roman"/>
          <w:kern w:val="0"/>
          <w:sz w:val="22"/>
        </w:rPr>
        <w:t>9</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2</w:t>
      </w:r>
      <w:r>
        <w:rPr>
          <w:rFonts w:ascii="Times New Roman" w:hAnsi="Times New Roman" w:hint="eastAsia"/>
          <w:kern w:val="0"/>
          <w:sz w:val="22"/>
        </w:rPr>
        <w:t>）将折射率为</w:t>
      </w:r>
      <w:r>
        <w:rPr>
          <w:rFonts w:ascii="Times New Roman" w:hAnsi="Times New Roman"/>
          <w:kern w:val="0"/>
          <w:sz w:val="22"/>
        </w:rPr>
        <w:t>1.5</w:t>
      </w:r>
      <w:r>
        <w:rPr>
          <w:rFonts w:ascii="Times New Roman" w:hAnsi="Times New Roman" w:hint="eastAsia"/>
          <w:kern w:val="0"/>
          <w:sz w:val="22"/>
        </w:rPr>
        <w:t>、直径为</w:t>
      </w:r>
      <w:r>
        <w:rPr>
          <w:rFonts w:ascii="Times New Roman" w:hAnsi="Times New Roman"/>
          <w:kern w:val="0"/>
          <w:sz w:val="22"/>
        </w:rPr>
        <w:t>20</w:t>
      </w:r>
      <w:r>
        <w:rPr>
          <w:rFonts w:ascii="Times New Roman" w:hAnsi="Times New Roman" w:hint="eastAsia"/>
          <w:kern w:val="0"/>
          <w:sz w:val="22"/>
        </w:rPr>
        <w:t>厘米的玻璃球的一半置于水中，一点光源放置在球心的正</w:t>
      </w:r>
      <w:r>
        <w:rPr>
          <w:rFonts w:ascii="Times New Roman" w:hAnsi="Times New Roman" w:hint="eastAsia"/>
          <w:kern w:val="0"/>
          <w:sz w:val="22"/>
        </w:rPr>
        <w:lastRenderedPageBreak/>
        <w:t>上方距球心</w:t>
      </w:r>
      <w:r>
        <w:rPr>
          <w:rFonts w:ascii="Times New Roman" w:hAnsi="Times New Roman"/>
          <w:kern w:val="0"/>
          <w:sz w:val="22"/>
        </w:rPr>
        <w:t>50</w:t>
      </w:r>
      <w:r>
        <w:rPr>
          <w:rFonts w:ascii="Times New Roman" w:hAnsi="Times New Roman" w:hint="eastAsia"/>
          <w:kern w:val="0"/>
          <w:sz w:val="22"/>
        </w:rPr>
        <w:t>厘米处，则该光源的近轴光线成像于水面下距球心多少厘米处？（水的折射率取</w:t>
      </w:r>
      <w:r>
        <w:rPr>
          <w:rFonts w:ascii="Times New Roman" w:hAnsi="Times New Roman"/>
          <w:kern w:val="0"/>
          <w:sz w:val="22"/>
        </w:rPr>
        <w:t>1.3</w:t>
      </w:r>
      <w:r>
        <w:rPr>
          <w:rFonts w:ascii="Times New Roman" w:hAnsi="Times New Roman" w:hint="eastAsia"/>
          <w:kern w:val="0"/>
          <w:sz w:val="22"/>
        </w:rPr>
        <w:t>）（</w:t>
      </w:r>
      <w:r>
        <w:rPr>
          <w:rFonts w:ascii="Times New Roman" w:hAnsi="Times New Roman"/>
          <w:kern w:val="0"/>
          <w:sz w:val="22"/>
        </w:rPr>
        <w:t>9</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3</w:t>
      </w:r>
      <w:r>
        <w:rPr>
          <w:rFonts w:ascii="Times New Roman" w:hAnsi="Times New Roman" w:hint="eastAsia"/>
          <w:kern w:val="0"/>
          <w:sz w:val="22"/>
        </w:rPr>
        <w:t>）已知带电圆环的半径为</w:t>
      </w:r>
      <w:r>
        <w:rPr>
          <w:rFonts w:ascii="Times New Roman" w:hAnsi="Times New Roman"/>
          <w:kern w:val="0"/>
          <w:sz w:val="22"/>
        </w:rPr>
        <w:t>R</w:t>
      </w:r>
      <w:r>
        <w:rPr>
          <w:rFonts w:ascii="Times New Roman" w:hAnsi="Times New Roman" w:hint="eastAsia"/>
          <w:kern w:val="0"/>
          <w:sz w:val="22"/>
        </w:rPr>
        <w:t>，环上所带的电量为</w:t>
      </w:r>
      <w:r>
        <w:rPr>
          <w:rFonts w:ascii="Times New Roman" w:hAnsi="Times New Roman"/>
          <w:kern w:val="0"/>
          <w:sz w:val="22"/>
        </w:rPr>
        <w:t>Q</w:t>
      </w:r>
      <w:r>
        <w:rPr>
          <w:rFonts w:ascii="Times New Roman" w:hAnsi="Times New Roman" w:hint="eastAsia"/>
          <w:kern w:val="0"/>
          <w:sz w:val="22"/>
        </w:rPr>
        <w:t>，求该圆环中心处的场强和电势。（</w:t>
      </w:r>
      <w:r>
        <w:rPr>
          <w:rFonts w:ascii="Times New Roman" w:hAnsi="Times New Roman"/>
          <w:kern w:val="0"/>
          <w:sz w:val="22"/>
        </w:rPr>
        <w:t>8</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4</w:t>
      </w:r>
      <w:r>
        <w:rPr>
          <w:rFonts w:ascii="Times New Roman" w:hAnsi="Times New Roman" w:hint="eastAsia"/>
          <w:kern w:val="0"/>
          <w:sz w:val="22"/>
        </w:rPr>
        <w:t>）半径为</w:t>
      </w:r>
      <w:r>
        <w:rPr>
          <w:rFonts w:ascii="Times New Roman" w:hAnsi="Times New Roman"/>
          <w:kern w:val="0"/>
          <w:sz w:val="22"/>
        </w:rPr>
        <w:t>R</w:t>
      </w:r>
      <w:r>
        <w:rPr>
          <w:rFonts w:ascii="Times New Roman" w:hAnsi="Times New Roman" w:hint="eastAsia"/>
          <w:kern w:val="0"/>
          <w:sz w:val="22"/>
        </w:rPr>
        <w:t>的均匀带电球体置于真空中，球体所带电量在数值上等于</w:t>
      </w:r>
      <w:r w:rsidR="00514AB1" w:rsidRPr="00514AB1">
        <w:rPr>
          <w:rFonts w:ascii="Times New Roman" w:hAnsi="Times New Roman"/>
          <w:kern w:val="0"/>
          <w:position w:val="-10"/>
          <w:sz w:val="22"/>
        </w:rPr>
        <w:pict>
          <v:shape id="_x0000_i1042" type="#_x0000_t75" style="width:24.9pt;height:17.7pt">
            <v:imagedata r:id="rId24" o:title=""/>
          </v:shape>
        </w:pict>
      </w:r>
      <w:r>
        <w:rPr>
          <w:rFonts w:ascii="Times New Roman" w:hAnsi="Times New Roman" w:hint="eastAsia"/>
          <w:kern w:val="0"/>
          <w:sz w:val="22"/>
        </w:rPr>
        <w:t>，若</w:t>
      </w:r>
      <w:r>
        <w:rPr>
          <w:rFonts w:ascii="Times New Roman" w:hAnsi="Times New Roman"/>
          <w:kern w:val="0"/>
          <w:sz w:val="22"/>
        </w:rPr>
        <w:t xml:space="preserve">a , b </w:t>
      </w:r>
      <w:r>
        <w:rPr>
          <w:rFonts w:ascii="Times New Roman" w:hAnsi="Times New Roman" w:hint="eastAsia"/>
          <w:kern w:val="0"/>
          <w:sz w:val="22"/>
        </w:rPr>
        <w:t>两点到球心的距离分别为</w:t>
      </w:r>
      <w:r>
        <w:rPr>
          <w:rFonts w:ascii="Times New Roman" w:hAnsi="Times New Roman"/>
          <w:kern w:val="0"/>
          <w:sz w:val="22"/>
        </w:rPr>
        <w:t>R/2</w:t>
      </w:r>
      <w:r>
        <w:rPr>
          <w:rFonts w:ascii="Times New Roman" w:hAnsi="Times New Roman" w:hint="eastAsia"/>
          <w:kern w:val="0"/>
          <w:sz w:val="22"/>
        </w:rPr>
        <w:t>和</w:t>
      </w:r>
      <w:r>
        <w:rPr>
          <w:rFonts w:ascii="Times New Roman" w:hAnsi="Times New Roman"/>
          <w:kern w:val="0"/>
          <w:sz w:val="22"/>
        </w:rPr>
        <w:t>2R</w:t>
      </w:r>
      <w:r>
        <w:rPr>
          <w:rFonts w:ascii="Times New Roman" w:hAnsi="Times New Roman" w:hint="eastAsia"/>
          <w:kern w:val="0"/>
          <w:sz w:val="22"/>
        </w:rPr>
        <w:t>，求</w:t>
      </w:r>
      <w:r>
        <w:rPr>
          <w:rFonts w:ascii="Times New Roman" w:hAnsi="Times New Roman"/>
          <w:kern w:val="0"/>
          <w:sz w:val="22"/>
        </w:rPr>
        <w:t xml:space="preserve">a , b </w:t>
      </w:r>
      <w:r>
        <w:rPr>
          <w:rFonts w:ascii="Times New Roman" w:hAnsi="Times New Roman" w:hint="eastAsia"/>
          <w:kern w:val="0"/>
          <w:sz w:val="22"/>
        </w:rPr>
        <w:t>两点的电势差</w:t>
      </w:r>
      <w:r w:rsidR="00514AB1" w:rsidRPr="00514AB1">
        <w:rPr>
          <w:rFonts w:ascii="Times New Roman" w:hAnsi="Times New Roman"/>
          <w:kern w:val="0"/>
          <w:position w:val="-12"/>
          <w:sz w:val="22"/>
        </w:rPr>
        <w:pict>
          <v:shape id="_x0000_i1043" type="#_x0000_t75" style="width:19.95pt;height:18.3pt">
            <v:imagedata r:id="rId25" o:title=""/>
          </v:shape>
        </w:pict>
      </w:r>
      <w:r>
        <w:rPr>
          <w:rFonts w:ascii="Times New Roman" w:hAnsi="Times New Roman" w:hint="eastAsia"/>
          <w:kern w:val="0"/>
          <w:sz w:val="22"/>
        </w:rPr>
        <w:t>。（</w:t>
      </w:r>
      <w:r>
        <w:rPr>
          <w:rFonts w:ascii="Times New Roman" w:hAnsi="Times New Roman"/>
          <w:kern w:val="0"/>
          <w:sz w:val="22"/>
        </w:rPr>
        <w:t>9</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5</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如图所示，</w:t>
      </w:r>
      <w:r w:rsidR="00514AB1" w:rsidRPr="00514AB1">
        <w:rPr>
          <w:rFonts w:ascii="Times New Roman" w:hAnsi="Times New Roman"/>
          <w:kern w:val="0"/>
          <w:position w:val="-12"/>
          <w:sz w:val="22"/>
        </w:rPr>
        <w:pict>
          <v:shape id="_x0000_i1044" type="#_x0000_t75" style="width:188.3pt;height:18.3pt">
            <v:imagedata r:id="rId26" o:title=""/>
          </v:shape>
        </w:pict>
      </w:r>
      <w:r>
        <w:rPr>
          <w:rFonts w:ascii="Times New Roman" w:hAnsi="Times New Roman"/>
          <w:kern w:val="0"/>
          <w:sz w:val="22"/>
        </w:rPr>
        <w:t xml:space="preserve"> </w:t>
      </w:r>
      <w:r w:rsidR="00514AB1" w:rsidRPr="00514AB1">
        <w:rPr>
          <w:rFonts w:ascii="Times New Roman" w:hAnsi="Times New Roman"/>
          <w:kern w:val="0"/>
          <w:position w:val="-10"/>
          <w:sz w:val="22"/>
        </w:rPr>
        <w:pict>
          <v:shape id="_x0000_i1045" type="#_x0000_t75" style="width:74.75pt;height:17.7pt">
            <v:imagedata r:id="rId27" o:title=""/>
          </v:shape>
        </w:pict>
      </w:r>
      <w:r>
        <w:rPr>
          <w:rFonts w:ascii="Times New Roman" w:hAnsi="Times New Roman" w:hint="eastAsia"/>
          <w:kern w:val="0"/>
          <w:sz w:val="22"/>
        </w:rPr>
        <w:t>，内阻可以忽略。求该电路中独立回路方程的个数为多少？电压</w:t>
      </w:r>
      <w:r w:rsidR="00514AB1" w:rsidRPr="00514AB1">
        <w:rPr>
          <w:rFonts w:ascii="Times New Roman" w:hAnsi="Times New Roman"/>
          <w:kern w:val="0"/>
          <w:position w:val="-12"/>
          <w:sz w:val="22"/>
        </w:rPr>
        <w:pict>
          <v:shape id="_x0000_i1046" type="#_x0000_t75" style="width:21.6pt;height:18.3pt">
            <v:imagedata r:id="rId28" o:title=""/>
          </v:shape>
        </w:pict>
      </w:r>
      <w:r>
        <w:rPr>
          <w:rFonts w:ascii="Times New Roman" w:hAnsi="Times New Roman" w:hint="eastAsia"/>
          <w:kern w:val="0"/>
          <w:sz w:val="22"/>
        </w:rPr>
        <w:t>为多少伏特？（</w:t>
      </w:r>
      <w:r>
        <w:rPr>
          <w:rFonts w:ascii="Times New Roman" w:hAnsi="Times New Roman"/>
          <w:kern w:val="0"/>
          <w:sz w:val="22"/>
        </w:rPr>
        <w:t>9</w:t>
      </w:r>
      <w:r>
        <w:rPr>
          <w:rFonts w:ascii="Times New Roman" w:hAnsi="Times New Roman" w:hint="eastAsia"/>
          <w:kern w:val="0"/>
          <w:sz w:val="22"/>
        </w:rPr>
        <w:t>分）</w:t>
      </w:r>
    </w:p>
    <w:p w:rsidR="003717A0" w:rsidRDefault="003717A0">
      <w:pPr>
        <w:autoSpaceDE w:val="0"/>
        <w:autoSpaceDN w:val="0"/>
        <w:adjustRightInd w:val="0"/>
        <w:spacing w:line="360" w:lineRule="exact"/>
        <w:ind w:leftChars="255" w:left="839" w:hangingChars="138" w:hanging="304"/>
        <w:jc w:val="left"/>
        <w:rPr>
          <w:rFonts w:ascii="Times New Roman" w:hAnsi="Times New Roman"/>
          <w:kern w:val="0"/>
          <w:sz w:val="22"/>
        </w:rPr>
      </w:pP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）一个放射源在</w:t>
      </w:r>
      <w:r>
        <w:rPr>
          <w:rFonts w:ascii="Times New Roman" w:hAnsi="Times New Roman"/>
          <w:kern w:val="0"/>
          <w:sz w:val="22"/>
        </w:rPr>
        <w:t>t=0</w:t>
      </w:r>
      <w:r>
        <w:rPr>
          <w:rFonts w:ascii="Times New Roman" w:hAnsi="Times New Roman" w:hint="eastAsia"/>
          <w:kern w:val="0"/>
          <w:sz w:val="22"/>
        </w:rPr>
        <w:t>时的衰变率为</w:t>
      </w:r>
      <w:r>
        <w:rPr>
          <w:rFonts w:ascii="Times New Roman" w:hAnsi="Times New Roman"/>
          <w:kern w:val="0"/>
          <w:sz w:val="22"/>
        </w:rPr>
        <w:t>8000</w:t>
      </w:r>
      <w:r>
        <w:rPr>
          <w:rFonts w:ascii="Times New Roman" w:hAnsi="Times New Roman" w:hint="eastAsia"/>
          <w:kern w:val="0"/>
          <w:sz w:val="22"/>
        </w:rPr>
        <w:t>次</w:t>
      </w:r>
      <w:r>
        <w:rPr>
          <w:rFonts w:ascii="Times New Roman" w:hAnsi="Times New Roman"/>
          <w:kern w:val="0"/>
          <w:sz w:val="22"/>
        </w:rPr>
        <w:t>/</w:t>
      </w:r>
      <w:r>
        <w:rPr>
          <w:rFonts w:ascii="Times New Roman" w:hAnsi="Times New Roman" w:hint="eastAsia"/>
          <w:kern w:val="0"/>
          <w:sz w:val="22"/>
        </w:rPr>
        <w:t>秒，</w:t>
      </w:r>
      <w:r>
        <w:rPr>
          <w:rFonts w:ascii="Times New Roman" w:hAnsi="Times New Roman"/>
          <w:kern w:val="0"/>
          <w:sz w:val="22"/>
        </w:rPr>
        <w:t>10</w:t>
      </w:r>
      <w:r>
        <w:rPr>
          <w:rFonts w:ascii="Times New Roman" w:hAnsi="Times New Roman" w:hint="eastAsia"/>
          <w:kern w:val="0"/>
          <w:sz w:val="22"/>
        </w:rPr>
        <w:t>分钟后的衰变率为</w:t>
      </w:r>
      <w:r>
        <w:rPr>
          <w:rFonts w:ascii="Times New Roman" w:hAnsi="Times New Roman"/>
          <w:kern w:val="0"/>
          <w:sz w:val="22"/>
        </w:rPr>
        <w:t>1000</w:t>
      </w:r>
      <w:r>
        <w:rPr>
          <w:rFonts w:ascii="Times New Roman" w:hAnsi="Times New Roman" w:hint="eastAsia"/>
          <w:kern w:val="0"/>
          <w:sz w:val="22"/>
        </w:rPr>
        <w:t>次</w:t>
      </w:r>
      <w:r>
        <w:rPr>
          <w:rFonts w:ascii="Times New Roman" w:hAnsi="Times New Roman"/>
          <w:kern w:val="0"/>
          <w:sz w:val="22"/>
        </w:rPr>
        <w:t>/</w:t>
      </w:r>
      <w:r>
        <w:rPr>
          <w:rFonts w:ascii="Times New Roman" w:hAnsi="Times New Roman" w:hint="eastAsia"/>
          <w:kern w:val="0"/>
          <w:sz w:val="22"/>
        </w:rPr>
        <w:t>秒。求该放射源的半衰期为多少分钟？</w:t>
      </w:r>
      <w:r>
        <w:rPr>
          <w:rFonts w:ascii="Times New Roman" w:hAnsi="Times New Roman"/>
          <w:kern w:val="0"/>
          <w:sz w:val="22"/>
        </w:rPr>
        <w:t>1</w:t>
      </w:r>
      <w:r>
        <w:rPr>
          <w:rFonts w:ascii="Times New Roman" w:hAnsi="Times New Roman" w:hint="eastAsia"/>
          <w:kern w:val="0"/>
          <w:sz w:val="22"/>
        </w:rPr>
        <w:t>分钟后放射源的放射性活度为多少次</w:t>
      </w:r>
      <w:r>
        <w:rPr>
          <w:rFonts w:ascii="Times New Roman" w:hAnsi="Times New Roman"/>
          <w:kern w:val="0"/>
          <w:sz w:val="22"/>
        </w:rPr>
        <w:t>/</w:t>
      </w:r>
      <w:r>
        <w:rPr>
          <w:rFonts w:ascii="Times New Roman" w:hAnsi="Times New Roman" w:hint="eastAsia"/>
          <w:kern w:val="0"/>
          <w:sz w:val="22"/>
        </w:rPr>
        <w:t>秒？（</w:t>
      </w:r>
      <w:r w:rsidR="00514AB1" w:rsidRPr="00514AB1">
        <w:rPr>
          <w:rFonts w:ascii="Times New Roman" w:hAnsi="Times New Roman"/>
          <w:kern w:val="0"/>
          <w:sz w:val="22"/>
        </w:rPr>
        <w:pict>
          <v:shape id="_x0000_i1047" type="#_x0000_t75" style="width:53.15pt;height:15.5pt">
            <v:imagedata r:id="rId29" o:title=""/>
          </v:shape>
        </w:pic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分）</w:t>
      </w:r>
    </w:p>
    <w:p w:rsidR="003717A0" w:rsidRDefault="003018D3">
      <w:pPr>
        <w:autoSpaceDE w:val="0"/>
        <w:autoSpaceDN w:val="0"/>
        <w:adjustRightInd w:val="0"/>
        <w:spacing w:line="360" w:lineRule="auto"/>
        <w:ind w:leftChars="255" w:left="825" w:hangingChars="138" w:hanging="290"/>
        <w:jc w:val="left"/>
        <w:rPr>
          <w:rFonts w:ascii="Times New Roman" w:hAnsi="Times New Roman"/>
          <w:kern w:val="0"/>
          <w:sz w:val="22"/>
        </w:rPr>
      </w:pPr>
      <w:r>
        <w:pict>
          <v:shape id="_x0000_i1048" type="#_x0000_t75" alt="试卷图" style="width:121.85pt;height:135.15pt">
            <v:imagedata r:id="rId30" o:title=""/>
          </v:shape>
        </w:pict>
      </w:r>
    </w:p>
    <w:p w:rsidR="003717A0" w:rsidRDefault="003717A0" w:rsidP="005E20B5">
      <w:pPr>
        <w:adjustRightInd w:val="0"/>
        <w:snapToGrid w:val="0"/>
        <w:spacing w:beforeLines="50" w:afterLines="50" w:line="440" w:lineRule="exact"/>
        <w:jc w:val="center"/>
        <w:rPr>
          <w:rFonts w:ascii="Times New Roman" w:hAnsi="Times New Roman"/>
          <w:kern w:val="0"/>
          <w:sz w:val="22"/>
        </w:rPr>
      </w:pPr>
      <w:r>
        <w:rPr>
          <w:rFonts w:ascii="Times New Roman" w:hAnsi="Times New Roman"/>
          <w:kern w:val="0"/>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2686"/>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本课程是康复治疗医学专业本科学生的必修基础课，掌握物理学的基本理论、基本分析和解决问题的方法，了解医学研究和应用中所涉及的物理学方法以及新技术。考虑到理论课</w:t>
            </w:r>
            <w:r>
              <w:rPr>
                <w:rFonts w:ascii="Times New Roman" w:hAnsi="Times New Roman"/>
                <w:kern w:val="0"/>
                <w:sz w:val="22"/>
              </w:rPr>
              <w:t>54</w:t>
            </w:r>
            <w:r>
              <w:rPr>
                <w:rFonts w:ascii="Times New Roman" w:hAnsi="宋体" w:hint="eastAsia"/>
                <w:kern w:val="0"/>
                <w:sz w:val="22"/>
              </w:rPr>
              <w:t>学时以及与高等数学同时开课的现状，在保证物理学系统性的前提下，尽量避免大量使用微积分知识，注重培养学生分析问题、解决问题和自学的能力，为后继医学课程以及从事医疗卫生工作和科学研究打好基础。</w:t>
            </w:r>
          </w:p>
        </w:tc>
      </w:tr>
      <w:tr w:rsidR="003717A0">
        <w:trPr>
          <w:cantSplit/>
          <w:trHeight w:val="2270"/>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环</w:t>
            </w:r>
            <w:r>
              <w:rPr>
                <w:rFonts w:ascii="黑体" w:eastAsia="黑体"/>
                <w:b/>
                <w:sz w:val="24"/>
                <w:szCs w:val="24"/>
              </w:rPr>
              <w:t xml:space="preserve"> </w:t>
            </w:r>
            <w:r>
              <w:rPr>
                <w:rFonts w:ascii="黑体" w:eastAsia="黑体" w:hint="eastAsia"/>
                <w:b/>
                <w:sz w:val="24"/>
                <w:szCs w:val="24"/>
              </w:rPr>
              <w:t>节</w:t>
            </w:r>
            <w:r>
              <w:rPr>
                <w:rFonts w:ascii="黑体" w:eastAsia="黑体"/>
                <w:b/>
                <w:sz w:val="24"/>
                <w:szCs w:val="24"/>
              </w:rPr>
              <w:t xml:space="preserve"> </w:t>
            </w:r>
            <w:r>
              <w:rPr>
                <w:rFonts w:ascii="黑体" w:eastAsia="黑体" w:hint="eastAsia"/>
                <w:b/>
                <w:sz w:val="24"/>
                <w:szCs w:val="24"/>
              </w:rPr>
              <w:t>的</w:t>
            </w:r>
            <w:r>
              <w:rPr>
                <w:rFonts w:ascii="黑体" w:eastAsia="黑体"/>
                <w:b/>
                <w:sz w:val="24"/>
                <w:szCs w:val="24"/>
              </w:rPr>
              <w:t xml:space="preserve"> </w:t>
            </w:r>
            <w:r>
              <w:rPr>
                <w:rFonts w:ascii="黑体" w:eastAsia="黑体" w:hint="eastAsia"/>
                <w:b/>
                <w:sz w:val="24"/>
                <w:szCs w:val="24"/>
              </w:rPr>
              <w:t>质</w:t>
            </w:r>
            <w:r>
              <w:rPr>
                <w:rFonts w:ascii="黑体" w:eastAsia="黑体"/>
                <w:b/>
                <w:sz w:val="24"/>
                <w:szCs w:val="24"/>
              </w:rPr>
              <w:t xml:space="preserve"> </w:t>
            </w:r>
            <w:r>
              <w:rPr>
                <w:rFonts w:ascii="黑体" w:eastAsia="黑体" w:hint="eastAsia"/>
                <w:b/>
                <w:sz w:val="24"/>
                <w:szCs w:val="24"/>
              </w:rPr>
              <w:t>量</w:t>
            </w:r>
            <w:r>
              <w:rPr>
                <w:rFonts w:ascii="黑体" w:eastAsia="黑体"/>
                <w:b/>
                <w:sz w:val="24"/>
                <w:szCs w:val="24"/>
              </w:rPr>
              <w:t xml:space="preserve"> </w:t>
            </w:r>
            <w:r>
              <w:rPr>
                <w:rFonts w:ascii="黑体" w:eastAsia="黑体" w:hint="eastAsia"/>
                <w:b/>
                <w:sz w:val="24"/>
                <w:szCs w:val="24"/>
              </w:rPr>
              <w:t>标</w:t>
            </w:r>
            <w:r>
              <w:rPr>
                <w:rFonts w:ascii="黑体" w:eastAsia="黑体"/>
                <w:b/>
                <w:sz w:val="24"/>
                <w:szCs w:val="24"/>
              </w:rPr>
              <w:t xml:space="preserve"> </w:t>
            </w:r>
            <w:r>
              <w:rPr>
                <w:rFonts w:ascii="黑体" w:eastAsia="黑体" w:hint="eastAsia"/>
                <w:b/>
                <w:sz w:val="24"/>
                <w:szCs w:val="24"/>
              </w:rPr>
              <w:t>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结合课程特点制作课件，结合板书，运用多媒体教学手段讲授教学内容；</w:t>
            </w:r>
            <w:r>
              <w:rPr>
                <w:rFonts w:ascii="Times New Roman" w:hAnsi="宋体"/>
                <w:kern w:val="0"/>
                <w:sz w:val="22"/>
              </w:rPr>
              <w:t xml:space="preserve"> </w:t>
            </w:r>
          </w:p>
          <w:p w:rsidR="003717A0" w:rsidRDefault="003717A0">
            <w:pPr>
              <w:autoSpaceDE w:val="0"/>
              <w:autoSpaceDN w:val="0"/>
              <w:adjustRightInd w:val="0"/>
              <w:snapToGrid w:val="0"/>
              <w:spacing w:line="360" w:lineRule="exact"/>
              <w:jc w:val="left"/>
            </w:pPr>
            <w:r>
              <w:rPr>
                <w:rFonts w:ascii="Times New Roman" w:hAnsi="宋体"/>
                <w:kern w:val="0"/>
                <w:sz w:val="22"/>
              </w:rPr>
              <w:t xml:space="preserve">4. </w:t>
            </w:r>
            <w:r>
              <w:rPr>
                <w:rFonts w:ascii="Times New Roman" w:hAnsi="宋体" w:hint="eastAsia"/>
                <w:kern w:val="0"/>
                <w:sz w:val="22"/>
              </w:rPr>
              <w:t>确定各章节课程内容的教学方法，构思授课思路、技巧和方法（</w:t>
            </w:r>
            <w:r>
              <w:rPr>
                <w:rFonts w:ascii="Times New Roman" w:hAnsi="宋体"/>
                <w:kern w:val="0"/>
                <w:sz w:val="22"/>
              </w:rPr>
              <w:t>*</w:t>
            </w:r>
            <w:r>
              <w:rPr>
                <w:rFonts w:ascii="Times New Roman" w:hAnsi="宋体" w:hint="eastAsia"/>
                <w:kern w:val="0"/>
                <w:sz w:val="22"/>
              </w:rPr>
              <w:t>为选讲内容）；</w:t>
            </w:r>
          </w:p>
        </w:tc>
      </w:tr>
      <w:tr w:rsidR="003717A0">
        <w:trPr>
          <w:cantSplit/>
          <w:trHeight w:val="3110"/>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讲</w:t>
            </w:r>
            <w:r>
              <w:rPr>
                <w:rFonts w:ascii="黑体" w:eastAsia="黑体"/>
                <w:b/>
                <w:sz w:val="24"/>
                <w:szCs w:val="24"/>
              </w:rPr>
              <w:t xml:space="preserve">      </w:t>
            </w:r>
            <w:r>
              <w:rPr>
                <w:rFonts w:ascii="黑体" w:eastAsia="黑体" w:hint="eastAsia"/>
                <w:b/>
                <w:sz w:val="24"/>
                <w:szCs w:val="24"/>
              </w:rPr>
              <w:t>授</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要点准确，推理正确，条理清晰，重点突出，理论联系实际，熟练地解答和讲解例题。</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宋体"/>
                <w:kern w:val="0"/>
                <w:sz w:val="22"/>
              </w:rPr>
              <w:t xml:space="preserve">4. </w:t>
            </w:r>
            <w:r>
              <w:rPr>
                <w:rFonts w:ascii="Times New Roman" w:hAnsi="宋体" w:hint="eastAsia"/>
                <w:kern w:val="0"/>
                <w:sz w:val="22"/>
              </w:rPr>
              <w:t>表达方式尽量便于学生理解和接受，力求形象生动。在掌握知识的过程中，保持较为浓厚的兴趣。</w:t>
            </w:r>
            <w:r>
              <w:rPr>
                <w:rFonts w:ascii="Times New Roman" w:hAnsi="宋体"/>
                <w:kern w:val="0"/>
                <w:sz w:val="22"/>
              </w:rPr>
              <w:t xml:space="preserve"> </w:t>
            </w:r>
          </w:p>
        </w:tc>
      </w:tr>
      <w:tr w:rsidR="003717A0">
        <w:trPr>
          <w:gridAfter w:val="1"/>
          <w:wAfter w:w="26" w:type="dxa"/>
          <w:cantSplit/>
          <w:trHeight w:val="4379"/>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环</w:t>
            </w:r>
            <w:r>
              <w:rPr>
                <w:rFonts w:ascii="黑体" w:eastAsia="黑体"/>
                <w:b/>
                <w:sz w:val="24"/>
                <w:szCs w:val="24"/>
              </w:rPr>
              <w:t xml:space="preserve"> </w:t>
            </w:r>
            <w:r>
              <w:rPr>
                <w:rFonts w:ascii="黑体" w:eastAsia="黑体" w:hint="eastAsia"/>
                <w:b/>
                <w:sz w:val="24"/>
                <w:szCs w:val="24"/>
              </w:rPr>
              <w:t>节</w:t>
            </w:r>
            <w:r>
              <w:rPr>
                <w:rFonts w:ascii="黑体" w:eastAsia="黑体"/>
                <w:b/>
                <w:sz w:val="24"/>
                <w:szCs w:val="24"/>
              </w:rPr>
              <w:t xml:space="preserve"> </w:t>
            </w:r>
            <w:r>
              <w:rPr>
                <w:rFonts w:ascii="黑体" w:eastAsia="黑体" w:hint="eastAsia"/>
                <w:b/>
                <w:sz w:val="24"/>
                <w:szCs w:val="24"/>
              </w:rPr>
              <w:t>的</w:t>
            </w:r>
            <w:r>
              <w:rPr>
                <w:rFonts w:ascii="黑体" w:eastAsia="黑体"/>
                <w:b/>
                <w:sz w:val="24"/>
                <w:szCs w:val="24"/>
              </w:rPr>
              <w:t xml:space="preserve"> </w:t>
            </w:r>
            <w:r>
              <w:rPr>
                <w:rFonts w:ascii="黑体" w:eastAsia="黑体" w:hint="eastAsia"/>
                <w:b/>
                <w:sz w:val="24"/>
                <w:szCs w:val="24"/>
              </w:rPr>
              <w:t>质</w:t>
            </w:r>
            <w:r>
              <w:rPr>
                <w:rFonts w:ascii="黑体" w:eastAsia="黑体"/>
                <w:b/>
                <w:sz w:val="24"/>
                <w:szCs w:val="24"/>
              </w:rPr>
              <w:t xml:space="preserve"> </w:t>
            </w:r>
            <w:r>
              <w:rPr>
                <w:rFonts w:ascii="黑体" w:eastAsia="黑体" w:hint="eastAsia"/>
                <w:b/>
                <w:sz w:val="24"/>
                <w:szCs w:val="24"/>
              </w:rPr>
              <w:t>量</w:t>
            </w:r>
            <w:r>
              <w:rPr>
                <w:rFonts w:ascii="黑体" w:eastAsia="黑体"/>
                <w:b/>
                <w:sz w:val="24"/>
                <w:szCs w:val="24"/>
              </w:rPr>
              <w:t xml:space="preserve"> </w:t>
            </w:r>
            <w:r>
              <w:rPr>
                <w:rFonts w:ascii="黑体" w:eastAsia="黑体" w:hint="eastAsia"/>
                <w:b/>
                <w:sz w:val="24"/>
                <w:szCs w:val="24"/>
              </w:rPr>
              <w:t>标</w:t>
            </w:r>
            <w:r>
              <w:rPr>
                <w:rFonts w:ascii="黑体" w:eastAsia="黑体"/>
                <w:b/>
                <w:sz w:val="24"/>
                <w:szCs w:val="24"/>
              </w:rPr>
              <w:t xml:space="preserve"> </w:t>
            </w:r>
            <w:r>
              <w:rPr>
                <w:rFonts w:ascii="黑体" w:eastAsia="黑体" w:hint="eastAsia"/>
                <w:b/>
                <w:sz w:val="24"/>
                <w:szCs w:val="24"/>
              </w:rPr>
              <w:t>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w:t>
            </w:r>
            <w:r>
              <w:rPr>
                <w:rFonts w:ascii="黑体" w:eastAsia="黑体"/>
                <w:b/>
                <w:sz w:val="24"/>
                <w:szCs w:val="24"/>
              </w:rPr>
              <w:t xml:space="preserve"> </w:t>
            </w:r>
            <w:r>
              <w:rPr>
                <w:rFonts w:ascii="黑体" w:eastAsia="黑体" w:hint="eastAsia"/>
                <w:b/>
                <w:sz w:val="24"/>
                <w:szCs w:val="24"/>
              </w:rPr>
              <w:t>业</w:t>
            </w:r>
            <w:r>
              <w:rPr>
                <w:rFonts w:ascii="黑体" w:eastAsia="黑体"/>
                <w:b/>
                <w:sz w:val="24"/>
                <w:szCs w:val="24"/>
              </w:rPr>
              <w:t xml:space="preserve"> </w:t>
            </w:r>
            <w:r>
              <w:rPr>
                <w:rFonts w:ascii="黑体" w:eastAsia="黑体" w:hint="eastAsia"/>
                <w:b/>
                <w:sz w:val="24"/>
                <w:szCs w:val="24"/>
              </w:rPr>
              <w:t>布</w:t>
            </w:r>
            <w:r>
              <w:rPr>
                <w:rFonts w:ascii="黑体" w:eastAsia="黑体"/>
                <w:b/>
                <w:sz w:val="24"/>
                <w:szCs w:val="24"/>
              </w:rPr>
              <w:t xml:space="preserve"> </w:t>
            </w:r>
            <w:r>
              <w:rPr>
                <w:rFonts w:ascii="黑体" w:eastAsia="黑体" w:hint="eastAsia"/>
                <w:b/>
                <w:sz w:val="24"/>
                <w:szCs w:val="24"/>
              </w:rPr>
              <w:t>置</w:t>
            </w:r>
            <w:r>
              <w:rPr>
                <w:rFonts w:ascii="黑体" w:eastAsia="黑体"/>
                <w:b/>
                <w:sz w:val="24"/>
                <w:szCs w:val="24"/>
              </w:rPr>
              <w:t xml:space="preserve"> </w:t>
            </w:r>
            <w:r>
              <w:rPr>
                <w:rFonts w:ascii="黑体" w:eastAsia="黑体" w:hint="eastAsia"/>
                <w:b/>
                <w:sz w:val="24"/>
                <w:szCs w:val="24"/>
              </w:rPr>
              <w:t>与</w:t>
            </w:r>
            <w:r>
              <w:rPr>
                <w:rFonts w:ascii="黑体" w:eastAsia="黑体"/>
                <w:b/>
                <w:sz w:val="24"/>
                <w:szCs w:val="24"/>
              </w:rPr>
              <w:t xml:space="preserve"> </w:t>
            </w:r>
            <w:r>
              <w:rPr>
                <w:rFonts w:ascii="黑体" w:eastAsia="黑体" w:hint="eastAsia"/>
                <w:b/>
                <w:sz w:val="24"/>
                <w:szCs w:val="24"/>
              </w:rPr>
              <w:t>批</w:t>
            </w:r>
            <w:r>
              <w:rPr>
                <w:rFonts w:ascii="黑体" w:eastAsia="黑体"/>
                <w:b/>
                <w:sz w:val="24"/>
                <w:szCs w:val="24"/>
              </w:rPr>
              <w:t xml:space="preserve"> </w:t>
            </w:r>
            <w:r>
              <w:rPr>
                <w:rFonts w:ascii="黑体" w:eastAsia="黑体" w:hint="eastAsia"/>
                <w:b/>
                <w:sz w:val="24"/>
                <w:szCs w:val="24"/>
              </w:rPr>
              <w:t>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学生必须完成一定数量的作业题，是本课程教学的基本要求，是实现人才培养目标的必要手段。本课程作业布置的要求：每完成</w:t>
            </w:r>
            <w:r>
              <w:rPr>
                <w:rFonts w:ascii="Times New Roman" w:hAnsi="宋体"/>
                <w:kern w:val="0"/>
                <w:sz w:val="22"/>
              </w:rPr>
              <w:t>6</w:t>
            </w:r>
            <w:r>
              <w:rPr>
                <w:rFonts w:ascii="Times New Roman" w:hAnsi="宋体" w:hint="eastAsia"/>
                <w:kern w:val="0"/>
                <w:sz w:val="22"/>
              </w:rPr>
              <w:t>个学时布置一个课外作业习题。</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学生完成的作业必须达到以下基本要求：</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作业本规范。书写清晰，制证、登账、编表按规定和规范处理；</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解题方法和步骤正确。</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教师批改或讲评作业的数量和次数要求如下：</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教师批改或讲评作业要认真、细致，每次批改或讲评作业后，按优</w:t>
            </w:r>
            <w:r>
              <w:rPr>
                <w:rFonts w:ascii="Times New Roman" w:hAnsi="宋体"/>
                <w:kern w:val="0"/>
                <w:sz w:val="22"/>
              </w:rPr>
              <w:t>(A)</w:t>
            </w:r>
            <w:r>
              <w:rPr>
                <w:rFonts w:ascii="Times New Roman" w:hAnsi="宋体" w:hint="eastAsia"/>
                <w:kern w:val="0"/>
                <w:sz w:val="22"/>
              </w:rPr>
              <w:t>、良</w:t>
            </w:r>
            <w:r>
              <w:rPr>
                <w:rFonts w:ascii="Times New Roman" w:hAnsi="宋体"/>
                <w:kern w:val="0"/>
                <w:sz w:val="22"/>
              </w:rPr>
              <w:t>(B)</w:t>
            </w:r>
            <w:r>
              <w:rPr>
                <w:rFonts w:ascii="Times New Roman" w:hAnsi="宋体" w:hint="eastAsia"/>
                <w:kern w:val="0"/>
                <w:sz w:val="22"/>
              </w:rPr>
              <w:t>、中</w:t>
            </w:r>
            <w:r>
              <w:rPr>
                <w:rFonts w:ascii="Times New Roman" w:hAnsi="宋体"/>
                <w:kern w:val="0"/>
                <w:sz w:val="22"/>
              </w:rPr>
              <w:t>(C)</w:t>
            </w:r>
            <w:r>
              <w:rPr>
                <w:rFonts w:ascii="Times New Roman" w:hAnsi="宋体" w:hint="eastAsia"/>
                <w:kern w:val="0"/>
                <w:sz w:val="22"/>
              </w:rPr>
              <w:t>、及格</w:t>
            </w:r>
            <w:r>
              <w:rPr>
                <w:rFonts w:ascii="Times New Roman" w:hAnsi="宋体"/>
                <w:kern w:val="0"/>
                <w:sz w:val="22"/>
              </w:rPr>
              <w:t>(D)</w:t>
            </w:r>
            <w:r>
              <w:rPr>
                <w:rFonts w:ascii="Times New Roman" w:hAnsi="宋体" w:hint="eastAsia"/>
                <w:kern w:val="0"/>
                <w:sz w:val="22"/>
              </w:rPr>
              <w:t>、不及格</w:t>
            </w:r>
            <w:r>
              <w:rPr>
                <w:rFonts w:ascii="Times New Roman" w:hAnsi="宋体"/>
                <w:kern w:val="0"/>
                <w:sz w:val="22"/>
              </w:rPr>
              <w:t>(F)</w:t>
            </w:r>
            <w:r>
              <w:rPr>
                <w:rFonts w:ascii="Times New Roman" w:hAnsi="宋体" w:hint="eastAsia"/>
                <w:kern w:val="0"/>
                <w:sz w:val="22"/>
              </w:rPr>
              <w:t>五级分制评定成绩；</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期末按百分制评出每个学生作业的平时成绩，作为本课程学期总评成绩的重要组成部分。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为直接了解学生的学习情况，帮助学生进一步理解和消化课堂上所学知识、改进学习方法和思维方式，培养其独立思考问题的能力，建议任课教师安排时间进行课后答疑与辅导工作。</w:t>
            </w:r>
          </w:p>
        </w:tc>
      </w:tr>
      <w:tr w:rsidR="003717A0">
        <w:trPr>
          <w:gridAfter w:val="1"/>
          <w:wAfter w:w="26" w:type="dxa"/>
          <w:cantSplit/>
          <w:trHeight w:val="294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w:t>
            </w:r>
            <w:r>
              <w:rPr>
                <w:rFonts w:ascii="黑体" w:eastAsia="黑体"/>
                <w:b/>
                <w:sz w:val="24"/>
                <w:szCs w:val="24"/>
              </w:rPr>
              <w:t xml:space="preserve"> </w:t>
            </w:r>
            <w:r>
              <w:rPr>
                <w:rFonts w:ascii="黑体" w:eastAsia="黑体" w:hint="eastAsia"/>
                <w:b/>
                <w:sz w:val="24"/>
                <w:szCs w:val="24"/>
              </w:rPr>
              <w:t>绩</w:t>
            </w:r>
            <w:r>
              <w:rPr>
                <w:rFonts w:ascii="黑体" w:eastAsia="黑体"/>
                <w:b/>
                <w:sz w:val="24"/>
                <w:szCs w:val="24"/>
              </w:rPr>
              <w:t xml:space="preserve"> </w:t>
            </w:r>
            <w:r>
              <w:rPr>
                <w:rFonts w:ascii="黑体" w:eastAsia="黑体" w:hint="eastAsia"/>
                <w:b/>
                <w:sz w:val="24"/>
                <w:szCs w:val="24"/>
              </w:rPr>
              <w:t>考</w:t>
            </w:r>
            <w:r>
              <w:rPr>
                <w:rFonts w:ascii="黑体" w:eastAsia="黑体"/>
                <w:b/>
                <w:sz w:val="24"/>
                <w:szCs w:val="24"/>
              </w:rPr>
              <w:t xml:space="preserve"> </w:t>
            </w:r>
            <w:r>
              <w:rPr>
                <w:rFonts w:ascii="黑体" w:eastAsia="黑体" w:hint="eastAsia"/>
                <w:b/>
                <w:sz w:val="24"/>
                <w:szCs w:val="24"/>
              </w:rPr>
              <w:t>核</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本课程为学期课程，成绩考核的方式：考试。考试时实行同一专业统考，即统一命题，统一考试，统一阅卷。考试学期总评成绩的评定方法如下：</w:t>
            </w:r>
          </w:p>
          <w:p w:rsidR="003717A0" w:rsidRDefault="003717A0">
            <w:pPr>
              <w:autoSpaceDE w:val="0"/>
              <w:autoSpaceDN w:val="0"/>
              <w:adjustRightInd w:val="0"/>
              <w:snapToGrid w:val="0"/>
              <w:spacing w:line="360" w:lineRule="exact"/>
              <w:ind w:firstLineChars="16" w:firstLine="3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平时作业和自学小报告等成绩占总评成绩的</w:t>
            </w:r>
            <w:r>
              <w:rPr>
                <w:rFonts w:ascii="Times New Roman" w:hAnsi="宋体"/>
                <w:kern w:val="0"/>
                <w:sz w:val="22"/>
              </w:rPr>
              <w:t>30%</w:t>
            </w:r>
            <w:r>
              <w:rPr>
                <w:rFonts w:ascii="Times New Roman" w:hAnsi="宋体" w:hint="eastAsia"/>
                <w:kern w:val="0"/>
                <w:sz w:val="22"/>
              </w:rPr>
              <w:t>；</w:t>
            </w:r>
          </w:p>
          <w:p w:rsidR="003717A0" w:rsidRDefault="003717A0">
            <w:pPr>
              <w:autoSpaceDE w:val="0"/>
              <w:autoSpaceDN w:val="0"/>
              <w:adjustRightInd w:val="0"/>
              <w:snapToGrid w:val="0"/>
              <w:spacing w:line="360" w:lineRule="exact"/>
              <w:ind w:firstLineChars="16" w:firstLine="3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期末考试成绩占总评成绩的</w:t>
            </w:r>
            <w:r>
              <w:rPr>
                <w:rFonts w:ascii="Times New Roman" w:hAnsi="宋体"/>
                <w:kern w:val="0"/>
                <w:sz w:val="22"/>
              </w:rPr>
              <w:t>70%</w:t>
            </w:r>
            <w:r>
              <w:rPr>
                <w:rFonts w:ascii="Times New Roman" w:hAnsi="宋体" w:hint="eastAsia"/>
                <w:kern w:val="0"/>
                <w:sz w:val="22"/>
              </w:rPr>
              <w:t>；</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有下列情况之一者，总评成绩为不及格：</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）缺交作业次数达</w:t>
            </w:r>
            <w:r>
              <w:rPr>
                <w:rFonts w:ascii="Times New Roman" w:hAnsi="宋体"/>
                <w:kern w:val="0"/>
                <w:sz w:val="22"/>
              </w:rPr>
              <w:t>1/2</w:t>
            </w:r>
            <w:r>
              <w:rPr>
                <w:rFonts w:ascii="Times New Roman" w:hAnsi="宋体" w:hint="eastAsia"/>
                <w:kern w:val="0"/>
                <w:sz w:val="22"/>
              </w:rPr>
              <w:t>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1/2</w:t>
            </w:r>
            <w:r>
              <w:rPr>
                <w:rFonts w:ascii="Times New Roman" w:hAnsi="宋体" w:hint="eastAsia"/>
                <w:kern w:val="0"/>
                <w:sz w:val="22"/>
              </w:rPr>
              <w:t>以上者。</w:t>
            </w:r>
          </w:p>
        </w:tc>
      </w:tr>
      <w:tr w:rsidR="003717A0">
        <w:trPr>
          <w:gridAfter w:val="1"/>
          <w:wAfter w:w="26" w:type="dxa"/>
          <w:cantSplit/>
          <w:trHeight w:val="2381"/>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w:t>
            </w:r>
            <w:r>
              <w:rPr>
                <w:rFonts w:ascii="黑体" w:eastAsia="黑体"/>
                <w:b/>
                <w:sz w:val="24"/>
                <w:szCs w:val="24"/>
              </w:rPr>
              <w:t xml:space="preserve"> </w:t>
            </w:r>
            <w:r>
              <w:rPr>
                <w:rFonts w:ascii="黑体" w:eastAsia="黑体" w:hint="eastAsia"/>
                <w:b/>
                <w:sz w:val="24"/>
                <w:szCs w:val="24"/>
              </w:rPr>
              <w:t>二</w:t>
            </w:r>
            <w:r>
              <w:rPr>
                <w:rFonts w:ascii="黑体" w:eastAsia="黑体"/>
                <w:b/>
                <w:sz w:val="24"/>
                <w:szCs w:val="24"/>
              </w:rPr>
              <w:t xml:space="preserve"> </w:t>
            </w:r>
            <w:r>
              <w:rPr>
                <w:rFonts w:ascii="黑体" w:eastAsia="黑体" w:hint="eastAsia"/>
                <w:b/>
                <w:sz w:val="24"/>
                <w:szCs w:val="24"/>
              </w:rPr>
              <w:t>课</w:t>
            </w:r>
            <w:r>
              <w:rPr>
                <w:rFonts w:ascii="黑体" w:eastAsia="黑体"/>
                <w:b/>
                <w:sz w:val="24"/>
                <w:szCs w:val="24"/>
              </w:rPr>
              <w:t xml:space="preserve"> </w:t>
            </w:r>
            <w:r>
              <w:rPr>
                <w:rFonts w:ascii="黑体" w:eastAsia="黑体" w:hint="eastAsia"/>
                <w:b/>
                <w:sz w:val="24"/>
                <w:szCs w:val="24"/>
              </w:rPr>
              <w:t>堂</w:t>
            </w:r>
            <w:r>
              <w:rPr>
                <w:rFonts w:ascii="黑体" w:eastAsia="黑体"/>
                <w:b/>
                <w:sz w:val="24"/>
                <w:szCs w:val="24"/>
              </w:rPr>
              <w:t xml:space="preserve"> </w:t>
            </w:r>
            <w:r>
              <w:rPr>
                <w:rFonts w:ascii="黑体" w:eastAsia="黑体" w:hint="eastAsia"/>
                <w:b/>
                <w:sz w:val="24"/>
                <w:szCs w:val="24"/>
              </w:rPr>
              <w:t>活</w:t>
            </w:r>
            <w:r>
              <w:rPr>
                <w:rFonts w:ascii="黑体" w:eastAsia="黑体"/>
                <w:b/>
                <w:sz w:val="24"/>
                <w:szCs w:val="24"/>
              </w:rPr>
              <w:t xml:space="preserve"> </w:t>
            </w:r>
            <w:r>
              <w:rPr>
                <w:rFonts w:ascii="黑体" w:eastAsia="黑体" w:hint="eastAsia"/>
                <w:b/>
                <w:sz w:val="24"/>
                <w:szCs w:val="24"/>
              </w:rPr>
              <w:t>动</w:t>
            </w:r>
          </w:p>
        </w:tc>
        <w:tc>
          <w:tcPr>
            <w:tcW w:w="8458" w:type="dxa"/>
            <w:gridSpan w:val="2"/>
            <w:vAlign w:val="center"/>
          </w:tcPr>
          <w:p w:rsidR="003717A0" w:rsidRDefault="003717A0">
            <w:pPr>
              <w:autoSpaceDE w:val="0"/>
              <w:autoSpaceDN w:val="0"/>
              <w:adjustRightInd w:val="0"/>
              <w:snapToGrid w:val="0"/>
              <w:spacing w:line="360" w:lineRule="exact"/>
              <w:ind w:firstLineChars="200" w:firstLine="440"/>
              <w:jc w:val="left"/>
              <w:rPr>
                <w:rFonts w:ascii="Times New Roman" w:hAnsi="宋体"/>
                <w:kern w:val="0"/>
                <w:sz w:val="22"/>
              </w:rPr>
            </w:pPr>
            <w:r>
              <w:rPr>
                <w:rFonts w:ascii="Times New Roman" w:hAnsi="宋体" w:hint="eastAsia"/>
                <w:kern w:val="0"/>
                <w:sz w:val="22"/>
              </w:rPr>
              <w:t>鼓励学生自学和创新，拓展物理学与医学相关的知识，以及综合运用物理学知识解决实际问题的能力。若需要可指定学术水平较高、实践经验丰富的专业教师担任指导教师。</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F5156D">
      <w:pPr>
        <w:autoSpaceDE w:val="0"/>
        <w:autoSpaceDN w:val="0"/>
        <w:adjustRightInd w:val="0"/>
        <w:spacing w:line="360" w:lineRule="exact"/>
        <w:ind w:leftChars="3100" w:left="6510" w:firstLineChars="7" w:firstLine="15"/>
        <w:jc w:val="left"/>
        <w:rPr>
          <w:rFonts w:ascii="黑体" w:eastAsia="黑体" w:cs="黑体"/>
          <w:kern w:val="0"/>
          <w:sz w:val="18"/>
          <w:szCs w:val="18"/>
        </w:rPr>
      </w:pPr>
      <w:r>
        <w:t xml:space="preserve">                                                 </w:t>
      </w:r>
      <w:r>
        <w:rPr>
          <w:rFonts w:ascii="黑体" w:eastAsia="黑体" w:cs="黑体" w:hint="eastAsia"/>
          <w:kern w:val="0"/>
          <w:sz w:val="18"/>
          <w:szCs w:val="18"/>
        </w:rPr>
        <w:t>制定人：姚</w:t>
      </w:r>
      <w:r>
        <w:rPr>
          <w:rFonts w:ascii="黑体" w:eastAsia="黑体" w:cs="黑体"/>
          <w:kern w:val="0"/>
          <w:sz w:val="18"/>
          <w:szCs w:val="18"/>
        </w:rPr>
        <w:t xml:space="preserve">  </w:t>
      </w:r>
      <w:r>
        <w:rPr>
          <w:rFonts w:ascii="黑体" w:eastAsia="黑体" w:cs="黑体" w:hint="eastAsia"/>
          <w:kern w:val="0"/>
          <w:sz w:val="18"/>
          <w:szCs w:val="18"/>
        </w:rPr>
        <w:t>力</w:t>
      </w:r>
    </w:p>
    <w:p w:rsidR="003717A0" w:rsidRDefault="003018D3" w:rsidP="00F5156D">
      <w:pPr>
        <w:autoSpaceDE w:val="0"/>
        <w:autoSpaceDN w:val="0"/>
        <w:adjustRightInd w:val="0"/>
        <w:spacing w:line="360" w:lineRule="exact"/>
        <w:ind w:leftChars="2900" w:left="6090" w:firstLineChars="207" w:firstLine="373"/>
        <w:jc w:val="left"/>
        <w:rPr>
          <w:rFonts w:ascii="黑体" w:eastAsia="黑体" w:cs="黑体"/>
          <w:kern w:val="0"/>
          <w:sz w:val="18"/>
          <w:szCs w:val="18"/>
        </w:rPr>
      </w:pPr>
      <w:r>
        <w:rPr>
          <w:rFonts w:ascii="黑体" w:eastAsia="黑体" w:cs="黑体" w:hint="eastAsia"/>
          <w:kern w:val="0"/>
          <w:sz w:val="18"/>
          <w:szCs w:val="18"/>
        </w:rPr>
        <w:t xml:space="preserve"> </w:t>
      </w:r>
      <w:r w:rsidR="003717A0">
        <w:rPr>
          <w:rFonts w:ascii="黑体" w:eastAsia="黑体" w:cs="黑体" w:hint="eastAsia"/>
          <w:kern w:val="0"/>
          <w:sz w:val="18"/>
          <w:szCs w:val="18"/>
        </w:rPr>
        <w:t>审核人：杨建华</w:t>
      </w:r>
    </w:p>
    <w:p w:rsidR="003717A0" w:rsidRDefault="003717A0">
      <w:pPr>
        <w:spacing w:line="340" w:lineRule="exact"/>
        <w:ind w:left="113" w:right="113"/>
        <w:jc w:val="right"/>
        <w:rPr>
          <w:rFonts w:ascii="宋体"/>
        </w:rPr>
      </w:pPr>
      <w:r>
        <w:rPr>
          <w:rFonts w:ascii="宋体" w:hAnsi="宋体"/>
        </w:rPr>
        <w:t xml:space="preserve">              </w:t>
      </w: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Default="003717A0">
      <w:pPr>
        <w:spacing w:line="340" w:lineRule="exact"/>
        <w:ind w:left="113" w:right="533"/>
        <w:jc w:val="center"/>
        <w:rPr>
          <w:rFonts w:ascii="宋体"/>
        </w:rPr>
      </w:pPr>
    </w:p>
    <w:p w:rsidR="003717A0" w:rsidRPr="00F5156D" w:rsidRDefault="003717A0">
      <w:pPr>
        <w:pStyle w:val="1"/>
        <w:rPr>
          <w:b/>
        </w:rPr>
      </w:pPr>
      <w:r>
        <w:rPr>
          <w:rFonts w:ascii="宋体" w:eastAsia="宋体" w:hAnsi="Calibri" w:cs="Arial"/>
          <w:bCs w:val="0"/>
          <w:kern w:val="2"/>
          <w:sz w:val="21"/>
          <w:szCs w:val="22"/>
        </w:rPr>
        <w:br w:type="page"/>
      </w:r>
      <w:bookmarkStart w:id="31" w:name="_Toc469312982"/>
      <w:bookmarkStart w:id="32" w:name="_Toc471830694"/>
      <w:r w:rsidRPr="00F5156D">
        <w:rPr>
          <w:rFonts w:hint="eastAsia"/>
          <w:b/>
        </w:rPr>
        <w:lastRenderedPageBreak/>
        <w:t>《医学信息学》课程质量标准</w:t>
      </w:r>
      <w:bookmarkEnd w:id="31"/>
      <w:bookmarkEnd w:id="32"/>
    </w:p>
    <w:p w:rsidR="003717A0" w:rsidRPr="00F5156D" w:rsidRDefault="003717A0">
      <w:pPr>
        <w:adjustRightInd w:val="0"/>
        <w:spacing w:line="360" w:lineRule="auto"/>
        <w:contextualSpacing/>
        <w:jc w:val="center"/>
        <w:rPr>
          <w:rFonts w:ascii="黑体" w:eastAsia="黑体"/>
          <w:b/>
          <w:sz w:val="32"/>
          <w:szCs w:val="32"/>
        </w:rPr>
      </w:pPr>
      <w:r w:rsidRPr="00F5156D">
        <w:rPr>
          <w:rFonts w:ascii="黑体" w:eastAsia="黑体" w:hint="eastAsia"/>
          <w:b/>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医学信息学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Medical Informatics</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170575</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24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1</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医学信息学系</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医学信息学概论</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人民卫生出版社，</w:t>
            </w:r>
            <w:r>
              <w:rPr>
                <w:sz w:val="22"/>
              </w:rPr>
              <w:t>2010</w:t>
            </w:r>
            <w:r>
              <w:rPr>
                <w:rFonts w:hint="eastAsia"/>
                <w:sz w:val="22"/>
              </w:rPr>
              <w:t>年</w:t>
            </w:r>
            <w:r>
              <w:rPr>
                <w:sz w:val="22"/>
              </w:rPr>
              <w:t>1</w:t>
            </w:r>
            <w:r>
              <w:rPr>
                <w:rFonts w:hint="eastAsia"/>
                <w:sz w:val="22"/>
              </w:rPr>
              <w:t>月第</w:t>
            </w:r>
            <w:r>
              <w:rPr>
                <w:sz w:val="22"/>
              </w:rPr>
              <w:t>1</w:t>
            </w:r>
            <w:r>
              <w:rPr>
                <w:rFonts w:hint="eastAsia"/>
                <w:sz w:val="22"/>
              </w:rPr>
              <w:t>版，书号：</w:t>
            </w:r>
            <w:r>
              <w:rPr>
                <w:sz w:val="22"/>
              </w:rPr>
              <w:t>ISBN 978-7-117-12173-6</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w:t>
            </w:r>
            <w:r>
              <w:rPr>
                <w:rFonts w:ascii="宋体" w:hAnsi="宋体" w:hint="eastAsia"/>
                <w:szCs w:val="21"/>
              </w:rPr>
              <w:t>■</w:t>
            </w:r>
            <w:r>
              <w:rPr>
                <w:rFonts w:ascii="宋体" w:hAnsi="宋体" w:hint="eastAsia"/>
                <w:sz w:val="22"/>
              </w:rPr>
              <w:t>自编□其他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30%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70%</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钱旦敏</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w:t>
            </w:r>
            <w:r>
              <w:rPr>
                <w:sz w:val="22"/>
              </w:rPr>
              <w:t xml:space="preserve">  </w:t>
            </w:r>
            <w:r>
              <w:rPr>
                <w:rFonts w:hint="eastAsia"/>
                <w:sz w:val="22"/>
              </w:rPr>
              <w:t>师</w:t>
            </w:r>
          </w:p>
        </w:tc>
        <w:tc>
          <w:tcPr>
            <w:tcW w:w="1524" w:type="dxa"/>
          </w:tcPr>
          <w:p w:rsidR="003717A0" w:rsidRDefault="003717A0">
            <w:pPr>
              <w:adjustRightInd w:val="0"/>
              <w:snapToGrid w:val="0"/>
              <w:spacing w:line="500" w:lineRule="exact"/>
              <w:jc w:val="center"/>
              <w:rPr>
                <w:sz w:val="22"/>
              </w:rPr>
            </w:pPr>
            <w:r>
              <w:rPr>
                <w:sz w:val="22"/>
              </w:rPr>
              <w:t>2007.8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王</w:t>
            </w:r>
            <w:r>
              <w:rPr>
                <w:sz w:val="22"/>
              </w:rPr>
              <w:t xml:space="preserve">  </w:t>
            </w:r>
            <w:r>
              <w:rPr>
                <w:rFonts w:hint="eastAsia"/>
                <w:sz w:val="22"/>
              </w:rPr>
              <w:t>理</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2011.8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吴辉群</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w:t>
            </w:r>
            <w:r>
              <w:rPr>
                <w:sz w:val="22"/>
              </w:rPr>
              <w:t xml:space="preserve">  </w:t>
            </w:r>
            <w:r>
              <w:rPr>
                <w:rFonts w:hint="eastAsia"/>
                <w:sz w:val="22"/>
              </w:rPr>
              <w:t>师</w:t>
            </w:r>
          </w:p>
        </w:tc>
        <w:tc>
          <w:tcPr>
            <w:tcW w:w="1524" w:type="dxa"/>
          </w:tcPr>
          <w:p w:rsidR="003717A0" w:rsidRDefault="003717A0">
            <w:pPr>
              <w:adjustRightInd w:val="0"/>
              <w:snapToGrid w:val="0"/>
              <w:spacing w:line="500" w:lineRule="exact"/>
              <w:jc w:val="center"/>
              <w:rPr>
                <w:sz w:val="22"/>
              </w:rPr>
            </w:pPr>
            <w:r>
              <w:rPr>
                <w:sz w:val="22"/>
              </w:rPr>
              <w:t>2008.8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张远鹏</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2009.8</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F5156D">
        <w:trPr>
          <w:trHeight w:val="2122"/>
          <w:jc w:val="center"/>
        </w:trPr>
        <w:tc>
          <w:tcPr>
            <w:tcW w:w="9286" w:type="dxa"/>
            <w:gridSpan w:val="10"/>
          </w:tcPr>
          <w:p w:rsidR="003717A0" w:rsidRDefault="003717A0">
            <w:pPr>
              <w:widowControl/>
              <w:adjustRightInd w:val="0"/>
              <w:snapToGrid w:val="0"/>
              <w:spacing w:line="360" w:lineRule="auto"/>
              <w:ind w:firstLineChars="200" w:firstLine="440"/>
              <w:rPr>
                <w:rFonts w:ascii="Times New Roman" w:hAnsi="Times New Roman"/>
                <w:sz w:val="22"/>
              </w:rPr>
            </w:pPr>
            <w:r>
              <w:rPr>
                <w:rFonts w:ascii="Times New Roman" w:hAnsi="Times New Roman" w:hint="eastAsia"/>
                <w:bCs/>
                <w:sz w:val="22"/>
              </w:rPr>
              <w:t>《医学信息学》</w:t>
            </w:r>
            <w:r>
              <w:rPr>
                <w:rFonts w:ascii="Times New Roman" w:hAnsi="Times New Roman"/>
                <w:bCs/>
                <w:sz w:val="22"/>
              </w:rPr>
              <w:t>(Medical</w:t>
            </w:r>
            <w:r>
              <w:rPr>
                <w:rFonts w:ascii="Times New Roman" w:hAnsi="Times New Roman" w:hint="eastAsia"/>
                <w:bCs/>
                <w:sz w:val="22"/>
              </w:rPr>
              <w:t>，</w:t>
            </w:r>
            <w:r>
              <w:rPr>
                <w:rFonts w:ascii="Times New Roman" w:hAnsi="Times New Roman"/>
                <w:bCs/>
                <w:sz w:val="22"/>
              </w:rPr>
              <w:t>Informatics</w:t>
            </w:r>
            <w:r>
              <w:rPr>
                <w:rFonts w:ascii="Times New Roman" w:hAnsi="Times New Roman" w:hint="eastAsia"/>
                <w:bCs/>
                <w:sz w:val="22"/>
              </w:rPr>
              <w:t>，</w:t>
            </w:r>
            <w:r>
              <w:rPr>
                <w:rFonts w:ascii="Times New Roman" w:hAnsi="Times New Roman"/>
                <w:bCs/>
                <w:sz w:val="22"/>
              </w:rPr>
              <w:t>MI)</w:t>
            </w:r>
            <w:r>
              <w:rPr>
                <w:rFonts w:ascii="Times New Roman" w:hAnsi="Times New Roman" w:hint="eastAsia"/>
                <w:bCs/>
                <w:sz w:val="22"/>
              </w:rPr>
              <w:t>是医学院校临床、影像、口腔、康复等专业的一门公共必修课程，课程的开设是以提高医学生信息素养，培养实用型医院信息系统应用人员为目的，使学生掌握医院信息系统的基本概念、功能设计、相关标准、业务流程、数据结构、实施应用、运维管理等相关技术，使学生全面了解医院信息系统运行原理与架构方面的知识。</w:t>
            </w:r>
          </w:p>
        </w:tc>
      </w:tr>
    </w:tbl>
    <w:p w:rsidR="003717A0" w:rsidRDefault="003717A0">
      <w:pPr>
        <w:adjustRightInd w:val="0"/>
        <w:spacing w:line="360" w:lineRule="auto"/>
        <w:contextualSpacing/>
        <w:jc w:val="center"/>
        <w:rPr>
          <w:rFonts w:ascii="黑体" w:eastAsia="黑体"/>
          <w:b/>
          <w:sz w:val="30"/>
          <w:szCs w:val="30"/>
        </w:rPr>
      </w:pPr>
    </w:p>
    <w:p w:rsidR="003717A0" w:rsidRDefault="003717A0">
      <w:pPr>
        <w:adjustRightInd w:val="0"/>
        <w:spacing w:line="360" w:lineRule="auto"/>
        <w:contextualSpacing/>
        <w:jc w:val="center"/>
        <w:rPr>
          <w:rFonts w:ascii="黑体" w:eastAsia="黑体"/>
          <w:b/>
          <w:sz w:val="30"/>
          <w:szCs w:val="30"/>
        </w:rPr>
      </w:pPr>
    </w:p>
    <w:p w:rsidR="003717A0" w:rsidRPr="00F5156D" w:rsidRDefault="003717A0">
      <w:pPr>
        <w:adjustRightInd w:val="0"/>
        <w:spacing w:line="360" w:lineRule="auto"/>
        <w:contextualSpacing/>
        <w:jc w:val="center"/>
        <w:rPr>
          <w:rFonts w:ascii="黑体" w:eastAsia="黑体"/>
          <w:b/>
          <w:sz w:val="32"/>
          <w:szCs w:val="32"/>
        </w:rPr>
      </w:pPr>
      <w:r w:rsidRPr="00F5156D">
        <w:rPr>
          <w:rFonts w:ascii="黑体" w:eastAsia="黑体" w:hint="eastAsia"/>
          <w:b/>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rFonts w:ascii="Times New Roman" w:hAnsi="Times New Roman"/>
          <w:kern w:val="0"/>
          <w:szCs w:val="21"/>
        </w:rPr>
        <w:t>170575</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24</w:t>
      </w:r>
      <w:r>
        <w:rPr>
          <w:rFonts w:ascii="Times New Roman" w:hAnsi="Times New Roman" w:hint="eastAsia"/>
          <w:kern w:val="0"/>
          <w:szCs w:val="21"/>
        </w:rPr>
        <w:t>学时（理论学时</w:t>
      </w:r>
      <w:r>
        <w:rPr>
          <w:rFonts w:ascii="Times New Roman" w:hAnsi="Times New Roman"/>
          <w:kern w:val="0"/>
          <w:szCs w:val="21"/>
        </w:rPr>
        <w:t>24</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1</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widowControl/>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《医学信息学》课程内容丰富，涉及面广，主要阐述医院信息系统所涉及到的基本知识、基本原理、开发方法以及开发过程，具体内容如下：</w:t>
      </w:r>
    </w:p>
    <w:p w:rsidR="003717A0" w:rsidRDefault="003717A0">
      <w:pPr>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1</w:t>
      </w:r>
      <w:r>
        <w:rPr>
          <w:rFonts w:ascii="Times New Roman" w:hAnsi="Times New Roman" w:hint="eastAsia"/>
          <w:kern w:val="0"/>
          <w:szCs w:val="21"/>
        </w:rPr>
        <w:t>）介绍医学信息学概念、课程教学意义、医学信息学研究的主要内容及其各部分的涵义、知识点。</w:t>
      </w:r>
    </w:p>
    <w:p w:rsidR="003717A0" w:rsidRDefault="003717A0">
      <w:pPr>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2</w:t>
      </w:r>
      <w:r>
        <w:rPr>
          <w:rFonts w:ascii="Times New Roman" w:hAnsi="Times New Roman" w:hint="eastAsia"/>
          <w:kern w:val="0"/>
          <w:szCs w:val="21"/>
        </w:rPr>
        <w:t>）介绍医院信息系统的概念、医院信息的种类、国内外医院管理信息系统的发展、医院管理信息系统的建设、功能、功能规范、医院管理信息系统的内容。</w:t>
      </w:r>
    </w:p>
    <w:p w:rsidR="003717A0" w:rsidRDefault="003717A0">
      <w:pPr>
        <w:widowControl/>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3</w:t>
      </w:r>
      <w:r>
        <w:rPr>
          <w:rFonts w:ascii="Times New Roman" w:hAnsi="Times New Roman" w:hint="eastAsia"/>
          <w:kern w:val="0"/>
          <w:szCs w:val="21"/>
        </w:rPr>
        <w:t>）介绍各种类临床信息系统的主要构成、各种类信息系统的演化、电子病历的内容与实现、各个种类信息系统的发展方向。</w:t>
      </w:r>
    </w:p>
    <w:p w:rsidR="003717A0" w:rsidRDefault="003717A0">
      <w:pPr>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4</w:t>
      </w:r>
      <w:r>
        <w:rPr>
          <w:rFonts w:ascii="Times New Roman" w:hAnsi="Times New Roman" w:hint="eastAsia"/>
          <w:kern w:val="0"/>
          <w:szCs w:val="21"/>
        </w:rPr>
        <w:t>）介绍</w:t>
      </w:r>
      <w:r>
        <w:rPr>
          <w:rFonts w:ascii="Times New Roman" w:hAnsi="Times New Roman"/>
          <w:kern w:val="0"/>
          <w:szCs w:val="21"/>
        </w:rPr>
        <w:t>DICOM</w:t>
      </w:r>
      <w:r>
        <w:rPr>
          <w:rFonts w:ascii="Times New Roman" w:hAnsi="Times New Roman" w:hint="eastAsia"/>
          <w:kern w:val="0"/>
          <w:szCs w:val="21"/>
        </w:rPr>
        <w:t>图像的数据标准和通信过程、</w:t>
      </w:r>
      <w:r>
        <w:rPr>
          <w:rFonts w:ascii="Times New Roman" w:hAnsi="Times New Roman"/>
          <w:kern w:val="0"/>
          <w:szCs w:val="21"/>
        </w:rPr>
        <w:t>PACS</w:t>
      </w:r>
      <w:r>
        <w:rPr>
          <w:rFonts w:ascii="Times New Roman" w:hAnsi="Times New Roman" w:hint="eastAsia"/>
          <w:kern w:val="0"/>
          <w:szCs w:val="21"/>
        </w:rPr>
        <w:t>系统的主要内容和分类、</w:t>
      </w:r>
      <w:r>
        <w:rPr>
          <w:rFonts w:ascii="Times New Roman" w:hAnsi="Times New Roman"/>
          <w:kern w:val="0"/>
          <w:szCs w:val="21"/>
        </w:rPr>
        <w:t>PACS</w:t>
      </w:r>
      <w:r>
        <w:rPr>
          <w:rFonts w:ascii="Times New Roman" w:hAnsi="Times New Roman" w:hint="eastAsia"/>
          <w:kern w:val="0"/>
          <w:szCs w:val="21"/>
        </w:rPr>
        <w:t>系统的主要功能、</w:t>
      </w:r>
      <w:r>
        <w:rPr>
          <w:rFonts w:ascii="Times New Roman" w:hAnsi="Times New Roman"/>
          <w:kern w:val="0"/>
          <w:szCs w:val="21"/>
        </w:rPr>
        <w:t>RIS</w:t>
      </w:r>
      <w:r>
        <w:rPr>
          <w:rFonts w:ascii="Times New Roman" w:hAnsi="Times New Roman" w:hint="eastAsia"/>
          <w:kern w:val="0"/>
          <w:szCs w:val="21"/>
        </w:rPr>
        <w:t>系统的模块和功能。</w:t>
      </w:r>
    </w:p>
    <w:p w:rsidR="003717A0" w:rsidRDefault="003717A0">
      <w:pPr>
        <w:widowControl/>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5</w:t>
      </w:r>
      <w:r>
        <w:rPr>
          <w:rFonts w:ascii="Times New Roman" w:hAnsi="Times New Roman" w:hint="eastAsia"/>
          <w:kern w:val="0"/>
          <w:szCs w:val="21"/>
        </w:rPr>
        <w:t>）介绍公共卫生信息系统的概念和组成、疾病监测信息系统的概念及其相关概念、卫生信息监督信息系统及其相关概念、电子健康档案的组成、建档流程以及建立电子健康档案的意义。</w:t>
      </w:r>
    </w:p>
    <w:p w:rsidR="003717A0" w:rsidRDefault="003717A0">
      <w:pPr>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6</w:t>
      </w:r>
      <w:r>
        <w:rPr>
          <w:rFonts w:ascii="Times New Roman" w:hAnsi="Times New Roman" w:hint="eastAsia"/>
          <w:kern w:val="0"/>
          <w:szCs w:val="21"/>
        </w:rPr>
        <w:t>）介绍各种类远程医学系统的主要构成、远程医学支撑环境、远程医学应用。</w:t>
      </w:r>
    </w:p>
    <w:p w:rsidR="003717A0" w:rsidRDefault="003717A0">
      <w:pPr>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7</w:t>
      </w:r>
      <w:r>
        <w:rPr>
          <w:rFonts w:ascii="Times New Roman" w:hAnsi="Times New Roman" w:hint="eastAsia"/>
          <w:kern w:val="0"/>
          <w:szCs w:val="21"/>
        </w:rPr>
        <w:t>）介绍医学文献的现状和特点、信息检索的定义、分类、语言、信息检索语言类型、检索工具、方法、途径、技术、信息检索步骤。</w:t>
      </w:r>
    </w:p>
    <w:p w:rsidR="003717A0" w:rsidRDefault="003717A0">
      <w:pPr>
        <w:widowControl/>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w:t>
      </w:r>
      <w:r>
        <w:rPr>
          <w:rFonts w:ascii="Times New Roman" w:hAnsi="Times New Roman"/>
          <w:kern w:val="0"/>
          <w:szCs w:val="21"/>
        </w:rPr>
        <w:t>8</w:t>
      </w:r>
      <w:r>
        <w:rPr>
          <w:rFonts w:ascii="Times New Roman" w:hAnsi="Times New Roman" w:hint="eastAsia"/>
          <w:kern w:val="0"/>
          <w:szCs w:val="21"/>
        </w:rPr>
        <w:t>）介绍中国期刊全文数据库、维普科技期刊全文数据库、万方期刊数据库、</w:t>
      </w:r>
      <w:r>
        <w:rPr>
          <w:rFonts w:ascii="Times New Roman" w:hAnsi="Times New Roman"/>
          <w:kern w:val="0"/>
          <w:szCs w:val="21"/>
        </w:rPr>
        <w:t>Elsevier</w:t>
      </w:r>
      <w:r>
        <w:rPr>
          <w:rFonts w:ascii="Times New Roman" w:hAnsi="Times New Roman" w:hint="eastAsia"/>
          <w:kern w:val="0"/>
          <w:szCs w:val="21"/>
        </w:rPr>
        <w:t>、</w:t>
      </w:r>
      <w:r>
        <w:rPr>
          <w:rFonts w:ascii="Times New Roman" w:hAnsi="Times New Roman"/>
          <w:kern w:val="0"/>
          <w:szCs w:val="21"/>
        </w:rPr>
        <w:t>Spring Link</w:t>
      </w:r>
      <w:r>
        <w:rPr>
          <w:rFonts w:ascii="Times New Roman" w:hAnsi="Times New Roman" w:hint="eastAsia"/>
          <w:kern w:val="0"/>
          <w:szCs w:val="21"/>
        </w:rPr>
        <w:t>、</w:t>
      </w:r>
      <w:r>
        <w:rPr>
          <w:rFonts w:ascii="Times New Roman" w:hAnsi="Times New Roman"/>
          <w:kern w:val="0"/>
          <w:szCs w:val="21"/>
        </w:rPr>
        <w:t>PubMed</w:t>
      </w:r>
      <w:r>
        <w:rPr>
          <w:rFonts w:ascii="Times New Roman" w:hAnsi="Times New Roman" w:hint="eastAsia"/>
          <w:kern w:val="0"/>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widowControl/>
        <w:adjustRightInd w:val="0"/>
        <w:snapToGrid w:val="0"/>
        <w:spacing w:line="360" w:lineRule="auto"/>
        <w:ind w:firstLineChars="200" w:firstLine="420"/>
        <w:rPr>
          <w:rFonts w:ascii="Times New Roman" w:hAnsi="Times New Roman"/>
          <w:kern w:val="0"/>
          <w:szCs w:val="21"/>
        </w:rPr>
      </w:pPr>
      <w:r>
        <w:rPr>
          <w:rFonts w:ascii="Times New Roman" w:hAnsi="Times New Roman" w:hint="eastAsia"/>
          <w:kern w:val="0"/>
          <w:szCs w:val="21"/>
        </w:rPr>
        <w:t>通过本课程的学习，要求学生熟悉</w:t>
      </w:r>
      <w:r>
        <w:rPr>
          <w:rFonts w:ascii="Times New Roman" w:hAnsi="Times New Roman"/>
          <w:kern w:val="0"/>
          <w:szCs w:val="21"/>
        </w:rPr>
        <w:t>HIS</w:t>
      </w:r>
      <w:r>
        <w:rPr>
          <w:rFonts w:ascii="Times New Roman" w:hAnsi="Times New Roman" w:hint="eastAsia"/>
          <w:kern w:val="0"/>
          <w:szCs w:val="21"/>
        </w:rPr>
        <w:t>的整体框架与工作流程，帮助学生理解在网络环境下，数据在发生点产生后怎样被共享及个人工作将怎样影响全局。加强学生的规范化、标准化操作和全局意识。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left"/>
        <w:rPr>
          <w:b/>
          <w:sz w:val="22"/>
        </w:rPr>
      </w:pPr>
      <w:r>
        <w:rPr>
          <w:rFonts w:hint="eastAsia"/>
          <w:b/>
          <w:sz w:val="22"/>
        </w:rPr>
        <w:t>第一部分</w:t>
      </w:r>
      <w:r>
        <w:rPr>
          <w:b/>
          <w:sz w:val="22"/>
        </w:rPr>
        <w:t xml:space="preserve"> </w:t>
      </w:r>
      <w:r>
        <w:rPr>
          <w:rFonts w:hint="eastAsia"/>
          <w:b/>
          <w:sz w:val="22"/>
        </w:rPr>
        <w:t>组织学</w:t>
      </w:r>
    </w:p>
    <w:p w:rsidR="003717A0" w:rsidRDefault="003717A0">
      <w:pPr>
        <w:adjustRightInd w:val="0"/>
        <w:snapToGrid w:val="0"/>
        <w:spacing w:line="360" w:lineRule="auto"/>
        <w:jc w:val="center"/>
        <w:rPr>
          <w:b/>
          <w:sz w:val="22"/>
        </w:rPr>
      </w:pPr>
      <w:r>
        <w:rPr>
          <w:rFonts w:hint="eastAsia"/>
          <w:b/>
          <w:sz w:val="22"/>
        </w:rPr>
        <w:t>第一章</w:t>
      </w:r>
      <w:r>
        <w:rPr>
          <w:b/>
          <w:sz w:val="22"/>
        </w:rPr>
        <w:t xml:space="preserve">  </w:t>
      </w:r>
      <w:r>
        <w:rPr>
          <w:rFonts w:hint="eastAsia"/>
          <w:b/>
          <w:sz w:val="22"/>
        </w:rPr>
        <w:t>概论、信息学基础</w:t>
      </w:r>
    </w:p>
    <w:p w:rsidR="003717A0" w:rsidRDefault="003717A0">
      <w:pPr>
        <w:adjustRightInd w:val="0"/>
        <w:snapToGrid w:val="0"/>
        <w:spacing w:line="360" w:lineRule="auto"/>
        <w:ind w:firstLineChars="200" w:firstLine="422"/>
        <w:rPr>
          <w:rFonts w:ascii="Times New Roman" w:hAnsi="Times New Roman"/>
          <w:b/>
        </w:rPr>
      </w:pPr>
      <w:r>
        <w:rPr>
          <w:rFonts w:ascii="Times New Roman" w:hint="eastAsia"/>
          <w:b/>
        </w:rPr>
        <w:lastRenderedPageBreak/>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firstLineChars="300" w:firstLine="630"/>
        <w:rPr>
          <w:rFonts w:ascii="Times New Roman"/>
        </w:rPr>
      </w:pPr>
      <w:r>
        <w:rPr>
          <w:rFonts w:ascii="Times New Roman"/>
        </w:rPr>
        <w:t>1.</w:t>
      </w:r>
      <w:r>
        <w:rPr>
          <w:rFonts w:ascii="Times New Roman" w:hint="eastAsia"/>
        </w:rPr>
        <w:t>医学信息学概念；</w:t>
      </w:r>
    </w:p>
    <w:p w:rsidR="003717A0" w:rsidRDefault="003717A0">
      <w:pPr>
        <w:adjustRightInd w:val="0"/>
        <w:snapToGrid w:val="0"/>
        <w:spacing w:line="360" w:lineRule="auto"/>
        <w:ind w:firstLineChars="300" w:firstLine="630"/>
        <w:rPr>
          <w:rFonts w:ascii="Times New Roman"/>
        </w:rPr>
      </w:pPr>
      <w:r>
        <w:rPr>
          <w:rFonts w:ascii="Times New Roman"/>
        </w:rPr>
        <w:t>2.</w:t>
      </w:r>
      <w:r>
        <w:rPr>
          <w:rFonts w:ascii="Times New Roman" w:hint="eastAsia"/>
        </w:rPr>
        <w:t>医学信息学研究主要内容；</w:t>
      </w:r>
    </w:p>
    <w:p w:rsidR="003717A0" w:rsidRDefault="003717A0">
      <w:pPr>
        <w:adjustRightInd w:val="0"/>
        <w:snapToGrid w:val="0"/>
        <w:spacing w:line="360" w:lineRule="auto"/>
        <w:ind w:firstLineChars="300" w:firstLine="630"/>
        <w:rPr>
          <w:rFonts w:ascii="Times New Roman"/>
        </w:rPr>
      </w:pPr>
      <w:r>
        <w:rPr>
          <w:rFonts w:ascii="Times New Roman"/>
        </w:rPr>
        <w:t>3.</w:t>
      </w:r>
      <w:r>
        <w:rPr>
          <w:rFonts w:ascii="Times New Roman" w:hint="eastAsia"/>
        </w:rPr>
        <w:t>知识及知识管理；</w:t>
      </w:r>
    </w:p>
    <w:p w:rsidR="003717A0" w:rsidRDefault="003717A0">
      <w:pPr>
        <w:adjustRightInd w:val="0"/>
        <w:snapToGrid w:val="0"/>
        <w:spacing w:line="360" w:lineRule="auto"/>
        <w:ind w:firstLineChars="300" w:firstLine="630"/>
        <w:rPr>
          <w:rFonts w:ascii="Times New Roman"/>
        </w:rPr>
      </w:pPr>
      <w:r>
        <w:rPr>
          <w:rFonts w:ascii="Times New Roman"/>
        </w:rPr>
        <w:t>4.</w:t>
      </w:r>
      <w:r>
        <w:rPr>
          <w:rFonts w:ascii="Times New Roman" w:hint="eastAsia"/>
        </w:rPr>
        <w:t>知识管理在医疗卫生领域的应用；</w:t>
      </w:r>
    </w:p>
    <w:p w:rsidR="003717A0" w:rsidRDefault="003717A0">
      <w:pPr>
        <w:adjustRightInd w:val="0"/>
        <w:snapToGrid w:val="0"/>
        <w:spacing w:line="360" w:lineRule="auto"/>
        <w:ind w:firstLineChars="300" w:firstLine="630"/>
        <w:rPr>
          <w:rFonts w:ascii="Times New Roman"/>
        </w:rPr>
      </w:pPr>
      <w:r>
        <w:rPr>
          <w:rFonts w:ascii="Times New Roman"/>
        </w:rPr>
        <w:t>5.</w:t>
      </w:r>
      <w:r>
        <w:rPr>
          <w:rFonts w:ascii="Times New Roman" w:hint="eastAsia"/>
        </w:rPr>
        <w:t>医院信息标准化。</w:t>
      </w:r>
    </w:p>
    <w:p w:rsidR="003717A0" w:rsidRDefault="003717A0">
      <w:pPr>
        <w:adjustRightInd w:val="0"/>
        <w:snapToGrid w:val="0"/>
        <w:spacing w:line="360" w:lineRule="auto"/>
        <w:ind w:firstLineChars="200" w:firstLine="422"/>
        <w:rPr>
          <w:rFonts w:ascii="Times New Roman" w:hAnsi="Times New Roman"/>
          <w:b/>
        </w:rPr>
      </w:pPr>
      <w:r>
        <w:rPr>
          <w:rFonts w:ascii="Times New Roman" w:hint="eastAsia"/>
          <w:b/>
        </w:rPr>
        <w:t>目的要求</w:t>
      </w:r>
    </w:p>
    <w:p w:rsidR="003717A0" w:rsidRDefault="003717A0">
      <w:pPr>
        <w:adjustRightInd w:val="0"/>
        <w:snapToGrid w:val="0"/>
        <w:spacing w:line="360" w:lineRule="auto"/>
        <w:ind w:firstLineChars="300" w:firstLine="630"/>
        <w:rPr>
          <w:rFonts w:ascii="Times New Roman"/>
        </w:rPr>
      </w:pPr>
      <w:r>
        <w:rPr>
          <w:rFonts w:ascii="Times New Roman"/>
        </w:rPr>
        <w:t>1.</w:t>
      </w:r>
      <w:r>
        <w:rPr>
          <w:rFonts w:ascii="Times New Roman" w:hint="eastAsia"/>
        </w:rPr>
        <w:t>了解医学信息学概念、课程教学意义；</w:t>
      </w:r>
    </w:p>
    <w:p w:rsidR="003717A0" w:rsidRDefault="003717A0">
      <w:pPr>
        <w:adjustRightInd w:val="0"/>
        <w:snapToGrid w:val="0"/>
        <w:spacing w:line="360" w:lineRule="auto"/>
        <w:ind w:firstLineChars="300" w:firstLine="630"/>
        <w:rPr>
          <w:rFonts w:ascii="Times New Roman"/>
        </w:rPr>
      </w:pPr>
      <w:r>
        <w:rPr>
          <w:rFonts w:ascii="Times New Roman"/>
        </w:rPr>
        <w:t>2.</w:t>
      </w:r>
      <w:r>
        <w:rPr>
          <w:rFonts w:ascii="Times New Roman" w:hint="eastAsia"/>
        </w:rPr>
        <w:t>熟悉医学信息学研究的主要内容包括医学信息、医学信息技术、医学信息技术，及其各部分的涵义、知识点。</w:t>
      </w:r>
    </w:p>
    <w:p w:rsidR="003717A0" w:rsidRDefault="003717A0">
      <w:pPr>
        <w:adjustRightInd w:val="0"/>
        <w:snapToGrid w:val="0"/>
        <w:spacing w:line="360" w:lineRule="auto"/>
        <w:jc w:val="center"/>
        <w:rPr>
          <w:b/>
          <w:sz w:val="22"/>
        </w:rPr>
      </w:pPr>
      <w:r>
        <w:rPr>
          <w:rFonts w:hint="eastAsia"/>
          <w:b/>
          <w:sz w:val="22"/>
        </w:rPr>
        <w:t>第二章</w:t>
      </w:r>
      <w:r>
        <w:rPr>
          <w:b/>
          <w:sz w:val="22"/>
        </w:rPr>
        <w:t xml:space="preserve">  </w:t>
      </w:r>
      <w:r>
        <w:rPr>
          <w:rFonts w:hint="eastAsia"/>
          <w:b/>
          <w:sz w:val="22"/>
        </w:rPr>
        <w:t>医院管理信息系统</w:t>
      </w:r>
    </w:p>
    <w:p w:rsidR="003717A0" w:rsidRDefault="003717A0">
      <w:pPr>
        <w:adjustRightInd w:val="0"/>
        <w:snapToGrid w:val="0"/>
        <w:spacing w:line="360" w:lineRule="auto"/>
        <w:ind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firstLineChars="300" w:firstLine="630"/>
        <w:rPr>
          <w:rFonts w:ascii="Times New Roman"/>
        </w:rPr>
      </w:pPr>
      <w:r>
        <w:rPr>
          <w:rFonts w:ascii="Times New Roman"/>
        </w:rPr>
        <w:t>1.</w:t>
      </w:r>
      <w:r>
        <w:rPr>
          <w:rFonts w:ascii="Times New Roman" w:hint="eastAsia"/>
        </w:rPr>
        <w:t>医院管理信息系统功能；</w:t>
      </w:r>
    </w:p>
    <w:p w:rsidR="003717A0" w:rsidRDefault="003717A0">
      <w:pPr>
        <w:adjustRightInd w:val="0"/>
        <w:snapToGrid w:val="0"/>
        <w:spacing w:line="360" w:lineRule="auto"/>
        <w:ind w:firstLineChars="300" w:firstLine="630"/>
        <w:rPr>
          <w:rFonts w:ascii="Times New Roman"/>
        </w:rPr>
      </w:pPr>
      <w:r>
        <w:rPr>
          <w:rFonts w:ascii="Times New Roman"/>
        </w:rPr>
        <w:t>2.</w:t>
      </w:r>
      <w:r>
        <w:rPr>
          <w:rFonts w:ascii="Times New Roman" w:hint="eastAsia"/>
        </w:rPr>
        <w:t>医院管理信息系统建设；</w:t>
      </w:r>
    </w:p>
    <w:p w:rsidR="003717A0" w:rsidRDefault="003717A0">
      <w:pPr>
        <w:adjustRightInd w:val="0"/>
        <w:snapToGrid w:val="0"/>
        <w:spacing w:line="360" w:lineRule="auto"/>
        <w:ind w:firstLineChars="300" w:firstLine="630"/>
        <w:rPr>
          <w:rFonts w:ascii="Times New Roman"/>
        </w:rPr>
      </w:pPr>
      <w:r>
        <w:rPr>
          <w:rFonts w:ascii="Times New Roman"/>
        </w:rPr>
        <w:t>3.</w:t>
      </w:r>
      <w:r>
        <w:rPr>
          <w:rFonts w:ascii="Times New Roman" w:hint="eastAsia"/>
        </w:rPr>
        <w:t>医院管理信息系统功能规范；</w:t>
      </w:r>
    </w:p>
    <w:p w:rsidR="003717A0" w:rsidRDefault="003717A0">
      <w:pPr>
        <w:adjustRightInd w:val="0"/>
        <w:snapToGrid w:val="0"/>
        <w:spacing w:line="360" w:lineRule="auto"/>
        <w:ind w:firstLineChars="300" w:firstLine="630"/>
        <w:rPr>
          <w:rFonts w:ascii="Times New Roman"/>
        </w:rPr>
      </w:pPr>
      <w:r>
        <w:rPr>
          <w:rFonts w:ascii="Times New Roman"/>
        </w:rPr>
        <w:t>4.</w:t>
      </w:r>
      <w:r>
        <w:rPr>
          <w:rFonts w:ascii="Times New Roman" w:hint="eastAsia"/>
        </w:rPr>
        <w:t>医院管理信息系统的内容。</w:t>
      </w:r>
    </w:p>
    <w:p w:rsidR="003717A0" w:rsidRDefault="003717A0">
      <w:pPr>
        <w:adjustRightInd w:val="0"/>
        <w:snapToGrid w:val="0"/>
        <w:spacing w:line="360" w:lineRule="auto"/>
        <w:ind w:firstLineChars="200" w:firstLine="422"/>
        <w:rPr>
          <w:rFonts w:ascii="Times New Roman" w:hAnsi="Times New Roman"/>
          <w:b/>
        </w:rPr>
      </w:pPr>
      <w:r>
        <w:rPr>
          <w:rFonts w:ascii="Times New Roman" w:hint="eastAsia"/>
          <w:b/>
        </w:rPr>
        <w:t>目的要求</w:t>
      </w:r>
    </w:p>
    <w:p w:rsidR="003717A0" w:rsidRDefault="003717A0">
      <w:pPr>
        <w:adjustRightInd w:val="0"/>
        <w:snapToGrid w:val="0"/>
        <w:spacing w:line="360" w:lineRule="auto"/>
        <w:ind w:firstLineChars="300" w:firstLine="630"/>
        <w:rPr>
          <w:rFonts w:ascii="Times New Roman"/>
        </w:rPr>
      </w:pPr>
      <w:r>
        <w:rPr>
          <w:rFonts w:ascii="Times New Roman"/>
        </w:rPr>
        <w:t>1.</w:t>
      </w:r>
      <w:r>
        <w:rPr>
          <w:rFonts w:ascii="Times New Roman" w:hint="eastAsia"/>
        </w:rPr>
        <w:t>了解医院信息系统的概念；</w:t>
      </w:r>
    </w:p>
    <w:p w:rsidR="003717A0" w:rsidRDefault="003717A0">
      <w:pPr>
        <w:adjustRightInd w:val="0"/>
        <w:snapToGrid w:val="0"/>
        <w:spacing w:line="360" w:lineRule="auto"/>
        <w:ind w:firstLineChars="300" w:firstLine="630"/>
        <w:rPr>
          <w:rFonts w:ascii="Times New Roman"/>
        </w:rPr>
      </w:pPr>
      <w:r>
        <w:rPr>
          <w:rFonts w:ascii="Times New Roman"/>
        </w:rPr>
        <w:t>2.</w:t>
      </w:r>
      <w:r>
        <w:rPr>
          <w:rFonts w:ascii="Times New Roman" w:hint="eastAsia"/>
        </w:rPr>
        <w:t>了解医院信息的种类；</w:t>
      </w:r>
    </w:p>
    <w:p w:rsidR="003717A0" w:rsidRDefault="003717A0">
      <w:pPr>
        <w:adjustRightInd w:val="0"/>
        <w:snapToGrid w:val="0"/>
        <w:spacing w:line="360" w:lineRule="auto"/>
        <w:ind w:firstLineChars="300" w:firstLine="630"/>
        <w:rPr>
          <w:rFonts w:ascii="Times New Roman"/>
        </w:rPr>
      </w:pPr>
      <w:r>
        <w:rPr>
          <w:rFonts w:ascii="Times New Roman"/>
        </w:rPr>
        <w:t>3.</w:t>
      </w:r>
      <w:r>
        <w:rPr>
          <w:rFonts w:ascii="Times New Roman" w:hint="eastAsia"/>
        </w:rPr>
        <w:t>了解国内外医院管理信息系统的发展；</w:t>
      </w:r>
    </w:p>
    <w:p w:rsidR="003717A0" w:rsidRDefault="003717A0">
      <w:pPr>
        <w:adjustRightInd w:val="0"/>
        <w:snapToGrid w:val="0"/>
        <w:spacing w:line="360" w:lineRule="auto"/>
        <w:ind w:firstLineChars="300" w:firstLine="630"/>
        <w:rPr>
          <w:rFonts w:ascii="Times New Roman"/>
        </w:rPr>
      </w:pPr>
      <w:r>
        <w:rPr>
          <w:rFonts w:ascii="Times New Roman"/>
        </w:rPr>
        <w:t>4.</w:t>
      </w:r>
      <w:r>
        <w:rPr>
          <w:rFonts w:ascii="Times New Roman" w:hint="eastAsia"/>
        </w:rPr>
        <w:t>熟悉医院管理信息系统的建设、功能、功能规范；</w:t>
      </w:r>
    </w:p>
    <w:p w:rsidR="003717A0" w:rsidRDefault="003717A0">
      <w:pPr>
        <w:adjustRightInd w:val="0"/>
        <w:snapToGrid w:val="0"/>
        <w:spacing w:line="360" w:lineRule="auto"/>
        <w:ind w:firstLineChars="300" w:firstLine="630"/>
        <w:rPr>
          <w:rFonts w:ascii="Times New Roman"/>
        </w:rPr>
      </w:pPr>
      <w:r>
        <w:rPr>
          <w:rFonts w:ascii="Times New Roman"/>
        </w:rPr>
        <w:t>5.</w:t>
      </w:r>
      <w:r>
        <w:rPr>
          <w:rFonts w:ascii="Times New Roman" w:hint="eastAsia"/>
        </w:rPr>
        <w:t>熟悉医院管理信息系统的内容。</w:t>
      </w:r>
    </w:p>
    <w:p w:rsidR="003717A0" w:rsidRDefault="003717A0">
      <w:pPr>
        <w:adjustRightInd w:val="0"/>
        <w:snapToGrid w:val="0"/>
        <w:spacing w:line="360" w:lineRule="auto"/>
        <w:jc w:val="center"/>
        <w:rPr>
          <w:b/>
          <w:sz w:val="22"/>
        </w:rPr>
      </w:pPr>
      <w:r>
        <w:rPr>
          <w:rFonts w:hint="eastAsia"/>
          <w:b/>
          <w:sz w:val="22"/>
        </w:rPr>
        <w:t>第三章</w:t>
      </w:r>
      <w:r>
        <w:rPr>
          <w:b/>
          <w:sz w:val="22"/>
        </w:rPr>
        <w:t xml:space="preserve">  </w:t>
      </w:r>
      <w:r>
        <w:rPr>
          <w:rFonts w:hint="eastAsia"/>
          <w:b/>
          <w:sz w:val="22"/>
        </w:rPr>
        <w:t>临床信息系统</w:t>
      </w:r>
    </w:p>
    <w:p w:rsidR="003717A0" w:rsidRDefault="003717A0">
      <w:pPr>
        <w:adjustRightInd w:val="0"/>
        <w:snapToGrid w:val="0"/>
        <w:spacing w:line="360" w:lineRule="auto"/>
        <w:ind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firstLineChars="300" w:firstLine="630"/>
        <w:rPr>
          <w:rFonts w:ascii="Times New Roman"/>
        </w:rPr>
      </w:pPr>
      <w:r>
        <w:rPr>
          <w:rFonts w:ascii="Times New Roman"/>
        </w:rPr>
        <w:t>1.</w:t>
      </w:r>
      <w:r>
        <w:rPr>
          <w:rFonts w:ascii="Times New Roman" w:hint="eastAsia"/>
        </w:rPr>
        <w:t>电子病历；</w:t>
      </w:r>
    </w:p>
    <w:p w:rsidR="003717A0" w:rsidRDefault="003717A0">
      <w:pPr>
        <w:adjustRightInd w:val="0"/>
        <w:snapToGrid w:val="0"/>
        <w:spacing w:line="360" w:lineRule="auto"/>
        <w:ind w:firstLineChars="300" w:firstLine="630"/>
        <w:rPr>
          <w:rFonts w:ascii="Times New Roman"/>
        </w:rPr>
      </w:pPr>
      <w:r>
        <w:rPr>
          <w:rFonts w:ascii="Times New Roman"/>
        </w:rPr>
        <w:t>2.</w:t>
      </w:r>
      <w:r>
        <w:rPr>
          <w:rFonts w:ascii="Times New Roman" w:hint="eastAsia"/>
        </w:rPr>
        <w:t>门急诊信息系统；</w:t>
      </w:r>
    </w:p>
    <w:p w:rsidR="003717A0" w:rsidRDefault="003717A0">
      <w:pPr>
        <w:adjustRightInd w:val="0"/>
        <w:snapToGrid w:val="0"/>
        <w:spacing w:line="360" w:lineRule="auto"/>
        <w:ind w:firstLineChars="300" w:firstLine="630"/>
        <w:rPr>
          <w:rFonts w:ascii="Times New Roman"/>
        </w:rPr>
      </w:pPr>
      <w:r>
        <w:rPr>
          <w:rFonts w:ascii="Times New Roman"/>
        </w:rPr>
        <w:t>3.</w:t>
      </w:r>
      <w:r>
        <w:rPr>
          <w:rFonts w:ascii="Times New Roman" w:hint="eastAsia"/>
        </w:rPr>
        <w:t>护理信息系统；</w:t>
      </w:r>
    </w:p>
    <w:p w:rsidR="003717A0" w:rsidRDefault="003717A0">
      <w:pPr>
        <w:adjustRightInd w:val="0"/>
        <w:snapToGrid w:val="0"/>
        <w:spacing w:line="360" w:lineRule="auto"/>
        <w:ind w:firstLineChars="300" w:firstLine="630"/>
        <w:rPr>
          <w:rFonts w:ascii="Times New Roman"/>
        </w:rPr>
      </w:pPr>
      <w:r>
        <w:rPr>
          <w:rFonts w:ascii="Times New Roman"/>
        </w:rPr>
        <w:t>4.</w:t>
      </w:r>
      <w:r>
        <w:rPr>
          <w:rFonts w:ascii="Times New Roman" w:hint="eastAsia"/>
        </w:rPr>
        <w:t>检验信息系统；</w:t>
      </w:r>
    </w:p>
    <w:p w:rsidR="003717A0" w:rsidRDefault="003717A0">
      <w:pPr>
        <w:adjustRightInd w:val="0"/>
        <w:snapToGrid w:val="0"/>
        <w:spacing w:line="360" w:lineRule="auto"/>
        <w:ind w:firstLineChars="300" w:firstLine="630"/>
        <w:rPr>
          <w:rFonts w:ascii="Times New Roman"/>
        </w:rPr>
      </w:pPr>
      <w:r>
        <w:rPr>
          <w:rFonts w:ascii="Times New Roman"/>
        </w:rPr>
        <w:t>5.</w:t>
      </w:r>
      <w:r>
        <w:rPr>
          <w:rFonts w:ascii="Times New Roman" w:hint="eastAsia"/>
        </w:rPr>
        <w:t>社区医疗信息系统。</w:t>
      </w:r>
    </w:p>
    <w:p w:rsidR="003717A0" w:rsidRDefault="003717A0">
      <w:pPr>
        <w:adjustRightInd w:val="0"/>
        <w:snapToGrid w:val="0"/>
        <w:spacing w:line="360" w:lineRule="auto"/>
        <w:ind w:firstLineChars="200" w:firstLine="422"/>
        <w:rPr>
          <w:rFonts w:ascii="Times New Roman" w:hAnsi="Times New Roman"/>
          <w:b/>
        </w:rPr>
      </w:pPr>
      <w:r>
        <w:rPr>
          <w:rFonts w:ascii="Times New Roman" w:hAnsi="Times New Roman" w:hint="eastAsia"/>
          <w:b/>
        </w:rPr>
        <w:t>目的要求</w:t>
      </w:r>
    </w:p>
    <w:p w:rsidR="003717A0" w:rsidRDefault="003717A0">
      <w:pPr>
        <w:adjustRightInd w:val="0"/>
        <w:snapToGrid w:val="0"/>
        <w:spacing w:line="360" w:lineRule="auto"/>
        <w:ind w:firstLineChars="300" w:firstLine="630"/>
        <w:rPr>
          <w:rFonts w:ascii="Times New Roman"/>
        </w:rPr>
      </w:pPr>
      <w:r>
        <w:rPr>
          <w:rFonts w:ascii="Times New Roman"/>
        </w:rPr>
        <w:t>1.</w:t>
      </w:r>
      <w:r>
        <w:rPr>
          <w:rFonts w:ascii="Times New Roman" w:hint="eastAsia"/>
        </w:rPr>
        <w:t>了解各种类临床信息系统的主要构成；</w:t>
      </w:r>
    </w:p>
    <w:p w:rsidR="003717A0" w:rsidRDefault="003717A0">
      <w:pPr>
        <w:adjustRightInd w:val="0"/>
        <w:snapToGrid w:val="0"/>
        <w:spacing w:line="360" w:lineRule="auto"/>
        <w:ind w:firstLineChars="300" w:firstLine="630"/>
        <w:rPr>
          <w:rFonts w:ascii="Times New Roman"/>
        </w:rPr>
      </w:pPr>
      <w:r>
        <w:rPr>
          <w:rFonts w:ascii="Times New Roman"/>
        </w:rPr>
        <w:t>2.</w:t>
      </w:r>
      <w:r>
        <w:rPr>
          <w:rFonts w:ascii="Times New Roman" w:hint="eastAsia"/>
        </w:rPr>
        <w:t>熟悉各种类信息系统的演化；</w:t>
      </w:r>
    </w:p>
    <w:p w:rsidR="003717A0" w:rsidRDefault="003717A0">
      <w:pPr>
        <w:adjustRightInd w:val="0"/>
        <w:snapToGrid w:val="0"/>
        <w:spacing w:line="360" w:lineRule="auto"/>
        <w:ind w:firstLineChars="300" w:firstLine="630"/>
        <w:rPr>
          <w:rFonts w:ascii="Times New Roman"/>
        </w:rPr>
      </w:pPr>
      <w:r>
        <w:rPr>
          <w:rFonts w:ascii="Times New Roman"/>
        </w:rPr>
        <w:t>3.</w:t>
      </w:r>
      <w:r>
        <w:rPr>
          <w:rFonts w:ascii="Times New Roman" w:hint="eastAsia"/>
        </w:rPr>
        <w:t>熟悉电子病历的内容与实现；</w:t>
      </w:r>
    </w:p>
    <w:p w:rsidR="003717A0" w:rsidRDefault="003717A0">
      <w:pPr>
        <w:adjustRightInd w:val="0"/>
        <w:snapToGrid w:val="0"/>
        <w:spacing w:line="360" w:lineRule="auto"/>
        <w:ind w:firstLineChars="300" w:firstLine="630"/>
        <w:rPr>
          <w:rFonts w:ascii="Times New Roman"/>
        </w:rPr>
      </w:pPr>
      <w:r>
        <w:rPr>
          <w:rFonts w:ascii="Times New Roman"/>
        </w:rPr>
        <w:t>4.</w:t>
      </w:r>
      <w:r>
        <w:rPr>
          <w:rFonts w:ascii="Times New Roman" w:hint="eastAsia"/>
        </w:rPr>
        <w:t>展望各个种类信息系统的发展方向。</w:t>
      </w: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lastRenderedPageBreak/>
        <w:t>第四章</w:t>
      </w:r>
      <w:r>
        <w:rPr>
          <w:b/>
          <w:sz w:val="22"/>
        </w:rPr>
        <w:t xml:space="preserve">  </w:t>
      </w:r>
      <w:r>
        <w:rPr>
          <w:rFonts w:hint="eastAsia"/>
          <w:b/>
          <w:sz w:val="22"/>
        </w:rPr>
        <w:t>医学图像信息系统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 DICOM</w:t>
      </w:r>
      <w:r>
        <w:rPr>
          <w:rFonts w:ascii="Times New Roman" w:hint="eastAsia"/>
        </w:rPr>
        <w:t>图像的数据标准和通信过程；</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 DICOM</w:t>
      </w:r>
      <w:r>
        <w:rPr>
          <w:rFonts w:ascii="Times New Roman" w:hint="eastAsia"/>
        </w:rPr>
        <w:t>图像的显示与转换；</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 PACS</w:t>
      </w:r>
      <w:r>
        <w:rPr>
          <w:rFonts w:ascii="Times New Roman" w:hint="eastAsia"/>
        </w:rPr>
        <w:t>系统的主要内容和分类；</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 PACS</w:t>
      </w:r>
      <w:r>
        <w:rPr>
          <w:rFonts w:ascii="Times New Roman" w:hint="eastAsia"/>
        </w:rPr>
        <w:t>系统的主要功能；</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5. RIS</w:t>
      </w:r>
      <w:r>
        <w:rPr>
          <w:rFonts w:ascii="Times New Roman" w:hint="eastAsia"/>
        </w:rPr>
        <w:t>系统的模块和功能。</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掌握</w:t>
      </w:r>
      <w:r>
        <w:rPr>
          <w:rFonts w:ascii="Times New Roman"/>
        </w:rPr>
        <w:t>DICOM</w:t>
      </w:r>
      <w:r>
        <w:rPr>
          <w:rFonts w:ascii="Times New Roman" w:hint="eastAsia"/>
        </w:rPr>
        <w:t>图像的数据标准和通信过程；</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掌握</w:t>
      </w:r>
      <w:r>
        <w:rPr>
          <w:rFonts w:ascii="Times New Roman"/>
        </w:rPr>
        <w:t>PACS</w:t>
      </w:r>
      <w:r>
        <w:rPr>
          <w:rFonts w:ascii="Times New Roman" w:hint="eastAsia"/>
        </w:rPr>
        <w:t>系统的主要内容和分类；</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熟悉</w:t>
      </w:r>
      <w:r>
        <w:rPr>
          <w:rFonts w:ascii="Times New Roman"/>
        </w:rPr>
        <w:t>PACS</w:t>
      </w:r>
      <w:r>
        <w:rPr>
          <w:rFonts w:ascii="Times New Roman" w:hint="eastAsia"/>
        </w:rPr>
        <w:t>系统的主要功能；</w:t>
      </w:r>
    </w:p>
    <w:p w:rsidR="003717A0" w:rsidRDefault="003717A0">
      <w:pPr>
        <w:tabs>
          <w:tab w:val="left" w:pos="1260"/>
        </w:tabs>
        <w:adjustRightInd w:val="0"/>
        <w:snapToGrid w:val="0"/>
        <w:spacing w:line="360" w:lineRule="auto"/>
        <w:ind w:left="720" w:rightChars="2" w:right="4"/>
        <w:rPr>
          <w:b/>
          <w:sz w:val="22"/>
        </w:rPr>
      </w:pPr>
      <w:r>
        <w:rPr>
          <w:rFonts w:ascii="Times New Roman"/>
        </w:rPr>
        <w:t>4.</w:t>
      </w:r>
      <w:r>
        <w:rPr>
          <w:rFonts w:ascii="Times New Roman" w:hint="eastAsia"/>
        </w:rPr>
        <w:t>了解</w:t>
      </w:r>
      <w:r>
        <w:rPr>
          <w:rFonts w:ascii="Times New Roman"/>
        </w:rPr>
        <w:t>RIS</w:t>
      </w:r>
      <w:r>
        <w:rPr>
          <w:rFonts w:ascii="Times New Roman" w:hint="eastAsia"/>
        </w:rPr>
        <w:t>系统的模块和功能。</w:t>
      </w:r>
    </w:p>
    <w:p w:rsidR="003717A0" w:rsidRDefault="003717A0">
      <w:pPr>
        <w:tabs>
          <w:tab w:val="left" w:pos="1260"/>
        </w:tabs>
        <w:adjustRightInd w:val="0"/>
        <w:snapToGrid w:val="0"/>
        <w:spacing w:line="360" w:lineRule="auto"/>
        <w:ind w:rightChars="2" w:right="4"/>
        <w:jc w:val="center"/>
        <w:rPr>
          <w:b/>
          <w:sz w:val="22"/>
        </w:rPr>
      </w:pPr>
      <w:r>
        <w:rPr>
          <w:rFonts w:hint="eastAsia"/>
          <w:b/>
          <w:sz w:val="22"/>
        </w:rPr>
        <w:t>第五章</w:t>
      </w:r>
      <w:r>
        <w:rPr>
          <w:b/>
          <w:sz w:val="22"/>
        </w:rPr>
        <w:t xml:space="preserve">  </w:t>
      </w:r>
      <w:r>
        <w:rPr>
          <w:rFonts w:hint="eastAsia"/>
          <w:b/>
          <w:sz w:val="22"/>
        </w:rPr>
        <w:t>公共卫生信息系统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1.SARS</w:t>
      </w:r>
      <w:r>
        <w:rPr>
          <w:rFonts w:ascii="Times New Roman" w:hint="eastAsia"/>
        </w:rPr>
        <w:t>事件表明我国对于突发公共卫生事件处理上存在的问题；</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与疾病监测相关的一些概念，如哨点监测；</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卫生监督系统的组成部分；</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w:t>
      </w:r>
      <w:r>
        <w:rPr>
          <w:rFonts w:ascii="Times New Roman" w:hint="eastAsia"/>
        </w:rPr>
        <w:t>电子健康档案的组成。</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了解公共卫生信息系统的概念和组成</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掌握疾病监测信息系统的概念及其相关概念</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掌握卫生信息监督信息系统及其相关概念</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w:t>
      </w:r>
      <w:r>
        <w:rPr>
          <w:rFonts w:ascii="Times New Roman" w:hint="eastAsia"/>
        </w:rPr>
        <w:t>了解电子健康档案的组成、建档流程以及建立电子健康档案的意义</w:t>
      </w:r>
    </w:p>
    <w:p w:rsidR="003717A0" w:rsidRDefault="003717A0" w:rsidP="005E20B5">
      <w:pPr>
        <w:adjustRightInd w:val="0"/>
        <w:snapToGrid w:val="0"/>
        <w:spacing w:beforeLines="50" w:line="360" w:lineRule="auto"/>
        <w:ind w:right="6"/>
        <w:jc w:val="center"/>
        <w:rPr>
          <w:b/>
          <w:sz w:val="22"/>
        </w:rPr>
      </w:pPr>
      <w:r>
        <w:rPr>
          <w:rFonts w:hint="eastAsia"/>
          <w:b/>
          <w:sz w:val="22"/>
        </w:rPr>
        <w:t>第六章</w:t>
      </w:r>
      <w:r>
        <w:rPr>
          <w:b/>
          <w:sz w:val="22"/>
        </w:rPr>
        <w:t xml:space="preserve">  </w:t>
      </w:r>
      <w:r>
        <w:rPr>
          <w:rFonts w:hint="eastAsia"/>
          <w:b/>
          <w:sz w:val="22"/>
        </w:rPr>
        <w:t>远程医学</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远程医学的基本概念；</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远程医学的作用与意义；</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远程医学系统的组成；</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w:t>
      </w:r>
      <w:r>
        <w:rPr>
          <w:rFonts w:ascii="Times New Roman" w:hint="eastAsia"/>
        </w:rPr>
        <w:t>医学信息数字化环境；</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5.</w:t>
      </w:r>
      <w:r>
        <w:rPr>
          <w:rFonts w:ascii="Times New Roman" w:hint="eastAsia"/>
        </w:rPr>
        <w:t>远程信息资源共享。</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了解各种类远程医学系统的主要构成；</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熟悉远程医学支撑环境；</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展望远程医学应用。</w:t>
      </w:r>
    </w:p>
    <w:p w:rsidR="003717A0" w:rsidRDefault="003717A0" w:rsidP="005E20B5">
      <w:pPr>
        <w:adjustRightInd w:val="0"/>
        <w:snapToGrid w:val="0"/>
        <w:spacing w:beforeLines="50" w:line="360" w:lineRule="auto"/>
        <w:ind w:right="6"/>
        <w:jc w:val="center"/>
        <w:rPr>
          <w:b/>
          <w:sz w:val="22"/>
        </w:rPr>
      </w:pPr>
      <w:r>
        <w:rPr>
          <w:rFonts w:hint="eastAsia"/>
          <w:b/>
          <w:sz w:val="22"/>
        </w:rPr>
        <w:lastRenderedPageBreak/>
        <w:t>第七章</w:t>
      </w:r>
      <w:r>
        <w:rPr>
          <w:b/>
          <w:sz w:val="22"/>
        </w:rPr>
        <w:t xml:space="preserve">  </w:t>
      </w:r>
      <w:r>
        <w:rPr>
          <w:rFonts w:hint="eastAsia"/>
          <w:b/>
          <w:sz w:val="22"/>
        </w:rPr>
        <w:t>网络信息检索（一）</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网络检索工具；</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网络检索方法；</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网络检索语言；</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w:t>
      </w:r>
      <w:r>
        <w:rPr>
          <w:rFonts w:ascii="Times New Roman" w:hint="eastAsia"/>
        </w:rPr>
        <w:t>网络检索步骤。</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了解医学文献的现状和特点；</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了解信息检索的定义、分类、语言、；</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了解信息检索语言类型、检索工具、方法、途径、技术；</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w:t>
      </w:r>
      <w:r>
        <w:rPr>
          <w:rFonts w:ascii="Times New Roman" w:hint="eastAsia"/>
        </w:rPr>
        <w:t>熟悉信息检索步骤；</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5.</w:t>
      </w:r>
      <w:r>
        <w:rPr>
          <w:rFonts w:ascii="Times New Roman" w:hint="eastAsia"/>
        </w:rPr>
        <w:t>了解提高检索效果的措施</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6.</w:t>
      </w:r>
      <w:r>
        <w:rPr>
          <w:rFonts w:ascii="Times New Roman" w:hint="eastAsia"/>
        </w:rPr>
        <w:t>了解搜索引擎的原理。</w:t>
      </w:r>
    </w:p>
    <w:p w:rsidR="003717A0" w:rsidRDefault="003717A0" w:rsidP="005E20B5">
      <w:pPr>
        <w:adjustRightInd w:val="0"/>
        <w:snapToGrid w:val="0"/>
        <w:spacing w:beforeLines="50" w:line="360" w:lineRule="auto"/>
        <w:ind w:right="6"/>
        <w:jc w:val="center"/>
        <w:rPr>
          <w:b/>
          <w:sz w:val="22"/>
        </w:rPr>
      </w:pPr>
      <w:r>
        <w:rPr>
          <w:rFonts w:hint="eastAsia"/>
          <w:b/>
          <w:sz w:val="22"/>
        </w:rPr>
        <w:t>第八章</w:t>
      </w:r>
      <w:r>
        <w:rPr>
          <w:b/>
          <w:sz w:val="22"/>
        </w:rPr>
        <w:t xml:space="preserve">  </w:t>
      </w:r>
      <w:r>
        <w:rPr>
          <w:rFonts w:hint="eastAsia"/>
          <w:b/>
          <w:sz w:val="22"/>
        </w:rPr>
        <w:t>网络信息检索（二）</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国内外几个常见数据库的使用规则。</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各数据库的检索技巧。</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1.</w:t>
      </w:r>
      <w:r>
        <w:rPr>
          <w:rFonts w:ascii="Times New Roman" w:hint="eastAsia"/>
        </w:rPr>
        <w:t>了解中国期刊全文数据库；</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2.</w:t>
      </w:r>
      <w:r>
        <w:rPr>
          <w:rFonts w:ascii="Times New Roman" w:hint="eastAsia"/>
        </w:rPr>
        <w:t>了解维普科技期刊全文数据库；</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3.</w:t>
      </w:r>
      <w:r>
        <w:rPr>
          <w:rFonts w:ascii="Times New Roman" w:hint="eastAsia"/>
        </w:rPr>
        <w:t>了解万方期刊数据库；</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4.</w:t>
      </w:r>
      <w:r>
        <w:rPr>
          <w:rFonts w:ascii="Times New Roman" w:hint="eastAsia"/>
        </w:rPr>
        <w:t>了解</w:t>
      </w:r>
      <w:r>
        <w:rPr>
          <w:rFonts w:ascii="Times New Roman"/>
        </w:rPr>
        <w:t>Elsevier</w:t>
      </w:r>
      <w:r>
        <w:rPr>
          <w:rFonts w:ascii="Times New Roman" w:hint="eastAsia"/>
        </w:rPr>
        <w:t>；</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5.</w:t>
      </w:r>
      <w:r>
        <w:rPr>
          <w:rFonts w:ascii="Times New Roman" w:hint="eastAsia"/>
        </w:rPr>
        <w:t>了解</w:t>
      </w:r>
      <w:r>
        <w:rPr>
          <w:rFonts w:ascii="Times New Roman"/>
        </w:rPr>
        <w:t>Spring Link</w:t>
      </w:r>
    </w:p>
    <w:p w:rsidR="003717A0" w:rsidRDefault="003717A0">
      <w:pPr>
        <w:tabs>
          <w:tab w:val="left" w:pos="1260"/>
        </w:tabs>
        <w:adjustRightInd w:val="0"/>
        <w:snapToGrid w:val="0"/>
        <w:spacing w:line="360" w:lineRule="auto"/>
        <w:ind w:left="720" w:rightChars="2" w:right="4"/>
        <w:rPr>
          <w:rFonts w:ascii="Times New Roman"/>
        </w:rPr>
      </w:pPr>
      <w:r>
        <w:rPr>
          <w:rFonts w:ascii="Times New Roman"/>
        </w:rPr>
        <w:t>6.</w:t>
      </w:r>
      <w:r>
        <w:rPr>
          <w:rFonts w:ascii="Times New Roman" w:hint="eastAsia"/>
        </w:rPr>
        <w:t>了解</w:t>
      </w:r>
      <w:r>
        <w:rPr>
          <w:rFonts w:ascii="Times New Roman"/>
        </w:rPr>
        <w:t>PubMed</w:t>
      </w:r>
      <w:r>
        <w:rPr>
          <w:rFonts w:ascii="Times New Roman" w:hint="eastAsia"/>
        </w:rPr>
        <w:t>。</w:t>
      </w:r>
    </w:p>
    <w:p w:rsidR="003717A0" w:rsidRDefault="003717A0">
      <w:pPr>
        <w:tabs>
          <w:tab w:val="left" w:pos="1500"/>
        </w:tabs>
        <w:adjustRightInd w:val="0"/>
        <w:snapToGrid w:val="0"/>
        <w:spacing w:line="360" w:lineRule="auto"/>
        <w:ind w:right="4"/>
      </w:pPr>
    </w:p>
    <w:p w:rsidR="003717A0" w:rsidRDefault="003717A0">
      <w:pPr>
        <w:tabs>
          <w:tab w:val="left" w:pos="1500"/>
        </w:tabs>
        <w:adjustRightInd w:val="0"/>
        <w:snapToGrid w:val="0"/>
        <w:spacing w:line="360" w:lineRule="auto"/>
        <w:ind w:right="4"/>
      </w:pPr>
    </w:p>
    <w:p w:rsidR="003717A0" w:rsidRDefault="003717A0">
      <w:pPr>
        <w:tabs>
          <w:tab w:val="left" w:pos="1500"/>
        </w:tabs>
        <w:adjustRightInd w:val="0"/>
        <w:snapToGrid w:val="0"/>
        <w:spacing w:line="360" w:lineRule="auto"/>
        <w:ind w:right="4"/>
      </w:pPr>
    </w:p>
    <w:p w:rsidR="003717A0" w:rsidRDefault="003717A0">
      <w:pPr>
        <w:tabs>
          <w:tab w:val="left" w:pos="1500"/>
        </w:tabs>
        <w:adjustRightInd w:val="0"/>
        <w:snapToGrid w:val="0"/>
        <w:spacing w:line="360" w:lineRule="auto"/>
        <w:ind w:right="4"/>
      </w:pPr>
    </w:p>
    <w:p w:rsidR="003717A0" w:rsidRDefault="003717A0">
      <w:pPr>
        <w:tabs>
          <w:tab w:val="left" w:pos="1500"/>
        </w:tabs>
        <w:adjustRightInd w:val="0"/>
        <w:snapToGrid w:val="0"/>
        <w:spacing w:line="360" w:lineRule="auto"/>
        <w:ind w:right="4"/>
      </w:pPr>
    </w:p>
    <w:p w:rsidR="003717A0" w:rsidRDefault="003717A0">
      <w:pPr>
        <w:tabs>
          <w:tab w:val="left" w:pos="1500"/>
        </w:tabs>
        <w:adjustRightInd w:val="0"/>
        <w:snapToGrid w:val="0"/>
        <w:spacing w:line="360" w:lineRule="auto"/>
        <w:ind w:right="4"/>
      </w:pPr>
    </w:p>
    <w:p w:rsidR="003717A0" w:rsidRDefault="003717A0">
      <w:pPr>
        <w:tabs>
          <w:tab w:val="left" w:pos="1500"/>
        </w:tabs>
        <w:adjustRightInd w:val="0"/>
        <w:snapToGrid w:val="0"/>
        <w:spacing w:line="360" w:lineRule="auto"/>
        <w:ind w:right="4"/>
      </w:pPr>
    </w:p>
    <w:p w:rsidR="003717A0" w:rsidRDefault="003717A0">
      <w:pPr>
        <w:adjustRightInd w:val="0"/>
        <w:snapToGrid w:val="0"/>
        <w:spacing w:line="360" w:lineRule="auto"/>
        <w:jc w:val="center"/>
        <w:rPr>
          <w:b/>
          <w:bCs/>
          <w:sz w:val="28"/>
          <w:szCs w:val="28"/>
        </w:rPr>
      </w:pPr>
      <w:r>
        <w:rPr>
          <w:b/>
          <w:bCs/>
          <w:sz w:val="28"/>
          <w:szCs w:val="28"/>
        </w:rPr>
        <w:br w:type="page"/>
      </w:r>
      <w:r>
        <w:rPr>
          <w:rFonts w:hint="eastAsia"/>
          <w:b/>
          <w:bCs/>
          <w:sz w:val="28"/>
          <w:szCs w:val="28"/>
        </w:rPr>
        <w:lastRenderedPageBreak/>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119"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850"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adjustRightInd w:val="0"/>
              <w:snapToGrid w:val="0"/>
              <w:jc w:val="center"/>
              <w:rPr>
                <w:sz w:val="24"/>
              </w:rPr>
            </w:pPr>
            <w:bookmarkStart w:id="33" w:name="_Hlk375848908"/>
            <w:r>
              <w:rPr>
                <w:sz w:val="24"/>
              </w:rPr>
              <w:t>1</w:t>
            </w:r>
          </w:p>
        </w:tc>
        <w:tc>
          <w:tcPr>
            <w:tcW w:w="3119" w:type="dxa"/>
          </w:tcPr>
          <w:p w:rsidR="003717A0" w:rsidRDefault="003717A0">
            <w:pPr>
              <w:adjustRightInd w:val="0"/>
              <w:snapToGrid w:val="0"/>
              <w:ind w:firstLineChars="53" w:firstLine="127"/>
              <w:rPr>
                <w:sz w:val="24"/>
              </w:rPr>
            </w:pPr>
            <w:r>
              <w:rPr>
                <w:rFonts w:hint="eastAsia"/>
                <w:sz w:val="24"/>
              </w:rPr>
              <w:t>概论、信息学基础</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2</w:t>
            </w:r>
          </w:p>
        </w:tc>
        <w:tc>
          <w:tcPr>
            <w:tcW w:w="3119" w:type="dxa"/>
          </w:tcPr>
          <w:p w:rsidR="003717A0" w:rsidRDefault="003717A0">
            <w:pPr>
              <w:adjustRightInd w:val="0"/>
              <w:snapToGrid w:val="0"/>
              <w:ind w:firstLineChars="53" w:firstLine="127"/>
              <w:rPr>
                <w:sz w:val="24"/>
              </w:rPr>
            </w:pPr>
            <w:r>
              <w:rPr>
                <w:rFonts w:hint="eastAsia"/>
                <w:sz w:val="24"/>
              </w:rPr>
              <w:t>医院管理信息系统</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3</w:t>
            </w:r>
          </w:p>
        </w:tc>
        <w:tc>
          <w:tcPr>
            <w:tcW w:w="3119" w:type="dxa"/>
          </w:tcPr>
          <w:p w:rsidR="003717A0" w:rsidRDefault="003717A0">
            <w:pPr>
              <w:adjustRightInd w:val="0"/>
              <w:snapToGrid w:val="0"/>
              <w:ind w:firstLineChars="53" w:firstLine="127"/>
              <w:rPr>
                <w:sz w:val="24"/>
              </w:rPr>
            </w:pPr>
            <w:r>
              <w:rPr>
                <w:rFonts w:hint="eastAsia"/>
                <w:sz w:val="24"/>
              </w:rPr>
              <w:t>临床信息系统</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ind w:firstLineChars="2" w:firstLine="5"/>
              <w:jc w:val="left"/>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4</w:t>
            </w:r>
          </w:p>
        </w:tc>
        <w:tc>
          <w:tcPr>
            <w:tcW w:w="3119" w:type="dxa"/>
          </w:tcPr>
          <w:p w:rsidR="003717A0" w:rsidRDefault="003717A0">
            <w:pPr>
              <w:adjustRightInd w:val="0"/>
              <w:snapToGrid w:val="0"/>
              <w:ind w:firstLineChars="53" w:firstLine="127"/>
              <w:rPr>
                <w:sz w:val="24"/>
              </w:rPr>
            </w:pPr>
            <w:r>
              <w:rPr>
                <w:rFonts w:hint="eastAsia"/>
                <w:sz w:val="24"/>
              </w:rPr>
              <w:t>医学图像信息系统</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ind w:firstLineChars="2" w:firstLine="5"/>
              <w:jc w:val="left"/>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5</w:t>
            </w:r>
          </w:p>
        </w:tc>
        <w:tc>
          <w:tcPr>
            <w:tcW w:w="3119" w:type="dxa"/>
          </w:tcPr>
          <w:p w:rsidR="003717A0" w:rsidRDefault="003717A0">
            <w:pPr>
              <w:adjustRightInd w:val="0"/>
              <w:snapToGrid w:val="0"/>
              <w:ind w:firstLineChars="53" w:firstLine="127"/>
              <w:rPr>
                <w:sz w:val="24"/>
              </w:rPr>
            </w:pPr>
            <w:r>
              <w:rPr>
                <w:rFonts w:hint="eastAsia"/>
                <w:sz w:val="24"/>
              </w:rPr>
              <w:t>公共卫生信息系统</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ind w:firstLineChars="2" w:firstLine="5"/>
              <w:jc w:val="left"/>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6</w:t>
            </w:r>
          </w:p>
        </w:tc>
        <w:tc>
          <w:tcPr>
            <w:tcW w:w="3119" w:type="dxa"/>
          </w:tcPr>
          <w:p w:rsidR="003717A0" w:rsidRDefault="003717A0">
            <w:pPr>
              <w:adjustRightInd w:val="0"/>
              <w:snapToGrid w:val="0"/>
              <w:ind w:firstLineChars="53" w:firstLine="127"/>
              <w:rPr>
                <w:sz w:val="24"/>
              </w:rPr>
            </w:pPr>
            <w:r>
              <w:rPr>
                <w:rFonts w:hint="eastAsia"/>
                <w:sz w:val="24"/>
              </w:rPr>
              <w:t>远程医学</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ind w:firstLineChars="2" w:firstLine="5"/>
              <w:jc w:val="left"/>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7</w:t>
            </w:r>
          </w:p>
        </w:tc>
        <w:tc>
          <w:tcPr>
            <w:tcW w:w="3119" w:type="dxa"/>
          </w:tcPr>
          <w:p w:rsidR="003717A0" w:rsidRDefault="003717A0">
            <w:pPr>
              <w:adjustRightInd w:val="0"/>
              <w:snapToGrid w:val="0"/>
              <w:ind w:firstLineChars="53" w:firstLine="127"/>
              <w:rPr>
                <w:sz w:val="24"/>
              </w:rPr>
            </w:pPr>
            <w:r>
              <w:rPr>
                <w:rFonts w:hint="eastAsia"/>
                <w:sz w:val="24"/>
              </w:rPr>
              <w:t>网络信息检索（一）</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jc w:val="left"/>
              <w:rPr>
                <w:sz w:val="24"/>
              </w:rPr>
            </w:pPr>
          </w:p>
        </w:tc>
        <w:tc>
          <w:tcPr>
            <w:tcW w:w="851" w:type="dxa"/>
          </w:tcPr>
          <w:p w:rsidR="003717A0" w:rsidRDefault="003717A0">
            <w:pPr>
              <w:adjustRightInd w:val="0"/>
              <w:snapToGrid w:val="0"/>
              <w:rPr>
                <w:sz w:val="24"/>
              </w:rPr>
            </w:pPr>
          </w:p>
        </w:tc>
      </w:tr>
      <w:tr w:rsidR="003717A0">
        <w:tc>
          <w:tcPr>
            <w:tcW w:w="817" w:type="dxa"/>
          </w:tcPr>
          <w:p w:rsidR="003717A0" w:rsidRDefault="003717A0">
            <w:pPr>
              <w:adjustRightInd w:val="0"/>
              <w:snapToGrid w:val="0"/>
              <w:jc w:val="center"/>
              <w:rPr>
                <w:sz w:val="24"/>
              </w:rPr>
            </w:pPr>
            <w:r>
              <w:rPr>
                <w:sz w:val="24"/>
              </w:rPr>
              <w:t>8</w:t>
            </w:r>
          </w:p>
        </w:tc>
        <w:tc>
          <w:tcPr>
            <w:tcW w:w="3119" w:type="dxa"/>
          </w:tcPr>
          <w:p w:rsidR="003717A0" w:rsidRDefault="003717A0">
            <w:pPr>
              <w:adjustRightInd w:val="0"/>
              <w:snapToGrid w:val="0"/>
              <w:ind w:firstLineChars="53" w:firstLine="127"/>
              <w:rPr>
                <w:sz w:val="24"/>
              </w:rPr>
            </w:pPr>
            <w:r>
              <w:rPr>
                <w:rFonts w:hint="eastAsia"/>
                <w:sz w:val="24"/>
              </w:rPr>
              <w:t>网络信息检索（二）</w:t>
            </w:r>
          </w:p>
        </w:tc>
        <w:tc>
          <w:tcPr>
            <w:tcW w:w="850" w:type="dxa"/>
            <w:vAlign w:val="center"/>
          </w:tcPr>
          <w:p w:rsidR="003717A0" w:rsidRDefault="003717A0">
            <w:pPr>
              <w:adjustRightInd w:val="0"/>
              <w:snapToGrid w:val="0"/>
              <w:jc w:val="center"/>
              <w:rPr>
                <w:sz w:val="24"/>
              </w:rPr>
            </w:pPr>
            <w:r>
              <w:rPr>
                <w:sz w:val="24"/>
              </w:rPr>
              <w:t>3</w:t>
            </w:r>
          </w:p>
        </w:tc>
        <w:tc>
          <w:tcPr>
            <w:tcW w:w="3260" w:type="dxa"/>
          </w:tcPr>
          <w:p w:rsidR="003717A0" w:rsidRDefault="003717A0">
            <w:pPr>
              <w:adjustRightInd w:val="0"/>
              <w:snapToGrid w:val="0"/>
              <w:jc w:val="left"/>
              <w:rPr>
                <w:sz w:val="24"/>
              </w:rPr>
            </w:pPr>
          </w:p>
        </w:tc>
        <w:tc>
          <w:tcPr>
            <w:tcW w:w="851" w:type="dxa"/>
          </w:tcPr>
          <w:p w:rsidR="003717A0" w:rsidRDefault="003717A0">
            <w:pPr>
              <w:adjustRightInd w:val="0"/>
              <w:snapToGrid w:val="0"/>
              <w:rPr>
                <w:sz w:val="24"/>
              </w:rPr>
            </w:pPr>
          </w:p>
        </w:tc>
      </w:tr>
      <w:bookmarkEnd w:id="33"/>
      <w:tr w:rsidR="003717A0">
        <w:tc>
          <w:tcPr>
            <w:tcW w:w="817" w:type="dxa"/>
          </w:tcPr>
          <w:p w:rsidR="003717A0" w:rsidRDefault="003717A0">
            <w:pPr>
              <w:adjustRightInd w:val="0"/>
              <w:snapToGrid w:val="0"/>
              <w:jc w:val="center"/>
              <w:rPr>
                <w:sz w:val="24"/>
              </w:rPr>
            </w:pPr>
          </w:p>
        </w:tc>
        <w:tc>
          <w:tcPr>
            <w:tcW w:w="3119" w:type="dxa"/>
          </w:tcPr>
          <w:p w:rsidR="003717A0" w:rsidRDefault="003717A0">
            <w:pPr>
              <w:adjustRightInd w:val="0"/>
              <w:snapToGrid w:val="0"/>
              <w:ind w:firstLineChars="53" w:firstLine="127"/>
              <w:jc w:val="center"/>
              <w:rPr>
                <w:sz w:val="24"/>
              </w:rPr>
            </w:pPr>
            <w:r>
              <w:rPr>
                <w:rFonts w:hint="eastAsia"/>
                <w:sz w:val="24"/>
              </w:rPr>
              <w:t>合　计</w:t>
            </w:r>
          </w:p>
        </w:tc>
        <w:tc>
          <w:tcPr>
            <w:tcW w:w="850" w:type="dxa"/>
            <w:vAlign w:val="center"/>
          </w:tcPr>
          <w:p w:rsidR="003717A0" w:rsidRDefault="003717A0">
            <w:pPr>
              <w:adjustRightInd w:val="0"/>
              <w:snapToGrid w:val="0"/>
              <w:jc w:val="center"/>
              <w:rPr>
                <w:sz w:val="24"/>
              </w:rPr>
            </w:pPr>
            <w:r>
              <w:rPr>
                <w:sz w:val="24"/>
              </w:rPr>
              <w:t>24</w:t>
            </w:r>
          </w:p>
        </w:tc>
        <w:tc>
          <w:tcPr>
            <w:tcW w:w="3260" w:type="dxa"/>
          </w:tcPr>
          <w:p w:rsidR="003717A0" w:rsidRDefault="003717A0">
            <w:pPr>
              <w:adjustRightInd w:val="0"/>
              <w:snapToGrid w:val="0"/>
              <w:jc w:val="center"/>
              <w:rPr>
                <w:sz w:val="24"/>
              </w:rPr>
            </w:pPr>
          </w:p>
        </w:tc>
        <w:tc>
          <w:tcPr>
            <w:tcW w:w="851" w:type="dxa"/>
          </w:tcPr>
          <w:p w:rsidR="003717A0" w:rsidRDefault="003717A0">
            <w:pPr>
              <w:adjustRightInd w:val="0"/>
              <w:snapToGrid w:val="0"/>
              <w:jc w:val="center"/>
              <w:rPr>
                <w:sz w:val="24"/>
              </w:rPr>
            </w:pPr>
          </w:p>
        </w:tc>
      </w:tr>
    </w:tbl>
    <w:p w:rsidR="003717A0" w:rsidRDefault="003717A0">
      <w:pPr>
        <w:adjustRightInd w:val="0"/>
        <w:snapToGrid w:val="0"/>
        <w:spacing w:line="360" w:lineRule="auto"/>
        <w:jc w:val="cente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多媒体教室、多媒体教学课件、学校数据库网络平台等。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70%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平时成绩占总成绩的</w:t>
      </w:r>
      <w:r>
        <w:rPr>
          <w:rFonts w:ascii="Times New Roman"/>
        </w:rPr>
        <w:t>30%</w:t>
      </w:r>
      <w:r>
        <w:rPr>
          <w:rFonts w:ascii="Times New Roman" w:hint="eastAsia"/>
        </w:rPr>
        <w:t>，其中平时作业为</w:t>
      </w:r>
      <w:r>
        <w:rPr>
          <w:rFonts w:ascii="Times New Roman"/>
        </w:rPr>
        <w:t>15%</w:t>
      </w:r>
      <w:r>
        <w:rPr>
          <w:rFonts w:ascii="Times New Roman" w:hint="eastAsia"/>
        </w:rPr>
        <w:t>，实验考试为</w:t>
      </w:r>
      <w:r>
        <w:rPr>
          <w:rFonts w:ascii="Times New Roman"/>
        </w:rPr>
        <w:t>15%</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理论课教材：董建成主编，《医学信息学概论》，人民卫生出版社，</w:t>
      </w:r>
      <w:r>
        <w:rPr>
          <w:rFonts w:ascii="Times New Roman" w:hAnsi="Times New Roman"/>
        </w:rPr>
        <w:t>2010.1</w:t>
      </w: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制定人：钱旦敏</w:t>
      </w:r>
    </w:p>
    <w:p w:rsidR="003717A0" w:rsidRDefault="003717A0" w:rsidP="005E20B5">
      <w:pPr>
        <w:adjustRightInd w:val="0"/>
        <w:snapToGrid w:val="0"/>
        <w:spacing w:beforeLines="50" w:afterLines="50" w:line="360" w:lineRule="auto"/>
        <w:jc w:val="center"/>
        <w:rPr>
          <w:rFonts w:ascii="黑体" w:eastAsia="黑体"/>
          <w:b/>
          <w:sz w:val="30"/>
          <w:szCs w:val="30"/>
        </w:rPr>
      </w:pPr>
      <w:r>
        <w:rPr>
          <w:rFonts w:ascii="黑体" w:eastAsia="黑体" w:cs="黑体"/>
          <w:kern w:val="0"/>
          <w:szCs w:val="21"/>
        </w:rPr>
        <w:t xml:space="preserve">  </w:t>
      </w:r>
      <w:r w:rsidR="002078D1">
        <w:rPr>
          <w:rFonts w:ascii="黑体" w:eastAsia="黑体" w:cs="黑体"/>
          <w:kern w:val="0"/>
          <w:szCs w:val="21"/>
        </w:rPr>
        <w:t xml:space="preserve">                               </w:t>
      </w:r>
      <w:r>
        <w:rPr>
          <w:rFonts w:ascii="黑体" w:eastAsia="黑体" w:cs="黑体"/>
          <w:kern w:val="0"/>
          <w:szCs w:val="21"/>
        </w:rPr>
        <w:t xml:space="preserve">  </w:t>
      </w:r>
      <w:r>
        <w:rPr>
          <w:rFonts w:ascii="黑体" w:eastAsia="黑体" w:cs="黑体" w:hint="eastAsia"/>
          <w:kern w:val="0"/>
          <w:szCs w:val="21"/>
        </w:rPr>
        <w:t>审核人：蒋</w:t>
      </w:r>
      <w:r>
        <w:rPr>
          <w:rFonts w:ascii="黑体" w:eastAsia="黑体" w:cs="黑体"/>
          <w:kern w:val="0"/>
          <w:szCs w:val="21"/>
        </w:rPr>
        <w:t xml:space="preserve">  </w:t>
      </w:r>
      <w:r>
        <w:rPr>
          <w:rFonts w:ascii="黑体" w:eastAsia="黑体" w:cs="黑体" w:hint="eastAsia"/>
          <w:kern w:val="0"/>
          <w:szCs w:val="21"/>
        </w:rPr>
        <w:t>葵</w:t>
      </w:r>
      <w:r>
        <w:rPr>
          <w:rFonts w:ascii="黑体" w:eastAsia="黑体" w:cs="黑体"/>
          <w:kern w:val="0"/>
          <w:szCs w:val="21"/>
        </w:rPr>
        <w:br w:type="page"/>
      </w:r>
      <w:r w:rsidRPr="00F5156D">
        <w:rPr>
          <w:rFonts w:ascii="黑体" w:eastAsia="黑体" w:hint="eastAsia"/>
          <w:b/>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right="4" w:firstLineChars="200" w:firstLine="420"/>
        <w:rPr>
          <w:rFonts w:ascii="Times New Roman"/>
        </w:rPr>
      </w:pPr>
      <w:r>
        <w:rPr>
          <w:rFonts w:ascii="Times New Roman" w:hint="eastAsia"/>
        </w:rPr>
        <w:t>修读完本课程规定内容的康复治疗学专业的本科学生。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医院管理系统、临床系统、公卫系统、远程系统、医学图像处理系统等的理解和掌握情况，以及医学信息检索系统的操作能力。通过本课程的学习，学生应对医院数字化管理流程有一定的了解和掌握。</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70%</w:t>
      </w:r>
      <w:r>
        <w:rPr>
          <w:rFonts w:ascii="宋体" w:hAnsi="宋体" w:hint="eastAsia"/>
          <w:szCs w:val="21"/>
        </w:rPr>
        <w:t>。</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szCs w:val="24"/>
        </w:rPr>
      </w:pPr>
      <w:r>
        <w:rPr>
          <w:rFonts w:ascii="宋体" w:hAnsi="宋体" w:hint="eastAsia"/>
          <w:szCs w:val="21"/>
        </w:rPr>
        <w:t>平时成绩占总成绩的</w:t>
      </w:r>
      <w:r>
        <w:rPr>
          <w:rFonts w:ascii="宋体" w:hAnsi="宋体"/>
          <w:szCs w:val="21"/>
        </w:rPr>
        <w:t>30%</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医学信息学的基本概念；医院各系统的主要专业名词；各系统的工作原理；各系统的操作步骤；数据库的检索策略。</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医院各部门系统的操作流程和工作原理为考试重点，考核学生运用课程知识分析问题、解决问题的能力，同时检查学生利用数据库进行文献检索的能力。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医学信息学课程考试试题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w:t>
      </w:r>
      <w:r>
        <w:rPr>
          <w:rFonts w:ascii="Times New Roman" w:hAnsi="Times New Roman"/>
          <w:kern w:val="0"/>
          <w:sz w:val="22"/>
          <w:u w:val="single"/>
        </w:rPr>
        <w:t>---</w:t>
      </w:r>
      <w:r>
        <w:rPr>
          <w:rFonts w:ascii="Times New Roman" w:hAnsi="Times New Roman" w:hint="eastAsia"/>
          <w:kern w:val="0"/>
          <w:sz w:val="22"/>
          <w:u w:val="single"/>
        </w:rPr>
        <w:t>ⅩⅩⅩⅩ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napToGrid w:val="0"/>
        <w:spacing w:line="360" w:lineRule="auto"/>
        <w:ind w:firstLineChars="193" w:firstLine="426"/>
        <w:jc w:val="left"/>
        <w:rPr>
          <w:rFonts w:ascii="Times New Roman" w:hAnsi="Times New Roman"/>
          <w:b/>
          <w:kern w:val="0"/>
          <w:sz w:val="22"/>
        </w:rPr>
      </w:pPr>
      <w:r>
        <w:rPr>
          <w:rFonts w:ascii="Times New Roman" w:hAnsi="Times New Roman" w:hint="eastAsia"/>
          <w:b/>
          <w:kern w:val="0"/>
          <w:sz w:val="22"/>
        </w:rPr>
        <w:t>一、</w:t>
      </w:r>
      <w:r>
        <w:rPr>
          <w:rFonts w:ascii="Times New Roman" w:hAnsi="Times New Roman"/>
          <w:b/>
          <w:kern w:val="0"/>
          <w:sz w:val="22"/>
        </w:rPr>
        <w:tab/>
      </w:r>
      <w:r>
        <w:rPr>
          <w:rFonts w:ascii="Times New Roman" w:hAnsi="Times New Roman" w:hint="eastAsia"/>
          <w:b/>
          <w:kern w:val="0"/>
          <w:sz w:val="22"/>
        </w:rPr>
        <w:t>选择题（每题</w:t>
      </w:r>
      <w:r>
        <w:rPr>
          <w:rFonts w:ascii="Times New Roman" w:hAnsi="Times New Roman"/>
          <w:b/>
          <w:kern w:val="0"/>
          <w:sz w:val="22"/>
        </w:rPr>
        <w:t>2</w:t>
      </w:r>
      <w:r>
        <w:rPr>
          <w:rFonts w:ascii="Times New Roman" w:hAnsi="Times New Roman" w:hint="eastAsia"/>
          <w:b/>
          <w:kern w:val="0"/>
          <w:sz w:val="22"/>
        </w:rPr>
        <w:t>分，共</w:t>
      </w:r>
      <w:r>
        <w:rPr>
          <w:rFonts w:ascii="Times New Roman" w:hAnsi="Times New Roman"/>
          <w:b/>
          <w:kern w:val="0"/>
          <w:sz w:val="22"/>
        </w:rPr>
        <w:t>30</w:t>
      </w:r>
      <w:r>
        <w:rPr>
          <w:rFonts w:ascii="Times New Roman" w:hAnsi="Times New Roman" w:hint="eastAsia"/>
          <w:b/>
          <w:kern w:val="0"/>
          <w:sz w:val="22"/>
        </w:rPr>
        <w:t>分）</w:t>
      </w:r>
    </w:p>
    <w:p w:rsidR="003717A0" w:rsidRDefault="003717A0">
      <w:pPr>
        <w:adjustRightInd w:val="0"/>
        <w:snapToGrid w:val="0"/>
        <w:spacing w:line="360" w:lineRule="auto"/>
        <w:rPr>
          <w:sz w:val="22"/>
        </w:rPr>
      </w:pPr>
      <w:r>
        <w:rPr>
          <w:sz w:val="22"/>
        </w:rPr>
        <w:t>1</w:t>
      </w:r>
      <w:r>
        <w:rPr>
          <w:rFonts w:hint="eastAsia"/>
          <w:sz w:val="22"/>
        </w:rPr>
        <w:t>计算机软件技术中，（</w:t>
      </w:r>
      <w:r>
        <w:rPr>
          <w:sz w:val="22"/>
        </w:rPr>
        <w:t xml:space="preserve">   </w:t>
      </w:r>
      <w:r>
        <w:rPr>
          <w:rFonts w:hint="eastAsia"/>
          <w:sz w:val="22"/>
        </w:rPr>
        <w:t>）包括人机接口技术，软件自动生成，软件复用，逆向工程等。</w:t>
      </w:r>
    </w:p>
    <w:p w:rsidR="003717A0" w:rsidRDefault="003717A0">
      <w:pPr>
        <w:adjustRightInd w:val="0"/>
        <w:snapToGrid w:val="0"/>
        <w:spacing w:line="360" w:lineRule="auto"/>
        <w:rPr>
          <w:sz w:val="22"/>
        </w:rPr>
      </w:pPr>
      <w:r>
        <w:rPr>
          <w:sz w:val="22"/>
        </w:rPr>
        <w:t>A</w:t>
      </w:r>
      <w:r>
        <w:rPr>
          <w:rFonts w:hint="eastAsia"/>
          <w:sz w:val="22"/>
        </w:rPr>
        <w:t>软件工程技术</w:t>
      </w:r>
      <w:r>
        <w:rPr>
          <w:sz w:val="22"/>
        </w:rPr>
        <w:t xml:space="preserve">  B</w:t>
      </w:r>
      <w:r>
        <w:rPr>
          <w:rFonts w:hint="eastAsia"/>
          <w:sz w:val="22"/>
        </w:rPr>
        <w:t>软件工具环境技术</w:t>
      </w:r>
      <w:r>
        <w:rPr>
          <w:sz w:val="22"/>
        </w:rPr>
        <w:t xml:space="preserve">  C</w:t>
      </w:r>
      <w:r>
        <w:rPr>
          <w:rFonts w:hint="eastAsia"/>
          <w:sz w:val="22"/>
        </w:rPr>
        <w:t>程序设计技术</w:t>
      </w:r>
      <w:r>
        <w:rPr>
          <w:sz w:val="22"/>
        </w:rPr>
        <w:t xml:space="preserve">  D</w:t>
      </w:r>
      <w:r>
        <w:rPr>
          <w:rFonts w:hint="eastAsia"/>
          <w:sz w:val="22"/>
        </w:rPr>
        <w:t>网络软件技术</w:t>
      </w:r>
    </w:p>
    <w:p w:rsidR="003717A0" w:rsidRDefault="003717A0">
      <w:pPr>
        <w:adjustRightInd w:val="0"/>
        <w:snapToGrid w:val="0"/>
        <w:spacing w:line="360" w:lineRule="auto"/>
        <w:rPr>
          <w:sz w:val="22"/>
        </w:rPr>
      </w:pPr>
      <w:r>
        <w:rPr>
          <w:sz w:val="22"/>
        </w:rPr>
        <w:t>2</w:t>
      </w:r>
      <w:r>
        <w:rPr>
          <w:rFonts w:hint="eastAsia"/>
          <w:sz w:val="22"/>
        </w:rPr>
        <w:t>以下哪一项不属于信息资源的明显特征？（</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A</w:t>
      </w:r>
      <w:r>
        <w:rPr>
          <w:rFonts w:hint="eastAsia"/>
          <w:sz w:val="22"/>
        </w:rPr>
        <w:t>智能性</w:t>
      </w:r>
      <w:r>
        <w:rPr>
          <w:sz w:val="22"/>
        </w:rPr>
        <w:t xml:space="preserve">  B</w:t>
      </w:r>
      <w:r>
        <w:rPr>
          <w:rFonts w:hint="eastAsia"/>
          <w:sz w:val="22"/>
        </w:rPr>
        <w:t>有限性</w:t>
      </w:r>
      <w:r>
        <w:rPr>
          <w:sz w:val="22"/>
        </w:rPr>
        <w:t xml:space="preserve">  C</w:t>
      </w:r>
      <w:r>
        <w:rPr>
          <w:rFonts w:hint="eastAsia"/>
          <w:sz w:val="22"/>
        </w:rPr>
        <w:t>无限性</w:t>
      </w:r>
      <w:r>
        <w:rPr>
          <w:sz w:val="22"/>
        </w:rPr>
        <w:t xml:space="preserve">  D</w:t>
      </w:r>
      <w:r>
        <w:rPr>
          <w:rFonts w:hint="eastAsia"/>
          <w:sz w:val="22"/>
        </w:rPr>
        <w:t>不均衡性</w:t>
      </w:r>
    </w:p>
    <w:p w:rsidR="003717A0" w:rsidRDefault="003717A0">
      <w:pPr>
        <w:adjustRightInd w:val="0"/>
        <w:snapToGrid w:val="0"/>
        <w:spacing w:line="360" w:lineRule="auto"/>
        <w:rPr>
          <w:sz w:val="22"/>
        </w:rPr>
      </w:pPr>
      <w:r>
        <w:rPr>
          <w:sz w:val="22"/>
        </w:rPr>
        <w:t>3</w:t>
      </w:r>
      <w:r>
        <w:rPr>
          <w:rFonts w:hint="eastAsia"/>
          <w:sz w:val="22"/>
        </w:rPr>
        <w:t>信息系统结构中，（</w:t>
      </w:r>
      <w:r>
        <w:rPr>
          <w:sz w:val="22"/>
        </w:rPr>
        <w:t xml:space="preserve">   </w:t>
      </w:r>
      <w:r>
        <w:rPr>
          <w:rFonts w:hint="eastAsia"/>
          <w:sz w:val="22"/>
        </w:rPr>
        <w:t>）由实现各种业务功能、流程、规则、策略等应用业务的一组信息代理代码构成。</w:t>
      </w:r>
    </w:p>
    <w:p w:rsidR="003717A0" w:rsidRDefault="003717A0">
      <w:pPr>
        <w:adjustRightInd w:val="0"/>
        <w:snapToGrid w:val="0"/>
        <w:spacing w:line="360" w:lineRule="auto"/>
        <w:rPr>
          <w:sz w:val="22"/>
        </w:rPr>
      </w:pPr>
      <w:r>
        <w:rPr>
          <w:sz w:val="22"/>
        </w:rPr>
        <w:t>A</w:t>
      </w:r>
      <w:r>
        <w:rPr>
          <w:rFonts w:hint="eastAsia"/>
          <w:sz w:val="22"/>
        </w:rPr>
        <w:t>基础设施层</w:t>
      </w:r>
      <w:r>
        <w:rPr>
          <w:sz w:val="22"/>
        </w:rPr>
        <w:t xml:space="preserve">  B</w:t>
      </w:r>
      <w:r>
        <w:rPr>
          <w:rFonts w:hint="eastAsia"/>
          <w:sz w:val="22"/>
        </w:rPr>
        <w:t>资源管理层</w:t>
      </w:r>
      <w:r>
        <w:rPr>
          <w:sz w:val="22"/>
        </w:rPr>
        <w:t xml:space="preserve">  C</w:t>
      </w:r>
      <w:r>
        <w:rPr>
          <w:rFonts w:hint="eastAsia"/>
          <w:sz w:val="22"/>
        </w:rPr>
        <w:t>业务逻辑层</w:t>
      </w:r>
      <w:r>
        <w:rPr>
          <w:sz w:val="22"/>
        </w:rPr>
        <w:t xml:space="preserve">  D</w:t>
      </w:r>
      <w:r>
        <w:rPr>
          <w:rFonts w:hint="eastAsia"/>
          <w:sz w:val="22"/>
        </w:rPr>
        <w:t>应用表现层</w:t>
      </w:r>
    </w:p>
    <w:p w:rsidR="003717A0" w:rsidRDefault="003717A0">
      <w:pPr>
        <w:adjustRightInd w:val="0"/>
        <w:snapToGrid w:val="0"/>
        <w:spacing w:line="360" w:lineRule="auto"/>
        <w:rPr>
          <w:sz w:val="22"/>
        </w:rPr>
      </w:pPr>
      <w:r>
        <w:rPr>
          <w:sz w:val="22"/>
        </w:rPr>
        <w:t>4</w:t>
      </w:r>
      <w:r>
        <w:rPr>
          <w:rFonts w:hint="eastAsia"/>
          <w:sz w:val="22"/>
        </w:rPr>
        <w:t>当开发一个小型系统时，由系统分析设计人员与用户合作，短期内开发出一个简易应用软件</w:t>
      </w:r>
      <w:r>
        <w:rPr>
          <w:rFonts w:hint="eastAsia"/>
          <w:sz w:val="22"/>
        </w:rPr>
        <w:lastRenderedPageBreak/>
        <w:t>的方法被称作（</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ACASE  B</w:t>
      </w:r>
      <w:r>
        <w:rPr>
          <w:rFonts w:hint="eastAsia"/>
          <w:sz w:val="22"/>
        </w:rPr>
        <w:t>面向对象开发设计方法</w:t>
      </w:r>
      <w:r>
        <w:rPr>
          <w:sz w:val="22"/>
        </w:rPr>
        <w:t xml:space="preserve">  C</w:t>
      </w:r>
      <w:r>
        <w:rPr>
          <w:rFonts w:hint="eastAsia"/>
          <w:sz w:val="22"/>
        </w:rPr>
        <w:t>结构化生命周期法</w:t>
      </w:r>
      <w:r>
        <w:rPr>
          <w:sz w:val="22"/>
        </w:rPr>
        <w:t xml:space="preserve">  D</w:t>
      </w:r>
      <w:r>
        <w:rPr>
          <w:rFonts w:hint="eastAsia"/>
          <w:sz w:val="22"/>
        </w:rPr>
        <w:t>原型法</w:t>
      </w:r>
    </w:p>
    <w:p w:rsidR="003717A0" w:rsidRDefault="003717A0">
      <w:pPr>
        <w:adjustRightInd w:val="0"/>
        <w:snapToGrid w:val="0"/>
        <w:spacing w:line="360" w:lineRule="auto"/>
        <w:rPr>
          <w:sz w:val="22"/>
        </w:rPr>
      </w:pPr>
      <w:r>
        <w:rPr>
          <w:sz w:val="22"/>
        </w:rPr>
        <w:t>5</w:t>
      </w:r>
      <w:r>
        <w:rPr>
          <w:rFonts w:hint="eastAsia"/>
          <w:sz w:val="22"/>
        </w:rPr>
        <w:t>医院管理信息系统选型时，应考虑各方面对信息系统的需求，遵循（</w:t>
      </w:r>
      <w:r>
        <w:rPr>
          <w:sz w:val="22"/>
        </w:rPr>
        <w:t xml:space="preserve">   </w:t>
      </w:r>
      <w:r>
        <w:rPr>
          <w:rFonts w:hint="eastAsia"/>
          <w:sz w:val="22"/>
        </w:rPr>
        <w:t>）建设原则。</w:t>
      </w:r>
    </w:p>
    <w:p w:rsidR="003717A0" w:rsidRDefault="003717A0">
      <w:pPr>
        <w:adjustRightInd w:val="0"/>
        <w:snapToGrid w:val="0"/>
        <w:spacing w:line="360" w:lineRule="auto"/>
        <w:rPr>
          <w:sz w:val="22"/>
        </w:rPr>
      </w:pPr>
      <w:r>
        <w:rPr>
          <w:sz w:val="22"/>
        </w:rPr>
        <w:t>A</w:t>
      </w:r>
      <w:r>
        <w:rPr>
          <w:rFonts w:hint="eastAsia"/>
          <w:sz w:val="22"/>
        </w:rPr>
        <w:t>系统性</w:t>
      </w:r>
      <w:r>
        <w:rPr>
          <w:sz w:val="22"/>
        </w:rPr>
        <w:t xml:space="preserve">  B</w:t>
      </w:r>
      <w:r>
        <w:rPr>
          <w:rFonts w:hint="eastAsia"/>
          <w:sz w:val="22"/>
        </w:rPr>
        <w:t>整体性</w:t>
      </w:r>
      <w:r>
        <w:rPr>
          <w:sz w:val="22"/>
        </w:rPr>
        <w:t xml:space="preserve">  C</w:t>
      </w:r>
      <w:r>
        <w:rPr>
          <w:rFonts w:hint="eastAsia"/>
          <w:sz w:val="22"/>
        </w:rPr>
        <w:t>可持续发展</w:t>
      </w:r>
      <w:r>
        <w:rPr>
          <w:sz w:val="22"/>
        </w:rPr>
        <w:t xml:space="preserve">  D</w:t>
      </w:r>
      <w:r>
        <w:rPr>
          <w:rFonts w:hint="eastAsia"/>
          <w:sz w:val="22"/>
        </w:rPr>
        <w:t>实用性</w:t>
      </w:r>
    </w:p>
    <w:p w:rsidR="003717A0" w:rsidRDefault="003717A0">
      <w:pPr>
        <w:adjustRightInd w:val="0"/>
        <w:snapToGrid w:val="0"/>
        <w:spacing w:line="360" w:lineRule="auto"/>
        <w:rPr>
          <w:sz w:val="22"/>
        </w:rPr>
      </w:pPr>
      <w:r>
        <w:rPr>
          <w:sz w:val="22"/>
        </w:rPr>
        <w:t>6</w:t>
      </w:r>
      <w:r>
        <w:rPr>
          <w:rFonts w:hint="eastAsia"/>
          <w:sz w:val="22"/>
        </w:rPr>
        <w:t>按照字顺编制而成的关键词索引查找文献信息的检索途径属于（</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A</w:t>
      </w:r>
      <w:r>
        <w:rPr>
          <w:rFonts w:hint="eastAsia"/>
          <w:sz w:val="22"/>
        </w:rPr>
        <w:t>主题检索途径</w:t>
      </w:r>
      <w:r>
        <w:rPr>
          <w:sz w:val="22"/>
        </w:rPr>
        <w:t xml:space="preserve">  B</w:t>
      </w:r>
      <w:r>
        <w:rPr>
          <w:rFonts w:hint="eastAsia"/>
          <w:sz w:val="22"/>
        </w:rPr>
        <w:t>分类检索途径</w:t>
      </w:r>
      <w:r>
        <w:rPr>
          <w:sz w:val="22"/>
        </w:rPr>
        <w:t xml:space="preserve">  C</w:t>
      </w:r>
      <w:r>
        <w:rPr>
          <w:rFonts w:hint="eastAsia"/>
          <w:sz w:val="22"/>
        </w:rPr>
        <w:t>引文检索途径</w:t>
      </w:r>
      <w:r>
        <w:rPr>
          <w:sz w:val="22"/>
        </w:rPr>
        <w:t xml:space="preserve">  D</w:t>
      </w:r>
      <w:r>
        <w:rPr>
          <w:rFonts w:hint="eastAsia"/>
          <w:sz w:val="22"/>
        </w:rPr>
        <w:t>序号检索途径</w:t>
      </w:r>
    </w:p>
    <w:p w:rsidR="003717A0" w:rsidRDefault="003717A0">
      <w:pPr>
        <w:adjustRightInd w:val="0"/>
        <w:snapToGrid w:val="0"/>
        <w:spacing w:line="360" w:lineRule="auto"/>
        <w:rPr>
          <w:sz w:val="22"/>
        </w:rPr>
      </w:pPr>
      <w:r>
        <w:rPr>
          <w:sz w:val="22"/>
        </w:rPr>
        <w:t>7PubMed</w:t>
      </w:r>
      <w:r>
        <w:rPr>
          <w:rFonts w:hint="eastAsia"/>
          <w:sz w:val="22"/>
        </w:rPr>
        <w:t>属于（</w:t>
      </w:r>
      <w:r>
        <w:rPr>
          <w:sz w:val="22"/>
        </w:rPr>
        <w:t xml:space="preserve">   </w:t>
      </w:r>
      <w:r>
        <w:rPr>
          <w:rFonts w:hint="eastAsia"/>
          <w:sz w:val="22"/>
        </w:rPr>
        <w:t>）数据库。</w:t>
      </w:r>
    </w:p>
    <w:p w:rsidR="003717A0" w:rsidRDefault="003717A0">
      <w:pPr>
        <w:adjustRightInd w:val="0"/>
        <w:snapToGrid w:val="0"/>
        <w:spacing w:line="360" w:lineRule="auto"/>
        <w:rPr>
          <w:sz w:val="22"/>
        </w:rPr>
      </w:pPr>
      <w:r>
        <w:rPr>
          <w:sz w:val="22"/>
        </w:rPr>
        <w:t>A</w:t>
      </w:r>
      <w:r>
        <w:rPr>
          <w:rFonts w:hint="eastAsia"/>
          <w:sz w:val="22"/>
        </w:rPr>
        <w:t>数值型</w:t>
      </w:r>
      <w:r>
        <w:rPr>
          <w:sz w:val="22"/>
        </w:rPr>
        <w:t xml:space="preserve">  B</w:t>
      </w:r>
      <w:r>
        <w:rPr>
          <w:rFonts w:hint="eastAsia"/>
          <w:sz w:val="22"/>
        </w:rPr>
        <w:t>事实型</w:t>
      </w:r>
      <w:r>
        <w:rPr>
          <w:sz w:val="22"/>
        </w:rPr>
        <w:t xml:space="preserve">  C</w:t>
      </w:r>
      <w:r>
        <w:rPr>
          <w:rFonts w:hint="eastAsia"/>
          <w:sz w:val="22"/>
        </w:rPr>
        <w:t>全文型</w:t>
      </w:r>
      <w:r>
        <w:rPr>
          <w:sz w:val="22"/>
        </w:rPr>
        <w:t xml:space="preserve">  D</w:t>
      </w:r>
      <w:r>
        <w:rPr>
          <w:rFonts w:hint="eastAsia"/>
          <w:sz w:val="22"/>
        </w:rPr>
        <w:t>书目型</w:t>
      </w:r>
    </w:p>
    <w:p w:rsidR="003717A0" w:rsidRDefault="003717A0">
      <w:pPr>
        <w:adjustRightInd w:val="0"/>
        <w:snapToGrid w:val="0"/>
        <w:spacing w:line="360" w:lineRule="auto"/>
        <w:rPr>
          <w:sz w:val="22"/>
        </w:rPr>
      </w:pPr>
      <w:r>
        <w:rPr>
          <w:sz w:val="22"/>
        </w:rPr>
        <w:t>8</w:t>
      </w:r>
      <w:r>
        <w:rPr>
          <w:rFonts w:hint="eastAsia"/>
          <w:sz w:val="22"/>
        </w:rPr>
        <w:t>早期的</w:t>
      </w:r>
      <w:r>
        <w:rPr>
          <w:sz w:val="22"/>
        </w:rPr>
        <w:t>Yahoo</w:t>
      </w:r>
      <w:r>
        <w:rPr>
          <w:rFonts w:hint="eastAsia"/>
          <w:sz w:val="22"/>
        </w:rPr>
        <w:t>属于（</w:t>
      </w:r>
      <w:r>
        <w:rPr>
          <w:sz w:val="22"/>
        </w:rPr>
        <w:t xml:space="preserve">   </w:t>
      </w:r>
      <w:r>
        <w:rPr>
          <w:rFonts w:hint="eastAsia"/>
          <w:sz w:val="22"/>
        </w:rPr>
        <w:t>）搜索引擎。</w:t>
      </w:r>
    </w:p>
    <w:p w:rsidR="003717A0" w:rsidRDefault="003717A0">
      <w:pPr>
        <w:adjustRightInd w:val="0"/>
        <w:snapToGrid w:val="0"/>
        <w:spacing w:line="360" w:lineRule="auto"/>
        <w:rPr>
          <w:sz w:val="22"/>
        </w:rPr>
      </w:pPr>
      <w:r>
        <w:rPr>
          <w:sz w:val="22"/>
        </w:rPr>
        <w:t>A</w:t>
      </w:r>
      <w:r>
        <w:rPr>
          <w:rFonts w:hint="eastAsia"/>
          <w:sz w:val="22"/>
        </w:rPr>
        <w:t>目录式</w:t>
      </w:r>
      <w:r>
        <w:rPr>
          <w:sz w:val="22"/>
        </w:rPr>
        <w:t xml:space="preserve">   B</w:t>
      </w:r>
      <w:r>
        <w:rPr>
          <w:rFonts w:hint="eastAsia"/>
          <w:sz w:val="22"/>
        </w:rPr>
        <w:t>全文式</w:t>
      </w:r>
      <w:r>
        <w:rPr>
          <w:sz w:val="22"/>
        </w:rPr>
        <w:t xml:space="preserve">   C</w:t>
      </w:r>
      <w:r>
        <w:rPr>
          <w:rFonts w:hint="eastAsia"/>
          <w:sz w:val="22"/>
        </w:rPr>
        <w:t>智能</w:t>
      </w:r>
      <w:r>
        <w:rPr>
          <w:sz w:val="22"/>
        </w:rPr>
        <w:t xml:space="preserve">   D</w:t>
      </w:r>
      <w:r>
        <w:rPr>
          <w:rFonts w:hint="eastAsia"/>
          <w:sz w:val="22"/>
        </w:rPr>
        <w:t>元</w:t>
      </w:r>
    </w:p>
    <w:p w:rsidR="003717A0" w:rsidRDefault="003717A0">
      <w:pPr>
        <w:spacing w:line="360" w:lineRule="auto"/>
        <w:rPr>
          <w:sz w:val="22"/>
        </w:rPr>
      </w:pPr>
      <w:r>
        <w:rPr>
          <w:sz w:val="22"/>
        </w:rPr>
        <w:t>9</w:t>
      </w:r>
      <w:r>
        <w:rPr>
          <w:rFonts w:hint="eastAsia"/>
          <w:sz w:val="22"/>
        </w:rPr>
        <w:t>从五代</w:t>
      </w:r>
      <w:r>
        <w:rPr>
          <w:sz w:val="22"/>
        </w:rPr>
        <w:t>CIS</w:t>
      </w:r>
      <w:r>
        <w:rPr>
          <w:rFonts w:hint="eastAsia"/>
          <w:sz w:val="22"/>
        </w:rPr>
        <w:t>的发展过程中我们可以发现其重点发展的内容是：（</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w:t>
      </w:r>
      <w:r>
        <w:rPr>
          <w:sz w:val="22"/>
        </w:rPr>
        <w:t>EMR      B</w:t>
      </w:r>
      <w:r>
        <w:rPr>
          <w:rFonts w:hint="eastAsia"/>
          <w:sz w:val="22"/>
        </w:rPr>
        <w:t>．</w:t>
      </w:r>
      <w:r>
        <w:rPr>
          <w:sz w:val="22"/>
        </w:rPr>
        <w:t>NIS      C</w:t>
      </w:r>
      <w:r>
        <w:rPr>
          <w:rFonts w:hint="eastAsia"/>
          <w:sz w:val="22"/>
        </w:rPr>
        <w:t>．</w:t>
      </w:r>
      <w:r>
        <w:rPr>
          <w:sz w:val="22"/>
        </w:rPr>
        <w:t>LIS      D</w:t>
      </w:r>
      <w:r>
        <w:rPr>
          <w:rFonts w:hint="eastAsia"/>
          <w:sz w:val="22"/>
        </w:rPr>
        <w:t>．</w:t>
      </w:r>
      <w:r>
        <w:rPr>
          <w:sz w:val="22"/>
        </w:rPr>
        <w:t>CDSS</w:t>
      </w:r>
    </w:p>
    <w:p w:rsidR="003717A0" w:rsidRDefault="003717A0">
      <w:pPr>
        <w:spacing w:line="360" w:lineRule="auto"/>
        <w:rPr>
          <w:sz w:val="22"/>
        </w:rPr>
      </w:pPr>
      <w:r>
        <w:rPr>
          <w:sz w:val="22"/>
        </w:rPr>
        <w:t>10</w:t>
      </w:r>
      <w:r>
        <w:rPr>
          <w:rFonts w:hint="eastAsia"/>
          <w:sz w:val="22"/>
        </w:rPr>
        <w:t>下列不属于护理信息的处理方式的是：（</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．文书模式</w:t>
      </w:r>
      <w:r>
        <w:rPr>
          <w:sz w:val="22"/>
        </w:rPr>
        <w:t xml:space="preserve">  B</w:t>
      </w:r>
      <w:r>
        <w:rPr>
          <w:rFonts w:hint="eastAsia"/>
          <w:sz w:val="22"/>
        </w:rPr>
        <w:t>．监控模式</w:t>
      </w:r>
      <w:r>
        <w:rPr>
          <w:sz w:val="22"/>
        </w:rPr>
        <w:t xml:space="preserve">  C</w:t>
      </w:r>
      <w:r>
        <w:rPr>
          <w:rFonts w:hint="eastAsia"/>
          <w:sz w:val="22"/>
        </w:rPr>
        <w:t>．口头模式</w:t>
      </w:r>
      <w:r>
        <w:rPr>
          <w:sz w:val="22"/>
        </w:rPr>
        <w:t xml:space="preserve">  D</w:t>
      </w:r>
      <w:r>
        <w:rPr>
          <w:rFonts w:hint="eastAsia"/>
          <w:sz w:val="22"/>
        </w:rPr>
        <w:t>．计算机模式</w:t>
      </w:r>
    </w:p>
    <w:p w:rsidR="003717A0" w:rsidRDefault="003717A0">
      <w:pPr>
        <w:spacing w:line="360" w:lineRule="auto"/>
        <w:rPr>
          <w:sz w:val="22"/>
        </w:rPr>
      </w:pPr>
      <w:r>
        <w:rPr>
          <w:sz w:val="22"/>
        </w:rPr>
        <w:t>11</w:t>
      </w:r>
      <w:r>
        <w:rPr>
          <w:rFonts w:hint="eastAsia"/>
          <w:sz w:val="22"/>
        </w:rPr>
        <w:t>理论上来讲，电子病历中记载的信息最优的时间段是：（</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w:t>
      </w:r>
      <w:r>
        <w:rPr>
          <w:sz w:val="22"/>
        </w:rPr>
        <w:t>10</w:t>
      </w:r>
      <w:r>
        <w:rPr>
          <w:rFonts w:hint="eastAsia"/>
          <w:sz w:val="22"/>
        </w:rPr>
        <w:t>年</w:t>
      </w:r>
      <w:r>
        <w:rPr>
          <w:sz w:val="22"/>
        </w:rPr>
        <w:t xml:space="preserve">   B</w:t>
      </w:r>
      <w:r>
        <w:rPr>
          <w:rFonts w:hint="eastAsia"/>
          <w:sz w:val="22"/>
        </w:rPr>
        <w:t>．</w:t>
      </w:r>
      <w:r>
        <w:rPr>
          <w:sz w:val="22"/>
        </w:rPr>
        <w:t>20</w:t>
      </w:r>
      <w:r>
        <w:rPr>
          <w:rFonts w:hint="eastAsia"/>
          <w:sz w:val="22"/>
        </w:rPr>
        <w:t>年</w:t>
      </w:r>
      <w:r>
        <w:rPr>
          <w:sz w:val="22"/>
        </w:rPr>
        <w:t xml:space="preserve">   C</w:t>
      </w:r>
      <w:r>
        <w:rPr>
          <w:rFonts w:hint="eastAsia"/>
          <w:sz w:val="22"/>
        </w:rPr>
        <w:t>．</w:t>
      </w:r>
      <w:r>
        <w:rPr>
          <w:sz w:val="22"/>
        </w:rPr>
        <w:t>30</w:t>
      </w:r>
      <w:r>
        <w:rPr>
          <w:rFonts w:hint="eastAsia"/>
          <w:sz w:val="22"/>
        </w:rPr>
        <w:t>年</w:t>
      </w:r>
      <w:r>
        <w:rPr>
          <w:sz w:val="22"/>
        </w:rPr>
        <w:t xml:space="preserve">   D</w:t>
      </w:r>
      <w:r>
        <w:rPr>
          <w:rFonts w:hint="eastAsia"/>
          <w:sz w:val="22"/>
        </w:rPr>
        <w:t>．生命周期</w:t>
      </w:r>
    </w:p>
    <w:p w:rsidR="003717A0" w:rsidRDefault="003717A0">
      <w:pPr>
        <w:spacing w:line="360" w:lineRule="auto"/>
        <w:rPr>
          <w:sz w:val="22"/>
        </w:rPr>
      </w:pPr>
      <w:r>
        <w:rPr>
          <w:sz w:val="22"/>
        </w:rPr>
        <w:t>12</w:t>
      </w:r>
      <w:r>
        <w:rPr>
          <w:rFonts w:hint="eastAsia"/>
          <w:sz w:val="22"/>
        </w:rPr>
        <w:t>数据传输速率在远程医学应用中尤其重要，请问当速率为</w:t>
      </w:r>
      <w:r>
        <w:rPr>
          <w:sz w:val="22"/>
        </w:rPr>
        <w:t>1M/S</w:t>
      </w:r>
      <w:r>
        <w:rPr>
          <w:rFonts w:hint="eastAsia"/>
          <w:sz w:val="22"/>
        </w:rPr>
        <w:t>是时候，远程诊断的效果为：（</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．好</w:t>
      </w:r>
      <w:r>
        <w:rPr>
          <w:sz w:val="22"/>
        </w:rPr>
        <w:t xml:space="preserve">  B</w:t>
      </w:r>
      <w:r>
        <w:rPr>
          <w:rFonts w:hint="eastAsia"/>
          <w:sz w:val="22"/>
        </w:rPr>
        <w:t>．较好</w:t>
      </w:r>
      <w:r>
        <w:rPr>
          <w:sz w:val="22"/>
        </w:rPr>
        <w:t xml:space="preserve">  C</w:t>
      </w:r>
      <w:r>
        <w:rPr>
          <w:rFonts w:hint="eastAsia"/>
          <w:sz w:val="22"/>
        </w:rPr>
        <w:t>．一般</w:t>
      </w:r>
      <w:r>
        <w:rPr>
          <w:sz w:val="22"/>
        </w:rPr>
        <w:t xml:space="preserve">   D</w:t>
      </w:r>
      <w:r>
        <w:rPr>
          <w:rFonts w:hint="eastAsia"/>
          <w:sz w:val="22"/>
        </w:rPr>
        <w:t>．差</w:t>
      </w:r>
    </w:p>
    <w:p w:rsidR="003717A0" w:rsidRDefault="003717A0">
      <w:pPr>
        <w:spacing w:line="360" w:lineRule="auto"/>
        <w:rPr>
          <w:sz w:val="22"/>
        </w:rPr>
      </w:pPr>
      <w:r>
        <w:rPr>
          <w:sz w:val="22"/>
        </w:rPr>
        <w:t>13</w:t>
      </w:r>
      <w:r>
        <w:rPr>
          <w:rFonts w:hint="eastAsia"/>
          <w:sz w:val="22"/>
        </w:rPr>
        <w:t>下列不属于现代远程医学涵盖的范围是：（</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．医疗方面</w:t>
      </w:r>
      <w:r>
        <w:rPr>
          <w:sz w:val="22"/>
        </w:rPr>
        <w:t xml:space="preserve">   B</w:t>
      </w:r>
      <w:r>
        <w:rPr>
          <w:rFonts w:hint="eastAsia"/>
          <w:sz w:val="22"/>
        </w:rPr>
        <w:t>．教育方面</w:t>
      </w:r>
      <w:r>
        <w:rPr>
          <w:sz w:val="22"/>
        </w:rPr>
        <w:t xml:space="preserve">   C</w:t>
      </w:r>
      <w:r>
        <w:rPr>
          <w:rFonts w:hint="eastAsia"/>
          <w:sz w:val="22"/>
        </w:rPr>
        <w:t>．休闲方面</w:t>
      </w:r>
      <w:r>
        <w:rPr>
          <w:sz w:val="22"/>
        </w:rPr>
        <w:t xml:space="preserve">   D</w:t>
      </w:r>
      <w:r>
        <w:rPr>
          <w:rFonts w:hint="eastAsia"/>
          <w:sz w:val="22"/>
        </w:rPr>
        <w:t>．数据共享方面</w:t>
      </w:r>
    </w:p>
    <w:p w:rsidR="003717A0" w:rsidRDefault="003717A0">
      <w:pPr>
        <w:spacing w:line="360" w:lineRule="auto"/>
        <w:rPr>
          <w:sz w:val="22"/>
        </w:rPr>
      </w:pPr>
      <w:r>
        <w:rPr>
          <w:sz w:val="22"/>
        </w:rPr>
        <w:t>14DICOM</w:t>
      </w:r>
      <w:r>
        <w:rPr>
          <w:rFonts w:hint="eastAsia"/>
          <w:sz w:val="22"/>
        </w:rPr>
        <w:t>医学图像数据库中，主要包含以下哪</w:t>
      </w:r>
      <w:r>
        <w:rPr>
          <w:sz w:val="22"/>
        </w:rPr>
        <w:t>4</w:t>
      </w:r>
      <w:r>
        <w:rPr>
          <w:rFonts w:hint="eastAsia"/>
          <w:sz w:val="22"/>
        </w:rPr>
        <w:t>个层次的信息模型：（</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．患者、设备、序列、图像</w:t>
      </w:r>
      <w:r>
        <w:rPr>
          <w:sz w:val="22"/>
        </w:rPr>
        <w:t xml:space="preserve">          B</w:t>
      </w:r>
      <w:r>
        <w:rPr>
          <w:rFonts w:hint="eastAsia"/>
          <w:sz w:val="22"/>
        </w:rPr>
        <w:t>．研究、设备、序列、图像</w:t>
      </w:r>
    </w:p>
    <w:p w:rsidR="003717A0" w:rsidRDefault="003717A0">
      <w:pPr>
        <w:spacing w:line="360" w:lineRule="auto"/>
        <w:rPr>
          <w:sz w:val="22"/>
        </w:rPr>
      </w:pPr>
      <w:r>
        <w:rPr>
          <w:sz w:val="22"/>
        </w:rPr>
        <w:t>C</w:t>
      </w:r>
      <w:r>
        <w:rPr>
          <w:rFonts w:hint="eastAsia"/>
          <w:sz w:val="22"/>
        </w:rPr>
        <w:t>．研究、序列、图像、特征</w:t>
      </w:r>
      <w:r>
        <w:rPr>
          <w:sz w:val="22"/>
        </w:rPr>
        <w:t xml:space="preserve">          D</w:t>
      </w:r>
      <w:r>
        <w:rPr>
          <w:rFonts w:hint="eastAsia"/>
          <w:sz w:val="22"/>
        </w:rPr>
        <w:t>．患者、研究、序列、图像</w:t>
      </w:r>
    </w:p>
    <w:p w:rsidR="003717A0" w:rsidRDefault="003717A0">
      <w:pPr>
        <w:spacing w:line="360" w:lineRule="auto"/>
        <w:rPr>
          <w:sz w:val="22"/>
        </w:rPr>
      </w:pPr>
      <w:r>
        <w:rPr>
          <w:sz w:val="22"/>
        </w:rPr>
        <w:t>15</w:t>
      </w:r>
      <w:r>
        <w:rPr>
          <w:rFonts w:hint="eastAsia"/>
          <w:sz w:val="22"/>
        </w:rPr>
        <w:t>以下哪项不是属于公共卫生信息系统的范畴（</w:t>
      </w:r>
      <w:r>
        <w:rPr>
          <w:sz w:val="22"/>
        </w:rPr>
        <w:t xml:space="preserve">   </w:t>
      </w:r>
      <w:r>
        <w:rPr>
          <w:rFonts w:hint="eastAsia"/>
          <w:sz w:val="22"/>
        </w:rPr>
        <w:t>）</w:t>
      </w:r>
    </w:p>
    <w:p w:rsidR="003717A0" w:rsidRDefault="003717A0">
      <w:pPr>
        <w:spacing w:line="360" w:lineRule="auto"/>
        <w:rPr>
          <w:sz w:val="22"/>
        </w:rPr>
      </w:pPr>
      <w:r>
        <w:rPr>
          <w:sz w:val="22"/>
        </w:rPr>
        <w:t>A.</w:t>
      </w:r>
      <w:r>
        <w:rPr>
          <w:rFonts w:hint="eastAsia"/>
          <w:sz w:val="22"/>
        </w:rPr>
        <w:t>卫生监督管理信息系统</w:t>
      </w:r>
      <w:r>
        <w:rPr>
          <w:sz w:val="22"/>
        </w:rPr>
        <w:t xml:space="preserve">   B.</w:t>
      </w:r>
      <w:r>
        <w:rPr>
          <w:rFonts w:hint="eastAsia"/>
          <w:sz w:val="22"/>
        </w:rPr>
        <w:t>疾病管理信息系统</w:t>
      </w:r>
      <w:r>
        <w:rPr>
          <w:sz w:val="22"/>
        </w:rPr>
        <w:t xml:space="preserve">   </w:t>
      </w:r>
    </w:p>
    <w:p w:rsidR="003717A0" w:rsidRDefault="003717A0">
      <w:pPr>
        <w:spacing w:line="360" w:lineRule="auto"/>
        <w:rPr>
          <w:sz w:val="22"/>
        </w:rPr>
      </w:pPr>
      <w:r>
        <w:rPr>
          <w:sz w:val="22"/>
        </w:rPr>
        <w:t>C.</w:t>
      </w:r>
      <w:r>
        <w:rPr>
          <w:rFonts w:hint="eastAsia"/>
          <w:sz w:val="22"/>
        </w:rPr>
        <w:t>电子健康档案系统</w:t>
      </w:r>
      <w:r>
        <w:rPr>
          <w:sz w:val="22"/>
        </w:rPr>
        <w:t xml:space="preserve">  D.</w:t>
      </w:r>
      <w:r>
        <w:rPr>
          <w:rFonts w:hint="eastAsia"/>
          <w:sz w:val="22"/>
        </w:rPr>
        <w:t>电子病历系统</w:t>
      </w:r>
    </w:p>
    <w:p w:rsidR="003717A0" w:rsidRDefault="003717A0" w:rsidP="005E20B5">
      <w:pPr>
        <w:widowControl/>
        <w:adjustRightInd w:val="0"/>
        <w:snapToGrid w:val="0"/>
        <w:spacing w:beforeLines="50" w:line="360" w:lineRule="auto"/>
        <w:ind w:firstLineChars="162" w:firstLine="358"/>
        <w:rPr>
          <w:rFonts w:ascii="Times New Roman" w:hAnsi="Times New Roman"/>
          <w:b/>
          <w:kern w:val="0"/>
          <w:sz w:val="22"/>
        </w:rPr>
      </w:pPr>
      <w:r>
        <w:rPr>
          <w:rFonts w:ascii="Times New Roman" w:hAnsi="Times New Roman" w:hint="eastAsia"/>
          <w:b/>
          <w:kern w:val="0"/>
          <w:sz w:val="22"/>
        </w:rPr>
        <w:t>二、判断题：（每格</w:t>
      </w:r>
      <w:r>
        <w:rPr>
          <w:rFonts w:ascii="Times New Roman" w:hAnsi="Times New Roman"/>
          <w:b/>
          <w:kern w:val="0"/>
          <w:sz w:val="22"/>
        </w:rPr>
        <w:t>1</w:t>
      </w:r>
      <w:r>
        <w:rPr>
          <w:rFonts w:ascii="Times New Roman" w:hAnsi="Times New Roman" w:hint="eastAsia"/>
          <w:b/>
          <w:kern w:val="0"/>
          <w:sz w:val="22"/>
        </w:rPr>
        <w:t>分，共</w:t>
      </w:r>
      <w:r>
        <w:rPr>
          <w:rFonts w:ascii="Times New Roman" w:hAnsi="Times New Roman"/>
          <w:b/>
          <w:kern w:val="0"/>
          <w:sz w:val="22"/>
        </w:rPr>
        <w:t>10</w:t>
      </w:r>
      <w:r>
        <w:rPr>
          <w:rFonts w:ascii="Times New Roman" w:hAnsi="Times New Roman" w:hint="eastAsia"/>
          <w:b/>
          <w:kern w:val="0"/>
          <w:sz w:val="22"/>
        </w:rPr>
        <w:t>分）</w:t>
      </w:r>
    </w:p>
    <w:p w:rsidR="003717A0" w:rsidRDefault="003717A0">
      <w:pPr>
        <w:adjustRightInd w:val="0"/>
        <w:snapToGrid w:val="0"/>
        <w:spacing w:line="360" w:lineRule="auto"/>
        <w:rPr>
          <w:sz w:val="22"/>
        </w:rPr>
      </w:pPr>
      <w:r>
        <w:rPr>
          <w:sz w:val="22"/>
        </w:rPr>
        <w:t>1</w:t>
      </w:r>
      <w:r>
        <w:rPr>
          <w:rFonts w:hint="eastAsia"/>
          <w:sz w:val="22"/>
        </w:rPr>
        <w:t>程序设计语言按其级别可以划分为机器语言、汇编语言、高级语言。（</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2</w:t>
      </w:r>
      <w:r>
        <w:rPr>
          <w:rFonts w:hint="eastAsia"/>
          <w:sz w:val="22"/>
        </w:rPr>
        <w:t>关键词是指能代表文献内容实质的经过严格规范化的专业名词术语或词组。（</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3</w:t>
      </w:r>
      <w:r>
        <w:rPr>
          <w:rFonts w:hint="eastAsia"/>
          <w:sz w:val="22"/>
        </w:rPr>
        <w:t>适应性维护是为了适应硬件环境或软件环境的变更而对应用程序所作的适当修改。（</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lastRenderedPageBreak/>
        <w:t>4</w:t>
      </w:r>
      <w:r>
        <w:rPr>
          <w:rFonts w:hint="eastAsia"/>
          <w:sz w:val="22"/>
        </w:rPr>
        <w:t>目录是指单一出版物的外表特征的描述。（</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5</w:t>
      </w:r>
      <w:r>
        <w:rPr>
          <w:rFonts w:hint="eastAsia"/>
          <w:sz w:val="22"/>
        </w:rPr>
        <w:t>在利用信息资源和技术时，必须保证职责分明，业务规划与信息资源规划保持一定距离。（</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6</w:t>
      </w:r>
      <w:r>
        <w:rPr>
          <w:rFonts w:hint="eastAsia"/>
          <w:sz w:val="22"/>
        </w:rPr>
        <w:t>提高信息素养是建设医院管理信息系统的动力，因此，只要医院领导和医院管理者具备较高信息素养，就能提高整个医院的信息素养水平。（</w:t>
      </w:r>
      <w:r>
        <w:rPr>
          <w:sz w:val="22"/>
        </w:rPr>
        <w:t xml:space="preserve">   </w:t>
      </w:r>
      <w:r>
        <w:rPr>
          <w:rFonts w:hint="eastAsia"/>
          <w:sz w:val="22"/>
        </w:rPr>
        <w:t>）</w:t>
      </w:r>
    </w:p>
    <w:p w:rsidR="003717A0" w:rsidRDefault="003717A0">
      <w:pPr>
        <w:adjustRightInd w:val="0"/>
        <w:snapToGrid w:val="0"/>
        <w:spacing w:line="360" w:lineRule="auto"/>
        <w:jc w:val="left"/>
        <w:rPr>
          <w:sz w:val="22"/>
        </w:rPr>
      </w:pPr>
      <w:r>
        <w:rPr>
          <w:sz w:val="22"/>
        </w:rPr>
        <w:t>7</w:t>
      </w:r>
      <w:r>
        <w:rPr>
          <w:rFonts w:hint="eastAsia"/>
          <w:sz w:val="22"/>
        </w:rPr>
        <w:t>新型门急诊系统设计的基本思想是以“以患者为中心”。（</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8</w:t>
      </w:r>
      <w:r>
        <w:rPr>
          <w:rFonts w:hint="eastAsia"/>
          <w:sz w:val="22"/>
        </w:rPr>
        <w:t>护理信息系统一般包括临床护理子系统和护理管理子系统。（</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9</w:t>
      </w:r>
      <w:r>
        <w:rPr>
          <w:rFonts w:hint="eastAsia"/>
          <w:sz w:val="22"/>
        </w:rPr>
        <w:t>医学远程活动是基于</w:t>
      </w:r>
      <w:r>
        <w:rPr>
          <w:sz w:val="22"/>
        </w:rPr>
        <w:t>Real Time</w:t>
      </w:r>
      <w:r>
        <w:rPr>
          <w:rFonts w:hint="eastAsia"/>
          <w:sz w:val="22"/>
        </w:rPr>
        <w:t>和</w:t>
      </w:r>
      <w:r>
        <w:rPr>
          <w:sz w:val="22"/>
        </w:rPr>
        <w:t>Synchronous</w:t>
      </w:r>
      <w:r>
        <w:rPr>
          <w:rFonts w:hint="eastAsia"/>
          <w:sz w:val="22"/>
        </w:rPr>
        <w:t>了两个基本通讯技术实现的（</w:t>
      </w:r>
      <w:r>
        <w:rPr>
          <w:sz w:val="22"/>
        </w:rPr>
        <w:t xml:space="preserve">   </w:t>
      </w:r>
      <w:r>
        <w:rPr>
          <w:rFonts w:hint="eastAsia"/>
          <w:sz w:val="22"/>
        </w:rPr>
        <w:t>）</w:t>
      </w:r>
    </w:p>
    <w:p w:rsidR="003717A0" w:rsidRDefault="003717A0">
      <w:pPr>
        <w:adjustRightInd w:val="0"/>
        <w:snapToGrid w:val="0"/>
        <w:spacing w:line="360" w:lineRule="auto"/>
        <w:rPr>
          <w:sz w:val="22"/>
        </w:rPr>
      </w:pPr>
      <w:r>
        <w:rPr>
          <w:sz w:val="22"/>
        </w:rPr>
        <w:t>10DICOM</w:t>
      </w:r>
      <w:r>
        <w:rPr>
          <w:rFonts w:hint="eastAsia"/>
          <w:sz w:val="22"/>
        </w:rPr>
        <w:t>数据编码规则中必须要定义数据类型，规定数据元素的数据类型和格式。（</w:t>
      </w:r>
      <w:r>
        <w:rPr>
          <w:sz w:val="22"/>
        </w:rPr>
        <w:t xml:space="preserve">   </w:t>
      </w:r>
      <w:r>
        <w:rPr>
          <w:rFonts w:hint="eastAsia"/>
          <w:sz w:val="22"/>
        </w:rPr>
        <w:t>）</w:t>
      </w:r>
    </w:p>
    <w:p w:rsidR="003717A0" w:rsidRDefault="003717A0">
      <w:pPr>
        <w:widowControl/>
        <w:adjustRightInd w:val="0"/>
        <w:snapToGrid w:val="0"/>
        <w:spacing w:line="440" w:lineRule="exact"/>
        <w:ind w:firstLineChars="162" w:firstLine="358"/>
        <w:rPr>
          <w:rFonts w:ascii="Times New Roman" w:hAnsi="Times New Roman"/>
          <w:b/>
          <w:kern w:val="0"/>
          <w:sz w:val="22"/>
        </w:rPr>
      </w:pPr>
      <w:r>
        <w:rPr>
          <w:rFonts w:ascii="Times New Roman" w:hAnsi="Times New Roman" w:hint="eastAsia"/>
          <w:b/>
          <w:kern w:val="0"/>
          <w:sz w:val="22"/>
        </w:rPr>
        <w:t>三、填空题：（每题</w:t>
      </w:r>
      <w:r>
        <w:rPr>
          <w:rFonts w:ascii="Times New Roman" w:hAnsi="Times New Roman"/>
          <w:b/>
          <w:kern w:val="0"/>
          <w:sz w:val="22"/>
        </w:rPr>
        <w:t>1</w:t>
      </w:r>
      <w:r>
        <w:rPr>
          <w:rFonts w:ascii="Times New Roman" w:hAnsi="Times New Roman" w:hint="eastAsia"/>
          <w:b/>
          <w:kern w:val="0"/>
          <w:sz w:val="22"/>
        </w:rPr>
        <w:t>分，共</w:t>
      </w:r>
      <w:r>
        <w:rPr>
          <w:rFonts w:ascii="Times New Roman" w:hAnsi="Times New Roman"/>
          <w:b/>
          <w:kern w:val="0"/>
          <w:sz w:val="22"/>
        </w:rPr>
        <w:t>12</w:t>
      </w:r>
      <w:r>
        <w:rPr>
          <w:rFonts w:ascii="Times New Roman" w:hAnsi="Times New Roman" w:hint="eastAsia"/>
          <w:b/>
          <w:kern w:val="0"/>
          <w:sz w:val="22"/>
        </w:rPr>
        <w:t>分）</w:t>
      </w:r>
    </w:p>
    <w:p w:rsidR="003717A0" w:rsidRDefault="003717A0">
      <w:pPr>
        <w:adjustRightInd w:val="0"/>
        <w:snapToGrid w:val="0"/>
        <w:spacing w:line="360" w:lineRule="auto"/>
        <w:rPr>
          <w:sz w:val="22"/>
        </w:rPr>
      </w:pPr>
      <w:r>
        <w:rPr>
          <w:rFonts w:ascii="宋体" w:hAnsi="宋体"/>
          <w:sz w:val="22"/>
        </w:rPr>
        <w:t>1</w:t>
      </w:r>
      <w:r>
        <w:rPr>
          <w:rFonts w:ascii="宋体" w:hAnsi="宋体" w:hint="eastAsia"/>
          <w:sz w:val="22"/>
        </w:rPr>
        <w:t>对于个体的人来说，信息活动的基本过程包括</w:t>
      </w:r>
      <w:r>
        <w:rPr>
          <w:rFonts w:hAnsi="宋体"/>
          <w:sz w:val="22"/>
          <w:u w:val="single"/>
        </w:rPr>
        <w:t xml:space="preserve">               </w:t>
      </w:r>
      <w:r>
        <w:rPr>
          <w:rFonts w:ascii="宋体" w:hAnsi="宋体" w:hint="eastAsia"/>
          <w:sz w:val="22"/>
        </w:rPr>
        <w:t>、</w:t>
      </w:r>
      <w:r>
        <w:rPr>
          <w:rFonts w:hAnsi="宋体"/>
          <w:sz w:val="22"/>
          <w:u w:val="single"/>
        </w:rPr>
        <w:t xml:space="preserve">               </w:t>
      </w:r>
      <w:r>
        <w:rPr>
          <w:rFonts w:ascii="宋体" w:hAnsi="宋体" w:hint="eastAsia"/>
          <w:sz w:val="22"/>
        </w:rPr>
        <w:t>、</w:t>
      </w:r>
      <w:r>
        <w:rPr>
          <w:rFonts w:hAnsi="宋体"/>
          <w:sz w:val="22"/>
          <w:u w:val="single"/>
        </w:rPr>
        <w:t xml:space="preserve">               </w:t>
      </w:r>
      <w:r>
        <w:rPr>
          <w:rFonts w:ascii="宋体" w:hAnsi="宋体" w:hint="eastAsia"/>
          <w:sz w:val="22"/>
        </w:rPr>
        <w:t>、</w:t>
      </w:r>
      <w:r>
        <w:rPr>
          <w:rFonts w:hAnsi="宋体"/>
          <w:sz w:val="22"/>
          <w:u w:val="single"/>
        </w:rPr>
        <w:t xml:space="preserve">               </w:t>
      </w:r>
      <w:r>
        <w:rPr>
          <w:rFonts w:ascii="宋体" w:hAnsi="宋体" w:hint="eastAsia"/>
          <w:sz w:val="22"/>
        </w:rPr>
        <w:t>、等。其中的信息获取包括</w:t>
      </w:r>
      <w:r>
        <w:rPr>
          <w:rFonts w:hAnsi="宋体"/>
          <w:sz w:val="22"/>
          <w:u w:val="single"/>
        </w:rPr>
        <w:t xml:space="preserve">             </w:t>
      </w:r>
      <w:r>
        <w:rPr>
          <w:rFonts w:ascii="宋体" w:hAnsi="宋体" w:hint="eastAsia"/>
          <w:sz w:val="22"/>
        </w:rPr>
        <w:t>、</w:t>
      </w:r>
      <w:r>
        <w:rPr>
          <w:rFonts w:hAnsi="宋体"/>
          <w:sz w:val="22"/>
          <w:u w:val="single"/>
        </w:rPr>
        <w:t xml:space="preserve">             </w:t>
      </w:r>
      <w:r>
        <w:rPr>
          <w:rFonts w:ascii="宋体" w:hAnsi="宋体" w:hint="eastAsia"/>
          <w:sz w:val="22"/>
        </w:rPr>
        <w:t>、</w:t>
      </w:r>
      <w:r>
        <w:rPr>
          <w:rFonts w:hAnsi="宋体"/>
          <w:sz w:val="22"/>
          <w:u w:val="single"/>
        </w:rPr>
        <w:t xml:space="preserve">             </w:t>
      </w:r>
      <w:r>
        <w:rPr>
          <w:rFonts w:ascii="宋体" w:hAnsi="宋体" w:hint="eastAsia"/>
          <w:sz w:val="22"/>
        </w:rPr>
        <w:t>等子过程。</w:t>
      </w:r>
    </w:p>
    <w:p w:rsidR="003717A0" w:rsidRDefault="003717A0">
      <w:pPr>
        <w:adjustRightInd w:val="0"/>
        <w:snapToGrid w:val="0"/>
        <w:spacing w:line="360" w:lineRule="auto"/>
        <w:rPr>
          <w:rFonts w:ascii="宋体"/>
          <w:sz w:val="22"/>
        </w:rPr>
      </w:pPr>
      <w:r>
        <w:rPr>
          <w:rFonts w:ascii="宋体" w:hAnsi="宋体"/>
          <w:sz w:val="22"/>
        </w:rPr>
        <w:t>2</w:t>
      </w:r>
      <w:r>
        <w:rPr>
          <w:rFonts w:ascii="宋体" w:hAnsi="宋体" w:hint="eastAsia"/>
          <w:sz w:val="22"/>
        </w:rPr>
        <w:t>医院信息系统主要是由以</w:t>
      </w:r>
      <w:r>
        <w:rPr>
          <w:rFonts w:hAnsi="宋体"/>
          <w:sz w:val="22"/>
          <w:u w:val="single"/>
        </w:rPr>
        <w:t xml:space="preserve">           </w:t>
      </w:r>
      <w:r>
        <w:rPr>
          <w:rFonts w:ascii="宋体" w:hAnsi="宋体" w:hint="eastAsia"/>
          <w:sz w:val="22"/>
        </w:rPr>
        <w:t>为中心的管理信息系统、以</w:t>
      </w:r>
      <w:r>
        <w:rPr>
          <w:rFonts w:ascii="宋体" w:hAnsi="宋体"/>
          <w:sz w:val="22"/>
          <w:u w:val="single"/>
        </w:rPr>
        <w:t xml:space="preserve">__      </w:t>
      </w:r>
      <w:r>
        <w:rPr>
          <w:rFonts w:ascii="宋体" w:hAnsi="宋体" w:hint="eastAsia"/>
          <w:sz w:val="22"/>
        </w:rPr>
        <w:t>为中心的临床信息系统和以</w:t>
      </w:r>
      <w:r>
        <w:rPr>
          <w:rFonts w:ascii="宋体" w:hAnsi="宋体"/>
          <w:sz w:val="22"/>
        </w:rPr>
        <w:t xml:space="preserve">  </w:t>
      </w:r>
      <w:r>
        <w:rPr>
          <w:rFonts w:hAnsi="宋体"/>
          <w:sz w:val="22"/>
          <w:u w:val="single"/>
        </w:rPr>
        <w:t xml:space="preserve">        </w:t>
      </w:r>
      <w:r>
        <w:rPr>
          <w:rFonts w:ascii="宋体" w:hAnsi="宋体" w:hint="eastAsia"/>
          <w:sz w:val="22"/>
        </w:rPr>
        <w:t>为中心的医学文献服务信息系统。</w:t>
      </w:r>
    </w:p>
    <w:p w:rsidR="003717A0" w:rsidRDefault="003717A0">
      <w:pPr>
        <w:adjustRightInd w:val="0"/>
        <w:snapToGrid w:val="0"/>
        <w:spacing w:line="360" w:lineRule="auto"/>
        <w:rPr>
          <w:rFonts w:ascii="宋体"/>
          <w:sz w:val="22"/>
        </w:rPr>
      </w:pPr>
      <w:r>
        <w:rPr>
          <w:rFonts w:ascii="宋体" w:hAnsi="宋体"/>
          <w:sz w:val="22"/>
        </w:rPr>
        <w:t>3DICOM</w:t>
      </w:r>
      <w:r>
        <w:rPr>
          <w:rFonts w:ascii="宋体" w:hAnsi="宋体" w:hint="eastAsia"/>
          <w:sz w:val="22"/>
        </w:rPr>
        <w:t>图像格式中像素数据元素表示了图像的每一个像素数据，其标签是</w:t>
      </w:r>
      <w:r>
        <w:rPr>
          <w:rFonts w:ascii="宋体" w:hAnsi="宋体"/>
          <w:sz w:val="22"/>
        </w:rPr>
        <w:t xml:space="preserve"> </w:t>
      </w:r>
      <w:r>
        <w:rPr>
          <w:rFonts w:hAnsi="宋体"/>
          <w:sz w:val="22"/>
          <w:u w:val="single"/>
        </w:rPr>
        <w:t xml:space="preserve">             </w:t>
      </w:r>
      <w:r>
        <w:rPr>
          <w:rFonts w:ascii="宋体" w:hAnsi="宋体" w:hint="eastAsia"/>
          <w:sz w:val="22"/>
        </w:rPr>
        <w:t>。</w:t>
      </w:r>
    </w:p>
    <w:p w:rsidR="003717A0" w:rsidRDefault="003717A0">
      <w:pPr>
        <w:adjustRightInd w:val="0"/>
        <w:snapToGrid w:val="0"/>
        <w:spacing w:line="360" w:lineRule="auto"/>
        <w:rPr>
          <w:rFonts w:ascii="宋体"/>
          <w:sz w:val="22"/>
        </w:rPr>
      </w:pPr>
      <w:r>
        <w:rPr>
          <w:rFonts w:ascii="宋体" w:hAnsi="宋体"/>
          <w:sz w:val="22"/>
        </w:rPr>
        <w:t>4</w:t>
      </w:r>
      <w:r>
        <w:rPr>
          <w:rFonts w:hAnsi="宋体"/>
          <w:sz w:val="22"/>
          <w:u w:val="single"/>
        </w:rPr>
        <w:t xml:space="preserve">             </w:t>
      </w:r>
      <w:r>
        <w:rPr>
          <w:rFonts w:hAnsi="宋体" w:hint="eastAsia"/>
          <w:sz w:val="22"/>
        </w:rPr>
        <w:t>是指</w:t>
      </w:r>
      <w:r>
        <w:rPr>
          <w:rFonts w:ascii="宋体" w:hAnsi="宋体" w:hint="eastAsia"/>
          <w:sz w:val="22"/>
        </w:rPr>
        <w:t>利用计算机技术、网络技术和通讯技术构建的覆盖各级卫生行政部门、疾病预防控制中心、卫生监督中心、各级各类医疗卫生机构的高效、快速、通畅的网络信息系统。</w:t>
      </w:r>
    </w:p>
    <w:p w:rsidR="003717A0" w:rsidRDefault="003717A0">
      <w:pPr>
        <w:widowControl/>
        <w:adjustRightInd w:val="0"/>
        <w:snapToGrid w:val="0"/>
        <w:spacing w:line="440" w:lineRule="exact"/>
        <w:ind w:firstLineChars="162" w:firstLine="358"/>
        <w:rPr>
          <w:rFonts w:ascii="Times New Roman" w:hAnsi="Times New Roman"/>
          <w:b/>
          <w:kern w:val="0"/>
          <w:sz w:val="22"/>
        </w:rPr>
      </w:pPr>
      <w:r>
        <w:rPr>
          <w:rFonts w:ascii="Times New Roman" w:hAnsi="Times New Roman" w:hint="eastAsia"/>
          <w:b/>
          <w:kern w:val="0"/>
          <w:sz w:val="22"/>
        </w:rPr>
        <w:t>四、名词解释：（每题</w:t>
      </w:r>
      <w:r>
        <w:rPr>
          <w:rFonts w:ascii="Times New Roman" w:hAnsi="Times New Roman"/>
          <w:b/>
          <w:kern w:val="0"/>
          <w:sz w:val="22"/>
        </w:rPr>
        <w:t>3</w:t>
      </w:r>
      <w:r>
        <w:rPr>
          <w:rFonts w:ascii="Times New Roman" w:hAnsi="Times New Roman" w:hint="eastAsia"/>
          <w:b/>
          <w:kern w:val="0"/>
          <w:sz w:val="22"/>
        </w:rPr>
        <w:t>分，共</w:t>
      </w:r>
      <w:r>
        <w:rPr>
          <w:rFonts w:ascii="Times New Roman" w:hAnsi="Times New Roman"/>
          <w:b/>
          <w:kern w:val="0"/>
          <w:sz w:val="22"/>
        </w:rPr>
        <w:t>12</w:t>
      </w:r>
      <w:r>
        <w:rPr>
          <w:rFonts w:ascii="Times New Roman" w:hAnsi="Times New Roman" w:hint="eastAsia"/>
          <w:b/>
          <w:kern w:val="0"/>
          <w:sz w:val="22"/>
        </w:rPr>
        <w:t>分）</w:t>
      </w:r>
    </w:p>
    <w:p w:rsidR="003717A0" w:rsidRDefault="003717A0">
      <w:pPr>
        <w:adjustRightInd w:val="0"/>
        <w:snapToGrid w:val="0"/>
        <w:spacing w:line="360" w:lineRule="auto"/>
        <w:rPr>
          <w:sz w:val="22"/>
        </w:rPr>
      </w:pPr>
      <w:r>
        <w:rPr>
          <w:sz w:val="22"/>
        </w:rPr>
        <w:t>1</w:t>
      </w:r>
      <w:r>
        <w:rPr>
          <w:rFonts w:hint="eastAsia"/>
          <w:sz w:val="22"/>
        </w:rPr>
        <w:t>．</w:t>
      </w:r>
      <w:r>
        <w:rPr>
          <w:rFonts w:hAnsi="宋体" w:hint="eastAsia"/>
          <w:sz w:val="22"/>
        </w:rPr>
        <w:t>检索语言</w:t>
      </w:r>
    </w:p>
    <w:p w:rsidR="003717A0" w:rsidRDefault="003717A0">
      <w:pPr>
        <w:adjustRightInd w:val="0"/>
        <w:snapToGrid w:val="0"/>
        <w:spacing w:line="360" w:lineRule="auto"/>
        <w:rPr>
          <w:sz w:val="22"/>
        </w:rPr>
      </w:pPr>
      <w:r>
        <w:rPr>
          <w:sz w:val="22"/>
        </w:rPr>
        <w:t>2</w:t>
      </w:r>
      <w:r>
        <w:rPr>
          <w:rFonts w:hint="eastAsia"/>
          <w:sz w:val="22"/>
        </w:rPr>
        <w:t>．电子病历的信息来源</w:t>
      </w:r>
    </w:p>
    <w:p w:rsidR="003717A0" w:rsidRDefault="003717A0">
      <w:pPr>
        <w:adjustRightInd w:val="0"/>
        <w:snapToGrid w:val="0"/>
        <w:spacing w:line="360" w:lineRule="auto"/>
        <w:rPr>
          <w:sz w:val="22"/>
        </w:rPr>
      </w:pPr>
      <w:r>
        <w:rPr>
          <w:sz w:val="22"/>
        </w:rPr>
        <w:t>3</w:t>
      </w:r>
      <w:r>
        <w:rPr>
          <w:rFonts w:hint="eastAsia"/>
          <w:sz w:val="22"/>
        </w:rPr>
        <w:t>．服务类定义</w:t>
      </w:r>
    </w:p>
    <w:p w:rsidR="003717A0" w:rsidRDefault="003717A0">
      <w:pPr>
        <w:adjustRightInd w:val="0"/>
        <w:snapToGrid w:val="0"/>
        <w:spacing w:line="360" w:lineRule="auto"/>
        <w:rPr>
          <w:rFonts w:hAnsi="宋体"/>
          <w:sz w:val="22"/>
        </w:rPr>
      </w:pPr>
      <w:r>
        <w:rPr>
          <w:sz w:val="22"/>
        </w:rPr>
        <w:t>4</w:t>
      </w:r>
      <w:r>
        <w:rPr>
          <w:rFonts w:hint="eastAsia"/>
          <w:sz w:val="22"/>
        </w:rPr>
        <w:t>．哨点监测</w:t>
      </w:r>
    </w:p>
    <w:p w:rsidR="003717A0" w:rsidRDefault="003717A0">
      <w:pPr>
        <w:widowControl/>
        <w:adjustRightInd w:val="0"/>
        <w:snapToGrid w:val="0"/>
        <w:spacing w:line="440" w:lineRule="exact"/>
        <w:ind w:firstLineChars="162" w:firstLine="358"/>
        <w:rPr>
          <w:rFonts w:ascii="Times New Roman" w:hAnsi="Times New Roman"/>
          <w:b/>
          <w:kern w:val="0"/>
          <w:sz w:val="22"/>
        </w:rPr>
      </w:pPr>
      <w:r>
        <w:rPr>
          <w:rFonts w:ascii="Times New Roman" w:hAnsi="Times New Roman" w:hint="eastAsia"/>
          <w:b/>
          <w:kern w:val="0"/>
          <w:sz w:val="22"/>
        </w:rPr>
        <w:t>五、简答题：（每题</w:t>
      </w:r>
      <w:r>
        <w:rPr>
          <w:rFonts w:ascii="Times New Roman" w:hAnsi="Times New Roman"/>
          <w:b/>
          <w:kern w:val="0"/>
          <w:sz w:val="22"/>
        </w:rPr>
        <w:t>6</w:t>
      </w:r>
      <w:r>
        <w:rPr>
          <w:rFonts w:ascii="Times New Roman" w:hAnsi="Times New Roman" w:hint="eastAsia"/>
          <w:b/>
          <w:kern w:val="0"/>
          <w:sz w:val="22"/>
        </w:rPr>
        <w:t>分，共</w:t>
      </w:r>
      <w:r>
        <w:rPr>
          <w:rFonts w:ascii="Times New Roman" w:hAnsi="Times New Roman"/>
          <w:b/>
          <w:kern w:val="0"/>
          <w:sz w:val="22"/>
        </w:rPr>
        <w:t>24</w:t>
      </w:r>
      <w:r>
        <w:rPr>
          <w:rFonts w:ascii="Times New Roman" w:hAnsi="Times New Roman" w:hint="eastAsia"/>
          <w:b/>
          <w:kern w:val="0"/>
          <w:sz w:val="22"/>
        </w:rPr>
        <w:t>分）</w:t>
      </w:r>
    </w:p>
    <w:p w:rsidR="003717A0" w:rsidRDefault="003717A0">
      <w:pPr>
        <w:adjustRightInd w:val="0"/>
        <w:snapToGrid w:val="0"/>
        <w:spacing w:line="360" w:lineRule="auto"/>
        <w:rPr>
          <w:sz w:val="22"/>
        </w:rPr>
      </w:pPr>
      <w:r>
        <w:rPr>
          <w:sz w:val="22"/>
        </w:rPr>
        <w:t>1</w:t>
      </w:r>
      <w:r>
        <w:rPr>
          <w:rFonts w:hint="eastAsia"/>
          <w:sz w:val="22"/>
        </w:rPr>
        <w:t>．</w:t>
      </w:r>
      <w:r>
        <w:rPr>
          <w:rFonts w:hAnsi="宋体" w:hint="eastAsia"/>
          <w:sz w:val="22"/>
        </w:rPr>
        <w:t>简述搜索引擎的工作原理。</w:t>
      </w:r>
    </w:p>
    <w:p w:rsidR="003717A0" w:rsidRDefault="003717A0">
      <w:pPr>
        <w:adjustRightInd w:val="0"/>
        <w:snapToGrid w:val="0"/>
        <w:spacing w:line="360" w:lineRule="auto"/>
        <w:rPr>
          <w:sz w:val="22"/>
        </w:rPr>
      </w:pPr>
      <w:r>
        <w:rPr>
          <w:sz w:val="22"/>
        </w:rPr>
        <w:t>2</w:t>
      </w:r>
      <w:r>
        <w:rPr>
          <w:rFonts w:hint="eastAsia"/>
          <w:sz w:val="22"/>
        </w:rPr>
        <w:t>．举例</w:t>
      </w:r>
      <w:r>
        <w:rPr>
          <w:sz w:val="22"/>
        </w:rPr>
        <w:t>3</w:t>
      </w:r>
      <w:r>
        <w:rPr>
          <w:rFonts w:hint="eastAsia"/>
          <w:sz w:val="22"/>
        </w:rPr>
        <w:t>个例子说明远程医学在日常生活中的具体应用。</w:t>
      </w:r>
    </w:p>
    <w:p w:rsidR="003717A0" w:rsidRDefault="003717A0">
      <w:pPr>
        <w:adjustRightInd w:val="0"/>
        <w:snapToGrid w:val="0"/>
        <w:spacing w:line="360" w:lineRule="auto"/>
        <w:rPr>
          <w:sz w:val="22"/>
        </w:rPr>
      </w:pPr>
      <w:r>
        <w:rPr>
          <w:sz w:val="22"/>
        </w:rPr>
        <w:t>3</w:t>
      </w:r>
      <w:r>
        <w:rPr>
          <w:rFonts w:hint="eastAsia"/>
          <w:sz w:val="22"/>
        </w:rPr>
        <w:t>．请简述</w:t>
      </w:r>
      <w:r>
        <w:rPr>
          <w:sz w:val="22"/>
        </w:rPr>
        <w:t>PACS</w:t>
      </w:r>
      <w:r>
        <w:rPr>
          <w:rFonts w:hint="eastAsia"/>
          <w:sz w:val="22"/>
        </w:rPr>
        <w:t>的基本结构。</w:t>
      </w:r>
    </w:p>
    <w:p w:rsidR="003717A0" w:rsidRDefault="003717A0">
      <w:pPr>
        <w:adjustRightInd w:val="0"/>
        <w:snapToGrid w:val="0"/>
        <w:spacing w:line="360" w:lineRule="auto"/>
        <w:rPr>
          <w:sz w:val="22"/>
        </w:rPr>
      </w:pPr>
      <w:r>
        <w:rPr>
          <w:sz w:val="22"/>
        </w:rPr>
        <w:t>4</w:t>
      </w:r>
      <w:r>
        <w:rPr>
          <w:rFonts w:hint="eastAsia"/>
          <w:sz w:val="22"/>
        </w:rPr>
        <w:t>．</w:t>
      </w:r>
      <w:r>
        <w:rPr>
          <w:sz w:val="22"/>
        </w:rPr>
        <w:t>SARS</w:t>
      </w:r>
      <w:r>
        <w:rPr>
          <w:rFonts w:hint="eastAsia"/>
          <w:sz w:val="22"/>
        </w:rPr>
        <w:t>时期</w:t>
      </w:r>
      <w:r>
        <w:rPr>
          <w:sz w:val="22"/>
        </w:rPr>
        <w:t>PHIS</w:t>
      </w:r>
      <w:r>
        <w:rPr>
          <w:rFonts w:hint="eastAsia"/>
          <w:sz w:val="22"/>
        </w:rPr>
        <w:t>存在的问题？</w:t>
      </w:r>
    </w:p>
    <w:p w:rsidR="003717A0" w:rsidRDefault="003717A0" w:rsidP="005E20B5">
      <w:pPr>
        <w:widowControl/>
        <w:adjustRightInd w:val="0"/>
        <w:snapToGrid w:val="0"/>
        <w:spacing w:beforeLines="50" w:line="440" w:lineRule="exact"/>
        <w:ind w:firstLineChars="162" w:firstLine="358"/>
        <w:rPr>
          <w:rFonts w:ascii="Times New Roman" w:hAnsi="Times New Roman"/>
          <w:b/>
          <w:kern w:val="0"/>
          <w:sz w:val="22"/>
        </w:rPr>
      </w:pPr>
      <w:r>
        <w:rPr>
          <w:rFonts w:ascii="Times New Roman" w:hAnsi="Times New Roman" w:hint="eastAsia"/>
          <w:b/>
          <w:kern w:val="0"/>
          <w:sz w:val="22"/>
        </w:rPr>
        <w:t>六、问答题：（每题</w:t>
      </w:r>
      <w:r>
        <w:rPr>
          <w:rFonts w:ascii="Times New Roman" w:hAnsi="Times New Roman"/>
          <w:b/>
          <w:kern w:val="0"/>
          <w:sz w:val="22"/>
        </w:rPr>
        <w:t>12</w:t>
      </w:r>
      <w:r>
        <w:rPr>
          <w:rFonts w:ascii="Times New Roman" w:hAnsi="Times New Roman" w:hint="eastAsia"/>
          <w:b/>
          <w:kern w:val="0"/>
          <w:sz w:val="22"/>
        </w:rPr>
        <w:t>分，共</w:t>
      </w:r>
      <w:r>
        <w:rPr>
          <w:rFonts w:ascii="Times New Roman" w:hAnsi="Times New Roman"/>
          <w:b/>
          <w:kern w:val="0"/>
          <w:sz w:val="22"/>
        </w:rPr>
        <w:t>12</w:t>
      </w:r>
      <w:r>
        <w:rPr>
          <w:rFonts w:ascii="Times New Roman" w:hAnsi="Times New Roman" w:hint="eastAsia"/>
          <w:b/>
          <w:kern w:val="0"/>
          <w:sz w:val="22"/>
        </w:rPr>
        <w:t>分）</w:t>
      </w:r>
    </w:p>
    <w:p w:rsidR="003717A0" w:rsidRDefault="003717A0">
      <w:pPr>
        <w:adjustRightInd w:val="0"/>
        <w:snapToGrid w:val="0"/>
        <w:spacing w:line="360" w:lineRule="auto"/>
        <w:rPr>
          <w:rFonts w:hAnsi="宋体"/>
          <w:sz w:val="22"/>
        </w:rPr>
      </w:pPr>
      <w:r>
        <w:rPr>
          <w:sz w:val="22"/>
        </w:rPr>
        <w:t>1</w:t>
      </w:r>
      <w:r>
        <w:rPr>
          <w:rFonts w:hint="eastAsia"/>
          <w:sz w:val="22"/>
        </w:rPr>
        <w:t>．</w:t>
      </w:r>
      <w:r>
        <w:rPr>
          <w:rFonts w:hAnsi="宋体" w:hint="eastAsia"/>
          <w:sz w:val="22"/>
        </w:rPr>
        <w:t>先简述可以根据哪几方面考虑数据库的选择？（</w:t>
      </w:r>
      <w:r>
        <w:rPr>
          <w:rFonts w:hAnsi="宋体"/>
          <w:sz w:val="22"/>
        </w:rPr>
        <w:t>2</w:t>
      </w:r>
      <w:r>
        <w:rPr>
          <w:rFonts w:hAnsi="宋体" w:hint="eastAsia"/>
          <w:sz w:val="22"/>
        </w:rPr>
        <w:t>分）然后再任选一个外文数据库，搜索“医疗卫生信息资源优化配置”相关论文，写出其检索策略（包括数据库名称、时间设定、检索字段、检索词、逻辑关系、如何筛查检索结果、结果输出等步骤）</w:t>
      </w:r>
    </w:p>
    <w:p w:rsidR="003717A0" w:rsidRDefault="003717A0">
      <w:pPr>
        <w:spacing w:line="300" w:lineRule="auto"/>
        <w:rPr>
          <w:szCs w:val="21"/>
        </w:rPr>
      </w:pPr>
    </w:p>
    <w:p w:rsidR="003717A0" w:rsidRDefault="003717A0" w:rsidP="00F5156D">
      <w:pPr>
        <w:adjustRightInd w:val="0"/>
        <w:spacing w:line="360" w:lineRule="auto"/>
        <w:contextualSpacing/>
        <w:jc w:val="center"/>
        <w:rPr>
          <w:rFonts w:ascii="黑体" w:eastAsia="黑体"/>
          <w:b/>
          <w:sz w:val="30"/>
          <w:szCs w:val="30"/>
        </w:rPr>
      </w:pPr>
      <w:r>
        <w:rPr>
          <w:rFonts w:ascii="Times New Roman" w:hAnsi="Times New Roman"/>
          <w:b/>
          <w:kern w:val="0"/>
          <w:sz w:val="22"/>
        </w:rPr>
        <w:br w:type="page"/>
      </w:r>
      <w:r w:rsidRPr="00F5156D">
        <w:rPr>
          <w:rFonts w:ascii="黑体" w:eastAsia="黑体" w:hint="eastAsia"/>
          <w:b/>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exact"/>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教师应关心医学数字化的研究进展，使教学内容能反映学科的发展趋势，但要避免在课堂上讲授证据不充分、科学依据不足的内容。教师在平时教学过程中要注意通过学习记录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exact"/>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83"/>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83"/>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83"/>
              </w:numPr>
              <w:autoSpaceDE w:val="0"/>
              <w:autoSpaceDN w:val="0"/>
              <w:adjustRightInd w:val="0"/>
              <w:snapToGrid w:val="0"/>
              <w:spacing w:line="360" w:lineRule="exact"/>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numPr>
                <w:ilvl w:val="0"/>
                <w:numId w:val="8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8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8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8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多媒体教学手段、在线演示相结合，以培养学生实践动手的能力。</w:t>
            </w:r>
          </w:p>
          <w:p w:rsidR="003717A0" w:rsidRDefault="003717A0">
            <w:pPr>
              <w:numPr>
                <w:ilvl w:val="0"/>
                <w:numId w:val="84"/>
              </w:numPr>
              <w:autoSpaceDE w:val="0"/>
              <w:autoSpaceDN w:val="0"/>
              <w:adjustRightInd w:val="0"/>
              <w:snapToGrid w:val="0"/>
              <w:spacing w:line="360" w:lineRule="exact"/>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Chars="54" w:left="113" w:right="113" w:firstLineChars="735" w:firstLine="1771"/>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exact"/>
              <w:ind w:firstLineChars="193" w:firstLine="425"/>
              <w:jc w:val="left"/>
              <w:rPr>
                <w:sz w:val="22"/>
              </w:rPr>
            </w:pPr>
            <w:r>
              <w:rPr>
                <w:rFonts w:hint="eastAsia"/>
                <w:sz w:val="22"/>
              </w:rPr>
              <w:t>学生需完成一定数量的平时作业，包括课前预习，课后在线操作等等。</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一、学生完成作业的主要内容：</w:t>
            </w:r>
          </w:p>
          <w:p w:rsidR="003717A0" w:rsidRDefault="003717A0">
            <w:pPr>
              <w:numPr>
                <w:ilvl w:val="0"/>
                <w:numId w:val="85"/>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理论课的每个章节有</w:t>
            </w:r>
            <w:r>
              <w:rPr>
                <w:rFonts w:ascii="Times New Roman" w:hAnsi="宋体"/>
                <w:szCs w:val="21"/>
              </w:rPr>
              <w:t>1</w:t>
            </w:r>
            <w:r>
              <w:rPr>
                <w:rFonts w:ascii="Times New Roman" w:hAnsi="宋体" w:hint="eastAsia"/>
                <w:szCs w:val="21"/>
              </w:rPr>
              <w:t>个自学与拓展问题，全课程共有</w:t>
            </w:r>
            <w:r>
              <w:rPr>
                <w:rFonts w:ascii="Times New Roman" w:hAnsi="宋体"/>
                <w:szCs w:val="21"/>
              </w:rPr>
              <w:t>8</w:t>
            </w:r>
            <w:r>
              <w:rPr>
                <w:rFonts w:ascii="Times New Roman" w:hAnsi="宋体" w:hint="eastAsia"/>
                <w:szCs w:val="21"/>
              </w:rPr>
              <w:t>个题目，分三阶段向学生公布。每位学生在每阶段自选</w:t>
            </w:r>
            <w:r>
              <w:rPr>
                <w:rFonts w:ascii="Times New Roman" w:hAnsi="宋体"/>
                <w:szCs w:val="21"/>
              </w:rPr>
              <w:t>1</w:t>
            </w:r>
            <w:r>
              <w:rPr>
                <w:rFonts w:ascii="Times New Roman" w:hAnsi="宋体" w:hint="eastAsia"/>
                <w:szCs w:val="21"/>
              </w:rPr>
              <w:t>个题目，通过查阅资料自学，然后针对题目撰写</w:t>
            </w:r>
            <w:r>
              <w:rPr>
                <w:rFonts w:ascii="Times New Roman" w:hAnsi="宋体"/>
                <w:szCs w:val="21"/>
              </w:rPr>
              <w:t>500-800</w:t>
            </w:r>
            <w:r>
              <w:rPr>
                <w:rFonts w:ascii="Times New Roman" w:hAnsi="宋体" w:hint="eastAsia"/>
                <w:szCs w:val="21"/>
              </w:rPr>
              <w:t>字的书面小结，在规定时间内提交。本课程结束时，每位学生需完成</w:t>
            </w:r>
            <w:r>
              <w:rPr>
                <w:rFonts w:ascii="Times New Roman" w:hAnsi="宋体"/>
                <w:szCs w:val="21"/>
              </w:rPr>
              <w:t>3</w:t>
            </w:r>
            <w:r>
              <w:rPr>
                <w:rFonts w:ascii="Times New Roman" w:hAnsi="宋体" w:hint="eastAsia"/>
                <w:szCs w:val="21"/>
              </w:rPr>
              <w:t>个题目的小结。</w:t>
            </w:r>
          </w:p>
          <w:p w:rsidR="003717A0" w:rsidRDefault="003717A0">
            <w:pPr>
              <w:numPr>
                <w:ilvl w:val="0"/>
                <w:numId w:val="85"/>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根</w:t>
            </w:r>
            <w:r>
              <w:rPr>
                <w:rFonts w:ascii="Times New Roman" w:hAnsi="Times New Roman" w:hint="eastAsia"/>
                <w:szCs w:val="21"/>
              </w:rPr>
              <w:t>据理论课中每个章节给出的学生小论坛专题，由</w:t>
            </w:r>
            <w:r>
              <w:rPr>
                <w:rFonts w:ascii="Times New Roman" w:hAnsi="Times New Roman"/>
                <w:szCs w:val="21"/>
              </w:rPr>
              <w:t>5-6</w:t>
            </w:r>
            <w:r>
              <w:rPr>
                <w:rFonts w:ascii="Times New Roman" w:hAnsi="Times New Roman" w:hint="eastAsia"/>
                <w:szCs w:val="21"/>
              </w:rPr>
              <w:t>人组成小组，收集资料、学习、整理、制作相关</w:t>
            </w:r>
            <w:r>
              <w:rPr>
                <w:rFonts w:ascii="Times New Roman" w:hAnsi="Times New Roman"/>
                <w:szCs w:val="21"/>
              </w:rPr>
              <w:t>PPT</w:t>
            </w:r>
            <w:r>
              <w:rPr>
                <w:rFonts w:ascii="Times New Roman" w:hAnsi="Times New Roman" w:hint="eastAsia"/>
                <w:szCs w:val="21"/>
              </w:rPr>
              <w:t>，</w:t>
            </w:r>
            <w:r>
              <w:rPr>
                <w:rFonts w:ascii="Times New Roman" w:hAnsi="宋体" w:hint="eastAsia"/>
                <w:szCs w:val="21"/>
              </w:rPr>
              <w:t>并进行全班交流和讨论，拓展与本课程相关的知识。</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二、学生完成的作业必须达到以下基本要求：</w:t>
            </w:r>
          </w:p>
          <w:p w:rsidR="003717A0" w:rsidRDefault="003717A0">
            <w:pPr>
              <w:numPr>
                <w:ilvl w:val="0"/>
                <w:numId w:val="86"/>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按时按量完成作业，不缺交，不抄袭；</w:t>
            </w:r>
          </w:p>
          <w:p w:rsidR="003717A0" w:rsidRDefault="003717A0">
            <w:pPr>
              <w:numPr>
                <w:ilvl w:val="0"/>
                <w:numId w:val="86"/>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作业规范，书写清晰；</w:t>
            </w:r>
          </w:p>
          <w:p w:rsidR="003717A0" w:rsidRDefault="003717A0">
            <w:pPr>
              <w:numPr>
                <w:ilvl w:val="0"/>
                <w:numId w:val="86"/>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答案正确。</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三、教师批改或讲评作业的数量和次数要求如下：</w:t>
            </w:r>
          </w:p>
          <w:p w:rsidR="003717A0" w:rsidRDefault="003717A0">
            <w:pPr>
              <w:numPr>
                <w:ilvl w:val="0"/>
                <w:numId w:val="87"/>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学生的作业要全批全改，并按时批改、讲评学生每次交来的作业；</w:t>
            </w:r>
          </w:p>
          <w:p w:rsidR="003717A0" w:rsidRDefault="003717A0">
            <w:pPr>
              <w:numPr>
                <w:ilvl w:val="0"/>
                <w:numId w:val="87"/>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教师批改或讲评作业要认真、细致，并写明日期；</w:t>
            </w:r>
          </w:p>
          <w:p w:rsidR="003717A0" w:rsidRDefault="003717A0">
            <w:pPr>
              <w:numPr>
                <w:ilvl w:val="0"/>
                <w:numId w:val="87"/>
              </w:numPr>
              <w:autoSpaceDE w:val="0"/>
              <w:autoSpaceDN w:val="0"/>
              <w:adjustRightInd w:val="0"/>
              <w:snapToGrid w:val="0"/>
              <w:spacing w:line="360" w:lineRule="exact"/>
              <w:jc w:val="left"/>
              <w:rPr>
                <w:sz w:val="22"/>
              </w:rPr>
            </w:pPr>
            <w:r>
              <w:rPr>
                <w:rFonts w:ascii="Times New Roman" w:hAnsi="宋体" w:hint="eastAsia"/>
                <w:szCs w:val="21"/>
              </w:rPr>
              <w:t>期末按百分制评出每个学生作业的总评成绩，作为本课程学期总评成绩中平时成绩的重要组成</w:t>
            </w:r>
            <w:r>
              <w:rPr>
                <w:rFonts w:ascii="Times New Roman" w:hAnsi="宋体" w:hint="eastAsia"/>
                <w:szCs w:val="21"/>
              </w:rPr>
              <w:lastRenderedPageBreak/>
              <w:t>部分。</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exact"/>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exact"/>
              <w:ind w:firstLineChars="193" w:firstLine="405"/>
              <w:jc w:val="left"/>
              <w:rPr>
                <w:rFonts w:ascii="宋体"/>
                <w:szCs w:val="21"/>
              </w:rPr>
            </w:pPr>
            <w:r>
              <w:rPr>
                <w:rFonts w:ascii="宋体" w:hAnsi="宋体" w:hint="eastAsia"/>
                <w:szCs w:val="21"/>
              </w:rPr>
              <w:t>本课程为学期课程，成绩考核的方式：考查。考试时实行同一专业统考，即统一命题，统一考试，统一阅卷。考试学期总评成绩的评定方法如下：</w:t>
            </w:r>
          </w:p>
          <w:p w:rsidR="003717A0" w:rsidRDefault="003717A0">
            <w:pPr>
              <w:numPr>
                <w:ilvl w:val="0"/>
                <w:numId w:val="88"/>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平时作业占总评成绩的</w:t>
            </w:r>
            <w:r>
              <w:rPr>
                <w:rFonts w:ascii="Times New Roman" w:hAnsi="宋体"/>
                <w:szCs w:val="21"/>
              </w:rPr>
              <w:t>30%</w:t>
            </w:r>
            <w:r>
              <w:rPr>
                <w:rFonts w:ascii="Times New Roman" w:hAnsi="宋体" w:hint="eastAsia"/>
                <w:szCs w:val="21"/>
              </w:rPr>
              <w:t>；</w:t>
            </w:r>
          </w:p>
          <w:p w:rsidR="003717A0" w:rsidRDefault="003717A0">
            <w:pPr>
              <w:numPr>
                <w:ilvl w:val="0"/>
                <w:numId w:val="88"/>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70%</w:t>
            </w:r>
            <w:r>
              <w:rPr>
                <w:rFonts w:ascii="Times New Roman" w:hAnsi="宋体" w:hint="eastAsia"/>
                <w:szCs w:val="21"/>
              </w:rPr>
              <w:t>；</w:t>
            </w:r>
          </w:p>
          <w:p w:rsidR="003717A0" w:rsidRDefault="003717A0">
            <w:pPr>
              <w:numPr>
                <w:ilvl w:val="0"/>
                <w:numId w:val="88"/>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exact"/>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pPr>
              <w:spacing w:line="360" w:lineRule="exact"/>
            </w:pPr>
          </w:p>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kern w:val="0"/>
        </w:rPr>
      </w:pPr>
      <w:r>
        <w:rPr>
          <w:kern w:val="0"/>
        </w:rPr>
        <w:br w:type="page"/>
      </w:r>
      <w:bookmarkStart w:id="34" w:name="_Toc469312983"/>
      <w:bookmarkStart w:id="35" w:name="_Toc471830695"/>
      <w:r w:rsidRPr="00F5156D">
        <w:rPr>
          <w:rFonts w:hint="eastAsia"/>
          <w:b/>
          <w:kern w:val="0"/>
        </w:rPr>
        <w:lastRenderedPageBreak/>
        <w:t>《医用高等数学》课程质量标准</w:t>
      </w:r>
      <w:bookmarkEnd w:id="34"/>
      <w:bookmarkEnd w:id="35"/>
    </w:p>
    <w:p w:rsidR="003717A0" w:rsidRPr="00F5156D" w:rsidRDefault="003717A0" w:rsidP="005E20B5">
      <w:pPr>
        <w:adjustRightInd w:val="0"/>
        <w:snapToGrid w:val="0"/>
        <w:spacing w:beforeLines="50" w:afterLines="50" w:line="400" w:lineRule="exact"/>
        <w:jc w:val="center"/>
        <w:rPr>
          <w:rFonts w:ascii="Times New Roman" w:hAnsi="Times New Roman"/>
          <w:b/>
          <w:sz w:val="32"/>
          <w:szCs w:val="32"/>
        </w:rPr>
      </w:pPr>
      <w:r w:rsidRPr="00F5156D">
        <w:rPr>
          <w:rFonts w:ascii="Times New Roman" w:eastAsia="黑体" w:hAnsi="Times New Roman" w:hint="eastAsia"/>
          <w:b/>
          <w:kern w:val="0"/>
          <w:sz w:val="32"/>
          <w:szCs w:val="32"/>
        </w:rPr>
        <w:t>一、课程简介</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课程名称</w:t>
            </w:r>
          </w:p>
        </w:tc>
        <w:tc>
          <w:tcPr>
            <w:tcW w:w="7618" w:type="dxa"/>
            <w:gridSpan w:val="9"/>
          </w:tcPr>
          <w:p w:rsidR="003717A0" w:rsidRDefault="003717A0">
            <w:pPr>
              <w:adjustRightInd w:val="0"/>
              <w:snapToGrid w:val="0"/>
              <w:spacing w:line="440" w:lineRule="exact"/>
              <w:jc w:val="center"/>
              <w:rPr>
                <w:rFonts w:ascii="宋体"/>
                <w:sz w:val="22"/>
              </w:rPr>
            </w:pPr>
            <w:r>
              <w:rPr>
                <w:rFonts w:ascii="宋体" w:hAnsi="宋体" w:hint="eastAsia"/>
                <w:kern w:val="0"/>
                <w:sz w:val="22"/>
              </w:rPr>
              <w:t>医用高等数学</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英译名称</w:t>
            </w:r>
          </w:p>
        </w:tc>
        <w:tc>
          <w:tcPr>
            <w:tcW w:w="7618" w:type="dxa"/>
            <w:gridSpan w:val="9"/>
          </w:tcPr>
          <w:p w:rsidR="003717A0" w:rsidRDefault="003717A0">
            <w:pPr>
              <w:adjustRightInd w:val="0"/>
              <w:snapToGrid w:val="0"/>
              <w:spacing w:line="440" w:lineRule="exact"/>
              <w:jc w:val="center"/>
              <w:rPr>
                <w:rFonts w:ascii="宋体"/>
                <w:kern w:val="0"/>
                <w:sz w:val="22"/>
              </w:rPr>
            </w:pPr>
            <w:r>
              <w:rPr>
                <w:rFonts w:ascii="宋体" w:hAnsi="宋体"/>
                <w:kern w:val="0"/>
                <w:sz w:val="22"/>
              </w:rPr>
              <w:t>Medical Advanced Mathematics</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课程代码</w:t>
            </w:r>
          </w:p>
        </w:tc>
        <w:tc>
          <w:tcPr>
            <w:tcW w:w="2350" w:type="dxa"/>
            <w:gridSpan w:val="2"/>
          </w:tcPr>
          <w:p w:rsidR="003717A0" w:rsidRDefault="003717A0">
            <w:pPr>
              <w:adjustRightInd w:val="0"/>
              <w:snapToGrid w:val="0"/>
              <w:spacing w:line="440" w:lineRule="exact"/>
              <w:jc w:val="center"/>
              <w:rPr>
                <w:rFonts w:ascii="宋体"/>
                <w:kern w:val="0"/>
                <w:sz w:val="22"/>
              </w:rPr>
            </w:pPr>
            <w:r>
              <w:rPr>
                <w:rFonts w:ascii="宋体" w:hAnsi="宋体"/>
                <w:kern w:val="0"/>
                <w:sz w:val="22"/>
              </w:rPr>
              <w:t>020312</w:t>
            </w:r>
          </w:p>
        </w:tc>
        <w:tc>
          <w:tcPr>
            <w:tcW w:w="1902" w:type="dxa"/>
            <w:gridSpan w:val="3"/>
          </w:tcPr>
          <w:p w:rsidR="003717A0" w:rsidRDefault="003717A0">
            <w:pPr>
              <w:adjustRightInd w:val="0"/>
              <w:snapToGrid w:val="0"/>
              <w:spacing w:line="440" w:lineRule="exact"/>
              <w:jc w:val="center"/>
              <w:rPr>
                <w:rFonts w:ascii="宋体"/>
                <w:sz w:val="22"/>
              </w:rPr>
            </w:pPr>
            <w:r>
              <w:rPr>
                <w:rFonts w:ascii="宋体" w:hAnsi="宋体" w:hint="eastAsia"/>
                <w:sz w:val="22"/>
              </w:rPr>
              <w:t>课程开设学期</w:t>
            </w:r>
          </w:p>
        </w:tc>
        <w:tc>
          <w:tcPr>
            <w:tcW w:w="3366" w:type="dxa"/>
            <w:gridSpan w:val="4"/>
          </w:tcPr>
          <w:p w:rsidR="003717A0" w:rsidRDefault="003717A0">
            <w:pPr>
              <w:adjustRightInd w:val="0"/>
              <w:snapToGrid w:val="0"/>
              <w:spacing w:line="440" w:lineRule="exact"/>
              <w:jc w:val="center"/>
              <w:rPr>
                <w:rFonts w:ascii="宋体"/>
                <w:sz w:val="22"/>
              </w:rPr>
            </w:pPr>
            <w:r>
              <w:rPr>
                <w:rFonts w:ascii="宋体" w:hAnsi="宋体" w:hint="eastAsia"/>
                <w:kern w:val="0"/>
                <w:sz w:val="22"/>
              </w:rPr>
              <w:t>一</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课程学时</w:t>
            </w:r>
          </w:p>
        </w:tc>
        <w:tc>
          <w:tcPr>
            <w:tcW w:w="2350" w:type="dxa"/>
            <w:gridSpan w:val="2"/>
          </w:tcPr>
          <w:p w:rsidR="003717A0" w:rsidRDefault="003717A0">
            <w:pPr>
              <w:adjustRightInd w:val="0"/>
              <w:snapToGrid w:val="0"/>
              <w:spacing w:line="440" w:lineRule="exact"/>
              <w:jc w:val="center"/>
              <w:rPr>
                <w:rFonts w:ascii="宋体"/>
                <w:kern w:val="0"/>
                <w:sz w:val="22"/>
              </w:rPr>
            </w:pPr>
            <w:r>
              <w:rPr>
                <w:rFonts w:ascii="宋体" w:hAnsi="宋体"/>
                <w:kern w:val="0"/>
                <w:sz w:val="22"/>
              </w:rPr>
              <w:t>64</w:t>
            </w:r>
          </w:p>
        </w:tc>
        <w:tc>
          <w:tcPr>
            <w:tcW w:w="1902" w:type="dxa"/>
            <w:gridSpan w:val="3"/>
          </w:tcPr>
          <w:p w:rsidR="003717A0" w:rsidRDefault="003717A0">
            <w:pPr>
              <w:adjustRightInd w:val="0"/>
              <w:snapToGrid w:val="0"/>
              <w:spacing w:line="440" w:lineRule="exact"/>
              <w:jc w:val="center"/>
              <w:rPr>
                <w:rFonts w:ascii="宋体"/>
                <w:sz w:val="22"/>
              </w:rPr>
            </w:pPr>
            <w:r>
              <w:rPr>
                <w:rFonts w:ascii="宋体" w:hAnsi="宋体" w:hint="eastAsia"/>
                <w:sz w:val="22"/>
              </w:rPr>
              <w:t>课程学分</w:t>
            </w:r>
          </w:p>
        </w:tc>
        <w:tc>
          <w:tcPr>
            <w:tcW w:w="3366" w:type="dxa"/>
            <w:gridSpan w:val="4"/>
          </w:tcPr>
          <w:p w:rsidR="003717A0" w:rsidRDefault="003717A0">
            <w:pPr>
              <w:adjustRightInd w:val="0"/>
              <w:snapToGrid w:val="0"/>
              <w:spacing w:line="440" w:lineRule="exact"/>
              <w:jc w:val="center"/>
              <w:rPr>
                <w:rFonts w:ascii="宋体"/>
                <w:sz w:val="22"/>
              </w:rPr>
            </w:pPr>
            <w:r>
              <w:rPr>
                <w:rFonts w:ascii="宋体" w:hAnsi="宋体"/>
                <w:sz w:val="22"/>
              </w:rPr>
              <w:t>4</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课程类型</w:t>
            </w:r>
          </w:p>
        </w:tc>
        <w:tc>
          <w:tcPr>
            <w:tcW w:w="7618" w:type="dxa"/>
            <w:gridSpan w:val="9"/>
          </w:tcPr>
          <w:p w:rsidR="003717A0" w:rsidRDefault="003717A0">
            <w:pPr>
              <w:adjustRightInd w:val="0"/>
              <w:snapToGrid w:val="0"/>
              <w:spacing w:line="440" w:lineRule="exact"/>
              <w:jc w:val="center"/>
              <w:rPr>
                <w:rFonts w:ascii="宋体"/>
                <w:szCs w:val="21"/>
              </w:rPr>
            </w:pPr>
            <w:r>
              <w:rPr>
                <w:rFonts w:ascii="宋体" w:hAnsi="宋体" w:hint="eastAsia"/>
                <w:szCs w:val="21"/>
              </w:rPr>
              <w:t>■公共基础课□专业基础课□专业选修课□公共选修课■必修课□选修课</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开课学院</w:t>
            </w:r>
          </w:p>
        </w:tc>
        <w:tc>
          <w:tcPr>
            <w:tcW w:w="2350" w:type="dxa"/>
            <w:gridSpan w:val="2"/>
          </w:tcPr>
          <w:p w:rsidR="003717A0" w:rsidRDefault="003717A0">
            <w:pPr>
              <w:adjustRightInd w:val="0"/>
              <w:snapToGrid w:val="0"/>
              <w:spacing w:line="440" w:lineRule="exact"/>
              <w:jc w:val="center"/>
              <w:rPr>
                <w:rFonts w:ascii="宋体"/>
                <w:sz w:val="22"/>
              </w:rPr>
            </w:pPr>
            <w:r>
              <w:rPr>
                <w:rFonts w:ascii="宋体" w:hAnsi="宋体" w:hint="eastAsia"/>
                <w:kern w:val="0"/>
                <w:sz w:val="22"/>
              </w:rPr>
              <w:t>理学院</w:t>
            </w:r>
          </w:p>
        </w:tc>
        <w:tc>
          <w:tcPr>
            <w:tcW w:w="2634" w:type="dxa"/>
            <w:gridSpan w:val="5"/>
          </w:tcPr>
          <w:p w:rsidR="003717A0" w:rsidRDefault="003717A0">
            <w:pPr>
              <w:adjustRightInd w:val="0"/>
              <w:snapToGrid w:val="0"/>
              <w:spacing w:line="440" w:lineRule="exact"/>
              <w:jc w:val="center"/>
              <w:rPr>
                <w:rFonts w:ascii="宋体"/>
                <w:sz w:val="22"/>
              </w:rPr>
            </w:pPr>
            <w:r>
              <w:rPr>
                <w:rFonts w:ascii="宋体" w:hAnsi="宋体" w:hint="eastAsia"/>
                <w:sz w:val="22"/>
              </w:rPr>
              <w:t>教学研究室室</w:t>
            </w:r>
            <w:r>
              <w:rPr>
                <w:rFonts w:ascii="宋体" w:hAnsi="宋体"/>
                <w:sz w:val="22"/>
              </w:rPr>
              <w:t>/</w:t>
            </w:r>
            <w:r>
              <w:rPr>
                <w:rFonts w:ascii="宋体" w:hAnsi="宋体" w:hint="eastAsia"/>
                <w:sz w:val="22"/>
              </w:rPr>
              <w:t>系</w:t>
            </w:r>
          </w:p>
        </w:tc>
        <w:tc>
          <w:tcPr>
            <w:tcW w:w="263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数学系</w:t>
            </w:r>
          </w:p>
        </w:tc>
      </w:tr>
      <w:tr w:rsidR="003717A0" w:rsidTr="00F5156D">
        <w:trPr>
          <w:jc w:val="center"/>
        </w:trPr>
        <w:tc>
          <w:tcPr>
            <w:tcW w:w="1668" w:type="dxa"/>
          </w:tcPr>
          <w:p w:rsidR="003717A0" w:rsidRDefault="003717A0">
            <w:pPr>
              <w:adjustRightInd w:val="0"/>
              <w:snapToGrid w:val="0"/>
              <w:spacing w:line="440" w:lineRule="exact"/>
              <w:rPr>
                <w:rFonts w:ascii="宋体"/>
                <w:sz w:val="22"/>
              </w:rPr>
            </w:pPr>
            <w:r>
              <w:rPr>
                <w:rFonts w:ascii="宋体" w:hAnsi="宋体" w:hint="eastAsia"/>
                <w:sz w:val="22"/>
              </w:rPr>
              <w:t>教材名称</w:t>
            </w:r>
          </w:p>
        </w:tc>
        <w:tc>
          <w:tcPr>
            <w:tcW w:w="7618" w:type="dxa"/>
            <w:gridSpan w:val="9"/>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医用高等数学</w:t>
            </w:r>
          </w:p>
        </w:tc>
      </w:tr>
      <w:tr w:rsidR="003717A0" w:rsidTr="00F5156D">
        <w:trPr>
          <w:jc w:val="center"/>
        </w:trPr>
        <w:tc>
          <w:tcPr>
            <w:tcW w:w="1668" w:type="dxa"/>
          </w:tcPr>
          <w:p w:rsidR="003717A0" w:rsidRDefault="003717A0">
            <w:pPr>
              <w:adjustRightInd w:val="0"/>
              <w:snapToGrid w:val="0"/>
              <w:spacing w:line="440" w:lineRule="exact"/>
              <w:rPr>
                <w:rFonts w:ascii="宋体"/>
                <w:sz w:val="22"/>
              </w:rPr>
            </w:pPr>
            <w:r>
              <w:rPr>
                <w:rFonts w:ascii="宋体" w:hAnsi="宋体" w:hint="eastAsia"/>
                <w:sz w:val="22"/>
              </w:rPr>
              <w:t>教材出版信息</w:t>
            </w:r>
          </w:p>
        </w:tc>
        <w:tc>
          <w:tcPr>
            <w:tcW w:w="7618" w:type="dxa"/>
            <w:gridSpan w:val="9"/>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东南大学出版社，</w:t>
            </w:r>
            <w:r>
              <w:rPr>
                <w:rFonts w:ascii="宋体" w:hAnsi="宋体"/>
                <w:kern w:val="0"/>
                <w:sz w:val="22"/>
              </w:rPr>
              <w:t xml:space="preserve">2001 </w:t>
            </w:r>
            <w:r>
              <w:rPr>
                <w:rFonts w:ascii="宋体" w:hAnsi="宋体" w:hint="eastAsia"/>
                <w:kern w:val="0"/>
                <w:sz w:val="22"/>
              </w:rPr>
              <w:t>年</w:t>
            </w:r>
            <w:r>
              <w:rPr>
                <w:rFonts w:ascii="宋体" w:hAnsi="宋体"/>
                <w:kern w:val="0"/>
                <w:sz w:val="22"/>
              </w:rPr>
              <w:t xml:space="preserve">8 </w:t>
            </w:r>
            <w:r>
              <w:rPr>
                <w:rFonts w:ascii="宋体" w:hAnsi="宋体" w:hint="eastAsia"/>
                <w:kern w:val="0"/>
                <w:sz w:val="22"/>
              </w:rPr>
              <w:t>月第</w:t>
            </w:r>
            <w:r>
              <w:rPr>
                <w:rFonts w:ascii="宋体" w:hAnsi="宋体"/>
                <w:kern w:val="0"/>
                <w:sz w:val="22"/>
              </w:rPr>
              <w:t xml:space="preserve">1 </w:t>
            </w:r>
            <w:r>
              <w:rPr>
                <w:rFonts w:ascii="宋体" w:hAnsi="宋体" w:hint="eastAsia"/>
                <w:kern w:val="0"/>
                <w:sz w:val="22"/>
              </w:rPr>
              <w:t>版，书号：</w:t>
            </w:r>
            <w:r>
              <w:rPr>
                <w:rFonts w:ascii="宋体" w:hAnsi="宋体"/>
                <w:kern w:val="0"/>
                <w:sz w:val="22"/>
              </w:rPr>
              <w:t xml:space="preserve">ISBN </w:t>
            </w:r>
            <w:r>
              <w:rPr>
                <w:rFonts w:ascii="宋体" w:hAnsi="宋体"/>
              </w:rPr>
              <w:t>978-7-81050-805-6/O</w:t>
            </w:r>
            <w:r>
              <w:rPr>
                <w:rFonts w:ascii="宋体" w:hAnsi="宋体" w:hint="eastAsia"/>
              </w:rPr>
              <w:t>·</w:t>
            </w:r>
            <w:r>
              <w:rPr>
                <w:rFonts w:ascii="宋体" w:hAnsi="宋体"/>
              </w:rPr>
              <w:t>42</w:t>
            </w:r>
          </w:p>
        </w:tc>
      </w:tr>
      <w:tr w:rsidR="003717A0" w:rsidTr="00F5156D">
        <w:trPr>
          <w:jc w:val="center"/>
        </w:trPr>
        <w:tc>
          <w:tcPr>
            <w:tcW w:w="1668" w:type="dxa"/>
          </w:tcPr>
          <w:p w:rsidR="003717A0" w:rsidRDefault="003717A0">
            <w:pPr>
              <w:adjustRightInd w:val="0"/>
              <w:snapToGrid w:val="0"/>
              <w:spacing w:line="440" w:lineRule="exact"/>
              <w:rPr>
                <w:rFonts w:ascii="宋体"/>
                <w:sz w:val="22"/>
              </w:rPr>
            </w:pPr>
            <w:r>
              <w:rPr>
                <w:rFonts w:ascii="宋体" w:hAnsi="宋体" w:hint="eastAsia"/>
                <w:sz w:val="22"/>
              </w:rPr>
              <w:t>教材性质</w:t>
            </w:r>
          </w:p>
        </w:tc>
        <w:tc>
          <w:tcPr>
            <w:tcW w:w="7618" w:type="dxa"/>
            <w:gridSpan w:val="9"/>
          </w:tcPr>
          <w:p w:rsidR="003717A0" w:rsidRDefault="003717A0">
            <w:pPr>
              <w:adjustRightInd w:val="0"/>
              <w:snapToGrid w:val="0"/>
              <w:spacing w:line="440" w:lineRule="exact"/>
              <w:rPr>
                <w:rFonts w:ascii="宋体"/>
                <w:sz w:val="22"/>
              </w:rPr>
            </w:pPr>
            <w:r>
              <w:rPr>
                <w:rFonts w:ascii="宋体" w:hAnsi="宋体" w:hint="eastAsia"/>
                <w:szCs w:val="21"/>
              </w:rPr>
              <w:t>□</w:t>
            </w:r>
            <w:r>
              <w:rPr>
                <w:rFonts w:ascii="宋体" w:hAnsi="宋体" w:hint="eastAsia"/>
                <w:sz w:val="22"/>
              </w:rPr>
              <w:t>国家</w:t>
            </w:r>
            <w:r>
              <w:rPr>
                <w:rFonts w:ascii="宋体" w:hAnsi="宋体" w:hint="eastAsia"/>
                <w:szCs w:val="21"/>
              </w:rPr>
              <w:t>□</w:t>
            </w:r>
            <w:r>
              <w:rPr>
                <w:rFonts w:ascii="宋体" w:hAnsi="宋体" w:hint="eastAsia"/>
                <w:sz w:val="22"/>
              </w:rPr>
              <w:t>部级规划</w:t>
            </w:r>
            <w:r>
              <w:rPr>
                <w:rFonts w:ascii="宋体" w:hAnsi="宋体" w:hint="eastAsia"/>
                <w:szCs w:val="21"/>
              </w:rPr>
              <w:t>□</w:t>
            </w:r>
            <w:r>
              <w:rPr>
                <w:rFonts w:ascii="宋体" w:hAnsi="宋体" w:hint="eastAsia"/>
                <w:sz w:val="22"/>
              </w:rPr>
              <w:t>省级规划</w:t>
            </w:r>
            <w:r>
              <w:rPr>
                <w:rFonts w:ascii="宋体" w:hAnsi="宋体" w:hint="eastAsia"/>
                <w:szCs w:val="21"/>
              </w:rPr>
              <w:t>□</w:t>
            </w:r>
            <w:r>
              <w:rPr>
                <w:rFonts w:ascii="宋体" w:hAnsi="宋体" w:hint="eastAsia"/>
                <w:sz w:val="22"/>
              </w:rPr>
              <w:t>自编</w:t>
            </w:r>
            <w:r>
              <w:rPr>
                <w:rFonts w:ascii="宋体" w:hAnsi="宋体" w:hint="eastAsia"/>
                <w:szCs w:val="21"/>
              </w:rPr>
              <w:t>■</w:t>
            </w:r>
            <w:r>
              <w:rPr>
                <w:rFonts w:ascii="宋体" w:hAnsi="宋体" w:hint="eastAsia"/>
                <w:sz w:val="22"/>
              </w:rPr>
              <w:t>其他</w:t>
            </w:r>
          </w:p>
        </w:tc>
      </w:tr>
      <w:tr w:rsidR="003717A0" w:rsidTr="00F5156D">
        <w:trPr>
          <w:jc w:val="center"/>
        </w:trPr>
        <w:tc>
          <w:tcPr>
            <w:tcW w:w="1668" w:type="dxa"/>
          </w:tcPr>
          <w:p w:rsidR="003717A0" w:rsidRDefault="003717A0">
            <w:pPr>
              <w:adjustRightInd w:val="0"/>
              <w:snapToGrid w:val="0"/>
              <w:spacing w:line="440" w:lineRule="exact"/>
              <w:rPr>
                <w:rFonts w:ascii="宋体"/>
                <w:sz w:val="22"/>
              </w:rPr>
            </w:pPr>
            <w:r>
              <w:rPr>
                <w:rFonts w:ascii="宋体" w:hAnsi="宋体" w:hint="eastAsia"/>
                <w:sz w:val="22"/>
              </w:rPr>
              <w:t>考核方式</w:t>
            </w:r>
          </w:p>
        </w:tc>
        <w:tc>
          <w:tcPr>
            <w:tcW w:w="7618" w:type="dxa"/>
            <w:gridSpan w:val="9"/>
          </w:tcPr>
          <w:p w:rsidR="003717A0" w:rsidRDefault="003717A0">
            <w:pPr>
              <w:adjustRightInd w:val="0"/>
              <w:snapToGrid w:val="0"/>
              <w:spacing w:line="440" w:lineRule="exact"/>
              <w:rPr>
                <w:rFonts w:ascii="宋体"/>
                <w:sz w:val="22"/>
              </w:rPr>
            </w:pPr>
            <w:r>
              <w:rPr>
                <w:rFonts w:ascii="宋体" w:hAnsi="宋体" w:hint="eastAsia"/>
                <w:szCs w:val="21"/>
              </w:rPr>
              <w:t>■</w:t>
            </w:r>
            <w:r>
              <w:rPr>
                <w:rFonts w:ascii="宋体" w:hAnsi="宋体" w:hint="eastAsia"/>
                <w:sz w:val="22"/>
              </w:rPr>
              <w:t>考试</w:t>
            </w:r>
            <w:r>
              <w:rPr>
                <w:rFonts w:ascii="宋体" w:hAnsi="宋体" w:hint="eastAsia"/>
                <w:szCs w:val="21"/>
              </w:rPr>
              <w:t>□</w:t>
            </w:r>
            <w:r>
              <w:rPr>
                <w:rFonts w:ascii="宋体" w:hAnsi="宋体" w:hint="eastAsia"/>
                <w:sz w:val="22"/>
              </w:rPr>
              <w:t>考查</w:t>
            </w:r>
            <w:r>
              <w:rPr>
                <w:rFonts w:ascii="宋体" w:hAnsi="宋体" w:hint="eastAsia"/>
                <w:szCs w:val="21"/>
              </w:rPr>
              <w:t>□</w:t>
            </w:r>
            <w:r>
              <w:rPr>
                <w:rFonts w:ascii="宋体" w:hAnsi="宋体" w:hint="eastAsia"/>
                <w:sz w:val="22"/>
              </w:rPr>
              <w:t>开卷</w:t>
            </w:r>
            <w:r>
              <w:rPr>
                <w:rFonts w:ascii="宋体" w:hAnsi="宋体" w:hint="eastAsia"/>
                <w:szCs w:val="21"/>
              </w:rPr>
              <w:t>■</w:t>
            </w:r>
            <w:r>
              <w:rPr>
                <w:rFonts w:ascii="宋体" w:hAnsi="宋体" w:hint="eastAsia"/>
                <w:sz w:val="22"/>
              </w:rPr>
              <w:t>闭卷</w:t>
            </w:r>
            <w:r>
              <w:rPr>
                <w:rFonts w:ascii="宋体" w:hAnsi="宋体" w:hint="eastAsia"/>
                <w:szCs w:val="21"/>
              </w:rPr>
              <w:t>□</w:t>
            </w:r>
            <w:r>
              <w:rPr>
                <w:rFonts w:ascii="宋体" w:hAnsi="宋体" w:hint="eastAsia"/>
                <w:sz w:val="22"/>
              </w:rPr>
              <w:t>课程设计</w:t>
            </w:r>
            <w:r>
              <w:rPr>
                <w:rFonts w:ascii="宋体" w:hAnsi="宋体" w:hint="eastAsia"/>
                <w:szCs w:val="21"/>
              </w:rPr>
              <w:t>□</w:t>
            </w:r>
            <w:r>
              <w:rPr>
                <w:rFonts w:ascii="宋体" w:hAnsi="宋体" w:hint="eastAsia"/>
                <w:sz w:val="22"/>
              </w:rPr>
              <w:t>学期论文</w:t>
            </w:r>
            <w:r>
              <w:rPr>
                <w:rFonts w:ascii="宋体" w:hAnsi="宋体" w:hint="eastAsia"/>
                <w:szCs w:val="21"/>
              </w:rPr>
              <w:t>□</w:t>
            </w:r>
            <w:r>
              <w:rPr>
                <w:rFonts w:ascii="宋体" w:hAnsi="宋体" w:hint="eastAsia"/>
                <w:sz w:val="22"/>
              </w:rPr>
              <w:t>其他</w:t>
            </w:r>
          </w:p>
        </w:tc>
      </w:tr>
      <w:tr w:rsidR="003717A0" w:rsidTr="00F5156D">
        <w:trPr>
          <w:jc w:val="center"/>
        </w:trPr>
        <w:tc>
          <w:tcPr>
            <w:tcW w:w="1668" w:type="dxa"/>
          </w:tcPr>
          <w:p w:rsidR="003717A0" w:rsidRDefault="003717A0">
            <w:pPr>
              <w:adjustRightInd w:val="0"/>
              <w:snapToGrid w:val="0"/>
              <w:spacing w:line="440" w:lineRule="exact"/>
              <w:rPr>
                <w:rFonts w:ascii="宋体"/>
                <w:sz w:val="22"/>
              </w:rPr>
            </w:pPr>
            <w:r>
              <w:rPr>
                <w:rFonts w:ascii="宋体" w:hAnsi="宋体" w:hint="eastAsia"/>
                <w:sz w:val="22"/>
              </w:rPr>
              <w:t>课程成绩</w:t>
            </w:r>
          </w:p>
        </w:tc>
        <w:tc>
          <w:tcPr>
            <w:tcW w:w="3809" w:type="dxa"/>
            <w:gridSpan w:val="4"/>
          </w:tcPr>
          <w:p w:rsidR="003717A0" w:rsidRDefault="003717A0">
            <w:pPr>
              <w:adjustRightInd w:val="0"/>
              <w:snapToGrid w:val="0"/>
              <w:spacing w:line="440" w:lineRule="exact"/>
              <w:rPr>
                <w:rFonts w:ascii="宋体"/>
                <w:sz w:val="22"/>
              </w:rPr>
            </w:pPr>
            <w:r>
              <w:rPr>
                <w:rFonts w:ascii="宋体" w:hAnsi="宋体" w:hint="eastAsia"/>
                <w:sz w:val="22"/>
              </w:rPr>
              <w:t>平时成绩</w:t>
            </w:r>
            <w:r>
              <w:rPr>
                <w:rFonts w:ascii="宋体" w:hAnsi="宋体"/>
                <w:sz w:val="22"/>
              </w:rPr>
              <w:t xml:space="preserve">  30%</w:t>
            </w:r>
          </w:p>
        </w:tc>
        <w:tc>
          <w:tcPr>
            <w:tcW w:w="3809" w:type="dxa"/>
            <w:gridSpan w:val="5"/>
          </w:tcPr>
          <w:p w:rsidR="003717A0" w:rsidRDefault="003717A0">
            <w:pPr>
              <w:adjustRightInd w:val="0"/>
              <w:snapToGrid w:val="0"/>
              <w:spacing w:line="440" w:lineRule="exact"/>
              <w:rPr>
                <w:rFonts w:ascii="宋体"/>
                <w:sz w:val="22"/>
              </w:rPr>
            </w:pPr>
            <w:r>
              <w:rPr>
                <w:rFonts w:ascii="宋体" w:hAnsi="宋体" w:hint="eastAsia"/>
                <w:sz w:val="22"/>
              </w:rPr>
              <w:t>期末成绩</w:t>
            </w:r>
            <w:r>
              <w:rPr>
                <w:rFonts w:ascii="宋体" w:hAnsi="宋体"/>
                <w:sz w:val="22"/>
              </w:rPr>
              <w:t>70%</w:t>
            </w:r>
          </w:p>
        </w:tc>
      </w:tr>
      <w:tr w:rsidR="003717A0" w:rsidTr="00F5156D">
        <w:trPr>
          <w:jc w:val="center"/>
        </w:trPr>
        <w:tc>
          <w:tcPr>
            <w:tcW w:w="9286" w:type="dxa"/>
            <w:gridSpan w:val="10"/>
          </w:tcPr>
          <w:p w:rsidR="003717A0" w:rsidRDefault="003717A0">
            <w:pPr>
              <w:adjustRightInd w:val="0"/>
              <w:snapToGrid w:val="0"/>
              <w:spacing w:line="440" w:lineRule="exact"/>
              <w:rPr>
                <w:rFonts w:ascii="宋体"/>
                <w:sz w:val="22"/>
              </w:rPr>
            </w:pPr>
            <w:r>
              <w:rPr>
                <w:rFonts w:ascii="宋体" w:hAnsi="宋体" w:hint="eastAsia"/>
                <w:sz w:val="22"/>
              </w:rPr>
              <w:t>课程负责人及团队骨干（五人以内）</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sz w:val="22"/>
              </w:rPr>
              <w:t>姓名</w:t>
            </w:r>
          </w:p>
        </w:tc>
        <w:tc>
          <w:tcPr>
            <w:tcW w:w="1523" w:type="dxa"/>
          </w:tcPr>
          <w:p w:rsidR="003717A0" w:rsidRDefault="003717A0">
            <w:pPr>
              <w:adjustRightInd w:val="0"/>
              <w:snapToGrid w:val="0"/>
              <w:spacing w:line="440" w:lineRule="exact"/>
              <w:jc w:val="center"/>
              <w:rPr>
                <w:rFonts w:ascii="宋体"/>
                <w:sz w:val="22"/>
              </w:rPr>
            </w:pPr>
            <w:r>
              <w:rPr>
                <w:rFonts w:ascii="宋体" w:hAnsi="宋体" w:hint="eastAsia"/>
                <w:sz w:val="22"/>
              </w:rPr>
              <w:t>性别</w:t>
            </w:r>
          </w:p>
        </w:tc>
        <w:tc>
          <w:tcPr>
            <w:tcW w:w="1524" w:type="dxa"/>
            <w:gridSpan w:val="2"/>
          </w:tcPr>
          <w:p w:rsidR="003717A0" w:rsidRDefault="003717A0">
            <w:pPr>
              <w:adjustRightInd w:val="0"/>
              <w:snapToGrid w:val="0"/>
              <w:spacing w:line="440" w:lineRule="exact"/>
              <w:jc w:val="center"/>
              <w:rPr>
                <w:rFonts w:ascii="宋体"/>
                <w:sz w:val="22"/>
              </w:rPr>
            </w:pPr>
            <w:r>
              <w:rPr>
                <w:rFonts w:ascii="宋体" w:hAnsi="宋体" w:hint="eastAsia"/>
                <w:sz w:val="22"/>
              </w:rPr>
              <w:t>学历</w:t>
            </w:r>
          </w:p>
        </w:tc>
        <w:tc>
          <w:tcPr>
            <w:tcW w:w="1523" w:type="dxa"/>
            <w:gridSpan w:val="3"/>
          </w:tcPr>
          <w:p w:rsidR="003717A0" w:rsidRDefault="003717A0">
            <w:pPr>
              <w:adjustRightInd w:val="0"/>
              <w:snapToGrid w:val="0"/>
              <w:spacing w:line="440" w:lineRule="exact"/>
              <w:jc w:val="center"/>
              <w:rPr>
                <w:rFonts w:ascii="宋体"/>
                <w:sz w:val="22"/>
              </w:rPr>
            </w:pPr>
            <w:r>
              <w:rPr>
                <w:rFonts w:ascii="宋体" w:hAnsi="宋体" w:hint="eastAsia"/>
                <w:sz w:val="22"/>
              </w:rPr>
              <w:t>学位</w:t>
            </w:r>
          </w:p>
        </w:tc>
        <w:tc>
          <w:tcPr>
            <w:tcW w:w="1524" w:type="dxa"/>
            <w:gridSpan w:val="2"/>
          </w:tcPr>
          <w:p w:rsidR="003717A0" w:rsidRDefault="003717A0">
            <w:pPr>
              <w:adjustRightInd w:val="0"/>
              <w:snapToGrid w:val="0"/>
              <w:spacing w:line="440" w:lineRule="exact"/>
              <w:jc w:val="center"/>
              <w:rPr>
                <w:rFonts w:ascii="宋体"/>
                <w:sz w:val="22"/>
              </w:rPr>
            </w:pPr>
            <w:r>
              <w:rPr>
                <w:rFonts w:ascii="宋体" w:hAnsi="宋体" w:hint="eastAsia"/>
                <w:sz w:val="22"/>
              </w:rPr>
              <w:t>职称</w:t>
            </w:r>
          </w:p>
        </w:tc>
        <w:tc>
          <w:tcPr>
            <w:tcW w:w="1524" w:type="dxa"/>
          </w:tcPr>
          <w:p w:rsidR="003717A0" w:rsidRDefault="003717A0">
            <w:pPr>
              <w:adjustRightInd w:val="0"/>
              <w:snapToGrid w:val="0"/>
              <w:spacing w:line="440" w:lineRule="exact"/>
              <w:jc w:val="center"/>
              <w:rPr>
                <w:rFonts w:ascii="宋体"/>
                <w:sz w:val="22"/>
              </w:rPr>
            </w:pPr>
            <w:r>
              <w:rPr>
                <w:rFonts w:ascii="宋体" w:hAnsi="宋体" w:hint="eastAsia"/>
                <w:sz w:val="22"/>
              </w:rPr>
              <w:t>从教时间</w:t>
            </w:r>
          </w:p>
        </w:tc>
      </w:tr>
      <w:tr w:rsidR="003717A0" w:rsidTr="00F5156D">
        <w:trPr>
          <w:jc w:val="center"/>
        </w:trPr>
        <w:tc>
          <w:tcPr>
            <w:tcW w:w="1668"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郭晓君</w:t>
            </w:r>
          </w:p>
        </w:tc>
        <w:tc>
          <w:tcPr>
            <w:tcW w:w="152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男</w:t>
            </w:r>
          </w:p>
        </w:tc>
        <w:tc>
          <w:tcPr>
            <w:tcW w:w="152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p>
        </w:tc>
        <w:tc>
          <w:tcPr>
            <w:tcW w:w="152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博士</w:t>
            </w:r>
          </w:p>
        </w:tc>
        <w:tc>
          <w:tcPr>
            <w:tcW w:w="152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副教授</w:t>
            </w:r>
          </w:p>
        </w:tc>
        <w:tc>
          <w:tcPr>
            <w:tcW w:w="1524"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2001.8</w:t>
            </w:r>
          </w:p>
        </w:tc>
      </w:tr>
      <w:tr w:rsidR="003717A0" w:rsidTr="00F5156D">
        <w:trPr>
          <w:jc w:val="center"/>
        </w:trPr>
        <w:tc>
          <w:tcPr>
            <w:tcW w:w="1668"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张</w:t>
            </w:r>
            <w:r>
              <w:rPr>
                <w:rFonts w:ascii="宋体" w:hAnsi="宋体"/>
                <w:kern w:val="0"/>
                <w:sz w:val="22"/>
              </w:rPr>
              <w:t xml:space="preserve">  </w:t>
            </w:r>
            <w:r>
              <w:rPr>
                <w:rFonts w:ascii="宋体" w:hAnsi="宋体" w:hint="eastAsia"/>
                <w:kern w:val="0"/>
                <w:sz w:val="22"/>
              </w:rPr>
              <w:t>晖</w:t>
            </w:r>
          </w:p>
        </w:tc>
        <w:tc>
          <w:tcPr>
            <w:tcW w:w="152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女</w:t>
            </w:r>
          </w:p>
        </w:tc>
        <w:tc>
          <w:tcPr>
            <w:tcW w:w="152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p>
        </w:tc>
        <w:tc>
          <w:tcPr>
            <w:tcW w:w="152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硕士</w:t>
            </w:r>
          </w:p>
        </w:tc>
        <w:tc>
          <w:tcPr>
            <w:tcW w:w="152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讲师</w:t>
            </w:r>
          </w:p>
        </w:tc>
        <w:tc>
          <w:tcPr>
            <w:tcW w:w="1524" w:type="dxa"/>
          </w:tcPr>
          <w:p w:rsidR="003717A0" w:rsidRDefault="003717A0">
            <w:pPr>
              <w:adjustRightInd w:val="0"/>
              <w:snapToGrid w:val="0"/>
              <w:spacing w:line="440" w:lineRule="exact"/>
              <w:jc w:val="center"/>
              <w:rPr>
                <w:rFonts w:ascii="宋体"/>
                <w:kern w:val="0"/>
                <w:sz w:val="22"/>
              </w:rPr>
            </w:pPr>
            <w:r>
              <w:rPr>
                <w:rFonts w:ascii="宋体" w:hAnsi="宋体"/>
                <w:kern w:val="0"/>
                <w:sz w:val="22"/>
              </w:rPr>
              <w:t>2000.8</w:t>
            </w:r>
          </w:p>
        </w:tc>
      </w:tr>
      <w:tr w:rsidR="003717A0" w:rsidTr="00F5156D">
        <w:trPr>
          <w:jc w:val="center"/>
        </w:trPr>
        <w:tc>
          <w:tcPr>
            <w:tcW w:w="1668" w:type="dxa"/>
          </w:tcPr>
          <w:p w:rsidR="003717A0" w:rsidRDefault="003717A0">
            <w:pPr>
              <w:adjustRightInd w:val="0"/>
              <w:snapToGrid w:val="0"/>
              <w:spacing w:line="440" w:lineRule="exact"/>
              <w:jc w:val="center"/>
              <w:rPr>
                <w:rFonts w:ascii="宋体"/>
                <w:sz w:val="22"/>
              </w:rPr>
            </w:pPr>
            <w:r>
              <w:rPr>
                <w:rFonts w:ascii="宋体" w:hAnsi="宋体" w:hint="eastAsia"/>
                <w:kern w:val="0"/>
                <w:sz w:val="22"/>
              </w:rPr>
              <w:t>刘玉梅</w:t>
            </w:r>
          </w:p>
        </w:tc>
        <w:tc>
          <w:tcPr>
            <w:tcW w:w="1523" w:type="dxa"/>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女</w:t>
            </w:r>
          </w:p>
        </w:tc>
        <w:tc>
          <w:tcPr>
            <w:tcW w:w="1524" w:type="dxa"/>
            <w:gridSpan w:val="2"/>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研究生</w:t>
            </w:r>
          </w:p>
        </w:tc>
        <w:tc>
          <w:tcPr>
            <w:tcW w:w="1523" w:type="dxa"/>
            <w:gridSpan w:val="3"/>
          </w:tcPr>
          <w:p w:rsidR="003717A0" w:rsidRDefault="003717A0">
            <w:pPr>
              <w:adjustRightInd w:val="0"/>
              <w:snapToGrid w:val="0"/>
              <w:spacing w:line="440" w:lineRule="exact"/>
              <w:jc w:val="center"/>
              <w:rPr>
                <w:rFonts w:ascii="宋体"/>
                <w:kern w:val="0"/>
                <w:sz w:val="22"/>
              </w:rPr>
            </w:pPr>
            <w:r>
              <w:rPr>
                <w:rFonts w:ascii="宋体" w:hAnsi="宋体" w:hint="eastAsia"/>
                <w:kern w:val="0"/>
                <w:sz w:val="22"/>
              </w:rPr>
              <w:t>硕士</w:t>
            </w:r>
          </w:p>
        </w:tc>
        <w:tc>
          <w:tcPr>
            <w:tcW w:w="1524" w:type="dxa"/>
            <w:gridSpan w:val="2"/>
          </w:tcPr>
          <w:p w:rsidR="003717A0" w:rsidRDefault="003717A0">
            <w:pPr>
              <w:adjustRightInd w:val="0"/>
              <w:snapToGrid w:val="0"/>
              <w:spacing w:line="440" w:lineRule="exact"/>
              <w:jc w:val="center"/>
              <w:rPr>
                <w:rFonts w:ascii="宋体"/>
                <w:sz w:val="22"/>
              </w:rPr>
            </w:pPr>
            <w:r>
              <w:rPr>
                <w:rFonts w:ascii="宋体" w:hAnsi="宋体" w:hint="eastAsia"/>
                <w:kern w:val="0"/>
                <w:sz w:val="22"/>
              </w:rPr>
              <w:t>讲师</w:t>
            </w:r>
          </w:p>
        </w:tc>
        <w:tc>
          <w:tcPr>
            <w:tcW w:w="1524" w:type="dxa"/>
          </w:tcPr>
          <w:p w:rsidR="003717A0" w:rsidRDefault="003717A0">
            <w:pPr>
              <w:adjustRightInd w:val="0"/>
              <w:snapToGrid w:val="0"/>
              <w:spacing w:line="440" w:lineRule="exact"/>
              <w:jc w:val="center"/>
              <w:rPr>
                <w:rFonts w:ascii="宋体"/>
                <w:sz w:val="22"/>
              </w:rPr>
            </w:pPr>
            <w:r>
              <w:rPr>
                <w:rFonts w:ascii="宋体" w:hAnsi="宋体"/>
                <w:sz w:val="22"/>
              </w:rPr>
              <w:t>2000.8</w:t>
            </w:r>
          </w:p>
        </w:tc>
      </w:tr>
      <w:tr w:rsidR="003717A0" w:rsidTr="00F5156D">
        <w:trPr>
          <w:jc w:val="center"/>
        </w:trPr>
        <w:tc>
          <w:tcPr>
            <w:tcW w:w="1668" w:type="dxa"/>
          </w:tcPr>
          <w:p w:rsidR="003717A0" w:rsidRDefault="003717A0">
            <w:pPr>
              <w:adjustRightInd w:val="0"/>
              <w:snapToGrid w:val="0"/>
              <w:spacing w:line="440" w:lineRule="exact"/>
              <w:jc w:val="center"/>
              <w:rPr>
                <w:rFonts w:ascii="宋体"/>
                <w:kern w:val="0"/>
                <w:sz w:val="22"/>
              </w:rPr>
            </w:pPr>
          </w:p>
        </w:tc>
        <w:tc>
          <w:tcPr>
            <w:tcW w:w="1523" w:type="dxa"/>
          </w:tcPr>
          <w:p w:rsidR="003717A0" w:rsidRDefault="003717A0">
            <w:pPr>
              <w:adjustRightInd w:val="0"/>
              <w:snapToGrid w:val="0"/>
              <w:spacing w:line="440" w:lineRule="exact"/>
              <w:jc w:val="center"/>
              <w:rPr>
                <w:rFonts w:ascii="宋体"/>
                <w:kern w:val="0"/>
                <w:sz w:val="22"/>
              </w:rPr>
            </w:pPr>
          </w:p>
        </w:tc>
        <w:tc>
          <w:tcPr>
            <w:tcW w:w="1524" w:type="dxa"/>
            <w:gridSpan w:val="2"/>
          </w:tcPr>
          <w:p w:rsidR="003717A0" w:rsidRDefault="003717A0">
            <w:pPr>
              <w:adjustRightInd w:val="0"/>
              <w:snapToGrid w:val="0"/>
              <w:spacing w:line="440" w:lineRule="exact"/>
              <w:jc w:val="center"/>
              <w:rPr>
                <w:rFonts w:ascii="宋体"/>
                <w:kern w:val="0"/>
                <w:sz w:val="22"/>
              </w:rPr>
            </w:pPr>
          </w:p>
        </w:tc>
        <w:tc>
          <w:tcPr>
            <w:tcW w:w="1523" w:type="dxa"/>
            <w:gridSpan w:val="3"/>
          </w:tcPr>
          <w:p w:rsidR="003717A0" w:rsidRDefault="003717A0">
            <w:pPr>
              <w:adjustRightInd w:val="0"/>
              <w:snapToGrid w:val="0"/>
              <w:spacing w:line="440" w:lineRule="exact"/>
              <w:jc w:val="center"/>
              <w:rPr>
                <w:rFonts w:ascii="宋体"/>
                <w:kern w:val="0"/>
                <w:sz w:val="22"/>
              </w:rPr>
            </w:pPr>
          </w:p>
        </w:tc>
        <w:tc>
          <w:tcPr>
            <w:tcW w:w="1524" w:type="dxa"/>
            <w:gridSpan w:val="2"/>
          </w:tcPr>
          <w:p w:rsidR="003717A0" w:rsidRDefault="003717A0">
            <w:pPr>
              <w:adjustRightInd w:val="0"/>
              <w:snapToGrid w:val="0"/>
              <w:spacing w:line="440" w:lineRule="exact"/>
              <w:jc w:val="center"/>
              <w:rPr>
                <w:rFonts w:ascii="宋体"/>
                <w:kern w:val="0"/>
                <w:sz w:val="22"/>
              </w:rPr>
            </w:pPr>
          </w:p>
        </w:tc>
        <w:tc>
          <w:tcPr>
            <w:tcW w:w="1524" w:type="dxa"/>
          </w:tcPr>
          <w:p w:rsidR="003717A0" w:rsidRDefault="003717A0">
            <w:pPr>
              <w:adjustRightInd w:val="0"/>
              <w:snapToGrid w:val="0"/>
              <w:spacing w:line="440" w:lineRule="exact"/>
              <w:jc w:val="center"/>
              <w:rPr>
                <w:rFonts w:ascii="宋体"/>
                <w:sz w:val="22"/>
              </w:rPr>
            </w:pPr>
          </w:p>
        </w:tc>
      </w:tr>
      <w:tr w:rsidR="003717A0" w:rsidTr="00F5156D">
        <w:trPr>
          <w:jc w:val="center"/>
        </w:trPr>
        <w:tc>
          <w:tcPr>
            <w:tcW w:w="1668" w:type="dxa"/>
          </w:tcPr>
          <w:p w:rsidR="003717A0" w:rsidRDefault="003717A0">
            <w:pPr>
              <w:adjustRightInd w:val="0"/>
              <w:snapToGrid w:val="0"/>
              <w:spacing w:line="440" w:lineRule="exact"/>
              <w:jc w:val="center"/>
              <w:rPr>
                <w:rFonts w:ascii="宋体"/>
                <w:kern w:val="0"/>
                <w:sz w:val="22"/>
              </w:rPr>
            </w:pPr>
          </w:p>
        </w:tc>
        <w:tc>
          <w:tcPr>
            <w:tcW w:w="1523" w:type="dxa"/>
          </w:tcPr>
          <w:p w:rsidR="003717A0" w:rsidRDefault="003717A0">
            <w:pPr>
              <w:adjustRightInd w:val="0"/>
              <w:snapToGrid w:val="0"/>
              <w:spacing w:line="440" w:lineRule="exact"/>
              <w:jc w:val="center"/>
              <w:rPr>
                <w:rFonts w:ascii="宋体"/>
                <w:kern w:val="0"/>
                <w:sz w:val="22"/>
              </w:rPr>
            </w:pPr>
          </w:p>
        </w:tc>
        <w:tc>
          <w:tcPr>
            <w:tcW w:w="1524" w:type="dxa"/>
            <w:gridSpan w:val="2"/>
          </w:tcPr>
          <w:p w:rsidR="003717A0" w:rsidRDefault="003717A0">
            <w:pPr>
              <w:adjustRightInd w:val="0"/>
              <w:snapToGrid w:val="0"/>
              <w:spacing w:line="440" w:lineRule="exact"/>
              <w:jc w:val="center"/>
              <w:rPr>
                <w:rFonts w:ascii="宋体"/>
                <w:kern w:val="0"/>
                <w:sz w:val="22"/>
              </w:rPr>
            </w:pPr>
          </w:p>
        </w:tc>
        <w:tc>
          <w:tcPr>
            <w:tcW w:w="1523" w:type="dxa"/>
            <w:gridSpan w:val="3"/>
          </w:tcPr>
          <w:p w:rsidR="003717A0" w:rsidRDefault="003717A0">
            <w:pPr>
              <w:adjustRightInd w:val="0"/>
              <w:snapToGrid w:val="0"/>
              <w:spacing w:line="440" w:lineRule="exact"/>
              <w:jc w:val="center"/>
              <w:rPr>
                <w:rFonts w:ascii="宋体"/>
                <w:kern w:val="0"/>
                <w:sz w:val="22"/>
              </w:rPr>
            </w:pPr>
          </w:p>
        </w:tc>
        <w:tc>
          <w:tcPr>
            <w:tcW w:w="1524" w:type="dxa"/>
            <w:gridSpan w:val="2"/>
          </w:tcPr>
          <w:p w:rsidR="003717A0" w:rsidRDefault="003717A0">
            <w:pPr>
              <w:adjustRightInd w:val="0"/>
              <w:snapToGrid w:val="0"/>
              <w:spacing w:line="440" w:lineRule="exact"/>
              <w:jc w:val="center"/>
              <w:rPr>
                <w:rFonts w:ascii="宋体"/>
                <w:kern w:val="0"/>
                <w:sz w:val="22"/>
              </w:rPr>
            </w:pPr>
          </w:p>
        </w:tc>
        <w:tc>
          <w:tcPr>
            <w:tcW w:w="1524" w:type="dxa"/>
          </w:tcPr>
          <w:p w:rsidR="003717A0" w:rsidRDefault="003717A0">
            <w:pPr>
              <w:adjustRightInd w:val="0"/>
              <w:snapToGrid w:val="0"/>
              <w:spacing w:line="440" w:lineRule="exact"/>
              <w:jc w:val="center"/>
              <w:rPr>
                <w:rFonts w:ascii="宋体"/>
                <w:sz w:val="22"/>
              </w:rPr>
            </w:pPr>
          </w:p>
        </w:tc>
      </w:tr>
      <w:tr w:rsidR="003717A0" w:rsidTr="00F5156D">
        <w:trPr>
          <w:jc w:val="center"/>
        </w:trPr>
        <w:tc>
          <w:tcPr>
            <w:tcW w:w="9286" w:type="dxa"/>
            <w:gridSpan w:val="10"/>
          </w:tcPr>
          <w:p w:rsidR="003717A0" w:rsidRDefault="003717A0">
            <w:pPr>
              <w:adjustRightInd w:val="0"/>
              <w:snapToGrid w:val="0"/>
              <w:spacing w:line="440" w:lineRule="exact"/>
              <w:rPr>
                <w:rFonts w:ascii="宋体"/>
                <w:sz w:val="22"/>
              </w:rPr>
            </w:pPr>
            <w:r>
              <w:rPr>
                <w:rFonts w:ascii="宋体" w:hAnsi="宋体" w:hint="eastAsia"/>
                <w:sz w:val="22"/>
              </w:rPr>
              <w:t>课程简介</w:t>
            </w:r>
          </w:p>
        </w:tc>
      </w:tr>
      <w:tr w:rsidR="003717A0" w:rsidTr="00F5156D">
        <w:trPr>
          <w:jc w:val="center"/>
        </w:trPr>
        <w:tc>
          <w:tcPr>
            <w:tcW w:w="9286" w:type="dxa"/>
            <w:gridSpan w:val="10"/>
          </w:tcPr>
          <w:p w:rsidR="003717A0" w:rsidRDefault="003717A0">
            <w:pPr>
              <w:adjustRightInd w:val="0"/>
              <w:spacing w:line="300" w:lineRule="auto"/>
              <w:ind w:firstLineChars="193" w:firstLine="425"/>
              <w:rPr>
                <w:rFonts w:ascii="宋体"/>
                <w:sz w:val="22"/>
              </w:rPr>
            </w:pPr>
            <w:r>
              <w:rPr>
                <w:rFonts w:ascii="宋体" w:hAnsi="宋体" w:hint="eastAsia"/>
                <w:sz w:val="22"/>
              </w:rPr>
              <w:t>现代医学科学发展的一个显著特点是突破了单纯观察、描述与积累经验的传统研究方式，将现代实验手段与各种数学方法紧密结合起来，向着数量化、精确化、数字化的方向迈进，医学领域正日益广泛、深入、有效地应用着各种数学工具。为适应现代医学科学发展的需要，医学各专业的学生必须学习高等数学，</w:t>
            </w:r>
            <w:r>
              <w:rPr>
                <w:rFonts w:ascii="宋体" w:hAnsi="宋体" w:hint="eastAsia"/>
                <w:kern w:val="0"/>
                <w:sz w:val="22"/>
              </w:rPr>
              <w:t>医用高等数学课程是医学本科各专业学生一门必修的公共基础理论课，它是为培养我国社会主义现代化建设所需要的高质量医学专门人才服务的。</w:t>
            </w:r>
          </w:p>
          <w:p w:rsidR="003717A0" w:rsidRDefault="003717A0">
            <w:pPr>
              <w:adjustRightInd w:val="0"/>
              <w:spacing w:line="300" w:lineRule="auto"/>
              <w:ind w:firstLineChars="193" w:firstLine="425"/>
              <w:rPr>
                <w:rFonts w:ascii="宋体"/>
                <w:sz w:val="22"/>
              </w:rPr>
            </w:pPr>
            <w:r>
              <w:rPr>
                <w:rFonts w:ascii="宋体" w:hAnsi="宋体" w:hint="eastAsia"/>
                <w:sz w:val="22"/>
              </w:rPr>
              <w:t>本课程的学习，可以使学生获得函数极限与连续、一元函数微积分、多元函数微积分、常微分方程、模糊数学等的基本概念、基本理论和基本运算技能，并了解它们在医学科学中的一些应用，培养学生具有抽象思维和概括问题的能力、逻辑推理和运算能力，尤其是综合应用所学知识来分析和解决实际问题的能力，从而为今后学习相关后继课程和科学知识打下必要的数学基础。</w:t>
            </w:r>
          </w:p>
        </w:tc>
      </w:tr>
    </w:tbl>
    <w:p w:rsidR="003717A0" w:rsidRPr="00F5156D" w:rsidRDefault="003717A0" w:rsidP="005E20B5">
      <w:pPr>
        <w:adjustRightInd w:val="0"/>
        <w:snapToGrid w:val="0"/>
        <w:spacing w:beforeLines="50" w:afterLines="50" w:line="400" w:lineRule="exact"/>
        <w:jc w:val="center"/>
        <w:rPr>
          <w:rFonts w:ascii="Times New Roman" w:eastAsia="黑体" w:hAnsi="Times New Roman"/>
          <w:b/>
          <w:kern w:val="0"/>
          <w:sz w:val="32"/>
          <w:szCs w:val="32"/>
        </w:rPr>
      </w:pPr>
      <w:r w:rsidRPr="00F5156D">
        <w:rPr>
          <w:rFonts w:ascii="Times New Roman" w:eastAsia="黑体" w:hAnsi="Times New Roman" w:hint="eastAsia"/>
          <w:b/>
          <w:kern w:val="0"/>
          <w:sz w:val="32"/>
          <w:szCs w:val="32"/>
        </w:rPr>
        <w:lastRenderedPageBreak/>
        <w:t>二、课程教学大纲</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rPr>
          <w:rFonts w:ascii="Times New Roman" w:hAnsi="宋体"/>
          <w:kern w:val="0"/>
          <w:sz w:val="22"/>
        </w:rPr>
      </w:pPr>
      <w:r>
        <w:rPr>
          <w:rFonts w:ascii="Times New Roman" w:hAnsi="宋体" w:hint="eastAsia"/>
          <w:kern w:val="0"/>
          <w:sz w:val="22"/>
        </w:rPr>
        <w:t>适应对象：本科层次，</w:t>
      </w:r>
      <w:r>
        <w:rPr>
          <w:rFonts w:ascii="宋体" w:hAnsi="宋体" w:hint="eastAsia"/>
          <w:bCs/>
          <w:sz w:val="22"/>
        </w:rPr>
        <w:t>康复治疗学专业。</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宋体" w:hint="eastAsia"/>
          <w:kern w:val="0"/>
          <w:sz w:val="22"/>
        </w:rPr>
        <w:t>课程代码：</w:t>
      </w:r>
      <w:r>
        <w:rPr>
          <w:rFonts w:ascii="Times New Roman" w:eastAsia="楷体_GB2312" w:hAnsi="Times New Roman"/>
          <w:kern w:val="0"/>
          <w:sz w:val="22"/>
        </w:rPr>
        <w:t>020312</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64</w:t>
      </w:r>
      <w:r>
        <w:rPr>
          <w:rFonts w:ascii="Times New Roman" w:hAnsi="宋体" w:hint="eastAsia"/>
          <w:kern w:val="0"/>
          <w:sz w:val="22"/>
        </w:rPr>
        <w:t>学时（理论学时</w:t>
      </w:r>
      <w:r>
        <w:rPr>
          <w:rFonts w:ascii="Times New Roman" w:hAnsi="Times New Roman"/>
          <w:kern w:val="0"/>
          <w:sz w:val="22"/>
        </w:rPr>
        <w:t>64</w:t>
      </w:r>
      <w:r>
        <w:rPr>
          <w:rFonts w:ascii="Times New Roman" w:hAnsi="宋体" w:hint="eastAsia"/>
          <w:kern w:val="0"/>
          <w:sz w:val="22"/>
        </w:rPr>
        <w:t>学时）</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4</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宋体" w:hint="eastAsia"/>
          <w:kern w:val="0"/>
          <w:sz w:val="22"/>
        </w:rPr>
        <w:t>先修课程：初等数学的基础知识（高中数学）</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宋体" w:hint="eastAsia"/>
          <w:kern w:val="0"/>
          <w:sz w:val="22"/>
        </w:rPr>
        <w:t>后续课程：医用物理学、无机化学、卫生统计学</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25"/>
        <w:rPr>
          <w:rFonts w:ascii="Times New Roman" w:hAnsi="宋体"/>
          <w:kern w:val="0"/>
          <w:sz w:val="22"/>
        </w:rPr>
      </w:pPr>
      <w:r>
        <w:rPr>
          <w:rFonts w:hint="eastAsia"/>
          <w:sz w:val="22"/>
        </w:rPr>
        <w:t>本课程</w:t>
      </w:r>
      <w:r>
        <w:rPr>
          <w:rFonts w:ascii="宋体" w:hAnsi="宋体" w:hint="eastAsia"/>
          <w:sz w:val="22"/>
        </w:rPr>
        <w:t>是医学类</w:t>
      </w:r>
      <w:r>
        <w:rPr>
          <w:rFonts w:hint="eastAsia"/>
          <w:kern w:val="0"/>
          <w:sz w:val="22"/>
        </w:rPr>
        <w:t>本科</w:t>
      </w:r>
      <w:r>
        <w:rPr>
          <w:rFonts w:ascii="宋体" w:hAnsi="宋体" w:hint="eastAsia"/>
          <w:sz w:val="22"/>
        </w:rPr>
        <w:t>各专业学生的一门必修的</w:t>
      </w:r>
      <w:r>
        <w:rPr>
          <w:rFonts w:ascii="宋体" w:hAnsi="宋体" w:cs="宋体" w:hint="eastAsia"/>
          <w:kern w:val="0"/>
          <w:sz w:val="22"/>
        </w:rPr>
        <w:t>公共</w:t>
      </w:r>
      <w:r>
        <w:rPr>
          <w:rFonts w:ascii="宋体" w:hAnsi="宋体" w:hint="eastAsia"/>
          <w:sz w:val="22"/>
        </w:rPr>
        <w:t>基础理论课</w:t>
      </w:r>
      <w:r>
        <w:rPr>
          <w:rFonts w:hint="eastAsia"/>
          <w:sz w:val="22"/>
        </w:rPr>
        <w:t>。</w:t>
      </w:r>
    </w:p>
    <w:p w:rsidR="003717A0" w:rsidRDefault="003717A0">
      <w:pPr>
        <w:autoSpaceDE w:val="0"/>
        <w:autoSpaceDN w:val="0"/>
        <w:adjustRightInd w:val="0"/>
        <w:spacing w:line="360" w:lineRule="exact"/>
        <w:ind w:firstLineChars="193" w:firstLine="425"/>
        <w:rPr>
          <w:rFonts w:ascii="宋体" w:cs="宋体"/>
          <w:kern w:val="0"/>
          <w:sz w:val="22"/>
        </w:rPr>
      </w:pPr>
      <w:r>
        <w:rPr>
          <w:rFonts w:hint="eastAsia"/>
          <w:sz w:val="22"/>
        </w:rPr>
        <w:t>本课程的任务是：使学生通过本课程的学习，</w:t>
      </w:r>
      <w:r>
        <w:rPr>
          <w:rFonts w:ascii="宋体" w:hAnsi="宋体" w:cs="宋体" w:hint="eastAsia"/>
          <w:kern w:val="0"/>
          <w:sz w:val="22"/>
        </w:rPr>
        <w:t>在掌握一定的高等数学的基本知识和方法的基础上，逐步培养学生的最基本的数学素质和自学能力，进一步培养学生分析问题和解决问题的能力，提高他们严谨而具有逻辑性的科学素养，并能从纷杂的数学数据中，通过数学方法的处理抽象出科学的结论。</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pacing w:line="360" w:lineRule="exact"/>
        <w:ind w:firstLineChars="193" w:firstLine="425"/>
        <w:rPr>
          <w:rFonts w:ascii="Times New Roman" w:hAnsi="宋体"/>
          <w:kern w:val="0"/>
          <w:sz w:val="22"/>
        </w:rPr>
      </w:pPr>
      <w:r>
        <w:rPr>
          <w:rFonts w:ascii="宋体" w:hAnsi="宋体" w:hint="eastAsia"/>
          <w:sz w:val="22"/>
        </w:rPr>
        <w:t>目的：使学生获得高等数学的基本知识、基本理论及比较熟练的运算技能，并使学生受到数学分析方法和运用这些方法解决有关实际问题的初步训练。培养学生的自学能力、抽象思维能力，为学习后继课程及进一步扩展数学知识，以及查阅一些应用高等数学的医学参考文献和进行某些科研工作打好必要的数学基础。</w:t>
      </w:r>
    </w:p>
    <w:p w:rsidR="003717A0" w:rsidRDefault="003717A0">
      <w:pPr>
        <w:autoSpaceDE w:val="0"/>
        <w:autoSpaceDN w:val="0"/>
        <w:adjustRightInd w:val="0"/>
        <w:spacing w:line="360" w:lineRule="exact"/>
        <w:ind w:firstLineChars="193" w:firstLine="425"/>
        <w:rPr>
          <w:rFonts w:ascii="宋体"/>
          <w:sz w:val="22"/>
        </w:rPr>
      </w:pPr>
      <w:r>
        <w:rPr>
          <w:rFonts w:ascii="宋体" w:hAnsi="宋体" w:hint="eastAsia"/>
          <w:sz w:val="22"/>
        </w:rPr>
        <w:t>要求：通过本课程的学习使学生掌握微积分、微分方程及模糊数学的基本理论、基本知识和基本技能。会应用这些知识，解决一些有关几何、物理、化学及医药方面的一些实际问题归结为微分或积分问题并加以解决。注重培养学生的创新能力，抽象思维能力，逻辑推理能力，提高数学素质。</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pacing w:line="440" w:lineRule="exact"/>
        <w:ind w:firstLineChars="192" w:firstLine="424"/>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1</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函数、极限与连续</w:t>
      </w:r>
      <w:r>
        <w:rPr>
          <w:rFonts w:ascii="Times New Roman" w:eastAsia="黑体" w:hAnsi="Times New Roman" w:hint="eastAsia"/>
          <w:b/>
          <w:kern w:val="0"/>
          <w:sz w:val="22"/>
        </w:rPr>
        <w:t>（</w:t>
      </w:r>
      <w:r>
        <w:rPr>
          <w:rFonts w:ascii="Times New Roman" w:eastAsia="黑体" w:hAnsi="Times New Roman"/>
          <w:b/>
          <w:kern w:val="0"/>
          <w:sz w:val="22"/>
        </w:rPr>
        <w:t>6</w:t>
      </w:r>
      <w:r>
        <w:rPr>
          <w:rFonts w:ascii="Times New Roman" w:eastAsia="黑体" w:hAnsi="Times New Roman" w:hint="eastAsia"/>
          <w:b/>
          <w:kern w:val="0"/>
          <w:sz w:val="22"/>
        </w:rPr>
        <w:t>学时）</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函数的定义，熟练</w:t>
      </w:r>
      <w:r>
        <w:rPr>
          <w:rFonts w:ascii="Times New Roman" w:hAnsi="Times New Roman" w:hint="eastAsia"/>
          <w:b/>
          <w:sz w:val="22"/>
        </w:rPr>
        <w:t>掌握</w:t>
      </w:r>
      <w:r>
        <w:rPr>
          <w:rFonts w:ascii="Times New Roman" w:hAnsi="Times New Roman" w:hint="eastAsia"/>
          <w:sz w:val="22"/>
        </w:rPr>
        <w:t>自变量与因变量的对应关系与函数的定义域这两个决定函数的要素及</w:t>
      </w:r>
      <w:r>
        <w:rPr>
          <w:rFonts w:ascii="Times New Roman" w:hAnsi="Times New Roman" w:hint="eastAsia"/>
          <w:b/>
          <w:sz w:val="22"/>
        </w:rPr>
        <w:t>会</w:t>
      </w:r>
      <w:r>
        <w:rPr>
          <w:rFonts w:ascii="Times New Roman" w:hAnsi="Times New Roman" w:hint="eastAsia"/>
          <w:sz w:val="22"/>
        </w:rPr>
        <w:t>求函数的定义域。</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2</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复合函数的概念，</w:t>
      </w:r>
      <w:r>
        <w:rPr>
          <w:rFonts w:ascii="Times New Roman" w:hAnsi="Times New Roman" w:hint="eastAsia"/>
          <w:b/>
          <w:sz w:val="22"/>
        </w:rPr>
        <w:t>会</w:t>
      </w:r>
      <w:r>
        <w:rPr>
          <w:rFonts w:ascii="Times New Roman" w:hAnsi="Times New Roman" w:hint="eastAsia"/>
          <w:sz w:val="22"/>
        </w:rPr>
        <w:t>正确地分析复合函数的复合过程。</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3</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基本初等函数（幂函数，指数函数，对数函数，三角函数，反三角函数）的表达式，</w:t>
      </w:r>
      <w:r>
        <w:rPr>
          <w:rFonts w:ascii="Times New Roman" w:hAnsi="Times New Roman" w:hint="eastAsia"/>
          <w:b/>
          <w:sz w:val="22"/>
        </w:rPr>
        <w:t>理解</w:t>
      </w:r>
      <w:r>
        <w:rPr>
          <w:rFonts w:ascii="Times New Roman" w:hAnsi="Times New Roman" w:hint="eastAsia"/>
          <w:sz w:val="22"/>
        </w:rPr>
        <w:t>初等函数的概念。</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4</w:t>
      </w:r>
      <w:r>
        <w:rPr>
          <w:rFonts w:ascii="Times New Roman" w:hAnsi="Times New Roman" w:hint="eastAsia"/>
          <w:sz w:val="22"/>
        </w:rPr>
        <w:t>．正确</w:t>
      </w:r>
      <w:r>
        <w:rPr>
          <w:rFonts w:ascii="Times New Roman" w:hAnsi="Times New Roman" w:hint="eastAsia"/>
          <w:b/>
          <w:sz w:val="22"/>
        </w:rPr>
        <w:t>理解</w:t>
      </w:r>
      <w:r>
        <w:rPr>
          <w:rFonts w:ascii="Times New Roman" w:hAnsi="Times New Roman" w:hint="eastAsia"/>
          <w:sz w:val="22"/>
        </w:rPr>
        <w:t>数列极限概念，正确</w:t>
      </w:r>
      <w:r>
        <w:rPr>
          <w:rFonts w:ascii="Times New Roman" w:hAnsi="Times New Roman" w:hint="eastAsia"/>
          <w:b/>
          <w:sz w:val="22"/>
        </w:rPr>
        <w:t>理解</w:t>
      </w:r>
      <w:r>
        <w:rPr>
          <w:rFonts w:ascii="Times New Roman" w:hAnsi="Times New Roman" w:hint="eastAsia"/>
          <w:sz w:val="22"/>
        </w:rPr>
        <w:t>函数极限概念，</w:t>
      </w:r>
      <w:r>
        <w:rPr>
          <w:rFonts w:ascii="Times New Roman" w:hAnsi="Times New Roman" w:hint="eastAsia"/>
          <w:b/>
          <w:sz w:val="22"/>
        </w:rPr>
        <w:t>掌握</w:t>
      </w:r>
      <w:r>
        <w:rPr>
          <w:rFonts w:ascii="Times New Roman" w:hAnsi="Times New Roman" w:hint="eastAsia"/>
          <w:sz w:val="22"/>
        </w:rPr>
        <w:t>函数极限的四则运算法则，</w:t>
      </w:r>
      <w:r>
        <w:rPr>
          <w:rFonts w:ascii="Times New Roman" w:hAnsi="Times New Roman" w:hint="eastAsia"/>
          <w:b/>
          <w:sz w:val="22"/>
        </w:rPr>
        <w:t>能</w:t>
      </w:r>
      <w:r>
        <w:rPr>
          <w:rFonts w:ascii="Times New Roman" w:hAnsi="Times New Roman" w:hint="eastAsia"/>
          <w:sz w:val="22"/>
        </w:rPr>
        <w:t>正确运用极限的四则运算法则求极限。</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5</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运用两个重要极限求极限的方法。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6</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无穷小量的概念，</w:t>
      </w:r>
      <w:r>
        <w:rPr>
          <w:rFonts w:ascii="Times New Roman" w:hAnsi="Times New Roman" w:hint="eastAsia"/>
          <w:b/>
          <w:sz w:val="22"/>
        </w:rPr>
        <w:t>理解</w:t>
      </w:r>
      <w:r>
        <w:rPr>
          <w:rFonts w:ascii="Times New Roman" w:hAnsi="Times New Roman" w:hint="eastAsia"/>
          <w:sz w:val="22"/>
        </w:rPr>
        <w:t>无穷大量的概念，</w:t>
      </w:r>
      <w:r>
        <w:rPr>
          <w:rFonts w:ascii="Times New Roman" w:hAnsi="Times New Roman" w:hint="eastAsia"/>
          <w:b/>
          <w:sz w:val="22"/>
        </w:rPr>
        <w:t>掌握</w:t>
      </w:r>
      <w:r>
        <w:rPr>
          <w:rFonts w:ascii="Times New Roman" w:hAnsi="Times New Roman" w:hint="eastAsia"/>
          <w:sz w:val="22"/>
        </w:rPr>
        <w:t>无穷小量的性质及无穷小量阶的比较。</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7</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连续函数的定义，</w:t>
      </w:r>
      <w:r>
        <w:rPr>
          <w:rFonts w:ascii="Times New Roman" w:hAnsi="Times New Roman" w:hint="eastAsia"/>
          <w:b/>
          <w:sz w:val="22"/>
        </w:rPr>
        <w:t>知道</w:t>
      </w:r>
      <w:r>
        <w:rPr>
          <w:rFonts w:ascii="Times New Roman" w:hAnsi="Times New Roman" w:hint="eastAsia"/>
          <w:sz w:val="22"/>
        </w:rPr>
        <w:t>连续函数的运算性质，</w:t>
      </w:r>
      <w:r>
        <w:rPr>
          <w:rFonts w:ascii="Times New Roman" w:hAnsi="Times New Roman" w:hint="eastAsia"/>
          <w:b/>
          <w:sz w:val="22"/>
        </w:rPr>
        <w:t>知道</w:t>
      </w:r>
      <w:r>
        <w:rPr>
          <w:rFonts w:ascii="Times New Roman" w:hAnsi="Times New Roman" w:hint="eastAsia"/>
          <w:sz w:val="22"/>
        </w:rPr>
        <w:t>初等函数的连续性和闭区间上连续函数的性质。</w:t>
      </w:r>
    </w:p>
    <w:p w:rsidR="003717A0" w:rsidRDefault="003717A0">
      <w:pPr>
        <w:autoSpaceDE w:val="0"/>
        <w:autoSpaceDN w:val="0"/>
        <w:adjustRightInd w:val="0"/>
        <w:spacing w:line="440" w:lineRule="exact"/>
        <w:ind w:firstLineChars="192" w:firstLine="424"/>
        <w:rPr>
          <w:rFonts w:ascii="Times New Roman" w:eastAsia="黑体" w:hAnsi="Times New Roman"/>
          <w:b/>
          <w:kern w:val="0"/>
          <w:sz w:val="22"/>
        </w:rPr>
      </w:pPr>
      <w:r>
        <w:rPr>
          <w:rFonts w:ascii="Times New Roman" w:eastAsia="黑体" w:hAnsi="Times New Roman" w:hint="eastAsia"/>
          <w:b/>
          <w:kern w:val="0"/>
          <w:sz w:val="22"/>
        </w:rPr>
        <w:lastRenderedPageBreak/>
        <w:t>第</w:t>
      </w:r>
      <w:r>
        <w:rPr>
          <w:rFonts w:ascii="Times New Roman" w:eastAsia="黑体" w:hAnsi="Times New Roman"/>
          <w:b/>
          <w:kern w:val="0"/>
          <w:sz w:val="22"/>
        </w:rPr>
        <w:t>2</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导数与微分</w:t>
      </w:r>
      <w:r>
        <w:rPr>
          <w:rFonts w:ascii="Times New Roman" w:eastAsia="黑体" w:hAnsi="Times New Roman" w:hint="eastAsia"/>
          <w:b/>
          <w:kern w:val="0"/>
          <w:sz w:val="22"/>
        </w:rPr>
        <w:t>（</w:t>
      </w:r>
      <w:r>
        <w:rPr>
          <w:rFonts w:ascii="Times New Roman" w:eastAsia="黑体" w:hAnsi="Times New Roman"/>
          <w:b/>
          <w:kern w:val="0"/>
          <w:sz w:val="22"/>
        </w:rPr>
        <w:t>12</w:t>
      </w:r>
      <w:r>
        <w:rPr>
          <w:rFonts w:ascii="Times New Roman" w:eastAsia="黑体" w:hAnsi="Times New Roman" w:hint="eastAsia"/>
          <w:b/>
          <w:kern w:val="0"/>
          <w:sz w:val="22"/>
        </w:rPr>
        <w:t>学时）</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导数的概念，</w:t>
      </w:r>
      <w:r>
        <w:rPr>
          <w:rFonts w:ascii="Times New Roman" w:hAnsi="Times New Roman" w:hint="eastAsia"/>
          <w:b/>
          <w:sz w:val="22"/>
        </w:rPr>
        <w:t>了解</w:t>
      </w:r>
      <w:r>
        <w:rPr>
          <w:rFonts w:ascii="Times New Roman" w:hAnsi="Times New Roman" w:hint="eastAsia"/>
          <w:sz w:val="22"/>
        </w:rPr>
        <w:t>导数的几何意义，</w:t>
      </w:r>
      <w:r>
        <w:rPr>
          <w:rFonts w:ascii="Times New Roman" w:hAnsi="Times New Roman" w:hint="eastAsia"/>
          <w:b/>
          <w:sz w:val="22"/>
        </w:rPr>
        <w:t>了解</w:t>
      </w:r>
      <w:r>
        <w:rPr>
          <w:rFonts w:ascii="Times New Roman" w:hAnsi="Times New Roman" w:hint="eastAsia"/>
          <w:sz w:val="22"/>
        </w:rPr>
        <w:t>函数的连续与可导的关系，</w:t>
      </w:r>
      <w:r>
        <w:rPr>
          <w:rFonts w:ascii="Times New Roman" w:hAnsi="Times New Roman" w:hint="eastAsia"/>
          <w:b/>
          <w:sz w:val="22"/>
        </w:rPr>
        <w:t>会</w:t>
      </w:r>
      <w:r>
        <w:rPr>
          <w:rFonts w:ascii="Times New Roman" w:hAnsi="Times New Roman" w:hint="eastAsia"/>
          <w:sz w:val="22"/>
        </w:rPr>
        <w:t>求曲线上一点处的切线方程。</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2</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基本初等函数的导数公式，熟练</w:t>
      </w:r>
      <w:r>
        <w:rPr>
          <w:rFonts w:ascii="Times New Roman" w:hAnsi="Times New Roman" w:hint="eastAsia"/>
          <w:b/>
          <w:sz w:val="22"/>
        </w:rPr>
        <w:t>掌握</w:t>
      </w:r>
      <w:r>
        <w:rPr>
          <w:rFonts w:ascii="Times New Roman" w:hAnsi="Times New Roman" w:hint="eastAsia"/>
          <w:sz w:val="22"/>
        </w:rPr>
        <w:t>导数四则运算法则，熟练</w:t>
      </w:r>
      <w:r>
        <w:rPr>
          <w:rFonts w:ascii="Times New Roman" w:hAnsi="Times New Roman" w:hint="eastAsia"/>
          <w:b/>
          <w:sz w:val="22"/>
        </w:rPr>
        <w:t>掌握</w:t>
      </w:r>
      <w:r>
        <w:rPr>
          <w:rFonts w:ascii="Times New Roman" w:hAnsi="Times New Roman" w:hint="eastAsia"/>
          <w:sz w:val="22"/>
        </w:rPr>
        <w:t>复合函数的求导法则，熟练</w:t>
      </w:r>
      <w:r>
        <w:rPr>
          <w:rFonts w:ascii="Times New Roman" w:hAnsi="Times New Roman" w:hint="eastAsia"/>
          <w:b/>
          <w:sz w:val="22"/>
        </w:rPr>
        <w:t>掌握</w:t>
      </w:r>
      <w:r>
        <w:rPr>
          <w:rFonts w:ascii="Times New Roman" w:hAnsi="Times New Roman" w:hint="eastAsia"/>
          <w:sz w:val="22"/>
        </w:rPr>
        <w:t>隐函数的求导法则，</w:t>
      </w:r>
      <w:r>
        <w:rPr>
          <w:rFonts w:ascii="Times New Roman" w:hAnsi="Times New Roman" w:hint="eastAsia"/>
          <w:b/>
          <w:sz w:val="22"/>
        </w:rPr>
        <w:t>掌握</w:t>
      </w:r>
      <w:r>
        <w:rPr>
          <w:rFonts w:ascii="Times New Roman" w:hAnsi="Times New Roman" w:hint="eastAsia"/>
          <w:sz w:val="22"/>
        </w:rPr>
        <w:t>对数求导法。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3</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高阶导数的概念，</w:t>
      </w:r>
      <w:r>
        <w:rPr>
          <w:rFonts w:ascii="Times New Roman" w:hAnsi="Times New Roman" w:hint="eastAsia"/>
          <w:b/>
          <w:sz w:val="22"/>
        </w:rPr>
        <w:t>会</w:t>
      </w:r>
      <w:r>
        <w:rPr>
          <w:rFonts w:ascii="Times New Roman" w:hAnsi="Times New Roman" w:hint="eastAsia"/>
          <w:sz w:val="22"/>
        </w:rPr>
        <w:t>求一些简单函数的</w:t>
      </w:r>
      <w:r>
        <w:rPr>
          <w:rFonts w:ascii="Times New Roman" w:hAnsi="Times New Roman"/>
          <w:sz w:val="22"/>
        </w:rPr>
        <w:t>n</w:t>
      </w:r>
      <w:r>
        <w:rPr>
          <w:rFonts w:ascii="Times New Roman" w:hAnsi="Times New Roman" w:hint="eastAsia"/>
          <w:sz w:val="22"/>
        </w:rPr>
        <w:t>阶导数。</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4</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拉格朗日中值定理及其几何意义。</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5</w:t>
      </w:r>
      <w:r>
        <w:rPr>
          <w:rFonts w:ascii="Times New Roman" w:hAnsi="Times New Roman" w:hint="eastAsia"/>
          <w:sz w:val="22"/>
        </w:rPr>
        <w:t>．</w:t>
      </w:r>
      <w:r>
        <w:rPr>
          <w:rFonts w:ascii="Times New Roman" w:hAnsi="Times New Roman" w:hint="eastAsia"/>
          <w:b/>
          <w:sz w:val="22"/>
        </w:rPr>
        <w:t>会</w:t>
      </w:r>
      <w:r>
        <w:rPr>
          <w:rFonts w:ascii="Times New Roman" w:hAnsi="Times New Roman" w:hint="eastAsia"/>
          <w:sz w:val="22"/>
        </w:rPr>
        <w:t>用导数判断函数的单调性。</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6</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函数的极值概念，</w:t>
      </w:r>
      <w:r>
        <w:rPr>
          <w:rFonts w:ascii="Times New Roman" w:hAnsi="Times New Roman" w:hint="eastAsia"/>
          <w:b/>
          <w:sz w:val="22"/>
        </w:rPr>
        <w:t>掌握</w:t>
      </w:r>
      <w:r>
        <w:rPr>
          <w:rFonts w:ascii="Times New Roman" w:hAnsi="Times New Roman" w:hint="eastAsia"/>
          <w:sz w:val="22"/>
        </w:rPr>
        <w:t>利用导数求函数的极值、最值的方法。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7</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运用罗必塔法则求未定式极限的方法。</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8</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微分的概念，</w:t>
      </w:r>
      <w:r>
        <w:rPr>
          <w:rFonts w:ascii="Times New Roman" w:hAnsi="Times New Roman" w:hint="eastAsia"/>
          <w:b/>
          <w:sz w:val="22"/>
        </w:rPr>
        <w:t>了解</w:t>
      </w:r>
      <w:r>
        <w:rPr>
          <w:rFonts w:ascii="Times New Roman" w:hAnsi="Times New Roman" w:hint="eastAsia"/>
          <w:sz w:val="22"/>
        </w:rPr>
        <w:t>可导与可微之间的关系，</w:t>
      </w:r>
      <w:r>
        <w:rPr>
          <w:rFonts w:ascii="Times New Roman" w:hAnsi="Times New Roman" w:hint="eastAsia"/>
          <w:b/>
          <w:sz w:val="22"/>
        </w:rPr>
        <w:t>掌握</w:t>
      </w:r>
      <w:r>
        <w:rPr>
          <w:rFonts w:ascii="Times New Roman" w:hAnsi="Times New Roman" w:hint="eastAsia"/>
          <w:sz w:val="22"/>
        </w:rPr>
        <w:t>微分的运算法则，</w:t>
      </w:r>
      <w:r>
        <w:rPr>
          <w:rFonts w:ascii="Times New Roman" w:hAnsi="Times New Roman" w:hint="eastAsia"/>
          <w:b/>
          <w:sz w:val="22"/>
        </w:rPr>
        <w:t>会</w:t>
      </w:r>
      <w:r>
        <w:rPr>
          <w:rFonts w:ascii="Times New Roman" w:hAnsi="Times New Roman" w:hint="eastAsia"/>
          <w:sz w:val="22"/>
        </w:rPr>
        <w:t>运用法则求函数的一阶微分。</w:t>
      </w:r>
    </w:p>
    <w:p w:rsidR="003717A0" w:rsidRDefault="003717A0">
      <w:pPr>
        <w:autoSpaceDE w:val="0"/>
        <w:autoSpaceDN w:val="0"/>
        <w:adjustRightInd w:val="0"/>
        <w:spacing w:line="440" w:lineRule="exact"/>
        <w:ind w:firstLineChars="192" w:firstLine="424"/>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3</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不定积分</w:t>
      </w:r>
      <w:r>
        <w:rPr>
          <w:rFonts w:ascii="Times New Roman" w:eastAsia="黑体" w:hAnsi="Times New Roman" w:hint="eastAsia"/>
          <w:b/>
          <w:kern w:val="0"/>
          <w:sz w:val="22"/>
        </w:rPr>
        <w:t>（</w:t>
      </w:r>
      <w:r>
        <w:rPr>
          <w:rFonts w:ascii="Times New Roman" w:eastAsia="黑体" w:hAnsi="Times New Roman"/>
          <w:b/>
          <w:kern w:val="0"/>
          <w:sz w:val="22"/>
        </w:rPr>
        <w:t>10</w:t>
      </w:r>
      <w:r>
        <w:rPr>
          <w:rFonts w:ascii="Times New Roman" w:eastAsia="黑体" w:hAnsi="Times New Roman" w:hint="eastAsia"/>
          <w:b/>
          <w:kern w:val="0"/>
          <w:sz w:val="22"/>
        </w:rPr>
        <w:t>学时）</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原函数与不定积分的概念及其关系，</w:t>
      </w:r>
      <w:r>
        <w:rPr>
          <w:rFonts w:ascii="Times New Roman" w:hAnsi="Times New Roman" w:hint="eastAsia"/>
          <w:b/>
          <w:sz w:val="22"/>
        </w:rPr>
        <w:t>掌握</w:t>
      </w:r>
      <w:r>
        <w:rPr>
          <w:rFonts w:ascii="Times New Roman" w:hAnsi="Times New Roman" w:hint="eastAsia"/>
          <w:sz w:val="22"/>
        </w:rPr>
        <w:t>不定积分的性质，</w:t>
      </w:r>
      <w:r>
        <w:rPr>
          <w:rFonts w:ascii="Times New Roman" w:hAnsi="Times New Roman" w:hint="eastAsia"/>
          <w:b/>
          <w:sz w:val="22"/>
        </w:rPr>
        <w:t>了解</w:t>
      </w:r>
      <w:r>
        <w:rPr>
          <w:rFonts w:ascii="Times New Roman" w:hAnsi="Times New Roman" w:hint="eastAsia"/>
          <w:sz w:val="22"/>
        </w:rPr>
        <w:t>不定积分的几何意义。</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2</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不定积分的基本公式及直接积分法。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3</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不定积分的第一和第二换元积分法（其中第二类换元法主要介绍三角代换）。</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4</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不定积分的分部积分法。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5</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积分表及其使用方法。</w:t>
      </w:r>
    </w:p>
    <w:p w:rsidR="003717A0" w:rsidRDefault="003717A0">
      <w:pPr>
        <w:autoSpaceDE w:val="0"/>
        <w:autoSpaceDN w:val="0"/>
        <w:adjustRightInd w:val="0"/>
        <w:spacing w:line="440" w:lineRule="exact"/>
        <w:ind w:firstLineChars="192" w:firstLine="424"/>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4</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定积分</w:t>
      </w:r>
      <w:r>
        <w:rPr>
          <w:rFonts w:ascii="Times New Roman" w:eastAsia="黑体" w:hAnsi="Times New Roman" w:hint="eastAsia"/>
          <w:b/>
          <w:kern w:val="0"/>
          <w:sz w:val="22"/>
        </w:rPr>
        <w:t>（</w:t>
      </w:r>
      <w:r>
        <w:rPr>
          <w:rFonts w:ascii="Times New Roman" w:eastAsia="黑体" w:hAnsi="Times New Roman"/>
          <w:b/>
          <w:kern w:val="0"/>
          <w:sz w:val="22"/>
        </w:rPr>
        <w:t>8</w:t>
      </w:r>
      <w:r>
        <w:rPr>
          <w:rFonts w:ascii="Times New Roman" w:eastAsia="黑体" w:hAnsi="Times New Roman" w:hint="eastAsia"/>
          <w:b/>
          <w:kern w:val="0"/>
          <w:sz w:val="22"/>
        </w:rPr>
        <w:t>学时）</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定积分的概念及其几何意义，</w:t>
      </w:r>
      <w:r>
        <w:rPr>
          <w:rFonts w:ascii="Times New Roman" w:hAnsi="Times New Roman" w:hint="eastAsia"/>
          <w:b/>
          <w:sz w:val="22"/>
        </w:rPr>
        <w:t>掌握</w:t>
      </w:r>
      <w:r>
        <w:rPr>
          <w:rFonts w:ascii="Times New Roman" w:hAnsi="Times New Roman" w:hint="eastAsia"/>
          <w:sz w:val="22"/>
        </w:rPr>
        <w:t>定积分的基本性质。</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2</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积分上限函数的概念，</w:t>
      </w:r>
      <w:r>
        <w:rPr>
          <w:rFonts w:ascii="Times New Roman" w:hAnsi="Times New Roman" w:hint="eastAsia"/>
          <w:b/>
          <w:sz w:val="22"/>
        </w:rPr>
        <w:t>掌握</w:t>
      </w:r>
      <w:r>
        <w:rPr>
          <w:rFonts w:ascii="Times New Roman" w:hAnsi="Times New Roman" w:hint="eastAsia"/>
          <w:sz w:val="22"/>
        </w:rPr>
        <w:t>对积分上限函数求导数的方法。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3</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牛顿</w:t>
      </w:r>
      <w:r>
        <w:rPr>
          <w:rFonts w:ascii="Times New Roman" w:hAnsi="Times New Roman"/>
          <w:sz w:val="22"/>
        </w:rPr>
        <w:t>—</w:t>
      </w:r>
      <w:r>
        <w:rPr>
          <w:rFonts w:ascii="Times New Roman" w:hAnsi="Times New Roman" w:hint="eastAsia"/>
          <w:sz w:val="22"/>
        </w:rPr>
        <w:t>莱布尼兹公式，</w:t>
      </w:r>
      <w:r>
        <w:rPr>
          <w:rFonts w:ascii="Times New Roman" w:hAnsi="Times New Roman" w:hint="eastAsia"/>
          <w:b/>
          <w:sz w:val="22"/>
        </w:rPr>
        <w:t>掌握</w:t>
      </w:r>
      <w:r>
        <w:rPr>
          <w:rFonts w:ascii="Times New Roman" w:hAnsi="Times New Roman" w:hint="eastAsia"/>
          <w:sz w:val="22"/>
        </w:rPr>
        <w:t>定积分的换元法和分部积分法。</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4</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微元法，</w:t>
      </w:r>
      <w:r>
        <w:rPr>
          <w:rFonts w:ascii="Times New Roman" w:hAnsi="Times New Roman" w:hint="eastAsia"/>
          <w:b/>
          <w:sz w:val="22"/>
        </w:rPr>
        <w:t>掌握</w:t>
      </w:r>
      <w:r>
        <w:rPr>
          <w:rFonts w:ascii="Times New Roman" w:hAnsi="Times New Roman" w:hint="eastAsia"/>
          <w:sz w:val="22"/>
        </w:rPr>
        <w:t>求平面图形面积的方法，</w:t>
      </w:r>
      <w:r>
        <w:rPr>
          <w:rFonts w:ascii="Times New Roman" w:hAnsi="Times New Roman" w:hint="eastAsia"/>
          <w:b/>
          <w:sz w:val="22"/>
        </w:rPr>
        <w:t>了解</w:t>
      </w:r>
      <w:r>
        <w:rPr>
          <w:rFonts w:ascii="Times New Roman" w:hAnsi="Times New Roman" w:hint="eastAsia"/>
          <w:sz w:val="22"/>
        </w:rPr>
        <w:t>求连续函数平均值的方法，</w:t>
      </w:r>
      <w:r>
        <w:rPr>
          <w:rFonts w:ascii="Times New Roman" w:hAnsi="Times New Roman" w:hint="eastAsia"/>
          <w:b/>
          <w:sz w:val="22"/>
        </w:rPr>
        <w:t>了解</w:t>
      </w:r>
      <w:r>
        <w:rPr>
          <w:rFonts w:ascii="Times New Roman" w:hAnsi="Times New Roman" w:hint="eastAsia"/>
          <w:sz w:val="22"/>
        </w:rPr>
        <w:t>变力沿直线所做功的求法。</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5</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广义积分的概念及计算方法。</w:t>
      </w:r>
    </w:p>
    <w:p w:rsidR="003717A0" w:rsidRDefault="003717A0">
      <w:pPr>
        <w:autoSpaceDE w:val="0"/>
        <w:autoSpaceDN w:val="0"/>
        <w:adjustRightInd w:val="0"/>
        <w:spacing w:line="440" w:lineRule="exact"/>
        <w:ind w:firstLineChars="192" w:firstLine="424"/>
        <w:rPr>
          <w:rFonts w:ascii="Times New Roman" w:hAnsi="Times New Roman"/>
          <w:kern w:val="0"/>
          <w:sz w:val="22"/>
        </w:rPr>
      </w:pPr>
      <w:r>
        <w:rPr>
          <w:rFonts w:ascii="Times New Roman" w:eastAsia="黑体" w:hAnsi="Times New Roman" w:hint="eastAsia"/>
          <w:b/>
          <w:kern w:val="0"/>
          <w:sz w:val="22"/>
        </w:rPr>
        <w:t>第</w:t>
      </w:r>
      <w:r>
        <w:rPr>
          <w:rFonts w:ascii="Times New Roman" w:eastAsia="黑体" w:hAnsi="Times New Roman"/>
          <w:b/>
          <w:kern w:val="0"/>
          <w:sz w:val="22"/>
        </w:rPr>
        <w:t>5</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微分方程</w:t>
      </w:r>
      <w:r>
        <w:rPr>
          <w:rFonts w:ascii="Times New Roman" w:eastAsia="黑体" w:hAnsi="Times New Roman" w:hint="eastAsia"/>
          <w:b/>
          <w:kern w:val="0"/>
          <w:sz w:val="22"/>
        </w:rPr>
        <w:t>（</w:t>
      </w:r>
      <w:r>
        <w:rPr>
          <w:rFonts w:ascii="Times New Roman" w:eastAsia="黑体" w:hAnsi="Times New Roman"/>
          <w:b/>
          <w:kern w:val="0"/>
          <w:sz w:val="22"/>
        </w:rPr>
        <w:t>8</w:t>
      </w:r>
      <w:r>
        <w:rPr>
          <w:rFonts w:ascii="Times New Roman" w:eastAsia="黑体" w:hAnsi="Times New Roman" w:hint="eastAsia"/>
          <w:b/>
          <w:kern w:val="0"/>
          <w:sz w:val="22"/>
        </w:rPr>
        <w:t>学时）</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微分方程及方程的阶、解、通解、特解、初始条件的概念。</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2</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一阶可分离变量微分方程的解法。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3</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可化为一阶可分离变量的齐次微分方程的解法。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4</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一阶线性微分方程的解法。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5</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贝努里方程的解法。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6</w:t>
      </w:r>
      <w:r>
        <w:rPr>
          <w:rFonts w:ascii="Times New Roman" w:hAnsi="Times New Roman" w:hint="eastAsia"/>
          <w:sz w:val="22"/>
        </w:rPr>
        <w:t>．</w:t>
      </w:r>
      <w:r>
        <w:rPr>
          <w:rFonts w:ascii="Times New Roman" w:hAnsi="Times New Roman" w:hint="eastAsia"/>
          <w:b/>
          <w:sz w:val="22"/>
        </w:rPr>
        <w:t>会</w:t>
      </w:r>
      <w:r>
        <w:rPr>
          <w:rFonts w:ascii="Times New Roman" w:hAnsi="Times New Roman" w:hint="eastAsia"/>
          <w:sz w:val="22"/>
        </w:rPr>
        <w:t>用降阶法解</w:t>
      </w:r>
      <w:r w:rsidR="00514AB1" w:rsidRPr="00514AB1">
        <w:rPr>
          <w:rFonts w:ascii="Times New Roman" w:hAnsi="Times New Roman"/>
          <w:position w:val="-10"/>
          <w:sz w:val="22"/>
        </w:rPr>
        <w:pict>
          <v:shape id="_x0000_i1049" type="#_x0000_t75" style="width:57.6pt;height:18.3pt">
            <v:imagedata r:id="rId31" o:title=""/>
          </v:shape>
        </w:pict>
      </w:r>
      <w:r>
        <w:rPr>
          <w:rFonts w:ascii="Times New Roman" w:hAnsi="Times New Roman" w:hint="eastAsia"/>
          <w:sz w:val="22"/>
        </w:rPr>
        <w:t>、</w:t>
      </w:r>
      <w:r w:rsidR="00514AB1" w:rsidRPr="00514AB1">
        <w:rPr>
          <w:rFonts w:ascii="Times New Roman" w:hAnsi="Times New Roman"/>
          <w:position w:val="-10"/>
          <w:sz w:val="22"/>
        </w:rPr>
        <w:pict>
          <v:shape id="_x0000_i1050" type="#_x0000_t75" style="width:64.8pt;height:15.5pt">
            <v:imagedata r:id="rId32" o:title=""/>
          </v:shape>
        </w:pict>
      </w:r>
      <w:r>
        <w:rPr>
          <w:rFonts w:ascii="Times New Roman" w:hAnsi="Times New Roman" w:hint="eastAsia"/>
          <w:sz w:val="22"/>
        </w:rPr>
        <w:t>和</w:t>
      </w:r>
      <w:r w:rsidR="00514AB1" w:rsidRPr="00514AB1">
        <w:rPr>
          <w:rFonts w:ascii="Times New Roman" w:hAnsi="Times New Roman"/>
          <w:position w:val="-10"/>
          <w:sz w:val="22"/>
        </w:rPr>
        <w:pict>
          <v:shape id="_x0000_i1051" type="#_x0000_t75" style="width:65.9pt;height:15.5pt">
            <v:imagedata r:id="rId33" o:title=""/>
          </v:shape>
        </w:pict>
      </w:r>
      <w:r>
        <w:rPr>
          <w:rFonts w:ascii="Times New Roman" w:hAnsi="Times New Roman" w:hint="eastAsia"/>
          <w:sz w:val="22"/>
        </w:rPr>
        <w:t>型微分方程。</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7</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二阶线性微分方程解的性质。</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8</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二阶常系数线性齐次微分方程的概念及其求法。</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9</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二阶常系数线性非齐次微分方程的概念及其解的结构，</w:t>
      </w:r>
      <w:r>
        <w:rPr>
          <w:rFonts w:ascii="Times New Roman" w:hAnsi="Times New Roman" w:hint="eastAsia"/>
          <w:b/>
          <w:sz w:val="22"/>
        </w:rPr>
        <w:t>了解</w:t>
      </w:r>
      <w:r>
        <w:rPr>
          <w:rFonts w:ascii="Times New Roman" w:hAnsi="Times New Roman" w:hint="eastAsia"/>
          <w:sz w:val="22"/>
        </w:rPr>
        <w:t>非齐次项为</w:t>
      </w:r>
      <w:r w:rsidR="00514AB1" w:rsidRPr="00514AB1">
        <w:rPr>
          <w:rFonts w:ascii="Times New Roman" w:hAnsi="Times New Roman"/>
          <w:position w:val="-12"/>
          <w:sz w:val="22"/>
        </w:rPr>
        <w:pict>
          <v:shape id="_x0000_i1052" type="#_x0000_t75" style="width:44.3pt;height:18.85pt">
            <v:imagedata r:id="rId34" o:title=""/>
          </v:shape>
        </w:pict>
      </w:r>
      <w:r>
        <w:rPr>
          <w:rFonts w:ascii="Times New Roman" w:hAnsi="Times New Roman" w:hint="eastAsia"/>
          <w:sz w:val="22"/>
        </w:rPr>
        <w:t>和</w:t>
      </w:r>
      <w:r w:rsidR="00514AB1" w:rsidRPr="00514AB1">
        <w:rPr>
          <w:rFonts w:ascii="Times New Roman" w:hAnsi="Times New Roman"/>
          <w:position w:val="-12"/>
          <w:sz w:val="22"/>
        </w:rPr>
        <w:pict>
          <v:shape id="_x0000_i1053" type="#_x0000_t75" style="width:158.4pt;height:18.85pt">
            <v:imagedata r:id="rId35" o:title=""/>
          </v:shape>
        </w:pict>
      </w:r>
      <w:r>
        <w:rPr>
          <w:rFonts w:ascii="Times New Roman" w:hAnsi="Times New Roman" w:hint="eastAsia"/>
          <w:sz w:val="22"/>
        </w:rPr>
        <w:t>的二阶常系数线性非齐次微分方程解法。</w:t>
      </w:r>
    </w:p>
    <w:p w:rsidR="003717A0" w:rsidRDefault="003717A0">
      <w:pPr>
        <w:spacing w:line="360" w:lineRule="exact"/>
        <w:ind w:left="440" w:hangingChars="200" w:hanging="440"/>
        <w:rPr>
          <w:rFonts w:ascii="Times New Roman" w:hAnsi="Times New Roman"/>
          <w:sz w:val="22"/>
        </w:rPr>
      </w:pPr>
      <w:r>
        <w:rPr>
          <w:rFonts w:ascii="Times New Roman" w:hAnsi="Times New Roman"/>
          <w:sz w:val="22"/>
        </w:rPr>
        <w:t>10</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拉普拉斯变换，</w:t>
      </w:r>
      <w:r>
        <w:rPr>
          <w:rFonts w:ascii="Times New Roman" w:hAnsi="Times New Roman" w:hint="eastAsia"/>
          <w:b/>
          <w:sz w:val="22"/>
        </w:rPr>
        <w:t>了解</w:t>
      </w:r>
      <w:r>
        <w:rPr>
          <w:rFonts w:ascii="Times New Roman" w:hAnsi="Times New Roman" w:hint="eastAsia"/>
          <w:sz w:val="22"/>
        </w:rPr>
        <w:t>应用拉普拉斯变换求解常系数线性微分方程（组），</w:t>
      </w:r>
      <w:r>
        <w:rPr>
          <w:rFonts w:ascii="Times New Roman" w:hAnsi="Times New Roman" w:hint="eastAsia"/>
          <w:b/>
          <w:sz w:val="22"/>
        </w:rPr>
        <w:t>了解</w:t>
      </w:r>
      <w:r>
        <w:rPr>
          <w:rFonts w:ascii="Times New Roman" w:hAnsi="Times New Roman" w:hint="eastAsia"/>
          <w:sz w:val="22"/>
        </w:rPr>
        <w:t>微分方程</w:t>
      </w:r>
      <w:r>
        <w:rPr>
          <w:rFonts w:ascii="Times New Roman" w:hAnsi="Times New Roman" w:hint="eastAsia"/>
          <w:sz w:val="22"/>
        </w:rPr>
        <w:lastRenderedPageBreak/>
        <w:t>在医药学方面的应用，</w:t>
      </w:r>
      <w:r>
        <w:rPr>
          <w:rFonts w:ascii="Times New Roman" w:hAnsi="Times New Roman" w:hint="eastAsia"/>
          <w:b/>
          <w:sz w:val="22"/>
        </w:rPr>
        <w:t>了解</w:t>
      </w:r>
      <w:r>
        <w:rPr>
          <w:rFonts w:ascii="Times New Roman" w:hAnsi="Times New Roman" w:hint="eastAsia"/>
          <w:sz w:val="22"/>
        </w:rPr>
        <w:t>医药学中简单的数学模型。</w:t>
      </w:r>
    </w:p>
    <w:p w:rsidR="003717A0" w:rsidRDefault="003717A0">
      <w:pPr>
        <w:autoSpaceDE w:val="0"/>
        <w:autoSpaceDN w:val="0"/>
        <w:adjustRightInd w:val="0"/>
        <w:spacing w:line="440" w:lineRule="exact"/>
        <w:ind w:firstLineChars="192" w:firstLine="424"/>
        <w:rPr>
          <w:rFonts w:ascii="Times New Roman" w:eastAsia="黑体" w:hAnsi="Times New Roman"/>
          <w:b/>
          <w:kern w:val="0"/>
          <w:sz w:val="22"/>
        </w:rPr>
      </w:pPr>
      <w:r>
        <w:rPr>
          <w:rFonts w:ascii="Times New Roman" w:eastAsia="黑体" w:hAnsi="Times New Roman" w:hint="eastAsia"/>
          <w:b/>
          <w:kern w:val="0"/>
          <w:sz w:val="22"/>
        </w:rPr>
        <w:t>第</w:t>
      </w:r>
      <w:r>
        <w:rPr>
          <w:rFonts w:ascii="Times New Roman" w:eastAsia="黑体" w:hAnsi="Times New Roman"/>
          <w:b/>
          <w:kern w:val="0"/>
          <w:sz w:val="22"/>
        </w:rPr>
        <w:t>6</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多元函数微积分</w:t>
      </w:r>
      <w:r>
        <w:rPr>
          <w:rFonts w:ascii="Times New Roman" w:eastAsia="黑体" w:hAnsi="Times New Roman" w:hint="eastAsia"/>
          <w:b/>
          <w:kern w:val="0"/>
          <w:sz w:val="22"/>
        </w:rPr>
        <w:t>（</w:t>
      </w:r>
      <w:r>
        <w:rPr>
          <w:rFonts w:ascii="Times New Roman" w:eastAsia="黑体" w:hAnsi="Times New Roman"/>
          <w:b/>
          <w:kern w:val="0"/>
          <w:sz w:val="22"/>
        </w:rPr>
        <w:t>8</w:t>
      </w:r>
      <w:r>
        <w:rPr>
          <w:rFonts w:ascii="Times New Roman" w:eastAsia="黑体" w:hAnsi="Times New Roman" w:hint="eastAsia"/>
          <w:b/>
          <w:kern w:val="0"/>
          <w:sz w:val="22"/>
        </w:rPr>
        <w:t>学时）</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空间直角坐标系的基本概念及空间两点间的距离公式，</w:t>
      </w:r>
      <w:r>
        <w:rPr>
          <w:rFonts w:ascii="Times New Roman" w:hAnsi="Times New Roman" w:hint="eastAsia"/>
          <w:b/>
          <w:sz w:val="22"/>
        </w:rPr>
        <w:t>了解</w:t>
      </w:r>
      <w:r>
        <w:rPr>
          <w:rFonts w:ascii="Times New Roman" w:hAnsi="Times New Roman" w:hint="eastAsia"/>
          <w:sz w:val="22"/>
        </w:rPr>
        <w:t>空间中曲面、曲线及其方程的概念。</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2</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二元函数、多元函数的概念，</w:t>
      </w:r>
      <w:r>
        <w:rPr>
          <w:rFonts w:ascii="Times New Roman" w:hAnsi="Times New Roman" w:hint="eastAsia"/>
          <w:b/>
          <w:sz w:val="22"/>
        </w:rPr>
        <w:t>了解</w:t>
      </w:r>
      <w:r>
        <w:rPr>
          <w:rFonts w:ascii="Times New Roman" w:hAnsi="Times New Roman" w:hint="eastAsia"/>
          <w:sz w:val="22"/>
        </w:rPr>
        <w:t>二元函数的几何意义，</w:t>
      </w:r>
      <w:r>
        <w:rPr>
          <w:rFonts w:ascii="Times New Roman" w:hAnsi="Times New Roman" w:hint="eastAsia"/>
          <w:b/>
          <w:sz w:val="22"/>
        </w:rPr>
        <w:t>会</w:t>
      </w:r>
      <w:r>
        <w:rPr>
          <w:rFonts w:ascii="Times New Roman" w:hAnsi="Times New Roman" w:hint="eastAsia"/>
          <w:sz w:val="22"/>
        </w:rPr>
        <w:t>求二元函数的定义域，</w:t>
      </w:r>
      <w:r>
        <w:rPr>
          <w:rFonts w:ascii="Times New Roman" w:hAnsi="Times New Roman" w:hint="eastAsia"/>
          <w:b/>
          <w:sz w:val="22"/>
        </w:rPr>
        <w:t>能</w:t>
      </w:r>
      <w:r>
        <w:rPr>
          <w:rFonts w:ascii="Times New Roman" w:hAnsi="Times New Roman" w:hint="eastAsia"/>
          <w:sz w:val="22"/>
        </w:rPr>
        <w:t>用平面图形表示其定义域。</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3</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二元函数的极限与连续的概念。</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4</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偏导数的概念，</w:t>
      </w:r>
      <w:r>
        <w:rPr>
          <w:rFonts w:ascii="Times New Roman" w:hAnsi="Times New Roman" w:hint="eastAsia"/>
          <w:b/>
          <w:sz w:val="22"/>
        </w:rPr>
        <w:t>了解</w:t>
      </w:r>
      <w:r>
        <w:rPr>
          <w:rFonts w:ascii="Times New Roman" w:hAnsi="Times New Roman" w:hint="eastAsia"/>
          <w:sz w:val="22"/>
        </w:rPr>
        <w:t>二元函数偏导数的几何意义。</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5</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高阶偏导数的概念，</w:t>
      </w:r>
      <w:r>
        <w:rPr>
          <w:rFonts w:ascii="Times New Roman" w:hAnsi="Times New Roman" w:hint="eastAsia"/>
          <w:b/>
          <w:sz w:val="22"/>
        </w:rPr>
        <w:t>掌握</w:t>
      </w:r>
      <w:r>
        <w:rPr>
          <w:rFonts w:ascii="Times New Roman" w:hAnsi="Times New Roman" w:hint="eastAsia"/>
          <w:sz w:val="22"/>
        </w:rPr>
        <w:t>一阶、二阶偏导数求法。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6</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全微分的概念，</w:t>
      </w:r>
      <w:r>
        <w:rPr>
          <w:rFonts w:ascii="Times New Roman" w:hAnsi="Times New Roman" w:hint="eastAsia"/>
          <w:b/>
          <w:sz w:val="22"/>
        </w:rPr>
        <w:t>了解</w:t>
      </w:r>
      <w:r>
        <w:rPr>
          <w:rFonts w:ascii="Times New Roman" w:hAnsi="Times New Roman" w:hint="eastAsia"/>
          <w:sz w:val="22"/>
        </w:rPr>
        <w:t>全微分存在的充分条件，</w:t>
      </w:r>
      <w:r>
        <w:rPr>
          <w:rFonts w:ascii="Times New Roman" w:hAnsi="Times New Roman" w:hint="eastAsia"/>
          <w:b/>
          <w:sz w:val="22"/>
        </w:rPr>
        <w:t>会</w:t>
      </w:r>
      <w:r>
        <w:rPr>
          <w:rFonts w:ascii="Times New Roman" w:hAnsi="Times New Roman" w:hint="eastAsia"/>
          <w:sz w:val="22"/>
        </w:rPr>
        <w:t>求多元函数的全微分。</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7</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二元函数连续、可导与可微的关系。</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8</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多元复合函数的偏导数的求法。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9</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二元函数极值的概念，</w:t>
      </w:r>
      <w:r>
        <w:rPr>
          <w:rFonts w:ascii="Times New Roman" w:hAnsi="Times New Roman" w:hint="eastAsia"/>
          <w:b/>
          <w:sz w:val="22"/>
        </w:rPr>
        <w:t>会</w:t>
      </w:r>
      <w:r>
        <w:rPr>
          <w:rFonts w:ascii="Times New Roman" w:hAnsi="Times New Roman" w:hint="eastAsia"/>
          <w:sz w:val="22"/>
        </w:rPr>
        <w:t>求二元函数的无条件极值，</w:t>
      </w:r>
      <w:r>
        <w:rPr>
          <w:rFonts w:ascii="Times New Roman" w:hAnsi="Times New Roman" w:hint="eastAsia"/>
          <w:b/>
          <w:sz w:val="22"/>
        </w:rPr>
        <w:t>了解</w:t>
      </w:r>
      <w:r>
        <w:rPr>
          <w:rFonts w:ascii="Times New Roman" w:hAnsi="Times New Roman" w:hint="eastAsia"/>
          <w:sz w:val="22"/>
        </w:rPr>
        <w:t>条件极值的概念。</w:t>
      </w:r>
    </w:p>
    <w:p w:rsidR="003717A0" w:rsidRDefault="003717A0">
      <w:pPr>
        <w:spacing w:line="360" w:lineRule="exact"/>
        <w:rPr>
          <w:rFonts w:ascii="Times New Roman" w:hAnsi="Times New Roman"/>
          <w:sz w:val="22"/>
        </w:rPr>
      </w:pPr>
      <w:r>
        <w:rPr>
          <w:rFonts w:ascii="Times New Roman" w:hAnsi="Times New Roman"/>
          <w:sz w:val="22"/>
        </w:rPr>
        <w:t>10</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二重积分的概念，</w:t>
      </w:r>
      <w:r>
        <w:rPr>
          <w:rFonts w:ascii="Times New Roman" w:hAnsi="Times New Roman" w:hint="eastAsia"/>
          <w:b/>
          <w:sz w:val="22"/>
        </w:rPr>
        <w:t>了解</w:t>
      </w:r>
      <w:r>
        <w:rPr>
          <w:rFonts w:ascii="Times New Roman" w:hAnsi="Times New Roman" w:hint="eastAsia"/>
          <w:sz w:val="22"/>
        </w:rPr>
        <w:t>其几何意义，</w:t>
      </w:r>
      <w:r>
        <w:rPr>
          <w:rFonts w:ascii="Times New Roman" w:hAnsi="Times New Roman" w:hint="eastAsia"/>
          <w:b/>
          <w:sz w:val="22"/>
        </w:rPr>
        <w:t>掌握</w:t>
      </w:r>
      <w:r>
        <w:rPr>
          <w:rFonts w:ascii="Times New Roman" w:hAnsi="Times New Roman" w:hint="eastAsia"/>
          <w:sz w:val="22"/>
        </w:rPr>
        <w:t>二重积分的性质。</w:t>
      </w:r>
    </w:p>
    <w:p w:rsidR="003717A0" w:rsidRDefault="003717A0">
      <w:pPr>
        <w:spacing w:line="360" w:lineRule="exact"/>
        <w:rPr>
          <w:rFonts w:ascii="Times New Roman" w:hAnsi="Times New Roman"/>
          <w:sz w:val="22"/>
        </w:rPr>
      </w:pPr>
      <w:r>
        <w:rPr>
          <w:rFonts w:ascii="Times New Roman" w:hAnsi="Times New Roman"/>
          <w:sz w:val="22"/>
        </w:rPr>
        <w:t>11</w:t>
      </w:r>
      <w:r>
        <w:rPr>
          <w:rFonts w:ascii="Times New Roman" w:hAnsi="Times New Roman" w:hint="eastAsia"/>
          <w:sz w:val="22"/>
        </w:rPr>
        <w:t>．</w:t>
      </w:r>
      <w:r>
        <w:rPr>
          <w:rFonts w:ascii="Times New Roman" w:hAnsi="Times New Roman" w:hint="eastAsia"/>
          <w:b/>
          <w:sz w:val="22"/>
        </w:rPr>
        <w:t>掌握</w:t>
      </w:r>
      <w:r>
        <w:rPr>
          <w:rFonts w:ascii="Times New Roman" w:hAnsi="Times New Roman" w:hint="eastAsia"/>
          <w:sz w:val="22"/>
        </w:rPr>
        <w:t>二重积分的计算方法：直角坐标系下化二重积分为累次积分的方法。</w:t>
      </w:r>
    </w:p>
    <w:p w:rsidR="003717A0" w:rsidRDefault="003717A0">
      <w:pPr>
        <w:spacing w:line="360" w:lineRule="exact"/>
        <w:rPr>
          <w:rFonts w:ascii="Times New Roman" w:hAnsi="Times New Roman"/>
          <w:sz w:val="22"/>
        </w:rPr>
      </w:pPr>
      <w:r>
        <w:rPr>
          <w:rFonts w:ascii="Times New Roman" w:hAnsi="Times New Roman"/>
          <w:sz w:val="22"/>
        </w:rPr>
        <w:t>12</w:t>
      </w:r>
      <w:r>
        <w:rPr>
          <w:rFonts w:ascii="Times New Roman" w:hAnsi="Times New Roman" w:hint="eastAsia"/>
          <w:sz w:val="22"/>
        </w:rPr>
        <w:t>．</w:t>
      </w:r>
      <w:r>
        <w:rPr>
          <w:rFonts w:ascii="Times New Roman" w:hAnsi="Times New Roman" w:hint="eastAsia"/>
          <w:b/>
          <w:sz w:val="22"/>
        </w:rPr>
        <w:t>能</w:t>
      </w:r>
      <w:r>
        <w:rPr>
          <w:rFonts w:ascii="Times New Roman" w:hAnsi="Times New Roman" w:hint="eastAsia"/>
          <w:sz w:val="22"/>
        </w:rPr>
        <w:t>根据需要将累次积分形式的二重积分进行换序。</w:t>
      </w:r>
    </w:p>
    <w:p w:rsidR="003717A0" w:rsidRDefault="003717A0">
      <w:pPr>
        <w:autoSpaceDE w:val="0"/>
        <w:autoSpaceDN w:val="0"/>
        <w:adjustRightInd w:val="0"/>
        <w:spacing w:line="440" w:lineRule="exact"/>
        <w:ind w:firstLineChars="192" w:firstLine="424"/>
        <w:rPr>
          <w:rFonts w:ascii="Times New Roman" w:hAnsi="Times New Roman"/>
          <w:kern w:val="0"/>
          <w:sz w:val="22"/>
        </w:rPr>
      </w:pPr>
      <w:r>
        <w:rPr>
          <w:rFonts w:ascii="Times New Roman" w:eastAsia="黑体" w:hAnsi="Times New Roman" w:hint="eastAsia"/>
          <w:b/>
          <w:kern w:val="0"/>
          <w:sz w:val="22"/>
        </w:rPr>
        <w:t>第</w:t>
      </w:r>
      <w:r>
        <w:rPr>
          <w:rFonts w:ascii="Times New Roman" w:eastAsia="黑体" w:hAnsi="Times New Roman"/>
          <w:b/>
          <w:kern w:val="0"/>
          <w:sz w:val="22"/>
        </w:rPr>
        <w:t>9</w:t>
      </w:r>
      <w:r>
        <w:rPr>
          <w:rFonts w:ascii="Times New Roman" w:eastAsia="黑体" w:hAnsi="Times New Roman" w:hint="eastAsia"/>
          <w:b/>
          <w:kern w:val="0"/>
          <w:sz w:val="22"/>
        </w:rPr>
        <w:t>章</w:t>
      </w:r>
      <w:r>
        <w:rPr>
          <w:rFonts w:ascii="Times New Roman" w:eastAsia="黑体" w:hAnsi="Times New Roman"/>
          <w:b/>
          <w:kern w:val="0"/>
          <w:sz w:val="22"/>
        </w:rPr>
        <w:t xml:space="preserve"> </w:t>
      </w:r>
      <w:r>
        <w:rPr>
          <w:rFonts w:hint="eastAsia"/>
          <w:b/>
          <w:sz w:val="22"/>
        </w:rPr>
        <w:t>模糊数学</w:t>
      </w:r>
      <w:r>
        <w:rPr>
          <w:rFonts w:ascii="Times New Roman" w:eastAsia="黑体" w:hAnsi="Times New Roman" w:hint="eastAsia"/>
          <w:b/>
          <w:kern w:val="0"/>
          <w:sz w:val="22"/>
        </w:rPr>
        <w:t>（</w:t>
      </w:r>
      <w:r>
        <w:rPr>
          <w:rFonts w:ascii="Times New Roman" w:eastAsia="黑体" w:hAnsi="Times New Roman"/>
          <w:b/>
          <w:kern w:val="0"/>
          <w:sz w:val="22"/>
        </w:rPr>
        <w:t>10</w:t>
      </w:r>
      <w:r>
        <w:rPr>
          <w:rFonts w:ascii="Times New Roman" w:eastAsia="黑体" w:hAnsi="Times New Roman" w:hint="eastAsia"/>
          <w:b/>
          <w:kern w:val="0"/>
          <w:sz w:val="22"/>
        </w:rPr>
        <w:t>学时）</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1</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矩阵的概念，</w:t>
      </w:r>
      <w:r>
        <w:rPr>
          <w:rFonts w:ascii="Times New Roman" w:hAnsi="Times New Roman" w:hint="eastAsia"/>
          <w:b/>
          <w:sz w:val="22"/>
        </w:rPr>
        <w:t>了解</w:t>
      </w:r>
      <w:r>
        <w:rPr>
          <w:rFonts w:ascii="Times New Roman" w:hAnsi="Times New Roman" w:hint="eastAsia"/>
          <w:sz w:val="22"/>
        </w:rPr>
        <w:t>几种特殊的矩阵：</w:t>
      </w:r>
      <w:r>
        <w:rPr>
          <w:rFonts w:ascii="Times New Roman" w:hAnsi="Times New Roman"/>
          <w:sz w:val="22"/>
        </w:rPr>
        <w:t>n</w:t>
      </w:r>
      <w:r>
        <w:rPr>
          <w:rFonts w:ascii="Times New Roman" w:hAnsi="Times New Roman" w:hint="eastAsia"/>
          <w:sz w:val="22"/>
        </w:rPr>
        <w:t>阶方阵、行矩阵、列矩阵、</w:t>
      </w:r>
      <w:r>
        <w:rPr>
          <w:rFonts w:ascii="Times New Roman" w:hAnsi="Times New Roman"/>
          <w:sz w:val="22"/>
        </w:rPr>
        <w:t>n</w:t>
      </w:r>
      <w:r>
        <w:rPr>
          <w:rFonts w:ascii="Times New Roman" w:hAnsi="Times New Roman" w:hint="eastAsia"/>
          <w:sz w:val="22"/>
        </w:rPr>
        <w:t>阶单位阵、零矩阵、对角阵、负矩阵，</w:t>
      </w:r>
      <w:r>
        <w:rPr>
          <w:rFonts w:ascii="Times New Roman" w:hAnsi="Times New Roman" w:hint="eastAsia"/>
          <w:b/>
          <w:sz w:val="22"/>
        </w:rPr>
        <w:t>掌握</w:t>
      </w:r>
      <w:r>
        <w:rPr>
          <w:rFonts w:ascii="Times New Roman" w:hAnsi="Times New Roman" w:hint="eastAsia"/>
          <w:sz w:val="22"/>
        </w:rPr>
        <w:t>矩阵的加、减、乘、数乘运算法则及其运算规律。</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2</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普通集合的概念、运算和表示方法，</w:t>
      </w:r>
      <w:r>
        <w:rPr>
          <w:rFonts w:ascii="Times New Roman" w:hAnsi="Times New Roman" w:hint="eastAsia"/>
          <w:b/>
          <w:sz w:val="22"/>
        </w:rPr>
        <w:t>掌握</w:t>
      </w:r>
      <w:r>
        <w:rPr>
          <w:rFonts w:ascii="Times New Roman" w:hAnsi="Times New Roman" w:hint="eastAsia"/>
          <w:sz w:val="22"/>
        </w:rPr>
        <w:t>特征函数表示法。</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3</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模糊集合的概念，熟练</w:t>
      </w:r>
      <w:r>
        <w:rPr>
          <w:rFonts w:ascii="Times New Roman" w:hAnsi="Times New Roman" w:hint="eastAsia"/>
          <w:b/>
          <w:sz w:val="22"/>
        </w:rPr>
        <w:t>掌握</w:t>
      </w:r>
      <w:r>
        <w:rPr>
          <w:rFonts w:ascii="Times New Roman" w:hAnsi="Times New Roman" w:hint="eastAsia"/>
          <w:sz w:val="22"/>
        </w:rPr>
        <w:t>模糊集合的表示方法和运算，</w:t>
      </w:r>
      <w:r>
        <w:rPr>
          <w:rFonts w:ascii="Times New Roman" w:hAnsi="Times New Roman" w:hint="eastAsia"/>
          <w:b/>
          <w:sz w:val="22"/>
        </w:rPr>
        <w:t>了解</w:t>
      </w:r>
      <w:r>
        <w:rPr>
          <w:rFonts w:ascii="Times New Roman" w:hAnsi="Times New Roman" w:hint="eastAsia"/>
          <w:sz w:val="22"/>
        </w:rPr>
        <w:t>模糊集的</w:t>
      </w:r>
      <w:r w:rsidR="00514AB1" w:rsidRPr="00514AB1">
        <w:rPr>
          <w:rFonts w:ascii="Times New Roman" w:hAnsi="Times New Roman"/>
          <w:position w:val="-6"/>
          <w:sz w:val="22"/>
        </w:rPr>
        <w:pict>
          <v:shape id="_x0000_i1054" type="#_x0000_t75" style="width:11.1pt;height:14.4pt">
            <v:imagedata r:id="rId36" o:title=""/>
          </v:shape>
        </w:pict>
      </w:r>
      <w:r>
        <w:rPr>
          <w:rFonts w:ascii="Times New Roman" w:hAnsi="Times New Roman" w:hint="eastAsia"/>
          <w:sz w:val="22"/>
        </w:rPr>
        <w:t>截集及其性质。</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4</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直积、关系、模糊关系的概念和表示方法。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5</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模糊矩阵的概念，熟练</w:t>
      </w:r>
      <w:r>
        <w:rPr>
          <w:rFonts w:ascii="Times New Roman" w:hAnsi="Times New Roman" w:hint="eastAsia"/>
          <w:b/>
          <w:sz w:val="22"/>
        </w:rPr>
        <w:t>掌握</w:t>
      </w:r>
      <w:r>
        <w:rPr>
          <w:rFonts w:ascii="Times New Roman" w:hAnsi="Times New Roman" w:hint="eastAsia"/>
          <w:sz w:val="22"/>
        </w:rPr>
        <w:t>模糊矩阵的运算。</w:t>
      </w:r>
    </w:p>
    <w:p w:rsidR="003717A0" w:rsidRDefault="003717A0">
      <w:pPr>
        <w:spacing w:line="360" w:lineRule="exact"/>
        <w:ind w:leftChars="50" w:left="435" w:hangingChars="150" w:hanging="330"/>
        <w:rPr>
          <w:rFonts w:ascii="Times New Roman" w:hAnsi="Times New Roman"/>
          <w:sz w:val="22"/>
        </w:rPr>
      </w:pPr>
      <w:r>
        <w:rPr>
          <w:rFonts w:ascii="Times New Roman" w:hAnsi="Times New Roman"/>
          <w:sz w:val="22"/>
        </w:rPr>
        <w:t>6</w:t>
      </w:r>
      <w:r>
        <w:rPr>
          <w:rFonts w:ascii="Times New Roman" w:hAnsi="Times New Roman" w:hint="eastAsia"/>
          <w:sz w:val="22"/>
        </w:rPr>
        <w:t>．</w:t>
      </w:r>
      <w:r>
        <w:rPr>
          <w:rFonts w:ascii="Times New Roman" w:hAnsi="Times New Roman" w:hint="eastAsia"/>
          <w:b/>
          <w:sz w:val="22"/>
        </w:rPr>
        <w:t>理解</w:t>
      </w:r>
      <w:r>
        <w:rPr>
          <w:rFonts w:ascii="Times New Roman" w:hAnsi="Times New Roman" w:hint="eastAsia"/>
          <w:sz w:val="22"/>
        </w:rPr>
        <w:t>模糊相似关系（矩阵）和模糊等价关系（矩阵）的概念，并</w:t>
      </w:r>
      <w:r>
        <w:rPr>
          <w:rFonts w:ascii="Times New Roman" w:hAnsi="Times New Roman" w:hint="eastAsia"/>
          <w:b/>
          <w:sz w:val="22"/>
        </w:rPr>
        <w:t>掌握</w:t>
      </w:r>
      <w:r>
        <w:rPr>
          <w:rFonts w:ascii="Times New Roman" w:hAnsi="Times New Roman" w:hint="eastAsia"/>
          <w:sz w:val="22"/>
        </w:rPr>
        <w:t>将模糊相似关系改造成模糊等价关系的方法。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7</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综合评判的一级模型，</w:t>
      </w:r>
      <w:r>
        <w:rPr>
          <w:rFonts w:ascii="Times New Roman" w:hAnsi="Times New Roman" w:hint="eastAsia"/>
          <w:b/>
          <w:sz w:val="22"/>
        </w:rPr>
        <w:t>了解</w:t>
      </w:r>
      <w:r>
        <w:rPr>
          <w:rFonts w:ascii="Times New Roman" w:hAnsi="Times New Roman" w:hint="eastAsia"/>
          <w:sz w:val="22"/>
        </w:rPr>
        <w:t>综合评判的二级模型。</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8</w:t>
      </w:r>
      <w:r>
        <w:rPr>
          <w:rFonts w:ascii="Times New Roman" w:hAnsi="Times New Roman" w:hint="eastAsia"/>
          <w:sz w:val="22"/>
        </w:rPr>
        <w:t>．熟练</w:t>
      </w:r>
      <w:r>
        <w:rPr>
          <w:rFonts w:ascii="Times New Roman" w:hAnsi="Times New Roman" w:hint="eastAsia"/>
          <w:b/>
          <w:sz w:val="22"/>
        </w:rPr>
        <w:t>掌握</w:t>
      </w:r>
      <w:r>
        <w:rPr>
          <w:rFonts w:ascii="Times New Roman" w:hAnsi="Times New Roman" w:hint="eastAsia"/>
          <w:sz w:val="22"/>
        </w:rPr>
        <w:t>模糊聚类分析的方法。</w:t>
      </w:r>
    </w:p>
    <w:p w:rsidR="003717A0" w:rsidRDefault="003717A0">
      <w:pPr>
        <w:spacing w:line="360" w:lineRule="exact"/>
        <w:ind w:firstLineChars="50" w:firstLine="110"/>
        <w:rPr>
          <w:rFonts w:ascii="Times New Roman" w:hAnsi="Times New Roman"/>
          <w:sz w:val="22"/>
        </w:rPr>
      </w:pPr>
      <w:r>
        <w:rPr>
          <w:rFonts w:ascii="Times New Roman" w:hAnsi="Times New Roman"/>
          <w:sz w:val="22"/>
        </w:rPr>
        <w:t>9</w:t>
      </w:r>
      <w:r>
        <w:rPr>
          <w:rFonts w:ascii="Times New Roman" w:hAnsi="Times New Roman" w:hint="eastAsia"/>
          <w:sz w:val="22"/>
        </w:rPr>
        <w:t>．</w:t>
      </w:r>
      <w:r>
        <w:rPr>
          <w:rFonts w:ascii="Times New Roman" w:hAnsi="Times New Roman" w:hint="eastAsia"/>
          <w:b/>
          <w:sz w:val="22"/>
        </w:rPr>
        <w:t>了解</w:t>
      </w:r>
      <w:r>
        <w:rPr>
          <w:rFonts w:ascii="Times New Roman" w:hAnsi="Times New Roman" w:hint="eastAsia"/>
          <w:sz w:val="22"/>
        </w:rPr>
        <w:t>模式识别的模糊集方法。</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宋体" w:hAnsi="宋体" w:hint="eastAsia"/>
          <w:bCs/>
          <w:sz w:val="22"/>
        </w:rPr>
        <w:t>本课程是公共基础课，抽象性和理论性较强。因此，本课程的教学以讲授为主，采用启发式教学，并注重讲授与练习相结合。同时，与医学类专业其他公共基础课程及专业基础课程的授课方式一致，本课程需</w:t>
      </w:r>
      <w:r>
        <w:rPr>
          <w:rFonts w:ascii="Times New Roman" w:hAnsi="Times New Roman" w:hint="eastAsia"/>
          <w:kern w:val="0"/>
          <w:sz w:val="22"/>
        </w:rPr>
        <w:t>多媒体教室、</w:t>
      </w:r>
      <w:r>
        <w:rPr>
          <w:rFonts w:ascii="宋体" w:hAnsi="宋体" w:hint="eastAsia"/>
          <w:bCs/>
          <w:sz w:val="22"/>
        </w:rPr>
        <w:t>采用多媒体教学。</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本课程考核方法，期末考试成绩占总成绩的</w:t>
      </w:r>
      <w:r>
        <w:rPr>
          <w:rFonts w:ascii="Times New Roman" w:hAnsi="Times New Roman"/>
          <w:kern w:val="0"/>
          <w:sz w:val="22"/>
        </w:rPr>
        <w:t>70%</w:t>
      </w:r>
      <w:r>
        <w:rPr>
          <w:rFonts w:ascii="Times New Roman" w:hAnsi="Times New Roman" w:hint="eastAsia"/>
          <w:kern w:val="0"/>
          <w:sz w:val="22"/>
        </w:rPr>
        <w:t>，采用闭卷考核方法，时间为</w:t>
      </w:r>
      <w:r>
        <w:rPr>
          <w:rFonts w:ascii="Times New Roman" w:hAnsi="Times New Roman"/>
          <w:kern w:val="0"/>
          <w:sz w:val="22"/>
        </w:rPr>
        <w:t>2</w:t>
      </w:r>
      <w:r>
        <w:rPr>
          <w:rFonts w:ascii="Times New Roman" w:hAnsi="Times New Roman" w:hint="eastAsia"/>
          <w:kern w:val="0"/>
          <w:sz w:val="22"/>
        </w:rPr>
        <w:t>小时；平时成绩（</w:t>
      </w:r>
      <w:r>
        <w:rPr>
          <w:rFonts w:ascii="宋体" w:hAnsi="宋体" w:hint="eastAsia"/>
          <w:bCs/>
          <w:sz w:val="22"/>
        </w:rPr>
        <w:t>包括：平时作业、期中测验、课堂练习、平时出勤和课堂表现等</w:t>
      </w:r>
      <w:r>
        <w:rPr>
          <w:rFonts w:ascii="Times New Roman" w:hAnsi="Times New Roman" w:hint="eastAsia"/>
          <w:kern w:val="0"/>
          <w:sz w:val="22"/>
        </w:rPr>
        <w:t>）占总成绩的</w:t>
      </w:r>
      <w:r>
        <w:rPr>
          <w:rFonts w:ascii="Times New Roman" w:hAnsi="Times New Roman"/>
          <w:kern w:val="0"/>
          <w:sz w:val="22"/>
        </w:rPr>
        <w:t>30%</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rPr>
          <w:sz w:val="22"/>
        </w:rPr>
      </w:pPr>
      <w:r>
        <w:rPr>
          <w:rFonts w:hint="eastAsia"/>
          <w:kern w:val="0"/>
          <w:sz w:val="22"/>
        </w:rPr>
        <w:t>作业要求：</w:t>
      </w:r>
      <w:r>
        <w:rPr>
          <w:rFonts w:hint="eastAsia"/>
          <w:sz w:val="22"/>
        </w:rPr>
        <w:t>课后习题是本课程的重要教学环节，要求学生能够独立完成作业，学生通过一</w:t>
      </w:r>
      <w:r>
        <w:rPr>
          <w:rFonts w:hint="eastAsia"/>
          <w:sz w:val="22"/>
        </w:rPr>
        <w:lastRenderedPageBreak/>
        <w:t>定量的习题训练来加深并巩固对课程内容的理解，同时也培养学生的逻辑思维能力、综合分析问题和解决问题的能力。</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教学参考文献目录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w:t>
      </w:r>
      <w:r>
        <w:rPr>
          <w:rFonts w:hint="eastAsia"/>
          <w:sz w:val="22"/>
        </w:rPr>
        <w:t>高等数学（第七版，上下册）</w:t>
      </w:r>
      <w:r>
        <w:rPr>
          <w:rFonts w:ascii="Times New Roman" w:hAnsi="Times New Roman" w:hint="eastAsia"/>
          <w:kern w:val="0"/>
          <w:sz w:val="22"/>
        </w:rPr>
        <w:t>，</w:t>
      </w:r>
      <w:r>
        <w:rPr>
          <w:rFonts w:hint="eastAsia"/>
          <w:sz w:val="22"/>
        </w:rPr>
        <w:t>同济大学数学系主编</w:t>
      </w:r>
      <w:r>
        <w:rPr>
          <w:rFonts w:ascii="Times New Roman" w:hAnsi="Times New Roman" w:hint="eastAsia"/>
          <w:kern w:val="0"/>
          <w:sz w:val="22"/>
        </w:rPr>
        <w:t>，</w:t>
      </w:r>
      <w:r>
        <w:rPr>
          <w:rFonts w:hint="eastAsia"/>
          <w:sz w:val="22"/>
        </w:rPr>
        <w:t>高等教育出版社</w:t>
      </w:r>
      <w:r>
        <w:rPr>
          <w:rFonts w:ascii="Times New Roman" w:hAnsi="Times New Roman" w:hint="eastAsia"/>
          <w:kern w:val="0"/>
          <w:sz w:val="22"/>
        </w:rPr>
        <w:t>，</w:t>
      </w:r>
      <w:r>
        <w:rPr>
          <w:rFonts w:ascii="Times New Roman" w:hAnsi="Times New Roman"/>
          <w:kern w:val="0"/>
          <w:sz w:val="22"/>
        </w:rPr>
        <w:t>2014</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、医用高等数学（第六版），张选群主编，人民卫生出版社，</w:t>
      </w:r>
      <w:r>
        <w:rPr>
          <w:rFonts w:ascii="Times New Roman" w:hAnsi="Times New Roman"/>
          <w:kern w:val="0"/>
          <w:sz w:val="22"/>
        </w:rPr>
        <w:t>2013</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、模糊数学及其应用，梁保松、曹殿立主编，科学出版社，</w:t>
      </w:r>
      <w:r>
        <w:rPr>
          <w:rFonts w:ascii="Times New Roman" w:hAnsi="Times New Roman"/>
          <w:kern w:val="0"/>
          <w:sz w:val="22"/>
        </w:rPr>
        <w:t>2011</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p>
    <w:p w:rsidR="003717A0" w:rsidRDefault="003717A0" w:rsidP="005E20B5">
      <w:pPr>
        <w:adjustRightInd w:val="0"/>
        <w:snapToGrid w:val="0"/>
        <w:spacing w:beforeLines="50" w:afterLines="50" w:line="400" w:lineRule="exact"/>
        <w:jc w:val="center"/>
        <w:rPr>
          <w:rFonts w:ascii="Times New Roman" w:hAnsi="Times New Roman"/>
          <w:sz w:val="22"/>
        </w:rPr>
      </w:pPr>
      <w:r>
        <w:rPr>
          <w:rFonts w:ascii="黑体" w:eastAsia="黑体" w:cs="黑体"/>
          <w:kern w:val="0"/>
          <w:sz w:val="18"/>
          <w:szCs w:val="18"/>
        </w:rPr>
        <w:br w:type="page"/>
      </w:r>
      <w:r w:rsidRPr="00F5156D">
        <w:rPr>
          <w:rFonts w:ascii="Times New Roman" w:eastAsia="黑体" w:hAnsi="Times New Roman" w:hint="eastAsia"/>
          <w:b/>
          <w:kern w:val="0"/>
          <w:sz w:val="32"/>
          <w:szCs w:val="32"/>
        </w:rPr>
        <w:lastRenderedPageBreak/>
        <w:t>三、考核大纲</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rPr>
          <w:rFonts w:ascii="宋体"/>
          <w:bCs/>
          <w:sz w:val="22"/>
        </w:rPr>
      </w:pPr>
      <w:r>
        <w:rPr>
          <w:rFonts w:ascii="Times New Roman" w:hAnsi="Times New Roman" w:hint="eastAsia"/>
          <w:kern w:val="0"/>
          <w:sz w:val="22"/>
        </w:rPr>
        <w:t>修读完本课程规定内容的</w:t>
      </w:r>
      <w:r>
        <w:rPr>
          <w:rFonts w:ascii="宋体" w:hAnsi="宋体" w:hint="eastAsia"/>
          <w:bCs/>
          <w:sz w:val="22"/>
        </w:rPr>
        <w:t>康复治疗学专业</w:t>
      </w:r>
      <w:r>
        <w:rPr>
          <w:rFonts w:ascii="Times New Roman" w:hAnsi="Times New Roman" w:hint="eastAsia"/>
          <w:kern w:val="0"/>
          <w:sz w:val="22"/>
        </w:rPr>
        <w:t>的本科学生；</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通过考核来检查和了解学生对《医用高等数学》的基本概念、方法和基本运算能力的掌握情况。考查学生对一元函数微积分（函数极限与连续、导数与微分、不定积分、定积分）和多元函数微积分的基本运算的掌握情况；对常微分方程基本概念和运算的掌握情况；对模糊数学的基本理论、运算和应用的掌握情况。同时也考查通过该课程学习学生的逻辑思维的提高情况。</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期末闭卷考核</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70%</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30%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w:t>
      </w:r>
      <w:r>
        <w:rPr>
          <w:rFonts w:ascii="Times New Roman" w:hAnsi="Times New Roman" w:hint="eastAsia"/>
          <w:sz w:val="22"/>
        </w:rPr>
        <w:t>运用极限的四则运算法则、两个重要极限公式求极限。</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w:t>
      </w:r>
      <w:r>
        <w:rPr>
          <w:rFonts w:ascii="Times New Roman" w:hAnsi="Times New Roman" w:hint="eastAsia"/>
          <w:sz w:val="22"/>
        </w:rPr>
        <w:t>无穷小量的性质及无穷小量阶的比较。</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w:t>
      </w:r>
      <w:r>
        <w:rPr>
          <w:rFonts w:ascii="Times New Roman" w:hAnsi="Times New Roman" w:hint="eastAsia"/>
          <w:sz w:val="22"/>
        </w:rPr>
        <w:t>连续函数的定义。</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w:t>
      </w:r>
      <w:r>
        <w:rPr>
          <w:rFonts w:ascii="Times New Roman" w:hAnsi="Times New Roman" w:hint="eastAsia"/>
          <w:sz w:val="22"/>
        </w:rPr>
        <w:t>求曲线上一点处的切线方程。</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w:t>
      </w:r>
      <w:r>
        <w:rPr>
          <w:rFonts w:ascii="Times New Roman" w:hAnsi="Times New Roman" w:hint="eastAsia"/>
          <w:sz w:val="22"/>
        </w:rPr>
        <w:t>导数四则运算法则，复合函数的求导法则，隐函数的求导法则，对数求导法。</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w:t>
      </w:r>
      <w:r>
        <w:rPr>
          <w:rFonts w:ascii="Times New Roman" w:hAnsi="Times New Roman" w:hint="eastAsia"/>
          <w:sz w:val="22"/>
        </w:rPr>
        <w:t>求一些简单函数的</w:t>
      </w:r>
      <w:r>
        <w:rPr>
          <w:rFonts w:ascii="Times New Roman" w:hAnsi="Times New Roman"/>
          <w:sz w:val="22"/>
        </w:rPr>
        <w:t>n</w:t>
      </w:r>
      <w:r>
        <w:rPr>
          <w:rFonts w:ascii="Times New Roman" w:hAnsi="Times New Roman" w:hint="eastAsia"/>
          <w:sz w:val="22"/>
        </w:rPr>
        <w:t>阶导数。</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w:t>
      </w:r>
      <w:r>
        <w:rPr>
          <w:rFonts w:ascii="Times New Roman" w:hAnsi="Times New Roman" w:hint="eastAsia"/>
          <w:sz w:val="22"/>
        </w:rPr>
        <w:t>利用导数判断函数的单调性、求函数的极值和最值。</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w:t>
      </w:r>
      <w:r>
        <w:rPr>
          <w:rFonts w:ascii="Times New Roman" w:hAnsi="Times New Roman" w:hint="eastAsia"/>
          <w:sz w:val="22"/>
        </w:rPr>
        <w:t>运用罗必塔法则求未定式极限。</w:t>
      </w:r>
    </w:p>
    <w:p w:rsidR="003717A0" w:rsidRDefault="003717A0">
      <w:pPr>
        <w:autoSpaceDE w:val="0"/>
        <w:autoSpaceDN w:val="0"/>
        <w:adjustRightInd w:val="0"/>
        <w:spacing w:line="360" w:lineRule="exact"/>
        <w:ind w:firstLineChars="243" w:firstLine="535"/>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w:t>
      </w:r>
      <w:r>
        <w:rPr>
          <w:rFonts w:ascii="Times New Roman" w:hAnsi="Times New Roman" w:hint="eastAsia"/>
          <w:sz w:val="22"/>
        </w:rPr>
        <w:t>微分的概念和运算法则。</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w:t>
      </w:r>
      <w:r>
        <w:rPr>
          <w:rFonts w:ascii="Times New Roman" w:hAnsi="Times New Roman" w:hint="eastAsia"/>
          <w:sz w:val="22"/>
        </w:rPr>
        <w:t>原函数与不定积分的概念及其关系，不定积分的性质。</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11</w:t>
      </w:r>
      <w:r>
        <w:rPr>
          <w:rFonts w:ascii="Times New Roman" w:hAnsi="Times New Roman" w:hint="eastAsia"/>
          <w:kern w:val="0"/>
          <w:sz w:val="22"/>
        </w:rPr>
        <w:t>．</w:t>
      </w:r>
      <w:r>
        <w:rPr>
          <w:rFonts w:ascii="Times New Roman" w:hAnsi="Times New Roman" w:hint="eastAsia"/>
          <w:sz w:val="22"/>
        </w:rPr>
        <w:t>不定积分的直接积分法、第一和第二换元积分法、分部积分法。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12</w:t>
      </w:r>
      <w:r>
        <w:rPr>
          <w:rFonts w:ascii="Times New Roman" w:hAnsi="Times New Roman" w:hint="eastAsia"/>
          <w:kern w:val="0"/>
          <w:sz w:val="22"/>
        </w:rPr>
        <w:t>．</w:t>
      </w:r>
      <w:r>
        <w:rPr>
          <w:rFonts w:ascii="Times New Roman" w:hAnsi="Times New Roman" w:hint="eastAsia"/>
          <w:sz w:val="22"/>
        </w:rPr>
        <w:t>定积分的概念和基本性质。</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13</w:t>
      </w:r>
      <w:r>
        <w:rPr>
          <w:rFonts w:ascii="Times New Roman" w:hAnsi="Times New Roman" w:hint="eastAsia"/>
          <w:kern w:val="0"/>
          <w:sz w:val="22"/>
        </w:rPr>
        <w:t>．</w:t>
      </w:r>
      <w:r>
        <w:rPr>
          <w:rFonts w:ascii="Times New Roman" w:hAnsi="Times New Roman" w:hint="eastAsia"/>
          <w:sz w:val="22"/>
        </w:rPr>
        <w:t>对积分上限函数求导数的方法。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14</w:t>
      </w:r>
      <w:r>
        <w:rPr>
          <w:rFonts w:ascii="Times New Roman" w:hAnsi="Times New Roman" w:hint="eastAsia"/>
          <w:kern w:val="0"/>
          <w:sz w:val="22"/>
        </w:rPr>
        <w:t>．</w:t>
      </w:r>
      <w:r>
        <w:rPr>
          <w:rFonts w:ascii="Times New Roman" w:hAnsi="Times New Roman" w:hint="eastAsia"/>
          <w:sz w:val="22"/>
        </w:rPr>
        <w:t>牛顿</w:t>
      </w:r>
      <w:r>
        <w:rPr>
          <w:rFonts w:ascii="Times New Roman" w:hAnsi="Times New Roman"/>
          <w:sz w:val="22"/>
        </w:rPr>
        <w:t>—</w:t>
      </w:r>
      <w:r>
        <w:rPr>
          <w:rFonts w:ascii="Times New Roman" w:hAnsi="Times New Roman" w:hint="eastAsia"/>
          <w:sz w:val="22"/>
        </w:rPr>
        <w:t>莱布尼兹公式，定积分的换元法和分部积分法。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15</w:t>
      </w:r>
      <w:r>
        <w:rPr>
          <w:rFonts w:ascii="Times New Roman" w:hAnsi="Times New Roman" w:hint="eastAsia"/>
          <w:kern w:val="0"/>
          <w:sz w:val="22"/>
        </w:rPr>
        <w:t>．利用定积分</w:t>
      </w:r>
      <w:r>
        <w:rPr>
          <w:rFonts w:ascii="Times New Roman" w:hAnsi="Times New Roman" w:hint="eastAsia"/>
          <w:sz w:val="22"/>
        </w:rPr>
        <w:t>求平面图形的面积。</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16</w:t>
      </w:r>
      <w:r>
        <w:rPr>
          <w:rFonts w:ascii="Times New Roman" w:hAnsi="Times New Roman" w:hint="eastAsia"/>
          <w:kern w:val="0"/>
          <w:sz w:val="22"/>
        </w:rPr>
        <w:t>．</w:t>
      </w:r>
      <w:r>
        <w:rPr>
          <w:rFonts w:ascii="Times New Roman" w:hAnsi="Times New Roman" w:hint="eastAsia"/>
          <w:sz w:val="22"/>
        </w:rPr>
        <w:t>微分方程及方程的阶、解、通解、特解、初始条件的概念。</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17</w:t>
      </w:r>
      <w:r>
        <w:rPr>
          <w:rFonts w:ascii="Times New Roman" w:hAnsi="Times New Roman" w:hint="eastAsia"/>
          <w:kern w:val="0"/>
          <w:sz w:val="22"/>
        </w:rPr>
        <w:t>．</w:t>
      </w:r>
      <w:r>
        <w:rPr>
          <w:rFonts w:ascii="Times New Roman" w:hAnsi="Times New Roman" w:hint="eastAsia"/>
          <w:sz w:val="22"/>
        </w:rPr>
        <w:t>一阶微分方程（可分离变量微分方程、齐次微分方程、一阶线性微分方程、贝努里方程）的解法。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18</w:t>
      </w:r>
      <w:r>
        <w:rPr>
          <w:rFonts w:ascii="Times New Roman" w:hAnsi="Times New Roman" w:hint="eastAsia"/>
          <w:kern w:val="0"/>
          <w:sz w:val="22"/>
        </w:rPr>
        <w:t>．</w:t>
      </w:r>
      <w:r>
        <w:rPr>
          <w:rFonts w:ascii="Times New Roman" w:hAnsi="Times New Roman" w:hint="eastAsia"/>
          <w:sz w:val="22"/>
        </w:rPr>
        <w:t>用降阶法解</w:t>
      </w:r>
      <w:r w:rsidR="00514AB1" w:rsidRPr="00514AB1">
        <w:rPr>
          <w:rFonts w:ascii="Times New Roman" w:hAnsi="Times New Roman"/>
          <w:position w:val="-10"/>
          <w:sz w:val="22"/>
        </w:rPr>
        <w:pict>
          <v:shape id="_x0000_i1055" type="#_x0000_t75" style="width:57.6pt;height:18.3pt">
            <v:imagedata r:id="rId31" o:title=""/>
          </v:shape>
        </w:pict>
      </w:r>
      <w:r>
        <w:rPr>
          <w:rFonts w:ascii="Times New Roman" w:hAnsi="Times New Roman" w:hint="eastAsia"/>
          <w:sz w:val="22"/>
        </w:rPr>
        <w:t>、</w:t>
      </w:r>
      <w:r w:rsidR="00514AB1" w:rsidRPr="00514AB1">
        <w:rPr>
          <w:rFonts w:ascii="Times New Roman" w:hAnsi="Times New Roman"/>
          <w:position w:val="-10"/>
          <w:sz w:val="22"/>
        </w:rPr>
        <w:pict>
          <v:shape id="_x0000_i1056" type="#_x0000_t75" style="width:64.8pt;height:15.5pt">
            <v:imagedata r:id="rId32" o:title=""/>
          </v:shape>
        </w:pict>
      </w:r>
      <w:r>
        <w:rPr>
          <w:rFonts w:ascii="Times New Roman" w:hAnsi="Times New Roman" w:hint="eastAsia"/>
          <w:sz w:val="22"/>
        </w:rPr>
        <w:t>和</w:t>
      </w:r>
      <w:r w:rsidR="00514AB1" w:rsidRPr="00514AB1">
        <w:rPr>
          <w:rFonts w:ascii="Times New Roman" w:hAnsi="Times New Roman"/>
          <w:position w:val="-10"/>
          <w:sz w:val="22"/>
        </w:rPr>
        <w:pict>
          <v:shape id="_x0000_i1057" type="#_x0000_t75" style="width:65.9pt;height:15.5pt">
            <v:imagedata r:id="rId33" o:title=""/>
          </v:shape>
        </w:pict>
      </w:r>
      <w:r>
        <w:rPr>
          <w:rFonts w:ascii="Times New Roman" w:hAnsi="Times New Roman" w:hint="eastAsia"/>
          <w:sz w:val="22"/>
        </w:rPr>
        <w:t>型微分方程。</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19</w:t>
      </w:r>
      <w:r>
        <w:rPr>
          <w:rFonts w:ascii="Times New Roman" w:hAnsi="Times New Roman" w:hint="eastAsia"/>
          <w:kern w:val="0"/>
          <w:sz w:val="22"/>
        </w:rPr>
        <w:t>．</w:t>
      </w:r>
      <w:r>
        <w:rPr>
          <w:rFonts w:ascii="Times New Roman" w:hAnsi="Times New Roman" w:hint="eastAsia"/>
          <w:sz w:val="22"/>
        </w:rPr>
        <w:t>二阶线性微分方程解的性质，二阶常系数线性齐次微分方程的求法。</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kern w:val="0"/>
          <w:sz w:val="22"/>
        </w:rPr>
        <w:t>20</w:t>
      </w:r>
      <w:r>
        <w:rPr>
          <w:rFonts w:ascii="Times New Roman" w:hAnsi="Times New Roman" w:hint="eastAsia"/>
          <w:kern w:val="0"/>
          <w:sz w:val="22"/>
        </w:rPr>
        <w:t>．</w:t>
      </w:r>
      <w:r>
        <w:rPr>
          <w:rFonts w:ascii="Times New Roman" w:hAnsi="Times New Roman" w:hint="eastAsia"/>
          <w:sz w:val="22"/>
        </w:rPr>
        <w:t>多元函数的一阶、二阶偏导数及全微分的求法。</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lastRenderedPageBreak/>
        <w:t>21</w:t>
      </w:r>
      <w:r>
        <w:rPr>
          <w:rFonts w:ascii="Times New Roman" w:hAnsi="Times New Roman" w:hint="eastAsia"/>
          <w:kern w:val="0"/>
          <w:sz w:val="22"/>
        </w:rPr>
        <w:t>．</w:t>
      </w:r>
      <w:r>
        <w:rPr>
          <w:rFonts w:ascii="Times New Roman" w:hAnsi="Times New Roman" w:hint="eastAsia"/>
          <w:sz w:val="22"/>
        </w:rPr>
        <w:t>二元函数连续、可导与可微的关系。</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22</w:t>
      </w:r>
      <w:r>
        <w:rPr>
          <w:rFonts w:ascii="Times New Roman" w:hAnsi="Times New Roman" w:hint="eastAsia"/>
          <w:kern w:val="0"/>
          <w:sz w:val="22"/>
        </w:rPr>
        <w:t>．</w:t>
      </w:r>
      <w:r>
        <w:rPr>
          <w:rFonts w:ascii="Times New Roman" w:hAnsi="Times New Roman" w:hint="eastAsia"/>
          <w:sz w:val="22"/>
        </w:rPr>
        <w:t>多元复合函数的偏导数的求法。</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23</w:t>
      </w:r>
      <w:r>
        <w:rPr>
          <w:rFonts w:ascii="Times New Roman" w:hAnsi="Times New Roman" w:hint="eastAsia"/>
          <w:kern w:val="0"/>
          <w:sz w:val="22"/>
        </w:rPr>
        <w:t>．</w:t>
      </w:r>
      <w:r>
        <w:rPr>
          <w:rFonts w:ascii="Times New Roman" w:hAnsi="Times New Roman" w:hint="eastAsia"/>
          <w:sz w:val="22"/>
        </w:rPr>
        <w:t>求二元函数的无条件极值。</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24</w:t>
      </w:r>
      <w:r>
        <w:rPr>
          <w:rFonts w:ascii="Times New Roman" w:hAnsi="Times New Roman" w:hint="eastAsia"/>
          <w:kern w:val="0"/>
          <w:sz w:val="22"/>
        </w:rPr>
        <w:t>．</w:t>
      </w:r>
      <w:r>
        <w:rPr>
          <w:rFonts w:ascii="Times New Roman" w:hAnsi="Times New Roman" w:hint="eastAsia"/>
          <w:sz w:val="22"/>
        </w:rPr>
        <w:t>二重积分的概念和性质。</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25</w:t>
      </w:r>
      <w:r>
        <w:rPr>
          <w:rFonts w:ascii="Times New Roman" w:hAnsi="Times New Roman" w:hint="eastAsia"/>
          <w:kern w:val="0"/>
          <w:sz w:val="22"/>
        </w:rPr>
        <w:t>．</w:t>
      </w:r>
      <w:r>
        <w:rPr>
          <w:rFonts w:ascii="Times New Roman" w:hAnsi="Times New Roman" w:hint="eastAsia"/>
          <w:sz w:val="22"/>
        </w:rPr>
        <w:t>二重积分的计算方法：直角坐标系下化二重积分为累次积分的方法。</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26</w:t>
      </w:r>
      <w:r>
        <w:rPr>
          <w:rFonts w:ascii="Times New Roman" w:hAnsi="Times New Roman" w:hint="eastAsia"/>
          <w:kern w:val="0"/>
          <w:sz w:val="22"/>
        </w:rPr>
        <w:t>．</w:t>
      </w:r>
      <w:r>
        <w:rPr>
          <w:rFonts w:ascii="Times New Roman" w:hAnsi="Times New Roman" w:hint="eastAsia"/>
          <w:sz w:val="22"/>
        </w:rPr>
        <w:t>将累次积分形式的二重积分进行换序。</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27</w:t>
      </w:r>
      <w:r>
        <w:rPr>
          <w:rFonts w:ascii="Times New Roman" w:hAnsi="Times New Roman" w:hint="eastAsia"/>
          <w:kern w:val="0"/>
          <w:sz w:val="22"/>
        </w:rPr>
        <w:t>．</w:t>
      </w:r>
      <w:r>
        <w:rPr>
          <w:rFonts w:ascii="Times New Roman" w:hAnsi="Times New Roman" w:hint="eastAsia"/>
          <w:sz w:val="22"/>
        </w:rPr>
        <w:t>模糊集合的表示方法和运算，模糊集的</w:t>
      </w:r>
      <w:r w:rsidR="00514AB1" w:rsidRPr="00514AB1">
        <w:rPr>
          <w:rFonts w:ascii="Times New Roman" w:hAnsi="Times New Roman"/>
          <w:position w:val="-6"/>
          <w:sz w:val="22"/>
        </w:rPr>
        <w:pict>
          <v:shape id="_x0000_i1058" type="#_x0000_t75" style="width:11.1pt;height:14.4pt">
            <v:imagedata r:id="rId36" o:title=""/>
          </v:shape>
        </w:pict>
      </w:r>
      <w:r>
        <w:rPr>
          <w:rFonts w:ascii="Times New Roman" w:hAnsi="Times New Roman" w:hint="eastAsia"/>
          <w:sz w:val="22"/>
        </w:rPr>
        <w:t>截集。</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28</w:t>
      </w:r>
      <w:r>
        <w:rPr>
          <w:rFonts w:ascii="Times New Roman" w:hAnsi="Times New Roman" w:hint="eastAsia"/>
          <w:kern w:val="0"/>
          <w:sz w:val="22"/>
        </w:rPr>
        <w:t>．</w:t>
      </w:r>
      <w:r>
        <w:rPr>
          <w:rFonts w:ascii="Times New Roman" w:hAnsi="Times New Roman" w:hint="eastAsia"/>
          <w:sz w:val="22"/>
        </w:rPr>
        <w:t>模糊矩阵的运算，模糊矩阵的</w:t>
      </w:r>
      <w:r w:rsidR="00514AB1" w:rsidRPr="00514AB1">
        <w:rPr>
          <w:rFonts w:ascii="Times New Roman" w:hAnsi="Times New Roman"/>
          <w:position w:val="-6"/>
          <w:sz w:val="22"/>
        </w:rPr>
        <w:pict>
          <v:shape id="_x0000_i1059" type="#_x0000_t75" style="width:11.1pt;height:14.4pt">
            <v:imagedata r:id="rId36" o:title=""/>
          </v:shape>
        </w:pict>
      </w:r>
      <w:r>
        <w:rPr>
          <w:rFonts w:ascii="Times New Roman" w:hAnsi="Times New Roman" w:hint="eastAsia"/>
          <w:sz w:val="22"/>
        </w:rPr>
        <w:t>截矩阵。</w:t>
      </w:r>
    </w:p>
    <w:p w:rsidR="003717A0" w:rsidRDefault="003717A0">
      <w:pPr>
        <w:autoSpaceDE w:val="0"/>
        <w:autoSpaceDN w:val="0"/>
        <w:adjustRightInd w:val="0"/>
        <w:spacing w:line="360" w:lineRule="exact"/>
        <w:ind w:firstLineChars="192" w:firstLine="422"/>
        <w:rPr>
          <w:rFonts w:ascii="Times New Roman" w:hAnsi="Times New Roman"/>
          <w:kern w:val="0"/>
          <w:sz w:val="22"/>
        </w:rPr>
      </w:pPr>
      <w:r>
        <w:rPr>
          <w:rFonts w:ascii="Times New Roman" w:hAnsi="Times New Roman"/>
          <w:kern w:val="0"/>
          <w:sz w:val="22"/>
        </w:rPr>
        <w:t>29</w:t>
      </w:r>
      <w:r>
        <w:rPr>
          <w:rFonts w:ascii="Times New Roman" w:hAnsi="Times New Roman" w:hint="eastAsia"/>
          <w:kern w:val="0"/>
          <w:sz w:val="22"/>
        </w:rPr>
        <w:t>．</w:t>
      </w:r>
      <w:r>
        <w:rPr>
          <w:rFonts w:ascii="Times New Roman" w:hAnsi="Times New Roman" w:hint="eastAsia"/>
          <w:sz w:val="22"/>
        </w:rPr>
        <w:t>模糊相似关系（矩阵）和模糊等价关系（矩阵）的概念，将模糊相似关系改造成模糊等价关系的方法。</w:t>
      </w:r>
    </w:p>
    <w:p w:rsidR="003717A0" w:rsidRDefault="003717A0">
      <w:pPr>
        <w:autoSpaceDE w:val="0"/>
        <w:autoSpaceDN w:val="0"/>
        <w:adjustRightInd w:val="0"/>
        <w:spacing w:line="360" w:lineRule="exact"/>
        <w:ind w:firstLineChars="192" w:firstLine="422"/>
        <w:rPr>
          <w:rFonts w:ascii="Times New Roman" w:eastAsia="黑体" w:hAnsi="Times New Roman"/>
          <w:b/>
          <w:kern w:val="0"/>
          <w:sz w:val="22"/>
        </w:rPr>
      </w:pPr>
      <w:r>
        <w:rPr>
          <w:rFonts w:ascii="Times New Roman" w:hAnsi="Times New Roman"/>
          <w:kern w:val="0"/>
          <w:sz w:val="22"/>
        </w:rPr>
        <w:t>30</w:t>
      </w:r>
      <w:r>
        <w:rPr>
          <w:rFonts w:ascii="Times New Roman" w:hAnsi="Times New Roman" w:hint="eastAsia"/>
          <w:kern w:val="0"/>
          <w:sz w:val="22"/>
        </w:rPr>
        <w:t>．</w:t>
      </w:r>
      <w:r>
        <w:rPr>
          <w:rFonts w:ascii="Times New Roman" w:hAnsi="Times New Roman" w:hint="eastAsia"/>
          <w:sz w:val="22"/>
        </w:rPr>
        <w:t>综合评判的一级模型，模糊聚类分析的方法。</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360" w:lineRule="exact"/>
        <w:ind w:firstLineChars="193" w:firstLine="425"/>
        <w:rPr>
          <w:rFonts w:ascii="Times New Roman" w:hAnsi="Times New Roman"/>
          <w:kern w:val="0"/>
          <w:sz w:val="22"/>
        </w:rPr>
      </w:pPr>
      <w:r>
        <w:rPr>
          <w:rFonts w:ascii="Times New Roman" w:hAnsi="Times New Roman" w:hint="eastAsia"/>
          <w:kern w:val="0"/>
          <w:sz w:val="22"/>
        </w:rPr>
        <w:t>以一元函数微积分（包括函数极限与连续，导数与微分，不定积分，定积分）、多元函数微积分（包括</w:t>
      </w:r>
      <w:r>
        <w:rPr>
          <w:rFonts w:ascii="Times New Roman" w:hAnsi="Times New Roman" w:hint="eastAsia"/>
          <w:sz w:val="22"/>
        </w:rPr>
        <w:t>一阶、二阶偏导数及全微分，无条件极值，二重积分</w:t>
      </w:r>
      <w:r>
        <w:rPr>
          <w:rFonts w:ascii="Times New Roman" w:hAnsi="Times New Roman" w:hint="eastAsia"/>
          <w:kern w:val="0"/>
          <w:sz w:val="22"/>
        </w:rPr>
        <w:t>）、常微分方程（包括四种类型的</w:t>
      </w:r>
      <w:r>
        <w:rPr>
          <w:rFonts w:ascii="Times New Roman" w:hAnsi="Times New Roman" w:hint="eastAsia"/>
          <w:sz w:val="22"/>
        </w:rPr>
        <w:t>一阶微分方程，几种基本类型的二阶微分方程</w:t>
      </w:r>
      <w:r>
        <w:rPr>
          <w:rFonts w:ascii="Times New Roman" w:hAnsi="Times New Roman" w:hint="eastAsia"/>
          <w:kern w:val="0"/>
          <w:sz w:val="22"/>
        </w:rPr>
        <w:t>）和模糊数学（包括</w:t>
      </w:r>
      <w:r>
        <w:rPr>
          <w:rFonts w:ascii="Times New Roman" w:hAnsi="Times New Roman" w:hint="eastAsia"/>
          <w:sz w:val="22"/>
        </w:rPr>
        <w:t>模糊集合的运算，模糊矩阵的运算，综合评判，模糊聚类分析</w:t>
      </w:r>
      <w:r>
        <w:rPr>
          <w:rFonts w:ascii="Times New Roman" w:hAnsi="Times New Roman" w:hint="eastAsia"/>
          <w:kern w:val="0"/>
          <w:sz w:val="22"/>
        </w:rPr>
        <w:t>）为考试重点，考核学生对高等数学知识的掌握程度和运用课程知识分析问题、解决问题的能力。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理学院《医用高等数学》课程考试试题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r>
        <w:rPr>
          <w:sz w:val="32"/>
          <w:u w:val="single"/>
        </w:rPr>
        <w:t xml:space="preserve">        </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一、填空题（每空</w:t>
      </w:r>
      <w:r>
        <w:rPr>
          <w:rFonts w:ascii="Times New Roman" w:hAnsi="Times New Roman"/>
          <w:b/>
          <w:kern w:val="0"/>
          <w:sz w:val="22"/>
        </w:rPr>
        <w:t>3</w:t>
      </w:r>
      <w:r>
        <w:rPr>
          <w:rFonts w:ascii="Times New Roman" w:hAnsi="Times New Roman" w:hint="eastAsia"/>
          <w:b/>
          <w:kern w:val="0"/>
          <w:sz w:val="22"/>
        </w:rPr>
        <w:t>分，共</w:t>
      </w:r>
      <w:r>
        <w:rPr>
          <w:rFonts w:ascii="Times New Roman" w:hAnsi="Times New Roman"/>
          <w:b/>
          <w:kern w:val="0"/>
          <w:sz w:val="22"/>
        </w:rPr>
        <w:t>48</w:t>
      </w:r>
      <w:r>
        <w:rPr>
          <w:rFonts w:ascii="Times New Roman" w:hAnsi="Times New Roman" w:hint="eastAsia"/>
          <w:b/>
          <w:kern w:val="0"/>
          <w:sz w:val="22"/>
        </w:rPr>
        <w:t>分）</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w:t>
      </w:r>
      <w:r w:rsidR="00514AB1" w:rsidRPr="00514AB1">
        <w:rPr>
          <w:rFonts w:ascii="Times New Roman" w:hAnsi="Times New Roman"/>
          <w:position w:val="-24"/>
          <w:sz w:val="22"/>
        </w:rPr>
        <w:pict>
          <v:shape id="_x0000_i1060" type="#_x0000_t75" style="width:52.05pt;height:30.45pt">
            <v:imagedata r:id="rId37"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w:t>
      </w:r>
      <w:r w:rsidR="00514AB1" w:rsidRPr="00514AB1">
        <w:rPr>
          <w:rFonts w:ascii="Times New Roman" w:hAnsi="Times New Roman"/>
          <w:position w:val="-20"/>
          <w:sz w:val="22"/>
        </w:rPr>
        <w:pict>
          <v:shape id="_x0000_i1061" type="#_x0000_t75" style="width:58.15pt;height:30.45pt">
            <v:imagedata r:id="rId38"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w:t>
      </w:r>
      <w:r>
        <w:rPr>
          <w:rFonts w:ascii="Times New Roman" w:hAnsi="Times New Roman" w:hint="eastAsia"/>
          <w:sz w:val="22"/>
        </w:rPr>
        <w:t>设</w:t>
      </w:r>
      <w:r w:rsidR="00514AB1" w:rsidRPr="00514AB1">
        <w:rPr>
          <w:rFonts w:ascii="Times New Roman" w:hAnsi="Times New Roman"/>
          <w:position w:val="-24"/>
          <w:sz w:val="22"/>
        </w:rPr>
        <w:pict>
          <v:shape id="_x0000_i1062" type="#_x0000_t75" style="width:59.25pt;height:30.45pt">
            <v:imagedata r:id="rId39" o:title=""/>
          </v:shape>
        </w:pict>
      </w:r>
      <w:r>
        <w:rPr>
          <w:rFonts w:ascii="Times New Roman" w:hAnsi="Times New Roman" w:hint="eastAsia"/>
          <w:sz w:val="22"/>
        </w:rPr>
        <w:t>，则</w:t>
      </w:r>
      <w:r w:rsidR="00514AB1" w:rsidRPr="00514AB1">
        <w:rPr>
          <w:rFonts w:ascii="Times New Roman" w:hAnsi="Times New Roman"/>
          <w:position w:val="-10"/>
          <w:sz w:val="22"/>
        </w:rPr>
        <w:pict>
          <v:shape id="_x0000_i1063" type="#_x0000_t75" style="width:12.75pt;height:15.5pt">
            <v:imagedata r:id="rId40"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sz w:val="24"/>
        </w:rPr>
      </w:pPr>
      <w:r>
        <w:rPr>
          <w:rFonts w:ascii="Times New Roman" w:hAnsi="Times New Roman"/>
          <w:kern w:val="0"/>
          <w:sz w:val="22"/>
        </w:rPr>
        <w:t>4</w:t>
      </w:r>
      <w:r>
        <w:rPr>
          <w:rFonts w:ascii="Times New Roman" w:hAnsi="Times New Roman" w:hint="eastAsia"/>
          <w:kern w:val="0"/>
          <w:sz w:val="22"/>
        </w:rPr>
        <w:t>、</w:t>
      </w:r>
      <w:r>
        <w:rPr>
          <w:rFonts w:ascii="Times New Roman" w:hAnsi="Times New Roman" w:hint="eastAsia"/>
          <w:sz w:val="22"/>
        </w:rPr>
        <w:t>已知</w:t>
      </w:r>
      <w:r w:rsidR="00514AB1" w:rsidRPr="00514AB1">
        <w:rPr>
          <w:rFonts w:ascii="Times New Roman" w:hAnsi="Times New Roman"/>
          <w:position w:val="-10"/>
          <w:sz w:val="22"/>
        </w:rPr>
        <w:pict>
          <v:shape id="_x0000_i1064" type="#_x0000_t75" style="width:45.4pt;height:18.3pt">
            <v:imagedata r:id="rId41" o:title=""/>
          </v:shape>
        </w:pict>
      </w:r>
      <w:r>
        <w:rPr>
          <w:rFonts w:ascii="Times New Roman" w:hAnsi="Times New Roman" w:hint="eastAsia"/>
          <w:sz w:val="22"/>
        </w:rPr>
        <w:t>，则</w:t>
      </w:r>
      <w:r w:rsidR="00514AB1" w:rsidRPr="00514AB1">
        <w:rPr>
          <w:rFonts w:ascii="Times New Roman" w:hAnsi="Times New Roman"/>
          <w:position w:val="-10"/>
          <w:sz w:val="22"/>
        </w:rPr>
        <w:pict>
          <v:shape id="_x0000_i1065" type="#_x0000_t75" style="width:12.75pt;height:15.5pt">
            <v:imagedata r:id="rId40"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sz w:val="22"/>
        </w:rPr>
        <w:t>5</w:t>
      </w:r>
      <w:r>
        <w:rPr>
          <w:rFonts w:ascii="Times New Roman" w:hAnsi="Times New Roman" w:hint="eastAsia"/>
          <w:sz w:val="22"/>
        </w:rPr>
        <w:t>、设</w:t>
      </w:r>
      <w:r w:rsidR="00514AB1" w:rsidRPr="00514AB1">
        <w:rPr>
          <w:rFonts w:ascii="Times New Roman" w:hAnsi="Times New Roman"/>
          <w:position w:val="-10"/>
          <w:sz w:val="22"/>
        </w:rPr>
        <w:pict>
          <v:shape id="_x0000_i1066" type="#_x0000_t75" style="width:77pt;height:18.3pt">
            <v:imagedata r:id="rId42" o:title=""/>
          </v:shape>
        </w:pict>
      </w:r>
      <w:r>
        <w:rPr>
          <w:rFonts w:ascii="Times New Roman" w:hAnsi="Times New Roman" w:hint="eastAsia"/>
          <w:sz w:val="22"/>
        </w:rPr>
        <w:t>，则</w:t>
      </w:r>
      <w:r w:rsidR="00514AB1" w:rsidRPr="00514AB1">
        <w:rPr>
          <w:rFonts w:ascii="Times New Roman" w:hAnsi="Times New Roman"/>
          <w:position w:val="-10"/>
          <w:sz w:val="22"/>
        </w:rPr>
        <w:pict>
          <v:shape id="_x0000_i1067" type="#_x0000_t75" style="width:15.5pt;height:15.5pt">
            <v:imagedata r:id="rId43"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w:t>
      </w:r>
      <w:r w:rsidR="00514AB1" w:rsidRPr="00514AB1">
        <w:rPr>
          <w:rFonts w:ascii="Times New Roman" w:hAnsi="Times New Roman"/>
          <w:position w:val="-28"/>
          <w:sz w:val="22"/>
        </w:rPr>
        <w:pict>
          <v:shape id="_x0000_i1068" type="#_x0000_t75" style="width:65.9pt;height:34.9pt">
            <v:imagedata r:id="rId44"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w:t>
      </w:r>
      <w:r w:rsidR="00514AB1" w:rsidRPr="00514AB1">
        <w:rPr>
          <w:rFonts w:ascii="Times New Roman" w:hAnsi="Times New Roman"/>
          <w:position w:val="-16"/>
          <w:sz w:val="22"/>
        </w:rPr>
        <w:pict>
          <v:shape id="_x0000_i1069" type="#_x0000_t75" style="width:52.05pt;height:21.6pt">
            <v:imagedata r:id="rId45"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sz w:val="24"/>
        </w:rPr>
      </w:pPr>
      <w:r>
        <w:rPr>
          <w:rFonts w:ascii="Times New Roman" w:hAnsi="Times New Roman"/>
          <w:kern w:val="0"/>
          <w:sz w:val="22"/>
        </w:rPr>
        <w:t>8</w:t>
      </w:r>
      <w:r>
        <w:rPr>
          <w:rFonts w:ascii="Times New Roman" w:hAnsi="Times New Roman" w:hint="eastAsia"/>
          <w:kern w:val="0"/>
          <w:sz w:val="22"/>
        </w:rPr>
        <w:t>、</w:t>
      </w:r>
      <w:r w:rsidR="00514AB1" w:rsidRPr="00514AB1">
        <w:rPr>
          <w:rFonts w:ascii="Times New Roman" w:hAnsi="Times New Roman"/>
          <w:position w:val="-18"/>
          <w:sz w:val="22"/>
        </w:rPr>
        <w:pict>
          <v:shape id="_x0000_i1070" type="#_x0000_t75" style="width:48.2pt;height:26.6pt">
            <v:imagedata r:id="rId46"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43" w:firstLine="535"/>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、曲线</w:t>
      </w:r>
      <w:r w:rsidR="00514AB1" w:rsidRPr="00514AB1">
        <w:rPr>
          <w:rFonts w:ascii="Times New Roman" w:hAnsi="Times New Roman"/>
          <w:position w:val="-10"/>
          <w:sz w:val="22"/>
        </w:rPr>
        <w:pict>
          <v:shape id="_x0000_i1071" type="#_x0000_t75" style="width:47.1pt;height:18.3pt">
            <v:imagedata r:id="rId47" o:title=""/>
          </v:shape>
        </w:pict>
      </w:r>
      <w:r>
        <w:rPr>
          <w:rFonts w:ascii="Times New Roman" w:hAnsi="Times New Roman" w:hint="eastAsia"/>
          <w:kern w:val="0"/>
          <w:sz w:val="22"/>
        </w:rPr>
        <w:t>和直线</w:t>
      </w:r>
      <w:r w:rsidR="00514AB1" w:rsidRPr="00514AB1">
        <w:rPr>
          <w:rFonts w:ascii="Times New Roman" w:hAnsi="Times New Roman"/>
          <w:position w:val="-24"/>
          <w:sz w:val="22"/>
        </w:rPr>
        <w:pict>
          <v:shape id="_x0000_i1072" type="#_x0000_t75" style="width:38.2pt;height:30.45pt">
            <v:imagedata r:id="rId48" o:title=""/>
          </v:shape>
        </w:pict>
      </w:r>
      <w:r>
        <w:rPr>
          <w:rFonts w:ascii="Times New Roman" w:hAnsi="Times New Roman" w:hint="eastAsia"/>
          <w:kern w:val="0"/>
          <w:sz w:val="22"/>
        </w:rPr>
        <w:t>围成的图形面积</w:t>
      </w:r>
      <w:r w:rsidR="00514AB1" w:rsidRPr="00514AB1">
        <w:rPr>
          <w:rFonts w:ascii="Times New Roman" w:hAnsi="Times New Roman"/>
          <w:position w:val="-6"/>
          <w:sz w:val="22"/>
        </w:rPr>
        <w:pict>
          <v:shape id="_x0000_i1073" type="#_x0000_t75" style="width:11.1pt;height:14.4pt">
            <v:imagedata r:id="rId49"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200" w:firstLine="440"/>
        <w:jc w:val="left"/>
        <w:rPr>
          <w:rFonts w:ascii="Times New Roman" w:hAnsi="Times New Roman"/>
          <w:kern w:val="0"/>
          <w:sz w:val="22"/>
        </w:rPr>
      </w:pPr>
      <w:r>
        <w:rPr>
          <w:rFonts w:ascii="Times New Roman" w:hAnsi="Times New Roman"/>
          <w:kern w:val="0"/>
          <w:sz w:val="22"/>
        </w:rPr>
        <w:lastRenderedPageBreak/>
        <w:t>10</w:t>
      </w:r>
      <w:r>
        <w:rPr>
          <w:rFonts w:ascii="Times New Roman" w:hAnsi="Times New Roman" w:hint="eastAsia"/>
          <w:kern w:val="0"/>
          <w:sz w:val="22"/>
        </w:rPr>
        <w:t>、</w:t>
      </w:r>
      <w:r>
        <w:rPr>
          <w:rFonts w:ascii="Times New Roman" w:hAnsi="Times New Roman" w:hint="eastAsia"/>
          <w:sz w:val="22"/>
        </w:rPr>
        <w:t>微分方程</w:t>
      </w:r>
      <w:r w:rsidR="00514AB1" w:rsidRPr="00514AB1">
        <w:rPr>
          <w:rFonts w:ascii="Times New Roman" w:hAnsi="Times New Roman"/>
          <w:position w:val="-24"/>
          <w:sz w:val="22"/>
        </w:rPr>
        <w:pict>
          <v:shape id="_x0000_i1074" type="#_x0000_t75" style="width:65.9pt;height:30.45pt">
            <v:imagedata r:id="rId50" o:title=""/>
          </v:shape>
        </w:pict>
      </w:r>
      <w:r>
        <w:rPr>
          <w:rFonts w:ascii="Times New Roman" w:hAnsi="Times New Roman" w:hint="eastAsia"/>
          <w:sz w:val="22"/>
        </w:rPr>
        <w:t>满足初始条件当</w:t>
      </w:r>
      <w:r w:rsidR="00514AB1" w:rsidRPr="00514AB1">
        <w:rPr>
          <w:rFonts w:ascii="Times New Roman" w:hAnsi="Times New Roman"/>
          <w:position w:val="-6"/>
          <w:sz w:val="22"/>
        </w:rPr>
        <w:pict>
          <v:shape id="_x0000_i1075" type="#_x0000_t75" style="width:27.7pt;height:14.4pt">
            <v:imagedata r:id="rId51" o:title=""/>
          </v:shape>
        </w:pict>
      </w:r>
      <w:r>
        <w:rPr>
          <w:rFonts w:ascii="Times New Roman" w:hAnsi="Times New Roman" w:hint="eastAsia"/>
          <w:sz w:val="22"/>
        </w:rPr>
        <w:t>时</w:t>
      </w:r>
      <w:r w:rsidR="00514AB1" w:rsidRPr="00514AB1">
        <w:rPr>
          <w:rFonts w:ascii="Times New Roman" w:hAnsi="Times New Roman"/>
          <w:position w:val="-10"/>
          <w:sz w:val="22"/>
        </w:rPr>
        <w:pict>
          <v:shape id="_x0000_i1076" type="#_x0000_t75" style="width:26.6pt;height:15.5pt">
            <v:imagedata r:id="rId52" o:title=""/>
          </v:shape>
        </w:pict>
      </w:r>
      <w:r>
        <w:rPr>
          <w:rFonts w:ascii="Times New Roman" w:hAnsi="Times New Roman" w:hint="eastAsia"/>
          <w:sz w:val="22"/>
        </w:rPr>
        <w:t>的特解</w:t>
      </w:r>
      <w:r w:rsidR="00514AB1" w:rsidRPr="00514AB1">
        <w:rPr>
          <w:rFonts w:ascii="Times New Roman" w:hAnsi="Times New Roman"/>
          <w:position w:val="-10"/>
          <w:sz w:val="22"/>
        </w:rPr>
        <w:pict>
          <v:shape id="_x0000_i1077" type="#_x0000_t75" style="width:11.1pt;height:12.75pt">
            <v:imagedata r:id="rId53"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193" w:firstLine="425"/>
        <w:jc w:val="left"/>
        <w:rPr>
          <w:rFonts w:ascii="Times New Roman" w:hAnsi="Times New Roman"/>
          <w:kern w:val="0"/>
          <w:sz w:val="22"/>
        </w:rPr>
      </w:pPr>
      <w:r>
        <w:rPr>
          <w:rFonts w:ascii="Times New Roman" w:hAnsi="Times New Roman"/>
          <w:kern w:val="0"/>
          <w:sz w:val="22"/>
        </w:rPr>
        <w:t>11</w:t>
      </w:r>
      <w:r>
        <w:rPr>
          <w:rFonts w:ascii="Times New Roman" w:hAnsi="Times New Roman" w:hint="eastAsia"/>
          <w:kern w:val="0"/>
          <w:sz w:val="22"/>
        </w:rPr>
        <w:t>、</w:t>
      </w:r>
      <w:r>
        <w:rPr>
          <w:rFonts w:ascii="Times New Roman" w:hAnsi="Times New Roman" w:hint="eastAsia"/>
          <w:sz w:val="22"/>
        </w:rPr>
        <w:t>微分方程</w:t>
      </w:r>
      <w:r w:rsidR="00514AB1" w:rsidRPr="00514AB1">
        <w:rPr>
          <w:rFonts w:ascii="Times New Roman" w:hAnsi="Times New Roman"/>
          <w:position w:val="-10"/>
          <w:sz w:val="22"/>
        </w:rPr>
        <w:pict>
          <v:shape id="_x0000_i1078" type="#_x0000_t75" style="width:79.75pt;height:15.5pt">
            <v:imagedata r:id="rId54" o:title=""/>
          </v:shape>
        </w:pict>
      </w:r>
      <w:r>
        <w:rPr>
          <w:rFonts w:ascii="Times New Roman" w:hAnsi="Times New Roman" w:hint="eastAsia"/>
          <w:sz w:val="22"/>
        </w:rPr>
        <w:t>的通解</w:t>
      </w:r>
      <w:r w:rsidR="00514AB1" w:rsidRPr="00514AB1">
        <w:rPr>
          <w:rFonts w:ascii="Times New Roman" w:hAnsi="Times New Roman"/>
          <w:position w:val="-10"/>
          <w:sz w:val="22"/>
        </w:rPr>
        <w:pict>
          <v:shape id="_x0000_i1079" type="#_x0000_t75" style="width:11.1pt;height:12.75pt">
            <v:imagedata r:id="rId55"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193" w:firstLine="425"/>
        <w:jc w:val="left"/>
        <w:rPr>
          <w:rFonts w:ascii="Times New Roman" w:hAnsi="Times New Roman"/>
          <w:b/>
          <w:kern w:val="0"/>
          <w:sz w:val="22"/>
        </w:rPr>
      </w:pPr>
      <w:r>
        <w:rPr>
          <w:rFonts w:ascii="Times New Roman" w:hAnsi="Times New Roman"/>
          <w:kern w:val="0"/>
          <w:sz w:val="22"/>
        </w:rPr>
        <w:t>12</w:t>
      </w:r>
      <w:r>
        <w:rPr>
          <w:rFonts w:ascii="Times New Roman" w:hAnsi="Times New Roman" w:hint="eastAsia"/>
          <w:kern w:val="0"/>
          <w:sz w:val="22"/>
        </w:rPr>
        <w:t>、</w:t>
      </w:r>
      <w:r>
        <w:rPr>
          <w:rFonts w:ascii="Times New Roman" w:hAnsi="Times New Roman" w:hint="eastAsia"/>
          <w:sz w:val="22"/>
        </w:rPr>
        <w:t>设</w:t>
      </w:r>
      <w:r w:rsidR="00514AB1" w:rsidRPr="00514AB1">
        <w:rPr>
          <w:rFonts w:ascii="Times New Roman" w:hAnsi="Times New Roman"/>
          <w:position w:val="-24"/>
          <w:sz w:val="22"/>
        </w:rPr>
        <w:pict>
          <v:shape id="_x0000_i1080" type="#_x0000_t75" style="width:79.75pt;height:30.45pt">
            <v:imagedata r:id="rId56" o:title=""/>
          </v:shape>
        </w:pict>
      </w:r>
      <w:r>
        <w:rPr>
          <w:rFonts w:ascii="Times New Roman" w:hAnsi="Times New Roman" w:hint="eastAsia"/>
          <w:sz w:val="22"/>
        </w:rPr>
        <w:t>，则</w:t>
      </w:r>
      <w:r w:rsidR="00514AB1" w:rsidRPr="00514AB1">
        <w:rPr>
          <w:rFonts w:ascii="Times New Roman" w:hAnsi="Times New Roman"/>
          <w:position w:val="-14"/>
          <w:sz w:val="22"/>
        </w:rPr>
        <w:pict>
          <v:shape id="_x0000_i1081" type="#_x0000_t75" style="width:15.5pt;height:18.85pt">
            <v:imagedata r:id="rId57"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193" w:firstLine="425"/>
        <w:jc w:val="left"/>
        <w:rPr>
          <w:rFonts w:ascii="Times New Roman" w:hAnsi="Times New Roman"/>
          <w:kern w:val="0"/>
          <w:sz w:val="22"/>
        </w:rPr>
      </w:pPr>
      <w:r>
        <w:rPr>
          <w:rFonts w:ascii="Times New Roman" w:hAnsi="Times New Roman"/>
          <w:kern w:val="0"/>
          <w:sz w:val="22"/>
        </w:rPr>
        <w:t>13</w:t>
      </w:r>
      <w:r>
        <w:rPr>
          <w:rFonts w:ascii="Times New Roman" w:hAnsi="Times New Roman" w:hint="eastAsia"/>
          <w:kern w:val="0"/>
          <w:sz w:val="22"/>
        </w:rPr>
        <w:t>、</w:t>
      </w:r>
      <w:r>
        <w:rPr>
          <w:rFonts w:ascii="Times New Roman" w:hAnsi="Times New Roman" w:hint="eastAsia"/>
          <w:sz w:val="22"/>
        </w:rPr>
        <w:t>交换二次积分的积分次序</w:t>
      </w:r>
      <w:r w:rsidR="00514AB1" w:rsidRPr="00514AB1">
        <w:rPr>
          <w:rFonts w:ascii="Times New Roman" w:hAnsi="Times New Roman"/>
          <w:position w:val="-18"/>
          <w:sz w:val="22"/>
        </w:rPr>
        <w:pict>
          <v:shape id="_x0000_i1082" type="#_x0000_t75" style="width:89.7pt;height:26.6pt">
            <v:imagedata r:id="rId58" o:title=""/>
          </v:shape>
        </w:pict>
      </w:r>
      <w:r>
        <w:rPr>
          <w:rFonts w:ascii="Times New Roman" w:hAnsi="Times New Roman"/>
          <w:sz w:val="22"/>
        </w:rPr>
        <w:t xml:space="preserve">= </w:t>
      </w:r>
      <w:r>
        <w:rPr>
          <w:sz w:val="24"/>
        </w:rPr>
        <w:t>___________</w:t>
      </w:r>
    </w:p>
    <w:p w:rsidR="003717A0" w:rsidRDefault="003717A0">
      <w:pPr>
        <w:autoSpaceDE w:val="0"/>
        <w:autoSpaceDN w:val="0"/>
        <w:adjustRightInd w:val="0"/>
        <w:snapToGrid w:val="0"/>
        <w:spacing w:line="300" w:lineRule="auto"/>
        <w:ind w:firstLineChars="193" w:firstLine="425"/>
        <w:jc w:val="left"/>
        <w:rPr>
          <w:rFonts w:ascii="Times New Roman" w:hAnsi="Times New Roman"/>
          <w:sz w:val="22"/>
        </w:rPr>
      </w:pPr>
      <w:r>
        <w:rPr>
          <w:rFonts w:ascii="Times New Roman" w:hAnsi="Times New Roman"/>
          <w:kern w:val="0"/>
          <w:sz w:val="22"/>
        </w:rPr>
        <w:t>14</w:t>
      </w:r>
      <w:r>
        <w:rPr>
          <w:rFonts w:ascii="Times New Roman" w:hAnsi="Times New Roman" w:hint="eastAsia"/>
          <w:kern w:val="0"/>
          <w:sz w:val="22"/>
        </w:rPr>
        <w:t>、</w:t>
      </w:r>
      <w:r>
        <w:rPr>
          <w:rFonts w:ascii="Times New Roman" w:hAnsi="Times New Roman" w:hint="eastAsia"/>
          <w:sz w:val="22"/>
        </w:rPr>
        <w:t>设</w:t>
      </w:r>
      <w:r w:rsidR="00514AB1" w:rsidRPr="00514AB1">
        <w:rPr>
          <w:rFonts w:ascii="Times New Roman" w:hAnsi="Times New Roman"/>
          <w:position w:val="-6"/>
          <w:sz w:val="22"/>
        </w:rPr>
        <w:pict>
          <v:shape id="_x0000_i1083" type="#_x0000_t75" style="width:30.45pt;height:14.4pt">
            <v:imagedata r:id="rId59" o:title=""/>
          </v:shape>
        </w:pict>
      </w:r>
      <w:r>
        <w:rPr>
          <w:rFonts w:ascii="Times New Roman" w:hAnsi="Times New Roman" w:hint="eastAsia"/>
          <w:sz w:val="22"/>
        </w:rPr>
        <w:t>是论域</w:t>
      </w:r>
      <w:r w:rsidR="00514AB1" w:rsidRPr="00514AB1">
        <w:rPr>
          <w:rFonts w:ascii="Times New Roman" w:hAnsi="Times New Roman"/>
          <w:position w:val="-14"/>
          <w:sz w:val="22"/>
        </w:rPr>
        <w:pict>
          <v:shape id="_x0000_i1084" type="#_x0000_t75" style="width:129.05pt;height:19.95pt">
            <v:imagedata r:id="rId60" o:title=""/>
          </v:shape>
        </w:pict>
      </w:r>
      <w:r>
        <w:rPr>
          <w:rFonts w:ascii="Times New Roman" w:hAnsi="Times New Roman" w:hint="eastAsia"/>
          <w:sz w:val="22"/>
        </w:rPr>
        <w:t>上的两个模糊集，且</w:t>
      </w:r>
    </w:p>
    <w:p w:rsidR="003717A0" w:rsidRDefault="00514AB1">
      <w:pPr>
        <w:autoSpaceDE w:val="0"/>
        <w:autoSpaceDN w:val="0"/>
        <w:adjustRightInd w:val="0"/>
        <w:snapToGrid w:val="0"/>
        <w:spacing w:line="300" w:lineRule="auto"/>
        <w:ind w:firstLineChars="393" w:firstLine="865"/>
        <w:jc w:val="left"/>
        <w:rPr>
          <w:rFonts w:ascii="Times New Roman" w:hAnsi="Times New Roman"/>
          <w:sz w:val="22"/>
        </w:rPr>
      </w:pPr>
      <w:r w:rsidRPr="00514AB1">
        <w:rPr>
          <w:rFonts w:ascii="Times New Roman" w:hAnsi="Times New Roman"/>
          <w:position w:val="-30"/>
          <w:sz w:val="22"/>
        </w:rPr>
        <w:pict>
          <v:shape id="_x0000_i1085" type="#_x0000_t75" style="width:121.85pt;height:33.8pt">
            <v:imagedata r:id="rId61" o:title=""/>
          </v:shape>
        </w:pict>
      </w:r>
      <w:r w:rsidR="003717A0">
        <w:rPr>
          <w:rFonts w:ascii="Times New Roman" w:hAnsi="Times New Roman" w:hint="eastAsia"/>
          <w:sz w:val="22"/>
        </w:rPr>
        <w:t>，</w:t>
      </w:r>
      <w:r w:rsidRPr="00514AB1">
        <w:rPr>
          <w:rFonts w:ascii="Times New Roman" w:hAnsi="Times New Roman"/>
          <w:position w:val="-30"/>
          <w:sz w:val="22"/>
        </w:rPr>
        <w:pict>
          <v:shape id="_x0000_i1086" type="#_x0000_t75" style="width:89.7pt;height:33.8pt">
            <v:imagedata r:id="rId62" o:title=""/>
          </v:shape>
        </w:pict>
      </w:r>
      <w:r w:rsidR="003717A0">
        <w:rPr>
          <w:rFonts w:ascii="Times New Roman" w:hAnsi="Times New Roman" w:hint="eastAsia"/>
          <w:sz w:val="22"/>
        </w:rPr>
        <w:t>，</w:t>
      </w:r>
    </w:p>
    <w:p w:rsidR="003717A0" w:rsidRDefault="003717A0">
      <w:pPr>
        <w:autoSpaceDE w:val="0"/>
        <w:autoSpaceDN w:val="0"/>
        <w:adjustRightInd w:val="0"/>
        <w:snapToGrid w:val="0"/>
        <w:spacing w:line="300" w:lineRule="auto"/>
        <w:ind w:firstLineChars="393" w:firstLine="865"/>
        <w:jc w:val="left"/>
        <w:rPr>
          <w:rFonts w:ascii="Times New Roman" w:hAnsi="Times New Roman"/>
          <w:kern w:val="0"/>
          <w:sz w:val="22"/>
        </w:rPr>
      </w:pPr>
      <w:r>
        <w:rPr>
          <w:rFonts w:ascii="Times New Roman" w:hAnsi="Times New Roman" w:hint="eastAsia"/>
          <w:sz w:val="22"/>
        </w:rPr>
        <w:t>则</w:t>
      </w:r>
      <w:r w:rsidR="00514AB1" w:rsidRPr="00514AB1">
        <w:rPr>
          <w:rFonts w:ascii="Times New Roman" w:hAnsi="Times New Roman"/>
          <w:position w:val="-4"/>
          <w:sz w:val="22"/>
        </w:rPr>
        <w:pict>
          <v:shape id="_x0000_i1087" type="#_x0000_t75" style="width:33.25pt;height:12.75pt">
            <v:imagedata r:id="rId63" o:title=""/>
          </v:shape>
        </w:pict>
      </w:r>
      <w:r>
        <w:rPr>
          <w:rFonts w:ascii="Times New Roman" w:hAnsi="Times New Roman"/>
          <w:sz w:val="22"/>
        </w:rPr>
        <w:t xml:space="preserve">= </w:t>
      </w:r>
      <w:r>
        <w:rPr>
          <w:sz w:val="24"/>
        </w:rPr>
        <w:t>___________</w:t>
      </w:r>
      <w:r>
        <w:rPr>
          <w:rFonts w:ascii="Times New Roman" w:hAnsi="Times New Roman" w:hint="eastAsia"/>
          <w:sz w:val="22"/>
        </w:rPr>
        <w:t>，</w:t>
      </w:r>
      <w:r w:rsidR="00514AB1" w:rsidRPr="00514AB1">
        <w:rPr>
          <w:rFonts w:ascii="Times New Roman" w:hAnsi="Times New Roman"/>
          <w:position w:val="-4"/>
          <w:sz w:val="22"/>
        </w:rPr>
        <w:pict>
          <v:shape id="_x0000_i1088" type="#_x0000_t75" style="width:11.65pt;height:14.95pt">
            <v:imagedata r:id="rId64" o:title=""/>
          </v:shape>
        </w:pict>
      </w:r>
      <w:r>
        <w:rPr>
          <w:rFonts w:ascii="Times New Roman" w:hAnsi="Times New Roman"/>
          <w:sz w:val="22"/>
        </w:rPr>
        <w:t xml:space="preserve">= </w:t>
      </w:r>
      <w:r>
        <w:rPr>
          <w:sz w:val="24"/>
        </w:rPr>
        <w:t>___________</w:t>
      </w:r>
      <w:r>
        <w:rPr>
          <w:rFonts w:ascii="Times New Roman" w:hAnsi="Times New Roman" w:hint="eastAsia"/>
          <w:sz w:val="22"/>
        </w:rPr>
        <w:t>，</w:t>
      </w:r>
      <w:r w:rsidR="00514AB1" w:rsidRPr="00514AB1">
        <w:rPr>
          <w:rFonts w:ascii="Times New Roman" w:hAnsi="Times New Roman"/>
          <w:position w:val="-12"/>
          <w:sz w:val="22"/>
        </w:rPr>
        <w:pict>
          <v:shape id="_x0000_i1089" type="#_x0000_t75" style="width:19.95pt;height:18.3pt">
            <v:imagedata r:id="rId65" o:title=""/>
          </v:shape>
        </w:pict>
      </w:r>
      <w:r>
        <w:rPr>
          <w:rFonts w:ascii="Times New Roman" w:hAnsi="Times New Roman"/>
          <w:sz w:val="22"/>
        </w:rPr>
        <w:t xml:space="preserve">= </w:t>
      </w:r>
      <w:r>
        <w:rPr>
          <w:sz w:val="24"/>
        </w:rPr>
        <w:t>___________</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二、计算题（每题</w:t>
      </w:r>
      <w:r>
        <w:rPr>
          <w:rFonts w:ascii="Times New Roman" w:hAnsi="Times New Roman"/>
          <w:b/>
          <w:kern w:val="0"/>
          <w:sz w:val="22"/>
        </w:rPr>
        <w:t>6</w:t>
      </w:r>
      <w:r>
        <w:rPr>
          <w:rFonts w:ascii="Times New Roman" w:hAnsi="Times New Roman" w:hint="eastAsia"/>
          <w:b/>
          <w:kern w:val="0"/>
          <w:sz w:val="22"/>
        </w:rPr>
        <w:t>分或</w:t>
      </w:r>
      <w:r>
        <w:rPr>
          <w:rFonts w:ascii="Times New Roman" w:hAnsi="Times New Roman"/>
          <w:b/>
          <w:kern w:val="0"/>
          <w:sz w:val="22"/>
        </w:rPr>
        <w:t>7</w:t>
      </w:r>
      <w:r>
        <w:rPr>
          <w:rFonts w:ascii="Times New Roman" w:hAnsi="Times New Roman" w:hint="eastAsia"/>
          <w:b/>
          <w:kern w:val="0"/>
          <w:sz w:val="22"/>
        </w:rPr>
        <w:t>分，共</w:t>
      </w:r>
      <w:r>
        <w:rPr>
          <w:rFonts w:ascii="Times New Roman" w:hAnsi="Times New Roman"/>
          <w:b/>
          <w:kern w:val="0"/>
          <w:sz w:val="22"/>
        </w:rPr>
        <w:t>52</w:t>
      </w:r>
      <w:r>
        <w:rPr>
          <w:rFonts w:ascii="Times New Roman" w:hAnsi="Times New Roman" w:hint="eastAsia"/>
          <w:b/>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w:t>
      </w:r>
      <w:r>
        <w:rPr>
          <w:rFonts w:hAnsi="宋体" w:hint="eastAsia"/>
          <w:sz w:val="22"/>
        </w:rPr>
        <w:t>求极限</w:t>
      </w:r>
      <w:r w:rsidR="00514AB1" w:rsidRPr="00514AB1">
        <w:rPr>
          <w:rFonts w:hAnsi="宋体"/>
          <w:position w:val="-24"/>
          <w:sz w:val="22"/>
        </w:rPr>
        <w:pict>
          <v:shape id="_x0000_i1090" type="#_x0000_t75" style="width:86.95pt;height:33.25pt">
            <v:imagedata r:id="rId66" o:title=""/>
          </v:shape>
        </w:pict>
      </w:r>
      <w:r>
        <w:rPr>
          <w:rFonts w:hAnsi="宋体" w:hint="eastAsia"/>
          <w:sz w:val="22"/>
        </w:rPr>
        <w:t>．</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w:t>
      </w:r>
      <w:r>
        <w:rPr>
          <w:rFonts w:hAnsi="宋体" w:hint="eastAsia"/>
          <w:sz w:val="22"/>
        </w:rPr>
        <w:t>判定函数</w:t>
      </w:r>
      <w:r w:rsidR="00514AB1" w:rsidRPr="00514AB1">
        <w:rPr>
          <w:rFonts w:hAnsi="宋体"/>
          <w:position w:val="-10"/>
          <w:sz w:val="22"/>
        </w:rPr>
        <w:pict>
          <v:shape id="_x0000_i1091" type="#_x0000_t75" style="width:75.3pt;height:15.5pt">
            <v:imagedata r:id="rId67" o:title=""/>
          </v:shape>
        </w:pict>
      </w:r>
      <w:r>
        <w:rPr>
          <w:rFonts w:hAnsi="宋体" w:hint="eastAsia"/>
          <w:sz w:val="22"/>
        </w:rPr>
        <w:t>的单调区间．</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w:t>
      </w:r>
      <w:r>
        <w:rPr>
          <w:rFonts w:hAnsi="宋体" w:hint="eastAsia"/>
          <w:sz w:val="22"/>
        </w:rPr>
        <w:t>计算</w:t>
      </w:r>
      <w:r>
        <w:rPr>
          <w:rFonts w:ascii="宋体" w:hAnsi="宋体" w:hint="eastAsia"/>
          <w:sz w:val="22"/>
        </w:rPr>
        <w:t>不定积分</w:t>
      </w:r>
      <w:r w:rsidR="00514AB1" w:rsidRPr="00514AB1">
        <w:rPr>
          <w:rFonts w:ascii="宋体" w:hAnsi="宋体"/>
          <w:position w:val="-16"/>
          <w:sz w:val="22"/>
        </w:rPr>
        <w:pict>
          <v:shape id="_x0000_i1092" type="#_x0000_t75" style="width:54.3pt;height:21.6pt">
            <v:imagedata r:id="rId68" o:title=""/>
          </v:shape>
        </w:pict>
      </w:r>
      <w:r>
        <w:rPr>
          <w:rFonts w:hAnsi="宋体" w:hint="eastAsia"/>
          <w:sz w:val="22"/>
        </w:rPr>
        <w:t>．</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w:t>
      </w:r>
      <w:r>
        <w:rPr>
          <w:rFonts w:hAnsi="宋体" w:hint="eastAsia"/>
          <w:sz w:val="22"/>
        </w:rPr>
        <w:t>计算定积分</w:t>
      </w:r>
      <w:r w:rsidR="00514AB1" w:rsidRPr="00514AB1">
        <w:rPr>
          <w:rFonts w:hAnsi="宋体"/>
          <w:position w:val="-18"/>
          <w:sz w:val="22"/>
        </w:rPr>
        <w:pict>
          <v:shape id="_x0000_i1093" type="#_x0000_t75" style="width:71.45pt;height:26.6pt">
            <v:imagedata r:id="rId69" o:title=""/>
          </v:shape>
        </w:pict>
      </w:r>
      <w:r>
        <w:rPr>
          <w:rFonts w:hAnsi="宋体" w:hint="eastAsia"/>
          <w:sz w:val="22"/>
        </w:rPr>
        <w:t>．</w:t>
      </w:r>
      <w:r>
        <w:rPr>
          <w:rFonts w:ascii="Times New Roman" w:hAnsi="Times New Roman" w:hint="eastAsia"/>
          <w:kern w:val="0"/>
          <w:sz w:val="22"/>
        </w:rPr>
        <w:t>（</w:t>
      </w:r>
      <w:r>
        <w:rPr>
          <w:rFonts w:ascii="Times New Roman" w:hAnsi="Times New Roman"/>
          <w:kern w:val="0"/>
          <w:sz w:val="22"/>
        </w:rPr>
        <w:t>6</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w:t>
      </w:r>
      <w:r>
        <w:rPr>
          <w:rFonts w:hAnsi="宋体" w:hint="eastAsia"/>
          <w:sz w:val="22"/>
        </w:rPr>
        <w:t>求一阶微分方程</w:t>
      </w:r>
      <w:r w:rsidR="00514AB1" w:rsidRPr="00514AB1">
        <w:rPr>
          <w:rFonts w:ascii="宋体" w:hAnsi="宋体"/>
          <w:b/>
          <w:position w:val="-10"/>
          <w:sz w:val="22"/>
        </w:rPr>
        <w:pict>
          <v:shape id="_x0000_i1094" type="#_x0000_t75" style="width:65.9pt;height:15.5pt">
            <v:imagedata r:id="rId70" o:title=""/>
          </v:shape>
        </w:pict>
      </w:r>
      <w:r>
        <w:rPr>
          <w:rFonts w:hAnsi="宋体" w:hint="eastAsia"/>
          <w:sz w:val="22"/>
        </w:rPr>
        <w:t>的通解．</w:t>
      </w:r>
      <w:r>
        <w:rPr>
          <w:rFonts w:ascii="Times New Roman" w:hAnsi="Times New Roman" w:hint="eastAsia"/>
          <w:kern w:val="0"/>
          <w:sz w:val="22"/>
        </w:rPr>
        <w:t>（</w:t>
      </w:r>
      <w:r>
        <w:rPr>
          <w:rFonts w:ascii="Times New Roman" w:hAnsi="Times New Roman"/>
          <w:kern w:val="0"/>
          <w:sz w:val="22"/>
        </w:rPr>
        <w:t>7</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w:t>
      </w:r>
      <w:r>
        <w:rPr>
          <w:rFonts w:hAnsi="宋体" w:hint="eastAsia"/>
          <w:sz w:val="22"/>
        </w:rPr>
        <w:t>求二元函数</w:t>
      </w:r>
      <w:r w:rsidR="00514AB1" w:rsidRPr="00514AB1">
        <w:rPr>
          <w:rFonts w:ascii="宋体" w:hAnsi="宋体"/>
          <w:position w:val="-10"/>
          <w:sz w:val="22"/>
        </w:rPr>
        <w:pict>
          <v:shape id="_x0000_i1095" type="#_x0000_t75" style="width:155.1pt;height:18.3pt">
            <v:imagedata r:id="rId71" o:title=""/>
          </v:shape>
        </w:pict>
      </w:r>
      <w:r>
        <w:rPr>
          <w:rFonts w:hAnsi="宋体" w:hint="eastAsia"/>
          <w:sz w:val="22"/>
        </w:rPr>
        <w:t>的极值．</w:t>
      </w:r>
      <w:r>
        <w:rPr>
          <w:rFonts w:ascii="Times New Roman" w:hAnsi="Times New Roman" w:hint="eastAsia"/>
          <w:kern w:val="0"/>
          <w:sz w:val="22"/>
        </w:rPr>
        <w:t>（</w:t>
      </w:r>
      <w:r>
        <w:rPr>
          <w:rFonts w:ascii="Times New Roman" w:hAnsi="Times New Roman"/>
          <w:kern w:val="0"/>
          <w:sz w:val="22"/>
        </w:rPr>
        <w:t>7</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w:t>
      </w:r>
      <w:r>
        <w:rPr>
          <w:rFonts w:ascii="Times New Roman" w:hAnsi="Times New Roman" w:hint="eastAsia"/>
          <w:sz w:val="22"/>
        </w:rPr>
        <w:t>计算二重积分</w:t>
      </w:r>
      <w:r w:rsidR="00514AB1" w:rsidRPr="00514AB1">
        <w:rPr>
          <w:rFonts w:ascii="Times New Roman" w:hAnsi="Times New Roman"/>
          <w:position w:val="-30"/>
          <w:sz w:val="22"/>
        </w:rPr>
        <w:pict>
          <v:shape id="_x0000_i1096" type="#_x0000_t75" style="width:48.75pt;height:29.35pt">
            <v:imagedata r:id="rId72" o:title=""/>
          </v:shape>
        </w:pict>
      </w:r>
      <w:r>
        <w:rPr>
          <w:rFonts w:ascii="Times New Roman" w:hAnsi="Times New Roman" w:hint="eastAsia"/>
          <w:sz w:val="22"/>
        </w:rPr>
        <w:t>，其中</w:t>
      </w:r>
      <w:r>
        <w:rPr>
          <w:rFonts w:ascii="Times New Roman" w:hAnsi="Times New Roman"/>
          <w:sz w:val="22"/>
        </w:rPr>
        <w:t>D</w:t>
      </w:r>
      <w:r>
        <w:rPr>
          <w:rFonts w:ascii="Times New Roman" w:hAnsi="Times New Roman" w:hint="eastAsia"/>
          <w:sz w:val="22"/>
        </w:rPr>
        <w:t>由直线</w:t>
      </w:r>
      <w:r w:rsidR="00514AB1" w:rsidRPr="00514AB1">
        <w:rPr>
          <w:rFonts w:ascii="Times New Roman" w:hAnsi="Times New Roman"/>
          <w:position w:val="-6"/>
          <w:sz w:val="22"/>
        </w:rPr>
        <w:pict>
          <v:shape id="_x0000_i1097" type="#_x0000_t75" style="width:26.6pt;height:14.4pt">
            <v:imagedata r:id="rId73" o:title=""/>
          </v:shape>
        </w:pict>
      </w:r>
      <w:r>
        <w:rPr>
          <w:rFonts w:ascii="Times New Roman" w:hAnsi="Times New Roman" w:hint="eastAsia"/>
          <w:sz w:val="22"/>
        </w:rPr>
        <w:t>、</w:t>
      </w:r>
      <w:r w:rsidR="00514AB1" w:rsidRPr="00514AB1">
        <w:rPr>
          <w:rFonts w:ascii="Times New Roman" w:hAnsi="Times New Roman"/>
          <w:position w:val="-6"/>
          <w:sz w:val="22"/>
        </w:rPr>
        <w:pict>
          <v:shape id="_x0000_i1098" type="#_x0000_t75" style="width:27.7pt;height:14.4pt">
            <v:imagedata r:id="rId74" o:title=""/>
          </v:shape>
        </w:pict>
      </w:r>
      <w:r>
        <w:rPr>
          <w:rFonts w:ascii="Times New Roman" w:hAnsi="Times New Roman" w:hint="eastAsia"/>
          <w:sz w:val="22"/>
        </w:rPr>
        <w:t>、</w:t>
      </w:r>
      <w:r w:rsidR="00514AB1" w:rsidRPr="00514AB1">
        <w:rPr>
          <w:rFonts w:ascii="Times New Roman" w:hAnsi="Times New Roman"/>
          <w:position w:val="-10"/>
          <w:sz w:val="22"/>
        </w:rPr>
        <w:pict>
          <v:shape id="_x0000_i1099" type="#_x0000_t75" style="width:29.35pt;height:12.75pt">
            <v:imagedata r:id="rId75" o:title=""/>
          </v:shape>
        </w:pict>
      </w:r>
      <w:r>
        <w:rPr>
          <w:rFonts w:ascii="Times New Roman" w:hAnsi="Times New Roman" w:hint="eastAsia"/>
          <w:sz w:val="22"/>
        </w:rPr>
        <w:t>、</w:t>
      </w:r>
      <w:r w:rsidR="00514AB1" w:rsidRPr="00514AB1">
        <w:rPr>
          <w:rFonts w:ascii="Times New Roman" w:hAnsi="Times New Roman"/>
          <w:position w:val="-10"/>
          <w:sz w:val="22"/>
        </w:rPr>
        <w:pict>
          <v:shape id="_x0000_i1100" type="#_x0000_t75" style="width:34.9pt;height:15.5pt">
            <v:imagedata r:id="rId76" o:title=""/>
          </v:shape>
        </w:pict>
      </w:r>
      <w:r>
        <w:rPr>
          <w:rFonts w:ascii="Times New Roman" w:hAnsi="Times New Roman" w:hint="eastAsia"/>
          <w:sz w:val="22"/>
        </w:rPr>
        <w:t>所围成．</w:t>
      </w:r>
      <w:r>
        <w:rPr>
          <w:rFonts w:ascii="Times New Roman" w:hAnsi="Times New Roman" w:hint="eastAsia"/>
          <w:kern w:val="0"/>
          <w:sz w:val="22"/>
        </w:rPr>
        <w:t>（</w:t>
      </w:r>
      <w:r>
        <w:rPr>
          <w:rFonts w:ascii="Times New Roman" w:hAnsi="Times New Roman"/>
          <w:kern w:val="0"/>
          <w:sz w:val="22"/>
        </w:rPr>
        <w:t>7</w:t>
      </w:r>
      <w:r>
        <w:rPr>
          <w:rFonts w:ascii="Times New Roman" w:hAnsi="Times New Roman" w:hint="eastAsia"/>
          <w:kern w:val="0"/>
          <w:sz w:val="22"/>
        </w:rPr>
        <w:t>分）</w:t>
      </w:r>
    </w:p>
    <w:p w:rsidR="003717A0" w:rsidRDefault="003717A0">
      <w:pPr>
        <w:autoSpaceDE w:val="0"/>
        <w:autoSpaceDN w:val="0"/>
        <w:adjustRightInd w:val="0"/>
        <w:snapToGrid w:val="0"/>
        <w:spacing w:line="300" w:lineRule="auto"/>
        <w:ind w:firstLineChars="193" w:firstLine="425"/>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、设在对某教师教学情况进行综合评判中，考虑四个因素：清楚易懂、熟悉教材、生动有趣、板书整洁，评判结果为优、良、中、差四个等级，单因素评判矩阵为</w:t>
      </w:r>
      <w:r w:rsidR="00514AB1" w:rsidRPr="00514AB1">
        <w:rPr>
          <w:position w:val="-66"/>
          <w:sz w:val="22"/>
        </w:rPr>
        <w:pict>
          <v:shape id="_x0000_i1101" type="#_x0000_t75" style="width:128.5pt;height:1in">
            <v:imagedata r:id="rId77" o:title=""/>
          </v:shape>
        </w:pict>
      </w:r>
      <w:r>
        <w:rPr>
          <w:rFonts w:hint="eastAsia"/>
          <w:sz w:val="22"/>
        </w:rPr>
        <w:t>，权重分配为</w:t>
      </w:r>
      <w:r w:rsidR="00514AB1" w:rsidRPr="00514AB1">
        <w:rPr>
          <w:position w:val="-10"/>
          <w:sz w:val="22"/>
        </w:rPr>
        <w:pict>
          <v:shape id="_x0000_i1102" type="#_x0000_t75" style="width:101.9pt;height:15.5pt">
            <v:imagedata r:id="rId78" o:title=""/>
          </v:shape>
        </w:pict>
      </w:r>
      <w:r>
        <w:rPr>
          <w:rFonts w:hint="eastAsia"/>
          <w:sz w:val="22"/>
        </w:rPr>
        <w:t>，求对该教师的综合评判结果</w:t>
      </w:r>
      <w:r>
        <w:rPr>
          <w:rFonts w:ascii="Times New Roman" w:hAnsi="Times New Roman" w:hint="eastAsia"/>
          <w:sz w:val="22"/>
        </w:rPr>
        <w:t>．</w:t>
      </w:r>
      <w:r>
        <w:rPr>
          <w:rFonts w:ascii="Times New Roman" w:hAnsi="Times New Roman" w:hint="eastAsia"/>
          <w:kern w:val="0"/>
          <w:sz w:val="22"/>
        </w:rPr>
        <w:t>（</w:t>
      </w:r>
      <w:r>
        <w:rPr>
          <w:rFonts w:ascii="Times New Roman" w:hAnsi="Times New Roman"/>
          <w:kern w:val="0"/>
          <w:sz w:val="22"/>
        </w:rPr>
        <w:t>7</w:t>
      </w:r>
      <w:r>
        <w:rPr>
          <w:rFonts w:ascii="Times New Roman" w:hAnsi="Times New Roman" w:hint="eastAsia"/>
          <w:kern w:val="0"/>
          <w:sz w:val="22"/>
        </w:rPr>
        <w:t>分）</w:t>
      </w:r>
    </w:p>
    <w:p w:rsidR="003717A0" w:rsidRDefault="003717A0" w:rsidP="005E20B5">
      <w:pPr>
        <w:adjustRightInd w:val="0"/>
        <w:snapToGrid w:val="0"/>
        <w:spacing w:beforeLines="50" w:afterLines="50" w:line="400" w:lineRule="exact"/>
        <w:jc w:val="center"/>
        <w:rPr>
          <w:rFonts w:ascii="黑体" w:eastAsia="黑体"/>
          <w:bCs/>
          <w:sz w:val="36"/>
          <w:szCs w:val="36"/>
        </w:rPr>
      </w:pPr>
      <w:r>
        <w:rPr>
          <w:rFonts w:ascii="Times New Roman" w:hAnsi="Times New Roman"/>
          <w:kern w:val="0"/>
          <w:sz w:val="22"/>
        </w:rPr>
        <w:br w:type="page"/>
      </w:r>
      <w:r w:rsidRPr="00F5156D">
        <w:rPr>
          <w:rFonts w:ascii="Times New Roman" w:eastAsia="黑体" w:hAnsi="Times New Roman" w:hint="eastAsia"/>
          <w:b/>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2686"/>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165" w:firstLine="363"/>
              <w:rPr>
                <w:rFonts w:ascii="Times New Roman" w:hAnsi="宋体"/>
                <w:kern w:val="0"/>
                <w:sz w:val="22"/>
              </w:rPr>
            </w:pPr>
            <w:r>
              <w:rPr>
                <w:rFonts w:ascii="Times New Roman" w:hAnsi="宋体" w:hint="eastAsia"/>
                <w:kern w:val="0"/>
                <w:sz w:val="22"/>
              </w:rPr>
              <w:t>本课程具有很强的概念性、逻辑性、抽象性，同时又是一门应用性较强的基础课程。其主要介绍了常用的微积分工具</w:t>
            </w:r>
            <w:r>
              <w:rPr>
                <w:rFonts w:ascii="Times New Roman" w:hAnsi="宋体"/>
                <w:kern w:val="0"/>
                <w:sz w:val="22"/>
              </w:rPr>
              <w:t>——</w:t>
            </w:r>
            <w:r>
              <w:rPr>
                <w:rFonts w:ascii="Times New Roman" w:hAnsi="宋体" w:hint="eastAsia"/>
                <w:kern w:val="0"/>
                <w:sz w:val="22"/>
              </w:rPr>
              <w:t>一元函数微积分（函数极限与连续、导数与微分、不定积分和定积分）的基本概念和运算，多元函数微积分（一阶、二阶偏导数，全微分，复合函数求导，无条件极值，二重积分）的基本概念和运算，常微分方程的基本概念和运算，以及模糊数学的基本概念、运算及应用。</w:t>
            </w:r>
          </w:p>
          <w:p w:rsidR="003717A0" w:rsidRDefault="003717A0">
            <w:pPr>
              <w:autoSpaceDE w:val="0"/>
              <w:autoSpaceDN w:val="0"/>
              <w:adjustRightInd w:val="0"/>
              <w:snapToGrid w:val="0"/>
              <w:spacing w:line="360" w:lineRule="exact"/>
              <w:ind w:firstLineChars="200" w:firstLine="440"/>
              <w:rPr>
                <w:rFonts w:ascii="Times New Roman" w:hAnsi="宋体"/>
                <w:kern w:val="0"/>
                <w:sz w:val="22"/>
              </w:rPr>
            </w:pPr>
            <w:r>
              <w:rPr>
                <w:rFonts w:ascii="Times New Roman" w:hAnsi="宋体" w:hint="eastAsia"/>
                <w:kern w:val="0"/>
                <w:sz w:val="22"/>
              </w:rPr>
              <w:t>该课程理论教学的基本任务：</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使学生掌握函数、极限与连续的基本概念和运算；</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掌握导数与微分的基本概念和运算；</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掌握不定积分和定积分的基本概念和运算；</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掌握多元函数及其一阶、二阶偏导数、全微分、复合函数求导、无条件极值，以及二重积分的基本概念和运算；</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5. </w:t>
            </w:r>
            <w:r>
              <w:rPr>
                <w:rFonts w:ascii="Times New Roman" w:hAnsi="宋体" w:hint="eastAsia"/>
                <w:kern w:val="0"/>
                <w:sz w:val="22"/>
              </w:rPr>
              <w:t>掌握常微分方程的基本概念，一阶、二阶微分方程的基本概念和运算；</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6. </w:t>
            </w:r>
            <w:r>
              <w:rPr>
                <w:rFonts w:ascii="Times New Roman" w:hAnsi="宋体" w:hint="eastAsia"/>
                <w:kern w:val="0"/>
                <w:sz w:val="22"/>
              </w:rPr>
              <w:t>掌握模糊集合、模糊矩阵的基本概念和运算，以及</w:t>
            </w:r>
            <w:r>
              <w:rPr>
                <w:rFonts w:ascii="Times New Roman" w:hAnsi="Times New Roman" w:hint="eastAsia"/>
                <w:sz w:val="22"/>
              </w:rPr>
              <w:t>综合评判和模糊聚类分析的应用</w:t>
            </w:r>
            <w:r>
              <w:rPr>
                <w:rFonts w:ascii="Times New Roman" w:hAnsi="宋体" w:hint="eastAsia"/>
                <w:kern w:val="0"/>
                <w:sz w:val="22"/>
              </w:rPr>
              <w:t>；</w:t>
            </w:r>
          </w:p>
          <w:p w:rsidR="003717A0" w:rsidRDefault="003717A0">
            <w:pPr>
              <w:autoSpaceDE w:val="0"/>
              <w:autoSpaceDN w:val="0"/>
              <w:adjustRightInd w:val="0"/>
              <w:snapToGrid w:val="0"/>
              <w:spacing w:line="360" w:lineRule="exact"/>
              <w:ind w:firstLineChars="8" w:firstLine="18"/>
              <w:rPr>
                <w:rFonts w:ascii="Times New Roman" w:hAnsi="宋体"/>
                <w:kern w:val="0"/>
                <w:sz w:val="22"/>
              </w:rPr>
            </w:pPr>
            <w:r>
              <w:rPr>
                <w:rFonts w:ascii="Times New Roman" w:hAnsi="宋体"/>
                <w:kern w:val="0"/>
                <w:sz w:val="22"/>
              </w:rPr>
              <w:t xml:space="preserve">7. </w:t>
            </w:r>
            <w:r>
              <w:rPr>
                <w:rFonts w:ascii="Times New Roman" w:hAnsi="宋体" w:hint="eastAsia"/>
                <w:kern w:val="0"/>
                <w:sz w:val="22"/>
              </w:rPr>
              <w:t>培养学生分析问题、解决问题的能力，为学生的后续课程作好基础和准备工作。</w:t>
            </w:r>
          </w:p>
        </w:tc>
      </w:tr>
      <w:tr w:rsidR="003717A0">
        <w:trPr>
          <w:cantSplit/>
          <w:trHeight w:val="2270"/>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环</w:t>
            </w:r>
            <w:r>
              <w:rPr>
                <w:rFonts w:ascii="黑体" w:eastAsia="黑体"/>
                <w:b/>
                <w:sz w:val="24"/>
                <w:szCs w:val="24"/>
              </w:rPr>
              <w:t xml:space="preserve"> </w:t>
            </w:r>
            <w:r>
              <w:rPr>
                <w:rFonts w:ascii="黑体" w:eastAsia="黑体" w:hint="eastAsia"/>
                <w:b/>
                <w:sz w:val="24"/>
                <w:szCs w:val="24"/>
              </w:rPr>
              <w:t>节</w:t>
            </w:r>
            <w:r>
              <w:rPr>
                <w:rFonts w:ascii="黑体" w:eastAsia="黑体"/>
                <w:b/>
                <w:sz w:val="24"/>
                <w:szCs w:val="24"/>
              </w:rPr>
              <w:t xml:space="preserve"> </w:t>
            </w:r>
            <w:r>
              <w:rPr>
                <w:rFonts w:ascii="黑体" w:eastAsia="黑体" w:hint="eastAsia"/>
                <w:b/>
                <w:sz w:val="24"/>
                <w:szCs w:val="24"/>
              </w:rPr>
              <w:t>的</w:t>
            </w:r>
            <w:r>
              <w:rPr>
                <w:rFonts w:ascii="黑体" w:eastAsia="黑体"/>
                <w:b/>
                <w:sz w:val="24"/>
                <w:szCs w:val="24"/>
              </w:rPr>
              <w:t xml:space="preserve"> </w:t>
            </w:r>
            <w:r>
              <w:rPr>
                <w:rFonts w:ascii="黑体" w:eastAsia="黑体" w:hint="eastAsia"/>
                <w:b/>
                <w:sz w:val="24"/>
                <w:szCs w:val="24"/>
              </w:rPr>
              <w:t>质</w:t>
            </w:r>
            <w:r>
              <w:rPr>
                <w:rFonts w:ascii="黑体" w:eastAsia="黑体"/>
                <w:b/>
                <w:sz w:val="24"/>
                <w:szCs w:val="24"/>
              </w:rPr>
              <w:t xml:space="preserve"> </w:t>
            </w:r>
            <w:r>
              <w:rPr>
                <w:rFonts w:ascii="黑体" w:eastAsia="黑体" w:hint="eastAsia"/>
                <w:b/>
                <w:sz w:val="24"/>
                <w:szCs w:val="24"/>
              </w:rPr>
              <w:t>量</w:t>
            </w:r>
            <w:r>
              <w:rPr>
                <w:rFonts w:ascii="黑体" w:eastAsia="黑体"/>
                <w:b/>
                <w:sz w:val="24"/>
                <w:szCs w:val="24"/>
              </w:rPr>
              <w:t xml:space="preserve"> </w:t>
            </w:r>
            <w:r>
              <w:rPr>
                <w:rFonts w:ascii="黑体" w:eastAsia="黑体" w:hint="eastAsia"/>
                <w:b/>
                <w:sz w:val="24"/>
                <w:szCs w:val="24"/>
              </w:rPr>
              <w:t>标</w:t>
            </w:r>
            <w:r>
              <w:rPr>
                <w:rFonts w:ascii="黑体" w:eastAsia="黑体"/>
                <w:b/>
                <w:sz w:val="24"/>
                <w:szCs w:val="24"/>
              </w:rPr>
              <w:t xml:space="preserve"> </w:t>
            </w:r>
            <w:r>
              <w:rPr>
                <w:rFonts w:ascii="黑体" w:eastAsia="黑体" w:hint="eastAsia"/>
                <w:b/>
                <w:sz w:val="24"/>
                <w:szCs w:val="24"/>
              </w:rPr>
              <w:t>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熟悉教材各章节内容和相互关系，依据教学大纲编写统一的授课计划，并编写相应的授课教案。教案内容包括章节标题、教学目的、教法设计、课堂类型、时间分配、授课内容、课后作业等方面；</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在充分了解学生的基础上，结合课程各章节特点适当采用讲练结合的方式，合理运用多媒体教学手段讲授部分教学内容；</w:t>
            </w:r>
            <w:r>
              <w:rPr>
                <w:rFonts w:ascii="Times New Roman" w:hAnsi="宋体"/>
                <w:kern w:val="0"/>
                <w:sz w:val="22"/>
              </w:rPr>
              <w:t xml:space="preserve"> </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确定各章节课程内容的教学方法，构思授课思路、技巧和方法。</w:t>
            </w:r>
          </w:p>
        </w:tc>
      </w:tr>
      <w:tr w:rsidR="003717A0">
        <w:trPr>
          <w:cantSplit/>
          <w:trHeight w:val="3110"/>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讲</w:t>
            </w:r>
            <w:r>
              <w:rPr>
                <w:rFonts w:ascii="黑体" w:eastAsia="黑体"/>
                <w:b/>
                <w:sz w:val="24"/>
                <w:szCs w:val="24"/>
              </w:rPr>
              <w:t xml:space="preserve">      </w:t>
            </w:r>
            <w:r>
              <w:rPr>
                <w:rFonts w:ascii="黑体" w:eastAsia="黑体" w:hint="eastAsia"/>
                <w:b/>
                <w:sz w:val="24"/>
                <w:szCs w:val="24"/>
              </w:rPr>
              <w:t>授</w:t>
            </w:r>
          </w:p>
        </w:tc>
        <w:tc>
          <w:tcPr>
            <w:tcW w:w="8461" w:type="dxa"/>
            <w:gridSpan w:val="2"/>
            <w:vAlign w:val="center"/>
          </w:tcPr>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针对本课程概念性强的特点，授课时注重基本概念的讲解，通过了解概念背景、分析概念提出的过程，让学生容易接受这些概念。</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针对本课程逻辑性强的特点，授课时注意条理清晰、推理正确、重点突出，同时设置适当的坡度，理论讲解应循序渐进。</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针对本课程抽象性强的特点，授课时要多联系实际问题，引导学生分析问题，从实际问题中抓住其现象和本质并予以提炼抽象。</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针对本课程应用性强的特点，适当列举实际应用案例，使学生了解并掌握数学的用处，增加课程学习的兴趣。</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5. </w:t>
            </w:r>
            <w:r>
              <w:rPr>
                <w:rFonts w:ascii="Times New Roman" w:hAnsi="宋体" w:hint="eastAsia"/>
                <w:kern w:val="0"/>
                <w:sz w:val="22"/>
              </w:rPr>
              <w:t>根据不同章节的教学内容，采用多种教学方式，注重培养学生的数学思维，提高学生发现、分析和解决问题的能力，以便让学生能体会和领略学科研究的思路和方法。</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6. </w:t>
            </w:r>
            <w:r>
              <w:rPr>
                <w:rFonts w:ascii="Times New Roman" w:hAnsi="宋体" w:hint="eastAsia"/>
                <w:kern w:val="0"/>
                <w:sz w:val="22"/>
              </w:rPr>
              <w:t>加强课堂练习和课后作业等环节的管理，以锻炼、增强学生动手解决问题的能力。</w:t>
            </w:r>
          </w:p>
          <w:p w:rsidR="003717A0" w:rsidRDefault="003717A0">
            <w:pPr>
              <w:autoSpaceDE w:val="0"/>
              <w:autoSpaceDN w:val="0"/>
              <w:adjustRightInd w:val="0"/>
              <w:snapToGrid w:val="0"/>
              <w:spacing w:line="360" w:lineRule="exact"/>
            </w:pPr>
            <w:r>
              <w:rPr>
                <w:rFonts w:ascii="Times New Roman" w:hAnsi="宋体"/>
                <w:kern w:val="0"/>
                <w:sz w:val="22"/>
              </w:rPr>
              <w:t xml:space="preserve">7. </w:t>
            </w:r>
            <w:r>
              <w:rPr>
                <w:rFonts w:ascii="Times New Roman" w:hAnsi="宋体" w:hint="eastAsia"/>
                <w:kern w:val="0"/>
                <w:sz w:val="22"/>
              </w:rPr>
              <w:t>表达方式尽量便于学生理解、接受，力求形象生动，使学生在掌握知识的过程中，保持较为浓厚的兴趣。</w:t>
            </w:r>
          </w:p>
        </w:tc>
      </w:tr>
      <w:tr w:rsidR="003717A0">
        <w:trPr>
          <w:gridAfter w:val="1"/>
          <w:wAfter w:w="26" w:type="dxa"/>
          <w:cantSplit/>
          <w:trHeight w:val="4379"/>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lastRenderedPageBreak/>
              <w:t>主</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环</w:t>
            </w:r>
            <w:r>
              <w:rPr>
                <w:rFonts w:ascii="黑体" w:eastAsia="黑体"/>
                <w:b/>
                <w:sz w:val="24"/>
                <w:szCs w:val="24"/>
              </w:rPr>
              <w:t xml:space="preserve"> </w:t>
            </w:r>
            <w:r>
              <w:rPr>
                <w:rFonts w:ascii="黑体" w:eastAsia="黑体" w:hint="eastAsia"/>
                <w:b/>
                <w:sz w:val="24"/>
                <w:szCs w:val="24"/>
              </w:rPr>
              <w:t>节</w:t>
            </w:r>
            <w:r>
              <w:rPr>
                <w:rFonts w:ascii="黑体" w:eastAsia="黑体"/>
                <w:b/>
                <w:sz w:val="24"/>
                <w:szCs w:val="24"/>
              </w:rPr>
              <w:t xml:space="preserve"> </w:t>
            </w:r>
            <w:r>
              <w:rPr>
                <w:rFonts w:ascii="黑体" w:eastAsia="黑体" w:hint="eastAsia"/>
                <w:b/>
                <w:sz w:val="24"/>
                <w:szCs w:val="24"/>
              </w:rPr>
              <w:t>的</w:t>
            </w:r>
            <w:r>
              <w:rPr>
                <w:rFonts w:ascii="黑体" w:eastAsia="黑体"/>
                <w:b/>
                <w:sz w:val="24"/>
                <w:szCs w:val="24"/>
              </w:rPr>
              <w:t xml:space="preserve"> </w:t>
            </w:r>
            <w:r>
              <w:rPr>
                <w:rFonts w:ascii="黑体" w:eastAsia="黑体" w:hint="eastAsia"/>
                <w:b/>
                <w:sz w:val="24"/>
                <w:szCs w:val="24"/>
              </w:rPr>
              <w:t>质</w:t>
            </w:r>
            <w:r>
              <w:rPr>
                <w:rFonts w:ascii="黑体" w:eastAsia="黑体"/>
                <w:b/>
                <w:sz w:val="24"/>
                <w:szCs w:val="24"/>
              </w:rPr>
              <w:t xml:space="preserve"> </w:t>
            </w:r>
            <w:r>
              <w:rPr>
                <w:rFonts w:ascii="黑体" w:eastAsia="黑体" w:hint="eastAsia"/>
                <w:b/>
                <w:sz w:val="24"/>
                <w:szCs w:val="24"/>
              </w:rPr>
              <w:t>量</w:t>
            </w:r>
            <w:r>
              <w:rPr>
                <w:rFonts w:ascii="黑体" w:eastAsia="黑体"/>
                <w:b/>
                <w:sz w:val="24"/>
                <w:szCs w:val="24"/>
              </w:rPr>
              <w:t xml:space="preserve"> </w:t>
            </w:r>
            <w:r>
              <w:rPr>
                <w:rFonts w:ascii="黑体" w:eastAsia="黑体" w:hint="eastAsia"/>
                <w:b/>
                <w:sz w:val="24"/>
                <w:szCs w:val="24"/>
              </w:rPr>
              <w:t>标</w:t>
            </w:r>
            <w:r>
              <w:rPr>
                <w:rFonts w:ascii="黑体" w:eastAsia="黑体"/>
                <w:b/>
                <w:sz w:val="24"/>
                <w:szCs w:val="24"/>
              </w:rPr>
              <w:t xml:space="preserve"> </w:t>
            </w:r>
            <w:r>
              <w:rPr>
                <w:rFonts w:ascii="黑体" w:eastAsia="黑体" w:hint="eastAsia"/>
                <w:b/>
                <w:sz w:val="24"/>
                <w:szCs w:val="24"/>
              </w:rPr>
              <w:t>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w:t>
            </w:r>
            <w:r>
              <w:rPr>
                <w:rFonts w:ascii="黑体" w:eastAsia="黑体"/>
                <w:b/>
                <w:sz w:val="24"/>
                <w:szCs w:val="24"/>
              </w:rPr>
              <w:t xml:space="preserve"> </w:t>
            </w:r>
            <w:r>
              <w:rPr>
                <w:rFonts w:ascii="黑体" w:eastAsia="黑体" w:hint="eastAsia"/>
                <w:b/>
                <w:sz w:val="24"/>
                <w:szCs w:val="24"/>
              </w:rPr>
              <w:t>业</w:t>
            </w:r>
            <w:r>
              <w:rPr>
                <w:rFonts w:ascii="黑体" w:eastAsia="黑体"/>
                <w:b/>
                <w:sz w:val="24"/>
                <w:szCs w:val="24"/>
              </w:rPr>
              <w:t xml:space="preserve"> </w:t>
            </w:r>
            <w:r>
              <w:rPr>
                <w:rFonts w:ascii="黑体" w:eastAsia="黑体" w:hint="eastAsia"/>
                <w:b/>
                <w:sz w:val="24"/>
                <w:szCs w:val="24"/>
              </w:rPr>
              <w:t>布</w:t>
            </w:r>
            <w:r>
              <w:rPr>
                <w:rFonts w:ascii="黑体" w:eastAsia="黑体"/>
                <w:b/>
                <w:sz w:val="24"/>
                <w:szCs w:val="24"/>
              </w:rPr>
              <w:t xml:space="preserve"> </w:t>
            </w:r>
            <w:r>
              <w:rPr>
                <w:rFonts w:ascii="黑体" w:eastAsia="黑体" w:hint="eastAsia"/>
                <w:b/>
                <w:sz w:val="24"/>
                <w:szCs w:val="24"/>
              </w:rPr>
              <w:t>置</w:t>
            </w:r>
            <w:r>
              <w:rPr>
                <w:rFonts w:ascii="黑体" w:eastAsia="黑体"/>
                <w:b/>
                <w:sz w:val="24"/>
                <w:szCs w:val="24"/>
              </w:rPr>
              <w:t xml:space="preserve"> </w:t>
            </w:r>
            <w:r>
              <w:rPr>
                <w:rFonts w:ascii="黑体" w:eastAsia="黑体" w:hint="eastAsia"/>
                <w:b/>
                <w:sz w:val="24"/>
                <w:szCs w:val="24"/>
              </w:rPr>
              <w:t>与</w:t>
            </w:r>
            <w:r>
              <w:rPr>
                <w:rFonts w:ascii="黑体" w:eastAsia="黑体"/>
                <w:b/>
                <w:sz w:val="24"/>
                <w:szCs w:val="24"/>
              </w:rPr>
              <w:t xml:space="preserve"> </w:t>
            </w:r>
            <w:r>
              <w:rPr>
                <w:rFonts w:ascii="黑体" w:eastAsia="黑体" w:hint="eastAsia"/>
                <w:b/>
                <w:sz w:val="24"/>
                <w:szCs w:val="24"/>
              </w:rPr>
              <w:t>批</w:t>
            </w:r>
            <w:r>
              <w:rPr>
                <w:rFonts w:ascii="黑体" w:eastAsia="黑体"/>
                <w:b/>
                <w:sz w:val="24"/>
                <w:szCs w:val="24"/>
              </w:rPr>
              <w:t xml:space="preserve"> </w:t>
            </w:r>
            <w:r>
              <w:rPr>
                <w:rFonts w:ascii="黑体" w:eastAsia="黑体" w:hint="eastAsia"/>
                <w:b/>
                <w:sz w:val="24"/>
                <w:szCs w:val="24"/>
              </w:rPr>
              <w:t>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hint="eastAsia"/>
                <w:kern w:val="0"/>
                <w:sz w:val="22"/>
              </w:rPr>
              <w:t>学生必须完成一定数量的作业题，是本课程教学的基本要求，是实现人才培养目标的必要手段。本课程作业布置的要求：每次课（</w:t>
            </w:r>
            <w:r>
              <w:rPr>
                <w:rFonts w:ascii="Times New Roman" w:hAnsi="宋体"/>
                <w:kern w:val="0"/>
                <w:sz w:val="22"/>
              </w:rPr>
              <w:t>2</w:t>
            </w:r>
            <w:r>
              <w:rPr>
                <w:rFonts w:ascii="Times New Roman" w:hAnsi="宋体" w:hint="eastAsia"/>
                <w:kern w:val="0"/>
                <w:sz w:val="22"/>
              </w:rPr>
              <w:t>学时）后都布置相应的课后作业习题，习题量应根据不同教学内容和环节进行适量布置，基础训练时需适当增加习题量。</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hint="eastAsia"/>
                <w:kern w:val="0"/>
                <w:sz w:val="22"/>
              </w:rPr>
              <w:t>学生完成的作业必须达到以下基本要求：</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作业本规范，书写清晰，制证、登账、编表按规定和规范处理；</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解题方法和步骤合理、规范，能及时改正解题中的错误。</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hint="eastAsia"/>
                <w:kern w:val="0"/>
                <w:sz w:val="22"/>
              </w:rPr>
              <w:t>教师批改或讲评作业的数量和次数要求如下：</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教师至少要详细批改二分之一学生的作业，其余作业可以略批，同时作业的详略批改情况要交替进行；</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学生的作业按时批改，以便及时、准确地讲评学生作业中的错误，准确找到学生作业的问题所在，以便充分了解学生；</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教师批改或讲评作业要认真、细致，每次批改或讲评作业后，按优、良、中、及格、不及格或</w:t>
            </w:r>
            <w:r>
              <w:rPr>
                <w:rFonts w:ascii="Times New Roman" w:hAnsi="宋体"/>
                <w:kern w:val="0"/>
                <w:sz w:val="22"/>
              </w:rPr>
              <w:t>A</w:t>
            </w:r>
            <w:r>
              <w:rPr>
                <w:rFonts w:ascii="Times New Roman" w:hAnsi="宋体" w:hint="eastAsia"/>
                <w:kern w:val="0"/>
                <w:sz w:val="22"/>
              </w:rPr>
              <w:t>、</w:t>
            </w:r>
            <w:r>
              <w:rPr>
                <w:rFonts w:ascii="Times New Roman" w:hAnsi="宋体"/>
                <w:kern w:val="0"/>
                <w:sz w:val="22"/>
              </w:rPr>
              <w:t>B</w:t>
            </w:r>
            <w:r>
              <w:rPr>
                <w:rFonts w:ascii="Times New Roman" w:hAnsi="宋体" w:hint="eastAsia"/>
                <w:kern w:val="0"/>
                <w:sz w:val="22"/>
              </w:rPr>
              <w:t>、</w:t>
            </w:r>
            <w:r>
              <w:rPr>
                <w:rFonts w:ascii="Times New Roman" w:hAnsi="宋体"/>
                <w:kern w:val="0"/>
                <w:sz w:val="22"/>
              </w:rPr>
              <w:t>C</w:t>
            </w:r>
            <w:r>
              <w:rPr>
                <w:rFonts w:ascii="Times New Roman" w:hAnsi="宋体" w:hint="eastAsia"/>
                <w:kern w:val="0"/>
                <w:sz w:val="22"/>
              </w:rPr>
              <w:t>、</w:t>
            </w:r>
            <w:r>
              <w:rPr>
                <w:rFonts w:ascii="Times New Roman" w:hAnsi="宋体"/>
                <w:kern w:val="0"/>
                <w:sz w:val="22"/>
              </w:rPr>
              <w:t>D</w:t>
            </w:r>
            <w:r>
              <w:rPr>
                <w:rFonts w:ascii="Times New Roman" w:hAnsi="宋体" w:hint="eastAsia"/>
                <w:kern w:val="0"/>
                <w:sz w:val="22"/>
              </w:rPr>
              <w:t>、</w:t>
            </w:r>
            <w:r>
              <w:rPr>
                <w:rFonts w:ascii="Times New Roman" w:hAnsi="宋体"/>
                <w:kern w:val="0"/>
                <w:sz w:val="22"/>
              </w:rPr>
              <w:t>E</w:t>
            </w:r>
            <w:r>
              <w:rPr>
                <w:rFonts w:ascii="Times New Roman" w:hAnsi="宋体" w:hint="eastAsia"/>
                <w:kern w:val="0"/>
                <w:sz w:val="22"/>
              </w:rPr>
              <w:t>五级分制评定成绩，并注明日期；</w:t>
            </w:r>
          </w:p>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hint="eastAsia"/>
                <w:kern w:val="0"/>
                <w:sz w:val="22"/>
              </w:rPr>
              <w:t>为直接了解学生的学习情况，帮助学生进一步理解和消化课堂上所学知识、改进学习方法和思维方式，培养其独立思考问题的能力，建议任课教师安排时间进行课外答疑与辅导工作，同时期末复习阶段增加答疑辅导时间。</w:t>
            </w:r>
          </w:p>
        </w:tc>
      </w:tr>
      <w:tr w:rsidR="003717A0">
        <w:trPr>
          <w:gridAfter w:val="1"/>
          <w:wAfter w:w="26" w:type="dxa"/>
          <w:cantSplit/>
          <w:trHeight w:val="294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w:t>
            </w:r>
            <w:r>
              <w:rPr>
                <w:rFonts w:ascii="黑体" w:eastAsia="黑体"/>
                <w:b/>
                <w:sz w:val="24"/>
                <w:szCs w:val="24"/>
              </w:rPr>
              <w:t xml:space="preserve"> </w:t>
            </w:r>
            <w:r>
              <w:rPr>
                <w:rFonts w:ascii="黑体" w:eastAsia="黑体" w:hint="eastAsia"/>
                <w:b/>
                <w:sz w:val="24"/>
                <w:szCs w:val="24"/>
              </w:rPr>
              <w:t>绩</w:t>
            </w:r>
            <w:r>
              <w:rPr>
                <w:rFonts w:ascii="黑体" w:eastAsia="黑体"/>
                <w:b/>
                <w:sz w:val="24"/>
                <w:szCs w:val="24"/>
              </w:rPr>
              <w:t xml:space="preserve"> </w:t>
            </w:r>
            <w:r>
              <w:rPr>
                <w:rFonts w:ascii="黑体" w:eastAsia="黑体" w:hint="eastAsia"/>
                <w:b/>
                <w:sz w:val="24"/>
                <w:szCs w:val="24"/>
              </w:rPr>
              <w:t>考</w:t>
            </w:r>
            <w:r>
              <w:rPr>
                <w:rFonts w:ascii="黑体" w:eastAsia="黑体"/>
                <w:b/>
                <w:sz w:val="24"/>
                <w:szCs w:val="24"/>
              </w:rPr>
              <w:t xml:space="preserve"> </w:t>
            </w:r>
            <w:r>
              <w:rPr>
                <w:rFonts w:ascii="黑体" w:eastAsia="黑体" w:hint="eastAsia"/>
                <w:b/>
                <w:sz w:val="24"/>
                <w:szCs w:val="24"/>
              </w:rPr>
              <w:t>核</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rPr>
                <w:rFonts w:ascii="Times New Roman" w:hAnsi="宋体"/>
                <w:kern w:val="0"/>
                <w:sz w:val="22"/>
              </w:rPr>
            </w:pPr>
            <w:r>
              <w:rPr>
                <w:rFonts w:ascii="Times New Roman" w:hAnsi="宋体" w:hint="eastAsia"/>
                <w:kern w:val="0"/>
                <w:sz w:val="22"/>
              </w:rPr>
              <w:t>本课程为学期课程，成绩考核的方式：考试。考试时实行同一专业统考，即统一命题，统一考试，统一阅卷。考试学期总评成绩的评定方法如下：</w:t>
            </w:r>
          </w:p>
          <w:p w:rsidR="003717A0" w:rsidRDefault="003717A0">
            <w:pPr>
              <w:autoSpaceDE w:val="0"/>
              <w:autoSpaceDN w:val="0"/>
              <w:adjustRightInd w:val="0"/>
              <w:snapToGrid w:val="0"/>
              <w:spacing w:line="360" w:lineRule="exact"/>
              <w:ind w:firstLineChars="16" w:firstLine="35"/>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平时成绩占总评成绩的</w:t>
            </w:r>
            <w:r>
              <w:rPr>
                <w:rFonts w:ascii="Times New Roman" w:hAnsi="宋体"/>
                <w:kern w:val="0"/>
                <w:sz w:val="22"/>
              </w:rPr>
              <w:t>30%</w:t>
            </w:r>
            <w:r>
              <w:rPr>
                <w:rFonts w:ascii="Times New Roman" w:hAnsi="宋体" w:hint="eastAsia"/>
                <w:kern w:val="0"/>
                <w:sz w:val="22"/>
              </w:rPr>
              <w:t>。其中包括平时作业、出勤情况、课堂练习和课堂表现；</w:t>
            </w:r>
          </w:p>
          <w:p w:rsidR="003717A0" w:rsidRDefault="003717A0">
            <w:pPr>
              <w:autoSpaceDE w:val="0"/>
              <w:autoSpaceDN w:val="0"/>
              <w:adjustRightInd w:val="0"/>
              <w:snapToGrid w:val="0"/>
              <w:spacing w:line="360" w:lineRule="exact"/>
              <w:ind w:firstLineChars="16" w:firstLine="35"/>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期末考试成绩占总评成绩的</w:t>
            </w:r>
            <w:r>
              <w:rPr>
                <w:rFonts w:ascii="Times New Roman" w:hAnsi="宋体"/>
                <w:kern w:val="0"/>
                <w:sz w:val="22"/>
              </w:rPr>
              <w:t>70%</w:t>
            </w:r>
            <w:r>
              <w:rPr>
                <w:rFonts w:ascii="Times New Roman" w:hAnsi="宋体" w:hint="eastAsia"/>
                <w:kern w:val="0"/>
                <w:sz w:val="22"/>
              </w:rPr>
              <w:t>；</w:t>
            </w:r>
          </w:p>
          <w:p w:rsidR="003717A0" w:rsidRDefault="003717A0">
            <w:pPr>
              <w:autoSpaceDE w:val="0"/>
              <w:autoSpaceDN w:val="0"/>
              <w:adjustRightInd w:val="0"/>
              <w:snapToGrid w:val="0"/>
              <w:spacing w:line="360" w:lineRule="exact"/>
              <w:ind w:firstLineChars="16" w:firstLine="35"/>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有下列情况之一者，总评成绩为不及格：</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）缺交作业次数达</w:t>
            </w:r>
            <w:r>
              <w:rPr>
                <w:rFonts w:ascii="Times New Roman" w:hAnsi="宋体"/>
                <w:kern w:val="0"/>
                <w:sz w:val="22"/>
              </w:rPr>
              <w:t>1/3</w:t>
            </w:r>
            <w:r>
              <w:rPr>
                <w:rFonts w:ascii="Times New Roman" w:hAnsi="宋体" w:hint="eastAsia"/>
                <w:kern w:val="0"/>
                <w:sz w:val="22"/>
              </w:rPr>
              <w:t>以上者；</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1/3</w:t>
            </w:r>
            <w:r>
              <w:rPr>
                <w:rFonts w:ascii="Times New Roman" w:hAnsi="宋体" w:hint="eastAsia"/>
                <w:kern w:val="0"/>
                <w:sz w:val="22"/>
              </w:rPr>
              <w:t>以上者。</w:t>
            </w:r>
          </w:p>
        </w:tc>
      </w:tr>
      <w:tr w:rsidR="003717A0">
        <w:trPr>
          <w:gridAfter w:val="1"/>
          <w:wAfter w:w="26" w:type="dxa"/>
          <w:cantSplit/>
          <w:trHeight w:val="1359"/>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w:t>
            </w:r>
            <w:r>
              <w:rPr>
                <w:rFonts w:ascii="黑体" w:eastAsia="黑体"/>
                <w:b/>
                <w:sz w:val="24"/>
                <w:szCs w:val="24"/>
              </w:rPr>
              <w:t xml:space="preserve"> </w:t>
            </w:r>
            <w:r>
              <w:rPr>
                <w:rFonts w:ascii="黑体" w:eastAsia="黑体" w:hint="eastAsia"/>
                <w:b/>
                <w:sz w:val="24"/>
                <w:szCs w:val="24"/>
              </w:rPr>
              <w:t>二</w:t>
            </w:r>
            <w:r>
              <w:rPr>
                <w:rFonts w:ascii="黑体" w:eastAsia="黑体"/>
                <w:b/>
                <w:sz w:val="24"/>
                <w:szCs w:val="24"/>
              </w:rPr>
              <w:t xml:space="preserve"> </w:t>
            </w:r>
            <w:r>
              <w:rPr>
                <w:rFonts w:ascii="黑体" w:eastAsia="黑体" w:hint="eastAsia"/>
                <w:b/>
                <w:sz w:val="24"/>
                <w:szCs w:val="24"/>
              </w:rPr>
              <w:t>课</w:t>
            </w:r>
            <w:r>
              <w:rPr>
                <w:rFonts w:ascii="黑体" w:eastAsia="黑体"/>
                <w:b/>
                <w:sz w:val="24"/>
                <w:szCs w:val="24"/>
              </w:rPr>
              <w:t xml:space="preserve"> </w:t>
            </w:r>
            <w:r>
              <w:rPr>
                <w:rFonts w:ascii="黑体" w:eastAsia="黑体" w:hint="eastAsia"/>
                <w:b/>
                <w:sz w:val="24"/>
                <w:szCs w:val="24"/>
              </w:rPr>
              <w:t>堂</w:t>
            </w:r>
            <w:r>
              <w:rPr>
                <w:rFonts w:ascii="黑体" w:eastAsia="黑体"/>
                <w:b/>
                <w:sz w:val="24"/>
                <w:szCs w:val="24"/>
              </w:rPr>
              <w:t xml:space="preserve"> </w:t>
            </w:r>
            <w:r>
              <w:rPr>
                <w:rFonts w:ascii="黑体" w:eastAsia="黑体" w:hint="eastAsia"/>
                <w:b/>
                <w:sz w:val="24"/>
                <w:szCs w:val="24"/>
              </w:rPr>
              <w:t>活</w:t>
            </w:r>
            <w:r>
              <w:rPr>
                <w:rFonts w:ascii="黑体" w:eastAsia="黑体"/>
                <w:b/>
                <w:sz w:val="24"/>
                <w:szCs w:val="24"/>
              </w:rPr>
              <w:t xml:space="preserve"> </w:t>
            </w:r>
            <w:r>
              <w:rPr>
                <w:rFonts w:ascii="黑体" w:eastAsia="黑体" w:hint="eastAsia"/>
                <w:b/>
                <w:sz w:val="24"/>
                <w:szCs w:val="24"/>
              </w:rPr>
              <w:t>动</w:t>
            </w:r>
          </w:p>
        </w:tc>
        <w:tc>
          <w:tcPr>
            <w:tcW w:w="8458" w:type="dxa"/>
            <w:gridSpan w:val="2"/>
            <w:vAlign w:val="center"/>
          </w:tcPr>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选拔优秀的学生参加高等数学竞赛活动。</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鼓励优秀的学生在教师的带领下参与申报与本课程相关的大学生创新项目。</w:t>
            </w:r>
          </w:p>
          <w:p w:rsidR="003717A0" w:rsidRDefault="003717A0">
            <w:pPr>
              <w:autoSpaceDE w:val="0"/>
              <w:autoSpaceDN w:val="0"/>
              <w:adjustRightInd w:val="0"/>
              <w:snapToGrid w:val="0"/>
              <w:spacing w:line="360" w:lineRule="exac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鼓励学生将《医用高等数学》知识应用于自己所学医学学科专业。</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r>
        <w:rPr>
          <w:rFonts w:ascii="黑体" w:eastAsia="黑体" w:cs="黑体" w:hint="eastAsia"/>
          <w:kern w:val="0"/>
          <w:sz w:val="18"/>
          <w:szCs w:val="18"/>
        </w:rPr>
        <w:t>制定人：郭晓君</w:t>
      </w:r>
    </w:p>
    <w:p w:rsidR="003717A0" w:rsidRDefault="003717A0">
      <w:pPr>
        <w:autoSpaceDE w:val="0"/>
        <w:autoSpaceDN w:val="0"/>
        <w:adjustRightInd w:val="0"/>
        <w:spacing w:line="360" w:lineRule="exact"/>
        <w:ind w:leftChars="2900" w:left="6090" w:firstLineChars="157" w:firstLine="283"/>
        <w:jc w:val="left"/>
        <w:rPr>
          <w:rFonts w:ascii="Times New Roman" w:hAnsi="Times New Roman"/>
          <w:kern w:val="0"/>
          <w:sz w:val="22"/>
        </w:rPr>
      </w:pPr>
      <w:r>
        <w:rPr>
          <w:rFonts w:ascii="黑体" w:eastAsia="黑体" w:cs="黑体" w:hint="eastAsia"/>
          <w:kern w:val="0"/>
          <w:sz w:val="18"/>
          <w:szCs w:val="18"/>
        </w:rPr>
        <w:t>审核人：高岩波</w:t>
      </w:r>
    </w:p>
    <w:p w:rsidR="003717A0" w:rsidRPr="00F5156D" w:rsidRDefault="003717A0">
      <w:pPr>
        <w:pStyle w:val="1"/>
        <w:rPr>
          <w:b/>
        </w:rPr>
      </w:pPr>
      <w:r>
        <w:br w:type="page"/>
      </w:r>
      <w:bookmarkStart w:id="36" w:name="_Toc469312984"/>
      <w:bookmarkStart w:id="37" w:name="_Toc471830696"/>
      <w:r w:rsidRPr="00F5156D">
        <w:rPr>
          <w:rFonts w:hint="eastAsia"/>
          <w:b/>
        </w:rPr>
        <w:lastRenderedPageBreak/>
        <w:t>《病理生理学》课程质量标准</w:t>
      </w:r>
      <w:bookmarkEnd w:id="36"/>
      <w:bookmarkEnd w:id="37"/>
    </w:p>
    <w:p w:rsidR="003717A0" w:rsidRPr="00F5156D" w:rsidRDefault="003717A0" w:rsidP="005E20B5">
      <w:pPr>
        <w:adjustRightInd w:val="0"/>
        <w:snapToGrid w:val="0"/>
        <w:spacing w:beforeLines="50" w:afterLines="50" w:line="400" w:lineRule="exact"/>
        <w:jc w:val="center"/>
        <w:rPr>
          <w:rFonts w:ascii="Times New Roman" w:eastAsia="黑体" w:hAnsi="Times New Roman"/>
          <w:b/>
          <w:kern w:val="0"/>
          <w:sz w:val="32"/>
          <w:szCs w:val="32"/>
        </w:rPr>
      </w:pPr>
      <w:r w:rsidRPr="00F5156D">
        <w:rPr>
          <w:rFonts w:ascii="Times New Roman" w:eastAsia="黑体" w:hAnsi="Times New Roman" w:hint="eastAsia"/>
          <w:b/>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病理生理学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Pathophysiology</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 xml:space="preserve">160065 </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三</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病理生理学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病理生理学</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rPr>
              <w:t>人民卫生出版社</w:t>
            </w:r>
            <w:r>
              <w:rPr>
                <w:rFonts w:hint="eastAsia"/>
                <w:sz w:val="22"/>
              </w:rPr>
              <w:t>，</w:t>
            </w:r>
            <w:r>
              <w:rPr>
                <w:sz w:val="22"/>
              </w:rPr>
              <w:t>2013</w:t>
            </w:r>
            <w:r>
              <w:rPr>
                <w:rFonts w:hint="eastAsia"/>
                <w:sz w:val="22"/>
              </w:rPr>
              <w:t>年</w:t>
            </w:r>
            <w:r>
              <w:rPr>
                <w:sz w:val="22"/>
              </w:rPr>
              <w:t>3</w:t>
            </w:r>
            <w:r>
              <w:rPr>
                <w:rFonts w:hint="eastAsia"/>
                <w:sz w:val="22"/>
              </w:rPr>
              <w:t>月第</w:t>
            </w:r>
            <w:r>
              <w:rPr>
                <w:sz w:val="22"/>
              </w:rPr>
              <w:t>8</w:t>
            </w:r>
            <w:r>
              <w:rPr>
                <w:rFonts w:hint="eastAsia"/>
                <w:sz w:val="22"/>
              </w:rPr>
              <w:t>版，书号：</w:t>
            </w:r>
            <w:r>
              <w:rPr>
                <w:sz w:val="22"/>
              </w:rPr>
              <w:t xml:space="preserve">ISBN </w:t>
            </w:r>
            <w:r>
              <w:t>978-7-117-17216-5/R 17217</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30%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70%</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刘</w:t>
            </w:r>
            <w:r>
              <w:rPr>
                <w:sz w:val="22"/>
              </w:rPr>
              <w:t xml:space="preserve"> </w:t>
            </w:r>
            <w:r>
              <w:rPr>
                <w:rFonts w:hint="eastAsia"/>
                <w:sz w:val="22"/>
              </w:rPr>
              <w:t>霞</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1991.8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施海燕</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1996.8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胡亚娥</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2000.8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朱</w:t>
            </w:r>
            <w:r>
              <w:rPr>
                <w:sz w:val="22"/>
              </w:rPr>
              <w:t xml:space="preserve"> </w:t>
            </w:r>
            <w:r>
              <w:rPr>
                <w:rFonts w:hint="eastAsia"/>
                <w:sz w:val="22"/>
              </w:rPr>
              <w:t>燕</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2000.8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茅家慧</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2001.8</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F5156D">
        <w:trPr>
          <w:jc w:val="center"/>
        </w:trPr>
        <w:tc>
          <w:tcPr>
            <w:tcW w:w="9286" w:type="dxa"/>
            <w:gridSpan w:val="10"/>
          </w:tcPr>
          <w:p w:rsidR="003717A0" w:rsidRPr="002078D1" w:rsidRDefault="003717A0" w:rsidP="002078D1">
            <w:pPr>
              <w:adjustRightInd w:val="0"/>
              <w:snapToGrid w:val="0"/>
              <w:spacing w:line="360" w:lineRule="exact"/>
              <w:ind w:firstLineChars="250" w:firstLine="525"/>
              <w:rPr>
                <w:rFonts w:ascii="Times New Roman" w:hAnsi="Times New Roman"/>
                <w:szCs w:val="21"/>
              </w:rPr>
            </w:pPr>
            <w:r w:rsidRPr="002078D1">
              <w:rPr>
                <w:rFonts w:hint="eastAsia"/>
                <w:szCs w:val="21"/>
              </w:rPr>
              <w:t>病理生理学是康复治疗学本科专业学生的专业基础必修课程和学位课程</w:t>
            </w:r>
            <w:r w:rsidRPr="002078D1">
              <w:rPr>
                <w:szCs w:val="21"/>
              </w:rPr>
              <w:t xml:space="preserve">, </w:t>
            </w:r>
            <w:r w:rsidRPr="002078D1">
              <w:rPr>
                <w:rFonts w:hint="eastAsia"/>
                <w:szCs w:val="21"/>
              </w:rPr>
              <w:t>它同时还肩负着基础医学课程到临床课程之间的桥梁作用。病理生理学是一门研究疾病发生、发展规律和机制的学科。通过本课程的教学，要求学生能达到：掌握疾病发生的原因和条件；掌握患病机体的功能、代谢的变化和原理以及这些变化的发生、发展和转归的规律，探讨疾病的本质，为疾病的防治提供理论和实验依据。从而为学习其他基础医学及临床医学课程打下良好的基础。本课程教学的主要路径与方法：（</w:t>
            </w:r>
            <w:r w:rsidRPr="002078D1">
              <w:rPr>
                <w:szCs w:val="21"/>
              </w:rPr>
              <w:t>1</w:t>
            </w:r>
            <w:r w:rsidRPr="002078D1">
              <w:rPr>
                <w:rFonts w:hint="eastAsia"/>
                <w:szCs w:val="21"/>
              </w:rPr>
              <w:t>）通过理论课堂讲解病理生理学的主要知识点，使学生掌握本课程的基本概念和知识，同时利用参考书和</w:t>
            </w:r>
            <w:r w:rsidRPr="002078D1">
              <w:rPr>
                <w:szCs w:val="21"/>
              </w:rPr>
              <w:t>blackboard</w:t>
            </w:r>
            <w:r w:rsidRPr="002078D1">
              <w:rPr>
                <w:rFonts w:hint="eastAsia"/>
                <w:szCs w:val="21"/>
              </w:rPr>
              <w:t>等网络平台，辅导学生逐步形成自主学习的能力；（</w:t>
            </w:r>
            <w:r w:rsidRPr="002078D1">
              <w:rPr>
                <w:szCs w:val="21"/>
              </w:rPr>
              <w:t>2</w:t>
            </w:r>
            <w:r w:rsidRPr="002078D1">
              <w:rPr>
                <w:rFonts w:hint="eastAsia"/>
                <w:szCs w:val="21"/>
              </w:rPr>
              <w:t>）利用校园网上数字化教学平台对病理生理学这门课程中的概念和知识点进行自学和复习。</w:t>
            </w:r>
          </w:p>
        </w:tc>
      </w:tr>
    </w:tbl>
    <w:p w:rsidR="003717A0" w:rsidRPr="00F5156D" w:rsidRDefault="003717A0" w:rsidP="005E20B5">
      <w:pPr>
        <w:adjustRightInd w:val="0"/>
        <w:snapToGrid w:val="0"/>
        <w:spacing w:beforeLines="50" w:afterLines="50" w:line="400" w:lineRule="exact"/>
        <w:jc w:val="center"/>
        <w:rPr>
          <w:rFonts w:ascii="Times New Roman" w:eastAsia="黑体" w:hAnsi="Times New Roman"/>
          <w:b/>
          <w:kern w:val="0"/>
          <w:sz w:val="32"/>
          <w:szCs w:val="32"/>
        </w:rPr>
      </w:pPr>
      <w:r w:rsidRPr="00F5156D">
        <w:rPr>
          <w:rFonts w:ascii="Times New Roman" w:eastAsia="黑体" w:hAnsi="Times New Roman" w:hint="eastAsia"/>
          <w:b/>
          <w:kern w:val="0"/>
          <w:sz w:val="32"/>
          <w:szCs w:val="32"/>
        </w:rPr>
        <w:lastRenderedPageBreak/>
        <w:t>二、课程教学大纲</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rPr>
          <w:rFonts w:ascii="Times New Roman" w:hAnsi="Times New Roman"/>
          <w:kern w:val="0"/>
          <w:szCs w:val="21"/>
        </w:rPr>
      </w:pPr>
      <w:r>
        <w:rPr>
          <w:rFonts w:ascii="Times New Roman" w:hAnsi="Times New Roman" w:hint="eastAsia"/>
          <w:kern w:val="0"/>
          <w:szCs w:val="21"/>
        </w:rPr>
        <w:t>适应对象：本科层次，康复治疗学专业</w:t>
      </w:r>
    </w:p>
    <w:p w:rsidR="003717A0" w:rsidRDefault="003717A0">
      <w:pPr>
        <w:rPr>
          <w:rFonts w:ascii="Times New Roman" w:hAnsi="Times New Roman"/>
          <w:kern w:val="0"/>
          <w:szCs w:val="21"/>
        </w:rPr>
      </w:pPr>
      <w:r>
        <w:rPr>
          <w:rFonts w:ascii="Times New Roman" w:hAnsi="Times New Roman" w:hint="eastAsia"/>
          <w:kern w:val="0"/>
          <w:szCs w:val="21"/>
        </w:rPr>
        <w:t>课程代码：</w:t>
      </w:r>
      <w:r>
        <w:rPr>
          <w:sz w:val="22"/>
        </w:rPr>
        <w:t>160065</w:t>
      </w:r>
    </w:p>
    <w:p w:rsidR="003717A0" w:rsidRDefault="003717A0">
      <w:pPr>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36</w:t>
      </w:r>
      <w:r>
        <w:rPr>
          <w:rFonts w:ascii="Times New Roman" w:hAnsi="Times New Roman" w:hint="eastAsia"/>
          <w:kern w:val="0"/>
          <w:szCs w:val="21"/>
        </w:rPr>
        <w:t>学时（理论学时</w:t>
      </w:r>
      <w:r>
        <w:rPr>
          <w:rFonts w:ascii="Times New Roman" w:hAnsi="Times New Roman"/>
          <w:kern w:val="0"/>
          <w:szCs w:val="21"/>
        </w:rPr>
        <w:t>36</w:t>
      </w:r>
      <w:r>
        <w:rPr>
          <w:rFonts w:ascii="Times New Roman" w:hAnsi="Times New Roman" w:hint="eastAsia"/>
          <w:kern w:val="0"/>
          <w:szCs w:val="21"/>
        </w:rPr>
        <w:t>，实验学时</w:t>
      </w:r>
      <w:r>
        <w:rPr>
          <w:rFonts w:ascii="Times New Roman" w:hAnsi="Times New Roman"/>
          <w:kern w:val="0"/>
          <w:szCs w:val="21"/>
        </w:rPr>
        <w:t>0</w:t>
      </w:r>
      <w:r>
        <w:rPr>
          <w:rFonts w:ascii="Times New Roman" w:hAnsi="Times New Roman" w:hint="eastAsia"/>
          <w:kern w:val="0"/>
          <w:szCs w:val="21"/>
        </w:rPr>
        <w:t>）</w:t>
      </w:r>
    </w:p>
    <w:p w:rsidR="003717A0" w:rsidRDefault="003717A0">
      <w:pPr>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2</w:t>
      </w:r>
    </w:p>
    <w:p w:rsidR="003717A0" w:rsidRDefault="003717A0">
      <w:pPr>
        <w:rPr>
          <w:rFonts w:ascii="Times New Roman" w:hAnsi="Times New Roman"/>
          <w:kern w:val="0"/>
          <w:szCs w:val="21"/>
        </w:rPr>
      </w:pPr>
      <w:r>
        <w:rPr>
          <w:rFonts w:ascii="Times New Roman" w:hAnsi="Times New Roman" w:hint="eastAsia"/>
          <w:kern w:val="0"/>
          <w:szCs w:val="21"/>
        </w:rPr>
        <w:t>先修课程：生理学、病理解剖学</w:t>
      </w:r>
    </w:p>
    <w:p w:rsidR="003717A0" w:rsidRDefault="003717A0">
      <w:pPr>
        <w:rPr>
          <w:rFonts w:ascii="Times New Roman" w:hAnsi="Times New Roman"/>
          <w:kern w:val="0"/>
          <w:szCs w:val="21"/>
        </w:rPr>
      </w:pPr>
      <w:r>
        <w:rPr>
          <w:rFonts w:ascii="Times New Roman" w:hAnsi="Times New Roman" w:hint="eastAsia"/>
          <w:kern w:val="0"/>
          <w:szCs w:val="21"/>
        </w:rPr>
        <w:t>后续课程：后续的临床专业课程</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rsidP="002078D1">
      <w:pPr>
        <w:rPr>
          <w:rFonts w:ascii="宋体"/>
          <w:kern w:val="0"/>
          <w:szCs w:val="21"/>
        </w:rPr>
      </w:pPr>
      <w:r>
        <w:t xml:space="preserve">    </w:t>
      </w:r>
      <w:r>
        <w:rPr>
          <w:rFonts w:ascii="宋体" w:hAnsi="宋体" w:hint="eastAsia"/>
          <w:kern w:val="0"/>
          <w:szCs w:val="21"/>
        </w:rPr>
        <w:t>作为</w:t>
      </w:r>
      <w:r>
        <w:rPr>
          <w:rFonts w:ascii="Times New Roman" w:hAnsi="Times New Roman" w:hint="eastAsia"/>
          <w:kern w:val="0"/>
          <w:szCs w:val="21"/>
        </w:rPr>
        <w:t>康复治疗学</w:t>
      </w:r>
      <w:r>
        <w:rPr>
          <w:rFonts w:ascii="宋体" w:hAnsi="宋体" w:hint="eastAsia"/>
          <w:kern w:val="0"/>
          <w:szCs w:val="21"/>
        </w:rPr>
        <w:t>专业学生，以后</w:t>
      </w:r>
      <w:r>
        <w:rPr>
          <w:rFonts w:ascii="宋体" w:hAnsi="宋体" w:hint="eastAsia"/>
          <w:szCs w:val="21"/>
        </w:rPr>
        <w:t>在各学科的医学实践中，都需要用病理生理学的理论诠释疾病的发生发展规律，从而作出正确的诊断和改进防治措施。病理生理学的研究成果，使人们对疾病有更正确和更全面的认识，对疾病的防治不断改进和完善。</w:t>
      </w:r>
      <w:r>
        <w:rPr>
          <w:rFonts w:ascii="宋体" w:hAnsi="宋体" w:hint="eastAsia"/>
          <w:kern w:val="0"/>
          <w:szCs w:val="21"/>
        </w:rPr>
        <w:t>所以医学生首先要认识并掌握疾病状态下的功能代谢改变，才能为后续专业课程学习打下基础。</w:t>
      </w:r>
      <w:r>
        <w:rPr>
          <w:rFonts w:ascii="宋体" w:hAnsi="宋体" w:cs="宋体" w:hint="eastAsia"/>
          <w:kern w:val="0"/>
          <w:szCs w:val="21"/>
        </w:rPr>
        <w:t>本课程的内容可以分成三个部分，即疾病概论、基本病理过程以及各系统病理生理学</w:t>
      </w:r>
      <w:r>
        <w:rPr>
          <w:rFonts w:ascii="宋体" w:cs="宋体"/>
          <w:kern w:val="0"/>
          <w:szCs w:val="21"/>
        </w:rPr>
        <w:t>,</w:t>
      </w:r>
      <w:r>
        <w:rPr>
          <w:rFonts w:ascii="宋体" w:hAnsi="宋体"/>
          <w:kern w:val="0"/>
          <w:szCs w:val="21"/>
        </w:rPr>
        <w:t xml:space="preserve"> </w:t>
      </w:r>
      <w:r>
        <w:rPr>
          <w:rFonts w:ascii="宋体" w:hAnsi="宋体" w:hint="eastAsia"/>
          <w:kern w:val="0"/>
          <w:szCs w:val="21"/>
        </w:rPr>
        <w:t>是</w:t>
      </w:r>
      <w:r>
        <w:rPr>
          <w:rFonts w:ascii="Times New Roman" w:hAnsi="Times New Roman" w:hint="eastAsia"/>
          <w:kern w:val="0"/>
          <w:szCs w:val="21"/>
        </w:rPr>
        <w:t>康复治疗学</w:t>
      </w:r>
      <w:r>
        <w:rPr>
          <w:rFonts w:ascii="宋体" w:hAnsi="宋体" w:hint="eastAsia"/>
          <w:kern w:val="0"/>
          <w:szCs w:val="21"/>
        </w:rPr>
        <w:t>本科专业学生的专业基础必修课程和学位课程；使学生通过本课程的教学能达到：掌握</w:t>
      </w:r>
      <w:r>
        <w:rPr>
          <w:rFonts w:ascii="宋体" w:hAnsi="宋体" w:cs="宋体" w:hint="eastAsia"/>
          <w:kern w:val="0"/>
          <w:szCs w:val="21"/>
        </w:rPr>
        <w:t>关于各种疾病的普遍规律性问题，如疾病发生的原因和条件，疾病时稳态调节的紊乱及其规律，疾病的转归等</w:t>
      </w:r>
      <w:r>
        <w:rPr>
          <w:rFonts w:ascii="宋体" w:hAnsi="宋体" w:cs="宋体"/>
          <w:kern w:val="0"/>
          <w:szCs w:val="21"/>
        </w:rPr>
        <w:t xml:space="preserve">; </w:t>
      </w:r>
      <w:r>
        <w:rPr>
          <w:rFonts w:ascii="宋体" w:hAnsi="宋体" w:hint="eastAsia"/>
          <w:kern w:val="0"/>
          <w:szCs w:val="21"/>
        </w:rPr>
        <w:t>掌握</w:t>
      </w:r>
      <w:r>
        <w:rPr>
          <w:rFonts w:ascii="宋体" w:hAnsi="宋体" w:cs="宋体" w:hint="eastAsia"/>
          <w:kern w:val="0"/>
          <w:szCs w:val="21"/>
        </w:rPr>
        <w:t>不同器官、系统在许多不同疾病中可能出现的共同的、成套的病理变化，如水、电解质和酸碱平衡紊乱、缺氧、发热、播散性血管内凝血、休克等</w:t>
      </w:r>
      <w:r>
        <w:rPr>
          <w:rFonts w:ascii="宋体" w:hAnsi="宋体" w:cs="宋体"/>
          <w:kern w:val="0"/>
          <w:szCs w:val="21"/>
        </w:rPr>
        <w:t xml:space="preserve">; </w:t>
      </w:r>
      <w:r>
        <w:rPr>
          <w:rFonts w:ascii="宋体" w:hAnsi="宋体" w:hint="eastAsia"/>
          <w:kern w:val="0"/>
          <w:szCs w:val="21"/>
        </w:rPr>
        <w:t>掌握</w:t>
      </w:r>
      <w:r>
        <w:rPr>
          <w:rFonts w:ascii="宋体" w:hAnsi="宋体" w:cs="宋体" w:hint="eastAsia"/>
          <w:kern w:val="0"/>
          <w:szCs w:val="21"/>
        </w:rPr>
        <w:t>各系统的许多疾病在其发展过程中可能出现的一些常见的共同的病理生理变化，例如心血管系统的心力衰竭，呼吸系统的呼吸衰竭，肝胆系统的肝性脑病，泌尿系统的肾功能衰竭等。</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rPr>
          <w:rFonts w:ascii="Times New Roman" w:hAnsi="Times New Roman"/>
          <w:kern w:val="0"/>
          <w:szCs w:val="21"/>
        </w:rPr>
      </w:pPr>
      <w:r>
        <w:rPr>
          <w:rFonts w:ascii="Times New Roman" w:hAnsi="Times New Roman" w:hint="eastAsia"/>
          <w:kern w:val="0"/>
          <w:szCs w:val="21"/>
        </w:rPr>
        <w:t>通过本课程的学习，要求学生达到</w:t>
      </w:r>
      <w:r>
        <w:rPr>
          <w:rFonts w:ascii="宋体" w:hAnsi="宋体" w:hint="eastAsia"/>
          <w:kern w:val="0"/>
          <w:szCs w:val="21"/>
        </w:rPr>
        <w:t>掌握</w:t>
      </w:r>
      <w:r>
        <w:rPr>
          <w:rFonts w:ascii="宋体" w:hAnsi="宋体" w:cs="宋体" w:hint="eastAsia"/>
          <w:kern w:val="0"/>
          <w:szCs w:val="21"/>
        </w:rPr>
        <w:t>关于各种疾病的普遍规律性问题</w:t>
      </w:r>
      <w:r>
        <w:rPr>
          <w:rFonts w:ascii="Times New Roman" w:hAnsi="Times New Roman" w:hint="eastAsia"/>
          <w:kern w:val="0"/>
          <w:szCs w:val="21"/>
        </w:rPr>
        <w:t>，</w:t>
      </w:r>
      <w:r>
        <w:rPr>
          <w:rFonts w:ascii="宋体" w:hAnsi="宋体" w:hint="eastAsia"/>
          <w:kern w:val="0"/>
          <w:szCs w:val="21"/>
        </w:rPr>
        <w:t>掌握</w:t>
      </w:r>
      <w:r>
        <w:rPr>
          <w:rFonts w:ascii="宋体" w:hAnsi="宋体" w:cs="宋体" w:hint="eastAsia"/>
          <w:kern w:val="0"/>
          <w:szCs w:val="21"/>
        </w:rPr>
        <w:t>不同器官、系统在许多不同疾病中可能出现的共同的、成套的病理变化</w:t>
      </w:r>
      <w:r>
        <w:rPr>
          <w:rFonts w:ascii="宋体" w:cs="宋体"/>
          <w:kern w:val="0"/>
          <w:szCs w:val="21"/>
        </w:rPr>
        <w:t>,</w:t>
      </w:r>
      <w:r>
        <w:rPr>
          <w:rFonts w:ascii="宋体" w:hAnsi="宋体"/>
          <w:kern w:val="0"/>
          <w:szCs w:val="21"/>
        </w:rPr>
        <w:t xml:space="preserve"> </w:t>
      </w:r>
      <w:r>
        <w:rPr>
          <w:rFonts w:ascii="宋体" w:hAnsi="宋体" w:hint="eastAsia"/>
          <w:kern w:val="0"/>
          <w:szCs w:val="21"/>
        </w:rPr>
        <w:t>掌握</w:t>
      </w:r>
      <w:r>
        <w:rPr>
          <w:rFonts w:ascii="宋体" w:hAnsi="宋体" w:cs="宋体" w:hint="eastAsia"/>
          <w:kern w:val="0"/>
          <w:szCs w:val="21"/>
        </w:rPr>
        <w:t>各系统的许多疾病在其发展过程中可能出现的一些常见的共同的病理生理变化</w:t>
      </w:r>
      <w:r>
        <w:rPr>
          <w:rFonts w:ascii="Times New Roman" w:hAnsi="Times New Roman" w:hint="eastAsia"/>
          <w:kern w:val="0"/>
          <w:szCs w:val="21"/>
        </w:rPr>
        <w:t>；逐步培养学生收集资料和自主学习的能力、交流和辩论能力，注重培养学生分析问题和解决问题的能力。</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7A7CF2" w:rsidRPr="005D15DA" w:rsidRDefault="007A7CF2" w:rsidP="007A7CF2">
      <w:pPr>
        <w:rPr>
          <w:b/>
          <w:color w:val="000000"/>
          <w:sz w:val="22"/>
        </w:rPr>
      </w:pPr>
      <w:r w:rsidRPr="005D15DA">
        <w:rPr>
          <w:rFonts w:hint="eastAsia"/>
          <w:b/>
          <w:color w:val="000000"/>
          <w:sz w:val="22"/>
        </w:rPr>
        <w:t>第一章</w:t>
      </w:r>
      <w:r w:rsidRPr="005D15DA">
        <w:rPr>
          <w:b/>
          <w:color w:val="000000"/>
          <w:sz w:val="22"/>
        </w:rPr>
        <w:t xml:space="preserve">  </w:t>
      </w:r>
      <w:r w:rsidRPr="005D15DA">
        <w:rPr>
          <w:rFonts w:hint="eastAsia"/>
          <w:b/>
          <w:color w:val="000000"/>
          <w:sz w:val="22"/>
        </w:rPr>
        <w:t>绪论</w:t>
      </w:r>
    </w:p>
    <w:p w:rsidR="007A7CF2" w:rsidRPr="005D15DA" w:rsidRDefault="007A7CF2" w:rsidP="007A7CF2">
      <w:pPr>
        <w:rPr>
          <w:rFonts w:ascii="Times New Roman"/>
          <w:b/>
          <w:color w:val="000000"/>
          <w:sz w:val="22"/>
        </w:rPr>
      </w:pPr>
      <w:r w:rsidRPr="005D15DA">
        <w:rPr>
          <w:rFonts w:ascii="Times New Roman" w:hint="eastAsia"/>
          <w:b/>
          <w:color w:val="000000"/>
          <w:sz w:val="22"/>
        </w:rPr>
        <w:t>教学内容（</w:t>
      </w:r>
      <w:r w:rsidRPr="005D15DA">
        <w:rPr>
          <w:rFonts w:ascii="Times New Roman"/>
          <w:b/>
          <w:color w:val="000000"/>
          <w:sz w:val="22"/>
        </w:rPr>
        <w:t>0.5</w:t>
      </w:r>
      <w:r w:rsidRPr="005D15DA">
        <w:rPr>
          <w:rFonts w:ascii="Times New Roman" w:hint="eastAsia"/>
          <w:b/>
          <w:color w:val="000000"/>
          <w:sz w:val="22"/>
        </w:rPr>
        <w:t>学时）</w:t>
      </w:r>
    </w:p>
    <w:p w:rsidR="007A7CF2" w:rsidRPr="007A7CF2" w:rsidRDefault="007A7CF2" w:rsidP="007A7CF2">
      <w:pPr>
        <w:rPr>
          <w:color w:val="000000"/>
          <w:szCs w:val="21"/>
        </w:rPr>
      </w:pPr>
      <w:r w:rsidRPr="007A7CF2">
        <w:rPr>
          <w:rFonts w:hint="eastAsia"/>
          <w:color w:val="000000"/>
          <w:szCs w:val="21"/>
        </w:rPr>
        <w:t>1.</w:t>
      </w:r>
      <w:r w:rsidRPr="007A7CF2">
        <w:rPr>
          <w:rFonts w:hint="eastAsia"/>
          <w:color w:val="000000"/>
          <w:szCs w:val="21"/>
        </w:rPr>
        <w:t>病理生理学的概念、学科性质、任务、学科地位、主要内容。</w:t>
      </w:r>
    </w:p>
    <w:p w:rsidR="007A7CF2" w:rsidRPr="007A7CF2" w:rsidRDefault="007A7CF2" w:rsidP="007A7CF2">
      <w:pPr>
        <w:rPr>
          <w:color w:val="000000"/>
          <w:szCs w:val="21"/>
        </w:rPr>
      </w:pPr>
      <w:r w:rsidRPr="007A7CF2">
        <w:rPr>
          <w:rFonts w:hint="eastAsia"/>
          <w:color w:val="000000"/>
          <w:szCs w:val="21"/>
        </w:rPr>
        <w:t>2.</w:t>
      </w:r>
      <w:r w:rsidRPr="007A7CF2">
        <w:rPr>
          <w:rFonts w:hint="eastAsia"/>
          <w:color w:val="000000"/>
          <w:szCs w:val="21"/>
        </w:rPr>
        <w:t>病理过程与疾病的关系。</w:t>
      </w:r>
    </w:p>
    <w:p w:rsidR="007A7CF2" w:rsidRPr="007A7CF2" w:rsidRDefault="007A7CF2" w:rsidP="007A7CF2">
      <w:pPr>
        <w:rPr>
          <w:rFonts w:ascii="Times New Roman" w:hAnsi="Times New Roman"/>
          <w:color w:val="000000"/>
          <w:szCs w:val="21"/>
        </w:rPr>
      </w:pPr>
      <w:r w:rsidRPr="007A7CF2">
        <w:rPr>
          <w:rFonts w:hint="eastAsia"/>
          <w:color w:val="000000"/>
          <w:szCs w:val="21"/>
        </w:rPr>
        <w:t>3.</w:t>
      </w:r>
      <w:r w:rsidRPr="007A7CF2">
        <w:rPr>
          <w:rFonts w:hint="eastAsia"/>
          <w:color w:val="000000"/>
          <w:szCs w:val="21"/>
        </w:rPr>
        <w:t>病理生理学的主要研究方法、发展简史、学习方法指导。</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4.</w:t>
      </w:r>
      <w:r w:rsidRPr="007A7CF2">
        <w:rPr>
          <w:rFonts w:ascii="Times New Roman" w:hAnsi="Times New Roman" w:hint="eastAsia"/>
          <w:color w:val="000000"/>
          <w:szCs w:val="21"/>
        </w:rPr>
        <w:t>自学和拓展：病理生理学的研究领域与研究方法的进展。</w:t>
      </w:r>
    </w:p>
    <w:p w:rsidR="007A7CF2" w:rsidRPr="005D15DA" w:rsidRDefault="007A7CF2" w:rsidP="007A7CF2">
      <w:pPr>
        <w:rPr>
          <w:rFonts w:ascii="Times New Roman"/>
          <w:b/>
          <w:color w:val="000000"/>
          <w:sz w:val="22"/>
        </w:rPr>
      </w:pPr>
      <w:r w:rsidRPr="005D15DA">
        <w:rPr>
          <w:rFonts w:ascii="Times New Roman" w:hint="eastAsia"/>
          <w:b/>
          <w:color w:val="000000"/>
          <w:sz w:val="22"/>
        </w:rPr>
        <w:t>目的要求</w:t>
      </w:r>
    </w:p>
    <w:p w:rsidR="007A7CF2" w:rsidRPr="007A7CF2" w:rsidRDefault="007A7CF2" w:rsidP="007A7CF2">
      <w:pPr>
        <w:rPr>
          <w:color w:val="000000"/>
          <w:szCs w:val="21"/>
        </w:rPr>
      </w:pPr>
      <w:r w:rsidRPr="007A7CF2">
        <w:rPr>
          <w:rFonts w:hint="eastAsia"/>
          <w:color w:val="000000"/>
          <w:szCs w:val="21"/>
        </w:rPr>
        <w:t>1.</w:t>
      </w:r>
      <w:r w:rsidRPr="007A7CF2">
        <w:rPr>
          <w:rFonts w:hint="eastAsia"/>
          <w:color w:val="000000"/>
          <w:szCs w:val="21"/>
        </w:rPr>
        <w:t>掌握病理生理学的概念。</w:t>
      </w:r>
    </w:p>
    <w:p w:rsidR="007A7CF2" w:rsidRPr="007A7CF2" w:rsidRDefault="007A7CF2" w:rsidP="007A7CF2">
      <w:pPr>
        <w:rPr>
          <w:color w:val="000000"/>
          <w:szCs w:val="21"/>
        </w:rPr>
      </w:pPr>
      <w:r w:rsidRPr="007A7CF2">
        <w:rPr>
          <w:rFonts w:hint="eastAsia"/>
          <w:color w:val="000000"/>
          <w:szCs w:val="21"/>
        </w:rPr>
        <w:t>2.</w:t>
      </w:r>
      <w:r w:rsidRPr="007A7CF2">
        <w:rPr>
          <w:rFonts w:hint="eastAsia"/>
          <w:color w:val="000000"/>
          <w:szCs w:val="21"/>
        </w:rPr>
        <w:t>熟悉病理生理学的性质、任务、特点和主要内容。</w:t>
      </w:r>
    </w:p>
    <w:p w:rsidR="007A7CF2" w:rsidRPr="007A7CF2" w:rsidRDefault="007A7CF2" w:rsidP="007A7CF2">
      <w:pPr>
        <w:rPr>
          <w:color w:val="000000"/>
          <w:szCs w:val="21"/>
        </w:rPr>
      </w:pPr>
      <w:r w:rsidRPr="007A7CF2">
        <w:rPr>
          <w:rFonts w:hint="eastAsia"/>
          <w:color w:val="000000"/>
          <w:szCs w:val="21"/>
        </w:rPr>
        <w:t>3.</w:t>
      </w:r>
      <w:r w:rsidRPr="007A7CF2">
        <w:rPr>
          <w:rFonts w:hint="eastAsia"/>
          <w:color w:val="000000"/>
          <w:szCs w:val="21"/>
        </w:rPr>
        <w:t>掌握病理过程的概念。</w:t>
      </w:r>
    </w:p>
    <w:p w:rsidR="007A7CF2" w:rsidRPr="007A7CF2" w:rsidRDefault="007A7CF2" w:rsidP="007A7CF2">
      <w:pPr>
        <w:rPr>
          <w:b/>
          <w:color w:val="000000"/>
          <w:szCs w:val="21"/>
        </w:rPr>
      </w:pPr>
      <w:r w:rsidRPr="007A7CF2">
        <w:rPr>
          <w:rFonts w:hint="eastAsia"/>
          <w:color w:val="000000"/>
          <w:szCs w:val="21"/>
        </w:rPr>
        <w:t>4.</w:t>
      </w:r>
      <w:r w:rsidRPr="007A7CF2">
        <w:rPr>
          <w:rFonts w:hint="eastAsia"/>
          <w:color w:val="000000"/>
          <w:szCs w:val="21"/>
        </w:rPr>
        <w:t>了解病理生理学的发展简史和未来趋势。</w:t>
      </w:r>
    </w:p>
    <w:p w:rsidR="007A7CF2" w:rsidRPr="005D15DA" w:rsidRDefault="007A7CF2" w:rsidP="007A7CF2">
      <w:pPr>
        <w:rPr>
          <w:b/>
          <w:color w:val="000000"/>
          <w:sz w:val="22"/>
        </w:rPr>
      </w:pPr>
      <w:r w:rsidRPr="005D15DA">
        <w:rPr>
          <w:rFonts w:hint="eastAsia"/>
          <w:b/>
          <w:color w:val="000000"/>
          <w:sz w:val="22"/>
        </w:rPr>
        <w:t>第二章</w:t>
      </w:r>
      <w:r w:rsidRPr="005D15DA">
        <w:rPr>
          <w:b/>
          <w:color w:val="000000"/>
          <w:sz w:val="22"/>
        </w:rPr>
        <w:t xml:space="preserve">  </w:t>
      </w:r>
      <w:r w:rsidRPr="005D15DA">
        <w:rPr>
          <w:rFonts w:hint="eastAsia"/>
          <w:b/>
          <w:color w:val="000000"/>
          <w:sz w:val="22"/>
        </w:rPr>
        <w:t>疾病概论</w:t>
      </w:r>
    </w:p>
    <w:p w:rsidR="007A7CF2" w:rsidRPr="005D15DA" w:rsidRDefault="007A7CF2" w:rsidP="007A7CF2">
      <w:pPr>
        <w:rPr>
          <w:rFonts w:ascii="Times New Roman"/>
          <w:b/>
          <w:color w:val="000000"/>
          <w:sz w:val="22"/>
        </w:rPr>
      </w:pPr>
      <w:r w:rsidRPr="005D15DA">
        <w:rPr>
          <w:rFonts w:ascii="Times New Roman" w:hint="eastAsia"/>
          <w:b/>
          <w:color w:val="000000"/>
          <w:sz w:val="22"/>
        </w:rPr>
        <w:t>教学内容（</w:t>
      </w:r>
      <w:r w:rsidRPr="005D15DA">
        <w:rPr>
          <w:rFonts w:ascii="Times New Roman"/>
          <w:b/>
          <w:color w:val="000000"/>
          <w:sz w:val="22"/>
        </w:rPr>
        <w:t>1.5</w:t>
      </w:r>
      <w:r w:rsidRPr="005D15DA">
        <w:rPr>
          <w:rFonts w:ascii="Times New Roman" w:hint="eastAsia"/>
          <w:b/>
          <w:color w:val="000000"/>
          <w:sz w:val="22"/>
        </w:rPr>
        <w:t>学时）</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1.</w:t>
      </w:r>
      <w:r w:rsidRPr="007A7CF2">
        <w:rPr>
          <w:rFonts w:ascii="Times New Roman" w:hAnsi="Times New Roman" w:hint="eastAsia"/>
          <w:color w:val="000000"/>
          <w:szCs w:val="21"/>
        </w:rPr>
        <w:t>健康、亚健康与疾病的概念。</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2.</w:t>
      </w:r>
      <w:r w:rsidRPr="007A7CF2">
        <w:rPr>
          <w:rFonts w:ascii="Times New Roman" w:hAnsi="Times New Roman" w:hint="eastAsia"/>
          <w:color w:val="000000"/>
          <w:szCs w:val="21"/>
        </w:rPr>
        <w:t>病因学：病因、条件、诱因的概念及种类，病因与条件的关系。</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3.</w:t>
      </w:r>
      <w:r w:rsidRPr="007A7CF2">
        <w:rPr>
          <w:rFonts w:ascii="Times New Roman" w:hAnsi="Times New Roman" w:hint="eastAsia"/>
          <w:color w:val="000000"/>
          <w:szCs w:val="21"/>
        </w:rPr>
        <w:t>发病学：疾病发生发展的一般规律包括损伤与抗损伤、因果交替、局部和整体；疾病发生的基本机制包括神经机制、体液机制、细胞机制及分子机制。</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4.</w:t>
      </w:r>
      <w:r w:rsidRPr="007A7CF2">
        <w:rPr>
          <w:rFonts w:ascii="Times New Roman" w:hAnsi="Times New Roman" w:hint="eastAsia"/>
          <w:color w:val="000000"/>
          <w:szCs w:val="21"/>
        </w:rPr>
        <w:t>疾病的转归：完全康复、不完全康复、死亡、脑死亡的概念，脑死亡的判定标准。</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lastRenderedPageBreak/>
        <w:t>自学和拓展：分子病、基因病研究进展。</w:t>
      </w:r>
    </w:p>
    <w:p w:rsidR="007A7CF2" w:rsidRPr="005D15DA" w:rsidRDefault="007A7CF2" w:rsidP="007A7CF2">
      <w:pPr>
        <w:rPr>
          <w:rFonts w:ascii="Times New Roman" w:hAnsi="Times New Roman"/>
          <w:b/>
          <w:color w:val="000000"/>
          <w:sz w:val="22"/>
        </w:rPr>
      </w:pPr>
      <w:r w:rsidRPr="005D15DA">
        <w:rPr>
          <w:rFonts w:ascii="Times New Roman" w:hint="eastAsia"/>
          <w:b/>
          <w:color w:val="000000"/>
          <w:sz w:val="22"/>
        </w:rPr>
        <w:t>目的要求</w:t>
      </w:r>
    </w:p>
    <w:p w:rsidR="007A7CF2" w:rsidRPr="007A7CF2" w:rsidRDefault="007A7CF2" w:rsidP="007A7CF2">
      <w:pPr>
        <w:rPr>
          <w:rFonts w:ascii="宋体"/>
          <w:color w:val="000000"/>
          <w:szCs w:val="21"/>
        </w:rPr>
      </w:pPr>
      <w:r w:rsidRPr="007A7CF2">
        <w:rPr>
          <w:rFonts w:ascii="宋体" w:hAnsi="宋体" w:hint="eastAsia"/>
          <w:bCs/>
          <w:color w:val="000000"/>
          <w:szCs w:val="21"/>
        </w:rPr>
        <w:t>1.掌握</w:t>
      </w:r>
      <w:r w:rsidRPr="007A7CF2">
        <w:rPr>
          <w:rFonts w:ascii="宋体" w:hAnsi="宋体" w:hint="eastAsia"/>
          <w:color w:val="000000"/>
          <w:szCs w:val="21"/>
        </w:rPr>
        <w:t>疾病、健康、亚健康的概念</w:t>
      </w:r>
      <w:r w:rsidRPr="007A7CF2">
        <w:rPr>
          <w:rFonts w:ascii="Times New Roman" w:hint="eastAsia"/>
          <w:color w:val="000000"/>
          <w:szCs w:val="21"/>
        </w:rPr>
        <w:t>。</w:t>
      </w:r>
    </w:p>
    <w:p w:rsidR="007A7CF2" w:rsidRPr="007A7CF2" w:rsidRDefault="007A7CF2" w:rsidP="007A7CF2">
      <w:pPr>
        <w:rPr>
          <w:color w:val="000000"/>
          <w:szCs w:val="21"/>
        </w:rPr>
      </w:pPr>
      <w:r w:rsidRPr="007A7CF2">
        <w:rPr>
          <w:rFonts w:ascii="宋体" w:hAnsi="宋体" w:hint="eastAsia"/>
          <w:bCs/>
          <w:color w:val="000000"/>
          <w:szCs w:val="21"/>
        </w:rPr>
        <w:t>2.掌握</w:t>
      </w:r>
      <w:r w:rsidRPr="007A7CF2">
        <w:rPr>
          <w:rFonts w:ascii="宋体" w:hAnsi="宋体" w:hint="eastAsia"/>
          <w:color w:val="000000"/>
          <w:szCs w:val="21"/>
        </w:rPr>
        <w:t>病因、条件和诱因的概念</w:t>
      </w:r>
      <w:r w:rsidRPr="007A7CF2">
        <w:rPr>
          <w:rFonts w:ascii="Times New Roman" w:hint="eastAsia"/>
          <w:color w:val="000000"/>
          <w:szCs w:val="21"/>
        </w:rPr>
        <w:t>。</w:t>
      </w:r>
    </w:p>
    <w:p w:rsidR="007A7CF2" w:rsidRPr="007A7CF2" w:rsidRDefault="007A7CF2" w:rsidP="007A7CF2">
      <w:pPr>
        <w:rPr>
          <w:color w:val="000000"/>
          <w:szCs w:val="21"/>
        </w:rPr>
      </w:pPr>
      <w:r w:rsidRPr="007A7CF2">
        <w:rPr>
          <w:rFonts w:ascii="宋体" w:hAnsi="宋体" w:hint="eastAsia"/>
          <w:bCs/>
          <w:color w:val="000000"/>
          <w:szCs w:val="21"/>
        </w:rPr>
        <w:t>3.熟悉常见的病因和诱因，</w:t>
      </w:r>
      <w:r w:rsidRPr="007A7CF2">
        <w:rPr>
          <w:rFonts w:ascii="宋体" w:hAnsi="宋体" w:hint="eastAsia"/>
          <w:color w:val="000000"/>
          <w:szCs w:val="21"/>
        </w:rPr>
        <w:t>病因与条件的关系。</w:t>
      </w:r>
    </w:p>
    <w:p w:rsidR="007A7CF2" w:rsidRPr="007A7CF2" w:rsidRDefault="007A7CF2" w:rsidP="007A7CF2">
      <w:pPr>
        <w:rPr>
          <w:color w:val="000000"/>
          <w:szCs w:val="21"/>
        </w:rPr>
      </w:pPr>
      <w:r w:rsidRPr="007A7CF2">
        <w:rPr>
          <w:rFonts w:ascii="宋体" w:hAnsi="宋体" w:hint="eastAsia"/>
          <w:bCs/>
          <w:color w:val="000000"/>
          <w:szCs w:val="21"/>
        </w:rPr>
        <w:t>4.熟悉</w:t>
      </w:r>
      <w:r w:rsidRPr="007A7CF2">
        <w:rPr>
          <w:rFonts w:ascii="宋体" w:hAnsi="宋体" w:hint="eastAsia"/>
          <w:color w:val="000000"/>
          <w:szCs w:val="21"/>
        </w:rPr>
        <w:t>疾病发生发展的一般规律及基本机制。</w:t>
      </w:r>
    </w:p>
    <w:p w:rsidR="007A7CF2" w:rsidRPr="007A7CF2" w:rsidRDefault="007A7CF2" w:rsidP="007A7CF2">
      <w:pPr>
        <w:rPr>
          <w:b/>
          <w:color w:val="000000"/>
          <w:szCs w:val="21"/>
        </w:rPr>
      </w:pPr>
      <w:r w:rsidRPr="007A7CF2">
        <w:rPr>
          <w:rFonts w:ascii="宋体" w:hAnsi="宋体" w:hint="eastAsia"/>
          <w:color w:val="000000"/>
          <w:szCs w:val="21"/>
        </w:rPr>
        <w:t>5.熟悉疾病的转归、康复的分类。</w:t>
      </w:r>
    </w:p>
    <w:p w:rsidR="007A7CF2" w:rsidRPr="007A7CF2" w:rsidRDefault="007A7CF2" w:rsidP="007A7CF2">
      <w:pPr>
        <w:rPr>
          <w:rFonts w:ascii="宋体"/>
          <w:color w:val="000000"/>
          <w:szCs w:val="21"/>
        </w:rPr>
      </w:pPr>
      <w:r w:rsidRPr="007A7CF2">
        <w:rPr>
          <w:rFonts w:ascii="宋体" w:hAnsi="宋体" w:hint="eastAsia"/>
          <w:color w:val="000000"/>
          <w:szCs w:val="21"/>
        </w:rPr>
        <w:t>6.掌握脑死亡的概念及判定标准。</w:t>
      </w:r>
    </w:p>
    <w:p w:rsidR="007A7CF2" w:rsidRPr="007A7CF2" w:rsidRDefault="007A7CF2" w:rsidP="007A7CF2">
      <w:pPr>
        <w:rPr>
          <w:b/>
          <w:color w:val="000000"/>
          <w:szCs w:val="21"/>
        </w:rPr>
      </w:pPr>
      <w:r w:rsidRPr="007A7CF2">
        <w:rPr>
          <w:rFonts w:ascii="宋体" w:hAnsi="宋体" w:hint="eastAsia"/>
          <w:color w:val="000000"/>
          <w:szCs w:val="21"/>
        </w:rPr>
        <w:t>7.了解植物人、临终关怀和安乐死。</w:t>
      </w:r>
    </w:p>
    <w:p w:rsidR="007A7CF2" w:rsidRPr="005D15DA" w:rsidRDefault="007A7CF2" w:rsidP="007A7CF2">
      <w:pPr>
        <w:rPr>
          <w:b/>
          <w:color w:val="000000"/>
          <w:sz w:val="22"/>
        </w:rPr>
      </w:pPr>
      <w:r w:rsidRPr="005D15DA">
        <w:rPr>
          <w:rFonts w:hint="eastAsia"/>
          <w:b/>
          <w:color w:val="000000"/>
          <w:sz w:val="22"/>
        </w:rPr>
        <w:t>第三章</w:t>
      </w:r>
      <w:r w:rsidRPr="005D15DA">
        <w:rPr>
          <w:b/>
          <w:color w:val="000000"/>
          <w:sz w:val="22"/>
        </w:rPr>
        <w:t xml:space="preserve">  </w:t>
      </w:r>
      <w:r w:rsidRPr="005D15DA">
        <w:rPr>
          <w:rFonts w:hint="eastAsia"/>
          <w:b/>
          <w:color w:val="000000"/>
          <w:sz w:val="22"/>
        </w:rPr>
        <w:t>水、电解质代谢紊乱</w:t>
      </w:r>
    </w:p>
    <w:p w:rsidR="007A7CF2" w:rsidRPr="005D15DA" w:rsidRDefault="007A7CF2" w:rsidP="007A7CF2">
      <w:pPr>
        <w:rPr>
          <w:rFonts w:ascii="Times New Roman" w:hAnsi="Times New Roman"/>
          <w:b/>
          <w:color w:val="000000"/>
          <w:sz w:val="22"/>
        </w:rPr>
      </w:pPr>
      <w:r w:rsidRPr="005D15DA">
        <w:rPr>
          <w:rFonts w:ascii="Times New Roman" w:hint="eastAsia"/>
          <w:b/>
          <w:color w:val="000000"/>
          <w:sz w:val="22"/>
        </w:rPr>
        <w:t>教学内容（</w:t>
      </w:r>
      <w:r w:rsidRPr="005D15DA">
        <w:rPr>
          <w:rFonts w:ascii="Times New Roman" w:hAnsi="Times New Roman"/>
          <w:b/>
          <w:color w:val="000000"/>
          <w:sz w:val="22"/>
        </w:rPr>
        <w:t>7</w:t>
      </w:r>
      <w:r w:rsidRPr="005D15DA">
        <w:rPr>
          <w:rFonts w:ascii="Times New Roman" w:hint="eastAsia"/>
          <w:b/>
          <w:color w:val="000000"/>
          <w:sz w:val="22"/>
        </w:rPr>
        <w:t>学时）</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1.</w:t>
      </w:r>
      <w:r w:rsidRPr="007A7CF2">
        <w:rPr>
          <w:rFonts w:ascii="Times New Roman" w:hAnsi="Times New Roman" w:hint="eastAsia"/>
          <w:color w:val="000000"/>
          <w:szCs w:val="21"/>
        </w:rPr>
        <w:t>正常水、钠代谢：体液的容量与分布、电解质成分、渗透压、正常水平衡、正常钠平衡、体液容量及渗透压的调节。</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2.</w:t>
      </w:r>
      <w:r w:rsidRPr="007A7CF2">
        <w:rPr>
          <w:rFonts w:ascii="Times New Roman" w:hAnsi="Times New Roman" w:hint="eastAsia"/>
          <w:color w:val="000000"/>
          <w:szCs w:val="21"/>
        </w:rPr>
        <w:t>水钠代谢障碍的分类。</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3.</w:t>
      </w:r>
      <w:r w:rsidRPr="007A7CF2">
        <w:rPr>
          <w:rFonts w:ascii="Times New Roman" w:hAnsi="Times New Roman" w:hint="eastAsia"/>
          <w:color w:val="000000"/>
          <w:szCs w:val="21"/>
        </w:rPr>
        <w:t>脱水：低渗性脱水、高渗性脱水及等渗性脱水的概念、原因和机制、对机体的影响、防治的病理生理基础。</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4.</w:t>
      </w:r>
      <w:r w:rsidRPr="007A7CF2">
        <w:rPr>
          <w:rFonts w:ascii="Times New Roman" w:hAnsi="Times New Roman" w:hint="eastAsia"/>
          <w:color w:val="000000"/>
          <w:szCs w:val="21"/>
        </w:rPr>
        <w:t>水中毒的概念、原因和机制、对机体的影响、防治的病理生理基础。</w:t>
      </w:r>
    </w:p>
    <w:p w:rsidR="007A7CF2" w:rsidRPr="007A7CF2" w:rsidRDefault="007A7CF2" w:rsidP="007A7CF2">
      <w:pPr>
        <w:rPr>
          <w:rFonts w:ascii="Times New Roman" w:hAnsi="Times New Roman"/>
          <w:color w:val="000000"/>
          <w:szCs w:val="21"/>
        </w:rPr>
      </w:pPr>
      <w:r w:rsidRPr="007A7CF2">
        <w:rPr>
          <w:rFonts w:ascii="Times New Roman" w:hAnsi="Times New Roman" w:hint="eastAsia"/>
          <w:color w:val="000000"/>
          <w:szCs w:val="21"/>
        </w:rPr>
        <w:t>5.</w:t>
      </w:r>
      <w:r w:rsidRPr="007A7CF2">
        <w:rPr>
          <w:rFonts w:ascii="Times New Roman" w:hAnsi="Times New Roman" w:hint="eastAsia"/>
          <w:color w:val="000000"/>
          <w:szCs w:val="21"/>
        </w:rPr>
        <w:t>水肿：概念、分类；发病机制包括血管内外液体交换失平衡的机制和体内外液体交换平衡失</w:t>
      </w:r>
      <w:r w:rsidRPr="007A7CF2">
        <w:rPr>
          <w:rFonts w:ascii="Times New Roman" w:hAnsi="Times New Roman" w:hint="eastAsia"/>
          <w:color w:val="000000"/>
          <w:szCs w:val="21"/>
        </w:rPr>
        <w:t>6.</w:t>
      </w:r>
      <w:r w:rsidRPr="007A7CF2">
        <w:rPr>
          <w:rFonts w:ascii="Times New Roman" w:hAnsi="Times New Roman" w:hint="eastAsia"/>
          <w:color w:val="000000"/>
          <w:szCs w:val="21"/>
        </w:rPr>
        <w:t>调钠水潴留的机制；水肿的特点包括水肿液的性状、水肿的皮肤特点、全身性水肿的分布特点；水肿对机体的影响。</w:t>
      </w:r>
    </w:p>
    <w:p w:rsidR="007A7CF2" w:rsidRPr="007A7CF2" w:rsidRDefault="007A7CF2" w:rsidP="007A7CF2">
      <w:pPr>
        <w:rPr>
          <w:rFonts w:ascii="Times New Roman" w:hAnsi="Times New Roman"/>
          <w:color w:val="000000"/>
          <w:szCs w:val="21"/>
        </w:rPr>
      </w:pPr>
      <w:r w:rsidRPr="007A7CF2">
        <w:rPr>
          <w:rFonts w:ascii="宋体" w:hAnsi="宋体" w:hint="eastAsia"/>
          <w:color w:val="000000"/>
          <w:szCs w:val="21"/>
        </w:rPr>
        <w:t>7、钾代谢紊乱：高钾血症和低钾血症的概念、原因和机制、对神经</w:t>
      </w:r>
      <w:r w:rsidRPr="007A7CF2">
        <w:rPr>
          <w:rFonts w:ascii="宋体"/>
          <w:color w:val="000000"/>
          <w:szCs w:val="21"/>
        </w:rPr>
        <w:t>-</w:t>
      </w:r>
      <w:r w:rsidRPr="007A7CF2">
        <w:rPr>
          <w:rFonts w:ascii="宋体" w:hAnsi="宋体" w:hint="eastAsia"/>
          <w:color w:val="000000"/>
          <w:szCs w:val="21"/>
        </w:rPr>
        <w:t>肌肉、心肌和酸碱平衡的影响及其防治的病理生理学基础。</w:t>
      </w:r>
    </w:p>
    <w:p w:rsidR="007A7CF2" w:rsidRPr="007A7CF2" w:rsidRDefault="007A7CF2" w:rsidP="007A7CF2">
      <w:pPr>
        <w:rPr>
          <w:rFonts w:ascii="Times New Roman" w:hAnsi="Times New Roman"/>
          <w:color w:val="000000"/>
          <w:szCs w:val="21"/>
        </w:rPr>
      </w:pPr>
      <w:r w:rsidRPr="007A7CF2">
        <w:rPr>
          <w:rFonts w:ascii="Times New Roman" w:hint="eastAsia"/>
          <w:color w:val="000000"/>
          <w:szCs w:val="21"/>
        </w:rPr>
        <w:t>8.</w:t>
      </w:r>
      <w:r w:rsidRPr="007A7CF2">
        <w:rPr>
          <w:rFonts w:ascii="宋体" w:hAnsi="宋体" w:hint="eastAsia"/>
          <w:color w:val="000000"/>
          <w:szCs w:val="21"/>
        </w:rPr>
        <w:t>代谢紊乱的原因和机制及其对机体的影响。</w:t>
      </w:r>
    </w:p>
    <w:p w:rsidR="007A7CF2" w:rsidRPr="005D15DA" w:rsidRDefault="007A7CF2" w:rsidP="007A7CF2">
      <w:pPr>
        <w:rPr>
          <w:rFonts w:ascii="Times New Roman" w:hAnsi="Times New Roman"/>
          <w:b/>
          <w:color w:val="000000"/>
          <w:sz w:val="22"/>
        </w:rPr>
      </w:pPr>
      <w:r w:rsidRPr="005D15DA">
        <w:rPr>
          <w:rFonts w:ascii="Times New Roman" w:hAnsi="Times New Roman" w:hint="eastAsia"/>
          <w:b/>
          <w:color w:val="000000"/>
          <w:sz w:val="22"/>
        </w:rPr>
        <w:t>目的要求</w:t>
      </w:r>
    </w:p>
    <w:p w:rsidR="007A7CF2" w:rsidRPr="007A7CF2" w:rsidRDefault="007A7CF2" w:rsidP="007A7CF2">
      <w:pPr>
        <w:rPr>
          <w:rFonts w:ascii="宋体"/>
          <w:color w:val="000000"/>
          <w:szCs w:val="21"/>
        </w:rPr>
      </w:pPr>
      <w:r w:rsidRPr="007A7CF2">
        <w:rPr>
          <w:rFonts w:ascii="宋体" w:hAnsi="宋体" w:hint="eastAsia"/>
          <w:bCs/>
          <w:color w:val="000000"/>
          <w:szCs w:val="21"/>
        </w:rPr>
        <w:t>1.掌握</w:t>
      </w:r>
      <w:r w:rsidRPr="007A7CF2">
        <w:rPr>
          <w:rFonts w:ascii="宋体" w:hAnsi="宋体" w:hint="eastAsia"/>
          <w:color w:val="000000"/>
          <w:szCs w:val="21"/>
        </w:rPr>
        <w:t>脱水的概念和分类。</w:t>
      </w:r>
    </w:p>
    <w:p w:rsidR="007A7CF2" w:rsidRPr="007A7CF2" w:rsidRDefault="007A7CF2" w:rsidP="007A7CF2">
      <w:pPr>
        <w:rPr>
          <w:rFonts w:ascii="宋体"/>
          <w:color w:val="000000"/>
          <w:szCs w:val="21"/>
        </w:rPr>
      </w:pPr>
      <w:r w:rsidRPr="007A7CF2">
        <w:rPr>
          <w:rFonts w:ascii="宋体" w:hAnsi="宋体" w:hint="eastAsia"/>
          <w:color w:val="000000"/>
          <w:szCs w:val="21"/>
        </w:rPr>
        <w:t>2.掌握低渗性脱水（低容量性低钠血症）、高渗性脱水（低容量性高钠血症）、等渗性脱水、脱水征、脱水热、尿崩症的概念。</w:t>
      </w:r>
    </w:p>
    <w:p w:rsidR="007A7CF2" w:rsidRPr="007A7CF2" w:rsidRDefault="007A7CF2" w:rsidP="007A7CF2">
      <w:pPr>
        <w:rPr>
          <w:rFonts w:ascii="宋体"/>
          <w:color w:val="000000"/>
          <w:szCs w:val="21"/>
        </w:rPr>
      </w:pPr>
      <w:r w:rsidRPr="007A7CF2">
        <w:rPr>
          <w:rFonts w:ascii="宋体" w:hAnsi="宋体" w:hint="eastAsia"/>
          <w:color w:val="000000"/>
          <w:szCs w:val="21"/>
        </w:rPr>
        <w:t>3.掌握低渗性脱水（低容量性低钠血症）、高渗性脱水（低容量性高钠血症）、等渗性脱水的原因和机制、体液重分布特点及其对机体的影响。</w:t>
      </w:r>
    </w:p>
    <w:p w:rsidR="007A7CF2" w:rsidRPr="007A7CF2" w:rsidRDefault="007A7CF2" w:rsidP="007A7CF2">
      <w:pPr>
        <w:rPr>
          <w:rFonts w:ascii="宋体"/>
          <w:color w:val="000000"/>
          <w:szCs w:val="21"/>
        </w:rPr>
      </w:pPr>
      <w:r w:rsidRPr="007A7CF2">
        <w:rPr>
          <w:rFonts w:ascii="宋体" w:hAnsi="宋体" w:hint="eastAsia"/>
          <w:color w:val="000000"/>
          <w:szCs w:val="21"/>
        </w:rPr>
        <w:t>4.熟悉水中毒（高容量性低钠血症）的概念、原因和机制及其对机体的影响。</w:t>
      </w:r>
    </w:p>
    <w:p w:rsidR="007A7CF2" w:rsidRPr="007A7CF2" w:rsidRDefault="007A7CF2" w:rsidP="007A7CF2">
      <w:pPr>
        <w:rPr>
          <w:rFonts w:ascii="宋体"/>
          <w:color w:val="000000"/>
          <w:szCs w:val="21"/>
        </w:rPr>
      </w:pPr>
      <w:r w:rsidRPr="007A7CF2">
        <w:rPr>
          <w:rFonts w:ascii="宋体" w:hAnsi="宋体" w:hint="eastAsia"/>
          <w:color w:val="000000"/>
          <w:szCs w:val="21"/>
        </w:rPr>
        <w:t>5.掌握水肿、积水和淋巴性水肿的概念。</w:t>
      </w:r>
    </w:p>
    <w:p w:rsidR="007A7CF2" w:rsidRPr="007A7CF2" w:rsidRDefault="007A7CF2" w:rsidP="007A7CF2">
      <w:pPr>
        <w:rPr>
          <w:rFonts w:ascii="宋体"/>
          <w:color w:val="000000"/>
          <w:szCs w:val="21"/>
        </w:rPr>
      </w:pPr>
      <w:r w:rsidRPr="007A7CF2">
        <w:rPr>
          <w:rFonts w:ascii="宋体" w:hAnsi="宋体" w:hint="eastAsia"/>
          <w:bCs/>
          <w:color w:val="000000"/>
          <w:szCs w:val="21"/>
        </w:rPr>
        <w:t>6.掌握</w:t>
      </w:r>
      <w:r w:rsidRPr="007A7CF2">
        <w:rPr>
          <w:rFonts w:ascii="宋体" w:hAnsi="宋体" w:hint="eastAsia"/>
          <w:color w:val="000000"/>
          <w:szCs w:val="21"/>
        </w:rPr>
        <w:t>水肿的发病机制及水肿的特点。</w:t>
      </w:r>
    </w:p>
    <w:p w:rsidR="007A7CF2" w:rsidRPr="007A7CF2" w:rsidRDefault="007A7CF2" w:rsidP="007A7CF2">
      <w:pPr>
        <w:rPr>
          <w:rFonts w:ascii="宋体"/>
          <w:color w:val="000000"/>
          <w:szCs w:val="21"/>
        </w:rPr>
      </w:pPr>
      <w:r w:rsidRPr="007A7CF2">
        <w:rPr>
          <w:rFonts w:ascii="宋体" w:hAnsi="宋体" w:hint="eastAsia"/>
          <w:color w:val="000000"/>
          <w:szCs w:val="21"/>
        </w:rPr>
        <w:t>7.熟悉水肿对机体的影响。</w:t>
      </w:r>
    </w:p>
    <w:p w:rsidR="007A7CF2" w:rsidRPr="007A7CF2" w:rsidRDefault="007A7CF2" w:rsidP="007A7CF2">
      <w:pPr>
        <w:rPr>
          <w:rFonts w:ascii="宋体"/>
          <w:color w:val="000000"/>
          <w:szCs w:val="21"/>
        </w:rPr>
      </w:pPr>
      <w:r w:rsidRPr="007A7CF2">
        <w:rPr>
          <w:rFonts w:ascii="宋体" w:hAnsi="宋体" w:hint="eastAsia"/>
          <w:color w:val="000000"/>
          <w:szCs w:val="21"/>
        </w:rPr>
        <w:t>8.掌握低钾血症、高钾血症、超极化阻滞、去极化阻滞、反常性酸性尿、反常性碱性尿的概念。</w:t>
      </w:r>
    </w:p>
    <w:p w:rsidR="007A7CF2" w:rsidRPr="007A7CF2" w:rsidRDefault="007A7CF2" w:rsidP="007A7CF2">
      <w:pPr>
        <w:rPr>
          <w:rFonts w:ascii="宋体"/>
          <w:color w:val="000000"/>
          <w:szCs w:val="21"/>
        </w:rPr>
      </w:pPr>
      <w:r w:rsidRPr="007A7CF2">
        <w:rPr>
          <w:rFonts w:ascii="宋体" w:hAnsi="宋体" w:hint="eastAsia"/>
          <w:bCs/>
          <w:color w:val="000000"/>
          <w:szCs w:val="21"/>
        </w:rPr>
        <w:t>9.熟悉</w:t>
      </w:r>
      <w:r w:rsidRPr="007A7CF2">
        <w:rPr>
          <w:rFonts w:ascii="宋体" w:hAnsi="宋体" w:hint="eastAsia"/>
          <w:color w:val="000000"/>
          <w:szCs w:val="21"/>
        </w:rPr>
        <w:t>高钾血症和低钾血症的原因和机制及其对机体的影响。</w:t>
      </w:r>
    </w:p>
    <w:p w:rsidR="007A7CF2" w:rsidRPr="007A7CF2" w:rsidRDefault="007A7CF2" w:rsidP="007A7CF2">
      <w:pPr>
        <w:rPr>
          <w:rFonts w:ascii="宋体"/>
          <w:color w:val="000000"/>
          <w:szCs w:val="21"/>
        </w:rPr>
      </w:pPr>
      <w:r w:rsidRPr="007A7CF2">
        <w:rPr>
          <w:rFonts w:ascii="宋体" w:hAnsi="宋体" w:hint="eastAsia"/>
          <w:bCs/>
          <w:color w:val="000000"/>
          <w:szCs w:val="21"/>
        </w:rPr>
        <w:t>10.了解</w:t>
      </w:r>
      <w:r w:rsidRPr="007A7CF2">
        <w:rPr>
          <w:rFonts w:ascii="宋体" w:hAnsi="宋体" w:hint="eastAsia"/>
          <w:color w:val="000000"/>
          <w:szCs w:val="21"/>
        </w:rPr>
        <w:t>镁代谢紊乱的原因和机制及其对机体的影响。</w:t>
      </w:r>
    </w:p>
    <w:p w:rsidR="007A7CF2" w:rsidRPr="007A7CF2" w:rsidRDefault="007A7CF2" w:rsidP="007A7CF2">
      <w:pPr>
        <w:rPr>
          <w:rFonts w:ascii="宋体"/>
          <w:color w:val="000000"/>
          <w:szCs w:val="21"/>
        </w:rPr>
      </w:pPr>
      <w:r w:rsidRPr="007A7CF2">
        <w:rPr>
          <w:rFonts w:ascii="宋体" w:hAnsi="宋体" w:hint="eastAsia"/>
          <w:bCs/>
          <w:color w:val="000000"/>
          <w:szCs w:val="21"/>
        </w:rPr>
        <w:t>11.了解</w:t>
      </w:r>
      <w:r w:rsidRPr="007A7CF2">
        <w:rPr>
          <w:rFonts w:ascii="宋体" w:hAnsi="宋体" w:hint="eastAsia"/>
          <w:color w:val="000000"/>
          <w:szCs w:val="21"/>
        </w:rPr>
        <w:t>钙磷代谢紊乱的原因和机制及其对机体的影响。</w:t>
      </w:r>
    </w:p>
    <w:p w:rsidR="007A7CF2" w:rsidRPr="007A7CF2" w:rsidRDefault="007A7CF2" w:rsidP="007A7CF2">
      <w:pPr>
        <w:rPr>
          <w:rFonts w:ascii="宋体"/>
          <w:color w:val="000000"/>
          <w:szCs w:val="21"/>
        </w:rPr>
      </w:pPr>
      <w:r w:rsidRPr="007A7CF2">
        <w:rPr>
          <w:rFonts w:ascii="宋体" w:hAnsi="宋体" w:hint="eastAsia"/>
          <w:bCs/>
          <w:color w:val="000000"/>
          <w:szCs w:val="21"/>
        </w:rPr>
        <w:t>12.了解</w:t>
      </w:r>
      <w:r w:rsidRPr="007A7CF2">
        <w:rPr>
          <w:rFonts w:ascii="宋体" w:hAnsi="宋体" w:hint="eastAsia"/>
          <w:color w:val="000000"/>
          <w:szCs w:val="21"/>
        </w:rPr>
        <w:t>防治各类水、电解质代谢紊乱的病理生理基础。</w:t>
      </w:r>
    </w:p>
    <w:p w:rsidR="003717A0" w:rsidRDefault="003717A0">
      <w:pPr>
        <w:rPr>
          <w:b/>
          <w:sz w:val="22"/>
        </w:rPr>
      </w:pPr>
      <w:r>
        <w:rPr>
          <w:rFonts w:hint="eastAsia"/>
          <w:b/>
          <w:sz w:val="22"/>
        </w:rPr>
        <w:t>第四章</w:t>
      </w:r>
      <w:r>
        <w:rPr>
          <w:b/>
          <w:sz w:val="22"/>
        </w:rPr>
        <w:t xml:space="preserve"> </w:t>
      </w:r>
      <w:r>
        <w:rPr>
          <w:rFonts w:hint="eastAsia"/>
          <w:b/>
          <w:sz w:val="22"/>
        </w:rPr>
        <w:t>酸碱平衡和酸碱平衡紊乱</w:t>
      </w:r>
    </w:p>
    <w:p w:rsidR="003717A0" w:rsidRDefault="003717A0">
      <w:pPr>
        <w:rPr>
          <w:rFonts w:ascii="宋体"/>
          <w:b/>
        </w:rPr>
      </w:pPr>
      <w:r>
        <w:rPr>
          <w:rFonts w:ascii="宋体" w:hAnsi="宋体" w:hint="eastAsia"/>
          <w:b/>
        </w:rPr>
        <w:t>教学内容（</w:t>
      </w:r>
      <w:r>
        <w:rPr>
          <w:rFonts w:ascii="宋体" w:hAnsi="宋体"/>
          <w:b/>
        </w:rPr>
        <w:t>3</w:t>
      </w:r>
      <w:r>
        <w:rPr>
          <w:rFonts w:ascii="宋体" w:hAnsi="宋体" w:hint="eastAsia"/>
          <w:b/>
        </w:rPr>
        <w:t>学时）</w:t>
      </w:r>
    </w:p>
    <w:p w:rsidR="003717A0" w:rsidRDefault="003717A0">
      <w:pPr>
        <w:rPr>
          <w:rFonts w:ascii="宋体"/>
        </w:rPr>
      </w:pPr>
      <w:r>
        <w:rPr>
          <w:rFonts w:ascii="宋体" w:hAnsi="宋体"/>
        </w:rPr>
        <w:t xml:space="preserve">1. </w:t>
      </w:r>
      <w:r>
        <w:rPr>
          <w:rFonts w:ascii="宋体" w:hAnsi="宋体" w:hint="eastAsia"/>
        </w:rPr>
        <w:t>酸碱平衡的概念、酸碱物质的来源和酸碱平衡的调节机制。</w:t>
      </w:r>
    </w:p>
    <w:p w:rsidR="003717A0" w:rsidRDefault="003717A0">
      <w:pPr>
        <w:rPr>
          <w:rFonts w:ascii="宋体"/>
        </w:rPr>
      </w:pPr>
      <w:r>
        <w:rPr>
          <w:rFonts w:ascii="宋体" w:hAnsi="宋体"/>
        </w:rPr>
        <w:t xml:space="preserve">2. </w:t>
      </w:r>
      <w:r>
        <w:rPr>
          <w:rFonts w:ascii="宋体" w:hAnsi="宋体" w:hint="eastAsia"/>
        </w:rPr>
        <w:t>反映酸碱平衡状况的常用检测指标（包括</w:t>
      </w:r>
      <w:r>
        <w:rPr>
          <w:rFonts w:ascii="宋体" w:hAnsi="宋体"/>
        </w:rPr>
        <w:t>pH</w:t>
      </w:r>
      <w:r>
        <w:rPr>
          <w:rFonts w:ascii="宋体" w:hAnsi="宋体" w:hint="eastAsia"/>
        </w:rPr>
        <w:t>值、动脉血</w:t>
      </w:r>
      <w:r>
        <w:rPr>
          <w:rFonts w:ascii="宋体" w:hAnsi="宋体"/>
        </w:rPr>
        <w:t>CO2</w:t>
      </w:r>
      <w:r>
        <w:rPr>
          <w:rFonts w:ascii="宋体" w:hAnsi="宋体" w:hint="eastAsia"/>
        </w:rPr>
        <w:t>分压、标准碳酸氢盐和实际碳酸氢盐、缓冲碱、碱剩余、阴离子间隙）的含义、正常值范围及其意义。</w:t>
      </w:r>
    </w:p>
    <w:p w:rsidR="003717A0" w:rsidRDefault="003717A0">
      <w:pPr>
        <w:rPr>
          <w:rFonts w:ascii="宋体"/>
        </w:rPr>
      </w:pPr>
      <w:r>
        <w:rPr>
          <w:rFonts w:ascii="宋体" w:hAnsi="宋体"/>
        </w:rPr>
        <w:t xml:space="preserve">3. </w:t>
      </w:r>
      <w:r>
        <w:rPr>
          <w:rFonts w:ascii="宋体" w:hAnsi="宋体" w:hint="eastAsia"/>
        </w:rPr>
        <w:t>酸碱平衡紊乱的概念及其分类。</w:t>
      </w:r>
    </w:p>
    <w:p w:rsidR="003717A0" w:rsidRDefault="003717A0">
      <w:pPr>
        <w:rPr>
          <w:rFonts w:ascii="宋体"/>
        </w:rPr>
      </w:pPr>
      <w:r>
        <w:rPr>
          <w:rFonts w:ascii="宋体" w:hAnsi="宋体"/>
        </w:rPr>
        <w:lastRenderedPageBreak/>
        <w:t xml:space="preserve">4. </w:t>
      </w:r>
      <w:r>
        <w:rPr>
          <w:rFonts w:ascii="宋体" w:hAnsi="宋体" w:hint="eastAsia"/>
        </w:rPr>
        <w:t>四种单纯型酸碱平衡紊乱（代谢性酸中毒、呼吸性酸中毒、代谢性碱中毒、呼吸性碱中毒）的概念、分类、原因和机制、机体的代偿调节及其对机体的影响，防治的病理生理基础。</w:t>
      </w:r>
    </w:p>
    <w:p w:rsidR="003717A0" w:rsidRDefault="003717A0">
      <w:pPr>
        <w:rPr>
          <w:rFonts w:ascii="宋体"/>
        </w:rPr>
      </w:pPr>
      <w:r>
        <w:rPr>
          <w:rFonts w:ascii="宋体" w:hAnsi="宋体"/>
        </w:rPr>
        <w:t xml:space="preserve">6. </w:t>
      </w:r>
      <w:r>
        <w:rPr>
          <w:rFonts w:ascii="宋体" w:hAnsi="宋体" w:hint="eastAsia"/>
        </w:rPr>
        <w:t>自学和拓展：混合型酸碱平衡紊乱的概念、分类、原因和特点。酸碱平衡紊乱的</w:t>
      </w:r>
    </w:p>
    <w:p w:rsidR="003717A0" w:rsidRDefault="003717A0">
      <w:pPr>
        <w:rPr>
          <w:rFonts w:ascii="宋体"/>
        </w:rPr>
      </w:pPr>
      <w:r>
        <w:rPr>
          <w:rFonts w:ascii="宋体" w:hAnsi="宋体" w:hint="eastAsia"/>
        </w:rPr>
        <w:t>判断方法。</w:t>
      </w:r>
    </w:p>
    <w:p w:rsidR="003717A0" w:rsidRDefault="003717A0">
      <w:pPr>
        <w:rPr>
          <w:rFonts w:ascii="宋体"/>
          <w:b/>
        </w:rPr>
      </w:pPr>
      <w:r>
        <w:rPr>
          <w:rFonts w:ascii="宋体" w:hAnsi="宋体"/>
        </w:rPr>
        <w:t xml:space="preserve"> </w:t>
      </w:r>
      <w:r>
        <w:rPr>
          <w:rFonts w:ascii="宋体" w:hAnsi="宋体" w:hint="eastAsia"/>
          <w:b/>
        </w:rPr>
        <w:t>目的要求：</w:t>
      </w:r>
    </w:p>
    <w:p w:rsidR="003717A0" w:rsidRDefault="003717A0">
      <w:pPr>
        <w:rPr>
          <w:rFonts w:ascii="宋体"/>
        </w:rPr>
      </w:pPr>
      <w:r>
        <w:rPr>
          <w:rFonts w:ascii="宋体" w:hAnsi="宋体"/>
        </w:rPr>
        <w:t xml:space="preserve">1. </w:t>
      </w:r>
      <w:r>
        <w:rPr>
          <w:rFonts w:ascii="宋体" w:hAnsi="宋体" w:hint="eastAsia"/>
        </w:rPr>
        <w:t>掌握酸碱平衡的概念和酸碱平衡的调节机制。</w:t>
      </w:r>
    </w:p>
    <w:p w:rsidR="003717A0" w:rsidRDefault="003717A0">
      <w:pPr>
        <w:rPr>
          <w:rFonts w:ascii="宋体"/>
        </w:rPr>
      </w:pPr>
      <w:r>
        <w:rPr>
          <w:rFonts w:ascii="宋体" w:hAnsi="宋体"/>
        </w:rPr>
        <w:t xml:space="preserve">2. </w:t>
      </w:r>
      <w:r>
        <w:rPr>
          <w:rFonts w:ascii="宋体" w:hAnsi="宋体" w:hint="eastAsia"/>
        </w:rPr>
        <w:t>熟悉反映酸碱平衡状况的常用检测指标的含义、正常值范围及其意义。</w:t>
      </w:r>
    </w:p>
    <w:p w:rsidR="003717A0" w:rsidRDefault="003717A0">
      <w:pPr>
        <w:rPr>
          <w:rFonts w:ascii="宋体"/>
        </w:rPr>
      </w:pPr>
      <w:r>
        <w:rPr>
          <w:rFonts w:ascii="宋体" w:hAnsi="宋体"/>
        </w:rPr>
        <w:t xml:space="preserve">3. </w:t>
      </w:r>
      <w:r>
        <w:rPr>
          <w:rFonts w:ascii="宋体" w:hAnsi="宋体" w:hint="eastAsia"/>
        </w:rPr>
        <w:t>掌握酸碱平衡紊乱的概念及其分类。</w:t>
      </w:r>
    </w:p>
    <w:p w:rsidR="003717A0" w:rsidRDefault="003717A0">
      <w:pPr>
        <w:rPr>
          <w:rFonts w:ascii="宋体"/>
        </w:rPr>
      </w:pPr>
      <w:r>
        <w:rPr>
          <w:rFonts w:ascii="宋体" w:hAnsi="宋体"/>
        </w:rPr>
        <w:t xml:space="preserve">4. </w:t>
      </w:r>
      <w:r>
        <w:rPr>
          <w:rFonts w:ascii="宋体" w:hAnsi="宋体" w:hint="eastAsia"/>
        </w:rPr>
        <w:t>掌握四种单纯型酸碱平衡紊乱的概念、机体的代偿调节及其对机体的影响。</w:t>
      </w:r>
    </w:p>
    <w:p w:rsidR="003717A0" w:rsidRDefault="003717A0">
      <w:pPr>
        <w:rPr>
          <w:rFonts w:ascii="宋体"/>
        </w:rPr>
      </w:pPr>
      <w:r>
        <w:rPr>
          <w:rFonts w:ascii="宋体" w:hAnsi="宋体"/>
        </w:rPr>
        <w:t xml:space="preserve">5. </w:t>
      </w:r>
      <w:r>
        <w:rPr>
          <w:rFonts w:ascii="宋体" w:hAnsi="宋体" w:hint="eastAsia"/>
        </w:rPr>
        <w:t>熟悉四种单纯型酸碱平衡紊乱的原因和机制、分类。</w:t>
      </w:r>
    </w:p>
    <w:p w:rsidR="003717A0" w:rsidRDefault="003717A0">
      <w:pPr>
        <w:rPr>
          <w:rFonts w:ascii="宋体"/>
        </w:rPr>
      </w:pPr>
      <w:r>
        <w:rPr>
          <w:rFonts w:ascii="宋体" w:hAnsi="宋体"/>
        </w:rPr>
        <w:t xml:space="preserve">6. </w:t>
      </w:r>
      <w:r>
        <w:rPr>
          <w:rFonts w:ascii="宋体" w:hAnsi="宋体" w:hint="eastAsia"/>
        </w:rPr>
        <w:t>了解防治酸碱平衡紊乱的病理生理基础。</w:t>
      </w:r>
    </w:p>
    <w:p w:rsidR="003717A0" w:rsidRDefault="003717A0">
      <w:pPr>
        <w:rPr>
          <w:rFonts w:ascii="宋体"/>
        </w:rPr>
      </w:pPr>
      <w:r>
        <w:rPr>
          <w:rFonts w:ascii="宋体" w:hAnsi="宋体"/>
        </w:rPr>
        <w:t xml:space="preserve">7. </w:t>
      </w:r>
      <w:r>
        <w:rPr>
          <w:rFonts w:ascii="宋体" w:hAnsi="宋体" w:hint="eastAsia"/>
        </w:rPr>
        <w:t>了解混合型酸碱平衡紊乱的概念、分类、原因和特点。</w:t>
      </w:r>
    </w:p>
    <w:p w:rsidR="003717A0" w:rsidRDefault="003717A0">
      <w:pPr>
        <w:rPr>
          <w:b/>
          <w:sz w:val="22"/>
        </w:rPr>
      </w:pPr>
      <w:r>
        <w:rPr>
          <w:rFonts w:hint="eastAsia"/>
          <w:b/>
          <w:sz w:val="22"/>
        </w:rPr>
        <w:t>第七章</w:t>
      </w:r>
      <w:r>
        <w:rPr>
          <w:b/>
          <w:sz w:val="22"/>
        </w:rPr>
        <w:t xml:space="preserve"> </w:t>
      </w:r>
      <w:r>
        <w:rPr>
          <w:rFonts w:hint="eastAsia"/>
          <w:b/>
          <w:sz w:val="22"/>
        </w:rPr>
        <w:t>缺氧</w:t>
      </w:r>
    </w:p>
    <w:p w:rsidR="003717A0" w:rsidRDefault="003717A0">
      <w:pPr>
        <w:rPr>
          <w:rFonts w:ascii="宋体"/>
          <w:b/>
        </w:rPr>
      </w:pPr>
      <w:r>
        <w:rPr>
          <w:rFonts w:ascii="宋体" w:hAnsi="宋体" w:hint="eastAsia"/>
          <w:b/>
        </w:rPr>
        <w:t>教学内容（</w:t>
      </w:r>
      <w:r>
        <w:rPr>
          <w:rFonts w:ascii="宋体" w:hAnsi="宋体"/>
          <w:b/>
        </w:rPr>
        <w:t>3</w:t>
      </w:r>
      <w:r>
        <w:rPr>
          <w:rFonts w:ascii="宋体" w:hAnsi="宋体" w:hint="eastAsia"/>
          <w:b/>
        </w:rPr>
        <w:t>学时）</w:t>
      </w:r>
    </w:p>
    <w:p w:rsidR="003717A0" w:rsidRDefault="003717A0">
      <w:pPr>
        <w:rPr>
          <w:rFonts w:ascii="宋体"/>
        </w:rPr>
      </w:pPr>
      <w:r>
        <w:rPr>
          <w:rFonts w:ascii="宋体" w:hAnsi="宋体"/>
        </w:rPr>
        <w:t xml:space="preserve">1. </w:t>
      </w:r>
      <w:r>
        <w:rPr>
          <w:rFonts w:ascii="宋体" w:hAnsi="宋体" w:hint="eastAsia"/>
        </w:rPr>
        <w:t>缺氧的概念、常用的血氧指标（包括血氧分压、血氧容量、血氧含量、血氧饱和度、动</w:t>
      </w:r>
      <w:r>
        <w:rPr>
          <w:rFonts w:ascii="宋体"/>
        </w:rPr>
        <w:t>-</w:t>
      </w:r>
      <w:r>
        <w:rPr>
          <w:rFonts w:ascii="宋体" w:hAnsi="宋体" w:hint="eastAsia"/>
        </w:rPr>
        <w:t>静脉血氧含量差）的含义、正常值范围及其意义。</w:t>
      </w:r>
    </w:p>
    <w:p w:rsidR="003717A0" w:rsidRDefault="003717A0">
      <w:pPr>
        <w:rPr>
          <w:rFonts w:ascii="宋体"/>
        </w:rPr>
      </w:pPr>
      <w:r>
        <w:rPr>
          <w:rFonts w:ascii="宋体" w:hAnsi="宋体"/>
        </w:rPr>
        <w:t xml:space="preserve">2. </w:t>
      </w:r>
      <w:r>
        <w:rPr>
          <w:rFonts w:ascii="宋体" w:hAnsi="宋体" w:hint="eastAsia"/>
        </w:rPr>
        <w:t>各种类型缺氧（低张性缺氧、血液性缺氧、循环性缺氧、组织性缺氧）的概念、原因和机制、血氧指标变化、皮肤和黏膜的颜色变化及机制。</w:t>
      </w:r>
    </w:p>
    <w:p w:rsidR="003717A0" w:rsidRDefault="003717A0">
      <w:pPr>
        <w:rPr>
          <w:rFonts w:ascii="宋体"/>
        </w:rPr>
      </w:pPr>
      <w:r>
        <w:rPr>
          <w:rFonts w:ascii="宋体" w:hAnsi="宋体"/>
        </w:rPr>
        <w:t xml:space="preserve">3. </w:t>
      </w:r>
      <w:r>
        <w:rPr>
          <w:rFonts w:ascii="宋体" w:hAnsi="宋体" w:hint="eastAsia"/>
        </w:rPr>
        <w:t>缺氧时机体的代偿反应和损伤性变化及机制。</w:t>
      </w:r>
    </w:p>
    <w:p w:rsidR="003717A0" w:rsidRDefault="003717A0">
      <w:pPr>
        <w:rPr>
          <w:rFonts w:ascii="宋体"/>
        </w:rPr>
      </w:pPr>
      <w:r>
        <w:rPr>
          <w:rFonts w:ascii="宋体" w:hAnsi="宋体"/>
        </w:rPr>
        <w:t xml:space="preserve">4. </w:t>
      </w:r>
      <w:r>
        <w:rPr>
          <w:rFonts w:ascii="宋体" w:hAnsi="宋体" w:hint="eastAsia"/>
        </w:rPr>
        <w:t>自学和拓展：氧疗和氧中毒。</w:t>
      </w:r>
    </w:p>
    <w:p w:rsidR="003717A0" w:rsidRDefault="003717A0">
      <w:pPr>
        <w:rPr>
          <w:rFonts w:ascii="宋体"/>
          <w:b/>
        </w:rPr>
      </w:pPr>
      <w:r>
        <w:rPr>
          <w:rFonts w:ascii="宋体" w:hAnsi="宋体" w:hint="eastAsia"/>
          <w:b/>
        </w:rPr>
        <w:t>目的要求</w:t>
      </w:r>
    </w:p>
    <w:p w:rsidR="003717A0" w:rsidRDefault="003717A0">
      <w:pPr>
        <w:rPr>
          <w:rFonts w:ascii="宋体"/>
        </w:rPr>
      </w:pPr>
      <w:r>
        <w:rPr>
          <w:rFonts w:ascii="宋体" w:hAnsi="宋体"/>
        </w:rPr>
        <w:t xml:space="preserve">1. </w:t>
      </w:r>
      <w:r>
        <w:rPr>
          <w:rFonts w:ascii="宋体" w:hAnsi="宋体" w:hint="eastAsia"/>
        </w:rPr>
        <w:t>掌握缺氧的概念。</w:t>
      </w:r>
    </w:p>
    <w:p w:rsidR="003717A0" w:rsidRDefault="003717A0">
      <w:pPr>
        <w:rPr>
          <w:rFonts w:ascii="宋体"/>
        </w:rPr>
      </w:pPr>
      <w:r>
        <w:rPr>
          <w:rFonts w:ascii="宋体" w:hAnsi="宋体"/>
        </w:rPr>
        <w:t xml:space="preserve">2. </w:t>
      </w:r>
      <w:r>
        <w:rPr>
          <w:rFonts w:ascii="宋体" w:hAnsi="宋体" w:hint="eastAsia"/>
        </w:rPr>
        <w:t>熟悉常用的血氧指标含义、正常值范围及其意义。</w:t>
      </w:r>
    </w:p>
    <w:p w:rsidR="003717A0" w:rsidRDefault="003717A0">
      <w:pPr>
        <w:rPr>
          <w:rFonts w:ascii="宋体"/>
        </w:rPr>
      </w:pPr>
      <w:r>
        <w:rPr>
          <w:rFonts w:ascii="宋体" w:hAnsi="宋体"/>
        </w:rPr>
        <w:t xml:space="preserve">2. </w:t>
      </w:r>
      <w:r>
        <w:rPr>
          <w:rFonts w:ascii="宋体" w:hAnsi="宋体" w:hint="eastAsia"/>
        </w:rPr>
        <w:t>掌握各种类型缺氧的的概念、原因和机制、血氧指标变化、皮肤和黏膜的颜色变化及机制。</w:t>
      </w:r>
    </w:p>
    <w:p w:rsidR="003717A0" w:rsidRDefault="003717A0">
      <w:pPr>
        <w:rPr>
          <w:rFonts w:ascii="宋体"/>
        </w:rPr>
      </w:pPr>
      <w:r>
        <w:rPr>
          <w:rFonts w:ascii="宋体" w:hAnsi="宋体"/>
        </w:rPr>
        <w:t xml:space="preserve">3. </w:t>
      </w:r>
      <w:r>
        <w:rPr>
          <w:rFonts w:ascii="宋体" w:hAnsi="宋体" w:hint="eastAsia"/>
        </w:rPr>
        <w:t>掌握缺氧时机体的呼吸系统、循环系统、血液系统和组织细胞对缺氧的代偿反应及机制。</w:t>
      </w:r>
    </w:p>
    <w:p w:rsidR="003717A0" w:rsidRDefault="003717A0">
      <w:pPr>
        <w:rPr>
          <w:rFonts w:ascii="宋体"/>
        </w:rPr>
      </w:pPr>
      <w:r>
        <w:rPr>
          <w:rFonts w:ascii="宋体" w:hAnsi="宋体"/>
        </w:rPr>
        <w:t xml:space="preserve">4. </w:t>
      </w:r>
      <w:r>
        <w:rPr>
          <w:rFonts w:ascii="宋体" w:hAnsi="宋体" w:hint="eastAsia"/>
        </w:rPr>
        <w:t>熟悉缺氧时组织细胞、中枢神经系统、呼吸系统及循环系统的损伤性变化及机制。</w:t>
      </w:r>
      <w:r>
        <w:rPr>
          <w:rFonts w:ascii="宋体" w:hAnsi="宋体"/>
        </w:rPr>
        <w:t xml:space="preserve"> </w:t>
      </w:r>
    </w:p>
    <w:p w:rsidR="003717A0" w:rsidRDefault="003717A0">
      <w:pPr>
        <w:rPr>
          <w:rFonts w:ascii="宋体"/>
          <w:b/>
        </w:rPr>
      </w:pPr>
    </w:p>
    <w:p w:rsidR="003717A0" w:rsidRDefault="003717A0">
      <w:pPr>
        <w:rPr>
          <w:rFonts w:ascii="宋体"/>
          <w:b/>
        </w:rPr>
      </w:pPr>
      <w:r>
        <w:rPr>
          <w:rFonts w:ascii="宋体" w:hAnsi="宋体" w:hint="eastAsia"/>
          <w:b/>
        </w:rPr>
        <w:t>第八章</w:t>
      </w:r>
      <w:r>
        <w:rPr>
          <w:rFonts w:ascii="宋体" w:hAnsi="宋体"/>
          <w:b/>
        </w:rPr>
        <w:t xml:space="preserve"> </w:t>
      </w:r>
      <w:r>
        <w:rPr>
          <w:rFonts w:ascii="宋体" w:hAnsi="宋体" w:hint="eastAsia"/>
          <w:b/>
        </w:rPr>
        <w:t>发热</w:t>
      </w:r>
    </w:p>
    <w:p w:rsidR="003717A0" w:rsidRDefault="003717A0">
      <w:pPr>
        <w:rPr>
          <w:rFonts w:ascii="宋体"/>
          <w:b/>
        </w:rPr>
      </w:pPr>
      <w:r>
        <w:rPr>
          <w:rFonts w:ascii="宋体" w:hAnsi="宋体" w:hint="eastAsia"/>
          <w:b/>
        </w:rPr>
        <w:t>教学内容（</w:t>
      </w:r>
      <w:r>
        <w:rPr>
          <w:rFonts w:ascii="宋体" w:hAnsi="宋体"/>
          <w:b/>
        </w:rPr>
        <w:t>2</w:t>
      </w:r>
      <w:r>
        <w:rPr>
          <w:rFonts w:ascii="宋体" w:hAnsi="宋体" w:hint="eastAsia"/>
          <w:b/>
        </w:rPr>
        <w:t>学时）</w:t>
      </w:r>
    </w:p>
    <w:p w:rsidR="003717A0" w:rsidRDefault="003717A0">
      <w:pPr>
        <w:rPr>
          <w:rFonts w:ascii="宋体"/>
        </w:rPr>
      </w:pPr>
      <w:r>
        <w:rPr>
          <w:rFonts w:ascii="宋体" w:hAnsi="宋体"/>
        </w:rPr>
        <w:t xml:space="preserve">1. </w:t>
      </w:r>
      <w:r>
        <w:rPr>
          <w:rFonts w:ascii="宋体" w:hAnsi="宋体" w:hint="eastAsia"/>
        </w:rPr>
        <w:t>发热的概念。</w:t>
      </w:r>
    </w:p>
    <w:p w:rsidR="003717A0" w:rsidRDefault="003717A0">
      <w:pPr>
        <w:rPr>
          <w:rFonts w:ascii="宋体"/>
        </w:rPr>
      </w:pPr>
      <w:r>
        <w:rPr>
          <w:rFonts w:ascii="宋体" w:hAnsi="宋体"/>
        </w:rPr>
        <w:t xml:space="preserve">2. </w:t>
      </w:r>
      <w:r>
        <w:rPr>
          <w:rFonts w:ascii="宋体" w:hAnsi="宋体" w:hint="eastAsia"/>
        </w:rPr>
        <w:t>发热的发病机制（三个环节）。</w:t>
      </w:r>
    </w:p>
    <w:p w:rsidR="003717A0" w:rsidRDefault="003717A0">
      <w:pPr>
        <w:rPr>
          <w:rFonts w:ascii="宋体"/>
        </w:rPr>
      </w:pPr>
      <w:r>
        <w:rPr>
          <w:rFonts w:ascii="宋体" w:hAnsi="宋体"/>
        </w:rPr>
        <w:t xml:space="preserve">3. </w:t>
      </w:r>
      <w:r>
        <w:rPr>
          <w:rFonts w:ascii="宋体" w:hAnsi="宋体" w:hint="eastAsia"/>
        </w:rPr>
        <w:t>发热过程三个时期热代谢变化的特点和机制及临床表现。</w:t>
      </w:r>
    </w:p>
    <w:p w:rsidR="003717A0" w:rsidRDefault="003717A0">
      <w:pPr>
        <w:rPr>
          <w:rFonts w:ascii="宋体"/>
        </w:rPr>
      </w:pPr>
      <w:r>
        <w:rPr>
          <w:rFonts w:ascii="宋体" w:hAnsi="宋体"/>
        </w:rPr>
        <w:t xml:space="preserve">4. </w:t>
      </w:r>
      <w:r>
        <w:rPr>
          <w:rFonts w:ascii="宋体" w:hAnsi="宋体" w:hint="eastAsia"/>
        </w:rPr>
        <w:t>自学和拓展：发热防治的病理生理基础。</w:t>
      </w:r>
    </w:p>
    <w:p w:rsidR="003717A0" w:rsidRDefault="003717A0">
      <w:pPr>
        <w:rPr>
          <w:rFonts w:ascii="宋体"/>
          <w:b/>
        </w:rPr>
      </w:pPr>
      <w:r>
        <w:rPr>
          <w:rFonts w:ascii="宋体" w:hAnsi="宋体" w:hint="eastAsia"/>
          <w:b/>
        </w:rPr>
        <w:t>目的要求</w:t>
      </w:r>
    </w:p>
    <w:p w:rsidR="003717A0" w:rsidRDefault="003717A0">
      <w:pPr>
        <w:rPr>
          <w:rFonts w:ascii="宋体"/>
        </w:rPr>
      </w:pPr>
      <w:r>
        <w:rPr>
          <w:rFonts w:ascii="宋体" w:hAnsi="宋体"/>
        </w:rPr>
        <w:t xml:space="preserve">1. </w:t>
      </w:r>
      <w:r>
        <w:rPr>
          <w:rFonts w:ascii="宋体" w:hAnsi="宋体" w:hint="eastAsia"/>
        </w:rPr>
        <w:t>掌握发热的概念及发病机制。</w:t>
      </w:r>
    </w:p>
    <w:p w:rsidR="003717A0" w:rsidRDefault="003717A0">
      <w:pPr>
        <w:rPr>
          <w:rFonts w:ascii="宋体"/>
        </w:rPr>
      </w:pPr>
      <w:r>
        <w:rPr>
          <w:rFonts w:ascii="宋体" w:hAnsi="宋体"/>
        </w:rPr>
        <w:t xml:space="preserve">2. </w:t>
      </w:r>
      <w:r>
        <w:rPr>
          <w:rFonts w:ascii="宋体" w:hAnsi="宋体" w:hint="eastAsia"/>
        </w:rPr>
        <w:t>掌握发热激活物、内生致热原的概念、种类和特性，发热中枢调节介质的种类。</w:t>
      </w:r>
    </w:p>
    <w:p w:rsidR="003717A0" w:rsidRDefault="003717A0">
      <w:pPr>
        <w:rPr>
          <w:rFonts w:ascii="宋体"/>
        </w:rPr>
      </w:pPr>
      <w:r>
        <w:rPr>
          <w:rFonts w:ascii="宋体" w:hAnsi="宋体"/>
        </w:rPr>
        <w:t xml:space="preserve">3. </w:t>
      </w:r>
      <w:r>
        <w:rPr>
          <w:rFonts w:ascii="宋体" w:hAnsi="宋体" w:hint="eastAsia"/>
        </w:rPr>
        <w:t>掌握发热过程三个时期热代谢变化的特点和机制。</w:t>
      </w:r>
    </w:p>
    <w:p w:rsidR="003717A0" w:rsidRDefault="003717A0">
      <w:pPr>
        <w:rPr>
          <w:rFonts w:ascii="宋体"/>
        </w:rPr>
      </w:pPr>
      <w:r>
        <w:rPr>
          <w:rFonts w:ascii="宋体" w:hAnsi="宋体"/>
        </w:rPr>
        <w:t xml:space="preserve">4. </w:t>
      </w:r>
      <w:r>
        <w:rPr>
          <w:rFonts w:ascii="宋体" w:hAnsi="宋体" w:hint="eastAsia"/>
        </w:rPr>
        <w:t>了解发热时三个时期临床表现。</w:t>
      </w:r>
    </w:p>
    <w:p w:rsidR="003717A0" w:rsidRDefault="003717A0">
      <w:pPr>
        <w:rPr>
          <w:rFonts w:ascii="Times New Roman"/>
          <w:b/>
        </w:rPr>
      </w:pPr>
      <w:r>
        <w:rPr>
          <w:rFonts w:ascii="宋体" w:hAnsi="宋体"/>
        </w:rPr>
        <w:t xml:space="preserve">5. </w:t>
      </w:r>
      <w:r>
        <w:rPr>
          <w:rFonts w:ascii="宋体" w:hAnsi="宋体" w:hint="eastAsia"/>
        </w:rPr>
        <w:t>了解发热的处理原则。</w:t>
      </w:r>
    </w:p>
    <w:p w:rsidR="003717A0" w:rsidRDefault="003717A0">
      <w:pPr>
        <w:rPr>
          <w:b/>
          <w:sz w:val="22"/>
        </w:rPr>
      </w:pPr>
      <w:r>
        <w:rPr>
          <w:rFonts w:hint="eastAsia"/>
          <w:b/>
          <w:sz w:val="22"/>
        </w:rPr>
        <w:t>第十二章</w:t>
      </w:r>
      <w:r>
        <w:rPr>
          <w:b/>
          <w:sz w:val="22"/>
        </w:rPr>
        <w:t xml:space="preserve">  </w:t>
      </w:r>
      <w:r>
        <w:rPr>
          <w:rFonts w:hint="eastAsia"/>
          <w:b/>
          <w:sz w:val="22"/>
        </w:rPr>
        <w:t>缺血</w:t>
      </w:r>
      <w:r>
        <w:rPr>
          <w:b/>
          <w:sz w:val="22"/>
        </w:rPr>
        <w:t>-</w:t>
      </w:r>
      <w:r>
        <w:rPr>
          <w:rFonts w:hint="eastAsia"/>
          <w:b/>
          <w:sz w:val="22"/>
        </w:rPr>
        <w:t>再灌注损伤</w:t>
      </w:r>
    </w:p>
    <w:p w:rsidR="003717A0" w:rsidRDefault="003717A0">
      <w:pPr>
        <w:rPr>
          <w:rFonts w:asci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rPr>
          <w:rFonts w:ascii="宋体"/>
        </w:rPr>
      </w:pPr>
      <w:r>
        <w:rPr>
          <w:rFonts w:ascii="宋体" w:hAnsi="宋体"/>
        </w:rPr>
        <w:t>1</w:t>
      </w:r>
      <w:r>
        <w:rPr>
          <w:rFonts w:ascii="宋体" w:hAnsi="宋体" w:hint="eastAsia"/>
        </w:rPr>
        <w:t>．缺血</w:t>
      </w:r>
      <w:r>
        <w:rPr>
          <w:rFonts w:ascii="宋体"/>
        </w:rPr>
        <w:t>-</w:t>
      </w:r>
      <w:r>
        <w:rPr>
          <w:rFonts w:ascii="宋体" w:hAnsi="宋体" w:hint="eastAsia"/>
        </w:rPr>
        <w:t>再灌注损伤的概念。</w:t>
      </w:r>
    </w:p>
    <w:p w:rsidR="003717A0" w:rsidRDefault="003717A0">
      <w:pPr>
        <w:rPr>
          <w:rFonts w:ascii="宋体"/>
        </w:rPr>
      </w:pPr>
      <w:r>
        <w:rPr>
          <w:rFonts w:ascii="宋体" w:hAnsi="宋体"/>
        </w:rPr>
        <w:t>2</w:t>
      </w:r>
      <w:r>
        <w:rPr>
          <w:rFonts w:ascii="宋体" w:hAnsi="宋体" w:hint="eastAsia"/>
        </w:rPr>
        <w:t>．缺血</w:t>
      </w:r>
      <w:r>
        <w:rPr>
          <w:rFonts w:ascii="宋体"/>
        </w:rPr>
        <w:t>-</w:t>
      </w:r>
      <w:r>
        <w:rPr>
          <w:rFonts w:ascii="宋体" w:hAnsi="宋体" w:hint="eastAsia"/>
        </w:rPr>
        <w:t>再灌注损伤的原因及条件。</w:t>
      </w:r>
    </w:p>
    <w:p w:rsidR="003717A0" w:rsidRDefault="003717A0">
      <w:pPr>
        <w:rPr>
          <w:rFonts w:ascii="宋体"/>
        </w:rPr>
      </w:pPr>
      <w:r>
        <w:rPr>
          <w:rFonts w:ascii="宋体" w:hAnsi="宋体"/>
        </w:rPr>
        <w:t>3</w:t>
      </w:r>
      <w:r>
        <w:rPr>
          <w:rFonts w:ascii="宋体" w:hAnsi="宋体" w:hint="eastAsia"/>
        </w:rPr>
        <w:t>．缺血</w:t>
      </w:r>
      <w:r>
        <w:rPr>
          <w:rFonts w:ascii="宋体"/>
        </w:rPr>
        <w:t>-</w:t>
      </w:r>
      <w:r>
        <w:rPr>
          <w:rFonts w:ascii="宋体" w:hAnsi="宋体" w:hint="eastAsia"/>
        </w:rPr>
        <w:t>再灌注损伤的发生机制：自由基的概念，氧自由基增多的机制及其损伤作用；钙超载的概</w:t>
      </w:r>
      <w:r>
        <w:rPr>
          <w:rFonts w:ascii="宋体" w:hAnsi="宋体" w:hint="eastAsia"/>
        </w:rPr>
        <w:lastRenderedPageBreak/>
        <w:t>念、机制及其损伤作用；白细胞的作用。</w:t>
      </w:r>
    </w:p>
    <w:p w:rsidR="003717A0" w:rsidRDefault="003717A0">
      <w:pPr>
        <w:rPr>
          <w:rFonts w:ascii="宋体"/>
        </w:rPr>
      </w:pPr>
      <w:r>
        <w:rPr>
          <w:rFonts w:ascii="宋体" w:hAnsi="宋体"/>
        </w:rPr>
        <w:t>4</w:t>
      </w:r>
      <w:r>
        <w:rPr>
          <w:rFonts w:ascii="宋体" w:hAnsi="宋体" w:hint="eastAsia"/>
        </w:rPr>
        <w:t>．缺血</w:t>
      </w:r>
      <w:r>
        <w:rPr>
          <w:rFonts w:ascii="宋体"/>
        </w:rPr>
        <w:t>-</w:t>
      </w:r>
      <w:r>
        <w:rPr>
          <w:rFonts w:ascii="宋体" w:hAnsi="宋体" w:hint="eastAsia"/>
        </w:rPr>
        <w:t>再灌注损伤时器官的功能、代谢变化。</w:t>
      </w:r>
    </w:p>
    <w:p w:rsidR="003717A0" w:rsidRDefault="003717A0">
      <w:pPr>
        <w:rPr>
          <w:rFonts w:ascii="宋体"/>
        </w:rPr>
      </w:pPr>
      <w:r>
        <w:rPr>
          <w:rFonts w:ascii="宋体" w:hAnsi="宋体"/>
        </w:rPr>
        <w:t>5</w:t>
      </w:r>
      <w:r>
        <w:rPr>
          <w:rFonts w:ascii="宋体" w:hAnsi="宋体" w:hint="eastAsia"/>
        </w:rPr>
        <w:t>．缺血</w:t>
      </w:r>
      <w:r>
        <w:rPr>
          <w:rFonts w:ascii="宋体"/>
        </w:rPr>
        <w:t>-</w:t>
      </w:r>
      <w:r>
        <w:rPr>
          <w:rFonts w:ascii="宋体" w:hAnsi="宋体" w:hint="eastAsia"/>
        </w:rPr>
        <w:t>再灌注损伤防治的病理生理基础。</w:t>
      </w:r>
    </w:p>
    <w:p w:rsidR="003717A0" w:rsidRDefault="003717A0">
      <w:pPr>
        <w:rPr>
          <w:rFonts w:ascii="Times New Roman" w:hAnsi="Times New Roman"/>
          <w:b/>
        </w:rPr>
      </w:pPr>
      <w:r>
        <w:rPr>
          <w:rFonts w:ascii="Times New Roman" w:hAnsi="Times New Roman" w:hint="eastAsia"/>
          <w:b/>
        </w:rPr>
        <w:t>目的要求</w:t>
      </w:r>
    </w:p>
    <w:p w:rsidR="003717A0" w:rsidRDefault="003717A0">
      <w:pPr>
        <w:rPr>
          <w:rFonts w:ascii="宋体"/>
        </w:rPr>
      </w:pPr>
      <w:r>
        <w:rPr>
          <w:rFonts w:ascii="宋体" w:hAnsi="宋体"/>
        </w:rPr>
        <w:t xml:space="preserve">1. </w:t>
      </w:r>
      <w:r>
        <w:rPr>
          <w:rFonts w:ascii="宋体" w:hAnsi="宋体" w:hint="eastAsia"/>
        </w:rPr>
        <w:t>掌握缺血</w:t>
      </w:r>
      <w:r>
        <w:rPr>
          <w:rFonts w:ascii="宋体"/>
        </w:rPr>
        <w:t>-</w:t>
      </w:r>
      <w:r>
        <w:rPr>
          <w:rFonts w:ascii="宋体" w:hAnsi="宋体" w:hint="eastAsia"/>
        </w:rPr>
        <w:t>再灌注损伤的概念。</w:t>
      </w:r>
    </w:p>
    <w:p w:rsidR="003717A0" w:rsidRDefault="003717A0">
      <w:pPr>
        <w:rPr>
          <w:rFonts w:ascii="宋体"/>
        </w:rPr>
      </w:pPr>
      <w:r>
        <w:rPr>
          <w:rFonts w:ascii="宋体" w:hAnsi="宋体"/>
        </w:rPr>
        <w:t xml:space="preserve">2. </w:t>
      </w:r>
      <w:r>
        <w:rPr>
          <w:rFonts w:ascii="宋体" w:hAnsi="宋体" w:hint="eastAsia"/>
        </w:rPr>
        <w:t>熟悉缺血</w:t>
      </w:r>
      <w:r>
        <w:rPr>
          <w:rFonts w:ascii="宋体"/>
        </w:rPr>
        <w:t>-</w:t>
      </w:r>
      <w:r>
        <w:rPr>
          <w:rFonts w:ascii="宋体" w:hAnsi="宋体" w:hint="eastAsia"/>
        </w:rPr>
        <w:t>再灌注损伤的原因和条件。</w:t>
      </w:r>
    </w:p>
    <w:p w:rsidR="003717A0" w:rsidRDefault="003717A0">
      <w:pPr>
        <w:rPr>
          <w:rFonts w:ascii="宋体"/>
        </w:rPr>
      </w:pPr>
      <w:r>
        <w:rPr>
          <w:rFonts w:ascii="宋体" w:hAnsi="宋体"/>
        </w:rPr>
        <w:t xml:space="preserve">3. </w:t>
      </w:r>
      <w:r>
        <w:rPr>
          <w:rFonts w:ascii="宋体" w:hAnsi="宋体" w:hint="eastAsia"/>
        </w:rPr>
        <w:t>掌握自由基和钙超载的概念，掌握自由基在缺血</w:t>
      </w:r>
      <w:r>
        <w:rPr>
          <w:rFonts w:ascii="宋体"/>
        </w:rPr>
        <w:t>-</w:t>
      </w:r>
      <w:r>
        <w:rPr>
          <w:rFonts w:ascii="宋体" w:hAnsi="宋体" w:hint="eastAsia"/>
        </w:rPr>
        <w:t>再灌注损伤中的作用。熟悉钙超载和白细胞在缺血</w:t>
      </w:r>
      <w:r>
        <w:rPr>
          <w:rFonts w:ascii="宋体"/>
        </w:rPr>
        <w:t>-</w:t>
      </w:r>
      <w:r>
        <w:rPr>
          <w:rFonts w:ascii="宋体" w:hAnsi="宋体" w:hint="eastAsia"/>
        </w:rPr>
        <w:t>再灌注损伤中的作用。</w:t>
      </w:r>
    </w:p>
    <w:p w:rsidR="003717A0" w:rsidRDefault="003717A0">
      <w:pPr>
        <w:rPr>
          <w:rFonts w:ascii="宋体"/>
        </w:rPr>
      </w:pPr>
      <w:r>
        <w:rPr>
          <w:rFonts w:ascii="宋体" w:hAnsi="宋体"/>
        </w:rPr>
        <w:t xml:space="preserve">4. </w:t>
      </w:r>
      <w:r>
        <w:rPr>
          <w:rFonts w:ascii="宋体" w:hAnsi="宋体" w:hint="eastAsia"/>
        </w:rPr>
        <w:t>掌握心机顿抑的概念。熟悉缺血</w:t>
      </w:r>
      <w:r>
        <w:rPr>
          <w:rFonts w:ascii="宋体"/>
        </w:rPr>
        <w:t>-</w:t>
      </w:r>
      <w:r>
        <w:rPr>
          <w:rFonts w:ascii="宋体" w:hAnsi="宋体" w:hint="eastAsia"/>
        </w:rPr>
        <w:t>再灌注损伤时机体的功能和代谢变化。</w:t>
      </w:r>
    </w:p>
    <w:p w:rsidR="003717A0" w:rsidRDefault="003717A0">
      <w:pPr>
        <w:rPr>
          <w:rFonts w:ascii="Times New Roman"/>
          <w:b/>
        </w:rPr>
      </w:pPr>
      <w:r>
        <w:rPr>
          <w:rFonts w:ascii="宋体" w:hAnsi="宋体"/>
        </w:rPr>
        <w:t xml:space="preserve">5. </w:t>
      </w:r>
      <w:r>
        <w:rPr>
          <w:rFonts w:ascii="宋体" w:hAnsi="宋体" w:hint="eastAsia"/>
        </w:rPr>
        <w:t>了解防治缺血</w:t>
      </w:r>
      <w:r>
        <w:rPr>
          <w:rFonts w:ascii="宋体"/>
        </w:rPr>
        <w:t>-</w:t>
      </w:r>
      <w:r>
        <w:rPr>
          <w:rFonts w:ascii="宋体" w:hAnsi="宋体" w:hint="eastAsia"/>
        </w:rPr>
        <w:t>再灌注损伤的病理生理基础。</w:t>
      </w:r>
    </w:p>
    <w:p w:rsidR="003717A0" w:rsidRDefault="003717A0">
      <w:pPr>
        <w:rPr>
          <w:rFonts w:ascii="Times New Roman" w:hAnsi="Times New Roman"/>
          <w:b/>
        </w:rPr>
      </w:pPr>
    </w:p>
    <w:p w:rsidR="003717A0" w:rsidRDefault="003717A0">
      <w:pPr>
        <w:rPr>
          <w:sz w:val="22"/>
        </w:rPr>
      </w:pPr>
      <w:r>
        <w:rPr>
          <w:rFonts w:hint="eastAsia"/>
          <w:b/>
          <w:sz w:val="22"/>
        </w:rPr>
        <w:t>第十三章</w:t>
      </w:r>
      <w:r>
        <w:rPr>
          <w:b/>
          <w:sz w:val="22"/>
        </w:rPr>
        <w:t xml:space="preserve"> </w:t>
      </w:r>
      <w:r>
        <w:rPr>
          <w:rFonts w:hint="eastAsia"/>
          <w:b/>
          <w:sz w:val="22"/>
        </w:rPr>
        <w:t>休克</w:t>
      </w:r>
    </w:p>
    <w:p w:rsidR="003717A0" w:rsidRDefault="003717A0">
      <w:pPr>
        <w:rPr>
          <w:rFonts w:ascii="Times New Roman"/>
          <w:b/>
        </w:rPr>
      </w:pPr>
      <w:r>
        <w:rPr>
          <w:rFonts w:ascii="Times New Roman" w:hint="eastAsia"/>
          <w:b/>
        </w:rPr>
        <w:t>教学内容（</w:t>
      </w:r>
      <w:r>
        <w:rPr>
          <w:rFonts w:ascii="Times New Roman"/>
          <w:b/>
        </w:rPr>
        <w:t>3</w:t>
      </w:r>
      <w:r>
        <w:rPr>
          <w:rFonts w:ascii="Times New Roman" w:hint="eastAsia"/>
          <w:b/>
        </w:rPr>
        <w:t>学时）</w:t>
      </w:r>
    </w:p>
    <w:p w:rsidR="007A7CF2" w:rsidRPr="007A7CF2" w:rsidRDefault="007A7CF2" w:rsidP="007A7CF2">
      <w:pPr>
        <w:rPr>
          <w:rFonts w:ascii="宋体"/>
          <w:color w:val="000000"/>
          <w:szCs w:val="21"/>
        </w:rPr>
      </w:pPr>
      <w:r w:rsidRPr="007A7CF2">
        <w:rPr>
          <w:rFonts w:ascii="宋体" w:hAnsi="宋体" w:hint="eastAsia"/>
          <w:color w:val="000000"/>
          <w:szCs w:val="21"/>
        </w:rPr>
        <w:t>1.休克的概念、休克的分类（按始动环节分）。</w:t>
      </w:r>
    </w:p>
    <w:p w:rsidR="007A7CF2" w:rsidRPr="007A7CF2" w:rsidRDefault="007A7CF2" w:rsidP="007A7CF2">
      <w:pPr>
        <w:rPr>
          <w:rFonts w:ascii="宋体"/>
          <w:color w:val="000000"/>
          <w:szCs w:val="21"/>
        </w:rPr>
      </w:pPr>
      <w:r w:rsidRPr="007A7CF2">
        <w:rPr>
          <w:rFonts w:ascii="宋体" w:hAnsi="宋体" w:hint="eastAsia"/>
          <w:color w:val="000000"/>
          <w:szCs w:val="21"/>
        </w:rPr>
        <w:t>2.休克各期微循环变化及发生机制。</w:t>
      </w:r>
    </w:p>
    <w:p w:rsidR="007A7CF2" w:rsidRPr="007A7CF2" w:rsidRDefault="007A7CF2" w:rsidP="007A7CF2">
      <w:pPr>
        <w:rPr>
          <w:rFonts w:ascii="宋体"/>
          <w:color w:val="000000"/>
          <w:szCs w:val="21"/>
        </w:rPr>
      </w:pPr>
      <w:r w:rsidRPr="007A7CF2">
        <w:rPr>
          <w:rFonts w:ascii="宋体" w:hAnsi="宋体"/>
          <w:color w:val="000000"/>
          <w:szCs w:val="21"/>
        </w:rPr>
        <w:t xml:space="preserve"> </w:t>
      </w:r>
      <w:r w:rsidRPr="007A7CF2">
        <w:rPr>
          <w:rFonts w:ascii="宋体" w:hAnsi="宋体" w:hint="eastAsia"/>
          <w:color w:val="000000"/>
          <w:szCs w:val="21"/>
        </w:rPr>
        <w:t>3.休克代偿期微循环变化的代偿意义及休克失代偿期微循环变化对机体的影响。</w:t>
      </w:r>
    </w:p>
    <w:p w:rsidR="007A7CF2" w:rsidRPr="007A7CF2" w:rsidRDefault="007A7CF2" w:rsidP="007A7CF2">
      <w:pPr>
        <w:rPr>
          <w:rFonts w:ascii="宋体"/>
          <w:color w:val="000000"/>
          <w:szCs w:val="21"/>
        </w:rPr>
      </w:pPr>
      <w:r w:rsidRPr="007A7CF2">
        <w:rPr>
          <w:rFonts w:ascii="宋体" w:hAnsi="宋体"/>
          <w:color w:val="000000"/>
          <w:szCs w:val="21"/>
        </w:rPr>
        <w:t xml:space="preserve"> </w:t>
      </w:r>
      <w:r w:rsidRPr="007A7CF2">
        <w:rPr>
          <w:rFonts w:ascii="宋体" w:hAnsi="宋体" w:hint="eastAsia"/>
          <w:color w:val="000000"/>
          <w:szCs w:val="21"/>
        </w:rPr>
        <w:t>4.多器官功能障碍综合征和全身炎症反应综合症的概念。</w:t>
      </w:r>
    </w:p>
    <w:p w:rsidR="007A7CF2" w:rsidRPr="007A7CF2" w:rsidRDefault="007A7CF2" w:rsidP="007A7CF2">
      <w:pPr>
        <w:rPr>
          <w:rFonts w:ascii="宋体"/>
          <w:color w:val="000000"/>
          <w:szCs w:val="21"/>
        </w:rPr>
      </w:pPr>
      <w:r w:rsidRPr="007A7CF2">
        <w:rPr>
          <w:rFonts w:ascii="宋体" w:hAnsi="宋体"/>
          <w:color w:val="000000"/>
          <w:szCs w:val="21"/>
        </w:rPr>
        <w:t xml:space="preserve"> </w:t>
      </w:r>
      <w:r w:rsidRPr="007A7CF2">
        <w:rPr>
          <w:rFonts w:ascii="宋体" w:hAnsi="宋体" w:hint="eastAsia"/>
          <w:color w:val="000000"/>
          <w:szCs w:val="21"/>
        </w:rPr>
        <w:t>5.</w:t>
      </w:r>
      <w:r w:rsidRPr="007A7CF2">
        <w:rPr>
          <w:rFonts w:ascii="Times New Roman" w:hint="eastAsia"/>
          <w:color w:val="000000"/>
          <w:szCs w:val="21"/>
        </w:rPr>
        <w:t>自学和拓展：</w:t>
      </w:r>
      <w:r w:rsidRPr="007A7CF2">
        <w:rPr>
          <w:rFonts w:ascii="宋体" w:hAnsi="宋体" w:hint="eastAsia"/>
          <w:color w:val="000000"/>
          <w:szCs w:val="21"/>
        </w:rPr>
        <w:t>休克过程中的器官功能障碍；全身炎症反应综合症的机制</w:t>
      </w:r>
      <w:r w:rsidRPr="007A7CF2">
        <w:rPr>
          <w:rFonts w:ascii="宋体" w:hAnsi="宋体"/>
          <w:color w:val="000000"/>
          <w:szCs w:val="21"/>
        </w:rPr>
        <w:t xml:space="preserve">; </w:t>
      </w:r>
      <w:r w:rsidRPr="007A7CF2">
        <w:rPr>
          <w:rFonts w:ascii="宋体" w:hAnsi="宋体" w:hint="eastAsia"/>
          <w:color w:val="000000"/>
          <w:szCs w:val="21"/>
        </w:rPr>
        <w:t>休克时细胞代谢变化</w:t>
      </w:r>
      <w:r w:rsidRPr="007A7CF2">
        <w:rPr>
          <w:rFonts w:ascii="宋体" w:hAnsi="宋体"/>
          <w:color w:val="000000"/>
          <w:szCs w:val="21"/>
        </w:rPr>
        <w:t xml:space="preserve">; </w:t>
      </w:r>
      <w:r w:rsidRPr="007A7CF2">
        <w:rPr>
          <w:rFonts w:ascii="宋体" w:hAnsi="宋体" w:hint="eastAsia"/>
          <w:color w:val="000000"/>
          <w:szCs w:val="21"/>
        </w:rPr>
        <w:t>休克防治的病理生理基础和进展。</w:t>
      </w:r>
    </w:p>
    <w:p w:rsidR="003717A0" w:rsidRDefault="003717A0">
      <w:pPr>
        <w:rPr>
          <w:rFonts w:ascii="Times New Roman"/>
          <w:b/>
        </w:rPr>
      </w:pPr>
      <w:r>
        <w:rPr>
          <w:rFonts w:ascii="Times New Roman" w:hint="eastAsia"/>
          <w:b/>
        </w:rPr>
        <w:t>目的要求</w:t>
      </w:r>
    </w:p>
    <w:p w:rsidR="007A7CF2" w:rsidRPr="007A7CF2" w:rsidRDefault="007A7CF2" w:rsidP="007A7CF2">
      <w:pPr>
        <w:rPr>
          <w:rFonts w:ascii="宋体"/>
          <w:color w:val="000000"/>
          <w:szCs w:val="21"/>
        </w:rPr>
      </w:pPr>
      <w:r w:rsidRPr="007A7CF2">
        <w:rPr>
          <w:rFonts w:ascii="Times New Roman"/>
          <w:color w:val="000000"/>
          <w:szCs w:val="21"/>
        </w:rPr>
        <w:t xml:space="preserve">1.  </w:t>
      </w:r>
      <w:r w:rsidRPr="007A7CF2">
        <w:rPr>
          <w:rFonts w:ascii="Times New Roman" w:hint="eastAsia"/>
          <w:color w:val="000000"/>
          <w:szCs w:val="21"/>
        </w:rPr>
        <w:t>掌握</w:t>
      </w:r>
      <w:r w:rsidRPr="007A7CF2">
        <w:rPr>
          <w:rFonts w:ascii="宋体" w:hAnsi="宋体" w:hint="eastAsia"/>
          <w:color w:val="000000"/>
          <w:szCs w:val="21"/>
        </w:rPr>
        <w:t>休克的概念、休克的分类（按始动环节分）。</w:t>
      </w:r>
    </w:p>
    <w:p w:rsidR="007A7CF2" w:rsidRPr="007A7CF2" w:rsidRDefault="007A7CF2" w:rsidP="007A7CF2">
      <w:pPr>
        <w:rPr>
          <w:rFonts w:ascii="宋体"/>
          <w:color w:val="000000"/>
          <w:szCs w:val="21"/>
        </w:rPr>
      </w:pPr>
      <w:r w:rsidRPr="007A7CF2">
        <w:rPr>
          <w:rFonts w:ascii="宋体" w:hAnsi="宋体"/>
          <w:color w:val="000000"/>
          <w:szCs w:val="21"/>
        </w:rPr>
        <w:t xml:space="preserve"> 2.  </w:t>
      </w:r>
      <w:r w:rsidRPr="007A7CF2">
        <w:rPr>
          <w:rFonts w:ascii="宋体" w:hAnsi="宋体" w:hint="eastAsia"/>
          <w:color w:val="000000"/>
          <w:szCs w:val="21"/>
        </w:rPr>
        <w:t>掌握休克各期微循环变化、发生机制。</w:t>
      </w:r>
    </w:p>
    <w:p w:rsidR="007A7CF2" w:rsidRPr="007A7CF2" w:rsidRDefault="007A7CF2" w:rsidP="007A7CF2">
      <w:pPr>
        <w:rPr>
          <w:rFonts w:ascii="宋体"/>
          <w:color w:val="000000"/>
          <w:szCs w:val="21"/>
        </w:rPr>
      </w:pPr>
      <w:r w:rsidRPr="007A7CF2">
        <w:rPr>
          <w:rFonts w:ascii="宋体" w:hAnsi="宋体" w:hint="eastAsia"/>
          <w:color w:val="000000"/>
          <w:szCs w:val="21"/>
        </w:rPr>
        <w:t>3.掌握休克早期和中期微循环的变化对机体的影响。</w:t>
      </w:r>
    </w:p>
    <w:p w:rsidR="007A7CF2" w:rsidRPr="007A7CF2" w:rsidRDefault="007A7CF2" w:rsidP="007A7CF2">
      <w:pPr>
        <w:rPr>
          <w:rFonts w:ascii="宋体"/>
          <w:color w:val="000000"/>
          <w:szCs w:val="21"/>
        </w:rPr>
      </w:pPr>
      <w:r w:rsidRPr="007A7CF2">
        <w:rPr>
          <w:rFonts w:ascii="宋体" w:hAnsi="宋体" w:hint="eastAsia"/>
          <w:color w:val="000000"/>
          <w:szCs w:val="21"/>
        </w:rPr>
        <w:t>4.掌握多器官功能障碍综合征的概念。</w:t>
      </w:r>
    </w:p>
    <w:p w:rsidR="007A7CF2" w:rsidRPr="007A7CF2" w:rsidRDefault="007A7CF2" w:rsidP="007A7CF2">
      <w:pPr>
        <w:rPr>
          <w:rFonts w:ascii="宋体"/>
          <w:color w:val="000000"/>
          <w:szCs w:val="21"/>
        </w:rPr>
      </w:pPr>
      <w:r w:rsidRPr="007A7CF2">
        <w:rPr>
          <w:rFonts w:ascii="宋体" w:hAnsi="宋体" w:hint="eastAsia"/>
          <w:color w:val="000000"/>
          <w:szCs w:val="21"/>
        </w:rPr>
        <w:t>5.熟悉全身炎症反应综合症的概念，了解其机制。</w:t>
      </w:r>
    </w:p>
    <w:p w:rsidR="007A7CF2" w:rsidRPr="007A7CF2" w:rsidRDefault="007A7CF2" w:rsidP="007A7CF2">
      <w:pPr>
        <w:rPr>
          <w:rFonts w:ascii="宋体"/>
          <w:color w:val="000000"/>
          <w:szCs w:val="21"/>
        </w:rPr>
      </w:pPr>
      <w:r w:rsidRPr="007A7CF2">
        <w:rPr>
          <w:rFonts w:ascii="宋体" w:hAnsi="宋体" w:hint="eastAsia"/>
          <w:color w:val="000000"/>
          <w:szCs w:val="21"/>
        </w:rPr>
        <w:t>6.了解休克过程中的器官功能障碍</w:t>
      </w:r>
    </w:p>
    <w:p w:rsidR="007A7CF2" w:rsidRPr="007A7CF2" w:rsidRDefault="007A7CF2" w:rsidP="007A7CF2">
      <w:pPr>
        <w:rPr>
          <w:rFonts w:ascii="Times New Roman" w:hAnsi="Times New Roman"/>
          <w:color w:val="000000"/>
          <w:szCs w:val="21"/>
        </w:rPr>
      </w:pPr>
      <w:r w:rsidRPr="007A7CF2">
        <w:rPr>
          <w:rFonts w:ascii="宋体" w:hAnsi="宋体"/>
          <w:color w:val="000000"/>
          <w:szCs w:val="21"/>
        </w:rPr>
        <w:t xml:space="preserve">7. </w:t>
      </w:r>
      <w:r w:rsidRPr="007A7CF2">
        <w:rPr>
          <w:rFonts w:ascii="宋体" w:hAnsi="宋体" w:hint="eastAsia"/>
          <w:color w:val="000000"/>
          <w:szCs w:val="21"/>
        </w:rPr>
        <w:t>了解休克时细胞代谢变化</w:t>
      </w:r>
      <w:r w:rsidRPr="007A7CF2">
        <w:rPr>
          <w:rFonts w:ascii="宋体" w:hAnsi="宋体"/>
          <w:color w:val="000000"/>
          <w:szCs w:val="21"/>
        </w:rPr>
        <w:t xml:space="preserve">; </w:t>
      </w:r>
      <w:r w:rsidRPr="007A7CF2">
        <w:rPr>
          <w:rFonts w:ascii="宋体" w:hAnsi="宋体" w:hint="eastAsia"/>
          <w:color w:val="000000"/>
          <w:szCs w:val="21"/>
        </w:rPr>
        <w:t>休克防治的病理生理基础和进展。</w:t>
      </w:r>
    </w:p>
    <w:p w:rsidR="003717A0" w:rsidRDefault="003717A0">
      <w:pPr>
        <w:rPr>
          <w:b/>
          <w:sz w:val="22"/>
        </w:rPr>
      </w:pPr>
      <w:r>
        <w:rPr>
          <w:rFonts w:hint="eastAsia"/>
          <w:b/>
          <w:sz w:val="22"/>
        </w:rPr>
        <w:t>第十四章</w:t>
      </w:r>
      <w:r>
        <w:rPr>
          <w:b/>
          <w:sz w:val="22"/>
        </w:rPr>
        <w:t xml:space="preserve"> </w:t>
      </w:r>
      <w:r>
        <w:rPr>
          <w:rFonts w:hint="eastAsia"/>
          <w:b/>
          <w:sz w:val="22"/>
        </w:rPr>
        <w:t>凝血与抗凝血平衡紊乱</w:t>
      </w:r>
    </w:p>
    <w:p w:rsidR="003717A0" w:rsidRDefault="003717A0">
      <w:pPr>
        <w:rPr>
          <w:rFonts w:ascii="宋体"/>
          <w:b/>
        </w:rPr>
      </w:pPr>
      <w:r>
        <w:rPr>
          <w:rFonts w:ascii="宋体" w:hAnsi="宋体" w:hint="eastAsia"/>
          <w:b/>
        </w:rPr>
        <w:t>教学内容（</w:t>
      </w:r>
      <w:r>
        <w:rPr>
          <w:rFonts w:ascii="宋体" w:hAnsi="宋体"/>
          <w:b/>
        </w:rPr>
        <w:t>2</w:t>
      </w:r>
      <w:r>
        <w:rPr>
          <w:rFonts w:ascii="宋体" w:hAnsi="宋体" w:hint="eastAsia"/>
          <w:b/>
        </w:rPr>
        <w:t>学时）</w:t>
      </w:r>
    </w:p>
    <w:p w:rsidR="007A7CF2" w:rsidRPr="005D15DA" w:rsidRDefault="007A7CF2" w:rsidP="007A7CF2">
      <w:pPr>
        <w:spacing w:line="440" w:lineRule="exact"/>
        <w:rPr>
          <w:rFonts w:ascii="宋体"/>
          <w:color w:val="000000"/>
          <w:sz w:val="22"/>
        </w:rPr>
      </w:pPr>
      <w:r>
        <w:rPr>
          <w:rFonts w:ascii="宋体" w:hAnsi="宋体" w:hint="eastAsia"/>
          <w:color w:val="000000"/>
          <w:sz w:val="22"/>
        </w:rPr>
        <w:t>1.</w:t>
      </w:r>
      <w:r w:rsidRPr="005D15DA">
        <w:rPr>
          <w:rFonts w:ascii="宋体" w:hAnsi="宋体" w:hint="eastAsia"/>
          <w:color w:val="000000"/>
          <w:sz w:val="22"/>
        </w:rPr>
        <w:t>组织因子途径抑制物、抗</w:t>
      </w:r>
      <w:r w:rsidRPr="005D15DA">
        <w:rPr>
          <w:rFonts w:hint="eastAsia"/>
          <w:color w:val="000000"/>
          <w:sz w:val="22"/>
        </w:rPr>
        <w:t>凝血酶Ⅲ</w:t>
      </w:r>
      <w:r w:rsidRPr="005D15DA">
        <w:rPr>
          <w:rFonts w:ascii="宋体" w:hAnsi="宋体" w:hint="eastAsia"/>
          <w:color w:val="000000"/>
          <w:sz w:val="22"/>
        </w:rPr>
        <w:t>、血栓调节蛋白</w:t>
      </w:r>
      <w:r w:rsidRPr="005D15DA">
        <w:rPr>
          <w:rFonts w:ascii="宋体"/>
          <w:color w:val="000000"/>
          <w:sz w:val="22"/>
        </w:rPr>
        <w:t>-</w:t>
      </w:r>
      <w:r w:rsidRPr="005D15DA">
        <w:rPr>
          <w:rFonts w:ascii="宋体" w:hAnsi="宋体" w:hint="eastAsia"/>
          <w:color w:val="000000"/>
          <w:sz w:val="22"/>
        </w:rPr>
        <w:t>蛋白</w:t>
      </w:r>
      <w:r w:rsidRPr="005D15DA">
        <w:rPr>
          <w:rFonts w:ascii="宋体" w:hAnsi="宋体"/>
          <w:color w:val="000000"/>
          <w:sz w:val="22"/>
        </w:rPr>
        <w:t>C</w:t>
      </w:r>
      <w:r w:rsidRPr="005D15DA">
        <w:rPr>
          <w:rFonts w:ascii="宋体" w:hAnsi="宋体" w:hint="eastAsia"/>
          <w:color w:val="000000"/>
          <w:sz w:val="22"/>
        </w:rPr>
        <w:t>的抗凝作用。</w:t>
      </w:r>
    </w:p>
    <w:p w:rsidR="007A7CF2" w:rsidRPr="005D15DA" w:rsidRDefault="007A7CF2" w:rsidP="007A7CF2">
      <w:pPr>
        <w:spacing w:line="440" w:lineRule="exact"/>
        <w:rPr>
          <w:rFonts w:ascii="宋体"/>
          <w:color w:val="000000"/>
          <w:sz w:val="22"/>
        </w:rPr>
      </w:pPr>
      <w:r>
        <w:rPr>
          <w:rFonts w:ascii="宋体" w:hAnsi="宋体" w:hint="eastAsia"/>
          <w:color w:val="000000"/>
          <w:sz w:val="22"/>
        </w:rPr>
        <w:t>2.</w:t>
      </w:r>
      <w:r w:rsidRPr="005D15DA">
        <w:rPr>
          <w:rFonts w:ascii="宋体" w:hAnsi="宋体"/>
          <w:color w:val="000000"/>
          <w:sz w:val="22"/>
        </w:rPr>
        <w:t>APC</w:t>
      </w:r>
      <w:r w:rsidRPr="005D15DA">
        <w:rPr>
          <w:rFonts w:ascii="宋体" w:hAnsi="宋体" w:hint="eastAsia"/>
          <w:color w:val="000000"/>
          <w:sz w:val="22"/>
        </w:rPr>
        <w:t>抵抗的概念和获得性纤溶功能亢进的原因。</w:t>
      </w:r>
    </w:p>
    <w:p w:rsidR="007A7CF2" w:rsidRPr="005D15DA" w:rsidRDefault="007A7CF2" w:rsidP="007A7CF2">
      <w:pPr>
        <w:spacing w:line="440" w:lineRule="exact"/>
        <w:rPr>
          <w:rFonts w:ascii="宋体"/>
          <w:color w:val="000000"/>
          <w:sz w:val="22"/>
        </w:rPr>
      </w:pPr>
      <w:r>
        <w:rPr>
          <w:rFonts w:ascii="宋体" w:hAnsi="宋体" w:hint="eastAsia"/>
          <w:color w:val="000000"/>
          <w:sz w:val="22"/>
        </w:rPr>
        <w:t>3.</w:t>
      </w:r>
      <w:r w:rsidRPr="005D15DA">
        <w:rPr>
          <w:rFonts w:ascii="宋体" w:hAnsi="宋体" w:hint="eastAsia"/>
          <w:color w:val="000000"/>
          <w:sz w:val="22"/>
        </w:rPr>
        <w:t>血管内皮细胞的抗凝作用、血细胞异常与</w:t>
      </w:r>
      <w:r w:rsidRPr="005D15DA">
        <w:rPr>
          <w:rFonts w:hint="eastAsia"/>
          <w:color w:val="000000"/>
          <w:sz w:val="22"/>
        </w:rPr>
        <w:t>凝血抗凝血失衡之间的关系。</w:t>
      </w:r>
    </w:p>
    <w:p w:rsidR="007A7CF2" w:rsidRPr="005D15DA" w:rsidRDefault="007A7CF2" w:rsidP="007A7CF2">
      <w:pPr>
        <w:spacing w:line="440" w:lineRule="exact"/>
        <w:rPr>
          <w:rFonts w:ascii="宋体"/>
          <w:color w:val="000000"/>
          <w:sz w:val="22"/>
        </w:rPr>
      </w:pPr>
      <w:r>
        <w:rPr>
          <w:rFonts w:ascii="宋体" w:hAnsi="宋体" w:hint="eastAsia"/>
          <w:color w:val="000000"/>
          <w:sz w:val="22"/>
        </w:rPr>
        <w:t>4.</w:t>
      </w:r>
      <w:r w:rsidRPr="005D15DA">
        <w:rPr>
          <w:rFonts w:ascii="宋体" w:hAnsi="宋体" w:hint="eastAsia"/>
          <w:color w:val="000000"/>
          <w:sz w:val="22"/>
        </w:rPr>
        <w:t>弥散性血管内凝血的概念、原因、发病机制和发生发展的影响因素。</w:t>
      </w:r>
    </w:p>
    <w:p w:rsidR="007A7CF2" w:rsidRPr="005D15DA" w:rsidRDefault="007A7CF2" w:rsidP="007A7CF2">
      <w:pPr>
        <w:spacing w:line="440" w:lineRule="exact"/>
        <w:rPr>
          <w:rFonts w:ascii="宋体"/>
          <w:color w:val="000000"/>
          <w:sz w:val="22"/>
        </w:rPr>
      </w:pPr>
      <w:r>
        <w:rPr>
          <w:rFonts w:ascii="宋体" w:hAnsi="宋体" w:hint="eastAsia"/>
          <w:color w:val="000000"/>
          <w:sz w:val="22"/>
        </w:rPr>
        <w:t>5.</w:t>
      </w:r>
      <w:r w:rsidRPr="005D15DA">
        <w:rPr>
          <w:rFonts w:ascii="宋体" w:hAnsi="宋体" w:hint="eastAsia"/>
          <w:color w:val="000000"/>
          <w:sz w:val="22"/>
        </w:rPr>
        <w:t>弥散性血管内凝血的分期和各期的特点。</w:t>
      </w:r>
    </w:p>
    <w:p w:rsidR="007A7CF2" w:rsidRPr="005D15DA" w:rsidRDefault="007A7CF2" w:rsidP="007A7CF2">
      <w:pPr>
        <w:spacing w:line="440" w:lineRule="exact"/>
        <w:rPr>
          <w:rFonts w:ascii="宋体"/>
          <w:color w:val="000000"/>
          <w:sz w:val="22"/>
        </w:rPr>
      </w:pPr>
      <w:r>
        <w:rPr>
          <w:rFonts w:ascii="宋体" w:hAnsi="宋体" w:hint="eastAsia"/>
          <w:color w:val="000000"/>
          <w:sz w:val="22"/>
        </w:rPr>
        <w:t>6.</w:t>
      </w:r>
      <w:r w:rsidRPr="005D15DA">
        <w:rPr>
          <w:rFonts w:ascii="宋体" w:hAnsi="宋体" w:hint="eastAsia"/>
          <w:color w:val="000000"/>
          <w:sz w:val="22"/>
        </w:rPr>
        <w:t>弥散性血管内凝血引起出血和贫血的机制。</w:t>
      </w:r>
    </w:p>
    <w:p w:rsidR="007A7CF2" w:rsidRPr="005D15DA" w:rsidRDefault="007A7CF2" w:rsidP="007A7CF2">
      <w:pPr>
        <w:spacing w:line="440" w:lineRule="exact"/>
        <w:rPr>
          <w:rFonts w:ascii="宋体"/>
          <w:color w:val="000000"/>
          <w:sz w:val="22"/>
        </w:rPr>
      </w:pPr>
      <w:r>
        <w:rPr>
          <w:rFonts w:ascii="宋体" w:hAnsi="宋体" w:hint="eastAsia"/>
          <w:color w:val="000000"/>
          <w:sz w:val="22"/>
        </w:rPr>
        <w:t>7.</w:t>
      </w:r>
      <w:r w:rsidRPr="005D15DA">
        <w:rPr>
          <w:rFonts w:ascii="宋体" w:hAnsi="宋体" w:hint="eastAsia"/>
          <w:color w:val="000000"/>
          <w:sz w:val="22"/>
        </w:rPr>
        <w:t>血浆鱼精蛋白副凝试验、微血管病性溶血性贫血和裂体细胞的概念。</w:t>
      </w:r>
    </w:p>
    <w:p w:rsidR="007A7CF2" w:rsidRPr="005D15DA" w:rsidRDefault="007A7CF2" w:rsidP="007A7CF2">
      <w:pPr>
        <w:spacing w:line="440" w:lineRule="exact"/>
        <w:rPr>
          <w:rFonts w:ascii="宋体"/>
          <w:color w:val="000000"/>
          <w:sz w:val="22"/>
        </w:rPr>
      </w:pPr>
      <w:r>
        <w:rPr>
          <w:rFonts w:ascii="Times New Roman" w:hint="eastAsia"/>
          <w:color w:val="000000"/>
          <w:sz w:val="22"/>
        </w:rPr>
        <w:t>8.</w:t>
      </w:r>
      <w:r w:rsidRPr="005D15DA">
        <w:rPr>
          <w:rFonts w:ascii="Times New Roman" w:hint="eastAsia"/>
          <w:color w:val="000000"/>
          <w:sz w:val="22"/>
        </w:rPr>
        <w:t>自学和拓展：产科意外易发生</w:t>
      </w:r>
      <w:r w:rsidRPr="005D15DA">
        <w:rPr>
          <w:rFonts w:ascii="宋体" w:hAnsi="宋体" w:hint="eastAsia"/>
          <w:color w:val="000000"/>
          <w:sz w:val="22"/>
        </w:rPr>
        <w:t>弥散性血管内凝血的机制，弥散性血管内凝血和休克互为因果的机制。</w:t>
      </w:r>
    </w:p>
    <w:p w:rsidR="003717A0" w:rsidRDefault="003717A0">
      <w:pPr>
        <w:rPr>
          <w:rFonts w:ascii="Times New Roman"/>
          <w:b/>
        </w:rPr>
      </w:pPr>
      <w:r>
        <w:rPr>
          <w:rFonts w:ascii="Times New Roman" w:hint="eastAsia"/>
          <w:b/>
        </w:rPr>
        <w:t>目的要求</w:t>
      </w:r>
    </w:p>
    <w:p w:rsidR="007A7CF2" w:rsidRPr="005D15DA" w:rsidRDefault="007A7CF2" w:rsidP="007A7CF2">
      <w:pPr>
        <w:spacing w:line="440" w:lineRule="exact"/>
        <w:rPr>
          <w:rFonts w:ascii="宋体"/>
          <w:color w:val="000000"/>
          <w:sz w:val="22"/>
        </w:rPr>
      </w:pPr>
      <w:r>
        <w:rPr>
          <w:rFonts w:ascii="宋体" w:hAnsi="宋体" w:hint="eastAsia"/>
          <w:color w:val="000000"/>
          <w:sz w:val="22"/>
        </w:rPr>
        <w:t>1.</w:t>
      </w:r>
      <w:r w:rsidRPr="005D15DA">
        <w:rPr>
          <w:rFonts w:ascii="宋体" w:hAnsi="宋体" w:hint="eastAsia"/>
          <w:color w:val="000000"/>
          <w:sz w:val="22"/>
        </w:rPr>
        <w:t>熟悉组织因子途径抑制物、抗</w:t>
      </w:r>
      <w:r w:rsidRPr="005D15DA">
        <w:rPr>
          <w:rFonts w:hint="eastAsia"/>
          <w:color w:val="000000"/>
          <w:sz w:val="22"/>
        </w:rPr>
        <w:t>凝血酶Ⅲ</w:t>
      </w:r>
      <w:r w:rsidRPr="005D15DA">
        <w:rPr>
          <w:rFonts w:ascii="宋体" w:hAnsi="宋体" w:hint="eastAsia"/>
          <w:color w:val="000000"/>
          <w:sz w:val="22"/>
        </w:rPr>
        <w:t>、血栓调节蛋白</w:t>
      </w:r>
      <w:r w:rsidRPr="005D15DA">
        <w:rPr>
          <w:rFonts w:ascii="宋体"/>
          <w:color w:val="000000"/>
          <w:sz w:val="22"/>
        </w:rPr>
        <w:t>-</w:t>
      </w:r>
      <w:r w:rsidRPr="005D15DA">
        <w:rPr>
          <w:rFonts w:ascii="宋体" w:hAnsi="宋体" w:hint="eastAsia"/>
          <w:color w:val="000000"/>
          <w:sz w:val="22"/>
        </w:rPr>
        <w:t>蛋白</w:t>
      </w:r>
      <w:r w:rsidRPr="005D15DA">
        <w:rPr>
          <w:rFonts w:ascii="宋体" w:hAnsi="宋体"/>
          <w:color w:val="000000"/>
          <w:sz w:val="22"/>
        </w:rPr>
        <w:t>C</w:t>
      </w:r>
      <w:r w:rsidRPr="005D15DA">
        <w:rPr>
          <w:rFonts w:ascii="宋体" w:hAnsi="宋体" w:hint="eastAsia"/>
          <w:color w:val="000000"/>
          <w:sz w:val="22"/>
        </w:rPr>
        <w:t>的抗凝作用。</w:t>
      </w:r>
    </w:p>
    <w:p w:rsidR="007A7CF2" w:rsidRPr="005D15DA" w:rsidRDefault="007A7CF2" w:rsidP="007A7CF2">
      <w:pPr>
        <w:spacing w:line="440" w:lineRule="exact"/>
        <w:rPr>
          <w:rFonts w:ascii="宋体"/>
          <w:color w:val="000000"/>
          <w:sz w:val="22"/>
        </w:rPr>
      </w:pPr>
      <w:r w:rsidRPr="005D15DA">
        <w:rPr>
          <w:rFonts w:ascii="宋体" w:hAnsi="宋体"/>
          <w:color w:val="000000"/>
          <w:sz w:val="22"/>
        </w:rPr>
        <w:lastRenderedPageBreak/>
        <w:t xml:space="preserve">2. </w:t>
      </w:r>
      <w:r w:rsidRPr="005D15DA">
        <w:rPr>
          <w:rFonts w:ascii="宋体" w:hAnsi="宋体" w:hint="eastAsia"/>
          <w:color w:val="000000"/>
          <w:sz w:val="22"/>
        </w:rPr>
        <w:t>了解</w:t>
      </w:r>
      <w:r w:rsidRPr="005D15DA">
        <w:rPr>
          <w:rFonts w:ascii="宋体" w:hAnsi="宋体"/>
          <w:color w:val="000000"/>
          <w:sz w:val="22"/>
        </w:rPr>
        <w:t>APC</w:t>
      </w:r>
      <w:r w:rsidRPr="005D15DA">
        <w:rPr>
          <w:rFonts w:ascii="宋体" w:hAnsi="宋体" w:hint="eastAsia"/>
          <w:color w:val="000000"/>
          <w:sz w:val="22"/>
        </w:rPr>
        <w:t>抵抗的概念</w:t>
      </w:r>
      <w:r w:rsidRPr="005D15DA">
        <w:rPr>
          <w:rFonts w:ascii="宋体"/>
          <w:color w:val="000000"/>
          <w:sz w:val="22"/>
        </w:rPr>
        <w:t>,</w:t>
      </w:r>
      <w:r w:rsidRPr="005D15DA">
        <w:rPr>
          <w:rFonts w:ascii="宋体" w:hAnsi="宋体" w:hint="eastAsia"/>
          <w:color w:val="000000"/>
          <w:sz w:val="22"/>
        </w:rPr>
        <w:t>了解获得性纤溶功能亢进的原因。</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3. </w:t>
      </w:r>
      <w:r w:rsidRPr="005D15DA">
        <w:rPr>
          <w:rFonts w:ascii="宋体" w:hAnsi="宋体" w:hint="eastAsia"/>
          <w:color w:val="000000"/>
          <w:sz w:val="22"/>
        </w:rPr>
        <w:t>了解血管内皮细胞的抗凝作用、血细胞异常与</w:t>
      </w:r>
      <w:r w:rsidRPr="005D15DA">
        <w:rPr>
          <w:rFonts w:hint="eastAsia"/>
          <w:color w:val="000000"/>
          <w:sz w:val="22"/>
        </w:rPr>
        <w:t>凝血抗凝血失衡之间的关系。</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4. </w:t>
      </w:r>
      <w:r w:rsidRPr="005D15DA">
        <w:rPr>
          <w:rFonts w:ascii="宋体" w:hAnsi="宋体" w:hint="eastAsia"/>
          <w:color w:val="000000"/>
          <w:sz w:val="22"/>
        </w:rPr>
        <w:t>掌握弥散性血管内凝血的概念和发病机制。</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5. </w:t>
      </w:r>
      <w:r w:rsidRPr="005D15DA">
        <w:rPr>
          <w:rFonts w:ascii="宋体" w:hAnsi="宋体" w:hint="eastAsia"/>
          <w:color w:val="000000"/>
          <w:sz w:val="22"/>
        </w:rPr>
        <w:t>熟悉弥散性血管内凝血的原因和发生发展的影响因素。</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6. </w:t>
      </w:r>
      <w:r w:rsidRPr="005D15DA">
        <w:rPr>
          <w:rFonts w:ascii="宋体" w:hAnsi="宋体" w:hint="eastAsia"/>
          <w:color w:val="000000"/>
          <w:sz w:val="22"/>
        </w:rPr>
        <w:t>掌握弥散性血管内凝血的分期和各期的特点。</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7. </w:t>
      </w:r>
      <w:r w:rsidRPr="005D15DA">
        <w:rPr>
          <w:rFonts w:ascii="宋体" w:hAnsi="宋体" w:hint="eastAsia"/>
          <w:color w:val="000000"/>
          <w:sz w:val="22"/>
        </w:rPr>
        <w:t>掌握弥散性血管内凝血引起出血和贫血的机制。</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8. </w:t>
      </w:r>
      <w:r w:rsidRPr="005D15DA">
        <w:rPr>
          <w:rFonts w:ascii="宋体" w:hAnsi="宋体" w:hint="eastAsia"/>
          <w:color w:val="000000"/>
          <w:sz w:val="22"/>
        </w:rPr>
        <w:t>熟悉血浆鱼精蛋白副凝试验的概念，掌握微血管病性溶血性贫血和裂体细胞的概念。</w:t>
      </w:r>
    </w:p>
    <w:p w:rsidR="007A7CF2" w:rsidRPr="005D15DA" w:rsidRDefault="007A7CF2" w:rsidP="007A7CF2">
      <w:pPr>
        <w:spacing w:line="440" w:lineRule="exact"/>
        <w:rPr>
          <w:rFonts w:ascii="宋体"/>
          <w:color w:val="000000"/>
          <w:sz w:val="22"/>
        </w:rPr>
      </w:pPr>
      <w:r w:rsidRPr="005D15DA">
        <w:rPr>
          <w:rFonts w:ascii="Times New Roman"/>
          <w:color w:val="000000"/>
          <w:sz w:val="22"/>
        </w:rPr>
        <w:t xml:space="preserve">9. </w:t>
      </w:r>
      <w:r w:rsidRPr="005D15DA">
        <w:rPr>
          <w:rFonts w:ascii="Times New Roman" w:hint="eastAsia"/>
          <w:color w:val="000000"/>
          <w:sz w:val="22"/>
        </w:rPr>
        <w:t>了解产科意外易发生</w:t>
      </w:r>
      <w:r w:rsidRPr="005D15DA">
        <w:rPr>
          <w:rFonts w:ascii="宋体" w:hAnsi="宋体" w:hint="eastAsia"/>
          <w:color w:val="000000"/>
          <w:sz w:val="22"/>
        </w:rPr>
        <w:t>弥散性血管内凝血的机制，</w:t>
      </w:r>
      <w:r w:rsidRPr="005D15DA">
        <w:rPr>
          <w:rFonts w:ascii="Times New Roman" w:hint="eastAsia"/>
          <w:color w:val="000000"/>
          <w:sz w:val="22"/>
        </w:rPr>
        <w:t>了解</w:t>
      </w:r>
      <w:r w:rsidRPr="005D15DA">
        <w:rPr>
          <w:rFonts w:ascii="宋体" w:hAnsi="宋体" w:hint="eastAsia"/>
          <w:color w:val="000000"/>
          <w:sz w:val="22"/>
        </w:rPr>
        <w:t>弥散性血管内凝血和休克互为因果的机制。</w:t>
      </w:r>
    </w:p>
    <w:p w:rsidR="007A7CF2" w:rsidRPr="005D15DA" w:rsidRDefault="007A7CF2" w:rsidP="007A7CF2">
      <w:pPr>
        <w:spacing w:line="440" w:lineRule="exact"/>
        <w:rPr>
          <w:rFonts w:ascii="宋体"/>
          <w:color w:val="000000"/>
          <w:sz w:val="22"/>
        </w:rPr>
      </w:pPr>
      <w:r w:rsidRPr="005D15DA">
        <w:rPr>
          <w:rFonts w:ascii="宋体" w:hAnsi="宋体"/>
          <w:color w:val="000000"/>
          <w:sz w:val="22"/>
        </w:rPr>
        <w:t xml:space="preserve">10. </w:t>
      </w:r>
      <w:r w:rsidRPr="005D15DA">
        <w:rPr>
          <w:rFonts w:ascii="宋体" w:hAnsi="宋体" w:hint="eastAsia"/>
          <w:color w:val="000000"/>
          <w:sz w:val="22"/>
        </w:rPr>
        <w:t>了解弥散性血管内凝血防治的病理生理基础。</w:t>
      </w:r>
    </w:p>
    <w:p w:rsidR="007A7CF2" w:rsidRPr="005D15DA" w:rsidRDefault="007A7CF2" w:rsidP="007A7CF2">
      <w:pPr>
        <w:rPr>
          <w:b/>
          <w:color w:val="000000"/>
          <w:sz w:val="22"/>
        </w:rPr>
      </w:pPr>
      <w:r w:rsidRPr="005D15DA">
        <w:rPr>
          <w:rFonts w:hint="eastAsia"/>
          <w:b/>
          <w:color w:val="000000"/>
          <w:sz w:val="22"/>
        </w:rPr>
        <w:t>第十五章</w:t>
      </w:r>
      <w:r w:rsidRPr="005D15DA">
        <w:rPr>
          <w:b/>
          <w:color w:val="000000"/>
          <w:sz w:val="22"/>
        </w:rPr>
        <w:t xml:space="preserve"> </w:t>
      </w:r>
      <w:r w:rsidRPr="005D15DA">
        <w:rPr>
          <w:rFonts w:hint="eastAsia"/>
          <w:b/>
          <w:color w:val="000000"/>
          <w:sz w:val="22"/>
        </w:rPr>
        <w:t>心功能不全</w:t>
      </w:r>
    </w:p>
    <w:p w:rsidR="007A7CF2" w:rsidRPr="005D15DA" w:rsidRDefault="007A7CF2" w:rsidP="007A7CF2">
      <w:pPr>
        <w:rPr>
          <w:rFonts w:ascii="Times New Roman"/>
          <w:b/>
          <w:color w:val="000000"/>
          <w:sz w:val="22"/>
        </w:rPr>
      </w:pPr>
      <w:r w:rsidRPr="005D15DA">
        <w:rPr>
          <w:rFonts w:ascii="Times New Roman" w:hint="eastAsia"/>
          <w:b/>
          <w:color w:val="000000"/>
          <w:sz w:val="22"/>
        </w:rPr>
        <w:t>教学内容（</w:t>
      </w:r>
      <w:r w:rsidRPr="005D15DA">
        <w:rPr>
          <w:rFonts w:ascii="Times New Roman" w:hAnsi="Times New Roman"/>
          <w:b/>
          <w:color w:val="000000"/>
          <w:sz w:val="22"/>
        </w:rPr>
        <w:t>3</w:t>
      </w:r>
      <w:r w:rsidRPr="005D15DA">
        <w:rPr>
          <w:rFonts w:ascii="Times New Roman" w:hint="eastAsia"/>
          <w:b/>
          <w:color w:val="000000"/>
          <w:sz w:val="22"/>
        </w:rPr>
        <w:t>学时）</w:t>
      </w:r>
    </w:p>
    <w:p w:rsidR="007A7CF2" w:rsidRPr="007A7CF2" w:rsidRDefault="007A7CF2" w:rsidP="007A7CF2">
      <w:pPr>
        <w:rPr>
          <w:color w:val="000000"/>
          <w:szCs w:val="21"/>
        </w:rPr>
      </w:pPr>
      <w:r w:rsidRPr="007A7CF2">
        <w:rPr>
          <w:rFonts w:hint="eastAsia"/>
          <w:color w:val="000000"/>
          <w:szCs w:val="21"/>
        </w:rPr>
        <w:t>1.</w:t>
      </w:r>
      <w:r w:rsidRPr="007A7CF2">
        <w:rPr>
          <w:rFonts w:hint="eastAsia"/>
          <w:color w:val="000000"/>
          <w:szCs w:val="21"/>
        </w:rPr>
        <w:t>心功能不全、心力衰竭、高输出量性心力衰竭的概念。</w:t>
      </w:r>
    </w:p>
    <w:p w:rsidR="007A7CF2" w:rsidRPr="007A7CF2" w:rsidRDefault="007A7CF2" w:rsidP="007A7CF2">
      <w:pPr>
        <w:rPr>
          <w:color w:val="000000"/>
          <w:szCs w:val="21"/>
        </w:rPr>
      </w:pPr>
      <w:r w:rsidRPr="007A7CF2">
        <w:rPr>
          <w:rFonts w:hint="eastAsia"/>
          <w:color w:val="000000"/>
          <w:szCs w:val="21"/>
        </w:rPr>
        <w:t>2.</w:t>
      </w:r>
      <w:r w:rsidRPr="007A7CF2">
        <w:rPr>
          <w:rFonts w:hint="eastAsia"/>
          <w:color w:val="000000"/>
          <w:szCs w:val="21"/>
        </w:rPr>
        <w:t>心力衰竭的原因、诱因和分类。</w:t>
      </w:r>
    </w:p>
    <w:p w:rsidR="007A7CF2" w:rsidRPr="007A7CF2" w:rsidRDefault="007A7CF2" w:rsidP="007A7CF2">
      <w:pPr>
        <w:rPr>
          <w:color w:val="000000"/>
          <w:szCs w:val="21"/>
        </w:rPr>
      </w:pPr>
      <w:r w:rsidRPr="007A7CF2">
        <w:rPr>
          <w:rFonts w:hint="eastAsia"/>
          <w:color w:val="000000"/>
          <w:szCs w:val="21"/>
        </w:rPr>
        <w:t>3.</w:t>
      </w:r>
      <w:r w:rsidRPr="007A7CF2">
        <w:rPr>
          <w:rFonts w:hint="eastAsia"/>
          <w:color w:val="000000"/>
          <w:szCs w:val="21"/>
        </w:rPr>
        <w:t>心力衰竭时神经</w:t>
      </w:r>
      <w:r w:rsidRPr="007A7CF2">
        <w:rPr>
          <w:color w:val="000000"/>
          <w:szCs w:val="21"/>
        </w:rPr>
        <w:t>-</w:t>
      </w:r>
      <w:r w:rsidRPr="007A7CF2">
        <w:rPr>
          <w:rFonts w:hint="eastAsia"/>
          <w:color w:val="000000"/>
          <w:szCs w:val="21"/>
        </w:rPr>
        <w:t>体液调节机制激活。</w:t>
      </w:r>
    </w:p>
    <w:p w:rsidR="007A7CF2" w:rsidRPr="007A7CF2" w:rsidRDefault="007A7CF2" w:rsidP="007A7CF2">
      <w:pPr>
        <w:rPr>
          <w:color w:val="000000"/>
          <w:szCs w:val="21"/>
        </w:rPr>
      </w:pPr>
      <w:r w:rsidRPr="007A7CF2">
        <w:rPr>
          <w:rFonts w:hint="eastAsia"/>
          <w:color w:val="000000"/>
          <w:szCs w:val="21"/>
        </w:rPr>
        <w:t>4.</w:t>
      </w:r>
      <w:r w:rsidRPr="007A7CF2">
        <w:rPr>
          <w:rFonts w:hint="eastAsia"/>
          <w:color w:val="000000"/>
          <w:szCs w:val="21"/>
        </w:rPr>
        <w:t>心脏扩张、心肌肥大的概念。</w:t>
      </w:r>
    </w:p>
    <w:p w:rsidR="007A7CF2" w:rsidRPr="007A7CF2" w:rsidRDefault="007A7CF2" w:rsidP="007A7CF2">
      <w:pPr>
        <w:rPr>
          <w:color w:val="000000"/>
          <w:szCs w:val="21"/>
        </w:rPr>
      </w:pPr>
      <w:r w:rsidRPr="007A7CF2">
        <w:rPr>
          <w:rFonts w:hint="eastAsia"/>
          <w:color w:val="000000"/>
          <w:szCs w:val="21"/>
        </w:rPr>
        <w:t>5.</w:t>
      </w:r>
      <w:r w:rsidRPr="007A7CF2">
        <w:rPr>
          <w:rFonts w:hint="eastAsia"/>
          <w:color w:val="000000"/>
          <w:szCs w:val="21"/>
        </w:rPr>
        <w:t>心力衰竭时心脏的代偿方式及其意义、心外代偿反应。</w:t>
      </w:r>
    </w:p>
    <w:p w:rsidR="007A7CF2" w:rsidRPr="007A7CF2" w:rsidRDefault="007A7CF2" w:rsidP="007A7CF2">
      <w:pPr>
        <w:rPr>
          <w:color w:val="000000"/>
          <w:szCs w:val="21"/>
        </w:rPr>
      </w:pPr>
      <w:r w:rsidRPr="007A7CF2">
        <w:rPr>
          <w:rFonts w:hint="eastAsia"/>
          <w:color w:val="000000"/>
          <w:szCs w:val="21"/>
        </w:rPr>
        <w:t>6.</w:t>
      </w:r>
      <w:r w:rsidRPr="007A7CF2">
        <w:rPr>
          <w:rFonts w:hint="eastAsia"/>
          <w:color w:val="000000"/>
          <w:szCs w:val="21"/>
        </w:rPr>
        <w:t>心力衰竭的发生机制。</w:t>
      </w:r>
    </w:p>
    <w:p w:rsidR="007A7CF2" w:rsidRPr="007A7CF2" w:rsidRDefault="007A7CF2" w:rsidP="007A7CF2">
      <w:pPr>
        <w:rPr>
          <w:color w:val="000000"/>
          <w:szCs w:val="21"/>
        </w:rPr>
      </w:pPr>
      <w:r w:rsidRPr="007A7CF2">
        <w:rPr>
          <w:rFonts w:hint="eastAsia"/>
          <w:color w:val="000000"/>
          <w:szCs w:val="21"/>
        </w:rPr>
        <w:t>7.</w:t>
      </w:r>
      <w:r w:rsidRPr="007A7CF2">
        <w:rPr>
          <w:rFonts w:hint="eastAsia"/>
          <w:color w:val="000000"/>
          <w:szCs w:val="21"/>
        </w:rPr>
        <w:t>心力衰竭时心排血量不足、体循环淤血的临床表现。</w:t>
      </w:r>
    </w:p>
    <w:p w:rsidR="007A7CF2" w:rsidRPr="007A7CF2" w:rsidRDefault="007A7CF2" w:rsidP="007A7CF2">
      <w:pPr>
        <w:rPr>
          <w:color w:val="000000"/>
          <w:szCs w:val="21"/>
        </w:rPr>
      </w:pPr>
      <w:r w:rsidRPr="007A7CF2">
        <w:rPr>
          <w:rFonts w:hint="eastAsia"/>
          <w:color w:val="000000"/>
          <w:szCs w:val="21"/>
        </w:rPr>
        <w:t>8.</w:t>
      </w:r>
      <w:r w:rsidRPr="007A7CF2">
        <w:rPr>
          <w:rFonts w:hint="eastAsia"/>
          <w:color w:val="000000"/>
          <w:szCs w:val="21"/>
        </w:rPr>
        <w:t>左心衰时肺循环淤血引起的呼吸困难的形式和机制。</w:t>
      </w:r>
    </w:p>
    <w:p w:rsidR="007A7CF2" w:rsidRPr="007A7CF2" w:rsidRDefault="007A7CF2" w:rsidP="007A7CF2">
      <w:pPr>
        <w:rPr>
          <w:color w:val="000000"/>
          <w:szCs w:val="21"/>
        </w:rPr>
      </w:pPr>
      <w:r w:rsidRPr="007A7CF2">
        <w:rPr>
          <w:rFonts w:ascii="Times New Roman" w:hint="eastAsia"/>
          <w:color w:val="000000"/>
          <w:szCs w:val="21"/>
        </w:rPr>
        <w:t>9.</w:t>
      </w:r>
      <w:r w:rsidRPr="007A7CF2">
        <w:rPr>
          <w:rFonts w:ascii="Times New Roman" w:hint="eastAsia"/>
          <w:color w:val="000000"/>
          <w:szCs w:val="21"/>
        </w:rPr>
        <w:t>自学和拓展：按照症状的严重程度对</w:t>
      </w:r>
      <w:r w:rsidRPr="007A7CF2">
        <w:rPr>
          <w:rFonts w:hint="eastAsia"/>
          <w:color w:val="000000"/>
          <w:szCs w:val="21"/>
        </w:rPr>
        <w:t>心力衰竭的分类、心力衰竭防治的病理生理基础和进展</w:t>
      </w:r>
      <w:r w:rsidRPr="007A7CF2">
        <w:rPr>
          <w:rFonts w:ascii="宋体" w:hAnsi="宋体" w:hint="eastAsia"/>
          <w:color w:val="000000"/>
          <w:szCs w:val="21"/>
        </w:rPr>
        <w:t>。</w:t>
      </w:r>
    </w:p>
    <w:p w:rsidR="007A7CF2" w:rsidRPr="005D15DA" w:rsidRDefault="007A7CF2" w:rsidP="007A7CF2">
      <w:pPr>
        <w:rPr>
          <w:color w:val="000000"/>
          <w:sz w:val="22"/>
        </w:rPr>
      </w:pPr>
      <w:r w:rsidRPr="005D15DA">
        <w:rPr>
          <w:rFonts w:ascii="Times New Roman" w:hint="eastAsia"/>
          <w:b/>
          <w:color w:val="000000"/>
          <w:sz w:val="22"/>
        </w:rPr>
        <w:t>目的要求</w:t>
      </w:r>
    </w:p>
    <w:p w:rsidR="007A7CF2" w:rsidRPr="007A7CF2" w:rsidRDefault="007A7CF2" w:rsidP="007A7CF2">
      <w:pPr>
        <w:rPr>
          <w:color w:val="000000"/>
          <w:szCs w:val="21"/>
        </w:rPr>
      </w:pPr>
      <w:r w:rsidRPr="007A7CF2">
        <w:rPr>
          <w:rFonts w:hint="eastAsia"/>
          <w:color w:val="000000"/>
          <w:szCs w:val="21"/>
        </w:rPr>
        <w:t>1.</w:t>
      </w:r>
      <w:r w:rsidRPr="007A7CF2">
        <w:rPr>
          <w:rFonts w:hint="eastAsia"/>
          <w:color w:val="000000"/>
          <w:szCs w:val="21"/>
        </w:rPr>
        <w:t>掌握心功能不全、心力衰竭、高输出量性心力衰竭的概念。</w:t>
      </w:r>
    </w:p>
    <w:p w:rsidR="007A7CF2" w:rsidRPr="007A7CF2" w:rsidRDefault="007A7CF2" w:rsidP="007A7CF2">
      <w:pPr>
        <w:rPr>
          <w:color w:val="000000"/>
          <w:szCs w:val="21"/>
        </w:rPr>
      </w:pPr>
      <w:r w:rsidRPr="007A7CF2">
        <w:rPr>
          <w:rFonts w:hint="eastAsia"/>
          <w:color w:val="000000"/>
          <w:szCs w:val="21"/>
        </w:rPr>
        <w:t>2.</w:t>
      </w:r>
      <w:r w:rsidRPr="007A7CF2">
        <w:rPr>
          <w:rFonts w:hint="eastAsia"/>
          <w:color w:val="000000"/>
          <w:szCs w:val="21"/>
        </w:rPr>
        <w:t>熟悉心力衰竭的原因、诱因和分类。</w:t>
      </w:r>
    </w:p>
    <w:p w:rsidR="007A7CF2" w:rsidRPr="007A7CF2" w:rsidRDefault="007A7CF2" w:rsidP="007A7CF2">
      <w:pPr>
        <w:rPr>
          <w:color w:val="000000"/>
          <w:szCs w:val="21"/>
        </w:rPr>
      </w:pPr>
      <w:r w:rsidRPr="007A7CF2">
        <w:rPr>
          <w:rFonts w:hint="eastAsia"/>
          <w:color w:val="000000"/>
          <w:szCs w:val="21"/>
        </w:rPr>
        <w:t>3.</w:t>
      </w:r>
      <w:r w:rsidRPr="007A7CF2">
        <w:rPr>
          <w:rFonts w:hint="eastAsia"/>
          <w:color w:val="000000"/>
          <w:szCs w:val="21"/>
        </w:rPr>
        <w:t>了解心力衰竭时神经</w:t>
      </w:r>
      <w:r w:rsidRPr="007A7CF2">
        <w:rPr>
          <w:color w:val="000000"/>
          <w:szCs w:val="21"/>
        </w:rPr>
        <w:t>-</w:t>
      </w:r>
      <w:r w:rsidRPr="007A7CF2">
        <w:rPr>
          <w:rFonts w:hint="eastAsia"/>
          <w:color w:val="000000"/>
          <w:szCs w:val="21"/>
        </w:rPr>
        <w:t>体液调节机制激活。</w:t>
      </w:r>
    </w:p>
    <w:p w:rsidR="007A7CF2" w:rsidRPr="007A7CF2" w:rsidRDefault="007A7CF2" w:rsidP="007A7CF2">
      <w:pPr>
        <w:rPr>
          <w:color w:val="000000"/>
          <w:szCs w:val="21"/>
        </w:rPr>
      </w:pPr>
      <w:r w:rsidRPr="007A7CF2">
        <w:rPr>
          <w:rFonts w:hint="eastAsia"/>
          <w:color w:val="000000"/>
          <w:szCs w:val="21"/>
        </w:rPr>
        <w:t>4.</w:t>
      </w:r>
      <w:r w:rsidRPr="007A7CF2">
        <w:rPr>
          <w:rFonts w:hint="eastAsia"/>
          <w:color w:val="000000"/>
          <w:szCs w:val="21"/>
        </w:rPr>
        <w:t>掌握心脏扩张、心肌肥大的概念。</w:t>
      </w:r>
    </w:p>
    <w:p w:rsidR="007A7CF2" w:rsidRPr="007A7CF2" w:rsidRDefault="007A7CF2" w:rsidP="007A7CF2">
      <w:pPr>
        <w:rPr>
          <w:color w:val="000000"/>
          <w:szCs w:val="21"/>
        </w:rPr>
      </w:pPr>
      <w:r w:rsidRPr="007A7CF2">
        <w:rPr>
          <w:rFonts w:hint="eastAsia"/>
          <w:color w:val="000000"/>
          <w:szCs w:val="21"/>
        </w:rPr>
        <w:t>5.</w:t>
      </w:r>
      <w:r w:rsidRPr="007A7CF2">
        <w:rPr>
          <w:rFonts w:hint="eastAsia"/>
          <w:color w:val="000000"/>
          <w:szCs w:val="21"/>
        </w:rPr>
        <w:t>掌握心力衰竭时心脏的代偿方式及其意义，了解心外代偿反应。</w:t>
      </w:r>
    </w:p>
    <w:p w:rsidR="007A7CF2" w:rsidRPr="007A7CF2" w:rsidRDefault="007A7CF2" w:rsidP="007A7CF2">
      <w:pPr>
        <w:rPr>
          <w:color w:val="000000"/>
          <w:szCs w:val="21"/>
        </w:rPr>
      </w:pPr>
      <w:r w:rsidRPr="007A7CF2">
        <w:rPr>
          <w:rFonts w:hint="eastAsia"/>
          <w:color w:val="000000"/>
          <w:szCs w:val="21"/>
        </w:rPr>
        <w:t>6.</w:t>
      </w:r>
      <w:r w:rsidRPr="007A7CF2">
        <w:rPr>
          <w:color w:val="000000"/>
          <w:szCs w:val="21"/>
        </w:rPr>
        <w:t xml:space="preserve"> </w:t>
      </w:r>
      <w:r w:rsidRPr="007A7CF2">
        <w:rPr>
          <w:rFonts w:hint="eastAsia"/>
          <w:color w:val="000000"/>
          <w:szCs w:val="21"/>
        </w:rPr>
        <w:t>掌握心力衰竭的发生机制。</w:t>
      </w:r>
    </w:p>
    <w:p w:rsidR="007A7CF2" w:rsidRPr="007A7CF2" w:rsidRDefault="007A7CF2" w:rsidP="007A7CF2">
      <w:pPr>
        <w:rPr>
          <w:color w:val="000000"/>
          <w:szCs w:val="21"/>
        </w:rPr>
      </w:pPr>
      <w:r w:rsidRPr="007A7CF2">
        <w:rPr>
          <w:rFonts w:hint="eastAsia"/>
          <w:color w:val="000000"/>
          <w:szCs w:val="21"/>
        </w:rPr>
        <w:t>7.</w:t>
      </w:r>
      <w:r w:rsidRPr="007A7CF2">
        <w:rPr>
          <w:rFonts w:hint="eastAsia"/>
          <w:color w:val="000000"/>
          <w:szCs w:val="21"/>
        </w:rPr>
        <w:t>了解心力衰竭时心排血量减少、体循环淤血的临床表现。</w:t>
      </w:r>
    </w:p>
    <w:p w:rsidR="007A7CF2" w:rsidRPr="007A7CF2" w:rsidRDefault="007A7CF2" w:rsidP="007A7CF2">
      <w:pPr>
        <w:rPr>
          <w:color w:val="000000"/>
          <w:szCs w:val="21"/>
        </w:rPr>
      </w:pPr>
      <w:r w:rsidRPr="007A7CF2">
        <w:rPr>
          <w:rFonts w:hint="eastAsia"/>
          <w:color w:val="000000"/>
          <w:szCs w:val="21"/>
        </w:rPr>
        <w:t>8.</w:t>
      </w:r>
      <w:r w:rsidRPr="007A7CF2">
        <w:rPr>
          <w:rFonts w:hint="eastAsia"/>
          <w:color w:val="000000"/>
          <w:szCs w:val="21"/>
        </w:rPr>
        <w:t>掌握左心衰时肺循环淤血引起的呼吸困难的形式和机制。</w:t>
      </w:r>
    </w:p>
    <w:p w:rsidR="007A7CF2" w:rsidRPr="007A7CF2" w:rsidRDefault="007A7CF2" w:rsidP="007A7CF2">
      <w:pPr>
        <w:rPr>
          <w:color w:val="000000"/>
          <w:szCs w:val="21"/>
        </w:rPr>
      </w:pPr>
      <w:r w:rsidRPr="007A7CF2">
        <w:rPr>
          <w:rFonts w:hint="eastAsia"/>
          <w:color w:val="000000"/>
          <w:szCs w:val="21"/>
        </w:rPr>
        <w:t>9.</w:t>
      </w:r>
      <w:r w:rsidRPr="007A7CF2">
        <w:rPr>
          <w:rFonts w:hint="eastAsia"/>
          <w:color w:val="000000"/>
          <w:szCs w:val="21"/>
        </w:rPr>
        <w:t>了解心力衰竭防治的病理生理基础和进展。</w:t>
      </w:r>
    </w:p>
    <w:p w:rsidR="007A7CF2" w:rsidRPr="005D15DA" w:rsidRDefault="007A7CF2" w:rsidP="007A7CF2">
      <w:pPr>
        <w:rPr>
          <w:b/>
          <w:color w:val="000000"/>
          <w:sz w:val="22"/>
        </w:rPr>
      </w:pPr>
      <w:r w:rsidRPr="005D15DA">
        <w:rPr>
          <w:rFonts w:hint="eastAsia"/>
          <w:b/>
          <w:color w:val="000000"/>
          <w:sz w:val="22"/>
        </w:rPr>
        <w:t>第十六章</w:t>
      </w:r>
      <w:r w:rsidRPr="005D15DA">
        <w:rPr>
          <w:b/>
          <w:color w:val="000000"/>
          <w:sz w:val="22"/>
        </w:rPr>
        <w:t xml:space="preserve">  </w:t>
      </w:r>
      <w:r w:rsidRPr="005D15DA">
        <w:rPr>
          <w:rFonts w:hint="eastAsia"/>
          <w:b/>
          <w:color w:val="000000"/>
          <w:sz w:val="22"/>
        </w:rPr>
        <w:t>肺功能不全</w:t>
      </w:r>
    </w:p>
    <w:p w:rsidR="007A7CF2" w:rsidRPr="005D15DA" w:rsidRDefault="007A7CF2" w:rsidP="007A7CF2">
      <w:pPr>
        <w:rPr>
          <w:rFonts w:ascii="Times New Roman"/>
          <w:b/>
          <w:color w:val="000000"/>
          <w:sz w:val="22"/>
        </w:rPr>
      </w:pPr>
      <w:r w:rsidRPr="005D15DA">
        <w:rPr>
          <w:rFonts w:ascii="Times New Roman" w:hint="eastAsia"/>
          <w:b/>
          <w:color w:val="000000"/>
          <w:sz w:val="22"/>
        </w:rPr>
        <w:t>教学内容（</w:t>
      </w:r>
      <w:r w:rsidRPr="005D15DA">
        <w:rPr>
          <w:rFonts w:ascii="Times New Roman" w:hAnsi="Times New Roman"/>
          <w:b/>
          <w:color w:val="000000"/>
          <w:sz w:val="22"/>
        </w:rPr>
        <w:t>3</w:t>
      </w:r>
      <w:r w:rsidRPr="005D15DA">
        <w:rPr>
          <w:rFonts w:ascii="Times New Roman" w:hint="eastAsia"/>
          <w:b/>
          <w:color w:val="000000"/>
          <w:sz w:val="22"/>
        </w:rPr>
        <w:t>学时）</w:t>
      </w:r>
    </w:p>
    <w:p w:rsidR="007A7CF2" w:rsidRPr="007A7CF2" w:rsidRDefault="007A7CF2" w:rsidP="007A7CF2">
      <w:pPr>
        <w:rPr>
          <w:rFonts w:ascii="Times New Roman"/>
          <w:color w:val="000000"/>
          <w:szCs w:val="21"/>
        </w:rPr>
      </w:pPr>
      <w:bookmarkStart w:id="38" w:name="_Toc463013910"/>
      <w:r w:rsidRPr="007A7CF2">
        <w:rPr>
          <w:rFonts w:ascii="Times New Roman" w:hint="eastAsia"/>
          <w:color w:val="000000"/>
          <w:szCs w:val="21"/>
        </w:rPr>
        <w:t>1.</w:t>
      </w:r>
      <w:r w:rsidRPr="007A7CF2">
        <w:rPr>
          <w:rFonts w:ascii="Times New Roman" w:hint="eastAsia"/>
          <w:color w:val="000000"/>
          <w:szCs w:val="21"/>
        </w:rPr>
        <w:t>呼吸衰竭（Ⅰ型和Ⅱ型）的概念，判断呼吸衰竭的血气指标。</w:t>
      </w:r>
      <w:bookmarkEnd w:id="38"/>
    </w:p>
    <w:p w:rsidR="007A7CF2" w:rsidRPr="007A7CF2" w:rsidRDefault="007A7CF2" w:rsidP="007A7CF2">
      <w:pPr>
        <w:rPr>
          <w:rFonts w:ascii="Times New Roman"/>
          <w:color w:val="000000"/>
          <w:szCs w:val="21"/>
        </w:rPr>
      </w:pPr>
      <w:bookmarkStart w:id="39" w:name="_Toc463013911"/>
      <w:r w:rsidRPr="007A7CF2">
        <w:rPr>
          <w:rFonts w:ascii="Times New Roman" w:hint="eastAsia"/>
          <w:color w:val="000000"/>
          <w:szCs w:val="21"/>
        </w:rPr>
        <w:t>2.</w:t>
      </w:r>
      <w:r w:rsidRPr="007A7CF2">
        <w:rPr>
          <w:rFonts w:ascii="Times New Roman" w:hint="eastAsia"/>
          <w:color w:val="000000"/>
          <w:szCs w:val="21"/>
        </w:rPr>
        <w:t>限制性通气不足的概念，限制性通气不足的原因。</w:t>
      </w:r>
      <w:bookmarkEnd w:id="39"/>
    </w:p>
    <w:p w:rsidR="007A7CF2" w:rsidRPr="007A7CF2" w:rsidRDefault="007A7CF2" w:rsidP="007A7CF2">
      <w:pPr>
        <w:rPr>
          <w:rFonts w:ascii="Times New Roman"/>
          <w:color w:val="000000"/>
          <w:szCs w:val="21"/>
        </w:rPr>
      </w:pPr>
      <w:bookmarkStart w:id="40" w:name="_Toc463013912"/>
      <w:r w:rsidRPr="007A7CF2">
        <w:rPr>
          <w:rFonts w:ascii="Times New Roman" w:hint="eastAsia"/>
          <w:color w:val="000000"/>
          <w:szCs w:val="21"/>
        </w:rPr>
        <w:t>3.</w:t>
      </w:r>
      <w:r w:rsidRPr="007A7CF2">
        <w:rPr>
          <w:rFonts w:ascii="Times New Roman" w:hint="eastAsia"/>
          <w:color w:val="000000"/>
          <w:szCs w:val="21"/>
        </w:rPr>
        <w:t>阻塞性通气不足的概念与分类（中央性、外周性）及呼吸困难的表现形式，等压点的概念。</w:t>
      </w:r>
      <w:bookmarkEnd w:id="40"/>
    </w:p>
    <w:p w:rsidR="007A7CF2" w:rsidRPr="007A7CF2" w:rsidRDefault="007A7CF2" w:rsidP="007A7CF2">
      <w:pPr>
        <w:rPr>
          <w:rFonts w:ascii="Times New Roman"/>
          <w:color w:val="000000"/>
          <w:szCs w:val="21"/>
        </w:rPr>
      </w:pPr>
      <w:bookmarkStart w:id="41" w:name="_Toc463013913"/>
      <w:r w:rsidRPr="007A7CF2">
        <w:rPr>
          <w:rFonts w:ascii="Times New Roman" w:hint="eastAsia"/>
          <w:color w:val="000000"/>
          <w:szCs w:val="21"/>
        </w:rPr>
        <w:t>4.</w:t>
      </w:r>
      <w:r w:rsidRPr="007A7CF2">
        <w:rPr>
          <w:rFonts w:ascii="Times New Roman" w:hint="eastAsia"/>
          <w:color w:val="000000"/>
          <w:szCs w:val="21"/>
        </w:rPr>
        <w:t>肺通气功能障碍血气变化的特点。</w:t>
      </w:r>
      <w:bookmarkEnd w:id="41"/>
    </w:p>
    <w:p w:rsidR="007A7CF2" w:rsidRPr="007A7CF2" w:rsidRDefault="007A7CF2" w:rsidP="007A7CF2">
      <w:pPr>
        <w:rPr>
          <w:rFonts w:ascii="Times New Roman"/>
          <w:color w:val="000000"/>
          <w:szCs w:val="21"/>
        </w:rPr>
      </w:pPr>
      <w:bookmarkStart w:id="42" w:name="_Toc463013914"/>
      <w:r w:rsidRPr="007A7CF2">
        <w:rPr>
          <w:rFonts w:ascii="Times New Roman" w:hint="eastAsia"/>
          <w:color w:val="000000"/>
          <w:szCs w:val="21"/>
        </w:rPr>
        <w:t>5.</w:t>
      </w:r>
      <w:r w:rsidRPr="007A7CF2">
        <w:rPr>
          <w:rFonts w:ascii="Times New Roman" w:hint="eastAsia"/>
          <w:color w:val="000000"/>
          <w:szCs w:val="21"/>
        </w:rPr>
        <w:t>弥散障碍的概念、原因及其血气变化；功能性分流、死腔样通气的概念及其血气变化；解剖分流的概念。</w:t>
      </w:r>
      <w:bookmarkEnd w:id="42"/>
    </w:p>
    <w:p w:rsidR="007A7CF2" w:rsidRPr="007A7CF2" w:rsidRDefault="007A7CF2" w:rsidP="007A7CF2">
      <w:pPr>
        <w:rPr>
          <w:rFonts w:ascii="Times New Roman"/>
          <w:color w:val="000000"/>
          <w:szCs w:val="21"/>
        </w:rPr>
      </w:pPr>
      <w:bookmarkStart w:id="43" w:name="_Toc463013915"/>
      <w:r w:rsidRPr="007A7CF2">
        <w:rPr>
          <w:rFonts w:ascii="Times New Roman" w:hint="eastAsia"/>
          <w:color w:val="000000"/>
          <w:szCs w:val="21"/>
        </w:rPr>
        <w:t>6.</w:t>
      </w:r>
      <w:r w:rsidRPr="007A7CF2">
        <w:rPr>
          <w:rFonts w:ascii="Times New Roman" w:hint="eastAsia"/>
          <w:color w:val="000000"/>
          <w:szCs w:val="21"/>
        </w:rPr>
        <w:t>呼吸衰竭时主要的代谢功能变化：呼吸系统的变化；循环系统的变化；中枢神经系统的变化。肺</w:t>
      </w:r>
      <w:r w:rsidRPr="007A7CF2">
        <w:rPr>
          <w:rFonts w:ascii="Times New Roman" w:hint="eastAsia"/>
          <w:color w:val="000000"/>
          <w:szCs w:val="21"/>
        </w:rPr>
        <w:lastRenderedPageBreak/>
        <w:t>性脑病、肺源性心脏病的概念。</w:t>
      </w:r>
      <w:bookmarkEnd w:id="43"/>
    </w:p>
    <w:p w:rsidR="007A7CF2" w:rsidRPr="007A7CF2" w:rsidRDefault="007A7CF2" w:rsidP="007A7CF2">
      <w:pPr>
        <w:rPr>
          <w:rFonts w:ascii="Times New Roman"/>
          <w:color w:val="000000"/>
          <w:szCs w:val="21"/>
        </w:rPr>
      </w:pPr>
      <w:bookmarkStart w:id="44" w:name="_Toc463013916"/>
      <w:r w:rsidRPr="007A7CF2">
        <w:rPr>
          <w:rFonts w:ascii="Times New Roman"/>
          <w:color w:val="000000"/>
          <w:szCs w:val="21"/>
        </w:rPr>
        <w:t xml:space="preserve">7. </w:t>
      </w:r>
      <w:r w:rsidRPr="007A7CF2">
        <w:rPr>
          <w:rFonts w:ascii="Times New Roman" w:hint="eastAsia"/>
          <w:color w:val="000000"/>
          <w:szCs w:val="21"/>
        </w:rPr>
        <w:t>自学与拓展：常见呼吸系统疾病导致肺功能不全的机制，临床常用肺通气功能评价指标，不同类型肺功能不全治疗时用氧浓度的不同及其机制。</w:t>
      </w:r>
      <w:bookmarkEnd w:id="44"/>
    </w:p>
    <w:p w:rsidR="007A7CF2" w:rsidRPr="005D15DA" w:rsidRDefault="007A7CF2" w:rsidP="007A7CF2">
      <w:pPr>
        <w:rPr>
          <w:color w:val="000000"/>
          <w:sz w:val="22"/>
        </w:rPr>
      </w:pPr>
      <w:r w:rsidRPr="005D15DA">
        <w:rPr>
          <w:rFonts w:hint="eastAsia"/>
          <w:b/>
          <w:color w:val="000000"/>
          <w:sz w:val="22"/>
        </w:rPr>
        <w:t>目的要求</w:t>
      </w:r>
    </w:p>
    <w:p w:rsidR="007A7CF2" w:rsidRPr="007A7CF2" w:rsidRDefault="007A7CF2" w:rsidP="007A7CF2">
      <w:pPr>
        <w:rPr>
          <w:rFonts w:ascii="Times New Roman"/>
          <w:color w:val="000000"/>
          <w:szCs w:val="21"/>
        </w:rPr>
      </w:pPr>
      <w:r w:rsidRPr="007A7CF2">
        <w:rPr>
          <w:rFonts w:ascii="Times New Roman"/>
          <w:color w:val="000000"/>
          <w:szCs w:val="21"/>
        </w:rPr>
        <w:t xml:space="preserve">1. </w:t>
      </w:r>
      <w:r w:rsidRPr="007A7CF2">
        <w:rPr>
          <w:rFonts w:ascii="Times New Roman" w:hint="eastAsia"/>
          <w:color w:val="000000"/>
          <w:szCs w:val="21"/>
        </w:rPr>
        <w:t>掌握呼吸衰竭的分类及判断的血气指标。</w:t>
      </w:r>
    </w:p>
    <w:p w:rsidR="007A7CF2" w:rsidRPr="007A7CF2" w:rsidRDefault="007A7CF2" w:rsidP="007A7CF2">
      <w:pPr>
        <w:rPr>
          <w:rFonts w:ascii="Times New Roman"/>
          <w:color w:val="000000"/>
          <w:szCs w:val="21"/>
        </w:rPr>
      </w:pPr>
      <w:r w:rsidRPr="007A7CF2">
        <w:rPr>
          <w:rFonts w:ascii="Times New Roman"/>
          <w:color w:val="000000"/>
          <w:szCs w:val="21"/>
        </w:rPr>
        <w:t xml:space="preserve">2. </w:t>
      </w:r>
      <w:r w:rsidRPr="007A7CF2">
        <w:rPr>
          <w:rFonts w:ascii="Times New Roman" w:hint="eastAsia"/>
          <w:color w:val="000000"/>
          <w:szCs w:val="21"/>
        </w:rPr>
        <w:t>掌握限制性通气不足、阻塞性通气不足、弥散障碍、功能性分流、死腔样通气和解剖分流的概念。掌握呼吸衰竭的病因、发生机制及血气变化。</w:t>
      </w:r>
      <w:r w:rsidRPr="007A7CF2">
        <w:rPr>
          <w:rFonts w:ascii="Times New Roman"/>
          <w:color w:val="000000"/>
          <w:szCs w:val="21"/>
        </w:rPr>
        <w:t xml:space="preserve"> </w:t>
      </w:r>
    </w:p>
    <w:p w:rsidR="007A7CF2" w:rsidRPr="007A7CF2" w:rsidRDefault="007A7CF2" w:rsidP="007A7CF2">
      <w:pPr>
        <w:rPr>
          <w:rFonts w:ascii="Times New Roman"/>
          <w:color w:val="000000"/>
          <w:szCs w:val="21"/>
        </w:rPr>
      </w:pPr>
      <w:r w:rsidRPr="007A7CF2">
        <w:rPr>
          <w:rFonts w:ascii="Times New Roman"/>
          <w:color w:val="000000"/>
          <w:szCs w:val="21"/>
        </w:rPr>
        <w:t xml:space="preserve">3. </w:t>
      </w:r>
      <w:r w:rsidRPr="007A7CF2">
        <w:rPr>
          <w:rFonts w:ascii="Times New Roman" w:hint="eastAsia"/>
          <w:color w:val="000000"/>
          <w:szCs w:val="21"/>
        </w:rPr>
        <w:t>了解常见呼吸系统疾病导致呼吸功能衰竭的机制。</w:t>
      </w:r>
    </w:p>
    <w:p w:rsidR="007A7CF2" w:rsidRPr="007A7CF2" w:rsidRDefault="007A7CF2" w:rsidP="007A7CF2">
      <w:pPr>
        <w:rPr>
          <w:rFonts w:ascii="Times New Roman"/>
          <w:color w:val="000000"/>
          <w:szCs w:val="21"/>
        </w:rPr>
      </w:pPr>
      <w:r w:rsidRPr="007A7CF2">
        <w:rPr>
          <w:rFonts w:ascii="Times New Roman"/>
          <w:color w:val="000000"/>
          <w:szCs w:val="21"/>
        </w:rPr>
        <w:t xml:space="preserve">4. </w:t>
      </w:r>
      <w:r w:rsidRPr="007A7CF2">
        <w:rPr>
          <w:rFonts w:ascii="Times New Roman" w:hint="eastAsia"/>
          <w:color w:val="000000"/>
          <w:szCs w:val="21"/>
        </w:rPr>
        <w:t>了解临床常用肺通气功能评价指标。</w:t>
      </w:r>
    </w:p>
    <w:p w:rsidR="007A7CF2" w:rsidRPr="007A7CF2" w:rsidRDefault="007A7CF2" w:rsidP="007A7CF2">
      <w:pPr>
        <w:rPr>
          <w:rFonts w:ascii="Times New Roman"/>
          <w:color w:val="000000"/>
          <w:szCs w:val="21"/>
        </w:rPr>
      </w:pPr>
      <w:r w:rsidRPr="007A7CF2">
        <w:rPr>
          <w:rFonts w:ascii="Times New Roman"/>
          <w:color w:val="000000"/>
          <w:szCs w:val="21"/>
        </w:rPr>
        <w:t xml:space="preserve">5. </w:t>
      </w:r>
      <w:r w:rsidRPr="007A7CF2">
        <w:rPr>
          <w:rFonts w:ascii="Times New Roman" w:hint="eastAsia"/>
          <w:color w:val="000000"/>
          <w:szCs w:val="21"/>
        </w:rPr>
        <w:t>熟悉呼吸衰竭时主要的功能代谢变化，掌握肺性脑病、肺源性心脏病的概念。</w:t>
      </w:r>
    </w:p>
    <w:p w:rsidR="007A7CF2" w:rsidRPr="007A7CF2" w:rsidRDefault="007A7CF2" w:rsidP="007A7CF2">
      <w:pPr>
        <w:rPr>
          <w:rFonts w:ascii="Times New Roman"/>
          <w:color w:val="000000"/>
          <w:szCs w:val="21"/>
        </w:rPr>
      </w:pPr>
      <w:r w:rsidRPr="007A7CF2">
        <w:rPr>
          <w:rFonts w:ascii="Times New Roman"/>
          <w:color w:val="000000"/>
          <w:szCs w:val="21"/>
        </w:rPr>
        <w:t xml:space="preserve">6. </w:t>
      </w:r>
      <w:r w:rsidRPr="007A7CF2">
        <w:rPr>
          <w:rFonts w:ascii="Times New Roman" w:hint="eastAsia"/>
          <w:color w:val="000000"/>
          <w:szCs w:val="21"/>
        </w:rPr>
        <w:t>了解呼吸衰竭防治的病理生理基础。</w:t>
      </w:r>
    </w:p>
    <w:p w:rsidR="007A7CF2" w:rsidRPr="005D15DA" w:rsidRDefault="007A7CF2" w:rsidP="007A7CF2">
      <w:pPr>
        <w:rPr>
          <w:b/>
          <w:color w:val="000000"/>
          <w:sz w:val="22"/>
        </w:rPr>
      </w:pPr>
      <w:r w:rsidRPr="005D15DA">
        <w:rPr>
          <w:rFonts w:hint="eastAsia"/>
          <w:b/>
          <w:color w:val="000000"/>
          <w:sz w:val="22"/>
        </w:rPr>
        <w:t>第十七章</w:t>
      </w:r>
      <w:r w:rsidRPr="005D15DA">
        <w:rPr>
          <w:b/>
          <w:color w:val="000000"/>
          <w:sz w:val="22"/>
        </w:rPr>
        <w:t xml:space="preserve">  </w:t>
      </w:r>
      <w:r w:rsidRPr="005D15DA">
        <w:rPr>
          <w:rFonts w:hint="eastAsia"/>
          <w:b/>
          <w:color w:val="000000"/>
          <w:sz w:val="22"/>
        </w:rPr>
        <w:t>肝功能不全</w:t>
      </w:r>
    </w:p>
    <w:p w:rsidR="007A7CF2" w:rsidRPr="005D15DA" w:rsidRDefault="007A7CF2" w:rsidP="007A7CF2">
      <w:pPr>
        <w:rPr>
          <w:rFonts w:ascii="Times New Roman"/>
          <w:b/>
          <w:color w:val="000000"/>
          <w:sz w:val="22"/>
        </w:rPr>
      </w:pPr>
      <w:r w:rsidRPr="005D15DA">
        <w:rPr>
          <w:rFonts w:ascii="Times New Roman"/>
          <w:b/>
          <w:color w:val="000000"/>
          <w:sz w:val="22"/>
        </w:rPr>
        <w:t xml:space="preserve"> </w:t>
      </w:r>
      <w:r w:rsidRPr="005D15DA">
        <w:rPr>
          <w:rFonts w:ascii="Times New Roman" w:hint="eastAsia"/>
          <w:b/>
          <w:color w:val="000000"/>
          <w:sz w:val="22"/>
        </w:rPr>
        <w:t>教学内容（</w:t>
      </w:r>
      <w:r w:rsidRPr="005D15DA">
        <w:rPr>
          <w:rFonts w:ascii="Times New Roman"/>
          <w:b/>
          <w:color w:val="000000"/>
          <w:sz w:val="22"/>
        </w:rPr>
        <w:t>3</w:t>
      </w:r>
      <w:r w:rsidRPr="005D15DA">
        <w:rPr>
          <w:rFonts w:ascii="Times New Roman" w:hint="eastAsia"/>
          <w:b/>
          <w:color w:val="000000"/>
          <w:sz w:val="22"/>
        </w:rPr>
        <w:t>学时）</w:t>
      </w:r>
    </w:p>
    <w:p w:rsidR="007A7CF2" w:rsidRPr="007A7CF2" w:rsidRDefault="007A7CF2" w:rsidP="007A7CF2">
      <w:pPr>
        <w:rPr>
          <w:rFonts w:ascii="Times New Roman"/>
          <w:color w:val="000000"/>
          <w:szCs w:val="21"/>
        </w:rPr>
      </w:pPr>
      <w:r w:rsidRPr="007A7CF2">
        <w:rPr>
          <w:rFonts w:ascii="Times New Roman" w:hint="eastAsia"/>
          <w:color w:val="000000"/>
          <w:szCs w:val="21"/>
        </w:rPr>
        <w:t>1.</w:t>
      </w:r>
      <w:r w:rsidRPr="007A7CF2">
        <w:rPr>
          <w:rFonts w:ascii="Times New Roman" w:hint="eastAsia"/>
          <w:color w:val="000000"/>
          <w:szCs w:val="21"/>
        </w:rPr>
        <w:t>肝功能不全的概念。</w:t>
      </w:r>
    </w:p>
    <w:p w:rsidR="007A7CF2" w:rsidRPr="007A7CF2" w:rsidRDefault="007A7CF2" w:rsidP="007A7CF2">
      <w:pPr>
        <w:rPr>
          <w:rFonts w:ascii="Times New Roman"/>
          <w:color w:val="000000"/>
          <w:szCs w:val="21"/>
        </w:rPr>
      </w:pPr>
      <w:r w:rsidRPr="007A7CF2">
        <w:rPr>
          <w:rFonts w:ascii="Times New Roman" w:hint="eastAsia"/>
          <w:color w:val="000000"/>
          <w:szCs w:val="21"/>
        </w:rPr>
        <w:t>2.</w:t>
      </w:r>
      <w:r w:rsidRPr="007A7CF2">
        <w:rPr>
          <w:rFonts w:ascii="Times New Roman" w:hint="eastAsia"/>
          <w:color w:val="000000"/>
          <w:szCs w:val="21"/>
        </w:rPr>
        <w:t>肝性脑病的概念、分类与分期。</w:t>
      </w:r>
    </w:p>
    <w:p w:rsidR="007A7CF2" w:rsidRPr="007A7CF2" w:rsidRDefault="007A7CF2" w:rsidP="007A7CF2">
      <w:pPr>
        <w:rPr>
          <w:rFonts w:ascii="Times New Roman"/>
          <w:color w:val="000000"/>
          <w:szCs w:val="21"/>
        </w:rPr>
      </w:pPr>
      <w:r w:rsidRPr="007A7CF2">
        <w:rPr>
          <w:rFonts w:ascii="Times New Roman" w:hint="eastAsia"/>
          <w:color w:val="000000"/>
          <w:szCs w:val="21"/>
        </w:rPr>
        <w:t>3.</w:t>
      </w:r>
      <w:r w:rsidRPr="007A7CF2">
        <w:rPr>
          <w:rFonts w:ascii="Times New Roman" w:hint="eastAsia"/>
          <w:color w:val="000000"/>
          <w:szCs w:val="21"/>
        </w:rPr>
        <w:t>肝性脑病的发病机制：氨中毒学说（血氨升高的机制、氨对脑的毒性作用）；假性神经递质学说（假性神经递质的概念、假性神经递质的形成及其引起肝性脑病的机制）；血浆氨基酸失衡学说（血浆氨基酸失衡的原因、血浆氨基酸失衡引起肝性脑病的机制）；</w:t>
      </w:r>
      <w:r w:rsidRPr="007A7CF2">
        <w:rPr>
          <w:rFonts w:ascii="Times New Roman"/>
          <w:color w:val="000000"/>
          <w:szCs w:val="21"/>
        </w:rPr>
        <w:t>GABA</w:t>
      </w:r>
      <w:r w:rsidRPr="007A7CF2">
        <w:rPr>
          <w:rFonts w:ascii="Times New Roman" w:hint="eastAsia"/>
          <w:color w:val="000000"/>
          <w:szCs w:val="21"/>
        </w:rPr>
        <w:t>学说（</w:t>
      </w:r>
      <w:r w:rsidRPr="007A7CF2">
        <w:rPr>
          <w:rFonts w:ascii="Times New Roman"/>
          <w:color w:val="000000"/>
          <w:szCs w:val="21"/>
        </w:rPr>
        <w:t>GABA</w:t>
      </w:r>
      <w:r w:rsidRPr="007A7CF2">
        <w:rPr>
          <w:rFonts w:ascii="Times New Roman" w:hint="eastAsia"/>
          <w:color w:val="000000"/>
          <w:szCs w:val="21"/>
        </w:rPr>
        <w:t>作用的机制）。</w:t>
      </w:r>
    </w:p>
    <w:p w:rsidR="007A7CF2" w:rsidRPr="007A7CF2" w:rsidRDefault="007A7CF2" w:rsidP="007A7CF2">
      <w:pPr>
        <w:rPr>
          <w:rFonts w:ascii="Times New Roman"/>
          <w:color w:val="000000"/>
          <w:szCs w:val="21"/>
        </w:rPr>
      </w:pPr>
      <w:r w:rsidRPr="007A7CF2">
        <w:rPr>
          <w:rFonts w:ascii="Times New Roman" w:hint="eastAsia"/>
          <w:color w:val="000000"/>
          <w:szCs w:val="21"/>
        </w:rPr>
        <w:t>4.</w:t>
      </w:r>
      <w:r w:rsidRPr="007A7CF2">
        <w:rPr>
          <w:rFonts w:ascii="Times New Roman" w:hint="eastAsia"/>
          <w:color w:val="000000"/>
          <w:szCs w:val="21"/>
        </w:rPr>
        <w:t>肝性脑病的诱因。</w:t>
      </w:r>
    </w:p>
    <w:p w:rsidR="007A7CF2" w:rsidRPr="007A7CF2" w:rsidRDefault="007A7CF2" w:rsidP="007A7CF2">
      <w:pPr>
        <w:rPr>
          <w:rFonts w:ascii="Times New Roman"/>
          <w:color w:val="000000"/>
          <w:szCs w:val="21"/>
        </w:rPr>
      </w:pPr>
      <w:r w:rsidRPr="007A7CF2">
        <w:rPr>
          <w:rFonts w:ascii="Times New Roman" w:hint="eastAsia"/>
          <w:color w:val="000000"/>
          <w:szCs w:val="21"/>
        </w:rPr>
        <w:t>5.</w:t>
      </w:r>
      <w:r w:rsidRPr="007A7CF2">
        <w:rPr>
          <w:rFonts w:ascii="Times New Roman" w:hint="eastAsia"/>
          <w:color w:val="000000"/>
          <w:szCs w:val="21"/>
        </w:rPr>
        <w:t>肝性脑病防治的病理生理基础。</w:t>
      </w:r>
    </w:p>
    <w:p w:rsidR="007A7CF2" w:rsidRPr="007A7CF2" w:rsidRDefault="007A7CF2" w:rsidP="007A7CF2">
      <w:pPr>
        <w:rPr>
          <w:rFonts w:ascii="Times New Roman" w:hAnsi="Times New Roman"/>
          <w:color w:val="000000"/>
          <w:szCs w:val="21"/>
        </w:rPr>
      </w:pPr>
      <w:r w:rsidRPr="007A7CF2">
        <w:rPr>
          <w:rFonts w:ascii="Times New Roman" w:hint="eastAsia"/>
          <w:color w:val="000000"/>
          <w:szCs w:val="21"/>
        </w:rPr>
        <w:t>6.</w:t>
      </w:r>
      <w:r w:rsidRPr="007A7CF2">
        <w:rPr>
          <w:rFonts w:ascii="Times New Roman" w:hint="eastAsia"/>
          <w:color w:val="000000"/>
          <w:szCs w:val="21"/>
        </w:rPr>
        <w:t>肝肾综合征的概念、病因和分型。</w:t>
      </w:r>
    </w:p>
    <w:p w:rsidR="007A7CF2" w:rsidRPr="007A7CF2" w:rsidRDefault="007A7CF2" w:rsidP="007A7CF2">
      <w:pPr>
        <w:rPr>
          <w:rFonts w:ascii="Times New Roman" w:hAnsi="Times New Roman"/>
          <w:color w:val="000000"/>
          <w:szCs w:val="21"/>
        </w:rPr>
      </w:pPr>
      <w:r w:rsidRPr="007A7CF2">
        <w:rPr>
          <w:rFonts w:ascii="Times New Roman" w:hint="eastAsia"/>
          <w:color w:val="000000"/>
          <w:szCs w:val="21"/>
        </w:rPr>
        <w:t>7.</w:t>
      </w:r>
      <w:r w:rsidRPr="007A7CF2">
        <w:rPr>
          <w:rFonts w:ascii="Times New Roman" w:hint="eastAsia"/>
          <w:color w:val="000000"/>
          <w:szCs w:val="21"/>
        </w:rPr>
        <w:t>自学与拓展：肝肾综合征的发病机制。</w:t>
      </w:r>
    </w:p>
    <w:p w:rsidR="007A7CF2" w:rsidRPr="005D15DA" w:rsidRDefault="007A7CF2" w:rsidP="007A7CF2">
      <w:pPr>
        <w:rPr>
          <w:rFonts w:ascii="Times New Roman" w:hAnsi="Times New Roman"/>
          <w:b/>
          <w:color w:val="000000"/>
          <w:sz w:val="22"/>
        </w:rPr>
      </w:pPr>
      <w:r w:rsidRPr="005D15DA">
        <w:rPr>
          <w:rFonts w:ascii="Times New Roman" w:hint="eastAsia"/>
          <w:b/>
          <w:color w:val="000000"/>
          <w:sz w:val="22"/>
        </w:rPr>
        <w:t>目的要求</w:t>
      </w:r>
    </w:p>
    <w:p w:rsidR="007A7CF2" w:rsidRPr="007A7CF2" w:rsidRDefault="007A7CF2" w:rsidP="007A7CF2">
      <w:pPr>
        <w:rPr>
          <w:rFonts w:ascii="Times New Roman"/>
          <w:color w:val="000000"/>
          <w:szCs w:val="21"/>
        </w:rPr>
      </w:pPr>
      <w:r w:rsidRPr="007A7CF2">
        <w:rPr>
          <w:rFonts w:ascii="Times New Roman" w:hint="eastAsia"/>
          <w:color w:val="000000"/>
          <w:szCs w:val="21"/>
        </w:rPr>
        <w:t>1.</w:t>
      </w:r>
      <w:r w:rsidRPr="007A7CF2">
        <w:rPr>
          <w:rFonts w:ascii="Times New Roman" w:hint="eastAsia"/>
          <w:color w:val="000000"/>
          <w:szCs w:val="21"/>
        </w:rPr>
        <w:t>掌握肝功能不全的概念。</w:t>
      </w:r>
    </w:p>
    <w:p w:rsidR="007A7CF2" w:rsidRPr="007A7CF2" w:rsidRDefault="007A7CF2" w:rsidP="007A7CF2">
      <w:pPr>
        <w:rPr>
          <w:rFonts w:ascii="Times New Roman"/>
          <w:color w:val="000000"/>
          <w:szCs w:val="21"/>
        </w:rPr>
      </w:pPr>
      <w:r w:rsidRPr="007A7CF2">
        <w:rPr>
          <w:rFonts w:ascii="Times New Roman" w:hint="eastAsia"/>
          <w:color w:val="000000"/>
          <w:szCs w:val="21"/>
        </w:rPr>
        <w:t>2.</w:t>
      </w:r>
      <w:r w:rsidRPr="007A7CF2">
        <w:rPr>
          <w:rFonts w:ascii="Times New Roman" w:hint="eastAsia"/>
          <w:color w:val="000000"/>
          <w:szCs w:val="21"/>
        </w:rPr>
        <w:t>掌握肝性脑病的概念和发病机制（氨中毒学说、假性神经递质学说、血浆氨基酸失衡学说、γ</w:t>
      </w:r>
      <w:r w:rsidRPr="007A7CF2">
        <w:rPr>
          <w:rFonts w:ascii="Times New Roman"/>
          <w:color w:val="000000"/>
          <w:szCs w:val="21"/>
        </w:rPr>
        <w:t>-</w:t>
      </w:r>
      <w:r w:rsidRPr="007A7CF2">
        <w:rPr>
          <w:rFonts w:ascii="Times New Roman" w:hint="eastAsia"/>
          <w:color w:val="000000"/>
          <w:szCs w:val="21"/>
        </w:rPr>
        <w:t>氨基丁酸学说）。</w:t>
      </w:r>
    </w:p>
    <w:p w:rsidR="007A7CF2" w:rsidRPr="007A7CF2" w:rsidRDefault="007A7CF2" w:rsidP="007A7CF2">
      <w:pPr>
        <w:rPr>
          <w:rFonts w:ascii="Times New Roman"/>
          <w:color w:val="000000"/>
          <w:szCs w:val="21"/>
        </w:rPr>
      </w:pPr>
      <w:r w:rsidRPr="007A7CF2">
        <w:rPr>
          <w:rFonts w:ascii="Times New Roman" w:hint="eastAsia"/>
          <w:color w:val="000000"/>
          <w:szCs w:val="21"/>
        </w:rPr>
        <w:t>3.</w:t>
      </w:r>
      <w:r w:rsidRPr="007A7CF2">
        <w:rPr>
          <w:rFonts w:ascii="Times New Roman" w:hint="eastAsia"/>
          <w:color w:val="000000"/>
          <w:szCs w:val="21"/>
        </w:rPr>
        <w:t>掌握肝性脑病的诱因。</w:t>
      </w:r>
    </w:p>
    <w:p w:rsidR="007A7CF2" w:rsidRPr="007A7CF2" w:rsidRDefault="007A7CF2" w:rsidP="007A7CF2">
      <w:pPr>
        <w:rPr>
          <w:rFonts w:ascii="Times New Roman"/>
          <w:color w:val="000000"/>
          <w:szCs w:val="21"/>
        </w:rPr>
      </w:pPr>
      <w:r w:rsidRPr="007A7CF2">
        <w:rPr>
          <w:rFonts w:ascii="Times New Roman" w:hint="eastAsia"/>
          <w:color w:val="000000"/>
          <w:szCs w:val="21"/>
        </w:rPr>
        <w:t>4.</w:t>
      </w:r>
      <w:r w:rsidRPr="007A7CF2">
        <w:rPr>
          <w:rFonts w:ascii="Times New Roman" w:hint="eastAsia"/>
          <w:color w:val="000000"/>
          <w:szCs w:val="21"/>
        </w:rPr>
        <w:t>了解肝性脑病防治的病理生理学基础。</w:t>
      </w:r>
    </w:p>
    <w:p w:rsidR="007A7CF2" w:rsidRPr="007A7CF2" w:rsidRDefault="007A7CF2" w:rsidP="007A7CF2">
      <w:pPr>
        <w:rPr>
          <w:rFonts w:ascii="Times New Roman"/>
          <w:color w:val="000000"/>
          <w:szCs w:val="21"/>
        </w:rPr>
      </w:pPr>
      <w:r w:rsidRPr="007A7CF2">
        <w:rPr>
          <w:rFonts w:ascii="Times New Roman" w:hint="eastAsia"/>
          <w:color w:val="000000"/>
          <w:szCs w:val="21"/>
        </w:rPr>
        <w:t>5.</w:t>
      </w:r>
      <w:r w:rsidRPr="007A7CF2">
        <w:rPr>
          <w:rFonts w:ascii="Times New Roman" w:hint="eastAsia"/>
          <w:color w:val="000000"/>
          <w:szCs w:val="21"/>
        </w:rPr>
        <w:t>了解肝肾综合征的概念和发病机制。</w:t>
      </w:r>
    </w:p>
    <w:p w:rsidR="007A7CF2" w:rsidRPr="005D15DA" w:rsidRDefault="007A7CF2" w:rsidP="007A7CF2">
      <w:pPr>
        <w:rPr>
          <w:b/>
          <w:color w:val="000000"/>
          <w:sz w:val="22"/>
        </w:rPr>
      </w:pPr>
      <w:r w:rsidRPr="005D15DA">
        <w:rPr>
          <w:b/>
          <w:color w:val="000000"/>
          <w:sz w:val="22"/>
        </w:rPr>
        <w:t xml:space="preserve"> </w:t>
      </w:r>
      <w:r w:rsidRPr="005D15DA">
        <w:rPr>
          <w:rFonts w:hint="eastAsia"/>
          <w:b/>
          <w:color w:val="000000"/>
          <w:sz w:val="22"/>
        </w:rPr>
        <w:t>肾功能不全</w:t>
      </w:r>
    </w:p>
    <w:p w:rsidR="007A7CF2" w:rsidRPr="005D15DA" w:rsidRDefault="007A7CF2" w:rsidP="007A7CF2">
      <w:pPr>
        <w:rPr>
          <w:b/>
          <w:color w:val="000000"/>
          <w:sz w:val="22"/>
        </w:rPr>
      </w:pPr>
      <w:r w:rsidRPr="005D15DA">
        <w:rPr>
          <w:b/>
          <w:color w:val="000000"/>
          <w:sz w:val="22"/>
        </w:rPr>
        <w:t xml:space="preserve"> </w:t>
      </w:r>
      <w:r w:rsidRPr="005D15DA">
        <w:rPr>
          <w:rFonts w:ascii="Times New Roman" w:hint="eastAsia"/>
          <w:b/>
          <w:color w:val="000000"/>
          <w:sz w:val="22"/>
        </w:rPr>
        <w:t>教学内容（</w:t>
      </w:r>
      <w:r w:rsidRPr="005D15DA">
        <w:rPr>
          <w:rFonts w:ascii="Times New Roman" w:hAnsi="Times New Roman"/>
          <w:b/>
          <w:color w:val="000000"/>
          <w:sz w:val="22"/>
        </w:rPr>
        <w:t>3</w:t>
      </w:r>
      <w:r w:rsidRPr="005D15DA">
        <w:rPr>
          <w:rFonts w:ascii="Times New Roman" w:hint="eastAsia"/>
          <w:b/>
          <w:color w:val="000000"/>
          <w:sz w:val="22"/>
        </w:rPr>
        <w:t>学时）</w:t>
      </w:r>
    </w:p>
    <w:p w:rsidR="007A7CF2" w:rsidRPr="007A7CF2" w:rsidRDefault="007A7CF2" w:rsidP="007A7CF2">
      <w:pPr>
        <w:rPr>
          <w:rFonts w:ascii="Times New Roman"/>
          <w:color w:val="000000"/>
          <w:szCs w:val="21"/>
        </w:rPr>
      </w:pPr>
      <w:r w:rsidRPr="007A7CF2">
        <w:rPr>
          <w:rFonts w:ascii="Times New Roman" w:hint="eastAsia"/>
          <w:color w:val="000000"/>
          <w:szCs w:val="21"/>
        </w:rPr>
        <w:t>1.</w:t>
      </w:r>
      <w:r w:rsidRPr="007A7CF2">
        <w:rPr>
          <w:rFonts w:ascii="Times New Roman" w:hint="eastAsia"/>
          <w:color w:val="000000"/>
          <w:szCs w:val="21"/>
        </w:rPr>
        <w:t>肾功能不全的概念。</w:t>
      </w:r>
    </w:p>
    <w:p w:rsidR="007A7CF2" w:rsidRPr="007A7CF2" w:rsidRDefault="007A7CF2" w:rsidP="007A7CF2">
      <w:pPr>
        <w:rPr>
          <w:rFonts w:ascii="Times New Roman"/>
          <w:color w:val="000000"/>
          <w:szCs w:val="21"/>
        </w:rPr>
      </w:pPr>
      <w:r w:rsidRPr="007A7CF2">
        <w:rPr>
          <w:rFonts w:ascii="Times New Roman" w:hint="eastAsia"/>
          <w:color w:val="000000"/>
          <w:szCs w:val="21"/>
        </w:rPr>
        <w:t>2.</w:t>
      </w:r>
      <w:r w:rsidRPr="007A7CF2">
        <w:rPr>
          <w:rFonts w:ascii="Times New Roman" w:hint="eastAsia"/>
          <w:color w:val="000000"/>
          <w:szCs w:val="21"/>
        </w:rPr>
        <w:t>急性肾功能衰竭的概念、分类和病因。</w:t>
      </w:r>
    </w:p>
    <w:p w:rsidR="007A7CF2" w:rsidRPr="007A7CF2" w:rsidRDefault="007A7CF2" w:rsidP="007A7CF2">
      <w:pPr>
        <w:rPr>
          <w:rFonts w:ascii="Times New Roman"/>
          <w:color w:val="000000"/>
          <w:szCs w:val="21"/>
        </w:rPr>
      </w:pPr>
      <w:r w:rsidRPr="007A7CF2">
        <w:rPr>
          <w:rFonts w:ascii="Times New Roman" w:hint="eastAsia"/>
          <w:color w:val="000000"/>
          <w:szCs w:val="21"/>
        </w:rPr>
        <w:t>3.</w:t>
      </w:r>
      <w:r w:rsidRPr="007A7CF2">
        <w:rPr>
          <w:rFonts w:ascii="Times New Roman" w:hint="eastAsia"/>
          <w:color w:val="000000"/>
          <w:szCs w:val="21"/>
        </w:rPr>
        <w:t>急性肾功能衰竭的发病机制：肾血管及血流动力学异常；肾小管损伤；肾小球滤过系数降低。</w:t>
      </w:r>
    </w:p>
    <w:p w:rsidR="007A7CF2" w:rsidRPr="007A7CF2" w:rsidRDefault="007A7CF2" w:rsidP="007A7CF2">
      <w:pPr>
        <w:rPr>
          <w:rFonts w:ascii="Times New Roman"/>
          <w:color w:val="000000"/>
          <w:szCs w:val="21"/>
        </w:rPr>
      </w:pPr>
      <w:r w:rsidRPr="007A7CF2">
        <w:rPr>
          <w:rFonts w:ascii="Times New Roman" w:hint="eastAsia"/>
          <w:color w:val="000000"/>
          <w:szCs w:val="21"/>
        </w:rPr>
        <w:t>少尿型急性肾功能衰竭少尿期的变化：少尿和无尿的判断指标，水中毒的原因，高钾血症的原因，代谢性酸中毒的原因，氮质血症的概念。</w:t>
      </w:r>
    </w:p>
    <w:p w:rsidR="007A7CF2" w:rsidRPr="007A7CF2" w:rsidRDefault="007A7CF2" w:rsidP="007A7CF2">
      <w:pPr>
        <w:rPr>
          <w:rFonts w:ascii="Times New Roman"/>
          <w:color w:val="000000"/>
          <w:szCs w:val="21"/>
        </w:rPr>
      </w:pPr>
      <w:r w:rsidRPr="007A7CF2">
        <w:rPr>
          <w:rFonts w:ascii="Times New Roman" w:hint="eastAsia"/>
          <w:color w:val="000000"/>
          <w:szCs w:val="21"/>
        </w:rPr>
        <w:t>4.</w:t>
      </w:r>
      <w:r w:rsidRPr="007A7CF2">
        <w:rPr>
          <w:rFonts w:ascii="Times New Roman" w:hint="eastAsia"/>
          <w:color w:val="000000"/>
          <w:szCs w:val="21"/>
        </w:rPr>
        <w:t>少尿型急性肾功能衰竭多尿期产生多尿的机制。</w:t>
      </w:r>
    </w:p>
    <w:p w:rsidR="007A7CF2" w:rsidRPr="007A7CF2" w:rsidRDefault="007A7CF2" w:rsidP="007A7CF2">
      <w:pPr>
        <w:rPr>
          <w:rFonts w:ascii="Times New Roman"/>
          <w:color w:val="000000"/>
          <w:szCs w:val="21"/>
        </w:rPr>
      </w:pPr>
      <w:r w:rsidRPr="007A7CF2">
        <w:rPr>
          <w:rFonts w:ascii="Times New Roman" w:hint="eastAsia"/>
          <w:color w:val="000000"/>
          <w:szCs w:val="21"/>
        </w:rPr>
        <w:t>5.</w:t>
      </w:r>
      <w:r w:rsidRPr="007A7CF2">
        <w:rPr>
          <w:rFonts w:ascii="Times New Roman" w:hint="eastAsia"/>
          <w:color w:val="000000"/>
          <w:szCs w:val="21"/>
        </w:rPr>
        <w:t>急性肾功能衰竭防治的病理生理基础。</w:t>
      </w:r>
    </w:p>
    <w:p w:rsidR="007A7CF2" w:rsidRPr="007A7CF2" w:rsidRDefault="007A7CF2" w:rsidP="007A7CF2">
      <w:pPr>
        <w:rPr>
          <w:rFonts w:ascii="Times New Roman"/>
          <w:color w:val="000000"/>
          <w:szCs w:val="21"/>
        </w:rPr>
      </w:pPr>
      <w:r w:rsidRPr="007A7CF2">
        <w:rPr>
          <w:rFonts w:ascii="Times New Roman" w:hint="eastAsia"/>
          <w:color w:val="000000"/>
          <w:szCs w:val="21"/>
        </w:rPr>
        <w:t>6.</w:t>
      </w:r>
      <w:r w:rsidRPr="007A7CF2">
        <w:rPr>
          <w:rFonts w:ascii="Times New Roman" w:hint="eastAsia"/>
          <w:color w:val="000000"/>
          <w:szCs w:val="21"/>
        </w:rPr>
        <w:t>慢性肾功能衰竭的概念和发展过程。</w:t>
      </w:r>
    </w:p>
    <w:p w:rsidR="007A7CF2" w:rsidRPr="007A7CF2" w:rsidRDefault="007A7CF2" w:rsidP="007A7CF2">
      <w:pPr>
        <w:rPr>
          <w:rFonts w:ascii="Times New Roman"/>
          <w:color w:val="000000"/>
          <w:szCs w:val="21"/>
        </w:rPr>
      </w:pPr>
      <w:r w:rsidRPr="007A7CF2">
        <w:rPr>
          <w:rFonts w:ascii="Times New Roman" w:hint="eastAsia"/>
          <w:color w:val="000000"/>
          <w:szCs w:val="21"/>
        </w:rPr>
        <w:t>7.</w:t>
      </w:r>
      <w:r w:rsidRPr="007A7CF2">
        <w:rPr>
          <w:rFonts w:ascii="Times New Roman" w:hint="eastAsia"/>
          <w:color w:val="000000"/>
          <w:szCs w:val="21"/>
        </w:rPr>
        <w:t>慢性肾功能衰竭的发病机制：原发病的作用；继发性进行性肾小球硬化（健存肾单位血流动力学的改变，系膜细胞增殖和细胞外基质产生增多）；肾小管</w:t>
      </w:r>
      <w:r w:rsidRPr="007A7CF2">
        <w:rPr>
          <w:rFonts w:ascii="Times New Roman"/>
          <w:color w:val="000000"/>
          <w:szCs w:val="21"/>
        </w:rPr>
        <w:t>-</w:t>
      </w:r>
      <w:r w:rsidRPr="007A7CF2">
        <w:rPr>
          <w:rFonts w:ascii="Times New Roman" w:hint="eastAsia"/>
          <w:color w:val="000000"/>
          <w:szCs w:val="21"/>
        </w:rPr>
        <w:t>间质损伤。</w:t>
      </w:r>
    </w:p>
    <w:p w:rsidR="007A7CF2" w:rsidRPr="007A7CF2" w:rsidRDefault="007A7CF2" w:rsidP="007A7CF2">
      <w:pPr>
        <w:rPr>
          <w:rFonts w:ascii="Times New Roman"/>
          <w:color w:val="000000"/>
          <w:szCs w:val="21"/>
        </w:rPr>
      </w:pPr>
      <w:r w:rsidRPr="007A7CF2">
        <w:rPr>
          <w:rFonts w:ascii="Times New Roman" w:hint="eastAsia"/>
          <w:color w:val="000000"/>
          <w:szCs w:val="21"/>
        </w:rPr>
        <w:t>8.</w:t>
      </w:r>
      <w:r w:rsidRPr="007A7CF2">
        <w:rPr>
          <w:rFonts w:ascii="Times New Roman" w:hint="eastAsia"/>
          <w:color w:val="000000"/>
          <w:szCs w:val="21"/>
        </w:rPr>
        <w:t>慢性肾功能衰竭早期多尿的机制。</w:t>
      </w:r>
    </w:p>
    <w:p w:rsidR="007A7CF2" w:rsidRPr="007A7CF2" w:rsidRDefault="007A7CF2" w:rsidP="007A7CF2">
      <w:pPr>
        <w:rPr>
          <w:rFonts w:ascii="Times New Roman"/>
          <w:color w:val="000000"/>
          <w:szCs w:val="21"/>
        </w:rPr>
      </w:pPr>
      <w:r w:rsidRPr="007A7CF2">
        <w:rPr>
          <w:rFonts w:ascii="Times New Roman" w:hint="eastAsia"/>
          <w:color w:val="000000"/>
          <w:szCs w:val="21"/>
        </w:rPr>
        <w:t>9.</w:t>
      </w:r>
      <w:r w:rsidRPr="007A7CF2">
        <w:rPr>
          <w:rFonts w:ascii="Times New Roman" w:hint="eastAsia"/>
          <w:color w:val="000000"/>
          <w:szCs w:val="21"/>
        </w:rPr>
        <w:t>尿毒症的概念。</w:t>
      </w:r>
    </w:p>
    <w:p w:rsidR="007A7CF2" w:rsidRPr="007A7CF2" w:rsidRDefault="007A7CF2" w:rsidP="007A7CF2">
      <w:pPr>
        <w:rPr>
          <w:rFonts w:ascii="Times New Roman"/>
          <w:color w:val="000000"/>
          <w:szCs w:val="21"/>
        </w:rPr>
      </w:pPr>
      <w:r w:rsidRPr="007A7CF2">
        <w:rPr>
          <w:rFonts w:ascii="Times New Roman" w:hint="eastAsia"/>
          <w:color w:val="000000"/>
          <w:szCs w:val="21"/>
        </w:rPr>
        <w:t>10.</w:t>
      </w:r>
      <w:r w:rsidRPr="007A7CF2">
        <w:rPr>
          <w:rFonts w:ascii="Times New Roman" w:hint="eastAsia"/>
          <w:color w:val="000000"/>
          <w:szCs w:val="21"/>
        </w:rPr>
        <w:t>慢性肾功能衰竭和尿毒症防治的病理生理基础。</w:t>
      </w:r>
    </w:p>
    <w:p w:rsidR="007A7CF2" w:rsidRPr="007A7CF2" w:rsidRDefault="007A7CF2" w:rsidP="007A7CF2">
      <w:pPr>
        <w:rPr>
          <w:rFonts w:ascii="Times New Roman"/>
          <w:color w:val="000000"/>
          <w:szCs w:val="21"/>
        </w:rPr>
      </w:pPr>
      <w:r w:rsidRPr="007A7CF2">
        <w:rPr>
          <w:rFonts w:ascii="Times New Roman" w:hint="eastAsia"/>
          <w:color w:val="000000"/>
          <w:szCs w:val="21"/>
        </w:rPr>
        <w:lastRenderedPageBreak/>
        <w:t>11.</w:t>
      </w:r>
      <w:r w:rsidRPr="007A7CF2">
        <w:rPr>
          <w:rFonts w:ascii="Times New Roman" w:hint="eastAsia"/>
          <w:color w:val="000000"/>
          <w:szCs w:val="21"/>
        </w:rPr>
        <w:t>自学与拓展：慢性肾功能衰竭出现肾性骨营养不良、肾性高血压以及肾性贫血的机制。</w:t>
      </w:r>
    </w:p>
    <w:p w:rsidR="007A7CF2" w:rsidRPr="005D15DA" w:rsidRDefault="007A7CF2" w:rsidP="007A7CF2">
      <w:pPr>
        <w:rPr>
          <w:rFonts w:ascii="Times New Roman" w:hAnsi="Times New Roman"/>
          <w:b/>
          <w:color w:val="000000"/>
          <w:sz w:val="22"/>
        </w:rPr>
      </w:pPr>
      <w:r w:rsidRPr="005D15DA">
        <w:rPr>
          <w:rFonts w:ascii="Times New Roman" w:hint="eastAsia"/>
          <w:b/>
          <w:color w:val="000000"/>
          <w:sz w:val="22"/>
        </w:rPr>
        <w:t>目的要求</w:t>
      </w:r>
    </w:p>
    <w:p w:rsidR="007A7CF2" w:rsidRPr="007A7CF2" w:rsidRDefault="007A7CF2" w:rsidP="007A7CF2">
      <w:pPr>
        <w:rPr>
          <w:rFonts w:ascii="Times New Roman"/>
          <w:color w:val="000000"/>
          <w:szCs w:val="21"/>
        </w:rPr>
      </w:pPr>
      <w:r w:rsidRPr="007A7CF2">
        <w:rPr>
          <w:rFonts w:ascii="Times New Roman" w:hint="eastAsia"/>
          <w:color w:val="000000"/>
          <w:szCs w:val="21"/>
        </w:rPr>
        <w:t>1.</w:t>
      </w:r>
      <w:r w:rsidRPr="007A7CF2">
        <w:rPr>
          <w:rFonts w:ascii="Times New Roman" w:hint="eastAsia"/>
          <w:color w:val="000000"/>
          <w:szCs w:val="21"/>
        </w:rPr>
        <w:t>掌握肾功能不全的概念。</w:t>
      </w:r>
    </w:p>
    <w:p w:rsidR="007A7CF2" w:rsidRPr="007A7CF2" w:rsidRDefault="007A7CF2" w:rsidP="007A7CF2">
      <w:pPr>
        <w:rPr>
          <w:rFonts w:ascii="Times New Roman"/>
          <w:color w:val="000000"/>
          <w:szCs w:val="21"/>
        </w:rPr>
      </w:pPr>
      <w:r w:rsidRPr="007A7CF2">
        <w:rPr>
          <w:rFonts w:ascii="Times New Roman" w:hint="eastAsia"/>
          <w:color w:val="000000"/>
          <w:szCs w:val="21"/>
        </w:rPr>
        <w:t>2.</w:t>
      </w:r>
      <w:r w:rsidRPr="007A7CF2">
        <w:rPr>
          <w:rFonts w:ascii="Times New Roman" w:hint="eastAsia"/>
          <w:color w:val="000000"/>
          <w:szCs w:val="21"/>
        </w:rPr>
        <w:t>掌握急性肾功能衰竭的概念、分类和发病机制。</w:t>
      </w:r>
    </w:p>
    <w:p w:rsidR="007A7CF2" w:rsidRPr="007A7CF2" w:rsidRDefault="007A7CF2" w:rsidP="007A7CF2">
      <w:pPr>
        <w:rPr>
          <w:rFonts w:ascii="Times New Roman"/>
          <w:color w:val="000000"/>
          <w:szCs w:val="21"/>
        </w:rPr>
      </w:pPr>
      <w:r w:rsidRPr="007A7CF2">
        <w:rPr>
          <w:rFonts w:ascii="Times New Roman" w:hint="eastAsia"/>
          <w:color w:val="000000"/>
          <w:szCs w:val="21"/>
        </w:rPr>
        <w:t>3.</w:t>
      </w:r>
      <w:r w:rsidRPr="007A7CF2">
        <w:rPr>
          <w:rFonts w:ascii="Times New Roman" w:hint="eastAsia"/>
          <w:color w:val="000000"/>
          <w:szCs w:val="21"/>
        </w:rPr>
        <w:t>掌握少尿型急性肾功能衰竭的分期、各期的功能代谢变化及机制。</w:t>
      </w:r>
    </w:p>
    <w:p w:rsidR="007A7CF2" w:rsidRPr="007A7CF2" w:rsidRDefault="007A7CF2" w:rsidP="007A7CF2">
      <w:pPr>
        <w:rPr>
          <w:rFonts w:ascii="Times New Roman"/>
          <w:color w:val="000000"/>
          <w:szCs w:val="21"/>
        </w:rPr>
      </w:pPr>
      <w:r w:rsidRPr="007A7CF2">
        <w:rPr>
          <w:rFonts w:ascii="Times New Roman" w:hint="eastAsia"/>
          <w:color w:val="000000"/>
          <w:szCs w:val="21"/>
        </w:rPr>
        <w:t>4.</w:t>
      </w:r>
      <w:r w:rsidRPr="007A7CF2">
        <w:rPr>
          <w:rFonts w:ascii="Times New Roman" w:hint="eastAsia"/>
          <w:color w:val="000000"/>
          <w:szCs w:val="21"/>
        </w:rPr>
        <w:t>了解防治急性肾功能衰竭的病理生理基础。</w:t>
      </w:r>
    </w:p>
    <w:p w:rsidR="007A7CF2" w:rsidRPr="007A7CF2" w:rsidRDefault="007A7CF2" w:rsidP="007A7CF2">
      <w:pPr>
        <w:rPr>
          <w:rFonts w:ascii="Times New Roman"/>
          <w:color w:val="000000"/>
          <w:szCs w:val="21"/>
        </w:rPr>
      </w:pPr>
      <w:r w:rsidRPr="007A7CF2">
        <w:rPr>
          <w:rFonts w:ascii="Times New Roman" w:hint="eastAsia"/>
          <w:color w:val="000000"/>
          <w:szCs w:val="21"/>
        </w:rPr>
        <w:t>5.</w:t>
      </w:r>
      <w:r w:rsidRPr="007A7CF2">
        <w:rPr>
          <w:rFonts w:ascii="Times New Roman" w:hint="eastAsia"/>
          <w:color w:val="000000"/>
          <w:szCs w:val="21"/>
        </w:rPr>
        <w:t>熟悉慢性肾功能衰竭的概念、发展过程和发病机制。</w:t>
      </w:r>
    </w:p>
    <w:p w:rsidR="007A7CF2" w:rsidRPr="007A7CF2" w:rsidRDefault="007A7CF2" w:rsidP="007A7CF2">
      <w:pPr>
        <w:rPr>
          <w:rFonts w:ascii="Times New Roman"/>
          <w:color w:val="000000"/>
          <w:szCs w:val="21"/>
        </w:rPr>
      </w:pPr>
      <w:r w:rsidRPr="007A7CF2">
        <w:rPr>
          <w:rFonts w:ascii="Times New Roman" w:hint="eastAsia"/>
          <w:color w:val="000000"/>
          <w:szCs w:val="21"/>
        </w:rPr>
        <w:t>6.</w:t>
      </w:r>
      <w:r w:rsidRPr="007A7CF2">
        <w:rPr>
          <w:rFonts w:ascii="Times New Roman" w:hint="eastAsia"/>
          <w:color w:val="000000"/>
          <w:szCs w:val="21"/>
        </w:rPr>
        <w:t>掌握慢性肾功能衰竭早期多尿的机制。</w:t>
      </w:r>
    </w:p>
    <w:p w:rsidR="007A7CF2" w:rsidRPr="007A7CF2" w:rsidRDefault="007A7CF2" w:rsidP="007A7CF2">
      <w:pPr>
        <w:rPr>
          <w:rFonts w:ascii="Times New Roman"/>
          <w:color w:val="000000"/>
          <w:szCs w:val="21"/>
        </w:rPr>
      </w:pPr>
      <w:r w:rsidRPr="007A7CF2">
        <w:rPr>
          <w:rFonts w:ascii="Times New Roman" w:hint="eastAsia"/>
          <w:color w:val="000000"/>
          <w:szCs w:val="21"/>
        </w:rPr>
        <w:t>7.</w:t>
      </w:r>
      <w:r w:rsidRPr="007A7CF2">
        <w:rPr>
          <w:rFonts w:ascii="Times New Roman" w:hint="eastAsia"/>
          <w:color w:val="000000"/>
          <w:szCs w:val="21"/>
        </w:rPr>
        <w:t>熟悉尿毒症的概念。</w:t>
      </w:r>
    </w:p>
    <w:p w:rsidR="007A7CF2" w:rsidRPr="007A7CF2" w:rsidRDefault="007A7CF2" w:rsidP="007A7CF2">
      <w:pPr>
        <w:rPr>
          <w:b/>
          <w:color w:val="000000"/>
          <w:szCs w:val="21"/>
        </w:rPr>
      </w:pPr>
      <w:r w:rsidRPr="007A7CF2">
        <w:rPr>
          <w:rFonts w:ascii="Times New Roman"/>
          <w:color w:val="000000"/>
          <w:szCs w:val="21"/>
        </w:rPr>
        <w:t>8.</w:t>
      </w:r>
      <w:r w:rsidRPr="007A7CF2">
        <w:rPr>
          <w:rFonts w:ascii="Times New Roman" w:hint="eastAsia"/>
          <w:color w:val="000000"/>
          <w:szCs w:val="21"/>
        </w:rPr>
        <w:t>了解防治慢性肾功能衰竭和尿毒症的病理生理基础。</w:t>
      </w:r>
    </w:p>
    <w:p w:rsidR="003717A0" w:rsidRPr="007A7CF2" w:rsidRDefault="003717A0">
      <w:pPr>
        <w:adjustRightInd w:val="0"/>
        <w:snapToGrid w:val="0"/>
        <w:spacing w:line="360" w:lineRule="auto"/>
        <w:ind w:left="709" w:right="4"/>
        <w:rPr>
          <w:szCs w:val="21"/>
        </w:rPr>
      </w:pP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5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3869"/>
        <w:gridCol w:w="1225"/>
        <w:gridCol w:w="1225"/>
        <w:gridCol w:w="1225"/>
      </w:tblGrid>
      <w:tr w:rsidR="003717A0">
        <w:trPr>
          <w:cantSplit/>
          <w:trHeight w:val="557"/>
        </w:trPr>
        <w:tc>
          <w:tcPr>
            <w:tcW w:w="992" w:type="dxa"/>
            <w:vAlign w:val="center"/>
          </w:tcPr>
          <w:p w:rsidR="003717A0" w:rsidRDefault="003717A0">
            <w:pPr>
              <w:spacing w:line="280" w:lineRule="exact"/>
              <w:jc w:val="center"/>
            </w:pPr>
            <w:r>
              <w:rPr>
                <w:rFonts w:hint="eastAsia"/>
              </w:rPr>
              <w:t>序号</w:t>
            </w:r>
          </w:p>
        </w:tc>
        <w:tc>
          <w:tcPr>
            <w:tcW w:w="3869" w:type="dxa"/>
            <w:vAlign w:val="center"/>
          </w:tcPr>
          <w:p w:rsidR="003717A0" w:rsidRDefault="003717A0">
            <w:pPr>
              <w:spacing w:line="280" w:lineRule="exact"/>
            </w:pPr>
            <w:r>
              <w:t xml:space="preserve">   </w:t>
            </w:r>
            <w:r>
              <w:rPr>
                <w:rFonts w:hint="eastAsia"/>
              </w:rPr>
              <w:t>讲</w:t>
            </w:r>
            <w:r>
              <w:t xml:space="preserve">  </w:t>
            </w:r>
            <w:r>
              <w:rPr>
                <w:rFonts w:hint="eastAsia"/>
              </w:rPr>
              <w:t>课</w:t>
            </w:r>
            <w:r>
              <w:t xml:space="preserve">  </w:t>
            </w:r>
            <w:r>
              <w:rPr>
                <w:rFonts w:hint="eastAsia"/>
              </w:rPr>
              <w:t>内</w:t>
            </w:r>
            <w:r>
              <w:t xml:space="preserve">  </w:t>
            </w:r>
            <w:r>
              <w:rPr>
                <w:rFonts w:hint="eastAsia"/>
              </w:rPr>
              <w:t>容</w:t>
            </w:r>
          </w:p>
          <w:p w:rsidR="003717A0" w:rsidRDefault="003717A0">
            <w:pPr>
              <w:spacing w:line="280" w:lineRule="exact"/>
            </w:pPr>
            <w:r>
              <w:rPr>
                <w:rFonts w:hint="eastAsia"/>
                <w:sz w:val="24"/>
              </w:rPr>
              <w:t>（具体章节或实验）</w:t>
            </w:r>
          </w:p>
        </w:tc>
        <w:tc>
          <w:tcPr>
            <w:tcW w:w="1225" w:type="dxa"/>
            <w:vAlign w:val="center"/>
          </w:tcPr>
          <w:p w:rsidR="003717A0" w:rsidRDefault="003717A0">
            <w:pPr>
              <w:spacing w:line="280" w:lineRule="exact"/>
              <w:jc w:val="center"/>
            </w:pPr>
            <w:r>
              <w:rPr>
                <w:rFonts w:hint="eastAsia"/>
              </w:rPr>
              <w:t>学时</w:t>
            </w:r>
          </w:p>
        </w:tc>
        <w:tc>
          <w:tcPr>
            <w:tcW w:w="1225" w:type="dxa"/>
            <w:vAlign w:val="center"/>
          </w:tcPr>
          <w:p w:rsidR="003717A0" w:rsidRDefault="003717A0">
            <w:pPr>
              <w:spacing w:line="280" w:lineRule="exact"/>
            </w:pPr>
            <w:r>
              <w:rPr>
                <w:rFonts w:hint="eastAsia"/>
                <w:sz w:val="24"/>
              </w:rPr>
              <w:t>作业</w:t>
            </w:r>
          </w:p>
        </w:tc>
        <w:tc>
          <w:tcPr>
            <w:tcW w:w="1225" w:type="dxa"/>
            <w:vAlign w:val="center"/>
          </w:tcPr>
          <w:p w:rsidR="003717A0" w:rsidRDefault="003717A0">
            <w:pPr>
              <w:spacing w:line="280" w:lineRule="exact"/>
              <w:jc w:val="center"/>
            </w:pPr>
            <w:r>
              <w:rPr>
                <w:rFonts w:hint="eastAsia"/>
                <w:sz w:val="24"/>
              </w:rPr>
              <w:t>备注</w:t>
            </w:r>
          </w:p>
        </w:tc>
      </w:tr>
      <w:tr w:rsidR="003717A0">
        <w:trPr>
          <w:cantSplit/>
          <w:trHeight w:hRule="exact" w:val="456"/>
        </w:trPr>
        <w:tc>
          <w:tcPr>
            <w:tcW w:w="992" w:type="dxa"/>
            <w:vAlign w:val="center"/>
          </w:tcPr>
          <w:p w:rsidR="003717A0" w:rsidRDefault="003717A0">
            <w:pPr>
              <w:spacing w:line="280" w:lineRule="exact"/>
              <w:jc w:val="center"/>
            </w:pPr>
            <w:r>
              <w:t>1</w:t>
            </w:r>
          </w:p>
        </w:tc>
        <w:tc>
          <w:tcPr>
            <w:tcW w:w="3869" w:type="dxa"/>
            <w:vAlign w:val="center"/>
          </w:tcPr>
          <w:p w:rsidR="003717A0" w:rsidRDefault="003717A0">
            <w:pPr>
              <w:spacing w:line="280" w:lineRule="exact"/>
            </w:pPr>
            <w:r>
              <w:rPr>
                <w:rFonts w:hint="eastAsia"/>
              </w:rPr>
              <w:t>绪言、疾病概论</w:t>
            </w:r>
          </w:p>
        </w:tc>
        <w:tc>
          <w:tcPr>
            <w:tcW w:w="1225" w:type="dxa"/>
            <w:vAlign w:val="center"/>
          </w:tcPr>
          <w:p w:rsidR="003717A0" w:rsidRDefault="003717A0">
            <w:pPr>
              <w:spacing w:line="280" w:lineRule="exact"/>
              <w:jc w:val="center"/>
            </w:pPr>
            <w:r>
              <w:t>3</w:t>
            </w:r>
          </w:p>
        </w:tc>
        <w:tc>
          <w:tcPr>
            <w:tcW w:w="1225" w:type="dxa"/>
          </w:tcPr>
          <w:p w:rsidR="003717A0" w:rsidRDefault="003717A0">
            <w:pPr>
              <w:spacing w:line="280" w:lineRule="exact"/>
            </w:pPr>
          </w:p>
        </w:tc>
        <w:tc>
          <w:tcPr>
            <w:tcW w:w="1225" w:type="dxa"/>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2</w:t>
            </w:r>
          </w:p>
        </w:tc>
        <w:tc>
          <w:tcPr>
            <w:tcW w:w="3869" w:type="dxa"/>
            <w:vAlign w:val="center"/>
          </w:tcPr>
          <w:p w:rsidR="003717A0" w:rsidRDefault="003717A0">
            <w:pPr>
              <w:spacing w:line="280" w:lineRule="exact"/>
            </w:pPr>
            <w:r>
              <w:rPr>
                <w:rFonts w:hint="eastAsia"/>
              </w:rPr>
              <w:t>水、电解质代谢紊乱</w:t>
            </w:r>
          </w:p>
        </w:tc>
        <w:tc>
          <w:tcPr>
            <w:tcW w:w="1225" w:type="dxa"/>
            <w:vAlign w:val="center"/>
          </w:tcPr>
          <w:p w:rsidR="003717A0" w:rsidRDefault="003717A0">
            <w:pPr>
              <w:spacing w:line="280" w:lineRule="exact"/>
              <w:jc w:val="center"/>
            </w:pPr>
            <w:r>
              <w:t>6</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3</w:t>
            </w:r>
          </w:p>
        </w:tc>
        <w:tc>
          <w:tcPr>
            <w:tcW w:w="3869" w:type="dxa"/>
            <w:vAlign w:val="center"/>
          </w:tcPr>
          <w:p w:rsidR="003717A0" w:rsidRDefault="003717A0">
            <w:pPr>
              <w:spacing w:line="280" w:lineRule="exact"/>
            </w:pPr>
            <w:r>
              <w:rPr>
                <w:rFonts w:hint="eastAsia"/>
              </w:rPr>
              <w:t>酸碱平衡紊乱</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4</w:t>
            </w:r>
          </w:p>
        </w:tc>
        <w:tc>
          <w:tcPr>
            <w:tcW w:w="3869" w:type="dxa"/>
            <w:vAlign w:val="center"/>
          </w:tcPr>
          <w:p w:rsidR="003717A0" w:rsidRDefault="003717A0">
            <w:pPr>
              <w:spacing w:line="280" w:lineRule="exact"/>
            </w:pPr>
            <w:r>
              <w:rPr>
                <w:rFonts w:hint="eastAsia"/>
              </w:rPr>
              <w:t>缺氧</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5</w:t>
            </w:r>
          </w:p>
        </w:tc>
        <w:tc>
          <w:tcPr>
            <w:tcW w:w="3869" w:type="dxa"/>
            <w:vAlign w:val="center"/>
          </w:tcPr>
          <w:p w:rsidR="003717A0" w:rsidRDefault="003717A0">
            <w:pPr>
              <w:spacing w:line="280" w:lineRule="exact"/>
            </w:pPr>
            <w:r>
              <w:rPr>
                <w:rFonts w:hint="eastAsia"/>
              </w:rPr>
              <w:t>发热</w:t>
            </w:r>
          </w:p>
        </w:tc>
        <w:tc>
          <w:tcPr>
            <w:tcW w:w="1225" w:type="dxa"/>
            <w:vAlign w:val="center"/>
          </w:tcPr>
          <w:p w:rsidR="003717A0" w:rsidRDefault="003717A0">
            <w:pPr>
              <w:spacing w:line="280" w:lineRule="exact"/>
              <w:jc w:val="center"/>
            </w:pPr>
            <w:r>
              <w:t>2</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6</w:t>
            </w:r>
          </w:p>
        </w:tc>
        <w:tc>
          <w:tcPr>
            <w:tcW w:w="3869" w:type="dxa"/>
            <w:vAlign w:val="center"/>
          </w:tcPr>
          <w:p w:rsidR="003717A0" w:rsidRDefault="003717A0">
            <w:pPr>
              <w:spacing w:line="280" w:lineRule="exact"/>
            </w:pPr>
            <w:r>
              <w:rPr>
                <w:rFonts w:hint="eastAsia"/>
              </w:rPr>
              <w:t>缺血－再灌注损伤</w:t>
            </w:r>
          </w:p>
        </w:tc>
        <w:tc>
          <w:tcPr>
            <w:tcW w:w="1225" w:type="dxa"/>
            <w:vAlign w:val="center"/>
          </w:tcPr>
          <w:p w:rsidR="003717A0" w:rsidRDefault="003717A0">
            <w:pPr>
              <w:spacing w:line="280" w:lineRule="exact"/>
              <w:jc w:val="center"/>
            </w:pPr>
            <w:r>
              <w:t>2</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7</w:t>
            </w:r>
          </w:p>
        </w:tc>
        <w:tc>
          <w:tcPr>
            <w:tcW w:w="3869" w:type="dxa"/>
            <w:vAlign w:val="center"/>
          </w:tcPr>
          <w:p w:rsidR="003717A0" w:rsidRDefault="003717A0">
            <w:pPr>
              <w:spacing w:line="280" w:lineRule="exact"/>
            </w:pPr>
            <w:r>
              <w:rPr>
                <w:rFonts w:hint="eastAsia"/>
              </w:rPr>
              <w:t>休克</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8</w:t>
            </w:r>
          </w:p>
        </w:tc>
        <w:tc>
          <w:tcPr>
            <w:tcW w:w="3869" w:type="dxa"/>
            <w:vAlign w:val="center"/>
          </w:tcPr>
          <w:p w:rsidR="003717A0" w:rsidRDefault="003717A0">
            <w:pPr>
              <w:spacing w:line="280" w:lineRule="exact"/>
            </w:pPr>
            <w:r>
              <w:rPr>
                <w:rFonts w:hint="eastAsia"/>
              </w:rPr>
              <w:t>凝血与抗凝血平衡紊乱</w:t>
            </w:r>
          </w:p>
        </w:tc>
        <w:tc>
          <w:tcPr>
            <w:tcW w:w="1225" w:type="dxa"/>
            <w:vAlign w:val="center"/>
          </w:tcPr>
          <w:p w:rsidR="003717A0" w:rsidRDefault="003717A0">
            <w:pPr>
              <w:spacing w:line="280" w:lineRule="exact"/>
              <w:jc w:val="center"/>
            </w:pPr>
            <w:r>
              <w:t>2</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9</w:t>
            </w:r>
          </w:p>
        </w:tc>
        <w:tc>
          <w:tcPr>
            <w:tcW w:w="3869" w:type="dxa"/>
            <w:vAlign w:val="center"/>
          </w:tcPr>
          <w:p w:rsidR="003717A0" w:rsidRDefault="003717A0">
            <w:pPr>
              <w:spacing w:line="280" w:lineRule="exact"/>
            </w:pPr>
            <w:r>
              <w:rPr>
                <w:rFonts w:hint="eastAsia"/>
              </w:rPr>
              <w:t>心功能不全</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10</w:t>
            </w:r>
          </w:p>
        </w:tc>
        <w:tc>
          <w:tcPr>
            <w:tcW w:w="3869" w:type="dxa"/>
            <w:vAlign w:val="center"/>
          </w:tcPr>
          <w:p w:rsidR="003717A0" w:rsidRDefault="003717A0">
            <w:pPr>
              <w:spacing w:line="280" w:lineRule="exact"/>
            </w:pPr>
            <w:r>
              <w:rPr>
                <w:rFonts w:hint="eastAsia"/>
              </w:rPr>
              <w:t>肺功能不全</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hRule="exact" w:val="456"/>
        </w:trPr>
        <w:tc>
          <w:tcPr>
            <w:tcW w:w="992" w:type="dxa"/>
            <w:vAlign w:val="center"/>
          </w:tcPr>
          <w:p w:rsidR="003717A0" w:rsidRDefault="003717A0">
            <w:pPr>
              <w:spacing w:line="280" w:lineRule="exact"/>
              <w:jc w:val="center"/>
            </w:pPr>
            <w:r>
              <w:t>11</w:t>
            </w:r>
          </w:p>
        </w:tc>
        <w:tc>
          <w:tcPr>
            <w:tcW w:w="3869" w:type="dxa"/>
            <w:vAlign w:val="center"/>
          </w:tcPr>
          <w:p w:rsidR="003717A0" w:rsidRDefault="003717A0">
            <w:pPr>
              <w:spacing w:line="280" w:lineRule="exact"/>
            </w:pPr>
            <w:r>
              <w:rPr>
                <w:rFonts w:hint="eastAsia"/>
              </w:rPr>
              <w:t>肝功能不全</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val="437"/>
        </w:trPr>
        <w:tc>
          <w:tcPr>
            <w:tcW w:w="992" w:type="dxa"/>
            <w:vAlign w:val="center"/>
          </w:tcPr>
          <w:p w:rsidR="003717A0" w:rsidRDefault="003717A0">
            <w:pPr>
              <w:spacing w:line="280" w:lineRule="exact"/>
              <w:jc w:val="center"/>
            </w:pPr>
            <w:r>
              <w:t>12</w:t>
            </w:r>
          </w:p>
        </w:tc>
        <w:tc>
          <w:tcPr>
            <w:tcW w:w="3869" w:type="dxa"/>
            <w:vAlign w:val="center"/>
          </w:tcPr>
          <w:p w:rsidR="003717A0" w:rsidRDefault="003717A0">
            <w:pPr>
              <w:spacing w:line="280" w:lineRule="exact"/>
            </w:pPr>
            <w:r>
              <w:rPr>
                <w:rFonts w:hint="eastAsia"/>
              </w:rPr>
              <w:t>肾功能不全</w:t>
            </w:r>
          </w:p>
        </w:tc>
        <w:tc>
          <w:tcPr>
            <w:tcW w:w="1225" w:type="dxa"/>
            <w:vAlign w:val="center"/>
          </w:tcPr>
          <w:p w:rsidR="003717A0" w:rsidRDefault="003717A0">
            <w:pPr>
              <w:spacing w:line="280" w:lineRule="exact"/>
              <w:jc w:val="center"/>
            </w:pPr>
            <w:r>
              <w:t>3</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r w:rsidR="003717A0">
        <w:trPr>
          <w:cantSplit/>
          <w:trHeight w:val="477"/>
        </w:trPr>
        <w:tc>
          <w:tcPr>
            <w:tcW w:w="992" w:type="dxa"/>
            <w:vAlign w:val="center"/>
          </w:tcPr>
          <w:p w:rsidR="003717A0" w:rsidRDefault="003717A0">
            <w:pPr>
              <w:spacing w:line="280" w:lineRule="exact"/>
            </w:pPr>
          </w:p>
        </w:tc>
        <w:tc>
          <w:tcPr>
            <w:tcW w:w="3869" w:type="dxa"/>
            <w:vAlign w:val="center"/>
          </w:tcPr>
          <w:p w:rsidR="003717A0" w:rsidRDefault="003717A0">
            <w:pPr>
              <w:spacing w:line="280" w:lineRule="exact"/>
            </w:pPr>
            <w:r>
              <w:rPr>
                <w:rFonts w:hint="eastAsia"/>
              </w:rPr>
              <w:t>合计</w:t>
            </w:r>
          </w:p>
        </w:tc>
        <w:tc>
          <w:tcPr>
            <w:tcW w:w="1225" w:type="dxa"/>
            <w:vAlign w:val="center"/>
          </w:tcPr>
          <w:p w:rsidR="003717A0" w:rsidRDefault="003717A0">
            <w:pPr>
              <w:spacing w:line="280" w:lineRule="exact"/>
              <w:jc w:val="center"/>
            </w:pPr>
            <w:r>
              <w:t>36</w:t>
            </w:r>
          </w:p>
        </w:tc>
        <w:tc>
          <w:tcPr>
            <w:tcW w:w="1225" w:type="dxa"/>
            <w:vAlign w:val="center"/>
          </w:tcPr>
          <w:p w:rsidR="003717A0" w:rsidRDefault="003717A0">
            <w:pPr>
              <w:spacing w:line="280" w:lineRule="exact"/>
            </w:pPr>
          </w:p>
        </w:tc>
        <w:tc>
          <w:tcPr>
            <w:tcW w:w="1225" w:type="dxa"/>
            <w:vAlign w:val="center"/>
          </w:tcPr>
          <w:p w:rsidR="003717A0" w:rsidRDefault="003717A0">
            <w:pPr>
              <w:spacing w:line="280" w:lineRule="exact"/>
            </w:pPr>
          </w:p>
        </w:tc>
      </w:tr>
    </w:tbl>
    <w:p w:rsidR="003717A0" w:rsidRDefault="003717A0">
      <w:pPr>
        <w:adjustRightInd w:val="0"/>
        <w:snapToGrid w:val="0"/>
        <w:jc w:val="center"/>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多媒体教室、实验室、</w:t>
      </w:r>
      <w:r>
        <w:rPr>
          <w:rFonts w:ascii="Times New Roman"/>
        </w:rPr>
        <w:t>blackboard</w:t>
      </w:r>
      <w:r>
        <w:rPr>
          <w:rFonts w:ascii="Times New Roman" w:hint="eastAsia"/>
        </w:rPr>
        <w:t>网络平台等；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多媒体教学课件、医学机能学实验教学平台等。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70%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平时成绩占总成绩的</w:t>
      </w:r>
      <w:r>
        <w:rPr>
          <w:rFonts w:ascii="Times New Roman"/>
        </w:rPr>
        <w:t>30%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lastRenderedPageBreak/>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rPr>
      </w:pPr>
      <w:r>
        <w:rPr>
          <w:rFonts w:ascii="Times New Roman" w:hint="eastAsia"/>
        </w:rPr>
        <w:t>理论课教材：金惠铭、王建枝主编，《病理生理学》，人民卫生出版社，</w:t>
      </w:r>
      <w:r>
        <w:rPr>
          <w:rFonts w:ascii="Times New Roman"/>
        </w:rPr>
        <w:t>2013</w:t>
      </w:r>
      <w:r>
        <w:rPr>
          <w:rFonts w:ascii="Times New Roman" w:hint="eastAsia"/>
        </w:rPr>
        <w:t>年</w:t>
      </w:r>
      <w:r>
        <w:rPr>
          <w:rFonts w:ascii="Times New Roman"/>
        </w:rPr>
        <w:t>3</w:t>
      </w:r>
      <w:r>
        <w:rPr>
          <w:rFonts w:ascii="Times New Roman" w:hint="eastAsia"/>
        </w:rPr>
        <w:t>月第</w:t>
      </w:r>
      <w:r>
        <w:rPr>
          <w:rFonts w:ascii="Times New Roman"/>
        </w:rPr>
        <w:t>8</w:t>
      </w:r>
      <w:r>
        <w:rPr>
          <w:rFonts w:ascii="Times New Roman" w:hint="eastAsia"/>
        </w:rPr>
        <w:t>版</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hint="eastAsia"/>
        </w:rPr>
        <w:t>实验课教材：施海燕等编写，《病理生理学实验指导》。</w:t>
      </w:r>
    </w:p>
    <w:p w:rsidR="003717A0" w:rsidRDefault="003717A0">
      <w:pPr>
        <w:adjustRightInd w:val="0"/>
        <w:snapToGrid w:val="0"/>
        <w:spacing w:line="360" w:lineRule="auto"/>
        <w:ind w:right="4" w:firstLineChars="200" w:firstLine="420"/>
        <w:rPr>
          <w:rFonts w:ascii="Times New Roman"/>
        </w:rPr>
      </w:pPr>
      <w:r>
        <w:rPr>
          <w:rFonts w:ascii="Times New Roman" w:hint="eastAsia"/>
        </w:rPr>
        <w:t>主要参考书及网页：</w:t>
      </w:r>
    </w:p>
    <w:p w:rsidR="003717A0" w:rsidRDefault="003717A0">
      <w:pPr>
        <w:adjustRightInd w:val="0"/>
        <w:snapToGrid w:val="0"/>
        <w:spacing w:line="360" w:lineRule="auto"/>
        <w:ind w:right="4" w:firstLineChars="200" w:firstLine="420"/>
        <w:rPr>
          <w:rFonts w:ascii="Times New Roman"/>
        </w:rPr>
      </w:pPr>
      <w:r>
        <w:rPr>
          <w:rFonts w:ascii="Times New Roman"/>
        </w:rPr>
        <w:t xml:space="preserve">   1. </w:t>
      </w:r>
      <w:r>
        <w:rPr>
          <w:rFonts w:ascii="Times New Roman" w:hint="eastAsia"/>
        </w:rPr>
        <w:t>王建枝</w:t>
      </w:r>
      <w:r>
        <w:rPr>
          <w:rFonts w:ascii="Times New Roman"/>
        </w:rPr>
        <w:t xml:space="preserve"> </w:t>
      </w:r>
      <w:r>
        <w:rPr>
          <w:rFonts w:ascii="Times New Roman" w:hint="eastAsia"/>
        </w:rPr>
        <w:t>陈国强等编写《病理生理学讲义》（医学英文原版改编双语教材）</w:t>
      </w:r>
      <w:r>
        <w:rPr>
          <w:rFonts w:ascii="Times New Roman"/>
        </w:rPr>
        <w:t xml:space="preserve">. </w:t>
      </w:r>
      <w:r>
        <w:rPr>
          <w:rFonts w:ascii="Times New Roman" w:hint="eastAsia"/>
        </w:rPr>
        <w:t>科学出版社，</w:t>
      </w:r>
      <w:r>
        <w:rPr>
          <w:rFonts w:ascii="Times New Roman"/>
        </w:rPr>
        <w:t>2006</w:t>
      </w:r>
      <w:r>
        <w:rPr>
          <w:rFonts w:ascii="Times New Roman" w:hint="eastAsia"/>
        </w:rPr>
        <w:t>年</w:t>
      </w:r>
      <w:r>
        <w:rPr>
          <w:rFonts w:ascii="Times New Roman"/>
        </w:rPr>
        <w:t>3</w:t>
      </w:r>
      <w:r>
        <w:rPr>
          <w:rFonts w:ascii="Times New Roman" w:hint="eastAsia"/>
        </w:rPr>
        <w:t>月。</w:t>
      </w:r>
    </w:p>
    <w:p w:rsidR="003717A0" w:rsidRDefault="003717A0">
      <w:pPr>
        <w:adjustRightInd w:val="0"/>
        <w:snapToGrid w:val="0"/>
        <w:spacing w:line="360" w:lineRule="auto"/>
        <w:ind w:right="4" w:firstLineChars="200" w:firstLine="420"/>
        <w:rPr>
          <w:rFonts w:ascii="Times New Roman"/>
        </w:rPr>
      </w:pPr>
      <w:r>
        <w:rPr>
          <w:rFonts w:ascii="Times New Roman"/>
        </w:rPr>
        <w:t xml:space="preserve">   2. </w:t>
      </w:r>
      <w:r>
        <w:rPr>
          <w:rFonts w:ascii="Times New Roman" w:hint="eastAsia"/>
        </w:rPr>
        <w:t>施海燕等编写《病理生理学讲义与复习题</w:t>
      </w:r>
      <w:r>
        <w:rPr>
          <w:rFonts w:ascii="Times New Roman"/>
        </w:rPr>
        <w:t>(</w:t>
      </w:r>
      <w:r>
        <w:rPr>
          <w:rFonts w:ascii="Times New Roman" w:hint="eastAsia"/>
        </w:rPr>
        <w:t>英文版</w:t>
      </w:r>
      <w:r>
        <w:rPr>
          <w:rFonts w:ascii="Times New Roman"/>
        </w:rPr>
        <w:t>)</w:t>
      </w:r>
      <w:r>
        <w:rPr>
          <w:rFonts w:ascii="Times New Roman" w:hint="eastAsia"/>
        </w:rPr>
        <w:t>》第三版</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 xml:space="preserve">   3. </w:t>
      </w:r>
      <w:r>
        <w:rPr>
          <w:rFonts w:ascii="Times New Roman" w:hint="eastAsia"/>
        </w:rPr>
        <w:t>周爱玲等编写，《病理生理学实战考试题解》，人民军医出版社，</w:t>
      </w:r>
      <w:r>
        <w:rPr>
          <w:rFonts w:ascii="Times New Roman"/>
        </w:rPr>
        <w:t>2005</w:t>
      </w:r>
      <w:r>
        <w:rPr>
          <w:rFonts w:ascii="Times New Roman" w:hint="eastAsia"/>
        </w:rPr>
        <w:t>年</w:t>
      </w:r>
      <w:r>
        <w:rPr>
          <w:rFonts w:ascii="Times New Roman"/>
        </w:rPr>
        <w:t>8</w:t>
      </w:r>
      <w:r>
        <w:rPr>
          <w:rFonts w:ascii="Times New Roman" w:hint="eastAsia"/>
        </w:rPr>
        <w:t>月。</w:t>
      </w:r>
    </w:p>
    <w:p w:rsidR="003717A0" w:rsidRDefault="003717A0">
      <w:pPr>
        <w:adjustRightInd w:val="0"/>
        <w:snapToGrid w:val="0"/>
        <w:spacing w:line="360" w:lineRule="auto"/>
        <w:ind w:right="4" w:firstLineChars="200" w:firstLine="420"/>
        <w:rPr>
          <w:rFonts w:ascii="Times New Roman"/>
        </w:rPr>
      </w:pPr>
      <w:r>
        <w:rPr>
          <w:rFonts w:ascii="Times New Roman"/>
        </w:rPr>
        <w:t xml:space="preserve">   4. </w:t>
      </w:r>
      <w:r>
        <w:rPr>
          <w:rFonts w:ascii="Times New Roman" w:hint="eastAsia"/>
        </w:rPr>
        <w:t>国内外医学院校病理生理学专业及教研室的相关网站</w:t>
      </w:r>
    </w:p>
    <w:p w:rsidR="003717A0" w:rsidRDefault="003717A0">
      <w:pPr>
        <w:adjustRightInd w:val="0"/>
        <w:snapToGrid w:val="0"/>
        <w:spacing w:line="360" w:lineRule="auto"/>
        <w:ind w:right="4" w:firstLineChars="200" w:firstLine="420"/>
        <w:rPr>
          <w:rFonts w:ascii="Times New Roman"/>
        </w:rPr>
      </w:pPr>
    </w:p>
    <w:p w:rsidR="003717A0" w:rsidRDefault="003717A0">
      <w:pPr>
        <w:autoSpaceDE w:val="0"/>
        <w:autoSpaceDN w:val="0"/>
        <w:adjustRightInd w:val="0"/>
        <w:snapToGrid w:val="0"/>
        <w:spacing w:line="360" w:lineRule="auto"/>
        <w:jc w:val="right"/>
        <w:rPr>
          <w:rFonts w:ascii="黑体" w:eastAsia="黑体" w:cs="黑体"/>
          <w:kern w:val="0"/>
          <w:szCs w:val="21"/>
        </w:rPr>
      </w:pPr>
      <w:r>
        <w:rPr>
          <w:rFonts w:ascii="黑体" w:eastAsia="黑体" w:cs="黑体"/>
          <w:kern w:val="0"/>
          <w:szCs w:val="21"/>
        </w:rPr>
        <w:t xml:space="preserve">                               </w:t>
      </w:r>
      <w:r>
        <w:rPr>
          <w:rFonts w:ascii="黑体" w:eastAsia="黑体" w:cs="黑体" w:hint="eastAsia"/>
          <w:kern w:val="0"/>
          <w:szCs w:val="21"/>
        </w:rPr>
        <w:t>制定人：周爱玲</w:t>
      </w:r>
      <w:r>
        <w:rPr>
          <w:rFonts w:ascii="黑体" w:eastAsia="黑体" w:cs="黑体"/>
          <w:kern w:val="0"/>
          <w:szCs w:val="21"/>
        </w:rPr>
        <w:t xml:space="preserve"> </w:t>
      </w:r>
      <w:r>
        <w:rPr>
          <w:rFonts w:ascii="黑体" w:eastAsia="黑体" w:cs="黑体" w:hint="eastAsia"/>
          <w:kern w:val="0"/>
          <w:szCs w:val="21"/>
        </w:rPr>
        <w:t>施海燕</w:t>
      </w:r>
      <w:r>
        <w:rPr>
          <w:rFonts w:ascii="黑体" w:eastAsia="黑体" w:cs="黑体"/>
          <w:kern w:val="0"/>
          <w:szCs w:val="21"/>
        </w:rPr>
        <w:t xml:space="preserve"> </w:t>
      </w:r>
      <w:r>
        <w:rPr>
          <w:rFonts w:ascii="黑体" w:eastAsia="黑体" w:cs="黑体" w:hint="eastAsia"/>
          <w:kern w:val="0"/>
          <w:szCs w:val="21"/>
        </w:rPr>
        <w:t>胡亚娥</w:t>
      </w:r>
      <w:r>
        <w:rPr>
          <w:rFonts w:ascii="黑体" w:eastAsia="黑体" w:cs="黑体"/>
          <w:kern w:val="0"/>
          <w:szCs w:val="21"/>
        </w:rPr>
        <w:t xml:space="preserve"> </w:t>
      </w:r>
      <w:r>
        <w:rPr>
          <w:rFonts w:ascii="黑体" w:eastAsia="黑体" w:cs="黑体" w:hint="eastAsia"/>
          <w:kern w:val="0"/>
          <w:szCs w:val="21"/>
        </w:rPr>
        <w:t>朱燕</w:t>
      </w:r>
      <w:r>
        <w:rPr>
          <w:rFonts w:ascii="黑体" w:eastAsia="黑体" w:cs="黑体"/>
          <w:kern w:val="0"/>
          <w:szCs w:val="21"/>
        </w:rPr>
        <w:t xml:space="preserve"> </w:t>
      </w:r>
      <w:r>
        <w:rPr>
          <w:rFonts w:ascii="黑体" w:eastAsia="黑体" w:cs="黑体" w:hint="eastAsia"/>
          <w:kern w:val="0"/>
          <w:szCs w:val="21"/>
        </w:rPr>
        <w:t>茅家慧</w:t>
      </w:r>
    </w:p>
    <w:p w:rsidR="003717A0" w:rsidRDefault="003717A0" w:rsidP="00F5156D">
      <w:pPr>
        <w:autoSpaceDE w:val="0"/>
        <w:autoSpaceDN w:val="0"/>
        <w:adjustRightInd w:val="0"/>
        <w:snapToGrid w:val="0"/>
        <w:spacing w:line="360" w:lineRule="auto"/>
        <w:ind w:right="840" w:firstLineChars="2300" w:firstLine="4830"/>
        <w:rPr>
          <w:rFonts w:ascii="黑体" w:eastAsia="黑体" w:cs="黑体"/>
          <w:kern w:val="0"/>
          <w:szCs w:val="21"/>
        </w:rPr>
      </w:pPr>
      <w:r>
        <w:rPr>
          <w:rFonts w:ascii="黑体" w:eastAsia="黑体" w:cs="黑体" w:hint="eastAsia"/>
          <w:kern w:val="0"/>
          <w:szCs w:val="21"/>
        </w:rPr>
        <w:t>审核人：刘</w:t>
      </w:r>
      <w:r>
        <w:rPr>
          <w:rFonts w:ascii="黑体" w:eastAsia="黑体" w:cs="黑体"/>
          <w:kern w:val="0"/>
          <w:szCs w:val="21"/>
        </w:rPr>
        <w:t xml:space="preserve">  </w:t>
      </w:r>
      <w:r>
        <w:rPr>
          <w:rFonts w:ascii="黑体" w:eastAsia="黑体" w:cs="黑体" w:hint="eastAsia"/>
          <w:kern w:val="0"/>
          <w:szCs w:val="21"/>
        </w:rPr>
        <w:t>霞</w:t>
      </w:r>
    </w:p>
    <w:p w:rsidR="003717A0" w:rsidRDefault="003717A0" w:rsidP="005E20B5">
      <w:pPr>
        <w:adjustRightInd w:val="0"/>
        <w:snapToGrid w:val="0"/>
        <w:spacing w:beforeLines="50" w:afterLines="50" w:line="400" w:lineRule="exact"/>
        <w:jc w:val="center"/>
        <w:rPr>
          <w:rFonts w:ascii="黑体" w:eastAsia="黑体"/>
          <w:b/>
          <w:sz w:val="30"/>
          <w:szCs w:val="30"/>
        </w:rPr>
      </w:pPr>
      <w:r>
        <w:rPr>
          <w:rFonts w:ascii="黑体" w:eastAsia="黑体" w:cs="黑体"/>
          <w:kern w:val="0"/>
          <w:szCs w:val="21"/>
        </w:rPr>
        <w:br w:type="page"/>
      </w:r>
      <w:r w:rsidRPr="00F5156D">
        <w:rPr>
          <w:rFonts w:ascii="Times New Roman" w:eastAsia="黑体" w:hAnsi="Times New Roman" w:hint="eastAsia"/>
          <w:b/>
          <w:kern w:val="0"/>
          <w:sz w:val="32"/>
          <w:szCs w:val="32"/>
        </w:rPr>
        <w:lastRenderedPageBreak/>
        <w:t>三、考核大纲</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rPr>
          <w:rFonts w:ascii="Times New Roman"/>
        </w:rPr>
      </w:pPr>
      <w:r>
        <w:rPr>
          <w:rFonts w:ascii="Times New Roman" w:hint="eastAsia"/>
        </w:rPr>
        <w:t>修读完本课程规定内容的康复治疗学专业的本科学生；</w:t>
      </w:r>
    </w:p>
    <w:p w:rsidR="003717A0" w:rsidRDefault="003717A0">
      <w:pPr>
        <w:rPr>
          <w:rFonts w:ascii="Times New Roman"/>
        </w:rPr>
      </w:pPr>
      <w:r>
        <w:rPr>
          <w:rFonts w:ascii="Times New Roman" w:hint="eastAsia"/>
        </w:rPr>
        <w:t>提出并获准免修本课程、申请进行课程水平考核的康复治疗学专业的本科学生。</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rPr>
          <w:rFonts w:ascii="宋体"/>
          <w:szCs w:val="21"/>
        </w:rPr>
      </w:pPr>
      <w:r>
        <w:rPr>
          <w:rFonts w:ascii="宋体" w:hAnsi="宋体" w:hint="eastAsia"/>
          <w:szCs w:val="21"/>
        </w:rPr>
        <w:t>通过考核来检查和了解学生对本门课程内容的掌握程度，考核学生对</w:t>
      </w:r>
      <w:r>
        <w:rPr>
          <w:rFonts w:hint="eastAsia"/>
        </w:rPr>
        <w:t>疾病发生的原因和条件、患病机体的功能、代谢的变化和原理</w:t>
      </w:r>
      <w:r>
        <w:rPr>
          <w:rFonts w:ascii="宋体" w:hAnsi="宋体" w:hint="eastAsia"/>
          <w:szCs w:val="21"/>
        </w:rPr>
        <w:t>等的理解和掌握情况</w:t>
      </w:r>
      <w:r>
        <w:rPr>
          <w:rFonts w:hint="eastAsia"/>
        </w:rPr>
        <w:t>。</w:t>
      </w:r>
      <w:r>
        <w:rPr>
          <w:rFonts w:ascii="宋体" w:hAnsi="宋体" w:hint="eastAsia"/>
          <w:szCs w:val="21"/>
        </w:rPr>
        <w:t>通过本课程的学习，学生应对</w:t>
      </w:r>
      <w:r>
        <w:rPr>
          <w:rFonts w:ascii="宋体" w:hAnsi="宋体" w:cs="宋体" w:hint="eastAsia"/>
          <w:kern w:val="0"/>
          <w:szCs w:val="21"/>
        </w:rPr>
        <w:t>不同器官、系统在许多不同疾病中可能出现的共同的、成套的病理变化和各系统的许多疾病在其发展过程中可能出现的一些常见的共同的病理生理变化</w:t>
      </w:r>
      <w:r>
        <w:rPr>
          <w:rFonts w:ascii="宋体" w:hAnsi="宋体" w:hint="eastAsia"/>
          <w:szCs w:val="21"/>
        </w:rPr>
        <w:t>有一定的了解和掌握。</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rPr>
          <w:rFonts w:ascii="宋体"/>
          <w:szCs w:val="21"/>
        </w:rPr>
      </w:pPr>
      <w:r>
        <w:rPr>
          <w:rFonts w:ascii="宋体" w:hAnsi="宋体" w:hint="eastAsia"/>
          <w:szCs w:val="21"/>
        </w:rPr>
        <w:t>期末闭卷理论考核。</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70%</w:t>
      </w:r>
      <w:r>
        <w:rPr>
          <w:rFonts w:ascii="Times New Roman" w:hAnsi="宋体" w:hint="eastAsia"/>
          <w:szCs w:val="21"/>
        </w:rPr>
        <w:t>。</w:t>
      </w:r>
    </w:p>
    <w:p w:rsidR="003717A0" w:rsidRDefault="003717A0">
      <w:pPr>
        <w:rPr>
          <w:rFonts w:ascii="Times New Roman" w:eastAsia="楷体_GB2312" w:hAnsi="Times New Roman"/>
          <w:sz w:val="24"/>
          <w:szCs w:val="24"/>
        </w:rPr>
      </w:pPr>
      <w:r>
        <w:rPr>
          <w:rFonts w:ascii="Times New Roman" w:hAnsi="宋体" w:hint="eastAsia"/>
          <w:szCs w:val="21"/>
        </w:rPr>
        <w:t>平时成绩占总成绩的</w:t>
      </w:r>
      <w:r>
        <w:rPr>
          <w:rFonts w:ascii="Times New Roman" w:hAnsi="Times New Roman"/>
          <w:szCs w:val="21"/>
        </w:rPr>
        <w:t>30%</w:t>
      </w:r>
      <w:r>
        <w:rPr>
          <w:rFonts w:ascii="Times New Roman" w:hAnsi="宋体" w:hint="eastAsia"/>
          <w:szCs w:val="21"/>
        </w:rPr>
        <w:t>。</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rPr>
          <w:rFonts w:ascii="宋体"/>
          <w:b/>
          <w:kern w:val="0"/>
          <w:szCs w:val="21"/>
        </w:rPr>
      </w:pPr>
      <w:r>
        <w:rPr>
          <w:rFonts w:ascii="Times New Roman" w:eastAsia="黑体" w:hAnsi="Times New Roman" w:hint="eastAsia"/>
          <w:kern w:val="0"/>
          <w:sz w:val="22"/>
        </w:rPr>
        <w:t>病理生理学的概念；</w:t>
      </w:r>
      <w:r>
        <w:rPr>
          <w:rFonts w:ascii="宋体" w:hAnsi="宋体" w:hint="eastAsia"/>
          <w:szCs w:val="21"/>
        </w:rPr>
        <w:t>主要专业名词；</w:t>
      </w:r>
      <w:r>
        <w:rPr>
          <w:rFonts w:ascii="宋体" w:hAnsi="宋体" w:cs="宋体" w:hint="eastAsia"/>
          <w:kern w:val="0"/>
          <w:szCs w:val="21"/>
        </w:rPr>
        <w:t>疾病发生的原因、条件、基本机制、规律和转归；</w:t>
      </w:r>
      <w:r>
        <w:rPr>
          <w:rFonts w:ascii="宋体" w:hAnsi="宋体" w:hint="eastAsia"/>
          <w:szCs w:val="21"/>
        </w:rPr>
        <w:t>多种</w:t>
      </w:r>
      <w:r>
        <w:rPr>
          <w:rFonts w:ascii="宋体" w:hAnsi="宋体" w:cs="宋体" w:hint="eastAsia"/>
          <w:kern w:val="0"/>
          <w:szCs w:val="21"/>
        </w:rPr>
        <w:t>疾病中可能出现的共同的、成套的功能代谢变化；各系统的许多疾病在其发展过程中可能出现的一些常见的共同的病理生理变化</w:t>
      </w:r>
      <w:r>
        <w:rPr>
          <w:rFonts w:ascii="宋体" w:hAnsi="宋体" w:hint="eastAsia"/>
          <w:szCs w:val="21"/>
        </w:rPr>
        <w:t>。</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以</w:t>
      </w:r>
      <w:r>
        <w:rPr>
          <w:rFonts w:ascii="宋体" w:hAnsi="宋体" w:cs="宋体" w:hint="eastAsia"/>
          <w:kern w:val="0"/>
          <w:szCs w:val="21"/>
        </w:rPr>
        <w:t>疾病发生的原因、条件、基本机制、规律和转归、基本病理过程和各系统器官病理生理学</w:t>
      </w:r>
      <w:r>
        <w:rPr>
          <w:rFonts w:ascii="宋体" w:hAnsi="宋体" w:hint="eastAsia"/>
          <w:szCs w:val="21"/>
        </w:rPr>
        <w:t>为考试重点，考核学生掌握课程知识的情况以及运用课程知识分析问题、解决问题的能力。</w:t>
      </w:r>
    </w:p>
    <w:p w:rsidR="003717A0" w:rsidRDefault="003717A0">
      <w:pPr>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rsidP="007A7CF2">
      <w:pPr>
        <w:jc w:val="center"/>
        <w:rPr>
          <w:rFonts w:ascii="Times New Roman" w:eastAsia="黑体" w:hAnsi="Times New Roman"/>
          <w:b/>
          <w:kern w:val="0"/>
          <w:sz w:val="24"/>
          <w:szCs w:val="24"/>
        </w:rPr>
      </w:pPr>
      <w:r>
        <w:rPr>
          <w:rFonts w:ascii="Times New Roman" w:eastAsia="黑体" w:hAnsi="Times New Roman" w:hint="eastAsia"/>
          <w:b/>
          <w:kern w:val="0"/>
          <w:sz w:val="24"/>
          <w:szCs w:val="24"/>
        </w:rPr>
        <w:t>病理生理学课程考试试题</w:t>
      </w:r>
    </w:p>
    <w:p w:rsidR="003717A0" w:rsidRDefault="003717A0">
      <w:pP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rPr>
          <w:rFonts w:ascii="Times New Roman" w:hAnsi="Times New Roman"/>
          <w:b/>
          <w:kern w:val="0"/>
          <w:sz w:val="22"/>
        </w:rPr>
      </w:pPr>
      <w:r>
        <w:rPr>
          <w:rFonts w:ascii="Times New Roman" w:hAnsi="Times New Roman" w:hint="eastAsia"/>
          <w:b/>
          <w:kern w:val="0"/>
          <w:sz w:val="22"/>
        </w:rPr>
        <w:t>一、单项选择题（</w:t>
      </w:r>
      <w:r>
        <w:rPr>
          <w:rFonts w:eastAsia="楷体_GB2312" w:hint="eastAsia"/>
          <w:b/>
          <w:bCs/>
          <w:sz w:val="22"/>
        </w:rPr>
        <w:t>每小题</w:t>
      </w:r>
      <w:r>
        <w:rPr>
          <w:rFonts w:eastAsia="楷体_GB2312"/>
          <w:b/>
          <w:bCs/>
          <w:sz w:val="22"/>
        </w:rPr>
        <w:t>1</w:t>
      </w:r>
      <w:r>
        <w:rPr>
          <w:rFonts w:eastAsia="楷体_GB2312" w:hint="eastAsia"/>
          <w:b/>
          <w:bCs/>
          <w:sz w:val="22"/>
        </w:rPr>
        <w:t>分，共</w:t>
      </w:r>
      <w:r>
        <w:rPr>
          <w:rFonts w:eastAsia="楷体_GB2312"/>
          <w:b/>
          <w:bCs/>
          <w:sz w:val="22"/>
        </w:rPr>
        <w:t xml:space="preserve"> 29</w:t>
      </w:r>
      <w:r>
        <w:rPr>
          <w:rFonts w:eastAsia="楷体_GB2312" w:hint="eastAsia"/>
          <w:b/>
          <w:bCs/>
          <w:sz w:val="22"/>
        </w:rPr>
        <w:t>分</w:t>
      </w:r>
      <w:r>
        <w:rPr>
          <w:rFonts w:ascii="Times New Roman" w:hAnsi="Times New Roman" w:hint="eastAsia"/>
          <w:b/>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．关于损伤与抗损伤规律，说法错误的是（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．两者间相互联系、相互斗争、相互转化</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B</w:t>
      </w:r>
      <w:r>
        <w:rPr>
          <w:rFonts w:ascii="Times New Roman" w:hAnsi="Times New Roman" w:hint="eastAsia"/>
          <w:kern w:val="0"/>
          <w:sz w:val="22"/>
        </w:rPr>
        <w:t>．是推动疾病发展的基本动力</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C</w:t>
      </w:r>
      <w:r>
        <w:rPr>
          <w:rFonts w:ascii="Times New Roman" w:hAnsi="Times New Roman" w:hint="eastAsia"/>
          <w:kern w:val="0"/>
          <w:sz w:val="22"/>
        </w:rPr>
        <w:t>．两者的斗争贯穿于疾病的始终，构成疾病各种临床表现</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D</w:t>
      </w:r>
      <w:r>
        <w:rPr>
          <w:rFonts w:ascii="Times New Roman" w:hAnsi="Times New Roman" w:hint="eastAsia"/>
          <w:kern w:val="0"/>
          <w:sz w:val="22"/>
        </w:rPr>
        <w:t>．决定了疾病的发展方向和转归</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E</w:t>
      </w:r>
      <w:r>
        <w:rPr>
          <w:rFonts w:ascii="Times New Roman" w:hAnsi="Times New Roman" w:hint="eastAsia"/>
          <w:kern w:val="0"/>
          <w:sz w:val="22"/>
        </w:rPr>
        <w:t>．损伤与抗损伤之间存在严格的界限</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．下列哪项不是影响正常人组织液生成与回流平衡的因素（</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．毛细血管流体静压</w:t>
      </w:r>
      <w:r>
        <w:rPr>
          <w:rFonts w:ascii="Times New Roman" w:hAnsi="Times New Roman"/>
          <w:kern w:val="0"/>
          <w:sz w:val="22"/>
        </w:rPr>
        <w:t xml:space="preserve">                  B</w:t>
      </w:r>
      <w:r>
        <w:rPr>
          <w:rFonts w:ascii="Times New Roman" w:hAnsi="Times New Roman" w:hint="eastAsia"/>
          <w:kern w:val="0"/>
          <w:sz w:val="22"/>
        </w:rPr>
        <w:t>．组织间液静水压</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．血浆胶体渗透压</w:t>
      </w:r>
      <w:r>
        <w:rPr>
          <w:rFonts w:ascii="Times New Roman" w:hAnsi="Times New Roman"/>
          <w:kern w:val="0"/>
          <w:sz w:val="22"/>
        </w:rPr>
        <w:t xml:space="preserve">                    D</w:t>
      </w:r>
      <w:r>
        <w:rPr>
          <w:rFonts w:ascii="Times New Roman" w:hAnsi="Times New Roman" w:hint="eastAsia"/>
          <w:kern w:val="0"/>
          <w:sz w:val="22"/>
        </w:rPr>
        <w:t>．毛细血管壁通透性</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．淋巴回流</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．水肿时产生钠水潴留的基本机制是（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A.</w:t>
      </w:r>
      <w:r>
        <w:rPr>
          <w:rFonts w:ascii="Times New Roman" w:hAnsi="Times New Roman" w:hint="eastAsia"/>
          <w:kern w:val="0"/>
          <w:sz w:val="22"/>
        </w:rPr>
        <w:t>毛细血管有效流体静压增高</w:t>
      </w:r>
      <w:r>
        <w:rPr>
          <w:rFonts w:ascii="Times New Roman" w:hAnsi="Times New Roman"/>
          <w:kern w:val="0"/>
          <w:sz w:val="22"/>
        </w:rPr>
        <w:t xml:space="preserve">            B</w:t>
      </w:r>
      <w:r>
        <w:rPr>
          <w:rFonts w:ascii="Times New Roman" w:hAnsi="Times New Roman" w:hint="eastAsia"/>
          <w:kern w:val="0"/>
          <w:sz w:val="22"/>
        </w:rPr>
        <w:t>．毛细血管壁通透性升高</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．有效胶体渗透压下降</w:t>
      </w:r>
      <w:r>
        <w:rPr>
          <w:rFonts w:ascii="Times New Roman" w:hAnsi="Times New Roman"/>
          <w:kern w:val="0"/>
          <w:sz w:val="22"/>
        </w:rPr>
        <w:t xml:space="preserve">                 D</w:t>
      </w:r>
      <w:r>
        <w:rPr>
          <w:rFonts w:ascii="Times New Roman" w:hAnsi="Times New Roman" w:hint="eastAsia"/>
          <w:kern w:val="0"/>
          <w:sz w:val="22"/>
        </w:rPr>
        <w:t>．淋巴回流障碍</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．球</w:t>
      </w:r>
      <w:r>
        <w:rPr>
          <w:rFonts w:ascii="Times New Roman" w:hAnsi="Times New Roman"/>
          <w:kern w:val="0"/>
          <w:sz w:val="22"/>
        </w:rPr>
        <w:t>-</w:t>
      </w:r>
      <w:r>
        <w:rPr>
          <w:rFonts w:ascii="Times New Roman" w:hAnsi="Times New Roman" w:hint="eastAsia"/>
          <w:kern w:val="0"/>
          <w:sz w:val="22"/>
        </w:rPr>
        <w:t>管失平衡</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4. </w:t>
      </w:r>
      <w:r>
        <w:rPr>
          <w:rFonts w:ascii="Times New Roman" w:hAnsi="Times New Roman" w:hint="eastAsia"/>
          <w:kern w:val="0"/>
          <w:sz w:val="22"/>
        </w:rPr>
        <w:t>轻度高钾血症对神经肌肉的影响是（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．静息电位负值增大，兴奋性增高</w:t>
      </w:r>
      <w:r>
        <w:rPr>
          <w:rFonts w:ascii="Times New Roman" w:hAnsi="Times New Roman"/>
          <w:kern w:val="0"/>
          <w:sz w:val="22"/>
        </w:rPr>
        <w:t xml:space="preserve">       B</w:t>
      </w:r>
      <w:r>
        <w:rPr>
          <w:rFonts w:ascii="Times New Roman" w:hAnsi="Times New Roman" w:hint="eastAsia"/>
          <w:kern w:val="0"/>
          <w:sz w:val="22"/>
        </w:rPr>
        <w:t>．静息电位负值增大，兴奋性降低</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．静息电位负值减小，兴奋性降低</w:t>
      </w:r>
      <w:r>
        <w:rPr>
          <w:rFonts w:ascii="Times New Roman" w:hAnsi="Times New Roman"/>
          <w:kern w:val="0"/>
          <w:sz w:val="22"/>
        </w:rPr>
        <w:t xml:space="preserve">       D</w:t>
      </w:r>
      <w:r>
        <w:rPr>
          <w:rFonts w:ascii="Times New Roman" w:hAnsi="Times New Roman" w:hint="eastAsia"/>
          <w:kern w:val="0"/>
          <w:sz w:val="22"/>
        </w:rPr>
        <w:t>．静息电位负值减小，兴奋性增高</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．阈电位负值增大，兴奋性增高</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．高钾血症时心电图的特点是（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T</w:t>
      </w:r>
      <w:r>
        <w:rPr>
          <w:rFonts w:ascii="Times New Roman" w:hAnsi="Times New Roman" w:hint="eastAsia"/>
          <w:kern w:val="0"/>
          <w:sz w:val="22"/>
        </w:rPr>
        <w:t>波高尖，</w:t>
      </w:r>
      <w:r>
        <w:rPr>
          <w:rFonts w:ascii="Times New Roman" w:hAnsi="Times New Roman"/>
          <w:kern w:val="0"/>
          <w:sz w:val="22"/>
        </w:rPr>
        <w:t>P-R</w:t>
      </w:r>
      <w:r>
        <w:rPr>
          <w:rFonts w:ascii="Times New Roman" w:hAnsi="Times New Roman" w:hint="eastAsia"/>
          <w:kern w:val="0"/>
          <w:sz w:val="22"/>
        </w:rPr>
        <w:t>间期缩短</w:t>
      </w:r>
      <w:r>
        <w:rPr>
          <w:rFonts w:ascii="Times New Roman" w:hAnsi="Times New Roman"/>
          <w:kern w:val="0"/>
          <w:sz w:val="22"/>
        </w:rPr>
        <w:t xml:space="preserve">              B</w:t>
      </w:r>
      <w:r>
        <w:rPr>
          <w:rFonts w:ascii="Times New Roman" w:hAnsi="Times New Roman" w:hint="eastAsia"/>
          <w:kern w:val="0"/>
          <w:sz w:val="22"/>
        </w:rPr>
        <w:t>．</w:t>
      </w:r>
      <w:r>
        <w:rPr>
          <w:rFonts w:ascii="Times New Roman" w:hAnsi="Times New Roman"/>
          <w:kern w:val="0"/>
          <w:sz w:val="22"/>
        </w:rPr>
        <w:t>T</w:t>
      </w:r>
      <w:r>
        <w:rPr>
          <w:rFonts w:ascii="Times New Roman" w:hAnsi="Times New Roman" w:hint="eastAsia"/>
          <w:kern w:val="0"/>
          <w:sz w:val="22"/>
        </w:rPr>
        <w:t>波低平，</w:t>
      </w:r>
      <w:r>
        <w:rPr>
          <w:rFonts w:ascii="Times New Roman" w:hAnsi="Times New Roman"/>
          <w:kern w:val="0"/>
          <w:sz w:val="22"/>
        </w:rPr>
        <w:t>P-R</w:t>
      </w:r>
      <w:r>
        <w:rPr>
          <w:rFonts w:ascii="Times New Roman" w:hAnsi="Times New Roman" w:hint="eastAsia"/>
          <w:kern w:val="0"/>
          <w:sz w:val="22"/>
        </w:rPr>
        <w:t>间期缩短</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w:t>
      </w:r>
      <w:r>
        <w:rPr>
          <w:rFonts w:ascii="Times New Roman" w:hAnsi="Times New Roman"/>
          <w:kern w:val="0"/>
          <w:sz w:val="22"/>
        </w:rPr>
        <w:t>T</w:t>
      </w:r>
      <w:r>
        <w:rPr>
          <w:rFonts w:ascii="Times New Roman" w:hAnsi="Times New Roman" w:hint="eastAsia"/>
          <w:kern w:val="0"/>
          <w:sz w:val="22"/>
        </w:rPr>
        <w:t>波低平，</w:t>
      </w:r>
      <w:r>
        <w:rPr>
          <w:rFonts w:ascii="Times New Roman" w:hAnsi="Times New Roman"/>
          <w:kern w:val="0"/>
          <w:sz w:val="22"/>
        </w:rPr>
        <w:t>P-R</w:t>
      </w:r>
      <w:r>
        <w:rPr>
          <w:rFonts w:ascii="Times New Roman" w:hAnsi="Times New Roman" w:hint="eastAsia"/>
          <w:kern w:val="0"/>
          <w:sz w:val="22"/>
        </w:rPr>
        <w:t>间期延长</w:t>
      </w:r>
      <w:r>
        <w:rPr>
          <w:rFonts w:ascii="Times New Roman" w:hAnsi="Times New Roman"/>
          <w:kern w:val="0"/>
          <w:sz w:val="22"/>
        </w:rPr>
        <w:t xml:space="preserve">              D</w:t>
      </w:r>
      <w:r>
        <w:rPr>
          <w:rFonts w:ascii="Times New Roman" w:hAnsi="Times New Roman" w:hint="eastAsia"/>
          <w:kern w:val="0"/>
          <w:sz w:val="22"/>
        </w:rPr>
        <w:t>．</w:t>
      </w:r>
      <w:r>
        <w:rPr>
          <w:rFonts w:ascii="Times New Roman" w:hAnsi="Times New Roman"/>
          <w:kern w:val="0"/>
          <w:sz w:val="22"/>
        </w:rPr>
        <w:t>T</w:t>
      </w:r>
      <w:r>
        <w:rPr>
          <w:rFonts w:ascii="Times New Roman" w:hAnsi="Times New Roman" w:hint="eastAsia"/>
          <w:kern w:val="0"/>
          <w:sz w:val="22"/>
        </w:rPr>
        <w:t>波高尖，</w:t>
      </w:r>
      <w:r>
        <w:rPr>
          <w:rFonts w:ascii="Times New Roman" w:hAnsi="Times New Roman"/>
          <w:kern w:val="0"/>
          <w:sz w:val="22"/>
        </w:rPr>
        <w:t>P-R</w:t>
      </w:r>
      <w:r>
        <w:rPr>
          <w:rFonts w:ascii="Times New Roman" w:hAnsi="Times New Roman" w:hint="eastAsia"/>
          <w:kern w:val="0"/>
          <w:sz w:val="22"/>
        </w:rPr>
        <w:t>间期延长</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w:t>
      </w:r>
      <w:r>
        <w:rPr>
          <w:rFonts w:ascii="Times New Roman" w:hAnsi="Times New Roman"/>
          <w:kern w:val="0"/>
          <w:sz w:val="22"/>
        </w:rPr>
        <w:t>T</w:t>
      </w:r>
      <w:r>
        <w:rPr>
          <w:rFonts w:ascii="Times New Roman" w:hAnsi="Times New Roman" w:hint="eastAsia"/>
          <w:kern w:val="0"/>
          <w:sz w:val="22"/>
        </w:rPr>
        <w:t>波低平，出现</w:t>
      </w:r>
      <w:r>
        <w:rPr>
          <w:rFonts w:ascii="Times New Roman" w:hAnsi="Times New Roman"/>
          <w:kern w:val="0"/>
          <w:sz w:val="22"/>
        </w:rPr>
        <w:t>U</w:t>
      </w:r>
      <w:r>
        <w:rPr>
          <w:rFonts w:ascii="Times New Roman" w:hAnsi="Times New Roman" w:hint="eastAsia"/>
          <w:kern w:val="0"/>
          <w:sz w:val="22"/>
        </w:rPr>
        <w:t>波</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w:t>
      </w:r>
      <w:r>
        <w:rPr>
          <w:rFonts w:ascii="Times New Roman" w:hAnsi="Times New Roman"/>
          <w:kern w:val="0"/>
          <w:sz w:val="22"/>
        </w:rPr>
        <w:t>AG</w:t>
      </w:r>
      <w:r>
        <w:rPr>
          <w:rFonts w:ascii="Times New Roman" w:hAnsi="Times New Roman" w:hint="eastAsia"/>
          <w:kern w:val="0"/>
          <w:sz w:val="22"/>
        </w:rPr>
        <w:t>增高一般意味着体内发生了</w:t>
      </w:r>
      <w:r>
        <w:rPr>
          <w:rFonts w:ascii="Times New Roman" w:hAnsi="Times New Roman"/>
          <w:kern w:val="0"/>
          <w:sz w:val="22"/>
        </w:rPr>
        <w:t>(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．高血氯性代谢性酸中毒</w:t>
      </w:r>
      <w:r>
        <w:rPr>
          <w:rFonts w:ascii="Times New Roman" w:hAnsi="Times New Roman"/>
          <w:kern w:val="0"/>
          <w:sz w:val="22"/>
        </w:rPr>
        <w:t xml:space="preserve">                  B</w:t>
      </w:r>
      <w:r>
        <w:rPr>
          <w:rFonts w:ascii="Times New Roman" w:hAnsi="Times New Roman" w:hint="eastAsia"/>
          <w:kern w:val="0"/>
          <w:sz w:val="22"/>
        </w:rPr>
        <w:t>．正常血氯性代谢性酸中毒</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．代谢性碱中毒</w:t>
      </w:r>
      <w:r>
        <w:rPr>
          <w:rFonts w:ascii="Times New Roman" w:hAnsi="Times New Roman"/>
          <w:kern w:val="0"/>
          <w:sz w:val="22"/>
        </w:rPr>
        <w:t xml:space="preserve">                          D</w:t>
      </w:r>
      <w:r>
        <w:rPr>
          <w:rFonts w:ascii="Times New Roman" w:hAnsi="Times New Roman" w:hint="eastAsia"/>
          <w:kern w:val="0"/>
          <w:sz w:val="22"/>
        </w:rPr>
        <w:t>．呼吸性酸中毒</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．呼吸性碱中毒</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．急性代谢性酸中毒时机体的代偿最主要依靠（</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．血液的缓冲作用</w:t>
      </w:r>
      <w:r>
        <w:rPr>
          <w:rFonts w:ascii="Times New Roman" w:hAnsi="Times New Roman"/>
          <w:kern w:val="0"/>
          <w:sz w:val="22"/>
        </w:rPr>
        <w:t xml:space="preserve">                      B</w:t>
      </w:r>
      <w:r>
        <w:rPr>
          <w:rFonts w:ascii="Times New Roman" w:hAnsi="Times New Roman" w:hint="eastAsia"/>
          <w:kern w:val="0"/>
          <w:sz w:val="22"/>
        </w:rPr>
        <w:t>．组织细胞的缓冲</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．肺的代偿</w:t>
      </w:r>
      <w:r>
        <w:rPr>
          <w:rFonts w:ascii="Times New Roman" w:hAnsi="Times New Roman"/>
          <w:kern w:val="0"/>
          <w:sz w:val="22"/>
        </w:rPr>
        <w:t xml:space="preserve">                            D</w:t>
      </w:r>
      <w:r>
        <w:rPr>
          <w:rFonts w:ascii="Times New Roman" w:hAnsi="Times New Roman" w:hint="eastAsia"/>
          <w:kern w:val="0"/>
          <w:sz w:val="22"/>
        </w:rPr>
        <w:t>．肾脏的代偿</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．骨盐分解</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．关于发热的叙述，下列哪一项是正确的</w:t>
      </w:r>
      <w:r>
        <w:rPr>
          <w:rFonts w:ascii="Times New Roman" w:hAnsi="Times New Roman"/>
          <w:kern w:val="0"/>
          <w:sz w:val="22"/>
        </w:rPr>
        <w:t>(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．体温超过正常值</w:t>
      </w:r>
      <w:r>
        <w:rPr>
          <w:rFonts w:ascii="Times New Roman" w:hAnsi="Times New Roman"/>
          <w:kern w:val="0"/>
          <w:sz w:val="22"/>
        </w:rPr>
        <w:t>0.50C                B</w:t>
      </w:r>
      <w:r>
        <w:rPr>
          <w:rFonts w:ascii="Times New Roman" w:hAnsi="Times New Roman" w:hint="eastAsia"/>
          <w:kern w:val="0"/>
          <w:sz w:val="22"/>
        </w:rPr>
        <w:t>．机体的产热过程超过散热过程</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．由于体温调节中枢调节功能障碍所引起</w:t>
      </w:r>
      <w:r>
        <w:rPr>
          <w:rFonts w:ascii="Times New Roman" w:hAnsi="Times New Roman"/>
          <w:kern w:val="0"/>
          <w:sz w:val="22"/>
        </w:rPr>
        <w:t xml:space="preserve"> D</w:t>
      </w:r>
      <w:r>
        <w:rPr>
          <w:rFonts w:ascii="Times New Roman" w:hAnsi="Times New Roman" w:hint="eastAsia"/>
          <w:kern w:val="0"/>
          <w:sz w:val="22"/>
        </w:rPr>
        <w:t>．由于体温调节中枢调定点下移所引起</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．由于体温调节中枢调定点上移所引起</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．下列哪种情况属于过热</w:t>
      </w:r>
      <w:r>
        <w:rPr>
          <w:rFonts w:ascii="Times New Roman" w:hAnsi="Times New Roman"/>
          <w:kern w:val="0"/>
          <w:sz w:val="22"/>
        </w:rPr>
        <w:t>(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．肺结核患者的体温升高</w:t>
      </w:r>
      <w:r>
        <w:rPr>
          <w:rFonts w:ascii="Times New Roman" w:hAnsi="Times New Roman"/>
          <w:kern w:val="0"/>
          <w:sz w:val="22"/>
        </w:rPr>
        <w:t xml:space="preserve">              B</w:t>
      </w:r>
      <w:r>
        <w:rPr>
          <w:rFonts w:ascii="Times New Roman" w:hAnsi="Times New Roman" w:hint="eastAsia"/>
          <w:kern w:val="0"/>
          <w:sz w:val="22"/>
        </w:rPr>
        <w:t>．月经前期的体温升高</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．先天性汗腺缺乏引起的体温升高</w:t>
      </w:r>
      <w:r>
        <w:rPr>
          <w:rFonts w:ascii="Times New Roman" w:hAnsi="Times New Roman"/>
          <w:kern w:val="0"/>
          <w:sz w:val="22"/>
        </w:rPr>
        <w:t xml:space="preserve">      D</w:t>
      </w:r>
      <w:r>
        <w:rPr>
          <w:rFonts w:ascii="Times New Roman" w:hAnsi="Times New Roman" w:hint="eastAsia"/>
          <w:kern w:val="0"/>
          <w:sz w:val="22"/>
        </w:rPr>
        <w:t>．剧烈运动后的体温的升高</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．流行性脑膜炎引起的体温的升高</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．高温持续期的热代谢特点是</w:t>
      </w:r>
      <w:r>
        <w:rPr>
          <w:rFonts w:ascii="Times New Roman" w:hAnsi="Times New Roman"/>
          <w:kern w:val="0"/>
          <w:sz w:val="22"/>
        </w:rPr>
        <w:t>(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．在体温调定点不变的水平，产热和散热保持相对平衡</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．在体温调定点上移后，产热和散热保持相对平衡</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．在体温调定点下移后，产热和散热保持相对平衡</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．在体温调定点上移后，产热大于散热</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．在体温调定点下移后，产热大于散热</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11</w:t>
      </w:r>
      <w:r>
        <w:rPr>
          <w:rFonts w:ascii="Times New Roman" w:hAnsi="Times New Roman" w:hint="eastAsia"/>
          <w:kern w:val="0"/>
          <w:sz w:val="22"/>
        </w:rPr>
        <w:t>．自由基不包括</w:t>
      </w:r>
      <w:r>
        <w:rPr>
          <w:rFonts w:ascii="Times New Roman" w:hAnsi="Times New Roman"/>
          <w:kern w:val="0"/>
          <w:sz w:val="22"/>
        </w:rPr>
        <w:t>(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sidR="003018D3" w:rsidRPr="00514AB1">
        <w:rPr>
          <w:rFonts w:ascii="Times New Roman" w:hAnsi="Times New Roman"/>
          <w:kern w:val="0"/>
          <w:sz w:val="22"/>
        </w:rPr>
        <w:pict>
          <v:shape id="_x0000_i1103" type="#_x0000_t75" style="width:12.75pt;height:9.95pt">
            <v:imagedata r:id="rId79" o:title=""/>
          </v:shape>
        </w:pict>
      </w:r>
      <w:r>
        <w:rPr>
          <w:rFonts w:ascii="Times New Roman" w:hAnsi="Times New Roman"/>
          <w:kern w:val="0"/>
          <w:sz w:val="22"/>
        </w:rPr>
        <w:t xml:space="preserve">                                  B. OH·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w:t>
      </w:r>
      <w:r>
        <w:rPr>
          <w:rFonts w:ascii="Times New Roman" w:hAnsi="Times New Roman"/>
          <w:kern w:val="0"/>
          <w:sz w:val="22"/>
        </w:rPr>
        <w:t>LOO·                                D</w:t>
      </w:r>
      <w:r>
        <w:rPr>
          <w:rFonts w:ascii="Times New Roman" w:hAnsi="Times New Roman" w:hint="eastAsia"/>
          <w:kern w:val="0"/>
          <w:sz w:val="22"/>
        </w:rPr>
        <w:t>．</w:t>
      </w:r>
      <w:r>
        <w:rPr>
          <w:rFonts w:ascii="Times New Roman" w:hAnsi="Times New Roman"/>
          <w:kern w:val="0"/>
          <w:sz w:val="22"/>
        </w:rPr>
        <w:t xml:space="preserve">H2O2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w:t>
      </w:r>
      <w:r>
        <w:rPr>
          <w:rFonts w:ascii="Times New Roman" w:hAnsi="Times New Roman"/>
          <w:kern w:val="0"/>
          <w:sz w:val="22"/>
        </w:rPr>
        <w:t>CH3·</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12</w:t>
      </w:r>
      <w:r>
        <w:rPr>
          <w:rFonts w:ascii="Times New Roman" w:hAnsi="Times New Roman" w:hint="eastAsia"/>
          <w:kern w:val="0"/>
          <w:sz w:val="22"/>
        </w:rPr>
        <w:t>．钙超载的直接机制是</w:t>
      </w:r>
      <w:r>
        <w:rPr>
          <w:rFonts w:ascii="Times New Roman" w:hAnsi="Times New Roman"/>
          <w:kern w:val="0"/>
          <w:sz w:val="22"/>
        </w:rPr>
        <w:t>(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K+-Ca2+</w:t>
      </w:r>
      <w:r>
        <w:rPr>
          <w:rFonts w:ascii="Times New Roman" w:hAnsi="Times New Roman" w:hint="eastAsia"/>
          <w:kern w:val="0"/>
          <w:sz w:val="22"/>
        </w:rPr>
        <w:t>交换加强</w:t>
      </w:r>
      <w:r>
        <w:rPr>
          <w:rFonts w:ascii="Times New Roman" w:hAnsi="Times New Roman"/>
          <w:kern w:val="0"/>
          <w:sz w:val="22"/>
        </w:rPr>
        <w:t xml:space="preserve">                     B</w:t>
      </w:r>
      <w:r>
        <w:rPr>
          <w:rFonts w:ascii="Times New Roman" w:hAnsi="Times New Roman" w:hint="eastAsia"/>
          <w:kern w:val="0"/>
          <w:sz w:val="22"/>
        </w:rPr>
        <w:t>．</w:t>
      </w:r>
      <w:r>
        <w:rPr>
          <w:rFonts w:ascii="Times New Roman" w:hAnsi="Times New Roman"/>
          <w:kern w:val="0"/>
          <w:sz w:val="22"/>
        </w:rPr>
        <w:t>Na+-Ca2+</w:t>
      </w:r>
      <w:r>
        <w:rPr>
          <w:rFonts w:ascii="Times New Roman" w:hAnsi="Times New Roman" w:hint="eastAsia"/>
          <w:kern w:val="0"/>
          <w:sz w:val="22"/>
        </w:rPr>
        <w:t>交换加强</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w:t>
      </w:r>
      <w:r>
        <w:rPr>
          <w:rFonts w:ascii="Times New Roman" w:hAnsi="Times New Roman"/>
          <w:kern w:val="0"/>
          <w:sz w:val="22"/>
        </w:rPr>
        <w:t>H+-Ca2+</w:t>
      </w:r>
      <w:r>
        <w:rPr>
          <w:rFonts w:ascii="Times New Roman" w:hAnsi="Times New Roman" w:hint="eastAsia"/>
          <w:kern w:val="0"/>
          <w:sz w:val="22"/>
        </w:rPr>
        <w:t>交换加强</w:t>
      </w:r>
      <w:r>
        <w:rPr>
          <w:rFonts w:ascii="Times New Roman" w:hAnsi="Times New Roman"/>
          <w:kern w:val="0"/>
          <w:sz w:val="22"/>
        </w:rPr>
        <w:t xml:space="preserve">                     D</w:t>
      </w:r>
      <w:r>
        <w:rPr>
          <w:rFonts w:ascii="Times New Roman" w:hAnsi="Times New Roman" w:hint="eastAsia"/>
          <w:kern w:val="0"/>
          <w:sz w:val="22"/>
        </w:rPr>
        <w:t>．</w:t>
      </w:r>
      <w:r>
        <w:rPr>
          <w:rFonts w:ascii="Times New Roman" w:hAnsi="Times New Roman"/>
          <w:kern w:val="0"/>
          <w:sz w:val="22"/>
        </w:rPr>
        <w:t>P3+-Ca2+</w:t>
      </w:r>
      <w:r>
        <w:rPr>
          <w:rFonts w:ascii="Times New Roman" w:hAnsi="Times New Roman" w:hint="eastAsia"/>
          <w:kern w:val="0"/>
          <w:sz w:val="22"/>
        </w:rPr>
        <w:t>交换加强</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w:t>
      </w:r>
      <w:r>
        <w:rPr>
          <w:rFonts w:ascii="Times New Roman" w:hAnsi="Times New Roman"/>
          <w:kern w:val="0"/>
          <w:sz w:val="22"/>
        </w:rPr>
        <w:t>Mg2+-Ca2+</w:t>
      </w:r>
      <w:r>
        <w:rPr>
          <w:rFonts w:ascii="Times New Roman" w:hAnsi="Times New Roman" w:hint="eastAsia"/>
          <w:kern w:val="0"/>
          <w:sz w:val="22"/>
        </w:rPr>
        <w:t>交换加强</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13</w:t>
      </w:r>
      <w:r>
        <w:rPr>
          <w:rFonts w:ascii="Times New Roman" w:hAnsi="Times New Roman" w:hint="eastAsia"/>
          <w:kern w:val="0"/>
          <w:sz w:val="22"/>
        </w:rPr>
        <w:t>．严重组织损伤引起</w:t>
      </w:r>
      <w:r>
        <w:rPr>
          <w:rFonts w:ascii="Times New Roman" w:hAnsi="Times New Roman"/>
          <w:kern w:val="0"/>
          <w:sz w:val="22"/>
        </w:rPr>
        <w:t>DIC</w:t>
      </w:r>
      <w:r>
        <w:rPr>
          <w:rFonts w:ascii="Times New Roman" w:hAnsi="Times New Roman" w:hint="eastAsia"/>
          <w:kern w:val="0"/>
          <w:sz w:val="22"/>
        </w:rPr>
        <w:t>的主要机制是（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．凝血因子Ⅻ被激活</w:t>
      </w:r>
      <w:r>
        <w:rPr>
          <w:rFonts w:ascii="Times New Roman" w:hAnsi="Times New Roman"/>
          <w:kern w:val="0"/>
          <w:sz w:val="22"/>
        </w:rPr>
        <w:t xml:space="preserve">                         B</w:t>
      </w:r>
      <w:r>
        <w:rPr>
          <w:rFonts w:ascii="Times New Roman" w:hAnsi="Times New Roman" w:hint="eastAsia"/>
          <w:kern w:val="0"/>
          <w:sz w:val="22"/>
        </w:rPr>
        <w:t>．组织因子大量入血</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．消除活化凝血因子功能受损</w:t>
      </w:r>
      <w:r>
        <w:rPr>
          <w:rFonts w:ascii="Times New Roman" w:hAnsi="Times New Roman"/>
          <w:kern w:val="0"/>
          <w:sz w:val="22"/>
        </w:rPr>
        <w:t xml:space="preserve">                 D</w:t>
      </w:r>
      <w:r>
        <w:rPr>
          <w:rFonts w:ascii="Times New Roman" w:hAnsi="Times New Roman" w:hint="eastAsia"/>
          <w:kern w:val="0"/>
          <w:sz w:val="22"/>
        </w:rPr>
        <w:t>．继发于创伤性休克</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E</w:t>
      </w:r>
      <w:r>
        <w:rPr>
          <w:rFonts w:ascii="Times New Roman" w:hAnsi="Times New Roman" w:hint="eastAsia"/>
          <w:kern w:val="0"/>
          <w:sz w:val="22"/>
        </w:rPr>
        <w:t>．大量红细胞和血小板受损</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14</w:t>
      </w:r>
      <w:r>
        <w:rPr>
          <w:rFonts w:ascii="Times New Roman" w:hAnsi="Times New Roman" w:hint="eastAsia"/>
          <w:kern w:val="0"/>
          <w:sz w:val="22"/>
        </w:rPr>
        <w:t>．妊娠期高凝状态与下述哪项无关（</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．凝血因子与血小板增多</w:t>
      </w:r>
      <w:r>
        <w:rPr>
          <w:rFonts w:ascii="Times New Roman" w:hAnsi="Times New Roman"/>
          <w:kern w:val="0"/>
          <w:sz w:val="22"/>
        </w:rPr>
        <w:t xml:space="preserve">                      B</w:t>
      </w:r>
      <w:r>
        <w:rPr>
          <w:rFonts w:ascii="Times New Roman" w:hAnsi="Times New Roman" w:hint="eastAsia"/>
          <w:kern w:val="0"/>
          <w:sz w:val="22"/>
        </w:rPr>
        <w:t>．纤溶活性增高</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w:t>
      </w:r>
      <w:r>
        <w:rPr>
          <w:rFonts w:ascii="Times New Roman" w:hAnsi="Times New Roman"/>
          <w:kern w:val="0"/>
          <w:sz w:val="22"/>
        </w:rPr>
        <w:t>AT-</w:t>
      </w:r>
      <w:r>
        <w:rPr>
          <w:rFonts w:ascii="Times New Roman" w:hAnsi="Times New Roman" w:hint="eastAsia"/>
          <w:kern w:val="0"/>
          <w:sz w:val="22"/>
        </w:rPr>
        <w:t>Ⅲ、</w:t>
      </w:r>
      <w:r>
        <w:rPr>
          <w:rFonts w:ascii="Times New Roman" w:hAnsi="Times New Roman"/>
          <w:kern w:val="0"/>
          <w:sz w:val="22"/>
        </w:rPr>
        <w:t>t-PA</w:t>
      </w:r>
      <w:r>
        <w:rPr>
          <w:rFonts w:ascii="Times New Roman" w:hAnsi="Times New Roman" w:hint="eastAsia"/>
          <w:kern w:val="0"/>
          <w:sz w:val="22"/>
        </w:rPr>
        <w:t>、</w:t>
      </w:r>
      <w:r>
        <w:rPr>
          <w:rFonts w:ascii="Times New Roman" w:hAnsi="Times New Roman"/>
          <w:kern w:val="0"/>
          <w:sz w:val="22"/>
        </w:rPr>
        <w:t>u-PA</w:t>
      </w:r>
      <w:r>
        <w:rPr>
          <w:rFonts w:ascii="Times New Roman" w:hAnsi="Times New Roman" w:hint="eastAsia"/>
          <w:kern w:val="0"/>
          <w:sz w:val="22"/>
        </w:rPr>
        <w:t>降低</w:t>
      </w:r>
      <w:r>
        <w:rPr>
          <w:rFonts w:ascii="Times New Roman" w:hAnsi="Times New Roman"/>
          <w:kern w:val="0"/>
          <w:sz w:val="22"/>
        </w:rPr>
        <w:t xml:space="preserve">                     D</w:t>
      </w:r>
      <w:r>
        <w:rPr>
          <w:rFonts w:ascii="Times New Roman" w:hAnsi="Times New Roman" w:hint="eastAsia"/>
          <w:kern w:val="0"/>
          <w:sz w:val="22"/>
        </w:rPr>
        <w:t>．抗凝活性降低</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E</w:t>
      </w:r>
      <w:r>
        <w:rPr>
          <w:rFonts w:ascii="Times New Roman" w:hAnsi="Times New Roman" w:hint="eastAsia"/>
          <w:kern w:val="0"/>
          <w:sz w:val="22"/>
        </w:rPr>
        <w:t>．胎盘产生纤溶酶原激活物抑制物增多</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15</w:t>
      </w:r>
      <w:r>
        <w:rPr>
          <w:rFonts w:ascii="Times New Roman" w:hAnsi="Times New Roman" w:hint="eastAsia"/>
          <w:kern w:val="0"/>
          <w:sz w:val="22"/>
        </w:rPr>
        <w:t>．下述哪项功能障碍不可能是</w:t>
      </w:r>
      <w:r>
        <w:rPr>
          <w:rFonts w:ascii="Times New Roman" w:hAnsi="Times New Roman"/>
          <w:kern w:val="0"/>
          <w:sz w:val="22"/>
        </w:rPr>
        <w:t>DIC</w:t>
      </w:r>
      <w:r>
        <w:rPr>
          <w:rFonts w:ascii="Times New Roman" w:hAnsi="Times New Roman" w:hint="eastAsia"/>
          <w:kern w:val="0"/>
          <w:sz w:val="22"/>
        </w:rPr>
        <w:t>引起的（</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．席汉综合征</w:t>
      </w:r>
      <w:r>
        <w:rPr>
          <w:rFonts w:ascii="Times New Roman" w:hAnsi="Times New Roman"/>
          <w:kern w:val="0"/>
          <w:sz w:val="22"/>
        </w:rPr>
        <w:t xml:space="preserve">                                B</w:t>
      </w:r>
      <w:r>
        <w:rPr>
          <w:rFonts w:ascii="Times New Roman" w:hAnsi="Times New Roman" w:hint="eastAsia"/>
          <w:kern w:val="0"/>
          <w:sz w:val="22"/>
        </w:rPr>
        <w:t>．急性呼吸功能衰竭</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．肝功能衰竭</w:t>
      </w:r>
      <w:r>
        <w:rPr>
          <w:rFonts w:ascii="Times New Roman" w:hAnsi="Times New Roman"/>
          <w:kern w:val="0"/>
          <w:sz w:val="22"/>
        </w:rPr>
        <w:t xml:space="preserve">                                D</w:t>
      </w:r>
      <w:r>
        <w:rPr>
          <w:rFonts w:ascii="Times New Roman" w:hAnsi="Times New Roman" w:hint="eastAsia"/>
          <w:kern w:val="0"/>
          <w:sz w:val="22"/>
        </w:rPr>
        <w:t>．急性肾功能衰竭</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．再生障碍性贫血</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16</w:t>
      </w:r>
      <w:r>
        <w:rPr>
          <w:rFonts w:ascii="Times New Roman" w:hAnsi="Times New Roman" w:hint="eastAsia"/>
          <w:kern w:val="0"/>
          <w:sz w:val="22"/>
        </w:rPr>
        <w:t>．决定血氧饱和度最重要的指标是（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 xml:space="preserve">CO2 </w:t>
      </w:r>
      <w:r>
        <w:rPr>
          <w:rFonts w:ascii="Times New Roman" w:hAnsi="Times New Roman" w:hint="eastAsia"/>
          <w:kern w:val="0"/>
          <w:sz w:val="22"/>
        </w:rPr>
        <w:t>分压</w:t>
      </w:r>
      <w:r>
        <w:rPr>
          <w:rFonts w:ascii="Times New Roman" w:hAnsi="Times New Roman"/>
          <w:kern w:val="0"/>
          <w:sz w:val="22"/>
        </w:rPr>
        <w:t xml:space="preserve">                                  B</w:t>
      </w:r>
      <w:r>
        <w:rPr>
          <w:rFonts w:ascii="Times New Roman" w:hAnsi="Times New Roman" w:hint="eastAsia"/>
          <w:kern w:val="0"/>
          <w:sz w:val="22"/>
        </w:rPr>
        <w:t>．血液温度</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．血液</w:t>
      </w:r>
      <w:r>
        <w:rPr>
          <w:rFonts w:ascii="Times New Roman" w:hAnsi="Times New Roman"/>
          <w:kern w:val="0"/>
          <w:sz w:val="22"/>
        </w:rPr>
        <w:t>pH</w:t>
      </w:r>
      <w:r>
        <w:rPr>
          <w:rFonts w:ascii="Times New Roman" w:hAnsi="Times New Roman" w:hint="eastAsia"/>
          <w:kern w:val="0"/>
          <w:sz w:val="22"/>
        </w:rPr>
        <w:t>值</w:t>
      </w:r>
      <w:r>
        <w:rPr>
          <w:rFonts w:ascii="Times New Roman" w:hAnsi="Times New Roman"/>
          <w:kern w:val="0"/>
          <w:sz w:val="22"/>
        </w:rPr>
        <w:t xml:space="preserve">                                D</w:t>
      </w:r>
      <w:r>
        <w:rPr>
          <w:rFonts w:ascii="Times New Roman" w:hAnsi="Times New Roman" w:hint="eastAsia"/>
          <w:kern w:val="0"/>
          <w:sz w:val="22"/>
        </w:rPr>
        <w:t>．血氧分压</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．红细胞内</w:t>
      </w:r>
      <w:r>
        <w:rPr>
          <w:rFonts w:ascii="Times New Roman" w:hAnsi="Times New Roman"/>
          <w:kern w:val="0"/>
          <w:sz w:val="22"/>
        </w:rPr>
        <w:t>2</w:t>
      </w:r>
      <w:r>
        <w:rPr>
          <w:rFonts w:ascii="Times New Roman" w:hAnsi="Times New Roman" w:hint="eastAsia"/>
          <w:kern w:val="0"/>
          <w:sz w:val="22"/>
        </w:rPr>
        <w:t>，</w:t>
      </w:r>
      <w:r>
        <w:rPr>
          <w:rFonts w:ascii="Times New Roman" w:hAnsi="Times New Roman"/>
          <w:kern w:val="0"/>
          <w:sz w:val="22"/>
        </w:rPr>
        <w:t>3-DPG</w:t>
      </w:r>
      <w:r>
        <w:rPr>
          <w:rFonts w:ascii="Times New Roman" w:hAnsi="Times New Roman" w:hint="eastAsia"/>
          <w:kern w:val="0"/>
          <w:sz w:val="22"/>
        </w:rPr>
        <w:t>浓度</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17</w:t>
      </w:r>
      <w:r>
        <w:rPr>
          <w:rFonts w:ascii="Times New Roman" w:hAnsi="Times New Roman" w:hint="eastAsia"/>
          <w:kern w:val="0"/>
          <w:sz w:val="22"/>
        </w:rPr>
        <w:t>．低张性缺氧引起肺通气增加的主要机制是什么（</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．刺激颈动脉窦压力感受器</w:t>
      </w:r>
      <w:r>
        <w:rPr>
          <w:rFonts w:ascii="Times New Roman" w:hAnsi="Times New Roman"/>
          <w:kern w:val="0"/>
          <w:sz w:val="22"/>
        </w:rPr>
        <w:t xml:space="preserve">                  B</w:t>
      </w:r>
      <w:r>
        <w:rPr>
          <w:rFonts w:ascii="Times New Roman" w:hAnsi="Times New Roman" w:hint="eastAsia"/>
          <w:kern w:val="0"/>
          <w:sz w:val="22"/>
        </w:rPr>
        <w:t>．刺激主动脉弓压力感受器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．刺激颈动脉体化学感受器</w:t>
      </w:r>
      <w:r>
        <w:rPr>
          <w:rFonts w:ascii="Times New Roman" w:hAnsi="Times New Roman"/>
          <w:kern w:val="0"/>
          <w:sz w:val="22"/>
        </w:rPr>
        <w:t xml:space="preserve">                  D</w:t>
      </w:r>
      <w:r>
        <w:rPr>
          <w:rFonts w:ascii="Times New Roman" w:hAnsi="Times New Roman" w:hint="eastAsia"/>
          <w:kern w:val="0"/>
          <w:sz w:val="22"/>
        </w:rPr>
        <w:t>．刺激肺牵张感受器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．刺激中枢化学感受器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18</w:t>
      </w:r>
      <w:r>
        <w:rPr>
          <w:rFonts w:ascii="Times New Roman" w:hAnsi="Times New Roman" w:hint="eastAsia"/>
          <w:kern w:val="0"/>
          <w:sz w:val="22"/>
        </w:rPr>
        <w:t>．临床上常用的休克分类是根据什么（</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．血流动力学特点</w:t>
      </w:r>
      <w:r>
        <w:rPr>
          <w:rFonts w:ascii="Times New Roman" w:hAnsi="Times New Roman"/>
          <w:kern w:val="0"/>
          <w:sz w:val="22"/>
        </w:rPr>
        <w:t xml:space="preserve">                         B</w:t>
      </w:r>
      <w:r>
        <w:rPr>
          <w:rFonts w:ascii="Times New Roman" w:hAnsi="Times New Roman" w:hint="eastAsia"/>
          <w:kern w:val="0"/>
          <w:sz w:val="22"/>
        </w:rPr>
        <w:t>．微循环改变特点</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．休克的病因</w:t>
      </w:r>
      <w:r>
        <w:rPr>
          <w:rFonts w:ascii="Times New Roman" w:hAnsi="Times New Roman"/>
          <w:kern w:val="0"/>
          <w:sz w:val="22"/>
        </w:rPr>
        <w:t xml:space="preserve">                             D</w:t>
      </w:r>
      <w:r>
        <w:rPr>
          <w:rFonts w:ascii="Times New Roman" w:hAnsi="Times New Roman" w:hint="eastAsia"/>
          <w:kern w:val="0"/>
          <w:sz w:val="22"/>
        </w:rPr>
        <w:t>．休克的发病学特点</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．缺血缺氧的类型</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19</w:t>
      </w:r>
      <w:r>
        <w:rPr>
          <w:rFonts w:ascii="Times New Roman" w:hAnsi="Times New Roman" w:hint="eastAsia"/>
          <w:kern w:val="0"/>
          <w:sz w:val="22"/>
        </w:rPr>
        <w:t>．心源性休克发生的中心环节是（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A</w:t>
      </w:r>
      <w:r>
        <w:rPr>
          <w:rFonts w:ascii="Times New Roman" w:hAnsi="Times New Roman" w:hint="eastAsia"/>
          <w:kern w:val="0"/>
          <w:sz w:val="22"/>
        </w:rPr>
        <w:t>．小动脉收缩</w:t>
      </w:r>
      <w:r>
        <w:rPr>
          <w:rFonts w:ascii="Times New Roman" w:hAnsi="Times New Roman"/>
          <w:kern w:val="0"/>
          <w:sz w:val="22"/>
        </w:rPr>
        <w:t xml:space="preserve">                             B</w:t>
      </w:r>
      <w:r>
        <w:rPr>
          <w:rFonts w:ascii="Times New Roman" w:hAnsi="Times New Roman" w:hint="eastAsia"/>
          <w:kern w:val="0"/>
          <w:sz w:val="22"/>
        </w:rPr>
        <w:t>．小动脉舒张</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．血管舒缩功能异常</w:t>
      </w:r>
      <w:r>
        <w:rPr>
          <w:rFonts w:ascii="Times New Roman" w:hAnsi="Times New Roman"/>
          <w:kern w:val="0"/>
          <w:sz w:val="22"/>
        </w:rPr>
        <w:t xml:space="preserve">                       D</w:t>
      </w:r>
      <w:r>
        <w:rPr>
          <w:rFonts w:ascii="Times New Roman" w:hAnsi="Times New Roman" w:hint="eastAsia"/>
          <w:kern w:val="0"/>
          <w:sz w:val="22"/>
        </w:rPr>
        <w:t>．交感神经功能异常</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E</w:t>
      </w:r>
      <w:r>
        <w:rPr>
          <w:rFonts w:ascii="Times New Roman" w:hAnsi="Times New Roman" w:hint="eastAsia"/>
          <w:kern w:val="0"/>
          <w:sz w:val="22"/>
        </w:rPr>
        <w:t>．心输出量迅速降低</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20</w:t>
      </w:r>
      <w:r>
        <w:rPr>
          <w:rFonts w:ascii="Times New Roman" w:hAnsi="Times New Roman" w:hint="eastAsia"/>
          <w:kern w:val="0"/>
          <w:sz w:val="22"/>
        </w:rPr>
        <w:t>．心肌肥大不平衡生长的分子水平特征是（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．肌动蛋白减少</w:t>
      </w:r>
      <w:r>
        <w:rPr>
          <w:rFonts w:ascii="Times New Roman" w:hAnsi="Times New Roman"/>
          <w:kern w:val="0"/>
          <w:sz w:val="22"/>
        </w:rPr>
        <w:t xml:space="preserve">                      B</w:t>
      </w:r>
      <w:r>
        <w:rPr>
          <w:rFonts w:ascii="Times New Roman" w:hAnsi="Times New Roman" w:hint="eastAsia"/>
          <w:kern w:val="0"/>
          <w:sz w:val="22"/>
        </w:rPr>
        <w:t>．肌球蛋白减少</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．肌球蛋白</w:t>
      </w:r>
      <w:r>
        <w:rPr>
          <w:rFonts w:ascii="Times New Roman" w:hAnsi="Times New Roman"/>
          <w:kern w:val="0"/>
          <w:sz w:val="22"/>
        </w:rPr>
        <w:t>ATP</w:t>
      </w:r>
      <w:r>
        <w:rPr>
          <w:rFonts w:ascii="Times New Roman" w:hAnsi="Times New Roman" w:hint="eastAsia"/>
          <w:kern w:val="0"/>
          <w:sz w:val="22"/>
        </w:rPr>
        <w:t>酶的活性下降</w:t>
      </w:r>
      <w:r>
        <w:rPr>
          <w:rFonts w:ascii="Times New Roman" w:hAnsi="Times New Roman"/>
          <w:kern w:val="0"/>
          <w:sz w:val="22"/>
        </w:rPr>
        <w:t xml:space="preserve">          D</w:t>
      </w:r>
      <w:r>
        <w:rPr>
          <w:rFonts w:ascii="Times New Roman" w:hAnsi="Times New Roman" w:hint="eastAsia"/>
          <w:kern w:val="0"/>
          <w:sz w:val="22"/>
        </w:rPr>
        <w:t>．肌钙蛋白减少</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．肌球蛋白</w:t>
      </w:r>
      <w:r>
        <w:rPr>
          <w:rFonts w:ascii="Times New Roman" w:hAnsi="Times New Roman"/>
          <w:kern w:val="0"/>
          <w:sz w:val="22"/>
        </w:rPr>
        <w:t>ATP</w:t>
      </w:r>
      <w:r>
        <w:rPr>
          <w:rFonts w:ascii="Times New Roman" w:hAnsi="Times New Roman" w:hint="eastAsia"/>
          <w:kern w:val="0"/>
          <w:sz w:val="22"/>
        </w:rPr>
        <w:t>酶的数量减少</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21</w:t>
      </w:r>
      <w:r>
        <w:rPr>
          <w:rFonts w:ascii="Times New Roman" w:hAnsi="Times New Roman" w:hint="eastAsia"/>
          <w:kern w:val="0"/>
          <w:sz w:val="22"/>
        </w:rPr>
        <w:t>．哪项关于心肌肥大的叙述是不正确的（</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．心肌肥大主要是指心肌细胞体积增大，重量增加</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．心肌肥大是一种较为经济和持久的代偿方式</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．向心性肥大和离心胜肥大都有重要的代偿意义</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．单位重量的肥大心肌收缩力增加</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．心肌肥大的代偿功能也有一定限度</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22</w:t>
      </w:r>
      <w:r>
        <w:rPr>
          <w:rFonts w:ascii="Times New Roman" w:hAnsi="Times New Roman" w:hint="eastAsia"/>
          <w:kern w:val="0"/>
          <w:sz w:val="22"/>
        </w:rPr>
        <w:t>．Ⅰ型呼吸衰竭的血气诊断标准是（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PaO2</w:t>
      </w:r>
      <w:r>
        <w:rPr>
          <w:rFonts w:ascii="Times New Roman" w:hAnsi="Times New Roman" w:hint="eastAsia"/>
          <w:kern w:val="0"/>
          <w:sz w:val="22"/>
        </w:rPr>
        <w:t>低于</w:t>
      </w:r>
      <w:r>
        <w:rPr>
          <w:rFonts w:ascii="Times New Roman" w:hAnsi="Times New Roman"/>
          <w:kern w:val="0"/>
          <w:sz w:val="22"/>
        </w:rPr>
        <w:t>4.0kPa</w:t>
      </w:r>
      <w:r>
        <w:rPr>
          <w:rFonts w:ascii="Times New Roman" w:hAnsi="Times New Roman" w:hint="eastAsia"/>
          <w:kern w:val="0"/>
          <w:sz w:val="22"/>
        </w:rPr>
        <w:t>（</w:t>
      </w:r>
      <w:r>
        <w:rPr>
          <w:rFonts w:ascii="Times New Roman" w:hAnsi="Times New Roman"/>
          <w:kern w:val="0"/>
          <w:sz w:val="22"/>
        </w:rPr>
        <w:t>30mmHg</w:t>
      </w:r>
      <w:r>
        <w:rPr>
          <w:rFonts w:ascii="Times New Roman" w:hAnsi="Times New Roman" w:hint="eastAsia"/>
          <w:kern w:val="0"/>
          <w:sz w:val="22"/>
        </w:rPr>
        <w:t>）</w:t>
      </w:r>
      <w:r>
        <w:rPr>
          <w:rFonts w:ascii="Times New Roman" w:hAnsi="Times New Roman"/>
          <w:kern w:val="0"/>
          <w:sz w:val="22"/>
        </w:rPr>
        <w:t xml:space="preserve">          B</w:t>
      </w:r>
      <w:r>
        <w:rPr>
          <w:rFonts w:ascii="Times New Roman" w:hAnsi="Times New Roman" w:hint="eastAsia"/>
          <w:kern w:val="0"/>
          <w:sz w:val="22"/>
        </w:rPr>
        <w:t>．</w:t>
      </w:r>
      <w:r>
        <w:rPr>
          <w:rFonts w:ascii="Times New Roman" w:hAnsi="Times New Roman"/>
          <w:kern w:val="0"/>
          <w:sz w:val="22"/>
        </w:rPr>
        <w:t>PaO2</w:t>
      </w:r>
      <w:r>
        <w:rPr>
          <w:rFonts w:ascii="Times New Roman" w:hAnsi="Times New Roman" w:hint="eastAsia"/>
          <w:kern w:val="0"/>
          <w:sz w:val="22"/>
        </w:rPr>
        <w:t>低于</w:t>
      </w:r>
      <w:r>
        <w:rPr>
          <w:rFonts w:ascii="Times New Roman" w:hAnsi="Times New Roman"/>
          <w:kern w:val="0"/>
          <w:sz w:val="22"/>
        </w:rPr>
        <w:t>5.3kPa</w:t>
      </w:r>
      <w:r>
        <w:rPr>
          <w:rFonts w:ascii="Times New Roman" w:hAnsi="Times New Roman" w:hint="eastAsia"/>
          <w:kern w:val="0"/>
          <w:sz w:val="22"/>
        </w:rPr>
        <w:t>（</w:t>
      </w:r>
      <w:r>
        <w:rPr>
          <w:rFonts w:ascii="Times New Roman" w:hAnsi="Times New Roman"/>
          <w:kern w:val="0"/>
          <w:sz w:val="22"/>
        </w:rPr>
        <w:t>40mmHg</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w:t>
      </w:r>
      <w:r>
        <w:rPr>
          <w:rFonts w:ascii="Times New Roman" w:hAnsi="Times New Roman"/>
          <w:kern w:val="0"/>
          <w:sz w:val="22"/>
        </w:rPr>
        <w:t>PaO2</w:t>
      </w:r>
      <w:r>
        <w:rPr>
          <w:rFonts w:ascii="Times New Roman" w:hAnsi="Times New Roman" w:hint="eastAsia"/>
          <w:kern w:val="0"/>
          <w:sz w:val="22"/>
        </w:rPr>
        <w:t>低于</w:t>
      </w:r>
      <w:r>
        <w:rPr>
          <w:rFonts w:ascii="Times New Roman" w:hAnsi="Times New Roman"/>
          <w:kern w:val="0"/>
          <w:sz w:val="22"/>
        </w:rPr>
        <w:t>6.7kPa</w:t>
      </w:r>
      <w:r>
        <w:rPr>
          <w:rFonts w:ascii="Times New Roman" w:hAnsi="Times New Roman" w:hint="eastAsia"/>
          <w:kern w:val="0"/>
          <w:sz w:val="22"/>
        </w:rPr>
        <w:t>（</w:t>
      </w:r>
      <w:r>
        <w:rPr>
          <w:rFonts w:ascii="Times New Roman" w:hAnsi="Times New Roman"/>
          <w:kern w:val="0"/>
          <w:sz w:val="22"/>
        </w:rPr>
        <w:t>50mmHg</w:t>
      </w:r>
      <w:r>
        <w:rPr>
          <w:rFonts w:ascii="Times New Roman" w:hAnsi="Times New Roman" w:hint="eastAsia"/>
          <w:kern w:val="0"/>
          <w:sz w:val="22"/>
        </w:rPr>
        <w:t>）</w:t>
      </w:r>
      <w:r>
        <w:rPr>
          <w:rFonts w:ascii="Times New Roman" w:hAnsi="Times New Roman"/>
          <w:kern w:val="0"/>
          <w:sz w:val="22"/>
        </w:rPr>
        <w:t xml:space="preserve">          D</w:t>
      </w:r>
      <w:r>
        <w:rPr>
          <w:rFonts w:ascii="Times New Roman" w:hAnsi="Times New Roman" w:hint="eastAsia"/>
          <w:kern w:val="0"/>
          <w:sz w:val="22"/>
        </w:rPr>
        <w:t>．</w:t>
      </w:r>
      <w:r>
        <w:rPr>
          <w:rFonts w:ascii="Times New Roman" w:hAnsi="Times New Roman"/>
          <w:kern w:val="0"/>
          <w:sz w:val="22"/>
        </w:rPr>
        <w:t>PaO2</w:t>
      </w:r>
      <w:r>
        <w:rPr>
          <w:rFonts w:ascii="Times New Roman" w:hAnsi="Times New Roman" w:hint="eastAsia"/>
          <w:kern w:val="0"/>
          <w:sz w:val="22"/>
        </w:rPr>
        <w:t>低于</w:t>
      </w:r>
      <w:r>
        <w:rPr>
          <w:rFonts w:ascii="Times New Roman" w:hAnsi="Times New Roman"/>
          <w:kern w:val="0"/>
          <w:sz w:val="22"/>
        </w:rPr>
        <w:t>8.0kPa</w:t>
      </w:r>
      <w:r>
        <w:rPr>
          <w:rFonts w:ascii="Times New Roman" w:hAnsi="Times New Roman" w:hint="eastAsia"/>
          <w:kern w:val="0"/>
          <w:sz w:val="22"/>
        </w:rPr>
        <w:t>（</w:t>
      </w:r>
      <w:r>
        <w:rPr>
          <w:rFonts w:ascii="Times New Roman" w:hAnsi="Times New Roman"/>
          <w:kern w:val="0"/>
          <w:sz w:val="22"/>
        </w:rPr>
        <w:t>60mmHg</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w:t>
      </w:r>
      <w:r>
        <w:rPr>
          <w:rFonts w:ascii="Times New Roman" w:hAnsi="Times New Roman"/>
          <w:kern w:val="0"/>
          <w:sz w:val="22"/>
        </w:rPr>
        <w:t>PaO2</w:t>
      </w:r>
      <w:r>
        <w:rPr>
          <w:rFonts w:ascii="Times New Roman" w:hAnsi="Times New Roman" w:hint="eastAsia"/>
          <w:kern w:val="0"/>
          <w:sz w:val="22"/>
        </w:rPr>
        <w:t>低于</w:t>
      </w:r>
      <w:r>
        <w:rPr>
          <w:rFonts w:ascii="Times New Roman" w:hAnsi="Times New Roman"/>
          <w:kern w:val="0"/>
          <w:sz w:val="22"/>
        </w:rPr>
        <w:t>9.3kPa</w:t>
      </w:r>
      <w:r>
        <w:rPr>
          <w:rFonts w:ascii="Times New Roman" w:hAnsi="Times New Roman" w:hint="eastAsia"/>
          <w:kern w:val="0"/>
          <w:sz w:val="22"/>
        </w:rPr>
        <w:t>（</w:t>
      </w:r>
      <w:r>
        <w:rPr>
          <w:rFonts w:ascii="Times New Roman" w:hAnsi="Times New Roman"/>
          <w:kern w:val="0"/>
          <w:sz w:val="22"/>
        </w:rPr>
        <w:t>70mmHg</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23</w:t>
      </w:r>
      <w:r>
        <w:rPr>
          <w:rFonts w:ascii="Times New Roman" w:hAnsi="Times New Roman" w:hint="eastAsia"/>
          <w:kern w:val="0"/>
          <w:sz w:val="22"/>
        </w:rPr>
        <w:t>．胸内中央性气道阻塞可发生（</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．阵发性呼吸困难</w:t>
      </w:r>
      <w:r>
        <w:rPr>
          <w:rFonts w:ascii="Times New Roman" w:hAnsi="Times New Roman"/>
          <w:kern w:val="0"/>
          <w:sz w:val="22"/>
        </w:rPr>
        <w:t xml:space="preserve">                    B</w:t>
      </w:r>
      <w:r>
        <w:rPr>
          <w:rFonts w:ascii="Times New Roman" w:hAnsi="Times New Roman" w:hint="eastAsia"/>
          <w:kern w:val="0"/>
          <w:sz w:val="22"/>
        </w:rPr>
        <w:t>．呼气性呼吸困难</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．吸气性呼吸困难</w:t>
      </w:r>
      <w:r>
        <w:rPr>
          <w:rFonts w:ascii="Times New Roman" w:hAnsi="Times New Roman"/>
          <w:kern w:val="0"/>
          <w:sz w:val="22"/>
        </w:rPr>
        <w:t xml:space="preserve">                    D</w:t>
      </w:r>
      <w:r>
        <w:rPr>
          <w:rFonts w:ascii="Times New Roman" w:hAnsi="Times New Roman" w:hint="eastAsia"/>
          <w:kern w:val="0"/>
          <w:sz w:val="22"/>
        </w:rPr>
        <w:t>．吸气呼气同等困难</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．吸气呼气均无困难</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24</w:t>
      </w:r>
      <w:r>
        <w:rPr>
          <w:rFonts w:ascii="Times New Roman" w:hAnsi="Times New Roman" w:hint="eastAsia"/>
          <w:kern w:val="0"/>
          <w:sz w:val="22"/>
        </w:rPr>
        <w:t>．严重肝病时氨清除不足的主要原因是（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．丙氨酸合成障碍</w:t>
      </w:r>
      <w:r>
        <w:rPr>
          <w:rFonts w:ascii="Times New Roman" w:hAnsi="Times New Roman"/>
          <w:kern w:val="0"/>
          <w:sz w:val="22"/>
        </w:rPr>
        <w:t xml:space="preserve">                   B</w:t>
      </w:r>
      <w:r>
        <w:rPr>
          <w:rFonts w:ascii="Times New Roman" w:hAnsi="Times New Roman" w:hint="eastAsia"/>
          <w:kern w:val="0"/>
          <w:sz w:val="22"/>
        </w:rPr>
        <w:t>．谷氨酰胺合成障碍</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．尿素合成障碍</w:t>
      </w:r>
      <w:r>
        <w:rPr>
          <w:rFonts w:ascii="Times New Roman" w:hAnsi="Times New Roman"/>
          <w:kern w:val="0"/>
          <w:sz w:val="22"/>
        </w:rPr>
        <w:t xml:space="preserve">                     D</w:t>
      </w:r>
      <w:r>
        <w:rPr>
          <w:rFonts w:ascii="Times New Roman" w:hAnsi="Times New Roman" w:hint="eastAsia"/>
          <w:kern w:val="0"/>
          <w:sz w:val="22"/>
        </w:rPr>
        <w:t>．肾小管分泌减少</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．谷氨酸合成障碍</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25</w:t>
      </w:r>
      <w:r>
        <w:rPr>
          <w:rFonts w:ascii="Times New Roman" w:hAnsi="Times New Roman" w:hint="eastAsia"/>
          <w:kern w:val="0"/>
          <w:sz w:val="22"/>
        </w:rPr>
        <w:t>．肝性脑病病人血浆氨基酸失衡表现为（</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w:t>
      </w:r>
      <w:r>
        <w:rPr>
          <w:rFonts w:ascii="Times New Roman" w:hAnsi="Times New Roman"/>
          <w:kern w:val="0"/>
          <w:sz w:val="22"/>
        </w:rPr>
        <w:t>BCAA—    AAA</w:t>
      </w:r>
      <w:r>
        <w:rPr>
          <w:rFonts w:ascii="Times New Roman" w:hAnsi="Times New Roman" w:hint="eastAsia"/>
          <w:kern w:val="0"/>
          <w:sz w:val="22"/>
        </w:rPr>
        <w:t>↓</w:t>
      </w:r>
      <w:r>
        <w:rPr>
          <w:rFonts w:ascii="Times New Roman" w:hAnsi="Times New Roman"/>
          <w:kern w:val="0"/>
          <w:sz w:val="22"/>
        </w:rPr>
        <w:t xml:space="preserve">               B</w:t>
      </w:r>
      <w:r>
        <w:rPr>
          <w:rFonts w:ascii="Times New Roman" w:hAnsi="Times New Roman" w:hint="eastAsia"/>
          <w:kern w:val="0"/>
          <w:sz w:val="22"/>
        </w:rPr>
        <w:t>．</w:t>
      </w:r>
      <w:r>
        <w:rPr>
          <w:rFonts w:ascii="Times New Roman" w:hAnsi="Times New Roman"/>
          <w:kern w:val="0"/>
          <w:sz w:val="22"/>
        </w:rPr>
        <w:t>BCAA</w:t>
      </w:r>
      <w:r>
        <w:rPr>
          <w:rFonts w:ascii="Times New Roman" w:hAnsi="Times New Roman" w:hint="eastAsia"/>
          <w:kern w:val="0"/>
          <w:sz w:val="22"/>
        </w:rPr>
        <w:t>↓</w:t>
      </w:r>
      <w:r>
        <w:rPr>
          <w:rFonts w:ascii="Times New Roman" w:hAnsi="Times New Roman"/>
          <w:kern w:val="0"/>
          <w:sz w:val="22"/>
        </w:rPr>
        <w:t xml:space="preserve">    AAA</w:t>
      </w:r>
      <w:r>
        <w:rPr>
          <w:rFonts w:ascii="Times New Roman" w:hAnsi="Times New Roman" w:hint="eastAsia"/>
          <w:kern w:val="0"/>
          <w:sz w:val="22"/>
        </w:rPr>
        <w:t>↓</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w:t>
      </w:r>
      <w:r>
        <w:rPr>
          <w:rFonts w:ascii="Times New Roman" w:hAnsi="Times New Roman"/>
          <w:kern w:val="0"/>
          <w:sz w:val="22"/>
        </w:rPr>
        <w:t>BCAA</w:t>
      </w:r>
      <w:r>
        <w:rPr>
          <w:rFonts w:ascii="Times New Roman" w:hAnsi="Times New Roman" w:hint="eastAsia"/>
          <w:kern w:val="0"/>
          <w:sz w:val="22"/>
        </w:rPr>
        <w:t>↓</w:t>
      </w:r>
      <w:r>
        <w:rPr>
          <w:rFonts w:ascii="Times New Roman" w:hAnsi="Times New Roman"/>
          <w:kern w:val="0"/>
          <w:sz w:val="22"/>
        </w:rPr>
        <w:t xml:space="preserve">    AAA</w:t>
      </w:r>
      <w:r>
        <w:rPr>
          <w:rFonts w:ascii="Times New Roman" w:hAnsi="Times New Roman" w:hint="eastAsia"/>
          <w:kern w:val="0"/>
          <w:sz w:val="22"/>
        </w:rPr>
        <w:t>↑</w:t>
      </w:r>
      <w:r>
        <w:rPr>
          <w:rFonts w:ascii="Times New Roman" w:hAnsi="Times New Roman"/>
          <w:kern w:val="0"/>
          <w:sz w:val="22"/>
        </w:rPr>
        <w:t xml:space="preserve">               D</w:t>
      </w:r>
      <w:r>
        <w:rPr>
          <w:rFonts w:ascii="Times New Roman" w:hAnsi="Times New Roman" w:hint="eastAsia"/>
          <w:kern w:val="0"/>
          <w:sz w:val="22"/>
        </w:rPr>
        <w:t>．</w:t>
      </w:r>
      <w:r>
        <w:rPr>
          <w:rFonts w:ascii="Times New Roman" w:hAnsi="Times New Roman"/>
          <w:kern w:val="0"/>
          <w:sz w:val="22"/>
        </w:rPr>
        <w:t>BCAA</w:t>
      </w:r>
      <w:r>
        <w:rPr>
          <w:rFonts w:ascii="Times New Roman" w:hAnsi="Times New Roman" w:hint="eastAsia"/>
          <w:kern w:val="0"/>
          <w:sz w:val="22"/>
        </w:rPr>
        <w:t>↑</w:t>
      </w:r>
      <w:r>
        <w:rPr>
          <w:rFonts w:ascii="Times New Roman" w:hAnsi="Times New Roman"/>
          <w:kern w:val="0"/>
          <w:sz w:val="22"/>
        </w:rPr>
        <w:t xml:space="preserve">    AAA</w:t>
      </w:r>
      <w:r>
        <w:rPr>
          <w:rFonts w:ascii="Times New Roman" w:hAnsi="Times New Roman" w:hint="eastAsia"/>
          <w:kern w:val="0"/>
          <w:sz w:val="22"/>
        </w:rPr>
        <w:t>↑</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w:t>
      </w:r>
      <w:r>
        <w:rPr>
          <w:rFonts w:ascii="Times New Roman" w:hAnsi="Times New Roman"/>
          <w:kern w:val="0"/>
          <w:sz w:val="22"/>
        </w:rPr>
        <w:t>BCAA</w:t>
      </w:r>
      <w:r>
        <w:rPr>
          <w:rFonts w:ascii="Times New Roman" w:hAnsi="Times New Roman" w:hint="eastAsia"/>
          <w:kern w:val="0"/>
          <w:sz w:val="22"/>
        </w:rPr>
        <w:t>↑</w:t>
      </w:r>
      <w:r>
        <w:rPr>
          <w:rFonts w:ascii="Times New Roman" w:hAnsi="Times New Roman"/>
          <w:kern w:val="0"/>
          <w:sz w:val="22"/>
        </w:rPr>
        <w:t xml:space="preserve">    AAA—</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26</w:t>
      </w:r>
      <w:r>
        <w:rPr>
          <w:rFonts w:ascii="Times New Roman" w:hAnsi="Times New Roman" w:hint="eastAsia"/>
          <w:kern w:val="0"/>
          <w:sz w:val="22"/>
        </w:rPr>
        <w:t>．假性神经递质的作用部位在（</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．脑干网状结构</w:t>
      </w:r>
      <w:r>
        <w:rPr>
          <w:rFonts w:ascii="Times New Roman" w:hAnsi="Times New Roman"/>
          <w:kern w:val="0"/>
          <w:sz w:val="22"/>
        </w:rPr>
        <w:t xml:space="preserve">                    B</w:t>
      </w:r>
      <w:r>
        <w:rPr>
          <w:rFonts w:ascii="Times New Roman" w:hAnsi="Times New Roman" w:hint="eastAsia"/>
          <w:kern w:val="0"/>
          <w:sz w:val="22"/>
        </w:rPr>
        <w:t>．大脑皮质</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．小脑</w:t>
      </w:r>
      <w:r>
        <w:rPr>
          <w:rFonts w:ascii="Times New Roman" w:hAnsi="Times New Roman"/>
          <w:kern w:val="0"/>
          <w:sz w:val="22"/>
        </w:rPr>
        <w:t xml:space="preserve">                            D</w:t>
      </w:r>
      <w:r>
        <w:rPr>
          <w:rFonts w:ascii="Times New Roman" w:hAnsi="Times New Roman" w:hint="eastAsia"/>
          <w:kern w:val="0"/>
          <w:sz w:val="22"/>
        </w:rPr>
        <w:t>．丘脑</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．间脑</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27</w:t>
      </w:r>
      <w:r>
        <w:rPr>
          <w:rFonts w:ascii="Times New Roman" w:hAnsi="Times New Roman" w:hint="eastAsia"/>
          <w:kern w:val="0"/>
          <w:sz w:val="22"/>
        </w:rPr>
        <w:t>．引起肾前性急性肾功能不全的病因是（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．急性肾小球肾炎</w:t>
      </w:r>
      <w:r>
        <w:rPr>
          <w:rFonts w:ascii="Times New Roman" w:hAnsi="Times New Roman"/>
          <w:kern w:val="0"/>
          <w:sz w:val="22"/>
        </w:rPr>
        <w:t xml:space="preserve">                 B</w:t>
      </w:r>
      <w:r>
        <w:rPr>
          <w:rFonts w:ascii="Times New Roman" w:hAnsi="Times New Roman" w:hint="eastAsia"/>
          <w:kern w:val="0"/>
          <w:sz w:val="22"/>
        </w:rPr>
        <w:t>．前列腺肥大</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．肾血栓形成</w:t>
      </w:r>
      <w:r>
        <w:rPr>
          <w:rFonts w:ascii="Times New Roman" w:hAnsi="Times New Roman"/>
          <w:kern w:val="0"/>
          <w:sz w:val="22"/>
        </w:rPr>
        <w:t xml:space="preserve">                     D</w:t>
      </w:r>
      <w:r>
        <w:rPr>
          <w:rFonts w:ascii="Times New Roman" w:hAnsi="Times New Roman" w:hint="eastAsia"/>
          <w:kern w:val="0"/>
          <w:sz w:val="22"/>
        </w:rPr>
        <w:t>．休克</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．汞中毒</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28</w:t>
      </w:r>
      <w:r>
        <w:rPr>
          <w:rFonts w:ascii="Times New Roman" w:hAnsi="Times New Roman" w:hint="eastAsia"/>
          <w:kern w:val="0"/>
          <w:sz w:val="22"/>
        </w:rPr>
        <w:t>．急性肾功能衰竭的中心环节是（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．肾小球囊内压增高</w:t>
      </w:r>
      <w:r>
        <w:rPr>
          <w:rFonts w:ascii="Times New Roman" w:hAnsi="Times New Roman"/>
          <w:kern w:val="0"/>
          <w:sz w:val="22"/>
        </w:rPr>
        <w:t xml:space="preserve">               B</w:t>
      </w:r>
      <w:r>
        <w:rPr>
          <w:rFonts w:ascii="Times New Roman" w:hAnsi="Times New Roman" w:hint="eastAsia"/>
          <w:kern w:val="0"/>
          <w:sz w:val="22"/>
        </w:rPr>
        <w:t>．肾小球滤过率降低</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．血浆胶体渗透压降低</w:t>
      </w:r>
      <w:r>
        <w:rPr>
          <w:rFonts w:ascii="Times New Roman" w:hAnsi="Times New Roman"/>
          <w:kern w:val="0"/>
          <w:sz w:val="22"/>
        </w:rPr>
        <w:t xml:space="preserve">             D</w:t>
      </w:r>
      <w:r>
        <w:rPr>
          <w:rFonts w:ascii="Times New Roman" w:hAnsi="Times New Roman" w:hint="eastAsia"/>
          <w:kern w:val="0"/>
          <w:sz w:val="22"/>
        </w:rPr>
        <w:t>．肾小管阻塞</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．肾小管上皮细胞坏死</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29</w:t>
      </w:r>
      <w:r>
        <w:rPr>
          <w:rFonts w:ascii="Times New Roman" w:hAnsi="Times New Roman" w:hint="eastAsia"/>
          <w:kern w:val="0"/>
          <w:sz w:val="22"/>
        </w:rPr>
        <w:t>．急性肾功能不全最严重的并发症是（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．高钾血症</w:t>
      </w:r>
      <w:r>
        <w:rPr>
          <w:rFonts w:ascii="Times New Roman" w:hAnsi="Times New Roman"/>
          <w:kern w:val="0"/>
          <w:sz w:val="22"/>
        </w:rPr>
        <w:t xml:space="preserve">                   B</w:t>
      </w:r>
      <w:r>
        <w:rPr>
          <w:rFonts w:ascii="Times New Roman" w:hAnsi="Times New Roman" w:hint="eastAsia"/>
          <w:kern w:val="0"/>
          <w:sz w:val="22"/>
        </w:rPr>
        <w:t>．高磷血症</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宋体"/>
          <w:szCs w:val="21"/>
        </w:rPr>
      </w:pPr>
      <w:r>
        <w:rPr>
          <w:rFonts w:ascii="Times New Roman" w:hAnsi="Times New Roman"/>
          <w:kern w:val="0"/>
          <w:sz w:val="22"/>
        </w:rPr>
        <w:t>C</w:t>
      </w:r>
      <w:r>
        <w:rPr>
          <w:rFonts w:ascii="Times New Roman" w:hAnsi="Times New Roman" w:hint="eastAsia"/>
          <w:kern w:val="0"/>
          <w:sz w:val="22"/>
        </w:rPr>
        <w:t>．高镁血症</w:t>
      </w:r>
      <w:r>
        <w:rPr>
          <w:rFonts w:ascii="Times New Roman" w:hAnsi="Times New Roman"/>
          <w:kern w:val="0"/>
          <w:sz w:val="22"/>
        </w:rPr>
        <w:t xml:space="preserve">                  D</w:t>
      </w:r>
      <w:r>
        <w:rPr>
          <w:rFonts w:ascii="Times New Roman" w:hAnsi="Times New Roman" w:hint="eastAsia"/>
          <w:kern w:val="0"/>
          <w:sz w:val="22"/>
        </w:rPr>
        <w:t>．氮质血症</w:t>
      </w:r>
      <w:r>
        <w:rPr>
          <w:rFonts w:ascii="Times New Roman" w:hAnsi="Times New Roman"/>
          <w:kern w:val="0"/>
          <w:sz w:val="22"/>
        </w:rPr>
        <w:t xml:space="preserve">  </w:t>
      </w:r>
      <w:r>
        <w:rPr>
          <w:rFonts w:ascii="宋体" w:hAnsi="宋体"/>
          <w:szCs w:val="21"/>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．代谢性酸中毒</w:t>
      </w:r>
    </w:p>
    <w:p w:rsidR="003717A0" w:rsidRDefault="003717A0">
      <w:pPr>
        <w:ind w:firstLineChars="196" w:firstLine="433"/>
        <w:rPr>
          <w:rFonts w:ascii="Times New Roman" w:hAnsi="Times New Roman"/>
          <w:b/>
          <w:kern w:val="0"/>
          <w:sz w:val="22"/>
        </w:rPr>
      </w:pPr>
      <w:r>
        <w:rPr>
          <w:rFonts w:ascii="Times New Roman" w:hAnsi="Times New Roman" w:hint="eastAsia"/>
          <w:b/>
          <w:kern w:val="0"/>
          <w:sz w:val="22"/>
        </w:rPr>
        <w:t>二、判断题（每小题</w:t>
      </w:r>
      <w:r>
        <w:rPr>
          <w:rFonts w:ascii="Times New Roman" w:hAnsi="Times New Roman"/>
          <w:b/>
          <w:kern w:val="0"/>
          <w:sz w:val="22"/>
        </w:rPr>
        <w:t>1</w:t>
      </w:r>
      <w:r>
        <w:rPr>
          <w:rFonts w:ascii="Times New Roman" w:hAnsi="Times New Roman" w:hint="eastAsia"/>
          <w:b/>
          <w:kern w:val="0"/>
          <w:sz w:val="22"/>
        </w:rPr>
        <w:t>分，共</w:t>
      </w:r>
      <w:r>
        <w:rPr>
          <w:rFonts w:ascii="Times New Roman" w:hAnsi="Times New Roman"/>
          <w:b/>
          <w:kern w:val="0"/>
          <w:sz w:val="22"/>
        </w:rPr>
        <w:t>10</w:t>
      </w:r>
      <w:r>
        <w:rPr>
          <w:rFonts w:ascii="Times New Roman" w:hAnsi="Times New Roman" w:hint="eastAsia"/>
          <w:b/>
          <w:kern w:val="0"/>
          <w:sz w:val="22"/>
        </w:rPr>
        <w:t>分）</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．过多的液体在组织间隙或体腔积聚称为水肿。</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．高钾血症可以引起代谢性酸中毒而尿液呈酸性。</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．代谢性酸中毒的病理生理学基础是血浆碳酸氢盐原发性减少。</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．黄嘌呤氧化酶主要存在于内皮细胞。</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w:t>
      </w:r>
      <w:r>
        <w:rPr>
          <w:rFonts w:ascii="Times New Roman" w:hAnsi="Times New Roman"/>
          <w:kern w:val="0"/>
          <w:sz w:val="22"/>
        </w:rPr>
        <w:t>DIC</w:t>
      </w:r>
      <w:r>
        <w:rPr>
          <w:rFonts w:ascii="Times New Roman" w:hAnsi="Times New Roman" w:hint="eastAsia"/>
          <w:kern w:val="0"/>
          <w:sz w:val="22"/>
        </w:rPr>
        <w:t>的主要病理特征是有继发性纤溶亢进。</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．缺氧的病人一定会出现发绀。</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．血压下降是判断早期休克的指标。</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．心率加快在一定范围内可提高心输出量，但这种代偿也有一定局限性。</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．呼吸衰竭就是指由于呼吸功能严重障碍导致的临床病理过程。</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．结肠内</w:t>
      </w:r>
      <w:r>
        <w:rPr>
          <w:rFonts w:ascii="Times New Roman" w:hAnsi="Times New Roman"/>
          <w:kern w:val="0"/>
          <w:sz w:val="22"/>
        </w:rPr>
        <w:t>pH</w:t>
      </w:r>
      <w:r>
        <w:rPr>
          <w:rFonts w:ascii="Times New Roman" w:hAnsi="Times New Roman" w:hint="eastAsia"/>
          <w:kern w:val="0"/>
          <w:sz w:val="22"/>
        </w:rPr>
        <w:t>较高时，有助于肠道排氨。</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ind w:firstLineChars="147" w:firstLine="413"/>
        <w:rPr>
          <w:rFonts w:eastAsia="楷体_GB2312"/>
          <w:b/>
          <w:bCs/>
          <w:sz w:val="28"/>
        </w:rPr>
      </w:pPr>
      <w:r>
        <w:rPr>
          <w:rFonts w:eastAsia="楷体_GB2312" w:hint="eastAsia"/>
          <w:b/>
          <w:bCs/>
          <w:sz w:val="28"/>
        </w:rPr>
        <w:t>三、名词解释（每小题</w:t>
      </w:r>
      <w:r>
        <w:rPr>
          <w:rFonts w:eastAsia="楷体_GB2312"/>
          <w:b/>
          <w:bCs/>
          <w:sz w:val="28"/>
        </w:rPr>
        <w:t>2.5</w:t>
      </w:r>
      <w:r>
        <w:rPr>
          <w:rFonts w:eastAsia="楷体_GB2312" w:hint="eastAsia"/>
          <w:b/>
          <w:bCs/>
          <w:sz w:val="28"/>
        </w:rPr>
        <w:t>分，共</w:t>
      </w:r>
      <w:r>
        <w:rPr>
          <w:rFonts w:eastAsia="楷体_GB2312"/>
          <w:b/>
          <w:bCs/>
          <w:sz w:val="28"/>
        </w:rPr>
        <w:t>25</w:t>
      </w:r>
      <w:r>
        <w:rPr>
          <w:rFonts w:eastAsia="楷体_GB2312" w:hint="eastAsia"/>
          <w:b/>
          <w:bCs/>
          <w:sz w:val="28"/>
        </w:rPr>
        <w:t>分）</w:t>
      </w:r>
    </w:p>
    <w:p w:rsidR="003717A0" w:rsidRDefault="003717A0">
      <w:pPr>
        <w:autoSpaceDE w:val="0"/>
        <w:autoSpaceDN w:val="0"/>
        <w:adjustRightInd w:val="0"/>
        <w:snapToGrid w:val="0"/>
        <w:spacing w:line="360" w:lineRule="auto"/>
        <w:ind w:firstLineChars="202" w:firstLine="444"/>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．病理过程</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．诱因</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w:t>
      </w:r>
      <w:r>
        <w:rPr>
          <w:rFonts w:ascii="Times New Roman" w:hAnsi="Times New Roman"/>
          <w:kern w:val="0"/>
          <w:sz w:val="22"/>
        </w:rPr>
        <w:t>EP</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．缺血</w:t>
      </w:r>
      <w:r>
        <w:rPr>
          <w:rFonts w:ascii="Times New Roman" w:hAnsi="Times New Roman"/>
          <w:kern w:val="0"/>
          <w:sz w:val="22"/>
        </w:rPr>
        <w:t>-</w:t>
      </w:r>
      <w:r>
        <w:rPr>
          <w:rFonts w:ascii="Times New Roman" w:hAnsi="Times New Roman" w:hint="eastAsia"/>
          <w:kern w:val="0"/>
          <w:sz w:val="22"/>
        </w:rPr>
        <w:t>再灌注损伤</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．微血管病性溶血性贫血</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．组织性缺氧</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．高排出量性心力衰竭</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．假性神经递质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9</w:t>
      </w:r>
      <w:r>
        <w:rPr>
          <w:rFonts w:ascii="Times New Roman" w:hAnsi="Times New Roman" w:hint="eastAsia"/>
          <w:kern w:val="0"/>
          <w:sz w:val="22"/>
        </w:rPr>
        <w:t>．氮质血症</w:t>
      </w:r>
    </w:p>
    <w:p w:rsidR="003717A0" w:rsidRDefault="003717A0">
      <w:pPr>
        <w:autoSpaceDE w:val="0"/>
        <w:autoSpaceDN w:val="0"/>
        <w:adjustRightInd w:val="0"/>
        <w:snapToGrid w:val="0"/>
        <w:spacing w:line="360" w:lineRule="auto"/>
        <w:ind w:firstLineChars="193" w:firstLine="425"/>
        <w:jc w:val="left"/>
      </w:pPr>
      <w:r>
        <w:rPr>
          <w:rFonts w:ascii="Times New Roman" w:hAnsi="Times New Roman"/>
          <w:kern w:val="0"/>
          <w:sz w:val="22"/>
        </w:rPr>
        <w:t>10</w:t>
      </w:r>
      <w:r>
        <w:rPr>
          <w:rFonts w:ascii="Times New Roman" w:hAnsi="Times New Roman" w:hint="eastAsia"/>
          <w:kern w:val="0"/>
          <w:sz w:val="22"/>
        </w:rPr>
        <w:t>．慢性肾功能衰竭</w:t>
      </w:r>
    </w:p>
    <w:p w:rsidR="003717A0" w:rsidRDefault="003717A0">
      <w:pPr>
        <w:autoSpaceDE w:val="0"/>
        <w:autoSpaceDN w:val="0"/>
        <w:adjustRightInd w:val="0"/>
        <w:snapToGrid w:val="0"/>
        <w:spacing w:line="360" w:lineRule="auto"/>
        <w:ind w:firstLineChars="193" w:firstLine="426"/>
        <w:jc w:val="left"/>
        <w:rPr>
          <w:rFonts w:ascii="Times New Roman" w:hAnsi="Times New Roman"/>
          <w:b/>
          <w:kern w:val="0"/>
          <w:sz w:val="22"/>
        </w:rPr>
      </w:pPr>
      <w:r>
        <w:rPr>
          <w:rFonts w:ascii="Times New Roman" w:hAnsi="Times New Roman" w:hint="eastAsia"/>
          <w:b/>
          <w:kern w:val="0"/>
          <w:sz w:val="22"/>
        </w:rPr>
        <w:t>四、简答题（每小题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 xml:space="preserve"> 20 </w:t>
      </w:r>
      <w:r>
        <w:rPr>
          <w:rFonts w:ascii="Times New Roman" w:hAnsi="Times New Roman" w:hint="eastAsia"/>
          <w:b/>
          <w:kern w:val="0"/>
          <w:sz w:val="22"/>
        </w:rPr>
        <w:t>分）</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．简述低钾血症对患者心肌生理特性的影响。</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．简述代谢性酸中毒对患者心肌收缩力的影响及机制。</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．简述低张性缺氧的原因。</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．简述限制性通气不足的原因。</w:t>
      </w:r>
    </w:p>
    <w:p w:rsidR="003717A0" w:rsidRDefault="003717A0">
      <w:pPr>
        <w:autoSpaceDE w:val="0"/>
        <w:autoSpaceDN w:val="0"/>
        <w:adjustRightInd w:val="0"/>
        <w:snapToGrid w:val="0"/>
        <w:spacing w:line="360" w:lineRule="auto"/>
        <w:ind w:firstLineChars="193" w:firstLine="426"/>
        <w:jc w:val="left"/>
        <w:rPr>
          <w:rFonts w:ascii="Times New Roman" w:hAnsi="Times New Roman"/>
          <w:kern w:val="0"/>
          <w:sz w:val="22"/>
        </w:rPr>
      </w:pPr>
      <w:r>
        <w:rPr>
          <w:rFonts w:ascii="Times New Roman" w:hAnsi="Times New Roman" w:hint="eastAsia"/>
          <w:b/>
          <w:kern w:val="0"/>
          <w:sz w:val="22"/>
        </w:rPr>
        <w:t>五、论述题（每小题</w:t>
      </w:r>
      <w:r>
        <w:rPr>
          <w:rFonts w:ascii="Times New Roman" w:hAnsi="Times New Roman"/>
          <w:b/>
          <w:kern w:val="0"/>
          <w:sz w:val="22"/>
        </w:rPr>
        <w:t>8</w:t>
      </w:r>
      <w:r>
        <w:rPr>
          <w:rFonts w:ascii="Times New Roman" w:hAnsi="Times New Roman" w:hint="eastAsia"/>
          <w:b/>
          <w:kern w:val="0"/>
          <w:sz w:val="22"/>
        </w:rPr>
        <w:t>分，共</w:t>
      </w:r>
      <w:r>
        <w:rPr>
          <w:rFonts w:ascii="Times New Roman" w:hAnsi="Times New Roman"/>
          <w:b/>
          <w:kern w:val="0"/>
          <w:sz w:val="22"/>
        </w:rPr>
        <w:t xml:space="preserve"> 16 </w:t>
      </w:r>
      <w:r>
        <w:rPr>
          <w:rFonts w:ascii="Times New Roman" w:hAnsi="Times New Roman" w:hint="eastAsia"/>
          <w:b/>
          <w:kern w:val="0"/>
          <w:sz w:val="22"/>
        </w:rPr>
        <w:t>分</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．试比较低容量性低钠血症和低容量性高钠血症时患者机体的主要代偿调节机制。</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．试述休克代偿期（早期）微循环的变化及其代偿意义。</w:t>
      </w:r>
    </w:p>
    <w:p w:rsidR="003717A0" w:rsidRDefault="003717A0">
      <w:pPr>
        <w:adjustRightInd w:val="0"/>
        <w:snapToGrid w:val="0"/>
        <w:spacing w:line="440" w:lineRule="exact"/>
        <w:ind w:leftChars="171" w:left="359"/>
        <w:jc w:val="left"/>
        <w:rPr>
          <w:rFonts w:ascii="Times New Roman" w:hAnsi="Times New Roman"/>
          <w:szCs w:val="21"/>
        </w:rPr>
      </w:pPr>
    </w:p>
    <w:p w:rsidR="003717A0" w:rsidRDefault="003717A0">
      <w:pPr>
        <w:adjustRightInd w:val="0"/>
        <w:snapToGrid w:val="0"/>
        <w:spacing w:line="440" w:lineRule="exact"/>
        <w:ind w:leftChars="171" w:left="359" w:firstLineChars="200" w:firstLine="422"/>
        <w:jc w:val="left"/>
        <w:rPr>
          <w:rFonts w:ascii="Times New Roman" w:hAnsi="Times New Roman"/>
          <w:b/>
          <w:szCs w:val="21"/>
        </w:rPr>
      </w:pPr>
    </w:p>
    <w:p w:rsidR="003717A0" w:rsidRDefault="003717A0">
      <w:pPr>
        <w:spacing w:line="300" w:lineRule="auto"/>
        <w:rPr>
          <w:szCs w:val="21"/>
        </w:rPr>
      </w:pPr>
    </w:p>
    <w:p w:rsidR="003717A0" w:rsidRDefault="003717A0">
      <w:pPr>
        <w:spacing w:line="300" w:lineRule="auto"/>
        <w:rPr>
          <w:szCs w:val="21"/>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r>
        <w:rPr>
          <w:rFonts w:ascii="Times New Roman" w:hAnsi="Times New Roman"/>
          <w:b/>
          <w:kern w:val="0"/>
          <w:sz w:val="22"/>
        </w:rPr>
        <w:br w:type="page"/>
      </w:r>
      <w:r w:rsidRPr="00F5156D">
        <w:rPr>
          <w:rFonts w:ascii="Times New Roman" w:eastAsia="黑体" w:hAnsi="Times New Roman" w:hint="eastAsia"/>
          <w:b/>
          <w:kern w:val="0"/>
          <w:sz w:val="32"/>
          <w:szCs w:val="32"/>
        </w:rPr>
        <w:lastRenderedPageBreak/>
        <w:t>四、课程实施与保障</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
        <w:gridCol w:w="682"/>
        <w:gridCol w:w="8105"/>
      </w:tblGrid>
      <w:tr w:rsidR="003717A0">
        <w:trPr>
          <w:cantSplit/>
          <w:trHeight w:val="3"/>
          <w:jc w:val="center"/>
        </w:trPr>
        <w:tc>
          <w:tcPr>
            <w:tcW w:w="107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105" w:type="dxa"/>
            <w:vAlign w:val="center"/>
          </w:tcPr>
          <w:p w:rsidR="003717A0" w:rsidRDefault="003717A0">
            <w:pPr>
              <w:autoSpaceDE w:val="0"/>
              <w:autoSpaceDN w:val="0"/>
              <w:adjustRightInd w:val="0"/>
              <w:snapToGrid w:val="0"/>
              <w:spacing w:line="360" w:lineRule="exact"/>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教师应关心病理生理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4"/>
          <w:jc w:val="center"/>
        </w:trPr>
        <w:tc>
          <w:tcPr>
            <w:tcW w:w="396"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682"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105" w:type="dxa"/>
            <w:vAlign w:val="center"/>
          </w:tcPr>
          <w:p w:rsidR="003717A0" w:rsidRDefault="003717A0">
            <w:pPr>
              <w:autoSpaceDE w:val="0"/>
              <w:autoSpaceDN w:val="0"/>
              <w:adjustRightInd w:val="0"/>
              <w:snapToGrid w:val="0"/>
              <w:spacing w:line="360" w:lineRule="exact"/>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89"/>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89"/>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89"/>
              </w:numPr>
              <w:autoSpaceDE w:val="0"/>
              <w:autoSpaceDN w:val="0"/>
              <w:adjustRightInd w:val="0"/>
              <w:snapToGrid w:val="0"/>
              <w:spacing w:line="360" w:lineRule="exact"/>
              <w:jc w:val="left"/>
            </w:pPr>
            <w:r>
              <w:rPr>
                <w:rFonts w:ascii="Times New Roman" w:hAnsi="宋体" w:hint="eastAsia"/>
                <w:szCs w:val="21"/>
              </w:rPr>
              <w:t>确定各章节课程内容的教学方法，构思授课思路、技巧和方法。</w:t>
            </w:r>
          </w:p>
        </w:tc>
      </w:tr>
      <w:tr w:rsidR="003717A0">
        <w:trPr>
          <w:cantSplit/>
          <w:trHeight w:val="3365"/>
          <w:jc w:val="center"/>
        </w:trPr>
        <w:tc>
          <w:tcPr>
            <w:tcW w:w="396" w:type="dxa"/>
            <w:vMerge/>
            <w:vAlign w:val="center"/>
          </w:tcPr>
          <w:p w:rsidR="003717A0" w:rsidRDefault="003717A0">
            <w:pPr>
              <w:spacing w:line="340" w:lineRule="exact"/>
              <w:jc w:val="center"/>
            </w:pPr>
          </w:p>
        </w:tc>
        <w:tc>
          <w:tcPr>
            <w:tcW w:w="682"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105" w:type="dxa"/>
            <w:vAlign w:val="center"/>
          </w:tcPr>
          <w:p w:rsidR="003717A0" w:rsidRDefault="003717A0">
            <w:pPr>
              <w:autoSpaceDE w:val="0"/>
              <w:autoSpaceDN w:val="0"/>
              <w:adjustRightInd w:val="0"/>
              <w:snapToGrid w:val="0"/>
              <w:spacing w:line="360" w:lineRule="exact"/>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90"/>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90"/>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90"/>
              </w:numPr>
              <w:autoSpaceDE w:val="0"/>
              <w:autoSpaceDN w:val="0"/>
              <w:adjustRightInd w:val="0"/>
              <w:snapToGrid w:val="0"/>
              <w:spacing w:line="360" w:lineRule="exact"/>
              <w:jc w:val="left"/>
              <w:rPr>
                <w:rFonts w:ascii="楷体_GB2312" w:eastAsia="楷体_GB2312"/>
                <w:sz w:val="24"/>
                <w:szCs w:val="24"/>
              </w:rPr>
            </w:pPr>
            <w:r>
              <w:rPr>
                <w:rFonts w:ascii="Times New Roman" w:hAnsi="宋体" w:hint="eastAsia"/>
                <w:szCs w:val="21"/>
              </w:rPr>
              <w:t>多媒体教学手段和黑板板书相结合，表达方式尽量便于学生理解、接受，力求形象生动，使学生在掌握知识的过程中，保持较为浓厚的兴趣。</w:t>
            </w:r>
          </w:p>
        </w:tc>
      </w:tr>
      <w:tr w:rsidR="003717A0">
        <w:trPr>
          <w:trHeight w:val="5131"/>
          <w:jc w:val="center"/>
        </w:trPr>
        <w:tc>
          <w:tcPr>
            <w:tcW w:w="39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682"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105" w:type="dxa"/>
            <w:vAlign w:val="center"/>
          </w:tcPr>
          <w:p w:rsidR="003717A0" w:rsidRDefault="003717A0">
            <w:pPr>
              <w:autoSpaceDE w:val="0"/>
              <w:autoSpaceDN w:val="0"/>
              <w:adjustRightInd w:val="0"/>
              <w:snapToGrid w:val="0"/>
              <w:spacing w:line="360" w:lineRule="exact"/>
              <w:ind w:firstLineChars="193" w:firstLine="425"/>
              <w:jc w:val="left"/>
              <w:rPr>
                <w:sz w:val="22"/>
              </w:rPr>
            </w:pPr>
            <w:r>
              <w:rPr>
                <w:rFonts w:hint="eastAsia"/>
                <w:sz w:val="22"/>
              </w:rPr>
              <w:t>学生需完成一定数量的平时作业，包括课前预习、</w:t>
            </w:r>
            <w:r>
              <w:rPr>
                <w:rFonts w:ascii="Times New Roman" w:hAnsi="Times New Roman" w:hint="eastAsia"/>
                <w:szCs w:val="21"/>
              </w:rPr>
              <w:t>学生论坛专题。</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一、学生完成作业的主要内容：</w:t>
            </w:r>
          </w:p>
          <w:p w:rsidR="003717A0" w:rsidRDefault="003717A0">
            <w:pPr>
              <w:numPr>
                <w:ilvl w:val="0"/>
                <w:numId w:val="91"/>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根</w:t>
            </w:r>
            <w:r>
              <w:rPr>
                <w:rFonts w:ascii="Times New Roman" w:hAnsi="Times New Roman" w:hint="eastAsia"/>
                <w:szCs w:val="21"/>
              </w:rPr>
              <w:t>据理论课中有些章节给出的学生论坛专题，由</w:t>
            </w:r>
            <w:r>
              <w:rPr>
                <w:rFonts w:ascii="Times New Roman" w:hAnsi="Times New Roman"/>
                <w:szCs w:val="21"/>
              </w:rPr>
              <w:t>5-6</w:t>
            </w:r>
            <w:r>
              <w:rPr>
                <w:rFonts w:ascii="Times New Roman" w:hAnsi="Times New Roman" w:hint="eastAsia"/>
                <w:szCs w:val="21"/>
              </w:rPr>
              <w:t>人组成小组，收集资料、学习、整理、制作相关</w:t>
            </w:r>
            <w:r>
              <w:rPr>
                <w:rFonts w:ascii="Times New Roman" w:hAnsi="Times New Roman"/>
                <w:szCs w:val="21"/>
              </w:rPr>
              <w:t>PPT</w:t>
            </w:r>
            <w:r>
              <w:rPr>
                <w:rFonts w:ascii="Times New Roman" w:hAnsi="Times New Roman" w:hint="eastAsia"/>
                <w:szCs w:val="21"/>
              </w:rPr>
              <w:t>，</w:t>
            </w:r>
            <w:r>
              <w:rPr>
                <w:rFonts w:ascii="Times New Roman" w:hAnsi="宋体" w:hint="eastAsia"/>
                <w:szCs w:val="21"/>
              </w:rPr>
              <w:t>并进行全班交流和讨论，拓展与本课程相关的知识。</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二、学生完成的作业必须达到以下基本要求：</w:t>
            </w:r>
          </w:p>
          <w:p w:rsidR="003717A0" w:rsidRDefault="003717A0">
            <w:pPr>
              <w:numPr>
                <w:ilvl w:val="0"/>
                <w:numId w:val="92"/>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按时按量完成作业，不缺交，不抄袭；</w:t>
            </w:r>
          </w:p>
          <w:p w:rsidR="003717A0" w:rsidRDefault="003717A0">
            <w:pPr>
              <w:numPr>
                <w:ilvl w:val="0"/>
                <w:numId w:val="92"/>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作业规范，书写清晰；</w:t>
            </w:r>
          </w:p>
          <w:p w:rsidR="003717A0" w:rsidRDefault="003717A0">
            <w:pPr>
              <w:numPr>
                <w:ilvl w:val="0"/>
                <w:numId w:val="92"/>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答案正确。</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三、教师批改或讲评作业的数量和次数要求如下：</w:t>
            </w:r>
          </w:p>
          <w:p w:rsidR="003717A0" w:rsidRDefault="003717A0">
            <w:pPr>
              <w:numPr>
                <w:ilvl w:val="0"/>
                <w:numId w:val="93"/>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学生的作业要全批全改，并按时批改、讲评学生每次交来的作业；</w:t>
            </w:r>
          </w:p>
          <w:p w:rsidR="003717A0" w:rsidRDefault="003717A0">
            <w:pPr>
              <w:numPr>
                <w:ilvl w:val="0"/>
                <w:numId w:val="93"/>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教师批改或讲评作业要认真、细致，并写明日期；</w:t>
            </w:r>
          </w:p>
          <w:p w:rsidR="003717A0" w:rsidRDefault="003717A0">
            <w:pPr>
              <w:numPr>
                <w:ilvl w:val="0"/>
                <w:numId w:val="93"/>
              </w:numPr>
              <w:autoSpaceDE w:val="0"/>
              <w:autoSpaceDN w:val="0"/>
              <w:adjustRightInd w:val="0"/>
              <w:snapToGrid w:val="0"/>
              <w:spacing w:line="360" w:lineRule="exact"/>
              <w:jc w:val="left"/>
              <w:rPr>
                <w:sz w:val="22"/>
              </w:rPr>
            </w:pPr>
            <w:r>
              <w:rPr>
                <w:rFonts w:ascii="Times New Roman" w:hAnsi="宋体" w:hint="eastAsia"/>
                <w:szCs w:val="21"/>
              </w:rPr>
              <w:t>期末按百分制评出每个学生作业的总评成绩，作为本课程学期总评成绩中平时成绩的重要组成部分。</w:t>
            </w:r>
          </w:p>
        </w:tc>
      </w:tr>
      <w:tr w:rsidR="003717A0">
        <w:trPr>
          <w:cantSplit/>
          <w:trHeight w:val="4"/>
          <w:jc w:val="center"/>
        </w:trPr>
        <w:tc>
          <w:tcPr>
            <w:tcW w:w="396" w:type="dxa"/>
            <w:vMerge/>
            <w:vAlign w:val="center"/>
          </w:tcPr>
          <w:p w:rsidR="003717A0" w:rsidRDefault="003717A0">
            <w:pPr>
              <w:spacing w:line="340" w:lineRule="exact"/>
              <w:ind w:left="113" w:right="113"/>
              <w:jc w:val="center"/>
              <w:rPr>
                <w:rFonts w:ascii="黑体" w:eastAsia="黑体"/>
                <w:b/>
                <w:sz w:val="24"/>
                <w:szCs w:val="24"/>
              </w:rPr>
            </w:pPr>
          </w:p>
        </w:tc>
        <w:tc>
          <w:tcPr>
            <w:tcW w:w="682"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105" w:type="dxa"/>
            <w:vAlign w:val="center"/>
          </w:tcPr>
          <w:p w:rsidR="003717A0" w:rsidRDefault="003717A0">
            <w:pPr>
              <w:autoSpaceDE w:val="0"/>
              <w:autoSpaceDN w:val="0"/>
              <w:adjustRightInd w:val="0"/>
              <w:snapToGrid w:val="0"/>
              <w:spacing w:line="360" w:lineRule="exact"/>
              <w:ind w:firstLineChars="193" w:firstLine="405"/>
              <w:jc w:val="left"/>
              <w:rPr>
                <w:rFonts w:ascii="宋体"/>
                <w:kern w:val="0"/>
                <w:szCs w:val="21"/>
              </w:rPr>
            </w:pPr>
            <w:r>
              <w:rPr>
                <w:rFonts w:ascii="宋体" w:hAnsi="宋体" w:hint="eastAsia"/>
                <w:szCs w:val="21"/>
              </w:rPr>
              <w:t>在教室内，多与学生进行面对面的交流互动，同时充分利用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4"/>
          <w:jc w:val="center"/>
        </w:trPr>
        <w:tc>
          <w:tcPr>
            <w:tcW w:w="396" w:type="dxa"/>
            <w:vMerge/>
            <w:vAlign w:val="center"/>
          </w:tcPr>
          <w:p w:rsidR="003717A0" w:rsidRDefault="003717A0">
            <w:pPr>
              <w:spacing w:line="340" w:lineRule="exact"/>
              <w:ind w:left="113" w:right="113"/>
              <w:jc w:val="center"/>
              <w:rPr>
                <w:rFonts w:ascii="黑体" w:eastAsia="黑体"/>
                <w:b/>
                <w:sz w:val="24"/>
                <w:szCs w:val="24"/>
              </w:rPr>
            </w:pPr>
          </w:p>
        </w:tc>
        <w:tc>
          <w:tcPr>
            <w:tcW w:w="682"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105" w:type="dxa"/>
            <w:vAlign w:val="center"/>
          </w:tcPr>
          <w:p w:rsidR="003717A0" w:rsidRDefault="003717A0">
            <w:pPr>
              <w:autoSpaceDE w:val="0"/>
              <w:autoSpaceDN w:val="0"/>
              <w:adjustRightInd w:val="0"/>
              <w:snapToGrid w:val="0"/>
              <w:spacing w:line="360" w:lineRule="exact"/>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9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平时作业占总评成绩的</w:t>
            </w:r>
            <w:r>
              <w:rPr>
                <w:rFonts w:ascii="Times New Roman" w:hAnsi="宋体"/>
                <w:szCs w:val="21"/>
              </w:rPr>
              <w:t>30%</w:t>
            </w:r>
            <w:r>
              <w:rPr>
                <w:rFonts w:ascii="Times New Roman" w:hAnsi="宋体" w:hint="eastAsia"/>
                <w:szCs w:val="21"/>
              </w:rPr>
              <w:t>；</w:t>
            </w:r>
          </w:p>
          <w:p w:rsidR="003717A0" w:rsidRDefault="003717A0">
            <w:pPr>
              <w:numPr>
                <w:ilvl w:val="0"/>
                <w:numId w:val="9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70%</w:t>
            </w:r>
            <w:r>
              <w:rPr>
                <w:rFonts w:ascii="Times New Roman" w:hAnsi="宋体" w:hint="eastAsia"/>
                <w:szCs w:val="21"/>
              </w:rPr>
              <w:t>；</w:t>
            </w:r>
          </w:p>
          <w:p w:rsidR="003717A0" w:rsidRDefault="003717A0">
            <w:pPr>
              <w:numPr>
                <w:ilvl w:val="0"/>
                <w:numId w:val="94"/>
              </w:num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exact"/>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5"/>
          <w:jc w:val="center"/>
        </w:trPr>
        <w:tc>
          <w:tcPr>
            <w:tcW w:w="396" w:type="dxa"/>
            <w:vMerge/>
            <w:vAlign w:val="center"/>
          </w:tcPr>
          <w:p w:rsidR="003717A0" w:rsidRDefault="003717A0">
            <w:pPr>
              <w:spacing w:line="340" w:lineRule="exact"/>
              <w:ind w:left="113" w:right="113"/>
              <w:jc w:val="center"/>
              <w:rPr>
                <w:rFonts w:ascii="黑体" w:eastAsia="黑体"/>
                <w:b/>
                <w:sz w:val="24"/>
                <w:szCs w:val="24"/>
              </w:rPr>
            </w:pPr>
          </w:p>
        </w:tc>
        <w:tc>
          <w:tcPr>
            <w:tcW w:w="682"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105" w:type="dxa"/>
            <w:vAlign w:val="center"/>
          </w:tcPr>
          <w:p w:rsidR="003717A0" w:rsidRDefault="003717A0">
            <w:pPr>
              <w:autoSpaceDE w:val="0"/>
              <w:autoSpaceDN w:val="0"/>
              <w:adjustRightInd w:val="0"/>
              <w:snapToGrid w:val="0"/>
              <w:spacing w:line="360" w:lineRule="exact"/>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w:t>
            </w:r>
          </w:p>
        </w:tc>
      </w:tr>
      <w:tr w:rsidR="003717A0">
        <w:trPr>
          <w:cantSplit/>
          <w:trHeight w:val="3"/>
          <w:jc w:val="center"/>
        </w:trPr>
        <w:tc>
          <w:tcPr>
            <w:tcW w:w="1078"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8105" w:type="dxa"/>
            <w:vAlign w:val="center"/>
          </w:tcPr>
          <w:p w:rsidR="003717A0" w:rsidRDefault="003717A0">
            <w:pPr>
              <w:spacing w:line="360" w:lineRule="exact"/>
            </w:pPr>
          </w:p>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45" w:name="_Toc469312985"/>
      <w:bookmarkStart w:id="46" w:name="_Toc471830697"/>
      <w:r w:rsidRPr="00F5156D">
        <w:rPr>
          <w:rFonts w:hint="eastAsia"/>
          <w:b/>
        </w:rPr>
        <w:lastRenderedPageBreak/>
        <w:t>《病理学》课程质量标准</w:t>
      </w:r>
      <w:bookmarkEnd w:id="45"/>
      <w:bookmarkEnd w:id="46"/>
    </w:p>
    <w:p w:rsidR="003717A0" w:rsidRPr="00F5156D" w:rsidRDefault="003717A0">
      <w:pPr>
        <w:pStyle w:val="Af9"/>
        <w:spacing w:line="360" w:lineRule="auto"/>
        <w:jc w:val="center"/>
        <w:rPr>
          <w:rFonts w:ascii="黑体" w:eastAsia="黑体" w:hAnsi="黑体" w:cs="黑体"/>
          <w:b/>
          <w:bCs/>
          <w:color w:val="auto"/>
          <w:sz w:val="32"/>
          <w:szCs w:val="32"/>
        </w:rPr>
      </w:pPr>
      <w:r w:rsidRPr="00F5156D">
        <w:rPr>
          <w:rFonts w:ascii="黑体" w:eastAsia="黑体" w:hAnsi="黑体" w:cs="黑体" w:hint="eastAsia"/>
          <w:b/>
          <w:bCs/>
          <w:color w:val="auto"/>
          <w:sz w:val="32"/>
          <w:szCs w:val="32"/>
        </w:rPr>
        <w:t>一、课程简介</w:t>
      </w:r>
    </w:p>
    <w:tbl>
      <w:tblPr>
        <w:tblW w:w="9286" w:type="dxa"/>
        <w:jc w:val="center"/>
        <w:tblInd w:w="108" w:type="dxa"/>
        <w:tblLayout w:type="fixed"/>
        <w:tblLook w:val="00A0"/>
      </w:tblPr>
      <w:tblGrid>
        <w:gridCol w:w="1668"/>
        <w:gridCol w:w="1523"/>
        <w:gridCol w:w="827"/>
        <w:gridCol w:w="697"/>
        <w:gridCol w:w="762"/>
        <w:gridCol w:w="443"/>
        <w:gridCol w:w="318"/>
        <w:gridCol w:w="414"/>
        <w:gridCol w:w="1110"/>
        <w:gridCol w:w="1524"/>
      </w:tblGrid>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课程名称</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病理学</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英译名称</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Pathology</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课程代码</w:t>
            </w:r>
          </w:p>
        </w:tc>
        <w:tc>
          <w:tcPr>
            <w:tcW w:w="23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 xml:space="preserve">170687 </w:t>
            </w:r>
          </w:p>
        </w:tc>
        <w:tc>
          <w:tcPr>
            <w:tcW w:w="19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课程开设学期</w:t>
            </w:r>
          </w:p>
        </w:tc>
        <w:tc>
          <w:tcPr>
            <w:tcW w:w="336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二</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课程学时</w:t>
            </w:r>
          </w:p>
        </w:tc>
        <w:tc>
          <w:tcPr>
            <w:tcW w:w="23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72</w:t>
            </w:r>
          </w:p>
        </w:tc>
        <w:tc>
          <w:tcPr>
            <w:tcW w:w="19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课程学分</w:t>
            </w:r>
          </w:p>
        </w:tc>
        <w:tc>
          <w:tcPr>
            <w:tcW w:w="336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4</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课程类型</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□公共基础课</w:t>
            </w:r>
            <w:r>
              <w:rPr>
                <w:rFonts w:ascii="宋体" w:hAnsi="宋体" w:cs="宋体" w:hint="eastAsia"/>
                <w:color w:val="auto"/>
              </w:rPr>
              <w:t>■</w:t>
            </w:r>
            <w:r>
              <w:rPr>
                <w:rFonts w:ascii="宋体" w:hAnsi="宋体" w:cs="宋体" w:hint="eastAsia"/>
                <w:color w:val="auto"/>
                <w:sz w:val="22"/>
                <w:szCs w:val="22"/>
              </w:rPr>
              <w:t>专业基础课□专业课□专业选修课□公共选修课</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授课学院</w:t>
            </w:r>
          </w:p>
        </w:tc>
        <w:tc>
          <w:tcPr>
            <w:tcW w:w="235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医学院</w:t>
            </w:r>
          </w:p>
        </w:tc>
        <w:tc>
          <w:tcPr>
            <w:tcW w:w="2634"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教学研究室</w:t>
            </w:r>
            <w:r>
              <w:rPr>
                <w:color w:val="auto"/>
                <w:sz w:val="22"/>
                <w:szCs w:val="22"/>
              </w:rPr>
              <w:t>/</w:t>
            </w:r>
            <w:r>
              <w:rPr>
                <w:rFonts w:ascii="宋体" w:hAnsi="宋体" w:cs="宋体" w:hint="eastAsia"/>
                <w:color w:val="auto"/>
                <w:sz w:val="22"/>
                <w:szCs w:val="22"/>
              </w:rPr>
              <w:t>系</w:t>
            </w:r>
          </w:p>
        </w:tc>
        <w:tc>
          <w:tcPr>
            <w:tcW w:w="263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病理解剖学</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教材名称</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病理学</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rPr>
                <w:rFonts w:ascii="宋体" w:cs="宋体"/>
                <w:color w:val="auto"/>
                <w:sz w:val="22"/>
                <w:szCs w:val="22"/>
              </w:rPr>
            </w:pPr>
            <w:r>
              <w:rPr>
                <w:rFonts w:ascii="宋体" w:hAnsi="宋体" w:cs="宋体" w:hint="eastAsia"/>
                <w:color w:val="auto"/>
                <w:sz w:val="22"/>
                <w:szCs w:val="22"/>
              </w:rPr>
              <w:t>教材出版信息</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rFonts w:ascii="宋体" w:hAnsi="宋体" w:cs="宋体" w:hint="eastAsia"/>
                <w:color w:val="auto"/>
                <w:sz w:val="22"/>
                <w:szCs w:val="22"/>
              </w:rPr>
              <w:t>科学出版社，</w:t>
            </w:r>
            <w:r>
              <w:rPr>
                <w:color w:val="auto"/>
                <w:sz w:val="22"/>
                <w:szCs w:val="22"/>
              </w:rPr>
              <w:t>2010</w:t>
            </w:r>
            <w:r>
              <w:rPr>
                <w:rFonts w:ascii="宋体" w:hAnsi="宋体" w:cs="宋体" w:hint="eastAsia"/>
                <w:color w:val="auto"/>
                <w:sz w:val="22"/>
                <w:szCs w:val="22"/>
              </w:rPr>
              <w:t>年</w:t>
            </w:r>
            <w:r>
              <w:rPr>
                <w:color w:val="auto"/>
                <w:sz w:val="22"/>
                <w:szCs w:val="22"/>
              </w:rPr>
              <w:t>12</w:t>
            </w:r>
            <w:r>
              <w:rPr>
                <w:rFonts w:ascii="宋体" w:hAnsi="宋体" w:cs="宋体" w:hint="eastAsia"/>
                <w:color w:val="auto"/>
                <w:sz w:val="22"/>
                <w:szCs w:val="22"/>
              </w:rPr>
              <w:t>月第</w:t>
            </w:r>
            <w:r>
              <w:rPr>
                <w:color w:val="auto"/>
                <w:sz w:val="22"/>
                <w:szCs w:val="22"/>
              </w:rPr>
              <w:t>2</w:t>
            </w:r>
            <w:r>
              <w:rPr>
                <w:rFonts w:ascii="宋体" w:hAnsi="宋体" w:cs="宋体" w:hint="eastAsia"/>
                <w:color w:val="auto"/>
                <w:sz w:val="22"/>
                <w:szCs w:val="22"/>
              </w:rPr>
              <w:t>版，书号：</w:t>
            </w:r>
            <w:r>
              <w:rPr>
                <w:color w:val="auto"/>
                <w:sz w:val="22"/>
                <w:szCs w:val="22"/>
              </w:rPr>
              <w:t>ISBN 978-7-03-029940-6</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教材性质</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rPr>
                <w:rFonts w:ascii="宋体" w:cs="宋体"/>
                <w:color w:val="auto"/>
                <w:sz w:val="22"/>
                <w:szCs w:val="22"/>
              </w:rPr>
            </w:pPr>
            <w:r>
              <w:rPr>
                <w:rFonts w:ascii="宋体" w:hAnsi="宋体" w:cs="宋体" w:hint="eastAsia"/>
                <w:color w:val="auto"/>
                <w:sz w:val="22"/>
                <w:szCs w:val="22"/>
              </w:rPr>
              <w:t>□国家</w:t>
            </w:r>
            <w:r>
              <w:rPr>
                <w:rFonts w:ascii="宋体" w:hAnsi="宋体" w:cs="宋体" w:hint="eastAsia"/>
                <w:color w:val="auto"/>
              </w:rPr>
              <w:t>■</w:t>
            </w:r>
            <w:r>
              <w:rPr>
                <w:rFonts w:ascii="宋体" w:hAnsi="宋体" w:cs="宋体" w:hint="eastAsia"/>
                <w:color w:val="auto"/>
                <w:sz w:val="22"/>
                <w:szCs w:val="22"/>
              </w:rPr>
              <w:t>部级规划□省级规划□自编□其他</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考核方式</w:t>
            </w:r>
          </w:p>
        </w:tc>
        <w:tc>
          <w:tcPr>
            <w:tcW w:w="7618"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rPr>
                <w:rFonts w:ascii="宋体" w:cs="宋体"/>
                <w:color w:val="auto"/>
                <w:sz w:val="22"/>
                <w:szCs w:val="22"/>
              </w:rPr>
            </w:pPr>
            <w:r>
              <w:rPr>
                <w:rFonts w:ascii="宋体" w:hAnsi="宋体" w:cs="宋体" w:hint="eastAsia"/>
                <w:color w:val="auto"/>
              </w:rPr>
              <w:t>■</w:t>
            </w:r>
            <w:r>
              <w:rPr>
                <w:rFonts w:ascii="宋体" w:hAnsi="宋体" w:cs="宋体" w:hint="eastAsia"/>
                <w:color w:val="auto"/>
                <w:sz w:val="22"/>
                <w:szCs w:val="22"/>
              </w:rPr>
              <w:t>考试□考查□开卷</w:t>
            </w:r>
            <w:r>
              <w:rPr>
                <w:rFonts w:ascii="宋体" w:hAnsi="宋体" w:cs="宋体" w:hint="eastAsia"/>
                <w:color w:val="auto"/>
              </w:rPr>
              <w:t>■</w:t>
            </w:r>
            <w:r>
              <w:rPr>
                <w:rFonts w:ascii="宋体" w:hAnsi="宋体" w:cs="宋体" w:hint="eastAsia"/>
                <w:color w:val="auto"/>
                <w:sz w:val="22"/>
                <w:szCs w:val="22"/>
              </w:rPr>
              <w:t>闭卷□课程设计□学期论文□其他</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课程成绩</w:t>
            </w:r>
          </w:p>
        </w:tc>
        <w:tc>
          <w:tcPr>
            <w:tcW w:w="380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left"/>
              <w:rPr>
                <w:color w:val="auto"/>
                <w:sz w:val="22"/>
                <w:szCs w:val="22"/>
              </w:rPr>
            </w:pPr>
            <w:r>
              <w:rPr>
                <w:rFonts w:ascii="宋体" w:hAnsi="宋体" w:cs="宋体" w:hint="eastAsia"/>
                <w:color w:val="auto"/>
                <w:sz w:val="22"/>
                <w:szCs w:val="22"/>
              </w:rPr>
              <w:t>平时成绩</w:t>
            </w:r>
            <w:r>
              <w:rPr>
                <w:color w:val="auto"/>
                <w:sz w:val="22"/>
                <w:szCs w:val="22"/>
              </w:rPr>
              <w:t>30%</w:t>
            </w:r>
          </w:p>
        </w:tc>
        <w:tc>
          <w:tcPr>
            <w:tcW w:w="3809"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left"/>
              <w:rPr>
                <w:color w:val="auto"/>
                <w:sz w:val="22"/>
                <w:szCs w:val="22"/>
              </w:rPr>
            </w:pPr>
            <w:r>
              <w:rPr>
                <w:rFonts w:ascii="宋体" w:hAnsi="宋体" w:cs="宋体" w:hint="eastAsia"/>
                <w:color w:val="auto"/>
                <w:sz w:val="22"/>
                <w:szCs w:val="22"/>
              </w:rPr>
              <w:t>期末成绩</w:t>
            </w:r>
            <w:r>
              <w:rPr>
                <w:color w:val="auto"/>
                <w:sz w:val="22"/>
                <w:szCs w:val="22"/>
              </w:rPr>
              <w:t>70%</w:t>
            </w:r>
          </w:p>
        </w:tc>
      </w:tr>
      <w:tr w:rsidR="003717A0">
        <w:trPr>
          <w:cantSplit/>
          <w:trHeight w:val="485"/>
          <w:jc w:val="center"/>
        </w:trPr>
        <w:tc>
          <w:tcPr>
            <w:tcW w:w="9286" w:type="dxa"/>
            <w:gridSpan w:val="10"/>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rPr>
                <w:rFonts w:ascii="宋体" w:cs="宋体"/>
                <w:color w:val="auto"/>
                <w:sz w:val="22"/>
                <w:szCs w:val="22"/>
              </w:rPr>
            </w:pPr>
            <w:r>
              <w:rPr>
                <w:rFonts w:ascii="宋体" w:hAnsi="宋体" w:cs="宋体" w:hint="eastAsia"/>
                <w:color w:val="auto"/>
                <w:sz w:val="22"/>
                <w:szCs w:val="22"/>
              </w:rPr>
              <w:t>课程负责人及团队骨干（五人以内）</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姓名</w:t>
            </w:r>
          </w:p>
        </w:tc>
        <w:tc>
          <w:tcPr>
            <w:tcW w:w="1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性别</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学历</w:t>
            </w:r>
          </w:p>
        </w:tc>
        <w:tc>
          <w:tcPr>
            <w:tcW w:w="15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学位</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职称</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从教时间</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陈莉</w:t>
            </w:r>
          </w:p>
        </w:tc>
        <w:tc>
          <w:tcPr>
            <w:tcW w:w="1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女</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研究生</w:t>
            </w:r>
          </w:p>
        </w:tc>
        <w:tc>
          <w:tcPr>
            <w:tcW w:w="15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硕</w:t>
            </w:r>
            <w:r>
              <w:rPr>
                <w:rFonts w:ascii="宋体" w:hAnsi="宋体" w:cs="宋体"/>
                <w:color w:val="auto"/>
                <w:sz w:val="22"/>
                <w:szCs w:val="22"/>
              </w:rPr>
              <w:t xml:space="preserve"> </w:t>
            </w:r>
            <w:r>
              <w:rPr>
                <w:rFonts w:ascii="宋体" w:hAnsi="宋体" w:cs="宋体" w:hint="eastAsia"/>
                <w:color w:val="auto"/>
                <w:sz w:val="22"/>
                <w:szCs w:val="22"/>
              </w:rPr>
              <w:t>士</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教</w:t>
            </w:r>
            <w:r>
              <w:rPr>
                <w:rFonts w:ascii="宋体" w:hAnsi="宋体" w:cs="宋体"/>
                <w:color w:val="auto"/>
                <w:sz w:val="22"/>
                <w:szCs w:val="22"/>
              </w:rPr>
              <w:t xml:space="preserve">  </w:t>
            </w:r>
            <w:r>
              <w:rPr>
                <w:rFonts w:ascii="宋体" w:hAnsi="宋体" w:cs="宋体" w:hint="eastAsia"/>
                <w:color w:val="auto"/>
                <w:sz w:val="22"/>
                <w:szCs w:val="22"/>
              </w:rPr>
              <w:t>授</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1980.1</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王东林</w:t>
            </w:r>
          </w:p>
        </w:tc>
        <w:tc>
          <w:tcPr>
            <w:tcW w:w="1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男</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研究生</w:t>
            </w:r>
          </w:p>
        </w:tc>
        <w:tc>
          <w:tcPr>
            <w:tcW w:w="15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硕</w:t>
            </w:r>
            <w:r>
              <w:rPr>
                <w:rFonts w:ascii="宋体" w:hAnsi="宋体" w:cs="宋体"/>
                <w:color w:val="auto"/>
                <w:sz w:val="22"/>
                <w:szCs w:val="22"/>
              </w:rPr>
              <w:t xml:space="preserve"> </w:t>
            </w:r>
            <w:r>
              <w:rPr>
                <w:rFonts w:ascii="宋体" w:hAnsi="宋体" w:cs="宋体" w:hint="eastAsia"/>
                <w:color w:val="auto"/>
                <w:sz w:val="22"/>
                <w:szCs w:val="22"/>
              </w:rPr>
              <w:t>士</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教</w:t>
            </w:r>
            <w:r>
              <w:rPr>
                <w:rFonts w:ascii="宋体" w:hAnsi="宋体" w:cs="宋体"/>
                <w:color w:val="auto"/>
                <w:sz w:val="22"/>
                <w:szCs w:val="22"/>
              </w:rPr>
              <w:t xml:space="preserve">  </w:t>
            </w:r>
            <w:r>
              <w:rPr>
                <w:rFonts w:ascii="宋体" w:hAnsi="宋体" w:cs="宋体" w:hint="eastAsia"/>
                <w:color w:val="auto"/>
                <w:sz w:val="22"/>
                <w:szCs w:val="22"/>
              </w:rPr>
              <w:t>授</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1984.8</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王桂兰</w:t>
            </w:r>
          </w:p>
        </w:tc>
        <w:tc>
          <w:tcPr>
            <w:tcW w:w="1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女</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研究生</w:t>
            </w:r>
          </w:p>
        </w:tc>
        <w:tc>
          <w:tcPr>
            <w:tcW w:w="15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硕</w:t>
            </w:r>
            <w:r>
              <w:rPr>
                <w:rFonts w:ascii="宋体" w:hAnsi="宋体" w:cs="宋体"/>
                <w:color w:val="auto"/>
                <w:sz w:val="22"/>
                <w:szCs w:val="22"/>
              </w:rPr>
              <w:t xml:space="preserve"> </w:t>
            </w:r>
            <w:r>
              <w:rPr>
                <w:rFonts w:ascii="宋体" w:hAnsi="宋体" w:cs="宋体" w:hint="eastAsia"/>
                <w:color w:val="auto"/>
                <w:sz w:val="22"/>
                <w:szCs w:val="22"/>
              </w:rPr>
              <w:t>士</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教</w:t>
            </w:r>
            <w:r>
              <w:rPr>
                <w:rFonts w:ascii="宋体" w:hAnsi="宋体" w:cs="宋体"/>
                <w:color w:val="auto"/>
                <w:sz w:val="22"/>
                <w:szCs w:val="22"/>
              </w:rPr>
              <w:t xml:space="preserve">  </w:t>
            </w:r>
            <w:r>
              <w:rPr>
                <w:rFonts w:ascii="宋体" w:hAnsi="宋体" w:cs="宋体" w:hint="eastAsia"/>
                <w:color w:val="auto"/>
                <w:sz w:val="22"/>
                <w:szCs w:val="22"/>
              </w:rPr>
              <w:t>授</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1987.8</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曹小蕾</w:t>
            </w:r>
          </w:p>
        </w:tc>
        <w:tc>
          <w:tcPr>
            <w:tcW w:w="1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女</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研究生</w:t>
            </w:r>
          </w:p>
        </w:tc>
        <w:tc>
          <w:tcPr>
            <w:tcW w:w="15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硕士</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副教授</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1989.8</w:t>
            </w:r>
          </w:p>
        </w:tc>
      </w:tr>
      <w:tr w:rsidR="003717A0">
        <w:trPr>
          <w:cantSplit/>
          <w:trHeight w:val="485"/>
          <w:jc w:val="center"/>
        </w:trPr>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陆锦标</w:t>
            </w:r>
          </w:p>
        </w:tc>
        <w:tc>
          <w:tcPr>
            <w:tcW w:w="1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男</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研究生</w:t>
            </w:r>
          </w:p>
        </w:tc>
        <w:tc>
          <w:tcPr>
            <w:tcW w:w="152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博士</w:t>
            </w:r>
          </w:p>
        </w:tc>
        <w:tc>
          <w:tcPr>
            <w:tcW w:w="152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rFonts w:ascii="宋体" w:cs="宋体"/>
                <w:color w:val="auto"/>
                <w:sz w:val="22"/>
                <w:szCs w:val="22"/>
              </w:rPr>
            </w:pPr>
            <w:r>
              <w:rPr>
                <w:rFonts w:ascii="宋体" w:hAnsi="宋体" w:cs="宋体" w:hint="eastAsia"/>
                <w:color w:val="auto"/>
                <w:sz w:val="22"/>
                <w:szCs w:val="22"/>
              </w:rPr>
              <w:t>副教授</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jc w:val="center"/>
              <w:rPr>
                <w:color w:val="auto"/>
                <w:sz w:val="22"/>
                <w:szCs w:val="22"/>
              </w:rPr>
            </w:pPr>
            <w:r>
              <w:rPr>
                <w:color w:val="auto"/>
                <w:sz w:val="22"/>
                <w:szCs w:val="22"/>
              </w:rPr>
              <w:t>1989.8</w:t>
            </w:r>
          </w:p>
        </w:tc>
      </w:tr>
      <w:tr w:rsidR="003717A0">
        <w:trPr>
          <w:cantSplit/>
          <w:trHeight w:val="485"/>
          <w:jc w:val="center"/>
        </w:trPr>
        <w:tc>
          <w:tcPr>
            <w:tcW w:w="9286" w:type="dxa"/>
            <w:gridSpan w:val="10"/>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before="0" w:after="0" w:line="500" w:lineRule="exact"/>
              <w:rPr>
                <w:rFonts w:ascii="宋体" w:cs="宋体"/>
                <w:color w:val="auto"/>
                <w:sz w:val="22"/>
                <w:szCs w:val="22"/>
              </w:rPr>
            </w:pPr>
            <w:r>
              <w:rPr>
                <w:rFonts w:ascii="宋体" w:hAnsi="宋体" w:cs="宋体" w:hint="eastAsia"/>
                <w:color w:val="auto"/>
                <w:sz w:val="22"/>
                <w:szCs w:val="22"/>
              </w:rPr>
              <w:lastRenderedPageBreak/>
              <w:t>课程简介</w:t>
            </w:r>
          </w:p>
        </w:tc>
      </w:tr>
      <w:tr w:rsidR="003717A0">
        <w:trPr>
          <w:cantSplit/>
          <w:trHeight w:val="6621"/>
          <w:jc w:val="center"/>
        </w:trPr>
        <w:tc>
          <w:tcPr>
            <w:tcW w:w="9286" w:type="dxa"/>
            <w:gridSpan w:val="10"/>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480" w:lineRule="exact"/>
              <w:ind w:firstLineChars="200" w:firstLine="420"/>
              <w:rPr>
                <w:rFonts w:ascii="宋体" w:cs="宋体"/>
                <w:color w:val="auto"/>
              </w:rPr>
            </w:pPr>
            <w:r>
              <w:rPr>
                <w:rFonts w:ascii="宋体" w:hAnsi="宋体" w:cs="宋体" w:hint="eastAsia"/>
                <w:color w:val="auto"/>
              </w:rPr>
              <w:t>病理学是一门运自然科学的方法研究疾病的形态结构、代谢和功能等方面的改变，从而揭示疾病的病因、发病机制和转归的医学基础学科。病理学不仅是重要的医学本科专业学生的专业基础必修主干课程和学位课程，更是连接基础医学和临床医学的重要桥梁。病理学也是一门高度实践性的学科，不仅在临床诊断工作中不可缺少，而且其研究方法与手段也是医学研究的重要组成部分。病理学包括总论和各论两大部分。总论概括介绍细胞组织损伤、血液循环障碍、炎症和肿瘤等疾病发生、发展的共同规律。各论介绍心血管、呼吸、消化、泌尿、生殖、淋巴造血、内分泌和神经等系统的常见病和多发病，以及常见的传染病。教学内容以常见病、多发病为重点。在教学过程中必须坚持理论联系实际的原则，加强实践性教学环节和启发式教学。本课程教学的主要路径与方法：（</w:t>
            </w:r>
            <w:r>
              <w:rPr>
                <w:color w:val="auto"/>
              </w:rPr>
              <w:t>1</w:t>
            </w:r>
            <w:r>
              <w:rPr>
                <w:rFonts w:ascii="宋体" w:hAnsi="宋体" w:cs="宋体" w:hint="eastAsia"/>
                <w:color w:val="auto"/>
              </w:rPr>
              <w:t>）采用多种现代化教学技术和手段，做到课堂讲授为引导，考试为检查手段，采取精讲、略讲和自学相结合的原则，配合选修课专题讲座，提高教学效力；（</w:t>
            </w:r>
            <w:r>
              <w:rPr>
                <w:color w:val="auto"/>
              </w:rPr>
              <w:t>2</w:t>
            </w:r>
            <w:r>
              <w:rPr>
                <w:rFonts w:ascii="宋体" w:hAnsi="宋体" w:cs="宋体" w:hint="eastAsia"/>
                <w:color w:val="auto"/>
              </w:rPr>
              <w:t>）使用病理标本成列室，使学生辨认主要脏器常见疾病的大体病理改变，并准确的描述该病理变化，配合选修课临床病例讨论情景教学，理解其病理与临床的联系；（</w:t>
            </w:r>
            <w:r>
              <w:rPr>
                <w:color w:val="auto"/>
              </w:rPr>
              <w:t>3</w:t>
            </w:r>
            <w:r>
              <w:rPr>
                <w:rFonts w:ascii="宋体" w:hAnsi="宋体" w:cs="宋体" w:hint="eastAsia"/>
                <w:color w:val="auto"/>
              </w:rPr>
              <w:t>）使用显微数码互动实验教学系统，及数字化病理教学切片，使学生在光镜下能识别主要脏器常见疾病的组织病理学改变，并具备计算机截图、制图等基本技能；（</w:t>
            </w:r>
            <w:r>
              <w:rPr>
                <w:color w:val="auto"/>
              </w:rPr>
              <w:t>4</w:t>
            </w:r>
            <w:r>
              <w:rPr>
                <w:rFonts w:ascii="宋体" w:hAnsi="宋体" w:cs="宋体" w:hint="eastAsia"/>
                <w:color w:val="auto"/>
              </w:rPr>
              <w:t>）根据课程进度适时安排学生论坛专题和病例讨论，拓展知识面，开阔视野。（</w:t>
            </w:r>
            <w:r>
              <w:rPr>
                <w:color w:val="auto"/>
              </w:rPr>
              <w:t>5</w:t>
            </w:r>
            <w:r>
              <w:rPr>
                <w:rFonts w:ascii="宋体" w:hAnsi="宋体" w:cs="宋体" w:hint="eastAsia"/>
                <w:color w:val="auto"/>
              </w:rPr>
              <w:t>）利用参考书和校园网上医学形态学数字化教学平台等对疾病的病理形态学进行自学、复习和自测，辅导学生逐步形成自主学习的能力，调动学生自主学习、主动学习的意识和能力。通过本课程的教学要求学生能达到：掌握病理学的基本理论以及常见病的基本病理变化，</w:t>
            </w:r>
            <w:r>
              <w:rPr>
                <w:rFonts w:ascii="宋体" w:hAnsi="宋体" w:cs="宋体" w:hint="eastAsia"/>
                <w:color w:val="auto"/>
                <w:kern w:val="0"/>
              </w:rPr>
              <w:t>能够用科学的语言描述疾病；</w:t>
            </w:r>
            <w:r>
              <w:rPr>
                <w:rFonts w:ascii="宋体" w:hAnsi="宋体" w:cs="宋体" w:hint="eastAsia"/>
                <w:color w:val="auto"/>
              </w:rPr>
              <w:t>而且能够尽早接触临床病例和科研，提高对疾病的独立观察和分析思考能力，使学生具有国际视野和阅读中英文专业文献的能力，深化对各种疾病局部与整体、现象与本质、个性与共性的认识，形成良好的临床思维模式及获取新知识和信息的技能，培养创新能力、自主学习和终身学习的能力，为后续学习临床医学课程打下坚实的基础。</w:t>
            </w:r>
          </w:p>
        </w:tc>
      </w:tr>
    </w:tbl>
    <w:p w:rsidR="003717A0" w:rsidRDefault="003717A0">
      <w:pPr>
        <w:pStyle w:val="Af9"/>
        <w:spacing w:line="360" w:lineRule="auto"/>
        <w:jc w:val="center"/>
        <w:rPr>
          <w:rFonts w:ascii="黑体" w:eastAsia="黑体" w:hAnsi="黑体" w:cs="黑体"/>
          <w:b/>
          <w:bCs/>
          <w:color w:val="auto"/>
          <w:sz w:val="30"/>
          <w:szCs w:val="30"/>
        </w:rPr>
      </w:pPr>
    </w:p>
    <w:p w:rsidR="003717A0" w:rsidRDefault="003717A0">
      <w:pPr>
        <w:pStyle w:val="Af9"/>
        <w:spacing w:line="360" w:lineRule="auto"/>
        <w:jc w:val="center"/>
        <w:rPr>
          <w:rFonts w:ascii="黑体" w:eastAsia="黑体" w:hAnsi="黑体" w:cs="黑体"/>
          <w:b/>
          <w:bCs/>
          <w:color w:val="auto"/>
          <w:sz w:val="30"/>
          <w:szCs w:val="30"/>
        </w:rPr>
      </w:pPr>
    </w:p>
    <w:p w:rsidR="003717A0" w:rsidRDefault="003717A0">
      <w:pPr>
        <w:pStyle w:val="Af9"/>
        <w:spacing w:line="360" w:lineRule="auto"/>
        <w:jc w:val="center"/>
        <w:rPr>
          <w:rFonts w:ascii="黑体" w:eastAsia="黑体" w:hAnsi="黑体" w:cs="黑体"/>
          <w:b/>
          <w:bCs/>
          <w:color w:val="auto"/>
          <w:sz w:val="30"/>
          <w:szCs w:val="30"/>
        </w:rPr>
      </w:pPr>
    </w:p>
    <w:p w:rsidR="003717A0" w:rsidRDefault="003717A0">
      <w:pPr>
        <w:pStyle w:val="Af9"/>
        <w:spacing w:line="360" w:lineRule="auto"/>
        <w:jc w:val="center"/>
        <w:rPr>
          <w:rFonts w:ascii="黑体" w:eastAsia="黑体" w:hAnsi="黑体" w:cs="黑体"/>
          <w:b/>
          <w:bCs/>
          <w:color w:val="auto"/>
          <w:sz w:val="30"/>
          <w:szCs w:val="30"/>
        </w:rPr>
      </w:pPr>
    </w:p>
    <w:p w:rsidR="003717A0" w:rsidRPr="00F5156D" w:rsidRDefault="003717A0">
      <w:pPr>
        <w:pStyle w:val="Af9"/>
        <w:spacing w:line="360" w:lineRule="auto"/>
        <w:jc w:val="center"/>
        <w:rPr>
          <w:rFonts w:ascii="黑体" w:eastAsia="黑体" w:hAnsi="黑体" w:cs="黑体"/>
          <w:b/>
          <w:bCs/>
          <w:color w:val="auto"/>
          <w:sz w:val="32"/>
          <w:szCs w:val="32"/>
        </w:rPr>
      </w:pPr>
      <w:r w:rsidRPr="00F5156D">
        <w:rPr>
          <w:rFonts w:ascii="黑体" w:eastAsia="黑体" w:hAnsi="黑体" w:cs="黑体" w:hint="eastAsia"/>
          <w:b/>
          <w:bCs/>
          <w:color w:val="auto"/>
          <w:sz w:val="32"/>
          <w:szCs w:val="32"/>
        </w:rPr>
        <w:lastRenderedPageBreak/>
        <w:t>二、课程教学大纲</w:t>
      </w:r>
    </w:p>
    <w:p w:rsidR="003717A0" w:rsidRDefault="003717A0">
      <w:pPr>
        <w:pStyle w:val="Af9"/>
        <w:spacing w:before="0" w:after="0" w:line="440" w:lineRule="exact"/>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（一）课程的基本信息</w:t>
      </w:r>
    </w:p>
    <w:p w:rsidR="003717A0" w:rsidRDefault="003717A0">
      <w:pPr>
        <w:pStyle w:val="Af9"/>
        <w:spacing w:before="0" w:after="0" w:line="360" w:lineRule="auto"/>
        <w:ind w:firstLine="405"/>
        <w:jc w:val="left"/>
        <w:rPr>
          <w:rFonts w:ascii="宋体" w:cs="宋体"/>
          <w:color w:val="auto"/>
          <w:kern w:val="0"/>
        </w:rPr>
      </w:pPr>
      <w:r>
        <w:rPr>
          <w:rFonts w:ascii="宋体" w:hAnsi="宋体" w:cs="宋体" w:hint="eastAsia"/>
          <w:color w:val="auto"/>
          <w:kern w:val="0"/>
        </w:rPr>
        <w:t>适应对象：本科层次，康复治疗学</w:t>
      </w:r>
    </w:p>
    <w:p w:rsidR="003717A0" w:rsidRDefault="003717A0">
      <w:pPr>
        <w:pStyle w:val="Af9"/>
        <w:spacing w:before="0" w:after="0" w:line="360" w:lineRule="auto"/>
        <w:ind w:firstLine="405"/>
        <w:jc w:val="left"/>
        <w:rPr>
          <w:rFonts w:ascii="Times New Roman" w:hAnsi="Times New Roman"/>
          <w:color w:val="auto"/>
          <w:sz w:val="24"/>
          <w:szCs w:val="24"/>
        </w:rPr>
      </w:pPr>
      <w:r>
        <w:rPr>
          <w:rFonts w:ascii="宋体" w:hAnsi="宋体" w:cs="宋体" w:hint="eastAsia"/>
          <w:color w:val="auto"/>
          <w:kern w:val="0"/>
        </w:rPr>
        <w:t>课程代码：</w:t>
      </w:r>
      <w:r>
        <w:rPr>
          <w:rFonts w:ascii="Times New Roman" w:eastAsia="Times New Roman"/>
          <w:color w:val="auto"/>
          <w:sz w:val="24"/>
          <w:szCs w:val="24"/>
        </w:rPr>
        <w:t>170649</w:t>
      </w:r>
    </w:p>
    <w:p w:rsidR="003717A0" w:rsidRDefault="003717A0">
      <w:pPr>
        <w:pStyle w:val="Af9"/>
        <w:spacing w:before="0" w:after="0" w:line="360" w:lineRule="auto"/>
        <w:ind w:firstLine="405"/>
        <w:jc w:val="left"/>
        <w:rPr>
          <w:rFonts w:ascii="宋体" w:cs="宋体"/>
          <w:color w:val="auto"/>
          <w:kern w:val="0"/>
        </w:rPr>
      </w:pPr>
      <w:r>
        <w:rPr>
          <w:rFonts w:ascii="宋体" w:hAnsi="宋体" w:cs="宋体" w:hint="eastAsia"/>
          <w:color w:val="auto"/>
          <w:kern w:val="0"/>
        </w:rPr>
        <w:t>学时分配：</w:t>
      </w:r>
      <w:r>
        <w:rPr>
          <w:rFonts w:ascii="Times New Roman"/>
          <w:color w:val="auto"/>
          <w:kern w:val="0"/>
        </w:rPr>
        <w:t>72</w:t>
      </w:r>
      <w:r>
        <w:rPr>
          <w:rFonts w:ascii="宋体" w:hAnsi="宋体" w:cs="宋体" w:hint="eastAsia"/>
          <w:color w:val="auto"/>
          <w:kern w:val="0"/>
        </w:rPr>
        <w:t>学时（理论学时</w:t>
      </w:r>
      <w:r>
        <w:rPr>
          <w:rFonts w:ascii="Times New Roman" w:eastAsia="Times New Roman"/>
          <w:color w:val="auto"/>
          <w:kern w:val="0"/>
        </w:rPr>
        <w:t>54</w:t>
      </w:r>
      <w:r>
        <w:rPr>
          <w:rFonts w:ascii="宋体" w:hAnsi="宋体" w:cs="宋体" w:hint="eastAsia"/>
          <w:color w:val="auto"/>
          <w:kern w:val="0"/>
        </w:rPr>
        <w:t>，实验学时</w:t>
      </w:r>
      <w:r>
        <w:rPr>
          <w:rFonts w:ascii="Times New Roman"/>
          <w:color w:val="auto"/>
          <w:kern w:val="0"/>
        </w:rPr>
        <w:t>18</w:t>
      </w:r>
      <w:r>
        <w:rPr>
          <w:rFonts w:ascii="宋体" w:hAnsi="宋体" w:cs="宋体" w:hint="eastAsia"/>
          <w:color w:val="auto"/>
          <w:kern w:val="0"/>
        </w:rPr>
        <w:t>）</w:t>
      </w:r>
    </w:p>
    <w:p w:rsidR="003717A0" w:rsidRDefault="003717A0">
      <w:pPr>
        <w:pStyle w:val="Af9"/>
        <w:spacing w:before="0" w:after="0" w:line="360" w:lineRule="auto"/>
        <w:ind w:leftChars="607" w:left="1275"/>
        <w:jc w:val="left"/>
        <w:rPr>
          <w:rFonts w:ascii="宋体" w:cs="宋体"/>
          <w:color w:val="auto"/>
        </w:rPr>
      </w:pPr>
      <w:r>
        <w:rPr>
          <w:rFonts w:ascii="宋体" w:hAnsi="宋体" w:cs="宋体" w:hint="eastAsia"/>
          <w:color w:val="auto"/>
        </w:rPr>
        <w:t>尸检见习和复习考试不计算在学时之内。</w:t>
      </w:r>
    </w:p>
    <w:p w:rsidR="003717A0" w:rsidRDefault="003717A0">
      <w:pPr>
        <w:pStyle w:val="Af9"/>
        <w:spacing w:before="0" w:after="0" w:line="360" w:lineRule="auto"/>
        <w:ind w:firstLine="405"/>
        <w:jc w:val="left"/>
        <w:rPr>
          <w:rFonts w:ascii="Times New Roman" w:hAnsi="Times New Roman"/>
          <w:color w:val="auto"/>
          <w:kern w:val="0"/>
        </w:rPr>
      </w:pPr>
      <w:r>
        <w:rPr>
          <w:rFonts w:ascii="宋体" w:hAnsi="宋体" w:cs="宋体" w:hint="eastAsia"/>
          <w:color w:val="auto"/>
          <w:kern w:val="0"/>
        </w:rPr>
        <w:t>赋予学分：</w:t>
      </w:r>
      <w:r>
        <w:rPr>
          <w:rFonts w:ascii="Times New Roman"/>
          <w:color w:val="auto"/>
          <w:kern w:val="0"/>
        </w:rPr>
        <w:t>4</w:t>
      </w:r>
    </w:p>
    <w:p w:rsidR="003717A0" w:rsidRDefault="003717A0">
      <w:pPr>
        <w:pStyle w:val="Af9"/>
        <w:spacing w:before="0" w:after="0" w:line="360" w:lineRule="auto"/>
        <w:ind w:firstLine="405"/>
        <w:jc w:val="left"/>
        <w:rPr>
          <w:rFonts w:ascii="Times New Roman" w:hAnsi="Times New Roman"/>
          <w:color w:val="auto"/>
          <w:kern w:val="0"/>
        </w:rPr>
      </w:pPr>
      <w:r>
        <w:rPr>
          <w:rFonts w:ascii="宋体" w:hAnsi="宋体" w:cs="宋体" w:hint="eastAsia"/>
          <w:color w:val="auto"/>
          <w:kern w:val="0"/>
        </w:rPr>
        <w:t>先修课程：医学细胞生物学、解剖学、组织与胚胎学、生理学、生化学</w:t>
      </w:r>
    </w:p>
    <w:p w:rsidR="003717A0" w:rsidRDefault="003717A0">
      <w:pPr>
        <w:pStyle w:val="Af9"/>
        <w:spacing w:before="0" w:after="0" w:line="360" w:lineRule="auto"/>
        <w:ind w:firstLine="405"/>
        <w:jc w:val="left"/>
        <w:rPr>
          <w:rFonts w:ascii="Times New Roman" w:hAnsi="Times New Roman"/>
          <w:color w:val="auto"/>
          <w:kern w:val="0"/>
        </w:rPr>
      </w:pPr>
      <w:r>
        <w:rPr>
          <w:rFonts w:ascii="宋体" w:hAnsi="宋体" w:cs="宋体" w:hint="eastAsia"/>
          <w:color w:val="auto"/>
          <w:kern w:val="0"/>
        </w:rPr>
        <w:t>后续课程：病理与病理生理学及后续的临床各专业课程</w:t>
      </w:r>
    </w:p>
    <w:p w:rsidR="003717A0" w:rsidRDefault="003717A0">
      <w:pPr>
        <w:pStyle w:val="Af9"/>
        <w:spacing w:before="0" w:after="0" w:line="360" w:lineRule="auto"/>
        <w:ind w:firstLine="405"/>
        <w:jc w:val="left"/>
        <w:rPr>
          <w:rFonts w:ascii="Times New Roman" w:hAnsi="Times New Roman"/>
          <w:color w:val="auto"/>
          <w:kern w:val="0"/>
        </w:rPr>
      </w:pPr>
      <w:r>
        <w:rPr>
          <w:rFonts w:ascii="宋体" w:hAnsi="宋体" w:cs="宋体" w:hint="eastAsia"/>
          <w:color w:val="auto"/>
          <w:kern w:val="0"/>
        </w:rPr>
        <w:t>同期开设选修课程：为配合理论教学开设</w:t>
      </w:r>
      <w:r>
        <w:rPr>
          <w:rFonts w:ascii="宋体" w:hAnsi="宋体" w:cs="宋体"/>
          <w:color w:val="auto"/>
          <w:kern w:val="0"/>
        </w:rPr>
        <w:t>30</w:t>
      </w:r>
      <w:r>
        <w:rPr>
          <w:rFonts w:ascii="宋体" w:hAnsi="宋体" w:cs="宋体" w:hint="eastAsia"/>
          <w:color w:val="auto"/>
          <w:kern w:val="0"/>
        </w:rPr>
        <w:t>学时的选修课《病理与临床专题讲座》</w:t>
      </w:r>
      <w:r>
        <w:rPr>
          <w:rFonts w:ascii="宋体" w:hAnsi="宋体" w:cs="宋体"/>
          <w:color w:val="auto"/>
          <w:kern w:val="0"/>
        </w:rPr>
        <w:t>2</w:t>
      </w:r>
      <w:r>
        <w:rPr>
          <w:rFonts w:ascii="宋体" w:hAnsi="宋体" w:cs="宋体" w:hint="eastAsia"/>
          <w:color w:val="auto"/>
          <w:kern w:val="0"/>
        </w:rPr>
        <w:t>学分，配合实验课教学开设</w:t>
      </w:r>
      <w:r>
        <w:rPr>
          <w:rFonts w:ascii="宋体" w:hAnsi="宋体" w:cs="宋体"/>
          <w:color w:val="auto"/>
          <w:kern w:val="0"/>
        </w:rPr>
        <w:t>18</w:t>
      </w:r>
      <w:r>
        <w:rPr>
          <w:rFonts w:ascii="宋体" w:hAnsi="宋体" w:cs="宋体" w:hint="eastAsia"/>
          <w:color w:val="auto"/>
          <w:kern w:val="0"/>
        </w:rPr>
        <w:t>学时的选修课《临床病例讨》论情景教学</w:t>
      </w:r>
      <w:r>
        <w:rPr>
          <w:rFonts w:ascii="宋体" w:hAnsi="宋体" w:cs="宋体"/>
          <w:color w:val="auto"/>
          <w:kern w:val="0"/>
        </w:rPr>
        <w:t>1</w:t>
      </w:r>
      <w:r>
        <w:rPr>
          <w:rFonts w:ascii="宋体" w:hAnsi="宋体" w:cs="宋体" w:hint="eastAsia"/>
          <w:color w:val="auto"/>
          <w:kern w:val="0"/>
        </w:rPr>
        <w:t>学分。</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（二）课程性质与任务：</w:t>
      </w:r>
    </w:p>
    <w:p w:rsidR="003717A0" w:rsidRDefault="003717A0">
      <w:pPr>
        <w:pStyle w:val="Af9"/>
        <w:spacing w:before="0" w:after="0" w:line="360" w:lineRule="auto"/>
        <w:ind w:firstLine="405"/>
        <w:jc w:val="left"/>
        <w:rPr>
          <w:rFonts w:ascii="Times New Roman" w:hAnsi="Times New Roman"/>
          <w:color w:val="auto"/>
          <w:kern w:val="0"/>
        </w:rPr>
      </w:pPr>
      <w:r>
        <w:rPr>
          <w:rFonts w:ascii="宋体" w:hAnsi="宋体" w:cs="宋体" w:hint="eastAsia"/>
          <w:color w:val="auto"/>
          <w:kern w:val="0"/>
        </w:rPr>
        <w:t>病理学作为研究人体疾病的病因、发病机制和病理改变的一门医学基础科学，包括了从病变分子水平到机体出现疾病中的功能和结构变化的相关知识。病理学研究目的是认识和掌握疾病的本质和发生、发展的规律，从而为防治疾病提供必要的理论基础和实践依据，因此病理学不仅是医学教育的主干课程和学位课程，还是基础学科与临床学科之间的桥梁学科。而且病理诊断被认为是临床疾病诊断的</w:t>
      </w:r>
      <w:r>
        <w:rPr>
          <w:color w:val="auto"/>
          <w:kern w:val="0"/>
        </w:rPr>
        <w:t>“</w:t>
      </w:r>
      <w:r>
        <w:rPr>
          <w:rFonts w:ascii="宋体" w:hAnsi="宋体" w:cs="宋体" w:hint="eastAsia"/>
          <w:color w:val="auto"/>
          <w:kern w:val="0"/>
        </w:rPr>
        <w:t>金标准</w:t>
      </w:r>
      <w:r>
        <w:rPr>
          <w:color w:val="auto"/>
          <w:kern w:val="0"/>
        </w:rPr>
        <w:t>”</w:t>
      </w:r>
      <w:r>
        <w:rPr>
          <w:rFonts w:ascii="宋体" w:hAnsi="宋体" w:cs="宋体" w:hint="eastAsia"/>
          <w:color w:val="auto"/>
          <w:kern w:val="0"/>
        </w:rPr>
        <w:t>，在医疗工作中发挥着重要作用。</w:t>
      </w:r>
    </w:p>
    <w:p w:rsidR="003717A0" w:rsidRDefault="003717A0">
      <w:pPr>
        <w:pStyle w:val="Af9"/>
        <w:spacing w:before="0" w:after="0" w:line="360" w:lineRule="auto"/>
        <w:ind w:firstLine="405"/>
        <w:jc w:val="left"/>
        <w:rPr>
          <w:rFonts w:ascii="Times New Roman" w:hAnsi="Times New Roman"/>
          <w:color w:val="auto"/>
          <w:kern w:val="0"/>
        </w:rPr>
      </w:pPr>
      <w:r>
        <w:rPr>
          <w:rFonts w:ascii="宋体" w:hAnsi="宋体" w:cs="宋体" w:hint="eastAsia"/>
          <w:color w:val="auto"/>
          <w:kern w:val="0"/>
        </w:rPr>
        <w:t>本课程</w:t>
      </w:r>
      <w:r>
        <w:rPr>
          <w:rFonts w:ascii="宋体" w:hAnsi="宋体" w:cs="宋体" w:hint="eastAsia"/>
          <w:color w:val="auto"/>
        </w:rPr>
        <w:t>教学内容以常见病、多发病为重点。在教学过程中采用双语教学，坚持理论联系实际，加强实践性教学环节和启发式教学。</w:t>
      </w:r>
      <w:r>
        <w:rPr>
          <w:rFonts w:ascii="宋体" w:hAnsi="宋体" w:cs="宋体" w:hint="eastAsia"/>
          <w:color w:val="auto"/>
          <w:kern w:val="0"/>
        </w:rPr>
        <w:t>病理学总论</w:t>
      </w:r>
      <w:r>
        <w:rPr>
          <w:rFonts w:ascii="宋体" w:hAnsi="宋体" w:cs="宋体" w:hint="eastAsia"/>
          <w:color w:val="auto"/>
        </w:rPr>
        <w:t>介绍细胞组织损伤、血液循环障碍、炎症和肿瘤等疾病发生、发展的共同规律；</w:t>
      </w:r>
      <w:r>
        <w:rPr>
          <w:rFonts w:ascii="宋体" w:hAnsi="宋体" w:cs="宋体" w:hint="eastAsia"/>
          <w:color w:val="auto"/>
          <w:kern w:val="0"/>
        </w:rPr>
        <w:t>病理学各论介绍具体疾病的病变过程、特殊规律和特殊表现，</w:t>
      </w:r>
      <w:r>
        <w:rPr>
          <w:rFonts w:ascii="宋体" w:hAnsi="宋体" w:cs="宋体" w:hint="eastAsia"/>
          <w:color w:val="auto"/>
        </w:rPr>
        <w:t>包括心血管、呼吸、消化、泌尿、生殖等系统的常见病和多发病，以及常见的传染病。</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（三）教学目的与要求</w:t>
      </w:r>
    </w:p>
    <w:p w:rsidR="003717A0" w:rsidRDefault="003717A0">
      <w:pPr>
        <w:pStyle w:val="Af9"/>
        <w:spacing w:before="0" w:after="0" w:line="360" w:lineRule="auto"/>
        <w:ind w:firstLineChars="200" w:firstLine="420"/>
        <w:jc w:val="left"/>
        <w:rPr>
          <w:rFonts w:ascii="Times New Roman" w:hAnsi="Times New Roman"/>
          <w:color w:val="auto"/>
          <w:kern w:val="0"/>
        </w:rPr>
      </w:pPr>
      <w:r>
        <w:rPr>
          <w:rFonts w:ascii="宋体" w:hAnsi="宋体" w:cs="宋体" w:hint="eastAsia"/>
          <w:color w:val="auto"/>
          <w:kern w:val="0"/>
        </w:rPr>
        <w:t>通过本课程的学习，要求学生对人体疾病发生过程和主要器官的病理改变能有较系统的认识，了解常见疾病的病因、发病机制、掌握其</w:t>
      </w:r>
      <w:r>
        <w:rPr>
          <w:rFonts w:ascii="宋体" w:hAnsi="宋体" w:cs="宋体" w:hint="eastAsia"/>
          <w:color w:val="auto"/>
        </w:rPr>
        <w:t>基本病理变化的特点</w:t>
      </w:r>
      <w:r>
        <w:rPr>
          <w:rFonts w:ascii="宋体" w:hAnsi="宋体" w:cs="宋体" w:hint="eastAsia"/>
          <w:color w:val="auto"/>
          <w:kern w:val="0"/>
        </w:rPr>
        <w:t>；熟悉其病理变化与临床的联系，能够用科学的语言描述疾病，并记住中英文疾病名称，正确使用显微镜观察病理切片与计算机制图技能；</w:t>
      </w:r>
      <w:r>
        <w:rPr>
          <w:rFonts w:ascii="宋体" w:hAnsi="宋体" w:cs="宋体" w:hint="eastAsia"/>
          <w:color w:val="auto"/>
        </w:rPr>
        <w:t>尽早接触临床和科研实践，</w:t>
      </w:r>
      <w:r>
        <w:rPr>
          <w:rFonts w:ascii="宋体" w:hAnsi="宋体" w:cs="宋体" w:hint="eastAsia"/>
          <w:color w:val="auto"/>
          <w:kern w:val="0"/>
        </w:rPr>
        <w:t>逐步培养学生收集资料、进行病例讨论和自主学习、交流和辩论能力，</w:t>
      </w:r>
      <w:r>
        <w:rPr>
          <w:rFonts w:ascii="宋体" w:hAnsi="宋体" w:cs="宋体" w:hint="eastAsia"/>
          <w:color w:val="auto"/>
        </w:rPr>
        <w:t>提高对各种疾病局部与整体、现象与本质、特性与共性的认识，形成良好的临床思维及获取新知识和信息的技能，培养创新能力、</w:t>
      </w:r>
      <w:r>
        <w:rPr>
          <w:rFonts w:ascii="宋体" w:hAnsi="宋体" w:cs="宋体" w:hint="eastAsia"/>
          <w:color w:val="auto"/>
          <w:kern w:val="0"/>
        </w:rPr>
        <w:t>分析问题和解决问题的能力。为学习临床医学课程打下基础。</w:t>
      </w:r>
    </w:p>
    <w:p w:rsidR="003717A0" w:rsidRDefault="003717A0">
      <w:pPr>
        <w:pStyle w:val="Af9"/>
        <w:spacing w:before="0" w:after="0" w:line="440" w:lineRule="exact"/>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（四）教学内容与安排</w:t>
      </w:r>
    </w:p>
    <w:p w:rsidR="003717A0" w:rsidRDefault="003717A0">
      <w:pPr>
        <w:pStyle w:val="Af9"/>
        <w:spacing w:line="240" w:lineRule="auto"/>
        <w:jc w:val="center"/>
        <w:rPr>
          <w:b/>
          <w:bCs/>
          <w:color w:val="auto"/>
          <w:sz w:val="22"/>
          <w:szCs w:val="22"/>
        </w:rPr>
      </w:pPr>
      <w:r>
        <w:rPr>
          <w:rFonts w:ascii="宋体" w:hAnsi="宋体" w:cs="宋体" w:hint="eastAsia"/>
          <w:b/>
          <w:bCs/>
          <w:color w:val="auto"/>
          <w:sz w:val="22"/>
          <w:szCs w:val="22"/>
        </w:rPr>
        <w:lastRenderedPageBreak/>
        <w:t>病理学绪论（</w:t>
      </w:r>
      <w:r>
        <w:rPr>
          <w:b/>
          <w:bCs/>
          <w:color w:val="auto"/>
          <w:sz w:val="22"/>
          <w:szCs w:val="22"/>
        </w:rPr>
        <w:t>3</w:t>
      </w:r>
      <w:r>
        <w:rPr>
          <w:rFonts w:ascii="宋体" w:hAnsi="宋体" w:cs="宋体" w:hint="eastAsia"/>
          <w:b/>
          <w:bCs/>
          <w:color w:val="auto"/>
          <w:sz w:val="22"/>
          <w:szCs w:val="22"/>
        </w:rPr>
        <w:t>学时）</w:t>
      </w:r>
    </w:p>
    <w:p w:rsidR="003717A0" w:rsidRDefault="003717A0">
      <w:pPr>
        <w:pStyle w:val="Af9"/>
        <w:spacing w:line="240" w:lineRule="auto"/>
        <w:jc w:val="center"/>
        <w:rPr>
          <w:b/>
          <w:bCs/>
          <w:color w:val="auto"/>
          <w:sz w:val="22"/>
          <w:szCs w:val="22"/>
        </w:rPr>
      </w:pPr>
      <w:r>
        <w:rPr>
          <w:rFonts w:ascii="宋体" w:hAnsi="宋体" w:cs="宋体" w:hint="eastAsia"/>
          <w:b/>
          <w:bCs/>
          <w:color w:val="auto"/>
          <w:sz w:val="22"/>
          <w:szCs w:val="22"/>
        </w:rPr>
        <w:t>（</w:t>
      </w:r>
      <w:r>
        <w:rPr>
          <w:rFonts w:ascii="Trebuchet MS" w:eastAsia="Times New Roman"/>
          <w:color w:val="auto"/>
        </w:rPr>
        <w:t>Introduction</w:t>
      </w:r>
      <w:r>
        <w:rPr>
          <w:rFonts w:ascii="宋体" w:hAnsi="宋体" w:cs="宋体" w:hint="eastAsia"/>
          <w:color w:val="auto"/>
        </w:rPr>
        <w:t>）</w:t>
      </w:r>
    </w:p>
    <w:p w:rsidR="003717A0" w:rsidRDefault="003717A0">
      <w:pPr>
        <w:pStyle w:val="Af9"/>
        <w:spacing w:line="240" w:lineRule="auto"/>
        <w:ind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1</w:t>
      </w:r>
      <w:r>
        <w:rPr>
          <w:rFonts w:ascii="宋体" w:hAnsi="宋体" w:cs="宋体" w:hint="eastAsia"/>
          <w:b/>
          <w:bCs/>
          <w:color w:val="auto"/>
        </w:rPr>
        <w:t>学时）</w:t>
      </w:r>
    </w:p>
    <w:p w:rsidR="003717A0" w:rsidRDefault="003717A0">
      <w:pPr>
        <w:pStyle w:val="Af9"/>
        <w:spacing w:before="0" w:after="0" w:line="360" w:lineRule="auto"/>
        <w:ind w:left="420" w:right="6"/>
        <w:rPr>
          <w:rFonts w:ascii="宋体" w:cs="宋体"/>
          <w:color w:val="auto"/>
        </w:rPr>
      </w:pPr>
      <w:r>
        <w:rPr>
          <w:rFonts w:ascii="宋体" w:hAnsi="宋体" w:cs="宋体"/>
          <w:color w:val="auto"/>
        </w:rPr>
        <w:t xml:space="preserve">1. </w:t>
      </w:r>
      <w:r>
        <w:rPr>
          <w:rFonts w:ascii="宋体" w:hAnsi="宋体" w:cs="宋体" w:hint="eastAsia"/>
          <w:color w:val="auto"/>
        </w:rPr>
        <w:t>病理学的定义和内容。</w:t>
      </w:r>
    </w:p>
    <w:p w:rsidR="003717A0" w:rsidRDefault="003717A0">
      <w:pPr>
        <w:pStyle w:val="Af9"/>
        <w:spacing w:before="0" w:after="0" w:line="360" w:lineRule="auto"/>
        <w:ind w:left="420" w:right="6"/>
        <w:rPr>
          <w:rFonts w:ascii="宋体" w:cs="宋体"/>
          <w:color w:val="auto"/>
        </w:rPr>
      </w:pPr>
      <w:r>
        <w:rPr>
          <w:rFonts w:ascii="宋体" w:hAnsi="宋体" w:cs="宋体"/>
          <w:color w:val="auto"/>
        </w:rPr>
        <w:t xml:space="preserve">2. </w:t>
      </w:r>
      <w:r>
        <w:rPr>
          <w:rFonts w:ascii="宋体" w:hAnsi="宋体" w:cs="宋体" w:hint="eastAsia"/>
          <w:color w:val="auto"/>
        </w:rPr>
        <w:t>病理学的诊断和研究方法。</w:t>
      </w:r>
    </w:p>
    <w:p w:rsidR="003717A0" w:rsidRDefault="003717A0">
      <w:pPr>
        <w:pStyle w:val="Af9"/>
        <w:spacing w:before="0" w:after="0" w:line="360" w:lineRule="auto"/>
        <w:ind w:left="420" w:right="6"/>
        <w:rPr>
          <w:rFonts w:ascii="宋体" w:cs="宋体"/>
          <w:color w:val="auto"/>
        </w:rPr>
      </w:pPr>
      <w:r>
        <w:rPr>
          <w:rFonts w:ascii="宋体" w:hAnsi="宋体" w:cs="宋体"/>
          <w:color w:val="auto"/>
        </w:rPr>
        <w:t xml:space="preserve">3. </w:t>
      </w:r>
      <w:r>
        <w:rPr>
          <w:rFonts w:ascii="宋体" w:hAnsi="宋体" w:cs="宋体" w:hint="eastAsia"/>
          <w:color w:val="auto"/>
        </w:rPr>
        <w:t>病理学发展简史。</w:t>
      </w:r>
    </w:p>
    <w:p w:rsidR="003717A0" w:rsidRDefault="003717A0">
      <w:pPr>
        <w:pStyle w:val="Af9"/>
        <w:tabs>
          <w:tab w:val="left" w:pos="426"/>
        </w:tabs>
        <w:spacing w:before="0" w:after="0" w:line="360" w:lineRule="auto"/>
        <w:ind w:left="420" w:right="6"/>
        <w:rPr>
          <w:rFonts w:ascii="宋体" w:cs="宋体"/>
          <w:color w:val="auto"/>
        </w:rPr>
      </w:pPr>
      <w:r>
        <w:rPr>
          <w:rFonts w:ascii="宋体" w:hAnsi="宋体" w:cs="宋体"/>
          <w:color w:val="auto"/>
        </w:rPr>
        <w:t xml:space="preserve">4. </w:t>
      </w:r>
      <w:r>
        <w:rPr>
          <w:rFonts w:ascii="宋体" w:hAnsi="宋体" w:cs="宋体" w:hint="eastAsia"/>
          <w:color w:val="auto"/>
        </w:rPr>
        <w:t>如何学习病理学。</w:t>
      </w:r>
    </w:p>
    <w:p w:rsidR="003717A0" w:rsidRDefault="003717A0">
      <w:pPr>
        <w:pStyle w:val="Af9"/>
        <w:tabs>
          <w:tab w:val="left" w:pos="426"/>
        </w:tabs>
        <w:spacing w:before="0" w:after="0" w:line="360" w:lineRule="auto"/>
        <w:ind w:left="420" w:right="6"/>
        <w:rPr>
          <w:rFonts w:ascii="Times Roman" w:hAnsi="Times Roman" w:cs="Times Roman"/>
          <w:color w:val="auto"/>
        </w:rPr>
      </w:pPr>
      <w:r>
        <w:rPr>
          <w:rFonts w:ascii="宋体" w:hAnsi="宋体" w:cs="宋体"/>
          <w:color w:val="auto"/>
        </w:rPr>
        <w:t xml:space="preserve">5. </w:t>
      </w:r>
      <w:r>
        <w:rPr>
          <w:rFonts w:ascii="宋体" w:hAnsi="宋体" w:cs="宋体" w:hint="eastAsia"/>
          <w:color w:val="auto"/>
        </w:rPr>
        <w:t>自学和拓展：分子病理学的基本内容。</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2</w:t>
      </w:r>
      <w:r>
        <w:rPr>
          <w:rFonts w:ascii="宋体" w:hAnsi="宋体" w:cs="宋体" w:hint="eastAsia"/>
          <w:b/>
          <w:bCs/>
          <w:color w:val="auto"/>
        </w:rPr>
        <w:t>学时）</w:t>
      </w:r>
    </w:p>
    <w:p w:rsidR="003717A0" w:rsidRPr="00BA5C48" w:rsidRDefault="003717A0" w:rsidP="00BA5C48">
      <w:pPr>
        <w:pStyle w:val="Af9"/>
        <w:numPr>
          <w:ilvl w:val="0"/>
          <w:numId w:val="567"/>
        </w:numPr>
        <w:tabs>
          <w:tab w:val="left" w:pos="630"/>
        </w:tabs>
        <w:spacing w:before="0" w:after="0" w:line="360" w:lineRule="auto"/>
        <w:ind w:left="0" w:right="4" w:firstLineChars="200" w:firstLine="420"/>
        <w:rPr>
          <w:rFonts w:ascii="宋体" w:hAnsi="宋体" w:cs="宋体"/>
          <w:color w:val="auto"/>
        </w:rPr>
      </w:pPr>
      <w:r>
        <w:rPr>
          <w:rFonts w:ascii="宋体" w:hAnsi="宋体" w:cs="宋体"/>
          <w:color w:val="auto"/>
        </w:rPr>
        <w:t xml:space="preserve"> </w:t>
      </w:r>
      <w:r>
        <w:rPr>
          <w:rFonts w:ascii="宋体" w:hAnsi="宋体" w:cs="宋体" w:hint="eastAsia"/>
          <w:color w:val="auto"/>
        </w:rPr>
        <w:t>光镜、显微数码互动实验教学系统和图像采集编辑软件的使用，医学形态学数字化教学平台的一般使用。</w:t>
      </w:r>
    </w:p>
    <w:p w:rsidR="003717A0" w:rsidRDefault="003717A0" w:rsidP="00BA5C48">
      <w:pPr>
        <w:pStyle w:val="Af9"/>
        <w:numPr>
          <w:ilvl w:val="0"/>
          <w:numId w:val="567"/>
        </w:numPr>
        <w:tabs>
          <w:tab w:val="left" w:pos="630"/>
        </w:tabs>
        <w:spacing w:before="0" w:after="0" w:line="360" w:lineRule="auto"/>
        <w:ind w:left="0" w:right="4" w:firstLineChars="200" w:firstLine="420"/>
        <w:rPr>
          <w:rFonts w:ascii="Times New Roman" w:hAnsi="Times New Roman"/>
          <w:color w:val="auto"/>
        </w:rPr>
      </w:pPr>
      <w:r>
        <w:rPr>
          <w:rFonts w:ascii="宋体" w:hAnsi="宋体" w:cs="宋体"/>
          <w:color w:val="auto"/>
        </w:rPr>
        <w:t xml:space="preserve"> </w:t>
      </w:r>
      <w:r>
        <w:rPr>
          <w:rFonts w:ascii="宋体" w:hAnsi="宋体" w:cs="宋体" w:hint="eastAsia"/>
          <w:color w:val="auto"/>
        </w:rPr>
        <w:t>数字化病理教学切片的使用。</w:t>
      </w:r>
    </w:p>
    <w:p w:rsidR="003717A0" w:rsidRDefault="003717A0" w:rsidP="00BA5C48">
      <w:pPr>
        <w:pStyle w:val="Af9"/>
        <w:numPr>
          <w:ilvl w:val="0"/>
          <w:numId w:val="567"/>
        </w:numPr>
        <w:tabs>
          <w:tab w:val="left" w:pos="630"/>
        </w:tabs>
        <w:spacing w:before="0" w:after="0" w:line="360" w:lineRule="auto"/>
        <w:ind w:left="0" w:right="4" w:firstLineChars="200" w:firstLine="420"/>
        <w:rPr>
          <w:rFonts w:ascii="Times New Roman" w:hAnsi="Times New Roman"/>
          <w:color w:val="auto"/>
        </w:rPr>
      </w:pPr>
      <w:r>
        <w:rPr>
          <w:rFonts w:ascii="宋体" w:hAnsi="宋体" w:cs="宋体"/>
          <w:color w:val="auto"/>
        </w:rPr>
        <w:t xml:space="preserve"> </w:t>
      </w:r>
      <w:r>
        <w:rPr>
          <w:rFonts w:ascii="宋体" w:hAnsi="宋体" w:cs="宋体" w:hint="eastAsia"/>
          <w:color w:val="auto"/>
        </w:rPr>
        <w:t>引导片：病理学实习引导片（录像）系列</w:t>
      </w:r>
      <w:r>
        <w:rPr>
          <w:rFonts w:ascii="Times New Roman" w:eastAsia="Times New Roman"/>
          <w:color w:val="auto"/>
        </w:rPr>
        <w:t>1</w:t>
      </w:r>
      <w:r>
        <w:rPr>
          <w:rFonts w:ascii="宋体" w:hAnsi="宋体" w:cs="宋体" w:hint="eastAsia"/>
          <w:color w:val="auto"/>
        </w:rPr>
        <w:t>《病理实验课规章》。</w:t>
      </w:r>
    </w:p>
    <w:p w:rsidR="003717A0" w:rsidRDefault="003717A0" w:rsidP="00BA5C48">
      <w:pPr>
        <w:pStyle w:val="Af9"/>
        <w:numPr>
          <w:ilvl w:val="0"/>
          <w:numId w:val="567"/>
        </w:numPr>
        <w:tabs>
          <w:tab w:val="left" w:pos="630"/>
        </w:tabs>
        <w:spacing w:before="0" w:after="0" w:line="360" w:lineRule="auto"/>
        <w:ind w:left="0" w:right="4" w:firstLineChars="200" w:firstLine="420"/>
        <w:rPr>
          <w:rFonts w:ascii="Times New Roman" w:hAnsi="Times New Roman"/>
          <w:color w:val="auto"/>
        </w:rPr>
      </w:pPr>
      <w:r>
        <w:rPr>
          <w:rFonts w:ascii="宋体" w:hAnsi="宋体" w:cs="宋体"/>
          <w:color w:val="auto"/>
        </w:rPr>
        <w:t xml:space="preserve"> </w:t>
      </w:r>
      <w:r>
        <w:rPr>
          <w:rFonts w:ascii="宋体" w:hAnsi="宋体" w:cs="宋体" w:hint="eastAsia"/>
          <w:color w:val="auto"/>
        </w:rPr>
        <w:t>录象片：《尸检》。</w:t>
      </w:r>
    </w:p>
    <w:p w:rsidR="003717A0" w:rsidRDefault="003717A0">
      <w:pPr>
        <w:pStyle w:val="Af9"/>
        <w:spacing w:before="0" w:after="0" w:line="360" w:lineRule="auto"/>
        <w:ind w:right="4" w:firstLineChars="200" w:firstLine="420"/>
        <w:rPr>
          <w:rFonts w:ascii="Trebuchet MS Bold" w:hAnsi="Trebuchet MS Bold" w:cs="Trebuchet MS Bold"/>
          <w:color w:val="auto"/>
        </w:rPr>
      </w:pPr>
      <w:r>
        <w:rPr>
          <w:rFonts w:ascii="宋体" w:hAnsi="宋体" w:cs="宋体" w:hint="eastAsia"/>
          <w:color w:val="auto"/>
        </w:rPr>
        <w:t>【</w:t>
      </w:r>
      <w:r>
        <w:rPr>
          <w:rFonts w:ascii="宋体" w:hAnsi="宋体" w:cs="宋体" w:hint="eastAsia"/>
          <w:b/>
          <w:bCs/>
          <w:color w:val="auto"/>
        </w:rPr>
        <w:t>目的要求</w:t>
      </w:r>
      <w:r>
        <w:rPr>
          <w:rFonts w:ascii="宋体" w:hAnsi="宋体" w:cs="宋体" w:hint="eastAsia"/>
          <w:color w:val="auto"/>
        </w:rPr>
        <w:t>】</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掌握病理学概念。</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熟悉：病理学的内容、任务以及在医学中的地位，病理学研究方法。</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了解：病理学的发展和在医学中的地位、以及病理学新技术的应用。</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hint="eastAsia"/>
          <w:color w:val="auto"/>
        </w:rPr>
        <w:t>【专业词汇】</w:t>
      </w:r>
    </w:p>
    <w:p w:rsidR="003717A0" w:rsidRDefault="003717A0">
      <w:pPr>
        <w:pStyle w:val="Af9"/>
        <w:spacing w:before="0" w:after="0" w:line="360" w:lineRule="auto"/>
        <w:ind w:right="4" w:firstLineChars="200" w:firstLine="420"/>
        <w:rPr>
          <w:rFonts w:ascii="Trebuchet MS"/>
          <w:color w:val="auto"/>
        </w:rPr>
      </w:pPr>
      <w:r>
        <w:rPr>
          <w:rFonts w:ascii="宋体" w:hAnsi="宋体" w:cs="宋体" w:hint="eastAsia"/>
          <w:color w:val="auto"/>
        </w:rPr>
        <w:t>病理学；尸检；活检</w:t>
      </w:r>
    </w:p>
    <w:p w:rsidR="003717A0" w:rsidRDefault="003717A0">
      <w:pPr>
        <w:pStyle w:val="Af9"/>
        <w:spacing w:before="0" w:after="0" w:line="360" w:lineRule="auto"/>
        <w:ind w:right="4" w:firstLineChars="200" w:firstLine="420"/>
        <w:rPr>
          <w:color w:val="auto"/>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第一章</w:t>
      </w:r>
      <w:r>
        <w:rPr>
          <w:rFonts w:ascii="宋体" w:hAnsi="宋体" w:cs="宋体"/>
          <w:b/>
          <w:bCs/>
          <w:color w:val="auto"/>
          <w:sz w:val="22"/>
          <w:szCs w:val="22"/>
        </w:rPr>
        <w:t xml:space="preserve">  </w:t>
      </w:r>
      <w:r>
        <w:rPr>
          <w:rFonts w:ascii="宋体" w:hAnsi="宋体" w:cs="宋体" w:hint="eastAsia"/>
          <w:b/>
          <w:color w:val="auto"/>
        </w:rPr>
        <w:t>细胞组织的适应和损伤（</w:t>
      </w:r>
      <w:r>
        <w:rPr>
          <w:rFonts w:ascii="Trebuchet MS"/>
          <w:b/>
          <w:color w:val="auto"/>
        </w:rPr>
        <w:t>5</w:t>
      </w:r>
      <w:r>
        <w:rPr>
          <w:rFonts w:ascii="宋体" w:hAnsi="宋体" w:cs="宋体" w:hint="eastAsia"/>
          <w:b/>
          <w:color w:val="auto"/>
        </w:rPr>
        <w:t>学时）</w:t>
      </w:r>
    </w:p>
    <w:p w:rsidR="003717A0" w:rsidRDefault="003717A0">
      <w:pPr>
        <w:pStyle w:val="Af9"/>
        <w:spacing w:line="360" w:lineRule="auto"/>
        <w:ind w:firstLineChars="200" w:firstLine="420"/>
        <w:jc w:val="center"/>
        <w:rPr>
          <w:b/>
          <w:bCs/>
          <w:color w:val="auto"/>
          <w:sz w:val="22"/>
          <w:szCs w:val="22"/>
        </w:rPr>
      </w:pPr>
      <w:r>
        <w:rPr>
          <w:rFonts w:ascii="宋体" w:hAnsi="宋体" w:cs="宋体" w:hint="eastAsia"/>
          <w:color w:val="auto"/>
        </w:rPr>
        <w:t>（</w:t>
      </w:r>
      <w:r>
        <w:rPr>
          <w:rFonts w:ascii="Trebuchet MS" w:eastAsia="Times New Roman"/>
          <w:color w:val="auto"/>
        </w:rPr>
        <w:t>Cellular and tissue adaptation and injury</w:t>
      </w:r>
      <w:r>
        <w:rPr>
          <w:rFonts w:ascii="宋体" w:hAnsi="宋体" w:cs="宋体" w:hint="eastAsia"/>
          <w:color w:val="auto"/>
        </w:rPr>
        <w:t>）</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适应：肥大，增生，萎缩，化生。</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细胞、组织的损伤：细胞、组织损伤的原因，细胞、组织损伤的机制，几种重要的损伤，细胞、组织损伤的形态学改变。</w:t>
      </w:r>
      <w:bookmarkStart w:id="47" w:name="OLE_LINK1"/>
    </w:p>
    <w:p w:rsidR="003717A0" w:rsidRDefault="003717A0">
      <w:pPr>
        <w:pStyle w:val="Af9"/>
        <w:spacing w:before="0" w:after="0" w:line="360" w:lineRule="auto"/>
        <w:ind w:right="6" w:firstLineChars="200" w:firstLine="420"/>
        <w:rPr>
          <w:rFonts w:ascii="Trebuchet MS Bold" w:hAnsi="Trebuchet MS Bold" w:cs="Trebuchet MS Bold"/>
          <w:b/>
          <w:bCs/>
          <w:color w:val="auto"/>
          <w:sz w:val="22"/>
          <w:szCs w:val="22"/>
        </w:rPr>
      </w:pPr>
      <w:r>
        <w:rPr>
          <w:rFonts w:ascii="宋体" w:hAnsi="宋体" w:cs="宋体"/>
          <w:color w:val="auto"/>
        </w:rPr>
        <w:t xml:space="preserve">3. </w:t>
      </w:r>
      <w:r>
        <w:rPr>
          <w:rFonts w:ascii="宋体" w:hAnsi="宋体" w:cs="宋体" w:hint="eastAsia"/>
          <w:color w:val="auto"/>
        </w:rPr>
        <w:t>自学与拓展：衰老与死亡。</w:t>
      </w:r>
      <w:bookmarkEnd w:id="47"/>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2</w:t>
      </w:r>
      <w:r>
        <w:rPr>
          <w:rFonts w:ascii="宋体" w:hAnsi="宋体" w:cs="宋体" w:hint="eastAsia"/>
          <w:b/>
          <w:bCs/>
          <w:color w:val="auto"/>
        </w:rPr>
        <w:t>学时）</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lastRenderedPageBreak/>
        <w:t xml:space="preserve">1. </w:t>
      </w:r>
      <w:r>
        <w:rPr>
          <w:rFonts w:ascii="宋体" w:hAnsi="宋体" w:cs="宋体" w:hint="eastAsia"/>
          <w:color w:val="auto"/>
        </w:rPr>
        <w:t>引导片：病理学实习引导片（录像）系列</w:t>
      </w:r>
      <w:r>
        <w:rPr>
          <w:rFonts w:ascii="宋体" w:hAnsi="宋体" w:cs="宋体"/>
          <w:color w:val="auto"/>
        </w:rPr>
        <w:t>2</w:t>
      </w:r>
      <w:r>
        <w:rPr>
          <w:rFonts w:ascii="宋体" w:hAnsi="宋体" w:cs="宋体" w:hint="eastAsia"/>
          <w:color w:val="auto"/>
        </w:rPr>
        <w:t>《细胞组织的适应和损伤》。</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萎缩心脏，肥大心脏；萎缩子宫，肥大子宫；肾压迫萎缩；肝褐色萎缩；肝肿胀；肝脂肪变；肝或肾淀粉样变；脾凝固性坏死；淋巴结干酪样坏死；脑软化，肺脓肿；肝液化性坏死；手或足干性坏疽等。</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肾曲管上皮水变性；肝细胞脂肪变性；肾小动脉玻璃样变；脾细动脉玻璃样变；肝或肾淀粉样变性；结核病灶之钙化；主动脉粥粥样硬化钙化；肝细胞灶性坏死；肾梗死（凝固性坏死）淋巴结结核干酪样坏死；支气管鳞状上皮化生；子宫颈腺体上皮鳞化等。</w:t>
      </w:r>
    </w:p>
    <w:p w:rsidR="003717A0" w:rsidRDefault="003717A0">
      <w:pPr>
        <w:pStyle w:val="Af9"/>
        <w:spacing w:before="0" w:after="0" w:line="360" w:lineRule="auto"/>
        <w:ind w:right="6" w:firstLineChars="200" w:firstLine="420"/>
        <w:rPr>
          <w:rFonts w:ascii="Times New Roman" w:hAnsi="Times New Roman"/>
          <w:color w:val="auto"/>
        </w:rPr>
      </w:pPr>
      <w:r>
        <w:rPr>
          <w:rFonts w:ascii="宋体" w:hAnsi="宋体" w:cs="宋体"/>
          <w:color w:val="auto"/>
        </w:rPr>
        <w:t xml:space="preserve">4. </w:t>
      </w:r>
      <w:r>
        <w:rPr>
          <w:rFonts w:ascii="宋体" w:hAnsi="宋体" w:cs="宋体" w:hint="eastAsia"/>
          <w:color w:val="auto"/>
        </w:rPr>
        <w:t>病例讨论：腿骨折石膏固定数月后，拆除石膏发现患腿肌肉萎缩，试分析引起肌肉萎缩的原因。</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【目的要求】</w:t>
      </w:r>
    </w:p>
    <w:p w:rsidR="003717A0" w:rsidRDefault="003717A0">
      <w:pPr>
        <w:pStyle w:val="Af9"/>
        <w:spacing w:before="0" w:after="0" w:line="360" w:lineRule="auto"/>
        <w:ind w:right="6" w:firstLineChars="200" w:firstLine="420"/>
        <w:rPr>
          <w:rFonts w:ascii="宋体" w:cs="宋体"/>
          <w:color w:val="auto"/>
        </w:rPr>
      </w:pPr>
      <w:r>
        <w:rPr>
          <w:rFonts w:ascii="Trebuchet MS" w:eastAsia="Times New Roman"/>
          <w:color w:val="auto"/>
        </w:rPr>
        <w:t>1</w:t>
      </w:r>
      <w:r>
        <w:rPr>
          <w:rFonts w:ascii="宋体" w:hAnsi="宋体" w:cs="宋体" w:hint="eastAsia"/>
          <w:color w:val="auto"/>
        </w:rPr>
        <w:t>．掌握细胞和组织几种常见的适应性变化</w:t>
      </w:r>
      <w:r>
        <w:rPr>
          <w:rFonts w:ascii="宋体" w:hAnsi="宋体" w:cs="宋体"/>
          <w:color w:val="auto"/>
        </w:rPr>
        <w:t>(</w:t>
      </w:r>
      <w:r>
        <w:rPr>
          <w:rFonts w:ascii="宋体" w:hAnsi="宋体" w:cs="宋体" w:hint="eastAsia"/>
          <w:color w:val="auto"/>
        </w:rPr>
        <w:t>萎缩、肥大、化生和增生</w:t>
      </w:r>
      <w:r>
        <w:rPr>
          <w:rFonts w:ascii="宋体" w:hAnsi="宋体" w:cs="宋体"/>
          <w:color w:val="auto"/>
        </w:rPr>
        <w:t>)</w:t>
      </w:r>
      <w:r>
        <w:rPr>
          <w:rFonts w:ascii="宋体" w:hAnsi="宋体" w:cs="宋体" w:hint="eastAsia"/>
          <w:color w:val="auto"/>
        </w:rPr>
        <w:t>的概念、常见类型和病理改变。结合病理变化及发生部位，了解几种病变的结局和对机体产生的影响。</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2</w:t>
      </w:r>
      <w:r>
        <w:rPr>
          <w:rFonts w:ascii="宋体" w:hAnsi="宋体" w:cs="宋体" w:hint="eastAsia"/>
          <w:color w:val="auto"/>
        </w:rPr>
        <w:t>．了解损伤的原因及发生机制，细胞损伤的超微结构表现，包括细胞膜、细胞质、线粒体、内质网和溶酶体的病变，以及细胞核和基底膜的病变。</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掌握细胞变性的常见类型：包括细胞水肿、脂肪变性、玻璃样变性。掌握各自的概念、原因、发生机理和形态变化。</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4</w:t>
      </w:r>
      <w:r>
        <w:rPr>
          <w:rFonts w:ascii="宋体" w:hAnsi="宋体" w:cs="宋体" w:hint="eastAsia"/>
          <w:color w:val="auto"/>
        </w:rPr>
        <w:t>．熟悉色素沉着和钙化的概念和病理变化。</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5</w:t>
      </w:r>
      <w:r>
        <w:rPr>
          <w:rFonts w:ascii="宋体" w:hAnsi="宋体" w:cs="宋体" w:hint="eastAsia"/>
          <w:color w:val="auto"/>
        </w:rPr>
        <w:t>．了解纤维素样变性、粘液变性和淀粉样变性的病变特点</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6</w:t>
      </w:r>
      <w:r>
        <w:rPr>
          <w:rFonts w:ascii="宋体" w:hAnsi="宋体" w:cs="宋体" w:hint="eastAsia"/>
          <w:color w:val="auto"/>
        </w:rPr>
        <w:t>．掌握坏死的概念、类型、病理变化和结局。</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7</w:t>
      </w:r>
      <w:r>
        <w:rPr>
          <w:rFonts w:ascii="宋体" w:hAnsi="宋体" w:cs="宋体" w:hint="eastAsia"/>
          <w:color w:val="auto"/>
        </w:rPr>
        <w:t>．掌握凋亡的概念及形态改变。</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适应；萎缩；肥大；增生；化生；变性；细胞水肿；脂肪变性；玻璃样变性；细动脉硬化；凋亡；坏死；干酪样坏死；坏疽；</w:t>
      </w:r>
    </w:p>
    <w:p w:rsidR="003717A0" w:rsidRDefault="003717A0">
      <w:pPr>
        <w:pStyle w:val="Af9"/>
        <w:spacing w:line="360" w:lineRule="auto"/>
        <w:ind w:firstLineChars="200" w:firstLine="420"/>
        <w:rPr>
          <w:rFonts w:ascii="宋体" w:cs="宋体"/>
          <w:color w:val="auto"/>
        </w:rPr>
      </w:pPr>
    </w:p>
    <w:p w:rsidR="003717A0" w:rsidRDefault="003717A0">
      <w:pPr>
        <w:pStyle w:val="Af9"/>
        <w:spacing w:line="360" w:lineRule="auto"/>
        <w:ind w:firstLineChars="200" w:firstLine="420"/>
        <w:rPr>
          <w:rFonts w:ascii="宋体" w:cs="宋体"/>
          <w:color w:val="auto"/>
        </w:rPr>
      </w:pPr>
    </w:p>
    <w:p w:rsidR="003717A0" w:rsidRDefault="003717A0">
      <w:pPr>
        <w:pStyle w:val="Af9"/>
        <w:spacing w:line="360" w:lineRule="auto"/>
        <w:ind w:firstLineChars="200" w:firstLine="442"/>
        <w:jc w:val="center"/>
        <w:rPr>
          <w:rFonts w:ascii="宋体" w:cs="宋体"/>
          <w:color w:val="auto"/>
        </w:rPr>
      </w:pPr>
      <w:r>
        <w:rPr>
          <w:rFonts w:ascii="宋体" w:cs="宋体"/>
          <w:b/>
          <w:bCs/>
          <w:color w:val="auto"/>
          <w:sz w:val="22"/>
          <w:szCs w:val="22"/>
        </w:rPr>
        <w:br w:type="page"/>
      </w:r>
      <w:r>
        <w:rPr>
          <w:rFonts w:ascii="宋体" w:hAnsi="宋体" w:cs="宋体" w:hint="eastAsia"/>
          <w:b/>
          <w:bCs/>
          <w:color w:val="auto"/>
          <w:sz w:val="22"/>
          <w:szCs w:val="22"/>
        </w:rPr>
        <w:lastRenderedPageBreak/>
        <w:t>第二章</w:t>
      </w:r>
      <w:r>
        <w:rPr>
          <w:b/>
          <w:bCs/>
          <w:color w:val="auto"/>
          <w:sz w:val="22"/>
          <w:szCs w:val="22"/>
        </w:rPr>
        <w:t xml:space="preserve">  </w:t>
      </w:r>
      <w:r>
        <w:rPr>
          <w:rFonts w:ascii="宋体" w:hAnsi="宋体" w:cs="宋体" w:hint="eastAsia"/>
          <w:b/>
          <w:color w:val="auto"/>
        </w:rPr>
        <w:t>损伤的修复（</w:t>
      </w:r>
      <w:r>
        <w:rPr>
          <w:rFonts w:ascii="Trebuchet MS" w:eastAsia="Times New Roman"/>
          <w:b/>
          <w:color w:val="auto"/>
        </w:rPr>
        <w:t>4</w:t>
      </w:r>
      <w:r>
        <w:rPr>
          <w:rFonts w:ascii="宋体" w:hAnsi="宋体" w:cs="宋体" w:hint="eastAsia"/>
          <w:b/>
          <w:color w:val="auto"/>
        </w:rPr>
        <w:t>学时）</w:t>
      </w:r>
    </w:p>
    <w:p w:rsidR="003717A0" w:rsidRDefault="003717A0">
      <w:pPr>
        <w:pStyle w:val="Af9"/>
        <w:spacing w:line="360" w:lineRule="auto"/>
        <w:ind w:firstLineChars="200" w:firstLine="420"/>
        <w:jc w:val="center"/>
        <w:rPr>
          <w:color w:val="auto"/>
        </w:rPr>
      </w:pPr>
      <w:r>
        <w:rPr>
          <w:rFonts w:ascii="Trebuchet MS" w:eastAsia="Times New Roman"/>
          <w:color w:val="auto"/>
        </w:rPr>
        <w:t>Repair of injury</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再生细胞周期和不同类型细胞的再生潜能，各种组织的再生过程，细胞再生的影响因素。</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纤维性修复：肉芽组织的形态及作用，瘢痕组织的形态及作用，肉芽组织和瘢痕组织的形成过程及机制。</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创伤愈合：皮肤创伤愈合，骨折愈合，影响创伤愈合的因素。</w:t>
      </w:r>
    </w:p>
    <w:p w:rsidR="003717A0" w:rsidRDefault="003717A0">
      <w:pPr>
        <w:pStyle w:val="Af9"/>
        <w:spacing w:before="0" w:after="0" w:line="360" w:lineRule="auto"/>
        <w:ind w:right="6" w:firstLineChars="200" w:firstLine="420"/>
        <w:rPr>
          <w:rFonts w:ascii="Trebuchet MS Bold" w:hAnsi="Trebuchet MS Bold" w:cs="Trebuchet MS Bold"/>
          <w:b/>
          <w:bCs/>
          <w:color w:val="auto"/>
          <w:sz w:val="22"/>
          <w:szCs w:val="22"/>
        </w:rPr>
      </w:pPr>
      <w:r>
        <w:rPr>
          <w:rFonts w:ascii="宋体" w:hAnsi="宋体" w:cs="宋体"/>
          <w:color w:val="auto"/>
        </w:rPr>
        <w:t xml:space="preserve">4. </w:t>
      </w:r>
      <w:r>
        <w:rPr>
          <w:rFonts w:ascii="宋体" w:hAnsi="宋体" w:cs="宋体" w:hint="eastAsia"/>
          <w:color w:val="auto"/>
        </w:rPr>
        <w:t>自学与拓展：干细胞与再生。组织再生的微环境。</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1</w:t>
      </w:r>
      <w:r>
        <w:rPr>
          <w:rFonts w:ascii="宋体" w:hAnsi="宋体" w:cs="宋体" w:hint="eastAsia"/>
          <w:b/>
          <w:bCs/>
          <w:color w:val="auto"/>
        </w:rPr>
        <w:t>学时）</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Times New Roman" w:eastAsia="Times New Roman"/>
          <w:color w:val="auto"/>
        </w:rPr>
        <w:t>1</w:t>
      </w:r>
      <w:r>
        <w:rPr>
          <w:rFonts w:ascii="宋体" w:hAnsi="宋体" w:cs="宋体" w:hint="eastAsia"/>
          <w:color w:val="auto"/>
        </w:rPr>
        <w:t>．引导片：病理学实习引导片（录像）系列</w:t>
      </w:r>
      <w:r>
        <w:rPr>
          <w:rFonts w:ascii="宋体" w:hAnsi="宋体" w:cs="宋体"/>
          <w:color w:val="auto"/>
        </w:rPr>
        <w:t>3</w:t>
      </w:r>
      <w:r>
        <w:rPr>
          <w:rFonts w:ascii="宋体" w:hAnsi="宋体" w:cs="宋体" w:hint="eastAsia"/>
          <w:color w:val="auto"/>
        </w:rPr>
        <w:t>《损伤的修复》</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．观察大体标本：骨折愈合、胸膜炎机化</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．观察病理切片：肉芽组织</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4</w:t>
      </w:r>
      <w:r>
        <w:rPr>
          <w:rFonts w:ascii="宋体" w:hAnsi="宋体" w:cs="宋体" w:hint="eastAsia"/>
          <w:color w:val="auto"/>
        </w:rPr>
        <w:t>．讨论题：</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）手烫伤出现较多水疱，临床将如何处理创口，为什么？</w:t>
      </w:r>
    </w:p>
    <w:p w:rsidR="003717A0" w:rsidRDefault="003717A0">
      <w:pPr>
        <w:pStyle w:val="Af9"/>
        <w:spacing w:before="0" w:after="0" w:line="360" w:lineRule="auto"/>
        <w:ind w:right="4" w:firstLineChars="200" w:firstLine="420"/>
        <w:rPr>
          <w:rFonts w:ascii="Times New Roman" w:hAnsi="Times New Roman"/>
          <w:color w:val="auto"/>
        </w:rPr>
      </w:pPr>
      <w:r>
        <w:rPr>
          <w:rFonts w:ascii="宋体" w:hAnsi="宋体" w:cs="宋体" w:hint="eastAsia"/>
          <w:color w:val="auto"/>
        </w:rPr>
        <w:t>（</w:t>
      </w:r>
      <w:r>
        <w:rPr>
          <w:rFonts w:ascii="宋体" w:hAnsi="宋体" w:cs="宋体"/>
          <w:color w:val="auto"/>
        </w:rPr>
        <w:t>2</w:t>
      </w:r>
      <w:r>
        <w:rPr>
          <w:rFonts w:ascii="宋体" w:hAnsi="宋体" w:cs="宋体" w:hint="eastAsia"/>
          <w:color w:val="auto"/>
        </w:rPr>
        <w:t>）断肢再植中有哪些组织发生再生，分别如何再生？</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【目的要求】</w:t>
      </w:r>
    </w:p>
    <w:p w:rsidR="003717A0" w:rsidRDefault="003717A0">
      <w:pPr>
        <w:pStyle w:val="Af9"/>
        <w:spacing w:before="0" w:after="0" w:line="360" w:lineRule="auto"/>
        <w:ind w:right="6" w:firstLineChars="200" w:firstLine="420"/>
        <w:rPr>
          <w:rFonts w:ascii="宋体" w:cs="宋体"/>
          <w:color w:val="auto"/>
        </w:rPr>
      </w:pPr>
      <w:r>
        <w:rPr>
          <w:rFonts w:ascii="Trebuchet MS" w:eastAsia="Times New Roman"/>
          <w:color w:val="auto"/>
        </w:rPr>
        <w:t>1</w:t>
      </w:r>
      <w:r>
        <w:rPr>
          <w:rFonts w:ascii="宋体" w:hAnsi="宋体" w:cs="宋体" w:hint="eastAsia"/>
          <w:color w:val="auto"/>
        </w:rPr>
        <w:t>．掌握：再生与修复的概念。各种组织的再生能力。肉芽组织的概念和形态特征及病理意义。机化的概念。</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2</w:t>
      </w:r>
      <w:r>
        <w:rPr>
          <w:rFonts w:ascii="宋体" w:hAnsi="宋体" w:cs="宋体" w:hint="eastAsia"/>
          <w:color w:val="auto"/>
        </w:rPr>
        <w:t>．熟悉：再生的方式，创伤愈合的基本过程。</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3</w:t>
      </w:r>
      <w:r>
        <w:rPr>
          <w:rFonts w:ascii="宋体" w:hAnsi="宋体" w:cs="宋体" w:hint="eastAsia"/>
          <w:color w:val="auto"/>
        </w:rPr>
        <w:t>．了解：各种组织的再生过程，细胞再生的影响因素，影响创伤愈合的因素。</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修复；再生；创伤性神经瘤</w:t>
      </w:r>
      <w:r>
        <w:rPr>
          <w:rFonts w:ascii="宋体" w:hAnsi="宋体" w:cs="宋体"/>
          <w:color w:val="auto"/>
          <w:lang w:val="it-IT"/>
        </w:rPr>
        <w:t>a</w:t>
      </w:r>
      <w:r>
        <w:rPr>
          <w:rFonts w:ascii="宋体" w:hAnsi="宋体" w:cs="宋体" w:hint="eastAsia"/>
          <w:color w:val="auto"/>
        </w:rPr>
        <w:t>；肉芽组织；机化；</w:t>
      </w:r>
    </w:p>
    <w:p w:rsidR="003717A0" w:rsidRDefault="003717A0">
      <w:pPr>
        <w:pStyle w:val="Af9"/>
        <w:spacing w:line="360" w:lineRule="auto"/>
        <w:ind w:firstLineChars="200" w:firstLine="420"/>
        <w:rPr>
          <w:rFonts w:ascii="宋体" w:cs="宋体"/>
          <w:color w:val="auto"/>
        </w:rPr>
      </w:pPr>
    </w:p>
    <w:p w:rsidR="003717A0" w:rsidRDefault="003717A0">
      <w:pPr>
        <w:pStyle w:val="Af9"/>
        <w:spacing w:line="360" w:lineRule="auto"/>
        <w:ind w:firstLineChars="200" w:firstLine="442"/>
        <w:jc w:val="center"/>
        <w:rPr>
          <w:rFonts w:ascii="宋体" w:cs="宋体"/>
          <w:color w:val="auto"/>
        </w:rPr>
      </w:pPr>
      <w:r>
        <w:rPr>
          <w:rFonts w:ascii="宋体" w:cs="宋体"/>
          <w:b/>
          <w:bCs/>
          <w:color w:val="auto"/>
          <w:sz w:val="22"/>
          <w:szCs w:val="22"/>
        </w:rPr>
        <w:br w:type="page"/>
      </w:r>
      <w:r>
        <w:rPr>
          <w:rFonts w:ascii="宋体" w:hAnsi="宋体" w:cs="宋体" w:hint="eastAsia"/>
          <w:b/>
          <w:bCs/>
          <w:color w:val="auto"/>
          <w:sz w:val="22"/>
          <w:szCs w:val="22"/>
        </w:rPr>
        <w:lastRenderedPageBreak/>
        <w:t>第三章</w:t>
      </w:r>
      <w:r>
        <w:rPr>
          <w:b/>
          <w:bCs/>
          <w:color w:val="auto"/>
          <w:sz w:val="22"/>
          <w:szCs w:val="22"/>
        </w:rPr>
        <w:t xml:space="preserve"> </w:t>
      </w:r>
      <w:r>
        <w:rPr>
          <w:rFonts w:ascii="宋体" w:hAnsi="宋体" w:cs="宋体" w:hint="eastAsia"/>
          <w:b/>
          <w:color w:val="auto"/>
        </w:rPr>
        <w:t>局部血液循环障碍（</w:t>
      </w:r>
      <w:r>
        <w:rPr>
          <w:rFonts w:ascii="Trebuchet MS"/>
          <w:b/>
          <w:color w:val="auto"/>
        </w:rPr>
        <w:t>5</w:t>
      </w:r>
      <w:r>
        <w:rPr>
          <w:rFonts w:ascii="宋体" w:hAnsi="宋体" w:cs="宋体" w:hint="eastAsia"/>
          <w:b/>
          <w:color w:val="auto"/>
        </w:rPr>
        <w:t>学时）</w:t>
      </w:r>
    </w:p>
    <w:p w:rsidR="003717A0" w:rsidRDefault="003717A0">
      <w:pPr>
        <w:pStyle w:val="Af9"/>
        <w:spacing w:line="360" w:lineRule="auto"/>
        <w:ind w:firstLineChars="200" w:firstLine="420"/>
        <w:jc w:val="center"/>
        <w:rPr>
          <w:color w:val="auto"/>
        </w:rPr>
      </w:pPr>
      <w:r>
        <w:rPr>
          <w:rFonts w:ascii="Trebuchet MS" w:eastAsia="Times New Roman"/>
          <w:color w:val="auto"/>
        </w:rPr>
        <w:t>Local hemodynamic disorder</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4</w:t>
      </w:r>
      <w:r>
        <w:rPr>
          <w:rFonts w:ascii="宋体" w:hAnsi="宋体" w:cs="宋体" w:hint="eastAsia"/>
          <w:b/>
          <w:bCs/>
          <w:color w:val="auto"/>
        </w:rPr>
        <w:t>学时）</w:t>
      </w:r>
    </w:p>
    <w:p w:rsidR="003717A0" w:rsidRDefault="003717A0">
      <w:pPr>
        <w:pStyle w:val="Af9"/>
        <w:spacing w:before="0" w:after="0" w:line="360" w:lineRule="auto"/>
        <w:ind w:left="420"/>
        <w:rPr>
          <w:rFonts w:ascii="宋体" w:cs="宋体"/>
          <w:color w:val="auto"/>
        </w:rPr>
      </w:pPr>
      <w:r>
        <w:rPr>
          <w:rFonts w:ascii="宋体" w:hAnsi="宋体" w:cs="宋体"/>
          <w:color w:val="auto"/>
        </w:rPr>
        <w:t xml:space="preserve">1. </w:t>
      </w:r>
      <w:r>
        <w:rPr>
          <w:rFonts w:ascii="宋体" w:hAnsi="宋体" w:cs="宋体" w:hint="eastAsia"/>
          <w:color w:val="auto"/>
        </w:rPr>
        <w:t>充血和淤血</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血栓形成：血栓形成的条件和机制，血栓形成的过程及形态，血栓的结局和对机体的影响。</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栓塞：栓子运行的途径，栓塞类型和对机体的影响。</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梗死：梗死形成的原因和条件，梗死的病变及类型，梗死对机体的影响和结局。</w:t>
      </w:r>
    </w:p>
    <w:p w:rsidR="003717A0" w:rsidRDefault="003717A0">
      <w:pPr>
        <w:pStyle w:val="Af9"/>
        <w:spacing w:before="0" w:after="0" w:line="360" w:lineRule="auto"/>
        <w:ind w:firstLineChars="200" w:firstLine="420"/>
        <w:rPr>
          <w:b/>
          <w:bCs/>
          <w:color w:val="auto"/>
          <w:sz w:val="22"/>
          <w:szCs w:val="22"/>
        </w:rPr>
      </w:pPr>
      <w:r>
        <w:rPr>
          <w:rFonts w:ascii="宋体" w:hAnsi="宋体" w:cs="宋体"/>
          <w:color w:val="auto"/>
        </w:rPr>
        <w:t>5</w:t>
      </w:r>
      <w:r>
        <w:rPr>
          <w:rFonts w:ascii="宋体" w:hAnsi="宋体" w:cs="宋体" w:hint="eastAsia"/>
          <w:color w:val="auto"/>
        </w:rPr>
        <w:t>．自学与拓展：出血与水肿：病因和发病机制，病理变化，后果。</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spacing w:before="0" w:after="0" w:line="360" w:lineRule="auto"/>
        <w:ind w:right="4" w:firstLineChars="200" w:firstLine="420"/>
        <w:rPr>
          <w:rFonts w:ascii="宋体" w:cs="宋体"/>
          <w:color w:val="auto"/>
        </w:rPr>
      </w:pPr>
      <w:r>
        <w:rPr>
          <w:rFonts w:ascii="Times New Roman" w:eastAsia="Times New Roman"/>
          <w:color w:val="auto"/>
        </w:rPr>
        <w:t>1</w:t>
      </w:r>
      <w:r>
        <w:rPr>
          <w:rFonts w:ascii="宋体" w:hAnsi="宋体" w:cs="宋体" w:hint="eastAsia"/>
          <w:color w:val="auto"/>
        </w:rPr>
        <w:t>．引导片：病理学实习引导片（录像）系列</w:t>
      </w:r>
      <w:r>
        <w:rPr>
          <w:rFonts w:ascii="宋体" w:hAnsi="宋体" w:cs="宋体"/>
          <w:color w:val="auto"/>
        </w:rPr>
        <w:t>4</w:t>
      </w:r>
      <w:r>
        <w:rPr>
          <w:rFonts w:ascii="宋体" w:hAnsi="宋体" w:cs="宋体" w:hint="eastAsia"/>
          <w:color w:val="auto"/>
        </w:rPr>
        <w:t>《局部血液循环障碍》、</w:t>
      </w:r>
      <w:r>
        <w:rPr>
          <w:rFonts w:ascii="宋体" w:hAnsi="宋体" w:cs="宋体"/>
          <w:color w:val="auto"/>
        </w:rPr>
        <w:t>5</w:t>
      </w:r>
      <w:r>
        <w:rPr>
          <w:rFonts w:ascii="宋体" w:hAnsi="宋体" w:cs="宋体" w:hint="eastAsia"/>
          <w:color w:val="auto"/>
        </w:rPr>
        <w:t>《血栓形成》、</w:t>
      </w:r>
      <w:r>
        <w:rPr>
          <w:rFonts w:ascii="宋体" w:hAnsi="宋体" w:cs="宋体"/>
          <w:color w:val="auto"/>
        </w:rPr>
        <w:t>6</w:t>
      </w:r>
      <w:r>
        <w:rPr>
          <w:rFonts w:ascii="宋体" w:hAnsi="宋体" w:cs="宋体" w:hint="eastAsia"/>
          <w:color w:val="auto"/>
        </w:rPr>
        <w:t>、《空气栓塞实验》</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．观察大体标本：肺淤血，槟榔肝，淤血性肝硬变，静脉血栓（股静脉或下腔静脉，髂静脉等），</w:t>
      </w:r>
      <w:r>
        <w:rPr>
          <w:rFonts w:ascii="宋体" w:hAnsi="宋体" w:cs="宋体"/>
          <w:color w:val="auto"/>
        </w:rPr>
        <w:t xml:space="preserve"> </w:t>
      </w:r>
      <w:r>
        <w:rPr>
          <w:rFonts w:ascii="宋体" w:hAnsi="宋体" w:cs="宋体" w:hint="eastAsia"/>
          <w:color w:val="auto"/>
        </w:rPr>
        <w:t>心室附壁血栓，肺动脉栓塞，脾、肾、心肺梗死，脑出血等。</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．观察病理切片：肺水肿，肺、肝淤血，血栓（混合血栓、微血栓），机化之血栓，瘤栓，肾贫血性梗死，肺出血性梗死。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．讨论题：</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）充血、淤血、水肿、血栓形成、栓塞、梗死之间的病理联系。</w:t>
      </w:r>
    </w:p>
    <w:p w:rsidR="003717A0" w:rsidRDefault="003717A0">
      <w:pPr>
        <w:pStyle w:val="Af9"/>
        <w:spacing w:before="0" w:after="0" w:line="360" w:lineRule="auto"/>
        <w:ind w:firstLineChars="200" w:firstLine="420"/>
        <w:rPr>
          <w:rFonts w:ascii="Times New Roman" w:hAnsi="Times New Roman"/>
          <w:color w:val="auto"/>
        </w:rPr>
      </w:pPr>
      <w:r>
        <w:rPr>
          <w:rFonts w:ascii="宋体" w:hAnsi="宋体" w:cs="宋体" w:hint="eastAsia"/>
          <w:color w:val="auto"/>
        </w:rPr>
        <w:t>（</w:t>
      </w:r>
      <w:r>
        <w:rPr>
          <w:rFonts w:ascii="宋体" w:hAnsi="宋体" w:cs="宋体"/>
          <w:color w:val="auto"/>
        </w:rPr>
        <w:t>2</w:t>
      </w:r>
      <w:r>
        <w:rPr>
          <w:rFonts w:ascii="宋体" w:hAnsi="宋体" w:cs="宋体" w:hint="eastAsia"/>
          <w:color w:val="auto"/>
        </w:rPr>
        <w:t>）临床输液的注意事项涉及哪些病理问题</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color w:val="auto"/>
        </w:rPr>
        <w:t>1</w:t>
      </w:r>
      <w:r>
        <w:rPr>
          <w:rFonts w:ascii="宋体" w:hAnsi="宋体" w:cs="宋体" w:hint="eastAsia"/>
          <w:color w:val="auto"/>
        </w:rPr>
        <w:t>．掌握充血及淤血的概念、原因、病理变化及对机体的影响。</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掌握肺淤血、肝淤血的病理变化。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掌握血栓形成和血栓的概念、血栓形成的条件和过程、血栓的类型、血栓的结局和对机体的影响。</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掌握栓塞的概念、栓子的种类和运行途径、血栓栓塞及其后果。结合病例讨论，明确肺循环及体循环发生栓塞的规律性及危害性。</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熟悉脂肪栓塞、气体栓塞、羊水栓塞的概念，形成机制及后果。</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掌握梗死的概念，发生机制、病理变化及对机体的危害。</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了解血栓的形成机制；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8. </w:t>
      </w:r>
      <w:r>
        <w:rPr>
          <w:rFonts w:ascii="宋体" w:hAnsi="宋体" w:cs="宋体" w:hint="eastAsia"/>
          <w:color w:val="auto"/>
        </w:rPr>
        <w:t>了解出血、水肿的概念、原因、类型、病理变化及对机体的影响。</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lastRenderedPageBreak/>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淤血；心衰细胞；肺褐色硬化；槟榔肝；血栓形成；血栓；再通</w:t>
      </w:r>
      <w:r>
        <w:rPr>
          <w:rFonts w:ascii="Trebuchet MS" w:eastAsia="Times New Roman"/>
          <w:color w:val="auto"/>
        </w:rPr>
        <w:t>n</w:t>
      </w:r>
      <w:r>
        <w:rPr>
          <w:rFonts w:ascii="Trebuchet MS" w:eastAsia="Times New Roman"/>
          <w:color w:val="auto"/>
        </w:rPr>
        <w:t>；栓子；栓塞；减压病；梗死；弥漫性血管内凝血（</w:t>
      </w:r>
      <w:r>
        <w:rPr>
          <w:rFonts w:ascii="Trebuchet MS" w:eastAsia="Times New Roman"/>
          <w:color w:val="auto"/>
        </w:rPr>
        <w:t>DIC</w:t>
      </w:r>
      <w:r>
        <w:rPr>
          <w:rFonts w:ascii="Trebuchet MS" w:eastAsia="Times New Roman"/>
          <w:color w:val="auto"/>
        </w:rPr>
        <w:t>）</w:t>
      </w: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第四章</w:t>
      </w:r>
      <w:r>
        <w:rPr>
          <w:rFonts w:ascii="宋体" w:hAnsi="宋体" w:cs="宋体"/>
          <w:b/>
          <w:bCs/>
          <w:color w:val="auto"/>
          <w:sz w:val="22"/>
          <w:szCs w:val="22"/>
        </w:rPr>
        <w:t xml:space="preserve">  </w:t>
      </w:r>
      <w:r>
        <w:rPr>
          <w:rFonts w:ascii="宋体" w:hAnsi="宋体" w:cs="宋体" w:hint="eastAsia"/>
          <w:b/>
          <w:color w:val="auto"/>
        </w:rPr>
        <w:t>炎症（</w:t>
      </w:r>
      <w:r>
        <w:rPr>
          <w:rFonts w:ascii="Trebuchet MS"/>
          <w:b/>
          <w:color w:val="auto"/>
        </w:rPr>
        <w:t>6</w:t>
      </w:r>
      <w:r>
        <w:rPr>
          <w:rFonts w:ascii="宋体" w:hAnsi="宋体" w:cs="宋体" w:hint="eastAsia"/>
          <w:b/>
          <w:color w:val="auto"/>
        </w:rPr>
        <w:t>学时）</w:t>
      </w:r>
    </w:p>
    <w:p w:rsidR="003717A0" w:rsidRDefault="003717A0">
      <w:pPr>
        <w:pStyle w:val="Af9"/>
        <w:spacing w:before="156" w:after="0" w:line="360" w:lineRule="auto"/>
        <w:ind w:right="6" w:firstLineChars="200" w:firstLine="420"/>
        <w:jc w:val="center"/>
        <w:rPr>
          <w:b/>
          <w:bCs/>
          <w:color w:val="auto"/>
          <w:sz w:val="22"/>
          <w:szCs w:val="22"/>
        </w:rPr>
      </w:pPr>
      <w:r>
        <w:rPr>
          <w:rFonts w:ascii="Trebuchet MS" w:eastAsia="Times New Roman"/>
          <w:color w:val="auto"/>
        </w:rPr>
        <w:t>Inflammatio</w:t>
      </w:r>
      <w:r>
        <w:rPr>
          <w:rFonts w:ascii="Trebuchet MS"/>
          <w:color w:val="auto"/>
        </w:rPr>
        <w:t>n</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5</w:t>
      </w:r>
      <w:r>
        <w:rPr>
          <w:rFonts w:ascii="宋体" w:hAnsi="宋体" w:cs="宋体" w:hint="eastAsia"/>
          <w:b/>
          <w:bCs/>
          <w:color w:val="auto"/>
        </w:rPr>
        <w:t>学时）</w:t>
      </w:r>
    </w:p>
    <w:p w:rsidR="003717A0" w:rsidRDefault="003717A0">
      <w:pPr>
        <w:pStyle w:val="Af9"/>
        <w:tabs>
          <w:tab w:val="left" w:pos="-142"/>
        </w:tabs>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概述：炎症的概念、原因、基本病理变化、局部表现和全身反应。</w:t>
      </w:r>
    </w:p>
    <w:p w:rsidR="003717A0" w:rsidRDefault="003717A0">
      <w:pPr>
        <w:pStyle w:val="Af9"/>
        <w:tabs>
          <w:tab w:val="left" w:pos="-142"/>
        </w:tabs>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急性炎症：急性炎症过程中的血管反应，急性炎症过程中的白细胞反应，炎症介质在炎症过程中的作用，急性炎症的类型及其病理变化，急性炎症的结局。</w:t>
      </w:r>
    </w:p>
    <w:p w:rsidR="003717A0" w:rsidRDefault="003717A0">
      <w:pPr>
        <w:pStyle w:val="Af9"/>
        <w:tabs>
          <w:tab w:val="left" w:pos="-142"/>
        </w:tabs>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慢性炎症：一般慢性炎症的病理变化特点，慢性肉芽肿性炎。</w:t>
      </w:r>
    </w:p>
    <w:p w:rsidR="003717A0" w:rsidRDefault="003717A0">
      <w:pPr>
        <w:pStyle w:val="Af9"/>
        <w:tabs>
          <w:tab w:val="left" w:pos="-142"/>
        </w:tabs>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自学与拓展：</w:t>
      </w:r>
    </w:p>
    <w:p w:rsidR="003717A0" w:rsidRDefault="003717A0">
      <w:pPr>
        <w:pStyle w:val="Af9"/>
        <w:tabs>
          <w:tab w:val="left" w:pos="-142"/>
        </w:tabs>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）炎症细胞的种类与功能</w:t>
      </w:r>
    </w:p>
    <w:p w:rsidR="003717A0" w:rsidRDefault="003717A0">
      <w:pPr>
        <w:pStyle w:val="Af9"/>
        <w:tabs>
          <w:tab w:val="left" w:pos="-142"/>
        </w:tabs>
        <w:spacing w:before="0" w:after="0" w:line="360" w:lineRule="auto"/>
        <w:ind w:firstLineChars="200" w:firstLine="420"/>
        <w:rPr>
          <w:b/>
          <w:bCs/>
          <w:color w:val="auto"/>
          <w:sz w:val="22"/>
          <w:szCs w:val="22"/>
        </w:rPr>
      </w:pPr>
      <w:r>
        <w:rPr>
          <w:rFonts w:ascii="宋体" w:hAnsi="宋体" w:cs="宋体" w:hint="eastAsia"/>
          <w:color w:val="auto"/>
        </w:rPr>
        <w:t>（</w:t>
      </w:r>
      <w:r>
        <w:rPr>
          <w:rFonts w:ascii="宋体" w:hAnsi="宋体" w:cs="宋体"/>
          <w:color w:val="auto"/>
        </w:rPr>
        <w:t>2</w:t>
      </w:r>
      <w:r>
        <w:rPr>
          <w:rFonts w:ascii="宋体" w:hAnsi="宋体" w:cs="宋体" w:hint="eastAsia"/>
          <w:color w:val="auto"/>
        </w:rPr>
        <w:t>）炎性介质的种类与功能。</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spacing w:before="0" w:after="0" w:line="360" w:lineRule="auto"/>
        <w:ind w:right="4" w:firstLineChars="200" w:firstLine="420"/>
        <w:rPr>
          <w:rFonts w:ascii="宋体" w:cs="宋体"/>
          <w:color w:val="auto"/>
        </w:rPr>
      </w:pPr>
      <w:r>
        <w:rPr>
          <w:rFonts w:ascii="Times New Roman" w:eastAsia="Times New Roman"/>
          <w:color w:val="auto"/>
        </w:rPr>
        <w:t>1</w:t>
      </w:r>
      <w:r>
        <w:rPr>
          <w:rFonts w:ascii="宋体" w:hAnsi="宋体" w:cs="宋体"/>
          <w:color w:val="auto"/>
        </w:rPr>
        <w:t xml:space="preserve">. </w:t>
      </w:r>
      <w:r>
        <w:rPr>
          <w:rFonts w:ascii="宋体" w:hAnsi="宋体" w:cs="宋体" w:hint="eastAsia"/>
          <w:color w:val="auto"/>
        </w:rPr>
        <w:t>引导片：病理学实习引导片（录像）系列</w:t>
      </w:r>
      <w:r>
        <w:rPr>
          <w:rFonts w:ascii="宋体" w:hAnsi="宋体" w:cs="宋体"/>
          <w:color w:val="auto"/>
        </w:rPr>
        <w:t>7</w:t>
      </w:r>
      <w:r>
        <w:rPr>
          <w:rFonts w:ascii="宋体" w:hAnsi="宋体" w:cs="宋体" w:hint="eastAsia"/>
          <w:color w:val="auto"/>
        </w:rPr>
        <w:t>《炎症》、</w:t>
      </w:r>
      <w:r>
        <w:rPr>
          <w:rFonts w:ascii="宋体" w:hAnsi="宋体" w:cs="宋体"/>
          <w:color w:val="auto"/>
        </w:rPr>
        <w:t>8</w:t>
      </w:r>
      <w:r>
        <w:rPr>
          <w:rFonts w:ascii="宋体" w:hAnsi="宋体" w:cs="宋体" w:hint="eastAsia"/>
          <w:color w:val="auto"/>
        </w:rPr>
        <w:t>《炎症渗出》。</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观察大体标本：白喉，纤维素性心包炎，纤维素性胸膜炎，细菌性痢疾之肠，脑脓肿，肺、肝脓肿，化脓性脑膜炎，急性阑尾炎，鼻息肉，慢性结核性胸膜炎等。</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观察病理切片：心肌间质小脓肿，急性病毒性肝炎，肠细菌性痢疾，急性蜂窝性阑尾炎，化脓性脑膜炎，肉芽组织，慢性扁桃体炎，结核性肉芽肿，慢性肉芽肿性炎等。</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辩论题：炎症对肌体的影响（正方：炎症对肌体有利，反方：炎症造成组织损伤对肌体不利）</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color w:val="auto"/>
        </w:rPr>
        <w:t>1</w:t>
      </w:r>
      <w:r>
        <w:rPr>
          <w:rFonts w:ascii="宋体" w:hAnsi="宋体" w:cs="宋体"/>
          <w:color w:val="auto"/>
        </w:rPr>
        <w:t xml:space="preserve">. </w:t>
      </w:r>
      <w:r>
        <w:rPr>
          <w:rFonts w:ascii="宋体" w:hAnsi="宋体" w:cs="宋体" w:hint="eastAsia"/>
          <w:color w:val="auto"/>
        </w:rPr>
        <w:t>掌握炎症的概念，炎症的原因、局部表现和全身反应。</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掌握炎症局部的基本病理变化（变质、渗出和增生）和炎症的结局。</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熟悉急性炎症病变过程中血管变化以及白细胞渗出的机制。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掌握渗出的概念及渗出液的意义，以及与漏出液的区别。</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了解炎症介质在炎症过程中的作用及其意义。</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掌握急性炎症的病理分型、经过和结局。</w:t>
      </w:r>
    </w:p>
    <w:p w:rsidR="003717A0" w:rsidRDefault="003717A0">
      <w:pPr>
        <w:pStyle w:val="Af9"/>
        <w:spacing w:before="0" w:after="0" w:line="360" w:lineRule="auto"/>
        <w:ind w:firstLineChars="200" w:firstLine="420"/>
        <w:rPr>
          <w:rFonts w:ascii="Times New Roman Bold" w:hAnsi="Times New Roman Bold" w:cs="Times New Roman Bold"/>
          <w:color w:val="auto"/>
        </w:rPr>
      </w:pPr>
      <w:r>
        <w:rPr>
          <w:rFonts w:ascii="宋体" w:hAnsi="宋体" w:cs="宋体"/>
          <w:color w:val="auto"/>
        </w:rPr>
        <w:t xml:space="preserve">6. </w:t>
      </w:r>
      <w:r>
        <w:rPr>
          <w:rFonts w:ascii="宋体" w:hAnsi="宋体" w:cs="宋体" w:hint="eastAsia"/>
          <w:color w:val="auto"/>
        </w:rPr>
        <w:t>掌握一般慢性炎症的病理变化特点、以及慢性肉芽肿性炎的概念、病因和形态特点</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lastRenderedPageBreak/>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炎症；变质；渗出；渗出液；败血症；脓毒血症；绒毛心；假膜性炎；蜂窝织炎；脓肿；肉芽肿性炎；炎症介质；炎性假瘤</w:t>
      </w: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第五章</w:t>
      </w:r>
      <w:r>
        <w:rPr>
          <w:rFonts w:ascii="宋体" w:hAnsi="宋体" w:cs="宋体"/>
          <w:b/>
          <w:bCs/>
          <w:color w:val="auto"/>
          <w:sz w:val="22"/>
          <w:szCs w:val="22"/>
        </w:rPr>
        <w:t xml:space="preserve">  </w:t>
      </w:r>
      <w:r>
        <w:rPr>
          <w:rFonts w:ascii="宋体" w:hAnsi="宋体" w:cs="宋体" w:hint="eastAsia"/>
          <w:b/>
          <w:color w:val="auto"/>
        </w:rPr>
        <w:t>肿瘤（</w:t>
      </w:r>
      <w:r>
        <w:rPr>
          <w:rFonts w:ascii="Trebuchet MS"/>
          <w:b/>
          <w:color w:val="auto"/>
        </w:rPr>
        <w:t>9</w:t>
      </w:r>
      <w:r>
        <w:rPr>
          <w:rFonts w:ascii="宋体" w:hAnsi="宋体" w:cs="宋体" w:hint="eastAsia"/>
          <w:b/>
          <w:color w:val="auto"/>
        </w:rPr>
        <w:t>学时）</w:t>
      </w:r>
    </w:p>
    <w:p w:rsidR="003717A0" w:rsidRDefault="003717A0">
      <w:pPr>
        <w:pStyle w:val="Af9"/>
        <w:spacing w:before="156" w:after="0" w:line="360" w:lineRule="auto"/>
        <w:ind w:right="4" w:firstLineChars="200" w:firstLine="420"/>
        <w:jc w:val="center"/>
        <w:rPr>
          <w:b/>
          <w:bCs/>
          <w:color w:val="auto"/>
          <w:sz w:val="22"/>
          <w:szCs w:val="22"/>
        </w:rPr>
      </w:pPr>
      <w:r>
        <w:rPr>
          <w:rFonts w:ascii="Trebuchet MS" w:eastAsia="Times New Roman"/>
          <w:color w:val="auto"/>
        </w:rPr>
        <w:t>Tumor</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6</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肿瘤的概念和一般形态：肿瘤的有关概念、肿瘤性增生与非肿瘤性增生的区别。肿瘤的一般形态和结构。</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肿瘤的异型性：肿瘤的组织结构异型性，肿瘤细胞的异型性。</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肿瘤的生长与扩散：肿瘤生长的生物学，肿瘤的生长方式和扩散，肿瘤的分级和分期。</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肿瘤对机体的影响：良性肿瘤，恶性肿瘤。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良性肿瘤和恶性肿瘤的区别。</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肿瘤的命名和分类：肿瘤的命名原则和肿瘤的分类。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常见的肿瘤举例：上皮组织肿瘤、间叶组织肿瘤和神经外胚叶源性肿瘤。</w:t>
      </w:r>
    </w:p>
    <w:p w:rsidR="003717A0" w:rsidRDefault="003717A0">
      <w:pPr>
        <w:pStyle w:val="Af9"/>
        <w:spacing w:before="0" w:after="0" w:line="360" w:lineRule="auto"/>
        <w:ind w:right="6" w:firstLineChars="200" w:firstLine="420"/>
        <w:rPr>
          <w:b/>
          <w:bCs/>
          <w:color w:val="auto"/>
          <w:sz w:val="22"/>
          <w:szCs w:val="22"/>
        </w:rPr>
      </w:pPr>
      <w:r>
        <w:rPr>
          <w:rFonts w:ascii="宋体" w:hAnsi="宋体" w:cs="宋体"/>
          <w:color w:val="auto"/>
        </w:rPr>
        <w:t xml:space="preserve">8. </w:t>
      </w:r>
      <w:r>
        <w:rPr>
          <w:rFonts w:ascii="宋体" w:hAnsi="宋体" w:cs="宋体" w:hint="eastAsia"/>
          <w:color w:val="auto"/>
        </w:rPr>
        <w:t>自学与拓展：肿瘤的病因学和发病学：肿瘤发生的分子生物学，多步癌变的分子基础，环境致癌因素及致癌机制，影响肿瘤发生、发展的内在因素及其作用机制。</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3</w:t>
      </w:r>
      <w:r>
        <w:rPr>
          <w:rFonts w:ascii="宋体" w:hAnsi="宋体" w:cs="宋体" w:hint="eastAsia"/>
          <w:b/>
          <w:bCs/>
          <w:color w:val="auto"/>
        </w:rPr>
        <w:t>学时）</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Times New Roman" w:eastAsia="Times New Roman"/>
          <w:color w:val="auto"/>
        </w:rPr>
        <w:t>1</w:t>
      </w:r>
      <w:r>
        <w:rPr>
          <w:rFonts w:ascii="宋体" w:hAnsi="宋体" w:cs="宋体" w:hint="eastAsia"/>
          <w:color w:val="auto"/>
        </w:rPr>
        <w:t>．引导片：病理学实习引导片（录像）系列</w:t>
      </w:r>
      <w:r>
        <w:rPr>
          <w:rFonts w:ascii="宋体" w:hAnsi="宋体" w:cs="宋体"/>
          <w:color w:val="auto"/>
        </w:rPr>
        <w:t>9</w:t>
      </w:r>
      <w:r>
        <w:rPr>
          <w:rFonts w:ascii="宋体" w:hAnsi="宋体" w:cs="宋体" w:hint="eastAsia"/>
          <w:color w:val="auto"/>
        </w:rPr>
        <w:t>《肿瘤》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乳头状瘤，乳腺纤维腺瘤，食道、宫颈、阴茎鳞状细胞癌，弥漫性胃癌（革囊胃），溃疡型胃癌，结肠癌，膀胱移行上皮癌，子宫平滑肌瘤，纤维瘤，脂肪瘤，脂肪肉瘤，骨瘤，骨肉瘤，软骨瘤，骨巨细胞瘤，星形细胞瘤，肾细胞癌，涎腺混合瘤，视网膜母细胞瘤，畸胎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皮肤乳头状瘤，乳腺纤维腺瘤，甲状腺腺瘤，卵巢粘液性乳头状囊腺瘤，多形性腺瘤，皮肤鳞状细胞癌，食道、宫颈鳞状细胞癌，膀胱移行上皮癌，胃管状腺癌，粘液腺癌，肝细胞肝癌、乳腺浸润性导管癌，纤维瘤，脂肪瘤，脉管瘤，平滑肌瘤，痣，平滑肌肉瘤，骨肉瘤，恶性纤维组织细胞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．辩论题：肿瘤是人类的第一杀手（正方：肿瘤是可防可治。反方：肿瘤不可防不可治）</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color w:val="auto"/>
        </w:rPr>
        <w:t>1</w:t>
      </w:r>
      <w:r>
        <w:rPr>
          <w:rFonts w:ascii="宋体" w:hAnsi="宋体" w:cs="宋体" w:hint="eastAsia"/>
          <w:color w:val="auto"/>
        </w:rPr>
        <w:t>．掌握肿瘤的概念，熟悉肿瘤性增生和非肿瘤性增生的区别。</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．掌握肿瘤的形态特点、生长方式、转移途径以及对机体的影响。</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lastRenderedPageBreak/>
        <w:t>3</w:t>
      </w:r>
      <w:r>
        <w:rPr>
          <w:rFonts w:ascii="宋体" w:hAnsi="宋体" w:cs="宋体" w:hint="eastAsia"/>
          <w:color w:val="auto"/>
        </w:rPr>
        <w:t>．掌握良性肿瘤与恶性肿瘤的区别、癌与肉瘤的区别、以及交界性肿瘤的概念。</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．掌握异性增生、癌前病变、上皮内瘤变和原位癌的概念。</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5</w:t>
      </w:r>
      <w:r>
        <w:rPr>
          <w:rFonts w:ascii="宋体" w:hAnsi="宋体" w:cs="宋体" w:hint="eastAsia"/>
          <w:color w:val="auto"/>
        </w:rPr>
        <w:t>．熟悉肿瘤的命名及分类原则、肿瘤的分级和分期的原则、。</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6</w:t>
      </w:r>
      <w:r>
        <w:rPr>
          <w:rFonts w:ascii="宋体" w:hAnsi="宋体" w:cs="宋体" w:hint="eastAsia"/>
          <w:color w:val="auto"/>
        </w:rPr>
        <w:t>．熟悉常见的癌前病变。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7</w:t>
      </w:r>
      <w:r>
        <w:rPr>
          <w:rFonts w:ascii="宋体" w:hAnsi="宋体" w:cs="宋体" w:hint="eastAsia"/>
          <w:color w:val="auto"/>
        </w:rPr>
        <w:t>．了解肿瘤的分子病理学检查方法</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8</w:t>
      </w:r>
      <w:r>
        <w:rPr>
          <w:rFonts w:ascii="宋体" w:hAnsi="宋体" w:cs="宋体" w:hint="eastAsia"/>
          <w:color w:val="auto"/>
        </w:rPr>
        <w:t>．了解肿瘤浸润和转移的机制。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9</w:t>
      </w:r>
      <w:r>
        <w:rPr>
          <w:rFonts w:ascii="宋体" w:hAnsi="宋体" w:cs="宋体" w:hint="eastAsia"/>
          <w:color w:val="auto"/>
        </w:rPr>
        <w:t>．了解肿瘤发生的分子生物学基础。</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10</w:t>
      </w:r>
      <w:r>
        <w:rPr>
          <w:rFonts w:ascii="宋体" w:hAnsi="宋体" w:cs="宋体" w:hint="eastAsia"/>
          <w:color w:val="auto"/>
        </w:rPr>
        <w:t>．了解常见的环境致癌因素、以及影响肿瘤发生、发展的内在因素。</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before="0" w:after="0" w:line="360" w:lineRule="auto"/>
        <w:ind w:firstLineChars="200" w:firstLine="420"/>
        <w:rPr>
          <w:rFonts w:ascii="Trebuchet MS"/>
          <w:color w:val="auto"/>
        </w:rPr>
      </w:pPr>
      <w:r>
        <w:rPr>
          <w:rFonts w:ascii="Trebuchet MS" w:eastAsia="Times New Roman"/>
          <w:color w:val="auto"/>
        </w:rPr>
        <w:t>肿瘤；分化</w:t>
      </w:r>
      <w:r>
        <w:rPr>
          <w:rFonts w:ascii="Trebuchet MS" w:eastAsia="Times New Roman"/>
          <w:color w:val="auto"/>
        </w:rPr>
        <w:t>n</w:t>
      </w:r>
      <w:r>
        <w:rPr>
          <w:rFonts w:ascii="Trebuchet MS" w:eastAsia="Times New Roman"/>
          <w:color w:val="auto"/>
        </w:rPr>
        <w:t>；异型性；间变；多形性；转移；种植性转移；非典型性增生；癌；肉瘤；原位癌；癌前病变；异位内分泌综合征；副肿瘤综合征；恶病质；肿瘤的演进；肿瘤异质性</w:t>
      </w:r>
    </w:p>
    <w:p w:rsidR="003717A0" w:rsidRDefault="003717A0">
      <w:pPr>
        <w:pStyle w:val="Af9"/>
        <w:spacing w:line="360" w:lineRule="auto"/>
        <w:ind w:firstLineChars="200" w:firstLine="442"/>
        <w:jc w:val="center"/>
        <w:rPr>
          <w:b/>
          <w:bCs/>
          <w:color w:val="auto"/>
          <w:sz w:val="22"/>
          <w:szCs w:val="22"/>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第六章</w:t>
      </w:r>
      <w:r>
        <w:rPr>
          <w:rFonts w:ascii="宋体" w:hAnsi="宋体" w:cs="宋体"/>
          <w:b/>
          <w:bCs/>
          <w:color w:val="auto"/>
          <w:sz w:val="22"/>
          <w:szCs w:val="22"/>
        </w:rPr>
        <w:t xml:space="preserve">  </w:t>
      </w:r>
      <w:r>
        <w:rPr>
          <w:rFonts w:ascii="宋体" w:hAnsi="宋体" w:cs="宋体" w:hint="eastAsia"/>
          <w:b/>
          <w:color w:val="auto"/>
        </w:rPr>
        <w:t>心血管系统疾病（</w:t>
      </w:r>
      <w:r>
        <w:rPr>
          <w:rFonts w:ascii="Trebuchet MS"/>
          <w:b/>
          <w:color w:val="auto"/>
        </w:rPr>
        <w:t>7</w:t>
      </w:r>
      <w:r>
        <w:rPr>
          <w:rFonts w:ascii="宋体" w:hAnsi="宋体" w:cs="宋体" w:hint="eastAsia"/>
          <w:b/>
          <w:color w:val="auto"/>
        </w:rPr>
        <w:t>学时）</w:t>
      </w:r>
    </w:p>
    <w:p w:rsidR="003717A0" w:rsidRDefault="003717A0">
      <w:pPr>
        <w:pStyle w:val="Af9"/>
        <w:spacing w:line="360" w:lineRule="auto"/>
        <w:ind w:firstLineChars="200" w:firstLine="420"/>
        <w:jc w:val="center"/>
        <w:rPr>
          <w:b/>
          <w:bCs/>
          <w:color w:val="auto"/>
          <w:sz w:val="22"/>
          <w:szCs w:val="22"/>
        </w:rPr>
      </w:pPr>
      <w:r>
        <w:rPr>
          <w:rStyle w:val="Hyperlink0"/>
          <w:rFonts w:ascii="Trebuchet MS" w:eastAsia="Times New Roman" w:cs="Calibri"/>
          <w:color w:val="auto"/>
        </w:rPr>
        <w:t>Diseases</w:t>
      </w:r>
      <w:r>
        <w:rPr>
          <w:rFonts w:ascii="Trebuchet MS" w:eastAsia="Times New Roman"/>
          <w:color w:val="auto"/>
        </w:rPr>
        <w:t xml:space="preserve"> </w:t>
      </w:r>
      <w:r>
        <w:rPr>
          <w:rStyle w:val="Hyperlink0"/>
          <w:rFonts w:ascii="Trebuchet MS" w:eastAsia="Times New Roman" w:cs="Calibri"/>
          <w:color w:val="auto"/>
        </w:rPr>
        <w:t>of</w:t>
      </w:r>
      <w:r>
        <w:rPr>
          <w:rFonts w:ascii="Trebuchet MS" w:eastAsia="Times New Roman"/>
          <w:color w:val="auto"/>
        </w:rPr>
        <w:t xml:space="preserve"> </w:t>
      </w:r>
      <w:r>
        <w:rPr>
          <w:rStyle w:val="Hyperlink0"/>
          <w:rFonts w:ascii="Trebuchet MS" w:eastAsia="Times New Roman" w:cs="Calibri"/>
          <w:color w:val="auto"/>
        </w:rPr>
        <w:t>Cardiovascular</w:t>
      </w:r>
      <w:r>
        <w:rPr>
          <w:rFonts w:ascii="Trebuchet MS" w:eastAsia="Times New Roman"/>
          <w:color w:val="auto"/>
        </w:rPr>
        <w:t xml:space="preserve"> </w:t>
      </w:r>
      <w:r>
        <w:rPr>
          <w:rStyle w:val="Hyperlink0"/>
          <w:rFonts w:ascii="Trebuchet MS" w:eastAsia="Times New Roman" w:cs="Calibri"/>
          <w:color w:val="auto"/>
        </w:rPr>
        <w:t>system</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6</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动脉粥样硬化：病因和发病机制，病理变化，重要器官的动脉粥样硬化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冠状动脉粥样硬化及冠状动脉性心脏病</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高血压病：病因和发病机理，类型和病理变化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风湿病：病因和发病机制，基本病变，风湿病的各器官病变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感染性心内膜炎：病因和发病机制，病理变化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心瓣膜病</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自学与拓展：</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）心肌病：扩张性心肌病，肥厚性心肌病，限制性心肌病</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2</w:t>
      </w:r>
      <w:r>
        <w:rPr>
          <w:rFonts w:ascii="宋体" w:hAnsi="宋体" w:cs="宋体" w:hint="eastAsia"/>
          <w:color w:val="auto"/>
        </w:rPr>
        <w:t>）心肌炎：病毒性心肌炎，细菌性心肌炎，孤立性心肌炎</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3</w:t>
      </w:r>
      <w:r>
        <w:rPr>
          <w:rFonts w:ascii="宋体" w:hAnsi="宋体" w:cs="宋体" w:hint="eastAsia"/>
          <w:color w:val="auto"/>
        </w:rPr>
        <w:t>）心包炎：急性心包炎、慢性心包炎</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Times New Roman" w:eastAsia="Times New Roman"/>
          <w:color w:val="auto"/>
        </w:rPr>
        <w:t>1</w:t>
      </w:r>
      <w:r>
        <w:rPr>
          <w:rFonts w:ascii="宋体" w:hAnsi="宋体" w:cs="宋体" w:hint="eastAsia"/>
          <w:color w:val="auto"/>
        </w:rPr>
        <w:t>．引导片：病理学实习引导片（录像）系列</w:t>
      </w:r>
      <w:r>
        <w:rPr>
          <w:rFonts w:ascii="宋体" w:hAnsi="宋体" w:cs="宋体"/>
          <w:color w:val="auto"/>
        </w:rPr>
        <w:t>10</w:t>
      </w:r>
      <w:r>
        <w:rPr>
          <w:rFonts w:ascii="宋体" w:hAnsi="宋体" w:cs="宋体" w:hint="eastAsia"/>
          <w:color w:val="auto"/>
        </w:rPr>
        <w:t>《心血管系统疾病》</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．观察大体标本：主动脉粥样硬化（各期病变）、冠状动脉粥样硬化；高血压心脏、高血压病</w:t>
      </w:r>
      <w:r>
        <w:rPr>
          <w:rFonts w:ascii="宋体" w:hAnsi="宋体" w:cs="宋体" w:hint="eastAsia"/>
          <w:color w:val="auto"/>
        </w:rPr>
        <w:lastRenderedPageBreak/>
        <w:t>之肾脏；慢性风湿性心脏病；细菌性心内膜炎心脏；心肌梗死各种类型；心瓣膜病。</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．观察病理切片：风湿性心内膜炎；心肌炎；主动脉和冠状动脉粥样硬化；心肌梗死，高血压肾；慢性瓣膜病；细菌性心内膜炎。</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4</w:t>
      </w:r>
      <w:r>
        <w:rPr>
          <w:rFonts w:ascii="宋体" w:hAnsi="宋体" w:cs="宋体" w:hint="eastAsia"/>
          <w:color w:val="auto"/>
        </w:rPr>
        <w:t>．病例讨论。</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掌握动脉粥样硬化症的基本病变特点及后果。</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掌握冠状动脉粥样硬化性心脏病的类型及病理改变，掌握心肌梗死的发病机理、病变及结局和危害。</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掌握高血压病的基本病理改变、各期的病理变化及后果。</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熟悉：脑动脉、四肢动脉、肾动脉硬化的病变特点和危害性。</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掌握风湿病的基本病变及其发展过程</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熟悉慢性心瓣膜病的病理形态学特点、危害性及临床病理联系。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掌握细菌性心内膜炎的病理变化及临床病理联系。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8. </w:t>
      </w:r>
      <w:r>
        <w:rPr>
          <w:rFonts w:ascii="宋体" w:hAnsi="宋体" w:cs="宋体" w:hint="eastAsia"/>
          <w:color w:val="auto"/>
        </w:rPr>
        <w:t>了解以上各种疾病的病因、发病机制。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9. </w:t>
      </w:r>
      <w:r>
        <w:rPr>
          <w:rFonts w:ascii="宋体" w:hAnsi="宋体" w:cs="宋体" w:hint="eastAsia"/>
          <w:color w:val="auto"/>
        </w:rPr>
        <w:t>了解心肌病和心肌炎的概念及其常见类型、结局和危害。</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eastAsia="Times New Roman"/>
          <w:color w:val="auto"/>
        </w:rPr>
      </w:pPr>
      <w:r>
        <w:rPr>
          <w:rFonts w:ascii="Trebuchet MS" w:eastAsia="Times New Roman"/>
          <w:color w:val="auto"/>
        </w:rPr>
        <w:t>动脉粥样硬化；冠状动脉性心脏病；心肌梗死；高血压；向心性肥厚；原发性固缩肾；风湿性肉芽肿；风湿小体；</w:t>
      </w:r>
      <w:r>
        <w:rPr>
          <w:rFonts w:ascii="Trebuchet MS" w:eastAsia="Times New Roman"/>
          <w:color w:val="auto"/>
        </w:rPr>
        <w:t xml:space="preserve"> </w:t>
      </w:r>
    </w:p>
    <w:p w:rsidR="003717A0" w:rsidRDefault="003717A0">
      <w:pPr>
        <w:pStyle w:val="Af9"/>
        <w:spacing w:before="0" w:after="0" w:line="360" w:lineRule="auto"/>
        <w:ind w:left="420" w:right="4" w:firstLineChars="200" w:firstLine="420"/>
        <w:rPr>
          <w:rFonts w:ascii="Times New Roman" w:hAnsi="Times New Roman"/>
          <w:color w:val="auto"/>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第七章</w:t>
      </w:r>
      <w:r>
        <w:rPr>
          <w:rFonts w:ascii="宋体" w:hAnsi="宋体" w:cs="宋体"/>
          <w:b/>
          <w:bCs/>
          <w:color w:val="auto"/>
          <w:sz w:val="22"/>
          <w:szCs w:val="22"/>
        </w:rPr>
        <w:t xml:space="preserve">  </w:t>
      </w:r>
      <w:r>
        <w:rPr>
          <w:rFonts w:ascii="宋体" w:hAnsi="宋体" w:cs="宋体" w:hint="eastAsia"/>
          <w:b/>
          <w:color w:val="auto"/>
        </w:rPr>
        <w:t>呼吸系统疾病（</w:t>
      </w:r>
      <w:r>
        <w:rPr>
          <w:rFonts w:ascii="Trebuchet MS"/>
          <w:b/>
          <w:color w:val="auto"/>
        </w:rPr>
        <w:t>7</w:t>
      </w:r>
      <w:r>
        <w:rPr>
          <w:rFonts w:ascii="宋体" w:hAnsi="宋体" w:cs="宋体" w:hint="eastAsia"/>
          <w:b/>
          <w:color w:val="auto"/>
        </w:rPr>
        <w:t>学时）</w:t>
      </w:r>
    </w:p>
    <w:p w:rsidR="003717A0" w:rsidRDefault="003717A0">
      <w:pPr>
        <w:pStyle w:val="Af9"/>
        <w:spacing w:before="156" w:after="0" w:line="360" w:lineRule="auto"/>
        <w:ind w:right="6" w:firstLineChars="200" w:firstLine="420"/>
        <w:jc w:val="center"/>
        <w:rPr>
          <w:b/>
          <w:bCs/>
          <w:color w:val="auto"/>
          <w:sz w:val="22"/>
          <w:szCs w:val="22"/>
        </w:rPr>
      </w:pPr>
      <w:r>
        <w:rPr>
          <w:rStyle w:val="Hyperlink0"/>
          <w:rFonts w:ascii="Trebuchet MS" w:eastAsia="Times New Roman" w:cs="Calibri"/>
          <w:color w:val="auto"/>
        </w:rPr>
        <w:t>diseases</w:t>
      </w:r>
      <w:r>
        <w:rPr>
          <w:rFonts w:ascii="Trebuchet MS" w:eastAsia="Times New Roman"/>
          <w:color w:val="auto"/>
        </w:rPr>
        <w:t xml:space="preserve"> of </w:t>
      </w:r>
      <w:r>
        <w:rPr>
          <w:rStyle w:val="Hyperlink0"/>
          <w:rFonts w:ascii="Trebuchet MS" w:eastAsia="Times New Roman" w:cs="Calibri"/>
          <w:color w:val="auto"/>
        </w:rPr>
        <w:t>respiratory</w:t>
      </w:r>
      <w:r>
        <w:rPr>
          <w:rFonts w:ascii="Trebuchet MS" w:eastAsia="Times New Roman"/>
          <w:color w:val="auto"/>
        </w:rPr>
        <w:t xml:space="preserve"> system</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6</w:t>
      </w:r>
      <w:r>
        <w:rPr>
          <w:rFonts w:ascii="宋体" w:hAnsi="宋体" w:cs="宋体" w:hint="eastAsia"/>
          <w:b/>
          <w:bCs/>
          <w:color w:val="auto"/>
        </w:rPr>
        <w:t>学时）</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呼吸道感染：急性支气管炎、急性细支气管炎、肺炎</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慢性阻塞性肺疾病：慢性支气管炎、肺气肿</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肺间质疾病：肺硅沉着病</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慢性肺动脉高压症及肺心病：慢性肺动脉高压症、肺心病</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呼吸系统常见肿瘤：鼻咽癌、肺癌</w:t>
      </w:r>
    </w:p>
    <w:p w:rsidR="003717A0" w:rsidRDefault="003717A0">
      <w:pPr>
        <w:pStyle w:val="Af9"/>
        <w:tabs>
          <w:tab w:val="left" w:pos="0"/>
        </w:tabs>
        <w:spacing w:before="0" w:after="0" w:line="360" w:lineRule="auto"/>
        <w:ind w:firstLineChars="200" w:firstLine="420"/>
        <w:rPr>
          <w:rFonts w:ascii="Trebuchet MS Bold" w:hAnsi="Trebuchet MS Bold" w:cs="Trebuchet MS Bold"/>
          <w:b/>
          <w:bCs/>
          <w:color w:val="auto"/>
          <w:sz w:val="22"/>
          <w:szCs w:val="22"/>
        </w:rPr>
      </w:pPr>
      <w:r>
        <w:rPr>
          <w:rFonts w:ascii="宋体" w:hAnsi="宋体" w:cs="宋体"/>
          <w:color w:val="auto"/>
        </w:rPr>
        <w:t xml:space="preserve">6. </w:t>
      </w:r>
      <w:r>
        <w:rPr>
          <w:rFonts w:ascii="宋体" w:hAnsi="宋体" w:cs="宋体" w:hint="eastAsia"/>
          <w:color w:val="auto"/>
        </w:rPr>
        <w:t>自学与拓展：支气管哮喘、支气管扩张症、成人呼吸窘迫综合征。</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lastRenderedPageBreak/>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spacing w:before="0" w:after="0" w:line="360" w:lineRule="auto"/>
        <w:ind w:right="4" w:firstLineChars="200" w:firstLine="420"/>
        <w:rPr>
          <w:rFonts w:ascii="宋体" w:cs="宋体"/>
          <w:color w:val="auto"/>
        </w:rPr>
      </w:pPr>
      <w:r>
        <w:rPr>
          <w:rFonts w:ascii="Times New Roman" w:eastAsia="Times New Roman"/>
          <w:color w:val="auto"/>
        </w:rPr>
        <w:t>1</w:t>
      </w:r>
      <w:r>
        <w:rPr>
          <w:rFonts w:ascii="宋体" w:hAnsi="宋体" w:cs="宋体" w:hint="eastAsia"/>
          <w:color w:val="auto"/>
        </w:rPr>
        <w:t>．引导片：病理学实习引导片（录像）系列</w:t>
      </w:r>
      <w:r>
        <w:rPr>
          <w:rFonts w:ascii="宋体" w:hAnsi="宋体" w:cs="宋体"/>
          <w:color w:val="auto"/>
        </w:rPr>
        <w:t>11</w:t>
      </w:r>
      <w:r>
        <w:rPr>
          <w:rFonts w:ascii="宋体" w:hAnsi="宋体" w:cs="宋体" w:hint="eastAsia"/>
          <w:color w:val="auto"/>
        </w:rPr>
        <w:t>《呼吸系统疾病》</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．观察大体标本：大叶性肺炎，小叶性肺炎，肺气肿，支气管扩张，肺心病，硅肺，肺癌。</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．观察病理切片：大叶性肺炎，小叶性肺炎，慢支，硅肺，鼻咽癌，各型肺癌。</w:t>
      </w:r>
    </w:p>
    <w:p w:rsidR="003717A0" w:rsidRDefault="003717A0">
      <w:pPr>
        <w:pStyle w:val="Af9"/>
        <w:tabs>
          <w:tab w:val="left" w:pos="1260"/>
        </w:tabs>
        <w:spacing w:before="0" w:after="0" w:line="360" w:lineRule="auto"/>
        <w:ind w:right="4" w:firstLineChars="200" w:firstLine="420"/>
        <w:rPr>
          <w:rFonts w:ascii="Times New Roman" w:hAnsi="Times New Roman"/>
          <w:color w:val="auto"/>
        </w:rPr>
      </w:pPr>
      <w:r>
        <w:rPr>
          <w:rFonts w:ascii="宋体" w:hAnsi="宋体" w:cs="宋体"/>
          <w:color w:val="auto"/>
        </w:rPr>
        <w:t>4</w:t>
      </w:r>
      <w:r>
        <w:rPr>
          <w:rFonts w:ascii="宋体" w:hAnsi="宋体" w:cs="宋体" w:hint="eastAsia"/>
          <w:color w:val="auto"/>
        </w:rPr>
        <w:t>．讨论题：肺癌如何引起胸腔积液？积液有什么特点？</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掌握慢性阻塞性肺疾病（慢性支气管炎、肺气肿）的概念和病理改变，了解其临床表现。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熟悉慢性肺源性心脏病的概念和病理变化，了解其临床表现。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掌握肺硅沉着症的概念、病理变化和并发症，熟悉临床分期和临床表现。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了解成人呼吸窘迫综合征的定义、病理变化和临床表现。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掌握大叶性肺炎的概念、病理变化及病理分期，熟悉其其临床与病理联系和合并症。</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掌握小叶性肺炎的概念和病理变化，熟悉其临床与病理联系。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熟悉病毒性肺炎的概念，其病理变化，了解其临床表现。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8. </w:t>
      </w:r>
      <w:r>
        <w:rPr>
          <w:rFonts w:ascii="宋体" w:hAnsi="宋体" w:cs="宋体" w:hint="eastAsia"/>
          <w:color w:val="auto"/>
        </w:rPr>
        <w:t>熟悉支原体肺炎的概念，了解其病理变化。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9. </w:t>
      </w:r>
      <w:r>
        <w:rPr>
          <w:rFonts w:ascii="宋体" w:hAnsi="宋体" w:cs="宋体" w:hint="eastAsia"/>
          <w:color w:val="auto"/>
        </w:rPr>
        <w:t>掌握鼻咽癌的定义和病理变化，了解临床表现与转移途径。</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10. </w:t>
      </w:r>
      <w:r>
        <w:rPr>
          <w:rFonts w:ascii="宋体" w:hAnsi="宋体" w:cs="宋体" w:hint="eastAsia"/>
          <w:color w:val="auto"/>
        </w:rPr>
        <w:t>掌握肺癌的病理变化（包括肉眼和组织学类型），掌握副肿瘤综合征的概念和</w:t>
      </w:r>
      <w:r>
        <w:rPr>
          <w:rFonts w:ascii="宋体" w:hAnsi="宋体" w:cs="宋体"/>
          <w:color w:val="auto"/>
        </w:rPr>
        <w:t>Horner</w:t>
      </w:r>
      <w:r>
        <w:rPr>
          <w:rFonts w:ascii="宋体" w:hAnsi="宋体" w:cs="宋体" w:hint="eastAsia"/>
          <w:color w:val="auto"/>
        </w:rPr>
        <w:t>综合症的概念。熟悉肺癌临床表现和扩散途径及临床病理联系。</w:t>
      </w:r>
    </w:p>
    <w:p w:rsidR="003717A0" w:rsidRDefault="003717A0">
      <w:pPr>
        <w:pStyle w:val="Af9"/>
        <w:spacing w:before="0" w:after="0" w:line="360" w:lineRule="auto"/>
        <w:ind w:firstLineChars="200" w:firstLine="420"/>
        <w:rPr>
          <w:rFonts w:ascii="Times Roman" w:hAnsi="Times Roman" w:cs="Times Roman"/>
          <w:color w:val="auto"/>
        </w:rPr>
      </w:pPr>
      <w:r>
        <w:rPr>
          <w:rFonts w:ascii="宋体" w:hAnsi="宋体" w:cs="宋体"/>
          <w:color w:val="auto"/>
        </w:rPr>
        <w:t xml:space="preserve">11. </w:t>
      </w:r>
      <w:r>
        <w:rPr>
          <w:rFonts w:ascii="宋体" w:hAnsi="宋体" w:cs="宋体" w:hint="eastAsia"/>
          <w:color w:val="auto"/>
        </w:rPr>
        <w:t>了解上述呼吸系统疾病的病因、发病机理。</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before="0" w:after="0" w:line="360" w:lineRule="auto"/>
        <w:ind w:firstLineChars="200" w:firstLine="420"/>
        <w:rPr>
          <w:rFonts w:ascii="Trebuchet MS"/>
          <w:color w:val="auto"/>
        </w:rPr>
      </w:pPr>
      <w:r>
        <w:rPr>
          <w:rFonts w:ascii="Trebuchet MS" w:eastAsia="Times New Roman"/>
          <w:color w:val="auto"/>
        </w:rPr>
        <w:t>大叶性肺；小叶性肺炎；</w:t>
      </w:r>
      <w:r>
        <w:rPr>
          <w:rFonts w:ascii="宋体" w:hAnsi="宋体" w:hint="eastAsia"/>
          <w:color w:val="auto"/>
        </w:rPr>
        <w:t>间质</w:t>
      </w:r>
      <w:r>
        <w:rPr>
          <w:rFonts w:ascii="Trebuchet MS" w:eastAsia="Times New Roman"/>
          <w:color w:val="auto"/>
        </w:rPr>
        <w:t>性肺炎；慢性支气管炎；肺气肿；肺源性心脏病；硅肺；硅结节</w:t>
      </w:r>
      <w:r>
        <w:rPr>
          <w:rFonts w:ascii="Trebuchet MS" w:hint="eastAsia"/>
          <w:color w:val="auto"/>
        </w:rPr>
        <w:t>；</w:t>
      </w:r>
      <w:r>
        <w:rPr>
          <w:rFonts w:ascii="Trebuchet MS" w:eastAsia="Times New Roman"/>
          <w:color w:val="auto"/>
        </w:rPr>
        <w:t>早期肺癌；燕麦细胞癌；肺肉质变；泡状核细胞癌</w:t>
      </w:r>
    </w:p>
    <w:p w:rsidR="003717A0" w:rsidRDefault="003717A0">
      <w:pPr>
        <w:pStyle w:val="11"/>
        <w:spacing w:line="360" w:lineRule="auto"/>
        <w:ind w:left="720" w:right="4" w:firstLineChars="200" w:firstLine="420"/>
        <w:jc w:val="both"/>
        <w:rPr>
          <w:color w:val="auto"/>
          <w:sz w:val="21"/>
          <w:szCs w:val="21"/>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第八章</w:t>
      </w:r>
      <w:r>
        <w:rPr>
          <w:b/>
          <w:bCs/>
          <w:color w:val="auto"/>
          <w:sz w:val="22"/>
          <w:szCs w:val="22"/>
        </w:rPr>
        <w:t xml:space="preserve"> </w:t>
      </w:r>
      <w:r>
        <w:rPr>
          <w:rFonts w:ascii="宋体" w:hAnsi="宋体" w:cs="宋体" w:hint="eastAsia"/>
          <w:b/>
          <w:color w:val="auto"/>
        </w:rPr>
        <w:t>消化道疾病（</w:t>
      </w:r>
      <w:r>
        <w:rPr>
          <w:rFonts w:ascii="Trebuchet MS"/>
          <w:b/>
          <w:color w:val="auto"/>
        </w:rPr>
        <w:t>5</w:t>
      </w:r>
      <w:r>
        <w:rPr>
          <w:rFonts w:ascii="宋体" w:hAnsi="宋体" w:cs="宋体" w:hint="eastAsia"/>
          <w:b/>
          <w:color w:val="auto"/>
        </w:rPr>
        <w:t>学时）</w:t>
      </w:r>
    </w:p>
    <w:p w:rsidR="003717A0" w:rsidRDefault="003717A0">
      <w:pPr>
        <w:pStyle w:val="Af9"/>
        <w:spacing w:line="360" w:lineRule="auto"/>
        <w:ind w:firstLineChars="200" w:firstLine="420"/>
        <w:jc w:val="center"/>
        <w:rPr>
          <w:b/>
          <w:bCs/>
          <w:color w:val="auto"/>
          <w:sz w:val="22"/>
          <w:szCs w:val="22"/>
        </w:rPr>
      </w:pPr>
      <w:r>
        <w:rPr>
          <w:rStyle w:val="Hyperlink0"/>
          <w:rFonts w:ascii="Trebuchet MS" w:eastAsia="Times New Roman" w:cs="Calibri"/>
          <w:color w:val="auto"/>
        </w:rPr>
        <w:t>disease</w:t>
      </w:r>
      <w:r>
        <w:rPr>
          <w:rFonts w:ascii="Trebuchet MS" w:eastAsia="Times New Roman"/>
          <w:color w:val="auto"/>
        </w:rPr>
        <w:t xml:space="preserve"> of </w:t>
      </w:r>
      <w:r>
        <w:rPr>
          <w:rStyle w:val="Hyperlink0"/>
          <w:rFonts w:ascii="Trebuchet MS" w:eastAsia="Times New Roman" w:cs="Calibri"/>
          <w:color w:val="auto"/>
        </w:rPr>
        <w:t>gastrointestinal</w:t>
      </w:r>
      <w:r>
        <w:rPr>
          <w:rFonts w:ascii="Trebuchet MS" w:eastAsia="Times New Roman"/>
          <w:color w:val="auto"/>
        </w:rPr>
        <w:t xml:space="preserve"> </w:t>
      </w:r>
      <w:r>
        <w:rPr>
          <w:rStyle w:val="Hyperlink0"/>
          <w:rFonts w:ascii="Trebuchet MS" w:eastAsia="Times New Roman" w:cs="Calibri"/>
          <w:color w:val="auto"/>
        </w:rPr>
        <w:t>tract</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numPr>
          <w:ilvl w:val="0"/>
          <w:numId w:val="95"/>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消化道非肿瘤性疾病：反流性食道炎、胃炎，消化道溃疡。</w:t>
      </w:r>
    </w:p>
    <w:p w:rsidR="003717A0" w:rsidRDefault="003717A0">
      <w:pPr>
        <w:pStyle w:val="Af9"/>
        <w:numPr>
          <w:ilvl w:val="0"/>
          <w:numId w:val="95"/>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消化道肿瘤：食管癌，胃癌，结肠癌。</w:t>
      </w:r>
    </w:p>
    <w:p w:rsidR="003717A0" w:rsidRDefault="003717A0">
      <w:pPr>
        <w:pStyle w:val="Af9"/>
        <w:numPr>
          <w:ilvl w:val="0"/>
          <w:numId w:val="95"/>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自学与拓展：炎症性肠病和阑尾炎。</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2</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lastRenderedPageBreak/>
        <w:t>1</w:t>
      </w:r>
      <w:r>
        <w:rPr>
          <w:rFonts w:ascii="宋体" w:hAnsi="宋体" w:cs="宋体" w:hint="eastAsia"/>
          <w:color w:val="auto"/>
        </w:rPr>
        <w:t>．引导片：病理学实习引导片（录像）系列</w:t>
      </w:r>
      <w:r>
        <w:rPr>
          <w:rFonts w:ascii="宋体" w:hAnsi="宋体" w:cs="宋体"/>
          <w:color w:val="auto"/>
        </w:rPr>
        <w:t>12</w:t>
      </w:r>
      <w:r>
        <w:rPr>
          <w:rFonts w:ascii="宋体" w:hAnsi="宋体" w:cs="宋体" w:hint="eastAsia"/>
          <w:color w:val="auto"/>
        </w:rPr>
        <w:t>《消化道疾病病理标本的大体与镜下表现》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．观察大体标本：胃消化性溃疡及溃疡穿孔，食管癌，革囊胃，胃贲门癌，溃疡型胃癌，早期胃癌，结肠癌。</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．观察病理切片：食管鳞癌，早期胃癌，胃腺癌（管状腺癌，乳头状腺癌，低分化腺癌，胃印戒细胞癌），结肠腺瘤及腺瘤癌变，结肠腺癌伴血吸虫病，慢性胃溃疡，慢性萎缩性胃炎伴螺杆菌感染，肠结核。</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．讨论题：患者左锁骨上淋巴结肿大，如何进行鉴别诊断？</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熟悉反流性食道炎和巴雷特食道的病变特点及临床病理联系。</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掌握慢性浅表性胃炎和慢性萎缩性胃炎的病变特点。</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掌握溃疡病的好发部位、形态特点及合并症。</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掌握消化道肿瘤的好发部位和转移途径。掌握早期癌与进展期癌的定义、肉眼及组织学类型。</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了解阑尾炎的类型、病变特点及合并症。</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了解炎症性肠病的类型及病理变化特点</w:t>
      </w:r>
    </w:p>
    <w:p w:rsidR="003717A0" w:rsidRDefault="003717A0">
      <w:pPr>
        <w:pStyle w:val="Af9"/>
        <w:numPr>
          <w:ilvl w:val="0"/>
          <w:numId w:val="96"/>
        </w:numPr>
        <w:tabs>
          <w:tab w:val="clear" w:pos="360"/>
          <w:tab w:val="left" w:pos="729"/>
        </w:tabs>
        <w:spacing w:before="0" w:after="0" w:line="360" w:lineRule="auto"/>
        <w:ind w:left="0" w:firstLineChars="200" w:firstLine="420"/>
        <w:rPr>
          <w:rFonts w:ascii="宋体" w:cs="宋体"/>
          <w:color w:val="auto"/>
        </w:rPr>
      </w:pPr>
      <w:r>
        <w:rPr>
          <w:rFonts w:ascii="宋体" w:hAnsi="宋体" w:cs="宋体" w:hint="eastAsia"/>
          <w:color w:val="auto"/>
        </w:rPr>
        <w:t>了解上述消化道疾病的病因和发病机理。</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Barrett's</w:t>
      </w:r>
      <w:r>
        <w:rPr>
          <w:rFonts w:ascii="Trebuchet MS" w:eastAsia="Times New Roman"/>
          <w:color w:val="auto"/>
        </w:rPr>
        <w:t>食管；表浅性胃炎；萎缩性胃炎；肠上皮化生；胃溃疡；早期胃癌；印戒细胞癌；革囊胃；克鲁根勃瘤；</w:t>
      </w:r>
    </w:p>
    <w:p w:rsidR="003717A0" w:rsidRDefault="003717A0">
      <w:pPr>
        <w:pStyle w:val="Af9"/>
        <w:spacing w:line="360" w:lineRule="auto"/>
        <w:ind w:firstLineChars="200" w:firstLine="420"/>
        <w:rPr>
          <w:rFonts w:ascii="宋体" w:cs="宋体"/>
          <w:color w:val="auto"/>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第九章</w:t>
      </w:r>
      <w:r>
        <w:rPr>
          <w:b/>
          <w:bCs/>
          <w:color w:val="auto"/>
          <w:sz w:val="22"/>
          <w:szCs w:val="22"/>
        </w:rPr>
        <w:t xml:space="preserve">  </w:t>
      </w:r>
      <w:r>
        <w:rPr>
          <w:rFonts w:ascii="宋体" w:hAnsi="宋体" w:cs="宋体" w:hint="eastAsia"/>
          <w:b/>
          <w:color w:val="auto"/>
        </w:rPr>
        <w:t>肝脏及胆道疾病（</w:t>
      </w:r>
      <w:r>
        <w:rPr>
          <w:rFonts w:ascii="Trebuchet MS"/>
          <w:b/>
          <w:color w:val="auto"/>
        </w:rPr>
        <w:t>4</w:t>
      </w:r>
      <w:r>
        <w:rPr>
          <w:rFonts w:ascii="宋体" w:hAnsi="宋体" w:cs="宋体" w:hint="eastAsia"/>
          <w:b/>
          <w:color w:val="auto"/>
        </w:rPr>
        <w:t>学时）</w:t>
      </w:r>
    </w:p>
    <w:p w:rsidR="003717A0" w:rsidRDefault="003717A0">
      <w:pPr>
        <w:pStyle w:val="Af9"/>
        <w:spacing w:line="360" w:lineRule="auto"/>
        <w:ind w:firstLineChars="200" w:firstLine="420"/>
        <w:jc w:val="center"/>
        <w:rPr>
          <w:color w:val="auto"/>
        </w:rPr>
      </w:pPr>
      <w:r>
        <w:rPr>
          <w:rStyle w:val="Hyperlink0"/>
          <w:rFonts w:ascii="Trebuchet MS" w:eastAsia="Times New Roman" w:cs="Calibri"/>
          <w:color w:val="auto"/>
        </w:rPr>
        <w:t>Diseases</w:t>
      </w:r>
      <w:r>
        <w:rPr>
          <w:rFonts w:ascii="Trebuchet MS" w:eastAsia="Times New Roman"/>
          <w:color w:val="auto"/>
        </w:rPr>
        <w:t xml:space="preserve"> of </w:t>
      </w:r>
      <w:r>
        <w:rPr>
          <w:rStyle w:val="Hyperlink0"/>
          <w:rFonts w:ascii="Trebuchet MS" w:eastAsia="Times New Roman" w:cs="Calibri"/>
          <w:color w:val="auto"/>
        </w:rPr>
        <w:t>liver</w:t>
      </w:r>
      <w:r>
        <w:rPr>
          <w:rFonts w:ascii="Trebuchet MS" w:eastAsia="Times New Roman"/>
          <w:color w:val="auto"/>
        </w:rPr>
        <w:t xml:space="preserve"> </w:t>
      </w:r>
      <w:r>
        <w:rPr>
          <w:rStyle w:val="Hyperlink0"/>
          <w:rFonts w:ascii="Trebuchet MS" w:eastAsia="Times New Roman" w:cs="Calibri"/>
          <w:color w:val="auto"/>
        </w:rPr>
        <w:t>and</w:t>
      </w:r>
      <w:r>
        <w:rPr>
          <w:rFonts w:ascii="Trebuchet MS" w:eastAsia="Times New Roman"/>
          <w:color w:val="auto"/>
        </w:rPr>
        <w:t xml:space="preserve"> </w:t>
      </w:r>
      <w:r>
        <w:rPr>
          <w:rStyle w:val="Hyperlink0"/>
          <w:rFonts w:ascii="Trebuchet MS" w:eastAsia="Times New Roman" w:cs="Calibri"/>
          <w:color w:val="auto"/>
        </w:rPr>
        <w:t>biliary</w:t>
      </w:r>
      <w:r>
        <w:rPr>
          <w:rFonts w:ascii="Trebuchet MS" w:eastAsia="Times New Roman"/>
          <w:color w:val="auto"/>
        </w:rPr>
        <w:t xml:space="preserve"> tract</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tabs>
          <w:tab w:val="left" w:pos="729"/>
        </w:tabs>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肝脏疾病：肝损伤的基本病理变化，病毒性肝炎，酒精性肝病，肝硬化，原发性肝癌。</w:t>
      </w:r>
    </w:p>
    <w:p w:rsidR="003717A0" w:rsidRDefault="003717A0">
      <w:pPr>
        <w:pStyle w:val="Af9"/>
        <w:tabs>
          <w:tab w:val="left" w:pos="729"/>
        </w:tabs>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自学与拓展：胆道疾病：胆囊炎和胆石症。胰腺炎</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1</w:t>
      </w:r>
      <w:r>
        <w:rPr>
          <w:rFonts w:ascii="宋体" w:hAnsi="宋体" w:cs="宋体" w:hint="eastAsia"/>
          <w:color w:val="auto"/>
        </w:rPr>
        <w:t>．引导片：病理学实习引导片（录像）系列</w:t>
      </w:r>
      <w:r>
        <w:rPr>
          <w:rFonts w:ascii="宋体" w:hAnsi="宋体" w:cs="宋体"/>
          <w:color w:val="auto"/>
        </w:rPr>
        <w:t>13</w:t>
      </w:r>
      <w:r>
        <w:rPr>
          <w:rFonts w:ascii="宋体" w:hAnsi="宋体" w:cs="宋体" w:hint="eastAsia"/>
          <w:color w:val="auto"/>
        </w:rPr>
        <w:t>《肝脏疾病病理标本的大体与镜下表现》</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．观察大体标本：急性肝萎缩，食道静脉曲张，门脉性（小结节性）肝硬变，门脉高压之脾，结节性肝硬变，混合性肝硬变，肝细胞性肝癌，肝胆管肝癌。</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lastRenderedPageBreak/>
        <w:t>3</w:t>
      </w:r>
      <w:r>
        <w:rPr>
          <w:rFonts w:ascii="宋体" w:hAnsi="宋体" w:cs="宋体" w:hint="eastAsia"/>
          <w:color w:val="auto"/>
        </w:rPr>
        <w:t>．观察病理切片：急性重症型肝炎，慢性肝炎，坏死后性肝硬变，门脉性肝硬变，肝细胞性肝癌，肝转移性肿瘤（胃腺癌肝转移）。</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4</w:t>
      </w:r>
      <w:r>
        <w:rPr>
          <w:rFonts w:ascii="宋体" w:hAnsi="宋体" w:cs="宋体" w:hint="eastAsia"/>
          <w:color w:val="auto"/>
        </w:rPr>
        <w:t>．讨论题：分析肝肿大的原因，及其相应的病理变化。</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1</w:t>
      </w:r>
      <w:r>
        <w:rPr>
          <w:rFonts w:ascii="宋体" w:hAnsi="宋体" w:cs="宋体" w:hint="eastAsia"/>
          <w:color w:val="auto"/>
        </w:rPr>
        <w:t>．掌握肝损伤的基本病变。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．掌握病毒性肝炎的临床病理类型，熟悉其临床病理联系。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掌握肝硬变的基本病变，熟悉三种常见肝硬变（门脉性，坏死后性及胆汁性肝硬变）的病变特点与临床联系。熟悉酒精性肝病的病变特点。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掌握原发性肝癌的肉眼及组织学类型和转移途径。</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了解胆石症、胆囊炎及胰腺炎的基本病变。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了解上述疾病的病因和发病机制。</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before="0" w:after="0" w:line="360" w:lineRule="auto"/>
        <w:ind w:firstLineChars="200" w:firstLine="420"/>
        <w:rPr>
          <w:rFonts w:ascii="Trebuchet MS"/>
          <w:color w:val="auto"/>
        </w:rPr>
      </w:pPr>
      <w:r>
        <w:rPr>
          <w:rFonts w:ascii="Trebuchet MS" w:eastAsia="Times New Roman"/>
          <w:color w:val="auto"/>
        </w:rPr>
        <w:t>气球样变；毛玻璃样肝细胞；嗜酸性小体</w:t>
      </w:r>
      <w:r>
        <w:rPr>
          <w:rFonts w:ascii="Trebuchet MS" w:eastAsia="Times New Roman"/>
          <w:color w:val="auto"/>
        </w:rPr>
        <w:t>y</w:t>
      </w:r>
      <w:r>
        <w:rPr>
          <w:rFonts w:ascii="Trebuchet MS" w:eastAsia="Times New Roman"/>
          <w:color w:val="auto"/>
        </w:rPr>
        <w:t>；点状坏死；碎片状坏死；桥接坏死；病毒性肝炎；肝硬化；假小叶；小肝癌；</w:t>
      </w:r>
    </w:p>
    <w:p w:rsidR="003717A0" w:rsidRDefault="003717A0">
      <w:pPr>
        <w:pStyle w:val="Af9"/>
        <w:spacing w:line="360" w:lineRule="auto"/>
        <w:ind w:firstLineChars="200" w:firstLine="420"/>
        <w:rPr>
          <w:rFonts w:ascii="宋体" w:cs="宋体"/>
          <w:color w:val="auto"/>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第十章</w:t>
      </w:r>
      <w:r>
        <w:rPr>
          <w:rFonts w:ascii="宋体" w:hAnsi="宋体" w:cs="宋体"/>
          <w:b/>
          <w:bCs/>
          <w:color w:val="auto"/>
          <w:sz w:val="22"/>
          <w:szCs w:val="22"/>
        </w:rPr>
        <w:t xml:space="preserve"> </w:t>
      </w:r>
      <w:r>
        <w:rPr>
          <w:rFonts w:ascii="宋体" w:hAnsi="宋体" w:cs="宋体" w:hint="eastAsia"/>
          <w:b/>
          <w:color w:val="auto"/>
        </w:rPr>
        <w:t>淋巴造血系统疾病（</w:t>
      </w:r>
      <w:r>
        <w:rPr>
          <w:rFonts w:ascii="Trebuchet MS"/>
          <w:b/>
          <w:color w:val="auto"/>
        </w:rPr>
        <w:t>3</w:t>
      </w:r>
      <w:r>
        <w:rPr>
          <w:rFonts w:ascii="宋体" w:hAnsi="宋体" w:cs="宋体" w:hint="eastAsia"/>
          <w:b/>
          <w:bCs/>
          <w:color w:val="auto"/>
        </w:rPr>
        <w:t>学</w:t>
      </w:r>
      <w:r>
        <w:rPr>
          <w:rFonts w:ascii="宋体" w:hAnsi="宋体" w:cs="宋体" w:hint="eastAsia"/>
          <w:b/>
          <w:color w:val="auto"/>
        </w:rPr>
        <w:t>时）</w:t>
      </w:r>
    </w:p>
    <w:p w:rsidR="003717A0" w:rsidRDefault="003717A0">
      <w:pPr>
        <w:pStyle w:val="Af9"/>
        <w:spacing w:line="360" w:lineRule="auto"/>
        <w:ind w:firstLineChars="200" w:firstLine="420"/>
        <w:jc w:val="center"/>
        <w:rPr>
          <w:b/>
          <w:bCs/>
          <w:color w:val="auto"/>
          <w:sz w:val="22"/>
          <w:szCs w:val="22"/>
        </w:rPr>
      </w:pPr>
      <w:r>
        <w:rPr>
          <w:rStyle w:val="Hyperlink0"/>
          <w:rFonts w:ascii="Trebuchet MS" w:eastAsia="Times New Roman" w:cs="Calibri"/>
          <w:color w:val="auto"/>
        </w:rPr>
        <w:t>Disease</w:t>
      </w:r>
      <w:r>
        <w:rPr>
          <w:rFonts w:ascii="Trebuchet MS" w:eastAsia="Times New Roman"/>
          <w:color w:val="auto"/>
        </w:rPr>
        <w:t xml:space="preserve"> </w:t>
      </w:r>
      <w:r>
        <w:rPr>
          <w:rStyle w:val="Hyperlink0"/>
          <w:rFonts w:ascii="Trebuchet MS" w:eastAsia="Times New Roman" w:cs="Calibri"/>
          <w:color w:val="auto"/>
        </w:rPr>
        <w:t>of</w:t>
      </w:r>
      <w:r>
        <w:rPr>
          <w:rFonts w:ascii="Trebuchet MS" w:eastAsia="Times New Roman"/>
          <w:color w:val="auto"/>
        </w:rPr>
        <w:t xml:space="preserve"> </w:t>
      </w:r>
      <w:r>
        <w:rPr>
          <w:rStyle w:val="Hyperlink0"/>
          <w:rFonts w:ascii="Trebuchet MS" w:eastAsia="Times New Roman" w:cs="Calibri"/>
          <w:color w:val="auto"/>
        </w:rPr>
        <w:t>lymph</w:t>
      </w:r>
      <w:r>
        <w:rPr>
          <w:rFonts w:ascii="Trebuchet MS" w:eastAsia="Times New Roman"/>
          <w:color w:val="auto"/>
        </w:rPr>
        <w:t xml:space="preserve">oid </w:t>
      </w:r>
      <w:r>
        <w:rPr>
          <w:rStyle w:val="Hyperlink0"/>
          <w:rFonts w:ascii="Trebuchet MS" w:eastAsia="Times New Roman" w:cs="Calibri"/>
          <w:color w:val="auto"/>
        </w:rPr>
        <w:t>hemopoietic</w:t>
      </w:r>
      <w:r>
        <w:rPr>
          <w:rFonts w:ascii="Trebuchet MS" w:eastAsia="Times New Roman"/>
          <w:color w:val="auto"/>
        </w:rPr>
        <w:t xml:space="preserve"> </w:t>
      </w:r>
      <w:r>
        <w:rPr>
          <w:rStyle w:val="Hyperlink0"/>
          <w:rFonts w:ascii="Trebuchet MS" w:eastAsia="Times New Roman" w:cs="Calibri"/>
          <w:color w:val="auto"/>
        </w:rPr>
        <w:t>system</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淋巴瘤：概述，霍奇金淋巴瘤，非霍奇金淋巴瘤。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髓性肿瘤：急性髓性白血病，慢性髓性白血病。</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自学与拓展：</w:t>
      </w:r>
    </w:p>
    <w:p w:rsidR="003717A0" w:rsidRDefault="003717A0">
      <w:pPr>
        <w:pStyle w:val="Af9"/>
        <w:tabs>
          <w:tab w:val="left" w:pos="1560"/>
        </w:tabs>
        <w:spacing w:before="0" w:after="0" w:line="360" w:lineRule="auto"/>
        <w:ind w:right="6"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）淋巴结反应性增生性疾病</w:t>
      </w:r>
    </w:p>
    <w:p w:rsidR="003717A0" w:rsidRDefault="003717A0">
      <w:pPr>
        <w:pStyle w:val="Af9"/>
        <w:tabs>
          <w:tab w:val="left" w:pos="1560"/>
        </w:tabs>
        <w:spacing w:before="0" w:after="0" w:line="360" w:lineRule="auto"/>
        <w:ind w:right="6" w:firstLineChars="200" w:firstLine="420"/>
        <w:rPr>
          <w:rFonts w:ascii="Trebuchet MS Bold" w:hAnsi="Trebuchet MS Bold" w:cs="Trebuchet MS Bold"/>
          <w:b/>
          <w:bCs/>
          <w:color w:val="auto"/>
          <w:sz w:val="22"/>
          <w:szCs w:val="22"/>
        </w:rPr>
      </w:pPr>
      <w:r>
        <w:rPr>
          <w:rFonts w:ascii="宋体" w:hAnsi="宋体" w:cs="宋体" w:hint="eastAsia"/>
          <w:color w:val="auto"/>
        </w:rPr>
        <w:t>（</w:t>
      </w:r>
      <w:r>
        <w:rPr>
          <w:rFonts w:ascii="宋体" w:hAnsi="宋体" w:cs="宋体"/>
          <w:color w:val="auto"/>
        </w:rPr>
        <w:t>2</w:t>
      </w:r>
      <w:r>
        <w:rPr>
          <w:rFonts w:ascii="宋体" w:hAnsi="宋体" w:cs="宋体" w:hint="eastAsia"/>
          <w:color w:val="auto"/>
        </w:rPr>
        <w:t>）组织细胞增生症。</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1</w:t>
      </w:r>
      <w:r>
        <w:rPr>
          <w:rFonts w:ascii="宋体" w:hAnsi="宋体" w:cs="宋体" w:hint="eastAsia"/>
          <w:color w:val="auto"/>
        </w:rPr>
        <w:t>．掌握霍奇金病淋巴瘤的病理变化、组织类型。</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．了解白血病的分类，以及髓性白血病的病理改变及临床表现。</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3</w:t>
      </w:r>
      <w:r>
        <w:rPr>
          <w:rFonts w:ascii="宋体" w:hAnsi="宋体" w:cs="宋体" w:hint="eastAsia"/>
          <w:color w:val="auto"/>
        </w:rPr>
        <w:t>．了解各种类型霍奇金病淋巴瘤的病理特点。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．了解组织细胞性疾病的概念与类型。</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lastRenderedPageBreak/>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髓细胞肉瘤；绿色瘤；白血病；镜影细胞；</w:t>
      </w:r>
      <w:r>
        <w:rPr>
          <w:rFonts w:ascii="Trebuchet MS" w:eastAsia="Times New Roman"/>
          <w:color w:val="auto"/>
        </w:rPr>
        <w:t>Burkitt</w:t>
      </w:r>
      <w:r>
        <w:rPr>
          <w:rFonts w:ascii="Trebuchet MS" w:eastAsia="Times New Roman"/>
          <w:color w:val="auto"/>
        </w:rPr>
        <w:t>淋巴瘤；</w:t>
      </w:r>
    </w:p>
    <w:p w:rsidR="003717A0" w:rsidRDefault="003717A0">
      <w:pPr>
        <w:pStyle w:val="Af9"/>
        <w:spacing w:line="360" w:lineRule="auto"/>
        <w:ind w:firstLineChars="200" w:firstLine="442"/>
        <w:jc w:val="center"/>
        <w:rPr>
          <w:rFonts w:ascii="宋体" w:cs="宋体"/>
          <w:b/>
          <w:bCs/>
          <w:color w:val="auto"/>
          <w:sz w:val="22"/>
          <w:szCs w:val="22"/>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第十一章</w:t>
      </w:r>
      <w:r>
        <w:rPr>
          <w:rFonts w:ascii="宋体" w:hAnsi="宋体" w:cs="宋体"/>
          <w:b/>
          <w:bCs/>
          <w:color w:val="auto"/>
          <w:sz w:val="22"/>
          <w:szCs w:val="22"/>
        </w:rPr>
        <w:t xml:space="preserve">  </w:t>
      </w:r>
      <w:r>
        <w:rPr>
          <w:rFonts w:ascii="宋体" w:hAnsi="宋体" w:cs="宋体" w:hint="eastAsia"/>
          <w:b/>
          <w:color w:val="auto"/>
        </w:rPr>
        <w:t>免疫性疾病</w:t>
      </w:r>
    </w:p>
    <w:p w:rsidR="003717A0" w:rsidRDefault="003717A0">
      <w:pPr>
        <w:pStyle w:val="Af9"/>
        <w:spacing w:line="360" w:lineRule="auto"/>
        <w:ind w:firstLineChars="200" w:firstLine="420"/>
        <w:jc w:val="center"/>
        <w:rPr>
          <w:b/>
          <w:bCs/>
          <w:color w:val="auto"/>
          <w:sz w:val="22"/>
          <w:szCs w:val="22"/>
        </w:rPr>
      </w:pPr>
      <w:r>
        <w:rPr>
          <w:rStyle w:val="Hyperlink0"/>
          <w:rFonts w:ascii="Trebuchet MS" w:eastAsia="Times New Roman" w:cs="Calibri"/>
          <w:color w:val="auto"/>
        </w:rPr>
        <w:t>immune</w:t>
      </w:r>
      <w:r>
        <w:rPr>
          <w:rFonts w:ascii="Trebuchet MS" w:eastAsia="Times New Roman"/>
          <w:color w:val="auto"/>
        </w:rPr>
        <w:t xml:space="preserve"> </w:t>
      </w:r>
      <w:r>
        <w:rPr>
          <w:rStyle w:val="Hyperlink0"/>
          <w:rFonts w:ascii="Trebuchet MS" w:eastAsia="Times New Roman" w:cs="Calibri"/>
          <w:color w:val="auto"/>
        </w:rPr>
        <w:t>diseases</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宋体" w:hAnsi="宋体" w:cs="宋体" w:hint="eastAsia"/>
          <w:color w:val="auto"/>
        </w:rPr>
        <w:t>自学与拓展</w:t>
      </w:r>
      <w:r>
        <w:rPr>
          <w:rFonts w:ascii="宋体" w:hAnsi="宋体" w:cs="宋体" w:hint="eastAsia"/>
          <w:b/>
          <w:bCs/>
          <w:color w:val="auto"/>
        </w:rPr>
        <w:t>）</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自身免疫性疾病：自身免疫性疾病的类型：系统性红斑狼疮，类风湿性关节炎。</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器官和骨髓的移植排斥反应：实体器官移植排斥反应的病理变化。</w:t>
      </w:r>
    </w:p>
    <w:p w:rsidR="003717A0" w:rsidRDefault="003717A0">
      <w:pPr>
        <w:pStyle w:val="Af9"/>
        <w:tabs>
          <w:tab w:val="left" w:pos="0"/>
        </w:tabs>
        <w:spacing w:before="0" w:after="0" w:line="360" w:lineRule="auto"/>
        <w:ind w:firstLineChars="200" w:firstLine="420"/>
        <w:rPr>
          <w:b/>
          <w:bCs/>
          <w:color w:val="auto"/>
          <w:sz w:val="22"/>
          <w:szCs w:val="22"/>
        </w:rPr>
      </w:pPr>
      <w:r>
        <w:rPr>
          <w:rFonts w:ascii="宋体" w:hAnsi="宋体" w:cs="宋体"/>
          <w:color w:val="auto"/>
        </w:rPr>
        <w:t xml:space="preserve">3. </w:t>
      </w:r>
      <w:r>
        <w:rPr>
          <w:rFonts w:ascii="宋体" w:hAnsi="宋体" w:cs="宋体" w:hint="eastAsia"/>
          <w:color w:val="auto"/>
        </w:rPr>
        <w:t>免疫缺陷病：继发性免疫缺陷病。</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了解系统性红斑狼疮及类风湿性关节炎的病理变化。急性排斥反应和慢性排斥反应的病理变化。</w:t>
      </w:r>
    </w:p>
    <w:p w:rsidR="003717A0" w:rsidRDefault="003717A0">
      <w:pPr>
        <w:pStyle w:val="Af9"/>
        <w:spacing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熟悉：</w:t>
      </w:r>
      <w:r>
        <w:rPr>
          <w:rFonts w:ascii="宋体" w:hAnsi="宋体" w:cs="宋体"/>
          <w:color w:val="auto"/>
        </w:rPr>
        <w:t>AIDS</w:t>
      </w:r>
      <w:r>
        <w:rPr>
          <w:rFonts w:ascii="宋体" w:hAnsi="宋体" w:cs="宋体" w:hint="eastAsia"/>
          <w:color w:val="auto"/>
        </w:rPr>
        <w:t>的病理变化。</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before="0" w:after="0" w:line="360" w:lineRule="auto"/>
        <w:ind w:firstLineChars="200" w:firstLine="420"/>
        <w:rPr>
          <w:rFonts w:ascii="Trebuchet MS"/>
          <w:color w:val="auto"/>
        </w:rPr>
      </w:pPr>
      <w:r>
        <w:rPr>
          <w:rFonts w:ascii="Trebuchet MS" w:eastAsia="Times New Roman"/>
          <w:color w:val="auto"/>
        </w:rPr>
        <w:t>系统性红斑狼疮；狼疮小体；</w:t>
      </w:r>
      <w:r>
        <w:rPr>
          <w:rFonts w:ascii="Trebuchet MS" w:eastAsia="Times New Roman"/>
          <w:color w:val="auto"/>
        </w:rPr>
        <w:t xml:space="preserve"> </w:t>
      </w:r>
      <w:r>
        <w:rPr>
          <w:rFonts w:ascii="Trebuchet MS" w:eastAsia="Times New Roman"/>
          <w:color w:val="auto"/>
        </w:rPr>
        <w:t>狼疮细</w:t>
      </w:r>
      <w:r>
        <w:rPr>
          <w:rFonts w:ascii="Trebuchet MS" w:eastAsia="Times New Roman"/>
          <w:color w:val="auto"/>
        </w:rPr>
        <w:t>l</w:t>
      </w:r>
      <w:r>
        <w:rPr>
          <w:rFonts w:ascii="Trebuchet MS" w:eastAsia="Times New Roman"/>
          <w:color w:val="auto"/>
        </w:rPr>
        <w:t>；类风湿性关节炎；继发性免疫缺陷病</w:t>
      </w:r>
      <w:r>
        <w:rPr>
          <w:rFonts w:ascii="Trebuchet MS" w:hint="eastAsia"/>
          <w:color w:val="auto"/>
        </w:rPr>
        <w:t>；</w:t>
      </w:r>
      <w:r>
        <w:rPr>
          <w:rFonts w:ascii="Trebuchet MS" w:eastAsia="Times New Roman"/>
          <w:color w:val="auto"/>
        </w:rPr>
        <w:t>艾滋病</w:t>
      </w:r>
      <w:r>
        <w:rPr>
          <w:rFonts w:ascii="Trebuchet MS" w:hint="eastAsia"/>
          <w:color w:val="auto"/>
        </w:rPr>
        <w:t>（</w:t>
      </w:r>
      <w:r>
        <w:rPr>
          <w:rFonts w:ascii="Trebuchet MS" w:eastAsia="Times New Roman"/>
          <w:color w:val="auto"/>
        </w:rPr>
        <w:t>AIDS</w:t>
      </w:r>
      <w:r>
        <w:rPr>
          <w:rFonts w:ascii="Trebuchet MS" w:hint="eastAsia"/>
          <w:color w:val="auto"/>
        </w:rPr>
        <w:t>）</w:t>
      </w:r>
      <w:r>
        <w:rPr>
          <w:rFonts w:ascii="Trebuchet MS" w:eastAsia="Times New Roman"/>
          <w:color w:val="auto"/>
        </w:rPr>
        <w:t>；</w:t>
      </w:r>
      <w:r>
        <w:rPr>
          <w:rFonts w:ascii="Trebuchet MS" w:eastAsia="Times New Roman"/>
          <w:color w:val="auto"/>
        </w:rPr>
        <w:t>Kaposi's</w:t>
      </w:r>
      <w:r>
        <w:rPr>
          <w:rFonts w:ascii="Trebuchet MS" w:eastAsia="Times New Roman"/>
          <w:color w:val="auto"/>
        </w:rPr>
        <w:t>肉瘤；机会性感染</w:t>
      </w:r>
    </w:p>
    <w:p w:rsidR="003717A0" w:rsidRDefault="003717A0">
      <w:pPr>
        <w:pStyle w:val="Af9"/>
        <w:spacing w:line="360" w:lineRule="auto"/>
        <w:ind w:firstLineChars="200" w:firstLine="480"/>
        <w:rPr>
          <w:rFonts w:ascii="宋体" w:cs="宋体"/>
          <w:color w:val="auto"/>
          <w:sz w:val="24"/>
          <w:szCs w:val="24"/>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第十二章</w:t>
      </w:r>
      <w:r>
        <w:rPr>
          <w:rFonts w:ascii="宋体" w:hAnsi="宋体" w:cs="宋体"/>
          <w:b/>
          <w:bCs/>
          <w:color w:val="auto"/>
          <w:sz w:val="22"/>
          <w:szCs w:val="22"/>
        </w:rPr>
        <w:t xml:space="preserve">  </w:t>
      </w:r>
      <w:r>
        <w:rPr>
          <w:rFonts w:ascii="宋体" w:hAnsi="宋体" w:cs="宋体" w:hint="eastAsia"/>
          <w:b/>
          <w:color w:val="auto"/>
        </w:rPr>
        <w:t>泌尿系统疾病（</w:t>
      </w:r>
      <w:r>
        <w:rPr>
          <w:rFonts w:ascii="Times New Roman Bold"/>
          <w:b/>
          <w:color w:val="auto"/>
        </w:rPr>
        <w:t>4</w:t>
      </w:r>
      <w:r>
        <w:rPr>
          <w:rFonts w:ascii="宋体" w:hAnsi="宋体" w:cs="宋体" w:hint="eastAsia"/>
          <w:b/>
          <w:bCs/>
          <w:color w:val="auto"/>
        </w:rPr>
        <w:t>学时</w:t>
      </w:r>
      <w:r>
        <w:rPr>
          <w:rFonts w:ascii="宋体" w:hAnsi="宋体" w:cs="宋体" w:hint="eastAsia"/>
          <w:b/>
          <w:color w:val="auto"/>
        </w:rPr>
        <w:t>）</w:t>
      </w:r>
    </w:p>
    <w:p w:rsidR="003717A0" w:rsidRDefault="003717A0">
      <w:pPr>
        <w:pStyle w:val="Af9"/>
        <w:spacing w:line="360" w:lineRule="auto"/>
        <w:ind w:firstLineChars="200" w:firstLine="420"/>
        <w:jc w:val="center"/>
        <w:rPr>
          <w:b/>
          <w:bCs/>
          <w:color w:val="auto"/>
          <w:sz w:val="22"/>
          <w:szCs w:val="22"/>
        </w:rPr>
      </w:pPr>
      <w:r>
        <w:rPr>
          <w:rStyle w:val="Hyperlink0"/>
          <w:rFonts w:ascii="Trebuchet MS" w:eastAsia="Times New Roman" w:cs="Calibri"/>
          <w:color w:val="auto"/>
        </w:rPr>
        <w:t>diseases</w:t>
      </w:r>
      <w:r>
        <w:rPr>
          <w:rFonts w:ascii="Trebuchet MS" w:eastAsia="Times New Roman"/>
          <w:color w:val="auto"/>
        </w:rPr>
        <w:t xml:space="preserve"> </w:t>
      </w:r>
      <w:r>
        <w:rPr>
          <w:rStyle w:val="Hyperlink0"/>
          <w:rFonts w:ascii="Trebuchet MS" w:eastAsia="Times New Roman" w:cs="Calibri"/>
          <w:color w:val="auto"/>
        </w:rPr>
        <w:t>of</w:t>
      </w:r>
      <w:r>
        <w:rPr>
          <w:rFonts w:ascii="Trebuchet MS" w:eastAsia="Times New Roman"/>
          <w:color w:val="auto"/>
        </w:rPr>
        <w:t xml:space="preserve"> </w:t>
      </w:r>
      <w:r>
        <w:rPr>
          <w:rStyle w:val="Hyperlink0"/>
          <w:rFonts w:ascii="Trebuchet MS" w:eastAsia="Times New Roman" w:cs="Calibri"/>
          <w:color w:val="auto"/>
        </w:rPr>
        <w:t>urinary</w:t>
      </w:r>
      <w:r>
        <w:rPr>
          <w:rFonts w:ascii="Trebuchet MS" w:eastAsia="Times New Roman"/>
          <w:color w:val="auto"/>
        </w:rPr>
        <w:t xml:space="preserve"> </w:t>
      </w:r>
      <w:r>
        <w:rPr>
          <w:rStyle w:val="Hyperlink0"/>
          <w:rFonts w:ascii="Trebuchet MS" w:eastAsia="Times New Roman" w:cs="Calibri"/>
          <w:color w:val="auto"/>
        </w:rPr>
        <w:t>system</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肾小球疾病：病因和发病机制，基本病理变化，临床表现，肾小球肾炎的病理类型。</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肾小管</w:t>
      </w:r>
      <w:r>
        <w:rPr>
          <w:rFonts w:ascii="宋体" w:cs="宋体"/>
          <w:color w:val="auto"/>
        </w:rPr>
        <w:t>-</w:t>
      </w:r>
      <w:r>
        <w:rPr>
          <w:rFonts w:ascii="宋体" w:hAnsi="宋体" w:cs="宋体" w:hint="eastAsia"/>
          <w:color w:val="auto"/>
        </w:rPr>
        <w:t>间质性肾炎：肾盂肾炎。</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肾和膀胱的常见肿瘤：肾细胞癌，膀胱尿路上皮肿瘤。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自学与拓展：局灶性节段性肾小球硬化、膜增生性肾小球肾炎、系膜增生性肾小球肾炎、肾母细胞瘤。</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1</w:t>
      </w:r>
      <w:r>
        <w:rPr>
          <w:rFonts w:ascii="宋体" w:hAnsi="宋体" w:cs="宋体" w:hint="eastAsia"/>
          <w:color w:val="auto"/>
        </w:rPr>
        <w:t>．引导片：病理学实习引导片（录像）系列</w:t>
      </w:r>
      <w:r>
        <w:rPr>
          <w:rFonts w:ascii="宋体" w:hAnsi="宋体" w:cs="宋体"/>
          <w:color w:val="auto"/>
        </w:rPr>
        <w:t>15</w:t>
      </w:r>
      <w:r>
        <w:rPr>
          <w:rFonts w:ascii="宋体" w:hAnsi="宋体" w:cs="宋体" w:hint="eastAsia"/>
          <w:color w:val="auto"/>
        </w:rPr>
        <w:t>《泌尿系统疾病病理标本大体与镜下》</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lastRenderedPageBreak/>
        <w:t>2</w:t>
      </w:r>
      <w:r>
        <w:rPr>
          <w:rFonts w:ascii="宋体" w:hAnsi="宋体" w:cs="宋体" w:hint="eastAsia"/>
          <w:color w:val="auto"/>
        </w:rPr>
        <w:t>．观察大体标本：急、慢性肾小球肾炎，慢性肾盂肾炎，肾盂积水，肾透明细胞癌，膀胱乳头状癌，肾母细胞瘤。</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．观察病理切片：急、慢性肾小球肾炎，慢性肾盂肾炎，肾透明细胞癌，肾母细胞瘤，膀胱移行细胞乳头状癌。</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4</w:t>
      </w:r>
      <w:r>
        <w:rPr>
          <w:rFonts w:ascii="宋体" w:hAnsi="宋体" w:cs="宋体" w:hint="eastAsia"/>
          <w:color w:val="auto"/>
        </w:rPr>
        <w:t>．病例讨论。</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掌握肾小球肾炎的基本病理改变。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熟悉肾小球肾炎的病理分型，及各型肾炎的临床病理联系。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3</w:t>
      </w:r>
      <w:r>
        <w:rPr>
          <w:rFonts w:ascii="宋体" w:hAnsi="宋体" w:cs="宋体" w:hint="eastAsia"/>
          <w:color w:val="auto"/>
        </w:rPr>
        <w:t>．掌握急性增生性肾小球肾炎、快速进行性肾小球肾炎、膜性肾小球病、微小病变性肾小球病、</w:t>
      </w:r>
      <w:r>
        <w:rPr>
          <w:rFonts w:ascii="宋体" w:hAnsi="宋体" w:cs="宋体"/>
          <w:color w:val="auto"/>
        </w:rPr>
        <w:t>IgA</w:t>
      </w:r>
      <w:r>
        <w:rPr>
          <w:rFonts w:ascii="宋体" w:hAnsi="宋体" w:cs="宋体" w:hint="eastAsia"/>
          <w:color w:val="auto"/>
        </w:rPr>
        <w:t>肾病和慢性肾小球肾炎的病理变化。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．了解局灶性节段性肾小球硬化、膜增生性肾小球肾炎、系膜增生性肾小球肾炎的病变特点。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5</w:t>
      </w:r>
      <w:r>
        <w:rPr>
          <w:rFonts w:ascii="宋体" w:hAnsi="宋体" w:cs="宋体" w:hint="eastAsia"/>
          <w:color w:val="auto"/>
        </w:rPr>
        <w:t>．熟悉肾盂肾炎的基本概念和病变特点。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6</w:t>
      </w:r>
      <w:r>
        <w:rPr>
          <w:rFonts w:ascii="宋体" w:hAnsi="宋体" w:cs="宋体" w:hint="eastAsia"/>
          <w:color w:val="auto"/>
        </w:rPr>
        <w:t>．掌握肾细胞癌和膀胱癌的病变特点。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7</w:t>
      </w:r>
      <w:r>
        <w:rPr>
          <w:rFonts w:ascii="宋体" w:hAnsi="宋体" w:cs="宋体" w:hint="eastAsia"/>
          <w:color w:val="auto"/>
        </w:rPr>
        <w:t>．了解肾母细胞瘤的病理变化。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8</w:t>
      </w:r>
      <w:r>
        <w:rPr>
          <w:rFonts w:ascii="宋体" w:hAnsi="宋体" w:cs="宋体" w:hint="eastAsia"/>
          <w:color w:val="auto"/>
        </w:rPr>
        <w:t>．了解上述疾病的病因及发病机制。</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肾炎综合；肾病综合征；急性增生性肾小球肾炎；快速进行性肾小球肾炎；蚤咬肾；新月体；微小病变性肾小球病；</w:t>
      </w:r>
      <w:r>
        <w:rPr>
          <w:rFonts w:ascii="Trebuchet MS" w:eastAsia="Times New Roman"/>
          <w:color w:val="auto"/>
        </w:rPr>
        <w:t>IgA</w:t>
      </w:r>
      <w:r>
        <w:rPr>
          <w:rFonts w:ascii="Trebuchet MS" w:eastAsia="Times New Roman"/>
          <w:color w:val="auto"/>
        </w:rPr>
        <w:t>肾病；肾盂肾炎；肾细胞癌</w:t>
      </w:r>
    </w:p>
    <w:p w:rsidR="003717A0" w:rsidRDefault="003717A0">
      <w:pPr>
        <w:pStyle w:val="11"/>
        <w:spacing w:line="360" w:lineRule="auto"/>
        <w:ind w:right="4" w:firstLineChars="200" w:firstLine="420"/>
        <w:jc w:val="both"/>
        <w:rPr>
          <w:color w:val="auto"/>
          <w:sz w:val="21"/>
          <w:szCs w:val="21"/>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第十三章</w:t>
      </w:r>
      <w:r>
        <w:rPr>
          <w:rFonts w:ascii="宋体" w:hAnsi="宋体" w:cs="宋体"/>
          <w:b/>
          <w:bCs/>
          <w:color w:val="auto"/>
          <w:sz w:val="22"/>
          <w:szCs w:val="22"/>
        </w:rPr>
        <w:t xml:space="preserve">  </w:t>
      </w:r>
      <w:r>
        <w:rPr>
          <w:rFonts w:ascii="宋体" w:hAnsi="宋体" w:cs="宋体" w:hint="eastAsia"/>
          <w:b/>
          <w:bCs/>
          <w:color w:val="auto"/>
          <w:sz w:val="22"/>
          <w:szCs w:val="22"/>
        </w:rPr>
        <w:t>女性生殖系统和乳腺疾病</w:t>
      </w:r>
      <w:r>
        <w:rPr>
          <w:rFonts w:ascii="宋体" w:hAnsi="宋体" w:cs="宋体" w:hint="eastAsia"/>
          <w:b/>
          <w:color w:val="auto"/>
        </w:rPr>
        <w:t>（</w:t>
      </w:r>
      <w:r>
        <w:rPr>
          <w:rFonts w:ascii="Trebuchet MS"/>
          <w:b/>
          <w:color w:val="auto"/>
        </w:rPr>
        <w:t>4</w:t>
      </w:r>
      <w:r>
        <w:rPr>
          <w:rFonts w:ascii="宋体" w:hAnsi="宋体" w:cs="宋体" w:hint="eastAsia"/>
          <w:b/>
          <w:color w:val="auto"/>
        </w:rPr>
        <w:t>学时）</w:t>
      </w:r>
    </w:p>
    <w:p w:rsidR="003717A0" w:rsidRDefault="003717A0">
      <w:pPr>
        <w:pStyle w:val="Af9"/>
        <w:spacing w:line="360" w:lineRule="auto"/>
        <w:ind w:firstLineChars="200" w:firstLine="420"/>
        <w:jc w:val="center"/>
        <w:rPr>
          <w:color w:val="auto"/>
        </w:rPr>
      </w:pPr>
      <w:r>
        <w:rPr>
          <w:rStyle w:val="Hyperlink0"/>
          <w:rFonts w:ascii="Trebuchet MS" w:eastAsia="Times New Roman" w:cs="Calibri"/>
          <w:color w:val="auto"/>
        </w:rPr>
        <w:t>diseases</w:t>
      </w:r>
      <w:r>
        <w:rPr>
          <w:rFonts w:ascii="Trebuchet MS" w:eastAsia="Times New Roman"/>
          <w:color w:val="auto"/>
        </w:rPr>
        <w:t xml:space="preserve"> </w:t>
      </w:r>
      <w:r>
        <w:rPr>
          <w:rStyle w:val="Hyperlink0"/>
          <w:rFonts w:ascii="Trebuchet MS" w:eastAsia="Times New Roman" w:cs="Calibri"/>
          <w:color w:val="auto"/>
        </w:rPr>
        <w:t>of</w:t>
      </w:r>
      <w:r>
        <w:rPr>
          <w:rFonts w:ascii="Trebuchet MS" w:eastAsia="Times New Roman"/>
          <w:color w:val="auto"/>
          <w:sz w:val="24"/>
          <w:szCs w:val="24"/>
        </w:rPr>
        <w:t xml:space="preserve"> female </w:t>
      </w:r>
      <w:r>
        <w:rPr>
          <w:rStyle w:val="Hyperlink0"/>
          <w:rFonts w:ascii="Trebuchet MS" w:eastAsia="Times New Roman" w:cs="Calibri"/>
          <w:color w:val="auto"/>
        </w:rPr>
        <w:t>reproductive</w:t>
      </w:r>
      <w:r>
        <w:rPr>
          <w:rFonts w:ascii="Trebuchet MS" w:eastAsia="Times New Roman"/>
          <w:color w:val="auto"/>
        </w:rPr>
        <w:t xml:space="preserve"> </w:t>
      </w:r>
      <w:r>
        <w:rPr>
          <w:rStyle w:val="Hyperlink0"/>
          <w:rFonts w:ascii="Trebuchet MS" w:eastAsia="Times New Roman" w:cs="Calibri"/>
          <w:color w:val="auto"/>
        </w:rPr>
        <w:t>System</w:t>
      </w:r>
      <w:r>
        <w:rPr>
          <w:rFonts w:ascii="Trebuchet MS" w:eastAsia="Times New Roman"/>
          <w:color w:val="auto"/>
        </w:rPr>
        <w:t xml:space="preserve"> </w:t>
      </w:r>
      <w:r>
        <w:rPr>
          <w:rStyle w:val="Hyperlink0"/>
          <w:rFonts w:ascii="Trebuchet MS" w:eastAsia="Times New Roman" w:cs="Calibri"/>
          <w:color w:val="auto"/>
        </w:rPr>
        <w:t>and</w:t>
      </w:r>
      <w:r>
        <w:rPr>
          <w:rFonts w:ascii="Trebuchet MS" w:eastAsia="Times New Roman"/>
          <w:color w:val="auto"/>
        </w:rPr>
        <w:t xml:space="preserve"> </w:t>
      </w:r>
      <w:r>
        <w:rPr>
          <w:rStyle w:val="Hyperlink0"/>
          <w:rFonts w:ascii="Trebuchet MS" w:eastAsia="Times New Roman" w:cs="Calibri"/>
          <w:color w:val="auto"/>
        </w:rPr>
        <w:t>breast</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子宫颈疾病：慢性子宫颈炎，子宫颈上皮内瘤变和子宫颈癌。</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滋养层细胞疾病：葡萄胎，侵蚀性葡萄胎，绒毛膜癌。</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乳腺疾病：乳腺癌。</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自学与拓展：</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）子宫体疾病：子宫内膜异位症，子宫内膜增生症，子宫肿瘤。</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2</w:t>
      </w:r>
      <w:r>
        <w:rPr>
          <w:rFonts w:ascii="宋体" w:hAnsi="宋体" w:cs="宋体" w:hint="eastAsia"/>
          <w:color w:val="auto"/>
        </w:rPr>
        <w:t>）卵巢肿瘤：卵巢上皮性肿瘤，性索</w:t>
      </w:r>
      <w:r>
        <w:rPr>
          <w:rFonts w:ascii="宋体" w:cs="宋体"/>
          <w:color w:val="auto"/>
        </w:rPr>
        <w:t>-</w:t>
      </w:r>
      <w:r>
        <w:rPr>
          <w:rFonts w:ascii="宋体" w:hAnsi="宋体" w:cs="宋体" w:hint="eastAsia"/>
          <w:color w:val="auto"/>
        </w:rPr>
        <w:t>间质肿瘤，卵巢生殖细胞肿瘤。</w:t>
      </w:r>
    </w:p>
    <w:p w:rsidR="003717A0" w:rsidRDefault="003717A0">
      <w:pPr>
        <w:pStyle w:val="Af9"/>
        <w:spacing w:before="0" w:after="0" w:line="360" w:lineRule="auto"/>
        <w:ind w:firstLineChars="200" w:firstLine="420"/>
        <w:rPr>
          <w:b/>
          <w:bCs/>
          <w:color w:val="auto"/>
          <w:sz w:val="22"/>
          <w:szCs w:val="22"/>
        </w:rPr>
      </w:pPr>
      <w:r>
        <w:rPr>
          <w:rFonts w:ascii="宋体" w:hAnsi="宋体" w:cs="宋体" w:hint="eastAsia"/>
          <w:color w:val="auto"/>
        </w:rPr>
        <w:lastRenderedPageBreak/>
        <w:t>（</w:t>
      </w:r>
      <w:r>
        <w:rPr>
          <w:rFonts w:ascii="宋体" w:hAnsi="宋体" w:cs="宋体"/>
          <w:color w:val="auto"/>
        </w:rPr>
        <w:t>3</w:t>
      </w:r>
      <w:r>
        <w:rPr>
          <w:rFonts w:ascii="宋体" w:hAnsi="宋体" w:cs="宋体" w:hint="eastAsia"/>
          <w:color w:val="auto"/>
        </w:rPr>
        <w:t>）乳腺疾病：乳腺增生性疾病，乳腺纤维腺瘤。</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1</w:t>
      </w:r>
      <w:r>
        <w:rPr>
          <w:rFonts w:ascii="宋体" w:hAnsi="宋体" w:cs="宋体" w:hint="eastAsia"/>
          <w:color w:val="auto"/>
        </w:rPr>
        <w:t>．引导片：病理学实习引导片（录像）系列</w:t>
      </w:r>
      <w:r>
        <w:rPr>
          <w:rFonts w:ascii="宋体" w:hAnsi="宋体" w:cs="宋体"/>
          <w:color w:val="auto"/>
        </w:rPr>
        <w:t>16</w:t>
      </w:r>
      <w:r>
        <w:rPr>
          <w:rFonts w:ascii="宋体" w:hAnsi="宋体" w:cs="宋体" w:hint="eastAsia"/>
          <w:color w:val="auto"/>
        </w:rPr>
        <w:t>《女性生殖系统和乳腺疾病病理标本大体与镜下》</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早期妊娠流产，葡萄胎，恶性葡萄胎，子宫绒癌，肺转移性绒癌，宫颈癌，成熟性囊性畸胎瘤，混合性未成熟畸胎瘤，前列腺增生，乳腺纤维腺瘤，乳腺浸润性导管癌、髓样癌、硬癌、粘液腺癌，派杰氏病，乳腺癌腋窝淋巴结转移。</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．观察病理切片：葡萄胎，侵蚀性葡萄胎，绒癌，宫颈癌（宫颈原位癌及浸润癌），子宫内膜腺癌，前列腺增生，乳腺腺病，乳腺纤维腺瘤，乳腺浸润性导管癌，髓样癌、硬癌、浸润性小叶癌，派杰氏病等。</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画图说课：宫颈癌形成的过程（增生、不典型增生、癌变、早期癌、浸润、转移）</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1</w:t>
      </w:r>
      <w:r>
        <w:rPr>
          <w:rFonts w:ascii="宋体" w:hAnsi="宋体" w:cs="宋体" w:hint="eastAsia"/>
          <w:color w:val="auto"/>
        </w:rPr>
        <w:t>．掌握子宫颈上皮内瘤变的概念与分级。</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．掌握子宫颈癌的病变过程及扩散途径。</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3</w:t>
      </w:r>
      <w:r>
        <w:rPr>
          <w:rFonts w:ascii="宋体" w:hAnsi="宋体" w:cs="宋体" w:hint="eastAsia"/>
          <w:color w:val="auto"/>
        </w:rPr>
        <w:t>．掌握葡萄胎、侵蚀性葡萄胎、绒毛膜癌的病理特点。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．掌握乳腺癌的基本病理类型及各型的病理变化和相关的临床病理联系。</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5</w:t>
      </w:r>
      <w:r>
        <w:rPr>
          <w:rFonts w:ascii="宋体" w:hAnsi="宋体" w:cs="宋体" w:hint="eastAsia"/>
          <w:color w:val="auto"/>
        </w:rPr>
        <w:t>．熟悉慢性子宫颈炎和子宫平滑肌肿瘤的病变特点。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6</w:t>
      </w:r>
      <w:r>
        <w:rPr>
          <w:rFonts w:ascii="宋体" w:hAnsi="宋体" w:cs="宋体" w:hint="eastAsia"/>
          <w:color w:val="auto"/>
        </w:rPr>
        <w:t>．了解子宫内膜异位症、子宫内膜增生症和子宫内膜腺癌的病变特点。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7</w:t>
      </w:r>
      <w:r>
        <w:rPr>
          <w:rFonts w:ascii="宋体" w:hAnsi="宋体" w:cs="宋体" w:hint="eastAsia"/>
          <w:color w:val="auto"/>
        </w:rPr>
        <w:t>．了解乳腺纤维腺瘤的病理特点。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8</w:t>
      </w:r>
      <w:r>
        <w:rPr>
          <w:rFonts w:ascii="宋体" w:hAnsi="宋体" w:cs="宋体" w:hint="eastAsia"/>
          <w:color w:val="auto"/>
        </w:rPr>
        <w:t>．了解各种卵巢肿瘤的病变特点。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9</w:t>
      </w:r>
      <w:r>
        <w:rPr>
          <w:rFonts w:ascii="宋体" w:hAnsi="宋体" w:cs="宋体" w:hint="eastAsia"/>
          <w:color w:val="auto"/>
        </w:rPr>
        <w:t>．了解上述疾病的病因和发病机制。</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子宫颈上皮内瘤变；子宫颈癌；葡萄胎；绒毛膜癌；乳腺癌；粉刺癌，髓样癌；乳头</w:t>
      </w:r>
      <w:r>
        <w:rPr>
          <w:rFonts w:ascii="Trebuchet MS" w:eastAsia="Times New Roman"/>
          <w:color w:val="auto"/>
        </w:rPr>
        <w:t>Paget</w:t>
      </w:r>
      <w:r>
        <w:rPr>
          <w:rFonts w:ascii="Trebuchet MS" w:eastAsia="Times New Roman"/>
          <w:color w:val="auto"/>
        </w:rPr>
        <w:t>’</w:t>
      </w:r>
      <w:r>
        <w:rPr>
          <w:rFonts w:ascii="Trebuchet MS" w:eastAsia="Times New Roman"/>
          <w:color w:val="auto"/>
        </w:rPr>
        <w:t xml:space="preserve">s </w:t>
      </w:r>
      <w:r>
        <w:rPr>
          <w:rFonts w:ascii="Trebuchet MS" w:eastAsia="Times New Roman"/>
          <w:color w:val="auto"/>
        </w:rPr>
        <w:t>病；</w:t>
      </w:r>
    </w:p>
    <w:p w:rsidR="003717A0" w:rsidRDefault="003717A0">
      <w:pPr>
        <w:pStyle w:val="11"/>
        <w:tabs>
          <w:tab w:val="left" w:pos="1260"/>
        </w:tabs>
        <w:spacing w:line="360" w:lineRule="auto"/>
        <w:ind w:left="720" w:right="4" w:firstLineChars="200" w:firstLine="420"/>
        <w:jc w:val="both"/>
        <w:rPr>
          <w:color w:val="auto"/>
          <w:sz w:val="21"/>
          <w:szCs w:val="21"/>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第十四章</w:t>
      </w:r>
      <w:r>
        <w:rPr>
          <w:rFonts w:ascii="宋体" w:hAnsi="宋体" w:cs="宋体"/>
          <w:b/>
          <w:bCs/>
          <w:color w:val="auto"/>
          <w:sz w:val="22"/>
          <w:szCs w:val="22"/>
        </w:rPr>
        <w:t xml:space="preserve">  </w:t>
      </w:r>
      <w:r>
        <w:rPr>
          <w:rFonts w:ascii="宋体" w:hAnsi="宋体" w:cs="宋体" w:hint="eastAsia"/>
          <w:b/>
          <w:bCs/>
          <w:color w:val="auto"/>
          <w:sz w:val="22"/>
          <w:szCs w:val="22"/>
        </w:rPr>
        <w:t>男性生殖系统疾病</w:t>
      </w:r>
    </w:p>
    <w:p w:rsidR="003717A0" w:rsidRDefault="003717A0">
      <w:pPr>
        <w:pStyle w:val="Af9"/>
        <w:spacing w:line="360" w:lineRule="auto"/>
        <w:ind w:firstLineChars="200" w:firstLine="420"/>
        <w:jc w:val="center"/>
        <w:rPr>
          <w:color w:val="auto"/>
        </w:rPr>
      </w:pPr>
      <w:r>
        <w:rPr>
          <w:rStyle w:val="Hyperlink0"/>
          <w:rFonts w:ascii="Trebuchet MS" w:eastAsia="Times New Roman" w:cs="Calibri"/>
          <w:color w:val="auto"/>
        </w:rPr>
        <w:t>diseases</w:t>
      </w:r>
      <w:r>
        <w:rPr>
          <w:rFonts w:ascii="Trebuchet MS" w:eastAsia="Times New Roman"/>
          <w:color w:val="auto"/>
        </w:rPr>
        <w:t xml:space="preserve"> </w:t>
      </w:r>
      <w:r>
        <w:rPr>
          <w:rStyle w:val="Hyperlink0"/>
          <w:rFonts w:ascii="Trebuchet MS" w:eastAsia="Times New Roman" w:cs="Calibri"/>
          <w:color w:val="auto"/>
        </w:rPr>
        <w:t>of</w:t>
      </w:r>
      <w:r>
        <w:rPr>
          <w:rFonts w:ascii="Trebuchet MS" w:eastAsia="Times New Roman"/>
          <w:color w:val="auto"/>
        </w:rPr>
        <w:t xml:space="preserve"> </w:t>
      </w:r>
      <w:r>
        <w:rPr>
          <w:rFonts w:ascii="Trebuchet MS" w:eastAsia="Times New Roman"/>
          <w:color w:val="auto"/>
          <w:sz w:val="24"/>
          <w:szCs w:val="24"/>
        </w:rPr>
        <w:t>male</w:t>
      </w:r>
      <w:r>
        <w:rPr>
          <w:rFonts w:ascii="Trebuchet MS" w:eastAsia="Times New Roman"/>
          <w:color w:val="auto"/>
        </w:rPr>
        <w:t xml:space="preserve"> </w:t>
      </w:r>
      <w:r>
        <w:rPr>
          <w:rStyle w:val="Hyperlink0"/>
          <w:rFonts w:ascii="Trebuchet MS" w:eastAsia="Times New Roman" w:cs="Calibri"/>
          <w:color w:val="auto"/>
        </w:rPr>
        <w:t>reproductive</w:t>
      </w:r>
      <w:r>
        <w:rPr>
          <w:rFonts w:ascii="Trebuchet MS" w:eastAsia="Times New Roman"/>
          <w:color w:val="auto"/>
        </w:rPr>
        <w:t xml:space="preserve"> </w:t>
      </w:r>
      <w:r>
        <w:rPr>
          <w:rStyle w:val="Hyperlink0"/>
          <w:rFonts w:ascii="Trebuchet MS" w:eastAsia="Times New Roman" w:cs="Calibri"/>
          <w:color w:val="auto"/>
        </w:rPr>
        <w:t>System</w:t>
      </w:r>
      <w:r>
        <w:rPr>
          <w:rFonts w:ascii="Trebuchet MS" w:eastAsia="Times New Roman"/>
          <w:color w:val="auto"/>
        </w:rPr>
        <w:t xml:space="preserve"> </w:t>
      </w:r>
    </w:p>
    <w:p w:rsidR="003717A0" w:rsidRDefault="003717A0">
      <w:pPr>
        <w:pStyle w:val="Af9"/>
        <w:spacing w:before="156" w:after="0" w:line="360" w:lineRule="auto"/>
        <w:ind w:right="6" w:firstLineChars="200" w:firstLine="442"/>
        <w:jc w:val="center"/>
        <w:rPr>
          <w:b/>
          <w:bCs/>
          <w:color w:val="auto"/>
          <w:sz w:val="22"/>
          <w:szCs w:val="22"/>
        </w:rPr>
      </w:pP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宋体" w:hAnsi="宋体" w:cs="宋体" w:hint="eastAsia"/>
          <w:color w:val="auto"/>
        </w:rPr>
        <w:t>自学与拓展</w:t>
      </w:r>
      <w:r>
        <w:rPr>
          <w:rFonts w:ascii="宋体" w:hAnsi="宋体" w:cs="宋体" w:hint="eastAsia"/>
          <w:b/>
          <w:bCs/>
          <w:color w:val="auto"/>
        </w:rPr>
        <w:t>）</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lastRenderedPageBreak/>
        <w:t>1</w:t>
      </w:r>
      <w:r>
        <w:rPr>
          <w:rFonts w:ascii="宋体" w:hAnsi="宋体" w:cs="宋体" w:hint="eastAsia"/>
          <w:color w:val="auto"/>
        </w:rPr>
        <w:t>．前列腺疾病：前列腺炎，前列腺增生，前列腺癌。</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．睾丸和阴茎疾病。</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熟悉前列腺增生症的病理特点、危害及合并症。</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掌握前列腺癌的病理特点。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了解睾丸的生殖细胞源性肿瘤的病理特点。</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11"/>
        <w:tabs>
          <w:tab w:val="left" w:pos="1260"/>
        </w:tabs>
        <w:spacing w:line="360" w:lineRule="auto"/>
        <w:ind w:left="0" w:right="6" w:firstLineChars="200" w:firstLine="420"/>
        <w:jc w:val="both"/>
        <w:rPr>
          <w:rFonts w:ascii="宋体" w:cs="宋体"/>
          <w:b/>
          <w:bCs/>
          <w:color w:val="auto"/>
        </w:rPr>
      </w:pPr>
      <w:r>
        <w:rPr>
          <w:rFonts w:ascii="Trebuchet MS" w:eastAsia="Times New Roman" w:hAnsi="Calibri"/>
          <w:color w:val="auto"/>
          <w:sz w:val="21"/>
          <w:szCs w:val="21"/>
        </w:rPr>
        <w:t>前列腺炎；前列腺癌</w:t>
      </w:r>
      <w:r>
        <w:rPr>
          <w:rFonts w:ascii="Trebuchet MS" w:eastAsia="Times New Roman" w:hAnsi="Calibri"/>
          <w:color w:val="auto"/>
          <w:sz w:val="21"/>
          <w:szCs w:val="21"/>
        </w:rPr>
        <w:t xml:space="preserve"> </w:t>
      </w:r>
    </w:p>
    <w:p w:rsidR="003717A0" w:rsidRDefault="003717A0">
      <w:pPr>
        <w:pStyle w:val="11"/>
        <w:tabs>
          <w:tab w:val="left" w:pos="1260"/>
        </w:tabs>
        <w:spacing w:line="360" w:lineRule="auto"/>
        <w:ind w:left="0" w:right="6" w:firstLineChars="200" w:firstLine="420"/>
        <w:jc w:val="both"/>
        <w:rPr>
          <w:rFonts w:ascii="Trebuchet MS" w:eastAsia="Times New Roman" w:hAnsi="Calibri"/>
          <w:color w:val="auto"/>
          <w:sz w:val="21"/>
          <w:szCs w:val="21"/>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第十五章</w:t>
      </w:r>
      <w:r>
        <w:rPr>
          <w:b/>
          <w:bCs/>
          <w:color w:val="auto"/>
          <w:sz w:val="22"/>
          <w:szCs w:val="22"/>
        </w:rPr>
        <w:t xml:space="preserve"> </w:t>
      </w:r>
      <w:r>
        <w:rPr>
          <w:rFonts w:ascii="宋体" w:hAnsi="宋体" w:cs="宋体" w:hint="eastAsia"/>
          <w:b/>
          <w:color w:val="auto"/>
        </w:rPr>
        <w:t>内分系统疾病（</w:t>
      </w:r>
      <w:r>
        <w:rPr>
          <w:rFonts w:ascii="Trebuchet MS"/>
          <w:b/>
          <w:color w:val="auto"/>
        </w:rPr>
        <w:t>3</w:t>
      </w:r>
      <w:r>
        <w:rPr>
          <w:rFonts w:ascii="宋体" w:hAnsi="宋体" w:cs="宋体" w:hint="eastAsia"/>
          <w:b/>
          <w:color w:val="auto"/>
        </w:rPr>
        <w:t>学时）</w:t>
      </w:r>
    </w:p>
    <w:p w:rsidR="003717A0" w:rsidRDefault="003717A0">
      <w:pPr>
        <w:pStyle w:val="Af9"/>
        <w:spacing w:line="360" w:lineRule="auto"/>
        <w:ind w:firstLineChars="200" w:firstLine="420"/>
        <w:jc w:val="center"/>
        <w:rPr>
          <w:b/>
          <w:bCs/>
          <w:color w:val="auto"/>
          <w:sz w:val="22"/>
          <w:szCs w:val="22"/>
        </w:rPr>
      </w:pPr>
      <w:r>
        <w:rPr>
          <w:rStyle w:val="Hyperlink0"/>
          <w:rFonts w:ascii="Trebuchet MS" w:eastAsia="Times New Roman" w:cs="Calibri"/>
          <w:color w:val="auto"/>
        </w:rPr>
        <w:t>diseases</w:t>
      </w:r>
      <w:r>
        <w:rPr>
          <w:rFonts w:ascii="Trebuchet MS" w:eastAsia="Times New Roman"/>
          <w:color w:val="auto"/>
        </w:rPr>
        <w:t xml:space="preserve"> of endocrine </w:t>
      </w:r>
      <w:r>
        <w:rPr>
          <w:rStyle w:val="Hyperlink0"/>
          <w:rFonts w:ascii="Trebuchet MS" w:eastAsia="Times New Roman" w:cs="Calibri"/>
          <w:color w:val="auto"/>
        </w:rPr>
        <w:t>system</w:t>
      </w: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甲状腺疾病：弥漫性非毒性甲状腺肿，弥漫性毒性甲状腺肿，甲状腺炎，甲状腺肿瘤。</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自学与拓展：</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）胰岛疾病：胰岛细胞瘤和糖尿病。</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2</w:t>
      </w:r>
      <w:r>
        <w:rPr>
          <w:rFonts w:ascii="宋体" w:hAnsi="宋体" w:cs="宋体" w:hint="eastAsia"/>
          <w:color w:val="auto"/>
        </w:rPr>
        <w:t>）肾上腺疾病</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掌握非毒性甲状腺肿和毒性甲状腺肿的概念、病理变化。</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熟悉甲状腺炎的病变特点。</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掌握甲状腺常见肿瘤的类型、病理特点、转移途径和预后。</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熟悉糖尿病的病理变化。</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了解胰岛细胞瘤的病理变化。</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了解甲状腺肿及糖尿病的病因和发病机制。</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了解肾上腺疾病的主要病理类型。</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弥漫性非毒性甲状腺肿；单纯性甲状腺肿；弥漫性毒性甲状腺肿；甲状腺炎；糖尿病；砂粒体；</w:t>
      </w:r>
    </w:p>
    <w:p w:rsidR="003717A0" w:rsidRDefault="003717A0">
      <w:pPr>
        <w:pStyle w:val="11"/>
        <w:spacing w:line="360" w:lineRule="auto"/>
        <w:ind w:left="720" w:right="4" w:firstLineChars="200" w:firstLine="420"/>
        <w:jc w:val="both"/>
        <w:rPr>
          <w:color w:val="auto"/>
          <w:sz w:val="21"/>
          <w:szCs w:val="21"/>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第十六章</w:t>
      </w:r>
      <w:r>
        <w:rPr>
          <w:rFonts w:ascii="宋体" w:hAnsi="宋体" w:cs="宋体"/>
          <w:b/>
          <w:bCs/>
          <w:color w:val="auto"/>
          <w:sz w:val="22"/>
          <w:szCs w:val="22"/>
        </w:rPr>
        <w:t xml:space="preserve">  </w:t>
      </w:r>
      <w:r>
        <w:rPr>
          <w:rFonts w:ascii="宋体" w:hAnsi="宋体" w:cs="宋体" w:hint="eastAsia"/>
          <w:b/>
          <w:color w:val="auto"/>
        </w:rPr>
        <w:t>神经系统疾病</w:t>
      </w:r>
    </w:p>
    <w:p w:rsidR="003717A0" w:rsidRDefault="003717A0">
      <w:pPr>
        <w:pStyle w:val="Af9"/>
        <w:spacing w:line="360" w:lineRule="auto"/>
        <w:ind w:firstLineChars="200" w:firstLine="420"/>
        <w:jc w:val="center"/>
        <w:rPr>
          <w:color w:val="auto"/>
        </w:rPr>
      </w:pPr>
      <w:r>
        <w:rPr>
          <w:rStyle w:val="Hyperlink0"/>
          <w:rFonts w:ascii="Trebuchet MS" w:eastAsia="Times New Roman" w:cs="Calibri"/>
          <w:color w:val="auto"/>
        </w:rPr>
        <w:lastRenderedPageBreak/>
        <w:t>Disease</w:t>
      </w:r>
      <w:r>
        <w:rPr>
          <w:rFonts w:ascii="Trebuchet MS" w:eastAsia="Times New Roman"/>
          <w:color w:val="auto"/>
        </w:rPr>
        <w:t xml:space="preserve"> </w:t>
      </w:r>
      <w:r>
        <w:rPr>
          <w:rStyle w:val="Hyperlink0"/>
          <w:rFonts w:ascii="Trebuchet MS" w:eastAsia="Times New Roman" w:cs="Calibri"/>
          <w:color w:val="auto"/>
        </w:rPr>
        <w:t>of</w:t>
      </w:r>
      <w:r>
        <w:rPr>
          <w:rFonts w:ascii="Trebuchet MS" w:eastAsia="Times New Roman"/>
          <w:color w:val="auto"/>
        </w:rPr>
        <w:t xml:space="preserve"> </w:t>
      </w:r>
      <w:r>
        <w:rPr>
          <w:rStyle w:val="Hyperlink0"/>
          <w:rFonts w:ascii="Trebuchet MS" w:eastAsia="Times New Roman" w:cs="Calibri"/>
          <w:color w:val="auto"/>
        </w:rPr>
        <w:t>nervous</w:t>
      </w:r>
      <w:r>
        <w:rPr>
          <w:rFonts w:ascii="Trebuchet MS" w:eastAsia="Times New Roman"/>
          <w:color w:val="auto"/>
        </w:rPr>
        <w:t xml:space="preserve"> </w:t>
      </w:r>
      <w:r>
        <w:rPr>
          <w:rStyle w:val="Hyperlink0"/>
          <w:rFonts w:ascii="Trebuchet MS" w:eastAsia="Times New Roman" w:cs="Calibri"/>
          <w:color w:val="auto"/>
        </w:rPr>
        <w:t>system</w:t>
      </w:r>
    </w:p>
    <w:p w:rsidR="003717A0" w:rsidRDefault="003717A0">
      <w:pPr>
        <w:pStyle w:val="Af9"/>
        <w:spacing w:before="156"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宋体" w:hAnsi="宋体" w:cs="宋体" w:hint="eastAsia"/>
          <w:color w:val="auto"/>
        </w:rPr>
        <w:t>自学与拓展</w:t>
      </w:r>
      <w:r>
        <w:rPr>
          <w:rFonts w:ascii="宋体" w:hAnsi="宋体" w:cs="宋体" w:hint="eastAsia"/>
          <w:b/>
          <w:bCs/>
          <w:color w:val="auto"/>
        </w:rPr>
        <w:t>）</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神经系统疾病的基本病变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感染性疾病：细菌性疾病，病毒性疾病。</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神经系统退行性病变</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神经系统肿瘤：胶质瘤，脑膜瘤</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熟悉神经系统疾病的基本病理变化。</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熟悉流行性脑脊髓膜炎、流行性乙型脑炎的概念、病理变化和临床病理联系。</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了解海绵状脑病的病理变化。</w:t>
      </w:r>
    </w:p>
    <w:p w:rsidR="003717A0" w:rsidRDefault="003717A0">
      <w:pPr>
        <w:pStyle w:val="Af9"/>
        <w:tabs>
          <w:tab w:val="left" w:pos="0"/>
        </w:tabs>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了解神经系统肿瘤分类原则及胶质瘤和脑膜瘤的病理特点。</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t>流行性脑脊髓膜炎；流行性乙型脑炎；噬神经细胞现象；神经细胞卫星现象</w:t>
      </w:r>
    </w:p>
    <w:p w:rsidR="003717A0" w:rsidRDefault="003717A0">
      <w:pPr>
        <w:pStyle w:val="Af9"/>
        <w:spacing w:before="0" w:after="0" w:line="360" w:lineRule="auto"/>
        <w:ind w:left="720" w:right="4" w:firstLineChars="200" w:firstLine="420"/>
        <w:rPr>
          <w:rFonts w:ascii="Times New Roman" w:hAnsi="Times New Roman"/>
          <w:color w:val="auto"/>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第十七章</w:t>
      </w:r>
      <w:r>
        <w:rPr>
          <w:b/>
          <w:bCs/>
          <w:color w:val="auto"/>
          <w:sz w:val="22"/>
          <w:szCs w:val="22"/>
        </w:rPr>
        <w:t xml:space="preserve"> </w:t>
      </w:r>
      <w:r>
        <w:rPr>
          <w:rFonts w:ascii="宋体" w:hAnsi="宋体" w:cs="宋体" w:hint="eastAsia"/>
          <w:b/>
          <w:color w:val="auto"/>
        </w:rPr>
        <w:t>传染病（</w:t>
      </w:r>
      <w:r>
        <w:rPr>
          <w:rFonts w:ascii="Trebuchet MS"/>
          <w:b/>
          <w:color w:val="auto"/>
        </w:rPr>
        <w:t>4</w:t>
      </w:r>
      <w:r>
        <w:rPr>
          <w:rFonts w:ascii="宋体" w:hAnsi="宋体" w:cs="宋体" w:hint="eastAsia"/>
          <w:b/>
          <w:color w:val="auto"/>
        </w:rPr>
        <w:t>学时）</w:t>
      </w:r>
    </w:p>
    <w:p w:rsidR="003717A0" w:rsidRDefault="003717A0">
      <w:pPr>
        <w:pStyle w:val="Af9"/>
        <w:spacing w:line="360" w:lineRule="auto"/>
        <w:ind w:firstLineChars="200" w:firstLine="420"/>
        <w:jc w:val="center"/>
        <w:rPr>
          <w:color w:val="auto"/>
        </w:rPr>
      </w:pPr>
      <w:r>
        <w:rPr>
          <w:rStyle w:val="Hyperlink0"/>
          <w:rFonts w:ascii="Trebuchet MS" w:eastAsia="Times New Roman" w:cs="Calibri"/>
          <w:color w:val="auto"/>
        </w:rPr>
        <w:t>infectious</w:t>
      </w:r>
      <w:r>
        <w:rPr>
          <w:rFonts w:ascii="Trebuchet MS" w:eastAsia="Times New Roman"/>
          <w:color w:val="auto"/>
        </w:rPr>
        <w:t xml:space="preserve"> </w:t>
      </w:r>
      <w:r>
        <w:rPr>
          <w:rStyle w:val="Hyperlink0"/>
          <w:rFonts w:ascii="Trebuchet MS" w:eastAsia="Times New Roman" w:cs="Calibri"/>
          <w:color w:val="auto"/>
        </w:rPr>
        <w:t>disease</w:t>
      </w:r>
    </w:p>
    <w:p w:rsidR="003717A0" w:rsidRDefault="003717A0">
      <w:pPr>
        <w:pStyle w:val="Af9"/>
        <w:spacing w:before="156"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Times New Roman Bold" w:eastAsia="Times New Roman"/>
          <w:color w:val="auto"/>
        </w:rPr>
        <w:t>3</w:t>
      </w:r>
      <w:r>
        <w:rPr>
          <w:rFonts w:ascii="宋体" w:hAnsi="宋体" w:cs="宋体" w:hint="eastAsia"/>
          <w:b/>
          <w:bCs/>
          <w:color w:val="auto"/>
        </w:rPr>
        <w:t>学时）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结核病：概述，肺结核病，血源性结核病，肺外结核病。</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伤寒</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细菌性痢疾</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自学与拓展：</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1</w:t>
      </w:r>
      <w:r>
        <w:rPr>
          <w:rFonts w:ascii="宋体" w:hAnsi="宋体" w:cs="宋体" w:hint="eastAsia"/>
          <w:color w:val="auto"/>
        </w:rPr>
        <w:t>）传染病概论</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2</w:t>
      </w:r>
      <w:r>
        <w:rPr>
          <w:rFonts w:ascii="宋体" w:hAnsi="宋体" w:cs="宋体" w:hint="eastAsia"/>
          <w:color w:val="auto"/>
        </w:rPr>
        <w:t>）麻风、钩端螺旋体病、流行性出血热</w:t>
      </w:r>
    </w:p>
    <w:p w:rsidR="003717A0" w:rsidRDefault="003717A0">
      <w:pPr>
        <w:pStyle w:val="Af9"/>
        <w:spacing w:before="0" w:after="0" w:line="360" w:lineRule="auto"/>
        <w:ind w:firstLineChars="200" w:firstLine="420"/>
        <w:rPr>
          <w:rFonts w:ascii="宋体" w:cs="宋体"/>
          <w:color w:val="auto"/>
        </w:rPr>
      </w:pPr>
      <w:r>
        <w:rPr>
          <w:rFonts w:ascii="宋体" w:hAnsi="宋体" w:cs="宋体" w:hint="eastAsia"/>
          <w:color w:val="auto"/>
        </w:rPr>
        <w:t>（</w:t>
      </w:r>
      <w:r>
        <w:rPr>
          <w:rFonts w:ascii="宋体" w:hAnsi="宋体" w:cs="宋体"/>
          <w:color w:val="auto"/>
        </w:rPr>
        <w:t>3</w:t>
      </w:r>
      <w:r>
        <w:rPr>
          <w:rFonts w:ascii="宋体" w:hAnsi="宋体" w:cs="宋体" w:hint="eastAsia"/>
          <w:color w:val="auto"/>
        </w:rPr>
        <w:t>）性传播性疾病：淋病，尖锐湿疣，梅毒。</w:t>
      </w:r>
    </w:p>
    <w:p w:rsidR="003717A0" w:rsidRDefault="003717A0">
      <w:pPr>
        <w:pStyle w:val="Af9"/>
        <w:tabs>
          <w:tab w:val="left" w:pos="0"/>
        </w:tabs>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实习内容</w:t>
      </w:r>
      <w:r>
        <w:rPr>
          <w:rFonts w:ascii="宋体" w:hAnsi="宋体" w:cs="宋体" w:hint="eastAsia"/>
          <w:color w:val="auto"/>
        </w:rPr>
        <w:t>】</w:t>
      </w:r>
      <w:r>
        <w:rPr>
          <w:rFonts w:ascii="宋体" w:hAnsi="宋体" w:cs="宋体" w:hint="eastAsia"/>
          <w:b/>
          <w:bCs/>
          <w:color w:val="auto"/>
        </w:rPr>
        <w:t>（</w:t>
      </w:r>
      <w:r>
        <w:rPr>
          <w:rFonts w:ascii="Times New Roman Bold"/>
          <w:color w:val="auto"/>
        </w:rPr>
        <w:t>1</w:t>
      </w:r>
      <w:r>
        <w:rPr>
          <w:rFonts w:ascii="宋体" w:hAnsi="宋体" w:cs="宋体" w:hint="eastAsia"/>
          <w:b/>
          <w:bCs/>
          <w:color w:val="auto"/>
        </w:rPr>
        <w:t>学时）</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1</w:t>
      </w:r>
      <w:r>
        <w:rPr>
          <w:rFonts w:ascii="宋体" w:hAnsi="宋体" w:cs="宋体" w:hint="eastAsia"/>
          <w:color w:val="auto"/>
        </w:rPr>
        <w:t>．引导片：病理学实习引导片（录像）系列</w:t>
      </w:r>
      <w:r>
        <w:rPr>
          <w:rFonts w:ascii="宋体" w:hAnsi="宋体" w:cs="宋体"/>
          <w:color w:val="auto"/>
        </w:rPr>
        <w:t>18</w:t>
      </w:r>
      <w:r>
        <w:rPr>
          <w:rFonts w:ascii="宋体" w:hAnsi="宋体" w:cs="宋体" w:hint="eastAsia"/>
          <w:color w:val="auto"/>
        </w:rPr>
        <w:t>《传染病病理标本大体与镜下》</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2</w:t>
      </w:r>
      <w:r>
        <w:rPr>
          <w:rFonts w:ascii="宋体" w:hAnsi="宋体" w:cs="宋体" w:hint="eastAsia"/>
          <w:color w:val="auto"/>
        </w:rPr>
        <w:t>．观察大体标本：原发性肺结核，粟粒性肺结核，肝、脾之粟粒性结核、局灶性肺结核、慢性纤维空洞型肺结核、干酪性肺炎，肠结核，肾结核，结核性脑膜炎，骨结核，肠伤寒，细菌性痢</w:t>
      </w:r>
      <w:r>
        <w:rPr>
          <w:rFonts w:ascii="宋体" w:hAnsi="宋体" w:cs="宋体" w:hint="eastAsia"/>
          <w:color w:val="auto"/>
        </w:rPr>
        <w:lastRenderedPageBreak/>
        <w:t>疾之结肠。</w:t>
      </w:r>
    </w:p>
    <w:p w:rsidR="003717A0" w:rsidRDefault="003717A0">
      <w:pPr>
        <w:pStyle w:val="Af9"/>
        <w:tabs>
          <w:tab w:val="left" w:pos="1260"/>
        </w:tabs>
        <w:spacing w:before="0" w:after="0" w:line="360" w:lineRule="auto"/>
        <w:ind w:right="4" w:firstLineChars="200" w:firstLine="420"/>
        <w:rPr>
          <w:rFonts w:ascii="宋体" w:cs="宋体"/>
          <w:color w:val="auto"/>
        </w:rPr>
      </w:pPr>
      <w:r>
        <w:rPr>
          <w:rFonts w:ascii="宋体" w:hAnsi="宋体" w:cs="宋体"/>
          <w:color w:val="auto"/>
        </w:rPr>
        <w:t>3</w:t>
      </w:r>
      <w:r>
        <w:rPr>
          <w:rFonts w:ascii="宋体" w:hAnsi="宋体" w:cs="宋体" w:hint="eastAsia"/>
          <w:color w:val="auto"/>
        </w:rPr>
        <w:t>．观察病理切片：增生性粟粒性肺结核，局灶性肺结核，慢性纤维空洞型肺结核，干酪性肺炎，肺结核球，肾结核，结核性淋巴结炎，肠结核，结核性脑膜炎，骨结核，肠伤寒，菌痢之肠。</w:t>
      </w:r>
    </w:p>
    <w:p w:rsidR="003717A0" w:rsidRDefault="003717A0">
      <w:pPr>
        <w:pStyle w:val="Af9"/>
        <w:spacing w:before="0" w:after="0" w:line="360" w:lineRule="auto"/>
        <w:ind w:right="4" w:firstLineChars="200" w:firstLine="420"/>
        <w:rPr>
          <w:rFonts w:ascii="宋体" w:cs="宋体"/>
          <w:color w:val="auto"/>
        </w:rPr>
      </w:pPr>
      <w:r>
        <w:rPr>
          <w:rFonts w:ascii="宋体" w:hAnsi="宋体" w:cs="宋体"/>
          <w:color w:val="auto"/>
        </w:rPr>
        <w:t>4</w:t>
      </w:r>
      <w:r>
        <w:rPr>
          <w:rFonts w:ascii="宋体" w:hAnsi="宋体" w:cs="宋体" w:hint="eastAsia"/>
          <w:color w:val="auto"/>
        </w:rPr>
        <w:t>．哪些病变可引起肠道溃疡？并比较不同病变的肠道溃疡。</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掌握结核病、原发性肺结核病、继发性肺结核病及肺外结核病的概念。</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掌握结核病基本的病理变化及其转化规律。</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掌握原发性与继发性肺结核的病变特点及二者的区别。</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掌握伤寒和细菌性痢疾的病理变化及临床病理联系、病因与发病机制。</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了解麻风、钩端螺旋体病、流行性出血热、梅毒、淋病、尖锐湿疣等性传播疾病的病理变化。</w:t>
      </w:r>
    </w:p>
    <w:p w:rsidR="003717A0" w:rsidRDefault="003717A0">
      <w:pPr>
        <w:pStyle w:val="Af9"/>
        <w:spacing w:before="0" w:after="0" w:line="360" w:lineRule="auto"/>
        <w:ind w:firstLineChars="200" w:firstLine="420"/>
        <w:rPr>
          <w:rFonts w:ascii="Times New Roman Bold" w:hAnsi="Times New Roman Bold" w:cs="Times New Roman Bold"/>
          <w:color w:val="auto"/>
        </w:rPr>
      </w:pPr>
      <w:r>
        <w:rPr>
          <w:rFonts w:ascii="宋体" w:hAnsi="宋体" w:cs="宋体"/>
          <w:color w:val="auto"/>
        </w:rPr>
        <w:t xml:space="preserve">6. </w:t>
      </w:r>
      <w:r>
        <w:rPr>
          <w:rFonts w:ascii="宋体" w:hAnsi="宋体" w:cs="宋体" w:hint="eastAsia"/>
          <w:color w:val="auto"/>
        </w:rPr>
        <w:t>了解上述疾病的病因与发病机制。</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before="0" w:after="0" w:line="360" w:lineRule="auto"/>
        <w:ind w:firstLineChars="200" w:firstLine="420"/>
        <w:rPr>
          <w:rFonts w:ascii="Trebuchet MS"/>
          <w:color w:val="auto"/>
        </w:rPr>
      </w:pPr>
      <w:r>
        <w:rPr>
          <w:rFonts w:ascii="Trebuchet MS" w:eastAsia="Times New Roman"/>
          <w:color w:val="auto"/>
        </w:rPr>
        <w:t>结核结；结核性肉芽肿；原发综合症</w:t>
      </w:r>
      <w:r>
        <w:rPr>
          <w:rFonts w:ascii="Trebuchet MS" w:eastAsia="Times New Roman"/>
          <w:color w:val="auto"/>
        </w:rPr>
        <w:t>x</w:t>
      </w:r>
      <w:r>
        <w:rPr>
          <w:rFonts w:ascii="Trebuchet MS" w:eastAsia="Times New Roman"/>
          <w:color w:val="auto"/>
        </w:rPr>
        <w:t>；结核球（瘤）；冷脓肿；伤寒肉芽肿；细菌性痢疾；性传播性疾病（</w:t>
      </w:r>
      <w:r>
        <w:rPr>
          <w:rFonts w:ascii="Trebuchet MS" w:eastAsia="Times New Roman"/>
          <w:color w:val="auto"/>
        </w:rPr>
        <w:t>STD</w:t>
      </w:r>
      <w:r>
        <w:rPr>
          <w:rFonts w:ascii="Trebuchet MS" w:eastAsia="Times New Roman"/>
          <w:color w:val="auto"/>
        </w:rPr>
        <w:t>）；尖锐湿疣；梅毒；树胶肿</w:t>
      </w:r>
    </w:p>
    <w:p w:rsidR="003717A0" w:rsidRDefault="003717A0">
      <w:pPr>
        <w:pStyle w:val="Af9"/>
        <w:spacing w:before="0" w:after="0" w:line="360" w:lineRule="auto"/>
        <w:ind w:left="720" w:right="4" w:firstLineChars="200" w:firstLine="420"/>
        <w:rPr>
          <w:rFonts w:ascii="Times New Roman" w:hAnsi="Times New Roman"/>
          <w:color w:val="auto"/>
        </w:rPr>
      </w:pPr>
    </w:p>
    <w:p w:rsidR="003717A0" w:rsidRDefault="003717A0">
      <w:pPr>
        <w:pStyle w:val="Af9"/>
        <w:spacing w:before="0" w:after="0" w:line="360" w:lineRule="auto"/>
        <w:ind w:left="720" w:right="4" w:firstLineChars="200" w:firstLine="420"/>
        <w:rPr>
          <w:rFonts w:ascii="Times New Roman" w:hAnsi="Times New Roman"/>
          <w:color w:val="auto"/>
        </w:rPr>
      </w:pPr>
    </w:p>
    <w:p w:rsidR="003717A0" w:rsidRDefault="003717A0">
      <w:pPr>
        <w:pStyle w:val="Af9"/>
        <w:spacing w:line="360" w:lineRule="auto"/>
        <w:ind w:firstLineChars="200" w:firstLine="442"/>
        <w:jc w:val="center"/>
        <w:rPr>
          <w:rFonts w:ascii="宋体" w:cs="宋体"/>
          <w:color w:val="auto"/>
        </w:rPr>
      </w:pPr>
      <w:r>
        <w:rPr>
          <w:rFonts w:ascii="宋体" w:hAnsi="宋体" w:cs="宋体" w:hint="eastAsia"/>
          <w:b/>
          <w:bCs/>
          <w:color w:val="auto"/>
          <w:sz w:val="22"/>
          <w:szCs w:val="22"/>
        </w:rPr>
        <w:t>第十八章</w:t>
      </w:r>
      <w:r>
        <w:rPr>
          <w:rFonts w:ascii="宋体" w:hAnsi="宋体" w:cs="宋体"/>
          <w:b/>
          <w:bCs/>
          <w:color w:val="auto"/>
          <w:sz w:val="22"/>
          <w:szCs w:val="22"/>
        </w:rPr>
        <w:t xml:space="preserve"> </w:t>
      </w:r>
      <w:r>
        <w:rPr>
          <w:rFonts w:ascii="宋体" w:hAnsi="宋体" w:cs="宋体" w:hint="eastAsia"/>
          <w:b/>
          <w:color w:val="auto"/>
        </w:rPr>
        <w:t>寄生虫病</w:t>
      </w:r>
    </w:p>
    <w:p w:rsidR="003717A0" w:rsidRDefault="003717A0">
      <w:pPr>
        <w:pStyle w:val="Af9"/>
        <w:spacing w:line="360" w:lineRule="auto"/>
        <w:ind w:firstLineChars="200" w:firstLine="420"/>
        <w:jc w:val="center"/>
        <w:rPr>
          <w:color w:val="auto"/>
        </w:rPr>
      </w:pPr>
      <w:r>
        <w:rPr>
          <w:rStyle w:val="Hyperlink0"/>
          <w:rFonts w:ascii="Trebuchet MS" w:eastAsia="Times New Roman" w:cs="Calibri"/>
          <w:color w:val="auto"/>
        </w:rPr>
        <w:t>parasitosis</w:t>
      </w:r>
    </w:p>
    <w:p w:rsidR="003717A0" w:rsidRDefault="003717A0">
      <w:pPr>
        <w:pStyle w:val="Af9"/>
        <w:spacing w:before="156" w:after="0" w:line="360" w:lineRule="auto"/>
        <w:ind w:right="6" w:firstLineChars="200" w:firstLine="442"/>
        <w:jc w:val="center"/>
        <w:rPr>
          <w:b/>
          <w:bCs/>
          <w:color w:val="auto"/>
          <w:sz w:val="22"/>
          <w:szCs w:val="22"/>
        </w:rPr>
      </w:pPr>
    </w:p>
    <w:p w:rsidR="003717A0" w:rsidRDefault="003717A0">
      <w:pPr>
        <w:pStyle w:val="Af9"/>
        <w:spacing w:before="0" w:after="0" w:line="360" w:lineRule="auto"/>
        <w:ind w:right="6" w:firstLineChars="200" w:firstLine="420"/>
        <w:rPr>
          <w:rFonts w:ascii="Times New Roman Bold" w:hAnsi="Times New Roman Bold" w:cs="Times New Roman Bold"/>
          <w:color w:val="auto"/>
        </w:rPr>
      </w:pPr>
      <w:r>
        <w:rPr>
          <w:rFonts w:ascii="宋体" w:hAnsi="宋体" w:cs="宋体" w:hint="eastAsia"/>
          <w:color w:val="auto"/>
        </w:rPr>
        <w:t>【</w:t>
      </w:r>
      <w:r>
        <w:rPr>
          <w:rFonts w:ascii="宋体" w:hAnsi="宋体" w:cs="宋体" w:hint="eastAsia"/>
          <w:b/>
          <w:bCs/>
          <w:color w:val="auto"/>
        </w:rPr>
        <w:t>教学内容</w:t>
      </w:r>
      <w:r>
        <w:rPr>
          <w:rFonts w:ascii="宋体" w:hAnsi="宋体" w:cs="宋体" w:hint="eastAsia"/>
          <w:color w:val="auto"/>
        </w:rPr>
        <w:t>】</w:t>
      </w:r>
      <w:r>
        <w:rPr>
          <w:rFonts w:ascii="宋体" w:hAnsi="宋体" w:cs="宋体" w:hint="eastAsia"/>
          <w:b/>
          <w:bCs/>
          <w:color w:val="auto"/>
        </w:rPr>
        <w:t>（</w:t>
      </w:r>
      <w:r>
        <w:rPr>
          <w:rFonts w:ascii="宋体" w:hAnsi="宋体" w:cs="宋体" w:hint="eastAsia"/>
          <w:color w:val="auto"/>
        </w:rPr>
        <w:t>自学与拓展</w:t>
      </w:r>
      <w:r>
        <w:rPr>
          <w:rFonts w:ascii="宋体" w:hAnsi="宋体" w:cs="宋体" w:hint="eastAsia"/>
          <w:b/>
          <w:bCs/>
          <w:color w:val="auto"/>
        </w:rPr>
        <w:t>）</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阿米巴病：肠阿米巴，肠外阿米巴病。</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血吸虫病：血吸虫肠病、血吸虫性肝硬化</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hint="eastAsia"/>
          <w:color w:val="auto"/>
        </w:rPr>
        <w:t>【目的要求】</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1</w:t>
      </w:r>
      <w:r>
        <w:rPr>
          <w:rFonts w:ascii="宋体" w:hAnsi="宋体" w:cs="宋体" w:hint="eastAsia"/>
          <w:color w:val="auto"/>
        </w:rPr>
        <w:t>．熟悉肠阿米巴病及阿米巴肝脓肿的病理变化。</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2</w:t>
      </w:r>
      <w:r>
        <w:rPr>
          <w:rFonts w:ascii="宋体" w:hAnsi="宋体" w:cs="宋体" w:hint="eastAsia"/>
          <w:color w:val="auto"/>
        </w:rPr>
        <w:t>．了解阿米巴病的病因、传染途径、发病机理。</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3</w:t>
      </w:r>
      <w:r>
        <w:rPr>
          <w:rFonts w:ascii="宋体" w:hAnsi="宋体" w:cs="宋体" w:hint="eastAsia"/>
          <w:color w:val="auto"/>
        </w:rPr>
        <w:t>．熟悉血吸虫性肝硬化的病变特点。</w:t>
      </w:r>
    </w:p>
    <w:p w:rsidR="003717A0" w:rsidRDefault="003717A0">
      <w:pPr>
        <w:pStyle w:val="Af9"/>
        <w:spacing w:before="0" w:after="0" w:line="360" w:lineRule="auto"/>
        <w:ind w:firstLineChars="200" w:firstLine="420"/>
        <w:rPr>
          <w:rFonts w:ascii="宋体" w:cs="宋体"/>
          <w:color w:val="auto"/>
        </w:rPr>
      </w:pPr>
      <w:r>
        <w:rPr>
          <w:rFonts w:ascii="宋体" w:hAnsi="宋体" w:cs="宋体"/>
          <w:color w:val="auto"/>
        </w:rPr>
        <w:t>4</w:t>
      </w:r>
      <w:r>
        <w:rPr>
          <w:rFonts w:ascii="宋体" w:hAnsi="宋体" w:cs="宋体" w:hint="eastAsia"/>
          <w:color w:val="auto"/>
        </w:rPr>
        <w:t>．了解血吸虫的致病传染途径、以及引起血吸虫性肝硬化的发病机理。</w:t>
      </w:r>
    </w:p>
    <w:p w:rsidR="003717A0" w:rsidRDefault="003717A0">
      <w:pPr>
        <w:pStyle w:val="Af9"/>
        <w:spacing w:line="360" w:lineRule="auto"/>
        <w:ind w:firstLineChars="200" w:firstLine="420"/>
        <w:rPr>
          <w:rFonts w:ascii="宋体" w:cs="宋体"/>
          <w:color w:val="auto"/>
        </w:rPr>
      </w:pPr>
      <w:r>
        <w:rPr>
          <w:rFonts w:ascii="宋体" w:hAnsi="宋体" w:cs="宋体" w:hint="eastAsia"/>
          <w:color w:val="auto"/>
        </w:rPr>
        <w:t>【专业词汇】</w:t>
      </w:r>
    </w:p>
    <w:p w:rsidR="003717A0" w:rsidRDefault="003717A0">
      <w:pPr>
        <w:pStyle w:val="Af9"/>
        <w:spacing w:line="360" w:lineRule="auto"/>
        <w:ind w:firstLineChars="200" w:firstLine="420"/>
        <w:rPr>
          <w:rFonts w:ascii="Trebuchet MS"/>
          <w:color w:val="auto"/>
        </w:rPr>
      </w:pPr>
      <w:r>
        <w:rPr>
          <w:rFonts w:ascii="Trebuchet MS" w:eastAsia="Times New Roman"/>
          <w:color w:val="auto"/>
        </w:rPr>
        <w:lastRenderedPageBreak/>
        <w:t>阿米巴病；阿米巴肝脓肿；嗜酸性脓肿</w:t>
      </w:r>
      <w:r>
        <w:rPr>
          <w:rFonts w:ascii="Trebuchet MS" w:eastAsia="Times New Roman"/>
          <w:color w:val="auto"/>
        </w:rPr>
        <w:t>s</w:t>
      </w:r>
      <w:r>
        <w:rPr>
          <w:rFonts w:ascii="Trebuchet MS" w:eastAsia="Times New Roman"/>
          <w:color w:val="auto"/>
        </w:rPr>
        <w:t>；假结核结节；干线型肝硬化</w:t>
      </w:r>
    </w:p>
    <w:p w:rsidR="003717A0" w:rsidRDefault="003717A0">
      <w:pPr>
        <w:pStyle w:val="Af9"/>
        <w:tabs>
          <w:tab w:val="left" w:pos="1500"/>
        </w:tabs>
        <w:spacing w:before="0" w:after="0" w:line="360" w:lineRule="auto"/>
        <w:ind w:right="4" w:firstLineChars="200" w:firstLine="480"/>
        <w:rPr>
          <w:rFonts w:ascii="宋体" w:cs="宋体"/>
          <w:color w:val="auto"/>
          <w:sz w:val="24"/>
          <w:szCs w:val="24"/>
        </w:rPr>
      </w:pPr>
    </w:p>
    <w:p w:rsidR="003717A0" w:rsidRDefault="003717A0">
      <w:pPr>
        <w:pStyle w:val="Af9"/>
        <w:spacing w:before="0" w:after="0" w:line="360" w:lineRule="auto"/>
        <w:ind w:right="6" w:firstLineChars="200" w:firstLine="442"/>
        <w:rPr>
          <w:b/>
          <w:bCs/>
          <w:color w:val="auto"/>
          <w:sz w:val="22"/>
          <w:szCs w:val="22"/>
        </w:rPr>
      </w:pPr>
      <w:r>
        <w:rPr>
          <w:rFonts w:ascii="宋体" w:hAnsi="宋体" w:cs="宋体" w:hint="eastAsia"/>
          <w:b/>
          <w:bCs/>
          <w:color w:val="auto"/>
          <w:sz w:val="22"/>
          <w:szCs w:val="22"/>
        </w:rPr>
        <w:t>（五）学生论坛</w:t>
      </w:r>
    </w:p>
    <w:p w:rsidR="003717A0" w:rsidRDefault="003717A0">
      <w:pPr>
        <w:pStyle w:val="Af9"/>
        <w:spacing w:before="0" w:after="0" w:line="360" w:lineRule="auto"/>
        <w:ind w:right="6" w:firstLineChars="200" w:firstLine="422"/>
        <w:rPr>
          <w:b/>
          <w:bCs/>
          <w:color w:val="auto"/>
        </w:rPr>
      </w:pPr>
      <w:r>
        <w:rPr>
          <w:rFonts w:ascii="宋体" w:hAnsi="宋体" w:cs="宋体" w:hint="eastAsia"/>
          <w:b/>
          <w:bCs/>
          <w:color w:val="auto"/>
        </w:rPr>
        <w:t>论坛内容（</w:t>
      </w:r>
      <w:r>
        <w:rPr>
          <w:b/>
          <w:bCs/>
          <w:color w:val="auto"/>
        </w:rPr>
        <w:t>3</w:t>
      </w:r>
      <w:r>
        <w:rPr>
          <w:rFonts w:ascii="宋体" w:hAnsi="宋体" w:cs="宋体" w:hint="eastAsia"/>
          <w:b/>
          <w:bCs/>
          <w:color w:val="auto"/>
        </w:rPr>
        <w:t>学时</w:t>
      </w:r>
      <w:r>
        <w:rPr>
          <w:b/>
          <w:bCs/>
          <w:color w:val="auto"/>
        </w:rPr>
        <w:t>/</w:t>
      </w:r>
      <w:r>
        <w:rPr>
          <w:rFonts w:ascii="宋体" w:hAnsi="宋体" w:cs="宋体" w:hint="eastAsia"/>
          <w:b/>
          <w:bCs/>
          <w:color w:val="auto"/>
        </w:rPr>
        <w:t>次）</w:t>
      </w:r>
    </w:p>
    <w:p w:rsidR="003717A0" w:rsidRDefault="003717A0">
      <w:pPr>
        <w:pStyle w:val="Af9"/>
        <w:spacing w:before="0" w:after="0" w:line="360" w:lineRule="auto"/>
        <w:ind w:right="6" w:firstLineChars="200" w:firstLine="422"/>
        <w:rPr>
          <w:b/>
          <w:bCs/>
          <w:color w:val="auto"/>
        </w:rPr>
      </w:pPr>
      <w:r>
        <w:rPr>
          <w:rFonts w:ascii="宋体" w:hAnsi="宋体" w:cs="宋体" w:hint="eastAsia"/>
          <w:b/>
          <w:bCs/>
          <w:color w:val="auto"/>
        </w:rPr>
        <w:t>讨论主题（可能涉及到的章节部分）</w:t>
      </w:r>
    </w:p>
    <w:p w:rsidR="003717A0" w:rsidRDefault="003717A0">
      <w:pPr>
        <w:pStyle w:val="Af9"/>
        <w:spacing w:before="0" w:after="0" w:line="360" w:lineRule="auto"/>
        <w:ind w:right="6" w:firstLineChars="200" w:firstLine="422"/>
        <w:rPr>
          <w:b/>
          <w:bCs/>
          <w:color w:val="auto"/>
        </w:rPr>
      </w:pP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 </w:t>
      </w:r>
      <w:r>
        <w:rPr>
          <w:rFonts w:ascii="宋体" w:hAnsi="宋体" w:cs="宋体" w:hint="eastAsia"/>
          <w:color w:val="auto"/>
        </w:rPr>
        <w:t>腿骨折石膏固定数月后，拆除石膏发现患腿肌肉萎缩，试分析引起肌肉萎缩的原因。</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2. </w:t>
      </w:r>
      <w:r>
        <w:rPr>
          <w:rFonts w:ascii="宋体" w:hAnsi="宋体" w:cs="宋体" w:hint="eastAsia"/>
          <w:color w:val="auto"/>
        </w:rPr>
        <w:t>断肢再植中有哪些组织发生再生，分别如何再生？</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3. </w:t>
      </w:r>
      <w:r>
        <w:rPr>
          <w:rFonts w:ascii="宋体" w:hAnsi="宋体" w:cs="宋体" w:hint="eastAsia"/>
          <w:color w:val="auto"/>
        </w:rPr>
        <w:t>手脂烫伤出现较多水疱，临床将如何处理创口，为什么？</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4. </w:t>
      </w:r>
      <w:r>
        <w:rPr>
          <w:rFonts w:ascii="宋体" w:hAnsi="宋体" w:cs="宋体" w:hint="eastAsia"/>
          <w:color w:val="auto"/>
        </w:rPr>
        <w:t>临床输液的注意事项涉及哪些病理问题？</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5. </w:t>
      </w:r>
      <w:r>
        <w:rPr>
          <w:rFonts w:ascii="宋体" w:hAnsi="宋体" w:cs="宋体" w:hint="eastAsia"/>
          <w:color w:val="auto"/>
        </w:rPr>
        <w:t>用辨证的观点分析炎症中损伤与抗损伤的作用。</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6. </w:t>
      </w:r>
      <w:r>
        <w:rPr>
          <w:rFonts w:ascii="宋体" w:hAnsi="宋体" w:cs="宋体" w:hint="eastAsia"/>
          <w:color w:val="auto"/>
        </w:rPr>
        <w:t>肿瘤是人类的第一杀手，肿瘤是否可防、可治？肿瘤干预可从何处入手？</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7. </w:t>
      </w:r>
      <w:r>
        <w:rPr>
          <w:rFonts w:ascii="宋体" w:hAnsi="宋体" w:cs="宋体" w:hint="eastAsia"/>
          <w:color w:val="auto"/>
        </w:rPr>
        <w:t>为什么肺癌发病率有增加的趋势？</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8.</w:t>
      </w:r>
      <w:r>
        <w:rPr>
          <w:rFonts w:ascii="宋体" w:hAnsi="宋体" w:cs="宋体" w:hint="eastAsia"/>
          <w:color w:val="auto"/>
        </w:rPr>
        <w:t>分析临床上引起肝肿大的原因，并描述相应的病理变化</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9. </w:t>
      </w:r>
      <w:r>
        <w:rPr>
          <w:rFonts w:ascii="宋体" w:hAnsi="宋体" w:cs="宋体" w:hint="eastAsia"/>
          <w:color w:val="auto"/>
        </w:rPr>
        <w:t>颈部肿块如何鉴别？</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10. </w:t>
      </w:r>
      <w:r>
        <w:rPr>
          <w:rFonts w:ascii="宋体" w:hAnsi="宋体" w:cs="宋体" w:hint="eastAsia"/>
          <w:color w:val="auto"/>
        </w:rPr>
        <w:t>子宫颈上皮内瘤变的表现与临床意义。</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11. </w:t>
      </w:r>
      <w:r>
        <w:rPr>
          <w:rFonts w:ascii="宋体" w:hAnsi="宋体" w:cs="宋体" w:hint="eastAsia"/>
          <w:color w:val="auto"/>
        </w:rPr>
        <w:t>例举病理学上有诊断意义的肉芽肿，并进行描述</w:t>
      </w:r>
    </w:p>
    <w:p w:rsidR="003717A0" w:rsidRDefault="003717A0">
      <w:pPr>
        <w:pStyle w:val="Af9"/>
        <w:spacing w:before="0" w:after="0" w:line="360" w:lineRule="auto"/>
        <w:ind w:right="6" w:firstLineChars="200" w:firstLine="420"/>
        <w:rPr>
          <w:rFonts w:ascii="宋体" w:cs="宋体"/>
          <w:color w:val="auto"/>
        </w:rPr>
      </w:pPr>
      <w:r>
        <w:rPr>
          <w:rFonts w:ascii="宋体" w:hAnsi="宋体" w:cs="宋体"/>
          <w:color w:val="auto"/>
        </w:rPr>
        <w:t xml:space="preserve">12. </w:t>
      </w:r>
      <w:r>
        <w:rPr>
          <w:rFonts w:ascii="宋体" w:hAnsi="宋体" w:cs="宋体" w:hint="eastAsia"/>
          <w:color w:val="auto"/>
        </w:rPr>
        <w:t>分别描述肠道溃疡的病理改变，并进行鉴别诊断</w:t>
      </w:r>
    </w:p>
    <w:p w:rsidR="003717A0" w:rsidRDefault="003717A0">
      <w:pPr>
        <w:pStyle w:val="Af9"/>
        <w:spacing w:before="0" w:after="0" w:line="360" w:lineRule="auto"/>
        <w:ind w:left="709" w:right="4"/>
        <w:rPr>
          <w:rFonts w:ascii="Times New Roman" w:hAnsi="Times New Roman"/>
          <w:color w:val="auto"/>
        </w:rPr>
      </w:pPr>
    </w:p>
    <w:p w:rsidR="003717A0" w:rsidRDefault="003717A0">
      <w:pPr>
        <w:pStyle w:val="Af9"/>
        <w:spacing w:before="0" w:after="0" w:line="360" w:lineRule="auto"/>
        <w:jc w:val="center"/>
        <w:rPr>
          <w:rFonts w:ascii="Times New Roman Bold" w:hAnsi="Times New Roman Bold" w:cs="Times New Roman Bold"/>
          <w:color w:val="auto"/>
          <w:sz w:val="28"/>
          <w:szCs w:val="28"/>
        </w:rPr>
      </w:pPr>
      <w:r>
        <w:rPr>
          <w:rFonts w:ascii="宋体" w:hAnsi="宋体" w:cs="宋体" w:hint="eastAsia"/>
          <w:b/>
          <w:bCs/>
          <w:color w:val="auto"/>
          <w:sz w:val="28"/>
          <w:szCs w:val="28"/>
        </w:rPr>
        <w:t>理论课学时分配</w:t>
      </w:r>
    </w:p>
    <w:tbl>
      <w:tblPr>
        <w:tblW w:w="8903" w:type="dxa"/>
        <w:tblInd w:w="108" w:type="dxa"/>
        <w:tblLayout w:type="fixed"/>
        <w:tblLook w:val="00A0"/>
      </w:tblPr>
      <w:tblGrid>
        <w:gridCol w:w="593"/>
        <w:gridCol w:w="2498"/>
        <w:gridCol w:w="709"/>
        <w:gridCol w:w="1842"/>
        <w:gridCol w:w="1276"/>
        <w:gridCol w:w="1276"/>
        <w:gridCol w:w="709"/>
      </w:tblGrid>
      <w:tr w:rsidR="003717A0">
        <w:trPr>
          <w:cantSplit/>
          <w:trHeight w:val="69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序号</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教学内容</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学时</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作业</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rPr>
              <w:t>选修讲座</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选修课教师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hint="eastAsia"/>
                <w:color w:val="auto"/>
                <w:sz w:val="24"/>
                <w:szCs w:val="24"/>
              </w:rPr>
              <w:t>学时</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绪论</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r>
              <w:t>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细胞、组织的适应和损伤</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自学衰老与死亡</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细胞凋亡</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陈莉教授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3</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损伤的修复</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2</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自学干细胞的修复</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再生医学中干细胞</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王桂兰教授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4</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局部血液循环障碍</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4</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出血</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lastRenderedPageBreak/>
              <w:t>5</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炎症</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5</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炎性介质</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6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6</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肿瘤</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6</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肿瘤发病机制</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肿瘤发病学和病因学</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陆锦标副教授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7</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心血管系统疾病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6</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心肌病</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8</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呼吸系统疾病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6</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鼻部炎症</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9</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消化道疾病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6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10</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肝脏疾病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胆、胰疾病</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胆、胰常见疾病</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陆锦标副教授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6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11</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淋巴造血系统疾病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w:t>
            </w:r>
            <w:r>
              <w:rPr>
                <w:rFonts w:ascii="宋体" w:hAnsi="宋体" w:cs="宋体"/>
                <w:color w:val="auto"/>
              </w:rPr>
              <w:t xml:space="preserve"> </w:t>
            </w:r>
            <w:r>
              <w:rPr>
                <w:rFonts w:ascii="宋体" w:hAnsi="宋体" w:cs="宋体" w:hint="eastAsia"/>
                <w:color w:val="auto"/>
              </w:rPr>
              <w:t>组织细胞增生症</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造血系统肿瘤分类进展</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季菊铃副教授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免疫性疾病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自主学习</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艾滋病病理与临床</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李杏玉讲师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13</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泌尿系统疾病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6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14</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宫颈癌、生殖细胞肿瘤和乳腺疾病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自学子宫体与卵巢肿瘤</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子宫体与卵巢肿瘤病理</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王东林教授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6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15</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内分泌系统疾病（甲状腺疾病）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自学其他内分泌系统疾病</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16</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神经系统疾病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自主学习</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神经系统疾病概述</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王东林教授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17</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传染病</w:t>
            </w:r>
            <w:r>
              <w:rPr>
                <w:rFonts w:ascii="Times New Roman" w:eastAsia="Times New Roman"/>
                <w:color w:val="auto"/>
              </w:rPr>
              <w:t>-</w:t>
            </w:r>
            <w:r>
              <w:rPr>
                <w:rFonts w:ascii="宋体" w:hAnsi="宋体" w:cs="宋体" w:hint="eastAsia"/>
                <w:color w:val="auto"/>
              </w:rPr>
              <w:t>（结核、伤寒、菌痢）</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3</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tc>
      </w:tr>
      <w:tr w:rsidR="003717A0">
        <w:trPr>
          <w:cantSplit/>
          <w:trHeight w:val="6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18</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宋体" w:hAnsi="宋体" w:cs="宋体" w:hint="eastAsia"/>
                <w:color w:val="auto"/>
              </w:rPr>
              <w:t>传染疾病</w:t>
            </w:r>
            <w:r>
              <w:rPr>
                <w:rFonts w:ascii="Times New Roman" w:eastAsia="Times New Roman"/>
                <w:color w:val="auto"/>
              </w:rPr>
              <w:t>-2</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自主学习性传播性疾病</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性传播性疾病的病理诊断</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曹晓蕾副教授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310"/>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19</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寄生虫病</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自主学习</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常见寄生虫病的病理改变</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季俐俐讲师</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3</w:t>
            </w:r>
          </w:p>
        </w:tc>
      </w:tr>
      <w:tr w:rsidR="003717A0">
        <w:trPr>
          <w:cantSplit/>
          <w:trHeight w:val="477"/>
        </w:trPr>
        <w:tc>
          <w:tcPr>
            <w:tcW w:w="5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lastRenderedPageBreak/>
              <w:t>总计</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54</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tc>
        <w:tc>
          <w:tcPr>
            <w:tcW w:w="709" w:type="dxa"/>
            <w:tcBorders>
              <w:top w:val="single" w:sz="4" w:space="0" w:color="000000"/>
              <w:left w:val="single" w:sz="4" w:space="0" w:color="000000"/>
              <w:bottom w:val="single" w:sz="4" w:space="0" w:color="000000"/>
              <w:right w:val="single" w:sz="4" w:space="0" w:color="000000"/>
            </w:tcBorders>
          </w:tcPr>
          <w:p w:rsidR="003717A0" w:rsidRDefault="003717A0">
            <w:r>
              <w:t>30</w:t>
            </w:r>
          </w:p>
        </w:tc>
      </w:tr>
    </w:tbl>
    <w:p w:rsidR="003717A0" w:rsidRDefault="003717A0">
      <w:pPr>
        <w:pStyle w:val="Af9"/>
        <w:spacing w:before="0" w:after="0" w:line="360" w:lineRule="auto"/>
        <w:jc w:val="center"/>
        <w:rPr>
          <w:rFonts w:ascii="Times New Roman Bold" w:hAnsi="Times New Roman Bold" w:cs="Times New Roman Bold"/>
          <w:color w:val="auto"/>
          <w:sz w:val="28"/>
          <w:szCs w:val="28"/>
        </w:rPr>
      </w:pPr>
    </w:p>
    <w:p w:rsidR="003717A0" w:rsidRDefault="003717A0">
      <w:pPr>
        <w:pStyle w:val="Af9"/>
        <w:spacing w:before="0" w:after="0" w:line="360" w:lineRule="auto"/>
        <w:jc w:val="center"/>
        <w:rPr>
          <w:rFonts w:ascii="Times New Roman Bold" w:hAnsi="Times New Roman Bold" w:cs="Times New Roman Bold"/>
          <w:color w:val="auto"/>
          <w:sz w:val="28"/>
          <w:szCs w:val="28"/>
        </w:rPr>
      </w:pPr>
      <w:r>
        <w:rPr>
          <w:rFonts w:ascii="宋体" w:hAnsi="宋体" w:cs="宋体" w:hint="eastAsia"/>
          <w:b/>
          <w:bCs/>
          <w:color w:val="auto"/>
          <w:sz w:val="28"/>
          <w:szCs w:val="28"/>
        </w:rPr>
        <w:t>实验课学时分配</w:t>
      </w:r>
    </w:p>
    <w:tbl>
      <w:tblPr>
        <w:tblW w:w="9186" w:type="dxa"/>
        <w:tblInd w:w="108" w:type="dxa"/>
        <w:tblLayout w:type="fixed"/>
        <w:tblLook w:val="00A0"/>
      </w:tblPr>
      <w:tblGrid>
        <w:gridCol w:w="655"/>
        <w:gridCol w:w="3712"/>
        <w:gridCol w:w="708"/>
        <w:gridCol w:w="1843"/>
        <w:gridCol w:w="1559"/>
        <w:gridCol w:w="709"/>
      </w:tblGrid>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序号</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实验内容</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学时</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作业</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选修课</w:t>
            </w:r>
            <w:r>
              <w:rPr>
                <w:rFonts w:ascii="宋体" w:hAnsi="宋体" w:cs="宋体"/>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sz w:val="24"/>
                <w:szCs w:val="24"/>
              </w:rPr>
            </w:pPr>
            <w:r>
              <w:rPr>
                <w:rFonts w:ascii="宋体" w:hAnsi="宋体" w:cs="宋体" w:hint="eastAsia"/>
                <w:color w:val="auto"/>
                <w:sz w:val="24"/>
                <w:szCs w:val="24"/>
              </w:rPr>
              <w:t>学时</w:t>
            </w:r>
          </w:p>
        </w:tc>
      </w:tr>
      <w:tr w:rsidR="003717A0">
        <w:trPr>
          <w:cantSplit/>
          <w:trHeight w:val="91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1</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绪论：数码互动实验教学系统和医学形态学数字化教学平台的使用、数字化教学切片使用、尸检录象</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2</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eastAsia="Times New Roman"/>
                <w:color w:val="auto"/>
              </w:rPr>
            </w:pPr>
            <w:r>
              <w:rPr>
                <w:rFonts w:ascii="Times New Roman" w:eastAsia="Times New Roman"/>
                <w:color w:val="auto"/>
              </w:rPr>
              <w:t>2</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细胞、组织的适应和损伤、</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2</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3</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损伤的修复</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4</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局部血液循环障碍</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1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5</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炎症</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病理学论坛</w:t>
            </w:r>
            <w:r>
              <w:rPr>
                <w:rFonts w:ascii="宋体" w:hAnsi="宋体" w:cs="宋体"/>
                <w:color w:val="auto"/>
              </w:rPr>
              <w: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6</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肿瘤</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3</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7</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心血管系统疾病</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r>
              <w:rPr>
                <w:rFonts w:ascii="宋体" w:hAnsi="宋体" w:cs="宋体" w:hint="eastAsia"/>
                <w:szCs w:val="21"/>
                <w:u w:color="000000"/>
              </w:rPr>
              <w:t>病例讨论</w:t>
            </w:r>
            <w:r>
              <w:rPr>
                <w:rFonts w:ascii="宋体" w:hAnsi="宋体" w:cs="宋体"/>
                <w:szCs w:val="21"/>
                <w:u w:color="000000"/>
              </w:rPr>
              <w:t>1</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8</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呼吸系统疾病</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r>
              <w:rPr>
                <w:rFonts w:ascii="宋体" w:hAnsi="宋体" w:cs="宋体" w:hint="eastAsia"/>
                <w:szCs w:val="21"/>
                <w:u w:color="000000"/>
              </w:rPr>
              <w:t>病例讨论</w:t>
            </w:r>
            <w:r>
              <w:rPr>
                <w:rFonts w:ascii="宋体" w:hAnsi="宋体" w:cs="宋体"/>
                <w:szCs w:val="21"/>
                <w:u w:color="000000"/>
              </w:rPr>
              <w:t>2</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9</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消化系统疾病</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3</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r>
              <w:rPr>
                <w:rFonts w:ascii="宋体" w:hAnsi="宋体" w:cs="宋体" w:hint="eastAsia"/>
                <w:szCs w:val="21"/>
                <w:u w:color="000000"/>
              </w:rPr>
              <w:t>病例讨论</w:t>
            </w:r>
            <w:r>
              <w:rPr>
                <w:rFonts w:ascii="宋体" w:hAnsi="宋体" w:cs="宋体"/>
                <w:szCs w:val="21"/>
                <w:u w:color="000000"/>
              </w:rPr>
              <w:t>3</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color w:val="auto"/>
              </w:rPr>
              <w:t>10</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泌尿系统疾病：肾炎与泌尿系统肿瘤</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病例讨论</w:t>
            </w:r>
            <w:r>
              <w:rPr>
                <w:rFonts w:ascii="宋体" w:hAnsi="宋体" w:cs="宋体"/>
                <w:color w:val="auto"/>
              </w:rPr>
              <w:t>4</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r>
              <w:rPr>
                <w:rFonts w:ascii="宋体" w:hAnsi="宋体" w:cs="宋体"/>
                <w:szCs w:val="21"/>
                <w:u w:color="000000"/>
              </w:rPr>
              <w:t>3</w:t>
            </w:r>
          </w:p>
        </w:tc>
      </w:tr>
      <w:tr w:rsidR="003717A0">
        <w:trPr>
          <w:cantSplit/>
          <w:trHeight w:val="35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eastAsia="Times New Roman"/>
                <w:color w:val="auto"/>
              </w:rPr>
              <w:t>1</w:t>
            </w:r>
            <w:r>
              <w:rPr>
                <w:rFonts w:ascii="Times New Roman"/>
                <w:color w:val="auto"/>
              </w:rPr>
              <w:t>1</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生殖系统和乳腺疾病</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光镜图像采集</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rPr>
                <w:rFonts w:ascii="宋体" w:cs="宋体"/>
                <w:szCs w:val="21"/>
                <w:u w:color="000000"/>
              </w:rPr>
            </w:pPr>
            <w:r>
              <w:rPr>
                <w:rFonts w:ascii="宋体" w:hAnsi="宋体" w:cs="宋体" w:hint="eastAsia"/>
                <w:szCs w:val="21"/>
                <w:u w:color="000000"/>
              </w:rPr>
              <w:t>病例讨论</w:t>
            </w:r>
            <w:r>
              <w:rPr>
                <w:rFonts w:ascii="宋体" w:hAnsi="宋体" w:cs="宋体"/>
                <w:szCs w:val="21"/>
                <w:u w:color="000000"/>
              </w:rPr>
              <w:t>5</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p>
        </w:tc>
      </w:tr>
      <w:tr w:rsidR="003717A0">
        <w:trPr>
          <w:cantSplit/>
          <w:trHeight w:val="31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Times New Roman"/>
                <w:color w:val="auto"/>
              </w:rPr>
            </w:pPr>
            <w:r>
              <w:rPr>
                <w:rFonts w:ascii="Times New Roman" w:eastAsia="Times New Roman"/>
                <w:color w:val="auto"/>
              </w:rPr>
              <w:t>1</w:t>
            </w:r>
            <w:r>
              <w:rPr>
                <w:rFonts w:ascii="Times New Roman"/>
                <w:color w:val="auto"/>
              </w:rPr>
              <w:t>2</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传染病</w:t>
            </w: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病理学论坛</w:t>
            </w:r>
            <w:r>
              <w:rPr>
                <w:rFonts w:ascii="宋体" w:hAnsi="宋体" w:cs="宋体"/>
                <w:color w:val="auto"/>
              </w:rPr>
              <w: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病例讨论</w:t>
            </w:r>
            <w:r>
              <w:rPr>
                <w:rFonts w:ascii="宋体" w:hAnsi="宋体" w:cs="宋体"/>
                <w:color w:val="auto"/>
              </w:rPr>
              <w:t>6</w:t>
            </w: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rPr>
                <w:rFonts w:ascii="宋体" w:cs="宋体"/>
                <w:szCs w:val="21"/>
                <w:u w:color="000000"/>
              </w:rPr>
            </w:pPr>
            <w:r>
              <w:rPr>
                <w:rFonts w:ascii="宋体" w:hAnsi="宋体" w:cs="宋体"/>
                <w:szCs w:val="21"/>
                <w:u w:color="000000"/>
              </w:rPr>
              <w:t>3</w:t>
            </w:r>
          </w:p>
        </w:tc>
      </w:tr>
      <w:tr w:rsidR="003717A0">
        <w:trPr>
          <w:cantSplit/>
          <w:trHeight w:val="310"/>
        </w:trPr>
        <w:tc>
          <w:tcPr>
            <w:tcW w:w="6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hint="eastAsia"/>
                <w:color w:val="auto"/>
              </w:rPr>
              <w:t>总计</w:t>
            </w:r>
          </w:p>
        </w:tc>
        <w:tc>
          <w:tcPr>
            <w:tcW w:w="37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p>
        </w:tc>
        <w:tc>
          <w:tcPr>
            <w:tcW w:w="7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r>
              <w:rPr>
                <w:rFonts w:ascii="宋体" w:hAnsi="宋体" w:cs="宋体"/>
                <w:color w:val="auto"/>
              </w:rPr>
              <w:t>18</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717A0" w:rsidRDefault="003717A0">
            <w:pPr>
              <w:pStyle w:val="Af9"/>
              <w:spacing w:line="240" w:lineRule="auto"/>
              <w:rPr>
                <w:rFonts w:ascii="宋体" w:cs="宋体"/>
                <w:color w:val="auto"/>
              </w:rPr>
            </w:pPr>
          </w:p>
        </w:tc>
        <w:tc>
          <w:tcPr>
            <w:tcW w:w="709" w:type="dxa"/>
            <w:tcBorders>
              <w:top w:val="single" w:sz="4" w:space="0" w:color="000000"/>
              <w:left w:val="single" w:sz="4" w:space="0" w:color="000000"/>
              <w:bottom w:val="single" w:sz="4" w:space="0" w:color="000000"/>
              <w:right w:val="single" w:sz="4" w:space="0" w:color="000000"/>
            </w:tcBorders>
          </w:tcPr>
          <w:p w:rsidR="003717A0" w:rsidRDefault="003717A0">
            <w:pPr>
              <w:pStyle w:val="Af9"/>
              <w:spacing w:line="240" w:lineRule="auto"/>
              <w:rPr>
                <w:rFonts w:ascii="宋体" w:cs="宋体"/>
                <w:color w:val="auto"/>
              </w:rPr>
            </w:pPr>
            <w:r>
              <w:rPr>
                <w:rFonts w:ascii="宋体" w:hAnsi="宋体" w:cs="宋体"/>
                <w:color w:val="auto"/>
              </w:rPr>
              <w:t>18</w:t>
            </w:r>
          </w:p>
        </w:tc>
      </w:tr>
    </w:tbl>
    <w:p w:rsidR="003717A0" w:rsidRDefault="003717A0">
      <w:pPr>
        <w:pStyle w:val="Af9"/>
        <w:spacing w:before="0" w:after="0" w:line="360" w:lineRule="auto"/>
        <w:rPr>
          <w:b/>
          <w:bCs/>
          <w:color w:val="auto"/>
          <w:sz w:val="28"/>
          <w:szCs w:val="28"/>
        </w:rPr>
      </w:pPr>
      <w:r>
        <w:rPr>
          <w:rFonts w:ascii="宋体" w:hAnsi="宋体" w:cs="宋体" w:hint="eastAsia"/>
          <w:color w:val="auto"/>
        </w:rPr>
        <w:t>＊时间可调，</w:t>
      </w:r>
      <w:r>
        <w:rPr>
          <w:rFonts w:ascii="宋体" w:hAnsi="宋体" w:cs="宋体"/>
          <w:color w:val="auto"/>
          <w:sz w:val="24"/>
          <w:szCs w:val="24"/>
        </w:rPr>
        <w:t xml:space="preserve"> #</w:t>
      </w:r>
      <w:r>
        <w:rPr>
          <w:rFonts w:ascii="宋体" w:hAnsi="宋体" w:cs="宋体" w:hint="eastAsia"/>
          <w:color w:val="auto"/>
          <w:sz w:val="24"/>
          <w:szCs w:val="24"/>
        </w:rPr>
        <w:t>：选修课</w:t>
      </w:r>
      <w:r>
        <w:rPr>
          <w:rFonts w:ascii="宋体" w:hAnsi="宋体" w:cs="宋体" w:hint="eastAsia"/>
          <w:color w:val="auto"/>
        </w:rPr>
        <w:t>病例讨论由陆锦标副教授主持</w:t>
      </w:r>
    </w:p>
    <w:p w:rsidR="003717A0" w:rsidRDefault="003717A0">
      <w:pPr>
        <w:pStyle w:val="Af9"/>
        <w:spacing w:before="0" w:after="0" w:line="240" w:lineRule="auto"/>
        <w:jc w:val="center"/>
        <w:rPr>
          <w:b/>
          <w:bCs/>
          <w:color w:val="auto"/>
          <w:sz w:val="28"/>
          <w:szCs w:val="28"/>
        </w:rPr>
      </w:pPr>
    </w:p>
    <w:p w:rsidR="00BA5C48" w:rsidRPr="00BA5C48" w:rsidRDefault="00BA5C48">
      <w:pPr>
        <w:pStyle w:val="Af9"/>
        <w:spacing w:before="0" w:after="0" w:line="240" w:lineRule="auto"/>
        <w:jc w:val="center"/>
        <w:rPr>
          <w:b/>
          <w:bCs/>
          <w:color w:val="auto"/>
          <w:sz w:val="28"/>
          <w:szCs w:val="28"/>
        </w:rPr>
      </w:pP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lastRenderedPageBreak/>
        <w:t>（六）教学设备和设施</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多媒体教室、显微数码互动实验室、</w:t>
      </w:r>
      <w:r>
        <w:rPr>
          <w:rFonts w:ascii="Times New Roman" w:eastAsia="Times New Roman"/>
          <w:color w:val="auto"/>
        </w:rPr>
        <w:t>blackboard</w:t>
      </w:r>
      <w:r>
        <w:rPr>
          <w:rFonts w:ascii="宋体" w:hAnsi="宋体" w:cs="宋体" w:hint="eastAsia"/>
          <w:color w:val="auto"/>
        </w:rPr>
        <w:t>网络平台等；</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多媒体教学课件、病理组织切片、人体病理标本、模型教具、等。</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医学形态学数字化教学平台、数字化病理教学切片库。</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（七）课程考核与评估</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本课程考试采用闭卷考核方法，时间为</w:t>
      </w:r>
      <w:r>
        <w:rPr>
          <w:rFonts w:ascii="Times New Roman" w:eastAsia="Times New Roman"/>
          <w:color w:val="auto"/>
        </w:rPr>
        <w:t xml:space="preserve">2 </w:t>
      </w:r>
      <w:r>
        <w:rPr>
          <w:rFonts w:ascii="宋体" w:hAnsi="宋体" w:cs="宋体" w:hint="eastAsia"/>
          <w:color w:val="auto"/>
        </w:rPr>
        <w:t>小时。</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期末考试成绩占总成绩的</w:t>
      </w:r>
      <w:r>
        <w:rPr>
          <w:rFonts w:ascii="Times New Roman" w:eastAsia="Times New Roman"/>
          <w:color w:val="auto"/>
        </w:rPr>
        <w:t>70%</w:t>
      </w:r>
      <w:r>
        <w:rPr>
          <w:rFonts w:ascii="宋体" w:hAnsi="宋体" w:cs="宋体" w:hint="eastAsia"/>
          <w:color w:val="auto"/>
        </w:rPr>
        <w:t>。</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平时成绩占总成绩的</w:t>
      </w:r>
      <w:r>
        <w:rPr>
          <w:rFonts w:ascii="Times New Roman" w:eastAsia="Times New Roman"/>
          <w:color w:val="auto"/>
        </w:rPr>
        <w:t>30%</w:t>
      </w:r>
      <w:r>
        <w:rPr>
          <w:rFonts w:ascii="宋体" w:hAnsi="宋体" w:cs="宋体" w:hint="eastAsia"/>
          <w:color w:val="auto"/>
        </w:rPr>
        <w:t>，其中平时作业为</w:t>
      </w:r>
      <w:r>
        <w:rPr>
          <w:rFonts w:ascii="Times New Roman" w:eastAsia="Times New Roman"/>
          <w:color w:val="auto"/>
        </w:rPr>
        <w:t>10%</w:t>
      </w:r>
      <w:r>
        <w:rPr>
          <w:rFonts w:ascii="宋体" w:hAnsi="宋体" w:cs="宋体" w:hint="eastAsia"/>
          <w:color w:val="auto"/>
        </w:rPr>
        <w:t>，实验考试为</w:t>
      </w:r>
      <w:r>
        <w:rPr>
          <w:rFonts w:ascii="Times New Roman" w:eastAsia="Times New Roman"/>
          <w:color w:val="auto"/>
        </w:rPr>
        <w:t>10%</w:t>
      </w:r>
      <w:r>
        <w:rPr>
          <w:rFonts w:ascii="宋体" w:hAnsi="宋体" w:cs="宋体" w:hint="eastAsia"/>
          <w:color w:val="auto"/>
        </w:rPr>
        <w:t>，参加病理论坛与病例讨论</w:t>
      </w:r>
      <w:r>
        <w:rPr>
          <w:rFonts w:ascii="Times New Roman" w:eastAsia="Times New Roman"/>
          <w:color w:val="auto"/>
        </w:rPr>
        <w:t>10%</w:t>
      </w:r>
      <w:r>
        <w:rPr>
          <w:rFonts w:ascii="宋体" w:hAnsi="宋体" w:cs="宋体" w:hint="eastAsia"/>
          <w:color w:val="auto"/>
        </w:rPr>
        <w:t>。</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（八）附录</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理论课教材：陈莉、周士东主编双语版《病理学》，科学出版社，</w:t>
      </w:r>
      <w:r>
        <w:rPr>
          <w:rFonts w:ascii="Times New Roman" w:eastAsia="Times New Roman"/>
          <w:color w:val="auto"/>
        </w:rPr>
        <w:t>2010.12</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实验课教材：陈莉主编，《病理学形成性练习》，科学出版社，</w:t>
      </w:r>
      <w:r>
        <w:rPr>
          <w:rFonts w:ascii="Times New Roman" w:eastAsia="Times New Roman"/>
          <w:color w:val="auto"/>
        </w:rPr>
        <w:t>2010.7</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主要参考书及网页：</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李玉林主编，</w:t>
      </w:r>
      <w:r>
        <w:rPr>
          <w:rFonts w:ascii="Times New Roman" w:eastAsia="Times New Roman"/>
          <w:color w:val="auto"/>
        </w:rPr>
        <w:t>2012</w:t>
      </w:r>
      <w:r>
        <w:rPr>
          <w:rFonts w:ascii="宋体" w:hAnsi="宋体" w:cs="宋体" w:hint="eastAsia"/>
          <w:color w:val="auto"/>
        </w:rPr>
        <w:t>年《病理学》（第八版），北京人民卫生出版社，</w:t>
      </w:r>
      <w:r>
        <w:rPr>
          <w:rFonts w:ascii="宋体" w:hAnsi="宋体" w:cs="宋体"/>
          <w:color w:val="auto"/>
        </w:rPr>
        <w:t xml:space="preserve"> </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刘彤华主编</w:t>
      </w:r>
      <w:r>
        <w:rPr>
          <w:rFonts w:ascii="Times New Roman" w:eastAsia="Times New Roman"/>
          <w:color w:val="auto"/>
        </w:rPr>
        <w:t>. 2012</w:t>
      </w:r>
      <w:r>
        <w:rPr>
          <w:rFonts w:ascii="宋体" w:hAnsi="宋体" w:cs="宋体" w:hint="eastAsia"/>
          <w:color w:val="auto"/>
        </w:rPr>
        <w:t>年</w:t>
      </w:r>
      <w:r>
        <w:rPr>
          <w:rFonts w:ascii="Times New Roman" w:eastAsia="Times New Roman"/>
          <w:color w:val="auto"/>
        </w:rPr>
        <w:t>.</w:t>
      </w:r>
      <w:r>
        <w:rPr>
          <w:rFonts w:ascii="宋体" w:hAnsi="宋体" w:cs="宋体" w:hint="eastAsia"/>
          <w:color w:val="auto"/>
        </w:rPr>
        <w:t>诊断病理学（第三版）</w:t>
      </w:r>
      <w:r>
        <w:rPr>
          <w:rFonts w:ascii="Times New Roman" w:eastAsia="Times New Roman"/>
          <w:color w:val="auto"/>
        </w:rPr>
        <w:t>[M].</w:t>
      </w:r>
      <w:r>
        <w:rPr>
          <w:rFonts w:ascii="宋体" w:hAnsi="宋体" w:cs="宋体" w:hint="eastAsia"/>
          <w:color w:val="auto"/>
        </w:rPr>
        <w:t>北京</w:t>
      </w:r>
      <w:r>
        <w:rPr>
          <w:rFonts w:ascii="Times New Roman" w:eastAsia="Times New Roman"/>
          <w:color w:val="auto"/>
        </w:rPr>
        <w:t>:</w:t>
      </w:r>
      <w:r>
        <w:rPr>
          <w:rFonts w:ascii="宋体" w:hAnsi="宋体" w:cs="宋体" w:hint="eastAsia"/>
          <w:color w:val="auto"/>
        </w:rPr>
        <w:t>人民卫生出版社</w:t>
      </w:r>
      <w:r>
        <w:rPr>
          <w:rFonts w:ascii="Times New Roman" w:eastAsia="Times New Roman"/>
          <w:color w:val="auto"/>
        </w:rPr>
        <w:t>,.</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陈莉主编</w:t>
      </w:r>
      <w:r>
        <w:rPr>
          <w:rFonts w:ascii="Times New Roman" w:eastAsia="Times New Roman"/>
          <w:color w:val="auto"/>
        </w:rPr>
        <w:t>. 2006</w:t>
      </w:r>
      <w:r>
        <w:rPr>
          <w:rFonts w:ascii="宋体" w:hAnsi="宋体" w:cs="宋体" w:hint="eastAsia"/>
          <w:color w:val="auto"/>
        </w:rPr>
        <w:t>年</w:t>
      </w:r>
      <w:r>
        <w:rPr>
          <w:rFonts w:ascii="Times New Roman" w:eastAsia="Times New Roman"/>
          <w:color w:val="auto"/>
        </w:rPr>
        <w:t>.</w:t>
      </w:r>
      <w:r>
        <w:rPr>
          <w:rFonts w:ascii="宋体" w:hAnsi="宋体" w:cs="宋体" w:hint="eastAsia"/>
          <w:color w:val="auto"/>
        </w:rPr>
        <w:t>现代病理学研究的基本问题</w:t>
      </w:r>
      <w:r>
        <w:rPr>
          <w:rFonts w:ascii="Times New Roman" w:eastAsia="Times New Roman"/>
          <w:color w:val="auto"/>
        </w:rPr>
        <w:t xml:space="preserve"> </w:t>
      </w:r>
      <w:r>
        <w:rPr>
          <w:rFonts w:ascii="宋体" w:hAnsi="宋体" w:cs="宋体" w:hint="eastAsia"/>
          <w:color w:val="auto"/>
        </w:rPr>
        <w:t>北京</w:t>
      </w:r>
      <w:r>
        <w:rPr>
          <w:rFonts w:ascii="Times New Roman" w:eastAsia="Times New Roman"/>
          <w:color w:val="auto"/>
        </w:rPr>
        <w:t>:</w:t>
      </w:r>
      <w:r>
        <w:rPr>
          <w:rFonts w:ascii="宋体" w:hAnsi="宋体" w:cs="宋体" w:hint="eastAsia"/>
          <w:color w:val="auto"/>
        </w:rPr>
        <w:t>科学出版社</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Times New Roman" w:eastAsia="Times New Roman"/>
          <w:color w:val="auto"/>
          <w:lang w:val="es-ES"/>
        </w:rPr>
        <w:t xml:space="preserve">Robbins SL ,Cotran RS , Kumar V . </w:t>
      </w:r>
      <w:r>
        <w:rPr>
          <w:rFonts w:ascii="Times New Roman" w:eastAsia="Times New Roman"/>
          <w:color w:val="auto"/>
        </w:rPr>
        <w:t>Pocket Companion to Robbins Pathologic Basis of  Disease  An HBJ International Edition W.B.Saunder 2012</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陈莉主编，</w:t>
      </w:r>
      <w:r>
        <w:rPr>
          <w:rFonts w:ascii="Times New Roman" w:eastAsia="Times New Roman"/>
          <w:color w:val="auto"/>
        </w:rPr>
        <w:t>2010</w:t>
      </w:r>
      <w:r>
        <w:rPr>
          <w:rFonts w:ascii="宋体" w:hAnsi="宋体" w:cs="宋体" w:hint="eastAsia"/>
          <w:color w:val="auto"/>
        </w:rPr>
        <w:t>年《病理学应试训练》，北京协和医科大学出版社，</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病理学实习引导片（录像）系列</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校园网医学形态学数字化教学平台</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校园网病理教学网站</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国家、省精品课程的《病理学》网页</w:t>
      </w:r>
    </w:p>
    <w:p w:rsidR="003717A0" w:rsidRDefault="003717A0">
      <w:pPr>
        <w:pStyle w:val="Af9"/>
        <w:numPr>
          <w:ilvl w:val="0"/>
          <w:numId w:val="97"/>
        </w:numPr>
        <w:tabs>
          <w:tab w:val="left" w:pos="840"/>
        </w:tabs>
        <w:spacing w:before="0" w:after="0" w:line="360" w:lineRule="auto"/>
        <w:ind w:left="360" w:right="4" w:firstLine="120"/>
        <w:rPr>
          <w:rFonts w:ascii="Times New Roman" w:hAnsi="Times New Roman"/>
          <w:color w:val="auto"/>
        </w:rPr>
      </w:pPr>
      <w:r>
        <w:rPr>
          <w:rFonts w:ascii="宋体" w:hAnsi="宋体" w:cs="宋体" w:hint="eastAsia"/>
          <w:color w:val="auto"/>
        </w:rPr>
        <w:t>国内外医学院校病理学专业及教研室的相关网站</w:t>
      </w:r>
    </w:p>
    <w:p w:rsidR="003717A0" w:rsidRDefault="003717A0">
      <w:pPr>
        <w:pStyle w:val="Af9"/>
        <w:spacing w:before="0" w:after="0" w:line="360" w:lineRule="auto"/>
        <w:ind w:firstLine="5670"/>
        <w:jc w:val="left"/>
        <w:rPr>
          <w:rFonts w:ascii="黑体" w:eastAsia="黑体" w:hAnsi="黑体" w:cs="黑体"/>
          <w:color w:val="auto"/>
          <w:kern w:val="0"/>
        </w:rPr>
      </w:pPr>
      <w:r>
        <w:rPr>
          <w:rFonts w:ascii="黑体" w:eastAsia="黑体" w:hAnsi="黑体" w:cs="黑体" w:hint="eastAsia"/>
          <w:color w:val="auto"/>
          <w:kern w:val="0"/>
        </w:rPr>
        <w:t>制定人：陈莉，</w:t>
      </w:r>
      <w:r>
        <w:rPr>
          <w:rFonts w:ascii="黑体" w:eastAsia="黑体" w:hAnsi="黑体" w:cs="黑体"/>
          <w:color w:val="auto"/>
          <w:kern w:val="0"/>
        </w:rPr>
        <w:t xml:space="preserve"> </w:t>
      </w:r>
      <w:r>
        <w:rPr>
          <w:rFonts w:ascii="黑体" w:eastAsia="黑体" w:hAnsi="黑体" w:cs="黑体" w:hint="eastAsia"/>
          <w:color w:val="auto"/>
          <w:kern w:val="0"/>
        </w:rPr>
        <w:t>王桂兰</w:t>
      </w:r>
    </w:p>
    <w:p w:rsidR="003717A0" w:rsidRDefault="003717A0">
      <w:pPr>
        <w:pStyle w:val="Af9"/>
        <w:spacing w:before="156" w:after="156" w:line="360" w:lineRule="auto"/>
        <w:jc w:val="center"/>
        <w:rPr>
          <w:rFonts w:ascii="黑体" w:eastAsia="黑体" w:hAnsi="黑体" w:cs="黑体"/>
          <w:b/>
          <w:bCs/>
          <w:color w:val="auto"/>
          <w:sz w:val="30"/>
          <w:szCs w:val="30"/>
        </w:rPr>
      </w:pPr>
      <w:r>
        <w:rPr>
          <w:rFonts w:ascii="黑体" w:eastAsia="黑体" w:hAnsi="黑体" w:cs="黑体"/>
          <w:color w:val="auto"/>
          <w:kern w:val="0"/>
        </w:rPr>
        <w:t xml:space="preserve">                                  </w:t>
      </w:r>
      <w:r>
        <w:rPr>
          <w:rFonts w:ascii="黑体" w:eastAsia="黑体" w:hAnsi="黑体" w:cs="黑体" w:hint="eastAsia"/>
          <w:color w:val="auto"/>
          <w:kern w:val="0"/>
        </w:rPr>
        <w:t>审核人：陈莉</w:t>
      </w:r>
      <w:r>
        <w:rPr>
          <w:rFonts w:ascii="黑体" w:eastAsia="黑体" w:hAnsi="黑体" w:cs="黑体"/>
          <w:color w:val="auto"/>
          <w:kern w:val="0"/>
        </w:rPr>
        <w:br w:type="page"/>
      </w:r>
      <w:r w:rsidRPr="00F5156D">
        <w:rPr>
          <w:rFonts w:ascii="黑体" w:eastAsia="黑体" w:hAnsi="黑体" w:cs="黑体" w:hint="eastAsia"/>
          <w:b/>
          <w:bCs/>
          <w:color w:val="auto"/>
          <w:sz w:val="32"/>
          <w:szCs w:val="32"/>
        </w:rPr>
        <w:lastRenderedPageBreak/>
        <w:t>三、病理学课程考核大纲</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（一）适应对象</w:t>
      </w:r>
    </w:p>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修读完本课程规定内容的康复治疗学专业的本科学生；</w:t>
      </w:r>
    </w:p>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提出并获准免修本课程、申请进行课程水平考核的康复治疗学的本科学生。</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（二）考核目的</w:t>
      </w:r>
    </w:p>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通过考核来检查和了解学生对本门课程内容的掌握程度，考核学生对基本病理理论、疾病概念的掌握程度，对常见疾病发生、发展过程中主要脏器、组织和细胞发生的病理变化的认识，以及分析相应病理改变与临床症状、体征之间联系的能力。通过本课程的学习，学生应掌握常见疾病的病理变化特点，能辩证的理解疾病发生、发展中内因与外因、损伤与抗损伤的相互作用，用动态的观点思考疾病中代谢</w:t>
      </w:r>
      <w:r>
        <w:rPr>
          <w:rFonts w:ascii="宋体" w:hAnsi="宋体" w:cs="宋体"/>
          <w:color w:val="auto"/>
        </w:rPr>
        <w:t xml:space="preserve"> </w:t>
      </w:r>
      <w:r>
        <w:rPr>
          <w:rFonts w:ascii="宋体" w:hAnsi="宋体" w:cs="宋体" w:hint="eastAsia"/>
          <w:color w:val="auto"/>
        </w:rPr>
        <w:t>、形态、机能之间的相互关系，在认识疾病发生发展和转归的规律中重视心理和社会因素的作用。</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（三）考核形式与方法</w:t>
      </w:r>
    </w:p>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期末闭卷理论考核和实验操作（观察大体病理标本和显微镜观察病理切片及图像采集）考核。</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（四）课程考核成绩构成</w:t>
      </w:r>
    </w:p>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期末考试成绩占总成绩的</w:t>
      </w:r>
      <w:r>
        <w:rPr>
          <w:rFonts w:ascii="宋体" w:hAnsi="宋体" w:cs="宋体"/>
          <w:color w:val="auto"/>
        </w:rPr>
        <w:t>70%</w:t>
      </w:r>
      <w:r>
        <w:rPr>
          <w:rFonts w:ascii="宋体" w:hAnsi="宋体" w:cs="宋体" w:hint="eastAsia"/>
          <w:color w:val="auto"/>
        </w:rPr>
        <w:t>。</w:t>
      </w:r>
    </w:p>
    <w:p w:rsidR="003717A0" w:rsidRDefault="003717A0">
      <w:pPr>
        <w:pStyle w:val="Af9"/>
        <w:spacing w:before="0" w:after="0" w:line="360" w:lineRule="auto"/>
        <w:ind w:firstLine="405"/>
        <w:jc w:val="left"/>
        <w:rPr>
          <w:rFonts w:ascii="楷体_GB2312" w:eastAsia="楷体_GB2312" w:hAnsi="楷体_GB2312" w:cs="楷体_GB2312"/>
          <w:color w:val="auto"/>
          <w:sz w:val="24"/>
          <w:szCs w:val="24"/>
        </w:rPr>
      </w:pPr>
      <w:r>
        <w:rPr>
          <w:rFonts w:ascii="宋体" w:hAnsi="宋体" w:cs="宋体" w:hint="eastAsia"/>
          <w:color w:val="auto"/>
        </w:rPr>
        <w:t>平时成绩占总成绩的</w:t>
      </w:r>
      <w:r>
        <w:rPr>
          <w:rFonts w:ascii="宋体" w:hAnsi="宋体" w:cs="宋体"/>
          <w:color w:val="auto"/>
        </w:rPr>
        <w:t>30%</w:t>
      </w:r>
      <w:r>
        <w:rPr>
          <w:rFonts w:ascii="宋体" w:hAnsi="宋体" w:cs="宋体" w:hint="eastAsia"/>
          <w:color w:val="auto"/>
        </w:rPr>
        <w:t>，其中平时作业为</w:t>
      </w:r>
      <w:r>
        <w:rPr>
          <w:rFonts w:ascii="宋体" w:hAnsi="宋体" w:cs="宋体"/>
          <w:color w:val="auto"/>
        </w:rPr>
        <w:t>20%</w:t>
      </w:r>
      <w:r>
        <w:rPr>
          <w:rFonts w:ascii="宋体" w:hAnsi="宋体" w:cs="宋体" w:hint="eastAsia"/>
          <w:color w:val="auto"/>
        </w:rPr>
        <w:t>，实验考试为</w:t>
      </w:r>
      <w:r>
        <w:rPr>
          <w:rFonts w:ascii="宋体" w:hAnsi="宋体" w:cs="宋体"/>
          <w:color w:val="auto"/>
        </w:rPr>
        <w:t>10%</w:t>
      </w:r>
      <w:r>
        <w:rPr>
          <w:rFonts w:ascii="宋体" w:hAnsi="宋体" w:cs="宋体" w:hint="eastAsia"/>
          <w:color w:val="auto"/>
        </w:rPr>
        <w:t>。</w:t>
      </w:r>
    </w:p>
    <w:p w:rsidR="003717A0" w:rsidRDefault="003717A0">
      <w:pPr>
        <w:pStyle w:val="Af9"/>
        <w:spacing w:before="0" w:after="0" w:line="360" w:lineRule="auto"/>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（五）考核内容与要求</w:t>
      </w:r>
    </w:p>
    <w:p w:rsidR="003717A0" w:rsidRDefault="003717A0">
      <w:pPr>
        <w:pStyle w:val="Af9"/>
        <w:spacing w:before="0" w:after="0" w:line="360" w:lineRule="auto"/>
        <w:ind w:firstLine="424"/>
        <w:jc w:val="left"/>
        <w:rPr>
          <w:rFonts w:ascii="Times New Roman Bold" w:hAnsi="Times New Roman Bold" w:cs="Times New Roman Bold"/>
          <w:color w:val="auto"/>
          <w:kern w:val="0"/>
          <w:sz w:val="22"/>
          <w:szCs w:val="22"/>
        </w:rPr>
      </w:pPr>
      <w:r>
        <w:rPr>
          <w:rFonts w:ascii="黑体" w:eastAsia="黑体" w:hAnsi="黑体" w:cs="黑体" w:hint="eastAsia"/>
          <w:b/>
          <w:bCs/>
          <w:color w:val="auto"/>
          <w:kern w:val="0"/>
          <w:sz w:val="22"/>
          <w:szCs w:val="22"/>
        </w:rPr>
        <w:t>考核内容：</w:t>
      </w:r>
    </w:p>
    <w:p w:rsidR="003717A0" w:rsidRDefault="003717A0">
      <w:pPr>
        <w:pStyle w:val="Af9"/>
        <w:spacing w:before="0" w:after="0" w:line="360" w:lineRule="auto"/>
        <w:ind w:firstLine="403"/>
        <w:jc w:val="left"/>
        <w:rPr>
          <w:rFonts w:ascii="宋体" w:cs="宋体"/>
          <w:b/>
          <w:bCs/>
          <w:color w:val="auto"/>
          <w:kern w:val="0"/>
        </w:rPr>
      </w:pPr>
      <w:r>
        <w:rPr>
          <w:rFonts w:ascii="宋体" w:hAnsi="宋体" w:cs="宋体" w:hint="eastAsia"/>
          <w:color w:val="auto"/>
        </w:rPr>
        <w:t>病理学的基本概念；主要专业名词；人体各系统常见疾病的病理变化，疾病发生、发展规律、及相关的临床联系。在肉眼和显微镜下观察病变组织和细胞的病理改变，用科学的术语正确描述疾病。</w:t>
      </w:r>
    </w:p>
    <w:p w:rsidR="003717A0" w:rsidRDefault="003717A0">
      <w:pPr>
        <w:pStyle w:val="Af9"/>
        <w:spacing w:before="0" w:after="0" w:line="360" w:lineRule="auto"/>
        <w:ind w:firstLine="424"/>
        <w:jc w:val="left"/>
        <w:rPr>
          <w:rFonts w:ascii="Times New Roman Bold" w:hAnsi="Times New Roman Bold" w:cs="Times New Roman Bold"/>
          <w:color w:val="auto"/>
          <w:kern w:val="0"/>
          <w:sz w:val="22"/>
          <w:szCs w:val="22"/>
        </w:rPr>
      </w:pPr>
      <w:r>
        <w:rPr>
          <w:rFonts w:ascii="黑体" w:eastAsia="黑体" w:hAnsi="黑体" w:cs="黑体" w:hint="eastAsia"/>
          <w:b/>
          <w:bCs/>
          <w:color w:val="auto"/>
          <w:kern w:val="0"/>
          <w:sz w:val="22"/>
          <w:szCs w:val="22"/>
        </w:rPr>
        <w:t>考核要求：</w:t>
      </w:r>
    </w:p>
    <w:p w:rsidR="003717A0" w:rsidRPr="00F5156D" w:rsidRDefault="003717A0" w:rsidP="00F5156D">
      <w:pPr>
        <w:pStyle w:val="Af9"/>
        <w:spacing w:before="0" w:after="0" w:line="360" w:lineRule="auto"/>
        <w:ind w:firstLine="405"/>
        <w:jc w:val="left"/>
        <w:rPr>
          <w:rFonts w:ascii="宋体" w:cs="宋体"/>
          <w:color w:val="auto"/>
        </w:rPr>
      </w:pPr>
      <w:r>
        <w:rPr>
          <w:rFonts w:ascii="宋体" w:hAnsi="宋体" w:cs="宋体" w:hint="eastAsia"/>
          <w:color w:val="auto"/>
        </w:rPr>
        <w:t>以病理学总论为基础，临床常见病为重点，考核学生运用课程知识分析问题、解决问题的能力，同时检查学生对常见疾病组织和细胞病理变化的认知能力。</w:t>
      </w:r>
    </w:p>
    <w:p w:rsidR="003717A0" w:rsidRDefault="003717A0">
      <w:pPr>
        <w:pStyle w:val="Af9"/>
        <w:spacing w:before="0" w:after="0" w:line="440" w:lineRule="exact"/>
        <w:jc w:val="left"/>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（六）、样卷</w:t>
      </w:r>
    </w:p>
    <w:p w:rsidR="003717A0" w:rsidRDefault="003717A0">
      <w:pPr>
        <w:pStyle w:val="Af9"/>
        <w:spacing w:before="0" w:after="0" w:line="440" w:lineRule="exact"/>
        <w:jc w:val="center"/>
        <w:rPr>
          <w:rFonts w:ascii="Times New Roman Bold" w:hAnsi="Times New Roman Bold" w:cs="Times New Roman Bold"/>
          <w:color w:val="auto"/>
          <w:kern w:val="0"/>
          <w:sz w:val="24"/>
          <w:szCs w:val="24"/>
        </w:rPr>
      </w:pPr>
      <w:r>
        <w:rPr>
          <w:rFonts w:ascii="黑体" w:eastAsia="黑体" w:hAnsi="黑体" w:cs="黑体" w:hint="eastAsia"/>
          <w:b/>
          <w:bCs/>
          <w:color w:val="auto"/>
          <w:kern w:val="0"/>
          <w:sz w:val="24"/>
          <w:szCs w:val="24"/>
        </w:rPr>
        <w:t>病理学课程考试试题</w:t>
      </w:r>
    </w:p>
    <w:p w:rsidR="003717A0" w:rsidRDefault="003717A0">
      <w:pPr>
        <w:pStyle w:val="Af9"/>
        <w:spacing w:before="0" w:after="0" w:line="440" w:lineRule="exact"/>
        <w:jc w:val="center"/>
        <w:rPr>
          <w:rFonts w:ascii="Times New Roman" w:hAnsi="Times New Roman"/>
          <w:color w:val="auto"/>
          <w:kern w:val="0"/>
          <w:sz w:val="22"/>
          <w:szCs w:val="22"/>
        </w:rPr>
      </w:pPr>
      <w:r>
        <w:rPr>
          <w:color w:val="auto"/>
          <w:kern w:val="0"/>
          <w:sz w:val="22"/>
          <w:szCs w:val="22"/>
          <w:u w:val="single"/>
        </w:rPr>
        <w:t xml:space="preserve">  </w:t>
      </w:r>
      <w:r>
        <w:rPr>
          <w:rFonts w:ascii="宋体" w:hAnsi="宋体" w:cs="宋体" w:hint="eastAsia"/>
          <w:color w:val="auto"/>
          <w:kern w:val="0"/>
          <w:sz w:val="22"/>
          <w:szCs w:val="22"/>
          <w:u w:val="single"/>
        </w:rPr>
        <w:t>ⅩⅩⅩⅩⅩ</w:t>
      </w:r>
      <w:r>
        <w:rPr>
          <w:rFonts w:ascii="Times New Roman" w:eastAsia="Times New Roman"/>
          <w:color w:val="auto"/>
          <w:kern w:val="0"/>
          <w:sz w:val="22"/>
          <w:szCs w:val="22"/>
          <w:u w:val="single"/>
        </w:rPr>
        <w:t>---</w:t>
      </w:r>
      <w:r>
        <w:rPr>
          <w:rFonts w:ascii="宋体" w:hAnsi="宋体" w:cs="宋体" w:hint="eastAsia"/>
          <w:color w:val="auto"/>
          <w:kern w:val="0"/>
          <w:sz w:val="22"/>
          <w:szCs w:val="22"/>
          <w:u w:val="single"/>
        </w:rPr>
        <w:t>ⅩⅩⅩ</w:t>
      </w:r>
      <w:r>
        <w:rPr>
          <w:color w:val="auto"/>
          <w:kern w:val="0"/>
          <w:sz w:val="22"/>
          <w:szCs w:val="22"/>
          <w:u w:val="single"/>
        </w:rPr>
        <w:t xml:space="preserve"> </w:t>
      </w:r>
      <w:r>
        <w:rPr>
          <w:rFonts w:ascii="宋体" w:hAnsi="宋体" w:cs="宋体" w:hint="eastAsia"/>
          <w:color w:val="auto"/>
          <w:kern w:val="0"/>
          <w:sz w:val="22"/>
          <w:szCs w:val="22"/>
        </w:rPr>
        <w:t>学年</w:t>
      </w:r>
      <w:r>
        <w:rPr>
          <w:rFonts w:ascii="Trebuchet MS" w:eastAsia="Times New Roman"/>
          <w:color w:val="auto"/>
          <w:sz w:val="32"/>
          <w:szCs w:val="32"/>
          <w:u w:val="single"/>
        </w:rPr>
        <w:t xml:space="preserve"> </w:t>
      </w:r>
      <w:r>
        <w:rPr>
          <w:rFonts w:ascii="宋体" w:hAnsi="宋体" w:cs="宋体" w:hint="eastAsia"/>
          <w:color w:val="auto"/>
          <w:kern w:val="0"/>
          <w:sz w:val="22"/>
          <w:szCs w:val="22"/>
          <w:u w:val="single"/>
        </w:rPr>
        <w:t>ⅩⅩ</w:t>
      </w:r>
      <w:r>
        <w:rPr>
          <w:color w:val="auto"/>
          <w:kern w:val="0"/>
          <w:sz w:val="22"/>
          <w:szCs w:val="22"/>
          <w:u w:val="single"/>
        </w:rPr>
        <w:t xml:space="preserve"> </w:t>
      </w:r>
      <w:r>
        <w:rPr>
          <w:rFonts w:ascii="宋体" w:hAnsi="宋体" w:cs="宋体" w:hint="eastAsia"/>
          <w:color w:val="auto"/>
          <w:kern w:val="0"/>
          <w:sz w:val="22"/>
          <w:szCs w:val="22"/>
        </w:rPr>
        <w:t>学期</w:t>
      </w:r>
      <w:r>
        <w:rPr>
          <w:rFonts w:ascii="宋体" w:hAnsi="宋体" w:cs="宋体" w:hint="eastAsia"/>
          <w:color w:val="auto"/>
          <w:kern w:val="0"/>
          <w:u w:val="single"/>
        </w:rPr>
        <w:t>康复治疗学</w:t>
      </w:r>
      <w:r>
        <w:rPr>
          <w:rFonts w:ascii="宋体" w:hAnsi="宋体" w:cs="宋体" w:hint="eastAsia"/>
          <w:color w:val="auto"/>
          <w:kern w:val="0"/>
          <w:sz w:val="22"/>
          <w:szCs w:val="22"/>
          <w:u w:val="single"/>
        </w:rPr>
        <w:t>ⅩⅩⅩ</w:t>
      </w:r>
      <w:r>
        <w:rPr>
          <w:color w:val="auto"/>
          <w:kern w:val="0"/>
          <w:sz w:val="22"/>
          <w:szCs w:val="22"/>
          <w:u w:val="single"/>
        </w:rPr>
        <w:t xml:space="preserve">  </w:t>
      </w:r>
      <w:r>
        <w:rPr>
          <w:rFonts w:ascii="宋体" w:hAnsi="宋体" w:cs="宋体" w:hint="eastAsia"/>
          <w:color w:val="auto"/>
          <w:kern w:val="0"/>
          <w:sz w:val="22"/>
          <w:szCs w:val="22"/>
        </w:rPr>
        <w:t>班级</w:t>
      </w:r>
    </w:p>
    <w:p w:rsidR="003717A0" w:rsidRDefault="003717A0">
      <w:pPr>
        <w:pStyle w:val="Af9"/>
        <w:spacing w:before="0" w:after="0" w:line="440" w:lineRule="exact"/>
        <w:ind w:firstLine="426"/>
        <w:jc w:val="center"/>
        <w:rPr>
          <w:rFonts w:ascii="Times New Roman Bold" w:hAnsi="Times New Roman Bold" w:cs="Times New Roman Bold"/>
          <w:color w:val="auto"/>
          <w:kern w:val="0"/>
          <w:sz w:val="22"/>
          <w:szCs w:val="22"/>
        </w:rPr>
      </w:pPr>
      <w:r>
        <w:rPr>
          <w:rFonts w:ascii="宋体" w:hAnsi="宋体" w:cs="宋体" w:hint="eastAsia"/>
          <w:b/>
          <w:bCs/>
          <w:color w:val="auto"/>
          <w:kern w:val="0"/>
          <w:sz w:val="22"/>
          <w:szCs w:val="22"/>
        </w:rPr>
        <w:t>时间：</w:t>
      </w:r>
      <w:r>
        <w:rPr>
          <w:rFonts w:ascii="Times New Roman Bold" w:eastAsia="Times New Roman"/>
          <w:color w:val="auto"/>
          <w:kern w:val="0"/>
          <w:sz w:val="22"/>
          <w:szCs w:val="22"/>
        </w:rPr>
        <w:t>120</w:t>
      </w:r>
      <w:r>
        <w:rPr>
          <w:rFonts w:ascii="宋体" w:hAnsi="宋体" w:cs="宋体" w:hint="eastAsia"/>
          <w:b/>
          <w:bCs/>
          <w:color w:val="auto"/>
          <w:kern w:val="0"/>
          <w:sz w:val="22"/>
          <w:szCs w:val="22"/>
        </w:rPr>
        <w:t>分钟</w:t>
      </w:r>
      <w:r>
        <w:rPr>
          <w:rFonts w:ascii="Times New Roman Bold" w:eastAsia="Times New Roman"/>
          <w:color w:val="auto"/>
          <w:kern w:val="0"/>
          <w:sz w:val="22"/>
          <w:szCs w:val="22"/>
        </w:rPr>
        <w:t xml:space="preserve">     </w:t>
      </w:r>
      <w:r>
        <w:rPr>
          <w:rFonts w:ascii="宋体" w:hAnsi="宋体" w:cs="宋体" w:hint="eastAsia"/>
          <w:b/>
          <w:bCs/>
          <w:color w:val="auto"/>
          <w:kern w:val="0"/>
          <w:sz w:val="22"/>
          <w:szCs w:val="22"/>
        </w:rPr>
        <w:t>总分：</w:t>
      </w:r>
      <w:r>
        <w:rPr>
          <w:rFonts w:ascii="Times New Roman Bold" w:eastAsia="Times New Roman"/>
          <w:color w:val="auto"/>
          <w:kern w:val="0"/>
          <w:sz w:val="22"/>
          <w:szCs w:val="22"/>
        </w:rPr>
        <w:t>100</w:t>
      </w:r>
      <w:r>
        <w:rPr>
          <w:rFonts w:ascii="宋体" w:hAnsi="宋体" w:cs="宋体" w:hint="eastAsia"/>
          <w:b/>
          <w:bCs/>
          <w:color w:val="auto"/>
          <w:kern w:val="0"/>
          <w:sz w:val="22"/>
          <w:szCs w:val="22"/>
        </w:rPr>
        <w:t>分</w:t>
      </w:r>
    </w:p>
    <w:p w:rsidR="003717A0" w:rsidRDefault="003717A0">
      <w:pPr>
        <w:pStyle w:val="Af9"/>
        <w:spacing w:before="0" w:after="0" w:line="360" w:lineRule="auto"/>
        <w:ind w:firstLine="426"/>
        <w:jc w:val="left"/>
        <w:rPr>
          <w:rFonts w:ascii="宋体" w:cs="宋体"/>
          <w:b/>
          <w:bCs/>
          <w:color w:val="auto"/>
          <w:kern w:val="0"/>
          <w:sz w:val="22"/>
          <w:szCs w:val="22"/>
        </w:rPr>
      </w:pPr>
      <w:r>
        <w:rPr>
          <w:rFonts w:ascii="宋体" w:hAnsi="宋体" w:cs="宋体" w:hint="eastAsia"/>
          <w:b/>
          <w:bCs/>
          <w:color w:val="auto"/>
          <w:kern w:val="0"/>
          <w:sz w:val="22"/>
          <w:szCs w:val="22"/>
        </w:rPr>
        <w:t>一、</w:t>
      </w:r>
      <w:r>
        <w:rPr>
          <w:rFonts w:ascii="宋体" w:cs="宋体"/>
          <w:b/>
          <w:bCs/>
          <w:color w:val="auto"/>
          <w:kern w:val="0"/>
          <w:sz w:val="22"/>
          <w:szCs w:val="22"/>
        </w:rPr>
        <w:tab/>
      </w:r>
      <w:r>
        <w:rPr>
          <w:rFonts w:ascii="宋体" w:hAnsi="宋体" w:cs="宋体" w:hint="eastAsia"/>
          <w:b/>
          <w:bCs/>
          <w:color w:val="auto"/>
          <w:kern w:val="0"/>
          <w:sz w:val="22"/>
          <w:szCs w:val="22"/>
        </w:rPr>
        <w:t>选择题（每题</w:t>
      </w:r>
      <w:r>
        <w:rPr>
          <w:rFonts w:ascii="Times New Roman Bold" w:eastAsia="Times New Roman"/>
          <w:color w:val="auto"/>
          <w:kern w:val="0"/>
          <w:sz w:val="22"/>
          <w:szCs w:val="22"/>
        </w:rPr>
        <w:t>0.5</w:t>
      </w:r>
      <w:r>
        <w:rPr>
          <w:rFonts w:ascii="宋体" w:hAnsi="宋体" w:cs="宋体" w:hint="eastAsia"/>
          <w:b/>
          <w:bCs/>
          <w:color w:val="auto"/>
          <w:kern w:val="0"/>
          <w:sz w:val="22"/>
          <w:szCs w:val="22"/>
        </w:rPr>
        <w:t>分，共</w:t>
      </w:r>
      <w:r>
        <w:rPr>
          <w:rFonts w:ascii="Times New Roman Bold" w:eastAsia="Times New Roman"/>
          <w:color w:val="auto"/>
          <w:kern w:val="0"/>
          <w:sz w:val="22"/>
          <w:szCs w:val="22"/>
        </w:rPr>
        <w:t>20</w:t>
      </w:r>
      <w:r>
        <w:rPr>
          <w:rFonts w:ascii="宋体" w:hAnsi="宋体" w:cs="宋体" w:hint="eastAsia"/>
          <w:b/>
          <w:bCs/>
          <w:color w:val="auto"/>
          <w:kern w:val="0"/>
          <w:sz w:val="22"/>
          <w:szCs w:val="22"/>
        </w:rPr>
        <w:t>分）</w:t>
      </w:r>
    </w:p>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lastRenderedPageBreak/>
        <w:t>【</w:t>
      </w:r>
      <w:r>
        <w:rPr>
          <w:rFonts w:ascii="宋体" w:hAnsi="宋体" w:cs="宋体"/>
          <w:color w:val="auto"/>
        </w:rPr>
        <w:t>A</w:t>
      </w:r>
      <w:r>
        <w:rPr>
          <w:rFonts w:ascii="宋体" w:hAnsi="宋体" w:cs="宋体" w:hint="eastAsia"/>
          <w:color w:val="auto"/>
        </w:rPr>
        <w:t>型题】从被选答案中选出</w:t>
      </w:r>
      <w:r>
        <w:rPr>
          <w:rFonts w:ascii="宋体" w:hAnsi="宋体" w:cs="宋体"/>
          <w:color w:val="auto"/>
        </w:rPr>
        <w:t>1</w:t>
      </w:r>
      <w:r>
        <w:rPr>
          <w:rFonts w:ascii="宋体" w:hAnsi="宋体" w:cs="宋体" w:hint="eastAsia"/>
          <w:color w:val="auto"/>
        </w:rPr>
        <w:t>个最佳答案</w:t>
      </w:r>
    </w:p>
    <w:p w:rsidR="003717A0" w:rsidRDefault="003717A0">
      <w:pPr>
        <w:pStyle w:val="Af9"/>
        <w:spacing w:before="0" w:after="0" w:line="360" w:lineRule="auto"/>
        <w:ind w:firstLine="403"/>
        <w:jc w:val="left"/>
        <w:rPr>
          <w:rFonts w:ascii="宋体" w:cs="宋体"/>
          <w:color w:val="auto"/>
        </w:rPr>
      </w:pPr>
      <w:r>
        <w:rPr>
          <w:rFonts w:ascii="宋体"/>
          <w:color w:val="auto"/>
        </w:rPr>
        <w:t>1.</w:t>
      </w:r>
      <w:r>
        <w:rPr>
          <w:rFonts w:ascii="宋体" w:hAnsi="宋体" w:cs="宋体" w:hint="eastAsia"/>
          <w:color w:val="auto"/>
        </w:rPr>
        <w:t>在萎缩的肌细胞内可见：</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含铁血黄素</w:t>
      </w:r>
      <w:r>
        <w:rPr>
          <w:rFonts w:ascii="宋体" w:hAnsi="宋体" w:cs="宋体"/>
          <w:color w:val="auto"/>
        </w:rPr>
        <w:t xml:space="preserve">       B.</w:t>
      </w:r>
      <w:r>
        <w:rPr>
          <w:rFonts w:ascii="宋体" w:hAnsi="宋体" w:cs="宋体" w:hint="eastAsia"/>
          <w:color w:val="auto"/>
        </w:rPr>
        <w:t>脂褐素</w:t>
      </w:r>
      <w:r>
        <w:rPr>
          <w:rFonts w:ascii="宋体" w:hAnsi="宋体" w:cs="宋体"/>
          <w:color w:val="auto"/>
        </w:rPr>
        <w:t xml:space="preserve">     C.</w:t>
      </w:r>
      <w:r>
        <w:rPr>
          <w:rFonts w:ascii="宋体" w:hAnsi="宋体" w:cs="宋体" w:hint="eastAsia"/>
          <w:color w:val="auto"/>
        </w:rPr>
        <w:t>黑色素</w:t>
      </w:r>
      <w:r>
        <w:rPr>
          <w:rFonts w:ascii="宋体" w:hAnsi="宋体" w:cs="宋体"/>
          <w:color w:val="auto"/>
        </w:rPr>
        <w:t xml:space="preserve">      D.</w:t>
      </w:r>
      <w:r>
        <w:rPr>
          <w:rFonts w:ascii="宋体" w:hAnsi="宋体" w:cs="宋体" w:hint="eastAsia"/>
          <w:color w:val="auto"/>
        </w:rPr>
        <w:t>胆色素</w:t>
      </w:r>
      <w:r>
        <w:rPr>
          <w:rFonts w:ascii="宋体" w:hAnsi="宋体" w:cs="宋体"/>
          <w:color w:val="auto"/>
        </w:rPr>
        <w:t xml:space="preserve">     E.</w:t>
      </w:r>
      <w:r>
        <w:rPr>
          <w:rFonts w:ascii="宋体" w:hAnsi="宋体" w:cs="宋体" w:hint="eastAsia"/>
          <w:color w:val="auto"/>
        </w:rPr>
        <w:t>纤维素</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w:t>
      </w:r>
      <w:r>
        <w:rPr>
          <w:rFonts w:ascii="宋体" w:hAnsi="宋体" w:cs="宋体" w:hint="eastAsia"/>
          <w:color w:val="auto"/>
        </w:rPr>
        <w:t>细胞水肿与脂肪变性最易发生在：</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肺、脾、肾</w:t>
      </w:r>
      <w:r>
        <w:rPr>
          <w:rFonts w:ascii="宋体" w:hAnsi="宋体" w:cs="宋体"/>
          <w:color w:val="auto"/>
        </w:rPr>
        <w:t xml:space="preserve">                    B.</w:t>
      </w:r>
      <w:r>
        <w:rPr>
          <w:rFonts w:ascii="宋体" w:hAnsi="宋体" w:cs="宋体" w:hint="eastAsia"/>
          <w:color w:val="auto"/>
        </w:rPr>
        <w:t>心、肝、肾</w:t>
      </w:r>
      <w:r>
        <w:rPr>
          <w:rFonts w:ascii="宋体" w:hAnsi="宋体" w:cs="宋体"/>
          <w:color w:val="auto"/>
        </w:rPr>
        <w:t xml:space="preserve">            C.</w:t>
      </w:r>
      <w:r>
        <w:rPr>
          <w:rFonts w:ascii="宋体" w:hAnsi="宋体" w:cs="宋体" w:hint="eastAsia"/>
          <w:color w:val="auto"/>
        </w:rPr>
        <w:t>肺、脾、心</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心、肝、脾</w:t>
      </w:r>
      <w:r>
        <w:rPr>
          <w:rFonts w:ascii="宋体" w:hAnsi="宋体" w:cs="宋体"/>
          <w:color w:val="auto"/>
        </w:rPr>
        <w:t xml:space="preserve">                    E.</w:t>
      </w:r>
      <w:r>
        <w:rPr>
          <w:rFonts w:ascii="宋体" w:hAnsi="宋体" w:cs="宋体" w:hint="eastAsia"/>
          <w:color w:val="auto"/>
        </w:rPr>
        <w:t>肝、肾、脾</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w:t>
      </w:r>
      <w:r>
        <w:rPr>
          <w:rFonts w:ascii="宋体" w:hAnsi="宋体" w:cs="宋体" w:hint="eastAsia"/>
          <w:color w:val="auto"/>
        </w:rPr>
        <w:t>下列病变哪一项是正确的</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慢性肝淤血晚期，脂肪变性主要位于肝小叶周围</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B.</w:t>
      </w:r>
      <w:r>
        <w:rPr>
          <w:rFonts w:ascii="宋体" w:hAnsi="宋体" w:cs="宋体" w:hint="eastAsia"/>
          <w:color w:val="auto"/>
        </w:rPr>
        <w:t>磷中毒时肝脂肪变性主要位于小叶中心区</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C.</w:t>
      </w:r>
      <w:r>
        <w:rPr>
          <w:rFonts w:ascii="宋体" w:hAnsi="宋体" w:cs="宋体" w:hint="eastAsia"/>
          <w:color w:val="auto"/>
        </w:rPr>
        <w:t>白喉杆菌外毒素引起心肌脂肪变性，乳头肌常呈红黄相间</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贫血时心肌脂肪变呈弥漫分布</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E.</w:t>
      </w:r>
      <w:r>
        <w:rPr>
          <w:rFonts w:ascii="宋体" w:hAnsi="宋体" w:cs="宋体" w:hint="eastAsia"/>
          <w:color w:val="auto"/>
        </w:rPr>
        <w:t>脂性肾病时，远曲小管上皮脂肪变最明显</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w:t>
      </w:r>
      <w:r>
        <w:rPr>
          <w:rFonts w:ascii="宋体" w:hAnsi="宋体" w:cs="宋体" w:hint="eastAsia"/>
          <w:color w:val="auto"/>
        </w:rPr>
        <w:t>肺出血时，肺泡腔内出现细胞浆中含有铁反应阳性的棕色颗粒的巨噬细胞，称：</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尘细胞</w:t>
      </w:r>
      <w:r>
        <w:rPr>
          <w:rFonts w:ascii="宋体" w:hAnsi="宋体" w:cs="宋体"/>
          <w:color w:val="auto"/>
        </w:rPr>
        <w:t xml:space="preserve">                        B.</w:t>
      </w:r>
      <w:r>
        <w:rPr>
          <w:rFonts w:ascii="宋体" w:hAnsi="宋体" w:cs="宋体" w:hint="eastAsia"/>
          <w:color w:val="auto"/>
        </w:rPr>
        <w:t>含有含铁血黄素的巨噬细胞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C.</w:t>
      </w:r>
      <w:r>
        <w:rPr>
          <w:rFonts w:ascii="宋体" w:hAnsi="宋体" w:cs="宋体" w:hint="eastAsia"/>
          <w:color w:val="auto"/>
        </w:rPr>
        <w:t>心衰细胞</w:t>
      </w:r>
      <w:r>
        <w:rPr>
          <w:rFonts w:ascii="宋体" w:hAnsi="宋体" w:cs="宋体"/>
          <w:color w:val="auto"/>
        </w:rPr>
        <w:t xml:space="preserve">                      D.</w:t>
      </w:r>
      <w:r>
        <w:rPr>
          <w:rFonts w:ascii="宋体" w:hAnsi="宋体" w:cs="宋体" w:hint="eastAsia"/>
          <w:color w:val="auto"/>
        </w:rPr>
        <w:t>含有胆色素的巨噬细胞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E.</w:t>
      </w:r>
      <w:r>
        <w:rPr>
          <w:rFonts w:ascii="宋体" w:hAnsi="宋体" w:cs="宋体" w:hint="eastAsia"/>
          <w:color w:val="auto"/>
        </w:rPr>
        <w:t>以上都不是</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w:t>
      </w:r>
      <w:r>
        <w:rPr>
          <w:rFonts w:ascii="宋体" w:hAnsi="宋体" w:cs="宋体" w:hint="eastAsia"/>
          <w:color w:val="auto"/>
        </w:rPr>
        <w:t>下列细胞再生能力最强的是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表皮细胞</w:t>
      </w:r>
      <w:r>
        <w:rPr>
          <w:rFonts w:ascii="宋体" w:hAnsi="宋体" w:cs="宋体"/>
          <w:color w:val="auto"/>
        </w:rPr>
        <w:t xml:space="preserve">                      B.</w:t>
      </w:r>
      <w:r>
        <w:rPr>
          <w:rFonts w:ascii="宋体" w:hAnsi="宋体" w:cs="宋体" w:hint="eastAsia"/>
          <w:color w:val="auto"/>
        </w:rPr>
        <w:t>平滑肌细胞</w:t>
      </w:r>
      <w:r>
        <w:rPr>
          <w:rFonts w:ascii="宋体" w:hAnsi="宋体" w:cs="宋体"/>
          <w:color w:val="auto"/>
        </w:rPr>
        <w:t xml:space="preserve">          C.</w:t>
      </w:r>
      <w:r>
        <w:rPr>
          <w:rFonts w:ascii="宋体" w:hAnsi="宋体" w:cs="宋体" w:hint="eastAsia"/>
          <w:color w:val="auto"/>
        </w:rPr>
        <w:t>肾小管上皮细胞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血管内皮细胞</w:t>
      </w:r>
      <w:r>
        <w:rPr>
          <w:rFonts w:ascii="宋体" w:hAnsi="宋体" w:cs="宋体"/>
          <w:color w:val="auto"/>
        </w:rPr>
        <w:t xml:space="preserve">                E.</w:t>
      </w:r>
      <w:r>
        <w:rPr>
          <w:rFonts w:ascii="宋体" w:hAnsi="宋体" w:cs="宋体" w:hint="eastAsia"/>
          <w:color w:val="auto"/>
        </w:rPr>
        <w:t>软骨母细胞</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6.</w:t>
      </w:r>
      <w:r>
        <w:rPr>
          <w:rFonts w:ascii="宋体" w:hAnsi="宋体" w:cs="宋体" w:hint="eastAsia"/>
          <w:color w:val="auto"/>
        </w:rPr>
        <w:t>下列能促进纤维母细胞增生的是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层粘连蛋白</w:t>
      </w:r>
      <w:r>
        <w:rPr>
          <w:rFonts w:ascii="宋体" w:hAnsi="宋体" w:cs="宋体"/>
          <w:color w:val="auto"/>
        </w:rPr>
        <w:t xml:space="preserve">      B.</w:t>
      </w:r>
      <w:r>
        <w:rPr>
          <w:rFonts w:ascii="宋体" w:hAnsi="宋体" w:cs="宋体" w:hint="eastAsia"/>
          <w:color w:val="auto"/>
        </w:rPr>
        <w:t>肿瘤坏死因子</w:t>
      </w:r>
      <w:r>
        <w:rPr>
          <w:rFonts w:ascii="宋体" w:hAnsi="宋体" w:cs="宋体"/>
          <w:color w:val="auto"/>
        </w:rPr>
        <w:t xml:space="preserve">   C.</w:t>
      </w:r>
      <w:r>
        <w:rPr>
          <w:rFonts w:ascii="宋体" w:hAnsi="宋体" w:cs="宋体" w:hint="eastAsia"/>
          <w:color w:val="auto"/>
        </w:rPr>
        <w:t>干扰素</w:t>
      </w:r>
      <w:r>
        <w:rPr>
          <w:rFonts w:ascii="宋体" w:cs="宋体"/>
          <w:color w:val="auto"/>
        </w:rPr>
        <w:t>-</w:t>
      </w:r>
      <w:r>
        <w:rPr>
          <w:rFonts w:ascii="宋体" w:hAnsi="宋体" w:cs="宋体" w:hint="eastAsia"/>
          <w:color w:val="auto"/>
        </w:rPr>
        <w:t>α</w:t>
      </w:r>
      <w:r>
        <w:rPr>
          <w:rFonts w:ascii="宋体" w:hAnsi="宋体" w:cs="宋体"/>
          <w:color w:val="auto"/>
        </w:rPr>
        <w:t xml:space="preserve">   D.</w:t>
      </w:r>
      <w:r>
        <w:rPr>
          <w:rFonts w:ascii="宋体" w:hAnsi="宋体" w:cs="宋体" w:hint="eastAsia"/>
          <w:color w:val="auto"/>
        </w:rPr>
        <w:t>肝素</w:t>
      </w:r>
      <w:r>
        <w:rPr>
          <w:rFonts w:ascii="宋体" w:hAnsi="宋体" w:cs="宋体"/>
          <w:color w:val="auto"/>
        </w:rPr>
        <w:t xml:space="preserve"> E.</w:t>
      </w:r>
      <w:r>
        <w:rPr>
          <w:rFonts w:ascii="宋体" w:hAnsi="宋体" w:cs="宋体" w:hint="eastAsia"/>
          <w:color w:val="auto"/>
        </w:rPr>
        <w:t>前列腺素</w:t>
      </w:r>
      <w:r>
        <w:rPr>
          <w:rFonts w:ascii="宋体" w:hAnsi="宋体" w:cs="宋体"/>
          <w:color w:val="auto"/>
        </w:rPr>
        <w:t>E2</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7.</w:t>
      </w:r>
      <w:r>
        <w:rPr>
          <w:rFonts w:ascii="宋体" w:hAnsi="宋体" w:cs="宋体" w:hint="eastAsia"/>
          <w:color w:val="auto"/>
        </w:rPr>
        <w:t>有关血栓形成，下列哪项是不正确的</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下肢血栓多于上肢血栓</w:t>
      </w:r>
      <w:r>
        <w:rPr>
          <w:rFonts w:ascii="宋体" w:hAnsi="宋体" w:cs="宋体"/>
          <w:color w:val="auto"/>
        </w:rPr>
        <w:t xml:space="preserve">          B.</w:t>
      </w:r>
      <w:r>
        <w:rPr>
          <w:rFonts w:ascii="宋体" w:hAnsi="宋体" w:cs="宋体" w:hint="eastAsia"/>
          <w:color w:val="auto"/>
        </w:rPr>
        <w:t>静脉血栓多于动脉血栓</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C.</w:t>
      </w:r>
      <w:r>
        <w:rPr>
          <w:rFonts w:ascii="宋体" w:hAnsi="宋体" w:cs="宋体" w:hint="eastAsia"/>
          <w:color w:val="auto"/>
        </w:rPr>
        <w:t>静脉内多为混合血栓</w:t>
      </w:r>
      <w:r>
        <w:rPr>
          <w:rFonts w:ascii="宋体" w:hAnsi="宋体" w:cs="宋体"/>
          <w:color w:val="auto"/>
        </w:rPr>
        <w:t xml:space="preserve">            D.</w:t>
      </w:r>
      <w:r>
        <w:rPr>
          <w:rFonts w:ascii="宋体" w:hAnsi="宋体" w:cs="宋体" w:hint="eastAsia"/>
          <w:color w:val="auto"/>
        </w:rPr>
        <w:t>心脏内多为红色血栓</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lastRenderedPageBreak/>
        <w:t>E.</w:t>
      </w:r>
      <w:r>
        <w:rPr>
          <w:rFonts w:ascii="宋体" w:hAnsi="宋体" w:cs="宋体" w:hint="eastAsia"/>
          <w:color w:val="auto"/>
        </w:rPr>
        <w:t>毛细血管内多为纤维素血栓</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8.</w:t>
      </w:r>
      <w:r>
        <w:rPr>
          <w:rFonts w:ascii="宋体" w:hAnsi="宋体" w:cs="宋体" w:hint="eastAsia"/>
          <w:color w:val="auto"/>
        </w:rPr>
        <w:t>白色血栓形成的主要成分是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纤维素</w:t>
      </w:r>
      <w:r>
        <w:rPr>
          <w:rFonts w:ascii="宋体" w:hAnsi="宋体" w:cs="宋体"/>
          <w:color w:val="auto"/>
        </w:rPr>
        <w:t xml:space="preserve">          B.</w:t>
      </w:r>
      <w:r>
        <w:rPr>
          <w:rFonts w:ascii="宋体" w:hAnsi="宋体" w:cs="宋体" w:hint="eastAsia"/>
          <w:color w:val="auto"/>
        </w:rPr>
        <w:t>中性粒细胞</w:t>
      </w:r>
      <w:r>
        <w:rPr>
          <w:rFonts w:ascii="宋体" w:hAnsi="宋体" w:cs="宋体"/>
          <w:color w:val="auto"/>
        </w:rPr>
        <w:t xml:space="preserve">     C.</w:t>
      </w:r>
      <w:r>
        <w:rPr>
          <w:rFonts w:ascii="宋体" w:hAnsi="宋体" w:cs="宋体" w:hint="eastAsia"/>
          <w:color w:val="auto"/>
        </w:rPr>
        <w:t>血小板</w:t>
      </w:r>
      <w:r>
        <w:rPr>
          <w:rFonts w:ascii="宋体" w:hAnsi="宋体" w:cs="宋体"/>
          <w:color w:val="auto"/>
        </w:rPr>
        <w:t xml:space="preserve">      D.</w:t>
      </w:r>
      <w:r>
        <w:rPr>
          <w:rFonts w:ascii="宋体" w:hAnsi="宋体" w:cs="宋体" w:hint="eastAsia"/>
          <w:color w:val="auto"/>
        </w:rPr>
        <w:t>单核细胞</w:t>
      </w:r>
      <w:r>
        <w:rPr>
          <w:rFonts w:ascii="宋体" w:hAnsi="宋体" w:cs="宋体"/>
          <w:color w:val="auto"/>
        </w:rPr>
        <w:t xml:space="preserve">     E.</w:t>
      </w:r>
      <w:r>
        <w:rPr>
          <w:rFonts w:ascii="宋体" w:hAnsi="宋体" w:cs="宋体" w:hint="eastAsia"/>
          <w:color w:val="auto"/>
        </w:rPr>
        <w:t>红细胞</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9.</w:t>
      </w:r>
      <w:r>
        <w:rPr>
          <w:rFonts w:ascii="宋体" w:hAnsi="宋体" w:cs="宋体" w:hint="eastAsia"/>
          <w:color w:val="auto"/>
        </w:rPr>
        <w:t>下腔静脉内的栓子不会引起下列哪个部位的栓塞</w:t>
      </w:r>
      <w:r>
        <w:rPr>
          <w:rFonts w:ascii="宋体" w:hAnsi="宋体" w:cs="宋体"/>
          <w:color w:val="auto"/>
        </w:rPr>
        <w:t>?</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下腔静脉属支</w:t>
      </w:r>
      <w:r>
        <w:rPr>
          <w:rFonts w:ascii="宋体" w:hAnsi="宋体" w:cs="宋体"/>
          <w:color w:val="auto"/>
        </w:rPr>
        <w:t xml:space="preserve">    B.</w:t>
      </w:r>
      <w:r>
        <w:rPr>
          <w:rFonts w:ascii="宋体" w:hAnsi="宋体" w:cs="宋体" w:hint="eastAsia"/>
          <w:color w:val="auto"/>
        </w:rPr>
        <w:t>门静脉属支</w:t>
      </w:r>
      <w:r>
        <w:rPr>
          <w:rFonts w:ascii="宋体" w:hAnsi="宋体" w:cs="宋体"/>
          <w:color w:val="auto"/>
        </w:rPr>
        <w:t xml:space="preserve">  C.</w:t>
      </w:r>
      <w:r>
        <w:rPr>
          <w:rFonts w:ascii="宋体" w:hAnsi="宋体" w:cs="宋体" w:hint="eastAsia"/>
          <w:color w:val="auto"/>
        </w:rPr>
        <w:t>脑</w:t>
      </w:r>
      <w:r>
        <w:rPr>
          <w:rFonts w:ascii="宋体" w:hAnsi="宋体" w:cs="宋体"/>
          <w:color w:val="auto"/>
        </w:rPr>
        <w:t xml:space="preserve">    D.</w:t>
      </w:r>
      <w:r>
        <w:rPr>
          <w:rFonts w:ascii="宋体" w:hAnsi="宋体" w:cs="宋体" w:hint="eastAsia"/>
          <w:color w:val="auto"/>
        </w:rPr>
        <w:t>肺</w:t>
      </w:r>
      <w:r>
        <w:rPr>
          <w:rFonts w:ascii="宋体" w:hAnsi="宋体" w:cs="宋体"/>
          <w:color w:val="auto"/>
        </w:rPr>
        <w:t xml:space="preserve">       E.</w:t>
      </w:r>
      <w:r>
        <w:rPr>
          <w:rFonts w:ascii="宋体" w:hAnsi="宋体" w:cs="宋体" w:hint="eastAsia"/>
          <w:color w:val="auto"/>
        </w:rPr>
        <w:t>肾</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10.</w:t>
      </w:r>
      <w:r>
        <w:rPr>
          <w:rFonts w:ascii="宋体" w:hAnsi="宋体" w:cs="宋体" w:hint="eastAsia"/>
          <w:color w:val="auto"/>
        </w:rPr>
        <w:t>肺动脉栓塞引起猝死的原因不包括哪一项</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肺动脉痉挛</w:t>
      </w:r>
      <w:r>
        <w:rPr>
          <w:rFonts w:ascii="宋体" w:hAnsi="宋体" w:cs="宋体"/>
          <w:color w:val="auto"/>
        </w:rPr>
        <w:t xml:space="preserve">             B.</w:t>
      </w:r>
      <w:r>
        <w:rPr>
          <w:rFonts w:ascii="宋体" w:hAnsi="宋体" w:cs="宋体" w:hint="eastAsia"/>
          <w:color w:val="auto"/>
        </w:rPr>
        <w:t>支气管动脉痉挛</w:t>
      </w:r>
      <w:r>
        <w:rPr>
          <w:rFonts w:ascii="宋体" w:hAnsi="宋体" w:cs="宋体"/>
          <w:color w:val="auto"/>
        </w:rPr>
        <w:t xml:space="preserve">      C.</w:t>
      </w:r>
      <w:r>
        <w:rPr>
          <w:rFonts w:ascii="宋体" w:hAnsi="宋体" w:cs="宋体" w:hint="eastAsia"/>
          <w:color w:val="auto"/>
        </w:rPr>
        <w:t>支气管及肺泡管痉挛</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肺出血性梗死</w:t>
      </w:r>
      <w:r>
        <w:rPr>
          <w:rFonts w:ascii="宋体" w:hAnsi="宋体" w:cs="宋体"/>
          <w:color w:val="auto"/>
        </w:rPr>
        <w:t xml:space="preserve">           E.</w:t>
      </w:r>
      <w:r>
        <w:rPr>
          <w:rFonts w:ascii="宋体" w:hAnsi="宋体" w:cs="宋体" w:hint="eastAsia"/>
          <w:color w:val="auto"/>
        </w:rPr>
        <w:t>心冠状动脉痉挛</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11.</w:t>
      </w:r>
      <w:r>
        <w:rPr>
          <w:rFonts w:ascii="宋体" w:hAnsi="宋体" w:cs="宋体" w:hint="eastAsia"/>
          <w:color w:val="auto"/>
        </w:rPr>
        <w:t>梗死的形状取决于</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脏器的外形</w:t>
      </w:r>
      <w:r>
        <w:rPr>
          <w:rFonts w:ascii="宋体" w:hAnsi="宋体" w:cs="宋体"/>
          <w:color w:val="auto"/>
        </w:rPr>
        <w:t xml:space="preserve">            B.</w:t>
      </w:r>
      <w:r>
        <w:rPr>
          <w:rFonts w:ascii="宋体" w:hAnsi="宋体" w:cs="宋体" w:hint="eastAsia"/>
          <w:color w:val="auto"/>
        </w:rPr>
        <w:t>动脉阻塞的部位</w:t>
      </w:r>
      <w:r>
        <w:rPr>
          <w:rFonts w:ascii="宋体" w:hAnsi="宋体" w:cs="宋体"/>
          <w:color w:val="auto"/>
        </w:rPr>
        <w:t xml:space="preserve">        C.</w:t>
      </w:r>
      <w:r>
        <w:rPr>
          <w:rFonts w:ascii="宋体" w:hAnsi="宋体" w:cs="宋体" w:hint="eastAsia"/>
          <w:color w:val="auto"/>
        </w:rPr>
        <w:t>动脉阻塞的程度</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血管的分布</w:t>
      </w:r>
      <w:r>
        <w:rPr>
          <w:rFonts w:ascii="宋体" w:hAnsi="宋体" w:cs="宋体"/>
          <w:color w:val="auto"/>
        </w:rPr>
        <w:t xml:space="preserve">          E.</w:t>
      </w:r>
      <w:r>
        <w:rPr>
          <w:rFonts w:ascii="宋体" w:hAnsi="宋体" w:cs="宋体" w:hint="eastAsia"/>
          <w:color w:val="auto"/>
        </w:rPr>
        <w:t>有无瘀血的基础</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12.</w:t>
      </w:r>
      <w:r>
        <w:rPr>
          <w:rFonts w:ascii="宋体" w:hAnsi="宋体" w:cs="宋体" w:hint="eastAsia"/>
          <w:color w:val="auto"/>
        </w:rPr>
        <w:t>炎症的变质是指病灶局部实质细胞发生</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增生和变性</w:t>
      </w:r>
      <w:r>
        <w:rPr>
          <w:rFonts w:ascii="宋体" w:hAnsi="宋体" w:cs="宋体"/>
          <w:color w:val="auto"/>
        </w:rPr>
        <w:t xml:space="preserve">   B.</w:t>
      </w:r>
      <w:r>
        <w:rPr>
          <w:rFonts w:ascii="宋体" w:hAnsi="宋体" w:cs="宋体" w:hint="eastAsia"/>
          <w:color w:val="auto"/>
        </w:rPr>
        <w:t>萎缩和坏死</w:t>
      </w:r>
      <w:r>
        <w:rPr>
          <w:rFonts w:ascii="宋体" w:hAnsi="宋体" w:cs="宋体"/>
          <w:color w:val="auto"/>
        </w:rPr>
        <w:t xml:space="preserve">    C.</w:t>
      </w:r>
      <w:r>
        <w:rPr>
          <w:rFonts w:ascii="宋体" w:hAnsi="宋体" w:cs="宋体" w:hint="eastAsia"/>
          <w:color w:val="auto"/>
        </w:rPr>
        <w:t>增生和坏死</w:t>
      </w:r>
      <w:r>
        <w:rPr>
          <w:rFonts w:ascii="宋体" w:hAnsi="宋体" w:cs="宋体"/>
          <w:color w:val="auto"/>
        </w:rPr>
        <w:t xml:space="preserve">    D.</w:t>
      </w:r>
      <w:r>
        <w:rPr>
          <w:rFonts w:ascii="宋体" w:hAnsi="宋体" w:cs="宋体" w:hint="eastAsia"/>
          <w:color w:val="auto"/>
        </w:rPr>
        <w:t>变性和坏死</w:t>
      </w:r>
      <w:r>
        <w:rPr>
          <w:rFonts w:ascii="宋体" w:hAnsi="宋体" w:cs="宋体"/>
          <w:color w:val="auto"/>
        </w:rPr>
        <w:t xml:space="preserve">     E.</w:t>
      </w:r>
      <w:r>
        <w:rPr>
          <w:rFonts w:ascii="宋体" w:hAnsi="宋体" w:cs="宋体" w:hint="eastAsia"/>
          <w:color w:val="auto"/>
        </w:rPr>
        <w:t>萎缩和变性</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13.</w:t>
      </w:r>
      <w:r>
        <w:rPr>
          <w:rFonts w:ascii="宋体" w:hAnsi="宋体" w:cs="宋体" w:hint="eastAsia"/>
          <w:color w:val="auto"/>
        </w:rPr>
        <w:t>炎症时最早的血管反应的是</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小动脉</w:t>
      </w:r>
      <w:r>
        <w:rPr>
          <w:rFonts w:ascii="宋体" w:hAnsi="宋体" w:cs="宋体"/>
          <w:color w:val="auto"/>
        </w:rPr>
        <w:t xml:space="preserve">       B.</w:t>
      </w:r>
      <w:r>
        <w:rPr>
          <w:rFonts w:ascii="宋体" w:hAnsi="宋体" w:cs="宋体" w:hint="eastAsia"/>
          <w:color w:val="auto"/>
        </w:rPr>
        <w:t>细动脉</w:t>
      </w:r>
      <w:r>
        <w:rPr>
          <w:rFonts w:ascii="宋体" w:hAnsi="宋体" w:cs="宋体"/>
          <w:color w:val="auto"/>
        </w:rPr>
        <w:t xml:space="preserve">       C.</w:t>
      </w:r>
      <w:r>
        <w:rPr>
          <w:rFonts w:ascii="宋体" w:hAnsi="宋体" w:cs="宋体" w:hint="eastAsia"/>
          <w:color w:val="auto"/>
        </w:rPr>
        <w:t>毛细血管</w:t>
      </w:r>
      <w:r>
        <w:rPr>
          <w:rFonts w:ascii="宋体" w:hAnsi="宋体" w:cs="宋体"/>
          <w:color w:val="auto"/>
        </w:rPr>
        <w:t xml:space="preserve">      D.</w:t>
      </w:r>
      <w:r>
        <w:rPr>
          <w:rFonts w:ascii="宋体" w:hAnsi="宋体" w:cs="宋体" w:hint="eastAsia"/>
          <w:color w:val="auto"/>
        </w:rPr>
        <w:t>细静脉</w:t>
      </w:r>
      <w:r>
        <w:rPr>
          <w:rFonts w:ascii="宋体" w:hAnsi="宋体" w:cs="宋体"/>
          <w:color w:val="auto"/>
        </w:rPr>
        <w:t xml:space="preserve">      E.</w:t>
      </w:r>
      <w:r>
        <w:rPr>
          <w:rFonts w:ascii="宋体" w:hAnsi="宋体" w:cs="宋体" w:hint="eastAsia"/>
          <w:color w:val="auto"/>
        </w:rPr>
        <w:t>小静脉</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14.</w:t>
      </w:r>
      <w:r>
        <w:rPr>
          <w:rFonts w:ascii="宋体" w:hAnsi="宋体" w:cs="宋体" w:hint="eastAsia"/>
          <w:color w:val="auto"/>
        </w:rPr>
        <w:t>具有噬菌作用的细胞包括</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中性粒细胞、巨噬细胞、嗜酸性粒细胞</w:t>
      </w:r>
      <w:r>
        <w:rPr>
          <w:rFonts w:ascii="宋体" w:hAnsi="宋体" w:cs="宋体"/>
          <w:color w:val="auto"/>
        </w:rPr>
        <w:t xml:space="preserve">         B.</w:t>
      </w:r>
      <w:r>
        <w:rPr>
          <w:rFonts w:ascii="宋体" w:hAnsi="宋体" w:cs="宋体" w:hint="eastAsia"/>
          <w:color w:val="auto"/>
        </w:rPr>
        <w:t>淋巴细胞、肥大细胞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C.T</w:t>
      </w:r>
      <w:r>
        <w:rPr>
          <w:rFonts w:ascii="宋体" w:hAnsi="宋体" w:cs="宋体" w:hint="eastAsia"/>
          <w:color w:val="auto"/>
        </w:rPr>
        <w:t>细胞、</w:t>
      </w:r>
      <w:r>
        <w:rPr>
          <w:rFonts w:ascii="宋体" w:hAnsi="宋体" w:cs="宋体"/>
          <w:color w:val="auto"/>
        </w:rPr>
        <w:t>B</w:t>
      </w:r>
      <w:r>
        <w:rPr>
          <w:rFonts w:ascii="宋体" w:hAnsi="宋体" w:cs="宋体" w:hint="eastAsia"/>
          <w:color w:val="auto"/>
        </w:rPr>
        <w:t>细胞</w:t>
      </w:r>
      <w:r>
        <w:rPr>
          <w:rFonts w:ascii="宋体" w:hAnsi="宋体" w:cs="宋体"/>
          <w:color w:val="auto"/>
        </w:rPr>
        <w:t xml:space="preserve">                              D.</w:t>
      </w:r>
      <w:r>
        <w:rPr>
          <w:rFonts w:ascii="宋体" w:hAnsi="宋体" w:cs="宋体" w:hint="eastAsia"/>
          <w:color w:val="auto"/>
        </w:rPr>
        <w:t>嗜碱性细胞、干细胞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E.</w:t>
      </w:r>
      <w:r>
        <w:rPr>
          <w:rFonts w:ascii="宋体" w:hAnsi="宋体" w:cs="宋体" w:hint="eastAsia"/>
          <w:color w:val="auto"/>
        </w:rPr>
        <w:t>内皮细胞、浆细胞</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15.</w:t>
      </w:r>
      <w:r>
        <w:rPr>
          <w:rFonts w:ascii="宋体" w:hAnsi="宋体" w:cs="宋体" w:hint="eastAsia"/>
          <w:color w:val="auto"/>
        </w:rPr>
        <w:t>在寄生虫感染引起的炎症组织内哪种细胞多见</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中性粒细胞</w:t>
      </w:r>
      <w:r>
        <w:rPr>
          <w:rFonts w:ascii="宋体" w:hAnsi="宋体" w:cs="宋体"/>
          <w:color w:val="auto"/>
        </w:rPr>
        <w:t xml:space="preserve">     B.</w:t>
      </w:r>
      <w:r>
        <w:rPr>
          <w:rFonts w:ascii="宋体" w:hAnsi="宋体" w:cs="宋体" w:hint="eastAsia"/>
          <w:color w:val="auto"/>
        </w:rPr>
        <w:t>嗜酸性粒细胞</w:t>
      </w:r>
      <w:r>
        <w:rPr>
          <w:rFonts w:ascii="宋体" w:hAnsi="宋体" w:cs="宋体"/>
          <w:color w:val="auto"/>
        </w:rPr>
        <w:t xml:space="preserve">    C.</w:t>
      </w:r>
      <w:r>
        <w:rPr>
          <w:rFonts w:ascii="宋体" w:hAnsi="宋体" w:cs="宋体" w:hint="eastAsia"/>
          <w:color w:val="auto"/>
        </w:rPr>
        <w:t>单核巨噬细胞</w:t>
      </w:r>
      <w:r>
        <w:rPr>
          <w:rFonts w:ascii="宋体" w:hAnsi="宋体" w:cs="宋体"/>
          <w:color w:val="auto"/>
        </w:rPr>
        <w:t xml:space="preserve">   D.</w:t>
      </w:r>
      <w:r>
        <w:rPr>
          <w:rFonts w:ascii="宋体" w:hAnsi="宋体" w:cs="宋体" w:hint="eastAsia"/>
          <w:color w:val="auto"/>
        </w:rPr>
        <w:t>淋巴细胞</w:t>
      </w:r>
      <w:r>
        <w:rPr>
          <w:rFonts w:ascii="宋体" w:hAnsi="宋体" w:cs="宋体"/>
          <w:color w:val="auto"/>
        </w:rPr>
        <w:t xml:space="preserve">    E.</w:t>
      </w:r>
      <w:r>
        <w:rPr>
          <w:rFonts w:ascii="宋体" w:hAnsi="宋体" w:cs="宋体" w:hint="eastAsia"/>
          <w:color w:val="auto"/>
        </w:rPr>
        <w:t>浆细胞</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lastRenderedPageBreak/>
        <w:t>16.</w:t>
      </w:r>
      <w:r>
        <w:rPr>
          <w:rFonts w:ascii="宋体" w:hAnsi="宋体" w:cs="宋体" w:hint="eastAsia"/>
          <w:color w:val="auto"/>
        </w:rPr>
        <w:t>伪（假）膜性炎症是指</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浆膜发生的纤维素性炎</w:t>
      </w:r>
      <w:r>
        <w:rPr>
          <w:rFonts w:ascii="宋体" w:hAnsi="宋体" w:cs="宋体"/>
          <w:color w:val="auto"/>
        </w:rPr>
        <w:t xml:space="preserve">                     B.</w:t>
      </w:r>
      <w:r>
        <w:rPr>
          <w:rFonts w:ascii="宋体" w:hAnsi="宋体" w:cs="宋体" w:hint="eastAsia"/>
          <w:color w:val="auto"/>
        </w:rPr>
        <w:t>浆膜发生的化脓性炎症</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w:t>
      </w:r>
      <w:r>
        <w:rPr>
          <w:rFonts w:ascii="宋体" w:hAnsi="宋体" w:cs="宋体" w:hint="eastAsia"/>
          <w:color w:val="auto"/>
        </w:rPr>
        <w:t>粘膜发生的纤维素性炎</w:t>
      </w:r>
      <w:r>
        <w:rPr>
          <w:rFonts w:ascii="宋体" w:hAnsi="宋体" w:cs="宋体"/>
          <w:color w:val="auto"/>
        </w:rPr>
        <w:t xml:space="preserve">                     D.</w:t>
      </w:r>
      <w:r>
        <w:rPr>
          <w:rFonts w:ascii="宋体" w:hAnsi="宋体" w:cs="宋体" w:hint="eastAsia"/>
          <w:color w:val="auto"/>
        </w:rPr>
        <w:t>粘膜发生的化脓性炎</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E.</w:t>
      </w:r>
      <w:r>
        <w:rPr>
          <w:rFonts w:ascii="宋体" w:hAnsi="宋体" w:cs="宋体" w:hint="eastAsia"/>
          <w:color w:val="auto"/>
        </w:rPr>
        <w:t>粘膜发生的坏死性炎</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17.</w:t>
      </w:r>
      <w:r>
        <w:rPr>
          <w:rFonts w:ascii="宋体" w:hAnsi="宋体" w:cs="宋体" w:hint="eastAsia"/>
          <w:color w:val="auto"/>
        </w:rPr>
        <w:t>下列哪一项不是败血症的表现</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细菌入血并产生毒素</w:t>
      </w:r>
      <w:r>
        <w:rPr>
          <w:rFonts w:ascii="宋体" w:hAnsi="宋体" w:cs="宋体"/>
          <w:color w:val="auto"/>
        </w:rPr>
        <w:t xml:space="preserve">                       B.</w:t>
      </w:r>
      <w:r>
        <w:rPr>
          <w:rFonts w:ascii="宋体" w:hAnsi="宋体" w:cs="宋体" w:hint="eastAsia"/>
          <w:color w:val="auto"/>
        </w:rPr>
        <w:t>高热寒战</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w:t>
      </w:r>
      <w:r>
        <w:rPr>
          <w:rFonts w:ascii="宋体" w:hAnsi="宋体" w:cs="宋体" w:hint="eastAsia"/>
          <w:color w:val="auto"/>
        </w:rPr>
        <w:t>一些器官多发生小脓肿</w:t>
      </w:r>
      <w:r>
        <w:rPr>
          <w:rFonts w:ascii="宋体" w:hAnsi="宋体" w:cs="宋体"/>
          <w:color w:val="auto"/>
        </w:rPr>
        <w:t xml:space="preserve">                     D.</w:t>
      </w:r>
      <w:r>
        <w:rPr>
          <w:rFonts w:ascii="宋体" w:hAnsi="宋体" w:cs="宋体" w:hint="eastAsia"/>
          <w:color w:val="auto"/>
        </w:rPr>
        <w:t>皮肤、粘膜出血点</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E.</w:t>
      </w:r>
      <w:r>
        <w:rPr>
          <w:rFonts w:ascii="宋体" w:hAnsi="宋体" w:cs="宋体" w:hint="eastAsia"/>
          <w:color w:val="auto"/>
        </w:rPr>
        <w:t>肝、脾肿大</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18.</w:t>
      </w:r>
      <w:r>
        <w:rPr>
          <w:rFonts w:ascii="宋体" w:hAnsi="宋体" w:cs="宋体" w:hint="eastAsia"/>
          <w:color w:val="auto"/>
        </w:rPr>
        <w:t>使血管壁通透性增高，作用最显著的炎症介质是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组织胺</w:t>
      </w:r>
      <w:r>
        <w:rPr>
          <w:rFonts w:ascii="宋体" w:hAnsi="宋体" w:cs="宋体"/>
          <w:color w:val="auto"/>
        </w:rPr>
        <w:t xml:space="preserve">        B.</w:t>
      </w:r>
      <w:r>
        <w:rPr>
          <w:rFonts w:ascii="宋体" w:hAnsi="宋体" w:cs="宋体" w:hint="eastAsia"/>
          <w:color w:val="auto"/>
        </w:rPr>
        <w:t>激肽类</w:t>
      </w:r>
      <w:r>
        <w:rPr>
          <w:rFonts w:ascii="宋体" w:hAnsi="宋体" w:cs="宋体"/>
          <w:color w:val="auto"/>
        </w:rPr>
        <w:t xml:space="preserve">        C.</w:t>
      </w:r>
      <w:r>
        <w:rPr>
          <w:rFonts w:ascii="宋体" w:hAnsi="宋体" w:cs="宋体" w:hint="eastAsia"/>
          <w:color w:val="auto"/>
        </w:rPr>
        <w:t>前列腺素</w:t>
      </w:r>
      <w:r>
        <w:rPr>
          <w:rFonts w:ascii="宋体" w:hAnsi="宋体" w:cs="宋体"/>
          <w:color w:val="auto"/>
        </w:rPr>
        <w:t xml:space="preserve">     D.</w:t>
      </w:r>
      <w:r>
        <w:rPr>
          <w:rFonts w:ascii="宋体" w:hAnsi="宋体" w:cs="宋体" w:hint="eastAsia"/>
          <w:color w:val="auto"/>
        </w:rPr>
        <w:t>补体系统</w:t>
      </w:r>
      <w:r>
        <w:rPr>
          <w:rFonts w:ascii="宋体" w:hAnsi="宋体" w:cs="宋体"/>
          <w:color w:val="auto"/>
        </w:rPr>
        <w:t xml:space="preserve">     E.5-</w:t>
      </w:r>
      <w:r>
        <w:rPr>
          <w:rFonts w:ascii="宋体" w:hAnsi="宋体" w:cs="宋体" w:hint="eastAsia"/>
          <w:color w:val="auto"/>
        </w:rPr>
        <w:t>羟色胺</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19.</w:t>
      </w:r>
      <w:r>
        <w:rPr>
          <w:rFonts w:ascii="宋体" w:hAnsi="宋体" w:cs="宋体" w:hint="eastAsia"/>
          <w:color w:val="auto"/>
        </w:rPr>
        <w:t>金黄色葡萄球菌感染常引起</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蜂窝织炎</w:t>
      </w:r>
      <w:r>
        <w:rPr>
          <w:rFonts w:ascii="宋体" w:hAnsi="宋体" w:cs="宋体"/>
          <w:color w:val="auto"/>
        </w:rPr>
        <w:t xml:space="preserve">      B.</w:t>
      </w:r>
      <w:r>
        <w:rPr>
          <w:rFonts w:ascii="宋体" w:hAnsi="宋体" w:cs="宋体" w:hint="eastAsia"/>
          <w:color w:val="auto"/>
        </w:rPr>
        <w:t>脓肿</w:t>
      </w:r>
      <w:r>
        <w:rPr>
          <w:rFonts w:ascii="宋体" w:hAnsi="宋体" w:cs="宋体"/>
          <w:color w:val="auto"/>
        </w:rPr>
        <w:t xml:space="preserve">          C.</w:t>
      </w:r>
      <w:r>
        <w:rPr>
          <w:rFonts w:ascii="宋体" w:hAnsi="宋体" w:cs="宋体" w:hint="eastAsia"/>
          <w:color w:val="auto"/>
        </w:rPr>
        <w:t>出血性炎</w:t>
      </w:r>
      <w:r>
        <w:rPr>
          <w:rFonts w:ascii="宋体" w:hAnsi="宋体" w:cs="宋体"/>
          <w:color w:val="auto"/>
        </w:rPr>
        <w:t xml:space="preserve">     D.</w:t>
      </w:r>
      <w:r>
        <w:rPr>
          <w:rFonts w:ascii="宋体" w:hAnsi="宋体" w:cs="宋体" w:hint="eastAsia"/>
          <w:color w:val="auto"/>
        </w:rPr>
        <w:t>浆液性炎</w:t>
      </w:r>
      <w:r>
        <w:rPr>
          <w:rFonts w:ascii="宋体" w:hAnsi="宋体" w:cs="宋体"/>
          <w:color w:val="auto"/>
        </w:rPr>
        <w:t xml:space="preserve">     E.</w:t>
      </w:r>
      <w:r>
        <w:rPr>
          <w:rFonts w:ascii="宋体" w:hAnsi="宋体" w:cs="宋体" w:hint="eastAsia"/>
          <w:color w:val="auto"/>
        </w:rPr>
        <w:t>纤维素性炎</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20. </w:t>
      </w:r>
      <w:r>
        <w:rPr>
          <w:rFonts w:ascii="宋体" w:hAnsi="宋体" w:cs="宋体" w:hint="eastAsia"/>
          <w:color w:val="auto"/>
        </w:rPr>
        <w:t>癌的肉眼形态，下列哪一种可能性最大</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结节状</w:t>
      </w:r>
      <w:r>
        <w:rPr>
          <w:rFonts w:ascii="宋体" w:hAnsi="宋体" w:cs="宋体"/>
          <w:color w:val="auto"/>
        </w:rPr>
        <w:t xml:space="preserve">        B.</w:t>
      </w:r>
      <w:r>
        <w:rPr>
          <w:rFonts w:ascii="宋体" w:hAnsi="宋体" w:cs="宋体" w:hint="eastAsia"/>
          <w:color w:val="auto"/>
        </w:rPr>
        <w:t>绒毛状</w:t>
      </w:r>
      <w:r>
        <w:rPr>
          <w:rFonts w:ascii="宋体" w:hAnsi="宋体" w:cs="宋体"/>
          <w:color w:val="auto"/>
        </w:rPr>
        <w:t xml:space="preserve">        C.</w:t>
      </w:r>
      <w:r>
        <w:rPr>
          <w:rFonts w:ascii="宋体" w:hAnsi="宋体" w:cs="宋体" w:hint="eastAsia"/>
          <w:color w:val="auto"/>
        </w:rPr>
        <w:t>乳头状</w:t>
      </w:r>
      <w:r>
        <w:rPr>
          <w:rFonts w:ascii="宋体" w:hAnsi="宋体" w:cs="宋体"/>
          <w:color w:val="auto"/>
        </w:rPr>
        <w:t xml:space="preserve">       D.</w:t>
      </w:r>
      <w:r>
        <w:rPr>
          <w:rFonts w:ascii="宋体" w:hAnsi="宋体" w:cs="宋体" w:hint="eastAsia"/>
          <w:color w:val="auto"/>
        </w:rPr>
        <w:t>火山口状溃疡</w:t>
      </w:r>
      <w:r>
        <w:rPr>
          <w:rFonts w:ascii="宋体" w:hAnsi="宋体" w:cs="宋体"/>
          <w:color w:val="auto"/>
        </w:rPr>
        <w:t xml:space="preserve">    E.</w:t>
      </w:r>
      <w:r>
        <w:rPr>
          <w:rFonts w:ascii="宋体" w:hAnsi="宋体" w:cs="宋体" w:hint="eastAsia"/>
          <w:color w:val="auto"/>
        </w:rPr>
        <w:t>肿块状</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21.</w:t>
      </w:r>
      <w:r>
        <w:rPr>
          <w:rFonts w:ascii="宋体" w:hAnsi="宋体" w:cs="宋体" w:hint="eastAsia"/>
          <w:color w:val="auto"/>
        </w:rPr>
        <w:t>决定肿瘤性质的主要理论依据是</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肿瘤的间质成分</w:t>
      </w:r>
      <w:r>
        <w:rPr>
          <w:rFonts w:ascii="宋体" w:hAnsi="宋体" w:cs="宋体"/>
          <w:color w:val="auto"/>
        </w:rPr>
        <w:t xml:space="preserve">         B.</w:t>
      </w:r>
      <w:r>
        <w:rPr>
          <w:rFonts w:ascii="宋体" w:hAnsi="宋体" w:cs="宋体" w:hint="eastAsia"/>
          <w:color w:val="auto"/>
        </w:rPr>
        <w:t>肿瘤的实质成分</w:t>
      </w:r>
      <w:r>
        <w:rPr>
          <w:rFonts w:ascii="宋体" w:hAnsi="宋体" w:cs="宋体"/>
          <w:color w:val="auto"/>
        </w:rPr>
        <w:t xml:space="preserve">       C.</w:t>
      </w:r>
      <w:r>
        <w:rPr>
          <w:rFonts w:ascii="宋体" w:hAnsi="宋体" w:cs="宋体" w:hint="eastAsia"/>
          <w:color w:val="auto"/>
        </w:rPr>
        <w:t>组织结构情况</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肿瘤生长方式</w:t>
      </w:r>
      <w:r>
        <w:rPr>
          <w:rFonts w:ascii="宋体" w:hAnsi="宋体" w:cs="宋体"/>
          <w:color w:val="auto"/>
        </w:rPr>
        <w:t xml:space="preserve">           E.</w:t>
      </w:r>
      <w:r>
        <w:rPr>
          <w:rFonts w:ascii="宋体" w:hAnsi="宋体" w:cs="宋体" w:hint="eastAsia"/>
          <w:color w:val="auto"/>
        </w:rPr>
        <w:t>以上都不是</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22.</w:t>
      </w:r>
      <w:r>
        <w:rPr>
          <w:rFonts w:ascii="宋体" w:hAnsi="宋体" w:cs="宋体" w:hint="eastAsia"/>
          <w:color w:val="auto"/>
        </w:rPr>
        <w:t>组织学上的良性肿瘤危及生命时，最可能的原因</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由于广泛出血</w:t>
      </w:r>
      <w:r>
        <w:rPr>
          <w:rFonts w:ascii="宋体" w:hAnsi="宋体" w:cs="宋体"/>
          <w:color w:val="auto"/>
        </w:rPr>
        <w:t xml:space="preserve">           B.</w:t>
      </w:r>
      <w:r>
        <w:rPr>
          <w:rFonts w:ascii="宋体" w:hAnsi="宋体" w:cs="宋体" w:hint="eastAsia"/>
          <w:color w:val="auto"/>
        </w:rPr>
        <w:t>多灶性病变</w:t>
      </w:r>
      <w:r>
        <w:rPr>
          <w:rFonts w:ascii="宋体" w:hAnsi="宋体" w:cs="宋体"/>
          <w:color w:val="auto"/>
        </w:rPr>
        <w:t xml:space="preserve">          C.</w:t>
      </w:r>
      <w:r>
        <w:rPr>
          <w:rFonts w:ascii="宋体" w:hAnsi="宋体" w:cs="宋体" w:hint="eastAsia"/>
          <w:color w:val="auto"/>
        </w:rPr>
        <w:t>没有引发免疫应答</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妨碍了器官的功能</w:t>
      </w:r>
      <w:r>
        <w:rPr>
          <w:rFonts w:ascii="宋体" w:hAnsi="宋体" w:cs="宋体"/>
          <w:color w:val="auto"/>
        </w:rPr>
        <w:t xml:space="preserve">       E.</w:t>
      </w:r>
      <w:r>
        <w:rPr>
          <w:rFonts w:ascii="宋体" w:hAnsi="宋体" w:cs="宋体" w:hint="eastAsia"/>
          <w:color w:val="auto"/>
        </w:rPr>
        <w:t>转变为癌</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23.</w:t>
      </w:r>
      <w:r>
        <w:rPr>
          <w:rFonts w:ascii="宋体" w:hAnsi="宋体" w:cs="宋体" w:hint="eastAsia"/>
          <w:color w:val="auto"/>
        </w:rPr>
        <w:t>恶性肿瘤生长到多大需要血管供给才能生长</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A.0.5mm         B.1.0mm        C.1.5mm         D.2.0mm      E.2mm</w:t>
      </w:r>
      <w:r>
        <w:rPr>
          <w:rFonts w:ascii="宋体" w:hAnsi="宋体" w:cs="宋体" w:hint="eastAsia"/>
          <w:color w:val="auto"/>
        </w:rPr>
        <w:t>以上</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lastRenderedPageBreak/>
        <w:t>24.</w:t>
      </w:r>
      <w:r>
        <w:rPr>
          <w:rFonts w:ascii="宋体" w:hAnsi="宋体" w:cs="宋体" w:hint="eastAsia"/>
          <w:color w:val="auto"/>
        </w:rPr>
        <w:t>肿瘤生长分数是指肿瘤细胞群体处于下述阶段的细胞的比例</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A.G1+G2 </w:t>
      </w:r>
      <w:r>
        <w:rPr>
          <w:rFonts w:ascii="宋体" w:hAnsi="宋体" w:cs="宋体" w:hint="eastAsia"/>
          <w:color w:val="auto"/>
        </w:rPr>
        <w:t>期</w:t>
      </w:r>
      <w:r>
        <w:rPr>
          <w:rFonts w:ascii="宋体" w:hAnsi="宋体" w:cs="宋体"/>
          <w:color w:val="auto"/>
        </w:rPr>
        <w:t xml:space="preserve">      B.G1 +S</w:t>
      </w:r>
      <w:r>
        <w:rPr>
          <w:rFonts w:ascii="宋体" w:hAnsi="宋体" w:cs="宋体" w:hint="eastAsia"/>
          <w:color w:val="auto"/>
        </w:rPr>
        <w:t>期</w:t>
      </w:r>
      <w:r>
        <w:rPr>
          <w:rFonts w:ascii="宋体" w:hAnsi="宋体" w:cs="宋体"/>
          <w:color w:val="auto"/>
        </w:rPr>
        <w:t xml:space="preserve">    C.S+G2</w:t>
      </w:r>
      <w:r>
        <w:rPr>
          <w:rFonts w:ascii="宋体" w:hAnsi="宋体" w:cs="宋体" w:hint="eastAsia"/>
          <w:color w:val="auto"/>
        </w:rPr>
        <w:t>期</w:t>
      </w:r>
      <w:r>
        <w:rPr>
          <w:rFonts w:ascii="宋体" w:hAnsi="宋体" w:cs="宋体"/>
          <w:color w:val="auto"/>
        </w:rPr>
        <w:t xml:space="preserve">       D.G2+M</w:t>
      </w:r>
      <w:r>
        <w:rPr>
          <w:rFonts w:ascii="宋体" w:hAnsi="宋体" w:cs="宋体" w:hint="eastAsia"/>
          <w:color w:val="auto"/>
        </w:rPr>
        <w:t>期</w:t>
      </w:r>
      <w:r>
        <w:rPr>
          <w:rFonts w:ascii="宋体" w:hAnsi="宋体" w:cs="宋体"/>
          <w:color w:val="auto"/>
        </w:rPr>
        <w:t xml:space="preserve">   E.G1 +M</w:t>
      </w:r>
      <w:r>
        <w:rPr>
          <w:rFonts w:ascii="宋体" w:hAnsi="宋体" w:cs="宋体" w:hint="eastAsia"/>
          <w:color w:val="auto"/>
        </w:rPr>
        <w:t>期</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25.</w:t>
      </w:r>
      <w:r>
        <w:rPr>
          <w:rFonts w:ascii="宋体" w:hAnsi="宋体" w:cs="宋体" w:hint="eastAsia"/>
          <w:color w:val="auto"/>
        </w:rPr>
        <w:t>肿瘤的淋巴道转移首先到达淋巴结</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边缘窦</w:t>
      </w:r>
      <w:r>
        <w:rPr>
          <w:rFonts w:ascii="宋体" w:hAnsi="宋体" w:cs="宋体"/>
          <w:color w:val="auto"/>
        </w:rPr>
        <w:t xml:space="preserve">        B.</w:t>
      </w:r>
      <w:r>
        <w:rPr>
          <w:rFonts w:ascii="宋体" w:hAnsi="宋体" w:cs="宋体" w:hint="eastAsia"/>
          <w:color w:val="auto"/>
        </w:rPr>
        <w:t>淋巴结门部</w:t>
      </w:r>
      <w:r>
        <w:rPr>
          <w:rFonts w:ascii="宋体" w:hAnsi="宋体" w:cs="宋体"/>
          <w:color w:val="auto"/>
        </w:rPr>
        <w:t xml:space="preserve">  C.</w:t>
      </w:r>
      <w:r>
        <w:rPr>
          <w:rFonts w:ascii="宋体" w:hAnsi="宋体" w:cs="宋体" w:hint="eastAsia"/>
          <w:color w:val="auto"/>
        </w:rPr>
        <w:t>生发中心</w:t>
      </w:r>
      <w:r>
        <w:rPr>
          <w:rFonts w:ascii="宋体" w:hAnsi="宋体" w:cs="宋体"/>
          <w:color w:val="auto"/>
        </w:rPr>
        <w:t xml:space="preserve">     D.</w:t>
      </w:r>
      <w:r>
        <w:rPr>
          <w:rFonts w:ascii="宋体" w:hAnsi="宋体" w:cs="宋体" w:hint="eastAsia"/>
          <w:color w:val="auto"/>
        </w:rPr>
        <w:t>被膜</w:t>
      </w:r>
      <w:r>
        <w:rPr>
          <w:rFonts w:ascii="宋体" w:hAnsi="宋体" w:cs="宋体"/>
          <w:color w:val="auto"/>
        </w:rPr>
        <w:t xml:space="preserve">      E.</w:t>
      </w:r>
      <w:r>
        <w:rPr>
          <w:rFonts w:ascii="宋体" w:hAnsi="宋体" w:cs="宋体" w:hint="eastAsia"/>
          <w:color w:val="auto"/>
        </w:rPr>
        <w:t>髓窦</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26.</w:t>
      </w:r>
      <w:r>
        <w:rPr>
          <w:rFonts w:ascii="宋体" w:hAnsi="宋体" w:cs="宋体" w:hint="eastAsia"/>
          <w:color w:val="auto"/>
        </w:rPr>
        <w:t>判断癌症预后最重要的因素是什么？</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肿瘤分级</w:t>
      </w:r>
      <w:r>
        <w:rPr>
          <w:rFonts w:ascii="宋体" w:hAnsi="宋体" w:cs="宋体"/>
          <w:color w:val="auto"/>
        </w:rPr>
        <w:t xml:space="preserve">      B.</w:t>
      </w:r>
      <w:r>
        <w:rPr>
          <w:rFonts w:ascii="宋体" w:hAnsi="宋体" w:cs="宋体" w:hint="eastAsia"/>
          <w:color w:val="auto"/>
        </w:rPr>
        <w:t>肿瘤分期</w:t>
      </w:r>
      <w:r>
        <w:rPr>
          <w:rFonts w:ascii="宋体" w:hAnsi="宋体" w:cs="宋体"/>
          <w:color w:val="auto"/>
        </w:rPr>
        <w:t xml:space="preserve">      C.</w:t>
      </w:r>
      <w:r>
        <w:rPr>
          <w:rFonts w:ascii="宋体" w:hAnsi="宋体" w:cs="宋体" w:hint="eastAsia"/>
          <w:color w:val="auto"/>
        </w:rPr>
        <w:t>淋巴细胞浸润</w:t>
      </w:r>
      <w:r>
        <w:rPr>
          <w:rFonts w:ascii="宋体" w:hAnsi="宋体" w:cs="宋体"/>
          <w:color w:val="auto"/>
        </w:rPr>
        <w:t xml:space="preserve">     D.</w:t>
      </w:r>
      <w:r>
        <w:rPr>
          <w:rFonts w:ascii="宋体" w:hAnsi="宋体" w:cs="宋体" w:hint="eastAsia"/>
          <w:color w:val="auto"/>
        </w:rPr>
        <w:t>血管侵犯</w:t>
      </w:r>
      <w:r>
        <w:rPr>
          <w:rFonts w:ascii="宋体" w:hAnsi="宋体" w:cs="宋体"/>
          <w:color w:val="auto"/>
        </w:rPr>
        <w:t xml:space="preserve">     E.</w:t>
      </w:r>
      <w:r>
        <w:rPr>
          <w:rFonts w:ascii="宋体" w:hAnsi="宋体" w:cs="宋体" w:hint="eastAsia"/>
          <w:color w:val="auto"/>
        </w:rPr>
        <w:t>核分裂指数</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27.</w:t>
      </w:r>
      <w:r>
        <w:rPr>
          <w:rFonts w:ascii="宋体" w:hAnsi="宋体" w:cs="宋体" w:hint="eastAsia"/>
          <w:color w:val="auto"/>
        </w:rPr>
        <w:t>下列哪种为高分化鳞癌的病理形态特点</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鳞状上皮呈乳头状生长</w:t>
      </w:r>
      <w:r>
        <w:rPr>
          <w:rFonts w:ascii="宋体" w:hAnsi="宋体" w:cs="宋体"/>
          <w:color w:val="auto"/>
        </w:rPr>
        <w:t xml:space="preserve">           B.</w:t>
      </w:r>
      <w:r>
        <w:rPr>
          <w:rFonts w:ascii="宋体" w:hAnsi="宋体" w:cs="宋体" w:hint="eastAsia"/>
          <w:color w:val="auto"/>
        </w:rPr>
        <w:t>癌细胞分化形态仍保留鳞状上皮特征</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C.</w:t>
      </w:r>
      <w:r>
        <w:rPr>
          <w:rFonts w:ascii="宋体" w:hAnsi="宋体" w:cs="宋体" w:hint="eastAsia"/>
          <w:color w:val="auto"/>
        </w:rPr>
        <w:t>形成大小不一的鳞状细胞巢</w:t>
      </w:r>
      <w:r>
        <w:rPr>
          <w:rFonts w:ascii="宋体" w:hAnsi="宋体" w:cs="宋体"/>
          <w:color w:val="auto"/>
        </w:rPr>
        <w:t xml:space="preserve">       D.</w:t>
      </w:r>
      <w:r>
        <w:rPr>
          <w:rFonts w:ascii="宋体" w:hAnsi="宋体" w:cs="宋体" w:hint="eastAsia"/>
          <w:color w:val="auto"/>
        </w:rPr>
        <w:t>癌巢细胞间可见间桥并见角化珠形成</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E.</w:t>
      </w:r>
      <w:r>
        <w:rPr>
          <w:rFonts w:ascii="宋体" w:hAnsi="宋体" w:cs="宋体" w:hint="eastAsia"/>
          <w:color w:val="auto"/>
        </w:rPr>
        <w:t>癌细胞突破基底膜</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28.</w:t>
      </w:r>
      <w:r>
        <w:rPr>
          <w:rFonts w:ascii="宋体" w:hAnsi="宋体" w:cs="宋体" w:hint="eastAsia"/>
          <w:color w:val="auto"/>
        </w:rPr>
        <w:t>含有三个胚层组织成分的肿瘤称为</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混合瘤</w:t>
      </w:r>
      <w:r>
        <w:rPr>
          <w:rFonts w:ascii="宋体" w:hAnsi="宋体" w:cs="宋体"/>
          <w:color w:val="auto"/>
        </w:rPr>
        <w:t xml:space="preserve">      B.</w:t>
      </w:r>
      <w:r>
        <w:rPr>
          <w:rFonts w:ascii="宋体" w:hAnsi="宋体" w:cs="宋体" w:hint="eastAsia"/>
          <w:color w:val="auto"/>
        </w:rPr>
        <w:t>畸胎瘤</w:t>
      </w:r>
      <w:r>
        <w:rPr>
          <w:rFonts w:ascii="宋体" w:hAnsi="宋体" w:cs="宋体"/>
          <w:color w:val="auto"/>
        </w:rPr>
        <w:t xml:space="preserve">      C.</w:t>
      </w:r>
      <w:r>
        <w:rPr>
          <w:rFonts w:ascii="宋体" w:hAnsi="宋体" w:cs="宋体" w:hint="eastAsia"/>
          <w:color w:val="auto"/>
        </w:rPr>
        <w:t>胚胎瘤</w:t>
      </w:r>
      <w:r>
        <w:rPr>
          <w:rFonts w:ascii="宋体" w:hAnsi="宋体" w:cs="宋体"/>
          <w:color w:val="auto"/>
        </w:rPr>
        <w:t xml:space="preserve">      D.</w:t>
      </w:r>
      <w:r>
        <w:rPr>
          <w:rFonts w:ascii="宋体" w:hAnsi="宋体" w:cs="宋体" w:hint="eastAsia"/>
          <w:color w:val="auto"/>
        </w:rPr>
        <w:t>错构瘤</w:t>
      </w:r>
      <w:r>
        <w:rPr>
          <w:rFonts w:ascii="宋体" w:hAnsi="宋体" w:cs="宋体"/>
          <w:color w:val="auto"/>
        </w:rPr>
        <w:t xml:space="preserve">      E.</w:t>
      </w:r>
      <w:r>
        <w:rPr>
          <w:rFonts w:ascii="宋体" w:hAnsi="宋体" w:cs="宋体" w:hint="eastAsia"/>
          <w:color w:val="auto"/>
        </w:rPr>
        <w:t>癌肉瘤</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29.</w:t>
      </w:r>
      <w:r>
        <w:rPr>
          <w:rFonts w:ascii="宋体" w:hAnsi="宋体" w:cs="宋体" w:hint="eastAsia"/>
          <w:color w:val="auto"/>
        </w:rPr>
        <w:t>电子显微镜检查对病理诊断的作用中，哪种说法不正确</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确定细胞分化程度</w:t>
      </w:r>
      <w:r>
        <w:rPr>
          <w:rFonts w:ascii="宋体" w:hAnsi="宋体" w:cs="宋体"/>
          <w:color w:val="auto"/>
        </w:rPr>
        <w:t xml:space="preserve">        B.</w:t>
      </w:r>
      <w:r>
        <w:rPr>
          <w:rFonts w:ascii="宋体" w:hAnsi="宋体" w:cs="宋体" w:hint="eastAsia"/>
          <w:color w:val="auto"/>
        </w:rPr>
        <w:t>鉴别肿瘤类型</w:t>
      </w:r>
      <w:r>
        <w:rPr>
          <w:rFonts w:ascii="宋体" w:hAnsi="宋体" w:cs="宋体"/>
          <w:color w:val="auto"/>
        </w:rPr>
        <w:t xml:space="preserve">      C.</w:t>
      </w:r>
      <w:r>
        <w:rPr>
          <w:rFonts w:ascii="宋体" w:hAnsi="宋体" w:cs="宋体" w:hint="eastAsia"/>
          <w:color w:val="auto"/>
        </w:rPr>
        <w:t>鉴别肿瘤组织学发生</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显示恶性肿瘤特异性超微结构改变</w:t>
      </w:r>
      <w:r>
        <w:rPr>
          <w:rFonts w:ascii="宋体" w:hAnsi="宋体" w:cs="宋体"/>
          <w:color w:val="auto"/>
        </w:rPr>
        <w:t xml:space="preserve">            E.</w:t>
      </w:r>
      <w:r>
        <w:rPr>
          <w:rFonts w:ascii="宋体" w:hAnsi="宋体" w:cs="宋体" w:hint="eastAsia"/>
          <w:color w:val="auto"/>
        </w:rPr>
        <w:t>病理诊断主要靠光镜观察</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30.</w:t>
      </w:r>
      <w:r>
        <w:rPr>
          <w:rFonts w:ascii="宋体" w:hAnsi="宋体" w:cs="宋体" w:hint="eastAsia"/>
          <w:color w:val="auto"/>
        </w:rPr>
        <w:t>一个</w:t>
      </w:r>
      <w:r>
        <w:rPr>
          <w:rFonts w:ascii="宋体" w:hAnsi="宋体" w:cs="宋体"/>
          <w:color w:val="auto"/>
        </w:rPr>
        <w:t>70</w:t>
      </w:r>
      <w:r>
        <w:rPr>
          <w:rFonts w:ascii="宋体" w:hAnsi="宋体" w:cs="宋体" w:hint="eastAsia"/>
          <w:color w:val="auto"/>
        </w:rPr>
        <w:t>岁的男性患者发生两侧腹股沟疝，无其他症状，在进行疝修复的手术中切除了增大的淋巴结。病理学检查显示为一个转移性腺癌。该肿瘤的原发性可通过下列哪项来确定</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钡灌肠</w:t>
      </w:r>
      <w:r>
        <w:rPr>
          <w:rFonts w:ascii="宋体" w:hAnsi="宋体" w:cs="宋体"/>
          <w:color w:val="auto"/>
        </w:rPr>
        <w:t xml:space="preserve">         B.</w:t>
      </w:r>
      <w:r>
        <w:rPr>
          <w:rFonts w:ascii="宋体" w:hAnsi="宋体" w:cs="宋体" w:hint="eastAsia"/>
          <w:color w:val="auto"/>
        </w:rPr>
        <w:t>剖腹探查术</w:t>
      </w:r>
      <w:r>
        <w:rPr>
          <w:rFonts w:ascii="宋体" w:hAnsi="宋体" w:cs="宋体"/>
          <w:color w:val="auto"/>
        </w:rPr>
        <w:t xml:space="preserve">     C.</w:t>
      </w:r>
      <w:r>
        <w:rPr>
          <w:rFonts w:ascii="宋体" w:hAnsi="宋体" w:cs="宋体" w:hint="eastAsia"/>
          <w:color w:val="auto"/>
        </w:rPr>
        <w:t>特异性肿瘤标记物的免疫过氧化物酶定位</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骨盆</w:t>
      </w:r>
      <w:r>
        <w:rPr>
          <w:rFonts w:ascii="宋体" w:hAnsi="宋体" w:cs="宋体"/>
          <w:color w:val="auto"/>
        </w:rPr>
        <w:t>CT</w:t>
      </w:r>
      <w:r>
        <w:rPr>
          <w:rFonts w:ascii="宋体" w:hAnsi="宋体" w:cs="宋体" w:hint="eastAsia"/>
          <w:color w:val="auto"/>
        </w:rPr>
        <w:t>检查</w:t>
      </w:r>
      <w:r>
        <w:rPr>
          <w:rFonts w:ascii="宋体" w:hAnsi="宋体" w:cs="宋体"/>
          <w:color w:val="auto"/>
        </w:rPr>
        <w:t xml:space="preserve">    E.</w:t>
      </w:r>
      <w:r>
        <w:rPr>
          <w:rFonts w:ascii="宋体" w:hAnsi="宋体" w:cs="宋体" w:hint="eastAsia"/>
          <w:color w:val="auto"/>
        </w:rPr>
        <w:t>淋巴结电镜检查</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31.</w:t>
      </w:r>
      <w:r>
        <w:rPr>
          <w:rFonts w:ascii="宋体" w:hAnsi="宋体" w:cs="宋体" w:hint="eastAsia"/>
          <w:color w:val="auto"/>
        </w:rPr>
        <w:t>良性高血压病人最常见的死亡原因是：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心力衰竭</w:t>
      </w:r>
      <w:r>
        <w:rPr>
          <w:rFonts w:ascii="宋体" w:hAnsi="宋体" w:cs="宋体"/>
          <w:color w:val="auto"/>
        </w:rPr>
        <w:t xml:space="preserve">      B </w:t>
      </w:r>
      <w:r>
        <w:rPr>
          <w:rFonts w:ascii="宋体" w:hAnsi="宋体" w:cs="宋体" w:hint="eastAsia"/>
          <w:color w:val="auto"/>
        </w:rPr>
        <w:t>脑出血</w:t>
      </w:r>
      <w:r>
        <w:rPr>
          <w:rFonts w:ascii="宋体" w:hAnsi="宋体" w:cs="宋体"/>
          <w:color w:val="auto"/>
        </w:rPr>
        <w:t xml:space="preserve">     C </w:t>
      </w:r>
      <w:r>
        <w:rPr>
          <w:rFonts w:ascii="宋体" w:hAnsi="宋体" w:cs="宋体" w:hint="eastAsia"/>
          <w:color w:val="auto"/>
        </w:rPr>
        <w:t>高血压脑病</w:t>
      </w:r>
      <w:r>
        <w:rPr>
          <w:rFonts w:ascii="宋体" w:hAnsi="宋体" w:cs="宋体"/>
          <w:color w:val="auto"/>
        </w:rPr>
        <w:t xml:space="preserve">    D </w:t>
      </w:r>
      <w:r>
        <w:rPr>
          <w:rFonts w:ascii="宋体" w:hAnsi="宋体" w:cs="宋体" w:hint="eastAsia"/>
          <w:color w:val="auto"/>
        </w:rPr>
        <w:t>脑血栓形成</w:t>
      </w:r>
      <w:r>
        <w:rPr>
          <w:rFonts w:ascii="宋体" w:hAnsi="宋体" w:cs="宋体"/>
          <w:color w:val="auto"/>
        </w:rPr>
        <w:t xml:space="preserve">   E </w:t>
      </w:r>
      <w:r>
        <w:rPr>
          <w:rFonts w:ascii="宋体" w:hAnsi="宋体" w:cs="宋体" w:hint="eastAsia"/>
          <w:color w:val="auto"/>
        </w:rPr>
        <w:t>肾功能衰竭</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32.</w:t>
      </w:r>
      <w:r>
        <w:rPr>
          <w:rFonts w:ascii="宋体" w:hAnsi="宋体" w:cs="宋体" w:hint="eastAsia"/>
          <w:color w:val="auto"/>
        </w:rPr>
        <w:t>关于风湿病，下列叙述何者是错误的：</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lastRenderedPageBreak/>
        <w:t xml:space="preserve">   A </w:t>
      </w:r>
      <w:r>
        <w:rPr>
          <w:rFonts w:ascii="宋体" w:hAnsi="宋体" w:cs="宋体" w:hint="eastAsia"/>
          <w:color w:val="auto"/>
        </w:rPr>
        <w:t>它的诊断性病变是风湿小体</w:t>
      </w:r>
      <w:r>
        <w:rPr>
          <w:rFonts w:ascii="宋体" w:hAnsi="宋体" w:cs="宋体"/>
          <w:color w:val="auto"/>
        </w:rPr>
        <w:t xml:space="preserve">      B </w:t>
      </w:r>
      <w:r>
        <w:rPr>
          <w:rFonts w:ascii="宋体" w:hAnsi="宋体" w:cs="宋体" w:hint="eastAsia"/>
          <w:color w:val="auto"/>
        </w:rPr>
        <w:t>在某些部位可以是渗出性病变</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 </w:t>
      </w:r>
      <w:r>
        <w:rPr>
          <w:rFonts w:ascii="宋体" w:hAnsi="宋体" w:cs="宋体" w:hint="eastAsia"/>
          <w:color w:val="auto"/>
        </w:rPr>
        <w:t>病变反复发作可引起心瓣膜病</w:t>
      </w:r>
      <w:r>
        <w:rPr>
          <w:rFonts w:ascii="宋体" w:hAnsi="宋体" w:cs="宋体"/>
          <w:color w:val="auto"/>
        </w:rPr>
        <w:t xml:space="preserve">    D </w:t>
      </w:r>
      <w:r>
        <w:rPr>
          <w:rFonts w:ascii="宋体" w:hAnsi="宋体" w:cs="宋体" w:hint="eastAsia"/>
          <w:color w:val="auto"/>
        </w:rPr>
        <w:t>常引起关节炎并造成关节僵直、畸形</w:t>
      </w:r>
      <w:r>
        <w:rPr>
          <w:rFonts w:ascii="宋体" w:hAnsi="宋体" w:cs="宋体"/>
          <w:color w:val="auto"/>
        </w:rPr>
        <w:t xml:space="preserve">E </w:t>
      </w:r>
      <w:r>
        <w:rPr>
          <w:rFonts w:ascii="宋体" w:hAnsi="宋体" w:cs="宋体" w:hint="eastAsia"/>
          <w:color w:val="auto"/>
        </w:rPr>
        <w:t>它属于结缔组织病</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33.</w:t>
      </w:r>
      <w:r>
        <w:rPr>
          <w:rFonts w:ascii="宋体" w:hAnsi="宋体" w:cs="宋体" w:hint="eastAsia"/>
          <w:color w:val="auto"/>
        </w:rPr>
        <w:t>二尖瓣狭窄时心脏形态的改变首先是：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A </w:t>
      </w:r>
      <w:r>
        <w:rPr>
          <w:rFonts w:ascii="宋体" w:hAnsi="宋体" w:cs="宋体" w:hint="eastAsia"/>
          <w:color w:val="auto"/>
        </w:rPr>
        <w:t>左心室肥大扩张</w:t>
      </w:r>
      <w:r>
        <w:rPr>
          <w:rFonts w:ascii="宋体" w:hAnsi="宋体" w:cs="宋体"/>
          <w:color w:val="auto"/>
        </w:rPr>
        <w:t xml:space="preserve">     B </w:t>
      </w:r>
      <w:r>
        <w:rPr>
          <w:rFonts w:ascii="宋体" w:hAnsi="宋体" w:cs="宋体" w:hint="eastAsia"/>
          <w:color w:val="auto"/>
        </w:rPr>
        <w:t>左心房肥大扩张</w:t>
      </w:r>
      <w:r>
        <w:rPr>
          <w:rFonts w:ascii="宋体" w:hAnsi="宋体" w:cs="宋体"/>
          <w:color w:val="auto"/>
        </w:rPr>
        <w:t xml:space="preserve">     C </w:t>
      </w:r>
      <w:r>
        <w:rPr>
          <w:rFonts w:ascii="宋体" w:hAnsi="宋体" w:cs="宋体" w:hint="eastAsia"/>
          <w:color w:val="auto"/>
        </w:rPr>
        <w:t>右心室肥大扩张</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全心肥大扩张</w:t>
      </w:r>
      <w:r>
        <w:rPr>
          <w:rFonts w:ascii="宋体" w:hAnsi="宋体" w:cs="宋体"/>
          <w:color w:val="auto"/>
        </w:rPr>
        <w:t xml:space="preserve">       E </w:t>
      </w:r>
      <w:r>
        <w:rPr>
          <w:rFonts w:ascii="宋体" w:hAnsi="宋体" w:cs="宋体" w:hint="eastAsia"/>
          <w:color w:val="auto"/>
        </w:rPr>
        <w:t>以上均不是</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34.</w:t>
      </w:r>
      <w:r>
        <w:rPr>
          <w:rFonts w:ascii="宋体" w:hAnsi="宋体" w:cs="宋体" w:hint="eastAsia"/>
          <w:color w:val="auto"/>
        </w:rPr>
        <w:t>冠状动脉粥样硬化的好发部位最常见的次序是：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左前降支、右主干、左主干及左旋支</w:t>
      </w:r>
      <w:r>
        <w:rPr>
          <w:rFonts w:ascii="宋体" w:hAnsi="宋体" w:cs="宋体"/>
          <w:color w:val="auto"/>
        </w:rPr>
        <w:t xml:space="preserve">       B </w:t>
      </w:r>
      <w:r>
        <w:rPr>
          <w:rFonts w:ascii="宋体" w:hAnsi="宋体" w:cs="宋体" w:hint="eastAsia"/>
          <w:color w:val="auto"/>
        </w:rPr>
        <w:t>右冠状动脉、左前降支、左旋支及左主干</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 </w:t>
      </w:r>
      <w:r>
        <w:rPr>
          <w:rFonts w:ascii="宋体" w:hAnsi="宋体" w:cs="宋体" w:hint="eastAsia"/>
          <w:color w:val="auto"/>
        </w:rPr>
        <w:t>左主干、左前降支、左旋支及右冠状动脉</w:t>
      </w:r>
      <w:r>
        <w:rPr>
          <w:rFonts w:ascii="宋体" w:hAnsi="宋体" w:cs="宋体"/>
          <w:color w:val="auto"/>
        </w:rPr>
        <w:t xml:space="preserve">   D </w:t>
      </w:r>
      <w:r>
        <w:rPr>
          <w:rFonts w:ascii="宋体" w:hAnsi="宋体" w:cs="宋体" w:hint="eastAsia"/>
          <w:color w:val="auto"/>
        </w:rPr>
        <w:t>左旋支、右冠状动脉、左主干及左前降支</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E </w:t>
      </w:r>
      <w:r>
        <w:rPr>
          <w:rFonts w:ascii="宋体" w:hAnsi="宋体" w:cs="宋体" w:hint="eastAsia"/>
          <w:color w:val="auto"/>
        </w:rPr>
        <w:t>左前降支、左主干、左旋支、右冠状动脉</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35.</w:t>
      </w:r>
      <w:r>
        <w:rPr>
          <w:rFonts w:ascii="宋体" w:hAnsi="宋体" w:cs="宋体" w:hint="eastAsia"/>
          <w:color w:val="auto"/>
        </w:rPr>
        <w:t>慢性支气管炎患者咳痰的病变基础是：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支气管壁充血、水肿和慢性炎症细胞浸润</w:t>
      </w:r>
      <w:r>
        <w:rPr>
          <w:rFonts w:ascii="宋体" w:hAnsi="宋体" w:cs="宋体"/>
          <w:color w:val="auto"/>
        </w:rPr>
        <w:t xml:space="preserve">   B </w:t>
      </w:r>
      <w:r>
        <w:rPr>
          <w:rFonts w:ascii="宋体" w:hAnsi="宋体" w:cs="宋体" w:hint="eastAsia"/>
          <w:color w:val="auto"/>
        </w:rPr>
        <w:t>支气管粘膜上皮细胞变性、坏死</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 </w:t>
      </w:r>
      <w:r>
        <w:rPr>
          <w:rFonts w:ascii="宋体" w:hAnsi="宋体" w:cs="宋体" w:hint="eastAsia"/>
          <w:color w:val="auto"/>
        </w:rPr>
        <w:t>腺体肥大、增生，浆液腺粘液化</w:t>
      </w:r>
      <w:r>
        <w:rPr>
          <w:rFonts w:ascii="宋体" w:hAnsi="宋体" w:cs="宋体"/>
          <w:color w:val="auto"/>
        </w:rPr>
        <w:t xml:space="preserve">           D </w:t>
      </w:r>
      <w:r>
        <w:rPr>
          <w:rFonts w:ascii="宋体" w:hAnsi="宋体" w:cs="宋体" w:hint="eastAsia"/>
          <w:color w:val="auto"/>
        </w:rPr>
        <w:t>支气管平滑肌痉挛</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E </w:t>
      </w:r>
      <w:r>
        <w:rPr>
          <w:rFonts w:ascii="宋体" w:hAnsi="宋体" w:cs="宋体" w:hint="eastAsia"/>
          <w:color w:val="auto"/>
        </w:rPr>
        <w:t>软骨萎缩、钙化或骨化</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36.</w:t>
      </w:r>
      <w:r>
        <w:rPr>
          <w:rFonts w:ascii="宋体" w:hAnsi="宋体" w:cs="宋体" w:hint="eastAsia"/>
          <w:color w:val="auto"/>
        </w:rPr>
        <w:t>慢性支气管炎最常见的并发症是：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A </w:t>
      </w:r>
      <w:r>
        <w:rPr>
          <w:rFonts w:ascii="宋体" w:hAnsi="宋体" w:cs="宋体" w:hint="eastAsia"/>
          <w:color w:val="auto"/>
        </w:rPr>
        <w:t>肺炎</w:t>
      </w:r>
      <w:r>
        <w:rPr>
          <w:rFonts w:ascii="宋体" w:hAnsi="宋体" w:cs="宋体"/>
          <w:color w:val="auto"/>
        </w:rPr>
        <w:t xml:space="preserve">    B </w:t>
      </w:r>
      <w:r>
        <w:rPr>
          <w:rFonts w:ascii="宋体" w:hAnsi="宋体" w:cs="宋体" w:hint="eastAsia"/>
          <w:color w:val="auto"/>
        </w:rPr>
        <w:t>肺气肿和肺心病</w:t>
      </w:r>
      <w:r>
        <w:rPr>
          <w:rFonts w:ascii="宋体" w:hAnsi="宋体" w:cs="宋体"/>
          <w:color w:val="auto"/>
        </w:rPr>
        <w:t xml:space="preserve">    C </w:t>
      </w:r>
      <w:r>
        <w:rPr>
          <w:rFonts w:ascii="宋体" w:hAnsi="宋体" w:cs="宋体" w:hint="eastAsia"/>
          <w:color w:val="auto"/>
        </w:rPr>
        <w:t>支气管扩张</w:t>
      </w:r>
      <w:r>
        <w:rPr>
          <w:rFonts w:ascii="宋体" w:hAnsi="宋体" w:cs="宋体"/>
          <w:color w:val="auto"/>
        </w:rPr>
        <w:t xml:space="preserve">    D </w:t>
      </w:r>
      <w:r>
        <w:rPr>
          <w:rFonts w:ascii="宋体" w:hAnsi="宋体" w:cs="宋体" w:hint="eastAsia"/>
          <w:color w:val="auto"/>
        </w:rPr>
        <w:t>肺脓肿</w:t>
      </w:r>
      <w:r>
        <w:rPr>
          <w:rFonts w:ascii="宋体" w:hAnsi="宋体" w:cs="宋体"/>
          <w:color w:val="auto"/>
        </w:rPr>
        <w:t xml:space="preserve">    E </w:t>
      </w:r>
      <w:r>
        <w:rPr>
          <w:rFonts w:ascii="宋体" w:hAnsi="宋体" w:cs="宋体" w:hint="eastAsia"/>
          <w:color w:val="auto"/>
        </w:rPr>
        <w:t>肺结核</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37.</w:t>
      </w:r>
      <w:r>
        <w:rPr>
          <w:rFonts w:ascii="宋体" w:hAnsi="宋体" w:cs="宋体" w:hint="eastAsia"/>
          <w:color w:val="auto"/>
        </w:rPr>
        <w:t>下列哪一种病变能反应大叶性肺炎的本质：</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A </w:t>
      </w:r>
      <w:r>
        <w:rPr>
          <w:rFonts w:ascii="宋体" w:hAnsi="宋体" w:cs="宋体" w:hint="eastAsia"/>
          <w:color w:val="auto"/>
        </w:rPr>
        <w:t>炎症累及整个大叶</w:t>
      </w:r>
      <w:r>
        <w:rPr>
          <w:rFonts w:ascii="宋体" w:hAnsi="宋体" w:cs="宋体"/>
          <w:color w:val="auto"/>
        </w:rPr>
        <w:t xml:space="preserve">       B </w:t>
      </w:r>
      <w:r>
        <w:rPr>
          <w:rFonts w:ascii="宋体" w:hAnsi="宋体" w:cs="宋体" w:hint="eastAsia"/>
          <w:color w:val="auto"/>
        </w:rPr>
        <w:t>肺泡腔内大量纤维素渗出</w:t>
      </w:r>
      <w:r>
        <w:rPr>
          <w:rFonts w:ascii="宋体" w:hAnsi="宋体" w:cs="宋体"/>
          <w:color w:val="auto"/>
        </w:rPr>
        <w:t xml:space="preserve">    C </w:t>
      </w:r>
      <w:r>
        <w:rPr>
          <w:rFonts w:ascii="宋体" w:hAnsi="宋体" w:cs="宋体" w:hint="eastAsia"/>
          <w:color w:val="auto"/>
        </w:rPr>
        <w:t>肺内中性粒细胞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肺的肉质变</w:t>
      </w:r>
      <w:r>
        <w:rPr>
          <w:rFonts w:ascii="宋体" w:hAnsi="宋体" w:cs="宋体"/>
          <w:color w:val="auto"/>
        </w:rPr>
        <w:t xml:space="preserve">             E </w:t>
      </w:r>
      <w:r>
        <w:rPr>
          <w:rFonts w:ascii="宋体" w:hAnsi="宋体" w:cs="宋体" w:hint="eastAsia"/>
          <w:color w:val="auto"/>
        </w:rPr>
        <w:t>肺泡腔内大量红细胞</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38.</w:t>
      </w:r>
      <w:r>
        <w:rPr>
          <w:rFonts w:ascii="宋体" w:hAnsi="宋体" w:cs="宋体" w:hint="eastAsia"/>
          <w:color w:val="auto"/>
        </w:rPr>
        <w:t>中央型肺癌的特点应除外：</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位于肺门部</w:t>
      </w:r>
      <w:r>
        <w:rPr>
          <w:rFonts w:ascii="宋体" w:hAnsi="宋体" w:cs="宋体"/>
          <w:color w:val="auto"/>
        </w:rPr>
        <w:t xml:space="preserve">             B </w:t>
      </w:r>
      <w:r>
        <w:rPr>
          <w:rFonts w:ascii="宋体" w:hAnsi="宋体" w:cs="宋体" w:hint="eastAsia"/>
          <w:color w:val="auto"/>
        </w:rPr>
        <w:t>由段以上支气管发生</w:t>
      </w:r>
      <w:r>
        <w:rPr>
          <w:rFonts w:ascii="宋体" w:hAnsi="宋体" w:cs="宋体"/>
          <w:color w:val="auto"/>
        </w:rPr>
        <w:t xml:space="preserve">        C </w:t>
      </w:r>
      <w:r>
        <w:rPr>
          <w:rFonts w:ascii="宋体" w:hAnsi="宋体" w:cs="宋体" w:hint="eastAsia"/>
          <w:color w:val="auto"/>
        </w:rPr>
        <w:t>多为腺癌</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D</w:t>
      </w:r>
      <w:r>
        <w:rPr>
          <w:rFonts w:ascii="宋体" w:hAnsi="宋体" w:cs="宋体" w:hint="eastAsia"/>
          <w:color w:val="auto"/>
        </w:rPr>
        <w:t>巨大癌块环绕支气管</w:t>
      </w:r>
      <w:r>
        <w:rPr>
          <w:rFonts w:ascii="宋体" w:hAnsi="宋体" w:cs="宋体"/>
          <w:color w:val="auto"/>
        </w:rPr>
        <w:t xml:space="preserve">     E </w:t>
      </w:r>
      <w:r>
        <w:rPr>
          <w:rFonts w:ascii="宋体" w:hAnsi="宋体" w:cs="宋体" w:hint="eastAsia"/>
          <w:color w:val="auto"/>
        </w:rPr>
        <w:t>易被纤支镜检查发现</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39.</w:t>
      </w:r>
      <w:r>
        <w:rPr>
          <w:rFonts w:ascii="宋体" w:hAnsi="宋体" w:cs="宋体" w:hint="eastAsia"/>
          <w:color w:val="auto"/>
        </w:rPr>
        <w:t>慢性胃溃疡常见的并发症：</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lastRenderedPageBreak/>
        <w:t xml:space="preserve">   A.</w:t>
      </w:r>
      <w:r>
        <w:rPr>
          <w:rFonts w:ascii="宋体" w:hAnsi="宋体" w:cs="宋体" w:hint="eastAsia"/>
          <w:color w:val="auto"/>
        </w:rPr>
        <w:t>穿孔</w:t>
      </w:r>
      <w:r>
        <w:rPr>
          <w:rFonts w:ascii="宋体" w:hAnsi="宋体" w:cs="宋体"/>
          <w:color w:val="auto"/>
        </w:rPr>
        <w:t xml:space="preserve">      B.</w:t>
      </w:r>
      <w:r>
        <w:rPr>
          <w:rFonts w:ascii="宋体" w:hAnsi="宋体" w:cs="宋体" w:hint="eastAsia"/>
          <w:color w:val="auto"/>
        </w:rPr>
        <w:t>出血</w:t>
      </w:r>
      <w:r>
        <w:rPr>
          <w:rFonts w:ascii="宋体" w:hAnsi="宋体" w:cs="宋体"/>
          <w:color w:val="auto"/>
        </w:rPr>
        <w:t xml:space="preserve">      C.</w:t>
      </w:r>
      <w:r>
        <w:rPr>
          <w:rFonts w:ascii="宋体" w:hAnsi="宋体" w:cs="宋体" w:hint="eastAsia"/>
          <w:color w:val="auto"/>
        </w:rPr>
        <w:t>幽门狭窄</w:t>
      </w:r>
      <w:r>
        <w:rPr>
          <w:rFonts w:ascii="宋体" w:hAnsi="宋体" w:cs="宋体"/>
          <w:color w:val="auto"/>
        </w:rPr>
        <w:t xml:space="preserve">       D.</w:t>
      </w:r>
      <w:r>
        <w:rPr>
          <w:rFonts w:ascii="宋体" w:hAnsi="宋体" w:cs="宋体" w:hint="eastAsia"/>
          <w:color w:val="auto"/>
        </w:rPr>
        <w:t>癌变</w:t>
      </w:r>
      <w:r>
        <w:rPr>
          <w:rFonts w:ascii="宋体" w:hAnsi="宋体" w:cs="宋体"/>
          <w:color w:val="auto"/>
        </w:rPr>
        <w:t xml:space="preserve">      E.</w:t>
      </w:r>
      <w:r>
        <w:rPr>
          <w:rFonts w:ascii="宋体" w:hAnsi="宋体" w:cs="宋体" w:hint="eastAsia"/>
          <w:color w:val="auto"/>
        </w:rPr>
        <w:t>肠上皮化生</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40.</w:t>
      </w:r>
      <w:r>
        <w:rPr>
          <w:rFonts w:ascii="宋体" w:hAnsi="宋体" w:cs="宋体" w:hint="eastAsia"/>
          <w:color w:val="auto"/>
        </w:rPr>
        <w:t>肝体积明显缩小，外观黄绿色，表面呈结节状；光镜下见肝细胞大片坏死，同时可见肝细胞再生结节，明显於胆，大量炎细胞浸润，结节间纤维组织及小胆管明显增生，根据上述病变应诊断为：</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急性黄疸性普通型肝炎</w:t>
      </w:r>
      <w:r>
        <w:rPr>
          <w:rFonts w:ascii="宋体" w:hAnsi="宋体" w:cs="宋体"/>
          <w:color w:val="auto"/>
        </w:rPr>
        <w:t xml:space="preserve">    B.</w:t>
      </w:r>
      <w:r>
        <w:rPr>
          <w:rFonts w:ascii="宋体" w:hAnsi="宋体" w:cs="宋体" w:hint="eastAsia"/>
          <w:color w:val="auto"/>
        </w:rPr>
        <w:t>慢性重度肝炎</w:t>
      </w:r>
      <w:r>
        <w:rPr>
          <w:rFonts w:ascii="宋体" w:hAnsi="宋体" w:cs="宋体"/>
          <w:color w:val="auto"/>
        </w:rPr>
        <w:t xml:space="preserve">       C.</w:t>
      </w:r>
      <w:r>
        <w:rPr>
          <w:rFonts w:ascii="宋体" w:hAnsi="宋体" w:cs="宋体" w:hint="eastAsia"/>
          <w:color w:val="auto"/>
        </w:rPr>
        <w:t>急性重症肝炎</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D.</w:t>
      </w:r>
      <w:r>
        <w:rPr>
          <w:rFonts w:ascii="宋体" w:hAnsi="宋体" w:cs="宋体" w:hint="eastAsia"/>
          <w:color w:val="auto"/>
        </w:rPr>
        <w:t>亚急性重症肝炎</w:t>
      </w:r>
      <w:r>
        <w:rPr>
          <w:rFonts w:ascii="宋体" w:hAnsi="宋体" w:cs="宋体"/>
          <w:color w:val="auto"/>
        </w:rPr>
        <w:t xml:space="preserve">          E.</w:t>
      </w:r>
      <w:r>
        <w:rPr>
          <w:rFonts w:ascii="宋体" w:hAnsi="宋体" w:cs="宋体" w:hint="eastAsia"/>
          <w:color w:val="auto"/>
        </w:rPr>
        <w:t>门脉性肝硬化</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41.</w:t>
      </w:r>
      <w:r>
        <w:rPr>
          <w:rFonts w:ascii="宋体" w:hAnsi="宋体" w:cs="宋体" w:hint="eastAsia"/>
          <w:color w:val="auto"/>
        </w:rPr>
        <w:t>一肝炎患者做肝穿刺活检，镜下见肝细胞点状坏死，汇管区见少量淋巴细胞浸润及轻度纤维组织增生，肝小叶结构完整。上述病变符合：</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急性普通型肝炎</w:t>
      </w:r>
      <w:r>
        <w:rPr>
          <w:rFonts w:ascii="宋体" w:hAnsi="宋体" w:cs="宋体"/>
          <w:color w:val="auto"/>
        </w:rPr>
        <w:t xml:space="preserve">  B.</w:t>
      </w:r>
      <w:r>
        <w:rPr>
          <w:rFonts w:ascii="宋体" w:hAnsi="宋体" w:cs="宋体" w:hint="eastAsia"/>
          <w:color w:val="auto"/>
        </w:rPr>
        <w:t>慢性轻度肝炎</w:t>
      </w:r>
      <w:r>
        <w:rPr>
          <w:rFonts w:ascii="宋体" w:hAnsi="宋体" w:cs="宋体"/>
          <w:color w:val="auto"/>
        </w:rPr>
        <w:t xml:space="preserve">  C.</w:t>
      </w:r>
      <w:r>
        <w:rPr>
          <w:rFonts w:ascii="宋体" w:hAnsi="宋体" w:cs="宋体" w:hint="eastAsia"/>
          <w:color w:val="auto"/>
        </w:rPr>
        <w:t>慢性中度肝炎</w:t>
      </w:r>
      <w:r>
        <w:rPr>
          <w:rFonts w:ascii="宋体" w:hAnsi="宋体" w:cs="宋体"/>
          <w:color w:val="auto"/>
        </w:rPr>
        <w:t xml:space="preserve">  D.</w:t>
      </w:r>
      <w:r>
        <w:rPr>
          <w:rFonts w:ascii="宋体" w:hAnsi="宋体" w:cs="宋体" w:hint="eastAsia"/>
          <w:color w:val="auto"/>
        </w:rPr>
        <w:t>慢性重度肝炎</w:t>
      </w:r>
      <w:r>
        <w:rPr>
          <w:rFonts w:ascii="宋体" w:hAnsi="宋体" w:cs="宋体"/>
          <w:color w:val="auto"/>
        </w:rPr>
        <w:t xml:space="preserve">  E.</w:t>
      </w:r>
      <w:r>
        <w:rPr>
          <w:rFonts w:ascii="宋体" w:hAnsi="宋体" w:cs="宋体" w:hint="eastAsia"/>
          <w:color w:val="auto"/>
        </w:rPr>
        <w:t>早期肝硬化</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42.</w:t>
      </w:r>
      <w:r>
        <w:rPr>
          <w:rFonts w:ascii="宋体" w:hAnsi="宋体" w:cs="宋体" w:hint="eastAsia"/>
          <w:color w:val="auto"/>
        </w:rPr>
        <w:t>局限于黏膜及黏膜下层的胃癌是：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A.</w:t>
      </w:r>
      <w:r>
        <w:rPr>
          <w:rFonts w:ascii="宋体" w:hAnsi="宋体" w:cs="宋体" w:hint="eastAsia"/>
          <w:color w:val="auto"/>
        </w:rPr>
        <w:t>原位癌</w:t>
      </w:r>
      <w:r>
        <w:rPr>
          <w:rFonts w:ascii="宋体" w:hAnsi="宋体" w:cs="宋体"/>
          <w:color w:val="auto"/>
        </w:rPr>
        <w:t xml:space="preserve">          B.</w:t>
      </w:r>
      <w:r>
        <w:rPr>
          <w:rFonts w:ascii="宋体" w:hAnsi="宋体" w:cs="宋体" w:hint="eastAsia"/>
          <w:color w:val="auto"/>
        </w:rPr>
        <w:t>浸润型癌</w:t>
      </w:r>
      <w:r>
        <w:rPr>
          <w:rFonts w:ascii="宋体" w:hAnsi="宋体" w:cs="宋体"/>
          <w:color w:val="auto"/>
        </w:rPr>
        <w:t xml:space="preserve">      C.</w:t>
      </w:r>
      <w:r>
        <w:rPr>
          <w:rFonts w:ascii="宋体" w:hAnsi="宋体" w:cs="宋体" w:hint="eastAsia"/>
          <w:color w:val="auto"/>
        </w:rPr>
        <w:t>早期癌</w:t>
      </w:r>
      <w:r>
        <w:rPr>
          <w:rFonts w:ascii="宋体" w:hAnsi="宋体" w:cs="宋体"/>
          <w:color w:val="auto"/>
        </w:rPr>
        <w:t xml:space="preserve">        D.</w:t>
      </w:r>
      <w:r>
        <w:rPr>
          <w:rFonts w:ascii="宋体" w:hAnsi="宋体" w:cs="宋体" w:hint="eastAsia"/>
          <w:color w:val="auto"/>
        </w:rPr>
        <w:t>进展期癌</w:t>
      </w:r>
      <w:r>
        <w:rPr>
          <w:rFonts w:ascii="宋体" w:hAnsi="宋体" w:cs="宋体"/>
          <w:color w:val="auto"/>
        </w:rPr>
        <w:t xml:space="preserve">      E.</w:t>
      </w:r>
      <w:r>
        <w:rPr>
          <w:rFonts w:ascii="宋体" w:hAnsi="宋体" w:cs="宋体" w:hint="eastAsia"/>
          <w:color w:val="auto"/>
        </w:rPr>
        <w:t>晚期癌</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43.</w:t>
      </w:r>
      <w:r>
        <w:rPr>
          <w:rFonts w:ascii="宋体" w:hAnsi="宋体" w:cs="宋体" w:hint="eastAsia"/>
          <w:color w:val="auto"/>
        </w:rPr>
        <w:t>下列哪项不是肾病综合征的临床表现：</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高脂血症</w:t>
      </w:r>
      <w:r>
        <w:rPr>
          <w:rFonts w:ascii="宋体" w:hAnsi="宋体" w:cs="宋体"/>
          <w:color w:val="auto"/>
        </w:rPr>
        <w:t xml:space="preserve">        B </w:t>
      </w:r>
      <w:r>
        <w:rPr>
          <w:rFonts w:ascii="宋体" w:hAnsi="宋体" w:cs="宋体" w:hint="eastAsia"/>
          <w:color w:val="auto"/>
        </w:rPr>
        <w:t>蛋白尿</w:t>
      </w:r>
      <w:r>
        <w:rPr>
          <w:rFonts w:ascii="宋体" w:hAnsi="宋体" w:cs="宋体"/>
          <w:color w:val="auto"/>
        </w:rPr>
        <w:t xml:space="preserve">        C </w:t>
      </w:r>
      <w:r>
        <w:rPr>
          <w:rFonts w:ascii="宋体" w:hAnsi="宋体" w:cs="宋体" w:hint="eastAsia"/>
          <w:color w:val="auto"/>
        </w:rPr>
        <w:t>血尿</w:t>
      </w:r>
      <w:r>
        <w:rPr>
          <w:rFonts w:ascii="宋体" w:hAnsi="宋体" w:cs="宋体"/>
          <w:color w:val="auto"/>
        </w:rPr>
        <w:t xml:space="preserve">          D </w:t>
      </w:r>
      <w:r>
        <w:rPr>
          <w:rFonts w:ascii="宋体" w:hAnsi="宋体" w:cs="宋体" w:hint="eastAsia"/>
          <w:color w:val="auto"/>
        </w:rPr>
        <w:t>水肿</w:t>
      </w:r>
      <w:r>
        <w:rPr>
          <w:rFonts w:ascii="宋体" w:hAnsi="宋体" w:cs="宋体"/>
          <w:color w:val="auto"/>
        </w:rPr>
        <w:t xml:space="preserve">          E </w:t>
      </w:r>
      <w:r>
        <w:rPr>
          <w:rFonts w:ascii="宋体" w:hAnsi="宋体" w:cs="宋体" w:hint="eastAsia"/>
          <w:color w:val="auto"/>
        </w:rPr>
        <w:t>低蛋白血症</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44.</w:t>
      </w:r>
      <w:r>
        <w:rPr>
          <w:rFonts w:ascii="宋体" w:hAnsi="宋体" w:cs="宋体" w:hint="eastAsia"/>
          <w:color w:val="auto"/>
        </w:rPr>
        <w:t>弥漫型毛细血管内增生性肾小球肾炎的肉眼病变是：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大白肾</w:t>
      </w:r>
      <w:r>
        <w:rPr>
          <w:rFonts w:ascii="宋体" w:hAnsi="宋体" w:cs="宋体"/>
          <w:color w:val="auto"/>
        </w:rPr>
        <w:t xml:space="preserve">          B </w:t>
      </w:r>
      <w:r>
        <w:rPr>
          <w:rFonts w:ascii="宋体" w:hAnsi="宋体" w:cs="宋体" w:hint="eastAsia"/>
          <w:color w:val="auto"/>
        </w:rPr>
        <w:t>大红肾</w:t>
      </w:r>
      <w:r>
        <w:rPr>
          <w:rFonts w:ascii="宋体" w:hAnsi="宋体" w:cs="宋体"/>
          <w:color w:val="auto"/>
        </w:rPr>
        <w:t xml:space="preserve">        C </w:t>
      </w:r>
      <w:r>
        <w:rPr>
          <w:rFonts w:ascii="宋体" w:hAnsi="宋体" w:cs="宋体" w:hint="eastAsia"/>
          <w:color w:val="auto"/>
        </w:rPr>
        <w:t>多囊肾</w:t>
      </w:r>
      <w:r>
        <w:rPr>
          <w:rFonts w:ascii="宋体" w:hAnsi="宋体" w:cs="宋体"/>
          <w:color w:val="auto"/>
        </w:rPr>
        <w:t xml:space="preserve">        D </w:t>
      </w:r>
      <w:r>
        <w:rPr>
          <w:rFonts w:ascii="宋体" w:hAnsi="宋体" w:cs="宋体" w:hint="eastAsia"/>
          <w:color w:val="auto"/>
        </w:rPr>
        <w:t>固缩肾</w:t>
      </w:r>
      <w:r>
        <w:rPr>
          <w:rFonts w:ascii="宋体" w:hAnsi="宋体" w:cs="宋体"/>
          <w:color w:val="auto"/>
        </w:rPr>
        <w:t xml:space="preserve">        E</w:t>
      </w:r>
      <w:r>
        <w:rPr>
          <w:rFonts w:ascii="宋体" w:hAnsi="宋体" w:cs="宋体" w:hint="eastAsia"/>
          <w:color w:val="auto"/>
        </w:rPr>
        <w:t>分叶状肾</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45.</w:t>
      </w:r>
      <w:r>
        <w:rPr>
          <w:rFonts w:ascii="宋体" w:hAnsi="宋体" w:cs="宋体" w:hint="eastAsia"/>
          <w:color w:val="auto"/>
        </w:rPr>
        <w:t>弥漫型毛细血管内增生性肾小球肾炎的最主要病变是：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肾小球毛细血管扩张充血及血栓形成</w:t>
      </w:r>
      <w:r>
        <w:rPr>
          <w:rFonts w:ascii="宋体" w:hAnsi="宋体" w:cs="宋体"/>
          <w:color w:val="auto"/>
        </w:rPr>
        <w:t xml:space="preserve">         B </w:t>
      </w:r>
      <w:r>
        <w:rPr>
          <w:rFonts w:ascii="宋体" w:hAnsi="宋体" w:cs="宋体" w:hint="eastAsia"/>
          <w:color w:val="auto"/>
        </w:rPr>
        <w:t>毛细血管内血栓形成及基底膜增厚</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 </w:t>
      </w:r>
      <w:r>
        <w:rPr>
          <w:rFonts w:ascii="宋体" w:hAnsi="宋体" w:cs="宋体" w:hint="eastAsia"/>
          <w:color w:val="auto"/>
        </w:rPr>
        <w:t>中性粒细胞浸润及肾球囊上皮细胞增生</w:t>
      </w:r>
      <w:r>
        <w:rPr>
          <w:rFonts w:ascii="宋体" w:hAnsi="宋体" w:cs="宋体"/>
          <w:color w:val="auto"/>
        </w:rPr>
        <w:t xml:space="preserve">       D </w:t>
      </w:r>
      <w:r>
        <w:rPr>
          <w:rFonts w:ascii="宋体" w:hAnsi="宋体" w:cs="宋体" w:hint="eastAsia"/>
          <w:color w:val="auto"/>
        </w:rPr>
        <w:t>毛细血管壁纤维素样坏死</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E </w:t>
      </w:r>
      <w:r>
        <w:rPr>
          <w:rFonts w:ascii="宋体" w:hAnsi="宋体" w:cs="宋体" w:hint="eastAsia"/>
          <w:color w:val="auto"/>
        </w:rPr>
        <w:t>毛细血管内皮细胞及系膜细胞增生</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46.</w:t>
      </w:r>
      <w:r>
        <w:rPr>
          <w:rFonts w:ascii="宋体" w:hAnsi="宋体" w:cs="宋体" w:hint="eastAsia"/>
          <w:color w:val="auto"/>
        </w:rPr>
        <w:t>毛细血管基底膜可形成钉状突起，见于：</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弥漫性毛细血管内增生性肾小球肾炎</w:t>
      </w:r>
      <w:r>
        <w:rPr>
          <w:rFonts w:ascii="宋体" w:hAnsi="宋体" w:cs="宋体"/>
          <w:color w:val="auto"/>
        </w:rPr>
        <w:t xml:space="preserve">         B</w:t>
      </w:r>
      <w:r>
        <w:rPr>
          <w:rFonts w:ascii="宋体" w:hAnsi="宋体" w:cs="宋体" w:hint="eastAsia"/>
          <w:color w:val="auto"/>
        </w:rPr>
        <w:t>弥漫性膜性增生性肾小球肾炎</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w:t>
      </w:r>
      <w:r>
        <w:rPr>
          <w:rFonts w:ascii="宋体" w:hAnsi="宋体" w:cs="宋体" w:hint="eastAsia"/>
          <w:color w:val="auto"/>
        </w:rPr>
        <w:t>弥漫性膜性肾小球肾炎</w:t>
      </w:r>
      <w:r>
        <w:rPr>
          <w:rFonts w:ascii="宋体" w:hAnsi="宋体" w:cs="宋体"/>
          <w:color w:val="auto"/>
        </w:rPr>
        <w:t xml:space="preserve"> </w:t>
      </w:r>
      <w:r>
        <w:rPr>
          <w:rFonts w:ascii="宋体" w:hAnsi="宋体" w:cs="宋体" w:hint="eastAsia"/>
          <w:color w:val="auto"/>
        </w:rPr>
        <w:t>（膜性肾小球病）</w:t>
      </w:r>
      <w:r>
        <w:rPr>
          <w:rFonts w:ascii="宋体" w:hAnsi="宋体" w:cs="宋体"/>
          <w:color w:val="auto"/>
        </w:rPr>
        <w:t xml:space="preserve">    D</w:t>
      </w:r>
      <w:r>
        <w:rPr>
          <w:rFonts w:ascii="宋体" w:hAnsi="宋体" w:cs="宋体" w:hint="eastAsia"/>
          <w:color w:val="auto"/>
        </w:rPr>
        <w:t>轻微病变性肾小球肾炎</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E</w:t>
      </w:r>
      <w:r>
        <w:rPr>
          <w:rFonts w:ascii="宋体" w:hAnsi="宋体" w:cs="宋体" w:hint="eastAsia"/>
          <w:color w:val="auto"/>
        </w:rPr>
        <w:t>弥漫性新月体性肾小球肾炎</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47.</w:t>
      </w:r>
      <w:r>
        <w:rPr>
          <w:rFonts w:ascii="宋体" w:hAnsi="宋体" w:cs="宋体" w:hint="eastAsia"/>
          <w:color w:val="auto"/>
        </w:rPr>
        <w:t>早期浸润性宫颈癌是指：</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达基底膜</w:t>
      </w:r>
      <w:r>
        <w:rPr>
          <w:rFonts w:ascii="宋体" w:hAnsi="宋体" w:cs="宋体"/>
          <w:color w:val="auto"/>
        </w:rPr>
        <w:t xml:space="preserve">                  B </w:t>
      </w:r>
      <w:r>
        <w:rPr>
          <w:rFonts w:ascii="宋体" w:hAnsi="宋体" w:cs="宋体" w:hint="eastAsia"/>
          <w:color w:val="auto"/>
        </w:rPr>
        <w:t>已延伸至宫颈腺体</w:t>
      </w:r>
      <w:r>
        <w:rPr>
          <w:rFonts w:ascii="宋体" w:hAnsi="宋体" w:cs="宋体"/>
          <w:color w:val="auto"/>
        </w:rPr>
        <w:t xml:space="preserve">            C </w:t>
      </w:r>
      <w:r>
        <w:rPr>
          <w:rFonts w:ascii="宋体" w:hAnsi="宋体" w:cs="宋体" w:hint="eastAsia"/>
          <w:color w:val="auto"/>
        </w:rPr>
        <w:t>累及宫体内膜腺体</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穿透基底膜，深度</w:t>
      </w:r>
      <w:r>
        <w:rPr>
          <w:rFonts w:ascii="宋体" w:hAnsi="宋体" w:cs="宋体"/>
          <w:color w:val="auto"/>
        </w:rPr>
        <w:t>&lt;5mm      E</w:t>
      </w:r>
      <w:r>
        <w:rPr>
          <w:rFonts w:ascii="宋体" w:hAnsi="宋体" w:cs="宋体" w:hint="eastAsia"/>
          <w:color w:val="auto"/>
        </w:rPr>
        <w:t>累及腺体穿透基底膜至浅肌层</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48.</w:t>
      </w:r>
      <w:r>
        <w:rPr>
          <w:rFonts w:ascii="宋体" w:hAnsi="宋体" w:cs="宋体" w:hint="eastAsia"/>
          <w:color w:val="auto"/>
        </w:rPr>
        <w:t>侵蚀性葡萄胎与绒毛膜癌最主要的区别是：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阴道流血时间长短</w:t>
      </w:r>
      <w:r>
        <w:rPr>
          <w:rFonts w:ascii="宋体" w:hAnsi="宋体" w:cs="宋体"/>
          <w:color w:val="auto"/>
        </w:rPr>
        <w:t xml:space="preserve">          B </w:t>
      </w:r>
      <w:r>
        <w:rPr>
          <w:rFonts w:ascii="宋体" w:hAnsi="宋体" w:cs="宋体" w:hint="eastAsia"/>
          <w:color w:val="auto"/>
        </w:rPr>
        <w:t>距葡萄胎排空后时间长短</w:t>
      </w:r>
      <w:r>
        <w:rPr>
          <w:rFonts w:ascii="宋体" w:hAnsi="宋体" w:cs="宋体"/>
          <w:color w:val="auto"/>
        </w:rPr>
        <w:t xml:space="preserve">       C </w:t>
      </w:r>
      <w:r>
        <w:rPr>
          <w:rFonts w:ascii="宋体" w:hAnsi="宋体" w:cs="宋体" w:hint="eastAsia"/>
          <w:color w:val="auto"/>
        </w:rPr>
        <w:t>尿中</w:t>
      </w:r>
      <w:r>
        <w:rPr>
          <w:rFonts w:ascii="宋体" w:hAnsi="宋体" w:cs="宋体"/>
          <w:color w:val="auto"/>
        </w:rPr>
        <w:t>HCG</w:t>
      </w:r>
      <w:r>
        <w:rPr>
          <w:rFonts w:ascii="宋体" w:hAnsi="宋体" w:cs="宋体" w:hint="eastAsia"/>
          <w:color w:val="auto"/>
        </w:rPr>
        <w:t>值高低</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子宫大小程度不同</w:t>
      </w:r>
      <w:r>
        <w:rPr>
          <w:rFonts w:ascii="宋体" w:hAnsi="宋体" w:cs="宋体"/>
          <w:color w:val="auto"/>
        </w:rPr>
        <w:t xml:space="preserve">          E </w:t>
      </w:r>
      <w:r>
        <w:rPr>
          <w:rFonts w:ascii="宋体" w:hAnsi="宋体" w:cs="宋体" w:hint="eastAsia"/>
          <w:color w:val="auto"/>
        </w:rPr>
        <w:t>活组织镜下见有无绒毛结构</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49.</w:t>
      </w:r>
      <w:r>
        <w:rPr>
          <w:rFonts w:ascii="宋体" w:hAnsi="宋体" w:cs="宋体" w:hint="eastAsia"/>
          <w:color w:val="auto"/>
        </w:rPr>
        <w:t>乳腺癌最常见的发生部位是：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外上象限</w:t>
      </w:r>
      <w:r>
        <w:rPr>
          <w:rFonts w:ascii="宋体" w:hAnsi="宋体" w:cs="宋体"/>
          <w:color w:val="auto"/>
        </w:rPr>
        <w:t xml:space="preserve">       B </w:t>
      </w:r>
      <w:r>
        <w:rPr>
          <w:rFonts w:ascii="宋体" w:hAnsi="宋体" w:cs="宋体" w:hint="eastAsia"/>
          <w:color w:val="auto"/>
        </w:rPr>
        <w:t>外下象限</w:t>
      </w:r>
      <w:r>
        <w:rPr>
          <w:rFonts w:ascii="宋体" w:hAnsi="宋体" w:cs="宋体"/>
          <w:color w:val="auto"/>
        </w:rPr>
        <w:t xml:space="preserve">       C </w:t>
      </w:r>
      <w:r>
        <w:rPr>
          <w:rFonts w:ascii="宋体" w:hAnsi="宋体" w:cs="宋体" w:hint="eastAsia"/>
          <w:color w:val="auto"/>
        </w:rPr>
        <w:t>内上象限</w:t>
      </w:r>
      <w:r>
        <w:rPr>
          <w:rFonts w:ascii="宋体" w:hAnsi="宋体" w:cs="宋体"/>
          <w:color w:val="auto"/>
        </w:rPr>
        <w:t xml:space="preserve">       D </w:t>
      </w:r>
      <w:r>
        <w:rPr>
          <w:rFonts w:ascii="宋体" w:hAnsi="宋体" w:cs="宋体" w:hint="eastAsia"/>
          <w:color w:val="auto"/>
        </w:rPr>
        <w:t>内下象限</w:t>
      </w:r>
      <w:r>
        <w:rPr>
          <w:rFonts w:ascii="宋体" w:hAnsi="宋体" w:cs="宋体"/>
          <w:color w:val="auto"/>
        </w:rPr>
        <w:t xml:space="preserve">      E  </w:t>
      </w:r>
      <w:r>
        <w:rPr>
          <w:rFonts w:ascii="宋体" w:hAnsi="宋体" w:cs="宋体" w:hint="eastAsia"/>
          <w:color w:val="auto"/>
        </w:rPr>
        <w:t>乳头部</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50.</w:t>
      </w:r>
      <w:r>
        <w:rPr>
          <w:rFonts w:ascii="宋体" w:hAnsi="宋体" w:cs="宋体" w:hint="eastAsia"/>
          <w:color w:val="auto"/>
        </w:rPr>
        <w:t>关于子宫颈鳞癌发生发展过程下列哪一项是正确的：</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上皮增生</w:t>
      </w:r>
      <w:r>
        <w:rPr>
          <w:rFonts w:ascii="宋体" w:cs="宋体"/>
          <w:color w:val="auto"/>
        </w:rPr>
        <w:t>-</w:t>
      </w:r>
      <w:r>
        <w:rPr>
          <w:rFonts w:ascii="宋体" w:hAnsi="宋体" w:cs="宋体" w:hint="eastAsia"/>
          <w:color w:val="auto"/>
        </w:rPr>
        <w:t>原位癌</w:t>
      </w:r>
      <w:r>
        <w:rPr>
          <w:rFonts w:ascii="宋体" w:cs="宋体"/>
          <w:color w:val="auto"/>
        </w:rPr>
        <w:t>-</w:t>
      </w:r>
      <w:r>
        <w:rPr>
          <w:rFonts w:ascii="宋体" w:hAnsi="宋体" w:cs="宋体" w:hint="eastAsia"/>
          <w:color w:val="auto"/>
        </w:rPr>
        <w:t>浸润癌</w:t>
      </w:r>
      <w:r>
        <w:rPr>
          <w:rFonts w:ascii="宋体" w:hAnsi="宋体" w:cs="宋体"/>
          <w:color w:val="auto"/>
        </w:rPr>
        <w:t xml:space="preserve">               B </w:t>
      </w:r>
      <w:r>
        <w:rPr>
          <w:rFonts w:ascii="宋体" w:hAnsi="宋体" w:cs="宋体" w:hint="eastAsia"/>
          <w:color w:val="auto"/>
        </w:rPr>
        <w:t>早期浸润癌</w:t>
      </w:r>
      <w:r>
        <w:rPr>
          <w:rFonts w:ascii="宋体" w:cs="宋体"/>
          <w:color w:val="auto"/>
        </w:rPr>
        <w:t>-</w:t>
      </w:r>
      <w:r>
        <w:rPr>
          <w:rFonts w:ascii="宋体" w:hAnsi="宋体" w:cs="宋体" w:hint="eastAsia"/>
          <w:color w:val="auto"/>
        </w:rPr>
        <w:t>原位癌</w:t>
      </w:r>
      <w:r>
        <w:rPr>
          <w:rFonts w:ascii="宋体" w:cs="宋体"/>
          <w:color w:val="auto"/>
        </w:rPr>
        <w:t>-</w:t>
      </w:r>
      <w:r>
        <w:rPr>
          <w:rFonts w:ascii="宋体" w:hAnsi="宋体" w:cs="宋体" w:hint="eastAsia"/>
          <w:color w:val="auto"/>
        </w:rPr>
        <w:t>浸润癌</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C </w:t>
      </w:r>
      <w:r>
        <w:rPr>
          <w:rFonts w:ascii="宋体" w:hAnsi="宋体" w:cs="宋体" w:hint="eastAsia"/>
          <w:color w:val="auto"/>
        </w:rPr>
        <w:t>上皮不典型增生</w:t>
      </w:r>
      <w:r>
        <w:rPr>
          <w:rFonts w:ascii="宋体" w:cs="宋体"/>
          <w:color w:val="auto"/>
        </w:rPr>
        <w:t>-</w:t>
      </w:r>
      <w:r>
        <w:rPr>
          <w:rFonts w:ascii="宋体" w:hAnsi="宋体" w:cs="宋体" w:hint="eastAsia"/>
          <w:color w:val="auto"/>
        </w:rPr>
        <w:t>早起浸润癌</w:t>
      </w:r>
      <w:r>
        <w:rPr>
          <w:rFonts w:ascii="宋体" w:cs="宋体"/>
          <w:color w:val="auto"/>
        </w:rPr>
        <w:t>-</w:t>
      </w:r>
      <w:r>
        <w:rPr>
          <w:rFonts w:ascii="宋体" w:hAnsi="宋体" w:cs="宋体" w:hint="eastAsia"/>
          <w:color w:val="auto"/>
        </w:rPr>
        <w:t>浸润癌</w:t>
      </w:r>
      <w:r>
        <w:rPr>
          <w:rFonts w:ascii="宋体" w:hAnsi="宋体" w:cs="宋体"/>
          <w:color w:val="auto"/>
        </w:rPr>
        <w:t xml:space="preserve">     D </w:t>
      </w:r>
      <w:r>
        <w:rPr>
          <w:rFonts w:ascii="宋体" w:hAnsi="宋体" w:cs="宋体" w:hint="eastAsia"/>
          <w:color w:val="auto"/>
        </w:rPr>
        <w:t>原位癌</w:t>
      </w:r>
      <w:r>
        <w:rPr>
          <w:rFonts w:ascii="宋体" w:cs="宋体"/>
          <w:color w:val="auto"/>
        </w:rPr>
        <w:t>-</w:t>
      </w:r>
      <w:r>
        <w:rPr>
          <w:rFonts w:ascii="宋体" w:hAnsi="宋体" w:cs="宋体" w:hint="eastAsia"/>
          <w:color w:val="auto"/>
        </w:rPr>
        <w:t>早起浸润癌</w:t>
      </w:r>
      <w:r>
        <w:rPr>
          <w:rFonts w:ascii="宋体" w:cs="宋体"/>
          <w:color w:val="auto"/>
        </w:rPr>
        <w:t>-</w:t>
      </w:r>
      <w:r>
        <w:rPr>
          <w:rFonts w:ascii="宋体" w:hAnsi="宋体" w:cs="宋体" w:hint="eastAsia"/>
          <w:color w:val="auto"/>
        </w:rPr>
        <w:t>浸润癌</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E </w:t>
      </w:r>
      <w:r>
        <w:rPr>
          <w:rFonts w:ascii="宋体" w:hAnsi="宋体" w:cs="宋体" w:hint="eastAsia"/>
          <w:color w:val="auto"/>
        </w:rPr>
        <w:t>上皮不典型增生</w:t>
      </w:r>
      <w:r>
        <w:rPr>
          <w:rFonts w:ascii="宋体" w:cs="宋体"/>
          <w:color w:val="auto"/>
        </w:rPr>
        <w:t>-</w:t>
      </w:r>
      <w:r>
        <w:rPr>
          <w:rFonts w:ascii="宋体" w:hAnsi="宋体" w:cs="宋体" w:hint="eastAsia"/>
          <w:color w:val="auto"/>
        </w:rPr>
        <w:t>原位癌</w:t>
      </w:r>
      <w:r>
        <w:rPr>
          <w:rFonts w:ascii="宋体" w:cs="宋体"/>
          <w:color w:val="auto"/>
        </w:rPr>
        <w:t>-</w:t>
      </w:r>
      <w:r>
        <w:rPr>
          <w:rFonts w:ascii="宋体" w:hAnsi="宋体" w:cs="宋体" w:hint="eastAsia"/>
          <w:color w:val="auto"/>
        </w:rPr>
        <w:t>早期浸润癌</w:t>
      </w:r>
      <w:r>
        <w:rPr>
          <w:rFonts w:ascii="宋体" w:cs="宋体"/>
          <w:color w:val="auto"/>
        </w:rPr>
        <w:t>-</w:t>
      </w:r>
      <w:r>
        <w:rPr>
          <w:rFonts w:ascii="宋体" w:hAnsi="宋体" w:cs="宋体" w:hint="eastAsia"/>
          <w:color w:val="auto"/>
        </w:rPr>
        <w:t>浸润癌</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51. </w:t>
      </w:r>
      <w:r>
        <w:rPr>
          <w:rFonts w:ascii="宋体" w:hAnsi="宋体" w:cs="宋体" w:hint="eastAsia"/>
          <w:color w:val="auto"/>
        </w:rPr>
        <w:t>“驼背”是一种脊柱畸形，多数是由哪种病变引起：</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脊髓炎</w:t>
      </w:r>
      <w:r>
        <w:rPr>
          <w:rFonts w:ascii="宋体" w:hAnsi="宋体" w:cs="宋体"/>
          <w:color w:val="auto"/>
        </w:rPr>
        <w:t xml:space="preserve">        B.</w:t>
      </w:r>
      <w:r>
        <w:rPr>
          <w:rFonts w:ascii="宋体" w:hAnsi="宋体" w:cs="宋体" w:hint="eastAsia"/>
          <w:color w:val="auto"/>
        </w:rPr>
        <w:t>脊柱结核</w:t>
      </w:r>
      <w:r>
        <w:rPr>
          <w:rFonts w:ascii="宋体" w:hAnsi="宋体" w:cs="宋体"/>
          <w:color w:val="auto"/>
        </w:rPr>
        <w:t xml:space="preserve">       C.</w:t>
      </w:r>
      <w:r>
        <w:rPr>
          <w:rFonts w:ascii="宋体" w:hAnsi="宋体" w:cs="宋体" w:hint="eastAsia"/>
          <w:color w:val="auto"/>
        </w:rPr>
        <w:t>脊柱肿瘤</w:t>
      </w:r>
      <w:r>
        <w:rPr>
          <w:rFonts w:ascii="宋体" w:hAnsi="宋体" w:cs="宋体"/>
          <w:color w:val="auto"/>
        </w:rPr>
        <w:t xml:space="preserve">      D.</w:t>
      </w:r>
      <w:r>
        <w:rPr>
          <w:rFonts w:ascii="宋体" w:hAnsi="宋体" w:cs="宋体" w:hint="eastAsia"/>
          <w:color w:val="auto"/>
        </w:rPr>
        <w:t>梅毒破坏脊柱</w:t>
      </w:r>
      <w:r>
        <w:rPr>
          <w:rFonts w:ascii="宋体" w:hAnsi="宋体" w:cs="宋体"/>
          <w:color w:val="auto"/>
        </w:rPr>
        <w:t xml:space="preserve">    E.</w:t>
      </w:r>
      <w:r>
        <w:rPr>
          <w:rFonts w:ascii="宋体" w:hAnsi="宋体" w:cs="宋体" w:hint="eastAsia"/>
          <w:color w:val="auto"/>
        </w:rPr>
        <w:t>放线菌</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52.</w:t>
      </w:r>
      <w:r>
        <w:rPr>
          <w:rFonts w:ascii="宋体" w:hAnsi="宋体" w:cs="宋体" w:hint="eastAsia"/>
          <w:color w:val="auto"/>
        </w:rPr>
        <w:t>下列哪项与慢性纤维空洞型肺结核病不符</w:t>
      </w:r>
      <w:r>
        <w:rPr>
          <w:rFonts w:ascii="宋体" w:hAnsi="宋体" w:cs="宋体"/>
          <w:color w:val="auto"/>
        </w:rPr>
        <w:t xml:space="preserve"> </w:t>
      </w:r>
      <w:r>
        <w:rPr>
          <w:rFonts w:ascii="宋体" w:hAnsi="宋体" w:cs="宋体" w:hint="eastAsia"/>
          <w:color w:val="auto"/>
        </w:rPr>
        <w:t>：</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厚壁空洞</w:t>
      </w:r>
      <w:r>
        <w:rPr>
          <w:rFonts w:ascii="宋体" w:hAnsi="宋体" w:cs="宋体"/>
          <w:color w:val="auto"/>
        </w:rPr>
        <w:t xml:space="preserve">                   B </w:t>
      </w:r>
      <w:r>
        <w:rPr>
          <w:rFonts w:ascii="宋体" w:hAnsi="宋体" w:cs="宋体" w:hint="eastAsia"/>
          <w:color w:val="auto"/>
        </w:rPr>
        <w:t>单个病灶</w:t>
      </w:r>
      <w:r>
        <w:rPr>
          <w:rFonts w:ascii="宋体" w:hAnsi="宋体" w:cs="宋体"/>
          <w:color w:val="auto"/>
        </w:rPr>
        <w:t xml:space="preserve">            C</w:t>
      </w:r>
      <w:r>
        <w:rPr>
          <w:rFonts w:ascii="宋体" w:hAnsi="宋体" w:cs="宋体" w:hint="eastAsia"/>
          <w:color w:val="auto"/>
        </w:rPr>
        <w:t>肺内病灶新旧不一</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肺组织可严重破坏</w:t>
      </w:r>
      <w:r>
        <w:rPr>
          <w:rFonts w:ascii="宋体" w:hAnsi="宋体" w:cs="宋体"/>
          <w:color w:val="auto"/>
        </w:rPr>
        <w:t xml:space="preserve">           E </w:t>
      </w:r>
      <w:r>
        <w:rPr>
          <w:rFonts w:ascii="宋体" w:hAnsi="宋体" w:cs="宋体" w:hint="eastAsia"/>
          <w:color w:val="auto"/>
        </w:rPr>
        <w:t>可引起气胸或脓气胸</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53.</w:t>
      </w:r>
      <w:r>
        <w:rPr>
          <w:rFonts w:ascii="宋体" w:hAnsi="宋体" w:cs="宋体" w:hint="eastAsia"/>
          <w:color w:val="auto"/>
        </w:rPr>
        <w:t>从由传染性角度看，开放性肺结核病主要是指：</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A </w:t>
      </w:r>
      <w:r>
        <w:rPr>
          <w:rFonts w:ascii="宋体" w:hAnsi="宋体" w:cs="宋体" w:hint="eastAsia"/>
          <w:color w:val="auto"/>
        </w:rPr>
        <w:t>急性粟粒性肺结核</w:t>
      </w:r>
      <w:r>
        <w:rPr>
          <w:rFonts w:ascii="宋体" w:hAnsi="宋体" w:cs="宋体"/>
          <w:color w:val="auto"/>
        </w:rPr>
        <w:t xml:space="preserve">           B </w:t>
      </w:r>
      <w:r>
        <w:rPr>
          <w:rFonts w:ascii="宋体" w:hAnsi="宋体" w:cs="宋体" w:hint="eastAsia"/>
          <w:color w:val="auto"/>
        </w:rPr>
        <w:t>慢性粟粒性肺结核</w:t>
      </w:r>
      <w:r>
        <w:rPr>
          <w:rFonts w:ascii="宋体" w:hAnsi="宋体" w:cs="宋体"/>
          <w:color w:val="auto"/>
        </w:rPr>
        <w:t xml:space="preserve">    C </w:t>
      </w:r>
      <w:r>
        <w:rPr>
          <w:rFonts w:ascii="宋体" w:hAnsi="宋体" w:cs="宋体" w:hint="eastAsia"/>
          <w:color w:val="auto"/>
        </w:rPr>
        <w:t>慢性纤维空洞型肺结核</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局灶型肺结核晚期</w:t>
      </w:r>
      <w:r>
        <w:rPr>
          <w:rFonts w:ascii="宋体" w:hAnsi="宋体" w:cs="宋体"/>
          <w:color w:val="auto"/>
        </w:rPr>
        <w:t xml:space="preserve">           E </w:t>
      </w:r>
      <w:r>
        <w:rPr>
          <w:rFonts w:ascii="宋体" w:hAnsi="宋体" w:cs="宋体" w:hint="eastAsia"/>
          <w:color w:val="auto"/>
        </w:rPr>
        <w:t>浸润性肺结核早期</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54.</w:t>
      </w:r>
      <w:r>
        <w:rPr>
          <w:rFonts w:ascii="宋体" w:hAnsi="宋体" w:cs="宋体" w:hint="eastAsia"/>
          <w:color w:val="auto"/>
        </w:rPr>
        <w:t>伤寒最严重的并发症是：</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中毒性脑病</w:t>
      </w:r>
      <w:r>
        <w:rPr>
          <w:rFonts w:ascii="宋体" w:hAnsi="宋体" w:cs="宋体"/>
          <w:color w:val="auto"/>
        </w:rPr>
        <w:t xml:space="preserve">    B </w:t>
      </w:r>
      <w:r>
        <w:rPr>
          <w:rFonts w:ascii="宋体" w:hAnsi="宋体" w:cs="宋体" w:hint="eastAsia"/>
          <w:color w:val="auto"/>
        </w:rPr>
        <w:t>肠穿孔</w:t>
      </w:r>
      <w:r>
        <w:rPr>
          <w:rFonts w:ascii="宋体" w:hAnsi="宋体" w:cs="宋体"/>
          <w:color w:val="auto"/>
        </w:rPr>
        <w:t xml:space="preserve">      C </w:t>
      </w:r>
      <w:r>
        <w:rPr>
          <w:rFonts w:ascii="宋体" w:hAnsi="宋体" w:cs="宋体" w:hint="eastAsia"/>
          <w:color w:val="auto"/>
        </w:rPr>
        <w:t>急性胆囊炎</w:t>
      </w:r>
      <w:r>
        <w:rPr>
          <w:rFonts w:ascii="宋体" w:hAnsi="宋体" w:cs="宋体"/>
          <w:color w:val="auto"/>
        </w:rPr>
        <w:t xml:space="preserve">      D </w:t>
      </w:r>
      <w:r>
        <w:rPr>
          <w:rFonts w:ascii="宋体" w:hAnsi="宋体" w:cs="宋体" w:hint="eastAsia"/>
          <w:color w:val="auto"/>
        </w:rPr>
        <w:t>肠出血</w:t>
      </w:r>
      <w:r>
        <w:rPr>
          <w:rFonts w:ascii="宋体" w:hAnsi="宋体" w:cs="宋体"/>
          <w:color w:val="auto"/>
        </w:rPr>
        <w:t xml:space="preserve">      E </w:t>
      </w:r>
      <w:r>
        <w:rPr>
          <w:rFonts w:ascii="宋体" w:hAnsi="宋体" w:cs="宋体" w:hint="eastAsia"/>
          <w:color w:val="auto"/>
        </w:rPr>
        <w:t>肺炎</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55.</w:t>
      </w:r>
      <w:r>
        <w:rPr>
          <w:rFonts w:ascii="宋体" w:hAnsi="宋体" w:cs="宋体" w:hint="eastAsia"/>
          <w:color w:val="auto"/>
        </w:rPr>
        <w:t>患者发热、乏力、食欲不振、腹痛，以左下腹明显，腹泻早期稀便，大便次数增多后转为粘液脓血便，并有里急后重。应诊断为：</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A </w:t>
      </w:r>
      <w:r>
        <w:rPr>
          <w:rFonts w:ascii="宋体" w:hAnsi="宋体" w:cs="宋体" w:hint="eastAsia"/>
          <w:color w:val="auto"/>
        </w:rPr>
        <w:t>急性肠炎</w:t>
      </w:r>
      <w:r>
        <w:rPr>
          <w:rFonts w:ascii="宋体" w:hAnsi="宋体" w:cs="宋体"/>
          <w:color w:val="auto"/>
        </w:rPr>
        <w:t xml:space="preserve">     B </w:t>
      </w:r>
      <w:r>
        <w:rPr>
          <w:rFonts w:ascii="宋体" w:hAnsi="宋体" w:cs="宋体" w:hint="eastAsia"/>
          <w:color w:val="auto"/>
        </w:rPr>
        <w:t>急性细菌性痢疾</w:t>
      </w:r>
      <w:r>
        <w:rPr>
          <w:rFonts w:ascii="宋体" w:hAnsi="宋体" w:cs="宋体"/>
          <w:color w:val="auto"/>
        </w:rPr>
        <w:t xml:space="preserve">    C </w:t>
      </w:r>
      <w:r>
        <w:rPr>
          <w:rFonts w:ascii="宋体" w:hAnsi="宋体" w:cs="宋体" w:hint="eastAsia"/>
          <w:color w:val="auto"/>
        </w:rPr>
        <w:t>消化不良性腹泻</w:t>
      </w:r>
      <w:r>
        <w:rPr>
          <w:rFonts w:ascii="宋体" w:hAnsi="宋体" w:cs="宋体"/>
          <w:color w:val="auto"/>
        </w:rPr>
        <w:t xml:space="preserve">    D </w:t>
      </w:r>
      <w:r>
        <w:rPr>
          <w:rFonts w:ascii="宋体" w:hAnsi="宋体" w:cs="宋体" w:hint="eastAsia"/>
          <w:color w:val="auto"/>
        </w:rPr>
        <w:t>食物中毒</w:t>
      </w:r>
      <w:r>
        <w:rPr>
          <w:rFonts w:ascii="宋体" w:hAnsi="宋体" w:cs="宋体"/>
          <w:color w:val="auto"/>
        </w:rPr>
        <w:t xml:space="preserve">   E </w:t>
      </w:r>
      <w:r>
        <w:rPr>
          <w:rFonts w:ascii="宋体" w:hAnsi="宋体" w:cs="宋体" w:hint="eastAsia"/>
          <w:color w:val="auto"/>
        </w:rPr>
        <w:t>肠道霉菌病</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56.</w:t>
      </w:r>
      <w:r>
        <w:rPr>
          <w:rFonts w:ascii="宋体" w:hAnsi="宋体" w:cs="宋体" w:hint="eastAsia"/>
          <w:color w:val="auto"/>
        </w:rPr>
        <w:t>伤寒的溃疡往往位于：</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回肠末端</w:t>
      </w:r>
      <w:r>
        <w:rPr>
          <w:rFonts w:ascii="宋体" w:hAnsi="宋体" w:cs="宋体"/>
          <w:color w:val="auto"/>
        </w:rPr>
        <w:t xml:space="preserve">      B.</w:t>
      </w:r>
      <w:r>
        <w:rPr>
          <w:rFonts w:ascii="宋体" w:hAnsi="宋体" w:cs="宋体" w:hint="eastAsia"/>
          <w:color w:val="auto"/>
        </w:rPr>
        <w:t>降结肠</w:t>
      </w:r>
      <w:r>
        <w:rPr>
          <w:rFonts w:ascii="宋体" w:hAnsi="宋体" w:cs="宋体"/>
          <w:color w:val="auto"/>
        </w:rPr>
        <w:t xml:space="preserve">           C.</w:t>
      </w:r>
      <w:r>
        <w:rPr>
          <w:rFonts w:ascii="宋体" w:hAnsi="宋体" w:cs="宋体" w:hint="eastAsia"/>
          <w:color w:val="auto"/>
        </w:rPr>
        <w:t>升结肠</w:t>
      </w:r>
      <w:r>
        <w:rPr>
          <w:rFonts w:ascii="宋体" w:hAnsi="宋体" w:cs="宋体"/>
          <w:color w:val="auto"/>
        </w:rPr>
        <w:t xml:space="preserve">            D.</w:t>
      </w:r>
      <w:r>
        <w:rPr>
          <w:rFonts w:ascii="宋体" w:hAnsi="宋体" w:cs="宋体" w:hint="eastAsia"/>
          <w:color w:val="auto"/>
        </w:rPr>
        <w:t>空肠</w:t>
      </w:r>
      <w:r>
        <w:rPr>
          <w:rFonts w:ascii="宋体" w:hAnsi="宋体" w:cs="宋体"/>
          <w:color w:val="auto"/>
        </w:rPr>
        <w:t xml:space="preserve">       E.</w:t>
      </w:r>
      <w:r>
        <w:rPr>
          <w:rFonts w:ascii="宋体" w:hAnsi="宋体" w:cs="宋体" w:hint="eastAsia"/>
          <w:color w:val="auto"/>
        </w:rPr>
        <w:t>直肠</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57.</w:t>
      </w:r>
      <w:r>
        <w:rPr>
          <w:rFonts w:ascii="宋体" w:hAnsi="宋体" w:cs="宋体" w:hint="eastAsia"/>
          <w:color w:val="auto"/>
        </w:rPr>
        <w:t>急性菌痢时，导致水样腹泻的主要原因：</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w:t>
      </w:r>
      <w:r>
        <w:rPr>
          <w:rFonts w:ascii="宋体" w:hAnsi="宋体" w:cs="宋体" w:hint="eastAsia"/>
          <w:color w:val="auto"/>
        </w:rPr>
        <w:t>细菌侵入粘膜上皮</w:t>
      </w:r>
      <w:r>
        <w:rPr>
          <w:rFonts w:ascii="宋体" w:hAnsi="宋体" w:cs="宋体"/>
          <w:color w:val="auto"/>
        </w:rPr>
        <w:t xml:space="preserve">           B.</w:t>
      </w:r>
      <w:r>
        <w:rPr>
          <w:rFonts w:ascii="宋体" w:hAnsi="宋体" w:cs="宋体" w:hint="eastAsia"/>
          <w:color w:val="auto"/>
        </w:rPr>
        <w:t>细菌释放内毒素</w:t>
      </w:r>
      <w:r>
        <w:rPr>
          <w:rFonts w:ascii="宋体" w:hAnsi="宋体" w:cs="宋体"/>
          <w:color w:val="auto"/>
        </w:rPr>
        <w:t xml:space="preserve">         C. </w:t>
      </w:r>
      <w:r>
        <w:rPr>
          <w:rFonts w:ascii="宋体" w:hAnsi="宋体" w:cs="宋体" w:hint="eastAsia"/>
          <w:color w:val="auto"/>
        </w:rPr>
        <w:t>志贺氏菌释放外毒素</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D. </w:t>
      </w:r>
      <w:r>
        <w:rPr>
          <w:rFonts w:ascii="宋体" w:hAnsi="宋体" w:cs="宋体" w:hint="eastAsia"/>
          <w:color w:val="auto"/>
        </w:rPr>
        <w:t>肠道形成假膜</w:t>
      </w:r>
      <w:r>
        <w:rPr>
          <w:rFonts w:ascii="宋体" w:hAnsi="宋体" w:cs="宋体"/>
          <w:color w:val="auto"/>
        </w:rPr>
        <w:t xml:space="preserve">              E. </w:t>
      </w:r>
      <w:r>
        <w:rPr>
          <w:rFonts w:ascii="宋体" w:hAnsi="宋体" w:cs="宋体" w:hint="eastAsia"/>
          <w:color w:val="auto"/>
        </w:rPr>
        <w:t>肠粘膜出现溃疡</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58.</w:t>
      </w:r>
      <w:r>
        <w:rPr>
          <w:rFonts w:ascii="宋体" w:hAnsi="宋体" w:cs="宋体" w:hint="eastAsia"/>
          <w:color w:val="auto"/>
        </w:rPr>
        <w:t>血吸虫虫卵引起的病变主要发生在：</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大肠壁和肝脏</w:t>
      </w:r>
      <w:r>
        <w:rPr>
          <w:rFonts w:ascii="宋体" w:hAnsi="宋体" w:cs="宋体"/>
          <w:color w:val="auto"/>
        </w:rPr>
        <w:t xml:space="preserve">    B </w:t>
      </w:r>
      <w:r>
        <w:rPr>
          <w:rFonts w:ascii="宋体" w:hAnsi="宋体" w:cs="宋体" w:hint="eastAsia"/>
          <w:color w:val="auto"/>
        </w:rPr>
        <w:t>肠系膜静脉</w:t>
      </w:r>
      <w:r>
        <w:rPr>
          <w:rFonts w:ascii="宋体" w:hAnsi="宋体" w:cs="宋体"/>
          <w:color w:val="auto"/>
        </w:rPr>
        <w:t xml:space="preserve">     C </w:t>
      </w:r>
      <w:r>
        <w:rPr>
          <w:rFonts w:ascii="宋体" w:hAnsi="宋体" w:cs="宋体" w:hint="eastAsia"/>
          <w:color w:val="auto"/>
        </w:rPr>
        <w:t>门静脉</w:t>
      </w:r>
      <w:r>
        <w:rPr>
          <w:rFonts w:ascii="宋体" w:hAnsi="宋体" w:cs="宋体"/>
          <w:color w:val="auto"/>
        </w:rPr>
        <w:t xml:space="preserve">     D </w:t>
      </w:r>
      <w:r>
        <w:rPr>
          <w:rFonts w:ascii="宋体" w:hAnsi="宋体" w:cs="宋体" w:hint="eastAsia"/>
          <w:color w:val="auto"/>
        </w:rPr>
        <w:t>肺和肠</w:t>
      </w:r>
      <w:r>
        <w:rPr>
          <w:rFonts w:ascii="宋体" w:hAnsi="宋体" w:cs="宋体"/>
          <w:color w:val="auto"/>
        </w:rPr>
        <w:t xml:space="preserve">    E  </w:t>
      </w:r>
      <w:r>
        <w:rPr>
          <w:rFonts w:ascii="宋体" w:hAnsi="宋体" w:cs="宋体" w:hint="eastAsia"/>
          <w:color w:val="auto"/>
        </w:rPr>
        <w:t>肝和脾</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59. </w:t>
      </w:r>
      <w:r>
        <w:rPr>
          <w:rFonts w:ascii="宋体" w:hAnsi="宋体" w:cs="宋体" w:hint="eastAsia"/>
          <w:color w:val="auto"/>
        </w:rPr>
        <w:t>一日本血吸虫性肝硬化病人，无黄疸，也无蜘蛛痣，肝肋缘下</w:t>
      </w:r>
      <w:r>
        <w:rPr>
          <w:rFonts w:ascii="宋体" w:hAnsi="宋体" w:cs="宋体"/>
          <w:color w:val="auto"/>
        </w:rPr>
        <w:t>1cm</w:t>
      </w:r>
      <w:r>
        <w:rPr>
          <w:rFonts w:ascii="宋体" w:hAnsi="宋体" w:cs="宋体" w:hint="eastAsia"/>
          <w:color w:val="auto"/>
        </w:rPr>
        <w:t>，质硬，表面也无明显结节，脾大明显，下缘平脐，质硬，经常有鼻衄及牙龈、皮肤粘膜出血。其出血的机制是：</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凝血因子</w:t>
      </w:r>
      <w:r>
        <w:rPr>
          <w:rFonts w:ascii="宋体" w:hAnsi="宋体" w:cs="宋体"/>
          <w:color w:val="auto"/>
        </w:rPr>
        <w:t>VII</w:t>
      </w:r>
      <w:r>
        <w:rPr>
          <w:rFonts w:ascii="宋体" w:hAnsi="宋体" w:cs="宋体" w:hint="eastAsia"/>
          <w:color w:val="auto"/>
        </w:rPr>
        <w:t>合成减少</w:t>
      </w:r>
      <w:r>
        <w:rPr>
          <w:rFonts w:ascii="宋体" w:hAnsi="宋体" w:cs="宋体"/>
          <w:color w:val="auto"/>
        </w:rPr>
        <w:t xml:space="preserve">      B </w:t>
      </w:r>
      <w:r>
        <w:rPr>
          <w:rFonts w:ascii="宋体" w:hAnsi="宋体" w:cs="宋体" w:hint="eastAsia"/>
          <w:color w:val="auto"/>
        </w:rPr>
        <w:t>纤维蛋白原减少</w:t>
      </w:r>
      <w:r>
        <w:rPr>
          <w:rFonts w:ascii="宋体" w:hAnsi="宋体" w:cs="宋体"/>
          <w:color w:val="auto"/>
        </w:rPr>
        <w:t xml:space="preserve">      C </w:t>
      </w:r>
      <w:r>
        <w:rPr>
          <w:rFonts w:ascii="宋体" w:hAnsi="宋体" w:cs="宋体" w:hint="eastAsia"/>
          <w:color w:val="auto"/>
        </w:rPr>
        <w:t>脾功能亢进破坏血小板过多</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D </w:t>
      </w:r>
      <w:r>
        <w:rPr>
          <w:rFonts w:ascii="宋体" w:hAnsi="宋体" w:cs="宋体" w:hint="eastAsia"/>
          <w:color w:val="auto"/>
        </w:rPr>
        <w:t>凝血酶原减少</w:t>
      </w:r>
      <w:r>
        <w:rPr>
          <w:rFonts w:ascii="宋体" w:hAnsi="宋体" w:cs="宋体"/>
          <w:color w:val="auto"/>
        </w:rPr>
        <w:t xml:space="preserve">              E </w:t>
      </w:r>
      <w:r>
        <w:rPr>
          <w:rFonts w:ascii="宋体" w:hAnsi="宋体" w:cs="宋体" w:hint="eastAsia"/>
          <w:color w:val="auto"/>
        </w:rPr>
        <w:t>凝血因子</w:t>
      </w:r>
      <w:r>
        <w:rPr>
          <w:rFonts w:ascii="宋体" w:hAnsi="宋体" w:cs="宋体"/>
          <w:color w:val="auto"/>
        </w:rPr>
        <w:t>X</w:t>
      </w:r>
      <w:r>
        <w:rPr>
          <w:rFonts w:ascii="宋体" w:hAnsi="宋体" w:cs="宋体" w:hint="eastAsia"/>
          <w:color w:val="auto"/>
        </w:rPr>
        <w:t>减少</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60.</w:t>
      </w:r>
      <w:r>
        <w:rPr>
          <w:rFonts w:ascii="宋体" w:hAnsi="宋体" w:cs="宋体" w:hint="eastAsia"/>
          <w:color w:val="auto"/>
        </w:rPr>
        <w:t>下列哪种疾病最易引起肠道狭窄：</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A </w:t>
      </w:r>
      <w:r>
        <w:rPr>
          <w:rFonts w:ascii="宋体" w:hAnsi="宋体" w:cs="宋体" w:hint="eastAsia"/>
          <w:color w:val="auto"/>
        </w:rPr>
        <w:t>肠阿米巴病</w:t>
      </w:r>
      <w:r>
        <w:rPr>
          <w:rFonts w:ascii="宋体" w:hAnsi="宋体" w:cs="宋体"/>
          <w:color w:val="auto"/>
        </w:rPr>
        <w:t xml:space="preserve">                B </w:t>
      </w:r>
      <w:r>
        <w:rPr>
          <w:rFonts w:ascii="宋体" w:hAnsi="宋体" w:cs="宋体" w:hint="eastAsia"/>
          <w:color w:val="auto"/>
        </w:rPr>
        <w:t>肠伤寒</w:t>
      </w:r>
      <w:r>
        <w:rPr>
          <w:rFonts w:ascii="宋体" w:hAnsi="宋体" w:cs="宋体"/>
          <w:color w:val="auto"/>
        </w:rPr>
        <w:t xml:space="preserve">                 C </w:t>
      </w:r>
      <w:r>
        <w:rPr>
          <w:rFonts w:ascii="宋体" w:hAnsi="宋体" w:cs="宋体" w:hint="eastAsia"/>
          <w:color w:val="auto"/>
        </w:rPr>
        <w:t>肠结核</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 xml:space="preserve">   D </w:t>
      </w:r>
      <w:r>
        <w:rPr>
          <w:rFonts w:ascii="宋体" w:hAnsi="宋体" w:cs="宋体" w:hint="eastAsia"/>
          <w:color w:val="auto"/>
        </w:rPr>
        <w:t>细菌性痢疾</w:t>
      </w:r>
      <w:r>
        <w:rPr>
          <w:rFonts w:ascii="宋体" w:hAnsi="宋体" w:cs="宋体"/>
          <w:color w:val="auto"/>
        </w:rPr>
        <w:t xml:space="preserve">                E  </w:t>
      </w:r>
      <w:r>
        <w:rPr>
          <w:rFonts w:ascii="宋体" w:hAnsi="宋体" w:cs="宋体" w:hint="eastAsia"/>
          <w:color w:val="auto"/>
        </w:rPr>
        <w:t>沙门菌属感染所致的急性肠胃炎</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b/>
          <w:color w:val="auto"/>
        </w:rPr>
      </w:pPr>
      <w:r>
        <w:rPr>
          <w:rFonts w:ascii="宋体" w:hAnsi="宋体" w:cs="宋体" w:hint="eastAsia"/>
          <w:b/>
          <w:color w:val="auto"/>
        </w:rPr>
        <w:t>三、名词解释：（每题</w:t>
      </w:r>
      <w:r>
        <w:rPr>
          <w:rFonts w:ascii="宋体" w:hAnsi="宋体" w:cs="宋体"/>
          <w:b/>
          <w:color w:val="auto"/>
        </w:rPr>
        <w:t>3</w:t>
      </w:r>
      <w:r>
        <w:rPr>
          <w:rFonts w:ascii="宋体" w:hAnsi="宋体" w:cs="宋体" w:hint="eastAsia"/>
          <w:b/>
          <w:color w:val="auto"/>
        </w:rPr>
        <w:t>分，共</w:t>
      </w:r>
      <w:r>
        <w:rPr>
          <w:rFonts w:ascii="宋体" w:hAnsi="宋体" w:cs="宋体"/>
          <w:b/>
          <w:color w:val="auto"/>
        </w:rPr>
        <w:t>30</w:t>
      </w:r>
      <w:r>
        <w:rPr>
          <w:rFonts w:ascii="宋体" w:hAnsi="宋体" w:cs="宋体" w:hint="eastAsia"/>
          <w:b/>
          <w:color w:val="auto"/>
        </w:rPr>
        <w:t>分）</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w:t>
      </w:r>
      <w:r>
        <w:rPr>
          <w:rFonts w:ascii="宋体" w:hAnsi="宋体" w:cs="宋体" w:hint="eastAsia"/>
          <w:color w:val="auto"/>
        </w:rPr>
        <w:t>、化生</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w:t>
      </w:r>
      <w:r>
        <w:rPr>
          <w:rFonts w:ascii="宋体" w:hAnsi="宋体" w:cs="宋体" w:hint="eastAsia"/>
          <w:color w:val="auto"/>
        </w:rPr>
        <w:t>干酪性坏死</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w:t>
      </w:r>
      <w:r>
        <w:rPr>
          <w:rFonts w:ascii="宋体" w:hAnsi="宋体" w:cs="宋体" w:hint="eastAsia"/>
          <w:color w:val="auto"/>
        </w:rPr>
        <w:t>栓塞</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w:t>
      </w:r>
      <w:r>
        <w:rPr>
          <w:rFonts w:ascii="宋体" w:hAnsi="宋体" w:cs="宋体" w:hint="eastAsia"/>
          <w:color w:val="auto"/>
        </w:rPr>
        <w:t>趋化作用</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w:t>
      </w:r>
      <w:r>
        <w:rPr>
          <w:rFonts w:ascii="宋体" w:hAnsi="宋体" w:cs="宋体" w:hint="eastAsia"/>
          <w:color w:val="auto"/>
        </w:rPr>
        <w:t>副肿瘤综合征</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lastRenderedPageBreak/>
        <w:t>6.</w:t>
      </w:r>
      <w:r>
        <w:rPr>
          <w:rFonts w:ascii="宋体" w:hAnsi="宋体" w:cs="宋体" w:hint="eastAsia"/>
          <w:color w:val="auto"/>
        </w:rPr>
        <w:t>燕麦细胞癌</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7.</w:t>
      </w:r>
      <w:r>
        <w:rPr>
          <w:rFonts w:ascii="宋体" w:hAnsi="宋体" w:cs="宋体" w:hint="eastAsia"/>
          <w:color w:val="auto"/>
        </w:rPr>
        <w:t>克鲁根勃氏瘤</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8.</w:t>
      </w:r>
      <w:r>
        <w:rPr>
          <w:rFonts w:ascii="宋体" w:hAnsi="宋体" w:cs="宋体" w:hint="eastAsia"/>
          <w:color w:val="auto"/>
        </w:rPr>
        <w:t>新月体</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9.</w:t>
      </w:r>
      <w:r>
        <w:rPr>
          <w:rFonts w:ascii="宋体" w:hAnsi="宋体" w:cs="宋体" w:hint="eastAsia"/>
          <w:color w:val="auto"/>
        </w:rPr>
        <w:t>粉刺癌</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10.</w:t>
      </w:r>
      <w:r>
        <w:rPr>
          <w:rFonts w:ascii="宋体" w:hAnsi="宋体" w:cs="宋体" w:hint="eastAsia"/>
          <w:color w:val="auto"/>
        </w:rPr>
        <w:t>结核球（瘤）</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360" w:lineRule="auto"/>
        <w:ind w:firstLine="403"/>
        <w:jc w:val="left"/>
        <w:rPr>
          <w:rFonts w:ascii="宋体" w:cs="宋体"/>
          <w:color w:val="auto"/>
        </w:rPr>
      </w:pPr>
      <w:r>
        <w:rPr>
          <w:rFonts w:ascii="宋体" w:hAnsi="宋体" w:cs="宋体" w:hint="eastAsia"/>
          <w:color w:val="auto"/>
        </w:rPr>
        <w:t>三、问答题：（每小题</w:t>
      </w:r>
      <w:r>
        <w:rPr>
          <w:rFonts w:ascii="宋体" w:hAnsi="宋体" w:cs="宋体"/>
          <w:color w:val="auto"/>
        </w:rPr>
        <w:t>8</w:t>
      </w:r>
      <w:r>
        <w:rPr>
          <w:rFonts w:ascii="宋体" w:hAnsi="宋体" w:cs="宋体" w:hint="eastAsia"/>
          <w:color w:val="auto"/>
        </w:rPr>
        <w:t>分，共</w:t>
      </w:r>
      <w:r>
        <w:rPr>
          <w:rFonts w:ascii="宋体" w:hAnsi="宋体" w:cs="宋体"/>
          <w:color w:val="auto"/>
        </w:rPr>
        <w:t>40</w:t>
      </w:r>
      <w:r>
        <w:rPr>
          <w:rFonts w:ascii="宋体" w:hAnsi="宋体" w:cs="宋体" w:hint="eastAsia"/>
          <w:color w:val="auto"/>
        </w:rPr>
        <w:t>分）</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1.</w:t>
      </w:r>
      <w:r>
        <w:rPr>
          <w:rFonts w:ascii="宋体" w:hAnsi="宋体" w:cs="宋体" w:hint="eastAsia"/>
          <w:color w:val="auto"/>
        </w:rPr>
        <w:t>简述肉芽组织的形态特点与作用。</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2.</w:t>
      </w:r>
      <w:r>
        <w:rPr>
          <w:rFonts w:ascii="宋体" w:hAnsi="宋体" w:cs="宋体" w:hint="eastAsia"/>
          <w:color w:val="auto"/>
        </w:rPr>
        <w:t>瘀血、血栓形成、栓塞、梗死、坏死和坏疽的相互关系如何？</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3.</w:t>
      </w:r>
      <w:r>
        <w:rPr>
          <w:rFonts w:ascii="宋体" w:hAnsi="宋体" w:cs="宋体" w:hint="eastAsia"/>
          <w:color w:val="auto"/>
        </w:rPr>
        <w:t>简述肿瘤性增殖与非肿瘤性增殖有重要区别。</w:t>
      </w:r>
      <w:r>
        <w:rPr>
          <w:rFonts w:ascii="宋体" w:hAnsi="宋体" w:cs="宋体"/>
          <w:color w:val="auto"/>
        </w:rPr>
        <w:t xml:space="preserve"> </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4.</w:t>
      </w:r>
      <w:r>
        <w:rPr>
          <w:rFonts w:ascii="宋体" w:hAnsi="宋体" w:cs="宋体" w:hint="eastAsia"/>
          <w:color w:val="auto"/>
        </w:rPr>
        <w:t>请例举两种固缩肾并比较其肾血管病变和肾病变？</w:t>
      </w:r>
    </w:p>
    <w:p w:rsidR="003717A0" w:rsidRDefault="003717A0">
      <w:pPr>
        <w:pStyle w:val="Af9"/>
        <w:spacing w:before="0" w:after="0" w:line="360" w:lineRule="auto"/>
        <w:ind w:firstLine="403"/>
        <w:jc w:val="left"/>
        <w:rPr>
          <w:rFonts w:ascii="宋体" w:cs="宋体"/>
          <w:color w:val="auto"/>
        </w:rPr>
      </w:pPr>
      <w:r>
        <w:rPr>
          <w:rFonts w:ascii="宋体" w:hAnsi="宋体" w:cs="宋体"/>
          <w:color w:val="auto"/>
        </w:rPr>
        <w:t>5.</w:t>
      </w:r>
      <w:r>
        <w:rPr>
          <w:rFonts w:ascii="宋体" w:hAnsi="宋体" w:cs="宋体" w:hint="eastAsia"/>
          <w:color w:val="auto"/>
        </w:rPr>
        <w:t>我们所学哪些疾病出现肉芽肿性病变？肉芽肿各有何特点？</w:t>
      </w:r>
    </w:p>
    <w:p w:rsidR="003717A0" w:rsidRDefault="003717A0">
      <w:pPr>
        <w:pStyle w:val="Af9"/>
        <w:spacing w:before="0" w:after="0" w:line="360" w:lineRule="auto"/>
        <w:ind w:firstLine="403"/>
        <w:jc w:val="left"/>
        <w:rPr>
          <w:rFonts w:ascii="宋体" w:cs="宋体"/>
          <w:color w:val="auto"/>
        </w:rPr>
      </w:pPr>
    </w:p>
    <w:p w:rsidR="003717A0" w:rsidRDefault="003717A0">
      <w:pPr>
        <w:pStyle w:val="Af9"/>
        <w:spacing w:before="0" w:after="0" w:line="440" w:lineRule="exact"/>
        <w:ind w:left="359" w:firstLine="420"/>
        <w:jc w:val="left"/>
        <w:rPr>
          <w:rFonts w:ascii="宋体" w:cs="宋体"/>
          <w:color w:val="auto"/>
        </w:rPr>
      </w:pPr>
    </w:p>
    <w:p w:rsidR="003717A0" w:rsidRDefault="003717A0">
      <w:pPr>
        <w:pStyle w:val="Af9"/>
        <w:spacing w:line="300" w:lineRule="auto"/>
        <w:rPr>
          <w:color w:val="auto"/>
        </w:rPr>
      </w:pPr>
    </w:p>
    <w:p w:rsidR="003717A0" w:rsidRDefault="003717A0" w:rsidP="00F5156D">
      <w:pPr>
        <w:pStyle w:val="Af9"/>
        <w:spacing w:line="360" w:lineRule="auto"/>
        <w:jc w:val="center"/>
        <w:rPr>
          <w:rFonts w:ascii="Times New Roman" w:hAnsi="Times New Roman"/>
          <w:color w:val="auto"/>
          <w:kern w:val="0"/>
          <w:sz w:val="34"/>
          <w:szCs w:val="34"/>
        </w:rPr>
      </w:pPr>
      <w:r>
        <w:rPr>
          <w:rFonts w:ascii="Times New Roman Bold" w:hAnsi="Times New Roman Bold" w:cs="Times New Roman Bold"/>
          <w:color w:val="auto"/>
          <w:kern w:val="0"/>
          <w:sz w:val="22"/>
          <w:szCs w:val="22"/>
        </w:rPr>
        <w:br w:type="page"/>
      </w:r>
      <w:r w:rsidRPr="00F5156D">
        <w:rPr>
          <w:rFonts w:ascii="黑体" w:eastAsia="黑体" w:hAnsi="黑体" w:cs="黑体" w:hint="eastAsia"/>
          <w:b/>
          <w:bCs/>
          <w:color w:val="auto"/>
          <w:sz w:val="32"/>
          <w:szCs w:val="32"/>
        </w:rPr>
        <w:lastRenderedPageBreak/>
        <w:t>四、课程实施与保障</w:t>
      </w:r>
    </w:p>
    <w:tbl>
      <w:tblPr>
        <w:tblW w:w="9998" w:type="dxa"/>
        <w:jc w:val="center"/>
        <w:tblInd w:w="108" w:type="dxa"/>
        <w:tblLayout w:type="fixed"/>
        <w:tblLook w:val="00A0"/>
      </w:tblPr>
      <w:tblGrid>
        <w:gridCol w:w="644"/>
        <w:gridCol w:w="540"/>
        <w:gridCol w:w="8814"/>
      </w:tblGrid>
      <w:tr w:rsidR="003717A0" w:rsidTr="00F5156D">
        <w:trPr>
          <w:cantSplit/>
          <w:trHeight w:val="3460"/>
          <w:jc w:val="center"/>
        </w:trPr>
        <w:tc>
          <w:tcPr>
            <w:tcW w:w="11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教</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学</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基</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本</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要</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求</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35"/>
              <w:jc w:val="left"/>
              <w:rPr>
                <w:rFonts w:ascii="宋体" w:cs="宋体"/>
                <w:color w:val="auto"/>
              </w:rPr>
            </w:pPr>
            <w:r>
              <w:rPr>
                <w:rFonts w:ascii="宋体" w:hAnsi="宋体" w:cs="宋体" w:hint="eastAsia"/>
                <w:color w:val="auto"/>
              </w:rPr>
              <w:t>教师应充分研究本大纲所规定的各章内容，对重点和难点进行深入浅出的讲解。增加自学和拓展环节，注意培养学生的自学能力。部分形态的描述，可在实习课中让学生通过对标本、切片、录像等的观察来加强理解。教师应关心病理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偏差的部分。</w:t>
            </w:r>
          </w:p>
        </w:tc>
      </w:tr>
      <w:tr w:rsidR="003717A0" w:rsidTr="00F5156D">
        <w:trPr>
          <w:cantSplit/>
          <w:trHeight w:val="2560"/>
          <w:jc w:val="center"/>
        </w:trPr>
        <w:tc>
          <w:tcPr>
            <w:tcW w:w="64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主要教学环节的质量标准</w:t>
            </w:r>
          </w:p>
        </w:tc>
        <w:tc>
          <w:tcPr>
            <w:tcW w:w="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备</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课</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20"/>
              <w:jc w:val="left"/>
              <w:rPr>
                <w:rFonts w:ascii="Times New Roman" w:hAnsi="Times New Roman"/>
                <w:color w:val="auto"/>
              </w:rPr>
            </w:pPr>
            <w:r>
              <w:rPr>
                <w:rFonts w:ascii="宋体" w:hAnsi="宋体" w:cs="宋体" w:hint="eastAsia"/>
                <w:color w:val="auto"/>
              </w:rPr>
              <w:t>掌握本课程教学大纲内容，严格按照教学大纲要求进行本课程教学内容的组织。</w:t>
            </w:r>
          </w:p>
          <w:p w:rsidR="003717A0" w:rsidRDefault="003717A0">
            <w:pPr>
              <w:pStyle w:val="Af9"/>
              <w:numPr>
                <w:ilvl w:val="0"/>
                <w:numId w:val="98"/>
              </w:numPr>
              <w:tabs>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pStyle w:val="Af9"/>
              <w:numPr>
                <w:ilvl w:val="0"/>
                <w:numId w:val="98"/>
              </w:numPr>
              <w:tabs>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结合课程特点，制作课件，运用多媒体教学手段，进行双语讲授部分教学内容。</w:t>
            </w:r>
          </w:p>
          <w:p w:rsidR="003717A0" w:rsidRDefault="003717A0">
            <w:pPr>
              <w:pStyle w:val="Af9"/>
              <w:numPr>
                <w:ilvl w:val="0"/>
                <w:numId w:val="98"/>
              </w:numPr>
              <w:tabs>
                <w:tab w:val="left" w:pos="420"/>
              </w:tabs>
              <w:spacing w:before="0" w:after="0" w:line="360" w:lineRule="auto"/>
              <w:ind w:left="420" w:hanging="420"/>
              <w:jc w:val="left"/>
              <w:rPr>
                <w:color w:val="auto"/>
              </w:rPr>
            </w:pPr>
            <w:r>
              <w:rPr>
                <w:rFonts w:ascii="宋体" w:hAnsi="宋体" w:cs="宋体" w:hint="eastAsia"/>
                <w:color w:val="auto"/>
              </w:rPr>
              <w:t>确定各章节课程内容的教学方法，构思授课思路、技巧和方法。</w:t>
            </w:r>
          </w:p>
        </w:tc>
      </w:tr>
      <w:tr w:rsidR="003717A0" w:rsidTr="00F5156D">
        <w:trPr>
          <w:cantSplit/>
          <w:trHeight w:val="3910"/>
          <w:jc w:val="center"/>
        </w:trPr>
        <w:tc>
          <w:tcPr>
            <w:tcW w:w="644" w:type="dxa"/>
            <w:vMerge/>
            <w:tcBorders>
              <w:top w:val="single" w:sz="4" w:space="0" w:color="000000"/>
              <w:left w:val="single" w:sz="4" w:space="0" w:color="000000"/>
              <w:bottom w:val="single" w:sz="4" w:space="0" w:color="000000"/>
              <w:right w:val="single" w:sz="4" w:space="0" w:color="000000"/>
            </w:tcBorders>
          </w:tcPr>
          <w:p w:rsidR="003717A0" w:rsidRDefault="003717A0"/>
        </w:tc>
        <w:tc>
          <w:tcPr>
            <w:tcW w:w="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授</w:t>
            </w:r>
            <w:r>
              <w:rPr>
                <w:rFonts w:ascii="黑体" w:eastAsia="黑体" w:hAnsi="黑体" w:cs="黑体"/>
                <w:b/>
                <w:bCs/>
                <w:color w:val="auto"/>
                <w:sz w:val="24"/>
                <w:szCs w:val="24"/>
              </w:rPr>
              <w:t xml:space="preserve">   </w:t>
            </w:r>
            <w:r>
              <w:rPr>
                <w:rFonts w:ascii="黑体" w:eastAsia="黑体" w:hAnsi="黑体" w:cs="黑体" w:hint="eastAsia"/>
                <w:b/>
                <w:bCs/>
                <w:color w:val="auto"/>
                <w:sz w:val="24"/>
                <w:szCs w:val="24"/>
              </w:rPr>
              <w:t>课</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20"/>
              <w:jc w:val="left"/>
              <w:rPr>
                <w:rFonts w:ascii="Times New Roman" w:hAnsi="Times New Roman"/>
                <w:color w:val="auto"/>
              </w:rPr>
            </w:pPr>
            <w:r>
              <w:rPr>
                <w:rFonts w:ascii="宋体" w:hAnsi="宋体" w:cs="宋体" w:hint="eastAsia"/>
                <w:color w:val="auto"/>
              </w:rPr>
              <w:t>概念准确，推理正确，条理清晰，重点突出，理论联系实际。</w:t>
            </w:r>
          </w:p>
          <w:p w:rsidR="003717A0" w:rsidRDefault="003717A0">
            <w:pPr>
              <w:pStyle w:val="Af9"/>
              <w:numPr>
                <w:ilvl w:val="0"/>
                <w:numId w:val="99"/>
              </w:numPr>
              <w:tabs>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对重点问题和难点问题进行深入浅出的讲解，内容相对简单或知识拓展部分让学生自学，注意培养学生自主学习的能力。</w:t>
            </w:r>
          </w:p>
          <w:p w:rsidR="003717A0" w:rsidRDefault="003717A0">
            <w:pPr>
              <w:pStyle w:val="Af9"/>
              <w:numPr>
                <w:ilvl w:val="0"/>
                <w:numId w:val="99"/>
              </w:numPr>
              <w:tabs>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pStyle w:val="Af9"/>
              <w:numPr>
                <w:ilvl w:val="0"/>
                <w:numId w:val="99"/>
              </w:numPr>
              <w:tabs>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多媒体教学手段、病理大体和切片观察相结合，以培养学生实践动手的能力。</w:t>
            </w:r>
          </w:p>
          <w:p w:rsidR="003717A0" w:rsidRDefault="003717A0">
            <w:pPr>
              <w:pStyle w:val="Af9"/>
              <w:tabs>
                <w:tab w:val="left" w:pos="420"/>
              </w:tabs>
              <w:spacing w:before="0" w:after="0" w:line="360" w:lineRule="auto"/>
              <w:jc w:val="left"/>
              <w:rPr>
                <w:rFonts w:ascii="Courier" w:hAnsi="Courier" w:cs="Courier"/>
                <w:color w:val="auto"/>
              </w:rPr>
            </w:pPr>
            <w:r>
              <w:rPr>
                <w:rFonts w:ascii="宋体" w:hAnsi="宋体" w:cs="宋体" w:hint="eastAsia"/>
                <w:color w:val="auto"/>
              </w:rPr>
              <w:t>四</w:t>
            </w:r>
            <w:r>
              <w:rPr>
                <w:rFonts w:ascii="宋体" w:hAnsi="宋体" w:cs="宋体"/>
                <w:color w:val="auto"/>
              </w:rPr>
              <w:t xml:space="preserve">. </w:t>
            </w:r>
            <w:r>
              <w:rPr>
                <w:rFonts w:ascii="宋体" w:hAnsi="宋体" w:cs="宋体" w:hint="eastAsia"/>
                <w:color w:val="auto"/>
              </w:rPr>
              <w:t>表达方式尽量便于学生理解、接受，力求形象生动，使学生在掌握知识的过程中，保持较为浓厚的兴趣。</w:t>
            </w:r>
          </w:p>
        </w:tc>
      </w:tr>
      <w:tr w:rsidR="003717A0" w:rsidTr="00F5156D">
        <w:trPr>
          <w:cantSplit/>
          <w:trHeight w:val="8515"/>
          <w:jc w:val="center"/>
        </w:trPr>
        <w:tc>
          <w:tcPr>
            <w:tcW w:w="64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lastRenderedPageBreak/>
              <w:t>主要教学环节的质量标准</w:t>
            </w:r>
          </w:p>
        </w:tc>
        <w:tc>
          <w:tcPr>
            <w:tcW w:w="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作业布置与批改</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25"/>
              <w:jc w:val="left"/>
              <w:rPr>
                <w:color w:val="auto"/>
                <w:sz w:val="22"/>
                <w:szCs w:val="22"/>
              </w:rPr>
            </w:pPr>
            <w:r>
              <w:rPr>
                <w:rFonts w:ascii="宋体" w:hAnsi="宋体" w:cs="宋体" w:hint="eastAsia"/>
                <w:color w:val="auto"/>
                <w:sz w:val="22"/>
                <w:szCs w:val="22"/>
              </w:rPr>
              <w:t>学生需完成一定数量的平时作业，包括课前预习，实验课对病理切片描述，病理图象处理、病例分析报告等病理形成性练习的内容。</w:t>
            </w:r>
          </w:p>
          <w:p w:rsidR="003717A0" w:rsidRDefault="003717A0">
            <w:pPr>
              <w:pStyle w:val="Af9"/>
              <w:spacing w:before="0" w:after="0" w:line="360" w:lineRule="auto"/>
              <w:jc w:val="left"/>
              <w:rPr>
                <w:rFonts w:ascii="Times New Roman" w:hAnsi="Times New Roman"/>
                <w:color w:val="auto"/>
              </w:rPr>
            </w:pPr>
            <w:r>
              <w:rPr>
                <w:rFonts w:ascii="宋体" w:hAnsi="宋体" w:cs="宋体" w:hint="eastAsia"/>
                <w:color w:val="auto"/>
              </w:rPr>
              <w:t>一、学生完成作业的主要内容：</w:t>
            </w:r>
          </w:p>
          <w:p w:rsidR="003717A0" w:rsidRDefault="003717A0">
            <w:pPr>
              <w:pStyle w:val="Af9"/>
              <w:numPr>
                <w:ilvl w:val="0"/>
                <w:numId w:val="100"/>
              </w:numPr>
              <w:tabs>
                <w:tab w:val="clear" w:pos="89"/>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理论课的每个章节均有自学与拓展内容，要求学生分别在总论和各论教学阶段自选</w:t>
            </w:r>
            <w:r>
              <w:rPr>
                <w:rFonts w:ascii="Times New Roman" w:eastAsia="Times New Roman"/>
                <w:color w:val="auto"/>
              </w:rPr>
              <w:t>1</w:t>
            </w:r>
            <w:r>
              <w:rPr>
                <w:rFonts w:ascii="宋体" w:hAnsi="宋体" w:cs="宋体" w:hint="eastAsia"/>
                <w:color w:val="auto"/>
              </w:rPr>
              <w:t>个内容，通过查阅资料自学，然后针对题目撰写</w:t>
            </w:r>
            <w:r>
              <w:rPr>
                <w:rFonts w:ascii="Times New Roman" w:eastAsia="Times New Roman"/>
                <w:color w:val="auto"/>
              </w:rPr>
              <w:t>500-800</w:t>
            </w:r>
            <w:r>
              <w:rPr>
                <w:rFonts w:ascii="宋体" w:hAnsi="宋体" w:cs="宋体" w:hint="eastAsia"/>
                <w:color w:val="auto"/>
              </w:rPr>
              <w:t>字的书面小结，在规定时间内提交。本课程结束时，每位学生需完成</w:t>
            </w:r>
            <w:r>
              <w:rPr>
                <w:rFonts w:ascii="Times New Roman"/>
                <w:color w:val="auto"/>
              </w:rPr>
              <w:t>1</w:t>
            </w:r>
            <w:r>
              <w:rPr>
                <w:rFonts w:ascii="宋体" w:hAnsi="宋体" w:cs="宋体" w:hint="eastAsia"/>
                <w:color w:val="auto"/>
              </w:rPr>
              <w:t>个题目的小结。</w:t>
            </w:r>
          </w:p>
          <w:p w:rsidR="003717A0" w:rsidRDefault="003717A0">
            <w:pPr>
              <w:pStyle w:val="Af9"/>
              <w:numPr>
                <w:ilvl w:val="0"/>
                <w:numId w:val="100"/>
              </w:numPr>
              <w:tabs>
                <w:tab w:val="clear" w:pos="89"/>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每次实验课上，要求学生能熟练地使用显微数码互动实验教学系统，在光镜下识别病变组织结构和细胞，并用图像处理系统进行准确的标注与描述。</w:t>
            </w:r>
          </w:p>
          <w:p w:rsidR="003717A0" w:rsidRDefault="003717A0">
            <w:pPr>
              <w:pStyle w:val="Af9"/>
              <w:numPr>
                <w:ilvl w:val="0"/>
                <w:numId w:val="100"/>
              </w:numPr>
              <w:tabs>
                <w:tab w:val="clear" w:pos="89"/>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根据理论课中每个章节给出的学生论坛专题，拓展与本课程相关的知识。</w:t>
            </w:r>
          </w:p>
          <w:p w:rsidR="003717A0" w:rsidRDefault="003717A0">
            <w:pPr>
              <w:pStyle w:val="Af9"/>
              <w:spacing w:before="0" w:after="0" w:line="360" w:lineRule="auto"/>
              <w:jc w:val="left"/>
              <w:rPr>
                <w:rFonts w:ascii="Times New Roman" w:hAnsi="Times New Roman"/>
                <w:color w:val="auto"/>
              </w:rPr>
            </w:pPr>
            <w:r>
              <w:rPr>
                <w:rFonts w:ascii="宋体" w:hAnsi="宋体" w:cs="宋体" w:hint="eastAsia"/>
                <w:color w:val="auto"/>
              </w:rPr>
              <w:t>二、学生完成的作业必须达到以下基本要求：</w:t>
            </w:r>
          </w:p>
          <w:p w:rsidR="003717A0" w:rsidRDefault="00BA5C48" w:rsidP="00BA5C48">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1.</w:t>
            </w:r>
            <w:r w:rsidR="003717A0">
              <w:rPr>
                <w:rFonts w:ascii="宋体" w:hAnsi="宋体" w:cs="宋体" w:hint="eastAsia"/>
                <w:color w:val="auto"/>
              </w:rPr>
              <w:t>按时按量完成作业，不缺交，不抄袭；</w:t>
            </w:r>
          </w:p>
          <w:p w:rsidR="003717A0" w:rsidRDefault="00BA5C48" w:rsidP="00BA5C48">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2.</w:t>
            </w:r>
            <w:r w:rsidR="003717A0">
              <w:rPr>
                <w:rFonts w:ascii="宋体" w:hAnsi="宋体" w:cs="宋体" w:hint="eastAsia"/>
                <w:color w:val="auto"/>
              </w:rPr>
              <w:t>作业规范，书写清晰；</w:t>
            </w:r>
          </w:p>
          <w:p w:rsidR="003717A0" w:rsidRDefault="00BA5C48" w:rsidP="00BA5C48">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3.</w:t>
            </w:r>
            <w:r w:rsidR="003717A0">
              <w:rPr>
                <w:rFonts w:ascii="宋体" w:hAnsi="宋体" w:cs="宋体" w:hint="eastAsia"/>
                <w:color w:val="auto"/>
              </w:rPr>
              <w:t>答案正确。</w:t>
            </w:r>
          </w:p>
          <w:p w:rsidR="003717A0" w:rsidRDefault="003717A0">
            <w:pPr>
              <w:pStyle w:val="Af9"/>
              <w:spacing w:before="0" w:after="0" w:line="360" w:lineRule="auto"/>
              <w:jc w:val="left"/>
              <w:rPr>
                <w:rFonts w:ascii="Times New Roman" w:hAnsi="Times New Roman"/>
                <w:color w:val="auto"/>
              </w:rPr>
            </w:pPr>
            <w:r>
              <w:rPr>
                <w:rFonts w:ascii="宋体" w:hAnsi="宋体" w:cs="宋体" w:hint="eastAsia"/>
                <w:color w:val="auto"/>
              </w:rPr>
              <w:t>三、教师批改或讲评作业的数量和次数要求如下：</w:t>
            </w:r>
          </w:p>
          <w:p w:rsidR="003717A0" w:rsidRDefault="002851AA" w:rsidP="002851AA">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1.</w:t>
            </w:r>
            <w:r w:rsidR="003717A0">
              <w:rPr>
                <w:rFonts w:ascii="宋体" w:hAnsi="宋体" w:cs="宋体" w:hint="eastAsia"/>
                <w:color w:val="auto"/>
              </w:rPr>
              <w:t>学生的作业要全批全改，并按时批改、讲评学生每次交来的作业；</w:t>
            </w:r>
          </w:p>
          <w:p w:rsidR="003717A0" w:rsidRDefault="002851AA" w:rsidP="002851AA">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2.</w:t>
            </w:r>
            <w:r w:rsidR="003717A0">
              <w:rPr>
                <w:rFonts w:ascii="宋体" w:hAnsi="宋体" w:cs="宋体" w:hint="eastAsia"/>
                <w:color w:val="auto"/>
              </w:rPr>
              <w:t>教师批改或讲评作业要认真、细致，并写明日期；</w:t>
            </w:r>
          </w:p>
          <w:p w:rsidR="003717A0" w:rsidRDefault="002851AA" w:rsidP="002851AA">
            <w:pPr>
              <w:pStyle w:val="Af9"/>
              <w:tabs>
                <w:tab w:val="left" w:pos="89"/>
                <w:tab w:val="left" w:pos="420"/>
              </w:tabs>
              <w:spacing w:before="0" w:after="0" w:line="360" w:lineRule="auto"/>
              <w:jc w:val="left"/>
              <w:rPr>
                <w:color w:val="auto"/>
              </w:rPr>
            </w:pPr>
            <w:r>
              <w:rPr>
                <w:rFonts w:ascii="宋体" w:hAnsi="宋体" w:cs="宋体" w:hint="eastAsia"/>
                <w:color w:val="auto"/>
              </w:rPr>
              <w:t>3.</w:t>
            </w:r>
            <w:r w:rsidR="003717A0">
              <w:rPr>
                <w:rFonts w:ascii="宋体" w:hAnsi="宋体" w:cs="宋体" w:hint="eastAsia"/>
                <w:color w:val="auto"/>
              </w:rPr>
              <w:t>期末按百分制评出每个学生作业的总评成绩，作为本课程学期总评成绩中平时成绩的重要组成部分。</w:t>
            </w:r>
          </w:p>
        </w:tc>
      </w:tr>
      <w:tr w:rsidR="003717A0" w:rsidTr="00F5156D">
        <w:trPr>
          <w:cantSplit/>
          <w:trHeight w:val="1660"/>
          <w:jc w:val="center"/>
        </w:trPr>
        <w:tc>
          <w:tcPr>
            <w:tcW w:w="644" w:type="dxa"/>
            <w:vMerge/>
            <w:tcBorders>
              <w:top w:val="single" w:sz="4" w:space="0" w:color="000000"/>
              <w:left w:val="single" w:sz="4" w:space="0" w:color="000000"/>
              <w:bottom w:val="single" w:sz="4" w:space="0" w:color="000000"/>
              <w:right w:val="single" w:sz="4" w:space="0" w:color="000000"/>
            </w:tcBorders>
          </w:tcPr>
          <w:p w:rsidR="003717A0" w:rsidRDefault="003717A0"/>
        </w:tc>
        <w:tc>
          <w:tcPr>
            <w:tcW w:w="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课外答疑</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在教室、实验室内，多与学生进行面对面的交流互动，同时充分利用</w:t>
            </w:r>
            <w:r>
              <w:rPr>
                <w:rFonts w:ascii="宋体" w:hAnsi="宋体" w:cs="宋体"/>
                <w:color w:val="auto"/>
              </w:rPr>
              <w:t>blackboard</w:t>
            </w:r>
            <w:r>
              <w:rPr>
                <w:rFonts w:ascii="宋体" w:hAnsi="宋体" w:cs="宋体" w:hint="eastAsia"/>
                <w:color w:val="auto"/>
              </w:rPr>
              <w:t>、微信、</w:t>
            </w:r>
            <w:r>
              <w:rPr>
                <w:rFonts w:ascii="宋体" w:hAnsi="宋体" w:cs="宋体"/>
                <w:color w:val="auto"/>
              </w:rPr>
              <w:t>QQ</w:t>
            </w:r>
            <w:r>
              <w:rPr>
                <w:rFonts w:ascii="宋体" w:hAnsi="宋体" w:cs="宋体" w:hint="eastAsia"/>
                <w:color w:val="auto"/>
              </w:rPr>
              <w:t>等网络平台建立教师与学生间的互动窗口，及时了解学生对教学过程的反应，帮助学生进一步理解和消化课堂上所学知识、改进学习方法和思维方式，培养其独立思考问题的能力。</w:t>
            </w:r>
          </w:p>
        </w:tc>
      </w:tr>
      <w:tr w:rsidR="003717A0" w:rsidTr="00F5156D">
        <w:trPr>
          <w:cantSplit/>
          <w:trHeight w:val="3955"/>
          <w:jc w:val="center"/>
        </w:trPr>
        <w:tc>
          <w:tcPr>
            <w:tcW w:w="644" w:type="dxa"/>
            <w:vMerge/>
            <w:tcBorders>
              <w:top w:val="single" w:sz="4" w:space="0" w:color="000000"/>
              <w:left w:val="single" w:sz="4" w:space="0" w:color="000000"/>
              <w:bottom w:val="single" w:sz="4" w:space="0" w:color="000000"/>
              <w:right w:val="single" w:sz="4" w:space="0" w:color="000000"/>
            </w:tcBorders>
          </w:tcPr>
          <w:p w:rsidR="003717A0" w:rsidRDefault="003717A0"/>
        </w:tc>
        <w:tc>
          <w:tcPr>
            <w:tcW w:w="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成绩考核</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本课程为学期课程，成绩考核的方式：考试。考试时实行同一专业统考，即统一命题，统一考试，统一阅卷。考试学期总评成绩的评定方法如下：</w:t>
            </w:r>
          </w:p>
          <w:p w:rsidR="003717A0" w:rsidRDefault="002851AA" w:rsidP="002851AA">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1.</w:t>
            </w:r>
            <w:r w:rsidR="003717A0">
              <w:rPr>
                <w:rFonts w:ascii="宋体" w:hAnsi="宋体" w:cs="宋体" w:hint="eastAsia"/>
                <w:color w:val="auto"/>
              </w:rPr>
              <w:t>平时作业占总评成绩的</w:t>
            </w:r>
            <w:r w:rsidR="003717A0">
              <w:rPr>
                <w:rFonts w:ascii="Times New Roman"/>
                <w:color w:val="auto"/>
              </w:rPr>
              <w:t>15</w:t>
            </w:r>
            <w:r w:rsidR="003717A0">
              <w:rPr>
                <w:rFonts w:ascii="Times New Roman" w:eastAsia="Times New Roman"/>
                <w:color w:val="auto"/>
              </w:rPr>
              <w:t>%</w:t>
            </w:r>
            <w:r w:rsidR="003717A0">
              <w:rPr>
                <w:rFonts w:ascii="宋体" w:hAnsi="宋体" w:cs="宋体" w:hint="eastAsia"/>
                <w:color w:val="auto"/>
              </w:rPr>
              <w:t>；</w:t>
            </w:r>
          </w:p>
          <w:p w:rsidR="003717A0" w:rsidRDefault="002851AA" w:rsidP="002851AA">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2.</w:t>
            </w:r>
            <w:r w:rsidR="003717A0">
              <w:rPr>
                <w:rFonts w:ascii="宋体" w:hAnsi="宋体" w:cs="宋体" w:hint="eastAsia"/>
                <w:color w:val="auto"/>
              </w:rPr>
              <w:t>实验成绩占总评成绩的</w:t>
            </w:r>
            <w:r w:rsidR="003717A0">
              <w:rPr>
                <w:rFonts w:ascii="Times New Roman" w:eastAsia="Times New Roman"/>
                <w:color w:val="auto"/>
              </w:rPr>
              <w:t>10%</w:t>
            </w:r>
            <w:r w:rsidR="003717A0">
              <w:rPr>
                <w:rFonts w:ascii="宋体" w:hAnsi="宋体" w:cs="宋体" w:hint="eastAsia"/>
                <w:color w:val="auto"/>
              </w:rPr>
              <w:t>；</w:t>
            </w:r>
          </w:p>
          <w:p w:rsidR="002851AA" w:rsidRDefault="002851AA" w:rsidP="002851AA">
            <w:pPr>
              <w:pStyle w:val="Af9"/>
              <w:tabs>
                <w:tab w:val="left" w:pos="89"/>
                <w:tab w:val="left" w:pos="420"/>
              </w:tabs>
              <w:spacing w:before="0" w:after="0" w:line="360" w:lineRule="auto"/>
              <w:jc w:val="left"/>
              <w:rPr>
                <w:rFonts w:ascii="Times New Roman" w:hAnsi="Times New Roman"/>
                <w:color w:val="auto"/>
              </w:rPr>
            </w:pPr>
            <w:r>
              <w:rPr>
                <w:rFonts w:ascii="宋体" w:hAnsi="宋体" w:cs="宋体" w:hint="eastAsia"/>
                <w:color w:val="auto"/>
              </w:rPr>
              <w:t>3.</w:t>
            </w:r>
            <w:r w:rsidR="003717A0">
              <w:rPr>
                <w:rFonts w:ascii="宋体" w:hAnsi="宋体" w:cs="宋体" w:hint="eastAsia"/>
                <w:color w:val="auto"/>
              </w:rPr>
              <w:t>参加病理教学活动成绩</w:t>
            </w:r>
            <w:r w:rsidR="003717A0">
              <w:rPr>
                <w:rFonts w:ascii="Times New Roman"/>
                <w:color w:val="auto"/>
              </w:rPr>
              <w:t>5</w:t>
            </w:r>
            <w:r w:rsidR="003717A0">
              <w:rPr>
                <w:rFonts w:ascii="Times New Roman" w:eastAsia="Times New Roman"/>
                <w:color w:val="auto"/>
              </w:rPr>
              <w:t>%</w:t>
            </w:r>
            <w:r w:rsidR="003717A0">
              <w:rPr>
                <w:rFonts w:ascii="宋体" w:hAnsi="宋体" w:cs="宋体" w:hint="eastAsia"/>
                <w:color w:val="auto"/>
              </w:rPr>
              <w:t>；</w:t>
            </w:r>
          </w:p>
          <w:p w:rsidR="003717A0" w:rsidRDefault="002851AA" w:rsidP="002851AA">
            <w:pPr>
              <w:pStyle w:val="Af9"/>
              <w:tabs>
                <w:tab w:val="left" w:pos="89"/>
                <w:tab w:val="left" w:pos="420"/>
              </w:tabs>
              <w:spacing w:before="0" w:after="0" w:line="360" w:lineRule="auto"/>
              <w:jc w:val="left"/>
              <w:rPr>
                <w:rFonts w:ascii="Times New Roman" w:hAnsi="Times New Roman"/>
                <w:color w:val="auto"/>
              </w:rPr>
            </w:pPr>
            <w:r>
              <w:rPr>
                <w:rFonts w:ascii="Times New Roman" w:hAnsi="Times New Roman" w:hint="eastAsia"/>
                <w:color w:val="auto"/>
              </w:rPr>
              <w:t>4.</w:t>
            </w:r>
            <w:r w:rsidR="003717A0">
              <w:rPr>
                <w:rFonts w:ascii="宋体" w:hAnsi="宋体" w:cs="宋体" w:hint="eastAsia"/>
                <w:color w:val="auto"/>
              </w:rPr>
              <w:t>期末考试成绩占总评成绩的</w:t>
            </w:r>
            <w:r w:rsidR="003717A0">
              <w:rPr>
                <w:rFonts w:ascii="Times New Roman" w:eastAsia="Times New Roman"/>
                <w:color w:val="auto"/>
              </w:rPr>
              <w:t>70%</w:t>
            </w:r>
            <w:r w:rsidR="003717A0">
              <w:rPr>
                <w:rFonts w:ascii="宋体" w:hAnsi="宋体" w:cs="宋体" w:hint="eastAsia"/>
                <w:color w:val="auto"/>
              </w:rPr>
              <w:t>；</w:t>
            </w:r>
          </w:p>
          <w:p w:rsidR="003717A0" w:rsidRDefault="003717A0">
            <w:pPr>
              <w:pStyle w:val="Af9"/>
              <w:numPr>
                <w:ilvl w:val="0"/>
                <w:numId w:val="104"/>
              </w:numPr>
              <w:tabs>
                <w:tab w:val="clear" w:pos="89"/>
                <w:tab w:val="left" w:pos="420"/>
              </w:tabs>
              <w:spacing w:before="0" w:after="0" w:line="360" w:lineRule="auto"/>
              <w:ind w:left="420" w:hanging="420"/>
              <w:jc w:val="left"/>
              <w:rPr>
                <w:rFonts w:ascii="Times New Roman" w:hAnsi="Times New Roman"/>
                <w:color w:val="auto"/>
              </w:rPr>
            </w:pPr>
            <w:r>
              <w:rPr>
                <w:rFonts w:ascii="宋体" w:hAnsi="宋体" w:cs="宋体" w:hint="eastAsia"/>
                <w:color w:val="auto"/>
              </w:rPr>
              <w:t>有下列情况之一者，总评成绩为不及格：</w:t>
            </w:r>
          </w:p>
          <w:p w:rsidR="003717A0" w:rsidRDefault="003717A0">
            <w:pPr>
              <w:pStyle w:val="Af9"/>
              <w:spacing w:before="0" w:after="0" w:line="360" w:lineRule="auto"/>
              <w:jc w:val="left"/>
              <w:rPr>
                <w:rFonts w:ascii="Times New Roman" w:hAnsi="Times New Roman"/>
                <w:color w:val="auto"/>
              </w:rPr>
            </w:pPr>
            <w:r>
              <w:rPr>
                <w:rFonts w:ascii="宋体" w:hAnsi="宋体" w:cs="宋体" w:hint="eastAsia"/>
                <w:color w:val="auto"/>
              </w:rPr>
              <w:t>（</w:t>
            </w:r>
            <w:r>
              <w:rPr>
                <w:rFonts w:ascii="Times New Roman" w:eastAsia="Times New Roman"/>
                <w:color w:val="auto"/>
              </w:rPr>
              <w:t>1</w:t>
            </w:r>
            <w:r>
              <w:rPr>
                <w:rFonts w:ascii="宋体" w:hAnsi="宋体" w:cs="宋体" w:hint="eastAsia"/>
                <w:color w:val="auto"/>
              </w:rPr>
              <w:t>）缺交作业次数达</w:t>
            </w:r>
            <w:r>
              <w:rPr>
                <w:rFonts w:ascii="Times New Roman" w:eastAsia="Times New Roman"/>
                <w:color w:val="auto"/>
              </w:rPr>
              <w:t>1/3</w:t>
            </w:r>
            <w:r>
              <w:rPr>
                <w:rFonts w:ascii="宋体" w:hAnsi="宋体" w:cs="宋体" w:hint="eastAsia"/>
                <w:color w:val="auto"/>
              </w:rPr>
              <w:t>以上者；</w:t>
            </w:r>
          </w:p>
          <w:p w:rsidR="003717A0" w:rsidRDefault="003717A0">
            <w:pPr>
              <w:pStyle w:val="Af9"/>
              <w:spacing w:before="0" w:after="0" w:line="360" w:lineRule="auto"/>
              <w:jc w:val="left"/>
              <w:rPr>
                <w:rFonts w:ascii="宋体" w:cs="宋体"/>
                <w:color w:val="auto"/>
              </w:rPr>
            </w:pPr>
            <w:r>
              <w:rPr>
                <w:rFonts w:ascii="宋体" w:hAnsi="宋体" w:cs="宋体" w:hint="eastAsia"/>
                <w:color w:val="auto"/>
              </w:rPr>
              <w:t>（</w:t>
            </w:r>
            <w:r>
              <w:rPr>
                <w:rFonts w:ascii="Times New Roman" w:eastAsia="Times New Roman"/>
                <w:color w:val="auto"/>
              </w:rPr>
              <w:t>2</w:t>
            </w:r>
            <w:r>
              <w:rPr>
                <w:rFonts w:ascii="宋体" w:hAnsi="宋体" w:cs="宋体" w:hint="eastAsia"/>
                <w:color w:val="auto"/>
              </w:rPr>
              <w:t>）缺课次数达本学期总授课学时的</w:t>
            </w:r>
            <w:r>
              <w:rPr>
                <w:rFonts w:ascii="Times New Roman" w:eastAsia="Times New Roman"/>
                <w:color w:val="auto"/>
              </w:rPr>
              <w:t>1/3</w:t>
            </w:r>
            <w:r>
              <w:rPr>
                <w:rFonts w:ascii="宋体" w:hAnsi="宋体" w:cs="宋体" w:hint="eastAsia"/>
                <w:color w:val="auto"/>
              </w:rPr>
              <w:t>以上者。</w:t>
            </w:r>
          </w:p>
        </w:tc>
      </w:tr>
      <w:tr w:rsidR="003717A0" w:rsidTr="00F5156D">
        <w:trPr>
          <w:cantSplit/>
          <w:trHeight w:val="2016"/>
          <w:jc w:val="center"/>
        </w:trPr>
        <w:tc>
          <w:tcPr>
            <w:tcW w:w="644" w:type="dxa"/>
            <w:vMerge/>
            <w:tcBorders>
              <w:top w:val="single" w:sz="4" w:space="0" w:color="000000"/>
              <w:left w:val="single" w:sz="4" w:space="0" w:color="000000"/>
              <w:bottom w:val="single" w:sz="4" w:space="0" w:color="000000"/>
              <w:right w:val="single" w:sz="4" w:space="0" w:color="000000"/>
            </w:tcBorders>
          </w:tcPr>
          <w:p w:rsidR="003717A0" w:rsidRDefault="003717A0"/>
        </w:tc>
        <w:tc>
          <w:tcPr>
            <w:tcW w:w="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第二课堂活动</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pPr>
              <w:pStyle w:val="Af9"/>
              <w:spacing w:before="0" w:after="0" w:line="360" w:lineRule="auto"/>
              <w:ind w:firstLine="405"/>
              <w:jc w:val="left"/>
              <w:rPr>
                <w:rFonts w:ascii="宋体" w:cs="宋体"/>
                <w:color w:val="auto"/>
              </w:rPr>
            </w:pPr>
            <w:r>
              <w:rPr>
                <w:rFonts w:ascii="宋体" w:hAnsi="宋体" w:cs="宋体" w:hint="eastAsia"/>
                <w:color w:val="auto"/>
              </w:rPr>
              <w:t>为了培养学生综合运用所学知识解决实际问题的能力和创新能力，本课程教师应鼓励和指导学生积极参加课外学术活动兴趣小组，参加本学科同期开设的病理选修课程，参与教师的科学研究活动，完成相关作品并参加各级竞赛；培养和提高实践操作能力和专业基本技能。</w:t>
            </w:r>
          </w:p>
        </w:tc>
      </w:tr>
      <w:tr w:rsidR="003717A0" w:rsidTr="00F5156D">
        <w:trPr>
          <w:cantSplit/>
          <w:trHeight w:val="656"/>
          <w:jc w:val="center"/>
        </w:trPr>
        <w:tc>
          <w:tcPr>
            <w:tcW w:w="11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193" w:type="dxa"/>
            </w:tcMar>
            <w:vAlign w:val="center"/>
          </w:tcPr>
          <w:p w:rsidR="003717A0" w:rsidRDefault="003717A0">
            <w:pPr>
              <w:pStyle w:val="Af9"/>
              <w:spacing w:line="340" w:lineRule="exact"/>
              <w:ind w:left="113" w:right="113"/>
              <w:jc w:val="center"/>
              <w:rPr>
                <w:rFonts w:ascii="黑体" w:eastAsia="黑体" w:hAnsi="黑体" w:cs="黑体"/>
                <w:b/>
                <w:bCs/>
                <w:color w:val="auto"/>
                <w:sz w:val="24"/>
                <w:szCs w:val="24"/>
              </w:rPr>
            </w:pPr>
            <w:r>
              <w:rPr>
                <w:rFonts w:ascii="黑体" w:eastAsia="黑体" w:hAnsi="黑体" w:cs="黑体" w:hint="eastAsia"/>
                <w:b/>
                <w:bCs/>
                <w:color w:val="auto"/>
                <w:sz w:val="24"/>
                <w:szCs w:val="24"/>
              </w:rPr>
              <w:t>备注</w:t>
            </w:r>
          </w:p>
        </w:tc>
        <w:tc>
          <w:tcPr>
            <w:tcW w:w="8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17A0" w:rsidRDefault="003717A0"/>
        </w:tc>
      </w:tr>
    </w:tbl>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Default="003717A0">
      <w:pPr>
        <w:pStyle w:val="Af9"/>
        <w:widowControl/>
        <w:spacing w:before="0" w:after="0" w:line="240" w:lineRule="auto"/>
        <w:ind w:firstLine="358"/>
        <w:jc w:val="center"/>
        <w:rPr>
          <w:color w:val="auto"/>
          <w:kern w:val="0"/>
        </w:rPr>
      </w:pPr>
    </w:p>
    <w:p w:rsidR="003717A0" w:rsidRPr="00F5156D" w:rsidRDefault="003717A0">
      <w:pPr>
        <w:pStyle w:val="1"/>
        <w:rPr>
          <w:b/>
        </w:rPr>
      </w:pPr>
      <w:bookmarkStart w:id="48" w:name="_Toc469312986"/>
      <w:bookmarkStart w:id="49" w:name="_Toc471830698"/>
      <w:r w:rsidRPr="00F5156D">
        <w:rPr>
          <w:rFonts w:hint="eastAsia"/>
          <w:b/>
        </w:rPr>
        <w:lastRenderedPageBreak/>
        <w:t>《免疫学》课程质量标准</w:t>
      </w:r>
      <w:bookmarkEnd w:id="48"/>
      <w:bookmarkEnd w:id="49"/>
    </w:p>
    <w:p w:rsidR="003717A0" w:rsidRPr="00F5156D" w:rsidRDefault="003717A0" w:rsidP="00F5156D">
      <w:pPr>
        <w:pStyle w:val="Af9"/>
        <w:spacing w:line="360" w:lineRule="auto"/>
        <w:jc w:val="center"/>
        <w:rPr>
          <w:rFonts w:ascii="黑体" w:eastAsia="黑体" w:hAnsi="黑体" w:cs="黑体"/>
          <w:b/>
          <w:bCs/>
          <w:color w:val="auto"/>
          <w:sz w:val="32"/>
          <w:szCs w:val="32"/>
        </w:rPr>
      </w:pPr>
      <w:r w:rsidRPr="00F5156D">
        <w:rPr>
          <w:rFonts w:ascii="黑体" w:eastAsia="黑体" w:hAnsi="黑体" w:cs="黑体" w:hint="eastAsia"/>
          <w:b/>
          <w:bCs/>
          <w:color w:val="auto"/>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课程名称</w:t>
            </w:r>
          </w:p>
        </w:tc>
        <w:tc>
          <w:tcPr>
            <w:tcW w:w="7618" w:type="dxa"/>
            <w:gridSpan w:val="9"/>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免疫学</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英译名称</w:t>
            </w:r>
          </w:p>
        </w:tc>
        <w:tc>
          <w:tcPr>
            <w:tcW w:w="7618" w:type="dxa"/>
            <w:gridSpan w:val="9"/>
          </w:tcPr>
          <w:p w:rsidR="003717A0" w:rsidRDefault="003717A0" w:rsidP="00F5156D">
            <w:pPr>
              <w:adjustRightInd w:val="0"/>
              <w:snapToGrid w:val="0"/>
              <w:spacing w:line="400" w:lineRule="atLeast"/>
              <w:jc w:val="center"/>
              <w:rPr>
                <w:rFonts w:ascii="Times New Roman" w:hAnsi="Times New Roman"/>
                <w:sz w:val="22"/>
              </w:rPr>
            </w:pPr>
            <w:r>
              <w:rPr>
                <w:rFonts w:ascii="Times New Roman" w:hAnsi="Times New Roman"/>
                <w:sz w:val="22"/>
              </w:rPr>
              <w:t>Immunology</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课程代码</w:t>
            </w:r>
          </w:p>
        </w:tc>
        <w:tc>
          <w:tcPr>
            <w:tcW w:w="2350"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Ansi="Times New Roman"/>
                <w:sz w:val="22"/>
              </w:rPr>
              <w:t>170532</w:t>
            </w:r>
          </w:p>
        </w:tc>
        <w:tc>
          <w:tcPr>
            <w:tcW w:w="1902" w:type="dxa"/>
            <w:gridSpan w:val="3"/>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课程开设学期</w:t>
            </w:r>
          </w:p>
        </w:tc>
        <w:tc>
          <w:tcPr>
            <w:tcW w:w="3366" w:type="dxa"/>
            <w:gridSpan w:val="4"/>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二</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课程学时</w:t>
            </w:r>
          </w:p>
        </w:tc>
        <w:tc>
          <w:tcPr>
            <w:tcW w:w="2350"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Ansi="Times New Roman"/>
                <w:sz w:val="22"/>
              </w:rPr>
              <w:t>45</w:t>
            </w:r>
          </w:p>
        </w:tc>
        <w:tc>
          <w:tcPr>
            <w:tcW w:w="1902" w:type="dxa"/>
            <w:gridSpan w:val="3"/>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课程学分</w:t>
            </w:r>
          </w:p>
        </w:tc>
        <w:tc>
          <w:tcPr>
            <w:tcW w:w="3366" w:type="dxa"/>
            <w:gridSpan w:val="4"/>
          </w:tcPr>
          <w:p w:rsidR="003717A0" w:rsidRDefault="003717A0" w:rsidP="00F5156D">
            <w:pPr>
              <w:adjustRightInd w:val="0"/>
              <w:snapToGrid w:val="0"/>
              <w:spacing w:line="400" w:lineRule="atLeast"/>
              <w:jc w:val="center"/>
              <w:rPr>
                <w:rFonts w:ascii="Times New Roman" w:hAnsi="Times New Roman"/>
                <w:sz w:val="22"/>
              </w:rPr>
            </w:pPr>
            <w:r>
              <w:rPr>
                <w:rFonts w:ascii="Times New Roman" w:hAnsi="Times New Roman"/>
                <w:sz w:val="22"/>
              </w:rPr>
              <w:t>3</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课程类型</w:t>
            </w:r>
          </w:p>
        </w:tc>
        <w:tc>
          <w:tcPr>
            <w:tcW w:w="7618" w:type="dxa"/>
            <w:gridSpan w:val="9"/>
          </w:tcPr>
          <w:p w:rsidR="003717A0" w:rsidRDefault="003717A0" w:rsidP="00F5156D">
            <w:pPr>
              <w:adjustRightInd w:val="0"/>
              <w:snapToGrid w:val="0"/>
              <w:spacing w:line="400" w:lineRule="atLeast"/>
              <w:jc w:val="center"/>
              <w:rPr>
                <w:rFonts w:ascii="宋体"/>
                <w:sz w:val="22"/>
              </w:rPr>
            </w:pPr>
            <w:r>
              <w:rPr>
                <w:rFonts w:ascii="宋体" w:hint="eastAsia"/>
                <w:sz w:val="22"/>
              </w:rPr>
              <w:t>□</w:t>
            </w:r>
            <w:r>
              <w:rPr>
                <w:rFonts w:ascii="宋体" w:hAnsi="宋体" w:hint="eastAsia"/>
                <w:sz w:val="22"/>
              </w:rPr>
              <w:t>公共基础课</w:t>
            </w:r>
            <w:r>
              <w:rPr>
                <w:rFonts w:ascii="宋体" w:hint="eastAsia"/>
                <w:szCs w:val="21"/>
              </w:rPr>
              <w:t>■</w:t>
            </w:r>
            <w:r>
              <w:rPr>
                <w:rFonts w:ascii="宋体" w:hAnsi="宋体" w:hint="eastAsia"/>
                <w:sz w:val="22"/>
              </w:rPr>
              <w:t>专业基础课</w:t>
            </w:r>
            <w:r>
              <w:rPr>
                <w:rFonts w:ascii="宋体" w:hint="eastAsia"/>
                <w:sz w:val="22"/>
              </w:rPr>
              <w:t>□</w:t>
            </w:r>
            <w:r>
              <w:rPr>
                <w:rFonts w:ascii="宋体" w:hAnsi="宋体" w:hint="eastAsia"/>
                <w:sz w:val="22"/>
              </w:rPr>
              <w:t>专业课</w:t>
            </w:r>
            <w:r>
              <w:rPr>
                <w:rFonts w:ascii="宋体" w:hint="eastAsia"/>
                <w:sz w:val="22"/>
              </w:rPr>
              <w:t>□</w:t>
            </w:r>
            <w:r>
              <w:rPr>
                <w:rFonts w:ascii="宋体" w:hAnsi="宋体" w:hint="eastAsia"/>
                <w:sz w:val="22"/>
              </w:rPr>
              <w:t>专业选修课</w:t>
            </w:r>
            <w:r>
              <w:rPr>
                <w:rFonts w:ascii="宋体" w:hint="eastAsia"/>
                <w:sz w:val="22"/>
              </w:rPr>
              <w:t>□</w:t>
            </w:r>
            <w:r>
              <w:rPr>
                <w:rFonts w:ascii="宋体" w:hAnsi="宋体" w:hint="eastAsia"/>
                <w:sz w:val="22"/>
              </w:rPr>
              <w:t>公共选修课</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授课学院</w:t>
            </w:r>
          </w:p>
        </w:tc>
        <w:tc>
          <w:tcPr>
            <w:tcW w:w="2350"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医学院</w:t>
            </w:r>
          </w:p>
        </w:tc>
        <w:tc>
          <w:tcPr>
            <w:tcW w:w="2634" w:type="dxa"/>
            <w:gridSpan w:val="5"/>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教学研究室</w:t>
            </w:r>
            <w:r>
              <w:rPr>
                <w:rFonts w:ascii="Times New Roman" w:hAnsi="Times New Roman"/>
                <w:sz w:val="22"/>
              </w:rPr>
              <w:t>/</w:t>
            </w:r>
            <w:r>
              <w:rPr>
                <w:rFonts w:ascii="Times New Roman" w:hint="eastAsia"/>
                <w:sz w:val="22"/>
              </w:rPr>
              <w:t>系</w:t>
            </w:r>
          </w:p>
        </w:tc>
        <w:tc>
          <w:tcPr>
            <w:tcW w:w="263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免疫学系</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教材名称</w:t>
            </w:r>
          </w:p>
        </w:tc>
        <w:tc>
          <w:tcPr>
            <w:tcW w:w="7618" w:type="dxa"/>
            <w:gridSpan w:val="9"/>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医学免疫学</w:t>
            </w:r>
          </w:p>
        </w:tc>
      </w:tr>
      <w:tr w:rsidR="003717A0" w:rsidTr="00F5156D">
        <w:trPr>
          <w:jc w:val="center"/>
        </w:trPr>
        <w:tc>
          <w:tcPr>
            <w:tcW w:w="1668" w:type="dxa"/>
          </w:tcPr>
          <w:p w:rsidR="003717A0" w:rsidRDefault="003717A0" w:rsidP="00F5156D">
            <w:pPr>
              <w:adjustRightInd w:val="0"/>
              <w:snapToGrid w:val="0"/>
              <w:spacing w:line="400" w:lineRule="atLeast"/>
              <w:rPr>
                <w:sz w:val="22"/>
              </w:rPr>
            </w:pPr>
            <w:r>
              <w:rPr>
                <w:rFonts w:hint="eastAsia"/>
                <w:sz w:val="22"/>
              </w:rPr>
              <w:t>教材出版信息</w:t>
            </w:r>
          </w:p>
        </w:tc>
        <w:tc>
          <w:tcPr>
            <w:tcW w:w="7618" w:type="dxa"/>
            <w:gridSpan w:val="9"/>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人民卫生出版社，</w:t>
            </w:r>
            <w:r>
              <w:rPr>
                <w:rFonts w:ascii="Times New Roman" w:hAnsi="Times New Roman"/>
                <w:sz w:val="22"/>
              </w:rPr>
              <w:t>2013</w:t>
            </w:r>
            <w:r>
              <w:rPr>
                <w:rFonts w:ascii="Times New Roman" w:hint="eastAsia"/>
                <w:sz w:val="22"/>
              </w:rPr>
              <w:t>年</w:t>
            </w:r>
            <w:r>
              <w:rPr>
                <w:rFonts w:ascii="Times New Roman" w:hAnsi="Times New Roman"/>
                <w:sz w:val="22"/>
              </w:rPr>
              <w:t>3</w:t>
            </w:r>
            <w:r>
              <w:rPr>
                <w:rFonts w:ascii="Times New Roman" w:hint="eastAsia"/>
                <w:sz w:val="22"/>
              </w:rPr>
              <w:t>月第</w:t>
            </w:r>
            <w:r>
              <w:rPr>
                <w:rFonts w:ascii="Times New Roman" w:hAnsi="Times New Roman"/>
                <w:sz w:val="22"/>
              </w:rPr>
              <w:t>6</w:t>
            </w:r>
            <w:r>
              <w:rPr>
                <w:rFonts w:ascii="Times New Roman" w:hint="eastAsia"/>
                <w:sz w:val="22"/>
              </w:rPr>
              <w:t>版，书号：</w:t>
            </w:r>
            <w:r>
              <w:rPr>
                <w:rFonts w:ascii="Times New Roman" w:hAnsi="Times New Roman"/>
                <w:sz w:val="22"/>
              </w:rPr>
              <w:t>ISBN 978-7-117-17101-4/R·17102</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教材性质</w:t>
            </w:r>
          </w:p>
        </w:tc>
        <w:tc>
          <w:tcPr>
            <w:tcW w:w="7618" w:type="dxa"/>
            <w:gridSpan w:val="9"/>
          </w:tcPr>
          <w:p w:rsidR="003717A0" w:rsidRDefault="003717A0" w:rsidP="00F5156D">
            <w:pPr>
              <w:adjustRightInd w:val="0"/>
              <w:snapToGrid w:val="0"/>
              <w:spacing w:line="400" w:lineRule="atLeast"/>
              <w:rPr>
                <w:rFonts w:ascii="宋体"/>
                <w:sz w:val="22"/>
              </w:rPr>
            </w:pPr>
            <w:r>
              <w:rPr>
                <w:rFonts w:ascii="宋体" w:hint="eastAsia"/>
                <w:szCs w:val="21"/>
              </w:rPr>
              <w:t>■</w:t>
            </w:r>
            <w:r>
              <w:rPr>
                <w:rFonts w:ascii="宋体" w:hAnsi="宋体" w:hint="eastAsia"/>
                <w:sz w:val="22"/>
              </w:rPr>
              <w:t>国家</w:t>
            </w:r>
            <w:r>
              <w:rPr>
                <w:rFonts w:ascii="宋体" w:hint="eastAsia"/>
                <w:szCs w:val="21"/>
              </w:rPr>
              <w:t>■</w:t>
            </w:r>
            <w:r>
              <w:rPr>
                <w:rFonts w:ascii="宋体" w:hAnsi="宋体" w:hint="eastAsia"/>
                <w:sz w:val="22"/>
              </w:rPr>
              <w:t>部级规划</w:t>
            </w:r>
            <w:r>
              <w:rPr>
                <w:rFonts w:ascii="宋体" w:hint="eastAsia"/>
                <w:sz w:val="22"/>
              </w:rPr>
              <w:t>□</w:t>
            </w:r>
            <w:r>
              <w:rPr>
                <w:rFonts w:ascii="宋体" w:hAnsi="宋体" w:hint="eastAsia"/>
                <w:sz w:val="22"/>
              </w:rPr>
              <w:t>省级规划</w:t>
            </w:r>
            <w:r>
              <w:rPr>
                <w:rFonts w:ascii="宋体" w:hint="eastAsia"/>
                <w:sz w:val="22"/>
              </w:rPr>
              <w:t>□</w:t>
            </w:r>
            <w:r>
              <w:rPr>
                <w:rFonts w:ascii="宋体" w:hAnsi="宋体" w:hint="eastAsia"/>
                <w:sz w:val="22"/>
              </w:rPr>
              <w:t>自编</w:t>
            </w:r>
            <w:r>
              <w:rPr>
                <w:rFonts w:ascii="宋体" w:hint="eastAsia"/>
                <w:sz w:val="22"/>
              </w:rPr>
              <w:t>□</w:t>
            </w:r>
            <w:r>
              <w:rPr>
                <w:rFonts w:ascii="宋体" w:hAnsi="宋体" w:hint="eastAsia"/>
                <w:sz w:val="22"/>
              </w:rPr>
              <w:t>其他</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考核方式</w:t>
            </w:r>
          </w:p>
        </w:tc>
        <w:tc>
          <w:tcPr>
            <w:tcW w:w="7618" w:type="dxa"/>
            <w:gridSpan w:val="9"/>
          </w:tcPr>
          <w:p w:rsidR="003717A0" w:rsidRDefault="003717A0" w:rsidP="00F5156D">
            <w:pPr>
              <w:adjustRightInd w:val="0"/>
              <w:snapToGrid w:val="0"/>
              <w:spacing w:line="400" w:lineRule="atLeast"/>
              <w:rPr>
                <w:rFonts w:ascii="宋体"/>
                <w:sz w:val="22"/>
              </w:rPr>
            </w:pPr>
            <w:r>
              <w:rPr>
                <w:rFonts w:ascii="宋体" w:hint="eastAsia"/>
                <w:sz w:val="22"/>
              </w:rPr>
              <w:t>□</w:t>
            </w:r>
            <w:r>
              <w:rPr>
                <w:rFonts w:ascii="宋体" w:hAnsi="宋体" w:hint="eastAsia"/>
                <w:sz w:val="22"/>
              </w:rPr>
              <w:t>考试</w:t>
            </w:r>
            <w:r>
              <w:rPr>
                <w:rFonts w:ascii="宋体" w:hint="eastAsia"/>
                <w:szCs w:val="21"/>
              </w:rPr>
              <w:t>■</w:t>
            </w:r>
            <w:r>
              <w:rPr>
                <w:rFonts w:ascii="宋体" w:hAnsi="宋体" w:hint="eastAsia"/>
                <w:sz w:val="22"/>
              </w:rPr>
              <w:t>考查</w:t>
            </w:r>
            <w:r>
              <w:rPr>
                <w:rFonts w:ascii="宋体" w:hint="eastAsia"/>
                <w:sz w:val="22"/>
              </w:rPr>
              <w:t>□</w:t>
            </w:r>
            <w:r>
              <w:rPr>
                <w:rFonts w:ascii="宋体" w:hAnsi="宋体" w:hint="eastAsia"/>
                <w:sz w:val="22"/>
              </w:rPr>
              <w:t>开卷</w:t>
            </w:r>
            <w:r>
              <w:rPr>
                <w:rFonts w:ascii="宋体" w:hint="eastAsia"/>
                <w:szCs w:val="21"/>
              </w:rPr>
              <w:t>■</w:t>
            </w:r>
            <w:r>
              <w:rPr>
                <w:rFonts w:ascii="宋体" w:hAnsi="宋体" w:hint="eastAsia"/>
                <w:sz w:val="22"/>
              </w:rPr>
              <w:t>闭卷</w:t>
            </w:r>
            <w:r>
              <w:rPr>
                <w:rFonts w:ascii="宋体" w:hint="eastAsia"/>
                <w:sz w:val="22"/>
              </w:rPr>
              <w:t>□</w:t>
            </w:r>
            <w:r>
              <w:rPr>
                <w:rFonts w:ascii="宋体" w:hAnsi="宋体" w:hint="eastAsia"/>
                <w:sz w:val="22"/>
              </w:rPr>
              <w:t>课程设计</w:t>
            </w:r>
            <w:r>
              <w:rPr>
                <w:rFonts w:ascii="宋体" w:hint="eastAsia"/>
                <w:sz w:val="22"/>
              </w:rPr>
              <w:t>□</w:t>
            </w:r>
            <w:r>
              <w:rPr>
                <w:rFonts w:ascii="宋体" w:hAnsi="宋体" w:hint="eastAsia"/>
                <w:sz w:val="22"/>
              </w:rPr>
              <w:t>学期论文</w:t>
            </w:r>
            <w:r>
              <w:rPr>
                <w:rFonts w:ascii="宋体" w:hint="eastAsia"/>
                <w:sz w:val="22"/>
              </w:rPr>
              <w:t>□</w:t>
            </w:r>
            <w:r>
              <w:rPr>
                <w:rFonts w:ascii="宋体" w:hAnsi="宋体" w:hint="eastAsia"/>
                <w:sz w:val="22"/>
              </w:rPr>
              <w:t>其他</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课程成绩</w:t>
            </w:r>
          </w:p>
        </w:tc>
        <w:tc>
          <w:tcPr>
            <w:tcW w:w="3809" w:type="dxa"/>
            <w:gridSpan w:val="4"/>
          </w:tcPr>
          <w:p w:rsidR="003717A0" w:rsidRDefault="003717A0" w:rsidP="00F5156D">
            <w:pPr>
              <w:adjustRightInd w:val="0"/>
              <w:snapToGrid w:val="0"/>
              <w:spacing w:line="400" w:lineRule="atLeast"/>
              <w:jc w:val="left"/>
              <w:rPr>
                <w:rFonts w:ascii="Times New Roman" w:hAnsi="Times New Roman"/>
                <w:sz w:val="22"/>
              </w:rPr>
            </w:pPr>
            <w:r>
              <w:rPr>
                <w:rFonts w:ascii="Times New Roman" w:hint="eastAsia"/>
                <w:sz w:val="22"/>
              </w:rPr>
              <w:t>平时成绩</w:t>
            </w:r>
            <w:r>
              <w:rPr>
                <w:rFonts w:ascii="Times New Roman" w:hAnsi="Times New Roman"/>
                <w:sz w:val="22"/>
              </w:rPr>
              <w:t>0%</w:t>
            </w:r>
          </w:p>
        </w:tc>
        <w:tc>
          <w:tcPr>
            <w:tcW w:w="3809" w:type="dxa"/>
            <w:gridSpan w:val="5"/>
          </w:tcPr>
          <w:p w:rsidR="003717A0" w:rsidRDefault="003717A0" w:rsidP="00F5156D">
            <w:pPr>
              <w:adjustRightInd w:val="0"/>
              <w:snapToGrid w:val="0"/>
              <w:spacing w:line="400" w:lineRule="atLeast"/>
              <w:jc w:val="left"/>
              <w:rPr>
                <w:rFonts w:ascii="Times New Roman" w:hAnsi="Times New Roman"/>
                <w:sz w:val="22"/>
              </w:rPr>
            </w:pPr>
            <w:r>
              <w:rPr>
                <w:rFonts w:ascii="Times New Roman" w:hint="eastAsia"/>
                <w:sz w:val="22"/>
              </w:rPr>
              <w:t>期末成绩</w:t>
            </w:r>
            <w:r>
              <w:rPr>
                <w:rFonts w:ascii="Times New Roman" w:hAnsi="Times New Roman"/>
                <w:sz w:val="22"/>
              </w:rPr>
              <w:t>100%</w:t>
            </w:r>
          </w:p>
        </w:tc>
      </w:tr>
      <w:tr w:rsidR="003717A0" w:rsidTr="00F5156D">
        <w:trPr>
          <w:jc w:val="center"/>
        </w:trPr>
        <w:tc>
          <w:tcPr>
            <w:tcW w:w="9286" w:type="dxa"/>
            <w:gridSpan w:val="10"/>
          </w:tcPr>
          <w:p w:rsidR="003717A0" w:rsidRDefault="003717A0" w:rsidP="00F5156D">
            <w:pPr>
              <w:adjustRightInd w:val="0"/>
              <w:snapToGrid w:val="0"/>
              <w:spacing w:line="400" w:lineRule="atLeast"/>
              <w:rPr>
                <w:rFonts w:ascii="Times New Roman" w:hAnsi="Times New Roman"/>
                <w:sz w:val="22"/>
              </w:rPr>
            </w:pPr>
            <w:r>
              <w:rPr>
                <w:rFonts w:ascii="Times New Roman" w:hint="eastAsia"/>
                <w:sz w:val="22"/>
              </w:rPr>
              <w:t>课程负责人及团队骨干（五人以内）</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姓名</w:t>
            </w:r>
          </w:p>
        </w:tc>
        <w:tc>
          <w:tcPr>
            <w:tcW w:w="1523"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性别</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学历</w:t>
            </w:r>
          </w:p>
        </w:tc>
        <w:tc>
          <w:tcPr>
            <w:tcW w:w="1523" w:type="dxa"/>
            <w:gridSpan w:val="3"/>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学位</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职称</w:t>
            </w:r>
          </w:p>
        </w:tc>
        <w:tc>
          <w:tcPr>
            <w:tcW w:w="1524"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从教时间</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汪晓莺</w:t>
            </w:r>
          </w:p>
        </w:tc>
        <w:tc>
          <w:tcPr>
            <w:tcW w:w="1523"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女</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研究生</w:t>
            </w:r>
          </w:p>
        </w:tc>
        <w:tc>
          <w:tcPr>
            <w:tcW w:w="1523" w:type="dxa"/>
            <w:gridSpan w:val="3"/>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硕</w:t>
            </w:r>
            <w:r>
              <w:rPr>
                <w:rFonts w:ascii="Times New Roman" w:hAnsi="Times New Roman"/>
                <w:sz w:val="22"/>
              </w:rPr>
              <w:t xml:space="preserve"> </w:t>
            </w:r>
            <w:r>
              <w:rPr>
                <w:rFonts w:ascii="Times New Roman" w:hint="eastAsia"/>
                <w:sz w:val="22"/>
              </w:rPr>
              <w:t>士</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教</w:t>
            </w:r>
            <w:r>
              <w:rPr>
                <w:rFonts w:ascii="Times New Roman" w:hAnsi="Times New Roman"/>
                <w:sz w:val="22"/>
              </w:rPr>
              <w:t xml:space="preserve">  </w:t>
            </w:r>
            <w:r>
              <w:rPr>
                <w:rFonts w:ascii="Times New Roman" w:hint="eastAsia"/>
                <w:sz w:val="22"/>
              </w:rPr>
              <w:t>授</w:t>
            </w:r>
          </w:p>
        </w:tc>
        <w:tc>
          <w:tcPr>
            <w:tcW w:w="1524" w:type="dxa"/>
          </w:tcPr>
          <w:p w:rsidR="003717A0" w:rsidRDefault="003717A0" w:rsidP="00F5156D">
            <w:pPr>
              <w:adjustRightInd w:val="0"/>
              <w:snapToGrid w:val="0"/>
              <w:spacing w:line="400" w:lineRule="atLeast"/>
              <w:jc w:val="center"/>
              <w:rPr>
                <w:rFonts w:ascii="Times New Roman" w:hAnsi="Times New Roman"/>
                <w:sz w:val="22"/>
              </w:rPr>
            </w:pP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朱轶晴</w:t>
            </w:r>
          </w:p>
        </w:tc>
        <w:tc>
          <w:tcPr>
            <w:tcW w:w="1523"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女</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研究生</w:t>
            </w:r>
          </w:p>
        </w:tc>
        <w:tc>
          <w:tcPr>
            <w:tcW w:w="1523" w:type="dxa"/>
            <w:gridSpan w:val="3"/>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硕</w:t>
            </w:r>
            <w:r>
              <w:rPr>
                <w:rFonts w:ascii="Times New Roman" w:hAnsi="Times New Roman"/>
                <w:sz w:val="22"/>
              </w:rPr>
              <w:t xml:space="preserve"> </w:t>
            </w:r>
            <w:r>
              <w:rPr>
                <w:rFonts w:ascii="Times New Roman" w:hint="eastAsia"/>
                <w:sz w:val="22"/>
              </w:rPr>
              <w:t>士</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讲</w:t>
            </w:r>
            <w:r>
              <w:rPr>
                <w:rFonts w:ascii="Times New Roman" w:hAnsi="Times New Roman"/>
                <w:sz w:val="22"/>
              </w:rPr>
              <w:t xml:space="preserve">  </w:t>
            </w:r>
            <w:r>
              <w:rPr>
                <w:rFonts w:ascii="Times New Roman" w:hint="eastAsia"/>
                <w:sz w:val="22"/>
              </w:rPr>
              <w:t>师</w:t>
            </w:r>
          </w:p>
        </w:tc>
        <w:tc>
          <w:tcPr>
            <w:tcW w:w="1524"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Ansi="Times New Roman"/>
                <w:sz w:val="22"/>
              </w:rPr>
              <w:t>2000.8</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r>
              <w:rPr>
                <w:rFonts w:hint="eastAsia"/>
                <w:sz w:val="22"/>
              </w:rPr>
              <w:t>邵晓轶</w:t>
            </w:r>
          </w:p>
        </w:tc>
        <w:tc>
          <w:tcPr>
            <w:tcW w:w="1523"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女</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研究生</w:t>
            </w:r>
          </w:p>
        </w:tc>
        <w:tc>
          <w:tcPr>
            <w:tcW w:w="1523" w:type="dxa"/>
            <w:gridSpan w:val="3"/>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博</w:t>
            </w:r>
            <w:r>
              <w:rPr>
                <w:rFonts w:ascii="Times New Roman" w:hAnsi="Times New Roman"/>
                <w:sz w:val="22"/>
              </w:rPr>
              <w:t xml:space="preserve"> </w:t>
            </w:r>
            <w:r>
              <w:rPr>
                <w:rFonts w:ascii="Times New Roman" w:hint="eastAsia"/>
                <w:sz w:val="22"/>
              </w:rPr>
              <w:t>士</w:t>
            </w: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r>
              <w:rPr>
                <w:rFonts w:ascii="Times New Roman" w:hint="eastAsia"/>
                <w:sz w:val="22"/>
              </w:rPr>
              <w:t>副教授</w:t>
            </w:r>
          </w:p>
        </w:tc>
        <w:tc>
          <w:tcPr>
            <w:tcW w:w="1524" w:type="dxa"/>
          </w:tcPr>
          <w:p w:rsidR="003717A0" w:rsidRDefault="003717A0" w:rsidP="00F5156D">
            <w:pPr>
              <w:adjustRightInd w:val="0"/>
              <w:snapToGrid w:val="0"/>
              <w:spacing w:line="400" w:lineRule="atLeast"/>
              <w:jc w:val="center"/>
              <w:rPr>
                <w:rFonts w:ascii="Times New Roman" w:hAnsi="Times New Roman"/>
                <w:sz w:val="22"/>
              </w:rPr>
            </w:pPr>
            <w:r>
              <w:rPr>
                <w:rFonts w:ascii="Times New Roman" w:hAnsi="Times New Roman"/>
                <w:sz w:val="22"/>
              </w:rPr>
              <w:t>2004.8</w:t>
            </w: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p>
        </w:tc>
        <w:tc>
          <w:tcPr>
            <w:tcW w:w="1523" w:type="dxa"/>
          </w:tcPr>
          <w:p w:rsidR="003717A0" w:rsidRDefault="003717A0" w:rsidP="00F5156D">
            <w:pPr>
              <w:adjustRightInd w:val="0"/>
              <w:snapToGrid w:val="0"/>
              <w:spacing w:line="400" w:lineRule="atLeast"/>
              <w:jc w:val="center"/>
              <w:rPr>
                <w:rFonts w:ascii="Times New Roman" w:hAnsi="Times New Roman"/>
                <w:sz w:val="22"/>
              </w:rPr>
            </w:pP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p>
        </w:tc>
        <w:tc>
          <w:tcPr>
            <w:tcW w:w="1523" w:type="dxa"/>
            <w:gridSpan w:val="3"/>
          </w:tcPr>
          <w:p w:rsidR="003717A0" w:rsidRDefault="003717A0" w:rsidP="00F5156D">
            <w:pPr>
              <w:adjustRightInd w:val="0"/>
              <w:snapToGrid w:val="0"/>
              <w:spacing w:line="400" w:lineRule="atLeast"/>
              <w:jc w:val="center"/>
              <w:rPr>
                <w:rFonts w:ascii="Times New Roman" w:hAnsi="Times New Roman"/>
                <w:sz w:val="22"/>
              </w:rPr>
            </w:pP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p>
        </w:tc>
        <w:tc>
          <w:tcPr>
            <w:tcW w:w="1524" w:type="dxa"/>
          </w:tcPr>
          <w:p w:rsidR="003717A0" w:rsidRDefault="003717A0" w:rsidP="00F5156D">
            <w:pPr>
              <w:adjustRightInd w:val="0"/>
              <w:snapToGrid w:val="0"/>
              <w:spacing w:line="400" w:lineRule="atLeast"/>
              <w:jc w:val="center"/>
              <w:rPr>
                <w:rFonts w:ascii="Times New Roman" w:hAnsi="Times New Roman"/>
                <w:sz w:val="22"/>
              </w:rPr>
            </w:pPr>
          </w:p>
        </w:tc>
      </w:tr>
      <w:tr w:rsidR="003717A0" w:rsidTr="00F5156D">
        <w:trPr>
          <w:jc w:val="center"/>
        </w:trPr>
        <w:tc>
          <w:tcPr>
            <w:tcW w:w="1668" w:type="dxa"/>
          </w:tcPr>
          <w:p w:rsidR="003717A0" w:rsidRDefault="003717A0" w:rsidP="00F5156D">
            <w:pPr>
              <w:adjustRightInd w:val="0"/>
              <w:snapToGrid w:val="0"/>
              <w:spacing w:line="400" w:lineRule="atLeast"/>
              <w:jc w:val="center"/>
              <w:rPr>
                <w:sz w:val="22"/>
              </w:rPr>
            </w:pPr>
          </w:p>
        </w:tc>
        <w:tc>
          <w:tcPr>
            <w:tcW w:w="1523" w:type="dxa"/>
          </w:tcPr>
          <w:p w:rsidR="003717A0" w:rsidRDefault="003717A0" w:rsidP="00F5156D">
            <w:pPr>
              <w:adjustRightInd w:val="0"/>
              <w:snapToGrid w:val="0"/>
              <w:spacing w:line="400" w:lineRule="atLeast"/>
              <w:jc w:val="center"/>
              <w:rPr>
                <w:rFonts w:ascii="Times New Roman" w:hAnsi="Times New Roman"/>
                <w:sz w:val="22"/>
              </w:rPr>
            </w:pP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p>
        </w:tc>
        <w:tc>
          <w:tcPr>
            <w:tcW w:w="1523" w:type="dxa"/>
            <w:gridSpan w:val="3"/>
          </w:tcPr>
          <w:p w:rsidR="003717A0" w:rsidRDefault="003717A0" w:rsidP="00F5156D">
            <w:pPr>
              <w:adjustRightInd w:val="0"/>
              <w:snapToGrid w:val="0"/>
              <w:spacing w:line="400" w:lineRule="atLeast"/>
              <w:jc w:val="center"/>
              <w:rPr>
                <w:rFonts w:ascii="Times New Roman" w:hAnsi="Times New Roman"/>
                <w:sz w:val="22"/>
              </w:rPr>
            </w:pPr>
          </w:p>
        </w:tc>
        <w:tc>
          <w:tcPr>
            <w:tcW w:w="1524" w:type="dxa"/>
            <w:gridSpan w:val="2"/>
          </w:tcPr>
          <w:p w:rsidR="003717A0" w:rsidRDefault="003717A0" w:rsidP="00F5156D">
            <w:pPr>
              <w:adjustRightInd w:val="0"/>
              <w:snapToGrid w:val="0"/>
              <w:spacing w:line="400" w:lineRule="atLeast"/>
              <w:jc w:val="center"/>
              <w:rPr>
                <w:rFonts w:ascii="Times New Roman" w:hAnsi="Times New Roman"/>
                <w:sz w:val="22"/>
              </w:rPr>
            </w:pPr>
          </w:p>
        </w:tc>
        <w:tc>
          <w:tcPr>
            <w:tcW w:w="1524" w:type="dxa"/>
          </w:tcPr>
          <w:p w:rsidR="003717A0" w:rsidRDefault="003717A0" w:rsidP="00F5156D">
            <w:pPr>
              <w:adjustRightInd w:val="0"/>
              <w:snapToGrid w:val="0"/>
              <w:spacing w:line="400" w:lineRule="atLeast"/>
              <w:jc w:val="center"/>
              <w:rPr>
                <w:rFonts w:ascii="Times New Roman" w:hAnsi="Times New Roman"/>
                <w:sz w:val="22"/>
              </w:rPr>
            </w:pPr>
          </w:p>
        </w:tc>
      </w:tr>
      <w:tr w:rsidR="003717A0" w:rsidTr="00F5156D">
        <w:trPr>
          <w:jc w:val="center"/>
        </w:trPr>
        <w:tc>
          <w:tcPr>
            <w:tcW w:w="9286" w:type="dxa"/>
            <w:gridSpan w:val="10"/>
          </w:tcPr>
          <w:p w:rsidR="003717A0" w:rsidRDefault="003717A0" w:rsidP="00F5156D">
            <w:pPr>
              <w:adjustRightInd w:val="0"/>
              <w:snapToGrid w:val="0"/>
              <w:spacing w:line="400" w:lineRule="atLeast"/>
              <w:rPr>
                <w:sz w:val="22"/>
              </w:rPr>
            </w:pPr>
            <w:r>
              <w:rPr>
                <w:rFonts w:hint="eastAsia"/>
                <w:sz w:val="22"/>
              </w:rPr>
              <w:t>课程简介</w:t>
            </w:r>
          </w:p>
        </w:tc>
      </w:tr>
      <w:tr w:rsidR="003717A0" w:rsidTr="00F5156D">
        <w:trPr>
          <w:jc w:val="center"/>
        </w:trPr>
        <w:tc>
          <w:tcPr>
            <w:tcW w:w="9286" w:type="dxa"/>
            <w:gridSpan w:val="10"/>
          </w:tcPr>
          <w:p w:rsidR="003717A0" w:rsidRDefault="003717A0" w:rsidP="00F5156D">
            <w:pPr>
              <w:adjustRightInd w:val="0"/>
              <w:snapToGrid w:val="0"/>
              <w:spacing w:line="400" w:lineRule="atLeast"/>
              <w:ind w:firstLineChars="250" w:firstLine="550"/>
              <w:rPr>
                <w:rFonts w:ascii="Times New Roman" w:hAnsi="Times New Roman"/>
                <w:sz w:val="22"/>
              </w:rPr>
            </w:pPr>
            <w:r>
              <w:rPr>
                <w:rFonts w:ascii="Times New Roman" w:hint="eastAsia"/>
                <w:sz w:val="22"/>
              </w:rPr>
              <w:t>医学免疫学是医学本科生的专业基础必修课程和学位课程。这门课程是研究人体免疫系统的结构和功能的科学。通过本课程的教学，要求学生能达到：掌握免疫系统的组成和功能；系统认识免疫系统识别抗原和危险信号后发生免疫应答、清除抗原异物的规律，以及免疫功能异常所致病理过程和疾病发生发展的机制；从而为诊断、预防和治疗某些免疫相关疾病提供理论基础和技术方法，并为学习其他基础医学及临床医学课程打下良好的基础。本课程教学的主要路径与方法：（</w:t>
            </w:r>
            <w:r>
              <w:rPr>
                <w:rFonts w:ascii="Times New Roman" w:hAnsi="Times New Roman"/>
                <w:sz w:val="22"/>
              </w:rPr>
              <w:t>1</w:t>
            </w:r>
            <w:r>
              <w:rPr>
                <w:rFonts w:ascii="Times New Roman" w:hint="eastAsia"/>
                <w:sz w:val="22"/>
              </w:rPr>
              <w:t>）通过理论课堂讲解医学免疫学的主要知识点，使学生掌握本课程的基本概念和知识；（</w:t>
            </w:r>
            <w:r>
              <w:rPr>
                <w:rFonts w:ascii="Times New Roman" w:hAnsi="Times New Roman"/>
                <w:sz w:val="22"/>
              </w:rPr>
              <w:t>2</w:t>
            </w:r>
            <w:r>
              <w:rPr>
                <w:rFonts w:ascii="Times New Roman" w:hint="eastAsia"/>
                <w:sz w:val="22"/>
              </w:rPr>
              <w:t>）利用参考书和</w:t>
            </w:r>
            <w:r>
              <w:rPr>
                <w:rFonts w:ascii="Times New Roman" w:hAnsi="Times New Roman"/>
                <w:sz w:val="22"/>
              </w:rPr>
              <w:t>blackboard</w:t>
            </w:r>
            <w:r>
              <w:rPr>
                <w:rFonts w:ascii="Times New Roman" w:hint="eastAsia"/>
                <w:sz w:val="22"/>
              </w:rPr>
              <w:t>等网络平台，辅导学生逐步形成自主学习的能力；（</w:t>
            </w:r>
            <w:r>
              <w:rPr>
                <w:rFonts w:ascii="Times New Roman" w:hAnsi="Times New Roman"/>
                <w:sz w:val="22"/>
              </w:rPr>
              <w:t>3</w:t>
            </w:r>
            <w:r>
              <w:rPr>
                <w:rFonts w:ascii="Times New Roman" w:hint="eastAsia"/>
                <w:sz w:val="22"/>
              </w:rPr>
              <w:t>）根据理论课中的重点内容给出思考题，学生课后复习总结、收集资料、小组讨论、整理、制作</w:t>
            </w:r>
            <w:r>
              <w:rPr>
                <w:rFonts w:ascii="Times New Roman" w:hAnsi="Times New Roman"/>
                <w:sz w:val="22"/>
              </w:rPr>
              <w:t>PPT</w:t>
            </w:r>
            <w:r>
              <w:rPr>
                <w:rFonts w:ascii="Times New Roman" w:hint="eastAsia"/>
                <w:sz w:val="22"/>
              </w:rPr>
              <w:t>，并在全班进行汇报、交流和讨论，帮助学生加深对免疫应答过程和机制的理解；（</w:t>
            </w:r>
            <w:r>
              <w:rPr>
                <w:rFonts w:ascii="Times New Roman" w:hAnsi="Times New Roman"/>
                <w:sz w:val="22"/>
              </w:rPr>
              <w:t>4</w:t>
            </w:r>
            <w:r>
              <w:rPr>
                <w:rFonts w:ascii="Times New Roman" w:hint="eastAsia"/>
                <w:sz w:val="22"/>
              </w:rPr>
              <w:t>）充分应用录像设备、计算机、多媒体等电化教学手段，让微观的分子水平及抽象的概念，能直观形象的显示出来，增加免疫学教学的形象性、生动性、趣味性。</w:t>
            </w:r>
          </w:p>
        </w:tc>
      </w:tr>
    </w:tbl>
    <w:p w:rsidR="003717A0" w:rsidRPr="00F5156D" w:rsidRDefault="003717A0" w:rsidP="00F5156D">
      <w:pPr>
        <w:pStyle w:val="Af9"/>
        <w:spacing w:line="360" w:lineRule="auto"/>
        <w:jc w:val="center"/>
        <w:rPr>
          <w:rFonts w:ascii="黑体" w:eastAsia="黑体" w:hAnsi="黑体" w:cs="黑体"/>
          <w:b/>
          <w:bCs/>
          <w:color w:val="auto"/>
          <w:sz w:val="32"/>
          <w:szCs w:val="32"/>
        </w:rPr>
      </w:pPr>
      <w:r w:rsidRPr="00F5156D">
        <w:rPr>
          <w:rFonts w:ascii="黑体" w:eastAsia="黑体" w:hAnsi="黑体" w:cs="黑体" w:hint="eastAsia"/>
          <w:b/>
          <w:bCs/>
          <w:color w:val="auto"/>
          <w:sz w:val="32"/>
          <w:szCs w:val="32"/>
        </w:rPr>
        <w:lastRenderedPageBreak/>
        <w:t>二、课程教学大纲</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rFonts w:ascii="Times New Roman" w:hAnsi="Times New Roman"/>
          <w:sz w:val="22"/>
        </w:rPr>
        <w:t>170532</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45</w:t>
      </w:r>
      <w:r>
        <w:rPr>
          <w:rFonts w:ascii="Times New Roman" w:hAnsi="Times New Roman" w:hint="eastAsia"/>
          <w:kern w:val="0"/>
          <w:szCs w:val="21"/>
        </w:rPr>
        <w:t>学时（理论学时</w:t>
      </w:r>
      <w:r>
        <w:rPr>
          <w:rFonts w:ascii="Times New Roman" w:hAnsi="Times New Roman"/>
          <w:kern w:val="0"/>
          <w:szCs w:val="21"/>
        </w:rPr>
        <w:t>36</w:t>
      </w:r>
      <w:r>
        <w:rPr>
          <w:rFonts w:ascii="Times New Roman" w:hAnsi="Times New Roman" w:hint="eastAsia"/>
          <w:kern w:val="0"/>
          <w:szCs w:val="21"/>
        </w:rPr>
        <w:t>，实验学时</w:t>
      </w:r>
      <w:r>
        <w:rPr>
          <w:rFonts w:ascii="Times New Roman" w:hAnsi="Times New Roman"/>
          <w:kern w:val="0"/>
          <w:szCs w:val="21"/>
        </w:rPr>
        <w:t>9</w:t>
      </w:r>
      <w:r>
        <w:rPr>
          <w:rFonts w:ascii="Times New Roman" w:hAnsi="Times New Roman" w:hint="eastAsia"/>
          <w:kern w:val="0"/>
          <w:szCs w:val="21"/>
        </w:rPr>
        <w:t>）</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3</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先修课程：人体解剖学、组织学与胚胎学</w:t>
      </w:r>
      <w:r>
        <w:rPr>
          <w:rFonts w:hAnsi="宋体" w:hint="eastAsia"/>
          <w:kern w:val="0"/>
        </w:rPr>
        <w:t>、生理学、生物化学</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后续课程：医学微生物学、病理生理学、病理解剖学</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rPr>
      </w:pPr>
      <w:r>
        <w:rPr>
          <w:rFonts w:ascii="Times New Roman" w:hint="eastAsia"/>
        </w:rPr>
        <w:t>医学免疫学是研究人体免疫系统结构和功能的科学。组成免疫系统的器官、细胞、分子借助血管、淋巴管连接，遍及全身各处。众多的免疫器官、免疫细胞、免疫分子、免疫基因之间相互作用，不是简单的一对一线性关系，而是错综复杂的非线性相互反应，由多种传导信号系统介入，产生一系列不同的免疫功能。诸如此类构成了免疫学的复杂网络特点。</w:t>
      </w:r>
      <w:r>
        <w:rPr>
          <w:rFonts w:ascii="Times New Roman" w:hAnsi="Times New Roman"/>
        </w:rPr>
        <w:t>20</w:t>
      </w:r>
      <w:r>
        <w:rPr>
          <w:rFonts w:ascii="Times New Roman" w:hint="eastAsia"/>
        </w:rPr>
        <w:t>世纪</w:t>
      </w:r>
      <w:r>
        <w:rPr>
          <w:rFonts w:ascii="Times New Roman" w:hAnsi="Times New Roman"/>
        </w:rPr>
        <w:t>70</w:t>
      </w:r>
      <w:r>
        <w:rPr>
          <w:rFonts w:ascii="Times New Roman" w:hint="eastAsia"/>
        </w:rPr>
        <w:t>年代以来，借助分子生物学发展的成就，免疫学在以基因、分子、细胞、整体功能各有不同、互为基础的层次上研究免疫细胞生命活动的基本规律，开拓了认识生命奥秘的诸多重要途径。免疫学自身也发展成为生命科学的前沿学科。免疫学理论覆盖面广，涉及基础医学和临床医学多种学科。在基础医学领域，免疫学与细胞生物学、分子生物学、医学遗传学、生物化学等学科同步发展，互相促进。在临床医学领域，许多疾病的免疫学发病机制不断阐明，免疫学技术已在医学领域广泛应用，医学免疫学成为临床医学各学科广泛交叉的学科，为其提供重要理论基础。因此医学免疫学已列为医学本科生必修的主干课程。</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int="eastAsia"/>
        </w:rPr>
        <w:t>本课程的教学任务是：</w:t>
      </w:r>
      <w:r>
        <w:rPr>
          <w:rFonts w:ascii="Times New Roman" w:hAnsi="Times New Roman" w:hint="eastAsia"/>
        </w:rPr>
        <w:t>通过本课程的学习使学生</w:t>
      </w:r>
      <w:r>
        <w:rPr>
          <w:rFonts w:ascii="Times New Roman" w:hint="eastAsia"/>
          <w:sz w:val="22"/>
        </w:rPr>
        <w:t>掌握免疫系统的组成和功能；系统认识免疫系统识别抗原和危险信号后发生免疫应答、清除抗原异物的规律，以及免疫功能异常所致病理过程和疾病发生发展的机制；从而为诊断、预防和治疗某些免疫相关疾病提供理论基础和技术方法，并为学习其他基础医学及临床医学课程打下良好的基础。</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rsidP="00F5156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通过本课程的学习，要求学生较系统掌握免疫系统的组成和功能、免疫系统对抗原的识别及应答、</w:t>
      </w:r>
      <w:r>
        <w:rPr>
          <w:rFonts w:hint="eastAsia"/>
        </w:rPr>
        <w:t>免疫系统对抗原的排异反应及机制、免疫功能异常所致的病理过程及其机制以及免疫学理论、方法和技术在疾病预防、诊断和治疗中的应用；</w:t>
      </w:r>
      <w:r>
        <w:rPr>
          <w:rFonts w:ascii="Times New Roman" w:hAnsi="Times New Roman" w:hint="eastAsia"/>
          <w:kern w:val="0"/>
          <w:szCs w:val="21"/>
        </w:rPr>
        <w:t>逐步培养学生收集资料和自主学习的能力、交流和辩论能力，注重培养学生分析问题和解决问题的能力。</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F5156D">
      <w:pPr>
        <w:spacing w:line="360" w:lineRule="auto"/>
        <w:ind w:right="6"/>
        <w:jc w:val="center"/>
        <w:rPr>
          <w:rFonts w:ascii="Times New Roman" w:hAnsi="Times New Roman"/>
          <w:b/>
          <w:szCs w:val="21"/>
        </w:rPr>
      </w:pPr>
      <w:r>
        <w:rPr>
          <w:rFonts w:ascii="Times New Roman" w:hint="eastAsia"/>
          <w:b/>
          <w:szCs w:val="21"/>
        </w:rPr>
        <w:t>第一章</w:t>
      </w:r>
      <w:r>
        <w:rPr>
          <w:rFonts w:ascii="Times New Roman" w:hAnsi="Times New Roman"/>
          <w:b/>
          <w:szCs w:val="21"/>
        </w:rPr>
        <w:t xml:space="preserve"> </w:t>
      </w:r>
      <w:r>
        <w:rPr>
          <w:rFonts w:ascii="Times New Roman" w:hint="eastAsia"/>
          <w:b/>
          <w:szCs w:val="21"/>
        </w:rPr>
        <w:t>免疫学概论</w:t>
      </w:r>
    </w:p>
    <w:p w:rsidR="003717A0" w:rsidRDefault="003717A0" w:rsidP="00F5156D">
      <w:pPr>
        <w:spacing w:line="360" w:lineRule="auto"/>
        <w:ind w:right="6"/>
        <w:rPr>
          <w:rFonts w:ascii="Times New Roman" w:hAnsi="Times New Roman"/>
          <w:b/>
          <w:szCs w:val="21"/>
        </w:rPr>
      </w:pPr>
      <w:r>
        <w:rPr>
          <w:rFonts w:asci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lastRenderedPageBreak/>
        <w:t>1</w:t>
      </w:r>
      <w:r>
        <w:rPr>
          <w:rFonts w:ascii="Times New Roman" w:hAnsi="Times New Roman" w:hint="eastAsia"/>
          <w:szCs w:val="21"/>
        </w:rPr>
        <w:t>．掌握免疫的概念。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．掌握免疫系统的功能。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．掌握免疫系统的组成。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．掌握固有性免疫和适应性免疫的概念、组成、特点，熟悉适应性免疫应答的类型、基本过程、参与的细胞和分子。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．掌握克隆选择学说。</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．了解免疫学发展简史、临床应用和学科新进展。</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．免疫和免疫学：免疫的概念（包括传统免疫的概念和现代免疫的概念），医学免疫学的研究内容。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．免疫系统及其功能：免疫系统的组成（免疫器官、免疫细胞、免疫分子），免疫系统的三大功能（包括正常功能和异常表现）。</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．免疫应答的种类及其特点：固有免疫应答和适应性免疫应答的概念、组成和特点，两类免疫应答的比较。</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．适应性免疫应答及其过程：适应性免疫应答的类型（细胞免疫和体液免疫），细胞免疫和体液免疫的概念和基本过程。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．免疫学在诊断、预防、治疗中的应用。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．免疫学发展简史（克隆选择学说）和免疫学发展的趋势。</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int="eastAsia"/>
          <w:b/>
          <w:szCs w:val="21"/>
        </w:rPr>
        <w:t>第二章</w:t>
      </w:r>
      <w:r>
        <w:rPr>
          <w:rFonts w:ascii="Times New Roman" w:hAnsi="Times New Roman"/>
          <w:b/>
          <w:szCs w:val="21"/>
        </w:rPr>
        <w:t xml:space="preserve"> </w:t>
      </w:r>
      <w:r>
        <w:rPr>
          <w:rFonts w:ascii="Times New Roman" w:hint="eastAsia"/>
          <w:b/>
          <w:szCs w:val="21"/>
        </w:rPr>
        <w:t>免疫器官和组织</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．掌握中枢免疫器官的概念、组成和主要功能。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．掌握外周免疫器官的概念、组成和主要功能。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．熟悉淋巴细胞归巢与再循环的概念及意义。</w:t>
      </w:r>
    </w:p>
    <w:p w:rsidR="003717A0" w:rsidRDefault="003717A0" w:rsidP="00F5156D">
      <w:pPr>
        <w:adjustRightInd w:val="0"/>
        <w:snapToGrid w:val="0"/>
        <w:spacing w:line="360" w:lineRule="auto"/>
        <w:ind w:right="6"/>
        <w:rPr>
          <w:rFonts w:ascii="Times New Roman" w:hAnsi="Times New Roman"/>
          <w:szCs w:val="21"/>
        </w:rPr>
      </w:pPr>
      <w:r>
        <w:rPr>
          <w:rFonts w:ascii="Times New Roman" w:hint="eastAsia"/>
          <w:szCs w:val="21"/>
        </w:rPr>
        <w:t>【</w:t>
      </w:r>
      <w:r>
        <w:rPr>
          <w:rFonts w:ascii="Times New Roman" w:hint="eastAsia"/>
          <w:b/>
          <w:szCs w:val="21"/>
        </w:rPr>
        <w:t>教学内容</w:t>
      </w:r>
      <w:r>
        <w:rPr>
          <w:rFonts w:ascii="Times New Roman" w:hint="eastAsia"/>
          <w:szCs w:val="21"/>
        </w:rPr>
        <w:t>】</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．中枢免疫器官：（</w:t>
      </w:r>
      <w:r>
        <w:rPr>
          <w:rFonts w:ascii="Times New Roman" w:hAnsi="Times New Roman"/>
          <w:szCs w:val="21"/>
        </w:rPr>
        <w:t>1</w:t>
      </w:r>
      <w:r>
        <w:rPr>
          <w:rFonts w:ascii="Times New Roman" w:hint="eastAsia"/>
          <w:szCs w:val="21"/>
        </w:rPr>
        <w:t>）中枢免疫器官的概念和组成；（</w:t>
      </w:r>
      <w:r>
        <w:rPr>
          <w:rFonts w:ascii="Times New Roman" w:hAnsi="Times New Roman"/>
          <w:szCs w:val="21"/>
        </w:rPr>
        <w:t>2</w:t>
      </w:r>
      <w:r>
        <w:rPr>
          <w:rFonts w:ascii="Times New Roman" w:hint="eastAsia"/>
          <w:szCs w:val="21"/>
        </w:rPr>
        <w:t>）骨髓的结构和细胞组成，造血干细胞的功能、起源和表面标志，骨髓的主要功能；（</w:t>
      </w:r>
      <w:r>
        <w:rPr>
          <w:rFonts w:ascii="Times New Roman" w:hAnsi="Times New Roman"/>
          <w:szCs w:val="21"/>
        </w:rPr>
        <w:t>3</w:t>
      </w:r>
      <w:r>
        <w:rPr>
          <w:rFonts w:ascii="Times New Roman" w:hint="eastAsia"/>
          <w:szCs w:val="21"/>
        </w:rPr>
        <w:t>）胸腺的结构和细胞组成，胸腺微环境，胸腺的主要功能。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．外周免疫器官：（</w:t>
      </w:r>
      <w:r>
        <w:rPr>
          <w:rFonts w:ascii="Times New Roman" w:hAnsi="Times New Roman"/>
          <w:szCs w:val="21"/>
        </w:rPr>
        <w:t>1</w:t>
      </w:r>
      <w:r>
        <w:rPr>
          <w:rFonts w:ascii="Times New Roman" w:hint="eastAsia"/>
          <w:szCs w:val="21"/>
        </w:rPr>
        <w:t>）外周免疫器官的概念和组成；（</w:t>
      </w:r>
      <w:r>
        <w:rPr>
          <w:rFonts w:ascii="Times New Roman" w:hAnsi="Times New Roman"/>
          <w:szCs w:val="21"/>
        </w:rPr>
        <w:t>2</w:t>
      </w:r>
      <w:r>
        <w:rPr>
          <w:rFonts w:ascii="Times New Roman" w:hint="eastAsia"/>
          <w:szCs w:val="21"/>
        </w:rPr>
        <w:t>）淋巴结的结构和主要功能；（</w:t>
      </w:r>
      <w:r>
        <w:rPr>
          <w:rFonts w:ascii="Times New Roman" w:hAnsi="Times New Roman"/>
          <w:szCs w:val="21"/>
        </w:rPr>
        <w:t>3</w:t>
      </w:r>
      <w:r>
        <w:rPr>
          <w:rFonts w:ascii="Times New Roman" w:hint="eastAsia"/>
          <w:szCs w:val="21"/>
        </w:rPr>
        <w:t>）脾的结构和主要功能；（</w:t>
      </w:r>
      <w:r>
        <w:rPr>
          <w:rFonts w:ascii="Times New Roman" w:hAnsi="Times New Roman"/>
          <w:szCs w:val="21"/>
        </w:rPr>
        <w:t>4</w:t>
      </w:r>
      <w:r>
        <w:rPr>
          <w:rFonts w:ascii="Times New Roman" w:hint="eastAsia"/>
          <w:szCs w:val="21"/>
        </w:rPr>
        <w:t>）黏膜相关淋巴组织（</w:t>
      </w:r>
      <w:r>
        <w:rPr>
          <w:rFonts w:ascii="Times New Roman" w:hAnsi="Times New Roman"/>
          <w:szCs w:val="21"/>
        </w:rPr>
        <w:t>MALT</w:t>
      </w:r>
      <w:r>
        <w:rPr>
          <w:rFonts w:ascii="Times New Roman" w:hint="eastAsia"/>
          <w:szCs w:val="21"/>
        </w:rPr>
        <w:t>）的概念、组成、功能及特点。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．淋巴细胞归巢与再循环：淋巴细胞归巢与淋巴细胞再循环的概念及意义。</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int="eastAsia"/>
          <w:b/>
          <w:szCs w:val="21"/>
        </w:rPr>
        <w:t>第三章</w:t>
      </w:r>
      <w:r>
        <w:rPr>
          <w:rFonts w:ascii="Times New Roman" w:hAnsi="Times New Roman"/>
          <w:b/>
          <w:szCs w:val="21"/>
        </w:rPr>
        <w:t xml:space="preserve"> </w:t>
      </w:r>
      <w:r>
        <w:rPr>
          <w:rFonts w:ascii="Times New Roman" w:hint="eastAsia"/>
          <w:b/>
          <w:szCs w:val="21"/>
        </w:rPr>
        <w:t>抗原</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lastRenderedPageBreak/>
        <w:t>1</w:t>
      </w:r>
      <w:r>
        <w:rPr>
          <w:rFonts w:ascii="Times New Roman" w:hint="eastAsia"/>
          <w:szCs w:val="21"/>
        </w:rPr>
        <w:t>．掌握抗原的概念和抗原的两个重要特性（免疫原性和免疫反应性），掌握完全抗原与半抗原的概念。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．掌握抗原表位（抗原决定基）的概念和分类、</w:t>
      </w:r>
      <w:r>
        <w:rPr>
          <w:rFonts w:ascii="Times New Roman" w:hAnsi="Times New Roman"/>
          <w:szCs w:val="21"/>
        </w:rPr>
        <w:t>T</w:t>
      </w:r>
      <w:r>
        <w:rPr>
          <w:rFonts w:ascii="Times New Roman" w:hint="eastAsia"/>
          <w:szCs w:val="21"/>
        </w:rPr>
        <w:t>细胞表位与</w:t>
      </w:r>
      <w:r>
        <w:rPr>
          <w:rFonts w:ascii="Times New Roman" w:hAnsi="Times New Roman"/>
          <w:szCs w:val="21"/>
        </w:rPr>
        <w:t>B</w:t>
      </w:r>
      <w:r>
        <w:rPr>
          <w:rFonts w:ascii="Times New Roman" w:hint="eastAsia"/>
          <w:szCs w:val="21"/>
        </w:rPr>
        <w:t>细胞表位的概念及特性比较、抗原结合价、共同抗原和交叉反应的概念，熟悉抗原特异性和异物性的含义、半抗原</w:t>
      </w:r>
      <w:r>
        <w:rPr>
          <w:rFonts w:ascii="Times New Roman" w:hAnsi="Times New Roman"/>
          <w:szCs w:val="21"/>
        </w:rPr>
        <w:t>-</w:t>
      </w:r>
      <w:r>
        <w:rPr>
          <w:rFonts w:ascii="Times New Roman" w:hint="eastAsia"/>
          <w:szCs w:val="21"/>
        </w:rPr>
        <w:t>载体效应。</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．了解影响抗原免疫原性的因素。</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int="eastAsia"/>
          <w:szCs w:val="21"/>
        </w:rPr>
        <w:t>．掌握抗原的分类、</w:t>
      </w:r>
      <w:r>
        <w:rPr>
          <w:rFonts w:ascii="Times New Roman" w:hAnsi="Times New Roman"/>
          <w:szCs w:val="21"/>
        </w:rPr>
        <w:t>TD-Ag</w:t>
      </w:r>
      <w:r>
        <w:rPr>
          <w:rFonts w:ascii="Times New Roman" w:hint="eastAsia"/>
          <w:szCs w:val="21"/>
        </w:rPr>
        <w:t>与</w:t>
      </w:r>
      <w:r>
        <w:rPr>
          <w:rFonts w:ascii="Times New Roman" w:hAnsi="Times New Roman"/>
          <w:szCs w:val="21"/>
        </w:rPr>
        <w:t>TI-Ag</w:t>
      </w:r>
      <w:r>
        <w:rPr>
          <w:rFonts w:ascii="Times New Roman" w:hint="eastAsia"/>
          <w:szCs w:val="21"/>
        </w:rPr>
        <w:t>的概念与特点、异嗜性抗原、异种抗原、同种异型抗原、自身抗原及临床意义，熟悉内源性抗原与外源性抗原。</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int="eastAsia"/>
          <w:szCs w:val="21"/>
        </w:rPr>
        <w:t>．掌握超抗原的概念、种类及与普通抗原的比较、佐剂的概念、种类和作用机制，了解丝裂原的概念和种类。</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．抗原的概述：抗原的概念、两个重要特性（免疫原性、免疫反应性），完全抗原和半抗原的概念。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．抗原的特异性：抗原特异性的含义，抗原表位的概念和分类，顺序表位、构象表位的概念，</w:t>
      </w:r>
      <w:r>
        <w:rPr>
          <w:rFonts w:ascii="Times New Roman" w:hAnsi="Times New Roman"/>
          <w:szCs w:val="21"/>
        </w:rPr>
        <w:t>T</w:t>
      </w:r>
      <w:r>
        <w:rPr>
          <w:rFonts w:ascii="Times New Roman" w:hint="eastAsia"/>
          <w:szCs w:val="21"/>
        </w:rPr>
        <w:t>细胞表位和</w:t>
      </w:r>
      <w:r>
        <w:rPr>
          <w:rFonts w:ascii="Times New Roman" w:hAnsi="Times New Roman"/>
          <w:szCs w:val="21"/>
        </w:rPr>
        <w:t>B</w:t>
      </w:r>
      <w:r>
        <w:rPr>
          <w:rFonts w:ascii="Times New Roman" w:hint="eastAsia"/>
          <w:szCs w:val="21"/>
        </w:rPr>
        <w:t>细胞表位的概念和特性比较，半抗原</w:t>
      </w:r>
      <w:r>
        <w:rPr>
          <w:rFonts w:ascii="Times New Roman" w:hAnsi="Times New Roman"/>
          <w:szCs w:val="21"/>
        </w:rPr>
        <w:t>-</w:t>
      </w:r>
      <w:r>
        <w:rPr>
          <w:rFonts w:ascii="Times New Roman" w:hint="eastAsia"/>
          <w:szCs w:val="21"/>
        </w:rPr>
        <w:t>载体效应，抗原结合价、共同抗原表位、共同抗原与交叉反应。</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．影响抗原免疫原性的因素：抗原分子的理化与结构性质（异物性、化学属性、分子量、分子结构、分子构象、易接近性、物理性状），宿主的特性（遗传因素、年龄、性别与健康状态），抗原进入机体的方式。</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int="eastAsia"/>
          <w:szCs w:val="21"/>
        </w:rPr>
        <w:t>．抗原分类：根据诱生抗体时是否需</w:t>
      </w:r>
      <w:r>
        <w:rPr>
          <w:rFonts w:ascii="Times New Roman" w:hAnsi="Times New Roman"/>
          <w:szCs w:val="21"/>
        </w:rPr>
        <w:t>Th</w:t>
      </w:r>
      <w:r>
        <w:rPr>
          <w:rFonts w:ascii="Times New Roman" w:hint="eastAsia"/>
          <w:szCs w:val="21"/>
        </w:rPr>
        <w:t>细胞参与分为</w:t>
      </w:r>
      <w:r>
        <w:rPr>
          <w:rFonts w:ascii="Times New Roman" w:hAnsi="Times New Roman"/>
          <w:szCs w:val="21"/>
        </w:rPr>
        <w:t>TD-Ag</w:t>
      </w:r>
      <w:r>
        <w:rPr>
          <w:rFonts w:ascii="Times New Roman" w:hint="eastAsia"/>
          <w:szCs w:val="21"/>
        </w:rPr>
        <w:t>与</w:t>
      </w:r>
      <w:r>
        <w:rPr>
          <w:rFonts w:ascii="Times New Roman" w:hAnsi="Times New Roman"/>
          <w:szCs w:val="21"/>
        </w:rPr>
        <w:t>TI-Ag</w:t>
      </w:r>
      <w:r>
        <w:rPr>
          <w:rFonts w:ascii="Times New Roman" w:hint="eastAsia"/>
          <w:szCs w:val="21"/>
        </w:rPr>
        <w:t>（结构特点和应答特点）；根据抗原与机体亲缘关系分为：异嗜性抗原（概念和临床意义），异种抗原（细菌、外毒素、动物免疫血清），同种异型抗原（</w:t>
      </w:r>
      <w:r>
        <w:rPr>
          <w:rFonts w:ascii="Times New Roman" w:hAnsi="Times New Roman"/>
          <w:szCs w:val="21"/>
        </w:rPr>
        <w:t>ABO</w:t>
      </w:r>
      <w:r>
        <w:rPr>
          <w:rFonts w:ascii="Times New Roman" w:hint="eastAsia"/>
          <w:szCs w:val="21"/>
        </w:rPr>
        <w:t>、</w:t>
      </w:r>
      <w:r>
        <w:rPr>
          <w:rFonts w:ascii="Times New Roman" w:hAnsi="Times New Roman"/>
          <w:szCs w:val="21"/>
        </w:rPr>
        <w:t>Rh</w:t>
      </w:r>
      <w:r>
        <w:rPr>
          <w:rFonts w:ascii="Times New Roman" w:hint="eastAsia"/>
          <w:szCs w:val="21"/>
        </w:rPr>
        <w:t>、</w:t>
      </w:r>
      <w:r>
        <w:rPr>
          <w:rFonts w:ascii="Times New Roman" w:hAnsi="Times New Roman"/>
          <w:szCs w:val="21"/>
        </w:rPr>
        <w:t>HLA</w:t>
      </w:r>
      <w:r>
        <w:rPr>
          <w:rFonts w:ascii="Times New Roman" w:hint="eastAsia"/>
          <w:szCs w:val="21"/>
        </w:rPr>
        <w:t>），自身抗原（隐蔽的自身抗原与修饰的自身抗原），独特型抗原；根据是否在抗原提呈细胞内合成分为：外源性抗原和内源性抗原。</w:t>
      </w:r>
    </w:p>
    <w:p w:rsidR="003717A0" w:rsidRDefault="003717A0" w:rsidP="00F5156D">
      <w:pPr>
        <w:adjustRightInd w:val="0"/>
        <w:snapToGrid w:val="0"/>
        <w:spacing w:line="360" w:lineRule="auto"/>
        <w:ind w:right="6" w:firstLineChars="200" w:firstLine="420"/>
        <w:rPr>
          <w:rFonts w:ascii="Times New Roman"/>
          <w:szCs w:val="21"/>
        </w:rPr>
      </w:pPr>
      <w:r>
        <w:rPr>
          <w:rFonts w:ascii="Times New Roman" w:hAnsi="Times New Roman"/>
          <w:szCs w:val="21"/>
        </w:rPr>
        <w:t>5</w:t>
      </w:r>
      <w:r>
        <w:rPr>
          <w:rFonts w:ascii="Times New Roman" w:hint="eastAsia"/>
          <w:szCs w:val="21"/>
        </w:rPr>
        <w:t>．非特异性免疫刺激剂：超抗原的概念、种类及与普通抗原的比较；佐剂的概念、种类及作用机制；丝裂原的概念及种类。</w:t>
      </w:r>
    </w:p>
    <w:p w:rsidR="003717A0" w:rsidRDefault="003717A0" w:rsidP="00F5156D">
      <w:pPr>
        <w:adjustRightInd w:val="0"/>
        <w:snapToGrid w:val="0"/>
        <w:spacing w:line="360" w:lineRule="auto"/>
        <w:ind w:right="6"/>
        <w:rPr>
          <w:rFonts w:ascii="Times New Roman" w:hAnsi="Times New Roman"/>
          <w:b/>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int="eastAsia"/>
          <w:b/>
          <w:szCs w:val="21"/>
        </w:rPr>
        <w:t>第四章</w:t>
      </w:r>
      <w:r>
        <w:rPr>
          <w:rFonts w:ascii="Times New Roman" w:hAnsi="Times New Roman"/>
          <w:b/>
          <w:szCs w:val="21"/>
        </w:rPr>
        <w:t xml:space="preserve"> </w:t>
      </w:r>
      <w:r>
        <w:rPr>
          <w:rFonts w:ascii="Times New Roman" w:hint="eastAsia"/>
          <w:b/>
          <w:szCs w:val="21"/>
        </w:rPr>
        <w:t>抗体</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．掌握抗体和免疫球蛋白的概念。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．掌握抗体的基本结构（重链和轻链、可变区和恒定区、</w:t>
      </w:r>
      <w:r>
        <w:rPr>
          <w:rFonts w:ascii="Times New Roman" w:hAnsi="Times New Roman"/>
          <w:szCs w:val="21"/>
        </w:rPr>
        <w:t>HVR</w:t>
      </w:r>
      <w:r>
        <w:rPr>
          <w:rFonts w:ascii="Times New Roman" w:hint="eastAsia"/>
          <w:szCs w:val="21"/>
        </w:rPr>
        <w:t>与</w:t>
      </w:r>
      <w:r>
        <w:rPr>
          <w:rFonts w:ascii="Times New Roman" w:hAnsi="Times New Roman"/>
          <w:szCs w:val="21"/>
        </w:rPr>
        <w:t>CDR</w:t>
      </w:r>
      <w:r>
        <w:rPr>
          <w:rFonts w:ascii="Times New Roman" w:hint="eastAsia"/>
          <w:szCs w:val="21"/>
        </w:rPr>
        <w:t>的概念、铰链区）、抗体分子的水解片段，熟悉抗体的结构域和辅助成分（</w:t>
      </w:r>
      <w:r>
        <w:rPr>
          <w:rFonts w:ascii="Times New Roman" w:hAnsi="Times New Roman"/>
          <w:szCs w:val="21"/>
        </w:rPr>
        <w:t>J</w:t>
      </w:r>
      <w:r>
        <w:rPr>
          <w:rFonts w:ascii="Times New Roman" w:hint="eastAsia"/>
          <w:szCs w:val="21"/>
        </w:rPr>
        <w:t>链和分泌片）。</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．了解抗体的多样性和免疫原性。</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int="eastAsia"/>
          <w:szCs w:val="21"/>
        </w:rPr>
        <w:t>．掌握抗体的功能（</w:t>
      </w:r>
      <w:r>
        <w:rPr>
          <w:rFonts w:ascii="Times New Roman" w:hAnsi="Times New Roman"/>
          <w:szCs w:val="21"/>
        </w:rPr>
        <w:t>V</w:t>
      </w:r>
      <w:r>
        <w:rPr>
          <w:rFonts w:ascii="Times New Roman" w:hint="eastAsia"/>
          <w:szCs w:val="21"/>
        </w:rPr>
        <w:t>区功能、</w:t>
      </w:r>
      <w:r>
        <w:rPr>
          <w:rFonts w:ascii="Times New Roman" w:hAnsi="Times New Roman"/>
          <w:szCs w:val="21"/>
        </w:rPr>
        <w:t>C</w:t>
      </w:r>
      <w:r>
        <w:rPr>
          <w:rFonts w:ascii="Times New Roman" w:hint="eastAsia"/>
          <w:szCs w:val="21"/>
        </w:rPr>
        <w:t>区功能）。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int="eastAsia"/>
          <w:szCs w:val="21"/>
        </w:rPr>
        <w:t>．掌握各类抗体的特性与功能。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int="eastAsia"/>
          <w:szCs w:val="21"/>
        </w:rPr>
        <w:t>．掌握单克隆抗体的概念、熟悉其原理和特点，了解多克隆抗体的概念、制备及特点，了解基</w:t>
      </w:r>
      <w:r>
        <w:rPr>
          <w:rFonts w:ascii="Times New Roman" w:hint="eastAsia"/>
          <w:szCs w:val="21"/>
        </w:rPr>
        <w:lastRenderedPageBreak/>
        <w:t>因工程抗体的概念和特点。</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．抗体和免疫球蛋白的概念。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．抗体的结构：基本结构（结构域、重链和轻链、可变区和恒定区、</w:t>
      </w:r>
      <w:r>
        <w:rPr>
          <w:rFonts w:ascii="Times New Roman" w:hAnsi="Times New Roman"/>
          <w:szCs w:val="21"/>
        </w:rPr>
        <w:t>HVR</w:t>
      </w:r>
      <w:r>
        <w:rPr>
          <w:rFonts w:ascii="Times New Roman" w:hint="eastAsia"/>
          <w:szCs w:val="21"/>
        </w:rPr>
        <w:t>与</w:t>
      </w:r>
      <w:r>
        <w:rPr>
          <w:rFonts w:ascii="Times New Roman" w:hAnsi="Times New Roman"/>
          <w:szCs w:val="21"/>
        </w:rPr>
        <w:t>CDR</w:t>
      </w:r>
      <w:r>
        <w:rPr>
          <w:rFonts w:ascii="Times New Roman" w:hint="eastAsia"/>
          <w:szCs w:val="21"/>
        </w:rPr>
        <w:t>的概念、铰链区），辅助成分（</w:t>
      </w:r>
      <w:r>
        <w:rPr>
          <w:rFonts w:ascii="Times New Roman" w:hAnsi="Times New Roman"/>
          <w:szCs w:val="21"/>
        </w:rPr>
        <w:t>J</w:t>
      </w:r>
      <w:r>
        <w:rPr>
          <w:rFonts w:ascii="Times New Roman" w:hint="eastAsia"/>
          <w:szCs w:val="21"/>
        </w:rPr>
        <w:t>链和分泌片），抗体的水解片段（木瓜蛋白酶水解片段和胃蛋白酶水解片段）。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．抗体的多样性和免疫原性：三种血清型（同种型、同种异型、独特型）。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int="eastAsia"/>
          <w:szCs w:val="21"/>
        </w:rPr>
        <w:t>．抗体的功能：识别抗原，激活补体，结合</w:t>
      </w:r>
      <w:r>
        <w:rPr>
          <w:rFonts w:ascii="Times New Roman" w:hAnsi="Times New Roman"/>
          <w:szCs w:val="21"/>
        </w:rPr>
        <w:t>Fc</w:t>
      </w:r>
      <w:r>
        <w:rPr>
          <w:rFonts w:ascii="Times New Roman" w:hint="eastAsia"/>
          <w:szCs w:val="21"/>
        </w:rPr>
        <w:t>受体（调理作用，</w:t>
      </w:r>
      <w:r>
        <w:rPr>
          <w:rFonts w:ascii="Times New Roman" w:hAnsi="Times New Roman"/>
          <w:szCs w:val="21"/>
        </w:rPr>
        <w:t>ADCC</w:t>
      </w:r>
      <w:r>
        <w:rPr>
          <w:rFonts w:ascii="Times New Roman" w:hint="eastAsia"/>
          <w:szCs w:val="21"/>
        </w:rPr>
        <w:t>，介导</w:t>
      </w:r>
      <w:r>
        <w:rPr>
          <w:rFonts w:ascii="宋体" w:hAnsi="宋体" w:cs="宋体" w:hint="eastAsia"/>
          <w:szCs w:val="21"/>
        </w:rPr>
        <w:t>Ⅰ</w:t>
      </w:r>
      <w:r>
        <w:rPr>
          <w:rFonts w:ascii="Times New Roman" w:hint="eastAsia"/>
          <w:szCs w:val="21"/>
        </w:rPr>
        <w:t>型超敏反应），穿过胎盘和粘膜。</w:t>
      </w:r>
    </w:p>
    <w:p w:rsidR="003717A0" w:rsidRDefault="003717A0" w:rsidP="00F5156D">
      <w:pPr>
        <w:adjustRightInd w:val="0"/>
        <w:snapToGrid w:val="0"/>
        <w:spacing w:line="360" w:lineRule="auto"/>
        <w:ind w:right="6" w:firstLineChars="150" w:firstLine="315"/>
        <w:rPr>
          <w:rFonts w:ascii="Times New Roman" w:hAnsi="Times New Roman"/>
          <w:szCs w:val="21"/>
        </w:rPr>
      </w:pPr>
      <w:r>
        <w:rPr>
          <w:rFonts w:ascii="Times New Roman" w:hAnsi="Times New Roman"/>
          <w:szCs w:val="21"/>
        </w:rPr>
        <w:t>5</w:t>
      </w:r>
      <w:r>
        <w:rPr>
          <w:rFonts w:ascii="Times New Roman" w:hint="eastAsia"/>
          <w:szCs w:val="21"/>
        </w:rPr>
        <w:t>．各类抗体的特性与功能：（</w:t>
      </w:r>
      <w:r>
        <w:rPr>
          <w:rFonts w:ascii="Times New Roman" w:hAnsi="Times New Roman"/>
          <w:szCs w:val="21"/>
        </w:rPr>
        <w:t>1</w:t>
      </w:r>
      <w:r>
        <w:rPr>
          <w:rFonts w:ascii="Times New Roman" w:hint="eastAsia"/>
          <w:szCs w:val="21"/>
        </w:rPr>
        <w:t>）</w:t>
      </w:r>
      <w:r>
        <w:rPr>
          <w:rFonts w:ascii="Times New Roman" w:hAnsi="Times New Roman"/>
          <w:szCs w:val="21"/>
        </w:rPr>
        <w:t>IgG</w:t>
      </w:r>
      <w:r>
        <w:rPr>
          <w:rFonts w:ascii="Times New Roman" w:hint="eastAsia"/>
          <w:szCs w:val="21"/>
        </w:rPr>
        <w:t>：含量、个体发育、半衰期、主要活性；（</w:t>
      </w:r>
      <w:r>
        <w:rPr>
          <w:rFonts w:ascii="Times New Roman" w:hAnsi="Times New Roman"/>
          <w:szCs w:val="21"/>
        </w:rPr>
        <w:t>2</w:t>
      </w:r>
      <w:r>
        <w:rPr>
          <w:rFonts w:ascii="Times New Roman" w:hint="eastAsia"/>
          <w:szCs w:val="21"/>
        </w:rPr>
        <w:t>）</w:t>
      </w:r>
      <w:r>
        <w:rPr>
          <w:rFonts w:ascii="Times New Roman" w:hAnsi="Times New Roman"/>
          <w:szCs w:val="21"/>
        </w:rPr>
        <w:t>IgM</w:t>
      </w:r>
      <w:r>
        <w:rPr>
          <w:rFonts w:ascii="Times New Roman" w:hint="eastAsia"/>
          <w:szCs w:val="21"/>
        </w:rPr>
        <w:t>：分泌型</w:t>
      </w:r>
      <w:r>
        <w:rPr>
          <w:rFonts w:ascii="Times New Roman" w:hAnsi="Times New Roman"/>
          <w:szCs w:val="21"/>
        </w:rPr>
        <w:t>IgM</w:t>
      </w:r>
      <w:r>
        <w:rPr>
          <w:rFonts w:ascii="Times New Roman" w:hint="eastAsia"/>
          <w:szCs w:val="21"/>
        </w:rPr>
        <w:t>和膜结合型</w:t>
      </w:r>
      <w:r>
        <w:rPr>
          <w:rFonts w:ascii="Times New Roman" w:hAnsi="Times New Roman"/>
          <w:szCs w:val="21"/>
        </w:rPr>
        <w:t>IgM</w:t>
      </w:r>
      <w:r>
        <w:rPr>
          <w:rFonts w:ascii="Times New Roman" w:hint="eastAsia"/>
          <w:szCs w:val="21"/>
        </w:rPr>
        <w:t>，包括结构、主要活性与临床意义；（</w:t>
      </w:r>
      <w:r>
        <w:rPr>
          <w:rFonts w:ascii="Times New Roman" w:hAnsi="Times New Roman"/>
          <w:szCs w:val="21"/>
        </w:rPr>
        <w:t>3</w:t>
      </w:r>
      <w:r>
        <w:rPr>
          <w:rFonts w:ascii="Times New Roman" w:hint="eastAsia"/>
          <w:szCs w:val="21"/>
        </w:rPr>
        <w:t>）</w:t>
      </w:r>
      <w:r>
        <w:rPr>
          <w:rFonts w:ascii="Times New Roman" w:hAnsi="Times New Roman"/>
          <w:szCs w:val="21"/>
        </w:rPr>
        <w:t>IgA</w:t>
      </w:r>
      <w:r>
        <w:rPr>
          <w:rFonts w:ascii="Times New Roman" w:hint="eastAsia"/>
          <w:szCs w:val="21"/>
        </w:rPr>
        <w:t>：血清型</w:t>
      </w:r>
      <w:r>
        <w:rPr>
          <w:rFonts w:ascii="Times New Roman" w:hAnsi="Times New Roman"/>
          <w:szCs w:val="21"/>
        </w:rPr>
        <w:t>IgA</w:t>
      </w:r>
      <w:r>
        <w:rPr>
          <w:rFonts w:ascii="Times New Roman" w:hint="eastAsia"/>
          <w:szCs w:val="21"/>
        </w:rPr>
        <w:t>和分泌型</w:t>
      </w:r>
      <w:r>
        <w:rPr>
          <w:rFonts w:ascii="Times New Roman" w:hAnsi="Times New Roman"/>
          <w:szCs w:val="21"/>
        </w:rPr>
        <w:t>IgA</w:t>
      </w:r>
      <w:r>
        <w:rPr>
          <w:rFonts w:ascii="Times New Roman" w:hint="eastAsia"/>
          <w:szCs w:val="21"/>
        </w:rPr>
        <w:t>（</w:t>
      </w:r>
      <w:r>
        <w:rPr>
          <w:rFonts w:ascii="Times New Roman" w:hAnsi="Times New Roman"/>
          <w:szCs w:val="21"/>
        </w:rPr>
        <w:t>SIgA</w:t>
      </w:r>
      <w:r>
        <w:rPr>
          <w:rFonts w:ascii="Times New Roman" w:hint="eastAsia"/>
          <w:szCs w:val="21"/>
        </w:rPr>
        <w:t>），包括组成、分泌部位、转运过程、主要活性和临床意义；（</w:t>
      </w:r>
      <w:r>
        <w:rPr>
          <w:rFonts w:ascii="Times New Roman" w:hAnsi="Times New Roman"/>
          <w:szCs w:val="21"/>
        </w:rPr>
        <w:t>4</w:t>
      </w:r>
      <w:r>
        <w:rPr>
          <w:rFonts w:ascii="Times New Roman" w:hint="eastAsia"/>
          <w:szCs w:val="21"/>
        </w:rPr>
        <w:t>）</w:t>
      </w:r>
      <w:r>
        <w:rPr>
          <w:rFonts w:ascii="Times New Roman" w:hAnsi="Times New Roman"/>
          <w:szCs w:val="21"/>
        </w:rPr>
        <w:t>IgD</w:t>
      </w:r>
      <w:r>
        <w:rPr>
          <w:rFonts w:ascii="Times New Roman" w:hint="eastAsia"/>
          <w:szCs w:val="21"/>
        </w:rPr>
        <w:t>：血清型</w:t>
      </w:r>
      <w:r>
        <w:rPr>
          <w:rFonts w:ascii="Times New Roman" w:hAnsi="Times New Roman"/>
          <w:szCs w:val="21"/>
        </w:rPr>
        <w:t>IgD</w:t>
      </w:r>
      <w:r>
        <w:rPr>
          <w:rFonts w:ascii="Times New Roman" w:hint="eastAsia"/>
          <w:szCs w:val="21"/>
        </w:rPr>
        <w:t>和膜结合型</w:t>
      </w:r>
      <w:r>
        <w:rPr>
          <w:rFonts w:ascii="Times New Roman" w:hAnsi="Times New Roman"/>
          <w:szCs w:val="21"/>
        </w:rPr>
        <w:t>IgD</w:t>
      </w:r>
      <w:r>
        <w:rPr>
          <w:rFonts w:ascii="Times New Roman" w:hint="eastAsia"/>
          <w:szCs w:val="21"/>
        </w:rPr>
        <w:t>，包括含量、半衰期和主要功能；（</w:t>
      </w:r>
      <w:r>
        <w:rPr>
          <w:rFonts w:ascii="Times New Roman" w:hAnsi="Times New Roman"/>
          <w:szCs w:val="21"/>
        </w:rPr>
        <w:t>5</w:t>
      </w:r>
      <w:r>
        <w:rPr>
          <w:rFonts w:ascii="Times New Roman" w:hint="eastAsia"/>
          <w:szCs w:val="21"/>
        </w:rPr>
        <w:t>）</w:t>
      </w:r>
      <w:r>
        <w:rPr>
          <w:rFonts w:ascii="Times New Roman" w:hAnsi="Times New Roman"/>
          <w:szCs w:val="21"/>
        </w:rPr>
        <w:t>IgE</w:t>
      </w:r>
      <w:r>
        <w:rPr>
          <w:rFonts w:ascii="Times New Roman" w:hint="eastAsia"/>
          <w:szCs w:val="21"/>
        </w:rPr>
        <w:t>：含量、产生部位、主要活性。</w:t>
      </w:r>
    </w:p>
    <w:p w:rsidR="003717A0" w:rsidRDefault="003717A0" w:rsidP="00F5156D">
      <w:pPr>
        <w:adjustRightInd w:val="0"/>
        <w:snapToGrid w:val="0"/>
        <w:spacing w:line="360" w:lineRule="auto"/>
        <w:ind w:right="6" w:firstLineChars="150" w:firstLine="315"/>
        <w:rPr>
          <w:rFonts w:ascii="Times New Roman" w:hAnsi="Times New Roman"/>
          <w:szCs w:val="21"/>
        </w:rPr>
      </w:pPr>
      <w:r>
        <w:rPr>
          <w:rFonts w:ascii="Times New Roman" w:hAnsi="Times New Roman"/>
          <w:szCs w:val="21"/>
        </w:rPr>
        <w:t>6</w:t>
      </w:r>
      <w:r>
        <w:rPr>
          <w:rFonts w:ascii="Times New Roman" w:hint="eastAsia"/>
          <w:szCs w:val="21"/>
        </w:rPr>
        <w:t>．人工制备抗体：单克隆抗体的概念、制备原理、特点和应用，多克隆抗体的概念、制备条件和特点，基因工程抗体的概念和特点。</w:t>
      </w:r>
    </w:p>
    <w:p w:rsidR="003717A0" w:rsidRDefault="003717A0" w:rsidP="00F5156D">
      <w:pPr>
        <w:adjustRightInd w:val="0"/>
        <w:snapToGrid w:val="0"/>
        <w:spacing w:line="360" w:lineRule="auto"/>
        <w:ind w:right="6"/>
        <w:rPr>
          <w:rFonts w:ascii="Times New Roman" w:hAnsi="Times New Roman"/>
          <w:b/>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int="eastAsia"/>
          <w:b/>
          <w:szCs w:val="21"/>
        </w:rPr>
        <w:t>第五章</w:t>
      </w:r>
      <w:r>
        <w:rPr>
          <w:rFonts w:ascii="Times New Roman" w:hAnsi="Times New Roman"/>
          <w:b/>
          <w:szCs w:val="21"/>
        </w:rPr>
        <w:t xml:space="preserve"> </w:t>
      </w:r>
      <w:r>
        <w:rPr>
          <w:rFonts w:ascii="Times New Roman" w:hint="eastAsia"/>
          <w:b/>
          <w:szCs w:val="21"/>
        </w:rPr>
        <w:t>补体系统</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．掌握补体的概念，熟悉补体系统的组成、命名，了解补体的理化性质和代谢。</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．掌握补体激活经典途径、熟悉</w:t>
      </w:r>
      <w:r>
        <w:rPr>
          <w:rFonts w:ascii="Times New Roman" w:hAnsi="Times New Roman"/>
          <w:szCs w:val="21"/>
        </w:rPr>
        <w:t>MBL</w:t>
      </w:r>
      <w:r>
        <w:rPr>
          <w:rFonts w:ascii="Times New Roman" w:hint="eastAsia"/>
          <w:szCs w:val="21"/>
        </w:rPr>
        <w:t>途径、旁路途径的激活条件、活化过程、关键的</w:t>
      </w:r>
      <w:r>
        <w:rPr>
          <w:rFonts w:ascii="Times New Roman" w:hAnsi="Times New Roman"/>
          <w:szCs w:val="21"/>
        </w:rPr>
        <w:t>C3</w:t>
      </w:r>
      <w:r>
        <w:rPr>
          <w:rFonts w:ascii="Times New Roman" w:hint="eastAsia"/>
          <w:szCs w:val="21"/>
        </w:rPr>
        <w:t>转化酶和</w:t>
      </w:r>
      <w:r>
        <w:rPr>
          <w:rFonts w:ascii="Times New Roman" w:hAnsi="Times New Roman"/>
          <w:szCs w:val="21"/>
        </w:rPr>
        <w:t>C5</w:t>
      </w:r>
      <w:r>
        <w:rPr>
          <w:rFonts w:ascii="Times New Roman" w:hint="eastAsia"/>
          <w:szCs w:val="21"/>
        </w:rPr>
        <w:t>转化酶的组成、重要裂解产物以及攻膜复合物的组成和作用。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int="eastAsia"/>
          <w:szCs w:val="21"/>
        </w:rPr>
        <w:t>．掌握三条补体激活途径的特点与比较。</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int="eastAsia"/>
          <w:szCs w:val="21"/>
        </w:rPr>
        <w:t>．熟悉补体激活的调节。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int="eastAsia"/>
          <w:szCs w:val="21"/>
        </w:rPr>
        <w:t>．掌握补体的生物功能（细胞毒作用、调理作用、炎症介质作用、清除免疫复合物）。</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int="eastAsia"/>
          <w:szCs w:val="21"/>
        </w:rPr>
        <w:t>．了解补体的病理生理学意义及补体与疾病的关系。</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int="eastAsia"/>
          <w:szCs w:val="21"/>
        </w:rPr>
        <w:t>．补体概述：补体的概念，补体系统的组成（固有成分、调节蛋白、受体），补体系统的命名原则，补体的理化性质及补体的代谢。</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int="eastAsia"/>
          <w:szCs w:val="21"/>
        </w:rPr>
        <w:t>．补体激活途径：（</w:t>
      </w:r>
      <w:r>
        <w:rPr>
          <w:rFonts w:ascii="Times New Roman" w:hAnsi="Times New Roman"/>
          <w:szCs w:val="21"/>
        </w:rPr>
        <w:t>1</w:t>
      </w:r>
      <w:r>
        <w:rPr>
          <w:rFonts w:ascii="Times New Roman" w:hAnsi="Times New Roman" w:hint="eastAsia"/>
          <w:szCs w:val="21"/>
        </w:rPr>
        <w:t>）经典途径：参与成分、激活物、激活条件、活化过程（活化的</w:t>
      </w:r>
      <w:r>
        <w:rPr>
          <w:rFonts w:ascii="Times New Roman" w:hAnsi="Times New Roman"/>
          <w:szCs w:val="21"/>
        </w:rPr>
        <w:t>C1s</w:t>
      </w:r>
      <w:r>
        <w:rPr>
          <w:rFonts w:ascii="Times New Roman" w:hAnsi="Times New Roman" w:hint="eastAsia"/>
          <w:szCs w:val="21"/>
        </w:rPr>
        <w:t>形成、</w:t>
      </w:r>
      <w:r>
        <w:rPr>
          <w:rFonts w:ascii="Times New Roman" w:hAnsi="Times New Roman"/>
          <w:szCs w:val="21"/>
        </w:rPr>
        <w:t>C3</w:t>
      </w:r>
      <w:r>
        <w:rPr>
          <w:rFonts w:ascii="Times New Roman" w:hAnsi="Times New Roman" w:hint="eastAsia"/>
          <w:szCs w:val="21"/>
        </w:rPr>
        <w:t>转化酶、</w:t>
      </w:r>
      <w:r>
        <w:rPr>
          <w:rFonts w:ascii="Times New Roman" w:hAnsi="Times New Roman"/>
          <w:szCs w:val="21"/>
        </w:rPr>
        <w:t>C5</w:t>
      </w:r>
      <w:r>
        <w:rPr>
          <w:rFonts w:ascii="Times New Roman" w:hAnsi="Times New Roman" w:hint="eastAsia"/>
          <w:szCs w:val="21"/>
        </w:rPr>
        <w:t>转化酶）；（</w:t>
      </w:r>
      <w:r>
        <w:rPr>
          <w:rFonts w:ascii="Times New Roman" w:hAnsi="Times New Roman"/>
          <w:szCs w:val="21"/>
        </w:rPr>
        <w:t>2</w:t>
      </w:r>
      <w:r>
        <w:rPr>
          <w:rFonts w:ascii="Times New Roman" w:hAnsi="Times New Roman" w:hint="eastAsia"/>
          <w:szCs w:val="21"/>
        </w:rPr>
        <w:t>）</w:t>
      </w:r>
      <w:r>
        <w:rPr>
          <w:rFonts w:ascii="Times New Roman" w:hAnsi="Times New Roman"/>
          <w:szCs w:val="21"/>
        </w:rPr>
        <w:t>MBL</w:t>
      </w:r>
      <w:r>
        <w:rPr>
          <w:rFonts w:ascii="Times New Roman" w:hAnsi="Times New Roman" w:hint="eastAsia"/>
          <w:szCs w:val="21"/>
        </w:rPr>
        <w:t>途径：参与成分、激活物、激活条件、活化过程；（</w:t>
      </w:r>
      <w:r>
        <w:rPr>
          <w:rFonts w:ascii="Times New Roman" w:hAnsi="Times New Roman"/>
          <w:szCs w:val="21"/>
        </w:rPr>
        <w:t>3</w:t>
      </w:r>
      <w:r>
        <w:rPr>
          <w:rFonts w:ascii="Times New Roman" w:hAnsi="Times New Roman" w:hint="eastAsia"/>
          <w:szCs w:val="21"/>
        </w:rPr>
        <w:t>）旁路途径：参与成分、激活物、激活条件、活化过程（</w:t>
      </w:r>
      <w:r>
        <w:rPr>
          <w:rFonts w:ascii="Times New Roman" w:hAnsi="Times New Roman"/>
          <w:szCs w:val="21"/>
        </w:rPr>
        <w:t>C3</w:t>
      </w:r>
      <w:r>
        <w:rPr>
          <w:rFonts w:ascii="Times New Roman" w:hAnsi="Times New Roman" w:hint="eastAsia"/>
          <w:szCs w:val="21"/>
        </w:rPr>
        <w:t>转化酶、</w:t>
      </w:r>
      <w:r>
        <w:rPr>
          <w:rFonts w:ascii="Times New Roman" w:hAnsi="Times New Roman"/>
          <w:szCs w:val="21"/>
        </w:rPr>
        <w:t>C5</w:t>
      </w:r>
      <w:r>
        <w:rPr>
          <w:rFonts w:ascii="Times New Roman" w:hAnsi="Times New Roman" w:hint="eastAsia"/>
          <w:szCs w:val="21"/>
        </w:rPr>
        <w:t>转化酶）、调节特点；（</w:t>
      </w:r>
      <w:r>
        <w:rPr>
          <w:rFonts w:ascii="Times New Roman" w:hAnsi="Times New Roman"/>
          <w:szCs w:val="21"/>
        </w:rPr>
        <w:t>4</w:t>
      </w:r>
      <w:r>
        <w:rPr>
          <w:rFonts w:ascii="Times New Roman" w:hAnsi="Times New Roman" w:hint="eastAsia"/>
          <w:szCs w:val="21"/>
        </w:rPr>
        <w:t>）共同末端通路：攻膜复合物的形成和效应机制；（</w:t>
      </w:r>
      <w:r>
        <w:rPr>
          <w:rFonts w:ascii="Times New Roman" w:hAnsi="Times New Roman"/>
          <w:szCs w:val="21"/>
        </w:rPr>
        <w:t>5</w:t>
      </w:r>
      <w:r>
        <w:rPr>
          <w:rFonts w:ascii="Times New Roman" w:hAnsi="Times New Roman" w:hint="eastAsia"/>
          <w:szCs w:val="21"/>
        </w:rPr>
        <w:t>）三条补体激活途径的特点与比较。</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．补体激活的调节：针对经典途径前端反应的调节机制；针对旁路途径前端反应的调节机制；针对</w:t>
      </w:r>
      <w:r>
        <w:rPr>
          <w:rFonts w:ascii="Times New Roman" w:hAnsi="Times New Roman"/>
          <w:szCs w:val="21"/>
        </w:rPr>
        <w:t>MAC</w:t>
      </w:r>
      <w:r>
        <w:rPr>
          <w:rFonts w:ascii="Times New Roman" w:hAnsi="Times New Roman" w:hint="eastAsia"/>
          <w:szCs w:val="21"/>
        </w:rPr>
        <w:t>的调节机制。</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．补体的生物学意义：补体的生物功能（细胞毒作用、调理作用、炎症介质作用、清除免疫复</w:t>
      </w:r>
      <w:r>
        <w:rPr>
          <w:rFonts w:ascii="Times New Roman" w:hAnsi="Times New Roman" w:hint="eastAsia"/>
          <w:szCs w:val="21"/>
        </w:rPr>
        <w:lastRenderedPageBreak/>
        <w:t>合物）；补体的病理生理学意义。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．补体与疾病的关系。</w:t>
      </w:r>
    </w:p>
    <w:p w:rsidR="003717A0" w:rsidRDefault="003717A0" w:rsidP="00F5156D">
      <w:pPr>
        <w:adjustRightInd w:val="0"/>
        <w:snapToGrid w:val="0"/>
        <w:spacing w:line="360" w:lineRule="auto"/>
        <w:ind w:right="6"/>
        <w:rPr>
          <w:rFonts w:ascii="Times New Roman" w:hAnsi="Times New Roman"/>
          <w:b/>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第六章</w:t>
      </w:r>
      <w:r>
        <w:rPr>
          <w:rFonts w:ascii="Times New Roman" w:hAnsi="Times New Roman"/>
          <w:b/>
          <w:szCs w:val="21"/>
        </w:rPr>
        <w:t xml:space="preserve"> </w:t>
      </w:r>
      <w:r>
        <w:rPr>
          <w:rFonts w:ascii="Times New Roman" w:hAnsi="Times New Roman" w:hint="eastAsia"/>
          <w:b/>
          <w:szCs w:val="21"/>
        </w:rPr>
        <w:t>细胞因子</w:t>
      </w:r>
    </w:p>
    <w:p w:rsidR="003717A0" w:rsidRDefault="003717A0" w:rsidP="00F5156D">
      <w:pPr>
        <w:adjustRightInd w:val="0"/>
        <w:snapToGrid w:val="0"/>
        <w:spacing w:line="360" w:lineRule="auto"/>
        <w:ind w:right="6"/>
        <w:rPr>
          <w:rFonts w:ascii="Times New Roman" w:hAnsi="Times New Roman"/>
          <w:b/>
          <w:szCs w:val="21"/>
        </w:rPr>
      </w:pPr>
      <w:r>
        <w:rPr>
          <w:rFonts w:asci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．掌握细胞因子的概念。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．掌握细胞因子的共同特点（基本特征、作用方式、功能特点）。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．掌握细胞因子的种类（白细胞介素、集落刺激因子、干扰素、肿瘤坏死因子、生长因子、趋化因子）。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．了解细胞因子受体的分类、共有链及可溶性细胞因子受体与细胞因子受体拮抗剂的临床意义。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．掌握细胞因子的免疫学功能（调控免疫细胞的发育、分化和功能；调控机体的免疫应答）。</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．了解细胞因子与临床疾病发生及治疗的关系。</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．细胞因子的概念。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．细胞因子的共同特点：基本特征；作用方式（自分泌、内分泌、旁分泌）；功能特点（多效性、重叠性、协同性、拮抗性、网络性）。</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．细胞因子的分类：白细胞介素、集落刺激因子、干扰素、肿瘤坏死因子、生长因子、趋化因子的概念和作用。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．细胞因子受体：细胞因子受体的分类（</w:t>
      </w:r>
      <w:r>
        <w:rPr>
          <w:rFonts w:ascii="宋体" w:hAnsi="宋体" w:cs="宋体" w:hint="eastAsia"/>
          <w:szCs w:val="21"/>
        </w:rPr>
        <w:t>Ⅰ</w:t>
      </w:r>
      <w:r>
        <w:rPr>
          <w:rFonts w:ascii="Times New Roman" w:hAnsi="Times New Roman" w:hint="eastAsia"/>
          <w:szCs w:val="21"/>
        </w:rPr>
        <w:t>类细胞因子受体家族、</w:t>
      </w:r>
      <w:r>
        <w:rPr>
          <w:rFonts w:ascii="宋体" w:hAnsi="宋体" w:cs="宋体" w:hint="eastAsia"/>
          <w:szCs w:val="21"/>
        </w:rPr>
        <w:t>Ⅱ</w:t>
      </w:r>
      <w:r>
        <w:rPr>
          <w:rFonts w:ascii="Times New Roman" w:hAnsi="Times New Roman" w:hint="eastAsia"/>
          <w:szCs w:val="21"/>
        </w:rPr>
        <w:t>类细胞因子受体家族、肿瘤坏死因子受体超家族、免疫球蛋白超家族受体、趋化因子受体家族）；细胞因子受体共有链；可溶性细胞因子受体和细胞因子受体拮抗剂的生物学意义和临床意义。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．细胞因子的免疫学功能：调控免疫细胞的发育、分化和功能（在中枢和外周免疫器官中的调控作用）；调控机体的免疫应答（抗感染作用、抗肿瘤作用、诱导细胞凋亡）。</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．细胞因子与临床：细胞因子与临床的发生，细胞因子与疾病的治疗。</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第七章</w:t>
      </w:r>
      <w:r>
        <w:rPr>
          <w:rFonts w:ascii="Times New Roman" w:hAnsi="Times New Roman"/>
          <w:b/>
          <w:szCs w:val="21"/>
        </w:rPr>
        <w:t xml:space="preserve"> </w:t>
      </w:r>
      <w:r>
        <w:rPr>
          <w:rFonts w:ascii="Times New Roman" w:hAnsi="Times New Roman" w:hint="eastAsia"/>
          <w:b/>
          <w:szCs w:val="21"/>
        </w:rPr>
        <w:t>白细胞分化抗原和黏附分子</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．掌握白细胞分化抗原和分化群（</w:t>
      </w:r>
      <w:r>
        <w:rPr>
          <w:rFonts w:ascii="Times New Roman" w:hAnsi="Times New Roman"/>
          <w:szCs w:val="21"/>
        </w:rPr>
        <w:t>CD</w:t>
      </w:r>
      <w:r>
        <w:rPr>
          <w:rFonts w:ascii="Times New Roman" w:hAnsi="Times New Roman" w:hint="eastAsia"/>
          <w:szCs w:val="21"/>
        </w:rPr>
        <w:t>）的概念。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．熟悉与</w:t>
      </w:r>
      <w:r>
        <w:rPr>
          <w:rFonts w:ascii="Times New Roman" w:hAnsi="Times New Roman"/>
          <w:szCs w:val="21"/>
        </w:rPr>
        <w:t>T</w:t>
      </w:r>
      <w:r>
        <w:rPr>
          <w:rFonts w:ascii="Times New Roman" w:hAnsi="Times New Roman" w:hint="eastAsia"/>
          <w:szCs w:val="21"/>
        </w:rPr>
        <w:t>细胞识别、黏附、活化有关的</w:t>
      </w:r>
      <w:r>
        <w:rPr>
          <w:rFonts w:ascii="Times New Roman" w:hAnsi="Times New Roman"/>
          <w:szCs w:val="21"/>
        </w:rPr>
        <w:t>CD</w:t>
      </w:r>
      <w:r>
        <w:rPr>
          <w:rFonts w:ascii="Times New Roman" w:hAnsi="Times New Roman" w:hint="eastAsia"/>
          <w:szCs w:val="21"/>
        </w:rPr>
        <w:t>分子。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．熟悉与</w:t>
      </w:r>
      <w:r>
        <w:rPr>
          <w:rFonts w:ascii="Times New Roman" w:hAnsi="Times New Roman"/>
          <w:szCs w:val="21"/>
        </w:rPr>
        <w:t>B</w:t>
      </w:r>
      <w:r>
        <w:rPr>
          <w:rFonts w:ascii="Times New Roman" w:hAnsi="Times New Roman" w:hint="eastAsia"/>
          <w:szCs w:val="21"/>
        </w:rPr>
        <w:t>细胞识别、黏附、活化有关的</w:t>
      </w:r>
      <w:r>
        <w:rPr>
          <w:rFonts w:ascii="Times New Roman" w:hAnsi="Times New Roman"/>
          <w:szCs w:val="21"/>
        </w:rPr>
        <w:t>CD</w:t>
      </w:r>
      <w:r>
        <w:rPr>
          <w:rFonts w:ascii="Times New Roman" w:hAnsi="Times New Roman" w:hint="eastAsia"/>
          <w:szCs w:val="21"/>
        </w:rPr>
        <w:t>分子。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．掌握细胞黏附分子的概念，熟悉黏附分子的分类，了解与</w:t>
      </w:r>
      <w:r>
        <w:rPr>
          <w:rFonts w:ascii="Times New Roman" w:hAnsi="Times New Roman"/>
          <w:szCs w:val="21"/>
        </w:rPr>
        <w:t>T</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淋巴细胞相关的黏附分子，掌握黏附分子的功能。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．了解白细胞分化抗原及其单克隆抗体的临床应用。</w:t>
      </w:r>
    </w:p>
    <w:p w:rsidR="003717A0" w:rsidRDefault="003717A0" w:rsidP="00F5156D">
      <w:pPr>
        <w:adjustRightInd w:val="0"/>
        <w:snapToGrid w:val="0"/>
        <w:spacing w:line="360" w:lineRule="auto"/>
        <w:ind w:right="6"/>
        <w:rPr>
          <w:rFonts w:ascii="Times New Roman" w:hAnsi="Times New Roman"/>
          <w:szCs w:val="21"/>
        </w:rPr>
      </w:pPr>
      <w:r>
        <w:rPr>
          <w:rFonts w:ascii="Times New Roman" w:hAnsi="Times New Roman" w:hint="eastAsia"/>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lastRenderedPageBreak/>
        <w:t>1</w:t>
      </w:r>
      <w:r>
        <w:rPr>
          <w:rFonts w:ascii="Times New Roman" w:hAnsi="Times New Roman" w:hint="eastAsia"/>
          <w:szCs w:val="21"/>
        </w:rPr>
        <w:t>．人白细胞分化抗原：人白细胞分化抗原的概念、表达细胞、结构和分类，</w:t>
      </w:r>
      <w:r>
        <w:rPr>
          <w:rFonts w:ascii="Times New Roman" w:hAnsi="Times New Roman"/>
          <w:szCs w:val="21"/>
        </w:rPr>
        <w:t>CD</w:t>
      </w:r>
      <w:r>
        <w:rPr>
          <w:rFonts w:ascii="Times New Roman" w:hAnsi="Times New Roman" w:hint="eastAsia"/>
          <w:szCs w:val="21"/>
        </w:rPr>
        <w:t>的概念和分型。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．与</w:t>
      </w:r>
      <w:r>
        <w:rPr>
          <w:rFonts w:ascii="Times New Roman" w:hAnsi="Times New Roman"/>
          <w:szCs w:val="21"/>
        </w:rPr>
        <w:t>T</w:t>
      </w:r>
      <w:r>
        <w:rPr>
          <w:rFonts w:ascii="Times New Roman" w:hAnsi="Times New Roman" w:hint="eastAsia"/>
          <w:szCs w:val="21"/>
        </w:rPr>
        <w:t>细胞识别、黏附、活化有关的</w:t>
      </w:r>
      <w:r>
        <w:rPr>
          <w:rFonts w:ascii="Times New Roman" w:hAnsi="Times New Roman"/>
          <w:szCs w:val="21"/>
        </w:rPr>
        <w:t>CD</w:t>
      </w:r>
      <w:r>
        <w:rPr>
          <w:rFonts w:ascii="Times New Roman" w:hAnsi="Times New Roman" w:hint="eastAsia"/>
          <w:szCs w:val="21"/>
        </w:rPr>
        <w:t>分子（</w:t>
      </w:r>
      <w:r>
        <w:rPr>
          <w:rFonts w:ascii="Times New Roman" w:hAnsi="Times New Roman"/>
          <w:szCs w:val="21"/>
        </w:rPr>
        <w:t>CD3</w:t>
      </w:r>
      <w:r>
        <w:rPr>
          <w:rFonts w:ascii="Times New Roman" w:hAnsi="Times New Roman" w:hint="eastAsia"/>
          <w:szCs w:val="21"/>
        </w:rPr>
        <w:t>、</w:t>
      </w:r>
      <w:r>
        <w:rPr>
          <w:rFonts w:ascii="Times New Roman" w:hAnsi="Times New Roman"/>
          <w:szCs w:val="21"/>
        </w:rPr>
        <w:t>CD4</w:t>
      </w:r>
      <w:r>
        <w:rPr>
          <w:rFonts w:ascii="Times New Roman" w:hAnsi="Times New Roman" w:hint="eastAsia"/>
          <w:szCs w:val="21"/>
        </w:rPr>
        <w:t>、</w:t>
      </w:r>
      <w:r>
        <w:rPr>
          <w:rFonts w:ascii="Times New Roman" w:hAnsi="Times New Roman"/>
          <w:szCs w:val="21"/>
        </w:rPr>
        <w:t>CD8</w:t>
      </w:r>
      <w:r>
        <w:rPr>
          <w:rFonts w:ascii="Times New Roman" w:hAnsi="Times New Roman" w:hint="eastAsia"/>
          <w:szCs w:val="21"/>
        </w:rPr>
        <w:t>、</w:t>
      </w:r>
      <w:r>
        <w:rPr>
          <w:rFonts w:ascii="Times New Roman" w:hAnsi="Times New Roman"/>
          <w:szCs w:val="21"/>
        </w:rPr>
        <w:t>CD2</w:t>
      </w:r>
      <w:r>
        <w:rPr>
          <w:rFonts w:ascii="Times New Roman" w:hAnsi="Times New Roman" w:hint="eastAsia"/>
          <w:szCs w:val="21"/>
        </w:rPr>
        <w:t>、</w:t>
      </w:r>
      <w:r>
        <w:rPr>
          <w:rFonts w:ascii="Times New Roman" w:hAnsi="Times New Roman"/>
          <w:szCs w:val="21"/>
        </w:rPr>
        <w:t>CD58</w:t>
      </w:r>
      <w:r>
        <w:rPr>
          <w:rFonts w:ascii="Times New Roman" w:hAnsi="Times New Roman" w:hint="eastAsia"/>
          <w:szCs w:val="21"/>
        </w:rPr>
        <w:t>、</w:t>
      </w:r>
      <w:r>
        <w:rPr>
          <w:rFonts w:ascii="Times New Roman" w:hAnsi="Times New Roman"/>
          <w:szCs w:val="21"/>
        </w:rPr>
        <w:t>CD28</w:t>
      </w:r>
      <w:r>
        <w:rPr>
          <w:rFonts w:ascii="Times New Roman" w:hAnsi="Times New Roman" w:hint="eastAsia"/>
          <w:szCs w:val="21"/>
        </w:rPr>
        <w:t>、</w:t>
      </w:r>
      <w:r>
        <w:rPr>
          <w:rFonts w:ascii="Times New Roman" w:hAnsi="Times New Roman"/>
          <w:szCs w:val="21"/>
        </w:rPr>
        <w:t>CD80/CD86</w:t>
      </w:r>
      <w:r>
        <w:rPr>
          <w:rFonts w:ascii="Times New Roman" w:hAnsi="Times New Roman" w:hint="eastAsia"/>
          <w:szCs w:val="21"/>
        </w:rPr>
        <w:t>、</w:t>
      </w:r>
      <w:r>
        <w:rPr>
          <w:rFonts w:ascii="Times New Roman" w:hAnsi="Times New Roman"/>
          <w:szCs w:val="21"/>
        </w:rPr>
        <w:t>CTLA-4</w:t>
      </w:r>
      <w:r>
        <w:rPr>
          <w:rFonts w:ascii="Times New Roman" w:hAnsi="Times New Roman" w:hint="eastAsia"/>
          <w:szCs w:val="21"/>
        </w:rPr>
        <w:t>、</w:t>
      </w:r>
      <w:r>
        <w:rPr>
          <w:rFonts w:ascii="Times New Roman" w:hAnsi="Times New Roman"/>
          <w:szCs w:val="21"/>
        </w:rPr>
        <w:t>CD154</w:t>
      </w:r>
      <w:r>
        <w:rPr>
          <w:rFonts w:ascii="Times New Roman" w:hAnsi="Times New Roman" w:hint="eastAsia"/>
          <w:szCs w:val="21"/>
        </w:rPr>
        <w:t>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．与</w:t>
      </w:r>
      <w:r>
        <w:rPr>
          <w:rFonts w:ascii="Times New Roman" w:hAnsi="Times New Roman"/>
          <w:szCs w:val="21"/>
        </w:rPr>
        <w:t>B</w:t>
      </w:r>
      <w:r>
        <w:rPr>
          <w:rFonts w:ascii="Times New Roman" w:hAnsi="Times New Roman" w:hint="eastAsia"/>
          <w:szCs w:val="21"/>
        </w:rPr>
        <w:t>细胞识别、黏附、活化有关的</w:t>
      </w:r>
      <w:r>
        <w:rPr>
          <w:rFonts w:ascii="Times New Roman" w:hAnsi="Times New Roman"/>
          <w:szCs w:val="21"/>
        </w:rPr>
        <w:t>CD</w:t>
      </w:r>
      <w:r>
        <w:rPr>
          <w:rFonts w:ascii="Times New Roman" w:hAnsi="Times New Roman" w:hint="eastAsia"/>
          <w:szCs w:val="21"/>
        </w:rPr>
        <w:t>分子（</w:t>
      </w:r>
      <w:r>
        <w:rPr>
          <w:rFonts w:ascii="Times New Roman" w:hAnsi="Times New Roman"/>
          <w:szCs w:val="21"/>
        </w:rPr>
        <w:t>CD79a/CD79b</w:t>
      </w:r>
      <w:r>
        <w:rPr>
          <w:rFonts w:ascii="Times New Roman" w:hAnsi="Times New Roman" w:hint="eastAsia"/>
          <w:szCs w:val="21"/>
        </w:rPr>
        <w:t>、</w:t>
      </w:r>
      <w:r>
        <w:rPr>
          <w:rFonts w:ascii="Times New Roman" w:hAnsi="Times New Roman"/>
          <w:szCs w:val="21"/>
        </w:rPr>
        <w:t>CD19/CD21/CD81</w:t>
      </w:r>
      <w:r>
        <w:rPr>
          <w:rFonts w:ascii="Times New Roman" w:hAnsi="Times New Roman" w:hint="eastAsia"/>
          <w:szCs w:val="21"/>
        </w:rPr>
        <w:t>复合物、</w:t>
      </w:r>
      <w:r>
        <w:rPr>
          <w:rFonts w:ascii="Times New Roman" w:hAnsi="Times New Roman"/>
          <w:szCs w:val="21"/>
        </w:rPr>
        <w:t>CD40</w:t>
      </w:r>
      <w:r>
        <w:rPr>
          <w:rFonts w:ascii="Times New Roman" w:hAnsi="Times New Roman" w:hint="eastAsia"/>
          <w:szCs w:val="21"/>
        </w:rPr>
        <w:t>与</w:t>
      </w:r>
      <w:r>
        <w:rPr>
          <w:rFonts w:ascii="Times New Roman" w:hAnsi="Times New Roman"/>
          <w:szCs w:val="21"/>
        </w:rPr>
        <w:t>CD40L</w:t>
      </w:r>
      <w:r>
        <w:rPr>
          <w:rFonts w:ascii="Times New Roman" w:hAnsi="Times New Roman" w:hint="eastAsia"/>
          <w:szCs w:val="21"/>
        </w:rPr>
        <w:t>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．黏附分子概念、作用方式、分类（包括免疫球蛋白超家族、整合素家族、选择素家族、钙黏蛋白家族），每类黏附分子的结构、组成、配体和功能。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．黏附分子功能：参与免疫细胞之间的相互作用和活化；参与炎症过程中白细胞与血管内皮细胞黏附；淋巴细胞归巢。</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．白细胞分化抗原及其单克隆抗体的临床应用。</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rPr>
          <w:rFonts w:ascii="Times New Roman" w:hAnsi="Times New Roman"/>
          <w:szCs w:val="21"/>
        </w:rPr>
      </w:pP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第八章</w:t>
      </w:r>
      <w:r>
        <w:rPr>
          <w:rFonts w:ascii="Times New Roman" w:hAnsi="Times New Roman"/>
          <w:b/>
          <w:szCs w:val="21"/>
        </w:rPr>
        <w:t xml:space="preserve"> </w:t>
      </w:r>
      <w:r>
        <w:rPr>
          <w:rFonts w:ascii="Times New Roman" w:hAnsi="Times New Roman" w:hint="eastAsia"/>
          <w:b/>
          <w:szCs w:val="21"/>
        </w:rPr>
        <w:t>主要组织相容性复合体</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w:t>
      </w:r>
      <w:r>
        <w:rPr>
          <w:rFonts w:ascii="Times New Roman" w:hAnsi="Times New Roman"/>
          <w:szCs w:val="21"/>
        </w:rPr>
        <w:t>MHC</w:t>
      </w:r>
      <w:r>
        <w:rPr>
          <w:rFonts w:ascii="Times New Roman" w:hAnsi="Times New Roman" w:hint="eastAsia"/>
          <w:szCs w:val="21"/>
        </w:rPr>
        <w:t>和</w:t>
      </w:r>
      <w:r>
        <w:rPr>
          <w:rFonts w:ascii="Times New Roman" w:hAnsi="Times New Roman"/>
          <w:szCs w:val="21"/>
        </w:rPr>
        <w:t>HLA</w:t>
      </w:r>
      <w:r>
        <w:rPr>
          <w:rFonts w:ascii="Times New Roman" w:hAnsi="Times New Roman" w:hint="eastAsia"/>
          <w:szCs w:val="21"/>
        </w:rPr>
        <w:t>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．掌握经典的</w:t>
      </w:r>
      <w:r>
        <w:rPr>
          <w:rFonts w:ascii="Times New Roman" w:hAnsi="Times New Roman"/>
          <w:szCs w:val="21"/>
        </w:rPr>
        <w:t>HLA</w:t>
      </w:r>
      <w:r>
        <w:rPr>
          <w:rFonts w:ascii="宋体" w:hAnsi="宋体" w:cs="宋体" w:hint="eastAsia"/>
          <w:szCs w:val="21"/>
        </w:rPr>
        <w:t>Ⅰ</w:t>
      </w:r>
      <w:r>
        <w:rPr>
          <w:rFonts w:ascii="Times New Roman" w:hAnsi="Times New Roman" w:hint="eastAsia"/>
          <w:szCs w:val="21"/>
        </w:rPr>
        <w:t>类和</w:t>
      </w:r>
      <w:r>
        <w:rPr>
          <w:rFonts w:ascii="宋体" w:hAnsi="宋体" w:cs="宋体" w:hint="eastAsia"/>
          <w:szCs w:val="21"/>
        </w:rPr>
        <w:t>Ⅱ</w:t>
      </w:r>
      <w:r>
        <w:rPr>
          <w:rFonts w:ascii="Times New Roman" w:hAnsi="Times New Roman" w:hint="eastAsia"/>
          <w:szCs w:val="21"/>
        </w:rPr>
        <w:t>类基因的定位、结构及其表达产物，了解多基因性的含义和免疫功能相关基因。</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w:t>
      </w:r>
      <w:r>
        <w:rPr>
          <w:rFonts w:ascii="Times New Roman" w:hAnsi="Times New Roman"/>
          <w:szCs w:val="21"/>
        </w:rPr>
        <w:t>MHC</w:t>
      </w:r>
      <w:r>
        <w:rPr>
          <w:rFonts w:ascii="Times New Roman" w:hAnsi="Times New Roman" w:hint="eastAsia"/>
          <w:szCs w:val="21"/>
        </w:rPr>
        <w:t>多态性的概念、产生及其意义，了解单体型和连锁不平衡的含义。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w:t>
      </w:r>
      <w:r>
        <w:rPr>
          <w:rFonts w:ascii="Times New Roman" w:hAnsi="Times New Roman"/>
          <w:szCs w:val="21"/>
        </w:rPr>
        <w:t>HLA</w:t>
      </w:r>
      <w:r>
        <w:rPr>
          <w:rFonts w:ascii="宋体" w:hAnsi="宋体" w:cs="宋体" w:hint="eastAsia"/>
          <w:szCs w:val="21"/>
        </w:rPr>
        <w:t>Ⅰ</w:t>
      </w:r>
      <w:r>
        <w:rPr>
          <w:rFonts w:ascii="Times New Roman" w:hAnsi="Times New Roman" w:hint="eastAsia"/>
          <w:szCs w:val="21"/>
        </w:rPr>
        <w:t>类和</w:t>
      </w:r>
      <w:r>
        <w:rPr>
          <w:rFonts w:ascii="宋体" w:hAnsi="宋体" w:cs="宋体" w:hint="eastAsia"/>
          <w:szCs w:val="21"/>
        </w:rPr>
        <w:t>Ⅱ</w:t>
      </w:r>
      <w:r>
        <w:rPr>
          <w:rFonts w:ascii="Times New Roman" w:hAnsi="Times New Roman" w:hint="eastAsia"/>
          <w:szCs w:val="21"/>
        </w:rPr>
        <w:t>类分子的结构、组织分布和功能特点。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．熟悉</w:t>
      </w:r>
      <w:r>
        <w:rPr>
          <w:rFonts w:ascii="Times New Roman" w:hAnsi="Times New Roman"/>
          <w:szCs w:val="21"/>
        </w:rPr>
        <w:t>HLA</w:t>
      </w:r>
      <w:r>
        <w:rPr>
          <w:rFonts w:ascii="Times New Roman" w:hAnsi="Times New Roman" w:hint="eastAsia"/>
          <w:szCs w:val="21"/>
        </w:rPr>
        <w:t>与抗原肽的相互作用，了解相互作用特点。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．掌握</w:t>
      </w:r>
      <w:r>
        <w:rPr>
          <w:rFonts w:ascii="Times New Roman" w:hAnsi="Times New Roman"/>
          <w:szCs w:val="21"/>
        </w:rPr>
        <w:t>HLA</w:t>
      </w:r>
      <w:r>
        <w:rPr>
          <w:rFonts w:ascii="Times New Roman" w:hAnsi="Times New Roman" w:hint="eastAsia"/>
          <w:szCs w:val="21"/>
        </w:rPr>
        <w:t>分子的功能（包括</w:t>
      </w:r>
      <w:r>
        <w:rPr>
          <w:rFonts w:ascii="Times New Roman" w:hAnsi="Times New Roman"/>
          <w:szCs w:val="21"/>
        </w:rPr>
        <w:t>MHC</w:t>
      </w:r>
      <w:r>
        <w:rPr>
          <w:rFonts w:ascii="Times New Roman" w:hAnsi="Times New Roman" w:hint="eastAsia"/>
          <w:szCs w:val="21"/>
        </w:rPr>
        <w:t>限制性概念）。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7</w:t>
      </w:r>
      <w:r>
        <w:rPr>
          <w:rFonts w:ascii="Times New Roman" w:hAnsi="Times New Roman" w:hint="eastAsia"/>
          <w:szCs w:val="21"/>
        </w:rPr>
        <w:t>．了解</w:t>
      </w:r>
      <w:r>
        <w:rPr>
          <w:rFonts w:ascii="Times New Roman" w:hAnsi="Times New Roman"/>
          <w:szCs w:val="21"/>
        </w:rPr>
        <w:t>HLA</w:t>
      </w:r>
      <w:r>
        <w:rPr>
          <w:rFonts w:ascii="Times New Roman" w:hAnsi="Times New Roman" w:hint="eastAsia"/>
          <w:szCs w:val="21"/>
        </w:rPr>
        <w:t>与临床医学的关系（器官移植、异常表达与临床疾病、</w:t>
      </w:r>
      <w:r>
        <w:rPr>
          <w:rFonts w:ascii="Times New Roman" w:hAnsi="Times New Roman"/>
          <w:szCs w:val="21"/>
        </w:rPr>
        <w:t>HLA</w:t>
      </w:r>
      <w:r>
        <w:rPr>
          <w:rFonts w:ascii="Times New Roman" w:hAnsi="Times New Roman" w:hint="eastAsia"/>
          <w:szCs w:val="21"/>
        </w:rPr>
        <w:t>与疾病关联、亲子鉴定和法医学应用）</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w:t>
      </w:r>
      <w:r>
        <w:rPr>
          <w:rFonts w:ascii="Times New Roman" w:hAnsi="Times New Roman"/>
          <w:szCs w:val="21"/>
        </w:rPr>
        <w:t>MHC</w:t>
      </w:r>
      <w:r>
        <w:rPr>
          <w:rFonts w:ascii="Times New Roman" w:hAnsi="Times New Roman" w:hint="eastAsia"/>
          <w:szCs w:val="21"/>
        </w:rPr>
        <w:t>和</w:t>
      </w:r>
      <w:r>
        <w:rPr>
          <w:rFonts w:ascii="Times New Roman" w:hAnsi="Times New Roman"/>
          <w:szCs w:val="21"/>
        </w:rPr>
        <w:t>HLA</w:t>
      </w:r>
      <w:r>
        <w:rPr>
          <w:rFonts w:ascii="Times New Roman" w:hAnsi="Times New Roman" w:hint="eastAsia"/>
          <w:szCs w:val="21"/>
        </w:rPr>
        <w:t>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MHC</w:t>
      </w:r>
      <w:r>
        <w:rPr>
          <w:rFonts w:ascii="Times New Roman" w:hAnsi="Times New Roman" w:hint="eastAsia"/>
          <w:szCs w:val="21"/>
        </w:rPr>
        <w:t>基因结构：</w:t>
      </w:r>
      <w:r>
        <w:rPr>
          <w:rFonts w:ascii="Times New Roman" w:hAnsi="Times New Roman"/>
          <w:szCs w:val="21"/>
        </w:rPr>
        <w:t>MHC</w:t>
      </w:r>
      <w:r>
        <w:rPr>
          <w:rFonts w:ascii="Times New Roman" w:hAnsi="Times New Roman" w:hint="eastAsia"/>
          <w:szCs w:val="21"/>
        </w:rPr>
        <w:t>的多基因性；</w:t>
      </w:r>
      <w:r>
        <w:rPr>
          <w:rFonts w:ascii="Times New Roman" w:hAnsi="Times New Roman"/>
          <w:szCs w:val="21"/>
        </w:rPr>
        <w:t>HLA</w:t>
      </w:r>
      <w:r>
        <w:rPr>
          <w:rFonts w:ascii="Times New Roman" w:hAnsi="Times New Roman" w:hint="eastAsia"/>
          <w:szCs w:val="21"/>
        </w:rPr>
        <w:t>基因复合体的定位和结构（包括经典的</w:t>
      </w:r>
      <w:r>
        <w:rPr>
          <w:rFonts w:ascii="Times New Roman" w:hAnsi="Times New Roman"/>
          <w:szCs w:val="21"/>
        </w:rPr>
        <w:t>HLA</w:t>
      </w:r>
      <w:r>
        <w:rPr>
          <w:rFonts w:ascii="宋体" w:hAnsi="宋体" w:cs="宋体" w:hint="eastAsia"/>
          <w:szCs w:val="21"/>
        </w:rPr>
        <w:t>Ⅰ</w:t>
      </w:r>
      <w:r>
        <w:rPr>
          <w:rFonts w:ascii="Times New Roman" w:hAnsi="Times New Roman" w:hint="eastAsia"/>
          <w:szCs w:val="21"/>
        </w:rPr>
        <w:t>类和</w:t>
      </w:r>
      <w:r>
        <w:rPr>
          <w:rFonts w:ascii="宋体" w:hAnsi="宋体" w:cs="宋体" w:hint="eastAsia"/>
          <w:szCs w:val="21"/>
        </w:rPr>
        <w:t>Ⅱ</w:t>
      </w:r>
      <w:r>
        <w:rPr>
          <w:rFonts w:ascii="Times New Roman" w:hAnsi="Times New Roman" w:hint="eastAsia"/>
          <w:szCs w:val="21"/>
        </w:rPr>
        <w:t>类基因的分布、结构和表达产物及免疫功能相关基因的分布和表达产物）。</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．人类</w:t>
      </w:r>
      <w:r>
        <w:rPr>
          <w:rFonts w:ascii="Times New Roman" w:hAnsi="Times New Roman"/>
          <w:szCs w:val="21"/>
        </w:rPr>
        <w:t>MHC</w:t>
      </w:r>
      <w:r>
        <w:rPr>
          <w:rFonts w:ascii="Times New Roman" w:hAnsi="Times New Roman" w:hint="eastAsia"/>
          <w:szCs w:val="21"/>
        </w:rPr>
        <w:t>的遗传特点：</w:t>
      </w:r>
      <w:r>
        <w:rPr>
          <w:rFonts w:ascii="Times New Roman" w:hAnsi="Times New Roman"/>
          <w:szCs w:val="21"/>
        </w:rPr>
        <w:t>MHC</w:t>
      </w:r>
      <w:r>
        <w:rPr>
          <w:rFonts w:ascii="Times New Roman" w:hAnsi="Times New Roman" w:hint="eastAsia"/>
          <w:szCs w:val="21"/>
        </w:rPr>
        <w:t>多态性的概念、产生及其意义（个体效应、群体效应），单体型和连锁不平衡的含义。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w:t>
      </w:r>
      <w:r>
        <w:rPr>
          <w:rFonts w:ascii="Times New Roman" w:hAnsi="Times New Roman"/>
          <w:szCs w:val="21"/>
        </w:rPr>
        <w:t>HLA</w:t>
      </w:r>
      <w:r>
        <w:rPr>
          <w:rFonts w:ascii="Times New Roman" w:hAnsi="Times New Roman" w:hint="eastAsia"/>
          <w:szCs w:val="21"/>
        </w:rPr>
        <w:t>分子：</w:t>
      </w:r>
      <w:r>
        <w:rPr>
          <w:rFonts w:ascii="Times New Roman" w:hAnsi="Times New Roman"/>
          <w:szCs w:val="21"/>
        </w:rPr>
        <w:t>HLA</w:t>
      </w:r>
      <w:r>
        <w:rPr>
          <w:rFonts w:ascii="宋体" w:hAnsi="宋体" w:cs="宋体" w:hint="eastAsia"/>
          <w:szCs w:val="21"/>
        </w:rPr>
        <w:t>Ⅰ</w:t>
      </w:r>
      <w:r>
        <w:rPr>
          <w:rFonts w:ascii="Times New Roman" w:hAnsi="Times New Roman" w:hint="eastAsia"/>
          <w:szCs w:val="21"/>
        </w:rPr>
        <w:t>类和</w:t>
      </w:r>
      <w:r>
        <w:rPr>
          <w:rFonts w:ascii="宋体" w:hAnsi="宋体" w:cs="宋体" w:hint="eastAsia"/>
          <w:szCs w:val="21"/>
        </w:rPr>
        <w:t>Ⅱ</w:t>
      </w:r>
      <w:r>
        <w:rPr>
          <w:rFonts w:ascii="Times New Roman" w:hAnsi="Times New Roman" w:hint="eastAsia"/>
          <w:szCs w:val="21"/>
        </w:rPr>
        <w:t>类分子的结构、组织分布和功能特点。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w:t>
      </w:r>
      <w:r>
        <w:rPr>
          <w:rFonts w:ascii="Times New Roman" w:hAnsi="Times New Roman"/>
          <w:szCs w:val="21"/>
        </w:rPr>
        <w:t>HLA</w:t>
      </w:r>
      <w:r>
        <w:rPr>
          <w:rFonts w:ascii="Times New Roman" w:hAnsi="Times New Roman" w:hint="eastAsia"/>
          <w:szCs w:val="21"/>
        </w:rPr>
        <w:t>分子与抗原肽的相互作用：</w:t>
      </w:r>
      <w:r>
        <w:rPr>
          <w:rFonts w:ascii="Times New Roman" w:hAnsi="Times New Roman"/>
          <w:szCs w:val="21"/>
        </w:rPr>
        <w:t>HLA</w:t>
      </w:r>
      <w:r>
        <w:rPr>
          <w:rFonts w:ascii="宋体" w:hAnsi="宋体" w:cs="宋体" w:hint="eastAsia"/>
          <w:szCs w:val="21"/>
        </w:rPr>
        <w:t>Ⅰ</w:t>
      </w:r>
      <w:r>
        <w:rPr>
          <w:rFonts w:ascii="Times New Roman" w:hAnsi="Times New Roman" w:hint="eastAsia"/>
          <w:szCs w:val="21"/>
        </w:rPr>
        <w:t>类和</w:t>
      </w:r>
      <w:r>
        <w:rPr>
          <w:rFonts w:ascii="宋体" w:hAnsi="宋体" w:cs="宋体" w:hint="eastAsia"/>
          <w:szCs w:val="21"/>
        </w:rPr>
        <w:t>Ⅱ</w:t>
      </w:r>
      <w:r>
        <w:rPr>
          <w:rFonts w:ascii="Times New Roman" w:hAnsi="Times New Roman" w:hint="eastAsia"/>
          <w:szCs w:val="21"/>
        </w:rPr>
        <w:t>类分子的抗原肽结合槽结构，接纳抗原肽的特点，锚定残基和共用基序的概念，</w:t>
      </w:r>
      <w:r>
        <w:rPr>
          <w:rFonts w:ascii="Times New Roman" w:hAnsi="Times New Roman"/>
          <w:szCs w:val="21"/>
        </w:rPr>
        <w:t>HLA</w:t>
      </w:r>
      <w:r>
        <w:rPr>
          <w:rFonts w:ascii="Times New Roman" w:hAnsi="Times New Roman" w:hint="eastAsia"/>
          <w:szCs w:val="21"/>
        </w:rPr>
        <w:t>分子与抗原肽两者相互作用的特点。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w:t>
      </w:r>
      <w:r>
        <w:rPr>
          <w:rFonts w:ascii="Times New Roman" w:hAnsi="Times New Roman"/>
          <w:szCs w:val="21"/>
        </w:rPr>
        <w:t>HLA</w:t>
      </w:r>
      <w:r>
        <w:rPr>
          <w:rFonts w:ascii="Times New Roman" w:hAnsi="Times New Roman" w:hint="eastAsia"/>
          <w:szCs w:val="21"/>
        </w:rPr>
        <w:t>分子的功能：作为抗原提呈分子参与适应性免疫应答，作为调节分子参与固有免疫应答。</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lastRenderedPageBreak/>
        <w:t>7</w:t>
      </w:r>
      <w:r>
        <w:rPr>
          <w:rFonts w:ascii="Times New Roman" w:hAnsi="Times New Roman" w:hint="eastAsia"/>
          <w:szCs w:val="21"/>
        </w:rPr>
        <w:t>．</w:t>
      </w:r>
      <w:r>
        <w:rPr>
          <w:rFonts w:ascii="Times New Roman" w:hAnsi="Times New Roman"/>
          <w:szCs w:val="21"/>
        </w:rPr>
        <w:t>HLA</w:t>
      </w:r>
      <w:r>
        <w:rPr>
          <w:rFonts w:ascii="Times New Roman" w:hAnsi="Times New Roman" w:hint="eastAsia"/>
          <w:szCs w:val="21"/>
        </w:rPr>
        <w:t>与临床：</w:t>
      </w:r>
      <w:r>
        <w:rPr>
          <w:rFonts w:ascii="Times New Roman" w:hAnsi="Times New Roman"/>
          <w:szCs w:val="21"/>
        </w:rPr>
        <w:t>HLA</w:t>
      </w:r>
      <w:r>
        <w:rPr>
          <w:rFonts w:ascii="Times New Roman" w:hAnsi="Times New Roman" w:hint="eastAsia"/>
          <w:szCs w:val="21"/>
        </w:rPr>
        <w:t>与器官移植，</w:t>
      </w:r>
      <w:r>
        <w:rPr>
          <w:rFonts w:ascii="Times New Roman" w:hAnsi="Times New Roman"/>
          <w:szCs w:val="21"/>
        </w:rPr>
        <w:t>HLA</w:t>
      </w:r>
      <w:r>
        <w:rPr>
          <w:rFonts w:ascii="Times New Roman" w:hAnsi="Times New Roman" w:hint="eastAsia"/>
          <w:szCs w:val="21"/>
        </w:rPr>
        <w:t>分子的异常表达和临床疾病；</w:t>
      </w:r>
      <w:r>
        <w:rPr>
          <w:rFonts w:ascii="Times New Roman" w:hAnsi="Times New Roman"/>
          <w:szCs w:val="21"/>
        </w:rPr>
        <w:t>HLA</w:t>
      </w:r>
      <w:r>
        <w:rPr>
          <w:rFonts w:ascii="Times New Roman" w:hAnsi="Times New Roman" w:hint="eastAsia"/>
          <w:szCs w:val="21"/>
        </w:rPr>
        <w:t>与疾病关联；</w:t>
      </w:r>
      <w:r>
        <w:rPr>
          <w:rFonts w:ascii="Times New Roman" w:hAnsi="Times New Roman"/>
          <w:szCs w:val="21"/>
        </w:rPr>
        <w:t>HLA</w:t>
      </w:r>
      <w:r>
        <w:rPr>
          <w:rFonts w:ascii="Times New Roman" w:hAnsi="Times New Roman" w:hint="eastAsia"/>
          <w:szCs w:val="21"/>
        </w:rPr>
        <w:t>与亲子鉴定和法医学。</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第九章</w:t>
      </w:r>
      <w:r>
        <w:rPr>
          <w:rFonts w:ascii="Times New Roman" w:hAnsi="Times New Roman"/>
          <w:b/>
          <w:szCs w:val="21"/>
        </w:rPr>
        <w:t>B</w:t>
      </w:r>
      <w:r>
        <w:rPr>
          <w:rFonts w:ascii="Times New Roman" w:hAnsi="Times New Roman" w:hint="eastAsia"/>
          <w:b/>
          <w:szCs w:val="21"/>
        </w:rPr>
        <w:t>淋巴细胞</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．熟悉</w:t>
      </w:r>
      <w:r>
        <w:rPr>
          <w:rFonts w:ascii="Times New Roman" w:hAnsi="Times New Roman"/>
          <w:szCs w:val="21"/>
        </w:rPr>
        <w:t>BCR</w:t>
      </w:r>
      <w:r>
        <w:rPr>
          <w:rFonts w:ascii="Times New Roman" w:hAnsi="Times New Roman" w:hint="eastAsia"/>
          <w:szCs w:val="21"/>
        </w:rPr>
        <w:t>的基因结构和重排及多样性产生机制，了解</w:t>
      </w:r>
      <w:r>
        <w:rPr>
          <w:rFonts w:ascii="Times New Roman" w:hAnsi="Times New Roman"/>
          <w:szCs w:val="21"/>
        </w:rPr>
        <w:t>B</w:t>
      </w:r>
      <w:r>
        <w:rPr>
          <w:rFonts w:ascii="Times New Roman" w:hAnsi="Times New Roman" w:hint="eastAsia"/>
          <w:szCs w:val="21"/>
        </w:rPr>
        <w:t>细胞在中枢免疫器官中的分化发育及中枢免疫耐受的形成过程。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w:t>
      </w:r>
      <w:r>
        <w:rPr>
          <w:rFonts w:ascii="Times New Roman" w:hAnsi="Times New Roman"/>
          <w:szCs w:val="21"/>
        </w:rPr>
        <w:t>BCR</w:t>
      </w:r>
      <w:r>
        <w:rPr>
          <w:rFonts w:ascii="Times New Roman" w:hAnsi="Times New Roman" w:hint="eastAsia"/>
          <w:szCs w:val="21"/>
        </w:rPr>
        <w:t>复合物结构和功能、</w:t>
      </w:r>
      <w:r>
        <w:rPr>
          <w:rFonts w:ascii="Times New Roman" w:hAnsi="Times New Roman"/>
          <w:szCs w:val="21"/>
        </w:rPr>
        <w:t>B</w:t>
      </w:r>
      <w:r>
        <w:rPr>
          <w:rFonts w:ascii="Times New Roman" w:hAnsi="Times New Roman" w:hint="eastAsia"/>
          <w:szCs w:val="21"/>
        </w:rPr>
        <w:t>细胞共受体与共刺激分子（</w:t>
      </w:r>
      <w:r>
        <w:rPr>
          <w:rFonts w:ascii="Times New Roman" w:hAnsi="Times New Roman"/>
          <w:szCs w:val="21"/>
        </w:rPr>
        <w:t>CD40</w:t>
      </w:r>
      <w:r>
        <w:rPr>
          <w:rFonts w:ascii="Times New Roman" w:hAnsi="Times New Roman" w:hint="eastAsia"/>
          <w:szCs w:val="21"/>
        </w:rPr>
        <w:t>、</w:t>
      </w:r>
      <w:r>
        <w:rPr>
          <w:rFonts w:ascii="Times New Roman" w:hAnsi="Times New Roman"/>
          <w:szCs w:val="21"/>
        </w:rPr>
        <w:t>CD80/CD86</w:t>
      </w:r>
      <w:r>
        <w:rPr>
          <w:rFonts w:ascii="Times New Roman" w:hAnsi="Times New Roman" w:hint="eastAsia"/>
          <w:szCs w:val="21"/>
        </w:rPr>
        <w:t>、黏附分子）的功能，了解</w:t>
      </w:r>
      <w:r>
        <w:rPr>
          <w:rFonts w:ascii="Times New Roman" w:hAnsi="Times New Roman"/>
          <w:szCs w:val="21"/>
        </w:rPr>
        <w:t>B</w:t>
      </w:r>
      <w:r>
        <w:rPr>
          <w:rFonts w:ascii="Times New Roman" w:hAnsi="Times New Roman" w:hint="eastAsia"/>
          <w:szCs w:val="21"/>
        </w:rPr>
        <w:t>细胞表面其他分子（</w:t>
      </w:r>
      <w:r>
        <w:rPr>
          <w:rFonts w:ascii="Times New Roman" w:hAnsi="Times New Roman"/>
          <w:szCs w:val="21"/>
        </w:rPr>
        <w:t>CD20</w:t>
      </w:r>
      <w:r>
        <w:rPr>
          <w:rFonts w:ascii="Times New Roman" w:hAnsi="Times New Roman" w:hint="eastAsia"/>
          <w:szCs w:val="21"/>
        </w:rPr>
        <w:t>、</w:t>
      </w:r>
      <w:r>
        <w:rPr>
          <w:rFonts w:ascii="Times New Roman" w:hAnsi="Times New Roman"/>
          <w:szCs w:val="21"/>
        </w:rPr>
        <w:t>CD22</w:t>
      </w:r>
      <w:r>
        <w:rPr>
          <w:rFonts w:ascii="Times New Roman" w:hAnsi="Times New Roman" w:hint="eastAsia"/>
          <w:szCs w:val="21"/>
        </w:rPr>
        <w:t>、</w:t>
      </w:r>
      <w:r>
        <w:rPr>
          <w:rFonts w:ascii="Times New Roman" w:hAnsi="Times New Roman"/>
          <w:szCs w:val="21"/>
        </w:rPr>
        <w:t>CD32</w:t>
      </w:r>
      <w:r>
        <w:rPr>
          <w:rFonts w:ascii="Times New Roman" w:hAnsi="Times New Roman" w:hint="eastAsia"/>
          <w:szCs w:val="21"/>
        </w:rPr>
        <w:t>）的功能。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w:t>
      </w:r>
      <w:r>
        <w:rPr>
          <w:rFonts w:ascii="Times New Roman" w:hAnsi="Times New Roman"/>
          <w:szCs w:val="21"/>
        </w:rPr>
        <w:t>B</w:t>
      </w:r>
      <w:r>
        <w:rPr>
          <w:rFonts w:ascii="Times New Roman" w:hAnsi="Times New Roman" w:hint="eastAsia"/>
          <w:szCs w:val="21"/>
        </w:rPr>
        <w:t>细胞亚群，熟悉</w:t>
      </w:r>
      <w:r>
        <w:rPr>
          <w:rFonts w:ascii="Times New Roman" w:hAnsi="Times New Roman"/>
          <w:szCs w:val="21"/>
        </w:rPr>
        <w:t>B1</w:t>
      </w:r>
      <w:r>
        <w:rPr>
          <w:rFonts w:ascii="Times New Roman" w:hAnsi="Times New Roman" w:hint="eastAsia"/>
          <w:szCs w:val="21"/>
        </w:rPr>
        <w:t>细胞和</w:t>
      </w:r>
      <w:r>
        <w:rPr>
          <w:rFonts w:ascii="Times New Roman" w:hAnsi="Times New Roman"/>
          <w:szCs w:val="21"/>
        </w:rPr>
        <w:t>B2</w:t>
      </w:r>
      <w:r>
        <w:rPr>
          <w:rFonts w:ascii="Times New Roman" w:hAnsi="Times New Roman" w:hint="eastAsia"/>
          <w:szCs w:val="21"/>
        </w:rPr>
        <w:t>细胞的区别。</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w:t>
      </w:r>
      <w:r>
        <w:rPr>
          <w:rFonts w:ascii="Times New Roman" w:hAnsi="Times New Roman"/>
          <w:szCs w:val="21"/>
        </w:rPr>
        <w:t>B</w:t>
      </w:r>
      <w:r>
        <w:rPr>
          <w:rFonts w:ascii="Times New Roman" w:hAnsi="Times New Roman" w:hint="eastAsia"/>
          <w:szCs w:val="21"/>
        </w:rPr>
        <w:t>细胞的功能。</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细胞的分化发育：</w:t>
      </w:r>
      <w:r>
        <w:rPr>
          <w:rFonts w:ascii="Times New Roman" w:hAnsi="Times New Roman"/>
          <w:szCs w:val="21"/>
        </w:rPr>
        <w:t>BCR</w:t>
      </w:r>
      <w:r>
        <w:rPr>
          <w:rFonts w:ascii="Times New Roman" w:hAnsi="Times New Roman" w:hint="eastAsia"/>
          <w:szCs w:val="21"/>
        </w:rPr>
        <w:t>的基因结构及其重排，</w:t>
      </w:r>
      <w:r>
        <w:rPr>
          <w:rFonts w:ascii="Times New Roman" w:hAnsi="Times New Roman"/>
          <w:szCs w:val="21"/>
        </w:rPr>
        <w:t>BCR</w:t>
      </w:r>
      <w:r>
        <w:rPr>
          <w:rFonts w:ascii="Times New Roman" w:hAnsi="Times New Roman" w:hint="eastAsia"/>
          <w:szCs w:val="21"/>
        </w:rPr>
        <w:t>多样性的产生机制，</w:t>
      </w:r>
      <w:r>
        <w:rPr>
          <w:rFonts w:ascii="Times New Roman" w:hAnsi="Times New Roman"/>
          <w:szCs w:val="21"/>
        </w:rPr>
        <w:t>B</w:t>
      </w:r>
      <w:r>
        <w:rPr>
          <w:rFonts w:ascii="Times New Roman" w:hAnsi="Times New Roman" w:hint="eastAsia"/>
          <w:szCs w:val="21"/>
        </w:rPr>
        <w:t>细胞在中枢免疫器官中的分化发育，</w:t>
      </w:r>
      <w:r>
        <w:rPr>
          <w:rFonts w:ascii="Times New Roman" w:hAnsi="Times New Roman"/>
          <w:szCs w:val="21"/>
        </w:rPr>
        <w:t>B</w:t>
      </w:r>
      <w:r>
        <w:rPr>
          <w:rFonts w:ascii="Times New Roman" w:hAnsi="Times New Roman" w:hint="eastAsia"/>
          <w:szCs w:val="21"/>
        </w:rPr>
        <w:t>细胞中枢免疫耐受的形成。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细胞的表面分子及其作用：</w:t>
      </w:r>
      <w:r>
        <w:rPr>
          <w:rFonts w:ascii="Times New Roman" w:hAnsi="Times New Roman"/>
          <w:szCs w:val="21"/>
        </w:rPr>
        <w:t>B</w:t>
      </w:r>
      <w:r>
        <w:rPr>
          <w:rFonts w:ascii="Times New Roman" w:hAnsi="Times New Roman" w:hint="eastAsia"/>
          <w:szCs w:val="21"/>
        </w:rPr>
        <w:t>细胞抗原受体复合物（</w:t>
      </w:r>
      <w:r>
        <w:rPr>
          <w:rFonts w:ascii="Times New Roman" w:hAnsi="Times New Roman"/>
          <w:szCs w:val="21"/>
        </w:rPr>
        <w:t>mIg</w:t>
      </w:r>
      <w:r>
        <w:rPr>
          <w:rFonts w:ascii="Times New Roman" w:hAnsi="Times New Roman" w:hint="eastAsia"/>
          <w:szCs w:val="21"/>
        </w:rPr>
        <w:t>、</w:t>
      </w:r>
      <w:r>
        <w:rPr>
          <w:rFonts w:ascii="Times New Roman" w:hAnsi="Times New Roman"/>
          <w:szCs w:val="21"/>
        </w:rPr>
        <w:t>Igα/Igβ</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细胞共受体（</w:t>
      </w:r>
      <w:r>
        <w:rPr>
          <w:rFonts w:ascii="Times New Roman" w:hAnsi="Times New Roman"/>
          <w:szCs w:val="21"/>
        </w:rPr>
        <w:t>CD19/CD21/CD81</w:t>
      </w:r>
      <w:r>
        <w:rPr>
          <w:rFonts w:ascii="Times New Roman" w:hAnsi="Times New Roman" w:hint="eastAsia"/>
          <w:szCs w:val="21"/>
        </w:rPr>
        <w:t>）、协同刺激分子（</w:t>
      </w:r>
      <w:r>
        <w:rPr>
          <w:rFonts w:ascii="Times New Roman" w:hAnsi="Times New Roman"/>
          <w:szCs w:val="21"/>
        </w:rPr>
        <w:t>CD40</w:t>
      </w:r>
      <w:r>
        <w:rPr>
          <w:rFonts w:ascii="Times New Roman" w:hAnsi="Times New Roman" w:hint="eastAsia"/>
          <w:szCs w:val="21"/>
        </w:rPr>
        <w:t>、</w:t>
      </w:r>
      <w:r>
        <w:rPr>
          <w:rFonts w:ascii="Times New Roman" w:hAnsi="Times New Roman"/>
          <w:szCs w:val="21"/>
        </w:rPr>
        <w:t>CD80/CD86</w:t>
      </w:r>
      <w:r>
        <w:rPr>
          <w:rFonts w:ascii="Times New Roman" w:hAnsi="Times New Roman" w:hint="eastAsia"/>
          <w:szCs w:val="21"/>
        </w:rPr>
        <w:t>、</w:t>
      </w:r>
      <w:r>
        <w:rPr>
          <w:rFonts w:ascii="Times New Roman" w:hAnsi="Times New Roman"/>
          <w:szCs w:val="21"/>
        </w:rPr>
        <w:t>LFA-1/ICAM-1</w:t>
      </w:r>
      <w:r>
        <w:rPr>
          <w:rFonts w:ascii="Times New Roman" w:hAnsi="Times New Roman" w:hint="eastAsia"/>
          <w:szCs w:val="21"/>
        </w:rPr>
        <w:t>）、其他表面分子（</w:t>
      </w:r>
      <w:r>
        <w:rPr>
          <w:rFonts w:ascii="Times New Roman" w:hAnsi="Times New Roman"/>
          <w:szCs w:val="21"/>
        </w:rPr>
        <w:t>CD20</w:t>
      </w:r>
      <w:r>
        <w:rPr>
          <w:rFonts w:ascii="Times New Roman" w:hAnsi="Times New Roman" w:hint="eastAsia"/>
          <w:szCs w:val="21"/>
        </w:rPr>
        <w:t>、</w:t>
      </w:r>
      <w:r>
        <w:rPr>
          <w:rFonts w:ascii="Times New Roman" w:hAnsi="Times New Roman"/>
          <w:szCs w:val="21"/>
        </w:rPr>
        <w:t>CD22</w:t>
      </w:r>
      <w:r>
        <w:rPr>
          <w:rFonts w:ascii="Times New Roman" w:hAnsi="Times New Roman" w:hint="eastAsia"/>
          <w:szCs w:val="21"/>
        </w:rPr>
        <w:t>、</w:t>
      </w:r>
      <w:r>
        <w:rPr>
          <w:rFonts w:ascii="Times New Roman" w:hAnsi="Times New Roman"/>
          <w:szCs w:val="21"/>
        </w:rPr>
        <w:t>CD32</w:t>
      </w:r>
      <w:r>
        <w:rPr>
          <w:rFonts w:ascii="Times New Roman" w:hAnsi="Times New Roman" w:hint="eastAsia"/>
          <w:szCs w:val="21"/>
        </w:rPr>
        <w:t>）的结构和功能。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细胞的分类：</w:t>
      </w:r>
      <w:r>
        <w:rPr>
          <w:rFonts w:ascii="Times New Roman" w:hAnsi="Times New Roman"/>
          <w:szCs w:val="21"/>
        </w:rPr>
        <w:t>B1</w:t>
      </w:r>
      <w:r>
        <w:rPr>
          <w:rFonts w:ascii="Times New Roman" w:hAnsi="Times New Roman" w:hint="eastAsia"/>
          <w:szCs w:val="21"/>
        </w:rPr>
        <w:t>细胞和</w:t>
      </w:r>
      <w:r>
        <w:rPr>
          <w:rFonts w:ascii="Times New Roman" w:hAnsi="Times New Roman"/>
          <w:szCs w:val="21"/>
        </w:rPr>
        <w:t>B2</w:t>
      </w:r>
      <w:r>
        <w:rPr>
          <w:rFonts w:ascii="Times New Roman" w:hAnsi="Times New Roman" w:hint="eastAsia"/>
          <w:szCs w:val="21"/>
        </w:rPr>
        <w:t>细胞的特点及两个</w:t>
      </w:r>
      <w:r>
        <w:rPr>
          <w:rFonts w:ascii="Times New Roman" w:hAnsi="Times New Roman"/>
          <w:szCs w:val="21"/>
        </w:rPr>
        <w:t>B</w:t>
      </w:r>
      <w:r>
        <w:rPr>
          <w:rFonts w:ascii="Times New Roman" w:hAnsi="Times New Roman" w:hint="eastAsia"/>
          <w:szCs w:val="21"/>
        </w:rPr>
        <w:t>细胞亚群的区别（包括</w:t>
      </w:r>
      <w:r>
        <w:rPr>
          <w:rFonts w:ascii="Times New Roman" w:hAnsi="Times New Roman"/>
          <w:szCs w:val="21"/>
        </w:rPr>
        <w:t>CD</w:t>
      </w:r>
      <w:r>
        <w:rPr>
          <w:rFonts w:ascii="Times New Roman" w:hAnsi="Times New Roman" w:hint="eastAsia"/>
          <w:szCs w:val="21"/>
        </w:rPr>
        <w:t>标志、表面</w:t>
      </w:r>
      <w:r>
        <w:rPr>
          <w:rFonts w:ascii="Times New Roman" w:hAnsi="Times New Roman"/>
          <w:szCs w:val="21"/>
        </w:rPr>
        <w:t>mIg</w:t>
      </w:r>
      <w:r>
        <w:rPr>
          <w:rFonts w:ascii="Times New Roman" w:hAnsi="Times New Roman" w:hint="eastAsia"/>
          <w:szCs w:val="21"/>
        </w:rPr>
        <w:t>、产生时间、更新方式，免疫应答的特点等）。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淋巴细胞的功能：产生抗体介导体液免疫应答，抗原提呈，免疫调节功能。</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第十章</w:t>
      </w:r>
      <w:r>
        <w:rPr>
          <w:rFonts w:ascii="Times New Roman" w:hAnsi="Times New Roman"/>
          <w:b/>
          <w:szCs w:val="21"/>
        </w:rPr>
        <w:t>T</w:t>
      </w:r>
      <w:r>
        <w:rPr>
          <w:rFonts w:ascii="Times New Roman" w:hAnsi="Times New Roman" w:hint="eastAsia"/>
          <w:b/>
          <w:szCs w:val="21"/>
        </w:rPr>
        <w:t>淋巴细胞</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．熟悉</w:t>
      </w:r>
      <w:r>
        <w:rPr>
          <w:rFonts w:ascii="Times New Roman" w:hAnsi="Times New Roman"/>
          <w:szCs w:val="21"/>
        </w:rPr>
        <w:t>T</w:t>
      </w:r>
      <w:r>
        <w:rPr>
          <w:rFonts w:ascii="Times New Roman" w:hAnsi="Times New Roman" w:hint="eastAsia"/>
          <w:szCs w:val="21"/>
        </w:rPr>
        <w:t>细胞在胸腺中的分化发育过程。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w:t>
      </w:r>
      <w:r>
        <w:rPr>
          <w:rFonts w:ascii="Times New Roman" w:hAnsi="Times New Roman"/>
          <w:szCs w:val="21"/>
        </w:rPr>
        <w:t>TCR-CD3</w:t>
      </w:r>
      <w:r>
        <w:rPr>
          <w:rFonts w:ascii="Times New Roman" w:hAnsi="Times New Roman" w:hint="eastAsia"/>
          <w:szCs w:val="21"/>
        </w:rPr>
        <w:t>复合物的结构和功能，掌握</w:t>
      </w:r>
      <w:r>
        <w:rPr>
          <w:rFonts w:ascii="Times New Roman" w:hAnsi="Times New Roman"/>
          <w:szCs w:val="21"/>
        </w:rPr>
        <w:t>T</w:t>
      </w:r>
      <w:r>
        <w:rPr>
          <w:rFonts w:ascii="Times New Roman" w:hAnsi="Times New Roman" w:hint="eastAsia"/>
          <w:szCs w:val="21"/>
        </w:rPr>
        <w:t>淋巴细胞表面其他重要分子（</w:t>
      </w:r>
      <w:r>
        <w:rPr>
          <w:rFonts w:ascii="Times New Roman" w:hAnsi="Times New Roman"/>
          <w:szCs w:val="21"/>
        </w:rPr>
        <w:t>CD4</w:t>
      </w:r>
      <w:r>
        <w:rPr>
          <w:rFonts w:ascii="Times New Roman" w:hAnsi="Times New Roman" w:hint="eastAsia"/>
          <w:szCs w:val="21"/>
        </w:rPr>
        <w:t>和</w:t>
      </w:r>
      <w:r>
        <w:rPr>
          <w:rFonts w:ascii="Times New Roman" w:hAnsi="Times New Roman"/>
          <w:szCs w:val="21"/>
        </w:rPr>
        <w:t>CD8</w:t>
      </w:r>
      <w:r>
        <w:rPr>
          <w:rFonts w:ascii="Times New Roman" w:hAnsi="Times New Roman" w:hint="eastAsia"/>
          <w:szCs w:val="21"/>
        </w:rPr>
        <w:t>分子、</w:t>
      </w:r>
      <w:r>
        <w:rPr>
          <w:rFonts w:ascii="Times New Roman" w:hAnsi="Times New Roman"/>
          <w:szCs w:val="21"/>
        </w:rPr>
        <w:t>CD28</w:t>
      </w:r>
      <w:r>
        <w:rPr>
          <w:rFonts w:ascii="Times New Roman" w:hAnsi="Times New Roman" w:hint="eastAsia"/>
          <w:szCs w:val="21"/>
        </w:rPr>
        <w:t>、</w:t>
      </w:r>
      <w:r>
        <w:rPr>
          <w:rFonts w:ascii="Times New Roman" w:hAnsi="Times New Roman"/>
          <w:szCs w:val="21"/>
        </w:rPr>
        <w:t>CTLA-4</w:t>
      </w:r>
      <w:r>
        <w:rPr>
          <w:rFonts w:ascii="Times New Roman" w:hAnsi="Times New Roman" w:hint="eastAsia"/>
          <w:szCs w:val="21"/>
        </w:rPr>
        <w:t>、</w:t>
      </w:r>
      <w:r>
        <w:rPr>
          <w:rFonts w:ascii="Times New Roman" w:hAnsi="Times New Roman"/>
          <w:szCs w:val="21"/>
        </w:rPr>
        <w:t>CD40L</w:t>
      </w:r>
      <w:r>
        <w:rPr>
          <w:rFonts w:ascii="Times New Roman" w:hAnsi="Times New Roman" w:hint="eastAsia"/>
          <w:szCs w:val="21"/>
        </w:rPr>
        <w:t>等）的主要作用，熟悉</w:t>
      </w:r>
      <w:r>
        <w:rPr>
          <w:rFonts w:ascii="Times New Roman" w:hAnsi="Times New Roman"/>
          <w:szCs w:val="21"/>
        </w:rPr>
        <w:t>T</w:t>
      </w:r>
      <w:r>
        <w:rPr>
          <w:rFonts w:ascii="Times New Roman" w:hAnsi="Times New Roman" w:hint="eastAsia"/>
          <w:szCs w:val="21"/>
        </w:rPr>
        <w:t>淋巴细胞表面的其他协同刺激分子（</w:t>
      </w:r>
      <w:r>
        <w:rPr>
          <w:rFonts w:ascii="Times New Roman" w:hAnsi="Times New Roman"/>
          <w:szCs w:val="21"/>
        </w:rPr>
        <w:t>ICOS</w:t>
      </w:r>
      <w:r>
        <w:rPr>
          <w:rFonts w:ascii="Times New Roman" w:hAnsi="Times New Roman" w:hint="eastAsia"/>
          <w:szCs w:val="21"/>
        </w:rPr>
        <w:t>、</w:t>
      </w:r>
      <w:r>
        <w:rPr>
          <w:rFonts w:ascii="Times New Roman" w:hAnsi="Times New Roman"/>
          <w:szCs w:val="21"/>
        </w:rPr>
        <w:t>PD-1</w:t>
      </w:r>
      <w:r>
        <w:rPr>
          <w:rFonts w:ascii="Times New Roman" w:hAnsi="Times New Roman" w:hint="eastAsia"/>
          <w:szCs w:val="21"/>
        </w:rPr>
        <w:t>、</w:t>
      </w:r>
      <w:r>
        <w:rPr>
          <w:rFonts w:ascii="Times New Roman" w:hAnsi="Times New Roman"/>
          <w:szCs w:val="21"/>
        </w:rPr>
        <w:t>CD2</w:t>
      </w:r>
      <w:r>
        <w:rPr>
          <w:rFonts w:ascii="Times New Roman" w:hAnsi="Times New Roman" w:hint="eastAsia"/>
          <w:szCs w:val="21"/>
        </w:rPr>
        <w:t>、</w:t>
      </w:r>
      <w:r>
        <w:rPr>
          <w:rFonts w:ascii="Times New Roman" w:hAnsi="Times New Roman"/>
          <w:szCs w:val="21"/>
        </w:rPr>
        <w:t>LFA-1</w:t>
      </w:r>
      <w:r>
        <w:rPr>
          <w:rFonts w:ascii="Times New Roman" w:hAnsi="Times New Roman" w:hint="eastAsia"/>
          <w:szCs w:val="21"/>
        </w:rPr>
        <w:t>和</w:t>
      </w:r>
      <w:r>
        <w:rPr>
          <w:rFonts w:ascii="Times New Roman" w:hAnsi="Times New Roman"/>
          <w:szCs w:val="21"/>
        </w:rPr>
        <w:t>ICAM-1</w:t>
      </w:r>
      <w:r>
        <w:rPr>
          <w:rFonts w:ascii="Times New Roman" w:hAnsi="Times New Roman" w:hint="eastAsia"/>
          <w:szCs w:val="21"/>
        </w:rPr>
        <w:t>）的主要作用，了解</w:t>
      </w:r>
      <w:r>
        <w:rPr>
          <w:rFonts w:ascii="Times New Roman" w:hAnsi="Times New Roman"/>
          <w:szCs w:val="21"/>
        </w:rPr>
        <w:t>ITAM</w:t>
      </w:r>
      <w:r>
        <w:rPr>
          <w:rFonts w:ascii="Times New Roman" w:hAnsi="Times New Roman" w:hint="eastAsia"/>
          <w:szCs w:val="21"/>
        </w:rPr>
        <w:t>和</w:t>
      </w:r>
      <w:r>
        <w:rPr>
          <w:rFonts w:ascii="Times New Roman" w:hAnsi="Times New Roman"/>
          <w:szCs w:val="21"/>
        </w:rPr>
        <w:t>ITIM</w:t>
      </w:r>
      <w:r>
        <w:rPr>
          <w:rFonts w:ascii="Times New Roman" w:hAnsi="Times New Roman" w:hint="eastAsia"/>
          <w:szCs w:val="21"/>
        </w:rPr>
        <w:t>的结构和功能以及</w:t>
      </w:r>
      <w:r>
        <w:rPr>
          <w:rFonts w:ascii="Times New Roman" w:hAnsi="Times New Roman"/>
          <w:szCs w:val="21"/>
        </w:rPr>
        <w:t>T</w:t>
      </w:r>
      <w:r>
        <w:rPr>
          <w:rFonts w:ascii="Times New Roman" w:hAnsi="Times New Roman" w:hint="eastAsia"/>
          <w:szCs w:val="21"/>
        </w:rPr>
        <w:t>细胞表面的丝裂原受体和其他表面分子。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w:t>
      </w:r>
      <w:r>
        <w:rPr>
          <w:rFonts w:ascii="Times New Roman" w:hAnsi="Times New Roman"/>
          <w:szCs w:val="21"/>
        </w:rPr>
        <w:t>T</w:t>
      </w:r>
      <w:r>
        <w:rPr>
          <w:rFonts w:ascii="Times New Roman" w:hAnsi="Times New Roman" w:hint="eastAsia"/>
          <w:szCs w:val="21"/>
        </w:rPr>
        <w:t>细胞的分类和功能（初始、效应、记忆</w:t>
      </w:r>
      <w:r>
        <w:rPr>
          <w:rFonts w:ascii="Times New Roman" w:hAnsi="Times New Roman"/>
          <w:szCs w:val="21"/>
        </w:rPr>
        <w:t>T</w:t>
      </w:r>
      <w:r>
        <w:rPr>
          <w:rFonts w:ascii="Times New Roman" w:hAnsi="Times New Roman" w:hint="eastAsia"/>
          <w:szCs w:val="21"/>
        </w:rPr>
        <w:t>细胞的概念，</w:t>
      </w:r>
      <w:r>
        <w:rPr>
          <w:rFonts w:ascii="Times New Roman" w:hAnsi="Times New Roman"/>
          <w:szCs w:val="21"/>
        </w:rPr>
        <w:t>Th</w:t>
      </w:r>
      <w:r>
        <w:rPr>
          <w:rFonts w:ascii="Times New Roman" w:hAnsi="Times New Roman" w:hint="eastAsia"/>
          <w:szCs w:val="21"/>
        </w:rPr>
        <w:t>细胞、</w:t>
      </w:r>
      <w:r>
        <w:rPr>
          <w:rFonts w:ascii="Times New Roman" w:hAnsi="Times New Roman"/>
          <w:szCs w:val="21"/>
        </w:rPr>
        <w:t>CTL</w:t>
      </w:r>
      <w:r>
        <w:rPr>
          <w:rFonts w:ascii="Times New Roman" w:hAnsi="Times New Roman" w:hint="eastAsia"/>
          <w:szCs w:val="21"/>
        </w:rPr>
        <w:t>、调节性</w:t>
      </w:r>
      <w:r>
        <w:rPr>
          <w:rFonts w:ascii="Times New Roman" w:hAnsi="Times New Roman"/>
          <w:szCs w:val="21"/>
        </w:rPr>
        <w:t>T</w:t>
      </w:r>
      <w:r>
        <w:rPr>
          <w:rFonts w:ascii="Times New Roman" w:hAnsi="Times New Roman" w:hint="eastAsia"/>
          <w:szCs w:val="21"/>
        </w:rPr>
        <w:t>细胞的功能）</w:t>
      </w:r>
    </w:p>
    <w:p w:rsidR="003717A0" w:rsidRDefault="003717A0" w:rsidP="00F5156D">
      <w:pPr>
        <w:adjustRightInd w:val="0"/>
        <w:snapToGrid w:val="0"/>
        <w:spacing w:line="360" w:lineRule="auto"/>
        <w:ind w:right="6"/>
        <w:rPr>
          <w:rFonts w:ascii="Times New Roman" w:hAnsi="Times New Roman"/>
          <w:szCs w:val="21"/>
        </w:rPr>
      </w:pPr>
      <w:r>
        <w:rPr>
          <w:rFonts w:ascii="Times New Roman" w:hAnsi="Times New Roman" w:hint="eastAsia"/>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细胞的发育：</w:t>
      </w:r>
      <w:r>
        <w:rPr>
          <w:rFonts w:ascii="Times New Roman" w:hAnsi="Times New Roman"/>
          <w:szCs w:val="21"/>
        </w:rPr>
        <w:t>T</w:t>
      </w:r>
      <w:r>
        <w:rPr>
          <w:rFonts w:ascii="Times New Roman" w:hAnsi="Times New Roman" w:hint="eastAsia"/>
          <w:szCs w:val="21"/>
        </w:rPr>
        <w:t>细胞在胸腺中的发育（</w:t>
      </w:r>
      <w:r>
        <w:rPr>
          <w:rFonts w:ascii="Times New Roman" w:hAnsi="Times New Roman"/>
          <w:szCs w:val="21"/>
        </w:rPr>
        <w:t>TCR</w:t>
      </w:r>
      <w:r>
        <w:rPr>
          <w:rFonts w:ascii="Times New Roman" w:hAnsi="Times New Roman" w:hint="eastAsia"/>
          <w:szCs w:val="21"/>
        </w:rPr>
        <w:t>基因重排、阳性选择、阴性选择），</w:t>
      </w:r>
      <w:r>
        <w:rPr>
          <w:rFonts w:ascii="Times New Roman" w:hAnsi="Times New Roman"/>
          <w:szCs w:val="21"/>
        </w:rPr>
        <w:t>T</w:t>
      </w:r>
      <w:r>
        <w:rPr>
          <w:rFonts w:ascii="Times New Roman" w:hAnsi="Times New Roman" w:hint="eastAsia"/>
          <w:szCs w:val="21"/>
        </w:rPr>
        <w:t>细胞在外周免疫器官中的增殖分化。</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细胞的表面分子及其作用：</w:t>
      </w:r>
      <w:r>
        <w:rPr>
          <w:rFonts w:ascii="Times New Roman" w:hAnsi="Times New Roman"/>
          <w:szCs w:val="21"/>
        </w:rPr>
        <w:t>TCR-CD3</w:t>
      </w:r>
      <w:r>
        <w:rPr>
          <w:rFonts w:ascii="Times New Roman" w:hAnsi="Times New Roman" w:hint="eastAsia"/>
          <w:szCs w:val="21"/>
        </w:rPr>
        <w:t>复合物的结构和功能（</w:t>
      </w:r>
      <w:r>
        <w:rPr>
          <w:rFonts w:ascii="Times New Roman" w:hAnsi="Times New Roman"/>
          <w:szCs w:val="21"/>
        </w:rPr>
        <w:t>ITAM</w:t>
      </w:r>
      <w:r>
        <w:rPr>
          <w:rFonts w:ascii="Times New Roman" w:hAnsi="Times New Roman" w:hint="eastAsia"/>
          <w:szCs w:val="21"/>
        </w:rPr>
        <w:t>的结构和功能），</w:t>
      </w:r>
      <w:r>
        <w:rPr>
          <w:rFonts w:ascii="Times New Roman" w:hAnsi="Times New Roman"/>
          <w:szCs w:val="21"/>
        </w:rPr>
        <w:t>CD4</w:t>
      </w:r>
      <w:r>
        <w:rPr>
          <w:rFonts w:ascii="Times New Roman" w:hAnsi="Times New Roman" w:hint="eastAsia"/>
          <w:szCs w:val="21"/>
        </w:rPr>
        <w:lastRenderedPageBreak/>
        <w:t>和</w:t>
      </w:r>
      <w:r>
        <w:rPr>
          <w:rFonts w:ascii="Times New Roman" w:hAnsi="Times New Roman"/>
          <w:szCs w:val="21"/>
        </w:rPr>
        <w:t>CD8</w:t>
      </w:r>
      <w:r>
        <w:rPr>
          <w:rFonts w:ascii="Times New Roman" w:hAnsi="Times New Roman" w:hint="eastAsia"/>
          <w:szCs w:val="21"/>
        </w:rPr>
        <w:t>分子、</w:t>
      </w:r>
      <w:r>
        <w:rPr>
          <w:rFonts w:ascii="Times New Roman" w:hAnsi="Times New Roman"/>
          <w:szCs w:val="21"/>
        </w:rPr>
        <w:t>CD28</w:t>
      </w:r>
      <w:r>
        <w:rPr>
          <w:rFonts w:ascii="Times New Roman" w:hAnsi="Times New Roman" w:hint="eastAsia"/>
          <w:szCs w:val="21"/>
        </w:rPr>
        <w:t>、</w:t>
      </w:r>
      <w:r>
        <w:rPr>
          <w:rFonts w:ascii="Times New Roman" w:hAnsi="Times New Roman"/>
          <w:szCs w:val="21"/>
        </w:rPr>
        <w:t>CTLA-4</w:t>
      </w:r>
      <w:r>
        <w:rPr>
          <w:rFonts w:ascii="Times New Roman" w:hAnsi="Times New Roman" w:hint="eastAsia"/>
          <w:szCs w:val="21"/>
        </w:rPr>
        <w:t>（</w:t>
      </w:r>
      <w:r>
        <w:rPr>
          <w:rFonts w:ascii="Times New Roman" w:hAnsi="Times New Roman"/>
          <w:szCs w:val="21"/>
        </w:rPr>
        <w:t>ITIM</w:t>
      </w:r>
      <w:r>
        <w:rPr>
          <w:rFonts w:ascii="Times New Roman" w:hAnsi="Times New Roman" w:hint="eastAsia"/>
          <w:szCs w:val="21"/>
        </w:rPr>
        <w:t>的结构和功能）、</w:t>
      </w:r>
      <w:r>
        <w:rPr>
          <w:rFonts w:ascii="Times New Roman" w:hAnsi="Times New Roman"/>
          <w:szCs w:val="21"/>
        </w:rPr>
        <w:t>ICOS</w:t>
      </w:r>
      <w:r>
        <w:rPr>
          <w:rFonts w:ascii="Times New Roman" w:hAnsi="Times New Roman" w:hint="eastAsia"/>
          <w:szCs w:val="21"/>
        </w:rPr>
        <w:t>、</w:t>
      </w:r>
      <w:r>
        <w:rPr>
          <w:rFonts w:ascii="Times New Roman" w:hAnsi="Times New Roman"/>
          <w:szCs w:val="21"/>
        </w:rPr>
        <w:t>PD-1</w:t>
      </w:r>
      <w:r>
        <w:rPr>
          <w:rFonts w:ascii="Times New Roman" w:hAnsi="Times New Roman" w:hint="eastAsia"/>
          <w:szCs w:val="21"/>
        </w:rPr>
        <w:t>、</w:t>
      </w:r>
      <w:r>
        <w:rPr>
          <w:rFonts w:ascii="Times New Roman" w:hAnsi="Times New Roman"/>
          <w:szCs w:val="21"/>
        </w:rPr>
        <w:t>CD2</w:t>
      </w:r>
      <w:r>
        <w:rPr>
          <w:rFonts w:ascii="Times New Roman" w:hAnsi="Times New Roman" w:hint="eastAsia"/>
          <w:szCs w:val="21"/>
        </w:rPr>
        <w:t>、</w:t>
      </w:r>
      <w:r>
        <w:rPr>
          <w:rFonts w:ascii="Times New Roman" w:hAnsi="Times New Roman"/>
          <w:szCs w:val="21"/>
        </w:rPr>
        <w:t>CD40L</w:t>
      </w:r>
      <w:r>
        <w:rPr>
          <w:rFonts w:ascii="Times New Roman" w:hAnsi="Times New Roman" w:hint="eastAsia"/>
          <w:szCs w:val="21"/>
        </w:rPr>
        <w:t>、</w:t>
      </w:r>
      <w:r>
        <w:rPr>
          <w:rFonts w:ascii="Times New Roman" w:hAnsi="Times New Roman"/>
          <w:szCs w:val="21"/>
        </w:rPr>
        <w:t>LFA-1</w:t>
      </w:r>
      <w:r>
        <w:rPr>
          <w:rFonts w:ascii="Times New Roman" w:hAnsi="Times New Roman" w:hint="eastAsia"/>
          <w:szCs w:val="21"/>
        </w:rPr>
        <w:t>和</w:t>
      </w:r>
      <w:r>
        <w:rPr>
          <w:rFonts w:ascii="Times New Roman" w:hAnsi="Times New Roman"/>
          <w:szCs w:val="21"/>
        </w:rPr>
        <w:t>ICAM-1</w:t>
      </w:r>
      <w:r>
        <w:rPr>
          <w:rFonts w:ascii="Times New Roman" w:hAnsi="Times New Roman" w:hint="eastAsia"/>
          <w:szCs w:val="21"/>
        </w:rPr>
        <w:t>、丝裂原受体及其他表面分子的功能。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细胞的分类和功能：（</w:t>
      </w:r>
      <w:r>
        <w:rPr>
          <w:rFonts w:ascii="Times New Roman" w:hAnsi="Times New Roman"/>
          <w:szCs w:val="21"/>
        </w:rPr>
        <w:t>1</w:t>
      </w:r>
      <w:r>
        <w:rPr>
          <w:rFonts w:ascii="Times New Roman" w:hAnsi="Times New Roman" w:hint="eastAsia"/>
          <w:szCs w:val="21"/>
        </w:rPr>
        <w:t>）根据所处的活化阶段：初始</w:t>
      </w:r>
      <w:r>
        <w:rPr>
          <w:rFonts w:ascii="Times New Roman" w:hAnsi="Times New Roman"/>
          <w:szCs w:val="21"/>
        </w:rPr>
        <w:t>T</w:t>
      </w:r>
      <w:r>
        <w:rPr>
          <w:rFonts w:ascii="Times New Roman" w:hAnsi="Times New Roman" w:hint="eastAsia"/>
          <w:szCs w:val="21"/>
        </w:rPr>
        <w:t>细胞、效应</w:t>
      </w:r>
      <w:r>
        <w:rPr>
          <w:rFonts w:ascii="Times New Roman" w:hAnsi="Times New Roman"/>
          <w:szCs w:val="21"/>
        </w:rPr>
        <w:t>T</w:t>
      </w:r>
      <w:r>
        <w:rPr>
          <w:rFonts w:ascii="Times New Roman" w:hAnsi="Times New Roman" w:hint="eastAsia"/>
          <w:szCs w:val="21"/>
        </w:rPr>
        <w:t>细胞、记忆性</w:t>
      </w:r>
      <w:r>
        <w:rPr>
          <w:rFonts w:ascii="Times New Roman" w:hAnsi="Times New Roman"/>
          <w:szCs w:val="21"/>
        </w:rPr>
        <w:t>T</w:t>
      </w:r>
      <w:r>
        <w:rPr>
          <w:rFonts w:ascii="Times New Roman" w:hAnsi="Times New Roman" w:hint="eastAsia"/>
          <w:szCs w:val="21"/>
        </w:rPr>
        <w:t>细胞的概念和表面标志；（</w:t>
      </w:r>
      <w:r>
        <w:rPr>
          <w:rFonts w:ascii="Times New Roman" w:hAnsi="Times New Roman"/>
          <w:szCs w:val="21"/>
        </w:rPr>
        <w:t>2</w:t>
      </w:r>
      <w:r>
        <w:rPr>
          <w:rFonts w:ascii="Times New Roman" w:hAnsi="Times New Roman" w:hint="eastAsia"/>
          <w:szCs w:val="21"/>
        </w:rPr>
        <w:t>）根据</w:t>
      </w:r>
      <w:r>
        <w:rPr>
          <w:rFonts w:ascii="Times New Roman" w:hAnsi="Times New Roman"/>
          <w:szCs w:val="21"/>
        </w:rPr>
        <w:t>TCR</w:t>
      </w:r>
      <w:r>
        <w:rPr>
          <w:rFonts w:ascii="Times New Roman" w:hAnsi="Times New Roman" w:hint="eastAsia"/>
          <w:szCs w:val="21"/>
        </w:rPr>
        <w:t>类型：</w:t>
      </w:r>
      <w:r>
        <w:rPr>
          <w:rFonts w:ascii="Times New Roman" w:hAnsi="Times New Roman"/>
          <w:szCs w:val="21"/>
        </w:rPr>
        <w:t>αβT</w:t>
      </w:r>
      <w:r>
        <w:rPr>
          <w:rFonts w:ascii="Times New Roman" w:hAnsi="Times New Roman" w:hint="eastAsia"/>
          <w:szCs w:val="21"/>
        </w:rPr>
        <w:t>细胞、</w:t>
      </w:r>
      <w:r>
        <w:rPr>
          <w:rFonts w:ascii="Times New Roman" w:hAnsi="Times New Roman"/>
          <w:szCs w:val="21"/>
        </w:rPr>
        <w:t>γδT</w:t>
      </w:r>
      <w:r>
        <w:rPr>
          <w:rFonts w:ascii="Times New Roman" w:hAnsi="Times New Roman" w:hint="eastAsia"/>
          <w:szCs w:val="21"/>
        </w:rPr>
        <w:t>细胞；（</w:t>
      </w:r>
      <w:r>
        <w:rPr>
          <w:rFonts w:ascii="Times New Roman" w:hAnsi="Times New Roman"/>
          <w:szCs w:val="21"/>
        </w:rPr>
        <w:t>3</w:t>
      </w:r>
      <w:r>
        <w:rPr>
          <w:rFonts w:ascii="Times New Roman" w:hAnsi="Times New Roman" w:hint="eastAsia"/>
          <w:szCs w:val="21"/>
        </w:rPr>
        <w:t>）根据</w:t>
      </w:r>
      <w:r>
        <w:rPr>
          <w:rFonts w:ascii="Times New Roman" w:hAnsi="Times New Roman"/>
          <w:szCs w:val="21"/>
        </w:rPr>
        <w:t>CD</w:t>
      </w:r>
      <w:r>
        <w:rPr>
          <w:rFonts w:ascii="Times New Roman" w:hAnsi="Times New Roman" w:hint="eastAsia"/>
          <w:szCs w:val="21"/>
        </w:rPr>
        <w:t>分子：</w:t>
      </w:r>
      <w:r>
        <w:rPr>
          <w:rFonts w:ascii="Times New Roman" w:hAnsi="Times New Roman"/>
          <w:szCs w:val="21"/>
        </w:rPr>
        <w:t>CD4</w:t>
      </w:r>
      <w:r>
        <w:rPr>
          <w:rFonts w:ascii="Times New Roman" w:hAnsi="Times New Roman"/>
          <w:szCs w:val="21"/>
          <w:vertAlign w:val="superscript"/>
        </w:rPr>
        <w:t>+</w:t>
      </w:r>
      <w:r>
        <w:rPr>
          <w:rFonts w:ascii="Times New Roman" w:hAnsi="Times New Roman"/>
          <w:szCs w:val="21"/>
        </w:rPr>
        <w:t>T</w:t>
      </w:r>
      <w:r>
        <w:rPr>
          <w:rFonts w:ascii="Times New Roman" w:hAnsi="Times New Roman" w:hint="eastAsia"/>
          <w:szCs w:val="21"/>
        </w:rPr>
        <w:t>细胞、</w:t>
      </w:r>
      <w:r>
        <w:rPr>
          <w:rFonts w:ascii="Times New Roman" w:hAnsi="Times New Roman"/>
          <w:szCs w:val="21"/>
        </w:rPr>
        <w:t>CD8</w:t>
      </w:r>
      <w:r>
        <w:rPr>
          <w:rFonts w:ascii="Times New Roman" w:hAnsi="Times New Roman"/>
          <w:szCs w:val="21"/>
          <w:vertAlign w:val="superscript"/>
        </w:rPr>
        <w:t>+</w:t>
      </w:r>
      <w:r>
        <w:rPr>
          <w:rFonts w:ascii="Times New Roman" w:hAnsi="Times New Roman"/>
          <w:szCs w:val="21"/>
        </w:rPr>
        <w:t>T</w:t>
      </w:r>
      <w:r>
        <w:rPr>
          <w:rFonts w:ascii="Times New Roman" w:hAnsi="Times New Roman" w:hint="eastAsia"/>
          <w:szCs w:val="21"/>
        </w:rPr>
        <w:t>细胞；（</w:t>
      </w:r>
      <w:r>
        <w:rPr>
          <w:rFonts w:ascii="Times New Roman" w:hAnsi="Times New Roman"/>
          <w:szCs w:val="21"/>
        </w:rPr>
        <w:t>4</w:t>
      </w:r>
      <w:r>
        <w:rPr>
          <w:rFonts w:ascii="Times New Roman" w:hAnsi="Times New Roman" w:hint="eastAsia"/>
          <w:szCs w:val="21"/>
        </w:rPr>
        <w:t>）根据功能特征：</w:t>
      </w:r>
      <w:r>
        <w:rPr>
          <w:rFonts w:ascii="Times New Roman" w:hAnsi="Times New Roman"/>
          <w:szCs w:val="21"/>
        </w:rPr>
        <w:t>Th</w:t>
      </w:r>
      <w:r>
        <w:rPr>
          <w:rFonts w:ascii="Times New Roman" w:hAnsi="Times New Roman" w:hint="eastAsia"/>
          <w:szCs w:val="21"/>
        </w:rPr>
        <w:t>（</w:t>
      </w:r>
      <w:r>
        <w:rPr>
          <w:rFonts w:ascii="Times New Roman" w:hAnsi="Times New Roman"/>
          <w:szCs w:val="21"/>
        </w:rPr>
        <w:t>Th1</w:t>
      </w:r>
      <w:r>
        <w:rPr>
          <w:rFonts w:ascii="Times New Roman" w:hAnsi="Times New Roman" w:hint="eastAsia"/>
          <w:szCs w:val="21"/>
        </w:rPr>
        <w:t>、</w:t>
      </w:r>
      <w:r>
        <w:rPr>
          <w:rFonts w:ascii="Times New Roman" w:hAnsi="Times New Roman"/>
          <w:szCs w:val="21"/>
        </w:rPr>
        <w:t>Th2</w:t>
      </w:r>
      <w:r>
        <w:rPr>
          <w:rFonts w:ascii="Times New Roman" w:hAnsi="Times New Roman" w:hint="eastAsia"/>
          <w:szCs w:val="21"/>
        </w:rPr>
        <w:t>、</w:t>
      </w:r>
      <w:r>
        <w:rPr>
          <w:rFonts w:ascii="Times New Roman" w:hAnsi="Times New Roman"/>
          <w:szCs w:val="21"/>
        </w:rPr>
        <w:t>Th3</w:t>
      </w:r>
      <w:r>
        <w:rPr>
          <w:rFonts w:ascii="Times New Roman" w:hAnsi="Times New Roman" w:hint="eastAsia"/>
          <w:szCs w:val="21"/>
        </w:rPr>
        <w:t>、</w:t>
      </w:r>
      <w:r>
        <w:rPr>
          <w:rFonts w:ascii="Times New Roman" w:hAnsi="Times New Roman"/>
          <w:szCs w:val="21"/>
        </w:rPr>
        <w:t>Th17</w:t>
      </w:r>
      <w:r>
        <w:rPr>
          <w:rFonts w:ascii="Times New Roman" w:hAnsi="Times New Roman" w:hint="eastAsia"/>
          <w:szCs w:val="21"/>
        </w:rPr>
        <w:t>、</w:t>
      </w:r>
      <w:r>
        <w:rPr>
          <w:rFonts w:ascii="Times New Roman" w:hAnsi="Times New Roman"/>
          <w:szCs w:val="21"/>
        </w:rPr>
        <w:t>Tfh</w:t>
      </w:r>
      <w:r>
        <w:rPr>
          <w:rFonts w:ascii="Times New Roman" w:hAnsi="Times New Roman" w:hint="eastAsia"/>
          <w:szCs w:val="21"/>
        </w:rPr>
        <w:t>）、</w:t>
      </w:r>
      <w:r>
        <w:rPr>
          <w:rFonts w:ascii="Times New Roman" w:hAnsi="Times New Roman"/>
          <w:szCs w:val="21"/>
        </w:rPr>
        <w:t>CTL</w:t>
      </w:r>
      <w:r>
        <w:rPr>
          <w:rFonts w:ascii="Times New Roman" w:hAnsi="Times New Roman" w:hint="eastAsia"/>
          <w:szCs w:val="21"/>
        </w:rPr>
        <w:t>、</w:t>
      </w:r>
      <w:r>
        <w:rPr>
          <w:rFonts w:ascii="Times New Roman" w:hAnsi="Times New Roman"/>
          <w:szCs w:val="21"/>
        </w:rPr>
        <w:t>Treg</w:t>
      </w:r>
      <w:r>
        <w:rPr>
          <w:rFonts w:ascii="Times New Roman" w:hAnsi="Times New Roman" w:hint="eastAsia"/>
          <w:szCs w:val="21"/>
        </w:rPr>
        <w:t>（</w:t>
      </w:r>
      <w:r>
        <w:rPr>
          <w:rFonts w:ascii="Times New Roman" w:hAnsi="Times New Roman"/>
          <w:szCs w:val="21"/>
        </w:rPr>
        <w:t>nTreg</w:t>
      </w:r>
      <w:r>
        <w:rPr>
          <w:rFonts w:ascii="Times New Roman" w:hAnsi="Times New Roman" w:hint="eastAsia"/>
          <w:szCs w:val="21"/>
        </w:rPr>
        <w:t>、</w:t>
      </w:r>
      <w:r>
        <w:rPr>
          <w:rFonts w:ascii="Times New Roman" w:hAnsi="Times New Roman"/>
          <w:szCs w:val="21"/>
        </w:rPr>
        <w:t>iTreg</w:t>
      </w:r>
      <w:r>
        <w:rPr>
          <w:rFonts w:ascii="Times New Roman" w:hAnsi="Times New Roman" w:hint="eastAsia"/>
          <w:szCs w:val="21"/>
        </w:rPr>
        <w:t>）的亚型和功能。</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第十一章</w:t>
      </w:r>
      <w:r>
        <w:rPr>
          <w:rFonts w:ascii="Times New Roman" w:hAnsi="Times New Roman"/>
          <w:b/>
          <w:szCs w:val="21"/>
        </w:rPr>
        <w:t xml:space="preserve"> </w:t>
      </w:r>
      <w:r>
        <w:rPr>
          <w:rFonts w:ascii="Times New Roman" w:hAnsi="Times New Roman" w:hint="eastAsia"/>
          <w:b/>
          <w:szCs w:val="21"/>
        </w:rPr>
        <w:t>抗原提呈细胞与抗原的加工及提呈</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w:t>
      </w:r>
      <w:r>
        <w:rPr>
          <w:rFonts w:ascii="Times New Roman" w:hAnsi="Times New Roman"/>
          <w:szCs w:val="21"/>
        </w:rPr>
        <w:t>APC</w:t>
      </w:r>
      <w:r>
        <w:rPr>
          <w:rFonts w:ascii="Times New Roman" w:hAnsi="Times New Roman" w:hint="eastAsia"/>
          <w:szCs w:val="21"/>
        </w:rPr>
        <w:t>的概念和分类。</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．掌握专职性</w:t>
      </w:r>
      <w:r>
        <w:rPr>
          <w:rFonts w:ascii="Times New Roman" w:hAnsi="Times New Roman"/>
          <w:szCs w:val="21"/>
        </w:rPr>
        <w:t>APC</w:t>
      </w:r>
      <w:r>
        <w:rPr>
          <w:rFonts w:ascii="Times New Roman" w:hAnsi="Times New Roman" w:hint="eastAsia"/>
          <w:szCs w:val="21"/>
        </w:rPr>
        <w:t>的种类和特点，熟悉</w:t>
      </w:r>
      <w:r>
        <w:rPr>
          <w:rFonts w:ascii="Times New Roman" w:hAnsi="Times New Roman"/>
          <w:szCs w:val="21"/>
        </w:rPr>
        <w:t>DC</w:t>
      </w:r>
      <w:r>
        <w:rPr>
          <w:rFonts w:ascii="Times New Roman" w:hAnsi="Times New Roman" w:hint="eastAsia"/>
          <w:szCs w:val="21"/>
        </w:rPr>
        <w:t>的类型、经典</w:t>
      </w:r>
      <w:r>
        <w:rPr>
          <w:rFonts w:ascii="Times New Roman" w:hAnsi="Times New Roman"/>
          <w:szCs w:val="21"/>
        </w:rPr>
        <w:t>DC</w:t>
      </w:r>
      <w:r>
        <w:rPr>
          <w:rFonts w:ascii="Times New Roman" w:hAnsi="Times New Roman" w:hint="eastAsia"/>
          <w:szCs w:val="21"/>
        </w:rPr>
        <w:t>的成熟过程和功能，了解单核</w:t>
      </w:r>
      <w:r>
        <w:rPr>
          <w:rFonts w:ascii="Times New Roman" w:hAnsi="Times New Roman"/>
          <w:szCs w:val="21"/>
        </w:rPr>
        <w:t>/</w:t>
      </w:r>
      <w:r>
        <w:rPr>
          <w:rFonts w:ascii="Times New Roman" w:hAnsi="Times New Roman" w:hint="eastAsia"/>
          <w:szCs w:val="21"/>
        </w:rPr>
        <w:t>巨噬细胞、</w:t>
      </w:r>
      <w:r>
        <w:rPr>
          <w:rFonts w:ascii="Times New Roman" w:hAnsi="Times New Roman"/>
          <w:szCs w:val="21"/>
        </w:rPr>
        <w:t>B</w:t>
      </w:r>
      <w:r>
        <w:rPr>
          <w:rFonts w:ascii="Times New Roman" w:hAnsi="Times New Roman" w:hint="eastAsia"/>
          <w:szCs w:val="21"/>
        </w:rPr>
        <w:t>细胞对抗原的处理及提呈。</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w:t>
      </w:r>
      <w:r>
        <w:rPr>
          <w:rFonts w:ascii="Times New Roman" w:hAnsi="Times New Roman"/>
          <w:szCs w:val="21"/>
        </w:rPr>
        <w:t>MHC</w:t>
      </w:r>
      <w:r>
        <w:rPr>
          <w:rFonts w:ascii="宋体" w:hAnsi="宋体" w:cs="宋体" w:hint="eastAsia"/>
          <w:szCs w:val="21"/>
        </w:rPr>
        <w:t>Ⅰ</w:t>
      </w:r>
      <w:r>
        <w:rPr>
          <w:rFonts w:ascii="Times New Roman" w:hAnsi="Times New Roman" w:hint="eastAsia"/>
          <w:szCs w:val="21"/>
        </w:rPr>
        <w:t>类分子抗原提呈途径（内源性抗原加工提呈途径）和</w:t>
      </w:r>
      <w:r>
        <w:rPr>
          <w:rFonts w:ascii="Times New Roman" w:hAnsi="Times New Roman"/>
          <w:szCs w:val="21"/>
        </w:rPr>
        <w:t>MHC</w:t>
      </w:r>
      <w:r>
        <w:rPr>
          <w:rFonts w:ascii="宋体" w:hAnsi="宋体" w:cs="宋体" w:hint="eastAsia"/>
          <w:szCs w:val="21"/>
        </w:rPr>
        <w:t>Ⅱ</w:t>
      </w:r>
      <w:r>
        <w:rPr>
          <w:rFonts w:ascii="Times New Roman" w:hAnsi="Times New Roman" w:hint="eastAsia"/>
          <w:szCs w:val="21"/>
        </w:rPr>
        <w:t>类分子抗原提呈途径（外源性抗原加工提呈途径），熟悉</w:t>
      </w:r>
      <w:r>
        <w:rPr>
          <w:rFonts w:ascii="Times New Roman" w:hAnsi="Times New Roman"/>
          <w:szCs w:val="21"/>
        </w:rPr>
        <w:t>MHC</w:t>
      </w:r>
      <w:r>
        <w:rPr>
          <w:rFonts w:ascii="Times New Roman" w:hAnsi="Times New Roman" w:hint="eastAsia"/>
          <w:szCs w:val="21"/>
        </w:rPr>
        <w:t>分子对抗原的交叉提呈，了解脂类抗原的</w:t>
      </w:r>
      <w:r>
        <w:rPr>
          <w:rFonts w:ascii="Times New Roman" w:hAnsi="Times New Roman"/>
          <w:szCs w:val="21"/>
        </w:rPr>
        <w:t>CD1</w:t>
      </w:r>
      <w:r>
        <w:rPr>
          <w:rFonts w:ascii="Times New Roman" w:hAnsi="Times New Roman" w:hint="eastAsia"/>
          <w:szCs w:val="21"/>
        </w:rPr>
        <w:t>分子提呈途径。</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w:t>
      </w:r>
      <w:r>
        <w:rPr>
          <w:rFonts w:ascii="Times New Roman" w:hAnsi="Times New Roman"/>
          <w:szCs w:val="21"/>
        </w:rPr>
        <w:t>APC</w:t>
      </w:r>
      <w:r>
        <w:rPr>
          <w:rFonts w:ascii="Times New Roman" w:hAnsi="Times New Roman" w:hint="eastAsia"/>
          <w:szCs w:val="21"/>
        </w:rPr>
        <w:t>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APC</w:t>
      </w:r>
      <w:r>
        <w:rPr>
          <w:rFonts w:ascii="Times New Roman" w:hAnsi="Times New Roman" w:hint="eastAsia"/>
          <w:szCs w:val="21"/>
        </w:rPr>
        <w:t>的分类：通过</w:t>
      </w:r>
      <w:r>
        <w:rPr>
          <w:rFonts w:ascii="Times New Roman" w:hAnsi="Times New Roman"/>
          <w:szCs w:val="21"/>
        </w:rPr>
        <w:t>MHC</w:t>
      </w:r>
      <w:r>
        <w:rPr>
          <w:rFonts w:ascii="宋体" w:hAnsi="宋体" w:cs="宋体" w:hint="eastAsia"/>
          <w:szCs w:val="21"/>
        </w:rPr>
        <w:t>Ⅱ</w:t>
      </w:r>
      <w:r>
        <w:rPr>
          <w:rFonts w:ascii="Times New Roman" w:hAnsi="Times New Roman" w:hint="eastAsia"/>
          <w:szCs w:val="21"/>
        </w:rPr>
        <w:t>类分子提呈外源性抗原的</w:t>
      </w:r>
      <w:r>
        <w:rPr>
          <w:rFonts w:ascii="Times New Roman" w:hAnsi="Times New Roman"/>
          <w:szCs w:val="21"/>
        </w:rPr>
        <w:t>APC</w:t>
      </w:r>
      <w:r>
        <w:rPr>
          <w:rFonts w:ascii="Times New Roman" w:hAnsi="Times New Roman" w:hint="eastAsia"/>
          <w:szCs w:val="21"/>
        </w:rPr>
        <w:t>（专职性</w:t>
      </w:r>
      <w:r>
        <w:rPr>
          <w:rFonts w:ascii="Times New Roman" w:hAnsi="Times New Roman"/>
          <w:szCs w:val="21"/>
        </w:rPr>
        <w:t>APC</w:t>
      </w:r>
      <w:r>
        <w:rPr>
          <w:rFonts w:ascii="Times New Roman" w:hAnsi="Times New Roman" w:hint="eastAsia"/>
          <w:szCs w:val="21"/>
        </w:rPr>
        <w:t>、非专职性</w:t>
      </w:r>
      <w:r>
        <w:rPr>
          <w:rFonts w:ascii="Times New Roman" w:hAnsi="Times New Roman"/>
          <w:szCs w:val="21"/>
        </w:rPr>
        <w:t>APC</w:t>
      </w:r>
      <w:r>
        <w:rPr>
          <w:rFonts w:ascii="Times New Roman" w:hAnsi="Times New Roman" w:hint="eastAsia"/>
          <w:szCs w:val="21"/>
        </w:rPr>
        <w:t>），通过</w:t>
      </w:r>
      <w:r>
        <w:rPr>
          <w:rFonts w:ascii="Times New Roman" w:hAnsi="Times New Roman"/>
          <w:szCs w:val="21"/>
        </w:rPr>
        <w:t>MHC</w:t>
      </w:r>
      <w:r>
        <w:rPr>
          <w:rFonts w:ascii="宋体" w:hAnsi="宋体" w:cs="宋体" w:hint="eastAsia"/>
          <w:szCs w:val="21"/>
        </w:rPr>
        <w:t>Ⅰ</w:t>
      </w:r>
      <w:r>
        <w:rPr>
          <w:rFonts w:ascii="Times New Roman" w:hAnsi="Times New Roman" w:hint="eastAsia"/>
          <w:szCs w:val="21"/>
        </w:rPr>
        <w:t>类分子提呈内源性抗原的</w:t>
      </w:r>
      <w:r>
        <w:rPr>
          <w:rFonts w:ascii="Times New Roman" w:hAnsi="Times New Roman"/>
          <w:szCs w:val="21"/>
        </w:rPr>
        <w:t>APC</w:t>
      </w:r>
      <w:r>
        <w:rPr>
          <w:rFonts w:ascii="Times New Roman" w:hAnsi="Times New Roman" w:hint="eastAsia"/>
          <w:szCs w:val="21"/>
        </w:rPr>
        <w:t>，各类</w:t>
      </w:r>
      <w:r>
        <w:rPr>
          <w:rFonts w:ascii="Times New Roman" w:hAnsi="Times New Roman"/>
          <w:szCs w:val="21"/>
        </w:rPr>
        <w:t>APC</w:t>
      </w:r>
      <w:r>
        <w:rPr>
          <w:rFonts w:ascii="Times New Roman" w:hAnsi="Times New Roman" w:hint="eastAsia"/>
          <w:szCs w:val="21"/>
        </w:rPr>
        <w:t>的特点。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．专职性</w:t>
      </w:r>
      <w:r>
        <w:rPr>
          <w:rFonts w:ascii="Times New Roman" w:hAnsi="Times New Roman"/>
          <w:szCs w:val="21"/>
        </w:rPr>
        <w:t>APC</w:t>
      </w:r>
      <w:r>
        <w:rPr>
          <w:rFonts w:ascii="Times New Roman" w:hAnsi="Times New Roman" w:hint="eastAsia"/>
          <w:szCs w:val="21"/>
        </w:rPr>
        <w:t>：专职性</w:t>
      </w:r>
      <w:r>
        <w:rPr>
          <w:rFonts w:ascii="Times New Roman" w:hAnsi="Times New Roman"/>
          <w:szCs w:val="21"/>
        </w:rPr>
        <w:t>APC</w:t>
      </w:r>
      <w:r>
        <w:rPr>
          <w:rFonts w:ascii="Times New Roman" w:hAnsi="Times New Roman" w:hint="eastAsia"/>
          <w:szCs w:val="21"/>
        </w:rPr>
        <w:t>的种类（</w:t>
      </w:r>
      <w:r>
        <w:rPr>
          <w:rFonts w:ascii="Times New Roman" w:hAnsi="Times New Roman"/>
          <w:szCs w:val="21"/>
        </w:rPr>
        <w:t>DC</w:t>
      </w:r>
      <w:r>
        <w:rPr>
          <w:rFonts w:ascii="Times New Roman" w:hAnsi="Times New Roman" w:hint="eastAsia"/>
          <w:szCs w:val="21"/>
        </w:rPr>
        <w:t>、单核</w:t>
      </w:r>
      <w:r>
        <w:rPr>
          <w:rFonts w:ascii="Times New Roman" w:hAnsi="Times New Roman"/>
          <w:szCs w:val="21"/>
        </w:rPr>
        <w:t>/</w:t>
      </w:r>
      <w:r>
        <w:rPr>
          <w:rFonts w:ascii="Times New Roman" w:hAnsi="Times New Roman" w:hint="eastAsia"/>
          <w:szCs w:val="21"/>
        </w:rPr>
        <w:t>巨噬细胞、</w:t>
      </w:r>
      <w:r>
        <w:rPr>
          <w:rFonts w:ascii="Times New Roman" w:hAnsi="Times New Roman"/>
          <w:szCs w:val="21"/>
        </w:rPr>
        <w:t>B</w:t>
      </w:r>
      <w:r>
        <w:rPr>
          <w:rFonts w:ascii="Times New Roman" w:hAnsi="Times New Roman" w:hint="eastAsia"/>
          <w:szCs w:val="21"/>
        </w:rPr>
        <w:t>细胞）；</w:t>
      </w:r>
      <w:r>
        <w:rPr>
          <w:rFonts w:ascii="Times New Roman" w:hAnsi="Times New Roman"/>
          <w:szCs w:val="21"/>
        </w:rPr>
        <w:t>DC</w:t>
      </w:r>
      <w:r>
        <w:rPr>
          <w:rFonts w:ascii="Times New Roman" w:hAnsi="Times New Roman" w:hint="eastAsia"/>
          <w:szCs w:val="21"/>
        </w:rPr>
        <w:t>的类型、经典</w:t>
      </w:r>
      <w:r>
        <w:rPr>
          <w:rFonts w:ascii="Times New Roman" w:hAnsi="Times New Roman"/>
          <w:szCs w:val="21"/>
        </w:rPr>
        <w:t>DC</w:t>
      </w:r>
      <w:r>
        <w:rPr>
          <w:rFonts w:ascii="Times New Roman" w:hAnsi="Times New Roman" w:hint="eastAsia"/>
          <w:szCs w:val="21"/>
        </w:rPr>
        <w:t>的成熟过程和功能；单核</w:t>
      </w:r>
      <w:r>
        <w:rPr>
          <w:rFonts w:ascii="Times New Roman" w:hAnsi="Times New Roman"/>
          <w:szCs w:val="21"/>
        </w:rPr>
        <w:t>/</w:t>
      </w:r>
      <w:r>
        <w:rPr>
          <w:rFonts w:ascii="Times New Roman" w:hAnsi="Times New Roman" w:hint="eastAsia"/>
          <w:szCs w:val="21"/>
        </w:rPr>
        <w:t>巨噬细胞和</w:t>
      </w:r>
      <w:r>
        <w:rPr>
          <w:rFonts w:ascii="Times New Roman" w:hAnsi="Times New Roman"/>
          <w:szCs w:val="21"/>
        </w:rPr>
        <w:t>B</w:t>
      </w:r>
      <w:r>
        <w:rPr>
          <w:rFonts w:ascii="Times New Roman" w:hAnsi="Times New Roman" w:hint="eastAsia"/>
          <w:szCs w:val="21"/>
        </w:rPr>
        <w:t>细胞对抗原的处理及提呈。</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．抗原的加工和提呈：抗原加工和提呈的概念；</w:t>
      </w:r>
      <w:r>
        <w:rPr>
          <w:rFonts w:ascii="Times New Roman" w:hAnsi="Times New Roman"/>
          <w:szCs w:val="21"/>
        </w:rPr>
        <w:t>APC</w:t>
      </w:r>
      <w:r>
        <w:rPr>
          <w:rFonts w:ascii="Times New Roman" w:hAnsi="Times New Roman" w:hint="eastAsia"/>
          <w:szCs w:val="21"/>
        </w:rPr>
        <w:t>提呈抗原的分类（内源性抗原和外源性抗原）；</w:t>
      </w:r>
      <w:r>
        <w:rPr>
          <w:rFonts w:ascii="Times New Roman" w:hAnsi="Times New Roman"/>
          <w:szCs w:val="21"/>
        </w:rPr>
        <w:t>APC</w:t>
      </w:r>
      <w:r>
        <w:rPr>
          <w:rFonts w:ascii="Times New Roman" w:hAnsi="Times New Roman" w:hint="eastAsia"/>
          <w:szCs w:val="21"/>
        </w:rPr>
        <w:t>加工和提呈抗原的途径（</w:t>
      </w:r>
      <w:r>
        <w:rPr>
          <w:rFonts w:ascii="Times New Roman" w:hAnsi="Times New Roman"/>
          <w:szCs w:val="21"/>
        </w:rPr>
        <w:t>MHC</w:t>
      </w:r>
      <w:r>
        <w:rPr>
          <w:rFonts w:ascii="宋体" w:hAnsi="宋体" w:cs="宋体" w:hint="eastAsia"/>
          <w:szCs w:val="21"/>
        </w:rPr>
        <w:t>Ⅰ</w:t>
      </w:r>
      <w:r>
        <w:rPr>
          <w:rFonts w:ascii="Times New Roman" w:hAnsi="Times New Roman" w:hint="eastAsia"/>
          <w:szCs w:val="21"/>
        </w:rPr>
        <w:t>类途径对内源性抗原的加工提呈过程、</w:t>
      </w:r>
      <w:r>
        <w:rPr>
          <w:rFonts w:ascii="Times New Roman" w:hAnsi="Times New Roman"/>
          <w:szCs w:val="21"/>
        </w:rPr>
        <w:t>MHC</w:t>
      </w:r>
      <w:r>
        <w:rPr>
          <w:rFonts w:ascii="宋体" w:hAnsi="宋体" w:cs="宋体" w:hint="eastAsia"/>
          <w:szCs w:val="21"/>
        </w:rPr>
        <w:t>Ⅱ</w:t>
      </w:r>
      <w:r>
        <w:rPr>
          <w:rFonts w:ascii="Times New Roman" w:hAnsi="Times New Roman" w:hint="eastAsia"/>
          <w:szCs w:val="21"/>
        </w:rPr>
        <w:t>类途径对外源性抗原的加工提呈过程、</w:t>
      </w:r>
      <w:r>
        <w:rPr>
          <w:rFonts w:ascii="Times New Roman" w:hAnsi="Times New Roman"/>
          <w:szCs w:val="21"/>
        </w:rPr>
        <w:t>MHC</w:t>
      </w:r>
      <w:r>
        <w:rPr>
          <w:rFonts w:ascii="Times New Roman" w:hAnsi="Times New Roman" w:hint="eastAsia"/>
          <w:szCs w:val="21"/>
        </w:rPr>
        <w:t>分子对抗原的交叉提呈、脂类抗原的</w:t>
      </w:r>
      <w:r>
        <w:rPr>
          <w:rFonts w:ascii="Times New Roman" w:hAnsi="Times New Roman"/>
          <w:szCs w:val="21"/>
        </w:rPr>
        <w:t>CD1</w:t>
      </w:r>
      <w:r>
        <w:rPr>
          <w:rFonts w:ascii="Times New Roman" w:hAnsi="Times New Roman" w:hint="eastAsia"/>
          <w:szCs w:val="21"/>
        </w:rPr>
        <w:t>分子提呈途径）。</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第十二章</w:t>
      </w:r>
      <w:r>
        <w:rPr>
          <w:rFonts w:ascii="Times New Roman" w:hAnsi="Times New Roman"/>
          <w:b/>
          <w:szCs w:val="21"/>
        </w:rPr>
        <w:t>T</w:t>
      </w:r>
      <w:r>
        <w:rPr>
          <w:rFonts w:ascii="Times New Roman" w:hAnsi="Times New Roman" w:hint="eastAsia"/>
          <w:b/>
          <w:szCs w:val="21"/>
        </w:rPr>
        <w:t>淋巴细胞介导的适应性免疫应答</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．掌握细胞免疫的概念和基本过程。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w:t>
      </w:r>
      <w:r>
        <w:rPr>
          <w:rFonts w:ascii="Times New Roman" w:hAnsi="Times New Roman"/>
          <w:szCs w:val="21"/>
        </w:rPr>
        <w:t>T</w:t>
      </w:r>
      <w:r>
        <w:rPr>
          <w:rFonts w:ascii="Times New Roman" w:hAnsi="Times New Roman" w:hint="eastAsia"/>
          <w:szCs w:val="21"/>
        </w:rPr>
        <w:t>细胞对抗原的双识别、</w:t>
      </w:r>
      <w:r>
        <w:rPr>
          <w:rFonts w:ascii="Times New Roman" w:hAnsi="Times New Roman"/>
          <w:szCs w:val="21"/>
        </w:rPr>
        <w:t>T</w:t>
      </w:r>
      <w:r>
        <w:rPr>
          <w:rFonts w:ascii="Times New Roman" w:hAnsi="Times New Roman" w:hint="eastAsia"/>
          <w:szCs w:val="21"/>
        </w:rPr>
        <w:t>细胞活化的双信号，熟悉</w:t>
      </w:r>
      <w:r>
        <w:rPr>
          <w:rFonts w:ascii="Times New Roman" w:hAnsi="Times New Roman"/>
          <w:szCs w:val="21"/>
        </w:rPr>
        <w:t>T</w:t>
      </w:r>
      <w:r>
        <w:rPr>
          <w:rFonts w:ascii="Times New Roman" w:hAnsi="Times New Roman" w:hint="eastAsia"/>
          <w:szCs w:val="21"/>
        </w:rPr>
        <w:t>细胞的增殖和分化过程，了解</w:t>
      </w:r>
      <w:r>
        <w:rPr>
          <w:rFonts w:ascii="Times New Roman" w:hAnsi="Times New Roman"/>
          <w:szCs w:val="21"/>
        </w:rPr>
        <w:t>T</w:t>
      </w:r>
      <w:r>
        <w:rPr>
          <w:rFonts w:ascii="Times New Roman" w:hAnsi="Times New Roman" w:hint="eastAsia"/>
          <w:szCs w:val="21"/>
        </w:rPr>
        <w:t>细胞活化的信号转导途径和靶基因。</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．掌握两类效应细胞</w:t>
      </w:r>
      <w:r>
        <w:rPr>
          <w:rFonts w:ascii="Times New Roman" w:hAnsi="Times New Roman"/>
          <w:szCs w:val="21"/>
        </w:rPr>
        <w:t>Th</w:t>
      </w:r>
      <w:r>
        <w:rPr>
          <w:rFonts w:ascii="Times New Roman" w:hAnsi="Times New Roman" w:hint="eastAsia"/>
          <w:szCs w:val="21"/>
        </w:rPr>
        <w:t>（</w:t>
      </w:r>
      <w:r>
        <w:rPr>
          <w:rFonts w:ascii="Times New Roman" w:hAnsi="Times New Roman"/>
          <w:szCs w:val="21"/>
        </w:rPr>
        <w:t>Th1</w:t>
      </w:r>
      <w:r>
        <w:rPr>
          <w:rFonts w:ascii="Times New Roman" w:hAnsi="Times New Roman" w:hint="eastAsia"/>
          <w:szCs w:val="21"/>
        </w:rPr>
        <w:t>和</w:t>
      </w:r>
      <w:r>
        <w:rPr>
          <w:rFonts w:ascii="Times New Roman" w:hAnsi="Times New Roman"/>
          <w:szCs w:val="21"/>
        </w:rPr>
        <w:t>Th2</w:t>
      </w:r>
      <w:r>
        <w:rPr>
          <w:rFonts w:ascii="Times New Roman" w:hAnsi="Times New Roman" w:hint="eastAsia"/>
          <w:szCs w:val="21"/>
        </w:rPr>
        <w:t>）和</w:t>
      </w:r>
      <w:r>
        <w:rPr>
          <w:rFonts w:ascii="Times New Roman" w:hAnsi="Times New Roman"/>
          <w:szCs w:val="21"/>
        </w:rPr>
        <w:t>CTL</w:t>
      </w:r>
      <w:r>
        <w:rPr>
          <w:rFonts w:ascii="Times New Roman" w:hAnsi="Times New Roman" w:hint="eastAsia"/>
          <w:szCs w:val="21"/>
        </w:rPr>
        <w:t>的免疫效应，掌握</w:t>
      </w:r>
      <w:r>
        <w:rPr>
          <w:rFonts w:ascii="Times New Roman" w:hAnsi="Times New Roman"/>
          <w:szCs w:val="21"/>
        </w:rPr>
        <w:t>CTL</w:t>
      </w:r>
      <w:r>
        <w:rPr>
          <w:rFonts w:ascii="Times New Roman" w:hAnsi="Times New Roman" w:hint="eastAsia"/>
          <w:szCs w:val="21"/>
        </w:rPr>
        <w:t>杀伤靶细胞的机制。</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．了解特异性细胞免疫应答的生物学意义。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．熟悉活化</w:t>
      </w:r>
      <w:r>
        <w:rPr>
          <w:rFonts w:ascii="Times New Roman" w:hAnsi="Times New Roman"/>
          <w:szCs w:val="21"/>
        </w:rPr>
        <w:t>T</w:t>
      </w:r>
      <w:r>
        <w:rPr>
          <w:rFonts w:ascii="Times New Roman" w:hAnsi="Times New Roman" w:hint="eastAsia"/>
          <w:szCs w:val="21"/>
        </w:rPr>
        <w:t>细胞的转归，掌握</w:t>
      </w:r>
      <w:r>
        <w:rPr>
          <w:rFonts w:ascii="Times New Roman" w:hAnsi="Times New Roman"/>
          <w:szCs w:val="21"/>
        </w:rPr>
        <w:t>AICD</w:t>
      </w:r>
      <w:r>
        <w:rPr>
          <w:rFonts w:ascii="Times New Roman" w:hAnsi="Times New Roman" w:hint="eastAsia"/>
          <w:szCs w:val="21"/>
        </w:rPr>
        <w:t>的概念，熟悉记忆性</w:t>
      </w:r>
      <w:r>
        <w:rPr>
          <w:rFonts w:ascii="Times New Roman" w:hAnsi="Times New Roman"/>
          <w:szCs w:val="21"/>
        </w:rPr>
        <w:t>T</w:t>
      </w:r>
      <w:r>
        <w:rPr>
          <w:rFonts w:ascii="Times New Roman" w:hAnsi="Times New Roman" w:hint="eastAsia"/>
          <w:szCs w:val="21"/>
        </w:rPr>
        <w:t>细胞的特点。</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lastRenderedPageBreak/>
        <w:t>1</w:t>
      </w:r>
      <w:r>
        <w:rPr>
          <w:rFonts w:ascii="Times New Roman" w:hAnsi="Times New Roman" w:hint="eastAsia"/>
          <w:szCs w:val="21"/>
        </w:rPr>
        <w:t>．细胞免疫概述：细胞免疫的概念、参与抗原、参与反应的细胞、基本过程和产生免疫应答的部位。</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细胞对抗原的识别：（</w:t>
      </w:r>
      <w:r>
        <w:rPr>
          <w:rFonts w:ascii="Times New Roman" w:hAnsi="Times New Roman"/>
          <w:szCs w:val="21"/>
        </w:rPr>
        <w:t>1</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识别抗原的特点，包括</w:t>
      </w:r>
      <w:r>
        <w:rPr>
          <w:rFonts w:ascii="Times New Roman" w:hAnsi="Times New Roman"/>
          <w:szCs w:val="21"/>
        </w:rPr>
        <w:t>T</w:t>
      </w:r>
      <w:r>
        <w:rPr>
          <w:rFonts w:ascii="Times New Roman" w:hAnsi="Times New Roman" w:hint="eastAsia"/>
          <w:szCs w:val="21"/>
        </w:rPr>
        <w:t>细胞对抗原的双识别和</w:t>
      </w:r>
      <w:r>
        <w:rPr>
          <w:rFonts w:ascii="Times New Roman" w:hAnsi="Times New Roman"/>
          <w:szCs w:val="21"/>
        </w:rPr>
        <w:t>MHC</w:t>
      </w:r>
      <w:r>
        <w:rPr>
          <w:rFonts w:ascii="Times New Roman" w:hAnsi="Times New Roman" w:hint="eastAsia"/>
          <w:szCs w:val="21"/>
        </w:rPr>
        <w:t>限制性；（</w:t>
      </w:r>
      <w:r>
        <w:rPr>
          <w:rFonts w:ascii="Times New Roman" w:hAnsi="Times New Roman"/>
          <w:szCs w:val="21"/>
        </w:rPr>
        <w:t>2</w:t>
      </w:r>
      <w:r>
        <w:rPr>
          <w:rFonts w:ascii="Times New Roman" w:hAnsi="Times New Roman" w:hint="eastAsia"/>
          <w:szCs w:val="21"/>
        </w:rPr>
        <w:t>）</w:t>
      </w:r>
      <w:r>
        <w:rPr>
          <w:rFonts w:ascii="Times New Roman" w:hAnsi="Times New Roman"/>
          <w:szCs w:val="21"/>
        </w:rPr>
        <w:t>APC</w:t>
      </w:r>
      <w:r>
        <w:rPr>
          <w:rFonts w:ascii="Times New Roman" w:hAnsi="Times New Roman" w:hint="eastAsia"/>
          <w:szCs w:val="21"/>
        </w:rPr>
        <w:t>向</w:t>
      </w:r>
      <w:r>
        <w:rPr>
          <w:rFonts w:ascii="Times New Roman" w:hAnsi="Times New Roman"/>
          <w:szCs w:val="21"/>
        </w:rPr>
        <w:t>T</w:t>
      </w:r>
      <w:r>
        <w:rPr>
          <w:rFonts w:ascii="Times New Roman" w:hAnsi="Times New Roman" w:hint="eastAsia"/>
          <w:szCs w:val="21"/>
        </w:rPr>
        <w:t>细胞提呈抗原的过程；（</w:t>
      </w:r>
      <w:r>
        <w:rPr>
          <w:rFonts w:ascii="Times New Roman" w:hAnsi="Times New Roman"/>
          <w:szCs w:val="21"/>
        </w:rPr>
        <w:t>3</w:t>
      </w:r>
      <w:r>
        <w:rPr>
          <w:rFonts w:ascii="Times New Roman" w:hAnsi="Times New Roman" w:hint="eastAsia"/>
          <w:szCs w:val="21"/>
        </w:rPr>
        <w:t>）</w:t>
      </w:r>
      <w:r>
        <w:rPr>
          <w:rFonts w:ascii="Times New Roman" w:hAnsi="Times New Roman"/>
          <w:szCs w:val="21"/>
        </w:rPr>
        <w:t>APC</w:t>
      </w:r>
      <w:r>
        <w:rPr>
          <w:rFonts w:ascii="Times New Roman" w:hAnsi="Times New Roman" w:hint="eastAsia"/>
          <w:szCs w:val="21"/>
        </w:rPr>
        <w:t>与</w:t>
      </w:r>
      <w:r>
        <w:rPr>
          <w:rFonts w:ascii="Times New Roman" w:hAnsi="Times New Roman"/>
          <w:szCs w:val="21"/>
        </w:rPr>
        <w:t>T</w:t>
      </w:r>
      <w:r>
        <w:rPr>
          <w:rFonts w:ascii="Times New Roman" w:hAnsi="Times New Roman" w:hint="eastAsia"/>
          <w:szCs w:val="21"/>
        </w:rPr>
        <w:t>细胞的相互作用，包括免疫突触的形成和作用。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细胞的活化、增殖和分化：（</w:t>
      </w:r>
      <w:r>
        <w:rPr>
          <w:rFonts w:ascii="Times New Roman" w:hAnsi="Times New Roman"/>
          <w:szCs w:val="21"/>
        </w:rPr>
        <w:t>1</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细胞活化涉及的免疫分子，包括</w:t>
      </w:r>
      <w:r>
        <w:rPr>
          <w:rFonts w:ascii="Times New Roman" w:hAnsi="Times New Roman"/>
          <w:szCs w:val="21"/>
        </w:rPr>
        <w:t>T</w:t>
      </w:r>
      <w:r>
        <w:rPr>
          <w:rFonts w:ascii="Times New Roman" w:hAnsi="Times New Roman" w:hint="eastAsia"/>
          <w:szCs w:val="21"/>
        </w:rPr>
        <w:t>细胞活化的第一信号（组成和信号转导）、第二信号（组成和信号转导、</w:t>
      </w:r>
      <w:r>
        <w:rPr>
          <w:rFonts w:ascii="Times New Roman" w:hAnsi="Times New Roman"/>
          <w:szCs w:val="21"/>
        </w:rPr>
        <w:t>CD28</w:t>
      </w:r>
      <w:r>
        <w:rPr>
          <w:rFonts w:ascii="Times New Roman" w:hAnsi="Times New Roman" w:hint="eastAsia"/>
          <w:szCs w:val="21"/>
        </w:rPr>
        <w:t>与</w:t>
      </w:r>
      <w:r>
        <w:rPr>
          <w:rFonts w:ascii="Times New Roman" w:hAnsi="Times New Roman"/>
          <w:szCs w:val="21"/>
        </w:rPr>
        <w:t>CD80/CD80</w:t>
      </w:r>
      <w:r>
        <w:rPr>
          <w:rFonts w:ascii="Times New Roman" w:hAnsi="Times New Roman" w:hint="eastAsia"/>
          <w:szCs w:val="21"/>
        </w:rPr>
        <w:t>及</w:t>
      </w:r>
      <w:r>
        <w:rPr>
          <w:rFonts w:ascii="Times New Roman" w:hAnsi="Times New Roman"/>
          <w:szCs w:val="21"/>
        </w:rPr>
        <w:t>CTLA-4</w:t>
      </w:r>
      <w:r>
        <w:rPr>
          <w:rFonts w:ascii="Times New Roman" w:hAnsi="Times New Roman" w:hint="eastAsia"/>
          <w:szCs w:val="21"/>
        </w:rPr>
        <w:t>与的相互作用和意义、双信号刺激的临床意义）、细胞因子信号的作用；（</w:t>
      </w:r>
      <w:r>
        <w:rPr>
          <w:rFonts w:ascii="Times New Roman" w:hAnsi="Times New Roman"/>
          <w:szCs w:val="21"/>
        </w:rPr>
        <w:t>2</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细胞活化的信号转导途径和靶基因；（</w:t>
      </w:r>
      <w:r>
        <w:rPr>
          <w:rFonts w:ascii="Times New Roman" w:hAnsi="Times New Roman"/>
          <w:szCs w:val="21"/>
        </w:rPr>
        <w:t>3</w:t>
      </w:r>
      <w:r>
        <w:rPr>
          <w:rFonts w:ascii="Times New Roman" w:hAnsi="Times New Roman" w:hint="eastAsia"/>
          <w:szCs w:val="21"/>
        </w:rPr>
        <w:t>）抗原特异性</w:t>
      </w:r>
      <w:r>
        <w:rPr>
          <w:rFonts w:ascii="Times New Roman" w:hAnsi="Times New Roman"/>
          <w:szCs w:val="21"/>
        </w:rPr>
        <w:t>T</w:t>
      </w:r>
      <w:r>
        <w:rPr>
          <w:rFonts w:ascii="Times New Roman" w:hAnsi="Times New Roman" w:hint="eastAsia"/>
          <w:szCs w:val="21"/>
        </w:rPr>
        <w:t>细胞克隆性增殖和分化：</w:t>
      </w:r>
      <w:r>
        <w:rPr>
          <w:rFonts w:ascii="Times New Roman" w:hAnsi="Times New Roman"/>
          <w:szCs w:val="21"/>
        </w:rPr>
        <w:t>IL-2</w:t>
      </w:r>
      <w:r>
        <w:rPr>
          <w:rFonts w:ascii="Times New Roman" w:hAnsi="Times New Roman" w:hint="eastAsia"/>
          <w:szCs w:val="21"/>
        </w:rPr>
        <w:t>和</w:t>
      </w:r>
      <w:r>
        <w:rPr>
          <w:rFonts w:ascii="Times New Roman" w:hAnsi="Times New Roman"/>
          <w:szCs w:val="21"/>
        </w:rPr>
        <w:t>IL-2R</w:t>
      </w:r>
      <w:r>
        <w:rPr>
          <w:rFonts w:ascii="Times New Roman" w:hAnsi="Times New Roman" w:hint="eastAsia"/>
          <w:szCs w:val="21"/>
        </w:rPr>
        <w:t>的作用，</w:t>
      </w:r>
      <w:r>
        <w:rPr>
          <w:rFonts w:ascii="Times New Roman" w:hAnsi="Times New Roman"/>
          <w:szCs w:val="21"/>
        </w:rPr>
        <w:t>CD4</w:t>
      </w:r>
      <w:r>
        <w:rPr>
          <w:rFonts w:ascii="Times New Roman" w:hAnsi="Times New Roman"/>
          <w:szCs w:val="21"/>
          <w:vertAlign w:val="superscript"/>
        </w:rPr>
        <w:t>+</w:t>
      </w:r>
      <w:r>
        <w:rPr>
          <w:rFonts w:ascii="Times New Roman" w:hAnsi="Times New Roman"/>
          <w:szCs w:val="21"/>
        </w:rPr>
        <w:t>T</w:t>
      </w:r>
      <w:r>
        <w:rPr>
          <w:rFonts w:ascii="Times New Roman" w:hAnsi="Times New Roman" w:hint="eastAsia"/>
          <w:szCs w:val="21"/>
        </w:rPr>
        <w:t>细胞的分化过程，</w:t>
      </w:r>
      <w:r>
        <w:rPr>
          <w:rFonts w:ascii="Times New Roman" w:hAnsi="Times New Roman"/>
          <w:szCs w:val="21"/>
        </w:rPr>
        <w:t>CD8</w:t>
      </w:r>
      <w:r>
        <w:rPr>
          <w:rFonts w:ascii="Times New Roman" w:hAnsi="Times New Roman"/>
          <w:szCs w:val="21"/>
          <w:vertAlign w:val="superscript"/>
        </w:rPr>
        <w:t>+</w:t>
      </w:r>
      <w:r>
        <w:rPr>
          <w:rFonts w:ascii="Times New Roman" w:hAnsi="Times New Roman"/>
          <w:szCs w:val="21"/>
        </w:rPr>
        <w:t>T</w:t>
      </w:r>
      <w:r>
        <w:rPr>
          <w:rFonts w:ascii="Times New Roman" w:hAnsi="Times New Roman" w:hint="eastAsia"/>
          <w:szCs w:val="21"/>
        </w:rPr>
        <w:t>细胞的分化过程。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w:t>
      </w:r>
      <w:r>
        <w:rPr>
          <w:rFonts w:ascii="Times New Roman" w:hAnsi="Times New Roman"/>
          <w:szCs w:val="21"/>
        </w:rPr>
        <w:t>T</w:t>
      </w:r>
      <w:r>
        <w:rPr>
          <w:rFonts w:ascii="Times New Roman" w:hAnsi="Times New Roman" w:hint="eastAsia"/>
          <w:szCs w:val="21"/>
        </w:rPr>
        <w:t>细胞的免疫效应：（</w:t>
      </w:r>
      <w:r>
        <w:rPr>
          <w:rFonts w:ascii="Times New Roman" w:hAnsi="Times New Roman"/>
          <w:szCs w:val="21"/>
        </w:rPr>
        <w:t>1</w:t>
      </w:r>
      <w:r>
        <w:rPr>
          <w:rFonts w:ascii="Times New Roman" w:hAnsi="Times New Roman" w:hint="eastAsia"/>
          <w:szCs w:val="21"/>
        </w:rPr>
        <w:t>）</w:t>
      </w:r>
      <w:r>
        <w:rPr>
          <w:rFonts w:ascii="Times New Roman" w:hAnsi="Times New Roman"/>
          <w:szCs w:val="21"/>
        </w:rPr>
        <w:t>Th</w:t>
      </w:r>
      <w:r>
        <w:rPr>
          <w:rFonts w:ascii="Times New Roman" w:hAnsi="Times New Roman" w:hint="eastAsia"/>
          <w:szCs w:val="21"/>
        </w:rPr>
        <w:t>细胞的免疫效应：</w:t>
      </w:r>
      <w:r>
        <w:rPr>
          <w:rFonts w:ascii="Times New Roman" w:hAnsi="Times New Roman"/>
          <w:szCs w:val="21"/>
        </w:rPr>
        <w:t>Th1</w:t>
      </w:r>
      <w:r>
        <w:rPr>
          <w:rFonts w:ascii="Times New Roman" w:hAnsi="Times New Roman" w:hint="eastAsia"/>
          <w:szCs w:val="21"/>
        </w:rPr>
        <w:t>的效应（对巨噬细胞、淋巴细胞、中性粒细胞的作用），</w:t>
      </w:r>
      <w:r>
        <w:rPr>
          <w:rFonts w:ascii="Times New Roman" w:hAnsi="Times New Roman"/>
          <w:szCs w:val="21"/>
        </w:rPr>
        <w:t>Th2</w:t>
      </w:r>
      <w:r>
        <w:rPr>
          <w:rFonts w:ascii="Times New Roman" w:hAnsi="Times New Roman" w:hint="eastAsia"/>
          <w:szCs w:val="21"/>
        </w:rPr>
        <w:t>的效应（辅助体液免疫应答、参与超敏反应性炎症），</w:t>
      </w:r>
      <w:r>
        <w:rPr>
          <w:rFonts w:ascii="Times New Roman" w:hAnsi="Times New Roman"/>
          <w:szCs w:val="21"/>
        </w:rPr>
        <w:t>Th17</w:t>
      </w:r>
      <w:r>
        <w:rPr>
          <w:rFonts w:ascii="Times New Roman" w:hAnsi="Times New Roman" w:hint="eastAsia"/>
          <w:szCs w:val="21"/>
        </w:rPr>
        <w:t>的效应，</w:t>
      </w:r>
      <w:r>
        <w:rPr>
          <w:rFonts w:ascii="Times New Roman" w:hAnsi="Times New Roman"/>
          <w:szCs w:val="21"/>
        </w:rPr>
        <w:t>Tfh</w:t>
      </w:r>
      <w:r>
        <w:rPr>
          <w:rFonts w:ascii="Times New Roman" w:hAnsi="Times New Roman" w:hint="eastAsia"/>
          <w:szCs w:val="21"/>
        </w:rPr>
        <w:t>的效应。（</w:t>
      </w:r>
      <w:r>
        <w:rPr>
          <w:rFonts w:ascii="Times New Roman" w:hAnsi="Times New Roman"/>
          <w:szCs w:val="21"/>
        </w:rPr>
        <w:t>2</w:t>
      </w:r>
      <w:r>
        <w:rPr>
          <w:rFonts w:ascii="Times New Roman" w:hAnsi="Times New Roman" w:hint="eastAsia"/>
          <w:szCs w:val="21"/>
        </w:rPr>
        <w:t>）</w:t>
      </w:r>
      <w:r>
        <w:rPr>
          <w:rFonts w:ascii="Times New Roman" w:hAnsi="Times New Roman"/>
          <w:szCs w:val="21"/>
        </w:rPr>
        <w:t>CTL</w:t>
      </w:r>
      <w:r>
        <w:rPr>
          <w:rFonts w:ascii="Times New Roman" w:hAnsi="Times New Roman" w:hint="eastAsia"/>
          <w:szCs w:val="21"/>
        </w:rPr>
        <w:t>的免疫效应：</w:t>
      </w:r>
      <w:r>
        <w:rPr>
          <w:rFonts w:ascii="Times New Roman" w:hAnsi="Times New Roman"/>
          <w:szCs w:val="21"/>
        </w:rPr>
        <w:t>CTL</w:t>
      </w:r>
      <w:r>
        <w:rPr>
          <w:rFonts w:ascii="Times New Roman" w:hAnsi="Times New Roman" w:hint="eastAsia"/>
          <w:szCs w:val="21"/>
        </w:rPr>
        <w:t>杀伤靶细胞的过程（效</w:t>
      </w:r>
      <w:r>
        <w:rPr>
          <w:rFonts w:ascii="Times New Roman" w:hAnsi="Times New Roman"/>
          <w:szCs w:val="21"/>
        </w:rPr>
        <w:t>-</w:t>
      </w:r>
      <w:r>
        <w:rPr>
          <w:rFonts w:ascii="Times New Roman" w:hAnsi="Times New Roman" w:hint="eastAsia"/>
          <w:szCs w:val="21"/>
        </w:rPr>
        <w:t>靶细胞结合、</w:t>
      </w:r>
      <w:r>
        <w:rPr>
          <w:rFonts w:ascii="Times New Roman" w:hAnsi="Times New Roman"/>
          <w:szCs w:val="21"/>
        </w:rPr>
        <w:t>CTL</w:t>
      </w:r>
      <w:r>
        <w:rPr>
          <w:rFonts w:ascii="Times New Roman" w:hAnsi="Times New Roman" w:hint="eastAsia"/>
          <w:szCs w:val="21"/>
        </w:rPr>
        <w:t>的极化、致死性攻击），</w:t>
      </w:r>
      <w:r>
        <w:rPr>
          <w:rFonts w:ascii="Times New Roman" w:hAnsi="Times New Roman"/>
          <w:szCs w:val="21"/>
        </w:rPr>
        <w:t>CTL</w:t>
      </w:r>
      <w:r>
        <w:rPr>
          <w:rFonts w:ascii="Times New Roman" w:hAnsi="Times New Roman" w:hint="eastAsia"/>
          <w:szCs w:val="21"/>
        </w:rPr>
        <w:t>杀伤靶细胞的机制（穿孔素</w:t>
      </w:r>
      <w:r>
        <w:rPr>
          <w:rFonts w:ascii="Times New Roman" w:hAnsi="Times New Roman"/>
          <w:szCs w:val="21"/>
        </w:rPr>
        <w:t>/</w:t>
      </w:r>
      <w:r>
        <w:rPr>
          <w:rFonts w:ascii="Times New Roman" w:hAnsi="Times New Roman" w:hint="eastAsia"/>
          <w:szCs w:val="21"/>
        </w:rPr>
        <w:t>颗粒酶途径、死亡受体途径）。</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．特异性细胞免疫应答的生物学意义：抗感染、抗肿瘤和免疫病理作用。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．活化</w:t>
      </w:r>
      <w:r>
        <w:rPr>
          <w:rFonts w:ascii="Times New Roman" w:hAnsi="Times New Roman"/>
          <w:szCs w:val="21"/>
        </w:rPr>
        <w:t>T</w:t>
      </w:r>
      <w:r>
        <w:rPr>
          <w:rFonts w:ascii="Times New Roman" w:hAnsi="Times New Roman" w:hint="eastAsia"/>
          <w:szCs w:val="21"/>
        </w:rPr>
        <w:t>细胞的转归：效应</w:t>
      </w:r>
      <w:r>
        <w:rPr>
          <w:rFonts w:ascii="Times New Roman" w:hAnsi="Times New Roman"/>
          <w:szCs w:val="21"/>
        </w:rPr>
        <w:t>T</w:t>
      </w:r>
      <w:r>
        <w:rPr>
          <w:rFonts w:ascii="Times New Roman" w:hAnsi="Times New Roman" w:hint="eastAsia"/>
          <w:szCs w:val="21"/>
        </w:rPr>
        <w:t>细胞的抑制或清除，记忆</w:t>
      </w:r>
      <w:r>
        <w:rPr>
          <w:rFonts w:ascii="Times New Roman" w:hAnsi="Times New Roman"/>
          <w:szCs w:val="21"/>
        </w:rPr>
        <w:t>T</w:t>
      </w:r>
      <w:r>
        <w:rPr>
          <w:rFonts w:ascii="Times New Roman" w:hAnsi="Times New Roman" w:hint="eastAsia"/>
          <w:szCs w:val="21"/>
        </w:rPr>
        <w:t>细胞的形成、特点和作用。</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第十三章</w:t>
      </w:r>
      <w:r>
        <w:rPr>
          <w:rFonts w:ascii="Times New Roman" w:hAnsi="Times New Roman"/>
          <w:b/>
          <w:szCs w:val="21"/>
        </w:rPr>
        <w:t>B</w:t>
      </w:r>
      <w:r>
        <w:rPr>
          <w:rFonts w:ascii="Times New Roman" w:hAnsi="Times New Roman" w:hint="eastAsia"/>
          <w:b/>
          <w:szCs w:val="21"/>
        </w:rPr>
        <w:t>淋巴细胞介导的特异性免疫应答</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．掌握体液免疫的概念和基本过程。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w:t>
      </w:r>
      <w:r>
        <w:rPr>
          <w:rFonts w:ascii="Times New Roman" w:hAnsi="Times New Roman"/>
          <w:szCs w:val="21"/>
        </w:rPr>
        <w:t>B</w:t>
      </w:r>
      <w:r>
        <w:rPr>
          <w:rFonts w:ascii="Times New Roman" w:hAnsi="Times New Roman" w:hint="eastAsia"/>
          <w:szCs w:val="21"/>
        </w:rPr>
        <w:t>细胞对</w:t>
      </w:r>
      <w:r>
        <w:rPr>
          <w:rFonts w:ascii="Times New Roman" w:hAnsi="Times New Roman"/>
          <w:szCs w:val="21"/>
        </w:rPr>
        <w:t>TD-Ag</w:t>
      </w:r>
      <w:r>
        <w:rPr>
          <w:rFonts w:ascii="Times New Roman" w:hAnsi="Times New Roman" w:hint="eastAsia"/>
          <w:szCs w:val="21"/>
        </w:rPr>
        <w:t>免疫应答的主要内容，包括</w:t>
      </w:r>
      <w:r>
        <w:rPr>
          <w:rFonts w:ascii="Times New Roman" w:hAnsi="Times New Roman"/>
          <w:szCs w:val="21"/>
        </w:rPr>
        <w:t>B</w:t>
      </w:r>
      <w:r>
        <w:rPr>
          <w:rFonts w:ascii="Times New Roman" w:hAnsi="Times New Roman" w:hint="eastAsia"/>
          <w:szCs w:val="21"/>
        </w:rPr>
        <w:t>细胞对</w:t>
      </w:r>
      <w:r>
        <w:rPr>
          <w:rFonts w:ascii="Times New Roman" w:hAnsi="Times New Roman"/>
          <w:szCs w:val="21"/>
        </w:rPr>
        <w:t>TD-Ag</w:t>
      </w:r>
      <w:r>
        <w:rPr>
          <w:rFonts w:ascii="Times New Roman" w:hAnsi="Times New Roman" w:hint="eastAsia"/>
          <w:szCs w:val="21"/>
        </w:rPr>
        <w:t>的识别、</w:t>
      </w:r>
      <w:r>
        <w:rPr>
          <w:rFonts w:ascii="Times New Roman" w:hAnsi="Times New Roman"/>
          <w:szCs w:val="21"/>
        </w:rPr>
        <w:t>B</w:t>
      </w:r>
      <w:r>
        <w:rPr>
          <w:rFonts w:ascii="Times New Roman" w:hAnsi="Times New Roman" w:hint="eastAsia"/>
          <w:szCs w:val="21"/>
        </w:rPr>
        <w:t>细胞活化的双信号、</w:t>
      </w:r>
      <w:r>
        <w:rPr>
          <w:rFonts w:ascii="Times New Roman" w:hAnsi="Times New Roman"/>
          <w:szCs w:val="21"/>
        </w:rPr>
        <w:t>T</w:t>
      </w:r>
      <w:r>
        <w:rPr>
          <w:rFonts w:ascii="Times New Roman" w:hAnsi="Times New Roman" w:hint="eastAsia"/>
          <w:szCs w:val="21"/>
        </w:rPr>
        <w:t>细胞与</w:t>
      </w:r>
      <w:r>
        <w:rPr>
          <w:rFonts w:ascii="Times New Roman" w:hAnsi="Times New Roman"/>
          <w:szCs w:val="21"/>
        </w:rPr>
        <w:t>B</w:t>
      </w:r>
      <w:r>
        <w:rPr>
          <w:rFonts w:ascii="Times New Roman" w:hAnsi="Times New Roman" w:hint="eastAsia"/>
          <w:szCs w:val="21"/>
        </w:rPr>
        <w:t>细胞的相互作用、体细胞高频突变和</w:t>
      </w:r>
      <w:r>
        <w:rPr>
          <w:rFonts w:ascii="Times New Roman" w:hAnsi="Times New Roman"/>
          <w:szCs w:val="21"/>
        </w:rPr>
        <w:t>Ig</w:t>
      </w:r>
      <w:r>
        <w:rPr>
          <w:rFonts w:ascii="Times New Roman" w:hAnsi="Times New Roman" w:hint="eastAsia"/>
          <w:szCs w:val="21"/>
        </w:rPr>
        <w:t>的类别转换的概念，熟悉</w:t>
      </w:r>
      <w:r>
        <w:rPr>
          <w:rFonts w:ascii="Times New Roman" w:hAnsi="Times New Roman"/>
          <w:szCs w:val="21"/>
        </w:rPr>
        <w:t>Ig</w:t>
      </w:r>
      <w:r>
        <w:rPr>
          <w:rFonts w:ascii="Times New Roman" w:hAnsi="Times New Roman" w:hint="eastAsia"/>
          <w:szCs w:val="21"/>
        </w:rPr>
        <w:t>亲和力成熟、浆细胞的形成和记忆性</w:t>
      </w:r>
      <w:r>
        <w:rPr>
          <w:rFonts w:ascii="Times New Roman" w:hAnsi="Times New Roman"/>
          <w:szCs w:val="21"/>
        </w:rPr>
        <w:t>B</w:t>
      </w:r>
      <w:r>
        <w:rPr>
          <w:rFonts w:ascii="Times New Roman" w:hAnsi="Times New Roman" w:hint="eastAsia"/>
          <w:szCs w:val="21"/>
        </w:rPr>
        <w:t>细胞的产生，了解</w:t>
      </w:r>
      <w:r>
        <w:rPr>
          <w:rFonts w:ascii="Times New Roman" w:hAnsi="Times New Roman"/>
          <w:szCs w:val="21"/>
        </w:rPr>
        <w:t>B</w:t>
      </w:r>
      <w:r>
        <w:rPr>
          <w:rFonts w:ascii="Times New Roman" w:hAnsi="Times New Roman" w:hint="eastAsia"/>
          <w:szCs w:val="21"/>
        </w:rPr>
        <w:t>细胞活化的信号转导途径和在生发中心的分化成熟。</w:t>
      </w:r>
      <w:r>
        <w:rPr>
          <w:rFonts w:ascii="Times New Roman" w:hAnsi="Times New Roman"/>
          <w:szCs w:val="21"/>
        </w:rPr>
        <w:t xml:space="preserve"> </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w:t>
      </w:r>
      <w:r>
        <w:rPr>
          <w:rFonts w:ascii="Times New Roman" w:hAnsi="Times New Roman"/>
          <w:szCs w:val="21"/>
        </w:rPr>
        <w:t>B</w:t>
      </w:r>
      <w:r>
        <w:rPr>
          <w:rFonts w:ascii="Times New Roman" w:hAnsi="Times New Roman" w:hint="eastAsia"/>
          <w:szCs w:val="21"/>
        </w:rPr>
        <w:t>细胞对</w:t>
      </w:r>
      <w:r>
        <w:rPr>
          <w:rFonts w:ascii="Times New Roman" w:hAnsi="Times New Roman"/>
          <w:szCs w:val="21"/>
        </w:rPr>
        <w:t>TI-Ag</w:t>
      </w:r>
      <w:r>
        <w:rPr>
          <w:rFonts w:ascii="Times New Roman" w:hAnsi="Times New Roman" w:hint="eastAsia"/>
          <w:szCs w:val="21"/>
        </w:rPr>
        <w:t>的免疫应答。</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．掌握体液免疫应答产生抗体的一般规律和应用。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．掌握</w:t>
      </w:r>
      <w:r>
        <w:rPr>
          <w:rFonts w:ascii="Times New Roman" w:hAnsi="Times New Roman"/>
          <w:szCs w:val="21"/>
        </w:rPr>
        <w:t>B</w:t>
      </w:r>
      <w:r>
        <w:rPr>
          <w:rFonts w:ascii="Times New Roman" w:hAnsi="Times New Roman" w:hint="eastAsia"/>
          <w:szCs w:val="21"/>
        </w:rPr>
        <w:t>细胞介导的体液免疫应答的效应。</w:t>
      </w:r>
    </w:p>
    <w:p w:rsidR="003717A0" w:rsidRDefault="003717A0" w:rsidP="00F5156D">
      <w:pPr>
        <w:adjustRightInd w:val="0"/>
        <w:snapToGrid w:val="0"/>
        <w:spacing w:line="360" w:lineRule="auto"/>
        <w:ind w:right="6"/>
        <w:rPr>
          <w:rFonts w:ascii="Times New Roman" w:hAnsi="Times New Roman"/>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．体液免疫概述：包括体液免疫的概念、抗原类型、参与细胞和基本过程。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细胞对</w:t>
      </w:r>
      <w:r>
        <w:rPr>
          <w:rFonts w:ascii="Times New Roman" w:hAnsi="Times New Roman"/>
          <w:szCs w:val="21"/>
        </w:rPr>
        <w:t>TD-Ag</w:t>
      </w:r>
      <w:r>
        <w:rPr>
          <w:rFonts w:ascii="Times New Roman" w:hAnsi="Times New Roman" w:hint="eastAsia"/>
          <w:szCs w:val="21"/>
        </w:rPr>
        <w:t>的免疫应答：（</w:t>
      </w:r>
      <w:r>
        <w:rPr>
          <w:rFonts w:ascii="Times New Roman" w:hAnsi="Times New Roman"/>
          <w:szCs w:val="21"/>
        </w:rPr>
        <w:t>1</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细胞对</w:t>
      </w:r>
      <w:r>
        <w:rPr>
          <w:rFonts w:ascii="Times New Roman" w:hAnsi="Times New Roman"/>
          <w:szCs w:val="21"/>
        </w:rPr>
        <w:t>TD-Ag</w:t>
      </w:r>
      <w:r>
        <w:rPr>
          <w:rFonts w:ascii="Times New Roman" w:hAnsi="Times New Roman" w:hint="eastAsia"/>
          <w:szCs w:val="21"/>
        </w:rPr>
        <w:t>的识别；（</w:t>
      </w:r>
      <w:r>
        <w:rPr>
          <w:rFonts w:ascii="Times New Roman" w:hAnsi="Times New Roman"/>
          <w:szCs w:val="21"/>
        </w:rPr>
        <w:t>2</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细胞活化涉及的免疫分子，包括</w:t>
      </w:r>
      <w:r>
        <w:rPr>
          <w:rFonts w:ascii="Times New Roman" w:hAnsi="Times New Roman"/>
          <w:szCs w:val="21"/>
        </w:rPr>
        <w:t>B</w:t>
      </w:r>
      <w:r>
        <w:rPr>
          <w:rFonts w:ascii="Times New Roman" w:hAnsi="Times New Roman" w:hint="eastAsia"/>
          <w:szCs w:val="21"/>
        </w:rPr>
        <w:t>细胞活化的双信号、细胞因子的作用及</w:t>
      </w:r>
      <w:r>
        <w:rPr>
          <w:rFonts w:ascii="Times New Roman" w:hAnsi="Times New Roman"/>
          <w:szCs w:val="21"/>
        </w:rPr>
        <w:t>T</w:t>
      </w:r>
      <w:r>
        <w:rPr>
          <w:rFonts w:ascii="Times New Roman" w:hAnsi="Times New Roman" w:hint="eastAsia"/>
          <w:szCs w:val="21"/>
        </w:rPr>
        <w:t>细胞与</w:t>
      </w:r>
      <w:r>
        <w:rPr>
          <w:rFonts w:ascii="Times New Roman" w:hAnsi="Times New Roman"/>
          <w:szCs w:val="21"/>
        </w:rPr>
        <w:t>B</w:t>
      </w:r>
      <w:r>
        <w:rPr>
          <w:rFonts w:ascii="Times New Roman" w:hAnsi="Times New Roman" w:hint="eastAsia"/>
          <w:szCs w:val="21"/>
        </w:rPr>
        <w:t>细胞的相互作用。（</w:t>
      </w:r>
      <w:r>
        <w:rPr>
          <w:rFonts w:ascii="Times New Roman" w:hAnsi="Times New Roman"/>
          <w:szCs w:val="21"/>
        </w:rPr>
        <w:t>3</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细胞的增殖和终末分化：包括</w:t>
      </w:r>
      <w:r>
        <w:rPr>
          <w:rFonts w:ascii="Times New Roman" w:hAnsi="Times New Roman"/>
          <w:szCs w:val="21"/>
        </w:rPr>
        <w:t>B</w:t>
      </w:r>
      <w:r>
        <w:rPr>
          <w:rFonts w:ascii="Times New Roman" w:hAnsi="Times New Roman" w:hint="eastAsia"/>
          <w:szCs w:val="21"/>
        </w:rPr>
        <w:t>细胞分化的抗原依赖期、生发中性的生成、体细胞高频突变和</w:t>
      </w:r>
      <w:r>
        <w:rPr>
          <w:rFonts w:ascii="Times New Roman" w:hAnsi="Times New Roman"/>
          <w:szCs w:val="21"/>
        </w:rPr>
        <w:t>Ig</w:t>
      </w:r>
      <w:r>
        <w:rPr>
          <w:rFonts w:ascii="Times New Roman" w:hAnsi="Times New Roman" w:hint="eastAsia"/>
          <w:szCs w:val="21"/>
        </w:rPr>
        <w:t>亲和力成熟、</w:t>
      </w:r>
      <w:r>
        <w:rPr>
          <w:rFonts w:ascii="Times New Roman" w:hAnsi="Times New Roman"/>
          <w:szCs w:val="21"/>
        </w:rPr>
        <w:t>Ig</w:t>
      </w:r>
      <w:r>
        <w:rPr>
          <w:rFonts w:ascii="Times New Roman" w:hAnsi="Times New Roman" w:hint="eastAsia"/>
          <w:szCs w:val="21"/>
        </w:rPr>
        <w:t>的类别转换、浆细胞形成和记忆</w:t>
      </w:r>
      <w:r>
        <w:rPr>
          <w:rFonts w:ascii="Times New Roman" w:hAnsi="Times New Roman"/>
          <w:szCs w:val="21"/>
        </w:rPr>
        <w:t>B</w:t>
      </w:r>
      <w:r>
        <w:rPr>
          <w:rFonts w:ascii="Times New Roman" w:hAnsi="Times New Roman" w:hint="eastAsia"/>
          <w:szCs w:val="21"/>
        </w:rPr>
        <w:t>细胞的产生。</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细胞对</w:t>
      </w:r>
      <w:r>
        <w:rPr>
          <w:rFonts w:ascii="Times New Roman" w:hAnsi="Times New Roman"/>
          <w:szCs w:val="21"/>
        </w:rPr>
        <w:t>TI-Ag</w:t>
      </w:r>
      <w:r>
        <w:rPr>
          <w:rFonts w:ascii="Times New Roman" w:hAnsi="Times New Roman" w:hint="eastAsia"/>
          <w:szCs w:val="21"/>
        </w:rPr>
        <w:t>的免疫应答：包括</w:t>
      </w:r>
      <w:r>
        <w:rPr>
          <w:rFonts w:ascii="Times New Roman" w:hAnsi="Times New Roman"/>
          <w:szCs w:val="21"/>
        </w:rPr>
        <w:t>TI</w:t>
      </w:r>
      <w:r>
        <w:rPr>
          <w:rFonts w:ascii="Times New Roman" w:hAnsi="Times New Roman" w:hint="eastAsia"/>
          <w:szCs w:val="21"/>
        </w:rPr>
        <w:t>抗原的分类、不同的激活剂、应答特点和生理意义。</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．体液免疫应答产生抗体的一般规律：包括初次应答和再次应答的概念、抗体产生的四个阶段、初次应答和再次应答的特点，再次应答的应用。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lastRenderedPageBreak/>
        <w:t>5</w:t>
      </w:r>
      <w:r>
        <w:rPr>
          <w:rFonts w:ascii="Times New Roman" w:hAnsi="Times New Roman" w:hint="eastAsia"/>
          <w:szCs w:val="21"/>
        </w:rPr>
        <w:t>．</w:t>
      </w:r>
      <w:r>
        <w:rPr>
          <w:rFonts w:ascii="Times New Roman" w:hAnsi="Times New Roman"/>
          <w:szCs w:val="21"/>
        </w:rPr>
        <w:t>B</w:t>
      </w:r>
      <w:r>
        <w:rPr>
          <w:rFonts w:ascii="Times New Roman" w:hAnsi="Times New Roman" w:hint="eastAsia"/>
          <w:szCs w:val="21"/>
        </w:rPr>
        <w:t>细胞介导的体液免疫应答的效应：包括中和作用、激活补体、调理作用、</w:t>
      </w:r>
      <w:r>
        <w:rPr>
          <w:rFonts w:ascii="Times New Roman" w:hAnsi="Times New Roman"/>
          <w:szCs w:val="21"/>
        </w:rPr>
        <w:t>ADCC</w:t>
      </w:r>
      <w:r>
        <w:rPr>
          <w:rFonts w:ascii="Times New Roman" w:hAnsi="Times New Roman" w:hint="eastAsia"/>
          <w:szCs w:val="21"/>
        </w:rPr>
        <w:t>、介导</w:t>
      </w:r>
      <w:r>
        <w:rPr>
          <w:rFonts w:ascii="宋体" w:hAnsi="宋体" w:cs="宋体" w:hint="eastAsia"/>
          <w:szCs w:val="21"/>
        </w:rPr>
        <w:t>Ⅰ</w:t>
      </w:r>
      <w:r>
        <w:rPr>
          <w:rFonts w:ascii="Times New Roman" w:hAnsi="Times New Roman" w:hint="eastAsia"/>
          <w:szCs w:val="21"/>
        </w:rPr>
        <w:t>型超敏反应、穿过胎盘和黏膜。</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第十四章</w:t>
      </w:r>
      <w:r>
        <w:rPr>
          <w:rFonts w:ascii="Times New Roman" w:hAnsi="Times New Roman"/>
          <w:b/>
          <w:szCs w:val="21"/>
        </w:rPr>
        <w:t xml:space="preserve"> </w:t>
      </w:r>
      <w:r>
        <w:rPr>
          <w:rFonts w:ascii="Times New Roman" w:hAnsi="Times New Roman" w:hint="eastAsia"/>
          <w:b/>
          <w:szCs w:val="21"/>
        </w:rPr>
        <w:t>固有免疫系统及其应答</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．掌握固有免疫应答的概念、固有免疫系统的组成。</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．掌握固有免疫细胞的种类和识别特点（模式识别受体、病原相关分子模式概念）。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．熟悉单核</w:t>
      </w:r>
      <w:r>
        <w:rPr>
          <w:rFonts w:ascii="Times New Roman" w:hAnsi="Times New Roman"/>
          <w:szCs w:val="21"/>
        </w:rPr>
        <w:t>/</w:t>
      </w:r>
      <w:r>
        <w:rPr>
          <w:rFonts w:ascii="Times New Roman" w:hAnsi="Times New Roman" w:hint="eastAsia"/>
          <w:szCs w:val="21"/>
        </w:rPr>
        <w:t>巨噬细胞的分类、表面受体和主要生物学功能，了解中性粒细胞的特点和功能。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w:t>
      </w:r>
      <w:r>
        <w:rPr>
          <w:rFonts w:ascii="Times New Roman" w:hAnsi="Times New Roman"/>
          <w:szCs w:val="21"/>
        </w:rPr>
        <w:t>NK</w:t>
      </w:r>
      <w:r>
        <w:rPr>
          <w:rFonts w:ascii="Times New Roman" w:hAnsi="Times New Roman" w:hint="eastAsia"/>
          <w:szCs w:val="21"/>
        </w:rPr>
        <w:t>细胞表面标志、</w:t>
      </w:r>
      <w:r>
        <w:rPr>
          <w:rFonts w:ascii="Times New Roman" w:hAnsi="Times New Roman"/>
          <w:szCs w:val="21"/>
        </w:rPr>
        <w:t>NK</w:t>
      </w:r>
      <w:r>
        <w:rPr>
          <w:rFonts w:ascii="Times New Roman" w:hAnsi="Times New Roman" w:hint="eastAsia"/>
          <w:szCs w:val="21"/>
        </w:rPr>
        <w:t>细胞杀伤活化受体</w:t>
      </w:r>
      <w:r>
        <w:rPr>
          <w:rFonts w:ascii="Times New Roman" w:hAnsi="Times New Roman"/>
          <w:szCs w:val="21"/>
        </w:rPr>
        <w:t>/</w:t>
      </w:r>
      <w:r>
        <w:rPr>
          <w:rFonts w:ascii="Times New Roman" w:hAnsi="Times New Roman" w:hint="eastAsia"/>
          <w:szCs w:val="21"/>
        </w:rPr>
        <w:t>杀伤抑制受体及</w:t>
      </w:r>
      <w:r>
        <w:rPr>
          <w:rFonts w:ascii="Times New Roman" w:hAnsi="Times New Roman"/>
          <w:szCs w:val="21"/>
        </w:rPr>
        <w:t>NK</w:t>
      </w:r>
      <w:r>
        <w:rPr>
          <w:rFonts w:ascii="Times New Roman" w:hAnsi="Times New Roman" w:hint="eastAsia"/>
          <w:szCs w:val="21"/>
        </w:rPr>
        <w:t>细胞活性的调节（即</w:t>
      </w:r>
      <w:r>
        <w:rPr>
          <w:rFonts w:ascii="Times New Roman" w:hAnsi="Times New Roman"/>
          <w:szCs w:val="21"/>
        </w:rPr>
        <w:t>NK</w:t>
      </w:r>
      <w:r>
        <w:rPr>
          <w:rFonts w:ascii="Times New Roman" w:hAnsi="Times New Roman" w:hint="eastAsia"/>
          <w:szCs w:val="21"/>
        </w:rPr>
        <w:t>细胞识别</w:t>
      </w:r>
      <w:r>
        <w:rPr>
          <w:rFonts w:ascii="Times New Roman" w:hAnsi="Times New Roman"/>
          <w:szCs w:val="21"/>
        </w:rPr>
        <w:t>“</w:t>
      </w:r>
      <w:r>
        <w:rPr>
          <w:rFonts w:ascii="Times New Roman" w:hAnsi="Times New Roman" w:hint="eastAsia"/>
          <w:szCs w:val="21"/>
        </w:rPr>
        <w:t>自己</w:t>
      </w:r>
      <w:r>
        <w:rPr>
          <w:rFonts w:ascii="Times New Roman" w:hAnsi="Times New Roman"/>
          <w:szCs w:val="21"/>
        </w:rPr>
        <w:t>”</w:t>
      </w:r>
      <w:r>
        <w:rPr>
          <w:rFonts w:ascii="Times New Roman" w:hAnsi="Times New Roman" w:hint="eastAsia"/>
          <w:szCs w:val="21"/>
        </w:rPr>
        <w:t>和</w:t>
      </w:r>
      <w:r>
        <w:rPr>
          <w:rFonts w:ascii="Times New Roman" w:hAnsi="Times New Roman"/>
          <w:szCs w:val="21"/>
        </w:rPr>
        <w:t>“</w:t>
      </w:r>
      <w:r>
        <w:rPr>
          <w:rFonts w:ascii="Times New Roman" w:hAnsi="Times New Roman" w:hint="eastAsia"/>
          <w:szCs w:val="21"/>
        </w:rPr>
        <w:t>非己</w:t>
      </w:r>
      <w:r>
        <w:rPr>
          <w:rFonts w:ascii="Times New Roman" w:hAnsi="Times New Roman"/>
          <w:szCs w:val="21"/>
        </w:rPr>
        <w:t>”</w:t>
      </w:r>
      <w:r>
        <w:rPr>
          <w:rFonts w:ascii="Times New Roman" w:hAnsi="Times New Roman" w:hint="eastAsia"/>
          <w:szCs w:val="21"/>
        </w:rPr>
        <w:t>的机制），熟悉</w:t>
      </w:r>
      <w:r>
        <w:rPr>
          <w:rFonts w:ascii="Times New Roman" w:hAnsi="Times New Roman"/>
          <w:szCs w:val="21"/>
        </w:rPr>
        <w:t>NK</w:t>
      </w:r>
      <w:r>
        <w:rPr>
          <w:rFonts w:ascii="Times New Roman" w:hAnsi="Times New Roman" w:hint="eastAsia"/>
          <w:szCs w:val="21"/>
        </w:rPr>
        <w:t>细胞的作用特点、杀伤机制和功能。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．了解固有样淋巴细胞（</w:t>
      </w:r>
      <w:r>
        <w:rPr>
          <w:rFonts w:ascii="Times New Roman" w:hAnsi="Times New Roman"/>
          <w:szCs w:val="21"/>
        </w:rPr>
        <w:t>NKT</w:t>
      </w:r>
      <w:r>
        <w:rPr>
          <w:rFonts w:ascii="Times New Roman" w:hAnsi="Times New Roman" w:hint="eastAsia"/>
          <w:szCs w:val="21"/>
        </w:rPr>
        <w:t>细胞、</w:t>
      </w:r>
      <w:r>
        <w:rPr>
          <w:rFonts w:ascii="Times New Roman" w:hAnsi="Times New Roman"/>
          <w:szCs w:val="21"/>
        </w:rPr>
        <w:t>γδT</w:t>
      </w:r>
      <w:r>
        <w:rPr>
          <w:rFonts w:ascii="Times New Roman" w:hAnsi="Times New Roman" w:hint="eastAsia"/>
          <w:szCs w:val="21"/>
        </w:rPr>
        <w:t>细胞和</w:t>
      </w:r>
      <w:r>
        <w:rPr>
          <w:rFonts w:ascii="Times New Roman" w:hAnsi="Times New Roman"/>
          <w:szCs w:val="21"/>
        </w:rPr>
        <w:t>B1</w:t>
      </w:r>
      <w:r>
        <w:rPr>
          <w:rFonts w:ascii="Times New Roman" w:hAnsi="Times New Roman" w:hint="eastAsia"/>
          <w:szCs w:val="21"/>
        </w:rPr>
        <w:t>细胞）及其他固有免疫细胞（肥大细胞、嗜酸性细胞、嗜碱性细胞）的表面标志和生物学活性。</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．熟悉固有免疫分子及其主要作用。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7</w:t>
      </w:r>
      <w:r>
        <w:rPr>
          <w:rFonts w:ascii="Times New Roman" w:hAnsi="Times New Roman" w:hint="eastAsia"/>
          <w:szCs w:val="21"/>
        </w:rPr>
        <w:t>．掌握固有免疫的应答特点和固有免疫应答的作用时相。</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8</w:t>
      </w:r>
      <w:r>
        <w:rPr>
          <w:rFonts w:ascii="Times New Roman" w:hAnsi="Times New Roman" w:hint="eastAsia"/>
          <w:szCs w:val="21"/>
        </w:rPr>
        <w:t>．掌握固有免疫与适应性免疫应答的关系。</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．固有免疫应答的概念。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．固有免疫系统的组成：（</w:t>
      </w:r>
      <w:r>
        <w:rPr>
          <w:rFonts w:ascii="Times New Roman" w:hAnsi="Times New Roman"/>
          <w:szCs w:val="21"/>
        </w:rPr>
        <w:t>1</w:t>
      </w:r>
      <w:r>
        <w:rPr>
          <w:rFonts w:ascii="Times New Roman" w:hAnsi="Times New Roman" w:hint="eastAsia"/>
          <w:szCs w:val="21"/>
        </w:rPr>
        <w:t>）组织屏障及其作用，包括物理屏障、化学屏障和微生物屏障）；（</w:t>
      </w:r>
      <w:r>
        <w:rPr>
          <w:rFonts w:ascii="Times New Roman" w:hAnsi="Times New Roman"/>
          <w:szCs w:val="21"/>
        </w:rPr>
        <w:t>2</w:t>
      </w:r>
      <w:r>
        <w:rPr>
          <w:rFonts w:ascii="Times New Roman" w:hAnsi="Times New Roman" w:hint="eastAsia"/>
          <w:szCs w:val="21"/>
        </w:rPr>
        <w:t>）固有免疫细胞，包括吞噬细胞（单核</w:t>
      </w:r>
      <w:r>
        <w:rPr>
          <w:rFonts w:ascii="Times New Roman" w:hAnsi="Times New Roman"/>
          <w:szCs w:val="21"/>
        </w:rPr>
        <w:t>/</w:t>
      </w:r>
      <w:r>
        <w:rPr>
          <w:rFonts w:ascii="Times New Roman" w:hAnsi="Times New Roman" w:hint="eastAsia"/>
          <w:szCs w:val="21"/>
        </w:rPr>
        <w:t>巨噬细胞、中性粒细胞）、树突状细胞、</w:t>
      </w:r>
      <w:r>
        <w:rPr>
          <w:rFonts w:ascii="Times New Roman" w:hAnsi="Times New Roman"/>
          <w:szCs w:val="21"/>
        </w:rPr>
        <w:t>NK</w:t>
      </w:r>
      <w:r>
        <w:rPr>
          <w:rFonts w:ascii="Times New Roman" w:hAnsi="Times New Roman" w:hint="eastAsia"/>
          <w:szCs w:val="21"/>
        </w:rPr>
        <w:t>细胞、固有样淋巴细胞（</w:t>
      </w:r>
      <w:r>
        <w:rPr>
          <w:rFonts w:ascii="Times New Roman" w:hAnsi="Times New Roman"/>
          <w:szCs w:val="21"/>
        </w:rPr>
        <w:t>NKT</w:t>
      </w:r>
      <w:r>
        <w:rPr>
          <w:rFonts w:ascii="Times New Roman" w:hAnsi="Times New Roman" w:hint="eastAsia"/>
          <w:szCs w:val="21"/>
        </w:rPr>
        <w:t>细胞、</w:t>
      </w:r>
      <w:r>
        <w:rPr>
          <w:rFonts w:ascii="Times New Roman" w:hAnsi="Times New Roman"/>
          <w:szCs w:val="21"/>
        </w:rPr>
        <w:t>γδT</w:t>
      </w:r>
      <w:r>
        <w:rPr>
          <w:rFonts w:ascii="Times New Roman" w:hAnsi="Times New Roman" w:hint="eastAsia"/>
          <w:szCs w:val="21"/>
        </w:rPr>
        <w:t>细胞和</w:t>
      </w:r>
      <w:r>
        <w:rPr>
          <w:rFonts w:ascii="Times New Roman" w:hAnsi="Times New Roman"/>
          <w:szCs w:val="21"/>
        </w:rPr>
        <w:t>B1</w:t>
      </w:r>
      <w:r>
        <w:rPr>
          <w:rFonts w:ascii="Times New Roman" w:hAnsi="Times New Roman" w:hint="eastAsia"/>
          <w:szCs w:val="21"/>
        </w:rPr>
        <w:t>细胞）和其他固有免疫细胞（肥大细胞、嗜酸性细胞、嗜碱性细胞）；（</w:t>
      </w:r>
      <w:r>
        <w:rPr>
          <w:rFonts w:ascii="Times New Roman" w:hAnsi="Times New Roman"/>
          <w:szCs w:val="21"/>
        </w:rPr>
        <w:t>3</w:t>
      </w:r>
      <w:r>
        <w:rPr>
          <w:rFonts w:ascii="Times New Roman" w:hAnsi="Times New Roman" w:hint="eastAsia"/>
          <w:szCs w:val="21"/>
        </w:rPr>
        <w:t>）固有免疫分子及其作用，包括补体系统、细胞因子、其他抗菌物质（抗菌肽、溶菌酶、乙型溶素</w:t>
      </w:r>
      <w:r>
        <w:rPr>
          <w:rFonts w:ascii="Times New Roman" w:hAnsi="Times New Roman"/>
          <w:szCs w:val="21"/>
        </w:rPr>
        <w:t>)</w:t>
      </w:r>
      <w:r>
        <w:rPr>
          <w:rFonts w:ascii="Times New Roman" w:hAnsi="Times New Roman" w:hint="eastAsia"/>
          <w:szCs w:val="21"/>
        </w:rPr>
        <w:t>。</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．固有免疫细胞的识别特点：模式识别受体和病原相关分子模式的概念、分类及相互识别特点。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．吞噬细胞：吞噬细胞的组成、单核</w:t>
      </w:r>
      <w:r>
        <w:rPr>
          <w:rFonts w:ascii="Times New Roman" w:hAnsi="Times New Roman"/>
          <w:szCs w:val="21"/>
        </w:rPr>
        <w:t>/</w:t>
      </w:r>
      <w:r>
        <w:rPr>
          <w:rFonts w:ascii="Times New Roman" w:hAnsi="Times New Roman" w:hint="eastAsia"/>
          <w:szCs w:val="21"/>
        </w:rPr>
        <w:t>巨噬细胞的分类、表面受体和主要生物学功能；中性粒细胞的特点和功能。</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w:t>
      </w:r>
      <w:r>
        <w:rPr>
          <w:rFonts w:ascii="Times New Roman" w:hAnsi="Times New Roman"/>
          <w:szCs w:val="21"/>
        </w:rPr>
        <w:t>NK</w:t>
      </w:r>
      <w:r>
        <w:rPr>
          <w:rFonts w:ascii="Times New Roman" w:hAnsi="Times New Roman" w:hint="eastAsia"/>
          <w:szCs w:val="21"/>
        </w:rPr>
        <w:t>细胞：</w:t>
      </w:r>
      <w:r>
        <w:rPr>
          <w:rFonts w:ascii="Times New Roman" w:hAnsi="Times New Roman"/>
          <w:szCs w:val="21"/>
        </w:rPr>
        <w:t>NK</w:t>
      </w:r>
      <w:r>
        <w:rPr>
          <w:rFonts w:ascii="Times New Roman" w:hAnsi="Times New Roman" w:hint="eastAsia"/>
          <w:szCs w:val="21"/>
        </w:rPr>
        <w:t>细胞的来源、分布、表面标志、功能、作用特点和杀伤机制；杀伤活化受体和杀伤抑制受体的种类及</w:t>
      </w:r>
      <w:r>
        <w:rPr>
          <w:rFonts w:ascii="Times New Roman" w:hAnsi="Times New Roman"/>
          <w:szCs w:val="21"/>
        </w:rPr>
        <w:t>NK</w:t>
      </w:r>
      <w:r>
        <w:rPr>
          <w:rFonts w:ascii="Times New Roman" w:hAnsi="Times New Roman" w:hint="eastAsia"/>
          <w:szCs w:val="21"/>
        </w:rPr>
        <w:t>细胞活性的调节（即</w:t>
      </w:r>
      <w:r>
        <w:rPr>
          <w:rFonts w:ascii="Times New Roman" w:hAnsi="Times New Roman"/>
          <w:szCs w:val="21"/>
        </w:rPr>
        <w:t>NK</w:t>
      </w:r>
      <w:r>
        <w:rPr>
          <w:rFonts w:ascii="Times New Roman" w:hAnsi="Times New Roman" w:hint="eastAsia"/>
          <w:szCs w:val="21"/>
        </w:rPr>
        <w:t>细胞识别</w:t>
      </w:r>
      <w:r>
        <w:rPr>
          <w:rFonts w:ascii="Times New Roman" w:hAnsi="Times New Roman"/>
          <w:szCs w:val="21"/>
        </w:rPr>
        <w:t>“</w:t>
      </w:r>
      <w:r>
        <w:rPr>
          <w:rFonts w:ascii="Times New Roman" w:hAnsi="Times New Roman" w:hint="eastAsia"/>
          <w:szCs w:val="21"/>
        </w:rPr>
        <w:t>自己</w:t>
      </w:r>
      <w:r>
        <w:rPr>
          <w:rFonts w:ascii="Times New Roman" w:hAnsi="Times New Roman"/>
          <w:szCs w:val="21"/>
        </w:rPr>
        <w:t>”</w:t>
      </w:r>
      <w:r>
        <w:rPr>
          <w:rFonts w:ascii="Times New Roman" w:hAnsi="Times New Roman" w:hint="eastAsia"/>
          <w:szCs w:val="21"/>
        </w:rPr>
        <w:t>和</w:t>
      </w:r>
      <w:r>
        <w:rPr>
          <w:rFonts w:ascii="Times New Roman" w:hAnsi="Times New Roman"/>
          <w:szCs w:val="21"/>
        </w:rPr>
        <w:t>“</w:t>
      </w:r>
      <w:r>
        <w:rPr>
          <w:rFonts w:ascii="Times New Roman" w:hAnsi="Times New Roman" w:hint="eastAsia"/>
          <w:szCs w:val="21"/>
        </w:rPr>
        <w:t>非己</w:t>
      </w:r>
      <w:r>
        <w:rPr>
          <w:rFonts w:ascii="Times New Roman" w:hAnsi="Times New Roman"/>
          <w:szCs w:val="21"/>
        </w:rPr>
        <w:t>”</w:t>
      </w:r>
      <w:r>
        <w:rPr>
          <w:rFonts w:ascii="Times New Roman" w:hAnsi="Times New Roman" w:hint="eastAsia"/>
          <w:szCs w:val="21"/>
        </w:rPr>
        <w:t>的机制）</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．固有样淋巴细胞：</w:t>
      </w:r>
      <w:r>
        <w:rPr>
          <w:rFonts w:ascii="Times New Roman" w:hAnsi="Times New Roman"/>
          <w:szCs w:val="21"/>
        </w:rPr>
        <w:t>NKT</w:t>
      </w:r>
      <w:r>
        <w:rPr>
          <w:rFonts w:ascii="Times New Roman" w:hAnsi="Times New Roman" w:hint="eastAsia"/>
          <w:szCs w:val="21"/>
        </w:rPr>
        <w:t>细胞表面标志、分布、抗原识别受体及生物学活性；</w:t>
      </w:r>
      <w:r>
        <w:rPr>
          <w:rFonts w:ascii="Times New Roman" w:hAnsi="Times New Roman"/>
          <w:szCs w:val="21"/>
        </w:rPr>
        <w:t>γδT</w:t>
      </w:r>
      <w:r>
        <w:rPr>
          <w:rFonts w:ascii="Times New Roman" w:hAnsi="Times New Roman" w:hint="eastAsia"/>
          <w:szCs w:val="21"/>
        </w:rPr>
        <w:t>细胞的表面标志、分布、</w:t>
      </w:r>
      <w:r>
        <w:rPr>
          <w:rFonts w:ascii="Times New Roman" w:hAnsi="Times New Roman"/>
          <w:szCs w:val="21"/>
        </w:rPr>
        <w:t>TCR</w:t>
      </w:r>
      <w:r>
        <w:rPr>
          <w:rFonts w:ascii="Times New Roman" w:hAnsi="Times New Roman" w:hint="eastAsia"/>
          <w:szCs w:val="21"/>
        </w:rPr>
        <w:t>特点及生物学活性；其它固有免疫细胞（嗜酸性粒细胞、嗜碱性粒细胞和肥大细胞）。</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7</w:t>
      </w:r>
      <w:r>
        <w:rPr>
          <w:rFonts w:ascii="Times New Roman" w:hAnsi="Times New Roman" w:hint="eastAsia"/>
          <w:szCs w:val="21"/>
        </w:rPr>
        <w:t>．固有免疫应答及其与适应性免疫应答的关系：固有免疫的应答特点；固有免疫应答的作用时相（即刻固有免疫应答阶段、早期诱导的固有应答阶段、适应性免疫应答启动阶段）；固有免疫应答与适应性免疫应答的关系。</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lastRenderedPageBreak/>
        <w:t>第十五章</w:t>
      </w:r>
      <w:r>
        <w:rPr>
          <w:rFonts w:ascii="Times New Roman" w:hAnsi="Times New Roman"/>
          <w:b/>
          <w:szCs w:val="21"/>
        </w:rPr>
        <w:t xml:space="preserve"> </w:t>
      </w:r>
      <w:r>
        <w:rPr>
          <w:rFonts w:ascii="Times New Roman" w:hAnsi="Times New Roman" w:hint="eastAsia"/>
          <w:b/>
          <w:szCs w:val="21"/>
        </w:rPr>
        <w:t>免疫耐受</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．掌握免疫耐受和耐受原的概念。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．了解免疫耐受形成的因素。</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．掌握中枢耐受与外周耐受的概念，熟悉中枢耐受和外周耐受的形成机制。</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．了解如何建立和打破免疫耐受及其在临床中的意义。</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．免疫耐受概述：免疫耐受和耐受原的概念，免疫耐受的特点及其与免疫抑制的区别。</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．免疫耐受的形成：（</w:t>
      </w:r>
      <w:r>
        <w:rPr>
          <w:rFonts w:ascii="Times New Roman" w:hAnsi="Times New Roman"/>
          <w:szCs w:val="21"/>
        </w:rPr>
        <w:t>1</w:t>
      </w:r>
      <w:r>
        <w:rPr>
          <w:rFonts w:ascii="Times New Roman" w:hAnsi="Times New Roman" w:hint="eastAsia"/>
          <w:szCs w:val="21"/>
        </w:rPr>
        <w:t>）胚胎期及新生期接触抗原所致的免疫耐受：胚胎嵌合体形成中的免疫耐受，新生期人工诱导的免疫耐受；（</w:t>
      </w:r>
      <w:r>
        <w:rPr>
          <w:rFonts w:ascii="Times New Roman" w:hAnsi="Times New Roman"/>
          <w:szCs w:val="21"/>
        </w:rPr>
        <w:t>2</w:t>
      </w:r>
      <w:r>
        <w:rPr>
          <w:rFonts w:ascii="Times New Roman" w:hAnsi="Times New Roman" w:hint="eastAsia"/>
          <w:szCs w:val="21"/>
        </w:rPr>
        <w:t>）后天接触抗原导致的免疫耐受：包括抗原因素（抗原剂量、类型及剂型、免疫途径、持续存在、表位特点）和机体因素（年龄及发育阶段、生理状态、遗传背景）。</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．免疫耐受机制：（</w:t>
      </w:r>
      <w:r>
        <w:rPr>
          <w:rFonts w:ascii="Times New Roman" w:hAnsi="Times New Roman"/>
          <w:szCs w:val="21"/>
        </w:rPr>
        <w:t>1</w:t>
      </w:r>
      <w:r>
        <w:rPr>
          <w:rFonts w:ascii="Times New Roman" w:hAnsi="Times New Roman" w:hint="eastAsia"/>
          <w:szCs w:val="21"/>
        </w:rPr>
        <w:t>）中枢耐受和外周耐受的概念；（</w:t>
      </w:r>
      <w:r>
        <w:rPr>
          <w:rFonts w:ascii="Times New Roman" w:hAnsi="Times New Roman"/>
          <w:szCs w:val="21"/>
        </w:rPr>
        <w:t>2</w:t>
      </w:r>
      <w:r>
        <w:rPr>
          <w:rFonts w:ascii="Times New Roman" w:hAnsi="Times New Roman" w:hint="eastAsia"/>
          <w:szCs w:val="21"/>
        </w:rPr>
        <w:t>）中枢耐受的机制：包括</w:t>
      </w:r>
      <w:r>
        <w:rPr>
          <w:rFonts w:ascii="Times New Roman" w:hAnsi="Times New Roman"/>
          <w:szCs w:val="21"/>
        </w:rPr>
        <w:t>T</w:t>
      </w:r>
      <w:r>
        <w:rPr>
          <w:rFonts w:ascii="Times New Roman" w:hAnsi="Times New Roman" w:hint="eastAsia"/>
          <w:szCs w:val="21"/>
        </w:rPr>
        <w:t>细胞中枢耐受的建立和</w:t>
      </w:r>
      <w:r>
        <w:rPr>
          <w:rFonts w:ascii="Times New Roman" w:hAnsi="Times New Roman"/>
          <w:szCs w:val="21"/>
        </w:rPr>
        <w:t>B</w:t>
      </w:r>
      <w:r>
        <w:rPr>
          <w:rFonts w:ascii="Times New Roman" w:hAnsi="Times New Roman" w:hint="eastAsia"/>
          <w:szCs w:val="21"/>
        </w:rPr>
        <w:t>细胞中枢耐受的建立；（</w:t>
      </w:r>
      <w:r>
        <w:rPr>
          <w:rFonts w:ascii="Times New Roman" w:hAnsi="Times New Roman"/>
          <w:szCs w:val="21"/>
        </w:rPr>
        <w:t>3</w:t>
      </w:r>
      <w:r>
        <w:rPr>
          <w:rFonts w:ascii="Times New Roman" w:hAnsi="Times New Roman" w:hint="eastAsia"/>
          <w:szCs w:val="21"/>
        </w:rPr>
        <w:t>）外周耐受的机制：包括克隆清除、免疫忽视、克隆失能、免疫调节细胞的作用以及免疫豁免部位的抗原在生理条件下不引起免疫应答。</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．免疫耐受与临床医学：诱导免疫耐受和打破免疫耐受的方法及其临床意义。</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第十六章</w:t>
      </w:r>
      <w:r>
        <w:rPr>
          <w:rFonts w:ascii="Times New Roman" w:hAnsi="Times New Roman"/>
          <w:b/>
          <w:szCs w:val="21"/>
        </w:rPr>
        <w:t xml:space="preserve"> </w:t>
      </w:r>
      <w:r>
        <w:rPr>
          <w:rFonts w:ascii="Times New Roman" w:hAnsi="Times New Roman" w:hint="eastAsia"/>
          <w:b/>
          <w:szCs w:val="21"/>
        </w:rPr>
        <w:t>免疫调节</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．掌握免疫调节的概念。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．了解免疫分子的免疫调节作用。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．熟悉调节性</w:t>
      </w:r>
      <w:r>
        <w:rPr>
          <w:rFonts w:ascii="Times New Roman" w:hAnsi="Times New Roman"/>
          <w:szCs w:val="21"/>
        </w:rPr>
        <w:t>T</w:t>
      </w:r>
      <w:r>
        <w:rPr>
          <w:rFonts w:ascii="Times New Roman" w:hAnsi="Times New Roman" w:hint="eastAsia"/>
          <w:szCs w:val="21"/>
        </w:rPr>
        <w:t>细胞与</w:t>
      </w:r>
      <w:r>
        <w:rPr>
          <w:rFonts w:ascii="Times New Roman" w:hAnsi="Times New Roman"/>
          <w:szCs w:val="21"/>
        </w:rPr>
        <w:t>Th1/Th2/Th17</w:t>
      </w:r>
      <w:r>
        <w:rPr>
          <w:rFonts w:ascii="Times New Roman" w:hAnsi="Times New Roman" w:hint="eastAsia"/>
          <w:szCs w:val="21"/>
        </w:rPr>
        <w:t>的免疫调节作用。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．掌握活化诱导的细胞死亡的概念及调节，了解免疫</w:t>
      </w:r>
      <w:r>
        <w:rPr>
          <w:rFonts w:ascii="Times New Roman" w:hAnsi="Times New Roman"/>
          <w:szCs w:val="21"/>
        </w:rPr>
        <w:t>-</w:t>
      </w:r>
      <w:r>
        <w:rPr>
          <w:rFonts w:ascii="Times New Roman" w:hAnsi="Times New Roman" w:hint="eastAsia"/>
          <w:szCs w:val="21"/>
        </w:rPr>
        <w:t>内分泌</w:t>
      </w:r>
      <w:r>
        <w:rPr>
          <w:rFonts w:ascii="Times New Roman" w:hAnsi="Times New Roman"/>
          <w:szCs w:val="21"/>
        </w:rPr>
        <w:t>-</w:t>
      </w:r>
      <w:r>
        <w:rPr>
          <w:rFonts w:ascii="Times New Roman" w:hAnsi="Times New Roman" w:hint="eastAsia"/>
          <w:szCs w:val="21"/>
        </w:rPr>
        <w:t>神经系统的相互作用和调节以及免疫应答的遗传控制。</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．免疫调节的概念和特点。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．免疫分子的免疫调节作用：（</w:t>
      </w:r>
      <w:r>
        <w:rPr>
          <w:rFonts w:ascii="Times New Roman" w:hAnsi="Times New Roman"/>
          <w:szCs w:val="21"/>
        </w:rPr>
        <w:t>1</w:t>
      </w:r>
      <w:r>
        <w:rPr>
          <w:rFonts w:ascii="Times New Roman" w:hAnsi="Times New Roman" w:hint="eastAsia"/>
          <w:szCs w:val="21"/>
        </w:rPr>
        <w:t>）免疫复合物及独特型网络的免疫调节作用；（</w:t>
      </w:r>
      <w:r>
        <w:rPr>
          <w:rFonts w:ascii="Times New Roman" w:hAnsi="Times New Roman"/>
          <w:szCs w:val="21"/>
        </w:rPr>
        <w:t>2</w:t>
      </w:r>
      <w:r>
        <w:rPr>
          <w:rFonts w:ascii="Times New Roman" w:hAnsi="Times New Roman" w:hint="eastAsia"/>
          <w:szCs w:val="21"/>
        </w:rPr>
        <w:t>）炎症因子的反馈调节作用；（</w:t>
      </w:r>
      <w:r>
        <w:rPr>
          <w:rFonts w:ascii="Times New Roman" w:hAnsi="Times New Roman"/>
          <w:szCs w:val="21"/>
        </w:rPr>
        <w:t>3</w:t>
      </w:r>
      <w:r>
        <w:rPr>
          <w:rFonts w:ascii="Times New Roman" w:hAnsi="Times New Roman" w:hint="eastAsia"/>
          <w:szCs w:val="21"/>
        </w:rPr>
        <w:t>）补体的调节作用；（</w:t>
      </w:r>
      <w:r>
        <w:rPr>
          <w:rFonts w:ascii="Times New Roman" w:hAnsi="Times New Roman"/>
          <w:szCs w:val="21"/>
        </w:rPr>
        <w:t>4</w:t>
      </w:r>
      <w:r>
        <w:rPr>
          <w:rFonts w:ascii="Times New Roman" w:hAnsi="Times New Roman" w:hint="eastAsia"/>
          <w:szCs w:val="21"/>
        </w:rPr>
        <w:t>）免疫细胞表面的活化性受体和抑制性受体的免疫调节（</w:t>
      </w:r>
      <w:r>
        <w:rPr>
          <w:rFonts w:ascii="Times New Roman" w:hAnsi="Times New Roman"/>
          <w:szCs w:val="21"/>
        </w:rPr>
        <w:t>CTLA-4</w:t>
      </w:r>
      <w:r>
        <w:rPr>
          <w:rFonts w:ascii="Times New Roman" w:hAnsi="Times New Roman" w:hint="eastAsia"/>
          <w:szCs w:val="21"/>
        </w:rPr>
        <w:t>及应用；</w:t>
      </w:r>
      <w:r>
        <w:rPr>
          <w:rFonts w:ascii="Times New Roman" w:hAnsi="Times New Roman"/>
          <w:szCs w:val="21"/>
        </w:rPr>
        <w:t>B</w:t>
      </w:r>
      <w:r>
        <w:rPr>
          <w:rFonts w:ascii="Times New Roman" w:hAnsi="Times New Roman" w:hint="eastAsia"/>
          <w:szCs w:val="21"/>
        </w:rPr>
        <w:t>细胞的</w:t>
      </w:r>
      <w:r>
        <w:rPr>
          <w:rFonts w:ascii="Times New Roman" w:hAnsi="Times New Roman"/>
          <w:szCs w:val="21"/>
        </w:rPr>
        <w:t>FcγR</w:t>
      </w:r>
      <w:r>
        <w:rPr>
          <w:rFonts w:ascii="宋体" w:hAnsi="宋体" w:cs="宋体" w:hint="eastAsia"/>
          <w:szCs w:val="21"/>
        </w:rPr>
        <w:t>Ⅱ</w:t>
      </w:r>
      <w:r>
        <w:rPr>
          <w:rFonts w:ascii="Times New Roman" w:hAnsi="Times New Roman"/>
          <w:szCs w:val="21"/>
        </w:rPr>
        <w:t>-B</w:t>
      </w:r>
      <w:r>
        <w:rPr>
          <w:rFonts w:ascii="Times New Roman" w:hAnsi="Times New Roman" w:hint="eastAsia"/>
          <w:szCs w:val="21"/>
        </w:rPr>
        <w:t>、</w:t>
      </w:r>
      <w:r>
        <w:rPr>
          <w:rFonts w:ascii="Times New Roman" w:hAnsi="Times New Roman"/>
          <w:szCs w:val="21"/>
        </w:rPr>
        <w:t>NK</w:t>
      </w:r>
      <w:r>
        <w:rPr>
          <w:rFonts w:ascii="Times New Roman" w:hAnsi="Times New Roman" w:hint="eastAsia"/>
          <w:szCs w:val="21"/>
        </w:rPr>
        <w:t>细胞的</w:t>
      </w:r>
      <w:r>
        <w:rPr>
          <w:rFonts w:ascii="Times New Roman" w:hAnsi="Times New Roman"/>
          <w:szCs w:val="21"/>
        </w:rPr>
        <w:t>KIR</w:t>
      </w:r>
      <w:r>
        <w:rPr>
          <w:rFonts w:ascii="Times New Roman" w:hAnsi="Times New Roman" w:hint="eastAsia"/>
          <w:szCs w:val="21"/>
        </w:rPr>
        <w:t>和</w:t>
      </w:r>
      <w:r>
        <w:rPr>
          <w:rFonts w:ascii="Times New Roman" w:hAnsi="Times New Roman"/>
          <w:szCs w:val="21"/>
        </w:rPr>
        <w:t>KAR</w:t>
      </w:r>
      <w:r>
        <w:rPr>
          <w:rFonts w:ascii="Times New Roman" w:hAnsi="Times New Roman" w:hint="eastAsia"/>
          <w:szCs w:val="21"/>
        </w:rPr>
        <w:t>）的调节作用。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．免疫细胞的免疫调节作用：（</w:t>
      </w:r>
      <w:r>
        <w:rPr>
          <w:rFonts w:ascii="Times New Roman" w:hAnsi="Times New Roman"/>
          <w:szCs w:val="21"/>
        </w:rPr>
        <w:t>1</w:t>
      </w:r>
      <w:r>
        <w:rPr>
          <w:rFonts w:ascii="Times New Roman" w:hAnsi="Times New Roman" w:hint="eastAsia"/>
          <w:szCs w:val="21"/>
        </w:rPr>
        <w:t>）调节性</w:t>
      </w:r>
      <w:r>
        <w:rPr>
          <w:rFonts w:ascii="Times New Roman" w:hAnsi="Times New Roman"/>
          <w:szCs w:val="21"/>
        </w:rPr>
        <w:t>T</w:t>
      </w:r>
      <w:r>
        <w:rPr>
          <w:rFonts w:ascii="Times New Roman" w:hAnsi="Times New Roman" w:hint="eastAsia"/>
          <w:szCs w:val="21"/>
        </w:rPr>
        <w:t>细胞的免疫调节作用；（</w:t>
      </w:r>
      <w:r>
        <w:rPr>
          <w:rFonts w:ascii="Times New Roman" w:hAnsi="Times New Roman"/>
          <w:szCs w:val="21"/>
        </w:rPr>
        <w:t>2</w:t>
      </w:r>
      <w:r>
        <w:rPr>
          <w:rFonts w:ascii="Times New Roman" w:hAnsi="Times New Roman" w:hint="eastAsia"/>
          <w:szCs w:val="21"/>
        </w:rPr>
        <w:t>）</w:t>
      </w:r>
      <w:r>
        <w:rPr>
          <w:rFonts w:ascii="Times New Roman" w:hAnsi="Times New Roman"/>
          <w:szCs w:val="21"/>
        </w:rPr>
        <w:t>Th1</w:t>
      </w:r>
      <w:r>
        <w:rPr>
          <w:rFonts w:ascii="Times New Roman" w:hAnsi="Times New Roman" w:hint="eastAsia"/>
          <w:szCs w:val="21"/>
        </w:rPr>
        <w:t>、</w:t>
      </w:r>
      <w:r>
        <w:rPr>
          <w:rFonts w:ascii="Times New Roman" w:hAnsi="Times New Roman"/>
          <w:szCs w:val="21"/>
        </w:rPr>
        <w:t>Th2</w:t>
      </w:r>
      <w:r>
        <w:rPr>
          <w:rFonts w:ascii="Times New Roman" w:hAnsi="Times New Roman" w:hint="eastAsia"/>
          <w:szCs w:val="21"/>
        </w:rPr>
        <w:t>和</w:t>
      </w:r>
      <w:r>
        <w:rPr>
          <w:rFonts w:ascii="Times New Roman" w:hAnsi="Times New Roman"/>
          <w:szCs w:val="21"/>
        </w:rPr>
        <w:t>Th17</w:t>
      </w:r>
      <w:r>
        <w:rPr>
          <w:rFonts w:ascii="Times New Roman" w:hAnsi="Times New Roman" w:hint="eastAsia"/>
          <w:szCs w:val="21"/>
        </w:rPr>
        <w:t>的免疫调节作用。</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．其他形式的免疫调节：（</w:t>
      </w:r>
      <w:r>
        <w:rPr>
          <w:rFonts w:ascii="Times New Roman" w:hAnsi="Times New Roman"/>
          <w:szCs w:val="21"/>
        </w:rPr>
        <w:t>1</w:t>
      </w:r>
      <w:r>
        <w:rPr>
          <w:rFonts w:ascii="Times New Roman" w:hAnsi="Times New Roman" w:hint="eastAsia"/>
          <w:szCs w:val="21"/>
        </w:rPr>
        <w:t>）</w:t>
      </w:r>
      <w:r>
        <w:rPr>
          <w:rFonts w:ascii="Times New Roman" w:hAnsi="Times New Roman"/>
          <w:szCs w:val="21"/>
        </w:rPr>
        <w:t>AICD</w:t>
      </w:r>
      <w:r>
        <w:rPr>
          <w:rFonts w:ascii="Times New Roman" w:hAnsi="Times New Roman" w:hint="eastAsia"/>
          <w:szCs w:val="21"/>
        </w:rPr>
        <w:t>的概念、调节机制及其临床意义；（</w:t>
      </w:r>
      <w:r>
        <w:rPr>
          <w:rFonts w:ascii="Times New Roman" w:hAnsi="Times New Roman"/>
          <w:szCs w:val="21"/>
        </w:rPr>
        <w:t>2</w:t>
      </w:r>
      <w:r>
        <w:rPr>
          <w:rFonts w:ascii="Times New Roman" w:hAnsi="Times New Roman" w:hint="eastAsia"/>
          <w:szCs w:val="21"/>
        </w:rPr>
        <w:t>）免疫</w:t>
      </w:r>
      <w:r>
        <w:rPr>
          <w:rFonts w:ascii="Times New Roman" w:hAnsi="Times New Roman"/>
          <w:szCs w:val="21"/>
        </w:rPr>
        <w:t>-</w:t>
      </w:r>
      <w:r>
        <w:rPr>
          <w:rFonts w:ascii="Times New Roman" w:hAnsi="Times New Roman" w:hint="eastAsia"/>
          <w:szCs w:val="21"/>
        </w:rPr>
        <w:t>内分泌</w:t>
      </w:r>
      <w:r>
        <w:rPr>
          <w:rFonts w:ascii="Times New Roman" w:hAnsi="Times New Roman"/>
          <w:szCs w:val="21"/>
        </w:rPr>
        <w:t>-</w:t>
      </w:r>
      <w:r>
        <w:rPr>
          <w:rFonts w:ascii="Times New Roman" w:hAnsi="Times New Roman" w:hint="eastAsia"/>
          <w:szCs w:val="21"/>
        </w:rPr>
        <w:t>神经系统的相互作用和调节；（</w:t>
      </w:r>
      <w:r>
        <w:rPr>
          <w:rFonts w:ascii="Times New Roman" w:hAnsi="Times New Roman"/>
          <w:szCs w:val="21"/>
        </w:rPr>
        <w:t>3</w:t>
      </w:r>
      <w:r>
        <w:rPr>
          <w:rFonts w:ascii="Times New Roman" w:hAnsi="Times New Roman" w:hint="eastAsia"/>
          <w:szCs w:val="21"/>
        </w:rPr>
        <w:t>）免疫应答的遗传控制。</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lastRenderedPageBreak/>
        <w:t>第十七章</w:t>
      </w:r>
      <w:r>
        <w:rPr>
          <w:rFonts w:ascii="Times New Roman" w:hAnsi="Times New Roman"/>
          <w:b/>
          <w:szCs w:val="21"/>
        </w:rPr>
        <w:t xml:space="preserve"> </w:t>
      </w:r>
      <w:r>
        <w:rPr>
          <w:rFonts w:ascii="Times New Roman" w:hAnsi="Times New Roman" w:hint="eastAsia"/>
          <w:b/>
          <w:szCs w:val="21"/>
        </w:rPr>
        <w:t>超敏反应</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．掌握超敏反应概念和类型。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．掌握四型超敏反应发生的机制和特点，掌握变应原的概念。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．熟悉各型超敏反应的临床常见疾病、</w:t>
      </w:r>
      <w:r>
        <w:rPr>
          <w:rFonts w:ascii="宋体" w:hAnsi="宋体" w:cs="宋体" w:hint="eastAsia"/>
          <w:szCs w:val="21"/>
        </w:rPr>
        <w:t>Ⅰ</w:t>
      </w:r>
      <w:r>
        <w:rPr>
          <w:rFonts w:ascii="Times New Roman" w:hAnsi="Times New Roman" w:hint="eastAsia"/>
          <w:szCs w:val="21"/>
        </w:rPr>
        <w:t>型超敏反应的防治原则。</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．超敏反应的概念和分型。</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宋体" w:hAnsi="宋体" w:cs="宋体" w:hint="eastAsia"/>
          <w:szCs w:val="21"/>
        </w:rPr>
        <w:t>Ⅰ</w:t>
      </w:r>
      <w:r>
        <w:rPr>
          <w:rFonts w:ascii="Times New Roman" w:hAnsi="Times New Roman" w:hint="eastAsia"/>
          <w:szCs w:val="21"/>
        </w:rPr>
        <w:t>型超敏反应：特点，主要参与成分（包括变应原、</w:t>
      </w:r>
      <w:r>
        <w:rPr>
          <w:rFonts w:ascii="Times New Roman" w:hAnsi="Times New Roman"/>
          <w:szCs w:val="21"/>
        </w:rPr>
        <w:t>IgE</w:t>
      </w:r>
      <w:r>
        <w:rPr>
          <w:rFonts w:ascii="Times New Roman" w:hAnsi="Times New Roman" w:hint="eastAsia"/>
          <w:szCs w:val="21"/>
        </w:rPr>
        <w:t>及其受体、肥大细胞、嗜碱性粒细胞和嗜酸性粒细胞），发生过程和发生机制，影响因素（遗传与环境因素），临床常见疾病，防治原则（避免接触变应原、脱敏疗法、药物防治、免疫生物疗法）。</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w:t>
      </w:r>
      <w:r>
        <w:rPr>
          <w:rFonts w:ascii="宋体" w:hAnsi="宋体" w:cs="宋体" w:hint="eastAsia"/>
          <w:szCs w:val="21"/>
        </w:rPr>
        <w:t>Ⅱ</w:t>
      </w:r>
      <w:r>
        <w:rPr>
          <w:rFonts w:ascii="Times New Roman" w:hAnsi="Times New Roman" w:hint="eastAsia"/>
          <w:szCs w:val="21"/>
        </w:rPr>
        <w:t>型超敏反应：参与的成分和细胞，发生过程和发生机制，临床常见疾病。</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w:t>
      </w:r>
      <w:r>
        <w:rPr>
          <w:rFonts w:ascii="宋体" w:hAnsi="宋体" w:cs="宋体" w:hint="eastAsia"/>
          <w:szCs w:val="21"/>
        </w:rPr>
        <w:t>Ⅲ</w:t>
      </w:r>
      <w:r>
        <w:rPr>
          <w:rFonts w:ascii="Times New Roman" w:hAnsi="Times New Roman" w:hint="eastAsia"/>
          <w:szCs w:val="21"/>
        </w:rPr>
        <w:t>型超敏反应：发生过程和发生机制，临床常见疾病。</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w:t>
      </w:r>
      <w:r>
        <w:rPr>
          <w:rFonts w:ascii="宋体" w:hAnsi="宋体" w:cs="宋体" w:hint="eastAsia"/>
          <w:szCs w:val="21"/>
        </w:rPr>
        <w:t>Ⅳ</w:t>
      </w:r>
      <w:r>
        <w:rPr>
          <w:rFonts w:ascii="Times New Roman" w:hAnsi="Times New Roman" w:hint="eastAsia"/>
          <w:szCs w:val="21"/>
        </w:rPr>
        <w:t>型超敏反应：特点，发生过程和发生机制，临床常见疾病，</w:t>
      </w:r>
      <w:r>
        <w:rPr>
          <w:rFonts w:ascii="宋体" w:hAnsi="宋体" w:cs="宋体" w:hint="eastAsia"/>
          <w:szCs w:val="21"/>
        </w:rPr>
        <w:t>Ⅳ</w:t>
      </w:r>
      <w:r>
        <w:rPr>
          <w:rFonts w:ascii="Times New Roman" w:hAnsi="Times New Roman" w:hint="eastAsia"/>
          <w:szCs w:val="21"/>
        </w:rPr>
        <w:t>型超敏反应的皮肤检测（结核菌素试验）。</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6</w:t>
      </w:r>
      <w:r>
        <w:rPr>
          <w:rFonts w:ascii="Times New Roman" w:hAnsi="Times New Roman" w:hint="eastAsia"/>
          <w:szCs w:val="21"/>
        </w:rPr>
        <w:t>．四种类型超敏反应的比较。</w:t>
      </w:r>
    </w:p>
    <w:p w:rsidR="003717A0" w:rsidRDefault="003717A0" w:rsidP="00F5156D">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rsidP="00F5156D">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t>第二十二章</w:t>
      </w:r>
      <w:r>
        <w:rPr>
          <w:rFonts w:ascii="Times New Roman" w:hAnsi="Times New Roman"/>
          <w:b/>
          <w:szCs w:val="21"/>
        </w:rPr>
        <w:t xml:space="preserve"> </w:t>
      </w:r>
      <w:r>
        <w:rPr>
          <w:rFonts w:ascii="Times New Roman" w:hAnsi="Times New Roman" w:hint="eastAsia"/>
          <w:b/>
          <w:szCs w:val="21"/>
        </w:rPr>
        <w:t>免疫学检测技术</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．熟悉抗原抗体反应特点及影响因素。</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．熟悉检测抗原或抗体的体外试验的方法和原理。</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．熟悉免疫细胞分离与功能测定的方法和原理。</w:t>
      </w:r>
    </w:p>
    <w:p w:rsidR="003717A0" w:rsidRDefault="003717A0" w:rsidP="00F5156D">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．抗原抗体反应的特点：高度特异性、表面化学基团之间的可逆结合、适宜的抗原抗体浓度和比例、抗原抗体反应的两个阶段。</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．抗原抗体反应的影响因素：电解质、温度、酸碱度。</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．检测抗原或抗体的体外试验：凝集反应（概念，直接凝集反应和间接凝集反应）；沉淀反应（单向免疫扩散和双向免疫扩散）；免疫标记技术</w:t>
      </w:r>
      <w:r>
        <w:rPr>
          <w:rFonts w:ascii="Times New Roman" w:hAnsi="Times New Roman"/>
          <w:szCs w:val="21"/>
        </w:rPr>
        <w:t>(</w:t>
      </w:r>
      <w:r>
        <w:rPr>
          <w:rFonts w:ascii="Times New Roman" w:hAnsi="Times New Roman" w:hint="eastAsia"/>
          <w:szCs w:val="21"/>
        </w:rPr>
        <w:t>免疫酶测定法、免疫荧光技术、放射免疫测定法、发光免疫分析、免疫胶体金技术、免疫印迹技术</w:t>
      </w:r>
      <w:r>
        <w:rPr>
          <w:rFonts w:ascii="Times New Roman" w:hAnsi="Times New Roman"/>
          <w:szCs w:val="21"/>
        </w:rPr>
        <w:t>)</w:t>
      </w:r>
      <w:r>
        <w:rPr>
          <w:rFonts w:ascii="Times New Roman" w:hAnsi="Times New Roman" w:hint="eastAsia"/>
          <w:szCs w:val="21"/>
        </w:rPr>
        <w:t>；蛋白质芯片技术。</w:t>
      </w:r>
    </w:p>
    <w:p w:rsidR="003717A0" w:rsidRDefault="003717A0" w:rsidP="00F5156D">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．免疫细胞功能的测定：（</w:t>
      </w:r>
      <w:r>
        <w:rPr>
          <w:rFonts w:ascii="Times New Roman" w:hAnsi="Times New Roman"/>
          <w:szCs w:val="21"/>
        </w:rPr>
        <w:t>1</w:t>
      </w:r>
      <w:r>
        <w:rPr>
          <w:rFonts w:ascii="Times New Roman" w:hAnsi="Times New Roman" w:hint="eastAsia"/>
          <w:szCs w:val="21"/>
        </w:rPr>
        <w:t>）免疫细胞的分离：外周血单个核细胞的分离、淋巴细胞及其亚群的分离和分析（免疫吸附分离法、免疫磁珠法、荧光激活细胞分离仪分离法、抗原肽</w:t>
      </w:r>
      <w:r>
        <w:rPr>
          <w:rFonts w:ascii="Times New Roman" w:hAnsi="Times New Roman"/>
          <w:szCs w:val="21"/>
        </w:rPr>
        <w:t>-MHC</w:t>
      </w:r>
      <w:r>
        <w:rPr>
          <w:rFonts w:ascii="Times New Roman" w:hAnsi="Times New Roman" w:hint="eastAsia"/>
          <w:szCs w:val="21"/>
        </w:rPr>
        <w:t>分子四聚体技术分析</w:t>
      </w:r>
      <w:r>
        <w:rPr>
          <w:rFonts w:ascii="Times New Roman" w:hAnsi="Times New Roman"/>
          <w:szCs w:val="21"/>
        </w:rPr>
        <w:t>CTL</w:t>
      </w: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）免疫细胞功能的测定：</w:t>
      </w:r>
      <w:r>
        <w:rPr>
          <w:rFonts w:ascii="Times New Roman" w:hAnsi="Times New Roman"/>
          <w:szCs w:val="21"/>
        </w:rPr>
        <w:t>T</w:t>
      </w:r>
      <w:r>
        <w:rPr>
          <w:rFonts w:ascii="Times New Roman" w:hAnsi="Times New Roman" w:hint="eastAsia"/>
          <w:szCs w:val="21"/>
        </w:rPr>
        <w:t>细胞功能测定（</w:t>
      </w:r>
      <w:r>
        <w:rPr>
          <w:rFonts w:ascii="Times New Roman" w:hAnsi="Times New Roman"/>
          <w:szCs w:val="21"/>
        </w:rPr>
        <w:t>T</w:t>
      </w:r>
      <w:r>
        <w:rPr>
          <w:rFonts w:ascii="Times New Roman" w:hAnsi="Times New Roman" w:hint="eastAsia"/>
          <w:szCs w:val="21"/>
        </w:rPr>
        <w:t>细胞增殖试验、迟发型超敏反应的检测）；</w:t>
      </w:r>
      <w:r>
        <w:rPr>
          <w:rFonts w:ascii="Times New Roman" w:hAnsi="Times New Roman"/>
          <w:szCs w:val="21"/>
        </w:rPr>
        <w:t>B</w:t>
      </w:r>
      <w:r>
        <w:rPr>
          <w:rFonts w:ascii="Times New Roman" w:hAnsi="Times New Roman" w:hint="eastAsia"/>
          <w:szCs w:val="21"/>
        </w:rPr>
        <w:t>细胞功能测定（各类</w:t>
      </w:r>
      <w:r>
        <w:rPr>
          <w:rFonts w:ascii="Times New Roman" w:hAnsi="Times New Roman"/>
          <w:szCs w:val="21"/>
        </w:rPr>
        <w:t>Ig</w:t>
      </w:r>
      <w:r>
        <w:rPr>
          <w:rFonts w:ascii="Times New Roman" w:hAnsi="Times New Roman" w:hint="eastAsia"/>
          <w:szCs w:val="21"/>
        </w:rPr>
        <w:t>含量的检测、抗体形成细胞测定）；细胞毒试验（</w:t>
      </w:r>
      <w:r>
        <w:rPr>
          <w:rFonts w:ascii="Times New Roman" w:hAnsi="Times New Roman"/>
          <w:szCs w:val="21"/>
        </w:rPr>
        <w:t>51Cr</w:t>
      </w:r>
      <w:r>
        <w:rPr>
          <w:rFonts w:ascii="Times New Roman" w:hAnsi="Times New Roman" w:hint="eastAsia"/>
          <w:szCs w:val="21"/>
        </w:rPr>
        <w:t>释放法、乳酸脱氢酶释放法、细胞染色法、凋亡细胞检测法）；吞噬功能测定（</w:t>
      </w:r>
      <w:r>
        <w:rPr>
          <w:rFonts w:ascii="Times New Roman" w:hAnsi="Times New Roman"/>
          <w:szCs w:val="21"/>
        </w:rPr>
        <w:t>NBT</w:t>
      </w:r>
      <w:r>
        <w:rPr>
          <w:rFonts w:ascii="Times New Roman" w:hAnsi="Times New Roman" w:hint="eastAsia"/>
          <w:szCs w:val="21"/>
        </w:rPr>
        <w:t>试验、巨噬细胞吞噬试验）；细胞因子的检测（生物活性检测法、免疫学检测法）。</w:t>
      </w:r>
    </w:p>
    <w:p w:rsidR="003717A0" w:rsidRDefault="003717A0">
      <w:pPr>
        <w:adjustRightInd w:val="0"/>
        <w:snapToGrid w:val="0"/>
        <w:spacing w:line="360" w:lineRule="auto"/>
        <w:ind w:right="6"/>
        <w:jc w:val="center"/>
        <w:rPr>
          <w:rFonts w:ascii="Times New Roman" w:hAnsi="Times New Roman"/>
          <w:b/>
          <w:szCs w:val="21"/>
        </w:rPr>
      </w:pPr>
      <w:r>
        <w:rPr>
          <w:rFonts w:ascii="Times New Roman" w:hAnsi="Times New Roman" w:hint="eastAsia"/>
          <w:b/>
          <w:szCs w:val="21"/>
        </w:rPr>
        <w:lastRenderedPageBreak/>
        <w:t>第二十三章</w:t>
      </w:r>
      <w:r>
        <w:rPr>
          <w:rFonts w:ascii="Times New Roman" w:hAnsi="Times New Roman"/>
          <w:b/>
          <w:szCs w:val="21"/>
        </w:rPr>
        <w:t xml:space="preserve"> </w:t>
      </w:r>
      <w:r>
        <w:rPr>
          <w:rFonts w:ascii="Times New Roman" w:hAnsi="Times New Roman" w:hint="eastAsia"/>
          <w:b/>
          <w:szCs w:val="21"/>
        </w:rPr>
        <w:t>免疫学防治</w:t>
      </w:r>
    </w:p>
    <w:p w:rsidR="003717A0" w:rsidRDefault="003717A0">
      <w:pPr>
        <w:adjustRightInd w:val="0"/>
        <w:snapToGrid w:val="0"/>
        <w:spacing w:line="360" w:lineRule="auto"/>
        <w:ind w:right="6"/>
        <w:rPr>
          <w:rFonts w:ascii="Times New Roman" w:hAnsi="Times New Roman"/>
          <w:b/>
          <w:szCs w:val="21"/>
        </w:rPr>
      </w:pPr>
      <w:r>
        <w:rPr>
          <w:rFonts w:ascii="Times New Roman" w:hAnsi="Times New Roman" w:hint="eastAsia"/>
          <w:b/>
          <w:szCs w:val="21"/>
        </w:rPr>
        <w:t>【教学要求】</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．掌握人工主动免疫、人工被动免疫概念及区别。</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．掌握疫苗的概念和种类，了解疫苗的基本要求、新型疫苗的种类及疫苗的应用。</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．掌握免疫治疗的概念，熟悉免疫治疗的分类。</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．熟悉分子治疗和细胞治疗常用制剂。</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．了解生物应答调节剂的概念和制品以及常用免疫抑制剂。</w:t>
      </w:r>
    </w:p>
    <w:p w:rsidR="003717A0" w:rsidRDefault="003717A0">
      <w:pPr>
        <w:adjustRightInd w:val="0"/>
        <w:snapToGrid w:val="0"/>
        <w:spacing w:line="360" w:lineRule="auto"/>
        <w:ind w:right="6"/>
        <w:rPr>
          <w:rFonts w:ascii="Times New Roman" w:hAnsi="Times New Roman"/>
          <w:b/>
          <w:szCs w:val="21"/>
        </w:rPr>
      </w:pPr>
      <w:r>
        <w:rPr>
          <w:rFonts w:ascii="Times New Roman" w:hAnsi="Times New Roman" w:hint="eastAsia"/>
          <w:b/>
          <w:szCs w:val="21"/>
        </w:rPr>
        <w:t>【教学内容】</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1</w:t>
      </w:r>
      <w:r>
        <w:rPr>
          <w:rFonts w:ascii="Times New Roman" w:hAnsi="Times New Roman" w:hint="eastAsia"/>
          <w:szCs w:val="21"/>
        </w:rPr>
        <w:t>．免疫预防概述：（</w:t>
      </w:r>
      <w:r>
        <w:rPr>
          <w:rFonts w:ascii="Times New Roman" w:hAnsi="Times New Roman"/>
          <w:szCs w:val="21"/>
        </w:rPr>
        <w:t>1</w:t>
      </w:r>
      <w:r>
        <w:rPr>
          <w:rFonts w:ascii="Times New Roman" w:hAnsi="Times New Roman" w:hint="eastAsia"/>
          <w:szCs w:val="21"/>
        </w:rPr>
        <w:t>）适应性免疫获得的方式：自然免疫和人工免疫。（</w:t>
      </w:r>
      <w:r>
        <w:rPr>
          <w:rFonts w:ascii="Times New Roman" w:hAnsi="Times New Roman"/>
          <w:szCs w:val="21"/>
        </w:rPr>
        <w:t>2</w:t>
      </w:r>
      <w:r>
        <w:rPr>
          <w:rFonts w:ascii="Times New Roman" w:hAnsi="Times New Roman" w:hint="eastAsia"/>
          <w:szCs w:val="21"/>
        </w:rPr>
        <w:t>）人工免疫的类型：人工主动免疫和人工被动免疫的概念与区别，疫苗的概念。</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2</w:t>
      </w:r>
      <w:r>
        <w:rPr>
          <w:rFonts w:ascii="Times New Roman" w:hAnsi="Times New Roman" w:hint="eastAsia"/>
          <w:szCs w:val="21"/>
        </w:rPr>
        <w:t>．疫苗的基本要求：安全、有效、实用。</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3</w:t>
      </w:r>
      <w:r>
        <w:rPr>
          <w:rFonts w:ascii="Times New Roman" w:hAnsi="Times New Roman" w:hint="eastAsia"/>
          <w:szCs w:val="21"/>
        </w:rPr>
        <w:t>．疫苗的种类、发展和应用：种类（包括灭活疫苗、减毒活疫苗、类毒素、亚单位疫苗、结合疫苗、</w:t>
      </w:r>
      <w:r>
        <w:rPr>
          <w:rFonts w:ascii="Times New Roman" w:hAnsi="Times New Roman"/>
          <w:szCs w:val="21"/>
        </w:rPr>
        <w:t>DNA</w:t>
      </w:r>
      <w:r>
        <w:rPr>
          <w:rFonts w:ascii="Times New Roman" w:hAnsi="Times New Roman" w:hint="eastAsia"/>
          <w:szCs w:val="21"/>
        </w:rPr>
        <w:t>疫苗、重组载体疫苗）；新型疫苗（合成肽疫苗、食用疫苗、黏膜疫苗、透皮疫苗、治疗性疫苗等）；佐剂；疫苗的应用。</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4</w:t>
      </w:r>
      <w:r>
        <w:rPr>
          <w:rFonts w:ascii="Times New Roman" w:hAnsi="Times New Roman" w:hint="eastAsia"/>
          <w:szCs w:val="21"/>
        </w:rPr>
        <w:t>．免疫治疗的概念。</w:t>
      </w:r>
    </w:p>
    <w:p w:rsidR="003717A0" w:rsidRDefault="003717A0">
      <w:pPr>
        <w:adjustRightInd w:val="0"/>
        <w:snapToGrid w:val="0"/>
        <w:spacing w:line="360" w:lineRule="auto"/>
        <w:ind w:right="6" w:firstLineChars="200" w:firstLine="420"/>
        <w:rPr>
          <w:rFonts w:ascii="Times New Roman" w:hAnsi="Times New Roman"/>
          <w:szCs w:val="21"/>
        </w:rPr>
      </w:pPr>
      <w:r>
        <w:rPr>
          <w:rFonts w:ascii="Times New Roman" w:hAnsi="Times New Roman"/>
          <w:szCs w:val="21"/>
        </w:rPr>
        <w:t>5</w:t>
      </w:r>
      <w:r>
        <w:rPr>
          <w:rFonts w:ascii="Times New Roman" w:hAnsi="Times New Roman" w:hint="eastAsia"/>
          <w:szCs w:val="21"/>
        </w:rPr>
        <w:t>．免疫治疗的分类：（</w:t>
      </w:r>
      <w:r>
        <w:rPr>
          <w:rFonts w:ascii="Times New Roman" w:hAnsi="Times New Roman"/>
          <w:szCs w:val="21"/>
        </w:rPr>
        <w:t>1</w:t>
      </w:r>
      <w:r>
        <w:rPr>
          <w:rFonts w:ascii="Times New Roman" w:hAnsi="Times New Roman" w:hint="eastAsia"/>
          <w:szCs w:val="21"/>
        </w:rPr>
        <w:t>）分子治疗：分子疫苗，抗体（多克隆抗体、单克隆抗体），细胞因子；（</w:t>
      </w:r>
      <w:r>
        <w:rPr>
          <w:rFonts w:ascii="Times New Roman" w:hAnsi="Times New Roman"/>
          <w:szCs w:val="21"/>
        </w:rPr>
        <w:t>2</w:t>
      </w:r>
      <w:r>
        <w:rPr>
          <w:rFonts w:ascii="Times New Roman" w:hAnsi="Times New Roman" w:hint="eastAsia"/>
          <w:szCs w:val="21"/>
        </w:rPr>
        <w:t>）细胞治疗：细胞疫苗，过继免疫细胞治疗，干细胞移植。（</w:t>
      </w:r>
      <w:r>
        <w:rPr>
          <w:rFonts w:ascii="Times New Roman" w:hAnsi="Times New Roman"/>
          <w:szCs w:val="21"/>
        </w:rPr>
        <w:t>3</w:t>
      </w:r>
      <w:r>
        <w:rPr>
          <w:rFonts w:ascii="Times New Roman" w:hAnsi="Times New Roman" w:hint="eastAsia"/>
          <w:szCs w:val="21"/>
        </w:rPr>
        <w:t>）生物应答调节剂和免疫抑制剂。</w:t>
      </w:r>
    </w:p>
    <w:p w:rsidR="003717A0" w:rsidRDefault="003717A0">
      <w:pPr>
        <w:adjustRightInd w:val="0"/>
        <w:snapToGrid w:val="0"/>
        <w:spacing w:line="360" w:lineRule="auto"/>
        <w:ind w:right="6"/>
        <w:rPr>
          <w:rFonts w:ascii="Times New Roman" w:hAnsi="Times New Roman"/>
          <w:szCs w:val="21"/>
        </w:rPr>
      </w:pPr>
      <w:r>
        <w:rPr>
          <w:rFonts w:ascii="Times New Roman"/>
          <w:b/>
          <w:szCs w:val="21"/>
        </w:rPr>
        <w:t xml:space="preserve"> </w:t>
      </w: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5245"/>
        <w:gridCol w:w="1559"/>
        <w:gridCol w:w="1418"/>
      </w:tblGrid>
      <w:tr w:rsidR="003717A0">
        <w:tc>
          <w:tcPr>
            <w:tcW w:w="817" w:type="dxa"/>
            <w:vAlign w:val="center"/>
          </w:tcPr>
          <w:p w:rsidR="003717A0" w:rsidRDefault="003717A0">
            <w:pPr>
              <w:ind w:firstLineChars="53" w:firstLine="106"/>
              <w:jc w:val="center"/>
              <w:rPr>
                <w:sz w:val="20"/>
                <w:szCs w:val="20"/>
              </w:rPr>
            </w:pPr>
            <w:r>
              <w:rPr>
                <w:rFonts w:hint="eastAsia"/>
                <w:sz w:val="20"/>
                <w:szCs w:val="20"/>
              </w:rPr>
              <w:t>序号</w:t>
            </w:r>
          </w:p>
        </w:tc>
        <w:tc>
          <w:tcPr>
            <w:tcW w:w="5245" w:type="dxa"/>
            <w:vAlign w:val="center"/>
          </w:tcPr>
          <w:p w:rsidR="003717A0" w:rsidRDefault="003717A0">
            <w:pPr>
              <w:ind w:firstLineChars="53" w:firstLine="106"/>
              <w:jc w:val="center"/>
              <w:rPr>
                <w:sz w:val="20"/>
                <w:szCs w:val="20"/>
              </w:rPr>
            </w:pPr>
            <w:r>
              <w:rPr>
                <w:rFonts w:hint="eastAsia"/>
                <w:sz w:val="20"/>
                <w:szCs w:val="20"/>
              </w:rPr>
              <w:t>授课内容</w:t>
            </w:r>
          </w:p>
        </w:tc>
        <w:tc>
          <w:tcPr>
            <w:tcW w:w="1559" w:type="dxa"/>
            <w:vAlign w:val="center"/>
          </w:tcPr>
          <w:p w:rsidR="003717A0" w:rsidRDefault="003717A0">
            <w:pPr>
              <w:ind w:firstLineChars="53" w:firstLine="106"/>
              <w:jc w:val="center"/>
              <w:rPr>
                <w:sz w:val="20"/>
                <w:szCs w:val="20"/>
              </w:rPr>
            </w:pPr>
            <w:r>
              <w:rPr>
                <w:rFonts w:hint="eastAsia"/>
                <w:sz w:val="20"/>
                <w:szCs w:val="20"/>
              </w:rPr>
              <w:t>学时</w:t>
            </w:r>
          </w:p>
        </w:tc>
        <w:tc>
          <w:tcPr>
            <w:tcW w:w="1418" w:type="dxa"/>
            <w:vAlign w:val="center"/>
          </w:tcPr>
          <w:p w:rsidR="003717A0" w:rsidRDefault="003717A0">
            <w:pPr>
              <w:ind w:firstLineChars="53" w:firstLine="106"/>
              <w:jc w:val="center"/>
              <w:rPr>
                <w:sz w:val="20"/>
                <w:szCs w:val="20"/>
              </w:rPr>
            </w:pPr>
            <w:r>
              <w:rPr>
                <w:rFonts w:hint="eastAsia"/>
                <w:sz w:val="20"/>
                <w:szCs w:val="20"/>
              </w:rPr>
              <w:t>备注</w:t>
            </w:r>
          </w:p>
        </w:tc>
      </w:tr>
      <w:tr w:rsidR="003717A0">
        <w:tc>
          <w:tcPr>
            <w:tcW w:w="817" w:type="dxa"/>
          </w:tcPr>
          <w:p w:rsidR="003717A0" w:rsidRDefault="003717A0">
            <w:pPr>
              <w:jc w:val="left"/>
              <w:rPr>
                <w:sz w:val="20"/>
                <w:szCs w:val="20"/>
              </w:rPr>
            </w:pPr>
            <w:r>
              <w:rPr>
                <w:sz w:val="20"/>
                <w:szCs w:val="20"/>
              </w:rPr>
              <w:t>1</w:t>
            </w:r>
          </w:p>
        </w:tc>
        <w:tc>
          <w:tcPr>
            <w:tcW w:w="5245" w:type="dxa"/>
          </w:tcPr>
          <w:p w:rsidR="003717A0" w:rsidRDefault="003717A0">
            <w:pPr>
              <w:ind w:firstLineChars="53" w:firstLine="106"/>
              <w:jc w:val="left"/>
              <w:rPr>
                <w:sz w:val="20"/>
                <w:szCs w:val="20"/>
              </w:rPr>
            </w:pPr>
            <w:r>
              <w:rPr>
                <w:rFonts w:hint="eastAsia"/>
                <w:sz w:val="20"/>
                <w:szCs w:val="20"/>
              </w:rPr>
              <w:t>第一章</w:t>
            </w:r>
            <w:r>
              <w:rPr>
                <w:sz w:val="20"/>
                <w:szCs w:val="20"/>
              </w:rPr>
              <w:t xml:space="preserve"> </w:t>
            </w:r>
            <w:r>
              <w:rPr>
                <w:rFonts w:hint="eastAsia"/>
                <w:sz w:val="20"/>
                <w:szCs w:val="20"/>
              </w:rPr>
              <w:t>免疫学概论</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2</w:t>
            </w:r>
          </w:p>
        </w:tc>
        <w:tc>
          <w:tcPr>
            <w:tcW w:w="5245" w:type="dxa"/>
          </w:tcPr>
          <w:p w:rsidR="003717A0" w:rsidRDefault="003717A0">
            <w:pPr>
              <w:ind w:firstLineChars="53" w:firstLine="106"/>
              <w:jc w:val="left"/>
              <w:rPr>
                <w:sz w:val="20"/>
                <w:szCs w:val="20"/>
              </w:rPr>
            </w:pPr>
            <w:r>
              <w:rPr>
                <w:rFonts w:hint="eastAsia"/>
                <w:sz w:val="20"/>
                <w:szCs w:val="20"/>
              </w:rPr>
              <w:t>第二章</w:t>
            </w:r>
            <w:r>
              <w:rPr>
                <w:sz w:val="20"/>
                <w:szCs w:val="20"/>
              </w:rPr>
              <w:t xml:space="preserve"> </w:t>
            </w:r>
            <w:r>
              <w:rPr>
                <w:rFonts w:hint="eastAsia"/>
                <w:sz w:val="20"/>
                <w:szCs w:val="20"/>
              </w:rPr>
              <w:t>免疫器官和组织</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3</w:t>
            </w:r>
          </w:p>
        </w:tc>
        <w:tc>
          <w:tcPr>
            <w:tcW w:w="5245" w:type="dxa"/>
          </w:tcPr>
          <w:p w:rsidR="003717A0" w:rsidRDefault="003717A0">
            <w:pPr>
              <w:ind w:firstLineChars="53" w:firstLine="106"/>
              <w:jc w:val="left"/>
              <w:rPr>
                <w:sz w:val="20"/>
                <w:szCs w:val="20"/>
              </w:rPr>
            </w:pPr>
            <w:r>
              <w:rPr>
                <w:rFonts w:hint="eastAsia"/>
                <w:sz w:val="20"/>
                <w:szCs w:val="20"/>
              </w:rPr>
              <w:t>第三章</w:t>
            </w:r>
            <w:r>
              <w:rPr>
                <w:sz w:val="20"/>
                <w:szCs w:val="20"/>
              </w:rPr>
              <w:t xml:space="preserve"> </w:t>
            </w:r>
            <w:r>
              <w:rPr>
                <w:rFonts w:hint="eastAsia"/>
                <w:sz w:val="20"/>
                <w:szCs w:val="20"/>
              </w:rPr>
              <w:t>抗原</w:t>
            </w:r>
          </w:p>
        </w:tc>
        <w:tc>
          <w:tcPr>
            <w:tcW w:w="1559" w:type="dxa"/>
            <w:vAlign w:val="center"/>
          </w:tcPr>
          <w:p w:rsidR="003717A0" w:rsidRDefault="003717A0">
            <w:pPr>
              <w:jc w:val="left"/>
              <w:rPr>
                <w:sz w:val="20"/>
                <w:szCs w:val="20"/>
              </w:rPr>
            </w:pPr>
            <w:r>
              <w:rPr>
                <w:sz w:val="20"/>
                <w:szCs w:val="20"/>
              </w:rPr>
              <w:t>3</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4</w:t>
            </w:r>
          </w:p>
        </w:tc>
        <w:tc>
          <w:tcPr>
            <w:tcW w:w="5245" w:type="dxa"/>
          </w:tcPr>
          <w:p w:rsidR="003717A0" w:rsidRDefault="003717A0">
            <w:pPr>
              <w:ind w:firstLineChars="53" w:firstLine="106"/>
              <w:jc w:val="left"/>
              <w:rPr>
                <w:sz w:val="20"/>
                <w:szCs w:val="20"/>
              </w:rPr>
            </w:pPr>
            <w:r>
              <w:rPr>
                <w:rFonts w:hint="eastAsia"/>
                <w:sz w:val="20"/>
                <w:szCs w:val="20"/>
              </w:rPr>
              <w:t>第四章</w:t>
            </w:r>
            <w:r>
              <w:rPr>
                <w:sz w:val="20"/>
                <w:szCs w:val="20"/>
              </w:rPr>
              <w:t xml:space="preserve"> </w:t>
            </w:r>
            <w:r>
              <w:rPr>
                <w:rFonts w:hint="eastAsia"/>
                <w:sz w:val="20"/>
                <w:szCs w:val="20"/>
              </w:rPr>
              <w:t>抗体</w:t>
            </w:r>
          </w:p>
        </w:tc>
        <w:tc>
          <w:tcPr>
            <w:tcW w:w="1559" w:type="dxa"/>
            <w:vAlign w:val="center"/>
          </w:tcPr>
          <w:p w:rsidR="003717A0" w:rsidRDefault="003717A0">
            <w:pPr>
              <w:jc w:val="left"/>
              <w:rPr>
                <w:sz w:val="20"/>
                <w:szCs w:val="20"/>
              </w:rPr>
            </w:pPr>
            <w:r>
              <w:rPr>
                <w:sz w:val="20"/>
                <w:szCs w:val="20"/>
              </w:rPr>
              <w:t>3</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5</w:t>
            </w:r>
          </w:p>
        </w:tc>
        <w:tc>
          <w:tcPr>
            <w:tcW w:w="5245" w:type="dxa"/>
          </w:tcPr>
          <w:p w:rsidR="003717A0" w:rsidRDefault="003717A0">
            <w:pPr>
              <w:ind w:firstLineChars="53" w:firstLine="106"/>
              <w:jc w:val="left"/>
              <w:rPr>
                <w:sz w:val="20"/>
                <w:szCs w:val="20"/>
              </w:rPr>
            </w:pPr>
            <w:r>
              <w:rPr>
                <w:rFonts w:hint="eastAsia"/>
                <w:sz w:val="20"/>
                <w:szCs w:val="20"/>
              </w:rPr>
              <w:t>第五章</w:t>
            </w:r>
            <w:r>
              <w:rPr>
                <w:sz w:val="20"/>
                <w:szCs w:val="20"/>
              </w:rPr>
              <w:t xml:space="preserve"> </w:t>
            </w:r>
            <w:r>
              <w:rPr>
                <w:rFonts w:hint="eastAsia"/>
                <w:sz w:val="20"/>
                <w:szCs w:val="20"/>
              </w:rPr>
              <w:t>补体系统</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6</w:t>
            </w:r>
          </w:p>
        </w:tc>
        <w:tc>
          <w:tcPr>
            <w:tcW w:w="5245" w:type="dxa"/>
          </w:tcPr>
          <w:p w:rsidR="003717A0" w:rsidRDefault="003717A0">
            <w:pPr>
              <w:ind w:firstLineChars="53" w:firstLine="106"/>
              <w:jc w:val="left"/>
              <w:rPr>
                <w:sz w:val="20"/>
                <w:szCs w:val="20"/>
              </w:rPr>
            </w:pPr>
            <w:r>
              <w:rPr>
                <w:rFonts w:hint="eastAsia"/>
                <w:sz w:val="20"/>
                <w:szCs w:val="20"/>
              </w:rPr>
              <w:t>第六章</w:t>
            </w:r>
            <w:r>
              <w:rPr>
                <w:sz w:val="20"/>
                <w:szCs w:val="20"/>
              </w:rPr>
              <w:t xml:space="preserve"> </w:t>
            </w:r>
            <w:r>
              <w:rPr>
                <w:rFonts w:hint="eastAsia"/>
                <w:sz w:val="20"/>
                <w:szCs w:val="20"/>
              </w:rPr>
              <w:t>细胞因子</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7</w:t>
            </w:r>
          </w:p>
        </w:tc>
        <w:tc>
          <w:tcPr>
            <w:tcW w:w="5245" w:type="dxa"/>
          </w:tcPr>
          <w:p w:rsidR="003717A0" w:rsidRDefault="003717A0">
            <w:pPr>
              <w:ind w:firstLineChars="53" w:firstLine="106"/>
              <w:jc w:val="left"/>
              <w:rPr>
                <w:sz w:val="20"/>
                <w:szCs w:val="20"/>
              </w:rPr>
            </w:pPr>
            <w:r>
              <w:rPr>
                <w:rFonts w:hint="eastAsia"/>
                <w:sz w:val="20"/>
                <w:szCs w:val="20"/>
              </w:rPr>
              <w:t>第七章</w:t>
            </w:r>
            <w:r>
              <w:rPr>
                <w:sz w:val="20"/>
                <w:szCs w:val="20"/>
              </w:rPr>
              <w:t xml:space="preserve"> </w:t>
            </w:r>
            <w:r>
              <w:rPr>
                <w:rFonts w:hint="eastAsia"/>
                <w:sz w:val="20"/>
                <w:szCs w:val="20"/>
              </w:rPr>
              <w:t>白细胞分化抗原和黏附分子</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8</w:t>
            </w:r>
          </w:p>
        </w:tc>
        <w:tc>
          <w:tcPr>
            <w:tcW w:w="5245" w:type="dxa"/>
          </w:tcPr>
          <w:p w:rsidR="003717A0" w:rsidRDefault="003717A0">
            <w:pPr>
              <w:ind w:firstLineChars="53" w:firstLine="106"/>
              <w:jc w:val="left"/>
              <w:rPr>
                <w:sz w:val="20"/>
                <w:szCs w:val="20"/>
              </w:rPr>
            </w:pPr>
            <w:r>
              <w:rPr>
                <w:rFonts w:hint="eastAsia"/>
                <w:sz w:val="20"/>
                <w:szCs w:val="20"/>
              </w:rPr>
              <w:t>第八章</w:t>
            </w:r>
            <w:r>
              <w:rPr>
                <w:sz w:val="20"/>
                <w:szCs w:val="20"/>
              </w:rPr>
              <w:t xml:space="preserve"> </w:t>
            </w:r>
            <w:r>
              <w:rPr>
                <w:rFonts w:hint="eastAsia"/>
                <w:sz w:val="20"/>
                <w:szCs w:val="20"/>
              </w:rPr>
              <w:t>主要组织相容性复合体</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9</w:t>
            </w:r>
          </w:p>
        </w:tc>
        <w:tc>
          <w:tcPr>
            <w:tcW w:w="5245" w:type="dxa"/>
          </w:tcPr>
          <w:p w:rsidR="003717A0" w:rsidRDefault="003717A0">
            <w:pPr>
              <w:ind w:firstLineChars="53" w:firstLine="106"/>
              <w:jc w:val="left"/>
              <w:rPr>
                <w:sz w:val="20"/>
                <w:szCs w:val="20"/>
              </w:rPr>
            </w:pPr>
            <w:r>
              <w:rPr>
                <w:rFonts w:hint="eastAsia"/>
                <w:sz w:val="20"/>
                <w:szCs w:val="20"/>
              </w:rPr>
              <w:t>第九章</w:t>
            </w:r>
            <w:r>
              <w:rPr>
                <w:sz w:val="20"/>
                <w:szCs w:val="20"/>
              </w:rPr>
              <w:t xml:space="preserve"> B</w:t>
            </w:r>
            <w:r>
              <w:rPr>
                <w:rFonts w:hint="eastAsia"/>
                <w:sz w:val="20"/>
                <w:szCs w:val="20"/>
              </w:rPr>
              <w:t>淋巴细胞</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10</w:t>
            </w:r>
          </w:p>
        </w:tc>
        <w:tc>
          <w:tcPr>
            <w:tcW w:w="5245" w:type="dxa"/>
          </w:tcPr>
          <w:p w:rsidR="003717A0" w:rsidRDefault="003717A0">
            <w:pPr>
              <w:ind w:firstLineChars="53" w:firstLine="106"/>
              <w:jc w:val="left"/>
              <w:rPr>
                <w:sz w:val="20"/>
                <w:szCs w:val="20"/>
              </w:rPr>
            </w:pPr>
            <w:r>
              <w:rPr>
                <w:rFonts w:hint="eastAsia"/>
                <w:sz w:val="20"/>
                <w:szCs w:val="20"/>
              </w:rPr>
              <w:t>第十章</w:t>
            </w:r>
            <w:r>
              <w:rPr>
                <w:sz w:val="20"/>
                <w:szCs w:val="20"/>
              </w:rPr>
              <w:t xml:space="preserve"> T</w:t>
            </w:r>
            <w:r>
              <w:rPr>
                <w:rFonts w:hint="eastAsia"/>
                <w:sz w:val="20"/>
                <w:szCs w:val="20"/>
              </w:rPr>
              <w:t>淋巴细胞</w:t>
            </w:r>
          </w:p>
        </w:tc>
        <w:tc>
          <w:tcPr>
            <w:tcW w:w="1559" w:type="dxa"/>
            <w:vAlign w:val="center"/>
          </w:tcPr>
          <w:p w:rsidR="003717A0" w:rsidRDefault="003717A0">
            <w:pPr>
              <w:jc w:val="left"/>
              <w:rPr>
                <w:sz w:val="20"/>
                <w:szCs w:val="20"/>
              </w:rPr>
            </w:pPr>
            <w:r>
              <w:rPr>
                <w:sz w:val="20"/>
                <w:szCs w:val="20"/>
              </w:rPr>
              <w:t>3</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11</w:t>
            </w:r>
          </w:p>
        </w:tc>
        <w:tc>
          <w:tcPr>
            <w:tcW w:w="5245" w:type="dxa"/>
          </w:tcPr>
          <w:p w:rsidR="003717A0" w:rsidRDefault="003717A0">
            <w:pPr>
              <w:ind w:firstLineChars="53" w:firstLine="106"/>
              <w:jc w:val="left"/>
              <w:rPr>
                <w:sz w:val="20"/>
                <w:szCs w:val="20"/>
              </w:rPr>
            </w:pPr>
            <w:r>
              <w:rPr>
                <w:rFonts w:hint="eastAsia"/>
                <w:sz w:val="20"/>
                <w:szCs w:val="20"/>
              </w:rPr>
              <w:t>第十一章</w:t>
            </w:r>
            <w:r>
              <w:rPr>
                <w:sz w:val="20"/>
                <w:szCs w:val="20"/>
              </w:rPr>
              <w:t xml:space="preserve"> </w:t>
            </w:r>
            <w:r>
              <w:rPr>
                <w:rFonts w:hint="eastAsia"/>
                <w:sz w:val="20"/>
                <w:szCs w:val="20"/>
              </w:rPr>
              <w:t>抗原提呈细胞与抗原的加工及提呈</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12</w:t>
            </w:r>
          </w:p>
        </w:tc>
        <w:tc>
          <w:tcPr>
            <w:tcW w:w="5245" w:type="dxa"/>
          </w:tcPr>
          <w:p w:rsidR="003717A0" w:rsidRDefault="003717A0">
            <w:pPr>
              <w:ind w:firstLineChars="53" w:firstLine="106"/>
              <w:jc w:val="left"/>
              <w:rPr>
                <w:sz w:val="20"/>
                <w:szCs w:val="20"/>
              </w:rPr>
            </w:pPr>
            <w:r>
              <w:rPr>
                <w:rFonts w:hint="eastAsia"/>
                <w:sz w:val="20"/>
                <w:szCs w:val="20"/>
              </w:rPr>
              <w:t>第十二章</w:t>
            </w:r>
            <w:r>
              <w:rPr>
                <w:sz w:val="20"/>
                <w:szCs w:val="20"/>
              </w:rPr>
              <w:t>T</w:t>
            </w:r>
            <w:r>
              <w:rPr>
                <w:rFonts w:hint="eastAsia"/>
                <w:sz w:val="20"/>
                <w:szCs w:val="20"/>
              </w:rPr>
              <w:t>淋巴细胞介导的适应性免疫应答</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13</w:t>
            </w:r>
          </w:p>
        </w:tc>
        <w:tc>
          <w:tcPr>
            <w:tcW w:w="5245" w:type="dxa"/>
          </w:tcPr>
          <w:p w:rsidR="003717A0" w:rsidRDefault="003717A0">
            <w:pPr>
              <w:ind w:firstLineChars="53" w:firstLine="106"/>
              <w:jc w:val="left"/>
              <w:rPr>
                <w:sz w:val="20"/>
                <w:szCs w:val="20"/>
              </w:rPr>
            </w:pPr>
            <w:r>
              <w:rPr>
                <w:rFonts w:hint="eastAsia"/>
                <w:sz w:val="20"/>
                <w:szCs w:val="20"/>
              </w:rPr>
              <w:t>第十三章</w:t>
            </w:r>
            <w:r>
              <w:rPr>
                <w:sz w:val="20"/>
                <w:szCs w:val="20"/>
              </w:rPr>
              <w:t xml:space="preserve"> B</w:t>
            </w:r>
            <w:r>
              <w:rPr>
                <w:rFonts w:hint="eastAsia"/>
                <w:sz w:val="20"/>
                <w:szCs w:val="20"/>
              </w:rPr>
              <w:t>淋巴细胞介导的特异性免疫应答</w:t>
            </w:r>
          </w:p>
        </w:tc>
        <w:tc>
          <w:tcPr>
            <w:tcW w:w="1559" w:type="dxa"/>
            <w:vAlign w:val="center"/>
          </w:tcPr>
          <w:p w:rsidR="003717A0" w:rsidRDefault="003717A0">
            <w:pPr>
              <w:jc w:val="left"/>
              <w:rPr>
                <w:sz w:val="20"/>
                <w:szCs w:val="20"/>
              </w:rPr>
            </w:pPr>
            <w:r>
              <w:rPr>
                <w:sz w:val="20"/>
                <w:szCs w:val="20"/>
              </w:rPr>
              <w:t>2</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14</w:t>
            </w:r>
          </w:p>
        </w:tc>
        <w:tc>
          <w:tcPr>
            <w:tcW w:w="5245" w:type="dxa"/>
          </w:tcPr>
          <w:p w:rsidR="003717A0" w:rsidRDefault="003717A0">
            <w:pPr>
              <w:ind w:firstLineChars="53" w:firstLine="106"/>
              <w:jc w:val="left"/>
              <w:rPr>
                <w:sz w:val="20"/>
                <w:szCs w:val="20"/>
              </w:rPr>
            </w:pPr>
            <w:r>
              <w:rPr>
                <w:rFonts w:hint="eastAsia"/>
                <w:sz w:val="20"/>
                <w:szCs w:val="20"/>
              </w:rPr>
              <w:t>第十四章</w:t>
            </w:r>
            <w:r>
              <w:rPr>
                <w:sz w:val="20"/>
                <w:szCs w:val="20"/>
              </w:rPr>
              <w:t xml:space="preserve"> </w:t>
            </w:r>
            <w:r>
              <w:rPr>
                <w:rFonts w:hint="eastAsia"/>
                <w:sz w:val="20"/>
                <w:szCs w:val="20"/>
              </w:rPr>
              <w:t>固有免疫系统及其介导的免疫应答</w:t>
            </w:r>
          </w:p>
        </w:tc>
        <w:tc>
          <w:tcPr>
            <w:tcW w:w="1559" w:type="dxa"/>
            <w:vAlign w:val="center"/>
          </w:tcPr>
          <w:p w:rsidR="003717A0" w:rsidRDefault="003717A0">
            <w:pPr>
              <w:jc w:val="left"/>
              <w:rPr>
                <w:sz w:val="20"/>
                <w:szCs w:val="20"/>
              </w:rPr>
            </w:pPr>
            <w:r>
              <w:rPr>
                <w:sz w:val="20"/>
                <w:szCs w:val="20"/>
              </w:rPr>
              <w:t>3</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lastRenderedPageBreak/>
              <w:t>15</w:t>
            </w:r>
          </w:p>
        </w:tc>
        <w:tc>
          <w:tcPr>
            <w:tcW w:w="5245" w:type="dxa"/>
          </w:tcPr>
          <w:p w:rsidR="003717A0" w:rsidRDefault="003717A0">
            <w:pPr>
              <w:ind w:firstLineChars="53" w:firstLine="106"/>
              <w:jc w:val="left"/>
              <w:rPr>
                <w:sz w:val="20"/>
                <w:szCs w:val="20"/>
              </w:rPr>
            </w:pPr>
            <w:r>
              <w:rPr>
                <w:rFonts w:hint="eastAsia"/>
                <w:sz w:val="20"/>
                <w:szCs w:val="20"/>
              </w:rPr>
              <w:t>第十五章</w:t>
            </w:r>
            <w:r>
              <w:rPr>
                <w:sz w:val="20"/>
                <w:szCs w:val="20"/>
              </w:rPr>
              <w:t xml:space="preserve"> </w:t>
            </w:r>
            <w:r>
              <w:rPr>
                <w:rFonts w:hint="eastAsia"/>
                <w:sz w:val="20"/>
                <w:szCs w:val="20"/>
              </w:rPr>
              <w:t>免疫耐受</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16</w:t>
            </w:r>
          </w:p>
        </w:tc>
        <w:tc>
          <w:tcPr>
            <w:tcW w:w="5245" w:type="dxa"/>
          </w:tcPr>
          <w:p w:rsidR="003717A0" w:rsidRDefault="003717A0">
            <w:pPr>
              <w:ind w:firstLineChars="53" w:firstLine="106"/>
              <w:jc w:val="left"/>
              <w:rPr>
                <w:sz w:val="20"/>
                <w:szCs w:val="20"/>
              </w:rPr>
            </w:pPr>
            <w:r>
              <w:rPr>
                <w:rFonts w:hint="eastAsia"/>
                <w:sz w:val="20"/>
                <w:szCs w:val="20"/>
              </w:rPr>
              <w:t>第十六章</w:t>
            </w:r>
            <w:r>
              <w:rPr>
                <w:sz w:val="20"/>
                <w:szCs w:val="20"/>
              </w:rPr>
              <w:t xml:space="preserve"> </w:t>
            </w:r>
            <w:r>
              <w:rPr>
                <w:rFonts w:hint="eastAsia"/>
                <w:sz w:val="20"/>
                <w:szCs w:val="20"/>
              </w:rPr>
              <w:t>免疫调节</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17</w:t>
            </w:r>
          </w:p>
        </w:tc>
        <w:tc>
          <w:tcPr>
            <w:tcW w:w="5245" w:type="dxa"/>
          </w:tcPr>
          <w:p w:rsidR="003717A0" w:rsidRDefault="003717A0">
            <w:pPr>
              <w:ind w:firstLineChars="53" w:firstLine="106"/>
              <w:jc w:val="left"/>
              <w:rPr>
                <w:sz w:val="20"/>
                <w:szCs w:val="20"/>
              </w:rPr>
            </w:pPr>
            <w:r>
              <w:rPr>
                <w:rFonts w:hint="eastAsia"/>
                <w:sz w:val="20"/>
                <w:szCs w:val="20"/>
              </w:rPr>
              <w:t>第十七章</w:t>
            </w:r>
            <w:r>
              <w:rPr>
                <w:sz w:val="20"/>
                <w:szCs w:val="20"/>
              </w:rPr>
              <w:t xml:space="preserve"> </w:t>
            </w:r>
            <w:r>
              <w:rPr>
                <w:rFonts w:hint="eastAsia"/>
                <w:sz w:val="20"/>
                <w:szCs w:val="20"/>
              </w:rPr>
              <w:t>超敏反应</w:t>
            </w:r>
          </w:p>
        </w:tc>
        <w:tc>
          <w:tcPr>
            <w:tcW w:w="1559" w:type="dxa"/>
            <w:vAlign w:val="center"/>
          </w:tcPr>
          <w:p w:rsidR="003717A0" w:rsidRDefault="003717A0">
            <w:pPr>
              <w:jc w:val="left"/>
              <w:rPr>
                <w:sz w:val="20"/>
                <w:szCs w:val="20"/>
              </w:rPr>
            </w:pPr>
            <w:r>
              <w:rPr>
                <w:sz w:val="20"/>
                <w:szCs w:val="20"/>
              </w:rPr>
              <w:t>3</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18</w:t>
            </w:r>
          </w:p>
        </w:tc>
        <w:tc>
          <w:tcPr>
            <w:tcW w:w="5245" w:type="dxa"/>
          </w:tcPr>
          <w:p w:rsidR="003717A0" w:rsidRDefault="003717A0">
            <w:pPr>
              <w:ind w:firstLineChars="53" w:firstLine="106"/>
              <w:jc w:val="left"/>
              <w:rPr>
                <w:sz w:val="20"/>
                <w:szCs w:val="20"/>
              </w:rPr>
            </w:pPr>
            <w:r>
              <w:rPr>
                <w:rFonts w:hint="eastAsia"/>
                <w:sz w:val="20"/>
                <w:szCs w:val="20"/>
              </w:rPr>
              <w:t>第二十二章</w:t>
            </w:r>
            <w:r>
              <w:rPr>
                <w:sz w:val="20"/>
                <w:szCs w:val="20"/>
              </w:rPr>
              <w:t xml:space="preserve"> </w:t>
            </w:r>
            <w:r>
              <w:rPr>
                <w:rFonts w:hint="eastAsia"/>
                <w:sz w:val="20"/>
                <w:szCs w:val="20"/>
              </w:rPr>
              <w:t>免疫学检测技术</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r>
              <w:rPr>
                <w:sz w:val="20"/>
                <w:szCs w:val="20"/>
              </w:rPr>
              <w:t>19</w:t>
            </w:r>
          </w:p>
        </w:tc>
        <w:tc>
          <w:tcPr>
            <w:tcW w:w="5245" w:type="dxa"/>
          </w:tcPr>
          <w:p w:rsidR="003717A0" w:rsidRDefault="003717A0">
            <w:pPr>
              <w:ind w:firstLineChars="53" w:firstLine="106"/>
              <w:jc w:val="left"/>
              <w:rPr>
                <w:sz w:val="20"/>
                <w:szCs w:val="20"/>
              </w:rPr>
            </w:pPr>
            <w:r>
              <w:rPr>
                <w:rFonts w:hint="eastAsia"/>
                <w:sz w:val="20"/>
                <w:szCs w:val="20"/>
              </w:rPr>
              <w:t>第二十三章</w:t>
            </w:r>
            <w:r>
              <w:rPr>
                <w:sz w:val="20"/>
                <w:szCs w:val="20"/>
              </w:rPr>
              <w:t xml:space="preserve"> </w:t>
            </w:r>
            <w:r>
              <w:rPr>
                <w:rFonts w:hint="eastAsia"/>
                <w:sz w:val="20"/>
                <w:szCs w:val="20"/>
              </w:rPr>
              <w:t>免疫学防治</w:t>
            </w:r>
          </w:p>
        </w:tc>
        <w:tc>
          <w:tcPr>
            <w:tcW w:w="1559" w:type="dxa"/>
            <w:vAlign w:val="center"/>
          </w:tcPr>
          <w:p w:rsidR="003717A0" w:rsidRDefault="003717A0">
            <w:pPr>
              <w:jc w:val="left"/>
              <w:rPr>
                <w:sz w:val="20"/>
                <w:szCs w:val="20"/>
              </w:rPr>
            </w:pPr>
            <w:r>
              <w:rPr>
                <w:sz w:val="20"/>
                <w:szCs w:val="20"/>
              </w:rPr>
              <w:t>1</w:t>
            </w:r>
          </w:p>
        </w:tc>
        <w:tc>
          <w:tcPr>
            <w:tcW w:w="1418" w:type="dxa"/>
          </w:tcPr>
          <w:p w:rsidR="003717A0" w:rsidRDefault="003717A0">
            <w:pPr>
              <w:adjustRightInd w:val="0"/>
              <w:snapToGrid w:val="0"/>
              <w:spacing w:line="360" w:lineRule="auto"/>
            </w:pPr>
          </w:p>
        </w:tc>
      </w:tr>
      <w:tr w:rsidR="003717A0">
        <w:tc>
          <w:tcPr>
            <w:tcW w:w="817" w:type="dxa"/>
          </w:tcPr>
          <w:p w:rsidR="003717A0" w:rsidRDefault="003717A0">
            <w:pPr>
              <w:jc w:val="left"/>
              <w:rPr>
                <w:sz w:val="20"/>
                <w:szCs w:val="20"/>
              </w:rPr>
            </w:pPr>
          </w:p>
        </w:tc>
        <w:tc>
          <w:tcPr>
            <w:tcW w:w="5245" w:type="dxa"/>
          </w:tcPr>
          <w:p w:rsidR="003717A0" w:rsidRDefault="003717A0">
            <w:pPr>
              <w:ind w:firstLineChars="53" w:firstLine="106"/>
              <w:jc w:val="left"/>
              <w:rPr>
                <w:sz w:val="20"/>
                <w:szCs w:val="20"/>
              </w:rPr>
            </w:pPr>
            <w:r>
              <w:rPr>
                <w:rFonts w:hint="eastAsia"/>
                <w:sz w:val="20"/>
                <w:szCs w:val="20"/>
              </w:rPr>
              <w:t>合　计</w:t>
            </w:r>
          </w:p>
        </w:tc>
        <w:tc>
          <w:tcPr>
            <w:tcW w:w="1559" w:type="dxa"/>
            <w:vAlign w:val="center"/>
          </w:tcPr>
          <w:p w:rsidR="003717A0" w:rsidRDefault="003717A0">
            <w:pPr>
              <w:jc w:val="left"/>
              <w:rPr>
                <w:sz w:val="20"/>
                <w:szCs w:val="20"/>
              </w:rPr>
            </w:pPr>
            <w:r>
              <w:rPr>
                <w:sz w:val="20"/>
                <w:szCs w:val="20"/>
              </w:rPr>
              <w:t>36</w:t>
            </w:r>
          </w:p>
        </w:tc>
        <w:tc>
          <w:tcPr>
            <w:tcW w:w="1418" w:type="dxa"/>
          </w:tcPr>
          <w:p w:rsidR="003717A0" w:rsidRDefault="003717A0">
            <w:pPr>
              <w:adjustRightInd w:val="0"/>
              <w:snapToGrid w:val="0"/>
              <w:spacing w:line="360" w:lineRule="auto"/>
            </w:pPr>
          </w:p>
        </w:tc>
      </w:tr>
    </w:tbl>
    <w:p w:rsidR="003717A0" w:rsidRDefault="003717A0" w:rsidP="00F5156D">
      <w:pPr>
        <w:adjustRightInd w:val="0"/>
        <w:snapToGrid w:val="0"/>
        <w:spacing w:line="360" w:lineRule="auto"/>
        <w:rPr>
          <w:b/>
          <w:bCs/>
          <w:sz w:val="28"/>
          <w:szCs w:val="28"/>
        </w:rPr>
      </w:pPr>
    </w:p>
    <w:p w:rsidR="003717A0" w:rsidRDefault="003717A0">
      <w:pPr>
        <w:adjustRightInd w:val="0"/>
        <w:snapToGrid w:val="0"/>
        <w:spacing w:line="360" w:lineRule="auto"/>
        <w:jc w:val="center"/>
        <w:rPr>
          <w:b/>
          <w:bCs/>
          <w:sz w:val="28"/>
          <w:szCs w:val="28"/>
        </w:rPr>
      </w:pPr>
      <w:r>
        <w:rPr>
          <w:rFonts w:hint="eastAsia"/>
          <w:b/>
          <w:bCs/>
          <w:sz w:val="28"/>
          <w:szCs w:val="28"/>
        </w:rPr>
        <w:t>实验课学时分配</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5245"/>
        <w:gridCol w:w="1559"/>
        <w:gridCol w:w="1418"/>
      </w:tblGrid>
      <w:tr w:rsidR="003717A0" w:rsidTr="00F5156D">
        <w:trPr>
          <w:jc w:val="center"/>
        </w:trPr>
        <w:tc>
          <w:tcPr>
            <w:tcW w:w="817" w:type="dxa"/>
            <w:vAlign w:val="center"/>
          </w:tcPr>
          <w:p w:rsidR="003717A0" w:rsidRDefault="003717A0" w:rsidP="00F5156D">
            <w:pPr>
              <w:ind w:firstLineChars="53" w:firstLine="106"/>
              <w:jc w:val="center"/>
              <w:rPr>
                <w:sz w:val="20"/>
                <w:szCs w:val="20"/>
              </w:rPr>
            </w:pPr>
            <w:r>
              <w:rPr>
                <w:rFonts w:hint="eastAsia"/>
                <w:sz w:val="20"/>
                <w:szCs w:val="20"/>
              </w:rPr>
              <w:t>序号</w:t>
            </w:r>
          </w:p>
        </w:tc>
        <w:tc>
          <w:tcPr>
            <w:tcW w:w="5245" w:type="dxa"/>
            <w:vAlign w:val="center"/>
          </w:tcPr>
          <w:p w:rsidR="003717A0" w:rsidRDefault="003717A0" w:rsidP="00F5156D">
            <w:pPr>
              <w:ind w:firstLineChars="53" w:firstLine="106"/>
              <w:jc w:val="center"/>
              <w:rPr>
                <w:sz w:val="20"/>
                <w:szCs w:val="20"/>
              </w:rPr>
            </w:pPr>
            <w:r>
              <w:rPr>
                <w:rFonts w:hint="eastAsia"/>
                <w:sz w:val="20"/>
                <w:szCs w:val="20"/>
              </w:rPr>
              <w:t>授课内容</w:t>
            </w:r>
          </w:p>
        </w:tc>
        <w:tc>
          <w:tcPr>
            <w:tcW w:w="1559" w:type="dxa"/>
            <w:vAlign w:val="center"/>
          </w:tcPr>
          <w:p w:rsidR="003717A0" w:rsidRDefault="003717A0" w:rsidP="00F5156D">
            <w:pPr>
              <w:ind w:firstLineChars="53" w:firstLine="106"/>
              <w:jc w:val="center"/>
              <w:rPr>
                <w:sz w:val="20"/>
                <w:szCs w:val="20"/>
              </w:rPr>
            </w:pPr>
            <w:r>
              <w:rPr>
                <w:rFonts w:hint="eastAsia"/>
                <w:sz w:val="20"/>
                <w:szCs w:val="20"/>
              </w:rPr>
              <w:t>学时</w:t>
            </w:r>
          </w:p>
        </w:tc>
        <w:tc>
          <w:tcPr>
            <w:tcW w:w="1418" w:type="dxa"/>
            <w:vAlign w:val="center"/>
          </w:tcPr>
          <w:p w:rsidR="003717A0" w:rsidRDefault="003717A0" w:rsidP="00F5156D">
            <w:pPr>
              <w:ind w:firstLineChars="53" w:firstLine="106"/>
              <w:jc w:val="center"/>
              <w:rPr>
                <w:sz w:val="20"/>
                <w:szCs w:val="20"/>
              </w:rPr>
            </w:pPr>
            <w:r>
              <w:rPr>
                <w:rFonts w:hint="eastAsia"/>
                <w:sz w:val="20"/>
                <w:szCs w:val="20"/>
              </w:rPr>
              <w:t>备注</w:t>
            </w:r>
          </w:p>
        </w:tc>
      </w:tr>
      <w:tr w:rsidR="003717A0" w:rsidTr="00F5156D">
        <w:trPr>
          <w:jc w:val="center"/>
        </w:trPr>
        <w:tc>
          <w:tcPr>
            <w:tcW w:w="817" w:type="dxa"/>
          </w:tcPr>
          <w:p w:rsidR="003717A0" w:rsidRDefault="003717A0" w:rsidP="00F5156D">
            <w:pPr>
              <w:adjustRightInd w:val="0"/>
              <w:snapToGrid w:val="0"/>
              <w:jc w:val="center"/>
              <w:rPr>
                <w:rFonts w:ascii="Times New Roman" w:hAnsi="Times New Roman"/>
              </w:rPr>
            </w:pPr>
            <w:r>
              <w:rPr>
                <w:rFonts w:ascii="Times New Roman" w:hAnsi="Times New Roman"/>
              </w:rPr>
              <w:t>1</w:t>
            </w:r>
          </w:p>
        </w:tc>
        <w:tc>
          <w:tcPr>
            <w:tcW w:w="5245" w:type="dxa"/>
            <w:vAlign w:val="center"/>
          </w:tcPr>
          <w:p w:rsidR="003717A0" w:rsidRDefault="003717A0" w:rsidP="00F5156D">
            <w:pPr>
              <w:jc w:val="left"/>
              <w:rPr>
                <w:rFonts w:ascii="宋体" w:cs="宋体"/>
                <w:sz w:val="20"/>
                <w:szCs w:val="20"/>
              </w:rPr>
            </w:pPr>
            <w:r>
              <w:rPr>
                <w:rFonts w:hint="eastAsia"/>
                <w:sz w:val="20"/>
                <w:szCs w:val="20"/>
              </w:rPr>
              <w:t>血型测定、双向琼脂扩散实验、单向琼脂扩散实验（示）、对流免疫电泳（示）、补体在溶血反应中的作用</w:t>
            </w:r>
          </w:p>
        </w:tc>
        <w:tc>
          <w:tcPr>
            <w:tcW w:w="1559" w:type="dxa"/>
            <w:vAlign w:val="center"/>
          </w:tcPr>
          <w:p w:rsidR="003717A0" w:rsidRDefault="003717A0" w:rsidP="00F5156D">
            <w:pPr>
              <w:jc w:val="center"/>
              <w:rPr>
                <w:rFonts w:ascii="Times New Roman" w:hAnsi="Times New Roman"/>
                <w:sz w:val="20"/>
                <w:szCs w:val="20"/>
              </w:rPr>
            </w:pPr>
            <w:r>
              <w:rPr>
                <w:rFonts w:ascii="Times New Roman" w:hAnsi="Times New Roman"/>
                <w:sz w:val="20"/>
                <w:szCs w:val="20"/>
              </w:rPr>
              <w:t>5</w:t>
            </w:r>
          </w:p>
        </w:tc>
        <w:tc>
          <w:tcPr>
            <w:tcW w:w="1418" w:type="dxa"/>
          </w:tcPr>
          <w:p w:rsidR="003717A0" w:rsidRDefault="003717A0" w:rsidP="00F5156D">
            <w:pPr>
              <w:adjustRightInd w:val="0"/>
              <w:snapToGrid w:val="0"/>
            </w:pPr>
          </w:p>
        </w:tc>
      </w:tr>
      <w:tr w:rsidR="003717A0" w:rsidTr="00F5156D">
        <w:trPr>
          <w:jc w:val="center"/>
        </w:trPr>
        <w:tc>
          <w:tcPr>
            <w:tcW w:w="817" w:type="dxa"/>
          </w:tcPr>
          <w:p w:rsidR="003717A0" w:rsidRDefault="003717A0" w:rsidP="00F5156D">
            <w:pPr>
              <w:adjustRightInd w:val="0"/>
              <w:snapToGrid w:val="0"/>
              <w:jc w:val="center"/>
              <w:rPr>
                <w:rFonts w:ascii="Times New Roman" w:hAnsi="Times New Roman"/>
              </w:rPr>
            </w:pPr>
            <w:r>
              <w:rPr>
                <w:rFonts w:ascii="Times New Roman" w:hAnsi="Times New Roman"/>
              </w:rPr>
              <w:t>2</w:t>
            </w:r>
          </w:p>
        </w:tc>
        <w:tc>
          <w:tcPr>
            <w:tcW w:w="5245" w:type="dxa"/>
            <w:vAlign w:val="center"/>
          </w:tcPr>
          <w:p w:rsidR="003717A0" w:rsidRDefault="003717A0" w:rsidP="00F5156D">
            <w:pPr>
              <w:jc w:val="left"/>
              <w:rPr>
                <w:rFonts w:ascii="宋体" w:cs="宋体"/>
                <w:sz w:val="18"/>
                <w:szCs w:val="18"/>
              </w:rPr>
            </w:pPr>
            <w:r>
              <w:rPr>
                <w:rFonts w:hint="eastAsia"/>
                <w:sz w:val="18"/>
                <w:szCs w:val="18"/>
              </w:rPr>
              <w:t>酶联免疫吸附实验、</w:t>
            </w:r>
            <w:r>
              <w:rPr>
                <w:sz w:val="18"/>
                <w:szCs w:val="18"/>
              </w:rPr>
              <w:t>E</w:t>
            </w:r>
            <w:r>
              <w:rPr>
                <w:rFonts w:hint="eastAsia"/>
                <w:sz w:val="18"/>
                <w:szCs w:val="18"/>
              </w:rPr>
              <w:t>花环实验</w:t>
            </w:r>
          </w:p>
        </w:tc>
        <w:tc>
          <w:tcPr>
            <w:tcW w:w="1559" w:type="dxa"/>
            <w:vAlign w:val="center"/>
          </w:tcPr>
          <w:p w:rsidR="003717A0" w:rsidRDefault="003717A0" w:rsidP="00F5156D">
            <w:pPr>
              <w:jc w:val="center"/>
              <w:rPr>
                <w:rFonts w:ascii="Times New Roman" w:hAnsi="Times New Roman"/>
                <w:sz w:val="20"/>
                <w:szCs w:val="20"/>
              </w:rPr>
            </w:pPr>
            <w:r>
              <w:rPr>
                <w:rFonts w:ascii="Times New Roman" w:hAnsi="Times New Roman"/>
                <w:sz w:val="20"/>
                <w:szCs w:val="20"/>
              </w:rPr>
              <w:t>4</w:t>
            </w:r>
          </w:p>
        </w:tc>
        <w:tc>
          <w:tcPr>
            <w:tcW w:w="1418" w:type="dxa"/>
          </w:tcPr>
          <w:p w:rsidR="003717A0" w:rsidRDefault="003717A0" w:rsidP="00F5156D">
            <w:pPr>
              <w:adjustRightInd w:val="0"/>
              <w:snapToGrid w:val="0"/>
            </w:pPr>
          </w:p>
        </w:tc>
      </w:tr>
      <w:tr w:rsidR="003717A0" w:rsidTr="00F5156D">
        <w:trPr>
          <w:jc w:val="center"/>
        </w:trPr>
        <w:tc>
          <w:tcPr>
            <w:tcW w:w="817" w:type="dxa"/>
          </w:tcPr>
          <w:p w:rsidR="003717A0" w:rsidRDefault="003717A0" w:rsidP="00F5156D">
            <w:pPr>
              <w:jc w:val="center"/>
              <w:rPr>
                <w:rFonts w:ascii="Times New Roman" w:hAnsi="Times New Roman"/>
                <w:sz w:val="20"/>
                <w:szCs w:val="20"/>
              </w:rPr>
            </w:pPr>
            <w:r>
              <w:rPr>
                <w:rFonts w:ascii="Times New Roman" w:hAnsi="Times New Roman"/>
                <w:sz w:val="20"/>
                <w:szCs w:val="20"/>
              </w:rPr>
              <w:t>3</w:t>
            </w:r>
          </w:p>
        </w:tc>
        <w:tc>
          <w:tcPr>
            <w:tcW w:w="5245" w:type="dxa"/>
          </w:tcPr>
          <w:p w:rsidR="003717A0" w:rsidRDefault="003717A0" w:rsidP="00F5156D">
            <w:pPr>
              <w:ind w:firstLineChars="53" w:firstLine="106"/>
              <w:jc w:val="center"/>
              <w:rPr>
                <w:rFonts w:ascii="Times New Roman" w:hAnsi="Times New Roman"/>
                <w:sz w:val="20"/>
                <w:szCs w:val="20"/>
              </w:rPr>
            </w:pPr>
            <w:r>
              <w:rPr>
                <w:rFonts w:ascii="Times New Roman" w:hAnsi="Times New Roman" w:hint="eastAsia"/>
                <w:sz w:val="20"/>
                <w:szCs w:val="20"/>
              </w:rPr>
              <w:t>总计</w:t>
            </w:r>
          </w:p>
        </w:tc>
        <w:tc>
          <w:tcPr>
            <w:tcW w:w="1559" w:type="dxa"/>
            <w:vAlign w:val="center"/>
          </w:tcPr>
          <w:p w:rsidR="003717A0" w:rsidRDefault="003717A0" w:rsidP="00F5156D">
            <w:pPr>
              <w:jc w:val="center"/>
              <w:rPr>
                <w:rFonts w:ascii="Times New Roman" w:hAnsi="Times New Roman"/>
                <w:sz w:val="20"/>
                <w:szCs w:val="20"/>
              </w:rPr>
            </w:pPr>
            <w:r>
              <w:rPr>
                <w:rFonts w:ascii="Times New Roman" w:hAnsi="Times New Roman"/>
                <w:sz w:val="20"/>
                <w:szCs w:val="20"/>
              </w:rPr>
              <w:t>9</w:t>
            </w:r>
          </w:p>
        </w:tc>
        <w:tc>
          <w:tcPr>
            <w:tcW w:w="1418" w:type="dxa"/>
          </w:tcPr>
          <w:p w:rsidR="003717A0" w:rsidRDefault="003717A0" w:rsidP="00F5156D">
            <w:pPr>
              <w:adjustRightInd w:val="0"/>
              <w:snapToGrid w:val="0"/>
            </w:pPr>
          </w:p>
        </w:tc>
      </w:tr>
    </w:tbl>
    <w:p w:rsidR="003717A0" w:rsidRDefault="003717A0">
      <w:pPr>
        <w:adjustRightInd w:val="0"/>
        <w:snapToGrid w:val="0"/>
        <w:spacing w:line="360" w:lineRule="auto"/>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w:t>
      </w:r>
      <w:r>
        <w:rPr>
          <w:rFonts w:ascii="Times New Roman"/>
        </w:rPr>
        <w:t>blackboard</w:t>
      </w:r>
      <w:r>
        <w:rPr>
          <w:rFonts w:ascii="Times New Roman" w:hint="eastAsia"/>
        </w:rPr>
        <w:t>网络平台等；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多媒体教学课件、各种示教片、电教片。</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2</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理论课教材：曹雪涛主编，《医学免疫学》第</w:t>
      </w:r>
      <w:r>
        <w:rPr>
          <w:rFonts w:ascii="Times New Roman" w:hAnsi="Times New Roman"/>
        </w:rPr>
        <w:t>6</w:t>
      </w:r>
      <w:r>
        <w:rPr>
          <w:rFonts w:ascii="Times New Roman" w:hAnsi="Times New Roman" w:hint="eastAsia"/>
        </w:rPr>
        <w:t>版，人民卫生出版社，</w:t>
      </w:r>
      <w:r>
        <w:rPr>
          <w:rFonts w:ascii="Times New Roman" w:hAnsi="Times New Roman"/>
        </w:rPr>
        <w:t>2013</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实验课教材：《医学微生物学及免疫学实验指导》第七版</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1</w:t>
      </w:r>
      <w:r>
        <w:rPr>
          <w:rFonts w:ascii="Times New Roman" w:hAnsi="Times New Roman" w:hint="eastAsia"/>
        </w:rPr>
        <w:t>．龚非力主编，《医学免疫学》第</w:t>
      </w:r>
      <w:r>
        <w:rPr>
          <w:rFonts w:ascii="Times New Roman" w:hAnsi="Times New Roman"/>
        </w:rPr>
        <w:t>4</w:t>
      </w:r>
      <w:r>
        <w:rPr>
          <w:rFonts w:ascii="Times New Roman" w:hAnsi="Times New Roman" w:hint="eastAsia"/>
        </w:rPr>
        <w:t>版，科学出版社，</w:t>
      </w:r>
      <w:r>
        <w:rPr>
          <w:rFonts w:ascii="Times New Roman" w:hAnsi="Times New Roman"/>
        </w:rPr>
        <w:t>2014</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2</w:t>
      </w:r>
      <w:r>
        <w:rPr>
          <w:rFonts w:ascii="Times New Roman" w:hAnsi="Times New Roman" w:hint="eastAsia"/>
        </w:rPr>
        <w:t>．安云庆主编，《医学免疫学》第</w:t>
      </w:r>
      <w:r>
        <w:rPr>
          <w:rFonts w:ascii="Times New Roman" w:hAnsi="Times New Roman"/>
        </w:rPr>
        <w:t>3</w:t>
      </w:r>
      <w:r>
        <w:rPr>
          <w:rFonts w:ascii="Times New Roman" w:hAnsi="Times New Roman" w:hint="eastAsia"/>
        </w:rPr>
        <w:t>版，人民卫生出版社，</w:t>
      </w:r>
      <w:r>
        <w:rPr>
          <w:rFonts w:ascii="Times New Roman" w:hAnsi="Times New Roman"/>
        </w:rPr>
        <w:t>2012</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3</w:t>
      </w:r>
      <w:r>
        <w:rPr>
          <w:rFonts w:ascii="Times New Roman" w:hAnsi="Times New Roman" w:hint="eastAsia"/>
        </w:rPr>
        <w:t>．王迎伟主编，《医学免疫学》，科学出版社，</w:t>
      </w:r>
      <w:r>
        <w:rPr>
          <w:rFonts w:ascii="Times New Roman" w:hAnsi="Times New Roman"/>
        </w:rPr>
        <w:t>2013</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4</w:t>
      </w:r>
      <w:r>
        <w:rPr>
          <w:rFonts w:ascii="Times New Roman" w:hAnsi="Times New Roman" w:hint="eastAsia"/>
        </w:rPr>
        <w:t>．谭锦泉、姚堃主编，《医学免疫学》（医学英文原版改编双语教材），科学出版社，</w:t>
      </w:r>
      <w:r>
        <w:rPr>
          <w:rFonts w:ascii="Times New Roman" w:hAnsi="Times New Roman"/>
        </w:rPr>
        <w:t>2006</w:t>
      </w:r>
      <w:r>
        <w:rPr>
          <w:rFonts w:ascii="Times New Roman" w:hAnsi="Times New Roman" w:hint="eastAsia"/>
        </w:rPr>
        <w:t>年</w:t>
      </w:r>
    </w:p>
    <w:p w:rsidR="003717A0" w:rsidRDefault="003717A0" w:rsidP="00F5156D">
      <w:pPr>
        <w:adjustRightInd w:val="0"/>
        <w:snapToGrid w:val="0"/>
        <w:spacing w:line="360" w:lineRule="auto"/>
        <w:ind w:right="4" w:firstLineChars="200" w:firstLine="420"/>
        <w:rPr>
          <w:rFonts w:ascii="Times New Roman" w:hAnsi="Times New Roman"/>
        </w:rPr>
      </w:pPr>
      <w:r>
        <w:rPr>
          <w:rFonts w:ascii="Times New Roman" w:hAnsi="Times New Roman"/>
        </w:rPr>
        <w:t>5</w:t>
      </w:r>
      <w:r>
        <w:rPr>
          <w:rFonts w:ascii="Times New Roman" w:hAnsi="Times New Roman" w:hint="eastAsia"/>
        </w:rPr>
        <w:t>．国内外医学院校免疫学专业及教研室的相关网站</w:t>
      </w: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制定人：邵晓轶</w:t>
      </w:r>
    </w:p>
    <w:p w:rsidR="003717A0" w:rsidRDefault="003717A0" w:rsidP="005E20B5">
      <w:pPr>
        <w:adjustRightInd w:val="0"/>
        <w:snapToGrid w:val="0"/>
        <w:spacing w:beforeLines="50" w:afterLines="50" w:line="360" w:lineRule="auto"/>
        <w:jc w:val="center"/>
        <w:rPr>
          <w:rFonts w:ascii="黑体" w:eastAsia="黑体"/>
          <w:b/>
          <w:sz w:val="30"/>
          <w:szCs w:val="30"/>
        </w:rPr>
      </w:pPr>
      <w:r>
        <w:rPr>
          <w:rFonts w:ascii="黑体" w:eastAsia="黑体" w:cs="黑体"/>
          <w:kern w:val="0"/>
          <w:szCs w:val="21"/>
        </w:rPr>
        <w:t xml:space="preserve"> </w:t>
      </w:r>
      <w:r w:rsidR="002851AA">
        <w:rPr>
          <w:rFonts w:ascii="黑体" w:eastAsia="黑体" w:cs="黑体"/>
          <w:kern w:val="0"/>
          <w:szCs w:val="21"/>
        </w:rPr>
        <w:t xml:space="preserve">                               </w:t>
      </w:r>
      <w:r>
        <w:rPr>
          <w:rFonts w:ascii="黑体" w:eastAsia="黑体" w:cs="黑体"/>
          <w:kern w:val="0"/>
          <w:szCs w:val="21"/>
        </w:rPr>
        <w:t xml:space="preserve">   </w:t>
      </w:r>
      <w:r>
        <w:rPr>
          <w:rFonts w:ascii="黑体" w:eastAsia="黑体" w:cs="黑体" w:hint="eastAsia"/>
          <w:kern w:val="0"/>
          <w:szCs w:val="21"/>
        </w:rPr>
        <w:t>审核人：汪晓莺</w:t>
      </w:r>
      <w:r>
        <w:rPr>
          <w:rFonts w:ascii="黑体" w:eastAsia="黑体" w:cs="黑体"/>
          <w:kern w:val="0"/>
          <w:szCs w:val="21"/>
        </w:rPr>
        <w:br w:type="page"/>
      </w:r>
      <w:r w:rsidRPr="00F5156D">
        <w:rPr>
          <w:rFonts w:ascii="黑体" w:eastAsia="黑体" w:hAnsi="黑体" w:cs="黑体" w:hint="eastAsia"/>
          <w:b/>
          <w:bCs/>
          <w:sz w:val="32"/>
          <w:szCs w:val="32"/>
          <w:u w:color="000000"/>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right="6" w:firstLineChars="200" w:firstLine="420"/>
        <w:rPr>
          <w:rFonts w:ascii="Times New Roman"/>
        </w:rPr>
      </w:pPr>
      <w:r>
        <w:rPr>
          <w:rFonts w:ascii="Times New Roman"/>
        </w:rPr>
        <w:t>1</w:t>
      </w:r>
      <w:r>
        <w:rPr>
          <w:rFonts w:ascii="Times New Roman" w:hint="eastAsia"/>
        </w:rPr>
        <w:t>．修读完本课程规定内容的</w:t>
      </w:r>
      <w:r>
        <w:rPr>
          <w:rFonts w:ascii="Times New Roman" w:hAnsi="Times New Roman" w:hint="eastAsia"/>
          <w:kern w:val="0"/>
          <w:szCs w:val="21"/>
        </w:rPr>
        <w:t>康复治疗学</w:t>
      </w:r>
      <w:r>
        <w:rPr>
          <w:rFonts w:ascii="Times New Roman" w:hint="eastAsia"/>
        </w:rPr>
        <w:t>专业的本科学生；</w:t>
      </w:r>
    </w:p>
    <w:p w:rsidR="003717A0" w:rsidRDefault="003717A0">
      <w:pPr>
        <w:adjustRightInd w:val="0"/>
        <w:snapToGrid w:val="0"/>
        <w:spacing w:line="360" w:lineRule="auto"/>
        <w:ind w:right="6" w:firstLineChars="200" w:firstLine="420"/>
        <w:rPr>
          <w:rFonts w:ascii="Times New Roman"/>
        </w:rPr>
      </w:pPr>
      <w:r>
        <w:rPr>
          <w:rFonts w:ascii="Times New Roman"/>
        </w:rPr>
        <w:t>2</w:t>
      </w:r>
      <w:r>
        <w:rPr>
          <w:rFonts w:ascii="Times New Roman" w:hint="eastAsia"/>
        </w:rPr>
        <w:t>．提出并获准免修本课程、申请进行课程水平考核的</w:t>
      </w:r>
      <w:r>
        <w:rPr>
          <w:rFonts w:ascii="Times New Roman" w:hAnsi="Times New Roman" w:hint="eastAsia"/>
          <w:kern w:val="0"/>
          <w:szCs w:val="21"/>
        </w:rPr>
        <w:t>康复治疗学</w:t>
      </w:r>
      <w:r>
        <w:rPr>
          <w:rFonts w:ascii="Times New Roman" w:hint="eastAsia"/>
        </w:rPr>
        <w:t>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通过考核来检查和了解学生对本门课程内容的掌握程度，考核学生对免疫系统的组成和功能、</w:t>
      </w:r>
      <w:r>
        <w:rPr>
          <w:rFonts w:ascii="Times New Roman" w:hAnsi="Times New Roman" w:hint="eastAsia"/>
          <w:kern w:val="0"/>
          <w:szCs w:val="21"/>
        </w:rPr>
        <w:t>免疫系统对抗原的识别及应答、</w:t>
      </w:r>
      <w:r>
        <w:rPr>
          <w:rFonts w:hint="eastAsia"/>
        </w:rPr>
        <w:t>免疫系统对抗原的排异反应及机制、免疫功能异常所致的病理过程及其机制以及免疫学理论、方法和技术在疾病预防、诊断和治疗中的应用等知识的理解和掌握情况</w:t>
      </w:r>
      <w:r>
        <w:rPr>
          <w:rFonts w:ascii="宋体" w:hAnsi="宋体" w:hint="eastAsia"/>
          <w:szCs w:val="21"/>
        </w:rPr>
        <w:t>。通过本课程的学习，学生应对机体正常免疫系统的结构功能、免疫应答的过程、免疫功能异常与相关疾病发生发展的关系等有一定的了解和掌握。</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rPr>
      </w:pPr>
      <w:r>
        <w:rPr>
          <w:rFonts w:ascii="Times New Roman" w:hAnsi="宋体" w:hint="eastAsia"/>
          <w:szCs w:val="21"/>
        </w:rPr>
        <w:t>期末考试成绩占总成绩的</w:t>
      </w:r>
      <w:r>
        <w:rPr>
          <w:rFonts w:ascii="Times New Roman" w:hAnsi="Times New Roman"/>
          <w:szCs w:val="21"/>
        </w:rPr>
        <w:t>100</w:t>
      </w:r>
      <w:r>
        <w:rPr>
          <w:rFonts w:ascii="Times New Roman" w:hAnsi="Times New Roman"/>
        </w:rPr>
        <w:t>%</w:t>
      </w:r>
      <w:r>
        <w:rPr>
          <w:rFonts w:ascii="Times New Roman" w:hAnsi="Times New Roman" w:hint="eastAsia"/>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免疫的基本概念；主要专业名词；免疫器官、免疫细胞、免疫分子的功能和相互关系；固有免疫和适应性免疫的特点、组成和过程；免疫耐受的机制；免疫功能异常所致疾病的病理过程及机制；免疫学检测技术和免疫学防治方法等。</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以人体免疫系统的组成和功能、免疫系统对抗原的识别和应答过程、免疫功能异常所致疾病的病理过程和机制为考试重点，考核学生运用课程知识分析问题、解决问题的能力。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医学免疫学课程考试试题</w:t>
      </w:r>
    </w:p>
    <w:p w:rsidR="003717A0" w:rsidRDefault="003717A0">
      <w:pPr>
        <w:widowControl/>
        <w:adjustRightInd w:val="0"/>
        <w:snapToGrid w:val="0"/>
        <w:spacing w:line="360" w:lineRule="auto"/>
        <w:jc w:val="center"/>
        <w:rPr>
          <w:rFonts w:ascii="Times New Roman" w:hAnsi="Times New Roman"/>
          <w:kern w:val="0"/>
          <w:sz w:val="22"/>
        </w:rPr>
      </w:pPr>
      <w:r>
        <w:rPr>
          <w:rFonts w:ascii="Times New Roman" w:hAnsi="Times New Roman" w:hint="eastAsia"/>
          <w:kern w:val="0"/>
          <w:sz w:val="22"/>
          <w:u w:val="single"/>
        </w:rPr>
        <w:t>ⅩⅩⅩⅩ</w:t>
      </w:r>
      <w:r>
        <w:rPr>
          <w:rFonts w:ascii="Times New Roman" w:hAnsi="Times New Roman"/>
          <w:kern w:val="0"/>
          <w:sz w:val="22"/>
          <w:u w:val="single"/>
        </w:rPr>
        <w:t>---</w:t>
      </w:r>
      <w:r>
        <w:rPr>
          <w:rFonts w:ascii="Times New Roman" w:hAnsi="Times New Roman" w:hint="eastAsia"/>
          <w:kern w:val="0"/>
          <w:sz w:val="22"/>
          <w:u w:val="single"/>
        </w:rPr>
        <w:t>ⅩⅩⅩⅩ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napToGrid w:val="0"/>
        <w:ind w:firstLineChars="40" w:firstLine="88"/>
        <w:jc w:val="left"/>
        <w:rPr>
          <w:rFonts w:ascii="Times New Roman" w:hAnsi="Times New Roman"/>
          <w:b/>
          <w:kern w:val="0"/>
          <w:sz w:val="22"/>
        </w:rPr>
      </w:pPr>
      <w:r>
        <w:rPr>
          <w:rFonts w:ascii="Times New Roman" w:hAnsi="Times New Roman" w:hint="eastAsia"/>
          <w:b/>
          <w:kern w:val="0"/>
          <w:sz w:val="22"/>
        </w:rPr>
        <w:t>一、单项选择题（每题</w:t>
      </w:r>
      <w:r>
        <w:rPr>
          <w:rFonts w:ascii="Times New Roman" w:hAnsi="Times New Roman"/>
          <w:b/>
          <w:kern w:val="0"/>
          <w:sz w:val="22"/>
        </w:rPr>
        <w:t>1</w:t>
      </w:r>
      <w:r>
        <w:rPr>
          <w:rFonts w:ascii="Times New Roman" w:hAnsi="Times New Roman" w:hint="eastAsia"/>
          <w:b/>
          <w:kern w:val="0"/>
          <w:sz w:val="22"/>
        </w:rPr>
        <w:t>分，共</w:t>
      </w:r>
      <w:r>
        <w:rPr>
          <w:rFonts w:ascii="Times New Roman" w:hAnsi="Times New Roman"/>
          <w:b/>
          <w:kern w:val="0"/>
          <w:sz w:val="22"/>
        </w:rPr>
        <w:t>30</w:t>
      </w:r>
      <w:r>
        <w:rPr>
          <w:rFonts w:ascii="Times New Roman" w:hAnsi="Times New Roman" w:hint="eastAsia"/>
          <w:b/>
          <w:kern w:val="0"/>
          <w:sz w:val="22"/>
        </w:rPr>
        <w:t>分）</w:t>
      </w:r>
    </w:p>
    <w:p w:rsidR="003717A0" w:rsidRDefault="003717A0">
      <w:pPr>
        <w:rPr>
          <w:rFonts w:ascii="Times New Roman" w:hAnsi="Times New Roman"/>
          <w:szCs w:val="21"/>
        </w:rPr>
      </w:pPr>
    </w:p>
    <w:tbl>
      <w:tblPr>
        <w:tblW w:w="9000" w:type="dxa"/>
        <w:tblLayout w:type="fixed"/>
        <w:tblLook w:val="00A0"/>
      </w:tblPr>
      <w:tblGrid>
        <w:gridCol w:w="250"/>
        <w:gridCol w:w="567"/>
        <w:gridCol w:w="8183"/>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w:t>
            </w:r>
          </w:p>
        </w:tc>
        <w:tc>
          <w:tcPr>
            <w:tcW w:w="8183" w:type="dxa"/>
          </w:tcPr>
          <w:p w:rsidR="003717A0" w:rsidRDefault="003717A0">
            <w:pPr>
              <w:rPr>
                <w:rFonts w:ascii="Times New Roman" w:hAnsi="Times New Roman"/>
                <w:szCs w:val="21"/>
              </w:rPr>
            </w:pPr>
            <w:r>
              <w:rPr>
                <w:rFonts w:ascii="Times New Roman" w:hAnsi="宋体" w:hint="eastAsia"/>
                <w:szCs w:val="21"/>
              </w:rPr>
              <w:t>免疫系统的组成是（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81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中枢免疫器官、外周免疫器官</w:t>
            </w:r>
          </w:p>
        </w:tc>
      </w:tr>
      <w:tr w:rsidR="003717A0">
        <w:tc>
          <w:tcPr>
            <w:tcW w:w="817" w:type="dxa"/>
            <w:gridSpan w:val="2"/>
          </w:tcPr>
          <w:p w:rsidR="003717A0" w:rsidRDefault="003717A0">
            <w:pPr>
              <w:rPr>
                <w:rFonts w:ascii="Times New Roman" w:hAnsi="Times New Roman"/>
                <w:szCs w:val="21"/>
              </w:rPr>
            </w:pPr>
          </w:p>
        </w:tc>
        <w:tc>
          <w:tcPr>
            <w:tcW w:w="8183"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免疫器官、免疫细胞、免疫分子</w:t>
            </w:r>
          </w:p>
        </w:tc>
      </w:tr>
      <w:tr w:rsidR="003717A0">
        <w:tc>
          <w:tcPr>
            <w:tcW w:w="817" w:type="dxa"/>
            <w:gridSpan w:val="2"/>
          </w:tcPr>
          <w:p w:rsidR="003717A0" w:rsidRDefault="003717A0">
            <w:pPr>
              <w:rPr>
                <w:rFonts w:ascii="Times New Roman" w:hAnsi="Times New Roman"/>
                <w:szCs w:val="21"/>
              </w:rPr>
            </w:pPr>
          </w:p>
        </w:tc>
        <w:tc>
          <w:tcPr>
            <w:tcW w:w="81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中枢免疫器官、免疫细胞、</w:t>
            </w:r>
            <w:r>
              <w:rPr>
                <w:rFonts w:ascii="Times New Roman" w:hint="eastAsia"/>
                <w:szCs w:val="21"/>
              </w:rPr>
              <w:t>皮肤相关淋巴组织</w:t>
            </w:r>
          </w:p>
        </w:tc>
      </w:tr>
      <w:tr w:rsidR="003717A0">
        <w:tc>
          <w:tcPr>
            <w:tcW w:w="817" w:type="dxa"/>
            <w:gridSpan w:val="2"/>
          </w:tcPr>
          <w:p w:rsidR="003717A0" w:rsidRDefault="003717A0">
            <w:pPr>
              <w:rPr>
                <w:rFonts w:ascii="Times New Roman" w:hAnsi="Times New Roman"/>
                <w:szCs w:val="21"/>
              </w:rPr>
            </w:pPr>
          </w:p>
        </w:tc>
        <w:tc>
          <w:tcPr>
            <w:tcW w:w="8183"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免疫分子、黏膜相关淋巴组织、皮肤相关淋巴组织</w:t>
            </w:r>
          </w:p>
        </w:tc>
      </w:tr>
      <w:tr w:rsidR="003717A0">
        <w:tc>
          <w:tcPr>
            <w:tcW w:w="817" w:type="dxa"/>
            <w:gridSpan w:val="2"/>
          </w:tcPr>
          <w:p w:rsidR="003717A0" w:rsidRDefault="003717A0">
            <w:pPr>
              <w:rPr>
                <w:rFonts w:ascii="Times New Roman" w:hAnsi="Times New Roman"/>
                <w:szCs w:val="21"/>
              </w:rPr>
            </w:pPr>
          </w:p>
        </w:tc>
        <w:tc>
          <w:tcPr>
            <w:tcW w:w="81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免疫细胞、黏膜相关淋巴组织、中枢免疫器官</w:t>
            </w: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w:t>
            </w:r>
          </w:p>
        </w:tc>
        <w:tc>
          <w:tcPr>
            <w:tcW w:w="8183" w:type="dxa"/>
            <w:gridSpan w:val="2"/>
          </w:tcPr>
          <w:p w:rsidR="003717A0" w:rsidRDefault="003717A0">
            <w:pPr>
              <w:rPr>
                <w:rFonts w:ascii="Times New Roman" w:hAnsi="Times New Roman"/>
                <w:szCs w:val="21"/>
              </w:rPr>
            </w:pPr>
            <w:r>
              <w:rPr>
                <w:rFonts w:ascii="Times New Roman" w:hAnsi="宋体" w:hint="eastAsia"/>
                <w:szCs w:val="21"/>
              </w:rPr>
              <w:t>人类免疫细胞产生、发育、分化成熟的场所是（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胸腺和淋巴结</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胸腺和骨髓</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淋巴结和脾脏</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脾脏和胸腺</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w:t>
            </w:r>
            <w:r>
              <w:rPr>
                <w:rFonts w:ascii="Times New Roman" w:hAnsi="宋体" w:hint="eastAsia"/>
                <w:szCs w:val="21"/>
              </w:rPr>
              <w:t>．骨髓和肝脏</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3.</w:t>
            </w:r>
          </w:p>
        </w:tc>
        <w:tc>
          <w:tcPr>
            <w:tcW w:w="8183" w:type="dxa"/>
            <w:gridSpan w:val="2"/>
          </w:tcPr>
          <w:p w:rsidR="003717A0" w:rsidRDefault="003717A0">
            <w:pPr>
              <w:rPr>
                <w:rFonts w:ascii="Times New Roman" w:hAnsi="Times New Roman"/>
                <w:szCs w:val="21"/>
              </w:rPr>
            </w:pPr>
            <w:r>
              <w:rPr>
                <w:rFonts w:ascii="Times New Roman" w:hAnsi="Times New Roman"/>
                <w:szCs w:val="21"/>
              </w:rPr>
              <w:t>T</w:t>
            </w:r>
            <w:r>
              <w:rPr>
                <w:rFonts w:ascii="Times New Roman" w:hAnsi="宋体" w:hint="eastAsia"/>
                <w:szCs w:val="21"/>
              </w:rPr>
              <w:t>细胞识别的抗原表位特点正确的是（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构象表位</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顺序表位</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构象表位和顺序表位</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不需要</w:t>
            </w:r>
            <w:r>
              <w:rPr>
                <w:rFonts w:ascii="Times New Roman" w:hAnsi="Times New Roman"/>
                <w:szCs w:val="21"/>
              </w:rPr>
              <w:t>MHC</w:t>
            </w:r>
            <w:r>
              <w:rPr>
                <w:rFonts w:ascii="Times New Roman" w:hAnsi="宋体" w:hint="eastAsia"/>
                <w:szCs w:val="21"/>
              </w:rPr>
              <w:t>分子参与</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存在于抗原分子的表面</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4.</w:t>
            </w:r>
          </w:p>
        </w:tc>
        <w:tc>
          <w:tcPr>
            <w:tcW w:w="8183" w:type="dxa"/>
            <w:gridSpan w:val="2"/>
          </w:tcPr>
          <w:p w:rsidR="003717A0" w:rsidRDefault="003717A0">
            <w:pPr>
              <w:rPr>
                <w:rFonts w:ascii="Times New Roman" w:hAnsi="Times New Roman"/>
                <w:szCs w:val="21"/>
              </w:rPr>
            </w:pPr>
            <w:r>
              <w:rPr>
                <w:rFonts w:ascii="Times New Roman" w:hAnsi="宋体" w:hint="eastAsia"/>
                <w:szCs w:val="21"/>
              </w:rPr>
              <w:t>动物血清抗毒素对于人而言属于（</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异种抗原</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自身抗原</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异嗜性抗原</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共同抗原</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同种异型抗原</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lang w:eastAsia="ja-JP"/>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5.</w:t>
            </w:r>
          </w:p>
        </w:tc>
        <w:tc>
          <w:tcPr>
            <w:tcW w:w="8183" w:type="dxa"/>
            <w:gridSpan w:val="2"/>
          </w:tcPr>
          <w:p w:rsidR="003717A0" w:rsidRDefault="003717A0">
            <w:pPr>
              <w:rPr>
                <w:rFonts w:ascii="Times New Roman" w:hAnsi="Times New Roman"/>
                <w:szCs w:val="21"/>
              </w:rPr>
            </w:pPr>
            <w:r>
              <w:rPr>
                <w:rFonts w:ascii="Times New Roman" w:hAnsi="宋体" w:hint="eastAsia"/>
                <w:szCs w:val="21"/>
              </w:rPr>
              <w:t>具有</w:t>
            </w:r>
            <w:r>
              <w:rPr>
                <w:rFonts w:ascii="Times New Roman" w:hAnsi="Times New Roman"/>
                <w:szCs w:val="21"/>
              </w:rPr>
              <w:t>J</w:t>
            </w:r>
            <w:r>
              <w:rPr>
                <w:rFonts w:ascii="Times New Roman" w:hAnsi="宋体" w:hint="eastAsia"/>
                <w:szCs w:val="21"/>
              </w:rPr>
              <w:t>链的</w:t>
            </w:r>
            <w:r>
              <w:rPr>
                <w:rFonts w:ascii="Times New Roman" w:hAnsi="Times New Roman"/>
                <w:szCs w:val="21"/>
              </w:rPr>
              <w:t>Ig</w:t>
            </w:r>
            <w:r>
              <w:rPr>
                <w:rFonts w:ascii="Times New Roman" w:hAnsi="宋体" w:hint="eastAsia"/>
                <w:szCs w:val="21"/>
              </w:rPr>
              <w:t>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Times New Roman"/>
                <w:szCs w:val="21"/>
                <w:lang w:val="sv-SE"/>
              </w:rPr>
              <w:t>IgG</w:t>
            </w:r>
          </w:p>
        </w:tc>
        <w:tc>
          <w:tcPr>
            <w:tcW w:w="3900" w:type="dxa"/>
          </w:tcPr>
          <w:p w:rsidR="003717A0" w:rsidRDefault="003717A0">
            <w:pPr>
              <w:rPr>
                <w:rFonts w:ascii="Times New Roman" w:hAnsi="Times New Roman"/>
                <w:szCs w:val="21"/>
              </w:rPr>
            </w:pPr>
            <w:r>
              <w:rPr>
                <w:rFonts w:ascii="Times New Roman" w:hAnsi="Times New Roman"/>
                <w:szCs w:val="21"/>
              </w:rPr>
              <w:t>B.</w:t>
            </w:r>
            <w:r>
              <w:rPr>
                <w:rFonts w:ascii="Times New Roman" w:hAnsi="Times New Roman"/>
                <w:szCs w:val="21"/>
                <w:lang w:val="sv-SE"/>
              </w:rPr>
              <w:t xml:space="preserve"> IgD</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Times New Roman"/>
                <w:szCs w:val="21"/>
                <w:lang w:val="sv-SE"/>
              </w:rPr>
              <w:t>sIgM</w:t>
            </w:r>
          </w:p>
        </w:tc>
        <w:tc>
          <w:tcPr>
            <w:tcW w:w="3900" w:type="dxa"/>
          </w:tcPr>
          <w:p w:rsidR="003717A0" w:rsidRDefault="003717A0">
            <w:pPr>
              <w:rPr>
                <w:rFonts w:ascii="Times New Roman" w:hAnsi="Times New Roman"/>
                <w:szCs w:val="21"/>
              </w:rPr>
            </w:pPr>
            <w:r>
              <w:rPr>
                <w:rFonts w:ascii="Times New Roman" w:hAnsi="Times New Roman"/>
                <w:szCs w:val="21"/>
              </w:rPr>
              <w:t>D.</w:t>
            </w:r>
            <w:r>
              <w:rPr>
                <w:rFonts w:ascii="Times New Roman" w:hAnsi="Times New Roman"/>
                <w:szCs w:val="21"/>
                <w:lang w:val="sv-SE"/>
              </w:rPr>
              <w:t xml:space="preserve"> sIgA</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w:t>
            </w:r>
            <w:r>
              <w:rPr>
                <w:rFonts w:ascii="Times New Roman" w:hAnsi="Times New Roman"/>
                <w:szCs w:val="21"/>
                <w:lang w:val="sv-SE"/>
              </w:rPr>
              <w:t xml:space="preserve">. </w:t>
            </w:r>
            <w:r>
              <w:rPr>
                <w:rFonts w:ascii="Times New Roman" w:hAnsi="Times New Roman"/>
                <w:szCs w:val="21"/>
              </w:rPr>
              <w:t>IgE</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6.</w:t>
            </w:r>
          </w:p>
        </w:tc>
        <w:tc>
          <w:tcPr>
            <w:tcW w:w="8183" w:type="dxa"/>
            <w:gridSpan w:val="2"/>
          </w:tcPr>
          <w:p w:rsidR="003717A0" w:rsidRDefault="003717A0">
            <w:pPr>
              <w:rPr>
                <w:rFonts w:ascii="Times New Roman" w:hAnsi="Times New Roman"/>
                <w:szCs w:val="21"/>
              </w:rPr>
            </w:pPr>
            <w:r>
              <w:rPr>
                <w:rFonts w:ascii="Times New Roman" w:hAnsi="宋体" w:hint="eastAsia"/>
                <w:szCs w:val="21"/>
              </w:rPr>
              <w:t>脐带血中哪种抗体的增高可提示胎儿有宫内感染（</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w:t>
            </w:r>
            <w:r>
              <w:rPr>
                <w:rFonts w:ascii="Times New Roman" w:hAnsi="Times New Roman"/>
                <w:szCs w:val="21"/>
                <w:lang w:val="sv-SE"/>
              </w:rPr>
              <w:t xml:space="preserve"> IgG</w:t>
            </w:r>
          </w:p>
        </w:tc>
        <w:tc>
          <w:tcPr>
            <w:tcW w:w="3900" w:type="dxa"/>
          </w:tcPr>
          <w:p w:rsidR="003717A0" w:rsidRDefault="003717A0">
            <w:pPr>
              <w:rPr>
                <w:rFonts w:ascii="Times New Roman" w:hAnsi="Times New Roman"/>
                <w:szCs w:val="21"/>
              </w:rPr>
            </w:pPr>
            <w:r>
              <w:rPr>
                <w:rFonts w:ascii="Times New Roman" w:hAnsi="Times New Roman"/>
                <w:szCs w:val="21"/>
              </w:rPr>
              <w:t>B.</w:t>
            </w:r>
            <w:r>
              <w:rPr>
                <w:rFonts w:ascii="Times New Roman" w:hAnsi="Times New Roman"/>
                <w:szCs w:val="21"/>
                <w:lang w:val="sv-SE"/>
              </w:rPr>
              <w:t xml:space="preserve"> IgM</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Times New Roman"/>
                <w:szCs w:val="21"/>
                <w:lang w:val="sv-SE"/>
              </w:rPr>
              <w:t>IgA</w:t>
            </w:r>
          </w:p>
        </w:tc>
        <w:tc>
          <w:tcPr>
            <w:tcW w:w="3900" w:type="dxa"/>
          </w:tcPr>
          <w:p w:rsidR="003717A0" w:rsidRDefault="003717A0">
            <w:pPr>
              <w:rPr>
                <w:rFonts w:ascii="Times New Roman" w:hAnsi="Times New Roman"/>
                <w:szCs w:val="21"/>
              </w:rPr>
            </w:pPr>
            <w:r>
              <w:rPr>
                <w:rFonts w:ascii="Times New Roman" w:hAnsi="Times New Roman"/>
                <w:szCs w:val="21"/>
              </w:rPr>
              <w:t>D.</w:t>
            </w:r>
            <w:r>
              <w:rPr>
                <w:rFonts w:ascii="Times New Roman" w:hAnsi="Times New Roman"/>
                <w:szCs w:val="21"/>
                <w:lang w:val="sv-SE"/>
              </w:rPr>
              <w:t xml:space="preserve"> IgD</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w:t>
            </w:r>
            <w:r>
              <w:rPr>
                <w:rFonts w:ascii="Times New Roman" w:hAnsi="Times New Roman"/>
                <w:szCs w:val="21"/>
                <w:lang w:val="sv-SE"/>
              </w:rPr>
              <w:t xml:space="preserve">. </w:t>
            </w:r>
            <w:r>
              <w:rPr>
                <w:rFonts w:ascii="Times New Roman" w:hAnsi="Times New Roman"/>
                <w:szCs w:val="21"/>
              </w:rPr>
              <w:t>IgE</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7.</w:t>
            </w:r>
          </w:p>
        </w:tc>
        <w:tc>
          <w:tcPr>
            <w:tcW w:w="8183" w:type="dxa"/>
            <w:gridSpan w:val="2"/>
          </w:tcPr>
          <w:p w:rsidR="003717A0" w:rsidRDefault="003717A0">
            <w:pPr>
              <w:rPr>
                <w:rFonts w:ascii="Times New Roman" w:hAnsi="Times New Roman"/>
                <w:szCs w:val="21"/>
              </w:rPr>
            </w:pPr>
            <w:r>
              <w:rPr>
                <w:rFonts w:ascii="Times New Roman" w:hAnsi="宋体" w:hint="eastAsia"/>
                <w:szCs w:val="21"/>
              </w:rPr>
              <w:t>以下关于</w:t>
            </w:r>
            <w:r>
              <w:rPr>
                <w:rFonts w:ascii="Times New Roman" w:hAnsi="Times New Roman"/>
                <w:szCs w:val="21"/>
              </w:rPr>
              <w:t>Ig</w:t>
            </w:r>
            <w:r>
              <w:rPr>
                <w:rFonts w:ascii="Times New Roman" w:hAnsi="宋体" w:hint="eastAsia"/>
                <w:szCs w:val="21"/>
              </w:rPr>
              <w:t>的说法正确的是（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IgM</w:t>
            </w:r>
            <w:r>
              <w:rPr>
                <w:rFonts w:ascii="Times New Roman" w:hAnsi="宋体" w:hint="eastAsia"/>
                <w:szCs w:val="21"/>
              </w:rPr>
              <w:t>是初次应答中最早产生的抗体</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分泌型</w:t>
            </w:r>
            <w:r>
              <w:rPr>
                <w:rFonts w:ascii="Times New Roman" w:hAnsi="Times New Roman"/>
                <w:szCs w:val="21"/>
              </w:rPr>
              <w:t>IgD</w:t>
            </w:r>
            <w:r>
              <w:rPr>
                <w:rFonts w:ascii="Times New Roman" w:hAnsi="宋体" w:hint="eastAsia"/>
                <w:szCs w:val="21"/>
              </w:rPr>
              <w:t>抗原结合价是</w:t>
            </w:r>
            <w:r>
              <w:rPr>
                <w:rFonts w:ascii="Times New Roman" w:hAnsi="Times New Roman"/>
                <w:szCs w:val="21"/>
              </w:rPr>
              <w:t>4</w:t>
            </w:r>
            <w:r>
              <w:rPr>
                <w:rFonts w:ascii="Times New Roman" w:hAnsi="宋体" w:hint="eastAsia"/>
                <w:szCs w:val="21"/>
              </w:rPr>
              <w:t>价</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IgG</w:t>
            </w:r>
            <w:r>
              <w:rPr>
                <w:rFonts w:ascii="Times New Roman" w:hAnsi="宋体" w:hint="eastAsia"/>
                <w:szCs w:val="21"/>
              </w:rPr>
              <w:t>可以构成</w:t>
            </w:r>
            <w:r>
              <w:rPr>
                <w:rFonts w:ascii="Times New Roman" w:hAnsi="Times New Roman"/>
                <w:szCs w:val="21"/>
              </w:rPr>
              <w:t>BCR</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可穿过胎盘屏障的是</w:t>
            </w:r>
            <w:r>
              <w:rPr>
                <w:rFonts w:ascii="Times New Roman" w:hAnsi="Times New Roman"/>
                <w:szCs w:val="21"/>
              </w:rPr>
              <w:t>IgE</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血清中</w:t>
            </w:r>
            <w:r>
              <w:rPr>
                <w:rFonts w:ascii="Times New Roman" w:hAnsi="Times New Roman"/>
                <w:szCs w:val="21"/>
              </w:rPr>
              <w:t>IgA</w:t>
            </w:r>
            <w:r>
              <w:rPr>
                <w:rFonts w:ascii="Times New Roman" w:hAnsi="宋体" w:hint="eastAsia"/>
                <w:szCs w:val="21"/>
              </w:rPr>
              <w:t>含量最高</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8.</w:t>
            </w:r>
          </w:p>
        </w:tc>
        <w:tc>
          <w:tcPr>
            <w:tcW w:w="8183" w:type="dxa"/>
            <w:gridSpan w:val="2"/>
          </w:tcPr>
          <w:p w:rsidR="003717A0" w:rsidRDefault="003717A0">
            <w:pPr>
              <w:rPr>
                <w:rFonts w:ascii="Times New Roman" w:hAnsi="Times New Roman"/>
                <w:szCs w:val="21"/>
              </w:rPr>
            </w:pPr>
            <w:r>
              <w:rPr>
                <w:rFonts w:ascii="Times New Roman" w:hAnsi="宋体" w:hint="eastAsia"/>
                <w:szCs w:val="21"/>
              </w:rPr>
              <w:t>能通过经典途径激活补体的</w:t>
            </w:r>
            <w:r>
              <w:rPr>
                <w:rFonts w:ascii="Times New Roman" w:hAnsi="Times New Roman"/>
                <w:szCs w:val="21"/>
              </w:rPr>
              <w:t>Ig</w:t>
            </w:r>
            <w:r>
              <w:rPr>
                <w:rFonts w:ascii="Times New Roman" w:hAnsi="宋体" w:hint="eastAsia"/>
                <w:szCs w:val="21"/>
              </w:rPr>
              <w:t>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IgG1</w:t>
            </w:r>
            <w:r>
              <w:rPr>
                <w:rFonts w:ascii="Times New Roman" w:hAnsi="宋体" w:hint="eastAsia"/>
                <w:szCs w:val="21"/>
              </w:rPr>
              <w:t>、</w:t>
            </w:r>
            <w:r>
              <w:rPr>
                <w:rFonts w:ascii="Times New Roman" w:hAnsi="Times New Roman"/>
                <w:szCs w:val="21"/>
              </w:rPr>
              <w:t>IgG2</w:t>
            </w:r>
            <w:r>
              <w:rPr>
                <w:rFonts w:ascii="Times New Roman" w:hAnsi="宋体" w:hint="eastAsia"/>
                <w:szCs w:val="21"/>
              </w:rPr>
              <w:t>、</w:t>
            </w:r>
            <w:r>
              <w:rPr>
                <w:rFonts w:ascii="Times New Roman" w:hAnsi="Times New Roman"/>
                <w:szCs w:val="21"/>
              </w:rPr>
              <w:t>IgG3</w:t>
            </w:r>
            <w:r>
              <w:rPr>
                <w:rFonts w:ascii="Times New Roman" w:hAnsi="宋体" w:hint="eastAsia"/>
                <w:szCs w:val="21"/>
              </w:rPr>
              <w:t>、</w:t>
            </w:r>
            <w:r>
              <w:rPr>
                <w:rFonts w:ascii="Times New Roman" w:hAnsi="Times New Roman"/>
                <w:szCs w:val="21"/>
              </w:rPr>
              <w:t>IgM</w:t>
            </w:r>
          </w:p>
        </w:tc>
        <w:tc>
          <w:tcPr>
            <w:tcW w:w="3900" w:type="dxa"/>
          </w:tcPr>
          <w:p w:rsidR="003717A0" w:rsidRDefault="003717A0">
            <w:pPr>
              <w:rPr>
                <w:rFonts w:ascii="Times New Roman" w:hAnsi="Times New Roman"/>
                <w:szCs w:val="21"/>
                <w:lang w:val="sv-SE"/>
              </w:rPr>
            </w:pPr>
            <w:r>
              <w:rPr>
                <w:rFonts w:ascii="Times New Roman" w:hAnsi="Times New Roman"/>
                <w:szCs w:val="21"/>
                <w:lang w:val="sv-SE"/>
              </w:rPr>
              <w:t>B. IgG1</w:t>
            </w:r>
            <w:r>
              <w:rPr>
                <w:rFonts w:ascii="Times New Roman" w:hAnsi="宋体" w:hint="eastAsia"/>
                <w:szCs w:val="21"/>
              </w:rPr>
              <w:t>、</w:t>
            </w:r>
            <w:r>
              <w:rPr>
                <w:rFonts w:ascii="Times New Roman" w:hAnsi="Times New Roman"/>
                <w:szCs w:val="21"/>
                <w:lang w:val="sv-SE"/>
              </w:rPr>
              <w:t>IgG2</w:t>
            </w:r>
            <w:r>
              <w:rPr>
                <w:rFonts w:ascii="Times New Roman" w:hAnsi="宋体" w:hint="eastAsia"/>
                <w:szCs w:val="21"/>
              </w:rPr>
              <w:t>、</w:t>
            </w:r>
            <w:r>
              <w:rPr>
                <w:rFonts w:ascii="Times New Roman" w:hAnsi="Times New Roman"/>
                <w:szCs w:val="21"/>
                <w:lang w:val="sv-SE"/>
              </w:rPr>
              <w:t>IgG3</w:t>
            </w:r>
            <w:r>
              <w:rPr>
                <w:rFonts w:ascii="Times New Roman" w:hAnsi="宋体" w:hint="eastAsia"/>
                <w:szCs w:val="21"/>
              </w:rPr>
              <w:t>、</w:t>
            </w:r>
            <w:r>
              <w:rPr>
                <w:rFonts w:ascii="Times New Roman" w:hAnsi="Times New Roman"/>
                <w:szCs w:val="21"/>
                <w:lang w:val="sv-SE"/>
              </w:rPr>
              <w:t>sIgA</w:t>
            </w:r>
          </w:p>
        </w:tc>
      </w:tr>
      <w:tr w:rsidR="003717A0" w:rsidRPr="003018D3">
        <w:tc>
          <w:tcPr>
            <w:tcW w:w="817" w:type="dxa"/>
            <w:gridSpan w:val="2"/>
          </w:tcPr>
          <w:p w:rsidR="003717A0" w:rsidRDefault="003717A0">
            <w:pPr>
              <w:rPr>
                <w:rFonts w:ascii="Times New Roman" w:hAnsi="Times New Roman"/>
                <w:szCs w:val="21"/>
                <w:lang w:val="sv-SE"/>
              </w:rPr>
            </w:pPr>
          </w:p>
        </w:tc>
        <w:tc>
          <w:tcPr>
            <w:tcW w:w="4283" w:type="dxa"/>
          </w:tcPr>
          <w:p w:rsidR="003717A0" w:rsidRDefault="003717A0">
            <w:pPr>
              <w:rPr>
                <w:rFonts w:ascii="Times New Roman" w:hAnsi="Times New Roman"/>
                <w:szCs w:val="21"/>
                <w:lang w:val="sv-SE"/>
              </w:rPr>
            </w:pPr>
            <w:r>
              <w:rPr>
                <w:rFonts w:ascii="Times New Roman" w:hAnsi="Times New Roman"/>
                <w:szCs w:val="21"/>
                <w:lang w:val="sv-SE"/>
              </w:rPr>
              <w:t>C. IgG1</w:t>
            </w:r>
            <w:r>
              <w:rPr>
                <w:rFonts w:ascii="Times New Roman" w:hAnsi="宋体" w:hint="eastAsia"/>
                <w:szCs w:val="21"/>
              </w:rPr>
              <w:t>、</w:t>
            </w:r>
            <w:r>
              <w:rPr>
                <w:rFonts w:ascii="Times New Roman" w:hAnsi="Times New Roman"/>
                <w:szCs w:val="21"/>
                <w:lang w:val="sv-SE"/>
              </w:rPr>
              <w:t>IgG2</w:t>
            </w:r>
            <w:r>
              <w:rPr>
                <w:rFonts w:ascii="Times New Roman" w:hAnsi="宋体" w:hint="eastAsia"/>
                <w:szCs w:val="21"/>
              </w:rPr>
              <w:t>、</w:t>
            </w:r>
            <w:r>
              <w:rPr>
                <w:rFonts w:ascii="Times New Roman" w:hAnsi="Times New Roman"/>
                <w:szCs w:val="21"/>
                <w:lang w:val="sv-SE"/>
              </w:rPr>
              <w:t>IgD</w:t>
            </w:r>
            <w:r>
              <w:rPr>
                <w:rFonts w:ascii="Times New Roman" w:hAnsi="宋体" w:hint="eastAsia"/>
                <w:szCs w:val="21"/>
              </w:rPr>
              <w:t>、</w:t>
            </w:r>
            <w:r>
              <w:rPr>
                <w:rFonts w:ascii="Times New Roman" w:hAnsi="Times New Roman"/>
                <w:szCs w:val="21"/>
                <w:lang w:val="sv-SE"/>
              </w:rPr>
              <w:t>IgM</w:t>
            </w:r>
          </w:p>
        </w:tc>
        <w:tc>
          <w:tcPr>
            <w:tcW w:w="3900" w:type="dxa"/>
          </w:tcPr>
          <w:p w:rsidR="003717A0" w:rsidRDefault="003717A0">
            <w:pPr>
              <w:rPr>
                <w:rFonts w:ascii="Times New Roman" w:hAnsi="Times New Roman"/>
                <w:szCs w:val="21"/>
                <w:lang w:val="sv-SE"/>
              </w:rPr>
            </w:pPr>
            <w:r>
              <w:rPr>
                <w:rFonts w:ascii="Times New Roman" w:hAnsi="Times New Roman"/>
                <w:szCs w:val="21"/>
                <w:lang w:val="sv-SE"/>
              </w:rPr>
              <w:t>D. IgG1</w:t>
            </w:r>
            <w:r>
              <w:rPr>
                <w:rFonts w:ascii="Times New Roman" w:hAnsi="宋体" w:hint="eastAsia"/>
                <w:szCs w:val="21"/>
              </w:rPr>
              <w:t>、</w:t>
            </w:r>
            <w:r>
              <w:rPr>
                <w:rFonts w:ascii="Times New Roman" w:hAnsi="Times New Roman"/>
                <w:szCs w:val="21"/>
                <w:lang w:val="sv-SE"/>
              </w:rPr>
              <w:t>IgG3</w:t>
            </w:r>
            <w:r>
              <w:rPr>
                <w:rFonts w:ascii="Times New Roman" w:hAnsi="宋体" w:hint="eastAsia"/>
                <w:szCs w:val="21"/>
              </w:rPr>
              <w:t>、</w:t>
            </w:r>
            <w:r>
              <w:rPr>
                <w:rFonts w:ascii="Times New Roman" w:hAnsi="Times New Roman"/>
                <w:szCs w:val="21"/>
                <w:lang w:val="sv-SE"/>
              </w:rPr>
              <w:t>IgG4</w:t>
            </w:r>
            <w:r>
              <w:rPr>
                <w:rFonts w:ascii="Times New Roman" w:hAnsi="宋体" w:hint="eastAsia"/>
                <w:szCs w:val="21"/>
              </w:rPr>
              <w:t>、</w:t>
            </w:r>
            <w:r>
              <w:rPr>
                <w:rFonts w:ascii="Times New Roman" w:hAnsi="Times New Roman"/>
                <w:szCs w:val="21"/>
                <w:lang w:val="sv-SE"/>
              </w:rPr>
              <w:t>IgM</w:t>
            </w:r>
          </w:p>
        </w:tc>
      </w:tr>
      <w:tr w:rsidR="003717A0">
        <w:tc>
          <w:tcPr>
            <w:tcW w:w="817" w:type="dxa"/>
            <w:gridSpan w:val="2"/>
          </w:tcPr>
          <w:p w:rsidR="003717A0" w:rsidRDefault="003717A0">
            <w:pPr>
              <w:rPr>
                <w:rFonts w:ascii="Times New Roman" w:hAnsi="Times New Roman"/>
                <w:szCs w:val="21"/>
                <w:lang w:val="sv-SE"/>
              </w:rPr>
            </w:pPr>
          </w:p>
        </w:tc>
        <w:tc>
          <w:tcPr>
            <w:tcW w:w="8183" w:type="dxa"/>
            <w:gridSpan w:val="2"/>
          </w:tcPr>
          <w:p w:rsidR="003717A0" w:rsidRDefault="003717A0">
            <w:pPr>
              <w:rPr>
                <w:rFonts w:ascii="Times New Roman" w:hAnsi="Times New Roman"/>
                <w:szCs w:val="21"/>
                <w:lang w:val="sv-SE"/>
              </w:rPr>
            </w:pPr>
            <w:r>
              <w:rPr>
                <w:rFonts w:ascii="Times New Roman" w:hAnsi="Times New Roman"/>
                <w:szCs w:val="21"/>
                <w:lang w:val="sv-SE"/>
              </w:rPr>
              <w:t>E. IgG</w:t>
            </w:r>
            <w:r>
              <w:rPr>
                <w:rFonts w:ascii="Times New Roman" w:hAnsi="宋体" w:hint="eastAsia"/>
                <w:szCs w:val="21"/>
              </w:rPr>
              <w:t>、</w:t>
            </w:r>
            <w:r>
              <w:rPr>
                <w:rFonts w:ascii="Times New Roman" w:hAnsi="Times New Roman"/>
                <w:szCs w:val="21"/>
                <w:lang w:val="sv-SE"/>
              </w:rPr>
              <w:t>IgD</w:t>
            </w:r>
            <w:r>
              <w:rPr>
                <w:rFonts w:ascii="Times New Roman" w:hAnsi="宋体" w:hint="eastAsia"/>
                <w:szCs w:val="21"/>
              </w:rPr>
              <w:t>、</w:t>
            </w:r>
            <w:r>
              <w:rPr>
                <w:rFonts w:ascii="Times New Roman" w:hAnsi="Times New Roman"/>
                <w:szCs w:val="21"/>
                <w:lang w:val="sv-SE"/>
              </w:rPr>
              <w:t>IgM</w:t>
            </w:r>
            <w:r>
              <w:rPr>
                <w:rFonts w:ascii="Times New Roman" w:hAnsi="宋体" w:hint="eastAsia"/>
                <w:szCs w:val="21"/>
              </w:rPr>
              <w:t>、</w:t>
            </w:r>
            <w:r>
              <w:rPr>
                <w:rFonts w:ascii="Times New Roman" w:hAnsi="Times New Roman"/>
                <w:szCs w:val="21"/>
                <w:lang w:val="sv-SE"/>
              </w:rPr>
              <w:t>IgA</w:t>
            </w:r>
          </w:p>
        </w:tc>
      </w:tr>
    </w:tbl>
    <w:p w:rsidR="003717A0" w:rsidRDefault="003717A0">
      <w:pPr>
        <w:rPr>
          <w:rFonts w:ascii="Times New Roman" w:hAnsi="Times New Roman"/>
          <w:szCs w:val="21"/>
          <w:lang w:val="sv-SE"/>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lang w:val="sv-SE"/>
              </w:rPr>
            </w:pPr>
          </w:p>
        </w:tc>
        <w:tc>
          <w:tcPr>
            <w:tcW w:w="567" w:type="dxa"/>
          </w:tcPr>
          <w:p w:rsidR="003717A0" w:rsidRDefault="003717A0">
            <w:pPr>
              <w:rPr>
                <w:rFonts w:ascii="Times New Roman" w:hAnsi="Times New Roman"/>
                <w:szCs w:val="21"/>
              </w:rPr>
            </w:pPr>
            <w:r>
              <w:rPr>
                <w:rFonts w:ascii="Times New Roman" w:hAnsi="Times New Roman"/>
                <w:szCs w:val="21"/>
              </w:rPr>
              <w:t>9.</w:t>
            </w:r>
          </w:p>
        </w:tc>
        <w:tc>
          <w:tcPr>
            <w:tcW w:w="8183" w:type="dxa"/>
            <w:gridSpan w:val="2"/>
          </w:tcPr>
          <w:p w:rsidR="003717A0" w:rsidRDefault="003717A0">
            <w:pPr>
              <w:rPr>
                <w:rFonts w:ascii="Times New Roman" w:hAnsi="Times New Roman"/>
                <w:szCs w:val="21"/>
              </w:rPr>
            </w:pPr>
            <w:r>
              <w:rPr>
                <w:rFonts w:ascii="Times New Roman" w:hAnsi="宋体" w:hint="eastAsia"/>
                <w:szCs w:val="21"/>
              </w:rPr>
              <w:t>以下参与补体正向调节的是（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I</w:t>
            </w:r>
            <w:r>
              <w:rPr>
                <w:rFonts w:ascii="Times New Roman" w:hAnsi="宋体" w:hint="eastAsia"/>
                <w:szCs w:val="21"/>
              </w:rPr>
              <w:t>因子</w:t>
            </w:r>
          </w:p>
        </w:tc>
        <w:tc>
          <w:tcPr>
            <w:tcW w:w="3900" w:type="dxa"/>
          </w:tcPr>
          <w:p w:rsidR="003717A0" w:rsidRDefault="003717A0">
            <w:pPr>
              <w:rPr>
                <w:rFonts w:ascii="Times New Roman" w:hAnsi="Times New Roman"/>
                <w:szCs w:val="21"/>
              </w:rPr>
            </w:pPr>
            <w:r>
              <w:rPr>
                <w:rFonts w:ascii="Times New Roman" w:hAnsi="Times New Roman"/>
                <w:szCs w:val="21"/>
              </w:rPr>
              <w:t>B. DAF</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H</w:t>
            </w:r>
            <w:r>
              <w:rPr>
                <w:rFonts w:ascii="Times New Roman" w:hAnsi="宋体" w:hint="eastAsia"/>
                <w:szCs w:val="21"/>
              </w:rPr>
              <w:t>因子</w:t>
            </w:r>
          </w:p>
        </w:tc>
        <w:tc>
          <w:tcPr>
            <w:tcW w:w="3900" w:type="dxa"/>
          </w:tcPr>
          <w:p w:rsidR="003717A0" w:rsidRDefault="003717A0">
            <w:pPr>
              <w:rPr>
                <w:rFonts w:ascii="Times New Roman" w:hAnsi="Times New Roman"/>
                <w:szCs w:val="21"/>
              </w:rPr>
            </w:pPr>
            <w:r>
              <w:rPr>
                <w:rFonts w:ascii="Times New Roman" w:hAnsi="Times New Roman"/>
                <w:szCs w:val="21"/>
              </w:rPr>
              <w:t>D. P</w:t>
            </w:r>
            <w:r>
              <w:rPr>
                <w:rFonts w:ascii="Times New Roman" w:hAnsi="宋体" w:hint="eastAsia"/>
                <w:szCs w:val="21"/>
              </w:rPr>
              <w:t>因子</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C1INH</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10.</w:t>
            </w:r>
          </w:p>
        </w:tc>
        <w:tc>
          <w:tcPr>
            <w:tcW w:w="8183" w:type="dxa"/>
            <w:gridSpan w:val="2"/>
          </w:tcPr>
          <w:p w:rsidR="003717A0" w:rsidRDefault="003717A0">
            <w:pPr>
              <w:rPr>
                <w:rFonts w:ascii="Times New Roman" w:hAnsi="Times New Roman"/>
                <w:szCs w:val="21"/>
              </w:rPr>
            </w:pPr>
            <w:r>
              <w:rPr>
                <w:rFonts w:ascii="Times New Roman" w:hAnsi="Times New Roman"/>
                <w:szCs w:val="21"/>
              </w:rPr>
              <w:t>IFN</w:t>
            </w:r>
            <w:r>
              <w:rPr>
                <w:rFonts w:ascii="Times New Roman" w:hAnsi="宋体" w:hint="eastAsia"/>
                <w:szCs w:val="21"/>
              </w:rPr>
              <w:t>是指（</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肿瘤坏死因子</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白细胞介素</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转化生长因子</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干扰素</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集落刺激因子</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11.</w:t>
            </w:r>
          </w:p>
        </w:tc>
        <w:tc>
          <w:tcPr>
            <w:tcW w:w="8183" w:type="dxa"/>
            <w:gridSpan w:val="2"/>
          </w:tcPr>
          <w:p w:rsidR="003717A0" w:rsidRDefault="003717A0">
            <w:pPr>
              <w:rPr>
                <w:rFonts w:ascii="Times New Roman" w:hAnsi="Times New Roman"/>
                <w:szCs w:val="21"/>
              </w:rPr>
            </w:pPr>
            <w:r>
              <w:rPr>
                <w:rFonts w:ascii="Times New Roman" w:hAnsi="宋体" w:hint="eastAsia"/>
                <w:szCs w:val="21"/>
              </w:rPr>
              <w:t>不属于细胞因子生物活性特点的是（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多效性</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重叠性</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拮抗性</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协同性</w:t>
            </w:r>
          </w:p>
        </w:tc>
      </w:tr>
      <w:tr w:rsidR="003717A0">
        <w:tc>
          <w:tcPr>
            <w:tcW w:w="817" w:type="dxa"/>
            <w:gridSpan w:val="2"/>
          </w:tcPr>
          <w:p w:rsidR="003717A0" w:rsidRDefault="003717A0">
            <w:pPr>
              <w:rPr>
                <w:rFonts w:ascii="Times New Roman" w:hAnsi="Times New Roman"/>
                <w:szCs w:val="21"/>
              </w:rPr>
            </w:pPr>
          </w:p>
        </w:tc>
        <w:tc>
          <w:tcPr>
            <w:tcW w:w="8183" w:type="dxa"/>
            <w:gridSpan w:val="2"/>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特异性</w:t>
            </w: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12.</w:t>
            </w:r>
          </w:p>
        </w:tc>
        <w:tc>
          <w:tcPr>
            <w:tcW w:w="8183" w:type="dxa"/>
            <w:gridSpan w:val="2"/>
          </w:tcPr>
          <w:p w:rsidR="003717A0" w:rsidRDefault="003717A0">
            <w:pPr>
              <w:rPr>
                <w:rFonts w:ascii="Times New Roman" w:hAnsi="Times New Roman"/>
                <w:szCs w:val="21"/>
              </w:rPr>
            </w:pPr>
            <w:r>
              <w:rPr>
                <w:rFonts w:ascii="Times New Roman" w:hAnsi="Times New Roman"/>
                <w:szCs w:val="21"/>
              </w:rPr>
              <w:t>Th1</w:t>
            </w:r>
            <w:r>
              <w:rPr>
                <w:rFonts w:ascii="Times New Roman" w:hAnsi="宋体" w:hint="eastAsia"/>
                <w:szCs w:val="21"/>
              </w:rPr>
              <w:t>细胞产生的可抑制</w:t>
            </w:r>
            <w:r>
              <w:rPr>
                <w:rFonts w:ascii="Times New Roman" w:hAnsi="Times New Roman"/>
                <w:szCs w:val="21"/>
              </w:rPr>
              <w:t>Th2</w:t>
            </w:r>
            <w:r>
              <w:rPr>
                <w:rFonts w:ascii="Times New Roman" w:hAnsi="宋体" w:hint="eastAsia"/>
                <w:szCs w:val="21"/>
              </w:rPr>
              <w:t>细胞活性的细胞因子是（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CSF</w:t>
            </w:r>
          </w:p>
        </w:tc>
        <w:tc>
          <w:tcPr>
            <w:tcW w:w="3900" w:type="dxa"/>
          </w:tcPr>
          <w:p w:rsidR="003717A0" w:rsidRDefault="003717A0">
            <w:pPr>
              <w:rPr>
                <w:rFonts w:ascii="Times New Roman" w:hAnsi="Times New Roman"/>
                <w:szCs w:val="21"/>
              </w:rPr>
            </w:pPr>
            <w:r>
              <w:rPr>
                <w:rFonts w:ascii="Times New Roman" w:hAnsi="Times New Roman"/>
                <w:szCs w:val="21"/>
              </w:rPr>
              <w:t>B. IFN-γ</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TNF</w:t>
            </w:r>
          </w:p>
        </w:tc>
        <w:tc>
          <w:tcPr>
            <w:tcW w:w="3900" w:type="dxa"/>
          </w:tcPr>
          <w:p w:rsidR="003717A0" w:rsidRDefault="003717A0">
            <w:pPr>
              <w:rPr>
                <w:rFonts w:ascii="Times New Roman" w:hAnsi="Times New Roman"/>
                <w:szCs w:val="21"/>
              </w:rPr>
            </w:pPr>
            <w:r>
              <w:rPr>
                <w:rFonts w:ascii="Times New Roman" w:hAnsi="Times New Roman"/>
                <w:szCs w:val="21"/>
              </w:rPr>
              <w:t>D. IL-4</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IL-2</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13.</w:t>
            </w:r>
          </w:p>
        </w:tc>
        <w:tc>
          <w:tcPr>
            <w:tcW w:w="8183" w:type="dxa"/>
            <w:gridSpan w:val="2"/>
          </w:tcPr>
          <w:p w:rsidR="003717A0" w:rsidRDefault="003717A0">
            <w:pPr>
              <w:rPr>
                <w:rFonts w:ascii="Times New Roman" w:hAnsi="Times New Roman"/>
                <w:szCs w:val="21"/>
              </w:rPr>
            </w:pPr>
            <w:r>
              <w:rPr>
                <w:rFonts w:ascii="Times New Roman" w:hAnsi="Times New Roman"/>
                <w:szCs w:val="21"/>
              </w:rPr>
              <w:t>HIV</w:t>
            </w:r>
            <w:r>
              <w:rPr>
                <w:rFonts w:ascii="Times New Roman" w:hAnsi="宋体" w:hint="eastAsia"/>
                <w:szCs w:val="21"/>
              </w:rPr>
              <w:t>的主要受体是（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CD3</w:t>
            </w:r>
          </w:p>
        </w:tc>
        <w:tc>
          <w:tcPr>
            <w:tcW w:w="3900" w:type="dxa"/>
          </w:tcPr>
          <w:p w:rsidR="003717A0" w:rsidRDefault="003717A0">
            <w:pPr>
              <w:rPr>
                <w:rFonts w:ascii="Times New Roman" w:hAnsi="Times New Roman"/>
                <w:szCs w:val="21"/>
              </w:rPr>
            </w:pPr>
            <w:r>
              <w:rPr>
                <w:rFonts w:ascii="Times New Roman" w:hAnsi="Times New Roman"/>
                <w:szCs w:val="21"/>
              </w:rPr>
              <w:t>B. CD4</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CD8</w:t>
            </w:r>
          </w:p>
        </w:tc>
        <w:tc>
          <w:tcPr>
            <w:tcW w:w="3900" w:type="dxa"/>
          </w:tcPr>
          <w:p w:rsidR="003717A0" w:rsidRDefault="003717A0">
            <w:pPr>
              <w:rPr>
                <w:rFonts w:ascii="Times New Roman" w:hAnsi="Times New Roman"/>
                <w:szCs w:val="21"/>
              </w:rPr>
            </w:pPr>
            <w:r>
              <w:rPr>
                <w:rFonts w:ascii="Times New Roman" w:hAnsi="Times New Roman"/>
                <w:szCs w:val="21"/>
              </w:rPr>
              <w:t>D. CD28</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CD40</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14.</w:t>
            </w:r>
          </w:p>
        </w:tc>
        <w:tc>
          <w:tcPr>
            <w:tcW w:w="8183" w:type="dxa"/>
            <w:gridSpan w:val="2"/>
          </w:tcPr>
          <w:p w:rsidR="003717A0" w:rsidRDefault="003717A0">
            <w:pPr>
              <w:rPr>
                <w:rFonts w:ascii="Times New Roman" w:hAnsi="Times New Roman"/>
                <w:szCs w:val="21"/>
              </w:rPr>
            </w:pPr>
            <w:r>
              <w:rPr>
                <w:rFonts w:ascii="Times New Roman" w:hint="eastAsia"/>
                <w:szCs w:val="21"/>
              </w:rPr>
              <w:t>淋巴细胞归巢受体的配体是（</w:t>
            </w:r>
            <w:r>
              <w:rPr>
                <w:rFonts w:ascii="Times New Roman" w:hAnsi="Times New Roman"/>
                <w:szCs w:val="21"/>
              </w:rPr>
              <w:t xml:space="preserve"> </w:t>
            </w:r>
            <w:r>
              <w:rPr>
                <w:rFonts w:ascii="Times New Roman"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P-</w:t>
            </w:r>
            <w:r>
              <w:rPr>
                <w:rFonts w:ascii="Times New Roman" w:hAnsi="宋体" w:hint="eastAsia"/>
                <w:szCs w:val="21"/>
              </w:rPr>
              <w:t>选择素</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黏膜地址素</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血管地址素</w:t>
            </w:r>
          </w:p>
        </w:tc>
        <w:tc>
          <w:tcPr>
            <w:tcW w:w="3900" w:type="dxa"/>
          </w:tcPr>
          <w:p w:rsidR="003717A0" w:rsidRDefault="003717A0">
            <w:pPr>
              <w:rPr>
                <w:rFonts w:ascii="Times New Roman" w:hAnsi="Times New Roman"/>
                <w:szCs w:val="21"/>
              </w:rPr>
            </w:pPr>
            <w:r>
              <w:rPr>
                <w:rFonts w:ascii="Times New Roman" w:hAnsi="Times New Roman"/>
                <w:szCs w:val="21"/>
              </w:rPr>
              <w:t>D. L-</w:t>
            </w:r>
            <w:r>
              <w:rPr>
                <w:rFonts w:ascii="Times New Roman" w:hAnsi="宋体" w:hint="eastAsia"/>
                <w:szCs w:val="21"/>
              </w:rPr>
              <w:t>选择素</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MHC</w:t>
            </w:r>
            <w:r>
              <w:rPr>
                <w:rFonts w:ascii="Times New Roman" w:hAnsi="宋体" w:hint="eastAsia"/>
                <w:szCs w:val="21"/>
              </w:rPr>
              <w:t>分子</w:t>
            </w:r>
          </w:p>
        </w:tc>
        <w:tc>
          <w:tcPr>
            <w:tcW w:w="3900" w:type="dxa"/>
          </w:tcPr>
          <w:p w:rsidR="003717A0" w:rsidRDefault="003717A0">
            <w:pPr>
              <w:rPr>
                <w:rFonts w:ascii="Times New Roman" w:hAnsi="Times New Roman"/>
                <w:szCs w:val="21"/>
              </w:rPr>
            </w:pPr>
          </w:p>
        </w:tc>
      </w:tr>
    </w:tbl>
    <w:p w:rsidR="003717A0" w:rsidRDefault="003717A0">
      <w:pPr>
        <w:autoSpaceDE w:val="0"/>
        <w:autoSpaceDN w:val="0"/>
        <w:adjustRightInd w:val="0"/>
        <w:snapToGrid w:val="0"/>
        <w:ind w:firstLineChars="40" w:firstLine="84"/>
        <w:jc w:val="left"/>
        <w:rPr>
          <w:rFonts w:ascii="Times New Roman" w:hAnsi="Times New Roman"/>
          <w:b/>
          <w:kern w:val="0"/>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15.</w:t>
            </w:r>
          </w:p>
        </w:tc>
        <w:tc>
          <w:tcPr>
            <w:tcW w:w="8183" w:type="dxa"/>
            <w:gridSpan w:val="2"/>
          </w:tcPr>
          <w:p w:rsidR="003717A0" w:rsidRDefault="003717A0">
            <w:pPr>
              <w:rPr>
                <w:rFonts w:ascii="Times New Roman" w:hAnsi="Times New Roman"/>
                <w:szCs w:val="21"/>
              </w:rPr>
            </w:pPr>
            <w:r>
              <w:rPr>
                <w:rFonts w:ascii="Times New Roman" w:hAnsi="宋体" w:hint="eastAsia"/>
                <w:szCs w:val="21"/>
              </w:rPr>
              <w:t>与</w:t>
            </w:r>
            <w:r>
              <w:rPr>
                <w:rFonts w:ascii="Times New Roman" w:hAnsi="Times New Roman"/>
                <w:szCs w:val="21"/>
              </w:rPr>
              <w:t>HLA-B27</w:t>
            </w:r>
            <w:r>
              <w:rPr>
                <w:rFonts w:ascii="Times New Roman" w:hAnsi="宋体" w:hint="eastAsia"/>
                <w:szCs w:val="21"/>
              </w:rPr>
              <w:t>阳性关联的是（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类风湿性关节炎</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系统性红斑狼疮</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乳糜泻</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肺出血肾炎综合征</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w:t>
            </w:r>
            <w:r>
              <w:rPr>
                <w:rFonts w:ascii="Times New Roman" w:hAnsi="宋体" w:hint="eastAsia"/>
                <w:szCs w:val="21"/>
              </w:rPr>
              <w:t>强直性脊髓炎</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16.</w:t>
            </w:r>
          </w:p>
        </w:tc>
        <w:tc>
          <w:tcPr>
            <w:tcW w:w="8183" w:type="dxa"/>
            <w:gridSpan w:val="2"/>
          </w:tcPr>
          <w:p w:rsidR="003717A0" w:rsidRDefault="003717A0">
            <w:pPr>
              <w:rPr>
                <w:rFonts w:ascii="Times New Roman" w:hAnsi="Times New Roman"/>
                <w:szCs w:val="21"/>
              </w:rPr>
            </w:pPr>
            <w:r>
              <w:rPr>
                <w:rFonts w:ascii="Times New Roman" w:hAnsi="宋体" w:hint="eastAsia"/>
                <w:szCs w:val="21"/>
              </w:rPr>
              <w:t>生理条件下，</w:t>
            </w:r>
            <w:r>
              <w:rPr>
                <w:rFonts w:ascii="Times New Roman" w:hAnsi="Times New Roman"/>
                <w:szCs w:val="21"/>
              </w:rPr>
              <w:t>NK</w:t>
            </w:r>
            <w:r>
              <w:rPr>
                <w:rFonts w:ascii="Times New Roman" w:hAnsi="宋体" w:hint="eastAsia"/>
                <w:szCs w:val="21"/>
              </w:rPr>
              <w:t>细胞表面的受体中占主导作用的是（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KIR2DL/3DL</w:t>
            </w:r>
            <w:r>
              <w:rPr>
                <w:rFonts w:ascii="Times New Roman" w:hAnsi="宋体" w:hint="eastAsia"/>
                <w:szCs w:val="21"/>
              </w:rPr>
              <w:t>和</w:t>
            </w:r>
            <w:r>
              <w:rPr>
                <w:rFonts w:ascii="Times New Roman" w:hAnsi="Times New Roman"/>
                <w:szCs w:val="21"/>
              </w:rPr>
              <w:t>CD94-NKG2A</w:t>
            </w:r>
          </w:p>
        </w:tc>
        <w:tc>
          <w:tcPr>
            <w:tcW w:w="3900" w:type="dxa"/>
          </w:tcPr>
          <w:p w:rsidR="003717A0" w:rsidRDefault="003717A0">
            <w:pPr>
              <w:rPr>
                <w:rFonts w:ascii="Times New Roman" w:hAnsi="Times New Roman"/>
                <w:szCs w:val="21"/>
              </w:rPr>
            </w:pPr>
            <w:r>
              <w:rPr>
                <w:rFonts w:ascii="Times New Roman" w:hAnsi="Times New Roman"/>
                <w:szCs w:val="21"/>
              </w:rPr>
              <w:t>B. CD94-NKG2C</w:t>
            </w:r>
            <w:r>
              <w:rPr>
                <w:rFonts w:ascii="Times New Roman" w:hAnsi="宋体" w:hint="eastAsia"/>
                <w:szCs w:val="21"/>
              </w:rPr>
              <w:t>和</w:t>
            </w:r>
            <w:r>
              <w:rPr>
                <w:rFonts w:ascii="Times New Roman" w:hAnsi="Times New Roman"/>
                <w:szCs w:val="21"/>
              </w:rPr>
              <w:t>KIR2DS/3DS</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KIR2DS/3DS</w:t>
            </w:r>
          </w:p>
        </w:tc>
        <w:tc>
          <w:tcPr>
            <w:tcW w:w="3900" w:type="dxa"/>
          </w:tcPr>
          <w:p w:rsidR="003717A0" w:rsidRDefault="003717A0">
            <w:pPr>
              <w:rPr>
                <w:rFonts w:ascii="Times New Roman" w:hAnsi="Times New Roman"/>
                <w:szCs w:val="21"/>
              </w:rPr>
            </w:pPr>
            <w:r>
              <w:rPr>
                <w:rFonts w:ascii="Times New Roman" w:hAnsi="Times New Roman"/>
                <w:szCs w:val="21"/>
              </w:rPr>
              <w:t>D. CD94-NKG2C</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KIR2DL/3DS</w:t>
            </w:r>
            <w:r>
              <w:rPr>
                <w:rFonts w:ascii="Times New Roman" w:hAnsi="宋体" w:hint="eastAsia"/>
                <w:szCs w:val="21"/>
              </w:rPr>
              <w:t>和</w:t>
            </w:r>
            <w:r>
              <w:rPr>
                <w:rFonts w:ascii="Times New Roman" w:hAnsi="Times New Roman"/>
                <w:szCs w:val="21"/>
              </w:rPr>
              <w:t>CD94-NKG2D</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17.</w:t>
            </w:r>
          </w:p>
        </w:tc>
        <w:tc>
          <w:tcPr>
            <w:tcW w:w="8183" w:type="dxa"/>
            <w:gridSpan w:val="2"/>
          </w:tcPr>
          <w:p w:rsidR="003717A0" w:rsidRDefault="003717A0">
            <w:pPr>
              <w:rPr>
                <w:rFonts w:ascii="Times New Roman" w:hAnsi="Times New Roman"/>
                <w:szCs w:val="21"/>
              </w:rPr>
            </w:pPr>
            <w:r>
              <w:rPr>
                <w:rFonts w:ascii="Times New Roman" w:hAnsi="宋体" w:hint="eastAsia"/>
                <w:szCs w:val="21"/>
              </w:rPr>
              <w:t>早期固有免疫应答发生于感染后（</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0</w:t>
            </w:r>
            <w:r>
              <w:rPr>
                <w:rFonts w:ascii="Times New Roman" w:hAnsi="宋体" w:hint="eastAsia"/>
                <w:szCs w:val="21"/>
              </w:rPr>
              <w:t>～</w:t>
            </w:r>
            <w:r>
              <w:rPr>
                <w:rFonts w:ascii="Times New Roman" w:hAnsi="Times New Roman"/>
                <w:szCs w:val="21"/>
              </w:rPr>
              <w:t>4</w:t>
            </w:r>
            <w:r>
              <w:rPr>
                <w:rFonts w:ascii="Times New Roman" w:hAnsi="宋体" w:hint="eastAsia"/>
                <w:szCs w:val="21"/>
              </w:rPr>
              <w:t>小时</w:t>
            </w:r>
          </w:p>
        </w:tc>
        <w:tc>
          <w:tcPr>
            <w:tcW w:w="3900" w:type="dxa"/>
          </w:tcPr>
          <w:p w:rsidR="003717A0" w:rsidRDefault="003717A0">
            <w:pPr>
              <w:rPr>
                <w:rFonts w:ascii="Times New Roman" w:hAnsi="Times New Roman"/>
                <w:szCs w:val="21"/>
              </w:rPr>
            </w:pPr>
            <w:r>
              <w:rPr>
                <w:rFonts w:ascii="Times New Roman" w:hAnsi="Times New Roman"/>
                <w:szCs w:val="21"/>
              </w:rPr>
              <w:t>B. 0</w:t>
            </w:r>
            <w:r>
              <w:rPr>
                <w:rFonts w:ascii="Times New Roman" w:hAnsi="宋体" w:hint="eastAsia"/>
                <w:szCs w:val="21"/>
              </w:rPr>
              <w:t>～</w:t>
            </w:r>
            <w:r>
              <w:rPr>
                <w:rFonts w:ascii="Times New Roman" w:hAnsi="Times New Roman"/>
                <w:szCs w:val="21"/>
              </w:rPr>
              <w:t>24</w:t>
            </w:r>
            <w:r>
              <w:rPr>
                <w:rFonts w:ascii="Times New Roman" w:hAnsi="宋体" w:hint="eastAsia"/>
                <w:szCs w:val="21"/>
              </w:rPr>
              <w:t>小时</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4</w:t>
            </w:r>
            <w:r>
              <w:rPr>
                <w:rFonts w:ascii="Times New Roman" w:hAnsi="宋体" w:hint="eastAsia"/>
                <w:szCs w:val="21"/>
              </w:rPr>
              <w:t>～</w:t>
            </w:r>
            <w:r>
              <w:rPr>
                <w:rFonts w:ascii="Times New Roman" w:hAnsi="Times New Roman"/>
                <w:szCs w:val="21"/>
              </w:rPr>
              <w:t>48</w:t>
            </w:r>
            <w:r>
              <w:rPr>
                <w:rFonts w:ascii="Times New Roman" w:hAnsi="宋体" w:hint="eastAsia"/>
                <w:szCs w:val="21"/>
              </w:rPr>
              <w:t>小时</w:t>
            </w:r>
          </w:p>
        </w:tc>
        <w:tc>
          <w:tcPr>
            <w:tcW w:w="3900" w:type="dxa"/>
          </w:tcPr>
          <w:p w:rsidR="003717A0" w:rsidRDefault="003717A0">
            <w:pPr>
              <w:rPr>
                <w:rFonts w:ascii="Times New Roman" w:hAnsi="Times New Roman"/>
                <w:szCs w:val="21"/>
              </w:rPr>
            </w:pPr>
            <w:r>
              <w:rPr>
                <w:rFonts w:ascii="Times New Roman" w:hAnsi="Times New Roman"/>
                <w:szCs w:val="21"/>
              </w:rPr>
              <w:t>D. 4</w:t>
            </w:r>
            <w:r>
              <w:rPr>
                <w:rFonts w:ascii="Times New Roman" w:hAnsi="宋体" w:hint="eastAsia"/>
                <w:szCs w:val="21"/>
              </w:rPr>
              <w:t>～</w:t>
            </w:r>
            <w:r>
              <w:rPr>
                <w:rFonts w:ascii="Times New Roman" w:hAnsi="Times New Roman"/>
                <w:szCs w:val="21"/>
              </w:rPr>
              <w:t>96</w:t>
            </w:r>
            <w:r>
              <w:rPr>
                <w:rFonts w:ascii="Times New Roman" w:hAnsi="宋体" w:hint="eastAsia"/>
                <w:szCs w:val="21"/>
              </w:rPr>
              <w:t>小时</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24</w:t>
            </w:r>
            <w:r>
              <w:rPr>
                <w:rFonts w:ascii="Times New Roman" w:hAnsi="宋体" w:hint="eastAsia"/>
                <w:szCs w:val="21"/>
              </w:rPr>
              <w:t>～</w:t>
            </w:r>
            <w:r>
              <w:rPr>
                <w:rFonts w:ascii="Times New Roman" w:hAnsi="Times New Roman"/>
                <w:szCs w:val="21"/>
              </w:rPr>
              <w:t>96</w:t>
            </w:r>
            <w:r>
              <w:rPr>
                <w:rFonts w:ascii="Times New Roman" w:hAnsi="宋体" w:hint="eastAsia"/>
                <w:szCs w:val="21"/>
              </w:rPr>
              <w:t>小时</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18.</w:t>
            </w:r>
          </w:p>
        </w:tc>
        <w:tc>
          <w:tcPr>
            <w:tcW w:w="8183" w:type="dxa"/>
            <w:gridSpan w:val="2"/>
          </w:tcPr>
          <w:p w:rsidR="003717A0" w:rsidRDefault="003717A0">
            <w:pPr>
              <w:rPr>
                <w:rFonts w:ascii="Times New Roman" w:hAnsi="Times New Roman"/>
                <w:szCs w:val="21"/>
              </w:rPr>
            </w:pPr>
            <w:r>
              <w:rPr>
                <w:rFonts w:ascii="Times New Roman" w:hint="eastAsia"/>
                <w:szCs w:val="21"/>
              </w:rPr>
              <w:t>对于</w:t>
            </w:r>
            <w:r>
              <w:rPr>
                <w:rFonts w:ascii="Times New Roman" w:hAnsi="Times New Roman"/>
                <w:szCs w:val="21"/>
              </w:rPr>
              <w:t>HLA</w:t>
            </w:r>
            <w:r>
              <w:rPr>
                <w:rFonts w:ascii="Times New Roman" w:hAnsi="宋体" w:hint="eastAsia"/>
                <w:szCs w:val="21"/>
              </w:rPr>
              <w:t>Ⅰ</w:t>
            </w:r>
            <w:r>
              <w:rPr>
                <w:rFonts w:ascii="Times New Roman" w:hint="eastAsia"/>
                <w:szCs w:val="21"/>
              </w:rPr>
              <w:t>类抗原表述错误的是（</w:t>
            </w:r>
            <w:r>
              <w:rPr>
                <w:rFonts w:ascii="Times New Roman" w:hAnsi="Times New Roman"/>
                <w:szCs w:val="21"/>
              </w:rPr>
              <w:t xml:space="preserve"> </w:t>
            </w:r>
            <w:r>
              <w:rPr>
                <w:rFonts w:ascii="Times New Roman"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表达于所有有核细胞表面</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肽结合域为开放型</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识别和提呈内源性抗原肽</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与辅助受体</w:t>
            </w:r>
            <w:r>
              <w:rPr>
                <w:rFonts w:ascii="Times New Roman" w:hAnsi="Times New Roman"/>
                <w:szCs w:val="21"/>
              </w:rPr>
              <w:t>CD8</w:t>
            </w:r>
            <w:r>
              <w:rPr>
                <w:rFonts w:ascii="Times New Roman" w:hAnsi="宋体" w:hint="eastAsia"/>
                <w:szCs w:val="21"/>
              </w:rPr>
              <w:t>结合</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对</w:t>
            </w:r>
            <w:r>
              <w:rPr>
                <w:rFonts w:ascii="Times New Roman" w:hAnsi="Times New Roman"/>
                <w:szCs w:val="21"/>
              </w:rPr>
              <w:t>CTL</w:t>
            </w:r>
            <w:r>
              <w:rPr>
                <w:rFonts w:ascii="Times New Roman" w:hAnsi="宋体" w:hint="eastAsia"/>
                <w:szCs w:val="21"/>
              </w:rPr>
              <w:t>的识别起限制作用</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19.</w:t>
            </w:r>
          </w:p>
        </w:tc>
        <w:tc>
          <w:tcPr>
            <w:tcW w:w="8183" w:type="dxa"/>
            <w:gridSpan w:val="2"/>
          </w:tcPr>
          <w:p w:rsidR="003717A0" w:rsidRDefault="003717A0">
            <w:pPr>
              <w:rPr>
                <w:rFonts w:ascii="Times New Roman" w:hAnsi="Times New Roman"/>
                <w:szCs w:val="21"/>
              </w:rPr>
            </w:pPr>
            <w:r>
              <w:rPr>
                <w:rFonts w:ascii="Times New Roman" w:hAnsi="宋体" w:hint="eastAsia"/>
                <w:szCs w:val="21"/>
              </w:rPr>
              <w:t>属于经典</w:t>
            </w:r>
            <w:r>
              <w:rPr>
                <w:rFonts w:ascii="Times New Roman" w:hAnsi="Times New Roman"/>
                <w:szCs w:val="21"/>
              </w:rPr>
              <w:t xml:space="preserve">HLA </w:t>
            </w:r>
            <w:r>
              <w:rPr>
                <w:rFonts w:ascii="Times New Roman" w:hAnsi="宋体" w:hint="eastAsia"/>
                <w:szCs w:val="21"/>
              </w:rPr>
              <w:t>Ⅱ类基因座位的是（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B</w:t>
            </w:r>
            <w:r>
              <w:rPr>
                <w:rFonts w:ascii="Times New Roman" w:hAnsi="宋体" w:hint="eastAsia"/>
                <w:szCs w:val="21"/>
              </w:rPr>
              <w:t>、</w:t>
            </w:r>
            <w:r>
              <w:rPr>
                <w:rFonts w:ascii="Times New Roman" w:hAnsi="Times New Roman"/>
                <w:szCs w:val="21"/>
              </w:rPr>
              <w:t>C</w:t>
            </w:r>
            <w:r>
              <w:rPr>
                <w:rFonts w:ascii="Times New Roman" w:hAnsi="宋体" w:hint="eastAsia"/>
                <w:szCs w:val="21"/>
              </w:rPr>
              <w:t>、</w:t>
            </w:r>
            <w:r>
              <w:rPr>
                <w:rFonts w:ascii="Times New Roman" w:hAnsi="Times New Roman"/>
                <w:szCs w:val="21"/>
              </w:rPr>
              <w:t>A</w:t>
            </w:r>
          </w:p>
        </w:tc>
        <w:tc>
          <w:tcPr>
            <w:tcW w:w="3900" w:type="dxa"/>
          </w:tcPr>
          <w:p w:rsidR="003717A0" w:rsidRDefault="003717A0">
            <w:pPr>
              <w:rPr>
                <w:rFonts w:ascii="Times New Roman" w:hAnsi="Times New Roman"/>
                <w:szCs w:val="21"/>
              </w:rPr>
            </w:pPr>
            <w:r>
              <w:rPr>
                <w:rFonts w:ascii="Times New Roman" w:hAnsi="Times New Roman"/>
                <w:szCs w:val="21"/>
              </w:rPr>
              <w:t>B. DP</w:t>
            </w:r>
            <w:r>
              <w:rPr>
                <w:rFonts w:ascii="Times New Roman" w:hAnsi="宋体" w:hint="eastAsia"/>
                <w:szCs w:val="21"/>
              </w:rPr>
              <w:t>、</w:t>
            </w:r>
            <w:r>
              <w:rPr>
                <w:rFonts w:ascii="Times New Roman" w:hAnsi="Times New Roman"/>
                <w:szCs w:val="21"/>
              </w:rPr>
              <w:t>DO</w:t>
            </w:r>
            <w:r>
              <w:rPr>
                <w:rFonts w:ascii="Times New Roman" w:hAnsi="宋体" w:hint="eastAsia"/>
                <w:szCs w:val="21"/>
              </w:rPr>
              <w:t>、</w:t>
            </w:r>
            <w:r>
              <w:rPr>
                <w:rFonts w:ascii="Times New Roman" w:hAnsi="Times New Roman"/>
                <w:szCs w:val="21"/>
              </w:rPr>
              <w:t>DM</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DP</w:t>
            </w:r>
            <w:r>
              <w:rPr>
                <w:rFonts w:ascii="Times New Roman" w:hAnsi="宋体" w:hint="eastAsia"/>
                <w:szCs w:val="21"/>
              </w:rPr>
              <w:t>、</w:t>
            </w:r>
            <w:r>
              <w:rPr>
                <w:rFonts w:ascii="Times New Roman" w:hAnsi="Times New Roman"/>
                <w:szCs w:val="21"/>
              </w:rPr>
              <w:t>DQ</w:t>
            </w:r>
            <w:r>
              <w:rPr>
                <w:rFonts w:ascii="Times New Roman" w:hAnsi="宋体" w:hint="eastAsia"/>
                <w:szCs w:val="21"/>
              </w:rPr>
              <w:t>、</w:t>
            </w:r>
            <w:r>
              <w:rPr>
                <w:rFonts w:ascii="Times New Roman" w:hAnsi="Times New Roman"/>
                <w:szCs w:val="21"/>
              </w:rPr>
              <w:t>DR</w:t>
            </w:r>
          </w:p>
        </w:tc>
        <w:tc>
          <w:tcPr>
            <w:tcW w:w="3900" w:type="dxa"/>
          </w:tcPr>
          <w:p w:rsidR="003717A0" w:rsidRDefault="003717A0">
            <w:pPr>
              <w:rPr>
                <w:rFonts w:ascii="Times New Roman" w:hAnsi="Times New Roman"/>
                <w:szCs w:val="21"/>
              </w:rPr>
            </w:pPr>
            <w:r>
              <w:rPr>
                <w:rFonts w:ascii="Times New Roman" w:hAnsi="Times New Roman"/>
                <w:szCs w:val="21"/>
              </w:rPr>
              <w:t>D. E</w:t>
            </w:r>
            <w:r>
              <w:rPr>
                <w:rFonts w:ascii="Times New Roman" w:hAnsi="宋体" w:hint="eastAsia"/>
                <w:szCs w:val="21"/>
              </w:rPr>
              <w:t>、</w:t>
            </w:r>
            <w:r>
              <w:rPr>
                <w:rFonts w:ascii="Times New Roman" w:hAnsi="Times New Roman"/>
                <w:szCs w:val="21"/>
              </w:rPr>
              <w:t>G</w:t>
            </w:r>
            <w:r>
              <w:rPr>
                <w:rFonts w:ascii="Times New Roman" w:hAnsi="宋体" w:hint="eastAsia"/>
                <w:szCs w:val="21"/>
              </w:rPr>
              <w:t>、</w:t>
            </w:r>
            <w:r>
              <w:rPr>
                <w:rFonts w:ascii="Times New Roman" w:hAnsi="Times New Roman"/>
                <w:szCs w:val="21"/>
              </w:rPr>
              <w:t>F</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DP</w:t>
            </w:r>
            <w:r>
              <w:rPr>
                <w:rFonts w:ascii="Times New Roman" w:hAnsi="宋体" w:hint="eastAsia"/>
                <w:szCs w:val="21"/>
              </w:rPr>
              <w:t>、</w:t>
            </w:r>
            <w:r>
              <w:rPr>
                <w:rFonts w:ascii="Times New Roman" w:hAnsi="Times New Roman"/>
                <w:szCs w:val="21"/>
              </w:rPr>
              <w:t>DO</w:t>
            </w:r>
            <w:r>
              <w:rPr>
                <w:rFonts w:ascii="Times New Roman" w:hAnsi="宋体" w:hint="eastAsia"/>
                <w:szCs w:val="21"/>
              </w:rPr>
              <w:t>、</w:t>
            </w:r>
            <w:r>
              <w:rPr>
                <w:rFonts w:ascii="Times New Roman" w:hAnsi="Times New Roman"/>
                <w:szCs w:val="21"/>
              </w:rPr>
              <w:t>DR</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20.</w:t>
            </w:r>
          </w:p>
        </w:tc>
        <w:tc>
          <w:tcPr>
            <w:tcW w:w="8183" w:type="dxa"/>
            <w:gridSpan w:val="2"/>
          </w:tcPr>
          <w:p w:rsidR="003717A0" w:rsidRDefault="003717A0">
            <w:pPr>
              <w:rPr>
                <w:rFonts w:ascii="Times New Roman" w:hAnsi="Times New Roman"/>
                <w:szCs w:val="21"/>
              </w:rPr>
            </w:pPr>
            <w:r>
              <w:rPr>
                <w:rFonts w:ascii="Times New Roman" w:hAnsi="宋体" w:hint="eastAsia"/>
                <w:szCs w:val="21"/>
              </w:rPr>
              <w:t>以下表面分子不参与构成</w:t>
            </w:r>
            <w:r>
              <w:rPr>
                <w:rFonts w:ascii="Times New Roman" w:hAnsi="Times New Roman"/>
                <w:szCs w:val="21"/>
              </w:rPr>
              <w:t>T</w:t>
            </w:r>
            <w:r>
              <w:rPr>
                <w:rFonts w:ascii="Times New Roman" w:hAnsi="宋体" w:hint="eastAsia"/>
                <w:szCs w:val="21"/>
              </w:rPr>
              <w:t>细胞活化的第一信号的是（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MHC</w:t>
            </w:r>
            <w:r>
              <w:rPr>
                <w:rFonts w:ascii="Times New Roman" w:hAnsi="宋体" w:hint="eastAsia"/>
                <w:szCs w:val="21"/>
              </w:rPr>
              <w:t>Ⅰ</w:t>
            </w:r>
            <w:r>
              <w:rPr>
                <w:rFonts w:ascii="Times New Roman" w:hAnsi="Times New Roman"/>
                <w:szCs w:val="21"/>
              </w:rPr>
              <w:t>/</w:t>
            </w:r>
            <w:r>
              <w:rPr>
                <w:rFonts w:ascii="Times New Roman" w:hAnsi="宋体" w:hint="eastAsia"/>
                <w:szCs w:val="21"/>
              </w:rPr>
              <w:t>Ⅱ类分子</w:t>
            </w:r>
          </w:p>
        </w:tc>
        <w:tc>
          <w:tcPr>
            <w:tcW w:w="3900" w:type="dxa"/>
          </w:tcPr>
          <w:p w:rsidR="003717A0" w:rsidRDefault="003717A0">
            <w:pPr>
              <w:rPr>
                <w:rFonts w:ascii="Times New Roman" w:hAnsi="Times New Roman"/>
                <w:szCs w:val="21"/>
              </w:rPr>
            </w:pPr>
            <w:r>
              <w:rPr>
                <w:rFonts w:ascii="Times New Roman" w:hAnsi="Times New Roman"/>
                <w:szCs w:val="21"/>
              </w:rPr>
              <w:t>B. TCR</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CD4/CD8</w:t>
            </w:r>
          </w:p>
        </w:tc>
        <w:tc>
          <w:tcPr>
            <w:tcW w:w="3900" w:type="dxa"/>
          </w:tcPr>
          <w:p w:rsidR="003717A0" w:rsidRDefault="003717A0">
            <w:pPr>
              <w:rPr>
                <w:rFonts w:ascii="Times New Roman" w:hAnsi="Times New Roman"/>
                <w:szCs w:val="21"/>
              </w:rPr>
            </w:pPr>
            <w:r>
              <w:rPr>
                <w:rFonts w:ascii="Times New Roman" w:hAnsi="Times New Roman"/>
                <w:szCs w:val="21"/>
              </w:rPr>
              <w:t>D. CD28</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CD3</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21.</w:t>
            </w:r>
          </w:p>
        </w:tc>
        <w:tc>
          <w:tcPr>
            <w:tcW w:w="8183" w:type="dxa"/>
            <w:gridSpan w:val="2"/>
          </w:tcPr>
          <w:p w:rsidR="003717A0" w:rsidRDefault="003717A0">
            <w:pPr>
              <w:rPr>
                <w:rFonts w:ascii="Times New Roman" w:hAnsi="Times New Roman"/>
                <w:szCs w:val="21"/>
              </w:rPr>
            </w:pPr>
            <w:r>
              <w:rPr>
                <w:rFonts w:ascii="Times New Roman" w:hAnsi="Times New Roman"/>
                <w:szCs w:val="21"/>
              </w:rPr>
              <w:t>Th2</w:t>
            </w:r>
            <w:r>
              <w:rPr>
                <w:rFonts w:ascii="Times New Roman" w:hAnsi="宋体" w:hint="eastAsia"/>
                <w:szCs w:val="21"/>
              </w:rPr>
              <w:t>细胞分泌细胞因子与下列哪种细胞的增殖、分化关系密切（</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CTL </w:t>
            </w:r>
          </w:p>
        </w:tc>
        <w:tc>
          <w:tcPr>
            <w:tcW w:w="3900" w:type="dxa"/>
          </w:tcPr>
          <w:p w:rsidR="003717A0" w:rsidRDefault="003717A0">
            <w:pPr>
              <w:rPr>
                <w:rFonts w:ascii="Times New Roman" w:hAnsi="Times New Roman"/>
                <w:szCs w:val="21"/>
              </w:rPr>
            </w:pPr>
            <w:r>
              <w:rPr>
                <w:rFonts w:ascii="Times New Roman" w:hAnsi="Times New Roman"/>
                <w:szCs w:val="21"/>
              </w:rPr>
              <w:t>B. B</w:t>
            </w:r>
            <w:r>
              <w:rPr>
                <w:rFonts w:ascii="Times New Roman" w:hAnsi="宋体" w:hint="eastAsia"/>
                <w:szCs w:val="21"/>
              </w:rPr>
              <w:t>淋巴细胞</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中性粒细胞</w:t>
            </w:r>
          </w:p>
        </w:tc>
        <w:tc>
          <w:tcPr>
            <w:tcW w:w="3900" w:type="dxa"/>
          </w:tcPr>
          <w:p w:rsidR="003717A0" w:rsidRDefault="003717A0">
            <w:pPr>
              <w:rPr>
                <w:rFonts w:ascii="Times New Roman" w:hAnsi="Times New Roman"/>
                <w:szCs w:val="21"/>
              </w:rPr>
            </w:pPr>
            <w:r>
              <w:rPr>
                <w:rFonts w:ascii="Times New Roman" w:hAnsi="Times New Roman"/>
                <w:szCs w:val="21"/>
              </w:rPr>
              <w:t>D. NK</w:t>
            </w:r>
            <w:r>
              <w:rPr>
                <w:rFonts w:ascii="Times New Roman" w:hAnsi="宋体" w:hint="eastAsia"/>
                <w:szCs w:val="21"/>
              </w:rPr>
              <w:t>细胞</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单核细胞</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22.</w:t>
            </w:r>
          </w:p>
        </w:tc>
        <w:tc>
          <w:tcPr>
            <w:tcW w:w="8183" w:type="dxa"/>
            <w:gridSpan w:val="2"/>
          </w:tcPr>
          <w:p w:rsidR="003717A0" w:rsidRDefault="003717A0">
            <w:pPr>
              <w:rPr>
                <w:rFonts w:ascii="Times New Roman" w:hAnsi="Times New Roman"/>
                <w:szCs w:val="21"/>
              </w:rPr>
            </w:pPr>
            <w:r>
              <w:rPr>
                <w:rFonts w:ascii="Times New Roman" w:hAnsi="宋体" w:hint="eastAsia"/>
                <w:szCs w:val="21"/>
              </w:rPr>
              <w:t>未成熟的</w:t>
            </w:r>
            <w:r>
              <w:rPr>
                <w:rFonts w:ascii="Times New Roman" w:hAnsi="Times New Roman"/>
                <w:szCs w:val="21"/>
              </w:rPr>
              <w:t>B</w:t>
            </w:r>
            <w:r>
              <w:rPr>
                <w:rFonts w:ascii="Times New Roman" w:hAnsi="宋体" w:hint="eastAsia"/>
                <w:szCs w:val="21"/>
              </w:rPr>
              <w:t>细胞表达的</w:t>
            </w:r>
            <w:r>
              <w:rPr>
                <w:rFonts w:ascii="Times New Roman" w:hAnsi="Times New Roman"/>
                <w:szCs w:val="21"/>
              </w:rPr>
              <w:t>BCR</w:t>
            </w:r>
            <w:r>
              <w:rPr>
                <w:rFonts w:ascii="Times New Roman" w:hAnsi="宋体" w:hint="eastAsia"/>
                <w:szCs w:val="21"/>
              </w:rPr>
              <w:t>为（</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mIgA</w:t>
            </w:r>
          </w:p>
        </w:tc>
        <w:tc>
          <w:tcPr>
            <w:tcW w:w="3900" w:type="dxa"/>
          </w:tcPr>
          <w:p w:rsidR="003717A0" w:rsidRDefault="003717A0">
            <w:pPr>
              <w:rPr>
                <w:rFonts w:ascii="Times New Roman" w:hAnsi="Times New Roman"/>
                <w:szCs w:val="21"/>
              </w:rPr>
            </w:pPr>
            <w:r>
              <w:rPr>
                <w:rFonts w:ascii="Times New Roman" w:hAnsi="Times New Roman"/>
                <w:szCs w:val="21"/>
              </w:rPr>
              <w:t>B. mIgG</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mIgM</w:t>
            </w:r>
          </w:p>
        </w:tc>
        <w:tc>
          <w:tcPr>
            <w:tcW w:w="3900" w:type="dxa"/>
          </w:tcPr>
          <w:p w:rsidR="003717A0" w:rsidRDefault="003717A0">
            <w:pPr>
              <w:rPr>
                <w:rFonts w:ascii="Times New Roman" w:hAnsi="Times New Roman"/>
                <w:szCs w:val="21"/>
              </w:rPr>
            </w:pPr>
            <w:r>
              <w:rPr>
                <w:rFonts w:ascii="Times New Roman" w:hAnsi="Times New Roman"/>
                <w:szCs w:val="21"/>
              </w:rPr>
              <w:t>D. mIgM</w:t>
            </w:r>
            <w:r>
              <w:rPr>
                <w:rFonts w:ascii="Times New Roman" w:hAnsi="宋体" w:hint="eastAsia"/>
                <w:szCs w:val="21"/>
              </w:rPr>
              <w:t>和</w:t>
            </w:r>
            <w:r>
              <w:rPr>
                <w:rFonts w:ascii="Times New Roman" w:hAnsi="Times New Roman"/>
                <w:szCs w:val="21"/>
              </w:rPr>
              <w:t>mIgD</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mIgD</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23.</w:t>
            </w:r>
          </w:p>
        </w:tc>
        <w:tc>
          <w:tcPr>
            <w:tcW w:w="8183" w:type="dxa"/>
            <w:gridSpan w:val="2"/>
          </w:tcPr>
          <w:p w:rsidR="003717A0" w:rsidRDefault="003717A0">
            <w:pPr>
              <w:rPr>
                <w:rFonts w:ascii="Times New Roman" w:hAnsi="Times New Roman"/>
                <w:szCs w:val="21"/>
              </w:rPr>
            </w:pPr>
            <w:r>
              <w:rPr>
                <w:rFonts w:ascii="Times New Roman" w:hAnsi="宋体" w:hint="eastAsia"/>
                <w:szCs w:val="21"/>
              </w:rPr>
              <w:t>下列构成</w:t>
            </w:r>
            <w:r>
              <w:rPr>
                <w:rFonts w:ascii="Times New Roman" w:hAnsi="Times New Roman"/>
                <w:szCs w:val="21"/>
              </w:rPr>
              <w:t>B</w:t>
            </w:r>
            <w:r>
              <w:rPr>
                <w:rFonts w:ascii="Times New Roman" w:hAnsi="宋体" w:hint="eastAsia"/>
                <w:szCs w:val="21"/>
              </w:rPr>
              <w:t>细胞活化的第二信号的是（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A. CD28</w:t>
            </w:r>
            <w:r>
              <w:rPr>
                <w:rFonts w:ascii="Times New Roman" w:hAnsi="宋体" w:hint="eastAsia"/>
                <w:szCs w:val="21"/>
              </w:rPr>
              <w:t>与</w:t>
            </w:r>
            <w:r>
              <w:rPr>
                <w:rFonts w:ascii="Times New Roman" w:hAnsi="Times New Roman"/>
                <w:szCs w:val="21"/>
              </w:rPr>
              <w:t>CD80/CD86</w:t>
            </w:r>
          </w:p>
        </w:tc>
        <w:tc>
          <w:tcPr>
            <w:tcW w:w="3900" w:type="dxa"/>
          </w:tcPr>
          <w:p w:rsidR="003717A0" w:rsidRDefault="003717A0">
            <w:pPr>
              <w:rPr>
                <w:rFonts w:ascii="Times New Roman" w:hAnsi="Times New Roman"/>
                <w:szCs w:val="21"/>
              </w:rPr>
            </w:pPr>
            <w:r>
              <w:rPr>
                <w:rFonts w:ascii="Times New Roman" w:hAnsi="Times New Roman"/>
                <w:szCs w:val="21"/>
              </w:rPr>
              <w:t>B. ICAM-1</w:t>
            </w:r>
            <w:r>
              <w:rPr>
                <w:rFonts w:ascii="Times New Roman" w:hAnsi="宋体" w:hint="eastAsia"/>
                <w:szCs w:val="21"/>
              </w:rPr>
              <w:t>与</w:t>
            </w:r>
            <w:r>
              <w:rPr>
                <w:rFonts w:ascii="Times New Roman" w:hAnsi="Times New Roman"/>
                <w:szCs w:val="21"/>
              </w:rPr>
              <w:t>LFA-1</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BCR</w:t>
            </w:r>
            <w:r>
              <w:rPr>
                <w:rFonts w:ascii="Times New Roman" w:hAnsi="宋体" w:hint="eastAsia"/>
                <w:szCs w:val="21"/>
              </w:rPr>
              <w:t>与</w:t>
            </w:r>
            <w:r>
              <w:rPr>
                <w:rFonts w:ascii="Times New Roman" w:hAnsi="Times New Roman"/>
                <w:szCs w:val="21"/>
              </w:rPr>
              <w:t>Igα/Igβ</w:t>
            </w:r>
          </w:p>
        </w:tc>
        <w:tc>
          <w:tcPr>
            <w:tcW w:w="3900" w:type="dxa"/>
          </w:tcPr>
          <w:p w:rsidR="003717A0" w:rsidRDefault="003717A0">
            <w:pPr>
              <w:rPr>
                <w:rFonts w:ascii="Times New Roman" w:hAnsi="Times New Roman"/>
                <w:szCs w:val="21"/>
              </w:rPr>
            </w:pPr>
            <w:r>
              <w:rPr>
                <w:rFonts w:ascii="Times New Roman" w:hAnsi="Times New Roman"/>
                <w:szCs w:val="21"/>
              </w:rPr>
              <w:t>D. MHC</w:t>
            </w:r>
            <w:r>
              <w:rPr>
                <w:rFonts w:ascii="Times New Roman" w:hAnsi="宋体" w:hint="eastAsia"/>
                <w:szCs w:val="21"/>
              </w:rPr>
              <w:t>Ⅱ类分子与</w:t>
            </w:r>
            <w:r>
              <w:rPr>
                <w:rFonts w:ascii="Times New Roman" w:hAnsi="Times New Roman"/>
                <w:szCs w:val="21"/>
              </w:rPr>
              <w:t>CD4</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E. CD40</w:t>
            </w:r>
            <w:r>
              <w:rPr>
                <w:rFonts w:ascii="Times New Roman" w:hAnsi="宋体" w:hint="eastAsia"/>
                <w:szCs w:val="21"/>
              </w:rPr>
              <w:t>与</w:t>
            </w:r>
            <w:r>
              <w:rPr>
                <w:rFonts w:ascii="Times New Roman" w:hAnsi="Times New Roman"/>
                <w:szCs w:val="21"/>
              </w:rPr>
              <w:t>CD40L</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24.</w:t>
            </w:r>
          </w:p>
        </w:tc>
        <w:tc>
          <w:tcPr>
            <w:tcW w:w="8183" w:type="dxa"/>
            <w:gridSpan w:val="2"/>
          </w:tcPr>
          <w:p w:rsidR="003717A0" w:rsidRDefault="003717A0">
            <w:pPr>
              <w:rPr>
                <w:rFonts w:ascii="Times New Roman" w:hAnsi="Times New Roman"/>
                <w:szCs w:val="21"/>
              </w:rPr>
            </w:pPr>
            <w:r>
              <w:rPr>
                <w:rFonts w:ascii="Times New Roman" w:hAnsi="宋体" w:hint="eastAsia"/>
                <w:szCs w:val="21"/>
              </w:rPr>
              <w:t>下列可以刺激初始</w:t>
            </w:r>
            <w:r>
              <w:rPr>
                <w:rFonts w:ascii="Times New Roman" w:hAnsi="Times New Roman"/>
                <w:szCs w:val="21"/>
              </w:rPr>
              <w:t>T</w:t>
            </w:r>
            <w:r>
              <w:rPr>
                <w:rFonts w:ascii="Times New Roman" w:hAnsi="宋体" w:hint="eastAsia"/>
                <w:szCs w:val="21"/>
              </w:rPr>
              <w:t>细胞增殖的是（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单核细胞</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成纤维细胞</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C. B</w:t>
            </w:r>
            <w:r>
              <w:rPr>
                <w:rFonts w:ascii="Times New Roman" w:hAnsi="宋体" w:hint="eastAsia"/>
                <w:szCs w:val="21"/>
              </w:rPr>
              <w:t>淋巴细胞</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树突状细胞</w:t>
            </w:r>
          </w:p>
        </w:tc>
      </w:tr>
      <w:tr w:rsidR="003717A0">
        <w:tc>
          <w:tcPr>
            <w:tcW w:w="817" w:type="dxa"/>
            <w:gridSpan w:val="2"/>
          </w:tcPr>
          <w:p w:rsidR="003717A0" w:rsidRDefault="003717A0">
            <w:pPr>
              <w:rPr>
                <w:rFonts w:ascii="Times New Roman" w:hAnsi="Times New Roman"/>
                <w:szCs w:val="21"/>
              </w:rPr>
            </w:pPr>
          </w:p>
        </w:tc>
        <w:tc>
          <w:tcPr>
            <w:tcW w:w="8183" w:type="dxa"/>
            <w:gridSpan w:val="2"/>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巨噬细胞</w:t>
            </w: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25.</w:t>
            </w:r>
          </w:p>
        </w:tc>
        <w:tc>
          <w:tcPr>
            <w:tcW w:w="8183" w:type="dxa"/>
            <w:gridSpan w:val="2"/>
          </w:tcPr>
          <w:p w:rsidR="003717A0" w:rsidRDefault="003717A0">
            <w:pPr>
              <w:rPr>
                <w:rFonts w:ascii="Times New Roman" w:hAnsi="Times New Roman"/>
                <w:szCs w:val="21"/>
              </w:rPr>
            </w:pPr>
            <w:r>
              <w:rPr>
                <w:rFonts w:ascii="Times New Roman" w:hAnsi="宋体" w:hint="eastAsia"/>
                <w:szCs w:val="21"/>
              </w:rPr>
              <w:t>内源性抗原肽降解的部位是（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内质网</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蛋白酶体</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内体与溶酶体</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高尔基体</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细胞核</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26.</w:t>
            </w:r>
          </w:p>
        </w:tc>
        <w:tc>
          <w:tcPr>
            <w:tcW w:w="8183" w:type="dxa"/>
            <w:gridSpan w:val="2"/>
          </w:tcPr>
          <w:p w:rsidR="003717A0" w:rsidRDefault="003717A0">
            <w:pPr>
              <w:rPr>
                <w:rFonts w:ascii="Times New Roman" w:hAnsi="Times New Roman"/>
                <w:szCs w:val="21"/>
              </w:rPr>
            </w:pPr>
            <w:r>
              <w:rPr>
                <w:rFonts w:ascii="Times New Roman" w:hAnsi="宋体" w:hint="eastAsia"/>
                <w:szCs w:val="21"/>
              </w:rPr>
              <w:t>发挥机械阻挡病原微生物入侵的组织结构是（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吞噬细胞</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皮肤粘膜</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溶菌酶</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补体</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干扰素</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27.</w:t>
            </w:r>
          </w:p>
        </w:tc>
        <w:tc>
          <w:tcPr>
            <w:tcW w:w="8183" w:type="dxa"/>
            <w:gridSpan w:val="2"/>
          </w:tcPr>
          <w:p w:rsidR="003717A0" w:rsidRDefault="003717A0">
            <w:pPr>
              <w:rPr>
                <w:rFonts w:ascii="Times New Roman" w:hAnsi="Times New Roman"/>
                <w:szCs w:val="21"/>
              </w:rPr>
            </w:pPr>
            <w:r>
              <w:rPr>
                <w:rFonts w:ascii="Times New Roman" w:hAnsi="宋体" w:hint="eastAsia"/>
                <w:szCs w:val="21"/>
              </w:rPr>
              <w:t>参与</w:t>
            </w:r>
            <w:r>
              <w:rPr>
                <w:rFonts w:ascii="Times New Roman" w:hAnsi="Times New Roman"/>
                <w:szCs w:val="21"/>
              </w:rPr>
              <w:t>TD-Ag</w:t>
            </w:r>
            <w:r>
              <w:rPr>
                <w:rFonts w:ascii="Times New Roman" w:hAnsi="宋体" w:hint="eastAsia"/>
                <w:szCs w:val="21"/>
              </w:rPr>
              <w:t>免疫应答过程的细胞是（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中性粒细胞与</w:t>
            </w:r>
            <w:r>
              <w:rPr>
                <w:rFonts w:ascii="Times New Roman" w:hAnsi="Times New Roman"/>
                <w:szCs w:val="21"/>
              </w:rPr>
              <w:t>T</w:t>
            </w:r>
            <w:r>
              <w:rPr>
                <w:rFonts w:ascii="Times New Roman" w:hAnsi="宋体" w:hint="eastAsia"/>
                <w:szCs w:val="21"/>
              </w:rPr>
              <w:t>细胞</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树突状细胞与</w:t>
            </w:r>
            <w:r>
              <w:rPr>
                <w:rFonts w:ascii="Times New Roman" w:hAnsi="Times New Roman"/>
                <w:szCs w:val="21"/>
              </w:rPr>
              <w:t>T</w:t>
            </w:r>
            <w:r>
              <w:rPr>
                <w:rFonts w:ascii="Times New Roman" w:hAnsi="宋体" w:hint="eastAsia"/>
                <w:szCs w:val="21"/>
              </w:rPr>
              <w:t>细胞</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红细胞与</w:t>
            </w:r>
            <w:r>
              <w:rPr>
                <w:rFonts w:ascii="Times New Roman" w:hAnsi="Times New Roman"/>
                <w:szCs w:val="21"/>
              </w:rPr>
              <w:t>B</w:t>
            </w:r>
            <w:r>
              <w:rPr>
                <w:rFonts w:ascii="Times New Roman" w:hAnsi="宋体" w:hint="eastAsia"/>
                <w:szCs w:val="21"/>
              </w:rPr>
              <w:t>细胞</w:t>
            </w:r>
          </w:p>
        </w:tc>
        <w:tc>
          <w:tcPr>
            <w:tcW w:w="3900" w:type="dxa"/>
          </w:tcPr>
          <w:p w:rsidR="003717A0" w:rsidRDefault="003717A0">
            <w:pPr>
              <w:rPr>
                <w:rFonts w:ascii="Times New Roman" w:hAnsi="Times New Roman"/>
                <w:szCs w:val="21"/>
              </w:rPr>
            </w:pPr>
            <w:r>
              <w:rPr>
                <w:rFonts w:ascii="Times New Roman" w:hAnsi="Times New Roman"/>
                <w:szCs w:val="21"/>
              </w:rPr>
              <w:t>D. NK</w:t>
            </w:r>
            <w:r>
              <w:rPr>
                <w:rFonts w:ascii="Times New Roman" w:hAnsi="宋体" w:hint="eastAsia"/>
                <w:szCs w:val="21"/>
              </w:rPr>
              <w:t>细胞与</w:t>
            </w:r>
            <w:r>
              <w:rPr>
                <w:rFonts w:ascii="Times New Roman" w:hAnsi="Times New Roman"/>
                <w:szCs w:val="21"/>
              </w:rPr>
              <w:t>CTL</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树突状细胞、</w:t>
            </w:r>
            <w:r>
              <w:rPr>
                <w:rFonts w:ascii="Times New Roman" w:hAnsi="Times New Roman"/>
                <w:szCs w:val="21"/>
              </w:rPr>
              <w:t>B</w:t>
            </w:r>
            <w:r>
              <w:rPr>
                <w:rFonts w:ascii="Times New Roman" w:hAnsi="宋体" w:hint="eastAsia"/>
                <w:szCs w:val="21"/>
              </w:rPr>
              <w:t>细胞、</w:t>
            </w:r>
            <w:r>
              <w:rPr>
                <w:rFonts w:ascii="Times New Roman" w:hAnsi="Times New Roman"/>
                <w:szCs w:val="21"/>
              </w:rPr>
              <w:t>T</w:t>
            </w:r>
            <w:r>
              <w:rPr>
                <w:rFonts w:ascii="Times New Roman" w:hAnsi="宋体" w:hint="eastAsia"/>
                <w:szCs w:val="21"/>
              </w:rPr>
              <w:t>细胞</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28.</w:t>
            </w:r>
          </w:p>
        </w:tc>
        <w:tc>
          <w:tcPr>
            <w:tcW w:w="8183" w:type="dxa"/>
            <w:gridSpan w:val="2"/>
          </w:tcPr>
          <w:p w:rsidR="003717A0" w:rsidRDefault="003717A0">
            <w:pPr>
              <w:rPr>
                <w:rFonts w:ascii="Times New Roman" w:hAnsi="Times New Roman"/>
                <w:szCs w:val="21"/>
              </w:rPr>
            </w:pPr>
            <w:r>
              <w:rPr>
                <w:rFonts w:ascii="Times New Roman" w:hAnsi="宋体" w:hint="eastAsia"/>
                <w:szCs w:val="21"/>
              </w:rPr>
              <w:t>下列关于初次应答时抗体产生的特征描述正确的是（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潜伏期短</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平台高</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抗体维持时间长</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抗体亲和力低</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主要产生</w:t>
            </w:r>
            <w:r>
              <w:rPr>
                <w:rFonts w:ascii="Times New Roman" w:hAnsi="Times New Roman"/>
                <w:szCs w:val="21"/>
              </w:rPr>
              <w:t>IgG</w:t>
            </w:r>
            <w:r>
              <w:rPr>
                <w:rFonts w:ascii="Times New Roman" w:hAnsi="宋体" w:hint="eastAsia"/>
                <w:szCs w:val="21"/>
              </w:rPr>
              <w:t>型抗体</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29.</w:t>
            </w:r>
          </w:p>
        </w:tc>
        <w:tc>
          <w:tcPr>
            <w:tcW w:w="8183" w:type="dxa"/>
            <w:gridSpan w:val="2"/>
          </w:tcPr>
          <w:p w:rsidR="003717A0" w:rsidRDefault="003717A0">
            <w:pPr>
              <w:rPr>
                <w:rFonts w:ascii="Times New Roman" w:hAnsi="Times New Roman"/>
                <w:szCs w:val="21"/>
              </w:rPr>
            </w:pPr>
            <w:r>
              <w:rPr>
                <w:rFonts w:ascii="Times New Roman" w:hAnsi="宋体" w:hint="eastAsia"/>
                <w:szCs w:val="21"/>
              </w:rPr>
              <w:t>最易引起全身耐受的抗原免疫途径是（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静脉注射和口服</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皮下注入</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皮内注射</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皮肤接触</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腹腔注射</w:t>
            </w:r>
          </w:p>
        </w:tc>
        <w:tc>
          <w:tcPr>
            <w:tcW w:w="3900" w:type="dxa"/>
          </w:tcPr>
          <w:p w:rsidR="003717A0" w:rsidRDefault="003717A0">
            <w:pPr>
              <w:rPr>
                <w:rFonts w:ascii="Times New Roman" w:hAnsi="Times New Roman"/>
                <w:szCs w:val="21"/>
              </w:rPr>
            </w:pPr>
          </w:p>
        </w:tc>
      </w:tr>
    </w:tbl>
    <w:p w:rsidR="003717A0" w:rsidRDefault="003717A0">
      <w:pPr>
        <w:rPr>
          <w:rFonts w:ascii="Times New Roman" w:hAnsi="Times New Roman"/>
          <w:szCs w:val="21"/>
        </w:rPr>
      </w:pPr>
    </w:p>
    <w:tbl>
      <w:tblPr>
        <w:tblW w:w="9000" w:type="dxa"/>
        <w:tblLayout w:type="fixed"/>
        <w:tblLook w:val="00A0"/>
      </w:tblPr>
      <w:tblGrid>
        <w:gridCol w:w="250"/>
        <w:gridCol w:w="567"/>
        <w:gridCol w:w="4283"/>
        <w:gridCol w:w="3900"/>
      </w:tblGrid>
      <w:tr w:rsidR="003717A0">
        <w:tc>
          <w:tcPr>
            <w:tcW w:w="250" w:type="dxa"/>
          </w:tcPr>
          <w:p w:rsidR="003717A0" w:rsidRDefault="003717A0">
            <w:pPr>
              <w:rPr>
                <w:rFonts w:ascii="Times New Roman" w:hAnsi="Times New Roman"/>
                <w:szCs w:val="21"/>
              </w:rPr>
            </w:pPr>
          </w:p>
        </w:tc>
        <w:tc>
          <w:tcPr>
            <w:tcW w:w="567" w:type="dxa"/>
          </w:tcPr>
          <w:p w:rsidR="003717A0" w:rsidRDefault="003717A0">
            <w:pPr>
              <w:rPr>
                <w:rFonts w:ascii="Times New Roman" w:hAnsi="Times New Roman"/>
                <w:szCs w:val="21"/>
              </w:rPr>
            </w:pPr>
            <w:r>
              <w:rPr>
                <w:rFonts w:ascii="Times New Roman" w:hAnsi="Times New Roman"/>
                <w:szCs w:val="21"/>
              </w:rPr>
              <w:t>30.</w:t>
            </w:r>
          </w:p>
        </w:tc>
        <w:tc>
          <w:tcPr>
            <w:tcW w:w="8183" w:type="dxa"/>
            <w:gridSpan w:val="2"/>
          </w:tcPr>
          <w:p w:rsidR="003717A0" w:rsidRDefault="003717A0">
            <w:pPr>
              <w:rPr>
                <w:rFonts w:ascii="Times New Roman" w:hAnsi="Times New Roman"/>
                <w:szCs w:val="21"/>
              </w:rPr>
            </w:pPr>
            <w:r>
              <w:rPr>
                <w:rFonts w:ascii="Times New Roman" w:hAnsi="宋体" w:hint="eastAsia"/>
                <w:szCs w:val="21"/>
              </w:rPr>
              <w:t>主要由体液免疫应答引起的超敏反应是（</w:t>
            </w:r>
            <w:r>
              <w:rPr>
                <w:rFonts w:ascii="Times New Roman" w:hAnsi="Times New Roman"/>
                <w:szCs w:val="21"/>
              </w:rPr>
              <w:t xml:space="preserve"> </w:t>
            </w:r>
            <w:r>
              <w:rPr>
                <w:rFonts w:ascii="Times New Roman" w:hAnsi="宋体" w:hint="eastAsia"/>
                <w:szCs w:val="21"/>
              </w:rPr>
              <w:t>）</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A. </w:t>
            </w:r>
            <w:r>
              <w:rPr>
                <w:rFonts w:ascii="Times New Roman" w:hAnsi="宋体" w:hint="eastAsia"/>
                <w:szCs w:val="21"/>
              </w:rPr>
              <w:t>Ⅰ、Ⅱ型超敏反应</w:t>
            </w:r>
          </w:p>
        </w:tc>
        <w:tc>
          <w:tcPr>
            <w:tcW w:w="3900" w:type="dxa"/>
          </w:tcPr>
          <w:p w:rsidR="003717A0" w:rsidRDefault="003717A0">
            <w:pPr>
              <w:rPr>
                <w:rFonts w:ascii="Times New Roman" w:hAnsi="Times New Roman"/>
                <w:szCs w:val="21"/>
              </w:rPr>
            </w:pPr>
            <w:r>
              <w:rPr>
                <w:rFonts w:ascii="Times New Roman" w:hAnsi="Times New Roman"/>
                <w:szCs w:val="21"/>
              </w:rPr>
              <w:t xml:space="preserve">B. </w:t>
            </w:r>
            <w:r>
              <w:rPr>
                <w:rFonts w:ascii="Times New Roman" w:hAnsi="宋体" w:hint="eastAsia"/>
                <w:szCs w:val="21"/>
              </w:rPr>
              <w:t>Ⅱ、Ⅲ型超敏反应</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C. </w:t>
            </w:r>
            <w:r>
              <w:rPr>
                <w:rFonts w:ascii="Times New Roman" w:hAnsi="宋体" w:hint="eastAsia"/>
                <w:szCs w:val="21"/>
              </w:rPr>
              <w:t>Ⅲ、Ⅳ型超敏反应</w:t>
            </w:r>
          </w:p>
        </w:tc>
        <w:tc>
          <w:tcPr>
            <w:tcW w:w="3900" w:type="dxa"/>
          </w:tcPr>
          <w:p w:rsidR="003717A0" w:rsidRDefault="003717A0">
            <w:pPr>
              <w:rPr>
                <w:rFonts w:ascii="Times New Roman" w:hAnsi="Times New Roman"/>
                <w:szCs w:val="21"/>
              </w:rPr>
            </w:pPr>
            <w:r>
              <w:rPr>
                <w:rFonts w:ascii="Times New Roman" w:hAnsi="Times New Roman"/>
                <w:szCs w:val="21"/>
              </w:rPr>
              <w:t xml:space="preserve">D. </w:t>
            </w:r>
            <w:r>
              <w:rPr>
                <w:rFonts w:ascii="Times New Roman" w:hAnsi="宋体" w:hint="eastAsia"/>
                <w:szCs w:val="21"/>
              </w:rPr>
              <w:t>Ⅰ、Ⅱ、Ⅲ型超敏反应</w:t>
            </w:r>
          </w:p>
        </w:tc>
      </w:tr>
      <w:tr w:rsidR="003717A0">
        <w:tc>
          <w:tcPr>
            <w:tcW w:w="817" w:type="dxa"/>
            <w:gridSpan w:val="2"/>
          </w:tcPr>
          <w:p w:rsidR="003717A0" w:rsidRDefault="003717A0">
            <w:pPr>
              <w:rPr>
                <w:rFonts w:ascii="Times New Roman" w:hAnsi="Times New Roman"/>
                <w:szCs w:val="21"/>
              </w:rPr>
            </w:pPr>
          </w:p>
        </w:tc>
        <w:tc>
          <w:tcPr>
            <w:tcW w:w="4283" w:type="dxa"/>
          </w:tcPr>
          <w:p w:rsidR="003717A0" w:rsidRDefault="003717A0">
            <w:pPr>
              <w:rPr>
                <w:rFonts w:ascii="Times New Roman" w:hAnsi="Times New Roman"/>
                <w:szCs w:val="21"/>
              </w:rPr>
            </w:pPr>
            <w:r>
              <w:rPr>
                <w:rFonts w:ascii="Times New Roman" w:hAnsi="Times New Roman"/>
                <w:szCs w:val="21"/>
              </w:rPr>
              <w:t xml:space="preserve">E. </w:t>
            </w:r>
            <w:r>
              <w:rPr>
                <w:rFonts w:ascii="Times New Roman" w:hAnsi="宋体" w:hint="eastAsia"/>
                <w:szCs w:val="21"/>
              </w:rPr>
              <w:t>Ⅰ、Ⅱ、Ⅲ、Ⅳ型超敏反应</w:t>
            </w:r>
          </w:p>
        </w:tc>
        <w:tc>
          <w:tcPr>
            <w:tcW w:w="3900" w:type="dxa"/>
          </w:tcPr>
          <w:p w:rsidR="003717A0" w:rsidRDefault="003717A0">
            <w:pPr>
              <w:rPr>
                <w:rFonts w:ascii="Times New Roman" w:hAnsi="Times New Roman"/>
                <w:szCs w:val="21"/>
              </w:rPr>
            </w:pPr>
          </w:p>
        </w:tc>
      </w:tr>
    </w:tbl>
    <w:p w:rsidR="003717A0" w:rsidRDefault="003717A0">
      <w:pPr>
        <w:autoSpaceDE w:val="0"/>
        <w:autoSpaceDN w:val="0"/>
        <w:adjustRightInd w:val="0"/>
        <w:snapToGrid w:val="0"/>
        <w:ind w:firstLineChars="40" w:firstLine="88"/>
        <w:jc w:val="left"/>
        <w:rPr>
          <w:rFonts w:ascii="Times New Roman" w:hAnsi="Times New Roman"/>
          <w:b/>
          <w:kern w:val="0"/>
          <w:sz w:val="22"/>
        </w:rPr>
      </w:pPr>
    </w:p>
    <w:p w:rsidR="003717A0" w:rsidRDefault="003717A0" w:rsidP="005E20B5">
      <w:pPr>
        <w:widowControl/>
        <w:adjustRightInd w:val="0"/>
        <w:snapToGrid w:val="0"/>
        <w:spacing w:beforeLines="50" w:line="360" w:lineRule="auto"/>
        <w:rPr>
          <w:rFonts w:ascii="Times New Roman" w:hAnsi="Times New Roman"/>
          <w:b/>
          <w:kern w:val="0"/>
          <w:sz w:val="22"/>
        </w:rPr>
      </w:pPr>
      <w:r>
        <w:rPr>
          <w:rFonts w:ascii="Times New Roman" w:hAnsi="Times New Roman" w:hint="eastAsia"/>
          <w:b/>
          <w:kern w:val="0"/>
          <w:sz w:val="22"/>
        </w:rPr>
        <w:t>二、名词解释题（每题</w:t>
      </w:r>
      <w:r>
        <w:rPr>
          <w:rFonts w:ascii="Times New Roman" w:hAnsi="Times New Roman"/>
          <w:b/>
          <w:kern w:val="0"/>
          <w:sz w:val="22"/>
        </w:rPr>
        <w:t>2.5</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widowControl/>
        <w:adjustRightInd w:val="0"/>
        <w:snapToGrid w:val="0"/>
        <w:spacing w:line="360" w:lineRule="auto"/>
        <w:ind w:firstLineChars="200" w:firstLine="440"/>
        <w:rPr>
          <w:rFonts w:ascii="Times New Roman" w:hAnsi="Times New Roman"/>
        </w:rPr>
      </w:pPr>
      <w:r>
        <w:rPr>
          <w:rFonts w:ascii="Times New Roman" w:hAnsi="Times New Roman"/>
          <w:kern w:val="0"/>
          <w:sz w:val="22"/>
        </w:rPr>
        <w:t xml:space="preserve">1. </w:t>
      </w:r>
      <w:r>
        <w:rPr>
          <w:rFonts w:ascii="Times New Roman" w:hAnsi="宋体" w:hint="eastAsia"/>
        </w:rPr>
        <w:t>免疫防御</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 xml:space="preserve">2. </w:t>
      </w:r>
      <w:r>
        <w:rPr>
          <w:rFonts w:ascii="Times New Roman" w:hAnsi="宋体" w:hint="eastAsia"/>
        </w:rPr>
        <w:t>交叉反应</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 xml:space="preserve">3. </w:t>
      </w:r>
      <w:r>
        <w:rPr>
          <w:rFonts w:ascii="Times New Roman" w:hAnsi="宋体" w:hint="eastAsia"/>
        </w:rPr>
        <w:t>单克隆抗体</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4. CSF</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5. MHC</w:t>
      </w:r>
      <w:r>
        <w:rPr>
          <w:rFonts w:ascii="Times New Roman" w:hAnsi="宋体" w:hint="eastAsia"/>
        </w:rPr>
        <w:t>限制性</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6. APC</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7. PAMP</w:t>
      </w:r>
    </w:p>
    <w:p w:rsidR="003717A0" w:rsidRDefault="003717A0">
      <w:pPr>
        <w:widowControl/>
        <w:adjustRightInd w:val="0"/>
        <w:snapToGrid w:val="0"/>
        <w:spacing w:line="360" w:lineRule="auto"/>
        <w:ind w:firstLineChars="200" w:firstLine="420"/>
        <w:rPr>
          <w:rFonts w:ascii="Times New Roman" w:hAnsi="Times New Roman"/>
        </w:rPr>
      </w:pPr>
      <w:r>
        <w:rPr>
          <w:rFonts w:ascii="Times New Roman" w:hAnsi="Times New Roman"/>
        </w:rPr>
        <w:t xml:space="preserve">8. </w:t>
      </w:r>
      <w:r>
        <w:rPr>
          <w:rFonts w:ascii="宋体" w:hAnsi="宋体" w:cs="宋体" w:hint="eastAsia"/>
        </w:rPr>
        <w:t>中枢耐受</w:t>
      </w:r>
    </w:p>
    <w:p w:rsidR="003717A0" w:rsidRDefault="003717A0">
      <w:pPr>
        <w:widowControl/>
        <w:adjustRightInd w:val="0"/>
        <w:snapToGrid w:val="0"/>
        <w:spacing w:line="440" w:lineRule="exact"/>
        <w:ind w:firstLineChars="11" w:firstLine="24"/>
        <w:rPr>
          <w:rFonts w:ascii="Times New Roman" w:hAnsi="Times New Roman"/>
          <w:b/>
          <w:kern w:val="0"/>
          <w:sz w:val="22"/>
        </w:rPr>
      </w:pPr>
      <w:r>
        <w:rPr>
          <w:rFonts w:ascii="Times New Roman" w:hAnsi="Times New Roman" w:hint="eastAsia"/>
          <w:b/>
          <w:kern w:val="0"/>
          <w:sz w:val="22"/>
        </w:rPr>
        <w:t>三、简答题（每题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djustRightInd w:val="0"/>
        <w:snapToGrid w:val="0"/>
        <w:spacing w:line="440" w:lineRule="exact"/>
        <w:ind w:firstLineChars="200" w:firstLine="420"/>
        <w:jc w:val="left"/>
        <w:rPr>
          <w:rFonts w:ascii="Times New Roman" w:hAnsi="Times New Roman"/>
          <w:szCs w:val="21"/>
        </w:rPr>
      </w:pPr>
      <w:r>
        <w:rPr>
          <w:rFonts w:ascii="Times New Roman" w:hAnsi="Times New Roman"/>
          <w:szCs w:val="21"/>
        </w:rPr>
        <w:t>1.</w:t>
      </w:r>
      <w:r>
        <w:rPr>
          <w:rFonts w:ascii="Times New Roman" w:hAnsi="Times New Roman"/>
          <w:bCs/>
        </w:rPr>
        <w:t xml:space="preserve"> </w:t>
      </w:r>
      <w:r>
        <w:rPr>
          <w:rFonts w:ascii="Times New Roman" w:hAnsi="宋体" w:hint="eastAsia"/>
        </w:rPr>
        <w:t>请简述</w:t>
      </w:r>
      <w:r>
        <w:rPr>
          <w:rFonts w:ascii="Times New Roman" w:hAnsi="Times New Roman"/>
        </w:rPr>
        <w:t>HLA</w:t>
      </w:r>
      <w:r>
        <w:rPr>
          <w:rFonts w:ascii="Times New Roman" w:hAnsi="宋体" w:hint="eastAsia"/>
        </w:rPr>
        <w:t>Ⅰ和</w:t>
      </w:r>
      <w:r>
        <w:rPr>
          <w:rFonts w:ascii="Times New Roman" w:hAnsi="Times New Roman"/>
        </w:rPr>
        <w:t>HLA</w:t>
      </w:r>
      <w:r>
        <w:rPr>
          <w:rFonts w:ascii="Times New Roman" w:hAnsi="宋体" w:hint="eastAsia"/>
        </w:rPr>
        <w:t>Ⅱ类分子的结构、组织分布和功能特点。</w:t>
      </w:r>
    </w:p>
    <w:p w:rsidR="003717A0" w:rsidRDefault="003717A0">
      <w:pPr>
        <w:adjustRightInd w:val="0"/>
        <w:snapToGrid w:val="0"/>
        <w:spacing w:line="440" w:lineRule="exact"/>
        <w:ind w:firstLineChars="200" w:firstLine="420"/>
        <w:jc w:val="left"/>
        <w:rPr>
          <w:rFonts w:ascii="Times New Roman" w:hAnsi="Times New Roman"/>
          <w:bCs/>
        </w:rPr>
      </w:pPr>
      <w:r>
        <w:rPr>
          <w:rFonts w:ascii="Times New Roman" w:hAnsi="Times New Roman"/>
          <w:szCs w:val="21"/>
        </w:rPr>
        <w:t xml:space="preserve">2. </w:t>
      </w:r>
      <w:r>
        <w:rPr>
          <w:rFonts w:ascii="宋体" w:hAnsi="宋体" w:cs="宋体" w:hint="eastAsia"/>
        </w:rPr>
        <w:t>请简述补体的生物学功能。</w:t>
      </w:r>
    </w:p>
    <w:p w:rsidR="003717A0" w:rsidRDefault="003717A0">
      <w:pPr>
        <w:adjustRightInd w:val="0"/>
        <w:snapToGrid w:val="0"/>
        <w:spacing w:line="440" w:lineRule="exact"/>
        <w:ind w:firstLineChars="200" w:firstLine="420"/>
        <w:jc w:val="left"/>
        <w:rPr>
          <w:rFonts w:ascii="Times New Roman" w:hAnsi="Times New Roman"/>
          <w:bCs/>
        </w:rPr>
      </w:pPr>
      <w:r>
        <w:rPr>
          <w:rFonts w:ascii="Times New Roman" w:hAnsi="Times New Roman"/>
          <w:bCs/>
        </w:rPr>
        <w:t xml:space="preserve">3. </w:t>
      </w:r>
      <w:r>
        <w:rPr>
          <w:rFonts w:ascii="Times New Roman" w:hAnsi="宋体" w:hint="eastAsia"/>
        </w:rPr>
        <w:t>请简述外源性抗原提呈的</w:t>
      </w:r>
      <w:r>
        <w:rPr>
          <w:rFonts w:ascii="Times New Roman" w:hAnsi="Times New Roman"/>
        </w:rPr>
        <w:t>MHC</w:t>
      </w:r>
      <w:r>
        <w:rPr>
          <w:rFonts w:ascii="Times New Roman" w:hAnsi="宋体" w:hint="eastAsia"/>
        </w:rPr>
        <w:t>Ⅱ类分子途径。</w:t>
      </w:r>
    </w:p>
    <w:p w:rsidR="003717A0" w:rsidRDefault="003717A0">
      <w:pPr>
        <w:adjustRightInd w:val="0"/>
        <w:snapToGrid w:val="0"/>
        <w:spacing w:line="440" w:lineRule="exact"/>
        <w:ind w:firstLineChars="200" w:firstLine="420"/>
        <w:jc w:val="left"/>
        <w:rPr>
          <w:rFonts w:ascii="Times New Roman" w:hAnsi="Times New Roman"/>
          <w:szCs w:val="21"/>
        </w:rPr>
      </w:pPr>
      <w:r>
        <w:rPr>
          <w:rFonts w:ascii="Times New Roman" w:hAnsi="Times New Roman"/>
          <w:bCs/>
        </w:rPr>
        <w:t xml:space="preserve">4. </w:t>
      </w:r>
      <w:r>
        <w:rPr>
          <w:rFonts w:ascii="宋体" w:hAnsi="宋体" w:cs="宋体" w:hint="eastAsia"/>
        </w:rPr>
        <w:t>简述细胞免疫应答的生物学意义。</w:t>
      </w:r>
    </w:p>
    <w:p w:rsidR="003717A0" w:rsidRDefault="003717A0" w:rsidP="005E20B5">
      <w:pPr>
        <w:widowControl/>
        <w:adjustRightInd w:val="0"/>
        <w:snapToGrid w:val="0"/>
        <w:spacing w:beforeLines="50" w:line="440" w:lineRule="exact"/>
        <w:rPr>
          <w:rFonts w:ascii="Times New Roman" w:hAnsi="Times New Roman"/>
          <w:b/>
          <w:kern w:val="0"/>
          <w:sz w:val="22"/>
        </w:rPr>
      </w:pPr>
      <w:r>
        <w:rPr>
          <w:rFonts w:ascii="Times New Roman" w:hAnsi="Times New Roman" w:hint="eastAsia"/>
          <w:b/>
          <w:kern w:val="0"/>
          <w:sz w:val="22"/>
        </w:rPr>
        <w:t>四、论述题（每题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30</w:t>
      </w:r>
      <w:r>
        <w:rPr>
          <w:rFonts w:ascii="Times New Roman" w:hAnsi="Times New Roman" w:hint="eastAsia"/>
          <w:b/>
          <w:kern w:val="0"/>
          <w:sz w:val="22"/>
        </w:rPr>
        <w:t>分）</w:t>
      </w:r>
    </w:p>
    <w:p w:rsidR="003717A0" w:rsidRDefault="003717A0">
      <w:pPr>
        <w:adjustRightInd w:val="0"/>
        <w:snapToGrid w:val="0"/>
        <w:spacing w:line="440" w:lineRule="exact"/>
        <w:ind w:firstLineChars="200" w:firstLine="420"/>
        <w:jc w:val="left"/>
        <w:rPr>
          <w:rFonts w:ascii="Times New Roman" w:hAnsi="Times New Roman"/>
          <w:szCs w:val="21"/>
        </w:rPr>
      </w:pPr>
      <w:r>
        <w:rPr>
          <w:rFonts w:ascii="Times New Roman" w:hAnsi="Times New Roman"/>
          <w:szCs w:val="21"/>
        </w:rPr>
        <w:t>1.</w:t>
      </w:r>
      <w:r>
        <w:rPr>
          <w:rFonts w:ascii="Times New Roman" w:hAnsi="Times New Roman"/>
        </w:rPr>
        <w:t xml:space="preserve"> </w:t>
      </w:r>
      <w:r>
        <w:rPr>
          <w:rFonts w:ascii="Times New Roman" w:hAnsi="宋体" w:hint="eastAsia"/>
        </w:rPr>
        <w:t>请问胎儿能从母体获得的抗体的类型是哪种？其结构中</w:t>
      </w:r>
      <w:r>
        <w:rPr>
          <w:rFonts w:ascii="Times New Roman" w:hAnsi="Times New Roman"/>
        </w:rPr>
        <w:t>V</w:t>
      </w:r>
      <w:r>
        <w:rPr>
          <w:rFonts w:ascii="Times New Roman" w:hAnsi="宋体" w:hint="eastAsia"/>
        </w:rPr>
        <w:t>区的功能是什么？</w:t>
      </w:r>
      <w:r>
        <w:rPr>
          <w:rFonts w:ascii="Times New Roman" w:hAnsi="Times New Roman"/>
        </w:rPr>
        <w:t>C</w:t>
      </w:r>
      <w:r>
        <w:rPr>
          <w:rFonts w:ascii="Times New Roman" w:hAnsi="宋体" w:hint="eastAsia"/>
        </w:rPr>
        <w:t>区的功能是什么？</w:t>
      </w:r>
    </w:p>
    <w:p w:rsidR="003717A0" w:rsidRDefault="003717A0">
      <w:pPr>
        <w:adjustRightInd w:val="0"/>
        <w:snapToGrid w:val="0"/>
        <w:spacing w:line="440" w:lineRule="exact"/>
        <w:ind w:firstLineChars="200" w:firstLine="420"/>
        <w:jc w:val="left"/>
        <w:rPr>
          <w:rFonts w:ascii="Times New Roman" w:hAnsi="Times New Roman"/>
        </w:rPr>
      </w:pPr>
      <w:r>
        <w:rPr>
          <w:rFonts w:ascii="Times New Roman" w:hAnsi="Times New Roman"/>
          <w:szCs w:val="21"/>
        </w:rPr>
        <w:t xml:space="preserve">2. </w:t>
      </w:r>
      <w:r>
        <w:rPr>
          <w:rFonts w:ascii="Times New Roman" w:hAnsi="宋体" w:hint="eastAsia"/>
        </w:rPr>
        <w:t>请问</w:t>
      </w:r>
      <w:r>
        <w:rPr>
          <w:rFonts w:ascii="Times New Roman" w:hAnsi="Times New Roman"/>
        </w:rPr>
        <w:t>CTL</w:t>
      </w:r>
      <w:r>
        <w:rPr>
          <w:rFonts w:ascii="Times New Roman" w:hAnsi="宋体" w:hint="eastAsia"/>
        </w:rPr>
        <w:t>细胞对靶细胞的杀伤过程是怎样的？并请说明其效应机制。</w:t>
      </w:r>
    </w:p>
    <w:p w:rsidR="003717A0" w:rsidRDefault="003717A0">
      <w:pPr>
        <w:adjustRightInd w:val="0"/>
        <w:snapToGrid w:val="0"/>
        <w:spacing w:line="440" w:lineRule="exact"/>
        <w:ind w:firstLineChars="200" w:firstLine="420"/>
        <w:jc w:val="left"/>
        <w:rPr>
          <w:rFonts w:ascii="Times New Roman" w:hAnsi="Times New Roman"/>
        </w:rPr>
      </w:pPr>
      <w:r>
        <w:rPr>
          <w:rFonts w:ascii="Times New Roman" w:hAnsi="Times New Roman"/>
        </w:rPr>
        <w:t xml:space="preserve">3. </w:t>
      </w:r>
      <w:r>
        <w:rPr>
          <w:rFonts w:ascii="Times New Roman" w:hAnsi="宋体" w:hint="eastAsia"/>
        </w:rPr>
        <w:t>新生儿溶血症属于哪型超敏反应？其发生机制是什么？</w:t>
      </w:r>
    </w:p>
    <w:p w:rsidR="003717A0" w:rsidRDefault="003717A0" w:rsidP="00F5156D">
      <w:pPr>
        <w:pStyle w:val="Af9"/>
        <w:spacing w:line="360" w:lineRule="auto"/>
        <w:jc w:val="center"/>
        <w:rPr>
          <w:rFonts w:ascii="Times New Roman" w:eastAsia="黑体" w:hAnsi="Times New Roman"/>
          <w:kern w:val="0"/>
          <w:sz w:val="34"/>
          <w:szCs w:val="34"/>
        </w:rPr>
      </w:pPr>
      <w:r>
        <w:rPr>
          <w:rFonts w:ascii="Times New Roman"/>
        </w:rPr>
        <w:br w:type="page"/>
      </w:r>
      <w:r w:rsidRPr="00F5156D">
        <w:rPr>
          <w:rFonts w:ascii="黑体" w:eastAsia="黑体" w:hAnsi="黑体" w:cs="黑体" w:hint="eastAsia"/>
          <w:b/>
          <w:bCs/>
          <w:color w:val="auto"/>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rPr>
                <w:rFonts w:ascii="宋体"/>
                <w:szCs w:val="21"/>
              </w:rPr>
            </w:pPr>
            <w:r>
              <w:rPr>
                <w:rFonts w:ascii="宋体" w:hAnsi="宋体" w:hint="eastAsia"/>
                <w:szCs w:val="21"/>
              </w:rPr>
              <w:t>教师应充分研究本大纲所规定的各章内容，对重点和难点进行深入浅出的讲解。增加自学和拓展环节，注意培养学生的自学能力。教师应关心免疫学的研究进展，联系学科前沿知识，使教学内容能反映学科的发展趋势，开拓学生视野，激发学习兴趣，提高学生对免疫学在医学中的地位和重要性的认识。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szCs w:val="21"/>
              </w:rPr>
              <w:t xml:space="preserve">1. </w:t>
            </w: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szCs w:val="21"/>
              </w:rPr>
              <w:t xml:space="preserve">2. </w:t>
            </w:r>
            <w:r>
              <w:rPr>
                <w:rFonts w:ascii="Times New Roman" w:hAnsi="宋体" w:hint="eastAsia"/>
                <w:szCs w:val="21"/>
              </w:rPr>
              <w:t>结合课程特点，制作课件，运用多媒体教学手段讲授部分教学内容。</w:t>
            </w:r>
          </w:p>
          <w:p w:rsidR="003717A0" w:rsidRDefault="003717A0">
            <w:pPr>
              <w:autoSpaceDE w:val="0"/>
              <w:autoSpaceDN w:val="0"/>
              <w:adjustRightInd w:val="0"/>
              <w:snapToGrid w:val="0"/>
              <w:spacing w:line="360" w:lineRule="auto"/>
              <w:ind w:firstLineChars="200" w:firstLine="420"/>
              <w:jc w:val="left"/>
            </w:pPr>
            <w:r>
              <w:rPr>
                <w:rFonts w:ascii="Times New Roman" w:hAnsi="宋体"/>
                <w:szCs w:val="21"/>
              </w:rPr>
              <w:t xml:space="preserve">3. </w:t>
            </w: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szCs w:val="21"/>
              </w:rPr>
              <w:t xml:space="preserve">1. </w:t>
            </w: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szCs w:val="21"/>
              </w:rPr>
              <w:t xml:space="preserve">2. </w:t>
            </w: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szCs w:val="21"/>
              </w:rPr>
              <w:t xml:space="preserve">3. </w:t>
            </w:r>
            <w:r>
              <w:rPr>
                <w:rFonts w:ascii="Times New Roman" w:hAnsi="宋体"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auto"/>
              <w:ind w:firstLineChars="200" w:firstLine="420"/>
              <w:jc w:val="left"/>
              <w:rPr>
                <w:rFonts w:ascii="楷体_GB2312" w:eastAsia="楷体_GB2312"/>
                <w:sz w:val="24"/>
                <w:szCs w:val="24"/>
              </w:rPr>
            </w:pPr>
            <w:r>
              <w:rPr>
                <w:rFonts w:ascii="Times New Roman" w:hAnsi="宋体"/>
                <w:szCs w:val="21"/>
              </w:rPr>
              <w:t xml:space="preserve">4. </w:t>
            </w: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firstLineChars="200" w:firstLine="440"/>
              <w:rPr>
                <w:sz w:val="22"/>
              </w:rPr>
            </w:pPr>
            <w:r>
              <w:rPr>
                <w:rFonts w:hint="eastAsia"/>
                <w:sz w:val="22"/>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autoSpaceDE w:val="0"/>
              <w:autoSpaceDN w:val="0"/>
              <w:adjustRightInd w:val="0"/>
              <w:snapToGrid w:val="0"/>
              <w:spacing w:line="360" w:lineRule="auto"/>
              <w:ind w:firstLineChars="200" w:firstLine="420"/>
              <w:rPr>
                <w:rFonts w:ascii="Times New Roman" w:hAnsi="宋体"/>
                <w:szCs w:val="21"/>
              </w:rPr>
            </w:pPr>
            <w:r>
              <w:rPr>
                <w:rFonts w:ascii="Times New Roman" w:hAnsi="宋体"/>
                <w:szCs w:val="21"/>
              </w:rPr>
              <w:t xml:space="preserve">1. </w:t>
            </w: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ind w:firstLineChars="200" w:firstLine="420"/>
              <w:rPr>
                <w:rFonts w:ascii="Times New Roman" w:hAnsi="宋体"/>
                <w:szCs w:val="21"/>
              </w:rPr>
            </w:pPr>
            <w:r>
              <w:rPr>
                <w:rFonts w:ascii="Times New Roman" w:hAnsi="宋体"/>
                <w:szCs w:val="21"/>
              </w:rPr>
              <w:t xml:space="preserve">2. </w:t>
            </w: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ind w:firstLineChars="200" w:firstLine="420"/>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ind w:firstLineChars="200" w:firstLine="420"/>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在教师指导下查阅中、外文资料，进行初步的文献翻译或编译工作，参与教师的科学研究活动，完成相关作品并参加各级竞赛，培养学生的科学思维和初步的科研能力。</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50" w:name="_Toc469312987"/>
      <w:bookmarkStart w:id="51" w:name="_Toc471830699"/>
      <w:r w:rsidRPr="00F5156D">
        <w:rPr>
          <w:rFonts w:hint="eastAsia"/>
          <w:b/>
        </w:rPr>
        <w:lastRenderedPageBreak/>
        <w:t>《人体解剖学》课程质量标准</w:t>
      </w:r>
      <w:bookmarkEnd w:id="50"/>
      <w:bookmarkEnd w:id="51"/>
    </w:p>
    <w:p w:rsidR="003717A0" w:rsidRPr="00F5156D" w:rsidRDefault="003717A0" w:rsidP="00F5156D">
      <w:pPr>
        <w:pStyle w:val="Af9"/>
        <w:spacing w:line="360" w:lineRule="auto"/>
        <w:jc w:val="center"/>
        <w:rPr>
          <w:rFonts w:ascii="黑体" w:eastAsia="黑体" w:hAnsi="黑体" w:cs="黑体"/>
          <w:b/>
          <w:bCs/>
          <w:color w:val="auto"/>
          <w:sz w:val="32"/>
          <w:szCs w:val="32"/>
        </w:rPr>
      </w:pPr>
      <w:r w:rsidRPr="00F5156D">
        <w:rPr>
          <w:rFonts w:ascii="黑体" w:eastAsia="黑体" w:hAnsi="黑体" w:cs="黑体" w:hint="eastAsia"/>
          <w:b/>
          <w:bCs/>
          <w:color w:val="auto"/>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人体解剖学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Human Anatomy</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 xml:space="preserve"> 160025</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一</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108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5</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人体解剖学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shd w:val="clear" w:color="auto" w:fill="FFFFFF"/>
              <w:spacing w:line="500" w:lineRule="exact"/>
              <w:jc w:val="center"/>
              <w:rPr>
                <w:rFonts w:ascii="微软雅黑" w:eastAsia="微软雅黑" w:hAnsi="微软雅黑" w:cs="宋体"/>
                <w:kern w:val="0"/>
                <w:sz w:val="18"/>
                <w:szCs w:val="18"/>
              </w:rPr>
            </w:pPr>
            <w:r>
              <w:rPr>
                <w:rFonts w:hint="eastAsia"/>
                <w:sz w:val="22"/>
              </w:rPr>
              <w:t>系统解剖学</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科学出版社，</w:t>
            </w:r>
            <w:r>
              <w:rPr>
                <w:sz w:val="22"/>
              </w:rPr>
              <w:t>2012</w:t>
            </w:r>
            <w:r>
              <w:rPr>
                <w:rFonts w:hint="eastAsia"/>
                <w:sz w:val="22"/>
              </w:rPr>
              <w:t>年</w:t>
            </w:r>
            <w:r>
              <w:rPr>
                <w:sz w:val="22"/>
              </w:rPr>
              <w:t>2</w:t>
            </w:r>
            <w:r>
              <w:rPr>
                <w:rFonts w:hint="eastAsia"/>
                <w:sz w:val="22"/>
              </w:rPr>
              <w:t>月第</w:t>
            </w:r>
            <w:r>
              <w:rPr>
                <w:sz w:val="22"/>
              </w:rPr>
              <w:t>2</w:t>
            </w:r>
            <w:r>
              <w:rPr>
                <w:rFonts w:hint="eastAsia"/>
                <w:sz w:val="22"/>
              </w:rPr>
              <w:t>版，书号：</w:t>
            </w:r>
            <w:r>
              <w:rPr>
                <w:sz w:val="22"/>
              </w:rPr>
              <w:t>ISBN 978-7-03-</w:t>
            </w:r>
            <w:r>
              <w:rPr>
                <w:rFonts w:ascii="微软雅黑" w:eastAsia="微软雅黑" w:hAnsi="微软雅黑" w:cs="宋体"/>
                <w:kern w:val="0"/>
                <w:sz w:val="18"/>
                <w:szCs w:val="18"/>
              </w:rPr>
              <w:t>033435</w:t>
            </w:r>
            <w:r>
              <w:rPr>
                <w:sz w:val="22"/>
              </w:rPr>
              <w:t>-</w:t>
            </w:r>
            <w:r>
              <w:rPr>
                <w:rFonts w:ascii="微软雅黑" w:eastAsia="微软雅黑" w:hAnsi="微软雅黑" w:cs="宋体"/>
                <w:kern w:val="0"/>
                <w:sz w:val="18"/>
                <w:szCs w:val="18"/>
              </w:rPr>
              <w:t>0</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□国家规划□部级规划</w:t>
            </w:r>
            <w:r>
              <w:rPr>
                <w:rFonts w:ascii="宋体" w:hAnsi="宋体" w:hint="eastAsia"/>
                <w:szCs w:val="21"/>
              </w:rPr>
              <w:t>■</w:t>
            </w:r>
            <w:r>
              <w:rPr>
                <w:rFonts w:ascii="宋体" w:hAnsi="宋体" w:hint="eastAsia"/>
                <w:sz w:val="22"/>
              </w:rPr>
              <w:t>省级规划□自编□其他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center"/>
              <w:rPr>
                <w:sz w:val="22"/>
              </w:rPr>
            </w:pPr>
            <w:r>
              <w:rPr>
                <w:rFonts w:hint="eastAsia"/>
                <w:sz w:val="22"/>
              </w:rPr>
              <w:t>平时成绩</w:t>
            </w:r>
            <w:r>
              <w:rPr>
                <w:sz w:val="22"/>
              </w:rPr>
              <w:t>40%</w:t>
            </w:r>
          </w:p>
        </w:tc>
        <w:tc>
          <w:tcPr>
            <w:tcW w:w="3809" w:type="dxa"/>
            <w:gridSpan w:val="5"/>
          </w:tcPr>
          <w:p w:rsidR="003717A0" w:rsidRDefault="003717A0">
            <w:pPr>
              <w:adjustRightInd w:val="0"/>
              <w:snapToGrid w:val="0"/>
              <w:spacing w:line="500" w:lineRule="exact"/>
              <w:jc w:val="center"/>
              <w:rPr>
                <w:sz w:val="22"/>
              </w:rPr>
            </w:pPr>
            <w:r>
              <w:rPr>
                <w:rFonts w:hint="eastAsia"/>
                <w:sz w:val="22"/>
              </w:rPr>
              <w:t>期末成绩</w:t>
            </w:r>
            <w:r>
              <w:rPr>
                <w:sz w:val="22"/>
              </w:rPr>
              <w:t>60%</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金国华</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500" w:lineRule="exact"/>
              <w:jc w:val="center"/>
              <w:rPr>
                <w:sz w:val="22"/>
              </w:rPr>
            </w:pPr>
            <w:r>
              <w:rPr>
                <w:sz w:val="22"/>
              </w:rPr>
              <w:t>1982.12</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吕广明</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500" w:lineRule="exact"/>
              <w:jc w:val="center"/>
              <w:rPr>
                <w:sz w:val="22"/>
              </w:rPr>
            </w:pPr>
            <w:r>
              <w:rPr>
                <w:sz w:val="22"/>
              </w:rPr>
              <w:t>1991.08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黄</w:t>
            </w:r>
            <w:r>
              <w:rPr>
                <w:sz w:val="22"/>
              </w:rPr>
              <w:t xml:space="preserve">  </w:t>
            </w:r>
            <w:r>
              <w:rPr>
                <w:rFonts w:hint="eastAsia"/>
                <w:sz w:val="22"/>
              </w:rPr>
              <w:t>镇</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1992.08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张新化</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1997.08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张志军</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1999.08</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F5156D">
        <w:trPr>
          <w:jc w:val="center"/>
        </w:trPr>
        <w:tc>
          <w:tcPr>
            <w:tcW w:w="9286" w:type="dxa"/>
            <w:gridSpan w:val="10"/>
          </w:tcPr>
          <w:p w:rsidR="003717A0" w:rsidRDefault="003717A0" w:rsidP="006C4E25">
            <w:pPr>
              <w:adjustRightInd w:val="0"/>
              <w:snapToGrid w:val="0"/>
              <w:spacing w:line="500" w:lineRule="exact"/>
              <w:ind w:firstLineChars="250" w:firstLine="550"/>
              <w:rPr>
                <w:sz w:val="22"/>
              </w:rPr>
            </w:pPr>
            <w:r>
              <w:rPr>
                <w:rFonts w:hint="eastAsia"/>
                <w:sz w:val="22"/>
              </w:rPr>
              <w:t>人体解剖学是一门研究正常人体形态和结构的科学，属于生物科学的形态学范畴，是医学本科专业学生的专业基础必修课程。这门课程一般来讲就是系统解剖学，主要是按照人体器官功能系统分别阐述人体各系统（运动系统、消化系统、呼吸系统、泌尿系统、生殖系统、循环系统、感官器、神经系统、内分泌系统）器官形态结构及其发生发育的科学。通过本课程的教学，要求学生能达到：理解和掌握人体各器官系统的正常形态结构特征、位置毗邻、发生发育</w:t>
            </w:r>
            <w:r>
              <w:rPr>
                <w:rFonts w:hint="eastAsia"/>
                <w:sz w:val="22"/>
              </w:rPr>
              <w:lastRenderedPageBreak/>
              <w:t>规律及其功能意义，为学习后续的医学基础课程和临床课程奠定必要的形态学基础。本课程教学的主要路径与方法：（</w:t>
            </w:r>
            <w:r>
              <w:rPr>
                <w:sz w:val="22"/>
              </w:rPr>
              <w:t>1</w:t>
            </w:r>
            <w:r>
              <w:rPr>
                <w:rFonts w:hint="eastAsia"/>
                <w:sz w:val="22"/>
              </w:rPr>
              <w:t>）通过理论课堂讲解人体解剖学的主要知识点，使学生掌握本课程的基本概念和知识，同时利用参考书和</w:t>
            </w:r>
            <w:r>
              <w:rPr>
                <w:sz w:val="22"/>
              </w:rPr>
              <w:t>blackboard</w:t>
            </w:r>
            <w:r>
              <w:rPr>
                <w:rFonts w:hint="eastAsia"/>
                <w:sz w:val="22"/>
              </w:rPr>
              <w:t>等网络平台，辅导学生逐步形成自主学习的能力；（</w:t>
            </w:r>
            <w:r>
              <w:rPr>
                <w:sz w:val="22"/>
              </w:rPr>
              <w:t>2</w:t>
            </w:r>
            <w:r>
              <w:rPr>
                <w:rFonts w:hint="eastAsia"/>
                <w:sz w:val="22"/>
              </w:rPr>
              <w:t>）通过实验课亲自观察实体标本、模型教具等，使用数码互动解剖实验教学系统，掌握识别人体器官的大体结构并准确的描述及与其功能联系等基本技能；（</w:t>
            </w:r>
            <w:r>
              <w:rPr>
                <w:sz w:val="22"/>
              </w:rPr>
              <w:t>3</w:t>
            </w:r>
            <w:r>
              <w:rPr>
                <w:rFonts w:hint="eastAsia"/>
                <w:sz w:val="22"/>
              </w:rPr>
              <w:t>）利用校园网、爱课程网上国家精品课程和国家精品资源共享课数字化教学平台对人体系统器官的形态学结构进行自学和复习；（</w:t>
            </w:r>
            <w:r>
              <w:rPr>
                <w:sz w:val="22"/>
              </w:rPr>
              <w:t>4</w:t>
            </w:r>
            <w:r>
              <w:rPr>
                <w:rFonts w:hint="eastAsia"/>
                <w:sz w:val="22"/>
              </w:rPr>
              <w:t>）根据学科团队研究特色举办专题讲座，吸引学生参加科技创新训练，拓展与本课程相关的知识面，培养学生创新思维意识和能力；（</w:t>
            </w:r>
            <w:r>
              <w:rPr>
                <w:sz w:val="22"/>
              </w:rPr>
              <w:t>5</w:t>
            </w:r>
            <w:r>
              <w:rPr>
                <w:rFonts w:hint="eastAsia"/>
                <w:sz w:val="22"/>
              </w:rPr>
              <w:t>）利用人体解剖学标本陈列馆对医学生进行医学人文教育。</w:t>
            </w:r>
          </w:p>
        </w:tc>
      </w:tr>
    </w:tbl>
    <w:p w:rsidR="003717A0" w:rsidRDefault="003717A0">
      <w:pPr>
        <w:adjustRightInd w:val="0"/>
        <w:spacing w:line="360" w:lineRule="auto"/>
        <w:contextualSpacing/>
        <w:jc w:val="center"/>
        <w:rPr>
          <w:rFonts w:ascii="黑体" w:eastAsia="黑体"/>
          <w:b/>
          <w:sz w:val="30"/>
          <w:szCs w:val="30"/>
        </w:rPr>
      </w:pPr>
    </w:p>
    <w:p w:rsidR="003717A0" w:rsidRDefault="003717A0">
      <w:pPr>
        <w:adjustRightInd w:val="0"/>
        <w:spacing w:line="360" w:lineRule="auto"/>
        <w:contextualSpacing/>
        <w:jc w:val="center"/>
        <w:rPr>
          <w:rFonts w:ascii="黑体" w:eastAsia="黑体"/>
          <w:b/>
          <w:sz w:val="30"/>
          <w:szCs w:val="30"/>
        </w:rPr>
      </w:pPr>
      <w:r>
        <w:rPr>
          <w:rFonts w:ascii="黑体" w:eastAsia="黑体"/>
          <w:b/>
          <w:sz w:val="30"/>
          <w:szCs w:val="30"/>
        </w:rPr>
        <w:br w:type="page"/>
      </w:r>
      <w:r>
        <w:rPr>
          <w:rFonts w:ascii="黑体" w:eastAsia="黑体" w:hint="eastAsia"/>
          <w:b/>
          <w:sz w:val="30"/>
          <w:szCs w:val="30"/>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rFonts w:ascii="Times New Roman" w:hAnsi="Times New Roman"/>
          <w:kern w:val="0"/>
          <w:szCs w:val="21"/>
        </w:rPr>
        <w:t>160025</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108</w:t>
      </w:r>
      <w:r>
        <w:rPr>
          <w:rFonts w:ascii="Times New Roman" w:hAnsi="Times New Roman" w:hint="eastAsia"/>
          <w:kern w:val="0"/>
          <w:szCs w:val="21"/>
        </w:rPr>
        <w:t>学时（理论学时</w:t>
      </w:r>
      <w:r>
        <w:rPr>
          <w:rFonts w:ascii="Times New Roman" w:hAnsi="Times New Roman"/>
          <w:kern w:val="0"/>
          <w:szCs w:val="21"/>
        </w:rPr>
        <w:t>56</w:t>
      </w:r>
      <w:r>
        <w:rPr>
          <w:rFonts w:ascii="Times New Roman" w:hAnsi="Times New Roman" w:hint="eastAsia"/>
          <w:kern w:val="0"/>
          <w:szCs w:val="21"/>
        </w:rPr>
        <w:t>，实验学时</w:t>
      </w:r>
      <w:r>
        <w:rPr>
          <w:rFonts w:ascii="Times New Roman" w:hAnsi="Times New Roman"/>
          <w:kern w:val="0"/>
          <w:szCs w:val="21"/>
        </w:rPr>
        <w:t>52</w:t>
      </w:r>
      <w:r>
        <w:rPr>
          <w:rFonts w:ascii="Times New Roman" w:hAnsi="Times New Roman" w:hint="eastAsia"/>
          <w:kern w:val="0"/>
          <w:szCs w:val="21"/>
        </w:rPr>
        <w:t>，理论学时：实验学时</w:t>
      </w:r>
      <w:r>
        <w:rPr>
          <w:rFonts w:ascii="宋体" w:hAnsi="宋体" w:hint="eastAsia"/>
          <w:kern w:val="0"/>
          <w:szCs w:val="21"/>
        </w:rPr>
        <w:t>≈</w:t>
      </w:r>
      <w:r>
        <w:rPr>
          <w:rFonts w:ascii="Times New Roman" w:hAnsi="Times New Roman"/>
          <w:kern w:val="0"/>
          <w:szCs w:val="21"/>
        </w:rPr>
        <w:t>1</w:t>
      </w:r>
      <w:r>
        <w:rPr>
          <w:rFonts w:ascii="Times New Roman" w:hAnsi="Times New Roman" w:hint="eastAsia"/>
          <w:kern w:val="0"/>
          <w:szCs w:val="21"/>
        </w:rPr>
        <w:t>：</w:t>
      </w:r>
      <w:r>
        <w:rPr>
          <w:rFonts w:ascii="Times New Roman" w:hAnsi="Times New Roman"/>
          <w:kern w:val="0"/>
          <w:szCs w:val="21"/>
        </w:rPr>
        <w:t>1</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5</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先修课程：无</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w:t>
      </w:r>
      <w:r>
        <w:rPr>
          <w:rFonts w:hint="eastAsia"/>
          <w:szCs w:val="21"/>
        </w:rPr>
        <w:t>后续的医学基础课程和临床课程</w:t>
      </w:r>
    </w:p>
    <w:p w:rsidR="003717A0" w:rsidRDefault="003717A0">
      <w:pPr>
        <w:autoSpaceDE w:val="0"/>
        <w:autoSpaceDN w:val="0"/>
        <w:adjustRightInd w:val="0"/>
        <w:snapToGrid w:val="0"/>
        <w:spacing w:line="360" w:lineRule="auto"/>
        <w:jc w:val="left"/>
        <w:rPr>
          <w:rFonts w:ascii="Times New Roman" w:hAnsi="Times New Roman"/>
          <w:kern w:val="0"/>
          <w:szCs w:val="21"/>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auto"/>
        <w:ind w:firstLineChars="193" w:firstLine="405"/>
        <w:rPr>
          <w:rFonts w:ascii="Times New Roman" w:hAnsi="Times New Roman"/>
          <w:szCs w:val="21"/>
        </w:rPr>
      </w:pPr>
      <w:r>
        <w:rPr>
          <w:rFonts w:ascii="Times New Roman" w:hAnsi="Times New Roman" w:hint="eastAsia"/>
          <w:szCs w:val="21"/>
        </w:rPr>
        <w:t>作为康复治疗学专业学生，为了理解疾病时机体的变化，首先必须对正常人体有较系统的认识，需要了解各系统、器官、组织和细胞等不同层面的形态学及生理、生化等机能学两部分知识。机体的形态结构是决定和执行相关机能的物质基础，所以医学生首先要认识并掌握各个层面的正常形态结构，才能为后续正常机能学、疾病状态下的形态功能改变及临床专业课程学习打下基础。本课程从大体角度去认识人体的正常形态结构，是临床医学本科专业学生的专业基础必修课程和学位课程；使学生通过本课程的教学能达到：理解和掌握人体各器官系统的正常形态结构特征、位置毗邻、发生发育规律及其功能意义。</w:t>
      </w:r>
    </w:p>
    <w:p w:rsidR="003717A0" w:rsidRPr="00521C7D" w:rsidRDefault="003717A0" w:rsidP="00521C7D">
      <w:pPr>
        <w:autoSpaceDE w:val="0"/>
        <w:autoSpaceDN w:val="0"/>
        <w:adjustRightInd w:val="0"/>
        <w:snapToGrid w:val="0"/>
        <w:spacing w:line="360" w:lineRule="auto"/>
        <w:ind w:firstLineChars="193" w:firstLine="405"/>
        <w:rPr>
          <w:rFonts w:ascii="Times New Roman" w:hAnsi="Times New Roman"/>
          <w:szCs w:val="21"/>
        </w:rPr>
      </w:pPr>
      <w:r w:rsidRPr="00521C7D">
        <w:rPr>
          <w:rFonts w:ascii="Times New Roman" w:hAnsi="Times New Roman" w:hint="eastAsia"/>
          <w:szCs w:val="21"/>
        </w:rPr>
        <w:t>本课程是按照人体器官功能系统分别阐述人体各系统（运动、消化、呼吸、泌尿、生殖、循环、感官、神经、内分泌）器官形态结构及其发生发展的科学。</w:t>
      </w:r>
    </w:p>
    <w:p w:rsidR="003717A0" w:rsidRPr="00521C7D" w:rsidRDefault="003717A0" w:rsidP="00521C7D">
      <w:pPr>
        <w:autoSpaceDE w:val="0"/>
        <w:autoSpaceDN w:val="0"/>
        <w:adjustRightInd w:val="0"/>
        <w:snapToGrid w:val="0"/>
        <w:spacing w:line="360" w:lineRule="auto"/>
        <w:ind w:firstLineChars="193" w:firstLine="405"/>
        <w:rPr>
          <w:rFonts w:ascii="Times New Roman" w:hAnsi="Times New Roman"/>
          <w:szCs w:val="21"/>
        </w:rPr>
      </w:pPr>
      <w:r w:rsidRPr="00521C7D">
        <w:rPr>
          <w:rFonts w:ascii="Times New Roman" w:hAnsi="Times New Roman" w:hint="eastAsia"/>
          <w:szCs w:val="21"/>
        </w:rPr>
        <w:t>本课程的任务是：使学生理解和把握人体各器官系统的正常形态结构特征、位置毗邻、发生发展规律及其功能意义，为学习其他医学基础课程和临床课程奠定必要的形态学基础。</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w:t>
      </w:r>
      <w:r>
        <w:rPr>
          <w:rFonts w:hint="eastAsia"/>
        </w:rPr>
        <w:t>要求学生能够</w:t>
      </w:r>
      <w:r>
        <w:rPr>
          <w:rFonts w:ascii="Times New Roman" w:hAnsi="Times New Roman" w:hint="eastAsia"/>
          <w:kern w:val="0"/>
          <w:szCs w:val="21"/>
        </w:rPr>
        <w:t>较系统</w:t>
      </w:r>
      <w:r>
        <w:rPr>
          <w:rFonts w:hint="eastAsia"/>
        </w:rPr>
        <w:t>全面</w:t>
      </w:r>
      <w:r>
        <w:rPr>
          <w:rFonts w:ascii="Times New Roman" w:hAnsi="Times New Roman" w:hint="eastAsia"/>
          <w:kern w:val="0"/>
          <w:szCs w:val="21"/>
        </w:rPr>
        <w:t>地</w:t>
      </w:r>
      <w:r>
        <w:rPr>
          <w:rFonts w:hint="eastAsia"/>
        </w:rPr>
        <w:t>理解和掌握人体各系统器官的形态、结构及其功能的基本知识，通过亲自动手观察、辨认并描述人体各系统器官的形态结构，</w:t>
      </w:r>
      <w:r>
        <w:rPr>
          <w:rFonts w:ascii="Times New Roman" w:hAnsi="Times New Roman" w:hint="eastAsia"/>
          <w:kern w:val="0"/>
          <w:szCs w:val="21"/>
        </w:rPr>
        <w:t>培养学生实际动手能力，同时注重培养学生分析问题和解决问题的能力。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center"/>
        <w:rPr>
          <w:b/>
          <w:szCs w:val="21"/>
        </w:rPr>
      </w:pPr>
      <w:r>
        <w:rPr>
          <w:rFonts w:hint="eastAsia"/>
          <w:b/>
          <w:szCs w:val="21"/>
        </w:rPr>
        <w:t>绪</w:t>
      </w:r>
      <w:r>
        <w:rPr>
          <w:b/>
          <w:szCs w:val="21"/>
        </w:rPr>
        <w:t xml:space="preserve">  </w:t>
      </w:r>
      <w:r>
        <w:rPr>
          <w:rFonts w:hint="eastAsia"/>
          <w:b/>
          <w:szCs w:val="21"/>
        </w:rPr>
        <w:t>论</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numPr>
          <w:ilvl w:val="0"/>
          <w:numId w:val="105"/>
        </w:numPr>
      </w:pPr>
      <w:r>
        <w:rPr>
          <w:rFonts w:hint="eastAsia"/>
        </w:rPr>
        <w:t>人体解剖学的定义、地位和分科。</w:t>
      </w:r>
    </w:p>
    <w:p w:rsidR="003717A0" w:rsidRDefault="003717A0">
      <w:pPr>
        <w:numPr>
          <w:ilvl w:val="0"/>
          <w:numId w:val="105"/>
        </w:numPr>
      </w:pPr>
      <w:r>
        <w:rPr>
          <w:rFonts w:hint="eastAsia"/>
        </w:rPr>
        <w:t>人体器官的组成和系统的划分。</w:t>
      </w:r>
    </w:p>
    <w:p w:rsidR="003717A0" w:rsidRDefault="003717A0">
      <w:pPr>
        <w:numPr>
          <w:ilvl w:val="0"/>
          <w:numId w:val="105"/>
        </w:numPr>
      </w:pPr>
      <w:r>
        <w:rPr>
          <w:rFonts w:hint="eastAsia"/>
        </w:rPr>
        <w:t>人体解剖学的发展简史。</w:t>
      </w:r>
    </w:p>
    <w:p w:rsidR="003717A0" w:rsidRDefault="003717A0">
      <w:pPr>
        <w:numPr>
          <w:ilvl w:val="0"/>
          <w:numId w:val="105"/>
        </w:numPr>
      </w:pPr>
      <w:r>
        <w:rPr>
          <w:rFonts w:hint="eastAsia"/>
        </w:rPr>
        <w:t>学习人体解剖学的基本观点和方法。</w:t>
      </w:r>
    </w:p>
    <w:p w:rsidR="003717A0" w:rsidRDefault="003717A0">
      <w:pPr>
        <w:numPr>
          <w:ilvl w:val="0"/>
          <w:numId w:val="105"/>
        </w:numPr>
      </w:pPr>
      <w:r>
        <w:rPr>
          <w:rFonts w:hint="eastAsia"/>
        </w:rPr>
        <w:t>解剖学姿势和常用术语。</w:t>
      </w:r>
    </w:p>
    <w:p w:rsidR="003717A0" w:rsidRDefault="003717A0">
      <w:r>
        <w:rPr>
          <w:rFonts w:ascii="Times New Roman" w:hint="eastAsia"/>
          <w:b/>
        </w:rPr>
        <w:t>目的要求</w:t>
      </w:r>
    </w:p>
    <w:p w:rsidR="003717A0" w:rsidRDefault="003717A0">
      <w:pPr>
        <w:numPr>
          <w:ilvl w:val="0"/>
          <w:numId w:val="106"/>
        </w:numPr>
      </w:pPr>
      <w:r>
        <w:rPr>
          <w:rFonts w:hint="eastAsia"/>
        </w:rPr>
        <w:t>了解人体解剖学的定义、地位和分科。</w:t>
      </w:r>
    </w:p>
    <w:p w:rsidR="003717A0" w:rsidRDefault="003717A0">
      <w:pPr>
        <w:numPr>
          <w:ilvl w:val="0"/>
          <w:numId w:val="106"/>
        </w:numPr>
      </w:pPr>
      <w:r>
        <w:rPr>
          <w:rFonts w:hint="eastAsia"/>
        </w:rPr>
        <w:t>了解人体器官的组成和系统的划分。</w:t>
      </w:r>
    </w:p>
    <w:p w:rsidR="003717A0" w:rsidRDefault="003717A0">
      <w:pPr>
        <w:numPr>
          <w:ilvl w:val="0"/>
          <w:numId w:val="106"/>
        </w:numPr>
      </w:pPr>
      <w:r>
        <w:rPr>
          <w:rFonts w:hint="eastAsia"/>
        </w:rPr>
        <w:lastRenderedPageBreak/>
        <w:t>了解人体解剖学的发展简史。</w:t>
      </w:r>
    </w:p>
    <w:p w:rsidR="003717A0" w:rsidRDefault="003717A0">
      <w:pPr>
        <w:numPr>
          <w:ilvl w:val="0"/>
          <w:numId w:val="106"/>
        </w:numPr>
      </w:pPr>
      <w:r>
        <w:rPr>
          <w:rFonts w:hint="eastAsia"/>
        </w:rPr>
        <w:t>了解学习人体解剖学的基本观点和方法。</w:t>
      </w:r>
    </w:p>
    <w:p w:rsidR="003717A0" w:rsidRDefault="003717A0">
      <w:pPr>
        <w:numPr>
          <w:ilvl w:val="0"/>
          <w:numId w:val="106"/>
        </w:numPr>
      </w:pPr>
      <w:r>
        <w:rPr>
          <w:rFonts w:hint="eastAsia"/>
        </w:rPr>
        <w:t>掌握解剖学姿势和常用术语。</w:t>
      </w:r>
    </w:p>
    <w:p w:rsidR="003717A0" w:rsidRDefault="003717A0">
      <w:pPr>
        <w:jc w:val="center"/>
        <w:rPr>
          <w:rFonts w:ascii="Times New Roman" w:hAnsi="Times New Roman"/>
          <w:szCs w:val="21"/>
        </w:rPr>
      </w:pPr>
      <w:r>
        <w:rPr>
          <w:rFonts w:ascii="Times New Roman" w:hAnsi="Times New Roman" w:hint="eastAsia"/>
          <w:szCs w:val="21"/>
        </w:rPr>
        <w:t>第一篇</w:t>
      </w:r>
      <w:r>
        <w:rPr>
          <w:rFonts w:ascii="Times New Roman" w:hAnsi="Times New Roman"/>
          <w:szCs w:val="21"/>
        </w:rPr>
        <w:t xml:space="preserve"> </w:t>
      </w:r>
      <w:r>
        <w:rPr>
          <w:rFonts w:ascii="Times New Roman" w:hAnsi="Times New Roman" w:hint="eastAsia"/>
          <w:szCs w:val="21"/>
        </w:rPr>
        <w:t>运动系统</w:t>
      </w:r>
    </w:p>
    <w:p w:rsidR="003717A0" w:rsidRDefault="003717A0">
      <w:pPr>
        <w:jc w:val="center"/>
        <w:rPr>
          <w:rFonts w:ascii="Times New Roman" w:hAnsi="Times New Roman"/>
          <w:szCs w:val="21"/>
        </w:rPr>
      </w:pPr>
      <w:r>
        <w:rPr>
          <w:rFonts w:ascii="Times New Roman" w:hAnsi="Times New Roman" w:hint="eastAsia"/>
          <w:szCs w:val="21"/>
        </w:rPr>
        <w:t>第</w:t>
      </w:r>
      <w:r>
        <w:rPr>
          <w:rFonts w:ascii="Times New Roman" w:hAnsi="Times New Roman"/>
          <w:szCs w:val="21"/>
        </w:rPr>
        <w:t>1</w:t>
      </w:r>
      <w:r>
        <w:rPr>
          <w:rFonts w:ascii="Times New Roman" w:hAnsi="Times New Roman" w:hint="eastAsia"/>
          <w:szCs w:val="21"/>
        </w:rPr>
        <w:t>章</w:t>
      </w:r>
      <w:r>
        <w:rPr>
          <w:rFonts w:ascii="Times New Roman" w:hAnsi="Times New Roman"/>
          <w:szCs w:val="21"/>
        </w:rPr>
        <w:t xml:space="preserve"> </w:t>
      </w:r>
      <w:r>
        <w:rPr>
          <w:rFonts w:ascii="Times New Roman" w:hint="eastAsia"/>
          <w:szCs w:val="21"/>
        </w:rPr>
        <w:t>骨学</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numPr>
          <w:ilvl w:val="0"/>
          <w:numId w:val="107"/>
        </w:numPr>
        <w:adjustRightInd w:val="0"/>
        <w:snapToGrid w:val="0"/>
        <w:spacing w:line="360" w:lineRule="auto"/>
        <w:ind w:right="6"/>
        <w:rPr>
          <w:rFonts w:ascii="Times New Roman"/>
        </w:rPr>
      </w:pPr>
      <w:r>
        <w:rPr>
          <w:rFonts w:ascii="Times New Roman" w:hint="eastAsia"/>
        </w:rPr>
        <w:t>运动系统组成。</w:t>
      </w:r>
    </w:p>
    <w:p w:rsidR="003717A0" w:rsidRDefault="003717A0">
      <w:pPr>
        <w:numPr>
          <w:ilvl w:val="0"/>
          <w:numId w:val="107"/>
        </w:numPr>
        <w:adjustRightInd w:val="0"/>
        <w:snapToGrid w:val="0"/>
        <w:spacing w:line="360" w:lineRule="auto"/>
        <w:ind w:right="6"/>
        <w:rPr>
          <w:rFonts w:ascii="Times New Roman"/>
        </w:rPr>
      </w:pPr>
      <w:r>
        <w:rPr>
          <w:rFonts w:ascii="Times New Roman" w:hint="eastAsia"/>
        </w:rPr>
        <w:t>骨总论。</w:t>
      </w:r>
    </w:p>
    <w:p w:rsidR="003717A0" w:rsidRDefault="003717A0">
      <w:pPr>
        <w:adjustRightInd w:val="0"/>
        <w:snapToGrid w:val="0"/>
        <w:spacing w:line="360" w:lineRule="auto"/>
        <w:ind w:right="6"/>
        <w:rPr>
          <w:b/>
          <w:szCs w:val="21"/>
        </w:rPr>
      </w:pPr>
      <w:r>
        <w:rPr>
          <w:rFonts w:hint="eastAsia"/>
          <w:b/>
          <w:szCs w:val="21"/>
        </w:rPr>
        <w:t>实习内容</w:t>
      </w:r>
      <w:r>
        <w:rPr>
          <w:rFonts w:ascii="Times New Roman" w:hint="eastAsia"/>
          <w:b/>
        </w:rPr>
        <w:t>（</w:t>
      </w:r>
      <w:r>
        <w:rPr>
          <w:rFonts w:ascii="Times New Roman" w:hAnsi="Times New Roman"/>
          <w:b/>
        </w:rPr>
        <w:t>8</w:t>
      </w:r>
      <w:r>
        <w:rPr>
          <w:rFonts w:ascii="Times New Roman" w:hint="eastAsia"/>
          <w:b/>
        </w:rPr>
        <w:t>学时）</w:t>
      </w:r>
    </w:p>
    <w:p w:rsidR="003717A0" w:rsidRDefault="003717A0">
      <w:pPr>
        <w:numPr>
          <w:ilvl w:val="0"/>
          <w:numId w:val="108"/>
        </w:numPr>
        <w:adjustRightInd w:val="0"/>
        <w:snapToGrid w:val="0"/>
        <w:spacing w:line="360" w:lineRule="auto"/>
        <w:ind w:right="6"/>
        <w:rPr>
          <w:szCs w:val="21"/>
        </w:rPr>
      </w:pPr>
      <w:r>
        <w:rPr>
          <w:rFonts w:hint="eastAsia"/>
          <w:szCs w:val="21"/>
        </w:rPr>
        <w:t>演示解剖学姿势。</w:t>
      </w:r>
    </w:p>
    <w:p w:rsidR="003717A0" w:rsidRDefault="003717A0">
      <w:pPr>
        <w:numPr>
          <w:ilvl w:val="0"/>
          <w:numId w:val="108"/>
        </w:numPr>
        <w:adjustRightInd w:val="0"/>
        <w:snapToGrid w:val="0"/>
        <w:spacing w:line="360" w:lineRule="auto"/>
        <w:ind w:right="6"/>
        <w:rPr>
          <w:b/>
          <w:szCs w:val="21"/>
        </w:rPr>
      </w:pPr>
      <w:r>
        <w:rPr>
          <w:rFonts w:hint="eastAsia"/>
          <w:szCs w:val="21"/>
        </w:rPr>
        <w:t>观察</w:t>
      </w:r>
      <w:r>
        <w:rPr>
          <w:rFonts w:hint="eastAsia"/>
        </w:rPr>
        <w:t>轴和面的模型。</w:t>
      </w:r>
    </w:p>
    <w:p w:rsidR="003717A0" w:rsidRDefault="003717A0">
      <w:pPr>
        <w:numPr>
          <w:ilvl w:val="0"/>
          <w:numId w:val="108"/>
        </w:numPr>
        <w:adjustRightInd w:val="0"/>
        <w:snapToGrid w:val="0"/>
        <w:spacing w:line="360" w:lineRule="auto"/>
        <w:ind w:right="6"/>
        <w:rPr>
          <w:b/>
          <w:szCs w:val="21"/>
        </w:rPr>
      </w:pPr>
      <w:r>
        <w:rPr>
          <w:rFonts w:hint="eastAsia"/>
          <w:szCs w:val="21"/>
        </w:rPr>
        <w:t>观察</w:t>
      </w:r>
      <w:r>
        <w:rPr>
          <w:rFonts w:hint="eastAsia"/>
        </w:rPr>
        <w:t>全身骨架</w:t>
      </w:r>
    </w:p>
    <w:p w:rsidR="003717A0" w:rsidRDefault="003717A0">
      <w:pPr>
        <w:numPr>
          <w:ilvl w:val="0"/>
          <w:numId w:val="108"/>
        </w:numPr>
        <w:adjustRightInd w:val="0"/>
        <w:snapToGrid w:val="0"/>
        <w:spacing w:line="360" w:lineRule="auto"/>
        <w:ind w:right="6"/>
        <w:rPr>
          <w:b/>
          <w:szCs w:val="21"/>
        </w:rPr>
      </w:pPr>
      <w:r>
        <w:rPr>
          <w:rFonts w:hint="eastAsia"/>
        </w:rPr>
        <w:t>观察骨的形态分类。</w:t>
      </w:r>
    </w:p>
    <w:p w:rsidR="003717A0" w:rsidRDefault="003717A0">
      <w:pPr>
        <w:numPr>
          <w:ilvl w:val="0"/>
          <w:numId w:val="108"/>
        </w:numPr>
        <w:adjustRightInd w:val="0"/>
        <w:snapToGrid w:val="0"/>
        <w:spacing w:line="360" w:lineRule="auto"/>
        <w:ind w:right="6"/>
        <w:rPr>
          <w:b/>
          <w:szCs w:val="21"/>
        </w:rPr>
      </w:pPr>
      <w:r>
        <w:rPr>
          <w:rFonts w:hint="eastAsia"/>
        </w:rPr>
        <w:t>观察骨的构造。</w:t>
      </w:r>
    </w:p>
    <w:p w:rsidR="003717A0" w:rsidRDefault="003717A0">
      <w:pPr>
        <w:numPr>
          <w:ilvl w:val="0"/>
          <w:numId w:val="108"/>
        </w:numPr>
        <w:adjustRightInd w:val="0"/>
        <w:snapToGrid w:val="0"/>
        <w:spacing w:line="360" w:lineRule="auto"/>
        <w:ind w:right="6"/>
        <w:rPr>
          <w:b/>
          <w:szCs w:val="21"/>
        </w:rPr>
      </w:pPr>
      <w:r>
        <w:rPr>
          <w:rFonts w:hint="eastAsia"/>
        </w:rPr>
        <w:t>观察躯干骨标本。</w:t>
      </w:r>
    </w:p>
    <w:p w:rsidR="003717A0" w:rsidRDefault="003717A0">
      <w:pPr>
        <w:numPr>
          <w:ilvl w:val="0"/>
          <w:numId w:val="108"/>
        </w:numPr>
        <w:adjustRightInd w:val="0"/>
        <w:snapToGrid w:val="0"/>
        <w:spacing w:line="360" w:lineRule="auto"/>
        <w:ind w:right="6"/>
        <w:rPr>
          <w:b/>
          <w:szCs w:val="21"/>
        </w:rPr>
      </w:pPr>
      <w:r>
        <w:rPr>
          <w:rFonts w:hint="eastAsia"/>
        </w:rPr>
        <w:t>观察上肢骨标本</w:t>
      </w:r>
      <w:r>
        <w:rPr>
          <w:rFonts w:hint="eastAsia"/>
          <w:b/>
          <w:szCs w:val="21"/>
        </w:rPr>
        <w:t>。</w:t>
      </w:r>
    </w:p>
    <w:p w:rsidR="003717A0" w:rsidRDefault="003717A0">
      <w:pPr>
        <w:numPr>
          <w:ilvl w:val="0"/>
          <w:numId w:val="108"/>
        </w:numPr>
        <w:adjustRightInd w:val="0"/>
        <w:snapToGrid w:val="0"/>
        <w:spacing w:line="360" w:lineRule="auto"/>
        <w:ind w:right="6"/>
        <w:rPr>
          <w:b/>
          <w:szCs w:val="21"/>
        </w:rPr>
      </w:pPr>
      <w:r>
        <w:rPr>
          <w:rFonts w:hint="eastAsia"/>
        </w:rPr>
        <w:t>观察下肢骨标本</w:t>
      </w:r>
    </w:p>
    <w:p w:rsidR="003717A0" w:rsidRDefault="003717A0">
      <w:pPr>
        <w:numPr>
          <w:ilvl w:val="0"/>
          <w:numId w:val="108"/>
        </w:numPr>
        <w:adjustRightInd w:val="0"/>
        <w:snapToGrid w:val="0"/>
        <w:spacing w:line="360" w:lineRule="auto"/>
        <w:ind w:right="6"/>
        <w:rPr>
          <w:szCs w:val="21"/>
        </w:rPr>
      </w:pPr>
      <w:r>
        <w:rPr>
          <w:rFonts w:hint="eastAsia"/>
        </w:rPr>
        <w:t>观察颅骨、整颅标本</w:t>
      </w:r>
      <w:r>
        <w:rPr>
          <w:rFonts w:hint="eastAsia"/>
          <w:szCs w:val="21"/>
        </w:rPr>
        <w:t>。</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09"/>
        </w:numPr>
      </w:pPr>
      <w:r>
        <w:rPr>
          <w:rFonts w:hint="eastAsia"/>
        </w:rPr>
        <w:t>了解运动系统组成及其基本功能。</w:t>
      </w:r>
    </w:p>
    <w:p w:rsidR="003717A0" w:rsidRDefault="003717A0">
      <w:pPr>
        <w:numPr>
          <w:ilvl w:val="0"/>
          <w:numId w:val="109"/>
        </w:numPr>
      </w:pPr>
      <w:r>
        <w:rPr>
          <w:rFonts w:hint="eastAsia"/>
        </w:rPr>
        <w:t>掌握骨的形态分类和骨的构造，了解骨的化学成分和物理性质。</w:t>
      </w:r>
    </w:p>
    <w:p w:rsidR="003717A0" w:rsidRDefault="003717A0">
      <w:pPr>
        <w:numPr>
          <w:ilvl w:val="0"/>
          <w:numId w:val="109"/>
        </w:numPr>
      </w:pPr>
      <w:r>
        <w:rPr>
          <w:rFonts w:hint="eastAsia"/>
        </w:rPr>
        <w:t>熟悉椎骨的一般形态，了解颈、胸、腰椎和骶骨的形态特点，熟悉肋骨的形态结构，掌握胸骨的形态分部。</w:t>
      </w:r>
    </w:p>
    <w:p w:rsidR="003717A0" w:rsidRDefault="003717A0">
      <w:pPr>
        <w:numPr>
          <w:ilvl w:val="0"/>
          <w:numId w:val="109"/>
        </w:numPr>
      </w:pPr>
      <w:r>
        <w:rPr>
          <w:rFonts w:hint="eastAsia"/>
        </w:rPr>
        <w:t>熟悉上肢骨的组成及各骨的位置，了解锁骨、肩胛骨、肱骨、尺骨和桡骨的形态，了解腕骨、掌骨、指骨的形态。</w:t>
      </w:r>
    </w:p>
    <w:p w:rsidR="003717A0" w:rsidRDefault="003717A0">
      <w:pPr>
        <w:numPr>
          <w:ilvl w:val="0"/>
          <w:numId w:val="109"/>
        </w:numPr>
        <w:jc w:val="left"/>
      </w:pPr>
      <w:r>
        <w:rPr>
          <w:rFonts w:hint="eastAsia"/>
        </w:rPr>
        <w:t>熟悉下肢骨的组成及各骨的位置，了解髋骨、股骨、胫骨和腓骨的形态，了解跟骨和距骨的形态。</w:t>
      </w:r>
    </w:p>
    <w:p w:rsidR="003717A0" w:rsidRDefault="003717A0">
      <w:pPr>
        <w:numPr>
          <w:ilvl w:val="0"/>
          <w:numId w:val="109"/>
        </w:numPr>
      </w:pPr>
      <w:r>
        <w:rPr>
          <w:rFonts w:hint="eastAsia"/>
        </w:rPr>
        <w:t>掌握面颅和脑颅各骨的名称和位置，熟悉下颌骨的形态，熟悉颅的整体观及主要结构位置，了解新生儿颅的特点。</w:t>
      </w:r>
    </w:p>
    <w:p w:rsidR="003717A0" w:rsidRDefault="003717A0">
      <w:pPr>
        <w:jc w:val="center"/>
      </w:pPr>
      <w:r>
        <w:rPr>
          <w:rFonts w:ascii="Times New Roman" w:hAnsi="Times New Roman" w:hint="eastAsia"/>
          <w:szCs w:val="21"/>
        </w:rPr>
        <w:t>第</w:t>
      </w:r>
      <w:r>
        <w:rPr>
          <w:rFonts w:ascii="Times New Roman" w:hAnsi="Times New Roman"/>
          <w:szCs w:val="21"/>
        </w:rPr>
        <w:t>2</w:t>
      </w:r>
      <w:r>
        <w:rPr>
          <w:rFonts w:ascii="Times New Roman" w:hAnsi="Times New Roman" w:hint="eastAsia"/>
          <w:szCs w:val="21"/>
        </w:rPr>
        <w:t>章</w:t>
      </w:r>
      <w:r>
        <w:rPr>
          <w:rFonts w:ascii="Times New Roman" w:hAnsi="Times New Roman"/>
          <w:szCs w:val="21"/>
        </w:rPr>
        <w:t xml:space="preserve"> </w:t>
      </w:r>
      <w:r>
        <w:rPr>
          <w:rFonts w:ascii="Times New Roman" w:hint="eastAsia"/>
          <w:szCs w:val="21"/>
        </w:rPr>
        <w:t>骨连结</w:t>
      </w:r>
    </w:p>
    <w:p w:rsidR="003717A0" w:rsidRDefault="003717A0">
      <w:pPr>
        <w:adjustRightInd w:val="0"/>
        <w:snapToGrid w:val="0"/>
        <w:spacing w:line="360" w:lineRule="auto"/>
        <w:ind w:right="6"/>
        <w:rPr>
          <w:b/>
          <w:szCs w:val="21"/>
        </w:rPr>
      </w:pPr>
      <w:r>
        <w:rPr>
          <w:rFonts w:hint="eastAsia"/>
          <w:b/>
          <w:szCs w:val="21"/>
        </w:rPr>
        <w:t>实习内容（</w:t>
      </w:r>
      <w:r>
        <w:rPr>
          <w:b/>
          <w:szCs w:val="21"/>
        </w:rPr>
        <w:t>8</w:t>
      </w:r>
      <w:r>
        <w:rPr>
          <w:rFonts w:hint="eastAsia"/>
          <w:b/>
          <w:szCs w:val="21"/>
        </w:rPr>
        <w:t>学时）</w:t>
      </w:r>
    </w:p>
    <w:p w:rsidR="003717A0" w:rsidRDefault="003717A0">
      <w:pPr>
        <w:numPr>
          <w:ilvl w:val="0"/>
          <w:numId w:val="110"/>
        </w:numPr>
        <w:adjustRightInd w:val="0"/>
        <w:snapToGrid w:val="0"/>
        <w:spacing w:line="360" w:lineRule="auto"/>
        <w:ind w:right="6"/>
        <w:rPr>
          <w:szCs w:val="21"/>
        </w:rPr>
      </w:pPr>
      <w:r>
        <w:rPr>
          <w:rFonts w:hint="eastAsia"/>
        </w:rPr>
        <w:t>观察颅骨连结标本</w:t>
      </w:r>
      <w:r>
        <w:rPr>
          <w:rFonts w:hint="eastAsia"/>
          <w:szCs w:val="21"/>
        </w:rPr>
        <w:t>。</w:t>
      </w:r>
    </w:p>
    <w:p w:rsidR="003717A0" w:rsidRDefault="003717A0">
      <w:pPr>
        <w:numPr>
          <w:ilvl w:val="0"/>
          <w:numId w:val="110"/>
        </w:numPr>
        <w:adjustRightInd w:val="0"/>
        <w:snapToGrid w:val="0"/>
        <w:spacing w:line="360" w:lineRule="auto"/>
        <w:ind w:right="6"/>
        <w:rPr>
          <w:szCs w:val="21"/>
        </w:rPr>
      </w:pPr>
      <w:r>
        <w:rPr>
          <w:rFonts w:hint="eastAsia"/>
          <w:szCs w:val="21"/>
        </w:rPr>
        <w:t>观察躯干骨连结标本、</w:t>
      </w:r>
      <w:r>
        <w:rPr>
          <w:rFonts w:hint="eastAsia"/>
        </w:rPr>
        <w:t>脊柱标本、胸廓标本</w:t>
      </w:r>
      <w:r>
        <w:rPr>
          <w:rFonts w:hint="eastAsia"/>
          <w:szCs w:val="21"/>
        </w:rPr>
        <w:t>。</w:t>
      </w:r>
    </w:p>
    <w:p w:rsidR="003717A0" w:rsidRDefault="003717A0">
      <w:pPr>
        <w:numPr>
          <w:ilvl w:val="0"/>
          <w:numId w:val="110"/>
        </w:numPr>
        <w:adjustRightInd w:val="0"/>
        <w:snapToGrid w:val="0"/>
        <w:spacing w:line="360" w:lineRule="auto"/>
        <w:ind w:right="6"/>
        <w:rPr>
          <w:szCs w:val="21"/>
        </w:rPr>
      </w:pPr>
      <w:r>
        <w:rPr>
          <w:rFonts w:hint="eastAsia"/>
          <w:szCs w:val="21"/>
        </w:rPr>
        <w:t>观察上肢骨连结标本；</w:t>
      </w:r>
      <w:r>
        <w:rPr>
          <w:rFonts w:hint="eastAsia"/>
        </w:rPr>
        <w:t>肩关节、膝关节和手的关节标本。</w:t>
      </w:r>
    </w:p>
    <w:p w:rsidR="003717A0" w:rsidRDefault="003717A0">
      <w:pPr>
        <w:numPr>
          <w:ilvl w:val="0"/>
          <w:numId w:val="110"/>
        </w:numPr>
        <w:adjustRightInd w:val="0"/>
        <w:snapToGrid w:val="0"/>
        <w:spacing w:line="360" w:lineRule="auto"/>
        <w:ind w:right="6"/>
        <w:rPr>
          <w:szCs w:val="21"/>
        </w:rPr>
      </w:pPr>
      <w:r>
        <w:rPr>
          <w:rFonts w:hint="eastAsia"/>
          <w:szCs w:val="21"/>
        </w:rPr>
        <w:t>观察下肢骨连结标本；</w:t>
      </w:r>
      <w:r>
        <w:rPr>
          <w:rFonts w:hint="eastAsia"/>
        </w:rPr>
        <w:t>骨盆、髋关节、膝关节和足的关节标本。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pStyle w:val="ListParagraph1"/>
        <w:numPr>
          <w:ilvl w:val="0"/>
          <w:numId w:val="111"/>
        </w:numPr>
        <w:ind w:firstLineChars="0"/>
      </w:pPr>
      <w:r>
        <w:rPr>
          <w:rFonts w:hint="eastAsia"/>
        </w:rPr>
        <w:t>了解骨连结的概念、分类，掌握关节的基本构造、关节的辅助结构，熟悉关节的运动。</w:t>
      </w:r>
    </w:p>
    <w:p w:rsidR="003717A0" w:rsidRDefault="003717A0">
      <w:pPr>
        <w:pStyle w:val="ListParagraph1"/>
        <w:numPr>
          <w:ilvl w:val="0"/>
          <w:numId w:val="111"/>
        </w:numPr>
        <w:ind w:firstLineChars="0"/>
      </w:pPr>
      <w:r>
        <w:rPr>
          <w:rFonts w:hint="eastAsia"/>
        </w:rPr>
        <w:t>掌握椎骨的连结，熟悉脊柱的组成、整体观及功能。</w:t>
      </w:r>
    </w:p>
    <w:p w:rsidR="003717A0" w:rsidRDefault="003717A0">
      <w:pPr>
        <w:numPr>
          <w:ilvl w:val="0"/>
          <w:numId w:val="111"/>
        </w:numPr>
      </w:pPr>
      <w:r>
        <w:rPr>
          <w:rFonts w:hint="eastAsia"/>
        </w:rPr>
        <w:lastRenderedPageBreak/>
        <w:t>掌握胸廓的组成，熟悉胸廓的连结、形态、功能。</w:t>
      </w:r>
    </w:p>
    <w:p w:rsidR="003717A0" w:rsidRDefault="003717A0">
      <w:pPr>
        <w:numPr>
          <w:ilvl w:val="0"/>
          <w:numId w:val="111"/>
        </w:numPr>
      </w:pPr>
      <w:r>
        <w:rPr>
          <w:rFonts w:hint="eastAsia"/>
        </w:rPr>
        <w:t>了解颅骨间的连结形式，掌握颞下颌关节的组成、结构特点和运动</w:t>
      </w:r>
    </w:p>
    <w:p w:rsidR="003717A0" w:rsidRDefault="003717A0">
      <w:pPr>
        <w:numPr>
          <w:ilvl w:val="0"/>
          <w:numId w:val="111"/>
        </w:numPr>
      </w:pPr>
      <w:r>
        <w:rPr>
          <w:rFonts w:hint="eastAsia"/>
        </w:rPr>
        <w:t>了解上肢带骨的连结，掌握肩关节、肘关节、桡腕关节的组成、结构特点和运动，</w:t>
      </w:r>
      <w:r>
        <w:t xml:space="preserve"> </w:t>
      </w:r>
      <w:r>
        <w:rPr>
          <w:rFonts w:hint="eastAsia"/>
        </w:rPr>
        <w:t>了解前臂骨的连结、腕骨间关节、腕掌关节和手骨间关节的组成及其运动。</w:t>
      </w:r>
    </w:p>
    <w:p w:rsidR="003717A0" w:rsidRDefault="00521C7D" w:rsidP="00521C7D">
      <w:pPr>
        <w:tabs>
          <w:tab w:val="left" w:pos="420"/>
        </w:tabs>
      </w:pPr>
      <w:r>
        <w:rPr>
          <w:rFonts w:hint="eastAsia"/>
        </w:rPr>
        <w:t xml:space="preserve">6. </w:t>
      </w:r>
      <w:r w:rsidR="003717A0">
        <w:rPr>
          <w:rFonts w:hint="eastAsia"/>
        </w:rPr>
        <w:t>掌握骨盆的组成、分部和女性骨盆的特点，掌握髋关节、膝关节、距小腿关节的组成、结构特点和运动，了解小腿骨的连结，了解足弓的组成和功能。</w:t>
      </w:r>
    </w:p>
    <w:p w:rsidR="003717A0" w:rsidRDefault="003717A0">
      <w:pPr>
        <w:jc w:val="center"/>
      </w:pPr>
      <w:r>
        <w:rPr>
          <w:rFonts w:hint="eastAsia"/>
        </w:rPr>
        <w:t>第</w:t>
      </w:r>
      <w:r>
        <w:t>3</w:t>
      </w:r>
      <w:r>
        <w:rPr>
          <w:rFonts w:hint="eastAsia"/>
        </w:rPr>
        <w:t>章</w:t>
      </w:r>
      <w:r>
        <w:t xml:space="preserve">  </w:t>
      </w:r>
      <w:r>
        <w:rPr>
          <w:rFonts w:hint="eastAsia"/>
        </w:rPr>
        <w:t>肌学</w:t>
      </w:r>
    </w:p>
    <w:p w:rsidR="003717A0" w:rsidRDefault="003717A0">
      <w:pPr>
        <w:adjustRightInd w:val="0"/>
        <w:snapToGrid w:val="0"/>
        <w:spacing w:line="360" w:lineRule="auto"/>
        <w:ind w:right="6"/>
        <w:rPr>
          <w:b/>
          <w:szCs w:val="21"/>
        </w:rPr>
      </w:pPr>
      <w:r>
        <w:rPr>
          <w:rFonts w:hint="eastAsia"/>
          <w:b/>
          <w:szCs w:val="21"/>
        </w:rPr>
        <w:t>实习内容（</w:t>
      </w:r>
      <w:r>
        <w:rPr>
          <w:b/>
          <w:szCs w:val="21"/>
        </w:rPr>
        <w:t>8</w:t>
      </w:r>
      <w:r>
        <w:rPr>
          <w:rFonts w:hint="eastAsia"/>
          <w:b/>
          <w:szCs w:val="21"/>
        </w:rPr>
        <w:t>学时）</w:t>
      </w:r>
    </w:p>
    <w:p w:rsidR="003717A0" w:rsidRDefault="003717A0">
      <w:pPr>
        <w:numPr>
          <w:ilvl w:val="0"/>
          <w:numId w:val="112"/>
        </w:numPr>
        <w:spacing w:before="100" w:beforeAutospacing="1" w:after="100" w:afterAutospacing="1" w:line="300" w:lineRule="exact"/>
      </w:pPr>
      <w:r>
        <w:rPr>
          <w:rFonts w:hint="eastAsia"/>
        </w:rPr>
        <w:t>讲解肌学总论。</w:t>
      </w:r>
    </w:p>
    <w:p w:rsidR="003717A0" w:rsidRDefault="003717A0">
      <w:pPr>
        <w:numPr>
          <w:ilvl w:val="0"/>
          <w:numId w:val="112"/>
        </w:numPr>
        <w:spacing w:before="100" w:beforeAutospacing="1" w:after="100" w:afterAutospacing="1" w:line="300" w:lineRule="exact"/>
      </w:pPr>
      <w:r>
        <w:rPr>
          <w:rFonts w:hint="eastAsia"/>
        </w:rPr>
        <w:t>观察肌的形态、分类标本。</w:t>
      </w:r>
    </w:p>
    <w:p w:rsidR="003717A0" w:rsidRDefault="003717A0">
      <w:pPr>
        <w:numPr>
          <w:ilvl w:val="0"/>
          <w:numId w:val="112"/>
        </w:numPr>
        <w:spacing w:before="100" w:beforeAutospacing="1" w:after="100" w:afterAutospacing="1" w:line="300" w:lineRule="exact"/>
      </w:pPr>
      <w:r>
        <w:rPr>
          <w:rFonts w:hint="eastAsia"/>
        </w:rPr>
        <w:t>观察躯干肌标本。</w:t>
      </w:r>
    </w:p>
    <w:p w:rsidR="003717A0" w:rsidRDefault="003717A0">
      <w:pPr>
        <w:numPr>
          <w:ilvl w:val="0"/>
          <w:numId w:val="112"/>
        </w:numPr>
        <w:spacing w:before="100" w:beforeAutospacing="1" w:after="100" w:afterAutospacing="1" w:line="300" w:lineRule="exact"/>
      </w:pPr>
      <w:r>
        <w:rPr>
          <w:rFonts w:hint="eastAsia"/>
        </w:rPr>
        <w:t>观察头颈肌标本。</w:t>
      </w:r>
    </w:p>
    <w:p w:rsidR="003717A0" w:rsidRDefault="003717A0">
      <w:pPr>
        <w:numPr>
          <w:ilvl w:val="0"/>
          <w:numId w:val="112"/>
        </w:numPr>
        <w:spacing w:before="100" w:beforeAutospacing="1" w:after="100" w:afterAutospacing="1" w:line="300" w:lineRule="exact"/>
      </w:pPr>
      <w:r>
        <w:rPr>
          <w:rFonts w:hint="eastAsia"/>
        </w:rPr>
        <w:t>观察上肢肌标本。</w:t>
      </w:r>
    </w:p>
    <w:p w:rsidR="003717A0" w:rsidRDefault="003717A0">
      <w:pPr>
        <w:numPr>
          <w:ilvl w:val="0"/>
          <w:numId w:val="112"/>
        </w:numPr>
        <w:spacing w:before="100" w:beforeAutospacing="1" w:after="100" w:afterAutospacing="1" w:line="300" w:lineRule="exact"/>
      </w:pPr>
      <w:r>
        <w:rPr>
          <w:rFonts w:hint="eastAsia"/>
        </w:rPr>
        <w:t>观察下肢肌标本。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13"/>
        </w:numPr>
      </w:pPr>
      <w:r>
        <w:rPr>
          <w:rFonts w:hint="eastAsia"/>
        </w:rPr>
        <w:t>掌握肌的分类、构造和起止点，了解肌在关节周围的配布规律及拮抗肌的概念，熟悉肌的作用和辅助结构。了解肌的血管、淋巴管和神经。</w:t>
      </w:r>
    </w:p>
    <w:p w:rsidR="003717A0" w:rsidRDefault="003717A0">
      <w:pPr>
        <w:numPr>
          <w:ilvl w:val="0"/>
          <w:numId w:val="113"/>
        </w:numPr>
      </w:pPr>
      <w:r>
        <w:rPr>
          <w:rFonts w:hint="eastAsia"/>
        </w:rPr>
        <w:t>熟悉背肌的位置和分群，掌握斜方肌、背阔肌、竖脊肌的位置和功能。</w:t>
      </w:r>
    </w:p>
    <w:p w:rsidR="003717A0" w:rsidRDefault="003717A0">
      <w:pPr>
        <w:numPr>
          <w:ilvl w:val="0"/>
          <w:numId w:val="113"/>
        </w:numPr>
      </w:pPr>
      <w:r>
        <w:rPr>
          <w:rFonts w:hint="eastAsia"/>
        </w:rPr>
        <w:t>熟悉胸肌的组成，掌握胸大肌、前锯肌、肋间肌的位置和作用。</w:t>
      </w:r>
    </w:p>
    <w:p w:rsidR="003717A0" w:rsidRDefault="003717A0">
      <w:pPr>
        <w:numPr>
          <w:ilvl w:val="0"/>
          <w:numId w:val="113"/>
        </w:numPr>
      </w:pPr>
      <w:r>
        <w:rPr>
          <w:rFonts w:hint="eastAsia"/>
        </w:rPr>
        <w:t>掌握膈的位置、形态、结构特点和作用。</w:t>
      </w:r>
    </w:p>
    <w:p w:rsidR="003717A0" w:rsidRDefault="003717A0">
      <w:pPr>
        <w:numPr>
          <w:ilvl w:val="0"/>
          <w:numId w:val="113"/>
        </w:numPr>
      </w:pPr>
      <w:r>
        <w:rPr>
          <w:rFonts w:hint="eastAsia"/>
        </w:rPr>
        <w:t>掌握腹直肌、腹外斜肌、腹内斜肌和腹横肌的位置、结构特点和作用，熟悉腹直肌鞘的构成，熟悉腹股沟管的位置、形态和通过结构。</w:t>
      </w:r>
    </w:p>
    <w:p w:rsidR="003717A0" w:rsidRDefault="003717A0">
      <w:pPr>
        <w:numPr>
          <w:ilvl w:val="0"/>
          <w:numId w:val="113"/>
        </w:numPr>
      </w:pPr>
      <w:r>
        <w:rPr>
          <w:rFonts w:hint="eastAsia"/>
        </w:rPr>
        <w:t>了解面肌的名称、位置和作用以及枕额肌的结构特点，熟悉咀嚼肌的组成和功能。</w:t>
      </w:r>
    </w:p>
    <w:p w:rsidR="003717A0" w:rsidRDefault="003717A0">
      <w:pPr>
        <w:numPr>
          <w:ilvl w:val="0"/>
          <w:numId w:val="113"/>
        </w:numPr>
      </w:pPr>
      <w:r>
        <w:rPr>
          <w:rFonts w:hint="eastAsia"/>
        </w:rPr>
        <w:t>熟悉颈肌的位置、分群及作用，掌握胸锁乳突肌的位置、肌束的方向和作用，熟悉斜角肌间隙的概念。</w:t>
      </w:r>
    </w:p>
    <w:p w:rsidR="003717A0" w:rsidRDefault="003717A0">
      <w:pPr>
        <w:numPr>
          <w:ilvl w:val="0"/>
          <w:numId w:val="113"/>
        </w:numPr>
      </w:pPr>
      <w:r>
        <w:rPr>
          <w:rFonts w:hint="eastAsia"/>
        </w:rPr>
        <w:t>熟悉上肢带肌的组成，掌握三角肌的位置、起止和作用。</w:t>
      </w:r>
    </w:p>
    <w:p w:rsidR="003717A0" w:rsidRDefault="003717A0">
      <w:pPr>
        <w:numPr>
          <w:ilvl w:val="0"/>
          <w:numId w:val="113"/>
        </w:numPr>
      </w:pPr>
      <w:r>
        <w:rPr>
          <w:rFonts w:hint="eastAsia"/>
        </w:rPr>
        <w:t>熟悉臂肌的分群和组成。掌握肱二头肌的起止和作用，掌握肱三头肌的位置、起止和作用。</w:t>
      </w:r>
    </w:p>
    <w:p w:rsidR="003717A0" w:rsidRDefault="003717A0">
      <w:pPr>
        <w:numPr>
          <w:ilvl w:val="0"/>
          <w:numId w:val="113"/>
        </w:numPr>
      </w:pPr>
      <w:r>
        <w:rPr>
          <w:rFonts w:hint="eastAsia"/>
        </w:rPr>
        <w:t>熟悉前臂肌的的分群、各肌群的分层、各肌的名称及作用。</w:t>
      </w:r>
    </w:p>
    <w:p w:rsidR="003717A0" w:rsidRDefault="003717A0">
      <w:pPr>
        <w:numPr>
          <w:ilvl w:val="0"/>
          <w:numId w:val="113"/>
        </w:numPr>
      </w:pPr>
      <w:r>
        <w:rPr>
          <w:rFonts w:hint="eastAsia"/>
        </w:rPr>
        <w:t>熟悉手肌的分群、各群肌的名称、位置和作用。</w:t>
      </w:r>
    </w:p>
    <w:p w:rsidR="003717A0" w:rsidRDefault="003717A0">
      <w:pPr>
        <w:numPr>
          <w:ilvl w:val="0"/>
          <w:numId w:val="113"/>
        </w:numPr>
      </w:pPr>
      <w:r>
        <w:rPr>
          <w:rFonts w:hint="eastAsia"/>
        </w:rPr>
        <w:t>了解髋肌的分群和组成，掌握髂腰肌的位置、起止和作用，熟悉臀大肌的位置、起止和作用，了解梨状肌位置和作用。</w:t>
      </w:r>
    </w:p>
    <w:p w:rsidR="003717A0" w:rsidRDefault="003717A0">
      <w:pPr>
        <w:numPr>
          <w:ilvl w:val="0"/>
          <w:numId w:val="113"/>
        </w:numPr>
      </w:pPr>
      <w:r>
        <w:rPr>
          <w:rFonts w:hint="eastAsia"/>
        </w:rPr>
        <w:t>熟悉大腿肌的分群、组成和功能，掌握股四头肌的组成、起止概况及作用，熟悉缝匠肌的起止和作用。</w:t>
      </w:r>
    </w:p>
    <w:p w:rsidR="003717A0" w:rsidRDefault="003717A0">
      <w:pPr>
        <w:numPr>
          <w:ilvl w:val="0"/>
          <w:numId w:val="113"/>
        </w:numPr>
      </w:pPr>
      <w:r>
        <w:rPr>
          <w:rFonts w:hint="eastAsia"/>
        </w:rPr>
        <w:t>熟悉小腿肌的分群，各群肌的名称及作用。</w:t>
      </w:r>
    </w:p>
    <w:p w:rsidR="003717A0" w:rsidRDefault="003717A0">
      <w:pPr>
        <w:numPr>
          <w:ilvl w:val="0"/>
          <w:numId w:val="113"/>
        </w:numPr>
      </w:pPr>
      <w:r>
        <w:rPr>
          <w:rFonts w:hint="eastAsia"/>
        </w:rPr>
        <w:t>了解足肌的分群和各群肌的作用。</w:t>
      </w:r>
    </w:p>
    <w:p w:rsidR="003717A0" w:rsidRDefault="003717A0">
      <w:pPr>
        <w:numPr>
          <w:ilvl w:val="0"/>
          <w:numId w:val="113"/>
        </w:numPr>
      </w:pPr>
      <w:r>
        <w:rPr>
          <w:rFonts w:hint="eastAsia"/>
        </w:rPr>
        <w:t>熟悉全身主要的肌性标志。</w:t>
      </w:r>
    </w:p>
    <w:p w:rsidR="003717A0" w:rsidRDefault="003717A0"/>
    <w:p w:rsidR="003717A0" w:rsidRDefault="003717A0">
      <w:pPr>
        <w:jc w:val="center"/>
      </w:pPr>
      <w:r>
        <w:rPr>
          <w:rFonts w:hint="eastAsia"/>
        </w:rPr>
        <w:t>第二篇</w:t>
      </w:r>
      <w:r>
        <w:t xml:space="preserve"> </w:t>
      </w:r>
      <w:r>
        <w:rPr>
          <w:rFonts w:hint="eastAsia"/>
        </w:rPr>
        <w:t>内脏学</w:t>
      </w:r>
    </w:p>
    <w:p w:rsidR="003717A0" w:rsidRDefault="003717A0">
      <w:pPr>
        <w:jc w:val="center"/>
      </w:pPr>
      <w:r>
        <w:rPr>
          <w:rFonts w:hint="eastAsia"/>
        </w:rPr>
        <w:t>第</w:t>
      </w:r>
      <w:r>
        <w:t>4</w:t>
      </w:r>
      <w:r>
        <w:rPr>
          <w:rFonts w:hint="eastAsia"/>
        </w:rPr>
        <w:t>章</w:t>
      </w:r>
      <w:r>
        <w:t xml:space="preserve"> </w:t>
      </w:r>
      <w:r>
        <w:rPr>
          <w:rFonts w:hint="eastAsia"/>
        </w:rPr>
        <w:t>内脏学总论</w:t>
      </w:r>
    </w:p>
    <w:p w:rsidR="003717A0" w:rsidRDefault="003717A0">
      <w:pPr>
        <w:jc w:val="center"/>
      </w:pPr>
      <w:r>
        <w:rPr>
          <w:rFonts w:hint="eastAsia"/>
        </w:rPr>
        <w:t>第</w:t>
      </w:r>
      <w:r>
        <w:t>5</w:t>
      </w:r>
      <w:r>
        <w:rPr>
          <w:rFonts w:hint="eastAsia"/>
        </w:rPr>
        <w:t>章</w:t>
      </w:r>
      <w:r>
        <w:t xml:space="preserve"> </w:t>
      </w:r>
      <w:r>
        <w:rPr>
          <w:rFonts w:hint="eastAsia"/>
        </w:rPr>
        <w:t>消化系统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4</w:t>
      </w:r>
      <w:r>
        <w:rPr>
          <w:rFonts w:ascii="Times New Roman" w:hint="eastAsia"/>
          <w:b/>
        </w:rPr>
        <w:t>学时）</w:t>
      </w:r>
    </w:p>
    <w:p w:rsidR="003717A0" w:rsidRDefault="003717A0">
      <w:pPr>
        <w:numPr>
          <w:ilvl w:val="0"/>
          <w:numId w:val="114"/>
        </w:numPr>
        <w:adjustRightInd w:val="0"/>
        <w:snapToGrid w:val="0"/>
        <w:spacing w:line="360" w:lineRule="auto"/>
        <w:ind w:right="6"/>
        <w:rPr>
          <w:rFonts w:ascii="Times New Roman"/>
        </w:rPr>
      </w:pPr>
      <w:r>
        <w:rPr>
          <w:rFonts w:ascii="Times New Roman" w:hint="eastAsia"/>
        </w:rPr>
        <w:t>内脏学总论。</w:t>
      </w:r>
    </w:p>
    <w:p w:rsidR="003717A0" w:rsidRDefault="003717A0">
      <w:pPr>
        <w:numPr>
          <w:ilvl w:val="0"/>
          <w:numId w:val="114"/>
        </w:numPr>
        <w:adjustRightInd w:val="0"/>
        <w:snapToGrid w:val="0"/>
        <w:spacing w:line="360" w:lineRule="auto"/>
        <w:ind w:right="6"/>
        <w:rPr>
          <w:rFonts w:ascii="Times New Roman"/>
        </w:rPr>
      </w:pPr>
      <w:r>
        <w:rPr>
          <w:rFonts w:ascii="Times New Roman" w:hint="eastAsia"/>
        </w:rPr>
        <w:lastRenderedPageBreak/>
        <w:t>消化系统的组成。</w:t>
      </w:r>
    </w:p>
    <w:p w:rsidR="003717A0" w:rsidRDefault="003717A0">
      <w:pPr>
        <w:numPr>
          <w:ilvl w:val="0"/>
          <w:numId w:val="114"/>
        </w:numPr>
        <w:adjustRightInd w:val="0"/>
        <w:snapToGrid w:val="0"/>
        <w:spacing w:line="360" w:lineRule="auto"/>
        <w:ind w:right="6"/>
        <w:rPr>
          <w:rFonts w:ascii="Times New Roman"/>
        </w:rPr>
      </w:pPr>
      <w:r>
        <w:rPr>
          <w:rFonts w:ascii="Times New Roman" w:hint="eastAsia"/>
        </w:rPr>
        <w:t>消化管（口腔、咽、食管、胃、小肠和大肠）。</w:t>
      </w:r>
    </w:p>
    <w:p w:rsidR="003717A0" w:rsidRDefault="003717A0">
      <w:pPr>
        <w:numPr>
          <w:ilvl w:val="0"/>
          <w:numId w:val="114"/>
        </w:numPr>
        <w:adjustRightInd w:val="0"/>
        <w:snapToGrid w:val="0"/>
        <w:spacing w:line="360" w:lineRule="auto"/>
        <w:ind w:right="6"/>
        <w:rPr>
          <w:rFonts w:ascii="Times New Roman"/>
        </w:rPr>
      </w:pPr>
      <w:r>
        <w:rPr>
          <w:rFonts w:ascii="Times New Roman" w:hint="eastAsia"/>
        </w:rPr>
        <w:t>消化腺（肝、肝外胆道、胰）。</w:t>
      </w:r>
    </w:p>
    <w:p w:rsidR="003717A0" w:rsidRDefault="003717A0">
      <w:pPr>
        <w:adjustRightInd w:val="0"/>
        <w:snapToGrid w:val="0"/>
        <w:spacing w:line="360" w:lineRule="auto"/>
        <w:ind w:right="6"/>
        <w:rPr>
          <w:b/>
          <w:szCs w:val="21"/>
        </w:rPr>
      </w:pPr>
      <w:r>
        <w:rPr>
          <w:rFonts w:hint="eastAsia"/>
          <w:b/>
          <w:szCs w:val="21"/>
        </w:rPr>
        <w:t>实习内容（</w:t>
      </w:r>
      <w:r>
        <w:rPr>
          <w:b/>
          <w:szCs w:val="21"/>
        </w:rPr>
        <w:t>4</w:t>
      </w:r>
      <w:r>
        <w:rPr>
          <w:rFonts w:hint="eastAsia"/>
          <w:b/>
          <w:szCs w:val="21"/>
        </w:rPr>
        <w:t>学时）</w:t>
      </w:r>
    </w:p>
    <w:p w:rsidR="003717A0" w:rsidRDefault="003717A0">
      <w:pPr>
        <w:numPr>
          <w:ilvl w:val="0"/>
          <w:numId w:val="115"/>
        </w:numPr>
        <w:adjustRightInd w:val="0"/>
        <w:snapToGrid w:val="0"/>
        <w:spacing w:line="360" w:lineRule="auto"/>
        <w:ind w:right="6"/>
        <w:rPr>
          <w:b/>
          <w:szCs w:val="21"/>
        </w:rPr>
      </w:pPr>
      <w:r>
        <w:rPr>
          <w:rFonts w:hint="eastAsia"/>
          <w:szCs w:val="21"/>
        </w:rPr>
        <w:t>观察</w:t>
      </w:r>
      <w:r>
        <w:rPr>
          <w:rFonts w:hint="eastAsia"/>
        </w:rPr>
        <w:t>腹腔脏器配布标本。</w:t>
      </w:r>
    </w:p>
    <w:p w:rsidR="003717A0" w:rsidRDefault="003717A0">
      <w:pPr>
        <w:numPr>
          <w:ilvl w:val="0"/>
          <w:numId w:val="115"/>
        </w:numPr>
        <w:adjustRightInd w:val="0"/>
        <w:snapToGrid w:val="0"/>
        <w:spacing w:line="360" w:lineRule="auto"/>
        <w:ind w:right="6"/>
        <w:rPr>
          <w:b/>
          <w:szCs w:val="21"/>
        </w:rPr>
      </w:pPr>
      <w:r>
        <w:rPr>
          <w:rFonts w:hint="eastAsia"/>
          <w:szCs w:val="21"/>
        </w:rPr>
        <w:t>观察口腔结构（唇、颊、舌、唾液腺）标本。</w:t>
      </w:r>
    </w:p>
    <w:p w:rsidR="003717A0" w:rsidRDefault="003717A0">
      <w:pPr>
        <w:numPr>
          <w:ilvl w:val="0"/>
          <w:numId w:val="115"/>
        </w:numPr>
        <w:adjustRightInd w:val="0"/>
        <w:snapToGrid w:val="0"/>
        <w:spacing w:line="360" w:lineRule="auto"/>
        <w:ind w:right="6"/>
        <w:rPr>
          <w:b/>
          <w:szCs w:val="21"/>
        </w:rPr>
      </w:pPr>
      <w:r>
        <w:rPr>
          <w:rFonts w:hint="eastAsia"/>
          <w:szCs w:val="21"/>
        </w:rPr>
        <w:t>观察</w:t>
      </w:r>
      <w:r>
        <w:rPr>
          <w:rFonts w:hint="eastAsia"/>
        </w:rPr>
        <w:t>各类牙的标本或模型</w:t>
      </w:r>
      <w:r>
        <w:rPr>
          <w:rFonts w:hint="eastAsia"/>
          <w:b/>
          <w:szCs w:val="21"/>
        </w:rPr>
        <w:t>。</w:t>
      </w:r>
    </w:p>
    <w:p w:rsidR="003717A0" w:rsidRDefault="003717A0">
      <w:pPr>
        <w:numPr>
          <w:ilvl w:val="0"/>
          <w:numId w:val="115"/>
        </w:numPr>
        <w:adjustRightInd w:val="0"/>
        <w:snapToGrid w:val="0"/>
        <w:spacing w:line="360" w:lineRule="auto"/>
        <w:ind w:right="6"/>
        <w:rPr>
          <w:b/>
          <w:szCs w:val="21"/>
        </w:rPr>
      </w:pPr>
      <w:r>
        <w:rPr>
          <w:rFonts w:hint="eastAsia"/>
          <w:szCs w:val="21"/>
        </w:rPr>
        <w:t>观察</w:t>
      </w:r>
      <w:r>
        <w:rPr>
          <w:rFonts w:hint="eastAsia"/>
        </w:rPr>
        <w:t>咽腔及咽壁的标本或模型。</w:t>
      </w:r>
    </w:p>
    <w:p w:rsidR="003717A0" w:rsidRDefault="003717A0">
      <w:pPr>
        <w:numPr>
          <w:ilvl w:val="0"/>
          <w:numId w:val="115"/>
        </w:numPr>
        <w:adjustRightInd w:val="0"/>
        <w:snapToGrid w:val="0"/>
        <w:spacing w:line="360" w:lineRule="auto"/>
        <w:ind w:right="6"/>
        <w:rPr>
          <w:b/>
          <w:szCs w:val="21"/>
        </w:rPr>
      </w:pPr>
      <w:r>
        <w:rPr>
          <w:rFonts w:hint="eastAsia"/>
        </w:rPr>
        <w:t>观察食管、胃、小肠、大肠标本。</w:t>
      </w:r>
    </w:p>
    <w:p w:rsidR="003717A0" w:rsidRDefault="003717A0">
      <w:pPr>
        <w:numPr>
          <w:ilvl w:val="0"/>
          <w:numId w:val="115"/>
        </w:numPr>
        <w:adjustRightInd w:val="0"/>
        <w:snapToGrid w:val="0"/>
        <w:spacing w:line="360" w:lineRule="auto"/>
        <w:ind w:right="6"/>
        <w:rPr>
          <w:b/>
          <w:szCs w:val="21"/>
        </w:rPr>
      </w:pPr>
      <w:r>
        <w:rPr>
          <w:rFonts w:hint="eastAsia"/>
        </w:rPr>
        <w:t>观察肝的标本。</w:t>
      </w:r>
    </w:p>
    <w:p w:rsidR="003717A0" w:rsidRDefault="003717A0">
      <w:pPr>
        <w:numPr>
          <w:ilvl w:val="0"/>
          <w:numId w:val="115"/>
        </w:numPr>
        <w:adjustRightInd w:val="0"/>
        <w:snapToGrid w:val="0"/>
        <w:spacing w:line="360" w:lineRule="auto"/>
        <w:ind w:right="6"/>
        <w:rPr>
          <w:b/>
          <w:szCs w:val="21"/>
        </w:rPr>
      </w:pPr>
      <w:r>
        <w:rPr>
          <w:rFonts w:hint="eastAsia"/>
        </w:rPr>
        <w:t>观察肝外胆道标本。</w:t>
      </w:r>
    </w:p>
    <w:p w:rsidR="003717A0" w:rsidRDefault="003717A0">
      <w:pPr>
        <w:numPr>
          <w:ilvl w:val="0"/>
          <w:numId w:val="115"/>
        </w:numPr>
        <w:adjustRightInd w:val="0"/>
        <w:snapToGrid w:val="0"/>
        <w:spacing w:line="360" w:lineRule="auto"/>
        <w:ind w:right="6"/>
        <w:rPr>
          <w:b/>
          <w:szCs w:val="21"/>
        </w:rPr>
      </w:pPr>
      <w:r>
        <w:rPr>
          <w:rFonts w:hint="eastAsia"/>
        </w:rPr>
        <w:t>观察胰的标本。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16"/>
        </w:numPr>
      </w:pPr>
      <w:r>
        <w:rPr>
          <w:rFonts w:hint="eastAsia"/>
        </w:rPr>
        <w:t>掌握消化系统的组成，上、下消化道的概念。</w:t>
      </w:r>
    </w:p>
    <w:p w:rsidR="003717A0" w:rsidRDefault="003717A0">
      <w:pPr>
        <w:numPr>
          <w:ilvl w:val="0"/>
          <w:numId w:val="116"/>
        </w:numPr>
      </w:pPr>
      <w:r>
        <w:rPr>
          <w:rFonts w:hint="eastAsia"/>
        </w:rPr>
        <w:t>熟悉口腔的境界和分部；了解唇和颊的形态；熟悉腭的形态和分部，咽峡的组成；熟悉舌的形态和舌粘膜的形态特点，了解舌肌的配布和功能，掌握颏舌肌的起止和功能；掌握牙的形态、构造、分类、排列方式及牙周组织；掌握腮腺、下颌下腺、舌下腺的位置和腺管的开口部位。</w:t>
      </w:r>
    </w:p>
    <w:p w:rsidR="003717A0" w:rsidRDefault="003717A0">
      <w:pPr>
        <w:numPr>
          <w:ilvl w:val="0"/>
          <w:numId w:val="116"/>
        </w:numPr>
      </w:pPr>
      <w:r>
        <w:rPr>
          <w:rFonts w:hint="eastAsia"/>
        </w:rPr>
        <w:t>掌握咽的位置、分部及各部的形态和交通，熟悉腭扁桃体的位置和形态，熟悉咽淋巴环的概念。</w:t>
      </w:r>
    </w:p>
    <w:p w:rsidR="003717A0" w:rsidRDefault="003717A0">
      <w:pPr>
        <w:numPr>
          <w:ilvl w:val="0"/>
          <w:numId w:val="116"/>
        </w:numPr>
      </w:pPr>
      <w:r>
        <w:rPr>
          <w:rFonts w:hint="eastAsia"/>
        </w:rPr>
        <w:t>掌握食管的位置、分部及狭窄部位。</w:t>
      </w:r>
    </w:p>
    <w:p w:rsidR="003717A0" w:rsidRDefault="003717A0">
      <w:pPr>
        <w:numPr>
          <w:ilvl w:val="0"/>
          <w:numId w:val="116"/>
        </w:numPr>
      </w:pPr>
      <w:r>
        <w:rPr>
          <w:rFonts w:hint="eastAsia"/>
        </w:rPr>
        <w:t>掌握胃的位置、形态、分部，熟悉胃的毗邻。</w:t>
      </w:r>
    </w:p>
    <w:p w:rsidR="003717A0" w:rsidRDefault="003717A0">
      <w:pPr>
        <w:numPr>
          <w:ilvl w:val="0"/>
          <w:numId w:val="116"/>
        </w:numPr>
      </w:pPr>
      <w:r>
        <w:rPr>
          <w:rFonts w:hint="eastAsia"/>
        </w:rPr>
        <w:t>掌握小肠的分部，十二指肠的位置、形态和分部。熟悉十二指肠大乳头的位置及十二指肠悬肌的位置和作用，了解空肠和回肠的形态特点。</w:t>
      </w:r>
    </w:p>
    <w:p w:rsidR="003717A0" w:rsidRDefault="003717A0">
      <w:pPr>
        <w:numPr>
          <w:ilvl w:val="0"/>
          <w:numId w:val="116"/>
        </w:numPr>
      </w:pPr>
      <w:r>
        <w:rPr>
          <w:rFonts w:hint="eastAsia"/>
        </w:rPr>
        <w:t>掌握大肠的分部；掌握盲肠、结肠的形态特点，盲肠与阑尾的位置及阑尾根部的体表投影；熟悉结肠的分部、各部的位置；掌握直肠和肛管的形态、位置和毗邻，齿状线的位置及其标志意义，了解肛直肠环的位置和作用。</w:t>
      </w:r>
    </w:p>
    <w:p w:rsidR="003717A0" w:rsidRDefault="003717A0">
      <w:pPr>
        <w:numPr>
          <w:ilvl w:val="0"/>
          <w:numId w:val="116"/>
        </w:numPr>
      </w:pPr>
      <w:r>
        <w:rPr>
          <w:rFonts w:hint="eastAsia"/>
        </w:rPr>
        <w:t>了解消化腺的组成及功能；掌握肝的位置和形态，熟悉肝的体表投影。</w:t>
      </w:r>
    </w:p>
    <w:p w:rsidR="003717A0" w:rsidRDefault="003717A0">
      <w:pPr>
        <w:numPr>
          <w:ilvl w:val="0"/>
          <w:numId w:val="116"/>
        </w:numPr>
      </w:pPr>
      <w:r>
        <w:rPr>
          <w:rFonts w:hint="eastAsia"/>
        </w:rPr>
        <w:t>掌握胆囊的位置、形态和分部，熟悉胆囊底的体表投影。</w:t>
      </w:r>
    </w:p>
    <w:p w:rsidR="003717A0" w:rsidRDefault="003717A0">
      <w:pPr>
        <w:numPr>
          <w:ilvl w:val="0"/>
          <w:numId w:val="116"/>
        </w:numPr>
      </w:pPr>
      <w:r>
        <w:rPr>
          <w:rFonts w:hint="eastAsia"/>
        </w:rPr>
        <w:t>掌握输胆管道的组成，胆总管的行程，肝胰壶腹的位置及作用；掌握胆汁的排泄途径。</w:t>
      </w:r>
    </w:p>
    <w:p w:rsidR="003717A0" w:rsidRDefault="003717A0">
      <w:pPr>
        <w:numPr>
          <w:ilvl w:val="0"/>
          <w:numId w:val="116"/>
        </w:numPr>
      </w:pPr>
      <w:r>
        <w:rPr>
          <w:rFonts w:hint="eastAsia"/>
        </w:rPr>
        <w:t>掌握胰的形态、位置、分部和胰管的开口部位。</w:t>
      </w:r>
    </w:p>
    <w:p w:rsidR="003717A0" w:rsidRDefault="003717A0">
      <w:pPr>
        <w:jc w:val="center"/>
      </w:pPr>
      <w:r>
        <w:rPr>
          <w:rFonts w:hint="eastAsia"/>
        </w:rPr>
        <w:t>第</w:t>
      </w:r>
      <w:r>
        <w:t>6</w:t>
      </w:r>
      <w:r>
        <w:rPr>
          <w:rFonts w:hint="eastAsia"/>
        </w:rPr>
        <w:t>章</w:t>
      </w:r>
      <w:r>
        <w:t xml:space="preserve"> </w:t>
      </w:r>
      <w:r>
        <w:rPr>
          <w:rFonts w:hint="eastAsia"/>
        </w:rPr>
        <w:t>呼吸系统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117"/>
        </w:numPr>
        <w:adjustRightInd w:val="0"/>
        <w:snapToGrid w:val="0"/>
        <w:spacing w:line="360" w:lineRule="auto"/>
        <w:ind w:right="6"/>
        <w:rPr>
          <w:rFonts w:ascii="Times New Roman"/>
        </w:rPr>
      </w:pPr>
      <w:r>
        <w:rPr>
          <w:rFonts w:ascii="Times New Roman" w:hint="eastAsia"/>
        </w:rPr>
        <w:t>呼吸系统的组成。</w:t>
      </w:r>
    </w:p>
    <w:p w:rsidR="003717A0" w:rsidRDefault="003717A0">
      <w:pPr>
        <w:numPr>
          <w:ilvl w:val="0"/>
          <w:numId w:val="117"/>
        </w:numPr>
        <w:adjustRightInd w:val="0"/>
        <w:snapToGrid w:val="0"/>
        <w:spacing w:line="360" w:lineRule="auto"/>
        <w:ind w:right="6"/>
        <w:rPr>
          <w:rFonts w:ascii="Times New Roman"/>
        </w:rPr>
      </w:pPr>
      <w:r>
        <w:rPr>
          <w:rFonts w:ascii="Times New Roman" w:hint="eastAsia"/>
        </w:rPr>
        <w:t>呼吸道（鼻、喉、气管及支气管）。</w:t>
      </w:r>
    </w:p>
    <w:p w:rsidR="003717A0" w:rsidRDefault="003717A0">
      <w:pPr>
        <w:numPr>
          <w:ilvl w:val="0"/>
          <w:numId w:val="117"/>
        </w:numPr>
        <w:adjustRightInd w:val="0"/>
        <w:snapToGrid w:val="0"/>
        <w:spacing w:line="360" w:lineRule="auto"/>
        <w:ind w:right="6"/>
        <w:rPr>
          <w:rFonts w:ascii="Times New Roman"/>
        </w:rPr>
      </w:pPr>
      <w:r>
        <w:rPr>
          <w:rFonts w:ascii="Times New Roman" w:hint="eastAsia"/>
        </w:rPr>
        <w:t>肺。</w:t>
      </w:r>
    </w:p>
    <w:p w:rsidR="003717A0" w:rsidRDefault="003717A0">
      <w:pPr>
        <w:numPr>
          <w:ilvl w:val="0"/>
          <w:numId w:val="117"/>
        </w:numPr>
        <w:adjustRightInd w:val="0"/>
        <w:snapToGrid w:val="0"/>
        <w:spacing w:line="360" w:lineRule="auto"/>
        <w:ind w:right="6"/>
        <w:rPr>
          <w:rFonts w:ascii="Times New Roman"/>
        </w:rPr>
      </w:pPr>
      <w:r>
        <w:rPr>
          <w:rFonts w:ascii="Times New Roman" w:hint="eastAsia"/>
        </w:rPr>
        <w:t>胸膜。</w:t>
      </w:r>
    </w:p>
    <w:p w:rsidR="003717A0" w:rsidRDefault="003717A0">
      <w:pPr>
        <w:numPr>
          <w:ilvl w:val="0"/>
          <w:numId w:val="117"/>
        </w:numPr>
        <w:adjustRightInd w:val="0"/>
        <w:snapToGrid w:val="0"/>
        <w:spacing w:line="360" w:lineRule="auto"/>
        <w:ind w:right="6"/>
        <w:rPr>
          <w:rFonts w:ascii="Times New Roman"/>
        </w:rPr>
      </w:pPr>
      <w:r>
        <w:rPr>
          <w:rFonts w:ascii="Times New Roman" w:hint="eastAsia"/>
        </w:rPr>
        <w:t>纵隔。</w:t>
      </w:r>
    </w:p>
    <w:p w:rsidR="003717A0" w:rsidRDefault="003717A0">
      <w:pPr>
        <w:adjustRightInd w:val="0"/>
        <w:snapToGrid w:val="0"/>
        <w:spacing w:line="360" w:lineRule="auto"/>
        <w:ind w:right="6"/>
        <w:rPr>
          <w:b/>
          <w:szCs w:val="21"/>
        </w:rPr>
      </w:pPr>
      <w:r>
        <w:rPr>
          <w:rFonts w:hint="eastAsia"/>
          <w:b/>
          <w:szCs w:val="21"/>
        </w:rPr>
        <w:t>实习内容（</w:t>
      </w:r>
      <w:r>
        <w:rPr>
          <w:b/>
          <w:szCs w:val="21"/>
        </w:rPr>
        <w:t>3</w:t>
      </w:r>
      <w:r>
        <w:rPr>
          <w:rFonts w:hint="eastAsia"/>
          <w:b/>
          <w:szCs w:val="21"/>
        </w:rPr>
        <w:t>学时）</w:t>
      </w:r>
    </w:p>
    <w:p w:rsidR="003717A0" w:rsidRDefault="003717A0">
      <w:pPr>
        <w:numPr>
          <w:ilvl w:val="0"/>
          <w:numId w:val="118"/>
        </w:numPr>
        <w:adjustRightInd w:val="0"/>
        <w:snapToGrid w:val="0"/>
        <w:spacing w:line="360" w:lineRule="auto"/>
        <w:ind w:right="6"/>
      </w:pPr>
      <w:r>
        <w:rPr>
          <w:rFonts w:hint="eastAsia"/>
          <w:szCs w:val="21"/>
        </w:rPr>
        <w:t>观察</w:t>
      </w:r>
      <w:r>
        <w:rPr>
          <w:rFonts w:hint="eastAsia"/>
        </w:rPr>
        <w:t>头颈部正中矢状面标本。</w:t>
      </w:r>
    </w:p>
    <w:p w:rsidR="003717A0" w:rsidRDefault="003717A0">
      <w:pPr>
        <w:numPr>
          <w:ilvl w:val="0"/>
          <w:numId w:val="118"/>
        </w:numPr>
        <w:adjustRightInd w:val="0"/>
        <w:snapToGrid w:val="0"/>
        <w:spacing w:line="360" w:lineRule="auto"/>
        <w:ind w:right="6"/>
        <w:rPr>
          <w:szCs w:val="21"/>
        </w:rPr>
      </w:pPr>
      <w:r>
        <w:rPr>
          <w:rFonts w:hint="eastAsia"/>
          <w:szCs w:val="21"/>
        </w:rPr>
        <w:lastRenderedPageBreak/>
        <w:t>观察</w:t>
      </w:r>
      <w:r>
        <w:rPr>
          <w:rFonts w:hint="eastAsia"/>
        </w:rPr>
        <w:t>喉腔的标本或模型。</w:t>
      </w:r>
    </w:p>
    <w:p w:rsidR="003717A0" w:rsidRDefault="003717A0">
      <w:pPr>
        <w:numPr>
          <w:ilvl w:val="0"/>
          <w:numId w:val="118"/>
        </w:numPr>
        <w:adjustRightInd w:val="0"/>
        <w:snapToGrid w:val="0"/>
        <w:spacing w:line="360" w:lineRule="auto"/>
        <w:ind w:right="6"/>
        <w:rPr>
          <w:szCs w:val="21"/>
        </w:rPr>
      </w:pPr>
      <w:r>
        <w:rPr>
          <w:rFonts w:hint="eastAsia"/>
          <w:szCs w:val="21"/>
        </w:rPr>
        <w:t>观察</w:t>
      </w:r>
      <w:r>
        <w:rPr>
          <w:rFonts w:hint="eastAsia"/>
        </w:rPr>
        <w:t>气管、主支气管的标本或模型。</w:t>
      </w:r>
    </w:p>
    <w:p w:rsidR="003717A0" w:rsidRDefault="003717A0">
      <w:pPr>
        <w:numPr>
          <w:ilvl w:val="0"/>
          <w:numId w:val="118"/>
        </w:numPr>
        <w:adjustRightInd w:val="0"/>
        <w:snapToGrid w:val="0"/>
        <w:spacing w:line="360" w:lineRule="auto"/>
        <w:ind w:right="6"/>
        <w:rPr>
          <w:szCs w:val="21"/>
        </w:rPr>
      </w:pPr>
      <w:r>
        <w:rPr>
          <w:rFonts w:hint="eastAsia"/>
          <w:szCs w:val="21"/>
        </w:rPr>
        <w:t>观察</w:t>
      </w:r>
      <w:r>
        <w:rPr>
          <w:rFonts w:hint="eastAsia"/>
        </w:rPr>
        <w:t>左、右肺标本及模型。</w:t>
      </w:r>
    </w:p>
    <w:p w:rsidR="003717A0" w:rsidRDefault="003717A0">
      <w:pPr>
        <w:numPr>
          <w:ilvl w:val="0"/>
          <w:numId w:val="118"/>
        </w:numPr>
        <w:adjustRightInd w:val="0"/>
        <w:snapToGrid w:val="0"/>
        <w:spacing w:line="360" w:lineRule="auto"/>
        <w:ind w:right="6"/>
        <w:rPr>
          <w:szCs w:val="21"/>
        </w:rPr>
      </w:pPr>
      <w:r>
        <w:rPr>
          <w:rFonts w:hint="eastAsia"/>
          <w:szCs w:val="21"/>
        </w:rPr>
        <w:t>观察</w:t>
      </w:r>
      <w:r>
        <w:rPr>
          <w:rFonts w:hint="eastAsia"/>
        </w:rPr>
        <w:t>胸膜纵隔标本。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19"/>
        </w:numPr>
      </w:pPr>
      <w:r>
        <w:rPr>
          <w:rFonts w:hint="eastAsia"/>
        </w:rPr>
        <w:t>掌握呼吸系统的组成和功能；掌握呼吸道的组成，上、下呼吸道的概念。</w:t>
      </w:r>
    </w:p>
    <w:p w:rsidR="003717A0" w:rsidRDefault="003717A0">
      <w:pPr>
        <w:numPr>
          <w:ilvl w:val="0"/>
          <w:numId w:val="119"/>
        </w:numPr>
      </w:pPr>
      <w:r>
        <w:rPr>
          <w:rFonts w:hint="eastAsia"/>
        </w:rPr>
        <w:t>了解外鼻的形态、构造，掌握鼻腔的位置及鼻中隔的形态特点，掌握鼻腔的分部、各部的形态及功能，熟悉鼻粘膜的分部及各部的功能；掌握鼻旁窦的构成及各窦的开口部位。</w:t>
      </w:r>
    </w:p>
    <w:p w:rsidR="003717A0" w:rsidRDefault="003717A0">
      <w:pPr>
        <w:numPr>
          <w:ilvl w:val="0"/>
          <w:numId w:val="119"/>
        </w:numPr>
      </w:pPr>
      <w:r>
        <w:rPr>
          <w:rFonts w:hint="eastAsia"/>
        </w:rPr>
        <w:t>熟悉喉的位置、组成和喉的体表标志，熟悉喉各软骨的名称、位置，熟悉喉肌的分布和功能，掌握喉腔的形态、分部。</w:t>
      </w:r>
    </w:p>
    <w:p w:rsidR="003717A0" w:rsidRDefault="003717A0">
      <w:pPr>
        <w:numPr>
          <w:ilvl w:val="0"/>
          <w:numId w:val="119"/>
        </w:numPr>
      </w:pPr>
      <w:r>
        <w:rPr>
          <w:rFonts w:hint="eastAsia"/>
        </w:rPr>
        <w:t>掌握气管的位置、分部、形态及左、右主支气管的差别。</w:t>
      </w:r>
    </w:p>
    <w:p w:rsidR="003717A0" w:rsidRDefault="003717A0">
      <w:pPr>
        <w:numPr>
          <w:ilvl w:val="0"/>
          <w:numId w:val="119"/>
        </w:numPr>
      </w:pPr>
      <w:r>
        <w:rPr>
          <w:rFonts w:hint="eastAsia"/>
        </w:rPr>
        <w:t>掌握肺的形态、位置和分叶，熟悉肺段支气管和支气管肺段的概念。</w:t>
      </w:r>
    </w:p>
    <w:p w:rsidR="003717A0" w:rsidRDefault="003717A0">
      <w:pPr>
        <w:numPr>
          <w:ilvl w:val="0"/>
          <w:numId w:val="119"/>
        </w:numPr>
      </w:pPr>
      <w:r>
        <w:rPr>
          <w:rFonts w:hint="eastAsia"/>
        </w:rPr>
        <w:t>掌握胸膜与胸膜腔的概念，掌握胸膜的分部及肋膈隐窝的位置；熟悉胸膜与肺的体表投影。</w:t>
      </w:r>
    </w:p>
    <w:p w:rsidR="003717A0" w:rsidRDefault="003717A0">
      <w:pPr>
        <w:numPr>
          <w:ilvl w:val="0"/>
          <w:numId w:val="119"/>
        </w:numPr>
      </w:pPr>
      <w:r>
        <w:rPr>
          <w:rFonts w:hint="eastAsia"/>
        </w:rPr>
        <w:t>熟悉纵隔的概念、境界和分区。</w:t>
      </w:r>
    </w:p>
    <w:p w:rsidR="003717A0" w:rsidRDefault="003717A0">
      <w:pPr>
        <w:jc w:val="center"/>
      </w:pPr>
      <w:r>
        <w:rPr>
          <w:rFonts w:hint="eastAsia"/>
          <w:szCs w:val="21"/>
        </w:rPr>
        <w:t>第</w:t>
      </w:r>
      <w:r>
        <w:rPr>
          <w:szCs w:val="21"/>
        </w:rPr>
        <w:t>7</w:t>
      </w:r>
      <w:r>
        <w:rPr>
          <w:rFonts w:hint="eastAsia"/>
          <w:szCs w:val="21"/>
        </w:rPr>
        <w:t>章</w:t>
      </w:r>
      <w:r>
        <w:rPr>
          <w:szCs w:val="21"/>
        </w:rPr>
        <w:t xml:space="preserve"> </w:t>
      </w:r>
      <w:r>
        <w:rPr>
          <w:rFonts w:hint="eastAsia"/>
          <w:szCs w:val="21"/>
        </w:rPr>
        <w:t>泌尿系统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numPr>
          <w:ilvl w:val="0"/>
          <w:numId w:val="120"/>
        </w:numPr>
        <w:adjustRightInd w:val="0"/>
        <w:snapToGrid w:val="0"/>
        <w:spacing w:line="360" w:lineRule="auto"/>
        <w:ind w:right="6"/>
        <w:rPr>
          <w:rFonts w:ascii="Times New Roman"/>
        </w:rPr>
      </w:pPr>
      <w:r>
        <w:rPr>
          <w:rFonts w:ascii="Times New Roman" w:hint="eastAsia"/>
        </w:rPr>
        <w:t>泌尿系统的组成。</w:t>
      </w:r>
    </w:p>
    <w:p w:rsidR="003717A0" w:rsidRDefault="003717A0">
      <w:pPr>
        <w:numPr>
          <w:ilvl w:val="0"/>
          <w:numId w:val="120"/>
        </w:numPr>
        <w:adjustRightInd w:val="0"/>
        <w:snapToGrid w:val="0"/>
        <w:spacing w:line="360" w:lineRule="auto"/>
        <w:ind w:right="6"/>
        <w:rPr>
          <w:rFonts w:ascii="Times New Roman"/>
        </w:rPr>
      </w:pPr>
      <w:r>
        <w:rPr>
          <w:rFonts w:ascii="Times New Roman" w:hint="eastAsia"/>
        </w:rPr>
        <w:t>肾。</w:t>
      </w:r>
    </w:p>
    <w:p w:rsidR="003717A0" w:rsidRDefault="003717A0">
      <w:pPr>
        <w:numPr>
          <w:ilvl w:val="0"/>
          <w:numId w:val="120"/>
        </w:numPr>
        <w:adjustRightInd w:val="0"/>
        <w:snapToGrid w:val="0"/>
        <w:spacing w:line="360" w:lineRule="auto"/>
        <w:ind w:right="6"/>
        <w:rPr>
          <w:rFonts w:ascii="Times New Roman"/>
        </w:rPr>
      </w:pPr>
      <w:r>
        <w:rPr>
          <w:rFonts w:ascii="Times New Roman" w:hint="eastAsia"/>
        </w:rPr>
        <w:t>输尿管。</w:t>
      </w:r>
    </w:p>
    <w:p w:rsidR="003717A0" w:rsidRDefault="003717A0">
      <w:pPr>
        <w:numPr>
          <w:ilvl w:val="0"/>
          <w:numId w:val="120"/>
        </w:numPr>
        <w:adjustRightInd w:val="0"/>
        <w:snapToGrid w:val="0"/>
        <w:spacing w:line="360" w:lineRule="auto"/>
        <w:ind w:right="6"/>
        <w:rPr>
          <w:rFonts w:ascii="Times New Roman"/>
        </w:rPr>
      </w:pPr>
      <w:r>
        <w:rPr>
          <w:rFonts w:ascii="Times New Roman" w:hint="eastAsia"/>
        </w:rPr>
        <w:t>膀胱。</w:t>
      </w:r>
    </w:p>
    <w:p w:rsidR="003717A0" w:rsidRDefault="003717A0">
      <w:pPr>
        <w:numPr>
          <w:ilvl w:val="0"/>
          <w:numId w:val="120"/>
        </w:numPr>
        <w:adjustRightInd w:val="0"/>
        <w:snapToGrid w:val="0"/>
        <w:spacing w:line="360" w:lineRule="auto"/>
        <w:ind w:right="6"/>
        <w:rPr>
          <w:rFonts w:ascii="Times New Roman"/>
        </w:rPr>
      </w:pPr>
      <w:r>
        <w:rPr>
          <w:rFonts w:ascii="Times New Roman" w:hint="eastAsia"/>
        </w:rPr>
        <w:t>尿道。</w:t>
      </w:r>
    </w:p>
    <w:p w:rsidR="003717A0" w:rsidRDefault="003717A0">
      <w:pPr>
        <w:adjustRightInd w:val="0"/>
        <w:snapToGrid w:val="0"/>
        <w:spacing w:line="360" w:lineRule="auto"/>
        <w:ind w:right="6"/>
        <w:rPr>
          <w:b/>
          <w:szCs w:val="21"/>
        </w:rPr>
      </w:pPr>
      <w:r>
        <w:rPr>
          <w:rFonts w:hint="eastAsia"/>
          <w:b/>
          <w:szCs w:val="21"/>
        </w:rPr>
        <w:t>实习内容（</w:t>
      </w:r>
      <w:r>
        <w:rPr>
          <w:b/>
          <w:szCs w:val="21"/>
        </w:rPr>
        <w:t>1</w:t>
      </w:r>
      <w:r>
        <w:rPr>
          <w:rFonts w:hint="eastAsia"/>
          <w:b/>
          <w:szCs w:val="21"/>
        </w:rPr>
        <w:t>学时）</w:t>
      </w:r>
    </w:p>
    <w:p w:rsidR="003717A0" w:rsidRDefault="003717A0">
      <w:pPr>
        <w:numPr>
          <w:ilvl w:val="0"/>
          <w:numId w:val="121"/>
        </w:numPr>
        <w:adjustRightInd w:val="0"/>
        <w:snapToGrid w:val="0"/>
        <w:spacing w:line="360" w:lineRule="auto"/>
        <w:ind w:right="6"/>
        <w:rPr>
          <w:b/>
          <w:szCs w:val="21"/>
        </w:rPr>
      </w:pPr>
      <w:r>
        <w:rPr>
          <w:rFonts w:hint="eastAsia"/>
        </w:rPr>
        <w:t>观察泌尿系统标本或模型</w:t>
      </w:r>
      <w:r>
        <w:rPr>
          <w:rFonts w:hint="eastAsia"/>
          <w:b/>
          <w:szCs w:val="21"/>
        </w:rPr>
        <w:t>。</w:t>
      </w:r>
    </w:p>
    <w:p w:rsidR="003717A0" w:rsidRDefault="003717A0">
      <w:pPr>
        <w:numPr>
          <w:ilvl w:val="0"/>
          <w:numId w:val="121"/>
        </w:numPr>
        <w:adjustRightInd w:val="0"/>
        <w:snapToGrid w:val="0"/>
        <w:spacing w:line="360" w:lineRule="auto"/>
        <w:ind w:right="6"/>
        <w:rPr>
          <w:b/>
          <w:szCs w:val="21"/>
        </w:rPr>
      </w:pPr>
      <w:r>
        <w:rPr>
          <w:rFonts w:hint="eastAsia"/>
        </w:rPr>
        <w:t>肾的剖面标本或模型。</w:t>
      </w:r>
    </w:p>
    <w:p w:rsidR="003717A0" w:rsidRDefault="003717A0">
      <w:pPr>
        <w:numPr>
          <w:ilvl w:val="0"/>
          <w:numId w:val="121"/>
        </w:numPr>
        <w:adjustRightInd w:val="0"/>
        <w:snapToGrid w:val="0"/>
        <w:spacing w:line="360" w:lineRule="auto"/>
        <w:ind w:right="6"/>
        <w:rPr>
          <w:b/>
          <w:szCs w:val="21"/>
        </w:rPr>
      </w:pPr>
      <w:r>
        <w:rPr>
          <w:rFonts w:hint="eastAsia"/>
        </w:rPr>
        <w:t>观察膀胱的标本或模型。</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22"/>
        </w:numPr>
      </w:pPr>
      <w:r>
        <w:rPr>
          <w:rFonts w:hint="eastAsia"/>
        </w:rPr>
        <w:t>掌握泌尿系统的组成和功能。</w:t>
      </w:r>
    </w:p>
    <w:p w:rsidR="003717A0" w:rsidRDefault="003717A0">
      <w:pPr>
        <w:numPr>
          <w:ilvl w:val="0"/>
          <w:numId w:val="122"/>
        </w:numPr>
      </w:pPr>
      <w:r>
        <w:rPr>
          <w:rFonts w:hint="eastAsia"/>
        </w:rPr>
        <w:t>掌握肾的形态、位置和被膜，熟悉肾的构造。</w:t>
      </w:r>
    </w:p>
    <w:p w:rsidR="003717A0" w:rsidRDefault="003717A0">
      <w:pPr>
        <w:numPr>
          <w:ilvl w:val="0"/>
          <w:numId w:val="122"/>
        </w:numPr>
      </w:pPr>
      <w:r>
        <w:rPr>
          <w:rFonts w:hint="eastAsia"/>
        </w:rPr>
        <w:t>掌握输尿管的形态、分部和狭窄。</w:t>
      </w:r>
    </w:p>
    <w:p w:rsidR="003717A0" w:rsidRDefault="003717A0">
      <w:pPr>
        <w:numPr>
          <w:ilvl w:val="0"/>
          <w:numId w:val="122"/>
        </w:numPr>
      </w:pPr>
      <w:r>
        <w:rPr>
          <w:rFonts w:hint="eastAsia"/>
        </w:rPr>
        <w:t>熟悉膀胱的形态、分部和膀胱壁的构造，掌握膀胱三角的位置及其粘膜特点。</w:t>
      </w:r>
    </w:p>
    <w:p w:rsidR="003717A0" w:rsidRDefault="003717A0">
      <w:pPr>
        <w:numPr>
          <w:ilvl w:val="0"/>
          <w:numId w:val="122"/>
        </w:numPr>
      </w:pPr>
      <w:r>
        <w:rPr>
          <w:rFonts w:hint="eastAsia"/>
        </w:rPr>
        <w:t>掌握女性尿道的形态特点和开口位置。</w:t>
      </w:r>
    </w:p>
    <w:p w:rsidR="003717A0" w:rsidRDefault="003717A0">
      <w:pPr>
        <w:jc w:val="center"/>
      </w:pPr>
      <w:r>
        <w:rPr>
          <w:rFonts w:hint="eastAsia"/>
          <w:szCs w:val="21"/>
        </w:rPr>
        <w:t>第</w:t>
      </w:r>
      <w:r>
        <w:rPr>
          <w:szCs w:val="21"/>
        </w:rPr>
        <w:t>8</w:t>
      </w:r>
      <w:r>
        <w:rPr>
          <w:rFonts w:hint="eastAsia"/>
          <w:szCs w:val="21"/>
        </w:rPr>
        <w:t>章</w:t>
      </w:r>
      <w:r>
        <w:rPr>
          <w:szCs w:val="21"/>
        </w:rPr>
        <w:t xml:space="preserve"> </w:t>
      </w:r>
      <w:r>
        <w:rPr>
          <w:rFonts w:hint="eastAsia"/>
          <w:szCs w:val="21"/>
        </w:rPr>
        <w:t>生殖系统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4</w:t>
      </w:r>
      <w:r>
        <w:rPr>
          <w:rFonts w:ascii="Times New Roman" w:hint="eastAsia"/>
          <w:b/>
        </w:rPr>
        <w:t>学时）</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生殖系统的组成。</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男性生殖系统的组成及分部。</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男性内生殖器。</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男性外生殖器。</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女性生殖系统的组成及分部。</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lastRenderedPageBreak/>
        <w:t>女性内生殖器。</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女性外生殖器。</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乳房。</w:t>
      </w:r>
    </w:p>
    <w:p w:rsidR="003717A0" w:rsidRDefault="003717A0">
      <w:pPr>
        <w:numPr>
          <w:ilvl w:val="0"/>
          <w:numId w:val="123"/>
        </w:numPr>
        <w:adjustRightInd w:val="0"/>
        <w:snapToGrid w:val="0"/>
        <w:spacing w:line="360" w:lineRule="auto"/>
        <w:ind w:right="6"/>
        <w:rPr>
          <w:rFonts w:ascii="Times New Roman"/>
        </w:rPr>
      </w:pPr>
      <w:r>
        <w:rPr>
          <w:rFonts w:ascii="Times New Roman" w:hint="eastAsia"/>
        </w:rPr>
        <w:t>会阴。</w:t>
      </w:r>
    </w:p>
    <w:p w:rsidR="003717A0" w:rsidRDefault="003717A0">
      <w:pPr>
        <w:adjustRightInd w:val="0"/>
        <w:snapToGrid w:val="0"/>
        <w:spacing w:line="360" w:lineRule="auto"/>
        <w:ind w:right="6"/>
        <w:rPr>
          <w:b/>
          <w:szCs w:val="21"/>
        </w:rPr>
      </w:pPr>
      <w:r>
        <w:rPr>
          <w:rFonts w:hint="eastAsia"/>
          <w:b/>
          <w:szCs w:val="21"/>
        </w:rPr>
        <w:t>实习内容（</w:t>
      </w:r>
      <w:r>
        <w:rPr>
          <w:b/>
          <w:szCs w:val="21"/>
        </w:rPr>
        <w:t>1</w:t>
      </w:r>
      <w:r>
        <w:rPr>
          <w:rFonts w:hint="eastAsia"/>
          <w:b/>
          <w:szCs w:val="21"/>
        </w:rPr>
        <w:t>学时）</w:t>
      </w:r>
    </w:p>
    <w:p w:rsidR="003717A0" w:rsidRDefault="003717A0">
      <w:pPr>
        <w:adjustRightInd w:val="0"/>
        <w:snapToGrid w:val="0"/>
        <w:spacing w:line="360" w:lineRule="auto"/>
        <w:ind w:right="6"/>
      </w:pPr>
      <w:r>
        <w:rPr>
          <w:szCs w:val="21"/>
        </w:rPr>
        <w:t>1</w:t>
      </w:r>
      <w:r>
        <w:rPr>
          <w:rFonts w:hint="eastAsia"/>
          <w:szCs w:val="21"/>
        </w:rPr>
        <w:t>．观察</w:t>
      </w:r>
      <w:r>
        <w:rPr>
          <w:rFonts w:hint="eastAsia"/>
        </w:rPr>
        <w:t>男性生殖系统标本及模型。</w:t>
      </w:r>
    </w:p>
    <w:p w:rsidR="003717A0" w:rsidRDefault="003717A0">
      <w:pPr>
        <w:adjustRightInd w:val="0"/>
        <w:snapToGrid w:val="0"/>
        <w:spacing w:line="360" w:lineRule="auto"/>
        <w:ind w:right="6"/>
      </w:pPr>
      <w:r>
        <w:t>2</w:t>
      </w:r>
      <w:r>
        <w:rPr>
          <w:rFonts w:hint="eastAsia"/>
        </w:rPr>
        <w:t>．观察女性生殖系统标本及模型。</w:t>
      </w:r>
    </w:p>
    <w:p w:rsidR="003717A0" w:rsidRDefault="003717A0">
      <w:pPr>
        <w:adjustRightInd w:val="0"/>
        <w:snapToGrid w:val="0"/>
        <w:spacing w:line="360" w:lineRule="auto"/>
        <w:ind w:right="6"/>
      </w:pPr>
      <w:r>
        <w:t>3</w:t>
      </w:r>
      <w:r>
        <w:rPr>
          <w:rFonts w:hint="eastAsia"/>
        </w:rPr>
        <w:t>．观察女性乳房标本及模型。</w:t>
      </w:r>
    </w:p>
    <w:p w:rsidR="003717A0" w:rsidRDefault="003717A0">
      <w:pPr>
        <w:adjustRightInd w:val="0"/>
        <w:snapToGrid w:val="0"/>
        <w:spacing w:line="360" w:lineRule="auto"/>
        <w:ind w:right="6"/>
      </w:pPr>
      <w:r>
        <w:t xml:space="preserve">4. </w:t>
      </w:r>
      <w:r>
        <w:rPr>
          <w:rFonts w:hint="eastAsia"/>
        </w:rPr>
        <w:t>观察会阴标本及模型。</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24"/>
        </w:numPr>
      </w:pPr>
      <w:r>
        <w:rPr>
          <w:rFonts w:hint="eastAsia"/>
        </w:rPr>
        <w:t>掌握生殖系统的组成和功能。</w:t>
      </w:r>
    </w:p>
    <w:p w:rsidR="003717A0" w:rsidRDefault="003717A0">
      <w:pPr>
        <w:numPr>
          <w:ilvl w:val="0"/>
          <w:numId w:val="124"/>
        </w:numPr>
      </w:pPr>
      <w:r>
        <w:rPr>
          <w:rFonts w:hint="eastAsia"/>
        </w:rPr>
        <w:t>掌握男性内、外生殖器的组成。</w:t>
      </w:r>
    </w:p>
    <w:p w:rsidR="003717A0" w:rsidRDefault="003717A0">
      <w:pPr>
        <w:numPr>
          <w:ilvl w:val="0"/>
          <w:numId w:val="124"/>
        </w:numPr>
      </w:pPr>
      <w:r>
        <w:rPr>
          <w:rFonts w:hint="eastAsia"/>
        </w:rPr>
        <w:t>掌握睾丸的位置、形态和结构。</w:t>
      </w:r>
    </w:p>
    <w:p w:rsidR="003717A0" w:rsidRDefault="003717A0">
      <w:pPr>
        <w:numPr>
          <w:ilvl w:val="0"/>
          <w:numId w:val="124"/>
        </w:numPr>
      </w:pPr>
      <w:r>
        <w:rPr>
          <w:rFonts w:hint="eastAsia"/>
        </w:rPr>
        <w:t>掌握输精管的形态特点、行程，熟悉射精管的形成、穿过的结构和开口部位，熟悉输精管结扎术常用的部位，熟悉精索的组成。</w:t>
      </w:r>
    </w:p>
    <w:p w:rsidR="003717A0" w:rsidRDefault="003717A0">
      <w:pPr>
        <w:numPr>
          <w:ilvl w:val="0"/>
          <w:numId w:val="124"/>
        </w:numPr>
      </w:pPr>
      <w:r>
        <w:rPr>
          <w:rFonts w:hint="eastAsia"/>
        </w:rPr>
        <w:t>了解精囊腺的位置、形态、功能及其与输精管的关系。</w:t>
      </w:r>
    </w:p>
    <w:p w:rsidR="003717A0" w:rsidRDefault="003717A0">
      <w:pPr>
        <w:numPr>
          <w:ilvl w:val="0"/>
          <w:numId w:val="124"/>
        </w:numPr>
      </w:pPr>
      <w:r>
        <w:rPr>
          <w:rFonts w:hint="eastAsia"/>
        </w:rPr>
        <w:t>熟悉前列腺的形态、位置、毗邻、分叶及前列腺的年龄变化和功能。</w:t>
      </w:r>
    </w:p>
    <w:p w:rsidR="003717A0" w:rsidRDefault="003717A0">
      <w:pPr>
        <w:numPr>
          <w:ilvl w:val="0"/>
          <w:numId w:val="124"/>
        </w:numPr>
      </w:pPr>
      <w:r>
        <w:rPr>
          <w:rFonts w:hint="eastAsia"/>
        </w:rPr>
        <w:t>了解尿道球腺的位置、开口部位和功能。</w:t>
      </w:r>
    </w:p>
    <w:p w:rsidR="003717A0" w:rsidRDefault="003717A0">
      <w:pPr>
        <w:numPr>
          <w:ilvl w:val="0"/>
          <w:numId w:val="124"/>
        </w:numPr>
      </w:pPr>
      <w:r>
        <w:rPr>
          <w:rFonts w:hint="eastAsia"/>
        </w:rPr>
        <w:t>熟悉阴囊的位置、构造及功能。</w:t>
      </w:r>
    </w:p>
    <w:p w:rsidR="003717A0" w:rsidRDefault="003717A0">
      <w:pPr>
        <w:numPr>
          <w:ilvl w:val="0"/>
          <w:numId w:val="124"/>
        </w:numPr>
      </w:pPr>
      <w:r>
        <w:rPr>
          <w:rFonts w:hint="eastAsia"/>
        </w:rPr>
        <w:t>熟悉阴茎的位置、形态分部及构造。掌握男性尿道的分部、狭窄、扩大和弯曲。</w:t>
      </w:r>
    </w:p>
    <w:p w:rsidR="003717A0" w:rsidRDefault="003717A0">
      <w:pPr>
        <w:numPr>
          <w:ilvl w:val="0"/>
          <w:numId w:val="124"/>
        </w:numPr>
      </w:pPr>
      <w:r>
        <w:rPr>
          <w:rFonts w:hint="eastAsia"/>
        </w:rPr>
        <w:t>掌握女性内生殖器和外生殖器的组成。</w:t>
      </w:r>
    </w:p>
    <w:p w:rsidR="003717A0" w:rsidRDefault="003717A0">
      <w:pPr>
        <w:numPr>
          <w:ilvl w:val="0"/>
          <w:numId w:val="124"/>
        </w:numPr>
      </w:pPr>
      <w:r>
        <w:rPr>
          <w:rFonts w:hint="eastAsia"/>
        </w:rPr>
        <w:t>掌握卵巢的形态、位置。</w:t>
      </w:r>
    </w:p>
    <w:p w:rsidR="003717A0" w:rsidRDefault="003717A0">
      <w:pPr>
        <w:numPr>
          <w:ilvl w:val="0"/>
          <w:numId w:val="124"/>
        </w:numPr>
      </w:pPr>
      <w:r>
        <w:rPr>
          <w:rFonts w:hint="eastAsia"/>
        </w:rPr>
        <w:t>掌握输卵管的位置、形态、分部及输卵管结扎术常用的部位。</w:t>
      </w:r>
    </w:p>
    <w:p w:rsidR="003717A0" w:rsidRDefault="003717A0">
      <w:pPr>
        <w:numPr>
          <w:ilvl w:val="0"/>
          <w:numId w:val="124"/>
        </w:numPr>
      </w:pPr>
      <w:r>
        <w:rPr>
          <w:rFonts w:hint="eastAsia"/>
        </w:rPr>
        <w:t>掌握子宫的形态、分部、位置及固定装置。</w:t>
      </w:r>
    </w:p>
    <w:p w:rsidR="003717A0" w:rsidRDefault="003717A0">
      <w:pPr>
        <w:numPr>
          <w:ilvl w:val="0"/>
          <w:numId w:val="124"/>
        </w:numPr>
      </w:pPr>
      <w:r>
        <w:rPr>
          <w:rFonts w:hint="eastAsia"/>
        </w:rPr>
        <w:t>熟悉女性乳房的形态和构造。</w:t>
      </w:r>
    </w:p>
    <w:p w:rsidR="003717A0" w:rsidRDefault="003717A0">
      <w:pPr>
        <w:numPr>
          <w:ilvl w:val="0"/>
          <w:numId w:val="124"/>
        </w:numPr>
      </w:pPr>
      <w:r>
        <w:rPr>
          <w:rFonts w:hint="eastAsia"/>
        </w:rPr>
        <w:t>熟悉会阴的概念。熟悉会阴的境界、分部及各部穿过的结构，熟悉盆膈和尿生殖膈的构成概况。</w:t>
      </w:r>
    </w:p>
    <w:p w:rsidR="003717A0" w:rsidRDefault="003717A0">
      <w:pPr>
        <w:jc w:val="center"/>
      </w:pPr>
      <w:r>
        <w:rPr>
          <w:rFonts w:hint="eastAsia"/>
          <w:szCs w:val="24"/>
        </w:rPr>
        <w:t>第</w:t>
      </w:r>
      <w:r>
        <w:rPr>
          <w:szCs w:val="24"/>
        </w:rPr>
        <w:t>9</w:t>
      </w:r>
      <w:r>
        <w:rPr>
          <w:rFonts w:hint="eastAsia"/>
          <w:szCs w:val="24"/>
        </w:rPr>
        <w:t>章</w:t>
      </w:r>
      <w:r>
        <w:rPr>
          <w:szCs w:val="24"/>
        </w:rPr>
        <w:t xml:space="preserve"> </w:t>
      </w:r>
      <w:r>
        <w:rPr>
          <w:rFonts w:hint="eastAsia"/>
          <w:szCs w:val="24"/>
        </w:rPr>
        <w:t>腹膜</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1.5</w:t>
      </w:r>
      <w:r>
        <w:rPr>
          <w:rFonts w:ascii="Times New Roman" w:hint="eastAsia"/>
          <w:b/>
        </w:rPr>
        <w:t>学时）</w:t>
      </w:r>
    </w:p>
    <w:p w:rsidR="003717A0" w:rsidRDefault="003717A0">
      <w:pPr>
        <w:numPr>
          <w:ilvl w:val="0"/>
          <w:numId w:val="125"/>
        </w:numPr>
        <w:adjustRightInd w:val="0"/>
        <w:snapToGrid w:val="0"/>
        <w:spacing w:line="360" w:lineRule="auto"/>
        <w:ind w:right="6"/>
        <w:rPr>
          <w:rFonts w:ascii="Times New Roman"/>
        </w:rPr>
      </w:pPr>
      <w:r>
        <w:rPr>
          <w:rFonts w:ascii="Times New Roman" w:hint="eastAsia"/>
        </w:rPr>
        <w:t>腹膜概述。</w:t>
      </w:r>
    </w:p>
    <w:p w:rsidR="003717A0" w:rsidRDefault="003717A0">
      <w:pPr>
        <w:numPr>
          <w:ilvl w:val="0"/>
          <w:numId w:val="125"/>
        </w:numPr>
        <w:adjustRightInd w:val="0"/>
        <w:snapToGrid w:val="0"/>
        <w:spacing w:line="360" w:lineRule="auto"/>
        <w:ind w:right="6"/>
        <w:rPr>
          <w:rFonts w:ascii="Times New Roman"/>
        </w:rPr>
      </w:pPr>
      <w:r>
        <w:rPr>
          <w:rFonts w:ascii="Times New Roman" w:hint="eastAsia"/>
        </w:rPr>
        <w:t>腹膜与腹腔、盆腔脏器的关系。</w:t>
      </w:r>
    </w:p>
    <w:p w:rsidR="003717A0" w:rsidRDefault="003717A0">
      <w:pPr>
        <w:numPr>
          <w:ilvl w:val="0"/>
          <w:numId w:val="125"/>
        </w:numPr>
        <w:adjustRightInd w:val="0"/>
        <w:snapToGrid w:val="0"/>
        <w:spacing w:line="360" w:lineRule="auto"/>
        <w:ind w:right="6"/>
        <w:rPr>
          <w:rFonts w:ascii="Times New Roman"/>
        </w:rPr>
      </w:pPr>
      <w:r>
        <w:rPr>
          <w:rFonts w:ascii="Times New Roman" w:hint="eastAsia"/>
        </w:rPr>
        <w:t>腹膜形成的结构（网膜、系膜、韧带、陷凹、皱襞、隐窝）</w:t>
      </w:r>
    </w:p>
    <w:p w:rsidR="003717A0" w:rsidRDefault="003717A0">
      <w:pPr>
        <w:adjustRightInd w:val="0"/>
        <w:snapToGrid w:val="0"/>
        <w:spacing w:line="360" w:lineRule="auto"/>
        <w:ind w:right="6"/>
        <w:rPr>
          <w:b/>
          <w:szCs w:val="21"/>
        </w:rPr>
      </w:pPr>
      <w:r>
        <w:rPr>
          <w:rFonts w:hint="eastAsia"/>
          <w:b/>
          <w:szCs w:val="21"/>
        </w:rPr>
        <w:t>实习内容（</w:t>
      </w:r>
      <w:r>
        <w:rPr>
          <w:b/>
          <w:szCs w:val="21"/>
        </w:rPr>
        <w:t>0.5</w:t>
      </w:r>
      <w:r>
        <w:rPr>
          <w:rFonts w:hint="eastAsia"/>
          <w:b/>
          <w:szCs w:val="21"/>
        </w:rPr>
        <w:t>学时）</w:t>
      </w:r>
    </w:p>
    <w:p w:rsidR="003717A0" w:rsidRDefault="003717A0">
      <w:pPr>
        <w:numPr>
          <w:ilvl w:val="0"/>
          <w:numId w:val="126"/>
        </w:numPr>
        <w:adjustRightInd w:val="0"/>
        <w:snapToGrid w:val="0"/>
        <w:spacing w:line="360" w:lineRule="auto"/>
        <w:ind w:right="6"/>
        <w:rPr>
          <w:b/>
          <w:szCs w:val="21"/>
        </w:rPr>
      </w:pPr>
      <w:r>
        <w:rPr>
          <w:rFonts w:hint="eastAsia"/>
          <w:szCs w:val="21"/>
        </w:rPr>
        <w:t>观察</w:t>
      </w:r>
      <w:r>
        <w:rPr>
          <w:rFonts w:hint="eastAsia"/>
        </w:rPr>
        <w:t>腹膜的标本或模型。</w:t>
      </w:r>
    </w:p>
    <w:p w:rsidR="003717A0" w:rsidRDefault="003717A0">
      <w:pPr>
        <w:numPr>
          <w:ilvl w:val="0"/>
          <w:numId w:val="126"/>
        </w:numPr>
        <w:adjustRightInd w:val="0"/>
        <w:snapToGrid w:val="0"/>
        <w:spacing w:line="360" w:lineRule="auto"/>
        <w:ind w:right="6"/>
        <w:rPr>
          <w:b/>
          <w:szCs w:val="21"/>
        </w:rPr>
      </w:pPr>
      <w:r>
        <w:rPr>
          <w:rFonts w:hint="eastAsia"/>
        </w:rPr>
        <w:t>观察腹膜形成物标本或模型。</w:t>
      </w:r>
    </w:p>
    <w:p w:rsidR="003717A0" w:rsidRDefault="003717A0">
      <w:pPr>
        <w:numPr>
          <w:ilvl w:val="0"/>
          <w:numId w:val="126"/>
        </w:numPr>
        <w:adjustRightInd w:val="0"/>
        <w:snapToGrid w:val="0"/>
        <w:spacing w:line="360" w:lineRule="auto"/>
        <w:ind w:right="6"/>
        <w:rPr>
          <w:b/>
          <w:szCs w:val="21"/>
        </w:rPr>
      </w:pPr>
      <w:r>
        <w:rPr>
          <w:rFonts w:hint="eastAsia"/>
          <w:szCs w:val="21"/>
        </w:rPr>
        <w:t>观察</w:t>
      </w:r>
      <w:r>
        <w:rPr>
          <w:rFonts w:hint="eastAsia"/>
        </w:rPr>
        <w:t>男、女骨盆矢状切面标本及模型。</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27"/>
        </w:numPr>
      </w:pPr>
      <w:r>
        <w:rPr>
          <w:rFonts w:hint="eastAsia"/>
        </w:rPr>
        <w:t>掌握腹膜和腹膜腔的概念。</w:t>
      </w:r>
    </w:p>
    <w:p w:rsidR="003717A0" w:rsidRDefault="003717A0">
      <w:pPr>
        <w:numPr>
          <w:ilvl w:val="0"/>
          <w:numId w:val="127"/>
        </w:numPr>
      </w:pPr>
      <w:r>
        <w:rPr>
          <w:rFonts w:hint="eastAsia"/>
        </w:rPr>
        <w:t>熟悉腹膜与脏器的关系及腹膜形成的结构。</w:t>
      </w:r>
    </w:p>
    <w:p w:rsidR="003717A0" w:rsidRDefault="003717A0">
      <w:pPr>
        <w:numPr>
          <w:ilvl w:val="0"/>
          <w:numId w:val="127"/>
        </w:numPr>
      </w:pPr>
      <w:r>
        <w:rPr>
          <w:rFonts w:hint="eastAsia"/>
        </w:rPr>
        <w:t>掌握大网膜的位置和功能，掌握小网膜的位置、分部，熟悉网膜囊和网膜孔的位置。</w:t>
      </w:r>
    </w:p>
    <w:p w:rsidR="003717A0" w:rsidRDefault="003717A0">
      <w:pPr>
        <w:numPr>
          <w:ilvl w:val="0"/>
          <w:numId w:val="127"/>
        </w:numPr>
      </w:pPr>
      <w:r>
        <w:rPr>
          <w:rFonts w:hint="eastAsia"/>
        </w:rPr>
        <w:lastRenderedPageBreak/>
        <w:t>熟悉腹膜形成的韧带和系膜的位置。</w:t>
      </w:r>
    </w:p>
    <w:p w:rsidR="003717A0" w:rsidRDefault="003717A0">
      <w:pPr>
        <w:numPr>
          <w:ilvl w:val="0"/>
          <w:numId w:val="127"/>
        </w:numPr>
      </w:pPr>
      <w:r>
        <w:rPr>
          <w:rFonts w:hint="eastAsia"/>
        </w:rPr>
        <w:t>掌握膀胱直肠陷凹、膀胱子宫陷凹、直肠子宫陷凹的位置。</w:t>
      </w:r>
    </w:p>
    <w:p w:rsidR="003717A0" w:rsidRDefault="003717A0">
      <w:pPr>
        <w:numPr>
          <w:ilvl w:val="1"/>
          <w:numId w:val="127"/>
        </w:numPr>
        <w:jc w:val="center"/>
      </w:pPr>
      <w:r>
        <w:rPr>
          <w:rFonts w:hint="eastAsia"/>
        </w:rPr>
        <w:t>脉管系统</w:t>
      </w:r>
    </w:p>
    <w:p w:rsidR="003717A0" w:rsidRDefault="003717A0">
      <w:pPr>
        <w:jc w:val="center"/>
      </w:pPr>
      <w:r>
        <w:rPr>
          <w:rFonts w:ascii="宋体" w:hAnsi="宋体" w:hint="eastAsia"/>
          <w:szCs w:val="21"/>
        </w:rPr>
        <w:t>第</w:t>
      </w:r>
      <w:r>
        <w:rPr>
          <w:rFonts w:ascii="宋体" w:hAnsi="宋体"/>
          <w:szCs w:val="21"/>
        </w:rPr>
        <w:t>10</w:t>
      </w:r>
      <w:r>
        <w:rPr>
          <w:rFonts w:ascii="宋体" w:hAnsi="宋体" w:hint="eastAsia"/>
          <w:szCs w:val="21"/>
        </w:rPr>
        <w:t>章</w:t>
      </w:r>
      <w:r>
        <w:rPr>
          <w:rFonts w:ascii="宋体" w:hAnsi="宋体"/>
          <w:szCs w:val="21"/>
        </w:rPr>
        <w:t xml:space="preserve"> </w:t>
      </w:r>
      <w:r>
        <w:rPr>
          <w:rFonts w:ascii="宋体" w:hAnsi="宋体" w:hint="eastAsia"/>
          <w:szCs w:val="21"/>
        </w:rPr>
        <w:t>心血管系统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10</w:t>
      </w:r>
      <w:r>
        <w:rPr>
          <w:rFonts w:ascii="Times New Roman" w:hint="eastAsia"/>
          <w:b/>
        </w:rPr>
        <w:t>学时）</w:t>
      </w:r>
    </w:p>
    <w:p w:rsidR="003717A0" w:rsidRDefault="003717A0">
      <w:pPr>
        <w:numPr>
          <w:ilvl w:val="0"/>
          <w:numId w:val="128"/>
        </w:numPr>
        <w:adjustRightInd w:val="0"/>
        <w:snapToGrid w:val="0"/>
        <w:spacing w:line="360" w:lineRule="auto"/>
        <w:ind w:right="6"/>
        <w:rPr>
          <w:rFonts w:ascii="Times New Roman"/>
        </w:rPr>
      </w:pPr>
      <w:r>
        <w:rPr>
          <w:rFonts w:ascii="Times New Roman" w:hint="eastAsia"/>
        </w:rPr>
        <w:t>脉管系统的组成及功能。</w:t>
      </w:r>
    </w:p>
    <w:p w:rsidR="003717A0" w:rsidRDefault="003717A0">
      <w:pPr>
        <w:numPr>
          <w:ilvl w:val="0"/>
          <w:numId w:val="128"/>
        </w:numPr>
        <w:adjustRightInd w:val="0"/>
        <w:snapToGrid w:val="0"/>
        <w:spacing w:line="360" w:lineRule="auto"/>
        <w:ind w:right="6"/>
        <w:rPr>
          <w:rFonts w:ascii="Times New Roman"/>
        </w:rPr>
      </w:pPr>
      <w:r>
        <w:rPr>
          <w:rFonts w:ascii="Times New Roman" w:hint="eastAsia"/>
        </w:rPr>
        <w:t>心血管系统的组成。</w:t>
      </w:r>
    </w:p>
    <w:p w:rsidR="003717A0" w:rsidRDefault="003717A0">
      <w:pPr>
        <w:numPr>
          <w:ilvl w:val="0"/>
          <w:numId w:val="128"/>
        </w:numPr>
        <w:adjustRightInd w:val="0"/>
        <w:snapToGrid w:val="0"/>
        <w:spacing w:line="360" w:lineRule="auto"/>
        <w:ind w:right="6"/>
        <w:rPr>
          <w:rFonts w:ascii="Times New Roman"/>
        </w:rPr>
      </w:pPr>
      <w:r>
        <w:rPr>
          <w:rFonts w:ascii="Times New Roman" w:hint="eastAsia"/>
        </w:rPr>
        <w:t>心。</w:t>
      </w:r>
    </w:p>
    <w:p w:rsidR="003717A0" w:rsidRDefault="003717A0">
      <w:pPr>
        <w:numPr>
          <w:ilvl w:val="0"/>
          <w:numId w:val="128"/>
        </w:numPr>
        <w:adjustRightInd w:val="0"/>
        <w:snapToGrid w:val="0"/>
        <w:spacing w:line="360" w:lineRule="auto"/>
        <w:ind w:right="6"/>
        <w:rPr>
          <w:rFonts w:ascii="Times New Roman"/>
        </w:rPr>
      </w:pPr>
      <w:r>
        <w:rPr>
          <w:rFonts w:ascii="Times New Roman" w:hint="eastAsia"/>
        </w:rPr>
        <w:t>动脉。</w:t>
      </w:r>
    </w:p>
    <w:p w:rsidR="003717A0" w:rsidRDefault="003717A0">
      <w:pPr>
        <w:numPr>
          <w:ilvl w:val="0"/>
          <w:numId w:val="128"/>
        </w:numPr>
        <w:adjustRightInd w:val="0"/>
        <w:snapToGrid w:val="0"/>
        <w:spacing w:line="360" w:lineRule="auto"/>
        <w:ind w:right="6"/>
        <w:rPr>
          <w:rFonts w:ascii="Times New Roman"/>
        </w:rPr>
      </w:pPr>
      <w:r>
        <w:rPr>
          <w:rFonts w:ascii="Times New Roman" w:hint="eastAsia"/>
        </w:rPr>
        <w:t>静脉。</w:t>
      </w:r>
    </w:p>
    <w:p w:rsidR="003717A0" w:rsidRDefault="003717A0">
      <w:pPr>
        <w:adjustRightInd w:val="0"/>
        <w:snapToGrid w:val="0"/>
        <w:spacing w:line="360" w:lineRule="auto"/>
        <w:ind w:right="6"/>
        <w:rPr>
          <w:b/>
          <w:szCs w:val="21"/>
        </w:rPr>
      </w:pPr>
      <w:r>
        <w:rPr>
          <w:rFonts w:hint="eastAsia"/>
          <w:b/>
          <w:szCs w:val="21"/>
        </w:rPr>
        <w:t>实习内容（</w:t>
      </w:r>
      <w:r>
        <w:rPr>
          <w:b/>
          <w:szCs w:val="21"/>
        </w:rPr>
        <w:t>3.5</w:t>
      </w:r>
      <w:r>
        <w:rPr>
          <w:rFonts w:hint="eastAsia"/>
          <w:b/>
          <w:szCs w:val="21"/>
        </w:rPr>
        <w:t>学时）</w:t>
      </w:r>
    </w:p>
    <w:p w:rsidR="003717A0" w:rsidRDefault="003717A0">
      <w:pPr>
        <w:numPr>
          <w:ilvl w:val="0"/>
          <w:numId w:val="129"/>
        </w:numPr>
        <w:adjustRightInd w:val="0"/>
        <w:snapToGrid w:val="0"/>
        <w:spacing w:line="360" w:lineRule="auto"/>
        <w:ind w:right="6"/>
        <w:rPr>
          <w:b/>
          <w:szCs w:val="21"/>
        </w:rPr>
      </w:pPr>
      <w:r>
        <w:rPr>
          <w:rFonts w:hint="eastAsia"/>
          <w:szCs w:val="21"/>
        </w:rPr>
        <w:t>观察</w:t>
      </w:r>
      <w:r>
        <w:rPr>
          <w:rFonts w:hint="eastAsia"/>
        </w:rPr>
        <w:t>心的标本和模型。</w:t>
      </w:r>
    </w:p>
    <w:p w:rsidR="003717A0" w:rsidRDefault="003717A0">
      <w:pPr>
        <w:numPr>
          <w:ilvl w:val="0"/>
          <w:numId w:val="129"/>
        </w:numPr>
        <w:adjustRightInd w:val="0"/>
        <w:snapToGrid w:val="0"/>
        <w:spacing w:line="360" w:lineRule="auto"/>
        <w:ind w:right="6"/>
        <w:rPr>
          <w:b/>
          <w:szCs w:val="21"/>
        </w:rPr>
      </w:pPr>
      <w:r>
        <w:rPr>
          <w:rFonts w:hint="eastAsia"/>
          <w:szCs w:val="21"/>
        </w:rPr>
        <w:t>观察</w:t>
      </w:r>
      <w:r>
        <w:rPr>
          <w:rFonts w:hint="eastAsia"/>
        </w:rPr>
        <w:t>全身动脉的标本</w:t>
      </w:r>
      <w:r>
        <w:rPr>
          <w:rFonts w:hint="eastAsia"/>
          <w:b/>
          <w:szCs w:val="21"/>
        </w:rPr>
        <w:t>。</w:t>
      </w:r>
    </w:p>
    <w:p w:rsidR="003717A0" w:rsidRDefault="003717A0">
      <w:pPr>
        <w:numPr>
          <w:ilvl w:val="0"/>
          <w:numId w:val="129"/>
        </w:numPr>
        <w:adjustRightInd w:val="0"/>
        <w:snapToGrid w:val="0"/>
        <w:spacing w:line="360" w:lineRule="auto"/>
        <w:ind w:right="6"/>
        <w:rPr>
          <w:b/>
          <w:szCs w:val="21"/>
        </w:rPr>
      </w:pPr>
      <w:r>
        <w:rPr>
          <w:rFonts w:hint="eastAsia"/>
          <w:szCs w:val="21"/>
        </w:rPr>
        <w:t>观察</w:t>
      </w:r>
      <w:r>
        <w:rPr>
          <w:rFonts w:hint="eastAsia"/>
        </w:rPr>
        <w:t>全身静脉的标本和模型。</w:t>
      </w:r>
    </w:p>
    <w:p w:rsidR="003717A0" w:rsidRDefault="003717A0">
      <w:pPr>
        <w:numPr>
          <w:ilvl w:val="0"/>
          <w:numId w:val="129"/>
        </w:numPr>
        <w:adjustRightInd w:val="0"/>
        <w:snapToGrid w:val="0"/>
        <w:spacing w:line="360" w:lineRule="auto"/>
        <w:ind w:right="6"/>
        <w:rPr>
          <w:b/>
          <w:szCs w:val="21"/>
        </w:rPr>
      </w:pPr>
      <w:r>
        <w:rPr>
          <w:rFonts w:hint="eastAsia"/>
          <w:szCs w:val="21"/>
        </w:rPr>
        <w:t>观察</w:t>
      </w:r>
      <w:r>
        <w:rPr>
          <w:rFonts w:hint="eastAsia"/>
        </w:rPr>
        <w:t>肝门静脉标本和模型。</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30"/>
        </w:numPr>
      </w:pPr>
      <w:r>
        <w:rPr>
          <w:rFonts w:hint="eastAsia"/>
        </w:rPr>
        <w:t>掌握脉管系的组成及其功能意义。</w:t>
      </w:r>
    </w:p>
    <w:p w:rsidR="003717A0" w:rsidRDefault="003717A0">
      <w:pPr>
        <w:numPr>
          <w:ilvl w:val="0"/>
          <w:numId w:val="130"/>
        </w:numPr>
      </w:pPr>
      <w:r>
        <w:rPr>
          <w:rFonts w:hint="eastAsia"/>
        </w:rPr>
        <w:t>掌握心血管系的组成，了解心的构造概况和血液循环的概念，掌握体循环和肺循环的概念。</w:t>
      </w:r>
    </w:p>
    <w:p w:rsidR="003717A0" w:rsidRDefault="003717A0">
      <w:pPr>
        <w:numPr>
          <w:ilvl w:val="0"/>
          <w:numId w:val="130"/>
        </w:numPr>
      </w:pPr>
      <w:r>
        <w:rPr>
          <w:rFonts w:hint="eastAsia"/>
        </w:rPr>
        <w:t>掌握心的位置、外形、各心腔的形态。</w:t>
      </w:r>
    </w:p>
    <w:p w:rsidR="003717A0" w:rsidRDefault="003717A0">
      <w:pPr>
        <w:numPr>
          <w:ilvl w:val="0"/>
          <w:numId w:val="130"/>
        </w:numPr>
      </w:pPr>
      <w:r>
        <w:rPr>
          <w:rFonts w:hint="eastAsia"/>
        </w:rPr>
        <w:t>掌握心传导系的组成、分部、各部的位置和功能。</w:t>
      </w:r>
    </w:p>
    <w:p w:rsidR="003717A0" w:rsidRDefault="003717A0">
      <w:pPr>
        <w:numPr>
          <w:ilvl w:val="0"/>
          <w:numId w:val="130"/>
        </w:numPr>
      </w:pPr>
      <w:r>
        <w:rPr>
          <w:rFonts w:hint="eastAsia"/>
        </w:rPr>
        <w:t>掌握左、右冠状动脉的起始、行程和重要分支的名称及其分布范围，熟悉心大、中、小静脉的行程和注入部位。掌握冠状静脉窦的位置及开口部位。</w:t>
      </w:r>
    </w:p>
    <w:p w:rsidR="003717A0" w:rsidRDefault="003717A0">
      <w:pPr>
        <w:numPr>
          <w:ilvl w:val="0"/>
          <w:numId w:val="130"/>
        </w:numPr>
      </w:pPr>
      <w:r>
        <w:rPr>
          <w:rFonts w:hint="eastAsia"/>
        </w:rPr>
        <w:t>熟悉心包的构成，浆膜性心包的分部和心包腔的概念。</w:t>
      </w:r>
    </w:p>
    <w:p w:rsidR="003717A0" w:rsidRDefault="003717A0">
      <w:pPr>
        <w:numPr>
          <w:ilvl w:val="0"/>
          <w:numId w:val="130"/>
        </w:numPr>
      </w:pPr>
      <w:r>
        <w:rPr>
          <w:rFonts w:hint="eastAsia"/>
        </w:rPr>
        <w:t>熟悉心的体表投影。</w:t>
      </w:r>
    </w:p>
    <w:p w:rsidR="003717A0" w:rsidRDefault="003717A0">
      <w:pPr>
        <w:numPr>
          <w:ilvl w:val="0"/>
          <w:numId w:val="130"/>
        </w:numPr>
      </w:pPr>
      <w:r>
        <w:rPr>
          <w:rFonts w:hint="eastAsia"/>
        </w:rPr>
        <w:t>掌握肺动脉干和左、右肺动脉的行程及动脉韧带的位置。</w:t>
      </w:r>
    </w:p>
    <w:p w:rsidR="003717A0" w:rsidRDefault="003717A0">
      <w:pPr>
        <w:numPr>
          <w:ilvl w:val="0"/>
          <w:numId w:val="130"/>
        </w:numPr>
      </w:pPr>
      <w:r>
        <w:rPr>
          <w:rFonts w:hint="eastAsia"/>
        </w:rPr>
        <w:t>掌握主动脉的起止、行程和分部，掌握主动脉升部、主动脉弓的分支。</w:t>
      </w:r>
    </w:p>
    <w:p w:rsidR="003717A0" w:rsidRDefault="003717A0">
      <w:pPr>
        <w:numPr>
          <w:ilvl w:val="0"/>
          <w:numId w:val="130"/>
        </w:numPr>
      </w:pPr>
      <w:r>
        <w:rPr>
          <w:rFonts w:hint="eastAsia"/>
        </w:rPr>
        <w:t>掌握颈总动脉的起始、行程和位置，颈动脉小球、颈动脉窦的形态、位置和功能。</w:t>
      </w:r>
    </w:p>
    <w:p w:rsidR="003717A0" w:rsidRDefault="003717A0">
      <w:pPr>
        <w:numPr>
          <w:ilvl w:val="0"/>
          <w:numId w:val="130"/>
        </w:numPr>
      </w:pPr>
      <w:r>
        <w:rPr>
          <w:rFonts w:hint="eastAsia"/>
        </w:rPr>
        <w:t>掌握颈外动脉的行程和各分支的名称及分布。了解颈总动脉、面动脉、颞浅动脉的压迫止血点。</w:t>
      </w:r>
    </w:p>
    <w:p w:rsidR="003717A0" w:rsidRDefault="003717A0">
      <w:pPr>
        <w:numPr>
          <w:ilvl w:val="0"/>
          <w:numId w:val="130"/>
        </w:numPr>
      </w:pPr>
      <w:r>
        <w:rPr>
          <w:rFonts w:hint="eastAsia"/>
        </w:rPr>
        <w:t>掌握锁骨下动脉的起始、行程和分布范围，熟悉椎动脉、甲状颈干、胸廓内动脉的行程和分支及其分布范围。</w:t>
      </w:r>
    </w:p>
    <w:p w:rsidR="003717A0" w:rsidRDefault="003717A0">
      <w:pPr>
        <w:numPr>
          <w:ilvl w:val="0"/>
          <w:numId w:val="130"/>
        </w:numPr>
      </w:pPr>
      <w:r>
        <w:rPr>
          <w:rFonts w:hint="eastAsia"/>
        </w:rPr>
        <w:t>掌握腋动脉的起止，熟悉腋动脉各分支的名称。</w:t>
      </w:r>
    </w:p>
    <w:p w:rsidR="003717A0" w:rsidRDefault="003717A0">
      <w:pPr>
        <w:numPr>
          <w:ilvl w:val="0"/>
          <w:numId w:val="130"/>
        </w:numPr>
      </w:pPr>
      <w:r>
        <w:rPr>
          <w:rFonts w:hint="eastAsia"/>
        </w:rPr>
        <w:t>掌握肱动脉的起止、位置和分布。熟悉肱深动脉的行程和分布。了解肱动脉的压迫止血点。</w:t>
      </w:r>
    </w:p>
    <w:p w:rsidR="003717A0" w:rsidRDefault="003717A0">
      <w:pPr>
        <w:numPr>
          <w:ilvl w:val="0"/>
          <w:numId w:val="130"/>
        </w:numPr>
      </w:pPr>
      <w:r>
        <w:rPr>
          <w:rFonts w:hint="eastAsia"/>
        </w:rPr>
        <w:t>掌握尺动脉、桡动脉的行程及其分布。</w:t>
      </w:r>
    </w:p>
    <w:p w:rsidR="003717A0" w:rsidRDefault="003717A0">
      <w:pPr>
        <w:numPr>
          <w:ilvl w:val="0"/>
          <w:numId w:val="130"/>
        </w:numPr>
      </w:pPr>
      <w:r>
        <w:rPr>
          <w:rFonts w:hint="eastAsia"/>
        </w:rPr>
        <w:t>熟悉掌浅弓和掌深弓的组成和分支分布。</w:t>
      </w:r>
    </w:p>
    <w:p w:rsidR="003717A0" w:rsidRDefault="003717A0">
      <w:pPr>
        <w:numPr>
          <w:ilvl w:val="0"/>
          <w:numId w:val="130"/>
        </w:numPr>
      </w:pPr>
      <w:r>
        <w:rPr>
          <w:rFonts w:hint="eastAsia"/>
        </w:rPr>
        <w:t>熟悉肋间后动脉的行程和分布。了解支气管动脉、食管动脉的分布范围。</w:t>
      </w:r>
    </w:p>
    <w:p w:rsidR="003717A0" w:rsidRDefault="003717A0">
      <w:pPr>
        <w:numPr>
          <w:ilvl w:val="0"/>
          <w:numId w:val="130"/>
        </w:numPr>
      </w:pPr>
      <w:r>
        <w:rPr>
          <w:rFonts w:hint="eastAsia"/>
        </w:rPr>
        <w:t>掌握腹腔干、肠系膜上动脉，肠系膜下动脉的起始、行程及其分支的行程和分布。</w:t>
      </w:r>
    </w:p>
    <w:p w:rsidR="003717A0" w:rsidRDefault="003717A0">
      <w:pPr>
        <w:numPr>
          <w:ilvl w:val="0"/>
          <w:numId w:val="130"/>
        </w:numPr>
      </w:pPr>
      <w:r>
        <w:rPr>
          <w:rFonts w:hint="eastAsia"/>
        </w:rPr>
        <w:t>熟悉肾上腺中动脉、肾动脉、睾丸动脉（或卵巢动脉）的行程和分布。</w:t>
      </w:r>
    </w:p>
    <w:p w:rsidR="003717A0" w:rsidRDefault="003717A0">
      <w:pPr>
        <w:numPr>
          <w:ilvl w:val="0"/>
          <w:numId w:val="130"/>
        </w:numPr>
      </w:pPr>
      <w:r>
        <w:rPr>
          <w:rFonts w:hint="eastAsia"/>
        </w:rPr>
        <w:t>掌握髂总动脉的起止和行程，髂内动脉的行程及子宫动脉的行程、分支和分布；熟悉阴部内动脉的行程、主要分支和分布；了解膀胱下动脉、直肠下动脉和闭孔动脉、臀上动脉、臀下动脉的分布。</w:t>
      </w:r>
    </w:p>
    <w:p w:rsidR="003717A0" w:rsidRDefault="003717A0">
      <w:pPr>
        <w:numPr>
          <w:ilvl w:val="0"/>
          <w:numId w:val="130"/>
        </w:numPr>
      </w:pPr>
      <w:r>
        <w:rPr>
          <w:rFonts w:hint="eastAsia"/>
        </w:rPr>
        <w:t>掌握髂外动脉的起止、行程和腹壁下动脉的行程和分布。</w:t>
      </w:r>
    </w:p>
    <w:p w:rsidR="003717A0" w:rsidRDefault="003717A0">
      <w:pPr>
        <w:numPr>
          <w:ilvl w:val="0"/>
          <w:numId w:val="130"/>
        </w:numPr>
      </w:pPr>
      <w:r>
        <w:rPr>
          <w:rFonts w:hint="eastAsia"/>
        </w:rPr>
        <w:lastRenderedPageBreak/>
        <w:t>掌握股动脉的起止、行程和分布，熟悉股深动脉的分支和分布，了解股动脉的压迫止血点。</w:t>
      </w:r>
    </w:p>
    <w:p w:rsidR="003717A0" w:rsidRDefault="003717A0">
      <w:pPr>
        <w:numPr>
          <w:ilvl w:val="0"/>
          <w:numId w:val="130"/>
        </w:numPr>
      </w:pPr>
      <w:r>
        <w:rPr>
          <w:rFonts w:hint="eastAsia"/>
        </w:rPr>
        <w:t>掌握胫前动脉、胫后动脉的起止、行程和分布，了解足底内侧动脉、足底外侧动脉的行程和分布范围以及足底动脉弓的组成和分布。</w:t>
      </w:r>
    </w:p>
    <w:p w:rsidR="003717A0" w:rsidRDefault="003717A0">
      <w:pPr>
        <w:numPr>
          <w:ilvl w:val="0"/>
          <w:numId w:val="130"/>
        </w:numPr>
      </w:pPr>
      <w:r>
        <w:rPr>
          <w:rFonts w:hint="eastAsia"/>
        </w:rPr>
        <w:t>了解静脉的构造，静脉的配布和静脉间的吻合特点。</w:t>
      </w:r>
    </w:p>
    <w:p w:rsidR="003717A0" w:rsidRDefault="003717A0">
      <w:pPr>
        <w:numPr>
          <w:ilvl w:val="0"/>
          <w:numId w:val="130"/>
        </w:numPr>
      </w:pPr>
      <w:r>
        <w:rPr>
          <w:rFonts w:hint="eastAsia"/>
        </w:rPr>
        <w:t>熟悉肺静脉的行程。</w:t>
      </w:r>
    </w:p>
    <w:p w:rsidR="003717A0" w:rsidRDefault="003717A0">
      <w:pPr>
        <w:numPr>
          <w:ilvl w:val="0"/>
          <w:numId w:val="130"/>
        </w:numPr>
      </w:pPr>
      <w:r>
        <w:rPr>
          <w:rFonts w:hint="eastAsia"/>
        </w:rPr>
        <w:t>掌握上腔静脉、头臂静脉的组成、起止和收集范围；掌握静脉角的概念。</w:t>
      </w:r>
    </w:p>
    <w:p w:rsidR="003717A0" w:rsidRDefault="003717A0">
      <w:pPr>
        <w:numPr>
          <w:ilvl w:val="0"/>
          <w:numId w:val="130"/>
        </w:numPr>
      </w:pPr>
      <w:r>
        <w:rPr>
          <w:rFonts w:hint="eastAsia"/>
        </w:rPr>
        <w:t>熟悉颈内静脉的起始、行程、收集范围，熟悉面静脉、下颌后静脉的行程和注入部位，掌握面静脉与海绵窦的交通。</w:t>
      </w:r>
    </w:p>
    <w:p w:rsidR="003717A0" w:rsidRDefault="003717A0">
      <w:pPr>
        <w:numPr>
          <w:ilvl w:val="0"/>
          <w:numId w:val="130"/>
        </w:numPr>
      </w:pPr>
      <w:r>
        <w:rPr>
          <w:rFonts w:hint="eastAsia"/>
        </w:rPr>
        <w:t>掌握颈外静脉的起止、行程、收集范围及注入部位。</w:t>
      </w:r>
    </w:p>
    <w:p w:rsidR="003717A0" w:rsidRDefault="003717A0">
      <w:pPr>
        <w:numPr>
          <w:ilvl w:val="0"/>
          <w:numId w:val="130"/>
        </w:numPr>
      </w:pPr>
      <w:r>
        <w:rPr>
          <w:rFonts w:hint="eastAsia"/>
        </w:rPr>
        <w:t>掌握头静脉、贵要静脉、肘正中静脉的行程和注入部位。</w:t>
      </w:r>
    </w:p>
    <w:p w:rsidR="003717A0" w:rsidRDefault="003717A0">
      <w:pPr>
        <w:numPr>
          <w:ilvl w:val="0"/>
          <w:numId w:val="130"/>
        </w:numPr>
      </w:pPr>
      <w:r>
        <w:rPr>
          <w:rFonts w:hint="eastAsia"/>
        </w:rPr>
        <w:t>熟悉锁骨下静脉的位置、注入部位。</w:t>
      </w:r>
    </w:p>
    <w:p w:rsidR="003717A0" w:rsidRDefault="003717A0">
      <w:pPr>
        <w:numPr>
          <w:ilvl w:val="0"/>
          <w:numId w:val="130"/>
        </w:numPr>
      </w:pPr>
      <w:r>
        <w:rPr>
          <w:rFonts w:hint="eastAsia"/>
        </w:rPr>
        <w:t>掌握奇静脉的起始、行程、收集范围和注入部位，了解半奇静脉、副半奇静脉的起始、行程、收集范围和注入部位。</w:t>
      </w:r>
    </w:p>
    <w:p w:rsidR="003717A0" w:rsidRDefault="003717A0">
      <w:pPr>
        <w:numPr>
          <w:ilvl w:val="0"/>
          <w:numId w:val="130"/>
        </w:numPr>
      </w:pPr>
      <w:r>
        <w:rPr>
          <w:rFonts w:hint="eastAsia"/>
        </w:rPr>
        <w:t>熟悉椎静脉丛的位置、交通、收集范围和结构特点。</w:t>
      </w:r>
    </w:p>
    <w:p w:rsidR="003717A0" w:rsidRDefault="003717A0">
      <w:pPr>
        <w:numPr>
          <w:ilvl w:val="0"/>
          <w:numId w:val="130"/>
        </w:numPr>
      </w:pPr>
      <w:r>
        <w:rPr>
          <w:rFonts w:hint="eastAsia"/>
        </w:rPr>
        <w:t>掌握下腔静脉的组成、起止、行程和收集范围。</w:t>
      </w:r>
    </w:p>
    <w:p w:rsidR="003717A0" w:rsidRDefault="003717A0">
      <w:pPr>
        <w:numPr>
          <w:ilvl w:val="0"/>
          <w:numId w:val="130"/>
        </w:numPr>
      </w:pPr>
      <w:r>
        <w:rPr>
          <w:rFonts w:hint="eastAsia"/>
        </w:rPr>
        <w:t>熟悉髂总静脉、髂内静脉、髂外静脉的收集范围，了解盆腔静脉的分布特点。</w:t>
      </w:r>
    </w:p>
    <w:p w:rsidR="003717A0" w:rsidRDefault="003717A0">
      <w:pPr>
        <w:numPr>
          <w:ilvl w:val="0"/>
          <w:numId w:val="130"/>
        </w:numPr>
      </w:pPr>
      <w:r>
        <w:rPr>
          <w:rFonts w:hint="eastAsia"/>
        </w:rPr>
        <w:t>掌握大隐静脉和小隐静脉的起始部位、行程、收集范围和注入部位。</w:t>
      </w:r>
    </w:p>
    <w:p w:rsidR="003717A0" w:rsidRDefault="003717A0">
      <w:pPr>
        <w:numPr>
          <w:ilvl w:val="0"/>
          <w:numId w:val="130"/>
        </w:numPr>
      </w:pPr>
      <w:r>
        <w:rPr>
          <w:rFonts w:hint="eastAsia"/>
        </w:rPr>
        <w:t>掌握睾丸静脉的行程和注入部位，熟悉肾静脉的行程和注入部位。</w:t>
      </w:r>
    </w:p>
    <w:p w:rsidR="003717A0" w:rsidRDefault="003717A0">
      <w:pPr>
        <w:numPr>
          <w:ilvl w:val="0"/>
          <w:numId w:val="130"/>
        </w:numPr>
      </w:pPr>
      <w:r>
        <w:rPr>
          <w:rFonts w:hint="eastAsia"/>
        </w:rPr>
        <w:t>掌握门静脉的组成和主要属支的名称及其收集范围，掌握门静脉的行程和毗邻，掌握门静脉的构造特点及其与上、下腔的交通部位和途径。</w:t>
      </w:r>
    </w:p>
    <w:p w:rsidR="003717A0" w:rsidRDefault="003717A0">
      <w:pPr>
        <w:jc w:val="center"/>
        <w:rPr>
          <w:szCs w:val="21"/>
        </w:rPr>
      </w:pPr>
      <w:r>
        <w:rPr>
          <w:rFonts w:hint="eastAsia"/>
          <w:szCs w:val="21"/>
        </w:rPr>
        <w:t>第</w:t>
      </w:r>
      <w:r>
        <w:rPr>
          <w:szCs w:val="21"/>
        </w:rPr>
        <w:t>11</w:t>
      </w:r>
      <w:r>
        <w:rPr>
          <w:rFonts w:hint="eastAsia"/>
          <w:szCs w:val="21"/>
        </w:rPr>
        <w:t>章</w:t>
      </w:r>
      <w:r>
        <w:rPr>
          <w:szCs w:val="21"/>
        </w:rPr>
        <w:t xml:space="preserve"> </w:t>
      </w:r>
      <w:r>
        <w:rPr>
          <w:rFonts w:hint="eastAsia"/>
          <w:szCs w:val="21"/>
        </w:rPr>
        <w:t>淋巴系统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numPr>
          <w:ilvl w:val="0"/>
          <w:numId w:val="131"/>
        </w:numPr>
        <w:adjustRightInd w:val="0"/>
        <w:snapToGrid w:val="0"/>
        <w:spacing w:line="360" w:lineRule="auto"/>
        <w:ind w:right="6"/>
        <w:rPr>
          <w:rFonts w:ascii="Times New Roman"/>
        </w:rPr>
      </w:pPr>
      <w:r>
        <w:rPr>
          <w:rFonts w:ascii="Times New Roman" w:hint="eastAsia"/>
        </w:rPr>
        <w:t>淋巴系统的组成。</w:t>
      </w:r>
    </w:p>
    <w:p w:rsidR="003717A0" w:rsidRDefault="003717A0">
      <w:pPr>
        <w:numPr>
          <w:ilvl w:val="0"/>
          <w:numId w:val="131"/>
        </w:numPr>
        <w:adjustRightInd w:val="0"/>
        <w:snapToGrid w:val="0"/>
        <w:spacing w:line="360" w:lineRule="auto"/>
        <w:ind w:right="6"/>
        <w:rPr>
          <w:rFonts w:ascii="Times New Roman"/>
        </w:rPr>
      </w:pPr>
      <w:r>
        <w:rPr>
          <w:rFonts w:ascii="Times New Roman" w:hint="eastAsia"/>
        </w:rPr>
        <w:t>人体各部的淋巴结和淋巴引流。</w:t>
      </w:r>
    </w:p>
    <w:p w:rsidR="003717A0" w:rsidRDefault="003717A0">
      <w:pPr>
        <w:numPr>
          <w:ilvl w:val="0"/>
          <w:numId w:val="131"/>
        </w:numPr>
        <w:adjustRightInd w:val="0"/>
        <w:snapToGrid w:val="0"/>
        <w:spacing w:line="360" w:lineRule="auto"/>
        <w:ind w:right="6"/>
        <w:rPr>
          <w:rFonts w:ascii="Times New Roman"/>
        </w:rPr>
      </w:pPr>
      <w:r>
        <w:rPr>
          <w:rFonts w:ascii="Times New Roman" w:hint="eastAsia"/>
        </w:rPr>
        <w:t>人体部分器官的主要淋巴引流。</w:t>
      </w:r>
    </w:p>
    <w:p w:rsidR="003717A0" w:rsidRDefault="003717A0">
      <w:pPr>
        <w:numPr>
          <w:ilvl w:val="0"/>
          <w:numId w:val="131"/>
        </w:numPr>
        <w:adjustRightInd w:val="0"/>
        <w:snapToGrid w:val="0"/>
        <w:spacing w:line="360" w:lineRule="auto"/>
        <w:ind w:right="6"/>
        <w:rPr>
          <w:rFonts w:ascii="Times New Roman"/>
        </w:rPr>
      </w:pPr>
      <w:r>
        <w:rPr>
          <w:rFonts w:ascii="Times New Roman" w:hint="eastAsia"/>
        </w:rPr>
        <w:t>脾。</w:t>
      </w:r>
    </w:p>
    <w:p w:rsidR="003717A0" w:rsidRDefault="003717A0">
      <w:pPr>
        <w:numPr>
          <w:ilvl w:val="0"/>
          <w:numId w:val="131"/>
        </w:numPr>
        <w:adjustRightInd w:val="0"/>
        <w:snapToGrid w:val="0"/>
        <w:spacing w:line="360" w:lineRule="auto"/>
        <w:ind w:right="6"/>
        <w:rPr>
          <w:rFonts w:ascii="Times New Roman"/>
        </w:rPr>
      </w:pPr>
      <w:r>
        <w:rPr>
          <w:rFonts w:ascii="Times New Roman" w:hint="eastAsia"/>
        </w:rPr>
        <w:t>胸腺。</w:t>
      </w:r>
    </w:p>
    <w:p w:rsidR="003717A0" w:rsidRDefault="003717A0">
      <w:pPr>
        <w:adjustRightInd w:val="0"/>
        <w:snapToGrid w:val="0"/>
        <w:spacing w:line="360" w:lineRule="auto"/>
        <w:ind w:right="6"/>
        <w:rPr>
          <w:b/>
          <w:szCs w:val="21"/>
        </w:rPr>
      </w:pPr>
      <w:r>
        <w:rPr>
          <w:rFonts w:hint="eastAsia"/>
          <w:b/>
          <w:szCs w:val="21"/>
        </w:rPr>
        <w:t>实习内容（</w:t>
      </w:r>
      <w:r>
        <w:rPr>
          <w:b/>
          <w:szCs w:val="21"/>
        </w:rPr>
        <w:t>0.5</w:t>
      </w:r>
      <w:r>
        <w:rPr>
          <w:rFonts w:hint="eastAsia"/>
          <w:b/>
          <w:szCs w:val="21"/>
        </w:rPr>
        <w:t>学时）</w:t>
      </w:r>
    </w:p>
    <w:p w:rsidR="003717A0" w:rsidRDefault="003717A0">
      <w:pPr>
        <w:numPr>
          <w:ilvl w:val="0"/>
          <w:numId w:val="132"/>
        </w:numPr>
        <w:adjustRightInd w:val="0"/>
        <w:snapToGrid w:val="0"/>
        <w:spacing w:line="360" w:lineRule="auto"/>
        <w:ind w:right="6"/>
        <w:rPr>
          <w:b/>
          <w:szCs w:val="21"/>
        </w:rPr>
      </w:pPr>
      <w:r>
        <w:rPr>
          <w:rFonts w:hint="eastAsia"/>
        </w:rPr>
        <w:t>观察全身各部淋巴结标本或模型</w:t>
      </w:r>
      <w:r>
        <w:rPr>
          <w:rFonts w:hint="eastAsia"/>
          <w:b/>
          <w:szCs w:val="21"/>
        </w:rPr>
        <w:t>。</w:t>
      </w:r>
    </w:p>
    <w:p w:rsidR="003717A0" w:rsidRDefault="003717A0">
      <w:pPr>
        <w:numPr>
          <w:ilvl w:val="0"/>
          <w:numId w:val="132"/>
        </w:numPr>
        <w:adjustRightInd w:val="0"/>
        <w:snapToGrid w:val="0"/>
        <w:spacing w:line="360" w:lineRule="auto"/>
        <w:ind w:right="6"/>
        <w:rPr>
          <w:b/>
          <w:szCs w:val="21"/>
        </w:rPr>
      </w:pPr>
      <w:r>
        <w:rPr>
          <w:rFonts w:hint="eastAsia"/>
        </w:rPr>
        <w:t>观察胸导管标本。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33"/>
        </w:numPr>
      </w:pPr>
      <w:r>
        <w:rPr>
          <w:rFonts w:hint="eastAsia"/>
        </w:rPr>
        <w:t>掌握淋巴系的组成和功能。</w:t>
      </w:r>
    </w:p>
    <w:p w:rsidR="003717A0" w:rsidRDefault="003717A0">
      <w:pPr>
        <w:numPr>
          <w:ilvl w:val="0"/>
          <w:numId w:val="133"/>
        </w:numPr>
      </w:pPr>
      <w:r>
        <w:rPr>
          <w:rFonts w:hint="eastAsia"/>
        </w:rPr>
        <w:t>了解毛细淋巴管和淋巴管的配布特点。掌握淋巴干的数目及各干的名称。掌握胸导管的起始、行程、收集范围和注入部位。掌握右淋巴导管的形成，收集范围和注入部位。</w:t>
      </w:r>
    </w:p>
    <w:p w:rsidR="003717A0" w:rsidRDefault="003717A0">
      <w:pPr>
        <w:numPr>
          <w:ilvl w:val="0"/>
          <w:numId w:val="133"/>
        </w:numPr>
      </w:pPr>
      <w:r>
        <w:rPr>
          <w:rFonts w:hint="eastAsia"/>
        </w:rPr>
        <w:t>掌握淋巴结的形态及结构，掌握局部淋巴结的概念。</w:t>
      </w:r>
    </w:p>
    <w:p w:rsidR="003717A0" w:rsidRDefault="003717A0">
      <w:pPr>
        <w:numPr>
          <w:ilvl w:val="0"/>
          <w:numId w:val="133"/>
        </w:numPr>
      </w:pPr>
      <w:r>
        <w:rPr>
          <w:rFonts w:hint="eastAsia"/>
        </w:rPr>
        <w:t>了解人体头颈部、上肢、胸部、下肢、盆部、腹部的主要淋巴结。</w:t>
      </w:r>
    </w:p>
    <w:p w:rsidR="003717A0" w:rsidRDefault="003717A0">
      <w:pPr>
        <w:numPr>
          <w:ilvl w:val="0"/>
          <w:numId w:val="133"/>
        </w:numPr>
      </w:pPr>
      <w:r>
        <w:rPr>
          <w:rFonts w:hint="eastAsia"/>
        </w:rPr>
        <w:t>了解食管、肺、乳房、胃、肝、直肠和肛管、子宫的淋巴回流。</w:t>
      </w:r>
    </w:p>
    <w:p w:rsidR="003717A0" w:rsidRDefault="003717A0">
      <w:pPr>
        <w:numPr>
          <w:ilvl w:val="0"/>
          <w:numId w:val="133"/>
        </w:numPr>
      </w:pPr>
      <w:r>
        <w:rPr>
          <w:rFonts w:hint="eastAsia"/>
        </w:rPr>
        <w:t>掌握脾的位置、形态和功能。</w:t>
      </w:r>
    </w:p>
    <w:p w:rsidR="003717A0" w:rsidRDefault="003717A0">
      <w:pPr>
        <w:jc w:val="center"/>
      </w:pPr>
      <w:r>
        <w:rPr>
          <w:rFonts w:hint="eastAsia"/>
        </w:rPr>
        <w:t>第四篇</w:t>
      </w:r>
      <w:r>
        <w:t xml:space="preserve"> </w:t>
      </w:r>
      <w:r>
        <w:rPr>
          <w:rFonts w:hint="eastAsia"/>
        </w:rPr>
        <w:t>感觉器</w:t>
      </w:r>
    </w:p>
    <w:p w:rsidR="003717A0" w:rsidRDefault="003717A0">
      <w:pPr>
        <w:jc w:val="center"/>
      </w:pPr>
      <w:r>
        <w:rPr>
          <w:rFonts w:hint="eastAsia"/>
        </w:rPr>
        <w:t>第</w:t>
      </w:r>
      <w:r>
        <w:t>12</w:t>
      </w:r>
      <w:r>
        <w:rPr>
          <w:rFonts w:hint="eastAsia"/>
        </w:rPr>
        <w:t>章</w:t>
      </w:r>
      <w:r>
        <w:t xml:space="preserve"> </w:t>
      </w:r>
      <w:r>
        <w:rPr>
          <w:rFonts w:hint="eastAsia"/>
        </w:rPr>
        <w:t>感觉器总论</w:t>
      </w:r>
    </w:p>
    <w:p w:rsidR="003717A0" w:rsidRDefault="003717A0">
      <w:pPr>
        <w:jc w:val="center"/>
        <w:rPr>
          <w:szCs w:val="21"/>
        </w:rPr>
      </w:pPr>
      <w:r>
        <w:rPr>
          <w:rFonts w:hint="eastAsia"/>
        </w:rPr>
        <w:t>第</w:t>
      </w:r>
      <w:r>
        <w:t>13</w:t>
      </w:r>
      <w:r>
        <w:rPr>
          <w:rFonts w:hint="eastAsia"/>
        </w:rPr>
        <w:t>章</w:t>
      </w:r>
      <w:r>
        <w:t xml:space="preserve"> </w:t>
      </w:r>
      <w:r>
        <w:rPr>
          <w:rFonts w:hint="eastAsia"/>
          <w:szCs w:val="21"/>
        </w:rPr>
        <w:t>视器</w:t>
      </w:r>
    </w:p>
    <w:p w:rsidR="003717A0" w:rsidRDefault="003717A0">
      <w:pPr>
        <w:adjustRightInd w:val="0"/>
        <w:snapToGrid w:val="0"/>
        <w:spacing w:line="360" w:lineRule="auto"/>
        <w:ind w:right="6"/>
        <w:rPr>
          <w:rFonts w:ascii="Times New Roman"/>
          <w:b/>
        </w:rPr>
      </w:pPr>
      <w:r>
        <w:rPr>
          <w:rFonts w:ascii="Times New Roman" w:hint="eastAsia"/>
          <w:b/>
        </w:rPr>
        <w:lastRenderedPageBreak/>
        <w:t>教学内容（</w:t>
      </w:r>
      <w:r>
        <w:rPr>
          <w:rFonts w:ascii="Times New Roman"/>
          <w:b/>
        </w:rPr>
        <w:t>2</w:t>
      </w:r>
      <w:r>
        <w:rPr>
          <w:rFonts w:ascii="Times New Roman" w:hint="eastAsia"/>
          <w:b/>
        </w:rPr>
        <w:t>学时）</w:t>
      </w:r>
    </w:p>
    <w:p w:rsidR="003717A0" w:rsidRDefault="003717A0">
      <w:pPr>
        <w:numPr>
          <w:ilvl w:val="0"/>
          <w:numId w:val="134"/>
        </w:numPr>
        <w:adjustRightInd w:val="0"/>
        <w:snapToGrid w:val="0"/>
        <w:spacing w:line="360" w:lineRule="auto"/>
        <w:ind w:right="6"/>
        <w:rPr>
          <w:rFonts w:ascii="Times New Roman"/>
        </w:rPr>
      </w:pPr>
      <w:r>
        <w:rPr>
          <w:rFonts w:ascii="Times New Roman" w:hint="eastAsia"/>
        </w:rPr>
        <w:t>感觉器总论。</w:t>
      </w:r>
    </w:p>
    <w:p w:rsidR="003717A0" w:rsidRDefault="003717A0">
      <w:pPr>
        <w:numPr>
          <w:ilvl w:val="0"/>
          <w:numId w:val="134"/>
        </w:numPr>
        <w:adjustRightInd w:val="0"/>
        <w:snapToGrid w:val="0"/>
        <w:spacing w:line="360" w:lineRule="auto"/>
        <w:ind w:right="6"/>
        <w:rPr>
          <w:rFonts w:ascii="Times New Roman"/>
        </w:rPr>
      </w:pPr>
      <w:r>
        <w:rPr>
          <w:rFonts w:ascii="Times New Roman" w:hint="eastAsia"/>
        </w:rPr>
        <w:t>视器的组成。</w:t>
      </w:r>
    </w:p>
    <w:p w:rsidR="003717A0" w:rsidRDefault="003717A0">
      <w:pPr>
        <w:numPr>
          <w:ilvl w:val="0"/>
          <w:numId w:val="134"/>
        </w:numPr>
        <w:adjustRightInd w:val="0"/>
        <w:snapToGrid w:val="0"/>
        <w:spacing w:line="360" w:lineRule="auto"/>
        <w:ind w:right="6"/>
        <w:rPr>
          <w:rFonts w:ascii="Times New Roman"/>
        </w:rPr>
      </w:pPr>
      <w:r>
        <w:rPr>
          <w:rFonts w:ascii="Times New Roman" w:hint="eastAsia"/>
        </w:rPr>
        <w:t>眼球。</w:t>
      </w:r>
    </w:p>
    <w:p w:rsidR="003717A0" w:rsidRDefault="003717A0">
      <w:pPr>
        <w:numPr>
          <w:ilvl w:val="0"/>
          <w:numId w:val="134"/>
        </w:numPr>
        <w:adjustRightInd w:val="0"/>
        <w:snapToGrid w:val="0"/>
        <w:spacing w:line="360" w:lineRule="auto"/>
        <w:ind w:right="6"/>
        <w:rPr>
          <w:rFonts w:ascii="Times New Roman"/>
        </w:rPr>
      </w:pPr>
      <w:r>
        <w:rPr>
          <w:rFonts w:ascii="Times New Roman" w:hint="eastAsia"/>
        </w:rPr>
        <w:t>眼副器。</w:t>
      </w:r>
    </w:p>
    <w:p w:rsidR="003717A0" w:rsidRDefault="003717A0">
      <w:pPr>
        <w:numPr>
          <w:ilvl w:val="0"/>
          <w:numId w:val="134"/>
        </w:numPr>
        <w:adjustRightInd w:val="0"/>
        <w:snapToGrid w:val="0"/>
        <w:spacing w:line="360" w:lineRule="auto"/>
        <w:ind w:right="6"/>
        <w:rPr>
          <w:rFonts w:ascii="Times New Roman"/>
        </w:rPr>
      </w:pPr>
      <w:r>
        <w:rPr>
          <w:rFonts w:ascii="Times New Roman" w:hint="eastAsia"/>
        </w:rPr>
        <w:t>眼的血管和神经。</w:t>
      </w:r>
    </w:p>
    <w:p w:rsidR="003717A0" w:rsidRDefault="003717A0">
      <w:pPr>
        <w:adjustRightInd w:val="0"/>
        <w:snapToGrid w:val="0"/>
        <w:spacing w:line="360" w:lineRule="auto"/>
        <w:ind w:right="6"/>
        <w:rPr>
          <w:b/>
          <w:szCs w:val="21"/>
        </w:rPr>
      </w:pPr>
      <w:r>
        <w:rPr>
          <w:rFonts w:hint="eastAsia"/>
          <w:b/>
          <w:szCs w:val="21"/>
        </w:rPr>
        <w:t>实习内容（</w:t>
      </w:r>
      <w:r>
        <w:rPr>
          <w:b/>
          <w:szCs w:val="21"/>
        </w:rPr>
        <w:t>2</w:t>
      </w:r>
      <w:r>
        <w:rPr>
          <w:rFonts w:hint="eastAsia"/>
          <w:b/>
          <w:szCs w:val="21"/>
        </w:rPr>
        <w:t>学时）</w:t>
      </w:r>
    </w:p>
    <w:p w:rsidR="003717A0" w:rsidRDefault="003717A0">
      <w:pPr>
        <w:numPr>
          <w:ilvl w:val="0"/>
          <w:numId w:val="135"/>
        </w:numPr>
        <w:adjustRightInd w:val="0"/>
        <w:snapToGrid w:val="0"/>
        <w:spacing w:line="360" w:lineRule="auto"/>
        <w:ind w:right="6"/>
        <w:rPr>
          <w:b/>
          <w:szCs w:val="21"/>
        </w:rPr>
      </w:pPr>
      <w:r>
        <w:rPr>
          <w:rFonts w:hint="eastAsia"/>
        </w:rPr>
        <w:t>观察眼球标本或模型</w:t>
      </w:r>
      <w:r>
        <w:rPr>
          <w:rFonts w:hint="eastAsia"/>
          <w:b/>
          <w:szCs w:val="21"/>
        </w:rPr>
        <w:t>。</w:t>
      </w:r>
    </w:p>
    <w:p w:rsidR="003717A0" w:rsidRDefault="003717A0">
      <w:pPr>
        <w:numPr>
          <w:ilvl w:val="0"/>
          <w:numId w:val="135"/>
        </w:numPr>
        <w:adjustRightInd w:val="0"/>
        <w:snapToGrid w:val="0"/>
        <w:spacing w:line="360" w:lineRule="auto"/>
        <w:ind w:right="6"/>
        <w:rPr>
          <w:b/>
          <w:szCs w:val="21"/>
        </w:rPr>
      </w:pPr>
      <w:r>
        <w:rPr>
          <w:rFonts w:hint="eastAsia"/>
          <w:szCs w:val="21"/>
        </w:rPr>
        <w:t>观察</w:t>
      </w:r>
      <w:r>
        <w:rPr>
          <w:rFonts w:hint="eastAsia"/>
        </w:rPr>
        <w:t>眼附器标本。</w:t>
      </w:r>
    </w:p>
    <w:p w:rsidR="003717A0" w:rsidRDefault="003717A0">
      <w:pPr>
        <w:numPr>
          <w:ilvl w:val="0"/>
          <w:numId w:val="135"/>
        </w:numPr>
        <w:adjustRightInd w:val="0"/>
        <w:snapToGrid w:val="0"/>
        <w:spacing w:line="360" w:lineRule="auto"/>
        <w:ind w:right="6"/>
        <w:rPr>
          <w:b/>
          <w:szCs w:val="21"/>
        </w:rPr>
      </w:pPr>
      <w:r>
        <w:rPr>
          <w:rFonts w:hint="eastAsia"/>
        </w:rPr>
        <w:t>观察眼的血管和神经标本。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36"/>
        </w:numPr>
      </w:pPr>
      <w:r>
        <w:rPr>
          <w:rFonts w:hint="eastAsia"/>
        </w:rPr>
        <w:t>了解感觉器和感受器的概念。</w:t>
      </w:r>
    </w:p>
    <w:p w:rsidR="003717A0" w:rsidRDefault="003717A0">
      <w:pPr>
        <w:numPr>
          <w:ilvl w:val="0"/>
          <w:numId w:val="136"/>
        </w:numPr>
      </w:pPr>
      <w:r>
        <w:rPr>
          <w:rFonts w:hint="eastAsia"/>
        </w:rPr>
        <w:t>熟悉视器的组成，了解眼球的形态和位置。</w:t>
      </w:r>
    </w:p>
    <w:p w:rsidR="003717A0" w:rsidRDefault="003717A0">
      <w:pPr>
        <w:numPr>
          <w:ilvl w:val="0"/>
          <w:numId w:val="136"/>
        </w:numPr>
      </w:pPr>
      <w:r>
        <w:rPr>
          <w:rFonts w:hint="eastAsia"/>
        </w:rPr>
        <w:t>掌握眼球壁的层次，各层的分部及各部的形态构造特点。</w:t>
      </w:r>
    </w:p>
    <w:p w:rsidR="003717A0" w:rsidRDefault="003717A0">
      <w:pPr>
        <w:numPr>
          <w:ilvl w:val="0"/>
          <w:numId w:val="136"/>
        </w:numPr>
      </w:pPr>
      <w:r>
        <w:rPr>
          <w:rFonts w:hint="eastAsia"/>
        </w:rPr>
        <w:t>掌握眼球各内容物的名称、位置和功能，掌握折光装置的构成，熟悉晶状体的形态和结构特点，熟悉房水循环。</w:t>
      </w:r>
    </w:p>
    <w:p w:rsidR="003717A0" w:rsidRDefault="003717A0">
      <w:pPr>
        <w:numPr>
          <w:ilvl w:val="0"/>
          <w:numId w:val="136"/>
        </w:numPr>
      </w:pPr>
      <w:r>
        <w:rPr>
          <w:rFonts w:hint="eastAsia"/>
        </w:rPr>
        <w:t>了解眼副器的组成，了解眼睑的形态构造。掌握结膜的形态、分部。熟悉泪器的组成和鼻泪管的开口部位</w:t>
      </w:r>
    </w:p>
    <w:p w:rsidR="003717A0" w:rsidRDefault="003717A0">
      <w:pPr>
        <w:numPr>
          <w:ilvl w:val="0"/>
          <w:numId w:val="136"/>
        </w:numPr>
      </w:pPr>
      <w:r>
        <w:rPr>
          <w:rFonts w:hint="eastAsia"/>
        </w:rPr>
        <w:t>掌握各眼外肌的名称和作用。</w:t>
      </w:r>
    </w:p>
    <w:p w:rsidR="003717A0" w:rsidRDefault="003717A0">
      <w:pPr>
        <w:numPr>
          <w:ilvl w:val="0"/>
          <w:numId w:val="136"/>
        </w:numPr>
      </w:pPr>
      <w:r>
        <w:rPr>
          <w:rFonts w:hint="eastAsia"/>
        </w:rPr>
        <w:t>了解眼的血管分布。</w:t>
      </w:r>
    </w:p>
    <w:p w:rsidR="003717A0" w:rsidRDefault="003717A0">
      <w:pPr>
        <w:jc w:val="center"/>
        <w:rPr>
          <w:szCs w:val="21"/>
        </w:rPr>
      </w:pPr>
      <w:r>
        <w:rPr>
          <w:rFonts w:hint="eastAsia"/>
        </w:rPr>
        <w:t>第</w:t>
      </w:r>
      <w:r>
        <w:t>14</w:t>
      </w:r>
      <w:r>
        <w:rPr>
          <w:rFonts w:hint="eastAsia"/>
        </w:rPr>
        <w:t>章</w:t>
      </w:r>
      <w:r>
        <w:t xml:space="preserve"> </w:t>
      </w:r>
      <w:r>
        <w:rPr>
          <w:rFonts w:hint="eastAsia"/>
          <w:szCs w:val="21"/>
        </w:rPr>
        <w:t>前庭蜗器</w:t>
      </w:r>
    </w:p>
    <w:p w:rsidR="003717A0" w:rsidRDefault="003717A0">
      <w:pPr>
        <w:jc w:val="center"/>
        <w:rPr>
          <w:szCs w:val="21"/>
        </w:rPr>
      </w:pPr>
      <w:r>
        <w:rPr>
          <w:rFonts w:hint="eastAsia"/>
          <w:szCs w:val="21"/>
        </w:rPr>
        <w:t>第</w:t>
      </w:r>
      <w:r>
        <w:rPr>
          <w:szCs w:val="21"/>
        </w:rPr>
        <w:t>15</w:t>
      </w:r>
      <w:r>
        <w:rPr>
          <w:rFonts w:hint="eastAsia"/>
          <w:szCs w:val="21"/>
        </w:rPr>
        <w:t>章</w:t>
      </w:r>
      <w:r>
        <w:rPr>
          <w:szCs w:val="21"/>
        </w:rPr>
        <w:t xml:space="preserve"> </w:t>
      </w:r>
      <w:r>
        <w:rPr>
          <w:rFonts w:hint="eastAsia"/>
          <w:szCs w:val="21"/>
        </w:rPr>
        <w:t>其他感觉器</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b/>
        </w:rPr>
        <w:t>2</w:t>
      </w:r>
      <w:r>
        <w:rPr>
          <w:rFonts w:ascii="Times New Roman" w:hint="eastAsia"/>
          <w:b/>
        </w:rPr>
        <w:t>学时）</w:t>
      </w:r>
    </w:p>
    <w:p w:rsidR="003717A0" w:rsidRDefault="003717A0">
      <w:pPr>
        <w:numPr>
          <w:ilvl w:val="0"/>
          <w:numId w:val="137"/>
        </w:numPr>
        <w:adjustRightInd w:val="0"/>
        <w:snapToGrid w:val="0"/>
        <w:spacing w:line="360" w:lineRule="auto"/>
        <w:ind w:right="6"/>
        <w:rPr>
          <w:rFonts w:ascii="Times New Roman"/>
        </w:rPr>
      </w:pPr>
      <w:r>
        <w:rPr>
          <w:rFonts w:ascii="Times New Roman" w:hint="eastAsia"/>
        </w:rPr>
        <w:t>前庭蜗器的组成和分部。</w:t>
      </w:r>
    </w:p>
    <w:p w:rsidR="003717A0" w:rsidRDefault="003717A0">
      <w:pPr>
        <w:numPr>
          <w:ilvl w:val="0"/>
          <w:numId w:val="137"/>
        </w:numPr>
        <w:adjustRightInd w:val="0"/>
        <w:snapToGrid w:val="0"/>
        <w:spacing w:line="360" w:lineRule="auto"/>
        <w:ind w:right="6"/>
        <w:rPr>
          <w:rFonts w:ascii="Times New Roman"/>
        </w:rPr>
      </w:pPr>
      <w:r>
        <w:rPr>
          <w:rFonts w:ascii="Times New Roman" w:hint="eastAsia"/>
        </w:rPr>
        <w:t>外耳。</w:t>
      </w:r>
    </w:p>
    <w:p w:rsidR="003717A0" w:rsidRDefault="003717A0">
      <w:pPr>
        <w:numPr>
          <w:ilvl w:val="0"/>
          <w:numId w:val="137"/>
        </w:numPr>
        <w:adjustRightInd w:val="0"/>
        <w:snapToGrid w:val="0"/>
        <w:spacing w:line="360" w:lineRule="auto"/>
        <w:ind w:right="6"/>
        <w:rPr>
          <w:rFonts w:ascii="Times New Roman"/>
        </w:rPr>
      </w:pPr>
      <w:r>
        <w:rPr>
          <w:rFonts w:ascii="Times New Roman" w:hint="eastAsia"/>
        </w:rPr>
        <w:t>中耳。</w:t>
      </w:r>
    </w:p>
    <w:p w:rsidR="003717A0" w:rsidRDefault="003717A0">
      <w:pPr>
        <w:numPr>
          <w:ilvl w:val="0"/>
          <w:numId w:val="137"/>
        </w:numPr>
        <w:adjustRightInd w:val="0"/>
        <w:snapToGrid w:val="0"/>
        <w:spacing w:line="360" w:lineRule="auto"/>
        <w:ind w:right="6"/>
        <w:rPr>
          <w:rFonts w:ascii="Times New Roman"/>
        </w:rPr>
      </w:pPr>
      <w:r>
        <w:rPr>
          <w:rFonts w:ascii="Times New Roman" w:hint="eastAsia"/>
        </w:rPr>
        <w:t>内耳。</w:t>
      </w:r>
    </w:p>
    <w:p w:rsidR="003717A0" w:rsidRDefault="003717A0">
      <w:pPr>
        <w:numPr>
          <w:ilvl w:val="0"/>
          <w:numId w:val="137"/>
        </w:numPr>
        <w:adjustRightInd w:val="0"/>
        <w:snapToGrid w:val="0"/>
        <w:spacing w:line="360" w:lineRule="auto"/>
        <w:ind w:right="6"/>
        <w:rPr>
          <w:rFonts w:ascii="Times New Roman"/>
        </w:rPr>
      </w:pPr>
      <w:r>
        <w:rPr>
          <w:rFonts w:ascii="Times New Roman" w:hint="eastAsia"/>
        </w:rPr>
        <w:t>其他感觉器（嗅器、味器、皮肤）。</w:t>
      </w:r>
    </w:p>
    <w:p w:rsidR="003717A0" w:rsidRDefault="003717A0">
      <w:pPr>
        <w:adjustRightInd w:val="0"/>
        <w:snapToGrid w:val="0"/>
        <w:spacing w:line="360" w:lineRule="auto"/>
        <w:ind w:right="6"/>
        <w:rPr>
          <w:b/>
          <w:szCs w:val="21"/>
        </w:rPr>
      </w:pPr>
      <w:r>
        <w:rPr>
          <w:rFonts w:hint="eastAsia"/>
          <w:b/>
          <w:szCs w:val="21"/>
        </w:rPr>
        <w:t>实习内容（</w:t>
      </w:r>
      <w:r>
        <w:rPr>
          <w:b/>
          <w:szCs w:val="21"/>
        </w:rPr>
        <w:t>2</w:t>
      </w:r>
      <w:r>
        <w:rPr>
          <w:rFonts w:hint="eastAsia"/>
          <w:b/>
          <w:szCs w:val="21"/>
        </w:rPr>
        <w:t>学时）</w:t>
      </w:r>
    </w:p>
    <w:p w:rsidR="003717A0" w:rsidRDefault="003717A0">
      <w:pPr>
        <w:numPr>
          <w:ilvl w:val="0"/>
          <w:numId w:val="138"/>
        </w:numPr>
        <w:adjustRightInd w:val="0"/>
        <w:snapToGrid w:val="0"/>
        <w:spacing w:line="360" w:lineRule="auto"/>
        <w:ind w:right="6"/>
      </w:pPr>
      <w:r>
        <w:rPr>
          <w:rFonts w:hint="eastAsia"/>
        </w:rPr>
        <w:t>观察前庭蜗器标本或模型。</w:t>
      </w:r>
    </w:p>
    <w:p w:rsidR="003717A0" w:rsidRDefault="003717A0">
      <w:pPr>
        <w:numPr>
          <w:ilvl w:val="0"/>
          <w:numId w:val="138"/>
        </w:numPr>
        <w:adjustRightInd w:val="0"/>
        <w:snapToGrid w:val="0"/>
        <w:spacing w:line="360" w:lineRule="auto"/>
        <w:ind w:right="6"/>
        <w:rPr>
          <w:szCs w:val="21"/>
        </w:rPr>
      </w:pPr>
      <w:r>
        <w:rPr>
          <w:rFonts w:hint="eastAsia"/>
        </w:rPr>
        <w:t>观察外耳的解剖标本。</w:t>
      </w:r>
    </w:p>
    <w:p w:rsidR="003717A0" w:rsidRDefault="003717A0">
      <w:pPr>
        <w:numPr>
          <w:ilvl w:val="0"/>
          <w:numId w:val="138"/>
        </w:numPr>
        <w:adjustRightInd w:val="0"/>
        <w:snapToGrid w:val="0"/>
        <w:spacing w:line="360" w:lineRule="auto"/>
        <w:ind w:right="6"/>
        <w:rPr>
          <w:szCs w:val="21"/>
        </w:rPr>
      </w:pPr>
      <w:r>
        <w:rPr>
          <w:rFonts w:hint="eastAsia"/>
        </w:rPr>
        <w:t>观察中耳的解剖标本。</w:t>
      </w:r>
    </w:p>
    <w:p w:rsidR="003717A0" w:rsidRDefault="003717A0">
      <w:pPr>
        <w:numPr>
          <w:ilvl w:val="0"/>
          <w:numId w:val="138"/>
        </w:numPr>
        <w:adjustRightInd w:val="0"/>
        <w:snapToGrid w:val="0"/>
        <w:spacing w:line="360" w:lineRule="auto"/>
        <w:ind w:right="6"/>
        <w:rPr>
          <w:szCs w:val="21"/>
        </w:rPr>
      </w:pPr>
      <w:r>
        <w:rPr>
          <w:rFonts w:hint="eastAsia"/>
          <w:szCs w:val="21"/>
        </w:rPr>
        <w:t>观察内耳的模型。</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39"/>
        </w:numPr>
      </w:pPr>
      <w:r>
        <w:rPr>
          <w:rFonts w:hint="eastAsia"/>
        </w:rPr>
        <w:t>掌握前庭蜗器的组成。</w:t>
      </w:r>
    </w:p>
    <w:p w:rsidR="003717A0" w:rsidRDefault="003717A0">
      <w:pPr>
        <w:numPr>
          <w:ilvl w:val="0"/>
          <w:numId w:val="139"/>
        </w:numPr>
      </w:pPr>
      <w:r>
        <w:rPr>
          <w:rFonts w:hint="eastAsia"/>
        </w:rPr>
        <w:t>了解外耳的组成和耳廓的形态、构造和功能。</w:t>
      </w:r>
    </w:p>
    <w:p w:rsidR="003717A0" w:rsidRDefault="003717A0">
      <w:pPr>
        <w:numPr>
          <w:ilvl w:val="0"/>
          <w:numId w:val="139"/>
        </w:numPr>
      </w:pPr>
      <w:r>
        <w:rPr>
          <w:rFonts w:hint="eastAsia"/>
        </w:rPr>
        <w:t>掌握鼓膜的位置、形态、分部及光锥的概念。</w:t>
      </w:r>
    </w:p>
    <w:p w:rsidR="003717A0" w:rsidRDefault="003717A0">
      <w:pPr>
        <w:numPr>
          <w:ilvl w:val="0"/>
          <w:numId w:val="139"/>
        </w:numPr>
      </w:pPr>
      <w:r>
        <w:rPr>
          <w:rFonts w:hint="eastAsia"/>
        </w:rPr>
        <w:lastRenderedPageBreak/>
        <w:t>了解中耳的组成，掌握鼓室的构成及各壁的形态和毗邻，熟悉听骨链的组成和功能。</w:t>
      </w:r>
    </w:p>
    <w:p w:rsidR="003717A0" w:rsidRDefault="003717A0">
      <w:pPr>
        <w:numPr>
          <w:ilvl w:val="0"/>
          <w:numId w:val="139"/>
        </w:numPr>
      </w:pPr>
      <w:r>
        <w:rPr>
          <w:rFonts w:hint="eastAsia"/>
        </w:rPr>
        <w:t>熟悉咽鼓管的形态和功能及小儿咽鼓管的特点。</w:t>
      </w:r>
    </w:p>
    <w:p w:rsidR="003717A0" w:rsidRDefault="003717A0">
      <w:pPr>
        <w:numPr>
          <w:ilvl w:val="0"/>
          <w:numId w:val="139"/>
        </w:numPr>
      </w:pPr>
      <w:r>
        <w:rPr>
          <w:rFonts w:hint="eastAsia"/>
        </w:rPr>
        <w:t>熟悉乳突窦、乳突小房的位置及其与鼓室的关系。</w:t>
      </w:r>
    </w:p>
    <w:p w:rsidR="003717A0" w:rsidRDefault="003717A0">
      <w:pPr>
        <w:numPr>
          <w:ilvl w:val="0"/>
          <w:numId w:val="139"/>
        </w:numPr>
      </w:pPr>
      <w:r>
        <w:rPr>
          <w:rFonts w:hint="eastAsia"/>
        </w:rPr>
        <w:t>了解内耳的位置和组成，熟悉骨迷路的分部及各部的形态，熟悉膜迷路的位置和组成，熟悉椭圆囊、球囊、膜半规管和蜗管的形态和功能。</w:t>
      </w:r>
    </w:p>
    <w:p w:rsidR="003717A0" w:rsidRDefault="003717A0">
      <w:pPr>
        <w:numPr>
          <w:ilvl w:val="0"/>
          <w:numId w:val="139"/>
        </w:numPr>
      </w:pPr>
      <w:r>
        <w:rPr>
          <w:rFonts w:hint="eastAsia"/>
        </w:rPr>
        <w:t>掌握听觉和位觉感受器的名称和位置。</w:t>
      </w:r>
    </w:p>
    <w:p w:rsidR="003717A0" w:rsidRDefault="003717A0">
      <w:pPr>
        <w:numPr>
          <w:ilvl w:val="0"/>
          <w:numId w:val="139"/>
        </w:numPr>
      </w:pPr>
      <w:r>
        <w:rPr>
          <w:rFonts w:hint="eastAsia"/>
        </w:rPr>
        <w:t>了解声波的传导途径。</w:t>
      </w:r>
    </w:p>
    <w:p w:rsidR="003717A0" w:rsidRDefault="003717A0">
      <w:pPr>
        <w:ind w:left="420"/>
      </w:pPr>
    </w:p>
    <w:p w:rsidR="003717A0" w:rsidRDefault="003717A0">
      <w:pPr>
        <w:jc w:val="center"/>
      </w:pPr>
      <w:r>
        <w:rPr>
          <w:rFonts w:hint="eastAsia"/>
        </w:rPr>
        <w:t>第五篇</w:t>
      </w:r>
      <w:r>
        <w:t xml:space="preserve"> </w:t>
      </w:r>
      <w:r>
        <w:rPr>
          <w:rFonts w:hint="eastAsia"/>
        </w:rPr>
        <w:t>神经系统与内分泌系统</w:t>
      </w:r>
    </w:p>
    <w:p w:rsidR="003717A0" w:rsidRDefault="003717A0">
      <w:pPr>
        <w:jc w:val="center"/>
        <w:rPr>
          <w:szCs w:val="21"/>
        </w:rPr>
      </w:pPr>
      <w:r>
        <w:rPr>
          <w:rFonts w:hint="eastAsia"/>
          <w:szCs w:val="21"/>
        </w:rPr>
        <w:t>第</w:t>
      </w:r>
      <w:r>
        <w:rPr>
          <w:szCs w:val="21"/>
        </w:rPr>
        <w:t>16</w:t>
      </w:r>
      <w:r>
        <w:rPr>
          <w:rFonts w:hint="eastAsia"/>
          <w:szCs w:val="21"/>
        </w:rPr>
        <w:t>章</w:t>
      </w:r>
      <w:r>
        <w:rPr>
          <w:szCs w:val="21"/>
        </w:rPr>
        <w:t xml:space="preserve"> </w:t>
      </w:r>
      <w:r>
        <w:rPr>
          <w:rFonts w:hint="eastAsia"/>
          <w:szCs w:val="21"/>
        </w:rPr>
        <w:t>神经系统总论</w:t>
      </w:r>
    </w:p>
    <w:p w:rsidR="003717A0" w:rsidRDefault="003717A0">
      <w:pPr>
        <w:jc w:val="center"/>
        <w:rPr>
          <w:szCs w:val="21"/>
        </w:rPr>
      </w:pPr>
      <w:r>
        <w:rPr>
          <w:rFonts w:hint="eastAsia"/>
          <w:szCs w:val="21"/>
        </w:rPr>
        <w:t>第</w:t>
      </w:r>
      <w:r>
        <w:rPr>
          <w:szCs w:val="21"/>
        </w:rPr>
        <w:t>17</w:t>
      </w:r>
      <w:r>
        <w:rPr>
          <w:rFonts w:hint="eastAsia"/>
          <w:szCs w:val="21"/>
        </w:rPr>
        <w:t>章</w:t>
      </w:r>
      <w:r>
        <w:rPr>
          <w:szCs w:val="21"/>
        </w:rPr>
        <w:t xml:space="preserve">  </w:t>
      </w:r>
      <w:r>
        <w:rPr>
          <w:rFonts w:hint="eastAsia"/>
          <w:szCs w:val="21"/>
        </w:rPr>
        <w:t>中枢神经系统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b/>
        </w:rPr>
        <w:t>17</w:t>
      </w:r>
      <w:r>
        <w:rPr>
          <w:rFonts w:ascii="Times New Roman" w:hint="eastAsia"/>
          <w:b/>
        </w:rPr>
        <w:t>学时）</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神经系统的组成和分部。</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神经系统的基本结构。</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神经系统的活动方式。</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神经系统的常用术语。</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中枢神经系统的组成。</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脊髓。</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脑干。</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小脑。</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间脑。</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端脑。</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脑和脊髓的传导通路。</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脑和脊髓的被膜。</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脑和脊髓的血管。</w:t>
      </w:r>
    </w:p>
    <w:p w:rsidR="003717A0" w:rsidRDefault="003717A0">
      <w:pPr>
        <w:numPr>
          <w:ilvl w:val="0"/>
          <w:numId w:val="140"/>
        </w:numPr>
        <w:adjustRightInd w:val="0"/>
        <w:snapToGrid w:val="0"/>
        <w:spacing w:line="360" w:lineRule="auto"/>
        <w:ind w:right="6"/>
        <w:rPr>
          <w:rFonts w:ascii="Times New Roman"/>
        </w:rPr>
      </w:pPr>
      <w:r>
        <w:rPr>
          <w:rFonts w:ascii="Times New Roman" w:hint="eastAsia"/>
        </w:rPr>
        <w:t>脑脊液循环。</w:t>
      </w:r>
    </w:p>
    <w:p w:rsidR="003717A0" w:rsidRDefault="003717A0">
      <w:pPr>
        <w:adjustRightInd w:val="0"/>
        <w:snapToGrid w:val="0"/>
        <w:spacing w:line="360" w:lineRule="auto"/>
        <w:ind w:right="6"/>
        <w:rPr>
          <w:b/>
          <w:szCs w:val="21"/>
        </w:rPr>
      </w:pPr>
      <w:r>
        <w:rPr>
          <w:rFonts w:hint="eastAsia"/>
          <w:b/>
          <w:szCs w:val="21"/>
        </w:rPr>
        <w:t>实习内容（</w:t>
      </w:r>
      <w:r>
        <w:rPr>
          <w:b/>
          <w:szCs w:val="21"/>
        </w:rPr>
        <w:t>12</w:t>
      </w:r>
      <w:r>
        <w:rPr>
          <w:rFonts w:hint="eastAsia"/>
          <w:b/>
          <w:szCs w:val="21"/>
        </w:rPr>
        <w:t>学时）</w:t>
      </w:r>
    </w:p>
    <w:p w:rsidR="003717A0" w:rsidRDefault="003717A0">
      <w:pPr>
        <w:numPr>
          <w:ilvl w:val="0"/>
          <w:numId w:val="141"/>
        </w:numPr>
        <w:adjustRightInd w:val="0"/>
        <w:snapToGrid w:val="0"/>
        <w:spacing w:line="360" w:lineRule="auto"/>
        <w:ind w:right="6"/>
      </w:pPr>
      <w:r>
        <w:rPr>
          <w:rFonts w:hint="eastAsia"/>
          <w:szCs w:val="21"/>
        </w:rPr>
        <w:t>观察</w:t>
      </w:r>
      <w:r>
        <w:rPr>
          <w:rFonts w:hint="eastAsia"/>
        </w:rPr>
        <w:t>离体脊髓标本。</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脊髓水平切面标本或模型。</w:t>
      </w:r>
    </w:p>
    <w:p w:rsidR="003717A0" w:rsidRDefault="003717A0">
      <w:pPr>
        <w:numPr>
          <w:ilvl w:val="0"/>
          <w:numId w:val="141"/>
        </w:numPr>
        <w:adjustRightInd w:val="0"/>
        <w:snapToGrid w:val="0"/>
        <w:spacing w:line="360" w:lineRule="auto"/>
        <w:ind w:right="6"/>
        <w:rPr>
          <w:b/>
          <w:szCs w:val="21"/>
        </w:rPr>
      </w:pPr>
      <w:r>
        <w:rPr>
          <w:rFonts w:hint="eastAsia"/>
        </w:rPr>
        <w:t>观察脑标本或模型。</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脑干标本或模型。</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脑神经核模型。</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小脑标本或模型。</w:t>
      </w:r>
    </w:p>
    <w:p w:rsidR="003717A0" w:rsidRDefault="003717A0">
      <w:pPr>
        <w:numPr>
          <w:ilvl w:val="0"/>
          <w:numId w:val="141"/>
        </w:numPr>
        <w:adjustRightInd w:val="0"/>
        <w:snapToGrid w:val="0"/>
        <w:spacing w:line="360" w:lineRule="auto"/>
        <w:ind w:right="6"/>
        <w:rPr>
          <w:b/>
          <w:szCs w:val="21"/>
        </w:rPr>
      </w:pPr>
      <w:r>
        <w:rPr>
          <w:rFonts w:hint="eastAsia"/>
        </w:rPr>
        <w:t>观察间脑标本或模型。</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脑的外形、正中矢状切面标本。</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脑冠状切面标本</w:t>
      </w:r>
      <w:r>
        <w:rPr>
          <w:rFonts w:hint="eastAsia"/>
          <w:b/>
          <w:szCs w:val="21"/>
        </w:rPr>
        <w:t>。</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脑水平切面标本。</w:t>
      </w:r>
    </w:p>
    <w:p w:rsidR="003717A0" w:rsidRDefault="003717A0">
      <w:pPr>
        <w:numPr>
          <w:ilvl w:val="0"/>
          <w:numId w:val="141"/>
        </w:numPr>
        <w:adjustRightInd w:val="0"/>
        <w:snapToGrid w:val="0"/>
        <w:spacing w:line="360" w:lineRule="auto"/>
        <w:ind w:right="6"/>
        <w:rPr>
          <w:szCs w:val="21"/>
        </w:rPr>
      </w:pPr>
      <w:r>
        <w:rPr>
          <w:rFonts w:hint="eastAsia"/>
          <w:szCs w:val="21"/>
        </w:rPr>
        <w:lastRenderedPageBreak/>
        <w:t>观察</w:t>
      </w:r>
      <w:r>
        <w:rPr>
          <w:rFonts w:hint="eastAsia"/>
        </w:rPr>
        <w:t>基底核的标本或模型</w:t>
      </w:r>
      <w:r>
        <w:rPr>
          <w:rFonts w:hint="eastAsia"/>
          <w:szCs w:val="21"/>
        </w:rPr>
        <w:t>。</w:t>
      </w:r>
    </w:p>
    <w:p w:rsidR="003717A0" w:rsidRDefault="003717A0">
      <w:pPr>
        <w:numPr>
          <w:ilvl w:val="0"/>
          <w:numId w:val="141"/>
        </w:numPr>
        <w:adjustRightInd w:val="0"/>
        <w:snapToGrid w:val="0"/>
        <w:spacing w:line="360" w:lineRule="auto"/>
        <w:ind w:right="6"/>
        <w:rPr>
          <w:b/>
          <w:szCs w:val="21"/>
        </w:rPr>
      </w:pPr>
      <w:r>
        <w:rPr>
          <w:rFonts w:hint="eastAsia"/>
          <w:szCs w:val="21"/>
        </w:rPr>
        <w:t>观察脑和脊髓</w:t>
      </w:r>
      <w:r>
        <w:rPr>
          <w:rFonts w:hint="eastAsia"/>
        </w:rPr>
        <w:t>传导通路模型</w:t>
      </w:r>
      <w:r>
        <w:rPr>
          <w:rFonts w:hint="eastAsia"/>
          <w:b/>
          <w:szCs w:val="21"/>
        </w:rPr>
        <w:t>。</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脑、脊髓的被膜标本或模型。</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脑血管标本或模型</w:t>
      </w:r>
      <w:r>
        <w:rPr>
          <w:rFonts w:hint="eastAsia"/>
          <w:b/>
          <w:szCs w:val="21"/>
        </w:rPr>
        <w:t>。</w:t>
      </w:r>
    </w:p>
    <w:p w:rsidR="003717A0" w:rsidRDefault="003717A0">
      <w:pPr>
        <w:numPr>
          <w:ilvl w:val="0"/>
          <w:numId w:val="141"/>
        </w:numPr>
        <w:adjustRightInd w:val="0"/>
        <w:snapToGrid w:val="0"/>
        <w:spacing w:line="360" w:lineRule="auto"/>
        <w:ind w:right="6"/>
        <w:rPr>
          <w:b/>
          <w:szCs w:val="21"/>
        </w:rPr>
      </w:pPr>
      <w:r>
        <w:rPr>
          <w:rFonts w:hint="eastAsia"/>
          <w:szCs w:val="21"/>
        </w:rPr>
        <w:t>观察</w:t>
      </w:r>
      <w:r>
        <w:rPr>
          <w:rFonts w:hint="eastAsia"/>
        </w:rPr>
        <w:t>脑室标本或模型</w:t>
      </w:r>
      <w:r>
        <w:rPr>
          <w:rFonts w:hint="eastAsia"/>
          <w:b/>
          <w:szCs w:val="21"/>
        </w:rPr>
        <w:t>。</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42"/>
        </w:numPr>
      </w:pPr>
      <w:r>
        <w:rPr>
          <w:rFonts w:hint="eastAsia"/>
        </w:rPr>
        <w:t>熟悉神经系统的分部；熟悉反射和反射弧的概念；掌握神经系统的常用术语。了解神经系统在体内的功能及地位。</w:t>
      </w:r>
    </w:p>
    <w:p w:rsidR="003717A0" w:rsidRDefault="003717A0">
      <w:pPr>
        <w:numPr>
          <w:ilvl w:val="0"/>
          <w:numId w:val="142"/>
        </w:numPr>
      </w:pPr>
      <w:r>
        <w:rPr>
          <w:rFonts w:hint="eastAsia"/>
        </w:rPr>
        <w:t>掌握脊髓的位置、外形。了解脊髓节段与椎骨的对应关系。</w:t>
      </w:r>
    </w:p>
    <w:p w:rsidR="003717A0" w:rsidRDefault="003717A0">
      <w:pPr>
        <w:numPr>
          <w:ilvl w:val="0"/>
          <w:numId w:val="142"/>
        </w:numPr>
      </w:pPr>
      <w:r>
        <w:rPr>
          <w:rFonts w:hint="eastAsia"/>
        </w:rPr>
        <w:t>掌握脊髓灰、白质的位置及分部。熟悉脊髓白质各索中主要传导束的名称、位置和功能。</w:t>
      </w:r>
    </w:p>
    <w:p w:rsidR="003717A0" w:rsidRDefault="003717A0">
      <w:pPr>
        <w:numPr>
          <w:ilvl w:val="0"/>
          <w:numId w:val="142"/>
        </w:numPr>
      </w:pPr>
      <w:r>
        <w:rPr>
          <w:rFonts w:hint="eastAsia"/>
        </w:rPr>
        <w:t>了解脊髓的功能。</w:t>
      </w:r>
    </w:p>
    <w:p w:rsidR="003717A0" w:rsidRDefault="003717A0">
      <w:pPr>
        <w:numPr>
          <w:ilvl w:val="0"/>
          <w:numId w:val="142"/>
        </w:numPr>
      </w:pPr>
      <w:r>
        <w:rPr>
          <w:rFonts w:hint="eastAsia"/>
        </w:rPr>
        <w:t>掌握脑的位置、分部。</w:t>
      </w:r>
    </w:p>
    <w:p w:rsidR="003717A0" w:rsidRDefault="003717A0">
      <w:pPr>
        <w:numPr>
          <w:ilvl w:val="0"/>
          <w:numId w:val="142"/>
        </w:numPr>
      </w:pPr>
      <w:r>
        <w:rPr>
          <w:rFonts w:hint="eastAsia"/>
        </w:rPr>
        <w:t>掌握脑干的位置、外形及第</w:t>
      </w:r>
      <w:r>
        <w:t>3~12</w:t>
      </w:r>
      <w:r>
        <w:rPr>
          <w:rFonts w:hint="eastAsia"/>
        </w:rPr>
        <w:t>对脑神经的连脑位置。</w:t>
      </w:r>
    </w:p>
    <w:p w:rsidR="003717A0" w:rsidRDefault="003717A0">
      <w:pPr>
        <w:numPr>
          <w:ilvl w:val="0"/>
          <w:numId w:val="142"/>
        </w:numPr>
      </w:pPr>
      <w:r>
        <w:rPr>
          <w:rFonts w:hint="eastAsia"/>
        </w:rPr>
        <w:t>掌握脑干的内部结构特点。熟悉灰、白质的配布规律。掌握各脑神经核的分类、位置。</w:t>
      </w:r>
    </w:p>
    <w:p w:rsidR="003717A0" w:rsidRDefault="003717A0">
      <w:pPr>
        <w:numPr>
          <w:ilvl w:val="0"/>
          <w:numId w:val="142"/>
        </w:numPr>
      </w:pPr>
      <w:r>
        <w:rPr>
          <w:rFonts w:hint="eastAsia"/>
        </w:rPr>
        <w:t>了解脑干内白质的组成、走行的部位，掌握脊髓丘脑束、内侧丘系交叉、内侧丘系、三叉丘系、外侧丘系的组成及锥体束的走行和锥体、锥体交叉形成的部位。</w:t>
      </w:r>
    </w:p>
    <w:p w:rsidR="003717A0" w:rsidRDefault="003717A0">
      <w:pPr>
        <w:numPr>
          <w:ilvl w:val="0"/>
          <w:numId w:val="142"/>
        </w:numPr>
      </w:pPr>
      <w:r>
        <w:rPr>
          <w:rFonts w:hint="eastAsia"/>
        </w:rPr>
        <w:t>了解脑干内网状结构的位置。了解脑干损伤及其临床表现。</w:t>
      </w:r>
    </w:p>
    <w:p w:rsidR="003717A0" w:rsidRDefault="003717A0">
      <w:pPr>
        <w:numPr>
          <w:ilvl w:val="0"/>
          <w:numId w:val="142"/>
        </w:numPr>
      </w:pPr>
      <w:r>
        <w:rPr>
          <w:rFonts w:hint="eastAsia"/>
        </w:rPr>
        <w:t>掌握小脑的位置和外形。熟悉小脑核的名称及功能。了解小脑的纤维联系和功能。</w:t>
      </w:r>
    </w:p>
    <w:p w:rsidR="003717A0" w:rsidRDefault="003717A0">
      <w:pPr>
        <w:numPr>
          <w:ilvl w:val="0"/>
          <w:numId w:val="142"/>
        </w:numPr>
      </w:pPr>
      <w:r>
        <w:rPr>
          <w:rFonts w:hint="eastAsia"/>
        </w:rPr>
        <w:t>掌握间脑的位置和分部，熟悉丘脑的位置、形态和主要团核的名称及腹后核的分部及功能，熟悉内、外膝状体的位置和功能。熟悉下丘脑的位置、主要核团的名称及功能。掌握第三脑室的位置和交通。</w:t>
      </w:r>
    </w:p>
    <w:p w:rsidR="003717A0" w:rsidRDefault="003717A0">
      <w:pPr>
        <w:numPr>
          <w:ilvl w:val="0"/>
          <w:numId w:val="142"/>
        </w:numPr>
      </w:pPr>
      <w:r>
        <w:rPr>
          <w:rFonts w:hint="eastAsia"/>
        </w:rPr>
        <w:t>掌握大脑半球各面的主要沟、回及分叶。了解边缘叶的组成和功能。</w:t>
      </w:r>
    </w:p>
    <w:p w:rsidR="003717A0" w:rsidRDefault="003717A0">
      <w:pPr>
        <w:numPr>
          <w:ilvl w:val="0"/>
          <w:numId w:val="142"/>
        </w:numPr>
      </w:pPr>
      <w:r>
        <w:rPr>
          <w:rFonts w:hint="eastAsia"/>
        </w:rPr>
        <w:t>掌握大脑皮层主要机能区的位置。</w:t>
      </w:r>
    </w:p>
    <w:p w:rsidR="003717A0" w:rsidRDefault="003717A0">
      <w:pPr>
        <w:numPr>
          <w:ilvl w:val="0"/>
          <w:numId w:val="142"/>
        </w:numPr>
      </w:pPr>
      <w:r>
        <w:rPr>
          <w:rFonts w:hint="eastAsia"/>
        </w:rPr>
        <w:t>掌握基底核及新、旧纹状体的概念和各核的位置及纹状体的功能。</w:t>
      </w:r>
    </w:p>
    <w:p w:rsidR="003717A0" w:rsidRDefault="003717A0">
      <w:pPr>
        <w:numPr>
          <w:ilvl w:val="0"/>
          <w:numId w:val="142"/>
        </w:numPr>
      </w:pPr>
      <w:r>
        <w:rPr>
          <w:rFonts w:hint="eastAsia"/>
        </w:rPr>
        <w:t>了解髓质纤维的组成概况。熟悉胼胝体纤维的组成概况。掌握内囊的位置、分部及其纤维束的排列关系。</w:t>
      </w:r>
    </w:p>
    <w:p w:rsidR="003717A0" w:rsidRDefault="003717A0">
      <w:pPr>
        <w:numPr>
          <w:ilvl w:val="0"/>
          <w:numId w:val="142"/>
        </w:numPr>
      </w:pPr>
      <w:r>
        <w:rPr>
          <w:rFonts w:hint="eastAsia"/>
        </w:rPr>
        <w:t>掌握侧脑室的位置、分部、各部所在位置和交通。</w:t>
      </w:r>
    </w:p>
    <w:p w:rsidR="003717A0" w:rsidRDefault="003717A0">
      <w:pPr>
        <w:numPr>
          <w:ilvl w:val="0"/>
          <w:numId w:val="142"/>
        </w:numPr>
      </w:pPr>
      <w:r>
        <w:rPr>
          <w:rFonts w:hint="eastAsia"/>
        </w:rPr>
        <w:t>掌握躯干、四肢本体觉、浅感觉和头面部浅感觉传导通路的组成、各级神经元胞体所在的部位及其纤维的行程、交叉部位和大脑皮质的投射。</w:t>
      </w:r>
    </w:p>
    <w:p w:rsidR="003717A0" w:rsidRDefault="003717A0">
      <w:pPr>
        <w:numPr>
          <w:ilvl w:val="0"/>
          <w:numId w:val="142"/>
        </w:numPr>
      </w:pPr>
      <w:r>
        <w:rPr>
          <w:rFonts w:hint="eastAsia"/>
        </w:rPr>
        <w:t>掌握视觉传导通路的组成，视交叉和视束的纤维来源、行程和向大脑皮质的投射，瞳孔对光反射通路。</w:t>
      </w:r>
    </w:p>
    <w:p w:rsidR="003717A0" w:rsidRDefault="003717A0">
      <w:pPr>
        <w:numPr>
          <w:ilvl w:val="0"/>
          <w:numId w:val="142"/>
        </w:numPr>
      </w:pPr>
      <w:r>
        <w:rPr>
          <w:rFonts w:hint="eastAsia"/>
        </w:rPr>
        <w:t>了解听觉、平衡觉、内脏感觉传导通路的组成。</w:t>
      </w:r>
    </w:p>
    <w:p w:rsidR="003717A0" w:rsidRDefault="003717A0">
      <w:pPr>
        <w:numPr>
          <w:ilvl w:val="0"/>
          <w:numId w:val="142"/>
        </w:numPr>
      </w:pPr>
      <w:r>
        <w:rPr>
          <w:rFonts w:hint="eastAsia"/>
        </w:rPr>
        <w:t>掌握锥体系的组成、行程、纤维交叉概况及交叉的部位和对脑神经运动核、脊髓前角运动神经元的支配概况。</w:t>
      </w:r>
    </w:p>
    <w:p w:rsidR="003717A0" w:rsidRDefault="003717A0">
      <w:pPr>
        <w:numPr>
          <w:ilvl w:val="0"/>
          <w:numId w:val="142"/>
        </w:numPr>
      </w:pPr>
      <w:r>
        <w:rPr>
          <w:rFonts w:hint="eastAsia"/>
        </w:rPr>
        <w:t>了解锥体外系的组成，纤维联系概况和功能。</w:t>
      </w:r>
    </w:p>
    <w:p w:rsidR="003717A0" w:rsidRDefault="003717A0">
      <w:pPr>
        <w:numPr>
          <w:ilvl w:val="0"/>
          <w:numId w:val="142"/>
        </w:numPr>
      </w:pPr>
      <w:r>
        <w:rPr>
          <w:rFonts w:hint="eastAsia"/>
        </w:rPr>
        <w:t>了解神经系统的化学通路。</w:t>
      </w:r>
    </w:p>
    <w:p w:rsidR="003717A0" w:rsidRDefault="003717A0">
      <w:pPr>
        <w:numPr>
          <w:ilvl w:val="0"/>
          <w:numId w:val="142"/>
        </w:numPr>
      </w:pPr>
      <w:r>
        <w:rPr>
          <w:rFonts w:hint="eastAsia"/>
        </w:rPr>
        <w:t>了解脑、脊髓被膜的概况，掌握硬脊膜外腔的位置及其内容。</w:t>
      </w:r>
    </w:p>
    <w:p w:rsidR="003717A0" w:rsidRDefault="003717A0">
      <w:pPr>
        <w:numPr>
          <w:ilvl w:val="0"/>
          <w:numId w:val="142"/>
        </w:numPr>
      </w:pPr>
      <w:r>
        <w:rPr>
          <w:rFonts w:hint="eastAsia"/>
        </w:rPr>
        <w:t>掌握硬脑膜的结构特点，大脑镰、小脑幕的位置。熟悉各硬脑膜窦的位置、名称及交通关系。了解硬脑膜窦与颅外静脉的交通关系。</w:t>
      </w:r>
    </w:p>
    <w:p w:rsidR="003717A0" w:rsidRDefault="003717A0">
      <w:pPr>
        <w:numPr>
          <w:ilvl w:val="0"/>
          <w:numId w:val="142"/>
        </w:numPr>
      </w:pPr>
      <w:r>
        <w:rPr>
          <w:rFonts w:hint="eastAsia"/>
        </w:rPr>
        <w:t>了解蛛网膜的位置、分部、形态特点。掌握蛛网膜下腔的位置、内容、交通关系及小脑延髓池、终池和蛛网膜粒的位置和功能。</w:t>
      </w:r>
    </w:p>
    <w:p w:rsidR="003717A0" w:rsidRDefault="003717A0">
      <w:pPr>
        <w:numPr>
          <w:ilvl w:val="0"/>
          <w:numId w:val="142"/>
        </w:numPr>
      </w:pPr>
      <w:r>
        <w:rPr>
          <w:rFonts w:hint="eastAsia"/>
        </w:rPr>
        <w:t>了解软膜的位置、构造特点和分部，熟悉脉络丛的功能。</w:t>
      </w:r>
    </w:p>
    <w:p w:rsidR="003717A0" w:rsidRDefault="003717A0">
      <w:pPr>
        <w:numPr>
          <w:ilvl w:val="0"/>
          <w:numId w:val="142"/>
        </w:numPr>
      </w:pPr>
      <w:r>
        <w:rPr>
          <w:rFonts w:hint="eastAsia"/>
        </w:rPr>
        <w:t>掌握脑的血液供应来源。</w:t>
      </w:r>
    </w:p>
    <w:p w:rsidR="003717A0" w:rsidRDefault="003717A0">
      <w:pPr>
        <w:numPr>
          <w:ilvl w:val="0"/>
          <w:numId w:val="142"/>
        </w:numPr>
      </w:pPr>
      <w:r>
        <w:rPr>
          <w:rFonts w:hint="eastAsia"/>
        </w:rPr>
        <w:lastRenderedPageBreak/>
        <w:t>掌握颈内动脉的行程和分支，熟悉大脑前动脉、大脑中动脉和大脑后动脉的行程和分部范围，熟悉大脑中动脉的分支和分布。</w:t>
      </w:r>
    </w:p>
    <w:p w:rsidR="003717A0" w:rsidRDefault="003717A0">
      <w:pPr>
        <w:numPr>
          <w:ilvl w:val="0"/>
          <w:numId w:val="142"/>
        </w:numPr>
      </w:pPr>
      <w:r>
        <w:rPr>
          <w:rFonts w:hint="eastAsia"/>
        </w:rPr>
        <w:t>掌握椎动脉、基底动脉的行程和分支分布。</w:t>
      </w:r>
    </w:p>
    <w:p w:rsidR="003717A0" w:rsidRDefault="003717A0">
      <w:pPr>
        <w:numPr>
          <w:ilvl w:val="0"/>
          <w:numId w:val="142"/>
        </w:numPr>
      </w:pPr>
      <w:r>
        <w:rPr>
          <w:rFonts w:hint="eastAsia"/>
        </w:rPr>
        <w:t>掌握大脑动脉环的组成和功能。</w:t>
      </w:r>
    </w:p>
    <w:p w:rsidR="003717A0" w:rsidRDefault="003717A0">
      <w:pPr>
        <w:numPr>
          <w:ilvl w:val="0"/>
          <w:numId w:val="142"/>
        </w:numPr>
      </w:pPr>
      <w:r>
        <w:rPr>
          <w:rFonts w:hint="eastAsia"/>
        </w:rPr>
        <w:t>了解大脑静脉的回流概况。</w:t>
      </w:r>
    </w:p>
    <w:p w:rsidR="003717A0" w:rsidRDefault="003717A0">
      <w:pPr>
        <w:numPr>
          <w:ilvl w:val="0"/>
          <w:numId w:val="142"/>
        </w:numPr>
      </w:pPr>
      <w:r>
        <w:rPr>
          <w:rFonts w:hint="eastAsia"/>
        </w:rPr>
        <w:t>了解脊髓动脉的来源及分布概况和脊髓静脉的回流概况。</w:t>
      </w:r>
    </w:p>
    <w:p w:rsidR="003717A0" w:rsidRDefault="003717A0">
      <w:pPr>
        <w:numPr>
          <w:ilvl w:val="0"/>
          <w:numId w:val="142"/>
        </w:numPr>
      </w:pPr>
      <w:r>
        <w:rPr>
          <w:rFonts w:hint="eastAsia"/>
        </w:rPr>
        <w:t>掌握脑室系统的组成、脑脊液的产生与循环途径。</w:t>
      </w:r>
    </w:p>
    <w:p w:rsidR="003717A0" w:rsidRDefault="003717A0">
      <w:pPr>
        <w:numPr>
          <w:ilvl w:val="0"/>
          <w:numId w:val="142"/>
        </w:numPr>
      </w:pPr>
      <w:r>
        <w:rPr>
          <w:rFonts w:hint="eastAsia"/>
        </w:rPr>
        <w:t>了解血脑屏障的概念与功能。</w:t>
      </w:r>
    </w:p>
    <w:p w:rsidR="003717A0" w:rsidRDefault="003717A0">
      <w:pPr>
        <w:jc w:val="center"/>
        <w:rPr>
          <w:szCs w:val="21"/>
        </w:rPr>
      </w:pPr>
      <w:r>
        <w:rPr>
          <w:rFonts w:hint="eastAsia"/>
        </w:rPr>
        <w:t>第</w:t>
      </w:r>
      <w:r>
        <w:t>18</w:t>
      </w:r>
      <w:r>
        <w:rPr>
          <w:rFonts w:hint="eastAsia"/>
        </w:rPr>
        <w:t>章</w:t>
      </w:r>
      <w:r>
        <w:t xml:space="preserve"> </w:t>
      </w:r>
      <w:r>
        <w:rPr>
          <w:rFonts w:hint="eastAsia"/>
          <w:szCs w:val="21"/>
        </w:rPr>
        <w:t>周围神经系统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b/>
        </w:rPr>
        <w:t>9</w:t>
      </w:r>
      <w:r>
        <w:rPr>
          <w:rFonts w:ascii="Times New Roman" w:hint="eastAsia"/>
          <w:b/>
        </w:rPr>
        <w:t>学时）</w:t>
      </w:r>
    </w:p>
    <w:p w:rsidR="003717A0" w:rsidRDefault="003717A0">
      <w:pPr>
        <w:numPr>
          <w:ilvl w:val="0"/>
          <w:numId w:val="143"/>
        </w:numPr>
        <w:adjustRightInd w:val="0"/>
        <w:snapToGrid w:val="0"/>
        <w:spacing w:line="360" w:lineRule="auto"/>
        <w:ind w:right="6"/>
        <w:rPr>
          <w:rFonts w:ascii="Times New Roman"/>
        </w:rPr>
      </w:pPr>
      <w:r>
        <w:rPr>
          <w:rFonts w:ascii="Times New Roman" w:hint="eastAsia"/>
        </w:rPr>
        <w:t>周围神经系统的组成和分部。</w:t>
      </w:r>
    </w:p>
    <w:p w:rsidR="003717A0" w:rsidRDefault="003717A0">
      <w:pPr>
        <w:numPr>
          <w:ilvl w:val="0"/>
          <w:numId w:val="143"/>
        </w:numPr>
        <w:adjustRightInd w:val="0"/>
        <w:snapToGrid w:val="0"/>
        <w:spacing w:line="360" w:lineRule="auto"/>
        <w:ind w:right="6"/>
        <w:rPr>
          <w:rFonts w:ascii="Times New Roman"/>
        </w:rPr>
      </w:pPr>
      <w:r>
        <w:rPr>
          <w:rFonts w:ascii="Times New Roman" w:hint="eastAsia"/>
        </w:rPr>
        <w:t>脊神经。</w:t>
      </w:r>
    </w:p>
    <w:p w:rsidR="003717A0" w:rsidRDefault="003717A0">
      <w:pPr>
        <w:numPr>
          <w:ilvl w:val="0"/>
          <w:numId w:val="143"/>
        </w:numPr>
        <w:adjustRightInd w:val="0"/>
        <w:snapToGrid w:val="0"/>
        <w:spacing w:line="360" w:lineRule="auto"/>
        <w:ind w:right="6"/>
        <w:rPr>
          <w:rFonts w:ascii="Times New Roman"/>
        </w:rPr>
      </w:pPr>
      <w:r>
        <w:rPr>
          <w:rFonts w:ascii="Times New Roman" w:hint="eastAsia"/>
        </w:rPr>
        <w:t>脑神经。</w:t>
      </w:r>
    </w:p>
    <w:p w:rsidR="003717A0" w:rsidRDefault="003717A0">
      <w:pPr>
        <w:numPr>
          <w:ilvl w:val="0"/>
          <w:numId w:val="143"/>
        </w:numPr>
        <w:adjustRightInd w:val="0"/>
        <w:snapToGrid w:val="0"/>
        <w:spacing w:line="360" w:lineRule="auto"/>
        <w:ind w:right="6"/>
        <w:rPr>
          <w:rFonts w:ascii="Times New Roman"/>
        </w:rPr>
      </w:pPr>
      <w:r>
        <w:rPr>
          <w:rFonts w:ascii="Times New Roman" w:hint="eastAsia"/>
        </w:rPr>
        <w:t>内脏神经。</w:t>
      </w:r>
    </w:p>
    <w:p w:rsidR="003717A0" w:rsidRDefault="003717A0">
      <w:pPr>
        <w:adjustRightInd w:val="0"/>
        <w:snapToGrid w:val="0"/>
        <w:spacing w:line="360" w:lineRule="auto"/>
        <w:ind w:right="6"/>
        <w:rPr>
          <w:b/>
          <w:szCs w:val="21"/>
        </w:rPr>
      </w:pPr>
      <w:r>
        <w:rPr>
          <w:rFonts w:hint="eastAsia"/>
          <w:b/>
          <w:szCs w:val="21"/>
        </w:rPr>
        <w:t>实习内容（</w:t>
      </w:r>
      <w:r>
        <w:rPr>
          <w:b/>
          <w:szCs w:val="21"/>
        </w:rPr>
        <w:t>10</w:t>
      </w:r>
      <w:r>
        <w:rPr>
          <w:rFonts w:hint="eastAsia"/>
          <w:b/>
          <w:szCs w:val="21"/>
        </w:rPr>
        <w:t>学时）</w:t>
      </w:r>
    </w:p>
    <w:p w:rsidR="003717A0" w:rsidRDefault="003717A0">
      <w:pPr>
        <w:numPr>
          <w:ilvl w:val="0"/>
          <w:numId w:val="144"/>
        </w:numPr>
        <w:adjustRightInd w:val="0"/>
        <w:snapToGrid w:val="0"/>
        <w:spacing w:line="360" w:lineRule="auto"/>
        <w:ind w:right="6"/>
        <w:rPr>
          <w:b/>
          <w:szCs w:val="21"/>
        </w:rPr>
      </w:pPr>
      <w:r>
        <w:rPr>
          <w:rFonts w:hint="eastAsia"/>
        </w:rPr>
        <w:t>观察脊神经后支，脊神经前支的神经丛及其分支的标本或模型。</w:t>
      </w:r>
    </w:p>
    <w:p w:rsidR="003717A0" w:rsidRDefault="003717A0">
      <w:pPr>
        <w:numPr>
          <w:ilvl w:val="0"/>
          <w:numId w:val="144"/>
        </w:numPr>
        <w:adjustRightInd w:val="0"/>
        <w:snapToGrid w:val="0"/>
        <w:spacing w:line="360" w:lineRule="auto"/>
        <w:ind w:right="6"/>
        <w:rPr>
          <w:b/>
          <w:szCs w:val="21"/>
        </w:rPr>
      </w:pPr>
      <w:r>
        <w:rPr>
          <w:rFonts w:hint="eastAsia"/>
          <w:szCs w:val="21"/>
        </w:rPr>
        <w:t>观察</w:t>
      </w:r>
      <w:r>
        <w:rPr>
          <w:rFonts w:hint="eastAsia"/>
        </w:rPr>
        <w:t>胸神经标本或模型</w:t>
      </w:r>
      <w:r>
        <w:rPr>
          <w:rFonts w:hint="eastAsia"/>
          <w:b/>
          <w:szCs w:val="21"/>
        </w:rPr>
        <w:t>。</w:t>
      </w:r>
    </w:p>
    <w:p w:rsidR="003717A0" w:rsidRDefault="003717A0">
      <w:pPr>
        <w:numPr>
          <w:ilvl w:val="0"/>
          <w:numId w:val="144"/>
        </w:numPr>
        <w:adjustRightInd w:val="0"/>
        <w:snapToGrid w:val="0"/>
        <w:spacing w:line="360" w:lineRule="auto"/>
        <w:ind w:right="6"/>
        <w:rPr>
          <w:b/>
          <w:szCs w:val="21"/>
        </w:rPr>
      </w:pPr>
      <w:r>
        <w:rPr>
          <w:rFonts w:hint="eastAsia"/>
          <w:szCs w:val="21"/>
        </w:rPr>
        <w:t>观察</w:t>
      </w:r>
      <w:r>
        <w:t>12</w:t>
      </w:r>
      <w:r>
        <w:rPr>
          <w:rFonts w:hint="eastAsia"/>
        </w:rPr>
        <w:t>对脑神经标本或模型。</w:t>
      </w:r>
    </w:p>
    <w:p w:rsidR="003717A0" w:rsidRDefault="003717A0">
      <w:pPr>
        <w:numPr>
          <w:ilvl w:val="0"/>
          <w:numId w:val="144"/>
        </w:numPr>
        <w:adjustRightInd w:val="0"/>
        <w:snapToGrid w:val="0"/>
        <w:spacing w:line="360" w:lineRule="auto"/>
        <w:ind w:right="6"/>
        <w:rPr>
          <w:b/>
          <w:szCs w:val="21"/>
        </w:rPr>
      </w:pPr>
      <w:r>
        <w:rPr>
          <w:rFonts w:hint="eastAsia"/>
          <w:szCs w:val="21"/>
        </w:rPr>
        <w:t>观察</w:t>
      </w:r>
      <w:r>
        <w:rPr>
          <w:rFonts w:hint="eastAsia"/>
        </w:rPr>
        <w:t>脑干与脑神经根标本或模型。</w:t>
      </w:r>
    </w:p>
    <w:p w:rsidR="003717A0" w:rsidRDefault="003717A0">
      <w:pPr>
        <w:numPr>
          <w:ilvl w:val="0"/>
          <w:numId w:val="144"/>
        </w:numPr>
        <w:adjustRightInd w:val="0"/>
        <w:snapToGrid w:val="0"/>
        <w:spacing w:line="360" w:lineRule="auto"/>
        <w:ind w:right="6"/>
        <w:rPr>
          <w:b/>
          <w:szCs w:val="21"/>
        </w:rPr>
      </w:pPr>
      <w:r>
        <w:rPr>
          <w:rFonts w:hint="eastAsia"/>
          <w:szCs w:val="21"/>
        </w:rPr>
        <w:t>观察</w:t>
      </w:r>
      <w:r>
        <w:rPr>
          <w:rFonts w:hint="eastAsia"/>
        </w:rPr>
        <w:t>动眼神经及睫状神经节标本或模型</w:t>
      </w:r>
      <w:r>
        <w:rPr>
          <w:rFonts w:hint="eastAsia"/>
          <w:b/>
          <w:szCs w:val="21"/>
        </w:rPr>
        <w:t>。</w:t>
      </w:r>
    </w:p>
    <w:p w:rsidR="003717A0" w:rsidRDefault="003717A0">
      <w:pPr>
        <w:numPr>
          <w:ilvl w:val="0"/>
          <w:numId w:val="144"/>
        </w:numPr>
        <w:adjustRightInd w:val="0"/>
        <w:snapToGrid w:val="0"/>
        <w:spacing w:line="360" w:lineRule="auto"/>
        <w:ind w:right="6"/>
        <w:rPr>
          <w:b/>
          <w:szCs w:val="21"/>
        </w:rPr>
      </w:pPr>
      <w:r>
        <w:rPr>
          <w:rFonts w:hint="eastAsia"/>
          <w:szCs w:val="21"/>
        </w:rPr>
        <w:t>观察</w:t>
      </w:r>
      <w:r>
        <w:rPr>
          <w:rFonts w:hint="eastAsia"/>
        </w:rPr>
        <w:t>舌咽神经标本</w:t>
      </w:r>
      <w:r>
        <w:rPr>
          <w:rFonts w:hint="eastAsia"/>
          <w:b/>
          <w:szCs w:val="21"/>
        </w:rPr>
        <w:t>。</w:t>
      </w:r>
    </w:p>
    <w:p w:rsidR="003717A0" w:rsidRDefault="003717A0">
      <w:pPr>
        <w:numPr>
          <w:ilvl w:val="0"/>
          <w:numId w:val="144"/>
        </w:numPr>
        <w:adjustRightInd w:val="0"/>
        <w:snapToGrid w:val="0"/>
        <w:spacing w:line="360" w:lineRule="auto"/>
        <w:ind w:right="6"/>
        <w:rPr>
          <w:b/>
          <w:szCs w:val="21"/>
        </w:rPr>
      </w:pPr>
      <w:r>
        <w:rPr>
          <w:rFonts w:hint="eastAsia"/>
          <w:szCs w:val="21"/>
        </w:rPr>
        <w:t>观察</w:t>
      </w:r>
      <w:r>
        <w:rPr>
          <w:rFonts w:hint="eastAsia"/>
        </w:rPr>
        <w:t>迷走神经标本</w:t>
      </w:r>
      <w:r>
        <w:rPr>
          <w:rFonts w:hint="eastAsia"/>
          <w:b/>
          <w:szCs w:val="21"/>
        </w:rPr>
        <w:t>。</w:t>
      </w:r>
    </w:p>
    <w:p w:rsidR="003717A0" w:rsidRDefault="003717A0">
      <w:pPr>
        <w:numPr>
          <w:ilvl w:val="0"/>
          <w:numId w:val="144"/>
        </w:numPr>
        <w:adjustRightInd w:val="0"/>
        <w:snapToGrid w:val="0"/>
        <w:spacing w:line="360" w:lineRule="auto"/>
        <w:ind w:right="6"/>
        <w:rPr>
          <w:b/>
          <w:szCs w:val="21"/>
        </w:rPr>
      </w:pPr>
      <w:r>
        <w:rPr>
          <w:rFonts w:hint="eastAsia"/>
        </w:rPr>
        <w:t>观察面神经及其分支标本或模型。</w:t>
      </w:r>
    </w:p>
    <w:p w:rsidR="003717A0" w:rsidRDefault="003717A0">
      <w:pPr>
        <w:numPr>
          <w:ilvl w:val="0"/>
          <w:numId w:val="144"/>
        </w:numPr>
        <w:adjustRightInd w:val="0"/>
        <w:snapToGrid w:val="0"/>
        <w:spacing w:line="360" w:lineRule="auto"/>
        <w:ind w:right="6"/>
        <w:rPr>
          <w:b/>
          <w:szCs w:val="21"/>
        </w:rPr>
      </w:pPr>
      <w:r>
        <w:rPr>
          <w:rFonts w:hint="eastAsia"/>
          <w:szCs w:val="21"/>
        </w:rPr>
        <w:t>观察交感神经、</w:t>
      </w:r>
      <w:r>
        <w:rPr>
          <w:rFonts w:hint="eastAsia"/>
        </w:rPr>
        <w:t>交感干及其分支标本或模型。</w:t>
      </w:r>
    </w:p>
    <w:p w:rsidR="003717A0" w:rsidRDefault="003717A0">
      <w:pPr>
        <w:numPr>
          <w:ilvl w:val="0"/>
          <w:numId w:val="144"/>
        </w:numPr>
        <w:adjustRightInd w:val="0"/>
        <w:snapToGrid w:val="0"/>
        <w:spacing w:line="360" w:lineRule="auto"/>
        <w:ind w:right="6"/>
        <w:rPr>
          <w:szCs w:val="21"/>
        </w:rPr>
      </w:pPr>
      <w:r>
        <w:rPr>
          <w:rFonts w:hint="eastAsia"/>
          <w:szCs w:val="21"/>
        </w:rPr>
        <w:t>观察副交感神经组成及分布标本或模型。</w:t>
      </w:r>
    </w:p>
    <w:p w:rsidR="003717A0" w:rsidRDefault="003717A0">
      <w:pPr>
        <w:numPr>
          <w:ilvl w:val="0"/>
          <w:numId w:val="144"/>
        </w:numPr>
        <w:adjustRightInd w:val="0"/>
        <w:snapToGrid w:val="0"/>
        <w:spacing w:line="360" w:lineRule="auto"/>
        <w:ind w:right="6"/>
        <w:rPr>
          <w:b/>
          <w:szCs w:val="21"/>
        </w:rPr>
      </w:pPr>
      <w:r>
        <w:rPr>
          <w:rFonts w:hint="eastAsia"/>
          <w:szCs w:val="21"/>
        </w:rPr>
        <w:t>观察</w:t>
      </w:r>
      <w:r>
        <w:rPr>
          <w:rFonts w:hint="eastAsia"/>
        </w:rPr>
        <w:t>内脏神经丛及其分支标本或模型。</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45"/>
        </w:numPr>
      </w:pPr>
      <w:r>
        <w:rPr>
          <w:rFonts w:hint="eastAsia"/>
        </w:rPr>
        <w:t>掌握脊神经的组成、分部、纤维成份和分支概况。</w:t>
      </w:r>
    </w:p>
    <w:p w:rsidR="003717A0" w:rsidRDefault="003717A0">
      <w:pPr>
        <w:numPr>
          <w:ilvl w:val="0"/>
          <w:numId w:val="145"/>
        </w:numPr>
      </w:pPr>
      <w:r>
        <w:rPr>
          <w:rFonts w:hint="eastAsia"/>
        </w:rPr>
        <w:t>了解颈丛的组成，熟悉颈丛位置和浅出的部位，掌握膈神经的行程和分布。</w:t>
      </w:r>
    </w:p>
    <w:p w:rsidR="003717A0" w:rsidRDefault="003717A0">
      <w:pPr>
        <w:numPr>
          <w:ilvl w:val="0"/>
          <w:numId w:val="145"/>
        </w:numPr>
      </w:pPr>
      <w:r>
        <w:rPr>
          <w:rFonts w:hint="eastAsia"/>
        </w:rPr>
        <w:t>掌握臂丛的组成和位置，掌握肌皮神经、正中神经、尺神经、桡神经和腋神经的起始、行程和分布，了解臂丛的其他分支。</w:t>
      </w:r>
    </w:p>
    <w:p w:rsidR="003717A0" w:rsidRDefault="003717A0">
      <w:pPr>
        <w:numPr>
          <w:ilvl w:val="0"/>
          <w:numId w:val="145"/>
        </w:numPr>
      </w:pPr>
      <w:r>
        <w:rPr>
          <w:rFonts w:hint="eastAsia"/>
        </w:rPr>
        <w:t>掌握胸神经前支（肋间神经、肋下神经）在胸、腹壁的行程和分布规律。</w:t>
      </w:r>
    </w:p>
    <w:p w:rsidR="003717A0" w:rsidRDefault="003717A0">
      <w:pPr>
        <w:numPr>
          <w:ilvl w:val="0"/>
          <w:numId w:val="145"/>
        </w:numPr>
      </w:pPr>
      <w:r>
        <w:rPr>
          <w:rFonts w:hint="eastAsia"/>
        </w:rPr>
        <w:t>熟悉腰丛组成和位置，了解髂腹下与髂腹股沟神经的行程和分布，掌握股神经的行程和分布，熟悉闭孔神经的行程和分布。</w:t>
      </w:r>
    </w:p>
    <w:p w:rsidR="003717A0" w:rsidRDefault="003717A0">
      <w:pPr>
        <w:numPr>
          <w:ilvl w:val="0"/>
          <w:numId w:val="145"/>
        </w:numPr>
      </w:pPr>
      <w:r>
        <w:rPr>
          <w:rFonts w:hint="eastAsia"/>
        </w:rPr>
        <w:t>熟悉骶丛的组成和位置，了解臀上神经、臀下神经的位置和分布，了解阴部神经的行程和分布及其分支阴茎背神经、肛神经的行程和分布，掌握坐骨神经出骨盆的部位、行程和分布，掌握胫神经、腓总神经及其分支的行程和分布。</w:t>
      </w:r>
    </w:p>
    <w:p w:rsidR="003717A0" w:rsidRDefault="003717A0">
      <w:pPr>
        <w:numPr>
          <w:ilvl w:val="0"/>
          <w:numId w:val="145"/>
        </w:numPr>
      </w:pPr>
      <w:r>
        <w:rPr>
          <w:rFonts w:hint="eastAsia"/>
        </w:rPr>
        <w:t>掌握</w:t>
      </w:r>
      <w:r>
        <w:t>12</w:t>
      </w:r>
      <w:r>
        <w:rPr>
          <w:rFonts w:hint="eastAsia"/>
        </w:rPr>
        <w:t>对脑神经的名称、纤维成分和分类。</w:t>
      </w:r>
    </w:p>
    <w:p w:rsidR="003717A0" w:rsidRDefault="003717A0">
      <w:pPr>
        <w:numPr>
          <w:ilvl w:val="0"/>
          <w:numId w:val="145"/>
        </w:numPr>
      </w:pPr>
      <w:r>
        <w:rPr>
          <w:rFonts w:hint="eastAsia"/>
        </w:rPr>
        <w:t>了解嗅神经的起始、行程和功能。</w:t>
      </w:r>
    </w:p>
    <w:p w:rsidR="003717A0" w:rsidRDefault="003717A0">
      <w:pPr>
        <w:numPr>
          <w:ilvl w:val="0"/>
          <w:numId w:val="145"/>
        </w:numPr>
      </w:pPr>
      <w:r>
        <w:rPr>
          <w:rFonts w:hint="eastAsia"/>
        </w:rPr>
        <w:lastRenderedPageBreak/>
        <w:t>熟悉视神经的起始、连脑部位和功能。</w:t>
      </w:r>
    </w:p>
    <w:p w:rsidR="003717A0" w:rsidRDefault="003717A0">
      <w:pPr>
        <w:numPr>
          <w:ilvl w:val="0"/>
          <w:numId w:val="145"/>
        </w:numPr>
      </w:pPr>
      <w:r>
        <w:rPr>
          <w:rFonts w:hint="eastAsia"/>
        </w:rPr>
        <w:t>掌握动眼神经的纤维成分及其起始，熟悉各种纤维的分布及其功能。</w:t>
      </w:r>
    </w:p>
    <w:p w:rsidR="003717A0" w:rsidRDefault="003717A0">
      <w:pPr>
        <w:numPr>
          <w:ilvl w:val="0"/>
          <w:numId w:val="145"/>
        </w:numPr>
      </w:pPr>
      <w:r>
        <w:rPr>
          <w:rFonts w:hint="eastAsia"/>
        </w:rPr>
        <w:t>熟悉滑车神经的连脑部位、行程和分布。</w:t>
      </w:r>
    </w:p>
    <w:p w:rsidR="003717A0" w:rsidRDefault="003717A0">
      <w:pPr>
        <w:numPr>
          <w:ilvl w:val="0"/>
          <w:numId w:val="145"/>
        </w:numPr>
      </w:pPr>
      <w:r>
        <w:rPr>
          <w:rFonts w:hint="eastAsia"/>
        </w:rPr>
        <w:t>掌握三叉神经的连脑部位、纤维成分及三叉神经节的位置，熟悉眼神经的分布、眶上神经的行程及分布，了解上颌神经的行程和分布范围，掌握下颌神经的纤维成份及其分布，下牙槽神经的行程和分布。</w:t>
      </w:r>
    </w:p>
    <w:p w:rsidR="003717A0" w:rsidRDefault="003717A0">
      <w:pPr>
        <w:numPr>
          <w:ilvl w:val="0"/>
          <w:numId w:val="145"/>
        </w:numPr>
      </w:pPr>
      <w:r>
        <w:rPr>
          <w:rFonts w:hint="eastAsia"/>
        </w:rPr>
        <w:t>熟悉展神经的连脑部位、行程和分布。</w:t>
      </w:r>
    </w:p>
    <w:p w:rsidR="003717A0" w:rsidRDefault="003717A0">
      <w:pPr>
        <w:numPr>
          <w:ilvl w:val="0"/>
          <w:numId w:val="145"/>
        </w:numPr>
      </w:pPr>
      <w:r>
        <w:rPr>
          <w:rFonts w:hint="eastAsia"/>
        </w:rPr>
        <w:t>掌握面神经的纤维成分，熟悉面神经特殊内脏感觉和特殊内脏运动及一般内脏运动纤维的分布。</w:t>
      </w:r>
    </w:p>
    <w:p w:rsidR="003717A0" w:rsidRDefault="003717A0">
      <w:pPr>
        <w:numPr>
          <w:ilvl w:val="0"/>
          <w:numId w:val="145"/>
        </w:numPr>
      </w:pPr>
      <w:r>
        <w:rPr>
          <w:rFonts w:hint="eastAsia"/>
        </w:rPr>
        <w:t>熟悉前庭蜗神经的行程、分布和功能。</w:t>
      </w:r>
    </w:p>
    <w:p w:rsidR="003717A0" w:rsidRDefault="003717A0">
      <w:pPr>
        <w:numPr>
          <w:ilvl w:val="0"/>
          <w:numId w:val="145"/>
        </w:numPr>
      </w:pPr>
      <w:r>
        <w:rPr>
          <w:rFonts w:hint="eastAsia"/>
        </w:rPr>
        <w:t>熟悉舌咽神经的纤维成分、行程和分布。</w:t>
      </w:r>
    </w:p>
    <w:p w:rsidR="003717A0" w:rsidRDefault="003717A0">
      <w:pPr>
        <w:numPr>
          <w:ilvl w:val="0"/>
          <w:numId w:val="145"/>
        </w:numPr>
      </w:pPr>
      <w:r>
        <w:rPr>
          <w:rFonts w:hint="eastAsia"/>
        </w:rPr>
        <w:t>熟悉迷走神经的纤维成分、行程和分布范围。掌握喉上神经、喉返神经行程和分布。熟悉颈心支及迷走神经前干和后干的分支和分布。</w:t>
      </w:r>
    </w:p>
    <w:p w:rsidR="003717A0" w:rsidRDefault="003717A0">
      <w:pPr>
        <w:numPr>
          <w:ilvl w:val="0"/>
          <w:numId w:val="145"/>
        </w:numPr>
      </w:pPr>
      <w:r>
        <w:rPr>
          <w:rFonts w:hint="eastAsia"/>
        </w:rPr>
        <w:t>掌握副神经、舌下神经的起始、行程和分布。</w:t>
      </w:r>
    </w:p>
    <w:p w:rsidR="003717A0" w:rsidRDefault="003717A0">
      <w:pPr>
        <w:numPr>
          <w:ilvl w:val="0"/>
          <w:numId w:val="145"/>
        </w:numPr>
      </w:pPr>
      <w:r>
        <w:rPr>
          <w:rFonts w:hint="eastAsia"/>
        </w:rPr>
        <w:t>熟悉内脏神经的概念和区分、内脏运动神经的分类，熟悉节前纤维和节后纤维的概念。</w:t>
      </w:r>
    </w:p>
    <w:p w:rsidR="003717A0" w:rsidRDefault="003717A0">
      <w:pPr>
        <w:numPr>
          <w:ilvl w:val="0"/>
          <w:numId w:val="145"/>
        </w:numPr>
      </w:pPr>
      <w:r>
        <w:rPr>
          <w:rFonts w:hint="eastAsia"/>
        </w:rPr>
        <w:t>掌握交感神经中枢的部位，熟悉交感神经周围部的组成。</w:t>
      </w:r>
    </w:p>
    <w:p w:rsidR="003717A0" w:rsidRDefault="003717A0">
      <w:pPr>
        <w:numPr>
          <w:ilvl w:val="0"/>
          <w:numId w:val="145"/>
        </w:numPr>
      </w:pPr>
      <w:r>
        <w:rPr>
          <w:rFonts w:hint="eastAsia"/>
        </w:rPr>
        <w:t>掌握交感神经椎旁神经节的位置、交感干的组成和分部，熟悉主要的椎前神经节的名称和位置及交通支的概念。</w:t>
      </w:r>
    </w:p>
    <w:p w:rsidR="003717A0" w:rsidRDefault="003717A0">
      <w:pPr>
        <w:numPr>
          <w:ilvl w:val="0"/>
          <w:numId w:val="145"/>
        </w:numPr>
      </w:pPr>
      <w:r>
        <w:rPr>
          <w:rFonts w:hint="eastAsia"/>
        </w:rPr>
        <w:t>熟悉交感神经节前纤维和节后纤维的去向，熟悉脊髓侧柱各部发出的节前纤维交换神经元后，其节后纤维的分布规律。</w:t>
      </w:r>
    </w:p>
    <w:p w:rsidR="003717A0" w:rsidRDefault="003717A0">
      <w:pPr>
        <w:numPr>
          <w:ilvl w:val="0"/>
          <w:numId w:val="145"/>
        </w:numPr>
      </w:pPr>
      <w:r>
        <w:rPr>
          <w:rFonts w:hint="eastAsia"/>
        </w:rPr>
        <w:t>掌握副交感神经的中枢部位，了解器官旁节和器官内节的概念。</w:t>
      </w:r>
    </w:p>
    <w:p w:rsidR="003717A0" w:rsidRDefault="003717A0">
      <w:pPr>
        <w:numPr>
          <w:ilvl w:val="0"/>
          <w:numId w:val="145"/>
        </w:numPr>
      </w:pPr>
      <w:r>
        <w:rPr>
          <w:rFonts w:hint="eastAsia"/>
        </w:rPr>
        <w:t>掌握颅部副交感神经节前纤维的行程和节后纤维的分布概况。</w:t>
      </w:r>
    </w:p>
    <w:p w:rsidR="003717A0" w:rsidRDefault="003717A0">
      <w:pPr>
        <w:numPr>
          <w:ilvl w:val="0"/>
          <w:numId w:val="145"/>
        </w:numPr>
      </w:pPr>
      <w:r>
        <w:rPr>
          <w:rFonts w:hint="eastAsia"/>
        </w:rPr>
        <w:t>掌握骶部副交感神经的行程和分布。</w:t>
      </w:r>
    </w:p>
    <w:p w:rsidR="003717A0" w:rsidRDefault="003717A0">
      <w:pPr>
        <w:numPr>
          <w:ilvl w:val="0"/>
          <w:numId w:val="145"/>
        </w:numPr>
      </w:pPr>
      <w:r>
        <w:rPr>
          <w:rFonts w:hint="eastAsia"/>
        </w:rPr>
        <w:t>了解交感神经和副交感神经的主要区别。</w:t>
      </w:r>
    </w:p>
    <w:p w:rsidR="003717A0" w:rsidRDefault="003717A0">
      <w:pPr>
        <w:numPr>
          <w:ilvl w:val="0"/>
          <w:numId w:val="145"/>
        </w:numPr>
      </w:pPr>
      <w:r>
        <w:rPr>
          <w:rFonts w:hint="eastAsia"/>
        </w:rPr>
        <w:t>了解内脏感觉神经的概念、分布概况和传入途径及其生理特点。</w:t>
      </w:r>
    </w:p>
    <w:p w:rsidR="003717A0" w:rsidRDefault="003717A0">
      <w:pPr>
        <w:jc w:val="center"/>
        <w:rPr>
          <w:szCs w:val="21"/>
        </w:rPr>
      </w:pPr>
      <w:r>
        <w:rPr>
          <w:rFonts w:hint="eastAsia"/>
        </w:rPr>
        <w:t>第</w:t>
      </w:r>
      <w:r>
        <w:t>19</w:t>
      </w:r>
      <w:r>
        <w:rPr>
          <w:rFonts w:hint="eastAsia"/>
        </w:rPr>
        <w:t>章</w:t>
      </w:r>
      <w:r>
        <w:t xml:space="preserve"> </w:t>
      </w:r>
      <w:r>
        <w:rPr>
          <w:rFonts w:hint="eastAsia"/>
          <w:szCs w:val="21"/>
        </w:rPr>
        <w:t>内分泌系统</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0.5</w:t>
      </w:r>
      <w:r>
        <w:rPr>
          <w:rFonts w:ascii="Times New Roman" w:hint="eastAsia"/>
          <w:b/>
        </w:rPr>
        <w:t>学时）</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内分泌系统的组成及功能。</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甲状腺。</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甲状旁腺。</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肾上腺。</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垂体。</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松果体。</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胰岛。</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胸腺。</w:t>
      </w:r>
    </w:p>
    <w:p w:rsidR="003717A0" w:rsidRDefault="003717A0">
      <w:pPr>
        <w:numPr>
          <w:ilvl w:val="0"/>
          <w:numId w:val="146"/>
        </w:numPr>
        <w:adjustRightInd w:val="0"/>
        <w:snapToGrid w:val="0"/>
        <w:spacing w:line="360" w:lineRule="auto"/>
        <w:ind w:right="6"/>
        <w:rPr>
          <w:rFonts w:ascii="Times New Roman"/>
        </w:rPr>
      </w:pPr>
      <w:r>
        <w:rPr>
          <w:rFonts w:ascii="Times New Roman" w:hint="eastAsia"/>
        </w:rPr>
        <w:t>生殖腺。</w:t>
      </w:r>
    </w:p>
    <w:p w:rsidR="003717A0" w:rsidRDefault="003717A0">
      <w:pPr>
        <w:adjustRightInd w:val="0"/>
        <w:snapToGrid w:val="0"/>
        <w:spacing w:line="360" w:lineRule="auto"/>
        <w:ind w:right="6"/>
        <w:rPr>
          <w:b/>
          <w:szCs w:val="21"/>
        </w:rPr>
      </w:pPr>
      <w:r>
        <w:rPr>
          <w:rFonts w:hint="eastAsia"/>
          <w:b/>
          <w:szCs w:val="21"/>
        </w:rPr>
        <w:t>实习内容（</w:t>
      </w:r>
      <w:r>
        <w:rPr>
          <w:b/>
          <w:szCs w:val="21"/>
        </w:rPr>
        <w:t>0.5</w:t>
      </w:r>
      <w:r>
        <w:rPr>
          <w:rFonts w:hint="eastAsia"/>
          <w:b/>
          <w:szCs w:val="21"/>
        </w:rPr>
        <w:t>学时）</w:t>
      </w:r>
    </w:p>
    <w:p w:rsidR="003717A0" w:rsidRDefault="003717A0">
      <w:pPr>
        <w:numPr>
          <w:ilvl w:val="0"/>
          <w:numId w:val="147"/>
        </w:numPr>
        <w:adjustRightInd w:val="0"/>
        <w:snapToGrid w:val="0"/>
        <w:spacing w:line="360" w:lineRule="auto"/>
        <w:ind w:right="6"/>
      </w:pPr>
      <w:r>
        <w:rPr>
          <w:rFonts w:hint="eastAsia"/>
          <w:szCs w:val="21"/>
        </w:rPr>
        <w:t>观察</w:t>
      </w:r>
      <w:r>
        <w:rPr>
          <w:rFonts w:hint="eastAsia"/>
        </w:rPr>
        <w:t>脑的正中矢状切面或模型。</w:t>
      </w:r>
    </w:p>
    <w:p w:rsidR="003717A0" w:rsidRDefault="003717A0">
      <w:pPr>
        <w:numPr>
          <w:ilvl w:val="0"/>
          <w:numId w:val="147"/>
        </w:numPr>
        <w:adjustRightInd w:val="0"/>
        <w:snapToGrid w:val="0"/>
        <w:spacing w:line="360" w:lineRule="auto"/>
        <w:ind w:right="6"/>
        <w:rPr>
          <w:b/>
          <w:szCs w:val="21"/>
        </w:rPr>
      </w:pPr>
      <w:r>
        <w:rPr>
          <w:rFonts w:hint="eastAsia"/>
        </w:rPr>
        <w:t>观察垂体标本。</w:t>
      </w:r>
    </w:p>
    <w:p w:rsidR="003717A0" w:rsidRDefault="003717A0">
      <w:pPr>
        <w:numPr>
          <w:ilvl w:val="0"/>
          <w:numId w:val="147"/>
        </w:numPr>
        <w:adjustRightInd w:val="0"/>
        <w:snapToGrid w:val="0"/>
        <w:spacing w:line="360" w:lineRule="auto"/>
        <w:ind w:right="6"/>
        <w:rPr>
          <w:b/>
          <w:szCs w:val="21"/>
        </w:rPr>
      </w:pPr>
      <w:r>
        <w:rPr>
          <w:rFonts w:hint="eastAsia"/>
          <w:szCs w:val="21"/>
        </w:rPr>
        <w:t>观察</w:t>
      </w:r>
      <w:r>
        <w:rPr>
          <w:rFonts w:hint="eastAsia"/>
        </w:rPr>
        <w:t>颈部的解剖标本或模型。</w:t>
      </w:r>
    </w:p>
    <w:p w:rsidR="003717A0" w:rsidRDefault="003717A0">
      <w:pPr>
        <w:numPr>
          <w:ilvl w:val="0"/>
          <w:numId w:val="147"/>
        </w:numPr>
        <w:adjustRightInd w:val="0"/>
        <w:snapToGrid w:val="0"/>
        <w:spacing w:line="360" w:lineRule="auto"/>
        <w:ind w:right="6"/>
        <w:rPr>
          <w:b/>
          <w:szCs w:val="21"/>
        </w:rPr>
      </w:pPr>
      <w:r>
        <w:rPr>
          <w:rFonts w:hint="eastAsia"/>
          <w:szCs w:val="21"/>
        </w:rPr>
        <w:t>观察</w:t>
      </w:r>
      <w:r>
        <w:rPr>
          <w:rFonts w:hint="eastAsia"/>
        </w:rPr>
        <w:t>甲状腺及甲状旁腺、喉及气管标本或模型。</w:t>
      </w:r>
    </w:p>
    <w:p w:rsidR="003717A0" w:rsidRDefault="003717A0">
      <w:pPr>
        <w:numPr>
          <w:ilvl w:val="0"/>
          <w:numId w:val="147"/>
        </w:numPr>
        <w:adjustRightInd w:val="0"/>
        <w:snapToGrid w:val="0"/>
        <w:spacing w:line="360" w:lineRule="auto"/>
        <w:ind w:right="6"/>
        <w:rPr>
          <w:b/>
          <w:szCs w:val="21"/>
        </w:rPr>
      </w:pPr>
      <w:r>
        <w:rPr>
          <w:rFonts w:hint="eastAsia"/>
          <w:szCs w:val="21"/>
        </w:rPr>
        <w:lastRenderedPageBreak/>
        <w:t>观察</w:t>
      </w:r>
      <w:r>
        <w:rPr>
          <w:rFonts w:hint="eastAsia"/>
        </w:rPr>
        <w:t>肾上腺标本或模型。</w:t>
      </w:r>
    </w:p>
    <w:p w:rsidR="003717A0" w:rsidRDefault="003717A0">
      <w:pPr>
        <w:numPr>
          <w:ilvl w:val="0"/>
          <w:numId w:val="147"/>
        </w:numPr>
        <w:adjustRightInd w:val="0"/>
        <w:snapToGrid w:val="0"/>
        <w:spacing w:line="360" w:lineRule="auto"/>
        <w:ind w:right="6"/>
        <w:rPr>
          <w:b/>
          <w:szCs w:val="21"/>
        </w:rPr>
      </w:pPr>
      <w:r>
        <w:rPr>
          <w:rFonts w:hint="eastAsia"/>
          <w:szCs w:val="21"/>
        </w:rPr>
        <w:t>观察</w:t>
      </w:r>
      <w:r>
        <w:rPr>
          <w:rFonts w:hint="eastAsia"/>
        </w:rPr>
        <w:t>胸腺标本</w:t>
      </w:r>
    </w:p>
    <w:p w:rsidR="003717A0" w:rsidRDefault="003717A0">
      <w:pPr>
        <w:adjustRightInd w:val="0"/>
        <w:snapToGrid w:val="0"/>
        <w:spacing w:line="360" w:lineRule="auto"/>
        <w:ind w:right="6"/>
        <w:rPr>
          <w:rFonts w:ascii="Times New Roman" w:hAnsi="Times New Roman"/>
          <w:b/>
        </w:rPr>
      </w:pPr>
      <w:r>
        <w:rPr>
          <w:rFonts w:ascii="Times New Roman" w:hint="eastAsia"/>
          <w:b/>
        </w:rPr>
        <w:t>目的要求</w:t>
      </w:r>
    </w:p>
    <w:p w:rsidR="003717A0" w:rsidRDefault="003717A0">
      <w:pPr>
        <w:numPr>
          <w:ilvl w:val="0"/>
          <w:numId w:val="148"/>
        </w:numPr>
      </w:pPr>
      <w:r>
        <w:rPr>
          <w:rFonts w:hint="eastAsia"/>
        </w:rPr>
        <w:t>了解内分泌系的组成、激素的概念，内分泌腺的一般结构和激素作用的特异性，以及靶细胞和靶器官的概念。</w:t>
      </w:r>
    </w:p>
    <w:p w:rsidR="003717A0" w:rsidRDefault="003717A0">
      <w:pPr>
        <w:numPr>
          <w:ilvl w:val="0"/>
          <w:numId w:val="148"/>
        </w:numPr>
        <w:jc w:val="left"/>
      </w:pPr>
      <w:r>
        <w:rPr>
          <w:rFonts w:hint="eastAsia"/>
        </w:rPr>
        <w:t>掌握甲状腺的形态、位置和分布，熟悉甲状腺分泌的激素及各种激素的作用。</w:t>
      </w:r>
    </w:p>
    <w:p w:rsidR="003717A0" w:rsidRDefault="003717A0">
      <w:pPr>
        <w:numPr>
          <w:ilvl w:val="0"/>
          <w:numId w:val="148"/>
        </w:numPr>
        <w:jc w:val="left"/>
      </w:pPr>
      <w:r>
        <w:rPr>
          <w:rFonts w:hint="eastAsia"/>
        </w:rPr>
        <w:t>熟悉甲状旁腺的形态、位置。了解甲状旁腺分泌的激素及其功能。</w:t>
      </w:r>
    </w:p>
    <w:p w:rsidR="003717A0" w:rsidRDefault="003717A0">
      <w:pPr>
        <w:numPr>
          <w:ilvl w:val="0"/>
          <w:numId w:val="148"/>
        </w:numPr>
        <w:jc w:val="left"/>
        <w:rPr>
          <w:b/>
        </w:rPr>
      </w:pPr>
      <w:r>
        <w:rPr>
          <w:rFonts w:hint="eastAsia"/>
        </w:rPr>
        <w:t>掌握肾上腺的位置和形态，熟悉肾上腺分泌的激素及其功能。</w:t>
      </w:r>
    </w:p>
    <w:p w:rsidR="003717A0" w:rsidRDefault="003717A0">
      <w:pPr>
        <w:numPr>
          <w:ilvl w:val="0"/>
          <w:numId w:val="148"/>
        </w:numPr>
      </w:pPr>
      <w:r>
        <w:rPr>
          <w:rFonts w:hint="eastAsia"/>
        </w:rPr>
        <w:t>了解垂体与下丘脑的关系，掌握垂体的位置、形态和分布，熟悉腺垂体分泌激素的种类，了解各种激素的功能，了解神经垂体贮存激素的来源及其功能。</w:t>
      </w:r>
    </w:p>
    <w:p w:rsidR="003717A0" w:rsidRDefault="003717A0">
      <w:pPr>
        <w:numPr>
          <w:ilvl w:val="0"/>
          <w:numId w:val="148"/>
        </w:numPr>
      </w:pPr>
      <w:r>
        <w:rPr>
          <w:rFonts w:hint="eastAsia"/>
        </w:rPr>
        <w:t>熟悉松果体的位置、形态和功能。</w:t>
      </w:r>
    </w:p>
    <w:p w:rsidR="003717A0" w:rsidRDefault="003717A0">
      <w:pPr>
        <w:numPr>
          <w:ilvl w:val="0"/>
          <w:numId w:val="148"/>
        </w:numPr>
        <w:jc w:val="left"/>
      </w:pPr>
      <w:r>
        <w:rPr>
          <w:rFonts w:hint="eastAsia"/>
        </w:rPr>
        <w:t>熟悉胰岛分泌的激素及功能。</w:t>
      </w:r>
    </w:p>
    <w:p w:rsidR="003717A0" w:rsidRDefault="003717A0">
      <w:pPr>
        <w:numPr>
          <w:ilvl w:val="0"/>
          <w:numId w:val="148"/>
        </w:numPr>
        <w:jc w:val="left"/>
      </w:pPr>
      <w:r>
        <w:rPr>
          <w:rFonts w:hint="eastAsia"/>
        </w:rPr>
        <w:t>熟悉胸腺的形态、位置和功能。</w:t>
      </w:r>
    </w:p>
    <w:p w:rsidR="003717A0" w:rsidRDefault="003717A0">
      <w:pPr>
        <w:numPr>
          <w:ilvl w:val="0"/>
          <w:numId w:val="148"/>
        </w:numPr>
        <w:jc w:val="left"/>
      </w:pPr>
      <w:r>
        <w:rPr>
          <w:rFonts w:hint="eastAsia"/>
        </w:rPr>
        <w:t>掌握生殖腺的组成、分泌的激素和功能。</w:t>
      </w:r>
    </w:p>
    <w:p w:rsidR="003717A0" w:rsidRDefault="003717A0">
      <w:pPr>
        <w:spacing w:line="420" w:lineRule="exact"/>
        <w:jc w:val="center"/>
        <w:rPr>
          <w:rFonts w:ascii="宋体"/>
          <w:b/>
          <w:bCs/>
          <w:sz w:val="28"/>
          <w:szCs w:val="28"/>
        </w:rPr>
      </w:pPr>
      <w:r>
        <w:rPr>
          <w:rFonts w:ascii="宋体" w:hAnsi="宋体" w:hint="eastAsia"/>
          <w:b/>
          <w:bCs/>
          <w:sz w:val="28"/>
          <w:szCs w:val="28"/>
        </w:rPr>
        <w:t>课程学时分配</w:t>
      </w:r>
    </w:p>
    <w:tbl>
      <w:tblPr>
        <w:tblW w:w="8621"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118"/>
        <w:gridCol w:w="1418"/>
        <w:gridCol w:w="1276"/>
        <w:gridCol w:w="1134"/>
        <w:gridCol w:w="1141"/>
      </w:tblGrid>
      <w:tr w:rsidR="003717A0">
        <w:tc>
          <w:tcPr>
            <w:tcW w:w="534" w:type="dxa"/>
            <w:vAlign w:val="center"/>
          </w:tcPr>
          <w:p w:rsidR="003717A0" w:rsidRDefault="003717A0">
            <w:pPr>
              <w:spacing w:line="420" w:lineRule="exact"/>
              <w:jc w:val="center"/>
              <w:rPr>
                <w:rFonts w:ascii="宋体"/>
              </w:rPr>
            </w:pPr>
            <w:r>
              <w:rPr>
                <w:rFonts w:ascii="宋体" w:hAnsi="宋体" w:hint="eastAsia"/>
              </w:rPr>
              <w:t>序号</w:t>
            </w:r>
          </w:p>
        </w:tc>
        <w:tc>
          <w:tcPr>
            <w:tcW w:w="3118" w:type="dxa"/>
            <w:vAlign w:val="center"/>
          </w:tcPr>
          <w:p w:rsidR="003717A0" w:rsidRDefault="003717A0">
            <w:pPr>
              <w:spacing w:line="420" w:lineRule="exact"/>
              <w:jc w:val="center"/>
              <w:rPr>
                <w:rFonts w:ascii="宋体"/>
              </w:rPr>
            </w:pPr>
            <w:r>
              <w:rPr>
                <w:rFonts w:ascii="宋体" w:hAnsi="宋体" w:hint="eastAsia"/>
              </w:rPr>
              <w:t>篇章内容</w:t>
            </w:r>
          </w:p>
        </w:tc>
        <w:tc>
          <w:tcPr>
            <w:tcW w:w="1418" w:type="dxa"/>
            <w:vAlign w:val="center"/>
          </w:tcPr>
          <w:p w:rsidR="003717A0" w:rsidRDefault="003717A0">
            <w:pPr>
              <w:spacing w:line="420" w:lineRule="exact"/>
              <w:jc w:val="center"/>
              <w:rPr>
                <w:rFonts w:ascii="宋体"/>
              </w:rPr>
            </w:pPr>
            <w:r>
              <w:rPr>
                <w:rFonts w:ascii="宋体" w:hAnsi="宋体" w:hint="eastAsia"/>
              </w:rPr>
              <w:t>总学时</w:t>
            </w:r>
          </w:p>
        </w:tc>
        <w:tc>
          <w:tcPr>
            <w:tcW w:w="1276" w:type="dxa"/>
            <w:vAlign w:val="center"/>
          </w:tcPr>
          <w:p w:rsidR="003717A0" w:rsidRDefault="003717A0">
            <w:pPr>
              <w:spacing w:line="420" w:lineRule="exact"/>
              <w:jc w:val="center"/>
              <w:rPr>
                <w:rFonts w:ascii="宋体"/>
              </w:rPr>
            </w:pPr>
            <w:r>
              <w:rPr>
                <w:rFonts w:ascii="宋体" w:hAnsi="宋体" w:hint="eastAsia"/>
              </w:rPr>
              <w:t>理论学时</w:t>
            </w:r>
          </w:p>
        </w:tc>
        <w:tc>
          <w:tcPr>
            <w:tcW w:w="1134" w:type="dxa"/>
            <w:vAlign w:val="center"/>
          </w:tcPr>
          <w:p w:rsidR="003717A0" w:rsidRDefault="003717A0">
            <w:pPr>
              <w:spacing w:line="420" w:lineRule="exact"/>
              <w:jc w:val="center"/>
              <w:rPr>
                <w:rFonts w:ascii="宋体"/>
              </w:rPr>
            </w:pPr>
            <w:r>
              <w:rPr>
                <w:rFonts w:ascii="宋体" w:hAnsi="宋体" w:hint="eastAsia"/>
              </w:rPr>
              <w:t>实验学时</w:t>
            </w:r>
          </w:p>
        </w:tc>
        <w:tc>
          <w:tcPr>
            <w:tcW w:w="1141" w:type="dxa"/>
            <w:vAlign w:val="center"/>
          </w:tcPr>
          <w:p w:rsidR="003717A0" w:rsidRDefault="003717A0">
            <w:pPr>
              <w:spacing w:line="420" w:lineRule="exact"/>
              <w:jc w:val="center"/>
              <w:rPr>
                <w:rFonts w:ascii="宋体"/>
              </w:rPr>
            </w:pPr>
            <w:r>
              <w:rPr>
                <w:rFonts w:ascii="宋体" w:hAnsi="宋体" w:hint="eastAsia"/>
              </w:rPr>
              <w:t>备</w:t>
            </w:r>
            <w:r>
              <w:rPr>
                <w:rFonts w:ascii="宋体" w:hAnsi="宋体"/>
              </w:rPr>
              <w:t xml:space="preserve">  </w:t>
            </w:r>
            <w:r>
              <w:rPr>
                <w:rFonts w:ascii="宋体" w:hAnsi="宋体" w:hint="eastAsia"/>
              </w:rPr>
              <w:t>注</w:t>
            </w:r>
          </w:p>
        </w:tc>
      </w:tr>
      <w:tr w:rsidR="003717A0">
        <w:tc>
          <w:tcPr>
            <w:tcW w:w="534" w:type="dxa"/>
            <w:vAlign w:val="center"/>
          </w:tcPr>
          <w:p w:rsidR="003717A0" w:rsidRDefault="003717A0">
            <w:pPr>
              <w:spacing w:line="420" w:lineRule="exact"/>
              <w:jc w:val="center"/>
              <w:rPr>
                <w:rFonts w:ascii="宋体"/>
                <w:bCs/>
              </w:rPr>
            </w:pPr>
            <w:r>
              <w:rPr>
                <w:rFonts w:ascii="宋体" w:hAnsi="宋体"/>
                <w:bCs/>
              </w:rPr>
              <w:t>1</w:t>
            </w:r>
          </w:p>
        </w:tc>
        <w:tc>
          <w:tcPr>
            <w:tcW w:w="3118" w:type="dxa"/>
            <w:vAlign w:val="center"/>
          </w:tcPr>
          <w:p w:rsidR="003717A0" w:rsidRDefault="003717A0">
            <w:pPr>
              <w:spacing w:line="420" w:lineRule="exact"/>
              <w:jc w:val="left"/>
              <w:rPr>
                <w:rFonts w:ascii="宋体"/>
                <w:b/>
                <w:bCs/>
                <w:snapToGrid w:val="0"/>
                <w:kern w:val="0"/>
                <w:szCs w:val="21"/>
              </w:rPr>
            </w:pPr>
            <w:r>
              <w:rPr>
                <w:rFonts w:hint="eastAsia"/>
                <w:snapToGrid w:val="0"/>
                <w:kern w:val="0"/>
                <w:szCs w:val="21"/>
              </w:rPr>
              <w:t>绪论</w:t>
            </w:r>
          </w:p>
        </w:tc>
        <w:tc>
          <w:tcPr>
            <w:tcW w:w="1418" w:type="dxa"/>
            <w:vAlign w:val="center"/>
          </w:tcPr>
          <w:p w:rsidR="003717A0" w:rsidRDefault="003717A0">
            <w:pPr>
              <w:spacing w:line="420" w:lineRule="exact"/>
              <w:jc w:val="center"/>
              <w:rPr>
                <w:rFonts w:ascii="宋体"/>
                <w:szCs w:val="21"/>
              </w:rPr>
            </w:pPr>
            <w:r>
              <w:rPr>
                <w:rFonts w:ascii="宋体" w:hAnsi="宋体"/>
                <w:szCs w:val="21"/>
              </w:rPr>
              <w:t>1</w:t>
            </w:r>
          </w:p>
        </w:tc>
        <w:tc>
          <w:tcPr>
            <w:tcW w:w="1276" w:type="dxa"/>
            <w:vAlign w:val="center"/>
          </w:tcPr>
          <w:p w:rsidR="003717A0" w:rsidRDefault="003717A0">
            <w:pPr>
              <w:spacing w:line="420" w:lineRule="exact"/>
              <w:jc w:val="center"/>
              <w:rPr>
                <w:rFonts w:ascii="宋体"/>
                <w:bCs/>
                <w:szCs w:val="21"/>
              </w:rPr>
            </w:pPr>
            <w:r>
              <w:rPr>
                <w:rFonts w:ascii="宋体" w:hAnsi="宋体"/>
                <w:bCs/>
                <w:szCs w:val="21"/>
              </w:rPr>
              <w:t>1</w:t>
            </w:r>
          </w:p>
        </w:tc>
        <w:tc>
          <w:tcPr>
            <w:tcW w:w="1134" w:type="dxa"/>
            <w:vAlign w:val="center"/>
          </w:tcPr>
          <w:p w:rsidR="003717A0" w:rsidRDefault="003717A0">
            <w:pPr>
              <w:spacing w:line="420" w:lineRule="exact"/>
              <w:jc w:val="center"/>
              <w:rPr>
                <w:rFonts w:ascii="宋体"/>
                <w:bCs/>
                <w:szCs w:val="21"/>
              </w:rPr>
            </w:pPr>
          </w:p>
        </w:tc>
        <w:tc>
          <w:tcPr>
            <w:tcW w:w="1141" w:type="dxa"/>
          </w:tcPr>
          <w:p w:rsidR="003717A0" w:rsidRDefault="003717A0">
            <w:pPr>
              <w:spacing w:line="420" w:lineRule="exact"/>
              <w:jc w:val="center"/>
              <w:rPr>
                <w:rFonts w:ascii="宋体"/>
                <w:b/>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2</w:t>
            </w:r>
          </w:p>
        </w:tc>
        <w:tc>
          <w:tcPr>
            <w:tcW w:w="3118" w:type="dxa"/>
            <w:vAlign w:val="center"/>
          </w:tcPr>
          <w:p w:rsidR="003717A0" w:rsidRDefault="003717A0">
            <w:pPr>
              <w:spacing w:line="420" w:lineRule="exact"/>
              <w:rPr>
                <w:rFonts w:ascii="宋体"/>
                <w:b/>
                <w:bCs/>
              </w:rPr>
            </w:pPr>
            <w:r>
              <w:rPr>
                <w:rFonts w:hint="eastAsia"/>
                <w:snapToGrid w:val="0"/>
                <w:kern w:val="0"/>
                <w:szCs w:val="21"/>
              </w:rPr>
              <w:t>运动系统</w:t>
            </w:r>
          </w:p>
        </w:tc>
        <w:tc>
          <w:tcPr>
            <w:tcW w:w="1418" w:type="dxa"/>
            <w:vAlign w:val="center"/>
          </w:tcPr>
          <w:p w:rsidR="003717A0" w:rsidRDefault="003717A0">
            <w:pPr>
              <w:spacing w:line="420" w:lineRule="exact"/>
              <w:jc w:val="center"/>
              <w:rPr>
                <w:rFonts w:ascii="宋体"/>
                <w:bCs/>
                <w:szCs w:val="21"/>
              </w:rPr>
            </w:pPr>
            <w:r>
              <w:rPr>
                <w:rFonts w:ascii="宋体" w:hAnsi="宋体"/>
                <w:bCs/>
                <w:szCs w:val="21"/>
              </w:rPr>
              <w:t>25</w:t>
            </w:r>
          </w:p>
        </w:tc>
        <w:tc>
          <w:tcPr>
            <w:tcW w:w="1276" w:type="dxa"/>
            <w:vAlign w:val="center"/>
          </w:tcPr>
          <w:p w:rsidR="003717A0" w:rsidRDefault="003717A0">
            <w:pPr>
              <w:spacing w:line="420" w:lineRule="exact"/>
              <w:jc w:val="center"/>
              <w:rPr>
                <w:rFonts w:ascii="宋体"/>
                <w:bCs/>
                <w:szCs w:val="21"/>
              </w:rPr>
            </w:pPr>
            <w:r>
              <w:rPr>
                <w:rFonts w:ascii="宋体" w:hAnsi="宋体"/>
                <w:bCs/>
                <w:szCs w:val="21"/>
              </w:rPr>
              <w:t>1</w:t>
            </w:r>
          </w:p>
        </w:tc>
        <w:tc>
          <w:tcPr>
            <w:tcW w:w="1134" w:type="dxa"/>
            <w:vAlign w:val="center"/>
          </w:tcPr>
          <w:p w:rsidR="003717A0" w:rsidRDefault="003717A0">
            <w:pPr>
              <w:spacing w:line="420" w:lineRule="exact"/>
              <w:jc w:val="center"/>
              <w:rPr>
                <w:rFonts w:ascii="宋体"/>
                <w:bCs/>
                <w:szCs w:val="21"/>
              </w:rPr>
            </w:pPr>
            <w:r>
              <w:rPr>
                <w:rFonts w:ascii="宋体" w:hAnsi="宋体"/>
                <w:bCs/>
                <w:szCs w:val="21"/>
              </w:rPr>
              <w:t>24</w:t>
            </w:r>
          </w:p>
        </w:tc>
        <w:tc>
          <w:tcPr>
            <w:tcW w:w="1141" w:type="dxa"/>
          </w:tcPr>
          <w:p w:rsidR="003717A0" w:rsidRDefault="003717A0">
            <w:pPr>
              <w:spacing w:line="420" w:lineRule="exact"/>
              <w:jc w:val="center"/>
              <w:rPr>
                <w:rFonts w:ascii="宋体"/>
                <w:b/>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3</w:t>
            </w:r>
          </w:p>
        </w:tc>
        <w:tc>
          <w:tcPr>
            <w:tcW w:w="3118" w:type="dxa"/>
            <w:vAlign w:val="center"/>
          </w:tcPr>
          <w:p w:rsidR="003717A0" w:rsidRDefault="003717A0">
            <w:pPr>
              <w:spacing w:line="420" w:lineRule="exact"/>
              <w:rPr>
                <w:rFonts w:ascii="宋体"/>
                <w:b/>
                <w:bCs/>
              </w:rPr>
            </w:pPr>
            <w:r>
              <w:rPr>
                <w:rFonts w:hint="eastAsia"/>
                <w:snapToGrid w:val="0"/>
                <w:kern w:val="0"/>
                <w:szCs w:val="21"/>
              </w:rPr>
              <w:t>内脏学</w:t>
            </w:r>
          </w:p>
        </w:tc>
        <w:tc>
          <w:tcPr>
            <w:tcW w:w="1418" w:type="dxa"/>
            <w:vAlign w:val="center"/>
          </w:tcPr>
          <w:p w:rsidR="003717A0" w:rsidRDefault="003717A0">
            <w:pPr>
              <w:spacing w:line="420" w:lineRule="exact"/>
              <w:jc w:val="center"/>
              <w:rPr>
                <w:rFonts w:ascii="宋体"/>
                <w:bCs/>
                <w:szCs w:val="21"/>
              </w:rPr>
            </w:pPr>
            <w:r>
              <w:rPr>
                <w:rFonts w:ascii="宋体" w:hAnsi="宋体"/>
                <w:bCs/>
                <w:szCs w:val="21"/>
              </w:rPr>
              <w:t>21</w:t>
            </w:r>
          </w:p>
        </w:tc>
        <w:tc>
          <w:tcPr>
            <w:tcW w:w="1276" w:type="dxa"/>
            <w:vAlign w:val="center"/>
          </w:tcPr>
          <w:p w:rsidR="003717A0" w:rsidRDefault="003717A0">
            <w:pPr>
              <w:spacing w:line="420" w:lineRule="exact"/>
              <w:jc w:val="center"/>
              <w:rPr>
                <w:rFonts w:ascii="宋体"/>
                <w:bCs/>
                <w:szCs w:val="21"/>
              </w:rPr>
            </w:pPr>
            <w:r>
              <w:rPr>
                <w:rFonts w:ascii="宋体" w:hAnsi="宋体"/>
                <w:bCs/>
                <w:szCs w:val="21"/>
              </w:rPr>
              <w:t>13.5</w:t>
            </w:r>
          </w:p>
        </w:tc>
        <w:tc>
          <w:tcPr>
            <w:tcW w:w="1134" w:type="dxa"/>
            <w:vAlign w:val="center"/>
          </w:tcPr>
          <w:p w:rsidR="003717A0" w:rsidRDefault="003717A0">
            <w:pPr>
              <w:spacing w:line="420" w:lineRule="exact"/>
              <w:jc w:val="center"/>
              <w:rPr>
                <w:rFonts w:ascii="宋体"/>
                <w:bCs/>
                <w:szCs w:val="21"/>
              </w:rPr>
            </w:pPr>
            <w:r>
              <w:rPr>
                <w:rFonts w:ascii="宋体" w:hAnsi="宋体"/>
                <w:bCs/>
                <w:szCs w:val="21"/>
              </w:rPr>
              <w:t>7.5</w:t>
            </w:r>
          </w:p>
        </w:tc>
        <w:tc>
          <w:tcPr>
            <w:tcW w:w="1141" w:type="dxa"/>
          </w:tcPr>
          <w:p w:rsidR="003717A0" w:rsidRDefault="003717A0">
            <w:pPr>
              <w:spacing w:line="420" w:lineRule="exact"/>
              <w:jc w:val="center"/>
              <w:rPr>
                <w:rFonts w:ascii="宋体"/>
                <w:b/>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4</w:t>
            </w:r>
          </w:p>
        </w:tc>
        <w:tc>
          <w:tcPr>
            <w:tcW w:w="3118" w:type="dxa"/>
            <w:vAlign w:val="center"/>
          </w:tcPr>
          <w:p w:rsidR="003717A0" w:rsidRDefault="003717A0">
            <w:pPr>
              <w:spacing w:line="420" w:lineRule="exact"/>
              <w:rPr>
                <w:rFonts w:ascii="宋体"/>
                <w:b/>
                <w:bCs/>
              </w:rPr>
            </w:pPr>
            <w:r>
              <w:rPr>
                <w:rFonts w:hint="eastAsia"/>
              </w:rPr>
              <w:t>脉管系统</w:t>
            </w:r>
          </w:p>
        </w:tc>
        <w:tc>
          <w:tcPr>
            <w:tcW w:w="1418" w:type="dxa"/>
            <w:vAlign w:val="center"/>
          </w:tcPr>
          <w:p w:rsidR="003717A0" w:rsidRDefault="003717A0">
            <w:pPr>
              <w:spacing w:line="420" w:lineRule="exact"/>
              <w:jc w:val="center"/>
              <w:rPr>
                <w:rFonts w:ascii="宋体"/>
                <w:szCs w:val="21"/>
              </w:rPr>
            </w:pPr>
            <w:r>
              <w:rPr>
                <w:rFonts w:ascii="宋体" w:hAnsi="宋体"/>
                <w:szCs w:val="21"/>
              </w:rPr>
              <w:t>16</w:t>
            </w:r>
          </w:p>
        </w:tc>
        <w:tc>
          <w:tcPr>
            <w:tcW w:w="1276" w:type="dxa"/>
            <w:vAlign w:val="center"/>
          </w:tcPr>
          <w:p w:rsidR="003717A0" w:rsidRDefault="003717A0">
            <w:pPr>
              <w:spacing w:line="420" w:lineRule="exact"/>
              <w:jc w:val="center"/>
              <w:rPr>
                <w:rFonts w:ascii="宋体"/>
                <w:bCs/>
                <w:szCs w:val="21"/>
              </w:rPr>
            </w:pPr>
            <w:r>
              <w:rPr>
                <w:rFonts w:ascii="宋体" w:hAnsi="宋体"/>
                <w:bCs/>
                <w:szCs w:val="21"/>
              </w:rPr>
              <w:t>12</w:t>
            </w:r>
          </w:p>
        </w:tc>
        <w:tc>
          <w:tcPr>
            <w:tcW w:w="1134" w:type="dxa"/>
            <w:vAlign w:val="center"/>
          </w:tcPr>
          <w:p w:rsidR="003717A0" w:rsidRDefault="003717A0">
            <w:pPr>
              <w:spacing w:line="420" w:lineRule="exact"/>
              <w:jc w:val="center"/>
              <w:rPr>
                <w:rFonts w:ascii="宋体"/>
                <w:bCs/>
                <w:szCs w:val="21"/>
              </w:rPr>
            </w:pPr>
            <w:r>
              <w:rPr>
                <w:rFonts w:ascii="宋体" w:hAnsi="宋体"/>
                <w:bCs/>
                <w:szCs w:val="21"/>
              </w:rPr>
              <w:t>4</w:t>
            </w:r>
          </w:p>
        </w:tc>
        <w:tc>
          <w:tcPr>
            <w:tcW w:w="1141" w:type="dxa"/>
          </w:tcPr>
          <w:p w:rsidR="003717A0" w:rsidRDefault="003717A0">
            <w:pPr>
              <w:spacing w:line="420" w:lineRule="exact"/>
              <w:jc w:val="center"/>
              <w:rPr>
                <w:rFonts w:ascii="宋体"/>
                <w:b/>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5</w:t>
            </w:r>
          </w:p>
        </w:tc>
        <w:tc>
          <w:tcPr>
            <w:tcW w:w="3118" w:type="dxa"/>
            <w:vAlign w:val="center"/>
          </w:tcPr>
          <w:p w:rsidR="003717A0" w:rsidRDefault="003717A0">
            <w:pPr>
              <w:spacing w:line="420" w:lineRule="exact"/>
            </w:pPr>
            <w:r>
              <w:rPr>
                <w:rFonts w:hint="eastAsia"/>
              </w:rPr>
              <w:t>感觉器</w:t>
            </w:r>
          </w:p>
        </w:tc>
        <w:tc>
          <w:tcPr>
            <w:tcW w:w="1418" w:type="dxa"/>
            <w:vAlign w:val="center"/>
          </w:tcPr>
          <w:p w:rsidR="003717A0" w:rsidRDefault="003717A0">
            <w:pPr>
              <w:spacing w:line="420" w:lineRule="exact"/>
              <w:jc w:val="center"/>
              <w:rPr>
                <w:rFonts w:ascii="宋体"/>
                <w:szCs w:val="21"/>
              </w:rPr>
            </w:pPr>
            <w:r>
              <w:rPr>
                <w:rFonts w:ascii="宋体" w:hAnsi="宋体"/>
                <w:szCs w:val="21"/>
              </w:rPr>
              <w:t>8</w:t>
            </w:r>
          </w:p>
        </w:tc>
        <w:tc>
          <w:tcPr>
            <w:tcW w:w="1276" w:type="dxa"/>
            <w:vAlign w:val="center"/>
          </w:tcPr>
          <w:p w:rsidR="003717A0" w:rsidRDefault="003717A0">
            <w:pPr>
              <w:spacing w:line="420" w:lineRule="exact"/>
              <w:jc w:val="center"/>
              <w:rPr>
                <w:rFonts w:ascii="宋体"/>
                <w:bCs/>
                <w:szCs w:val="21"/>
              </w:rPr>
            </w:pPr>
            <w:r>
              <w:rPr>
                <w:rFonts w:ascii="宋体" w:hAnsi="宋体"/>
                <w:bCs/>
                <w:szCs w:val="21"/>
              </w:rPr>
              <w:t>4</w:t>
            </w:r>
          </w:p>
        </w:tc>
        <w:tc>
          <w:tcPr>
            <w:tcW w:w="1134" w:type="dxa"/>
            <w:vAlign w:val="center"/>
          </w:tcPr>
          <w:p w:rsidR="003717A0" w:rsidRDefault="003717A0">
            <w:pPr>
              <w:spacing w:line="420" w:lineRule="exact"/>
              <w:jc w:val="center"/>
              <w:rPr>
                <w:rFonts w:ascii="宋体"/>
                <w:bCs/>
                <w:szCs w:val="21"/>
              </w:rPr>
            </w:pPr>
            <w:r>
              <w:rPr>
                <w:rFonts w:ascii="宋体" w:hAnsi="宋体"/>
                <w:bCs/>
                <w:szCs w:val="21"/>
              </w:rPr>
              <w:t>4</w:t>
            </w:r>
          </w:p>
        </w:tc>
        <w:tc>
          <w:tcPr>
            <w:tcW w:w="1141" w:type="dxa"/>
          </w:tcPr>
          <w:p w:rsidR="003717A0" w:rsidRDefault="003717A0">
            <w:pPr>
              <w:spacing w:line="420" w:lineRule="exact"/>
              <w:jc w:val="center"/>
              <w:rPr>
                <w:rFonts w:ascii="宋体"/>
                <w:b/>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6</w:t>
            </w:r>
          </w:p>
        </w:tc>
        <w:tc>
          <w:tcPr>
            <w:tcW w:w="3118" w:type="dxa"/>
            <w:vAlign w:val="center"/>
          </w:tcPr>
          <w:p w:rsidR="003717A0" w:rsidRDefault="003717A0">
            <w:pPr>
              <w:spacing w:line="420" w:lineRule="exact"/>
            </w:pPr>
            <w:r>
              <w:rPr>
                <w:rFonts w:hint="eastAsia"/>
              </w:rPr>
              <w:t>神经系统总论、周围神经系统</w:t>
            </w:r>
          </w:p>
        </w:tc>
        <w:tc>
          <w:tcPr>
            <w:tcW w:w="1418" w:type="dxa"/>
          </w:tcPr>
          <w:p w:rsidR="003717A0" w:rsidRDefault="003717A0">
            <w:pPr>
              <w:spacing w:line="420" w:lineRule="exact"/>
              <w:jc w:val="center"/>
              <w:rPr>
                <w:rFonts w:ascii="宋体"/>
                <w:bCs/>
              </w:rPr>
            </w:pPr>
            <w:r>
              <w:rPr>
                <w:rFonts w:ascii="宋体" w:hAnsi="宋体"/>
                <w:bCs/>
              </w:rPr>
              <w:t>16</w:t>
            </w:r>
          </w:p>
        </w:tc>
        <w:tc>
          <w:tcPr>
            <w:tcW w:w="1276" w:type="dxa"/>
          </w:tcPr>
          <w:p w:rsidR="003717A0" w:rsidRDefault="003717A0">
            <w:pPr>
              <w:spacing w:line="420" w:lineRule="exact"/>
              <w:jc w:val="center"/>
              <w:rPr>
                <w:rFonts w:ascii="宋体"/>
                <w:bCs/>
              </w:rPr>
            </w:pPr>
            <w:r>
              <w:rPr>
                <w:rFonts w:ascii="宋体" w:hAnsi="宋体"/>
                <w:bCs/>
              </w:rPr>
              <w:t>10</w:t>
            </w:r>
          </w:p>
        </w:tc>
        <w:tc>
          <w:tcPr>
            <w:tcW w:w="1134" w:type="dxa"/>
          </w:tcPr>
          <w:p w:rsidR="003717A0" w:rsidRDefault="003717A0">
            <w:pPr>
              <w:spacing w:line="420" w:lineRule="exact"/>
              <w:jc w:val="center"/>
              <w:rPr>
                <w:rFonts w:ascii="宋体"/>
                <w:bCs/>
              </w:rPr>
            </w:pPr>
            <w:r>
              <w:rPr>
                <w:rFonts w:ascii="宋体" w:hAnsi="宋体"/>
                <w:bCs/>
              </w:rPr>
              <w:t>6</w:t>
            </w:r>
          </w:p>
        </w:tc>
        <w:tc>
          <w:tcPr>
            <w:tcW w:w="1141" w:type="dxa"/>
          </w:tcPr>
          <w:p w:rsidR="003717A0" w:rsidRDefault="003717A0">
            <w:pPr>
              <w:spacing w:line="420" w:lineRule="exact"/>
              <w:jc w:val="center"/>
              <w:rPr>
                <w:rFonts w:ascii="宋体"/>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7</w:t>
            </w:r>
          </w:p>
        </w:tc>
        <w:tc>
          <w:tcPr>
            <w:tcW w:w="3118" w:type="dxa"/>
          </w:tcPr>
          <w:p w:rsidR="003717A0" w:rsidRDefault="003717A0">
            <w:pPr>
              <w:spacing w:line="420" w:lineRule="exact"/>
              <w:rPr>
                <w:rFonts w:ascii="宋体"/>
                <w:bCs/>
              </w:rPr>
            </w:pPr>
            <w:r>
              <w:rPr>
                <w:rFonts w:ascii="宋体" w:hAnsi="宋体" w:hint="eastAsia"/>
                <w:bCs/>
              </w:rPr>
              <w:t>中枢神经系统</w:t>
            </w:r>
          </w:p>
        </w:tc>
        <w:tc>
          <w:tcPr>
            <w:tcW w:w="1418" w:type="dxa"/>
          </w:tcPr>
          <w:p w:rsidR="003717A0" w:rsidRDefault="003717A0">
            <w:pPr>
              <w:spacing w:line="420" w:lineRule="exact"/>
              <w:jc w:val="center"/>
              <w:rPr>
                <w:rFonts w:ascii="宋体"/>
                <w:bCs/>
              </w:rPr>
            </w:pPr>
            <w:r>
              <w:rPr>
                <w:rFonts w:ascii="宋体" w:hAnsi="宋体"/>
                <w:bCs/>
              </w:rPr>
              <w:t>28</w:t>
            </w:r>
          </w:p>
        </w:tc>
        <w:tc>
          <w:tcPr>
            <w:tcW w:w="1276" w:type="dxa"/>
          </w:tcPr>
          <w:p w:rsidR="003717A0" w:rsidRDefault="003717A0">
            <w:pPr>
              <w:spacing w:line="420" w:lineRule="exact"/>
              <w:jc w:val="center"/>
              <w:rPr>
                <w:rFonts w:ascii="宋体"/>
                <w:bCs/>
              </w:rPr>
            </w:pPr>
            <w:r>
              <w:rPr>
                <w:rFonts w:ascii="宋体" w:hAnsi="宋体"/>
                <w:bCs/>
              </w:rPr>
              <w:t>14</w:t>
            </w:r>
          </w:p>
        </w:tc>
        <w:tc>
          <w:tcPr>
            <w:tcW w:w="1134" w:type="dxa"/>
          </w:tcPr>
          <w:p w:rsidR="003717A0" w:rsidRDefault="003717A0">
            <w:pPr>
              <w:spacing w:line="420" w:lineRule="exact"/>
              <w:jc w:val="center"/>
              <w:rPr>
                <w:rFonts w:ascii="宋体"/>
                <w:bCs/>
              </w:rPr>
            </w:pPr>
            <w:r>
              <w:rPr>
                <w:rFonts w:ascii="宋体" w:hAnsi="宋体"/>
                <w:bCs/>
              </w:rPr>
              <w:t>6</w:t>
            </w:r>
          </w:p>
        </w:tc>
        <w:tc>
          <w:tcPr>
            <w:tcW w:w="1141" w:type="dxa"/>
          </w:tcPr>
          <w:p w:rsidR="003717A0" w:rsidRDefault="003717A0">
            <w:pPr>
              <w:spacing w:line="420" w:lineRule="exact"/>
              <w:jc w:val="center"/>
              <w:rPr>
                <w:rFonts w:ascii="宋体"/>
                <w:bCs/>
              </w:rPr>
            </w:pPr>
          </w:p>
        </w:tc>
      </w:tr>
      <w:tr w:rsidR="003717A0">
        <w:tc>
          <w:tcPr>
            <w:tcW w:w="534" w:type="dxa"/>
            <w:vAlign w:val="center"/>
          </w:tcPr>
          <w:p w:rsidR="003717A0" w:rsidRDefault="003717A0">
            <w:pPr>
              <w:spacing w:line="420" w:lineRule="exact"/>
              <w:jc w:val="center"/>
              <w:rPr>
                <w:rFonts w:ascii="宋体"/>
                <w:bCs/>
              </w:rPr>
            </w:pPr>
            <w:r>
              <w:rPr>
                <w:rFonts w:ascii="宋体" w:hAnsi="宋体"/>
                <w:bCs/>
              </w:rPr>
              <w:t>8</w:t>
            </w:r>
          </w:p>
        </w:tc>
        <w:tc>
          <w:tcPr>
            <w:tcW w:w="3118" w:type="dxa"/>
          </w:tcPr>
          <w:p w:rsidR="003717A0" w:rsidRDefault="003717A0">
            <w:pPr>
              <w:spacing w:line="420" w:lineRule="exact"/>
              <w:rPr>
                <w:rFonts w:ascii="宋体"/>
                <w:bCs/>
              </w:rPr>
            </w:pPr>
            <w:r>
              <w:rPr>
                <w:rFonts w:ascii="宋体" w:hAnsi="宋体" w:hint="eastAsia"/>
                <w:bCs/>
              </w:rPr>
              <w:t>内分泌系统</w:t>
            </w:r>
          </w:p>
        </w:tc>
        <w:tc>
          <w:tcPr>
            <w:tcW w:w="1418" w:type="dxa"/>
          </w:tcPr>
          <w:p w:rsidR="003717A0" w:rsidRDefault="003717A0">
            <w:pPr>
              <w:spacing w:line="420" w:lineRule="exact"/>
              <w:jc w:val="center"/>
              <w:rPr>
                <w:rFonts w:ascii="宋体"/>
                <w:bCs/>
              </w:rPr>
            </w:pPr>
            <w:r>
              <w:rPr>
                <w:rFonts w:ascii="宋体" w:hAnsi="宋体"/>
                <w:bCs/>
              </w:rPr>
              <w:t>1</w:t>
            </w:r>
          </w:p>
        </w:tc>
        <w:tc>
          <w:tcPr>
            <w:tcW w:w="1276" w:type="dxa"/>
          </w:tcPr>
          <w:p w:rsidR="003717A0" w:rsidRDefault="003717A0">
            <w:pPr>
              <w:spacing w:line="420" w:lineRule="exact"/>
              <w:jc w:val="center"/>
              <w:rPr>
                <w:rFonts w:ascii="宋体"/>
                <w:bCs/>
              </w:rPr>
            </w:pPr>
            <w:r>
              <w:rPr>
                <w:rFonts w:ascii="宋体" w:hAnsi="宋体"/>
                <w:bCs/>
              </w:rPr>
              <w:t>0.5</w:t>
            </w:r>
          </w:p>
        </w:tc>
        <w:tc>
          <w:tcPr>
            <w:tcW w:w="1134" w:type="dxa"/>
          </w:tcPr>
          <w:p w:rsidR="003717A0" w:rsidRDefault="003717A0">
            <w:pPr>
              <w:spacing w:line="420" w:lineRule="exact"/>
              <w:jc w:val="center"/>
              <w:rPr>
                <w:rFonts w:ascii="宋体"/>
                <w:bCs/>
              </w:rPr>
            </w:pPr>
            <w:r>
              <w:rPr>
                <w:rFonts w:ascii="宋体" w:hAnsi="宋体"/>
                <w:bCs/>
              </w:rPr>
              <w:t>0.5</w:t>
            </w:r>
          </w:p>
        </w:tc>
        <w:tc>
          <w:tcPr>
            <w:tcW w:w="1141" w:type="dxa"/>
          </w:tcPr>
          <w:p w:rsidR="003717A0" w:rsidRDefault="003717A0">
            <w:pPr>
              <w:spacing w:line="420" w:lineRule="exact"/>
              <w:jc w:val="center"/>
              <w:rPr>
                <w:rFonts w:ascii="宋体"/>
                <w:bCs/>
              </w:rPr>
            </w:pPr>
          </w:p>
        </w:tc>
      </w:tr>
      <w:tr w:rsidR="003717A0">
        <w:tc>
          <w:tcPr>
            <w:tcW w:w="3652" w:type="dxa"/>
            <w:gridSpan w:val="2"/>
          </w:tcPr>
          <w:p w:rsidR="003717A0" w:rsidRDefault="003717A0">
            <w:pPr>
              <w:spacing w:line="420" w:lineRule="exact"/>
              <w:jc w:val="center"/>
              <w:rPr>
                <w:rFonts w:ascii="宋体"/>
                <w:b/>
                <w:bCs/>
              </w:rPr>
            </w:pPr>
            <w:r>
              <w:rPr>
                <w:rFonts w:ascii="宋体" w:hAnsi="宋体" w:hint="eastAsia"/>
                <w:b/>
                <w:bCs/>
              </w:rPr>
              <w:t>合</w:t>
            </w:r>
            <w:r>
              <w:rPr>
                <w:rFonts w:ascii="宋体" w:hAnsi="宋体"/>
                <w:b/>
                <w:bCs/>
              </w:rPr>
              <w:t xml:space="preserve">             </w:t>
            </w:r>
            <w:r>
              <w:rPr>
                <w:rFonts w:ascii="宋体" w:hAnsi="宋体" w:hint="eastAsia"/>
                <w:b/>
                <w:bCs/>
              </w:rPr>
              <w:t>计</w:t>
            </w:r>
          </w:p>
        </w:tc>
        <w:tc>
          <w:tcPr>
            <w:tcW w:w="1418" w:type="dxa"/>
          </w:tcPr>
          <w:p w:rsidR="003717A0" w:rsidRDefault="003717A0">
            <w:pPr>
              <w:spacing w:line="420" w:lineRule="exact"/>
              <w:jc w:val="center"/>
              <w:rPr>
                <w:rFonts w:ascii="宋体"/>
                <w:b/>
                <w:bCs/>
              </w:rPr>
            </w:pPr>
            <w:r>
              <w:rPr>
                <w:rFonts w:ascii="宋体" w:hAnsi="宋体"/>
                <w:b/>
                <w:bCs/>
              </w:rPr>
              <w:t>108</w:t>
            </w:r>
          </w:p>
        </w:tc>
        <w:tc>
          <w:tcPr>
            <w:tcW w:w="1276" w:type="dxa"/>
          </w:tcPr>
          <w:p w:rsidR="003717A0" w:rsidRDefault="003717A0">
            <w:pPr>
              <w:spacing w:line="420" w:lineRule="exact"/>
              <w:jc w:val="center"/>
              <w:rPr>
                <w:rFonts w:ascii="宋体"/>
                <w:b/>
                <w:bCs/>
              </w:rPr>
            </w:pPr>
            <w:r>
              <w:rPr>
                <w:rFonts w:ascii="宋体" w:hAnsi="宋体"/>
                <w:b/>
                <w:bCs/>
              </w:rPr>
              <w:t>56</w:t>
            </w:r>
          </w:p>
        </w:tc>
        <w:tc>
          <w:tcPr>
            <w:tcW w:w="1134" w:type="dxa"/>
          </w:tcPr>
          <w:p w:rsidR="003717A0" w:rsidRDefault="003717A0">
            <w:pPr>
              <w:spacing w:line="420" w:lineRule="exact"/>
              <w:jc w:val="center"/>
              <w:rPr>
                <w:rFonts w:ascii="宋体"/>
                <w:b/>
                <w:bCs/>
              </w:rPr>
            </w:pPr>
            <w:r>
              <w:rPr>
                <w:rFonts w:ascii="宋体" w:hAnsi="宋体"/>
                <w:b/>
                <w:bCs/>
              </w:rPr>
              <w:t>52</w:t>
            </w:r>
          </w:p>
        </w:tc>
        <w:tc>
          <w:tcPr>
            <w:tcW w:w="1141" w:type="dxa"/>
          </w:tcPr>
          <w:p w:rsidR="003717A0" w:rsidRDefault="003717A0">
            <w:pPr>
              <w:spacing w:line="420" w:lineRule="exact"/>
              <w:jc w:val="center"/>
              <w:rPr>
                <w:rFonts w:ascii="宋体"/>
                <w:b/>
                <w:bCs/>
              </w:rPr>
            </w:pPr>
          </w:p>
        </w:tc>
      </w:tr>
    </w:tbl>
    <w:p w:rsidR="003717A0" w:rsidRDefault="003717A0">
      <w:pPr>
        <w:adjustRightInd w:val="0"/>
        <w:snapToGrid w:val="0"/>
        <w:spacing w:line="360" w:lineRule="auto"/>
        <w:ind w:right="4"/>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多媒体教室、数码互动解剖实验室、离子通风净化系统、</w:t>
      </w:r>
      <w:r>
        <w:rPr>
          <w:rFonts w:ascii="Times New Roman"/>
        </w:rPr>
        <w:t>blackboard</w:t>
      </w:r>
      <w:r>
        <w:rPr>
          <w:rFonts w:ascii="Times New Roman" w:hint="eastAsia"/>
        </w:rPr>
        <w:t>网络平台等；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多媒体教学课件、正常器官标本、模型教具、</w:t>
      </w:r>
      <w:r>
        <w:rPr>
          <w:rFonts w:hint="eastAsia"/>
          <w:szCs w:val="21"/>
        </w:rPr>
        <w:t>人体解剖学标本陈列馆</w:t>
      </w:r>
      <w:r>
        <w:rPr>
          <w:rFonts w:ascii="Times New Roman" w:hint="eastAsia"/>
        </w:rPr>
        <w:t>等。</w:t>
      </w:r>
    </w:p>
    <w:p w:rsidR="003717A0" w:rsidRDefault="003717A0">
      <w:pPr>
        <w:adjustRightInd w:val="0"/>
        <w:snapToGrid w:val="0"/>
        <w:spacing w:line="360" w:lineRule="auto"/>
        <w:ind w:right="4" w:firstLineChars="200" w:firstLine="420"/>
        <w:rPr>
          <w:szCs w:val="21"/>
        </w:rPr>
      </w:pPr>
      <w:r>
        <w:rPr>
          <w:rFonts w:hint="eastAsia"/>
          <w:szCs w:val="21"/>
        </w:rPr>
        <w:t>校园网、爱课程网上国家精品课程和国家精品资源共享课数字化教学平台等。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本课程成绩采用综合考评模式。主要有平时成绩和期末考试成绩两大部分组成。</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期末考试采用闭卷考核方法，时间为</w:t>
      </w:r>
      <w:r>
        <w:rPr>
          <w:rFonts w:ascii="Times New Roman"/>
        </w:rPr>
        <w:t xml:space="preserve">2 </w:t>
      </w:r>
      <w:r>
        <w:rPr>
          <w:rFonts w:ascii="Times New Roman" w:hint="eastAsia"/>
        </w:rPr>
        <w:t>小时，题型主要包括名词解释、填空题（含填图题）、选择题（单项或多项）、简答题（含病例分析题、综合题）。期末考试成绩占总成绩的</w:t>
      </w:r>
      <w:r>
        <w:rPr>
          <w:rFonts w:ascii="Times New Roman"/>
        </w:rPr>
        <w:t>60%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平时成绩占总成绩的</w:t>
      </w:r>
      <w:r>
        <w:rPr>
          <w:rFonts w:ascii="Times New Roman"/>
        </w:rPr>
        <w:t>40%</w:t>
      </w:r>
      <w:r>
        <w:rPr>
          <w:rFonts w:ascii="Times New Roman" w:hint="eastAsia"/>
        </w:rPr>
        <w:t>，其中平时阶段测试为</w:t>
      </w:r>
      <w:r>
        <w:rPr>
          <w:rFonts w:ascii="Times New Roman"/>
        </w:rPr>
        <w:t>20%</w:t>
      </w:r>
      <w:r>
        <w:rPr>
          <w:rFonts w:ascii="Times New Roman" w:hint="eastAsia"/>
        </w:rPr>
        <w:t>，实验考试为</w:t>
      </w:r>
      <w:r>
        <w:rPr>
          <w:rFonts w:ascii="Times New Roman"/>
        </w:rPr>
        <w:t>20%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lastRenderedPageBreak/>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理论课教材：顾晓松主编，《系统解剖学》（第</w:t>
      </w:r>
      <w:r>
        <w:rPr>
          <w:rFonts w:ascii="Times New Roman" w:hAnsi="Times New Roman"/>
        </w:rPr>
        <w:t>2</w:t>
      </w:r>
      <w:r>
        <w:rPr>
          <w:rFonts w:ascii="Times New Roman" w:hAnsi="Times New Roman" w:hint="eastAsia"/>
        </w:rPr>
        <w:t>版），科学出版社，</w:t>
      </w:r>
      <w:r>
        <w:rPr>
          <w:rFonts w:ascii="Times New Roman" w:hAnsi="Times New Roman"/>
        </w:rPr>
        <w:t>2012.2</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实验课教材：顾晓松主编，《系统解剖学》（第</w:t>
      </w:r>
      <w:r>
        <w:rPr>
          <w:rFonts w:ascii="Times New Roman" w:hAnsi="Times New Roman"/>
        </w:rPr>
        <w:t>2</w:t>
      </w:r>
      <w:r>
        <w:rPr>
          <w:rFonts w:ascii="Times New Roman" w:hAnsi="Times New Roman" w:hint="eastAsia"/>
        </w:rPr>
        <w:t>版），科学出版社，</w:t>
      </w:r>
      <w:r>
        <w:rPr>
          <w:rFonts w:ascii="Times New Roman" w:hAnsi="Times New Roman"/>
        </w:rPr>
        <w:t>2012.2</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国家、省精品课程的《人体解剖学》网页</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国家精品资源共享课的《人体解剖学》网页</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国内外医学院校人体解剖学专业及教研室的相关网站</w:t>
      </w: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制定人：吕广明</w:t>
      </w:r>
    </w:p>
    <w:p w:rsidR="003717A0" w:rsidRDefault="003717A0" w:rsidP="005E20B5">
      <w:pPr>
        <w:adjustRightInd w:val="0"/>
        <w:snapToGrid w:val="0"/>
        <w:spacing w:beforeLines="50" w:afterLines="50" w:line="360" w:lineRule="auto"/>
        <w:jc w:val="center"/>
        <w:rPr>
          <w:rFonts w:ascii="黑体" w:eastAsia="黑体"/>
          <w:b/>
          <w:sz w:val="30"/>
          <w:szCs w:val="30"/>
        </w:rPr>
      </w:pPr>
      <w:r>
        <w:rPr>
          <w:rFonts w:ascii="黑体" w:eastAsia="黑体" w:cs="黑体"/>
          <w:kern w:val="0"/>
          <w:szCs w:val="21"/>
        </w:rPr>
        <w:t xml:space="preserve">                                </w:t>
      </w:r>
      <w:r w:rsidR="005F0A71">
        <w:rPr>
          <w:rFonts w:ascii="黑体" w:eastAsia="黑体" w:cs="黑体"/>
          <w:kern w:val="0"/>
          <w:szCs w:val="21"/>
        </w:rPr>
        <w:t xml:space="preserve">  </w:t>
      </w:r>
      <w:r w:rsidR="005F0A71">
        <w:rPr>
          <w:rFonts w:ascii="黑体" w:eastAsia="黑体" w:cs="黑体" w:hint="eastAsia"/>
          <w:kern w:val="0"/>
          <w:szCs w:val="21"/>
        </w:rPr>
        <w:t xml:space="preserve"> </w:t>
      </w:r>
      <w:r>
        <w:rPr>
          <w:rFonts w:ascii="黑体" w:eastAsia="黑体" w:cs="黑体" w:hint="eastAsia"/>
          <w:kern w:val="0"/>
          <w:szCs w:val="21"/>
        </w:rPr>
        <w:t>审核人：金国华</w:t>
      </w:r>
      <w:r>
        <w:rPr>
          <w:rFonts w:ascii="黑体" w:eastAsia="黑体" w:cs="黑体"/>
          <w:kern w:val="0"/>
          <w:szCs w:val="21"/>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360" w:lineRule="auto"/>
        <w:ind w:firstLineChars="193" w:firstLine="405"/>
        <w:jc w:val="left"/>
        <w:rPr>
          <w:rFonts w:ascii="Times New Roman"/>
        </w:rPr>
      </w:pPr>
      <w:r>
        <w:rPr>
          <w:rFonts w:ascii="Times New Roman" w:hint="eastAsia"/>
        </w:rPr>
        <w:t>修读完本课程规定内容的</w:t>
      </w:r>
      <w:r>
        <w:rPr>
          <w:rFonts w:ascii="Times New Roman" w:hAnsi="Times New Roman" w:hint="eastAsia"/>
          <w:kern w:val="0"/>
          <w:szCs w:val="21"/>
        </w:rPr>
        <w:t>康复治疗</w:t>
      </w:r>
      <w:r>
        <w:rPr>
          <w:rFonts w:ascii="Times New Roman" w:hint="eastAsia"/>
        </w:rPr>
        <w:t>学专业的本科学生；</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int="eastAsia"/>
        </w:rPr>
        <w:t>提出并获准免修本课程、申请进行课程水平考核的</w:t>
      </w:r>
      <w:r>
        <w:rPr>
          <w:rFonts w:ascii="Times New Roman" w:hAnsi="Times New Roman" w:hint="eastAsia"/>
          <w:kern w:val="0"/>
          <w:szCs w:val="21"/>
        </w:rPr>
        <w:t>康复治疗</w:t>
      </w:r>
      <w:r>
        <w:rPr>
          <w:rFonts w:ascii="Times New Roman" w:hint="eastAsia"/>
        </w:rPr>
        <w:t>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通过考核来检查和了解学生对本门课程内容的掌握程度，考核学生对正常人体</w:t>
      </w:r>
      <w:r>
        <w:rPr>
          <w:rFonts w:hint="eastAsia"/>
          <w:szCs w:val="21"/>
        </w:rPr>
        <w:t>各器官系统的正常形态结构特征、位置毗邻、发生发育规律及其功能</w:t>
      </w:r>
      <w:r>
        <w:rPr>
          <w:rFonts w:ascii="宋体" w:hAnsi="宋体" w:hint="eastAsia"/>
          <w:szCs w:val="21"/>
        </w:rPr>
        <w:t>等的理解和掌握情况。</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本课程成绩采用综合考评模式。主要有平时成绩和期末考试成绩两大部分组成。</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期末考试采用闭卷考核方法，时间为</w:t>
      </w:r>
      <w:r>
        <w:rPr>
          <w:rFonts w:ascii="Times New Roman"/>
        </w:rPr>
        <w:t xml:space="preserve">2 </w:t>
      </w:r>
      <w:r>
        <w:rPr>
          <w:rFonts w:ascii="Times New Roman" w:hint="eastAsia"/>
        </w:rPr>
        <w:t>小时。平时成绩包括阶段测试和实验考核。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60%</w:t>
      </w:r>
      <w:r>
        <w:rPr>
          <w:rFonts w:ascii="宋体" w:hAnsi="宋体" w:hint="eastAsia"/>
          <w:szCs w:val="21"/>
        </w:rPr>
        <w:t>。</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szCs w:val="24"/>
        </w:rPr>
      </w:pPr>
      <w:r>
        <w:rPr>
          <w:rFonts w:ascii="宋体" w:hAnsi="宋体" w:hint="eastAsia"/>
          <w:szCs w:val="21"/>
        </w:rPr>
        <w:t>平时成绩占总成绩的</w:t>
      </w:r>
      <w:r>
        <w:rPr>
          <w:rFonts w:ascii="宋体" w:hAnsi="宋体"/>
          <w:szCs w:val="21"/>
        </w:rPr>
        <w:t>40%</w:t>
      </w:r>
      <w:r>
        <w:rPr>
          <w:rFonts w:ascii="宋体" w:hAnsi="宋体" w:hint="eastAsia"/>
          <w:szCs w:val="21"/>
        </w:rPr>
        <w:t>，其中平时阶段测验为</w:t>
      </w:r>
      <w:r>
        <w:rPr>
          <w:rFonts w:ascii="宋体" w:hAnsi="宋体"/>
          <w:szCs w:val="21"/>
        </w:rPr>
        <w:t>20%</w:t>
      </w:r>
      <w:r>
        <w:rPr>
          <w:rFonts w:ascii="宋体" w:hAnsi="宋体" w:hint="eastAsia"/>
          <w:szCs w:val="21"/>
        </w:rPr>
        <w:t>，实验考试为</w:t>
      </w:r>
      <w:r>
        <w:rPr>
          <w:rFonts w:ascii="宋体" w:hAnsi="宋体"/>
          <w:szCs w:val="21"/>
        </w:rPr>
        <w:t>20%</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人体解剖学的基本概念；主要专业名词；各系统器官的组成、形态结构特点及功能。</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以正常人体</w:t>
      </w:r>
      <w:r>
        <w:rPr>
          <w:rFonts w:hint="eastAsia"/>
          <w:szCs w:val="21"/>
        </w:rPr>
        <w:t>各器官系统的正常形态结构特征、位置毗邻、发生发育规律及其功能</w:t>
      </w:r>
      <w:r>
        <w:rPr>
          <w:rFonts w:ascii="宋体" w:hAnsi="宋体" w:hint="eastAsia"/>
          <w:szCs w:val="21"/>
        </w:rPr>
        <w:t>等知识点为考试重点，考核学生运用课程知识分析问题、解决问题的能力。</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人体解剖学课程考试试题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w:t>
      </w:r>
      <w:r>
        <w:rPr>
          <w:rFonts w:ascii="Times New Roman" w:hAnsi="Times New Roman"/>
          <w:kern w:val="0"/>
          <w:sz w:val="22"/>
          <w:u w:val="single"/>
        </w:rPr>
        <w:t>-</w:t>
      </w:r>
      <w:r>
        <w:rPr>
          <w:rFonts w:ascii="Times New Roman" w:hAnsi="Times New Roman" w:hint="eastAsia"/>
          <w:kern w:val="0"/>
          <w:sz w:val="22"/>
          <w:u w:val="single"/>
        </w:rPr>
        <w:t>ⅩⅩⅩⅩ</w:t>
      </w:r>
      <w:r>
        <w:rPr>
          <w:rFonts w:ascii="Times New Roman" w:hAnsi="Times New Roman"/>
          <w:kern w:val="0"/>
          <w:sz w:val="22"/>
          <w:u w:val="single"/>
        </w:rPr>
        <w:t xml:space="preserve"> </w:t>
      </w:r>
      <w:r>
        <w:rPr>
          <w:rFonts w:ascii="Times New Roman" w:hAnsi="Times New Roman" w:hint="eastAsia"/>
          <w:kern w:val="0"/>
          <w:sz w:val="22"/>
        </w:rPr>
        <w:t>学年第</w:t>
      </w:r>
      <w:r>
        <w:rPr>
          <w:sz w:val="32"/>
          <w:u w:val="single"/>
        </w:rPr>
        <w:t xml:space="preserve"> </w:t>
      </w:r>
      <w:r>
        <w:rPr>
          <w:rFonts w:ascii="Times New Roman" w:hAnsi="Times New Roman" w:hint="eastAsia"/>
          <w:kern w:val="0"/>
          <w:sz w:val="22"/>
          <w:u w:val="single"/>
        </w:rPr>
        <w:t>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sidR="00377CF0">
        <w:rPr>
          <w:rFonts w:ascii="Times New Roman" w:hAnsi="Times New Roman" w:hint="eastAsia"/>
          <w:kern w:val="0"/>
          <w:sz w:val="22"/>
          <w:u w:val="single"/>
        </w:rPr>
        <w:t>康复</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pacing w:line="440" w:lineRule="exact"/>
        <w:rPr>
          <w:rFonts w:ascii="宋体"/>
        </w:rPr>
      </w:pPr>
      <w:r>
        <w:rPr>
          <w:rFonts w:ascii="宋体" w:hAnsi="宋体" w:hint="eastAsia"/>
        </w:rPr>
        <w:t>一、名词解释（每题</w:t>
      </w:r>
      <w:r>
        <w:rPr>
          <w:rFonts w:ascii="宋体" w:hAnsi="宋体"/>
        </w:rPr>
        <w:t>2</w:t>
      </w:r>
      <w:r>
        <w:rPr>
          <w:rFonts w:ascii="宋体" w:hAnsi="宋体" w:hint="eastAsia"/>
        </w:rPr>
        <w:t>分，共</w:t>
      </w:r>
      <w:r>
        <w:rPr>
          <w:rFonts w:ascii="宋体" w:hAnsi="宋体"/>
        </w:rPr>
        <w:t>2</w:t>
      </w:r>
      <w:r>
        <w:rPr>
          <w:rFonts w:ascii="宋体"/>
        </w:rPr>
        <w:t>0</w:t>
      </w:r>
      <w:r>
        <w:rPr>
          <w:rFonts w:ascii="宋体" w:hAnsi="宋体" w:hint="eastAsia"/>
        </w:rPr>
        <w:t>分）</w:t>
      </w:r>
    </w:p>
    <w:p w:rsidR="003717A0" w:rsidRDefault="003717A0">
      <w:pPr>
        <w:rPr>
          <w:rFonts w:ascii="宋体"/>
        </w:rPr>
      </w:pPr>
      <w:r>
        <w:rPr>
          <w:rFonts w:ascii="宋体" w:hAnsi="宋体"/>
        </w:rPr>
        <w:t>1.</w:t>
      </w:r>
      <w:r>
        <w:rPr>
          <w:rFonts w:ascii="宋体" w:hAnsi="宋体" w:hint="eastAsia"/>
        </w:rPr>
        <w:t>椎间盘</w:t>
      </w:r>
    </w:p>
    <w:p w:rsidR="003717A0" w:rsidRDefault="003717A0">
      <w:pPr>
        <w:rPr>
          <w:rFonts w:ascii="宋体"/>
        </w:rPr>
      </w:pPr>
    </w:p>
    <w:p w:rsidR="003717A0" w:rsidRDefault="003717A0">
      <w:pPr>
        <w:rPr>
          <w:rFonts w:ascii="宋体"/>
        </w:rPr>
      </w:pPr>
      <w:r>
        <w:rPr>
          <w:rFonts w:ascii="宋体" w:hAnsi="宋体"/>
        </w:rPr>
        <w:t>2.</w:t>
      </w:r>
      <w:r>
        <w:rPr>
          <w:rFonts w:ascii="宋体" w:hAnsi="宋体" w:hint="eastAsia"/>
        </w:rPr>
        <w:t>斜角肌间隙</w:t>
      </w:r>
    </w:p>
    <w:p w:rsidR="003717A0" w:rsidRDefault="003717A0">
      <w:pPr>
        <w:rPr>
          <w:rFonts w:ascii="宋体"/>
        </w:rPr>
      </w:pPr>
    </w:p>
    <w:p w:rsidR="003717A0" w:rsidRDefault="003717A0">
      <w:pPr>
        <w:rPr>
          <w:rFonts w:ascii="宋体"/>
        </w:rPr>
      </w:pPr>
      <w:r>
        <w:rPr>
          <w:rFonts w:ascii="宋体" w:hAnsi="宋体"/>
        </w:rPr>
        <w:t>3.</w:t>
      </w:r>
      <w:r>
        <w:rPr>
          <w:rFonts w:ascii="宋体" w:hAnsi="宋体" w:hint="eastAsia"/>
        </w:rPr>
        <w:t>胆囊三角</w:t>
      </w:r>
    </w:p>
    <w:p w:rsidR="003717A0" w:rsidRDefault="003717A0">
      <w:pPr>
        <w:rPr>
          <w:rFonts w:ascii="宋体"/>
        </w:rPr>
      </w:pPr>
    </w:p>
    <w:p w:rsidR="003717A0" w:rsidRDefault="003717A0">
      <w:pPr>
        <w:rPr>
          <w:rFonts w:ascii="宋体"/>
        </w:rPr>
      </w:pPr>
      <w:r>
        <w:rPr>
          <w:rFonts w:ascii="宋体" w:hAnsi="宋体"/>
        </w:rPr>
        <w:t>4.</w:t>
      </w:r>
      <w:r>
        <w:rPr>
          <w:rFonts w:ascii="宋体" w:hAnsi="宋体" w:hint="eastAsia"/>
        </w:rPr>
        <w:t>肾窦</w:t>
      </w:r>
    </w:p>
    <w:p w:rsidR="003717A0" w:rsidRDefault="003717A0">
      <w:pPr>
        <w:rPr>
          <w:rFonts w:ascii="宋体"/>
        </w:rPr>
      </w:pPr>
    </w:p>
    <w:p w:rsidR="003717A0" w:rsidRDefault="003717A0">
      <w:pPr>
        <w:rPr>
          <w:rFonts w:ascii="宋体"/>
        </w:rPr>
      </w:pPr>
      <w:r>
        <w:rPr>
          <w:rFonts w:ascii="宋体" w:hAnsi="宋体"/>
        </w:rPr>
        <w:t>5.</w:t>
      </w:r>
      <w:r>
        <w:rPr>
          <w:rFonts w:ascii="宋体" w:hAnsi="宋体" w:hint="eastAsia"/>
        </w:rPr>
        <w:t>二尖瓣复合体</w:t>
      </w:r>
    </w:p>
    <w:p w:rsidR="003717A0" w:rsidRDefault="003717A0">
      <w:pPr>
        <w:rPr>
          <w:rFonts w:ascii="宋体"/>
        </w:rPr>
      </w:pPr>
    </w:p>
    <w:p w:rsidR="003717A0" w:rsidRDefault="003717A0">
      <w:pPr>
        <w:widowControl/>
        <w:adjustRightInd w:val="0"/>
        <w:snapToGrid w:val="0"/>
        <w:spacing w:line="360" w:lineRule="auto"/>
        <w:rPr>
          <w:rFonts w:ascii="宋体"/>
        </w:rPr>
      </w:pPr>
      <w:r>
        <w:rPr>
          <w:rFonts w:ascii="宋体" w:hAnsi="宋体"/>
        </w:rPr>
        <w:lastRenderedPageBreak/>
        <w:t>6.</w:t>
      </w:r>
      <w:r>
        <w:rPr>
          <w:rFonts w:ascii="宋体" w:hAnsi="宋体" w:hint="eastAsia"/>
        </w:rPr>
        <w:t>静脉角</w:t>
      </w:r>
    </w:p>
    <w:p w:rsidR="003717A0" w:rsidRDefault="003717A0">
      <w:pPr>
        <w:widowControl/>
        <w:adjustRightInd w:val="0"/>
        <w:snapToGrid w:val="0"/>
        <w:spacing w:line="360" w:lineRule="auto"/>
        <w:rPr>
          <w:rFonts w:ascii="宋体"/>
          <w:lang w:val="en-GB"/>
        </w:rPr>
      </w:pPr>
    </w:p>
    <w:p w:rsidR="00BB65F4" w:rsidRDefault="00BB65F4">
      <w:pPr>
        <w:widowControl/>
        <w:adjustRightInd w:val="0"/>
        <w:snapToGrid w:val="0"/>
        <w:spacing w:line="360" w:lineRule="auto"/>
        <w:rPr>
          <w:rFonts w:ascii="宋体"/>
          <w:lang w:val="en-GB"/>
        </w:rPr>
      </w:pPr>
      <w:r>
        <w:rPr>
          <w:rFonts w:ascii="宋体" w:hint="eastAsia"/>
          <w:lang w:val="en-GB"/>
        </w:rPr>
        <w:t>7.胸导管</w:t>
      </w:r>
    </w:p>
    <w:p w:rsidR="00BB65F4" w:rsidRDefault="00BB65F4">
      <w:pPr>
        <w:widowControl/>
        <w:adjustRightInd w:val="0"/>
        <w:snapToGrid w:val="0"/>
        <w:spacing w:line="360" w:lineRule="auto"/>
        <w:rPr>
          <w:rFonts w:ascii="宋体"/>
          <w:lang w:val="en-GB"/>
        </w:rPr>
      </w:pPr>
    </w:p>
    <w:p w:rsidR="003717A0" w:rsidRDefault="003717A0">
      <w:pPr>
        <w:rPr>
          <w:rFonts w:ascii="宋体"/>
        </w:rPr>
      </w:pPr>
      <w:r>
        <w:rPr>
          <w:rFonts w:ascii="宋体" w:hAnsi="宋体"/>
        </w:rPr>
        <w:t>8.</w:t>
      </w:r>
      <w:r>
        <w:rPr>
          <w:rFonts w:ascii="宋体" w:hAnsi="宋体" w:hint="eastAsia"/>
        </w:rPr>
        <w:t>节前神经元</w:t>
      </w:r>
    </w:p>
    <w:p w:rsidR="003717A0" w:rsidRDefault="003717A0">
      <w:pPr>
        <w:rPr>
          <w:rFonts w:eastAsia="楷体_GB2312"/>
          <w:sz w:val="18"/>
          <w:szCs w:val="18"/>
          <w:lang w:val="en-GB"/>
        </w:rPr>
      </w:pPr>
    </w:p>
    <w:p w:rsidR="003717A0" w:rsidRDefault="003717A0">
      <w:pPr>
        <w:rPr>
          <w:rFonts w:ascii="宋体"/>
          <w:szCs w:val="21"/>
          <w:lang w:val="en-GB"/>
        </w:rPr>
      </w:pPr>
      <w:r>
        <w:rPr>
          <w:rFonts w:ascii="宋体" w:hAnsi="宋体"/>
          <w:szCs w:val="21"/>
          <w:lang w:val="en-GB"/>
        </w:rPr>
        <w:t>9.</w:t>
      </w:r>
      <w:r>
        <w:rPr>
          <w:rFonts w:ascii="宋体" w:hAnsi="宋体" w:hint="eastAsia"/>
          <w:szCs w:val="21"/>
          <w:lang w:val="en-GB"/>
        </w:rPr>
        <w:t>基底核</w:t>
      </w:r>
    </w:p>
    <w:p w:rsidR="003717A0" w:rsidRDefault="003717A0">
      <w:pPr>
        <w:rPr>
          <w:rFonts w:ascii="宋体"/>
          <w:szCs w:val="21"/>
          <w:lang w:val="en-GB"/>
        </w:rPr>
      </w:pPr>
    </w:p>
    <w:p w:rsidR="003717A0" w:rsidRDefault="003717A0">
      <w:pPr>
        <w:rPr>
          <w:rFonts w:ascii="宋体"/>
          <w:szCs w:val="21"/>
          <w:lang w:val="en-GB"/>
        </w:rPr>
      </w:pPr>
      <w:r>
        <w:rPr>
          <w:rFonts w:ascii="宋体" w:hAnsi="宋体"/>
          <w:szCs w:val="21"/>
          <w:lang w:val="en-GB"/>
        </w:rPr>
        <w:t>10.</w:t>
      </w:r>
      <w:r>
        <w:rPr>
          <w:rFonts w:ascii="宋体" w:hAnsi="宋体" w:hint="eastAsia"/>
          <w:szCs w:val="21"/>
          <w:lang w:val="en-GB"/>
        </w:rPr>
        <w:t>大脑动脉环</w:t>
      </w:r>
    </w:p>
    <w:p w:rsidR="003717A0" w:rsidRDefault="003717A0">
      <w:pPr>
        <w:widowControl/>
        <w:adjustRightInd w:val="0"/>
        <w:snapToGrid w:val="0"/>
        <w:spacing w:line="360" w:lineRule="auto"/>
        <w:rPr>
          <w:rFonts w:ascii="宋体"/>
          <w:lang w:val="en-GB"/>
        </w:rPr>
      </w:pPr>
    </w:p>
    <w:p w:rsidR="003717A0" w:rsidRDefault="003717A0">
      <w:pPr>
        <w:widowControl/>
        <w:adjustRightInd w:val="0"/>
        <w:snapToGrid w:val="0"/>
        <w:spacing w:line="360" w:lineRule="auto"/>
        <w:rPr>
          <w:rFonts w:ascii="宋体"/>
          <w:lang w:val="en-GB"/>
        </w:rPr>
      </w:pPr>
    </w:p>
    <w:p w:rsidR="003717A0" w:rsidRDefault="003717A0">
      <w:pPr>
        <w:widowControl/>
        <w:adjustRightInd w:val="0"/>
        <w:snapToGrid w:val="0"/>
        <w:spacing w:line="360" w:lineRule="auto"/>
        <w:rPr>
          <w:rFonts w:ascii="宋体"/>
          <w:szCs w:val="21"/>
        </w:rPr>
      </w:pPr>
      <w:r>
        <w:rPr>
          <w:rFonts w:ascii="宋体" w:hAnsi="宋体" w:hint="eastAsia"/>
          <w:szCs w:val="21"/>
        </w:rPr>
        <w:t>二、填空题（每空</w:t>
      </w:r>
      <w:r>
        <w:rPr>
          <w:rFonts w:ascii="宋体" w:hAnsi="宋体"/>
          <w:szCs w:val="21"/>
        </w:rPr>
        <w:t>0.5</w:t>
      </w:r>
      <w:r>
        <w:rPr>
          <w:rFonts w:ascii="宋体" w:hAnsi="宋体" w:hint="eastAsia"/>
          <w:szCs w:val="21"/>
        </w:rPr>
        <w:t>分，共</w:t>
      </w:r>
      <w:r>
        <w:rPr>
          <w:rFonts w:ascii="宋体" w:hAnsi="宋体"/>
          <w:szCs w:val="21"/>
        </w:rPr>
        <w:t>40</w:t>
      </w:r>
      <w:r>
        <w:rPr>
          <w:rFonts w:ascii="宋体" w:hAnsi="宋体" w:hint="eastAsia"/>
          <w:szCs w:val="21"/>
        </w:rPr>
        <w:t>分）</w:t>
      </w:r>
    </w:p>
    <w:p w:rsidR="003717A0" w:rsidRDefault="003717A0">
      <w:pPr>
        <w:spacing w:line="400" w:lineRule="exact"/>
        <w:ind w:left="735" w:hangingChars="350" w:hanging="735"/>
      </w:pPr>
      <w:r>
        <w:t>1.</w:t>
      </w:r>
      <w:r>
        <w:rPr>
          <w:rFonts w:hint="eastAsia"/>
        </w:rPr>
        <w:t>骨从形态上可分为</w:t>
      </w:r>
      <w:r>
        <w:rPr>
          <w:u w:val="single"/>
        </w:rPr>
        <w:t xml:space="preserve">         </w:t>
      </w:r>
      <w:r>
        <w:rPr>
          <w:rFonts w:hint="eastAsia"/>
        </w:rPr>
        <w:t>、</w:t>
      </w:r>
      <w:r>
        <w:rPr>
          <w:u w:val="single"/>
        </w:rPr>
        <w:t xml:space="preserve">         </w:t>
      </w:r>
      <w:r>
        <w:rPr>
          <w:rFonts w:hint="eastAsia"/>
        </w:rPr>
        <w:t>、</w:t>
      </w:r>
      <w:r>
        <w:rPr>
          <w:u w:val="single"/>
        </w:rPr>
        <w:t xml:space="preserve">         </w:t>
      </w:r>
      <w:r>
        <w:rPr>
          <w:rFonts w:hint="eastAsia"/>
        </w:rPr>
        <w:t>和</w:t>
      </w:r>
      <w:r>
        <w:rPr>
          <w:u w:val="single"/>
        </w:rPr>
        <w:t xml:space="preserve">         </w:t>
      </w:r>
      <w:r>
        <w:rPr>
          <w:rFonts w:hint="eastAsia"/>
        </w:rPr>
        <w:t>四类。</w:t>
      </w:r>
    </w:p>
    <w:p w:rsidR="003717A0" w:rsidRDefault="003717A0">
      <w:pPr>
        <w:spacing w:line="400" w:lineRule="exact"/>
        <w:ind w:left="735" w:hangingChars="350" w:hanging="735"/>
      </w:pPr>
      <w:r>
        <w:t>2.</w:t>
      </w:r>
      <w:r>
        <w:rPr>
          <w:rFonts w:hint="eastAsia"/>
        </w:rPr>
        <w:t>面颅骨包括成对的</w:t>
      </w:r>
      <w:r>
        <w:rPr>
          <w:u w:val="single"/>
        </w:rPr>
        <w:t xml:space="preserve">         </w:t>
      </w:r>
      <w:r>
        <w:rPr>
          <w:rFonts w:hint="eastAsia"/>
        </w:rPr>
        <w:t>、</w:t>
      </w:r>
      <w:r>
        <w:rPr>
          <w:u w:val="single"/>
        </w:rPr>
        <w:t xml:space="preserve">         </w:t>
      </w:r>
      <w:r>
        <w:rPr>
          <w:rFonts w:hint="eastAsia"/>
        </w:rPr>
        <w:t>、</w:t>
      </w:r>
      <w:r>
        <w:rPr>
          <w:u w:val="single"/>
        </w:rPr>
        <w:t xml:space="preserve">          </w:t>
      </w:r>
      <w:r>
        <w:rPr>
          <w:rFonts w:hint="eastAsia"/>
        </w:rPr>
        <w:t>、</w:t>
      </w:r>
      <w:r>
        <w:rPr>
          <w:u w:val="single"/>
        </w:rPr>
        <w:t xml:space="preserve">         </w:t>
      </w:r>
      <w:r>
        <w:rPr>
          <w:rFonts w:hint="eastAsia"/>
        </w:rPr>
        <w:t>、</w:t>
      </w:r>
      <w:r>
        <w:rPr>
          <w:u w:val="single"/>
        </w:rPr>
        <w:t xml:space="preserve">         </w:t>
      </w:r>
      <w:r>
        <w:rPr>
          <w:rFonts w:hint="eastAsia"/>
        </w:rPr>
        <w:t>和</w:t>
      </w:r>
      <w:r>
        <w:rPr>
          <w:u w:val="single"/>
        </w:rPr>
        <w:t xml:space="preserve">          </w:t>
      </w:r>
      <w:r>
        <w:rPr>
          <w:rFonts w:hint="eastAsia"/>
        </w:rPr>
        <w:t>，</w:t>
      </w:r>
    </w:p>
    <w:p w:rsidR="003717A0" w:rsidRDefault="003717A0">
      <w:pPr>
        <w:spacing w:line="400" w:lineRule="exact"/>
        <w:ind w:left="735" w:hangingChars="350" w:hanging="735"/>
        <w:rPr>
          <w:rFonts w:ascii="宋体"/>
          <w:szCs w:val="21"/>
        </w:rPr>
      </w:pPr>
      <w:r>
        <w:rPr>
          <w:rFonts w:hint="eastAsia"/>
        </w:rPr>
        <w:t>以及不成对的</w:t>
      </w:r>
      <w:r>
        <w:rPr>
          <w:u w:val="single"/>
        </w:rPr>
        <w:t xml:space="preserve">         </w:t>
      </w:r>
      <w:r>
        <w:rPr>
          <w:rFonts w:hint="eastAsia"/>
        </w:rPr>
        <w:t>、</w:t>
      </w:r>
      <w:r>
        <w:rPr>
          <w:u w:val="single"/>
        </w:rPr>
        <w:t xml:space="preserve">         </w:t>
      </w:r>
      <w:r>
        <w:rPr>
          <w:rFonts w:hint="eastAsia"/>
        </w:rPr>
        <w:t>和</w:t>
      </w:r>
      <w:r>
        <w:rPr>
          <w:u w:val="single"/>
        </w:rPr>
        <w:t xml:space="preserve">         </w:t>
      </w:r>
      <w:r>
        <w:rPr>
          <w:rFonts w:hint="eastAsia"/>
        </w:rPr>
        <w:t>。</w:t>
      </w:r>
    </w:p>
    <w:p w:rsidR="003717A0" w:rsidRDefault="003717A0">
      <w:pPr>
        <w:spacing w:line="400" w:lineRule="exact"/>
        <w:rPr>
          <w:rFonts w:ascii="宋体"/>
          <w:szCs w:val="21"/>
        </w:rPr>
      </w:pPr>
      <w:r>
        <w:rPr>
          <w:rFonts w:ascii="宋体" w:hAnsi="宋体"/>
        </w:rPr>
        <w:t>3.</w:t>
      </w:r>
      <w:r>
        <w:rPr>
          <w:rFonts w:ascii="宋体" w:hAnsi="宋体" w:hint="eastAsia"/>
        </w:rPr>
        <w:t>肘关节包括</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szCs w:val="21"/>
        </w:rPr>
        <w:t>3</w:t>
      </w:r>
      <w:r>
        <w:rPr>
          <w:rFonts w:ascii="宋体" w:hAnsi="宋体" w:hint="eastAsia"/>
          <w:szCs w:val="21"/>
        </w:rPr>
        <w:t>个关节。</w:t>
      </w:r>
    </w:p>
    <w:p w:rsidR="003717A0" w:rsidRDefault="003717A0">
      <w:pPr>
        <w:spacing w:line="400" w:lineRule="exact"/>
        <w:rPr>
          <w:szCs w:val="21"/>
        </w:rPr>
      </w:pPr>
      <w:r>
        <w:rPr>
          <w:rFonts w:ascii="宋体" w:hAnsi="宋体"/>
          <w:szCs w:val="21"/>
        </w:rPr>
        <w:t>4.</w:t>
      </w:r>
      <w:r>
        <w:rPr>
          <w:rFonts w:ascii="宋体" w:hAnsi="宋体" w:hint="eastAsia"/>
          <w:szCs w:val="21"/>
        </w:rPr>
        <w:t>食管有</w:t>
      </w:r>
      <w:r>
        <w:rPr>
          <w:rFonts w:ascii="宋体" w:hAnsi="宋体"/>
          <w:szCs w:val="21"/>
        </w:rPr>
        <w:t>3</w:t>
      </w:r>
      <w:r>
        <w:rPr>
          <w:rFonts w:ascii="宋体" w:hAnsi="宋体" w:hint="eastAsia"/>
          <w:szCs w:val="21"/>
        </w:rPr>
        <w:t>处生理性狭窄，从上至下依次位于</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p>
    <w:p w:rsidR="003717A0" w:rsidRDefault="003717A0">
      <w:pPr>
        <w:spacing w:line="400" w:lineRule="exact"/>
        <w:rPr>
          <w:rFonts w:ascii="宋体"/>
          <w:szCs w:val="21"/>
        </w:rPr>
      </w:pP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rPr>
        <w:t>5.</w:t>
      </w:r>
      <w:r>
        <w:rPr>
          <w:rFonts w:ascii="宋体" w:hAnsi="宋体" w:hint="eastAsia"/>
        </w:rPr>
        <w:t>结肠和盲肠具有的</w:t>
      </w:r>
      <w:r>
        <w:rPr>
          <w:rFonts w:ascii="宋体" w:hAnsi="宋体"/>
        </w:rPr>
        <w:t>3</w:t>
      </w:r>
      <w:r>
        <w:rPr>
          <w:rFonts w:ascii="宋体" w:hAnsi="宋体" w:hint="eastAsia"/>
        </w:rPr>
        <w:t>种特征性结构是</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rPr>
        <w:t>6.</w:t>
      </w:r>
      <w:r>
        <w:rPr>
          <w:rFonts w:ascii="宋体" w:hAnsi="宋体" w:hint="eastAsia"/>
          <w:szCs w:val="21"/>
        </w:rPr>
        <w:t>喉软骨包括成单的</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hint="eastAsia"/>
          <w:szCs w:val="21"/>
        </w:rPr>
        <w:t>，成对的</w:t>
      </w:r>
      <w:r>
        <w:rPr>
          <w:rFonts w:ascii="宋体" w:hAnsi="宋体"/>
          <w:szCs w:val="21"/>
          <w:u w:val="single"/>
        </w:rPr>
        <w:t xml:space="preserve">          </w:t>
      </w:r>
      <w:r>
        <w:rPr>
          <w:rFonts w:hint="eastAsia"/>
          <w:szCs w:val="21"/>
        </w:rPr>
        <w:t>。</w:t>
      </w:r>
    </w:p>
    <w:p w:rsidR="003717A0" w:rsidRDefault="003717A0">
      <w:pPr>
        <w:spacing w:line="400" w:lineRule="exact"/>
        <w:rPr>
          <w:rFonts w:ascii="宋体"/>
          <w:szCs w:val="21"/>
        </w:rPr>
      </w:pPr>
      <w:r>
        <w:rPr>
          <w:rFonts w:ascii="宋体" w:hAnsi="宋体"/>
          <w:szCs w:val="21"/>
        </w:rPr>
        <w:t>7.</w:t>
      </w:r>
      <w:r>
        <w:rPr>
          <w:rFonts w:ascii="宋体" w:hAnsi="宋体" w:hint="eastAsia"/>
          <w:szCs w:val="21"/>
        </w:rPr>
        <w:t>肾脏的表面由内向外有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hint="eastAsia"/>
          <w:szCs w:val="21"/>
        </w:rPr>
        <w:t>三层被膜。</w:t>
      </w:r>
    </w:p>
    <w:p w:rsidR="003717A0" w:rsidRDefault="003717A0">
      <w:pPr>
        <w:spacing w:line="400" w:lineRule="exact"/>
        <w:rPr>
          <w:rFonts w:ascii="宋体"/>
          <w:szCs w:val="21"/>
        </w:rPr>
      </w:pPr>
      <w:r>
        <w:rPr>
          <w:rFonts w:ascii="宋体" w:hAnsi="宋体"/>
          <w:szCs w:val="21"/>
        </w:rPr>
        <w:t>8.</w:t>
      </w:r>
      <w:r>
        <w:rPr>
          <w:rFonts w:ascii="宋体" w:hAnsi="宋体" w:hint="eastAsia"/>
          <w:szCs w:val="21"/>
        </w:rPr>
        <w:t>输精管可分为</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四部分。</w:t>
      </w:r>
    </w:p>
    <w:p w:rsidR="003717A0" w:rsidRDefault="003717A0">
      <w:pPr>
        <w:spacing w:line="400" w:lineRule="exact"/>
        <w:rPr>
          <w:rFonts w:ascii="宋体"/>
          <w:szCs w:val="21"/>
        </w:rPr>
      </w:pPr>
      <w:r>
        <w:rPr>
          <w:rFonts w:ascii="宋体" w:hAnsi="宋体"/>
          <w:szCs w:val="21"/>
        </w:rPr>
        <w:t>9.</w:t>
      </w:r>
      <w:r>
        <w:rPr>
          <w:rFonts w:ascii="宋体" w:hAnsi="宋体" w:hint="eastAsia"/>
          <w:szCs w:val="21"/>
        </w:rPr>
        <w:t>腋动脉的主要分支有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rPr>
        <w:t>10.</w:t>
      </w:r>
      <w:r>
        <w:rPr>
          <w:rFonts w:ascii="宋体" w:hAnsi="宋体" w:hint="eastAsia"/>
          <w:szCs w:val="21"/>
        </w:rPr>
        <w:t>腹主动脉发出的成对脏支有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hint="eastAsia"/>
          <w:szCs w:val="21"/>
        </w:rPr>
        <w:t>，不成对的脏支有</w:t>
      </w: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u w:val="single"/>
        </w:rPr>
        <w:t xml:space="preserve">         </w:t>
      </w:r>
      <w:r>
        <w:rPr>
          <w:rFonts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rPr>
        <w:t xml:space="preserve">11. </w:t>
      </w:r>
      <w:r>
        <w:rPr>
          <w:rFonts w:ascii="宋体" w:hAnsi="宋体" w:hint="eastAsia"/>
          <w:szCs w:val="21"/>
        </w:rPr>
        <w:t>肝门静脉的属支有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p>
    <w:p w:rsidR="003717A0" w:rsidRDefault="003717A0">
      <w:pPr>
        <w:spacing w:line="400" w:lineRule="exact"/>
        <w:rPr>
          <w:rFonts w:ascii="宋体"/>
          <w:szCs w:val="21"/>
        </w:rPr>
      </w:pP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3717A0" w:rsidRDefault="003717A0">
      <w:pPr>
        <w:widowControl/>
        <w:adjustRightInd w:val="0"/>
        <w:snapToGrid w:val="0"/>
        <w:spacing w:line="360" w:lineRule="auto"/>
        <w:rPr>
          <w:rFonts w:ascii="宋体"/>
          <w:spacing w:val="9"/>
          <w:kern w:val="0"/>
          <w:szCs w:val="21"/>
        </w:rPr>
      </w:pPr>
      <w:r>
        <w:rPr>
          <w:rFonts w:ascii="宋体" w:hAnsi="宋体"/>
          <w:szCs w:val="21"/>
        </w:rPr>
        <w:t>12.</w:t>
      </w:r>
      <w:r>
        <w:rPr>
          <w:rFonts w:ascii="宋体" w:hAnsi="宋体" w:hint="eastAsia"/>
          <w:szCs w:val="21"/>
        </w:rPr>
        <w:t>眼的屈光系统</w:t>
      </w:r>
      <w:r>
        <w:rPr>
          <w:rFonts w:ascii="宋体" w:hAnsi="宋体" w:hint="eastAsia"/>
          <w:spacing w:val="15"/>
          <w:kern w:val="0"/>
          <w:szCs w:val="21"/>
        </w:rPr>
        <w:t>由前向后包括</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pacing w:val="15"/>
          <w:kern w:val="0"/>
          <w:szCs w:val="21"/>
        </w:rPr>
        <w:t>、</w:t>
      </w:r>
      <w:r>
        <w:rPr>
          <w:rFonts w:ascii="宋体" w:hAnsi="宋体"/>
          <w:szCs w:val="21"/>
          <w:u w:val="single"/>
        </w:rPr>
        <w:t xml:space="preserve">         </w:t>
      </w:r>
      <w:r>
        <w:rPr>
          <w:rFonts w:ascii="宋体" w:hAnsi="宋体" w:hint="eastAsia"/>
          <w:spacing w:val="15"/>
          <w:kern w:val="0"/>
          <w:szCs w:val="21"/>
        </w:rPr>
        <w:t>和</w:t>
      </w:r>
      <w:r>
        <w:rPr>
          <w:rFonts w:ascii="宋体" w:hAnsi="宋体"/>
          <w:szCs w:val="21"/>
          <w:u w:val="single"/>
        </w:rPr>
        <w:t xml:space="preserve">         </w:t>
      </w:r>
      <w:r>
        <w:rPr>
          <w:rFonts w:ascii="宋体" w:hAnsi="宋体" w:hint="eastAsia"/>
          <w:spacing w:val="15"/>
          <w:kern w:val="0"/>
          <w:szCs w:val="21"/>
        </w:rPr>
        <w:t>四部分</w:t>
      </w:r>
      <w:r>
        <w:rPr>
          <w:rFonts w:ascii="宋体" w:hAnsi="宋体" w:hint="eastAsia"/>
          <w:spacing w:val="9"/>
          <w:kern w:val="0"/>
          <w:szCs w:val="21"/>
        </w:rPr>
        <w:t>。</w:t>
      </w:r>
    </w:p>
    <w:p w:rsidR="003717A0" w:rsidRDefault="003717A0">
      <w:pPr>
        <w:spacing w:line="400" w:lineRule="exact"/>
        <w:ind w:left="420" w:hangingChars="200" w:hanging="420"/>
        <w:rPr>
          <w:rFonts w:ascii="宋体"/>
          <w:spacing w:val="15"/>
          <w:kern w:val="0"/>
          <w:szCs w:val="21"/>
        </w:rPr>
      </w:pPr>
      <w:r>
        <w:rPr>
          <w:rFonts w:ascii="宋体" w:hAnsi="宋体"/>
          <w:szCs w:val="21"/>
        </w:rPr>
        <w:t>13.</w:t>
      </w:r>
      <w:r>
        <w:rPr>
          <w:rFonts w:ascii="宋体" w:hAnsi="宋体" w:hint="eastAsia"/>
          <w:spacing w:val="8"/>
          <w:kern w:val="0"/>
          <w:szCs w:val="21"/>
        </w:rPr>
        <w:t>中耳鼓室前壁为</w:t>
      </w:r>
      <w:r>
        <w:rPr>
          <w:rFonts w:ascii="宋体" w:hAnsi="宋体"/>
          <w:spacing w:val="11"/>
          <w:kern w:val="0"/>
          <w:szCs w:val="21"/>
          <w:u w:val="single"/>
        </w:rPr>
        <w:t xml:space="preserve">        </w:t>
      </w:r>
      <w:r>
        <w:rPr>
          <w:rFonts w:ascii="宋体" w:hAnsi="宋体" w:hint="eastAsia"/>
          <w:spacing w:val="8"/>
          <w:kern w:val="0"/>
          <w:szCs w:val="21"/>
        </w:rPr>
        <w:t>，外侧壁为</w:t>
      </w:r>
      <w:r>
        <w:rPr>
          <w:rFonts w:ascii="宋体" w:hAnsi="宋体"/>
          <w:spacing w:val="11"/>
          <w:kern w:val="0"/>
          <w:szCs w:val="21"/>
          <w:u w:val="single"/>
        </w:rPr>
        <w:t xml:space="preserve">        </w:t>
      </w:r>
      <w:r>
        <w:rPr>
          <w:rFonts w:ascii="宋体" w:hAnsi="宋体" w:hint="eastAsia"/>
          <w:spacing w:val="11"/>
          <w:kern w:val="0"/>
          <w:szCs w:val="21"/>
        </w:rPr>
        <w:t>。骨迷路</w:t>
      </w:r>
      <w:r>
        <w:rPr>
          <w:rFonts w:ascii="宋体" w:hAnsi="宋体" w:hint="eastAsia"/>
          <w:spacing w:val="15"/>
          <w:kern w:val="0"/>
          <w:szCs w:val="21"/>
        </w:rPr>
        <w:t>由前向后包括</w:t>
      </w:r>
      <w:r>
        <w:rPr>
          <w:rFonts w:ascii="宋体" w:hAnsi="宋体"/>
          <w:szCs w:val="21"/>
          <w:u w:val="single"/>
        </w:rPr>
        <w:t xml:space="preserve">         </w:t>
      </w:r>
      <w:r>
        <w:rPr>
          <w:rFonts w:ascii="宋体" w:hAnsi="宋体" w:hint="eastAsia"/>
          <w:spacing w:val="15"/>
          <w:kern w:val="0"/>
          <w:szCs w:val="21"/>
        </w:rPr>
        <w:t>、</w:t>
      </w:r>
    </w:p>
    <w:p w:rsidR="003717A0" w:rsidRDefault="003717A0">
      <w:pPr>
        <w:spacing w:line="400" w:lineRule="exact"/>
        <w:ind w:left="420" w:hangingChars="200" w:hanging="420"/>
        <w:rPr>
          <w:rFonts w:ascii="宋体"/>
          <w:spacing w:val="17"/>
          <w:kern w:val="0"/>
          <w:szCs w:val="21"/>
        </w:rPr>
      </w:pPr>
      <w:r>
        <w:rPr>
          <w:rFonts w:ascii="宋体" w:hAnsi="宋体"/>
          <w:szCs w:val="21"/>
          <w:u w:val="single"/>
        </w:rPr>
        <w:t xml:space="preserve">         </w:t>
      </w:r>
      <w:r>
        <w:rPr>
          <w:rFonts w:ascii="宋体" w:hAnsi="宋体" w:hint="eastAsia"/>
          <w:spacing w:val="15"/>
          <w:kern w:val="0"/>
          <w:szCs w:val="21"/>
        </w:rPr>
        <w:t>和</w:t>
      </w:r>
      <w:r>
        <w:rPr>
          <w:rFonts w:ascii="宋体" w:hAnsi="宋体"/>
          <w:szCs w:val="21"/>
          <w:u w:val="single"/>
        </w:rPr>
        <w:t xml:space="preserve">          </w:t>
      </w:r>
      <w:r>
        <w:rPr>
          <w:rFonts w:ascii="宋体" w:hAnsi="宋体" w:hint="eastAsia"/>
          <w:spacing w:val="15"/>
          <w:kern w:val="0"/>
          <w:szCs w:val="21"/>
        </w:rPr>
        <w:t>三部分</w:t>
      </w:r>
      <w:r>
        <w:rPr>
          <w:rFonts w:ascii="宋体" w:hAnsi="宋体" w:hint="eastAsia"/>
          <w:spacing w:val="9"/>
          <w:kern w:val="0"/>
          <w:szCs w:val="21"/>
        </w:rPr>
        <w:t>。</w:t>
      </w:r>
    </w:p>
    <w:p w:rsidR="003717A0" w:rsidRDefault="003717A0">
      <w:pPr>
        <w:spacing w:line="400" w:lineRule="exact"/>
        <w:ind w:left="488" w:hangingChars="200" w:hanging="488"/>
        <w:rPr>
          <w:rFonts w:ascii="宋体"/>
          <w:szCs w:val="21"/>
        </w:rPr>
      </w:pPr>
      <w:r>
        <w:rPr>
          <w:rFonts w:ascii="宋体" w:hAnsi="宋体"/>
          <w:spacing w:val="17"/>
          <w:kern w:val="0"/>
          <w:szCs w:val="21"/>
        </w:rPr>
        <w:t>14.</w:t>
      </w:r>
      <w:r>
        <w:rPr>
          <w:rFonts w:ascii="宋体" w:hAnsi="宋体" w:hint="eastAsia"/>
          <w:szCs w:val="21"/>
        </w:rPr>
        <w:t>交感神经的低级中枢位于脊髓</w:t>
      </w:r>
      <w:r>
        <w:rPr>
          <w:rFonts w:ascii="宋体" w:hAnsi="宋体"/>
          <w:szCs w:val="21"/>
          <w:u w:val="single"/>
        </w:rPr>
        <w:t xml:space="preserve">         </w:t>
      </w:r>
      <w:r>
        <w:rPr>
          <w:rFonts w:ascii="宋体" w:hAnsi="宋体" w:hint="eastAsia"/>
          <w:szCs w:val="21"/>
        </w:rPr>
        <w:t>节段的</w:t>
      </w:r>
      <w:r>
        <w:rPr>
          <w:rFonts w:ascii="宋体" w:hAnsi="宋体"/>
          <w:szCs w:val="21"/>
          <w:u w:val="single"/>
        </w:rPr>
        <w:t xml:space="preserve">                   </w:t>
      </w:r>
      <w:r>
        <w:rPr>
          <w:rFonts w:ascii="宋体" w:hAnsi="宋体" w:hint="eastAsia"/>
          <w:szCs w:val="21"/>
        </w:rPr>
        <w:t>核，骶部副交感神经的低</w:t>
      </w:r>
    </w:p>
    <w:p w:rsidR="003717A0" w:rsidRDefault="003717A0">
      <w:pPr>
        <w:spacing w:line="400" w:lineRule="exact"/>
        <w:ind w:left="420" w:hangingChars="200" w:hanging="420"/>
        <w:rPr>
          <w:rFonts w:ascii="宋体"/>
          <w:szCs w:val="21"/>
        </w:rPr>
      </w:pPr>
      <w:r>
        <w:rPr>
          <w:rFonts w:ascii="宋体" w:hAnsi="宋体" w:hint="eastAsia"/>
          <w:szCs w:val="21"/>
        </w:rPr>
        <w:t>级中枢位于脊髓</w:t>
      </w:r>
      <w:r>
        <w:rPr>
          <w:rFonts w:ascii="宋体" w:hAnsi="宋体"/>
          <w:szCs w:val="21"/>
          <w:u w:val="single"/>
        </w:rPr>
        <w:t xml:space="preserve">         </w:t>
      </w:r>
      <w:r>
        <w:rPr>
          <w:rFonts w:ascii="宋体" w:hAnsi="宋体" w:hint="eastAsia"/>
          <w:szCs w:val="21"/>
        </w:rPr>
        <w:t>节段的</w:t>
      </w:r>
      <w:r>
        <w:rPr>
          <w:rFonts w:ascii="宋体" w:hAnsi="宋体"/>
          <w:szCs w:val="21"/>
          <w:u w:val="single"/>
        </w:rPr>
        <w:t xml:space="preserve">               </w:t>
      </w:r>
      <w:r>
        <w:rPr>
          <w:rFonts w:ascii="宋体" w:hAnsi="宋体" w:hint="eastAsia"/>
          <w:szCs w:val="21"/>
        </w:rPr>
        <w:t>核。</w:t>
      </w:r>
    </w:p>
    <w:p w:rsidR="003717A0" w:rsidRDefault="003717A0">
      <w:pPr>
        <w:spacing w:line="400" w:lineRule="exact"/>
        <w:rPr>
          <w:rFonts w:ascii="宋体"/>
          <w:szCs w:val="21"/>
        </w:rPr>
      </w:pPr>
      <w:r>
        <w:rPr>
          <w:rFonts w:ascii="宋体" w:hAnsi="宋体"/>
          <w:szCs w:val="21"/>
        </w:rPr>
        <w:t>15.</w:t>
      </w:r>
      <w:r>
        <w:rPr>
          <w:rFonts w:ascii="宋体" w:hAnsi="宋体" w:hint="eastAsia"/>
          <w:szCs w:val="21"/>
        </w:rPr>
        <w:t>脊髓表面有数条纵行的沟和裂，在腹侧面中线上有一条</w:t>
      </w:r>
      <w:r>
        <w:rPr>
          <w:rFonts w:ascii="宋体" w:hAnsi="宋体"/>
          <w:szCs w:val="21"/>
          <w:u w:val="single"/>
        </w:rPr>
        <w:t xml:space="preserve">            </w:t>
      </w:r>
      <w:r>
        <w:rPr>
          <w:rFonts w:ascii="宋体" w:hAnsi="宋体" w:hint="eastAsia"/>
          <w:szCs w:val="21"/>
        </w:rPr>
        <w:t>，在背侧面中线上有一</w:t>
      </w:r>
    </w:p>
    <w:p w:rsidR="003717A0" w:rsidRDefault="003717A0">
      <w:pPr>
        <w:spacing w:line="400" w:lineRule="exact"/>
        <w:rPr>
          <w:rFonts w:ascii="宋体"/>
          <w:szCs w:val="21"/>
        </w:rPr>
      </w:pPr>
      <w:r>
        <w:rPr>
          <w:rFonts w:ascii="宋体" w:hAnsi="宋体" w:hint="eastAsia"/>
          <w:szCs w:val="21"/>
        </w:rPr>
        <w:t>条</w:t>
      </w:r>
      <w:r>
        <w:rPr>
          <w:rFonts w:ascii="宋体" w:hAnsi="宋体"/>
          <w:szCs w:val="21"/>
          <w:u w:val="single"/>
        </w:rPr>
        <w:t xml:space="preserve">             </w:t>
      </w:r>
      <w:r>
        <w:rPr>
          <w:rFonts w:ascii="宋体" w:hAnsi="宋体" w:hint="eastAsia"/>
          <w:szCs w:val="21"/>
        </w:rPr>
        <w:t>；脊髓全长有两个膨大为</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rPr>
        <w:t>16.</w:t>
      </w:r>
      <w:r>
        <w:rPr>
          <w:rFonts w:ascii="宋体" w:hAnsi="宋体" w:hint="eastAsia"/>
          <w:szCs w:val="21"/>
        </w:rPr>
        <w:t>小脑核有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rPr>
        <w:lastRenderedPageBreak/>
        <w:t>17.</w:t>
      </w:r>
      <w:r>
        <w:rPr>
          <w:rFonts w:ascii="宋体" w:hAnsi="宋体" w:hint="eastAsia"/>
          <w:szCs w:val="21"/>
        </w:rPr>
        <w:t>间脑包括</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五部分。</w:t>
      </w:r>
    </w:p>
    <w:p w:rsidR="003717A0" w:rsidRDefault="003717A0">
      <w:pPr>
        <w:spacing w:line="400" w:lineRule="exact"/>
        <w:rPr>
          <w:rFonts w:ascii="宋体"/>
          <w:szCs w:val="21"/>
        </w:rPr>
      </w:pPr>
      <w:r>
        <w:rPr>
          <w:rFonts w:ascii="宋体" w:hAnsi="宋体"/>
          <w:szCs w:val="21"/>
        </w:rPr>
        <w:t>18.</w:t>
      </w:r>
      <w:r>
        <w:rPr>
          <w:rFonts w:ascii="宋体" w:hAnsi="宋体" w:hint="eastAsia"/>
          <w:szCs w:val="21"/>
        </w:rPr>
        <w:t>躯干和四肢本体感觉传导通路中三级神经元的胞体依次位于</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p>
    <w:p w:rsidR="003717A0" w:rsidRDefault="003717A0">
      <w:pPr>
        <w:widowControl/>
        <w:adjustRightInd w:val="0"/>
        <w:snapToGrid w:val="0"/>
        <w:spacing w:line="360" w:lineRule="auto"/>
        <w:rPr>
          <w:rFonts w:ascii="宋体"/>
          <w:szCs w:val="21"/>
        </w:rPr>
      </w:pP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3717A0" w:rsidRDefault="003717A0">
      <w:pPr>
        <w:widowControl/>
        <w:adjustRightInd w:val="0"/>
        <w:snapToGrid w:val="0"/>
        <w:spacing w:line="360" w:lineRule="auto"/>
        <w:rPr>
          <w:rFonts w:ascii="宋体"/>
          <w:szCs w:val="21"/>
        </w:rPr>
      </w:pPr>
    </w:p>
    <w:p w:rsidR="003717A0" w:rsidRDefault="003717A0">
      <w:pPr>
        <w:widowControl/>
        <w:adjustRightInd w:val="0"/>
        <w:snapToGrid w:val="0"/>
        <w:spacing w:line="360" w:lineRule="auto"/>
        <w:rPr>
          <w:rFonts w:ascii="宋体"/>
          <w:szCs w:val="21"/>
        </w:rPr>
      </w:pPr>
      <w:r>
        <w:rPr>
          <w:rFonts w:ascii="宋体" w:hAnsi="宋体" w:hint="eastAsia"/>
          <w:szCs w:val="21"/>
        </w:rPr>
        <w:t>三、单选题（每题</w:t>
      </w:r>
      <w:r>
        <w:rPr>
          <w:rFonts w:ascii="宋体" w:hAnsi="宋体"/>
          <w:szCs w:val="21"/>
        </w:rPr>
        <w:t>1</w:t>
      </w:r>
      <w:r>
        <w:rPr>
          <w:rFonts w:ascii="宋体" w:hAnsi="宋体" w:hint="eastAsia"/>
          <w:szCs w:val="21"/>
        </w:rPr>
        <w:t>分，共</w:t>
      </w:r>
      <w:r>
        <w:rPr>
          <w:rFonts w:ascii="宋体" w:hAnsi="宋体"/>
          <w:szCs w:val="21"/>
        </w:rPr>
        <w:t>10</w:t>
      </w:r>
      <w:r>
        <w:rPr>
          <w:rFonts w:ascii="宋体" w:hAnsi="宋体" w:hint="eastAsia"/>
          <w:szCs w:val="21"/>
        </w:rPr>
        <w:t>分）</w:t>
      </w:r>
    </w:p>
    <w:p w:rsidR="003717A0" w:rsidRDefault="003717A0">
      <w:pPr>
        <w:spacing w:line="400" w:lineRule="atLeast"/>
        <w:rPr>
          <w:rFonts w:ascii="宋体"/>
          <w:szCs w:val="21"/>
        </w:rPr>
      </w:pPr>
      <w:r>
        <w:rPr>
          <w:rFonts w:ascii="宋体" w:hAnsi="宋体"/>
          <w:szCs w:val="21"/>
        </w:rPr>
        <w:t>1.</w:t>
      </w:r>
      <w:r>
        <w:rPr>
          <w:rFonts w:ascii="宋体" w:hAnsi="宋体" w:hint="eastAsia"/>
          <w:spacing w:val="10"/>
          <w:kern w:val="0"/>
          <w:szCs w:val="21"/>
        </w:rPr>
        <w:t>属于长骨的是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pacing w:line="400" w:lineRule="atLeast"/>
        <w:rPr>
          <w:rFonts w:ascii="宋体"/>
          <w:szCs w:val="21"/>
        </w:rPr>
      </w:pPr>
      <w:r>
        <w:rPr>
          <w:rFonts w:ascii="宋体" w:hAnsi="宋体"/>
          <w:szCs w:val="21"/>
        </w:rPr>
        <w:t xml:space="preserve">A. </w:t>
      </w:r>
      <w:r>
        <w:rPr>
          <w:rFonts w:ascii="宋体" w:hAnsi="宋体" w:hint="eastAsia"/>
          <w:spacing w:val="10"/>
          <w:kern w:val="0"/>
          <w:szCs w:val="21"/>
        </w:rPr>
        <w:t>肋骨</w:t>
      </w:r>
      <w:r>
        <w:rPr>
          <w:rFonts w:ascii="宋体" w:hAnsi="宋体"/>
          <w:szCs w:val="21"/>
        </w:rPr>
        <w:t xml:space="preserve">      B.</w:t>
      </w:r>
      <w:r>
        <w:rPr>
          <w:rFonts w:ascii="宋体" w:hAnsi="宋体"/>
          <w:spacing w:val="10"/>
          <w:kern w:val="0"/>
          <w:szCs w:val="21"/>
        </w:rPr>
        <w:t xml:space="preserve"> </w:t>
      </w:r>
      <w:r>
        <w:rPr>
          <w:rFonts w:ascii="宋体" w:hAnsi="宋体" w:hint="eastAsia"/>
          <w:spacing w:val="10"/>
          <w:kern w:val="0"/>
          <w:szCs w:val="21"/>
        </w:rPr>
        <w:t>指骨</w:t>
      </w:r>
      <w:r>
        <w:rPr>
          <w:rFonts w:ascii="宋体" w:hAnsi="宋体"/>
          <w:szCs w:val="21"/>
        </w:rPr>
        <w:t xml:space="preserve">     C.</w:t>
      </w:r>
      <w:r>
        <w:rPr>
          <w:rFonts w:ascii="宋体" w:hAnsi="宋体"/>
          <w:spacing w:val="10"/>
          <w:kern w:val="0"/>
          <w:szCs w:val="21"/>
        </w:rPr>
        <w:t xml:space="preserve"> </w:t>
      </w:r>
      <w:r>
        <w:rPr>
          <w:rFonts w:ascii="宋体" w:hAnsi="宋体" w:hint="eastAsia"/>
          <w:spacing w:val="10"/>
          <w:kern w:val="0"/>
          <w:szCs w:val="21"/>
        </w:rPr>
        <w:t>髋骨</w:t>
      </w:r>
      <w:r>
        <w:rPr>
          <w:rFonts w:ascii="宋体" w:hAnsi="宋体"/>
          <w:szCs w:val="21"/>
        </w:rPr>
        <w:t xml:space="preserve">      D.</w:t>
      </w:r>
      <w:r>
        <w:rPr>
          <w:rFonts w:ascii="宋体" w:hAnsi="宋体"/>
          <w:spacing w:val="10"/>
          <w:kern w:val="0"/>
          <w:szCs w:val="21"/>
        </w:rPr>
        <w:t xml:space="preserve"> </w:t>
      </w:r>
      <w:r>
        <w:rPr>
          <w:rFonts w:ascii="宋体" w:hAnsi="宋体" w:hint="eastAsia"/>
          <w:spacing w:val="10"/>
          <w:kern w:val="0"/>
          <w:szCs w:val="21"/>
        </w:rPr>
        <w:t>肩胛骨</w:t>
      </w:r>
      <w:r>
        <w:rPr>
          <w:rFonts w:ascii="宋体" w:hAnsi="宋体"/>
          <w:szCs w:val="21"/>
        </w:rPr>
        <w:t xml:space="preserve">      E.</w:t>
      </w:r>
      <w:r>
        <w:rPr>
          <w:rFonts w:ascii="宋体" w:hAnsi="宋体"/>
          <w:spacing w:val="10"/>
          <w:kern w:val="0"/>
          <w:szCs w:val="21"/>
        </w:rPr>
        <w:t xml:space="preserve"> </w:t>
      </w:r>
      <w:r>
        <w:rPr>
          <w:rFonts w:ascii="宋体" w:hAnsi="宋体" w:hint="eastAsia"/>
          <w:spacing w:val="10"/>
          <w:kern w:val="0"/>
          <w:szCs w:val="21"/>
        </w:rPr>
        <w:t>锁骨</w:t>
      </w:r>
    </w:p>
    <w:p w:rsidR="003717A0" w:rsidRDefault="003717A0">
      <w:pPr>
        <w:spacing w:line="400" w:lineRule="atLeast"/>
        <w:rPr>
          <w:rFonts w:ascii="宋体"/>
          <w:spacing w:val="10"/>
          <w:kern w:val="0"/>
          <w:szCs w:val="21"/>
        </w:rPr>
      </w:pPr>
      <w:r>
        <w:rPr>
          <w:rFonts w:ascii="宋体" w:hAnsi="宋体"/>
          <w:szCs w:val="21"/>
        </w:rPr>
        <w:t>2.</w:t>
      </w:r>
      <w:r>
        <w:rPr>
          <w:rFonts w:ascii="宋体" w:hAnsi="宋体" w:hint="eastAsia"/>
          <w:spacing w:val="10"/>
          <w:kern w:val="0"/>
          <w:szCs w:val="21"/>
        </w:rPr>
        <w:t>含有关节唇的关节是</w:t>
      </w:r>
      <w:r>
        <w:rPr>
          <w:rFonts w:ascii="宋体" w:hAnsi="宋体"/>
          <w:spacing w:val="10"/>
          <w:kern w:val="0"/>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pacing w:val="10"/>
          <w:kern w:val="0"/>
          <w:szCs w:val="21"/>
        </w:rPr>
        <w:t xml:space="preserve">  </w:t>
      </w:r>
    </w:p>
    <w:p w:rsidR="003717A0" w:rsidRDefault="003717A0">
      <w:pPr>
        <w:spacing w:line="400" w:lineRule="atLeast"/>
        <w:rPr>
          <w:rFonts w:ascii="宋体"/>
          <w:spacing w:val="10"/>
          <w:kern w:val="0"/>
          <w:szCs w:val="21"/>
        </w:rPr>
      </w:pPr>
      <w:r>
        <w:rPr>
          <w:rFonts w:ascii="宋体" w:hAnsi="宋体"/>
          <w:spacing w:val="10"/>
          <w:kern w:val="0"/>
          <w:szCs w:val="21"/>
        </w:rPr>
        <w:t>A</w:t>
      </w:r>
      <w:r>
        <w:rPr>
          <w:rFonts w:ascii="宋体" w:hAnsi="宋体" w:hint="eastAsia"/>
          <w:spacing w:val="10"/>
          <w:kern w:val="0"/>
          <w:szCs w:val="21"/>
        </w:rPr>
        <w:t>．肩关节</w:t>
      </w:r>
      <w:r>
        <w:rPr>
          <w:rFonts w:ascii="宋体" w:hAnsi="宋体"/>
          <w:spacing w:val="10"/>
          <w:kern w:val="0"/>
          <w:szCs w:val="21"/>
        </w:rPr>
        <w:t xml:space="preserve">    B</w:t>
      </w:r>
      <w:r>
        <w:rPr>
          <w:rFonts w:ascii="宋体" w:hAnsi="宋体" w:hint="eastAsia"/>
          <w:spacing w:val="10"/>
          <w:kern w:val="0"/>
          <w:szCs w:val="21"/>
        </w:rPr>
        <w:t>．肱尺关节</w:t>
      </w:r>
      <w:r>
        <w:rPr>
          <w:rFonts w:ascii="宋体" w:hAnsi="宋体"/>
          <w:spacing w:val="10"/>
          <w:kern w:val="0"/>
          <w:szCs w:val="21"/>
        </w:rPr>
        <w:t xml:space="preserve">   </w:t>
      </w:r>
      <w:r>
        <w:rPr>
          <w:rFonts w:ascii="宋体" w:hAnsi="宋体"/>
          <w:bCs/>
          <w:spacing w:val="10"/>
          <w:kern w:val="0"/>
          <w:szCs w:val="21"/>
        </w:rPr>
        <w:t>C</w:t>
      </w:r>
      <w:r>
        <w:rPr>
          <w:rFonts w:ascii="宋体" w:hAnsi="宋体" w:hint="eastAsia"/>
          <w:bCs/>
          <w:spacing w:val="10"/>
          <w:kern w:val="0"/>
          <w:szCs w:val="21"/>
        </w:rPr>
        <w:t>．颞下颌关节</w:t>
      </w:r>
      <w:r>
        <w:rPr>
          <w:rFonts w:ascii="宋体" w:hAnsi="宋体"/>
          <w:bCs/>
          <w:spacing w:val="10"/>
          <w:kern w:val="0"/>
          <w:szCs w:val="21"/>
        </w:rPr>
        <w:t xml:space="preserve">    </w:t>
      </w:r>
      <w:r>
        <w:rPr>
          <w:rFonts w:ascii="宋体" w:hAnsi="宋体"/>
          <w:spacing w:val="10"/>
          <w:kern w:val="0"/>
          <w:szCs w:val="21"/>
        </w:rPr>
        <w:t>D</w:t>
      </w:r>
      <w:r>
        <w:rPr>
          <w:rFonts w:ascii="宋体" w:hAnsi="宋体" w:hint="eastAsia"/>
          <w:spacing w:val="10"/>
          <w:kern w:val="0"/>
          <w:szCs w:val="21"/>
        </w:rPr>
        <w:t>．膝关节</w:t>
      </w:r>
      <w:r>
        <w:rPr>
          <w:rFonts w:ascii="宋体" w:hAnsi="宋体"/>
          <w:spacing w:val="10"/>
          <w:kern w:val="0"/>
          <w:szCs w:val="21"/>
        </w:rPr>
        <w:t xml:space="preserve">   E</w:t>
      </w:r>
      <w:r>
        <w:rPr>
          <w:rFonts w:ascii="宋体" w:hAnsi="宋体" w:hint="eastAsia"/>
          <w:spacing w:val="10"/>
          <w:kern w:val="0"/>
          <w:szCs w:val="21"/>
        </w:rPr>
        <w:t>．踝关节</w:t>
      </w:r>
    </w:p>
    <w:p w:rsidR="003717A0" w:rsidRDefault="003717A0">
      <w:pPr>
        <w:tabs>
          <w:tab w:val="left" w:pos="180"/>
        </w:tabs>
        <w:spacing w:line="400" w:lineRule="atLeast"/>
        <w:rPr>
          <w:rFonts w:ascii="宋体"/>
          <w:szCs w:val="21"/>
        </w:rPr>
      </w:pPr>
      <w:r>
        <w:rPr>
          <w:rFonts w:ascii="宋体" w:hAnsi="宋体"/>
          <w:szCs w:val="21"/>
        </w:rPr>
        <w:t>3.</w:t>
      </w:r>
      <w:r>
        <w:rPr>
          <w:rFonts w:ascii="宋体" w:hAnsi="宋体" w:hint="eastAsia"/>
          <w:szCs w:val="21"/>
        </w:rPr>
        <w:t>阑尾根部的体表投影是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tabs>
          <w:tab w:val="left" w:pos="180"/>
        </w:tabs>
        <w:spacing w:line="400" w:lineRule="atLeast"/>
        <w:rPr>
          <w:rFonts w:ascii="宋体"/>
          <w:szCs w:val="21"/>
        </w:rPr>
      </w:pPr>
      <w:r>
        <w:rPr>
          <w:rFonts w:ascii="宋体" w:hAnsi="宋体"/>
          <w:szCs w:val="21"/>
        </w:rPr>
        <w:t>A</w:t>
      </w:r>
      <w:r>
        <w:rPr>
          <w:rFonts w:ascii="宋体" w:hAnsi="宋体" w:hint="eastAsia"/>
          <w:szCs w:val="21"/>
        </w:rPr>
        <w:t>．脐与右髂前上棘连线的中内</w:t>
      </w:r>
      <w:r>
        <w:rPr>
          <w:rFonts w:ascii="宋体" w:hAnsi="宋体"/>
          <w:szCs w:val="21"/>
        </w:rPr>
        <w:t>1/3</w:t>
      </w:r>
      <w:r>
        <w:rPr>
          <w:rFonts w:ascii="宋体" w:hAnsi="宋体" w:hint="eastAsia"/>
          <w:szCs w:val="21"/>
        </w:rPr>
        <w:t>交点处</w:t>
      </w:r>
      <w:r>
        <w:rPr>
          <w:rFonts w:ascii="宋体" w:hAnsi="宋体"/>
          <w:szCs w:val="21"/>
        </w:rPr>
        <w:t xml:space="preserve">      B</w:t>
      </w:r>
      <w:r>
        <w:rPr>
          <w:rFonts w:ascii="宋体" w:hAnsi="宋体" w:hint="eastAsia"/>
          <w:szCs w:val="21"/>
        </w:rPr>
        <w:t>．脐与右髂前上棘连线的中外</w:t>
      </w:r>
      <w:r>
        <w:rPr>
          <w:rFonts w:ascii="宋体" w:hAnsi="宋体"/>
          <w:szCs w:val="21"/>
        </w:rPr>
        <w:t>1/3</w:t>
      </w:r>
      <w:r>
        <w:rPr>
          <w:rFonts w:ascii="宋体" w:hAnsi="宋体" w:hint="eastAsia"/>
          <w:szCs w:val="21"/>
        </w:rPr>
        <w:t>交点处</w:t>
      </w:r>
    </w:p>
    <w:p w:rsidR="003717A0" w:rsidRDefault="003717A0">
      <w:pPr>
        <w:tabs>
          <w:tab w:val="left" w:pos="180"/>
        </w:tabs>
        <w:spacing w:line="400" w:lineRule="atLeast"/>
        <w:rPr>
          <w:rFonts w:ascii="宋体"/>
          <w:szCs w:val="21"/>
        </w:rPr>
      </w:pPr>
      <w:r>
        <w:rPr>
          <w:rFonts w:ascii="宋体" w:hAnsi="宋体"/>
          <w:szCs w:val="21"/>
        </w:rPr>
        <w:t>C</w:t>
      </w:r>
      <w:r>
        <w:rPr>
          <w:rFonts w:ascii="宋体" w:hAnsi="宋体" w:hint="eastAsia"/>
          <w:szCs w:val="21"/>
        </w:rPr>
        <w:t>．两侧髂前上棘连线的左侧中外</w:t>
      </w:r>
      <w:r>
        <w:rPr>
          <w:rFonts w:ascii="宋体" w:hAnsi="宋体"/>
          <w:szCs w:val="21"/>
        </w:rPr>
        <w:t>1/3</w:t>
      </w:r>
      <w:r>
        <w:rPr>
          <w:rFonts w:ascii="宋体" w:hAnsi="宋体" w:hint="eastAsia"/>
          <w:szCs w:val="21"/>
        </w:rPr>
        <w:t>交点处</w:t>
      </w:r>
      <w:r>
        <w:rPr>
          <w:rFonts w:ascii="宋体" w:hAnsi="宋体"/>
          <w:szCs w:val="21"/>
        </w:rPr>
        <w:t xml:space="preserve">    D</w:t>
      </w:r>
      <w:r>
        <w:rPr>
          <w:rFonts w:ascii="宋体" w:hAnsi="宋体" w:hint="eastAsia"/>
          <w:szCs w:val="21"/>
        </w:rPr>
        <w:t>．两侧髂结节连线的右侧中外</w:t>
      </w:r>
      <w:r>
        <w:rPr>
          <w:rFonts w:ascii="宋体" w:hAnsi="宋体"/>
          <w:szCs w:val="21"/>
        </w:rPr>
        <w:t>1/3</w:t>
      </w:r>
      <w:r>
        <w:rPr>
          <w:rFonts w:ascii="宋体" w:hAnsi="宋体" w:hint="eastAsia"/>
          <w:szCs w:val="21"/>
        </w:rPr>
        <w:t>交点处</w:t>
      </w:r>
    </w:p>
    <w:p w:rsidR="003717A0" w:rsidRDefault="003717A0">
      <w:pPr>
        <w:tabs>
          <w:tab w:val="left" w:pos="180"/>
        </w:tabs>
        <w:spacing w:line="400" w:lineRule="atLeast"/>
        <w:rPr>
          <w:rFonts w:ascii="宋体"/>
          <w:szCs w:val="21"/>
        </w:rPr>
      </w:pPr>
      <w:r>
        <w:rPr>
          <w:rFonts w:ascii="宋体" w:hAnsi="宋体"/>
          <w:szCs w:val="21"/>
        </w:rPr>
        <w:t>E</w:t>
      </w:r>
      <w:r>
        <w:rPr>
          <w:rFonts w:ascii="宋体" w:hAnsi="宋体" w:hint="eastAsia"/>
          <w:szCs w:val="21"/>
        </w:rPr>
        <w:t>．脐与右侧髂前上棘连线的中点处</w:t>
      </w:r>
    </w:p>
    <w:p w:rsidR="003717A0" w:rsidRDefault="003717A0">
      <w:pPr>
        <w:spacing w:line="400" w:lineRule="atLeast"/>
        <w:rPr>
          <w:rFonts w:ascii="宋体"/>
          <w:szCs w:val="21"/>
        </w:rPr>
      </w:pPr>
      <w:r>
        <w:rPr>
          <w:rFonts w:ascii="宋体" w:hAnsi="宋体"/>
          <w:szCs w:val="21"/>
        </w:rPr>
        <w:t>4.</w:t>
      </w:r>
      <w:r>
        <w:rPr>
          <w:rFonts w:ascii="宋体" w:hAnsi="宋体" w:hint="eastAsia"/>
          <w:szCs w:val="21"/>
        </w:rPr>
        <w:t>下列哪个器官属于腹膜间位器官</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pacing w:line="400" w:lineRule="atLeast"/>
        <w:rPr>
          <w:rFonts w:ascii="宋体"/>
          <w:szCs w:val="21"/>
        </w:rPr>
      </w:pPr>
      <w:r>
        <w:rPr>
          <w:rFonts w:ascii="宋体" w:hAnsi="宋体"/>
          <w:szCs w:val="21"/>
        </w:rPr>
        <w:t>A.</w:t>
      </w:r>
      <w:r>
        <w:rPr>
          <w:rFonts w:ascii="宋体" w:hAnsi="宋体" w:hint="eastAsia"/>
          <w:szCs w:val="21"/>
        </w:rPr>
        <w:t>胃</w:t>
      </w:r>
      <w:r>
        <w:rPr>
          <w:rFonts w:ascii="宋体" w:hAnsi="宋体"/>
          <w:szCs w:val="21"/>
        </w:rPr>
        <w:t xml:space="preserve">         B.</w:t>
      </w:r>
      <w:r>
        <w:rPr>
          <w:rFonts w:ascii="宋体" w:hAnsi="宋体" w:hint="eastAsia"/>
          <w:szCs w:val="21"/>
        </w:rPr>
        <w:t>阑尾</w:t>
      </w:r>
      <w:r>
        <w:rPr>
          <w:rFonts w:ascii="宋体" w:hAnsi="宋体"/>
          <w:szCs w:val="21"/>
        </w:rPr>
        <w:t xml:space="preserve">        C.</w:t>
      </w:r>
      <w:r>
        <w:rPr>
          <w:rFonts w:ascii="宋体" w:hAnsi="宋体" w:hint="eastAsia"/>
          <w:szCs w:val="21"/>
        </w:rPr>
        <w:t>横结肠</w:t>
      </w:r>
      <w:r>
        <w:rPr>
          <w:rFonts w:ascii="宋体" w:hAnsi="宋体"/>
          <w:szCs w:val="21"/>
        </w:rPr>
        <w:t xml:space="preserve">         D.</w:t>
      </w:r>
      <w:r>
        <w:rPr>
          <w:rFonts w:ascii="宋体" w:hAnsi="宋体" w:hint="eastAsia"/>
          <w:szCs w:val="21"/>
        </w:rPr>
        <w:t>肝</w:t>
      </w:r>
      <w:r>
        <w:rPr>
          <w:rFonts w:ascii="宋体" w:hAnsi="宋体"/>
          <w:szCs w:val="21"/>
        </w:rPr>
        <w:t xml:space="preserve">         E.</w:t>
      </w:r>
      <w:r>
        <w:rPr>
          <w:rFonts w:ascii="宋体" w:hAnsi="宋体" w:hint="eastAsia"/>
          <w:szCs w:val="21"/>
        </w:rPr>
        <w:t>肾脏</w:t>
      </w:r>
    </w:p>
    <w:p w:rsidR="003717A0" w:rsidRDefault="003717A0">
      <w:pPr>
        <w:autoSpaceDE w:val="0"/>
        <w:autoSpaceDN w:val="0"/>
        <w:adjustRightInd w:val="0"/>
        <w:snapToGrid w:val="0"/>
        <w:spacing w:line="400" w:lineRule="atLeast"/>
        <w:rPr>
          <w:rFonts w:ascii="宋体"/>
          <w:spacing w:val="10"/>
          <w:kern w:val="0"/>
          <w:szCs w:val="21"/>
        </w:rPr>
      </w:pPr>
      <w:r>
        <w:rPr>
          <w:rFonts w:ascii="宋体" w:hAnsi="宋体"/>
          <w:spacing w:val="10"/>
          <w:kern w:val="0"/>
          <w:szCs w:val="21"/>
        </w:rPr>
        <w:t>5.</w:t>
      </w:r>
      <w:r>
        <w:rPr>
          <w:rFonts w:ascii="宋体" w:hAnsi="宋体" w:hint="eastAsia"/>
          <w:spacing w:val="10"/>
          <w:kern w:val="0"/>
          <w:szCs w:val="21"/>
        </w:rPr>
        <w:t>阑尾动脉来源于</w:t>
      </w:r>
      <w:r>
        <w:rPr>
          <w:rFonts w:ascii="宋体" w:hAnsi="宋体"/>
          <w:spacing w:val="10"/>
          <w:kern w:val="0"/>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widowControl/>
        <w:adjustRightInd w:val="0"/>
        <w:snapToGrid w:val="0"/>
        <w:spacing w:line="360" w:lineRule="auto"/>
        <w:rPr>
          <w:rFonts w:ascii="宋体"/>
          <w:spacing w:val="10"/>
          <w:kern w:val="0"/>
          <w:szCs w:val="21"/>
        </w:rPr>
      </w:pPr>
      <w:r>
        <w:rPr>
          <w:rFonts w:ascii="宋体" w:hAnsi="宋体"/>
          <w:spacing w:val="10"/>
          <w:kern w:val="0"/>
          <w:szCs w:val="21"/>
        </w:rPr>
        <w:t>A</w:t>
      </w:r>
      <w:r>
        <w:rPr>
          <w:rFonts w:ascii="宋体" w:hAnsi="宋体" w:hint="eastAsia"/>
          <w:spacing w:val="10"/>
          <w:kern w:val="0"/>
          <w:szCs w:val="21"/>
        </w:rPr>
        <w:t>．膀胱下动脉</w:t>
      </w:r>
      <w:r>
        <w:rPr>
          <w:rFonts w:ascii="宋体" w:hAnsi="宋体"/>
          <w:spacing w:val="10"/>
          <w:kern w:val="0"/>
          <w:szCs w:val="21"/>
        </w:rPr>
        <w:t xml:space="preserve">   B</w:t>
      </w:r>
      <w:r>
        <w:rPr>
          <w:rFonts w:ascii="宋体" w:hAnsi="宋体" w:hint="eastAsia"/>
          <w:spacing w:val="10"/>
          <w:kern w:val="0"/>
          <w:szCs w:val="21"/>
        </w:rPr>
        <w:t>．肾动脉</w:t>
      </w:r>
      <w:r>
        <w:rPr>
          <w:rFonts w:ascii="宋体" w:hAnsi="宋体"/>
          <w:spacing w:val="10"/>
          <w:kern w:val="0"/>
          <w:szCs w:val="21"/>
        </w:rPr>
        <w:t xml:space="preserve">   C</w:t>
      </w:r>
      <w:r>
        <w:rPr>
          <w:rFonts w:ascii="宋体" w:hAnsi="宋体" w:hint="eastAsia"/>
          <w:spacing w:val="10"/>
          <w:kern w:val="0"/>
          <w:szCs w:val="21"/>
        </w:rPr>
        <w:t>．回结肠动脉</w:t>
      </w:r>
      <w:r>
        <w:rPr>
          <w:rFonts w:ascii="宋体" w:hAnsi="宋体"/>
          <w:spacing w:val="10"/>
          <w:kern w:val="0"/>
          <w:szCs w:val="21"/>
        </w:rPr>
        <w:t xml:space="preserve">   D</w:t>
      </w:r>
      <w:r>
        <w:rPr>
          <w:rFonts w:ascii="宋体" w:hAnsi="宋体" w:hint="eastAsia"/>
          <w:spacing w:val="10"/>
          <w:kern w:val="0"/>
          <w:szCs w:val="21"/>
        </w:rPr>
        <w:t>．肠系膜下动脉</w:t>
      </w:r>
      <w:r>
        <w:rPr>
          <w:rFonts w:ascii="宋体" w:hAnsi="宋体"/>
          <w:spacing w:val="10"/>
          <w:kern w:val="0"/>
          <w:szCs w:val="21"/>
        </w:rPr>
        <w:t xml:space="preserve">   E</w:t>
      </w:r>
      <w:r>
        <w:rPr>
          <w:rFonts w:ascii="宋体" w:hAnsi="宋体" w:hint="eastAsia"/>
          <w:spacing w:val="10"/>
          <w:kern w:val="0"/>
          <w:szCs w:val="21"/>
        </w:rPr>
        <w:t>．腹腔干</w:t>
      </w:r>
    </w:p>
    <w:p w:rsidR="003717A0" w:rsidRDefault="003717A0">
      <w:pPr>
        <w:autoSpaceDE w:val="0"/>
        <w:autoSpaceDN w:val="0"/>
        <w:adjustRightInd w:val="0"/>
        <w:snapToGrid w:val="0"/>
        <w:spacing w:line="400" w:lineRule="exact"/>
        <w:rPr>
          <w:rFonts w:ascii="宋体"/>
          <w:szCs w:val="21"/>
        </w:rPr>
      </w:pPr>
      <w:r>
        <w:rPr>
          <w:rFonts w:ascii="宋体" w:hAnsi="宋体"/>
          <w:szCs w:val="21"/>
        </w:rPr>
        <w:t>6</w:t>
      </w:r>
      <w:r>
        <w:rPr>
          <w:rFonts w:ascii="宋体" w:hAnsi="宋体" w:hint="eastAsia"/>
          <w:szCs w:val="21"/>
        </w:rPr>
        <w:t>．</w:t>
      </w:r>
      <w:r>
        <w:rPr>
          <w:rFonts w:ascii="宋体" w:hAnsi="宋体" w:hint="eastAsia"/>
          <w:spacing w:val="11"/>
          <w:kern w:val="0"/>
          <w:szCs w:val="21"/>
        </w:rPr>
        <w:t>冠状窦注入</w:t>
      </w:r>
      <w:r>
        <w:rPr>
          <w:rFonts w:ascii="宋体" w:hAnsi="宋体"/>
          <w:spacing w:val="11"/>
          <w:kern w:val="0"/>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400" w:lineRule="exact"/>
        <w:rPr>
          <w:sz w:val="24"/>
        </w:rPr>
      </w:pPr>
      <w:r>
        <w:rPr>
          <w:rFonts w:ascii="宋体" w:hAnsi="宋体"/>
          <w:szCs w:val="21"/>
        </w:rPr>
        <w:t>A</w:t>
      </w:r>
      <w:r>
        <w:rPr>
          <w:rFonts w:ascii="宋体" w:hAnsi="宋体" w:hint="eastAsia"/>
          <w:szCs w:val="21"/>
        </w:rPr>
        <w:t>、</w:t>
      </w:r>
      <w:r>
        <w:rPr>
          <w:rFonts w:ascii="宋体" w:hAnsi="宋体" w:hint="eastAsia"/>
          <w:spacing w:val="11"/>
          <w:kern w:val="0"/>
          <w:szCs w:val="21"/>
        </w:rPr>
        <w:t>左心房</w:t>
      </w:r>
      <w:r>
        <w:rPr>
          <w:rFonts w:ascii="宋体" w:hAnsi="宋体"/>
          <w:szCs w:val="21"/>
        </w:rPr>
        <w:t xml:space="preserve">      B</w:t>
      </w:r>
      <w:r>
        <w:rPr>
          <w:rFonts w:ascii="宋体" w:hAnsi="宋体" w:hint="eastAsia"/>
          <w:szCs w:val="21"/>
        </w:rPr>
        <w:t>、</w:t>
      </w:r>
      <w:r>
        <w:rPr>
          <w:rFonts w:ascii="宋体" w:hAnsi="宋体" w:hint="eastAsia"/>
          <w:spacing w:val="11"/>
          <w:kern w:val="0"/>
          <w:szCs w:val="21"/>
        </w:rPr>
        <w:t>右心室</w:t>
      </w:r>
      <w:r>
        <w:rPr>
          <w:rFonts w:ascii="宋体" w:hAnsi="宋体"/>
          <w:szCs w:val="21"/>
        </w:rPr>
        <w:t xml:space="preserve">      C</w:t>
      </w:r>
      <w:r>
        <w:rPr>
          <w:rFonts w:ascii="宋体" w:hAnsi="宋体" w:hint="eastAsia"/>
          <w:szCs w:val="21"/>
        </w:rPr>
        <w:t>、</w:t>
      </w:r>
      <w:r>
        <w:rPr>
          <w:rFonts w:ascii="宋体" w:hAnsi="宋体" w:hint="eastAsia"/>
          <w:spacing w:val="11"/>
          <w:kern w:val="0"/>
          <w:szCs w:val="21"/>
        </w:rPr>
        <w:t>上腔静脉</w:t>
      </w:r>
      <w:r>
        <w:rPr>
          <w:rFonts w:ascii="宋体" w:hAnsi="宋体"/>
          <w:szCs w:val="21"/>
        </w:rPr>
        <w:t xml:space="preserve">      D</w:t>
      </w:r>
      <w:r>
        <w:rPr>
          <w:rFonts w:ascii="宋体" w:hAnsi="宋体" w:hint="eastAsia"/>
          <w:szCs w:val="21"/>
        </w:rPr>
        <w:t>、</w:t>
      </w:r>
      <w:r>
        <w:rPr>
          <w:rFonts w:ascii="宋体" w:hAnsi="宋体" w:hint="eastAsia"/>
          <w:spacing w:val="11"/>
          <w:kern w:val="0"/>
          <w:szCs w:val="21"/>
        </w:rPr>
        <w:t>下腔静脉</w:t>
      </w:r>
      <w:r>
        <w:rPr>
          <w:rFonts w:ascii="宋体" w:hAnsi="宋体"/>
          <w:szCs w:val="21"/>
        </w:rPr>
        <w:t xml:space="preserve">       E</w:t>
      </w:r>
      <w:r>
        <w:rPr>
          <w:rFonts w:ascii="宋体" w:hAnsi="宋体" w:hint="eastAsia"/>
          <w:szCs w:val="21"/>
        </w:rPr>
        <w:t>、</w:t>
      </w:r>
      <w:r>
        <w:rPr>
          <w:rFonts w:ascii="宋体" w:hAnsi="宋体" w:hint="eastAsia"/>
          <w:spacing w:val="11"/>
          <w:kern w:val="0"/>
          <w:szCs w:val="21"/>
        </w:rPr>
        <w:t>右心房</w:t>
      </w:r>
    </w:p>
    <w:p w:rsidR="003717A0" w:rsidRDefault="003717A0">
      <w:pPr>
        <w:tabs>
          <w:tab w:val="left" w:pos="6606"/>
        </w:tabs>
        <w:spacing w:line="400" w:lineRule="exact"/>
        <w:rPr>
          <w:rFonts w:ascii="宋体"/>
          <w:szCs w:val="21"/>
        </w:rPr>
      </w:pPr>
      <w:r>
        <w:rPr>
          <w:rFonts w:ascii="宋体" w:hAnsi="宋体"/>
          <w:szCs w:val="21"/>
        </w:rPr>
        <w:t>7.</w:t>
      </w:r>
      <w:r>
        <w:rPr>
          <w:rFonts w:ascii="宋体" w:hAnsi="宋体" w:hint="eastAsia"/>
          <w:szCs w:val="21"/>
        </w:rPr>
        <w:t>听觉感受器是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tabs>
          <w:tab w:val="left" w:pos="6606"/>
        </w:tabs>
        <w:spacing w:line="400" w:lineRule="exact"/>
        <w:rPr>
          <w:rFonts w:ascii="宋体"/>
          <w:szCs w:val="21"/>
        </w:rPr>
      </w:pPr>
      <w:r>
        <w:rPr>
          <w:rFonts w:ascii="宋体" w:hAnsi="宋体"/>
          <w:szCs w:val="21"/>
        </w:rPr>
        <w:t xml:space="preserve">A. </w:t>
      </w:r>
      <w:r>
        <w:rPr>
          <w:rFonts w:ascii="宋体" w:hAnsi="宋体" w:hint="eastAsia"/>
          <w:spacing w:val="5"/>
          <w:kern w:val="0"/>
          <w:szCs w:val="21"/>
        </w:rPr>
        <w:t>螺旋膜</w:t>
      </w:r>
      <w:r>
        <w:rPr>
          <w:rFonts w:ascii="宋体" w:hAnsi="宋体"/>
          <w:szCs w:val="21"/>
        </w:rPr>
        <w:t xml:space="preserve">      B. </w:t>
      </w:r>
      <w:r>
        <w:rPr>
          <w:rFonts w:ascii="宋体" w:hAnsi="宋体" w:hint="eastAsia"/>
          <w:spacing w:val="5"/>
          <w:kern w:val="0"/>
          <w:szCs w:val="21"/>
        </w:rPr>
        <w:t>螺旋管</w:t>
      </w:r>
      <w:r>
        <w:rPr>
          <w:rFonts w:ascii="宋体" w:hAnsi="宋体"/>
          <w:spacing w:val="5"/>
          <w:kern w:val="0"/>
          <w:szCs w:val="21"/>
        </w:rPr>
        <w:t xml:space="preserve">      </w:t>
      </w:r>
      <w:r>
        <w:rPr>
          <w:rFonts w:ascii="宋体" w:hAnsi="宋体"/>
          <w:szCs w:val="21"/>
        </w:rPr>
        <w:t xml:space="preserve">C. </w:t>
      </w:r>
      <w:r>
        <w:rPr>
          <w:rFonts w:ascii="宋体" w:hAnsi="宋体" w:hint="eastAsia"/>
          <w:spacing w:val="5"/>
          <w:kern w:val="0"/>
          <w:szCs w:val="21"/>
        </w:rPr>
        <w:t>螺旋器</w:t>
      </w:r>
      <w:r>
        <w:rPr>
          <w:rFonts w:ascii="宋体" w:hAnsi="宋体"/>
          <w:spacing w:val="5"/>
          <w:kern w:val="0"/>
          <w:szCs w:val="21"/>
        </w:rPr>
        <w:t xml:space="preserve">        </w:t>
      </w:r>
      <w:r>
        <w:rPr>
          <w:rFonts w:ascii="宋体" w:hAnsi="宋体"/>
          <w:szCs w:val="21"/>
        </w:rPr>
        <w:t xml:space="preserve">D. </w:t>
      </w:r>
      <w:r>
        <w:rPr>
          <w:rFonts w:ascii="宋体" w:hAnsi="宋体" w:hint="eastAsia"/>
          <w:spacing w:val="5"/>
          <w:kern w:val="0"/>
          <w:szCs w:val="21"/>
        </w:rPr>
        <w:t>前庭膜</w:t>
      </w:r>
      <w:r>
        <w:rPr>
          <w:rFonts w:ascii="宋体" w:hAnsi="宋体"/>
          <w:szCs w:val="21"/>
        </w:rPr>
        <w:t xml:space="preserve">         E. </w:t>
      </w:r>
      <w:r>
        <w:rPr>
          <w:rFonts w:ascii="宋体" w:hAnsi="宋体" w:hint="eastAsia"/>
          <w:spacing w:val="5"/>
          <w:kern w:val="0"/>
          <w:szCs w:val="21"/>
        </w:rPr>
        <w:t>壶腹嵴</w:t>
      </w:r>
    </w:p>
    <w:p w:rsidR="003717A0" w:rsidRDefault="003717A0">
      <w:pPr>
        <w:spacing w:line="400" w:lineRule="exact"/>
        <w:rPr>
          <w:rFonts w:ascii="宋体"/>
          <w:szCs w:val="21"/>
        </w:rPr>
      </w:pPr>
      <w:r>
        <w:rPr>
          <w:rFonts w:ascii="宋体" w:hAnsi="宋体"/>
          <w:szCs w:val="21"/>
        </w:rPr>
        <w:t>8</w:t>
      </w:r>
      <w:r>
        <w:rPr>
          <w:rFonts w:ascii="宋体" w:hAnsi="宋体" w:hint="eastAsia"/>
          <w:szCs w:val="21"/>
        </w:rPr>
        <w:t>．胸神经前皮支的分布有明显的节段性，脐区相当于以下哪个平面</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tabs>
          <w:tab w:val="left" w:pos="6606"/>
        </w:tabs>
        <w:spacing w:line="400" w:lineRule="exact"/>
        <w:rPr>
          <w:rFonts w:ascii="宋体"/>
          <w:spacing w:val="11"/>
          <w:kern w:val="0"/>
          <w:szCs w:val="21"/>
          <w:lang w:val="fr-FR"/>
        </w:rPr>
      </w:pPr>
      <w:r>
        <w:rPr>
          <w:rFonts w:ascii="宋体" w:hAnsi="宋体"/>
          <w:szCs w:val="21"/>
          <w:lang w:val="fr-FR"/>
        </w:rPr>
        <w:t xml:space="preserve">A. </w:t>
      </w:r>
      <w:r>
        <w:rPr>
          <w:rFonts w:ascii="宋体" w:hAnsi="宋体"/>
          <w:spacing w:val="11"/>
          <w:kern w:val="0"/>
          <w:szCs w:val="21"/>
          <w:lang w:val="fr-FR"/>
        </w:rPr>
        <w:t>T4</w:t>
      </w:r>
      <w:r>
        <w:rPr>
          <w:rFonts w:ascii="宋体" w:hAnsi="宋体"/>
          <w:szCs w:val="21"/>
          <w:lang w:val="fr-FR"/>
        </w:rPr>
        <w:t xml:space="preserve">          B. </w:t>
      </w:r>
      <w:r>
        <w:rPr>
          <w:rFonts w:ascii="宋体" w:hAnsi="宋体"/>
          <w:spacing w:val="11"/>
          <w:kern w:val="0"/>
          <w:szCs w:val="21"/>
          <w:lang w:val="fr-FR"/>
        </w:rPr>
        <w:t>T6</w:t>
      </w:r>
      <w:r>
        <w:rPr>
          <w:rFonts w:ascii="宋体" w:hAnsi="宋体"/>
          <w:szCs w:val="21"/>
          <w:lang w:val="fr-FR"/>
        </w:rPr>
        <w:t xml:space="preserve">           C. </w:t>
      </w:r>
      <w:r>
        <w:rPr>
          <w:rFonts w:ascii="宋体" w:hAnsi="宋体"/>
          <w:spacing w:val="11"/>
          <w:kern w:val="0"/>
          <w:szCs w:val="21"/>
          <w:lang w:val="fr-FR"/>
        </w:rPr>
        <w:t>T8</w:t>
      </w:r>
      <w:r>
        <w:rPr>
          <w:rFonts w:ascii="宋体" w:hAnsi="宋体"/>
          <w:szCs w:val="21"/>
          <w:lang w:val="fr-FR"/>
        </w:rPr>
        <w:t xml:space="preserve">            D. </w:t>
      </w:r>
      <w:r>
        <w:rPr>
          <w:rFonts w:ascii="宋体" w:hAnsi="宋体"/>
          <w:spacing w:val="11"/>
          <w:kern w:val="0"/>
          <w:szCs w:val="21"/>
          <w:lang w:val="fr-FR"/>
        </w:rPr>
        <w:t>T10</w:t>
      </w:r>
      <w:r>
        <w:rPr>
          <w:rFonts w:ascii="宋体" w:hAnsi="宋体"/>
          <w:szCs w:val="21"/>
          <w:lang w:val="fr-FR"/>
        </w:rPr>
        <w:t xml:space="preserve">            E. </w:t>
      </w:r>
      <w:r>
        <w:rPr>
          <w:rFonts w:ascii="宋体" w:hAnsi="宋体"/>
          <w:spacing w:val="11"/>
          <w:kern w:val="0"/>
          <w:szCs w:val="21"/>
          <w:lang w:val="fr-FR"/>
        </w:rPr>
        <w:t>T12</w:t>
      </w:r>
    </w:p>
    <w:p w:rsidR="003717A0" w:rsidRDefault="003717A0">
      <w:pPr>
        <w:tabs>
          <w:tab w:val="left" w:pos="6606"/>
        </w:tabs>
        <w:spacing w:line="400" w:lineRule="exact"/>
        <w:rPr>
          <w:rFonts w:ascii="宋体"/>
          <w:szCs w:val="21"/>
        </w:rPr>
      </w:pPr>
      <w:r>
        <w:rPr>
          <w:rFonts w:ascii="宋体" w:hAnsi="宋体"/>
          <w:szCs w:val="21"/>
        </w:rPr>
        <w:t>9.</w:t>
      </w:r>
      <w:r>
        <w:rPr>
          <w:rFonts w:ascii="宋体" w:hAnsi="宋体" w:hint="eastAsia"/>
          <w:szCs w:val="21"/>
        </w:rPr>
        <w:t>下列哪个核团属于特殊内脏运动柱</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400" w:lineRule="exact"/>
        <w:rPr>
          <w:rFonts w:ascii="宋体"/>
          <w:spacing w:val="11"/>
          <w:kern w:val="0"/>
          <w:szCs w:val="21"/>
        </w:rPr>
      </w:pPr>
      <w:r>
        <w:rPr>
          <w:rFonts w:ascii="宋体" w:hAnsi="宋体"/>
          <w:szCs w:val="21"/>
        </w:rPr>
        <w:t xml:space="preserve">A. </w:t>
      </w:r>
      <w:r>
        <w:rPr>
          <w:rFonts w:ascii="宋体" w:hAnsi="宋体" w:hint="eastAsia"/>
          <w:spacing w:val="11"/>
          <w:kern w:val="0"/>
          <w:szCs w:val="21"/>
        </w:rPr>
        <w:t>迷走神经背核</w:t>
      </w:r>
      <w:r>
        <w:rPr>
          <w:rFonts w:ascii="宋体" w:hAnsi="宋体"/>
          <w:szCs w:val="21"/>
        </w:rPr>
        <w:t xml:space="preserve">             B. </w:t>
      </w:r>
      <w:r>
        <w:rPr>
          <w:rFonts w:ascii="宋体" w:hAnsi="宋体" w:hint="eastAsia"/>
          <w:szCs w:val="21"/>
        </w:rPr>
        <w:t>三叉神经运动核</w:t>
      </w:r>
      <w:r>
        <w:rPr>
          <w:rFonts w:ascii="宋体" w:hAnsi="宋体"/>
          <w:szCs w:val="21"/>
        </w:rPr>
        <w:t xml:space="preserve">           C.  </w:t>
      </w:r>
      <w:r>
        <w:rPr>
          <w:rFonts w:ascii="宋体" w:hAnsi="宋体" w:hint="eastAsia"/>
          <w:spacing w:val="11"/>
          <w:kern w:val="0"/>
          <w:szCs w:val="21"/>
        </w:rPr>
        <w:t>舌下神经核</w:t>
      </w:r>
    </w:p>
    <w:p w:rsidR="003717A0" w:rsidRDefault="003717A0">
      <w:pPr>
        <w:spacing w:line="400" w:lineRule="exact"/>
        <w:rPr>
          <w:rFonts w:ascii="宋体"/>
          <w:szCs w:val="21"/>
        </w:rPr>
      </w:pPr>
      <w:r>
        <w:rPr>
          <w:rFonts w:ascii="宋体" w:hAnsi="宋体"/>
          <w:szCs w:val="21"/>
        </w:rPr>
        <w:t xml:space="preserve">D. </w:t>
      </w:r>
      <w:r>
        <w:rPr>
          <w:rFonts w:ascii="宋体" w:hAnsi="宋体" w:hint="eastAsia"/>
          <w:szCs w:val="21"/>
        </w:rPr>
        <w:t>动眼神经副核</w:t>
      </w:r>
      <w:r>
        <w:rPr>
          <w:rFonts w:ascii="宋体" w:hAnsi="宋体"/>
          <w:szCs w:val="21"/>
        </w:rPr>
        <w:t xml:space="preserve">              E. </w:t>
      </w:r>
      <w:r>
        <w:rPr>
          <w:rFonts w:ascii="宋体" w:hAnsi="宋体" w:hint="eastAsia"/>
          <w:szCs w:val="21"/>
        </w:rPr>
        <w:t>展神经核</w:t>
      </w:r>
    </w:p>
    <w:p w:rsidR="003717A0" w:rsidRDefault="003717A0">
      <w:pPr>
        <w:spacing w:line="400" w:lineRule="exact"/>
        <w:rPr>
          <w:rFonts w:ascii="宋体"/>
          <w:szCs w:val="21"/>
        </w:rPr>
      </w:pPr>
      <w:r>
        <w:rPr>
          <w:rFonts w:ascii="宋体" w:hAnsi="宋体"/>
          <w:szCs w:val="21"/>
        </w:rPr>
        <w:t>10.</w:t>
      </w:r>
      <w:r>
        <w:rPr>
          <w:rFonts w:ascii="宋体" w:hAnsi="宋体" w:hint="eastAsia"/>
          <w:szCs w:val="21"/>
        </w:rPr>
        <w:t>书写中枢位于</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pacing w:line="400" w:lineRule="exact"/>
        <w:rPr>
          <w:rFonts w:ascii="宋体"/>
          <w:szCs w:val="21"/>
        </w:rPr>
      </w:pPr>
      <w:r>
        <w:rPr>
          <w:rFonts w:ascii="宋体" w:hAnsi="宋体"/>
          <w:szCs w:val="21"/>
        </w:rPr>
        <w:t>A</w:t>
      </w:r>
      <w:r>
        <w:rPr>
          <w:rFonts w:ascii="宋体" w:hAnsi="宋体" w:hint="eastAsia"/>
          <w:szCs w:val="21"/>
        </w:rPr>
        <w:t>、</w:t>
      </w:r>
      <w:r>
        <w:rPr>
          <w:rFonts w:ascii="宋体" w:hAnsi="宋体" w:hint="eastAsia"/>
          <w:spacing w:val="11"/>
          <w:kern w:val="0"/>
          <w:szCs w:val="21"/>
        </w:rPr>
        <w:t>额上回后部</w:t>
      </w:r>
      <w:r>
        <w:rPr>
          <w:rFonts w:ascii="宋体" w:hAnsi="宋体"/>
          <w:szCs w:val="21"/>
        </w:rPr>
        <w:t xml:space="preserve">               B</w:t>
      </w:r>
      <w:r>
        <w:rPr>
          <w:rFonts w:ascii="宋体" w:hAnsi="宋体" w:hint="eastAsia"/>
          <w:szCs w:val="21"/>
        </w:rPr>
        <w:t>、</w:t>
      </w:r>
      <w:r>
        <w:rPr>
          <w:rFonts w:ascii="宋体" w:hAnsi="宋体" w:hint="eastAsia"/>
          <w:spacing w:val="11"/>
          <w:kern w:val="0"/>
          <w:szCs w:val="21"/>
        </w:rPr>
        <w:t>额中回后部</w:t>
      </w:r>
      <w:r>
        <w:rPr>
          <w:rFonts w:ascii="宋体" w:hAnsi="宋体"/>
          <w:szCs w:val="21"/>
        </w:rPr>
        <w:t xml:space="preserve">              C</w:t>
      </w:r>
      <w:r>
        <w:rPr>
          <w:rFonts w:ascii="宋体" w:hAnsi="宋体" w:hint="eastAsia"/>
          <w:szCs w:val="21"/>
        </w:rPr>
        <w:t>、</w:t>
      </w:r>
      <w:r>
        <w:rPr>
          <w:rFonts w:ascii="宋体" w:hAnsi="宋体" w:hint="eastAsia"/>
          <w:spacing w:val="11"/>
          <w:kern w:val="0"/>
          <w:szCs w:val="21"/>
        </w:rPr>
        <w:t>额下回后部</w:t>
      </w:r>
      <w:r>
        <w:rPr>
          <w:rFonts w:ascii="宋体" w:hAnsi="宋体"/>
          <w:szCs w:val="21"/>
        </w:rPr>
        <w:t xml:space="preserve">  </w:t>
      </w:r>
    </w:p>
    <w:p w:rsidR="003717A0" w:rsidRDefault="003717A0">
      <w:pPr>
        <w:widowControl/>
        <w:adjustRightInd w:val="0"/>
        <w:snapToGrid w:val="0"/>
        <w:spacing w:line="360" w:lineRule="auto"/>
        <w:rPr>
          <w:rFonts w:ascii="宋体"/>
          <w:spacing w:val="11"/>
          <w:kern w:val="0"/>
          <w:szCs w:val="21"/>
        </w:rPr>
      </w:pPr>
      <w:r>
        <w:rPr>
          <w:rFonts w:ascii="宋体" w:hAnsi="宋体"/>
          <w:szCs w:val="21"/>
        </w:rPr>
        <w:t>D</w:t>
      </w:r>
      <w:r>
        <w:rPr>
          <w:rFonts w:ascii="宋体" w:hAnsi="宋体" w:hint="eastAsia"/>
          <w:szCs w:val="21"/>
        </w:rPr>
        <w:t>、</w:t>
      </w:r>
      <w:r>
        <w:rPr>
          <w:rFonts w:ascii="宋体" w:hAnsi="宋体" w:hint="eastAsia"/>
          <w:spacing w:val="11"/>
          <w:kern w:val="0"/>
          <w:szCs w:val="21"/>
        </w:rPr>
        <w:t>颞上回后部</w:t>
      </w:r>
      <w:r>
        <w:rPr>
          <w:rFonts w:ascii="宋体" w:hAnsi="宋体"/>
          <w:szCs w:val="21"/>
        </w:rPr>
        <w:t xml:space="preserve">               E</w:t>
      </w:r>
      <w:r>
        <w:rPr>
          <w:rFonts w:ascii="宋体" w:hAnsi="宋体" w:hint="eastAsia"/>
          <w:szCs w:val="21"/>
        </w:rPr>
        <w:t>、</w:t>
      </w:r>
      <w:r>
        <w:rPr>
          <w:rFonts w:ascii="宋体" w:hAnsi="宋体" w:hint="eastAsia"/>
          <w:spacing w:val="11"/>
          <w:kern w:val="0"/>
          <w:szCs w:val="21"/>
        </w:rPr>
        <w:t>角回</w:t>
      </w:r>
    </w:p>
    <w:p w:rsidR="003717A0" w:rsidRDefault="003717A0">
      <w:pPr>
        <w:widowControl/>
        <w:adjustRightInd w:val="0"/>
        <w:snapToGrid w:val="0"/>
        <w:spacing w:line="360" w:lineRule="auto"/>
        <w:rPr>
          <w:rFonts w:ascii="宋体"/>
          <w:szCs w:val="21"/>
        </w:rPr>
      </w:pPr>
    </w:p>
    <w:p w:rsidR="003717A0" w:rsidRDefault="003717A0">
      <w:pPr>
        <w:widowControl/>
        <w:adjustRightInd w:val="0"/>
        <w:snapToGrid w:val="0"/>
        <w:spacing w:line="360" w:lineRule="auto"/>
        <w:rPr>
          <w:rFonts w:ascii="宋体"/>
          <w:szCs w:val="21"/>
        </w:rPr>
      </w:pPr>
      <w:r>
        <w:rPr>
          <w:rFonts w:ascii="宋体" w:hAnsi="宋体" w:hint="eastAsia"/>
          <w:szCs w:val="21"/>
        </w:rPr>
        <w:t>四、简答题（共</w:t>
      </w:r>
      <w:r>
        <w:rPr>
          <w:rFonts w:ascii="宋体" w:hAnsi="宋体"/>
          <w:szCs w:val="21"/>
        </w:rPr>
        <w:t>30</w:t>
      </w:r>
      <w:r>
        <w:rPr>
          <w:rFonts w:ascii="宋体" w:hAnsi="宋体" w:hint="eastAsia"/>
          <w:szCs w:val="21"/>
        </w:rPr>
        <w:t>分）</w:t>
      </w:r>
    </w:p>
    <w:p w:rsidR="003717A0" w:rsidRDefault="003717A0">
      <w:pPr>
        <w:spacing w:line="400" w:lineRule="exact"/>
        <w:rPr>
          <w:rFonts w:ascii="宋体"/>
          <w:szCs w:val="21"/>
        </w:rPr>
      </w:pPr>
      <w:r>
        <w:rPr>
          <w:rFonts w:ascii="宋体" w:hAnsi="宋体"/>
          <w:szCs w:val="21"/>
        </w:rPr>
        <w:t>1</w:t>
      </w:r>
      <w:r>
        <w:rPr>
          <w:rFonts w:ascii="宋体" w:hAnsi="宋体" w:hint="eastAsia"/>
          <w:szCs w:val="21"/>
        </w:rPr>
        <w:t>．简述膈肌裂孔名称、位置和穿行结构。（</w:t>
      </w:r>
      <w:r>
        <w:rPr>
          <w:rFonts w:ascii="宋体" w:hAnsi="宋体"/>
          <w:szCs w:val="21"/>
        </w:rPr>
        <w:t>5</w:t>
      </w:r>
      <w:r>
        <w:rPr>
          <w:rFonts w:ascii="宋体" w:hAnsi="宋体" w:hint="eastAsia"/>
          <w:szCs w:val="21"/>
        </w:rPr>
        <w:t>分）</w:t>
      </w:r>
    </w:p>
    <w:p w:rsidR="003717A0" w:rsidRDefault="003717A0">
      <w:pPr>
        <w:spacing w:line="400" w:lineRule="exact"/>
        <w:rPr>
          <w:rFonts w:ascii="宋体"/>
          <w:spacing w:val="10"/>
          <w:kern w:val="0"/>
          <w:szCs w:val="21"/>
        </w:rPr>
      </w:pPr>
      <w:r>
        <w:rPr>
          <w:rFonts w:ascii="宋体" w:hAnsi="宋体"/>
          <w:szCs w:val="21"/>
        </w:rPr>
        <w:t>2</w:t>
      </w:r>
      <w:r>
        <w:rPr>
          <w:rFonts w:ascii="宋体" w:hAnsi="宋体" w:hint="eastAsia"/>
          <w:szCs w:val="21"/>
        </w:rPr>
        <w:t>．简述进食前、后胆汁的排出途径。</w:t>
      </w:r>
      <w:r>
        <w:rPr>
          <w:rFonts w:ascii="宋体" w:hAnsi="宋体" w:hint="eastAsia"/>
          <w:spacing w:val="10"/>
          <w:kern w:val="0"/>
          <w:szCs w:val="21"/>
        </w:rPr>
        <w:t>（</w:t>
      </w:r>
      <w:r>
        <w:rPr>
          <w:rFonts w:ascii="宋体" w:hAnsi="宋体"/>
          <w:spacing w:val="10"/>
          <w:kern w:val="0"/>
          <w:szCs w:val="21"/>
        </w:rPr>
        <w:t>4</w:t>
      </w:r>
      <w:r>
        <w:rPr>
          <w:rFonts w:ascii="宋体" w:hAnsi="宋体" w:hint="eastAsia"/>
          <w:spacing w:val="10"/>
          <w:kern w:val="0"/>
          <w:szCs w:val="21"/>
        </w:rPr>
        <w:t>分）</w:t>
      </w:r>
    </w:p>
    <w:p w:rsidR="003717A0" w:rsidRDefault="003717A0">
      <w:pPr>
        <w:spacing w:line="400" w:lineRule="exact"/>
        <w:rPr>
          <w:rFonts w:ascii="宋体"/>
          <w:szCs w:val="21"/>
        </w:rPr>
      </w:pPr>
      <w:r>
        <w:rPr>
          <w:rFonts w:ascii="宋体" w:hAnsi="宋体"/>
          <w:szCs w:val="21"/>
        </w:rPr>
        <w:t>3</w:t>
      </w:r>
      <w:r>
        <w:rPr>
          <w:rFonts w:ascii="宋体" w:hAnsi="宋体" w:hint="eastAsia"/>
          <w:szCs w:val="21"/>
        </w:rPr>
        <w:t>．用箭头表示从</w:t>
      </w:r>
      <w:r>
        <w:rPr>
          <w:rFonts w:ascii="宋体" w:hAnsi="宋体" w:hint="eastAsia"/>
          <w:spacing w:val="10"/>
          <w:kern w:val="0"/>
          <w:szCs w:val="21"/>
        </w:rPr>
        <w:t>臀肌肌注抗生素治疗面部感染区</w:t>
      </w:r>
      <w:r>
        <w:rPr>
          <w:rFonts w:ascii="宋体" w:hAnsi="宋体" w:hint="eastAsia"/>
          <w:szCs w:val="21"/>
        </w:rPr>
        <w:t>的</w:t>
      </w:r>
      <w:r>
        <w:rPr>
          <w:rFonts w:ascii="宋体" w:hAnsi="宋体" w:hint="eastAsia"/>
          <w:spacing w:val="10"/>
          <w:kern w:val="0"/>
          <w:szCs w:val="21"/>
        </w:rPr>
        <w:t>药物</w:t>
      </w:r>
      <w:r>
        <w:rPr>
          <w:rFonts w:ascii="宋体" w:hAnsi="宋体" w:hint="eastAsia"/>
          <w:szCs w:val="21"/>
        </w:rPr>
        <w:t>循环途径。（</w:t>
      </w:r>
      <w:r>
        <w:rPr>
          <w:rFonts w:ascii="宋体" w:hAnsi="宋体"/>
          <w:szCs w:val="21"/>
        </w:rPr>
        <w:t>8</w:t>
      </w:r>
      <w:r>
        <w:rPr>
          <w:rFonts w:ascii="宋体" w:hAnsi="宋体" w:hint="eastAsia"/>
          <w:szCs w:val="21"/>
        </w:rPr>
        <w:t>分）</w:t>
      </w:r>
    </w:p>
    <w:p w:rsidR="003717A0" w:rsidRDefault="003717A0">
      <w:pPr>
        <w:spacing w:line="400" w:lineRule="exact"/>
        <w:rPr>
          <w:rFonts w:ascii="宋体"/>
          <w:szCs w:val="21"/>
        </w:rPr>
      </w:pPr>
      <w:r>
        <w:rPr>
          <w:rFonts w:ascii="宋体" w:hAnsi="宋体"/>
          <w:szCs w:val="21"/>
        </w:rPr>
        <w:lastRenderedPageBreak/>
        <w:t>4</w:t>
      </w:r>
      <w:r>
        <w:rPr>
          <w:rFonts w:ascii="宋体" w:hAnsi="宋体" w:hint="eastAsia"/>
          <w:szCs w:val="21"/>
        </w:rPr>
        <w:t>．简述眼的神经支配（感觉和运动）。</w:t>
      </w:r>
      <w:r>
        <w:rPr>
          <w:rFonts w:ascii="宋体" w:hAnsi="宋体" w:hint="eastAsia"/>
          <w:spacing w:val="10"/>
          <w:kern w:val="0"/>
          <w:szCs w:val="21"/>
        </w:rPr>
        <w:t>（</w:t>
      </w:r>
      <w:r>
        <w:rPr>
          <w:rFonts w:ascii="宋体" w:hAnsi="宋体"/>
          <w:spacing w:val="10"/>
          <w:kern w:val="0"/>
          <w:szCs w:val="21"/>
        </w:rPr>
        <w:t>6</w:t>
      </w:r>
      <w:r>
        <w:rPr>
          <w:rFonts w:ascii="宋体" w:hAnsi="宋体" w:hint="eastAsia"/>
          <w:spacing w:val="10"/>
          <w:kern w:val="0"/>
          <w:szCs w:val="21"/>
        </w:rPr>
        <w:t>分）</w:t>
      </w:r>
    </w:p>
    <w:p w:rsidR="003717A0" w:rsidRDefault="003717A0">
      <w:pPr>
        <w:autoSpaceDE w:val="0"/>
        <w:autoSpaceDN w:val="0"/>
        <w:adjustRightInd w:val="0"/>
        <w:spacing w:line="440" w:lineRule="exact"/>
        <w:rPr>
          <w:rFonts w:ascii="Times New Roman" w:hAnsi="Times New Roman"/>
          <w:b/>
          <w:kern w:val="0"/>
          <w:sz w:val="22"/>
        </w:rPr>
      </w:pPr>
      <w:r>
        <w:rPr>
          <w:rFonts w:ascii="宋体" w:hAnsi="宋体"/>
          <w:szCs w:val="21"/>
        </w:rPr>
        <w:t xml:space="preserve">5. </w:t>
      </w:r>
      <w:r>
        <w:rPr>
          <w:rFonts w:ascii="宋体" w:hAnsi="宋体" w:hint="eastAsia"/>
          <w:szCs w:val="21"/>
        </w:rPr>
        <w:t>简述内囊的位置、分部及各部通过的主要纤维束。</w:t>
      </w:r>
      <w:r>
        <w:rPr>
          <w:rFonts w:ascii="宋体" w:hAnsi="宋体" w:hint="eastAsia"/>
          <w:spacing w:val="10"/>
          <w:kern w:val="0"/>
          <w:szCs w:val="21"/>
        </w:rPr>
        <w:t>（</w:t>
      </w:r>
      <w:r>
        <w:rPr>
          <w:rFonts w:ascii="宋体" w:hAnsi="宋体"/>
          <w:spacing w:val="10"/>
          <w:kern w:val="0"/>
          <w:szCs w:val="21"/>
        </w:rPr>
        <w:t>7</w:t>
      </w:r>
      <w:r>
        <w:rPr>
          <w:rFonts w:ascii="宋体" w:hAnsi="宋体" w:hint="eastAsia"/>
          <w:spacing w:val="10"/>
          <w:kern w:val="0"/>
          <w:szCs w:val="21"/>
        </w:rPr>
        <w:t>分）</w:t>
      </w:r>
    </w:p>
    <w:p w:rsidR="003717A0" w:rsidRPr="00F5156D" w:rsidRDefault="003717A0" w:rsidP="005E20B5">
      <w:pPr>
        <w:adjustRightInd w:val="0"/>
        <w:snapToGrid w:val="0"/>
        <w:spacing w:beforeLines="50" w:afterLines="50" w:line="440" w:lineRule="exact"/>
        <w:jc w:val="center"/>
        <w:rPr>
          <w:rFonts w:ascii="Times New Roman" w:eastAsia="黑体" w:hAnsi="Times New Roman"/>
          <w:b/>
          <w:kern w:val="0"/>
          <w:sz w:val="32"/>
          <w:szCs w:val="32"/>
        </w:rPr>
      </w:pPr>
      <w:r>
        <w:rPr>
          <w:rFonts w:ascii="Times New Roman" w:hAnsi="Times New Roman"/>
          <w:b/>
          <w:kern w:val="0"/>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形态的描述，可在实习课中让学生通过对标本、模型、录像等的观察来加强理解。教师应关心人体解剖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15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15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150"/>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15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15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15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151"/>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Times New Roman" w:hAnsi="宋体"/>
                <w:szCs w:val="21"/>
              </w:rPr>
            </w:pPr>
            <w:r>
              <w:rPr>
                <w:rFonts w:ascii="Times New Roman" w:hAnsi="宋体" w:hint="eastAsia"/>
                <w:szCs w:val="21"/>
              </w:rPr>
              <w:t>学生需完成一定数量的平时作业，包括课前预习，绘图作业等等。</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一、学生完成作业的主要内容：</w:t>
            </w:r>
          </w:p>
          <w:p w:rsidR="003717A0" w:rsidRDefault="003717A0">
            <w:pPr>
              <w:autoSpaceDE w:val="0"/>
              <w:autoSpaceDN w:val="0"/>
              <w:adjustRightInd w:val="0"/>
              <w:snapToGrid w:val="0"/>
              <w:spacing w:line="360" w:lineRule="auto"/>
              <w:ind w:left="420"/>
              <w:jc w:val="left"/>
              <w:rPr>
                <w:rFonts w:ascii="Times New Roman" w:hAnsi="宋体"/>
                <w:szCs w:val="21"/>
              </w:rPr>
            </w:pPr>
            <w:r>
              <w:rPr>
                <w:rFonts w:ascii="Times New Roman" w:hAnsi="宋体" w:hint="eastAsia"/>
                <w:szCs w:val="21"/>
              </w:rPr>
              <w:t>要求学生能熟练地识别正常人体器官的形态结构，并选择部分作为课后绘图作业，准确绘图并正确标注。</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二、学生完成的绘图作业必须达到以下基本要求：</w:t>
            </w:r>
          </w:p>
          <w:p w:rsidR="003717A0" w:rsidRDefault="003717A0">
            <w:pPr>
              <w:numPr>
                <w:ilvl w:val="0"/>
                <w:numId w:val="15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按时按量完成绘图作业，不缺交，不抄袭；</w:t>
            </w:r>
          </w:p>
          <w:p w:rsidR="003717A0" w:rsidRDefault="003717A0">
            <w:pPr>
              <w:numPr>
                <w:ilvl w:val="0"/>
                <w:numId w:val="15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作业规范，书写清晰；</w:t>
            </w:r>
          </w:p>
          <w:p w:rsidR="003717A0" w:rsidRDefault="003717A0">
            <w:pPr>
              <w:numPr>
                <w:ilvl w:val="0"/>
                <w:numId w:val="15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标注正确。</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三、教师批改或讲评作业的数量和次数要求如下：</w:t>
            </w:r>
          </w:p>
          <w:p w:rsidR="003717A0" w:rsidRDefault="003717A0">
            <w:pPr>
              <w:numPr>
                <w:ilvl w:val="0"/>
                <w:numId w:val="15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学生的作业要全批全改，并按时批改、讲评学生每次交来的绘图作业；</w:t>
            </w:r>
          </w:p>
          <w:p w:rsidR="003717A0" w:rsidRDefault="003717A0">
            <w:pPr>
              <w:numPr>
                <w:ilvl w:val="0"/>
                <w:numId w:val="15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lastRenderedPageBreak/>
              <w:t>教师批改或讲评绘图作业要认真、细致，并写明日期；</w:t>
            </w:r>
          </w:p>
          <w:p w:rsidR="003717A0" w:rsidRDefault="003717A0">
            <w:pPr>
              <w:numPr>
                <w:ilvl w:val="0"/>
                <w:numId w:val="153"/>
              </w:numPr>
              <w:autoSpaceDE w:val="0"/>
              <w:autoSpaceDN w:val="0"/>
              <w:adjustRightInd w:val="0"/>
              <w:snapToGrid w:val="0"/>
              <w:spacing w:line="360" w:lineRule="auto"/>
              <w:jc w:val="left"/>
              <w:rPr>
                <w:sz w:val="22"/>
              </w:rPr>
            </w:pPr>
            <w:r>
              <w:rPr>
                <w:rFonts w:ascii="Times New Roman" w:hAnsi="宋体" w:hint="eastAsia"/>
                <w:szCs w:val="21"/>
              </w:rPr>
              <w:t>期末按百分制评出每个学生绘图作业的总评成绩，作为本课程学期总评成绩中平时成绩的重要组成部分。</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15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平时阶段测验占总评成绩的</w:t>
            </w:r>
            <w:r>
              <w:rPr>
                <w:rFonts w:ascii="Times New Roman" w:hAnsi="宋体"/>
                <w:szCs w:val="21"/>
              </w:rPr>
              <w:t>20%</w:t>
            </w:r>
            <w:r>
              <w:rPr>
                <w:rFonts w:ascii="Times New Roman" w:hAnsi="宋体" w:hint="eastAsia"/>
                <w:szCs w:val="21"/>
              </w:rPr>
              <w:t>；</w:t>
            </w:r>
          </w:p>
          <w:p w:rsidR="003717A0" w:rsidRDefault="003717A0">
            <w:pPr>
              <w:numPr>
                <w:ilvl w:val="0"/>
                <w:numId w:val="15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实验成绩占总评成绩的</w:t>
            </w:r>
            <w:r>
              <w:rPr>
                <w:rFonts w:ascii="Times New Roman" w:hAnsi="宋体"/>
                <w:szCs w:val="21"/>
              </w:rPr>
              <w:t>20%</w:t>
            </w:r>
            <w:r>
              <w:rPr>
                <w:rFonts w:ascii="Times New Roman" w:hAnsi="宋体" w:hint="eastAsia"/>
                <w:szCs w:val="21"/>
              </w:rPr>
              <w:t>；</w:t>
            </w:r>
          </w:p>
          <w:p w:rsidR="003717A0" w:rsidRDefault="003717A0">
            <w:pPr>
              <w:numPr>
                <w:ilvl w:val="0"/>
                <w:numId w:val="15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60%</w:t>
            </w:r>
            <w:r>
              <w:rPr>
                <w:rFonts w:ascii="Times New Roman" w:hAnsi="宋体" w:hint="eastAsia"/>
                <w:szCs w:val="21"/>
              </w:rPr>
              <w:t>；</w:t>
            </w:r>
          </w:p>
          <w:p w:rsidR="003717A0" w:rsidRDefault="003717A0">
            <w:pPr>
              <w:numPr>
                <w:ilvl w:val="0"/>
                <w:numId w:val="15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同时还鼓励学生选修“解剖科学进展”课程，培养和提高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pPr>
        <w:pStyle w:val="1"/>
        <w:jc w:val="both"/>
        <w:rPr>
          <w:rFonts w:eastAsia="宋体" w:cs="Arial"/>
          <w:bCs w:val="0"/>
          <w:kern w:val="2"/>
          <w:sz w:val="22"/>
          <w:szCs w:val="22"/>
        </w:rPr>
      </w:pPr>
    </w:p>
    <w:p w:rsidR="003717A0" w:rsidRPr="00F5156D" w:rsidRDefault="003717A0">
      <w:pPr>
        <w:pStyle w:val="1"/>
        <w:rPr>
          <w:b/>
        </w:rPr>
      </w:pPr>
      <w:r>
        <w:rPr>
          <w:rFonts w:eastAsia="宋体" w:cs="Arial"/>
          <w:bCs w:val="0"/>
          <w:kern w:val="2"/>
          <w:sz w:val="22"/>
          <w:szCs w:val="22"/>
        </w:rPr>
        <w:br w:type="page"/>
      </w:r>
      <w:bookmarkStart w:id="52" w:name="_Toc469312988"/>
      <w:bookmarkStart w:id="53" w:name="_Toc471830700"/>
      <w:r w:rsidRPr="00F5156D">
        <w:rPr>
          <w:rFonts w:hint="eastAsia"/>
          <w:b/>
        </w:rPr>
        <w:lastRenderedPageBreak/>
        <w:t>《生理学》课程质量标准</w:t>
      </w:r>
      <w:bookmarkEnd w:id="52"/>
      <w:bookmarkEnd w:id="53"/>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课程名称</w:t>
            </w:r>
          </w:p>
        </w:tc>
        <w:tc>
          <w:tcPr>
            <w:tcW w:w="7618" w:type="dxa"/>
            <w:gridSpan w:val="9"/>
          </w:tcPr>
          <w:p w:rsidR="003717A0" w:rsidRDefault="003717A0" w:rsidP="00F5156D">
            <w:pPr>
              <w:adjustRightInd w:val="0"/>
              <w:snapToGrid w:val="0"/>
              <w:spacing w:line="440" w:lineRule="exact"/>
              <w:jc w:val="center"/>
              <w:rPr>
                <w:sz w:val="22"/>
              </w:rPr>
            </w:pPr>
            <w:r>
              <w:rPr>
                <w:rFonts w:hint="eastAsia"/>
                <w:sz w:val="22"/>
              </w:rPr>
              <w:t>生理学</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英译名称</w:t>
            </w:r>
          </w:p>
        </w:tc>
        <w:tc>
          <w:tcPr>
            <w:tcW w:w="7618" w:type="dxa"/>
            <w:gridSpan w:val="9"/>
          </w:tcPr>
          <w:p w:rsidR="003717A0" w:rsidRDefault="003717A0" w:rsidP="00F5156D">
            <w:pPr>
              <w:adjustRightInd w:val="0"/>
              <w:snapToGrid w:val="0"/>
              <w:spacing w:line="440" w:lineRule="exact"/>
              <w:jc w:val="center"/>
              <w:rPr>
                <w:sz w:val="22"/>
              </w:rPr>
            </w:pPr>
            <w:r>
              <w:rPr>
                <w:sz w:val="22"/>
              </w:rPr>
              <w:t>Physiology</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课程代码</w:t>
            </w:r>
          </w:p>
        </w:tc>
        <w:tc>
          <w:tcPr>
            <w:tcW w:w="2350" w:type="dxa"/>
            <w:gridSpan w:val="2"/>
          </w:tcPr>
          <w:p w:rsidR="003717A0" w:rsidRDefault="003717A0" w:rsidP="00F5156D">
            <w:pPr>
              <w:adjustRightInd w:val="0"/>
              <w:snapToGrid w:val="0"/>
              <w:spacing w:line="440" w:lineRule="exact"/>
              <w:jc w:val="center"/>
              <w:rPr>
                <w:sz w:val="22"/>
              </w:rPr>
            </w:pPr>
            <w:r>
              <w:rPr>
                <w:sz w:val="22"/>
              </w:rPr>
              <w:t>170547</w:t>
            </w:r>
          </w:p>
        </w:tc>
        <w:tc>
          <w:tcPr>
            <w:tcW w:w="1902" w:type="dxa"/>
            <w:gridSpan w:val="3"/>
          </w:tcPr>
          <w:p w:rsidR="003717A0" w:rsidRDefault="003717A0" w:rsidP="00F5156D">
            <w:pPr>
              <w:adjustRightInd w:val="0"/>
              <w:snapToGrid w:val="0"/>
              <w:spacing w:line="440" w:lineRule="exact"/>
              <w:jc w:val="center"/>
              <w:rPr>
                <w:sz w:val="22"/>
              </w:rPr>
            </w:pPr>
            <w:r>
              <w:rPr>
                <w:rFonts w:hint="eastAsia"/>
                <w:sz w:val="22"/>
              </w:rPr>
              <w:t>课程开设学期</w:t>
            </w:r>
          </w:p>
        </w:tc>
        <w:tc>
          <w:tcPr>
            <w:tcW w:w="3366" w:type="dxa"/>
            <w:gridSpan w:val="4"/>
          </w:tcPr>
          <w:p w:rsidR="003717A0" w:rsidRDefault="003717A0" w:rsidP="00F5156D">
            <w:pPr>
              <w:adjustRightInd w:val="0"/>
              <w:snapToGrid w:val="0"/>
              <w:spacing w:line="440" w:lineRule="exact"/>
              <w:jc w:val="center"/>
              <w:rPr>
                <w:sz w:val="22"/>
              </w:rPr>
            </w:pPr>
            <w:r>
              <w:rPr>
                <w:rFonts w:hint="eastAsia"/>
                <w:sz w:val="22"/>
              </w:rPr>
              <w:t>二</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课程学时</w:t>
            </w:r>
          </w:p>
        </w:tc>
        <w:tc>
          <w:tcPr>
            <w:tcW w:w="2350" w:type="dxa"/>
            <w:gridSpan w:val="2"/>
          </w:tcPr>
          <w:p w:rsidR="003717A0" w:rsidRDefault="003717A0" w:rsidP="00F5156D">
            <w:pPr>
              <w:adjustRightInd w:val="0"/>
              <w:snapToGrid w:val="0"/>
              <w:spacing w:line="440" w:lineRule="exact"/>
              <w:jc w:val="center"/>
              <w:rPr>
                <w:sz w:val="22"/>
              </w:rPr>
            </w:pPr>
            <w:r>
              <w:rPr>
                <w:sz w:val="22"/>
              </w:rPr>
              <w:t>84</w:t>
            </w:r>
          </w:p>
        </w:tc>
        <w:tc>
          <w:tcPr>
            <w:tcW w:w="1902" w:type="dxa"/>
            <w:gridSpan w:val="3"/>
          </w:tcPr>
          <w:p w:rsidR="003717A0" w:rsidRDefault="003717A0" w:rsidP="00F5156D">
            <w:pPr>
              <w:adjustRightInd w:val="0"/>
              <w:snapToGrid w:val="0"/>
              <w:spacing w:line="440" w:lineRule="exact"/>
              <w:jc w:val="center"/>
              <w:rPr>
                <w:sz w:val="22"/>
              </w:rPr>
            </w:pPr>
            <w:r>
              <w:rPr>
                <w:rFonts w:hint="eastAsia"/>
                <w:sz w:val="22"/>
              </w:rPr>
              <w:t>课程学分</w:t>
            </w:r>
          </w:p>
        </w:tc>
        <w:tc>
          <w:tcPr>
            <w:tcW w:w="3366" w:type="dxa"/>
            <w:gridSpan w:val="4"/>
          </w:tcPr>
          <w:p w:rsidR="003717A0" w:rsidRDefault="003717A0" w:rsidP="00F5156D">
            <w:pPr>
              <w:adjustRightInd w:val="0"/>
              <w:snapToGrid w:val="0"/>
              <w:spacing w:line="440" w:lineRule="exact"/>
              <w:jc w:val="center"/>
              <w:rPr>
                <w:sz w:val="22"/>
              </w:rPr>
            </w:pPr>
            <w:r>
              <w:rPr>
                <w:sz w:val="22"/>
              </w:rPr>
              <w:t>5</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课程类型</w:t>
            </w:r>
          </w:p>
        </w:tc>
        <w:tc>
          <w:tcPr>
            <w:tcW w:w="7618" w:type="dxa"/>
            <w:gridSpan w:val="9"/>
          </w:tcPr>
          <w:p w:rsidR="003717A0" w:rsidRDefault="003717A0" w:rsidP="00F5156D">
            <w:pPr>
              <w:adjustRightInd w:val="0"/>
              <w:snapToGrid w:val="0"/>
              <w:spacing w:line="44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授课学院</w:t>
            </w:r>
          </w:p>
        </w:tc>
        <w:tc>
          <w:tcPr>
            <w:tcW w:w="2350" w:type="dxa"/>
            <w:gridSpan w:val="2"/>
          </w:tcPr>
          <w:p w:rsidR="003717A0" w:rsidRDefault="003717A0" w:rsidP="00F5156D">
            <w:pPr>
              <w:adjustRightInd w:val="0"/>
              <w:snapToGrid w:val="0"/>
              <w:spacing w:line="440" w:lineRule="exact"/>
              <w:jc w:val="center"/>
              <w:rPr>
                <w:sz w:val="22"/>
              </w:rPr>
            </w:pPr>
            <w:r>
              <w:rPr>
                <w:rFonts w:hint="eastAsia"/>
                <w:sz w:val="22"/>
              </w:rPr>
              <w:t>医学院</w:t>
            </w:r>
          </w:p>
        </w:tc>
        <w:tc>
          <w:tcPr>
            <w:tcW w:w="2634" w:type="dxa"/>
            <w:gridSpan w:val="5"/>
          </w:tcPr>
          <w:p w:rsidR="003717A0" w:rsidRDefault="003717A0" w:rsidP="00F5156D">
            <w:pPr>
              <w:adjustRightInd w:val="0"/>
              <w:snapToGrid w:val="0"/>
              <w:spacing w:line="44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F5156D">
            <w:pPr>
              <w:adjustRightInd w:val="0"/>
              <w:snapToGrid w:val="0"/>
              <w:spacing w:line="440" w:lineRule="exact"/>
              <w:jc w:val="center"/>
              <w:rPr>
                <w:sz w:val="22"/>
              </w:rPr>
            </w:pPr>
            <w:r>
              <w:rPr>
                <w:rFonts w:hint="eastAsia"/>
                <w:sz w:val="22"/>
              </w:rPr>
              <w:t>生理学系</w:t>
            </w:r>
          </w:p>
        </w:tc>
      </w:tr>
      <w:tr w:rsidR="003717A0" w:rsidTr="00F5156D">
        <w:trPr>
          <w:jc w:val="center"/>
        </w:trPr>
        <w:tc>
          <w:tcPr>
            <w:tcW w:w="1668" w:type="dxa"/>
          </w:tcPr>
          <w:p w:rsidR="003717A0" w:rsidRDefault="003717A0" w:rsidP="00F5156D">
            <w:pPr>
              <w:adjustRightInd w:val="0"/>
              <w:snapToGrid w:val="0"/>
              <w:spacing w:line="440" w:lineRule="exact"/>
              <w:rPr>
                <w:sz w:val="22"/>
              </w:rPr>
            </w:pPr>
            <w:r>
              <w:rPr>
                <w:rFonts w:hint="eastAsia"/>
                <w:sz w:val="22"/>
              </w:rPr>
              <w:t>教材名称</w:t>
            </w:r>
          </w:p>
        </w:tc>
        <w:tc>
          <w:tcPr>
            <w:tcW w:w="7618" w:type="dxa"/>
            <w:gridSpan w:val="9"/>
          </w:tcPr>
          <w:p w:rsidR="003717A0" w:rsidRDefault="003717A0" w:rsidP="00F5156D">
            <w:pPr>
              <w:adjustRightInd w:val="0"/>
              <w:snapToGrid w:val="0"/>
              <w:spacing w:line="440" w:lineRule="exact"/>
              <w:jc w:val="center"/>
              <w:rPr>
                <w:sz w:val="22"/>
              </w:rPr>
            </w:pPr>
            <w:r>
              <w:rPr>
                <w:rFonts w:hint="eastAsia"/>
                <w:sz w:val="22"/>
              </w:rPr>
              <w:t>人体生理学（第二版）</w:t>
            </w:r>
          </w:p>
        </w:tc>
      </w:tr>
      <w:tr w:rsidR="003717A0" w:rsidTr="00F5156D">
        <w:trPr>
          <w:jc w:val="center"/>
        </w:trPr>
        <w:tc>
          <w:tcPr>
            <w:tcW w:w="1668" w:type="dxa"/>
          </w:tcPr>
          <w:p w:rsidR="003717A0" w:rsidRDefault="003717A0" w:rsidP="00F5156D">
            <w:pPr>
              <w:adjustRightInd w:val="0"/>
              <w:snapToGrid w:val="0"/>
              <w:spacing w:line="440" w:lineRule="exact"/>
              <w:rPr>
                <w:sz w:val="22"/>
              </w:rPr>
            </w:pPr>
            <w:r>
              <w:rPr>
                <w:rFonts w:hint="eastAsia"/>
                <w:sz w:val="22"/>
              </w:rPr>
              <w:t>教材出版信息</w:t>
            </w:r>
          </w:p>
        </w:tc>
        <w:tc>
          <w:tcPr>
            <w:tcW w:w="7618" w:type="dxa"/>
            <w:gridSpan w:val="9"/>
          </w:tcPr>
          <w:p w:rsidR="003717A0" w:rsidRDefault="003717A0" w:rsidP="00F5156D">
            <w:pPr>
              <w:adjustRightInd w:val="0"/>
              <w:snapToGrid w:val="0"/>
              <w:spacing w:line="440" w:lineRule="exact"/>
              <w:jc w:val="center"/>
              <w:rPr>
                <w:sz w:val="22"/>
              </w:rPr>
            </w:pPr>
            <w:r>
              <w:rPr>
                <w:rFonts w:hint="eastAsia"/>
                <w:sz w:val="22"/>
              </w:rPr>
              <w:t>高等教育出版社，</w:t>
            </w:r>
            <w:r>
              <w:rPr>
                <w:sz w:val="22"/>
              </w:rPr>
              <w:t>2010</w:t>
            </w:r>
            <w:r>
              <w:rPr>
                <w:rFonts w:hint="eastAsia"/>
                <w:sz w:val="22"/>
              </w:rPr>
              <w:t>年</w:t>
            </w:r>
            <w:r>
              <w:rPr>
                <w:sz w:val="22"/>
              </w:rPr>
              <w:t>3</w:t>
            </w:r>
            <w:r>
              <w:rPr>
                <w:rFonts w:hint="eastAsia"/>
                <w:sz w:val="22"/>
              </w:rPr>
              <w:t>月第</w:t>
            </w:r>
            <w:r>
              <w:rPr>
                <w:sz w:val="22"/>
              </w:rPr>
              <w:t>2</w:t>
            </w:r>
            <w:r>
              <w:rPr>
                <w:rFonts w:hint="eastAsia"/>
                <w:sz w:val="22"/>
              </w:rPr>
              <w:t>版，书号：</w:t>
            </w:r>
            <w:r>
              <w:rPr>
                <w:sz w:val="22"/>
              </w:rPr>
              <w:t>ISBN 978-7-04-030446-6</w:t>
            </w:r>
          </w:p>
        </w:tc>
      </w:tr>
      <w:tr w:rsidR="003717A0" w:rsidTr="00F5156D">
        <w:trPr>
          <w:jc w:val="center"/>
        </w:trPr>
        <w:tc>
          <w:tcPr>
            <w:tcW w:w="1668" w:type="dxa"/>
          </w:tcPr>
          <w:p w:rsidR="003717A0" w:rsidRDefault="003717A0" w:rsidP="00F5156D">
            <w:pPr>
              <w:adjustRightInd w:val="0"/>
              <w:snapToGrid w:val="0"/>
              <w:spacing w:line="440" w:lineRule="exact"/>
              <w:rPr>
                <w:sz w:val="22"/>
              </w:rPr>
            </w:pPr>
            <w:r>
              <w:rPr>
                <w:rFonts w:hint="eastAsia"/>
                <w:sz w:val="22"/>
              </w:rPr>
              <w:t>教材性质</w:t>
            </w:r>
          </w:p>
        </w:tc>
        <w:tc>
          <w:tcPr>
            <w:tcW w:w="7618" w:type="dxa"/>
            <w:gridSpan w:val="9"/>
          </w:tcPr>
          <w:p w:rsidR="003717A0" w:rsidRDefault="003717A0" w:rsidP="00F5156D">
            <w:pPr>
              <w:adjustRightInd w:val="0"/>
              <w:snapToGrid w:val="0"/>
              <w:spacing w:line="44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rsidTr="00F5156D">
        <w:trPr>
          <w:jc w:val="center"/>
        </w:trPr>
        <w:tc>
          <w:tcPr>
            <w:tcW w:w="1668" w:type="dxa"/>
          </w:tcPr>
          <w:p w:rsidR="003717A0" w:rsidRDefault="003717A0" w:rsidP="00F5156D">
            <w:pPr>
              <w:adjustRightInd w:val="0"/>
              <w:snapToGrid w:val="0"/>
              <w:spacing w:line="440" w:lineRule="exact"/>
              <w:rPr>
                <w:sz w:val="22"/>
              </w:rPr>
            </w:pPr>
            <w:r>
              <w:rPr>
                <w:rFonts w:hint="eastAsia"/>
                <w:sz w:val="22"/>
              </w:rPr>
              <w:t>考核方式</w:t>
            </w:r>
          </w:p>
        </w:tc>
        <w:tc>
          <w:tcPr>
            <w:tcW w:w="7618" w:type="dxa"/>
            <w:gridSpan w:val="9"/>
          </w:tcPr>
          <w:p w:rsidR="003717A0" w:rsidRDefault="003717A0" w:rsidP="00F5156D">
            <w:pPr>
              <w:adjustRightInd w:val="0"/>
              <w:snapToGrid w:val="0"/>
              <w:spacing w:line="440" w:lineRule="exact"/>
              <w:rPr>
                <w:sz w:val="22"/>
              </w:rPr>
            </w:pP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rsidP="00F5156D">
            <w:pPr>
              <w:adjustRightInd w:val="0"/>
              <w:snapToGrid w:val="0"/>
              <w:spacing w:line="440" w:lineRule="exact"/>
              <w:rPr>
                <w:sz w:val="22"/>
              </w:rPr>
            </w:pPr>
            <w:r>
              <w:rPr>
                <w:rFonts w:hint="eastAsia"/>
                <w:sz w:val="22"/>
              </w:rPr>
              <w:t>课程成绩</w:t>
            </w:r>
          </w:p>
        </w:tc>
        <w:tc>
          <w:tcPr>
            <w:tcW w:w="3809" w:type="dxa"/>
            <w:gridSpan w:val="4"/>
          </w:tcPr>
          <w:p w:rsidR="003717A0" w:rsidRDefault="003717A0" w:rsidP="00F5156D">
            <w:pPr>
              <w:adjustRightInd w:val="0"/>
              <w:snapToGrid w:val="0"/>
              <w:spacing w:line="440" w:lineRule="exact"/>
              <w:jc w:val="left"/>
              <w:rPr>
                <w:sz w:val="22"/>
              </w:rPr>
            </w:pPr>
            <w:r>
              <w:rPr>
                <w:rFonts w:hint="eastAsia"/>
                <w:sz w:val="22"/>
              </w:rPr>
              <w:t>平时成绩</w:t>
            </w:r>
            <w:r>
              <w:rPr>
                <w:sz w:val="22"/>
              </w:rPr>
              <w:t>0%</w:t>
            </w:r>
          </w:p>
        </w:tc>
        <w:tc>
          <w:tcPr>
            <w:tcW w:w="3809" w:type="dxa"/>
            <w:gridSpan w:val="5"/>
          </w:tcPr>
          <w:p w:rsidR="003717A0" w:rsidRDefault="003717A0" w:rsidP="00F5156D">
            <w:pPr>
              <w:adjustRightInd w:val="0"/>
              <w:snapToGrid w:val="0"/>
              <w:spacing w:line="440" w:lineRule="exact"/>
              <w:jc w:val="left"/>
              <w:rPr>
                <w:sz w:val="22"/>
              </w:rPr>
            </w:pPr>
            <w:r>
              <w:rPr>
                <w:rFonts w:hint="eastAsia"/>
                <w:sz w:val="22"/>
              </w:rPr>
              <w:t>期末成绩</w:t>
            </w:r>
            <w:r>
              <w:rPr>
                <w:sz w:val="22"/>
              </w:rPr>
              <w:t>100%</w:t>
            </w:r>
          </w:p>
        </w:tc>
      </w:tr>
      <w:tr w:rsidR="003717A0" w:rsidTr="00F5156D">
        <w:trPr>
          <w:jc w:val="center"/>
        </w:trPr>
        <w:tc>
          <w:tcPr>
            <w:tcW w:w="9286" w:type="dxa"/>
            <w:gridSpan w:val="10"/>
          </w:tcPr>
          <w:p w:rsidR="003717A0" w:rsidRDefault="003717A0" w:rsidP="00F5156D">
            <w:pPr>
              <w:adjustRightInd w:val="0"/>
              <w:snapToGrid w:val="0"/>
              <w:spacing w:line="44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姓名</w:t>
            </w:r>
          </w:p>
        </w:tc>
        <w:tc>
          <w:tcPr>
            <w:tcW w:w="1523" w:type="dxa"/>
          </w:tcPr>
          <w:p w:rsidR="003717A0" w:rsidRDefault="003717A0" w:rsidP="00F5156D">
            <w:pPr>
              <w:adjustRightInd w:val="0"/>
              <w:snapToGrid w:val="0"/>
              <w:spacing w:line="440" w:lineRule="exact"/>
              <w:jc w:val="center"/>
              <w:rPr>
                <w:sz w:val="22"/>
              </w:rPr>
            </w:pPr>
            <w:r>
              <w:rPr>
                <w:rFonts w:hint="eastAsia"/>
                <w:sz w:val="22"/>
              </w:rPr>
              <w:t>性别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学历</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学位</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职称</w:t>
            </w:r>
          </w:p>
        </w:tc>
        <w:tc>
          <w:tcPr>
            <w:tcW w:w="1524" w:type="dxa"/>
          </w:tcPr>
          <w:p w:rsidR="003717A0" w:rsidRDefault="003717A0" w:rsidP="00F5156D">
            <w:pPr>
              <w:adjustRightInd w:val="0"/>
              <w:snapToGrid w:val="0"/>
              <w:spacing w:line="440" w:lineRule="exact"/>
              <w:jc w:val="center"/>
              <w:rPr>
                <w:sz w:val="22"/>
              </w:rPr>
            </w:pPr>
            <w:r>
              <w:rPr>
                <w:rFonts w:hint="eastAsia"/>
                <w:sz w:val="22"/>
              </w:rPr>
              <w:t>从教时间</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邱一华</w:t>
            </w:r>
          </w:p>
        </w:tc>
        <w:tc>
          <w:tcPr>
            <w:tcW w:w="1523" w:type="dxa"/>
          </w:tcPr>
          <w:p w:rsidR="003717A0" w:rsidRDefault="003717A0" w:rsidP="00F5156D">
            <w:pPr>
              <w:adjustRightInd w:val="0"/>
              <w:snapToGrid w:val="0"/>
              <w:spacing w:line="440" w:lineRule="exact"/>
              <w:jc w:val="center"/>
              <w:rPr>
                <w:sz w:val="22"/>
              </w:rPr>
            </w:pPr>
            <w:r>
              <w:rPr>
                <w:rFonts w:hint="eastAsia"/>
                <w:sz w:val="22"/>
              </w:rPr>
              <w:t>男</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博士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教授</w:t>
            </w:r>
          </w:p>
        </w:tc>
        <w:tc>
          <w:tcPr>
            <w:tcW w:w="1524" w:type="dxa"/>
          </w:tcPr>
          <w:p w:rsidR="003717A0" w:rsidRDefault="003717A0" w:rsidP="00F5156D">
            <w:pPr>
              <w:adjustRightInd w:val="0"/>
              <w:snapToGrid w:val="0"/>
              <w:spacing w:line="440" w:lineRule="exact"/>
              <w:jc w:val="center"/>
              <w:rPr>
                <w:sz w:val="22"/>
              </w:rPr>
            </w:pPr>
            <w:r>
              <w:rPr>
                <w:sz w:val="22"/>
              </w:rPr>
              <w:t>1973.7</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彭聿平</w:t>
            </w:r>
          </w:p>
        </w:tc>
        <w:tc>
          <w:tcPr>
            <w:tcW w:w="1523" w:type="dxa"/>
          </w:tcPr>
          <w:p w:rsidR="003717A0" w:rsidRDefault="003717A0" w:rsidP="00F5156D">
            <w:pPr>
              <w:adjustRightInd w:val="0"/>
              <w:snapToGrid w:val="0"/>
              <w:spacing w:line="440" w:lineRule="exact"/>
              <w:jc w:val="center"/>
              <w:rPr>
                <w:sz w:val="22"/>
              </w:rPr>
            </w:pPr>
            <w:r>
              <w:rPr>
                <w:rFonts w:hint="eastAsia"/>
                <w:sz w:val="22"/>
              </w:rPr>
              <w:t>女</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博士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教授</w:t>
            </w:r>
          </w:p>
        </w:tc>
        <w:tc>
          <w:tcPr>
            <w:tcW w:w="1524" w:type="dxa"/>
          </w:tcPr>
          <w:p w:rsidR="003717A0" w:rsidRDefault="003717A0" w:rsidP="00F5156D">
            <w:pPr>
              <w:adjustRightInd w:val="0"/>
              <w:snapToGrid w:val="0"/>
              <w:spacing w:line="440" w:lineRule="exact"/>
              <w:jc w:val="center"/>
              <w:rPr>
                <w:sz w:val="22"/>
              </w:rPr>
            </w:pPr>
            <w:r>
              <w:rPr>
                <w:sz w:val="22"/>
              </w:rPr>
              <w:t>1973.7</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马颂华</w:t>
            </w:r>
          </w:p>
        </w:tc>
        <w:tc>
          <w:tcPr>
            <w:tcW w:w="1523" w:type="dxa"/>
          </w:tcPr>
          <w:p w:rsidR="003717A0" w:rsidRDefault="003717A0" w:rsidP="00F5156D">
            <w:pPr>
              <w:adjustRightInd w:val="0"/>
              <w:snapToGrid w:val="0"/>
              <w:spacing w:line="440" w:lineRule="exact"/>
              <w:jc w:val="center"/>
              <w:rPr>
                <w:sz w:val="22"/>
              </w:rPr>
            </w:pPr>
            <w:r>
              <w:rPr>
                <w:rFonts w:hint="eastAsia"/>
                <w:sz w:val="22"/>
              </w:rPr>
              <w:t>男</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博士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副教授</w:t>
            </w:r>
          </w:p>
        </w:tc>
        <w:tc>
          <w:tcPr>
            <w:tcW w:w="1524" w:type="dxa"/>
          </w:tcPr>
          <w:p w:rsidR="003717A0" w:rsidRDefault="003717A0" w:rsidP="00F5156D">
            <w:pPr>
              <w:adjustRightInd w:val="0"/>
              <w:snapToGrid w:val="0"/>
              <w:spacing w:line="440" w:lineRule="exact"/>
              <w:jc w:val="center"/>
              <w:rPr>
                <w:sz w:val="22"/>
              </w:rPr>
            </w:pPr>
            <w:r>
              <w:rPr>
                <w:sz w:val="22"/>
              </w:rPr>
              <w:t>2000.9</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曹蓓蓓</w:t>
            </w:r>
          </w:p>
        </w:tc>
        <w:tc>
          <w:tcPr>
            <w:tcW w:w="1523" w:type="dxa"/>
          </w:tcPr>
          <w:p w:rsidR="003717A0" w:rsidRDefault="003717A0" w:rsidP="00F5156D">
            <w:pPr>
              <w:adjustRightInd w:val="0"/>
              <w:snapToGrid w:val="0"/>
              <w:spacing w:line="440" w:lineRule="exact"/>
              <w:jc w:val="center"/>
              <w:rPr>
                <w:sz w:val="22"/>
              </w:rPr>
            </w:pPr>
            <w:r>
              <w:rPr>
                <w:rFonts w:hint="eastAsia"/>
                <w:sz w:val="22"/>
              </w:rPr>
              <w:t>女</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博士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副教授</w:t>
            </w:r>
          </w:p>
        </w:tc>
        <w:tc>
          <w:tcPr>
            <w:tcW w:w="1524" w:type="dxa"/>
          </w:tcPr>
          <w:p w:rsidR="003717A0" w:rsidRDefault="003717A0" w:rsidP="00F5156D">
            <w:pPr>
              <w:adjustRightInd w:val="0"/>
              <w:snapToGrid w:val="0"/>
              <w:spacing w:line="440" w:lineRule="exact"/>
              <w:jc w:val="center"/>
              <w:rPr>
                <w:sz w:val="22"/>
              </w:rPr>
            </w:pPr>
            <w:r>
              <w:rPr>
                <w:sz w:val="22"/>
              </w:rPr>
              <w:t>2004.9</w:t>
            </w:r>
          </w:p>
        </w:tc>
      </w:tr>
      <w:tr w:rsidR="003717A0" w:rsidTr="00F5156D">
        <w:trPr>
          <w:jc w:val="center"/>
        </w:trPr>
        <w:tc>
          <w:tcPr>
            <w:tcW w:w="1668" w:type="dxa"/>
          </w:tcPr>
          <w:p w:rsidR="003717A0" w:rsidRDefault="003717A0" w:rsidP="00F5156D">
            <w:pPr>
              <w:adjustRightInd w:val="0"/>
              <w:snapToGrid w:val="0"/>
              <w:spacing w:line="440" w:lineRule="exact"/>
              <w:jc w:val="center"/>
              <w:rPr>
                <w:sz w:val="22"/>
              </w:rPr>
            </w:pPr>
            <w:r>
              <w:rPr>
                <w:rFonts w:hint="eastAsia"/>
                <w:sz w:val="22"/>
              </w:rPr>
              <w:t>陆健花</w:t>
            </w:r>
          </w:p>
        </w:tc>
        <w:tc>
          <w:tcPr>
            <w:tcW w:w="1523" w:type="dxa"/>
          </w:tcPr>
          <w:p w:rsidR="003717A0" w:rsidRDefault="003717A0" w:rsidP="00F5156D">
            <w:pPr>
              <w:adjustRightInd w:val="0"/>
              <w:snapToGrid w:val="0"/>
              <w:spacing w:line="440" w:lineRule="exact"/>
              <w:jc w:val="center"/>
              <w:rPr>
                <w:sz w:val="22"/>
              </w:rPr>
            </w:pPr>
            <w:r>
              <w:rPr>
                <w:rFonts w:hint="eastAsia"/>
                <w:sz w:val="22"/>
              </w:rPr>
              <w:t>女</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博士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副教授</w:t>
            </w:r>
          </w:p>
        </w:tc>
        <w:tc>
          <w:tcPr>
            <w:tcW w:w="1524" w:type="dxa"/>
          </w:tcPr>
          <w:p w:rsidR="003717A0" w:rsidRDefault="003717A0" w:rsidP="00F5156D">
            <w:pPr>
              <w:adjustRightInd w:val="0"/>
              <w:snapToGrid w:val="0"/>
              <w:spacing w:line="440" w:lineRule="exact"/>
              <w:jc w:val="center"/>
              <w:rPr>
                <w:sz w:val="22"/>
              </w:rPr>
            </w:pPr>
            <w:r>
              <w:rPr>
                <w:sz w:val="22"/>
              </w:rPr>
              <w:t>2004.9</w:t>
            </w:r>
          </w:p>
        </w:tc>
      </w:tr>
      <w:tr w:rsidR="003717A0" w:rsidTr="00F5156D">
        <w:trPr>
          <w:jc w:val="center"/>
        </w:trPr>
        <w:tc>
          <w:tcPr>
            <w:tcW w:w="9286" w:type="dxa"/>
            <w:gridSpan w:val="10"/>
          </w:tcPr>
          <w:p w:rsidR="003717A0" w:rsidRDefault="003717A0" w:rsidP="00F5156D">
            <w:pPr>
              <w:adjustRightInd w:val="0"/>
              <w:snapToGrid w:val="0"/>
              <w:spacing w:line="440" w:lineRule="exact"/>
              <w:rPr>
                <w:sz w:val="22"/>
              </w:rPr>
            </w:pPr>
            <w:r>
              <w:rPr>
                <w:rFonts w:hint="eastAsia"/>
                <w:sz w:val="22"/>
              </w:rPr>
              <w:t>课程简介</w:t>
            </w:r>
          </w:p>
        </w:tc>
      </w:tr>
      <w:tr w:rsidR="003717A0" w:rsidTr="00F5156D">
        <w:trPr>
          <w:jc w:val="center"/>
        </w:trPr>
        <w:tc>
          <w:tcPr>
            <w:tcW w:w="9286" w:type="dxa"/>
            <w:gridSpan w:val="10"/>
          </w:tcPr>
          <w:p w:rsidR="003717A0" w:rsidRDefault="003717A0" w:rsidP="00F5156D">
            <w:pPr>
              <w:adjustRightInd w:val="0"/>
              <w:snapToGrid w:val="0"/>
              <w:spacing w:line="440" w:lineRule="exact"/>
              <w:rPr>
                <w:sz w:val="22"/>
              </w:rPr>
            </w:pPr>
            <w:r>
              <w:rPr>
                <w:sz w:val="22"/>
              </w:rPr>
              <w:t xml:space="preserve">    </w:t>
            </w:r>
            <w:r>
              <w:rPr>
                <w:rFonts w:hint="eastAsia"/>
                <w:sz w:val="22"/>
              </w:rPr>
              <w:t>生理学是一门重要的医学专业基础课程和学位课程。本课程从器官、细胞、分子水平系统地介绍了人体生理学的基本理论、基本知识和基本技能，阐明了人体各系统的生理功能及其调节机制。理论课内容包括绪论、细胞的基本功能、血液、血液循环、呼吸、消化和吸收、能量代谢和体温、尿的生成和排出、感觉器官、神经系统、内分泌、生殖生理共</w:t>
            </w:r>
            <w:r>
              <w:rPr>
                <w:sz w:val="22"/>
              </w:rPr>
              <w:t>12</w:t>
            </w:r>
            <w:r>
              <w:rPr>
                <w:rFonts w:hint="eastAsia"/>
                <w:sz w:val="22"/>
              </w:rPr>
              <w:t>章节。机能学实验生理学部分包括坐骨神经腓肠肌标本的制备、骨骼肌的单收缩和复合收缩、神经干动作电位的引导、兴奋传导速度及不应期的测定、期前收缩和代偿间隙、人体动脉血压的测定、人体心音的听诊、人体心电图的描记、呼吸运动的调节和胸内负压的观察、家兔动脉血压的神经与体液调节、视听觉功能的测定、尿液生成的影响因素、减压神经和膈神经的放电共</w:t>
            </w:r>
            <w:r>
              <w:rPr>
                <w:sz w:val="22"/>
              </w:rPr>
              <w:t>10</w:t>
            </w:r>
            <w:r>
              <w:rPr>
                <w:rFonts w:hint="eastAsia"/>
                <w:sz w:val="22"/>
              </w:rPr>
              <w:t>个实验项目。通过本课程的教学，要求学生能系统掌握人体各系统的主要生理功能，熟悉调节机制。初步掌</w:t>
            </w:r>
            <w:r>
              <w:rPr>
                <w:rFonts w:hint="eastAsia"/>
                <w:sz w:val="22"/>
              </w:rPr>
              <w:lastRenderedPageBreak/>
              <w:t>握机能学实验的基本理论和实验技术方法，具备一定的应用理论知识的能力。本课程教学的主要路径和方法：（</w:t>
            </w:r>
            <w:r>
              <w:rPr>
                <w:sz w:val="22"/>
              </w:rPr>
              <w:t>1</w:t>
            </w:r>
            <w:r>
              <w:rPr>
                <w:rFonts w:hint="eastAsia"/>
                <w:sz w:val="22"/>
              </w:rPr>
              <w:t>）通过理论课堂讲解生理学的主要知识点，使学生掌握本课程的基本概念和基本理论；（</w:t>
            </w:r>
            <w:r>
              <w:rPr>
                <w:sz w:val="22"/>
              </w:rPr>
              <w:t>2</w:t>
            </w:r>
            <w:r>
              <w:rPr>
                <w:rFonts w:hint="eastAsia"/>
                <w:sz w:val="22"/>
              </w:rPr>
              <w:t>）通过实验课，使学生初步掌握机能学实验的基本理论和研究方法，熟悉相关的操作技术；（</w:t>
            </w:r>
            <w:r>
              <w:rPr>
                <w:sz w:val="22"/>
              </w:rPr>
              <w:t>3</w:t>
            </w:r>
            <w:r>
              <w:rPr>
                <w:rFonts w:hint="eastAsia"/>
                <w:sz w:val="22"/>
              </w:rPr>
              <w:t>）通过课程中知识点改编成一些临床案例，培养学生临床思维能力以及发现问题和解决问题的能力。</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Default="003717A0" w:rsidP="005E20B5">
      <w:pPr>
        <w:adjustRightInd w:val="0"/>
        <w:snapToGrid w:val="0"/>
        <w:spacing w:beforeLines="50" w:afterLines="50" w:line="440" w:lineRule="exact"/>
        <w:jc w:val="center"/>
        <w:rPr>
          <w:rFonts w:ascii="Times New Roman" w:eastAsia="黑体" w:hAnsi="Times New Roman"/>
          <w:kern w:val="0"/>
          <w:sz w:val="32"/>
          <w:szCs w:val="32"/>
        </w:rPr>
      </w:pPr>
      <w:r>
        <w:rPr>
          <w:rFonts w:ascii="Times New Roman" w:eastAsia="黑体" w:hAnsi="Times New Roman"/>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sz w:val="22"/>
        </w:rPr>
        <w:t>170547</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Cs w:val="21"/>
        </w:rPr>
        <w:t>84</w:t>
      </w:r>
      <w:r>
        <w:rPr>
          <w:rFonts w:ascii="Times New Roman" w:hAnsi="Times New Roman" w:hint="eastAsia"/>
          <w:kern w:val="0"/>
          <w:szCs w:val="21"/>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5</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先修课程：人体解剖学、组织胚胎学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后续课程：病理生理学、病理学等后续课程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jc w:val="left"/>
        <w:rPr>
          <w:rFonts w:ascii="Times New Roman" w:hAnsi="Times New Roman"/>
          <w:kern w:val="0"/>
          <w:szCs w:val="21"/>
        </w:rPr>
      </w:pPr>
      <w:r>
        <w:rPr>
          <w:sz w:val="22"/>
        </w:rPr>
        <w:t xml:space="preserve">   </w:t>
      </w:r>
      <w:r>
        <w:rPr>
          <w:rFonts w:ascii="Times New Roman" w:hAnsi="Times New Roman" w:hint="eastAsia"/>
          <w:kern w:val="0"/>
          <w:szCs w:val="21"/>
        </w:rPr>
        <w:t>作为医学专业的学生，在熟悉了人体的结构和组成的基础上，为了理解疾病的发生和发展过程，必须对人体各个器官和系统的功能以及正常生理情况下机体器官功能的调节机制要有全面的认识，生理学课程即是研究人体功能活动（诸如呼吸、循环、消化、泌尿、生殖、行为、思维活动等）及其规律的科学。它是一门重要的医学基础专业课程，是连接基础医学和临床医学课程的重要桥梁。本课程的主要目标就是让学生了解人体生命活动的基本规律以及内外环境对人体功能的影响，为今后学习其他医学基础课程和临床课程奠定坚实的理论基础。</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sz w:val="22"/>
        </w:rPr>
        <w:t xml:space="preserve">   </w:t>
      </w:r>
      <w:r>
        <w:rPr>
          <w:rFonts w:ascii="Times New Roman" w:hAnsi="Times New Roman" w:hint="eastAsia"/>
          <w:kern w:val="0"/>
          <w:szCs w:val="21"/>
        </w:rPr>
        <w:t>通过本课程的学习，要求学生达到较系统掌握人体各器官和系统的功能及活动规律，同时熟悉诸如人体动脉血压测量等基本操作技能；能注重对学生临床思维能力的培养。</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pStyle w:val="af0"/>
        <w:numPr>
          <w:ilvl w:val="0"/>
          <w:numId w:val="155"/>
        </w:numPr>
        <w:spacing w:before="0" w:beforeAutospacing="0" w:after="0" w:afterAutospacing="0"/>
        <w:jc w:val="center"/>
        <w:rPr>
          <w:rFonts w:ascii="Times New Roman" w:hAnsi="Times New Roman"/>
          <w:b/>
          <w:sz w:val="28"/>
          <w:szCs w:val="18"/>
        </w:rPr>
      </w:pPr>
      <w:r>
        <w:rPr>
          <w:rFonts w:ascii="Times New Roman" w:hAnsi="Times New Roman"/>
          <w:b/>
          <w:sz w:val="28"/>
          <w:szCs w:val="18"/>
        </w:rPr>
        <w:t xml:space="preserve">  </w:t>
      </w:r>
      <w:r>
        <w:rPr>
          <w:rFonts w:ascii="Times New Roman" w:hAnsi="Times New Roman" w:hint="eastAsia"/>
          <w:b/>
          <w:sz w:val="28"/>
          <w:szCs w:val="18"/>
        </w:rPr>
        <w:t>绪论</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f0"/>
        <w:spacing w:before="0" w:beforeAutospacing="0" w:after="0" w:afterAutospacing="0"/>
        <w:ind w:left="420"/>
        <w:jc w:val="both"/>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生理学概述</w:t>
      </w:r>
    </w:p>
    <w:p w:rsidR="003717A0" w:rsidRDefault="003717A0">
      <w:pPr>
        <w:pStyle w:val="af0"/>
        <w:spacing w:before="0" w:beforeAutospacing="0" w:after="0" w:afterAutospacing="0"/>
        <w:ind w:left="420"/>
        <w:jc w:val="both"/>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人体生命活动的特征</w:t>
      </w:r>
    </w:p>
    <w:p w:rsidR="003717A0" w:rsidRDefault="003717A0">
      <w:pPr>
        <w:pStyle w:val="af0"/>
        <w:spacing w:before="0" w:beforeAutospacing="0" w:after="0" w:afterAutospacing="0"/>
        <w:ind w:left="420"/>
        <w:jc w:val="both"/>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人体生理功能的调节</w:t>
      </w:r>
    </w:p>
    <w:p w:rsidR="003717A0" w:rsidRDefault="003717A0">
      <w:pPr>
        <w:pStyle w:val="af0"/>
        <w:spacing w:before="0" w:beforeAutospacing="0" w:after="0" w:afterAutospacing="0"/>
        <w:ind w:left="420"/>
        <w:jc w:val="both"/>
        <w:rPr>
          <w:rFonts w:ascii="Times New Roman" w:hAnsi="Times New Roman"/>
          <w:sz w:val="21"/>
          <w:szCs w:val="18"/>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f0"/>
        <w:spacing w:before="0" w:beforeAutospacing="0" w:after="0" w:afterAutospacing="0"/>
        <w:ind w:firstLineChars="200" w:firstLine="420"/>
        <w:jc w:val="both"/>
        <w:rPr>
          <w:rFonts w:ascii="Times New Roman" w:hAnsi="Times New Roman"/>
          <w:sz w:val="21"/>
          <w:szCs w:val="18"/>
        </w:rPr>
      </w:pPr>
      <w:r>
        <w:rPr>
          <w:rFonts w:ascii="Times New Roman" w:hAnsi="Times New Roman" w:hint="eastAsia"/>
          <w:sz w:val="21"/>
          <w:szCs w:val="18"/>
        </w:rPr>
        <w:t>掌握内容：</w:t>
      </w:r>
    </w:p>
    <w:p w:rsidR="003717A0" w:rsidRDefault="003717A0">
      <w:pPr>
        <w:pStyle w:val="af0"/>
        <w:numPr>
          <w:ilvl w:val="0"/>
          <w:numId w:val="156"/>
        </w:numPr>
        <w:spacing w:before="0" w:beforeAutospacing="0" w:after="0" w:afterAutospacing="0"/>
        <w:jc w:val="both"/>
        <w:rPr>
          <w:rFonts w:ascii="Times New Roman" w:hAnsi="Times New Roman"/>
          <w:sz w:val="21"/>
          <w:szCs w:val="18"/>
        </w:rPr>
      </w:pPr>
      <w:r>
        <w:rPr>
          <w:rFonts w:ascii="Times New Roman" w:hAnsi="Times New Roman" w:hint="eastAsia"/>
          <w:sz w:val="21"/>
          <w:szCs w:val="18"/>
        </w:rPr>
        <w:t>机体的内环境与稳态。</w:t>
      </w:r>
    </w:p>
    <w:p w:rsidR="003717A0" w:rsidRDefault="003717A0">
      <w:pPr>
        <w:pStyle w:val="af0"/>
        <w:numPr>
          <w:ilvl w:val="0"/>
          <w:numId w:val="156"/>
        </w:numPr>
        <w:spacing w:before="0" w:beforeAutospacing="0" w:after="0" w:afterAutospacing="0"/>
        <w:jc w:val="both"/>
        <w:rPr>
          <w:rFonts w:ascii="Times New Roman" w:hAnsi="Times New Roman"/>
          <w:sz w:val="21"/>
          <w:szCs w:val="18"/>
        </w:rPr>
      </w:pPr>
      <w:r>
        <w:rPr>
          <w:rFonts w:ascii="Times New Roman" w:hAnsi="Times New Roman" w:hint="eastAsia"/>
          <w:sz w:val="21"/>
          <w:szCs w:val="18"/>
        </w:rPr>
        <w:t>生理功能的神经调节、体液调节和自身调节。</w:t>
      </w:r>
    </w:p>
    <w:p w:rsidR="003717A0" w:rsidRDefault="003717A0">
      <w:pPr>
        <w:pStyle w:val="af0"/>
        <w:numPr>
          <w:ilvl w:val="0"/>
          <w:numId w:val="156"/>
        </w:numPr>
        <w:spacing w:before="0" w:beforeAutospacing="0" w:after="0" w:afterAutospacing="0"/>
        <w:jc w:val="both"/>
        <w:rPr>
          <w:rFonts w:ascii="Times New Roman" w:hAnsi="Times New Roman"/>
          <w:sz w:val="21"/>
          <w:szCs w:val="18"/>
        </w:rPr>
      </w:pPr>
      <w:r>
        <w:rPr>
          <w:rFonts w:ascii="Times New Roman" w:hAnsi="Times New Roman" w:hint="eastAsia"/>
          <w:sz w:val="21"/>
          <w:szCs w:val="18"/>
        </w:rPr>
        <w:t>反射活动的反馈调节：负反馈和正反馈</w:t>
      </w:r>
    </w:p>
    <w:p w:rsidR="003717A0" w:rsidRDefault="003717A0">
      <w:pPr>
        <w:pStyle w:val="af0"/>
        <w:spacing w:before="0" w:beforeAutospacing="0" w:after="0" w:afterAutospacing="0"/>
        <w:ind w:firstLineChars="200" w:firstLine="420"/>
        <w:jc w:val="both"/>
        <w:rPr>
          <w:rFonts w:ascii="Times New Roman" w:hAnsi="Times New Roman"/>
          <w:sz w:val="21"/>
          <w:szCs w:val="18"/>
        </w:rPr>
      </w:pPr>
    </w:p>
    <w:p w:rsidR="003717A0" w:rsidRDefault="003717A0">
      <w:pPr>
        <w:pStyle w:val="af0"/>
        <w:spacing w:before="0" w:beforeAutospacing="0" w:after="0" w:afterAutospacing="0"/>
        <w:ind w:firstLineChars="200" w:firstLine="420"/>
        <w:jc w:val="both"/>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jc w:val="both"/>
        <w:rPr>
          <w:rFonts w:ascii="Times New Roman" w:hAnsi="Times New Roman"/>
          <w:sz w:val="21"/>
          <w:szCs w:val="18"/>
        </w:rPr>
      </w:pPr>
      <w:r>
        <w:rPr>
          <w:rFonts w:ascii="Times New Roman" w:hAnsi="Times New Roman" w:hint="eastAsia"/>
          <w:sz w:val="21"/>
          <w:szCs w:val="18"/>
        </w:rPr>
        <w:t>熟悉生命活动的基本特征，反馈控制系统中的前馈调节。</w:t>
      </w:r>
    </w:p>
    <w:p w:rsidR="003717A0" w:rsidRDefault="003717A0">
      <w:pPr>
        <w:pStyle w:val="af0"/>
        <w:spacing w:before="0" w:beforeAutospacing="0" w:after="0" w:afterAutospacing="0"/>
        <w:ind w:firstLineChars="200" w:firstLine="420"/>
        <w:jc w:val="both"/>
        <w:rPr>
          <w:rFonts w:ascii="Times New Roman" w:hAnsi="Times New Roman"/>
          <w:sz w:val="21"/>
          <w:szCs w:val="18"/>
        </w:rPr>
      </w:pPr>
    </w:p>
    <w:p w:rsidR="003717A0" w:rsidRDefault="003717A0">
      <w:pPr>
        <w:pStyle w:val="af0"/>
        <w:spacing w:before="0" w:beforeAutospacing="0" w:after="0" w:afterAutospacing="0"/>
        <w:ind w:firstLineChars="200" w:firstLine="420"/>
        <w:jc w:val="both"/>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jc w:val="both"/>
        <w:rPr>
          <w:rFonts w:ascii="Times New Roman" w:hAnsi="Times New Roman"/>
          <w:sz w:val="21"/>
          <w:szCs w:val="18"/>
        </w:rPr>
      </w:pPr>
      <w:r>
        <w:rPr>
          <w:rFonts w:ascii="Times New Roman" w:hAnsi="Times New Roman" w:hint="eastAsia"/>
          <w:sz w:val="21"/>
          <w:szCs w:val="18"/>
        </w:rPr>
        <w:t>人体生理学的研究内容、研究方法，人体生理学与医学的关系。</w:t>
      </w:r>
    </w:p>
    <w:p w:rsidR="003717A0" w:rsidRDefault="003717A0" w:rsidP="00F5156D">
      <w:pPr>
        <w:pStyle w:val="af0"/>
        <w:spacing w:before="0" w:beforeAutospacing="0" w:after="0" w:afterAutospacing="0"/>
        <w:jc w:val="center"/>
        <w:rPr>
          <w:rFonts w:ascii="Times New Roman" w:hAnsi="Times New Roman"/>
          <w:b/>
          <w:sz w:val="28"/>
          <w:szCs w:val="18"/>
        </w:rPr>
      </w:pPr>
      <w:r>
        <w:rPr>
          <w:rFonts w:ascii="Times New Roman" w:hAnsi="Times New Roman" w:hint="eastAsia"/>
          <w:b/>
          <w:sz w:val="28"/>
          <w:szCs w:val="18"/>
        </w:rPr>
        <w:lastRenderedPageBreak/>
        <w:t>第二章</w:t>
      </w:r>
      <w:r>
        <w:rPr>
          <w:rFonts w:ascii="Times New Roman" w:hAnsi="Times New Roman"/>
          <w:b/>
          <w:sz w:val="28"/>
          <w:szCs w:val="18"/>
        </w:rPr>
        <w:t xml:space="preserve"> </w:t>
      </w:r>
      <w:r>
        <w:rPr>
          <w:rFonts w:ascii="Times New Roman" w:hAnsi="Times New Roman" w:hint="eastAsia"/>
          <w:b/>
          <w:sz w:val="28"/>
          <w:szCs w:val="18"/>
        </w:rPr>
        <w:t>细胞的基本功能</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9</w:t>
      </w:r>
      <w:r>
        <w:rPr>
          <w:rFonts w:ascii="Times New Roman" w:hint="eastAsia"/>
          <w:b/>
        </w:rPr>
        <w:t>学时）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细胞膜的基本结构与跨膜转运功能</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细胞的生物电现象</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骨骼肌的兴奋和收缩</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．细胞膜的物质转运形式</w:t>
      </w:r>
      <w:r>
        <w:rPr>
          <w:rFonts w:ascii="Times New Roman" w:hAnsi="Times New Roman"/>
          <w:sz w:val="21"/>
          <w:szCs w:val="18"/>
        </w:rPr>
        <w:t xml:space="preserve"> </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静息电位的概念，静息电位的产生机制。动作电位的概念，动作电位的产生机制；兴奋性与兴奋的引起，阈值、阈电位和动作电位的关系；动作电位的特点及其意义；组织兴奋及其恢复过程中兴奋性的变化；兴奋在同一细胞上传导的机制和特点，局部电流，跳跃式传导。局部电位的概念、分类（去极化与超极化）、特点与产生机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．骨骼肌的收缩功能</w:t>
      </w:r>
      <w:r>
        <w:rPr>
          <w:rFonts w:ascii="Times New Roman" w:hAnsi="Times New Roman"/>
          <w:sz w:val="21"/>
          <w:szCs w:val="18"/>
        </w:rPr>
        <w:t xml:space="preserve">  </w:t>
      </w:r>
      <w:r>
        <w:rPr>
          <w:rFonts w:ascii="Times New Roman" w:hAnsi="Times New Roman" w:hint="eastAsia"/>
          <w:sz w:val="21"/>
          <w:szCs w:val="18"/>
        </w:rPr>
        <w:t>神经</w:t>
      </w:r>
      <w:r>
        <w:rPr>
          <w:rFonts w:ascii="Times New Roman" w:hAnsi="Times New Roman"/>
          <w:sz w:val="21"/>
          <w:szCs w:val="18"/>
        </w:rPr>
        <w:t>-</w:t>
      </w:r>
      <w:r>
        <w:rPr>
          <w:rFonts w:ascii="Times New Roman" w:hAnsi="Times New Roman" w:hint="eastAsia"/>
          <w:sz w:val="21"/>
          <w:szCs w:val="18"/>
        </w:rPr>
        <w:t>肌接头的兴奋传递过程（终板电位的概念及产生机制）及特征。骨骼肌的兴奋</w:t>
      </w:r>
      <w:r>
        <w:rPr>
          <w:rFonts w:ascii="Times New Roman" w:hAnsi="Times New Roman"/>
          <w:sz w:val="21"/>
          <w:szCs w:val="18"/>
        </w:rPr>
        <w:t>-</w:t>
      </w:r>
      <w:r>
        <w:rPr>
          <w:rFonts w:ascii="Times New Roman" w:hAnsi="Times New Roman" w:hint="eastAsia"/>
          <w:sz w:val="21"/>
          <w:szCs w:val="18"/>
        </w:rPr>
        <w:t>收缩耦联。</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．肌肉收缩的肌丝滑行理论；</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．肌肉收缩的外部表现和力学分析</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．钙离子在耦联中的作用。</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．了解细胞膜的分子组成，液态镶嵌模型。</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．骨骼肌的细微结构，肌小节，粗肌丝和细肌丝，肌管系统</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第三章</w:t>
      </w:r>
      <w:r>
        <w:rPr>
          <w:rFonts w:ascii="Times New Roman" w:hAnsi="Times New Roman"/>
          <w:b/>
          <w:sz w:val="28"/>
          <w:szCs w:val="18"/>
        </w:rPr>
        <w:t xml:space="preserve"> </w:t>
      </w:r>
      <w:r>
        <w:rPr>
          <w:rFonts w:ascii="Times New Roman" w:hAnsi="Times New Roman" w:hint="eastAsia"/>
          <w:b/>
          <w:sz w:val="28"/>
          <w:szCs w:val="18"/>
        </w:rPr>
        <w:t>血液</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6</w:t>
      </w:r>
      <w:r>
        <w:rPr>
          <w:rFonts w:ascii="Times New Roman" w:hint="eastAsia"/>
          <w:b/>
        </w:rPr>
        <w:t>学时）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血液的基本组成和特性</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血细胞的生理</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生理性止血</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血型和输血</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．血液的组成与特性</w:t>
      </w:r>
      <w:r>
        <w:rPr>
          <w:rFonts w:ascii="Times New Roman" w:hAnsi="Times New Roman"/>
          <w:sz w:val="21"/>
          <w:szCs w:val="18"/>
        </w:rPr>
        <w:t xml:space="preserve">  </w:t>
      </w:r>
      <w:r>
        <w:rPr>
          <w:rFonts w:ascii="Times New Roman" w:hAnsi="Times New Roman" w:hint="eastAsia"/>
          <w:sz w:val="21"/>
          <w:szCs w:val="18"/>
        </w:rPr>
        <w:t>血量、血液的组成、血细胞比容，血液的理化特性，血浆渗透压及其在水分移动中的作用。</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血细胞及其功能</w:t>
      </w:r>
      <w:r>
        <w:rPr>
          <w:rFonts w:ascii="Times New Roman" w:hAnsi="Times New Roman"/>
          <w:sz w:val="21"/>
          <w:szCs w:val="18"/>
        </w:rPr>
        <w:t xml:space="preserve">  </w:t>
      </w:r>
      <w:r>
        <w:rPr>
          <w:rFonts w:ascii="Times New Roman" w:hAnsi="Times New Roman" w:hint="eastAsia"/>
          <w:sz w:val="21"/>
          <w:szCs w:val="18"/>
        </w:rPr>
        <w:t>红细胞生理：红细胞的数量、生理特性和功能、造血原料及其辅助因子，促红细胞生成素；白细胞生理：白细胞总数和各类白细胞所占百分数，白细胞的生理特性及功能；血小板生理：血小板的数量，血小板的生理特性（粘附、聚集、释放、收缩、吸附反应）及其功能，生理性止血的一般过程。</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lastRenderedPageBreak/>
        <w:t xml:space="preserve">3. </w:t>
      </w:r>
      <w:r>
        <w:rPr>
          <w:rFonts w:ascii="Times New Roman" w:hAnsi="Times New Roman" w:hint="eastAsia"/>
          <w:sz w:val="21"/>
          <w:szCs w:val="18"/>
        </w:rPr>
        <w:t>血液凝固和抗凝</w:t>
      </w:r>
      <w:r>
        <w:rPr>
          <w:rFonts w:ascii="Times New Roman" w:hAnsi="Times New Roman"/>
          <w:sz w:val="21"/>
          <w:szCs w:val="18"/>
        </w:rPr>
        <w:t xml:space="preserve">  </w:t>
      </w:r>
      <w:r>
        <w:rPr>
          <w:rFonts w:ascii="Times New Roman" w:hAnsi="Times New Roman" w:hint="eastAsia"/>
          <w:sz w:val="21"/>
          <w:szCs w:val="18"/>
        </w:rPr>
        <w:t>血液凝固的基本步骤；主要抗凝物质的作用。</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血型</w:t>
      </w:r>
      <w:r>
        <w:rPr>
          <w:rFonts w:ascii="Times New Roman" w:hAnsi="Times New Roman"/>
          <w:sz w:val="21"/>
          <w:szCs w:val="18"/>
        </w:rPr>
        <w:t xml:space="preserve">  </w:t>
      </w:r>
      <w:r>
        <w:rPr>
          <w:rFonts w:ascii="Times New Roman" w:hAnsi="Times New Roman" w:hint="eastAsia"/>
          <w:sz w:val="21"/>
          <w:szCs w:val="18"/>
        </w:rPr>
        <w:t>血型与红细胞凝集反应；</w:t>
      </w:r>
      <w:r>
        <w:rPr>
          <w:rFonts w:ascii="Times New Roman" w:hAnsi="Times New Roman"/>
          <w:sz w:val="21"/>
          <w:szCs w:val="18"/>
        </w:rPr>
        <w:t>ABO</w:t>
      </w:r>
      <w:r>
        <w:rPr>
          <w:rFonts w:ascii="Times New Roman" w:hAnsi="Times New Roman" w:hint="eastAsia"/>
          <w:sz w:val="21"/>
          <w:szCs w:val="18"/>
        </w:rPr>
        <w:t>血型系统和</w:t>
      </w:r>
      <w:r>
        <w:rPr>
          <w:rFonts w:ascii="Times New Roman" w:hAnsi="Times New Roman"/>
          <w:sz w:val="21"/>
          <w:szCs w:val="18"/>
        </w:rPr>
        <w:t>Rh</w:t>
      </w:r>
      <w:r>
        <w:rPr>
          <w:rFonts w:ascii="Times New Roman" w:hAnsi="Times New Roman" w:hint="eastAsia"/>
          <w:sz w:val="21"/>
          <w:szCs w:val="18"/>
        </w:rPr>
        <w:t>血型系统；输血原则。</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spacing w:before="0" w:beforeAutospacing="0" w:after="0" w:afterAutospacing="0"/>
        <w:ind w:firstLine="420"/>
        <w:rPr>
          <w:rFonts w:ascii="Times New Roman" w:hAnsi="Times New Roman"/>
          <w:sz w:val="21"/>
          <w:szCs w:val="18"/>
        </w:rPr>
      </w:pPr>
      <w:r>
        <w:rPr>
          <w:rFonts w:ascii="Times New Roman" w:hAnsi="Times New Roman" w:hint="eastAsia"/>
          <w:sz w:val="21"/>
          <w:szCs w:val="18"/>
        </w:rPr>
        <w:t>纤维蛋白溶解；凝血概念、内源性和外源性凝血途径。</w:t>
      </w:r>
    </w:p>
    <w:p w:rsidR="003717A0" w:rsidRDefault="003717A0">
      <w:pPr>
        <w:pStyle w:val="af0"/>
        <w:spacing w:before="0" w:beforeAutospacing="0" w:after="0" w:afterAutospacing="0"/>
        <w:ind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dstrike/>
          <w:sz w:val="21"/>
          <w:szCs w:val="18"/>
        </w:rPr>
      </w:pPr>
      <w:r>
        <w:rPr>
          <w:rFonts w:ascii="Times New Roman" w:hAnsi="Times New Roman"/>
          <w:sz w:val="21"/>
          <w:szCs w:val="18"/>
        </w:rPr>
        <w:t>1</w:t>
      </w:r>
      <w:r>
        <w:rPr>
          <w:rFonts w:ascii="Times New Roman" w:hAnsi="Times New Roman" w:hint="eastAsia"/>
          <w:sz w:val="21"/>
          <w:szCs w:val="18"/>
        </w:rPr>
        <w:t>．白细胞的破环，生成与调节。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．血小板的形态、寿命与破环，生成及调节。</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第四章</w:t>
      </w:r>
      <w:r>
        <w:rPr>
          <w:rFonts w:ascii="Times New Roman" w:hAnsi="Times New Roman"/>
          <w:b/>
          <w:sz w:val="28"/>
          <w:szCs w:val="18"/>
        </w:rPr>
        <w:t xml:space="preserve"> </w:t>
      </w:r>
      <w:r>
        <w:rPr>
          <w:rFonts w:ascii="Times New Roman" w:hAnsi="Times New Roman" w:hint="eastAsia"/>
          <w:b/>
          <w:sz w:val="28"/>
          <w:szCs w:val="18"/>
        </w:rPr>
        <w:t>血液循环</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15</w:t>
      </w:r>
      <w:r>
        <w:rPr>
          <w:rFonts w:ascii="Times New Roman" w:hint="eastAsia"/>
          <w:b/>
        </w:rPr>
        <w:t>学时）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心脏的泵血与充盈</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心肌细胞的电活动及其生理特性</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血管生理</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心血管活动的神经体液调节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5. </w:t>
      </w:r>
      <w:r>
        <w:rPr>
          <w:rFonts w:ascii="Times New Roman" w:hAnsi="Times New Roman" w:hint="eastAsia"/>
          <w:sz w:val="21"/>
          <w:szCs w:val="18"/>
        </w:rPr>
        <w:t>器官循环（自学内容）</w:t>
      </w:r>
    </w:p>
    <w:p w:rsidR="003717A0" w:rsidRDefault="003717A0">
      <w:pPr>
        <w:pStyle w:val="af0"/>
        <w:spacing w:before="0" w:beforeAutospacing="0" w:after="0" w:afterAutospacing="0"/>
        <w:ind w:firstLineChars="200" w:firstLine="562"/>
        <w:jc w:val="center"/>
        <w:rPr>
          <w:rFonts w:ascii="Times New Roman" w:hAnsi="Times New Roman"/>
          <w:b/>
          <w:sz w:val="28"/>
          <w:szCs w:val="18"/>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．心脏泵血功能</w:t>
      </w:r>
      <w:r>
        <w:rPr>
          <w:rFonts w:ascii="Times New Roman" w:hAnsi="Times New Roman"/>
          <w:sz w:val="21"/>
          <w:szCs w:val="18"/>
        </w:rPr>
        <w:t xml:space="preserve">  </w:t>
      </w:r>
      <w:r>
        <w:rPr>
          <w:rFonts w:ascii="Times New Roman" w:hAnsi="Times New Roman" w:hint="eastAsia"/>
          <w:sz w:val="21"/>
          <w:szCs w:val="18"/>
        </w:rPr>
        <w:t>心动周期的概念，心脏泵血的过程与机制。心脏泵血功能的评价指标（每搏输出量、每分输出量、心指数、射血分数、心脏做功、心力贮备）。心脏泵血功能的调节（每搏输出量的调节和心率对心泵功能的影响）。</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．心肌生物电现象和电生理特性</w:t>
      </w:r>
      <w:r>
        <w:rPr>
          <w:rFonts w:ascii="Times New Roman" w:hAnsi="Times New Roman"/>
          <w:sz w:val="21"/>
          <w:szCs w:val="18"/>
        </w:rPr>
        <w:t xml:space="preserve">  </w:t>
      </w:r>
      <w:r>
        <w:rPr>
          <w:rFonts w:ascii="Times New Roman" w:hAnsi="Times New Roman" w:hint="eastAsia"/>
          <w:sz w:val="21"/>
          <w:szCs w:val="18"/>
        </w:rPr>
        <w:t>工作细胞的跨膜电位及其形成机制，自律细胞（浦肯野细胞及窦房结</w:t>
      </w:r>
      <w:r>
        <w:rPr>
          <w:rFonts w:ascii="Times New Roman" w:hAnsi="Times New Roman"/>
          <w:sz w:val="21"/>
          <w:szCs w:val="18"/>
        </w:rPr>
        <w:t>P</w:t>
      </w:r>
      <w:r>
        <w:rPr>
          <w:rFonts w:ascii="Times New Roman" w:hAnsi="Times New Roman" w:hint="eastAsia"/>
          <w:sz w:val="21"/>
          <w:szCs w:val="18"/>
        </w:rPr>
        <w:t>细胞）的跨膜电位及其形成机制；心肌的兴奋性及其影响因素，心肌的自律性及决定和影响自律性的因素，心肌的传导性和心脏内兴奋的传导以及决定和影响传导性的因素；正常心电图的波形及生理意义。</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．血管生理</w:t>
      </w:r>
      <w:r>
        <w:rPr>
          <w:rFonts w:ascii="Times New Roman" w:hAnsi="Times New Roman"/>
          <w:sz w:val="21"/>
          <w:szCs w:val="18"/>
        </w:rPr>
        <w:t xml:space="preserve">  </w:t>
      </w:r>
      <w:r>
        <w:rPr>
          <w:rFonts w:ascii="Times New Roman" w:hAnsi="Times New Roman" w:hint="eastAsia"/>
          <w:sz w:val="21"/>
          <w:szCs w:val="18"/>
        </w:rPr>
        <w:t>动脉血压（形成、正常值、影响因素）；中心静脉压、静脉回心血量及其影响因素；微循环的组成及作用；组织液的生成及其影响因素。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4</w:t>
      </w:r>
      <w:r>
        <w:rPr>
          <w:rFonts w:ascii="Times New Roman" w:hAnsi="Times New Roman" w:hint="eastAsia"/>
          <w:sz w:val="21"/>
          <w:szCs w:val="18"/>
        </w:rPr>
        <w:t>．心血管活动的调节</w:t>
      </w:r>
      <w:r>
        <w:rPr>
          <w:rFonts w:ascii="Times New Roman" w:hAnsi="Times New Roman"/>
          <w:sz w:val="21"/>
          <w:szCs w:val="18"/>
        </w:rPr>
        <w:t xml:space="preserve">  </w:t>
      </w:r>
      <w:r>
        <w:rPr>
          <w:rFonts w:ascii="Times New Roman" w:hAnsi="Times New Roman" w:hint="eastAsia"/>
          <w:sz w:val="21"/>
          <w:szCs w:val="18"/>
        </w:rPr>
        <w:t>神经调节：心交感神经、心迷走神经、交感缩血管神经纤维；心血管反射：颈动脉窦和主动脉弓压力感受性反射；体液调节：肾素</w:t>
      </w:r>
      <w:r>
        <w:rPr>
          <w:rFonts w:ascii="Times New Roman" w:hAnsi="Times New Roman"/>
          <w:sz w:val="21"/>
          <w:szCs w:val="18"/>
        </w:rPr>
        <w:t>-</w:t>
      </w:r>
      <w:r>
        <w:rPr>
          <w:rFonts w:ascii="Times New Roman" w:hAnsi="Times New Roman" w:hint="eastAsia"/>
          <w:sz w:val="21"/>
          <w:szCs w:val="18"/>
        </w:rPr>
        <w:t>血管紧张素</w:t>
      </w:r>
      <w:r>
        <w:rPr>
          <w:rFonts w:ascii="Times New Roman" w:hAnsi="Times New Roman"/>
          <w:sz w:val="21"/>
          <w:szCs w:val="18"/>
        </w:rPr>
        <w:t>-</w:t>
      </w:r>
      <w:r>
        <w:rPr>
          <w:rFonts w:ascii="Times New Roman" w:hAnsi="Times New Roman" w:hint="eastAsia"/>
          <w:sz w:val="21"/>
          <w:szCs w:val="18"/>
        </w:rPr>
        <w:t>醛固酮系统，肾上腺素与去甲肾上腺素。</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．心音及其产生的原因。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．血量的调节（神经和体液因素，急性失血时的生理反应）。</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．各类血管的功能特点。血流量、血流阻力和血压。动脉脉搏（波形及意义）。静脉血压（外周静脉压）。淋巴液（生成，回流及其影响因素，淋巴回流的生理意义）。</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lastRenderedPageBreak/>
        <w:t>2</w:t>
      </w:r>
      <w:r>
        <w:rPr>
          <w:rFonts w:ascii="Times New Roman" w:hAnsi="Times New Roman" w:hint="eastAsia"/>
          <w:sz w:val="21"/>
          <w:szCs w:val="18"/>
        </w:rPr>
        <w:t>．心、肺感受器引起的心血管反射，躯体感受器引起的心血管反射，其他内脏感受器引起的心血管反射。脑缺血反应。激肽释放酶</w:t>
      </w:r>
      <w:r>
        <w:rPr>
          <w:rFonts w:ascii="Times New Roman" w:hAnsi="Times New Roman"/>
          <w:sz w:val="21"/>
          <w:szCs w:val="18"/>
        </w:rPr>
        <w:t>-</w:t>
      </w:r>
      <w:r>
        <w:rPr>
          <w:rFonts w:ascii="Times New Roman" w:hAnsi="Times New Roman" w:hint="eastAsia"/>
          <w:sz w:val="21"/>
          <w:szCs w:val="18"/>
        </w:rPr>
        <w:t>激肽系统，前列腺素，阿片肽，心钠素，心钠素组织胺对心血管活动的影响。自身调节（肌原学说、局部代谢产物学说）</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器官循环</w:t>
      </w:r>
      <w:r>
        <w:rPr>
          <w:rFonts w:ascii="Times New Roman" w:hAnsi="Times New Roman"/>
          <w:sz w:val="21"/>
          <w:szCs w:val="18"/>
        </w:rPr>
        <w:t xml:space="preserve">  </w:t>
      </w:r>
      <w:r>
        <w:rPr>
          <w:rFonts w:ascii="Times New Roman" w:hAnsi="Times New Roman" w:hint="eastAsia"/>
          <w:sz w:val="21"/>
          <w:szCs w:val="18"/>
        </w:rPr>
        <w:t>冠脉循环的血流特点和血流量的调节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4</w:t>
      </w:r>
      <w:r>
        <w:rPr>
          <w:rFonts w:ascii="Times New Roman" w:hAnsi="Times New Roman" w:hint="eastAsia"/>
          <w:sz w:val="21"/>
          <w:szCs w:val="18"/>
        </w:rPr>
        <w:t>．肺循环（生理特点、血流量的调节）。脑循环（生理特点、血流量的调节、脑脊液的生成和吸收、血</w:t>
      </w:r>
      <w:r>
        <w:rPr>
          <w:rFonts w:ascii="Times New Roman" w:hAnsi="Times New Roman"/>
          <w:sz w:val="21"/>
          <w:szCs w:val="18"/>
        </w:rPr>
        <w:t>-</w:t>
      </w:r>
      <w:r>
        <w:rPr>
          <w:rFonts w:ascii="Times New Roman" w:hAnsi="Times New Roman" w:hint="eastAsia"/>
          <w:sz w:val="21"/>
          <w:szCs w:val="18"/>
        </w:rPr>
        <w:t>脑脊液屏障和血</w:t>
      </w:r>
      <w:r>
        <w:rPr>
          <w:rFonts w:ascii="Times New Roman" w:hAnsi="Times New Roman"/>
          <w:sz w:val="21"/>
          <w:szCs w:val="18"/>
        </w:rPr>
        <w:t>-</w:t>
      </w:r>
      <w:r>
        <w:rPr>
          <w:rFonts w:ascii="Times New Roman" w:hAnsi="Times New Roman" w:hint="eastAsia"/>
          <w:sz w:val="21"/>
          <w:szCs w:val="18"/>
        </w:rPr>
        <w:t>脑屏障）。</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第五章</w:t>
      </w:r>
      <w:r>
        <w:rPr>
          <w:rFonts w:ascii="Times New Roman" w:hAnsi="Times New Roman"/>
          <w:b/>
          <w:sz w:val="28"/>
          <w:szCs w:val="18"/>
        </w:rPr>
        <w:t xml:space="preserve"> </w:t>
      </w:r>
      <w:r>
        <w:rPr>
          <w:rFonts w:ascii="Times New Roman" w:hAnsi="Times New Roman" w:hint="eastAsia"/>
          <w:b/>
          <w:sz w:val="28"/>
          <w:szCs w:val="18"/>
        </w:rPr>
        <w:t>呼吸系统</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6</w:t>
      </w:r>
      <w:r>
        <w:rPr>
          <w:rFonts w:ascii="Times New Roman" w:hint="eastAsia"/>
          <w:b/>
        </w:rPr>
        <w:t>学时）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肺通气的原理和评价指标</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呼吸气体的交换</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呼吸气体在血液中的运输</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呼吸运动的调节</w:t>
      </w:r>
    </w:p>
    <w:p w:rsidR="003717A0" w:rsidRDefault="003717A0">
      <w:pPr>
        <w:pStyle w:val="af0"/>
        <w:spacing w:before="0" w:beforeAutospacing="0" w:after="0" w:afterAutospacing="0"/>
        <w:ind w:firstLineChars="200" w:firstLine="562"/>
        <w:jc w:val="center"/>
        <w:rPr>
          <w:rFonts w:ascii="Times New Roman" w:hAnsi="Times New Roman"/>
          <w:b/>
          <w:sz w:val="28"/>
          <w:szCs w:val="18"/>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．肺表面活性物质的组成、产生、作用机制及临床意义。</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．肺通气</w:t>
      </w:r>
      <w:r>
        <w:rPr>
          <w:rFonts w:ascii="Times New Roman" w:hAnsi="Times New Roman"/>
          <w:sz w:val="21"/>
          <w:szCs w:val="18"/>
        </w:rPr>
        <w:t xml:space="preserve">  </w:t>
      </w:r>
      <w:r>
        <w:rPr>
          <w:rFonts w:ascii="Times New Roman" w:hAnsi="Times New Roman" w:hint="eastAsia"/>
          <w:sz w:val="21"/>
          <w:szCs w:val="18"/>
        </w:rPr>
        <w:t>肺通气的原理：肺通气的动力和阻力。基本肺容积和肺容量：潮气量、肺活量与用力肺活量、功能余气量、肺泡通气量。肺通气量与肺泡通气量</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．肺换气</w:t>
      </w:r>
      <w:r>
        <w:rPr>
          <w:rFonts w:ascii="Times New Roman" w:hAnsi="Times New Roman"/>
          <w:sz w:val="21"/>
          <w:szCs w:val="18"/>
        </w:rPr>
        <w:t xml:space="preserve">  </w:t>
      </w:r>
      <w:r>
        <w:rPr>
          <w:rFonts w:ascii="Times New Roman" w:hAnsi="Times New Roman" w:hint="eastAsia"/>
          <w:sz w:val="21"/>
          <w:szCs w:val="18"/>
        </w:rPr>
        <w:t>肺换气气的过程及其影响因素。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气体在血液中的运输</w:t>
      </w:r>
      <w:r>
        <w:rPr>
          <w:rFonts w:ascii="Times New Roman" w:hAnsi="Times New Roman"/>
          <w:sz w:val="21"/>
          <w:szCs w:val="18"/>
        </w:rPr>
        <w:t xml:space="preserve">  </w:t>
      </w:r>
      <w:r>
        <w:rPr>
          <w:rFonts w:ascii="Times New Roman" w:hAnsi="Times New Roman" w:hint="eastAsia"/>
          <w:sz w:val="21"/>
          <w:szCs w:val="18"/>
        </w:rPr>
        <w:t>氧和二氧化碳在血液中的运输形式；血氧饱和度、氧解离曲线及影响因素。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5</w:t>
      </w:r>
      <w:r>
        <w:rPr>
          <w:rFonts w:ascii="Times New Roman" w:hAnsi="Times New Roman" w:hint="eastAsia"/>
          <w:sz w:val="21"/>
          <w:szCs w:val="18"/>
        </w:rPr>
        <w:t>．呼吸运动的调节</w:t>
      </w:r>
      <w:r>
        <w:rPr>
          <w:rFonts w:ascii="Times New Roman" w:hAnsi="Times New Roman"/>
          <w:sz w:val="21"/>
          <w:szCs w:val="18"/>
        </w:rPr>
        <w:t xml:space="preserve">  </w:t>
      </w:r>
      <w:r>
        <w:rPr>
          <w:rFonts w:ascii="Times New Roman" w:hAnsi="Times New Roman" w:hint="eastAsia"/>
          <w:sz w:val="21"/>
          <w:szCs w:val="18"/>
        </w:rPr>
        <w:t>呼吸中枢；肺牵张反射；化学因素（血液中</w:t>
      </w:r>
      <w:r>
        <w:rPr>
          <w:rFonts w:ascii="Times New Roman" w:hAnsi="Times New Roman" w:cs="Times New Roman"/>
          <w:sz w:val="21"/>
          <w:szCs w:val="18"/>
        </w:rPr>
        <w:t>O</w:t>
      </w:r>
      <w:r>
        <w:rPr>
          <w:rFonts w:ascii="Times New Roman" w:hAnsi="Times New Roman" w:cs="Times New Roman"/>
          <w:sz w:val="21"/>
          <w:szCs w:val="18"/>
          <w:vertAlign w:val="subscript"/>
        </w:rPr>
        <w:t>2</w:t>
      </w:r>
      <w:r>
        <w:rPr>
          <w:rFonts w:ascii="Times New Roman" w:hAnsi="Times New Roman" w:cs="Times New Roman" w:hint="eastAsia"/>
          <w:sz w:val="21"/>
          <w:szCs w:val="18"/>
        </w:rPr>
        <w:t>分压、</w:t>
      </w:r>
      <w:r>
        <w:rPr>
          <w:rFonts w:ascii="Times New Roman" w:hAnsi="Times New Roman" w:cs="Times New Roman"/>
          <w:sz w:val="21"/>
          <w:szCs w:val="18"/>
        </w:rPr>
        <w:t>CO</w:t>
      </w:r>
      <w:r>
        <w:rPr>
          <w:rFonts w:ascii="Times New Roman" w:hAnsi="Times New Roman" w:cs="Times New Roman"/>
          <w:sz w:val="21"/>
          <w:szCs w:val="18"/>
          <w:vertAlign w:val="subscript"/>
        </w:rPr>
        <w:t>2</w:t>
      </w:r>
      <w:r>
        <w:rPr>
          <w:rFonts w:ascii="Times New Roman" w:hAnsi="Times New Roman" w:cs="Times New Roman" w:hint="eastAsia"/>
          <w:sz w:val="21"/>
          <w:szCs w:val="18"/>
        </w:rPr>
        <w:t>分压和</w:t>
      </w:r>
      <w:r>
        <w:rPr>
          <w:rFonts w:ascii="Times New Roman" w:hAnsi="Times New Roman" w:cs="Times New Roman"/>
          <w:sz w:val="21"/>
          <w:szCs w:val="18"/>
        </w:rPr>
        <w:t>H</w:t>
      </w:r>
      <w:r>
        <w:rPr>
          <w:rFonts w:ascii="Times New Roman" w:hAnsi="Times New Roman" w:cs="Times New Roman"/>
          <w:sz w:val="21"/>
          <w:szCs w:val="18"/>
          <w:vertAlign w:val="superscript"/>
        </w:rPr>
        <w:t>+</w:t>
      </w:r>
      <w:r>
        <w:rPr>
          <w:rFonts w:ascii="Times New Roman" w:hAnsi="Times New Roman" w:cs="Times New Roman" w:hint="eastAsia"/>
          <w:sz w:val="21"/>
          <w:szCs w:val="18"/>
        </w:rPr>
        <w:t>浓度的变化</w:t>
      </w:r>
      <w:r>
        <w:rPr>
          <w:rFonts w:ascii="Times New Roman" w:hAnsi="Times New Roman" w:hint="eastAsia"/>
          <w:sz w:val="21"/>
          <w:szCs w:val="18"/>
        </w:rPr>
        <w:t>）对呼吸的调节，外周化学感受器与中枢化学敏感区。</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．非弹性阻力：惯性阻力、粘滞阻力。</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．肺容量、补吸气量、补呼气量，余气量，肺总量，肺通气量，最大通气量，无效腔及其影响因素。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．呼吸功。</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4</w:t>
      </w:r>
      <w:r>
        <w:rPr>
          <w:rFonts w:ascii="Times New Roman" w:hAnsi="Times New Roman" w:hint="eastAsia"/>
          <w:sz w:val="21"/>
          <w:szCs w:val="18"/>
        </w:rPr>
        <w:t>．节律性呼吸运动的形成。</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1</w:t>
      </w:r>
      <w:r>
        <w:rPr>
          <w:rFonts w:ascii="Times New Roman" w:hAnsi="Times New Roman" w:hint="eastAsia"/>
          <w:sz w:val="21"/>
          <w:szCs w:val="18"/>
        </w:rPr>
        <w:t>．呼吸的意义：呼吸的三个环节：外呼吸、气体在血液中的运输与内呼吸。</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2</w:t>
      </w:r>
      <w:r>
        <w:rPr>
          <w:rFonts w:ascii="Times New Roman" w:hAnsi="Times New Roman" w:hint="eastAsia"/>
          <w:sz w:val="21"/>
          <w:szCs w:val="18"/>
        </w:rPr>
        <w:t>．实现肺通气的结构基础与功能：呼吸道、肺泡、呼吸膜；胸廓：平静与用力呼吸。</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．呼吸肌的本体感受器反射，肺毛细血管旁细胞感受器反射。咳嗽反射、喷嚏反射。</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第六章</w:t>
      </w:r>
      <w:r>
        <w:rPr>
          <w:rFonts w:ascii="Times New Roman" w:hAnsi="Times New Roman"/>
          <w:b/>
          <w:sz w:val="28"/>
          <w:szCs w:val="18"/>
        </w:rPr>
        <w:t xml:space="preserve"> </w:t>
      </w:r>
      <w:r>
        <w:rPr>
          <w:rFonts w:ascii="Times New Roman" w:hAnsi="Times New Roman" w:hint="eastAsia"/>
          <w:b/>
          <w:sz w:val="28"/>
          <w:szCs w:val="18"/>
        </w:rPr>
        <w:t>消化和吸收</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6</w:t>
      </w:r>
      <w:r>
        <w:rPr>
          <w:rFonts w:ascii="Times New Roman" w:hint="eastAsia"/>
          <w:b/>
        </w:rPr>
        <w:t>学时）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消化系统概述</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lastRenderedPageBreak/>
        <w:t xml:space="preserve">2. </w:t>
      </w:r>
      <w:r>
        <w:rPr>
          <w:rFonts w:ascii="Times New Roman" w:hAnsi="Times New Roman" w:hint="eastAsia"/>
          <w:sz w:val="21"/>
          <w:szCs w:val="18"/>
        </w:rPr>
        <w:t>口腔内消化（自学）</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3. </w:t>
      </w:r>
      <w:r>
        <w:rPr>
          <w:rFonts w:ascii="Times New Roman" w:hAnsi="Times New Roman" w:hint="eastAsia"/>
          <w:sz w:val="21"/>
          <w:szCs w:val="18"/>
        </w:rPr>
        <w:t>胃内消化</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小肠内消化</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5. </w:t>
      </w:r>
      <w:r>
        <w:rPr>
          <w:rFonts w:ascii="Times New Roman" w:hAnsi="Times New Roman" w:hint="eastAsia"/>
          <w:sz w:val="21"/>
          <w:szCs w:val="18"/>
        </w:rPr>
        <w:t>大肠的功能</w:t>
      </w:r>
    </w:p>
    <w:p w:rsidR="003717A0" w:rsidRDefault="003717A0">
      <w:pPr>
        <w:pStyle w:val="af0"/>
        <w:spacing w:before="0" w:beforeAutospacing="0" w:after="0" w:afterAutospacing="0"/>
        <w:ind w:firstLineChars="200" w:firstLine="562"/>
        <w:jc w:val="center"/>
        <w:rPr>
          <w:rFonts w:ascii="Times New Roman" w:hAnsi="Times New Roman"/>
          <w:b/>
          <w:kern w:val="2"/>
          <w:sz w:val="28"/>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掌握内容：</w:t>
      </w:r>
    </w:p>
    <w:p w:rsidR="003717A0" w:rsidRDefault="003717A0">
      <w:pPr>
        <w:pStyle w:val="af0"/>
        <w:spacing w:before="0" w:beforeAutospacing="0" w:after="0" w:afterAutospacing="0"/>
        <w:ind w:leftChars="200" w:left="735" w:hangingChars="150" w:hanging="315"/>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．消化和吸收的概念，消化道平滑肌的一般特性和电生理特性（静息电位、基本电节律、动作电位以及三者的关系）。胃肠的神经支配及其作用。</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．胃液的性质、成分和作用；胃粘膜保护，</w:t>
      </w:r>
      <w:r>
        <w:rPr>
          <w:rFonts w:ascii="Times New Roman" w:hAnsi="Times New Roman"/>
          <w:sz w:val="21"/>
          <w:szCs w:val="18"/>
        </w:rPr>
        <w:t>“</w:t>
      </w:r>
      <w:r>
        <w:rPr>
          <w:rFonts w:ascii="Times New Roman" w:hAnsi="Times New Roman" w:hint="eastAsia"/>
          <w:sz w:val="21"/>
          <w:szCs w:val="18"/>
        </w:rPr>
        <w:t>粘液</w:t>
      </w:r>
      <w:r>
        <w:rPr>
          <w:rFonts w:ascii="Times New Roman" w:hAnsi="Times New Roman"/>
          <w:sz w:val="21"/>
          <w:szCs w:val="18"/>
        </w:rPr>
        <w:t>-</w:t>
      </w:r>
      <w:r>
        <w:rPr>
          <w:rFonts w:ascii="Times New Roman" w:hAnsi="Times New Roman" w:hint="eastAsia"/>
          <w:sz w:val="21"/>
          <w:szCs w:val="18"/>
        </w:rPr>
        <w:t>碳酸氢盐屏障</w:t>
      </w:r>
      <w:r>
        <w:rPr>
          <w:rFonts w:ascii="Times New Roman" w:hAnsi="Times New Roman"/>
          <w:sz w:val="21"/>
          <w:szCs w:val="18"/>
        </w:rPr>
        <w:t>”</w:t>
      </w:r>
      <w:r>
        <w:rPr>
          <w:rFonts w:ascii="Times New Roman" w:hAnsi="Times New Roman" w:hint="eastAsia"/>
          <w:sz w:val="21"/>
          <w:szCs w:val="18"/>
        </w:rPr>
        <w:t>，胃的运动形式和作用，</w:t>
      </w:r>
    </w:p>
    <w:p w:rsidR="003717A0" w:rsidRDefault="003717A0">
      <w:pPr>
        <w:pStyle w:val="af0"/>
        <w:spacing w:before="0" w:beforeAutospacing="0" w:after="0" w:afterAutospacing="0"/>
        <w:ind w:firstLineChars="150" w:firstLine="315"/>
        <w:rPr>
          <w:rFonts w:ascii="Times New Roman" w:hAnsi="Times New Roman"/>
          <w:sz w:val="21"/>
          <w:szCs w:val="18"/>
        </w:rPr>
      </w:pPr>
      <w:r>
        <w:rPr>
          <w:rFonts w:ascii="Times New Roman" w:hAnsi="Times New Roman"/>
          <w:sz w:val="21"/>
          <w:szCs w:val="18"/>
        </w:rPr>
        <w:t xml:space="preserve"> 3</w:t>
      </w:r>
      <w:r>
        <w:rPr>
          <w:rFonts w:ascii="Times New Roman" w:hAnsi="Times New Roman" w:hint="eastAsia"/>
          <w:sz w:val="21"/>
          <w:szCs w:val="18"/>
        </w:rPr>
        <w:t>．胰液和胆汁的性质、成分和作用；小肠的运动形式</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4</w:t>
      </w:r>
      <w:r>
        <w:rPr>
          <w:rFonts w:ascii="Times New Roman" w:hAnsi="Times New Roman" w:hint="eastAsia"/>
          <w:sz w:val="21"/>
          <w:szCs w:val="18"/>
        </w:rPr>
        <w:t>．排便反射</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5. </w:t>
      </w:r>
      <w:r>
        <w:rPr>
          <w:rFonts w:ascii="Times New Roman" w:hAnsi="Times New Roman" w:hint="eastAsia"/>
          <w:sz w:val="21"/>
          <w:szCs w:val="18"/>
        </w:rPr>
        <w:t>小肠的吸收功能</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熟悉内容：</w:t>
      </w:r>
    </w:p>
    <w:p w:rsidR="003717A0" w:rsidRDefault="003717A0">
      <w:pPr>
        <w:pStyle w:val="af0"/>
        <w:spacing w:before="0" w:beforeAutospacing="0" w:after="0" w:afterAutospacing="0"/>
        <w:ind w:leftChars="200" w:left="735" w:hangingChars="150" w:hanging="315"/>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．胃肠激素及其作用；胃液分泌的调节：基础分泌，头期、胃期和肠期的胃液分泌；</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 xml:space="preserve">2. </w:t>
      </w:r>
      <w:r>
        <w:rPr>
          <w:rFonts w:ascii="Times New Roman" w:hAnsi="Times New Roman" w:hint="eastAsia"/>
          <w:sz w:val="21"/>
          <w:szCs w:val="18"/>
        </w:rPr>
        <w:t>神经和体液因素对胃运动的调节。</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．小肠液的性质、成分和作用。小肠液分泌的调节，小肠运动的作用，小肠运动的调节。</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．消化腺细胞分泌的机制；外来神经和内在神经丛。</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．咀嚼运动的意义，吞咽及其过程，食道的蠕动，食道胃括约肌的作用。</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．大肠内消化：大肠液的分泌，大肠内的细菌作用，大肠运动形式，集团运动。</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第七章</w:t>
      </w:r>
      <w:r>
        <w:rPr>
          <w:rFonts w:ascii="Times New Roman" w:hAnsi="Times New Roman"/>
          <w:b/>
          <w:sz w:val="28"/>
          <w:szCs w:val="18"/>
        </w:rPr>
        <w:t xml:space="preserve"> </w:t>
      </w:r>
      <w:r>
        <w:rPr>
          <w:rFonts w:ascii="Times New Roman" w:hAnsi="Times New Roman" w:hint="eastAsia"/>
          <w:b/>
          <w:sz w:val="28"/>
          <w:szCs w:val="18"/>
        </w:rPr>
        <w:t>能量代谢和体温</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1. </w:t>
      </w:r>
      <w:r>
        <w:rPr>
          <w:rFonts w:ascii="Times New Roman" w:hAnsi="Times New Roman" w:hint="eastAsia"/>
          <w:sz w:val="21"/>
          <w:szCs w:val="18"/>
        </w:rPr>
        <w:t>能量代谢的来源与利用、测定及影响因素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体温及其调节</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adjustRightInd w:val="0"/>
        <w:snapToGrid w:val="0"/>
        <w:spacing w:line="360" w:lineRule="auto"/>
        <w:ind w:right="6" w:firstLineChars="200" w:firstLine="422"/>
        <w:rPr>
          <w:rFonts w:hAnsi="Times New Roman"/>
          <w:b/>
          <w:sz w:val="28"/>
        </w:rPr>
      </w:pPr>
      <w:r>
        <w:rPr>
          <w:rFonts w:hint="eastAsia"/>
          <w:b/>
        </w:rPr>
        <w:t>目的要求：</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 xml:space="preserve">1. </w:t>
      </w:r>
      <w:r>
        <w:rPr>
          <w:rFonts w:ascii="Times New Roman" w:hAnsi="Times New Roman" w:hint="eastAsia"/>
          <w:sz w:val="21"/>
          <w:szCs w:val="18"/>
        </w:rPr>
        <w:t>食物的热价、氧热价、呼吸商的概念；影响能量代谢的主要因素；基础代谢率，基础状态。</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体温的概念；机体产热和散热的平衡，主要的产热器官，皮肤散热的方式：辐射、传导、对流、蒸发。温度感受器，体温调节中枢，调定点学说。</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1</w:t>
      </w:r>
      <w:r>
        <w:rPr>
          <w:rFonts w:ascii="Times New Roman" w:hAnsi="Times New Roman" w:hint="eastAsia"/>
          <w:sz w:val="21"/>
          <w:szCs w:val="18"/>
        </w:rPr>
        <w:t>．间接测热法的原理。</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．基础代谢的测定原理与意义。</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kern w:val="2"/>
          <w:sz w:val="21"/>
        </w:rPr>
        <w:t>温度感受器：热敏神经元和冷敏神经元。</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lastRenderedPageBreak/>
        <w:t>第八章</w:t>
      </w:r>
      <w:r>
        <w:rPr>
          <w:rFonts w:ascii="Times New Roman" w:hAnsi="Times New Roman"/>
          <w:b/>
          <w:sz w:val="28"/>
          <w:szCs w:val="18"/>
        </w:rPr>
        <w:t xml:space="preserve"> </w:t>
      </w:r>
      <w:r>
        <w:rPr>
          <w:rFonts w:ascii="Times New Roman" w:hAnsi="Times New Roman" w:hint="eastAsia"/>
          <w:b/>
          <w:sz w:val="28"/>
          <w:szCs w:val="18"/>
        </w:rPr>
        <w:t>尿的生成与排放</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9</w:t>
      </w:r>
      <w:r>
        <w:rPr>
          <w:rFonts w:ascii="Times New Roman" w:hint="eastAsia"/>
          <w:b/>
        </w:rPr>
        <w:t>学时）</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泌尿系统的概述</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肾小球的滤过功能</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肾小管和集合管的物质转运功能</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尿液的浓缩和稀释</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泌尿功能的神经体液调节</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血浆清除率</w:t>
      </w:r>
    </w:p>
    <w:p w:rsidR="003717A0" w:rsidRDefault="003717A0">
      <w:pPr>
        <w:pStyle w:val="af0"/>
        <w:numPr>
          <w:ilvl w:val="0"/>
          <w:numId w:val="157"/>
        </w:numPr>
        <w:spacing w:before="0" w:beforeAutospacing="0" w:after="0" w:afterAutospacing="0"/>
        <w:rPr>
          <w:rFonts w:ascii="Times New Roman" w:hAnsi="Times New Roman"/>
          <w:sz w:val="21"/>
          <w:szCs w:val="18"/>
        </w:rPr>
      </w:pPr>
      <w:r>
        <w:rPr>
          <w:rFonts w:ascii="Times New Roman" w:hAnsi="Times New Roman" w:hint="eastAsia"/>
          <w:sz w:val="21"/>
          <w:szCs w:val="18"/>
        </w:rPr>
        <w:t>尿的排放</w:t>
      </w:r>
    </w:p>
    <w:p w:rsidR="003717A0" w:rsidRDefault="003717A0">
      <w:pPr>
        <w:pStyle w:val="af0"/>
        <w:spacing w:before="0" w:beforeAutospacing="0" w:after="0" w:afterAutospacing="0"/>
        <w:ind w:left="420"/>
        <w:rPr>
          <w:rFonts w:ascii="Times New Roman" w:hAnsi="Times New Roman"/>
          <w:sz w:val="21"/>
          <w:szCs w:val="18"/>
        </w:rPr>
      </w:pPr>
    </w:p>
    <w:p w:rsidR="003717A0" w:rsidRDefault="003717A0">
      <w:pPr>
        <w:adjustRightInd w:val="0"/>
        <w:snapToGrid w:val="0"/>
        <w:spacing w:line="360" w:lineRule="auto"/>
        <w:ind w:right="6" w:firstLineChars="200" w:firstLine="422"/>
        <w:rPr>
          <w:rFonts w:hAnsi="Times New Roman"/>
          <w:b/>
          <w:sz w:val="28"/>
        </w:rPr>
      </w:pPr>
      <w:r>
        <w:rPr>
          <w:rFonts w:hint="eastAsia"/>
          <w:b/>
        </w:rPr>
        <w:t>目的要求：</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cs="Times New Roman"/>
          <w:sz w:val="21"/>
          <w:szCs w:val="18"/>
        </w:rPr>
        <w:t>1</w:t>
      </w:r>
      <w:r>
        <w:rPr>
          <w:rFonts w:ascii="Times New Roman" w:hAnsi="Times New Roman" w:hint="eastAsia"/>
          <w:sz w:val="21"/>
          <w:szCs w:val="18"/>
        </w:rPr>
        <w:t>．肾小球的滤过作用</w:t>
      </w:r>
      <w:r>
        <w:rPr>
          <w:rFonts w:ascii="Times New Roman" w:hAnsi="Times New Roman"/>
          <w:sz w:val="21"/>
          <w:szCs w:val="18"/>
        </w:rPr>
        <w:t xml:space="preserve">  </w:t>
      </w:r>
      <w:r>
        <w:rPr>
          <w:rFonts w:ascii="Times New Roman" w:hAnsi="Times New Roman" w:hint="eastAsia"/>
          <w:sz w:val="21"/>
          <w:szCs w:val="18"/>
        </w:rPr>
        <w:t>肾小球有效滤过压，肾小球滤过率，滤过分数；影响肾小球滤过的因素。</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2. </w:t>
      </w:r>
      <w:r>
        <w:rPr>
          <w:rFonts w:ascii="Times New Roman" w:hAnsi="Times New Roman" w:hint="eastAsia"/>
          <w:sz w:val="21"/>
          <w:szCs w:val="18"/>
        </w:rPr>
        <w:t>肾小管与集合管的转运功能</w:t>
      </w:r>
      <w:r>
        <w:rPr>
          <w:rFonts w:ascii="Times New Roman" w:hAnsi="Times New Roman"/>
          <w:sz w:val="21"/>
          <w:szCs w:val="18"/>
        </w:rPr>
        <w:t xml:space="preserve">  </w:t>
      </w:r>
      <w:r>
        <w:rPr>
          <w:rFonts w:ascii="Times New Roman" w:hAnsi="Times New Roman" w:hint="eastAsia"/>
          <w:sz w:val="21"/>
          <w:szCs w:val="18"/>
        </w:rPr>
        <w:t>对</w:t>
      </w:r>
      <w:r>
        <w:rPr>
          <w:rFonts w:ascii="Times New Roman" w:hAnsi="Times New Roman" w:cs="Times New Roman"/>
          <w:sz w:val="21"/>
          <w:szCs w:val="18"/>
        </w:rPr>
        <w:t>Na</w:t>
      </w:r>
      <w:r>
        <w:rPr>
          <w:rFonts w:ascii="Times New Roman" w:hAnsi="Times New Roman" w:cs="Times New Roman" w:hint="eastAsia"/>
          <w:sz w:val="21"/>
          <w:szCs w:val="18"/>
          <w:vertAlign w:val="superscript"/>
        </w:rPr>
        <w:t>＋</w:t>
      </w:r>
      <w:r>
        <w:rPr>
          <w:rFonts w:ascii="Times New Roman" w:hAnsi="Times New Roman" w:cs="Times New Roman" w:hint="eastAsia"/>
          <w:sz w:val="21"/>
          <w:szCs w:val="18"/>
        </w:rPr>
        <w:t>、</w:t>
      </w:r>
      <w:r>
        <w:rPr>
          <w:rFonts w:ascii="Times New Roman" w:hAnsi="Times New Roman" w:cs="Times New Roman"/>
          <w:sz w:val="21"/>
          <w:szCs w:val="18"/>
        </w:rPr>
        <w:t>Cl</w:t>
      </w:r>
      <w:r>
        <w:rPr>
          <w:rFonts w:ascii="Times New Roman" w:hAnsi="Times New Roman" w:cs="Times New Roman" w:hint="eastAsia"/>
          <w:sz w:val="21"/>
          <w:szCs w:val="18"/>
          <w:vertAlign w:val="superscript"/>
        </w:rPr>
        <w:t>－</w:t>
      </w:r>
      <w:r>
        <w:rPr>
          <w:rFonts w:ascii="Times New Roman" w:hAnsi="Times New Roman" w:cs="Times New Roman" w:hint="eastAsia"/>
          <w:sz w:val="21"/>
          <w:szCs w:val="18"/>
        </w:rPr>
        <w:t>、水、</w:t>
      </w:r>
      <w:r>
        <w:rPr>
          <w:rFonts w:ascii="Times New Roman" w:hAnsi="Times New Roman" w:cs="Times New Roman"/>
          <w:sz w:val="21"/>
          <w:szCs w:val="18"/>
        </w:rPr>
        <w:t>HCO</w:t>
      </w:r>
      <w:r>
        <w:rPr>
          <w:rFonts w:ascii="Times New Roman" w:hAnsi="Times New Roman" w:cs="Times New Roman"/>
          <w:sz w:val="21"/>
          <w:szCs w:val="18"/>
          <w:vertAlign w:val="subscript"/>
        </w:rPr>
        <w:t>3</w:t>
      </w:r>
      <w:r>
        <w:rPr>
          <w:rFonts w:ascii="Times New Roman" w:hAnsi="Times New Roman" w:cs="Times New Roman" w:hint="eastAsia"/>
          <w:sz w:val="21"/>
          <w:szCs w:val="18"/>
          <w:vertAlign w:val="superscript"/>
        </w:rPr>
        <w:t>－</w:t>
      </w:r>
      <w:r>
        <w:rPr>
          <w:rFonts w:ascii="Times New Roman" w:hAnsi="Times New Roman" w:cs="Times New Roman" w:hint="eastAsia"/>
          <w:sz w:val="21"/>
          <w:szCs w:val="18"/>
        </w:rPr>
        <w:t>和</w:t>
      </w:r>
      <w:r>
        <w:rPr>
          <w:rFonts w:ascii="Times New Roman" w:hAnsi="Times New Roman" w:hint="eastAsia"/>
          <w:sz w:val="21"/>
          <w:szCs w:val="18"/>
        </w:rPr>
        <w:t>葡萄糖的重吸收；对</w:t>
      </w:r>
      <w:r>
        <w:rPr>
          <w:rFonts w:ascii="Times New Roman" w:hAnsi="Times New Roman" w:cs="Times New Roman"/>
          <w:sz w:val="21"/>
          <w:szCs w:val="18"/>
        </w:rPr>
        <w:t>H</w:t>
      </w:r>
      <w:r>
        <w:rPr>
          <w:rFonts w:ascii="Times New Roman" w:hAnsi="Times New Roman" w:cs="Times New Roman" w:hint="eastAsia"/>
          <w:sz w:val="21"/>
          <w:szCs w:val="18"/>
          <w:vertAlign w:val="superscript"/>
        </w:rPr>
        <w:t>＋</w:t>
      </w:r>
      <w:r>
        <w:rPr>
          <w:rFonts w:ascii="Times New Roman" w:hAnsi="Times New Roman" w:cs="Times New Roman" w:hint="eastAsia"/>
          <w:sz w:val="21"/>
          <w:szCs w:val="18"/>
        </w:rPr>
        <w:t>和</w:t>
      </w:r>
      <w:r>
        <w:rPr>
          <w:rFonts w:ascii="Times New Roman" w:hAnsi="Times New Roman" w:cs="Times New Roman"/>
          <w:sz w:val="21"/>
          <w:szCs w:val="18"/>
        </w:rPr>
        <w:t>NH</w:t>
      </w:r>
      <w:r>
        <w:rPr>
          <w:rFonts w:ascii="Times New Roman" w:hAnsi="Times New Roman" w:cs="Times New Roman"/>
          <w:sz w:val="21"/>
          <w:szCs w:val="18"/>
          <w:vertAlign w:val="subscript"/>
        </w:rPr>
        <w:t>4</w:t>
      </w:r>
      <w:r>
        <w:rPr>
          <w:rFonts w:ascii="Times New Roman" w:hAnsi="Times New Roman" w:cs="Times New Roman"/>
          <w:sz w:val="21"/>
          <w:szCs w:val="18"/>
          <w:vertAlign w:val="superscript"/>
        </w:rPr>
        <w:t>+</w:t>
      </w:r>
      <w:r>
        <w:rPr>
          <w:rFonts w:ascii="Times New Roman" w:hAnsi="Times New Roman" w:hint="eastAsia"/>
          <w:sz w:val="21"/>
          <w:szCs w:val="18"/>
        </w:rPr>
        <w:t>的分泌。</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cs="Times New Roman"/>
          <w:sz w:val="21"/>
          <w:szCs w:val="18"/>
        </w:rPr>
        <w:t>3</w:t>
      </w:r>
      <w:r>
        <w:rPr>
          <w:rFonts w:ascii="Times New Roman" w:hAnsi="Times New Roman" w:hint="eastAsia"/>
          <w:sz w:val="21"/>
          <w:szCs w:val="18"/>
        </w:rPr>
        <w:t>．尿生成的调节</w:t>
      </w:r>
      <w:r>
        <w:rPr>
          <w:rFonts w:ascii="Times New Roman" w:hAnsi="Times New Roman"/>
          <w:sz w:val="21"/>
          <w:szCs w:val="18"/>
        </w:rPr>
        <w:t xml:space="preserve">  </w:t>
      </w:r>
      <w:r>
        <w:rPr>
          <w:rFonts w:ascii="Times New Roman" w:hAnsi="Times New Roman" w:hint="eastAsia"/>
          <w:sz w:val="21"/>
          <w:szCs w:val="18"/>
        </w:rPr>
        <w:t>小管液中溶质的浓度；神经和体液调节：肾交感神经，抗利尿激素，肾素</w:t>
      </w:r>
      <w:r>
        <w:rPr>
          <w:rFonts w:ascii="Times New Roman" w:hAnsi="Times New Roman"/>
          <w:sz w:val="21"/>
          <w:szCs w:val="18"/>
        </w:rPr>
        <w:t>-</w:t>
      </w:r>
      <w:r>
        <w:rPr>
          <w:rFonts w:ascii="Times New Roman" w:hAnsi="Times New Roman" w:hint="eastAsia"/>
          <w:sz w:val="21"/>
          <w:szCs w:val="18"/>
        </w:rPr>
        <w:t>血管紧张素</w:t>
      </w:r>
      <w:r>
        <w:rPr>
          <w:rFonts w:ascii="Times New Roman" w:hAnsi="Times New Roman"/>
          <w:sz w:val="21"/>
          <w:szCs w:val="18"/>
        </w:rPr>
        <w:t>-</w:t>
      </w:r>
      <w:r>
        <w:rPr>
          <w:rFonts w:ascii="Times New Roman" w:hAnsi="Times New Roman" w:hint="eastAsia"/>
          <w:sz w:val="21"/>
          <w:szCs w:val="18"/>
        </w:rPr>
        <w:t>醛固酮系统。</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血浆清除率的概念。</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5.  </w:t>
      </w:r>
      <w:r>
        <w:rPr>
          <w:rFonts w:ascii="Times New Roman" w:hAnsi="Times New Roman" w:hint="eastAsia"/>
          <w:sz w:val="21"/>
          <w:szCs w:val="18"/>
        </w:rPr>
        <w:t>排尿反射。</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．排泄的概念，滤过膜的结构、功能特点。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cs="Times New Roman"/>
          <w:sz w:val="21"/>
          <w:szCs w:val="18"/>
        </w:rPr>
        <w:t>2</w:t>
      </w:r>
      <w:r>
        <w:rPr>
          <w:rFonts w:ascii="Times New Roman" w:hAnsi="Times New Roman" w:hint="eastAsia"/>
          <w:sz w:val="21"/>
          <w:szCs w:val="18"/>
        </w:rPr>
        <w:t>．尿液浓缩与稀释：肾髓质渗透梯度的形成，肾髓质渗透梯度与尿液浓缩稀释的关系，直小血管在维持肾髓质渗透梯度中的作用。</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cs="Times New Roman"/>
          <w:sz w:val="21"/>
          <w:szCs w:val="18"/>
        </w:rPr>
        <w:t>3</w:t>
      </w:r>
      <w:r>
        <w:rPr>
          <w:rFonts w:ascii="Times New Roman" w:hAnsi="Times New Roman" w:hint="eastAsia"/>
          <w:sz w:val="21"/>
          <w:szCs w:val="18"/>
        </w:rPr>
        <w:t>．血浆清除率的意义。</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left="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．排泄的途径，多尿、少尿和无尿。肾脏的功能解剖和血液循环特点。</w:t>
      </w:r>
    </w:p>
    <w:p w:rsidR="003717A0" w:rsidRDefault="003717A0">
      <w:pPr>
        <w:pStyle w:val="af0"/>
        <w:spacing w:before="0" w:beforeAutospacing="0" w:after="0" w:afterAutospacing="0"/>
        <w:ind w:left="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．膀胱和尿道的神经支配。</w:t>
      </w:r>
    </w:p>
    <w:p w:rsidR="003717A0" w:rsidRDefault="003717A0">
      <w:pPr>
        <w:pStyle w:val="af0"/>
        <w:spacing w:before="0" w:beforeAutospacing="0" w:after="0" w:afterAutospacing="0"/>
        <w:ind w:left="420"/>
        <w:rPr>
          <w:rFonts w:ascii="Times New Roman" w:hAnsi="Times New Roman"/>
          <w:sz w:val="21"/>
          <w:szCs w:val="18"/>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第九章</w:t>
      </w:r>
      <w:r>
        <w:rPr>
          <w:rFonts w:ascii="Times New Roman" w:hAnsi="Times New Roman"/>
          <w:b/>
          <w:sz w:val="28"/>
          <w:szCs w:val="18"/>
        </w:rPr>
        <w:t xml:space="preserve"> </w:t>
      </w:r>
      <w:r>
        <w:rPr>
          <w:rFonts w:ascii="Times New Roman" w:hAnsi="Times New Roman" w:hint="eastAsia"/>
          <w:b/>
          <w:sz w:val="28"/>
          <w:szCs w:val="18"/>
        </w:rPr>
        <w:t>感觉器官</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6</w:t>
      </w:r>
      <w:r>
        <w:rPr>
          <w:rFonts w:ascii="Times New Roman" w:hint="eastAsia"/>
          <w:b/>
        </w:rPr>
        <w:t>学时）</w:t>
      </w:r>
    </w:p>
    <w:p w:rsidR="003717A0" w:rsidRDefault="003717A0">
      <w:pPr>
        <w:adjustRightInd w:val="0"/>
        <w:snapToGrid w:val="0"/>
        <w:spacing w:line="360" w:lineRule="auto"/>
        <w:ind w:right="6" w:firstLineChars="200" w:firstLine="420"/>
        <w:rPr>
          <w:rFonts w:ascii="Times New Roman" w:hAnsi="Times New Roman"/>
          <w:szCs w:val="18"/>
        </w:rPr>
      </w:pPr>
      <w:r>
        <w:rPr>
          <w:rFonts w:ascii="Times New Roman" w:hAnsi="Times New Roman"/>
          <w:szCs w:val="18"/>
        </w:rPr>
        <w:t>1</w:t>
      </w:r>
      <w:r>
        <w:rPr>
          <w:rFonts w:ascii="Times New Roman" w:hAnsi="Times New Roman" w:hint="eastAsia"/>
          <w:szCs w:val="18"/>
        </w:rPr>
        <w:t>．感受器及其一般生理特性</w:t>
      </w:r>
    </w:p>
    <w:p w:rsidR="003717A0" w:rsidRDefault="003717A0">
      <w:pPr>
        <w:adjustRightInd w:val="0"/>
        <w:snapToGrid w:val="0"/>
        <w:spacing w:line="360" w:lineRule="auto"/>
        <w:ind w:right="6" w:firstLineChars="200" w:firstLine="420"/>
        <w:rPr>
          <w:rFonts w:ascii="Times New Roman"/>
        </w:rPr>
      </w:pPr>
      <w:r>
        <w:rPr>
          <w:rFonts w:ascii="Times New Roman"/>
        </w:rPr>
        <w:t xml:space="preserve">2. </w:t>
      </w:r>
      <w:r>
        <w:rPr>
          <w:rFonts w:ascii="Times New Roman" w:hint="eastAsia"/>
        </w:rPr>
        <w:t>眼的视觉功能</w:t>
      </w:r>
    </w:p>
    <w:p w:rsidR="003717A0" w:rsidRDefault="003717A0">
      <w:pPr>
        <w:adjustRightInd w:val="0"/>
        <w:snapToGrid w:val="0"/>
        <w:spacing w:line="360" w:lineRule="auto"/>
        <w:ind w:right="6" w:firstLineChars="200" w:firstLine="420"/>
        <w:rPr>
          <w:rFonts w:ascii="Times New Roman"/>
        </w:rPr>
      </w:pPr>
      <w:r>
        <w:rPr>
          <w:rFonts w:ascii="Times New Roman"/>
        </w:rPr>
        <w:t xml:space="preserve">3. </w:t>
      </w:r>
      <w:r>
        <w:rPr>
          <w:rFonts w:ascii="Times New Roman" w:hint="eastAsia"/>
        </w:rPr>
        <w:t>耳的听觉功能</w:t>
      </w:r>
    </w:p>
    <w:p w:rsidR="003717A0" w:rsidRDefault="003717A0">
      <w:pPr>
        <w:adjustRightInd w:val="0"/>
        <w:snapToGrid w:val="0"/>
        <w:spacing w:line="360" w:lineRule="auto"/>
        <w:ind w:right="6" w:firstLineChars="200" w:firstLine="420"/>
        <w:rPr>
          <w:rFonts w:ascii="Times New Roman"/>
        </w:rPr>
      </w:pPr>
      <w:r>
        <w:rPr>
          <w:rFonts w:ascii="Times New Roman"/>
        </w:rPr>
        <w:t xml:space="preserve">4. </w:t>
      </w:r>
      <w:r>
        <w:rPr>
          <w:rFonts w:ascii="Times New Roman" w:hint="eastAsia"/>
        </w:rPr>
        <w:t>前庭器官的平衡感觉功能</w:t>
      </w:r>
    </w:p>
    <w:p w:rsidR="003717A0" w:rsidRDefault="003717A0">
      <w:pPr>
        <w:adjustRightInd w:val="0"/>
        <w:snapToGrid w:val="0"/>
        <w:spacing w:line="360" w:lineRule="auto"/>
        <w:ind w:right="6" w:firstLineChars="200" w:firstLine="420"/>
        <w:rPr>
          <w:rFonts w:ascii="Times New Roman"/>
        </w:rPr>
      </w:pPr>
      <w:r>
        <w:rPr>
          <w:rFonts w:ascii="Times New Roman"/>
        </w:rPr>
        <w:t xml:space="preserve">5. </w:t>
      </w:r>
      <w:r>
        <w:rPr>
          <w:rFonts w:ascii="Times New Roman" w:hint="eastAsia"/>
        </w:rPr>
        <w:t>嗅觉和味觉（自学）</w:t>
      </w:r>
    </w:p>
    <w:p w:rsidR="003717A0" w:rsidRDefault="003717A0">
      <w:pPr>
        <w:adjustRightInd w:val="0"/>
        <w:snapToGrid w:val="0"/>
        <w:spacing w:line="360" w:lineRule="auto"/>
        <w:ind w:right="6" w:firstLineChars="200" w:firstLine="420"/>
        <w:rPr>
          <w:rFonts w:ascii="Times New Roman"/>
        </w:rPr>
      </w:pPr>
    </w:p>
    <w:p w:rsidR="003717A0" w:rsidRDefault="003717A0">
      <w:pPr>
        <w:adjustRightInd w:val="0"/>
        <w:snapToGrid w:val="0"/>
        <w:spacing w:line="360" w:lineRule="auto"/>
        <w:ind w:right="6" w:firstLineChars="200" w:firstLine="422"/>
        <w:rPr>
          <w:rFonts w:hAnsi="Times New Roman"/>
          <w:b/>
          <w:sz w:val="28"/>
        </w:rPr>
      </w:pPr>
      <w:r>
        <w:rPr>
          <w:rFonts w:hint="eastAsia"/>
          <w:b/>
        </w:rPr>
        <w:t>目的要求：</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lastRenderedPageBreak/>
        <w:t>掌握内容：</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1</w:t>
      </w:r>
      <w:r>
        <w:rPr>
          <w:rFonts w:ascii="Times New Roman" w:hAnsi="Times New Roman" w:hint="eastAsia"/>
          <w:sz w:val="21"/>
          <w:szCs w:val="18"/>
        </w:rPr>
        <w:t>．感受器的定义和分类。感受器的一般生理特性：适宜刺激、换能作用、编码作用、感受器的适应现象。</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2</w:t>
      </w:r>
      <w:r>
        <w:rPr>
          <w:rFonts w:ascii="Times New Roman" w:hAnsi="Times New Roman" w:hint="eastAsia"/>
          <w:sz w:val="21"/>
          <w:szCs w:val="18"/>
        </w:rPr>
        <w:t>．视觉器官</w:t>
      </w:r>
      <w:r>
        <w:rPr>
          <w:rFonts w:ascii="Times New Roman" w:hAnsi="Times New Roman"/>
          <w:sz w:val="21"/>
          <w:szCs w:val="18"/>
        </w:rPr>
        <w:t xml:space="preserve">  </w:t>
      </w:r>
      <w:r>
        <w:rPr>
          <w:rFonts w:ascii="Times New Roman" w:hAnsi="Times New Roman" w:hint="eastAsia"/>
          <w:sz w:val="21"/>
          <w:szCs w:val="18"/>
        </w:rPr>
        <w:t>眼内光的折射与简化眼，眼的调节。视网膜的两种感光换能系统，视紫红质的光化学反应及视杆细胞的感光换能作用，视锥细胞和色觉的关系。暗适应、明适应、视力（或视敏度）和视野。</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．听觉器官</w:t>
      </w:r>
      <w:r>
        <w:rPr>
          <w:rFonts w:ascii="Times New Roman" w:hAnsi="Times New Roman"/>
          <w:sz w:val="21"/>
          <w:szCs w:val="18"/>
        </w:rPr>
        <w:t xml:space="preserve">  </w:t>
      </w:r>
      <w:r>
        <w:rPr>
          <w:rFonts w:ascii="Times New Roman" w:hAnsi="Times New Roman" w:hint="eastAsia"/>
          <w:sz w:val="21"/>
          <w:szCs w:val="18"/>
        </w:rPr>
        <w:t>人耳的听阈和听域的概念，外耳和中耳的传音作用，声波传入内耳的途径，耳蜗的感音换能作用，行波理论。</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 xml:space="preserve">4. </w:t>
      </w:r>
      <w:r>
        <w:rPr>
          <w:rFonts w:ascii="Times New Roman" w:hAnsi="Times New Roman" w:hint="eastAsia"/>
          <w:sz w:val="21"/>
          <w:szCs w:val="18"/>
        </w:rPr>
        <w:t>前庭器官的适宜刺激。</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sz w:val="21"/>
          <w:szCs w:val="18"/>
        </w:rPr>
        <w:t>熟悉内容：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．眼的折光能力异常。近点与远点的概念，瞳孔近反射和瞳孔对光反射。色觉学说。</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2</w:t>
      </w:r>
      <w:r>
        <w:rPr>
          <w:rFonts w:ascii="Times New Roman" w:hAnsi="Times New Roman" w:hint="eastAsia"/>
          <w:sz w:val="21"/>
          <w:szCs w:val="18"/>
        </w:rPr>
        <w:t>．耳蜗的生物电现象，平衡觉的产生过程。前庭器官反射。</w:t>
      </w:r>
    </w:p>
    <w:p w:rsidR="003717A0" w:rsidRDefault="003717A0">
      <w:pPr>
        <w:pStyle w:val="af0"/>
        <w:spacing w:before="0" w:beforeAutospacing="0" w:after="0" w:afterAutospacing="0"/>
        <w:ind w:firstLineChars="200" w:firstLine="420"/>
        <w:rPr>
          <w:rFonts w:ascii="Times New Roman" w:hAnsi="Times New Roman"/>
          <w:sz w:val="21"/>
          <w:szCs w:val="18"/>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1</w:t>
      </w:r>
      <w:r>
        <w:rPr>
          <w:rFonts w:ascii="Times New Roman" w:hAnsi="Times New Roman" w:hint="eastAsia"/>
          <w:sz w:val="21"/>
          <w:szCs w:val="18"/>
        </w:rPr>
        <w:t>．视网膜的信息处理，双眼视觉和立体视觉。</w:t>
      </w: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sz w:val="21"/>
          <w:szCs w:val="18"/>
        </w:rPr>
        <w:t>2</w:t>
      </w:r>
      <w:r>
        <w:rPr>
          <w:rFonts w:ascii="Times New Roman" w:hAnsi="Times New Roman" w:hint="eastAsia"/>
          <w:sz w:val="21"/>
          <w:szCs w:val="18"/>
        </w:rPr>
        <w:t>．人耳的听阈、听域和声音强度的表示方法，外耳和中耳的传音功能，咽鼓管功能，声音的骨传导。</w:t>
      </w: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sz w:val="21"/>
          <w:szCs w:val="18"/>
        </w:rPr>
        <w:t>3</w:t>
      </w:r>
      <w:r>
        <w:rPr>
          <w:rFonts w:ascii="Times New Roman" w:hAnsi="Times New Roman" w:hint="eastAsia"/>
          <w:sz w:val="21"/>
          <w:szCs w:val="18"/>
        </w:rPr>
        <w:t>．嗅觉和味觉感受器。</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第十章</w:t>
      </w:r>
      <w:r>
        <w:rPr>
          <w:rFonts w:ascii="Times New Roman" w:hAnsi="Times New Roman"/>
          <w:b/>
          <w:sz w:val="28"/>
          <w:szCs w:val="18"/>
        </w:rPr>
        <w:t xml:space="preserve"> </w:t>
      </w:r>
      <w:r>
        <w:rPr>
          <w:rFonts w:ascii="Times New Roman" w:hAnsi="Times New Roman" w:hint="eastAsia"/>
          <w:b/>
          <w:sz w:val="28"/>
          <w:szCs w:val="18"/>
        </w:rPr>
        <w:t>神经系统的功能</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12</w:t>
      </w:r>
      <w:r>
        <w:rPr>
          <w:rFonts w:ascii="Times New Roman" w:hint="eastAsia"/>
          <w:b/>
        </w:rPr>
        <w:t>学时）</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神经元与神经胶质细胞的功能</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神经元之间的信息传递</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反射活动的一般规律</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神经系统的感觉功能</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神经系统对躯体姿势和运动的调节</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神经系统对内脏活动的调节</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脑的高级功能</w:t>
      </w:r>
    </w:p>
    <w:p w:rsidR="003717A0" w:rsidRDefault="003717A0">
      <w:pPr>
        <w:pStyle w:val="af0"/>
        <w:numPr>
          <w:ilvl w:val="0"/>
          <w:numId w:val="158"/>
        </w:numPr>
        <w:spacing w:before="0" w:beforeAutospacing="0" w:after="0" w:afterAutospacing="0"/>
        <w:rPr>
          <w:rFonts w:ascii="Times New Roman" w:hAnsi="Times New Roman"/>
          <w:sz w:val="21"/>
        </w:rPr>
      </w:pPr>
      <w:r>
        <w:rPr>
          <w:rFonts w:ascii="Times New Roman" w:hAnsi="Times New Roman" w:hint="eastAsia"/>
          <w:sz w:val="21"/>
        </w:rPr>
        <w:t>脑电生物电活动与觉醒和睡眠</w:t>
      </w:r>
    </w:p>
    <w:p w:rsidR="003717A0" w:rsidRDefault="003717A0">
      <w:pPr>
        <w:pStyle w:val="af0"/>
        <w:spacing w:before="0" w:beforeAutospacing="0" w:after="0" w:afterAutospacing="0"/>
        <w:ind w:left="420"/>
        <w:rPr>
          <w:rFonts w:ascii="Times New Roman" w:hAnsi="Times New Roman"/>
          <w:sz w:val="21"/>
        </w:rPr>
      </w:pPr>
    </w:p>
    <w:p w:rsidR="003717A0" w:rsidRDefault="003717A0">
      <w:pPr>
        <w:adjustRightInd w:val="0"/>
        <w:snapToGrid w:val="0"/>
        <w:spacing w:line="360" w:lineRule="auto"/>
        <w:ind w:right="6" w:firstLineChars="200" w:firstLine="422"/>
        <w:rPr>
          <w:rFonts w:hAnsi="Times New Roman"/>
          <w:b/>
          <w:sz w:val="28"/>
        </w:rPr>
      </w:pPr>
      <w:r>
        <w:rPr>
          <w:rFonts w:hint="eastAsia"/>
          <w:b/>
        </w:rPr>
        <w:t>目的要求：</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hint="eastAsia"/>
          <w:sz w:val="21"/>
        </w:rPr>
        <w:t>掌握内容：</w:t>
      </w:r>
    </w:p>
    <w:p w:rsidR="003717A0" w:rsidRDefault="003717A0">
      <w:pPr>
        <w:pStyle w:val="af0"/>
        <w:spacing w:before="0" w:beforeAutospacing="0" w:after="0" w:afterAutospacing="0"/>
        <w:ind w:firstLineChars="200" w:firstLine="420"/>
        <w:rPr>
          <w:rFonts w:ascii="Times New Roman" w:hAnsi="Times New Roman"/>
          <w:bCs/>
          <w:kern w:val="2"/>
          <w:sz w:val="21"/>
        </w:rPr>
      </w:pPr>
      <w:r>
        <w:rPr>
          <w:rFonts w:ascii="Times New Roman" w:hAnsi="Times New Roman"/>
          <w:sz w:val="21"/>
        </w:rPr>
        <w:t>1</w:t>
      </w:r>
      <w:r>
        <w:rPr>
          <w:rFonts w:ascii="Times New Roman" w:hAnsi="Times New Roman" w:hint="eastAsia"/>
          <w:sz w:val="21"/>
        </w:rPr>
        <w:t>．神经元神经纤维传导兴奋的特征。</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2</w:t>
      </w:r>
      <w:r>
        <w:rPr>
          <w:rFonts w:ascii="Times New Roman" w:hAnsi="Times New Roman" w:hint="eastAsia"/>
          <w:sz w:val="21"/>
        </w:rPr>
        <w:t>．神经元间功能联系</w:t>
      </w:r>
      <w:r>
        <w:rPr>
          <w:rFonts w:ascii="Times New Roman" w:hAnsi="Times New Roman"/>
          <w:sz w:val="21"/>
        </w:rPr>
        <w:t>——</w:t>
      </w:r>
      <w:r>
        <w:rPr>
          <w:rFonts w:ascii="Times New Roman" w:hAnsi="Times New Roman" w:hint="eastAsia"/>
          <w:sz w:val="21"/>
        </w:rPr>
        <w:t>突触传递</w:t>
      </w:r>
      <w:r>
        <w:rPr>
          <w:rFonts w:ascii="Times New Roman" w:hAnsi="Times New Roman"/>
          <w:sz w:val="21"/>
        </w:rPr>
        <w:t xml:space="preserve">  </w:t>
      </w:r>
      <w:r>
        <w:rPr>
          <w:rFonts w:ascii="Times New Roman" w:hAnsi="Times New Roman" w:hint="eastAsia"/>
          <w:sz w:val="21"/>
        </w:rPr>
        <w:t>经典突触传递的过程，兴奋性突触后电位和抑制性突触后电位；中枢兴奋传播的特征；外周神经递质和受体：乙酰胆碱及其受体，去甲肾上腺素及其受体。</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3</w:t>
      </w:r>
      <w:r>
        <w:rPr>
          <w:rFonts w:ascii="Times New Roman" w:hAnsi="Times New Roman" w:hint="eastAsia"/>
          <w:sz w:val="21"/>
        </w:rPr>
        <w:t>．反射</w:t>
      </w:r>
      <w:r>
        <w:rPr>
          <w:rFonts w:ascii="Times New Roman" w:hAnsi="Times New Roman"/>
          <w:sz w:val="21"/>
        </w:rPr>
        <w:t xml:space="preserve">  </w:t>
      </w:r>
      <w:r>
        <w:rPr>
          <w:rFonts w:ascii="Times New Roman" w:hAnsi="Times New Roman" w:hint="eastAsia"/>
          <w:sz w:val="21"/>
        </w:rPr>
        <w:t>条件反射与非条件反射；反射弧的组成及反射的基本过程。</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4</w:t>
      </w:r>
      <w:r>
        <w:rPr>
          <w:rFonts w:ascii="Times New Roman" w:hAnsi="Times New Roman" w:hint="eastAsia"/>
          <w:sz w:val="21"/>
        </w:rPr>
        <w:t>．神经系统的感觉分析功能</w:t>
      </w:r>
      <w:r>
        <w:rPr>
          <w:rFonts w:ascii="Times New Roman" w:hAnsi="Times New Roman"/>
          <w:sz w:val="21"/>
        </w:rPr>
        <w:t xml:space="preserve">  </w:t>
      </w:r>
      <w:r>
        <w:rPr>
          <w:rFonts w:ascii="Times New Roman" w:hAnsi="Times New Roman" w:hint="eastAsia"/>
          <w:sz w:val="21"/>
        </w:rPr>
        <w:t>感觉传导通路；感觉的特异投射系统与非特异投射系统；大脑皮层的感觉代表区部位和功能特征；内脏痛与牵涉痛。</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5</w:t>
      </w:r>
      <w:r>
        <w:rPr>
          <w:rFonts w:ascii="Times New Roman" w:hAnsi="Times New Roman" w:hint="eastAsia"/>
          <w:sz w:val="21"/>
        </w:rPr>
        <w:t>．神经系统对姿势和运动的调节</w:t>
      </w:r>
      <w:r>
        <w:rPr>
          <w:rFonts w:ascii="Times New Roman" w:hAnsi="Times New Roman"/>
          <w:sz w:val="21"/>
        </w:rPr>
        <w:t xml:space="preserve">  </w:t>
      </w:r>
      <w:r>
        <w:rPr>
          <w:rFonts w:ascii="Times New Roman" w:hAnsi="Times New Roman" w:hint="eastAsia"/>
          <w:sz w:val="21"/>
        </w:rPr>
        <w:t>骨骼肌牵张反射（腱反射和肌紧张，牵张反射的机制）；小脑的主要功能；基底神经节对躯体运动的调节功能：基底神经节的功能，以及损害时的主要表现和中枢递质改变（震颤麻痹和舞蹈病）。</w:t>
      </w:r>
    </w:p>
    <w:p w:rsidR="003717A0" w:rsidRDefault="003717A0">
      <w:pPr>
        <w:ind w:firstLine="435"/>
      </w:pPr>
      <w:r>
        <w:t>6</w:t>
      </w:r>
      <w:r>
        <w:rPr>
          <w:rFonts w:hint="eastAsia"/>
        </w:rPr>
        <w:t>．神经系统对内脏活动的调节</w:t>
      </w:r>
      <w:r>
        <w:t xml:space="preserve">  </w:t>
      </w:r>
      <w:r>
        <w:rPr>
          <w:rFonts w:hint="eastAsia"/>
        </w:rPr>
        <w:t>交感和副交感神经系统的功能。下丘脑对内脏活动的调节</w:t>
      </w:r>
    </w:p>
    <w:p w:rsidR="003717A0" w:rsidRDefault="003717A0">
      <w:pPr>
        <w:ind w:firstLine="435"/>
      </w:pPr>
      <w:r>
        <w:lastRenderedPageBreak/>
        <w:t xml:space="preserve">7. </w:t>
      </w:r>
      <w:r>
        <w:rPr>
          <w:rFonts w:hint="eastAsia"/>
        </w:rPr>
        <w:t>脑的高级功能</w:t>
      </w:r>
      <w:r>
        <w:t xml:space="preserve">  </w:t>
      </w:r>
      <w:r>
        <w:rPr>
          <w:rFonts w:hint="eastAsia"/>
        </w:rPr>
        <w:t>大脑皮层的语言中枢。</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8</w:t>
      </w:r>
      <w:r>
        <w:rPr>
          <w:rFonts w:ascii="Times New Roman" w:hAnsi="Times New Roman" w:hint="eastAsia"/>
          <w:sz w:val="21"/>
        </w:rPr>
        <w:t>．脑的电活动</w:t>
      </w:r>
      <w:r>
        <w:rPr>
          <w:rFonts w:ascii="Times New Roman" w:hAnsi="Times New Roman"/>
          <w:sz w:val="21"/>
        </w:rPr>
        <w:t xml:space="preserve">  </w:t>
      </w:r>
      <w:r>
        <w:rPr>
          <w:rFonts w:ascii="Times New Roman" w:hAnsi="Times New Roman" w:hint="eastAsia"/>
          <w:sz w:val="21"/>
        </w:rPr>
        <w:t>正常脑电图的波形及其意义。</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kern w:val="2"/>
          <w:sz w:val="21"/>
        </w:rPr>
        <w:t>熟悉内容：</w:t>
      </w:r>
    </w:p>
    <w:p w:rsidR="003717A0" w:rsidRDefault="003717A0">
      <w:pPr>
        <w:pStyle w:val="af0"/>
        <w:spacing w:before="0" w:beforeAutospacing="0" w:after="0" w:afterAutospacing="0"/>
        <w:ind w:firstLineChars="200" w:firstLine="420"/>
        <w:rPr>
          <w:rFonts w:ascii="Times New Roman" w:hAnsi="Times New Roman"/>
          <w:bCs/>
          <w:kern w:val="2"/>
          <w:sz w:val="21"/>
        </w:rPr>
      </w:pPr>
      <w:r>
        <w:rPr>
          <w:rFonts w:ascii="Times New Roman" w:hAnsi="Times New Roman"/>
          <w:sz w:val="21"/>
        </w:rPr>
        <w:t>1</w:t>
      </w:r>
      <w:r>
        <w:rPr>
          <w:rFonts w:ascii="Times New Roman" w:hAnsi="Times New Roman" w:hint="eastAsia"/>
          <w:sz w:val="21"/>
        </w:rPr>
        <w:t>．神经纤维的传导速度和分类，神经元的蛋白合成与轴浆运输。</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2</w:t>
      </w:r>
      <w:r>
        <w:rPr>
          <w:rFonts w:ascii="Times New Roman" w:hAnsi="Times New Roman" w:hint="eastAsia"/>
          <w:sz w:val="21"/>
        </w:rPr>
        <w:t>．神经递质和受体：递质和受体的基本概念，递质的鉴定，调质的概念，递质和调质的分类，递质的共存，递质的代谢；受体的亚型，突触前受体，受体的分类，受体的脱敏；主要的递质、受体系统：，肾上腺素、多巴胺、</w:t>
      </w:r>
      <w:r>
        <w:rPr>
          <w:rFonts w:ascii="Times New Roman" w:hAnsi="Times New Roman"/>
          <w:sz w:val="21"/>
        </w:rPr>
        <w:t>5-</w:t>
      </w:r>
      <w:r>
        <w:rPr>
          <w:rFonts w:ascii="Times New Roman" w:hAnsi="Times New Roman" w:hint="eastAsia"/>
          <w:sz w:val="21"/>
        </w:rPr>
        <w:t>羟色胺、氨基酸类、肽类、嘌呤类递质及其受体系统，以及其他递质、受体系统。</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3</w:t>
      </w:r>
      <w:r>
        <w:rPr>
          <w:rFonts w:ascii="Times New Roman" w:hAnsi="Times New Roman" w:hint="eastAsia"/>
          <w:sz w:val="21"/>
        </w:rPr>
        <w:t>．中枢神经元的联系方式：辐散和聚合原则，链锁状和环状联系。</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4</w:t>
      </w:r>
      <w:r>
        <w:rPr>
          <w:rFonts w:ascii="Times New Roman" w:hAnsi="Times New Roman" w:hint="eastAsia"/>
          <w:sz w:val="21"/>
        </w:rPr>
        <w:t>．脑的高级功能</w:t>
      </w:r>
      <w:r>
        <w:rPr>
          <w:rFonts w:ascii="Times New Roman" w:hAnsi="Times New Roman"/>
          <w:sz w:val="21"/>
        </w:rPr>
        <w:t xml:space="preserve">  </w:t>
      </w:r>
      <w:r>
        <w:rPr>
          <w:rFonts w:ascii="Times New Roman" w:hAnsi="Times New Roman" w:hint="eastAsia"/>
          <w:sz w:val="21"/>
        </w:rPr>
        <w:t>学习和记忆：学习的形式，经典条件反射，操作式条件反射；条件反射活动的基本规律：经典条件反射的建立与消退，人类的条件反射，两种信号系统学说；记忆的过程：感觉性记忆，第一、二、三级记忆；遗忘和记忆障碍。</w:t>
      </w:r>
    </w:p>
    <w:p w:rsidR="003717A0" w:rsidRDefault="003717A0">
      <w:pPr>
        <w:pStyle w:val="af0"/>
        <w:spacing w:before="0" w:beforeAutospacing="0" w:after="0" w:afterAutospacing="0"/>
        <w:ind w:firstLineChars="200" w:firstLine="420"/>
        <w:rPr>
          <w:rFonts w:ascii="Times New Roman" w:hAnsi="Times New Roman"/>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kern w:val="2"/>
          <w:sz w:val="21"/>
        </w:rPr>
        <w:t>了解内容：</w:t>
      </w:r>
    </w:p>
    <w:p w:rsidR="003717A0" w:rsidRDefault="003717A0">
      <w:pPr>
        <w:pStyle w:val="af0"/>
        <w:spacing w:before="0" w:beforeAutospacing="0" w:after="0" w:afterAutospacing="0"/>
        <w:ind w:firstLineChars="200" w:firstLine="420"/>
        <w:rPr>
          <w:rFonts w:ascii="Times New Roman" w:hAnsi="Times New Roman"/>
          <w:bCs/>
          <w:kern w:val="2"/>
          <w:sz w:val="21"/>
        </w:rPr>
      </w:pPr>
      <w:r>
        <w:rPr>
          <w:rFonts w:ascii="Times New Roman" w:hAnsi="Times New Roman"/>
          <w:sz w:val="21"/>
        </w:rPr>
        <w:t>1</w:t>
      </w:r>
      <w:r>
        <w:rPr>
          <w:rFonts w:ascii="Times New Roman" w:hAnsi="Times New Roman" w:hint="eastAsia"/>
          <w:sz w:val="21"/>
        </w:rPr>
        <w:t>．觉醒与睡眠机制：觉醒状态的维持；睡眠的时相：慢波睡眠和异相睡眠。</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2</w:t>
      </w:r>
      <w:r>
        <w:rPr>
          <w:rFonts w:ascii="Times New Roman" w:hAnsi="Times New Roman" w:hint="eastAsia"/>
          <w:sz w:val="21"/>
        </w:rPr>
        <w:t>．学习和记忆的机制：学习和记忆的脑功能定位。大脑皮层的语言中枢和一侧优势：两侧大脑皮层功能的相关，大脑皮层功能的一侧优势。</w:t>
      </w:r>
    </w:p>
    <w:p w:rsidR="003717A0" w:rsidRDefault="003717A0">
      <w:pPr>
        <w:pStyle w:val="af0"/>
        <w:spacing w:before="0" w:beforeAutospacing="0" w:after="0" w:afterAutospacing="0"/>
        <w:ind w:firstLineChars="200" w:firstLine="420"/>
        <w:rPr>
          <w:rFonts w:ascii="Times New Roman" w:hAnsi="Times New Roman"/>
          <w:sz w:val="21"/>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第十一章</w:t>
      </w:r>
      <w:r>
        <w:rPr>
          <w:rFonts w:ascii="Times New Roman" w:hAnsi="Times New Roman"/>
          <w:b/>
          <w:sz w:val="28"/>
          <w:szCs w:val="18"/>
        </w:rPr>
        <w:t xml:space="preserve"> </w:t>
      </w:r>
      <w:r>
        <w:rPr>
          <w:rFonts w:ascii="Times New Roman" w:hAnsi="Times New Roman" w:hint="eastAsia"/>
          <w:b/>
          <w:sz w:val="28"/>
          <w:szCs w:val="18"/>
        </w:rPr>
        <w:t>内分泌</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6</w:t>
      </w:r>
      <w:r>
        <w:rPr>
          <w:rFonts w:ascii="Times New Roman" w:hint="eastAsia"/>
          <w:b/>
        </w:rPr>
        <w:t>学时）</w:t>
      </w:r>
    </w:p>
    <w:p w:rsidR="003717A0" w:rsidRDefault="003717A0">
      <w:pPr>
        <w:pStyle w:val="af0"/>
        <w:numPr>
          <w:ilvl w:val="0"/>
          <w:numId w:val="159"/>
        </w:numPr>
        <w:spacing w:before="0" w:beforeAutospacing="0" w:after="0" w:afterAutospacing="0"/>
        <w:rPr>
          <w:rFonts w:ascii="Times New Roman" w:hAnsi="Times New Roman"/>
          <w:sz w:val="21"/>
        </w:rPr>
      </w:pPr>
      <w:r>
        <w:rPr>
          <w:rFonts w:ascii="Times New Roman" w:hAnsi="Times New Roman" w:hint="eastAsia"/>
          <w:sz w:val="21"/>
        </w:rPr>
        <w:t>激素的概述</w:t>
      </w:r>
    </w:p>
    <w:p w:rsidR="003717A0" w:rsidRDefault="003717A0">
      <w:pPr>
        <w:pStyle w:val="af0"/>
        <w:numPr>
          <w:ilvl w:val="0"/>
          <w:numId w:val="159"/>
        </w:numPr>
        <w:spacing w:before="0" w:beforeAutospacing="0" w:after="0" w:afterAutospacing="0"/>
        <w:rPr>
          <w:rFonts w:ascii="Times New Roman" w:hAnsi="Times New Roman"/>
          <w:sz w:val="21"/>
        </w:rPr>
      </w:pPr>
      <w:r>
        <w:rPr>
          <w:rFonts w:ascii="Times New Roman" w:hAnsi="Times New Roman" w:hint="eastAsia"/>
          <w:sz w:val="21"/>
        </w:rPr>
        <w:t>下丘脑与垂体的内分泌</w:t>
      </w:r>
    </w:p>
    <w:p w:rsidR="003717A0" w:rsidRDefault="003717A0">
      <w:pPr>
        <w:pStyle w:val="af0"/>
        <w:numPr>
          <w:ilvl w:val="0"/>
          <w:numId w:val="159"/>
        </w:numPr>
        <w:spacing w:before="0" w:beforeAutospacing="0" w:after="0" w:afterAutospacing="0"/>
        <w:rPr>
          <w:rFonts w:ascii="Times New Roman" w:hAnsi="Times New Roman"/>
          <w:sz w:val="21"/>
        </w:rPr>
      </w:pPr>
      <w:r>
        <w:rPr>
          <w:rFonts w:ascii="Times New Roman" w:hAnsi="Times New Roman" w:hint="eastAsia"/>
          <w:sz w:val="21"/>
        </w:rPr>
        <w:t>甲状腺的内分泌</w:t>
      </w:r>
    </w:p>
    <w:p w:rsidR="003717A0" w:rsidRDefault="003717A0">
      <w:pPr>
        <w:pStyle w:val="af0"/>
        <w:numPr>
          <w:ilvl w:val="0"/>
          <w:numId w:val="159"/>
        </w:numPr>
        <w:spacing w:before="0" w:beforeAutospacing="0" w:after="0" w:afterAutospacing="0"/>
        <w:rPr>
          <w:rFonts w:ascii="Times New Roman" w:hAnsi="Times New Roman"/>
          <w:sz w:val="21"/>
        </w:rPr>
      </w:pPr>
      <w:r>
        <w:rPr>
          <w:rFonts w:ascii="Times New Roman" w:hAnsi="Times New Roman" w:hint="eastAsia"/>
          <w:sz w:val="21"/>
        </w:rPr>
        <w:t>肾上腺的内分泌</w:t>
      </w:r>
    </w:p>
    <w:p w:rsidR="003717A0" w:rsidRDefault="003717A0">
      <w:pPr>
        <w:pStyle w:val="af0"/>
        <w:numPr>
          <w:ilvl w:val="0"/>
          <w:numId w:val="159"/>
        </w:numPr>
        <w:spacing w:before="0" w:beforeAutospacing="0" w:after="0" w:afterAutospacing="0"/>
        <w:rPr>
          <w:rFonts w:ascii="Times New Roman" w:hAnsi="Times New Roman"/>
          <w:sz w:val="21"/>
        </w:rPr>
      </w:pPr>
      <w:r>
        <w:rPr>
          <w:rFonts w:ascii="Times New Roman" w:hAnsi="Times New Roman" w:hint="eastAsia"/>
          <w:sz w:val="21"/>
        </w:rPr>
        <w:t>胰岛的内分泌</w:t>
      </w:r>
    </w:p>
    <w:p w:rsidR="003717A0" w:rsidRDefault="003717A0">
      <w:pPr>
        <w:pStyle w:val="af0"/>
        <w:numPr>
          <w:ilvl w:val="0"/>
          <w:numId w:val="159"/>
        </w:numPr>
        <w:spacing w:before="0" w:beforeAutospacing="0" w:after="0" w:afterAutospacing="0"/>
        <w:rPr>
          <w:rFonts w:ascii="Times New Roman" w:hAnsi="Times New Roman"/>
          <w:sz w:val="21"/>
        </w:rPr>
      </w:pPr>
      <w:r>
        <w:rPr>
          <w:rFonts w:ascii="Times New Roman" w:hAnsi="Times New Roman" w:hint="eastAsia"/>
          <w:sz w:val="21"/>
        </w:rPr>
        <w:t>其他的内分泌激素（自学）</w:t>
      </w:r>
    </w:p>
    <w:p w:rsidR="003717A0" w:rsidRDefault="003717A0">
      <w:pPr>
        <w:pStyle w:val="af0"/>
        <w:spacing w:before="0" w:beforeAutospacing="0" w:after="0" w:afterAutospacing="0"/>
        <w:ind w:left="420"/>
        <w:rPr>
          <w:rFonts w:ascii="Times New Roman" w:hAnsi="Times New Roman"/>
          <w:sz w:val="21"/>
        </w:rPr>
      </w:pPr>
    </w:p>
    <w:p w:rsidR="003717A0" w:rsidRDefault="003717A0">
      <w:pPr>
        <w:adjustRightInd w:val="0"/>
        <w:snapToGrid w:val="0"/>
        <w:spacing w:line="360" w:lineRule="auto"/>
        <w:ind w:right="6" w:firstLineChars="200" w:firstLine="422"/>
        <w:rPr>
          <w:rFonts w:hAnsi="Times New Roman"/>
          <w:b/>
          <w:sz w:val="28"/>
        </w:rPr>
      </w:pPr>
      <w:r>
        <w:rPr>
          <w:rFonts w:hint="eastAsia"/>
          <w:b/>
        </w:rPr>
        <w:t>目的要求：</w:t>
      </w:r>
    </w:p>
    <w:p w:rsidR="003717A0" w:rsidRDefault="003717A0">
      <w:pPr>
        <w:pStyle w:val="af0"/>
        <w:spacing w:before="0" w:beforeAutospacing="0" w:after="0" w:afterAutospacing="0"/>
        <w:ind w:firstLineChars="200" w:firstLine="420"/>
        <w:rPr>
          <w:rFonts w:ascii="Times New Roman" w:hAnsi="Times New Roman"/>
          <w:bCs/>
          <w:kern w:val="2"/>
          <w:sz w:val="21"/>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bCs/>
          <w:kern w:val="2"/>
          <w:sz w:val="21"/>
        </w:rPr>
      </w:pPr>
      <w:r>
        <w:rPr>
          <w:rFonts w:ascii="Times New Roman" w:hAnsi="Times New Roman"/>
          <w:sz w:val="21"/>
        </w:rPr>
        <w:t xml:space="preserve">1. </w:t>
      </w:r>
      <w:r>
        <w:rPr>
          <w:rFonts w:ascii="Times New Roman" w:hAnsi="Times New Roman" w:hint="eastAsia"/>
          <w:sz w:val="21"/>
        </w:rPr>
        <w:t>激素的概念和作用方式。激素作用的一般特性：信息传递作用，相对特异性，高效能生物放大作用，相互作用（协同作用，拮抗作用，允许作用）。</w:t>
      </w:r>
    </w:p>
    <w:p w:rsidR="003717A0" w:rsidRDefault="003717A0">
      <w:pPr>
        <w:pStyle w:val="af0"/>
        <w:spacing w:before="0" w:beforeAutospacing="0" w:after="0" w:afterAutospacing="0"/>
        <w:ind w:firstLineChars="200" w:firstLine="420"/>
        <w:rPr>
          <w:rFonts w:ascii="Times New Roman" w:hAnsi="Times New Roman"/>
          <w:bCs/>
          <w:kern w:val="2"/>
          <w:sz w:val="21"/>
        </w:rPr>
      </w:pPr>
      <w:r>
        <w:rPr>
          <w:rFonts w:ascii="Times New Roman" w:hAnsi="Times New Roman"/>
          <w:sz w:val="21"/>
          <w:szCs w:val="18"/>
        </w:rPr>
        <w:t>2</w:t>
      </w:r>
      <w:r>
        <w:rPr>
          <w:rFonts w:ascii="Times New Roman" w:hAnsi="Times New Roman" w:hint="eastAsia"/>
          <w:sz w:val="21"/>
          <w:szCs w:val="18"/>
        </w:rPr>
        <w:t>．下丘脑的内分泌功能</w:t>
      </w:r>
      <w:r>
        <w:rPr>
          <w:rFonts w:ascii="Times New Roman" w:hAnsi="Times New Roman"/>
          <w:sz w:val="21"/>
          <w:szCs w:val="18"/>
        </w:rPr>
        <w:t xml:space="preserve">  </w:t>
      </w:r>
      <w:r>
        <w:rPr>
          <w:rFonts w:ascii="Times New Roman" w:hAnsi="Times New Roman" w:hint="eastAsia"/>
          <w:sz w:val="21"/>
          <w:szCs w:val="18"/>
        </w:rPr>
        <w:t>下丘脑与垂体的功能联系，九种下丘脑的调节肽。</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3</w:t>
      </w:r>
      <w:r>
        <w:rPr>
          <w:rFonts w:ascii="Times New Roman" w:hAnsi="Times New Roman" w:hint="eastAsia"/>
          <w:sz w:val="21"/>
        </w:rPr>
        <w:t>．垂体的内分泌功能</w:t>
      </w:r>
      <w:r>
        <w:rPr>
          <w:rFonts w:ascii="Times New Roman" w:hAnsi="Times New Roman"/>
          <w:sz w:val="21"/>
        </w:rPr>
        <w:t xml:space="preserve">  </w:t>
      </w:r>
      <w:r>
        <w:rPr>
          <w:rFonts w:ascii="Times New Roman" w:hAnsi="Times New Roman" w:hint="eastAsia"/>
          <w:sz w:val="21"/>
        </w:rPr>
        <w:t>腺垂体的七种激素，生长素的生物学作用及其分泌调节。神经垂体激素：升压素和催产素的产生和贮存部位，催产素的生物学作用。</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4</w:t>
      </w:r>
      <w:r>
        <w:rPr>
          <w:rFonts w:ascii="Times New Roman" w:hAnsi="Times New Roman" w:hint="eastAsia"/>
          <w:sz w:val="21"/>
        </w:rPr>
        <w:t>．甲状腺的内分泌</w:t>
      </w:r>
      <w:r>
        <w:rPr>
          <w:rFonts w:ascii="Times New Roman" w:hAnsi="Times New Roman"/>
          <w:sz w:val="21"/>
        </w:rPr>
        <w:t xml:space="preserve">  </w:t>
      </w:r>
      <w:r>
        <w:rPr>
          <w:rFonts w:ascii="Times New Roman" w:hAnsi="Times New Roman" w:hint="eastAsia"/>
          <w:sz w:val="21"/>
        </w:rPr>
        <w:t>甲状腺激素的生物学作用。</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5</w:t>
      </w:r>
      <w:r>
        <w:rPr>
          <w:rFonts w:ascii="Times New Roman" w:hAnsi="Times New Roman" w:hint="eastAsia"/>
          <w:sz w:val="21"/>
        </w:rPr>
        <w:t>．肾上腺的内分泌</w:t>
      </w:r>
      <w:r>
        <w:rPr>
          <w:rFonts w:ascii="Times New Roman" w:hAnsi="Times New Roman"/>
          <w:sz w:val="21"/>
        </w:rPr>
        <w:t xml:space="preserve">  </w:t>
      </w:r>
      <w:r>
        <w:rPr>
          <w:rFonts w:ascii="Times New Roman" w:hAnsi="Times New Roman" w:hint="eastAsia"/>
          <w:sz w:val="21"/>
        </w:rPr>
        <w:t>糖皮质激素的生物学作用；肾上腺髓质激素的生物学作用；应激和应急反应。</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 xml:space="preserve">6. </w:t>
      </w:r>
      <w:r>
        <w:rPr>
          <w:rFonts w:ascii="Times New Roman" w:hAnsi="Times New Roman" w:hint="eastAsia"/>
          <w:sz w:val="21"/>
        </w:rPr>
        <w:t>胰岛素</w:t>
      </w:r>
      <w:r>
        <w:rPr>
          <w:rFonts w:ascii="Times New Roman" w:hAnsi="Times New Roman"/>
          <w:sz w:val="21"/>
        </w:rPr>
        <w:t xml:space="preserve">  </w:t>
      </w:r>
      <w:r>
        <w:rPr>
          <w:rFonts w:ascii="Times New Roman" w:hAnsi="Times New Roman" w:hint="eastAsia"/>
          <w:sz w:val="21"/>
        </w:rPr>
        <w:t>胰岛素的生物学作用及其分泌调节。</w:t>
      </w:r>
    </w:p>
    <w:p w:rsidR="003717A0" w:rsidRDefault="003717A0">
      <w:pPr>
        <w:pStyle w:val="af0"/>
        <w:spacing w:before="0" w:beforeAutospacing="0" w:after="0" w:afterAutospacing="0"/>
        <w:ind w:firstLineChars="200" w:firstLine="420"/>
        <w:rPr>
          <w:rFonts w:ascii="Times New Roman" w:hAnsi="Times New Roman"/>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kern w:val="2"/>
          <w:sz w:val="21"/>
        </w:rPr>
        <w:t>熟悉内容：</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1</w:t>
      </w:r>
      <w:r>
        <w:rPr>
          <w:rFonts w:ascii="Times New Roman" w:hAnsi="Times New Roman" w:hint="eastAsia"/>
          <w:sz w:val="21"/>
        </w:rPr>
        <w:t>．甲状腺激素的合成与代谢及其调节。</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 xml:space="preserve">2. </w:t>
      </w:r>
      <w:r>
        <w:rPr>
          <w:rFonts w:ascii="Times New Roman" w:hAnsi="Times New Roman" w:hint="eastAsia"/>
          <w:sz w:val="21"/>
        </w:rPr>
        <w:t>肾上腺皮质激素的分类及其产生部位；</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lastRenderedPageBreak/>
        <w:t xml:space="preserve">3. </w:t>
      </w:r>
      <w:r>
        <w:rPr>
          <w:rFonts w:ascii="Times New Roman" w:hAnsi="Times New Roman" w:hint="eastAsia"/>
          <w:sz w:val="21"/>
        </w:rPr>
        <w:t>甲状旁腺激素的生物学作用；降钙素的生物学作用；维生素</w:t>
      </w:r>
      <w:r>
        <w:rPr>
          <w:rFonts w:ascii="Times New Roman" w:hAnsi="Times New Roman"/>
          <w:sz w:val="21"/>
        </w:rPr>
        <w:t>D</w:t>
      </w:r>
      <w:r>
        <w:rPr>
          <w:rFonts w:ascii="Times New Roman" w:hAnsi="Times New Roman"/>
          <w:sz w:val="21"/>
          <w:vertAlign w:val="subscript"/>
        </w:rPr>
        <w:t>3</w:t>
      </w:r>
      <w:r>
        <w:rPr>
          <w:rFonts w:ascii="Times New Roman" w:hAnsi="Times New Roman" w:hint="eastAsia"/>
          <w:sz w:val="21"/>
        </w:rPr>
        <w:t>的生物学作用。</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4</w:t>
      </w:r>
      <w:r>
        <w:rPr>
          <w:rFonts w:ascii="Times New Roman" w:hAnsi="Times New Roman" w:hint="eastAsia"/>
          <w:sz w:val="21"/>
        </w:rPr>
        <w:t>．胰岛素的作用机制。胰高血糖素的生物学作用及其分泌调节。</w:t>
      </w:r>
    </w:p>
    <w:p w:rsidR="003717A0" w:rsidRDefault="003717A0">
      <w:pPr>
        <w:pStyle w:val="af0"/>
        <w:spacing w:before="0" w:beforeAutospacing="0" w:after="0" w:afterAutospacing="0"/>
        <w:ind w:firstLineChars="200" w:firstLine="420"/>
        <w:rPr>
          <w:rFonts w:ascii="Times New Roman" w:hAnsi="Times New Roman"/>
          <w:kern w:val="2"/>
          <w:sz w:val="21"/>
        </w:rPr>
      </w:pPr>
    </w:p>
    <w:p w:rsidR="003717A0" w:rsidRDefault="003717A0">
      <w:pPr>
        <w:pStyle w:val="af0"/>
        <w:spacing w:before="0" w:beforeAutospacing="0" w:after="0" w:afterAutospacing="0"/>
        <w:ind w:firstLineChars="200" w:firstLine="420"/>
        <w:rPr>
          <w:rFonts w:ascii="Times New Roman" w:hAnsi="Times New Roman"/>
          <w:kern w:val="2"/>
          <w:sz w:val="21"/>
        </w:rPr>
      </w:pPr>
      <w:r>
        <w:rPr>
          <w:rFonts w:ascii="Times New Roman" w:hAnsi="Times New Roman" w:hint="eastAsia"/>
          <w:kern w:val="2"/>
          <w:sz w:val="21"/>
        </w:rPr>
        <w:t>了解内容：</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1</w:t>
      </w:r>
      <w:r>
        <w:rPr>
          <w:rFonts w:ascii="Times New Roman" w:hAnsi="Times New Roman" w:hint="eastAsia"/>
          <w:sz w:val="21"/>
        </w:rPr>
        <w:t>．激素作用的机制：激素受体的分类和调节，含氮激素──第二信使学说，类固醇激素──基因表达学说。</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2</w:t>
      </w:r>
      <w:r>
        <w:rPr>
          <w:rFonts w:ascii="Times New Roman" w:hAnsi="Times New Roman" w:hint="eastAsia"/>
          <w:sz w:val="21"/>
        </w:rPr>
        <w:t>．松果体激素：褪黑素和肽类激素的生物学作用；前列腺素。</w:t>
      </w:r>
    </w:p>
    <w:p w:rsidR="003717A0" w:rsidRDefault="003717A0">
      <w:pPr>
        <w:pStyle w:val="af0"/>
        <w:spacing w:before="0" w:beforeAutospacing="0" w:after="0" w:afterAutospacing="0"/>
        <w:ind w:firstLineChars="200" w:firstLine="420"/>
        <w:rPr>
          <w:rFonts w:ascii="Times New Roman" w:hAnsi="Times New Roman"/>
          <w:sz w:val="21"/>
        </w:rPr>
      </w:pPr>
    </w:p>
    <w:p w:rsidR="003717A0" w:rsidRDefault="003717A0">
      <w:pPr>
        <w:pStyle w:val="af0"/>
        <w:spacing w:before="0" w:beforeAutospacing="0" w:after="0" w:afterAutospacing="0"/>
        <w:ind w:firstLineChars="200" w:firstLine="562"/>
        <w:jc w:val="center"/>
        <w:rPr>
          <w:rFonts w:ascii="Times New Roman" w:hAnsi="Times New Roman"/>
          <w:b/>
          <w:sz w:val="28"/>
          <w:szCs w:val="18"/>
        </w:rPr>
      </w:pPr>
      <w:r>
        <w:rPr>
          <w:rFonts w:ascii="Times New Roman" w:hAnsi="Times New Roman" w:hint="eastAsia"/>
          <w:b/>
          <w:sz w:val="28"/>
          <w:szCs w:val="18"/>
        </w:rPr>
        <w:t>第十二章</w:t>
      </w:r>
      <w:r>
        <w:rPr>
          <w:rFonts w:ascii="Times New Roman" w:hAnsi="Times New Roman"/>
          <w:b/>
          <w:sz w:val="28"/>
          <w:szCs w:val="18"/>
        </w:rPr>
        <w:t xml:space="preserve"> </w:t>
      </w:r>
      <w:r>
        <w:rPr>
          <w:rFonts w:ascii="Times New Roman" w:hAnsi="Times New Roman" w:hint="eastAsia"/>
          <w:b/>
          <w:sz w:val="28"/>
          <w:szCs w:val="18"/>
        </w:rPr>
        <w:t>生殖</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f0"/>
        <w:numPr>
          <w:ilvl w:val="0"/>
          <w:numId w:val="160"/>
        </w:numPr>
        <w:spacing w:before="0" w:beforeAutospacing="0" w:after="0" w:afterAutospacing="0"/>
        <w:rPr>
          <w:rFonts w:ascii="Times New Roman" w:hAnsi="Times New Roman"/>
          <w:sz w:val="21"/>
        </w:rPr>
      </w:pPr>
      <w:r>
        <w:rPr>
          <w:rFonts w:ascii="Times New Roman" w:hAnsi="Times New Roman" w:hint="eastAsia"/>
          <w:sz w:val="21"/>
        </w:rPr>
        <w:t>男性生殖</w:t>
      </w:r>
    </w:p>
    <w:p w:rsidR="003717A0" w:rsidRDefault="003717A0">
      <w:pPr>
        <w:pStyle w:val="af0"/>
        <w:numPr>
          <w:ilvl w:val="0"/>
          <w:numId w:val="160"/>
        </w:numPr>
        <w:spacing w:before="0" w:beforeAutospacing="0" w:after="0" w:afterAutospacing="0"/>
        <w:rPr>
          <w:rFonts w:ascii="Times New Roman" w:hAnsi="Times New Roman"/>
          <w:sz w:val="21"/>
        </w:rPr>
      </w:pPr>
      <w:r>
        <w:rPr>
          <w:rFonts w:ascii="Times New Roman" w:hAnsi="Times New Roman" w:hint="eastAsia"/>
          <w:sz w:val="21"/>
        </w:rPr>
        <w:t>女性生殖</w:t>
      </w:r>
    </w:p>
    <w:p w:rsidR="003717A0" w:rsidRDefault="003717A0">
      <w:pPr>
        <w:pStyle w:val="af0"/>
        <w:spacing w:before="0" w:beforeAutospacing="0" w:after="0" w:afterAutospacing="0"/>
        <w:ind w:left="420"/>
        <w:rPr>
          <w:rFonts w:ascii="Times New Roman" w:hAnsi="Times New Roman"/>
          <w:sz w:val="21"/>
        </w:rPr>
      </w:pPr>
    </w:p>
    <w:p w:rsidR="003717A0" w:rsidRDefault="003717A0">
      <w:pPr>
        <w:adjustRightInd w:val="0"/>
        <w:snapToGrid w:val="0"/>
        <w:spacing w:line="360" w:lineRule="auto"/>
        <w:ind w:right="6" w:firstLineChars="200" w:firstLine="422"/>
        <w:rPr>
          <w:rFonts w:ascii="Times New Roman" w:hAnsi="Times New Roman"/>
          <w:b/>
          <w:sz w:val="28"/>
        </w:rPr>
      </w:pPr>
      <w:r>
        <w:rPr>
          <w:rFonts w:hint="eastAsia"/>
          <w:b/>
        </w:rPr>
        <w:t>目的要求：</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hint="eastAsia"/>
          <w:sz w:val="21"/>
          <w:szCs w:val="18"/>
        </w:rPr>
        <w:t>掌握内容：</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1</w:t>
      </w:r>
      <w:r>
        <w:rPr>
          <w:rFonts w:ascii="Times New Roman" w:hAnsi="Times New Roman" w:hint="eastAsia"/>
          <w:sz w:val="21"/>
        </w:rPr>
        <w:t>．</w:t>
      </w:r>
      <w:r>
        <w:rPr>
          <w:rFonts w:ascii="Times New Roman" w:hAnsi="Times New Roman"/>
          <w:sz w:val="21"/>
        </w:rPr>
        <w:t xml:space="preserve"> </w:t>
      </w:r>
      <w:r>
        <w:rPr>
          <w:rFonts w:ascii="Times New Roman" w:hAnsi="Times New Roman" w:hint="eastAsia"/>
          <w:sz w:val="21"/>
        </w:rPr>
        <w:t>睾酮的生理作用及其分泌调节。</w:t>
      </w:r>
    </w:p>
    <w:p w:rsidR="003717A0" w:rsidRDefault="003717A0">
      <w:pPr>
        <w:pStyle w:val="af0"/>
        <w:spacing w:before="0" w:beforeAutospacing="0" w:after="0" w:afterAutospacing="0"/>
        <w:ind w:firstLineChars="200" w:firstLine="420"/>
        <w:rPr>
          <w:rFonts w:ascii="Times New Roman" w:hAnsi="Times New Roman"/>
          <w:sz w:val="21"/>
        </w:rPr>
      </w:pPr>
      <w:r>
        <w:rPr>
          <w:rFonts w:ascii="Times New Roman" w:hAnsi="Times New Roman"/>
          <w:sz w:val="21"/>
        </w:rPr>
        <w:t>2</w:t>
      </w:r>
      <w:r>
        <w:rPr>
          <w:rFonts w:ascii="Times New Roman" w:hAnsi="Times New Roman" w:hint="eastAsia"/>
          <w:sz w:val="21"/>
        </w:rPr>
        <w:t>．</w:t>
      </w:r>
      <w:r>
        <w:rPr>
          <w:rFonts w:ascii="Times New Roman" w:hAnsi="Times New Roman"/>
          <w:sz w:val="21"/>
        </w:rPr>
        <w:t xml:space="preserve"> </w:t>
      </w:r>
      <w:r>
        <w:rPr>
          <w:rFonts w:ascii="Times New Roman" w:hAnsi="Times New Roman" w:hint="eastAsia"/>
          <w:sz w:val="21"/>
        </w:rPr>
        <w:t>雌激素和孕激素的生理作用；卵巢周期和子宫周期的激素调节。</w:t>
      </w:r>
      <w:r>
        <w:rPr>
          <w:rFonts w:ascii="Times New Roman" w:hAnsi="Times New Roman"/>
          <w:sz w:val="21"/>
        </w:rPr>
        <w:t xml:space="preserve"> </w:t>
      </w:r>
    </w:p>
    <w:p w:rsidR="003717A0" w:rsidRDefault="003717A0">
      <w:pPr>
        <w:pStyle w:val="af0"/>
        <w:spacing w:before="0" w:beforeAutospacing="0" w:after="0" w:afterAutospacing="0"/>
        <w:ind w:firstLineChars="200" w:firstLine="420"/>
        <w:rPr>
          <w:rFonts w:ascii="Times New Roman" w:hAnsi="Times New Roman"/>
          <w:sz w:val="21"/>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熟悉内容：</w:t>
      </w:r>
    </w:p>
    <w:p w:rsidR="003717A0" w:rsidRDefault="003717A0">
      <w:pPr>
        <w:pStyle w:val="af0"/>
        <w:numPr>
          <w:ilvl w:val="0"/>
          <w:numId w:val="161"/>
        </w:numPr>
        <w:spacing w:before="0" w:beforeAutospacing="0" w:after="0" w:afterAutospacing="0"/>
        <w:rPr>
          <w:rFonts w:ascii="Times New Roman" w:hAnsi="Times New Roman"/>
          <w:sz w:val="21"/>
        </w:rPr>
      </w:pPr>
      <w:r>
        <w:rPr>
          <w:rFonts w:ascii="Times New Roman" w:hAnsi="Times New Roman" w:hint="eastAsia"/>
          <w:sz w:val="21"/>
        </w:rPr>
        <w:t>睾丸的生精作用和内分泌功能。</w:t>
      </w:r>
    </w:p>
    <w:p w:rsidR="003717A0" w:rsidRDefault="003717A0">
      <w:pPr>
        <w:pStyle w:val="af0"/>
        <w:numPr>
          <w:ilvl w:val="0"/>
          <w:numId w:val="161"/>
        </w:numPr>
        <w:spacing w:before="0" w:beforeAutospacing="0" w:after="0" w:afterAutospacing="0"/>
        <w:rPr>
          <w:rFonts w:ascii="Times New Roman" w:hAnsi="Times New Roman"/>
          <w:sz w:val="21"/>
        </w:rPr>
      </w:pPr>
      <w:r>
        <w:rPr>
          <w:rFonts w:ascii="Times New Roman" w:hAnsi="Times New Roman" w:hint="eastAsia"/>
          <w:sz w:val="21"/>
        </w:rPr>
        <w:t>卵巢的生卵作用和内分泌功能。</w:t>
      </w:r>
    </w:p>
    <w:p w:rsidR="003717A0" w:rsidRDefault="003717A0">
      <w:pPr>
        <w:pStyle w:val="af0"/>
        <w:spacing w:before="0" w:beforeAutospacing="0" w:after="0" w:afterAutospacing="0"/>
        <w:ind w:left="420"/>
        <w:rPr>
          <w:rFonts w:ascii="Times New Roman" w:hAnsi="Times New Roman"/>
          <w:sz w:val="21"/>
        </w:rPr>
      </w:pPr>
    </w:p>
    <w:p w:rsidR="003717A0" w:rsidRDefault="003717A0">
      <w:pPr>
        <w:pStyle w:val="af0"/>
        <w:spacing w:before="0" w:beforeAutospacing="0" w:after="0" w:afterAutospacing="0"/>
        <w:ind w:firstLineChars="200" w:firstLine="420"/>
        <w:rPr>
          <w:rFonts w:ascii="Times New Roman" w:hAnsi="Times New Roman"/>
          <w:sz w:val="21"/>
          <w:szCs w:val="18"/>
        </w:rPr>
      </w:pPr>
      <w:r>
        <w:rPr>
          <w:rFonts w:ascii="Times New Roman" w:hAnsi="Times New Roman" w:hint="eastAsia"/>
          <w:sz w:val="21"/>
          <w:szCs w:val="18"/>
        </w:rPr>
        <w:t>了解内容：</w:t>
      </w:r>
    </w:p>
    <w:p w:rsidR="003717A0" w:rsidRPr="00F5156D" w:rsidRDefault="003717A0" w:rsidP="005E20B5">
      <w:pPr>
        <w:pStyle w:val="af0"/>
        <w:spacing w:before="0" w:beforeAutospacing="0" w:afterLines="50" w:afterAutospacing="0"/>
        <w:ind w:firstLineChars="200" w:firstLine="480"/>
        <w:rPr>
          <w:rFonts w:ascii="Times New Roman" w:hAnsi="Times New Roman"/>
          <w:kern w:val="2"/>
          <w:sz w:val="21"/>
        </w:rPr>
      </w:pPr>
      <w:r>
        <w:rPr>
          <w:rFonts w:hint="eastAsia"/>
        </w:rPr>
        <w:t>妊娠：受精，着床，妊娠的维持及激素调节（胎盘激素：人绒毛膜促性腺激素，人绒毛膜生长素，孕激素和雌激素），分娩。</w:t>
      </w: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rsidTr="00F5156D">
        <w:trPr>
          <w:jc w:val="center"/>
        </w:trPr>
        <w:tc>
          <w:tcPr>
            <w:tcW w:w="817" w:type="dxa"/>
            <w:vAlign w:val="center"/>
          </w:tcPr>
          <w:p w:rsidR="003717A0" w:rsidRDefault="003717A0" w:rsidP="00F5156D">
            <w:pPr>
              <w:jc w:val="center"/>
              <w:rPr>
                <w:sz w:val="24"/>
              </w:rPr>
            </w:pPr>
            <w:r>
              <w:rPr>
                <w:rFonts w:hint="eastAsia"/>
                <w:sz w:val="24"/>
              </w:rPr>
              <w:t>序号</w:t>
            </w:r>
          </w:p>
        </w:tc>
        <w:tc>
          <w:tcPr>
            <w:tcW w:w="3119" w:type="dxa"/>
            <w:vAlign w:val="center"/>
          </w:tcPr>
          <w:p w:rsidR="003717A0" w:rsidRDefault="003717A0" w:rsidP="00F5156D">
            <w:pPr>
              <w:adjustRightInd w:val="0"/>
              <w:snapToGrid w:val="0"/>
              <w:jc w:val="center"/>
              <w:rPr>
                <w:sz w:val="24"/>
              </w:rPr>
            </w:pPr>
            <w:r>
              <w:rPr>
                <w:rFonts w:hint="eastAsia"/>
                <w:sz w:val="24"/>
              </w:rPr>
              <w:t>讲课内容</w:t>
            </w:r>
          </w:p>
          <w:p w:rsidR="003717A0" w:rsidRDefault="003717A0" w:rsidP="00F5156D">
            <w:pPr>
              <w:adjustRightInd w:val="0"/>
              <w:snapToGrid w:val="0"/>
              <w:jc w:val="center"/>
              <w:rPr>
                <w:sz w:val="24"/>
              </w:rPr>
            </w:pPr>
            <w:r>
              <w:rPr>
                <w:rFonts w:hint="eastAsia"/>
                <w:sz w:val="24"/>
              </w:rPr>
              <w:t>（具体章节或实验）</w:t>
            </w:r>
          </w:p>
        </w:tc>
        <w:tc>
          <w:tcPr>
            <w:tcW w:w="850" w:type="dxa"/>
            <w:vAlign w:val="center"/>
          </w:tcPr>
          <w:p w:rsidR="003717A0" w:rsidRDefault="003717A0" w:rsidP="00F5156D">
            <w:pPr>
              <w:jc w:val="center"/>
              <w:rPr>
                <w:sz w:val="24"/>
              </w:rPr>
            </w:pPr>
            <w:r>
              <w:rPr>
                <w:rFonts w:hint="eastAsia"/>
                <w:sz w:val="24"/>
              </w:rPr>
              <w:t>学时</w:t>
            </w:r>
          </w:p>
        </w:tc>
        <w:tc>
          <w:tcPr>
            <w:tcW w:w="3260" w:type="dxa"/>
            <w:vAlign w:val="center"/>
          </w:tcPr>
          <w:p w:rsidR="003717A0" w:rsidRDefault="003717A0" w:rsidP="00F5156D">
            <w:pPr>
              <w:jc w:val="center"/>
              <w:rPr>
                <w:sz w:val="24"/>
              </w:rPr>
            </w:pPr>
            <w:r>
              <w:rPr>
                <w:rFonts w:hint="eastAsia"/>
                <w:sz w:val="24"/>
              </w:rPr>
              <w:t>作业</w:t>
            </w:r>
          </w:p>
        </w:tc>
        <w:tc>
          <w:tcPr>
            <w:tcW w:w="851" w:type="dxa"/>
            <w:vAlign w:val="center"/>
          </w:tcPr>
          <w:p w:rsidR="003717A0" w:rsidRDefault="003717A0" w:rsidP="00F5156D">
            <w:pPr>
              <w:jc w:val="center"/>
              <w:rPr>
                <w:sz w:val="24"/>
              </w:rPr>
            </w:pPr>
            <w:r>
              <w:rPr>
                <w:rFonts w:hint="eastAsia"/>
                <w:sz w:val="24"/>
              </w:rPr>
              <w:t>备注</w:t>
            </w:r>
          </w:p>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1</w:t>
            </w:r>
          </w:p>
        </w:tc>
        <w:tc>
          <w:tcPr>
            <w:tcW w:w="3119" w:type="dxa"/>
          </w:tcPr>
          <w:p w:rsidR="003717A0" w:rsidRDefault="003717A0" w:rsidP="00F5156D">
            <w:pPr>
              <w:ind w:firstLineChars="53" w:firstLine="111"/>
              <w:rPr>
                <w:rFonts w:ascii="Times New Roman" w:hAnsi="Times New Roman"/>
              </w:rPr>
            </w:pPr>
            <w:r>
              <w:rPr>
                <w:rFonts w:ascii="Times New Roman" w:hint="eastAsia"/>
              </w:rPr>
              <w:t>绪论</w:t>
            </w:r>
          </w:p>
        </w:tc>
        <w:tc>
          <w:tcPr>
            <w:tcW w:w="850" w:type="dxa"/>
            <w:vAlign w:val="center"/>
          </w:tcPr>
          <w:p w:rsidR="003717A0" w:rsidRDefault="003717A0" w:rsidP="00F5156D">
            <w:pPr>
              <w:jc w:val="center"/>
              <w:rPr>
                <w:rFonts w:ascii="Times New Roman" w:hAnsi="Times New Roman"/>
              </w:rPr>
            </w:pPr>
            <w:r>
              <w:rPr>
                <w:rFonts w:ascii="Times New Roman" w:hAnsi="Times New Roman"/>
              </w:rPr>
              <w:t>3</w:t>
            </w:r>
          </w:p>
        </w:tc>
        <w:tc>
          <w:tcPr>
            <w:tcW w:w="3260" w:type="dxa"/>
          </w:tcPr>
          <w:p w:rsidR="003717A0" w:rsidRDefault="003717A0" w:rsidP="00F5156D"/>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2</w:t>
            </w:r>
          </w:p>
        </w:tc>
        <w:tc>
          <w:tcPr>
            <w:tcW w:w="3119" w:type="dxa"/>
          </w:tcPr>
          <w:p w:rsidR="003717A0" w:rsidRDefault="003717A0" w:rsidP="00F5156D">
            <w:pPr>
              <w:ind w:firstLineChars="53" w:firstLine="111"/>
              <w:rPr>
                <w:rFonts w:ascii="Times New Roman" w:hAnsi="Times New Roman"/>
              </w:rPr>
            </w:pPr>
            <w:r>
              <w:rPr>
                <w:rFonts w:ascii="Times New Roman" w:hint="eastAsia"/>
              </w:rPr>
              <w:t>细胞的基本功能</w:t>
            </w:r>
          </w:p>
        </w:tc>
        <w:tc>
          <w:tcPr>
            <w:tcW w:w="850" w:type="dxa"/>
            <w:vAlign w:val="center"/>
          </w:tcPr>
          <w:p w:rsidR="003717A0" w:rsidRDefault="003717A0" w:rsidP="00F5156D">
            <w:pPr>
              <w:jc w:val="center"/>
              <w:rPr>
                <w:rFonts w:ascii="Times New Roman" w:hAnsi="Times New Roman"/>
              </w:rPr>
            </w:pPr>
            <w:r>
              <w:rPr>
                <w:rFonts w:ascii="Times New Roman" w:hAnsi="Times New Roman"/>
              </w:rPr>
              <w:t>9</w:t>
            </w:r>
          </w:p>
        </w:tc>
        <w:tc>
          <w:tcPr>
            <w:tcW w:w="3260" w:type="dxa"/>
          </w:tcPr>
          <w:p w:rsidR="003717A0" w:rsidRDefault="003717A0" w:rsidP="00F5156D"/>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3</w:t>
            </w:r>
          </w:p>
        </w:tc>
        <w:tc>
          <w:tcPr>
            <w:tcW w:w="3119" w:type="dxa"/>
          </w:tcPr>
          <w:p w:rsidR="003717A0" w:rsidRDefault="003717A0" w:rsidP="00F5156D">
            <w:pPr>
              <w:ind w:firstLineChars="53" w:firstLine="111"/>
              <w:rPr>
                <w:rFonts w:ascii="Times New Roman" w:hAnsi="Times New Roman"/>
              </w:rPr>
            </w:pPr>
            <w:r>
              <w:rPr>
                <w:rFonts w:ascii="Times New Roman" w:hint="eastAsia"/>
              </w:rPr>
              <w:t>血液</w:t>
            </w:r>
          </w:p>
        </w:tc>
        <w:tc>
          <w:tcPr>
            <w:tcW w:w="850" w:type="dxa"/>
            <w:vAlign w:val="center"/>
          </w:tcPr>
          <w:p w:rsidR="003717A0" w:rsidRDefault="003717A0" w:rsidP="00F5156D">
            <w:pPr>
              <w:jc w:val="center"/>
              <w:rPr>
                <w:rFonts w:ascii="Times New Roman" w:hAnsi="Times New Roman"/>
              </w:rPr>
            </w:pPr>
            <w:r>
              <w:rPr>
                <w:rFonts w:ascii="Times New Roman" w:hAnsi="Times New Roman"/>
              </w:rPr>
              <w:t>6</w:t>
            </w:r>
          </w:p>
        </w:tc>
        <w:tc>
          <w:tcPr>
            <w:tcW w:w="3260" w:type="dxa"/>
          </w:tcPr>
          <w:p w:rsidR="003717A0" w:rsidRDefault="003717A0" w:rsidP="00F5156D">
            <w:pPr>
              <w:ind w:firstLineChars="2" w:firstLine="4"/>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4</w:t>
            </w:r>
          </w:p>
        </w:tc>
        <w:tc>
          <w:tcPr>
            <w:tcW w:w="3119" w:type="dxa"/>
          </w:tcPr>
          <w:p w:rsidR="003717A0" w:rsidRDefault="003717A0" w:rsidP="00F5156D">
            <w:pPr>
              <w:ind w:firstLineChars="53" w:firstLine="111"/>
              <w:rPr>
                <w:rFonts w:ascii="Times New Roman" w:hAnsi="Times New Roman"/>
              </w:rPr>
            </w:pPr>
            <w:r>
              <w:rPr>
                <w:rFonts w:ascii="Times New Roman" w:hint="eastAsia"/>
              </w:rPr>
              <w:t>血液循环</w:t>
            </w:r>
          </w:p>
        </w:tc>
        <w:tc>
          <w:tcPr>
            <w:tcW w:w="850" w:type="dxa"/>
            <w:vAlign w:val="center"/>
          </w:tcPr>
          <w:p w:rsidR="003717A0" w:rsidRDefault="003717A0" w:rsidP="00F5156D">
            <w:pPr>
              <w:jc w:val="center"/>
              <w:rPr>
                <w:rFonts w:ascii="Times New Roman" w:hAnsi="Times New Roman"/>
              </w:rPr>
            </w:pPr>
            <w:r>
              <w:rPr>
                <w:rFonts w:ascii="Times New Roman" w:hAnsi="Times New Roman"/>
              </w:rPr>
              <w:t>15</w:t>
            </w:r>
          </w:p>
        </w:tc>
        <w:tc>
          <w:tcPr>
            <w:tcW w:w="3260" w:type="dxa"/>
          </w:tcPr>
          <w:p w:rsidR="003717A0" w:rsidRDefault="003717A0" w:rsidP="00F5156D">
            <w:pPr>
              <w:ind w:firstLineChars="2" w:firstLine="4"/>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5</w:t>
            </w:r>
          </w:p>
        </w:tc>
        <w:tc>
          <w:tcPr>
            <w:tcW w:w="3119" w:type="dxa"/>
          </w:tcPr>
          <w:p w:rsidR="003717A0" w:rsidRDefault="003717A0" w:rsidP="00F5156D">
            <w:pPr>
              <w:ind w:firstLineChars="53" w:firstLine="111"/>
              <w:rPr>
                <w:rFonts w:ascii="Times New Roman" w:hAnsi="Times New Roman"/>
              </w:rPr>
            </w:pPr>
            <w:r>
              <w:rPr>
                <w:rFonts w:ascii="Times New Roman" w:hint="eastAsia"/>
              </w:rPr>
              <w:t>呼吸系统</w:t>
            </w:r>
          </w:p>
        </w:tc>
        <w:tc>
          <w:tcPr>
            <w:tcW w:w="850" w:type="dxa"/>
            <w:vAlign w:val="center"/>
          </w:tcPr>
          <w:p w:rsidR="003717A0" w:rsidRDefault="003717A0" w:rsidP="00F5156D">
            <w:pPr>
              <w:jc w:val="center"/>
              <w:rPr>
                <w:rFonts w:ascii="Times New Roman" w:hAnsi="Times New Roman"/>
              </w:rPr>
            </w:pPr>
            <w:r>
              <w:rPr>
                <w:rFonts w:ascii="Times New Roman" w:hAnsi="Times New Roman"/>
              </w:rPr>
              <w:t>6</w:t>
            </w:r>
          </w:p>
        </w:tc>
        <w:tc>
          <w:tcPr>
            <w:tcW w:w="3260" w:type="dxa"/>
          </w:tcPr>
          <w:p w:rsidR="003717A0" w:rsidRDefault="003717A0" w:rsidP="00F5156D">
            <w:pPr>
              <w:ind w:firstLineChars="2" w:firstLine="4"/>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6</w:t>
            </w:r>
          </w:p>
        </w:tc>
        <w:tc>
          <w:tcPr>
            <w:tcW w:w="3119" w:type="dxa"/>
          </w:tcPr>
          <w:p w:rsidR="003717A0" w:rsidRDefault="003717A0" w:rsidP="00F5156D">
            <w:pPr>
              <w:ind w:firstLineChars="53" w:firstLine="111"/>
              <w:rPr>
                <w:rFonts w:ascii="Times New Roman" w:hAnsi="Times New Roman"/>
              </w:rPr>
            </w:pPr>
            <w:r>
              <w:rPr>
                <w:rFonts w:ascii="Times New Roman" w:hint="eastAsia"/>
              </w:rPr>
              <w:t>消化和吸收</w:t>
            </w:r>
          </w:p>
        </w:tc>
        <w:tc>
          <w:tcPr>
            <w:tcW w:w="850" w:type="dxa"/>
            <w:vAlign w:val="center"/>
          </w:tcPr>
          <w:p w:rsidR="003717A0" w:rsidRDefault="003717A0" w:rsidP="00F5156D">
            <w:pPr>
              <w:jc w:val="center"/>
              <w:rPr>
                <w:rFonts w:ascii="Times New Roman" w:hAnsi="Times New Roman"/>
              </w:rPr>
            </w:pPr>
            <w:r>
              <w:rPr>
                <w:rFonts w:ascii="Times New Roman" w:hAnsi="Times New Roman"/>
              </w:rPr>
              <w:t>6</w:t>
            </w:r>
          </w:p>
        </w:tc>
        <w:tc>
          <w:tcPr>
            <w:tcW w:w="3260" w:type="dxa"/>
          </w:tcPr>
          <w:p w:rsidR="003717A0" w:rsidRDefault="003717A0" w:rsidP="00F5156D">
            <w:pPr>
              <w:ind w:firstLineChars="2" w:firstLine="4"/>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7</w:t>
            </w:r>
          </w:p>
        </w:tc>
        <w:tc>
          <w:tcPr>
            <w:tcW w:w="3119" w:type="dxa"/>
          </w:tcPr>
          <w:p w:rsidR="003717A0" w:rsidRDefault="003717A0" w:rsidP="00F5156D">
            <w:pPr>
              <w:ind w:firstLineChars="53" w:firstLine="111"/>
              <w:rPr>
                <w:rFonts w:ascii="Times New Roman" w:hAnsi="Times New Roman"/>
              </w:rPr>
            </w:pPr>
            <w:r>
              <w:rPr>
                <w:rFonts w:ascii="Times New Roman" w:hint="eastAsia"/>
              </w:rPr>
              <w:t>能量代谢与体温</w:t>
            </w:r>
          </w:p>
        </w:tc>
        <w:tc>
          <w:tcPr>
            <w:tcW w:w="850" w:type="dxa"/>
            <w:vAlign w:val="center"/>
          </w:tcPr>
          <w:p w:rsidR="003717A0" w:rsidRDefault="003717A0" w:rsidP="00F5156D">
            <w:pPr>
              <w:jc w:val="center"/>
              <w:rPr>
                <w:rFonts w:ascii="Times New Roman" w:hAnsi="Times New Roman"/>
              </w:rPr>
            </w:pPr>
            <w:r>
              <w:rPr>
                <w:rFonts w:ascii="Times New Roman" w:hAnsi="Times New Roman"/>
              </w:rPr>
              <w:t>3</w:t>
            </w:r>
          </w:p>
        </w:tc>
        <w:tc>
          <w:tcPr>
            <w:tcW w:w="3260" w:type="dxa"/>
          </w:tcPr>
          <w:p w:rsidR="003717A0" w:rsidRDefault="003717A0" w:rsidP="00F5156D">
            <w:pPr>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8</w:t>
            </w:r>
          </w:p>
        </w:tc>
        <w:tc>
          <w:tcPr>
            <w:tcW w:w="3119" w:type="dxa"/>
          </w:tcPr>
          <w:p w:rsidR="003717A0" w:rsidRDefault="003717A0" w:rsidP="00F5156D">
            <w:pPr>
              <w:ind w:firstLineChars="53" w:firstLine="111"/>
              <w:rPr>
                <w:rFonts w:ascii="Times New Roman" w:hAnsi="Times New Roman"/>
              </w:rPr>
            </w:pPr>
            <w:r>
              <w:rPr>
                <w:rFonts w:ascii="Times New Roman" w:hint="eastAsia"/>
              </w:rPr>
              <w:t>尿的生成与排放</w:t>
            </w:r>
          </w:p>
        </w:tc>
        <w:tc>
          <w:tcPr>
            <w:tcW w:w="850" w:type="dxa"/>
            <w:vAlign w:val="center"/>
          </w:tcPr>
          <w:p w:rsidR="003717A0" w:rsidRDefault="003717A0" w:rsidP="00F5156D">
            <w:pPr>
              <w:jc w:val="center"/>
              <w:rPr>
                <w:rFonts w:ascii="Times New Roman" w:hAnsi="Times New Roman"/>
              </w:rPr>
            </w:pPr>
            <w:r>
              <w:rPr>
                <w:rFonts w:ascii="Times New Roman" w:hAnsi="Times New Roman"/>
              </w:rPr>
              <w:t>9</w:t>
            </w:r>
          </w:p>
        </w:tc>
        <w:tc>
          <w:tcPr>
            <w:tcW w:w="3260" w:type="dxa"/>
          </w:tcPr>
          <w:p w:rsidR="003717A0" w:rsidRDefault="003717A0" w:rsidP="00F5156D">
            <w:pPr>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9</w:t>
            </w:r>
          </w:p>
        </w:tc>
        <w:tc>
          <w:tcPr>
            <w:tcW w:w="3119" w:type="dxa"/>
          </w:tcPr>
          <w:p w:rsidR="003717A0" w:rsidRDefault="003717A0" w:rsidP="00F5156D">
            <w:pPr>
              <w:ind w:firstLineChars="53" w:firstLine="111"/>
              <w:rPr>
                <w:rFonts w:ascii="Times New Roman" w:hAnsi="Times New Roman"/>
              </w:rPr>
            </w:pPr>
            <w:r>
              <w:rPr>
                <w:rFonts w:ascii="Times New Roman" w:hint="eastAsia"/>
              </w:rPr>
              <w:t>感觉器官</w:t>
            </w:r>
          </w:p>
        </w:tc>
        <w:tc>
          <w:tcPr>
            <w:tcW w:w="850" w:type="dxa"/>
            <w:vAlign w:val="center"/>
          </w:tcPr>
          <w:p w:rsidR="003717A0" w:rsidRDefault="003717A0" w:rsidP="00F5156D">
            <w:pPr>
              <w:jc w:val="center"/>
              <w:rPr>
                <w:rFonts w:ascii="Times New Roman" w:hAnsi="Times New Roman"/>
              </w:rPr>
            </w:pPr>
            <w:r>
              <w:rPr>
                <w:rFonts w:ascii="Times New Roman" w:hAnsi="Times New Roman"/>
              </w:rPr>
              <w:t>6</w:t>
            </w:r>
          </w:p>
        </w:tc>
        <w:tc>
          <w:tcPr>
            <w:tcW w:w="3260" w:type="dxa"/>
          </w:tcPr>
          <w:p w:rsidR="003717A0" w:rsidRDefault="003717A0" w:rsidP="00F5156D">
            <w:pPr>
              <w:ind w:firstLineChars="2" w:firstLine="4"/>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10</w:t>
            </w:r>
          </w:p>
        </w:tc>
        <w:tc>
          <w:tcPr>
            <w:tcW w:w="3119" w:type="dxa"/>
          </w:tcPr>
          <w:p w:rsidR="003717A0" w:rsidRDefault="003717A0" w:rsidP="00F5156D">
            <w:pPr>
              <w:ind w:firstLineChars="53" w:firstLine="111"/>
              <w:rPr>
                <w:rFonts w:ascii="Times New Roman" w:hAnsi="Times New Roman"/>
              </w:rPr>
            </w:pPr>
            <w:r>
              <w:rPr>
                <w:rFonts w:ascii="Times New Roman" w:hint="eastAsia"/>
              </w:rPr>
              <w:t>神经系统的功能</w:t>
            </w:r>
          </w:p>
        </w:tc>
        <w:tc>
          <w:tcPr>
            <w:tcW w:w="850" w:type="dxa"/>
            <w:vAlign w:val="center"/>
          </w:tcPr>
          <w:p w:rsidR="003717A0" w:rsidRDefault="003717A0" w:rsidP="00F5156D">
            <w:pPr>
              <w:jc w:val="center"/>
              <w:rPr>
                <w:rFonts w:ascii="Times New Roman" w:hAnsi="Times New Roman"/>
              </w:rPr>
            </w:pPr>
            <w:r>
              <w:rPr>
                <w:rFonts w:ascii="Times New Roman" w:hAnsi="Times New Roman"/>
              </w:rPr>
              <w:t>12</w:t>
            </w:r>
          </w:p>
        </w:tc>
        <w:tc>
          <w:tcPr>
            <w:tcW w:w="3260" w:type="dxa"/>
          </w:tcPr>
          <w:p w:rsidR="003717A0" w:rsidRDefault="003717A0" w:rsidP="00F5156D">
            <w:pPr>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11</w:t>
            </w:r>
          </w:p>
        </w:tc>
        <w:tc>
          <w:tcPr>
            <w:tcW w:w="3119" w:type="dxa"/>
          </w:tcPr>
          <w:p w:rsidR="003717A0" w:rsidRDefault="003717A0" w:rsidP="00F5156D">
            <w:pPr>
              <w:ind w:firstLineChars="53" w:firstLine="111"/>
              <w:rPr>
                <w:rFonts w:ascii="Times New Roman" w:hAnsi="Times New Roman"/>
              </w:rPr>
            </w:pPr>
            <w:r>
              <w:rPr>
                <w:rFonts w:ascii="Times New Roman" w:hint="eastAsia"/>
              </w:rPr>
              <w:t>内分泌</w:t>
            </w:r>
          </w:p>
        </w:tc>
        <w:tc>
          <w:tcPr>
            <w:tcW w:w="850" w:type="dxa"/>
            <w:vAlign w:val="center"/>
          </w:tcPr>
          <w:p w:rsidR="003717A0" w:rsidRDefault="003717A0" w:rsidP="00F5156D">
            <w:pPr>
              <w:jc w:val="center"/>
              <w:rPr>
                <w:rFonts w:ascii="Times New Roman" w:hAnsi="Times New Roman"/>
              </w:rPr>
            </w:pPr>
            <w:r>
              <w:rPr>
                <w:rFonts w:ascii="Times New Roman" w:hAnsi="Times New Roman"/>
              </w:rPr>
              <w:t>6</w:t>
            </w:r>
          </w:p>
        </w:tc>
        <w:tc>
          <w:tcPr>
            <w:tcW w:w="3260" w:type="dxa"/>
          </w:tcPr>
          <w:p w:rsidR="003717A0" w:rsidRDefault="003717A0" w:rsidP="00F5156D">
            <w:pPr>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jc w:val="center"/>
              <w:rPr>
                <w:rFonts w:ascii="Times New Roman" w:hAnsi="Times New Roman"/>
              </w:rPr>
            </w:pPr>
            <w:r>
              <w:rPr>
                <w:rFonts w:ascii="Times New Roman" w:hAnsi="Times New Roman"/>
              </w:rPr>
              <w:t>12</w:t>
            </w:r>
          </w:p>
        </w:tc>
        <w:tc>
          <w:tcPr>
            <w:tcW w:w="3119" w:type="dxa"/>
          </w:tcPr>
          <w:p w:rsidR="003717A0" w:rsidRDefault="003717A0" w:rsidP="00F5156D">
            <w:pPr>
              <w:ind w:firstLineChars="53" w:firstLine="111"/>
              <w:rPr>
                <w:rFonts w:ascii="Times New Roman" w:hAnsi="Times New Roman"/>
              </w:rPr>
            </w:pPr>
            <w:r>
              <w:rPr>
                <w:rFonts w:ascii="Times New Roman" w:hint="eastAsia"/>
              </w:rPr>
              <w:t>生殖</w:t>
            </w:r>
          </w:p>
        </w:tc>
        <w:tc>
          <w:tcPr>
            <w:tcW w:w="850" w:type="dxa"/>
            <w:vAlign w:val="center"/>
          </w:tcPr>
          <w:p w:rsidR="003717A0" w:rsidRDefault="003717A0" w:rsidP="00F5156D">
            <w:pPr>
              <w:jc w:val="center"/>
              <w:rPr>
                <w:rFonts w:ascii="Times New Roman" w:hAnsi="Times New Roman"/>
              </w:rPr>
            </w:pPr>
            <w:r>
              <w:rPr>
                <w:rFonts w:ascii="Times New Roman" w:hAnsi="Times New Roman"/>
              </w:rPr>
              <w:t>3</w:t>
            </w:r>
          </w:p>
        </w:tc>
        <w:tc>
          <w:tcPr>
            <w:tcW w:w="3260" w:type="dxa"/>
          </w:tcPr>
          <w:p w:rsidR="003717A0" w:rsidRDefault="003717A0" w:rsidP="00F5156D">
            <w:pPr>
              <w:jc w:val="left"/>
            </w:pPr>
          </w:p>
        </w:tc>
        <w:tc>
          <w:tcPr>
            <w:tcW w:w="851" w:type="dxa"/>
          </w:tcPr>
          <w:p w:rsidR="003717A0" w:rsidRDefault="003717A0" w:rsidP="00F5156D"/>
        </w:tc>
      </w:tr>
      <w:tr w:rsidR="003717A0" w:rsidTr="00F5156D">
        <w:trPr>
          <w:jc w:val="center"/>
        </w:trPr>
        <w:tc>
          <w:tcPr>
            <w:tcW w:w="817" w:type="dxa"/>
          </w:tcPr>
          <w:p w:rsidR="003717A0" w:rsidRDefault="003717A0" w:rsidP="00F5156D">
            <w:pPr>
              <w:rPr>
                <w:rFonts w:ascii="Times New Roman" w:hAnsi="Times New Roman"/>
              </w:rPr>
            </w:pPr>
          </w:p>
        </w:tc>
        <w:tc>
          <w:tcPr>
            <w:tcW w:w="3119" w:type="dxa"/>
          </w:tcPr>
          <w:p w:rsidR="003717A0" w:rsidRDefault="003717A0" w:rsidP="00F5156D">
            <w:pPr>
              <w:ind w:firstLineChars="53" w:firstLine="111"/>
              <w:rPr>
                <w:rFonts w:ascii="Times New Roman" w:hAnsi="Times New Roman"/>
              </w:rPr>
            </w:pPr>
            <w:r>
              <w:rPr>
                <w:rFonts w:ascii="Times New Roman" w:hint="eastAsia"/>
              </w:rPr>
              <w:t>合　计</w:t>
            </w:r>
          </w:p>
        </w:tc>
        <w:tc>
          <w:tcPr>
            <w:tcW w:w="850" w:type="dxa"/>
            <w:vAlign w:val="center"/>
          </w:tcPr>
          <w:p w:rsidR="003717A0" w:rsidRDefault="003717A0" w:rsidP="00F5156D">
            <w:pPr>
              <w:jc w:val="center"/>
              <w:rPr>
                <w:rFonts w:ascii="Times New Roman" w:hAnsi="Times New Roman"/>
              </w:rPr>
            </w:pPr>
            <w:r>
              <w:rPr>
                <w:rFonts w:ascii="Times New Roman" w:hAnsi="Times New Roman"/>
              </w:rPr>
              <w:t>84</w:t>
            </w:r>
          </w:p>
        </w:tc>
        <w:tc>
          <w:tcPr>
            <w:tcW w:w="3260" w:type="dxa"/>
          </w:tcPr>
          <w:p w:rsidR="003717A0" w:rsidRDefault="003717A0" w:rsidP="00F5156D"/>
        </w:tc>
        <w:tc>
          <w:tcPr>
            <w:tcW w:w="851" w:type="dxa"/>
          </w:tcPr>
          <w:p w:rsidR="003717A0" w:rsidRDefault="003717A0" w:rsidP="00F5156D"/>
        </w:tc>
      </w:tr>
    </w:tbl>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多媒体教室和机能学实验室等；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理论课教材：张建福、彭聿平、闫长栋主编，《人体生理学》第二版，高等教育出版社，</w:t>
      </w:r>
      <w:r>
        <w:rPr>
          <w:rFonts w:ascii="Times New Roman" w:hAnsi="Times New Roman"/>
        </w:rPr>
        <w:t>2010.3</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实验课教材：陆源、林国华、杨午鸣主编，《机能学实验教程》第二版，科学出版社，</w:t>
      </w:r>
      <w:r>
        <w:rPr>
          <w:rFonts w:ascii="Times New Roman" w:hAnsi="Times New Roman"/>
        </w:rPr>
        <w:t>2013.1</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1. </w:t>
      </w:r>
      <w:r>
        <w:rPr>
          <w:rFonts w:ascii="Times New Roman" w:hAnsi="Times New Roman" w:hint="eastAsia"/>
        </w:rPr>
        <w:t>朱大年</w:t>
      </w:r>
      <w:r>
        <w:rPr>
          <w:rFonts w:ascii="Times New Roman" w:hAnsi="Times New Roman"/>
        </w:rPr>
        <w:t xml:space="preserve">. 2008. </w:t>
      </w:r>
      <w:r>
        <w:rPr>
          <w:rFonts w:ascii="Times New Roman" w:hAnsi="Times New Roman" w:hint="eastAsia"/>
        </w:rPr>
        <w:t>生理学</w:t>
      </w:r>
      <w:r>
        <w:rPr>
          <w:rFonts w:ascii="Times New Roman" w:hAnsi="Times New Roman"/>
        </w:rPr>
        <w:t xml:space="preserve">. </w:t>
      </w:r>
      <w:r>
        <w:rPr>
          <w:rFonts w:ascii="Times New Roman" w:hAnsi="Times New Roman" w:hint="eastAsia"/>
        </w:rPr>
        <w:t>第</w:t>
      </w:r>
      <w:r>
        <w:rPr>
          <w:rFonts w:ascii="Times New Roman" w:hAnsi="Times New Roman"/>
        </w:rPr>
        <w:t>7</w:t>
      </w:r>
      <w:r>
        <w:rPr>
          <w:rFonts w:ascii="Times New Roman" w:hAnsi="Times New Roman" w:hint="eastAsia"/>
        </w:rPr>
        <w:t>版</w:t>
      </w:r>
      <w:r>
        <w:rPr>
          <w:rFonts w:ascii="Times New Roman" w:hAnsi="Times New Roman"/>
        </w:rPr>
        <w:t xml:space="preserve"> </w:t>
      </w:r>
      <w:r>
        <w:rPr>
          <w:rFonts w:ascii="Times New Roman" w:hAnsi="Times New Roman" w:hint="eastAsia"/>
        </w:rPr>
        <w:t>北京：人民卫生出版社</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2. </w:t>
      </w:r>
      <w:r>
        <w:rPr>
          <w:rFonts w:ascii="Times New Roman" w:hAnsi="Times New Roman" w:hint="eastAsia"/>
        </w:rPr>
        <w:t>姚</w:t>
      </w:r>
      <w:r>
        <w:rPr>
          <w:rFonts w:ascii="Times New Roman" w:hAnsi="Times New Roman"/>
        </w:rPr>
        <w:t xml:space="preserve"> </w:t>
      </w:r>
      <w:r>
        <w:rPr>
          <w:rFonts w:ascii="Times New Roman" w:hAnsi="Times New Roman" w:hint="eastAsia"/>
        </w:rPr>
        <w:t>泰</w:t>
      </w:r>
      <w:r>
        <w:rPr>
          <w:rFonts w:ascii="Times New Roman" w:hAnsi="Times New Roman"/>
        </w:rPr>
        <w:t xml:space="preserve">. 2010. </w:t>
      </w:r>
      <w:r>
        <w:rPr>
          <w:rFonts w:ascii="Times New Roman" w:hAnsi="Times New Roman" w:hint="eastAsia"/>
        </w:rPr>
        <w:t>生理学</w:t>
      </w:r>
      <w:r>
        <w:rPr>
          <w:rFonts w:ascii="Times New Roman" w:hAnsi="Times New Roman"/>
        </w:rPr>
        <w:t xml:space="preserve">. </w:t>
      </w:r>
      <w:r>
        <w:rPr>
          <w:rFonts w:ascii="Times New Roman" w:hAnsi="Times New Roman" w:hint="eastAsia"/>
        </w:rPr>
        <w:t>第</w:t>
      </w:r>
      <w:r>
        <w:rPr>
          <w:rFonts w:ascii="Times New Roman" w:hAnsi="Times New Roman"/>
        </w:rPr>
        <w:t>2</w:t>
      </w:r>
      <w:r>
        <w:rPr>
          <w:rFonts w:ascii="Times New Roman" w:hAnsi="Times New Roman" w:hint="eastAsia"/>
        </w:rPr>
        <w:t>版</w:t>
      </w:r>
      <w:r>
        <w:rPr>
          <w:rFonts w:ascii="Times New Roman" w:hAnsi="Times New Roman"/>
        </w:rPr>
        <w:t xml:space="preserve">. </w:t>
      </w:r>
      <w:r>
        <w:rPr>
          <w:rFonts w:ascii="Times New Roman" w:hAnsi="Times New Roman" w:hint="eastAsia"/>
        </w:rPr>
        <w:t>北京：人民卫生出版社</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3. </w:t>
      </w:r>
      <w:r>
        <w:rPr>
          <w:rFonts w:ascii="Times New Roman" w:hAnsi="Times New Roman" w:hint="eastAsia"/>
        </w:rPr>
        <w:t>王庭槐</w:t>
      </w:r>
      <w:r>
        <w:rPr>
          <w:rFonts w:ascii="Times New Roman" w:hAnsi="Times New Roman"/>
        </w:rPr>
        <w:t xml:space="preserve">. 2008. </w:t>
      </w:r>
      <w:r>
        <w:rPr>
          <w:rFonts w:ascii="Times New Roman" w:hAnsi="Times New Roman" w:hint="eastAsia"/>
        </w:rPr>
        <w:t>生理学</w:t>
      </w:r>
      <w:r>
        <w:rPr>
          <w:rFonts w:ascii="Times New Roman" w:hAnsi="Times New Roman"/>
        </w:rPr>
        <w:t xml:space="preserve">. </w:t>
      </w:r>
      <w:r>
        <w:rPr>
          <w:rFonts w:ascii="Times New Roman" w:hAnsi="Times New Roman" w:hint="eastAsia"/>
        </w:rPr>
        <w:t>第</w:t>
      </w:r>
      <w:r>
        <w:rPr>
          <w:rFonts w:ascii="Times New Roman" w:hAnsi="Times New Roman"/>
        </w:rPr>
        <w:t>2</w:t>
      </w:r>
      <w:r>
        <w:rPr>
          <w:rFonts w:ascii="Times New Roman" w:hAnsi="Times New Roman" w:hint="eastAsia"/>
        </w:rPr>
        <w:t>版</w:t>
      </w:r>
      <w:r>
        <w:rPr>
          <w:rFonts w:ascii="Times New Roman" w:hAnsi="Times New Roman"/>
        </w:rPr>
        <w:t xml:space="preserve">. </w:t>
      </w:r>
      <w:r>
        <w:rPr>
          <w:rFonts w:ascii="Times New Roman" w:hAnsi="Times New Roman" w:hint="eastAsia"/>
        </w:rPr>
        <w:t>北京：高等教育出版社</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4. </w:t>
      </w:r>
      <w:r>
        <w:rPr>
          <w:rFonts w:ascii="Times New Roman" w:hAnsi="Times New Roman" w:hint="eastAsia"/>
        </w:rPr>
        <w:t>梅岩艾，王建军，王世强</w:t>
      </w:r>
      <w:r>
        <w:rPr>
          <w:rFonts w:ascii="Times New Roman" w:hAnsi="Times New Roman"/>
        </w:rPr>
        <w:t xml:space="preserve">. 2011. </w:t>
      </w:r>
      <w:r>
        <w:rPr>
          <w:rFonts w:ascii="Times New Roman" w:hAnsi="Times New Roman" w:hint="eastAsia"/>
        </w:rPr>
        <w:t>生理学原理</w:t>
      </w:r>
      <w:r>
        <w:rPr>
          <w:rFonts w:ascii="Times New Roman" w:hAnsi="Times New Roman"/>
        </w:rPr>
        <w:t xml:space="preserve">. </w:t>
      </w:r>
      <w:r>
        <w:rPr>
          <w:rFonts w:ascii="Times New Roman" w:hAnsi="Times New Roman" w:hint="eastAsia"/>
        </w:rPr>
        <w:t>北京：高等教育出版社</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5. Bear MF, Connore BW, Paradiso MA. 2004. Neuroscience: Exploring the Brain. 2nd ed. </w:t>
      </w:r>
      <w:r>
        <w:rPr>
          <w:rFonts w:ascii="Times New Roman" w:hAnsi="Times New Roman" w:hint="eastAsia"/>
        </w:rPr>
        <w:t>北京：高等教育出版社</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6. Ganong WF. 2003. Review of Medical Physiology. 4th ed. California: Lange Medical Publications</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7. Guyton AC,Hall JE. 2000. Textbook of Medical Physiology. 10th ed. Philadelphia:WB Saunders Co</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8. Levy MN, Stanton BA, Koeppen BM. 2008. Berne &amp; Levy Principles of Physiology. 4th ed. </w:t>
      </w:r>
      <w:r>
        <w:rPr>
          <w:rFonts w:ascii="Times New Roman" w:hAnsi="Times New Roman" w:hint="eastAsia"/>
        </w:rPr>
        <w:t>北京：高等教育出版社</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 xml:space="preserve">9. Yao Tai. 2008. Textbook of Physiology. </w:t>
      </w:r>
      <w:r>
        <w:rPr>
          <w:rFonts w:ascii="Times New Roman" w:hAnsi="Times New Roman" w:hint="eastAsia"/>
        </w:rPr>
        <w:t>北京：人民卫生出版社</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F5156D" w:rsidRDefault="003717A0" w:rsidP="00F5156D">
      <w:pPr>
        <w:autoSpaceDE w:val="0"/>
        <w:autoSpaceDN w:val="0"/>
        <w:adjustRightInd w:val="0"/>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制定人：马颂华</w:t>
      </w:r>
    </w:p>
    <w:p w:rsidR="003717A0" w:rsidRPr="00F5156D" w:rsidRDefault="003717A0" w:rsidP="00F5156D">
      <w:pPr>
        <w:autoSpaceDE w:val="0"/>
        <w:autoSpaceDN w:val="0"/>
        <w:adjustRightInd w:val="0"/>
        <w:spacing w:line="360" w:lineRule="exact"/>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审核人：邱一华</w:t>
      </w:r>
    </w:p>
    <w:p w:rsidR="003717A0" w:rsidRDefault="003717A0">
      <w:pPr>
        <w:autoSpaceDE w:val="0"/>
        <w:autoSpaceDN w:val="0"/>
        <w:adjustRightInd w:val="0"/>
        <w:spacing w:line="360" w:lineRule="exact"/>
        <w:ind w:leftChars="3510" w:left="7371" w:firstLineChars="157" w:firstLine="283"/>
        <w:jc w:val="left"/>
        <w:rPr>
          <w:rFonts w:ascii="黑体" w:eastAsia="黑体" w:cs="黑体"/>
          <w:kern w:val="0"/>
          <w:sz w:val="18"/>
          <w:szCs w:val="18"/>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Times New Roman" w:hAnsi="Times New Roman"/>
          <w:sz w:val="22"/>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jc w:val="left"/>
        <w:rPr>
          <w:rFonts w:ascii="Times New Roman"/>
        </w:rPr>
      </w:pPr>
      <w:r>
        <w:rPr>
          <w:sz w:val="22"/>
        </w:rPr>
        <w:t xml:space="preserve">1. </w:t>
      </w:r>
      <w:r>
        <w:rPr>
          <w:rFonts w:ascii="Times New Roman" w:hint="eastAsia"/>
        </w:rPr>
        <w:t>修读完本课程规定内容的康复治疗学专业的本科学生</w:t>
      </w:r>
    </w:p>
    <w:p w:rsidR="003717A0" w:rsidRDefault="003717A0">
      <w:pPr>
        <w:autoSpaceDE w:val="0"/>
        <w:autoSpaceDN w:val="0"/>
        <w:adjustRightInd w:val="0"/>
        <w:snapToGrid w:val="0"/>
        <w:spacing w:line="440" w:lineRule="exact"/>
        <w:jc w:val="left"/>
        <w:rPr>
          <w:rFonts w:ascii="Times New Roman"/>
        </w:rPr>
      </w:pPr>
      <w:r>
        <w:rPr>
          <w:rFonts w:ascii="Times New Roman"/>
        </w:rPr>
        <w:t xml:space="preserve">2. </w:t>
      </w: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正常人体的各系统器官和不同细胞的正常功能活动规律和机制的理解和掌握情况，及学生在整体水平上研究各系统、器官和细胞之间的相互联系以及内外环境变化对机体的影响情况，从而认识和掌握生命活动的规律。学习生理学必须以辩证唯物主义为指导思想，坚持应用辩证、动态、对立统一和整体的观点研究复杂变化的生命现象。学习生理学的目的是要求学生了解本学科的新概念、新知识、新发展；掌握本学科的基本理论，基本知识和基本技能；培养学生科学精神、思维能力和创新意识，为今后学习后续课程打下坚实的基础。</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期末闭卷理论考核和实验操作考核。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200" w:firstLine="420"/>
        <w:jc w:val="left"/>
        <w:rPr>
          <w:rFonts w:ascii="Times New Roman" w:eastAsia="楷体_GB2312" w:hAnsi="Times New Roman"/>
          <w:sz w:val="24"/>
          <w:szCs w:val="24"/>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生理学的基本概念；主要专业名词；各器官系统的主要生理学功能及生命活动的基本规律，以及器官系统的功能与整体之间的相互关系。掌握生理学的常用动物实验操作方法和实验技术。</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以正常人体的主要器官系统的功能活动规律为考试重点，考核学生运用课程知识分析问题、解决问题的能力，同时检查学生的常用生理学动物实验操作技术的掌握情况。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生理学课程考试试题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napToGrid w:val="0"/>
        <w:spacing w:line="440" w:lineRule="exact"/>
        <w:jc w:val="left"/>
        <w:rPr>
          <w:rFonts w:ascii="宋体"/>
        </w:rPr>
      </w:pPr>
      <w:r>
        <w:rPr>
          <w:rFonts w:ascii="宋体" w:hAnsi="宋体" w:hint="eastAsia"/>
        </w:rPr>
        <w:t>一、判断题：（每小题</w:t>
      </w:r>
      <w:r>
        <w:rPr>
          <w:rFonts w:ascii="宋体" w:hAnsi="宋体"/>
        </w:rPr>
        <w:t xml:space="preserve"> 1</w:t>
      </w:r>
      <w:r>
        <w:rPr>
          <w:rFonts w:ascii="宋体" w:hAnsi="宋体" w:hint="eastAsia"/>
        </w:rPr>
        <w:t>分，共</w:t>
      </w:r>
      <w:r>
        <w:rPr>
          <w:rFonts w:ascii="宋体" w:hAnsi="宋体"/>
        </w:rPr>
        <w:t xml:space="preserve">20 </w:t>
      </w:r>
      <w:r>
        <w:rPr>
          <w:rFonts w:ascii="宋体" w:hAnsi="宋体" w:hint="eastAsia"/>
        </w:rPr>
        <w:t>分）</w:t>
      </w:r>
    </w:p>
    <w:p w:rsidR="003717A0" w:rsidRDefault="003717A0">
      <w:pPr>
        <w:autoSpaceDE w:val="0"/>
        <w:autoSpaceDN w:val="0"/>
        <w:adjustRightInd w:val="0"/>
        <w:snapToGrid w:val="0"/>
        <w:spacing w:line="440" w:lineRule="exact"/>
        <w:jc w:val="left"/>
        <w:rPr>
          <w:rFonts w:ascii="宋体"/>
        </w:rPr>
      </w:pPr>
      <w:r>
        <w:rPr>
          <w:rFonts w:ascii="宋体" w:hAnsi="宋体"/>
        </w:rPr>
        <w:t xml:space="preserve">1. </w:t>
      </w:r>
      <w:r>
        <w:rPr>
          <w:rFonts w:ascii="宋体" w:hAnsi="宋体" w:hint="eastAsia"/>
        </w:rPr>
        <w:t>判断组织兴奋性高低常用的简便指标是阈电位。</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autoSpaceDE w:val="0"/>
        <w:autoSpaceDN w:val="0"/>
        <w:adjustRightInd w:val="0"/>
        <w:snapToGrid w:val="0"/>
        <w:spacing w:line="440" w:lineRule="exact"/>
        <w:jc w:val="left"/>
        <w:rPr>
          <w:rFonts w:ascii="宋体"/>
        </w:rPr>
      </w:pPr>
      <w:r>
        <w:rPr>
          <w:rFonts w:ascii="宋体" w:hAnsi="宋体"/>
        </w:rPr>
        <w:t xml:space="preserve">2. </w:t>
      </w:r>
      <w:r>
        <w:rPr>
          <w:rFonts w:ascii="宋体" w:hAnsi="宋体" w:hint="eastAsia"/>
        </w:rPr>
        <w:t>动作电位的峰值接近钠平衡电位水平。</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autoSpaceDE w:val="0"/>
        <w:autoSpaceDN w:val="0"/>
        <w:adjustRightInd w:val="0"/>
        <w:snapToGrid w:val="0"/>
        <w:spacing w:line="440" w:lineRule="exact"/>
        <w:jc w:val="left"/>
        <w:rPr>
          <w:rFonts w:ascii="宋体"/>
        </w:rPr>
      </w:pPr>
      <w:r>
        <w:rPr>
          <w:rFonts w:ascii="宋体" w:hAnsi="宋体"/>
        </w:rPr>
        <w:t xml:space="preserve">3. </w:t>
      </w:r>
      <w:r>
        <w:rPr>
          <w:rFonts w:ascii="宋体" w:hAnsi="宋体" w:hint="eastAsia"/>
        </w:rPr>
        <w:t>血液的比重主要取决于红细胞数量，数量越多，则比重越大。</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autoSpaceDE w:val="0"/>
        <w:autoSpaceDN w:val="0"/>
        <w:adjustRightInd w:val="0"/>
        <w:snapToGrid w:val="0"/>
        <w:spacing w:line="440" w:lineRule="exact"/>
        <w:jc w:val="left"/>
        <w:rPr>
          <w:rFonts w:ascii="宋体"/>
        </w:rPr>
      </w:pPr>
      <w:r>
        <w:rPr>
          <w:rFonts w:ascii="宋体" w:hAnsi="宋体"/>
        </w:rPr>
        <w:t xml:space="preserve">4. </w:t>
      </w:r>
      <w:r>
        <w:rPr>
          <w:rFonts w:ascii="宋体" w:hAnsi="宋体" w:hint="eastAsia"/>
        </w:rPr>
        <w:t>红细胞叠连速度的快慢，主要取决于红细胞本身的特性，并不决定于血浆。</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jc w:val="left"/>
        <w:rPr>
          <w:rFonts w:ascii="宋体"/>
        </w:rPr>
      </w:pPr>
      <w:r>
        <w:rPr>
          <w:rFonts w:ascii="宋体" w:hAnsi="宋体"/>
        </w:rPr>
        <w:lastRenderedPageBreak/>
        <w:t xml:space="preserve">5. </w:t>
      </w:r>
      <w:r>
        <w:rPr>
          <w:rFonts w:ascii="宋体" w:hAnsi="宋体" w:hint="eastAsia"/>
        </w:rPr>
        <w:t>平均动脉压是收缩压和舒张压之和的平均值。</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jc w:val="left"/>
        <w:rPr>
          <w:rFonts w:ascii="宋体"/>
        </w:rPr>
      </w:pPr>
      <w:r>
        <w:rPr>
          <w:rFonts w:ascii="宋体" w:hAnsi="宋体"/>
        </w:rPr>
        <w:t xml:space="preserve">6. </w:t>
      </w:r>
      <w:r>
        <w:rPr>
          <w:rFonts w:ascii="宋体" w:hAnsi="宋体" w:hint="eastAsia"/>
        </w:rPr>
        <w:t>心输出量等于每搏输出量乘以心率，所以心率越快，心输出量越大。</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jc w:val="left"/>
        <w:rPr>
          <w:rFonts w:ascii="宋体"/>
        </w:rPr>
      </w:pPr>
      <w:r>
        <w:rPr>
          <w:rFonts w:ascii="宋体" w:hAnsi="宋体"/>
        </w:rPr>
        <w:t xml:space="preserve">7. </w:t>
      </w:r>
      <w:r>
        <w:rPr>
          <w:rFonts w:ascii="宋体" w:hAnsi="宋体" w:hint="eastAsia"/>
        </w:rPr>
        <w:t>肺与外界环境之间的气体交换过程称为呼吸。</w:t>
      </w:r>
      <w:r>
        <w:rPr>
          <w:rFonts w:ascii="宋体" w:hAnsi="宋体"/>
        </w:rPr>
        <w:t xml:space="preserve">                                  </w:t>
      </w:r>
      <w:r>
        <w:rPr>
          <w:rFonts w:ascii="宋体" w:hAnsi="宋体" w:hint="eastAsia"/>
        </w:rPr>
        <w:t>（</w:t>
      </w:r>
      <w:r>
        <w:rPr>
          <w:rFonts w:ascii="宋体" w:hAnsi="宋体"/>
        </w:rPr>
        <w:t xml:space="preserve">    )</w:t>
      </w:r>
    </w:p>
    <w:p w:rsidR="003717A0" w:rsidRDefault="003717A0">
      <w:pPr>
        <w:jc w:val="left"/>
        <w:rPr>
          <w:rFonts w:ascii="宋体"/>
        </w:rPr>
      </w:pPr>
      <w:r>
        <w:rPr>
          <w:rFonts w:ascii="宋体" w:hAnsi="宋体"/>
        </w:rPr>
        <w:t xml:space="preserve">8. </w:t>
      </w:r>
      <w:r>
        <w:rPr>
          <w:rFonts w:ascii="宋体" w:hAnsi="宋体" w:hint="eastAsia"/>
        </w:rPr>
        <w:t>通气</w:t>
      </w:r>
      <w:r>
        <w:rPr>
          <w:rFonts w:ascii="宋体" w:hAnsi="宋体"/>
        </w:rPr>
        <w:t>/</w:t>
      </w:r>
      <w:r>
        <w:rPr>
          <w:rFonts w:ascii="宋体" w:hAnsi="宋体" w:hint="eastAsia"/>
        </w:rPr>
        <w:t>血流比值越大则肺换气越好，越小则肺换气越坏。</w:t>
      </w:r>
      <w:r>
        <w:rPr>
          <w:rFonts w:ascii="宋体" w:hAnsi="宋体"/>
        </w:rPr>
        <w:t xml:space="preserve">                          (    )</w:t>
      </w:r>
    </w:p>
    <w:p w:rsidR="003717A0" w:rsidRDefault="003717A0">
      <w:pPr>
        <w:jc w:val="left"/>
        <w:rPr>
          <w:rFonts w:ascii="宋体"/>
        </w:rPr>
      </w:pPr>
      <w:r>
        <w:rPr>
          <w:rFonts w:ascii="宋体" w:hAnsi="宋体"/>
        </w:rPr>
        <w:t xml:space="preserve">9. </w:t>
      </w:r>
      <w:r>
        <w:rPr>
          <w:rFonts w:ascii="宋体" w:hAnsi="宋体" w:hint="eastAsia"/>
        </w:rPr>
        <w:t>基础代谢率是人体在正常情况下的最低代谢率。</w:t>
      </w:r>
      <w:r>
        <w:rPr>
          <w:rFonts w:ascii="宋体" w:hAnsi="宋体"/>
        </w:rPr>
        <w:t xml:space="preserve">                                 (    )</w:t>
      </w:r>
    </w:p>
    <w:p w:rsidR="003717A0" w:rsidRDefault="003717A0">
      <w:pPr>
        <w:jc w:val="left"/>
        <w:rPr>
          <w:rFonts w:ascii="宋体"/>
        </w:rPr>
      </w:pPr>
      <w:r>
        <w:rPr>
          <w:rFonts w:ascii="宋体" w:hAnsi="宋体"/>
        </w:rPr>
        <w:t xml:space="preserve">10. </w:t>
      </w:r>
      <w:r>
        <w:rPr>
          <w:rFonts w:ascii="宋体" w:hAnsi="宋体" w:hint="eastAsia"/>
        </w:rPr>
        <w:t>当环境温度高于皮肤温度时，蒸发散热就成了散热的唯一方式。</w:t>
      </w:r>
      <w:r>
        <w:rPr>
          <w:rFonts w:ascii="宋体" w:hAnsi="宋体"/>
        </w:rPr>
        <w:t xml:space="preserve">                  (    )</w:t>
      </w:r>
    </w:p>
    <w:p w:rsidR="003717A0" w:rsidRDefault="003717A0">
      <w:pPr>
        <w:jc w:val="left"/>
        <w:rPr>
          <w:rFonts w:ascii="宋体"/>
        </w:rPr>
      </w:pPr>
      <w:r>
        <w:rPr>
          <w:rFonts w:ascii="宋体" w:hAnsi="宋体"/>
        </w:rPr>
        <w:t xml:space="preserve">11. </w:t>
      </w:r>
      <w:r>
        <w:rPr>
          <w:rFonts w:ascii="宋体" w:hAnsi="宋体" w:hint="eastAsia"/>
        </w:rPr>
        <w:t>当尿中出现葡萄糖时，血浆葡萄糖的浓度称为肾糖阈。</w:t>
      </w:r>
      <w:r>
        <w:rPr>
          <w:rFonts w:ascii="宋体" w:hAnsi="宋体"/>
        </w:rPr>
        <w:t xml:space="preserve">                          (    )</w:t>
      </w:r>
    </w:p>
    <w:p w:rsidR="003717A0" w:rsidRDefault="003717A0">
      <w:pPr>
        <w:jc w:val="left"/>
        <w:rPr>
          <w:rFonts w:ascii="宋体"/>
        </w:rPr>
      </w:pPr>
      <w:r>
        <w:rPr>
          <w:rFonts w:ascii="宋体" w:hAnsi="宋体"/>
        </w:rPr>
        <w:t xml:space="preserve">12. </w:t>
      </w:r>
      <w:r>
        <w:rPr>
          <w:rFonts w:ascii="宋体" w:hAnsi="宋体" w:hint="eastAsia"/>
        </w:rPr>
        <w:t>大量饮清水后尿量增加的主要原因为血浆胶体渗透压降低。</w:t>
      </w:r>
      <w:r>
        <w:rPr>
          <w:rFonts w:ascii="宋体" w:hAnsi="宋体"/>
        </w:rPr>
        <w:t xml:space="preserve">                      (    )</w:t>
      </w:r>
    </w:p>
    <w:p w:rsidR="003717A0" w:rsidRDefault="003717A0">
      <w:pPr>
        <w:jc w:val="left"/>
        <w:rPr>
          <w:rFonts w:ascii="宋体"/>
        </w:rPr>
      </w:pPr>
      <w:r>
        <w:rPr>
          <w:rFonts w:ascii="宋体" w:hAnsi="宋体"/>
        </w:rPr>
        <w:t xml:space="preserve">13. </w:t>
      </w:r>
      <w:r>
        <w:rPr>
          <w:rFonts w:ascii="宋体" w:hAnsi="宋体" w:hint="eastAsia"/>
        </w:rPr>
        <w:t>感受器的适宜刺激就是它的最敏感、最容易接受的刺激形式。</w:t>
      </w:r>
      <w:r>
        <w:rPr>
          <w:rFonts w:ascii="宋体" w:hAnsi="宋体"/>
        </w:rPr>
        <w:t xml:space="preserve">                    (    )</w:t>
      </w:r>
    </w:p>
    <w:p w:rsidR="003717A0" w:rsidRDefault="003717A0">
      <w:pPr>
        <w:jc w:val="left"/>
        <w:rPr>
          <w:rFonts w:ascii="宋体"/>
        </w:rPr>
      </w:pPr>
      <w:r>
        <w:rPr>
          <w:rFonts w:ascii="宋体" w:hAnsi="宋体"/>
        </w:rPr>
        <w:t xml:space="preserve">14. </w:t>
      </w:r>
      <w:r>
        <w:rPr>
          <w:rFonts w:ascii="宋体" w:hAnsi="宋体" w:hint="eastAsia"/>
        </w:rPr>
        <w:t>近视眼需配戴凹透镜。</w:t>
      </w:r>
      <w:r>
        <w:rPr>
          <w:rFonts w:ascii="宋体" w:hAnsi="宋体"/>
        </w:rPr>
        <w:t xml:space="preserve">                                                      (    )</w:t>
      </w:r>
    </w:p>
    <w:p w:rsidR="003717A0" w:rsidRDefault="003717A0">
      <w:pPr>
        <w:jc w:val="left"/>
        <w:rPr>
          <w:rFonts w:ascii="宋体"/>
        </w:rPr>
      </w:pPr>
      <w:r>
        <w:rPr>
          <w:rFonts w:ascii="宋体" w:hAnsi="宋体"/>
        </w:rPr>
        <w:t xml:space="preserve">15. </w:t>
      </w:r>
      <w:r>
        <w:rPr>
          <w:rFonts w:ascii="宋体" w:hAnsi="宋体" w:hint="eastAsia"/>
        </w:rPr>
        <w:t>刺激神经纤维上任何一点所产生的冲动可沿纤维向两端同时传导。</w:t>
      </w:r>
      <w:r>
        <w:rPr>
          <w:rFonts w:ascii="宋体" w:hAnsi="宋体"/>
        </w:rPr>
        <w:t xml:space="preserve">                (    )</w:t>
      </w:r>
    </w:p>
    <w:p w:rsidR="003717A0" w:rsidRDefault="003717A0">
      <w:pPr>
        <w:jc w:val="left"/>
        <w:rPr>
          <w:rFonts w:ascii="宋体"/>
        </w:rPr>
      </w:pPr>
      <w:r>
        <w:rPr>
          <w:rFonts w:ascii="宋体" w:hAnsi="宋体"/>
        </w:rPr>
        <w:t xml:space="preserve">16. </w:t>
      </w:r>
      <w:r>
        <w:rPr>
          <w:rFonts w:ascii="宋体" w:hAnsi="宋体" w:hint="eastAsia"/>
        </w:rPr>
        <w:t>感觉传导通路在上行过程中，一般都要经过一次交叉，浅感觉传导通路是先交叉后上行，而深感觉传导通路是先上行后交叉。</w:t>
      </w:r>
      <w:r>
        <w:rPr>
          <w:rFonts w:ascii="宋体" w:hAnsi="宋体"/>
        </w:rPr>
        <w:t xml:space="preserve">                                                  (    )</w:t>
      </w:r>
    </w:p>
    <w:p w:rsidR="003717A0" w:rsidRDefault="003717A0">
      <w:pPr>
        <w:jc w:val="left"/>
        <w:rPr>
          <w:rFonts w:ascii="宋体"/>
        </w:rPr>
      </w:pPr>
      <w:r>
        <w:rPr>
          <w:rFonts w:ascii="宋体" w:hAnsi="宋体"/>
        </w:rPr>
        <w:t xml:space="preserve">17. </w:t>
      </w:r>
      <w:r>
        <w:rPr>
          <w:rFonts w:ascii="宋体" w:hAnsi="宋体" w:hint="eastAsia"/>
        </w:rPr>
        <w:t>切除甲状旁腺后由于降钙素不足，血钙升高而发生手足抽搐。</w:t>
      </w:r>
      <w:r>
        <w:rPr>
          <w:rFonts w:ascii="宋体" w:hAnsi="宋体"/>
        </w:rPr>
        <w:t xml:space="preserve">                    (    )</w:t>
      </w:r>
    </w:p>
    <w:p w:rsidR="003717A0" w:rsidRDefault="003717A0">
      <w:pPr>
        <w:jc w:val="left"/>
        <w:rPr>
          <w:rFonts w:ascii="宋体"/>
        </w:rPr>
      </w:pPr>
      <w:r>
        <w:rPr>
          <w:rFonts w:ascii="宋体" w:hAnsi="宋体"/>
        </w:rPr>
        <w:t xml:space="preserve">18. </w:t>
      </w:r>
      <w:r>
        <w:rPr>
          <w:rFonts w:ascii="宋体" w:hAnsi="宋体" w:hint="eastAsia"/>
        </w:rPr>
        <w:t>血管升压素和催产素是神经垂体合成并分泌的激素。</w:t>
      </w:r>
      <w:r>
        <w:rPr>
          <w:rFonts w:ascii="宋体" w:hAnsi="宋体"/>
        </w:rPr>
        <w:t xml:space="preserve">                            (    )</w:t>
      </w:r>
    </w:p>
    <w:p w:rsidR="003717A0" w:rsidRDefault="003717A0">
      <w:pPr>
        <w:jc w:val="left"/>
        <w:rPr>
          <w:rFonts w:ascii="宋体"/>
        </w:rPr>
      </w:pPr>
      <w:r>
        <w:rPr>
          <w:rFonts w:ascii="宋体" w:hAnsi="宋体"/>
        </w:rPr>
        <w:t xml:space="preserve">19. </w:t>
      </w:r>
      <w:r>
        <w:rPr>
          <w:rFonts w:ascii="宋体" w:hAnsi="宋体" w:hint="eastAsia"/>
        </w:rPr>
        <w:t>幼年时甲状腺激素分泌不足时易引起呆小症。</w:t>
      </w:r>
      <w:r>
        <w:rPr>
          <w:rFonts w:ascii="宋体" w:hAnsi="宋体"/>
        </w:rPr>
        <w:t xml:space="preserve">                                  (    )</w:t>
      </w:r>
    </w:p>
    <w:p w:rsidR="003717A0" w:rsidRDefault="003717A0">
      <w:pPr>
        <w:jc w:val="left"/>
        <w:rPr>
          <w:rFonts w:ascii="宋体"/>
        </w:rPr>
      </w:pPr>
      <w:r>
        <w:rPr>
          <w:rFonts w:ascii="宋体" w:hAnsi="宋体"/>
        </w:rPr>
        <w:t xml:space="preserve">20. </w:t>
      </w:r>
      <w:r>
        <w:rPr>
          <w:rFonts w:ascii="宋体" w:hAnsi="宋体" w:hint="eastAsia"/>
        </w:rPr>
        <w:t>检测母体血或尿中的</w:t>
      </w:r>
      <w:r>
        <w:rPr>
          <w:rFonts w:ascii="宋体" w:hAnsi="宋体"/>
        </w:rPr>
        <w:t>HCG</w:t>
      </w:r>
      <w:r>
        <w:rPr>
          <w:rFonts w:ascii="宋体" w:hAnsi="宋体" w:hint="eastAsia"/>
        </w:rPr>
        <w:t>是诊断早孕的可靠指标。</w:t>
      </w:r>
      <w:r>
        <w:rPr>
          <w:rFonts w:ascii="宋体" w:hAnsi="宋体"/>
        </w:rPr>
        <w:t xml:space="preserve">                              (    )</w:t>
      </w:r>
    </w:p>
    <w:p w:rsidR="003717A0" w:rsidRDefault="003717A0">
      <w:pPr>
        <w:jc w:val="left"/>
        <w:rPr>
          <w:rFonts w:ascii="黑体" w:eastAsia="黑体"/>
        </w:rPr>
      </w:pPr>
      <w:r>
        <w:rPr>
          <w:rFonts w:ascii="黑体" w:eastAsia="黑体" w:hint="eastAsia"/>
        </w:rPr>
        <w:t>二、单项选择题：（每小题</w:t>
      </w:r>
      <w:r>
        <w:rPr>
          <w:rFonts w:ascii="黑体" w:eastAsia="黑体"/>
        </w:rPr>
        <w:t xml:space="preserve">1 </w:t>
      </w:r>
      <w:r>
        <w:rPr>
          <w:rFonts w:ascii="黑体" w:eastAsia="黑体" w:hint="eastAsia"/>
        </w:rPr>
        <w:t>分，共</w:t>
      </w:r>
      <w:r>
        <w:rPr>
          <w:rFonts w:ascii="黑体" w:eastAsia="黑体"/>
        </w:rPr>
        <w:t xml:space="preserve"> 20</w:t>
      </w:r>
      <w:r>
        <w:rPr>
          <w:rFonts w:ascii="黑体" w:eastAsia="黑体" w:hint="eastAsia"/>
        </w:rPr>
        <w:t>分）</w:t>
      </w:r>
    </w:p>
    <w:p w:rsidR="003717A0" w:rsidRDefault="003717A0">
      <w:pPr>
        <w:spacing w:line="240" w:lineRule="atLeast"/>
        <w:jc w:val="left"/>
        <w:rPr>
          <w:rFonts w:ascii="宋体"/>
        </w:rPr>
      </w:pPr>
      <w:r>
        <w:rPr>
          <w:rFonts w:ascii="宋体" w:hAnsi="宋体"/>
        </w:rPr>
        <w:t xml:space="preserve">1. </w:t>
      </w:r>
      <w:r>
        <w:rPr>
          <w:rFonts w:ascii="宋体" w:hAnsi="宋体" w:hint="eastAsia"/>
        </w:rPr>
        <w:t>机体内环境的稳态是指</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w:t>
      </w:r>
    </w:p>
    <w:p w:rsidR="003717A0" w:rsidRDefault="003717A0">
      <w:pPr>
        <w:spacing w:line="240" w:lineRule="atLeast"/>
        <w:jc w:val="left"/>
        <w:rPr>
          <w:rFonts w:ascii="宋体"/>
        </w:rPr>
      </w:pPr>
      <w:r>
        <w:rPr>
          <w:rFonts w:ascii="宋体" w:hAnsi="宋体"/>
        </w:rPr>
        <w:t xml:space="preserve">   A. </w:t>
      </w:r>
      <w:r>
        <w:rPr>
          <w:rFonts w:ascii="宋体" w:hAnsi="宋体" w:hint="eastAsia"/>
        </w:rPr>
        <w:t>细胞内液理化性质保持不变</w:t>
      </w:r>
    </w:p>
    <w:p w:rsidR="003717A0" w:rsidRDefault="003717A0">
      <w:pPr>
        <w:spacing w:line="240" w:lineRule="atLeast"/>
        <w:jc w:val="left"/>
        <w:rPr>
          <w:rFonts w:ascii="宋体"/>
        </w:rPr>
      </w:pPr>
      <w:r>
        <w:rPr>
          <w:rFonts w:ascii="宋体" w:hAnsi="宋体"/>
        </w:rPr>
        <w:t xml:space="preserve">   B. </w:t>
      </w:r>
      <w:r>
        <w:rPr>
          <w:rFonts w:ascii="宋体" w:hAnsi="宋体" w:hint="eastAsia"/>
        </w:rPr>
        <w:t>细胞外液理化性质保持不变</w:t>
      </w:r>
    </w:p>
    <w:p w:rsidR="003717A0" w:rsidRDefault="003717A0">
      <w:pPr>
        <w:spacing w:line="240" w:lineRule="atLeast"/>
        <w:jc w:val="left"/>
        <w:rPr>
          <w:rFonts w:ascii="宋体"/>
        </w:rPr>
      </w:pPr>
      <w:r>
        <w:rPr>
          <w:rFonts w:ascii="宋体" w:hAnsi="宋体"/>
        </w:rPr>
        <w:t xml:space="preserve">    C. </w:t>
      </w:r>
      <w:r>
        <w:rPr>
          <w:rFonts w:ascii="宋体" w:hAnsi="宋体" w:hint="eastAsia"/>
        </w:rPr>
        <w:t>细胞内液化学成分相对恒定</w:t>
      </w:r>
    </w:p>
    <w:p w:rsidR="003717A0" w:rsidRDefault="003717A0">
      <w:pPr>
        <w:spacing w:line="240" w:lineRule="atLeast"/>
        <w:jc w:val="left"/>
        <w:rPr>
          <w:rFonts w:ascii="宋体"/>
        </w:rPr>
      </w:pPr>
      <w:r>
        <w:rPr>
          <w:rFonts w:ascii="宋体" w:hAnsi="宋体"/>
        </w:rPr>
        <w:t xml:space="preserve">    D. </w:t>
      </w:r>
      <w:r>
        <w:rPr>
          <w:rFonts w:ascii="宋体" w:hAnsi="宋体" w:hint="eastAsia"/>
        </w:rPr>
        <w:t>细胞外液化学成分相对恒定</w:t>
      </w:r>
    </w:p>
    <w:p w:rsidR="003717A0" w:rsidRDefault="003717A0">
      <w:pPr>
        <w:jc w:val="left"/>
        <w:rPr>
          <w:rFonts w:ascii="宋体"/>
        </w:rPr>
      </w:pPr>
      <w:r>
        <w:rPr>
          <w:rFonts w:ascii="宋体" w:hAnsi="宋体"/>
        </w:rPr>
        <w:t xml:space="preserve">    E. </w:t>
      </w:r>
      <w:r>
        <w:rPr>
          <w:rFonts w:ascii="宋体" w:hAnsi="宋体" w:hint="eastAsia"/>
        </w:rPr>
        <w:t>细胞外液理化性质相对恒定</w:t>
      </w:r>
    </w:p>
    <w:p w:rsidR="003717A0" w:rsidRDefault="003717A0">
      <w:pPr>
        <w:jc w:val="left"/>
        <w:rPr>
          <w:rFonts w:ascii="宋体"/>
        </w:rPr>
      </w:pPr>
      <w:r>
        <w:rPr>
          <w:rFonts w:ascii="宋体" w:hAnsi="宋体"/>
        </w:rPr>
        <w:t xml:space="preserve">2. </w:t>
      </w:r>
      <w:r>
        <w:rPr>
          <w:rFonts w:ascii="宋体" w:hAnsi="宋体" w:hint="eastAsia"/>
        </w:rPr>
        <w:t>在一般生理情况下，每分解一分子</w:t>
      </w:r>
      <w:r>
        <w:rPr>
          <w:rFonts w:ascii="宋体" w:hAnsi="宋体"/>
        </w:rPr>
        <w:t>ATP</w:t>
      </w:r>
      <w:r>
        <w:rPr>
          <w:rFonts w:ascii="宋体" w:hAnsi="宋体" w:hint="eastAsia"/>
        </w:rPr>
        <w:t>，钠泵运转可使</w:t>
      </w:r>
      <w:r>
        <w:rPr>
          <w:rFonts w:ascii="宋体" w:hAnsi="宋体"/>
        </w:rPr>
        <w:t xml:space="preserve">                           (    )</w:t>
      </w:r>
    </w:p>
    <w:p w:rsidR="003717A0" w:rsidRDefault="003717A0">
      <w:pPr>
        <w:jc w:val="left"/>
        <w:rPr>
          <w:rFonts w:ascii="宋体"/>
        </w:rPr>
      </w:pPr>
      <w:r>
        <w:rPr>
          <w:rFonts w:ascii="宋体" w:hAnsi="宋体"/>
        </w:rPr>
        <w:t xml:space="preserve">    A. 2</w:t>
      </w:r>
      <w:r>
        <w:rPr>
          <w:rFonts w:ascii="宋体" w:hAnsi="宋体" w:hint="eastAsia"/>
        </w:rPr>
        <w:t>个</w:t>
      </w:r>
      <w:r>
        <w:rPr>
          <w:rFonts w:ascii="宋体" w:hAnsi="宋体"/>
        </w:rPr>
        <w:t>Na</w:t>
      </w:r>
      <w:r>
        <w:rPr>
          <w:rFonts w:ascii="宋体" w:hAnsi="宋体"/>
          <w:vertAlign w:val="superscript"/>
        </w:rPr>
        <w:t>+</w:t>
      </w:r>
      <w:r>
        <w:rPr>
          <w:rFonts w:ascii="宋体" w:hAnsi="宋体"/>
        </w:rPr>
        <w:t xml:space="preserve"> </w:t>
      </w:r>
      <w:r>
        <w:rPr>
          <w:rFonts w:ascii="宋体" w:hAnsi="宋体" w:hint="eastAsia"/>
        </w:rPr>
        <w:t>移出膜外</w:t>
      </w:r>
    </w:p>
    <w:p w:rsidR="003717A0" w:rsidRDefault="003717A0">
      <w:pPr>
        <w:jc w:val="left"/>
        <w:rPr>
          <w:rFonts w:ascii="宋体"/>
        </w:rPr>
      </w:pPr>
      <w:r>
        <w:rPr>
          <w:rFonts w:ascii="宋体" w:hAnsi="宋体"/>
        </w:rPr>
        <w:t xml:space="preserve">    B. 2</w:t>
      </w:r>
      <w:r>
        <w:rPr>
          <w:rFonts w:ascii="宋体" w:hAnsi="宋体" w:hint="eastAsia"/>
        </w:rPr>
        <w:t>个</w:t>
      </w:r>
      <w:r>
        <w:rPr>
          <w:rFonts w:ascii="宋体" w:hAnsi="宋体"/>
        </w:rPr>
        <w:t>K</w:t>
      </w:r>
      <w:r>
        <w:rPr>
          <w:rFonts w:ascii="宋体" w:hAnsi="宋体"/>
          <w:vertAlign w:val="superscript"/>
        </w:rPr>
        <w:t>+</w:t>
      </w:r>
      <w:r>
        <w:rPr>
          <w:rFonts w:ascii="宋体" w:hAnsi="宋体"/>
        </w:rPr>
        <w:t xml:space="preserve"> </w:t>
      </w:r>
      <w:r>
        <w:rPr>
          <w:rFonts w:ascii="宋体" w:hAnsi="宋体" w:hint="eastAsia"/>
        </w:rPr>
        <w:t>移入膜内</w:t>
      </w:r>
    </w:p>
    <w:p w:rsidR="003717A0" w:rsidRDefault="003717A0">
      <w:pPr>
        <w:jc w:val="left"/>
        <w:rPr>
          <w:rFonts w:ascii="宋体"/>
        </w:rPr>
      </w:pPr>
      <w:r>
        <w:rPr>
          <w:rFonts w:ascii="宋体" w:hAnsi="宋体"/>
        </w:rPr>
        <w:t xml:space="preserve">    C. 2</w:t>
      </w:r>
      <w:r>
        <w:rPr>
          <w:rFonts w:ascii="宋体" w:hAnsi="宋体" w:hint="eastAsia"/>
        </w:rPr>
        <w:t>个</w:t>
      </w:r>
      <w:r>
        <w:rPr>
          <w:rFonts w:ascii="宋体" w:hAnsi="宋体"/>
        </w:rPr>
        <w:t>Na</w:t>
      </w:r>
      <w:r>
        <w:rPr>
          <w:rFonts w:ascii="宋体" w:hAnsi="宋体"/>
          <w:vertAlign w:val="superscript"/>
        </w:rPr>
        <w:t>+</w:t>
      </w:r>
      <w:r>
        <w:rPr>
          <w:rFonts w:ascii="宋体" w:hAnsi="宋体"/>
        </w:rPr>
        <w:t xml:space="preserve"> </w:t>
      </w:r>
      <w:r>
        <w:rPr>
          <w:rFonts w:ascii="宋体" w:hAnsi="宋体" w:hint="eastAsia"/>
        </w:rPr>
        <w:t>移出膜外，同时有</w:t>
      </w:r>
      <w:r>
        <w:rPr>
          <w:rFonts w:ascii="宋体" w:hAnsi="宋体"/>
        </w:rPr>
        <w:t>2</w:t>
      </w:r>
      <w:r>
        <w:rPr>
          <w:rFonts w:ascii="宋体" w:hAnsi="宋体" w:hint="eastAsia"/>
        </w:rPr>
        <w:t>个</w:t>
      </w:r>
      <w:r>
        <w:rPr>
          <w:rFonts w:ascii="宋体" w:hAnsi="宋体"/>
        </w:rPr>
        <w:t>K</w:t>
      </w:r>
      <w:r>
        <w:rPr>
          <w:rFonts w:ascii="宋体" w:hAnsi="宋体"/>
          <w:vertAlign w:val="superscript"/>
        </w:rPr>
        <w:t>+</w:t>
      </w:r>
      <w:r>
        <w:rPr>
          <w:rFonts w:ascii="宋体" w:hAnsi="宋体"/>
        </w:rPr>
        <w:t xml:space="preserve"> </w:t>
      </w:r>
      <w:r>
        <w:rPr>
          <w:rFonts w:ascii="宋体" w:hAnsi="宋体" w:hint="eastAsia"/>
        </w:rPr>
        <w:t>移入膜内</w:t>
      </w:r>
    </w:p>
    <w:p w:rsidR="003717A0" w:rsidRDefault="003717A0">
      <w:pPr>
        <w:jc w:val="left"/>
        <w:rPr>
          <w:rFonts w:ascii="宋体"/>
        </w:rPr>
      </w:pPr>
      <w:r>
        <w:rPr>
          <w:rFonts w:ascii="宋体" w:hAnsi="宋体"/>
        </w:rPr>
        <w:t xml:space="preserve">    D. 3</w:t>
      </w:r>
      <w:r>
        <w:rPr>
          <w:rFonts w:ascii="宋体" w:hAnsi="宋体" w:hint="eastAsia"/>
        </w:rPr>
        <w:t>个</w:t>
      </w:r>
      <w:r>
        <w:rPr>
          <w:rFonts w:ascii="宋体" w:hAnsi="宋体"/>
        </w:rPr>
        <w:t>Na</w:t>
      </w:r>
      <w:r>
        <w:rPr>
          <w:rFonts w:ascii="宋体" w:hAnsi="宋体"/>
          <w:vertAlign w:val="superscript"/>
        </w:rPr>
        <w:t xml:space="preserve">+  </w:t>
      </w:r>
      <w:r>
        <w:rPr>
          <w:rFonts w:ascii="宋体" w:hAnsi="宋体" w:hint="eastAsia"/>
        </w:rPr>
        <w:t>移出膜外，同时有</w:t>
      </w:r>
      <w:r>
        <w:rPr>
          <w:rFonts w:ascii="宋体" w:hAnsi="宋体"/>
        </w:rPr>
        <w:t>2</w:t>
      </w:r>
      <w:r>
        <w:rPr>
          <w:rFonts w:ascii="宋体" w:hAnsi="宋体" w:hint="eastAsia"/>
        </w:rPr>
        <w:t>个</w:t>
      </w:r>
      <w:r>
        <w:rPr>
          <w:rFonts w:ascii="宋体" w:hAnsi="宋体"/>
        </w:rPr>
        <w:t>K</w:t>
      </w:r>
      <w:r>
        <w:rPr>
          <w:rFonts w:ascii="宋体" w:hAnsi="宋体"/>
          <w:vertAlign w:val="superscript"/>
        </w:rPr>
        <w:t xml:space="preserve">+ </w:t>
      </w:r>
      <w:r>
        <w:rPr>
          <w:rFonts w:ascii="宋体" w:hAnsi="宋体" w:hint="eastAsia"/>
        </w:rPr>
        <w:t>移入膜内</w:t>
      </w:r>
    </w:p>
    <w:p w:rsidR="003717A0" w:rsidRDefault="003717A0">
      <w:pPr>
        <w:jc w:val="left"/>
        <w:rPr>
          <w:rFonts w:ascii="宋体"/>
        </w:rPr>
      </w:pPr>
      <w:r>
        <w:rPr>
          <w:rFonts w:ascii="宋体" w:hAnsi="宋体"/>
        </w:rPr>
        <w:t xml:space="preserve">    E. 2</w:t>
      </w:r>
      <w:r>
        <w:rPr>
          <w:rFonts w:ascii="宋体" w:hAnsi="宋体" w:hint="eastAsia"/>
        </w:rPr>
        <w:t>个</w:t>
      </w:r>
      <w:r>
        <w:rPr>
          <w:rFonts w:ascii="宋体" w:hAnsi="宋体"/>
        </w:rPr>
        <w:t>Na</w:t>
      </w:r>
      <w:r>
        <w:rPr>
          <w:rFonts w:ascii="宋体" w:hAnsi="宋体"/>
          <w:vertAlign w:val="superscript"/>
        </w:rPr>
        <w:t>+</w:t>
      </w:r>
      <w:r>
        <w:rPr>
          <w:rFonts w:ascii="宋体" w:hAnsi="宋体"/>
        </w:rPr>
        <w:t xml:space="preserve"> </w:t>
      </w:r>
      <w:r>
        <w:rPr>
          <w:rFonts w:ascii="宋体" w:hAnsi="宋体" w:hint="eastAsia"/>
        </w:rPr>
        <w:t>移出膜外，同时有</w:t>
      </w:r>
      <w:r>
        <w:rPr>
          <w:rFonts w:ascii="宋体" w:hAnsi="宋体"/>
        </w:rPr>
        <w:t>3</w:t>
      </w:r>
      <w:r>
        <w:rPr>
          <w:rFonts w:ascii="宋体" w:hAnsi="宋体" w:hint="eastAsia"/>
        </w:rPr>
        <w:t>个</w:t>
      </w:r>
      <w:r>
        <w:rPr>
          <w:rFonts w:ascii="宋体" w:hAnsi="宋体"/>
        </w:rPr>
        <w:t>K</w:t>
      </w:r>
      <w:r>
        <w:rPr>
          <w:rFonts w:ascii="宋体" w:hAnsi="宋体"/>
          <w:vertAlign w:val="superscript"/>
        </w:rPr>
        <w:t>+</w:t>
      </w:r>
      <w:r>
        <w:rPr>
          <w:rFonts w:ascii="宋体" w:hAnsi="宋体"/>
        </w:rPr>
        <w:t xml:space="preserve"> </w:t>
      </w:r>
      <w:r>
        <w:rPr>
          <w:rFonts w:ascii="宋体" w:hAnsi="宋体" w:hint="eastAsia"/>
        </w:rPr>
        <w:t>移入膜内</w:t>
      </w:r>
    </w:p>
    <w:p w:rsidR="003717A0" w:rsidRDefault="003717A0">
      <w:pPr>
        <w:jc w:val="left"/>
        <w:rPr>
          <w:rFonts w:ascii="宋体"/>
        </w:rPr>
      </w:pPr>
      <w:r>
        <w:rPr>
          <w:rFonts w:ascii="宋体" w:hAnsi="宋体"/>
        </w:rPr>
        <w:t xml:space="preserve">3. </w:t>
      </w:r>
      <w:r>
        <w:rPr>
          <w:rFonts w:ascii="宋体" w:hAnsi="宋体" w:hint="eastAsia"/>
        </w:rPr>
        <w:t>血液凝固的主要步骤是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凝血酶原形成→凝血酶形成→纤维蛋白形成</w:t>
      </w:r>
    </w:p>
    <w:p w:rsidR="003717A0" w:rsidRDefault="003717A0">
      <w:pPr>
        <w:jc w:val="left"/>
        <w:rPr>
          <w:rFonts w:ascii="宋体"/>
        </w:rPr>
      </w:pPr>
      <w:r>
        <w:rPr>
          <w:rFonts w:ascii="宋体" w:hAnsi="宋体"/>
        </w:rPr>
        <w:t xml:space="preserve">    B. </w:t>
      </w:r>
      <w:r>
        <w:rPr>
          <w:rFonts w:ascii="宋体" w:hAnsi="宋体" w:hint="eastAsia"/>
        </w:rPr>
        <w:t>凝血酶原形成→凝血酶形成→纤维蛋白原形成</w:t>
      </w:r>
    </w:p>
    <w:p w:rsidR="003717A0" w:rsidRDefault="003717A0">
      <w:pPr>
        <w:jc w:val="left"/>
        <w:rPr>
          <w:rFonts w:ascii="宋体"/>
        </w:rPr>
      </w:pPr>
      <w:r>
        <w:rPr>
          <w:rFonts w:ascii="宋体" w:hAnsi="宋体"/>
        </w:rPr>
        <w:t xml:space="preserve">    C. </w:t>
      </w:r>
      <w:r>
        <w:rPr>
          <w:rFonts w:ascii="宋体" w:hAnsi="宋体" w:hint="eastAsia"/>
        </w:rPr>
        <w:t>凝血酶原激活物形成→凝血酶形成→纤维蛋白形成</w:t>
      </w:r>
    </w:p>
    <w:p w:rsidR="003717A0" w:rsidRDefault="003717A0">
      <w:pPr>
        <w:jc w:val="left"/>
        <w:rPr>
          <w:rFonts w:ascii="宋体"/>
        </w:rPr>
      </w:pPr>
      <w:r>
        <w:rPr>
          <w:rFonts w:ascii="宋体" w:hAnsi="宋体"/>
        </w:rPr>
        <w:t xml:space="preserve">    D. </w:t>
      </w:r>
      <w:r>
        <w:rPr>
          <w:rFonts w:ascii="宋体" w:hAnsi="宋体" w:hint="eastAsia"/>
        </w:rPr>
        <w:t>凝血酶原激活物形成→凝血酶形成→纤维蛋白原形成</w:t>
      </w:r>
    </w:p>
    <w:p w:rsidR="003717A0" w:rsidRDefault="003717A0">
      <w:pPr>
        <w:jc w:val="left"/>
        <w:rPr>
          <w:rFonts w:ascii="宋体"/>
        </w:rPr>
      </w:pPr>
      <w:r>
        <w:rPr>
          <w:rFonts w:ascii="宋体" w:hAnsi="宋体"/>
        </w:rPr>
        <w:t xml:space="preserve">    E. </w:t>
      </w:r>
      <w:r>
        <w:rPr>
          <w:rFonts w:ascii="宋体" w:hAnsi="宋体" w:hint="eastAsia"/>
        </w:rPr>
        <w:t>凝血酶原形成→纤维蛋白原形成→纤维蛋白形成</w:t>
      </w:r>
    </w:p>
    <w:p w:rsidR="003717A0" w:rsidRDefault="003717A0">
      <w:pPr>
        <w:jc w:val="left"/>
        <w:rPr>
          <w:rFonts w:ascii="宋体"/>
        </w:rPr>
      </w:pPr>
      <w:r>
        <w:rPr>
          <w:rFonts w:ascii="宋体" w:hAnsi="宋体"/>
        </w:rPr>
        <w:t xml:space="preserve">4. </w:t>
      </w:r>
      <w:r>
        <w:rPr>
          <w:rFonts w:ascii="宋体" w:hAnsi="宋体" w:hint="eastAsia"/>
        </w:rPr>
        <w:t>构成血浆胶体渗透压的主要成分是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白蛋白</w:t>
      </w:r>
    </w:p>
    <w:p w:rsidR="003717A0" w:rsidRDefault="003717A0">
      <w:pPr>
        <w:jc w:val="left"/>
        <w:rPr>
          <w:rFonts w:ascii="宋体"/>
        </w:rPr>
      </w:pPr>
      <w:r>
        <w:rPr>
          <w:rFonts w:ascii="宋体" w:hAnsi="宋体"/>
        </w:rPr>
        <w:t xml:space="preserve">    B. </w:t>
      </w:r>
      <w:r>
        <w:rPr>
          <w:rFonts w:ascii="宋体" w:hAnsi="宋体" w:hint="eastAsia"/>
        </w:rPr>
        <w:t>球蛋白</w:t>
      </w:r>
    </w:p>
    <w:p w:rsidR="003717A0" w:rsidRDefault="003717A0">
      <w:pPr>
        <w:jc w:val="left"/>
        <w:rPr>
          <w:rFonts w:ascii="宋体"/>
        </w:rPr>
      </w:pPr>
      <w:r>
        <w:rPr>
          <w:rFonts w:ascii="宋体" w:hAnsi="宋体"/>
        </w:rPr>
        <w:t xml:space="preserve">    C. </w:t>
      </w:r>
      <w:r>
        <w:rPr>
          <w:rFonts w:ascii="宋体" w:hAnsi="宋体" w:hint="eastAsia"/>
        </w:rPr>
        <w:t>珠蛋白</w:t>
      </w:r>
    </w:p>
    <w:p w:rsidR="003717A0" w:rsidRDefault="003717A0">
      <w:pPr>
        <w:jc w:val="left"/>
        <w:rPr>
          <w:rFonts w:ascii="宋体"/>
        </w:rPr>
      </w:pPr>
      <w:r>
        <w:rPr>
          <w:rFonts w:ascii="宋体" w:hAnsi="宋体"/>
        </w:rPr>
        <w:t xml:space="preserve">    D. </w:t>
      </w:r>
      <w:r>
        <w:rPr>
          <w:rFonts w:ascii="宋体" w:hAnsi="宋体" w:hint="eastAsia"/>
        </w:rPr>
        <w:t>血红蛋白</w:t>
      </w:r>
    </w:p>
    <w:p w:rsidR="003717A0" w:rsidRDefault="003717A0">
      <w:pPr>
        <w:jc w:val="left"/>
        <w:rPr>
          <w:rFonts w:ascii="宋体"/>
        </w:rPr>
      </w:pPr>
      <w:r>
        <w:rPr>
          <w:rFonts w:ascii="宋体" w:hAnsi="宋体"/>
        </w:rPr>
        <w:t xml:space="preserve">    E. </w:t>
      </w:r>
      <w:r>
        <w:rPr>
          <w:rFonts w:ascii="宋体" w:hAnsi="宋体" w:hint="eastAsia"/>
        </w:rPr>
        <w:t>纤维蛋白原</w:t>
      </w:r>
    </w:p>
    <w:p w:rsidR="003717A0" w:rsidRDefault="003717A0">
      <w:pPr>
        <w:jc w:val="left"/>
        <w:rPr>
          <w:rFonts w:ascii="宋体"/>
        </w:rPr>
      </w:pPr>
      <w:r>
        <w:rPr>
          <w:rFonts w:ascii="宋体" w:hAnsi="宋体"/>
        </w:rPr>
        <w:t xml:space="preserve">5. </w:t>
      </w:r>
      <w:r>
        <w:rPr>
          <w:rFonts w:ascii="宋体" w:hAnsi="宋体" w:hint="eastAsia"/>
        </w:rPr>
        <w:t>容量血管指的是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大动脉</w:t>
      </w:r>
    </w:p>
    <w:p w:rsidR="003717A0" w:rsidRDefault="003717A0">
      <w:pPr>
        <w:jc w:val="left"/>
        <w:rPr>
          <w:rFonts w:ascii="宋体"/>
        </w:rPr>
      </w:pPr>
      <w:r>
        <w:rPr>
          <w:rFonts w:ascii="宋体" w:hAnsi="宋体"/>
        </w:rPr>
        <w:lastRenderedPageBreak/>
        <w:t xml:space="preserve">    B. </w:t>
      </w:r>
      <w:r>
        <w:rPr>
          <w:rFonts w:ascii="宋体" w:hAnsi="宋体" w:hint="eastAsia"/>
        </w:rPr>
        <w:t>微动脉</w:t>
      </w:r>
    </w:p>
    <w:p w:rsidR="003717A0" w:rsidRDefault="003717A0">
      <w:pPr>
        <w:jc w:val="left"/>
        <w:rPr>
          <w:rFonts w:ascii="宋体"/>
        </w:rPr>
      </w:pPr>
      <w:r>
        <w:rPr>
          <w:rFonts w:ascii="宋体" w:hAnsi="宋体"/>
        </w:rPr>
        <w:t xml:space="preserve">    C. </w:t>
      </w:r>
      <w:r>
        <w:rPr>
          <w:rFonts w:ascii="宋体" w:hAnsi="宋体" w:hint="eastAsia"/>
        </w:rPr>
        <w:t>肺动脉</w:t>
      </w:r>
    </w:p>
    <w:p w:rsidR="003717A0" w:rsidRDefault="003717A0">
      <w:pPr>
        <w:jc w:val="left"/>
        <w:rPr>
          <w:rFonts w:ascii="宋体"/>
        </w:rPr>
      </w:pPr>
      <w:r>
        <w:rPr>
          <w:rFonts w:ascii="宋体" w:hAnsi="宋体"/>
        </w:rPr>
        <w:t xml:space="preserve">    D. </w:t>
      </w:r>
      <w:r>
        <w:rPr>
          <w:rFonts w:ascii="宋体" w:hAnsi="宋体" w:hint="eastAsia"/>
        </w:rPr>
        <w:t>微静脉</w:t>
      </w:r>
    </w:p>
    <w:p w:rsidR="003717A0" w:rsidRDefault="003717A0">
      <w:pPr>
        <w:jc w:val="left"/>
        <w:rPr>
          <w:rFonts w:ascii="宋体"/>
        </w:rPr>
      </w:pPr>
      <w:r>
        <w:rPr>
          <w:rFonts w:ascii="宋体" w:hAnsi="宋体"/>
        </w:rPr>
        <w:t xml:space="preserve">    E. </w:t>
      </w:r>
      <w:r>
        <w:rPr>
          <w:rFonts w:ascii="宋体" w:hAnsi="宋体" w:hint="eastAsia"/>
        </w:rPr>
        <w:t>静脉</w:t>
      </w:r>
    </w:p>
    <w:p w:rsidR="003717A0" w:rsidRDefault="003717A0">
      <w:pPr>
        <w:jc w:val="left"/>
        <w:rPr>
          <w:rFonts w:ascii="宋体"/>
        </w:rPr>
      </w:pPr>
      <w:r>
        <w:rPr>
          <w:rFonts w:ascii="宋体" w:hAnsi="宋体"/>
        </w:rPr>
        <w:t xml:space="preserve">6. </w:t>
      </w:r>
      <w:r>
        <w:rPr>
          <w:rFonts w:ascii="宋体" w:hAnsi="宋体" w:hint="eastAsia"/>
        </w:rPr>
        <w:t>心动周期中</w:t>
      </w:r>
      <w:r>
        <w:rPr>
          <w:rFonts w:ascii="宋体"/>
        </w:rPr>
        <w:t>,</w:t>
      </w:r>
      <w:r>
        <w:rPr>
          <w:rFonts w:ascii="宋体" w:hAnsi="宋体" w:hint="eastAsia"/>
        </w:rPr>
        <w:t>在下列哪个时期左心室容积最大</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心房收缩期末</w:t>
      </w:r>
    </w:p>
    <w:p w:rsidR="003717A0" w:rsidRDefault="003717A0">
      <w:pPr>
        <w:jc w:val="left"/>
        <w:rPr>
          <w:rFonts w:ascii="宋体"/>
        </w:rPr>
      </w:pPr>
      <w:r>
        <w:rPr>
          <w:rFonts w:ascii="宋体" w:hAnsi="宋体"/>
        </w:rPr>
        <w:t xml:space="preserve">    B. </w:t>
      </w:r>
      <w:r>
        <w:rPr>
          <w:rFonts w:ascii="宋体" w:hAnsi="宋体" w:hint="eastAsia"/>
        </w:rPr>
        <w:t>快速射血期末</w:t>
      </w:r>
    </w:p>
    <w:p w:rsidR="003717A0" w:rsidRDefault="003717A0">
      <w:pPr>
        <w:jc w:val="left"/>
        <w:rPr>
          <w:rFonts w:ascii="宋体"/>
        </w:rPr>
      </w:pPr>
      <w:r>
        <w:rPr>
          <w:rFonts w:ascii="宋体" w:hAnsi="宋体"/>
        </w:rPr>
        <w:t xml:space="preserve">    C. </w:t>
      </w:r>
      <w:r>
        <w:rPr>
          <w:rFonts w:ascii="宋体" w:hAnsi="宋体" w:hint="eastAsia"/>
        </w:rPr>
        <w:t>等容舒张期末</w:t>
      </w:r>
    </w:p>
    <w:p w:rsidR="003717A0" w:rsidRDefault="003717A0">
      <w:pPr>
        <w:jc w:val="left"/>
        <w:rPr>
          <w:rFonts w:ascii="宋体"/>
        </w:rPr>
      </w:pPr>
      <w:r>
        <w:rPr>
          <w:rFonts w:ascii="宋体" w:hAnsi="宋体"/>
        </w:rPr>
        <w:t xml:space="preserve">    D. </w:t>
      </w:r>
      <w:r>
        <w:rPr>
          <w:rFonts w:ascii="宋体" w:hAnsi="宋体" w:hint="eastAsia"/>
        </w:rPr>
        <w:t>快速充盈期末</w:t>
      </w:r>
    </w:p>
    <w:p w:rsidR="003717A0" w:rsidRDefault="003717A0">
      <w:pPr>
        <w:jc w:val="left"/>
        <w:rPr>
          <w:rFonts w:ascii="宋体"/>
        </w:rPr>
      </w:pPr>
      <w:r>
        <w:rPr>
          <w:rFonts w:ascii="宋体" w:hAnsi="宋体"/>
        </w:rPr>
        <w:t xml:space="preserve">    E. </w:t>
      </w:r>
      <w:r>
        <w:rPr>
          <w:rFonts w:ascii="宋体" w:hAnsi="宋体" w:hint="eastAsia"/>
        </w:rPr>
        <w:t>减慢充盈期末</w:t>
      </w:r>
    </w:p>
    <w:p w:rsidR="003717A0" w:rsidRDefault="003717A0">
      <w:pPr>
        <w:jc w:val="left"/>
        <w:rPr>
          <w:rFonts w:ascii="宋体"/>
        </w:rPr>
      </w:pPr>
      <w:r>
        <w:rPr>
          <w:rFonts w:ascii="宋体" w:hAnsi="宋体"/>
        </w:rPr>
        <w:t xml:space="preserve">7. </w:t>
      </w:r>
      <w:r>
        <w:rPr>
          <w:rFonts w:ascii="宋体" w:hAnsi="宋体" w:hint="eastAsia"/>
        </w:rPr>
        <w:t>肺通气的直接动力来自</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呼吸肌的舒缩</w:t>
      </w:r>
    </w:p>
    <w:p w:rsidR="003717A0" w:rsidRDefault="003717A0">
      <w:pPr>
        <w:jc w:val="left"/>
        <w:rPr>
          <w:rFonts w:ascii="宋体"/>
        </w:rPr>
      </w:pPr>
      <w:r>
        <w:rPr>
          <w:rFonts w:ascii="宋体" w:hAnsi="宋体"/>
        </w:rPr>
        <w:t xml:space="preserve">    B. </w:t>
      </w:r>
      <w:r>
        <w:rPr>
          <w:rFonts w:ascii="宋体" w:hAnsi="宋体" w:hint="eastAsia"/>
        </w:rPr>
        <w:t>肺舒缩运动</w:t>
      </w:r>
    </w:p>
    <w:p w:rsidR="003717A0" w:rsidRDefault="003717A0">
      <w:pPr>
        <w:jc w:val="left"/>
        <w:rPr>
          <w:rFonts w:ascii="宋体"/>
        </w:rPr>
      </w:pPr>
      <w:r>
        <w:rPr>
          <w:rFonts w:ascii="宋体" w:hAnsi="宋体"/>
        </w:rPr>
        <w:t xml:space="preserve">    C. </w:t>
      </w:r>
      <w:r>
        <w:rPr>
          <w:rFonts w:ascii="宋体" w:hAnsi="宋体" w:hint="eastAsia"/>
        </w:rPr>
        <w:t>肺内压与大气压之差</w:t>
      </w:r>
    </w:p>
    <w:p w:rsidR="003717A0" w:rsidRDefault="003717A0">
      <w:pPr>
        <w:jc w:val="left"/>
        <w:rPr>
          <w:rFonts w:ascii="宋体"/>
        </w:rPr>
      </w:pPr>
      <w:r>
        <w:rPr>
          <w:rFonts w:ascii="宋体" w:hAnsi="宋体"/>
        </w:rPr>
        <w:t xml:space="preserve">    D. </w:t>
      </w:r>
      <w:r>
        <w:rPr>
          <w:rFonts w:ascii="宋体" w:hAnsi="宋体" w:hint="eastAsia"/>
        </w:rPr>
        <w:t>胸廓的舒缩</w:t>
      </w:r>
    </w:p>
    <w:p w:rsidR="003717A0" w:rsidRDefault="003717A0">
      <w:pPr>
        <w:jc w:val="left"/>
        <w:rPr>
          <w:rFonts w:ascii="宋体"/>
        </w:rPr>
      </w:pPr>
      <w:r>
        <w:rPr>
          <w:rFonts w:ascii="宋体" w:hAnsi="宋体"/>
        </w:rPr>
        <w:t xml:space="preserve">    E. </w:t>
      </w:r>
      <w:r>
        <w:rPr>
          <w:rFonts w:ascii="宋体" w:hAnsi="宋体" w:hint="eastAsia"/>
        </w:rPr>
        <w:t>肺内压和胸内压之差</w:t>
      </w:r>
    </w:p>
    <w:p w:rsidR="003717A0" w:rsidRDefault="003717A0">
      <w:pPr>
        <w:jc w:val="left"/>
        <w:rPr>
          <w:rFonts w:ascii="宋体"/>
        </w:rPr>
      </w:pPr>
      <w:r>
        <w:rPr>
          <w:rFonts w:ascii="宋体" w:hAnsi="宋体"/>
        </w:rPr>
        <w:t xml:space="preserve">8. </w:t>
      </w:r>
      <w:r>
        <w:rPr>
          <w:rFonts w:ascii="宋体" w:hAnsi="宋体" w:hint="eastAsia"/>
        </w:rPr>
        <w:t>关于肺泡表面活性物质的叙述，错误的是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由肺泡Ⅱ型细胞分泌</w:t>
      </w:r>
    </w:p>
    <w:p w:rsidR="003717A0" w:rsidRDefault="003717A0">
      <w:pPr>
        <w:jc w:val="left"/>
        <w:rPr>
          <w:rFonts w:ascii="宋体"/>
        </w:rPr>
      </w:pPr>
      <w:r>
        <w:rPr>
          <w:rFonts w:ascii="宋体" w:hAnsi="宋体"/>
        </w:rPr>
        <w:t xml:space="preserve">    B. </w:t>
      </w:r>
      <w:r>
        <w:rPr>
          <w:rFonts w:ascii="宋体" w:hAnsi="宋体" w:hint="eastAsia"/>
        </w:rPr>
        <w:t>主要成分是二棕榈酰卵磷脂</w:t>
      </w:r>
    </w:p>
    <w:p w:rsidR="003717A0" w:rsidRDefault="003717A0">
      <w:pPr>
        <w:jc w:val="left"/>
        <w:rPr>
          <w:rFonts w:ascii="宋体"/>
        </w:rPr>
      </w:pPr>
      <w:r>
        <w:rPr>
          <w:rFonts w:ascii="宋体" w:hAnsi="宋体"/>
        </w:rPr>
        <w:t xml:space="preserve">    C. </w:t>
      </w:r>
      <w:r>
        <w:rPr>
          <w:rFonts w:ascii="宋体" w:hAnsi="宋体" w:hint="eastAsia"/>
        </w:rPr>
        <w:t>具有降低肺泡表面张力的作用</w:t>
      </w:r>
    </w:p>
    <w:p w:rsidR="003717A0" w:rsidRDefault="003717A0">
      <w:pPr>
        <w:jc w:val="left"/>
        <w:rPr>
          <w:rFonts w:ascii="宋体"/>
        </w:rPr>
      </w:pPr>
      <w:r>
        <w:rPr>
          <w:rFonts w:ascii="宋体" w:hAnsi="宋体"/>
        </w:rPr>
        <w:t xml:space="preserve">    D. </w:t>
      </w:r>
      <w:r>
        <w:rPr>
          <w:rFonts w:ascii="宋体" w:hAnsi="宋体" w:hint="eastAsia"/>
        </w:rPr>
        <w:t>能增加肺的回缩力</w:t>
      </w:r>
    </w:p>
    <w:p w:rsidR="003717A0" w:rsidRDefault="003717A0">
      <w:pPr>
        <w:jc w:val="left"/>
        <w:rPr>
          <w:rFonts w:ascii="宋体"/>
        </w:rPr>
      </w:pPr>
      <w:r>
        <w:rPr>
          <w:rFonts w:ascii="宋体" w:hAnsi="宋体"/>
        </w:rPr>
        <w:t xml:space="preserve">    E. </w:t>
      </w:r>
      <w:r>
        <w:rPr>
          <w:rFonts w:ascii="宋体" w:hAnsi="宋体" w:hint="eastAsia"/>
        </w:rPr>
        <w:t>防止液体渗入肺泡</w:t>
      </w:r>
    </w:p>
    <w:p w:rsidR="003717A0" w:rsidRDefault="003717A0">
      <w:pPr>
        <w:jc w:val="left"/>
        <w:rPr>
          <w:rFonts w:ascii="宋体"/>
        </w:rPr>
      </w:pPr>
      <w:r>
        <w:rPr>
          <w:rFonts w:ascii="宋体" w:hAnsi="宋体"/>
        </w:rPr>
        <w:t xml:space="preserve">9. </w:t>
      </w:r>
      <w:r>
        <w:rPr>
          <w:rFonts w:ascii="宋体" w:hAnsi="宋体" w:hint="eastAsia"/>
        </w:rPr>
        <w:t>胃酸的生理作用不包括哪一项？</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杀死进入胃内的细菌</w:t>
      </w:r>
    </w:p>
    <w:p w:rsidR="003717A0" w:rsidRDefault="003717A0">
      <w:pPr>
        <w:jc w:val="left"/>
        <w:rPr>
          <w:rFonts w:ascii="宋体"/>
        </w:rPr>
      </w:pPr>
      <w:r>
        <w:rPr>
          <w:rFonts w:ascii="宋体" w:hAnsi="宋体"/>
        </w:rPr>
        <w:t xml:space="preserve">    B. </w:t>
      </w:r>
      <w:r>
        <w:rPr>
          <w:rFonts w:ascii="宋体" w:hAnsi="宋体" w:hint="eastAsia"/>
        </w:rPr>
        <w:t>促进维生素</w:t>
      </w:r>
      <w:r>
        <w:rPr>
          <w:rFonts w:ascii="宋体" w:hAnsi="宋体"/>
        </w:rPr>
        <w:t>B</w:t>
      </w:r>
      <w:r>
        <w:rPr>
          <w:rFonts w:ascii="宋体" w:hAnsi="宋体"/>
          <w:vertAlign w:val="subscript"/>
        </w:rPr>
        <w:t>12</w:t>
      </w:r>
      <w:r>
        <w:rPr>
          <w:rFonts w:ascii="宋体" w:hAnsi="宋体" w:hint="eastAsia"/>
        </w:rPr>
        <w:t>的吸收</w:t>
      </w:r>
    </w:p>
    <w:p w:rsidR="003717A0" w:rsidRDefault="003717A0">
      <w:pPr>
        <w:jc w:val="left"/>
        <w:rPr>
          <w:rFonts w:ascii="宋体"/>
        </w:rPr>
      </w:pPr>
      <w:r>
        <w:rPr>
          <w:rFonts w:ascii="宋体" w:hAnsi="宋体"/>
        </w:rPr>
        <w:t xml:space="preserve">    C. </w:t>
      </w:r>
      <w:r>
        <w:rPr>
          <w:rFonts w:ascii="宋体" w:hAnsi="宋体" w:hint="eastAsia"/>
        </w:rPr>
        <w:t>激活胃蛋白酶原</w:t>
      </w:r>
    </w:p>
    <w:p w:rsidR="003717A0" w:rsidRDefault="003717A0">
      <w:pPr>
        <w:jc w:val="left"/>
        <w:rPr>
          <w:rFonts w:ascii="宋体"/>
        </w:rPr>
      </w:pPr>
      <w:r>
        <w:rPr>
          <w:rFonts w:ascii="宋体" w:hAnsi="宋体"/>
        </w:rPr>
        <w:t xml:space="preserve">    D. </w:t>
      </w:r>
      <w:r>
        <w:rPr>
          <w:rFonts w:ascii="宋体" w:hAnsi="宋体" w:hint="eastAsia"/>
        </w:rPr>
        <w:t>促进胰液和胆汁的分泌</w:t>
      </w:r>
    </w:p>
    <w:p w:rsidR="003717A0" w:rsidRDefault="003717A0">
      <w:pPr>
        <w:jc w:val="left"/>
        <w:rPr>
          <w:rFonts w:ascii="宋体"/>
        </w:rPr>
      </w:pPr>
      <w:r>
        <w:rPr>
          <w:rFonts w:ascii="宋体" w:hAnsi="宋体"/>
        </w:rPr>
        <w:t xml:space="preserve">    E. </w:t>
      </w:r>
      <w:r>
        <w:rPr>
          <w:rFonts w:ascii="宋体" w:hAnsi="宋体" w:hint="eastAsia"/>
        </w:rPr>
        <w:t>促进钙和铁的吸收</w:t>
      </w:r>
    </w:p>
    <w:p w:rsidR="003717A0" w:rsidRDefault="003717A0">
      <w:pPr>
        <w:jc w:val="left"/>
        <w:rPr>
          <w:rFonts w:ascii="宋体"/>
        </w:rPr>
      </w:pPr>
      <w:r>
        <w:rPr>
          <w:rFonts w:ascii="宋体" w:hAnsi="宋体"/>
        </w:rPr>
        <w:t xml:space="preserve">10. </w:t>
      </w:r>
      <w:r>
        <w:rPr>
          <w:rFonts w:ascii="宋体" w:hAnsi="宋体" w:hint="eastAsia"/>
        </w:rPr>
        <w:t>消化力最强的消化液是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唾液</w:t>
      </w:r>
    </w:p>
    <w:p w:rsidR="003717A0" w:rsidRDefault="003717A0">
      <w:pPr>
        <w:jc w:val="left"/>
        <w:rPr>
          <w:rFonts w:ascii="宋体"/>
        </w:rPr>
      </w:pPr>
      <w:r>
        <w:rPr>
          <w:rFonts w:ascii="宋体" w:hAnsi="宋体"/>
        </w:rPr>
        <w:t xml:space="preserve">    B. </w:t>
      </w:r>
      <w:r>
        <w:rPr>
          <w:rFonts w:ascii="宋体" w:hAnsi="宋体" w:hint="eastAsia"/>
        </w:rPr>
        <w:t>小肠液</w:t>
      </w:r>
    </w:p>
    <w:p w:rsidR="003717A0" w:rsidRDefault="003717A0">
      <w:pPr>
        <w:jc w:val="left"/>
        <w:rPr>
          <w:rFonts w:ascii="宋体"/>
        </w:rPr>
      </w:pPr>
      <w:r>
        <w:rPr>
          <w:rFonts w:ascii="宋体" w:hAnsi="宋体"/>
        </w:rPr>
        <w:t xml:space="preserve">    C. </w:t>
      </w:r>
      <w:r>
        <w:rPr>
          <w:rFonts w:ascii="宋体" w:hAnsi="宋体" w:hint="eastAsia"/>
        </w:rPr>
        <w:t>胆汁</w:t>
      </w:r>
    </w:p>
    <w:p w:rsidR="003717A0" w:rsidRDefault="003717A0">
      <w:pPr>
        <w:jc w:val="left"/>
        <w:rPr>
          <w:rFonts w:ascii="宋体"/>
        </w:rPr>
      </w:pPr>
      <w:r>
        <w:rPr>
          <w:rFonts w:ascii="宋体" w:hAnsi="宋体"/>
        </w:rPr>
        <w:t xml:space="preserve">    D. </w:t>
      </w:r>
      <w:r>
        <w:rPr>
          <w:rFonts w:ascii="宋体" w:hAnsi="宋体" w:hint="eastAsia"/>
        </w:rPr>
        <w:t>胃液</w:t>
      </w:r>
    </w:p>
    <w:p w:rsidR="003717A0" w:rsidRDefault="003717A0">
      <w:pPr>
        <w:jc w:val="left"/>
        <w:rPr>
          <w:rFonts w:ascii="宋体"/>
        </w:rPr>
      </w:pPr>
      <w:r>
        <w:rPr>
          <w:rFonts w:ascii="宋体" w:hAnsi="宋体"/>
        </w:rPr>
        <w:t xml:space="preserve">    E. </w:t>
      </w:r>
      <w:r>
        <w:rPr>
          <w:rFonts w:ascii="宋体" w:hAnsi="宋体" w:hint="eastAsia"/>
        </w:rPr>
        <w:t>胰液</w:t>
      </w:r>
    </w:p>
    <w:p w:rsidR="003717A0" w:rsidRDefault="003717A0">
      <w:pPr>
        <w:jc w:val="left"/>
        <w:rPr>
          <w:rFonts w:ascii="宋体"/>
        </w:rPr>
      </w:pPr>
      <w:r>
        <w:rPr>
          <w:rFonts w:ascii="宋体" w:hAnsi="宋体"/>
        </w:rPr>
        <w:t xml:space="preserve">11. </w:t>
      </w:r>
      <w:r>
        <w:rPr>
          <w:rFonts w:ascii="宋体" w:hAnsi="宋体" w:hint="eastAsia"/>
        </w:rPr>
        <w:t>生理学所说的体温是指</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机体表层的平均温度</w:t>
      </w:r>
    </w:p>
    <w:p w:rsidR="003717A0" w:rsidRDefault="003717A0">
      <w:pPr>
        <w:jc w:val="left"/>
        <w:rPr>
          <w:rFonts w:ascii="宋体"/>
        </w:rPr>
      </w:pPr>
      <w:r>
        <w:rPr>
          <w:rFonts w:ascii="宋体" w:hAnsi="宋体"/>
        </w:rPr>
        <w:t xml:space="preserve">    B. </w:t>
      </w:r>
      <w:r>
        <w:rPr>
          <w:rFonts w:ascii="宋体" w:hAnsi="宋体" w:hint="eastAsia"/>
        </w:rPr>
        <w:t>机体深层的平均温度</w:t>
      </w:r>
    </w:p>
    <w:p w:rsidR="003717A0" w:rsidRDefault="003717A0">
      <w:pPr>
        <w:jc w:val="left"/>
        <w:rPr>
          <w:rFonts w:ascii="宋体"/>
        </w:rPr>
      </w:pPr>
      <w:r>
        <w:rPr>
          <w:rFonts w:ascii="宋体" w:hAnsi="宋体"/>
        </w:rPr>
        <w:t xml:space="preserve">    C. </w:t>
      </w:r>
      <w:r>
        <w:rPr>
          <w:rFonts w:ascii="宋体" w:hAnsi="宋体" w:hint="eastAsia"/>
        </w:rPr>
        <w:t>口腔温度</w:t>
      </w:r>
    </w:p>
    <w:p w:rsidR="003717A0" w:rsidRDefault="003717A0">
      <w:pPr>
        <w:jc w:val="left"/>
        <w:rPr>
          <w:rFonts w:ascii="宋体"/>
        </w:rPr>
      </w:pPr>
      <w:r>
        <w:rPr>
          <w:rFonts w:ascii="宋体" w:hAnsi="宋体"/>
        </w:rPr>
        <w:t xml:space="preserve">    D. </w:t>
      </w:r>
      <w:r>
        <w:rPr>
          <w:rFonts w:ascii="宋体" w:hAnsi="宋体" w:hint="eastAsia"/>
        </w:rPr>
        <w:t>腋下温度</w:t>
      </w:r>
    </w:p>
    <w:p w:rsidR="003717A0" w:rsidRDefault="003717A0">
      <w:pPr>
        <w:jc w:val="left"/>
        <w:rPr>
          <w:rFonts w:ascii="宋体"/>
        </w:rPr>
      </w:pPr>
      <w:r>
        <w:rPr>
          <w:rFonts w:ascii="宋体" w:hAnsi="宋体"/>
        </w:rPr>
        <w:t xml:space="preserve">    E. </w:t>
      </w:r>
      <w:r>
        <w:rPr>
          <w:rFonts w:ascii="宋体" w:hAnsi="宋体" w:hint="eastAsia"/>
        </w:rPr>
        <w:t>直肠温度</w:t>
      </w:r>
    </w:p>
    <w:p w:rsidR="003717A0" w:rsidRDefault="003717A0">
      <w:pPr>
        <w:jc w:val="left"/>
        <w:rPr>
          <w:rFonts w:ascii="宋体"/>
        </w:rPr>
      </w:pPr>
      <w:r>
        <w:rPr>
          <w:rFonts w:ascii="宋体" w:hAnsi="宋体"/>
        </w:rPr>
        <w:t xml:space="preserve">12. </w:t>
      </w:r>
      <w:r>
        <w:rPr>
          <w:rFonts w:ascii="宋体" w:hAnsi="宋体" w:hint="eastAsia"/>
        </w:rPr>
        <w:t>下列因素，对能量代谢影响最为显著的是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寒冷</w:t>
      </w:r>
    </w:p>
    <w:p w:rsidR="003717A0" w:rsidRDefault="003717A0">
      <w:pPr>
        <w:jc w:val="left"/>
        <w:rPr>
          <w:rFonts w:ascii="宋体"/>
        </w:rPr>
      </w:pPr>
      <w:r>
        <w:rPr>
          <w:rFonts w:ascii="宋体" w:hAnsi="宋体"/>
        </w:rPr>
        <w:t xml:space="preserve">    B. </w:t>
      </w:r>
      <w:r>
        <w:rPr>
          <w:rFonts w:ascii="宋体" w:hAnsi="宋体" w:hint="eastAsia"/>
        </w:rPr>
        <w:t>精神活动</w:t>
      </w:r>
    </w:p>
    <w:p w:rsidR="003717A0" w:rsidRDefault="003717A0">
      <w:pPr>
        <w:jc w:val="left"/>
        <w:rPr>
          <w:rFonts w:ascii="宋体"/>
        </w:rPr>
      </w:pPr>
      <w:r>
        <w:rPr>
          <w:rFonts w:ascii="宋体" w:hAnsi="宋体"/>
        </w:rPr>
        <w:t xml:space="preserve">    C. </w:t>
      </w:r>
      <w:r>
        <w:rPr>
          <w:rFonts w:ascii="宋体" w:hAnsi="宋体" w:hint="eastAsia"/>
        </w:rPr>
        <w:t>肌肉活动</w:t>
      </w:r>
    </w:p>
    <w:p w:rsidR="003717A0" w:rsidRDefault="003717A0">
      <w:pPr>
        <w:jc w:val="left"/>
        <w:rPr>
          <w:rFonts w:ascii="宋体"/>
        </w:rPr>
      </w:pPr>
      <w:r>
        <w:rPr>
          <w:rFonts w:ascii="宋体" w:hAnsi="宋体"/>
        </w:rPr>
        <w:lastRenderedPageBreak/>
        <w:t xml:space="preserve">    D. </w:t>
      </w:r>
      <w:r>
        <w:rPr>
          <w:rFonts w:ascii="宋体" w:hAnsi="宋体" w:hint="eastAsia"/>
        </w:rPr>
        <w:t>进食</w:t>
      </w:r>
    </w:p>
    <w:p w:rsidR="003717A0" w:rsidRDefault="003717A0">
      <w:pPr>
        <w:jc w:val="left"/>
        <w:rPr>
          <w:rFonts w:ascii="宋体"/>
        </w:rPr>
      </w:pPr>
      <w:r>
        <w:rPr>
          <w:rFonts w:ascii="宋体" w:hAnsi="宋体"/>
        </w:rPr>
        <w:t xml:space="preserve">    E. </w:t>
      </w:r>
      <w:r>
        <w:rPr>
          <w:rFonts w:ascii="宋体" w:hAnsi="宋体" w:hint="eastAsia"/>
        </w:rPr>
        <w:t>高温</w:t>
      </w:r>
    </w:p>
    <w:p w:rsidR="003717A0" w:rsidRDefault="003717A0">
      <w:pPr>
        <w:jc w:val="left"/>
        <w:rPr>
          <w:rFonts w:ascii="宋体"/>
        </w:rPr>
      </w:pPr>
      <w:r>
        <w:rPr>
          <w:sz w:val="22"/>
        </w:rPr>
        <w:t>13.</w:t>
      </w:r>
      <w:r>
        <w:rPr>
          <w:rFonts w:ascii="宋体" w:hAnsi="宋体"/>
        </w:rPr>
        <w:t xml:space="preserve"> </w:t>
      </w:r>
      <w:r>
        <w:rPr>
          <w:rFonts w:ascii="宋体" w:hAnsi="宋体" w:hint="eastAsia"/>
        </w:rPr>
        <w:t>下列哪个不属于机体的排泄</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由肺排出水和二氧化碳</w:t>
      </w:r>
    </w:p>
    <w:p w:rsidR="003717A0" w:rsidRDefault="003717A0">
      <w:pPr>
        <w:jc w:val="left"/>
        <w:rPr>
          <w:rFonts w:ascii="宋体"/>
        </w:rPr>
      </w:pPr>
      <w:r>
        <w:rPr>
          <w:rFonts w:ascii="宋体" w:hAnsi="宋体"/>
        </w:rPr>
        <w:t xml:space="preserve">    B. </w:t>
      </w:r>
      <w:r>
        <w:rPr>
          <w:rFonts w:ascii="宋体" w:hAnsi="宋体" w:hint="eastAsia"/>
        </w:rPr>
        <w:t>由消化道排出的胆色素</w:t>
      </w:r>
    </w:p>
    <w:p w:rsidR="003717A0" w:rsidRDefault="003717A0">
      <w:pPr>
        <w:jc w:val="left"/>
        <w:rPr>
          <w:rFonts w:ascii="宋体"/>
        </w:rPr>
      </w:pPr>
      <w:r>
        <w:rPr>
          <w:rFonts w:ascii="宋体" w:hAnsi="宋体"/>
        </w:rPr>
        <w:t xml:space="preserve">    C. </w:t>
      </w:r>
      <w:r>
        <w:rPr>
          <w:rFonts w:ascii="宋体" w:hAnsi="宋体" w:hint="eastAsia"/>
        </w:rPr>
        <w:t>由皮肤排出的汗液</w:t>
      </w:r>
    </w:p>
    <w:p w:rsidR="003717A0" w:rsidRDefault="003717A0">
      <w:pPr>
        <w:jc w:val="left"/>
        <w:rPr>
          <w:rFonts w:ascii="宋体"/>
        </w:rPr>
      </w:pPr>
      <w:r>
        <w:rPr>
          <w:rFonts w:ascii="宋体" w:hAnsi="宋体"/>
        </w:rPr>
        <w:t xml:space="preserve">    D. </w:t>
      </w:r>
      <w:r>
        <w:rPr>
          <w:rFonts w:ascii="宋体" w:hAnsi="宋体" w:hint="eastAsia"/>
        </w:rPr>
        <w:t>由肾脏排出的尿</w:t>
      </w:r>
    </w:p>
    <w:p w:rsidR="003717A0" w:rsidRDefault="003717A0">
      <w:pPr>
        <w:jc w:val="left"/>
        <w:rPr>
          <w:rFonts w:ascii="宋体"/>
        </w:rPr>
      </w:pPr>
      <w:r>
        <w:rPr>
          <w:rFonts w:ascii="宋体" w:hAnsi="宋体"/>
        </w:rPr>
        <w:t xml:space="preserve">    E. </w:t>
      </w:r>
      <w:r>
        <w:rPr>
          <w:rFonts w:ascii="宋体" w:hAnsi="宋体" w:hint="eastAsia"/>
        </w:rPr>
        <w:t>由大肠排出的食物残渣</w:t>
      </w:r>
    </w:p>
    <w:p w:rsidR="003717A0" w:rsidRDefault="003717A0">
      <w:pPr>
        <w:jc w:val="left"/>
        <w:rPr>
          <w:rFonts w:ascii="宋体"/>
        </w:rPr>
      </w:pPr>
      <w:r>
        <w:rPr>
          <w:rFonts w:ascii="宋体" w:hAnsi="宋体"/>
        </w:rPr>
        <w:t xml:space="preserve">14. </w:t>
      </w:r>
      <w:r>
        <w:rPr>
          <w:rFonts w:ascii="宋体" w:hAnsi="宋体" w:hint="eastAsia"/>
        </w:rPr>
        <w:t>在肾脏病理情况下，出现蛋白尿的原因是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血浆蛋白含量增多</w:t>
      </w:r>
    </w:p>
    <w:p w:rsidR="003717A0" w:rsidRDefault="003717A0">
      <w:pPr>
        <w:jc w:val="left"/>
        <w:rPr>
          <w:rFonts w:ascii="宋体"/>
        </w:rPr>
      </w:pPr>
      <w:r>
        <w:rPr>
          <w:rFonts w:ascii="宋体" w:hAnsi="宋体"/>
        </w:rPr>
        <w:t xml:space="preserve">    B. </w:t>
      </w:r>
      <w:r>
        <w:rPr>
          <w:rFonts w:ascii="宋体" w:hAnsi="宋体" w:hint="eastAsia"/>
        </w:rPr>
        <w:t>肾小球毛细血管压升高</w:t>
      </w:r>
    </w:p>
    <w:p w:rsidR="003717A0" w:rsidRDefault="003717A0">
      <w:pPr>
        <w:jc w:val="left"/>
        <w:rPr>
          <w:rFonts w:ascii="宋体"/>
        </w:rPr>
      </w:pPr>
      <w:r>
        <w:rPr>
          <w:rFonts w:ascii="宋体" w:hAnsi="宋体"/>
        </w:rPr>
        <w:t xml:space="preserve">    C. </w:t>
      </w:r>
      <w:r>
        <w:rPr>
          <w:rFonts w:ascii="宋体" w:hAnsi="宋体" w:hint="eastAsia"/>
        </w:rPr>
        <w:t>肾小球滤过率增加</w:t>
      </w:r>
    </w:p>
    <w:p w:rsidR="003717A0" w:rsidRDefault="003717A0">
      <w:pPr>
        <w:jc w:val="left"/>
        <w:rPr>
          <w:rFonts w:ascii="宋体"/>
        </w:rPr>
      </w:pPr>
      <w:r>
        <w:rPr>
          <w:rFonts w:ascii="宋体" w:hAnsi="宋体"/>
        </w:rPr>
        <w:t xml:space="preserve">    D. </w:t>
      </w:r>
      <w:r>
        <w:rPr>
          <w:rFonts w:ascii="宋体" w:hAnsi="宋体" w:hint="eastAsia"/>
        </w:rPr>
        <w:t>肾小球对蛋白质重吸收减少</w:t>
      </w:r>
    </w:p>
    <w:p w:rsidR="003717A0" w:rsidRDefault="003717A0">
      <w:pPr>
        <w:jc w:val="left"/>
        <w:rPr>
          <w:rFonts w:ascii="宋体"/>
        </w:rPr>
      </w:pPr>
      <w:r>
        <w:rPr>
          <w:rFonts w:ascii="宋体" w:hAnsi="宋体"/>
        </w:rPr>
        <w:t xml:space="preserve">    E. </w:t>
      </w:r>
      <w:r>
        <w:rPr>
          <w:rFonts w:ascii="宋体" w:hAnsi="宋体" w:hint="eastAsia"/>
        </w:rPr>
        <w:t>滤过膜上带负电荷的糖蛋白减少</w:t>
      </w:r>
    </w:p>
    <w:p w:rsidR="003717A0" w:rsidRDefault="003717A0">
      <w:pPr>
        <w:jc w:val="left"/>
        <w:rPr>
          <w:rFonts w:ascii="宋体"/>
        </w:rPr>
      </w:pPr>
      <w:r>
        <w:rPr>
          <w:rFonts w:ascii="宋体" w:hAnsi="宋体"/>
        </w:rPr>
        <w:t xml:space="preserve">15. </w:t>
      </w:r>
      <w:r>
        <w:rPr>
          <w:rFonts w:ascii="宋体" w:hAnsi="宋体" w:hint="eastAsia"/>
        </w:rPr>
        <w:t>下列哪个不是感受器的一般生理特性</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感受器的适宜刺激</w:t>
      </w:r>
    </w:p>
    <w:p w:rsidR="003717A0" w:rsidRDefault="003717A0">
      <w:pPr>
        <w:jc w:val="left"/>
        <w:rPr>
          <w:rFonts w:ascii="宋体"/>
        </w:rPr>
      </w:pPr>
      <w:r>
        <w:rPr>
          <w:rFonts w:ascii="宋体" w:hAnsi="宋体"/>
        </w:rPr>
        <w:t xml:space="preserve">    B. </w:t>
      </w:r>
      <w:r>
        <w:rPr>
          <w:rFonts w:ascii="宋体" w:hAnsi="宋体" w:hint="eastAsia"/>
        </w:rPr>
        <w:t>感受器的换能作用</w:t>
      </w:r>
    </w:p>
    <w:p w:rsidR="003717A0" w:rsidRDefault="003717A0">
      <w:pPr>
        <w:jc w:val="left"/>
        <w:rPr>
          <w:rFonts w:ascii="宋体"/>
        </w:rPr>
      </w:pPr>
      <w:r>
        <w:rPr>
          <w:rFonts w:ascii="宋体" w:hAnsi="宋体"/>
        </w:rPr>
        <w:t xml:space="preserve">    C. </w:t>
      </w:r>
      <w:r>
        <w:rPr>
          <w:rFonts w:ascii="宋体" w:hAnsi="宋体" w:hint="eastAsia"/>
        </w:rPr>
        <w:t>感受器的疲劳现象</w:t>
      </w:r>
    </w:p>
    <w:p w:rsidR="003717A0" w:rsidRDefault="003717A0">
      <w:pPr>
        <w:jc w:val="left"/>
        <w:rPr>
          <w:rFonts w:ascii="宋体"/>
        </w:rPr>
      </w:pPr>
      <w:r>
        <w:rPr>
          <w:rFonts w:ascii="宋体" w:hAnsi="宋体"/>
        </w:rPr>
        <w:t xml:space="preserve">    D. </w:t>
      </w:r>
      <w:r>
        <w:rPr>
          <w:rFonts w:ascii="宋体" w:hAnsi="宋体" w:hint="eastAsia"/>
        </w:rPr>
        <w:t>感受器的适应现象</w:t>
      </w:r>
    </w:p>
    <w:p w:rsidR="003717A0" w:rsidRDefault="003717A0">
      <w:pPr>
        <w:jc w:val="left"/>
        <w:rPr>
          <w:rFonts w:ascii="宋体"/>
        </w:rPr>
      </w:pPr>
      <w:r>
        <w:rPr>
          <w:rFonts w:ascii="宋体" w:hAnsi="宋体"/>
        </w:rPr>
        <w:t xml:space="preserve">    E. </w:t>
      </w:r>
      <w:r>
        <w:rPr>
          <w:rFonts w:ascii="宋体" w:hAnsi="宋体" w:hint="eastAsia"/>
        </w:rPr>
        <w:t>感受器的编码作用</w:t>
      </w:r>
    </w:p>
    <w:p w:rsidR="003717A0" w:rsidRDefault="003717A0">
      <w:pPr>
        <w:jc w:val="left"/>
        <w:rPr>
          <w:rFonts w:ascii="宋体"/>
        </w:rPr>
      </w:pPr>
      <w:r>
        <w:rPr>
          <w:rFonts w:ascii="宋体" w:hAnsi="宋体"/>
        </w:rPr>
        <w:t xml:space="preserve">16. </w:t>
      </w:r>
      <w:r>
        <w:rPr>
          <w:rFonts w:ascii="宋体" w:hAnsi="宋体" w:hint="eastAsia"/>
        </w:rPr>
        <w:t>神经细胞兴奋阈值最低，最易产生动作电位的部位是</w:t>
      </w:r>
      <w:r>
        <w:rPr>
          <w:rFonts w:ascii="宋体" w:hAnsi="宋体"/>
        </w:rPr>
        <w:t xml:space="preserve">                         (    )</w:t>
      </w:r>
    </w:p>
    <w:p w:rsidR="003717A0" w:rsidRDefault="003717A0">
      <w:pPr>
        <w:jc w:val="left"/>
        <w:rPr>
          <w:rFonts w:ascii="宋体"/>
        </w:rPr>
      </w:pPr>
      <w:r>
        <w:rPr>
          <w:rFonts w:ascii="宋体" w:hAnsi="宋体" w:hint="eastAsia"/>
        </w:rPr>
        <w:t xml:space="preserve">　　</w:t>
      </w:r>
      <w:r>
        <w:rPr>
          <w:rFonts w:ascii="宋体" w:hAnsi="宋体"/>
        </w:rPr>
        <w:t>A</w:t>
      </w:r>
      <w:r>
        <w:rPr>
          <w:rFonts w:ascii="宋体" w:hAnsi="宋体" w:hint="eastAsia"/>
        </w:rPr>
        <w:t>．胞体</w:t>
      </w:r>
    </w:p>
    <w:p w:rsidR="003717A0" w:rsidRDefault="003717A0">
      <w:pPr>
        <w:jc w:val="left"/>
        <w:rPr>
          <w:rFonts w:ascii="宋体"/>
        </w:rPr>
      </w:pPr>
      <w:r>
        <w:rPr>
          <w:rFonts w:ascii="宋体" w:hAnsi="宋体" w:hint="eastAsia"/>
        </w:rPr>
        <w:t xml:space="preserve">　　</w:t>
      </w:r>
      <w:r>
        <w:rPr>
          <w:rFonts w:ascii="宋体" w:hAnsi="宋体"/>
        </w:rPr>
        <w:t xml:space="preserve">B. </w:t>
      </w:r>
      <w:r>
        <w:rPr>
          <w:rFonts w:ascii="宋体" w:hAnsi="宋体" w:hint="eastAsia"/>
        </w:rPr>
        <w:t>树突</w:t>
      </w:r>
    </w:p>
    <w:p w:rsidR="003717A0" w:rsidRDefault="003717A0">
      <w:pPr>
        <w:jc w:val="left"/>
        <w:rPr>
          <w:rFonts w:ascii="宋体"/>
        </w:rPr>
      </w:pPr>
      <w:r>
        <w:rPr>
          <w:rFonts w:ascii="宋体" w:hAnsi="宋体"/>
        </w:rPr>
        <w:t xml:space="preserve">    C. </w:t>
      </w:r>
      <w:r>
        <w:rPr>
          <w:rFonts w:ascii="宋体" w:hAnsi="宋体" w:hint="eastAsia"/>
        </w:rPr>
        <w:t>轴突</w:t>
      </w:r>
    </w:p>
    <w:p w:rsidR="003717A0" w:rsidRDefault="003717A0">
      <w:pPr>
        <w:jc w:val="left"/>
        <w:rPr>
          <w:rFonts w:ascii="宋体"/>
        </w:rPr>
      </w:pPr>
      <w:r>
        <w:rPr>
          <w:rFonts w:ascii="宋体" w:hAnsi="宋体"/>
        </w:rPr>
        <w:t xml:space="preserve">    D. </w:t>
      </w:r>
      <w:r>
        <w:rPr>
          <w:rFonts w:ascii="宋体" w:hAnsi="宋体" w:hint="eastAsia"/>
        </w:rPr>
        <w:t>轴突始段</w:t>
      </w:r>
    </w:p>
    <w:p w:rsidR="003717A0" w:rsidRDefault="003717A0">
      <w:pPr>
        <w:jc w:val="left"/>
        <w:rPr>
          <w:rFonts w:ascii="宋体"/>
        </w:rPr>
      </w:pPr>
      <w:r>
        <w:rPr>
          <w:rFonts w:ascii="宋体" w:hAnsi="宋体"/>
        </w:rPr>
        <w:t xml:space="preserve">    E. </w:t>
      </w:r>
      <w:r>
        <w:rPr>
          <w:rFonts w:ascii="宋体" w:hAnsi="宋体" w:hint="eastAsia"/>
        </w:rPr>
        <w:t>树突始段</w:t>
      </w:r>
    </w:p>
    <w:p w:rsidR="003717A0" w:rsidRDefault="003717A0">
      <w:pPr>
        <w:jc w:val="left"/>
        <w:rPr>
          <w:rFonts w:ascii="宋体"/>
        </w:rPr>
      </w:pPr>
      <w:r>
        <w:rPr>
          <w:rFonts w:ascii="宋体" w:hAnsi="宋体"/>
        </w:rPr>
        <w:t xml:space="preserve">17. </w:t>
      </w:r>
      <w:r>
        <w:rPr>
          <w:rFonts w:ascii="宋体" w:hAnsi="宋体" w:hint="eastAsia"/>
        </w:rPr>
        <w:t>关于非特异性投射系统，正确的是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向大脑皮层投射的区域狭窄，引起特定的感觉</w:t>
      </w:r>
    </w:p>
    <w:p w:rsidR="003717A0" w:rsidRDefault="003717A0">
      <w:pPr>
        <w:jc w:val="left"/>
        <w:rPr>
          <w:rFonts w:ascii="宋体"/>
        </w:rPr>
      </w:pPr>
      <w:r>
        <w:rPr>
          <w:rFonts w:ascii="宋体" w:hAnsi="宋体"/>
        </w:rPr>
        <w:t xml:space="preserve">    B. </w:t>
      </w:r>
      <w:r>
        <w:rPr>
          <w:rFonts w:ascii="宋体" w:hAnsi="宋体" w:hint="eastAsia"/>
        </w:rPr>
        <w:t>通过丘脑第一、二类核群</w:t>
      </w:r>
    </w:p>
    <w:p w:rsidR="003717A0" w:rsidRDefault="003717A0">
      <w:pPr>
        <w:jc w:val="left"/>
        <w:rPr>
          <w:rFonts w:ascii="宋体"/>
        </w:rPr>
      </w:pPr>
      <w:r>
        <w:rPr>
          <w:rFonts w:ascii="宋体" w:hAnsi="宋体"/>
        </w:rPr>
        <w:t xml:space="preserve">    C. </w:t>
      </w:r>
      <w:r>
        <w:rPr>
          <w:rFonts w:ascii="宋体" w:hAnsi="宋体" w:hint="eastAsia"/>
        </w:rPr>
        <w:t>与脑干网状结构有关</w:t>
      </w:r>
    </w:p>
    <w:p w:rsidR="003717A0" w:rsidRDefault="003717A0">
      <w:pPr>
        <w:jc w:val="left"/>
        <w:rPr>
          <w:rFonts w:ascii="宋体"/>
        </w:rPr>
      </w:pPr>
      <w:r>
        <w:rPr>
          <w:rFonts w:ascii="宋体" w:hAnsi="宋体"/>
        </w:rPr>
        <w:t xml:space="preserve">    D. </w:t>
      </w:r>
      <w:r>
        <w:rPr>
          <w:rFonts w:ascii="宋体" w:hAnsi="宋体" w:hint="eastAsia"/>
        </w:rPr>
        <w:t>可单独激发神经元放电</w:t>
      </w:r>
    </w:p>
    <w:p w:rsidR="003717A0" w:rsidRDefault="003717A0">
      <w:pPr>
        <w:jc w:val="left"/>
        <w:rPr>
          <w:rFonts w:ascii="宋体"/>
        </w:rPr>
      </w:pPr>
      <w:r>
        <w:rPr>
          <w:rFonts w:ascii="宋体" w:hAnsi="宋体"/>
        </w:rPr>
        <w:t xml:space="preserve">    E. </w:t>
      </w:r>
      <w:r>
        <w:rPr>
          <w:rFonts w:ascii="宋体" w:hAnsi="宋体" w:hint="eastAsia"/>
        </w:rPr>
        <w:t>受到刺激时，产生痛觉</w:t>
      </w:r>
    </w:p>
    <w:p w:rsidR="003717A0" w:rsidRDefault="003717A0">
      <w:pPr>
        <w:jc w:val="left"/>
        <w:rPr>
          <w:rFonts w:ascii="宋体"/>
        </w:rPr>
      </w:pPr>
      <w:r>
        <w:rPr>
          <w:rFonts w:ascii="宋体" w:hAnsi="宋体"/>
        </w:rPr>
        <w:t xml:space="preserve">18. </w:t>
      </w:r>
      <w:r>
        <w:rPr>
          <w:rFonts w:ascii="宋体" w:hAnsi="宋体" w:hint="eastAsia"/>
        </w:rPr>
        <w:t>各种激素在血中含量极低微，但生理作用却非常明显，因为</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激素的特异性很高</w:t>
      </w:r>
    </w:p>
    <w:p w:rsidR="003717A0" w:rsidRDefault="003717A0">
      <w:pPr>
        <w:jc w:val="left"/>
        <w:rPr>
          <w:rFonts w:ascii="宋体"/>
        </w:rPr>
      </w:pPr>
      <w:r>
        <w:rPr>
          <w:rFonts w:ascii="宋体" w:hAnsi="宋体"/>
        </w:rPr>
        <w:t xml:space="preserve">    B. </w:t>
      </w:r>
      <w:r>
        <w:rPr>
          <w:rFonts w:ascii="宋体" w:hAnsi="宋体" w:hint="eastAsia"/>
        </w:rPr>
        <w:t>激素能选择地作用于靶细胞</w:t>
      </w:r>
    </w:p>
    <w:p w:rsidR="003717A0" w:rsidRDefault="003717A0">
      <w:pPr>
        <w:jc w:val="left"/>
        <w:rPr>
          <w:rFonts w:ascii="宋体"/>
        </w:rPr>
      </w:pPr>
      <w:r>
        <w:rPr>
          <w:rFonts w:ascii="宋体" w:hAnsi="宋体"/>
        </w:rPr>
        <w:t xml:space="preserve">    C. </w:t>
      </w:r>
      <w:r>
        <w:rPr>
          <w:rFonts w:ascii="宋体" w:hAnsi="宋体" w:hint="eastAsia"/>
        </w:rPr>
        <w:t>激素的半衰期很长</w:t>
      </w:r>
    </w:p>
    <w:p w:rsidR="003717A0" w:rsidRDefault="003717A0">
      <w:pPr>
        <w:jc w:val="left"/>
        <w:rPr>
          <w:rFonts w:ascii="宋体"/>
        </w:rPr>
      </w:pPr>
      <w:r>
        <w:rPr>
          <w:rFonts w:ascii="宋体" w:hAnsi="宋体"/>
        </w:rPr>
        <w:t xml:space="preserve">    D. </w:t>
      </w:r>
      <w:r>
        <w:rPr>
          <w:rFonts w:ascii="宋体" w:hAnsi="宋体" w:hint="eastAsia"/>
        </w:rPr>
        <w:t>激素分布于全身</w:t>
      </w:r>
    </w:p>
    <w:p w:rsidR="003717A0" w:rsidRDefault="003717A0">
      <w:pPr>
        <w:jc w:val="left"/>
        <w:rPr>
          <w:rFonts w:ascii="宋体"/>
        </w:rPr>
      </w:pPr>
      <w:r>
        <w:rPr>
          <w:rFonts w:ascii="宋体" w:hAnsi="宋体"/>
        </w:rPr>
        <w:t xml:space="preserve">    E. </w:t>
      </w:r>
      <w:r>
        <w:rPr>
          <w:rFonts w:ascii="宋体" w:hAnsi="宋体" w:hint="eastAsia"/>
        </w:rPr>
        <w:t>细胞内存在高效能的生物放大系统</w:t>
      </w:r>
    </w:p>
    <w:p w:rsidR="003717A0" w:rsidRDefault="003717A0">
      <w:pPr>
        <w:jc w:val="left"/>
        <w:rPr>
          <w:rFonts w:ascii="宋体"/>
        </w:rPr>
      </w:pPr>
      <w:r>
        <w:rPr>
          <w:rFonts w:ascii="宋体" w:hAnsi="宋体"/>
        </w:rPr>
        <w:t xml:space="preserve">19. </w:t>
      </w:r>
      <w:r>
        <w:rPr>
          <w:rFonts w:ascii="宋体" w:hAnsi="宋体" w:hint="eastAsia"/>
        </w:rPr>
        <w:t>“旁分泌”是</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内分泌腺的间质细胞分泌的激素</w:t>
      </w:r>
    </w:p>
    <w:p w:rsidR="003717A0" w:rsidRDefault="003717A0">
      <w:pPr>
        <w:jc w:val="left"/>
        <w:rPr>
          <w:rFonts w:ascii="宋体"/>
        </w:rPr>
      </w:pPr>
      <w:r>
        <w:rPr>
          <w:rFonts w:ascii="宋体" w:hAnsi="宋体"/>
        </w:rPr>
        <w:t xml:space="preserve">    B. </w:t>
      </w:r>
      <w:r>
        <w:rPr>
          <w:rFonts w:ascii="宋体" w:hAnsi="宋体" w:hint="eastAsia"/>
        </w:rPr>
        <w:t>分泌物通过体液传递信息的系统</w:t>
      </w:r>
    </w:p>
    <w:p w:rsidR="003717A0" w:rsidRDefault="003717A0">
      <w:pPr>
        <w:jc w:val="left"/>
        <w:rPr>
          <w:rFonts w:ascii="宋体"/>
        </w:rPr>
      </w:pPr>
      <w:r>
        <w:rPr>
          <w:rFonts w:ascii="宋体" w:hAnsi="宋体"/>
        </w:rPr>
        <w:t xml:space="preserve">    C. </w:t>
      </w:r>
      <w:r>
        <w:rPr>
          <w:rFonts w:ascii="宋体" w:hAnsi="宋体" w:hint="eastAsia"/>
        </w:rPr>
        <w:t>激素通过血液循环作用于远离的靶细胞</w:t>
      </w:r>
    </w:p>
    <w:p w:rsidR="003717A0" w:rsidRDefault="003717A0">
      <w:pPr>
        <w:jc w:val="left"/>
        <w:rPr>
          <w:rFonts w:ascii="宋体"/>
        </w:rPr>
      </w:pPr>
      <w:r>
        <w:rPr>
          <w:rFonts w:ascii="宋体" w:hAnsi="宋体"/>
        </w:rPr>
        <w:t xml:space="preserve">    D. </w:t>
      </w:r>
      <w:r>
        <w:rPr>
          <w:rFonts w:ascii="宋体" w:hAnsi="宋体" w:hint="eastAsia"/>
        </w:rPr>
        <w:t>激素通过组织液扩散作用于邻近的细胞</w:t>
      </w:r>
    </w:p>
    <w:p w:rsidR="003717A0" w:rsidRDefault="003717A0">
      <w:pPr>
        <w:jc w:val="left"/>
        <w:rPr>
          <w:rFonts w:ascii="宋体"/>
        </w:rPr>
      </w:pPr>
      <w:r>
        <w:rPr>
          <w:rFonts w:ascii="宋体" w:hAnsi="宋体"/>
        </w:rPr>
        <w:t xml:space="preserve">    E. </w:t>
      </w:r>
      <w:r>
        <w:rPr>
          <w:rFonts w:ascii="宋体" w:hAnsi="宋体" w:hint="eastAsia"/>
        </w:rPr>
        <w:t>同一个内分泌腺分泌的第二种激素</w:t>
      </w:r>
    </w:p>
    <w:p w:rsidR="003717A0" w:rsidRDefault="003717A0">
      <w:pPr>
        <w:jc w:val="left"/>
        <w:rPr>
          <w:rFonts w:ascii="宋体"/>
        </w:rPr>
      </w:pPr>
      <w:r>
        <w:rPr>
          <w:rFonts w:ascii="宋体" w:hAnsi="宋体"/>
        </w:rPr>
        <w:lastRenderedPageBreak/>
        <w:t xml:space="preserve">20. </w:t>
      </w:r>
      <w:r>
        <w:rPr>
          <w:rFonts w:ascii="宋体" w:hAnsi="宋体" w:hint="eastAsia"/>
        </w:rPr>
        <w:t>月经的发生是由于</w:t>
      </w:r>
      <w:r>
        <w:rPr>
          <w:rFonts w:ascii="宋体" w:hAnsi="宋体"/>
        </w:rPr>
        <w:t xml:space="preserve">                                                      (    )</w:t>
      </w:r>
    </w:p>
    <w:p w:rsidR="003717A0" w:rsidRDefault="003717A0">
      <w:pPr>
        <w:jc w:val="left"/>
        <w:rPr>
          <w:rFonts w:ascii="宋体"/>
        </w:rPr>
      </w:pPr>
      <w:r>
        <w:rPr>
          <w:rFonts w:ascii="宋体" w:hAnsi="宋体"/>
        </w:rPr>
        <w:t xml:space="preserve">    A. </w:t>
      </w:r>
      <w:r>
        <w:rPr>
          <w:rFonts w:ascii="宋体" w:hAnsi="宋体" w:hint="eastAsia"/>
        </w:rPr>
        <w:t>雌激素急剧减少</w:t>
      </w:r>
    </w:p>
    <w:p w:rsidR="003717A0" w:rsidRDefault="003717A0">
      <w:pPr>
        <w:jc w:val="left"/>
        <w:rPr>
          <w:rFonts w:ascii="宋体"/>
        </w:rPr>
      </w:pPr>
      <w:r>
        <w:rPr>
          <w:rFonts w:ascii="宋体" w:hAnsi="宋体"/>
        </w:rPr>
        <w:t xml:space="preserve">    B. </w:t>
      </w:r>
      <w:r>
        <w:rPr>
          <w:rFonts w:ascii="宋体" w:hAnsi="宋体" w:hint="eastAsia"/>
        </w:rPr>
        <w:t>孕激素急剧减少</w:t>
      </w:r>
    </w:p>
    <w:p w:rsidR="003717A0" w:rsidRDefault="003717A0">
      <w:pPr>
        <w:jc w:val="left"/>
        <w:rPr>
          <w:rFonts w:ascii="宋体"/>
        </w:rPr>
      </w:pPr>
      <w:r>
        <w:rPr>
          <w:rFonts w:ascii="宋体" w:hAnsi="宋体"/>
        </w:rPr>
        <w:t xml:space="preserve">    C. </w:t>
      </w:r>
      <w:r>
        <w:rPr>
          <w:rFonts w:ascii="宋体" w:hAnsi="宋体" w:hint="eastAsia"/>
        </w:rPr>
        <w:t>雌激素和孕激素都急剧减少</w:t>
      </w:r>
    </w:p>
    <w:p w:rsidR="003717A0" w:rsidRDefault="003717A0">
      <w:pPr>
        <w:jc w:val="left"/>
        <w:rPr>
          <w:rFonts w:ascii="宋体"/>
        </w:rPr>
      </w:pPr>
      <w:r>
        <w:rPr>
          <w:rFonts w:ascii="宋体" w:hAnsi="宋体"/>
        </w:rPr>
        <w:t xml:space="preserve">    D. </w:t>
      </w:r>
      <w:r>
        <w:rPr>
          <w:rFonts w:ascii="宋体" w:hAnsi="宋体" w:hint="eastAsia"/>
        </w:rPr>
        <w:t>催产素急剧减少</w:t>
      </w:r>
    </w:p>
    <w:p w:rsidR="003717A0" w:rsidRDefault="003717A0">
      <w:pPr>
        <w:jc w:val="left"/>
        <w:rPr>
          <w:rFonts w:ascii="宋体"/>
        </w:rPr>
      </w:pPr>
      <w:r>
        <w:rPr>
          <w:rFonts w:ascii="宋体" w:hAnsi="宋体"/>
        </w:rPr>
        <w:t xml:space="preserve">    E. </w:t>
      </w:r>
      <w:r>
        <w:rPr>
          <w:rFonts w:ascii="宋体" w:hAnsi="宋体" w:hint="eastAsia"/>
        </w:rPr>
        <w:t>催乳素急剧减少</w:t>
      </w:r>
    </w:p>
    <w:p w:rsidR="003717A0" w:rsidRDefault="003717A0">
      <w:pPr>
        <w:autoSpaceDE w:val="0"/>
        <w:autoSpaceDN w:val="0"/>
        <w:adjustRightInd w:val="0"/>
        <w:snapToGrid w:val="0"/>
        <w:spacing w:line="500" w:lineRule="exact"/>
        <w:rPr>
          <w:rFonts w:ascii="黑体" w:eastAsia="黑体"/>
        </w:rPr>
      </w:pPr>
      <w:r>
        <w:rPr>
          <w:rFonts w:ascii="宋体" w:hAnsi="宋体" w:hint="eastAsia"/>
        </w:rPr>
        <w:t>三、填空题</w:t>
      </w:r>
      <w:r>
        <w:rPr>
          <w:rFonts w:ascii="黑体" w:eastAsia="黑体" w:hint="eastAsia"/>
        </w:rPr>
        <w:t>：（每空格</w:t>
      </w:r>
      <w:r>
        <w:rPr>
          <w:rFonts w:ascii="黑体" w:eastAsia="黑体"/>
        </w:rPr>
        <w:t xml:space="preserve">1 </w:t>
      </w:r>
      <w:r>
        <w:rPr>
          <w:rFonts w:ascii="黑体" w:eastAsia="黑体" w:hint="eastAsia"/>
        </w:rPr>
        <w:t>分，共</w:t>
      </w:r>
      <w:r>
        <w:rPr>
          <w:rFonts w:ascii="黑体" w:eastAsia="黑体"/>
        </w:rPr>
        <w:t xml:space="preserve">15 </w:t>
      </w:r>
      <w:r>
        <w:rPr>
          <w:rFonts w:ascii="黑体" w:eastAsia="黑体" w:hint="eastAsia"/>
        </w:rPr>
        <w:t>分）</w:t>
      </w:r>
    </w:p>
    <w:p w:rsidR="003717A0" w:rsidRDefault="003717A0">
      <w:pPr>
        <w:autoSpaceDE w:val="0"/>
        <w:autoSpaceDN w:val="0"/>
        <w:adjustRightInd w:val="0"/>
        <w:snapToGrid w:val="0"/>
        <w:spacing w:line="500" w:lineRule="exact"/>
        <w:rPr>
          <w:rFonts w:ascii="宋体"/>
        </w:rPr>
      </w:pPr>
      <w:r>
        <w:rPr>
          <w:rFonts w:ascii="黑体" w:eastAsia="黑体"/>
        </w:rPr>
        <w:t xml:space="preserve">1. </w:t>
      </w:r>
      <w:r>
        <w:rPr>
          <w:rFonts w:ascii="宋体" w:hAnsi="宋体" w:hint="eastAsia"/>
        </w:rPr>
        <w:t>细胞膜转运物质时，根据其是否消耗能量可分为</w:t>
      </w:r>
      <w:r>
        <w:rPr>
          <w:rFonts w:ascii="宋体" w:hAnsi="宋体"/>
        </w:rPr>
        <w:t>__</w:t>
      </w:r>
      <w:r>
        <w:rPr>
          <w:rFonts w:ascii="宋体" w:hAnsi="宋体"/>
          <w:u w:val="single"/>
        </w:rPr>
        <w:t xml:space="preserve">           </w:t>
      </w:r>
      <w:r>
        <w:rPr>
          <w:rFonts w:ascii="宋体" w:hAnsi="宋体"/>
        </w:rPr>
        <w:t>____</w:t>
      </w:r>
      <w:r>
        <w:rPr>
          <w:rFonts w:ascii="宋体" w:hAnsi="宋体" w:hint="eastAsia"/>
        </w:rPr>
        <w:t>和</w:t>
      </w:r>
      <w:r>
        <w:rPr>
          <w:rFonts w:ascii="宋体" w:hAnsi="宋体"/>
        </w:rPr>
        <w:t>__</w:t>
      </w:r>
      <w:r>
        <w:rPr>
          <w:rFonts w:ascii="宋体" w:hAnsi="宋体"/>
          <w:u w:val="single"/>
        </w:rPr>
        <w:t xml:space="preserve">      </w:t>
      </w:r>
      <w:r>
        <w:rPr>
          <w:rFonts w:ascii="宋体" w:hAnsi="宋体"/>
        </w:rPr>
        <w:t>____</w:t>
      </w:r>
      <w:r>
        <w:rPr>
          <w:rFonts w:ascii="宋体" w:hAnsi="宋体"/>
          <w:u w:val="single"/>
        </w:rPr>
        <w:t xml:space="preserve">                </w:t>
      </w:r>
      <w:r>
        <w:rPr>
          <w:rFonts w:ascii="宋体" w:hAnsi="宋体" w:hint="eastAsia"/>
        </w:rPr>
        <w:t>两大类。</w:t>
      </w:r>
    </w:p>
    <w:p w:rsidR="003717A0" w:rsidRDefault="003717A0">
      <w:pPr>
        <w:autoSpaceDE w:val="0"/>
        <w:autoSpaceDN w:val="0"/>
        <w:adjustRightInd w:val="0"/>
        <w:snapToGrid w:val="0"/>
        <w:spacing w:line="500" w:lineRule="exact"/>
        <w:rPr>
          <w:rFonts w:ascii="宋体"/>
        </w:rPr>
      </w:pPr>
      <w:r>
        <w:rPr>
          <w:rFonts w:ascii="宋体" w:hAnsi="宋体"/>
        </w:rPr>
        <w:t xml:space="preserve">2. </w:t>
      </w:r>
      <w:r>
        <w:rPr>
          <w:rFonts w:ascii="宋体" w:hAnsi="宋体" w:hint="eastAsia"/>
        </w:rPr>
        <w:t>启动内源性凝血的因子是</w:t>
      </w:r>
      <w:r>
        <w:rPr>
          <w:rFonts w:ascii="宋体" w:hAnsi="宋体"/>
        </w:rPr>
        <w:t>_______</w:t>
      </w:r>
      <w:r>
        <w:rPr>
          <w:rFonts w:ascii="宋体" w:hAnsi="宋体" w:hint="eastAsia"/>
        </w:rPr>
        <w:t>；启动外源性凝血的因子是</w:t>
      </w:r>
      <w:r>
        <w:rPr>
          <w:rFonts w:ascii="宋体" w:hAnsi="宋体"/>
        </w:rPr>
        <w:t>_______</w:t>
      </w:r>
      <w:r>
        <w:rPr>
          <w:rFonts w:ascii="宋体" w:hAnsi="宋体" w:hint="eastAsia"/>
        </w:rPr>
        <w:t>。</w:t>
      </w:r>
    </w:p>
    <w:p w:rsidR="003717A0" w:rsidRDefault="003717A0">
      <w:pPr>
        <w:autoSpaceDE w:val="0"/>
        <w:autoSpaceDN w:val="0"/>
        <w:adjustRightInd w:val="0"/>
        <w:snapToGrid w:val="0"/>
        <w:spacing w:line="500" w:lineRule="exact"/>
        <w:rPr>
          <w:rFonts w:ascii="宋体"/>
        </w:rPr>
      </w:pPr>
      <w:r>
        <w:rPr>
          <w:rFonts w:ascii="宋体" w:hAnsi="宋体"/>
        </w:rPr>
        <w:t xml:space="preserve">3. </w:t>
      </w:r>
      <w:r>
        <w:rPr>
          <w:rFonts w:ascii="宋体" w:hAnsi="宋体" w:hint="eastAsia"/>
        </w:rPr>
        <w:t>食物消化的方式分为</w:t>
      </w:r>
      <w:r>
        <w:rPr>
          <w:rFonts w:ascii="宋体" w:hAnsi="宋体"/>
        </w:rPr>
        <w:t>____</w:t>
      </w:r>
      <w:r>
        <w:rPr>
          <w:rFonts w:ascii="宋体" w:hAnsi="宋体"/>
          <w:u w:val="single"/>
        </w:rPr>
        <w:t xml:space="preserve">        </w:t>
      </w:r>
      <w:r>
        <w:rPr>
          <w:rFonts w:ascii="宋体" w:hAnsi="宋体"/>
        </w:rPr>
        <w:t>____</w:t>
      </w:r>
      <w:r>
        <w:rPr>
          <w:rFonts w:ascii="宋体" w:hAnsi="宋体" w:hint="eastAsia"/>
        </w:rPr>
        <w:t>和</w:t>
      </w:r>
      <w:r>
        <w:rPr>
          <w:rFonts w:ascii="宋体" w:hAnsi="宋体"/>
        </w:rPr>
        <w:t>____</w:t>
      </w:r>
      <w:r>
        <w:rPr>
          <w:rFonts w:ascii="宋体" w:hAnsi="宋体"/>
          <w:u w:val="single"/>
        </w:rPr>
        <w:t xml:space="preserve">        </w:t>
      </w:r>
      <w:r>
        <w:rPr>
          <w:rFonts w:ascii="宋体" w:hAnsi="宋体"/>
        </w:rPr>
        <w:t>____</w:t>
      </w:r>
      <w:r>
        <w:rPr>
          <w:rFonts w:ascii="宋体" w:hAnsi="宋体" w:hint="eastAsia"/>
        </w:rPr>
        <w:t>。</w:t>
      </w:r>
    </w:p>
    <w:p w:rsidR="003717A0" w:rsidRDefault="003717A0">
      <w:pPr>
        <w:autoSpaceDE w:val="0"/>
        <w:autoSpaceDN w:val="0"/>
        <w:adjustRightInd w:val="0"/>
        <w:snapToGrid w:val="0"/>
        <w:spacing w:line="500" w:lineRule="exact"/>
        <w:rPr>
          <w:rFonts w:ascii="宋体"/>
        </w:rPr>
      </w:pPr>
      <w:r>
        <w:rPr>
          <w:rFonts w:ascii="宋体" w:hAnsi="宋体"/>
        </w:rPr>
        <w:t xml:space="preserve">4. </w:t>
      </w:r>
      <w:r>
        <w:rPr>
          <w:rFonts w:ascii="宋体" w:hAnsi="宋体" w:hint="eastAsia"/>
        </w:rPr>
        <w:t>皮肤的散热方式有</w:t>
      </w:r>
      <w:r>
        <w:rPr>
          <w:rFonts w:ascii="宋体" w:hAnsi="宋体"/>
        </w:rPr>
        <w:t>__</w:t>
      </w:r>
      <w:r>
        <w:rPr>
          <w:rFonts w:ascii="宋体" w:hAnsi="宋体"/>
          <w:u w:val="single"/>
        </w:rPr>
        <w:t>__   _</w:t>
      </w:r>
      <w:r>
        <w:rPr>
          <w:rFonts w:ascii="宋体" w:hAnsi="宋体"/>
        </w:rPr>
        <w:t>__</w:t>
      </w:r>
      <w:r>
        <w:rPr>
          <w:rFonts w:ascii="宋体" w:hAnsi="宋体" w:hint="eastAsia"/>
        </w:rPr>
        <w:t>、</w:t>
      </w:r>
      <w:r>
        <w:rPr>
          <w:rFonts w:ascii="宋体" w:hAnsi="宋体"/>
        </w:rPr>
        <w:t>___</w:t>
      </w:r>
      <w:r>
        <w:rPr>
          <w:rFonts w:ascii="宋体" w:hAnsi="宋体"/>
          <w:u w:val="single"/>
        </w:rPr>
        <w:t xml:space="preserve">_     </w:t>
      </w:r>
      <w:r>
        <w:rPr>
          <w:rFonts w:ascii="宋体" w:hAnsi="宋体"/>
        </w:rPr>
        <w:t>___</w:t>
      </w:r>
      <w:r>
        <w:rPr>
          <w:rFonts w:ascii="宋体" w:hAnsi="宋体" w:hint="eastAsia"/>
        </w:rPr>
        <w:t>、</w:t>
      </w:r>
      <w:r>
        <w:rPr>
          <w:rFonts w:ascii="宋体" w:hAnsi="宋体"/>
        </w:rPr>
        <w:t>____</w:t>
      </w:r>
      <w:r>
        <w:rPr>
          <w:rFonts w:ascii="宋体" w:hAnsi="宋体"/>
          <w:u w:val="single"/>
        </w:rPr>
        <w:t>_     _</w:t>
      </w:r>
      <w:r>
        <w:rPr>
          <w:rFonts w:ascii="宋体" w:hAnsi="宋体"/>
        </w:rPr>
        <w:t>_</w:t>
      </w:r>
      <w:r>
        <w:rPr>
          <w:rFonts w:ascii="宋体" w:hAnsi="宋体" w:hint="eastAsia"/>
        </w:rPr>
        <w:t>和蒸发。</w:t>
      </w:r>
    </w:p>
    <w:p w:rsidR="003717A0" w:rsidRDefault="003717A0">
      <w:pPr>
        <w:autoSpaceDE w:val="0"/>
        <w:autoSpaceDN w:val="0"/>
        <w:adjustRightInd w:val="0"/>
        <w:snapToGrid w:val="0"/>
        <w:spacing w:line="500" w:lineRule="exact"/>
        <w:rPr>
          <w:rFonts w:ascii="宋体"/>
        </w:rPr>
      </w:pPr>
      <w:r>
        <w:rPr>
          <w:rFonts w:ascii="宋体" w:hAnsi="宋体"/>
        </w:rPr>
        <w:t xml:space="preserve">5. </w:t>
      </w:r>
      <w:r>
        <w:rPr>
          <w:rFonts w:ascii="宋体" w:hAnsi="宋体" w:hint="eastAsia"/>
        </w:rPr>
        <w:t>肾单位按其所在部位不同，可分为</w:t>
      </w:r>
      <w:r>
        <w:rPr>
          <w:rFonts w:ascii="宋体" w:hAnsi="宋体"/>
        </w:rPr>
        <w:t>__</w:t>
      </w:r>
      <w:r>
        <w:rPr>
          <w:rFonts w:ascii="宋体" w:hAnsi="宋体"/>
          <w:u w:val="single"/>
        </w:rPr>
        <w:t xml:space="preserve">_          </w:t>
      </w:r>
      <w:r>
        <w:rPr>
          <w:rFonts w:ascii="宋体" w:hAnsi="宋体"/>
        </w:rPr>
        <w:t>__</w:t>
      </w:r>
      <w:r>
        <w:rPr>
          <w:rFonts w:ascii="宋体" w:hAnsi="宋体" w:hint="eastAsia"/>
        </w:rPr>
        <w:t>和</w:t>
      </w:r>
      <w:r>
        <w:rPr>
          <w:rFonts w:ascii="宋体" w:hAnsi="宋体"/>
        </w:rPr>
        <w:t>___</w:t>
      </w:r>
      <w:r>
        <w:rPr>
          <w:rFonts w:ascii="宋体" w:hAnsi="宋体"/>
          <w:u w:val="single"/>
        </w:rPr>
        <w:t xml:space="preserve">_            </w:t>
      </w:r>
      <w:r>
        <w:rPr>
          <w:rFonts w:ascii="宋体" w:hAnsi="宋体"/>
        </w:rPr>
        <w:t>_</w:t>
      </w:r>
      <w:r>
        <w:rPr>
          <w:rFonts w:ascii="宋体" w:hAnsi="宋体" w:hint="eastAsia"/>
        </w:rPr>
        <w:t>两类。</w:t>
      </w:r>
    </w:p>
    <w:p w:rsidR="003717A0" w:rsidRDefault="003717A0">
      <w:pPr>
        <w:autoSpaceDE w:val="0"/>
        <w:autoSpaceDN w:val="0"/>
        <w:adjustRightInd w:val="0"/>
        <w:snapToGrid w:val="0"/>
        <w:spacing w:line="500" w:lineRule="exact"/>
        <w:rPr>
          <w:rFonts w:ascii="宋体"/>
        </w:rPr>
      </w:pPr>
      <w:r>
        <w:rPr>
          <w:rFonts w:ascii="宋体" w:hAnsi="宋体"/>
        </w:rPr>
        <w:t xml:space="preserve">6. </w:t>
      </w:r>
      <w:r>
        <w:rPr>
          <w:rFonts w:ascii="宋体" w:hAnsi="宋体" w:hint="eastAsia"/>
        </w:rPr>
        <w:t>视网膜感光细胞有</w:t>
      </w:r>
      <w:r>
        <w:rPr>
          <w:rFonts w:ascii="宋体" w:hAnsi="宋体"/>
        </w:rPr>
        <w:t>__</w:t>
      </w:r>
      <w:r>
        <w:rPr>
          <w:rFonts w:ascii="宋体" w:hAnsi="宋体"/>
          <w:u w:val="single"/>
        </w:rPr>
        <w:t>_       _</w:t>
      </w:r>
      <w:r>
        <w:rPr>
          <w:rFonts w:ascii="宋体" w:hAnsi="宋体"/>
        </w:rPr>
        <w:t>_</w:t>
      </w:r>
      <w:r>
        <w:rPr>
          <w:rFonts w:ascii="宋体" w:hAnsi="宋体" w:hint="eastAsia"/>
        </w:rPr>
        <w:t>和</w:t>
      </w:r>
      <w:r>
        <w:rPr>
          <w:rFonts w:ascii="宋体" w:hAnsi="宋体"/>
        </w:rPr>
        <w:t>__</w:t>
      </w:r>
      <w:r>
        <w:rPr>
          <w:rFonts w:ascii="宋体" w:hAnsi="宋体"/>
          <w:u w:val="single"/>
        </w:rPr>
        <w:t>_      _</w:t>
      </w:r>
      <w:r>
        <w:rPr>
          <w:rFonts w:ascii="宋体" w:hAnsi="宋体"/>
        </w:rPr>
        <w:t>_</w:t>
      </w:r>
      <w:r>
        <w:rPr>
          <w:rFonts w:ascii="宋体" w:hAnsi="宋体" w:hint="eastAsia"/>
        </w:rPr>
        <w:t>两种。</w:t>
      </w:r>
    </w:p>
    <w:p w:rsidR="003717A0" w:rsidRDefault="003717A0">
      <w:pPr>
        <w:autoSpaceDE w:val="0"/>
        <w:autoSpaceDN w:val="0"/>
        <w:adjustRightInd w:val="0"/>
        <w:snapToGrid w:val="0"/>
        <w:spacing w:line="500" w:lineRule="exact"/>
        <w:rPr>
          <w:rFonts w:ascii="宋体"/>
        </w:rPr>
      </w:pPr>
      <w:r>
        <w:rPr>
          <w:rFonts w:ascii="宋体" w:hAnsi="宋体"/>
        </w:rPr>
        <w:t xml:space="preserve">7. </w:t>
      </w:r>
      <w:r>
        <w:rPr>
          <w:rFonts w:ascii="宋体" w:hAnsi="宋体" w:hint="eastAsia"/>
        </w:rPr>
        <w:t>人幼年时生长素分泌不足引起</w:t>
      </w:r>
      <w:r>
        <w:rPr>
          <w:rFonts w:ascii="宋体" w:hAnsi="宋体"/>
        </w:rPr>
        <w:t>_____</w:t>
      </w:r>
      <w:r>
        <w:rPr>
          <w:rFonts w:ascii="宋体" w:hAnsi="宋体"/>
          <w:u w:val="single"/>
        </w:rPr>
        <w:t xml:space="preserve">        </w:t>
      </w:r>
      <w:r>
        <w:rPr>
          <w:rFonts w:ascii="宋体" w:hAnsi="宋体"/>
        </w:rPr>
        <w:t>__</w:t>
      </w:r>
      <w:r>
        <w:rPr>
          <w:rFonts w:ascii="宋体" w:hAnsi="宋体" w:hint="eastAsia"/>
        </w:rPr>
        <w:t>，分泌过多引起</w:t>
      </w:r>
      <w:r>
        <w:rPr>
          <w:rFonts w:ascii="宋体" w:hAnsi="宋体"/>
        </w:rPr>
        <w:t>___</w:t>
      </w:r>
      <w:r>
        <w:rPr>
          <w:rFonts w:ascii="宋体" w:hAnsi="宋体"/>
          <w:u w:val="single"/>
        </w:rPr>
        <w:t xml:space="preserve">        </w:t>
      </w:r>
      <w:r>
        <w:rPr>
          <w:rFonts w:ascii="宋体" w:hAnsi="宋体"/>
        </w:rPr>
        <w:t>____</w:t>
      </w:r>
      <w:r>
        <w:rPr>
          <w:rFonts w:ascii="宋体" w:hAnsi="宋体" w:hint="eastAsia"/>
        </w:rPr>
        <w:t>。</w:t>
      </w:r>
    </w:p>
    <w:p w:rsidR="003717A0" w:rsidRDefault="003717A0">
      <w:pPr>
        <w:autoSpaceDE w:val="0"/>
        <w:autoSpaceDN w:val="0"/>
        <w:adjustRightInd w:val="0"/>
        <w:snapToGrid w:val="0"/>
        <w:spacing w:line="500" w:lineRule="exact"/>
        <w:rPr>
          <w:rFonts w:ascii="黑体" w:eastAsia="黑体"/>
        </w:rPr>
      </w:pPr>
      <w:r>
        <w:rPr>
          <w:rFonts w:ascii="宋体" w:hAnsi="宋体" w:hint="eastAsia"/>
        </w:rPr>
        <w:t>四、名词解释</w:t>
      </w:r>
      <w:r>
        <w:rPr>
          <w:rFonts w:ascii="黑体" w:eastAsia="黑体" w:hint="eastAsia"/>
        </w:rPr>
        <w:t>（每小题</w:t>
      </w:r>
      <w:r>
        <w:rPr>
          <w:rFonts w:ascii="黑体" w:eastAsia="黑体"/>
        </w:rPr>
        <w:t xml:space="preserve"> 3</w:t>
      </w:r>
      <w:r>
        <w:rPr>
          <w:rFonts w:ascii="黑体" w:eastAsia="黑体" w:hint="eastAsia"/>
        </w:rPr>
        <w:t>分，共</w:t>
      </w:r>
      <w:r>
        <w:rPr>
          <w:rFonts w:ascii="黑体" w:eastAsia="黑体"/>
        </w:rPr>
        <w:t xml:space="preserve"> 15</w:t>
      </w:r>
      <w:r>
        <w:rPr>
          <w:rFonts w:ascii="黑体" w:eastAsia="黑体" w:hint="eastAsia"/>
        </w:rPr>
        <w:t>分）</w:t>
      </w:r>
    </w:p>
    <w:p w:rsidR="003717A0" w:rsidRDefault="003717A0">
      <w:pPr>
        <w:autoSpaceDE w:val="0"/>
        <w:autoSpaceDN w:val="0"/>
        <w:adjustRightInd w:val="0"/>
        <w:snapToGrid w:val="0"/>
        <w:spacing w:line="500" w:lineRule="exact"/>
        <w:rPr>
          <w:rFonts w:ascii="黑体" w:eastAsia="黑体"/>
        </w:rPr>
      </w:pPr>
      <w:r>
        <w:rPr>
          <w:rFonts w:ascii="黑体" w:eastAsia="黑体"/>
        </w:rPr>
        <w:t xml:space="preserve">1. </w:t>
      </w:r>
      <w:r>
        <w:rPr>
          <w:rFonts w:ascii="宋体" w:hAnsi="宋体" w:hint="eastAsia"/>
        </w:rPr>
        <w:t>静息电位</w:t>
      </w:r>
    </w:p>
    <w:p w:rsidR="003717A0" w:rsidRDefault="003717A0">
      <w:pPr>
        <w:autoSpaceDE w:val="0"/>
        <w:autoSpaceDN w:val="0"/>
        <w:adjustRightInd w:val="0"/>
        <w:snapToGrid w:val="0"/>
        <w:spacing w:line="500" w:lineRule="exact"/>
        <w:rPr>
          <w:rFonts w:ascii="宋体"/>
        </w:rPr>
      </w:pPr>
      <w:r>
        <w:rPr>
          <w:rFonts w:ascii="黑体" w:eastAsia="黑体"/>
        </w:rPr>
        <w:t xml:space="preserve">2. </w:t>
      </w:r>
      <w:r>
        <w:rPr>
          <w:rFonts w:ascii="宋体" w:hAnsi="宋体" w:hint="eastAsia"/>
        </w:rPr>
        <w:t>容受性舒张</w:t>
      </w:r>
    </w:p>
    <w:p w:rsidR="003717A0" w:rsidRDefault="003717A0">
      <w:pPr>
        <w:autoSpaceDE w:val="0"/>
        <w:autoSpaceDN w:val="0"/>
        <w:adjustRightInd w:val="0"/>
        <w:snapToGrid w:val="0"/>
        <w:spacing w:line="500" w:lineRule="exact"/>
        <w:rPr>
          <w:rFonts w:ascii="宋体"/>
        </w:rPr>
      </w:pPr>
      <w:r>
        <w:rPr>
          <w:rFonts w:ascii="宋体" w:hAnsi="宋体"/>
        </w:rPr>
        <w:t>3.</w:t>
      </w:r>
      <w:r>
        <w:rPr>
          <w:rFonts w:ascii="宋体" w:hAnsi="宋体" w:hint="eastAsia"/>
        </w:rPr>
        <w:t>肾小球滤过率</w:t>
      </w:r>
    </w:p>
    <w:p w:rsidR="003717A0" w:rsidRDefault="003717A0">
      <w:pPr>
        <w:autoSpaceDE w:val="0"/>
        <w:autoSpaceDN w:val="0"/>
        <w:adjustRightInd w:val="0"/>
        <w:snapToGrid w:val="0"/>
        <w:spacing w:line="500" w:lineRule="exact"/>
        <w:rPr>
          <w:rFonts w:ascii="宋体"/>
        </w:rPr>
      </w:pPr>
      <w:r>
        <w:rPr>
          <w:rFonts w:ascii="宋体" w:hAnsi="宋体"/>
        </w:rPr>
        <w:t xml:space="preserve">4. </w:t>
      </w:r>
      <w:r>
        <w:rPr>
          <w:rFonts w:ascii="宋体" w:hAnsi="宋体" w:hint="eastAsia"/>
        </w:rPr>
        <w:t>暗适应</w:t>
      </w:r>
    </w:p>
    <w:p w:rsidR="003717A0" w:rsidRDefault="003717A0">
      <w:pPr>
        <w:autoSpaceDE w:val="0"/>
        <w:autoSpaceDN w:val="0"/>
        <w:adjustRightInd w:val="0"/>
        <w:snapToGrid w:val="0"/>
        <w:spacing w:line="500" w:lineRule="exact"/>
        <w:rPr>
          <w:rFonts w:ascii="宋体"/>
        </w:rPr>
      </w:pPr>
      <w:r>
        <w:rPr>
          <w:rFonts w:ascii="宋体" w:hAnsi="宋体"/>
        </w:rPr>
        <w:t xml:space="preserve">5. </w:t>
      </w:r>
      <w:r>
        <w:rPr>
          <w:rFonts w:ascii="宋体" w:hAnsi="宋体" w:hint="eastAsia"/>
        </w:rPr>
        <w:t>下丘脑调节肽</w:t>
      </w:r>
    </w:p>
    <w:p w:rsidR="003717A0" w:rsidRDefault="003717A0">
      <w:pPr>
        <w:autoSpaceDE w:val="0"/>
        <w:autoSpaceDN w:val="0"/>
        <w:adjustRightInd w:val="0"/>
        <w:snapToGrid w:val="0"/>
        <w:spacing w:line="500" w:lineRule="exact"/>
        <w:rPr>
          <w:rFonts w:ascii="黑体" w:eastAsia="黑体"/>
        </w:rPr>
      </w:pPr>
      <w:r>
        <w:rPr>
          <w:rFonts w:ascii="宋体" w:hAnsi="宋体" w:hint="eastAsia"/>
        </w:rPr>
        <w:t>五、问答题（</w:t>
      </w:r>
      <w:r>
        <w:rPr>
          <w:rFonts w:ascii="黑体" w:eastAsia="黑体" w:hint="eastAsia"/>
        </w:rPr>
        <w:t>每小题</w:t>
      </w:r>
      <w:r>
        <w:rPr>
          <w:rFonts w:ascii="黑体" w:eastAsia="黑体"/>
        </w:rPr>
        <w:t xml:space="preserve">10 </w:t>
      </w:r>
      <w:r>
        <w:rPr>
          <w:rFonts w:ascii="黑体" w:eastAsia="黑体" w:hint="eastAsia"/>
        </w:rPr>
        <w:t>分，共</w:t>
      </w:r>
      <w:r>
        <w:rPr>
          <w:rFonts w:ascii="黑体" w:eastAsia="黑体"/>
        </w:rPr>
        <w:t xml:space="preserve"> 30</w:t>
      </w:r>
      <w:r>
        <w:rPr>
          <w:rFonts w:ascii="黑体" w:eastAsia="黑体" w:hint="eastAsia"/>
        </w:rPr>
        <w:t>分）</w:t>
      </w:r>
    </w:p>
    <w:p w:rsidR="003717A0" w:rsidRDefault="003717A0">
      <w:pPr>
        <w:autoSpaceDE w:val="0"/>
        <w:autoSpaceDN w:val="0"/>
        <w:adjustRightInd w:val="0"/>
        <w:snapToGrid w:val="0"/>
        <w:spacing w:line="500" w:lineRule="exact"/>
        <w:rPr>
          <w:rFonts w:ascii="宋体"/>
        </w:rPr>
      </w:pPr>
      <w:r>
        <w:rPr>
          <w:rFonts w:ascii="黑体" w:eastAsia="黑体"/>
        </w:rPr>
        <w:t xml:space="preserve">1. </w:t>
      </w:r>
      <w:r>
        <w:rPr>
          <w:rFonts w:ascii="宋体" w:hAnsi="宋体" w:hint="eastAsia"/>
        </w:rPr>
        <w:t>何谓颈动脉窦和主动脉弓压力感受性反射（即降压反射）？其反射弧是什么？有何生理意义？</w:t>
      </w:r>
    </w:p>
    <w:p w:rsidR="003717A0" w:rsidRDefault="003717A0">
      <w:pPr>
        <w:autoSpaceDE w:val="0"/>
        <w:autoSpaceDN w:val="0"/>
        <w:adjustRightInd w:val="0"/>
        <w:snapToGrid w:val="0"/>
        <w:spacing w:line="500" w:lineRule="exact"/>
        <w:rPr>
          <w:rFonts w:ascii="宋体"/>
        </w:rPr>
      </w:pPr>
      <w:r>
        <w:rPr>
          <w:rFonts w:ascii="宋体" w:hAnsi="宋体"/>
        </w:rPr>
        <w:t xml:space="preserve">2. </w:t>
      </w:r>
      <w:r>
        <w:rPr>
          <w:rFonts w:ascii="宋体" w:hAnsi="宋体" w:hint="eastAsia"/>
        </w:rPr>
        <w:t>试述动脉血中</w:t>
      </w:r>
      <w:r>
        <w:rPr>
          <w:rFonts w:ascii="宋体" w:hAnsi="宋体"/>
        </w:rPr>
        <w:t>CO</w:t>
      </w:r>
      <w:r>
        <w:rPr>
          <w:rFonts w:ascii="宋体" w:hAnsi="宋体"/>
          <w:vertAlign w:val="subscript"/>
        </w:rPr>
        <w:t>2</w:t>
      </w:r>
      <w:r>
        <w:rPr>
          <w:rFonts w:ascii="宋体" w:hAnsi="宋体" w:hint="eastAsia"/>
        </w:rPr>
        <w:t>分压升高、</w:t>
      </w:r>
      <w:r>
        <w:rPr>
          <w:rFonts w:ascii="宋体" w:hAnsi="宋体"/>
        </w:rPr>
        <w:t>H</w:t>
      </w:r>
      <w:r>
        <w:rPr>
          <w:rFonts w:ascii="宋体" w:hAnsi="宋体"/>
          <w:vertAlign w:val="superscript"/>
        </w:rPr>
        <w:t>+</w:t>
      </w:r>
      <w:r>
        <w:rPr>
          <w:rFonts w:ascii="宋体" w:hAnsi="宋体" w:hint="eastAsia"/>
        </w:rPr>
        <w:t>浓度升高、</w:t>
      </w:r>
      <w:r>
        <w:rPr>
          <w:rFonts w:ascii="宋体" w:hAnsi="宋体"/>
        </w:rPr>
        <w:t>O</w:t>
      </w:r>
      <w:r>
        <w:rPr>
          <w:rFonts w:ascii="宋体" w:hAnsi="宋体"/>
          <w:vertAlign w:val="subscript"/>
        </w:rPr>
        <w:t>2</w:t>
      </w:r>
      <w:r>
        <w:rPr>
          <w:rFonts w:ascii="宋体" w:hAnsi="宋体" w:hint="eastAsia"/>
        </w:rPr>
        <w:t>分压降低对呼吸的影响及其机制。</w:t>
      </w:r>
    </w:p>
    <w:p w:rsidR="003717A0" w:rsidRDefault="003717A0">
      <w:pPr>
        <w:autoSpaceDE w:val="0"/>
        <w:autoSpaceDN w:val="0"/>
        <w:adjustRightInd w:val="0"/>
        <w:snapToGrid w:val="0"/>
        <w:spacing w:line="500" w:lineRule="exact"/>
        <w:rPr>
          <w:rFonts w:ascii="Times New Roman" w:eastAsia="黑体" w:hAnsi="Times New Roman"/>
          <w:kern w:val="0"/>
          <w:sz w:val="34"/>
          <w:szCs w:val="34"/>
        </w:rPr>
      </w:pPr>
      <w:r>
        <w:rPr>
          <w:rFonts w:ascii="宋体" w:hAnsi="宋体"/>
        </w:rPr>
        <w:t xml:space="preserve">3. </w:t>
      </w:r>
      <w:r>
        <w:rPr>
          <w:rFonts w:ascii="宋体" w:hAnsi="宋体" w:hint="eastAsia"/>
        </w:rPr>
        <w:t>试述兴奋通过经典突触传递的过程及机制。</w:t>
      </w: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40" w:lineRule="exact"/>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7"/>
              <w:jc w:val="left"/>
              <w:rPr>
                <w:rFonts w:ascii="Times New Roman" w:hAnsi="宋体"/>
                <w:kern w:val="0"/>
                <w:sz w:val="22"/>
              </w:rPr>
            </w:pPr>
            <w:r>
              <w:rPr>
                <w:rFonts w:ascii="宋体" w:hAnsi="宋体"/>
                <w:szCs w:val="21"/>
              </w:rPr>
              <w:t xml:space="preserve">    </w:t>
            </w:r>
            <w:r>
              <w:rPr>
                <w:rFonts w:ascii="宋体" w:hAnsi="宋体" w:hint="eastAsia"/>
                <w:szCs w:val="21"/>
              </w:rPr>
              <w:t>教师应充分研究本大纲所规定的各章内容，对重点和难点进行深入浅出的讲解。增加自学和拓展环节，注意培养学生的自学能力。部分功能的描述，可让学生通过对动物模型的实践来加强理解。教师应关心生理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16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16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宋体"/>
                <w:szCs w:val="21"/>
              </w:rPr>
              <w:t xml:space="preserve">     </w:t>
            </w: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16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16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16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宋体"/>
                <w:szCs w:val="21"/>
              </w:rPr>
              <w:t xml:space="preserve">    </w:t>
            </w: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宋体"/>
                <w:kern w:val="0"/>
                <w:sz w:val="22"/>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16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16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宋体" w:hAnsi="宋体"/>
                <w:szCs w:val="21"/>
              </w:rPr>
              <w:t xml:space="preserve">     </w:t>
            </w: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同时还鼓励学生选修“生理学进展”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Default="003717A0">
      <w:pPr>
        <w:autoSpaceDE w:val="0"/>
        <w:autoSpaceDN w:val="0"/>
        <w:adjustRightInd w:val="0"/>
        <w:spacing w:line="360" w:lineRule="exact"/>
        <w:ind w:leftChars="3510" w:left="7371" w:firstLineChars="157" w:firstLine="330"/>
        <w:jc w:val="left"/>
        <w:rPr>
          <w:kern w:val="0"/>
        </w:rPr>
      </w:pPr>
    </w:p>
    <w:p w:rsidR="003717A0" w:rsidRPr="00566E4D" w:rsidRDefault="003717A0">
      <w:pPr>
        <w:pStyle w:val="1"/>
        <w:rPr>
          <w:b/>
        </w:rPr>
      </w:pPr>
      <w:r>
        <w:br w:type="page"/>
      </w:r>
      <w:bookmarkStart w:id="54" w:name="_Toc469312989"/>
      <w:bookmarkStart w:id="55" w:name="_Toc471830701"/>
      <w:r w:rsidRPr="00566E4D">
        <w:rPr>
          <w:rFonts w:hint="eastAsia"/>
          <w:b/>
        </w:rPr>
        <w:lastRenderedPageBreak/>
        <w:t>《生物化学与分子生物学》课程质量标准</w:t>
      </w:r>
      <w:bookmarkEnd w:id="54"/>
      <w:bookmarkEnd w:id="55"/>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生物化学与分子生物学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Biochemistry and molecular biology</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170740</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二</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42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专业基础课□专业选修课□公共选修课□必修课□选修课</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生物化学与分子生物系</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生物化学与分子生物学</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科学出版社，</w:t>
            </w:r>
            <w:r>
              <w:rPr>
                <w:sz w:val="22"/>
              </w:rPr>
              <w:t>2012</w:t>
            </w:r>
            <w:r>
              <w:rPr>
                <w:rFonts w:hint="eastAsia"/>
                <w:sz w:val="22"/>
              </w:rPr>
              <w:t>年</w:t>
            </w:r>
            <w:r>
              <w:rPr>
                <w:sz w:val="22"/>
              </w:rPr>
              <w:t>2</w:t>
            </w:r>
            <w:r>
              <w:rPr>
                <w:rFonts w:hint="eastAsia"/>
                <w:sz w:val="22"/>
              </w:rPr>
              <w:t>月第</w:t>
            </w:r>
            <w:r>
              <w:rPr>
                <w:sz w:val="22"/>
              </w:rPr>
              <w:t>3</w:t>
            </w:r>
            <w:r>
              <w:rPr>
                <w:rFonts w:hint="eastAsia"/>
                <w:sz w:val="22"/>
              </w:rPr>
              <w:t>版，书号：</w:t>
            </w:r>
            <w:r>
              <w:rPr>
                <w:sz w:val="22"/>
              </w:rPr>
              <w:t>ISBN 978-7-03-033364-3</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100%</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姓</w:t>
            </w:r>
            <w:r>
              <w:rPr>
                <w:sz w:val="22"/>
              </w:rPr>
              <w:t xml:space="preserve">  </w:t>
            </w:r>
            <w:r>
              <w:rPr>
                <w:rFonts w:hint="eastAsia"/>
                <w:sz w:val="22"/>
              </w:rPr>
              <w:t>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w:t>
            </w:r>
            <w:r>
              <w:rPr>
                <w:sz w:val="22"/>
              </w:rPr>
              <w:t xml:space="preserve">  </w:t>
            </w:r>
            <w:r>
              <w:rPr>
                <w:rFonts w:hint="eastAsia"/>
                <w:sz w:val="22"/>
              </w:rPr>
              <w:t>历</w:t>
            </w:r>
          </w:p>
        </w:tc>
        <w:tc>
          <w:tcPr>
            <w:tcW w:w="1523" w:type="dxa"/>
            <w:gridSpan w:val="3"/>
          </w:tcPr>
          <w:p w:rsidR="003717A0" w:rsidRDefault="003717A0">
            <w:pPr>
              <w:adjustRightInd w:val="0"/>
              <w:snapToGrid w:val="0"/>
              <w:spacing w:line="500" w:lineRule="exact"/>
              <w:jc w:val="center"/>
              <w:rPr>
                <w:sz w:val="22"/>
              </w:rPr>
            </w:pPr>
            <w:r>
              <w:rPr>
                <w:rFonts w:hint="eastAsia"/>
                <w:sz w:val="22"/>
              </w:rPr>
              <w:t>学</w:t>
            </w:r>
            <w:r>
              <w:rPr>
                <w:sz w:val="22"/>
              </w:rPr>
              <w:t xml:space="preserve">  </w:t>
            </w:r>
            <w:r>
              <w:rPr>
                <w:rFonts w:hint="eastAsia"/>
                <w:sz w:val="22"/>
              </w:rPr>
              <w:t>位</w:t>
            </w:r>
          </w:p>
        </w:tc>
        <w:tc>
          <w:tcPr>
            <w:tcW w:w="1524" w:type="dxa"/>
            <w:gridSpan w:val="2"/>
          </w:tcPr>
          <w:p w:rsidR="003717A0" w:rsidRDefault="003717A0">
            <w:pPr>
              <w:adjustRightInd w:val="0"/>
              <w:snapToGrid w:val="0"/>
              <w:spacing w:line="500" w:lineRule="exact"/>
              <w:jc w:val="center"/>
              <w:rPr>
                <w:sz w:val="22"/>
              </w:rPr>
            </w:pPr>
            <w:r>
              <w:rPr>
                <w:rFonts w:hint="eastAsia"/>
                <w:sz w:val="22"/>
              </w:rPr>
              <w:t>职</w:t>
            </w:r>
            <w:r>
              <w:rPr>
                <w:sz w:val="22"/>
              </w:rPr>
              <w:t xml:space="preserve">  </w:t>
            </w:r>
            <w:r>
              <w:rPr>
                <w:rFonts w:hint="eastAsia"/>
                <w:sz w:val="22"/>
              </w:rPr>
              <w:t>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钱</w:t>
            </w:r>
            <w:r>
              <w:rPr>
                <w:sz w:val="22"/>
              </w:rPr>
              <w:t xml:space="preserve">  </w:t>
            </w:r>
            <w:r>
              <w:rPr>
                <w:rFonts w:hint="eastAsia"/>
                <w:sz w:val="22"/>
              </w:rPr>
              <w:t>慰</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500" w:lineRule="exact"/>
              <w:jc w:val="center"/>
              <w:rPr>
                <w:sz w:val="22"/>
              </w:rPr>
            </w:pPr>
            <w:r>
              <w:rPr>
                <w:sz w:val="22"/>
              </w:rPr>
              <w:t>1997.8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殷冬梅</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1992.8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朱蕙霞</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1998.8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周</w:t>
            </w:r>
            <w:r>
              <w:rPr>
                <w:sz w:val="22"/>
              </w:rPr>
              <w:t xml:space="preserve">  </w:t>
            </w:r>
            <w:r>
              <w:rPr>
                <w:rFonts w:hint="eastAsia"/>
                <w:sz w:val="22"/>
              </w:rPr>
              <w:t>艳</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1999.8</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吴娟娟</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2008.8</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F5156D">
        <w:trPr>
          <w:jc w:val="center"/>
        </w:trPr>
        <w:tc>
          <w:tcPr>
            <w:tcW w:w="9286" w:type="dxa"/>
            <w:gridSpan w:val="10"/>
          </w:tcPr>
          <w:p w:rsidR="003717A0" w:rsidRDefault="003717A0">
            <w:pPr>
              <w:adjustRightInd w:val="0"/>
              <w:snapToGrid w:val="0"/>
              <w:spacing w:line="500" w:lineRule="exact"/>
              <w:rPr>
                <w:szCs w:val="21"/>
              </w:rPr>
            </w:pPr>
            <w:r>
              <w:rPr>
                <w:sz w:val="22"/>
              </w:rPr>
              <w:t xml:space="preserve">    </w:t>
            </w:r>
            <w:r>
              <w:rPr>
                <w:rFonts w:hint="eastAsia"/>
                <w:szCs w:val="21"/>
              </w:rPr>
              <w:t>生物化学与分子生物学是一门从分子水平研究生命现象、生命本质、生命活动及其规律得科学。医学生物化学与分子生物学是是从分子水平研究人体在正常和疾病状态下生命活动及其规律的一门科学。它主要研究人体生物大分子和大分子体系的结构、功能、相互作用及其同疾病发生、发展的关系。目前，分子生物学的理论与技术已广泛应用于临床疾病的发病机制、诊断、治疗和预防等环节，现代分子生物学已成为当前衡量一个国家、一个地区，甚至一个单位现代医学科学水平高低的</w:t>
            </w:r>
            <w:r>
              <w:rPr>
                <w:rFonts w:hint="eastAsia"/>
                <w:szCs w:val="21"/>
              </w:rPr>
              <w:lastRenderedPageBreak/>
              <w:t>重要标志之一，成为促进整个医学领域发展的主流学科。</w:t>
            </w:r>
          </w:p>
          <w:p w:rsidR="003717A0" w:rsidRDefault="003717A0">
            <w:pPr>
              <w:adjustRightInd w:val="0"/>
              <w:snapToGrid w:val="0"/>
              <w:spacing w:line="500" w:lineRule="exact"/>
              <w:ind w:firstLineChars="200" w:firstLine="420"/>
              <w:rPr>
                <w:szCs w:val="21"/>
              </w:rPr>
            </w:pPr>
            <w:r>
              <w:rPr>
                <w:rFonts w:hint="eastAsia"/>
                <w:szCs w:val="21"/>
              </w:rPr>
              <w:t>传统生物化学的中心内容是代谢：包括糖、脂类、氨基酸、核苷酸以及能量代谢等与生理功能的联系。分子生物学则着重在高层次分子水平上研究生命现象的本质：主要研究核酸、蛋白质与多糖等生物大分子、分子缔合与其组装体的超微结构与功能，研究生物信息传递、信息网络及其调控机制。这门课程包括三个部分：①生物大分子的结构与功能：包括蛋白质、核酸、糖复合物的分子结构、主要理化性质，并在分子水平上阐述其结构与功能的关系；②物质代谢与调节</w:t>
            </w:r>
            <w:r>
              <w:rPr>
                <w:szCs w:val="21"/>
              </w:rPr>
              <w:t>:</w:t>
            </w:r>
            <w:r>
              <w:rPr>
                <w:rFonts w:hint="eastAsia"/>
                <w:szCs w:val="21"/>
              </w:rPr>
              <w:t>物质代谢包括营养物质糖类、脂类、氨基酸的代谢变化，重点阐述主要代谢途径、生物氧化、能量转换以及相互联系；物质代谢还包括含氮化合物核苷酸的代谢、血红素的代谢和非营养物质的代谢在血液的生物化学和肝、胆生化章中叙述；③生命信息的传递与调控：阐明遗传学中心法则所提示的信息流向，</w:t>
            </w:r>
            <w:r>
              <w:rPr>
                <w:rFonts w:ascii="Times New Roman" w:hint="eastAsia"/>
                <w:szCs w:val="21"/>
              </w:rPr>
              <w:t>包括</w:t>
            </w:r>
            <w:r>
              <w:rPr>
                <w:rFonts w:ascii="Times New Roman" w:hAnsi="Times New Roman"/>
                <w:szCs w:val="21"/>
              </w:rPr>
              <w:t>DNA</w:t>
            </w:r>
            <w:r>
              <w:rPr>
                <w:rFonts w:hint="eastAsia"/>
                <w:szCs w:val="21"/>
              </w:rPr>
              <w:t>复制、</w:t>
            </w:r>
            <w:r>
              <w:rPr>
                <w:rFonts w:ascii="Times New Roman" w:hAnsi="Times New Roman"/>
                <w:szCs w:val="21"/>
              </w:rPr>
              <w:t>RNA</w:t>
            </w:r>
            <w:r>
              <w:rPr>
                <w:rFonts w:ascii="Times New Roman" w:hAnsi="Times New Roman" w:hint="eastAsia"/>
                <w:szCs w:val="21"/>
              </w:rPr>
              <w:t>转</w:t>
            </w:r>
            <w:r>
              <w:rPr>
                <w:rFonts w:hint="eastAsia"/>
                <w:szCs w:val="21"/>
              </w:rPr>
              <w:t>录、蛋白质生物合成（翻译）以及基因重组与基因工程。</w:t>
            </w:r>
          </w:p>
          <w:p w:rsidR="003717A0" w:rsidRDefault="003717A0">
            <w:pPr>
              <w:adjustRightInd w:val="0"/>
              <w:snapToGrid w:val="0"/>
              <w:spacing w:line="500" w:lineRule="exact"/>
              <w:ind w:firstLineChars="200" w:firstLine="420"/>
              <w:rPr>
                <w:szCs w:val="21"/>
              </w:rPr>
            </w:pPr>
            <w:r>
              <w:rPr>
                <w:rFonts w:hint="eastAsia"/>
                <w:szCs w:val="21"/>
              </w:rPr>
              <w:t>生物化学与分子生物学是一门重要的基础理论课程，是现代基础和临床医学理论及实践体系中的一个重要组成部分。在生命科学研究上，生物化学与分子生物学起着配合和驱动其他学科发展的作用，医学生要成为新世纪的开拓性、创新性的人才，扎实的生物化学与分子生物学基础是必要的条件之一。从而为学习其他基础医学及各类医学课程打下良好的基础。</w:t>
            </w:r>
          </w:p>
          <w:p w:rsidR="003717A0" w:rsidRDefault="003717A0">
            <w:pPr>
              <w:adjustRightInd w:val="0"/>
              <w:snapToGrid w:val="0"/>
              <w:spacing w:line="500" w:lineRule="exact"/>
              <w:ind w:firstLineChars="200" w:firstLine="420"/>
              <w:rPr>
                <w:szCs w:val="21"/>
              </w:rPr>
            </w:pPr>
            <w:r>
              <w:rPr>
                <w:rFonts w:hint="eastAsia"/>
                <w:szCs w:val="21"/>
              </w:rPr>
              <w:t>本课程教学的主要路径与方法：（</w:t>
            </w:r>
            <w:r>
              <w:rPr>
                <w:szCs w:val="21"/>
              </w:rPr>
              <w:t>1</w:t>
            </w:r>
            <w:r>
              <w:rPr>
                <w:rFonts w:hint="eastAsia"/>
                <w:szCs w:val="21"/>
              </w:rPr>
              <w:t>）通过理论课堂讲解生物化学与分子生物学的主要知识点，使学生掌握本课程的基本概念和知识，同时利用参考书和</w:t>
            </w:r>
            <w:r>
              <w:rPr>
                <w:szCs w:val="21"/>
              </w:rPr>
              <w:t>blackboard</w:t>
            </w:r>
            <w:r>
              <w:rPr>
                <w:rFonts w:hint="eastAsia"/>
                <w:szCs w:val="21"/>
              </w:rPr>
              <w:t>等网络平台，辅导学生逐步形成自主学习的能力；（</w:t>
            </w:r>
            <w:r>
              <w:rPr>
                <w:szCs w:val="21"/>
              </w:rPr>
              <w:t>2</w:t>
            </w:r>
            <w:r>
              <w:rPr>
                <w:rFonts w:hint="eastAsia"/>
                <w:szCs w:val="21"/>
              </w:rPr>
              <w:t>）利用校园网上教学的平台对每一章节进行自学和复习；（</w:t>
            </w:r>
            <w:r>
              <w:rPr>
                <w:szCs w:val="21"/>
              </w:rPr>
              <w:t>3</w:t>
            </w:r>
            <w:r>
              <w:rPr>
                <w:rFonts w:hint="eastAsia"/>
                <w:szCs w:val="21"/>
              </w:rPr>
              <w:t>）根据理论课中每个章节给出的内容提要以及课后思考题及时复习本章节的知识面。</w:t>
            </w:r>
          </w:p>
          <w:p w:rsidR="003717A0" w:rsidRDefault="003717A0">
            <w:pPr>
              <w:adjustRightInd w:val="0"/>
              <w:snapToGrid w:val="0"/>
              <w:spacing w:line="500" w:lineRule="exact"/>
              <w:rPr>
                <w:sz w:val="22"/>
              </w:rPr>
            </w:pPr>
          </w:p>
          <w:p w:rsidR="003717A0" w:rsidRDefault="003717A0">
            <w:pPr>
              <w:adjustRightInd w:val="0"/>
              <w:snapToGrid w:val="0"/>
              <w:spacing w:line="500" w:lineRule="exact"/>
              <w:ind w:firstLineChars="250" w:firstLine="550"/>
              <w:rPr>
                <w:rFonts w:ascii="Times New Roman" w:hAnsi="Times New Roman"/>
                <w:sz w:val="22"/>
              </w:rPr>
            </w:pPr>
          </w:p>
        </w:tc>
      </w:tr>
    </w:tbl>
    <w:p w:rsidR="003717A0" w:rsidRDefault="003717A0">
      <w:pPr>
        <w:adjustRightInd w:val="0"/>
        <w:spacing w:line="360" w:lineRule="auto"/>
        <w:contextualSpacing/>
        <w:jc w:val="center"/>
        <w:rPr>
          <w:rFonts w:ascii="黑体" w:eastAsia="黑体"/>
          <w:b/>
          <w:sz w:val="30"/>
          <w:szCs w:val="30"/>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rFonts w:ascii="Times New Roman" w:eastAsia="楷体_GB2312" w:hAnsi="Times New Roman"/>
          <w:sz w:val="24"/>
          <w:szCs w:val="24"/>
        </w:rPr>
        <w:t>170740</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42</w:t>
      </w:r>
      <w:r>
        <w:rPr>
          <w:rFonts w:ascii="Times New Roman" w:hAnsi="Times New Roman" w:hint="eastAsia"/>
          <w:kern w:val="0"/>
          <w:szCs w:val="21"/>
        </w:rPr>
        <w:t>学时（理论学时</w:t>
      </w:r>
      <w:r>
        <w:rPr>
          <w:rFonts w:ascii="Times New Roman" w:hAnsi="Times New Roman"/>
          <w:kern w:val="0"/>
          <w:szCs w:val="21"/>
        </w:rPr>
        <w:t>42</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2</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先修课程：无</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后续课程：专业课程</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auto"/>
        <w:jc w:val="left"/>
        <w:rPr>
          <w:rFonts w:ascii="Times New Roman" w:hAnsi="Times New Roman"/>
          <w:kern w:val="0"/>
          <w:szCs w:val="21"/>
        </w:rPr>
      </w:pPr>
      <w:r>
        <w:rPr>
          <w:rFonts w:ascii="Times New Roman" w:eastAsia="黑体" w:hAnsi="Times New Roman"/>
          <w:b/>
          <w:kern w:val="0"/>
          <w:sz w:val="24"/>
          <w:szCs w:val="24"/>
        </w:rPr>
        <w:t xml:space="preserve">   </w:t>
      </w:r>
      <w:r>
        <w:rPr>
          <w:rFonts w:ascii="Times New Roman" w:hAnsi="Times New Roman"/>
          <w:kern w:val="0"/>
          <w:szCs w:val="21"/>
        </w:rPr>
        <w:t> </w:t>
      </w:r>
      <w:r>
        <w:rPr>
          <w:rFonts w:ascii="Times New Roman" w:hAnsi="Times New Roman" w:hint="eastAsia"/>
          <w:kern w:val="0"/>
          <w:szCs w:val="21"/>
        </w:rPr>
        <w:t>生物化学是研究生物体内化学分子与化学反应的科学，从分子水平上研究生命现象的本质。本大纲以黄诒森主编的《生物化学与分子生物学》（第三版）为参考教材编制。课程的任务是：使学生通过本课程的学习，获得生物化学与分子生物学的基本理论和基本知识，还将了解本学科的新进展。为学习后续课程及从事与医学专业及有关的生命科学工作打下一定的理论基础。</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sz w:val="24"/>
        </w:rPr>
      </w:pPr>
      <w:r>
        <w:rPr>
          <w:rFonts w:ascii="Times New Roman" w:hAnsi="Times New Roman" w:hint="eastAsia"/>
          <w:kern w:val="0"/>
          <w:szCs w:val="21"/>
        </w:rPr>
        <w:t>通过本课程的学习，要求学生达到较系统掌握人体内的生物大分子结构和功能，以及三大营养物质的代谢过程与调控、基因信息的传递与调控过程，注重培养学生分析问题和解决问题的能力。将教材中的内容分为掌握、熟悉和了解</w:t>
      </w:r>
      <w:r>
        <w:rPr>
          <w:rFonts w:ascii="Times New Roman" w:hAnsi="Times New Roman"/>
          <w:kern w:val="0"/>
          <w:szCs w:val="21"/>
        </w:rPr>
        <w:t>3</w:t>
      </w:r>
      <w:r>
        <w:rPr>
          <w:rFonts w:ascii="Times New Roman" w:hAnsi="Times New Roman" w:hint="eastAsia"/>
          <w:kern w:val="0"/>
          <w:szCs w:val="21"/>
        </w:rPr>
        <w:t>个部分。对于必需掌握的内容，要求学生理解、记忆并能融会贯通。对于应该熟悉的内容，要求学生能基本理解并能记忆。对于了解的内容，可讲可不讲，但要求学生去阅读了解。</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rPr>
          <w:rFonts w:ascii="宋体" w:cs="宋体"/>
          <w:b/>
          <w:bCs/>
          <w:kern w:val="0"/>
          <w:sz w:val="22"/>
        </w:rPr>
      </w:pPr>
      <w:r>
        <w:rPr>
          <w:rFonts w:ascii="宋体" w:hAnsi="宋体" w:cs="宋体" w:hint="eastAsia"/>
          <w:b/>
          <w:bCs/>
          <w:kern w:val="0"/>
          <w:sz w:val="22"/>
        </w:rPr>
        <w:t>第一章生物大分子的结构与功能</w:t>
      </w:r>
    </w:p>
    <w:p w:rsidR="003717A0" w:rsidRDefault="003717A0">
      <w:pPr>
        <w:rPr>
          <w:rFonts w:ascii="宋体" w:cs="宋体"/>
          <w:b/>
          <w:bCs/>
          <w:kern w:val="0"/>
          <w:sz w:val="22"/>
        </w:rPr>
      </w:pPr>
      <w:r>
        <w:rPr>
          <w:rFonts w:ascii="宋体" w:hAnsi="宋体" w:cs="宋体" w:hint="eastAsia"/>
          <w:b/>
          <w:bCs/>
          <w:kern w:val="0"/>
          <w:sz w:val="22"/>
        </w:rPr>
        <w:t>第一节蛋白质的结构与功能</w:t>
      </w:r>
    </w:p>
    <w:p w:rsidR="003717A0" w:rsidRDefault="003717A0">
      <w:pPr>
        <w:rPr>
          <w:rFonts w:ascii="宋体" w:cs="宋体"/>
          <w:kern w:val="0"/>
          <w:szCs w:val="21"/>
        </w:rPr>
      </w:pPr>
      <w:r>
        <w:rPr>
          <w:rFonts w:ascii="宋体" w:hAnsi="宋体" w:cs="宋体" w:hint="eastAsia"/>
          <w:b/>
          <w:kern w:val="0"/>
          <w:szCs w:val="21"/>
        </w:rPr>
        <w:t>一、教学目的与要求</w:t>
      </w:r>
      <w:r>
        <w:rPr>
          <w:rFonts w:ascii="宋体" w:hAnsi="宋体" w:cs="宋体"/>
          <w:b/>
          <w:kern w:val="0"/>
          <w:szCs w:val="21"/>
        </w:rPr>
        <w:t>:</w:t>
      </w:r>
      <w:r>
        <w:rPr>
          <w:rFonts w:ascii="宋体" w:cs="宋体"/>
          <w:kern w:val="0"/>
          <w:szCs w:val="21"/>
        </w:rPr>
        <w:br/>
      </w:r>
      <w:r>
        <w:rPr>
          <w:rFonts w:ascii="宋体" w:hAnsi="宋体" w:cs="宋体" w:hint="eastAsia"/>
          <w:kern w:val="0"/>
          <w:szCs w:val="21"/>
        </w:rPr>
        <w:t>掌握：蛋白质的分子组成；蛋白质的分子结构。</w:t>
      </w:r>
      <w:r>
        <w:rPr>
          <w:rFonts w:ascii="宋体" w:cs="宋体"/>
          <w:kern w:val="0"/>
          <w:szCs w:val="21"/>
        </w:rPr>
        <w:br/>
      </w:r>
      <w:r>
        <w:rPr>
          <w:rFonts w:ascii="宋体" w:hAnsi="宋体" w:cs="宋体" w:hint="eastAsia"/>
          <w:kern w:val="0"/>
          <w:szCs w:val="21"/>
        </w:rPr>
        <w:t>熟悉：空间结构与功能的关系；蛋白质的理化性质。</w:t>
      </w:r>
      <w:r>
        <w:rPr>
          <w:rFonts w:ascii="宋体" w:cs="宋体"/>
          <w:kern w:val="0"/>
          <w:szCs w:val="21"/>
        </w:rPr>
        <w:br/>
      </w:r>
      <w:r>
        <w:rPr>
          <w:rFonts w:ascii="宋体" w:hAnsi="宋体" w:cs="宋体" w:hint="eastAsia"/>
          <w:b/>
          <w:kern w:val="0"/>
          <w:szCs w:val="21"/>
        </w:rPr>
        <w:t>二、教学内容：</w:t>
      </w:r>
      <w:r>
        <w:rPr>
          <w:rFonts w:ascii="宋体" w:cs="宋体"/>
          <w:kern w:val="0"/>
          <w:szCs w:val="21"/>
        </w:rPr>
        <w:br/>
      </w:r>
      <w:r>
        <w:rPr>
          <w:rFonts w:ascii="宋体" w:hAnsi="宋体" w:cs="宋体" w:hint="eastAsia"/>
          <w:kern w:val="0"/>
          <w:szCs w:val="21"/>
        </w:rPr>
        <w:t>（一）蛋白质的分子组成</w:t>
      </w:r>
      <w:r>
        <w:rPr>
          <w:rFonts w:ascii="宋体" w:cs="宋体"/>
          <w:kern w:val="0"/>
          <w:szCs w:val="21"/>
        </w:rPr>
        <w:br/>
      </w:r>
      <w:r>
        <w:rPr>
          <w:rFonts w:ascii="宋体" w:hAnsi="宋体" w:cs="宋体" w:hint="eastAsia"/>
          <w:kern w:val="0"/>
          <w:szCs w:val="21"/>
        </w:rPr>
        <w:t>氨基酸、肽键、肽。</w:t>
      </w:r>
      <w:r>
        <w:rPr>
          <w:rFonts w:ascii="宋体" w:cs="宋体"/>
          <w:kern w:val="0"/>
          <w:szCs w:val="21"/>
        </w:rPr>
        <w:br/>
      </w:r>
      <w:r>
        <w:rPr>
          <w:rFonts w:ascii="宋体" w:hAnsi="宋体" w:cs="宋体" w:hint="eastAsia"/>
          <w:kern w:val="0"/>
          <w:szCs w:val="21"/>
        </w:rPr>
        <w:t>（二）蛋白质的分子结构</w:t>
      </w:r>
      <w:r>
        <w:rPr>
          <w:rFonts w:ascii="宋体" w:cs="宋体"/>
          <w:kern w:val="0"/>
          <w:szCs w:val="21"/>
        </w:rPr>
        <w:br/>
      </w:r>
      <w:r>
        <w:rPr>
          <w:rFonts w:ascii="宋体" w:hAnsi="宋体" w:cs="宋体" w:hint="eastAsia"/>
          <w:kern w:val="0"/>
          <w:szCs w:val="21"/>
        </w:rPr>
        <w:t>蛋白质的一级结构、蛋白质的二级结构、蛋白质的三级结构、蛋白质的四级结构</w:t>
      </w:r>
    </w:p>
    <w:p w:rsidR="003717A0" w:rsidRDefault="003717A0">
      <w:pPr>
        <w:rPr>
          <w:rFonts w:ascii="宋体" w:cs="宋体"/>
          <w:kern w:val="0"/>
          <w:szCs w:val="21"/>
        </w:rPr>
      </w:pPr>
      <w:r>
        <w:rPr>
          <w:rFonts w:ascii="宋体" w:hAnsi="宋体" w:cs="宋体" w:hint="eastAsia"/>
          <w:kern w:val="0"/>
          <w:szCs w:val="21"/>
        </w:rPr>
        <w:t>（三）蛋白质的结构与功能的关系</w:t>
      </w:r>
      <w:r>
        <w:rPr>
          <w:rFonts w:ascii="宋体" w:cs="宋体"/>
          <w:kern w:val="0"/>
          <w:szCs w:val="21"/>
        </w:rPr>
        <w:br/>
      </w:r>
      <w:r>
        <w:rPr>
          <w:rFonts w:ascii="宋体" w:hAnsi="宋体" w:cs="宋体" w:hint="eastAsia"/>
          <w:kern w:val="0"/>
          <w:szCs w:val="21"/>
        </w:rPr>
        <w:t>蛋白质一级结构与功能的关系；蛋白质空间结构与功能的关系。</w:t>
      </w:r>
      <w:r>
        <w:rPr>
          <w:rFonts w:ascii="宋体" w:cs="宋体"/>
          <w:kern w:val="0"/>
          <w:szCs w:val="21"/>
        </w:rPr>
        <w:br/>
      </w:r>
      <w:r>
        <w:rPr>
          <w:rFonts w:ascii="宋体" w:hAnsi="宋体" w:cs="宋体" w:hint="eastAsia"/>
          <w:kern w:val="0"/>
          <w:szCs w:val="21"/>
        </w:rPr>
        <w:t>（四）蛋白质的理化性质及应用</w:t>
      </w:r>
      <w:r>
        <w:rPr>
          <w:rFonts w:ascii="宋体" w:cs="宋体"/>
          <w:kern w:val="0"/>
          <w:szCs w:val="21"/>
        </w:rPr>
        <w:br/>
      </w:r>
      <w:r>
        <w:rPr>
          <w:rFonts w:ascii="宋体" w:hAnsi="宋体" w:cs="宋体" w:hint="eastAsia"/>
          <w:kern w:val="0"/>
          <w:szCs w:val="21"/>
        </w:rPr>
        <w:t>蛋白质的理化性质；蛋白质的分离；蛋白质的分类。</w:t>
      </w:r>
    </w:p>
    <w:p w:rsidR="003717A0" w:rsidRDefault="003717A0">
      <w:pPr>
        <w:rPr>
          <w:rFonts w:ascii="宋体" w:cs="宋体"/>
          <w:kern w:val="0"/>
          <w:szCs w:val="21"/>
        </w:rPr>
      </w:pPr>
    </w:p>
    <w:p w:rsidR="003717A0" w:rsidRDefault="003717A0">
      <w:pPr>
        <w:rPr>
          <w:rFonts w:ascii="宋体" w:cs="宋体"/>
          <w:b/>
          <w:bCs/>
          <w:kern w:val="0"/>
          <w:szCs w:val="21"/>
        </w:rPr>
      </w:pPr>
      <w:r>
        <w:rPr>
          <w:rFonts w:ascii="宋体" w:hAnsi="宋体" w:cs="宋体" w:hint="eastAsia"/>
          <w:b/>
          <w:bCs/>
          <w:kern w:val="0"/>
          <w:szCs w:val="21"/>
        </w:rPr>
        <w:t>第二节核酸的结构与功能</w:t>
      </w:r>
    </w:p>
    <w:p w:rsidR="003717A0" w:rsidRDefault="003717A0">
      <w:pPr>
        <w:rPr>
          <w:rFonts w:ascii="宋体" w:cs="宋体"/>
          <w:kern w:val="0"/>
          <w:szCs w:val="21"/>
        </w:rPr>
      </w:pPr>
      <w:r>
        <w:rPr>
          <w:rStyle w:val="2Char0"/>
          <w:rFonts w:hint="eastAsia"/>
          <w:b/>
          <w:sz w:val="21"/>
        </w:rPr>
        <w:t>一、教学目的与要求：</w:t>
      </w:r>
      <w:r>
        <w:rPr>
          <w:rFonts w:ascii="宋体" w:cs="宋体"/>
          <w:kern w:val="0"/>
          <w:szCs w:val="21"/>
        </w:rPr>
        <w:br/>
      </w:r>
      <w:r>
        <w:rPr>
          <w:rFonts w:ascii="宋体" w:hAnsi="宋体" w:cs="宋体" w:hint="eastAsia"/>
          <w:kern w:val="0"/>
          <w:szCs w:val="21"/>
        </w:rPr>
        <w:t>掌握：核酸的化学组成及一级结构，核酸元素组成特点，碱基、核苷和核苷酸的结构和名称；</w:t>
      </w:r>
      <w:r>
        <w:rPr>
          <w:rFonts w:ascii="宋体" w:hAnsi="宋体" w:cs="宋体"/>
          <w:kern w:val="0"/>
          <w:szCs w:val="21"/>
        </w:rPr>
        <w:t>DNA</w:t>
      </w:r>
      <w:r>
        <w:rPr>
          <w:rFonts w:ascii="宋体" w:hAnsi="宋体" w:cs="宋体" w:hint="eastAsia"/>
          <w:kern w:val="0"/>
          <w:szCs w:val="21"/>
        </w:rPr>
        <w:t>双螺旋结构模型的要点；信使</w:t>
      </w:r>
      <w:r>
        <w:rPr>
          <w:rFonts w:ascii="宋体" w:hAnsi="宋体" w:cs="宋体"/>
          <w:kern w:val="0"/>
          <w:szCs w:val="21"/>
        </w:rPr>
        <w:t>RNA</w:t>
      </w:r>
      <w:r>
        <w:rPr>
          <w:rFonts w:ascii="宋体" w:hAnsi="宋体" w:cs="宋体" w:hint="eastAsia"/>
          <w:kern w:val="0"/>
          <w:szCs w:val="21"/>
        </w:rPr>
        <w:t>及转运</w:t>
      </w:r>
      <w:r>
        <w:rPr>
          <w:rFonts w:ascii="宋体" w:hAnsi="宋体" w:cs="宋体"/>
          <w:kern w:val="0"/>
          <w:szCs w:val="21"/>
        </w:rPr>
        <w:t>RNA</w:t>
      </w:r>
      <w:r>
        <w:rPr>
          <w:rFonts w:ascii="宋体" w:hAnsi="宋体" w:cs="宋体" w:hint="eastAsia"/>
          <w:kern w:val="0"/>
          <w:szCs w:val="21"/>
        </w:rPr>
        <w:t>的结构与功能</w:t>
      </w:r>
      <w:r>
        <w:rPr>
          <w:rFonts w:ascii="宋体" w:hAnsi="宋体" w:cs="宋体" w:hint="eastAsia"/>
          <w:kern w:val="0"/>
          <w:szCs w:val="20"/>
        </w:rPr>
        <w:t>，真核生物信使</w:t>
      </w:r>
      <w:r>
        <w:rPr>
          <w:rFonts w:ascii="宋体" w:hAnsi="宋体" w:cs="宋体"/>
          <w:kern w:val="0"/>
          <w:szCs w:val="20"/>
        </w:rPr>
        <w:t>RNA</w:t>
      </w:r>
      <w:r>
        <w:rPr>
          <w:rFonts w:ascii="宋体" w:hAnsi="宋体" w:cs="宋体" w:hint="eastAsia"/>
          <w:kern w:val="0"/>
          <w:szCs w:val="20"/>
        </w:rPr>
        <w:t>的结构特点；</w:t>
      </w:r>
      <w:r>
        <w:rPr>
          <w:kern w:val="0"/>
          <w:szCs w:val="20"/>
        </w:rPr>
        <w:t>tRNA</w:t>
      </w:r>
      <w:r>
        <w:rPr>
          <w:rFonts w:ascii="宋体" w:hAnsi="宋体" w:cs="宋体" w:hint="eastAsia"/>
          <w:kern w:val="0"/>
          <w:szCs w:val="20"/>
        </w:rPr>
        <w:t>的二级结构</w:t>
      </w:r>
      <w:r>
        <w:rPr>
          <w:rFonts w:ascii="宋体" w:hAnsi="宋体" w:cs="宋体" w:hint="eastAsia"/>
          <w:kern w:val="0"/>
          <w:szCs w:val="21"/>
        </w:rPr>
        <w:t>；</w:t>
      </w:r>
      <w:r>
        <w:rPr>
          <w:rFonts w:ascii="宋体" w:hAnsi="宋体" w:cs="宋体"/>
          <w:kern w:val="0"/>
          <w:szCs w:val="21"/>
        </w:rPr>
        <w:t>DNA</w:t>
      </w:r>
      <w:r>
        <w:rPr>
          <w:rFonts w:ascii="宋体" w:hAnsi="宋体" w:cs="宋体" w:hint="eastAsia"/>
          <w:kern w:val="0"/>
          <w:szCs w:val="21"/>
        </w:rPr>
        <w:t>的变性、复性与分子杂交。</w:t>
      </w:r>
      <w:r>
        <w:rPr>
          <w:rFonts w:ascii="宋体" w:cs="宋体"/>
          <w:kern w:val="0"/>
          <w:szCs w:val="21"/>
        </w:rPr>
        <w:br/>
      </w:r>
      <w:r>
        <w:rPr>
          <w:rFonts w:ascii="宋体" w:hAnsi="宋体" w:cs="宋体" w:hint="eastAsia"/>
          <w:kern w:val="0"/>
          <w:szCs w:val="21"/>
        </w:rPr>
        <w:t>熟悉：</w:t>
      </w:r>
      <w:r>
        <w:rPr>
          <w:rFonts w:ascii="宋体" w:hAnsi="宋体" w:cs="宋体"/>
          <w:kern w:val="0"/>
          <w:szCs w:val="21"/>
        </w:rPr>
        <w:t>DNA</w:t>
      </w:r>
      <w:r>
        <w:rPr>
          <w:rFonts w:ascii="宋体" w:hAnsi="宋体" w:cs="宋体" w:hint="eastAsia"/>
          <w:kern w:val="0"/>
          <w:szCs w:val="21"/>
        </w:rPr>
        <w:t>的超螺旋结构，</w:t>
      </w:r>
      <w:r>
        <w:rPr>
          <w:rFonts w:ascii="宋体" w:hAnsi="宋体" w:cs="宋体" w:hint="eastAsia"/>
          <w:kern w:val="0"/>
          <w:szCs w:val="20"/>
        </w:rPr>
        <w:t>真核生物染色质的基本单位</w:t>
      </w:r>
      <w:r>
        <w:rPr>
          <w:rFonts w:ascii="宋体" w:hAnsi="宋体" w:cs="宋体" w:hint="eastAsia"/>
          <w:kern w:val="0"/>
          <w:szCs w:val="21"/>
        </w:rPr>
        <w:t>核小体的结构；</w:t>
      </w:r>
      <w:r>
        <w:rPr>
          <w:rFonts w:ascii="宋体" w:hAnsi="宋体" w:cs="宋体"/>
          <w:kern w:val="0"/>
          <w:szCs w:val="21"/>
        </w:rPr>
        <w:t>DNA</w:t>
      </w:r>
      <w:r>
        <w:rPr>
          <w:rFonts w:ascii="宋体" w:hAnsi="宋体" w:cs="宋体" w:hint="eastAsia"/>
          <w:kern w:val="0"/>
          <w:szCs w:val="21"/>
        </w:rPr>
        <w:t>的功能；核酸的一般理化性质</w:t>
      </w:r>
      <w:r>
        <w:rPr>
          <w:rFonts w:ascii="宋体" w:cs="宋体"/>
          <w:kern w:val="0"/>
          <w:szCs w:val="21"/>
        </w:rPr>
        <w:br/>
      </w:r>
      <w:r>
        <w:rPr>
          <w:rStyle w:val="2Char0"/>
          <w:rFonts w:hint="eastAsia"/>
          <w:b/>
          <w:sz w:val="21"/>
        </w:rPr>
        <w:t>二、教学内容：</w:t>
      </w:r>
      <w:r>
        <w:rPr>
          <w:rFonts w:ascii="宋体" w:cs="宋体"/>
          <w:kern w:val="0"/>
          <w:szCs w:val="21"/>
        </w:rPr>
        <w:br/>
      </w:r>
      <w:r>
        <w:rPr>
          <w:rFonts w:ascii="宋体" w:hAnsi="宋体" w:cs="宋体" w:hint="eastAsia"/>
          <w:kern w:val="0"/>
          <w:szCs w:val="21"/>
        </w:rPr>
        <w:t>（一）核酸的化学组成及一级结构</w:t>
      </w:r>
      <w:r>
        <w:rPr>
          <w:rFonts w:ascii="宋体" w:cs="宋体"/>
          <w:kern w:val="0"/>
          <w:szCs w:val="21"/>
        </w:rPr>
        <w:br/>
      </w:r>
      <w:r>
        <w:rPr>
          <w:rFonts w:ascii="宋体" w:hAnsi="宋体" w:cs="宋体" w:hint="eastAsia"/>
          <w:kern w:val="0"/>
          <w:szCs w:val="21"/>
        </w:rPr>
        <w:t>核苷酸的结构；核酸的一级结构，</w:t>
      </w:r>
      <w:r>
        <w:rPr>
          <w:rFonts w:ascii="宋体" w:hAnsi="宋体" w:cs="宋体" w:hint="eastAsia"/>
          <w:kern w:val="0"/>
          <w:szCs w:val="20"/>
        </w:rPr>
        <w:t>单核苷酸之间的连接方式及多核苷酸链的方向性</w:t>
      </w:r>
      <w:r>
        <w:rPr>
          <w:rFonts w:ascii="宋体" w:cs="宋体"/>
          <w:kern w:val="0"/>
          <w:szCs w:val="21"/>
        </w:rPr>
        <w:br/>
      </w:r>
      <w:r>
        <w:rPr>
          <w:rFonts w:ascii="宋体" w:hAnsi="宋体" w:cs="宋体" w:hint="eastAsia"/>
          <w:kern w:val="0"/>
          <w:szCs w:val="21"/>
        </w:rPr>
        <w:t>（二）</w:t>
      </w:r>
      <w:r>
        <w:rPr>
          <w:rFonts w:ascii="宋体" w:hAnsi="宋体" w:cs="宋体"/>
          <w:kern w:val="0"/>
          <w:szCs w:val="21"/>
        </w:rPr>
        <w:t>DNA</w:t>
      </w:r>
      <w:r>
        <w:rPr>
          <w:rFonts w:ascii="宋体" w:hAnsi="宋体" w:cs="宋体" w:hint="eastAsia"/>
          <w:kern w:val="0"/>
          <w:szCs w:val="21"/>
        </w:rPr>
        <w:t>的空间结构与功能</w:t>
      </w:r>
      <w:r>
        <w:rPr>
          <w:rFonts w:ascii="宋体" w:cs="宋体"/>
          <w:kern w:val="0"/>
          <w:szCs w:val="21"/>
        </w:rPr>
        <w:br/>
      </w:r>
      <w:r>
        <w:rPr>
          <w:rFonts w:ascii="宋体" w:hAnsi="宋体" w:cs="宋体"/>
          <w:kern w:val="0"/>
          <w:szCs w:val="21"/>
        </w:rPr>
        <w:t>DNA</w:t>
      </w:r>
      <w:r>
        <w:rPr>
          <w:rFonts w:ascii="宋体" w:hAnsi="宋体" w:cs="宋体" w:hint="eastAsia"/>
          <w:kern w:val="0"/>
          <w:szCs w:val="21"/>
        </w:rPr>
        <w:t>的二级结构──双螺旋结构模型；</w:t>
      </w:r>
      <w:r>
        <w:rPr>
          <w:rFonts w:ascii="宋体" w:hAnsi="宋体" w:cs="宋体" w:hint="eastAsia"/>
          <w:kern w:val="0"/>
          <w:szCs w:val="20"/>
        </w:rPr>
        <w:t>碱基配对规律及维系双螺旋结构稳定的因素；</w:t>
      </w:r>
      <w:r>
        <w:rPr>
          <w:kern w:val="0"/>
          <w:szCs w:val="21"/>
        </w:rPr>
        <w:t>DNA</w:t>
      </w:r>
      <w:r>
        <w:rPr>
          <w:rFonts w:ascii="宋体" w:hAnsi="宋体" w:cs="宋体" w:hint="eastAsia"/>
          <w:kern w:val="0"/>
          <w:szCs w:val="21"/>
        </w:rPr>
        <w:t>的超螺旋结构及核小体在染色质中的组装；</w:t>
      </w:r>
      <w:r>
        <w:rPr>
          <w:rFonts w:ascii="宋体" w:hAnsi="宋体" w:cs="宋体"/>
          <w:kern w:val="0"/>
          <w:szCs w:val="21"/>
        </w:rPr>
        <w:t>DNA</w:t>
      </w:r>
      <w:r>
        <w:rPr>
          <w:rFonts w:ascii="宋体" w:hAnsi="宋体" w:cs="宋体" w:hint="eastAsia"/>
          <w:kern w:val="0"/>
          <w:szCs w:val="21"/>
        </w:rPr>
        <w:t>的功能</w:t>
      </w:r>
      <w:r>
        <w:rPr>
          <w:rFonts w:ascii="宋体" w:cs="宋体"/>
          <w:kern w:val="0"/>
          <w:szCs w:val="21"/>
        </w:rPr>
        <w:br/>
      </w:r>
      <w:r>
        <w:rPr>
          <w:rFonts w:ascii="宋体" w:hAnsi="宋体" w:cs="宋体" w:hint="eastAsia"/>
          <w:kern w:val="0"/>
          <w:szCs w:val="21"/>
        </w:rPr>
        <w:t>（三）</w:t>
      </w:r>
      <w:r>
        <w:rPr>
          <w:rFonts w:ascii="宋体" w:hAnsi="宋体" w:cs="宋体"/>
          <w:kern w:val="0"/>
          <w:szCs w:val="21"/>
        </w:rPr>
        <w:t>RNA</w:t>
      </w:r>
      <w:r>
        <w:rPr>
          <w:rFonts w:ascii="宋体" w:hAnsi="宋体" w:cs="宋体" w:hint="eastAsia"/>
          <w:kern w:val="0"/>
          <w:szCs w:val="21"/>
        </w:rPr>
        <w:t>的结构与功能</w:t>
      </w:r>
      <w:r>
        <w:rPr>
          <w:rFonts w:ascii="宋体" w:cs="宋体"/>
          <w:kern w:val="0"/>
          <w:szCs w:val="21"/>
        </w:rPr>
        <w:br/>
      </w:r>
      <w:r>
        <w:rPr>
          <w:rFonts w:ascii="宋体" w:hAnsi="宋体" w:cs="宋体" w:hint="eastAsia"/>
          <w:kern w:val="0"/>
          <w:szCs w:val="21"/>
        </w:rPr>
        <w:t>信使</w:t>
      </w:r>
      <w:r>
        <w:rPr>
          <w:rFonts w:ascii="宋体" w:hAnsi="宋体" w:cs="宋体"/>
          <w:kern w:val="0"/>
          <w:szCs w:val="21"/>
        </w:rPr>
        <w:t>RNA</w:t>
      </w:r>
      <w:r>
        <w:rPr>
          <w:rFonts w:ascii="宋体" w:hAnsi="宋体" w:cs="宋体" w:hint="eastAsia"/>
          <w:kern w:val="0"/>
          <w:szCs w:val="21"/>
        </w:rPr>
        <w:t>的结构与功能，真核生物信使</w:t>
      </w:r>
      <w:r>
        <w:rPr>
          <w:kern w:val="0"/>
          <w:szCs w:val="21"/>
        </w:rPr>
        <w:t>RNA</w:t>
      </w:r>
      <w:r>
        <w:rPr>
          <w:rFonts w:ascii="宋体" w:hAnsi="宋体" w:cs="宋体" w:hint="eastAsia"/>
          <w:kern w:val="0"/>
          <w:szCs w:val="21"/>
        </w:rPr>
        <w:t>的结构特点；转运</w:t>
      </w:r>
      <w:r>
        <w:rPr>
          <w:rFonts w:ascii="宋体" w:hAnsi="宋体" w:cs="宋体"/>
          <w:kern w:val="0"/>
          <w:szCs w:val="21"/>
        </w:rPr>
        <w:t>RNA</w:t>
      </w:r>
      <w:r>
        <w:rPr>
          <w:rFonts w:ascii="宋体" w:hAnsi="宋体" w:cs="宋体" w:hint="eastAsia"/>
          <w:kern w:val="0"/>
          <w:szCs w:val="21"/>
        </w:rPr>
        <w:t>的二级结构与功能；核蛋白体</w:t>
      </w:r>
      <w:r>
        <w:rPr>
          <w:rFonts w:ascii="宋体" w:hAnsi="宋体" w:cs="宋体"/>
          <w:kern w:val="0"/>
          <w:szCs w:val="21"/>
        </w:rPr>
        <w:t>RNA</w:t>
      </w:r>
      <w:r>
        <w:rPr>
          <w:rFonts w:ascii="宋体" w:hAnsi="宋体" w:cs="宋体" w:hint="eastAsia"/>
          <w:kern w:val="0"/>
          <w:szCs w:val="21"/>
        </w:rPr>
        <w:t>的结构与功能。</w:t>
      </w:r>
      <w:r>
        <w:rPr>
          <w:rFonts w:ascii="宋体" w:cs="宋体"/>
          <w:kern w:val="0"/>
          <w:szCs w:val="21"/>
        </w:rPr>
        <w:br/>
      </w:r>
      <w:r>
        <w:rPr>
          <w:rFonts w:ascii="宋体" w:hAnsi="宋体" w:cs="宋体" w:hint="eastAsia"/>
          <w:kern w:val="0"/>
          <w:szCs w:val="21"/>
        </w:rPr>
        <w:t>（四）核酸的理化性质、变性和复性及其应用。</w:t>
      </w:r>
      <w:r>
        <w:rPr>
          <w:rFonts w:ascii="宋体" w:cs="宋体"/>
          <w:kern w:val="0"/>
          <w:szCs w:val="21"/>
        </w:rPr>
        <w:br/>
      </w:r>
      <w:r>
        <w:rPr>
          <w:rFonts w:ascii="宋体" w:hAnsi="宋体" w:cs="宋体" w:hint="eastAsia"/>
          <w:kern w:val="0"/>
          <w:szCs w:val="21"/>
        </w:rPr>
        <w:t>核酸的一般理化性质，紫外吸收的特点；</w:t>
      </w:r>
      <w:r>
        <w:rPr>
          <w:rFonts w:ascii="宋体" w:hAnsi="宋体" w:cs="宋体"/>
          <w:kern w:val="0"/>
          <w:szCs w:val="21"/>
        </w:rPr>
        <w:t>DNA</w:t>
      </w:r>
      <w:r>
        <w:rPr>
          <w:rFonts w:ascii="宋体" w:hAnsi="宋体" w:cs="宋体" w:hint="eastAsia"/>
          <w:kern w:val="0"/>
          <w:szCs w:val="21"/>
        </w:rPr>
        <w:t>的变性、</w:t>
      </w:r>
      <w:r>
        <w:rPr>
          <w:rFonts w:ascii="宋体" w:hAnsi="宋体" w:cs="宋体"/>
          <w:kern w:val="0"/>
          <w:szCs w:val="21"/>
        </w:rPr>
        <w:t>DNA</w:t>
      </w:r>
      <w:r>
        <w:rPr>
          <w:rFonts w:ascii="宋体" w:hAnsi="宋体" w:cs="宋体" w:hint="eastAsia"/>
          <w:kern w:val="0"/>
          <w:szCs w:val="21"/>
        </w:rPr>
        <w:t>的复性与分子杂交。</w:t>
      </w:r>
    </w:p>
    <w:p w:rsidR="003717A0" w:rsidRDefault="003717A0">
      <w:pPr>
        <w:rPr>
          <w:rFonts w:ascii="宋体" w:cs="宋体"/>
          <w:kern w:val="0"/>
          <w:szCs w:val="21"/>
        </w:rPr>
      </w:pPr>
    </w:p>
    <w:p w:rsidR="003717A0" w:rsidRDefault="003717A0">
      <w:pPr>
        <w:rPr>
          <w:rFonts w:ascii="宋体" w:cs="宋体"/>
          <w:b/>
          <w:bCs/>
          <w:kern w:val="0"/>
          <w:szCs w:val="21"/>
        </w:rPr>
      </w:pPr>
      <w:r>
        <w:rPr>
          <w:rFonts w:ascii="宋体" w:hAnsi="宋体" w:cs="宋体" w:hint="eastAsia"/>
          <w:b/>
          <w:bCs/>
          <w:kern w:val="0"/>
          <w:szCs w:val="21"/>
        </w:rPr>
        <w:t>第三节酶</w:t>
      </w:r>
    </w:p>
    <w:p w:rsidR="003717A0" w:rsidRDefault="003717A0">
      <w:pPr>
        <w:rPr>
          <w:rFonts w:ascii="宋体" w:cs="宋体"/>
          <w:kern w:val="0"/>
          <w:szCs w:val="21"/>
        </w:rPr>
      </w:pPr>
      <w:r>
        <w:rPr>
          <w:rStyle w:val="2Char0"/>
          <w:rFonts w:hint="eastAsia"/>
          <w:b/>
          <w:sz w:val="21"/>
        </w:rPr>
        <w:t>一、教学目的与要求：</w:t>
      </w:r>
      <w:r>
        <w:rPr>
          <w:rFonts w:ascii="宋体" w:cs="宋体"/>
          <w:kern w:val="0"/>
          <w:szCs w:val="21"/>
        </w:rPr>
        <w:br/>
      </w:r>
      <w:r>
        <w:rPr>
          <w:rFonts w:ascii="宋体" w:hAnsi="宋体" w:cs="宋体" w:hint="eastAsia"/>
          <w:kern w:val="0"/>
          <w:szCs w:val="21"/>
        </w:rPr>
        <w:t>掌握：酶促反应的特点；酶的分子组成与活性中心；酶原激活、同工酶；底物浓度、酶浓度、</w:t>
      </w:r>
      <w:r>
        <w:rPr>
          <w:rFonts w:ascii="宋体" w:hAnsi="宋体" w:cs="宋体"/>
          <w:kern w:val="0"/>
          <w:szCs w:val="21"/>
        </w:rPr>
        <w:t>pH</w:t>
      </w:r>
      <w:r>
        <w:rPr>
          <w:rFonts w:ascii="宋体" w:hAnsi="宋体" w:cs="宋体" w:hint="eastAsia"/>
          <w:kern w:val="0"/>
          <w:szCs w:val="21"/>
        </w:rPr>
        <w:t>、温度、抑制剂和激活剂对酶促反应速度的影响；酶活性的调节：变构酶、共价修饰。</w:t>
      </w:r>
      <w:r>
        <w:rPr>
          <w:rFonts w:ascii="宋体" w:cs="宋体"/>
          <w:kern w:val="0"/>
          <w:szCs w:val="21"/>
        </w:rPr>
        <w:br/>
      </w:r>
      <w:r>
        <w:rPr>
          <w:rFonts w:ascii="宋体" w:hAnsi="宋体" w:cs="宋体" w:hint="eastAsia"/>
          <w:kern w:val="0"/>
          <w:szCs w:val="21"/>
        </w:rPr>
        <w:t>熟悉：酶的概念与本质；</w:t>
      </w:r>
      <w:r>
        <w:rPr>
          <w:rFonts w:ascii="宋体" w:cs="宋体"/>
          <w:kern w:val="0"/>
          <w:szCs w:val="21"/>
        </w:rPr>
        <w:br/>
      </w:r>
      <w:r>
        <w:rPr>
          <w:rFonts w:ascii="宋体" w:hAnsi="宋体" w:cs="宋体" w:hint="eastAsia"/>
          <w:kern w:val="0"/>
          <w:szCs w:val="21"/>
        </w:rPr>
        <w:t>了解：酶的分类与命名；酶与医学的关系。</w:t>
      </w:r>
      <w:r>
        <w:rPr>
          <w:rFonts w:ascii="宋体" w:cs="宋体"/>
          <w:kern w:val="0"/>
          <w:szCs w:val="21"/>
        </w:rPr>
        <w:br/>
      </w:r>
      <w:r>
        <w:rPr>
          <w:rFonts w:ascii="宋体" w:cs="宋体"/>
          <w:kern w:val="0"/>
          <w:szCs w:val="21"/>
        </w:rPr>
        <w:br/>
      </w:r>
      <w:r>
        <w:rPr>
          <w:rStyle w:val="2Char0"/>
          <w:rFonts w:hint="eastAsia"/>
          <w:b/>
          <w:sz w:val="21"/>
        </w:rPr>
        <w:t>二、教学内容：</w:t>
      </w:r>
      <w:r>
        <w:rPr>
          <w:rStyle w:val="2Char0"/>
          <w:sz w:val="21"/>
        </w:rPr>
        <w:br/>
      </w:r>
      <w:r>
        <w:rPr>
          <w:rFonts w:ascii="宋体" w:hAnsi="宋体" w:cs="宋体" w:hint="eastAsia"/>
          <w:kern w:val="0"/>
          <w:szCs w:val="21"/>
        </w:rPr>
        <w:t>（一）酶促反应的特点</w:t>
      </w:r>
      <w:r>
        <w:rPr>
          <w:rFonts w:ascii="宋体" w:cs="宋体"/>
          <w:kern w:val="0"/>
          <w:szCs w:val="21"/>
        </w:rPr>
        <w:br/>
      </w:r>
      <w:r>
        <w:rPr>
          <w:rFonts w:ascii="宋体" w:hAnsi="宋体" w:cs="宋体" w:hint="eastAsia"/>
          <w:kern w:val="0"/>
          <w:szCs w:val="21"/>
        </w:rPr>
        <w:t>酶促反应的特点。</w:t>
      </w:r>
    </w:p>
    <w:p w:rsidR="003717A0" w:rsidRDefault="003717A0">
      <w:pPr>
        <w:rPr>
          <w:rFonts w:ascii="宋体" w:cs="宋体"/>
          <w:kern w:val="0"/>
          <w:szCs w:val="21"/>
        </w:rPr>
      </w:pPr>
      <w:r>
        <w:rPr>
          <w:rFonts w:ascii="宋体" w:hAnsi="宋体" w:cs="宋体" w:hint="eastAsia"/>
          <w:kern w:val="0"/>
          <w:szCs w:val="21"/>
        </w:rPr>
        <w:t>（二）酶的分子结构与功能</w:t>
      </w:r>
      <w:r>
        <w:rPr>
          <w:rFonts w:ascii="宋体" w:cs="宋体"/>
          <w:kern w:val="0"/>
          <w:szCs w:val="21"/>
        </w:rPr>
        <w:br/>
      </w:r>
      <w:r>
        <w:rPr>
          <w:rFonts w:ascii="宋体" w:hAnsi="宋体" w:cs="宋体" w:hint="eastAsia"/>
          <w:kern w:val="0"/>
          <w:szCs w:val="21"/>
        </w:rPr>
        <w:t>酶的分子组成；酶的活性中心，酶原激活，同工酶</w:t>
      </w:r>
      <w:r>
        <w:rPr>
          <w:rFonts w:ascii="宋体" w:cs="宋体"/>
          <w:kern w:val="0"/>
          <w:szCs w:val="21"/>
        </w:rPr>
        <w:br/>
      </w:r>
      <w:r>
        <w:rPr>
          <w:rFonts w:ascii="宋体" w:hAnsi="宋体" w:cs="宋体" w:hint="eastAsia"/>
          <w:kern w:val="0"/>
          <w:szCs w:val="21"/>
        </w:rPr>
        <w:t>（三）酶促反应动力学</w:t>
      </w:r>
      <w:r>
        <w:rPr>
          <w:rFonts w:ascii="宋体" w:cs="宋体"/>
          <w:kern w:val="0"/>
          <w:szCs w:val="21"/>
        </w:rPr>
        <w:br/>
      </w:r>
      <w:r>
        <w:rPr>
          <w:rFonts w:ascii="宋体" w:hAnsi="宋体" w:cs="宋体" w:hint="eastAsia"/>
          <w:kern w:val="0"/>
          <w:szCs w:val="21"/>
        </w:rPr>
        <w:t>底物浓度、酶浓度、</w:t>
      </w:r>
      <w:r>
        <w:rPr>
          <w:rFonts w:ascii="宋体" w:hAnsi="宋体" w:cs="宋体"/>
          <w:kern w:val="0"/>
          <w:szCs w:val="21"/>
        </w:rPr>
        <w:t>pH</w:t>
      </w:r>
      <w:r>
        <w:rPr>
          <w:rFonts w:ascii="宋体" w:hAnsi="宋体" w:cs="宋体" w:hint="eastAsia"/>
          <w:kern w:val="0"/>
          <w:szCs w:val="21"/>
        </w:rPr>
        <w:t>、温度、抑制剂和激活剂对酶促反应速度的影响。</w:t>
      </w:r>
      <w:r>
        <w:rPr>
          <w:rFonts w:ascii="宋体" w:cs="宋体"/>
          <w:kern w:val="0"/>
          <w:szCs w:val="21"/>
        </w:rPr>
        <w:br/>
      </w:r>
      <w:r>
        <w:rPr>
          <w:rFonts w:ascii="宋体" w:hAnsi="宋体" w:cs="宋体" w:hint="eastAsia"/>
          <w:kern w:val="0"/>
          <w:szCs w:val="21"/>
        </w:rPr>
        <w:t>（四）酶的调节</w:t>
      </w:r>
      <w:r>
        <w:rPr>
          <w:rFonts w:ascii="宋体" w:cs="宋体"/>
          <w:kern w:val="0"/>
          <w:szCs w:val="21"/>
        </w:rPr>
        <w:br/>
      </w:r>
      <w:r>
        <w:rPr>
          <w:rFonts w:ascii="宋体" w:hAnsi="宋体" w:cs="宋体" w:hint="eastAsia"/>
          <w:kern w:val="0"/>
          <w:szCs w:val="21"/>
        </w:rPr>
        <w:t>酶活性的调节：变构酶、共价修饰。</w:t>
      </w:r>
      <w:r>
        <w:rPr>
          <w:rFonts w:ascii="宋体" w:cs="宋体"/>
          <w:kern w:val="0"/>
          <w:szCs w:val="21"/>
        </w:rPr>
        <w:br/>
      </w:r>
      <w:r>
        <w:rPr>
          <w:rFonts w:ascii="宋体" w:hAnsi="宋体" w:cs="宋体" w:hint="eastAsia"/>
          <w:kern w:val="0"/>
          <w:szCs w:val="21"/>
        </w:rPr>
        <w:t>（五）酶的命名与分类</w:t>
      </w:r>
      <w:r>
        <w:rPr>
          <w:rFonts w:ascii="宋体" w:cs="宋体"/>
          <w:kern w:val="0"/>
          <w:szCs w:val="21"/>
        </w:rPr>
        <w:br/>
      </w:r>
      <w:r>
        <w:rPr>
          <w:rFonts w:ascii="宋体" w:hAnsi="宋体" w:cs="宋体" w:hint="eastAsia"/>
          <w:kern w:val="0"/>
          <w:szCs w:val="21"/>
        </w:rPr>
        <w:t>（六）酶与医学的关系</w:t>
      </w:r>
    </w:p>
    <w:p w:rsidR="003717A0" w:rsidRDefault="003717A0">
      <w:pPr>
        <w:rPr>
          <w:kern w:val="0"/>
          <w:sz w:val="22"/>
        </w:rPr>
      </w:pPr>
      <w:r>
        <w:rPr>
          <w:rFonts w:hint="eastAsia"/>
          <w:kern w:val="0"/>
          <w:sz w:val="22"/>
        </w:rPr>
        <w:t>第二篇物质代谢</w:t>
      </w:r>
    </w:p>
    <w:p w:rsidR="003717A0" w:rsidRDefault="003717A0">
      <w:pPr>
        <w:pStyle w:val="af1"/>
        <w:spacing w:line="360" w:lineRule="auto"/>
        <w:rPr>
          <w:kern w:val="0"/>
        </w:rPr>
      </w:pPr>
      <w:r>
        <w:rPr>
          <w:rFonts w:hint="eastAsia"/>
          <w:kern w:val="0"/>
        </w:rPr>
        <w:t>第一节糖代谢</w:t>
      </w:r>
    </w:p>
    <w:p w:rsidR="003717A0" w:rsidRDefault="003717A0">
      <w:pPr>
        <w:widowControl/>
        <w:spacing w:line="360" w:lineRule="auto"/>
        <w:rPr>
          <w:rFonts w:ascii="宋体" w:cs="宋体"/>
          <w:kern w:val="0"/>
          <w:szCs w:val="21"/>
        </w:rPr>
      </w:pPr>
      <w:r>
        <w:rPr>
          <w:rStyle w:val="2Char0"/>
          <w:rFonts w:hint="eastAsia"/>
          <w:b/>
          <w:sz w:val="21"/>
        </w:rPr>
        <w:t>一、教学目的与要求：</w:t>
      </w:r>
      <w:r>
        <w:rPr>
          <w:rFonts w:ascii="宋体" w:cs="宋体"/>
          <w:kern w:val="0"/>
          <w:szCs w:val="21"/>
        </w:rPr>
        <w:br/>
      </w:r>
      <w:r>
        <w:rPr>
          <w:rFonts w:ascii="宋体" w:hAnsi="宋体" w:cs="宋体" w:hint="eastAsia"/>
          <w:kern w:val="0"/>
          <w:szCs w:val="21"/>
        </w:rPr>
        <w:t>掌握：糖酵解主要反应过程及生理意义；糖有氧氧化反应过程、生理意义以及生成</w:t>
      </w:r>
      <w:r>
        <w:rPr>
          <w:rFonts w:ascii="宋体" w:hAnsi="宋体" w:cs="宋体"/>
          <w:kern w:val="0"/>
          <w:szCs w:val="21"/>
        </w:rPr>
        <w:t>ATP</w:t>
      </w:r>
      <w:r>
        <w:rPr>
          <w:rFonts w:ascii="宋体" w:hAnsi="宋体" w:cs="宋体" w:hint="eastAsia"/>
          <w:kern w:val="0"/>
          <w:szCs w:val="21"/>
        </w:rPr>
        <w:t>的计算；磷酸戊糖途径的生理意义；糖原合成和分解的过程及调节机制；糖异生途径及生理意义；血糖的来源</w:t>
      </w:r>
      <w:r>
        <w:rPr>
          <w:rFonts w:ascii="宋体" w:hAnsi="宋体" w:cs="宋体" w:hint="eastAsia"/>
          <w:kern w:val="0"/>
          <w:szCs w:val="21"/>
        </w:rPr>
        <w:lastRenderedPageBreak/>
        <w:t>和去路。</w:t>
      </w:r>
      <w:r>
        <w:rPr>
          <w:rFonts w:ascii="宋体" w:cs="宋体"/>
          <w:kern w:val="0"/>
          <w:szCs w:val="21"/>
        </w:rPr>
        <w:br/>
      </w:r>
      <w:r>
        <w:rPr>
          <w:rFonts w:ascii="宋体" w:hAnsi="宋体" w:cs="宋体" w:hint="eastAsia"/>
          <w:kern w:val="0"/>
          <w:szCs w:val="21"/>
        </w:rPr>
        <w:t>熟悉：糖代谢概况、血糖水平调节。</w:t>
      </w:r>
      <w:r>
        <w:rPr>
          <w:rFonts w:ascii="宋体" w:cs="宋体"/>
          <w:kern w:val="0"/>
          <w:szCs w:val="21"/>
        </w:rPr>
        <w:br/>
      </w:r>
      <w:r>
        <w:rPr>
          <w:rFonts w:ascii="宋体" w:hAnsi="宋体" w:cs="宋体" w:hint="eastAsia"/>
          <w:kern w:val="0"/>
          <w:szCs w:val="21"/>
        </w:rPr>
        <w:t>了解：糖的生理功能、消化吸收；磷酸戊糖途径的基本过程；糖酵解、有氧氧化、磷酸戊糖途径调节；血糖水平异常。</w:t>
      </w:r>
      <w:r>
        <w:rPr>
          <w:rFonts w:ascii="宋体" w:cs="宋体"/>
          <w:kern w:val="0"/>
          <w:szCs w:val="21"/>
        </w:rPr>
        <w:br/>
      </w:r>
      <w:r>
        <w:rPr>
          <w:rFonts w:ascii="宋体" w:cs="宋体"/>
          <w:kern w:val="0"/>
          <w:szCs w:val="21"/>
        </w:rPr>
        <w:br/>
      </w:r>
      <w:r>
        <w:rPr>
          <w:rStyle w:val="2Char0"/>
          <w:rFonts w:hint="eastAsia"/>
          <w:b/>
          <w:sz w:val="21"/>
        </w:rPr>
        <w:t>二、教学内容：</w:t>
      </w:r>
      <w:r>
        <w:rPr>
          <w:rStyle w:val="2Char0"/>
          <w:sz w:val="21"/>
        </w:rPr>
        <w:br/>
      </w:r>
      <w:r>
        <w:rPr>
          <w:rFonts w:ascii="宋体" w:hAnsi="宋体" w:cs="宋体" w:hint="eastAsia"/>
          <w:kern w:val="0"/>
          <w:szCs w:val="21"/>
        </w:rPr>
        <w:t>（一）概述</w:t>
      </w:r>
      <w:r>
        <w:rPr>
          <w:rFonts w:ascii="宋体" w:cs="宋体"/>
          <w:kern w:val="0"/>
          <w:szCs w:val="21"/>
        </w:rPr>
        <w:br/>
      </w:r>
      <w:r>
        <w:rPr>
          <w:rFonts w:ascii="宋体" w:hAnsi="宋体" w:cs="宋体" w:hint="eastAsia"/>
          <w:kern w:val="0"/>
          <w:szCs w:val="21"/>
        </w:rPr>
        <w:t>糖的生理功能；糖的消化吸收；糖代谢的概况。</w:t>
      </w:r>
      <w:r>
        <w:rPr>
          <w:rFonts w:ascii="宋体" w:cs="宋体"/>
          <w:kern w:val="0"/>
          <w:szCs w:val="21"/>
        </w:rPr>
        <w:br/>
      </w:r>
      <w:r>
        <w:rPr>
          <w:rFonts w:ascii="宋体" w:hAnsi="宋体" w:cs="宋体" w:hint="eastAsia"/>
          <w:kern w:val="0"/>
          <w:szCs w:val="21"/>
        </w:rPr>
        <w:t>（二）糖的无氧分解</w:t>
      </w:r>
      <w:r>
        <w:rPr>
          <w:rFonts w:ascii="宋体" w:cs="宋体"/>
          <w:kern w:val="0"/>
          <w:szCs w:val="21"/>
        </w:rPr>
        <w:br/>
      </w:r>
      <w:r>
        <w:rPr>
          <w:rFonts w:ascii="宋体" w:hAnsi="宋体" w:cs="宋体" w:hint="eastAsia"/>
          <w:kern w:val="0"/>
          <w:szCs w:val="21"/>
        </w:rPr>
        <w:t>糖酵解的反应过程；糖酵解的生理意义。</w:t>
      </w:r>
      <w:r>
        <w:rPr>
          <w:rFonts w:ascii="宋体" w:cs="宋体"/>
          <w:kern w:val="0"/>
          <w:szCs w:val="21"/>
        </w:rPr>
        <w:br/>
      </w:r>
      <w:r>
        <w:rPr>
          <w:rFonts w:ascii="宋体" w:hAnsi="宋体" w:cs="宋体" w:hint="eastAsia"/>
          <w:kern w:val="0"/>
          <w:szCs w:val="21"/>
        </w:rPr>
        <w:t>（三）糖的有氧氧化</w:t>
      </w:r>
      <w:r>
        <w:rPr>
          <w:rFonts w:ascii="宋体" w:cs="宋体"/>
          <w:kern w:val="0"/>
          <w:szCs w:val="21"/>
        </w:rPr>
        <w:br/>
      </w:r>
      <w:r>
        <w:rPr>
          <w:rFonts w:ascii="宋体" w:hAnsi="宋体" w:cs="宋体" w:hint="eastAsia"/>
          <w:kern w:val="0"/>
          <w:szCs w:val="21"/>
        </w:rPr>
        <w:t>有氧氧化的反应过程；有氧氧化生成的</w:t>
      </w:r>
      <w:r>
        <w:rPr>
          <w:rFonts w:ascii="宋体" w:hAnsi="宋体" w:cs="宋体"/>
          <w:kern w:val="0"/>
          <w:szCs w:val="21"/>
        </w:rPr>
        <w:t>ATP</w:t>
      </w:r>
      <w:r>
        <w:rPr>
          <w:rFonts w:ascii="宋体" w:hAnsi="宋体" w:cs="宋体" w:hint="eastAsia"/>
          <w:kern w:val="0"/>
          <w:szCs w:val="21"/>
        </w:rPr>
        <w:t>。有氧氧化的生理意义</w:t>
      </w:r>
    </w:p>
    <w:p w:rsidR="003717A0" w:rsidRDefault="003717A0">
      <w:pPr>
        <w:widowControl/>
        <w:spacing w:line="360" w:lineRule="auto"/>
        <w:ind w:firstLineChars="350" w:firstLine="735"/>
        <w:rPr>
          <w:rFonts w:ascii="宋体" w:cs="宋体"/>
          <w:kern w:val="0"/>
          <w:szCs w:val="21"/>
        </w:rPr>
      </w:pPr>
      <w:r>
        <w:rPr>
          <w:rFonts w:ascii="宋体" w:hAnsi="宋体" w:cs="宋体" w:hint="eastAsia"/>
          <w:kern w:val="0"/>
          <w:szCs w:val="21"/>
        </w:rPr>
        <w:t>（四）磷酸戊糖途径</w:t>
      </w:r>
      <w:r>
        <w:rPr>
          <w:rFonts w:ascii="宋体" w:cs="宋体"/>
          <w:kern w:val="0"/>
          <w:szCs w:val="21"/>
        </w:rPr>
        <w:br/>
      </w:r>
      <w:r>
        <w:rPr>
          <w:rFonts w:ascii="宋体" w:hAnsi="宋体" w:cs="宋体" w:hint="eastAsia"/>
          <w:kern w:val="0"/>
          <w:szCs w:val="21"/>
        </w:rPr>
        <w:t>磷酸戊糖途径的反应过程；磷酸戊糖途径的生理意义。</w:t>
      </w:r>
      <w:r>
        <w:rPr>
          <w:rFonts w:ascii="宋体" w:cs="宋体"/>
          <w:kern w:val="0"/>
          <w:szCs w:val="21"/>
        </w:rPr>
        <w:br/>
      </w:r>
      <w:r>
        <w:rPr>
          <w:rFonts w:ascii="宋体" w:hAnsi="宋体" w:cs="宋体" w:hint="eastAsia"/>
          <w:kern w:val="0"/>
          <w:szCs w:val="21"/>
        </w:rPr>
        <w:t>（五）糖原的合成与分解</w:t>
      </w:r>
      <w:r>
        <w:rPr>
          <w:rFonts w:ascii="宋体" w:cs="宋体"/>
          <w:kern w:val="0"/>
          <w:szCs w:val="21"/>
        </w:rPr>
        <w:br/>
      </w:r>
      <w:r>
        <w:rPr>
          <w:rFonts w:ascii="宋体" w:hAnsi="宋体" w:cs="宋体" w:hint="eastAsia"/>
          <w:kern w:val="0"/>
          <w:szCs w:val="21"/>
        </w:rPr>
        <w:t>糖原的合成代谢、糖原的分解代谢、糖原合成与分解的调节。</w:t>
      </w:r>
      <w:r>
        <w:rPr>
          <w:rFonts w:ascii="宋体" w:cs="宋体"/>
          <w:kern w:val="0"/>
          <w:szCs w:val="21"/>
        </w:rPr>
        <w:br/>
      </w:r>
      <w:r>
        <w:rPr>
          <w:rFonts w:ascii="宋体" w:hAnsi="宋体" w:cs="宋体" w:hint="eastAsia"/>
          <w:kern w:val="0"/>
          <w:szCs w:val="21"/>
        </w:rPr>
        <w:t>（六）糖异生</w:t>
      </w:r>
      <w:r>
        <w:rPr>
          <w:rFonts w:ascii="宋体" w:cs="宋体"/>
          <w:kern w:val="0"/>
          <w:szCs w:val="21"/>
        </w:rPr>
        <w:br/>
      </w:r>
      <w:r>
        <w:rPr>
          <w:rFonts w:ascii="宋体" w:hAnsi="宋体" w:cs="宋体" w:hint="eastAsia"/>
          <w:kern w:val="0"/>
          <w:szCs w:val="21"/>
        </w:rPr>
        <w:t>糖异生途径；糖异生的生理意义。</w:t>
      </w:r>
    </w:p>
    <w:p w:rsidR="003717A0" w:rsidRDefault="003717A0">
      <w:pPr>
        <w:widowControl/>
        <w:spacing w:line="360" w:lineRule="auto"/>
        <w:ind w:firstLineChars="250" w:firstLine="525"/>
        <w:rPr>
          <w:rFonts w:ascii="宋体" w:cs="宋体"/>
          <w:kern w:val="0"/>
          <w:szCs w:val="21"/>
        </w:rPr>
      </w:pPr>
      <w:r>
        <w:rPr>
          <w:rFonts w:ascii="宋体" w:hAnsi="宋体" w:cs="宋体" w:hint="eastAsia"/>
          <w:kern w:val="0"/>
          <w:szCs w:val="21"/>
        </w:rPr>
        <w:t>（七）血糖及其调节</w:t>
      </w:r>
      <w:r>
        <w:rPr>
          <w:rFonts w:ascii="宋体" w:cs="宋体"/>
          <w:kern w:val="0"/>
          <w:szCs w:val="21"/>
        </w:rPr>
        <w:br/>
      </w:r>
      <w:r>
        <w:rPr>
          <w:rFonts w:ascii="宋体" w:hAnsi="宋体" w:cs="宋体" w:hint="eastAsia"/>
          <w:kern w:val="0"/>
          <w:szCs w:val="21"/>
        </w:rPr>
        <w:t>血糖的来源和去路；血糖水平的调节；血糖水平异常。</w:t>
      </w:r>
    </w:p>
    <w:p w:rsidR="003717A0" w:rsidRDefault="003717A0">
      <w:pPr>
        <w:pStyle w:val="af1"/>
        <w:spacing w:line="360" w:lineRule="auto"/>
        <w:rPr>
          <w:kern w:val="0"/>
        </w:rPr>
      </w:pPr>
      <w:r>
        <w:rPr>
          <w:rFonts w:hint="eastAsia"/>
          <w:kern w:val="0"/>
        </w:rPr>
        <w:t>第二节脂类代谢</w:t>
      </w:r>
    </w:p>
    <w:p w:rsidR="003717A0" w:rsidRDefault="003717A0">
      <w:pPr>
        <w:widowControl/>
        <w:spacing w:line="360" w:lineRule="auto"/>
        <w:rPr>
          <w:rFonts w:ascii="宋体" w:cs="宋体"/>
          <w:kern w:val="0"/>
          <w:szCs w:val="21"/>
        </w:rPr>
      </w:pPr>
      <w:r>
        <w:rPr>
          <w:rStyle w:val="2Char0"/>
          <w:rFonts w:hint="eastAsia"/>
          <w:b/>
          <w:sz w:val="21"/>
        </w:rPr>
        <w:t>一、教学目的与要求</w:t>
      </w:r>
      <w:r>
        <w:rPr>
          <w:rFonts w:ascii="宋体" w:cs="宋体"/>
          <w:kern w:val="0"/>
          <w:szCs w:val="21"/>
        </w:rPr>
        <w:br/>
      </w:r>
      <w:r>
        <w:rPr>
          <w:rFonts w:ascii="宋体" w:hAnsi="宋体" w:cs="宋体" w:hint="eastAsia"/>
          <w:kern w:val="0"/>
          <w:szCs w:val="21"/>
        </w:rPr>
        <w:t>掌握：必需脂肪酸、脂肪动员；脂酸的β</w:t>
      </w:r>
      <w:r>
        <w:rPr>
          <w:rFonts w:ascii="宋体" w:cs="宋体"/>
          <w:kern w:val="0"/>
          <w:szCs w:val="21"/>
        </w:rPr>
        <w:t>-</w:t>
      </w:r>
      <w:r>
        <w:rPr>
          <w:rFonts w:ascii="宋体" w:hAnsi="宋体" w:cs="宋体" w:hint="eastAsia"/>
          <w:kern w:val="0"/>
          <w:szCs w:val="21"/>
        </w:rPr>
        <w:t>氧化；酮体的生成及利用及生理意义；脂肪酸合成的原料、部位及主要酶类；甘油磷脂的组成、分类；胆固醇的转化，血脂、血浆脂蛋白的分类、组成及功能</w:t>
      </w:r>
      <w:r>
        <w:rPr>
          <w:rFonts w:ascii="宋体" w:cs="宋体"/>
          <w:kern w:val="0"/>
          <w:szCs w:val="21"/>
        </w:rPr>
        <w:br/>
      </w:r>
      <w:r>
        <w:rPr>
          <w:rFonts w:ascii="宋体" w:hAnsi="宋体" w:cs="宋体" w:hint="eastAsia"/>
          <w:kern w:val="0"/>
          <w:szCs w:val="21"/>
        </w:rPr>
        <w:t>熟悉：脂类的消化和吸收，甘油三酯的合成代谢，脂肪酸的合成代谢，胆固醇的合成；血浆脂蛋白的代谢</w:t>
      </w:r>
      <w:r>
        <w:rPr>
          <w:rFonts w:ascii="宋体" w:cs="宋体"/>
          <w:kern w:val="0"/>
          <w:szCs w:val="21"/>
        </w:rPr>
        <w:br/>
      </w:r>
      <w:r>
        <w:rPr>
          <w:rFonts w:ascii="宋体" w:hAnsi="宋体" w:cs="宋体" w:hint="eastAsia"/>
          <w:kern w:val="0"/>
          <w:szCs w:val="21"/>
        </w:rPr>
        <w:t>了解：血浆脂蛋白代谢异常与动脉粥样硬化的关系</w:t>
      </w:r>
      <w:r>
        <w:rPr>
          <w:rFonts w:ascii="宋体" w:cs="宋体"/>
          <w:kern w:val="0"/>
          <w:szCs w:val="21"/>
        </w:rPr>
        <w:br/>
      </w:r>
      <w:r>
        <w:rPr>
          <w:rFonts w:ascii="宋体" w:cs="宋体"/>
          <w:kern w:val="0"/>
          <w:szCs w:val="21"/>
        </w:rPr>
        <w:br/>
      </w:r>
      <w:r>
        <w:rPr>
          <w:rStyle w:val="2Char0"/>
          <w:rFonts w:hint="eastAsia"/>
          <w:b/>
          <w:sz w:val="21"/>
        </w:rPr>
        <w:t>二、教学内容：</w:t>
      </w:r>
      <w:r>
        <w:rPr>
          <w:rFonts w:ascii="宋体" w:cs="宋体"/>
          <w:kern w:val="0"/>
          <w:szCs w:val="21"/>
        </w:rPr>
        <w:br/>
      </w:r>
      <w:r>
        <w:rPr>
          <w:rFonts w:ascii="宋体" w:hAnsi="宋体" w:cs="宋体" w:hint="eastAsia"/>
          <w:kern w:val="0"/>
          <w:szCs w:val="21"/>
        </w:rPr>
        <w:t>（一）脂类的消化和吸收</w:t>
      </w:r>
      <w:r>
        <w:rPr>
          <w:rFonts w:ascii="宋体" w:cs="宋体"/>
          <w:kern w:val="0"/>
          <w:szCs w:val="21"/>
        </w:rPr>
        <w:br/>
      </w:r>
      <w:r>
        <w:rPr>
          <w:rFonts w:ascii="宋体" w:hAnsi="宋体" w:cs="宋体" w:hint="eastAsia"/>
          <w:kern w:val="0"/>
          <w:szCs w:val="21"/>
        </w:rPr>
        <w:lastRenderedPageBreak/>
        <w:t>（二）甘油三酯代谢</w:t>
      </w:r>
      <w:r>
        <w:rPr>
          <w:rFonts w:ascii="宋体" w:cs="宋体"/>
          <w:kern w:val="0"/>
          <w:szCs w:val="21"/>
        </w:rPr>
        <w:br/>
      </w:r>
      <w:r>
        <w:rPr>
          <w:rFonts w:ascii="宋体" w:hAnsi="宋体" w:cs="宋体" w:hint="eastAsia"/>
          <w:kern w:val="0"/>
          <w:szCs w:val="21"/>
        </w:rPr>
        <w:t>甘油三酯的分解代谢：脂肪动员，脂酸的β</w:t>
      </w:r>
      <w:r>
        <w:rPr>
          <w:rFonts w:ascii="宋体" w:cs="宋体"/>
          <w:kern w:val="0"/>
          <w:szCs w:val="21"/>
        </w:rPr>
        <w:t>-</w:t>
      </w:r>
      <w:r>
        <w:rPr>
          <w:rFonts w:ascii="宋体" w:hAnsi="宋体" w:cs="宋体" w:hint="eastAsia"/>
          <w:kern w:val="0"/>
          <w:szCs w:val="21"/>
        </w:rPr>
        <w:t>氧化，酮体的生成及利用及生理意义；甘油的分解。甘油三酯的合成代谢：脂酸的合成代谢；多不饱和脂酸的重要衍生物；甘油三酯的合成。</w:t>
      </w:r>
      <w:r>
        <w:rPr>
          <w:rFonts w:ascii="宋体" w:cs="宋体"/>
          <w:kern w:val="0"/>
          <w:szCs w:val="21"/>
        </w:rPr>
        <w:br/>
      </w:r>
      <w:r>
        <w:rPr>
          <w:rFonts w:ascii="宋体" w:hAnsi="宋体" w:cs="宋体" w:hint="eastAsia"/>
          <w:kern w:val="0"/>
          <w:szCs w:val="21"/>
        </w:rPr>
        <w:t>（三）磷脂和鞘糖脂代谢</w:t>
      </w:r>
      <w:r>
        <w:rPr>
          <w:rFonts w:ascii="宋体" w:cs="宋体"/>
          <w:kern w:val="0"/>
          <w:szCs w:val="21"/>
        </w:rPr>
        <w:br/>
      </w:r>
      <w:r>
        <w:rPr>
          <w:rFonts w:ascii="宋体" w:hAnsi="宋体" w:cs="宋体" w:hint="eastAsia"/>
          <w:kern w:val="0"/>
          <w:szCs w:val="21"/>
        </w:rPr>
        <w:t>甘油磷脂的代谢：甘油磷脂的组成、分类及结构，甘油磷脂的合成，甘油磷脂的降解</w:t>
      </w:r>
      <w:r>
        <w:rPr>
          <w:rFonts w:ascii="宋体" w:cs="宋体"/>
          <w:kern w:val="0"/>
          <w:szCs w:val="21"/>
        </w:rPr>
        <w:br/>
      </w:r>
      <w:r>
        <w:rPr>
          <w:rFonts w:ascii="宋体" w:hAnsi="宋体" w:cs="宋体" w:hint="eastAsia"/>
          <w:kern w:val="0"/>
          <w:szCs w:val="21"/>
        </w:rPr>
        <w:t>（四）胆固醇代谢</w:t>
      </w:r>
      <w:r>
        <w:rPr>
          <w:rFonts w:ascii="宋体" w:cs="宋体"/>
          <w:kern w:val="0"/>
          <w:szCs w:val="21"/>
        </w:rPr>
        <w:br/>
      </w:r>
      <w:r>
        <w:rPr>
          <w:rFonts w:ascii="宋体" w:hAnsi="宋体" w:cs="宋体" w:hint="eastAsia"/>
          <w:kern w:val="0"/>
          <w:szCs w:val="21"/>
        </w:rPr>
        <w:t>胆固醇的功能；胆固醇的合成及酯化；胆固醇的转化。</w:t>
      </w:r>
      <w:r>
        <w:rPr>
          <w:rFonts w:ascii="宋体" w:cs="宋体"/>
          <w:kern w:val="0"/>
          <w:szCs w:val="21"/>
        </w:rPr>
        <w:br/>
      </w:r>
      <w:r>
        <w:rPr>
          <w:rFonts w:ascii="宋体" w:hAnsi="宋体" w:cs="宋体" w:hint="eastAsia"/>
          <w:kern w:val="0"/>
          <w:szCs w:val="21"/>
        </w:rPr>
        <w:t>（五）血浆脂蛋白代谢</w:t>
      </w:r>
      <w:r>
        <w:rPr>
          <w:rFonts w:ascii="宋体" w:cs="宋体"/>
          <w:kern w:val="0"/>
          <w:szCs w:val="21"/>
        </w:rPr>
        <w:br/>
      </w:r>
      <w:r>
        <w:rPr>
          <w:rFonts w:ascii="宋体" w:hAnsi="宋体" w:cs="宋体" w:hint="eastAsia"/>
          <w:kern w:val="0"/>
          <w:szCs w:val="21"/>
        </w:rPr>
        <w:t>血脂、血浆脂蛋白的分类、组成及结构功能；血浆脂蛋白代谢；血浆脂蛋白代谢异常与动脉粥样硬化的关系。</w:t>
      </w:r>
    </w:p>
    <w:p w:rsidR="003717A0" w:rsidRDefault="003717A0">
      <w:pPr>
        <w:pStyle w:val="af1"/>
        <w:spacing w:line="360" w:lineRule="auto"/>
        <w:jc w:val="both"/>
        <w:rPr>
          <w:kern w:val="0"/>
        </w:rPr>
      </w:pPr>
      <w:r>
        <w:rPr>
          <w:rFonts w:hint="eastAsia"/>
          <w:kern w:val="0"/>
        </w:rPr>
        <w:t>第三节生物氧化</w:t>
      </w:r>
    </w:p>
    <w:p w:rsidR="003717A0" w:rsidRDefault="003717A0">
      <w:pPr>
        <w:widowControl/>
        <w:spacing w:line="360" w:lineRule="auto"/>
        <w:rPr>
          <w:rFonts w:ascii="宋体" w:cs="宋体"/>
          <w:kern w:val="0"/>
          <w:szCs w:val="21"/>
        </w:rPr>
      </w:pPr>
      <w:r>
        <w:rPr>
          <w:rStyle w:val="2Char0"/>
          <w:rFonts w:hint="eastAsia"/>
          <w:b/>
          <w:sz w:val="21"/>
        </w:rPr>
        <w:t>一、教学目的与要求：</w:t>
      </w:r>
      <w:r>
        <w:rPr>
          <w:rFonts w:ascii="宋体" w:cs="宋体"/>
          <w:kern w:val="0"/>
          <w:szCs w:val="21"/>
        </w:rPr>
        <w:br/>
      </w:r>
      <w:r>
        <w:rPr>
          <w:rFonts w:ascii="宋体" w:hAnsi="宋体" w:cs="宋体" w:hint="eastAsia"/>
          <w:kern w:val="0"/>
          <w:szCs w:val="21"/>
        </w:rPr>
        <w:t>掌握：呼吸链的组成、排列顺序；氧化磷酸化偶联部位；</w:t>
      </w:r>
      <w:r>
        <w:rPr>
          <w:rFonts w:ascii="宋体" w:cs="宋体"/>
          <w:kern w:val="0"/>
          <w:szCs w:val="21"/>
        </w:rPr>
        <w:br/>
      </w:r>
      <w:r>
        <w:rPr>
          <w:rFonts w:ascii="宋体" w:hAnsi="宋体" w:cs="宋体" w:hint="eastAsia"/>
          <w:kern w:val="0"/>
          <w:szCs w:val="21"/>
        </w:rPr>
        <w:t>熟悉：影响氧化磷酸化的因素；</w:t>
      </w:r>
      <w:r>
        <w:rPr>
          <w:rFonts w:ascii="宋体" w:hAnsi="宋体" w:cs="宋体"/>
          <w:kern w:val="0"/>
          <w:szCs w:val="21"/>
        </w:rPr>
        <w:t>ATP</w:t>
      </w:r>
      <w:r>
        <w:rPr>
          <w:rFonts w:ascii="宋体" w:hAnsi="宋体" w:cs="宋体" w:hint="eastAsia"/>
          <w:kern w:val="0"/>
          <w:szCs w:val="21"/>
        </w:rPr>
        <w:t>，胞液中</w:t>
      </w:r>
      <w:r>
        <w:rPr>
          <w:rFonts w:ascii="宋体" w:hAnsi="宋体" w:cs="宋体"/>
          <w:kern w:val="0"/>
          <w:szCs w:val="21"/>
        </w:rPr>
        <w:t>NADH</w:t>
      </w:r>
      <w:r>
        <w:rPr>
          <w:rFonts w:ascii="宋体" w:hAnsi="宋体" w:cs="宋体" w:hint="eastAsia"/>
          <w:kern w:val="0"/>
          <w:szCs w:val="21"/>
        </w:rPr>
        <w:t>的氧化。</w:t>
      </w:r>
      <w:r>
        <w:rPr>
          <w:rFonts w:ascii="宋体" w:cs="宋体"/>
          <w:kern w:val="0"/>
          <w:szCs w:val="21"/>
        </w:rPr>
        <w:br/>
      </w:r>
      <w:r>
        <w:rPr>
          <w:rFonts w:ascii="宋体" w:hAnsi="宋体" w:cs="宋体" w:hint="eastAsia"/>
          <w:kern w:val="0"/>
          <w:szCs w:val="21"/>
        </w:rPr>
        <w:t>了解：其他氧化体系</w:t>
      </w:r>
      <w:r>
        <w:rPr>
          <w:rFonts w:ascii="宋体" w:cs="宋体"/>
          <w:kern w:val="0"/>
          <w:szCs w:val="21"/>
        </w:rPr>
        <w:br/>
      </w:r>
      <w:r>
        <w:rPr>
          <w:rFonts w:ascii="宋体" w:cs="宋体"/>
          <w:kern w:val="0"/>
          <w:szCs w:val="21"/>
        </w:rPr>
        <w:br/>
      </w:r>
      <w:r>
        <w:rPr>
          <w:rStyle w:val="2Char0"/>
          <w:rFonts w:hint="eastAsia"/>
          <w:b/>
          <w:sz w:val="21"/>
        </w:rPr>
        <w:t>二、教学内容：</w:t>
      </w:r>
      <w:r>
        <w:rPr>
          <w:rStyle w:val="2Char0"/>
          <w:sz w:val="21"/>
        </w:rPr>
        <w:br/>
      </w:r>
      <w:r>
        <w:rPr>
          <w:rFonts w:ascii="宋体" w:hAnsi="宋体" w:cs="宋体" w:hint="eastAsia"/>
          <w:kern w:val="0"/>
          <w:szCs w:val="21"/>
        </w:rPr>
        <w:t>（一）生物氧化概念及</w:t>
      </w:r>
      <w:r>
        <w:rPr>
          <w:rFonts w:ascii="宋体" w:hAnsi="宋体" w:cs="宋体"/>
          <w:kern w:val="0"/>
          <w:szCs w:val="21"/>
        </w:rPr>
        <w:t>ATP</w:t>
      </w:r>
      <w:r>
        <w:rPr>
          <w:rFonts w:ascii="宋体" w:hAnsi="宋体" w:cs="宋体" w:hint="eastAsia"/>
          <w:kern w:val="0"/>
          <w:szCs w:val="21"/>
        </w:rPr>
        <w:t>作用与生成</w:t>
      </w:r>
    </w:p>
    <w:p w:rsidR="003717A0" w:rsidRDefault="003717A0">
      <w:pPr>
        <w:widowControl/>
        <w:spacing w:line="360" w:lineRule="auto"/>
        <w:ind w:firstLineChars="400" w:firstLine="840"/>
        <w:rPr>
          <w:rFonts w:ascii="宋体" w:cs="宋体"/>
          <w:kern w:val="0"/>
          <w:szCs w:val="21"/>
        </w:rPr>
      </w:pPr>
      <w:r>
        <w:rPr>
          <w:rFonts w:ascii="宋体" w:hAnsi="宋体" w:cs="宋体" w:hint="eastAsia"/>
          <w:kern w:val="0"/>
          <w:szCs w:val="21"/>
        </w:rPr>
        <w:t>（二）氧化磷酸化及呼吸链</w:t>
      </w:r>
      <w:r>
        <w:rPr>
          <w:rFonts w:ascii="宋体" w:cs="宋体"/>
          <w:kern w:val="0"/>
          <w:szCs w:val="21"/>
        </w:rPr>
        <w:br/>
      </w:r>
      <w:r>
        <w:rPr>
          <w:rFonts w:ascii="宋体" w:hAnsi="宋体" w:cs="宋体" w:hint="eastAsia"/>
          <w:kern w:val="0"/>
          <w:szCs w:val="21"/>
        </w:rPr>
        <w:t>氧化磷酸化概念；呼吸链：呼吸链的组成、排列顺序；氧化磷酸化：氧化磷酸化偶联部位；胞液中</w:t>
      </w:r>
      <w:r>
        <w:rPr>
          <w:rFonts w:ascii="宋体" w:hAnsi="宋体" w:cs="宋体"/>
          <w:kern w:val="0"/>
          <w:szCs w:val="21"/>
        </w:rPr>
        <w:t>NADH</w:t>
      </w:r>
      <w:r>
        <w:rPr>
          <w:rFonts w:ascii="宋体" w:hAnsi="宋体" w:cs="宋体" w:hint="eastAsia"/>
          <w:kern w:val="0"/>
          <w:szCs w:val="21"/>
        </w:rPr>
        <w:t>的氧化；影响氧化磷酸化的因素。</w:t>
      </w:r>
      <w:r>
        <w:rPr>
          <w:rFonts w:ascii="宋体" w:cs="宋体"/>
          <w:kern w:val="0"/>
          <w:szCs w:val="21"/>
        </w:rPr>
        <w:br/>
      </w:r>
      <w:r>
        <w:rPr>
          <w:rFonts w:ascii="宋体" w:hAnsi="宋体" w:cs="宋体" w:hint="eastAsia"/>
          <w:kern w:val="0"/>
          <w:szCs w:val="21"/>
        </w:rPr>
        <w:t>（三）其他氧化体系</w:t>
      </w:r>
      <w:r>
        <w:rPr>
          <w:rFonts w:ascii="宋体" w:cs="宋体"/>
          <w:kern w:val="0"/>
          <w:szCs w:val="21"/>
        </w:rPr>
        <w:br/>
      </w:r>
      <w:r>
        <w:rPr>
          <w:rFonts w:ascii="宋体" w:hAnsi="宋体" w:cs="宋体" w:hint="eastAsia"/>
          <w:kern w:val="0"/>
          <w:szCs w:val="21"/>
        </w:rPr>
        <w:t>过氧化物酶体中的氧化体系；微粒体氧化体系。</w:t>
      </w:r>
    </w:p>
    <w:p w:rsidR="003717A0" w:rsidRDefault="003717A0">
      <w:pPr>
        <w:pStyle w:val="af1"/>
        <w:spacing w:line="360" w:lineRule="auto"/>
        <w:rPr>
          <w:kern w:val="0"/>
        </w:rPr>
      </w:pPr>
      <w:r>
        <w:rPr>
          <w:rFonts w:hint="eastAsia"/>
          <w:kern w:val="0"/>
        </w:rPr>
        <w:t>第四节氨基酸代谢</w:t>
      </w:r>
    </w:p>
    <w:p w:rsidR="003717A0" w:rsidRDefault="003717A0">
      <w:pPr>
        <w:spacing w:line="360" w:lineRule="auto"/>
      </w:pPr>
      <w:r>
        <w:rPr>
          <w:rStyle w:val="2Char0"/>
          <w:rFonts w:hint="eastAsia"/>
          <w:b/>
          <w:sz w:val="21"/>
        </w:rPr>
        <w:t>一、教学目的与要求</w:t>
      </w:r>
      <w:r>
        <w:rPr>
          <w:kern w:val="0"/>
        </w:rPr>
        <w:br/>
      </w:r>
      <w:r>
        <w:rPr>
          <w:rFonts w:hint="eastAsia"/>
          <w:kern w:val="0"/>
        </w:rPr>
        <w:t>掌握：营养必需氨基酸、蛋白质互补作用以及氮平衡</w:t>
      </w:r>
      <w:r>
        <w:rPr>
          <w:rFonts w:ascii="宋体" w:hAnsi="宋体" w:cs="宋体" w:hint="eastAsia"/>
          <w:kern w:val="0"/>
          <w:szCs w:val="20"/>
        </w:rPr>
        <w:t>的概念</w:t>
      </w:r>
      <w:r>
        <w:rPr>
          <w:rFonts w:hint="eastAsia"/>
          <w:kern w:val="0"/>
        </w:rPr>
        <w:t>；氨基酸脱氨基作用；体内氨的来源、转运，尿素的生成；一碳单位的代谢；含硫氨基酸的代谢。</w:t>
      </w:r>
      <w:r>
        <w:rPr>
          <w:kern w:val="0"/>
        </w:rPr>
        <w:br/>
      </w:r>
      <w:r>
        <w:rPr>
          <w:rFonts w:hint="eastAsia"/>
          <w:kern w:val="0"/>
        </w:rPr>
        <w:t>熟悉：蛋白质的腐败作用以及蛋白质的降解途径；高血氨、氨中毒；氨基酸的脱羧基作用；芳香族氨基酸的代谢。</w:t>
      </w:r>
      <w:r>
        <w:rPr>
          <w:kern w:val="0"/>
        </w:rPr>
        <w:br/>
      </w:r>
      <w:r>
        <w:rPr>
          <w:rFonts w:hint="eastAsia"/>
          <w:kern w:val="0"/>
        </w:rPr>
        <w:t>了解：蛋白质的消化、氨基酸的吸收；体内蛋白质的的转换更新；α</w:t>
      </w:r>
      <w:r>
        <w:rPr>
          <w:kern w:val="0"/>
        </w:rPr>
        <w:t>-</w:t>
      </w:r>
      <w:r>
        <w:rPr>
          <w:rFonts w:hint="eastAsia"/>
          <w:kern w:val="0"/>
        </w:rPr>
        <w:t>酮酸代谢；尿素合成的调节；</w:t>
      </w:r>
      <w:r>
        <w:rPr>
          <w:rFonts w:hint="eastAsia"/>
          <w:kern w:val="0"/>
        </w:rPr>
        <w:lastRenderedPageBreak/>
        <w:t>支链氨基酸的代谢。</w:t>
      </w:r>
      <w:r>
        <w:rPr>
          <w:kern w:val="0"/>
        </w:rPr>
        <w:br/>
      </w:r>
      <w:r>
        <w:rPr>
          <w:kern w:val="0"/>
        </w:rPr>
        <w:br/>
      </w:r>
      <w:r>
        <w:rPr>
          <w:rStyle w:val="2Char0"/>
          <w:rFonts w:hint="eastAsia"/>
          <w:b/>
          <w:sz w:val="21"/>
        </w:rPr>
        <w:t>二、教学内容：</w:t>
      </w:r>
      <w:r>
        <w:rPr>
          <w:kern w:val="0"/>
        </w:rPr>
        <w:br/>
      </w:r>
      <w:r>
        <w:rPr>
          <w:rFonts w:hint="eastAsia"/>
        </w:rPr>
        <w:t>（一）氨基酸的生理功用、营养价值及代谢概况</w:t>
      </w:r>
    </w:p>
    <w:p w:rsidR="003717A0" w:rsidRDefault="003717A0">
      <w:pPr>
        <w:spacing w:line="360" w:lineRule="auto"/>
      </w:pPr>
      <w:r>
        <w:rPr>
          <w:rFonts w:hint="eastAsia"/>
        </w:rPr>
        <w:t>营养必需氨基酸、营养非必需氨基酸、限制性氨基酸、蛋白质互补作用以及氮平衡；</w:t>
      </w:r>
    </w:p>
    <w:p w:rsidR="003717A0" w:rsidRDefault="003717A0">
      <w:pPr>
        <w:spacing w:line="360" w:lineRule="auto"/>
        <w:ind w:firstLineChars="100" w:firstLine="210"/>
        <w:rPr>
          <w:kern w:val="0"/>
        </w:rPr>
      </w:pPr>
      <w:r>
        <w:rPr>
          <w:rFonts w:hint="eastAsia"/>
          <w:kern w:val="0"/>
        </w:rPr>
        <w:t>（二）</w:t>
      </w:r>
      <w:r>
        <w:rPr>
          <w:rFonts w:hint="eastAsia"/>
        </w:rPr>
        <w:t>氨基酸的来源</w:t>
      </w:r>
      <w:r>
        <w:rPr>
          <w:kern w:val="0"/>
        </w:rPr>
        <w:br/>
      </w:r>
      <w:r>
        <w:rPr>
          <w:rFonts w:hint="eastAsia"/>
          <w:kern w:val="0"/>
        </w:rPr>
        <w:t>蛋白质的消化；氨基酸的吸收；蛋白质的腐败作用；蛋白质降解途径；非必需氨基酸的生物合成</w:t>
      </w:r>
      <w:r>
        <w:rPr>
          <w:kern w:val="0"/>
        </w:rPr>
        <w:br/>
      </w:r>
      <w:r>
        <w:rPr>
          <w:rFonts w:hint="eastAsia"/>
          <w:kern w:val="0"/>
        </w:rPr>
        <w:t>（三）氨基酸的一般代谢</w:t>
      </w:r>
      <w:r>
        <w:rPr>
          <w:kern w:val="0"/>
        </w:rPr>
        <w:br/>
      </w:r>
      <w:r>
        <w:rPr>
          <w:rFonts w:hint="eastAsia"/>
          <w:kern w:val="0"/>
        </w:rPr>
        <w:t>体内蛋白质的转换更新；氨基酸代谢概况；氨基酸的脱氨基作用（转氨基作用、</w:t>
      </w:r>
      <w:r>
        <w:rPr>
          <w:kern w:val="0"/>
        </w:rPr>
        <w:t>L-</w:t>
      </w:r>
      <w:r>
        <w:rPr>
          <w:rFonts w:hint="eastAsia"/>
          <w:kern w:val="0"/>
        </w:rPr>
        <w:t>谷氨酸氧化脱氨基作用、嘌呤核苷酸循环）；α</w:t>
      </w:r>
      <w:r>
        <w:rPr>
          <w:kern w:val="0"/>
        </w:rPr>
        <w:t>-</w:t>
      </w:r>
      <w:r>
        <w:rPr>
          <w:rFonts w:hint="eastAsia"/>
          <w:kern w:val="0"/>
        </w:rPr>
        <w:t>酮酸的代谢。</w:t>
      </w:r>
      <w:r>
        <w:rPr>
          <w:kern w:val="0"/>
        </w:rPr>
        <w:br/>
      </w:r>
      <w:r>
        <w:rPr>
          <w:rFonts w:hint="eastAsia"/>
        </w:rPr>
        <w:t>（四）氨的代谢</w:t>
      </w:r>
      <w:r>
        <w:br/>
      </w:r>
      <w:r>
        <w:rPr>
          <w:rFonts w:hint="eastAsia"/>
        </w:rPr>
        <w:t>体内氨的来源；氨的转运；尿素的生成：肝是尿素合成的主要器官、尿素合成的鸟氨酸循环学说、鸟氨酸循环的详细步骤、尿素合成的调节、高血氨症和氨中毒。</w:t>
      </w:r>
    </w:p>
    <w:p w:rsidR="003717A0" w:rsidRDefault="003717A0">
      <w:pPr>
        <w:widowControl/>
        <w:spacing w:line="360" w:lineRule="auto"/>
        <w:rPr>
          <w:rFonts w:ascii="宋体" w:cs="宋体"/>
          <w:kern w:val="0"/>
          <w:szCs w:val="21"/>
        </w:rPr>
      </w:pPr>
      <w:r>
        <w:rPr>
          <w:rFonts w:hint="eastAsia"/>
        </w:rPr>
        <w:t>（五）个别氨基酸的代谢</w:t>
      </w:r>
      <w:r>
        <w:rPr>
          <w:rFonts w:ascii="宋体" w:cs="宋体"/>
          <w:kern w:val="0"/>
          <w:szCs w:val="21"/>
        </w:rPr>
        <w:br/>
      </w:r>
      <w:r>
        <w:rPr>
          <w:rFonts w:ascii="宋体" w:hAnsi="宋体" w:cs="宋体" w:hint="eastAsia"/>
          <w:kern w:val="0"/>
          <w:szCs w:val="21"/>
        </w:rPr>
        <w:t>氨基酸的脱羧基作用；一碳单位的代谢：一碳单位与四氢叶酸、一碳单位与氨基酸代谢、一碳单位的相互转变、一碳单位的生理功用；含硫氨基酸的代谢：甲硫氨酸的代谢、半胱氨酸与胱氨酸的代谢；肌酸的代谢；芳香族氨基酸的代谢：苯丙氨酸和酪氨酸的代谢、色氨酸的代谢；支链氨基酸的代谢。</w:t>
      </w:r>
    </w:p>
    <w:p w:rsidR="003717A0" w:rsidRDefault="003717A0">
      <w:pPr>
        <w:widowControl/>
        <w:spacing w:line="360" w:lineRule="auto"/>
        <w:rPr>
          <w:rFonts w:ascii="宋体" w:cs="宋体"/>
          <w:bCs/>
          <w:kern w:val="0"/>
          <w:sz w:val="24"/>
        </w:rPr>
      </w:pPr>
    </w:p>
    <w:p w:rsidR="003717A0" w:rsidRDefault="003717A0">
      <w:pPr>
        <w:pStyle w:val="af1"/>
        <w:spacing w:line="360" w:lineRule="auto"/>
        <w:rPr>
          <w:kern w:val="0"/>
        </w:rPr>
      </w:pPr>
      <w:r>
        <w:rPr>
          <w:rFonts w:hint="eastAsia"/>
          <w:kern w:val="0"/>
        </w:rPr>
        <w:t>第三篇基因表达与基因工程</w:t>
      </w:r>
    </w:p>
    <w:p w:rsidR="003717A0" w:rsidRDefault="003717A0">
      <w:pPr>
        <w:pStyle w:val="af1"/>
        <w:spacing w:line="360" w:lineRule="auto"/>
        <w:rPr>
          <w:kern w:val="0"/>
        </w:rPr>
      </w:pPr>
      <w:r>
        <w:rPr>
          <w:rFonts w:hint="eastAsia"/>
          <w:kern w:val="0"/>
        </w:rPr>
        <w:t>第一节</w:t>
      </w:r>
      <w:r>
        <w:rPr>
          <w:kern w:val="0"/>
        </w:rPr>
        <w:t>DNA</w:t>
      </w:r>
      <w:r>
        <w:rPr>
          <w:rFonts w:hint="eastAsia"/>
          <w:kern w:val="0"/>
        </w:rPr>
        <w:t>的生物合成</w:t>
      </w:r>
    </w:p>
    <w:p w:rsidR="003717A0" w:rsidRDefault="003717A0">
      <w:pPr>
        <w:widowControl/>
        <w:spacing w:line="360" w:lineRule="auto"/>
        <w:rPr>
          <w:rFonts w:ascii="宋体" w:cs="宋体"/>
          <w:kern w:val="0"/>
          <w:szCs w:val="21"/>
        </w:rPr>
      </w:pPr>
      <w:r>
        <w:rPr>
          <w:rStyle w:val="2Char0"/>
          <w:rFonts w:hint="eastAsia"/>
          <w:b/>
          <w:sz w:val="21"/>
        </w:rPr>
        <w:t>一、教学目的与要求</w:t>
      </w:r>
      <w:r>
        <w:rPr>
          <w:rStyle w:val="2Char0"/>
          <w:sz w:val="21"/>
        </w:rPr>
        <w:br/>
      </w:r>
      <w:r>
        <w:rPr>
          <w:rFonts w:ascii="宋体" w:hAnsi="宋体" w:cs="宋体" w:hint="eastAsia"/>
          <w:kern w:val="0"/>
          <w:szCs w:val="21"/>
        </w:rPr>
        <w:t>掌握：</w:t>
      </w:r>
      <w:r>
        <w:rPr>
          <w:rFonts w:ascii="宋体" w:hAnsi="宋体" w:cs="宋体"/>
          <w:kern w:val="0"/>
          <w:szCs w:val="20"/>
        </w:rPr>
        <w:t>DNA</w:t>
      </w:r>
      <w:r>
        <w:rPr>
          <w:rFonts w:ascii="宋体" w:hAnsi="宋体" w:cs="宋体" w:hint="eastAsia"/>
          <w:kern w:val="0"/>
          <w:szCs w:val="20"/>
        </w:rPr>
        <w:t>生物合成的概念；</w:t>
      </w:r>
      <w:r>
        <w:rPr>
          <w:rFonts w:ascii="宋体" w:hAnsi="宋体" w:cs="宋体"/>
          <w:kern w:val="0"/>
          <w:szCs w:val="20"/>
        </w:rPr>
        <w:t>DNA</w:t>
      </w:r>
      <w:r>
        <w:rPr>
          <w:rFonts w:ascii="宋体" w:hAnsi="宋体" w:cs="宋体" w:hint="eastAsia"/>
          <w:kern w:val="0"/>
          <w:szCs w:val="20"/>
        </w:rPr>
        <w:t>的</w:t>
      </w:r>
      <w:r>
        <w:rPr>
          <w:rFonts w:ascii="宋体" w:hAnsi="宋体" w:cs="宋体" w:hint="eastAsia"/>
          <w:kern w:val="0"/>
          <w:szCs w:val="21"/>
        </w:rPr>
        <w:t>复制；</w:t>
      </w:r>
      <w:r>
        <w:rPr>
          <w:rFonts w:ascii="宋体" w:hAnsi="宋体" w:cs="宋体"/>
          <w:kern w:val="0"/>
          <w:szCs w:val="21"/>
        </w:rPr>
        <w:t>DNA</w:t>
      </w:r>
      <w:r>
        <w:rPr>
          <w:rFonts w:ascii="宋体" w:hAnsi="宋体" w:cs="宋体" w:hint="eastAsia"/>
          <w:kern w:val="0"/>
          <w:szCs w:val="21"/>
        </w:rPr>
        <w:t>复制的酶及生物合成过程；逆转录酶和逆转录过程。</w:t>
      </w:r>
      <w:r>
        <w:rPr>
          <w:rFonts w:ascii="宋体" w:cs="宋体"/>
          <w:kern w:val="0"/>
          <w:szCs w:val="21"/>
        </w:rPr>
        <w:br/>
      </w:r>
      <w:r>
        <w:rPr>
          <w:rFonts w:ascii="宋体" w:hAnsi="宋体" w:cs="宋体" w:hint="eastAsia"/>
          <w:kern w:val="0"/>
          <w:szCs w:val="21"/>
        </w:rPr>
        <w:t>熟悉：真核生物的</w:t>
      </w:r>
      <w:r>
        <w:rPr>
          <w:rFonts w:ascii="宋体" w:hAnsi="宋体" w:cs="宋体"/>
          <w:kern w:val="0"/>
          <w:szCs w:val="21"/>
        </w:rPr>
        <w:t>DNA</w:t>
      </w:r>
      <w:r>
        <w:rPr>
          <w:rFonts w:ascii="宋体" w:hAnsi="宋体" w:cs="宋体" w:hint="eastAsia"/>
          <w:kern w:val="0"/>
          <w:szCs w:val="21"/>
        </w:rPr>
        <w:t>生物合成的特点；</w:t>
      </w:r>
      <w:r>
        <w:rPr>
          <w:rFonts w:ascii="宋体" w:hAnsi="宋体" w:cs="宋体"/>
          <w:kern w:val="0"/>
          <w:szCs w:val="21"/>
        </w:rPr>
        <w:t>DNA</w:t>
      </w:r>
      <w:r>
        <w:rPr>
          <w:rFonts w:ascii="宋体" w:hAnsi="宋体" w:cs="宋体" w:hint="eastAsia"/>
          <w:kern w:val="0"/>
          <w:szCs w:val="21"/>
        </w:rPr>
        <w:t>损伤与修复。</w:t>
      </w:r>
      <w:r>
        <w:rPr>
          <w:rFonts w:ascii="宋体" w:cs="宋体"/>
          <w:kern w:val="0"/>
          <w:szCs w:val="21"/>
        </w:rPr>
        <w:br/>
      </w:r>
      <w:r>
        <w:rPr>
          <w:rFonts w:ascii="宋体" w:hAnsi="宋体" w:cs="宋体" w:hint="eastAsia"/>
          <w:kern w:val="0"/>
          <w:szCs w:val="21"/>
        </w:rPr>
        <w:t>了解：逆转录研究的意义。</w:t>
      </w:r>
      <w:r>
        <w:rPr>
          <w:rFonts w:ascii="宋体" w:cs="宋体"/>
          <w:kern w:val="0"/>
          <w:szCs w:val="21"/>
        </w:rPr>
        <w:br/>
      </w:r>
      <w:r>
        <w:rPr>
          <w:rFonts w:ascii="宋体" w:cs="宋体"/>
          <w:kern w:val="0"/>
          <w:szCs w:val="21"/>
        </w:rPr>
        <w:br/>
      </w:r>
      <w:r>
        <w:rPr>
          <w:rStyle w:val="2Char0"/>
          <w:rFonts w:hint="eastAsia"/>
          <w:b/>
          <w:sz w:val="21"/>
        </w:rPr>
        <w:t>二、教学内容</w:t>
      </w:r>
      <w:r>
        <w:rPr>
          <w:rStyle w:val="2Char0"/>
          <w:sz w:val="21"/>
        </w:rPr>
        <w:br/>
      </w:r>
      <w:r>
        <w:rPr>
          <w:rFonts w:ascii="宋体" w:hAnsi="宋体" w:cs="宋体" w:hint="eastAsia"/>
          <w:kern w:val="0"/>
          <w:szCs w:val="21"/>
        </w:rPr>
        <w:t>（一）</w:t>
      </w:r>
      <w:r>
        <w:rPr>
          <w:rFonts w:ascii="宋体" w:hAnsi="宋体" w:cs="宋体"/>
          <w:kern w:val="0"/>
          <w:szCs w:val="21"/>
        </w:rPr>
        <w:t>DNA</w:t>
      </w:r>
      <w:r>
        <w:rPr>
          <w:rFonts w:ascii="宋体" w:hAnsi="宋体" w:cs="宋体" w:hint="eastAsia"/>
          <w:kern w:val="0"/>
          <w:szCs w:val="21"/>
        </w:rPr>
        <w:t>复制的基本规律</w:t>
      </w:r>
      <w:r>
        <w:rPr>
          <w:rFonts w:ascii="宋体" w:cs="宋体"/>
          <w:kern w:val="0"/>
          <w:szCs w:val="21"/>
        </w:rPr>
        <w:br/>
      </w:r>
      <w:r>
        <w:rPr>
          <w:rFonts w:ascii="宋体" w:hAnsi="宋体" w:cs="宋体" w:hint="eastAsia"/>
          <w:kern w:val="0"/>
          <w:szCs w:val="21"/>
        </w:rPr>
        <w:t>半保留复制的实验依据和意义；双向复制；复制的半不连续性。</w:t>
      </w:r>
      <w:r>
        <w:rPr>
          <w:rFonts w:ascii="宋体" w:cs="宋体"/>
          <w:kern w:val="0"/>
          <w:szCs w:val="21"/>
        </w:rPr>
        <w:br/>
      </w:r>
      <w:r>
        <w:rPr>
          <w:rFonts w:ascii="宋体" w:hAnsi="宋体" w:cs="宋体" w:hint="eastAsia"/>
          <w:kern w:val="0"/>
          <w:szCs w:val="21"/>
        </w:rPr>
        <w:t>（二）</w:t>
      </w:r>
      <w:r>
        <w:rPr>
          <w:rFonts w:ascii="宋体" w:hAnsi="宋体" w:cs="宋体"/>
          <w:kern w:val="0"/>
          <w:szCs w:val="21"/>
        </w:rPr>
        <w:t>DNA</w:t>
      </w:r>
      <w:r>
        <w:rPr>
          <w:rFonts w:ascii="宋体" w:hAnsi="宋体" w:cs="宋体" w:hint="eastAsia"/>
          <w:kern w:val="0"/>
          <w:szCs w:val="21"/>
        </w:rPr>
        <w:t>生物合成的酶与过程</w:t>
      </w:r>
      <w:r>
        <w:rPr>
          <w:rFonts w:ascii="宋体" w:cs="宋体"/>
          <w:kern w:val="0"/>
          <w:szCs w:val="21"/>
        </w:rPr>
        <w:br/>
      </w:r>
      <w:r>
        <w:rPr>
          <w:rFonts w:ascii="宋体" w:hAnsi="宋体" w:cs="宋体" w:hint="eastAsia"/>
          <w:kern w:val="0"/>
          <w:szCs w:val="21"/>
        </w:rPr>
        <w:lastRenderedPageBreak/>
        <w:t>原核生物的</w:t>
      </w:r>
      <w:r>
        <w:rPr>
          <w:rFonts w:ascii="宋体" w:hAnsi="宋体" w:cs="宋体"/>
          <w:kern w:val="0"/>
          <w:szCs w:val="21"/>
        </w:rPr>
        <w:t>DNA</w:t>
      </w:r>
      <w:r>
        <w:rPr>
          <w:rFonts w:ascii="宋体" w:hAnsi="宋体" w:cs="宋体" w:hint="eastAsia"/>
          <w:kern w:val="0"/>
          <w:szCs w:val="21"/>
        </w:rPr>
        <w:t>生物合成酶与过程；真核生物的</w:t>
      </w:r>
      <w:r>
        <w:rPr>
          <w:rFonts w:ascii="宋体" w:hAnsi="宋体" w:cs="宋体"/>
          <w:kern w:val="0"/>
          <w:szCs w:val="21"/>
        </w:rPr>
        <w:t>DNA</w:t>
      </w:r>
      <w:r>
        <w:rPr>
          <w:rFonts w:ascii="宋体" w:hAnsi="宋体" w:cs="宋体" w:hint="eastAsia"/>
          <w:kern w:val="0"/>
          <w:szCs w:val="21"/>
        </w:rPr>
        <w:t>生物合成的特点。</w:t>
      </w:r>
      <w:r>
        <w:rPr>
          <w:rFonts w:ascii="宋体" w:cs="宋体"/>
          <w:kern w:val="0"/>
          <w:szCs w:val="21"/>
        </w:rPr>
        <w:br/>
      </w:r>
      <w:r>
        <w:rPr>
          <w:rFonts w:ascii="宋体" w:hAnsi="宋体" w:cs="宋体" w:hint="eastAsia"/>
          <w:kern w:val="0"/>
          <w:szCs w:val="21"/>
        </w:rPr>
        <w:t>（三）</w:t>
      </w:r>
      <w:r>
        <w:rPr>
          <w:rFonts w:ascii="宋体" w:hAnsi="宋体" w:cs="宋体"/>
          <w:kern w:val="0"/>
          <w:szCs w:val="21"/>
        </w:rPr>
        <w:t>DNA</w:t>
      </w:r>
      <w:r>
        <w:rPr>
          <w:rFonts w:ascii="宋体" w:hAnsi="宋体" w:cs="宋体" w:hint="eastAsia"/>
          <w:kern w:val="0"/>
          <w:szCs w:val="21"/>
        </w:rPr>
        <w:t>损伤与修复</w:t>
      </w:r>
      <w:r>
        <w:rPr>
          <w:rFonts w:ascii="宋体" w:cs="宋体"/>
          <w:kern w:val="0"/>
          <w:szCs w:val="21"/>
        </w:rPr>
        <w:br/>
      </w:r>
      <w:r>
        <w:rPr>
          <w:rFonts w:ascii="宋体" w:hAnsi="宋体" w:cs="宋体"/>
          <w:kern w:val="0"/>
          <w:szCs w:val="21"/>
        </w:rPr>
        <w:t>DNA</w:t>
      </w:r>
      <w:r>
        <w:rPr>
          <w:rFonts w:ascii="宋体" w:hAnsi="宋体" w:cs="宋体" w:hint="eastAsia"/>
          <w:kern w:val="0"/>
          <w:szCs w:val="21"/>
        </w:rPr>
        <w:t>损伤的修复：回复修复，切除修复，重组修复，</w:t>
      </w:r>
      <w:r>
        <w:rPr>
          <w:rFonts w:ascii="宋体" w:hAnsi="宋体" w:cs="宋体"/>
          <w:kern w:val="0"/>
          <w:szCs w:val="21"/>
        </w:rPr>
        <w:t>SOS</w:t>
      </w:r>
      <w:r>
        <w:rPr>
          <w:rFonts w:ascii="宋体" w:hAnsi="宋体" w:cs="宋体" w:hint="eastAsia"/>
          <w:kern w:val="0"/>
          <w:szCs w:val="21"/>
        </w:rPr>
        <w:t>修复</w:t>
      </w:r>
    </w:p>
    <w:p w:rsidR="003717A0" w:rsidRDefault="003717A0">
      <w:pPr>
        <w:widowControl/>
        <w:spacing w:line="360" w:lineRule="auto"/>
        <w:ind w:firstLineChars="350" w:firstLine="735"/>
        <w:rPr>
          <w:rFonts w:ascii="宋体" w:cs="宋体"/>
          <w:kern w:val="0"/>
          <w:szCs w:val="21"/>
        </w:rPr>
      </w:pPr>
      <w:r>
        <w:rPr>
          <w:rFonts w:ascii="宋体" w:hAnsi="宋体" w:cs="宋体" w:hint="eastAsia"/>
          <w:kern w:val="0"/>
          <w:szCs w:val="21"/>
        </w:rPr>
        <w:t>（四）逆转录</w:t>
      </w:r>
      <w:r>
        <w:rPr>
          <w:rFonts w:ascii="宋体" w:cs="宋体"/>
          <w:kern w:val="0"/>
          <w:szCs w:val="21"/>
        </w:rPr>
        <w:br/>
      </w:r>
      <w:r>
        <w:rPr>
          <w:rFonts w:ascii="宋体" w:hAnsi="宋体" w:cs="宋体" w:hint="eastAsia"/>
          <w:kern w:val="0"/>
          <w:szCs w:val="21"/>
        </w:rPr>
        <w:t>逆转录病毒和逆转录酶。逆转录研究的意义。</w:t>
      </w:r>
    </w:p>
    <w:p w:rsidR="003717A0" w:rsidRDefault="003717A0">
      <w:pPr>
        <w:pStyle w:val="af1"/>
        <w:spacing w:line="360" w:lineRule="auto"/>
        <w:rPr>
          <w:kern w:val="0"/>
        </w:rPr>
      </w:pPr>
      <w:r>
        <w:rPr>
          <w:rFonts w:hint="eastAsia"/>
          <w:kern w:val="0"/>
        </w:rPr>
        <w:t>第二节</w:t>
      </w:r>
      <w:r>
        <w:rPr>
          <w:kern w:val="0"/>
        </w:rPr>
        <w:t>RNA</w:t>
      </w:r>
      <w:r>
        <w:rPr>
          <w:rFonts w:hint="eastAsia"/>
          <w:kern w:val="0"/>
        </w:rPr>
        <w:t>的生物合成</w:t>
      </w:r>
    </w:p>
    <w:p w:rsidR="003717A0" w:rsidRDefault="003717A0">
      <w:pPr>
        <w:widowControl/>
        <w:spacing w:line="360" w:lineRule="auto"/>
        <w:rPr>
          <w:rFonts w:ascii="宋体" w:cs="宋体"/>
          <w:kern w:val="0"/>
          <w:szCs w:val="21"/>
        </w:rPr>
      </w:pPr>
      <w:r>
        <w:rPr>
          <w:rStyle w:val="2Char0"/>
          <w:rFonts w:hint="eastAsia"/>
          <w:b/>
          <w:sz w:val="21"/>
        </w:rPr>
        <w:t>一、教学目的与要求</w:t>
      </w:r>
      <w:r>
        <w:rPr>
          <w:rStyle w:val="2Char0"/>
          <w:sz w:val="21"/>
        </w:rPr>
        <w:br/>
      </w:r>
      <w:r>
        <w:rPr>
          <w:rFonts w:ascii="宋体" w:hAnsi="宋体" w:cs="宋体" w:hint="eastAsia"/>
          <w:kern w:val="0"/>
          <w:szCs w:val="21"/>
        </w:rPr>
        <w:t>掌握：</w:t>
      </w:r>
      <w:r>
        <w:rPr>
          <w:rFonts w:ascii="宋体" w:hAnsi="宋体" w:cs="宋体"/>
          <w:kern w:val="0"/>
          <w:szCs w:val="20"/>
        </w:rPr>
        <w:t>RNA</w:t>
      </w:r>
      <w:r>
        <w:rPr>
          <w:rFonts w:ascii="宋体" w:hAnsi="宋体" w:cs="宋体" w:hint="eastAsia"/>
          <w:kern w:val="0"/>
          <w:szCs w:val="20"/>
        </w:rPr>
        <w:t>生物合成的概念；</w:t>
      </w:r>
      <w:r>
        <w:rPr>
          <w:rFonts w:ascii="宋体" w:hAnsi="宋体" w:cs="宋体"/>
          <w:kern w:val="0"/>
          <w:szCs w:val="21"/>
        </w:rPr>
        <w:t>RNA</w:t>
      </w:r>
      <w:r>
        <w:rPr>
          <w:rFonts w:ascii="宋体" w:hAnsi="宋体" w:cs="宋体" w:hint="eastAsia"/>
          <w:kern w:val="0"/>
          <w:szCs w:val="21"/>
        </w:rPr>
        <w:t>聚合酶和转录模板在转录中的作用，酶和模板的辩认结合；转录体系的组成及转录过程；真核生物</w:t>
      </w:r>
      <w:r>
        <w:rPr>
          <w:rFonts w:ascii="宋体" w:hAnsi="宋体" w:cs="宋体"/>
          <w:kern w:val="0"/>
          <w:szCs w:val="21"/>
        </w:rPr>
        <w:t>mRNA</w:t>
      </w:r>
      <w:r>
        <w:rPr>
          <w:rFonts w:ascii="宋体" w:hAnsi="宋体" w:cs="宋体" w:hint="eastAsia"/>
          <w:kern w:val="0"/>
          <w:szCs w:val="21"/>
        </w:rPr>
        <w:t>转录后加工。</w:t>
      </w:r>
      <w:r>
        <w:rPr>
          <w:rFonts w:ascii="宋体" w:cs="宋体"/>
          <w:kern w:val="0"/>
          <w:szCs w:val="21"/>
        </w:rPr>
        <w:br/>
      </w:r>
      <w:r>
        <w:rPr>
          <w:rFonts w:ascii="宋体" w:hAnsi="宋体" w:cs="宋体" w:hint="eastAsia"/>
          <w:kern w:val="0"/>
          <w:szCs w:val="21"/>
        </w:rPr>
        <w:t>熟悉：转录和复制的异同点；真核生物</w:t>
      </w:r>
      <w:r>
        <w:rPr>
          <w:rFonts w:ascii="宋体" w:hAnsi="宋体" w:cs="宋体"/>
          <w:kern w:val="0"/>
          <w:szCs w:val="21"/>
        </w:rPr>
        <w:t>tRNA</w:t>
      </w:r>
      <w:r>
        <w:rPr>
          <w:rFonts w:ascii="宋体" w:hAnsi="宋体" w:cs="宋体" w:hint="eastAsia"/>
          <w:kern w:val="0"/>
          <w:szCs w:val="21"/>
        </w:rPr>
        <w:t>转录后的加工。真核生物的转录过程。</w:t>
      </w:r>
      <w:r>
        <w:rPr>
          <w:rFonts w:ascii="宋体" w:cs="宋体"/>
          <w:kern w:val="0"/>
          <w:szCs w:val="21"/>
        </w:rPr>
        <w:br/>
      </w:r>
      <w:r>
        <w:rPr>
          <w:rFonts w:ascii="宋体" w:hAnsi="宋体" w:cs="宋体" w:hint="eastAsia"/>
          <w:kern w:val="0"/>
          <w:szCs w:val="21"/>
        </w:rPr>
        <w:t>了解：内含子；真核生物</w:t>
      </w:r>
      <w:r>
        <w:rPr>
          <w:rFonts w:ascii="宋体" w:hAnsi="宋体" w:cs="宋体"/>
          <w:kern w:val="0"/>
          <w:szCs w:val="21"/>
        </w:rPr>
        <w:t>rRNA</w:t>
      </w:r>
      <w:r>
        <w:rPr>
          <w:rFonts w:ascii="宋体" w:hAnsi="宋体" w:cs="宋体" w:hint="eastAsia"/>
          <w:kern w:val="0"/>
          <w:szCs w:val="21"/>
        </w:rPr>
        <w:t>转录后加工</w:t>
      </w:r>
      <w:r>
        <w:rPr>
          <w:rFonts w:ascii="宋体" w:cs="宋体"/>
          <w:kern w:val="0"/>
          <w:szCs w:val="21"/>
        </w:rPr>
        <w:t>,</w:t>
      </w:r>
      <w:r>
        <w:rPr>
          <w:rFonts w:ascii="宋体" w:hAnsi="宋体" w:cs="宋体" w:hint="eastAsia"/>
          <w:kern w:val="0"/>
          <w:szCs w:val="21"/>
        </w:rPr>
        <w:t>核酶的概念。</w:t>
      </w:r>
      <w:r>
        <w:rPr>
          <w:rFonts w:ascii="宋体" w:cs="宋体"/>
          <w:kern w:val="0"/>
          <w:szCs w:val="21"/>
        </w:rPr>
        <w:br/>
      </w:r>
      <w:r>
        <w:rPr>
          <w:rFonts w:ascii="宋体" w:cs="宋体"/>
          <w:kern w:val="0"/>
          <w:szCs w:val="21"/>
        </w:rPr>
        <w:br/>
      </w:r>
      <w:r>
        <w:rPr>
          <w:rStyle w:val="2Char0"/>
          <w:rFonts w:hint="eastAsia"/>
          <w:b/>
          <w:sz w:val="21"/>
        </w:rPr>
        <w:t>二、教学内容：</w:t>
      </w:r>
      <w:r>
        <w:rPr>
          <w:rStyle w:val="2Char0"/>
          <w:sz w:val="21"/>
        </w:rPr>
        <w:br/>
      </w:r>
      <w:r>
        <w:rPr>
          <w:rFonts w:ascii="宋体" w:hAnsi="宋体" w:cs="宋体" w:hint="eastAsia"/>
          <w:kern w:val="0"/>
          <w:szCs w:val="21"/>
        </w:rPr>
        <w:t>（一）转录的模板和酶</w:t>
      </w:r>
      <w:r>
        <w:rPr>
          <w:rFonts w:ascii="宋体" w:cs="宋体"/>
          <w:kern w:val="0"/>
          <w:szCs w:val="21"/>
        </w:rPr>
        <w:br/>
      </w:r>
      <w:r>
        <w:rPr>
          <w:rFonts w:ascii="宋体" w:hAnsi="宋体" w:cs="宋体" w:hint="eastAsia"/>
          <w:kern w:val="0"/>
          <w:szCs w:val="21"/>
        </w:rPr>
        <w:t>转录模板、</w:t>
      </w:r>
      <w:r>
        <w:rPr>
          <w:rFonts w:ascii="宋体" w:hAnsi="宋体" w:cs="宋体"/>
          <w:kern w:val="0"/>
          <w:szCs w:val="21"/>
        </w:rPr>
        <w:t>RNA</w:t>
      </w:r>
      <w:r>
        <w:rPr>
          <w:rFonts w:ascii="宋体" w:hAnsi="宋体" w:cs="宋体" w:hint="eastAsia"/>
          <w:kern w:val="0"/>
          <w:szCs w:val="21"/>
        </w:rPr>
        <w:t>聚合酶、模板与酶的辩认结合</w:t>
      </w:r>
      <w:r>
        <w:rPr>
          <w:rFonts w:ascii="宋体" w:cs="宋体"/>
          <w:kern w:val="0"/>
          <w:szCs w:val="21"/>
        </w:rPr>
        <w:br/>
      </w:r>
      <w:r>
        <w:rPr>
          <w:rFonts w:ascii="宋体" w:hAnsi="宋体" w:cs="宋体" w:hint="eastAsia"/>
          <w:kern w:val="0"/>
          <w:szCs w:val="21"/>
        </w:rPr>
        <w:t>（二）转录过程</w:t>
      </w:r>
      <w:r>
        <w:rPr>
          <w:rFonts w:ascii="宋体" w:cs="宋体"/>
          <w:kern w:val="0"/>
          <w:szCs w:val="21"/>
        </w:rPr>
        <w:br/>
      </w:r>
      <w:r>
        <w:rPr>
          <w:rFonts w:ascii="宋体" w:hAnsi="宋体" w:cs="宋体" w:hint="eastAsia"/>
          <w:kern w:val="0"/>
          <w:szCs w:val="21"/>
        </w:rPr>
        <w:t>原核生物的转录过程</w:t>
      </w:r>
      <w:r>
        <w:rPr>
          <w:rFonts w:ascii="宋体" w:hAnsi="宋体" w:cs="宋体"/>
          <w:kern w:val="0"/>
          <w:szCs w:val="21"/>
        </w:rPr>
        <w:t>:</w:t>
      </w:r>
      <w:r>
        <w:rPr>
          <w:rFonts w:ascii="宋体" w:hAnsi="宋体" w:cs="宋体" w:hint="eastAsia"/>
          <w:kern w:val="0"/>
          <w:szCs w:val="21"/>
        </w:rPr>
        <w:t>转录起始、转录延长、转录终止。真核生物的转录过程。</w:t>
      </w:r>
    </w:p>
    <w:p w:rsidR="003717A0" w:rsidRDefault="003717A0">
      <w:pPr>
        <w:widowControl/>
        <w:spacing w:line="360" w:lineRule="auto"/>
        <w:rPr>
          <w:rFonts w:ascii="宋体" w:cs="宋体"/>
          <w:kern w:val="0"/>
          <w:szCs w:val="21"/>
        </w:rPr>
      </w:pPr>
      <w:r>
        <w:rPr>
          <w:rFonts w:ascii="宋体" w:hAnsi="宋体" w:cs="宋体" w:hint="eastAsia"/>
          <w:kern w:val="0"/>
          <w:szCs w:val="21"/>
        </w:rPr>
        <w:t>（三）真核生物转录后修饰</w:t>
      </w:r>
      <w:r>
        <w:rPr>
          <w:rFonts w:ascii="宋体" w:cs="宋体"/>
          <w:kern w:val="0"/>
          <w:szCs w:val="21"/>
        </w:rPr>
        <w:br/>
      </w:r>
      <w:r>
        <w:rPr>
          <w:rFonts w:ascii="宋体" w:hAnsi="宋体" w:cs="宋体"/>
          <w:kern w:val="0"/>
          <w:szCs w:val="21"/>
        </w:rPr>
        <w:t>mRNA</w:t>
      </w:r>
      <w:r>
        <w:rPr>
          <w:rFonts w:ascii="宋体" w:hAnsi="宋体" w:cs="宋体" w:hint="eastAsia"/>
          <w:kern w:val="0"/>
          <w:szCs w:val="21"/>
        </w:rPr>
        <w:t>的转录后加工；</w:t>
      </w:r>
      <w:r>
        <w:rPr>
          <w:rFonts w:ascii="宋体" w:hAnsi="宋体" w:cs="宋体"/>
          <w:kern w:val="0"/>
          <w:szCs w:val="21"/>
        </w:rPr>
        <w:t>tRNA</w:t>
      </w:r>
      <w:r>
        <w:rPr>
          <w:rFonts w:ascii="宋体" w:hAnsi="宋体" w:cs="宋体" w:hint="eastAsia"/>
          <w:kern w:val="0"/>
          <w:szCs w:val="21"/>
        </w:rPr>
        <w:t>的转录后加工；</w:t>
      </w:r>
      <w:r>
        <w:rPr>
          <w:rFonts w:ascii="宋体" w:hAnsi="宋体" w:cs="宋体"/>
          <w:kern w:val="0"/>
          <w:szCs w:val="21"/>
        </w:rPr>
        <w:t>rRNA</w:t>
      </w:r>
      <w:r>
        <w:rPr>
          <w:rFonts w:ascii="宋体" w:hAnsi="宋体" w:cs="宋体" w:hint="eastAsia"/>
          <w:kern w:val="0"/>
          <w:szCs w:val="21"/>
        </w:rPr>
        <w:t>的转录后加工。核酶的概念。</w:t>
      </w:r>
    </w:p>
    <w:p w:rsidR="003717A0" w:rsidRDefault="003717A0">
      <w:pPr>
        <w:widowControl/>
        <w:spacing w:line="360" w:lineRule="auto"/>
        <w:jc w:val="center"/>
        <w:rPr>
          <w:rFonts w:ascii="宋体" w:cs="宋体"/>
          <w:kern w:val="0"/>
          <w:szCs w:val="21"/>
        </w:rPr>
      </w:pPr>
    </w:p>
    <w:p w:rsidR="003717A0" w:rsidRDefault="003717A0">
      <w:pPr>
        <w:widowControl/>
        <w:spacing w:line="360" w:lineRule="auto"/>
        <w:jc w:val="center"/>
        <w:rPr>
          <w:rStyle w:val="2Char0"/>
          <w:sz w:val="21"/>
        </w:rPr>
      </w:pPr>
      <w:r>
        <w:rPr>
          <w:rStyle w:val="2Char0"/>
          <w:rFonts w:hint="eastAsia"/>
          <w:b/>
          <w:sz w:val="21"/>
        </w:rPr>
        <w:t>第三节蛋白质的生物合成（翻译）</w:t>
      </w:r>
    </w:p>
    <w:p w:rsidR="003717A0" w:rsidRDefault="003717A0">
      <w:pPr>
        <w:widowControl/>
        <w:spacing w:line="360" w:lineRule="auto"/>
        <w:rPr>
          <w:rFonts w:ascii="宋体" w:cs="宋体"/>
          <w:bCs/>
          <w:kern w:val="0"/>
          <w:szCs w:val="21"/>
        </w:rPr>
      </w:pPr>
      <w:r>
        <w:rPr>
          <w:rStyle w:val="2Char0"/>
          <w:rFonts w:hint="eastAsia"/>
          <w:b/>
          <w:sz w:val="21"/>
        </w:rPr>
        <w:t>一、教学目的与要求</w:t>
      </w:r>
      <w:r>
        <w:rPr>
          <w:rStyle w:val="2Char0"/>
          <w:rFonts w:hint="eastAsia"/>
          <w:sz w:val="21"/>
        </w:rPr>
        <w:t>：</w:t>
      </w:r>
      <w:r>
        <w:rPr>
          <w:rStyle w:val="2Char0"/>
          <w:b/>
          <w:sz w:val="21"/>
        </w:rPr>
        <w:br/>
      </w:r>
      <w:r>
        <w:rPr>
          <w:rFonts w:ascii="宋体" w:hAnsi="宋体" w:cs="宋体" w:hint="eastAsia"/>
          <w:kern w:val="0"/>
          <w:szCs w:val="21"/>
        </w:rPr>
        <w:t>掌握：构成蛋白质生物合成体系的物质和氨基酰</w:t>
      </w:r>
      <w:r>
        <w:rPr>
          <w:rFonts w:ascii="宋体" w:hAnsi="宋体" w:cs="宋体"/>
          <w:kern w:val="0"/>
          <w:szCs w:val="21"/>
        </w:rPr>
        <w:t>-tRNA</w:t>
      </w:r>
      <w:r>
        <w:rPr>
          <w:rFonts w:ascii="宋体" w:hAnsi="宋体" w:cs="宋体" w:hint="eastAsia"/>
          <w:kern w:val="0"/>
          <w:szCs w:val="21"/>
        </w:rPr>
        <w:t>合成酶的结构特点及其在蛋白质生物合成中的作用。</w:t>
      </w:r>
      <w:r>
        <w:rPr>
          <w:rFonts w:ascii="宋体" w:cs="宋体"/>
          <w:kern w:val="0"/>
          <w:szCs w:val="21"/>
        </w:rPr>
        <w:br/>
      </w:r>
      <w:r>
        <w:rPr>
          <w:rFonts w:ascii="宋体" w:hAnsi="宋体" w:cs="宋体" w:hint="eastAsia"/>
          <w:kern w:val="0"/>
          <w:szCs w:val="21"/>
        </w:rPr>
        <w:t>熟悉：蛋白质生物合成过程。</w:t>
      </w:r>
      <w:r>
        <w:rPr>
          <w:rFonts w:ascii="宋体" w:cs="宋体"/>
          <w:kern w:val="0"/>
          <w:szCs w:val="21"/>
        </w:rPr>
        <w:br/>
      </w:r>
      <w:r>
        <w:rPr>
          <w:rFonts w:ascii="宋体" w:hAnsi="宋体" w:cs="宋体" w:hint="eastAsia"/>
          <w:kern w:val="0"/>
          <w:szCs w:val="21"/>
        </w:rPr>
        <w:t>了解：翻译后加工和靶向输送；蛋白质生物合成的干扰和抑制；蛋白质生物合成与医学的关系。</w:t>
      </w:r>
      <w:r>
        <w:rPr>
          <w:rFonts w:ascii="宋体" w:cs="宋体"/>
          <w:kern w:val="0"/>
          <w:szCs w:val="21"/>
        </w:rPr>
        <w:br/>
      </w:r>
      <w:r>
        <w:rPr>
          <w:rFonts w:ascii="宋体" w:cs="宋体"/>
          <w:kern w:val="0"/>
          <w:szCs w:val="21"/>
        </w:rPr>
        <w:br/>
      </w:r>
      <w:r>
        <w:rPr>
          <w:rStyle w:val="2Char0"/>
          <w:rFonts w:hint="eastAsia"/>
          <w:b/>
          <w:sz w:val="21"/>
        </w:rPr>
        <w:t>二、教学内容：</w:t>
      </w:r>
      <w:r>
        <w:rPr>
          <w:rStyle w:val="2Char0"/>
          <w:sz w:val="21"/>
        </w:rPr>
        <w:br/>
      </w:r>
      <w:r>
        <w:rPr>
          <w:rFonts w:ascii="宋体" w:hAnsi="宋体" w:cs="宋体" w:hint="eastAsia"/>
          <w:kern w:val="0"/>
          <w:szCs w:val="21"/>
        </w:rPr>
        <w:t>（一）蛋白质生物合成体系</w:t>
      </w:r>
      <w:r>
        <w:rPr>
          <w:rFonts w:ascii="宋体" w:cs="宋体"/>
          <w:kern w:val="0"/>
          <w:szCs w:val="21"/>
        </w:rPr>
        <w:br/>
      </w:r>
      <w:r>
        <w:rPr>
          <w:rFonts w:ascii="宋体" w:hAnsi="宋体" w:cs="宋体" w:hint="eastAsia"/>
          <w:kern w:val="0"/>
          <w:szCs w:val="21"/>
        </w:rPr>
        <w:t>翻译模板</w:t>
      </w:r>
      <w:r>
        <w:rPr>
          <w:rFonts w:ascii="宋体" w:hAnsi="宋体" w:cs="宋体"/>
          <w:kern w:val="0"/>
          <w:szCs w:val="21"/>
        </w:rPr>
        <w:t>mRNA</w:t>
      </w:r>
      <w:r>
        <w:rPr>
          <w:rFonts w:ascii="宋体" w:hAnsi="宋体" w:cs="宋体" w:hint="eastAsia"/>
          <w:kern w:val="0"/>
          <w:szCs w:val="21"/>
        </w:rPr>
        <w:t>及遗传密码、核蛋白体是多肽链合成的装置、</w:t>
      </w:r>
      <w:r>
        <w:rPr>
          <w:rFonts w:ascii="宋体" w:hAnsi="宋体" w:cs="宋体"/>
          <w:kern w:val="0"/>
          <w:szCs w:val="21"/>
        </w:rPr>
        <w:t>tRNA</w:t>
      </w:r>
      <w:r>
        <w:rPr>
          <w:rFonts w:ascii="宋体" w:hAnsi="宋体" w:cs="宋体" w:hint="eastAsia"/>
          <w:kern w:val="0"/>
          <w:szCs w:val="21"/>
        </w:rPr>
        <w:t>和氨基酰的活化</w:t>
      </w:r>
      <w:r>
        <w:rPr>
          <w:rFonts w:ascii="宋体" w:cs="宋体"/>
          <w:kern w:val="0"/>
          <w:szCs w:val="21"/>
        </w:rPr>
        <w:br/>
      </w:r>
      <w:r>
        <w:rPr>
          <w:rFonts w:ascii="宋体" w:hAnsi="宋体" w:cs="宋体" w:hint="eastAsia"/>
          <w:kern w:val="0"/>
          <w:szCs w:val="21"/>
        </w:rPr>
        <w:lastRenderedPageBreak/>
        <w:t>（二）蛋白质的生物合成过程</w:t>
      </w:r>
      <w:r>
        <w:rPr>
          <w:rFonts w:ascii="宋体" w:cs="宋体"/>
          <w:kern w:val="0"/>
          <w:szCs w:val="21"/>
        </w:rPr>
        <w:br/>
      </w:r>
      <w:r>
        <w:rPr>
          <w:rFonts w:ascii="宋体" w:hAnsi="宋体" w:cs="宋体" w:hint="eastAsia"/>
          <w:kern w:val="0"/>
          <w:szCs w:val="21"/>
        </w:rPr>
        <w:t>肽链合成的起始、肽链的延长、肽链合成的终止</w:t>
      </w:r>
      <w:r>
        <w:rPr>
          <w:rFonts w:ascii="宋体" w:cs="宋体"/>
          <w:kern w:val="0"/>
          <w:szCs w:val="21"/>
        </w:rPr>
        <w:br/>
      </w:r>
      <w:r>
        <w:rPr>
          <w:rFonts w:ascii="宋体" w:hAnsi="宋体" w:cs="宋体" w:hint="eastAsia"/>
          <w:kern w:val="0"/>
          <w:szCs w:val="21"/>
        </w:rPr>
        <w:t>（三）蛋白质合成后加工</w:t>
      </w:r>
      <w:r>
        <w:rPr>
          <w:rFonts w:ascii="宋体" w:cs="宋体"/>
          <w:kern w:val="0"/>
          <w:szCs w:val="21"/>
        </w:rPr>
        <w:br/>
      </w:r>
      <w:r>
        <w:rPr>
          <w:rFonts w:ascii="宋体" w:hAnsi="宋体" w:cs="宋体" w:hint="eastAsia"/>
          <w:kern w:val="0"/>
          <w:szCs w:val="21"/>
        </w:rPr>
        <w:t>多肽链折叠为天然功能构象的蛋白质、一级结构的修饰、空间结构的修饰、蛋白质合成后的靶向输送。</w:t>
      </w:r>
      <w:r>
        <w:rPr>
          <w:rFonts w:ascii="宋体" w:cs="宋体"/>
          <w:kern w:val="0"/>
          <w:szCs w:val="21"/>
        </w:rPr>
        <w:br/>
      </w:r>
      <w:r>
        <w:rPr>
          <w:rFonts w:ascii="宋体" w:hAnsi="宋体" w:cs="宋体" w:hint="eastAsia"/>
          <w:kern w:val="0"/>
          <w:szCs w:val="21"/>
        </w:rPr>
        <w:t>（四）蛋白质生物合成的抑制</w:t>
      </w:r>
      <w:r>
        <w:rPr>
          <w:rFonts w:ascii="宋体" w:cs="宋体"/>
          <w:kern w:val="0"/>
          <w:szCs w:val="21"/>
        </w:rPr>
        <w:br/>
      </w:r>
      <w:r>
        <w:rPr>
          <w:rFonts w:ascii="宋体" w:hAnsi="宋体" w:cs="宋体" w:hint="eastAsia"/>
          <w:kern w:val="0"/>
          <w:szCs w:val="21"/>
        </w:rPr>
        <w:t>抗生素类、其它干扰蛋白质合成的物质</w:t>
      </w:r>
    </w:p>
    <w:p w:rsidR="003717A0" w:rsidRDefault="003717A0">
      <w:pPr>
        <w:pStyle w:val="af1"/>
        <w:spacing w:before="100" w:after="100" w:line="360" w:lineRule="auto"/>
        <w:rPr>
          <w:kern w:val="0"/>
        </w:rPr>
      </w:pPr>
      <w:r>
        <w:rPr>
          <w:rFonts w:hint="eastAsia"/>
          <w:kern w:val="0"/>
        </w:rPr>
        <w:t>第四节基因重组与基因工程</w:t>
      </w:r>
    </w:p>
    <w:p w:rsidR="003717A0" w:rsidRDefault="003717A0">
      <w:pPr>
        <w:widowControl/>
        <w:spacing w:line="360" w:lineRule="auto"/>
        <w:rPr>
          <w:rFonts w:ascii="宋体" w:cs="宋体"/>
          <w:kern w:val="0"/>
          <w:szCs w:val="20"/>
        </w:rPr>
      </w:pPr>
      <w:r>
        <w:rPr>
          <w:rStyle w:val="2Char0"/>
          <w:rFonts w:hint="eastAsia"/>
          <w:b/>
          <w:sz w:val="21"/>
        </w:rPr>
        <w:t>一、教学目的与要求：</w:t>
      </w:r>
      <w:r>
        <w:rPr>
          <w:rStyle w:val="2Char0"/>
          <w:sz w:val="21"/>
        </w:rPr>
        <w:br/>
      </w:r>
      <w:r>
        <w:rPr>
          <w:rFonts w:ascii="宋体" w:hAnsi="宋体" w:cs="宋体" w:hint="eastAsia"/>
          <w:kern w:val="0"/>
          <w:szCs w:val="20"/>
        </w:rPr>
        <w:t>掌握：重组</w:t>
      </w:r>
      <w:r>
        <w:rPr>
          <w:rFonts w:ascii="宋体" w:hAnsi="宋体" w:cs="宋体"/>
          <w:kern w:val="0"/>
          <w:szCs w:val="20"/>
        </w:rPr>
        <w:t>DNA</w:t>
      </w:r>
      <w:r>
        <w:rPr>
          <w:rFonts w:ascii="宋体" w:hAnsi="宋体" w:cs="宋体" w:hint="eastAsia"/>
          <w:kern w:val="0"/>
          <w:szCs w:val="20"/>
        </w:rPr>
        <w:t>技术相关概念，重组</w:t>
      </w:r>
      <w:r>
        <w:rPr>
          <w:rFonts w:ascii="宋体" w:hAnsi="宋体" w:cs="宋体"/>
          <w:kern w:val="0"/>
          <w:szCs w:val="20"/>
        </w:rPr>
        <w:t>DNA</w:t>
      </w:r>
      <w:r>
        <w:rPr>
          <w:rFonts w:ascii="宋体" w:hAnsi="宋体" w:cs="宋体" w:hint="eastAsia"/>
          <w:kern w:val="0"/>
          <w:szCs w:val="20"/>
        </w:rPr>
        <w:t>技术的基本原理及操作步骤。</w:t>
      </w:r>
      <w:r>
        <w:rPr>
          <w:rFonts w:ascii="宋体" w:cs="宋体"/>
          <w:kern w:val="0"/>
          <w:szCs w:val="20"/>
        </w:rPr>
        <w:br/>
      </w:r>
      <w:r>
        <w:rPr>
          <w:rFonts w:ascii="宋体" w:hAnsi="宋体" w:cs="宋体" w:hint="eastAsia"/>
          <w:kern w:val="0"/>
          <w:szCs w:val="20"/>
        </w:rPr>
        <w:t>熟悉：转化作用，转导作用，转位。</w:t>
      </w:r>
      <w:r>
        <w:rPr>
          <w:rFonts w:ascii="宋体" w:cs="宋体"/>
          <w:kern w:val="0"/>
          <w:szCs w:val="20"/>
        </w:rPr>
        <w:br/>
      </w:r>
      <w:r>
        <w:rPr>
          <w:rFonts w:ascii="宋体" w:hAnsi="宋体" w:cs="宋体" w:hint="eastAsia"/>
          <w:kern w:val="0"/>
          <w:szCs w:val="20"/>
        </w:rPr>
        <w:t>了解：重组</w:t>
      </w:r>
      <w:r>
        <w:rPr>
          <w:rFonts w:ascii="宋体" w:hAnsi="宋体" w:cs="宋体"/>
          <w:kern w:val="0"/>
          <w:szCs w:val="20"/>
        </w:rPr>
        <w:t>DNA</w:t>
      </w:r>
      <w:r>
        <w:rPr>
          <w:rFonts w:ascii="宋体" w:hAnsi="宋体" w:cs="宋体" w:hint="eastAsia"/>
          <w:kern w:val="0"/>
          <w:szCs w:val="20"/>
        </w:rPr>
        <w:t>技术与医学的关系。</w:t>
      </w:r>
      <w:r>
        <w:rPr>
          <w:rFonts w:ascii="宋体" w:cs="宋体"/>
          <w:kern w:val="0"/>
          <w:szCs w:val="20"/>
        </w:rPr>
        <w:br/>
      </w:r>
      <w:r>
        <w:rPr>
          <w:rFonts w:ascii="宋体" w:cs="宋体"/>
          <w:kern w:val="0"/>
          <w:szCs w:val="20"/>
        </w:rPr>
        <w:br/>
      </w:r>
      <w:r>
        <w:rPr>
          <w:rStyle w:val="2Char0"/>
          <w:rFonts w:hint="eastAsia"/>
          <w:b/>
          <w:sz w:val="21"/>
        </w:rPr>
        <w:t>二、教学内容：</w:t>
      </w:r>
      <w:r>
        <w:rPr>
          <w:rStyle w:val="2Char0"/>
          <w:sz w:val="21"/>
        </w:rPr>
        <w:br/>
      </w:r>
      <w:r>
        <w:rPr>
          <w:rFonts w:ascii="宋体" w:hAnsi="宋体" w:cs="宋体" w:hint="eastAsia"/>
          <w:kern w:val="0"/>
          <w:szCs w:val="20"/>
        </w:rPr>
        <w:t>（一）基因重组</w:t>
      </w:r>
      <w:r>
        <w:rPr>
          <w:rFonts w:ascii="宋体" w:cs="宋体"/>
          <w:kern w:val="0"/>
          <w:szCs w:val="20"/>
        </w:rPr>
        <w:br/>
      </w:r>
      <w:r>
        <w:rPr>
          <w:rFonts w:ascii="宋体" w:hAnsi="宋体" w:cs="宋体" w:hint="eastAsia"/>
          <w:kern w:val="0"/>
          <w:szCs w:val="20"/>
        </w:rPr>
        <w:t>转化作用，转导作用，转位。</w:t>
      </w:r>
      <w:r>
        <w:rPr>
          <w:rFonts w:ascii="宋体" w:cs="宋体"/>
          <w:kern w:val="0"/>
          <w:szCs w:val="20"/>
        </w:rPr>
        <w:br/>
      </w:r>
      <w:r>
        <w:rPr>
          <w:rFonts w:ascii="宋体" w:hAnsi="宋体" w:cs="宋体" w:hint="eastAsia"/>
          <w:kern w:val="0"/>
          <w:szCs w:val="20"/>
        </w:rPr>
        <w:t>（二）</w:t>
      </w:r>
      <w:r>
        <w:rPr>
          <w:rFonts w:ascii="宋体" w:hAnsi="宋体" w:cs="宋体" w:hint="eastAsia"/>
          <w:kern w:val="0"/>
        </w:rPr>
        <w:t>基因工程</w:t>
      </w:r>
      <w:r>
        <w:rPr>
          <w:rFonts w:ascii="宋体" w:cs="宋体"/>
          <w:kern w:val="0"/>
          <w:szCs w:val="20"/>
        </w:rPr>
        <w:br/>
      </w:r>
      <w:r>
        <w:rPr>
          <w:rFonts w:ascii="宋体" w:hAnsi="宋体" w:cs="宋体" w:hint="eastAsia"/>
          <w:kern w:val="0"/>
          <w:szCs w:val="20"/>
        </w:rPr>
        <w:t>重组</w:t>
      </w:r>
      <w:r>
        <w:rPr>
          <w:rFonts w:ascii="宋体" w:hAnsi="宋体" w:cs="宋体"/>
          <w:kern w:val="0"/>
          <w:szCs w:val="20"/>
        </w:rPr>
        <w:t>DNA</w:t>
      </w:r>
      <w:r>
        <w:rPr>
          <w:rFonts w:ascii="宋体" w:hAnsi="宋体" w:cs="宋体" w:hint="eastAsia"/>
          <w:kern w:val="0"/>
          <w:szCs w:val="20"/>
        </w:rPr>
        <w:t>技术相关概念，重组</w:t>
      </w:r>
      <w:r>
        <w:rPr>
          <w:rFonts w:ascii="宋体" w:hAnsi="宋体" w:cs="宋体"/>
          <w:kern w:val="0"/>
          <w:szCs w:val="20"/>
        </w:rPr>
        <w:t>DNA</w:t>
      </w:r>
      <w:r>
        <w:rPr>
          <w:rFonts w:ascii="宋体" w:hAnsi="宋体" w:cs="宋体" w:hint="eastAsia"/>
          <w:kern w:val="0"/>
          <w:szCs w:val="20"/>
        </w:rPr>
        <w:t>技术基本原理及步骤。</w:t>
      </w:r>
      <w:r>
        <w:rPr>
          <w:rFonts w:ascii="宋体" w:cs="宋体"/>
          <w:kern w:val="0"/>
          <w:szCs w:val="20"/>
        </w:rPr>
        <w:br/>
      </w:r>
      <w:r>
        <w:rPr>
          <w:rFonts w:ascii="宋体" w:hAnsi="宋体" w:cs="宋体" w:hint="eastAsia"/>
          <w:kern w:val="0"/>
          <w:szCs w:val="20"/>
        </w:rPr>
        <w:t>（三）重组</w:t>
      </w:r>
      <w:r>
        <w:rPr>
          <w:rFonts w:ascii="宋体" w:hAnsi="宋体" w:cs="宋体"/>
          <w:kern w:val="0"/>
          <w:szCs w:val="20"/>
        </w:rPr>
        <w:t>DNA</w:t>
      </w:r>
      <w:r>
        <w:rPr>
          <w:rFonts w:ascii="宋体" w:hAnsi="宋体" w:cs="宋体" w:hint="eastAsia"/>
          <w:kern w:val="0"/>
          <w:szCs w:val="20"/>
        </w:rPr>
        <w:t>技术与医学的关系</w:t>
      </w:r>
    </w:p>
    <w:p w:rsidR="003717A0" w:rsidRDefault="003717A0">
      <w:pPr>
        <w:widowControl/>
        <w:spacing w:line="360" w:lineRule="auto"/>
        <w:rPr>
          <w:rFonts w:ascii="宋体" w:cs="宋体"/>
          <w:kern w:val="0"/>
          <w:szCs w:val="20"/>
        </w:rPr>
      </w:pPr>
      <w:r>
        <w:rPr>
          <w:rFonts w:ascii="宋体" w:hAnsi="宋体" w:cs="宋体"/>
          <w:kern w:val="0"/>
          <w:szCs w:val="20"/>
        </w:rPr>
        <w:t xml:space="preserve">          </w:t>
      </w:r>
      <w:r>
        <w:rPr>
          <w:rFonts w:ascii="宋体" w:hAnsi="宋体" w:cs="宋体" w:hint="eastAsia"/>
          <w:kern w:val="0"/>
          <w:szCs w:val="20"/>
        </w:rPr>
        <w:t>疾病相关基因的发现，生物制药，基因诊断，基因治疗，遗传病的防治</w:t>
      </w:r>
    </w:p>
    <w:p w:rsidR="003717A0" w:rsidRDefault="003717A0">
      <w:pPr>
        <w:adjustRightInd w:val="0"/>
        <w:snapToGrid w:val="0"/>
        <w:spacing w:line="360" w:lineRule="auto"/>
        <w:ind w:left="709" w:right="4"/>
      </w:pPr>
    </w:p>
    <w:p w:rsidR="003717A0" w:rsidRDefault="003717A0">
      <w:pPr>
        <w:adjustRightInd w:val="0"/>
        <w:snapToGrid w:val="0"/>
        <w:spacing w:line="360" w:lineRule="auto"/>
        <w:jc w:val="center"/>
        <w:rPr>
          <w:b/>
          <w:bCs/>
          <w:szCs w:val="21"/>
        </w:rPr>
      </w:pPr>
      <w:r>
        <w:rPr>
          <w:rFonts w:hint="eastAsia"/>
          <w:b/>
          <w:bCs/>
          <w:szCs w:val="21"/>
        </w:rPr>
        <w:t>理论课学时分配</w:t>
      </w:r>
    </w:p>
    <w:tbl>
      <w:tblPr>
        <w:tblpPr w:leftFromText="180" w:rightFromText="180" w:vertAnchor="text" w:horzAnchor="page" w:tblpX="3493" w:tblpY="393"/>
        <w:tblW w:w="3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6"/>
        <w:gridCol w:w="2106"/>
        <w:gridCol w:w="636"/>
      </w:tblGrid>
      <w:tr w:rsidR="003717A0">
        <w:trPr>
          <w:trHeight w:val="375"/>
        </w:trPr>
        <w:tc>
          <w:tcPr>
            <w:tcW w:w="636" w:type="dxa"/>
          </w:tcPr>
          <w:p w:rsidR="003717A0" w:rsidRDefault="003717A0">
            <w:pPr>
              <w:spacing w:line="320" w:lineRule="exact"/>
              <w:jc w:val="center"/>
              <w:rPr>
                <w:szCs w:val="21"/>
              </w:rPr>
            </w:pPr>
            <w:r>
              <w:rPr>
                <w:rFonts w:hint="eastAsia"/>
                <w:szCs w:val="21"/>
              </w:rPr>
              <w:t>序号</w:t>
            </w:r>
          </w:p>
        </w:tc>
        <w:tc>
          <w:tcPr>
            <w:tcW w:w="2106" w:type="dxa"/>
            <w:vAlign w:val="center"/>
          </w:tcPr>
          <w:p w:rsidR="003717A0" w:rsidRDefault="003717A0">
            <w:pPr>
              <w:spacing w:line="320" w:lineRule="exact"/>
              <w:rPr>
                <w:szCs w:val="21"/>
              </w:rPr>
            </w:pPr>
            <w:r>
              <w:rPr>
                <w:rFonts w:hint="eastAsia"/>
                <w:szCs w:val="21"/>
              </w:rPr>
              <w:t>讲课内容</w:t>
            </w:r>
          </w:p>
        </w:tc>
        <w:tc>
          <w:tcPr>
            <w:tcW w:w="636" w:type="dxa"/>
          </w:tcPr>
          <w:p w:rsidR="003717A0" w:rsidRDefault="003717A0">
            <w:pPr>
              <w:spacing w:line="320" w:lineRule="exact"/>
              <w:jc w:val="center"/>
              <w:rPr>
                <w:szCs w:val="21"/>
              </w:rPr>
            </w:pPr>
            <w:r>
              <w:rPr>
                <w:rFonts w:hint="eastAsia"/>
                <w:szCs w:val="21"/>
              </w:rPr>
              <w:t>学时</w:t>
            </w:r>
          </w:p>
        </w:tc>
      </w:tr>
      <w:tr w:rsidR="003717A0">
        <w:trPr>
          <w:trHeight w:val="375"/>
        </w:trPr>
        <w:tc>
          <w:tcPr>
            <w:tcW w:w="636" w:type="dxa"/>
          </w:tcPr>
          <w:p w:rsidR="003717A0" w:rsidRDefault="003717A0">
            <w:pPr>
              <w:spacing w:line="320" w:lineRule="exact"/>
              <w:jc w:val="center"/>
              <w:rPr>
                <w:szCs w:val="21"/>
              </w:rPr>
            </w:pPr>
            <w:r>
              <w:rPr>
                <w:szCs w:val="21"/>
              </w:rPr>
              <w:t>1</w:t>
            </w:r>
          </w:p>
        </w:tc>
        <w:tc>
          <w:tcPr>
            <w:tcW w:w="2106" w:type="dxa"/>
            <w:vAlign w:val="center"/>
          </w:tcPr>
          <w:p w:rsidR="003717A0" w:rsidRDefault="003717A0">
            <w:pPr>
              <w:spacing w:line="320" w:lineRule="exact"/>
              <w:rPr>
                <w:szCs w:val="21"/>
              </w:rPr>
            </w:pPr>
            <w:r>
              <w:rPr>
                <w:rFonts w:hint="eastAsia"/>
                <w:szCs w:val="21"/>
              </w:rPr>
              <w:t>蛋白质的结构和功能</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2</w:t>
            </w:r>
          </w:p>
        </w:tc>
        <w:tc>
          <w:tcPr>
            <w:tcW w:w="2106" w:type="dxa"/>
            <w:vAlign w:val="center"/>
          </w:tcPr>
          <w:p w:rsidR="003717A0" w:rsidRDefault="003717A0">
            <w:pPr>
              <w:spacing w:line="320" w:lineRule="exact"/>
              <w:rPr>
                <w:szCs w:val="21"/>
              </w:rPr>
            </w:pPr>
            <w:r>
              <w:rPr>
                <w:rFonts w:hint="eastAsia"/>
                <w:szCs w:val="21"/>
              </w:rPr>
              <w:t>核酸的结构和功能</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3</w:t>
            </w:r>
          </w:p>
        </w:tc>
        <w:tc>
          <w:tcPr>
            <w:tcW w:w="2106" w:type="dxa"/>
            <w:vAlign w:val="center"/>
          </w:tcPr>
          <w:p w:rsidR="003717A0" w:rsidRDefault="003717A0">
            <w:pPr>
              <w:spacing w:line="320" w:lineRule="exact"/>
              <w:rPr>
                <w:szCs w:val="21"/>
              </w:rPr>
            </w:pPr>
            <w:r>
              <w:rPr>
                <w:rFonts w:hint="eastAsia"/>
                <w:szCs w:val="21"/>
              </w:rPr>
              <w:t>酶</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4</w:t>
            </w:r>
          </w:p>
        </w:tc>
        <w:tc>
          <w:tcPr>
            <w:tcW w:w="2106" w:type="dxa"/>
            <w:vAlign w:val="center"/>
          </w:tcPr>
          <w:p w:rsidR="003717A0" w:rsidRDefault="003717A0">
            <w:pPr>
              <w:spacing w:line="320" w:lineRule="exact"/>
              <w:rPr>
                <w:szCs w:val="21"/>
              </w:rPr>
            </w:pPr>
            <w:r>
              <w:rPr>
                <w:rFonts w:hint="eastAsia"/>
                <w:szCs w:val="21"/>
              </w:rPr>
              <w:t>糖代谢</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5</w:t>
            </w:r>
          </w:p>
        </w:tc>
        <w:tc>
          <w:tcPr>
            <w:tcW w:w="2106" w:type="dxa"/>
            <w:vAlign w:val="center"/>
          </w:tcPr>
          <w:p w:rsidR="003717A0" w:rsidRDefault="003717A0">
            <w:pPr>
              <w:spacing w:line="320" w:lineRule="exact"/>
              <w:rPr>
                <w:szCs w:val="21"/>
              </w:rPr>
            </w:pPr>
            <w:r>
              <w:rPr>
                <w:rFonts w:hint="eastAsia"/>
                <w:szCs w:val="21"/>
              </w:rPr>
              <w:t>脂类代谢</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6</w:t>
            </w:r>
          </w:p>
        </w:tc>
        <w:tc>
          <w:tcPr>
            <w:tcW w:w="2106" w:type="dxa"/>
            <w:vAlign w:val="center"/>
          </w:tcPr>
          <w:p w:rsidR="003717A0" w:rsidRDefault="003717A0">
            <w:pPr>
              <w:spacing w:line="320" w:lineRule="exact"/>
              <w:rPr>
                <w:szCs w:val="21"/>
              </w:rPr>
            </w:pPr>
            <w:r>
              <w:rPr>
                <w:rFonts w:hint="eastAsia"/>
                <w:szCs w:val="21"/>
              </w:rPr>
              <w:t>生物氧化</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7</w:t>
            </w:r>
          </w:p>
        </w:tc>
        <w:tc>
          <w:tcPr>
            <w:tcW w:w="2106" w:type="dxa"/>
            <w:vAlign w:val="center"/>
          </w:tcPr>
          <w:p w:rsidR="003717A0" w:rsidRDefault="003717A0">
            <w:pPr>
              <w:spacing w:line="320" w:lineRule="exact"/>
              <w:rPr>
                <w:szCs w:val="21"/>
              </w:rPr>
            </w:pPr>
            <w:r>
              <w:rPr>
                <w:rFonts w:hint="eastAsia"/>
                <w:szCs w:val="21"/>
              </w:rPr>
              <w:t>氨基酸的代谢</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lastRenderedPageBreak/>
              <w:t>8</w:t>
            </w:r>
          </w:p>
        </w:tc>
        <w:tc>
          <w:tcPr>
            <w:tcW w:w="2106" w:type="dxa"/>
            <w:vAlign w:val="center"/>
          </w:tcPr>
          <w:p w:rsidR="003717A0" w:rsidRDefault="003717A0">
            <w:pPr>
              <w:spacing w:line="320" w:lineRule="exact"/>
              <w:rPr>
                <w:szCs w:val="21"/>
              </w:rPr>
            </w:pPr>
            <w:r>
              <w:rPr>
                <w:szCs w:val="21"/>
              </w:rPr>
              <w:t>DNA</w:t>
            </w:r>
            <w:r>
              <w:rPr>
                <w:rFonts w:hint="eastAsia"/>
                <w:szCs w:val="21"/>
              </w:rPr>
              <w:t>的生物合成</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9</w:t>
            </w:r>
          </w:p>
        </w:tc>
        <w:tc>
          <w:tcPr>
            <w:tcW w:w="2106" w:type="dxa"/>
            <w:vAlign w:val="center"/>
          </w:tcPr>
          <w:p w:rsidR="003717A0" w:rsidRDefault="003717A0">
            <w:pPr>
              <w:spacing w:line="320" w:lineRule="exact"/>
              <w:rPr>
                <w:szCs w:val="21"/>
              </w:rPr>
            </w:pPr>
            <w:r>
              <w:rPr>
                <w:szCs w:val="21"/>
              </w:rPr>
              <w:t>RNA</w:t>
            </w:r>
            <w:r>
              <w:rPr>
                <w:rFonts w:hint="eastAsia"/>
                <w:szCs w:val="21"/>
              </w:rPr>
              <w:t>的生物合成</w:t>
            </w:r>
          </w:p>
        </w:tc>
        <w:tc>
          <w:tcPr>
            <w:tcW w:w="636" w:type="dxa"/>
          </w:tcPr>
          <w:p w:rsidR="003717A0" w:rsidRDefault="003717A0">
            <w:pPr>
              <w:spacing w:line="320" w:lineRule="exact"/>
              <w:jc w:val="center"/>
              <w:rPr>
                <w:szCs w:val="21"/>
              </w:rPr>
            </w:pPr>
            <w:r>
              <w:rPr>
                <w:szCs w:val="21"/>
              </w:rPr>
              <w:t>4</w:t>
            </w:r>
          </w:p>
        </w:tc>
      </w:tr>
      <w:tr w:rsidR="003717A0">
        <w:trPr>
          <w:trHeight w:val="375"/>
        </w:trPr>
        <w:tc>
          <w:tcPr>
            <w:tcW w:w="636" w:type="dxa"/>
          </w:tcPr>
          <w:p w:rsidR="003717A0" w:rsidRDefault="003717A0">
            <w:pPr>
              <w:spacing w:line="320" w:lineRule="exact"/>
              <w:jc w:val="center"/>
              <w:rPr>
                <w:szCs w:val="21"/>
              </w:rPr>
            </w:pPr>
            <w:r>
              <w:rPr>
                <w:szCs w:val="21"/>
              </w:rPr>
              <w:t>10</w:t>
            </w:r>
          </w:p>
        </w:tc>
        <w:tc>
          <w:tcPr>
            <w:tcW w:w="2106" w:type="dxa"/>
            <w:vAlign w:val="center"/>
          </w:tcPr>
          <w:p w:rsidR="003717A0" w:rsidRDefault="003717A0">
            <w:pPr>
              <w:spacing w:line="320" w:lineRule="exact"/>
              <w:rPr>
                <w:szCs w:val="21"/>
              </w:rPr>
            </w:pPr>
            <w:r>
              <w:rPr>
                <w:rFonts w:hint="eastAsia"/>
                <w:szCs w:val="21"/>
              </w:rPr>
              <w:t>蛋白质的生物合成</w:t>
            </w:r>
          </w:p>
        </w:tc>
        <w:tc>
          <w:tcPr>
            <w:tcW w:w="636" w:type="dxa"/>
          </w:tcPr>
          <w:p w:rsidR="003717A0" w:rsidRDefault="003717A0">
            <w:pPr>
              <w:spacing w:line="320" w:lineRule="exact"/>
              <w:jc w:val="center"/>
              <w:rPr>
                <w:szCs w:val="21"/>
              </w:rPr>
            </w:pPr>
            <w:r>
              <w:rPr>
                <w:szCs w:val="21"/>
              </w:rPr>
              <w:t>3</w:t>
            </w:r>
          </w:p>
        </w:tc>
      </w:tr>
      <w:tr w:rsidR="003717A0">
        <w:trPr>
          <w:trHeight w:val="375"/>
        </w:trPr>
        <w:tc>
          <w:tcPr>
            <w:tcW w:w="636" w:type="dxa"/>
          </w:tcPr>
          <w:p w:rsidR="003717A0" w:rsidRDefault="003717A0">
            <w:pPr>
              <w:spacing w:line="320" w:lineRule="exact"/>
              <w:jc w:val="center"/>
              <w:rPr>
                <w:szCs w:val="21"/>
              </w:rPr>
            </w:pPr>
            <w:r>
              <w:rPr>
                <w:szCs w:val="21"/>
              </w:rPr>
              <w:t>11</w:t>
            </w:r>
          </w:p>
        </w:tc>
        <w:tc>
          <w:tcPr>
            <w:tcW w:w="2106" w:type="dxa"/>
            <w:vAlign w:val="center"/>
          </w:tcPr>
          <w:p w:rsidR="003717A0" w:rsidRDefault="003717A0">
            <w:pPr>
              <w:spacing w:line="320" w:lineRule="exact"/>
              <w:rPr>
                <w:szCs w:val="21"/>
              </w:rPr>
            </w:pPr>
            <w:r>
              <w:rPr>
                <w:rFonts w:hint="eastAsia"/>
                <w:szCs w:val="21"/>
              </w:rPr>
              <w:t>基因重组与基因工程</w:t>
            </w:r>
          </w:p>
        </w:tc>
        <w:tc>
          <w:tcPr>
            <w:tcW w:w="636" w:type="dxa"/>
          </w:tcPr>
          <w:p w:rsidR="003717A0" w:rsidRDefault="003717A0">
            <w:pPr>
              <w:spacing w:line="320" w:lineRule="exact"/>
              <w:jc w:val="center"/>
              <w:rPr>
                <w:szCs w:val="21"/>
              </w:rPr>
            </w:pPr>
            <w:r>
              <w:rPr>
                <w:szCs w:val="21"/>
              </w:rPr>
              <w:t>3</w:t>
            </w:r>
          </w:p>
        </w:tc>
      </w:tr>
      <w:tr w:rsidR="003717A0">
        <w:trPr>
          <w:trHeight w:val="375"/>
        </w:trPr>
        <w:tc>
          <w:tcPr>
            <w:tcW w:w="636" w:type="dxa"/>
          </w:tcPr>
          <w:p w:rsidR="003717A0" w:rsidRDefault="003717A0">
            <w:pPr>
              <w:spacing w:line="320" w:lineRule="exact"/>
              <w:rPr>
                <w:szCs w:val="21"/>
              </w:rPr>
            </w:pPr>
            <w:r>
              <w:rPr>
                <w:rFonts w:hint="eastAsia"/>
                <w:szCs w:val="21"/>
              </w:rPr>
              <w:t>合计</w:t>
            </w:r>
          </w:p>
        </w:tc>
        <w:tc>
          <w:tcPr>
            <w:tcW w:w="2106" w:type="dxa"/>
          </w:tcPr>
          <w:p w:rsidR="003717A0" w:rsidRDefault="003717A0">
            <w:pPr>
              <w:spacing w:line="320" w:lineRule="exact"/>
              <w:rPr>
                <w:szCs w:val="21"/>
              </w:rPr>
            </w:pPr>
          </w:p>
        </w:tc>
        <w:tc>
          <w:tcPr>
            <w:tcW w:w="636" w:type="dxa"/>
          </w:tcPr>
          <w:p w:rsidR="003717A0" w:rsidRDefault="003717A0">
            <w:pPr>
              <w:spacing w:line="320" w:lineRule="exact"/>
              <w:jc w:val="center"/>
              <w:rPr>
                <w:szCs w:val="21"/>
              </w:rPr>
            </w:pPr>
            <w:r>
              <w:rPr>
                <w:szCs w:val="21"/>
              </w:rPr>
              <w:t>42</w:t>
            </w:r>
          </w:p>
        </w:tc>
      </w:tr>
    </w:tbl>
    <w:p w:rsidR="003717A0" w:rsidRDefault="003717A0">
      <w:pPr>
        <w:ind w:left="420"/>
        <w:rPr>
          <w:rFonts w:ascii="宋体"/>
          <w:szCs w:val="21"/>
        </w:rPr>
      </w:pPr>
      <w:r>
        <w:rPr>
          <w:rFonts w:ascii="宋体" w:hAnsi="宋体" w:hint="eastAsia"/>
          <w:szCs w:val="21"/>
        </w:rPr>
        <w:t>理论课：</w:t>
      </w:r>
    </w:p>
    <w:p w:rsidR="003717A0" w:rsidRDefault="003717A0">
      <w:pPr>
        <w:adjustRightInd w:val="0"/>
        <w:snapToGrid w:val="0"/>
        <w:spacing w:line="360" w:lineRule="auto"/>
        <w:jc w:val="center"/>
        <w:rPr>
          <w:b/>
          <w:bCs/>
          <w:sz w:val="28"/>
          <w:szCs w:val="28"/>
        </w:rPr>
      </w:pPr>
    </w:p>
    <w:p w:rsidR="003717A0" w:rsidRDefault="003717A0">
      <w:pPr>
        <w:adjustRightInd w:val="0"/>
        <w:snapToGrid w:val="0"/>
        <w:spacing w:line="360" w:lineRule="auto"/>
        <w:jc w:val="center"/>
      </w:pPr>
    </w:p>
    <w:p w:rsidR="003717A0" w:rsidRDefault="003717A0">
      <w:pPr>
        <w:adjustRightInd w:val="0"/>
        <w:snapToGrid w:val="0"/>
        <w:jc w:val="center"/>
        <w:rPr>
          <w:b/>
          <w:bCs/>
          <w:sz w:val="28"/>
          <w:szCs w:val="28"/>
        </w:rPr>
      </w:pPr>
    </w:p>
    <w:p w:rsidR="003717A0" w:rsidRDefault="003717A0">
      <w:pPr>
        <w:adjustRightInd w:val="0"/>
        <w:snapToGrid w:val="0"/>
        <w:jc w:val="center"/>
        <w:rPr>
          <w:b/>
          <w:bCs/>
          <w:sz w:val="28"/>
          <w:szCs w:val="28"/>
        </w:rPr>
      </w:pPr>
    </w:p>
    <w:p w:rsidR="003717A0" w:rsidRDefault="003717A0">
      <w:pPr>
        <w:adjustRightInd w:val="0"/>
        <w:snapToGrid w:val="0"/>
        <w:jc w:val="center"/>
        <w:rPr>
          <w:b/>
          <w:bCs/>
          <w:sz w:val="28"/>
          <w:szCs w:val="28"/>
        </w:rPr>
      </w:pPr>
    </w:p>
    <w:p w:rsidR="003717A0" w:rsidRDefault="003717A0">
      <w:pPr>
        <w:adjustRightInd w:val="0"/>
        <w:snapToGrid w:val="0"/>
        <w:jc w:val="center"/>
        <w:rPr>
          <w:b/>
          <w:bCs/>
          <w:sz w:val="28"/>
          <w:szCs w:val="28"/>
        </w:rPr>
      </w:pPr>
    </w:p>
    <w:p w:rsidR="003717A0" w:rsidRDefault="003717A0">
      <w:pPr>
        <w:adjustRightInd w:val="0"/>
        <w:snapToGrid w:val="0"/>
        <w:jc w:val="center"/>
        <w:rPr>
          <w:b/>
          <w:bCs/>
          <w:sz w:val="28"/>
          <w:szCs w:val="28"/>
        </w:rPr>
      </w:pPr>
    </w:p>
    <w:p w:rsidR="003717A0" w:rsidRDefault="003717A0">
      <w:pPr>
        <w:adjustRightInd w:val="0"/>
        <w:snapToGrid w:val="0"/>
        <w:jc w:val="center"/>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多媒体教室、生物化学与分子生物学实验室、生物化学与分子生物学研究室等；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培养箱、分光光度计、</w:t>
      </w:r>
      <w:r>
        <w:rPr>
          <w:rFonts w:ascii="Times New Roman"/>
        </w:rPr>
        <w:t>PCR</w:t>
      </w:r>
      <w:r>
        <w:rPr>
          <w:rFonts w:ascii="Times New Roman" w:hint="eastAsia"/>
        </w:rPr>
        <w:t>仪、移液器、电泳仪、无菌采样及称样袋、离心机、天平、凝胶成像系统、酶标仪、人工气候箱、恒温振荡器等。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w:t>
      </w:r>
      <w:r>
        <w:rPr>
          <w:rFonts w:ascii="宋体" w:hAnsi="宋体" w:hint="eastAsia"/>
          <w:bCs/>
          <w:szCs w:val="21"/>
        </w:rPr>
        <w:t>黄诒森主编，《生物化学与分子生物学》第三版，科学出版社，</w:t>
      </w:r>
      <w:r>
        <w:rPr>
          <w:rFonts w:ascii="宋体" w:hAnsi="宋体"/>
          <w:bCs/>
          <w:szCs w:val="21"/>
        </w:rPr>
        <w:t>2012.2</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numPr>
          <w:ilvl w:val="0"/>
          <w:numId w:val="165"/>
        </w:numPr>
        <w:adjustRightInd w:val="0"/>
        <w:snapToGrid w:val="0"/>
        <w:spacing w:line="360" w:lineRule="auto"/>
        <w:ind w:right="4"/>
        <w:rPr>
          <w:rFonts w:ascii="Times New Roman"/>
        </w:rPr>
      </w:pPr>
      <w:r>
        <w:rPr>
          <w:rFonts w:ascii="宋体" w:hAnsi="宋体" w:hint="eastAsia"/>
          <w:bCs/>
          <w:szCs w:val="21"/>
        </w:rPr>
        <w:t>查锡良主编，《生物化学》第八版，人民卫生出版社，</w:t>
      </w:r>
      <w:r>
        <w:rPr>
          <w:rFonts w:ascii="宋体" w:hAnsi="宋体"/>
          <w:bCs/>
          <w:szCs w:val="21"/>
        </w:rPr>
        <w:t>2009</w:t>
      </w:r>
    </w:p>
    <w:p w:rsidR="003717A0" w:rsidRDefault="003717A0">
      <w:pPr>
        <w:numPr>
          <w:ilvl w:val="0"/>
          <w:numId w:val="165"/>
        </w:numPr>
        <w:adjustRightInd w:val="0"/>
        <w:snapToGrid w:val="0"/>
        <w:spacing w:line="360" w:lineRule="auto"/>
        <w:ind w:right="4"/>
        <w:rPr>
          <w:rFonts w:ascii="Times New Roman"/>
        </w:rPr>
      </w:pPr>
      <w:r>
        <w:rPr>
          <w:rFonts w:ascii="宋体" w:hAnsi="宋体" w:hint="eastAsia"/>
          <w:bCs/>
          <w:szCs w:val="21"/>
        </w:rPr>
        <w:t>吴梧桐主编，《生物化学》第五版，人民卫生出版社，</w:t>
      </w:r>
      <w:r>
        <w:rPr>
          <w:rFonts w:ascii="宋体" w:hAnsi="宋体"/>
          <w:bCs/>
          <w:szCs w:val="21"/>
        </w:rPr>
        <w:t>2006</w:t>
      </w:r>
    </w:p>
    <w:p w:rsidR="003717A0" w:rsidRDefault="003717A0">
      <w:pPr>
        <w:numPr>
          <w:ilvl w:val="0"/>
          <w:numId w:val="165"/>
        </w:numPr>
        <w:adjustRightInd w:val="0"/>
        <w:snapToGrid w:val="0"/>
        <w:spacing w:line="360" w:lineRule="auto"/>
        <w:ind w:right="4"/>
        <w:rPr>
          <w:rFonts w:ascii="Times New Roman"/>
        </w:rPr>
      </w:pPr>
      <w:r>
        <w:rPr>
          <w:rFonts w:ascii="宋体" w:hAnsi="宋体" w:hint="eastAsia"/>
          <w:bCs/>
          <w:szCs w:val="21"/>
        </w:rPr>
        <w:t>倪衡建主编，《基础医学概论</w:t>
      </w:r>
      <w:r>
        <w:rPr>
          <w:rFonts w:ascii="宋体"/>
          <w:bCs/>
          <w:szCs w:val="21"/>
        </w:rPr>
        <w:t>--</w:t>
      </w:r>
      <w:r>
        <w:rPr>
          <w:rFonts w:ascii="宋体" w:hAnsi="宋体" w:hint="eastAsia"/>
          <w:bCs/>
          <w:szCs w:val="21"/>
        </w:rPr>
        <w:t>生物化学》</w:t>
      </w:r>
      <w:r>
        <w:rPr>
          <w:rFonts w:ascii="宋体" w:hAnsi="宋体"/>
          <w:bCs/>
          <w:szCs w:val="21"/>
        </w:rPr>
        <w:t xml:space="preserve"> </w:t>
      </w:r>
      <w:r>
        <w:rPr>
          <w:rFonts w:ascii="宋体" w:hAnsi="宋体" w:hint="eastAsia"/>
          <w:bCs/>
          <w:szCs w:val="21"/>
        </w:rPr>
        <w:t>，科学出版社，</w:t>
      </w:r>
      <w:r>
        <w:rPr>
          <w:rFonts w:ascii="宋体" w:hAnsi="宋体"/>
          <w:bCs/>
          <w:szCs w:val="21"/>
        </w:rPr>
        <w:t>2002</w:t>
      </w:r>
    </w:p>
    <w:p w:rsidR="003717A0" w:rsidRDefault="003717A0">
      <w:pPr>
        <w:numPr>
          <w:ilvl w:val="0"/>
          <w:numId w:val="165"/>
        </w:numPr>
        <w:adjustRightInd w:val="0"/>
        <w:snapToGrid w:val="0"/>
        <w:spacing w:line="360" w:lineRule="auto"/>
        <w:ind w:right="4"/>
        <w:jc w:val="left"/>
        <w:rPr>
          <w:rFonts w:ascii="仿宋" w:eastAsia="仿宋" w:hAnsi="仿宋"/>
          <w:kern w:val="0"/>
        </w:rPr>
      </w:pPr>
      <w:r>
        <w:rPr>
          <w:rFonts w:ascii="Times New Roman"/>
        </w:rPr>
        <w:t>David</w:t>
      </w:r>
      <w:r>
        <w:rPr>
          <w:rFonts w:ascii="Times New Roman"/>
        </w:rPr>
        <w:t> </w:t>
      </w:r>
      <w:r>
        <w:rPr>
          <w:rFonts w:ascii="Times New Roman"/>
        </w:rPr>
        <w:t>L</w:t>
      </w:r>
      <w:r>
        <w:rPr>
          <w:rFonts w:ascii="Times New Roman"/>
        </w:rPr>
        <w:t> </w:t>
      </w:r>
      <w:r>
        <w:rPr>
          <w:rFonts w:ascii="Times New Roman"/>
        </w:rPr>
        <w:t>Nelson</w:t>
      </w:r>
      <w:r>
        <w:rPr>
          <w:rFonts w:ascii="Times New Roman"/>
        </w:rPr>
        <w:t> </w:t>
      </w:r>
      <w:r>
        <w:rPr>
          <w:rFonts w:ascii="Times New Roman"/>
        </w:rPr>
        <w:t>and</w:t>
      </w:r>
      <w:r>
        <w:rPr>
          <w:rFonts w:ascii="Times New Roman"/>
        </w:rPr>
        <w:t> </w:t>
      </w:r>
      <w:r>
        <w:rPr>
          <w:rFonts w:ascii="Times New Roman"/>
        </w:rPr>
        <w:t>Michael</w:t>
      </w:r>
      <w:r>
        <w:rPr>
          <w:rFonts w:ascii="Times New Roman"/>
        </w:rPr>
        <w:t> </w:t>
      </w:r>
      <w:r>
        <w:rPr>
          <w:rFonts w:ascii="Times New Roman"/>
        </w:rPr>
        <w:t>M</w:t>
      </w:r>
      <w:r>
        <w:rPr>
          <w:rFonts w:ascii="Times New Roman"/>
        </w:rPr>
        <w:t> </w:t>
      </w:r>
      <w:r>
        <w:rPr>
          <w:rFonts w:ascii="Times New Roman"/>
        </w:rPr>
        <w:t>Cox</w:t>
      </w:r>
      <w:r>
        <w:rPr>
          <w:rFonts w:ascii="Times New Roman" w:hint="eastAsia"/>
          <w:bCs/>
        </w:rPr>
        <w:t>，</w:t>
      </w:r>
      <w:r>
        <w:rPr>
          <w:rFonts w:ascii="宋体" w:hAnsi="宋体" w:hint="eastAsia"/>
          <w:bCs/>
          <w:szCs w:val="21"/>
        </w:rPr>
        <w:t>《</w:t>
      </w:r>
      <w:r>
        <w:rPr>
          <w:rFonts w:ascii="Times New Roman"/>
        </w:rPr>
        <w:t>Lehninger:</w:t>
      </w:r>
      <w:r>
        <w:rPr>
          <w:rFonts w:ascii="Times New Roman"/>
        </w:rPr>
        <w:t> </w:t>
      </w:r>
      <w:r>
        <w:rPr>
          <w:rFonts w:ascii="Times New Roman"/>
        </w:rPr>
        <w:t>Principles</w:t>
      </w:r>
      <w:r>
        <w:rPr>
          <w:rFonts w:ascii="Times New Roman"/>
        </w:rPr>
        <w:t> </w:t>
      </w:r>
      <w:r>
        <w:rPr>
          <w:rFonts w:ascii="Times New Roman"/>
        </w:rPr>
        <w:t>of</w:t>
      </w:r>
      <w:r>
        <w:rPr>
          <w:rFonts w:ascii="Times New Roman"/>
        </w:rPr>
        <w:t> </w:t>
      </w:r>
      <w:r>
        <w:rPr>
          <w:rFonts w:ascii="Times New Roman"/>
        </w:rPr>
        <w:t>Biochemistry</w:t>
      </w:r>
      <w:r>
        <w:rPr>
          <w:rFonts w:ascii="宋体" w:hAnsi="宋体" w:hint="eastAsia"/>
          <w:bCs/>
          <w:szCs w:val="21"/>
        </w:rPr>
        <w:t>》</w:t>
      </w:r>
      <w:r>
        <w:rPr>
          <w:rFonts w:ascii="宋体" w:hAnsi="宋体"/>
          <w:bCs/>
          <w:szCs w:val="21"/>
        </w:rPr>
        <w:t xml:space="preserve">         (</w:t>
      </w:r>
      <w:r>
        <w:rPr>
          <w:rFonts w:ascii="Times New Roman"/>
        </w:rPr>
        <w:t>4th</w:t>
      </w:r>
      <w:r>
        <w:rPr>
          <w:rFonts w:ascii="Times New Roman"/>
        </w:rPr>
        <w:t> </w:t>
      </w:r>
      <w:r>
        <w:rPr>
          <w:rFonts w:ascii="Times New Roman"/>
        </w:rPr>
        <w:t xml:space="preserve"> edition)</w:t>
      </w:r>
      <w:r>
        <w:rPr>
          <w:rFonts w:ascii="Times New Roman" w:hint="eastAsia"/>
          <w:bCs/>
        </w:rPr>
        <w:t>，</w:t>
      </w:r>
      <w:r>
        <w:rPr>
          <w:rFonts w:ascii="Times New Roman"/>
        </w:rPr>
        <w:t>Worth</w:t>
      </w:r>
      <w:r>
        <w:rPr>
          <w:rFonts w:ascii="Times New Roman"/>
        </w:rPr>
        <w:t> </w:t>
      </w:r>
      <w:r>
        <w:rPr>
          <w:rFonts w:ascii="Times New Roman"/>
        </w:rPr>
        <w:t>Publishers</w:t>
      </w:r>
      <w:r>
        <w:rPr>
          <w:rFonts w:ascii="Times New Roman" w:hint="eastAsia"/>
          <w:bCs/>
        </w:rPr>
        <w:t>，</w:t>
      </w:r>
      <w:r>
        <w:rPr>
          <w:rFonts w:ascii="Times New Roman"/>
        </w:rPr>
        <w:t>2007</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Trudy</w:t>
      </w:r>
      <w:r>
        <w:rPr>
          <w:rFonts w:ascii="Times New Roman"/>
        </w:rPr>
        <w:t> </w:t>
      </w:r>
      <w:r>
        <w:rPr>
          <w:rFonts w:ascii="Times New Roman"/>
        </w:rPr>
        <w:t>McKee</w:t>
      </w:r>
      <w:r>
        <w:rPr>
          <w:rFonts w:ascii="Times New Roman"/>
        </w:rPr>
        <w:t> </w:t>
      </w:r>
      <w:r>
        <w:rPr>
          <w:rFonts w:ascii="Times New Roman"/>
        </w:rPr>
        <w:t>and</w:t>
      </w:r>
      <w:r>
        <w:rPr>
          <w:rFonts w:ascii="Times New Roman"/>
        </w:rPr>
        <w:t> </w:t>
      </w:r>
      <w:r>
        <w:rPr>
          <w:rFonts w:ascii="Times New Roman"/>
        </w:rPr>
        <w:t>James</w:t>
      </w:r>
      <w:r>
        <w:rPr>
          <w:rFonts w:ascii="Times New Roman"/>
        </w:rPr>
        <w:t> </w:t>
      </w:r>
      <w:r>
        <w:rPr>
          <w:rFonts w:ascii="Times New Roman"/>
        </w:rPr>
        <w:t>R</w:t>
      </w:r>
      <w:r>
        <w:rPr>
          <w:rFonts w:ascii="Times New Roman" w:hint="eastAsia"/>
          <w:bCs/>
        </w:rPr>
        <w:t>，</w:t>
      </w:r>
      <w:r>
        <w:rPr>
          <w:rFonts w:ascii="宋体" w:hAnsi="宋体" w:hint="eastAsia"/>
          <w:bCs/>
          <w:szCs w:val="21"/>
        </w:rPr>
        <w:t>《</w:t>
      </w:r>
      <w:r>
        <w:rPr>
          <w:rFonts w:ascii="Times New Roman"/>
        </w:rPr>
        <w:t>An</w:t>
      </w:r>
      <w:r>
        <w:rPr>
          <w:rFonts w:ascii="Times New Roman"/>
        </w:rPr>
        <w:t> </w:t>
      </w:r>
      <w:r>
        <w:rPr>
          <w:rFonts w:ascii="Times New Roman"/>
        </w:rPr>
        <w:t>Introduction</w:t>
      </w:r>
      <w:r>
        <w:rPr>
          <w:rFonts w:ascii="Times New Roman"/>
        </w:rPr>
        <w:t> </w:t>
      </w:r>
      <w:r>
        <w:rPr>
          <w:rFonts w:ascii="Times New Roman"/>
        </w:rPr>
        <w:t>to</w:t>
      </w:r>
      <w:r>
        <w:rPr>
          <w:rFonts w:ascii="Times New Roman"/>
        </w:rPr>
        <w:t> </w:t>
      </w:r>
      <w:r>
        <w:rPr>
          <w:rFonts w:ascii="Times New Roman"/>
        </w:rPr>
        <w:t>Biochemistry</w:t>
      </w:r>
      <w:r>
        <w:rPr>
          <w:rFonts w:ascii="宋体" w:hAnsi="宋体" w:hint="eastAsia"/>
          <w:bCs/>
          <w:szCs w:val="21"/>
        </w:rPr>
        <w:t>》</w:t>
      </w:r>
      <w:r>
        <w:rPr>
          <w:rFonts w:ascii="宋体" w:hAnsi="宋体"/>
          <w:bCs/>
          <w:szCs w:val="21"/>
        </w:rPr>
        <w:t>(</w:t>
      </w:r>
      <w:r>
        <w:rPr>
          <w:rFonts w:ascii="Times New Roman"/>
        </w:rPr>
        <w:t>3red</w:t>
      </w:r>
      <w:r>
        <w:rPr>
          <w:rFonts w:ascii="Times New Roman"/>
        </w:rPr>
        <w:t> </w:t>
      </w:r>
      <w:r>
        <w:rPr>
          <w:rFonts w:ascii="Times New Roman"/>
        </w:rPr>
        <w:t>eidition)</w:t>
      </w:r>
      <w:r>
        <w:rPr>
          <w:rFonts w:ascii="Times New Roman" w:hint="eastAsia"/>
          <w:bCs/>
        </w:rPr>
        <w:t>，</w:t>
      </w:r>
      <w:r>
        <w:rPr>
          <w:rFonts w:ascii="Times New Roman"/>
        </w:rPr>
        <w:t xml:space="preserve"> McGraw-Hill </w:t>
      </w:r>
      <w:r>
        <w:rPr>
          <w:rFonts w:ascii="Times New Roman"/>
        </w:rPr>
        <w:t> </w:t>
      </w:r>
      <w:r>
        <w:rPr>
          <w:rFonts w:ascii="Times New Roman"/>
        </w:rPr>
        <w:t>Publishers,</w:t>
      </w:r>
      <w:r>
        <w:rPr>
          <w:rFonts w:ascii="Times New Roman"/>
        </w:rPr>
        <w:t> </w:t>
      </w:r>
      <w:r>
        <w:rPr>
          <w:rFonts w:ascii="Times New Roman"/>
        </w:rPr>
        <w:t>2000</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Geoffrey</w:t>
      </w:r>
      <w:r>
        <w:rPr>
          <w:rFonts w:ascii="Times New Roman"/>
        </w:rPr>
        <w:t> </w:t>
      </w:r>
      <w:r>
        <w:rPr>
          <w:rFonts w:ascii="Times New Roman"/>
        </w:rPr>
        <w:t>L</w:t>
      </w:r>
      <w:r>
        <w:rPr>
          <w:rFonts w:ascii="Times New Roman"/>
        </w:rPr>
        <w:t> </w:t>
      </w:r>
      <w:r>
        <w:rPr>
          <w:rFonts w:ascii="Times New Roman"/>
        </w:rPr>
        <w:t>Zubay</w:t>
      </w:r>
      <w:r>
        <w:rPr>
          <w:rFonts w:ascii="Times New Roman" w:hint="eastAsia"/>
          <w:bCs/>
        </w:rPr>
        <w:t>，《</w:t>
      </w:r>
      <w:r>
        <w:rPr>
          <w:rFonts w:ascii="Times New Roman"/>
        </w:rPr>
        <w:t xml:space="preserve"> Biochemistry</w:t>
      </w:r>
      <w:r>
        <w:rPr>
          <w:rFonts w:ascii="宋体" w:hAnsi="宋体" w:hint="eastAsia"/>
          <w:bCs/>
          <w:szCs w:val="21"/>
        </w:rPr>
        <w:t>》</w:t>
      </w:r>
      <w:r>
        <w:rPr>
          <w:rFonts w:ascii="宋体" w:hAnsi="宋体"/>
          <w:bCs/>
          <w:szCs w:val="21"/>
        </w:rPr>
        <w:t>(</w:t>
      </w:r>
      <w:r>
        <w:rPr>
          <w:rFonts w:ascii="Times New Roman"/>
        </w:rPr>
        <w:t>4th</w:t>
      </w:r>
      <w:r>
        <w:rPr>
          <w:rFonts w:ascii="Times New Roman"/>
        </w:rPr>
        <w:t> </w:t>
      </w:r>
      <w:r>
        <w:rPr>
          <w:rFonts w:ascii="Times New Roman"/>
        </w:rPr>
        <w:t>edition)</w:t>
      </w:r>
      <w:r>
        <w:rPr>
          <w:rFonts w:ascii="Times New Roman" w:hint="eastAsia"/>
          <w:bCs/>
        </w:rPr>
        <w:t>，</w:t>
      </w:r>
      <w:r>
        <w:rPr>
          <w:rFonts w:ascii="Times New Roman"/>
        </w:rPr>
        <w:t>Wm.</w:t>
      </w:r>
      <w:r>
        <w:rPr>
          <w:rFonts w:ascii="Times New Roman"/>
        </w:rPr>
        <w:t> </w:t>
      </w:r>
      <w:r>
        <w:rPr>
          <w:rFonts w:ascii="Times New Roman"/>
        </w:rPr>
        <w:t>C.</w:t>
      </w:r>
      <w:r>
        <w:rPr>
          <w:rFonts w:ascii="Times New Roman"/>
        </w:rPr>
        <w:t> </w:t>
      </w:r>
      <w:r>
        <w:rPr>
          <w:rFonts w:ascii="Times New Roman"/>
        </w:rPr>
        <w:t>Brown</w:t>
      </w:r>
      <w:r>
        <w:rPr>
          <w:rFonts w:ascii="Times New Roman"/>
        </w:rPr>
        <w:t> </w:t>
      </w:r>
      <w:r>
        <w:rPr>
          <w:rFonts w:ascii="Times New Roman"/>
        </w:rPr>
        <w:t>Publishers</w:t>
      </w:r>
      <w:r>
        <w:rPr>
          <w:rFonts w:ascii="Times New Roman" w:hint="eastAsia"/>
          <w:bCs/>
        </w:rPr>
        <w:t>，</w:t>
      </w:r>
      <w:r>
        <w:rPr>
          <w:rFonts w:ascii="Times New Roman"/>
        </w:rPr>
        <w:t>1998</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Robert</w:t>
      </w:r>
      <w:r>
        <w:rPr>
          <w:rFonts w:ascii="Times New Roman"/>
        </w:rPr>
        <w:t> </w:t>
      </w:r>
      <w:r>
        <w:rPr>
          <w:rFonts w:ascii="Times New Roman"/>
        </w:rPr>
        <w:t>F.</w:t>
      </w:r>
      <w:r>
        <w:rPr>
          <w:rFonts w:ascii="Times New Roman"/>
        </w:rPr>
        <w:t> </w:t>
      </w:r>
      <w:r>
        <w:rPr>
          <w:rFonts w:ascii="Times New Roman"/>
        </w:rPr>
        <w:t>Weaver</w:t>
      </w:r>
      <w:r>
        <w:rPr>
          <w:rFonts w:ascii="Times New Roman" w:hint="eastAsia"/>
          <w:bCs/>
        </w:rPr>
        <w:t>，《</w:t>
      </w:r>
      <w:r>
        <w:rPr>
          <w:rFonts w:ascii="Times New Roman"/>
        </w:rPr>
        <w:t>Molecular</w:t>
      </w:r>
      <w:r>
        <w:rPr>
          <w:rFonts w:ascii="Times New Roman"/>
        </w:rPr>
        <w:t> </w:t>
      </w:r>
      <w:r>
        <w:rPr>
          <w:rFonts w:ascii="Times New Roman"/>
        </w:rPr>
        <w:t>Biology</w:t>
      </w:r>
      <w:r>
        <w:rPr>
          <w:rFonts w:ascii="宋体" w:hAnsi="宋体" w:hint="eastAsia"/>
          <w:bCs/>
          <w:szCs w:val="21"/>
        </w:rPr>
        <w:t>》</w:t>
      </w:r>
      <w:r>
        <w:rPr>
          <w:rFonts w:ascii="宋体" w:hAnsi="宋体"/>
          <w:bCs/>
          <w:szCs w:val="21"/>
        </w:rPr>
        <w:t>(</w:t>
      </w:r>
      <w:r>
        <w:rPr>
          <w:rFonts w:ascii="Times New Roman"/>
        </w:rPr>
        <w:t> </w:t>
      </w:r>
      <w:r>
        <w:rPr>
          <w:rFonts w:ascii="Times New Roman"/>
        </w:rPr>
        <w:t>2nd</w:t>
      </w:r>
      <w:r>
        <w:rPr>
          <w:rFonts w:ascii="Times New Roman"/>
        </w:rPr>
        <w:t> </w:t>
      </w:r>
      <w:r>
        <w:rPr>
          <w:rFonts w:ascii="Times New Roman"/>
        </w:rPr>
        <w:t>edition)</w:t>
      </w:r>
      <w:r>
        <w:rPr>
          <w:rFonts w:ascii="Times New Roman" w:hint="eastAsia"/>
          <w:bCs/>
        </w:rPr>
        <w:t>，</w:t>
      </w:r>
      <w:r>
        <w:rPr>
          <w:rFonts w:ascii="Times New Roman"/>
        </w:rPr>
        <w:t> </w:t>
      </w:r>
      <w:r>
        <w:rPr>
          <w:rFonts w:ascii="Times New Roman"/>
        </w:rPr>
        <w:t xml:space="preserve">McGraw-Hill </w:t>
      </w:r>
      <w:r>
        <w:rPr>
          <w:rFonts w:ascii="Times New Roman"/>
        </w:rPr>
        <w:t> </w:t>
      </w:r>
      <w:r>
        <w:rPr>
          <w:rFonts w:ascii="Times New Roman"/>
        </w:rPr>
        <w:t>Publishers</w:t>
      </w:r>
      <w:r>
        <w:rPr>
          <w:rFonts w:ascii="Times New Roman" w:hint="eastAsia"/>
          <w:bCs/>
        </w:rPr>
        <w:t>，</w:t>
      </w:r>
      <w:r>
        <w:rPr>
          <w:rFonts w:ascii="Times New Roman"/>
        </w:rPr>
        <w:t>2000</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B</w:t>
      </w:r>
      <w:r>
        <w:rPr>
          <w:rFonts w:ascii="Times New Roman"/>
        </w:rPr>
        <w:t> </w:t>
      </w:r>
      <w:r>
        <w:rPr>
          <w:rFonts w:ascii="Times New Roman"/>
        </w:rPr>
        <w:t>Alberts,</w:t>
      </w:r>
      <w:r>
        <w:rPr>
          <w:rFonts w:ascii="Times New Roman"/>
        </w:rPr>
        <w:t> </w:t>
      </w:r>
      <w:r>
        <w:rPr>
          <w:rFonts w:ascii="Times New Roman"/>
        </w:rPr>
        <w:t>A</w:t>
      </w:r>
      <w:r>
        <w:rPr>
          <w:rFonts w:ascii="Times New Roman"/>
        </w:rPr>
        <w:t> </w:t>
      </w:r>
      <w:r>
        <w:rPr>
          <w:rFonts w:ascii="Times New Roman"/>
        </w:rPr>
        <w:t>Johnson,</w:t>
      </w:r>
      <w:r>
        <w:rPr>
          <w:rFonts w:ascii="Times New Roman"/>
        </w:rPr>
        <w:t> </w:t>
      </w:r>
      <w:r>
        <w:rPr>
          <w:rFonts w:ascii="Times New Roman"/>
        </w:rPr>
        <w:t>J</w:t>
      </w:r>
      <w:r>
        <w:rPr>
          <w:rFonts w:ascii="Times New Roman"/>
        </w:rPr>
        <w:t> </w:t>
      </w:r>
      <w:r>
        <w:rPr>
          <w:rFonts w:ascii="Times New Roman"/>
        </w:rPr>
        <w:t>Lewis,</w:t>
      </w:r>
      <w:r>
        <w:rPr>
          <w:rFonts w:ascii="Times New Roman"/>
        </w:rPr>
        <w:t> </w:t>
      </w:r>
      <w:r>
        <w:rPr>
          <w:rFonts w:ascii="Times New Roman"/>
        </w:rPr>
        <w:t>M</w:t>
      </w:r>
      <w:r>
        <w:rPr>
          <w:rFonts w:ascii="Times New Roman"/>
        </w:rPr>
        <w:t> </w:t>
      </w:r>
      <w:r>
        <w:rPr>
          <w:rFonts w:ascii="Times New Roman"/>
        </w:rPr>
        <w:t>Raff</w:t>
      </w:r>
      <w:r>
        <w:rPr>
          <w:rFonts w:ascii="Times New Roman"/>
        </w:rPr>
        <w:t> </w:t>
      </w:r>
      <w:r>
        <w:rPr>
          <w:rFonts w:ascii="Times New Roman"/>
        </w:rPr>
        <w:t>K</w:t>
      </w:r>
      <w:r>
        <w:rPr>
          <w:rFonts w:ascii="Times New Roman"/>
        </w:rPr>
        <w:t> </w:t>
      </w:r>
      <w:r>
        <w:rPr>
          <w:rFonts w:ascii="Times New Roman"/>
        </w:rPr>
        <w:t>Roberts</w:t>
      </w:r>
      <w:r>
        <w:rPr>
          <w:rFonts w:ascii="Times New Roman"/>
        </w:rPr>
        <w:t> </w:t>
      </w:r>
      <w:r>
        <w:rPr>
          <w:rFonts w:ascii="Times New Roman"/>
        </w:rPr>
        <w:t>and</w:t>
      </w:r>
      <w:r>
        <w:rPr>
          <w:rFonts w:ascii="Times New Roman"/>
        </w:rPr>
        <w:t> </w:t>
      </w:r>
      <w:r>
        <w:rPr>
          <w:rFonts w:ascii="Times New Roman"/>
        </w:rPr>
        <w:t>P</w:t>
      </w:r>
      <w:r>
        <w:rPr>
          <w:rFonts w:ascii="Times New Roman"/>
        </w:rPr>
        <w:t> </w:t>
      </w:r>
      <w:r>
        <w:rPr>
          <w:rFonts w:ascii="Times New Roman"/>
        </w:rPr>
        <w:t>Walter</w:t>
      </w:r>
      <w:r>
        <w:rPr>
          <w:rFonts w:ascii="Times New Roman" w:hint="eastAsia"/>
          <w:bCs/>
        </w:rPr>
        <w:t>，《</w:t>
      </w:r>
      <w:r>
        <w:rPr>
          <w:rFonts w:ascii="Times New Roman"/>
        </w:rPr>
        <w:t>Molecular</w:t>
      </w:r>
      <w:r>
        <w:rPr>
          <w:rFonts w:ascii="Times New Roman"/>
        </w:rPr>
        <w:t> </w:t>
      </w:r>
      <w:r>
        <w:rPr>
          <w:rFonts w:ascii="Times New Roman"/>
        </w:rPr>
        <w:t>Biology</w:t>
      </w:r>
      <w:r>
        <w:rPr>
          <w:rFonts w:ascii="Times New Roman"/>
        </w:rPr>
        <w:t> </w:t>
      </w:r>
      <w:r>
        <w:rPr>
          <w:rFonts w:ascii="Times New Roman"/>
        </w:rPr>
        <w:t>of</w:t>
      </w:r>
      <w:r>
        <w:rPr>
          <w:rFonts w:ascii="Times New Roman"/>
        </w:rPr>
        <w:br/>
      </w:r>
      <w:r>
        <w:rPr>
          <w:rFonts w:ascii="Times New Roman"/>
        </w:rPr>
        <w:t> </w:t>
      </w:r>
      <w:r>
        <w:rPr>
          <w:rFonts w:ascii="Times New Roman"/>
        </w:rPr>
        <w:t>the</w:t>
      </w:r>
      <w:r>
        <w:rPr>
          <w:rFonts w:ascii="Times New Roman"/>
        </w:rPr>
        <w:t> </w:t>
      </w:r>
      <w:r>
        <w:rPr>
          <w:rFonts w:ascii="Times New Roman"/>
        </w:rPr>
        <w:t>Cell</w:t>
      </w:r>
      <w:r>
        <w:rPr>
          <w:rFonts w:ascii="宋体" w:hAnsi="宋体" w:hint="eastAsia"/>
          <w:bCs/>
          <w:szCs w:val="21"/>
        </w:rPr>
        <w:t>》</w:t>
      </w:r>
      <w:r>
        <w:rPr>
          <w:rFonts w:ascii="宋体" w:hAnsi="宋体"/>
          <w:bCs/>
          <w:szCs w:val="21"/>
        </w:rPr>
        <w:t>(</w:t>
      </w:r>
      <w:r>
        <w:rPr>
          <w:rFonts w:ascii="Times New Roman"/>
        </w:rPr>
        <w:t> </w:t>
      </w:r>
      <w:r>
        <w:rPr>
          <w:rFonts w:ascii="Times New Roman"/>
        </w:rPr>
        <w:t>4th</w:t>
      </w:r>
      <w:r>
        <w:rPr>
          <w:rFonts w:ascii="Times New Roman"/>
        </w:rPr>
        <w:t> </w:t>
      </w:r>
      <w:r>
        <w:rPr>
          <w:rFonts w:ascii="Times New Roman"/>
        </w:rPr>
        <w:t>edition)</w:t>
      </w:r>
      <w:r>
        <w:rPr>
          <w:rFonts w:ascii="Times New Roman" w:hint="eastAsia"/>
          <w:bCs/>
        </w:rPr>
        <w:t>，</w:t>
      </w:r>
      <w:r>
        <w:rPr>
          <w:rFonts w:ascii="Times New Roman"/>
        </w:rPr>
        <w:t>Garland</w:t>
      </w:r>
      <w:r>
        <w:rPr>
          <w:rFonts w:ascii="Times New Roman"/>
        </w:rPr>
        <w:t> </w:t>
      </w:r>
      <w:r>
        <w:rPr>
          <w:rFonts w:ascii="Times New Roman"/>
        </w:rPr>
        <w:t xml:space="preserve">Science </w:t>
      </w:r>
      <w:r>
        <w:rPr>
          <w:rFonts w:ascii="Times New Roman"/>
        </w:rPr>
        <w:t> </w:t>
      </w:r>
      <w:r>
        <w:rPr>
          <w:rFonts w:ascii="Times New Roman"/>
        </w:rPr>
        <w:t>Publishers</w:t>
      </w:r>
      <w:r>
        <w:rPr>
          <w:rFonts w:ascii="Times New Roman" w:hint="eastAsia"/>
          <w:bCs/>
        </w:rPr>
        <w:t>，</w:t>
      </w:r>
      <w:r>
        <w:rPr>
          <w:rFonts w:ascii="Times New Roman"/>
        </w:rPr>
        <w:t>2002</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国家精品课程共享资源网</w:t>
      </w:r>
      <w:r>
        <w:rPr>
          <w:rFonts w:ascii="Times New Roman"/>
        </w:rPr>
        <w:t xml:space="preserve"> http://www.jpkcnet.com/</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中国生物化学与分子生物学学会</w:t>
      </w:r>
      <w:r>
        <w:rPr>
          <w:rFonts w:ascii="Times New Roman"/>
        </w:rPr>
        <w:t xml:space="preserve"> http://www.csbmb.org.cn/</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lastRenderedPageBreak/>
        <w:t>美国生物化学与分子生物学学会</w:t>
      </w:r>
      <w:r>
        <w:rPr>
          <w:rFonts w:ascii="Times New Roman"/>
        </w:rPr>
        <w:t xml:space="preserve"> http://www.asbmb.org/</w:t>
      </w:r>
    </w:p>
    <w:p w:rsidR="003717A0" w:rsidRDefault="003717A0">
      <w:pPr>
        <w:numPr>
          <w:ilvl w:val="0"/>
          <w:numId w:val="165"/>
        </w:numPr>
        <w:adjustRightInd w:val="0"/>
        <w:snapToGrid w:val="0"/>
        <w:spacing w:line="360" w:lineRule="auto"/>
        <w:ind w:right="4"/>
        <w:jc w:val="left"/>
        <w:rPr>
          <w:rFonts w:ascii="Times New Roman"/>
          <w:lang w:val="fr-FR"/>
        </w:rPr>
      </w:pPr>
      <w:r>
        <w:rPr>
          <w:rFonts w:ascii="Times New Roman"/>
          <w:lang w:val="fr-FR"/>
        </w:rPr>
        <w:t>Science  http://www.sciencemag.org/</w:t>
      </w:r>
    </w:p>
    <w:p w:rsidR="003717A0" w:rsidRDefault="003717A0">
      <w:pPr>
        <w:numPr>
          <w:ilvl w:val="0"/>
          <w:numId w:val="165"/>
        </w:numPr>
        <w:adjustRightInd w:val="0"/>
        <w:snapToGrid w:val="0"/>
        <w:spacing w:line="360" w:lineRule="auto"/>
        <w:ind w:right="4"/>
        <w:jc w:val="left"/>
        <w:rPr>
          <w:rFonts w:ascii="Times New Roman"/>
          <w:lang w:val="fr-FR"/>
        </w:rPr>
      </w:pPr>
      <w:r>
        <w:rPr>
          <w:rFonts w:ascii="Times New Roman"/>
          <w:lang w:val="fr-FR"/>
        </w:rPr>
        <w:t>Nature  http://www.nature.com/</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Journal of Biological Chemistry  http://www.jbc.org/</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美国国立生物技术信息中心</w:t>
      </w:r>
      <w:r>
        <w:rPr>
          <w:rFonts w:ascii="Times New Roman"/>
        </w:rPr>
        <w:t xml:space="preserve"> http://www.ncbi.nlm.nih.gov/</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美国科学院院刊（</w:t>
      </w:r>
      <w:r>
        <w:rPr>
          <w:rFonts w:ascii="Times New Roman"/>
        </w:rPr>
        <w:t>Proceeding</w:t>
      </w:r>
      <w:r>
        <w:rPr>
          <w:rFonts w:ascii="Times New Roman"/>
        </w:rPr>
        <w:t> </w:t>
      </w:r>
      <w:r>
        <w:rPr>
          <w:rFonts w:ascii="Times New Roman"/>
        </w:rPr>
        <w:t>of</w:t>
      </w:r>
      <w:r>
        <w:rPr>
          <w:rFonts w:ascii="Times New Roman"/>
        </w:rPr>
        <w:t> </w:t>
      </w:r>
      <w:r>
        <w:rPr>
          <w:rFonts w:ascii="Times New Roman"/>
        </w:rPr>
        <w:t>National</w:t>
      </w:r>
      <w:r>
        <w:rPr>
          <w:rFonts w:ascii="Times New Roman"/>
        </w:rPr>
        <w:t> </w:t>
      </w:r>
      <w:r>
        <w:rPr>
          <w:rFonts w:ascii="Times New Roman"/>
        </w:rPr>
        <w:t xml:space="preserve"> Academy</w:t>
      </w:r>
      <w:r>
        <w:rPr>
          <w:rFonts w:ascii="Times New Roman"/>
        </w:rPr>
        <w:t> </w:t>
      </w:r>
      <w:r>
        <w:rPr>
          <w:rFonts w:ascii="Times New Roman"/>
        </w:rPr>
        <w:t>of</w:t>
      </w:r>
      <w:r>
        <w:rPr>
          <w:rFonts w:ascii="Times New Roman"/>
        </w:rPr>
        <w:t> </w:t>
      </w:r>
      <w:r>
        <w:rPr>
          <w:rFonts w:ascii="Times New Roman"/>
        </w:rPr>
        <w:t>Science,</w:t>
      </w:r>
      <w:r>
        <w:rPr>
          <w:rFonts w:ascii="Times New Roman"/>
        </w:rPr>
        <w:t> </w:t>
      </w:r>
      <w:r>
        <w:rPr>
          <w:rFonts w:ascii="Times New Roman"/>
        </w:rPr>
        <w:t>USA</w:t>
      </w:r>
      <w:r>
        <w:rPr>
          <w:rFonts w:ascii="Times New Roman" w:hint="eastAsia"/>
        </w:rPr>
        <w:t>）</w:t>
      </w:r>
      <w:r>
        <w:rPr>
          <w:rFonts w:ascii="Times New Roman"/>
        </w:rPr>
        <w:t>http://www.pnas.org/</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 </w:t>
      </w:r>
      <w:r>
        <w:rPr>
          <w:rFonts w:ascii="Times New Roman"/>
        </w:rPr>
        <w:t>Cell</w:t>
      </w:r>
      <w:r>
        <w:rPr>
          <w:rFonts w:ascii="Times New Roman"/>
        </w:rPr>
        <w:t> </w:t>
      </w:r>
      <w:r>
        <w:rPr>
          <w:rFonts w:ascii="Times New Roman"/>
        </w:rPr>
        <w:t xml:space="preserve"> http://www.cell.com/</w:t>
      </w:r>
      <w:r>
        <w:rPr>
          <w:rFonts w:ascii="Times New Roman"/>
        </w:rPr>
        <w:t>  </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Chemistry</w:t>
      </w:r>
      <w:r>
        <w:rPr>
          <w:rFonts w:ascii="Times New Roman"/>
        </w:rPr>
        <w:t> </w:t>
      </w:r>
      <w:r>
        <w:rPr>
          <w:rFonts w:ascii="Times New Roman"/>
        </w:rPr>
        <w:t>&amp;</w:t>
      </w:r>
      <w:r>
        <w:rPr>
          <w:rFonts w:ascii="Times New Roman"/>
        </w:rPr>
        <w:t> </w:t>
      </w:r>
      <w:r>
        <w:rPr>
          <w:rFonts w:ascii="Times New Roman"/>
        </w:rPr>
        <w:t>Biology  http://www.chembiol.com/</w:t>
      </w:r>
      <w:r>
        <w:rPr>
          <w:rFonts w:ascii="Times New Roman"/>
        </w:rPr>
        <w:t> </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Current</w:t>
      </w:r>
      <w:r>
        <w:rPr>
          <w:rFonts w:ascii="Times New Roman"/>
        </w:rPr>
        <w:t> </w:t>
      </w:r>
      <w:r>
        <w:rPr>
          <w:rFonts w:ascii="Times New Roman"/>
        </w:rPr>
        <w:t>Biology  http://www.current-biology.com/</w:t>
      </w:r>
      <w:r>
        <w:rPr>
          <w:rFonts w:ascii="Times New Roman"/>
        </w:rPr>
        <w:t> </w:t>
      </w:r>
      <w:r>
        <w:rPr>
          <w:rFonts w:ascii="Times New Roman"/>
        </w:rPr>
        <w:t xml:space="preserve"> </w:t>
      </w:r>
    </w:p>
    <w:p w:rsidR="003717A0" w:rsidRDefault="003717A0">
      <w:pPr>
        <w:numPr>
          <w:ilvl w:val="0"/>
          <w:numId w:val="165"/>
        </w:numPr>
        <w:adjustRightInd w:val="0"/>
        <w:snapToGrid w:val="0"/>
        <w:spacing w:line="360" w:lineRule="auto"/>
        <w:ind w:right="4"/>
        <w:jc w:val="left"/>
        <w:rPr>
          <w:rFonts w:ascii="Times New Roman"/>
        </w:rPr>
      </w:pPr>
      <w:r>
        <w:rPr>
          <w:rFonts w:ascii="Times New Roman"/>
        </w:rPr>
        <w:t>Molecular</w:t>
      </w:r>
      <w:r>
        <w:rPr>
          <w:rFonts w:ascii="Times New Roman"/>
        </w:rPr>
        <w:t> </w:t>
      </w:r>
      <w:r>
        <w:rPr>
          <w:rFonts w:ascii="Times New Roman"/>
        </w:rPr>
        <w:t>Cell  http://www.molecule.org/</w:t>
      </w:r>
      <w:r>
        <w:rPr>
          <w:rFonts w:ascii="Times New Roman"/>
        </w:rPr>
        <w:t> </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生命科学动态</w:t>
      </w:r>
      <w:r>
        <w:rPr>
          <w:rFonts w:ascii="Times New Roman"/>
        </w:rPr>
        <w:t>http://life.lifesci.cn/</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国家、省精品课程的《医学生物化学与分子生物学》网页</w:t>
      </w:r>
    </w:p>
    <w:p w:rsidR="003717A0" w:rsidRDefault="003717A0">
      <w:pPr>
        <w:numPr>
          <w:ilvl w:val="0"/>
          <w:numId w:val="165"/>
        </w:numPr>
        <w:adjustRightInd w:val="0"/>
        <w:snapToGrid w:val="0"/>
        <w:spacing w:line="360" w:lineRule="auto"/>
        <w:ind w:right="4"/>
        <w:jc w:val="left"/>
        <w:rPr>
          <w:rFonts w:ascii="Times New Roman"/>
        </w:rPr>
      </w:pPr>
      <w:r>
        <w:rPr>
          <w:rFonts w:ascii="Times New Roman" w:hint="eastAsia"/>
        </w:rPr>
        <w:t>国内外医学院校医学生物化学与分子生物学专业及教研室的相关网站</w:t>
      </w:r>
    </w:p>
    <w:p w:rsidR="003717A0" w:rsidRDefault="003717A0">
      <w:pPr>
        <w:autoSpaceDE w:val="0"/>
        <w:autoSpaceDN w:val="0"/>
        <w:adjustRightInd w:val="0"/>
        <w:snapToGrid w:val="0"/>
        <w:spacing w:line="360" w:lineRule="auto"/>
        <w:ind w:firstLineChars="2700" w:firstLine="5670"/>
        <w:jc w:val="right"/>
        <w:rPr>
          <w:rFonts w:ascii="黑体" w:eastAsia="黑体" w:cs="黑体"/>
          <w:kern w:val="0"/>
          <w:szCs w:val="21"/>
        </w:rPr>
      </w:pPr>
      <w:r>
        <w:rPr>
          <w:rFonts w:ascii="黑体" w:eastAsia="黑体" w:cs="黑体" w:hint="eastAsia"/>
          <w:kern w:val="0"/>
          <w:szCs w:val="21"/>
        </w:rPr>
        <w:t>制定人：朱蕙霞</w:t>
      </w:r>
    </w:p>
    <w:p w:rsidR="003717A0" w:rsidRDefault="003717A0" w:rsidP="005E20B5">
      <w:pPr>
        <w:adjustRightInd w:val="0"/>
        <w:snapToGrid w:val="0"/>
        <w:spacing w:beforeLines="50" w:afterLines="50" w:line="360" w:lineRule="auto"/>
        <w:jc w:val="right"/>
        <w:rPr>
          <w:rFonts w:ascii="黑体" w:eastAsia="黑体" w:cs="黑体"/>
          <w:kern w:val="0"/>
          <w:szCs w:val="21"/>
        </w:rPr>
      </w:pPr>
      <w:r>
        <w:rPr>
          <w:rFonts w:ascii="黑体" w:eastAsia="黑体" w:cs="黑体" w:hint="eastAsia"/>
          <w:kern w:val="0"/>
          <w:szCs w:val="21"/>
        </w:rPr>
        <w:t>审核人：钱</w:t>
      </w:r>
      <w:r>
        <w:rPr>
          <w:rFonts w:ascii="黑体" w:eastAsia="黑体" w:cs="黑体"/>
          <w:kern w:val="0"/>
          <w:szCs w:val="21"/>
        </w:rPr>
        <w:t xml:space="preserve">  </w:t>
      </w:r>
      <w:r>
        <w:rPr>
          <w:rFonts w:ascii="黑体" w:eastAsia="黑体" w:cs="黑体" w:hint="eastAsia"/>
          <w:kern w:val="0"/>
          <w:szCs w:val="21"/>
        </w:rPr>
        <w:t>慰、殷冬梅</w:t>
      </w:r>
    </w:p>
    <w:p w:rsidR="003717A0" w:rsidRDefault="003717A0" w:rsidP="005E20B5">
      <w:pPr>
        <w:adjustRightInd w:val="0"/>
        <w:snapToGrid w:val="0"/>
        <w:spacing w:beforeLines="50" w:afterLines="50" w:line="440" w:lineRule="exact"/>
        <w:jc w:val="center"/>
        <w:rPr>
          <w:rFonts w:ascii="黑体" w:eastAsia="黑体"/>
          <w:b/>
          <w:sz w:val="30"/>
          <w:szCs w:val="30"/>
        </w:rPr>
      </w:pPr>
      <w:r>
        <w:rPr>
          <w:rFonts w:ascii="黑体" w:eastAsia="黑体" w:cs="黑体"/>
          <w:kern w:val="0"/>
          <w:szCs w:val="21"/>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numPr>
          <w:ilvl w:val="0"/>
          <w:numId w:val="166"/>
        </w:numPr>
        <w:adjustRightInd w:val="0"/>
        <w:snapToGrid w:val="0"/>
        <w:spacing w:line="360" w:lineRule="auto"/>
        <w:ind w:right="4" w:hanging="660"/>
        <w:rPr>
          <w:rFonts w:ascii="Times New Roman"/>
        </w:rPr>
      </w:pPr>
      <w:r>
        <w:rPr>
          <w:rFonts w:ascii="Times New Roman" w:hint="eastAsia"/>
        </w:rPr>
        <w:t>修读完本课程规定内容的康复治疗学专业的本科学生；</w:t>
      </w:r>
    </w:p>
    <w:p w:rsidR="003717A0" w:rsidRDefault="003717A0">
      <w:pPr>
        <w:numPr>
          <w:ilvl w:val="0"/>
          <w:numId w:val="166"/>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生物大分子的结构和功能、物质代谢及其调节、基因信息传递及其调控的理解和掌握情况。通过本课程的学习，学生应理解和掌握生命现象的本质和人体正常生理过程的分子机制，为进一步学习基础医学其他课程和临床医学打下扎实的生物化学基础</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eastAsia="楷体_GB2312" w:hAnsi="Times New Roman"/>
          <w:sz w:val="24"/>
          <w:szCs w:val="24"/>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生物化学与分子生物学的基本概念；主要专业名词；生物大分子的结构和功能的联系；各物质代谢途径的特点；基因信息传递的过程等。</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要求考生了解参与生命过程的生物大分子的种类，掌握生物大分子的化学组成、分子结构和物理化学性质，理解各种生物大分子在代谢过程的作用机理，熟悉相关生物化学的基本概念，重点掌握代谢部分的蛋白质的基本代谢过程、酶学和遗传信息流部分，包括</w:t>
      </w:r>
      <w:r>
        <w:rPr>
          <w:rFonts w:ascii="宋体" w:hAnsi="宋体"/>
          <w:szCs w:val="21"/>
        </w:rPr>
        <w:t>DNA</w:t>
      </w:r>
      <w:r>
        <w:rPr>
          <w:rFonts w:ascii="宋体" w:hAnsi="宋体" w:hint="eastAsia"/>
          <w:szCs w:val="21"/>
        </w:rPr>
        <w:t>的复制、转录、翻译、翻译后修饰、调控、运输等，要求考生能站在学科的前沿，把握学科的进展，灵活运用所学的生物化学知识从分子水平认识和解释生命过程中所发生的现象</w:t>
      </w:r>
    </w:p>
    <w:p w:rsidR="003717A0" w:rsidRDefault="003717A0">
      <w:pPr>
        <w:autoSpaceDE w:val="0"/>
        <w:autoSpaceDN w:val="0"/>
        <w:adjustRightInd w:val="0"/>
        <w:snapToGrid w:val="0"/>
        <w:spacing w:line="360" w:lineRule="auto"/>
        <w:ind w:firstLineChars="193" w:firstLine="405"/>
        <w:jc w:val="left"/>
        <w:rPr>
          <w:rFonts w:ascii="宋体"/>
          <w:szCs w:val="21"/>
        </w:rPr>
      </w:pPr>
    </w:p>
    <w:p w:rsidR="003717A0" w:rsidRDefault="003717A0">
      <w:pPr>
        <w:autoSpaceDE w:val="0"/>
        <w:autoSpaceDN w:val="0"/>
        <w:adjustRightInd w:val="0"/>
        <w:snapToGrid w:val="0"/>
        <w:spacing w:line="360" w:lineRule="auto"/>
        <w:jc w:val="left"/>
        <w:rPr>
          <w:rFonts w:ascii="宋体"/>
          <w:b/>
          <w:kern w:val="0"/>
          <w:szCs w:val="21"/>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生物化学与分子生物学课程考试试题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w:t>
      </w:r>
      <w:r>
        <w:rPr>
          <w:rFonts w:ascii="Times New Roman" w:hAnsi="Times New Roman"/>
          <w:kern w:val="0"/>
          <w:sz w:val="22"/>
          <w:u w:val="single"/>
        </w:rPr>
        <w:t xml:space="preserve"> </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spacing w:line="320" w:lineRule="exact"/>
        <w:rPr>
          <w:rFonts w:ascii="宋体"/>
          <w:b/>
          <w:szCs w:val="21"/>
        </w:rPr>
      </w:pPr>
      <w:r>
        <w:rPr>
          <w:rFonts w:ascii="宋体" w:hAnsi="宋体" w:hint="eastAsia"/>
          <w:b/>
          <w:szCs w:val="21"/>
        </w:rPr>
        <w:t>一、名词解释：（每题</w:t>
      </w:r>
      <w:r>
        <w:rPr>
          <w:rFonts w:ascii="宋体" w:hAnsi="宋体"/>
          <w:b/>
          <w:szCs w:val="21"/>
        </w:rPr>
        <w:t>3</w:t>
      </w:r>
      <w:r>
        <w:rPr>
          <w:rFonts w:ascii="宋体" w:hAnsi="宋体" w:hint="eastAsia"/>
          <w:b/>
          <w:szCs w:val="21"/>
        </w:rPr>
        <w:t>分，共</w:t>
      </w:r>
      <w:r>
        <w:rPr>
          <w:rFonts w:ascii="宋体" w:hAnsi="宋体"/>
          <w:b/>
          <w:szCs w:val="21"/>
        </w:rPr>
        <w:t>30</w:t>
      </w:r>
      <w:r>
        <w:rPr>
          <w:rFonts w:ascii="宋体" w:hAnsi="宋体" w:hint="eastAsia"/>
          <w:b/>
          <w:szCs w:val="21"/>
        </w:rPr>
        <w:t>分）：</w:t>
      </w:r>
    </w:p>
    <w:p w:rsidR="003717A0" w:rsidRDefault="003717A0">
      <w:pPr>
        <w:widowControl/>
        <w:spacing w:line="320" w:lineRule="exact"/>
        <w:jc w:val="left"/>
        <w:rPr>
          <w:rFonts w:ascii="宋体" w:cs="宋体"/>
          <w:kern w:val="0"/>
          <w:szCs w:val="21"/>
        </w:rPr>
      </w:pPr>
      <w:r>
        <w:rPr>
          <w:rFonts w:ascii="宋体" w:hAnsi="宋体"/>
          <w:szCs w:val="21"/>
        </w:rPr>
        <w:t>1</w:t>
      </w:r>
      <w:r>
        <w:rPr>
          <w:rFonts w:ascii="宋体" w:hAnsi="宋体" w:hint="eastAsia"/>
          <w:szCs w:val="21"/>
        </w:rPr>
        <w:t>．</w:t>
      </w:r>
      <w:r>
        <w:rPr>
          <w:rFonts w:ascii="宋体" w:hAnsi="宋体" w:hint="eastAsia"/>
          <w:bCs/>
          <w:szCs w:val="21"/>
        </w:rPr>
        <w:t>糖酵解</w:t>
      </w:r>
    </w:p>
    <w:p w:rsidR="003717A0" w:rsidRDefault="003717A0">
      <w:pPr>
        <w:widowControl/>
        <w:spacing w:line="320" w:lineRule="exact"/>
        <w:jc w:val="left"/>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呼吸链</w:t>
      </w:r>
      <w:r>
        <w:rPr>
          <w:rFonts w:ascii="宋体" w:hAnsi="宋体" w:cs="宋体"/>
          <w:kern w:val="0"/>
          <w:szCs w:val="21"/>
        </w:rPr>
        <w:t xml:space="preserve">  </w:t>
      </w:r>
    </w:p>
    <w:p w:rsidR="003717A0" w:rsidRDefault="003717A0">
      <w:pPr>
        <w:spacing w:line="320" w:lineRule="exact"/>
        <w:rPr>
          <w:rFonts w:ascii="宋体"/>
          <w:szCs w:val="21"/>
        </w:rPr>
      </w:pPr>
      <w:r>
        <w:rPr>
          <w:rFonts w:ascii="宋体" w:hAnsi="宋体"/>
          <w:szCs w:val="21"/>
        </w:rPr>
        <w:t>3</w:t>
      </w:r>
      <w:r>
        <w:rPr>
          <w:rFonts w:ascii="宋体" w:hAnsi="宋体" w:hint="eastAsia"/>
          <w:szCs w:val="21"/>
        </w:rPr>
        <w:t>．半保留复制</w:t>
      </w:r>
    </w:p>
    <w:p w:rsidR="003717A0" w:rsidRDefault="003717A0">
      <w:pPr>
        <w:spacing w:line="320" w:lineRule="exact"/>
        <w:rPr>
          <w:rFonts w:ascii="宋体" w:cs="宋体"/>
          <w:bCs/>
          <w:kern w:val="0"/>
          <w:szCs w:val="21"/>
        </w:rPr>
      </w:pPr>
      <w:r>
        <w:rPr>
          <w:rFonts w:ascii="宋体" w:hAnsi="宋体"/>
          <w:szCs w:val="21"/>
        </w:rPr>
        <w:t>4</w:t>
      </w:r>
      <w:r>
        <w:rPr>
          <w:rFonts w:ascii="宋体" w:hAnsi="宋体" w:hint="eastAsia"/>
          <w:szCs w:val="21"/>
        </w:rPr>
        <w:t>．蛋白质等电点</w:t>
      </w:r>
    </w:p>
    <w:p w:rsidR="003717A0" w:rsidRDefault="003717A0">
      <w:pPr>
        <w:spacing w:line="320" w:lineRule="exact"/>
        <w:rPr>
          <w:rFonts w:ascii="宋体"/>
          <w:szCs w:val="21"/>
        </w:rPr>
      </w:pPr>
      <w:r>
        <w:rPr>
          <w:rFonts w:ascii="宋体" w:hAnsi="宋体"/>
          <w:szCs w:val="21"/>
        </w:rPr>
        <w:t>5</w:t>
      </w:r>
      <w:r>
        <w:rPr>
          <w:rFonts w:ascii="宋体" w:hAnsi="宋体" w:hint="eastAsia"/>
          <w:szCs w:val="21"/>
        </w:rPr>
        <w:t>．启动子</w:t>
      </w:r>
    </w:p>
    <w:p w:rsidR="003717A0" w:rsidRDefault="003717A0">
      <w:pPr>
        <w:spacing w:line="320" w:lineRule="exact"/>
        <w:rPr>
          <w:rFonts w:ascii="宋体"/>
          <w:bCs/>
          <w:szCs w:val="21"/>
        </w:rPr>
      </w:pPr>
      <w:r>
        <w:rPr>
          <w:rFonts w:ascii="宋体" w:hAnsi="宋体"/>
          <w:bCs/>
          <w:szCs w:val="21"/>
        </w:rPr>
        <w:t xml:space="preserve">6. </w:t>
      </w:r>
      <w:r>
        <w:rPr>
          <w:rFonts w:ascii="宋体" w:hAnsi="宋体"/>
          <w:szCs w:val="21"/>
        </w:rPr>
        <w:t>P/O</w:t>
      </w:r>
      <w:r>
        <w:rPr>
          <w:rFonts w:ascii="宋体" w:hAnsi="宋体" w:hint="eastAsia"/>
          <w:szCs w:val="21"/>
        </w:rPr>
        <w:t>比值</w:t>
      </w:r>
    </w:p>
    <w:p w:rsidR="003717A0" w:rsidRDefault="003717A0">
      <w:pPr>
        <w:spacing w:line="320" w:lineRule="exact"/>
        <w:rPr>
          <w:rFonts w:ascii="宋体"/>
          <w:szCs w:val="21"/>
        </w:rPr>
      </w:pPr>
      <w:r>
        <w:rPr>
          <w:rFonts w:ascii="宋体" w:hAnsi="宋体"/>
          <w:szCs w:val="21"/>
        </w:rPr>
        <w:t>7.</w:t>
      </w:r>
      <w:r>
        <w:rPr>
          <w:rFonts w:ascii="宋体" w:hAnsi="宋体" w:hint="eastAsia"/>
          <w:szCs w:val="21"/>
        </w:rPr>
        <w:t>底物水平磷酸化</w:t>
      </w:r>
    </w:p>
    <w:p w:rsidR="003717A0" w:rsidRDefault="003717A0">
      <w:pPr>
        <w:spacing w:line="320" w:lineRule="exact"/>
        <w:rPr>
          <w:rFonts w:ascii="宋体"/>
          <w:szCs w:val="21"/>
        </w:rPr>
      </w:pPr>
      <w:r>
        <w:rPr>
          <w:rFonts w:ascii="宋体" w:hAnsi="宋体"/>
          <w:szCs w:val="21"/>
        </w:rPr>
        <w:t xml:space="preserve">8. </w:t>
      </w:r>
      <w:r>
        <w:rPr>
          <w:rFonts w:ascii="宋体" w:hAnsi="宋体" w:hint="eastAsia"/>
          <w:szCs w:val="21"/>
        </w:rPr>
        <w:t>逆转录</w:t>
      </w:r>
    </w:p>
    <w:p w:rsidR="003717A0" w:rsidRDefault="003717A0">
      <w:pPr>
        <w:spacing w:line="320" w:lineRule="exact"/>
        <w:rPr>
          <w:rFonts w:ascii="宋体"/>
          <w:szCs w:val="21"/>
        </w:rPr>
      </w:pPr>
      <w:r>
        <w:rPr>
          <w:rFonts w:ascii="宋体" w:hAnsi="宋体"/>
          <w:szCs w:val="21"/>
        </w:rPr>
        <w:t xml:space="preserve">9. </w:t>
      </w:r>
      <w:r>
        <w:rPr>
          <w:rFonts w:ascii="宋体" w:hAnsi="宋体" w:hint="eastAsia"/>
          <w:szCs w:val="21"/>
        </w:rPr>
        <w:t>蛋白质二级结构</w:t>
      </w:r>
    </w:p>
    <w:p w:rsidR="003717A0" w:rsidRDefault="003717A0">
      <w:pPr>
        <w:spacing w:line="320" w:lineRule="exact"/>
        <w:rPr>
          <w:rFonts w:ascii="宋体"/>
          <w:szCs w:val="21"/>
        </w:rPr>
      </w:pPr>
      <w:r>
        <w:rPr>
          <w:rFonts w:ascii="宋体" w:hAnsi="宋体"/>
          <w:szCs w:val="21"/>
        </w:rPr>
        <w:t xml:space="preserve">10. </w:t>
      </w:r>
      <w:r>
        <w:rPr>
          <w:rFonts w:ascii="宋体" w:hAnsi="宋体" w:cs="宋体" w:hint="eastAsia"/>
          <w:kern w:val="0"/>
          <w:szCs w:val="21"/>
        </w:rPr>
        <w:t>脂肪动员</w:t>
      </w:r>
    </w:p>
    <w:p w:rsidR="003717A0" w:rsidRDefault="003717A0">
      <w:pPr>
        <w:spacing w:line="320" w:lineRule="exact"/>
        <w:rPr>
          <w:rFonts w:ascii="宋体"/>
          <w:b/>
          <w:szCs w:val="21"/>
        </w:rPr>
      </w:pPr>
      <w:r>
        <w:rPr>
          <w:rFonts w:ascii="宋体" w:hAnsi="宋体" w:hint="eastAsia"/>
          <w:b/>
          <w:szCs w:val="21"/>
        </w:rPr>
        <w:t>二、选择题：（每题一分，</w:t>
      </w:r>
      <w:r>
        <w:rPr>
          <w:rFonts w:ascii="Times New Roman" w:hAnsi="Times New Roman" w:hint="eastAsia"/>
          <w:b/>
          <w:kern w:val="0"/>
          <w:sz w:val="22"/>
        </w:rPr>
        <w:t>共</w:t>
      </w:r>
      <w:r>
        <w:rPr>
          <w:rFonts w:ascii="Times New Roman" w:hAnsi="Times New Roman"/>
          <w:b/>
          <w:kern w:val="0"/>
          <w:sz w:val="22"/>
        </w:rPr>
        <w:t>20</w:t>
      </w:r>
      <w:r>
        <w:rPr>
          <w:rFonts w:ascii="Times New Roman" w:hAnsi="Times New Roman" w:hint="eastAsia"/>
          <w:b/>
          <w:kern w:val="0"/>
          <w:sz w:val="22"/>
        </w:rPr>
        <w:t>分</w:t>
      </w:r>
      <w:r>
        <w:rPr>
          <w:rFonts w:ascii="宋体" w:hAnsi="宋体" w:hint="eastAsia"/>
          <w:b/>
          <w:szCs w:val="21"/>
        </w:rPr>
        <w:t>）</w:t>
      </w:r>
    </w:p>
    <w:p w:rsidR="003717A0" w:rsidRDefault="003717A0">
      <w:pPr>
        <w:spacing w:line="320" w:lineRule="exact"/>
        <w:rPr>
          <w:rFonts w:ascii="宋体"/>
          <w:szCs w:val="21"/>
        </w:rPr>
      </w:pPr>
      <w:r>
        <w:rPr>
          <w:rFonts w:ascii="宋体" w:hAnsi="宋体" w:hint="eastAsia"/>
          <w:szCs w:val="21"/>
        </w:rPr>
        <w:t>从被选答案中选出</w:t>
      </w:r>
      <w:r>
        <w:rPr>
          <w:rFonts w:ascii="宋体" w:hAnsi="宋体"/>
          <w:szCs w:val="21"/>
        </w:rPr>
        <w:t>1</w:t>
      </w:r>
      <w:r>
        <w:rPr>
          <w:rFonts w:ascii="宋体" w:hAnsi="宋体" w:hint="eastAsia"/>
          <w:szCs w:val="21"/>
        </w:rPr>
        <w:t>个最佳答案</w:t>
      </w:r>
    </w:p>
    <w:p w:rsidR="003717A0" w:rsidRDefault="003717A0">
      <w:pPr>
        <w:spacing w:line="320" w:lineRule="exact"/>
        <w:rPr>
          <w:rFonts w:ascii="宋体"/>
          <w:szCs w:val="21"/>
        </w:rPr>
      </w:pPr>
      <w:r>
        <w:rPr>
          <w:rFonts w:ascii="宋体" w:hAnsi="宋体"/>
          <w:szCs w:val="21"/>
        </w:rPr>
        <w:t>1</w:t>
      </w:r>
      <w:r>
        <w:rPr>
          <w:rFonts w:ascii="宋体" w:hAnsi="宋体" w:hint="eastAsia"/>
          <w:szCs w:val="21"/>
        </w:rPr>
        <w:t>．下列氨基酸中，不属于营养必需氨基酸的是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pacing w:line="320" w:lineRule="exact"/>
        <w:ind w:firstLine="225"/>
        <w:rPr>
          <w:rFonts w:ascii="宋体"/>
          <w:kern w:val="0"/>
          <w:szCs w:val="21"/>
        </w:rPr>
      </w:pPr>
      <w:r>
        <w:rPr>
          <w:rFonts w:ascii="宋体" w:hAnsi="宋体"/>
          <w:szCs w:val="21"/>
        </w:rPr>
        <w:t>A</w:t>
      </w:r>
      <w:r>
        <w:rPr>
          <w:rFonts w:ascii="宋体" w:hAnsi="宋体" w:hint="eastAsia"/>
          <w:szCs w:val="21"/>
        </w:rPr>
        <w:t>．缬氨酸</w:t>
      </w:r>
      <w:r>
        <w:rPr>
          <w:rFonts w:ascii="宋体" w:hAnsi="宋体"/>
          <w:szCs w:val="21"/>
        </w:rPr>
        <w:t xml:space="preserve">  B. </w:t>
      </w:r>
      <w:r>
        <w:rPr>
          <w:rFonts w:ascii="宋体" w:hAnsi="宋体" w:hint="eastAsia"/>
          <w:szCs w:val="21"/>
        </w:rPr>
        <w:t>苏氨酸</w:t>
      </w:r>
      <w:r>
        <w:rPr>
          <w:rFonts w:ascii="宋体" w:hAnsi="宋体"/>
          <w:szCs w:val="21"/>
        </w:rPr>
        <w:t xml:space="preserve">  C. </w:t>
      </w:r>
      <w:r>
        <w:rPr>
          <w:rFonts w:ascii="宋体" w:hAnsi="宋体" w:hint="eastAsia"/>
          <w:szCs w:val="21"/>
        </w:rPr>
        <w:t>赖氨酸</w:t>
      </w:r>
      <w:r>
        <w:rPr>
          <w:rFonts w:ascii="宋体" w:hAnsi="宋体"/>
          <w:szCs w:val="21"/>
        </w:rPr>
        <w:t xml:space="preserve">  D. </w:t>
      </w:r>
      <w:r>
        <w:rPr>
          <w:rFonts w:ascii="宋体" w:hAnsi="宋体" w:hint="eastAsia"/>
          <w:szCs w:val="21"/>
        </w:rPr>
        <w:t>蛋氨酸</w:t>
      </w:r>
      <w:r>
        <w:rPr>
          <w:rFonts w:ascii="宋体" w:hAnsi="宋体"/>
          <w:szCs w:val="21"/>
        </w:rPr>
        <w:t xml:space="preserve">   E. </w:t>
      </w:r>
      <w:r>
        <w:rPr>
          <w:rFonts w:ascii="宋体" w:hAnsi="宋体" w:hint="eastAsia"/>
          <w:szCs w:val="21"/>
        </w:rPr>
        <w:t>谷氨酸</w:t>
      </w:r>
      <w:r>
        <w:rPr>
          <w:rFonts w:ascii="宋体" w:hAnsi="宋体"/>
          <w:szCs w:val="21"/>
        </w:rPr>
        <w:t xml:space="preserve"> </w:t>
      </w:r>
    </w:p>
    <w:p w:rsidR="003717A0" w:rsidRDefault="003717A0">
      <w:pPr>
        <w:spacing w:line="320" w:lineRule="exact"/>
        <w:rPr>
          <w:rFonts w:ascii="宋体"/>
          <w:szCs w:val="21"/>
        </w:rPr>
      </w:pPr>
      <w:r>
        <w:rPr>
          <w:rFonts w:ascii="宋体" w:hAnsi="宋体" w:cs="宋体"/>
          <w:kern w:val="0"/>
          <w:szCs w:val="21"/>
        </w:rPr>
        <w:t xml:space="preserve">2. </w:t>
      </w:r>
      <w:r>
        <w:rPr>
          <w:rFonts w:ascii="宋体" w:hAnsi="宋体" w:hint="eastAsia"/>
          <w:szCs w:val="21"/>
        </w:rPr>
        <w:t>胆固醇合成过程中，下列哪个酶是其限速酶：</w:t>
      </w:r>
      <w:r>
        <w:rPr>
          <w:rFonts w:ascii="宋体" w:hAnsi="宋体"/>
          <w:szCs w:val="21"/>
        </w:rPr>
        <w:t xml:space="preserve">     (     )</w:t>
      </w:r>
    </w:p>
    <w:p w:rsidR="003717A0" w:rsidRDefault="003717A0">
      <w:pPr>
        <w:spacing w:line="320" w:lineRule="exact"/>
        <w:ind w:firstLineChars="100" w:firstLine="210"/>
        <w:rPr>
          <w:rFonts w:ascii="宋体"/>
          <w:szCs w:val="21"/>
        </w:rPr>
      </w:pPr>
      <w:r>
        <w:rPr>
          <w:rFonts w:ascii="宋体" w:hAnsi="宋体" w:hint="eastAsia"/>
          <w:szCs w:val="21"/>
        </w:rPr>
        <w:t>Ａ</w:t>
      </w:r>
      <w:r>
        <w:rPr>
          <w:rFonts w:ascii="宋体" w:hAnsi="宋体"/>
          <w:szCs w:val="21"/>
        </w:rPr>
        <w:t>.HMGCoA</w:t>
      </w:r>
      <w:r>
        <w:rPr>
          <w:rFonts w:ascii="宋体" w:hAnsi="宋体" w:hint="eastAsia"/>
          <w:szCs w:val="21"/>
        </w:rPr>
        <w:t>合成酶</w:t>
      </w:r>
      <w:r>
        <w:rPr>
          <w:rFonts w:ascii="宋体" w:hAnsi="宋体"/>
          <w:szCs w:val="21"/>
        </w:rPr>
        <w:t xml:space="preserve">   </w:t>
      </w:r>
      <w:r>
        <w:rPr>
          <w:rFonts w:ascii="宋体" w:hAnsi="宋体" w:hint="eastAsia"/>
          <w:szCs w:val="21"/>
        </w:rPr>
        <w:t xml:space="preserve">　　Ｂ</w:t>
      </w:r>
      <w:r>
        <w:rPr>
          <w:rFonts w:ascii="宋体" w:hAnsi="宋体"/>
          <w:szCs w:val="21"/>
        </w:rPr>
        <w:t>. HMGCoA</w:t>
      </w:r>
      <w:r>
        <w:rPr>
          <w:rFonts w:ascii="宋体" w:hAnsi="宋体" w:hint="eastAsia"/>
          <w:szCs w:val="21"/>
        </w:rPr>
        <w:t>还原酶</w:t>
      </w:r>
      <w:r>
        <w:rPr>
          <w:rFonts w:ascii="宋体" w:hAnsi="宋体"/>
          <w:szCs w:val="21"/>
        </w:rPr>
        <w:t xml:space="preserve">  </w:t>
      </w:r>
      <w:r>
        <w:rPr>
          <w:rFonts w:ascii="宋体" w:hAnsi="宋体" w:hint="eastAsia"/>
          <w:szCs w:val="21"/>
        </w:rPr>
        <w:t xml:space="preserve">　　Ｃ</w:t>
      </w:r>
      <w:r>
        <w:rPr>
          <w:rFonts w:ascii="宋体" w:hAnsi="宋体"/>
          <w:szCs w:val="21"/>
        </w:rPr>
        <w:t>. HMGCoA</w:t>
      </w:r>
      <w:r>
        <w:rPr>
          <w:rFonts w:ascii="宋体" w:hAnsi="宋体" w:hint="eastAsia"/>
          <w:szCs w:val="21"/>
        </w:rPr>
        <w:t>裂解酶</w:t>
      </w:r>
      <w:r>
        <w:rPr>
          <w:rFonts w:ascii="宋体" w:hAnsi="宋体"/>
          <w:szCs w:val="21"/>
        </w:rPr>
        <w:t xml:space="preserve">  </w:t>
      </w:r>
    </w:p>
    <w:p w:rsidR="003717A0" w:rsidRDefault="003717A0">
      <w:pPr>
        <w:spacing w:line="320" w:lineRule="exact"/>
        <w:ind w:firstLineChars="100" w:firstLine="210"/>
        <w:rPr>
          <w:rFonts w:ascii="宋体" w:cs="宋体"/>
          <w:kern w:val="0"/>
          <w:szCs w:val="21"/>
        </w:rPr>
      </w:pPr>
      <w:r>
        <w:rPr>
          <w:rFonts w:ascii="宋体" w:hAnsi="宋体" w:hint="eastAsia"/>
          <w:szCs w:val="21"/>
        </w:rPr>
        <w:t>Ｄ</w:t>
      </w:r>
      <w:r>
        <w:rPr>
          <w:rFonts w:ascii="宋体"/>
          <w:szCs w:val="21"/>
        </w:rPr>
        <w:t>.</w:t>
      </w:r>
      <w:r>
        <w:rPr>
          <w:rFonts w:ascii="宋体" w:hAnsi="宋体" w:hint="eastAsia"/>
          <w:szCs w:val="21"/>
        </w:rPr>
        <w:t>脂酰</w:t>
      </w:r>
      <w:r>
        <w:rPr>
          <w:rFonts w:ascii="宋体" w:hAnsi="宋体"/>
          <w:szCs w:val="21"/>
        </w:rPr>
        <w:t>CoA</w:t>
      </w:r>
      <w:r>
        <w:rPr>
          <w:rFonts w:ascii="宋体" w:hAnsi="宋体" w:hint="eastAsia"/>
          <w:szCs w:val="21"/>
        </w:rPr>
        <w:t>合成酶</w:t>
      </w:r>
      <w:r>
        <w:rPr>
          <w:rFonts w:ascii="宋体" w:hAnsi="宋体"/>
          <w:szCs w:val="21"/>
        </w:rPr>
        <w:t xml:space="preserve">   </w:t>
      </w:r>
      <w:r>
        <w:rPr>
          <w:rFonts w:ascii="宋体" w:hAnsi="宋体" w:hint="eastAsia"/>
          <w:szCs w:val="21"/>
        </w:rPr>
        <w:t xml:space="preserve">　　Ｅ</w:t>
      </w:r>
      <w:r>
        <w:rPr>
          <w:rFonts w:ascii="宋体"/>
          <w:szCs w:val="21"/>
        </w:rPr>
        <w:t>.</w:t>
      </w:r>
      <w:r>
        <w:rPr>
          <w:rFonts w:ascii="宋体" w:hAnsi="宋体" w:hint="eastAsia"/>
          <w:szCs w:val="21"/>
        </w:rPr>
        <w:t>柠檬酸裂解酶</w:t>
      </w:r>
    </w:p>
    <w:p w:rsidR="003717A0" w:rsidRDefault="003717A0">
      <w:pPr>
        <w:spacing w:line="320" w:lineRule="exact"/>
        <w:rPr>
          <w:rFonts w:ascii="宋体"/>
          <w:kern w:val="0"/>
          <w:szCs w:val="21"/>
        </w:rPr>
      </w:pPr>
      <w:r>
        <w:rPr>
          <w:rFonts w:ascii="宋体" w:hAnsi="宋体" w:cs="宋体"/>
          <w:kern w:val="0"/>
          <w:szCs w:val="21"/>
        </w:rPr>
        <w:t>3.</w:t>
      </w:r>
      <w:r>
        <w:rPr>
          <w:rFonts w:ascii="宋体" w:hAnsi="宋体"/>
          <w:szCs w:val="21"/>
        </w:rPr>
        <w:t xml:space="preserve"> </w:t>
      </w:r>
      <w:r>
        <w:rPr>
          <w:rFonts w:ascii="宋体" w:hAnsi="宋体" w:hint="eastAsia"/>
          <w:kern w:val="0"/>
          <w:szCs w:val="21"/>
        </w:rPr>
        <w:t>胞浆中形成</w:t>
      </w:r>
      <w:r>
        <w:rPr>
          <w:rFonts w:ascii="宋体" w:hAnsi="宋体"/>
          <w:kern w:val="0"/>
          <w:szCs w:val="21"/>
        </w:rPr>
        <w:t>NADH+H+</w:t>
      </w:r>
      <w:r>
        <w:rPr>
          <w:rFonts w:ascii="宋体" w:hAnsi="宋体" w:hint="eastAsia"/>
          <w:kern w:val="0"/>
          <w:szCs w:val="21"/>
        </w:rPr>
        <w:t>经苹果酸穿梭后，每摩尔产生</w:t>
      </w:r>
      <w:r>
        <w:rPr>
          <w:rFonts w:ascii="宋体" w:hAnsi="宋体"/>
          <w:kern w:val="0"/>
          <w:szCs w:val="21"/>
        </w:rPr>
        <w:t xml:space="preserve">ATP </w:t>
      </w:r>
      <w:r>
        <w:rPr>
          <w:rFonts w:ascii="宋体" w:hAnsi="宋体" w:hint="eastAsia"/>
          <w:kern w:val="0"/>
          <w:szCs w:val="21"/>
        </w:rPr>
        <w:t>的摩尔数是：（</w:t>
      </w:r>
      <w:r>
        <w:rPr>
          <w:rFonts w:ascii="宋体" w:hAnsi="宋体"/>
          <w:kern w:val="0"/>
          <w:szCs w:val="21"/>
        </w:rPr>
        <w:t xml:space="preserve">   </w:t>
      </w:r>
      <w:r>
        <w:rPr>
          <w:rFonts w:ascii="宋体" w:hAnsi="宋体" w:hint="eastAsia"/>
          <w:kern w:val="0"/>
          <w:szCs w:val="21"/>
        </w:rPr>
        <w:t>）</w:t>
      </w:r>
    </w:p>
    <w:p w:rsidR="003717A0" w:rsidRDefault="003717A0">
      <w:pPr>
        <w:spacing w:line="320" w:lineRule="exact"/>
        <w:ind w:firstLineChars="200" w:firstLine="420"/>
        <w:rPr>
          <w:rFonts w:ascii="宋体"/>
          <w:kern w:val="0"/>
          <w:szCs w:val="21"/>
        </w:rPr>
      </w:pPr>
      <w:r>
        <w:rPr>
          <w:rFonts w:ascii="宋体" w:hAnsi="宋体"/>
          <w:kern w:val="0"/>
          <w:szCs w:val="21"/>
        </w:rPr>
        <w:t>A</w:t>
      </w:r>
      <w:r>
        <w:rPr>
          <w:rFonts w:ascii="宋体" w:hAnsi="宋体" w:hint="eastAsia"/>
          <w:kern w:val="0"/>
          <w:szCs w:val="21"/>
        </w:rPr>
        <w:t>．</w:t>
      </w:r>
      <w:r>
        <w:rPr>
          <w:rFonts w:ascii="宋体" w:hAnsi="宋体"/>
          <w:kern w:val="0"/>
          <w:szCs w:val="21"/>
        </w:rPr>
        <w:t>1.5    B</w:t>
      </w:r>
      <w:r>
        <w:rPr>
          <w:rFonts w:ascii="宋体" w:hAnsi="宋体" w:hint="eastAsia"/>
          <w:kern w:val="0"/>
          <w:szCs w:val="21"/>
        </w:rPr>
        <w:t>．</w:t>
      </w:r>
      <w:r>
        <w:rPr>
          <w:rFonts w:ascii="宋体" w:hAnsi="宋体"/>
          <w:kern w:val="0"/>
          <w:szCs w:val="21"/>
        </w:rPr>
        <w:t>2.5    C</w:t>
      </w:r>
      <w:r>
        <w:rPr>
          <w:rFonts w:ascii="宋体" w:hAnsi="宋体" w:hint="eastAsia"/>
          <w:kern w:val="0"/>
          <w:szCs w:val="21"/>
        </w:rPr>
        <w:t>．</w:t>
      </w:r>
      <w:r>
        <w:rPr>
          <w:rFonts w:ascii="宋体" w:hAnsi="宋体"/>
          <w:kern w:val="0"/>
          <w:szCs w:val="21"/>
        </w:rPr>
        <w:t>4    D</w:t>
      </w:r>
      <w:r>
        <w:rPr>
          <w:rFonts w:ascii="宋体" w:hAnsi="宋体" w:hint="eastAsia"/>
          <w:kern w:val="0"/>
          <w:szCs w:val="21"/>
        </w:rPr>
        <w:t>．</w:t>
      </w:r>
      <w:r>
        <w:rPr>
          <w:rFonts w:ascii="宋体" w:hAnsi="宋体"/>
          <w:kern w:val="0"/>
          <w:szCs w:val="21"/>
        </w:rPr>
        <w:t>5     E.</w:t>
      </w:r>
      <w:r>
        <w:rPr>
          <w:rFonts w:ascii="宋体" w:hAnsi="宋体" w:hint="eastAsia"/>
          <w:kern w:val="0"/>
          <w:szCs w:val="21"/>
        </w:rPr>
        <w:t>以上都不是</w:t>
      </w:r>
    </w:p>
    <w:p w:rsidR="003717A0" w:rsidRDefault="003717A0">
      <w:pPr>
        <w:spacing w:line="320" w:lineRule="exact"/>
        <w:rPr>
          <w:rFonts w:ascii="宋体"/>
          <w:szCs w:val="21"/>
        </w:rPr>
      </w:pPr>
      <w:r>
        <w:rPr>
          <w:rFonts w:ascii="宋体" w:hAnsi="宋体"/>
          <w:szCs w:val="21"/>
        </w:rPr>
        <w:t>4</w:t>
      </w:r>
      <w:r>
        <w:rPr>
          <w:rFonts w:ascii="宋体" w:hAnsi="宋体" w:hint="eastAsia"/>
          <w:szCs w:val="21"/>
        </w:rPr>
        <w:t>．生物体内氨基酸脱氨基作用的主要方式是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pacing w:line="320" w:lineRule="exact"/>
        <w:ind w:firstLineChars="100" w:firstLine="210"/>
        <w:rPr>
          <w:rFonts w:ascii="宋体"/>
          <w:szCs w:val="21"/>
        </w:rPr>
      </w:pPr>
      <w:r>
        <w:rPr>
          <w:rFonts w:ascii="宋体" w:hAnsi="宋体"/>
          <w:szCs w:val="21"/>
        </w:rPr>
        <w:t>A</w:t>
      </w:r>
      <w:r>
        <w:rPr>
          <w:rFonts w:ascii="宋体" w:hAnsi="宋体" w:hint="eastAsia"/>
          <w:szCs w:val="21"/>
        </w:rPr>
        <w:t>．氧化脱氨基</w:t>
      </w:r>
      <w:r>
        <w:rPr>
          <w:rFonts w:ascii="宋体" w:hAnsi="宋体"/>
          <w:szCs w:val="21"/>
        </w:rPr>
        <w:t xml:space="preserve">   B. </w:t>
      </w:r>
      <w:r>
        <w:rPr>
          <w:rFonts w:ascii="宋体" w:hAnsi="宋体" w:hint="eastAsia"/>
          <w:szCs w:val="21"/>
        </w:rPr>
        <w:t>还原脱氨基</w:t>
      </w:r>
      <w:r>
        <w:rPr>
          <w:rFonts w:ascii="宋体" w:hAnsi="宋体"/>
          <w:szCs w:val="21"/>
        </w:rPr>
        <w:t xml:space="preserve">   C. </w:t>
      </w:r>
      <w:r>
        <w:rPr>
          <w:rFonts w:ascii="宋体" w:hAnsi="宋体" w:hint="eastAsia"/>
          <w:szCs w:val="21"/>
        </w:rPr>
        <w:t>直接脱氨基</w:t>
      </w:r>
      <w:r>
        <w:rPr>
          <w:rFonts w:ascii="宋体" w:hAnsi="宋体"/>
          <w:szCs w:val="21"/>
        </w:rPr>
        <w:t xml:space="preserve">    D</w:t>
      </w:r>
      <w:r>
        <w:rPr>
          <w:rFonts w:ascii="宋体" w:hAnsi="宋体" w:hint="eastAsia"/>
          <w:szCs w:val="21"/>
        </w:rPr>
        <w:t>．转氨基</w:t>
      </w:r>
      <w:r>
        <w:rPr>
          <w:rFonts w:ascii="宋体" w:hAnsi="宋体"/>
          <w:szCs w:val="21"/>
        </w:rPr>
        <w:t xml:space="preserve">    E. </w:t>
      </w:r>
      <w:r>
        <w:rPr>
          <w:rFonts w:ascii="宋体" w:hAnsi="宋体" w:hint="eastAsia"/>
          <w:szCs w:val="21"/>
        </w:rPr>
        <w:t>联合脱氨基</w:t>
      </w:r>
      <w:r>
        <w:rPr>
          <w:rFonts w:ascii="宋体" w:hAnsi="宋体"/>
          <w:szCs w:val="21"/>
        </w:rPr>
        <w:t xml:space="preserve"> </w:t>
      </w:r>
    </w:p>
    <w:p w:rsidR="003717A0" w:rsidRDefault="003717A0">
      <w:pPr>
        <w:spacing w:line="320" w:lineRule="exact"/>
        <w:rPr>
          <w:rFonts w:ascii="宋体" w:cs="宋体"/>
          <w:bCs/>
          <w:kern w:val="0"/>
          <w:szCs w:val="21"/>
        </w:rPr>
      </w:pPr>
      <w:r>
        <w:rPr>
          <w:rFonts w:ascii="宋体" w:hAnsi="宋体"/>
          <w:szCs w:val="21"/>
        </w:rPr>
        <w:t>5.</w:t>
      </w:r>
      <w:r>
        <w:rPr>
          <w:rFonts w:ascii="宋体" w:hAnsi="宋体" w:cs="宋体" w:hint="eastAsia"/>
          <w:bCs/>
          <w:kern w:val="0"/>
          <w:szCs w:val="21"/>
        </w:rPr>
        <w:t>脂酰</w:t>
      </w:r>
      <w:r>
        <w:rPr>
          <w:rFonts w:ascii="宋体" w:hAnsi="宋体" w:cs="宋体"/>
          <w:bCs/>
          <w:kern w:val="0"/>
          <w:szCs w:val="21"/>
        </w:rPr>
        <w:t>CoA</w:t>
      </w:r>
      <w:r>
        <w:rPr>
          <w:rFonts w:ascii="宋体" w:hAnsi="宋体" w:cs="宋体" w:hint="eastAsia"/>
          <w:bCs/>
          <w:kern w:val="0"/>
          <w:szCs w:val="21"/>
        </w:rPr>
        <w:t>的一次β</w:t>
      </w:r>
      <w:r>
        <w:rPr>
          <w:rFonts w:ascii="宋体" w:cs="宋体"/>
          <w:bCs/>
          <w:kern w:val="0"/>
          <w:szCs w:val="21"/>
        </w:rPr>
        <w:t>-</w:t>
      </w:r>
      <w:r>
        <w:rPr>
          <w:rFonts w:ascii="宋体" w:hAnsi="宋体" w:cs="宋体" w:hint="eastAsia"/>
          <w:bCs/>
          <w:kern w:val="0"/>
          <w:szCs w:val="21"/>
        </w:rPr>
        <w:t>氧化按序进行下列酶促反应：</w:t>
      </w:r>
      <w:r>
        <w:rPr>
          <w:rFonts w:ascii="宋体" w:hAnsi="宋体" w:cs="宋体"/>
          <w:bCs/>
          <w:kern w:val="0"/>
          <w:szCs w:val="21"/>
        </w:rPr>
        <w:t xml:space="preserve">                  (    )  </w:t>
      </w:r>
    </w:p>
    <w:p w:rsidR="003717A0" w:rsidRDefault="003717A0">
      <w:pPr>
        <w:spacing w:line="320" w:lineRule="exact"/>
        <w:ind w:firstLineChars="150" w:firstLine="315"/>
        <w:rPr>
          <w:rFonts w:ascii="宋体" w:cs="宋体"/>
          <w:bCs/>
          <w:kern w:val="0"/>
          <w:szCs w:val="21"/>
        </w:rPr>
      </w:pPr>
      <w:r>
        <w:rPr>
          <w:rFonts w:ascii="宋体" w:hAnsi="宋体" w:cs="宋体"/>
          <w:bCs/>
          <w:kern w:val="0"/>
          <w:szCs w:val="21"/>
        </w:rPr>
        <w:t>A</w:t>
      </w:r>
      <w:r>
        <w:rPr>
          <w:rFonts w:ascii="宋体" w:hAnsi="宋体" w:cs="宋体" w:hint="eastAsia"/>
          <w:bCs/>
          <w:kern w:val="0"/>
          <w:szCs w:val="21"/>
        </w:rPr>
        <w:t>．脱氢、加水、再脱氢、硫解</w:t>
      </w:r>
      <w:r>
        <w:rPr>
          <w:rFonts w:ascii="宋体" w:hAnsi="宋体" w:cs="宋体"/>
          <w:bCs/>
          <w:kern w:val="0"/>
          <w:szCs w:val="21"/>
        </w:rPr>
        <w:t xml:space="preserve">     B</w:t>
      </w:r>
      <w:r>
        <w:rPr>
          <w:rFonts w:ascii="宋体" w:hAnsi="宋体" w:cs="宋体" w:hint="eastAsia"/>
          <w:bCs/>
          <w:kern w:val="0"/>
          <w:szCs w:val="21"/>
        </w:rPr>
        <w:t>．脱氢、再脱氢、加水、硫解</w:t>
      </w:r>
    </w:p>
    <w:p w:rsidR="003717A0" w:rsidRDefault="003717A0">
      <w:pPr>
        <w:spacing w:line="320" w:lineRule="exact"/>
        <w:ind w:firstLineChars="150" w:firstLine="315"/>
        <w:rPr>
          <w:rFonts w:ascii="宋体" w:cs="宋体"/>
          <w:bCs/>
          <w:kern w:val="0"/>
          <w:szCs w:val="21"/>
        </w:rPr>
      </w:pPr>
      <w:r>
        <w:rPr>
          <w:rFonts w:ascii="宋体" w:hAnsi="宋体" w:cs="宋体"/>
          <w:bCs/>
          <w:kern w:val="0"/>
          <w:szCs w:val="21"/>
        </w:rPr>
        <w:t>C</w:t>
      </w:r>
      <w:r>
        <w:rPr>
          <w:rFonts w:ascii="宋体" w:hAnsi="宋体" w:cs="宋体" w:hint="eastAsia"/>
          <w:bCs/>
          <w:kern w:val="0"/>
          <w:szCs w:val="21"/>
        </w:rPr>
        <w:t>．脱氢、硫解、加水、再脱氢</w:t>
      </w:r>
      <w:r>
        <w:rPr>
          <w:rFonts w:ascii="宋体" w:hAnsi="宋体" w:cs="宋体"/>
          <w:bCs/>
          <w:kern w:val="0"/>
          <w:szCs w:val="21"/>
        </w:rPr>
        <w:t xml:space="preserve">     D</w:t>
      </w:r>
      <w:r>
        <w:rPr>
          <w:rFonts w:ascii="宋体" w:hAnsi="宋体" w:cs="宋体" w:hint="eastAsia"/>
          <w:bCs/>
          <w:kern w:val="0"/>
          <w:szCs w:val="21"/>
        </w:rPr>
        <w:t>．加水、脱氢、硫解、再脱氢</w:t>
      </w:r>
    </w:p>
    <w:p w:rsidR="003717A0" w:rsidRDefault="003717A0">
      <w:pPr>
        <w:widowControl/>
        <w:spacing w:line="320" w:lineRule="exact"/>
        <w:ind w:firstLineChars="150" w:firstLine="315"/>
        <w:jc w:val="left"/>
        <w:rPr>
          <w:rFonts w:ascii="宋体"/>
          <w:szCs w:val="21"/>
        </w:rPr>
      </w:pPr>
      <w:r>
        <w:rPr>
          <w:rFonts w:ascii="宋体" w:hAnsi="宋体" w:cs="宋体"/>
          <w:bCs/>
          <w:kern w:val="0"/>
          <w:szCs w:val="21"/>
        </w:rPr>
        <w:t>E</w:t>
      </w:r>
      <w:r>
        <w:rPr>
          <w:rFonts w:ascii="宋体" w:hAnsi="宋体" w:cs="宋体" w:hint="eastAsia"/>
          <w:bCs/>
          <w:kern w:val="0"/>
          <w:szCs w:val="21"/>
        </w:rPr>
        <w:t>．硫解、脱氢、加水、再脱氢</w:t>
      </w:r>
      <w:r>
        <w:rPr>
          <w:rFonts w:ascii="宋体" w:hAnsi="宋体"/>
          <w:szCs w:val="21"/>
        </w:rPr>
        <w:t xml:space="preserve"> </w:t>
      </w:r>
    </w:p>
    <w:p w:rsidR="003717A0" w:rsidRDefault="003717A0">
      <w:pPr>
        <w:spacing w:line="320" w:lineRule="exact"/>
        <w:rPr>
          <w:rFonts w:ascii="宋体"/>
          <w:szCs w:val="21"/>
        </w:rPr>
      </w:pPr>
      <w:r>
        <w:rPr>
          <w:rFonts w:ascii="宋体" w:hAnsi="宋体"/>
          <w:szCs w:val="21"/>
        </w:rPr>
        <w:t xml:space="preserve">6. </w:t>
      </w:r>
      <w:r>
        <w:rPr>
          <w:rFonts w:ascii="宋体" w:hAnsi="宋体" w:hint="eastAsia"/>
          <w:szCs w:val="21"/>
        </w:rPr>
        <w:t>体内转运一碳单位的载体是：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pacing w:line="320" w:lineRule="exact"/>
        <w:ind w:firstLineChars="150" w:firstLine="315"/>
        <w:rPr>
          <w:rFonts w:ascii="宋体"/>
          <w:szCs w:val="21"/>
        </w:rPr>
      </w:pPr>
      <w:r>
        <w:rPr>
          <w:rFonts w:ascii="宋体" w:hAnsi="宋体"/>
          <w:szCs w:val="21"/>
        </w:rPr>
        <w:t xml:space="preserve">A. </w:t>
      </w:r>
      <w:r>
        <w:rPr>
          <w:rFonts w:ascii="宋体" w:hAnsi="宋体" w:hint="eastAsia"/>
          <w:szCs w:val="21"/>
        </w:rPr>
        <w:t>叶酸</w:t>
      </w:r>
      <w:r>
        <w:rPr>
          <w:rFonts w:ascii="宋体" w:hAnsi="宋体"/>
          <w:szCs w:val="21"/>
        </w:rPr>
        <w:t xml:space="preserve">      B. </w:t>
      </w:r>
      <w:r>
        <w:rPr>
          <w:rFonts w:ascii="宋体" w:hAnsi="宋体" w:hint="eastAsia"/>
          <w:szCs w:val="21"/>
        </w:rPr>
        <w:t>二氢叶酸</w:t>
      </w:r>
      <w:r>
        <w:rPr>
          <w:rFonts w:ascii="宋体" w:hAnsi="宋体"/>
          <w:szCs w:val="21"/>
        </w:rPr>
        <w:t xml:space="preserve">     C. </w:t>
      </w:r>
      <w:r>
        <w:rPr>
          <w:rFonts w:ascii="宋体" w:hAnsi="宋体" w:hint="eastAsia"/>
          <w:szCs w:val="21"/>
        </w:rPr>
        <w:t>四氢叶酸</w:t>
      </w:r>
      <w:r>
        <w:rPr>
          <w:rFonts w:ascii="宋体" w:hAnsi="宋体"/>
          <w:szCs w:val="21"/>
        </w:rPr>
        <w:t xml:space="preserve">     D.  </w:t>
      </w:r>
      <w:r>
        <w:rPr>
          <w:rFonts w:ascii="宋体" w:hAnsi="宋体" w:hint="eastAsia"/>
          <w:szCs w:val="21"/>
        </w:rPr>
        <w:t>维生素</w:t>
      </w:r>
      <w:r>
        <w:rPr>
          <w:rFonts w:ascii="宋体" w:hAnsi="宋体"/>
          <w:szCs w:val="21"/>
        </w:rPr>
        <w:t xml:space="preserve">B12   E. </w:t>
      </w:r>
      <w:r>
        <w:rPr>
          <w:rFonts w:ascii="宋体" w:hAnsi="宋体" w:hint="eastAsia"/>
          <w:szCs w:val="21"/>
        </w:rPr>
        <w:t>生物素</w:t>
      </w:r>
      <w:r>
        <w:rPr>
          <w:rFonts w:ascii="宋体" w:hAnsi="宋体"/>
          <w:szCs w:val="21"/>
        </w:rPr>
        <w:t xml:space="preserve"> </w:t>
      </w:r>
    </w:p>
    <w:p w:rsidR="003717A0" w:rsidRDefault="003717A0">
      <w:pPr>
        <w:spacing w:line="320" w:lineRule="exact"/>
        <w:rPr>
          <w:rFonts w:ascii="宋体"/>
          <w:bCs/>
          <w:szCs w:val="21"/>
        </w:rPr>
      </w:pPr>
      <w:r>
        <w:rPr>
          <w:rFonts w:ascii="宋体" w:hAnsi="宋体"/>
          <w:szCs w:val="21"/>
        </w:rPr>
        <w:t xml:space="preserve">7. </w:t>
      </w:r>
      <w:r>
        <w:rPr>
          <w:rFonts w:ascii="宋体" w:hAnsi="宋体" w:hint="eastAsia"/>
          <w:bCs/>
          <w:szCs w:val="21"/>
        </w:rPr>
        <w:t xml:space="preserve">人体活动主要的直接供能体物质是：（　</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szCs w:val="21"/>
        </w:rPr>
      </w:pPr>
      <w:r>
        <w:rPr>
          <w:rFonts w:ascii="宋体" w:hAnsi="宋体"/>
          <w:bCs/>
          <w:szCs w:val="21"/>
        </w:rPr>
        <w:t>A</w:t>
      </w:r>
      <w:r>
        <w:rPr>
          <w:rFonts w:ascii="宋体" w:hAnsi="宋体" w:hint="eastAsia"/>
          <w:bCs/>
          <w:szCs w:val="21"/>
        </w:rPr>
        <w:t>．葡萄糖</w:t>
      </w:r>
      <w:r>
        <w:rPr>
          <w:rFonts w:ascii="宋体" w:hAnsi="宋体"/>
          <w:bCs/>
          <w:szCs w:val="21"/>
        </w:rPr>
        <w:t xml:space="preserve">   B</w:t>
      </w:r>
      <w:r>
        <w:rPr>
          <w:rFonts w:ascii="宋体" w:hAnsi="宋体" w:hint="eastAsia"/>
          <w:bCs/>
          <w:szCs w:val="21"/>
        </w:rPr>
        <w:t>．脂肪酸</w:t>
      </w:r>
      <w:r>
        <w:rPr>
          <w:rFonts w:ascii="宋体" w:hAnsi="宋体"/>
          <w:bCs/>
          <w:szCs w:val="21"/>
        </w:rPr>
        <w:t xml:space="preserve">   C</w:t>
      </w:r>
      <w:r>
        <w:rPr>
          <w:rFonts w:ascii="宋体" w:hAnsi="宋体" w:hint="eastAsia"/>
          <w:bCs/>
          <w:szCs w:val="21"/>
        </w:rPr>
        <w:t>．氨基酸</w:t>
      </w:r>
      <w:r>
        <w:rPr>
          <w:rFonts w:ascii="宋体" w:hAnsi="宋体"/>
          <w:bCs/>
          <w:szCs w:val="21"/>
        </w:rPr>
        <w:t xml:space="preserve">   D</w:t>
      </w:r>
      <w:r>
        <w:rPr>
          <w:rFonts w:ascii="宋体" w:hAnsi="宋体" w:hint="eastAsia"/>
          <w:bCs/>
          <w:szCs w:val="21"/>
        </w:rPr>
        <w:t>．</w:t>
      </w:r>
      <w:r>
        <w:rPr>
          <w:rFonts w:ascii="宋体" w:hAnsi="宋体"/>
          <w:bCs/>
          <w:szCs w:val="21"/>
        </w:rPr>
        <w:t>C</w:t>
      </w:r>
      <w:r>
        <w:rPr>
          <w:rFonts w:ascii="宋体" w:hAnsi="宋体" w:hint="eastAsia"/>
          <w:bCs/>
          <w:szCs w:val="21"/>
        </w:rPr>
        <w:t>～</w:t>
      </w:r>
      <w:r>
        <w:rPr>
          <w:rFonts w:ascii="宋体" w:hAnsi="宋体"/>
          <w:bCs/>
          <w:szCs w:val="21"/>
        </w:rPr>
        <w:t>P   E</w:t>
      </w:r>
      <w:r>
        <w:rPr>
          <w:rFonts w:ascii="宋体" w:hAnsi="宋体" w:hint="eastAsia"/>
          <w:bCs/>
          <w:szCs w:val="21"/>
        </w:rPr>
        <w:t>．</w:t>
      </w:r>
      <w:r>
        <w:rPr>
          <w:rFonts w:ascii="宋体" w:hAnsi="宋体"/>
          <w:bCs/>
          <w:szCs w:val="21"/>
        </w:rPr>
        <w:t>ATP</w:t>
      </w:r>
    </w:p>
    <w:p w:rsidR="003717A0" w:rsidRDefault="003717A0">
      <w:pPr>
        <w:spacing w:line="320" w:lineRule="exact"/>
        <w:rPr>
          <w:rFonts w:ascii="宋体"/>
          <w:bCs/>
          <w:szCs w:val="21"/>
        </w:rPr>
      </w:pPr>
      <w:r>
        <w:rPr>
          <w:rFonts w:ascii="宋体" w:hAnsi="宋体"/>
          <w:szCs w:val="21"/>
        </w:rPr>
        <w:t xml:space="preserve">8. </w:t>
      </w:r>
      <w:r>
        <w:rPr>
          <w:rFonts w:ascii="宋体" w:hAnsi="宋体" w:hint="eastAsia"/>
          <w:bCs/>
          <w:szCs w:val="21"/>
        </w:rPr>
        <w:t>血清白蛋白（</w:t>
      </w:r>
      <w:r>
        <w:rPr>
          <w:rFonts w:ascii="宋体" w:hAnsi="宋体"/>
          <w:bCs/>
          <w:szCs w:val="21"/>
        </w:rPr>
        <w:t>PI</w:t>
      </w:r>
      <w:r>
        <w:rPr>
          <w:rFonts w:ascii="宋体" w:hAnsi="宋体" w:hint="eastAsia"/>
          <w:bCs/>
          <w:szCs w:val="21"/>
        </w:rPr>
        <w:t>为</w:t>
      </w:r>
      <w:r>
        <w:rPr>
          <w:rFonts w:ascii="宋体" w:hAnsi="宋体"/>
          <w:bCs/>
          <w:szCs w:val="21"/>
        </w:rPr>
        <w:t>4.7</w:t>
      </w:r>
      <w:r>
        <w:rPr>
          <w:rFonts w:ascii="宋体" w:hAnsi="宋体" w:hint="eastAsia"/>
          <w:bCs/>
          <w:szCs w:val="21"/>
        </w:rPr>
        <w:t>）在下列哪种</w:t>
      </w:r>
      <w:r>
        <w:rPr>
          <w:rFonts w:ascii="宋体" w:hAnsi="宋体"/>
          <w:bCs/>
          <w:szCs w:val="21"/>
        </w:rPr>
        <w:t>pH</w:t>
      </w:r>
      <w:r>
        <w:rPr>
          <w:rFonts w:ascii="宋体" w:hAnsi="宋体" w:hint="eastAsia"/>
          <w:bCs/>
          <w:szCs w:val="21"/>
        </w:rPr>
        <w:t xml:space="preserve">值溶液中带正电荷（　</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w:t>
      </w:r>
      <w:r>
        <w:rPr>
          <w:rFonts w:ascii="宋体" w:hAnsi="宋体"/>
          <w:bCs/>
          <w:szCs w:val="21"/>
        </w:rPr>
        <w:t xml:space="preserve"> pH4.0   B</w:t>
      </w:r>
      <w:r>
        <w:rPr>
          <w:rFonts w:ascii="宋体" w:hAnsi="宋体" w:hint="eastAsia"/>
          <w:bCs/>
          <w:szCs w:val="21"/>
        </w:rPr>
        <w:t>．</w:t>
      </w:r>
      <w:r>
        <w:rPr>
          <w:rFonts w:ascii="宋体" w:hAnsi="宋体"/>
          <w:bCs/>
          <w:szCs w:val="21"/>
        </w:rPr>
        <w:t>pH5.0   C</w:t>
      </w:r>
      <w:r>
        <w:rPr>
          <w:rFonts w:ascii="宋体" w:hAnsi="宋体" w:hint="eastAsia"/>
          <w:bCs/>
          <w:szCs w:val="21"/>
        </w:rPr>
        <w:t>．</w:t>
      </w:r>
      <w:r>
        <w:rPr>
          <w:rFonts w:ascii="宋体" w:hAnsi="宋体"/>
          <w:bCs/>
          <w:szCs w:val="21"/>
        </w:rPr>
        <w:t>pH6.0   D</w:t>
      </w:r>
      <w:r>
        <w:rPr>
          <w:rFonts w:ascii="宋体" w:hAnsi="宋体" w:hint="eastAsia"/>
          <w:bCs/>
          <w:szCs w:val="21"/>
        </w:rPr>
        <w:t>．</w:t>
      </w:r>
      <w:r>
        <w:rPr>
          <w:rFonts w:ascii="宋体" w:hAnsi="宋体"/>
          <w:bCs/>
          <w:szCs w:val="21"/>
        </w:rPr>
        <w:t xml:space="preserve"> pH7.0   E</w:t>
      </w:r>
      <w:r>
        <w:rPr>
          <w:rFonts w:ascii="宋体" w:hAnsi="宋体" w:hint="eastAsia"/>
          <w:bCs/>
          <w:szCs w:val="21"/>
        </w:rPr>
        <w:t>．</w:t>
      </w:r>
      <w:r>
        <w:rPr>
          <w:rFonts w:ascii="宋体" w:hAnsi="宋体"/>
          <w:bCs/>
          <w:szCs w:val="21"/>
        </w:rPr>
        <w:t>pH8.0</w:t>
      </w:r>
    </w:p>
    <w:p w:rsidR="003717A0" w:rsidRDefault="003717A0">
      <w:pPr>
        <w:spacing w:line="320" w:lineRule="exact"/>
        <w:rPr>
          <w:rFonts w:ascii="宋体"/>
          <w:bCs/>
          <w:szCs w:val="21"/>
        </w:rPr>
      </w:pPr>
      <w:r>
        <w:rPr>
          <w:rFonts w:ascii="宋体" w:hAnsi="宋体"/>
          <w:szCs w:val="21"/>
        </w:rPr>
        <w:t xml:space="preserve">9. </w:t>
      </w:r>
      <w:r>
        <w:rPr>
          <w:rFonts w:ascii="宋体" w:hAnsi="宋体" w:hint="eastAsia"/>
          <w:bCs/>
          <w:szCs w:val="21"/>
        </w:rPr>
        <w:t>下列哪项与蛋白质的变性无关？</w:t>
      </w:r>
      <w:r>
        <w:rPr>
          <w:rFonts w:ascii="宋体" w:hAnsi="宋体"/>
          <w:bCs/>
          <w:szCs w:val="21"/>
        </w:rPr>
        <w:t xml:space="preserve"> </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肽键断裂</w:t>
      </w:r>
      <w:r>
        <w:rPr>
          <w:rFonts w:ascii="宋体" w:hAnsi="宋体"/>
          <w:bCs/>
          <w:szCs w:val="21"/>
        </w:rPr>
        <w:t xml:space="preserve">   B</w:t>
      </w:r>
      <w:r>
        <w:rPr>
          <w:rFonts w:ascii="宋体" w:hAnsi="宋体" w:hint="eastAsia"/>
          <w:bCs/>
          <w:szCs w:val="21"/>
        </w:rPr>
        <w:t>．氢键被破坏</w:t>
      </w:r>
      <w:r>
        <w:rPr>
          <w:rFonts w:ascii="宋体" w:hAnsi="宋体"/>
          <w:bCs/>
          <w:szCs w:val="21"/>
        </w:rPr>
        <w:t xml:space="preserve">    C</w:t>
      </w:r>
      <w:r>
        <w:rPr>
          <w:rFonts w:ascii="宋体" w:hAnsi="宋体" w:hint="eastAsia"/>
          <w:bCs/>
          <w:szCs w:val="21"/>
        </w:rPr>
        <w:t>．离子键被破坏</w:t>
      </w:r>
      <w:r>
        <w:rPr>
          <w:rFonts w:ascii="宋体" w:hAnsi="宋体"/>
          <w:bCs/>
          <w:szCs w:val="21"/>
        </w:rPr>
        <w:t xml:space="preserve">    D</w:t>
      </w:r>
      <w:r>
        <w:rPr>
          <w:rFonts w:ascii="宋体" w:hAnsi="宋体" w:hint="eastAsia"/>
          <w:bCs/>
          <w:szCs w:val="21"/>
        </w:rPr>
        <w:t>．疏水键被破坏</w:t>
      </w:r>
      <w:r>
        <w:rPr>
          <w:rFonts w:ascii="宋体" w:hAnsi="宋体"/>
          <w:bCs/>
          <w:szCs w:val="21"/>
        </w:rPr>
        <w:t xml:space="preserve">   E.</w:t>
      </w:r>
      <w:r>
        <w:rPr>
          <w:rFonts w:ascii="宋体" w:hAnsi="宋体" w:hint="eastAsia"/>
          <w:bCs/>
          <w:szCs w:val="21"/>
        </w:rPr>
        <w:t>以上都不是</w:t>
      </w:r>
    </w:p>
    <w:p w:rsidR="003717A0" w:rsidRDefault="003717A0">
      <w:pPr>
        <w:spacing w:line="320" w:lineRule="exact"/>
        <w:rPr>
          <w:rFonts w:ascii="宋体"/>
          <w:bCs/>
          <w:szCs w:val="21"/>
        </w:rPr>
      </w:pPr>
      <w:r>
        <w:rPr>
          <w:rFonts w:ascii="宋体" w:hAnsi="宋体"/>
          <w:szCs w:val="21"/>
        </w:rPr>
        <w:t xml:space="preserve">10. </w:t>
      </w:r>
      <w:r>
        <w:rPr>
          <w:rFonts w:ascii="宋体" w:hAnsi="宋体" w:hint="eastAsia"/>
          <w:bCs/>
          <w:szCs w:val="21"/>
        </w:rPr>
        <w:t>合成</w:t>
      </w:r>
      <w:r>
        <w:rPr>
          <w:rFonts w:ascii="宋体" w:hAnsi="宋体"/>
          <w:bCs/>
          <w:szCs w:val="21"/>
        </w:rPr>
        <w:t>RNA</w:t>
      </w:r>
      <w:r>
        <w:rPr>
          <w:rFonts w:ascii="宋体" w:hAnsi="宋体" w:hint="eastAsia"/>
          <w:bCs/>
          <w:szCs w:val="21"/>
        </w:rPr>
        <w:t>的原料是：（</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szCs w:val="21"/>
        </w:rPr>
      </w:pPr>
      <w:r>
        <w:rPr>
          <w:rFonts w:ascii="宋体" w:hAnsi="宋体"/>
          <w:bCs/>
          <w:szCs w:val="21"/>
        </w:rPr>
        <w:t>A.dNMP      B.dNDP      C.dNTP      D.NTP      E.NDP</w:t>
      </w:r>
    </w:p>
    <w:p w:rsidR="003717A0" w:rsidRDefault="003717A0">
      <w:pPr>
        <w:spacing w:line="320" w:lineRule="exact"/>
        <w:rPr>
          <w:rFonts w:ascii="宋体"/>
          <w:bCs/>
          <w:szCs w:val="21"/>
        </w:rPr>
      </w:pPr>
      <w:r>
        <w:rPr>
          <w:rFonts w:ascii="宋体" w:hAnsi="宋体"/>
          <w:bCs/>
          <w:szCs w:val="21"/>
        </w:rPr>
        <w:t xml:space="preserve">11. </w:t>
      </w:r>
      <w:r>
        <w:rPr>
          <w:rFonts w:ascii="宋体" w:hAnsi="宋体" w:hint="eastAsia"/>
          <w:bCs/>
          <w:szCs w:val="21"/>
        </w:rPr>
        <w:t xml:space="preserve">维系蛋白质二级结构稳定的化学键是：（　</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．二硫键</w:t>
      </w:r>
      <w:r>
        <w:rPr>
          <w:rFonts w:ascii="宋体" w:hAnsi="宋体"/>
          <w:bCs/>
          <w:szCs w:val="21"/>
        </w:rPr>
        <w:t xml:space="preserve">  B</w:t>
      </w:r>
      <w:r>
        <w:rPr>
          <w:rFonts w:ascii="宋体" w:hAnsi="宋体" w:hint="eastAsia"/>
          <w:bCs/>
          <w:szCs w:val="21"/>
        </w:rPr>
        <w:t>．肽键</w:t>
      </w:r>
      <w:r>
        <w:rPr>
          <w:rFonts w:ascii="宋体" w:hAnsi="宋体"/>
          <w:bCs/>
          <w:szCs w:val="21"/>
        </w:rPr>
        <w:t xml:space="preserve">  C</w:t>
      </w:r>
      <w:r>
        <w:rPr>
          <w:rFonts w:ascii="宋体" w:hAnsi="宋体" w:hint="eastAsia"/>
          <w:bCs/>
          <w:szCs w:val="21"/>
        </w:rPr>
        <w:t>．疏水作用</w:t>
      </w:r>
      <w:r>
        <w:rPr>
          <w:rFonts w:ascii="宋体" w:hAnsi="宋体"/>
          <w:bCs/>
          <w:szCs w:val="21"/>
        </w:rPr>
        <w:t xml:space="preserve">  D</w:t>
      </w:r>
      <w:r>
        <w:rPr>
          <w:rFonts w:ascii="宋体" w:hAnsi="宋体" w:hint="eastAsia"/>
          <w:bCs/>
          <w:szCs w:val="21"/>
        </w:rPr>
        <w:t>．氢键</w:t>
      </w:r>
      <w:r>
        <w:rPr>
          <w:rFonts w:ascii="宋体" w:hAnsi="宋体"/>
          <w:bCs/>
          <w:szCs w:val="21"/>
        </w:rPr>
        <w:t xml:space="preserve">  E</w:t>
      </w:r>
      <w:r>
        <w:rPr>
          <w:rFonts w:ascii="宋体" w:hAnsi="宋体" w:hint="eastAsia"/>
          <w:bCs/>
          <w:szCs w:val="21"/>
        </w:rPr>
        <w:t>．离子键</w:t>
      </w:r>
    </w:p>
    <w:p w:rsidR="003717A0" w:rsidRDefault="003717A0">
      <w:pPr>
        <w:spacing w:line="320" w:lineRule="exact"/>
        <w:rPr>
          <w:rFonts w:ascii="宋体"/>
          <w:bCs/>
          <w:szCs w:val="21"/>
        </w:rPr>
      </w:pPr>
      <w:r>
        <w:rPr>
          <w:rFonts w:ascii="宋体" w:hAnsi="宋体"/>
          <w:bCs/>
          <w:szCs w:val="21"/>
        </w:rPr>
        <w:lastRenderedPageBreak/>
        <w:t>12.</w:t>
      </w:r>
      <w:r>
        <w:rPr>
          <w:rFonts w:ascii="宋体" w:hAnsi="宋体" w:hint="eastAsia"/>
          <w:bCs/>
          <w:szCs w:val="21"/>
        </w:rPr>
        <w:t xml:space="preserve">下列哪些代谢途径与核酸合成密切相关？（　</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．糖酵解</w:t>
      </w:r>
      <w:r>
        <w:rPr>
          <w:rFonts w:ascii="宋体" w:hAnsi="宋体"/>
          <w:bCs/>
          <w:szCs w:val="21"/>
        </w:rPr>
        <w:t xml:space="preserve">  B</w:t>
      </w:r>
      <w:r>
        <w:rPr>
          <w:rFonts w:ascii="宋体" w:hAnsi="宋体" w:hint="eastAsia"/>
          <w:bCs/>
          <w:szCs w:val="21"/>
        </w:rPr>
        <w:t>．糖有氧氧化</w:t>
      </w:r>
      <w:r>
        <w:rPr>
          <w:rFonts w:ascii="宋体" w:hAnsi="宋体"/>
          <w:bCs/>
          <w:szCs w:val="21"/>
        </w:rPr>
        <w:t xml:space="preserve">  C</w:t>
      </w:r>
      <w:r>
        <w:rPr>
          <w:rFonts w:ascii="宋体" w:hAnsi="宋体" w:hint="eastAsia"/>
          <w:bCs/>
          <w:szCs w:val="21"/>
        </w:rPr>
        <w:t>．三羧酸循环</w:t>
      </w:r>
      <w:r>
        <w:rPr>
          <w:rFonts w:ascii="宋体" w:hAnsi="宋体"/>
          <w:bCs/>
          <w:szCs w:val="21"/>
        </w:rPr>
        <w:t xml:space="preserve">  D</w:t>
      </w:r>
      <w:r>
        <w:rPr>
          <w:rFonts w:ascii="宋体" w:hAnsi="宋体" w:hint="eastAsia"/>
          <w:bCs/>
          <w:szCs w:val="21"/>
        </w:rPr>
        <w:t>．糖异生</w:t>
      </w:r>
      <w:r>
        <w:rPr>
          <w:rFonts w:ascii="宋体" w:hAnsi="宋体"/>
          <w:bCs/>
          <w:szCs w:val="21"/>
        </w:rPr>
        <w:t xml:space="preserve">  E</w:t>
      </w:r>
      <w:r>
        <w:rPr>
          <w:rFonts w:ascii="宋体" w:hAnsi="宋体" w:hint="eastAsia"/>
          <w:bCs/>
          <w:szCs w:val="21"/>
        </w:rPr>
        <w:t>．磷酸戊糖途径</w:t>
      </w:r>
    </w:p>
    <w:p w:rsidR="003717A0" w:rsidRDefault="003717A0">
      <w:pPr>
        <w:spacing w:line="320" w:lineRule="exact"/>
        <w:rPr>
          <w:rFonts w:ascii="宋体"/>
          <w:szCs w:val="21"/>
        </w:rPr>
      </w:pPr>
      <w:r>
        <w:rPr>
          <w:rFonts w:ascii="宋体" w:hAnsi="宋体"/>
          <w:bCs/>
          <w:szCs w:val="21"/>
        </w:rPr>
        <w:t xml:space="preserve">13. </w:t>
      </w:r>
      <w:r>
        <w:rPr>
          <w:rFonts w:ascii="宋体" w:hAnsi="宋体" w:hint="eastAsia"/>
          <w:szCs w:val="21"/>
        </w:rPr>
        <w:t>尿素合成中的氨来自于：</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pacing w:line="320" w:lineRule="exact"/>
        <w:ind w:firstLineChars="150" w:firstLine="315"/>
        <w:rPr>
          <w:rFonts w:ascii="宋体"/>
          <w:szCs w:val="21"/>
        </w:rPr>
      </w:pPr>
      <w:r>
        <w:rPr>
          <w:rFonts w:ascii="宋体" w:hAnsi="宋体"/>
          <w:szCs w:val="21"/>
        </w:rPr>
        <w:t>A</w:t>
      </w:r>
      <w:r>
        <w:rPr>
          <w:rFonts w:ascii="宋体" w:hAnsi="宋体" w:hint="eastAsia"/>
          <w:szCs w:val="21"/>
        </w:rPr>
        <w:t>．瓜氨酸</w:t>
      </w:r>
      <w:r>
        <w:rPr>
          <w:rFonts w:ascii="宋体" w:hAnsi="宋体"/>
          <w:szCs w:val="21"/>
        </w:rPr>
        <w:t xml:space="preserve">    B</w:t>
      </w:r>
      <w:r>
        <w:rPr>
          <w:rFonts w:ascii="宋体" w:hAnsi="宋体" w:hint="eastAsia"/>
          <w:szCs w:val="21"/>
        </w:rPr>
        <w:t>．鸟氨酸</w:t>
      </w:r>
      <w:r>
        <w:rPr>
          <w:rFonts w:ascii="宋体" w:hAnsi="宋体"/>
          <w:szCs w:val="21"/>
        </w:rPr>
        <w:t xml:space="preserve">      C</w:t>
      </w:r>
      <w:r>
        <w:rPr>
          <w:rFonts w:ascii="宋体" w:hAnsi="宋体" w:hint="eastAsia"/>
          <w:szCs w:val="21"/>
        </w:rPr>
        <w:t>．氨基酸脱下的氨</w:t>
      </w:r>
      <w:r>
        <w:rPr>
          <w:rFonts w:ascii="宋体" w:hAnsi="宋体"/>
          <w:szCs w:val="21"/>
        </w:rPr>
        <w:t xml:space="preserve">    D</w:t>
      </w:r>
      <w:r>
        <w:rPr>
          <w:rFonts w:ascii="宋体" w:hAnsi="宋体" w:hint="eastAsia"/>
          <w:szCs w:val="21"/>
        </w:rPr>
        <w:t>．精氨酸</w:t>
      </w:r>
      <w:r>
        <w:rPr>
          <w:rFonts w:ascii="宋体" w:hAnsi="宋体"/>
          <w:szCs w:val="21"/>
        </w:rPr>
        <w:t xml:space="preserve">    E</w:t>
      </w:r>
      <w:r>
        <w:rPr>
          <w:rFonts w:ascii="宋体" w:hAnsi="宋体" w:hint="eastAsia"/>
          <w:szCs w:val="21"/>
        </w:rPr>
        <w:t>．柠檬酸</w:t>
      </w:r>
    </w:p>
    <w:p w:rsidR="003717A0" w:rsidRDefault="003717A0">
      <w:pPr>
        <w:spacing w:line="320" w:lineRule="exact"/>
        <w:rPr>
          <w:rFonts w:ascii="宋体" w:cs="宋体"/>
          <w:bCs/>
          <w:kern w:val="0"/>
          <w:szCs w:val="21"/>
        </w:rPr>
      </w:pPr>
      <w:r>
        <w:rPr>
          <w:rFonts w:ascii="宋体" w:hAnsi="宋体"/>
          <w:bCs/>
          <w:szCs w:val="21"/>
        </w:rPr>
        <w:t>14.</w:t>
      </w:r>
      <w:r>
        <w:rPr>
          <w:rFonts w:ascii="宋体" w:hAnsi="宋体" w:cs="宋体"/>
          <w:bCs/>
          <w:kern w:val="0"/>
          <w:szCs w:val="21"/>
        </w:rPr>
        <w:t xml:space="preserve"> </w:t>
      </w:r>
      <w:r>
        <w:rPr>
          <w:rFonts w:ascii="宋体" w:hAnsi="宋体" w:cs="宋体" w:hint="eastAsia"/>
          <w:bCs/>
          <w:kern w:val="0"/>
          <w:szCs w:val="21"/>
        </w:rPr>
        <w:t>脂肪酸进入线粒体进行氧化分解的限速酶是：</w:t>
      </w:r>
      <w:r>
        <w:rPr>
          <w:rFonts w:ascii="宋体" w:hAnsi="宋体" w:cs="宋体"/>
          <w:bCs/>
          <w:kern w:val="0"/>
          <w:szCs w:val="21"/>
        </w:rPr>
        <w:t xml:space="preserve">                  (    ) </w:t>
      </w:r>
    </w:p>
    <w:p w:rsidR="003717A0" w:rsidRDefault="003717A0">
      <w:pPr>
        <w:spacing w:line="320" w:lineRule="exact"/>
        <w:rPr>
          <w:rFonts w:ascii="宋体" w:cs="宋体"/>
          <w:bCs/>
          <w:kern w:val="0"/>
          <w:szCs w:val="21"/>
        </w:rPr>
      </w:pPr>
      <w:r>
        <w:rPr>
          <w:rFonts w:ascii="宋体" w:hAnsi="宋体" w:cs="宋体"/>
          <w:bCs/>
          <w:kern w:val="0"/>
          <w:szCs w:val="21"/>
        </w:rPr>
        <w:t>A</w:t>
      </w:r>
      <w:r>
        <w:rPr>
          <w:rFonts w:ascii="宋体" w:hAnsi="宋体" w:cs="宋体" w:hint="eastAsia"/>
          <w:bCs/>
          <w:kern w:val="0"/>
          <w:szCs w:val="21"/>
        </w:rPr>
        <w:t>．脂酰</w:t>
      </w:r>
      <w:r>
        <w:rPr>
          <w:rFonts w:ascii="宋体" w:hAnsi="宋体" w:cs="宋体"/>
          <w:bCs/>
          <w:kern w:val="0"/>
          <w:szCs w:val="21"/>
        </w:rPr>
        <w:t>CoA</w:t>
      </w:r>
      <w:r>
        <w:rPr>
          <w:rFonts w:ascii="宋体" w:hAnsi="宋体" w:cs="宋体" w:hint="eastAsia"/>
          <w:bCs/>
          <w:kern w:val="0"/>
          <w:szCs w:val="21"/>
        </w:rPr>
        <w:t>合成酶</w:t>
      </w:r>
      <w:r>
        <w:rPr>
          <w:rFonts w:ascii="宋体" w:hAnsi="宋体" w:cs="宋体"/>
          <w:bCs/>
          <w:kern w:val="0"/>
          <w:szCs w:val="21"/>
        </w:rPr>
        <w:t xml:space="preserve">     B</w:t>
      </w:r>
      <w:r>
        <w:rPr>
          <w:rFonts w:ascii="宋体" w:hAnsi="宋体" w:cs="宋体" w:hint="eastAsia"/>
          <w:bCs/>
          <w:kern w:val="0"/>
          <w:szCs w:val="21"/>
        </w:rPr>
        <w:t>．脂酰</w:t>
      </w:r>
      <w:r>
        <w:rPr>
          <w:rFonts w:ascii="宋体" w:hAnsi="宋体" w:cs="宋体"/>
          <w:bCs/>
          <w:kern w:val="0"/>
          <w:szCs w:val="21"/>
        </w:rPr>
        <w:t>CoA</w:t>
      </w:r>
      <w:r>
        <w:rPr>
          <w:rFonts w:ascii="宋体" w:hAnsi="宋体" w:cs="宋体" w:hint="eastAsia"/>
          <w:bCs/>
          <w:kern w:val="0"/>
          <w:szCs w:val="21"/>
        </w:rPr>
        <w:t>脱氢酶</w:t>
      </w:r>
      <w:r>
        <w:rPr>
          <w:rFonts w:ascii="宋体" w:hAnsi="宋体" w:cs="宋体"/>
          <w:bCs/>
          <w:kern w:val="0"/>
          <w:szCs w:val="21"/>
        </w:rPr>
        <w:t xml:space="preserve">    C</w:t>
      </w:r>
      <w:r>
        <w:rPr>
          <w:rFonts w:ascii="宋体" w:hAnsi="宋体" w:cs="宋体" w:hint="eastAsia"/>
          <w:bCs/>
          <w:kern w:val="0"/>
          <w:szCs w:val="21"/>
        </w:rPr>
        <w:t>．肉碱脂酰转移酶Ⅰ</w:t>
      </w:r>
    </w:p>
    <w:p w:rsidR="003717A0" w:rsidRDefault="003717A0">
      <w:pPr>
        <w:spacing w:line="320" w:lineRule="exact"/>
        <w:rPr>
          <w:rFonts w:ascii="宋体" w:cs="宋体"/>
          <w:bCs/>
          <w:kern w:val="0"/>
          <w:szCs w:val="21"/>
        </w:rPr>
      </w:pPr>
      <w:r>
        <w:rPr>
          <w:rFonts w:ascii="宋体" w:hAnsi="宋体" w:cs="宋体"/>
          <w:bCs/>
          <w:kern w:val="0"/>
          <w:szCs w:val="21"/>
        </w:rPr>
        <w:t>D</w:t>
      </w:r>
      <w:r>
        <w:rPr>
          <w:rFonts w:ascii="宋体" w:hAnsi="宋体" w:cs="宋体" w:hint="eastAsia"/>
          <w:bCs/>
          <w:kern w:val="0"/>
          <w:szCs w:val="21"/>
        </w:rPr>
        <w:t>．肉碱脂酰转移酶Ⅱ</w:t>
      </w:r>
      <w:r>
        <w:rPr>
          <w:rFonts w:ascii="宋体" w:hAnsi="宋体" w:cs="宋体"/>
          <w:bCs/>
          <w:kern w:val="0"/>
          <w:szCs w:val="21"/>
        </w:rPr>
        <w:t xml:space="preserve">   E</w:t>
      </w:r>
      <w:r>
        <w:rPr>
          <w:rFonts w:ascii="宋体" w:hAnsi="宋体" w:cs="宋体" w:hint="eastAsia"/>
          <w:bCs/>
          <w:kern w:val="0"/>
          <w:szCs w:val="21"/>
        </w:rPr>
        <w:t>．肉碱</w:t>
      </w:r>
      <w:r>
        <w:rPr>
          <w:rFonts w:ascii="宋体" w:cs="宋体"/>
          <w:bCs/>
          <w:kern w:val="0"/>
          <w:szCs w:val="21"/>
        </w:rPr>
        <w:t>-</w:t>
      </w:r>
      <w:r>
        <w:rPr>
          <w:rFonts w:ascii="宋体" w:hAnsi="宋体" w:cs="宋体" w:hint="eastAsia"/>
          <w:bCs/>
          <w:kern w:val="0"/>
          <w:szCs w:val="21"/>
        </w:rPr>
        <w:t>脂酰肉碱转位酶</w:t>
      </w:r>
    </w:p>
    <w:p w:rsidR="003717A0" w:rsidRDefault="003717A0">
      <w:pPr>
        <w:spacing w:line="320" w:lineRule="exact"/>
        <w:rPr>
          <w:rFonts w:ascii="宋体"/>
          <w:bCs/>
          <w:szCs w:val="21"/>
        </w:rPr>
      </w:pPr>
      <w:r>
        <w:rPr>
          <w:rFonts w:ascii="宋体" w:hAnsi="宋体"/>
          <w:bCs/>
          <w:szCs w:val="21"/>
        </w:rPr>
        <w:t>15.</w:t>
      </w:r>
      <w:r>
        <w:rPr>
          <w:rFonts w:ascii="宋体" w:hAnsi="宋体" w:hint="eastAsia"/>
          <w:bCs/>
          <w:szCs w:val="21"/>
        </w:rPr>
        <w:t>以下哪一个是三联密码中的翻译起始密码：（</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w:t>
      </w:r>
      <w:r>
        <w:rPr>
          <w:rFonts w:ascii="宋体" w:hAnsi="宋体"/>
          <w:bCs/>
          <w:szCs w:val="21"/>
        </w:rPr>
        <w:t>UGA     B</w:t>
      </w:r>
      <w:r>
        <w:rPr>
          <w:rFonts w:ascii="宋体" w:hAnsi="宋体" w:hint="eastAsia"/>
          <w:bCs/>
          <w:szCs w:val="21"/>
        </w:rPr>
        <w:t>．</w:t>
      </w:r>
      <w:r>
        <w:rPr>
          <w:rFonts w:ascii="宋体" w:hAnsi="宋体"/>
          <w:bCs/>
          <w:szCs w:val="21"/>
        </w:rPr>
        <w:t>UAG   C</w:t>
      </w:r>
      <w:r>
        <w:rPr>
          <w:rFonts w:ascii="宋体" w:hAnsi="宋体" w:hint="eastAsia"/>
          <w:bCs/>
          <w:szCs w:val="21"/>
        </w:rPr>
        <w:t>．</w:t>
      </w:r>
      <w:r>
        <w:rPr>
          <w:rFonts w:ascii="宋体" w:hAnsi="宋体"/>
          <w:bCs/>
          <w:szCs w:val="21"/>
        </w:rPr>
        <w:t>GAA     D</w:t>
      </w:r>
      <w:r>
        <w:rPr>
          <w:rFonts w:ascii="宋体" w:hAnsi="宋体" w:hint="eastAsia"/>
          <w:bCs/>
          <w:szCs w:val="21"/>
        </w:rPr>
        <w:t>．</w:t>
      </w:r>
      <w:r>
        <w:rPr>
          <w:rFonts w:ascii="宋体" w:hAnsi="宋体"/>
          <w:bCs/>
          <w:szCs w:val="21"/>
        </w:rPr>
        <w:t>AUG     E</w:t>
      </w:r>
      <w:r>
        <w:rPr>
          <w:rFonts w:ascii="宋体" w:hAnsi="宋体" w:hint="eastAsia"/>
          <w:bCs/>
          <w:szCs w:val="21"/>
        </w:rPr>
        <w:t>．</w:t>
      </w:r>
      <w:r>
        <w:rPr>
          <w:rFonts w:ascii="宋体" w:hAnsi="宋体"/>
          <w:bCs/>
          <w:szCs w:val="21"/>
        </w:rPr>
        <w:t>AGU</w:t>
      </w:r>
    </w:p>
    <w:p w:rsidR="003717A0" w:rsidRDefault="003717A0">
      <w:pPr>
        <w:spacing w:line="320" w:lineRule="exact"/>
        <w:rPr>
          <w:rFonts w:ascii="宋体"/>
          <w:bCs/>
          <w:szCs w:val="21"/>
        </w:rPr>
      </w:pPr>
      <w:r>
        <w:rPr>
          <w:rFonts w:ascii="宋体" w:hAnsi="宋体"/>
          <w:bCs/>
          <w:szCs w:val="21"/>
        </w:rPr>
        <w:t>16.</w:t>
      </w:r>
      <w:r>
        <w:rPr>
          <w:rFonts w:ascii="宋体" w:hAnsi="宋体" w:hint="eastAsia"/>
          <w:bCs/>
          <w:szCs w:val="21"/>
        </w:rPr>
        <w:t>下面哪种物质没有参与蛋白质的合成（</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w:t>
      </w:r>
      <w:r>
        <w:rPr>
          <w:rFonts w:ascii="宋体" w:hAnsi="宋体"/>
          <w:bCs/>
          <w:szCs w:val="21"/>
        </w:rPr>
        <w:t xml:space="preserve">mRNA       B. </w:t>
      </w:r>
      <w:r>
        <w:rPr>
          <w:rFonts w:ascii="宋体" w:hAnsi="宋体" w:hint="eastAsia"/>
          <w:bCs/>
          <w:szCs w:val="21"/>
        </w:rPr>
        <w:t>核蛋白体</w:t>
      </w:r>
      <w:r>
        <w:rPr>
          <w:rFonts w:ascii="宋体" w:hAnsi="宋体"/>
          <w:bCs/>
          <w:szCs w:val="21"/>
        </w:rPr>
        <w:t xml:space="preserve">      C. RNA</w:t>
      </w:r>
      <w:r>
        <w:rPr>
          <w:rFonts w:ascii="宋体" w:hAnsi="宋体" w:hint="eastAsia"/>
          <w:bCs/>
          <w:szCs w:val="21"/>
        </w:rPr>
        <w:t>聚合酶</w:t>
      </w:r>
      <w:r>
        <w:rPr>
          <w:rFonts w:ascii="宋体" w:hAnsi="宋体"/>
          <w:bCs/>
          <w:szCs w:val="21"/>
        </w:rPr>
        <w:t xml:space="preserve">    D.GTP    E.Mg2+</w:t>
      </w:r>
    </w:p>
    <w:p w:rsidR="003717A0" w:rsidRDefault="003717A0">
      <w:pPr>
        <w:spacing w:line="320" w:lineRule="exact"/>
        <w:rPr>
          <w:rFonts w:ascii="宋体"/>
          <w:szCs w:val="21"/>
        </w:rPr>
      </w:pPr>
      <w:r>
        <w:rPr>
          <w:rFonts w:ascii="宋体" w:hAnsi="宋体"/>
          <w:bCs/>
          <w:szCs w:val="21"/>
        </w:rPr>
        <w:t>17.</w:t>
      </w:r>
      <w:r>
        <w:rPr>
          <w:rFonts w:ascii="宋体" w:hAnsi="宋体" w:hint="eastAsia"/>
          <w:szCs w:val="21"/>
        </w:rPr>
        <w:t>氨基酸在等电点时具有的特点是：</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3717A0" w:rsidRDefault="003717A0">
      <w:pPr>
        <w:spacing w:line="320" w:lineRule="exact"/>
        <w:jc w:val="left"/>
        <w:rPr>
          <w:rFonts w:ascii="宋体"/>
          <w:szCs w:val="21"/>
        </w:rPr>
      </w:pPr>
      <w:r>
        <w:rPr>
          <w:rFonts w:ascii="宋体" w:hAnsi="宋体"/>
          <w:szCs w:val="21"/>
        </w:rPr>
        <w:t>A</w:t>
      </w:r>
      <w:r>
        <w:rPr>
          <w:rFonts w:ascii="宋体" w:hAnsi="宋体" w:hint="eastAsia"/>
          <w:szCs w:val="21"/>
        </w:rPr>
        <w:t>．不带正电荷</w:t>
      </w:r>
      <w:r>
        <w:rPr>
          <w:rFonts w:ascii="宋体" w:hAnsi="宋体"/>
          <w:szCs w:val="21"/>
        </w:rPr>
        <w:t xml:space="preserve">   B</w:t>
      </w:r>
      <w:r>
        <w:rPr>
          <w:rFonts w:ascii="宋体" w:hAnsi="宋体" w:hint="eastAsia"/>
          <w:szCs w:val="21"/>
        </w:rPr>
        <w:t>．不带负电荷</w:t>
      </w:r>
      <w:r>
        <w:rPr>
          <w:rFonts w:ascii="宋体" w:hAnsi="宋体"/>
          <w:szCs w:val="21"/>
        </w:rPr>
        <w:t xml:space="preserve">   C</w:t>
      </w:r>
      <w:r>
        <w:rPr>
          <w:rFonts w:ascii="宋体" w:hAnsi="宋体" w:hint="eastAsia"/>
          <w:szCs w:val="21"/>
        </w:rPr>
        <w:t>．</w:t>
      </w:r>
      <w:r>
        <w:rPr>
          <w:rFonts w:ascii="宋体" w:hAnsi="宋体"/>
          <w:szCs w:val="21"/>
        </w:rPr>
        <w:t xml:space="preserve">A </w:t>
      </w:r>
      <w:r>
        <w:rPr>
          <w:rFonts w:ascii="宋体" w:hAnsi="宋体" w:hint="eastAsia"/>
          <w:szCs w:val="21"/>
        </w:rPr>
        <w:t>和</w:t>
      </w:r>
      <w:r>
        <w:rPr>
          <w:rFonts w:ascii="宋体" w:hAnsi="宋体"/>
          <w:szCs w:val="21"/>
        </w:rPr>
        <w:t xml:space="preserve"> B   D</w:t>
      </w:r>
      <w:r>
        <w:rPr>
          <w:rFonts w:ascii="宋体" w:hAnsi="宋体" w:hint="eastAsia"/>
          <w:szCs w:val="21"/>
        </w:rPr>
        <w:t>．溶解度最大</w:t>
      </w:r>
      <w:r>
        <w:rPr>
          <w:rFonts w:ascii="宋体" w:hAnsi="宋体"/>
          <w:szCs w:val="21"/>
        </w:rPr>
        <w:t xml:space="preserve">   E</w:t>
      </w:r>
      <w:r>
        <w:rPr>
          <w:rFonts w:ascii="宋体" w:hAnsi="宋体" w:hint="eastAsia"/>
          <w:szCs w:val="21"/>
        </w:rPr>
        <w:t>．在电场中不泳动</w:t>
      </w:r>
    </w:p>
    <w:p w:rsidR="003717A0" w:rsidRDefault="003717A0">
      <w:pPr>
        <w:spacing w:line="320" w:lineRule="exact"/>
        <w:rPr>
          <w:rFonts w:ascii="宋体"/>
          <w:bCs/>
          <w:szCs w:val="21"/>
        </w:rPr>
      </w:pPr>
      <w:r>
        <w:rPr>
          <w:rFonts w:ascii="宋体" w:hAnsi="宋体"/>
          <w:bCs/>
          <w:szCs w:val="21"/>
        </w:rPr>
        <w:t>18..</w:t>
      </w:r>
      <w:r>
        <w:rPr>
          <w:rFonts w:ascii="宋体" w:hAnsi="宋体" w:hint="eastAsia"/>
          <w:bCs/>
          <w:szCs w:val="21"/>
        </w:rPr>
        <w:t>复制中</w:t>
      </w:r>
      <w:r>
        <w:rPr>
          <w:rFonts w:ascii="宋体" w:hAnsi="宋体"/>
          <w:bCs/>
          <w:szCs w:val="21"/>
        </w:rPr>
        <w:t>RNA</w:t>
      </w:r>
      <w:r>
        <w:rPr>
          <w:rFonts w:ascii="宋体" w:hAnsi="宋体" w:hint="eastAsia"/>
          <w:bCs/>
          <w:szCs w:val="21"/>
        </w:rPr>
        <w:t>引物的作用是：（</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使</w:t>
      </w:r>
      <w:r>
        <w:rPr>
          <w:rFonts w:ascii="宋体" w:hAnsi="宋体"/>
          <w:bCs/>
          <w:szCs w:val="21"/>
        </w:rPr>
        <w:t>DNA-pol</w:t>
      </w:r>
      <w:r>
        <w:rPr>
          <w:rFonts w:ascii="宋体" w:hAnsi="宋体" w:hint="eastAsia"/>
          <w:bCs/>
          <w:szCs w:val="21"/>
        </w:rPr>
        <w:t>活化</w:t>
      </w:r>
      <w:r>
        <w:rPr>
          <w:rFonts w:ascii="宋体" w:hAnsi="宋体"/>
          <w:bCs/>
          <w:szCs w:val="21"/>
        </w:rPr>
        <w:t xml:space="preserve">               B.</w:t>
      </w:r>
      <w:r>
        <w:rPr>
          <w:rFonts w:ascii="宋体" w:hAnsi="宋体" w:hint="eastAsia"/>
          <w:bCs/>
          <w:szCs w:val="21"/>
        </w:rPr>
        <w:t>提供</w:t>
      </w:r>
      <w:r>
        <w:rPr>
          <w:rFonts w:ascii="宋体" w:hAnsi="宋体"/>
          <w:bCs/>
          <w:szCs w:val="21"/>
        </w:rPr>
        <w:t>3</w:t>
      </w:r>
      <w:r>
        <w:rPr>
          <w:rFonts w:ascii="宋体" w:hAnsi="宋体" w:hint="eastAsia"/>
          <w:bCs/>
          <w:szCs w:val="21"/>
        </w:rPr>
        <w:t>ˊ</w:t>
      </w:r>
      <w:r>
        <w:rPr>
          <w:rFonts w:ascii="宋体" w:hAnsi="宋体"/>
          <w:bCs/>
          <w:szCs w:val="21"/>
        </w:rPr>
        <w:t>-OH</w:t>
      </w:r>
      <w:r>
        <w:rPr>
          <w:rFonts w:ascii="宋体" w:hAnsi="宋体" w:hint="eastAsia"/>
          <w:bCs/>
          <w:szCs w:val="21"/>
        </w:rPr>
        <w:t>合成</w:t>
      </w:r>
      <w:r>
        <w:rPr>
          <w:rFonts w:ascii="宋体" w:hAnsi="宋体"/>
          <w:bCs/>
          <w:szCs w:val="21"/>
        </w:rPr>
        <w:t>DNA</w:t>
      </w:r>
      <w:r>
        <w:rPr>
          <w:rFonts w:ascii="宋体" w:hAnsi="宋体" w:hint="eastAsia"/>
          <w:bCs/>
          <w:szCs w:val="21"/>
        </w:rPr>
        <w:t>链</w:t>
      </w:r>
    </w:p>
    <w:p w:rsidR="003717A0" w:rsidRDefault="003717A0">
      <w:pPr>
        <w:spacing w:line="320" w:lineRule="exact"/>
        <w:rPr>
          <w:rFonts w:ascii="宋体"/>
          <w:bCs/>
          <w:szCs w:val="21"/>
        </w:rPr>
      </w:pPr>
      <w:r>
        <w:rPr>
          <w:rFonts w:ascii="宋体" w:hAnsi="宋体"/>
          <w:bCs/>
          <w:szCs w:val="21"/>
        </w:rPr>
        <w:t>C.</w:t>
      </w:r>
      <w:r>
        <w:rPr>
          <w:rFonts w:ascii="宋体" w:hAnsi="宋体" w:hint="eastAsia"/>
          <w:bCs/>
          <w:szCs w:val="21"/>
        </w:rPr>
        <w:t>提供</w:t>
      </w:r>
      <w:r>
        <w:rPr>
          <w:rFonts w:ascii="宋体" w:hAnsi="宋体"/>
          <w:bCs/>
          <w:szCs w:val="21"/>
        </w:rPr>
        <w:t>5</w:t>
      </w:r>
      <w:r>
        <w:rPr>
          <w:rFonts w:ascii="宋体" w:hAnsi="宋体" w:hint="eastAsia"/>
          <w:bCs/>
          <w:szCs w:val="21"/>
        </w:rPr>
        <w:t>ˊ</w:t>
      </w:r>
      <w:r>
        <w:rPr>
          <w:rFonts w:ascii="宋体" w:hAnsi="宋体"/>
          <w:bCs/>
          <w:szCs w:val="21"/>
        </w:rPr>
        <w:t>-P</w:t>
      </w:r>
      <w:r>
        <w:rPr>
          <w:rFonts w:ascii="宋体" w:hAnsi="宋体" w:hint="eastAsia"/>
          <w:bCs/>
          <w:szCs w:val="21"/>
        </w:rPr>
        <w:t>合成</w:t>
      </w:r>
      <w:r>
        <w:rPr>
          <w:rFonts w:ascii="宋体" w:hAnsi="宋体"/>
          <w:bCs/>
          <w:szCs w:val="21"/>
        </w:rPr>
        <w:t>DNA</w:t>
      </w:r>
      <w:r>
        <w:rPr>
          <w:rFonts w:ascii="宋体" w:hAnsi="宋体" w:hint="eastAsia"/>
          <w:bCs/>
          <w:szCs w:val="21"/>
        </w:rPr>
        <w:t>链</w:t>
      </w:r>
      <w:r>
        <w:rPr>
          <w:rFonts w:ascii="宋体" w:hAnsi="宋体"/>
          <w:bCs/>
          <w:szCs w:val="21"/>
        </w:rPr>
        <w:t xml:space="preserve">         D.</w:t>
      </w:r>
      <w:r>
        <w:rPr>
          <w:rFonts w:ascii="宋体" w:hAnsi="宋体" w:hint="eastAsia"/>
          <w:bCs/>
          <w:szCs w:val="21"/>
        </w:rPr>
        <w:t>提供</w:t>
      </w:r>
      <w:r>
        <w:rPr>
          <w:rFonts w:ascii="宋体" w:hAnsi="宋体"/>
          <w:bCs/>
          <w:szCs w:val="21"/>
        </w:rPr>
        <w:t>5</w:t>
      </w:r>
      <w:r>
        <w:rPr>
          <w:rFonts w:ascii="宋体" w:hAnsi="宋体" w:hint="eastAsia"/>
          <w:bCs/>
          <w:szCs w:val="21"/>
        </w:rPr>
        <w:t>ˊ</w:t>
      </w:r>
      <w:r>
        <w:rPr>
          <w:rFonts w:ascii="宋体" w:hAnsi="宋体"/>
          <w:bCs/>
          <w:szCs w:val="21"/>
        </w:rPr>
        <w:t>-P</w:t>
      </w:r>
      <w:r>
        <w:rPr>
          <w:rFonts w:ascii="宋体" w:hAnsi="宋体" w:hint="eastAsia"/>
          <w:bCs/>
          <w:szCs w:val="21"/>
        </w:rPr>
        <w:t>合成</w:t>
      </w:r>
      <w:r>
        <w:rPr>
          <w:rFonts w:ascii="宋体" w:hAnsi="宋体"/>
          <w:bCs/>
          <w:szCs w:val="21"/>
        </w:rPr>
        <w:t>RNA</w:t>
      </w:r>
      <w:r>
        <w:rPr>
          <w:rFonts w:ascii="宋体" w:hAnsi="宋体" w:hint="eastAsia"/>
          <w:bCs/>
          <w:szCs w:val="21"/>
        </w:rPr>
        <w:t>链</w:t>
      </w:r>
    </w:p>
    <w:p w:rsidR="003717A0" w:rsidRDefault="003717A0">
      <w:pPr>
        <w:spacing w:line="320" w:lineRule="exact"/>
        <w:rPr>
          <w:rFonts w:ascii="宋体"/>
          <w:bCs/>
          <w:szCs w:val="21"/>
        </w:rPr>
      </w:pPr>
      <w:r>
        <w:rPr>
          <w:rFonts w:ascii="宋体" w:hAnsi="宋体"/>
          <w:bCs/>
          <w:szCs w:val="21"/>
        </w:rPr>
        <w:t>E.</w:t>
      </w:r>
      <w:r>
        <w:rPr>
          <w:rFonts w:ascii="宋体" w:hAnsi="宋体" w:hint="eastAsia"/>
          <w:bCs/>
          <w:szCs w:val="21"/>
        </w:rPr>
        <w:t>提供</w:t>
      </w:r>
      <w:r>
        <w:rPr>
          <w:rFonts w:ascii="宋体" w:hAnsi="宋体"/>
          <w:bCs/>
          <w:szCs w:val="21"/>
        </w:rPr>
        <w:t>3</w:t>
      </w:r>
      <w:r>
        <w:rPr>
          <w:rFonts w:ascii="宋体" w:hAnsi="宋体" w:hint="eastAsia"/>
          <w:bCs/>
          <w:szCs w:val="21"/>
        </w:rPr>
        <w:t>ˊ</w:t>
      </w:r>
      <w:r>
        <w:rPr>
          <w:rFonts w:ascii="宋体" w:hAnsi="宋体"/>
          <w:bCs/>
          <w:szCs w:val="21"/>
        </w:rPr>
        <w:t>-OH</w:t>
      </w:r>
      <w:r>
        <w:rPr>
          <w:rFonts w:ascii="宋体" w:hAnsi="宋体" w:hint="eastAsia"/>
          <w:bCs/>
          <w:szCs w:val="21"/>
        </w:rPr>
        <w:t>合成</w:t>
      </w:r>
      <w:r>
        <w:rPr>
          <w:rFonts w:ascii="宋体" w:hAnsi="宋体"/>
          <w:bCs/>
          <w:szCs w:val="21"/>
        </w:rPr>
        <w:t>RNA</w:t>
      </w:r>
      <w:r>
        <w:rPr>
          <w:rFonts w:ascii="宋体" w:hAnsi="宋体" w:hint="eastAsia"/>
          <w:bCs/>
          <w:szCs w:val="21"/>
        </w:rPr>
        <w:t>链</w:t>
      </w:r>
    </w:p>
    <w:p w:rsidR="003717A0" w:rsidRDefault="003717A0">
      <w:pPr>
        <w:spacing w:line="320" w:lineRule="exact"/>
        <w:rPr>
          <w:rFonts w:ascii="宋体"/>
          <w:bCs/>
          <w:szCs w:val="21"/>
        </w:rPr>
      </w:pPr>
      <w:r>
        <w:rPr>
          <w:rFonts w:ascii="宋体" w:hAnsi="宋体"/>
          <w:bCs/>
          <w:szCs w:val="21"/>
        </w:rPr>
        <w:t xml:space="preserve">19.tRNA </w:t>
      </w:r>
      <w:r>
        <w:rPr>
          <w:rFonts w:ascii="宋体" w:hAnsi="宋体" w:hint="eastAsia"/>
          <w:bCs/>
          <w:szCs w:val="21"/>
        </w:rPr>
        <w:t>的二级结构是：（</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w:t>
      </w:r>
      <w:r>
        <w:rPr>
          <w:rFonts w:ascii="宋体" w:hAnsi="宋体" w:hint="eastAsia"/>
          <w:bCs/>
          <w:szCs w:val="21"/>
        </w:rPr>
        <w:t>双螺旋</w:t>
      </w:r>
      <w:r>
        <w:rPr>
          <w:rFonts w:ascii="宋体" w:hAnsi="宋体"/>
          <w:bCs/>
          <w:szCs w:val="21"/>
        </w:rPr>
        <w:t xml:space="preserve">    B.</w:t>
      </w:r>
      <w:r>
        <w:rPr>
          <w:rFonts w:ascii="宋体" w:hAnsi="宋体" w:hint="eastAsia"/>
          <w:bCs/>
          <w:szCs w:val="21"/>
        </w:rPr>
        <w:t>超螺旋</w:t>
      </w:r>
      <w:r>
        <w:rPr>
          <w:rFonts w:ascii="宋体" w:hAnsi="宋体"/>
          <w:bCs/>
          <w:szCs w:val="21"/>
        </w:rPr>
        <w:t xml:space="preserve">    C.</w:t>
      </w:r>
      <w:r>
        <w:rPr>
          <w:rFonts w:ascii="宋体" w:hAnsi="宋体" w:hint="eastAsia"/>
          <w:bCs/>
          <w:szCs w:val="21"/>
        </w:rPr>
        <w:t>线型</w:t>
      </w:r>
      <w:r>
        <w:rPr>
          <w:rFonts w:ascii="宋体" w:hAnsi="宋体"/>
          <w:bCs/>
          <w:szCs w:val="21"/>
        </w:rPr>
        <w:t xml:space="preserve">    D.</w:t>
      </w:r>
      <w:r>
        <w:rPr>
          <w:rFonts w:ascii="宋体" w:hAnsi="宋体" w:hint="eastAsia"/>
          <w:bCs/>
          <w:szCs w:val="21"/>
        </w:rPr>
        <w:t>三叶草型</w:t>
      </w:r>
      <w:r>
        <w:rPr>
          <w:rFonts w:ascii="宋体" w:hAnsi="宋体"/>
          <w:bCs/>
          <w:szCs w:val="21"/>
        </w:rPr>
        <w:t xml:space="preserve">    E.</w:t>
      </w:r>
      <w:r>
        <w:rPr>
          <w:rFonts w:ascii="宋体" w:hAnsi="宋体" w:hint="eastAsia"/>
          <w:bCs/>
          <w:szCs w:val="21"/>
        </w:rPr>
        <w:t>倒“</w:t>
      </w:r>
      <w:r>
        <w:rPr>
          <w:rFonts w:ascii="宋体" w:hAnsi="宋体"/>
          <w:bCs/>
          <w:szCs w:val="21"/>
        </w:rPr>
        <w:t>L</w:t>
      </w:r>
      <w:r>
        <w:rPr>
          <w:rFonts w:ascii="宋体" w:hAnsi="宋体" w:hint="eastAsia"/>
          <w:bCs/>
          <w:szCs w:val="21"/>
        </w:rPr>
        <w:t>”型</w:t>
      </w:r>
    </w:p>
    <w:p w:rsidR="003717A0" w:rsidRDefault="003717A0">
      <w:pPr>
        <w:spacing w:line="320" w:lineRule="exact"/>
        <w:rPr>
          <w:rFonts w:ascii="宋体"/>
          <w:bCs/>
          <w:szCs w:val="21"/>
        </w:rPr>
      </w:pPr>
      <w:r>
        <w:rPr>
          <w:rFonts w:ascii="宋体" w:hAnsi="宋体"/>
          <w:bCs/>
          <w:szCs w:val="21"/>
        </w:rPr>
        <w:t>20.tRNA</w:t>
      </w:r>
      <w:r>
        <w:rPr>
          <w:rFonts w:ascii="宋体" w:hAnsi="宋体" w:hint="eastAsia"/>
          <w:bCs/>
          <w:szCs w:val="21"/>
        </w:rPr>
        <w:t>和</w:t>
      </w:r>
      <w:r>
        <w:rPr>
          <w:rFonts w:ascii="宋体" w:hAnsi="宋体"/>
          <w:bCs/>
          <w:szCs w:val="21"/>
        </w:rPr>
        <w:t>5s rRNA</w:t>
      </w:r>
      <w:r>
        <w:rPr>
          <w:rFonts w:ascii="宋体" w:hAnsi="宋体" w:hint="eastAsia"/>
          <w:bCs/>
          <w:szCs w:val="21"/>
        </w:rPr>
        <w:t>是由真核生物哪种酶催化转录产生的？（</w:t>
      </w:r>
      <w:r>
        <w:rPr>
          <w:rFonts w:ascii="宋体" w:hAnsi="宋体"/>
          <w:bCs/>
          <w:szCs w:val="21"/>
        </w:rPr>
        <w:t xml:space="preserve">    </w:t>
      </w:r>
      <w:r>
        <w:rPr>
          <w:rFonts w:ascii="宋体" w:hAnsi="宋体" w:hint="eastAsia"/>
          <w:bCs/>
          <w:szCs w:val="21"/>
        </w:rPr>
        <w:t>）</w:t>
      </w:r>
    </w:p>
    <w:p w:rsidR="003717A0" w:rsidRDefault="003717A0">
      <w:pPr>
        <w:spacing w:line="320" w:lineRule="exact"/>
        <w:rPr>
          <w:rFonts w:ascii="宋体"/>
          <w:bCs/>
          <w:szCs w:val="21"/>
        </w:rPr>
      </w:pPr>
      <w:r>
        <w:rPr>
          <w:rFonts w:ascii="宋体" w:hAnsi="宋体"/>
          <w:bCs/>
          <w:szCs w:val="21"/>
        </w:rPr>
        <w:t>A.RNA</w:t>
      </w:r>
      <w:r>
        <w:rPr>
          <w:rFonts w:ascii="宋体" w:hAnsi="宋体" w:hint="eastAsia"/>
          <w:bCs/>
          <w:szCs w:val="21"/>
        </w:rPr>
        <w:t>聚合酶Ⅰ</w:t>
      </w:r>
      <w:r>
        <w:rPr>
          <w:rFonts w:ascii="宋体" w:hAnsi="宋体"/>
          <w:bCs/>
          <w:szCs w:val="21"/>
        </w:rPr>
        <w:t xml:space="preserve">  B.RNA</w:t>
      </w:r>
      <w:r>
        <w:rPr>
          <w:rFonts w:ascii="宋体" w:hAnsi="宋体" w:hint="eastAsia"/>
          <w:bCs/>
          <w:szCs w:val="21"/>
        </w:rPr>
        <w:t>聚合酶Ⅱ</w:t>
      </w:r>
      <w:r>
        <w:rPr>
          <w:rFonts w:ascii="宋体" w:hAnsi="宋体"/>
          <w:bCs/>
          <w:szCs w:val="21"/>
        </w:rPr>
        <w:t xml:space="preserve">   C.RNA</w:t>
      </w:r>
      <w:r>
        <w:rPr>
          <w:rFonts w:ascii="宋体" w:hAnsi="宋体" w:hint="eastAsia"/>
          <w:bCs/>
          <w:szCs w:val="21"/>
        </w:rPr>
        <w:t>聚合酶Ⅲ</w:t>
      </w:r>
      <w:r>
        <w:rPr>
          <w:rFonts w:ascii="宋体" w:hAnsi="宋体"/>
          <w:bCs/>
          <w:szCs w:val="21"/>
        </w:rPr>
        <w:t xml:space="preserve">  D.RNA</w:t>
      </w:r>
      <w:r>
        <w:rPr>
          <w:rFonts w:ascii="宋体" w:hAnsi="宋体" w:hint="eastAsia"/>
          <w:bCs/>
          <w:szCs w:val="21"/>
        </w:rPr>
        <w:t>聚合酶核心酶</w:t>
      </w:r>
      <w:r>
        <w:rPr>
          <w:rFonts w:ascii="宋体" w:hAnsi="宋体"/>
          <w:bCs/>
          <w:szCs w:val="21"/>
        </w:rPr>
        <w:t xml:space="preserve">  E.</w:t>
      </w:r>
      <w:r>
        <w:rPr>
          <w:rFonts w:ascii="宋体" w:hAnsi="宋体" w:hint="eastAsia"/>
          <w:bCs/>
          <w:szCs w:val="21"/>
        </w:rPr>
        <w:t>逆转录酶</w:t>
      </w:r>
    </w:p>
    <w:p w:rsidR="003717A0" w:rsidRDefault="003717A0">
      <w:pPr>
        <w:spacing w:line="320" w:lineRule="exact"/>
        <w:rPr>
          <w:rFonts w:ascii="宋体"/>
          <w:b/>
          <w:szCs w:val="21"/>
        </w:rPr>
      </w:pPr>
      <w:r>
        <w:rPr>
          <w:rFonts w:ascii="宋体" w:hAnsi="宋体" w:hint="eastAsia"/>
          <w:b/>
          <w:szCs w:val="21"/>
        </w:rPr>
        <w:t>三、填空题：（每空</w:t>
      </w:r>
      <w:r>
        <w:rPr>
          <w:rFonts w:ascii="宋体" w:hAnsi="宋体"/>
          <w:b/>
          <w:szCs w:val="21"/>
        </w:rPr>
        <w:t>0.5</w:t>
      </w:r>
      <w:r>
        <w:rPr>
          <w:rFonts w:ascii="宋体" w:hAnsi="宋体" w:hint="eastAsia"/>
          <w:b/>
          <w:szCs w:val="21"/>
        </w:rPr>
        <w:t>分，共</w:t>
      </w:r>
      <w:r>
        <w:rPr>
          <w:rFonts w:ascii="宋体" w:hAnsi="宋体"/>
          <w:b/>
          <w:szCs w:val="21"/>
        </w:rPr>
        <w:t>10</w:t>
      </w:r>
      <w:r>
        <w:rPr>
          <w:rFonts w:ascii="宋体" w:hAnsi="宋体" w:hint="eastAsia"/>
          <w:b/>
          <w:szCs w:val="21"/>
        </w:rPr>
        <w:t>分）</w:t>
      </w:r>
    </w:p>
    <w:p w:rsidR="003717A0" w:rsidRDefault="003717A0">
      <w:pPr>
        <w:spacing w:line="360" w:lineRule="auto"/>
        <w:rPr>
          <w:rFonts w:ascii="宋体"/>
          <w:szCs w:val="21"/>
        </w:rPr>
      </w:pPr>
      <w:r>
        <w:rPr>
          <w:rFonts w:ascii="宋体" w:hAnsi="宋体"/>
          <w:szCs w:val="21"/>
        </w:rPr>
        <w:t>1.</w:t>
      </w:r>
      <w:r>
        <w:rPr>
          <w:rFonts w:ascii="宋体" w:hAnsi="宋体" w:hint="eastAsia"/>
          <w:szCs w:val="21"/>
        </w:rPr>
        <w:t>胆固醇酯化是胆固醇吸收转运的重要步骤，在细胞中由</w:t>
      </w:r>
      <w:r>
        <w:rPr>
          <w:rFonts w:ascii="宋体" w:hAnsi="宋体"/>
          <w:szCs w:val="21"/>
        </w:rPr>
        <w:t>___________</w:t>
      </w:r>
      <w:r>
        <w:rPr>
          <w:rFonts w:ascii="宋体" w:hAnsi="宋体" w:hint="eastAsia"/>
          <w:szCs w:val="21"/>
        </w:rPr>
        <w:t>催化游离胆固醇的酯化，在血浆中由</w:t>
      </w:r>
      <w:r>
        <w:rPr>
          <w:rFonts w:ascii="宋体" w:hAnsi="宋体"/>
          <w:szCs w:val="21"/>
        </w:rPr>
        <w:t>______________</w:t>
      </w:r>
      <w:r>
        <w:rPr>
          <w:rFonts w:ascii="宋体" w:hAnsi="宋体" w:hint="eastAsia"/>
          <w:szCs w:val="21"/>
        </w:rPr>
        <w:t>催化胆固醇的酯化。</w:t>
      </w:r>
    </w:p>
    <w:p w:rsidR="003717A0" w:rsidRDefault="003717A0">
      <w:pPr>
        <w:spacing w:line="360" w:lineRule="auto"/>
        <w:ind w:right="50"/>
        <w:rPr>
          <w:rFonts w:ascii="宋体"/>
          <w:bCs/>
          <w:i/>
          <w:iCs/>
          <w:szCs w:val="21"/>
          <w:u w:val="single"/>
        </w:rPr>
      </w:pPr>
      <w:r>
        <w:rPr>
          <w:rFonts w:ascii="宋体" w:hAnsi="宋体"/>
          <w:szCs w:val="21"/>
        </w:rPr>
        <w:t xml:space="preserve"> 2. </w:t>
      </w:r>
      <w:r>
        <w:rPr>
          <w:rFonts w:ascii="宋体" w:hAnsi="宋体" w:hint="eastAsia"/>
          <w:bCs/>
          <w:szCs w:val="21"/>
        </w:rPr>
        <w:t>原核生物复制延长中真正起催化作用的酶是</w:t>
      </w:r>
      <w:r>
        <w:rPr>
          <w:rFonts w:ascii="宋体" w:hAnsi="宋体"/>
          <w:bCs/>
          <w:szCs w:val="21"/>
          <w:u w:val="single"/>
        </w:rPr>
        <w:t xml:space="preserve">            </w:t>
      </w:r>
      <w:r>
        <w:rPr>
          <w:rFonts w:ascii="宋体" w:hAnsi="宋体" w:hint="eastAsia"/>
          <w:bCs/>
          <w:szCs w:val="21"/>
        </w:rPr>
        <w:t>。</w:t>
      </w:r>
    </w:p>
    <w:p w:rsidR="003717A0" w:rsidRDefault="003717A0">
      <w:pPr>
        <w:spacing w:line="360" w:lineRule="auto"/>
        <w:rPr>
          <w:rFonts w:ascii="宋体"/>
          <w:szCs w:val="21"/>
        </w:rPr>
      </w:pPr>
      <w:r>
        <w:rPr>
          <w:rFonts w:ascii="宋体" w:hAnsi="宋体"/>
          <w:szCs w:val="21"/>
        </w:rPr>
        <w:t xml:space="preserve">3. </w:t>
      </w:r>
      <w:r>
        <w:rPr>
          <w:rFonts w:ascii="宋体" w:hAnsi="宋体" w:hint="eastAsia"/>
          <w:szCs w:val="21"/>
        </w:rPr>
        <w:t>核酸的基本组成单位是</w:t>
      </w:r>
      <w:r>
        <w:rPr>
          <w:rFonts w:ascii="宋体" w:hAnsi="宋体"/>
          <w:szCs w:val="21"/>
          <w:u w:val="single"/>
        </w:rPr>
        <w:t xml:space="preserve">       </w:t>
      </w:r>
      <w:r>
        <w:rPr>
          <w:rFonts w:ascii="宋体" w:hAnsi="宋体" w:hint="eastAsia"/>
          <w:szCs w:val="21"/>
        </w:rPr>
        <w:t>，它是由</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szCs w:val="21"/>
        </w:rPr>
        <w:t xml:space="preserve"> </w:t>
      </w:r>
      <w:r>
        <w:rPr>
          <w:rFonts w:ascii="宋体" w:hAnsi="宋体" w:hint="eastAsia"/>
          <w:szCs w:val="21"/>
        </w:rPr>
        <w:t>三种成分连接而成。</w:t>
      </w:r>
    </w:p>
    <w:p w:rsidR="003717A0" w:rsidRDefault="003717A0">
      <w:pPr>
        <w:spacing w:line="360" w:lineRule="auto"/>
        <w:rPr>
          <w:rFonts w:ascii="宋体"/>
          <w:szCs w:val="21"/>
        </w:rPr>
      </w:pPr>
      <w:r>
        <w:rPr>
          <w:rFonts w:ascii="宋体" w:hAnsi="宋体"/>
          <w:szCs w:val="21"/>
        </w:rPr>
        <w:t>4. DNA</w:t>
      </w:r>
      <w:r>
        <w:rPr>
          <w:rFonts w:ascii="宋体" w:hAnsi="宋体" w:hint="eastAsia"/>
          <w:szCs w:val="21"/>
        </w:rPr>
        <w:t>双螺旋结构稳定的维系因素是：横向</w:t>
      </w:r>
      <w:r>
        <w:rPr>
          <w:rFonts w:ascii="宋体" w:hAnsi="宋体"/>
          <w:szCs w:val="21"/>
          <w:u w:val="single"/>
        </w:rPr>
        <w:t xml:space="preserve">            </w:t>
      </w:r>
      <w:r>
        <w:rPr>
          <w:rFonts w:ascii="宋体" w:hAnsi="宋体" w:hint="eastAsia"/>
          <w:szCs w:val="21"/>
        </w:rPr>
        <w:t>，纵向</w:t>
      </w:r>
      <w:r>
        <w:rPr>
          <w:rFonts w:ascii="宋体" w:hAnsi="宋体"/>
          <w:szCs w:val="21"/>
          <w:u w:val="single"/>
        </w:rPr>
        <w:t xml:space="preserve">                </w:t>
      </w:r>
      <w:r>
        <w:rPr>
          <w:rFonts w:ascii="宋体" w:hAnsi="宋体"/>
          <w:szCs w:val="21"/>
        </w:rPr>
        <w:t xml:space="preserve"> </w:t>
      </w:r>
      <w:r>
        <w:rPr>
          <w:rFonts w:ascii="宋体" w:hAnsi="宋体" w:hint="eastAsia"/>
          <w:szCs w:val="21"/>
        </w:rPr>
        <w:t>。</w:t>
      </w:r>
    </w:p>
    <w:p w:rsidR="003717A0" w:rsidRDefault="003717A0">
      <w:pPr>
        <w:spacing w:line="360" w:lineRule="auto"/>
        <w:ind w:right="50"/>
        <w:rPr>
          <w:rFonts w:ascii="宋体"/>
          <w:szCs w:val="21"/>
        </w:rPr>
      </w:pPr>
      <w:r>
        <w:rPr>
          <w:rFonts w:ascii="宋体" w:hAnsi="宋体"/>
          <w:szCs w:val="21"/>
        </w:rPr>
        <w:t xml:space="preserve">5.  </w:t>
      </w:r>
      <w:r>
        <w:rPr>
          <w:rFonts w:ascii="宋体" w:hAnsi="宋体" w:hint="eastAsia"/>
          <w:szCs w:val="21"/>
        </w:rPr>
        <w:t>翻译的终止密码子有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360" w:lineRule="auto"/>
        <w:ind w:left="420" w:hangingChars="200" w:hanging="420"/>
        <w:rPr>
          <w:rFonts w:ascii="宋体"/>
          <w:szCs w:val="21"/>
        </w:rPr>
      </w:pPr>
      <w:r>
        <w:rPr>
          <w:rFonts w:ascii="宋体" w:hAnsi="宋体"/>
          <w:szCs w:val="21"/>
        </w:rPr>
        <w:t xml:space="preserve">6. </w:t>
      </w:r>
      <w:r>
        <w:rPr>
          <w:rFonts w:ascii="宋体" w:hAnsi="宋体" w:hint="eastAsia"/>
          <w:szCs w:val="21"/>
        </w:rPr>
        <w:t>蛋白质亲水胶体稳定的两个因素是</w:t>
      </w:r>
      <w:r>
        <w:rPr>
          <w:rFonts w:ascii="宋体" w:hAnsi="宋体"/>
          <w:szCs w:val="21"/>
        </w:rPr>
        <w:t xml:space="preserve"> </w:t>
      </w:r>
      <w:r>
        <w:rPr>
          <w:rFonts w:ascii="宋体" w:hAnsi="宋体"/>
          <w:szCs w:val="21"/>
          <w:u w:val="single"/>
        </w:rPr>
        <w:t xml:space="preserve">                  </w:t>
      </w:r>
      <w:r>
        <w:rPr>
          <w:rFonts w:ascii="宋体" w:hAnsi="宋体" w:hint="eastAsia"/>
          <w:szCs w:val="21"/>
        </w:rPr>
        <w:t>和</w:t>
      </w:r>
      <w:r>
        <w:rPr>
          <w:rFonts w:ascii="宋体" w:hAnsi="宋体"/>
          <w:szCs w:val="21"/>
        </w:rPr>
        <w:t xml:space="preserve"> </w:t>
      </w:r>
      <w:r>
        <w:rPr>
          <w:rFonts w:ascii="宋体" w:hAnsi="宋体"/>
          <w:szCs w:val="21"/>
          <w:u w:val="single"/>
        </w:rPr>
        <w:t xml:space="preserve">             </w:t>
      </w:r>
      <w:r>
        <w:rPr>
          <w:rFonts w:ascii="宋体" w:hAnsi="宋体"/>
          <w:szCs w:val="21"/>
        </w:rPr>
        <w:t xml:space="preserve"> </w:t>
      </w:r>
      <w:r>
        <w:rPr>
          <w:rFonts w:ascii="宋体" w:hAnsi="宋体" w:hint="eastAsia"/>
          <w:szCs w:val="21"/>
        </w:rPr>
        <w:t>。</w:t>
      </w:r>
    </w:p>
    <w:p w:rsidR="003717A0" w:rsidRDefault="003717A0">
      <w:pPr>
        <w:spacing w:line="360" w:lineRule="auto"/>
        <w:rPr>
          <w:rFonts w:ascii="宋体"/>
          <w:szCs w:val="21"/>
        </w:rPr>
      </w:pPr>
      <w:r>
        <w:rPr>
          <w:rFonts w:ascii="宋体" w:hAnsi="宋体"/>
          <w:szCs w:val="21"/>
        </w:rPr>
        <w:t xml:space="preserve">7. </w:t>
      </w:r>
      <w:r>
        <w:rPr>
          <w:rFonts w:ascii="宋体" w:hAnsi="宋体" w:hint="eastAsia"/>
          <w:szCs w:val="21"/>
        </w:rPr>
        <w:t>线粒体外</w:t>
      </w:r>
      <w:r>
        <w:rPr>
          <w:rFonts w:ascii="宋体" w:hAnsi="宋体"/>
          <w:szCs w:val="21"/>
        </w:rPr>
        <w:t>NADH</w:t>
      </w:r>
      <w:r>
        <w:rPr>
          <w:rFonts w:ascii="宋体" w:hAnsi="宋体" w:hint="eastAsia"/>
          <w:szCs w:val="21"/>
        </w:rPr>
        <w:t>的转运靠</w:t>
      </w:r>
      <w:r>
        <w:rPr>
          <w:rFonts w:ascii="宋体" w:hAnsi="宋体"/>
          <w:szCs w:val="21"/>
        </w:rPr>
        <w:t xml:space="preserve"> </w:t>
      </w:r>
      <w:r>
        <w:rPr>
          <w:rFonts w:ascii="宋体" w:hAnsi="宋体"/>
          <w:szCs w:val="21"/>
          <w:u w:val="single"/>
        </w:rPr>
        <w:t xml:space="preserve">            </w:t>
      </w:r>
      <w:r>
        <w:rPr>
          <w:rFonts w:ascii="宋体" w:hAnsi="宋体"/>
          <w:szCs w:val="21"/>
        </w:rPr>
        <w:t xml:space="preserve">   </w:t>
      </w:r>
      <w:r>
        <w:rPr>
          <w:rFonts w:ascii="宋体" w:hAnsi="宋体" w:hint="eastAsia"/>
          <w:szCs w:val="21"/>
        </w:rPr>
        <w:t>穿梭作用和</w:t>
      </w:r>
      <w:r>
        <w:rPr>
          <w:rFonts w:ascii="宋体" w:hAnsi="宋体"/>
          <w:szCs w:val="21"/>
        </w:rPr>
        <w:t xml:space="preserve"> </w:t>
      </w:r>
      <w:r>
        <w:rPr>
          <w:rFonts w:ascii="宋体" w:hAnsi="宋体"/>
          <w:szCs w:val="21"/>
          <w:u w:val="single"/>
        </w:rPr>
        <w:t xml:space="preserve">                 </w:t>
      </w:r>
      <w:r>
        <w:rPr>
          <w:rFonts w:ascii="宋体" w:hAnsi="宋体"/>
          <w:szCs w:val="21"/>
        </w:rPr>
        <w:t xml:space="preserve"> </w:t>
      </w:r>
      <w:r>
        <w:rPr>
          <w:rFonts w:ascii="宋体" w:hAnsi="宋体" w:hint="eastAsia"/>
          <w:szCs w:val="21"/>
        </w:rPr>
        <w:t>穿梭作用。</w:t>
      </w:r>
    </w:p>
    <w:p w:rsidR="003717A0" w:rsidRDefault="003717A0">
      <w:pPr>
        <w:spacing w:line="360" w:lineRule="auto"/>
        <w:ind w:right="50"/>
        <w:rPr>
          <w:rFonts w:ascii="宋体"/>
          <w:szCs w:val="21"/>
        </w:rPr>
      </w:pPr>
      <w:r>
        <w:rPr>
          <w:rFonts w:ascii="宋体" w:hAnsi="宋体"/>
          <w:szCs w:val="21"/>
        </w:rPr>
        <w:t>8. tRNA</w:t>
      </w:r>
      <w:r>
        <w:rPr>
          <w:rFonts w:ascii="宋体" w:hAnsi="宋体" w:hint="eastAsia"/>
          <w:szCs w:val="21"/>
        </w:rPr>
        <w:t>均具有</w:t>
      </w:r>
      <w:r>
        <w:rPr>
          <w:rFonts w:ascii="宋体" w:hAnsi="宋体"/>
          <w:szCs w:val="21"/>
          <w:u w:val="single"/>
        </w:rPr>
        <w:t xml:space="preserve">           </w:t>
      </w:r>
      <w:r>
        <w:rPr>
          <w:rFonts w:ascii="宋体" w:hAnsi="宋体" w:hint="eastAsia"/>
          <w:szCs w:val="21"/>
        </w:rPr>
        <w:t>二级结构和</w:t>
      </w:r>
      <w:r>
        <w:rPr>
          <w:rFonts w:ascii="宋体" w:hAnsi="宋体"/>
          <w:szCs w:val="21"/>
          <w:u w:val="single"/>
        </w:rPr>
        <w:t xml:space="preserve">            </w:t>
      </w:r>
      <w:r>
        <w:rPr>
          <w:rFonts w:ascii="宋体" w:hAnsi="宋体" w:hint="eastAsia"/>
          <w:szCs w:val="21"/>
        </w:rPr>
        <w:t>的共同三级结构。</w:t>
      </w:r>
    </w:p>
    <w:p w:rsidR="003717A0" w:rsidRDefault="003717A0">
      <w:pPr>
        <w:spacing w:line="360" w:lineRule="auto"/>
        <w:rPr>
          <w:rFonts w:ascii="宋体"/>
          <w:szCs w:val="21"/>
        </w:rPr>
      </w:pPr>
      <w:r>
        <w:rPr>
          <w:rFonts w:ascii="宋体" w:hAnsi="宋体"/>
          <w:szCs w:val="21"/>
        </w:rPr>
        <w:t>9.</w:t>
      </w:r>
      <w:r>
        <w:rPr>
          <w:rFonts w:ascii="宋体" w:hAnsi="宋体" w:hint="eastAsia"/>
          <w:szCs w:val="21"/>
        </w:rPr>
        <w:t>肝、肾组织中氨基酸脱氨基的主要方式是</w:t>
      </w:r>
      <w:r>
        <w:rPr>
          <w:rFonts w:ascii="宋体" w:hAnsi="宋体"/>
          <w:szCs w:val="21"/>
          <w:u w:val="single"/>
        </w:rPr>
        <w:t xml:space="preserve">            </w:t>
      </w:r>
      <w:r>
        <w:rPr>
          <w:rFonts w:ascii="宋体" w:hAnsi="宋体" w:hint="eastAsia"/>
          <w:szCs w:val="21"/>
        </w:rPr>
        <w:t>，肌肉组织中氨基酸脱氨基作用的主要方式是</w:t>
      </w:r>
      <w:r>
        <w:rPr>
          <w:rFonts w:ascii="宋体" w:hAnsi="宋体"/>
          <w:szCs w:val="21"/>
          <w:u w:val="single"/>
        </w:rPr>
        <w:t xml:space="preserve">              </w:t>
      </w:r>
      <w:r>
        <w:rPr>
          <w:rFonts w:ascii="宋体" w:hAnsi="宋体" w:hint="eastAsia"/>
          <w:szCs w:val="21"/>
        </w:rPr>
        <w:t>循环</w:t>
      </w:r>
    </w:p>
    <w:p w:rsidR="003717A0" w:rsidRDefault="003717A0">
      <w:pPr>
        <w:spacing w:line="320" w:lineRule="exact"/>
        <w:rPr>
          <w:rFonts w:ascii="宋体"/>
          <w:b/>
          <w:szCs w:val="21"/>
        </w:rPr>
      </w:pPr>
      <w:r>
        <w:rPr>
          <w:rFonts w:ascii="宋体" w:hAnsi="宋体" w:hint="eastAsia"/>
          <w:b/>
          <w:szCs w:val="21"/>
        </w:rPr>
        <w:t>四、简答题：（每小题</w:t>
      </w:r>
      <w:r>
        <w:rPr>
          <w:rFonts w:ascii="宋体" w:hAnsi="宋体"/>
          <w:b/>
          <w:szCs w:val="21"/>
        </w:rPr>
        <w:t>8</w:t>
      </w:r>
      <w:r>
        <w:rPr>
          <w:rFonts w:ascii="宋体" w:hAnsi="宋体" w:hint="eastAsia"/>
          <w:b/>
          <w:szCs w:val="21"/>
        </w:rPr>
        <w:t>分，共</w:t>
      </w:r>
      <w:r>
        <w:rPr>
          <w:rFonts w:ascii="宋体" w:hAnsi="宋体"/>
          <w:b/>
          <w:szCs w:val="21"/>
        </w:rPr>
        <w:t>40</w:t>
      </w:r>
      <w:r>
        <w:rPr>
          <w:rFonts w:ascii="宋体" w:hAnsi="宋体" w:hint="eastAsia"/>
          <w:b/>
          <w:szCs w:val="21"/>
        </w:rPr>
        <w:t>分）：</w:t>
      </w:r>
    </w:p>
    <w:p w:rsidR="003717A0" w:rsidRDefault="003717A0">
      <w:pPr>
        <w:spacing w:line="320" w:lineRule="exact"/>
        <w:rPr>
          <w:rFonts w:ascii="宋体"/>
          <w:bCs/>
          <w:szCs w:val="21"/>
        </w:rPr>
      </w:pPr>
      <w:r>
        <w:rPr>
          <w:rFonts w:ascii="宋体" w:hAnsi="宋体"/>
          <w:bCs/>
          <w:szCs w:val="21"/>
        </w:rPr>
        <w:t xml:space="preserve">1. </w:t>
      </w:r>
      <w:r>
        <w:rPr>
          <w:rFonts w:ascii="宋体" w:hAnsi="宋体" w:hint="eastAsia"/>
          <w:bCs/>
          <w:szCs w:val="21"/>
        </w:rPr>
        <w:t>简述蛋白质合成过程中需要哪些物质，它们的作用是什么？</w:t>
      </w:r>
    </w:p>
    <w:p w:rsidR="003717A0" w:rsidRDefault="003717A0">
      <w:pPr>
        <w:spacing w:line="320" w:lineRule="exact"/>
        <w:rPr>
          <w:rFonts w:ascii="宋体"/>
          <w:bCs/>
          <w:szCs w:val="21"/>
        </w:rPr>
      </w:pPr>
      <w:r>
        <w:rPr>
          <w:rFonts w:ascii="宋体" w:hAnsi="宋体"/>
          <w:bCs/>
          <w:szCs w:val="21"/>
        </w:rPr>
        <w:t xml:space="preserve">2. </w:t>
      </w:r>
      <w:r>
        <w:rPr>
          <w:rFonts w:ascii="宋体" w:hAnsi="宋体" w:hint="eastAsia"/>
          <w:bCs/>
          <w:szCs w:val="21"/>
        </w:rPr>
        <w:t>什么是血浆脂蛋白？按照超速离心法可将其分成哪几类？它们的主要作用分别是什么？</w:t>
      </w:r>
    </w:p>
    <w:p w:rsidR="003717A0" w:rsidRDefault="003717A0">
      <w:pPr>
        <w:spacing w:line="320" w:lineRule="exact"/>
        <w:rPr>
          <w:rFonts w:ascii="宋体"/>
          <w:bCs/>
          <w:szCs w:val="21"/>
        </w:rPr>
      </w:pPr>
      <w:r>
        <w:rPr>
          <w:rFonts w:ascii="宋体" w:hAnsi="宋体"/>
          <w:bCs/>
          <w:szCs w:val="21"/>
        </w:rPr>
        <w:t>3</w:t>
      </w:r>
      <w:r>
        <w:rPr>
          <w:rFonts w:ascii="宋体" w:hAnsi="宋体" w:hint="eastAsia"/>
          <w:bCs/>
          <w:szCs w:val="21"/>
        </w:rPr>
        <w:t>．简述磷酸戊糖途径的生理意义。</w:t>
      </w:r>
    </w:p>
    <w:p w:rsidR="003717A0" w:rsidRDefault="003717A0">
      <w:pPr>
        <w:spacing w:line="320" w:lineRule="exact"/>
        <w:rPr>
          <w:rFonts w:ascii="宋体"/>
          <w:bCs/>
          <w:szCs w:val="21"/>
        </w:rPr>
      </w:pPr>
      <w:r>
        <w:rPr>
          <w:rFonts w:ascii="宋体" w:hAnsi="宋体"/>
          <w:bCs/>
          <w:szCs w:val="21"/>
        </w:rPr>
        <w:t>4</w:t>
      </w:r>
      <w:r>
        <w:rPr>
          <w:rFonts w:ascii="宋体" w:hAnsi="宋体" w:hint="eastAsia"/>
          <w:bCs/>
          <w:szCs w:val="21"/>
        </w:rPr>
        <w:t>．何谓米</w:t>
      </w:r>
      <w:r>
        <w:rPr>
          <w:rFonts w:ascii="宋体"/>
          <w:bCs/>
          <w:szCs w:val="21"/>
        </w:rPr>
        <w:t>-</w:t>
      </w:r>
      <w:r>
        <w:rPr>
          <w:rFonts w:ascii="宋体" w:hAnsi="宋体" w:hint="eastAsia"/>
          <w:bCs/>
          <w:szCs w:val="21"/>
        </w:rPr>
        <w:t>曼氏方程？简述</w:t>
      </w:r>
      <w:r>
        <w:rPr>
          <w:rFonts w:ascii="宋体" w:hAnsi="宋体"/>
          <w:bCs/>
          <w:szCs w:val="21"/>
        </w:rPr>
        <w:t>Km</w:t>
      </w:r>
      <w:r>
        <w:rPr>
          <w:rFonts w:ascii="宋体" w:hAnsi="宋体" w:hint="eastAsia"/>
          <w:bCs/>
          <w:szCs w:val="21"/>
        </w:rPr>
        <w:t>和</w:t>
      </w:r>
      <w:r>
        <w:rPr>
          <w:rFonts w:ascii="宋体" w:hAnsi="宋体"/>
          <w:bCs/>
          <w:szCs w:val="21"/>
        </w:rPr>
        <w:t>Vm</w:t>
      </w:r>
      <w:r>
        <w:rPr>
          <w:rFonts w:ascii="宋体" w:hAnsi="宋体" w:hint="eastAsia"/>
          <w:bCs/>
          <w:szCs w:val="21"/>
        </w:rPr>
        <w:t>的意义</w:t>
      </w:r>
      <w:r>
        <w:rPr>
          <w:rFonts w:ascii="宋体" w:hAnsi="宋体"/>
          <w:bCs/>
          <w:szCs w:val="21"/>
        </w:rPr>
        <w:t>5</w:t>
      </w:r>
      <w:r>
        <w:rPr>
          <w:rFonts w:ascii="宋体" w:hAnsi="宋体" w:hint="eastAsia"/>
          <w:bCs/>
          <w:szCs w:val="21"/>
        </w:rPr>
        <w:t>．简述复制和转录的区别。</w:t>
      </w: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rsidP="005E20B5">
            <w:pPr>
              <w:autoSpaceDE w:val="0"/>
              <w:autoSpaceDN w:val="0"/>
              <w:adjustRightInd w:val="0"/>
              <w:snapToGrid w:val="0"/>
              <w:spacing w:beforeLines="50" w:afterLines="50"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教师应关心生物化学与分子生物学的研究进展，使教学内容能反映学科的发展趋势，但要避免在课堂上讲授实验证据不充分、科学依据不足的内容。教师在平时教学过程中要注意收集学生的反馈意见，通过分析教学方案、教学过程中存在的问题，为教学工作提供反馈信息，以改进、完善和提高实践教学活动质量；同时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rsidP="005E20B5">
            <w:pPr>
              <w:autoSpaceDE w:val="0"/>
              <w:autoSpaceDN w:val="0"/>
              <w:adjustRightInd w:val="0"/>
              <w:snapToGrid w:val="0"/>
              <w:spacing w:beforeLines="50"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16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16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167"/>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rsidP="005E20B5">
            <w:pPr>
              <w:autoSpaceDE w:val="0"/>
              <w:autoSpaceDN w:val="0"/>
              <w:adjustRightInd w:val="0"/>
              <w:snapToGrid w:val="0"/>
              <w:spacing w:beforeLines="50"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16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16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采用多种教学方式（如启发式教学、案例分析教学、多媒体示范教学等），注重培养学生的专业素质，提高学生发现、分析和解决问题的能力，以便让学生能体会和领略学科研究的思路和方法。</w:t>
            </w:r>
          </w:p>
          <w:p w:rsidR="003717A0" w:rsidRDefault="003717A0">
            <w:pPr>
              <w:numPr>
                <w:ilvl w:val="0"/>
                <w:numId w:val="16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多媒体教学手段、课堂实验演示相结合，以培养学生实践动手的能力。</w:t>
            </w:r>
          </w:p>
          <w:p w:rsidR="003717A0" w:rsidRDefault="003717A0">
            <w:pPr>
              <w:numPr>
                <w:ilvl w:val="0"/>
                <w:numId w:val="168"/>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rFonts w:ascii="Times New Roman" w:hAnsi="宋体"/>
                <w:szCs w:val="21"/>
              </w:rPr>
            </w:pPr>
            <w:r>
              <w:rPr>
                <w:rFonts w:hint="eastAsia"/>
                <w:sz w:val="22"/>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rsidP="005E20B5">
            <w:pPr>
              <w:autoSpaceDE w:val="0"/>
              <w:autoSpaceDN w:val="0"/>
              <w:adjustRightInd w:val="0"/>
              <w:snapToGrid w:val="0"/>
              <w:spacing w:beforeLines="50"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rsidP="005E20B5">
            <w:pPr>
              <w:autoSpaceDE w:val="0"/>
              <w:autoSpaceDN w:val="0"/>
              <w:adjustRightInd w:val="0"/>
              <w:snapToGrid w:val="0"/>
              <w:spacing w:beforeLines="50"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16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16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171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pPr>
    </w:p>
    <w:p w:rsidR="003717A0" w:rsidRDefault="003717A0" w:rsidP="005E20B5">
      <w:pPr>
        <w:adjustRightInd w:val="0"/>
        <w:snapToGrid w:val="0"/>
        <w:spacing w:beforeLines="50" w:afterLines="50" w:line="400" w:lineRule="exact"/>
      </w:pPr>
    </w:p>
    <w:p w:rsidR="003717A0" w:rsidRPr="00F5156D" w:rsidRDefault="003717A0">
      <w:pPr>
        <w:pStyle w:val="1"/>
        <w:rPr>
          <w:b/>
        </w:rPr>
      </w:pPr>
      <w:r>
        <w:br w:type="page"/>
      </w:r>
      <w:bookmarkStart w:id="56" w:name="_Toc469312990"/>
      <w:bookmarkStart w:id="57" w:name="_Toc471830702"/>
      <w:r w:rsidRPr="00F5156D">
        <w:rPr>
          <w:rFonts w:hint="eastAsia"/>
          <w:b/>
        </w:rPr>
        <w:lastRenderedPageBreak/>
        <w:t>《医学伦理学》课程质量标准</w:t>
      </w:r>
      <w:bookmarkEnd w:id="56"/>
      <w:bookmarkEnd w:id="57"/>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医学伦理学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b/>
                <w:sz w:val="22"/>
              </w:rPr>
            </w:pPr>
            <w:r>
              <w:rPr>
                <w:b/>
                <w:sz w:val="22"/>
              </w:rPr>
              <w:t xml:space="preserve">Medical  Ethics </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170537</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四</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27</w:t>
            </w:r>
            <w:r>
              <w:rPr>
                <w:rFonts w:hint="eastAsia"/>
                <w:sz w:val="22"/>
              </w:rPr>
              <w:t>学时</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r>
              <w:rPr>
                <w:rFonts w:hint="eastAsia"/>
                <w:sz w:val="22"/>
              </w:rPr>
              <w:t>学分</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医学人文教研室</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ind w:firstLineChars="350" w:firstLine="770"/>
              <w:rPr>
                <w:sz w:val="22"/>
              </w:rPr>
            </w:pPr>
            <w:r>
              <w:rPr>
                <w:rFonts w:hint="eastAsia"/>
                <w:sz w:val="22"/>
              </w:rPr>
              <w:t>医学伦理学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人民卫生出版社，第四版，孙富川</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w:t>
            </w:r>
            <w:r>
              <w:rPr>
                <w:rFonts w:ascii="宋体" w:hAnsi="宋体" w:hint="eastAsia"/>
                <w:szCs w:val="21"/>
              </w:rPr>
              <w:t>■</w:t>
            </w:r>
            <w:r>
              <w:rPr>
                <w:rFonts w:ascii="宋体" w:hAnsi="宋体" w:hint="eastAsia"/>
                <w:sz w:val="22"/>
              </w:rPr>
              <w:t>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w:t>
            </w:r>
            <w:r>
              <w:rPr>
                <w:rFonts w:ascii="宋体" w:hAnsi="宋体" w:hint="eastAsia"/>
                <w:szCs w:val="21"/>
              </w:rPr>
              <w:t>■</w:t>
            </w:r>
            <w:r>
              <w:rPr>
                <w:rFonts w:ascii="宋体" w:hAnsi="宋体" w:hint="eastAsia"/>
                <w:sz w:val="22"/>
              </w:rPr>
              <w:t>开卷□闭卷□课程设计□学期论文□其他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30%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70%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周逸萍</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大学本科</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1985</w:t>
            </w:r>
            <w:r>
              <w:rPr>
                <w:rFonts w:hint="eastAsia"/>
                <w:sz w:val="22"/>
              </w:rPr>
              <w:t>年</w:t>
            </w:r>
            <w:r>
              <w:rPr>
                <w:sz w:val="22"/>
              </w:rPr>
              <w:t>9</w:t>
            </w:r>
            <w:r>
              <w:rPr>
                <w:rFonts w:hint="eastAsia"/>
                <w:sz w:val="22"/>
              </w:rPr>
              <w:t>月</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吴菁</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大学本科</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1986</w:t>
            </w:r>
            <w:r>
              <w:rPr>
                <w:rFonts w:hint="eastAsia"/>
                <w:sz w:val="22"/>
              </w:rPr>
              <w:t>年</w:t>
            </w:r>
            <w:r>
              <w:rPr>
                <w:sz w:val="22"/>
              </w:rPr>
              <w:t>9</w:t>
            </w:r>
            <w:r>
              <w:rPr>
                <w:rFonts w:hint="eastAsia"/>
                <w:sz w:val="22"/>
              </w:rPr>
              <w:t>月</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邢晓源</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大学本科</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副研究员</w:t>
            </w:r>
          </w:p>
        </w:tc>
        <w:tc>
          <w:tcPr>
            <w:tcW w:w="1524" w:type="dxa"/>
          </w:tcPr>
          <w:p w:rsidR="003717A0" w:rsidRDefault="003717A0">
            <w:pPr>
              <w:adjustRightInd w:val="0"/>
              <w:snapToGrid w:val="0"/>
              <w:spacing w:line="500" w:lineRule="exact"/>
              <w:jc w:val="center"/>
              <w:rPr>
                <w:sz w:val="22"/>
              </w:rPr>
            </w:pPr>
            <w:r>
              <w:rPr>
                <w:sz w:val="22"/>
              </w:rPr>
              <w:t>1989</w:t>
            </w:r>
            <w:r>
              <w:rPr>
                <w:rFonts w:hint="eastAsia"/>
                <w:sz w:val="22"/>
              </w:rPr>
              <w:t>年</w:t>
            </w:r>
            <w:r>
              <w:rPr>
                <w:sz w:val="22"/>
              </w:rPr>
              <w:t>9</w:t>
            </w:r>
            <w:r>
              <w:rPr>
                <w:rFonts w:hint="eastAsia"/>
                <w:sz w:val="22"/>
              </w:rPr>
              <w:t>月</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戴正庆</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大学本科</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主任医师</w:t>
            </w:r>
          </w:p>
        </w:tc>
        <w:tc>
          <w:tcPr>
            <w:tcW w:w="1524" w:type="dxa"/>
          </w:tcPr>
          <w:p w:rsidR="003717A0" w:rsidRDefault="003717A0">
            <w:pPr>
              <w:adjustRightInd w:val="0"/>
              <w:snapToGrid w:val="0"/>
              <w:spacing w:line="500" w:lineRule="exact"/>
              <w:jc w:val="center"/>
              <w:rPr>
                <w:sz w:val="22"/>
              </w:rPr>
            </w:pPr>
            <w:r>
              <w:rPr>
                <w:sz w:val="22"/>
              </w:rPr>
              <w:t>1986</w:t>
            </w:r>
            <w:r>
              <w:rPr>
                <w:rFonts w:hint="eastAsia"/>
                <w:sz w:val="22"/>
              </w:rPr>
              <w:t>年</w:t>
            </w:r>
            <w:r>
              <w:rPr>
                <w:sz w:val="22"/>
              </w:rPr>
              <w:t>9</w:t>
            </w:r>
            <w:r>
              <w:rPr>
                <w:rFonts w:hint="eastAsia"/>
                <w:sz w:val="22"/>
              </w:rPr>
              <w:t>月</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sz w:val="20"/>
              </w:rPr>
              <w:t>医学伦理学是一门专业基础课程和医师资格考试必考课程。医学伦理学以医德现象为客体进行研究的独立学科，主要研究医学职业道德和医学中的伦理问题或伦理学中的医学问题。通过本课程的学习，将有助于医学生运用医学伦理学的基本原则和规律，掌握医疗伦理决策的技能，提高医学道德素质，践行医学人道主义，全心全意地为人民服务。本课程教学的主要路径与方法：（</w:t>
            </w:r>
            <w:r>
              <w:rPr>
                <w:sz w:val="20"/>
              </w:rPr>
              <w:t>1</w:t>
            </w:r>
            <w:r>
              <w:rPr>
                <w:rFonts w:hint="eastAsia"/>
                <w:sz w:val="20"/>
              </w:rPr>
              <w:t>）通过理论课堂讲解医学伦理学的主要知识点，使学生掌握本课程的基本概念和知识；（</w:t>
            </w:r>
            <w:r>
              <w:rPr>
                <w:sz w:val="20"/>
              </w:rPr>
              <w:t>2</w:t>
            </w:r>
            <w:r>
              <w:rPr>
                <w:rFonts w:hint="eastAsia"/>
                <w:sz w:val="20"/>
              </w:rPr>
              <w:t>）结合课程内容指导学生到医院开展医学伦理问题调研，撰写调研报告。</w:t>
            </w:r>
          </w:p>
        </w:tc>
      </w:tr>
    </w:tbl>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sz w:val="22"/>
        </w:rPr>
        <w:t>170537</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27</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1</w:t>
      </w:r>
      <w:r>
        <w:rPr>
          <w:rFonts w:ascii="Times New Roman" w:hAnsi="Times New Roman" w:hint="eastAsia"/>
          <w:kern w:val="0"/>
          <w:sz w:val="22"/>
        </w:rPr>
        <w:t>学分</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w:t>
      </w:r>
      <w:r>
        <w:rPr>
          <w:rFonts w:ascii="Times New Roman" w:hAnsi="Times New Roman"/>
          <w:kern w:val="0"/>
          <w:szCs w:val="21"/>
        </w:rPr>
        <w:t xml:space="preserve">  </w:t>
      </w:r>
      <w:r>
        <w:rPr>
          <w:rFonts w:ascii="Times New Roman" w:hAnsi="Times New Roman" w:hint="eastAsia"/>
          <w:kern w:val="0"/>
          <w:szCs w:val="21"/>
        </w:rPr>
        <w:t>医学基础课程</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医学临床课程</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pStyle w:val="HTML"/>
        <w:shd w:val="clear" w:color="auto" w:fill="FFFFFF"/>
        <w:spacing w:after="150" w:line="360" w:lineRule="atLeast"/>
        <w:rPr>
          <w:rFonts w:ascii="Calibri" w:hAnsi="Calibri" w:cs="Times New Roman"/>
          <w:kern w:val="2"/>
          <w:sz w:val="20"/>
          <w:szCs w:val="22"/>
        </w:rPr>
      </w:pPr>
      <w:r>
        <w:rPr>
          <w:sz w:val="22"/>
        </w:rPr>
        <w:t xml:space="preserve">   </w:t>
      </w:r>
      <w:r>
        <w:rPr>
          <w:sz w:val="20"/>
        </w:rPr>
        <w:t xml:space="preserve"> </w:t>
      </w:r>
      <w:r>
        <w:rPr>
          <w:rFonts w:ascii="Calibri" w:hAnsi="Calibri" w:cs="Times New Roman" w:hint="eastAsia"/>
          <w:kern w:val="2"/>
          <w:sz w:val="20"/>
          <w:szCs w:val="22"/>
        </w:rPr>
        <w:t>医学伦理学是运用一般伦理学原则解决医疗卫生实践和医学发展过程中的医学道德问题和医学道德现象的学科，它是医学的一个重要组成部分，又是伦理学的一个分支。医学伦理学是运用伦理学的理论、方法研究医学领域中人与人、人与社会、人与自然关系的道德问题的一门学问。</w:t>
      </w:r>
      <w:r>
        <w:rPr>
          <w:rFonts w:hint="eastAsia"/>
          <w:sz w:val="20"/>
        </w:rPr>
        <w:t>通过本课程学习，</w:t>
      </w:r>
      <w:r>
        <w:rPr>
          <w:rFonts w:ascii="Calibri" w:hAnsi="Calibri" w:cs="Times New Roman" w:hint="eastAsia"/>
          <w:kern w:val="2"/>
          <w:sz w:val="20"/>
          <w:szCs w:val="22"/>
        </w:rPr>
        <w:t>培养学生医学伦理素养，</w:t>
      </w:r>
      <w:r>
        <w:rPr>
          <w:rFonts w:hint="eastAsia"/>
          <w:sz w:val="20"/>
        </w:rPr>
        <w:t>树立正确的医德观，在医疗实践中正确进行伦理判断、选择和评价，</w:t>
      </w:r>
      <w:r>
        <w:rPr>
          <w:rFonts w:ascii="Calibri" w:hAnsi="Calibri" w:cs="Times New Roman" w:hint="eastAsia"/>
          <w:kern w:val="2"/>
          <w:sz w:val="20"/>
          <w:szCs w:val="22"/>
        </w:rPr>
        <w:t>成为一名医德高尚的白衣战士。</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hint="eastAsia"/>
          <w:sz w:val="20"/>
        </w:rPr>
        <w:t>三、</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jc w:val="left"/>
        <w:rPr>
          <w:sz w:val="20"/>
        </w:rPr>
      </w:pPr>
      <w:r>
        <w:rPr>
          <w:sz w:val="22"/>
        </w:rPr>
        <w:t xml:space="preserve">   </w:t>
      </w:r>
      <w:r>
        <w:rPr>
          <w:rFonts w:hint="eastAsia"/>
          <w:sz w:val="20"/>
        </w:rPr>
        <w:t>通过本课程学习，要使学生掌握医学伦理学的基本概念、基础理论，把握医学诊疗、科研等方面的道德原则；在医疗实践中正确进行伦理判断、选择和评价，正确处理医学活动中的人际关系和医学高新技术运用所带来的医学伦理难题等。启迪学生树立正确的医德观，提高学生判断善恶、荣辱的能力；使学生通过外在的医德教育和积极自觉的医德修养，明晓医务人员对他人、对社会应尽的职责，从而在心灵深处形成强烈的义务感、责任感和高尚的医德良心，努力做到“慎独”，为医学事业和人类的健康做出积极的贡献。</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spacing w:line="440" w:lineRule="exact"/>
        <w:jc w:val="center"/>
        <w:rPr>
          <w:b/>
          <w:sz w:val="20"/>
        </w:rPr>
      </w:pPr>
      <w:r>
        <w:rPr>
          <w:rFonts w:hint="eastAsia"/>
          <w:b/>
          <w:sz w:val="20"/>
        </w:rPr>
        <w:t>第一章</w:t>
      </w:r>
      <w:r>
        <w:rPr>
          <w:b/>
          <w:sz w:val="20"/>
        </w:rPr>
        <w:t xml:space="preserve">   </w:t>
      </w:r>
      <w:r>
        <w:rPr>
          <w:rFonts w:hint="eastAsia"/>
          <w:b/>
          <w:sz w:val="20"/>
        </w:rPr>
        <w:t>伦理学与医学伦理学</w:t>
      </w:r>
    </w:p>
    <w:p w:rsidR="003717A0" w:rsidRDefault="003717A0">
      <w:pPr>
        <w:widowControl/>
        <w:spacing w:line="440" w:lineRule="exact"/>
        <w:ind w:firstLineChars="49" w:firstLine="98"/>
        <w:jc w:val="left"/>
        <w:rPr>
          <w:sz w:val="20"/>
        </w:rPr>
      </w:pPr>
      <w:r>
        <w:rPr>
          <w:rFonts w:hint="eastAsia"/>
          <w:b/>
          <w:sz w:val="20"/>
        </w:rPr>
        <w:t>［目的要求］</w:t>
      </w:r>
      <w:r>
        <w:rPr>
          <w:rFonts w:hint="eastAsia"/>
          <w:sz w:val="20"/>
        </w:rPr>
        <w:t xml:space="preserve">通过教学，使学生掌握伦理学的基本概念；规范伦理学的类型；医学伦理学的定义、研究对象和研究内容；医学道德的概念、作用；医学模式的内涵、类型，医学目的的内涵。熟悉伦理学的类型、伦理学的研究对象和基本理论、医学伦理学的基本观点和学科属性。了解学习医学伦理学的意义和方法。　</w:t>
      </w:r>
    </w:p>
    <w:p w:rsidR="003717A0" w:rsidRDefault="003717A0">
      <w:pPr>
        <w:widowControl/>
        <w:spacing w:line="440" w:lineRule="exact"/>
        <w:ind w:firstLineChars="99" w:firstLine="199"/>
        <w:jc w:val="left"/>
        <w:rPr>
          <w:b/>
          <w:sz w:val="20"/>
        </w:rPr>
      </w:pPr>
      <w:r>
        <w:rPr>
          <w:rFonts w:hint="eastAsia"/>
          <w:b/>
          <w:sz w:val="20"/>
        </w:rPr>
        <w:t>［教学内容］</w:t>
      </w:r>
    </w:p>
    <w:p w:rsidR="003717A0" w:rsidRDefault="003717A0">
      <w:pPr>
        <w:widowControl/>
        <w:spacing w:line="440" w:lineRule="exact"/>
        <w:ind w:firstLineChars="197" w:firstLine="394"/>
        <w:jc w:val="left"/>
        <w:rPr>
          <w:sz w:val="20"/>
        </w:rPr>
      </w:pPr>
      <w:r>
        <w:rPr>
          <w:sz w:val="20"/>
        </w:rPr>
        <w:t>1</w:t>
      </w:r>
      <w:r>
        <w:rPr>
          <w:rFonts w:hint="eastAsia"/>
          <w:sz w:val="20"/>
        </w:rPr>
        <w:t>、道德、伦理、伦理学的涵义；伦理学的类型、规范伦理学的类型；伦理学的研究对象和基本理论。</w:t>
      </w:r>
    </w:p>
    <w:p w:rsidR="003717A0" w:rsidRDefault="003717A0">
      <w:pPr>
        <w:widowControl/>
        <w:spacing w:line="440" w:lineRule="exact"/>
        <w:ind w:firstLineChars="197" w:firstLine="394"/>
        <w:jc w:val="left"/>
        <w:rPr>
          <w:sz w:val="20"/>
        </w:rPr>
      </w:pPr>
      <w:r>
        <w:rPr>
          <w:sz w:val="20"/>
        </w:rPr>
        <w:t>2</w:t>
      </w:r>
      <w:r>
        <w:rPr>
          <w:rFonts w:hint="eastAsia"/>
          <w:sz w:val="20"/>
        </w:rPr>
        <w:t>、医学道德的定义、作用；医学伦理学的定义、历史发展、研究对象和内容；医学伦理学的基本观点和学科属性。</w:t>
      </w:r>
    </w:p>
    <w:p w:rsidR="003717A0" w:rsidRDefault="003717A0">
      <w:pPr>
        <w:spacing w:line="440" w:lineRule="exact"/>
        <w:rPr>
          <w:sz w:val="20"/>
        </w:rPr>
      </w:pPr>
      <w:r>
        <w:rPr>
          <w:sz w:val="20"/>
        </w:rPr>
        <w:t xml:space="preserve">   3</w:t>
      </w:r>
      <w:r>
        <w:rPr>
          <w:rFonts w:hint="eastAsia"/>
          <w:sz w:val="20"/>
        </w:rPr>
        <w:t>、医学模式的内涵、医学模式的类型、医学目的的内涵。</w:t>
      </w:r>
    </w:p>
    <w:p w:rsidR="003717A0" w:rsidRDefault="003717A0">
      <w:pPr>
        <w:spacing w:line="440" w:lineRule="exact"/>
        <w:jc w:val="center"/>
        <w:rPr>
          <w:b/>
          <w:sz w:val="20"/>
        </w:rPr>
      </w:pPr>
      <w:r>
        <w:rPr>
          <w:rFonts w:hint="eastAsia"/>
          <w:b/>
          <w:sz w:val="20"/>
        </w:rPr>
        <w:t>第二章</w:t>
      </w:r>
      <w:r>
        <w:rPr>
          <w:b/>
          <w:sz w:val="20"/>
        </w:rPr>
        <w:t xml:space="preserve">  </w:t>
      </w:r>
      <w:r>
        <w:rPr>
          <w:rFonts w:hint="eastAsia"/>
          <w:b/>
          <w:sz w:val="20"/>
        </w:rPr>
        <w:t>医学伦理学发展历程</w:t>
      </w:r>
    </w:p>
    <w:p w:rsidR="003717A0" w:rsidRDefault="003717A0">
      <w:pPr>
        <w:widowControl/>
        <w:spacing w:line="440" w:lineRule="exact"/>
        <w:jc w:val="left"/>
        <w:rPr>
          <w:sz w:val="20"/>
        </w:rPr>
      </w:pPr>
      <w:r>
        <w:rPr>
          <w:sz w:val="20"/>
        </w:rPr>
        <w:lastRenderedPageBreak/>
        <w:t xml:space="preserve">  </w:t>
      </w:r>
      <w:r>
        <w:rPr>
          <w:b/>
          <w:sz w:val="20"/>
        </w:rPr>
        <w:t xml:space="preserve"> </w:t>
      </w:r>
      <w:r>
        <w:rPr>
          <w:rFonts w:hint="eastAsia"/>
          <w:b/>
          <w:sz w:val="20"/>
        </w:rPr>
        <w:t>［目的要求］</w:t>
      </w:r>
      <w:r>
        <w:rPr>
          <w:rFonts w:hint="eastAsia"/>
          <w:sz w:val="20"/>
        </w:rPr>
        <w:t>通过教学，使学生掌握中国古代医学道德思想的发展过程、中国医学道德的优良传统、中国近现代医学伦理学的发展；古希腊、古罗马、古印度和阿拉伯国家的医德起源与传统、国外近现代医学伦理学的发展；生命伦理学产生的背景、生命伦理学的基本概念和研究内容。</w:t>
      </w:r>
    </w:p>
    <w:p w:rsidR="003717A0" w:rsidRDefault="003717A0">
      <w:pPr>
        <w:widowControl/>
        <w:spacing w:line="440" w:lineRule="exact"/>
        <w:ind w:firstLineChars="148" w:firstLine="297"/>
        <w:jc w:val="left"/>
        <w:rPr>
          <w:b/>
          <w:sz w:val="20"/>
        </w:rPr>
      </w:pPr>
      <w:r>
        <w:rPr>
          <w:rFonts w:hint="eastAsia"/>
          <w:b/>
          <w:sz w:val="20"/>
        </w:rPr>
        <w:t>［教学内容］</w:t>
      </w:r>
    </w:p>
    <w:p w:rsidR="003717A0" w:rsidRDefault="003717A0">
      <w:pPr>
        <w:widowControl/>
        <w:spacing w:line="440" w:lineRule="exact"/>
        <w:ind w:firstLineChars="148" w:firstLine="296"/>
        <w:jc w:val="left"/>
        <w:rPr>
          <w:sz w:val="20"/>
        </w:rPr>
      </w:pPr>
      <w:r>
        <w:rPr>
          <w:sz w:val="20"/>
        </w:rPr>
        <w:t xml:space="preserve"> 1</w:t>
      </w:r>
      <w:r>
        <w:rPr>
          <w:rFonts w:hint="eastAsia"/>
          <w:sz w:val="20"/>
        </w:rPr>
        <w:t>、中国古代医学道德思想的发展过程、中国古代优良医德思想的内涵、中国近现代医学伦理学的发展。</w:t>
      </w:r>
    </w:p>
    <w:p w:rsidR="003717A0" w:rsidRDefault="003717A0">
      <w:pPr>
        <w:widowControl/>
        <w:spacing w:line="440" w:lineRule="exact"/>
        <w:jc w:val="left"/>
        <w:rPr>
          <w:sz w:val="20"/>
        </w:rPr>
      </w:pPr>
      <w:r>
        <w:rPr>
          <w:sz w:val="20"/>
        </w:rPr>
        <w:t xml:space="preserve">    2</w:t>
      </w:r>
      <w:r>
        <w:rPr>
          <w:rFonts w:hint="eastAsia"/>
          <w:sz w:val="20"/>
        </w:rPr>
        <w:t>、国外医学伦理学的发展历程，尤其是古希腊、古罗马、古印度和阿拉伯国家的医德起源与传统，国外近现代医学伦理学的发展，医学伦理学演变的四个重要历史时期。</w:t>
      </w:r>
    </w:p>
    <w:p w:rsidR="003717A0" w:rsidRDefault="003717A0">
      <w:pPr>
        <w:spacing w:line="440" w:lineRule="exact"/>
        <w:ind w:firstLineChars="200" w:firstLine="400"/>
        <w:rPr>
          <w:sz w:val="20"/>
        </w:rPr>
      </w:pPr>
      <w:r>
        <w:rPr>
          <w:sz w:val="20"/>
        </w:rPr>
        <w:t>3</w:t>
      </w:r>
      <w:r>
        <w:rPr>
          <w:rFonts w:hint="eastAsia"/>
          <w:sz w:val="20"/>
        </w:rPr>
        <w:t>、生命伦理学的基本概念、生命伦理学的研究范围、生命伦理学的兴起背景。</w:t>
      </w:r>
    </w:p>
    <w:p w:rsidR="003717A0" w:rsidRDefault="003717A0">
      <w:pPr>
        <w:spacing w:line="440" w:lineRule="exact"/>
        <w:jc w:val="center"/>
        <w:rPr>
          <w:b/>
          <w:sz w:val="20"/>
        </w:rPr>
      </w:pPr>
      <w:r>
        <w:rPr>
          <w:rFonts w:hint="eastAsia"/>
          <w:b/>
          <w:sz w:val="20"/>
        </w:rPr>
        <w:t>第三章</w:t>
      </w:r>
      <w:r>
        <w:rPr>
          <w:b/>
          <w:sz w:val="20"/>
        </w:rPr>
        <w:t xml:space="preserve">  </w:t>
      </w:r>
      <w:r>
        <w:rPr>
          <w:rFonts w:hint="eastAsia"/>
          <w:b/>
          <w:sz w:val="20"/>
        </w:rPr>
        <w:t>医学伦理学基本理论</w:t>
      </w:r>
    </w:p>
    <w:p w:rsidR="003717A0" w:rsidRDefault="003717A0">
      <w:pPr>
        <w:widowControl/>
        <w:spacing w:line="440" w:lineRule="exact"/>
        <w:jc w:val="left"/>
        <w:rPr>
          <w:sz w:val="20"/>
        </w:rPr>
      </w:pPr>
      <w:r>
        <w:rPr>
          <w:sz w:val="20"/>
        </w:rPr>
        <w:t xml:space="preserve">   </w:t>
      </w:r>
      <w:r>
        <w:rPr>
          <w:rFonts w:hint="eastAsia"/>
          <w:b/>
          <w:sz w:val="20"/>
        </w:rPr>
        <w:t>［目的要求］</w:t>
      </w:r>
      <w:r>
        <w:rPr>
          <w:rFonts w:hint="eastAsia"/>
          <w:sz w:val="20"/>
        </w:rPr>
        <w:t>通过教学，使学生掌握生命神圣论、生命质量论、生命价值论的概念；生命质量论的标准及伦理意义；生命价值论的标准及伦理意义；医学人道主义的涵义、核心内容；美德论的涵义；医德品质的涵义、主要内容；功利论的涵义、主要特征；道义论的涵义、主要特征。</w:t>
      </w:r>
    </w:p>
    <w:p w:rsidR="003717A0" w:rsidRDefault="003717A0">
      <w:pPr>
        <w:widowControl/>
        <w:spacing w:line="440" w:lineRule="exact"/>
        <w:ind w:firstLineChars="148" w:firstLine="297"/>
        <w:jc w:val="left"/>
        <w:rPr>
          <w:b/>
          <w:sz w:val="20"/>
        </w:rPr>
      </w:pPr>
      <w:r>
        <w:rPr>
          <w:rFonts w:hint="eastAsia"/>
          <w:b/>
          <w:sz w:val="20"/>
        </w:rPr>
        <w:t>［教学内容］</w:t>
      </w:r>
    </w:p>
    <w:p w:rsidR="003717A0" w:rsidRDefault="003717A0">
      <w:pPr>
        <w:spacing w:line="440" w:lineRule="exact"/>
        <w:rPr>
          <w:sz w:val="20"/>
        </w:rPr>
      </w:pPr>
      <w:r>
        <w:rPr>
          <w:sz w:val="20"/>
        </w:rPr>
        <w:t xml:space="preserve">    1</w:t>
      </w:r>
      <w:r>
        <w:rPr>
          <w:rFonts w:hint="eastAsia"/>
          <w:sz w:val="20"/>
        </w:rPr>
        <w:t>、生命神圣论的概述、意义和局限性；生命质量论的概述、类型；生命价值论的概述、类型；生命质量论和生命价值论的意义。</w:t>
      </w:r>
    </w:p>
    <w:p w:rsidR="003717A0" w:rsidRDefault="003717A0">
      <w:pPr>
        <w:spacing w:line="440" w:lineRule="exact"/>
        <w:ind w:firstLineChars="200" w:firstLine="400"/>
        <w:rPr>
          <w:sz w:val="20"/>
        </w:rPr>
      </w:pPr>
      <w:r>
        <w:rPr>
          <w:sz w:val="20"/>
        </w:rPr>
        <w:t>2</w:t>
      </w:r>
      <w:r>
        <w:rPr>
          <w:rFonts w:hint="eastAsia"/>
          <w:sz w:val="20"/>
        </w:rPr>
        <w:t>、人道主义的涵义和历史渊源；医学人道主义的涵义、核心内容。美德论和医学美德论基本概念；医德品质的涵义、构成要素、主要内容；医学美德论的意义和局限性。</w:t>
      </w:r>
    </w:p>
    <w:p w:rsidR="003717A0" w:rsidRDefault="003717A0">
      <w:pPr>
        <w:widowControl/>
        <w:spacing w:line="440" w:lineRule="exact"/>
        <w:ind w:firstLineChars="200" w:firstLine="400"/>
        <w:jc w:val="left"/>
        <w:rPr>
          <w:sz w:val="20"/>
        </w:rPr>
      </w:pPr>
      <w:r>
        <w:rPr>
          <w:sz w:val="20"/>
        </w:rPr>
        <w:t>3</w:t>
      </w:r>
      <w:r>
        <w:rPr>
          <w:rFonts w:hint="eastAsia"/>
          <w:sz w:val="20"/>
        </w:rPr>
        <w:t>、功利论的涵义、主要特征；道义论的涵义、主要特征。</w:t>
      </w:r>
    </w:p>
    <w:p w:rsidR="003717A0" w:rsidRDefault="003717A0">
      <w:pPr>
        <w:spacing w:line="440" w:lineRule="exact"/>
        <w:jc w:val="center"/>
        <w:rPr>
          <w:b/>
          <w:sz w:val="20"/>
        </w:rPr>
      </w:pPr>
      <w:r>
        <w:rPr>
          <w:rFonts w:hint="eastAsia"/>
          <w:b/>
          <w:sz w:val="20"/>
        </w:rPr>
        <w:t>第四章</w:t>
      </w:r>
      <w:r>
        <w:rPr>
          <w:b/>
          <w:sz w:val="20"/>
        </w:rPr>
        <w:t xml:space="preserve">  </w:t>
      </w:r>
      <w:r>
        <w:rPr>
          <w:rFonts w:hint="eastAsia"/>
          <w:b/>
          <w:sz w:val="20"/>
        </w:rPr>
        <w:t>医学伦理学基本原则与规范</w:t>
      </w:r>
    </w:p>
    <w:p w:rsidR="003717A0" w:rsidRDefault="003717A0">
      <w:pPr>
        <w:spacing w:line="440" w:lineRule="exact"/>
        <w:ind w:firstLineChars="147" w:firstLine="295"/>
        <w:rPr>
          <w:sz w:val="20"/>
        </w:rPr>
      </w:pPr>
      <w:r>
        <w:rPr>
          <w:rFonts w:hint="eastAsia"/>
          <w:b/>
          <w:sz w:val="20"/>
        </w:rPr>
        <w:t>［目的要求］</w:t>
      </w:r>
      <w:r>
        <w:rPr>
          <w:rFonts w:hint="eastAsia"/>
          <w:sz w:val="20"/>
        </w:rPr>
        <w:t>通过教学，使学生掌握医学伦理的基本原则、基本规范；医学伦理学的应用原则；医学伦理学基本规范的含义和本质、医学伦理学基本规范的形式和内容。</w:t>
      </w:r>
    </w:p>
    <w:p w:rsidR="003717A0" w:rsidRDefault="003717A0">
      <w:pPr>
        <w:spacing w:line="440" w:lineRule="exact"/>
        <w:ind w:firstLineChars="147" w:firstLine="295"/>
        <w:rPr>
          <w:b/>
          <w:sz w:val="20"/>
        </w:rPr>
      </w:pPr>
      <w:r>
        <w:rPr>
          <w:rFonts w:hint="eastAsia"/>
          <w:b/>
          <w:sz w:val="20"/>
        </w:rPr>
        <w:t>［教学内容］</w:t>
      </w:r>
    </w:p>
    <w:p w:rsidR="003717A0" w:rsidRDefault="003717A0">
      <w:pPr>
        <w:spacing w:line="440" w:lineRule="exact"/>
        <w:ind w:firstLineChars="147" w:firstLine="294"/>
        <w:rPr>
          <w:sz w:val="20"/>
        </w:rPr>
      </w:pPr>
      <w:r>
        <w:rPr>
          <w:sz w:val="20"/>
        </w:rPr>
        <w:t xml:space="preserve"> 1</w:t>
      </w:r>
      <w:r>
        <w:rPr>
          <w:rFonts w:hint="eastAsia"/>
          <w:sz w:val="20"/>
        </w:rPr>
        <w:t xml:space="preserve">、尊重原则的概述、有利原则的概述、不伤害原则的概述、公正原则的概述。　</w:t>
      </w:r>
    </w:p>
    <w:p w:rsidR="003717A0" w:rsidRDefault="003717A0">
      <w:pPr>
        <w:spacing w:line="440" w:lineRule="exact"/>
        <w:ind w:firstLineChars="147" w:firstLine="294"/>
        <w:rPr>
          <w:sz w:val="20"/>
        </w:rPr>
      </w:pPr>
      <w:r>
        <w:rPr>
          <w:sz w:val="20"/>
        </w:rPr>
        <w:t xml:space="preserve"> 2</w:t>
      </w:r>
      <w:r>
        <w:rPr>
          <w:rFonts w:hint="eastAsia"/>
          <w:sz w:val="20"/>
        </w:rPr>
        <w:t>、知情同意原则的概念、伦理条件、主要内容及临床运用；医疗最优化原则的概念、主要内容及临床运用；医疗保密原则的概念、主要内容及临床运用；生命价值原则的概念、适用范围。</w:t>
      </w:r>
    </w:p>
    <w:p w:rsidR="003717A0" w:rsidRDefault="003717A0">
      <w:pPr>
        <w:spacing w:line="440" w:lineRule="exact"/>
        <w:ind w:firstLineChars="147" w:firstLine="294"/>
        <w:rPr>
          <w:sz w:val="20"/>
        </w:rPr>
      </w:pPr>
      <w:r>
        <w:rPr>
          <w:sz w:val="20"/>
        </w:rPr>
        <w:t xml:space="preserve"> 3</w:t>
      </w:r>
      <w:r>
        <w:rPr>
          <w:rFonts w:hint="eastAsia"/>
          <w:sz w:val="20"/>
        </w:rPr>
        <w:t xml:space="preserve">、医学伦理学基本规范的含义和本质、医学伦理学基本规范的形式和内容。　</w:t>
      </w:r>
    </w:p>
    <w:p w:rsidR="003717A0" w:rsidRDefault="003717A0">
      <w:pPr>
        <w:spacing w:line="440" w:lineRule="exact"/>
        <w:jc w:val="center"/>
        <w:rPr>
          <w:b/>
          <w:sz w:val="20"/>
        </w:rPr>
      </w:pPr>
      <w:r>
        <w:rPr>
          <w:rFonts w:hint="eastAsia"/>
          <w:b/>
          <w:sz w:val="20"/>
        </w:rPr>
        <w:t>第五章</w:t>
      </w:r>
      <w:r>
        <w:rPr>
          <w:b/>
          <w:sz w:val="20"/>
        </w:rPr>
        <w:t xml:space="preserve">  </w:t>
      </w:r>
      <w:r>
        <w:rPr>
          <w:rFonts w:hint="eastAsia"/>
          <w:b/>
          <w:sz w:val="20"/>
        </w:rPr>
        <w:t>医学伦理基本素养与行为规范</w:t>
      </w:r>
    </w:p>
    <w:p w:rsidR="003717A0" w:rsidRDefault="003717A0">
      <w:pPr>
        <w:spacing w:line="440" w:lineRule="exact"/>
        <w:ind w:firstLineChars="150" w:firstLine="301"/>
        <w:rPr>
          <w:sz w:val="20"/>
        </w:rPr>
      </w:pPr>
      <w:r>
        <w:rPr>
          <w:rFonts w:hint="eastAsia"/>
          <w:b/>
          <w:sz w:val="20"/>
        </w:rPr>
        <w:t>［目的要求］</w:t>
      </w:r>
      <w:r>
        <w:rPr>
          <w:rFonts w:hint="eastAsia"/>
          <w:sz w:val="20"/>
        </w:rPr>
        <w:t>通过教学，使学生掌握医学道德评价的标准、依据及方式；医学道德教育的意义、过程；医学道德修养的涵义、途径；熟悉医疗机构从业人员行为规范。</w:t>
      </w:r>
    </w:p>
    <w:p w:rsidR="003717A0" w:rsidRDefault="003717A0">
      <w:pPr>
        <w:spacing w:line="440" w:lineRule="exact"/>
        <w:ind w:firstLineChars="100" w:firstLine="200"/>
        <w:rPr>
          <w:b/>
          <w:sz w:val="20"/>
        </w:rPr>
      </w:pPr>
      <w:r>
        <w:rPr>
          <w:sz w:val="20"/>
        </w:rPr>
        <w:t xml:space="preserve"> </w:t>
      </w:r>
      <w:r>
        <w:rPr>
          <w:rFonts w:hint="eastAsia"/>
          <w:b/>
          <w:sz w:val="20"/>
        </w:rPr>
        <w:t>［教学内容］</w:t>
      </w:r>
    </w:p>
    <w:p w:rsidR="003717A0" w:rsidRDefault="003717A0">
      <w:pPr>
        <w:widowControl/>
        <w:spacing w:line="440" w:lineRule="exact"/>
        <w:ind w:firstLineChars="150" w:firstLine="300"/>
        <w:jc w:val="left"/>
        <w:rPr>
          <w:sz w:val="20"/>
        </w:rPr>
      </w:pPr>
      <w:r>
        <w:rPr>
          <w:sz w:val="20"/>
        </w:rPr>
        <w:lastRenderedPageBreak/>
        <w:t xml:space="preserve"> 1</w:t>
      </w:r>
      <w:r>
        <w:rPr>
          <w:rFonts w:hint="eastAsia"/>
          <w:sz w:val="20"/>
        </w:rPr>
        <w:t>、医学道德评价的涵义和意义、医学道德评价的标准、依据、方式。</w:t>
      </w:r>
    </w:p>
    <w:p w:rsidR="003717A0" w:rsidRDefault="003717A0">
      <w:pPr>
        <w:widowControl/>
        <w:spacing w:line="440" w:lineRule="exact"/>
        <w:ind w:firstLineChars="200" w:firstLine="400"/>
        <w:jc w:val="left"/>
        <w:rPr>
          <w:sz w:val="20"/>
        </w:rPr>
      </w:pPr>
      <w:r>
        <w:rPr>
          <w:sz w:val="20"/>
        </w:rPr>
        <w:t>2</w:t>
      </w:r>
      <w:r>
        <w:rPr>
          <w:rFonts w:hint="eastAsia"/>
          <w:sz w:val="20"/>
        </w:rPr>
        <w:t>、医学道德教育的意义、过程、原则和方法。</w:t>
      </w:r>
    </w:p>
    <w:p w:rsidR="003717A0" w:rsidRDefault="003717A0">
      <w:pPr>
        <w:widowControl/>
        <w:spacing w:line="440" w:lineRule="exact"/>
        <w:ind w:firstLineChars="200" w:firstLine="400"/>
        <w:jc w:val="left"/>
        <w:rPr>
          <w:sz w:val="20"/>
        </w:rPr>
      </w:pPr>
      <w:r>
        <w:rPr>
          <w:sz w:val="20"/>
        </w:rPr>
        <w:t>3</w:t>
      </w:r>
      <w:r>
        <w:rPr>
          <w:rFonts w:hint="eastAsia"/>
          <w:sz w:val="20"/>
        </w:rPr>
        <w:t xml:space="preserve">、医学道德修养的涵义和意义、医学道德修养的目标和境界、医学道德修养的途径和方法。　　</w:t>
      </w:r>
    </w:p>
    <w:p w:rsidR="003717A0" w:rsidRDefault="003717A0">
      <w:pPr>
        <w:spacing w:line="440" w:lineRule="exact"/>
        <w:jc w:val="center"/>
        <w:rPr>
          <w:b/>
          <w:sz w:val="20"/>
        </w:rPr>
      </w:pPr>
      <w:r>
        <w:rPr>
          <w:rFonts w:hint="eastAsia"/>
          <w:b/>
          <w:sz w:val="20"/>
        </w:rPr>
        <w:t>第六章</w:t>
      </w:r>
      <w:r>
        <w:rPr>
          <w:b/>
          <w:sz w:val="20"/>
        </w:rPr>
        <w:t xml:space="preserve">  </w:t>
      </w:r>
      <w:r>
        <w:rPr>
          <w:rFonts w:hint="eastAsia"/>
          <w:b/>
          <w:sz w:val="20"/>
        </w:rPr>
        <w:t>医疗人际关系伦理</w:t>
      </w:r>
    </w:p>
    <w:p w:rsidR="003717A0" w:rsidRDefault="003717A0">
      <w:pPr>
        <w:widowControl/>
        <w:spacing w:line="440" w:lineRule="exact"/>
        <w:jc w:val="left"/>
        <w:rPr>
          <w:sz w:val="20"/>
        </w:rPr>
      </w:pPr>
      <w:r>
        <w:rPr>
          <w:sz w:val="20"/>
        </w:rPr>
        <w:t xml:space="preserve">   </w:t>
      </w:r>
      <w:r>
        <w:rPr>
          <w:rFonts w:hint="eastAsia"/>
          <w:b/>
          <w:sz w:val="20"/>
        </w:rPr>
        <w:t>［目的要求］</w:t>
      </w:r>
      <w:r>
        <w:rPr>
          <w:rFonts w:hint="eastAsia"/>
          <w:sz w:val="20"/>
        </w:rPr>
        <w:t>通过教学，使学生掌握医患关系的内涵、内容、模式；影响医患关系的主要因素、医患关系的发展趋势；医生的权利、义务的主要内容；患者的权利、患者的义务主要内容；医患沟通的意义、医患冲突的原因、医患冲突的化解。</w:t>
      </w:r>
    </w:p>
    <w:p w:rsidR="003717A0" w:rsidRDefault="003717A0">
      <w:pPr>
        <w:widowControl/>
        <w:spacing w:line="440" w:lineRule="exact"/>
        <w:jc w:val="left"/>
        <w:rPr>
          <w:b/>
          <w:sz w:val="20"/>
        </w:rPr>
      </w:pPr>
      <w:r>
        <w:rPr>
          <w:sz w:val="20"/>
        </w:rPr>
        <w:t xml:space="preserve">   </w:t>
      </w:r>
      <w:r>
        <w:rPr>
          <w:rFonts w:hint="eastAsia"/>
          <w:b/>
          <w:sz w:val="20"/>
        </w:rPr>
        <w:t xml:space="preserve">［教学内容］　</w:t>
      </w:r>
    </w:p>
    <w:p w:rsidR="003717A0" w:rsidRDefault="003717A0">
      <w:pPr>
        <w:spacing w:line="440" w:lineRule="exact"/>
        <w:ind w:firstLineChars="250" w:firstLine="500"/>
        <w:rPr>
          <w:sz w:val="20"/>
        </w:rPr>
      </w:pPr>
      <w:r>
        <w:rPr>
          <w:sz w:val="20"/>
        </w:rPr>
        <w:t>1</w:t>
      </w:r>
      <w:r>
        <w:rPr>
          <w:rFonts w:hint="eastAsia"/>
          <w:sz w:val="20"/>
        </w:rPr>
        <w:t>、医患关系的概念和特点、医患关系的性质、医患关系模式、影响医患关系的主要因素、医患关系的发展趋势；医患双方的道德权利与义务、构建和谐医患关系的伦理要求。</w:t>
      </w:r>
    </w:p>
    <w:p w:rsidR="003717A0" w:rsidRDefault="003717A0">
      <w:pPr>
        <w:spacing w:line="440" w:lineRule="exact"/>
        <w:ind w:firstLineChars="250" w:firstLine="500"/>
        <w:rPr>
          <w:sz w:val="20"/>
        </w:rPr>
      </w:pPr>
      <w:r>
        <w:rPr>
          <w:sz w:val="20"/>
        </w:rPr>
        <w:t>2</w:t>
      </w:r>
      <w:r>
        <w:rPr>
          <w:rFonts w:hint="eastAsia"/>
          <w:sz w:val="20"/>
        </w:rPr>
        <w:t>、医务人员之间关系的涵义和特点、处理好医务人员之间关系的意义、协调医务人员之间关系的伦理要求。</w:t>
      </w:r>
    </w:p>
    <w:p w:rsidR="003717A0" w:rsidRDefault="003717A0">
      <w:pPr>
        <w:widowControl/>
        <w:spacing w:line="440" w:lineRule="exact"/>
        <w:ind w:firstLineChars="250" w:firstLine="500"/>
        <w:jc w:val="left"/>
        <w:rPr>
          <w:sz w:val="20"/>
        </w:rPr>
      </w:pPr>
      <w:r>
        <w:rPr>
          <w:sz w:val="20"/>
        </w:rPr>
        <w:t>3</w:t>
      </w:r>
      <w:r>
        <w:rPr>
          <w:rFonts w:hint="eastAsia"/>
          <w:sz w:val="20"/>
        </w:rPr>
        <w:t>、医患沟通的意义、医患冲突的原因、医患冲突的化解。</w:t>
      </w:r>
    </w:p>
    <w:p w:rsidR="003717A0" w:rsidRDefault="003717A0">
      <w:pPr>
        <w:spacing w:line="440" w:lineRule="exact"/>
        <w:ind w:firstLineChars="250" w:firstLine="502"/>
        <w:jc w:val="center"/>
        <w:rPr>
          <w:b/>
          <w:sz w:val="20"/>
        </w:rPr>
      </w:pPr>
      <w:r>
        <w:rPr>
          <w:rFonts w:hint="eastAsia"/>
          <w:b/>
          <w:sz w:val="20"/>
        </w:rPr>
        <w:t>第七章</w:t>
      </w:r>
      <w:r>
        <w:rPr>
          <w:b/>
          <w:sz w:val="20"/>
        </w:rPr>
        <w:t xml:space="preserve">  </w:t>
      </w:r>
      <w:r>
        <w:rPr>
          <w:rFonts w:hint="eastAsia"/>
          <w:b/>
          <w:sz w:val="20"/>
        </w:rPr>
        <w:t>临床常规诊疗伦理</w:t>
      </w:r>
    </w:p>
    <w:p w:rsidR="003717A0" w:rsidRDefault="003717A0">
      <w:pPr>
        <w:widowControl/>
        <w:spacing w:line="440" w:lineRule="exact"/>
        <w:ind w:firstLineChars="98" w:firstLine="197"/>
        <w:jc w:val="left"/>
        <w:rPr>
          <w:sz w:val="20"/>
        </w:rPr>
      </w:pPr>
      <w:r>
        <w:rPr>
          <w:rFonts w:hint="eastAsia"/>
          <w:b/>
          <w:sz w:val="20"/>
        </w:rPr>
        <w:t>［目的要求］</w:t>
      </w:r>
      <w:r>
        <w:rPr>
          <w:rFonts w:hint="eastAsia"/>
          <w:sz w:val="20"/>
        </w:rPr>
        <w:t>通过教学，使学生掌握临床诊疗道德的涵义、临床诊疗的道德原则；体格检查的道德要求、辅助检查的道德要求；药物治疗中的道德要求、手术治疗中的道德要求、心理治疗中的道德要求、康复治疗中的道德要求；急诊科（室）的工作特点及道德要求、传染科（室）的工作特点及道德要求。</w:t>
      </w:r>
    </w:p>
    <w:p w:rsidR="003717A0" w:rsidRDefault="003717A0">
      <w:pPr>
        <w:spacing w:line="440" w:lineRule="exact"/>
        <w:ind w:firstLineChars="147" w:firstLine="295"/>
        <w:rPr>
          <w:b/>
          <w:sz w:val="20"/>
        </w:rPr>
      </w:pPr>
      <w:r>
        <w:rPr>
          <w:rFonts w:hint="eastAsia"/>
          <w:b/>
          <w:sz w:val="20"/>
        </w:rPr>
        <w:t xml:space="preserve">［教学内容］　</w:t>
      </w:r>
    </w:p>
    <w:p w:rsidR="003717A0" w:rsidRDefault="003717A0">
      <w:pPr>
        <w:spacing w:line="440" w:lineRule="exact"/>
        <w:ind w:firstLineChars="147" w:firstLine="294"/>
        <w:rPr>
          <w:sz w:val="20"/>
        </w:rPr>
      </w:pPr>
      <w:r>
        <w:rPr>
          <w:sz w:val="20"/>
        </w:rPr>
        <w:t xml:space="preserve"> 1</w:t>
      </w:r>
      <w:r>
        <w:rPr>
          <w:rFonts w:hint="eastAsia"/>
          <w:sz w:val="20"/>
        </w:rPr>
        <w:t>、临床诊疗的伦理原则：患者至上原则、最优化原则、知情同意原则、保密守信原则。</w:t>
      </w:r>
    </w:p>
    <w:p w:rsidR="003717A0" w:rsidRDefault="003717A0">
      <w:pPr>
        <w:spacing w:line="440" w:lineRule="exact"/>
        <w:ind w:firstLineChars="147" w:firstLine="294"/>
        <w:rPr>
          <w:sz w:val="20"/>
        </w:rPr>
      </w:pPr>
      <w:r>
        <w:rPr>
          <w:sz w:val="20"/>
        </w:rPr>
        <w:t xml:space="preserve"> 2</w:t>
      </w:r>
      <w:r>
        <w:rPr>
          <w:rFonts w:hint="eastAsia"/>
          <w:sz w:val="20"/>
        </w:rPr>
        <w:t>、临床诊断的道德要求：询问病史的道德要求、体格检查的道德要求、辅助检查的道德要求。</w:t>
      </w:r>
    </w:p>
    <w:p w:rsidR="003717A0" w:rsidRDefault="003717A0">
      <w:pPr>
        <w:spacing w:line="440" w:lineRule="exact"/>
        <w:ind w:firstLineChars="147" w:firstLine="294"/>
        <w:rPr>
          <w:sz w:val="20"/>
        </w:rPr>
      </w:pPr>
      <w:r>
        <w:rPr>
          <w:sz w:val="20"/>
        </w:rPr>
        <w:t>3</w:t>
      </w:r>
      <w:r>
        <w:rPr>
          <w:rFonts w:hint="eastAsia"/>
          <w:sz w:val="20"/>
        </w:rPr>
        <w:t>、临床治疗的道德要求：药物治疗中的道德要求、手术治疗中的道德要求、其他治疗的道德要求。</w:t>
      </w:r>
    </w:p>
    <w:p w:rsidR="003717A0" w:rsidRDefault="003717A0">
      <w:pPr>
        <w:spacing w:line="440" w:lineRule="exact"/>
        <w:ind w:firstLineChars="147" w:firstLine="294"/>
        <w:rPr>
          <w:sz w:val="20"/>
        </w:rPr>
      </w:pPr>
      <w:r>
        <w:rPr>
          <w:sz w:val="20"/>
        </w:rPr>
        <w:t>4</w:t>
      </w:r>
      <w:r>
        <w:rPr>
          <w:rFonts w:hint="eastAsia"/>
          <w:sz w:val="20"/>
        </w:rPr>
        <w:t>、临床急救的道德要求：临床急救工作的特点、临床急救的道德要求。</w:t>
      </w:r>
    </w:p>
    <w:p w:rsidR="003717A0" w:rsidRDefault="003717A0">
      <w:pPr>
        <w:spacing w:line="440" w:lineRule="exact"/>
        <w:jc w:val="center"/>
        <w:rPr>
          <w:b/>
          <w:sz w:val="20"/>
        </w:rPr>
      </w:pPr>
      <w:r>
        <w:rPr>
          <w:rFonts w:hint="eastAsia"/>
          <w:b/>
          <w:sz w:val="20"/>
        </w:rPr>
        <w:t>第八章</w:t>
      </w:r>
      <w:r>
        <w:rPr>
          <w:b/>
          <w:sz w:val="20"/>
        </w:rPr>
        <w:t xml:space="preserve">  </w:t>
      </w:r>
      <w:r>
        <w:rPr>
          <w:rFonts w:hint="eastAsia"/>
          <w:b/>
          <w:sz w:val="20"/>
        </w:rPr>
        <w:t>医学科研伦理</w:t>
      </w:r>
    </w:p>
    <w:p w:rsidR="003717A0" w:rsidRDefault="003717A0">
      <w:pPr>
        <w:widowControl/>
        <w:spacing w:line="440" w:lineRule="exact"/>
        <w:ind w:firstLineChars="147" w:firstLine="295"/>
        <w:jc w:val="left"/>
        <w:rPr>
          <w:sz w:val="20"/>
        </w:rPr>
      </w:pPr>
      <w:r>
        <w:rPr>
          <w:rFonts w:hint="eastAsia"/>
          <w:b/>
          <w:sz w:val="20"/>
        </w:rPr>
        <w:t>［目的要求］</w:t>
      </w:r>
      <w:r>
        <w:rPr>
          <w:rFonts w:hint="eastAsia"/>
          <w:sz w:val="20"/>
        </w:rPr>
        <w:t>通过教学，使学生掌握医学科研工作的基本道德要求、人体实验的类型、人体实验的伦理原则；熟悉动物实验的概念和特点、动物实验的道德要求。</w:t>
      </w:r>
    </w:p>
    <w:p w:rsidR="003717A0" w:rsidRDefault="003717A0">
      <w:pPr>
        <w:spacing w:line="440" w:lineRule="exact"/>
        <w:ind w:firstLineChars="150" w:firstLine="301"/>
        <w:rPr>
          <w:b/>
          <w:sz w:val="20"/>
        </w:rPr>
      </w:pPr>
      <w:r>
        <w:rPr>
          <w:rFonts w:hint="eastAsia"/>
          <w:b/>
          <w:sz w:val="20"/>
        </w:rPr>
        <w:t>［教学内容］</w:t>
      </w:r>
    </w:p>
    <w:p w:rsidR="003717A0" w:rsidRDefault="003717A0">
      <w:pPr>
        <w:spacing w:line="440" w:lineRule="exact"/>
        <w:ind w:firstLineChars="199" w:firstLine="398"/>
        <w:rPr>
          <w:sz w:val="20"/>
        </w:rPr>
      </w:pPr>
      <w:r>
        <w:rPr>
          <w:sz w:val="20"/>
        </w:rPr>
        <w:t>1</w:t>
      </w:r>
      <w:r>
        <w:rPr>
          <w:rFonts w:hint="eastAsia"/>
          <w:sz w:val="20"/>
        </w:rPr>
        <w:t>、医学科研伦理的涵义、道德要求。</w:t>
      </w:r>
    </w:p>
    <w:p w:rsidR="003717A0" w:rsidRDefault="003717A0">
      <w:pPr>
        <w:spacing w:line="440" w:lineRule="exact"/>
        <w:ind w:firstLineChars="200" w:firstLine="400"/>
        <w:rPr>
          <w:sz w:val="20"/>
        </w:rPr>
      </w:pPr>
      <w:r>
        <w:rPr>
          <w:sz w:val="20"/>
        </w:rPr>
        <w:t>2</w:t>
      </w:r>
      <w:r>
        <w:rPr>
          <w:rFonts w:hint="eastAsia"/>
          <w:sz w:val="20"/>
        </w:rPr>
        <w:t>、涉及人体实验的涵义和类型、涉及人体实验的伦理原则、涉及人体实验研究的伦理审查。</w:t>
      </w:r>
    </w:p>
    <w:p w:rsidR="003717A0" w:rsidRDefault="003717A0">
      <w:pPr>
        <w:spacing w:line="440" w:lineRule="exact"/>
        <w:ind w:firstLineChars="200" w:firstLine="400"/>
        <w:rPr>
          <w:sz w:val="20"/>
        </w:rPr>
      </w:pPr>
      <w:r>
        <w:rPr>
          <w:sz w:val="20"/>
        </w:rPr>
        <w:t>3</w:t>
      </w:r>
      <w:r>
        <w:rPr>
          <w:rFonts w:hint="eastAsia"/>
          <w:sz w:val="20"/>
        </w:rPr>
        <w:t>、动物实验的概念和特点、动物实验的道德要求。</w:t>
      </w:r>
    </w:p>
    <w:p w:rsidR="003717A0" w:rsidRDefault="003717A0">
      <w:pPr>
        <w:spacing w:line="440" w:lineRule="exact"/>
        <w:jc w:val="center"/>
        <w:rPr>
          <w:b/>
          <w:sz w:val="20"/>
        </w:rPr>
      </w:pPr>
      <w:r>
        <w:rPr>
          <w:rFonts w:hint="eastAsia"/>
          <w:b/>
          <w:sz w:val="20"/>
        </w:rPr>
        <w:t>第九章</w:t>
      </w:r>
      <w:r>
        <w:rPr>
          <w:b/>
          <w:sz w:val="20"/>
        </w:rPr>
        <w:t xml:space="preserve">   </w:t>
      </w:r>
      <w:r>
        <w:rPr>
          <w:rFonts w:hint="eastAsia"/>
          <w:b/>
          <w:sz w:val="20"/>
        </w:rPr>
        <w:t>生殖伦理</w:t>
      </w:r>
    </w:p>
    <w:p w:rsidR="003717A0" w:rsidRDefault="003717A0">
      <w:pPr>
        <w:spacing w:line="440" w:lineRule="exact"/>
        <w:rPr>
          <w:sz w:val="20"/>
        </w:rPr>
      </w:pPr>
      <w:r>
        <w:rPr>
          <w:sz w:val="20"/>
        </w:rPr>
        <w:t xml:space="preserve">   </w:t>
      </w:r>
      <w:r>
        <w:rPr>
          <w:rFonts w:hint="eastAsia"/>
          <w:b/>
          <w:sz w:val="20"/>
        </w:rPr>
        <w:t>［目的要求］</w:t>
      </w:r>
      <w:r>
        <w:rPr>
          <w:rFonts w:hint="eastAsia"/>
          <w:sz w:val="20"/>
        </w:rPr>
        <w:t>通过教学，使学生掌握我国的人口状况及计划生育的伦理和法律问题；人类辅助生殖技</w:t>
      </w:r>
      <w:r>
        <w:rPr>
          <w:rFonts w:hint="eastAsia"/>
          <w:sz w:val="20"/>
        </w:rPr>
        <w:lastRenderedPageBreak/>
        <w:t xml:space="preserve">术的概念和分类、人类辅助生殖技术应用的伦理原则；熟悉优生概述、我国优生的措施、优生工作的伦理原则。　　　</w:t>
      </w:r>
    </w:p>
    <w:p w:rsidR="003717A0" w:rsidRDefault="003717A0">
      <w:pPr>
        <w:spacing w:line="440" w:lineRule="exact"/>
        <w:ind w:firstLineChars="199" w:firstLine="400"/>
        <w:rPr>
          <w:b/>
          <w:sz w:val="20"/>
        </w:rPr>
      </w:pPr>
      <w:r>
        <w:rPr>
          <w:rFonts w:hint="eastAsia"/>
          <w:b/>
          <w:sz w:val="20"/>
        </w:rPr>
        <w:t>［教学内容］</w:t>
      </w:r>
    </w:p>
    <w:p w:rsidR="003717A0" w:rsidRDefault="003717A0">
      <w:pPr>
        <w:spacing w:line="440" w:lineRule="exact"/>
        <w:rPr>
          <w:sz w:val="20"/>
        </w:rPr>
      </w:pPr>
      <w:r>
        <w:rPr>
          <w:sz w:val="20"/>
        </w:rPr>
        <w:t xml:space="preserve">     1</w:t>
      </w:r>
      <w:r>
        <w:rPr>
          <w:rFonts w:hint="eastAsia"/>
          <w:sz w:val="20"/>
        </w:rPr>
        <w:t>、计划生育概述、计划生育的伦理价值、伦理问题及法律问题。</w:t>
      </w:r>
    </w:p>
    <w:p w:rsidR="003717A0" w:rsidRDefault="003717A0">
      <w:pPr>
        <w:spacing w:line="440" w:lineRule="exact"/>
        <w:ind w:firstLineChars="250" w:firstLine="500"/>
        <w:rPr>
          <w:sz w:val="20"/>
        </w:rPr>
      </w:pPr>
      <w:r>
        <w:rPr>
          <w:sz w:val="20"/>
        </w:rPr>
        <w:t>2</w:t>
      </w:r>
      <w:r>
        <w:rPr>
          <w:rFonts w:hint="eastAsia"/>
          <w:sz w:val="20"/>
        </w:rPr>
        <w:t>、人类辅助生殖技术的概念和分类、人类辅助生殖技术的伦理争论、人类辅助生殖技术和人类精子库的伦理原则。</w:t>
      </w:r>
    </w:p>
    <w:p w:rsidR="003717A0" w:rsidRDefault="003717A0">
      <w:pPr>
        <w:spacing w:line="440" w:lineRule="exact"/>
        <w:ind w:firstLineChars="250" w:firstLine="500"/>
        <w:rPr>
          <w:sz w:val="20"/>
        </w:rPr>
      </w:pPr>
      <w:r>
        <w:rPr>
          <w:sz w:val="20"/>
        </w:rPr>
        <w:t>3</w:t>
      </w:r>
      <w:r>
        <w:rPr>
          <w:rFonts w:hint="eastAsia"/>
          <w:sz w:val="20"/>
        </w:rPr>
        <w:t>、优生概述、我国优生的措施、优生工作的伦理原则。</w:t>
      </w:r>
    </w:p>
    <w:p w:rsidR="003717A0" w:rsidRDefault="003717A0">
      <w:pPr>
        <w:spacing w:line="440" w:lineRule="exact"/>
        <w:jc w:val="center"/>
        <w:rPr>
          <w:b/>
          <w:sz w:val="20"/>
        </w:rPr>
      </w:pPr>
      <w:r>
        <w:rPr>
          <w:rFonts w:hint="eastAsia"/>
          <w:b/>
          <w:sz w:val="20"/>
        </w:rPr>
        <w:t>第十章</w:t>
      </w:r>
      <w:r>
        <w:rPr>
          <w:b/>
          <w:sz w:val="20"/>
        </w:rPr>
        <w:t xml:space="preserve">  </w:t>
      </w:r>
      <w:r>
        <w:rPr>
          <w:rFonts w:hint="eastAsia"/>
          <w:b/>
          <w:sz w:val="20"/>
        </w:rPr>
        <w:t>器官移植伦理</w:t>
      </w:r>
    </w:p>
    <w:p w:rsidR="003717A0" w:rsidRDefault="003717A0">
      <w:pPr>
        <w:widowControl/>
        <w:spacing w:line="440" w:lineRule="exact"/>
        <w:ind w:firstLineChars="100" w:firstLine="200"/>
        <w:jc w:val="left"/>
        <w:rPr>
          <w:sz w:val="20"/>
        </w:rPr>
      </w:pPr>
      <w:r>
        <w:rPr>
          <w:sz w:val="20"/>
        </w:rPr>
        <w:t xml:space="preserve"> </w:t>
      </w:r>
      <w:r>
        <w:rPr>
          <w:rFonts w:hint="eastAsia"/>
          <w:b/>
          <w:sz w:val="20"/>
        </w:rPr>
        <w:t>［目的要求］</w:t>
      </w:r>
      <w:r>
        <w:rPr>
          <w:rFonts w:hint="eastAsia"/>
          <w:sz w:val="20"/>
        </w:rPr>
        <w:t>通过教学，使学生掌握器官移植的涵义和类型，各种获取器官的途径及其伦理评价，以及选择器官移植受体的道德标准，器官移植应遵循的伦理原则。</w:t>
      </w:r>
    </w:p>
    <w:p w:rsidR="003717A0" w:rsidRDefault="003717A0">
      <w:pPr>
        <w:widowControl/>
        <w:spacing w:line="440" w:lineRule="exact"/>
        <w:ind w:firstLineChars="100" w:firstLine="200"/>
        <w:jc w:val="left"/>
        <w:rPr>
          <w:b/>
          <w:sz w:val="20"/>
        </w:rPr>
      </w:pPr>
      <w:r>
        <w:rPr>
          <w:rFonts w:hint="eastAsia"/>
          <w:sz w:val="20"/>
        </w:rPr>
        <w:t xml:space="preserve">　</w:t>
      </w:r>
      <w:r>
        <w:rPr>
          <w:rFonts w:hint="eastAsia"/>
          <w:b/>
          <w:sz w:val="20"/>
        </w:rPr>
        <w:t>［教学内容］</w:t>
      </w:r>
    </w:p>
    <w:p w:rsidR="003717A0" w:rsidRDefault="003717A0">
      <w:pPr>
        <w:widowControl/>
        <w:spacing w:line="440" w:lineRule="exact"/>
        <w:ind w:firstLineChars="247" w:firstLine="494"/>
        <w:jc w:val="left"/>
        <w:rPr>
          <w:sz w:val="20"/>
        </w:rPr>
      </w:pPr>
      <w:r>
        <w:rPr>
          <w:sz w:val="20"/>
        </w:rPr>
        <w:t>1</w:t>
      </w:r>
      <w:r>
        <w:rPr>
          <w:rFonts w:hint="eastAsia"/>
          <w:sz w:val="20"/>
        </w:rPr>
        <w:t>、器官移植的涵义、类型，器官移植的历史、现状与发展趋势。</w:t>
      </w:r>
    </w:p>
    <w:p w:rsidR="003717A0" w:rsidRDefault="003717A0">
      <w:pPr>
        <w:spacing w:line="440" w:lineRule="exact"/>
        <w:rPr>
          <w:sz w:val="20"/>
        </w:rPr>
      </w:pPr>
      <w:r>
        <w:rPr>
          <w:sz w:val="20"/>
        </w:rPr>
        <w:t xml:space="preserve">     2</w:t>
      </w:r>
      <w:r>
        <w:rPr>
          <w:rFonts w:hint="eastAsia"/>
          <w:sz w:val="20"/>
        </w:rPr>
        <w:t>、器官移植的伦理问题：器官来源、获取器官的方式。</w:t>
      </w:r>
    </w:p>
    <w:p w:rsidR="003717A0" w:rsidRDefault="003717A0">
      <w:pPr>
        <w:spacing w:line="440" w:lineRule="exact"/>
        <w:rPr>
          <w:sz w:val="20"/>
        </w:rPr>
      </w:pPr>
      <w:r>
        <w:rPr>
          <w:sz w:val="20"/>
        </w:rPr>
        <w:t xml:space="preserve">     3</w:t>
      </w:r>
      <w:r>
        <w:rPr>
          <w:rFonts w:hint="eastAsia"/>
          <w:sz w:val="20"/>
        </w:rPr>
        <w:t>、器官移植的伦理原则。</w:t>
      </w:r>
    </w:p>
    <w:p w:rsidR="003717A0" w:rsidRDefault="003717A0">
      <w:pPr>
        <w:spacing w:line="440" w:lineRule="exact"/>
        <w:jc w:val="center"/>
        <w:rPr>
          <w:b/>
          <w:sz w:val="20"/>
        </w:rPr>
      </w:pPr>
      <w:r>
        <w:rPr>
          <w:rFonts w:hint="eastAsia"/>
          <w:b/>
          <w:sz w:val="20"/>
        </w:rPr>
        <w:t>第十一章</w:t>
      </w:r>
      <w:r>
        <w:rPr>
          <w:b/>
          <w:sz w:val="20"/>
        </w:rPr>
        <w:t xml:space="preserve">  </w:t>
      </w:r>
      <w:r>
        <w:rPr>
          <w:rFonts w:hint="eastAsia"/>
          <w:b/>
          <w:sz w:val="20"/>
        </w:rPr>
        <w:t>临终关怀与死亡伦理</w:t>
      </w:r>
    </w:p>
    <w:p w:rsidR="003717A0" w:rsidRDefault="003717A0">
      <w:pPr>
        <w:spacing w:line="440" w:lineRule="exact"/>
        <w:rPr>
          <w:sz w:val="20"/>
        </w:rPr>
      </w:pPr>
      <w:r>
        <w:rPr>
          <w:sz w:val="20"/>
        </w:rPr>
        <w:t xml:space="preserve"> </w:t>
      </w:r>
      <w:r>
        <w:rPr>
          <w:b/>
          <w:sz w:val="20"/>
        </w:rPr>
        <w:t xml:space="preserve"> </w:t>
      </w:r>
      <w:r>
        <w:rPr>
          <w:rFonts w:hint="eastAsia"/>
          <w:b/>
          <w:sz w:val="20"/>
        </w:rPr>
        <w:t>［目的要求］</w:t>
      </w:r>
      <w:r>
        <w:rPr>
          <w:rFonts w:hint="eastAsia"/>
          <w:sz w:val="20"/>
        </w:rPr>
        <w:t>通过教学，使学生掌握临终关怀的概念和特点、临终关怀的伦理意义和道德要求；死亡的概念、死亡标准的历史演变、脑死亡标准的伦理意义；安乐死的涵义、安乐死的伦理争议、安乐死的实施现状。</w:t>
      </w:r>
    </w:p>
    <w:p w:rsidR="003717A0" w:rsidRDefault="003717A0">
      <w:pPr>
        <w:widowControl/>
        <w:spacing w:line="440" w:lineRule="exact"/>
        <w:ind w:firstLineChars="100" w:firstLine="201"/>
        <w:jc w:val="left"/>
        <w:rPr>
          <w:b/>
          <w:sz w:val="20"/>
        </w:rPr>
      </w:pPr>
      <w:r>
        <w:rPr>
          <w:rFonts w:hint="eastAsia"/>
          <w:b/>
          <w:sz w:val="20"/>
        </w:rPr>
        <w:t>［教学内容］</w:t>
      </w:r>
    </w:p>
    <w:p w:rsidR="003717A0" w:rsidRDefault="003717A0">
      <w:pPr>
        <w:spacing w:line="440" w:lineRule="exact"/>
        <w:ind w:firstLineChars="150" w:firstLine="300"/>
        <w:rPr>
          <w:sz w:val="20"/>
        </w:rPr>
      </w:pPr>
      <w:r>
        <w:rPr>
          <w:sz w:val="20"/>
        </w:rPr>
        <w:t>1</w:t>
      </w:r>
      <w:r>
        <w:rPr>
          <w:rFonts w:hint="eastAsia"/>
          <w:sz w:val="20"/>
        </w:rPr>
        <w:t>、临终关怀概述、临终关怀的伦理意义、临终关怀的道德要求。</w:t>
      </w:r>
    </w:p>
    <w:p w:rsidR="003717A0" w:rsidRDefault="003717A0">
      <w:pPr>
        <w:spacing w:line="440" w:lineRule="exact"/>
        <w:ind w:firstLineChars="150" w:firstLine="300"/>
        <w:rPr>
          <w:sz w:val="20"/>
        </w:rPr>
      </w:pPr>
      <w:r>
        <w:rPr>
          <w:sz w:val="20"/>
        </w:rPr>
        <w:t>2</w:t>
      </w:r>
      <w:r>
        <w:rPr>
          <w:rFonts w:hint="eastAsia"/>
          <w:sz w:val="20"/>
        </w:rPr>
        <w:t>、传统死亡标准、现代脑死亡标准、脑死亡的伦理问题。</w:t>
      </w:r>
    </w:p>
    <w:p w:rsidR="003717A0" w:rsidRDefault="003717A0">
      <w:pPr>
        <w:spacing w:line="440" w:lineRule="exact"/>
        <w:ind w:firstLineChars="150" w:firstLine="300"/>
        <w:rPr>
          <w:sz w:val="20"/>
        </w:rPr>
      </w:pPr>
      <w:r>
        <w:rPr>
          <w:sz w:val="20"/>
        </w:rPr>
        <w:t>3</w:t>
      </w:r>
      <w:r>
        <w:rPr>
          <w:rFonts w:hint="eastAsia"/>
          <w:sz w:val="20"/>
        </w:rPr>
        <w:t>、安乐死的概念、历史与现状、安乐死的伦理分析、正确对待安乐死。</w:t>
      </w:r>
    </w:p>
    <w:p w:rsidR="003717A0" w:rsidRDefault="003717A0">
      <w:pPr>
        <w:spacing w:line="440" w:lineRule="exact"/>
        <w:jc w:val="center"/>
        <w:rPr>
          <w:b/>
          <w:sz w:val="20"/>
        </w:rPr>
      </w:pPr>
      <w:r>
        <w:rPr>
          <w:rFonts w:hint="eastAsia"/>
          <w:b/>
          <w:sz w:val="20"/>
        </w:rPr>
        <w:t>第十二章</w:t>
      </w:r>
      <w:r>
        <w:rPr>
          <w:b/>
          <w:sz w:val="20"/>
        </w:rPr>
        <w:t xml:space="preserve">  </w:t>
      </w:r>
      <w:r>
        <w:rPr>
          <w:rFonts w:hint="eastAsia"/>
          <w:b/>
          <w:sz w:val="20"/>
        </w:rPr>
        <w:t>公共卫生与预防医学伦理</w:t>
      </w:r>
    </w:p>
    <w:p w:rsidR="003717A0" w:rsidRDefault="003717A0">
      <w:pPr>
        <w:spacing w:line="440" w:lineRule="exact"/>
        <w:rPr>
          <w:sz w:val="20"/>
        </w:rPr>
      </w:pPr>
      <w:r>
        <w:rPr>
          <w:sz w:val="20"/>
        </w:rPr>
        <w:t xml:space="preserve"> </w:t>
      </w:r>
      <w:r>
        <w:rPr>
          <w:b/>
          <w:sz w:val="20"/>
        </w:rPr>
        <w:t xml:space="preserve"> </w:t>
      </w:r>
      <w:r>
        <w:rPr>
          <w:rFonts w:hint="eastAsia"/>
          <w:b/>
          <w:sz w:val="20"/>
        </w:rPr>
        <w:t>［目的要求］</w:t>
      </w:r>
      <w:r>
        <w:rPr>
          <w:rFonts w:hint="eastAsia"/>
          <w:sz w:val="20"/>
        </w:rPr>
        <w:t>通过教学，使学生掌握预防医学概述、伦理准则；公共卫生伦理学的含义和理论基础、公共卫生伦理原则、公共卫生工作道德要求；疾病管理伦理、健康筛分伦理。</w:t>
      </w:r>
    </w:p>
    <w:p w:rsidR="003717A0" w:rsidRDefault="003717A0">
      <w:pPr>
        <w:widowControl/>
        <w:spacing w:line="440" w:lineRule="exact"/>
        <w:ind w:firstLineChars="100" w:firstLine="201"/>
        <w:jc w:val="left"/>
        <w:rPr>
          <w:b/>
          <w:sz w:val="20"/>
        </w:rPr>
      </w:pPr>
      <w:r>
        <w:rPr>
          <w:rFonts w:hint="eastAsia"/>
          <w:b/>
          <w:sz w:val="20"/>
        </w:rPr>
        <w:t>［教学内容］</w:t>
      </w:r>
    </w:p>
    <w:p w:rsidR="003717A0" w:rsidRDefault="003717A0">
      <w:pPr>
        <w:spacing w:line="440" w:lineRule="exact"/>
        <w:rPr>
          <w:sz w:val="20"/>
        </w:rPr>
      </w:pPr>
      <w:r>
        <w:rPr>
          <w:sz w:val="20"/>
        </w:rPr>
        <w:t xml:space="preserve">   1</w:t>
      </w:r>
      <w:r>
        <w:rPr>
          <w:rFonts w:hint="eastAsia"/>
          <w:sz w:val="20"/>
        </w:rPr>
        <w:t>、预防医学概述、伦理特点、伦理准则；</w:t>
      </w:r>
    </w:p>
    <w:p w:rsidR="003717A0" w:rsidRDefault="003717A0">
      <w:pPr>
        <w:spacing w:line="440" w:lineRule="exact"/>
        <w:rPr>
          <w:sz w:val="20"/>
        </w:rPr>
      </w:pPr>
      <w:r>
        <w:rPr>
          <w:sz w:val="20"/>
        </w:rPr>
        <w:t xml:space="preserve">   2</w:t>
      </w:r>
      <w:r>
        <w:rPr>
          <w:rFonts w:hint="eastAsia"/>
          <w:sz w:val="20"/>
        </w:rPr>
        <w:t>、公共卫生伦理学的涵义和理论基础、公共卫生伦理原则、公共卫生工作道德要求；</w:t>
      </w:r>
    </w:p>
    <w:p w:rsidR="003717A0" w:rsidRDefault="003717A0">
      <w:pPr>
        <w:spacing w:line="440" w:lineRule="exact"/>
        <w:ind w:firstLineChars="150" w:firstLine="300"/>
        <w:rPr>
          <w:sz w:val="20"/>
        </w:rPr>
      </w:pPr>
      <w:r>
        <w:rPr>
          <w:sz w:val="20"/>
        </w:rPr>
        <w:t>3</w:t>
      </w:r>
      <w:r>
        <w:rPr>
          <w:rFonts w:hint="eastAsia"/>
          <w:sz w:val="20"/>
        </w:rPr>
        <w:t>、疾病控制概述、疾病管理伦理、健康筛分伦理。</w:t>
      </w:r>
    </w:p>
    <w:p w:rsidR="003717A0" w:rsidRDefault="003717A0">
      <w:pPr>
        <w:spacing w:line="440" w:lineRule="exact"/>
        <w:jc w:val="center"/>
        <w:rPr>
          <w:b/>
          <w:sz w:val="20"/>
        </w:rPr>
      </w:pPr>
      <w:r>
        <w:rPr>
          <w:rFonts w:hint="eastAsia"/>
          <w:b/>
          <w:sz w:val="20"/>
        </w:rPr>
        <w:t>第十三章</w:t>
      </w:r>
      <w:r>
        <w:rPr>
          <w:b/>
          <w:sz w:val="20"/>
        </w:rPr>
        <w:t xml:space="preserve">  </w:t>
      </w:r>
      <w:r>
        <w:rPr>
          <w:rFonts w:hint="eastAsia"/>
          <w:b/>
          <w:sz w:val="20"/>
        </w:rPr>
        <w:t>医院管理伦理</w:t>
      </w:r>
    </w:p>
    <w:p w:rsidR="003717A0" w:rsidRDefault="003717A0">
      <w:pPr>
        <w:spacing w:line="440" w:lineRule="exact"/>
        <w:rPr>
          <w:sz w:val="20"/>
        </w:rPr>
      </w:pPr>
      <w:r>
        <w:rPr>
          <w:sz w:val="20"/>
        </w:rPr>
        <w:t xml:space="preserve">   </w:t>
      </w:r>
      <w:r>
        <w:rPr>
          <w:rFonts w:hint="eastAsia"/>
          <w:b/>
          <w:sz w:val="20"/>
        </w:rPr>
        <w:t>［目的要求］</w:t>
      </w:r>
      <w:r>
        <w:rPr>
          <w:rFonts w:hint="eastAsia"/>
          <w:sz w:val="20"/>
        </w:rPr>
        <w:t>通过教学，使学生掌握医院管理的伦理意义、伦理原则；医院伦理委员会的功能、建立</w:t>
      </w:r>
      <w:r>
        <w:rPr>
          <w:rFonts w:hint="eastAsia"/>
          <w:sz w:val="20"/>
        </w:rPr>
        <w:lastRenderedPageBreak/>
        <w:t>医院伦理委员会的意义；医德建设在医院管理中的地位和作用。</w:t>
      </w:r>
    </w:p>
    <w:p w:rsidR="003717A0" w:rsidRDefault="003717A0">
      <w:pPr>
        <w:widowControl/>
        <w:spacing w:line="440" w:lineRule="exact"/>
        <w:ind w:firstLineChars="150" w:firstLine="301"/>
        <w:jc w:val="left"/>
        <w:rPr>
          <w:b/>
          <w:sz w:val="20"/>
        </w:rPr>
      </w:pPr>
      <w:r>
        <w:rPr>
          <w:rFonts w:hint="eastAsia"/>
          <w:b/>
          <w:sz w:val="20"/>
        </w:rPr>
        <w:t>［教学内容］</w:t>
      </w:r>
    </w:p>
    <w:p w:rsidR="003717A0" w:rsidRDefault="003717A0">
      <w:pPr>
        <w:spacing w:line="440" w:lineRule="exact"/>
        <w:rPr>
          <w:sz w:val="20"/>
        </w:rPr>
      </w:pPr>
      <w:r>
        <w:rPr>
          <w:sz w:val="20"/>
        </w:rPr>
        <w:t xml:space="preserve">   1</w:t>
      </w:r>
      <w:r>
        <w:rPr>
          <w:rFonts w:hint="eastAsia"/>
          <w:sz w:val="20"/>
        </w:rPr>
        <w:t>、医院管理的伦理意义、伦理原则。</w:t>
      </w:r>
    </w:p>
    <w:p w:rsidR="003717A0" w:rsidRDefault="003717A0">
      <w:pPr>
        <w:spacing w:line="440" w:lineRule="exact"/>
        <w:ind w:firstLineChars="200" w:firstLine="400"/>
        <w:rPr>
          <w:sz w:val="20"/>
        </w:rPr>
      </w:pPr>
      <w:r>
        <w:rPr>
          <w:sz w:val="20"/>
        </w:rPr>
        <w:t>2</w:t>
      </w:r>
      <w:r>
        <w:rPr>
          <w:rFonts w:hint="eastAsia"/>
          <w:sz w:val="20"/>
        </w:rPr>
        <w:t>、建立医院伦理委员会的意义、伦理委员会的功能、医院伦理委员会的性质及组织形式。</w:t>
      </w:r>
    </w:p>
    <w:p w:rsidR="003717A0" w:rsidRDefault="003717A0">
      <w:pPr>
        <w:spacing w:line="440" w:lineRule="exact"/>
        <w:ind w:firstLineChars="200" w:firstLine="400"/>
        <w:rPr>
          <w:sz w:val="20"/>
        </w:rPr>
      </w:pPr>
      <w:r>
        <w:rPr>
          <w:sz w:val="20"/>
        </w:rPr>
        <w:t>3</w:t>
      </w:r>
      <w:r>
        <w:rPr>
          <w:rFonts w:hint="eastAsia"/>
          <w:sz w:val="20"/>
        </w:rPr>
        <w:t>、医德建设在医院管理中的地位和作用。</w:t>
      </w:r>
    </w:p>
    <w:p w:rsidR="003717A0" w:rsidRDefault="003717A0">
      <w:pPr>
        <w:spacing w:line="440" w:lineRule="exact"/>
        <w:jc w:val="center"/>
        <w:rPr>
          <w:b/>
          <w:sz w:val="20"/>
        </w:rPr>
      </w:pPr>
      <w:r>
        <w:rPr>
          <w:rFonts w:hint="eastAsia"/>
          <w:b/>
          <w:sz w:val="20"/>
        </w:rPr>
        <w:t>第十四章</w:t>
      </w:r>
      <w:r>
        <w:rPr>
          <w:b/>
          <w:sz w:val="20"/>
        </w:rPr>
        <w:t xml:space="preserve">  </w:t>
      </w:r>
      <w:r>
        <w:rPr>
          <w:rFonts w:hint="eastAsia"/>
          <w:b/>
          <w:sz w:val="20"/>
        </w:rPr>
        <w:t>卫生经济伦理</w:t>
      </w:r>
    </w:p>
    <w:p w:rsidR="003717A0" w:rsidRDefault="003717A0">
      <w:pPr>
        <w:spacing w:line="440" w:lineRule="exact"/>
        <w:ind w:firstLineChars="150" w:firstLine="301"/>
        <w:rPr>
          <w:sz w:val="20"/>
        </w:rPr>
      </w:pPr>
      <w:r>
        <w:rPr>
          <w:rFonts w:hint="eastAsia"/>
          <w:b/>
          <w:sz w:val="20"/>
        </w:rPr>
        <w:t>［目的要求］</w:t>
      </w:r>
      <w:r>
        <w:rPr>
          <w:rFonts w:hint="eastAsia"/>
          <w:sz w:val="20"/>
        </w:rPr>
        <w:t>通过教学，使学生掌握卫生经济伦理学的政策理论、制定卫生政策的道德要求；卫生领域公平与效率的伦理选择；政府、集体、个人在医疗改革中应承担的责任伦理。</w:t>
      </w:r>
    </w:p>
    <w:p w:rsidR="003717A0" w:rsidRDefault="003717A0">
      <w:pPr>
        <w:widowControl/>
        <w:spacing w:line="440" w:lineRule="exact"/>
        <w:ind w:firstLineChars="149" w:firstLine="299"/>
        <w:jc w:val="left"/>
        <w:rPr>
          <w:b/>
          <w:sz w:val="20"/>
        </w:rPr>
      </w:pPr>
      <w:r>
        <w:rPr>
          <w:rFonts w:hint="eastAsia"/>
          <w:b/>
          <w:sz w:val="20"/>
        </w:rPr>
        <w:t>［教学内容］</w:t>
      </w:r>
    </w:p>
    <w:p w:rsidR="003717A0" w:rsidRDefault="003717A0">
      <w:pPr>
        <w:spacing w:line="440" w:lineRule="exact"/>
        <w:ind w:firstLineChars="150" w:firstLine="300"/>
        <w:rPr>
          <w:sz w:val="20"/>
        </w:rPr>
      </w:pPr>
      <w:r>
        <w:rPr>
          <w:sz w:val="20"/>
        </w:rPr>
        <w:t>1</w:t>
      </w:r>
      <w:r>
        <w:rPr>
          <w:rFonts w:hint="eastAsia"/>
          <w:sz w:val="20"/>
        </w:rPr>
        <w:t>、卫生经济伦理学的政策理论、制定卫生政策的道德要求。</w:t>
      </w:r>
    </w:p>
    <w:p w:rsidR="003717A0" w:rsidRDefault="003717A0">
      <w:pPr>
        <w:spacing w:line="440" w:lineRule="exact"/>
        <w:ind w:firstLineChars="150" w:firstLine="300"/>
        <w:rPr>
          <w:sz w:val="20"/>
        </w:rPr>
      </w:pPr>
      <w:r>
        <w:rPr>
          <w:sz w:val="20"/>
        </w:rPr>
        <w:t>2</w:t>
      </w:r>
      <w:r>
        <w:rPr>
          <w:rFonts w:hint="eastAsia"/>
          <w:sz w:val="20"/>
        </w:rPr>
        <w:t>、卫生资源分配的伦理问题、卫生领域公平与效率的伦理选择。</w:t>
      </w:r>
    </w:p>
    <w:p w:rsidR="003717A0" w:rsidRDefault="003717A0">
      <w:pPr>
        <w:spacing w:line="440" w:lineRule="exact"/>
        <w:ind w:firstLineChars="150" w:firstLine="300"/>
        <w:rPr>
          <w:sz w:val="20"/>
        </w:rPr>
      </w:pPr>
      <w:r>
        <w:rPr>
          <w:sz w:val="20"/>
        </w:rPr>
        <w:t>3</w:t>
      </w:r>
      <w:r>
        <w:rPr>
          <w:rFonts w:hint="eastAsia"/>
          <w:sz w:val="20"/>
        </w:rPr>
        <w:t>、医疗改革的伦理问题，政府、集体、个人在医疗改革中应承担的责任伦理。</w:t>
      </w:r>
    </w:p>
    <w:p w:rsidR="003717A0" w:rsidRDefault="003717A0">
      <w:pPr>
        <w:spacing w:line="440" w:lineRule="exact"/>
        <w:jc w:val="center"/>
        <w:rPr>
          <w:sz w:val="20"/>
        </w:rPr>
      </w:pPr>
      <w:r>
        <w:rPr>
          <w:rFonts w:hint="eastAsia"/>
          <w:sz w:val="20"/>
        </w:rPr>
        <w:t>第十五章</w:t>
      </w:r>
      <w:r>
        <w:rPr>
          <w:sz w:val="20"/>
        </w:rPr>
        <w:t xml:space="preserve">  </w:t>
      </w:r>
      <w:r>
        <w:rPr>
          <w:rFonts w:hint="eastAsia"/>
          <w:sz w:val="20"/>
        </w:rPr>
        <w:t>医学技术伦理</w:t>
      </w:r>
    </w:p>
    <w:p w:rsidR="003717A0" w:rsidRDefault="003717A0">
      <w:pPr>
        <w:spacing w:line="440" w:lineRule="exact"/>
        <w:ind w:firstLineChars="49" w:firstLine="98"/>
        <w:rPr>
          <w:sz w:val="20"/>
        </w:rPr>
      </w:pPr>
      <w:r>
        <w:rPr>
          <w:sz w:val="20"/>
        </w:rPr>
        <w:t xml:space="preserve"> </w:t>
      </w:r>
      <w:r>
        <w:rPr>
          <w:rFonts w:hint="eastAsia"/>
          <w:b/>
          <w:sz w:val="20"/>
        </w:rPr>
        <w:t>［目的要求］</w:t>
      </w:r>
      <w:r>
        <w:rPr>
          <w:rFonts w:hint="eastAsia"/>
          <w:sz w:val="20"/>
        </w:rPr>
        <w:t>通过教学，使学生掌握基因研究的伦理原则；人的胚胎干细胞研究与应用的伦理规范；人的生殖性克隆技术的伦理争论。</w:t>
      </w:r>
    </w:p>
    <w:p w:rsidR="003717A0" w:rsidRDefault="003717A0">
      <w:pPr>
        <w:spacing w:line="440" w:lineRule="exact"/>
        <w:rPr>
          <w:b/>
          <w:sz w:val="20"/>
        </w:rPr>
      </w:pPr>
      <w:r>
        <w:rPr>
          <w:sz w:val="20"/>
        </w:rPr>
        <w:t> </w:t>
      </w:r>
      <w:r>
        <w:rPr>
          <w:b/>
          <w:sz w:val="20"/>
        </w:rPr>
        <w:t>   </w:t>
      </w:r>
      <w:r>
        <w:rPr>
          <w:rFonts w:hint="eastAsia"/>
          <w:b/>
          <w:sz w:val="20"/>
        </w:rPr>
        <w:t>［教学内容］</w:t>
      </w:r>
    </w:p>
    <w:p w:rsidR="003717A0" w:rsidRDefault="003717A0">
      <w:pPr>
        <w:spacing w:line="440" w:lineRule="exact"/>
        <w:ind w:firstLineChars="150" w:firstLine="300"/>
        <w:rPr>
          <w:sz w:val="20"/>
        </w:rPr>
      </w:pPr>
      <w:r>
        <w:rPr>
          <w:sz w:val="20"/>
        </w:rPr>
        <w:t>1</w:t>
      </w:r>
      <w:r>
        <w:rPr>
          <w:rFonts w:hint="eastAsia"/>
          <w:sz w:val="20"/>
        </w:rPr>
        <w:t>、基因诊断伦理、基因治疗伦理。</w:t>
      </w:r>
    </w:p>
    <w:p w:rsidR="003717A0" w:rsidRDefault="003717A0">
      <w:pPr>
        <w:spacing w:line="440" w:lineRule="exact"/>
        <w:ind w:firstLineChars="150" w:firstLine="300"/>
        <w:rPr>
          <w:sz w:val="20"/>
        </w:rPr>
      </w:pPr>
      <w:r>
        <w:rPr>
          <w:sz w:val="20"/>
        </w:rPr>
        <w:t>2</w:t>
      </w:r>
      <w:r>
        <w:rPr>
          <w:rFonts w:hint="eastAsia"/>
          <w:sz w:val="20"/>
        </w:rPr>
        <w:t>、人的胚胎干细胞研究与应用的伦理争论、人的胚胎干细胞研究与应用的伦理规范。</w:t>
      </w:r>
    </w:p>
    <w:p w:rsidR="003717A0" w:rsidRDefault="003717A0">
      <w:pPr>
        <w:spacing w:line="440" w:lineRule="exact"/>
        <w:ind w:firstLineChars="150" w:firstLine="300"/>
        <w:rPr>
          <w:sz w:val="20"/>
        </w:rPr>
      </w:pPr>
      <w:r>
        <w:rPr>
          <w:sz w:val="20"/>
        </w:rPr>
        <w:t>3</w:t>
      </w:r>
      <w:r>
        <w:rPr>
          <w:rFonts w:hint="eastAsia"/>
          <w:sz w:val="20"/>
        </w:rPr>
        <w:t xml:space="preserve">、人的生殖性克隆技术的伦理争论。　　　</w:t>
      </w:r>
    </w:p>
    <w:p w:rsidR="003717A0" w:rsidRDefault="003717A0">
      <w:pPr>
        <w:spacing w:line="440" w:lineRule="exact"/>
        <w:ind w:firstLineChars="150" w:firstLine="300"/>
        <w:rPr>
          <w:sz w:val="20"/>
        </w:rPr>
      </w:pPr>
    </w:p>
    <w:p w:rsidR="003717A0" w:rsidRDefault="003717A0">
      <w:pPr>
        <w:spacing w:line="440" w:lineRule="exact"/>
        <w:ind w:firstLineChars="150" w:firstLine="301"/>
        <w:rPr>
          <w:b/>
          <w:sz w:val="20"/>
        </w:rPr>
      </w:pPr>
      <w:r>
        <w:rPr>
          <w:rFonts w:hint="eastAsia"/>
          <w:b/>
          <w:sz w:val="20"/>
        </w:rPr>
        <w:t>熟悉生命伦理学最新重要文献</w:t>
      </w:r>
    </w:p>
    <w:p w:rsidR="003717A0" w:rsidRDefault="003717A0">
      <w:pPr>
        <w:spacing w:line="440" w:lineRule="exact"/>
        <w:ind w:firstLineChars="150" w:firstLine="300"/>
        <w:rPr>
          <w:sz w:val="20"/>
        </w:rPr>
      </w:pPr>
      <w:r>
        <w:rPr>
          <w:sz w:val="20"/>
        </w:rPr>
        <w:t>1.</w:t>
      </w:r>
      <w:r>
        <w:rPr>
          <w:rFonts w:hint="eastAsia"/>
          <w:sz w:val="20"/>
        </w:rPr>
        <w:t>贝尔蒙报告（保护人类受试者的伦理原则与准则）（</w:t>
      </w:r>
      <w:r>
        <w:rPr>
          <w:sz w:val="20"/>
        </w:rPr>
        <w:t>1979</w:t>
      </w:r>
      <w:r>
        <w:rPr>
          <w:rFonts w:hint="eastAsia"/>
          <w:sz w:val="20"/>
        </w:rPr>
        <w:t>年）</w:t>
      </w:r>
    </w:p>
    <w:p w:rsidR="003717A0" w:rsidRDefault="003717A0">
      <w:pPr>
        <w:spacing w:line="440" w:lineRule="exact"/>
        <w:ind w:firstLineChars="150" w:firstLine="300"/>
        <w:rPr>
          <w:sz w:val="20"/>
        </w:rPr>
      </w:pPr>
      <w:r>
        <w:rPr>
          <w:sz w:val="20"/>
        </w:rPr>
        <w:t>2.</w:t>
      </w:r>
      <w:r>
        <w:rPr>
          <w:rFonts w:hint="eastAsia"/>
          <w:sz w:val="20"/>
        </w:rPr>
        <w:t>赫尔辛基宣言（涉及人类受试者医学研究的伦理准则）（</w:t>
      </w:r>
      <w:r>
        <w:rPr>
          <w:sz w:val="20"/>
        </w:rPr>
        <w:t>2000</w:t>
      </w:r>
      <w:r>
        <w:rPr>
          <w:rFonts w:hint="eastAsia"/>
          <w:sz w:val="20"/>
        </w:rPr>
        <w:t>年修订）</w:t>
      </w:r>
    </w:p>
    <w:p w:rsidR="003717A0" w:rsidRDefault="003717A0">
      <w:pPr>
        <w:spacing w:line="440" w:lineRule="exact"/>
        <w:ind w:firstLineChars="150" w:firstLine="300"/>
        <w:rPr>
          <w:sz w:val="20"/>
        </w:rPr>
      </w:pPr>
      <w:r>
        <w:rPr>
          <w:sz w:val="20"/>
        </w:rPr>
        <w:t>3.</w:t>
      </w:r>
      <w:r>
        <w:rPr>
          <w:rFonts w:hint="eastAsia"/>
          <w:sz w:val="20"/>
        </w:rPr>
        <w:t>生命伦理学吉汉宣言（</w:t>
      </w:r>
      <w:r>
        <w:rPr>
          <w:sz w:val="20"/>
        </w:rPr>
        <w:t>2000</w:t>
      </w:r>
      <w:r>
        <w:rPr>
          <w:rFonts w:hint="eastAsia"/>
          <w:sz w:val="20"/>
        </w:rPr>
        <w:t>年）</w:t>
      </w:r>
    </w:p>
    <w:p w:rsidR="003717A0" w:rsidRDefault="003717A0">
      <w:pPr>
        <w:spacing w:line="440" w:lineRule="exact"/>
        <w:ind w:firstLineChars="150" w:firstLine="300"/>
        <w:rPr>
          <w:sz w:val="20"/>
        </w:rPr>
      </w:pPr>
      <w:r>
        <w:rPr>
          <w:sz w:val="20"/>
        </w:rPr>
        <w:t>4.</w:t>
      </w:r>
      <w:r>
        <w:rPr>
          <w:rFonts w:hint="eastAsia"/>
          <w:sz w:val="20"/>
        </w:rPr>
        <w:t>国际性研究中的伦理与政策问题：发展中国家的临床试验（</w:t>
      </w:r>
      <w:r>
        <w:rPr>
          <w:sz w:val="20"/>
        </w:rPr>
        <w:t>2001</w:t>
      </w:r>
      <w:r>
        <w:rPr>
          <w:rFonts w:hint="eastAsia"/>
          <w:sz w:val="20"/>
        </w:rPr>
        <w:t>年）</w:t>
      </w:r>
    </w:p>
    <w:p w:rsidR="003717A0" w:rsidRDefault="003717A0">
      <w:pPr>
        <w:spacing w:line="440" w:lineRule="exact"/>
        <w:ind w:firstLineChars="150" w:firstLine="300"/>
        <w:rPr>
          <w:sz w:val="20"/>
        </w:rPr>
      </w:pPr>
      <w:r>
        <w:rPr>
          <w:sz w:val="20"/>
        </w:rPr>
        <w:t>5.</w:t>
      </w:r>
      <w:r>
        <w:rPr>
          <w:rFonts w:hint="eastAsia"/>
          <w:sz w:val="20"/>
        </w:rPr>
        <w:t>国际人类基因组组织（</w:t>
      </w:r>
      <w:r>
        <w:rPr>
          <w:sz w:val="20"/>
        </w:rPr>
        <w:t>HUGO</w:t>
      </w:r>
      <w:r>
        <w:rPr>
          <w:rFonts w:hint="eastAsia"/>
          <w:sz w:val="20"/>
        </w:rPr>
        <w:t>）伦理委员会关于人类基因组数据库的声明（</w:t>
      </w:r>
      <w:r>
        <w:rPr>
          <w:sz w:val="20"/>
        </w:rPr>
        <w:t>2002</w:t>
      </w:r>
      <w:r>
        <w:rPr>
          <w:rFonts w:hint="eastAsia"/>
          <w:sz w:val="20"/>
        </w:rPr>
        <w:t>年）</w:t>
      </w:r>
    </w:p>
    <w:p w:rsidR="003717A0" w:rsidRDefault="003717A0">
      <w:pPr>
        <w:spacing w:line="440" w:lineRule="exact"/>
        <w:ind w:firstLineChars="150" w:firstLine="300"/>
        <w:rPr>
          <w:sz w:val="20"/>
        </w:rPr>
      </w:pPr>
      <w:r>
        <w:rPr>
          <w:sz w:val="20"/>
        </w:rPr>
        <w:t>6.</w:t>
      </w:r>
      <w:r>
        <w:rPr>
          <w:rFonts w:hint="eastAsia"/>
          <w:sz w:val="20"/>
        </w:rPr>
        <w:t>国际医学科学组织委员会《人体生物医学研究国际道德指南》（</w:t>
      </w:r>
      <w:r>
        <w:rPr>
          <w:sz w:val="20"/>
        </w:rPr>
        <w:t>2002</w:t>
      </w:r>
      <w:r>
        <w:rPr>
          <w:rFonts w:hint="eastAsia"/>
          <w:sz w:val="20"/>
        </w:rPr>
        <w:t>年</w:t>
      </w:r>
      <w:r>
        <w:rPr>
          <w:sz w:val="20"/>
        </w:rPr>
        <w:t>8</w:t>
      </w:r>
      <w:r>
        <w:rPr>
          <w:rFonts w:hint="eastAsia"/>
          <w:sz w:val="20"/>
        </w:rPr>
        <w:t>月修订）</w:t>
      </w:r>
    </w:p>
    <w:p w:rsidR="003717A0" w:rsidRDefault="003717A0">
      <w:pPr>
        <w:spacing w:line="440" w:lineRule="exact"/>
        <w:ind w:firstLineChars="150" w:firstLine="300"/>
        <w:rPr>
          <w:sz w:val="20"/>
        </w:rPr>
      </w:pPr>
      <w:r>
        <w:rPr>
          <w:sz w:val="20"/>
        </w:rPr>
        <w:t>7.</w:t>
      </w:r>
      <w:r>
        <w:rPr>
          <w:rFonts w:hint="eastAsia"/>
          <w:sz w:val="20"/>
        </w:rPr>
        <w:t>《突发公共卫生事件应急条例》（</w:t>
      </w:r>
      <w:r>
        <w:rPr>
          <w:sz w:val="20"/>
        </w:rPr>
        <w:t>2003</w:t>
      </w:r>
      <w:r>
        <w:rPr>
          <w:rFonts w:hint="eastAsia"/>
          <w:sz w:val="20"/>
        </w:rPr>
        <w:t>年</w:t>
      </w:r>
      <w:r>
        <w:rPr>
          <w:sz w:val="20"/>
        </w:rPr>
        <w:t>5</w:t>
      </w:r>
      <w:r>
        <w:rPr>
          <w:rFonts w:hint="eastAsia"/>
          <w:sz w:val="20"/>
        </w:rPr>
        <w:t>月</w:t>
      </w:r>
      <w:r>
        <w:rPr>
          <w:sz w:val="20"/>
        </w:rPr>
        <w:t>9</w:t>
      </w:r>
      <w:r>
        <w:rPr>
          <w:rFonts w:hint="eastAsia"/>
          <w:sz w:val="20"/>
        </w:rPr>
        <w:t>日国务院</w:t>
      </w:r>
      <w:r>
        <w:rPr>
          <w:sz w:val="20"/>
        </w:rPr>
        <w:t>375</w:t>
      </w:r>
      <w:r>
        <w:rPr>
          <w:rFonts w:hint="eastAsia"/>
          <w:sz w:val="20"/>
        </w:rPr>
        <w:t>号令）</w:t>
      </w:r>
    </w:p>
    <w:p w:rsidR="003717A0" w:rsidRDefault="003717A0">
      <w:pPr>
        <w:spacing w:line="440" w:lineRule="exact"/>
        <w:ind w:firstLineChars="150" w:firstLine="300"/>
        <w:rPr>
          <w:sz w:val="20"/>
        </w:rPr>
      </w:pPr>
      <w:r>
        <w:rPr>
          <w:sz w:val="20"/>
        </w:rPr>
        <w:t>8.</w:t>
      </w:r>
      <w:r>
        <w:rPr>
          <w:rFonts w:hint="eastAsia"/>
          <w:sz w:val="20"/>
        </w:rPr>
        <w:t>中华人民共和国卫生部《人类辅助生殖技术和人类精子库伦理原则》（</w:t>
      </w:r>
      <w:r>
        <w:rPr>
          <w:sz w:val="20"/>
        </w:rPr>
        <w:t>2003</w:t>
      </w:r>
      <w:r>
        <w:rPr>
          <w:rFonts w:hint="eastAsia"/>
          <w:sz w:val="20"/>
        </w:rPr>
        <w:t>年）</w:t>
      </w:r>
    </w:p>
    <w:p w:rsidR="003717A0" w:rsidRDefault="003717A0">
      <w:pPr>
        <w:spacing w:line="440" w:lineRule="exact"/>
        <w:ind w:firstLineChars="150" w:firstLine="300"/>
        <w:rPr>
          <w:sz w:val="20"/>
        </w:rPr>
      </w:pPr>
      <w:r>
        <w:rPr>
          <w:sz w:val="20"/>
        </w:rPr>
        <w:t>9.</w:t>
      </w:r>
      <w:r>
        <w:rPr>
          <w:rFonts w:hint="eastAsia"/>
          <w:sz w:val="20"/>
        </w:rPr>
        <w:t>中华人民共和国国家食品药品监督管理局《药物临床试验质量管理规范》（</w:t>
      </w:r>
      <w:r>
        <w:rPr>
          <w:sz w:val="20"/>
        </w:rPr>
        <w:t>2003</w:t>
      </w:r>
      <w:r>
        <w:rPr>
          <w:rFonts w:hint="eastAsia"/>
          <w:sz w:val="20"/>
        </w:rPr>
        <w:t>年）</w:t>
      </w:r>
    </w:p>
    <w:p w:rsidR="003717A0" w:rsidRDefault="003717A0" w:rsidP="00F5156D">
      <w:pPr>
        <w:spacing w:line="440" w:lineRule="exact"/>
        <w:ind w:firstLineChars="150" w:firstLine="300"/>
        <w:rPr>
          <w:sz w:val="20"/>
        </w:rPr>
      </w:pPr>
      <w:r>
        <w:rPr>
          <w:sz w:val="20"/>
        </w:rPr>
        <w:t>10.</w:t>
      </w:r>
      <w:r>
        <w:rPr>
          <w:rFonts w:hint="eastAsia"/>
          <w:sz w:val="20"/>
        </w:rPr>
        <w:t>中华人民共和国科技部、卫生部《人胚胎干细胞研究伦理指导原则》（</w:t>
      </w:r>
      <w:r>
        <w:rPr>
          <w:sz w:val="20"/>
        </w:rPr>
        <w:t>2003</w:t>
      </w:r>
      <w:r>
        <w:rPr>
          <w:rFonts w:hint="eastAsia"/>
          <w:sz w:val="20"/>
        </w:rPr>
        <w:t xml:space="preserve">年）　　　</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医学伦理学课程安排</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教学时数：</w:t>
      </w:r>
      <w:r>
        <w:rPr>
          <w:rFonts w:ascii="Times New Roman" w:eastAsia="黑体" w:hAnsi="Times New Roman"/>
          <w:b/>
          <w:kern w:val="0"/>
          <w:sz w:val="24"/>
          <w:szCs w:val="24"/>
        </w:rPr>
        <w:t>27</w:t>
      </w:r>
      <w:r>
        <w:rPr>
          <w:rFonts w:ascii="Times New Roman" w:eastAsia="黑体" w:hAnsi="Times New Roman" w:hint="eastAsia"/>
          <w:b/>
          <w:kern w:val="0"/>
          <w:sz w:val="24"/>
          <w:szCs w:val="24"/>
        </w:rPr>
        <w:t>学时</w:t>
      </w:r>
      <w:r>
        <w:rPr>
          <w:rFonts w:ascii="Times New Roman" w:eastAsia="黑体" w:hAnsi="Times New Roman"/>
          <w:b/>
          <w:kern w:val="0"/>
          <w:sz w:val="24"/>
          <w:szCs w:val="24"/>
        </w:rPr>
        <w:t xml:space="preserve">  3</w:t>
      </w:r>
      <w:r>
        <w:rPr>
          <w:rFonts w:ascii="Times New Roman" w:eastAsia="黑体" w:hAnsi="Times New Roman" w:hint="eastAsia"/>
          <w:b/>
          <w:kern w:val="0"/>
          <w:sz w:val="24"/>
          <w:szCs w:val="24"/>
        </w:rPr>
        <w:t>学时</w:t>
      </w:r>
      <w:r>
        <w:rPr>
          <w:rFonts w:ascii="楷体_GB2312" w:eastAsia="楷体_GB2312" w:hAnsi="楷体_GB2312"/>
          <w:b/>
          <w:kern w:val="0"/>
          <w:sz w:val="24"/>
          <w:szCs w:val="24"/>
        </w:rPr>
        <w:t>/</w:t>
      </w:r>
      <w:r>
        <w:rPr>
          <w:rFonts w:ascii="Times New Roman" w:eastAsia="黑体" w:hAnsi="Times New Roman" w:hint="eastAsia"/>
          <w:b/>
          <w:kern w:val="0"/>
          <w:sz w:val="24"/>
          <w:szCs w:val="24"/>
        </w:rPr>
        <w:t>每周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95"/>
        <w:gridCol w:w="3095"/>
        <w:gridCol w:w="3096"/>
      </w:tblGrid>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章</w:t>
            </w:r>
            <w:r>
              <w:rPr>
                <w:sz w:val="22"/>
              </w:rPr>
              <w:t xml:space="preserve"> </w:t>
            </w:r>
            <w:r>
              <w:rPr>
                <w:rFonts w:hint="eastAsia"/>
                <w:sz w:val="22"/>
              </w:rPr>
              <w:t>节</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内</w:t>
            </w:r>
            <w:r>
              <w:rPr>
                <w:sz w:val="22"/>
              </w:rPr>
              <w:t xml:space="preserve"> </w:t>
            </w:r>
            <w:r>
              <w:rPr>
                <w:rFonts w:hint="eastAsia"/>
                <w:sz w:val="22"/>
              </w:rPr>
              <w:t>容</w:t>
            </w:r>
          </w:p>
        </w:tc>
        <w:tc>
          <w:tcPr>
            <w:tcW w:w="3096" w:type="dxa"/>
          </w:tcPr>
          <w:p w:rsidR="003717A0" w:rsidRDefault="003717A0">
            <w:pPr>
              <w:autoSpaceDE w:val="0"/>
              <w:autoSpaceDN w:val="0"/>
              <w:adjustRightInd w:val="0"/>
              <w:snapToGrid w:val="0"/>
              <w:spacing w:line="440" w:lineRule="exact"/>
              <w:jc w:val="center"/>
              <w:rPr>
                <w:sz w:val="22"/>
              </w:rPr>
            </w:pPr>
            <w:r>
              <w:rPr>
                <w:rFonts w:hint="eastAsia"/>
                <w:sz w:val="22"/>
              </w:rPr>
              <w:t>学</w:t>
            </w:r>
            <w:r>
              <w:rPr>
                <w:sz w:val="22"/>
              </w:rPr>
              <w:t xml:space="preserve"> </w:t>
            </w:r>
            <w:r>
              <w:rPr>
                <w:rFonts w:hint="eastAsia"/>
                <w:sz w:val="22"/>
              </w:rPr>
              <w:t>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第一章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伦理学与医学伦理学</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第二章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医学伦理学发展历程</w:t>
            </w:r>
          </w:p>
        </w:tc>
        <w:tc>
          <w:tcPr>
            <w:tcW w:w="3096" w:type="dxa"/>
            <w:vMerge/>
          </w:tcPr>
          <w:p w:rsidR="003717A0" w:rsidRDefault="003717A0">
            <w:pPr>
              <w:autoSpaceDE w:val="0"/>
              <w:autoSpaceDN w:val="0"/>
              <w:adjustRightInd w:val="0"/>
              <w:snapToGrid w:val="0"/>
              <w:spacing w:line="440" w:lineRule="exact"/>
              <w:jc w:val="center"/>
              <w:rPr>
                <w:sz w:val="22"/>
              </w:rPr>
            </w:pP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第三章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医学伦理学基本理论</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第四章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医学伦理学基本原则与规范</w:t>
            </w:r>
          </w:p>
        </w:tc>
        <w:tc>
          <w:tcPr>
            <w:tcW w:w="3096" w:type="dxa"/>
            <w:vMerge/>
          </w:tcPr>
          <w:p w:rsidR="003717A0" w:rsidRDefault="003717A0">
            <w:pPr>
              <w:autoSpaceDE w:val="0"/>
              <w:autoSpaceDN w:val="0"/>
              <w:adjustRightInd w:val="0"/>
              <w:snapToGrid w:val="0"/>
              <w:spacing w:line="440" w:lineRule="exact"/>
              <w:jc w:val="center"/>
              <w:rPr>
                <w:sz w:val="22"/>
              </w:rPr>
            </w:pP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第五章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医学伦理基本素养与行为规范</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rPr>
          <w:trHeight w:val="302"/>
        </w:trPr>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第六章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医疗人际关系伦理</w:t>
            </w:r>
          </w:p>
        </w:tc>
        <w:tc>
          <w:tcPr>
            <w:tcW w:w="3096" w:type="dxa"/>
            <w:vMerge/>
          </w:tcPr>
          <w:p w:rsidR="003717A0" w:rsidRDefault="003717A0">
            <w:pPr>
              <w:autoSpaceDE w:val="0"/>
              <w:autoSpaceDN w:val="0"/>
              <w:adjustRightInd w:val="0"/>
              <w:snapToGrid w:val="0"/>
              <w:spacing w:line="440" w:lineRule="exact"/>
              <w:jc w:val="center"/>
              <w:rPr>
                <w:sz w:val="22"/>
              </w:rPr>
            </w:pP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第七章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临床常规诊疗伦理</w:t>
            </w:r>
          </w:p>
        </w:tc>
        <w:tc>
          <w:tcPr>
            <w:tcW w:w="3096" w:type="dxa"/>
          </w:tcPr>
          <w:p w:rsidR="003717A0" w:rsidRDefault="003717A0">
            <w:pPr>
              <w:autoSpaceDE w:val="0"/>
              <w:autoSpaceDN w:val="0"/>
              <w:adjustRightInd w:val="0"/>
              <w:snapToGrid w:val="0"/>
              <w:spacing w:line="440" w:lineRule="exact"/>
              <w:jc w:val="center"/>
              <w:rPr>
                <w:sz w:val="22"/>
              </w:rPr>
            </w:pPr>
            <w:r>
              <w:rPr>
                <w:sz w:val="22"/>
              </w:rPr>
              <w:t>6</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第八章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医学科研伦理</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第九章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生殖伦理</w:t>
            </w:r>
          </w:p>
        </w:tc>
        <w:tc>
          <w:tcPr>
            <w:tcW w:w="3096" w:type="dxa"/>
            <w:vMerge/>
            <w:vAlign w:val="center"/>
          </w:tcPr>
          <w:p w:rsidR="003717A0" w:rsidRDefault="003717A0">
            <w:pPr>
              <w:autoSpaceDE w:val="0"/>
              <w:autoSpaceDN w:val="0"/>
              <w:adjustRightInd w:val="0"/>
              <w:snapToGrid w:val="0"/>
              <w:spacing w:line="440" w:lineRule="exact"/>
              <w:jc w:val="center"/>
              <w:rPr>
                <w:sz w:val="22"/>
              </w:rPr>
            </w:pP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第十章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器官移植伦理</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第十一章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临终关怀与死亡伦理</w:t>
            </w:r>
          </w:p>
        </w:tc>
        <w:tc>
          <w:tcPr>
            <w:tcW w:w="3096" w:type="dxa"/>
            <w:vMerge/>
            <w:vAlign w:val="center"/>
          </w:tcPr>
          <w:p w:rsidR="003717A0" w:rsidRDefault="003717A0">
            <w:pPr>
              <w:autoSpaceDE w:val="0"/>
              <w:autoSpaceDN w:val="0"/>
              <w:adjustRightInd w:val="0"/>
              <w:snapToGrid w:val="0"/>
              <w:spacing w:line="440" w:lineRule="exact"/>
              <w:jc w:val="center"/>
              <w:rPr>
                <w:sz w:val="22"/>
              </w:rPr>
            </w:pP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第十二章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公共卫生与预防医学伦理</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第十三章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医院管理伦理</w:t>
            </w:r>
          </w:p>
        </w:tc>
        <w:tc>
          <w:tcPr>
            <w:tcW w:w="3096" w:type="dxa"/>
            <w:vMerge/>
            <w:vAlign w:val="center"/>
          </w:tcPr>
          <w:p w:rsidR="003717A0" w:rsidRDefault="003717A0">
            <w:pPr>
              <w:autoSpaceDE w:val="0"/>
              <w:autoSpaceDN w:val="0"/>
              <w:adjustRightInd w:val="0"/>
              <w:snapToGrid w:val="0"/>
              <w:spacing w:line="440" w:lineRule="exact"/>
              <w:jc w:val="center"/>
              <w:rPr>
                <w:sz w:val="22"/>
              </w:rPr>
            </w:pP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第十四章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卫生经济伦理</w:t>
            </w:r>
          </w:p>
        </w:tc>
        <w:tc>
          <w:tcPr>
            <w:tcW w:w="3096" w:type="dxa"/>
            <w:vMerge w:val="restart"/>
            <w:vAlign w:val="center"/>
          </w:tcPr>
          <w:p w:rsidR="003717A0" w:rsidRDefault="003717A0">
            <w:pPr>
              <w:autoSpaceDE w:val="0"/>
              <w:autoSpaceDN w:val="0"/>
              <w:adjustRightInd w:val="0"/>
              <w:snapToGrid w:val="0"/>
              <w:spacing w:line="440" w:lineRule="exact"/>
              <w:jc w:val="center"/>
              <w:rPr>
                <w:sz w:val="22"/>
              </w:rPr>
            </w:pPr>
            <w:r>
              <w:rPr>
                <w:sz w:val="22"/>
              </w:rPr>
              <w:t>3</w:t>
            </w:r>
            <w:r>
              <w:rPr>
                <w:rFonts w:hint="eastAsia"/>
                <w:sz w:val="22"/>
              </w:rPr>
              <w:t>学时</w:t>
            </w:r>
          </w:p>
        </w:tc>
      </w:tr>
      <w:tr w:rsidR="003717A0">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第十五章</w:t>
            </w:r>
          </w:p>
        </w:tc>
        <w:tc>
          <w:tcPr>
            <w:tcW w:w="3095" w:type="dxa"/>
          </w:tcPr>
          <w:p w:rsidR="003717A0" w:rsidRDefault="003717A0">
            <w:pPr>
              <w:autoSpaceDE w:val="0"/>
              <w:autoSpaceDN w:val="0"/>
              <w:adjustRightInd w:val="0"/>
              <w:snapToGrid w:val="0"/>
              <w:spacing w:line="440" w:lineRule="exact"/>
              <w:jc w:val="center"/>
              <w:rPr>
                <w:sz w:val="22"/>
              </w:rPr>
            </w:pPr>
            <w:r>
              <w:rPr>
                <w:rFonts w:hint="eastAsia"/>
                <w:sz w:val="22"/>
              </w:rPr>
              <w:t>医学技术伦理</w:t>
            </w:r>
          </w:p>
        </w:tc>
        <w:tc>
          <w:tcPr>
            <w:tcW w:w="3096" w:type="dxa"/>
            <w:vMerge/>
          </w:tcPr>
          <w:p w:rsidR="003717A0" w:rsidRDefault="003717A0">
            <w:pPr>
              <w:autoSpaceDE w:val="0"/>
              <w:autoSpaceDN w:val="0"/>
              <w:adjustRightInd w:val="0"/>
              <w:snapToGrid w:val="0"/>
              <w:spacing w:line="440" w:lineRule="exact"/>
              <w:jc w:val="center"/>
              <w:rPr>
                <w:sz w:val="22"/>
              </w:rPr>
            </w:pPr>
          </w:p>
        </w:tc>
      </w:tr>
    </w:tbl>
    <w:p w:rsidR="003717A0" w:rsidRDefault="003717A0">
      <w:pPr>
        <w:autoSpaceDE w:val="0"/>
        <w:autoSpaceDN w:val="0"/>
        <w:adjustRightInd w:val="0"/>
        <w:snapToGrid w:val="0"/>
        <w:spacing w:line="440" w:lineRule="exact"/>
        <w:jc w:val="left"/>
        <w:rPr>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hint="eastAsia"/>
          <w:sz w:val="22"/>
        </w:rPr>
        <w:t>多媒体教室、多媒体教学课件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本课程考试采用开卷考核方法，时间为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70%</w:t>
      </w:r>
      <w:r>
        <w:rPr>
          <w:rFonts w:ascii="Times New Roman" w:hint="eastAsia"/>
        </w:rPr>
        <w:t>，平时成绩占总成绩的</w:t>
      </w:r>
      <w:r>
        <w:rPr>
          <w:rFonts w:ascii="Times New Roman"/>
        </w:rPr>
        <w:t>30%</w:t>
      </w:r>
      <w:r>
        <w:rPr>
          <w:rFonts w:ascii="Times New Roman" w:hint="eastAsia"/>
        </w:rPr>
        <w:t>。平时成绩依据平时作业、上课考勤、课堂发言、课外论文、医疗实践等情况综合测评。</w:t>
      </w:r>
    </w:p>
    <w:p w:rsidR="003717A0" w:rsidRDefault="003717A0">
      <w:pPr>
        <w:autoSpaceDE w:val="0"/>
        <w:autoSpaceDN w:val="0"/>
        <w:adjustRightInd w:val="0"/>
        <w:snapToGrid w:val="0"/>
        <w:spacing w:line="440" w:lineRule="exact"/>
        <w:jc w:val="left"/>
        <w:rPr>
          <w:rFonts w:ascii="Times New Roman"/>
        </w:rPr>
      </w:pPr>
      <w:r>
        <w:rPr>
          <w:rFonts w:ascii="Times New Roman" w:hint="eastAsia"/>
        </w:rPr>
        <w:t>七、附录</w:t>
      </w:r>
    </w:p>
    <w:p w:rsidR="003717A0" w:rsidRDefault="003717A0">
      <w:pPr>
        <w:autoSpaceDE w:val="0"/>
        <w:autoSpaceDN w:val="0"/>
        <w:adjustRightInd w:val="0"/>
        <w:spacing w:line="360" w:lineRule="exact"/>
        <w:jc w:val="left"/>
        <w:rPr>
          <w:sz w:val="22"/>
        </w:rPr>
      </w:pPr>
      <w:r>
        <w:rPr>
          <w:rFonts w:hint="eastAsia"/>
          <w:sz w:val="22"/>
        </w:rPr>
        <w:t>理论课参考教材：孙慕义主编</w:t>
      </w:r>
      <w:r>
        <w:rPr>
          <w:sz w:val="22"/>
        </w:rPr>
        <w:t xml:space="preserve">  </w:t>
      </w:r>
      <w:r>
        <w:rPr>
          <w:rFonts w:hint="eastAsia"/>
          <w:sz w:val="22"/>
        </w:rPr>
        <w:t>《医学伦理学》</w:t>
      </w:r>
      <w:r>
        <w:rPr>
          <w:sz w:val="22"/>
        </w:rPr>
        <w:t xml:space="preserve"> </w:t>
      </w:r>
      <w:r>
        <w:rPr>
          <w:rFonts w:hint="eastAsia"/>
          <w:sz w:val="22"/>
        </w:rPr>
        <w:t>高等教育出版社</w:t>
      </w:r>
    </w:p>
    <w:p w:rsidR="003717A0" w:rsidRDefault="003717A0">
      <w:pPr>
        <w:autoSpaceDE w:val="0"/>
        <w:autoSpaceDN w:val="0"/>
        <w:adjustRightInd w:val="0"/>
        <w:spacing w:line="360" w:lineRule="exact"/>
        <w:jc w:val="left"/>
        <w:rPr>
          <w:rFonts w:ascii="Times New Roman" w:hAnsi="Times New Roman"/>
          <w:kern w:val="0"/>
          <w:sz w:val="22"/>
        </w:rPr>
      </w:pPr>
      <w:r>
        <w:rPr>
          <w:sz w:val="22"/>
        </w:rPr>
        <w:t xml:space="preserve">                </w:t>
      </w:r>
      <w:r>
        <w:rPr>
          <w:rFonts w:hint="eastAsia"/>
          <w:sz w:val="22"/>
        </w:rPr>
        <w:t>丘祥兴主审</w:t>
      </w:r>
      <w:r>
        <w:rPr>
          <w:sz w:val="22"/>
        </w:rPr>
        <w:t xml:space="preserve">   </w:t>
      </w:r>
      <w:r>
        <w:rPr>
          <w:rFonts w:hint="eastAsia"/>
          <w:sz w:val="22"/>
        </w:rPr>
        <w:t>《医学伦理学》人民卫生出版社</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200" w:left="6720"/>
        <w:jc w:val="left"/>
        <w:rPr>
          <w:rFonts w:ascii="黑体" w:eastAsia="黑体" w:cs="黑体"/>
          <w:kern w:val="0"/>
          <w:szCs w:val="21"/>
        </w:rPr>
      </w:pPr>
      <w:r>
        <w:rPr>
          <w:rFonts w:ascii="黑体" w:eastAsia="黑体" w:cs="黑体" w:hint="eastAsia"/>
          <w:kern w:val="0"/>
          <w:szCs w:val="21"/>
        </w:rPr>
        <w:t>制定人：吴菁</w:t>
      </w:r>
    </w:p>
    <w:p w:rsidR="003717A0" w:rsidRDefault="00553236" w:rsidP="00553236">
      <w:pPr>
        <w:autoSpaceDE w:val="0"/>
        <w:autoSpaceDN w:val="0"/>
        <w:adjustRightInd w:val="0"/>
        <w:jc w:val="center"/>
        <w:rPr>
          <w:rFonts w:ascii="Times New Roman" w:hAnsi="Times New Roman"/>
          <w:sz w:val="22"/>
        </w:rPr>
      </w:pPr>
      <w:r>
        <w:rPr>
          <w:rFonts w:ascii="黑体" w:eastAsia="黑体" w:cs="黑体" w:hint="eastAsia"/>
          <w:kern w:val="0"/>
          <w:szCs w:val="21"/>
        </w:rPr>
        <w:t xml:space="preserve">                                                      </w:t>
      </w:r>
      <w:r w:rsidR="003717A0">
        <w:rPr>
          <w:rFonts w:ascii="黑体" w:eastAsia="黑体" w:cs="黑体" w:hint="eastAsia"/>
          <w:kern w:val="0"/>
          <w:szCs w:val="21"/>
        </w:rPr>
        <w:t>审核人：周逸萍</w:t>
      </w:r>
      <w:r w:rsidR="003717A0">
        <w:rPr>
          <w:rFonts w:ascii="黑体" w:eastAsia="黑体" w:cs="黑体"/>
          <w:kern w:val="0"/>
          <w:szCs w:val="21"/>
        </w:rPr>
        <w:br w:type="page"/>
      </w:r>
      <w:r w:rsidR="003717A0"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numPr>
          <w:ilvl w:val="0"/>
          <w:numId w:val="170"/>
        </w:numPr>
        <w:adjustRightInd w:val="0"/>
        <w:snapToGrid w:val="0"/>
        <w:spacing w:line="360" w:lineRule="auto"/>
        <w:ind w:right="6"/>
        <w:rPr>
          <w:rFonts w:ascii="Times New Roman"/>
        </w:rPr>
      </w:pPr>
      <w:r>
        <w:rPr>
          <w:rFonts w:ascii="Times New Roman" w:hint="eastAsia"/>
        </w:rPr>
        <w:t>修读完本课程规定内容的康复治疗学专业的本科学生；</w:t>
      </w:r>
    </w:p>
    <w:p w:rsidR="003717A0" w:rsidRDefault="003717A0">
      <w:pPr>
        <w:numPr>
          <w:ilvl w:val="0"/>
          <w:numId w:val="170"/>
        </w:numPr>
        <w:adjustRightInd w:val="0"/>
        <w:snapToGrid w:val="0"/>
        <w:spacing w:line="360" w:lineRule="auto"/>
        <w:ind w:right="6" w:hanging="658"/>
        <w:rPr>
          <w:rFonts w:ascii="Times New Roman"/>
        </w:rPr>
      </w:pP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通过考核了解学生掌握医学伦理学基本知识的情况，包括医学伦理决策能力、医德品质、情感态度价值观等。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开卷考试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40" w:lineRule="exact"/>
        <w:ind w:firstLineChars="150" w:firstLine="330"/>
        <w:jc w:val="left"/>
        <w:rPr>
          <w:rFonts w:ascii="Times New Roman" w:eastAsia="黑体" w:hAnsi="Times New Roman"/>
          <w:b/>
          <w:kern w:val="0"/>
          <w:sz w:val="24"/>
          <w:szCs w:val="24"/>
        </w:rPr>
      </w:pPr>
      <w:r>
        <w:rPr>
          <w:rFonts w:hint="eastAsia"/>
          <w:sz w:val="22"/>
        </w:rPr>
        <w:t>平时成绩</w:t>
      </w:r>
      <w:r>
        <w:rPr>
          <w:sz w:val="22"/>
        </w:rPr>
        <w:t>30%</w:t>
      </w:r>
      <w:r>
        <w:rPr>
          <w:rFonts w:hint="eastAsia"/>
          <w:sz w:val="22"/>
        </w:rPr>
        <w:t>和期末成绩</w:t>
      </w:r>
      <w:r>
        <w:rPr>
          <w:sz w:val="22"/>
        </w:rPr>
        <w:t>70%</w:t>
      </w:r>
      <w:r>
        <w:rPr>
          <w:rFonts w:hint="eastAsia"/>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2"/>
        <w:jc w:val="left"/>
        <w:rPr>
          <w:rFonts w:ascii="Times New Roman" w:eastAsia="黑体" w:hAnsi="Times New Roman"/>
          <w:kern w:val="0"/>
          <w:sz w:val="22"/>
        </w:rPr>
      </w:pPr>
      <w:r>
        <w:rPr>
          <w:rFonts w:ascii="Times New Roman" w:eastAsia="黑体" w:hAnsi="Times New Roman" w:hint="eastAsia"/>
          <w:kern w:val="0"/>
          <w:sz w:val="22"/>
        </w:rPr>
        <w:t>考核内容：医学伦理学的基本概念、基本理论；医学伦理学理论的临床应用，重点考核学生分析问题解决问题的能力。</w:t>
      </w:r>
      <w:r>
        <w:rPr>
          <w:rFonts w:ascii="Times New Roman" w:eastAsia="黑体" w:hAnsi="Times New Roman"/>
          <w:kern w:val="0"/>
          <w:sz w:val="22"/>
        </w:rPr>
        <w:t> </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重点考核学生是否能熟练运用医学伦理学的基本理论，解决临床实践中的实际问题。</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医学伦理学课程考试试题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djustRightInd w:val="0"/>
        <w:snapToGrid w:val="0"/>
        <w:spacing w:line="440" w:lineRule="exact"/>
        <w:rPr>
          <w:sz w:val="22"/>
        </w:rPr>
      </w:pPr>
      <w:r>
        <w:rPr>
          <w:rFonts w:hint="eastAsia"/>
          <w:sz w:val="22"/>
        </w:rPr>
        <w:t>一、辨析题（每题</w:t>
      </w:r>
      <w:r>
        <w:rPr>
          <w:sz w:val="22"/>
        </w:rPr>
        <w:t>10</w:t>
      </w:r>
      <w:r>
        <w:rPr>
          <w:rFonts w:hint="eastAsia"/>
          <w:sz w:val="22"/>
        </w:rPr>
        <w:t>分，共</w:t>
      </w:r>
      <w:r>
        <w:rPr>
          <w:sz w:val="22"/>
        </w:rPr>
        <w:t>20</w:t>
      </w:r>
      <w:r>
        <w:rPr>
          <w:rFonts w:hint="eastAsia"/>
          <w:sz w:val="22"/>
        </w:rPr>
        <w:t>分）</w:t>
      </w:r>
    </w:p>
    <w:p w:rsidR="003717A0" w:rsidRDefault="003717A0">
      <w:pPr>
        <w:spacing w:line="440" w:lineRule="exact"/>
        <w:rPr>
          <w:sz w:val="22"/>
        </w:rPr>
      </w:pPr>
      <w:r>
        <w:rPr>
          <w:sz w:val="22"/>
        </w:rPr>
        <w:t>1</w:t>
      </w:r>
      <w:r>
        <w:rPr>
          <w:rFonts w:hint="eastAsia"/>
          <w:sz w:val="22"/>
        </w:rPr>
        <w:t>、患者有拒绝诊疗的的权利，这也是尊重原则的具体体现。</w:t>
      </w:r>
    </w:p>
    <w:p w:rsidR="003717A0" w:rsidRDefault="003717A0">
      <w:pPr>
        <w:spacing w:line="440" w:lineRule="exact"/>
        <w:rPr>
          <w:sz w:val="22"/>
        </w:rPr>
      </w:pPr>
      <w:r>
        <w:rPr>
          <w:sz w:val="22"/>
        </w:rPr>
        <w:t>2</w:t>
      </w:r>
      <w:r>
        <w:rPr>
          <w:rFonts w:hint="eastAsia"/>
          <w:sz w:val="22"/>
        </w:rPr>
        <w:t>、目的正当、合乎规范的人体实验，是医学研究不可缺少和替代的必要环节，是医学研究成果从动物实验到临床应用及预防保健应用的必经之路。</w:t>
      </w:r>
    </w:p>
    <w:p w:rsidR="003717A0" w:rsidRDefault="003717A0">
      <w:pPr>
        <w:adjustRightInd w:val="0"/>
        <w:snapToGrid w:val="0"/>
        <w:spacing w:line="440" w:lineRule="exact"/>
        <w:rPr>
          <w:sz w:val="22"/>
        </w:rPr>
      </w:pPr>
      <w:r>
        <w:rPr>
          <w:rFonts w:hint="eastAsia"/>
          <w:sz w:val="22"/>
        </w:rPr>
        <w:t>二、简答题（每题</w:t>
      </w:r>
      <w:r>
        <w:rPr>
          <w:sz w:val="22"/>
        </w:rPr>
        <w:t>5</w:t>
      </w:r>
      <w:r>
        <w:rPr>
          <w:rFonts w:hint="eastAsia"/>
          <w:sz w:val="22"/>
        </w:rPr>
        <w:t>分，共</w:t>
      </w:r>
      <w:r>
        <w:rPr>
          <w:sz w:val="22"/>
        </w:rPr>
        <w:t>40</w:t>
      </w:r>
      <w:r>
        <w:rPr>
          <w:rFonts w:hint="eastAsia"/>
          <w:sz w:val="22"/>
        </w:rPr>
        <w:t>分）</w:t>
      </w:r>
    </w:p>
    <w:p w:rsidR="003717A0" w:rsidRDefault="003717A0">
      <w:pPr>
        <w:spacing w:line="440" w:lineRule="exact"/>
        <w:rPr>
          <w:sz w:val="22"/>
        </w:rPr>
      </w:pPr>
      <w:r>
        <w:rPr>
          <w:sz w:val="22"/>
        </w:rPr>
        <w:t>1</w:t>
      </w:r>
      <w:r>
        <w:rPr>
          <w:rFonts w:hint="eastAsia"/>
          <w:sz w:val="22"/>
        </w:rPr>
        <w:t>、简述生命价值原则的基本观点。</w:t>
      </w:r>
    </w:p>
    <w:p w:rsidR="003717A0" w:rsidRDefault="003717A0">
      <w:pPr>
        <w:adjustRightInd w:val="0"/>
        <w:snapToGrid w:val="0"/>
        <w:spacing w:line="440" w:lineRule="exact"/>
        <w:rPr>
          <w:sz w:val="22"/>
        </w:rPr>
      </w:pPr>
      <w:r>
        <w:rPr>
          <w:sz w:val="22"/>
        </w:rPr>
        <w:t>2</w:t>
      </w:r>
      <w:r>
        <w:rPr>
          <w:rFonts w:hint="eastAsia"/>
          <w:sz w:val="22"/>
        </w:rPr>
        <w:t>、简述中国传统德性伦理对医学伦理学的影响。</w:t>
      </w:r>
    </w:p>
    <w:p w:rsidR="003717A0" w:rsidRDefault="003717A0">
      <w:pPr>
        <w:adjustRightInd w:val="0"/>
        <w:snapToGrid w:val="0"/>
        <w:spacing w:line="440" w:lineRule="exact"/>
        <w:rPr>
          <w:sz w:val="22"/>
        </w:rPr>
      </w:pPr>
      <w:r>
        <w:rPr>
          <w:sz w:val="22"/>
        </w:rPr>
        <w:t>3</w:t>
      </w:r>
      <w:r>
        <w:rPr>
          <w:rFonts w:hint="eastAsia"/>
          <w:sz w:val="22"/>
        </w:rPr>
        <w:t>、简述儿科工作中应遵循的道德要求。</w:t>
      </w:r>
    </w:p>
    <w:p w:rsidR="003717A0" w:rsidRDefault="003717A0">
      <w:pPr>
        <w:adjustRightInd w:val="0"/>
        <w:snapToGrid w:val="0"/>
        <w:spacing w:line="440" w:lineRule="exact"/>
        <w:rPr>
          <w:sz w:val="22"/>
        </w:rPr>
      </w:pPr>
      <w:r>
        <w:rPr>
          <w:sz w:val="22"/>
        </w:rPr>
        <w:t>4</w:t>
      </w:r>
      <w:r>
        <w:rPr>
          <w:rFonts w:hint="eastAsia"/>
          <w:sz w:val="22"/>
        </w:rPr>
        <w:t>、简述生命科学研究的含义及特点。</w:t>
      </w:r>
    </w:p>
    <w:p w:rsidR="003717A0" w:rsidRDefault="003717A0">
      <w:pPr>
        <w:spacing w:line="440" w:lineRule="exact"/>
        <w:rPr>
          <w:sz w:val="22"/>
        </w:rPr>
      </w:pPr>
      <w:r>
        <w:rPr>
          <w:sz w:val="22"/>
        </w:rPr>
        <w:t>5</w:t>
      </w:r>
      <w:r>
        <w:rPr>
          <w:rFonts w:hint="eastAsia"/>
          <w:sz w:val="22"/>
        </w:rPr>
        <w:t>、简述人体器官移植的伦理原则。</w:t>
      </w:r>
    </w:p>
    <w:p w:rsidR="003717A0" w:rsidRDefault="003717A0">
      <w:pPr>
        <w:spacing w:line="440" w:lineRule="exact"/>
        <w:rPr>
          <w:sz w:val="22"/>
        </w:rPr>
      </w:pPr>
      <w:r>
        <w:rPr>
          <w:sz w:val="22"/>
        </w:rPr>
        <w:lastRenderedPageBreak/>
        <w:t>6</w:t>
      </w:r>
      <w:r>
        <w:rPr>
          <w:rFonts w:hint="eastAsia"/>
          <w:sz w:val="22"/>
        </w:rPr>
        <w:t>、简述医务人员在处理医患关系时应遵循的道德规范。</w:t>
      </w:r>
    </w:p>
    <w:p w:rsidR="003717A0" w:rsidRDefault="003717A0">
      <w:pPr>
        <w:adjustRightInd w:val="0"/>
        <w:snapToGrid w:val="0"/>
        <w:spacing w:line="440" w:lineRule="exact"/>
        <w:rPr>
          <w:sz w:val="22"/>
        </w:rPr>
      </w:pPr>
      <w:r>
        <w:rPr>
          <w:sz w:val="22"/>
        </w:rPr>
        <w:t>7</w:t>
      </w:r>
      <w:r>
        <w:rPr>
          <w:rFonts w:hint="eastAsia"/>
          <w:sz w:val="22"/>
        </w:rPr>
        <w:t>、简述美国哈佛大学提出的脑死亡标准。</w:t>
      </w:r>
    </w:p>
    <w:p w:rsidR="003717A0" w:rsidRDefault="003717A0">
      <w:pPr>
        <w:adjustRightInd w:val="0"/>
        <w:snapToGrid w:val="0"/>
        <w:spacing w:line="440" w:lineRule="exact"/>
        <w:rPr>
          <w:sz w:val="22"/>
        </w:rPr>
      </w:pPr>
      <w:r>
        <w:rPr>
          <w:sz w:val="22"/>
        </w:rPr>
        <w:t>8</w:t>
      </w:r>
      <w:r>
        <w:rPr>
          <w:rFonts w:hint="eastAsia"/>
          <w:sz w:val="22"/>
        </w:rPr>
        <w:t>、简述预防医学工作的伦理特点。</w:t>
      </w:r>
    </w:p>
    <w:p w:rsidR="003717A0" w:rsidRDefault="003717A0">
      <w:pPr>
        <w:spacing w:line="440" w:lineRule="exact"/>
        <w:rPr>
          <w:sz w:val="22"/>
        </w:rPr>
      </w:pPr>
      <w:r>
        <w:rPr>
          <w:rFonts w:hint="eastAsia"/>
          <w:sz w:val="22"/>
        </w:rPr>
        <w:t>三、论述题：（每题</w:t>
      </w:r>
      <w:r>
        <w:rPr>
          <w:sz w:val="22"/>
        </w:rPr>
        <w:t>16</w:t>
      </w:r>
      <w:r>
        <w:rPr>
          <w:rFonts w:hint="eastAsia"/>
          <w:sz w:val="22"/>
        </w:rPr>
        <w:t>分）</w:t>
      </w:r>
    </w:p>
    <w:p w:rsidR="003717A0" w:rsidRDefault="00514AB1">
      <w:pPr>
        <w:spacing w:line="440" w:lineRule="exact"/>
        <w:ind w:firstLineChars="200" w:firstLine="420"/>
        <w:rPr>
          <w:sz w:val="22"/>
        </w:rPr>
      </w:pPr>
      <w:r w:rsidRPr="00514AB1">
        <w:rPr>
          <w:noProof/>
        </w:rPr>
        <w:pict>
          <v:shapetype id="_x0000_t202" coordsize="21600,21600" o:spt="202" path="m,l,21600r21600,l21600,xe">
            <v:stroke joinstyle="miter"/>
            <v:path gradientshapeok="t" o:connecttype="rect"/>
          </v:shapetype>
          <v:shape id="_x0000_s1026" type="#_x0000_t202" style="position:absolute;left:0;text-align:left;margin-left:-98.9pt;margin-top:-47.45pt;width:30.6pt;height:525pt;z-index:1" strokecolor="white">
            <v:textbox style="layout-flow:vertical;mso-layout-flow-alt:bottom-to-top;mso-next-textbox:#_x0000_s1026" inset="0,,0">
              <w:txbxContent>
                <w:p w:rsidR="00913B56" w:rsidRDefault="00913B56">
                  <w:pPr>
                    <w:adjustRightInd w:val="0"/>
                    <w:snapToGrid w:val="0"/>
                    <w:spacing w:line="204" w:lineRule="auto"/>
                    <w:rPr>
                      <w:rFonts w:eastAsia="楷体_GB2312"/>
                      <w:sz w:val="24"/>
                      <w:u w:val="single"/>
                    </w:rPr>
                  </w:pPr>
                  <w:r>
                    <w:rPr>
                      <w:rFonts w:hint="eastAsia"/>
                    </w:rPr>
                    <w:t>学院：</w:t>
                  </w:r>
                  <w:r>
                    <w:rPr>
                      <w:u w:val="single"/>
                    </w:rPr>
                    <w:t xml:space="preserve">            </w:t>
                  </w:r>
                  <w:r>
                    <w:t xml:space="preserve">   </w:t>
                  </w:r>
                  <w:r>
                    <w:rPr>
                      <w:rFonts w:hint="eastAsia"/>
                    </w:rPr>
                    <w:t>专业：</w:t>
                  </w:r>
                  <w:r>
                    <w:rPr>
                      <w:u w:val="single"/>
                    </w:rPr>
                    <w:t xml:space="preserve">             </w:t>
                  </w:r>
                  <w:r>
                    <w:t xml:space="preserve">  </w:t>
                  </w:r>
                  <w:r>
                    <w:rPr>
                      <w:rFonts w:hint="eastAsia"/>
                    </w:rPr>
                    <w:t>年级：</w:t>
                  </w:r>
                  <w:r>
                    <w:rPr>
                      <w:u w:val="single"/>
                    </w:rPr>
                    <w:t xml:space="preserve">            </w:t>
                  </w:r>
                  <w:r>
                    <w:t xml:space="preserve"> </w:t>
                  </w:r>
                  <w:r>
                    <w:rPr>
                      <w:rFonts w:hint="eastAsia"/>
                    </w:rPr>
                    <w:t>班级：</w:t>
                  </w:r>
                  <w:r>
                    <w:rPr>
                      <w:u w:val="single"/>
                    </w:rPr>
                    <w:t xml:space="preserve">          </w:t>
                  </w:r>
                  <w:r>
                    <w:t xml:space="preserve"> </w:t>
                  </w:r>
                  <w:r>
                    <w:rPr>
                      <w:rFonts w:hint="eastAsia"/>
                    </w:rPr>
                    <w:t>学号：</w:t>
                  </w:r>
                  <w:r>
                    <w:rPr>
                      <w:u w:val="single"/>
                    </w:rPr>
                    <w:t xml:space="preserve">         </w:t>
                  </w:r>
                </w:p>
                <w:p w:rsidR="00913B56" w:rsidRDefault="00913B56">
                  <w:pPr>
                    <w:adjustRightInd w:val="0"/>
                    <w:snapToGrid w:val="0"/>
                    <w:spacing w:line="204" w:lineRule="auto"/>
                  </w:pPr>
                  <w:r>
                    <w:t xml:space="preserve"> </w:t>
                  </w:r>
                </w:p>
              </w:txbxContent>
            </v:textbox>
          </v:shape>
        </w:pict>
      </w:r>
      <w:r w:rsidR="003717A0">
        <w:rPr>
          <w:sz w:val="22"/>
        </w:rPr>
        <w:t>1</w:t>
      </w:r>
      <w:r w:rsidR="003717A0">
        <w:rPr>
          <w:rFonts w:hint="eastAsia"/>
          <w:sz w:val="22"/>
        </w:rPr>
        <w:t>、从健康的新概念的角度，结合我国国情，论述如何实行医疗改革、加强卫生保健，真正实现“人人享有卫生保健”的目标。</w:t>
      </w:r>
    </w:p>
    <w:p w:rsidR="003717A0" w:rsidRDefault="003717A0">
      <w:pPr>
        <w:adjustRightInd w:val="0"/>
        <w:snapToGrid w:val="0"/>
        <w:spacing w:line="440" w:lineRule="exact"/>
        <w:rPr>
          <w:sz w:val="22"/>
        </w:rPr>
      </w:pPr>
      <w:r>
        <w:rPr>
          <w:rFonts w:hint="eastAsia"/>
          <w:sz w:val="22"/>
        </w:rPr>
        <w:t>四、案例分析题（每题</w:t>
      </w:r>
      <w:r>
        <w:rPr>
          <w:sz w:val="22"/>
        </w:rPr>
        <w:t>12</w:t>
      </w:r>
      <w:r>
        <w:rPr>
          <w:rFonts w:hint="eastAsia"/>
          <w:sz w:val="22"/>
        </w:rPr>
        <w:t>分，共</w:t>
      </w:r>
      <w:r>
        <w:rPr>
          <w:sz w:val="22"/>
        </w:rPr>
        <w:t>24</w:t>
      </w:r>
      <w:r>
        <w:rPr>
          <w:rFonts w:hint="eastAsia"/>
          <w:sz w:val="22"/>
        </w:rPr>
        <w:t>分）</w:t>
      </w:r>
    </w:p>
    <w:p w:rsidR="003717A0" w:rsidRDefault="003717A0">
      <w:pPr>
        <w:spacing w:line="440" w:lineRule="exact"/>
        <w:ind w:firstLineChars="150" w:firstLine="330"/>
        <w:rPr>
          <w:sz w:val="22"/>
        </w:rPr>
      </w:pPr>
      <w:r>
        <w:rPr>
          <w:sz w:val="22"/>
        </w:rPr>
        <w:t>1</w:t>
      </w:r>
      <w:r>
        <w:rPr>
          <w:rFonts w:hint="eastAsia"/>
          <w:sz w:val="22"/>
        </w:rPr>
        <w:t>、</w:t>
      </w:r>
      <w:r>
        <w:rPr>
          <w:sz w:val="22"/>
        </w:rPr>
        <w:t>1999</w:t>
      </w:r>
      <w:r>
        <w:rPr>
          <w:rFonts w:hint="eastAsia"/>
          <w:sz w:val="22"/>
        </w:rPr>
        <w:t>年北京医科大学附属人民医院的高大夫，在接受一个化学性烧伤，角膜穿孔的急诊病人之后，认定必须马上做角膜移植。准备工作做完了之后认定必须马上做角膜移植。准备工作做完了之后，大夫发现保存的角膜不能用了。当时，医院里的备用眼球没有了，去其他医院取也来不及。本着对病人高度负责的态度，他想到医院太平间有一具比较新鲜的尸体，就把角膜摘下来。并为死者装上了义眼。角膜给两个病人做了移植，使两个病人恢复了视力。死者家属在整容时发现眼球丢失后，向公安机关报案，后以刑法中的毁坏尸体罪立案（后被撤销）。死者家属向医院索赔</w:t>
      </w:r>
      <w:r>
        <w:rPr>
          <w:sz w:val="22"/>
        </w:rPr>
        <w:t>50</w:t>
      </w:r>
      <w:r>
        <w:rPr>
          <w:rFonts w:hint="eastAsia"/>
          <w:sz w:val="22"/>
        </w:rPr>
        <w:t>万元。你对此有何认识？</w:t>
      </w:r>
    </w:p>
    <w:p w:rsidR="003717A0" w:rsidRDefault="003717A0">
      <w:pPr>
        <w:spacing w:line="440" w:lineRule="exact"/>
        <w:ind w:firstLineChars="200" w:firstLine="440"/>
        <w:rPr>
          <w:sz w:val="22"/>
        </w:rPr>
      </w:pPr>
      <w:r>
        <w:rPr>
          <w:sz w:val="22"/>
        </w:rPr>
        <w:t>2</w:t>
      </w:r>
      <w:r>
        <w:rPr>
          <w:rFonts w:hint="eastAsia"/>
          <w:sz w:val="22"/>
        </w:rPr>
        <w:t>、患者李某，男，</w:t>
      </w:r>
      <w:r>
        <w:rPr>
          <w:sz w:val="22"/>
        </w:rPr>
        <w:t>57</w:t>
      </w:r>
      <w:r>
        <w:rPr>
          <w:rFonts w:hint="eastAsia"/>
          <w:sz w:val="22"/>
        </w:rPr>
        <w:t>离休干部。因喉癌住院。住院后他告诉医生：</w:t>
      </w:r>
      <w:r>
        <w:rPr>
          <w:sz w:val="22"/>
        </w:rPr>
        <w:t>“</w:t>
      </w:r>
      <w:r>
        <w:rPr>
          <w:rFonts w:hint="eastAsia"/>
          <w:sz w:val="22"/>
        </w:rPr>
        <w:t>如果肿瘤已到晚期，不要告诉我任何关于我将要死亡的消息，只要能让我舒适即可，也不要做更多的抢救。</w:t>
      </w:r>
      <w:r>
        <w:rPr>
          <w:sz w:val="22"/>
        </w:rPr>
        <w:t>”</w:t>
      </w:r>
      <w:r>
        <w:rPr>
          <w:rFonts w:hint="eastAsia"/>
          <w:sz w:val="22"/>
        </w:rPr>
        <w:t>并且立下字据，交给医生。因此，当患者病情垂危时，医生未给其使用呼吸机等抢救措施，只给予足够减轻疼痛的药物。但家属希望尽量延长病人的生命，并使用一切抢救、治疗手段。此时，患者神智已不清醒，面对家属的强烈要求，医生感到无所适从。</w:t>
      </w:r>
    </w:p>
    <w:p w:rsidR="003717A0" w:rsidRDefault="003717A0" w:rsidP="005E20B5">
      <w:pPr>
        <w:adjustRightInd w:val="0"/>
        <w:snapToGrid w:val="0"/>
        <w:spacing w:beforeLines="50" w:afterLines="50" w:line="440" w:lineRule="exact"/>
        <w:jc w:val="center"/>
        <w:rPr>
          <w:rFonts w:ascii="Times New Roman" w:eastAsia="黑体" w:hAnsi="Times New Roman"/>
          <w:kern w:val="0"/>
          <w:sz w:val="34"/>
          <w:szCs w:val="34"/>
        </w:rPr>
      </w:pPr>
      <w:r>
        <w:rPr>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236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440" w:lineRule="exact"/>
              <w:ind w:firstLineChars="208" w:firstLine="437"/>
              <w:jc w:val="left"/>
              <w:rPr>
                <w:rFonts w:ascii="Times New Roman" w:hAnsi="宋体"/>
                <w:kern w:val="0"/>
                <w:sz w:val="22"/>
              </w:rPr>
            </w:pPr>
            <w:r>
              <w:rPr>
                <w:rFonts w:ascii="宋体" w:hAnsi="宋体" w:hint="eastAsia"/>
                <w:szCs w:val="21"/>
              </w:rPr>
              <w:t>教师应充分研究本大纲所规定的各章内容，对重点和难点进行深入浅出的讲解。教师应关心医学伦理学的研究进展，使教学内容能反映学科的发展趋势；教学中要善于运用临床案例，通过案例伦理分析，帮助学生提高伦理判断、选择和评价能力；教师在平时教学过程中要注意收集学生的反馈意见，掌握教学过程中存在的问题，为教学工作提供反馈信息，以改进、完善和提高实践教学活动质量。</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掌握本课程教学大纲内容，确定各章节课程内容的教学方法，构思授课思路、技巧和方法。严格按照教学大纲要求进行本课程教学内容的组织。</w:t>
            </w:r>
          </w:p>
          <w:p w:rsidR="003717A0" w:rsidRDefault="003717A0">
            <w:pPr>
              <w:numPr>
                <w:ilvl w:val="0"/>
                <w:numId w:val="17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17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autoSpaceDE w:val="0"/>
              <w:autoSpaceDN w:val="0"/>
              <w:adjustRightInd w:val="0"/>
              <w:snapToGrid w:val="0"/>
              <w:spacing w:line="360" w:lineRule="exact"/>
              <w:ind w:firstLineChars="200" w:firstLine="420"/>
              <w:jc w:val="left"/>
            </w:pP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教师授课要概念准确，条理清晰，重点突出，理论联系实际。表达方式尽量便于学生理解、接受，力求形象生动，使学生在掌握知识的过程中，保持较为浓厚的兴趣。</w:t>
            </w:r>
          </w:p>
          <w:p w:rsidR="003717A0" w:rsidRDefault="003717A0">
            <w:pPr>
              <w:numPr>
                <w:ilvl w:val="0"/>
                <w:numId w:val="17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对重点问题和难点问题进行深入浅出的讲解，注意培养学生伦理决策的能力。</w:t>
            </w:r>
          </w:p>
          <w:p w:rsidR="003717A0" w:rsidRDefault="003717A0">
            <w:pPr>
              <w:numPr>
                <w:ilvl w:val="0"/>
                <w:numId w:val="17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采用多种教学方式（如启发式教学、案例分析教学、讨论式教学等），注重培养学生的医学伦理素质，提高学生</w:t>
            </w:r>
            <w:r>
              <w:rPr>
                <w:rFonts w:ascii="宋体" w:hAnsi="宋体" w:hint="eastAsia"/>
                <w:szCs w:val="21"/>
              </w:rPr>
              <w:t>伦理判断、选择和评价</w:t>
            </w:r>
            <w:r>
              <w:rPr>
                <w:rFonts w:ascii="Times New Roman" w:hAnsi="宋体" w:hint="eastAsia"/>
                <w:szCs w:val="21"/>
              </w:rPr>
              <w:t>能力。</w:t>
            </w:r>
          </w:p>
          <w:p w:rsidR="003717A0" w:rsidRDefault="003717A0">
            <w:pPr>
              <w:autoSpaceDE w:val="0"/>
              <w:autoSpaceDN w:val="0"/>
              <w:adjustRightInd w:val="0"/>
              <w:snapToGrid w:val="0"/>
              <w:spacing w:line="360" w:lineRule="exact"/>
              <w:jc w:val="left"/>
            </w:pP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440" w:lineRule="exact"/>
              <w:jc w:val="left"/>
              <w:rPr>
                <w:rFonts w:ascii="Times New Roman" w:hAnsi="Times New Roman"/>
                <w:szCs w:val="21"/>
              </w:rPr>
            </w:pPr>
            <w:r>
              <w:rPr>
                <w:rFonts w:ascii="Times New Roman" w:hAnsi="宋体" w:hint="eastAsia"/>
                <w:szCs w:val="21"/>
              </w:rPr>
              <w:t>一、学生完成作业的主要内容：</w:t>
            </w:r>
          </w:p>
          <w:p w:rsidR="003717A0" w:rsidRDefault="003717A0">
            <w:pPr>
              <w:autoSpaceDE w:val="0"/>
              <w:autoSpaceDN w:val="0"/>
              <w:adjustRightInd w:val="0"/>
              <w:snapToGrid w:val="0"/>
              <w:spacing w:line="440" w:lineRule="exact"/>
              <w:ind w:firstLineChars="150" w:firstLine="315"/>
              <w:jc w:val="left"/>
              <w:rPr>
                <w:rFonts w:ascii="Times New Roman" w:hAnsi="宋体"/>
                <w:szCs w:val="21"/>
              </w:rPr>
            </w:pPr>
            <w:r>
              <w:rPr>
                <w:rFonts w:ascii="Times New Roman" w:hAnsi="宋体" w:hint="eastAsia"/>
                <w:szCs w:val="21"/>
              </w:rPr>
              <w:t>根</w:t>
            </w:r>
            <w:r>
              <w:rPr>
                <w:rFonts w:ascii="Times New Roman" w:hAnsi="Times New Roman" w:hint="eastAsia"/>
                <w:szCs w:val="21"/>
              </w:rPr>
              <w:t>据理论课的内容，由授课教师给出的学生论坛专题，由</w:t>
            </w:r>
            <w:r>
              <w:rPr>
                <w:rFonts w:ascii="Times New Roman" w:hAnsi="Times New Roman"/>
                <w:szCs w:val="21"/>
              </w:rPr>
              <w:t>5-6</w:t>
            </w:r>
            <w:r>
              <w:rPr>
                <w:rFonts w:ascii="Times New Roman" w:hAnsi="Times New Roman" w:hint="eastAsia"/>
                <w:szCs w:val="21"/>
              </w:rPr>
              <w:t>人组成小组，收集资料、调研、撰写调研报告、制作相关</w:t>
            </w:r>
            <w:r>
              <w:rPr>
                <w:rFonts w:ascii="Times New Roman" w:hAnsi="Times New Roman"/>
                <w:szCs w:val="21"/>
              </w:rPr>
              <w:t>PPT</w:t>
            </w:r>
            <w:r>
              <w:rPr>
                <w:rFonts w:ascii="Times New Roman" w:hAnsi="Times New Roman" w:hint="eastAsia"/>
                <w:szCs w:val="21"/>
              </w:rPr>
              <w:t>，</w:t>
            </w:r>
            <w:r>
              <w:rPr>
                <w:rFonts w:ascii="Times New Roman" w:hAnsi="宋体" w:hint="eastAsia"/>
                <w:szCs w:val="21"/>
              </w:rPr>
              <w:t>并进行全班交流和讨论。</w:t>
            </w:r>
          </w:p>
          <w:p w:rsidR="003717A0" w:rsidRDefault="003717A0">
            <w:pPr>
              <w:autoSpaceDE w:val="0"/>
              <w:autoSpaceDN w:val="0"/>
              <w:adjustRightInd w:val="0"/>
              <w:snapToGrid w:val="0"/>
              <w:spacing w:line="440" w:lineRule="exact"/>
              <w:jc w:val="left"/>
              <w:rPr>
                <w:rFonts w:ascii="Times New Roman" w:hAnsi="Times New Roman"/>
                <w:szCs w:val="21"/>
              </w:rPr>
            </w:pPr>
            <w:r>
              <w:rPr>
                <w:rFonts w:ascii="Times New Roman" w:hAnsi="宋体" w:hint="eastAsia"/>
                <w:szCs w:val="21"/>
              </w:rPr>
              <w:t>二、学生完成的作业必须达到以下基本要求：</w:t>
            </w:r>
          </w:p>
          <w:p w:rsidR="003717A0" w:rsidRDefault="003717A0">
            <w:pPr>
              <w:numPr>
                <w:ilvl w:val="0"/>
                <w:numId w:val="173"/>
              </w:numPr>
              <w:autoSpaceDE w:val="0"/>
              <w:autoSpaceDN w:val="0"/>
              <w:adjustRightInd w:val="0"/>
              <w:snapToGrid w:val="0"/>
              <w:spacing w:line="440" w:lineRule="exact"/>
              <w:jc w:val="left"/>
              <w:rPr>
                <w:rFonts w:ascii="Times New Roman" w:hAnsi="宋体"/>
                <w:szCs w:val="21"/>
              </w:rPr>
            </w:pPr>
            <w:r>
              <w:rPr>
                <w:rFonts w:ascii="Times New Roman" w:hAnsi="宋体" w:hint="eastAsia"/>
                <w:szCs w:val="21"/>
              </w:rPr>
              <w:t>按时按量完成作业，不缺交，不抄袭；</w:t>
            </w:r>
          </w:p>
          <w:p w:rsidR="003717A0" w:rsidRDefault="003717A0">
            <w:pPr>
              <w:numPr>
                <w:ilvl w:val="0"/>
                <w:numId w:val="173"/>
              </w:numPr>
              <w:autoSpaceDE w:val="0"/>
              <w:autoSpaceDN w:val="0"/>
              <w:adjustRightInd w:val="0"/>
              <w:snapToGrid w:val="0"/>
              <w:spacing w:line="440" w:lineRule="exact"/>
              <w:jc w:val="left"/>
              <w:rPr>
                <w:rFonts w:ascii="Times New Roman" w:hAnsi="宋体"/>
                <w:szCs w:val="21"/>
              </w:rPr>
            </w:pPr>
            <w:r>
              <w:rPr>
                <w:rFonts w:ascii="Times New Roman" w:hAnsi="宋体" w:hint="eastAsia"/>
                <w:szCs w:val="21"/>
              </w:rPr>
              <w:t>作业规范，书写清晰；</w:t>
            </w:r>
          </w:p>
          <w:p w:rsidR="003717A0" w:rsidRDefault="003717A0">
            <w:pPr>
              <w:autoSpaceDE w:val="0"/>
              <w:autoSpaceDN w:val="0"/>
              <w:adjustRightInd w:val="0"/>
              <w:snapToGrid w:val="0"/>
              <w:spacing w:line="440" w:lineRule="exact"/>
              <w:jc w:val="left"/>
              <w:rPr>
                <w:rFonts w:ascii="Times New Roman" w:hAnsi="Times New Roman"/>
                <w:szCs w:val="21"/>
              </w:rPr>
            </w:pPr>
            <w:r>
              <w:rPr>
                <w:rFonts w:ascii="Times New Roman" w:hAnsi="宋体" w:hint="eastAsia"/>
                <w:szCs w:val="21"/>
              </w:rPr>
              <w:t>三、教师批改或讲评作业的数量和次数要求如下：</w:t>
            </w:r>
          </w:p>
          <w:p w:rsidR="003717A0" w:rsidRDefault="003717A0">
            <w:pPr>
              <w:numPr>
                <w:ilvl w:val="0"/>
                <w:numId w:val="174"/>
              </w:numPr>
              <w:autoSpaceDE w:val="0"/>
              <w:autoSpaceDN w:val="0"/>
              <w:adjustRightInd w:val="0"/>
              <w:snapToGrid w:val="0"/>
              <w:spacing w:line="440" w:lineRule="exact"/>
              <w:jc w:val="left"/>
              <w:rPr>
                <w:rFonts w:ascii="Times New Roman" w:hAnsi="宋体"/>
                <w:szCs w:val="21"/>
              </w:rPr>
            </w:pPr>
            <w:r>
              <w:rPr>
                <w:rFonts w:ascii="Times New Roman" w:hAnsi="宋体" w:hint="eastAsia"/>
                <w:szCs w:val="21"/>
              </w:rPr>
              <w:t>学生的作业要全批全改，并按时批改；</w:t>
            </w:r>
          </w:p>
          <w:p w:rsidR="003717A0" w:rsidRDefault="003717A0">
            <w:pPr>
              <w:numPr>
                <w:ilvl w:val="0"/>
                <w:numId w:val="174"/>
              </w:numPr>
              <w:autoSpaceDE w:val="0"/>
              <w:autoSpaceDN w:val="0"/>
              <w:adjustRightInd w:val="0"/>
              <w:snapToGrid w:val="0"/>
              <w:spacing w:line="440" w:lineRule="exact"/>
              <w:jc w:val="left"/>
              <w:rPr>
                <w:rFonts w:ascii="Times New Roman" w:hAnsi="宋体"/>
                <w:szCs w:val="21"/>
              </w:rPr>
            </w:pPr>
            <w:r>
              <w:rPr>
                <w:rFonts w:ascii="Times New Roman" w:hAnsi="宋体" w:hint="eastAsia"/>
                <w:szCs w:val="21"/>
              </w:rPr>
              <w:t>教师批改作业要认真、细致；</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p>
        </w:tc>
      </w:tr>
      <w:tr w:rsidR="003717A0">
        <w:trPr>
          <w:gridAfter w:val="1"/>
          <w:wAfter w:w="26" w:type="dxa"/>
          <w:cantSplit/>
          <w:trHeight w:val="1707"/>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440" w:lineRule="exact"/>
              <w:ind w:firstLineChars="193" w:firstLine="405"/>
              <w:jc w:val="left"/>
              <w:rPr>
                <w:rFonts w:ascii="Times New Roman" w:hAnsi="宋体"/>
                <w:kern w:val="0"/>
                <w:sz w:val="22"/>
              </w:rPr>
            </w:pPr>
            <w:r>
              <w:rPr>
                <w:rFonts w:ascii="宋体" w:hAnsi="宋体" w:hint="eastAsia"/>
                <w:szCs w:val="21"/>
              </w:rPr>
              <w:t>在教室内，多与学生进行面对面的交流互动，同时充分利用微信、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3395"/>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本课程成绩考核的方式：开卷考试。考试时实行同批次授课的学生统考，即统一命题，统一考试，统一阅卷。考试学期总评成绩的评定方法如下：</w:t>
            </w:r>
          </w:p>
          <w:p w:rsidR="003717A0" w:rsidRDefault="003717A0">
            <w:pPr>
              <w:numPr>
                <w:ilvl w:val="0"/>
                <w:numId w:val="17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平时作业占总评成绩的</w:t>
            </w:r>
            <w:r>
              <w:rPr>
                <w:rFonts w:ascii="Times New Roman" w:hAnsi="宋体"/>
                <w:szCs w:val="21"/>
              </w:rPr>
              <w:t>30%</w:t>
            </w:r>
            <w:r>
              <w:rPr>
                <w:rFonts w:ascii="Times New Roman" w:hAnsi="宋体" w:hint="eastAsia"/>
                <w:szCs w:val="21"/>
              </w:rPr>
              <w:t>；</w:t>
            </w:r>
          </w:p>
          <w:p w:rsidR="003717A0" w:rsidRDefault="003717A0">
            <w:pPr>
              <w:numPr>
                <w:ilvl w:val="0"/>
                <w:numId w:val="17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70%</w:t>
            </w:r>
            <w:r>
              <w:rPr>
                <w:rFonts w:ascii="Times New Roman" w:hAnsi="宋体" w:hint="eastAsia"/>
                <w:szCs w:val="21"/>
              </w:rPr>
              <w:t>；</w:t>
            </w:r>
          </w:p>
          <w:p w:rsidR="003717A0" w:rsidRDefault="003717A0">
            <w:pPr>
              <w:numPr>
                <w:ilvl w:val="0"/>
                <w:numId w:val="17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exact"/>
              <w:ind w:firstLineChars="200" w:firstLine="420"/>
              <w:jc w:val="left"/>
              <w:rPr>
                <w:rFonts w:ascii="Times New Roman" w:hAnsi="宋体"/>
                <w:kern w:val="0"/>
                <w:sz w:val="22"/>
              </w:rPr>
            </w:pP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440" w:lineRule="exact"/>
              <w:ind w:firstLineChars="150" w:firstLine="315"/>
              <w:jc w:val="left"/>
              <w:rPr>
                <w:rFonts w:ascii="Times New Roman" w:hAnsi="宋体"/>
                <w:kern w:val="0"/>
                <w:sz w:val="22"/>
              </w:rPr>
            </w:pPr>
            <w:r>
              <w:rPr>
                <w:rFonts w:ascii="宋体" w:hAnsi="宋体" w:hint="eastAsia"/>
                <w:szCs w:val="21"/>
              </w:rPr>
              <w:t>为了培养学生综合运用所学知识解决实际问题的能力，本课程教师应鼓励和指导学生深入临床观摩医疗实践活动，并通过病人角色扮演等活动体验病人对医疗的需求及对医务人员的要求，从而提高医德修养的自觉性，增强社会责任感。</w:t>
            </w:r>
          </w:p>
        </w:tc>
      </w:tr>
      <w:tr w:rsidR="003717A0">
        <w:trPr>
          <w:gridAfter w:val="1"/>
          <w:wAfter w:w="26" w:type="dxa"/>
          <w:cantSplit/>
          <w:trHeight w:val="1060"/>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p w:rsidR="003717A0" w:rsidRPr="00F5156D" w:rsidRDefault="003717A0">
      <w:pPr>
        <w:pStyle w:val="1"/>
        <w:rPr>
          <w:b/>
          <w:kern w:val="0"/>
        </w:rPr>
      </w:pPr>
      <w:bookmarkStart w:id="58" w:name="_Toc469312991"/>
      <w:bookmarkStart w:id="59" w:name="_Toc471830703"/>
      <w:r w:rsidRPr="00F5156D">
        <w:rPr>
          <w:rFonts w:hint="eastAsia"/>
          <w:b/>
          <w:kern w:val="0"/>
        </w:rPr>
        <w:lastRenderedPageBreak/>
        <w:t>《医学统计学》课程质量标准</w:t>
      </w:r>
      <w:bookmarkEnd w:id="58"/>
      <w:bookmarkEnd w:id="59"/>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673"/>
        <w:gridCol w:w="59"/>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医学统计学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rFonts w:ascii="Times New Roman" w:hAnsi="Times New Roman"/>
                <w:sz w:val="22"/>
              </w:rPr>
            </w:pPr>
            <w:r>
              <w:rPr>
                <w:rFonts w:ascii="Times New Roman" w:hAnsi="Times New Roman"/>
                <w:sz w:val="22"/>
              </w:rPr>
              <w:t>Medical statistics</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180163</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二</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rFonts w:ascii="Times New Roman" w:hAnsi="Times New Roman"/>
                <w:sz w:val="22"/>
              </w:rPr>
            </w:pPr>
            <w:r>
              <w:rPr>
                <w:rFonts w:ascii="Times New Roman" w:hAnsi="Times New Roman"/>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rFonts w:ascii="Times New Roman" w:hAnsi="Times New Roman"/>
                <w:sz w:val="22"/>
              </w:rPr>
            </w:pPr>
            <w:r>
              <w:rPr>
                <w:rFonts w:ascii="Times New Roman" w:hAnsi="Times New Roman"/>
                <w:sz w:val="22"/>
              </w:rPr>
              <w:t>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■专业基础课□专业选修课□公共选修课■必修课□选修课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公共卫生学院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流行病与卫生统计学</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医学统计学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中国统计出版社，</w:t>
            </w:r>
            <w:r>
              <w:rPr>
                <w:rFonts w:ascii="Times New Roman" w:eastAsia="楷体_GB2312" w:hAnsi="Times New Roman"/>
                <w:kern w:val="0"/>
                <w:sz w:val="22"/>
              </w:rPr>
              <w:t>2013</w:t>
            </w:r>
            <w:r>
              <w:rPr>
                <w:rFonts w:ascii="Times New Roman" w:eastAsia="楷体_GB2312" w:hAnsi="Times New Roman" w:hint="eastAsia"/>
                <w:kern w:val="0"/>
                <w:sz w:val="22"/>
              </w:rPr>
              <w:t>年</w:t>
            </w:r>
            <w:r>
              <w:rPr>
                <w:rFonts w:ascii="Times New Roman" w:eastAsia="楷体_GB2312" w:hAnsi="Times New Roman"/>
                <w:kern w:val="0"/>
                <w:sz w:val="22"/>
              </w:rPr>
              <w:t>7</w:t>
            </w:r>
            <w:r>
              <w:rPr>
                <w:rFonts w:ascii="Times New Roman" w:eastAsia="楷体_GB2312" w:hAnsi="Times New Roman" w:hint="eastAsia"/>
                <w:kern w:val="0"/>
                <w:sz w:val="22"/>
              </w:rPr>
              <w:t>月第</w:t>
            </w:r>
            <w:r>
              <w:rPr>
                <w:rFonts w:ascii="Times New Roman" w:eastAsia="楷体_GB2312" w:hAnsi="Times New Roman"/>
                <w:kern w:val="0"/>
                <w:sz w:val="22"/>
              </w:rPr>
              <w:t>3</w:t>
            </w:r>
            <w:r>
              <w:rPr>
                <w:rFonts w:ascii="Times New Roman" w:eastAsia="楷体_GB2312" w:hAnsi="Times New Roman" w:hint="eastAsia"/>
                <w:kern w:val="0"/>
                <w:sz w:val="22"/>
              </w:rPr>
              <w:t>版，书号：</w:t>
            </w:r>
            <w:r>
              <w:rPr>
                <w:rFonts w:ascii="Times New Roman" w:eastAsia="楷体_GB2312" w:hAnsi="Times New Roman"/>
                <w:kern w:val="0"/>
                <w:sz w:val="22"/>
              </w:rPr>
              <w:t>ISBN 978-7-5037-6791-3</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■考试□考查□开卷■闭卷□课程设计□学期论文□其他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r>
              <w:rPr>
                <w:rFonts w:ascii="Times New Roman" w:hAnsi="Times New Roman"/>
                <w:sz w:val="22"/>
              </w:rPr>
              <w:t>30%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rFonts w:ascii="Times New Roman" w:hAnsi="Times New Roman"/>
                <w:sz w:val="22"/>
              </w:rPr>
              <w:t>70%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878" w:type="dxa"/>
            <w:gridSpan w:val="3"/>
          </w:tcPr>
          <w:p w:rsidR="003717A0" w:rsidRDefault="003717A0">
            <w:pPr>
              <w:adjustRightInd w:val="0"/>
              <w:snapToGrid w:val="0"/>
              <w:spacing w:line="500" w:lineRule="exact"/>
              <w:jc w:val="center"/>
              <w:rPr>
                <w:sz w:val="22"/>
              </w:rPr>
            </w:pPr>
            <w:r>
              <w:rPr>
                <w:rFonts w:hint="eastAsia"/>
                <w:sz w:val="22"/>
              </w:rPr>
              <w:t>学位</w:t>
            </w:r>
          </w:p>
        </w:tc>
        <w:tc>
          <w:tcPr>
            <w:tcW w:w="1169"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何</w:t>
            </w:r>
            <w:r>
              <w:rPr>
                <w:rFonts w:ascii="Times New Roman" w:eastAsia="楷体_GB2312" w:hAnsi="Times New Roman"/>
                <w:kern w:val="0"/>
                <w:sz w:val="22"/>
              </w:rPr>
              <w:t xml:space="preserve"> </w:t>
            </w:r>
            <w:r>
              <w:rPr>
                <w:rFonts w:ascii="Times New Roman" w:eastAsia="楷体_GB2312" w:hAnsi="Times New Roman" w:hint="eastAsia"/>
                <w:kern w:val="0"/>
                <w:sz w:val="22"/>
              </w:rPr>
              <w:t>书</w:t>
            </w:r>
          </w:p>
        </w:tc>
        <w:tc>
          <w:tcPr>
            <w:tcW w:w="1523"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女</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研究生</w:t>
            </w:r>
          </w:p>
        </w:tc>
        <w:tc>
          <w:tcPr>
            <w:tcW w:w="1878" w:type="dxa"/>
            <w:gridSpan w:val="3"/>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硕士</w:t>
            </w:r>
          </w:p>
        </w:tc>
        <w:tc>
          <w:tcPr>
            <w:tcW w:w="1169"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讲师</w:t>
            </w:r>
          </w:p>
        </w:tc>
        <w:tc>
          <w:tcPr>
            <w:tcW w:w="1524"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kern w:val="0"/>
                <w:sz w:val="22"/>
              </w:rPr>
              <w:t>2005.9</w:t>
            </w:r>
          </w:p>
        </w:tc>
      </w:tr>
      <w:tr w:rsidR="003717A0">
        <w:tc>
          <w:tcPr>
            <w:tcW w:w="1668"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沈</w:t>
            </w:r>
            <w:r>
              <w:rPr>
                <w:rFonts w:ascii="Times New Roman" w:eastAsia="楷体_GB2312" w:hAnsi="Times New Roman"/>
                <w:kern w:val="0"/>
                <w:sz w:val="22"/>
              </w:rPr>
              <w:t xml:space="preserve"> </w:t>
            </w:r>
            <w:r>
              <w:rPr>
                <w:rFonts w:ascii="Times New Roman" w:eastAsia="楷体_GB2312" w:hAnsi="Times New Roman" w:hint="eastAsia"/>
                <w:kern w:val="0"/>
                <w:sz w:val="22"/>
              </w:rPr>
              <w:t>毅</w:t>
            </w:r>
          </w:p>
        </w:tc>
        <w:tc>
          <w:tcPr>
            <w:tcW w:w="1523"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女</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研究生</w:t>
            </w:r>
          </w:p>
        </w:tc>
        <w:tc>
          <w:tcPr>
            <w:tcW w:w="1878" w:type="dxa"/>
            <w:gridSpan w:val="3"/>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硕士</w:t>
            </w:r>
          </w:p>
        </w:tc>
        <w:tc>
          <w:tcPr>
            <w:tcW w:w="1169"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副教授</w:t>
            </w:r>
          </w:p>
        </w:tc>
        <w:tc>
          <w:tcPr>
            <w:tcW w:w="1524"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kern w:val="0"/>
                <w:sz w:val="22"/>
              </w:rPr>
              <w:t>2001.9</w:t>
            </w:r>
          </w:p>
        </w:tc>
      </w:tr>
      <w:tr w:rsidR="003717A0">
        <w:tc>
          <w:tcPr>
            <w:tcW w:w="1668"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肖</w:t>
            </w:r>
            <w:r>
              <w:rPr>
                <w:rFonts w:ascii="Times New Roman" w:eastAsia="楷体_GB2312" w:hAnsi="Times New Roman"/>
                <w:kern w:val="0"/>
                <w:sz w:val="22"/>
              </w:rPr>
              <w:t xml:space="preserve"> </w:t>
            </w:r>
            <w:r>
              <w:rPr>
                <w:rFonts w:ascii="Times New Roman" w:eastAsia="楷体_GB2312" w:hAnsi="Times New Roman" w:hint="eastAsia"/>
                <w:kern w:val="0"/>
                <w:sz w:val="22"/>
              </w:rPr>
              <w:t>静</w:t>
            </w:r>
          </w:p>
        </w:tc>
        <w:tc>
          <w:tcPr>
            <w:tcW w:w="1523"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女</w:t>
            </w:r>
          </w:p>
        </w:tc>
        <w:tc>
          <w:tcPr>
            <w:tcW w:w="1524"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研究生</w:t>
            </w:r>
          </w:p>
        </w:tc>
        <w:tc>
          <w:tcPr>
            <w:tcW w:w="1878" w:type="dxa"/>
            <w:gridSpan w:val="3"/>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博士</w:t>
            </w:r>
          </w:p>
        </w:tc>
        <w:tc>
          <w:tcPr>
            <w:tcW w:w="1169" w:type="dxa"/>
            <w:gridSpan w:val="2"/>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hint="eastAsia"/>
                <w:kern w:val="0"/>
                <w:sz w:val="22"/>
              </w:rPr>
              <w:t>副教授</w:t>
            </w:r>
          </w:p>
        </w:tc>
        <w:tc>
          <w:tcPr>
            <w:tcW w:w="1524" w:type="dxa"/>
          </w:tcPr>
          <w:p w:rsidR="003717A0" w:rsidRDefault="003717A0">
            <w:pPr>
              <w:adjustRightInd w:val="0"/>
              <w:snapToGrid w:val="0"/>
              <w:spacing w:line="440" w:lineRule="exact"/>
              <w:jc w:val="center"/>
              <w:rPr>
                <w:rFonts w:ascii="Times New Roman" w:eastAsia="楷体_GB2312" w:hAnsi="Times New Roman"/>
                <w:kern w:val="0"/>
                <w:sz w:val="22"/>
              </w:rPr>
            </w:pPr>
            <w:r>
              <w:rPr>
                <w:rFonts w:ascii="Times New Roman" w:eastAsia="楷体_GB2312" w:hAnsi="Times New Roman"/>
                <w:kern w:val="0"/>
                <w:sz w:val="22"/>
              </w:rPr>
              <w:t>2007.6</w:t>
            </w:r>
          </w:p>
        </w:tc>
      </w:tr>
      <w:tr w:rsidR="003717A0">
        <w:tc>
          <w:tcPr>
            <w:tcW w:w="1668" w:type="dxa"/>
          </w:tcPr>
          <w:p w:rsidR="003717A0" w:rsidRDefault="003717A0">
            <w:pPr>
              <w:adjustRightInd w:val="0"/>
              <w:snapToGrid w:val="0"/>
              <w:spacing w:line="500" w:lineRule="exact"/>
              <w:jc w:val="center"/>
              <w:rPr>
                <w:rFonts w:ascii="Times New Roman" w:eastAsia="楷体_GB2312" w:hAnsi="Times New Roman"/>
                <w:kern w:val="0"/>
                <w:sz w:val="22"/>
              </w:rPr>
            </w:pPr>
            <w:r>
              <w:rPr>
                <w:rFonts w:ascii="Times New Roman" w:eastAsia="楷体_GB2312" w:hAnsi="Times New Roman" w:hint="eastAsia"/>
                <w:kern w:val="0"/>
                <w:sz w:val="22"/>
              </w:rPr>
              <w:t>秦正积</w:t>
            </w:r>
          </w:p>
        </w:tc>
        <w:tc>
          <w:tcPr>
            <w:tcW w:w="1523" w:type="dxa"/>
          </w:tcPr>
          <w:p w:rsidR="003717A0" w:rsidRDefault="003717A0">
            <w:pPr>
              <w:adjustRightInd w:val="0"/>
              <w:snapToGrid w:val="0"/>
              <w:spacing w:line="500" w:lineRule="exact"/>
              <w:jc w:val="center"/>
              <w:rPr>
                <w:rFonts w:ascii="Times New Roman" w:eastAsia="楷体_GB2312" w:hAnsi="Times New Roman"/>
                <w:kern w:val="0"/>
                <w:sz w:val="22"/>
              </w:rPr>
            </w:pPr>
            <w:r>
              <w:rPr>
                <w:rFonts w:ascii="Times New Roman" w:eastAsia="楷体_GB2312" w:hAnsi="Times New Roman" w:hint="eastAsia"/>
                <w:kern w:val="0"/>
                <w:sz w:val="22"/>
              </w:rPr>
              <w:t>男</w:t>
            </w:r>
          </w:p>
        </w:tc>
        <w:tc>
          <w:tcPr>
            <w:tcW w:w="1524" w:type="dxa"/>
            <w:gridSpan w:val="2"/>
          </w:tcPr>
          <w:p w:rsidR="003717A0" w:rsidRDefault="003717A0">
            <w:pPr>
              <w:adjustRightInd w:val="0"/>
              <w:snapToGrid w:val="0"/>
              <w:spacing w:line="500" w:lineRule="exact"/>
              <w:jc w:val="center"/>
              <w:rPr>
                <w:rFonts w:ascii="Times New Roman" w:eastAsia="楷体_GB2312" w:hAnsi="Times New Roman"/>
                <w:kern w:val="0"/>
                <w:sz w:val="22"/>
              </w:rPr>
            </w:pPr>
            <w:r>
              <w:rPr>
                <w:rFonts w:ascii="Times New Roman" w:eastAsia="楷体_GB2312" w:hAnsi="Times New Roman" w:hint="eastAsia"/>
                <w:kern w:val="0"/>
                <w:sz w:val="22"/>
              </w:rPr>
              <w:t>研究生</w:t>
            </w:r>
          </w:p>
        </w:tc>
        <w:tc>
          <w:tcPr>
            <w:tcW w:w="1878" w:type="dxa"/>
            <w:gridSpan w:val="3"/>
          </w:tcPr>
          <w:p w:rsidR="003717A0" w:rsidRDefault="003717A0">
            <w:pPr>
              <w:adjustRightInd w:val="0"/>
              <w:snapToGrid w:val="0"/>
              <w:spacing w:line="500" w:lineRule="exact"/>
              <w:jc w:val="center"/>
              <w:rPr>
                <w:rFonts w:ascii="Times New Roman" w:eastAsia="楷体_GB2312" w:hAnsi="Times New Roman"/>
                <w:kern w:val="0"/>
                <w:sz w:val="22"/>
              </w:rPr>
            </w:pPr>
            <w:r>
              <w:rPr>
                <w:rFonts w:ascii="Times New Roman" w:eastAsia="楷体_GB2312" w:hAnsi="Times New Roman" w:hint="eastAsia"/>
                <w:kern w:val="0"/>
                <w:sz w:val="22"/>
              </w:rPr>
              <w:t>硕士（博士在读）</w:t>
            </w:r>
          </w:p>
        </w:tc>
        <w:tc>
          <w:tcPr>
            <w:tcW w:w="1169" w:type="dxa"/>
            <w:gridSpan w:val="2"/>
          </w:tcPr>
          <w:p w:rsidR="003717A0" w:rsidRDefault="003717A0">
            <w:pPr>
              <w:adjustRightInd w:val="0"/>
              <w:snapToGrid w:val="0"/>
              <w:spacing w:line="500" w:lineRule="exact"/>
              <w:jc w:val="center"/>
              <w:rPr>
                <w:rFonts w:ascii="Times New Roman" w:eastAsia="楷体_GB2312" w:hAnsi="Times New Roman"/>
                <w:kern w:val="0"/>
                <w:sz w:val="22"/>
              </w:rPr>
            </w:pPr>
            <w:r>
              <w:rPr>
                <w:rFonts w:ascii="Times New Roman" w:eastAsia="楷体_GB2312" w:hAnsi="Times New Roman" w:hint="eastAsia"/>
                <w:kern w:val="0"/>
                <w:sz w:val="22"/>
              </w:rPr>
              <w:t>讲师</w:t>
            </w:r>
          </w:p>
        </w:tc>
        <w:tc>
          <w:tcPr>
            <w:tcW w:w="1524" w:type="dxa"/>
          </w:tcPr>
          <w:p w:rsidR="003717A0" w:rsidRDefault="003717A0">
            <w:pPr>
              <w:adjustRightInd w:val="0"/>
              <w:snapToGrid w:val="0"/>
              <w:spacing w:line="500" w:lineRule="exact"/>
              <w:jc w:val="center"/>
              <w:rPr>
                <w:rFonts w:ascii="Times New Roman" w:eastAsia="楷体_GB2312" w:hAnsi="Times New Roman"/>
                <w:kern w:val="0"/>
                <w:sz w:val="22"/>
              </w:rPr>
            </w:pPr>
            <w:r>
              <w:rPr>
                <w:rFonts w:ascii="Times New Roman" w:eastAsia="楷体_GB2312" w:hAnsi="Times New Roman"/>
                <w:kern w:val="0"/>
                <w:sz w:val="22"/>
              </w:rPr>
              <w:t>2007.6</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ind w:firstLineChars="200" w:firstLine="440"/>
              <w:rPr>
                <w:sz w:val="22"/>
              </w:rPr>
            </w:pPr>
            <w:r>
              <w:rPr>
                <w:rFonts w:hint="eastAsia"/>
                <w:sz w:val="22"/>
              </w:rPr>
              <w:t>医学统计学是运用概率论和数理统计等数学的原理和方法，研究医学资料的收集、整理、分析和推断的一门学科。它是医学院校各专业本科生的公共必修课。本课程教学中注重医学统计思维的培养，始终贯穿“医学实际问题</w:t>
            </w:r>
            <w:r>
              <w:rPr>
                <w:sz w:val="22"/>
              </w:rPr>
              <w:sym w:font="Symbol" w:char="F0BE"/>
            </w:r>
            <w:r>
              <w:rPr>
                <w:rFonts w:hint="eastAsia"/>
                <w:sz w:val="22"/>
              </w:rPr>
              <w:t>研究指标</w:t>
            </w:r>
            <w:r>
              <w:rPr>
                <w:sz w:val="22"/>
              </w:rPr>
              <w:sym w:font="Symbol" w:char="F0BE"/>
            </w:r>
            <w:r>
              <w:rPr>
                <w:rFonts w:hint="eastAsia"/>
                <w:sz w:val="22"/>
              </w:rPr>
              <w:t>变异和分布</w:t>
            </w:r>
            <w:r>
              <w:rPr>
                <w:sz w:val="22"/>
              </w:rPr>
              <w:sym w:font="Symbol" w:char="F0BE"/>
            </w:r>
            <w:r>
              <w:rPr>
                <w:rFonts w:hint="eastAsia"/>
                <w:sz w:val="22"/>
              </w:rPr>
              <w:t>抽样误差</w:t>
            </w:r>
            <w:r>
              <w:rPr>
                <w:sz w:val="22"/>
              </w:rPr>
              <w:sym w:font="Symbol" w:char="F0BE"/>
            </w:r>
            <w:r>
              <w:rPr>
                <w:rFonts w:hint="eastAsia"/>
                <w:sz w:val="22"/>
              </w:rPr>
              <w:t>统计推断</w:t>
            </w:r>
            <w:r>
              <w:rPr>
                <w:sz w:val="22"/>
              </w:rPr>
              <w:sym w:font="Symbol" w:char="F0BE"/>
            </w:r>
            <w:r>
              <w:rPr>
                <w:rFonts w:hint="eastAsia"/>
                <w:sz w:val="22"/>
              </w:rPr>
              <w:t>对医学实际问题的解释”这一主线，注重医学统计学的基本概念、基本思想、医学统计方法的应用、研究设计技巧的讲解及结果的解释。本课程在培养学生深入理解统计学基本理论和方法的基础上，着力提高其联系实际解决和分析问题的能力，为学生今后从事临床和临床基础研究工作打下基础。</w:t>
            </w:r>
          </w:p>
        </w:tc>
      </w:tr>
    </w:tbl>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w:t>
      </w:r>
      <w:r>
        <w:rPr>
          <w:rFonts w:ascii="宋体" w:hAnsi="宋体" w:hint="eastAsia"/>
          <w:bCs/>
        </w:rPr>
        <w:t>康复医学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sz w:val="22"/>
        </w:rPr>
        <w:t>180163</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36</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2</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医学统计学是医学科学的一个组成部分，是医学院校各专业本科生和研究生的公共必修课。与医学其它学科之间的联系具有非同一般的广度和深度，尤其在医学研究设计、数据分析和结果评价方面更为明显。近年来，随着信息技术的飞速发展，计算机的普遍应用，各种用途广泛、威力强大的统计分析方法纷纷引入本学科领域，这门学科的重要性也越来越为医学界所公认。</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本课程的任务是：在教会学生知识的同时，更注重培养医学统计学思维，始终贯穿“医学实际问题</w:t>
      </w:r>
      <w:r>
        <w:rPr>
          <w:rFonts w:ascii="Times New Roman" w:hAnsi="Times New Roman"/>
          <w:kern w:val="0"/>
          <w:sz w:val="22"/>
        </w:rPr>
        <w:sym w:font="Symbol" w:char="F0BE"/>
      </w:r>
      <w:r>
        <w:rPr>
          <w:rFonts w:ascii="Times New Roman" w:hAnsi="宋体" w:hint="eastAsia"/>
          <w:kern w:val="0"/>
          <w:sz w:val="22"/>
        </w:rPr>
        <w:t>研究指标</w:t>
      </w:r>
      <w:r>
        <w:rPr>
          <w:rFonts w:ascii="Times New Roman" w:hAnsi="Times New Roman"/>
          <w:kern w:val="0"/>
          <w:sz w:val="22"/>
        </w:rPr>
        <w:sym w:font="Symbol" w:char="F0BE"/>
      </w:r>
      <w:r>
        <w:rPr>
          <w:rFonts w:ascii="Times New Roman" w:hAnsi="宋体" w:hint="eastAsia"/>
          <w:kern w:val="0"/>
          <w:sz w:val="22"/>
        </w:rPr>
        <w:t>变异和分布</w:t>
      </w:r>
      <w:r>
        <w:rPr>
          <w:rFonts w:ascii="Times New Roman" w:hAnsi="Times New Roman"/>
          <w:kern w:val="0"/>
          <w:sz w:val="22"/>
        </w:rPr>
        <w:sym w:font="Symbol" w:char="F0BE"/>
      </w:r>
      <w:r>
        <w:rPr>
          <w:rFonts w:ascii="Times New Roman" w:hAnsi="宋体" w:hint="eastAsia"/>
          <w:kern w:val="0"/>
          <w:sz w:val="22"/>
        </w:rPr>
        <w:t>抽样误差</w:t>
      </w:r>
      <w:r>
        <w:rPr>
          <w:rFonts w:ascii="Times New Roman" w:hAnsi="Times New Roman"/>
          <w:kern w:val="0"/>
          <w:sz w:val="22"/>
        </w:rPr>
        <w:sym w:font="Symbol" w:char="F0BE"/>
      </w:r>
      <w:r>
        <w:rPr>
          <w:rFonts w:ascii="Times New Roman" w:hAnsi="宋体" w:hint="eastAsia"/>
          <w:kern w:val="0"/>
          <w:sz w:val="22"/>
        </w:rPr>
        <w:t>统计推断</w:t>
      </w:r>
      <w:r>
        <w:rPr>
          <w:rFonts w:ascii="Times New Roman" w:hAnsi="Times New Roman"/>
          <w:kern w:val="0"/>
          <w:sz w:val="22"/>
        </w:rPr>
        <w:sym w:font="Symbol" w:char="F0BE"/>
      </w:r>
      <w:r>
        <w:rPr>
          <w:rFonts w:ascii="Times New Roman" w:hAnsi="宋体" w:hint="eastAsia"/>
          <w:kern w:val="0"/>
          <w:sz w:val="22"/>
        </w:rPr>
        <w:t>对医学实际问题的解释”这一主线，培养学生分析医学科研资料的初步技能，为今后从事实际工作或研究打下基础。</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使学生掌握医学统计学的基本概念和基本原理，学会如何对不同类型的资料进行统计描述和统计推断，并对医学研究设计进行一定的了解，培养学生解决医学实际问题的能力，为学生以后的医学基础研究打下基础。</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djustRightInd w:val="0"/>
        <w:snapToGrid w:val="0"/>
        <w:spacing w:line="360" w:lineRule="exact"/>
        <w:ind w:firstLineChars="200" w:firstLine="440"/>
        <w:rPr>
          <w:rFonts w:ascii="Times New Roman" w:hAnsi="Times New Roman"/>
          <w:sz w:val="22"/>
        </w:rPr>
      </w:pPr>
      <w:r>
        <w:rPr>
          <w:rFonts w:ascii="Times New Roman" w:hAnsi="宋体" w:hint="eastAsia"/>
          <w:sz w:val="22"/>
        </w:rPr>
        <w:t>一、</w:t>
      </w:r>
      <w:r>
        <w:rPr>
          <w:rFonts w:ascii="Times New Roman" w:hint="eastAsia"/>
          <w:sz w:val="22"/>
        </w:rPr>
        <w:t>绪言</w:t>
      </w:r>
      <w:r>
        <w:rPr>
          <w:rFonts w:ascii="Times New Roman" w:hAnsi="Times New Roman"/>
          <w:sz w:val="22"/>
        </w:rPr>
        <w:t xml:space="preserve">                             </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bCs/>
          <w:sz w:val="22"/>
        </w:rPr>
        <w:t>1</w:t>
      </w:r>
      <w:r>
        <w:rPr>
          <w:rFonts w:ascii="Times New Roman" w:hAnsi="宋体" w:hint="eastAsia"/>
          <w:sz w:val="22"/>
        </w:rPr>
        <w:t>．</w:t>
      </w:r>
      <w:r>
        <w:rPr>
          <w:rFonts w:ascii="Times New Roman" w:hAnsi="宋体" w:hint="eastAsia"/>
          <w:b/>
          <w:bCs/>
          <w:sz w:val="22"/>
        </w:rPr>
        <w:t>熟悉</w:t>
      </w:r>
      <w:r>
        <w:rPr>
          <w:rFonts w:ascii="Times New Roman" w:hAnsi="宋体" w:hint="eastAsia"/>
          <w:sz w:val="22"/>
        </w:rPr>
        <w:t>医学统计学的内容</w:t>
      </w:r>
    </w:p>
    <w:p w:rsidR="003717A0" w:rsidRDefault="003717A0">
      <w:pPr>
        <w:adjustRightInd w:val="0"/>
        <w:snapToGrid w:val="0"/>
        <w:spacing w:line="360" w:lineRule="exact"/>
        <w:ind w:firstLineChars="195" w:firstLine="429"/>
        <w:rPr>
          <w:rFonts w:ascii="Times New Roman" w:hAnsi="Times New Roman"/>
          <w:sz w:val="22"/>
        </w:rPr>
      </w:pPr>
      <w:r>
        <w:rPr>
          <w:rFonts w:ascii="Times New Roman" w:hAnsi="Times New Roman"/>
          <w:bCs/>
          <w:sz w:val="22"/>
        </w:rPr>
        <w:t>2</w:t>
      </w:r>
      <w:r>
        <w:rPr>
          <w:rFonts w:ascii="Times New Roman" w:hAnsi="宋体" w:hint="eastAsia"/>
          <w:sz w:val="22"/>
        </w:rPr>
        <w:t>．</w:t>
      </w:r>
      <w:r>
        <w:rPr>
          <w:rFonts w:ascii="Times New Roman" w:hAnsi="宋体" w:hint="eastAsia"/>
          <w:b/>
          <w:bCs/>
          <w:sz w:val="22"/>
        </w:rPr>
        <w:t>掌握</w:t>
      </w:r>
      <w:r>
        <w:rPr>
          <w:rFonts w:ascii="Times New Roman" w:hAnsi="宋体" w:hint="eastAsia"/>
          <w:sz w:val="22"/>
        </w:rPr>
        <w:t>几个基本概念（三个步骤</w:t>
      </w:r>
      <w:r>
        <w:rPr>
          <w:rFonts w:ascii="Times New Roman" w:hAnsi="Times New Roman"/>
          <w:sz w:val="22"/>
        </w:rPr>
        <w:t xml:space="preserve">  </w:t>
      </w:r>
      <w:r>
        <w:rPr>
          <w:rFonts w:ascii="Times New Roman" w:hAnsi="宋体" w:hint="eastAsia"/>
          <w:sz w:val="22"/>
        </w:rPr>
        <w:t>三类资料</w:t>
      </w:r>
      <w:r>
        <w:rPr>
          <w:rFonts w:ascii="Times New Roman" w:hAnsi="Times New Roman"/>
          <w:sz w:val="22"/>
        </w:rPr>
        <w:t xml:space="preserve">  </w:t>
      </w:r>
      <w:r>
        <w:rPr>
          <w:rFonts w:ascii="Times New Roman" w:hAnsi="宋体" w:hint="eastAsia"/>
          <w:sz w:val="22"/>
        </w:rPr>
        <w:t>总体和样本</w:t>
      </w:r>
      <w:r>
        <w:rPr>
          <w:rFonts w:ascii="Times New Roman" w:hAnsi="Times New Roman"/>
          <w:sz w:val="22"/>
        </w:rPr>
        <w:t xml:space="preserve">  </w:t>
      </w:r>
      <w:r>
        <w:rPr>
          <w:rFonts w:ascii="Times New Roman" w:hAnsi="宋体" w:hint="eastAsia"/>
          <w:sz w:val="22"/>
        </w:rPr>
        <w:t>概率）</w:t>
      </w:r>
    </w:p>
    <w:p w:rsidR="003717A0" w:rsidRDefault="003717A0">
      <w:pPr>
        <w:adjustRightInd w:val="0"/>
        <w:snapToGrid w:val="0"/>
        <w:spacing w:line="360" w:lineRule="exact"/>
        <w:ind w:firstLineChars="200" w:firstLine="440"/>
        <w:rPr>
          <w:rFonts w:ascii="Times New Roman" w:hAnsi="Times New Roman"/>
          <w:sz w:val="22"/>
        </w:rPr>
      </w:pPr>
      <w:r>
        <w:rPr>
          <w:rFonts w:ascii="Times New Roman" w:hAnsi="Times New Roman"/>
          <w:sz w:val="22"/>
        </w:rPr>
        <w:t>3</w:t>
      </w:r>
      <w:r>
        <w:rPr>
          <w:rFonts w:ascii="Times New Roman" w:hAnsi="宋体" w:hint="eastAsia"/>
          <w:sz w:val="22"/>
        </w:rPr>
        <w:t>．培养医学统计学思维</w:t>
      </w:r>
    </w:p>
    <w:p w:rsidR="003717A0" w:rsidRDefault="003717A0">
      <w:pPr>
        <w:adjustRightInd w:val="0"/>
        <w:snapToGrid w:val="0"/>
        <w:spacing w:line="360" w:lineRule="exact"/>
        <w:ind w:firstLineChars="200" w:firstLine="440"/>
        <w:rPr>
          <w:rFonts w:ascii="Times New Roman" w:hAnsi="Times New Roman"/>
          <w:sz w:val="22"/>
        </w:rPr>
      </w:pPr>
      <w:r>
        <w:rPr>
          <w:rFonts w:ascii="Times New Roman" w:hAnsi="宋体" w:hint="eastAsia"/>
          <w:sz w:val="22"/>
        </w:rPr>
        <w:t>二、</w:t>
      </w:r>
      <w:r>
        <w:rPr>
          <w:rFonts w:ascii="Times New Roman" w:hint="eastAsia"/>
          <w:sz w:val="22"/>
        </w:rPr>
        <w:t>数值变量的统计描述</w:t>
      </w:r>
      <w:r>
        <w:rPr>
          <w:rFonts w:ascii="Times New Roman" w:hAnsi="Times New Roman"/>
          <w:sz w:val="22"/>
        </w:rPr>
        <w:t xml:space="preserve">                  </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sz w:val="22"/>
        </w:rPr>
        <w:t>1</w:t>
      </w:r>
      <w:r>
        <w:rPr>
          <w:rFonts w:ascii="Times New Roman" w:hAnsi="宋体" w:hint="eastAsia"/>
          <w:sz w:val="22"/>
        </w:rPr>
        <w:t>．</w:t>
      </w:r>
      <w:r>
        <w:rPr>
          <w:rFonts w:ascii="Times New Roman" w:hint="eastAsia"/>
          <w:b/>
          <w:bCs/>
          <w:sz w:val="22"/>
        </w:rPr>
        <w:t>掌握</w:t>
      </w:r>
      <w:r>
        <w:rPr>
          <w:rFonts w:ascii="Times New Roman" w:hint="eastAsia"/>
          <w:sz w:val="22"/>
        </w:rPr>
        <w:t>描述计量资料集中趋势和离散程度常用指标的意义、计算方法与适用范围</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sz w:val="22"/>
        </w:rPr>
        <w:t>2</w:t>
      </w:r>
      <w:r>
        <w:rPr>
          <w:rFonts w:ascii="Times New Roman" w:hAnsi="宋体" w:hint="eastAsia"/>
          <w:sz w:val="22"/>
        </w:rPr>
        <w:t>．</w:t>
      </w:r>
      <w:r>
        <w:rPr>
          <w:rFonts w:ascii="Times New Roman" w:hint="eastAsia"/>
          <w:b/>
          <w:bCs/>
          <w:sz w:val="22"/>
        </w:rPr>
        <w:t>掌握</w:t>
      </w:r>
      <w:r>
        <w:rPr>
          <w:rFonts w:ascii="Times New Roman" w:hint="eastAsia"/>
          <w:sz w:val="22"/>
        </w:rPr>
        <w:t>正态分布的特征、正态分布曲线下面积分布规律、正常值范围的意义及其制定方法</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sz w:val="22"/>
        </w:rPr>
        <w:t>3</w:t>
      </w:r>
      <w:r>
        <w:rPr>
          <w:rFonts w:ascii="Times New Roman" w:hint="eastAsia"/>
          <w:sz w:val="22"/>
        </w:rPr>
        <w:t>．</w:t>
      </w:r>
      <w:r>
        <w:rPr>
          <w:rFonts w:ascii="Times New Roman" w:hint="eastAsia"/>
          <w:b/>
          <w:bCs/>
          <w:sz w:val="22"/>
        </w:rPr>
        <w:t>熟悉</w:t>
      </w:r>
      <w:r>
        <w:rPr>
          <w:rFonts w:ascii="Times New Roman" w:hint="eastAsia"/>
          <w:sz w:val="22"/>
        </w:rPr>
        <w:t>频数分布表的编制与频数分布图的绘制方法</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bCs/>
          <w:sz w:val="22"/>
        </w:rPr>
        <w:t>4</w:t>
      </w:r>
      <w:r>
        <w:rPr>
          <w:rFonts w:ascii="Times New Roman" w:hAnsi="宋体" w:hint="eastAsia"/>
          <w:sz w:val="22"/>
        </w:rPr>
        <w:t>．</w:t>
      </w:r>
      <w:r>
        <w:rPr>
          <w:rFonts w:ascii="Times New Roman" w:hint="eastAsia"/>
          <w:b/>
          <w:bCs/>
          <w:sz w:val="22"/>
        </w:rPr>
        <w:t>熟悉</w:t>
      </w:r>
      <w:r>
        <w:rPr>
          <w:rFonts w:ascii="Times New Roman" w:hint="eastAsia"/>
          <w:sz w:val="22"/>
        </w:rPr>
        <w:t>标准正态分布的特点</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bCs/>
          <w:sz w:val="22"/>
        </w:rPr>
        <w:t>5</w:t>
      </w:r>
      <w:r>
        <w:rPr>
          <w:rFonts w:ascii="Times New Roman" w:hAnsi="宋体" w:hint="eastAsia"/>
          <w:sz w:val="22"/>
        </w:rPr>
        <w:t>．</w:t>
      </w:r>
      <w:r>
        <w:rPr>
          <w:rFonts w:ascii="Times New Roman" w:hint="eastAsia"/>
          <w:b/>
          <w:bCs/>
          <w:sz w:val="22"/>
        </w:rPr>
        <w:t>了解</w:t>
      </w:r>
      <w:r>
        <w:rPr>
          <w:rFonts w:ascii="Times New Roman" w:hint="eastAsia"/>
          <w:sz w:val="22"/>
        </w:rPr>
        <w:t>对数正态分布</w:t>
      </w:r>
    </w:p>
    <w:p w:rsidR="003717A0" w:rsidRDefault="003717A0">
      <w:pPr>
        <w:adjustRightInd w:val="0"/>
        <w:snapToGrid w:val="0"/>
        <w:spacing w:line="360" w:lineRule="exact"/>
        <w:ind w:left="420"/>
        <w:rPr>
          <w:rFonts w:ascii="Times New Roman" w:hAnsi="Times New Roman"/>
          <w:sz w:val="22"/>
        </w:rPr>
      </w:pPr>
      <w:r>
        <w:rPr>
          <w:rFonts w:ascii="Times New Roman" w:hAnsi="宋体" w:hint="eastAsia"/>
          <w:sz w:val="22"/>
        </w:rPr>
        <w:t>三、</w:t>
      </w:r>
      <w:r>
        <w:rPr>
          <w:rFonts w:ascii="Times New Roman" w:hint="eastAsia"/>
          <w:sz w:val="22"/>
        </w:rPr>
        <w:t>数值变量的统计推断</w:t>
      </w:r>
    </w:p>
    <w:p w:rsidR="003717A0" w:rsidRDefault="003717A0">
      <w:pPr>
        <w:adjustRightInd w:val="0"/>
        <w:snapToGrid w:val="0"/>
        <w:spacing w:line="360" w:lineRule="exact"/>
        <w:ind w:firstLineChars="200" w:firstLine="440"/>
        <w:rPr>
          <w:rFonts w:ascii="Times New Roman" w:hAnsi="Times New Roman"/>
          <w:sz w:val="22"/>
        </w:rPr>
      </w:pPr>
      <w:r>
        <w:rPr>
          <w:rFonts w:ascii="Times New Roman" w:hAnsi="Times New Roman"/>
          <w:sz w:val="22"/>
        </w:rPr>
        <w:t>1</w:t>
      </w:r>
      <w:r>
        <w:rPr>
          <w:rFonts w:ascii="Times New Roman" w:hAnsi="宋体" w:hint="eastAsia"/>
          <w:sz w:val="22"/>
        </w:rPr>
        <w:t>．</w:t>
      </w:r>
      <w:r>
        <w:rPr>
          <w:rFonts w:ascii="Times New Roman" w:hint="eastAsia"/>
          <w:b/>
          <w:bCs/>
          <w:sz w:val="22"/>
        </w:rPr>
        <w:t>掌握</w:t>
      </w:r>
      <w:r>
        <w:rPr>
          <w:rFonts w:ascii="Times New Roman" w:hint="eastAsia"/>
          <w:sz w:val="22"/>
        </w:rPr>
        <w:t>均数抽样误差的基本概念、标准误的计算和总体均数的区间估计方法</w:t>
      </w:r>
    </w:p>
    <w:p w:rsidR="003717A0" w:rsidRDefault="003717A0">
      <w:pPr>
        <w:adjustRightInd w:val="0"/>
        <w:snapToGrid w:val="0"/>
        <w:spacing w:line="360" w:lineRule="exact"/>
        <w:ind w:leftChars="200" w:left="420"/>
        <w:rPr>
          <w:rFonts w:ascii="Times New Roman" w:hAnsi="Times New Roman"/>
          <w:sz w:val="22"/>
        </w:rPr>
      </w:pPr>
      <w:r>
        <w:rPr>
          <w:rFonts w:ascii="Times New Roman" w:hAnsi="Times New Roman"/>
          <w:sz w:val="22"/>
        </w:rPr>
        <w:t>2</w:t>
      </w:r>
      <w:r>
        <w:rPr>
          <w:rFonts w:ascii="Times New Roman" w:hAnsi="宋体" w:hint="eastAsia"/>
          <w:sz w:val="22"/>
        </w:rPr>
        <w:t>．</w:t>
      </w:r>
      <w:r>
        <w:rPr>
          <w:rFonts w:ascii="Times New Roman" w:hint="eastAsia"/>
          <w:b/>
          <w:bCs/>
          <w:sz w:val="22"/>
        </w:rPr>
        <w:t>掌握</w:t>
      </w:r>
      <w:r>
        <w:rPr>
          <w:rFonts w:ascii="Times New Roman" w:hint="eastAsia"/>
          <w:sz w:val="22"/>
        </w:rPr>
        <w:t>假设检验的原理和基本步骤；能根据资料的特点和分析目的选择恰当的</w:t>
      </w:r>
      <w:r>
        <w:rPr>
          <w:rFonts w:ascii="Times New Roman" w:hAnsi="Times New Roman"/>
          <w:sz w:val="22"/>
        </w:rPr>
        <w:t>t</w:t>
      </w:r>
      <w:r>
        <w:rPr>
          <w:rFonts w:ascii="Times New Roman" w:hint="eastAsia"/>
          <w:sz w:val="22"/>
        </w:rPr>
        <w:t>检验、</w:t>
      </w:r>
      <w:r>
        <w:rPr>
          <w:rFonts w:ascii="Times New Roman" w:hAnsi="Times New Roman"/>
          <w:sz w:val="22"/>
        </w:rPr>
        <w:t>u</w:t>
      </w:r>
      <w:r>
        <w:rPr>
          <w:rFonts w:ascii="Times New Roman" w:hint="eastAsia"/>
          <w:sz w:val="22"/>
        </w:rPr>
        <w:t>检验</w:t>
      </w:r>
    </w:p>
    <w:p w:rsidR="003717A0" w:rsidRDefault="003717A0">
      <w:pPr>
        <w:adjustRightInd w:val="0"/>
        <w:snapToGrid w:val="0"/>
        <w:spacing w:line="360" w:lineRule="exact"/>
        <w:ind w:firstLineChars="200" w:firstLine="440"/>
        <w:rPr>
          <w:rFonts w:ascii="Times New Roman" w:hAnsi="Times New Roman"/>
          <w:sz w:val="22"/>
        </w:rPr>
      </w:pPr>
      <w:r>
        <w:rPr>
          <w:rFonts w:ascii="Times New Roman" w:hAnsi="Times New Roman"/>
          <w:sz w:val="22"/>
        </w:rPr>
        <w:t>3</w:t>
      </w:r>
      <w:r>
        <w:rPr>
          <w:rFonts w:ascii="Times New Roman" w:hAnsi="宋体" w:hint="eastAsia"/>
          <w:sz w:val="22"/>
        </w:rPr>
        <w:t>．</w:t>
      </w:r>
      <w:r>
        <w:rPr>
          <w:rFonts w:ascii="Times New Roman" w:hint="eastAsia"/>
          <w:b/>
          <w:bCs/>
          <w:sz w:val="22"/>
        </w:rPr>
        <w:t>熟悉</w:t>
      </w:r>
      <w:r>
        <w:rPr>
          <w:rFonts w:ascii="Times New Roman"/>
          <w:sz w:val="22"/>
        </w:rPr>
        <w:t>I</w:t>
      </w:r>
      <w:r>
        <w:rPr>
          <w:rFonts w:ascii="Times New Roman" w:hint="eastAsia"/>
          <w:sz w:val="22"/>
        </w:rPr>
        <w:t>型、</w:t>
      </w:r>
      <w:r>
        <w:rPr>
          <w:rFonts w:ascii="Times New Roman"/>
          <w:sz w:val="22"/>
        </w:rPr>
        <w:t>II</w:t>
      </w:r>
      <w:r>
        <w:rPr>
          <w:rFonts w:ascii="Times New Roman" w:hint="eastAsia"/>
          <w:sz w:val="22"/>
        </w:rPr>
        <w:t>型错误及其检验效能的基本概念</w:t>
      </w:r>
    </w:p>
    <w:p w:rsidR="003717A0" w:rsidRDefault="003717A0">
      <w:pPr>
        <w:adjustRightInd w:val="0"/>
        <w:snapToGrid w:val="0"/>
        <w:spacing w:line="360" w:lineRule="exact"/>
        <w:ind w:firstLineChars="200" w:firstLine="440"/>
        <w:rPr>
          <w:rFonts w:ascii="Times New Roman" w:hAnsi="Times New Roman"/>
          <w:sz w:val="22"/>
        </w:rPr>
      </w:pPr>
      <w:r>
        <w:rPr>
          <w:rFonts w:ascii="Times New Roman" w:hAnsi="宋体" w:hint="eastAsia"/>
          <w:sz w:val="22"/>
        </w:rPr>
        <w:t>四、</w:t>
      </w:r>
      <w:r>
        <w:rPr>
          <w:rFonts w:ascii="Times New Roman" w:hint="eastAsia"/>
          <w:sz w:val="22"/>
        </w:rPr>
        <w:t>分类变量的统计描述与统计推断</w:t>
      </w:r>
      <w:r>
        <w:rPr>
          <w:rFonts w:ascii="Times New Roman" w:hAnsi="Times New Roman"/>
          <w:sz w:val="22"/>
        </w:rPr>
        <w:t xml:space="preserve">                             </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sz w:val="22"/>
        </w:rPr>
        <w:lastRenderedPageBreak/>
        <w:t>1</w:t>
      </w:r>
      <w:r>
        <w:rPr>
          <w:rFonts w:ascii="Times New Roman" w:hint="eastAsia"/>
          <w:sz w:val="22"/>
        </w:rPr>
        <w:t>．</w:t>
      </w:r>
      <w:r>
        <w:rPr>
          <w:rFonts w:ascii="Times New Roman" w:hint="eastAsia"/>
          <w:b/>
          <w:bCs/>
          <w:sz w:val="22"/>
        </w:rPr>
        <w:t>掌握</w:t>
      </w:r>
      <w:r>
        <w:rPr>
          <w:rFonts w:ascii="Times New Roman" w:hint="eastAsia"/>
          <w:sz w:val="22"/>
        </w:rPr>
        <w:t>常用相对数的计算方法以及应用时注意的问题</w:t>
      </w:r>
    </w:p>
    <w:p w:rsidR="003717A0" w:rsidRDefault="003717A0">
      <w:pPr>
        <w:adjustRightInd w:val="0"/>
        <w:snapToGrid w:val="0"/>
        <w:spacing w:line="360" w:lineRule="exact"/>
        <w:ind w:leftChars="200" w:left="420"/>
        <w:rPr>
          <w:rFonts w:ascii="Times New Roman" w:hAnsi="Times New Roman"/>
          <w:sz w:val="22"/>
        </w:rPr>
      </w:pPr>
      <w:r>
        <w:rPr>
          <w:rFonts w:ascii="Times New Roman" w:hAnsi="Times New Roman"/>
          <w:sz w:val="22"/>
        </w:rPr>
        <w:t>2</w:t>
      </w:r>
      <w:r>
        <w:rPr>
          <w:rFonts w:ascii="Times New Roman" w:hint="eastAsia"/>
          <w:sz w:val="22"/>
        </w:rPr>
        <w:t>．</w:t>
      </w:r>
      <w:r>
        <w:rPr>
          <w:rFonts w:ascii="Times New Roman" w:hint="eastAsia"/>
          <w:b/>
          <w:bCs/>
          <w:sz w:val="22"/>
        </w:rPr>
        <w:t>掌握</w:t>
      </w:r>
      <w:r>
        <w:rPr>
          <w:rFonts w:ascii="Times New Roman" w:hint="eastAsia"/>
          <w:sz w:val="22"/>
        </w:rPr>
        <w:t>四格表资料的</w:t>
      </w:r>
      <w:r w:rsidR="00514AB1" w:rsidRPr="00514AB1">
        <w:rPr>
          <w:rFonts w:ascii="Times New Roman" w:hAnsi="Times New Roman"/>
          <w:position w:val="-6"/>
          <w:sz w:val="22"/>
        </w:rPr>
        <w:pict>
          <v:shape id="_x0000_i1104" type="#_x0000_t75" style="width:14.4pt;height:15.5pt">
            <v:imagedata r:id="rId80" o:title=""/>
          </v:shape>
        </w:pict>
      </w:r>
      <w:r>
        <w:rPr>
          <w:rFonts w:ascii="Times New Roman" w:hint="eastAsia"/>
          <w:sz w:val="22"/>
        </w:rPr>
        <w:t>检验及应用条件、行</w:t>
      </w:r>
      <w:r>
        <w:rPr>
          <w:rFonts w:ascii="Times New Roman" w:hAnsi="Times New Roman"/>
          <w:sz w:val="22"/>
        </w:rPr>
        <w:t>×</w:t>
      </w:r>
      <w:r>
        <w:rPr>
          <w:rFonts w:ascii="Times New Roman" w:hint="eastAsia"/>
          <w:sz w:val="22"/>
        </w:rPr>
        <w:t>列表资料的</w:t>
      </w:r>
      <w:r w:rsidR="00514AB1" w:rsidRPr="00514AB1">
        <w:rPr>
          <w:rFonts w:ascii="Times New Roman" w:hAnsi="Times New Roman"/>
          <w:position w:val="-6"/>
          <w:sz w:val="22"/>
        </w:rPr>
        <w:pict>
          <v:shape id="_x0000_i1105" type="#_x0000_t75" style="width:14.4pt;height:15.5pt">
            <v:imagedata r:id="rId80" o:title=""/>
          </v:shape>
        </w:pict>
      </w:r>
      <w:r>
        <w:rPr>
          <w:rFonts w:ascii="Times New Roman" w:hint="eastAsia"/>
          <w:sz w:val="22"/>
        </w:rPr>
        <w:t>检验及注意事项、列联表资料</w:t>
      </w:r>
      <w:r w:rsidR="00514AB1" w:rsidRPr="00514AB1">
        <w:rPr>
          <w:rFonts w:ascii="Times New Roman" w:hAnsi="Times New Roman"/>
          <w:position w:val="-6"/>
          <w:sz w:val="22"/>
        </w:rPr>
        <w:pict>
          <v:shape id="_x0000_i1106" type="#_x0000_t75" style="width:14.4pt;height:15.5pt">
            <v:imagedata r:id="rId80" o:title=""/>
          </v:shape>
        </w:pict>
      </w:r>
      <w:r>
        <w:rPr>
          <w:rFonts w:ascii="Times New Roman" w:hint="eastAsia"/>
          <w:sz w:val="22"/>
        </w:rPr>
        <w:t>检验的应用</w:t>
      </w:r>
    </w:p>
    <w:p w:rsidR="003717A0" w:rsidRDefault="003717A0">
      <w:pPr>
        <w:tabs>
          <w:tab w:val="center" w:pos="4755"/>
        </w:tabs>
        <w:adjustRightInd w:val="0"/>
        <w:snapToGrid w:val="0"/>
        <w:spacing w:line="360" w:lineRule="exact"/>
        <w:ind w:firstLineChars="200" w:firstLine="440"/>
        <w:rPr>
          <w:rFonts w:ascii="Times New Roman" w:hAnsi="Times New Roman"/>
          <w:sz w:val="22"/>
        </w:rPr>
      </w:pPr>
      <w:r>
        <w:rPr>
          <w:rFonts w:ascii="Times New Roman" w:hAnsi="宋体" w:hint="eastAsia"/>
          <w:sz w:val="22"/>
        </w:rPr>
        <w:t>五、</w:t>
      </w:r>
      <w:r>
        <w:rPr>
          <w:rFonts w:ascii="Times New Roman" w:hint="eastAsia"/>
          <w:sz w:val="22"/>
        </w:rPr>
        <w:t>秩和检验</w:t>
      </w:r>
      <w:r>
        <w:rPr>
          <w:rFonts w:ascii="Times New Roman" w:hAnsi="Times New Roman"/>
          <w:sz w:val="22"/>
        </w:rPr>
        <w:t xml:space="preserve"> </w:t>
      </w:r>
      <w:r>
        <w:rPr>
          <w:rFonts w:ascii="Times New Roman" w:hAnsi="Times New Roman"/>
          <w:sz w:val="22"/>
        </w:rPr>
        <w:tab/>
      </w:r>
    </w:p>
    <w:p w:rsidR="003717A0" w:rsidRDefault="003717A0">
      <w:pPr>
        <w:adjustRightInd w:val="0"/>
        <w:snapToGrid w:val="0"/>
        <w:spacing w:line="360" w:lineRule="exact"/>
        <w:ind w:left="420"/>
        <w:rPr>
          <w:rFonts w:ascii="Times New Roman" w:hAnsi="Times New Roman"/>
          <w:sz w:val="22"/>
        </w:rPr>
      </w:pPr>
      <w:r>
        <w:rPr>
          <w:rFonts w:ascii="Times New Roman" w:hAnsi="Times New Roman"/>
          <w:sz w:val="22"/>
        </w:rPr>
        <w:t>1</w:t>
      </w:r>
      <w:r>
        <w:rPr>
          <w:rFonts w:ascii="Times New Roman" w:hint="eastAsia"/>
          <w:sz w:val="22"/>
        </w:rPr>
        <w:t>．</w:t>
      </w:r>
      <w:r>
        <w:rPr>
          <w:rFonts w:ascii="Times New Roman" w:hint="eastAsia"/>
          <w:b/>
          <w:bCs/>
          <w:sz w:val="22"/>
        </w:rPr>
        <w:t>熟悉</w:t>
      </w:r>
      <w:r>
        <w:rPr>
          <w:rFonts w:ascii="Times New Roman" w:hint="eastAsia"/>
          <w:sz w:val="22"/>
        </w:rPr>
        <w:t>非参数统计的基本概念</w:t>
      </w:r>
    </w:p>
    <w:p w:rsidR="003717A0" w:rsidRDefault="003717A0">
      <w:pPr>
        <w:adjustRightInd w:val="0"/>
        <w:snapToGrid w:val="0"/>
        <w:spacing w:line="360" w:lineRule="exact"/>
        <w:ind w:left="420"/>
        <w:rPr>
          <w:rFonts w:ascii="Times New Roman" w:hAnsi="Times New Roman"/>
          <w:sz w:val="22"/>
        </w:rPr>
      </w:pPr>
      <w:r>
        <w:rPr>
          <w:rFonts w:ascii="Times New Roman" w:hAnsi="Times New Roman"/>
          <w:sz w:val="22"/>
        </w:rPr>
        <w:t>2</w:t>
      </w:r>
      <w:r>
        <w:rPr>
          <w:rFonts w:ascii="Times New Roman" w:hint="eastAsia"/>
          <w:sz w:val="22"/>
        </w:rPr>
        <w:t>．</w:t>
      </w:r>
      <w:r>
        <w:rPr>
          <w:rFonts w:ascii="Times New Roman" w:hint="eastAsia"/>
          <w:b/>
          <w:bCs/>
          <w:sz w:val="22"/>
        </w:rPr>
        <w:t>掌握</w:t>
      </w:r>
      <w:r>
        <w:rPr>
          <w:rFonts w:ascii="Times New Roman" w:hint="eastAsia"/>
          <w:sz w:val="22"/>
        </w:rPr>
        <w:t>配对设计差值的符号秩和检验、成组设计两样本比较的秩和检验</w:t>
      </w:r>
    </w:p>
    <w:p w:rsidR="003717A0" w:rsidRDefault="003717A0">
      <w:pPr>
        <w:adjustRightInd w:val="0"/>
        <w:snapToGrid w:val="0"/>
        <w:spacing w:line="360" w:lineRule="exact"/>
        <w:ind w:left="420"/>
        <w:rPr>
          <w:rFonts w:ascii="Times New Roman" w:hAnsi="Times New Roman"/>
          <w:sz w:val="22"/>
        </w:rPr>
      </w:pPr>
    </w:p>
    <w:p w:rsidR="003717A0" w:rsidRDefault="003717A0">
      <w:pPr>
        <w:adjustRightInd w:val="0"/>
        <w:snapToGrid w:val="0"/>
        <w:jc w:val="center"/>
        <w:rPr>
          <w:rFonts w:ascii="宋体"/>
          <w:b/>
          <w:bCs/>
          <w:sz w:val="22"/>
        </w:rPr>
      </w:pPr>
      <w:r>
        <w:rPr>
          <w:rFonts w:ascii="宋体" w:hAnsi="宋体" w:hint="eastAsia"/>
          <w:b/>
          <w:bCs/>
          <w:sz w:val="22"/>
        </w:rPr>
        <w:t>课程学时分配</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5528"/>
        <w:gridCol w:w="709"/>
        <w:gridCol w:w="2232"/>
      </w:tblGrid>
      <w:tr w:rsidR="003717A0">
        <w:trPr>
          <w:trHeight w:val="300"/>
        </w:trPr>
        <w:tc>
          <w:tcPr>
            <w:tcW w:w="817"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int="eastAsia"/>
                <w:sz w:val="22"/>
              </w:rPr>
              <w:t>序号</w:t>
            </w:r>
          </w:p>
        </w:tc>
        <w:tc>
          <w:tcPr>
            <w:tcW w:w="5528"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int="eastAsia"/>
                <w:sz w:val="22"/>
              </w:rPr>
              <w:t>讲</w:t>
            </w:r>
            <w:r>
              <w:rPr>
                <w:rFonts w:ascii="Times New Roman" w:hAnsi="Times New Roman"/>
                <w:sz w:val="22"/>
              </w:rPr>
              <w:t xml:space="preserve">  </w:t>
            </w:r>
            <w:r>
              <w:rPr>
                <w:rFonts w:ascii="Times New Roman" w:hint="eastAsia"/>
                <w:sz w:val="22"/>
              </w:rPr>
              <w:t>课</w:t>
            </w:r>
            <w:r>
              <w:rPr>
                <w:rFonts w:ascii="Times New Roman" w:hAnsi="Times New Roman"/>
                <w:sz w:val="22"/>
              </w:rPr>
              <w:t xml:space="preserve">  </w:t>
            </w:r>
            <w:r>
              <w:rPr>
                <w:rFonts w:ascii="Times New Roman" w:hint="eastAsia"/>
                <w:sz w:val="22"/>
              </w:rPr>
              <w:t>内</w:t>
            </w:r>
            <w:r>
              <w:rPr>
                <w:rFonts w:ascii="Times New Roman" w:hAnsi="Times New Roman"/>
                <w:sz w:val="22"/>
              </w:rPr>
              <w:t xml:space="preserve">  </w:t>
            </w:r>
            <w:r>
              <w:rPr>
                <w:rFonts w:ascii="Times New Roman" w:hint="eastAsia"/>
                <w:sz w:val="22"/>
              </w:rPr>
              <w:t>容</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int="eastAsia"/>
                <w:sz w:val="22"/>
              </w:rPr>
              <w:t>学时</w:t>
            </w:r>
          </w:p>
        </w:tc>
        <w:tc>
          <w:tcPr>
            <w:tcW w:w="2232"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int="eastAsia"/>
                <w:sz w:val="22"/>
              </w:rPr>
              <w:t>备注</w:t>
            </w:r>
            <w:r>
              <w:rPr>
                <w:rFonts w:ascii="Times New Roman" w:hAnsi="Times New Roman"/>
                <w:sz w:val="22"/>
              </w:rPr>
              <w:t xml:space="preserve">  </w:t>
            </w:r>
          </w:p>
        </w:tc>
      </w:tr>
      <w:tr w:rsidR="003717A0">
        <w:trPr>
          <w:cantSplit/>
          <w:trHeight w:val="535"/>
        </w:trPr>
        <w:tc>
          <w:tcPr>
            <w:tcW w:w="817"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1</w:t>
            </w:r>
          </w:p>
        </w:tc>
        <w:tc>
          <w:tcPr>
            <w:tcW w:w="5528" w:type="dxa"/>
            <w:vAlign w:val="center"/>
          </w:tcPr>
          <w:p w:rsidR="003717A0" w:rsidRDefault="003717A0">
            <w:pPr>
              <w:tabs>
                <w:tab w:val="left" w:pos="3240"/>
              </w:tabs>
              <w:adjustRightInd w:val="0"/>
              <w:snapToGrid w:val="0"/>
              <w:rPr>
                <w:rFonts w:ascii="Times New Roman" w:hAnsi="Times New Roman"/>
                <w:sz w:val="22"/>
              </w:rPr>
            </w:pPr>
            <w:r>
              <w:rPr>
                <w:rFonts w:ascii="Times New Roman" w:hint="eastAsia"/>
                <w:sz w:val="22"/>
              </w:rPr>
              <w:t>绪论、频数分布、定量资料的统计描述</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9</w:t>
            </w:r>
          </w:p>
        </w:tc>
        <w:tc>
          <w:tcPr>
            <w:tcW w:w="2232" w:type="dxa"/>
            <w:vMerge w:val="restart"/>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hint="eastAsia"/>
                <w:sz w:val="22"/>
              </w:rPr>
              <w:t>按照教学进度和学生掌握情况安排课上或课后习题练习</w:t>
            </w:r>
          </w:p>
        </w:tc>
      </w:tr>
      <w:tr w:rsidR="003717A0">
        <w:trPr>
          <w:cantSplit/>
          <w:trHeight w:val="735"/>
        </w:trPr>
        <w:tc>
          <w:tcPr>
            <w:tcW w:w="817"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2</w:t>
            </w:r>
          </w:p>
        </w:tc>
        <w:tc>
          <w:tcPr>
            <w:tcW w:w="5528" w:type="dxa"/>
            <w:vAlign w:val="center"/>
          </w:tcPr>
          <w:p w:rsidR="003717A0" w:rsidRDefault="003717A0">
            <w:pPr>
              <w:tabs>
                <w:tab w:val="left" w:pos="3240"/>
              </w:tabs>
              <w:adjustRightInd w:val="0"/>
              <w:snapToGrid w:val="0"/>
              <w:rPr>
                <w:rFonts w:ascii="Times New Roman" w:hAnsi="Times New Roman"/>
                <w:sz w:val="22"/>
              </w:rPr>
            </w:pPr>
            <w:r>
              <w:rPr>
                <w:rFonts w:ascii="Times New Roman" w:hint="eastAsia"/>
                <w:sz w:val="22"/>
              </w:rPr>
              <w:t>正态分布及其应用、总体均数的估计、假设检验的基本思想</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6</w:t>
            </w:r>
          </w:p>
        </w:tc>
        <w:tc>
          <w:tcPr>
            <w:tcW w:w="2232" w:type="dxa"/>
            <w:vMerge/>
            <w:vAlign w:val="center"/>
          </w:tcPr>
          <w:p w:rsidR="003717A0" w:rsidRDefault="003717A0">
            <w:pPr>
              <w:tabs>
                <w:tab w:val="left" w:pos="3240"/>
              </w:tabs>
              <w:adjustRightInd w:val="0"/>
              <w:snapToGrid w:val="0"/>
              <w:jc w:val="center"/>
              <w:rPr>
                <w:rFonts w:ascii="Times New Roman" w:hAnsi="Times New Roman"/>
                <w:sz w:val="22"/>
              </w:rPr>
            </w:pPr>
          </w:p>
        </w:tc>
      </w:tr>
      <w:tr w:rsidR="003717A0">
        <w:trPr>
          <w:cantSplit/>
          <w:trHeight w:val="525"/>
        </w:trPr>
        <w:tc>
          <w:tcPr>
            <w:tcW w:w="817"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3</w:t>
            </w:r>
          </w:p>
        </w:tc>
        <w:tc>
          <w:tcPr>
            <w:tcW w:w="5528" w:type="dxa"/>
            <w:vAlign w:val="center"/>
          </w:tcPr>
          <w:p w:rsidR="003717A0" w:rsidRDefault="003717A0">
            <w:pPr>
              <w:tabs>
                <w:tab w:val="left" w:pos="3240"/>
              </w:tabs>
              <w:adjustRightInd w:val="0"/>
              <w:snapToGrid w:val="0"/>
              <w:rPr>
                <w:rFonts w:ascii="Times New Roman" w:hAnsi="Times New Roman"/>
                <w:sz w:val="22"/>
              </w:rPr>
            </w:pPr>
            <w:r>
              <w:rPr>
                <w:rFonts w:ascii="Times New Roman" w:hAnsi="Times New Roman"/>
                <w:sz w:val="22"/>
              </w:rPr>
              <w:t>t</w:t>
            </w:r>
            <w:r>
              <w:rPr>
                <w:rFonts w:ascii="Times New Roman" w:hint="eastAsia"/>
                <w:sz w:val="22"/>
              </w:rPr>
              <w:t>检验、假设检验的正确应用及几个相关问题</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6</w:t>
            </w:r>
          </w:p>
        </w:tc>
        <w:tc>
          <w:tcPr>
            <w:tcW w:w="2232" w:type="dxa"/>
            <w:vMerge/>
            <w:vAlign w:val="center"/>
          </w:tcPr>
          <w:p w:rsidR="003717A0" w:rsidRDefault="003717A0">
            <w:pPr>
              <w:tabs>
                <w:tab w:val="left" w:pos="3240"/>
              </w:tabs>
              <w:adjustRightInd w:val="0"/>
              <w:snapToGrid w:val="0"/>
              <w:jc w:val="center"/>
              <w:rPr>
                <w:rFonts w:ascii="Times New Roman" w:hAnsi="Times New Roman"/>
                <w:sz w:val="22"/>
              </w:rPr>
            </w:pPr>
          </w:p>
        </w:tc>
      </w:tr>
      <w:tr w:rsidR="003717A0">
        <w:trPr>
          <w:cantSplit/>
          <w:trHeight w:val="561"/>
        </w:trPr>
        <w:tc>
          <w:tcPr>
            <w:tcW w:w="817"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4</w:t>
            </w:r>
          </w:p>
        </w:tc>
        <w:tc>
          <w:tcPr>
            <w:tcW w:w="5528" w:type="dxa"/>
            <w:vAlign w:val="center"/>
          </w:tcPr>
          <w:p w:rsidR="003717A0" w:rsidRDefault="003717A0">
            <w:pPr>
              <w:tabs>
                <w:tab w:val="left" w:pos="3240"/>
              </w:tabs>
              <w:adjustRightInd w:val="0"/>
              <w:snapToGrid w:val="0"/>
              <w:rPr>
                <w:rFonts w:ascii="Times New Roman" w:hAnsi="Times New Roman"/>
                <w:sz w:val="22"/>
              </w:rPr>
            </w:pPr>
            <w:r>
              <w:rPr>
                <w:rFonts w:ascii="Times New Roman" w:hint="eastAsia"/>
                <w:sz w:val="22"/>
              </w:rPr>
              <w:t>分类资料的统计描述、</w:t>
            </w:r>
            <w:r>
              <w:rPr>
                <w:rFonts w:ascii="Times New Roman" w:hAnsi="Times New Roman"/>
                <w:sz w:val="22"/>
              </w:rPr>
              <w:sym w:font="Symbol" w:char="F063"/>
            </w:r>
            <w:r>
              <w:rPr>
                <w:rFonts w:ascii="Times New Roman" w:hAnsi="Times New Roman"/>
                <w:sz w:val="22"/>
                <w:vertAlign w:val="superscript"/>
              </w:rPr>
              <w:t>2</w:t>
            </w:r>
            <w:r>
              <w:rPr>
                <w:rFonts w:ascii="Times New Roman" w:hint="eastAsia"/>
                <w:sz w:val="22"/>
              </w:rPr>
              <w:t>检验</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9</w:t>
            </w:r>
          </w:p>
        </w:tc>
        <w:tc>
          <w:tcPr>
            <w:tcW w:w="2232" w:type="dxa"/>
            <w:vMerge/>
            <w:vAlign w:val="center"/>
          </w:tcPr>
          <w:p w:rsidR="003717A0" w:rsidRDefault="003717A0">
            <w:pPr>
              <w:tabs>
                <w:tab w:val="left" w:pos="3240"/>
              </w:tabs>
              <w:adjustRightInd w:val="0"/>
              <w:snapToGrid w:val="0"/>
              <w:jc w:val="center"/>
              <w:rPr>
                <w:rFonts w:ascii="Times New Roman" w:hAnsi="Times New Roman"/>
                <w:sz w:val="22"/>
              </w:rPr>
            </w:pPr>
          </w:p>
        </w:tc>
      </w:tr>
      <w:tr w:rsidR="003717A0">
        <w:trPr>
          <w:cantSplit/>
          <w:trHeight w:val="555"/>
        </w:trPr>
        <w:tc>
          <w:tcPr>
            <w:tcW w:w="817"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5</w:t>
            </w:r>
          </w:p>
        </w:tc>
        <w:tc>
          <w:tcPr>
            <w:tcW w:w="5528" w:type="dxa"/>
            <w:vAlign w:val="center"/>
          </w:tcPr>
          <w:p w:rsidR="003717A0" w:rsidRDefault="003717A0">
            <w:pPr>
              <w:tabs>
                <w:tab w:val="left" w:pos="3240"/>
              </w:tabs>
              <w:adjustRightInd w:val="0"/>
              <w:snapToGrid w:val="0"/>
              <w:rPr>
                <w:rFonts w:ascii="Times New Roman" w:hAnsi="Times New Roman"/>
                <w:sz w:val="22"/>
              </w:rPr>
            </w:pPr>
            <w:r>
              <w:rPr>
                <w:rFonts w:ascii="Times New Roman" w:hint="eastAsia"/>
                <w:sz w:val="22"/>
              </w:rPr>
              <w:t>秩和检验</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6</w:t>
            </w:r>
          </w:p>
        </w:tc>
        <w:tc>
          <w:tcPr>
            <w:tcW w:w="2232" w:type="dxa"/>
            <w:vMerge/>
            <w:vAlign w:val="center"/>
          </w:tcPr>
          <w:p w:rsidR="003717A0" w:rsidRDefault="003717A0">
            <w:pPr>
              <w:tabs>
                <w:tab w:val="left" w:pos="3240"/>
              </w:tabs>
              <w:adjustRightInd w:val="0"/>
              <w:snapToGrid w:val="0"/>
              <w:jc w:val="center"/>
              <w:rPr>
                <w:rFonts w:ascii="Times New Roman" w:hAnsi="Times New Roman"/>
                <w:sz w:val="22"/>
              </w:rPr>
            </w:pPr>
          </w:p>
        </w:tc>
      </w:tr>
      <w:tr w:rsidR="003717A0">
        <w:trPr>
          <w:cantSplit/>
          <w:trHeight w:val="329"/>
        </w:trPr>
        <w:tc>
          <w:tcPr>
            <w:tcW w:w="6345" w:type="dxa"/>
            <w:gridSpan w:val="2"/>
            <w:vAlign w:val="center"/>
          </w:tcPr>
          <w:p w:rsidR="003717A0" w:rsidRDefault="003717A0">
            <w:pPr>
              <w:tabs>
                <w:tab w:val="left" w:pos="3240"/>
              </w:tabs>
              <w:adjustRightInd w:val="0"/>
              <w:snapToGrid w:val="0"/>
              <w:jc w:val="center"/>
              <w:rPr>
                <w:rFonts w:ascii="Times New Roman" w:hAnsi="Times New Roman"/>
                <w:b/>
                <w:bCs/>
                <w:sz w:val="22"/>
              </w:rPr>
            </w:pPr>
            <w:r>
              <w:rPr>
                <w:rFonts w:ascii="Times New Roman" w:hint="eastAsia"/>
                <w:b/>
                <w:bCs/>
                <w:sz w:val="22"/>
              </w:rPr>
              <w:t>合计</w:t>
            </w:r>
          </w:p>
        </w:tc>
        <w:tc>
          <w:tcPr>
            <w:tcW w:w="709" w:type="dxa"/>
            <w:vAlign w:val="center"/>
          </w:tcPr>
          <w:p w:rsidR="003717A0" w:rsidRDefault="003717A0">
            <w:pPr>
              <w:tabs>
                <w:tab w:val="left" w:pos="3240"/>
              </w:tabs>
              <w:adjustRightInd w:val="0"/>
              <w:snapToGrid w:val="0"/>
              <w:jc w:val="center"/>
              <w:rPr>
                <w:rFonts w:ascii="Times New Roman" w:hAnsi="Times New Roman"/>
                <w:sz w:val="22"/>
              </w:rPr>
            </w:pPr>
            <w:r>
              <w:rPr>
                <w:rFonts w:ascii="Times New Roman" w:hAnsi="Times New Roman"/>
                <w:sz w:val="22"/>
              </w:rPr>
              <w:t>36</w:t>
            </w:r>
          </w:p>
        </w:tc>
        <w:tc>
          <w:tcPr>
            <w:tcW w:w="2232" w:type="dxa"/>
            <w:vMerge/>
            <w:vAlign w:val="center"/>
          </w:tcPr>
          <w:p w:rsidR="003717A0" w:rsidRDefault="003717A0">
            <w:pPr>
              <w:tabs>
                <w:tab w:val="left" w:pos="3240"/>
              </w:tabs>
              <w:adjustRightInd w:val="0"/>
              <w:snapToGrid w:val="0"/>
              <w:jc w:val="center"/>
              <w:rPr>
                <w:rFonts w:ascii="Times New Roman" w:hAnsi="Times New Roman"/>
                <w:sz w:val="22"/>
              </w:rPr>
            </w:pP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多媒体教室</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多媒体教学课件</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本课程考试采用闭卷考核方法，时间为</w:t>
      </w:r>
      <w:r>
        <w:rPr>
          <w:rFonts w:ascii="Times New Roman" w:hAnsi="Times New Roman"/>
          <w:kern w:val="0"/>
          <w:sz w:val="22"/>
        </w:rPr>
        <w:t>2</w:t>
      </w:r>
      <w:r>
        <w:rPr>
          <w:rFonts w:ascii="Times New Roman" w:hAnsi="Times New Roman" w:hint="eastAsia"/>
          <w:kern w:val="0"/>
          <w:sz w:val="22"/>
        </w:rPr>
        <w:t>小时。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70%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30%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widowControl/>
        <w:adjustRightInd w:val="0"/>
        <w:snapToGrid w:val="0"/>
        <w:spacing w:line="360" w:lineRule="exact"/>
        <w:ind w:firstLineChars="200" w:firstLine="420"/>
        <w:jc w:val="left"/>
        <w:rPr>
          <w:rFonts w:ascii="宋体" w:cs="宋体"/>
          <w:kern w:val="0"/>
          <w:szCs w:val="21"/>
        </w:rPr>
      </w:pPr>
      <w:r>
        <w:rPr>
          <w:rFonts w:ascii="宋体" w:hAnsi="宋体" w:cs="宋体" w:hint="eastAsia"/>
          <w:kern w:val="0"/>
          <w:szCs w:val="21"/>
        </w:rPr>
        <w:t>主要参考书：陆守曾、陈峰主编</w:t>
      </w:r>
      <w:r>
        <w:rPr>
          <w:rFonts w:ascii="宋体" w:hAnsi="宋体" w:cs="宋体"/>
          <w:kern w:val="0"/>
          <w:szCs w:val="21"/>
        </w:rPr>
        <w:t xml:space="preserve"> </w:t>
      </w:r>
      <w:r>
        <w:rPr>
          <w:rFonts w:ascii="宋体" w:hAnsi="宋体" w:cs="宋体" w:hint="eastAsia"/>
          <w:kern w:val="0"/>
          <w:szCs w:val="21"/>
        </w:rPr>
        <w:t>《医学统计学》第二版，中国统计出版社，</w:t>
      </w:r>
      <w:r>
        <w:rPr>
          <w:rFonts w:ascii="宋体" w:hAnsi="宋体" w:cs="宋体"/>
          <w:kern w:val="0"/>
          <w:szCs w:val="21"/>
        </w:rPr>
        <w:t>2007</w:t>
      </w:r>
      <w:r>
        <w:rPr>
          <w:rFonts w:ascii="宋体" w:hAnsi="宋体" w:cs="宋体" w:hint="eastAsia"/>
          <w:kern w:val="0"/>
          <w:szCs w:val="21"/>
        </w:rPr>
        <w:t>年</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F5156D" w:rsidRDefault="003717A0" w:rsidP="00F5156D">
      <w:pPr>
        <w:autoSpaceDE w:val="0"/>
        <w:autoSpaceDN w:val="0"/>
        <w:adjustRightInd w:val="0"/>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制定人：何书</w:t>
      </w:r>
    </w:p>
    <w:p w:rsidR="003717A0" w:rsidRDefault="003717A0" w:rsidP="00F5156D">
      <w:pPr>
        <w:autoSpaceDE w:val="0"/>
        <w:autoSpaceDN w:val="0"/>
        <w:adjustRightInd w:val="0"/>
        <w:spacing w:line="360" w:lineRule="exact"/>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审核人：肖静</w:t>
      </w:r>
      <w:r w:rsidRPr="00F5156D">
        <w:rPr>
          <w:rFonts w:ascii="黑体" w:eastAsia="黑体" w:cs="黑体"/>
          <w:kern w:val="0"/>
          <w:szCs w:val="21"/>
        </w:rPr>
        <w:t xml:space="preserve"> </w:t>
      </w:r>
    </w:p>
    <w:p w:rsidR="003717A0" w:rsidRPr="00F5156D" w:rsidRDefault="003717A0" w:rsidP="005E20B5">
      <w:pPr>
        <w:adjustRightInd w:val="0"/>
        <w:snapToGrid w:val="0"/>
        <w:spacing w:beforeLines="50" w:afterLines="50" w:line="440" w:lineRule="exact"/>
        <w:jc w:val="center"/>
        <w:rPr>
          <w:rFonts w:ascii="黑体" w:eastAsia="黑体" w:cs="黑体"/>
          <w:kern w:val="0"/>
          <w:sz w:val="18"/>
          <w:szCs w:val="18"/>
        </w:rPr>
      </w:pPr>
      <w:r>
        <w:rPr>
          <w:rFonts w:ascii="黑体" w:eastAsia="黑体" w:cs="黑体"/>
          <w:kern w:val="0"/>
          <w:sz w:val="18"/>
          <w:szCs w:val="18"/>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修读完本课程规定内容的康复医学等专业的本科学生；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提出并获准免修本课程、申请进行课程水平考核的康复医学专业的本科学生；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提出并获准副修第二专业、申请进行课程水平考核的其他医学专业的本科学生。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通过考核来检查和了解学生对本门课程内容的掌握程度，考核学生对医学统计学的基本概念、基本思想的了解和掌握情况，以及对于基本的统计分析方法的实际应用情况。通过本课程的学习，学生应对医学资料的分析和医学研究的设计方法有一定的了解和掌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期末闭卷考核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期末考试成绩占总成绩的</w:t>
      </w:r>
      <w:r>
        <w:rPr>
          <w:rFonts w:ascii="Times New Roman" w:hAnsi="Times New Roman"/>
          <w:kern w:val="0"/>
          <w:sz w:val="22"/>
        </w:rPr>
        <w:t>70%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平时成绩占总成绩的</w:t>
      </w:r>
      <w:r>
        <w:rPr>
          <w:rFonts w:ascii="Times New Roman" w:hAnsi="Times New Roman"/>
          <w:kern w:val="0"/>
          <w:sz w:val="22"/>
        </w:rPr>
        <w:t>30%</w:t>
      </w:r>
      <w:r>
        <w:rPr>
          <w:rFonts w:ascii="Times New Roman" w:hAnsi="Times New Roman" w:hint="eastAsia"/>
          <w:kern w:val="0"/>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医学统计学的基本概念</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数值资料和分类资料的统计描述</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正态分布和</w:t>
      </w:r>
      <w:r>
        <w:rPr>
          <w:rFonts w:ascii="Times New Roman" w:hAnsi="Times New Roman"/>
          <w:kern w:val="0"/>
          <w:sz w:val="22"/>
        </w:rPr>
        <w:t>t</w:t>
      </w:r>
      <w:r>
        <w:rPr>
          <w:rFonts w:ascii="Times New Roman" w:hAnsi="Times New Roman" w:hint="eastAsia"/>
          <w:kern w:val="0"/>
          <w:sz w:val="22"/>
        </w:rPr>
        <w:t>分布</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抽样误差和区间估计</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假设检验：</w:t>
      </w:r>
      <w:r>
        <w:rPr>
          <w:rFonts w:ascii="Times New Roman" w:hAnsi="Times New Roman"/>
          <w:kern w:val="0"/>
          <w:sz w:val="22"/>
        </w:rPr>
        <w:t>t</w:t>
      </w:r>
      <w:r>
        <w:rPr>
          <w:rFonts w:ascii="Times New Roman" w:hAnsi="Times New Roman" w:hint="eastAsia"/>
          <w:kern w:val="0"/>
          <w:sz w:val="22"/>
        </w:rPr>
        <w:t>检验、</w:t>
      </w:r>
      <w:r>
        <w:rPr>
          <w:rFonts w:ascii="Times New Roman" w:hAnsi="Times New Roman"/>
          <w:kern w:val="0"/>
          <w:sz w:val="22"/>
        </w:rPr>
        <w:sym w:font="Symbol" w:char="F063"/>
      </w:r>
      <w:r>
        <w:rPr>
          <w:rFonts w:ascii="Times New Roman" w:hAnsi="Times New Roman"/>
          <w:kern w:val="0"/>
          <w:sz w:val="22"/>
          <w:vertAlign w:val="superscript"/>
        </w:rPr>
        <w:t>2</w:t>
      </w:r>
      <w:r>
        <w:rPr>
          <w:rFonts w:ascii="Times New Roman" w:hAnsi="Times New Roman" w:hint="eastAsia"/>
          <w:kern w:val="0"/>
          <w:sz w:val="22"/>
        </w:rPr>
        <w:t>检验、秩和检验</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sz w:val="22"/>
        </w:rPr>
      </w:pPr>
      <w:r>
        <w:rPr>
          <w:rFonts w:hint="eastAsia"/>
          <w:sz w:val="22"/>
        </w:rPr>
        <w:t>以统计推断尤其是假设检验为考核重点，考察学生对于医学资料的实际分析能力，同时考察学生对于基本概念和原理的了解和掌握情况。</w:t>
      </w:r>
    </w:p>
    <w:p w:rsidR="003717A0" w:rsidRDefault="003717A0">
      <w:pPr>
        <w:autoSpaceDE w:val="0"/>
        <w:autoSpaceDN w:val="0"/>
        <w:adjustRightInd w:val="0"/>
        <w:spacing w:line="440" w:lineRule="exact"/>
        <w:jc w:val="left"/>
        <w:rPr>
          <w:rFonts w:ascii="Times New Roman" w:eastAsia="黑体" w:hAnsi="Times New Roman"/>
          <w:b/>
          <w:kern w:val="0"/>
          <w:sz w:val="24"/>
          <w:szCs w:val="24"/>
        </w:rPr>
      </w:pPr>
      <w:r>
        <w:rPr>
          <w:sz w:val="22"/>
        </w:rPr>
        <w:br w:type="page"/>
      </w:r>
      <w:r>
        <w:rPr>
          <w:rFonts w:ascii="Times New Roman" w:eastAsia="黑体" w:hAnsi="Times New Roman" w:hint="eastAsia"/>
          <w:b/>
          <w:kern w:val="0"/>
          <w:sz w:val="24"/>
          <w:szCs w:val="24"/>
        </w:rPr>
        <w:lastRenderedPageBreak/>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《医学统计学》课程考试试题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r>
        <w:rPr>
          <w:sz w:val="32"/>
          <w:u w:val="single"/>
        </w:rPr>
        <w:t xml:space="preserve">        </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widowControl/>
        <w:adjustRightInd w:val="0"/>
        <w:snapToGrid w:val="0"/>
        <w:spacing w:line="360" w:lineRule="exact"/>
        <w:jc w:val="left"/>
        <w:rPr>
          <w:rFonts w:ascii="Times New Roman" w:hAnsi="Times New Roman"/>
          <w:b/>
          <w:kern w:val="0"/>
          <w:sz w:val="22"/>
        </w:rPr>
      </w:pPr>
      <w:r>
        <w:rPr>
          <w:rFonts w:ascii="Times New Roman" w:hAnsi="宋体" w:hint="eastAsia"/>
          <w:b/>
          <w:kern w:val="0"/>
          <w:sz w:val="22"/>
        </w:rPr>
        <w:t>一、名词解释（每小题</w:t>
      </w:r>
      <w:r>
        <w:rPr>
          <w:rFonts w:ascii="Times New Roman" w:hAnsi="Times New Roman"/>
          <w:b/>
          <w:kern w:val="0"/>
          <w:sz w:val="22"/>
        </w:rPr>
        <w:t>2</w:t>
      </w:r>
      <w:r>
        <w:rPr>
          <w:rFonts w:ascii="Times New Roman" w:hAnsi="宋体" w:hint="eastAsia"/>
          <w:b/>
          <w:kern w:val="0"/>
          <w:sz w:val="22"/>
        </w:rPr>
        <w:t>分，共</w:t>
      </w:r>
      <w:r>
        <w:rPr>
          <w:rFonts w:ascii="Times New Roman" w:hAnsi="Times New Roman"/>
          <w:b/>
          <w:kern w:val="0"/>
          <w:sz w:val="22"/>
        </w:rPr>
        <w:t>12</w:t>
      </w:r>
      <w:r>
        <w:rPr>
          <w:rFonts w:ascii="Times New Roman" w:hAnsi="宋体" w:hint="eastAsia"/>
          <w:b/>
          <w:kern w:val="0"/>
          <w:sz w:val="22"/>
        </w:rPr>
        <w:t>分）</w:t>
      </w:r>
    </w:p>
    <w:p w:rsidR="003717A0" w:rsidRDefault="003717A0">
      <w:pPr>
        <w:adjustRightInd w:val="0"/>
        <w:snapToGrid w:val="0"/>
        <w:spacing w:line="360" w:lineRule="exact"/>
        <w:rPr>
          <w:rFonts w:ascii="Times New Roman" w:hAnsi="Times New Roman"/>
        </w:rPr>
      </w:pPr>
      <w:r>
        <w:rPr>
          <w:rFonts w:ascii="Times New Roman" w:hAnsi="Times New Roman"/>
        </w:rPr>
        <w:t xml:space="preserve">1. </w:t>
      </w:r>
      <w:r>
        <w:rPr>
          <w:rFonts w:ascii="Times New Roman" w:hAnsi="宋体" w:hint="eastAsia"/>
        </w:rPr>
        <w:t>样本</w:t>
      </w:r>
    </w:p>
    <w:p w:rsidR="003717A0" w:rsidRDefault="003717A0">
      <w:pPr>
        <w:adjustRightInd w:val="0"/>
        <w:snapToGrid w:val="0"/>
        <w:spacing w:line="360" w:lineRule="exact"/>
        <w:rPr>
          <w:rFonts w:ascii="Times New Roman" w:hAnsi="Times New Roman"/>
        </w:rPr>
      </w:pPr>
      <w:r>
        <w:rPr>
          <w:rFonts w:ascii="Times New Roman" w:hAnsi="Times New Roman"/>
        </w:rPr>
        <w:t xml:space="preserve">2. </w:t>
      </w:r>
      <w:r>
        <w:rPr>
          <w:rFonts w:ascii="Times New Roman" w:hAnsi="宋体" w:hint="eastAsia"/>
        </w:rPr>
        <w:t>概率</w:t>
      </w:r>
    </w:p>
    <w:p w:rsidR="003717A0" w:rsidRDefault="003717A0">
      <w:pPr>
        <w:adjustRightInd w:val="0"/>
        <w:snapToGrid w:val="0"/>
        <w:spacing w:line="360" w:lineRule="exact"/>
        <w:rPr>
          <w:rFonts w:ascii="Times New Roman" w:hAnsi="Times New Roman"/>
        </w:rPr>
      </w:pPr>
      <w:r>
        <w:rPr>
          <w:rFonts w:ascii="Times New Roman" w:hAnsi="Times New Roman"/>
        </w:rPr>
        <w:t xml:space="preserve">3. </w:t>
      </w:r>
      <w:r>
        <w:rPr>
          <w:rFonts w:ascii="Times New Roman" w:hAnsi="宋体" w:hint="eastAsia"/>
        </w:rPr>
        <w:t>抽样误差</w:t>
      </w:r>
    </w:p>
    <w:p w:rsidR="003717A0" w:rsidRDefault="003717A0">
      <w:pPr>
        <w:adjustRightInd w:val="0"/>
        <w:snapToGrid w:val="0"/>
        <w:spacing w:line="360" w:lineRule="exact"/>
        <w:rPr>
          <w:rFonts w:ascii="Times New Roman" w:hAnsi="Times New Roman"/>
        </w:rPr>
      </w:pPr>
      <w:r>
        <w:rPr>
          <w:rFonts w:ascii="Times New Roman" w:hAnsi="Times New Roman"/>
        </w:rPr>
        <w:t xml:space="preserve">4. </w:t>
      </w:r>
      <w:r>
        <w:rPr>
          <w:rFonts w:ascii="Times New Roman" w:hAnsi="宋体" w:hint="eastAsia"/>
        </w:rPr>
        <w:t>参数统计</w:t>
      </w:r>
    </w:p>
    <w:p w:rsidR="003717A0" w:rsidRDefault="003717A0">
      <w:pPr>
        <w:adjustRightInd w:val="0"/>
        <w:snapToGrid w:val="0"/>
        <w:spacing w:line="360" w:lineRule="exact"/>
        <w:rPr>
          <w:rFonts w:ascii="Times New Roman" w:hAnsi="Times New Roman"/>
        </w:rPr>
      </w:pPr>
      <w:r>
        <w:rPr>
          <w:rFonts w:ascii="Times New Roman" w:hAnsi="Times New Roman"/>
        </w:rPr>
        <w:t xml:space="preserve">5. </w:t>
      </w:r>
      <w:r>
        <w:rPr>
          <w:rFonts w:ascii="Times New Roman" w:hAnsi="宋体" w:hint="eastAsia"/>
        </w:rPr>
        <w:t>回归系数</w:t>
      </w:r>
    </w:p>
    <w:p w:rsidR="003717A0" w:rsidRDefault="003717A0">
      <w:pPr>
        <w:adjustRightInd w:val="0"/>
        <w:snapToGrid w:val="0"/>
        <w:spacing w:line="360" w:lineRule="exact"/>
        <w:rPr>
          <w:rFonts w:ascii="Times New Roman" w:hAnsi="Times New Roman"/>
        </w:rPr>
      </w:pPr>
      <w:r>
        <w:rPr>
          <w:rFonts w:ascii="Times New Roman" w:hAnsi="Times New Roman"/>
        </w:rPr>
        <w:t xml:space="preserve">6. </w:t>
      </w:r>
      <w:r>
        <w:rPr>
          <w:rFonts w:ascii="Times New Roman" w:hAnsi="宋体" w:hint="eastAsia"/>
        </w:rPr>
        <w:t>精确性</w:t>
      </w:r>
    </w:p>
    <w:p w:rsidR="003717A0" w:rsidRDefault="003717A0">
      <w:pPr>
        <w:adjustRightInd w:val="0"/>
        <w:snapToGrid w:val="0"/>
        <w:spacing w:line="360" w:lineRule="exact"/>
        <w:rPr>
          <w:rFonts w:ascii="Times New Roman" w:hAnsi="Times New Roman"/>
          <w:b/>
        </w:rPr>
      </w:pPr>
      <w:r>
        <w:rPr>
          <w:rFonts w:ascii="Times New Roman" w:hAnsi="宋体" w:hint="eastAsia"/>
          <w:b/>
        </w:rPr>
        <w:t>二、选择题（每小题</w:t>
      </w:r>
      <w:r>
        <w:rPr>
          <w:rFonts w:ascii="Times New Roman" w:hAnsi="Times New Roman"/>
          <w:b/>
        </w:rPr>
        <w:t>1.5</w:t>
      </w:r>
      <w:r>
        <w:rPr>
          <w:rFonts w:ascii="Times New Roman" w:hAnsi="宋体" w:hint="eastAsia"/>
          <w:b/>
        </w:rPr>
        <w:t>分，共</w:t>
      </w:r>
      <w:r>
        <w:rPr>
          <w:rFonts w:ascii="Times New Roman" w:hAnsi="Times New Roman"/>
          <w:b/>
        </w:rPr>
        <w:t>33</w:t>
      </w:r>
      <w:r>
        <w:rPr>
          <w:rFonts w:ascii="Times New Roman" w:hAnsi="宋体" w:hint="eastAsia"/>
          <w:b/>
        </w:rPr>
        <w:t>分）</w:t>
      </w:r>
    </w:p>
    <w:p w:rsidR="003717A0" w:rsidRDefault="003717A0">
      <w:pPr>
        <w:adjustRightInd w:val="0"/>
        <w:snapToGrid w:val="0"/>
        <w:spacing w:line="360" w:lineRule="exact"/>
        <w:rPr>
          <w:rFonts w:ascii="Times New Roman" w:hAnsi="Times New Roman"/>
        </w:rPr>
      </w:pPr>
      <w:r>
        <w:rPr>
          <w:rFonts w:ascii="Times New Roman" w:hAnsi="Times New Roman"/>
        </w:rPr>
        <w:t>1.</w:t>
      </w:r>
      <w:r>
        <w:rPr>
          <w:rFonts w:ascii="Times New Roman" w:hAnsi="Times New Roman"/>
          <w:szCs w:val="21"/>
        </w:rPr>
        <w:t xml:space="preserve"> </w:t>
      </w:r>
      <w:r>
        <w:rPr>
          <w:rFonts w:ascii="Times New Roman" w:hAnsi="宋体" w:hint="eastAsia"/>
        </w:rPr>
        <w:t>下列变量中，不属于分类变量的是</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rPr>
          <w:rFonts w:ascii="Times New Roman" w:hAnsi="Times New Roman"/>
        </w:rPr>
      </w:pPr>
      <w:r>
        <w:rPr>
          <w:rFonts w:ascii="Times New Roman" w:hAnsi="宋体" w:hint="eastAsia"/>
        </w:rPr>
        <w:t xml:space="preserve">　</w:t>
      </w:r>
      <w:r>
        <w:rPr>
          <w:rFonts w:ascii="Times New Roman" w:hAnsi="Times New Roman"/>
        </w:rPr>
        <w:t xml:space="preserve"> A. </w:t>
      </w:r>
      <w:r>
        <w:rPr>
          <w:rFonts w:ascii="Times New Roman" w:hAnsi="宋体" w:hint="eastAsia"/>
        </w:rPr>
        <w:t>某医院逐年的就诊人数</w:t>
      </w:r>
      <w:r>
        <w:rPr>
          <w:rFonts w:ascii="Times New Roman" w:hAnsi="Times New Roman"/>
        </w:rPr>
        <w:t xml:space="preserve">         </w:t>
      </w:r>
      <w:r>
        <w:rPr>
          <w:rFonts w:ascii="Times New Roman" w:hAnsi="宋体" w:hint="eastAsia"/>
        </w:rPr>
        <w:t xml:space="preserve">　</w:t>
      </w:r>
      <w:r>
        <w:rPr>
          <w:rFonts w:ascii="Times New Roman" w:hAnsi="Times New Roman"/>
        </w:rPr>
        <w:t xml:space="preserve">   B. </w:t>
      </w:r>
      <w:r>
        <w:rPr>
          <w:rFonts w:ascii="Times New Roman" w:hAnsi="宋体" w:hint="eastAsia"/>
        </w:rPr>
        <w:t>患者的职业</w:t>
      </w:r>
      <w:r>
        <w:rPr>
          <w:rFonts w:ascii="Times New Roman" w:hAnsi="Times New Roman"/>
        </w:rPr>
        <w:tab/>
      </w:r>
    </w:p>
    <w:p w:rsidR="003717A0" w:rsidRDefault="003717A0">
      <w:pPr>
        <w:adjustRightInd w:val="0"/>
        <w:snapToGrid w:val="0"/>
        <w:spacing w:line="360" w:lineRule="exact"/>
        <w:rPr>
          <w:rFonts w:ascii="Times New Roman" w:hAnsi="Times New Roman"/>
        </w:rPr>
      </w:pPr>
      <w:r>
        <w:rPr>
          <w:rFonts w:ascii="Times New Roman" w:hAnsi="宋体" w:hint="eastAsia"/>
        </w:rPr>
        <w:t xml:space="preserve">　</w:t>
      </w:r>
      <w:r>
        <w:rPr>
          <w:rFonts w:ascii="Times New Roman" w:hAnsi="Times New Roman"/>
        </w:rPr>
        <w:t xml:space="preserve"> C. </w:t>
      </w:r>
      <w:r>
        <w:rPr>
          <w:rFonts w:ascii="Times New Roman" w:hAnsi="宋体" w:hint="eastAsia"/>
        </w:rPr>
        <w:t>患者的学历</w:t>
      </w:r>
      <w:r>
        <w:rPr>
          <w:rFonts w:ascii="Times New Roman" w:hAnsi="Times New Roman"/>
        </w:rPr>
        <w:t xml:space="preserve">                        D. </w:t>
      </w:r>
      <w:r>
        <w:rPr>
          <w:rFonts w:ascii="Times New Roman" w:hAnsi="宋体" w:hint="eastAsia"/>
        </w:rPr>
        <w:t>某药物的疗效（无效、有效）</w:t>
      </w:r>
    </w:p>
    <w:p w:rsidR="003717A0" w:rsidRDefault="003717A0">
      <w:pPr>
        <w:adjustRightInd w:val="0"/>
        <w:snapToGrid w:val="0"/>
        <w:spacing w:line="360" w:lineRule="exact"/>
        <w:rPr>
          <w:rFonts w:ascii="Times New Roman" w:hAnsi="Times New Roman"/>
          <w:szCs w:val="21"/>
        </w:rPr>
      </w:pPr>
      <w:r>
        <w:rPr>
          <w:rFonts w:ascii="Times New Roman" w:hAnsi="Times New Roman"/>
        </w:rPr>
        <w:t>2.</w:t>
      </w:r>
      <w:r>
        <w:rPr>
          <w:rFonts w:ascii="Times New Roman" w:hAnsi="Times New Roman"/>
          <w:sz w:val="32"/>
          <w:szCs w:val="32"/>
        </w:rPr>
        <w:t xml:space="preserve"> </w:t>
      </w:r>
      <w:r>
        <w:rPr>
          <w:rFonts w:ascii="Times New Roman" w:hAnsi="宋体" w:hint="eastAsia"/>
          <w:szCs w:val="21"/>
        </w:rPr>
        <w:t>算术均数与中位数相比</w:t>
      </w:r>
      <w:r>
        <w:rPr>
          <w:rFonts w:ascii="Times New Roman" w:hAnsi="Times New Roman"/>
          <w:szCs w:val="21"/>
        </w:rPr>
        <w:t xml:space="preserve">                                                 </w:t>
      </w:r>
      <w:r>
        <w:rPr>
          <w:rFonts w:ascii="Times New Roman" w:hAnsi="宋体" w:hint="eastAsia"/>
          <w:szCs w:val="21"/>
        </w:rPr>
        <w:t>（</w:t>
      </w:r>
      <w:r>
        <w:rPr>
          <w:rFonts w:ascii="Times New Roman" w:hAnsi="Times New Roman"/>
          <w:szCs w:val="21"/>
        </w:rPr>
        <w:t xml:space="preserve">       </w:t>
      </w:r>
      <w:r>
        <w:rPr>
          <w:rFonts w:ascii="Times New Roman" w:hAnsi="宋体" w:hint="eastAsia"/>
          <w:szCs w:val="21"/>
        </w:rPr>
        <w:t>）</w:t>
      </w:r>
    </w:p>
    <w:p w:rsidR="003717A0" w:rsidRDefault="003717A0">
      <w:pPr>
        <w:adjustRightInd w:val="0"/>
        <w:snapToGrid w:val="0"/>
        <w:spacing w:line="360" w:lineRule="exact"/>
        <w:ind w:firstLineChars="100" w:firstLine="210"/>
        <w:rPr>
          <w:rFonts w:ascii="Times New Roman" w:hAnsi="Times New Roman"/>
          <w:szCs w:val="21"/>
        </w:rPr>
      </w:pPr>
      <w:r>
        <w:rPr>
          <w:rFonts w:ascii="Times New Roman" w:hAnsi="Times New Roman"/>
          <w:szCs w:val="21"/>
        </w:rPr>
        <w:t xml:space="preserve">A. </w:t>
      </w:r>
      <w:r>
        <w:rPr>
          <w:rFonts w:ascii="Times New Roman" w:hAnsi="宋体" w:hint="eastAsia"/>
          <w:szCs w:val="21"/>
        </w:rPr>
        <w:t>更充分利用数据信息</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t xml:space="preserve">B. </w:t>
      </w:r>
      <w:r>
        <w:rPr>
          <w:rFonts w:ascii="Times New Roman" w:hAnsi="宋体" w:hint="eastAsia"/>
          <w:szCs w:val="21"/>
        </w:rPr>
        <w:t>不适用于分布不明及偏态资料</w:t>
      </w:r>
    </w:p>
    <w:p w:rsidR="003717A0" w:rsidRDefault="003717A0">
      <w:pPr>
        <w:adjustRightInd w:val="0"/>
        <w:snapToGrid w:val="0"/>
        <w:spacing w:line="360" w:lineRule="exact"/>
        <w:ind w:firstLineChars="100" w:firstLine="210"/>
        <w:rPr>
          <w:rFonts w:ascii="Times New Roman" w:hAnsi="Times New Roman"/>
          <w:szCs w:val="21"/>
        </w:rPr>
      </w:pPr>
      <w:r>
        <w:rPr>
          <w:rFonts w:ascii="Times New Roman" w:hAnsi="Times New Roman"/>
          <w:szCs w:val="21"/>
        </w:rPr>
        <w:t xml:space="preserve">C. </w:t>
      </w:r>
      <w:r>
        <w:rPr>
          <w:rFonts w:ascii="Times New Roman" w:hAnsi="宋体" w:hint="eastAsia"/>
          <w:szCs w:val="21"/>
        </w:rPr>
        <w:t>易受极端值的影响</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t xml:space="preserve">D. </w:t>
      </w:r>
      <w:r>
        <w:rPr>
          <w:rFonts w:ascii="Times New Roman" w:hAnsi="宋体" w:hint="eastAsia"/>
          <w:szCs w:val="21"/>
        </w:rPr>
        <w:t>以上都对</w:t>
      </w:r>
    </w:p>
    <w:p w:rsidR="003717A0" w:rsidRDefault="003717A0">
      <w:pPr>
        <w:adjustRightInd w:val="0"/>
        <w:snapToGrid w:val="0"/>
        <w:spacing w:line="360" w:lineRule="exact"/>
        <w:rPr>
          <w:rFonts w:ascii="Times New Roman" w:hAnsi="Times New Roman"/>
        </w:rPr>
      </w:pPr>
      <w:r>
        <w:rPr>
          <w:rFonts w:ascii="Times New Roman" w:hAnsi="Times New Roman"/>
        </w:rPr>
        <w:t xml:space="preserve">3. </w:t>
      </w:r>
      <w:r>
        <w:rPr>
          <w:rFonts w:ascii="Times New Roman" w:hAnsi="宋体" w:hint="eastAsia"/>
        </w:rPr>
        <w:t>统计量是</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ind w:firstLineChars="100" w:firstLine="210"/>
        <w:rPr>
          <w:rFonts w:ascii="Times New Roman" w:hAnsi="Times New Roman"/>
        </w:rPr>
      </w:pPr>
      <w:r>
        <w:rPr>
          <w:rFonts w:ascii="Times New Roman" w:hAnsi="Times New Roman"/>
        </w:rPr>
        <w:t xml:space="preserve">A. </w:t>
      </w:r>
      <w:r>
        <w:rPr>
          <w:rFonts w:ascii="Times New Roman" w:hAnsi="宋体" w:hint="eastAsia"/>
        </w:rPr>
        <w:t>反映总体统计特征的量</w:t>
      </w:r>
      <w:r>
        <w:rPr>
          <w:rFonts w:ascii="Times New Roman" w:hAnsi="Times New Roman"/>
        </w:rPr>
        <w:t xml:space="preserve">          B. </w:t>
      </w:r>
      <w:r>
        <w:rPr>
          <w:rFonts w:ascii="Times New Roman" w:hAnsi="宋体" w:hint="eastAsia"/>
        </w:rPr>
        <w:t>根据总体中的全部数据计算出来的统计指标</w:t>
      </w:r>
    </w:p>
    <w:p w:rsidR="003717A0" w:rsidRDefault="003717A0">
      <w:pPr>
        <w:adjustRightInd w:val="0"/>
        <w:snapToGrid w:val="0"/>
        <w:spacing w:line="360" w:lineRule="exact"/>
        <w:ind w:firstLineChars="100" w:firstLine="210"/>
        <w:rPr>
          <w:rFonts w:ascii="Times New Roman" w:hAnsi="Times New Roman"/>
        </w:rPr>
      </w:pPr>
      <w:r>
        <w:rPr>
          <w:rFonts w:ascii="Times New Roman" w:hAnsi="Times New Roman"/>
        </w:rPr>
        <w:t xml:space="preserve">C. </w:t>
      </w:r>
      <w:r>
        <w:rPr>
          <w:rFonts w:ascii="Times New Roman" w:hAnsi="宋体" w:hint="eastAsia"/>
        </w:rPr>
        <w:t>用参数估计出来的</w:t>
      </w:r>
      <w:r>
        <w:rPr>
          <w:rFonts w:ascii="Times New Roman" w:hAnsi="Times New Roman"/>
        </w:rPr>
        <w:t xml:space="preserve">              D. </w:t>
      </w:r>
      <w:r>
        <w:rPr>
          <w:rFonts w:ascii="Times New Roman" w:hAnsi="宋体" w:hint="eastAsia"/>
        </w:rPr>
        <w:t>由样本数据计算出的统计指标</w:t>
      </w:r>
    </w:p>
    <w:p w:rsidR="003717A0" w:rsidRDefault="003717A0">
      <w:pPr>
        <w:adjustRightInd w:val="0"/>
        <w:snapToGrid w:val="0"/>
        <w:spacing w:line="360" w:lineRule="exact"/>
        <w:rPr>
          <w:rFonts w:ascii="Times New Roman" w:hAnsi="Times New Roman"/>
        </w:rPr>
      </w:pPr>
      <w:r>
        <w:rPr>
          <w:rFonts w:ascii="Times New Roman" w:hAnsi="Times New Roman"/>
        </w:rPr>
        <w:t>4.</w:t>
      </w:r>
      <w:r>
        <w:rPr>
          <w:rFonts w:ascii="Times New Roman" w:hAnsi="Times New Roman"/>
          <w:spacing w:val="8"/>
          <w:szCs w:val="21"/>
        </w:rPr>
        <w:t xml:space="preserve"> </w:t>
      </w:r>
      <w:r>
        <w:rPr>
          <w:rFonts w:ascii="Times New Roman" w:hAnsi="宋体" w:hint="eastAsia"/>
        </w:rPr>
        <w:t>比较身高与体重两指标的变异大小宜采用</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rPr>
          <w:rFonts w:ascii="Times New Roman" w:hAnsi="Times New Roman"/>
        </w:rPr>
      </w:pPr>
      <w:r>
        <w:rPr>
          <w:rFonts w:ascii="Times New Roman" w:hAnsi="Times New Roman"/>
        </w:rPr>
        <w:t xml:space="preserve">    A. </w:t>
      </w:r>
      <w:r>
        <w:rPr>
          <w:rFonts w:ascii="Times New Roman" w:hAnsi="宋体" w:hint="eastAsia"/>
        </w:rPr>
        <w:t>变异系数</w:t>
      </w:r>
      <w:r>
        <w:rPr>
          <w:rFonts w:ascii="Times New Roman" w:hAnsi="Times New Roman"/>
        </w:rPr>
        <w:t xml:space="preserve">       B. </w:t>
      </w:r>
      <w:r>
        <w:rPr>
          <w:rFonts w:ascii="Times New Roman" w:hAnsi="宋体" w:hint="eastAsia"/>
        </w:rPr>
        <w:t>方差</w:t>
      </w:r>
      <w:r>
        <w:rPr>
          <w:rFonts w:ascii="Times New Roman" w:hAnsi="Times New Roman"/>
        </w:rPr>
        <w:t xml:space="preserve">        C. </w:t>
      </w:r>
      <w:r>
        <w:rPr>
          <w:rFonts w:ascii="Times New Roman" w:hAnsi="宋体" w:hint="eastAsia"/>
        </w:rPr>
        <w:t>标准差</w:t>
      </w:r>
      <w:r>
        <w:rPr>
          <w:rFonts w:ascii="Times New Roman" w:hAnsi="Times New Roman"/>
        </w:rPr>
        <w:t xml:space="preserve">        D. </w:t>
      </w:r>
      <w:r>
        <w:rPr>
          <w:rFonts w:ascii="Times New Roman" w:hAnsi="宋体" w:hint="eastAsia"/>
        </w:rPr>
        <w:t>四分位数间距</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5.</w:t>
      </w:r>
      <w:r>
        <w:rPr>
          <w:rFonts w:ascii="Times New Roman" w:hAnsi="Times New Roman"/>
          <w:szCs w:val="21"/>
        </w:rPr>
        <w:t xml:space="preserve"> </w:t>
      </w:r>
      <w:r>
        <w:rPr>
          <w:rFonts w:ascii="Times New Roman" w:hAnsi="宋体" w:hint="eastAsia"/>
          <w:kern w:val="0"/>
          <w:szCs w:val="21"/>
        </w:rPr>
        <w:t>可提高假设检验的把握度（</w:t>
      </w:r>
      <w:r>
        <w:rPr>
          <w:rFonts w:ascii="Times New Roman" w:hAnsi="Times New Roman"/>
          <w:kern w:val="0"/>
          <w:szCs w:val="21"/>
        </w:rPr>
        <w:t>1</w:t>
      </w:r>
      <w:r>
        <w:rPr>
          <w:rFonts w:ascii="Times New Roman" w:hAnsi="宋体" w:hint="eastAsia"/>
          <w:kern w:val="0"/>
          <w:szCs w:val="21"/>
        </w:rPr>
        <w:t>－</w:t>
      </w:r>
      <w:r>
        <w:rPr>
          <w:rFonts w:ascii="Times New Roman" w:hAnsi="Times New Roman"/>
          <w:kern w:val="0"/>
          <w:szCs w:val="21"/>
        </w:rPr>
        <w:t>β</w:t>
      </w:r>
      <w:r>
        <w:rPr>
          <w:rFonts w:ascii="Times New Roman" w:hAnsi="宋体" w:hint="eastAsia"/>
          <w:kern w:val="0"/>
          <w:szCs w:val="21"/>
        </w:rPr>
        <w:t>）的有</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100" w:firstLine="210"/>
        <w:rPr>
          <w:rFonts w:ascii="Times New Roman" w:hAnsi="Times New Roman"/>
        </w:rPr>
      </w:pPr>
      <w:r>
        <w:rPr>
          <w:rFonts w:ascii="Times New Roman" w:hAnsi="Times New Roman"/>
          <w:kern w:val="0"/>
          <w:szCs w:val="21"/>
        </w:rPr>
        <w:t xml:space="preserve">A. </w:t>
      </w:r>
      <w:r>
        <w:rPr>
          <w:rFonts w:ascii="Times New Roman" w:hAnsi="宋体" w:hint="eastAsia"/>
          <w:kern w:val="0"/>
          <w:szCs w:val="21"/>
        </w:rPr>
        <w:t>增大</w:t>
      </w:r>
      <w:r>
        <w:rPr>
          <w:rFonts w:ascii="Times New Roman" w:hAnsi="Times New Roman"/>
          <w:kern w:val="0"/>
          <w:szCs w:val="21"/>
        </w:rPr>
        <w:t xml:space="preserve"> I</w:t>
      </w:r>
      <w:r>
        <w:rPr>
          <w:rFonts w:ascii="Times New Roman" w:hAnsi="宋体" w:hint="eastAsia"/>
          <w:kern w:val="0"/>
          <w:szCs w:val="21"/>
        </w:rPr>
        <w:t>类错误</w:t>
      </w:r>
      <w:r>
        <w:rPr>
          <w:rFonts w:ascii="Times New Roman" w:hAnsi="Times New Roman"/>
          <w:kern w:val="0"/>
          <w:szCs w:val="21"/>
        </w:rPr>
        <w:t xml:space="preserve">        B. </w:t>
      </w:r>
      <w:r>
        <w:rPr>
          <w:rFonts w:ascii="Times New Roman" w:hAnsi="宋体" w:hint="eastAsia"/>
          <w:kern w:val="0"/>
          <w:szCs w:val="21"/>
        </w:rPr>
        <w:t>增大</w:t>
      </w:r>
      <w:r>
        <w:rPr>
          <w:rFonts w:ascii="Times New Roman" w:hAnsi="Times New Roman"/>
          <w:kern w:val="0"/>
          <w:szCs w:val="21"/>
        </w:rPr>
        <w:t xml:space="preserve"> II</w:t>
      </w:r>
      <w:r>
        <w:rPr>
          <w:rFonts w:ascii="Times New Roman" w:hAnsi="宋体" w:hint="eastAsia"/>
          <w:kern w:val="0"/>
          <w:szCs w:val="21"/>
        </w:rPr>
        <w:t>类错误</w:t>
      </w:r>
      <w:r>
        <w:rPr>
          <w:rFonts w:ascii="Times New Roman" w:hAnsi="Times New Roman"/>
          <w:kern w:val="0"/>
          <w:szCs w:val="21"/>
        </w:rPr>
        <w:t xml:space="preserve">     C. </w:t>
      </w:r>
      <w:r>
        <w:rPr>
          <w:rFonts w:ascii="Times New Roman" w:hAnsi="宋体" w:hint="eastAsia"/>
          <w:kern w:val="0"/>
          <w:szCs w:val="21"/>
        </w:rPr>
        <w:t>增大标准差</w:t>
      </w:r>
      <w:r>
        <w:rPr>
          <w:rFonts w:ascii="Times New Roman" w:hAnsi="Times New Roman"/>
          <w:kern w:val="0"/>
          <w:szCs w:val="21"/>
        </w:rPr>
        <w:t xml:space="preserve">      D. </w:t>
      </w:r>
      <w:r>
        <w:rPr>
          <w:rFonts w:ascii="Times New Roman" w:hAnsi="宋体" w:hint="eastAsia"/>
          <w:kern w:val="0"/>
          <w:szCs w:val="21"/>
        </w:rPr>
        <w:t>增大变异系数</w:t>
      </w:r>
    </w:p>
    <w:p w:rsidR="003717A0" w:rsidRDefault="003717A0">
      <w:pPr>
        <w:adjustRightInd w:val="0"/>
        <w:snapToGrid w:val="0"/>
        <w:spacing w:line="360" w:lineRule="exact"/>
        <w:rPr>
          <w:rFonts w:ascii="Times New Roman" w:hAnsi="Times New Roman"/>
        </w:rPr>
      </w:pPr>
      <w:r>
        <w:rPr>
          <w:rFonts w:ascii="Times New Roman" w:hAnsi="Times New Roman"/>
        </w:rPr>
        <w:t>6.</w:t>
      </w:r>
      <w:r>
        <w:rPr>
          <w:rFonts w:ascii="Times New Roman" w:hAnsi="Times New Roman"/>
          <w:bCs/>
          <w:szCs w:val="21"/>
        </w:rPr>
        <w:t xml:space="preserve"> </w:t>
      </w:r>
      <w:r>
        <w:rPr>
          <w:rFonts w:ascii="Times New Roman" w:hAnsi="宋体" w:hint="eastAsia"/>
        </w:rPr>
        <w:t>正常人平均脉搏为</w:t>
      </w:r>
      <w:r>
        <w:rPr>
          <w:rFonts w:ascii="Times New Roman" w:hAnsi="Times New Roman"/>
        </w:rPr>
        <w:t>72</w:t>
      </w:r>
      <w:r>
        <w:rPr>
          <w:rFonts w:ascii="Times New Roman" w:hAnsi="宋体" w:hint="eastAsia"/>
        </w:rPr>
        <w:t>次／分，而测定其中</w:t>
      </w:r>
      <w:r>
        <w:rPr>
          <w:rFonts w:ascii="Times New Roman" w:hAnsi="Times New Roman"/>
        </w:rPr>
        <w:t>100</w:t>
      </w:r>
      <w:r>
        <w:rPr>
          <w:rFonts w:ascii="Times New Roman" w:hAnsi="宋体" w:hint="eastAsia"/>
        </w:rPr>
        <w:t>人的平均脉搏为</w:t>
      </w:r>
      <w:r>
        <w:rPr>
          <w:rFonts w:ascii="Times New Roman" w:hAnsi="Times New Roman"/>
        </w:rPr>
        <w:t>78</w:t>
      </w:r>
      <w:r>
        <w:rPr>
          <w:rFonts w:ascii="Times New Roman" w:hAnsi="宋体" w:hint="eastAsia"/>
        </w:rPr>
        <w:t>次／分，这两者之差称为</w:t>
      </w:r>
    </w:p>
    <w:p w:rsidR="003717A0" w:rsidRDefault="003717A0">
      <w:pPr>
        <w:adjustRightInd w:val="0"/>
        <w:snapToGrid w:val="0"/>
        <w:spacing w:line="360" w:lineRule="exact"/>
        <w:rPr>
          <w:rFonts w:ascii="Times New Roman" w:hAnsi="Times New Roman"/>
        </w:rPr>
      </w:pP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ind w:leftChars="150" w:left="420" w:hangingChars="50" w:hanging="105"/>
        <w:rPr>
          <w:rFonts w:ascii="Times New Roman" w:hAnsi="Times New Roman"/>
          <w:szCs w:val="21"/>
        </w:rPr>
      </w:pPr>
      <w:r>
        <w:rPr>
          <w:rFonts w:ascii="Times New Roman" w:hAnsi="Times New Roman"/>
          <w:szCs w:val="21"/>
        </w:rPr>
        <w:t xml:space="preserve">A. </w:t>
      </w:r>
      <w:r>
        <w:rPr>
          <w:rFonts w:ascii="Times New Roman" w:hAnsi="宋体" w:hint="eastAsia"/>
        </w:rPr>
        <w:t>系统误差</w:t>
      </w:r>
      <w:r>
        <w:rPr>
          <w:rFonts w:ascii="Times New Roman" w:hAnsi="Times New Roman"/>
          <w:szCs w:val="21"/>
        </w:rPr>
        <w:t xml:space="preserve">         B. </w:t>
      </w:r>
      <w:r>
        <w:rPr>
          <w:rFonts w:ascii="Times New Roman" w:hAnsi="宋体" w:hint="eastAsia"/>
        </w:rPr>
        <w:t>系统误差</w:t>
      </w:r>
      <w:r>
        <w:rPr>
          <w:rFonts w:ascii="Times New Roman" w:hAnsi="Times New Roman"/>
          <w:szCs w:val="21"/>
        </w:rPr>
        <w:t xml:space="preserve">       C. </w:t>
      </w:r>
      <w:r>
        <w:rPr>
          <w:rFonts w:ascii="Times New Roman" w:hAnsi="宋体" w:hint="eastAsia"/>
        </w:rPr>
        <w:t>抽样误差</w:t>
      </w:r>
      <w:r>
        <w:rPr>
          <w:rFonts w:ascii="Times New Roman" w:hAnsi="Times New Roman"/>
          <w:szCs w:val="21"/>
        </w:rPr>
        <w:t xml:space="preserve">           D. </w:t>
      </w:r>
      <w:r>
        <w:rPr>
          <w:rFonts w:ascii="Times New Roman" w:hAnsi="宋体" w:hint="eastAsia"/>
        </w:rPr>
        <w:t>个体变异</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 xml:space="preserve">7. </w:t>
      </w:r>
      <w:r>
        <w:rPr>
          <w:rFonts w:ascii="Times New Roman" w:hAnsi="Times New Roman"/>
          <w:kern w:val="0"/>
          <w:szCs w:val="21"/>
        </w:rPr>
        <w:t>____</w:t>
      </w:r>
      <w:r>
        <w:rPr>
          <w:rFonts w:ascii="Times New Roman" w:hAnsi="宋体" w:hint="eastAsia"/>
          <w:kern w:val="0"/>
          <w:szCs w:val="21"/>
        </w:rPr>
        <w:t>小，表示用该样本均数估计总体均数的可靠性大。</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adjustRightInd w:val="0"/>
        <w:snapToGrid w:val="0"/>
        <w:spacing w:line="360" w:lineRule="exact"/>
        <w:ind w:firstLineChars="200" w:firstLine="420"/>
        <w:rPr>
          <w:rFonts w:ascii="Times New Roman" w:hAnsi="Times New Roman"/>
          <w:szCs w:val="21"/>
        </w:rPr>
      </w:pPr>
      <w:r>
        <w:rPr>
          <w:rFonts w:ascii="Times New Roman" w:hAnsi="Times New Roman"/>
          <w:kern w:val="0"/>
          <w:szCs w:val="21"/>
        </w:rPr>
        <w:t>A. CV             B. S             C.  </w:t>
      </w:r>
      <w:r w:rsidR="00514AB1" w:rsidRPr="00514AB1">
        <w:rPr>
          <w:rFonts w:ascii="Times New Roman" w:hAnsi="Times New Roman"/>
          <w:kern w:val="0"/>
          <w:position w:val="-12"/>
          <w:szCs w:val="21"/>
        </w:rPr>
        <w:pict>
          <v:shape id="_x0000_i1107" type="#_x0000_t75" style="width:14.95pt;height:15.5pt">
            <v:imagedata r:id="rId81" o:title=""/>
          </v:shape>
        </w:pict>
      </w:r>
      <w:r>
        <w:rPr>
          <w:rFonts w:ascii="Times New Roman" w:hAnsi="Times New Roman"/>
          <w:kern w:val="0"/>
          <w:szCs w:val="21"/>
        </w:rPr>
        <w:t>             D. R</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szCs w:val="21"/>
        </w:rPr>
        <w:t xml:space="preserve">8. </w:t>
      </w:r>
      <w:r>
        <w:rPr>
          <w:rFonts w:ascii="Times New Roman" w:hAnsi="Times New Roman"/>
          <w:kern w:val="0"/>
          <w:szCs w:val="21"/>
        </w:rPr>
        <w:t>5</w:t>
      </w:r>
      <w:r>
        <w:rPr>
          <w:rFonts w:ascii="Times New Roman" w:hAnsi="宋体" w:hint="eastAsia"/>
          <w:kern w:val="0"/>
          <w:szCs w:val="21"/>
        </w:rPr>
        <w:t>人的血清滴度为</w:t>
      </w:r>
      <w:r>
        <w:rPr>
          <w:rFonts w:ascii="Times New Roman" w:hAnsi="Times New Roman"/>
          <w:kern w:val="0"/>
          <w:szCs w:val="21"/>
        </w:rPr>
        <w:t>&lt;1:20</w:t>
      </w:r>
      <w:r>
        <w:rPr>
          <w:rFonts w:ascii="Times New Roman" w:hAnsi="宋体" w:hint="eastAsia"/>
          <w:kern w:val="0"/>
          <w:szCs w:val="21"/>
        </w:rPr>
        <w:t>、</w:t>
      </w:r>
      <w:r>
        <w:rPr>
          <w:rFonts w:ascii="Times New Roman" w:hAnsi="Times New Roman"/>
          <w:kern w:val="0"/>
          <w:szCs w:val="21"/>
        </w:rPr>
        <w:t>1:40</w:t>
      </w:r>
      <w:r>
        <w:rPr>
          <w:rFonts w:ascii="Times New Roman" w:hAnsi="宋体" w:hint="eastAsia"/>
          <w:kern w:val="0"/>
          <w:szCs w:val="21"/>
        </w:rPr>
        <w:t>、</w:t>
      </w:r>
      <w:r>
        <w:rPr>
          <w:rFonts w:ascii="Times New Roman" w:hAnsi="Times New Roman"/>
          <w:kern w:val="0"/>
          <w:szCs w:val="21"/>
        </w:rPr>
        <w:t>1:80</w:t>
      </w:r>
      <w:r>
        <w:rPr>
          <w:rFonts w:ascii="Times New Roman" w:hAnsi="宋体" w:hint="eastAsia"/>
          <w:kern w:val="0"/>
          <w:szCs w:val="21"/>
        </w:rPr>
        <w:t>、</w:t>
      </w:r>
      <w:r>
        <w:rPr>
          <w:rFonts w:ascii="Times New Roman" w:hAnsi="Times New Roman"/>
          <w:kern w:val="0"/>
          <w:szCs w:val="21"/>
        </w:rPr>
        <w:t>1:160</w:t>
      </w:r>
      <w:r>
        <w:rPr>
          <w:rFonts w:ascii="Times New Roman" w:hAnsi="宋体" w:hint="eastAsia"/>
          <w:kern w:val="0"/>
          <w:szCs w:val="21"/>
        </w:rPr>
        <w:t>、</w:t>
      </w:r>
      <w:r>
        <w:rPr>
          <w:rFonts w:ascii="Times New Roman" w:hAnsi="Times New Roman"/>
          <w:kern w:val="0"/>
          <w:szCs w:val="21"/>
        </w:rPr>
        <w:t>1:320</w:t>
      </w:r>
      <w:r>
        <w:rPr>
          <w:rFonts w:ascii="Times New Roman" w:hAnsi="宋体" w:hint="eastAsia"/>
          <w:kern w:val="0"/>
          <w:szCs w:val="21"/>
        </w:rPr>
        <w:t>描述平均滴度，用哪种指标较好（</w:t>
      </w:r>
      <w:r>
        <w:rPr>
          <w:rFonts w:ascii="Times New Roman" w:hAnsi="Times New Roman"/>
          <w:kern w:val="0"/>
          <w:szCs w:val="21"/>
        </w:rPr>
        <w:t xml:space="preserve">     </w:t>
      </w:r>
      <w:r>
        <w:rPr>
          <w:rFonts w:ascii="Times New Roman" w:hAnsi="宋体" w:hint="eastAsia"/>
          <w:kern w:val="0"/>
          <w:szCs w:val="21"/>
        </w:rPr>
        <w:t>）</w:t>
      </w:r>
    </w:p>
    <w:p w:rsidR="003717A0" w:rsidRDefault="003717A0">
      <w:pPr>
        <w:adjustRightInd w:val="0"/>
        <w:snapToGrid w:val="0"/>
        <w:spacing w:line="360" w:lineRule="exact"/>
        <w:ind w:firstLineChars="100" w:firstLine="210"/>
        <w:rPr>
          <w:rFonts w:ascii="Times New Roman" w:hAnsi="Times New Roman"/>
          <w:kern w:val="0"/>
          <w:szCs w:val="21"/>
        </w:rPr>
      </w:pPr>
      <w:r>
        <w:rPr>
          <w:rFonts w:ascii="Times New Roman" w:hAnsi="Times New Roman"/>
          <w:kern w:val="0"/>
          <w:szCs w:val="21"/>
        </w:rPr>
        <w:t xml:space="preserve">A. </w:t>
      </w:r>
      <w:r>
        <w:rPr>
          <w:rFonts w:ascii="Times New Roman" w:hAnsi="宋体" w:hint="eastAsia"/>
          <w:kern w:val="0"/>
          <w:szCs w:val="21"/>
        </w:rPr>
        <w:t>平均数</w:t>
      </w:r>
      <w:r>
        <w:rPr>
          <w:rFonts w:ascii="Times New Roman" w:hAnsi="Times New Roman"/>
          <w:kern w:val="0"/>
          <w:szCs w:val="21"/>
        </w:rPr>
        <w:t xml:space="preserve">       B. </w:t>
      </w:r>
      <w:r>
        <w:rPr>
          <w:rFonts w:ascii="Times New Roman" w:hAnsi="宋体" w:hint="eastAsia"/>
          <w:kern w:val="0"/>
          <w:szCs w:val="21"/>
        </w:rPr>
        <w:t>几何均数</w:t>
      </w:r>
      <w:r>
        <w:rPr>
          <w:rFonts w:ascii="Times New Roman" w:hAnsi="Times New Roman"/>
          <w:kern w:val="0"/>
          <w:szCs w:val="21"/>
        </w:rPr>
        <w:t xml:space="preserve">        C. </w:t>
      </w:r>
      <w:r>
        <w:rPr>
          <w:rFonts w:ascii="Times New Roman" w:hAnsi="宋体" w:hint="eastAsia"/>
          <w:kern w:val="0"/>
          <w:szCs w:val="21"/>
        </w:rPr>
        <w:t>算术均数</w:t>
      </w:r>
      <w:r>
        <w:rPr>
          <w:rFonts w:ascii="Times New Roman" w:hAnsi="Times New Roman"/>
          <w:kern w:val="0"/>
          <w:szCs w:val="21"/>
        </w:rPr>
        <w:t xml:space="preserve">        D. </w:t>
      </w:r>
      <w:r>
        <w:rPr>
          <w:rFonts w:ascii="Times New Roman" w:hAnsi="宋体" w:hint="eastAsia"/>
          <w:kern w:val="0"/>
          <w:szCs w:val="21"/>
        </w:rPr>
        <w:t>中位数</w:t>
      </w:r>
    </w:p>
    <w:p w:rsidR="003717A0" w:rsidRDefault="003717A0">
      <w:pPr>
        <w:adjustRightInd w:val="0"/>
        <w:snapToGrid w:val="0"/>
        <w:spacing w:line="360" w:lineRule="exact"/>
        <w:rPr>
          <w:rFonts w:ascii="Times New Roman" w:hAnsi="Times New Roman"/>
        </w:rPr>
      </w:pPr>
      <w:r>
        <w:rPr>
          <w:rFonts w:ascii="Times New Roman" w:hAnsi="Times New Roman"/>
        </w:rPr>
        <w:t xml:space="preserve">9. </w:t>
      </w:r>
      <w:r>
        <w:rPr>
          <w:rFonts w:ascii="Times New Roman" w:hAnsi="宋体" w:hint="eastAsia"/>
        </w:rPr>
        <w:t>正态分布曲线下，横轴上，从均数</w:t>
      </w:r>
      <w:r>
        <w:rPr>
          <w:rFonts w:ascii="Times New Roman" w:hAnsi="Times New Roman"/>
          <w:szCs w:val="20"/>
        </w:rPr>
        <w:sym w:font="Symbol" w:char="F06D"/>
      </w:r>
      <w:r>
        <w:rPr>
          <w:rFonts w:ascii="Times New Roman" w:hAnsi="Times New Roman"/>
        </w:rPr>
        <w:t xml:space="preserve"> </w:t>
      </w:r>
      <w:r>
        <w:rPr>
          <w:rFonts w:ascii="Times New Roman" w:hAnsi="宋体" w:hint="eastAsia"/>
        </w:rPr>
        <w:t>到</w:t>
      </w:r>
      <w:r>
        <w:rPr>
          <w:rFonts w:ascii="Times New Roman" w:hAnsi="Times New Roman"/>
          <w:szCs w:val="20"/>
        </w:rPr>
        <w:sym w:font="Symbol" w:char="F06D"/>
      </w:r>
      <w:r>
        <w:rPr>
          <w:rFonts w:ascii="Times New Roman" w:hAnsi="Times New Roman"/>
        </w:rPr>
        <w:t xml:space="preserve"> +1.96</w:t>
      </w:r>
      <w:r>
        <w:rPr>
          <w:rFonts w:ascii="Times New Roman" w:hAnsi="宋体" w:hint="eastAsia"/>
        </w:rPr>
        <w:t>倍标准差的面积为</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ind w:firstLineChars="250" w:firstLine="525"/>
        <w:rPr>
          <w:rFonts w:ascii="Times New Roman" w:hAnsi="Times New Roman"/>
        </w:rPr>
      </w:pPr>
      <w:r>
        <w:rPr>
          <w:rFonts w:ascii="Times New Roman" w:hAnsi="Times New Roman"/>
        </w:rPr>
        <w:t>A. 95%</w:t>
      </w:r>
      <w:r>
        <w:rPr>
          <w:rFonts w:ascii="Times New Roman" w:hAnsi="Times New Roman"/>
        </w:rPr>
        <w:tab/>
      </w:r>
      <w:r>
        <w:rPr>
          <w:rFonts w:ascii="Times New Roman" w:hAnsi="Times New Roman"/>
        </w:rPr>
        <w:tab/>
        <w:t xml:space="preserve">  B. 45% </w:t>
      </w:r>
      <w:r>
        <w:rPr>
          <w:rFonts w:ascii="Times New Roman" w:hAnsi="Times New Roman"/>
        </w:rPr>
        <w:tab/>
        <w:t xml:space="preserve">   C. 97.5% </w:t>
      </w:r>
      <w:r>
        <w:rPr>
          <w:rFonts w:ascii="Times New Roman" w:hAnsi="Times New Roman"/>
        </w:rPr>
        <w:tab/>
        <w:t xml:space="preserve">      D. 47.5%</w:t>
      </w:r>
    </w:p>
    <w:p w:rsidR="003717A0" w:rsidRDefault="003717A0">
      <w:pPr>
        <w:widowControl/>
        <w:adjustRightInd w:val="0"/>
        <w:snapToGrid w:val="0"/>
        <w:spacing w:line="360" w:lineRule="exact"/>
        <w:jc w:val="left"/>
        <w:rPr>
          <w:rFonts w:ascii="Times New Roman" w:hAnsi="Times New Roman"/>
          <w:szCs w:val="21"/>
        </w:rPr>
      </w:pPr>
      <w:r>
        <w:rPr>
          <w:rFonts w:ascii="Times New Roman" w:hAnsi="Times New Roman"/>
        </w:rPr>
        <w:t xml:space="preserve">10. </w:t>
      </w:r>
      <w:r>
        <w:rPr>
          <w:rFonts w:ascii="Times New Roman" w:hAnsi="宋体" w:hint="eastAsia"/>
          <w:szCs w:val="21"/>
        </w:rPr>
        <w:t>已知两样本</w:t>
      </w:r>
      <w:r>
        <w:rPr>
          <w:rFonts w:ascii="Times New Roman" w:hAnsi="Times New Roman"/>
          <w:szCs w:val="21"/>
        </w:rPr>
        <w:t>r</w:t>
      </w:r>
      <w:r>
        <w:rPr>
          <w:rFonts w:ascii="Times New Roman" w:hAnsi="Times New Roman"/>
          <w:szCs w:val="21"/>
          <w:vertAlign w:val="subscript"/>
        </w:rPr>
        <w:t>1</w:t>
      </w:r>
      <w:r>
        <w:rPr>
          <w:rFonts w:ascii="Times New Roman" w:hAnsi="Times New Roman"/>
          <w:szCs w:val="21"/>
        </w:rPr>
        <w:t>=r</w:t>
      </w:r>
      <w:r>
        <w:rPr>
          <w:rFonts w:ascii="Times New Roman" w:hAnsi="Times New Roman"/>
          <w:szCs w:val="21"/>
          <w:vertAlign w:val="subscript"/>
        </w:rPr>
        <w:t>2</w:t>
      </w:r>
      <w:r>
        <w:rPr>
          <w:rFonts w:ascii="Times New Roman" w:hAnsi="宋体" w:hint="eastAsia"/>
          <w:szCs w:val="21"/>
        </w:rPr>
        <w:t>，</w:t>
      </w:r>
      <w:r>
        <w:rPr>
          <w:rFonts w:ascii="Times New Roman" w:hAnsi="Times New Roman"/>
          <w:szCs w:val="21"/>
        </w:rPr>
        <w:t>n</w:t>
      </w:r>
      <w:r>
        <w:rPr>
          <w:rFonts w:ascii="Times New Roman" w:hAnsi="Times New Roman"/>
          <w:szCs w:val="21"/>
          <w:vertAlign w:val="subscript"/>
        </w:rPr>
        <w:t>1</w:t>
      </w:r>
      <w:r>
        <w:rPr>
          <w:rFonts w:ascii="Times New Roman" w:hAnsi="Times New Roman"/>
          <w:szCs w:val="21"/>
        </w:rPr>
        <w:t>≠n</w:t>
      </w:r>
      <w:r>
        <w:rPr>
          <w:rFonts w:ascii="Times New Roman" w:hAnsi="Times New Roman"/>
          <w:szCs w:val="21"/>
          <w:vertAlign w:val="subscript"/>
        </w:rPr>
        <w:t>2</w:t>
      </w:r>
      <w:r>
        <w:rPr>
          <w:rFonts w:ascii="Times New Roman" w:hAnsi="宋体" w:hint="eastAsia"/>
          <w:szCs w:val="21"/>
        </w:rPr>
        <w:t>，那么</w:t>
      </w:r>
      <w:r>
        <w:rPr>
          <w:rFonts w:ascii="Times New Roman" w:hAnsi="Times New Roman"/>
          <w:szCs w:val="21"/>
        </w:rPr>
        <w:t xml:space="preserve">                                           </w:t>
      </w:r>
      <w:r>
        <w:rPr>
          <w:rFonts w:ascii="Times New Roman" w:hAnsi="宋体" w:hint="eastAsia"/>
          <w:szCs w:val="21"/>
        </w:rPr>
        <w:t>（</w:t>
      </w:r>
      <w:r>
        <w:rPr>
          <w:rFonts w:ascii="Times New Roman" w:hAnsi="Times New Roman"/>
          <w:szCs w:val="21"/>
        </w:rPr>
        <w:t xml:space="preserve">     </w:t>
      </w:r>
      <w:r>
        <w:rPr>
          <w:rFonts w:ascii="Times New Roman" w:hAnsi="宋体" w:hint="eastAsia"/>
          <w:szCs w:val="21"/>
        </w:rPr>
        <w:t>）</w:t>
      </w:r>
    </w:p>
    <w:p w:rsidR="003717A0" w:rsidRDefault="003717A0">
      <w:pPr>
        <w:adjustRightInd w:val="0"/>
        <w:snapToGrid w:val="0"/>
        <w:spacing w:line="360" w:lineRule="exact"/>
        <w:ind w:firstLineChars="150" w:firstLine="315"/>
        <w:rPr>
          <w:rFonts w:ascii="Times New Roman" w:hAnsi="Times New Roman"/>
        </w:rPr>
      </w:pPr>
      <w:r>
        <w:rPr>
          <w:rFonts w:ascii="Times New Roman" w:hAnsi="Times New Roman"/>
          <w:szCs w:val="21"/>
        </w:rPr>
        <w:t>A. b</w:t>
      </w:r>
      <w:r>
        <w:rPr>
          <w:rFonts w:ascii="Times New Roman" w:hAnsi="Times New Roman"/>
          <w:szCs w:val="21"/>
          <w:vertAlign w:val="subscript"/>
        </w:rPr>
        <w:t>1</w:t>
      </w:r>
      <w:r>
        <w:rPr>
          <w:rFonts w:ascii="Times New Roman" w:hAnsi="Times New Roman"/>
          <w:szCs w:val="21"/>
        </w:rPr>
        <w:t>=b</w:t>
      </w:r>
      <w:r>
        <w:rPr>
          <w:rFonts w:ascii="Times New Roman" w:hAnsi="Times New Roman"/>
          <w:szCs w:val="21"/>
          <w:vertAlign w:val="subscript"/>
        </w:rPr>
        <w:t>2</w:t>
      </w:r>
      <w:r>
        <w:rPr>
          <w:rFonts w:ascii="Times New Roman" w:hAnsi="Times New Roman"/>
          <w:szCs w:val="21"/>
        </w:rPr>
        <w:t xml:space="preserve">        B. t</w:t>
      </w:r>
      <w:r>
        <w:rPr>
          <w:rFonts w:ascii="Times New Roman" w:hAnsi="Times New Roman"/>
          <w:szCs w:val="21"/>
          <w:vertAlign w:val="subscript"/>
        </w:rPr>
        <w:t>b1</w:t>
      </w:r>
      <w:r>
        <w:rPr>
          <w:rFonts w:ascii="Times New Roman" w:hAnsi="Times New Roman"/>
          <w:szCs w:val="21"/>
        </w:rPr>
        <w:t>=t</w:t>
      </w:r>
      <w:r>
        <w:rPr>
          <w:rFonts w:ascii="Times New Roman" w:hAnsi="Times New Roman"/>
          <w:szCs w:val="21"/>
          <w:vertAlign w:val="subscript"/>
        </w:rPr>
        <w:t>b2</w:t>
      </w:r>
      <w:r>
        <w:rPr>
          <w:rFonts w:ascii="Times New Roman" w:hAnsi="Times New Roman"/>
          <w:szCs w:val="21"/>
        </w:rPr>
        <w:t xml:space="preserve">        C. t</w:t>
      </w:r>
      <w:r>
        <w:rPr>
          <w:rFonts w:ascii="Times New Roman" w:hAnsi="Times New Roman"/>
          <w:szCs w:val="21"/>
          <w:vertAlign w:val="subscript"/>
        </w:rPr>
        <w:t>r1</w:t>
      </w:r>
      <w:r>
        <w:rPr>
          <w:rFonts w:ascii="Times New Roman" w:hAnsi="Times New Roman"/>
          <w:szCs w:val="21"/>
        </w:rPr>
        <w:t>=t</w:t>
      </w:r>
      <w:r>
        <w:rPr>
          <w:rFonts w:ascii="Times New Roman" w:hAnsi="Times New Roman"/>
          <w:szCs w:val="21"/>
          <w:vertAlign w:val="subscript"/>
        </w:rPr>
        <w:t xml:space="preserve">r2      </w:t>
      </w:r>
      <w:r>
        <w:rPr>
          <w:rFonts w:ascii="Times New Roman" w:hAnsi="Times New Roman"/>
          <w:szCs w:val="21"/>
        </w:rPr>
        <w:t xml:space="preserve">  D. t</w:t>
      </w:r>
      <w:r>
        <w:rPr>
          <w:rFonts w:ascii="Times New Roman" w:hAnsi="Times New Roman"/>
          <w:szCs w:val="21"/>
          <w:vertAlign w:val="subscript"/>
        </w:rPr>
        <w:t>r1</w:t>
      </w:r>
      <w:r>
        <w:rPr>
          <w:rFonts w:ascii="Times New Roman" w:hAnsi="Times New Roman"/>
          <w:szCs w:val="21"/>
        </w:rPr>
        <w:t>=t</w:t>
      </w:r>
      <w:r>
        <w:rPr>
          <w:rFonts w:ascii="Times New Roman" w:hAnsi="Times New Roman"/>
          <w:szCs w:val="21"/>
          <w:vertAlign w:val="subscript"/>
        </w:rPr>
        <w:t>b1</w:t>
      </w:r>
    </w:p>
    <w:p w:rsidR="003717A0" w:rsidRDefault="003717A0">
      <w:pPr>
        <w:adjustRightInd w:val="0"/>
        <w:snapToGrid w:val="0"/>
        <w:spacing w:line="360" w:lineRule="exact"/>
        <w:rPr>
          <w:rFonts w:ascii="Times New Roman" w:hAnsi="Times New Roman"/>
        </w:rPr>
      </w:pPr>
      <w:r>
        <w:rPr>
          <w:rFonts w:ascii="Times New Roman" w:hAnsi="Times New Roman"/>
        </w:rPr>
        <w:t xml:space="preserve">11. </w:t>
      </w:r>
      <w:r>
        <w:rPr>
          <w:rFonts w:ascii="Times New Roman" w:hAnsi="宋体" w:hint="eastAsia"/>
        </w:rPr>
        <w:t>关于非参数检验，下列哪者是错误的</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ind w:firstLineChars="150" w:firstLine="315"/>
        <w:rPr>
          <w:rFonts w:ascii="Times New Roman" w:hAnsi="Times New Roman"/>
        </w:rPr>
      </w:pPr>
      <w:r>
        <w:rPr>
          <w:rFonts w:ascii="Times New Roman" w:hAnsi="Times New Roman"/>
        </w:rPr>
        <w:lastRenderedPageBreak/>
        <w:t xml:space="preserve">A. </w:t>
      </w:r>
      <w:r>
        <w:rPr>
          <w:rFonts w:ascii="Times New Roman" w:hAnsi="宋体" w:hint="eastAsia"/>
        </w:rPr>
        <w:t>适用于总体分布类型已知的资料</w:t>
      </w:r>
      <w:r>
        <w:rPr>
          <w:rFonts w:ascii="Times New Roman" w:hAnsi="Times New Roman"/>
        </w:rPr>
        <w:t xml:space="preserve">       B. </w:t>
      </w:r>
      <w:r>
        <w:rPr>
          <w:rFonts w:ascii="Times New Roman" w:hAnsi="宋体" w:hint="eastAsia"/>
        </w:rPr>
        <w:t>适用于总体分布类型不知的资料</w:t>
      </w:r>
    </w:p>
    <w:p w:rsidR="003717A0" w:rsidRDefault="003717A0">
      <w:pPr>
        <w:adjustRightInd w:val="0"/>
        <w:snapToGrid w:val="0"/>
        <w:spacing w:line="360" w:lineRule="exact"/>
        <w:ind w:firstLineChars="150" w:firstLine="315"/>
        <w:rPr>
          <w:rFonts w:ascii="Times New Roman" w:hAnsi="Times New Roman"/>
          <w:szCs w:val="21"/>
        </w:rPr>
      </w:pPr>
      <w:r>
        <w:rPr>
          <w:rFonts w:ascii="Times New Roman" w:hAnsi="Times New Roman"/>
        </w:rPr>
        <w:t xml:space="preserve">C. </w:t>
      </w:r>
      <w:r>
        <w:rPr>
          <w:rFonts w:ascii="Times New Roman" w:hAnsi="宋体" w:hint="eastAsia"/>
        </w:rPr>
        <w:t>适用于分布间的比较</w:t>
      </w:r>
      <w:r>
        <w:rPr>
          <w:rFonts w:ascii="Times New Roman" w:hAnsi="Times New Roman"/>
        </w:rPr>
        <w:t xml:space="preserve">             D. </w:t>
      </w:r>
      <w:r>
        <w:rPr>
          <w:rFonts w:ascii="Times New Roman" w:hAnsi="宋体" w:hint="eastAsia"/>
        </w:rPr>
        <w:t>凡适合于参数捡验的资料，不应用非参数检验</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12.</w:t>
      </w:r>
      <w:r>
        <w:rPr>
          <w:rFonts w:ascii="Times New Roman" w:hAnsi="Times New Roman"/>
          <w:szCs w:val="21"/>
        </w:rPr>
        <w:t xml:space="preserve"> </w:t>
      </w:r>
      <w:r>
        <w:rPr>
          <w:rFonts w:ascii="Times New Roman" w:hAnsi="宋体" w:hint="eastAsia"/>
          <w:kern w:val="0"/>
          <w:szCs w:val="21"/>
        </w:rPr>
        <w:t>在直线回归分析中，</w:t>
      </w:r>
      <w:r>
        <w:rPr>
          <w:rFonts w:ascii="Times New Roman" w:hAnsi="Times New Roman"/>
          <w:kern w:val="0"/>
          <w:szCs w:val="21"/>
        </w:rPr>
        <w:t>Sy·x(</w:t>
      </w:r>
      <w:r>
        <w:rPr>
          <w:rFonts w:ascii="Times New Roman" w:hAnsi="宋体" w:hint="eastAsia"/>
          <w:kern w:val="0"/>
          <w:szCs w:val="21"/>
        </w:rPr>
        <w:t>直线回归的剩余标准差）反映</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A. y</w:t>
      </w:r>
      <w:r>
        <w:rPr>
          <w:rFonts w:ascii="Times New Roman" w:hAnsi="宋体" w:hint="eastAsia"/>
          <w:kern w:val="0"/>
          <w:szCs w:val="21"/>
        </w:rPr>
        <w:t>变量的变异度</w:t>
      </w:r>
      <w:r>
        <w:rPr>
          <w:rFonts w:ascii="Times New Roman" w:hAnsi="Times New Roman"/>
          <w:kern w:val="0"/>
          <w:szCs w:val="21"/>
        </w:rPr>
        <w:t xml:space="preserve">                       B. x </w:t>
      </w:r>
      <w:r>
        <w:rPr>
          <w:rFonts w:ascii="Times New Roman" w:hAnsi="宋体" w:hint="eastAsia"/>
          <w:kern w:val="0"/>
          <w:szCs w:val="21"/>
        </w:rPr>
        <w:t>变量的变异程度</w:t>
      </w:r>
      <w:r>
        <w:rPr>
          <w:rFonts w:ascii="Times New Roman" w:hAnsi="Times New Roman"/>
          <w:kern w:val="0"/>
          <w:szCs w:val="21"/>
        </w:rPr>
        <w:t xml:space="preserve"> </w:t>
      </w:r>
    </w:p>
    <w:p w:rsidR="003717A0" w:rsidRDefault="003717A0">
      <w:pPr>
        <w:adjustRightInd w:val="0"/>
        <w:snapToGrid w:val="0"/>
        <w:spacing w:line="360" w:lineRule="exact"/>
        <w:ind w:firstLineChars="150" w:firstLine="315"/>
        <w:rPr>
          <w:rFonts w:ascii="Times New Roman" w:hAnsi="Times New Roman"/>
          <w:kern w:val="0"/>
          <w:szCs w:val="21"/>
        </w:rPr>
      </w:pPr>
      <w:r>
        <w:rPr>
          <w:rFonts w:ascii="Times New Roman" w:hAnsi="Times New Roman"/>
          <w:kern w:val="0"/>
          <w:szCs w:val="21"/>
        </w:rPr>
        <w:t xml:space="preserve">C. </w:t>
      </w:r>
      <w:r>
        <w:rPr>
          <w:rFonts w:ascii="Times New Roman" w:hAnsi="宋体" w:hint="eastAsia"/>
          <w:kern w:val="0"/>
          <w:szCs w:val="21"/>
        </w:rPr>
        <w:t>扣除</w:t>
      </w:r>
      <w:r>
        <w:rPr>
          <w:rFonts w:ascii="Times New Roman" w:hAnsi="Times New Roman"/>
          <w:kern w:val="0"/>
          <w:szCs w:val="21"/>
        </w:rPr>
        <w:t xml:space="preserve"> x </w:t>
      </w:r>
      <w:r>
        <w:rPr>
          <w:rFonts w:ascii="Times New Roman" w:hAnsi="宋体" w:hint="eastAsia"/>
          <w:kern w:val="0"/>
          <w:szCs w:val="21"/>
        </w:rPr>
        <w:t>影响后</w:t>
      </w:r>
      <w:r>
        <w:rPr>
          <w:rFonts w:ascii="Times New Roman" w:hAnsi="Times New Roman"/>
          <w:kern w:val="0"/>
          <w:szCs w:val="21"/>
        </w:rPr>
        <w:t xml:space="preserve"> y </w:t>
      </w:r>
      <w:r>
        <w:rPr>
          <w:rFonts w:ascii="Times New Roman" w:hAnsi="宋体" w:hint="eastAsia"/>
          <w:kern w:val="0"/>
          <w:szCs w:val="21"/>
        </w:rPr>
        <w:t>的变异程度</w:t>
      </w:r>
      <w:r>
        <w:rPr>
          <w:rFonts w:ascii="Times New Roman" w:hAnsi="Times New Roman"/>
          <w:kern w:val="0"/>
          <w:szCs w:val="21"/>
        </w:rPr>
        <w:t xml:space="preserve">          D. </w:t>
      </w:r>
      <w:r>
        <w:rPr>
          <w:rFonts w:ascii="Times New Roman" w:hAnsi="宋体" w:hint="eastAsia"/>
          <w:kern w:val="0"/>
          <w:szCs w:val="21"/>
        </w:rPr>
        <w:t>扣除</w:t>
      </w:r>
      <w:r>
        <w:rPr>
          <w:rFonts w:ascii="Times New Roman" w:hAnsi="Times New Roman"/>
          <w:kern w:val="0"/>
          <w:szCs w:val="21"/>
        </w:rPr>
        <w:t xml:space="preserve"> y</w:t>
      </w:r>
      <w:r>
        <w:rPr>
          <w:rFonts w:ascii="Times New Roman" w:hAnsi="宋体" w:hint="eastAsia"/>
          <w:kern w:val="0"/>
          <w:szCs w:val="21"/>
        </w:rPr>
        <w:t>的影响后</w:t>
      </w:r>
      <w:r>
        <w:rPr>
          <w:rFonts w:ascii="Times New Roman" w:hAnsi="Times New Roman"/>
          <w:kern w:val="0"/>
          <w:szCs w:val="21"/>
        </w:rPr>
        <w:t xml:space="preserve"> x </w:t>
      </w:r>
      <w:r>
        <w:rPr>
          <w:rFonts w:ascii="Times New Roman" w:hAnsi="宋体" w:hint="eastAsia"/>
          <w:kern w:val="0"/>
          <w:szCs w:val="21"/>
        </w:rPr>
        <w:t>的变异程度</w:t>
      </w:r>
    </w:p>
    <w:p w:rsidR="003717A0" w:rsidRDefault="003717A0">
      <w:pPr>
        <w:adjustRightInd w:val="0"/>
        <w:snapToGrid w:val="0"/>
        <w:spacing w:line="360" w:lineRule="exact"/>
        <w:rPr>
          <w:rFonts w:ascii="Times New Roman" w:hAnsi="Times New Roman"/>
          <w:spacing w:val="8"/>
          <w:szCs w:val="21"/>
        </w:rPr>
      </w:pPr>
      <w:r>
        <w:rPr>
          <w:rFonts w:ascii="Times New Roman" w:hAnsi="Times New Roman"/>
        </w:rPr>
        <w:t>13.</w:t>
      </w:r>
      <w:r>
        <w:rPr>
          <w:rFonts w:ascii="Times New Roman" w:hAnsi="Times New Roman"/>
          <w:spacing w:val="8"/>
          <w:szCs w:val="21"/>
        </w:rPr>
        <w:t xml:space="preserve"> </w:t>
      </w:r>
      <w:r>
        <w:rPr>
          <w:rFonts w:ascii="Times New Roman" w:hAnsi="宋体" w:hint="eastAsia"/>
          <w:spacing w:val="8"/>
          <w:szCs w:val="21"/>
        </w:rPr>
        <w:t>作三个样本率比较的</w:t>
      </w:r>
      <w:r>
        <w:rPr>
          <w:rFonts w:ascii="Times New Roman" w:hAnsi="Times New Roman"/>
          <w:szCs w:val="20"/>
        </w:rPr>
        <w:sym w:font="Symbol" w:char="F063"/>
      </w:r>
      <w:r>
        <w:rPr>
          <w:rFonts w:ascii="Times New Roman" w:hAnsi="Times New Roman"/>
          <w:spacing w:val="8"/>
          <w:szCs w:val="21"/>
          <w:vertAlign w:val="superscript"/>
        </w:rPr>
        <w:t>2</w:t>
      </w:r>
      <w:r>
        <w:rPr>
          <w:rFonts w:ascii="Times New Roman" w:hAnsi="宋体" w:hint="eastAsia"/>
          <w:spacing w:val="8"/>
          <w:szCs w:val="21"/>
        </w:rPr>
        <w:t>检验，自由度为</w:t>
      </w:r>
      <w:r>
        <w:rPr>
          <w:rFonts w:ascii="Times New Roman" w:hAnsi="Times New Roman"/>
          <w:spacing w:val="8"/>
          <w:szCs w:val="21"/>
        </w:rPr>
        <w:t xml:space="preserve">                             </w:t>
      </w:r>
      <w:r>
        <w:rPr>
          <w:rFonts w:ascii="Times New Roman" w:hAnsi="宋体" w:hint="eastAsia"/>
          <w:spacing w:val="8"/>
          <w:szCs w:val="21"/>
        </w:rPr>
        <w:t>（</w:t>
      </w:r>
      <w:r>
        <w:rPr>
          <w:rFonts w:ascii="Times New Roman" w:hAnsi="Times New Roman"/>
          <w:spacing w:val="8"/>
          <w:szCs w:val="21"/>
        </w:rPr>
        <w:t xml:space="preserve">     </w:t>
      </w:r>
      <w:r>
        <w:rPr>
          <w:rFonts w:ascii="Times New Roman" w:hAnsi="宋体" w:hint="eastAsia"/>
          <w:spacing w:val="8"/>
          <w:szCs w:val="21"/>
        </w:rPr>
        <w:t>）</w:t>
      </w:r>
    </w:p>
    <w:p w:rsidR="003717A0" w:rsidRDefault="003717A0">
      <w:pPr>
        <w:adjustRightInd w:val="0"/>
        <w:snapToGrid w:val="0"/>
        <w:spacing w:line="360" w:lineRule="exact"/>
        <w:ind w:firstLineChars="200" w:firstLine="452"/>
        <w:rPr>
          <w:rFonts w:ascii="Times New Roman" w:hAnsi="Times New Roman"/>
          <w:spacing w:val="8"/>
          <w:szCs w:val="21"/>
        </w:rPr>
      </w:pPr>
      <w:r>
        <w:rPr>
          <w:rFonts w:ascii="Times New Roman" w:hAnsi="Times New Roman"/>
          <w:spacing w:val="8"/>
          <w:szCs w:val="21"/>
        </w:rPr>
        <w:t>A</w:t>
      </w:r>
      <w:r>
        <w:rPr>
          <w:rFonts w:ascii="Times New Roman" w:hAnsi="Times New Roman"/>
          <w:szCs w:val="21"/>
        </w:rPr>
        <w:t xml:space="preserve">. </w:t>
      </w:r>
      <w:r>
        <w:rPr>
          <w:rFonts w:ascii="Times New Roman" w:hAnsi="Times New Roman"/>
          <w:spacing w:val="8"/>
          <w:szCs w:val="21"/>
        </w:rPr>
        <w:t>1</w:t>
      </w:r>
      <w:r>
        <w:rPr>
          <w:rFonts w:ascii="Times New Roman" w:hAnsi="Times New Roman"/>
          <w:spacing w:val="8"/>
          <w:szCs w:val="21"/>
        </w:rPr>
        <w:tab/>
      </w:r>
      <w:r>
        <w:rPr>
          <w:rFonts w:ascii="Times New Roman" w:hAnsi="Times New Roman"/>
          <w:spacing w:val="8"/>
          <w:szCs w:val="21"/>
        </w:rPr>
        <w:tab/>
      </w:r>
      <w:r>
        <w:rPr>
          <w:rFonts w:ascii="Times New Roman" w:hAnsi="Times New Roman"/>
          <w:spacing w:val="8"/>
          <w:szCs w:val="21"/>
        </w:rPr>
        <w:tab/>
        <w:t xml:space="preserve">B. </w:t>
      </w:r>
      <w:r>
        <w:rPr>
          <w:rFonts w:ascii="Times New Roman" w:hAnsi="Times New Roman"/>
          <w:szCs w:val="21"/>
        </w:rPr>
        <w:t>2</w:t>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zCs w:val="21"/>
        </w:rPr>
        <w:tab/>
      </w:r>
      <w:r>
        <w:rPr>
          <w:rFonts w:ascii="Times New Roman" w:hAnsi="Times New Roman"/>
          <w:spacing w:val="8"/>
          <w:szCs w:val="21"/>
        </w:rPr>
        <w:t>C</w:t>
      </w:r>
      <w:r>
        <w:rPr>
          <w:rFonts w:ascii="Times New Roman" w:hAnsi="Times New Roman"/>
          <w:szCs w:val="21"/>
        </w:rPr>
        <w:t>. 3</w:t>
      </w:r>
      <w:r>
        <w:rPr>
          <w:rFonts w:ascii="Times New Roman" w:hAnsi="Times New Roman"/>
          <w:szCs w:val="21"/>
        </w:rPr>
        <w:tab/>
      </w:r>
      <w:r>
        <w:rPr>
          <w:rFonts w:ascii="Times New Roman" w:hAnsi="Times New Roman"/>
          <w:szCs w:val="21"/>
        </w:rPr>
        <w:tab/>
      </w:r>
      <w:r>
        <w:rPr>
          <w:rFonts w:ascii="Times New Roman" w:hAnsi="Times New Roman"/>
          <w:szCs w:val="21"/>
        </w:rPr>
        <w:tab/>
        <w:t xml:space="preserve">  D. 4</w:t>
      </w:r>
    </w:p>
    <w:p w:rsidR="003717A0" w:rsidRDefault="003717A0">
      <w:pPr>
        <w:adjustRightInd w:val="0"/>
        <w:snapToGrid w:val="0"/>
        <w:spacing w:line="360" w:lineRule="exact"/>
        <w:rPr>
          <w:rFonts w:ascii="Times New Roman" w:hAnsi="Times New Roman"/>
        </w:rPr>
      </w:pPr>
      <w:r>
        <w:rPr>
          <w:rFonts w:ascii="Times New Roman" w:hAnsi="Times New Roman"/>
          <w:szCs w:val="21"/>
        </w:rPr>
        <w:t>14.</w:t>
      </w:r>
      <w:r>
        <w:rPr>
          <w:rFonts w:ascii="Times New Roman" w:hAnsi="Times New Roman"/>
        </w:rPr>
        <w:t xml:space="preserve"> </w:t>
      </w:r>
      <w:r>
        <w:rPr>
          <w:rFonts w:ascii="Times New Roman" w:hAnsi="宋体" w:hint="eastAsia"/>
        </w:rPr>
        <w:t>测得</w:t>
      </w:r>
      <w:r>
        <w:rPr>
          <w:rFonts w:ascii="Times New Roman" w:hAnsi="Times New Roman"/>
        </w:rPr>
        <w:t>1096</w:t>
      </w:r>
      <w:r>
        <w:rPr>
          <w:rFonts w:ascii="Times New Roman" w:hAnsi="宋体" w:hint="eastAsia"/>
        </w:rPr>
        <w:t>名飞行员的红细胞数（万／</w:t>
      </w:r>
      <w:r>
        <w:rPr>
          <w:rFonts w:ascii="Times New Roman" w:hAnsi="Times New Roman"/>
        </w:rPr>
        <w:t>mm3</w:t>
      </w:r>
      <w:r>
        <w:rPr>
          <w:rFonts w:ascii="Times New Roman" w:hAnsi="宋体" w:hint="eastAsia"/>
        </w:rPr>
        <w:t>），该资料服从正态分布，其均数为</w:t>
      </w:r>
      <w:r>
        <w:rPr>
          <w:rFonts w:ascii="Times New Roman" w:hAnsi="Times New Roman"/>
        </w:rPr>
        <w:t>414.1</w:t>
      </w:r>
      <w:r>
        <w:rPr>
          <w:rFonts w:ascii="Times New Roman" w:hAnsi="宋体" w:hint="eastAsia"/>
        </w:rPr>
        <w:t>，标准差为</w:t>
      </w:r>
      <w:r>
        <w:rPr>
          <w:rFonts w:ascii="Times New Roman" w:hAnsi="Times New Roman"/>
        </w:rPr>
        <w:t>42.8</w:t>
      </w:r>
      <w:r>
        <w:rPr>
          <w:rFonts w:ascii="Times New Roman" w:hAnsi="宋体" w:hint="eastAsia"/>
        </w:rPr>
        <w:t>，求得区间（</w:t>
      </w:r>
      <w:r>
        <w:rPr>
          <w:rFonts w:ascii="Times New Roman" w:hAnsi="Times New Roman"/>
        </w:rPr>
        <w:t>414.1-1.64×42.8</w:t>
      </w:r>
      <w:r>
        <w:rPr>
          <w:rFonts w:ascii="Times New Roman" w:hAnsi="宋体" w:hint="eastAsia"/>
        </w:rPr>
        <w:t>，</w:t>
      </w:r>
      <w:r>
        <w:rPr>
          <w:rFonts w:ascii="Times New Roman" w:hAnsi="Times New Roman"/>
        </w:rPr>
        <w:t>414.1+1.64×42.8</w:t>
      </w:r>
      <w:r>
        <w:rPr>
          <w:rFonts w:ascii="Times New Roman" w:hAnsi="宋体" w:hint="eastAsia"/>
        </w:rPr>
        <w:t>），称为红细胞数的</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rPr>
          <w:rFonts w:ascii="Times New Roman" w:hAnsi="Times New Roman"/>
        </w:rPr>
      </w:pPr>
      <w:r>
        <w:rPr>
          <w:rFonts w:ascii="Times New Roman" w:hAnsi="Times New Roman"/>
        </w:rPr>
        <w:t xml:space="preserve">    A. </w:t>
      </w:r>
      <w:r>
        <w:rPr>
          <w:rFonts w:ascii="Times New Roman" w:hAnsi="宋体" w:hint="eastAsia"/>
        </w:rPr>
        <w:t>总体均数的</w:t>
      </w:r>
      <w:r>
        <w:rPr>
          <w:rFonts w:ascii="Times New Roman" w:hAnsi="Times New Roman"/>
        </w:rPr>
        <w:t>95%</w:t>
      </w:r>
      <w:r>
        <w:rPr>
          <w:rFonts w:ascii="Times New Roman" w:hAnsi="宋体" w:hint="eastAsia"/>
        </w:rPr>
        <w:t>可信区间</w:t>
      </w:r>
      <w:r>
        <w:rPr>
          <w:rFonts w:ascii="Times New Roman" w:hAnsi="Times New Roman"/>
        </w:rPr>
        <w:t xml:space="preserve">                    B. 95%</w:t>
      </w:r>
      <w:r>
        <w:rPr>
          <w:rFonts w:ascii="Times New Roman" w:hAnsi="宋体" w:hint="eastAsia"/>
        </w:rPr>
        <w:t>参考值范围</w:t>
      </w:r>
    </w:p>
    <w:p w:rsidR="003717A0" w:rsidRDefault="003717A0">
      <w:pPr>
        <w:adjustRightInd w:val="0"/>
        <w:snapToGrid w:val="0"/>
        <w:spacing w:line="360" w:lineRule="exact"/>
        <w:rPr>
          <w:rFonts w:ascii="Times New Roman" w:hAnsi="Times New Roman"/>
        </w:rPr>
      </w:pPr>
      <w:r>
        <w:rPr>
          <w:rFonts w:ascii="Times New Roman" w:hAnsi="Times New Roman"/>
        </w:rPr>
        <w:t xml:space="preserve">    C. </w:t>
      </w:r>
      <w:r>
        <w:rPr>
          <w:rFonts w:ascii="Times New Roman" w:hAnsi="宋体" w:hint="eastAsia"/>
        </w:rPr>
        <w:t>总体均数的</w:t>
      </w:r>
      <w:r>
        <w:rPr>
          <w:rFonts w:ascii="Times New Roman" w:hAnsi="Times New Roman"/>
        </w:rPr>
        <w:t>90%</w:t>
      </w:r>
      <w:r>
        <w:rPr>
          <w:rFonts w:ascii="Times New Roman" w:hAnsi="宋体" w:hint="eastAsia"/>
        </w:rPr>
        <w:t>可信区间</w:t>
      </w:r>
      <w:r>
        <w:rPr>
          <w:rFonts w:ascii="Times New Roman" w:hAnsi="Times New Roman"/>
        </w:rPr>
        <w:t xml:space="preserve">                    D. 90%</w:t>
      </w:r>
      <w:r>
        <w:rPr>
          <w:rFonts w:ascii="Times New Roman" w:hAnsi="宋体" w:hint="eastAsia"/>
        </w:rPr>
        <w:t>参考值范围</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15.</w:t>
      </w:r>
      <w:r>
        <w:rPr>
          <w:rFonts w:ascii="Times New Roman" w:hAnsi="Times New Roman"/>
          <w:sz w:val="24"/>
        </w:rPr>
        <w:t xml:space="preserve"> </w:t>
      </w:r>
      <w:r>
        <w:rPr>
          <w:rFonts w:ascii="Times New Roman" w:hAnsi="宋体" w:hint="eastAsia"/>
        </w:rPr>
        <w:t>区间</w:t>
      </w:r>
      <w:r w:rsidR="00514AB1" w:rsidRPr="00514AB1">
        <w:rPr>
          <w:rFonts w:ascii="Times New Roman" w:hAnsi="Times New Roman"/>
          <w:position w:val="-12"/>
        </w:rPr>
        <w:pict>
          <v:shape id="_x0000_i1108" type="#_x0000_t75" style="width:53.15pt;height:18.3pt">
            <v:imagedata r:id="rId82" o:title=""/>
          </v:shape>
        </w:pict>
      </w:r>
      <w:r>
        <w:rPr>
          <w:rFonts w:ascii="Times New Roman" w:hAnsi="宋体" w:hint="eastAsia"/>
        </w:rPr>
        <w:t>的含义是</w:t>
      </w:r>
      <w:r>
        <w:rPr>
          <w:rFonts w:ascii="Times New Roman" w:hAnsi="Times New Roman"/>
        </w:rPr>
        <w:t xml:space="preserve">   </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 xml:space="preserve">A. </w:t>
      </w:r>
      <w:r>
        <w:rPr>
          <w:rFonts w:ascii="Times New Roman" w:hAnsi="Times New Roman"/>
        </w:rPr>
        <w:t>99%</w:t>
      </w:r>
      <w:r>
        <w:rPr>
          <w:rFonts w:ascii="Times New Roman" w:hAnsi="宋体" w:hint="eastAsia"/>
        </w:rPr>
        <w:t>的总体均数在此范围内</w:t>
      </w:r>
      <w:r>
        <w:rPr>
          <w:rFonts w:ascii="Times New Roman" w:hAnsi="Times New Roman"/>
        </w:rPr>
        <w:t xml:space="preserve">          </w:t>
      </w:r>
      <w:r>
        <w:rPr>
          <w:rFonts w:ascii="Times New Roman" w:hAnsi="Times New Roman"/>
          <w:kern w:val="0"/>
          <w:szCs w:val="21"/>
        </w:rPr>
        <w:t xml:space="preserve">B. </w:t>
      </w:r>
      <w:r>
        <w:rPr>
          <w:rFonts w:ascii="Times New Roman" w:hAnsi="宋体" w:hint="eastAsia"/>
        </w:rPr>
        <w:t>样本均数的</w:t>
      </w:r>
      <w:r>
        <w:rPr>
          <w:rFonts w:ascii="Times New Roman" w:hAnsi="Times New Roman"/>
        </w:rPr>
        <w:t>99%</w:t>
      </w:r>
      <w:r>
        <w:rPr>
          <w:rFonts w:ascii="Times New Roman" w:hAnsi="宋体" w:hint="eastAsia"/>
        </w:rPr>
        <w:t>可信区间</w:t>
      </w:r>
    </w:p>
    <w:p w:rsidR="003717A0" w:rsidRDefault="003717A0">
      <w:pPr>
        <w:adjustRightInd w:val="0"/>
        <w:snapToGrid w:val="0"/>
        <w:spacing w:line="360" w:lineRule="exact"/>
        <w:ind w:firstLineChars="150" w:firstLine="315"/>
        <w:rPr>
          <w:rFonts w:ascii="Times New Roman" w:hAnsi="Times New Roman"/>
          <w:kern w:val="0"/>
          <w:szCs w:val="21"/>
        </w:rPr>
      </w:pPr>
      <w:r>
        <w:rPr>
          <w:rFonts w:ascii="Times New Roman" w:hAnsi="Times New Roman"/>
          <w:kern w:val="0"/>
          <w:szCs w:val="21"/>
        </w:rPr>
        <w:t xml:space="preserve">C. </w:t>
      </w:r>
      <w:r>
        <w:rPr>
          <w:rFonts w:ascii="Times New Roman" w:hAnsi="Times New Roman"/>
        </w:rPr>
        <w:t>99%</w:t>
      </w:r>
      <w:r>
        <w:rPr>
          <w:rFonts w:ascii="Times New Roman" w:hAnsi="宋体" w:hint="eastAsia"/>
        </w:rPr>
        <w:t>的样本均数在此范围内</w:t>
      </w:r>
      <w:r>
        <w:rPr>
          <w:rFonts w:ascii="Times New Roman" w:hAnsi="Times New Roman"/>
        </w:rPr>
        <w:t xml:space="preserve">          </w:t>
      </w:r>
      <w:r>
        <w:rPr>
          <w:rFonts w:ascii="Times New Roman" w:hAnsi="Times New Roman"/>
          <w:kern w:val="0"/>
          <w:szCs w:val="21"/>
        </w:rPr>
        <w:t xml:space="preserve">D. </w:t>
      </w:r>
      <w:r>
        <w:rPr>
          <w:rFonts w:ascii="Times New Roman" w:hAnsi="宋体" w:hint="eastAsia"/>
        </w:rPr>
        <w:t>总体均数的</w:t>
      </w:r>
      <w:r>
        <w:rPr>
          <w:rFonts w:ascii="Times New Roman" w:hAnsi="Times New Roman"/>
        </w:rPr>
        <w:t xml:space="preserve"> 99%</w:t>
      </w:r>
      <w:r>
        <w:rPr>
          <w:rFonts w:ascii="Times New Roman" w:hAnsi="宋体" w:hint="eastAsia"/>
        </w:rPr>
        <w:t>可信区间</w:t>
      </w:r>
    </w:p>
    <w:p w:rsidR="003717A0" w:rsidRDefault="003717A0">
      <w:pPr>
        <w:adjustRightInd w:val="0"/>
        <w:snapToGrid w:val="0"/>
        <w:spacing w:line="360" w:lineRule="exact"/>
        <w:rPr>
          <w:rFonts w:ascii="Times New Roman" w:hAnsi="Times New Roman"/>
        </w:rPr>
      </w:pPr>
      <w:r>
        <w:rPr>
          <w:rFonts w:ascii="Times New Roman" w:hAnsi="Times New Roman"/>
        </w:rPr>
        <w:t>16.</w:t>
      </w:r>
      <w:r>
        <w:rPr>
          <w:rFonts w:ascii="Times New Roman" w:hAnsi="Times New Roman"/>
          <w:szCs w:val="21"/>
        </w:rPr>
        <w:t xml:space="preserve"> </w:t>
      </w:r>
      <w:r>
        <w:rPr>
          <w:rFonts w:ascii="Times New Roman" w:hAnsi="宋体" w:hint="eastAsia"/>
        </w:rPr>
        <w:t>构成比的重要特点是各组成部分的总和为</w:t>
      </w:r>
      <w:r>
        <w:rPr>
          <w:rFonts w:ascii="Times New Roman" w:hAnsi="Times New Roman"/>
        </w:rPr>
        <w:t xml:space="preserve">                               </w:t>
      </w:r>
      <w:r>
        <w:rPr>
          <w:rFonts w:ascii="Times New Roman" w:hAnsi="宋体" w:hint="eastAsia"/>
        </w:rPr>
        <w:t>（</w:t>
      </w:r>
      <w:r>
        <w:rPr>
          <w:rFonts w:ascii="Times New Roman" w:hAnsi="Times New Roman"/>
        </w:rPr>
        <w:t xml:space="preserve">      </w:t>
      </w:r>
      <w:r>
        <w:rPr>
          <w:rFonts w:ascii="Times New Roman" w:hAnsi="宋体" w:hint="eastAsia"/>
        </w:rPr>
        <w:t>）</w:t>
      </w:r>
    </w:p>
    <w:p w:rsidR="003717A0" w:rsidRDefault="003717A0">
      <w:pPr>
        <w:adjustRightInd w:val="0"/>
        <w:snapToGrid w:val="0"/>
        <w:spacing w:line="360" w:lineRule="exact"/>
        <w:ind w:firstLineChars="200" w:firstLine="420"/>
        <w:rPr>
          <w:rFonts w:ascii="Times New Roman" w:hAnsi="Times New Roman"/>
        </w:rPr>
      </w:pPr>
      <w:r>
        <w:rPr>
          <w:rFonts w:ascii="Times New Roman" w:hAnsi="Times New Roman"/>
        </w:rPr>
        <w:t xml:space="preserve">A. </w:t>
      </w:r>
      <w:r>
        <w:rPr>
          <w:rFonts w:ascii="Times New Roman" w:hAnsi="宋体" w:hint="eastAsia"/>
        </w:rPr>
        <w:t>必大于</w:t>
      </w:r>
      <w:r>
        <w:rPr>
          <w:rFonts w:ascii="Times New Roman" w:hAnsi="Times New Roman"/>
        </w:rPr>
        <w:t>1</w:t>
      </w:r>
      <w:r>
        <w:rPr>
          <w:rFonts w:ascii="Times New Roman" w:hAnsi="Times New Roman"/>
        </w:rPr>
        <w:tab/>
      </w:r>
      <w:r>
        <w:rPr>
          <w:rFonts w:ascii="Times New Roman" w:hAnsi="Times New Roman"/>
        </w:rPr>
        <w:tab/>
        <w:t xml:space="preserve">     B. </w:t>
      </w:r>
      <w:r>
        <w:rPr>
          <w:rFonts w:ascii="Times New Roman" w:hAnsi="宋体" w:hint="eastAsia"/>
        </w:rPr>
        <w:t>必小于</w:t>
      </w:r>
      <w:r>
        <w:rPr>
          <w:rFonts w:ascii="Times New Roman" w:hAnsi="Times New Roman"/>
        </w:rPr>
        <w:t>1</w:t>
      </w:r>
      <w:r>
        <w:rPr>
          <w:rFonts w:ascii="Times New Roman" w:hAnsi="Times New Roman"/>
        </w:rPr>
        <w:tab/>
      </w:r>
      <w:r>
        <w:rPr>
          <w:rFonts w:ascii="Times New Roman" w:hAnsi="Times New Roman"/>
        </w:rPr>
        <w:tab/>
        <w:t xml:space="preserve">     C. </w:t>
      </w:r>
      <w:r>
        <w:rPr>
          <w:rFonts w:ascii="Times New Roman" w:hAnsi="宋体" w:hint="eastAsia"/>
        </w:rPr>
        <w:t>必等于</w:t>
      </w:r>
      <w:r>
        <w:rPr>
          <w:rFonts w:ascii="Times New Roman" w:hAnsi="Times New Roman"/>
        </w:rPr>
        <w:t>1</w:t>
      </w:r>
    </w:p>
    <w:p w:rsidR="003717A0" w:rsidRDefault="003717A0">
      <w:pPr>
        <w:adjustRightInd w:val="0"/>
        <w:snapToGrid w:val="0"/>
        <w:spacing w:line="360" w:lineRule="exact"/>
        <w:ind w:firstLineChars="200" w:firstLine="420"/>
        <w:rPr>
          <w:rFonts w:ascii="Times New Roman" w:hAnsi="Times New Roman"/>
        </w:rPr>
      </w:pPr>
      <w:r>
        <w:rPr>
          <w:rFonts w:ascii="Times New Roman" w:hAnsi="Times New Roman"/>
        </w:rPr>
        <w:t xml:space="preserve">D. </w:t>
      </w:r>
      <w:r>
        <w:rPr>
          <w:rFonts w:ascii="Times New Roman" w:hAnsi="宋体" w:hint="eastAsia"/>
        </w:rPr>
        <w:t>随着各构成部分大小改变而改变</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17.</w:t>
      </w:r>
      <w:r>
        <w:rPr>
          <w:rFonts w:ascii="Times New Roman" w:hAnsi="Times New Roman"/>
          <w:sz w:val="24"/>
        </w:rPr>
        <w:t xml:space="preserve"> </w:t>
      </w:r>
      <w:r>
        <w:rPr>
          <w:rFonts w:ascii="Times New Roman" w:hAnsi="宋体" w:hint="eastAsia"/>
          <w:kern w:val="0"/>
          <w:szCs w:val="21"/>
        </w:rPr>
        <w:t>实验设计的三个基本要素是</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 xml:space="preserve">A. </w:t>
      </w:r>
      <w:r>
        <w:rPr>
          <w:rFonts w:ascii="Times New Roman" w:hAnsi="宋体" w:hint="eastAsia"/>
          <w:kern w:val="0"/>
          <w:szCs w:val="21"/>
        </w:rPr>
        <w:t>受试对象、实验效应、观察指标</w:t>
      </w:r>
      <w:r>
        <w:rPr>
          <w:rFonts w:ascii="Times New Roman" w:hAnsi="Times New Roman"/>
          <w:kern w:val="0"/>
          <w:szCs w:val="21"/>
        </w:rPr>
        <w:t xml:space="preserve">            B. </w:t>
      </w:r>
      <w:r>
        <w:rPr>
          <w:rFonts w:ascii="Times New Roman" w:hAnsi="宋体" w:hint="eastAsia"/>
          <w:kern w:val="0"/>
          <w:szCs w:val="21"/>
        </w:rPr>
        <w:t>随机化、重复、设置对照</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 xml:space="preserve">C. </w:t>
      </w:r>
      <w:r>
        <w:rPr>
          <w:rFonts w:ascii="Times New Roman" w:hAnsi="宋体" w:hint="eastAsia"/>
          <w:kern w:val="0"/>
          <w:szCs w:val="21"/>
        </w:rPr>
        <w:t>齐同对比、均衡性、随机化</w:t>
      </w:r>
      <w:r>
        <w:rPr>
          <w:rFonts w:ascii="Times New Roman" w:hAnsi="Times New Roman"/>
          <w:kern w:val="0"/>
          <w:szCs w:val="21"/>
        </w:rPr>
        <w:t xml:space="preserve">                D. </w:t>
      </w:r>
      <w:r>
        <w:rPr>
          <w:rFonts w:ascii="Times New Roman" w:hAnsi="宋体" w:hint="eastAsia"/>
          <w:kern w:val="0"/>
          <w:szCs w:val="21"/>
        </w:rPr>
        <w:t>处理因素、受试对象、实验效应</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18.</w:t>
      </w:r>
      <w:r>
        <w:rPr>
          <w:rFonts w:ascii="Times New Roman" w:hAnsi="Times New Roman"/>
          <w:szCs w:val="21"/>
        </w:rPr>
        <w:t xml:space="preserve"> </w:t>
      </w:r>
      <w:r>
        <w:rPr>
          <w:rFonts w:ascii="Times New Roman" w:hAnsi="Times New Roman"/>
          <w:kern w:val="0"/>
          <w:szCs w:val="21"/>
        </w:rPr>
        <w:t>Y=14+4X</w:t>
      </w:r>
      <w:r>
        <w:rPr>
          <w:rFonts w:ascii="Times New Roman" w:hAnsi="宋体" w:hint="eastAsia"/>
          <w:kern w:val="0"/>
          <w:szCs w:val="21"/>
        </w:rPr>
        <w:t>是</w:t>
      </w:r>
      <w:r>
        <w:rPr>
          <w:rFonts w:ascii="Times New Roman" w:hAnsi="Times New Roman"/>
          <w:kern w:val="0"/>
          <w:szCs w:val="21"/>
        </w:rPr>
        <w:t xml:space="preserve"> 1</w:t>
      </w:r>
      <w:r>
        <w:rPr>
          <w:rFonts w:ascii="Times New Roman" w:hAnsi="宋体" w:hint="eastAsia"/>
          <w:kern w:val="0"/>
          <w:szCs w:val="21"/>
        </w:rPr>
        <w:t>～</w:t>
      </w:r>
      <w:r>
        <w:rPr>
          <w:rFonts w:ascii="Times New Roman" w:hAnsi="Times New Roman"/>
          <w:kern w:val="0"/>
          <w:szCs w:val="21"/>
        </w:rPr>
        <w:t xml:space="preserve">7 </w:t>
      </w:r>
      <w:r>
        <w:rPr>
          <w:rFonts w:ascii="Times New Roman" w:hAnsi="宋体" w:hint="eastAsia"/>
          <w:kern w:val="0"/>
          <w:szCs w:val="21"/>
        </w:rPr>
        <w:t>岁儿童以年龄</w:t>
      </w:r>
      <w:r>
        <w:rPr>
          <w:rFonts w:ascii="Times New Roman" w:hAnsi="Times New Roman"/>
          <w:kern w:val="0"/>
          <w:szCs w:val="21"/>
        </w:rPr>
        <w:t>(</w:t>
      </w:r>
      <w:r>
        <w:rPr>
          <w:rFonts w:ascii="Times New Roman" w:hAnsi="宋体" w:hint="eastAsia"/>
          <w:kern w:val="0"/>
          <w:szCs w:val="21"/>
        </w:rPr>
        <w:t>岁</w:t>
      </w:r>
      <w:r>
        <w:rPr>
          <w:rFonts w:ascii="Times New Roman" w:hAnsi="Times New Roman"/>
          <w:kern w:val="0"/>
          <w:szCs w:val="21"/>
        </w:rPr>
        <w:t>)</w:t>
      </w:r>
      <w:r>
        <w:rPr>
          <w:rFonts w:ascii="Times New Roman" w:hAnsi="宋体" w:hint="eastAsia"/>
          <w:kern w:val="0"/>
          <w:szCs w:val="21"/>
        </w:rPr>
        <w:t>估计体重</w:t>
      </w:r>
      <w:r>
        <w:rPr>
          <w:rFonts w:ascii="Times New Roman" w:hAnsi="Times New Roman"/>
          <w:kern w:val="0"/>
          <w:szCs w:val="21"/>
        </w:rPr>
        <w:t>(</w:t>
      </w:r>
      <w:r>
        <w:rPr>
          <w:rFonts w:ascii="Times New Roman" w:hAnsi="宋体" w:hint="eastAsia"/>
          <w:kern w:val="0"/>
          <w:szCs w:val="21"/>
        </w:rPr>
        <w:t>市斤</w:t>
      </w:r>
      <w:r>
        <w:rPr>
          <w:rFonts w:ascii="Times New Roman" w:hAnsi="Times New Roman"/>
          <w:kern w:val="0"/>
          <w:szCs w:val="21"/>
        </w:rPr>
        <w:t>)</w:t>
      </w:r>
      <w:r>
        <w:rPr>
          <w:rFonts w:ascii="Times New Roman" w:hAnsi="宋体" w:hint="eastAsia"/>
          <w:kern w:val="0"/>
          <w:szCs w:val="21"/>
        </w:rPr>
        <w:t>的回归方程，若体重换成国际单位</w:t>
      </w:r>
      <w:r>
        <w:rPr>
          <w:rFonts w:ascii="Times New Roman" w:hAnsi="Times New Roman"/>
          <w:kern w:val="0"/>
          <w:szCs w:val="21"/>
        </w:rPr>
        <w:t>kg</w:t>
      </w:r>
      <w:r>
        <w:rPr>
          <w:rFonts w:ascii="Times New Roman" w:hAnsi="宋体" w:hint="eastAsia"/>
          <w:kern w:val="0"/>
          <w:szCs w:val="21"/>
        </w:rPr>
        <w:t>，则此方程</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adjustRightInd w:val="0"/>
        <w:snapToGrid w:val="0"/>
        <w:spacing w:line="360" w:lineRule="exact"/>
        <w:ind w:firstLineChars="150" w:firstLine="315"/>
        <w:rPr>
          <w:rFonts w:ascii="Times New Roman" w:hAnsi="Times New Roman"/>
          <w:szCs w:val="21"/>
        </w:rPr>
      </w:pPr>
      <w:r>
        <w:rPr>
          <w:rFonts w:ascii="Times New Roman" w:hAnsi="Times New Roman"/>
          <w:kern w:val="0"/>
          <w:szCs w:val="21"/>
        </w:rPr>
        <w:t xml:space="preserve">A. </w:t>
      </w:r>
      <w:r>
        <w:rPr>
          <w:rFonts w:ascii="Times New Roman" w:hAnsi="宋体" w:hint="eastAsia"/>
          <w:kern w:val="0"/>
          <w:szCs w:val="21"/>
        </w:rPr>
        <w:t>截距改变</w:t>
      </w:r>
      <w:r>
        <w:rPr>
          <w:rFonts w:ascii="Times New Roman" w:hAnsi="Times New Roman"/>
          <w:kern w:val="0"/>
          <w:szCs w:val="21"/>
        </w:rPr>
        <w:t xml:space="preserve">         B. </w:t>
      </w:r>
      <w:r>
        <w:rPr>
          <w:rFonts w:ascii="Times New Roman" w:hAnsi="宋体" w:hint="eastAsia"/>
          <w:kern w:val="0"/>
          <w:szCs w:val="21"/>
        </w:rPr>
        <w:t>回归系数改变</w:t>
      </w:r>
      <w:r>
        <w:rPr>
          <w:rFonts w:ascii="Times New Roman" w:hAnsi="Times New Roman"/>
          <w:kern w:val="0"/>
          <w:szCs w:val="21"/>
        </w:rPr>
        <w:t xml:space="preserve">       C. </w:t>
      </w:r>
      <w:r>
        <w:rPr>
          <w:rFonts w:ascii="Times New Roman" w:hAnsi="宋体" w:hint="eastAsia"/>
          <w:kern w:val="0"/>
          <w:szCs w:val="21"/>
        </w:rPr>
        <w:t>两者都改变</w:t>
      </w:r>
      <w:r>
        <w:rPr>
          <w:rFonts w:ascii="Times New Roman" w:hAnsi="Times New Roman"/>
          <w:kern w:val="0"/>
          <w:szCs w:val="21"/>
        </w:rPr>
        <w:t xml:space="preserve">        D. </w:t>
      </w:r>
      <w:r>
        <w:rPr>
          <w:rFonts w:ascii="Times New Roman" w:hAnsi="宋体" w:hint="eastAsia"/>
          <w:kern w:val="0"/>
          <w:szCs w:val="21"/>
        </w:rPr>
        <w:t>两者都不改变</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 xml:space="preserve">19. </w:t>
      </w:r>
      <w:r>
        <w:rPr>
          <w:rFonts w:ascii="Times New Roman" w:hAnsi="宋体" w:hint="eastAsia"/>
          <w:kern w:val="0"/>
          <w:szCs w:val="21"/>
        </w:rPr>
        <w:t>为研究治疗偏头痛的药物（片剂）的有效性，研究者让一部分患者服用与研究药物外观、性状完全相同的淀粉片，其主要目的是</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200" w:firstLine="420"/>
        <w:jc w:val="left"/>
        <w:rPr>
          <w:rFonts w:ascii="Times New Roman" w:hAnsi="Times New Roman"/>
          <w:kern w:val="0"/>
          <w:szCs w:val="21"/>
        </w:rPr>
      </w:pPr>
      <w:r>
        <w:rPr>
          <w:rFonts w:ascii="Times New Roman" w:hAnsi="Times New Roman"/>
          <w:kern w:val="0"/>
          <w:szCs w:val="21"/>
        </w:rPr>
        <w:t xml:space="preserve">A. </w:t>
      </w:r>
      <w:r>
        <w:rPr>
          <w:rFonts w:ascii="Times New Roman" w:hAnsi="宋体" w:hint="eastAsia"/>
          <w:kern w:val="0"/>
          <w:szCs w:val="21"/>
        </w:rPr>
        <w:t>研究淀粉片的治疗作用</w:t>
      </w:r>
      <w:r>
        <w:rPr>
          <w:rFonts w:ascii="Times New Roman" w:hAnsi="Times New Roman"/>
          <w:kern w:val="0"/>
          <w:szCs w:val="21"/>
        </w:rPr>
        <w:t xml:space="preserve">              B. </w:t>
      </w:r>
      <w:r>
        <w:rPr>
          <w:rFonts w:ascii="Times New Roman" w:hAnsi="宋体" w:hint="eastAsia"/>
          <w:kern w:val="0"/>
          <w:szCs w:val="21"/>
        </w:rPr>
        <w:t>比较两种片剂的有效性</w:t>
      </w:r>
    </w:p>
    <w:p w:rsidR="003717A0" w:rsidRDefault="003717A0">
      <w:pPr>
        <w:adjustRightInd w:val="0"/>
        <w:snapToGrid w:val="0"/>
        <w:spacing w:line="360" w:lineRule="exact"/>
        <w:ind w:firstLineChars="200" w:firstLine="420"/>
        <w:rPr>
          <w:rFonts w:ascii="Times New Roman" w:hAnsi="Times New Roman"/>
          <w:kern w:val="0"/>
          <w:szCs w:val="21"/>
        </w:rPr>
      </w:pPr>
      <w:r>
        <w:rPr>
          <w:rFonts w:ascii="Times New Roman" w:hAnsi="Times New Roman"/>
          <w:kern w:val="0"/>
          <w:szCs w:val="21"/>
        </w:rPr>
        <w:t xml:space="preserve">C. </w:t>
      </w:r>
      <w:r>
        <w:rPr>
          <w:rFonts w:ascii="Times New Roman" w:hAnsi="宋体" w:hint="eastAsia"/>
          <w:kern w:val="0"/>
          <w:szCs w:val="21"/>
        </w:rPr>
        <w:t>避免患者的心理因素影响</w:t>
      </w:r>
      <w:r>
        <w:rPr>
          <w:rFonts w:ascii="Times New Roman" w:hAnsi="Times New Roman"/>
          <w:kern w:val="0"/>
          <w:szCs w:val="21"/>
        </w:rPr>
        <w:t xml:space="preserve">            D. </w:t>
      </w:r>
      <w:r>
        <w:rPr>
          <w:rFonts w:ascii="Times New Roman" w:hAnsi="宋体" w:hint="eastAsia"/>
          <w:kern w:val="0"/>
          <w:szCs w:val="21"/>
        </w:rPr>
        <w:t>评价试验药物的安全性</w:t>
      </w:r>
    </w:p>
    <w:p w:rsidR="003717A0" w:rsidRDefault="003717A0">
      <w:pPr>
        <w:widowControl/>
        <w:adjustRightInd w:val="0"/>
        <w:snapToGrid w:val="0"/>
        <w:spacing w:line="360" w:lineRule="exact"/>
        <w:rPr>
          <w:rFonts w:ascii="Times New Roman" w:hAnsi="Times New Roman"/>
          <w:kern w:val="0"/>
          <w:szCs w:val="21"/>
        </w:rPr>
      </w:pPr>
      <w:r>
        <w:rPr>
          <w:rFonts w:ascii="Times New Roman" w:hAnsi="Times New Roman"/>
        </w:rPr>
        <w:t>20.</w:t>
      </w:r>
      <w:r>
        <w:rPr>
          <w:rFonts w:ascii="Times New Roman" w:hAnsi="Times New Roman"/>
          <w:szCs w:val="21"/>
        </w:rPr>
        <w:t xml:space="preserve"> </w:t>
      </w:r>
      <w:r>
        <w:rPr>
          <w:rFonts w:ascii="Times New Roman" w:hAnsi="宋体" w:hint="eastAsia"/>
          <w:kern w:val="0"/>
          <w:szCs w:val="21"/>
        </w:rPr>
        <w:t>实验设计和调查设计的根本区别是</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100" w:firstLine="210"/>
        <w:rPr>
          <w:rFonts w:ascii="Times New Roman" w:hAnsi="Times New Roman"/>
          <w:kern w:val="0"/>
          <w:szCs w:val="21"/>
        </w:rPr>
      </w:pPr>
      <w:r>
        <w:rPr>
          <w:rFonts w:ascii="Times New Roman" w:hAnsi="Times New Roman"/>
          <w:kern w:val="0"/>
          <w:szCs w:val="21"/>
        </w:rPr>
        <w:t xml:space="preserve">A. </w:t>
      </w:r>
      <w:r>
        <w:rPr>
          <w:rFonts w:ascii="Times New Roman" w:hAnsi="宋体" w:hint="eastAsia"/>
          <w:kern w:val="0"/>
          <w:szCs w:val="21"/>
        </w:rPr>
        <w:t>实验设计以动物为对象</w:t>
      </w:r>
      <w:r>
        <w:rPr>
          <w:rFonts w:ascii="Times New Roman" w:hAnsi="Times New Roman"/>
          <w:kern w:val="0"/>
          <w:szCs w:val="21"/>
        </w:rPr>
        <w:t xml:space="preserve">                 B. </w:t>
      </w:r>
      <w:r>
        <w:rPr>
          <w:rFonts w:ascii="Times New Roman" w:hAnsi="宋体" w:hint="eastAsia"/>
          <w:kern w:val="0"/>
          <w:szCs w:val="21"/>
        </w:rPr>
        <w:t>调查设计以人为对象</w:t>
      </w:r>
    </w:p>
    <w:p w:rsidR="003717A0" w:rsidRDefault="003717A0">
      <w:pPr>
        <w:widowControl/>
        <w:adjustRightInd w:val="0"/>
        <w:snapToGrid w:val="0"/>
        <w:spacing w:line="360" w:lineRule="exact"/>
        <w:ind w:firstLineChars="100" w:firstLine="210"/>
        <w:jc w:val="left"/>
        <w:rPr>
          <w:rFonts w:ascii="Times New Roman" w:hAnsi="Times New Roman"/>
          <w:kern w:val="0"/>
          <w:szCs w:val="21"/>
        </w:rPr>
      </w:pPr>
      <w:r>
        <w:rPr>
          <w:rFonts w:ascii="Times New Roman" w:hAnsi="Times New Roman"/>
          <w:kern w:val="0"/>
          <w:szCs w:val="21"/>
        </w:rPr>
        <w:t xml:space="preserve">C. </w:t>
      </w:r>
      <w:r>
        <w:rPr>
          <w:rFonts w:ascii="Times New Roman" w:hAnsi="宋体" w:hint="eastAsia"/>
          <w:kern w:val="0"/>
          <w:szCs w:val="21"/>
        </w:rPr>
        <w:t>实验设计可随机分组</w:t>
      </w:r>
      <w:r>
        <w:rPr>
          <w:rFonts w:ascii="Times New Roman" w:hAnsi="Times New Roman"/>
          <w:kern w:val="0"/>
          <w:szCs w:val="21"/>
        </w:rPr>
        <w:t xml:space="preserve">                   D. </w:t>
      </w:r>
      <w:r>
        <w:rPr>
          <w:rFonts w:ascii="Times New Roman" w:hAnsi="宋体" w:hint="eastAsia"/>
          <w:kern w:val="0"/>
          <w:szCs w:val="21"/>
        </w:rPr>
        <w:t>实验设计可人为设置处理因素</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 xml:space="preserve">21. </w:t>
      </w:r>
      <w:r>
        <w:rPr>
          <w:rFonts w:ascii="Times New Roman" w:hAnsi="宋体" w:hint="eastAsia"/>
          <w:kern w:val="0"/>
          <w:szCs w:val="21"/>
        </w:rPr>
        <w:t>直线回归中，如果散点分布呈直线趋势，</w:t>
      </w:r>
      <w:r>
        <w:rPr>
          <w:rFonts w:ascii="Times New Roman" w:hAnsi="Times New Roman"/>
          <w:kern w:val="0"/>
          <w:szCs w:val="21"/>
        </w:rPr>
        <w:t xml:space="preserve">X </w:t>
      </w:r>
      <w:r>
        <w:rPr>
          <w:rFonts w:ascii="Times New Roman" w:hAnsi="宋体" w:hint="eastAsia"/>
          <w:kern w:val="0"/>
          <w:szCs w:val="21"/>
        </w:rPr>
        <w:t>增加时</w:t>
      </w:r>
      <w:r>
        <w:rPr>
          <w:rFonts w:ascii="Times New Roman" w:hAnsi="Times New Roman"/>
          <w:kern w:val="0"/>
          <w:szCs w:val="21"/>
        </w:rPr>
        <w:t xml:space="preserve"> Y </w:t>
      </w:r>
      <w:r>
        <w:rPr>
          <w:rFonts w:ascii="Times New Roman" w:hAnsi="宋体" w:hint="eastAsia"/>
          <w:kern w:val="0"/>
          <w:szCs w:val="21"/>
        </w:rPr>
        <w:t>减少，则可初步判断为</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adjustRightInd w:val="0"/>
        <w:snapToGrid w:val="0"/>
        <w:spacing w:line="360" w:lineRule="exact"/>
        <w:ind w:firstLineChars="150" w:firstLine="315"/>
        <w:rPr>
          <w:rFonts w:ascii="Times New Roman" w:hAnsi="Times New Roman"/>
          <w:kern w:val="0"/>
          <w:szCs w:val="21"/>
        </w:rPr>
      </w:pPr>
      <w:r>
        <w:rPr>
          <w:rFonts w:ascii="Times New Roman" w:hAnsi="Times New Roman"/>
          <w:kern w:val="0"/>
          <w:szCs w:val="21"/>
        </w:rPr>
        <w:t xml:space="preserve">A. </w:t>
      </w:r>
      <w:r>
        <w:rPr>
          <w:rFonts w:ascii="Times New Roman" w:hAnsi="宋体" w:hint="eastAsia"/>
          <w:kern w:val="0"/>
          <w:szCs w:val="21"/>
        </w:rPr>
        <w:t>两变量呈正相关关系</w:t>
      </w:r>
      <w:r>
        <w:rPr>
          <w:rFonts w:ascii="Times New Roman" w:hAnsi="Times New Roman"/>
          <w:kern w:val="0"/>
          <w:szCs w:val="21"/>
        </w:rPr>
        <w:t xml:space="preserve">                   B. </w:t>
      </w:r>
      <w:r>
        <w:rPr>
          <w:rFonts w:ascii="Times New Roman" w:hAnsi="宋体" w:hint="eastAsia"/>
          <w:kern w:val="0"/>
          <w:szCs w:val="21"/>
        </w:rPr>
        <w:t>两变量呈负相关关系</w:t>
      </w:r>
      <w:r>
        <w:rPr>
          <w:rFonts w:ascii="Times New Roman" w:hAnsi="Times New Roman"/>
          <w:kern w:val="0"/>
          <w:szCs w:val="21"/>
        </w:rPr>
        <w:t xml:space="preserve"> </w:t>
      </w:r>
    </w:p>
    <w:p w:rsidR="003717A0" w:rsidRDefault="003717A0">
      <w:pPr>
        <w:adjustRightInd w:val="0"/>
        <w:snapToGrid w:val="0"/>
        <w:spacing w:line="360" w:lineRule="exact"/>
        <w:ind w:firstLineChars="150" w:firstLine="315"/>
        <w:rPr>
          <w:rFonts w:ascii="Times New Roman" w:hAnsi="Times New Roman"/>
          <w:kern w:val="0"/>
          <w:szCs w:val="21"/>
        </w:rPr>
      </w:pPr>
      <w:r>
        <w:rPr>
          <w:rFonts w:ascii="Times New Roman" w:hAnsi="Times New Roman"/>
          <w:kern w:val="0"/>
          <w:szCs w:val="21"/>
        </w:rPr>
        <w:t>C. b&gt;0                                   D. b&lt;0</w:t>
      </w:r>
    </w:p>
    <w:p w:rsidR="003717A0" w:rsidRDefault="003717A0">
      <w:pPr>
        <w:adjustRightInd w:val="0"/>
        <w:snapToGrid w:val="0"/>
        <w:spacing w:line="360" w:lineRule="exact"/>
        <w:rPr>
          <w:rFonts w:ascii="Times New Roman" w:hAnsi="Times New Roman"/>
          <w:kern w:val="0"/>
          <w:szCs w:val="21"/>
        </w:rPr>
      </w:pPr>
      <w:r>
        <w:rPr>
          <w:rFonts w:ascii="Times New Roman" w:hAnsi="Times New Roman"/>
        </w:rPr>
        <w:t xml:space="preserve">22. </w:t>
      </w:r>
      <w:r>
        <w:rPr>
          <w:rFonts w:ascii="Times New Roman" w:hAnsi="宋体" w:hint="eastAsia"/>
          <w:kern w:val="0"/>
          <w:szCs w:val="21"/>
        </w:rPr>
        <w:t>编制频数表中错误的做法是</w:t>
      </w:r>
      <w:r>
        <w:rPr>
          <w:rFonts w:ascii="Times New Roman" w:hAnsi="Times New Roman"/>
          <w:kern w:val="0"/>
          <w:szCs w:val="21"/>
        </w:rPr>
        <w:t xml:space="preserve">                                             </w:t>
      </w:r>
      <w:r>
        <w:rPr>
          <w:rFonts w:ascii="Times New Roman" w:hAnsi="宋体" w:hint="eastAsia"/>
          <w:kern w:val="0"/>
          <w:szCs w:val="21"/>
        </w:rPr>
        <w:t>（</w:t>
      </w:r>
      <w:r>
        <w:rPr>
          <w:rFonts w:ascii="Times New Roman" w:hAnsi="Times New Roman"/>
          <w:kern w:val="0"/>
          <w:szCs w:val="21"/>
        </w:rPr>
        <w:t xml:space="preserve">     </w:t>
      </w:r>
      <w:r>
        <w:rPr>
          <w:rFonts w:ascii="Times New Roman" w:hAnsi="宋体" w:hint="eastAsia"/>
          <w:kern w:val="0"/>
          <w:szCs w:val="21"/>
        </w:rPr>
        <w:t>）</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 xml:space="preserve">A. </w:t>
      </w:r>
      <w:r>
        <w:rPr>
          <w:rFonts w:ascii="Times New Roman" w:hAnsi="宋体" w:hint="eastAsia"/>
          <w:kern w:val="0"/>
          <w:szCs w:val="21"/>
        </w:rPr>
        <w:t>找出最大值和最小值</w:t>
      </w:r>
      <w:r>
        <w:rPr>
          <w:rFonts w:ascii="Times New Roman" w:hAnsi="Times New Roman"/>
          <w:kern w:val="0"/>
          <w:szCs w:val="21"/>
        </w:rPr>
        <w:t xml:space="preserve">, </w:t>
      </w:r>
      <w:r>
        <w:rPr>
          <w:rFonts w:ascii="Times New Roman" w:hAnsi="宋体" w:hint="eastAsia"/>
          <w:kern w:val="0"/>
          <w:szCs w:val="21"/>
        </w:rPr>
        <w:t>计算极差</w:t>
      </w:r>
      <w:r>
        <w:rPr>
          <w:rFonts w:ascii="Times New Roman" w:hAnsi="Times New Roman"/>
          <w:kern w:val="0"/>
          <w:szCs w:val="21"/>
        </w:rPr>
        <w:t xml:space="preserve">      B. </w:t>
      </w:r>
      <w:r>
        <w:rPr>
          <w:rFonts w:ascii="Times New Roman" w:hAnsi="宋体" w:hint="eastAsia"/>
          <w:kern w:val="0"/>
          <w:szCs w:val="21"/>
        </w:rPr>
        <w:t>定组距</w:t>
      </w:r>
      <w:r>
        <w:rPr>
          <w:rFonts w:ascii="Times New Roman" w:hAnsi="Times New Roman"/>
          <w:kern w:val="0"/>
          <w:szCs w:val="21"/>
        </w:rPr>
        <w:t xml:space="preserve">, </w:t>
      </w:r>
      <w:r>
        <w:rPr>
          <w:rFonts w:ascii="Times New Roman" w:hAnsi="宋体" w:hint="eastAsia"/>
          <w:kern w:val="0"/>
          <w:szCs w:val="21"/>
        </w:rPr>
        <w:t>常用等组距</w:t>
      </w:r>
      <w:r>
        <w:rPr>
          <w:rFonts w:ascii="Times New Roman" w:hAnsi="Times New Roman"/>
          <w:kern w:val="0"/>
          <w:szCs w:val="21"/>
        </w:rPr>
        <w:t xml:space="preserve">, </w:t>
      </w:r>
      <w:r>
        <w:rPr>
          <w:rFonts w:ascii="Times New Roman" w:hAnsi="宋体" w:hint="eastAsia"/>
          <w:kern w:val="0"/>
          <w:szCs w:val="21"/>
        </w:rPr>
        <w:t>一般分</w:t>
      </w:r>
      <w:r>
        <w:rPr>
          <w:rFonts w:ascii="Times New Roman" w:hAnsi="Times New Roman"/>
          <w:kern w:val="0"/>
          <w:szCs w:val="21"/>
        </w:rPr>
        <w:t xml:space="preserve"> 8~15 </w:t>
      </w:r>
      <w:r>
        <w:rPr>
          <w:rFonts w:ascii="Times New Roman" w:hAnsi="宋体" w:hint="eastAsia"/>
          <w:kern w:val="0"/>
          <w:szCs w:val="21"/>
        </w:rPr>
        <w:t>组为宜</w:t>
      </w:r>
      <w:r>
        <w:rPr>
          <w:rFonts w:ascii="Times New Roman" w:hAnsi="Times New Roman"/>
          <w:kern w:val="0"/>
          <w:szCs w:val="21"/>
        </w:rPr>
        <w:t xml:space="preserve"> </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 xml:space="preserve">C. </w:t>
      </w:r>
      <w:r>
        <w:rPr>
          <w:rFonts w:ascii="Times New Roman" w:hAnsi="宋体" w:hint="eastAsia"/>
          <w:kern w:val="0"/>
          <w:szCs w:val="21"/>
        </w:rPr>
        <w:t>写组段时组段可重叠，如</w:t>
      </w:r>
      <w:r>
        <w:rPr>
          <w:rFonts w:ascii="Times New Roman" w:hAnsi="Times New Roman"/>
          <w:kern w:val="0"/>
          <w:szCs w:val="21"/>
        </w:rPr>
        <w:t>“2</w:t>
      </w:r>
      <w:r>
        <w:rPr>
          <w:rFonts w:ascii="Times New Roman" w:hAnsi="宋体" w:hint="eastAsia"/>
          <w:kern w:val="0"/>
          <w:szCs w:val="21"/>
        </w:rPr>
        <w:t>～</w:t>
      </w:r>
      <w:r>
        <w:rPr>
          <w:rFonts w:ascii="Times New Roman" w:hAnsi="Times New Roman"/>
          <w:kern w:val="0"/>
          <w:szCs w:val="21"/>
        </w:rPr>
        <w:t>4, 4</w:t>
      </w:r>
      <w:r>
        <w:rPr>
          <w:rFonts w:ascii="Times New Roman" w:hAnsi="宋体" w:hint="eastAsia"/>
          <w:kern w:val="0"/>
          <w:szCs w:val="21"/>
        </w:rPr>
        <w:t>～</w:t>
      </w:r>
      <w:r>
        <w:rPr>
          <w:rFonts w:ascii="Times New Roman" w:hAnsi="Times New Roman"/>
          <w:kern w:val="0"/>
          <w:szCs w:val="21"/>
        </w:rPr>
        <w:t xml:space="preserve">6,…” </w:t>
      </w:r>
    </w:p>
    <w:p w:rsidR="003717A0" w:rsidRDefault="003717A0">
      <w:pPr>
        <w:widowControl/>
        <w:adjustRightInd w:val="0"/>
        <w:snapToGrid w:val="0"/>
        <w:spacing w:line="360" w:lineRule="exact"/>
        <w:ind w:firstLineChars="150" w:firstLine="315"/>
        <w:jc w:val="left"/>
        <w:rPr>
          <w:rFonts w:ascii="Times New Roman" w:hAnsi="Times New Roman"/>
          <w:kern w:val="0"/>
          <w:szCs w:val="21"/>
        </w:rPr>
      </w:pPr>
      <w:r>
        <w:rPr>
          <w:rFonts w:ascii="Times New Roman" w:hAnsi="Times New Roman"/>
          <w:kern w:val="0"/>
          <w:szCs w:val="21"/>
        </w:rPr>
        <w:t xml:space="preserve">D. </w:t>
      </w:r>
      <w:r>
        <w:rPr>
          <w:rFonts w:ascii="Times New Roman" w:hAnsi="宋体" w:hint="eastAsia"/>
          <w:kern w:val="0"/>
          <w:szCs w:val="21"/>
        </w:rPr>
        <w:t>第一个组段应包括变量最小值，最后一个组段应包括变量最大值</w:t>
      </w:r>
    </w:p>
    <w:p w:rsidR="003717A0" w:rsidRDefault="003717A0">
      <w:pPr>
        <w:adjustRightInd w:val="0"/>
        <w:snapToGrid w:val="0"/>
        <w:spacing w:line="360" w:lineRule="exact"/>
        <w:rPr>
          <w:rFonts w:ascii="Times New Roman" w:hAnsi="Times New Roman"/>
          <w:b/>
        </w:rPr>
      </w:pPr>
      <w:r>
        <w:rPr>
          <w:rFonts w:ascii="Times New Roman" w:hAnsi="宋体" w:hint="eastAsia"/>
          <w:b/>
        </w:rPr>
        <w:t>三、简答题（每小题</w:t>
      </w:r>
      <w:r>
        <w:rPr>
          <w:rFonts w:ascii="Times New Roman" w:hAnsi="Times New Roman"/>
          <w:b/>
        </w:rPr>
        <w:t>5</w:t>
      </w:r>
      <w:r>
        <w:rPr>
          <w:rFonts w:ascii="Times New Roman" w:hAnsi="宋体" w:hint="eastAsia"/>
          <w:b/>
        </w:rPr>
        <w:t>分，共</w:t>
      </w:r>
      <w:r>
        <w:rPr>
          <w:rFonts w:ascii="Times New Roman" w:hAnsi="Times New Roman"/>
          <w:b/>
        </w:rPr>
        <w:t>25</w:t>
      </w:r>
      <w:r>
        <w:rPr>
          <w:rFonts w:ascii="Times New Roman" w:hAnsi="宋体" w:hint="eastAsia"/>
          <w:b/>
        </w:rPr>
        <w:t>分）</w:t>
      </w:r>
    </w:p>
    <w:p w:rsidR="003717A0" w:rsidRDefault="003717A0">
      <w:pPr>
        <w:adjustRightInd w:val="0"/>
        <w:snapToGrid w:val="0"/>
        <w:spacing w:line="360" w:lineRule="exact"/>
        <w:rPr>
          <w:rFonts w:ascii="Times New Roman" w:hAnsi="Times New Roman"/>
          <w:szCs w:val="21"/>
        </w:rPr>
      </w:pPr>
      <w:r>
        <w:rPr>
          <w:rFonts w:ascii="Times New Roman" w:hAnsi="Times New Roman"/>
          <w:szCs w:val="21"/>
        </w:rPr>
        <w:lastRenderedPageBreak/>
        <w:t xml:space="preserve">1. </w:t>
      </w:r>
      <w:r>
        <w:rPr>
          <w:rFonts w:ascii="Times New Roman" w:hAnsi="宋体" w:hint="eastAsia"/>
          <w:szCs w:val="21"/>
        </w:rPr>
        <w:t>描述数值变量资料的集中程度有哪些指标，有何适用条件？</w:t>
      </w:r>
    </w:p>
    <w:p w:rsidR="003717A0" w:rsidRDefault="003717A0">
      <w:pPr>
        <w:adjustRightInd w:val="0"/>
        <w:snapToGrid w:val="0"/>
        <w:spacing w:line="360" w:lineRule="exact"/>
        <w:rPr>
          <w:rFonts w:ascii="Times New Roman" w:hAnsi="Times New Roman"/>
          <w:szCs w:val="21"/>
        </w:rPr>
      </w:pPr>
      <w:r>
        <w:rPr>
          <w:rFonts w:ascii="Times New Roman" w:hAnsi="Times New Roman"/>
          <w:szCs w:val="21"/>
        </w:rPr>
        <w:t xml:space="preserve">2. </w:t>
      </w:r>
      <w:r>
        <w:rPr>
          <w:rFonts w:ascii="Times New Roman" w:hAnsi="宋体" w:hint="eastAsia"/>
          <w:szCs w:val="21"/>
        </w:rPr>
        <w:t>简述</w:t>
      </w:r>
      <w:r>
        <w:rPr>
          <w:rFonts w:ascii="Times New Roman" w:hAnsi="Times New Roman"/>
        </w:rPr>
        <w:t>t</w:t>
      </w:r>
      <w:r>
        <w:rPr>
          <w:rFonts w:ascii="Times New Roman" w:hAnsi="宋体" w:hint="eastAsia"/>
        </w:rPr>
        <w:t>分布的特征。</w:t>
      </w:r>
    </w:p>
    <w:p w:rsidR="003717A0" w:rsidRDefault="003717A0">
      <w:pPr>
        <w:adjustRightInd w:val="0"/>
        <w:snapToGrid w:val="0"/>
        <w:spacing w:line="360" w:lineRule="exact"/>
        <w:rPr>
          <w:rFonts w:ascii="Times New Roman" w:hAnsi="Times New Roman"/>
          <w:szCs w:val="21"/>
        </w:rPr>
      </w:pPr>
      <w:r>
        <w:rPr>
          <w:rFonts w:ascii="Times New Roman" w:hAnsi="Times New Roman"/>
          <w:szCs w:val="21"/>
        </w:rPr>
        <w:t xml:space="preserve">3. </w:t>
      </w:r>
      <w:r>
        <w:rPr>
          <w:rFonts w:ascii="Times New Roman" w:hAnsi="宋体" w:hint="eastAsia"/>
          <w:szCs w:val="21"/>
        </w:rPr>
        <w:t>简述相对数的注意事项。</w:t>
      </w:r>
    </w:p>
    <w:p w:rsidR="003717A0" w:rsidRDefault="003717A0">
      <w:pPr>
        <w:adjustRightInd w:val="0"/>
        <w:snapToGrid w:val="0"/>
        <w:spacing w:line="360" w:lineRule="exact"/>
        <w:rPr>
          <w:rFonts w:ascii="Times New Roman" w:hAnsi="Times New Roman"/>
        </w:rPr>
      </w:pPr>
      <w:r>
        <w:rPr>
          <w:rFonts w:ascii="Times New Roman" w:hAnsi="Times New Roman"/>
          <w:szCs w:val="21"/>
        </w:rPr>
        <w:t>4.</w:t>
      </w:r>
      <w:r>
        <w:rPr>
          <w:rFonts w:ascii="Times New Roman" w:hAnsi="Times New Roman"/>
        </w:rPr>
        <w:t xml:space="preserve"> </w:t>
      </w:r>
      <w:r>
        <w:rPr>
          <w:rFonts w:ascii="Times New Roman" w:hAnsi="宋体" w:hint="eastAsia"/>
        </w:rPr>
        <w:t>什么是相关系数？简述其特征。</w:t>
      </w:r>
    </w:p>
    <w:p w:rsidR="003717A0" w:rsidRDefault="003717A0">
      <w:pPr>
        <w:adjustRightInd w:val="0"/>
        <w:snapToGrid w:val="0"/>
        <w:spacing w:line="360" w:lineRule="exact"/>
        <w:rPr>
          <w:rFonts w:ascii="Times New Roman" w:hAnsi="Times New Roman"/>
        </w:rPr>
      </w:pPr>
      <w:r>
        <w:rPr>
          <w:rFonts w:ascii="Times New Roman" w:hAnsi="Times New Roman"/>
        </w:rPr>
        <w:t xml:space="preserve">5. </w:t>
      </w:r>
      <w:r>
        <w:rPr>
          <w:rFonts w:ascii="Times New Roman" w:hAnsi="宋体" w:hint="eastAsia"/>
        </w:rPr>
        <w:t>简述标准差和标准误的关系。</w:t>
      </w:r>
    </w:p>
    <w:p w:rsidR="003717A0" w:rsidRDefault="003717A0">
      <w:pPr>
        <w:adjustRightInd w:val="0"/>
        <w:snapToGrid w:val="0"/>
        <w:spacing w:line="360" w:lineRule="exact"/>
        <w:rPr>
          <w:rFonts w:ascii="Times New Roman" w:hAnsi="Times New Roman"/>
          <w:b/>
        </w:rPr>
      </w:pPr>
      <w:r>
        <w:rPr>
          <w:rFonts w:ascii="Times New Roman" w:hAnsi="宋体" w:hint="eastAsia"/>
          <w:b/>
        </w:rPr>
        <w:t>四、应用分析题（每小题</w:t>
      </w:r>
      <w:r>
        <w:rPr>
          <w:rFonts w:ascii="Times New Roman" w:hAnsi="Times New Roman"/>
          <w:b/>
        </w:rPr>
        <w:t>10</w:t>
      </w:r>
      <w:r>
        <w:rPr>
          <w:rFonts w:ascii="Times New Roman" w:hAnsi="宋体" w:hint="eastAsia"/>
          <w:b/>
        </w:rPr>
        <w:t>分，共</w:t>
      </w:r>
      <w:r>
        <w:rPr>
          <w:rFonts w:ascii="Times New Roman" w:hAnsi="Times New Roman"/>
          <w:b/>
        </w:rPr>
        <w:t>30</w:t>
      </w:r>
      <w:r>
        <w:rPr>
          <w:rFonts w:ascii="Times New Roman" w:hAnsi="宋体" w:hint="eastAsia"/>
          <w:b/>
        </w:rPr>
        <w:t>分）</w:t>
      </w:r>
    </w:p>
    <w:p w:rsidR="003717A0" w:rsidRDefault="003717A0">
      <w:pPr>
        <w:adjustRightInd w:val="0"/>
        <w:snapToGrid w:val="0"/>
        <w:spacing w:line="360" w:lineRule="exact"/>
        <w:rPr>
          <w:rFonts w:ascii="Times New Roman" w:hAnsi="Times New Roman"/>
        </w:rPr>
      </w:pPr>
      <w:r>
        <w:rPr>
          <w:rFonts w:ascii="Times New Roman" w:hAnsi="Times New Roman"/>
        </w:rPr>
        <w:t>1.</w:t>
      </w:r>
      <w:r>
        <w:rPr>
          <w:rFonts w:ascii="Times New Roman" w:hAnsi="Times New Roman"/>
          <w:szCs w:val="21"/>
        </w:rPr>
        <w:t xml:space="preserve"> </w:t>
      </w:r>
      <w:r>
        <w:rPr>
          <w:rFonts w:ascii="Times New Roman" w:hAnsi="宋体" w:hint="eastAsia"/>
        </w:rPr>
        <w:t>治疗</w:t>
      </w:r>
      <w:r>
        <w:rPr>
          <w:rFonts w:ascii="Times New Roman" w:hAnsi="Times New Roman"/>
        </w:rPr>
        <w:t>10</w:t>
      </w:r>
      <w:r>
        <w:rPr>
          <w:rFonts w:ascii="Times New Roman" w:hAnsi="宋体" w:hint="eastAsia"/>
        </w:rPr>
        <w:t>名高血压病人，对每一种病人治疗前、后的舒张压（</w:t>
      </w:r>
      <w:r>
        <w:rPr>
          <w:rFonts w:ascii="Times New Roman" w:hAnsi="Times New Roman"/>
        </w:rPr>
        <w:t>mmHg</w:t>
      </w:r>
      <w:r>
        <w:rPr>
          <w:rFonts w:ascii="Times New Roman" w:hAnsi="宋体" w:hint="eastAsia"/>
        </w:rPr>
        <w:t>）进行了测量，结果见下表，问治疗前后有无差异？</w:t>
      </w:r>
    </w:p>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rPr>
        <w:t>表</w:t>
      </w:r>
      <w:r>
        <w:rPr>
          <w:rFonts w:ascii="Times New Roman" w:hAnsi="Times New Roman"/>
        </w:rPr>
        <w:t xml:space="preserve">  10</w:t>
      </w:r>
      <w:r>
        <w:rPr>
          <w:rFonts w:ascii="Times New Roman" w:hAnsi="宋体" w:hint="eastAsia"/>
        </w:rPr>
        <w:t>名高血压病人治疗前后的舒张压（</w:t>
      </w:r>
      <w:r>
        <w:rPr>
          <w:rFonts w:ascii="Times New Roman" w:hAnsi="Times New Roman"/>
          <w:szCs w:val="21"/>
        </w:rPr>
        <w:t>mmHg</w:t>
      </w:r>
      <w:r>
        <w:rPr>
          <w:rFonts w:ascii="Times New Roman" w:hAnsi="宋体" w:hint="eastAsia"/>
        </w:rPr>
        <w:t>）</w:t>
      </w:r>
    </w:p>
    <w:tbl>
      <w:tblPr>
        <w:tblW w:w="8594" w:type="dxa"/>
        <w:tblBorders>
          <w:top w:val="single" w:sz="8" w:space="0" w:color="auto"/>
          <w:bottom w:val="single" w:sz="8" w:space="0" w:color="auto"/>
        </w:tblBorders>
        <w:tblLayout w:type="fixed"/>
        <w:tblLook w:val="00A0"/>
      </w:tblPr>
      <w:tblGrid>
        <w:gridCol w:w="1327"/>
        <w:gridCol w:w="726"/>
        <w:gridCol w:w="727"/>
        <w:gridCol w:w="727"/>
        <w:gridCol w:w="726"/>
        <w:gridCol w:w="727"/>
        <w:gridCol w:w="727"/>
        <w:gridCol w:w="726"/>
        <w:gridCol w:w="727"/>
        <w:gridCol w:w="727"/>
        <w:gridCol w:w="727"/>
      </w:tblGrid>
      <w:tr w:rsidR="003717A0">
        <w:tc>
          <w:tcPr>
            <w:tcW w:w="13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szCs w:val="21"/>
              </w:rPr>
              <w:t>病例编号</w:t>
            </w:r>
          </w:p>
        </w:tc>
        <w:tc>
          <w:tcPr>
            <w:tcW w:w="726"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2</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3</w:t>
            </w:r>
          </w:p>
        </w:tc>
        <w:tc>
          <w:tcPr>
            <w:tcW w:w="726"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4</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5</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6</w:t>
            </w:r>
          </w:p>
        </w:tc>
        <w:tc>
          <w:tcPr>
            <w:tcW w:w="726"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7</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8</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9</w:t>
            </w:r>
          </w:p>
        </w:tc>
        <w:tc>
          <w:tcPr>
            <w:tcW w:w="727" w:type="dxa"/>
            <w:tcBorders>
              <w:top w:val="single" w:sz="8" w:space="0" w:color="auto"/>
              <w:bottom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w:t>
            </w:r>
          </w:p>
        </w:tc>
      </w:tr>
      <w:tr w:rsidR="003717A0">
        <w:tc>
          <w:tcPr>
            <w:tcW w:w="13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szCs w:val="21"/>
              </w:rPr>
              <w:t>治疗前</w:t>
            </w:r>
          </w:p>
        </w:tc>
        <w:tc>
          <w:tcPr>
            <w:tcW w:w="726"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117</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127</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141</w:t>
            </w:r>
          </w:p>
        </w:tc>
        <w:tc>
          <w:tcPr>
            <w:tcW w:w="726"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107</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110</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114</w:t>
            </w:r>
          </w:p>
        </w:tc>
        <w:tc>
          <w:tcPr>
            <w:tcW w:w="726"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115</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138</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127</w:t>
            </w:r>
          </w:p>
        </w:tc>
        <w:tc>
          <w:tcPr>
            <w:tcW w:w="727" w:type="dxa"/>
            <w:tcBorders>
              <w:top w:val="single" w:sz="4"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122</w:t>
            </w:r>
          </w:p>
        </w:tc>
      </w:tr>
      <w:tr w:rsidR="003717A0">
        <w:tc>
          <w:tcPr>
            <w:tcW w:w="13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szCs w:val="21"/>
              </w:rPr>
              <w:t>治疗后</w:t>
            </w:r>
          </w:p>
        </w:tc>
        <w:tc>
          <w:tcPr>
            <w:tcW w:w="726"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123</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108</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120</w:t>
            </w:r>
          </w:p>
        </w:tc>
        <w:tc>
          <w:tcPr>
            <w:tcW w:w="726"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107</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100</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98</w:t>
            </w:r>
          </w:p>
        </w:tc>
        <w:tc>
          <w:tcPr>
            <w:tcW w:w="726"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102</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152</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104</w:t>
            </w:r>
          </w:p>
        </w:tc>
        <w:tc>
          <w:tcPr>
            <w:tcW w:w="727" w:type="dxa"/>
            <w:tcBorders>
              <w:bottom w:val="single" w:sz="8"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107</w:t>
            </w:r>
          </w:p>
        </w:tc>
      </w:tr>
    </w:tbl>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⑴</w:t>
      </w:r>
      <w:r>
        <w:rPr>
          <w:rFonts w:ascii="Times New Roman" w:hAnsi="宋体" w:hint="eastAsia"/>
        </w:rPr>
        <w:t>该数据类型是什么，采用什么设计</w:t>
      </w:r>
      <w:r>
        <w:rPr>
          <w:rFonts w:ascii="Times New Roman" w:hAnsi="宋体" w:hint="eastAsia"/>
          <w:szCs w:val="21"/>
        </w:rPr>
        <w:t>？</w:t>
      </w:r>
    </w:p>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⑵</w:t>
      </w:r>
      <w:r>
        <w:rPr>
          <w:rFonts w:ascii="Times New Roman" w:hAnsi="宋体" w:hint="eastAsia"/>
        </w:rPr>
        <w:t>建立假设</w:t>
      </w:r>
      <w:r>
        <w:rPr>
          <w:rFonts w:ascii="Times New Roman" w:hAnsi="宋体" w:hint="eastAsia"/>
          <w:szCs w:val="21"/>
        </w:rPr>
        <w:t>。</w:t>
      </w:r>
    </w:p>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⑶</w:t>
      </w:r>
      <w:r>
        <w:rPr>
          <w:rFonts w:ascii="Times New Roman" w:hAnsi="宋体" w:hint="eastAsia"/>
        </w:rPr>
        <w:t>计算分析过程中自由度等于多少？</w:t>
      </w:r>
    </w:p>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⑷</w:t>
      </w:r>
      <w:r>
        <w:rPr>
          <w:rFonts w:ascii="Times New Roman" w:hAnsi="宋体" w:hint="eastAsia"/>
        </w:rPr>
        <w:t>已知检验统计量为</w:t>
      </w:r>
      <w:r>
        <w:rPr>
          <w:rFonts w:ascii="Times New Roman" w:hAnsi="Times New Roman"/>
          <w:szCs w:val="21"/>
        </w:rPr>
        <w:t>2.484</w:t>
      </w:r>
      <w:r>
        <w:rPr>
          <w:rFonts w:ascii="Times New Roman" w:hAnsi="宋体" w:hint="eastAsia"/>
          <w:szCs w:val="21"/>
        </w:rPr>
        <w:t>，</w:t>
      </w:r>
      <w:r>
        <w:rPr>
          <w:rFonts w:ascii="Times New Roman" w:hAnsi="宋体" w:hint="eastAsia"/>
        </w:rPr>
        <w:t>当</w:t>
      </w:r>
      <w:r>
        <w:rPr>
          <w:rFonts w:ascii="Times New Roman" w:hAnsi="Times New Roman"/>
          <w:szCs w:val="21"/>
        </w:rPr>
        <w:t>α</w:t>
      </w:r>
      <w:r>
        <w:rPr>
          <w:rFonts w:ascii="Times New Roman" w:hAnsi="宋体" w:hint="eastAsia"/>
          <w:szCs w:val="21"/>
        </w:rPr>
        <w:t>＝</w:t>
      </w:r>
      <w:r>
        <w:rPr>
          <w:rFonts w:ascii="Times New Roman" w:hAnsi="Times New Roman"/>
          <w:szCs w:val="21"/>
        </w:rPr>
        <w:t>0.05</w:t>
      </w:r>
      <w:r>
        <w:rPr>
          <w:rFonts w:ascii="Times New Roman" w:hAnsi="宋体" w:hint="eastAsia"/>
        </w:rPr>
        <w:t>时的界值为</w:t>
      </w:r>
      <w:r>
        <w:rPr>
          <w:rFonts w:ascii="Times New Roman" w:hAnsi="Times New Roman"/>
          <w:szCs w:val="21"/>
        </w:rPr>
        <w:t>2.262</w:t>
      </w:r>
      <w:r>
        <w:rPr>
          <w:rFonts w:ascii="Times New Roman" w:hAnsi="宋体" w:hint="eastAsia"/>
          <w:szCs w:val="21"/>
        </w:rPr>
        <w:t>，</w:t>
      </w:r>
      <w:r>
        <w:rPr>
          <w:rFonts w:ascii="Times New Roman" w:hAnsi="宋体" w:hint="eastAsia"/>
        </w:rPr>
        <w:t>请确定</w:t>
      </w:r>
      <w:r>
        <w:rPr>
          <w:rFonts w:ascii="Times New Roman" w:hAnsi="Times New Roman"/>
          <w:szCs w:val="21"/>
        </w:rPr>
        <w:t>P</w:t>
      </w:r>
      <w:r>
        <w:rPr>
          <w:rFonts w:ascii="Times New Roman" w:hAnsi="宋体" w:hint="eastAsia"/>
        </w:rPr>
        <w:t>值</w:t>
      </w:r>
      <w:r>
        <w:rPr>
          <w:rFonts w:ascii="Times New Roman" w:hAnsi="宋体" w:hint="eastAsia"/>
          <w:szCs w:val="21"/>
        </w:rPr>
        <w:t>。</w:t>
      </w:r>
    </w:p>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⑸</w:t>
      </w:r>
      <w:r>
        <w:rPr>
          <w:rFonts w:ascii="Times New Roman" w:hAnsi="宋体" w:hint="eastAsia"/>
        </w:rPr>
        <w:t>下结论</w:t>
      </w:r>
      <w:r>
        <w:rPr>
          <w:rFonts w:ascii="Times New Roman" w:hAnsi="宋体" w:hint="eastAsia"/>
          <w:szCs w:val="21"/>
        </w:rPr>
        <w:t>。</w:t>
      </w:r>
    </w:p>
    <w:p w:rsidR="003717A0" w:rsidRDefault="003717A0">
      <w:pPr>
        <w:adjustRightInd w:val="0"/>
        <w:snapToGrid w:val="0"/>
        <w:spacing w:line="360" w:lineRule="exact"/>
        <w:rPr>
          <w:rFonts w:ascii="Times New Roman" w:hAnsi="Times New Roman"/>
        </w:rPr>
      </w:pPr>
      <w:r>
        <w:rPr>
          <w:rFonts w:ascii="Times New Roman" w:hAnsi="Times New Roman"/>
          <w:szCs w:val="21"/>
        </w:rPr>
        <w:t xml:space="preserve">2. </w:t>
      </w:r>
      <w:r>
        <w:rPr>
          <w:rFonts w:ascii="Times New Roman" w:hAnsi="宋体" w:hint="eastAsia"/>
        </w:rPr>
        <w:t>用</w:t>
      </w:r>
      <w:r>
        <w:rPr>
          <w:rFonts w:ascii="Times New Roman" w:hAnsi="Times New Roman"/>
        </w:rPr>
        <w:t>A</w:t>
      </w:r>
      <w:r>
        <w:rPr>
          <w:rFonts w:ascii="Times New Roman" w:hAnsi="宋体" w:hint="eastAsia"/>
        </w:rPr>
        <w:t>、</w:t>
      </w:r>
      <w:r>
        <w:rPr>
          <w:rFonts w:ascii="Times New Roman" w:hAnsi="Times New Roman"/>
        </w:rPr>
        <w:t>B</w:t>
      </w:r>
      <w:r>
        <w:rPr>
          <w:rFonts w:ascii="Times New Roman" w:hAnsi="宋体" w:hint="eastAsia"/>
        </w:rPr>
        <w:t>两种试纸检测</w:t>
      </w:r>
      <w:r>
        <w:rPr>
          <w:rFonts w:ascii="Times New Roman" w:hAnsi="Times New Roman"/>
        </w:rPr>
        <w:t>100</w:t>
      </w:r>
      <w:r>
        <w:rPr>
          <w:rFonts w:ascii="Times New Roman" w:hAnsi="宋体" w:hint="eastAsia"/>
        </w:rPr>
        <w:t>例确诊糖尿病病例，得结果如下：</w:t>
      </w:r>
    </w:p>
    <w:tbl>
      <w:tblPr>
        <w:tblW w:w="6840" w:type="dxa"/>
        <w:tblInd w:w="828" w:type="dxa"/>
        <w:tblBorders>
          <w:top w:val="single" w:sz="4" w:space="0" w:color="auto"/>
          <w:bottom w:val="single" w:sz="4" w:space="0" w:color="auto"/>
          <w:insideH w:val="single" w:sz="4" w:space="0" w:color="auto"/>
        </w:tblBorders>
        <w:tblLayout w:type="fixed"/>
        <w:tblLook w:val="00A0"/>
      </w:tblPr>
      <w:tblGrid>
        <w:gridCol w:w="1620"/>
        <w:gridCol w:w="1856"/>
        <w:gridCol w:w="1744"/>
        <w:gridCol w:w="1620"/>
      </w:tblGrid>
      <w:tr w:rsidR="003717A0">
        <w:trPr>
          <w:cantSplit/>
        </w:trPr>
        <w:tc>
          <w:tcPr>
            <w:tcW w:w="1620" w:type="dxa"/>
            <w:vMerge w:val="restart"/>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A</w:t>
            </w:r>
            <w:r>
              <w:rPr>
                <w:rFonts w:ascii="Times New Roman" w:hAnsi="宋体" w:hint="eastAsia"/>
              </w:rPr>
              <w:t>试纸</w:t>
            </w:r>
          </w:p>
        </w:tc>
        <w:tc>
          <w:tcPr>
            <w:tcW w:w="3600" w:type="dxa"/>
            <w:gridSpan w:val="2"/>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B</w:t>
            </w:r>
            <w:r>
              <w:rPr>
                <w:rFonts w:ascii="Times New Roman" w:hAnsi="宋体" w:hint="eastAsia"/>
              </w:rPr>
              <w:t>试纸</w:t>
            </w:r>
          </w:p>
        </w:tc>
        <w:tc>
          <w:tcPr>
            <w:tcW w:w="1620" w:type="dxa"/>
            <w:vMerge w:val="restart"/>
            <w:vAlign w:val="center"/>
          </w:tcPr>
          <w:p w:rsidR="003717A0" w:rsidRDefault="003717A0">
            <w:pPr>
              <w:adjustRightInd w:val="0"/>
              <w:snapToGrid w:val="0"/>
              <w:spacing w:line="360" w:lineRule="exact"/>
              <w:jc w:val="center"/>
              <w:rPr>
                <w:rFonts w:ascii="Times New Roman" w:hAnsi="Times New Roman"/>
              </w:rPr>
            </w:pPr>
            <w:r>
              <w:rPr>
                <w:rFonts w:ascii="Times New Roman" w:hAnsi="宋体" w:hint="eastAsia"/>
              </w:rPr>
              <w:t>合计</w:t>
            </w:r>
          </w:p>
        </w:tc>
      </w:tr>
      <w:tr w:rsidR="003717A0">
        <w:trPr>
          <w:cantSplit/>
        </w:trPr>
        <w:tc>
          <w:tcPr>
            <w:tcW w:w="1620" w:type="dxa"/>
            <w:vMerge/>
            <w:vAlign w:val="center"/>
          </w:tcPr>
          <w:p w:rsidR="003717A0" w:rsidRDefault="003717A0">
            <w:pPr>
              <w:adjustRightInd w:val="0"/>
              <w:snapToGrid w:val="0"/>
              <w:spacing w:line="360" w:lineRule="exact"/>
              <w:jc w:val="center"/>
              <w:rPr>
                <w:rFonts w:ascii="Times New Roman" w:hAnsi="Times New Roman"/>
              </w:rPr>
            </w:pPr>
          </w:p>
        </w:tc>
        <w:tc>
          <w:tcPr>
            <w:tcW w:w="1856" w:type="dxa"/>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w:t>
            </w:r>
          </w:p>
        </w:tc>
        <w:tc>
          <w:tcPr>
            <w:tcW w:w="1744" w:type="dxa"/>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w:t>
            </w:r>
          </w:p>
        </w:tc>
        <w:tc>
          <w:tcPr>
            <w:tcW w:w="1620" w:type="dxa"/>
            <w:vMerge/>
          </w:tcPr>
          <w:p w:rsidR="003717A0" w:rsidRDefault="003717A0">
            <w:pPr>
              <w:adjustRightInd w:val="0"/>
              <w:snapToGrid w:val="0"/>
              <w:spacing w:line="360" w:lineRule="exact"/>
              <w:jc w:val="center"/>
              <w:rPr>
                <w:rFonts w:ascii="Times New Roman" w:hAnsi="Times New Roman"/>
              </w:rPr>
            </w:pPr>
          </w:p>
        </w:tc>
      </w:tr>
      <w:tr w:rsidR="003717A0">
        <w:tc>
          <w:tcPr>
            <w:tcW w:w="1620" w:type="dxa"/>
            <w:tcBorders>
              <w:bottom w:val="nil"/>
            </w:tcBorders>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w:t>
            </w:r>
          </w:p>
        </w:tc>
        <w:tc>
          <w:tcPr>
            <w:tcW w:w="1856" w:type="dxa"/>
            <w:tcBorders>
              <w:bottom w:val="nil"/>
            </w:tcBorders>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70</w:t>
            </w:r>
          </w:p>
        </w:tc>
        <w:tc>
          <w:tcPr>
            <w:tcW w:w="1744" w:type="dxa"/>
            <w:tcBorders>
              <w:bottom w:val="nil"/>
            </w:tcBorders>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20</w:t>
            </w:r>
          </w:p>
        </w:tc>
        <w:tc>
          <w:tcPr>
            <w:tcW w:w="1620" w:type="dxa"/>
            <w:tcBorders>
              <w:bottom w:val="nil"/>
            </w:tcBorders>
          </w:tcPr>
          <w:p w:rsidR="003717A0" w:rsidRDefault="003717A0">
            <w:pPr>
              <w:adjustRightInd w:val="0"/>
              <w:snapToGrid w:val="0"/>
              <w:spacing w:line="360" w:lineRule="exact"/>
              <w:jc w:val="center"/>
              <w:rPr>
                <w:rFonts w:ascii="Times New Roman" w:hAnsi="Times New Roman"/>
              </w:rPr>
            </w:pPr>
            <w:r>
              <w:rPr>
                <w:rFonts w:ascii="Times New Roman" w:hAnsi="Times New Roman"/>
              </w:rPr>
              <w:t>90</w:t>
            </w:r>
          </w:p>
        </w:tc>
      </w:tr>
      <w:tr w:rsidR="003717A0">
        <w:tc>
          <w:tcPr>
            <w:tcW w:w="1620" w:type="dxa"/>
            <w:tcBorders>
              <w:top w:val="nil"/>
            </w:tcBorders>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w:t>
            </w:r>
          </w:p>
        </w:tc>
        <w:tc>
          <w:tcPr>
            <w:tcW w:w="1856" w:type="dxa"/>
            <w:tcBorders>
              <w:top w:val="nil"/>
            </w:tcBorders>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4</w:t>
            </w:r>
          </w:p>
        </w:tc>
        <w:tc>
          <w:tcPr>
            <w:tcW w:w="1744" w:type="dxa"/>
            <w:tcBorders>
              <w:top w:val="nil"/>
            </w:tcBorders>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6</w:t>
            </w:r>
          </w:p>
        </w:tc>
        <w:tc>
          <w:tcPr>
            <w:tcW w:w="1620" w:type="dxa"/>
            <w:tcBorders>
              <w:top w:val="nil"/>
            </w:tcBorders>
          </w:tcPr>
          <w:p w:rsidR="003717A0" w:rsidRDefault="003717A0">
            <w:pPr>
              <w:adjustRightInd w:val="0"/>
              <w:snapToGrid w:val="0"/>
              <w:spacing w:line="360" w:lineRule="exact"/>
              <w:jc w:val="center"/>
              <w:rPr>
                <w:rFonts w:ascii="Times New Roman" w:hAnsi="Times New Roman"/>
              </w:rPr>
            </w:pPr>
            <w:r>
              <w:rPr>
                <w:rFonts w:ascii="Times New Roman" w:hAnsi="Times New Roman"/>
              </w:rPr>
              <w:t>10</w:t>
            </w:r>
          </w:p>
        </w:tc>
      </w:tr>
      <w:tr w:rsidR="003717A0">
        <w:tc>
          <w:tcPr>
            <w:tcW w:w="1620" w:type="dxa"/>
            <w:vAlign w:val="center"/>
          </w:tcPr>
          <w:p w:rsidR="003717A0" w:rsidRDefault="003717A0">
            <w:pPr>
              <w:adjustRightInd w:val="0"/>
              <w:snapToGrid w:val="0"/>
              <w:spacing w:line="360" w:lineRule="exact"/>
              <w:jc w:val="center"/>
              <w:rPr>
                <w:rFonts w:ascii="Times New Roman" w:hAnsi="Times New Roman"/>
              </w:rPr>
            </w:pPr>
            <w:r>
              <w:rPr>
                <w:rFonts w:ascii="Times New Roman" w:hAnsi="宋体" w:hint="eastAsia"/>
              </w:rPr>
              <w:t>合计</w:t>
            </w:r>
          </w:p>
        </w:tc>
        <w:tc>
          <w:tcPr>
            <w:tcW w:w="1856" w:type="dxa"/>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74</w:t>
            </w:r>
          </w:p>
        </w:tc>
        <w:tc>
          <w:tcPr>
            <w:tcW w:w="1744" w:type="dxa"/>
            <w:vAlign w:val="center"/>
          </w:tcPr>
          <w:p w:rsidR="003717A0" w:rsidRDefault="003717A0">
            <w:pPr>
              <w:adjustRightInd w:val="0"/>
              <w:snapToGrid w:val="0"/>
              <w:spacing w:line="360" w:lineRule="exact"/>
              <w:jc w:val="center"/>
              <w:rPr>
                <w:rFonts w:ascii="Times New Roman" w:hAnsi="Times New Roman"/>
              </w:rPr>
            </w:pPr>
            <w:r>
              <w:rPr>
                <w:rFonts w:ascii="Times New Roman" w:hAnsi="Times New Roman"/>
              </w:rPr>
              <w:t>26</w:t>
            </w:r>
          </w:p>
        </w:tc>
        <w:tc>
          <w:tcPr>
            <w:tcW w:w="1620" w:type="dxa"/>
          </w:tcPr>
          <w:p w:rsidR="003717A0" w:rsidRDefault="003717A0">
            <w:pPr>
              <w:adjustRightInd w:val="0"/>
              <w:snapToGrid w:val="0"/>
              <w:spacing w:line="360" w:lineRule="exact"/>
              <w:jc w:val="center"/>
              <w:rPr>
                <w:rFonts w:ascii="Times New Roman" w:hAnsi="Times New Roman"/>
              </w:rPr>
            </w:pPr>
            <w:r>
              <w:rPr>
                <w:rFonts w:ascii="Times New Roman" w:hAnsi="Times New Roman"/>
              </w:rPr>
              <w:t>100</w:t>
            </w:r>
          </w:p>
        </w:tc>
      </w:tr>
    </w:tbl>
    <w:p w:rsidR="003717A0" w:rsidRDefault="003717A0">
      <w:pPr>
        <w:adjustRightInd w:val="0"/>
        <w:snapToGrid w:val="0"/>
        <w:spacing w:line="360" w:lineRule="exact"/>
        <w:rPr>
          <w:rFonts w:ascii="Times New Roman" w:hAnsi="Times New Roman"/>
        </w:rPr>
      </w:pPr>
      <w:r>
        <w:rPr>
          <w:rFonts w:ascii="Times New Roman" w:hAnsi="宋体" w:hint="eastAsia"/>
        </w:rPr>
        <w:t>⑴问</w:t>
      </w:r>
      <w:r>
        <w:rPr>
          <w:rFonts w:ascii="Times New Roman" w:hAnsi="Times New Roman"/>
        </w:rPr>
        <w:t>A</w:t>
      </w:r>
      <w:r>
        <w:rPr>
          <w:rFonts w:ascii="Times New Roman" w:hAnsi="宋体" w:hint="eastAsia"/>
        </w:rPr>
        <w:t>、</w:t>
      </w:r>
      <w:r>
        <w:rPr>
          <w:rFonts w:ascii="Times New Roman" w:hAnsi="Times New Roman"/>
        </w:rPr>
        <w:t>B</w:t>
      </w:r>
      <w:r>
        <w:rPr>
          <w:rFonts w:ascii="Times New Roman" w:hAnsi="宋体" w:hint="eastAsia"/>
        </w:rPr>
        <w:t>两种试纸阳性率是否不同，应选用什么方法？</w:t>
      </w:r>
      <w:r>
        <w:rPr>
          <w:rFonts w:ascii="Times New Roman" w:hAnsi="Times New Roman"/>
        </w:rPr>
        <w:t xml:space="preserve"> </w:t>
      </w:r>
    </w:p>
    <w:p w:rsidR="003717A0" w:rsidRDefault="003717A0">
      <w:pPr>
        <w:adjustRightInd w:val="0"/>
        <w:snapToGrid w:val="0"/>
        <w:spacing w:line="360" w:lineRule="exact"/>
        <w:rPr>
          <w:rFonts w:ascii="Times New Roman" w:hAnsi="Times New Roman"/>
        </w:rPr>
      </w:pPr>
      <w:r>
        <w:rPr>
          <w:rFonts w:ascii="Times New Roman" w:hAnsi="宋体" w:hint="eastAsia"/>
        </w:rPr>
        <w:t>⑵建立假设</w:t>
      </w:r>
    </w:p>
    <w:p w:rsidR="003717A0" w:rsidRDefault="003717A0">
      <w:pPr>
        <w:adjustRightInd w:val="0"/>
        <w:snapToGrid w:val="0"/>
        <w:spacing w:line="360" w:lineRule="exact"/>
        <w:rPr>
          <w:rFonts w:ascii="Times New Roman" w:hAnsi="Times New Roman"/>
        </w:rPr>
      </w:pPr>
      <w:r>
        <w:rPr>
          <w:rFonts w:ascii="Times New Roman" w:hAnsi="宋体" w:hint="eastAsia"/>
        </w:rPr>
        <w:t>⑶本资料是否需要校正？为什么？</w:t>
      </w:r>
      <w:r>
        <w:rPr>
          <w:rFonts w:ascii="Times New Roman" w:hAnsi="Times New Roman"/>
        </w:rPr>
        <w:t xml:space="preserve"> </w:t>
      </w:r>
    </w:p>
    <w:p w:rsidR="003717A0" w:rsidRDefault="003717A0">
      <w:pPr>
        <w:adjustRightInd w:val="0"/>
        <w:snapToGrid w:val="0"/>
        <w:spacing w:line="360" w:lineRule="exact"/>
        <w:rPr>
          <w:rFonts w:ascii="Times New Roman" w:hAnsi="Times New Roman"/>
        </w:rPr>
      </w:pPr>
      <w:r>
        <w:rPr>
          <w:rFonts w:ascii="Times New Roman" w:hAnsi="宋体" w:hint="eastAsia"/>
        </w:rPr>
        <w:t>⑷其自由度是多少？写出</w:t>
      </w:r>
      <w:r>
        <w:rPr>
          <w:rFonts w:ascii="Times New Roman" w:hAnsi="Times New Roman"/>
        </w:rPr>
        <w:t>α=0.05</w:t>
      </w:r>
      <w:r>
        <w:rPr>
          <w:rFonts w:ascii="Times New Roman" w:hAnsi="宋体" w:hint="eastAsia"/>
        </w:rPr>
        <w:t>时的界值。</w:t>
      </w:r>
    </w:p>
    <w:p w:rsidR="003717A0" w:rsidRDefault="003717A0">
      <w:pPr>
        <w:adjustRightInd w:val="0"/>
        <w:snapToGrid w:val="0"/>
        <w:spacing w:line="360" w:lineRule="exact"/>
        <w:rPr>
          <w:rFonts w:ascii="Times New Roman" w:hAnsi="Times New Roman"/>
        </w:rPr>
      </w:pPr>
      <w:r>
        <w:rPr>
          <w:rFonts w:ascii="Times New Roman" w:hAnsi="宋体" w:hint="eastAsia"/>
        </w:rPr>
        <w:t>⑸已知检验统计量为</w:t>
      </w:r>
      <w:r>
        <w:rPr>
          <w:rFonts w:ascii="Times New Roman" w:hAnsi="Times New Roman"/>
        </w:rPr>
        <w:t>9.375</w:t>
      </w:r>
      <w:r>
        <w:rPr>
          <w:rFonts w:ascii="Times New Roman" w:hAnsi="宋体" w:hint="eastAsia"/>
        </w:rPr>
        <w:t>，请确定</w:t>
      </w:r>
      <w:r>
        <w:rPr>
          <w:rFonts w:ascii="Times New Roman" w:hAnsi="Times New Roman"/>
        </w:rPr>
        <w:t>P</w:t>
      </w:r>
      <w:r>
        <w:rPr>
          <w:rFonts w:ascii="Times New Roman" w:hAnsi="宋体" w:hint="eastAsia"/>
        </w:rPr>
        <w:t>值并下结论。</w:t>
      </w:r>
    </w:p>
    <w:p w:rsidR="003717A0" w:rsidRDefault="003717A0">
      <w:pPr>
        <w:adjustRightInd w:val="0"/>
        <w:snapToGrid w:val="0"/>
        <w:spacing w:line="360" w:lineRule="exact"/>
        <w:rPr>
          <w:rFonts w:ascii="Times New Roman" w:hAnsi="Times New Roman"/>
          <w:szCs w:val="21"/>
        </w:rPr>
      </w:pPr>
      <w:r>
        <w:rPr>
          <w:rFonts w:ascii="Times New Roman" w:hAnsi="Times New Roman"/>
          <w:szCs w:val="21"/>
        </w:rPr>
        <w:t xml:space="preserve">3. </w:t>
      </w:r>
      <w:r>
        <w:rPr>
          <w:rFonts w:ascii="Times New Roman" w:hAnsi="宋体" w:hint="eastAsia"/>
          <w:szCs w:val="21"/>
        </w:rPr>
        <w:t>用二乙胺化学法和气相色谱法测定空气中</w:t>
      </w:r>
      <w:r>
        <w:rPr>
          <w:rFonts w:ascii="Times New Roman" w:hAnsi="Times New Roman"/>
          <w:szCs w:val="21"/>
        </w:rPr>
        <w:t>CS</w:t>
      </w:r>
      <w:r>
        <w:rPr>
          <w:rFonts w:ascii="Times New Roman" w:hAnsi="Times New Roman"/>
          <w:szCs w:val="21"/>
          <w:vertAlign w:val="subscript"/>
        </w:rPr>
        <w:t>2</w:t>
      </w:r>
      <w:r>
        <w:rPr>
          <w:rFonts w:ascii="Times New Roman" w:hAnsi="宋体" w:hint="eastAsia"/>
          <w:szCs w:val="21"/>
        </w:rPr>
        <w:t>的含量（</w:t>
      </w:r>
      <w:r>
        <w:rPr>
          <w:rFonts w:ascii="Times New Roman" w:hAnsi="Times New Roman"/>
          <w:szCs w:val="21"/>
        </w:rPr>
        <w:t>mg/m</w:t>
      </w:r>
      <w:r>
        <w:rPr>
          <w:rFonts w:ascii="Times New Roman" w:hAnsi="Times New Roman"/>
          <w:szCs w:val="21"/>
          <w:vertAlign w:val="superscript"/>
        </w:rPr>
        <w:t>3</w:t>
      </w:r>
      <w:r>
        <w:rPr>
          <w:rFonts w:ascii="Times New Roman" w:hAnsi="宋体" w:hint="eastAsia"/>
          <w:szCs w:val="21"/>
        </w:rPr>
        <w:t>），结果如下。问两法测量结果有无差别？</w:t>
      </w:r>
    </w:p>
    <w:tbl>
      <w:tblPr>
        <w:tblW w:w="7200" w:type="dxa"/>
        <w:jc w:val="center"/>
        <w:tblLayout w:type="fixed"/>
        <w:tblLook w:val="00A0"/>
      </w:tblPr>
      <w:tblGrid>
        <w:gridCol w:w="1518"/>
        <w:gridCol w:w="1518"/>
        <w:gridCol w:w="1388"/>
        <w:gridCol w:w="1388"/>
        <w:gridCol w:w="1388"/>
      </w:tblGrid>
      <w:tr w:rsidR="003717A0">
        <w:trPr>
          <w:jc w:val="center"/>
        </w:trPr>
        <w:tc>
          <w:tcPr>
            <w:tcW w:w="1518" w:type="dxa"/>
            <w:tcBorders>
              <w:top w:val="single" w:sz="12" w:space="0" w:color="auto"/>
              <w:bottom w:val="single" w:sz="12" w:space="0" w:color="auto"/>
            </w:tcBorders>
          </w:tcPr>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szCs w:val="21"/>
              </w:rPr>
              <w:t>样本号</w:t>
            </w:r>
          </w:p>
        </w:tc>
        <w:tc>
          <w:tcPr>
            <w:tcW w:w="1518" w:type="dxa"/>
            <w:tcBorders>
              <w:top w:val="single" w:sz="12" w:space="0" w:color="auto"/>
              <w:bottom w:val="single" w:sz="12"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szCs w:val="21"/>
              </w:rPr>
              <w:t>化学法</w:t>
            </w:r>
          </w:p>
        </w:tc>
        <w:tc>
          <w:tcPr>
            <w:tcW w:w="1388" w:type="dxa"/>
            <w:tcBorders>
              <w:top w:val="single" w:sz="12" w:space="0" w:color="auto"/>
              <w:bottom w:val="single" w:sz="12"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宋体" w:hint="eastAsia"/>
                <w:szCs w:val="21"/>
              </w:rPr>
              <w:t>色谱法</w:t>
            </w:r>
          </w:p>
        </w:tc>
        <w:tc>
          <w:tcPr>
            <w:tcW w:w="1388" w:type="dxa"/>
            <w:tcBorders>
              <w:top w:val="single" w:sz="12" w:space="0" w:color="auto"/>
              <w:bottom w:val="single" w:sz="12" w:space="0" w:color="auto"/>
            </w:tcBorders>
          </w:tcPr>
          <w:p w:rsidR="003717A0" w:rsidRDefault="003717A0">
            <w:pPr>
              <w:adjustRightInd w:val="0"/>
              <w:snapToGrid w:val="0"/>
              <w:spacing w:line="360" w:lineRule="exact"/>
              <w:jc w:val="center"/>
              <w:rPr>
                <w:rFonts w:ascii="Times New Roman" w:hAnsi="Times New Roman"/>
                <w:szCs w:val="21"/>
              </w:rPr>
            </w:pPr>
          </w:p>
        </w:tc>
        <w:tc>
          <w:tcPr>
            <w:tcW w:w="1388" w:type="dxa"/>
            <w:tcBorders>
              <w:top w:val="single" w:sz="12" w:space="0" w:color="auto"/>
              <w:bottom w:val="single" w:sz="12" w:space="0" w:color="auto"/>
            </w:tcBorders>
          </w:tcPr>
          <w:p w:rsidR="003717A0" w:rsidRDefault="003717A0">
            <w:pPr>
              <w:adjustRightInd w:val="0"/>
              <w:snapToGrid w:val="0"/>
              <w:spacing w:line="360" w:lineRule="exact"/>
              <w:jc w:val="center"/>
              <w:rPr>
                <w:rFonts w:ascii="Times New Roman" w:hAnsi="Times New Roman"/>
                <w:szCs w:val="21"/>
              </w:rPr>
            </w:pPr>
          </w:p>
        </w:tc>
      </w:tr>
      <w:tr w:rsidR="003717A0">
        <w:trPr>
          <w:jc w:val="center"/>
        </w:trPr>
        <w:tc>
          <w:tcPr>
            <w:tcW w:w="1518" w:type="dxa"/>
            <w:tcBorders>
              <w:top w:val="single" w:sz="12" w:space="0" w:color="auto"/>
            </w:tcBorders>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w:t>
            </w:r>
          </w:p>
        </w:tc>
        <w:tc>
          <w:tcPr>
            <w:tcW w:w="1518" w:type="dxa"/>
            <w:tcBorders>
              <w:top w:val="single" w:sz="12"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50.7</w:t>
            </w:r>
          </w:p>
        </w:tc>
        <w:tc>
          <w:tcPr>
            <w:tcW w:w="1388" w:type="dxa"/>
            <w:tcBorders>
              <w:top w:val="single" w:sz="12"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60.0</w:t>
            </w:r>
          </w:p>
        </w:tc>
        <w:tc>
          <w:tcPr>
            <w:tcW w:w="1388" w:type="dxa"/>
            <w:tcBorders>
              <w:top w:val="single" w:sz="12" w:space="0" w:color="auto"/>
            </w:tcBorders>
          </w:tcPr>
          <w:p w:rsidR="003717A0" w:rsidRDefault="003717A0">
            <w:pPr>
              <w:adjustRightInd w:val="0"/>
              <w:snapToGrid w:val="0"/>
              <w:spacing w:line="360" w:lineRule="exact"/>
              <w:jc w:val="center"/>
              <w:rPr>
                <w:rFonts w:ascii="Times New Roman" w:hAnsi="Times New Roman"/>
                <w:szCs w:val="21"/>
              </w:rPr>
            </w:pPr>
          </w:p>
        </w:tc>
        <w:tc>
          <w:tcPr>
            <w:tcW w:w="1388" w:type="dxa"/>
            <w:tcBorders>
              <w:top w:val="single" w:sz="12" w:space="0" w:color="auto"/>
            </w:tcBorders>
          </w:tcPr>
          <w:p w:rsidR="003717A0" w:rsidRDefault="003717A0">
            <w:pPr>
              <w:adjustRightInd w:val="0"/>
              <w:snapToGrid w:val="0"/>
              <w:spacing w:line="360" w:lineRule="exact"/>
              <w:jc w:val="center"/>
              <w:rPr>
                <w:rFonts w:ascii="Times New Roman" w:hAnsi="Times New Roman"/>
                <w:szCs w:val="21"/>
              </w:rPr>
            </w:pPr>
          </w:p>
        </w:tc>
      </w:tr>
      <w:tr w:rsidR="003717A0">
        <w:trPr>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2</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3.3</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3.3</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3</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28.8</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30.0</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4</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46.2</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43.2</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5</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1.2</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2.2</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trHeight w:val="80"/>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6</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25.5</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27.5</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trHeight w:val="80"/>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7</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2.9</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4.9</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trHeight w:val="80"/>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lastRenderedPageBreak/>
              <w:t>8</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5.4</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5.4</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trHeight w:val="80"/>
          <w:jc w:val="center"/>
        </w:trPr>
        <w:tc>
          <w:tcPr>
            <w:tcW w:w="1518" w:type="dxa"/>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9</w:t>
            </w:r>
          </w:p>
        </w:tc>
        <w:tc>
          <w:tcPr>
            <w:tcW w:w="151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3.8</w:t>
            </w:r>
          </w:p>
        </w:tc>
        <w:tc>
          <w:tcPr>
            <w:tcW w:w="1388" w:type="dxa"/>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3.2</w:t>
            </w:r>
          </w:p>
        </w:tc>
        <w:tc>
          <w:tcPr>
            <w:tcW w:w="1388" w:type="dxa"/>
          </w:tcPr>
          <w:p w:rsidR="003717A0" w:rsidRDefault="003717A0">
            <w:pPr>
              <w:adjustRightInd w:val="0"/>
              <w:snapToGrid w:val="0"/>
              <w:spacing w:line="360" w:lineRule="exact"/>
              <w:jc w:val="center"/>
              <w:rPr>
                <w:rFonts w:ascii="Times New Roman" w:hAnsi="Times New Roman"/>
                <w:szCs w:val="21"/>
              </w:rPr>
            </w:pPr>
          </w:p>
        </w:tc>
        <w:tc>
          <w:tcPr>
            <w:tcW w:w="1388" w:type="dxa"/>
          </w:tcPr>
          <w:p w:rsidR="003717A0" w:rsidRDefault="003717A0">
            <w:pPr>
              <w:adjustRightInd w:val="0"/>
              <w:snapToGrid w:val="0"/>
              <w:spacing w:line="360" w:lineRule="exact"/>
              <w:jc w:val="center"/>
              <w:rPr>
                <w:rFonts w:ascii="Times New Roman" w:hAnsi="Times New Roman"/>
                <w:szCs w:val="21"/>
              </w:rPr>
            </w:pPr>
          </w:p>
        </w:tc>
      </w:tr>
      <w:tr w:rsidR="003717A0">
        <w:trPr>
          <w:trHeight w:val="80"/>
          <w:jc w:val="center"/>
        </w:trPr>
        <w:tc>
          <w:tcPr>
            <w:tcW w:w="1518" w:type="dxa"/>
            <w:tcBorders>
              <w:bottom w:val="single" w:sz="12" w:space="0" w:color="auto"/>
            </w:tcBorders>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10</w:t>
            </w:r>
          </w:p>
        </w:tc>
        <w:tc>
          <w:tcPr>
            <w:tcW w:w="1518" w:type="dxa"/>
            <w:tcBorders>
              <w:bottom w:val="single" w:sz="12"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1.0</w:t>
            </w:r>
          </w:p>
        </w:tc>
        <w:tc>
          <w:tcPr>
            <w:tcW w:w="1388" w:type="dxa"/>
            <w:tcBorders>
              <w:bottom w:val="single" w:sz="12" w:space="0" w:color="auto"/>
            </w:tcBorders>
            <w:vAlign w:val="center"/>
          </w:tcPr>
          <w:p w:rsidR="003717A0" w:rsidRDefault="003717A0">
            <w:pPr>
              <w:adjustRightInd w:val="0"/>
              <w:snapToGrid w:val="0"/>
              <w:spacing w:line="360" w:lineRule="exact"/>
              <w:jc w:val="center"/>
              <w:rPr>
                <w:rFonts w:ascii="Times New Roman" w:hAnsi="Times New Roman"/>
                <w:szCs w:val="21"/>
              </w:rPr>
            </w:pPr>
            <w:r>
              <w:rPr>
                <w:rFonts w:ascii="Times New Roman" w:hAnsi="Times New Roman"/>
                <w:szCs w:val="21"/>
              </w:rPr>
              <w:t xml:space="preserve"> 4.0</w:t>
            </w:r>
          </w:p>
        </w:tc>
        <w:tc>
          <w:tcPr>
            <w:tcW w:w="1388" w:type="dxa"/>
            <w:tcBorders>
              <w:bottom w:val="single" w:sz="12" w:space="0" w:color="auto"/>
            </w:tcBorders>
          </w:tcPr>
          <w:p w:rsidR="003717A0" w:rsidRDefault="003717A0">
            <w:pPr>
              <w:adjustRightInd w:val="0"/>
              <w:snapToGrid w:val="0"/>
              <w:spacing w:line="360" w:lineRule="exact"/>
              <w:jc w:val="center"/>
              <w:rPr>
                <w:rFonts w:ascii="Times New Roman" w:hAnsi="Times New Roman"/>
                <w:szCs w:val="21"/>
              </w:rPr>
            </w:pPr>
          </w:p>
        </w:tc>
        <w:tc>
          <w:tcPr>
            <w:tcW w:w="1388" w:type="dxa"/>
            <w:tcBorders>
              <w:bottom w:val="single" w:sz="12" w:space="0" w:color="auto"/>
            </w:tcBorders>
          </w:tcPr>
          <w:p w:rsidR="003717A0" w:rsidRDefault="003717A0">
            <w:pPr>
              <w:adjustRightInd w:val="0"/>
              <w:snapToGrid w:val="0"/>
              <w:spacing w:line="360" w:lineRule="exact"/>
              <w:jc w:val="center"/>
              <w:rPr>
                <w:rFonts w:ascii="Times New Roman" w:hAnsi="Times New Roman"/>
                <w:szCs w:val="21"/>
              </w:rPr>
            </w:pPr>
          </w:p>
        </w:tc>
      </w:tr>
    </w:tbl>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⑴该资料来自于什么试验设计？</w:t>
      </w:r>
    </w:p>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⑵对该资料进行编秩，以便进行统计分析（在表格中完成）。</w:t>
      </w:r>
    </w:p>
    <w:p w:rsidR="003717A0" w:rsidRDefault="003717A0">
      <w:pPr>
        <w:adjustRightInd w:val="0"/>
        <w:snapToGrid w:val="0"/>
        <w:spacing w:line="360" w:lineRule="exact"/>
        <w:rPr>
          <w:rFonts w:ascii="Times New Roman" w:hAnsi="Times New Roman"/>
          <w:szCs w:val="21"/>
        </w:rPr>
      </w:pPr>
      <w:r>
        <w:rPr>
          <w:rFonts w:ascii="Times New Roman" w:hAnsi="宋体" w:hint="eastAsia"/>
          <w:szCs w:val="21"/>
        </w:rPr>
        <w:t>⑶请写出对两法测量结果有无差异之假设检验的假设。</w:t>
      </w:r>
    </w:p>
    <w:p w:rsidR="003717A0" w:rsidRDefault="003717A0">
      <w:pPr>
        <w:adjustRightInd w:val="0"/>
        <w:snapToGrid w:val="0"/>
        <w:spacing w:line="360" w:lineRule="exact"/>
        <w:rPr>
          <w:rFonts w:ascii="Times New Roman" w:hAnsi="Times New Roman"/>
          <w:szCs w:val="21"/>
        </w:rPr>
      </w:pPr>
      <w:r>
        <w:rPr>
          <w:rFonts w:ascii="宋体" w:hint="eastAsia"/>
          <w:szCs w:val="21"/>
        </w:rPr>
        <w:t>⑷</w:t>
      </w:r>
      <w:r>
        <w:rPr>
          <w:rFonts w:ascii="Times New Roman" w:hAnsi="宋体" w:hint="eastAsia"/>
          <w:szCs w:val="21"/>
        </w:rPr>
        <w:t>已知</w:t>
      </w:r>
      <w:r>
        <w:rPr>
          <w:rFonts w:ascii="Times New Roman" w:hAnsi="Times New Roman"/>
          <w:szCs w:val="21"/>
        </w:rPr>
        <w:t>n=8</w:t>
      </w:r>
      <w:r>
        <w:rPr>
          <w:rFonts w:ascii="Times New Roman" w:hAnsi="宋体" w:hint="eastAsia"/>
          <w:szCs w:val="21"/>
        </w:rPr>
        <w:t>时，双侧</w:t>
      </w:r>
      <w:r>
        <w:rPr>
          <w:rFonts w:ascii="Times New Roman" w:hAnsi="Times New Roman"/>
          <w:szCs w:val="21"/>
        </w:rPr>
        <w:t>0.05</w:t>
      </w:r>
      <w:r>
        <w:rPr>
          <w:rFonts w:ascii="Times New Roman" w:hAnsi="宋体" w:hint="eastAsia"/>
          <w:szCs w:val="21"/>
        </w:rPr>
        <w:t>对应的</w:t>
      </w:r>
      <w:r>
        <w:rPr>
          <w:rFonts w:ascii="Times New Roman" w:hAnsi="Times New Roman"/>
          <w:szCs w:val="21"/>
        </w:rPr>
        <w:t>T</w:t>
      </w:r>
      <w:r>
        <w:rPr>
          <w:rFonts w:ascii="Times New Roman" w:hAnsi="宋体" w:hint="eastAsia"/>
          <w:szCs w:val="21"/>
        </w:rPr>
        <w:t>界值为</w:t>
      </w:r>
      <w:r>
        <w:rPr>
          <w:rFonts w:ascii="Times New Roman" w:hAnsi="Times New Roman"/>
          <w:szCs w:val="21"/>
        </w:rPr>
        <w:t>3-33</w:t>
      </w:r>
      <w:r>
        <w:rPr>
          <w:rFonts w:ascii="Times New Roman" w:hAnsi="宋体" w:hint="eastAsia"/>
          <w:szCs w:val="21"/>
        </w:rPr>
        <w:t>。请写出假设检验的结论。</w:t>
      </w:r>
    </w:p>
    <w:p w:rsidR="003717A0" w:rsidRDefault="003717A0">
      <w:pPr>
        <w:widowControl/>
        <w:jc w:val="left"/>
        <w:rPr>
          <w:rFonts w:ascii="Times New Roman" w:hAnsi="Times New Roman"/>
          <w:b/>
          <w:kern w:val="0"/>
          <w:sz w:val="22"/>
        </w:rPr>
      </w:pPr>
    </w:p>
    <w:p w:rsidR="003717A0" w:rsidRPr="00F5156D" w:rsidRDefault="003717A0" w:rsidP="00F5156D">
      <w:pPr>
        <w:widowControl/>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15" w:firstLine="473"/>
              <w:jc w:val="left"/>
              <w:rPr>
                <w:rFonts w:ascii="Times New Roman" w:hAnsi="宋体"/>
                <w:kern w:val="0"/>
                <w:sz w:val="22"/>
              </w:rPr>
            </w:pPr>
            <w:r>
              <w:rPr>
                <w:rFonts w:ascii="Times New Roman" w:hAnsi="宋体" w:hint="eastAsia"/>
                <w:kern w:val="0"/>
                <w:sz w:val="22"/>
              </w:rPr>
              <w:t>本课程教学中注重医学统计思维的培养，始终贯穿“医学实际问题</w:t>
            </w:r>
            <w:r>
              <w:rPr>
                <w:rFonts w:ascii="Times New Roman" w:hAnsi="Times New Roman"/>
                <w:kern w:val="0"/>
                <w:sz w:val="22"/>
              </w:rPr>
              <w:sym w:font="Symbol" w:char="F0BE"/>
            </w:r>
            <w:r>
              <w:rPr>
                <w:rFonts w:ascii="Times New Roman" w:hAnsi="宋体" w:hint="eastAsia"/>
                <w:kern w:val="0"/>
                <w:sz w:val="22"/>
              </w:rPr>
              <w:t>研究指标</w:t>
            </w:r>
            <w:r>
              <w:rPr>
                <w:rFonts w:ascii="Times New Roman" w:hAnsi="Times New Roman"/>
                <w:kern w:val="0"/>
                <w:sz w:val="22"/>
              </w:rPr>
              <w:sym w:font="Symbol" w:char="F0BE"/>
            </w:r>
            <w:r>
              <w:rPr>
                <w:rFonts w:ascii="Times New Roman" w:hAnsi="宋体" w:hint="eastAsia"/>
                <w:kern w:val="0"/>
                <w:sz w:val="22"/>
              </w:rPr>
              <w:t>变异和分布</w:t>
            </w:r>
            <w:r>
              <w:rPr>
                <w:rFonts w:ascii="Times New Roman" w:hAnsi="Times New Roman"/>
                <w:kern w:val="0"/>
                <w:sz w:val="22"/>
              </w:rPr>
              <w:sym w:font="Symbol" w:char="F0BE"/>
            </w:r>
            <w:r>
              <w:rPr>
                <w:rFonts w:ascii="Times New Roman" w:hAnsi="宋体" w:hint="eastAsia"/>
                <w:kern w:val="0"/>
                <w:sz w:val="22"/>
              </w:rPr>
              <w:t>抽样误差</w:t>
            </w:r>
            <w:r>
              <w:rPr>
                <w:rFonts w:ascii="Times New Roman" w:hAnsi="Times New Roman"/>
                <w:kern w:val="0"/>
                <w:sz w:val="22"/>
              </w:rPr>
              <w:sym w:font="Symbol" w:char="F0BE"/>
            </w:r>
            <w:r>
              <w:rPr>
                <w:rFonts w:ascii="Times New Roman" w:hAnsi="宋体" w:hint="eastAsia"/>
                <w:kern w:val="0"/>
                <w:sz w:val="22"/>
              </w:rPr>
              <w:t>统计推断</w:t>
            </w:r>
            <w:r>
              <w:rPr>
                <w:rFonts w:ascii="Times New Roman" w:hAnsi="Times New Roman"/>
                <w:kern w:val="0"/>
                <w:sz w:val="22"/>
              </w:rPr>
              <w:sym w:font="Symbol" w:char="F0BE"/>
            </w:r>
            <w:r>
              <w:rPr>
                <w:rFonts w:ascii="Times New Roman" w:hAnsi="宋体" w:hint="eastAsia"/>
                <w:kern w:val="0"/>
                <w:sz w:val="22"/>
              </w:rPr>
              <w:t>对医学实际问题的解释”这一主线，注重医学统计学的基本概念、基本思想、医学统计方法的应用、研究设计技巧的讲解及结果的解释。本课程在培养学生深入理解统计学基本理论和方法的基础上，着力提高其联系实际解决和分析问题的能力，为学生今后从事临床和临床基础研究工作打下基础。</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掌握本课程教学大纲内容，严格按照教学大纲要求进行本课程教学内容的组织；</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结合课程特点，制作课件，运用多媒体教学手段讲授部分教学内容；</w:t>
            </w:r>
            <w:r>
              <w:rPr>
                <w:rFonts w:ascii="Times New Roman" w:hAnsi="宋体"/>
                <w:kern w:val="0"/>
                <w:sz w:val="22"/>
              </w:rPr>
              <w:t xml:space="preserve"> </w:t>
            </w:r>
          </w:p>
          <w:p w:rsidR="003717A0" w:rsidRDefault="003717A0">
            <w:pPr>
              <w:autoSpaceDE w:val="0"/>
              <w:autoSpaceDN w:val="0"/>
              <w:adjustRightInd w:val="0"/>
              <w:snapToGrid w:val="0"/>
              <w:spacing w:line="360" w:lineRule="exact"/>
              <w:jc w:val="left"/>
            </w:pPr>
            <w:r>
              <w:rPr>
                <w:rFonts w:ascii="Times New Roman" w:hAnsi="宋体"/>
                <w:kern w:val="0"/>
                <w:sz w:val="22"/>
              </w:rPr>
              <w:t xml:space="preserve">4. </w:t>
            </w:r>
            <w:r>
              <w:rPr>
                <w:rFonts w:ascii="Times New Roman" w:hAnsi="宋体" w:hint="eastAsia"/>
                <w:kern w:val="0"/>
                <w:sz w:val="22"/>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要点准确，推理正确，条理清晰，重点突出，理论联系实际，熟练地解答和讲解例题。</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多媒体教学手段、</w:t>
            </w:r>
            <w:r>
              <w:rPr>
                <w:rFonts w:hint="eastAsia"/>
              </w:rPr>
              <w:t>实例讨论和学生自己动手练习</w:t>
            </w:r>
            <w:r>
              <w:rPr>
                <w:rFonts w:ascii="Times New Roman" w:hAnsi="宋体" w:hint="eastAsia"/>
                <w:kern w:val="0"/>
                <w:sz w:val="22"/>
              </w:rPr>
              <w:t>相结合，培养学生在深入理解统计学基本理论和方法的基础上，提高联系实际解决和分析问题的能力。</w:t>
            </w:r>
          </w:p>
          <w:p w:rsidR="003717A0" w:rsidRDefault="003717A0">
            <w:pPr>
              <w:autoSpaceDE w:val="0"/>
              <w:autoSpaceDN w:val="0"/>
              <w:adjustRightInd w:val="0"/>
              <w:snapToGrid w:val="0"/>
              <w:spacing w:line="360" w:lineRule="exact"/>
              <w:jc w:val="left"/>
            </w:pPr>
            <w:r>
              <w:rPr>
                <w:rFonts w:ascii="Times New Roman" w:hAnsi="宋体"/>
                <w:kern w:val="0"/>
                <w:sz w:val="22"/>
              </w:rPr>
              <w:t xml:space="preserve">4. </w:t>
            </w:r>
            <w:r>
              <w:rPr>
                <w:rFonts w:ascii="Times New Roman" w:hAnsi="宋体" w:hint="eastAsia"/>
                <w:kern w:val="0"/>
                <w:sz w:val="22"/>
              </w:rPr>
              <w:t>表达方式尽量便于学生理解、接受，力求形象生动，使学生在掌握知识的过程中，保持较为浓厚的兴趣。</w:t>
            </w:r>
            <w:r>
              <w:rPr>
                <w:rFonts w:ascii="Times New Roman" w:hAnsi="宋体"/>
                <w:kern w:val="0"/>
                <w:sz w:val="22"/>
              </w:rPr>
              <w:t xml:space="preserve"> </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学生必须完成一定数量的作业题，是本课程教学的基本要求，是实现人才培养目标的必要手段。本课程作业布置的要求：每种统计分析方法讲解完布置一次作业。</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学生完成的作业必须达到以下基本要求：</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作业本规范。书写清晰，制证、登账、编表按规定和规范处理；</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解题方法和步骤正确。</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教师批改或讲评作业的数量和次数要求如下：</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学生的作业要全批全改，并按时批改、讲评学生每次交来的作业；</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教师批改或讲评作业要认真、细致，进行打分；</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为直接了解学生的学习情况，帮助学生进一步理解和消化课堂上所学知识、改进学习方法和思维方式，培养其独立思考问题的能力，建议任课教师安排时间进行课外答疑与辅导工作。</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本课程为学期课程，成绩考核的方式：考试。考试时实行相同课时统考，即统一命题，统一考试，统一阅卷。考试学期总评成绩的评定方法如下：</w:t>
            </w:r>
          </w:p>
          <w:p w:rsidR="003717A0" w:rsidRDefault="003717A0">
            <w:pPr>
              <w:autoSpaceDE w:val="0"/>
              <w:autoSpaceDN w:val="0"/>
              <w:adjustRightInd w:val="0"/>
              <w:snapToGrid w:val="0"/>
              <w:spacing w:line="360" w:lineRule="exact"/>
              <w:ind w:firstLineChars="16" w:firstLine="35"/>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平时成绩（考勤、课堂表现和平时作业）占总评成绩的</w:t>
            </w:r>
            <w:r>
              <w:rPr>
                <w:rFonts w:ascii="Times New Roman" w:hAnsi="宋体"/>
                <w:kern w:val="0"/>
                <w:sz w:val="22"/>
              </w:rPr>
              <w:t>30%</w:t>
            </w:r>
            <w:r>
              <w:rPr>
                <w:rFonts w:ascii="Times New Roman" w:hAnsi="宋体" w:hint="eastAsia"/>
                <w:kern w:val="0"/>
                <w:sz w:val="22"/>
              </w:rPr>
              <w:t>；</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期末考试成绩占总评成绩的</w:t>
            </w:r>
            <w:r>
              <w:rPr>
                <w:rFonts w:ascii="Times New Roman" w:hAnsi="宋体"/>
                <w:kern w:val="0"/>
                <w:sz w:val="22"/>
              </w:rPr>
              <w:t>70%</w:t>
            </w:r>
            <w:r>
              <w:rPr>
                <w:rFonts w:ascii="Times New Roman" w:hAnsi="宋体" w:hint="eastAsia"/>
                <w:kern w:val="0"/>
                <w:sz w:val="22"/>
              </w:rPr>
              <w:t>；</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有下列情况之一者，总评成绩为不及格：</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1</w:t>
            </w:r>
            <w:r>
              <w:rPr>
                <w:rFonts w:ascii="Times New Roman" w:hAnsi="宋体" w:hint="eastAsia"/>
                <w:kern w:val="0"/>
                <w:sz w:val="22"/>
              </w:rPr>
              <w:t>）缺交作业次数达</w:t>
            </w:r>
            <w:r>
              <w:rPr>
                <w:rFonts w:ascii="Times New Roman" w:hAnsi="宋体"/>
                <w:kern w:val="0"/>
                <w:sz w:val="22"/>
              </w:rPr>
              <w:t>1/3</w:t>
            </w:r>
            <w:r>
              <w:rPr>
                <w:rFonts w:ascii="Times New Roman" w:hAnsi="宋体" w:hint="eastAsia"/>
                <w:kern w:val="0"/>
                <w:sz w:val="22"/>
              </w:rPr>
              <w:t>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w:t>
            </w:r>
            <w:r>
              <w:rPr>
                <w:rFonts w:ascii="Times New Roman" w:hAnsi="宋体"/>
                <w:kern w:val="0"/>
                <w:sz w:val="22"/>
              </w:rPr>
              <w:t>2</w:t>
            </w:r>
            <w:r>
              <w:rPr>
                <w:rFonts w:ascii="Times New Roman" w:hAnsi="宋体" w:hint="eastAsia"/>
                <w:kern w:val="0"/>
                <w:sz w:val="22"/>
              </w:rPr>
              <w:t>）缺课次数达本学期总授课学时的</w:t>
            </w:r>
            <w:r>
              <w:rPr>
                <w:rFonts w:ascii="Times New Roman" w:hAnsi="宋体"/>
                <w:kern w:val="0"/>
                <w:sz w:val="22"/>
              </w:rPr>
              <w:t>1/3</w:t>
            </w:r>
            <w:r>
              <w:rPr>
                <w:rFonts w:ascii="Times New Roman" w:hAnsi="宋体" w:hint="eastAsia"/>
                <w:kern w:val="0"/>
                <w:sz w:val="22"/>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ind w:firstLineChars="200" w:firstLine="440"/>
              <w:jc w:val="left"/>
              <w:rPr>
                <w:rFonts w:ascii="Times New Roman" w:hAnsi="宋体"/>
                <w:kern w:val="0"/>
                <w:sz w:val="22"/>
              </w:rPr>
            </w:pPr>
            <w:r>
              <w:rPr>
                <w:rFonts w:ascii="Times New Roman" w:hAnsi="宋体" w:hint="eastAsia"/>
                <w:kern w:val="0"/>
                <w:sz w:val="22"/>
              </w:rPr>
              <w:t>为了培养学生综合运用所学知识解决实际问题的能力和创新精神，教研室可选择部分有意愿的同学参与到实际科研课题中来，了解一个真正的医学研究的完成过程。引导学生理论联系实际，将医学统计学的理论知识应用到实际问题中来，培养其实际解决问题的能力。</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60" w:name="_Toc469312992"/>
      <w:bookmarkStart w:id="61" w:name="_Toc471830704"/>
      <w:r w:rsidRPr="00F5156D">
        <w:rPr>
          <w:rFonts w:hint="eastAsia"/>
          <w:b/>
        </w:rPr>
        <w:lastRenderedPageBreak/>
        <w:t>《医学影像学》课程质量标准</w:t>
      </w:r>
      <w:bookmarkEnd w:id="60"/>
      <w:bookmarkEnd w:id="61"/>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医学影像学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Medical  Imageology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170261</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三</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影像教研室</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医学影像学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人民卫生出版社，</w:t>
            </w:r>
            <w:r>
              <w:rPr>
                <w:sz w:val="22"/>
              </w:rPr>
              <w:t>2014</w:t>
            </w:r>
            <w:r>
              <w:rPr>
                <w:rFonts w:hint="eastAsia"/>
                <w:sz w:val="22"/>
              </w:rPr>
              <w:t>年</w:t>
            </w:r>
            <w:r>
              <w:rPr>
                <w:sz w:val="22"/>
              </w:rPr>
              <w:t>5</w:t>
            </w:r>
            <w:r>
              <w:rPr>
                <w:rFonts w:hint="eastAsia"/>
                <w:sz w:val="22"/>
              </w:rPr>
              <w:t>月第</w:t>
            </w:r>
            <w:r>
              <w:rPr>
                <w:sz w:val="22"/>
              </w:rPr>
              <w:t>7</w:t>
            </w:r>
            <w:r>
              <w:rPr>
                <w:rFonts w:hint="eastAsia"/>
                <w:sz w:val="22"/>
              </w:rPr>
              <w:t>版，书号：</w:t>
            </w:r>
            <w:r>
              <w:rPr>
                <w:sz w:val="22"/>
              </w:rPr>
              <w:t>ISBN 978-7-117-17202-8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吴献华</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本科</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1986.8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顾红梅</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硕士研究生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1993.8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曹和涛</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本科</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1987.8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王鸿帼</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本科生</w:t>
            </w:r>
          </w:p>
        </w:tc>
        <w:tc>
          <w:tcPr>
            <w:tcW w:w="1523" w:type="dxa"/>
            <w:gridSpan w:val="3"/>
          </w:tcPr>
          <w:p w:rsidR="003717A0" w:rsidRDefault="003717A0">
            <w:pPr>
              <w:adjustRightInd w:val="0"/>
              <w:snapToGrid w:val="0"/>
              <w:spacing w:line="500" w:lineRule="exact"/>
              <w:jc w:val="center"/>
              <w:rPr>
                <w:sz w:val="22"/>
              </w:rPr>
            </w:pPr>
            <w:r>
              <w:rPr>
                <w:rFonts w:hint="eastAsia"/>
                <w:sz w:val="22"/>
              </w:rPr>
              <w:t>学</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1985.8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陆蓉</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本科</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副教授</w:t>
            </w:r>
          </w:p>
        </w:tc>
        <w:tc>
          <w:tcPr>
            <w:tcW w:w="1524" w:type="dxa"/>
          </w:tcPr>
          <w:p w:rsidR="003717A0" w:rsidRDefault="003717A0">
            <w:pPr>
              <w:adjustRightInd w:val="0"/>
              <w:snapToGrid w:val="0"/>
              <w:spacing w:line="500" w:lineRule="exact"/>
              <w:jc w:val="center"/>
              <w:rPr>
                <w:sz w:val="22"/>
              </w:rPr>
            </w:pPr>
            <w:r>
              <w:rPr>
                <w:sz w:val="22"/>
              </w:rPr>
              <w:t>1993.8</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widowControl/>
              <w:spacing w:before="150" w:line="360" w:lineRule="atLeast"/>
              <w:ind w:firstLineChars="200" w:firstLine="420"/>
              <w:jc w:val="left"/>
              <w:rPr>
                <w:rFonts w:ascii="???" w:hAnsi="???" w:cs="宋体"/>
                <w:kern w:val="0"/>
                <w:szCs w:val="21"/>
              </w:rPr>
            </w:pPr>
            <w:r>
              <w:rPr>
                <w:rFonts w:ascii="???" w:hAnsi="???" w:cs="宋体" w:hint="eastAsia"/>
                <w:kern w:val="0"/>
                <w:szCs w:val="21"/>
              </w:rPr>
              <w:t>医学影像学是利用各种检查技术来显示人体解剖和病理表现，并用于疾病诊断、治疗的一门课程，由放射影像学和超声影像学两个部分构成。课程开始于</w:t>
            </w:r>
            <w:r>
              <w:rPr>
                <w:rFonts w:ascii="???" w:hAnsi="???" w:cs="宋体"/>
                <w:kern w:val="0"/>
                <w:szCs w:val="21"/>
              </w:rPr>
              <w:t>1956</w:t>
            </w:r>
            <w:r>
              <w:rPr>
                <w:rFonts w:ascii="???" w:hAnsi="???" w:cs="宋体" w:hint="eastAsia"/>
                <w:kern w:val="0"/>
                <w:szCs w:val="21"/>
              </w:rPr>
              <w:t>年至今已有</w:t>
            </w:r>
            <w:r>
              <w:rPr>
                <w:rFonts w:ascii="???" w:hAnsi="???" w:cs="宋体"/>
                <w:kern w:val="0"/>
                <w:szCs w:val="21"/>
              </w:rPr>
              <w:t>54</w:t>
            </w:r>
            <w:r>
              <w:rPr>
                <w:rFonts w:ascii="???" w:hAnsi="???" w:cs="宋体" w:hint="eastAsia"/>
                <w:kern w:val="0"/>
                <w:szCs w:val="21"/>
              </w:rPr>
              <w:t>年的历史。</w:t>
            </w:r>
            <w:r>
              <w:rPr>
                <w:rFonts w:ascii="???" w:hAnsi="???" w:cs="宋体"/>
                <w:kern w:val="0"/>
                <w:szCs w:val="21"/>
              </w:rPr>
              <w:t xml:space="preserve"> </w:t>
            </w:r>
          </w:p>
          <w:p w:rsidR="003717A0" w:rsidRDefault="003717A0">
            <w:pPr>
              <w:widowControl/>
              <w:spacing w:before="150" w:line="360" w:lineRule="atLeast"/>
              <w:ind w:firstLineChars="200" w:firstLine="420"/>
              <w:jc w:val="left"/>
              <w:rPr>
                <w:rFonts w:ascii="Times New Roman" w:hAnsi="Times New Roman"/>
                <w:sz w:val="22"/>
              </w:rPr>
            </w:pPr>
            <w:r>
              <w:rPr>
                <w:rFonts w:ascii="???" w:hAnsi="???" w:cs="宋体" w:hint="eastAsia"/>
                <w:kern w:val="0"/>
                <w:szCs w:val="21"/>
              </w:rPr>
              <w:t>课程开始初期仅由</w:t>
            </w:r>
            <w:r>
              <w:rPr>
                <w:rFonts w:ascii="???" w:hAnsi="???" w:cs="宋体"/>
                <w:kern w:val="0"/>
                <w:szCs w:val="21"/>
              </w:rPr>
              <w:t>X</w:t>
            </w:r>
            <w:r>
              <w:rPr>
                <w:rFonts w:ascii="???" w:hAnsi="???" w:cs="宋体" w:hint="eastAsia"/>
                <w:kern w:val="0"/>
                <w:szCs w:val="21"/>
              </w:rPr>
              <w:t>线诊断学构成，主要给学生讲解普通放射的</w:t>
            </w:r>
            <w:r>
              <w:rPr>
                <w:rFonts w:ascii="???" w:hAnsi="???" w:cs="宋体"/>
                <w:kern w:val="0"/>
                <w:szCs w:val="21"/>
              </w:rPr>
              <w:t>X</w:t>
            </w:r>
            <w:r>
              <w:rPr>
                <w:rFonts w:ascii="???" w:hAnsi="???" w:cs="宋体" w:hint="eastAsia"/>
                <w:kern w:val="0"/>
                <w:szCs w:val="21"/>
              </w:rPr>
              <w:t>线基本知识和人体各个器官的基本病变及其常见疾病的</w:t>
            </w:r>
            <w:r>
              <w:rPr>
                <w:rFonts w:ascii="???" w:hAnsi="???" w:cs="宋体"/>
                <w:kern w:val="0"/>
                <w:szCs w:val="21"/>
              </w:rPr>
              <w:t>X</w:t>
            </w:r>
            <w:r>
              <w:rPr>
                <w:rFonts w:ascii="???" w:hAnsi="???" w:cs="宋体" w:hint="eastAsia"/>
                <w:kern w:val="0"/>
                <w:szCs w:val="21"/>
              </w:rPr>
              <w:t>线表现。</w:t>
            </w:r>
            <w:r>
              <w:rPr>
                <w:rFonts w:ascii="???" w:hAnsi="???" w:cs="宋体"/>
                <w:kern w:val="0"/>
                <w:szCs w:val="21"/>
              </w:rPr>
              <w:t>50</w:t>
            </w:r>
            <w:r>
              <w:rPr>
                <w:rFonts w:ascii="???" w:hAnsi="???" w:cs="宋体" w:hint="eastAsia"/>
                <w:kern w:val="0"/>
                <w:szCs w:val="21"/>
              </w:rPr>
              <w:t>年代到</w:t>
            </w:r>
            <w:r>
              <w:rPr>
                <w:rFonts w:ascii="???" w:hAnsi="???" w:cs="宋体"/>
                <w:kern w:val="0"/>
                <w:szCs w:val="21"/>
              </w:rPr>
              <w:t>60</w:t>
            </w:r>
            <w:r>
              <w:rPr>
                <w:rFonts w:ascii="???" w:hAnsi="???" w:cs="宋体" w:hint="eastAsia"/>
                <w:kern w:val="0"/>
                <w:szCs w:val="21"/>
              </w:rPr>
              <w:t>年代，随着超声运用于人体疾病的诊断，我们随之开展了超声诊断学的教学工作，将超声诊断的基本知识以及人体各个器官疾病的超声表现传授给同学。随着科学技术的不断发展，特别是电子计算机技术的飞速发展，</w:t>
            </w:r>
            <w:r>
              <w:rPr>
                <w:rFonts w:ascii="???" w:hAnsi="???" w:cs="宋体"/>
                <w:kern w:val="0"/>
                <w:szCs w:val="21"/>
              </w:rPr>
              <w:t>70-80</w:t>
            </w:r>
            <w:r>
              <w:rPr>
                <w:rFonts w:ascii="???" w:hAnsi="???" w:cs="宋体" w:hint="eastAsia"/>
                <w:kern w:val="0"/>
                <w:szCs w:val="21"/>
              </w:rPr>
              <w:t>年代相继出现了</w:t>
            </w:r>
            <w:r>
              <w:rPr>
                <w:rFonts w:ascii="???" w:hAnsi="???" w:cs="宋体"/>
                <w:kern w:val="0"/>
                <w:szCs w:val="21"/>
              </w:rPr>
              <w:t>CT</w:t>
            </w:r>
            <w:r>
              <w:rPr>
                <w:rFonts w:ascii="???" w:hAnsi="???" w:cs="宋体" w:hint="eastAsia"/>
                <w:kern w:val="0"/>
                <w:szCs w:val="21"/>
              </w:rPr>
              <w:t>和</w:t>
            </w:r>
            <w:r>
              <w:rPr>
                <w:rFonts w:ascii="???" w:hAnsi="???" w:cs="宋体"/>
                <w:kern w:val="0"/>
                <w:szCs w:val="21"/>
              </w:rPr>
              <w:t>MRI</w:t>
            </w:r>
            <w:r>
              <w:rPr>
                <w:rFonts w:ascii="???" w:hAnsi="???" w:cs="宋体" w:hint="eastAsia"/>
                <w:kern w:val="0"/>
                <w:szCs w:val="21"/>
              </w:rPr>
              <w:t>，它们的出现将医学影像学推入了一个崭新的历史纪元。本课程根据医学影像技术的发展前</w:t>
            </w:r>
            <w:r>
              <w:rPr>
                <w:rFonts w:ascii="???" w:hAnsi="???" w:cs="宋体" w:hint="eastAsia"/>
                <w:kern w:val="0"/>
                <w:szCs w:val="21"/>
              </w:rPr>
              <w:lastRenderedPageBreak/>
              <w:t>沿，在</w:t>
            </w:r>
            <w:r>
              <w:rPr>
                <w:rFonts w:ascii="???" w:hAnsi="???" w:cs="宋体"/>
                <w:kern w:val="0"/>
                <w:szCs w:val="21"/>
              </w:rPr>
              <w:t>90</w:t>
            </w:r>
            <w:r>
              <w:rPr>
                <w:rFonts w:ascii="???" w:hAnsi="???" w:cs="宋体" w:hint="eastAsia"/>
                <w:kern w:val="0"/>
                <w:szCs w:val="21"/>
              </w:rPr>
              <w:t>年代我们将医学影像学的教学内容与先进的科技发展相接轨，在传统的</w:t>
            </w:r>
            <w:r>
              <w:rPr>
                <w:rFonts w:ascii="???" w:hAnsi="???" w:cs="宋体"/>
                <w:kern w:val="0"/>
                <w:szCs w:val="21"/>
              </w:rPr>
              <w:t>X</w:t>
            </w:r>
            <w:r>
              <w:rPr>
                <w:rFonts w:ascii="???" w:hAnsi="???" w:cs="宋体" w:hint="eastAsia"/>
                <w:kern w:val="0"/>
                <w:szCs w:val="21"/>
              </w:rPr>
              <w:t>线诊断学中加入了先进的</w:t>
            </w:r>
            <w:r>
              <w:rPr>
                <w:rFonts w:ascii="???" w:hAnsi="???" w:cs="宋体"/>
                <w:kern w:val="0"/>
                <w:szCs w:val="21"/>
              </w:rPr>
              <w:t>CT</w:t>
            </w:r>
            <w:r>
              <w:rPr>
                <w:rFonts w:ascii="???" w:hAnsi="???" w:cs="宋体" w:hint="eastAsia"/>
                <w:kern w:val="0"/>
                <w:szCs w:val="21"/>
              </w:rPr>
              <w:t>和</w:t>
            </w:r>
            <w:r>
              <w:rPr>
                <w:rFonts w:ascii="???" w:hAnsi="???" w:cs="宋体"/>
                <w:kern w:val="0"/>
                <w:szCs w:val="21"/>
              </w:rPr>
              <w:t>MRI</w:t>
            </w:r>
            <w:r>
              <w:rPr>
                <w:rFonts w:ascii="???" w:hAnsi="???" w:cs="宋体" w:hint="eastAsia"/>
                <w:kern w:val="0"/>
                <w:szCs w:val="21"/>
              </w:rPr>
              <w:t>的教学内容。让同学们掌握更多对于临床工作十分有用的现代医学影像学知识，不断拓展学生的知识面和培养学生用先进现代医学影像学知识来解决实际问题的能力。另外，</w:t>
            </w:r>
            <w:r>
              <w:rPr>
                <w:rFonts w:ascii="???" w:hAnsi="???" w:cs="宋体"/>
                <w:kern w:val="0"/>
                <w:szCs w:val="21"/>
              </w:rPr>
              <w:t>70</w:t>
            </w:r>
            <w:r>
              <w:rPr>
                <w:rFonts w:ascii="???" w:hAnsi="???" w:cs="宋体" w:hint="eastAsia"/>
                <w:kern w:val="0"/>
                <w:szCs w:val="21"/>
              </w:rPr>
              <w:t>年代介入放射学的兴起将传统的医学影像学由单一的诊断学科发展为诊断与治疗相结合的学科。随着这种微创手术方式在临床中的广泛运用，本课程也实时的加入了相关内容，确保了知识的先进性。</w:t>
            </w:r>
          </w:p>
        </w:tc>
      </w:tr>
    </w:tbl>
    <w:p w:rsidR="003717A0" w:rsidRDefault="003717A0">
      <w:pPr>
        <w:adjustRightInd w:val="0"/>
        <w:spacing w:line="360" w:lineRule="auto"/>
        <w:contextualSpacing/>
        <w:jc w:val="center"/>
        <w:rPr>
          <w:rFonts w:ascii="黑体" w:eastAsia="黑体"/>
          <w:b/>
          <w:sz w:val="30"/>
          <w:szCs w:val="30"/>
        </w:rPr>
      </w:pPr>
    </w:p>
    <w:p w:rsidR="003717A0" w:rsidRPr="00F5156D" w:rsidRDefault="003717A0" w:rsidP="00F5156D">
      <w:pPr>
        <w:widowControl/>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Pr="00553236" w:rsidRDefault="003717A0">
      <w:pPr>
        <w:autoSpaceDE w:val="0"/>
        <w:autoSpaceDN w:val="0"/>
        <w:adjustRightInd w:val="0"/>
        <w:snapToGrid w:val="0"/>
        <w:spacing w:line="360" w:lineRule="auto"/>
        <w:ind w:firstLineChars="193" w:firstLine="405"/>
        <w:jc w:val="left"/>
        <w:rPr>
          <w:rFonts w:ascii="Times New Roman" w:eastAsia="楷体_GB2312" w:hAnsi="Times New Roman"/>
          <w:szCs w:val="21"/>
        </w:rPr>
      </w:pPr>
      <w:r w:rsidRPr="00553236">
        <w:rPr>
          <w:rFonts w:ascii="Times New Roman" w:hAnsi="Times New Roman" w:hint="eastAsia"/>
          <w:kern w:val="0"/>
          <w:szCs w:val="21"/>
        </w:rPr>
        <w:t>课程代码：</w:t>
      </w:r>
      <w:r w:rsidRPr="00553236">
        <w:rPr>
          <w:rFonts w:ascii="Times New Roman" w:eastAsia="楷体_GB2312" w:hAnsi="Times New Roman"/>
          <w:szCs w:val="21"/>
        </w:rPr>
        <w:t>170261</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36</w:t>
      </w:r>
      <w:r>
        <w:rPr>
          <w:rFonts w:ascii="Times New Roman" w:hAnsi="Times New Roman" w:hint="eastAsia"/>
          <w:kern w:val="0"/>
          <w:szCs w:val="21"/>
        </w:rPr>
        <w:t>学时（理论学时</w:t>
      </w:r>
      <w:r>
        <w:rPr>
          <w:rFonts w:ascii="Times New Roman" w:hAnsi="Times New Roman"/>
          <w:kern w:val="0"/>
          <w:szCs w:val="21"/>
        </w:rPr>
        <w:t>24</w:t>
      </w:r>
      <w:r>
        <w:rPr>
          <w:rFonts w:ascii="Times New Roman" w:hAnsi="Times New Roman" w:hint="eastAsia"/>
          <w:kern w:val="0"/>
          <w:szCs w:val="21"/>
        </w:rPr>
        <w:t>，实验学时</w:t>
      </w:r>
      <w:r>
        <w:rPr>
          <w:rFonts w:ascii="Times New Roman" w:hAnsi="Times New Roman"/>
          <w:kern w:val="0"/>
          <w:szCs w:val="21"/>
        </w:rPr>
        <w:t>12</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2</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先修课程：人体解剖学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后续课程：病理解剖学及后续的临床专业课程</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ind w:firstLineChars="150" w:firstLine="315"/>
      </w:pPr>
      <w:r>
        <w:rPr>
          <w:rFonts w:hint="eastAsia"/>
        </w:rPr>
        <w:t>“医学影像学”是主要利用放射线等技术进行疾病诊断的一门临床学科。主要讲授</w:t>
      </w:r>
      <w:r>
        <w:t>X</w:t>
      </w:r>
      <w:r>
        <w:rPr>
          <w:rFonts w:hint="eastAsia"/>
        </w:rPr>
        <w:t>线诊断，电子计算机体层成像（</w:t>
      </w:r>
      <w:r>
        <w:t>CT</w:t>
      </w:r>
      <w:r>
        <w:rPr>
          <w:rFonts w:hint="eastAsia"/>
        </w:rPr>
        <w:t>）诊断和</w:t>
      </w:r>
      <w:r>
        <w:t>MRI</w:t>
      </w:r>
      <w:r>
        <w:rPr>
          <w:rFonts w:hint="eastAsia"/>
        </w:rPr>
        <w:t>诊断学，介入性放谢学和超声诊断学作为附篇，可不讲授。</w:t>
      </w:r>
    </w:p>
    <w:p w:rsidR="003717A0" w:rsidRDefault="003717A0">
      <w:pPr>
        <w:ind w:firstLineChars="150" w:firstLine="315"/>
      </w:pPr>
      <w:r>
        <w:rPr>
          <w:rFonts w:hint="eastAsia"/>
        </w:rPr>
        <w:t>“医学影像学”包括</w:t>
      </w:r>
      <w:r>
        <w:t>X</w:t>
      </w:r>
      <w:r>
        <w:rPr>
          <w:rFonts w:hint="eastAsia"/>
        </w:rPr>
        <w:t>线、</w:t>
      </w:r>
      <w:r>
        <w:t>CT</w:t>
      </w:r>
      <w:r>
        <w:rPr>
          <w:rFonts w:hint="eastAsia"/>
        </w:rPr>
        <w:t>、</w:t>
      </w:r>
      <w:r>
        <w:t>MRI</w:t>
      </w:r>
      <w:r>
        <w:rPr>
          <w:rFonts w:hint="eastAsia"/>
        </w:rPr>
        <w:t>、超声和核医学等，是一门独立而成熟的临床学科。超声和核医学等已在其它学科讲授，在总论中应予以简要介绍，使学生有完整概念。</w:t>
      </w:r>
    </w:p>
    <w:p w:rsidR="003717A0" w:rsidRDefault="003717A0">
      <w:pPr>
        <w:ind w:firstLineChars="250" w:firstLine="525"/>
      </w:pPr>
      <w:r>
        <w:rPr>
          <w:rFonts w:hint="eastAsia"/>
        </w:rPr>
        <w:t>学生学习的重点是本专业的基础理论、基本知识和基本技能。教材内容以“三基”即总论、各系统的正常影像表现和基本病变影像表现为主，同时编入了部分常见疾病的影像诊断，并对</w:t>
      </w:r>
      <w:r>
        <w:t>CT</w:t>
      </w:r>
      <w:r>
        <w:rPr>
          <w:rFonts w:hint="eastAsia"/>
        </w:rPr>
        <w:t>、磁共振成像诊断价值较大的疾病也进行了论述，以保持本学科的系统性、完整性和先进性，并能供低年住院医师在临床工作中参考。</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ind w:firstLineChars="150" w:firstLine="315"/>
      </w:pPr>
      <w:r>
        <w:rPr>
          <w:rFonts w:hint="eastAsia"/>
        </w:rPr>
        <w:t>（一）了解影像诊断的应用原理、诊断价值与限度、在临床工作中的地位和发展概况，以及优选或综合使用各种成像检查。</w:t>
      </w:r>
    </w:p>
    <w:p w:rsidR="003717A0" w:rsidRDefault="003717A0">
      <w:pPr>
        <w:ind w:firstLineChars="150" w:firstLine="315"/>
      </w:pPr>
      <w:r>
        <w:rPr>
          <w:rFonts w:hint="eastAsia"/>
        </w:rPr>
        <w:t>（二）熟悉常用的影像检查方法，检查前后的注意事项及其应用范围，并能在临床工作中正确使用。</w:t>
      </w:r>
    </w:p>
    <w:p w:rsidR="003717A0" w:rsidRDefault="003717A0">
      <w:pPr>
        <w:ind w:firstLineChars="150" w:firstLine="315"/>
      </w:pPr>
      <w:r>
        <w:rPr>
          <w:rFonts w:hint="eastAsia"/>
        </w:rPr>
        <w:t>（三）学会观察、分析影像表现的方法和诊断原则。</w:t>
      </w:r>
    </w:p>
    <w:p w:rsidR="003717A0" w:rsidRDefault="003717A0">
      <w:pPr>
        <w:ind w:firstLineChars="150" w:firstLine="315"/>
      </w:pPr>
      <w:r>
        <w:rPr>
          <w:rFonts w:hint="eastAsia"/>
        </w:rPr>
        <w:t>（四）掌握骨骼肌肉系统、呼吸系统和消化系统、中枢神经系统的正常影像表现和基本病变影像表现。掌握几种常见病的典型影像表现。</w:t>
      </w:r>
    </w:p>
    <w:p w:rsidR="003717A0" w:rsidRDefault="003717A0">
      <w:pPr>
        <w:ind w:firstLineChars="150" w:firstLine="315"/>
      </w:pPr>
      <w:r>
        <w:rPr>
          <w:rFonts w:hint="eastAsia"/>
        </w:rPr>
        <w:t>（五）了解循环、乳腺和泌尿生殖等系统的正常影像表现和基本病变影像表现。</w:t>
      </w:r>
    </w:p>
    <w:p w:rsidR="003717A0" w:rsidRDefault="003717A0">
      <w:pPr>
        <w:ind w:firstLineChars="150" w:firstLine="315"/>
      </w:pPr>
      <w:r>
        <w:rPr>
          <w:rFonts w:hint="eastAsia"/>
        </w:rPr>
        <w:t>（六）了解儿科各系统的正常影像表现、基本病变影像表现，熟悉儿科常见病变的典型影像表现。</w:t>
      </w:r>
    </w:p>
    <w:p w:rsidR="003717A0" w:rsidRDefault="003717A0">
      <w:pPr>
        <w:ind w:firstLineChars="150" w:firstLine="315"/>
      </w:pPr>
      <w:r>
        <w:rPr>
          <w:rFonts w:hint="eastAsia"/>
        </w:rPr>
        <w:t>（七）了解介入放射学概念、</w:t>
      </w:r>
      <w:r>
        <w:t>DSA</w:t>
      </w:r>
      <w:r>
        <w:rPr>
          <w:rFonts w:hint="eastAsia"/>
        </w:rPr>
        <w:t>定义、介入放射学技术主要包括内容；了解血管性及非血管性介入技术的的概念、内容、适应症、临床应用等。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left"/>
        <w:rPr>
          <w:b/>
          <w:sz w:val="22"/>
        </w:rPr>
      </w:pP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影像诊断学总论</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553236" w:rsidP="00553236">
      <w:pPr>
        <w:ind w:firstLine="435"/>
      </w:pPr>
      <w:r w:rsidRPr="00553236">
        <w:rPr>
          <w:rFonts w:hint="eastAsia"/>
        </w:rPr>
        <w:t>一、</w:t>
      </w:r>
      <w:r w:rsidR="003717A0" w:rsidRPr="00553236">
        <w:t>X</w:t>
      </w:r>
      <w:r w:rsidR="003717A0">
        <w:rPr>
          <w:rFonts w:hint="eastAsia"/>
        </w:rPr>
        <w:t>线成像</w:t>
      </w:r>
    </w:p>
    <w:p w:rsidR="003717A0" w:rsidRDefault="003717A0">
      <w:pPr>
        <w:numPr>
          <w:ilvl w:val="0"/>
          <w:numId w:val="176"/>
        </w:numPr>
        <w:spacing w:before="100" w:beforeAutospacing="1" w:after="100" w:afterAutospacing="1" w:line="300" w:lineRule="exact"/>
      </w:pPr>
      <w:r>
        <w:t>X</w:t>
      </w:r>
      <w:r>
        <w:rPr>
          <w:rFonts w:hint="eastAsia"/>
        </w:rPr>
        <w:t>线成像原理与设备</w:t>
      </w:r>
    </w:p>
    <w:p w:rsidR="003717A0" w:rsidRDefault="003717A0">
      <w:pPr>
        <w:numPr>
          <w:ilvl w:val="0"/>
          <w:numId w:val="176"/>
        </w:numPr>
        <w:spacing w:before="100" w:beforeAutospacing="1" w:after="100" w:afterAutospacing="1" w:line="300" w:lineRule="exact"/>
      </w:pPr>
      <w:r>
        <w:t>X</w:t>
      </w:r>
      <w:r>
        <w:rPr>
          <w:rFonts w:hint="eastAsia"/>
        </w:rPr>
        <w:t>线图像的特点</w:t>
      </w:r>
    </w:p>
    <w:p w:rsidR="003717A0" w:rsidRDefault="003717A0">
      <w:pPr>
        <w:numPr>
          <w:ilvl w:val="0"/>
          <w:numId w:val="176"/>
        </w:numPr>
        <w:spacing w:before="100" w:beforeAutospacing="1" w:after="100" w:afterAutospacing="1" w:line="300" w:lineRule="exact"/>
      </w:pPr>
      <w:r>
        <w:t>X</w:t>
      </w:r>
      <w:r>
        <w:rPr>
          <w:rFonts w:hint="eastAsia"/>
        </w:rPr>
        <w:t>线检查技术</w:t>
      </w:r>
    </w:p>
    <w:p w:rsidR="003717A0" w:rsidRDefault="003717A0">
      <w:pPr>
        <w:numPr>
          <w:ilvl w:val="0"/>
          <w:numId w:val="176"/>
        </w:numPr>
        <w:spacing w:before="100" w:beforeAutospacing="1" w:after="100" w:afterAutospacing="1" w:line="300" w:lineRule="exact"/>
      </w:pPr>
      <w:r>
        <w:lastRenderedPageBreak/>
        <w:t>X</w:t>
      </w:r>
      <w:r>
        <w:rPr>
          <w:rFonts w:hint="eastAsia"/>
        </w:rPr>
        <w:t>线图像的解读</w:t>
      </w:r>
    </w:p>
    <w:p w:rsidR="003717A0" w:rsidRDefault="003717A0">
      <w:pPr>
        <w:numPr>
          <w:ilvl w:val="0"/>
          <w:numId w:val="176"/>
        </w:numPr>
        <w:spacing w:before="100" w:beforeAutospacing="1" w:after="100" w:afterAutospacing="1" w:line="300" w:lineRule="exact"/>
      </w:pPr>
      <w:r>
        <w:t>X</w:t>
      </w:r>
      <w:r>
        <w:rPr>
          <w:rFonts w:hint="eastAsia"/>
        </w:rPr>
        <w:t>线诊断的临床应用</w:t>
      </w:r>
    </w:p>
    <w:p w:rsidR="003717A0" w:rsidRDefault="003717A0">
      <w:pPr>
        <w:ind w:firstLine="435"/>
      </w:pPr>
      <w:r>
        <w:rPr>
          <w:rFonts w:hint="eastAsia"/>
        </w:rPr>
        <w:t>二、计算机体层成像</w:t>
      </w:r>
    </w:p>
    <w:p w:rsidR="003717A0" w:rsidRDefault="003717A0">
      <w:pPr>
        <w:ind w:firstLine="435"/>
      </w:pPr>
      <w:r>
        <w:rPr>
          <w:rFonts w:hint="eastAsia"/>
        </w:rPr>
        <w:t>（一）</w:t>
      </w:r>
      <w:r>
        <w:t>CT</w:t>
      </w:r>
      <w:r>
        <w:rPr>
          <w:rFonts w:hint="eastAsia"/>
        </w:rPr>
        <w:t>成像原理与设备</w:t>
      </w:r>
    </w:p>
    <w:p w:rsidR="003717A0" w:rsidRDefault="003717A0">
      <w:pPr>
        <w:ind w:firstLine="435"/>
      </w:pPr>
      <w:r>
        <w:rPr>
          <w:rFonts w:hint="eastAsia"/>
        </w:rPr>
        <w:t>（二）</w:t>
      </w:r>
      <w:r>
        <w:t>CT</w:t>
      </w:r>
      <w:r>
        <w:rPr>
          <w:rFonts w:hint="eastAsia"/>
        </w:rPr>
        <w:t>图像的特点</w:t>
      </w:r>
    </w:p>
    <w:p w:rsidR="003717A0" w:rsidRDefault="003717A0">
      <w:pPr>
        <w:ind w:firstLine="435"/>
      </w:pPr>
      <w:r>
        <w:rPr>
          <w:rFonts w:hint="eastAsia"/>
        </w:rPr>
        <w:t>（三）</w:t>
      </w:r>
      <w:r>
        <w:t>CT</w:t>
      </w:r>
      <w:r>
        <w:rPr>
          <w:rFonts w:hint="eastAsia"/>
        </w:rPr>
        <w:t>检查技术</w:t>
      </w:r>
    </w:p>
    <w:p w:rsidR="003717A0" w:rsidRDefault="003717A0">
      <w:r>
        <w:t xml:space="preserve">    </w:t>
      </w:r>
      <w:r>
        <w:rPr>
          <w:rFonts w:hint="eastAsia"/>
        </w:rPr>
        <w:t>（四）</w:t>
      </w:r>
      <w:r>
        <w:t>CT</w:t>
      </w:r>
      <w:r>
        <w:rPr>
          <w:rFonts w:hint="eastAsia"/>
        </w:rPr>
        <w:t>图像的解读</w:t>
      </w:r>
    </w:p>
    <w:p w:rsidR="003717A0" w:rsidRDefault="003717A0">
      <w:r>
        <w:t xml:space="preserve">    </w:t>
      </w:r>
      <w:r>
        <w:rPr>
          <w:rFonts w:hint="eastAsia"/>
        </w:rPr>
        <w:t>（五）</w:t>
      </w:r>
      <w:r>
        <w:t>CT</w:t>
      </w:r>
      <w:r>
        <w:rPr>
          <w:rFonts w:hint="eastAsia"/>
        </w:rPr>
        <w:t>诊断的临床应用</w:t>
      </w:r>
    </w:p>
    <w:p w:rsidR="003717A0" w:rsidRDefault="003717A0">
      <w:pPr>
        <w:ind w:firstLine="435"/>
      </w:pPr>
      <w:r>
        <w:rPr>
          <w:rFonts w:hint="eastAsia"/>
        </w:rPr>
        <w:t>三、磁共振成像</w:t>
      </w:r>
    </w:p>
    <w:p w:rsidR="003717A0" w:rsidRDefault="003717A0">
      <w:pPr>
        <w:ind w:firstLine="435"/>
      </w:pPr>
      <w:r>
        <w:rPr>
          <w:rFonts w:hint="eastAsia"/>
        </w:rPr>
        <w:t>（一）</w:t>
      </w:r>
      <w:r>
        <w:t>MRI</w:t>
      </w:r>
      <w:r>
        <w:rPr>
          <w:rFonts w:hint="eastAsia"/>
        </w:rPr>
        <w:t>成像原理与设备</w:t>
      </w:r>
    </w:p>
    <w:p w:rsidR="003717A0" w:rsidRDefault="003717A0">
      <w:pPr>
        <w:ind w:firstLine="435"/>
      </w:pPr>
      <w:r>
        <w:rPr>
          <w:rFonts w:hint="eastAsia"/>
        </w:rPr>
        <w:t>（二）</w:t>
      </w:r>
      <w:r>
        <w:t>MRI</w:t>
      </w:r>
      <w:r>
        <w:rPr>
          <w:rFonts w:hint="eastAsia"/>
        </w:rPr>
        <w:t>图像的特点</w:t>
      </w:r>
    </w:p>
    <w:p w:rsidR="003717A0" w:rsidRDefault="003717A0">
      <w:pPr>
        <w:ind w:firstLine="435"/>
      </w:pPr>
      <w:r>
        <w:rPr>
          <w:rFonts w:hint="eastAsia"/>
        </w:rPr>
        <w:t>（三）</w:t>
      </w:r>
      <w:r>
        <w:t>MRI</w:t>
      </w:r>
      <w:r>
        <w:rPr>
          <w:rFonts w:hint="eastAsia"/>
        </w:rPr>
        <w:t>检查技术</w:t>
      </w:r>
    </w:p>
    <w:p w:rsidR="003717A0" w:rsidRDefault="003717A0">
      <w:r>
        <w:t xml:space="preserve">    </w:t>
      </w:r>
      <w:r>
        <w:rPr>
          <w:rFonts w:hint="eastAsia"/>
        </w:rPr>
        <w:t>（四）</w:t>
      </w:r>
      <w:r>
        <w:t>MRI</w:t>
      </w:r>
      <w:r>
        <w:rPr>
          <w:rFonts w:hint="eastAsia"/>
        </w:rPr>
        <w:t>图像的解读</w:t>
      </w:r>
    </w:p>
    <w:p w:rsidR="003717A0" w:rsidRDefault="003717A0">
      <w:pPr>
        <w:ind w:firstLineChars="200" w:firstLine="420"/>
      </w:pPr>
      <w:r>
        <w:rPr>
          <w:rFonts w:hint="eastAsia"/>
        </w:rPr>
        <w:t>（五）</w:t>
      </w:r>
      <w:r>
        <w:t>MRI</w:t>
      </w:r>
      <w:r>
        <w:rPr>
          <w:rFonts w:hint="eastAsia"/>
        </w:rPr>
        <w:t>诊断的临床应用</w:t>
      </w:r>
    </w:p>
    <w:p w:rsidR="003717A0" w:rsidRDefault="003717A0">
      <w:pPr>
        <w:ind w:firstLineChars="200" w:firstLine="420"/>
      </w:pPr>
      <w:r>
        <w:rPr>
          <w:rFonts w:hint="eastAsia"/>
        </w:rPr>
        <w:t>四、图像解读与影像诊断思维</w:t>
      </w:r>
    </w:p>
    <w:p w:rsidR="003717A0" w:rsidRDefault="003717A0">
      <w:pPr>
        <w:ind w:firstLineChars="200" w:firstLine="420"/>
      </w:pPr>
      <w:r>
        <w:rPr>
          <w:rFonts w:hint="eastAsia"/>
        </w:rPr>
        <w:t>（一）图像解读的内容</w:t>
      </w:r>
    </w:p>
    <w:p w:rsidR="003717A0" w:rsidRDefault="003717A0">
      <w:pPr>
        <w:ind w:firstLineChars="200" w:firstLine="420"/>
      </w:pPr>
      <w:r>
        <w:rPr>
          <w:rFonts w:hint="eastAsia"/>
        </w:rPr>
        <w:t>（二）影像诊断的思维</w:t>
      </w:r>
    </w:p>
    <w:p w:rsidR="003717A0" w:rsidRDefault="003717A0">
      <w:pPr>
        <w:ind w:firstLineChars="200" w:firstLine="420"/>
      </w:pPr>
      <w:r>
        <w:rPr>
          <w:rFonts w:hint="eastAsia"/>
        </w:rPr>
        <w:t>五、图像存档和传输系统与信息放射学</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1</w:t>
      </w:r>
      <w:r>
        <w:rPr>
          <w:rFonts w:ascii="Times New Roman" w:hint="eastAsia"/>
          <w:b/>
        </w:rPr>
        <w:t>学时）</w:t>
      </w:r>
    </w:p>
    <w:p w:rsidR="003717A0" w:rsidRDefault="003717A0">
      <w:pPr>
        <w:tabs>
          <w:tab w:val="left" w:pos="0"/>
        </w:tabs>
        <w:adjustRightInd w:val="0"/>
        <w:snapToGrid w:val="0"/>
        <w:spacing w:line="360" w:lineRule="auto"/>
        <w:ind w:right="4" w:firstLineChars="200" w:firstLine="420"/>
        <w:rPr>
          <w:rFonts w:ascii="Times New Roman" w:hAnsi="Times New Roman"/>
        </w:rPr>
      </w:pPr>
      <w:r>
        <w:rPr>
          <w:rFonts w:ascii="Times New Roman" w:hint="eastAsia"/>
        </w:rPr>
        <w:t>放映多媒体，介绍影像诊断学发展史及各种成像设备及成像技术。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ind w:firstLineChars="150" w:firstLine="315"/>
      </w:pPr>
      <w:r>
        <w:t>1</w:t>
      </w:r>
      <w:r>
        <w:rPr>
          <w:rFonts w:hint="eastAsia"/>
        </w:rPr>
        <w:t>、了解影像诊断学应用原理的概况。</w:t>
      </w:r>
    </w:p>
    <w:p w:rsidR="003717A0" w:rsidRDefault="003717A0">
      <w:r>
        <w:t xml:space="preserve">   2</w:t>
      </w:r>
      <w:r>
        <w:rPr>
          <w:rFonts w:hint="eastAsia"/>
        </w:rPr>
        <w:t>、熟悉</w:t>
      </w:r>
      <w:r>
        <w:t>X</w:t>
      </w:r>
      <w:r>
        <w:rPr>
          <w:rFonts w:hint="eastAsia"/>
        </w:rPr>
        <w:t>线、</w:t>
      </w:r>
      <w:r>
        <w:t>CT</w:t>
      </w:r>
      <w:r>
        <w:rPr>
          <w:rFonts w:hint="eastAsia"/>
        </w:rPr>
        <w:t>、</w:t>
      </w:r>
      <w:r>
        <w:t>MR</w:t>
      </w:r>
      <w:r>
        <w:rPr>
          <w:rFonts w:hint="eastAsia"/>
        </w:rPr>
        <w:t>影像学多种成像技术。</w:t>
      </w:r>
    </w:p>
    <w:p w:rsidR="003717A0" w:rsidRDefault="003717A0">
      <w:r>
        <w:t xml:space="preserve">   3</w:t>
      </w:r>
      <w:r>
        <w:rPr>
          <w:rFonts w:hint="eastAsia"/>
        </w:rPr>
        <w:t>、掌握</w:t>
      </w:r>
      <w:r>
        <w:t>X</w:t>
      </w:r>
      <w:r>
        <w:rPr>
          <w:rFonts w:hint="eastAsia"/>
        </w:rPr>
        <w:t>线、</w:t>
      </w:r>
      <w:r>
        <w:t>CT</w:t>
      </w:r>
      <w:r>
        <w:rPr>
          <w:rFonts w:hint="eastAsia"/>
        </w:rPr>
        <w:t>、</w:t>
      </w:r>
      <w:r>
        <w:t>MR</w:t>
      </w:r>
      <w:r>
        <w:rPr>
          <w:rFonts w:hint="eastAsia"/>
        </w:rPr>
        <w:t>图像的特点。</w:t>
      </w:r>
    </w:p>
    <w:p w:rsidR="003717A0" w:rsidRDefault="003717A0">
      <w:r>
        <w:t xml:space="preserve">   4</w:t>
      </w:r>
      <w:r>
        <w:rPr>
          <w:rFonts w:hint="eastAsia"/>
        </w:rPr>
        <w:t>、了解影像诊断的价值、限度和地位，熟悉各种检查方法的临床适用范围。</w:t>
      </w:r>
    </w:p>
    <w:p w:rsidR="003717A0" w:rsidRDefault="003717A0">
      <w:r>
        <w:t xml:space="preserve">   5</w:t>
      </w:r>
      <w:r>
        <w:rPr>
          <w:rFonts w:hint="eastAsia"/>
        </w:rPr>
        <w:t>、了解影像诊断的方法和原则。</w:t>
      </w:r>
    </w:p>
    <w:p w:rsidR="003717A0" w:rsidRDefault="003717A0">
      <w:pPr>
        <w:ind w:firstLineChars="1510" w:firstLine="3335"/>
        <w:rPr>
          <w:sz w:val="24"/>
        </w:rPr>
      </w:pPr>
      <w:r>
        <w:rPr>
          <w:rFonts w:hint="eastAsia"/>
          <w:b/>
          <w:sz w:val="22"/>
        </w:rPr>
        <w:t>第二章</w:t>
      </w:r>
      <w:r>
        <w:rPr>
          <w:b/>
          <w:sz w:val="22"/>
        </w:rPr>
        <w:t xml:space="preserve">  </w:t>
      </w:r>
      <w:r>
        <w:rPr>
          <w:rFonts w:hint="eastAsia"/>
          <w:b/>
          <w:sz w:val="22"/>
        </w:rPr>
        <w:t>骨骼与肌肉系统</w:t>
      </w:r>
    </w:p>
    <w:p w:rsidR="003717A0" w:rsidRDefault="003717A0" w:rsidP="005E20B5">
      <w:pPr>
        <w:adjustRightInd w:val="0"/>
        <w:snapToGrid w:val="0"/>
        <w:spacing w:beforeLines="50" w:line="360" w:lineRule="auto"/>
        <w:ind w:right="6"/>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r>
        <w:rPr>
          <w:rFonts w:hint="eastAsia"/>
        </w:rPr>
        <w:t>一、引言</w:t>
      </w:r>
    </w:p>
    <w:p w:rsidR="003717A0" w:rsidRDefault="003717A0">
      <w:pPr>
        <w:ind w:firstLine="435"/>
      </w:pPr>
      <w:r>
        <w:rPr>
          <w:rFonts w:hint="eastAsia"/>
        </w:rPr>
        <w:t>概述骨、关节具有良好的自然对比，疾病较多，</w:t>
      </w:r>
      <w:r>
        <w:t>X</w:t>
      </w:r>
      <w:r>
        <w:rPr>
          <w:rFonts w:hint="eastAsia"/>
        </w:rPr>
        <w:t>线诊断的准确性较高，是骨关节疾病的重要诊断方法，应用广泛。</w:t>
      </w:r>
      <w:r>
        <w:t>CT</w:t>
      </w:r>
      <w:r>
        <w:rPr>
          <w:rFonts w:hint="eastAsia"/>
        </w:rPr>
        <w:t>与</w:t>
      </w:r>
      <w:r>
        <w:t>MRI</w:t>
      </w:r>
      <w:r>
        <w:rPr>
          <w:rFonts w:hint="eastAsia"/>
        </w:rPr>
        <w:t>不但可显示正常骨与关节，且对病变的准确定位优于</w:t>
      </w:r>
      <w:r>
        <w:t>X</w:t>
      </w:r>
      <w:r>
        <w:rPr>
          <w:rFonts w:hint="eastAsia"/>
        </w:rPr>
        <w:t>线，但价格昂贵，一般根据需要，选择使用。</w:t>
      </w:r>
    </w:p>
    <w:p w:rsidR="003717A0" w:rsidRDefault="003717A0">
      <w:r>
        <w:rPr>
          <w:rFonts w:hint="eastAsia"/>
        </w:rPr>
        <w:t>二、检查方法</w:t>
      </w:r>
    </w:p>
    <w:p w:rsidR="003717A0" w:rsidRDefault="003717A0">
      <w:pPr>
        <w:ind w:firstLine="435"/>
      </w:pPr>
      <w:r>
        <w:t>1.X</w:t>
      </w:r>
      <w:r>
        <w:rPr>
          <w:rFonts w:hint="eastAsia"/>
        </w:rPr>
        <w:t>线检查：普通检查、特殊检查、造影检查</w:t>
      </w:r>
    </w:p>
    <w:p w:rsidR="003717A0" w:rsidRDefault="003717A0">
      <w:r>
        <w:t xml:space="preserve">    2.CT</w:t>
      </w:r>
      <w:r>
        <w:rPr>
          <w:rFonts w:hint="eastAsia"/>
        </w:rPr>
        <w:t>检查</w:t>
      </w:r>
    </w:p>
    <w:p w:rsidR="003717A0" w:rsidRDefault="003717A0">
      <w:pPr>
        <w:ind w:firstLine="435"/>
      </w:pPr>
      <w:r>
        <w:t>3.MRI</w:t>
      </w:r>
      <w:r>
        <w:rPr>
          <w:rFonts w:hint="eastAsia"/>
        </w:rPr>
        <w:t>检查</w:t>
      </w:r>
    </w:p>
    <w:p w:rsidR="003717A0" w:rsidRDefault="003717A0">
      <w:r>
        <w:rPr>
          <w:rFonts w:hint="eastAsia"/>
        </w:rPr>
        <w:t>三、正常影像学表现</w:t>
      </w:r>
    </w:p>
    <w:p w:rsidR="003717A0" w:rsidRDefault="003717A0">
      <w:pPr>
        <w:ind w:firstLine="435"/>
      </w:pPr>
      <w:r>
        <w:rPr>
          <w:rFonts w:hint="eastAsia"/>
        </w:rPr>
        <w:t>结合解剖和生理，讲授四肢长骨与关节和脊柱在生长期及成人期的正常影像学表现。</w:t>
      </w:r>
    </w:p>
    <w:p w:rsidR="003717A0" w:rsidRDefault="003717A0">
      <w:r>
        <w:rPr>
          <w:rFonts w:hint="eastAsia"/>
        </w:rPr>
        <w:t>四、基本病变影像学表现：</w:t>
      </w:r>
    </w:p>
    <w:p w:rsidR="003717A0" w:rsidRDefault="003717A0">
      <w:pPr>
        <w:ind w:firstLine="435"/>
      </w:pPr>
      <w:r>
        <w:t>1.</w:t>
      </w:r>
      <w:r>
        <w:rPr>
          <w:rFonts w:hint="eastAsia"/>
        </w:rPr>
        <w:t>骨骼的基本病变</w:t>
      </w:r>
    </w:p>
    <w:p w:rsidR="003717A0" w:rsidRDefault="003717A0">
      <w:pPr>
        <w:ind w:firstLine="435"/>
      </w:pPr>
      <w:r>
        <w:rPr>
          <w:rFonts w:hint="eastAsia"/>
        </w:rPr>
        <w:t>概述骨骼基本病变在</w:t>
      </w:r>
      <w:r>
        <w:t>X</w:t>
      </w:r>
      <w:r>
        <w:rPr>
          <w:rFonts w:hint="eastAsia"/>
        </w:rPr>
        <w:t>线上主要表现为密度、大小与形状上的改变。</w:t>
      </w:r>
    </w:p>
    <w:p w:rsidR="003717A0" w:rsidRDefault="003717A0">
      <w:pPr>
        <w:ind w:firstLine="435"/>
      </w:pPr>
      <w:r>
        <w:rPr>
          <w:rFonts w:ascii="宋体" w:hAnsi="宋体" w:hint="eastAsia"/>
        </w:rPr>
        <w:t>①</w:t>
      </w:r>
      <w:r>
        <w:rPr>
          <w:rFonts w:hint="eastAsia"/>
        </w:rPr>
        <w:t>骨质疏松</w:t>
      </w:r>
      <w:r>
        <w:t xml:space="preserve">         </w:t>
      </w:r>
      <w:r>
        <w:rPr>
          <w:rFonts w:ascii="宋体" w:hAnsi="宋体" w:hint="eastAsia"/>
        </w:rPr>
        <w:t>②</w:t>
      </w:r>
      <w:r>
        <w:rPr>
          <w:rFonts w:hint="eastAsia"/>
        </w:rPr>
        <w:t>骨质软化</w:t>
      </w:r>
      <w:r>
        <w:t xml:space="preserve">          </w:t>
      </w:r>
      <w:r>
        <w:rPr>
          <w:rFonts w:ascii="宋体" w:hAnsi="宋体" w:hint="eastAsia"/>
        </w:rPr>
        <w:t>②</w:t>
      </w:r>
      <w:r>
        <w:rPr>
          <w:rFonts w:hint="eastAsia"/>
        </w:rPr>
        <w:t>骨质破坏</w:t>
      </w:r>
      <w:r>
        <w:t xml:space="preserve">        </w:t>
      </w:r>
      <w:r>
        <w:rPr>
          <w:rFonts w:ascii="宋体" w:hAnsi="宋体" w:hint="eastAsia"/>
        </w:rPr>
        <w:t>④</w:t>
      </w:r>
      <w:r>
        <w:rPr>
          <w:rFonts w:hint="eastAsia"/>
        </w:rPr>
        <w:t>骨质增生硬化</w:t>
      </w:r>
    </w:p>
    <w:p w:rsidR="003717A0" w:rsidRDefault="003717A0">
      <w:pPr>
        <w:ind w:firstLine="435"/>
      </w:pPr>
      <w:r>
        <w:rPr>
          <w:rFonts w:ascii="宋体" w:hAnsi="宋体" w:hint="eastAsia"/>
        </w:rPr>
        <w:lastRenderedPageBreak/>
        <w:t>⑤</w:t>
      </w:r>
      <w:r>
        <w:rPr>
          <w:rFonts w:hint="eastAsia"/>
        </w:rPr>
        <w:t>骨膜增生</w:t>
      </w:r>
      <w:r>
        <w:t xml:space="preserve">         </w:t>
      </w:r>
      <w:r>
        <w:rPr>
          <w:rFonts w:ascii="宋体" w:hAnsi="宋体" w:hint="eastAsia"/>
        </w:rPr>
        <w:t>⑥</w:t>
      </w:r>
      <w:r>
        <w:rPr>
          <w:rFonts w:hint="eastAsia"/>
        </w:rPr>
        <w:t>骨内软骨内钙化</w:t>
      </w:r>
      <w:r>
        <w:t xml:space="preserve">     </w:t>
      </w:r>
      <w:r>
        <w:rPr>
          <w:rFonts w:ascii="宋体" w:hAnsi="宋体" w:hint="eastAsia"/>
        </w:rPr>
        <w:t>⑦</w:t>
      </w:r>
      <w:r>
        <w:rPr>
          <w:rFonts w:hint="eastAsia"/>
        </w:rPr>
        <w:t>骨质坏死</w:t>
      </w:r>
      <w:r>
        <w:t xml:space="preserve">       </w:t>
      </w:r>
      <w:r>
        <w:rPr>
          <w:rFonts w:ascii="宋体" w:hAnsi="宋体" w:hint="eastAsia"/>
        </w:rPr>
        <w:t>⑧</w:t>
      </w:r>
      <w:r>
        <w:rPr>
          <w:rFonts w:hint="eastAsia"/>
        </w:rPr>
        <w:t>矿物质沉积</w:t>
      </w:r>
    </w:p>
    <w:p w:rsidR="003717A0" w:rsidRDefault="003717A0">
      <w:pPr>
        <w:ind w:firstLine="435"/>
      </w:pPr>
      <w:r>
        <w:rPr>
          <w:rFonts w:ascii="宋体" w:hAnsi="宋体" w:hint="eastAsia"/>
        </w:rPr>
        <w:t>⑨</w:t>
      </w:r>
      <w:r>
        <w:rPr>
          <w:rFonts w:hint="eastAsia"/>
        </w:rPr>
        <w:t>骨骼变形</w:t>
      </w:r>
      <w:r>
        <w:t xml:space="preserve">         </w:t>
      </w:r>
      <w:r>
        <w:rPr>
          <w:rFonts w:ascii="宋体" w:hAnsi="宋体" w:hint="eastAsia"/>
        </w:rPr>
        <w:t>⑩</w:t>
      </w:r>
      <w:r>
        <w:rPr>
          <w:rFonts w:hint="eastAsia"/>
        </w:rPr>
        <w:t>周围软组织病变</w:t>
      </w:r>
    </w:p>
    <w:p w:rsidR="003717A0" w:rsidRDefault="003717A0">
      <w:r>
        <w:t xml:space="preserve">   2.</w:t>
      </w:r>
      <w:r>
        <w:rPr>
          <w:rFonts w:hint="eastAsia"/>
        </w:rPr>
        <w:t>关节的基本病变</w:t>
      </w:r>
    </w:p>
    <w:p w:rsidR="003717A0" w:rsidRDefault="003717A0">
      <w:pPr>
        <w:ind w:firstLineChars="200" w:firstLine="420"/>
      </w:pPr>
      <w:r>
        <w:rPr>
          <w:rFonts w:ascii="宋体" w:hAnsi="宋体" w:hint="eastAsia"/>
        </w:rPr>
        <w:t>①</w:t>
      </w:r>
      <w:r>
        <w:rPr>
          <w:rFonts w:hint="eastAsia"/>
        </w:rPr>
        <w:t>关节肿胀</w:t>
      </w:r>
      <w:r>
        <w:t xml:space="preserve">          </w:t>
      </w:r>
      <w:r>
        <w:rPr>
          <w:rFonts w:ascii="宋体" w:hAnsi="宋体" w:hint="eastAsia"/>
        </w:rPr>
        <w:t>②</w:t>
      </w:r>
      <w:r>
        <w:rPr>
          <w:rFonts w:hint="eastAsia"/>
        </w:rPr>
        <w:t>关节破坏</w:t>
      </w:r>
      <w:r>
        <w:t xml:space="preserve">         </w:t>
      </w:r>
      <w:r>
        <w:rPr>
          <w:rFonts w:ascii="宋体" w:hAnsi="宋体" w:hint="eastAsia"/>
        </w:rPr>
        <w:t>③</w:t>
      </w:r>
      <w:r>
        <w:rPr>
          <w:rFonts w:hint="eastAsia"/>
        </w:rPr>
        <w:t>关节退行性变</w:t>
      </w:r>
      <w:r>
        <w:t xml:space="preserve">        </w:t>
      </w:r>
      <w:r>
        <w:rPr>
          <w:rFonts w:ascii="宋体" w:hAnsi="宋体" w:hint="eastAsia"/>
        </w:rPr>
        <w:t>④</w:t>
      </w:r>
      <w:r>
        <w:rPr>
          <w:rFonts w:hint="eastAsia"/>
        </w:rPr>
        <w:t>关节强直</w:t>
      </w:r>
    </w:p>
    <w:p w:rsidR="003717A0" w:rsidRDefault="003717A0">
      <w:r>
        <w:rPr>
          <w:rFonts w:hint="eastAsia"/>
        </w:rPr>
        <w:t>五、常见病影像学表现：</w:t>
      </w:r>
    </w:p>
    <w:p w:rsidR="003717A0" w:rsidRDefault="003717A0">
      <w:pPr>
        <w:ind w:firstLineChars="200" w:firstLine="420"/>
      </w:pPr>
      <w:r>
        <w:t>1.</w:t>
      </w:r>
      <w:r>
        <w:rPr>
          <w:rFonts w:hint="eastAsia"/>
        </w:rPr>
        <w:t>骨关节外伤</w:t>
      </w:r>
    </w:p>
    <w:p w:rsidR="003717A0" w:rsidRDefault="003717A0">
      <w:pPr>
        <w:ind w:firstLineChars="200" w:firstLine="420"/>
      </w:pPr>
      <w:r>
        <w:rPr>
          <w:rFonts w:ascii="宋体" w:hAnsi="宋体" w:hint="eastAsia"/>
        </w:rPr>
        <w:t>①</w:t>
      </w:r>
      <w:r>
        <w:rPr>
          <w:rFonts w:hint="eastAsia"/>
        </w:rPr>
        <w:t>骨折：讲授骨折、骨折愈合及不愈合的</w:t>
      </w:r>
      <w:r>
        <w:t>X</w:t>
      </w:r>
      <w:r>
        <w:rPr>
          <w:rFonts w:hint="eastAsia"/>
        </w:rPr>
        <w:t>线表现和儿童骨折的特点，长骨骨折及脊柱骨折。</w:t>
      </w:r>
    </w:p>
    <w:p w:rsidR="003717A0" w:rsidRDefault="003717A0">
      <w:pPr>
        <w:ind w:firstLineChars="200" w:firstLine="420"/>
      </w:pPr>
      <w:r>
        <w:rPr>
          <w:rFonts w:ascii="宋体" w:hAnsi="宋体" w:hint="eastAsia"/>
        </w:rPr>
        <w:t>②</w:t>
      </w:r>
      <w:r>
        <w:rPr>
          <w:rFonts w:hint="eastAsia"/>
        </w:rPr>
        <w:t>关节脱位</w:t>
      </w:r>
    </w:p>
    <w:p w:rsidR="003717A0" w:rsidRDefault="003717A0">
      <w:pPr>
        <w:ind w:firstLineChars="200" w:firstLine="420"/>
      </w:pPr>
      <w:r>
        <w:t>2.</w:t>
      </w:r>
      <w:r>
        <w:rPr>
          <w:rFonts w:hint="eastAsia"/>
        </w:rPr>
        <w:t>骨、关节化脓性感染</w:t>
      </w:r>
    </w:p>
    <w:p w:rsidR="003717A0" w:rsidRDefault="003717A0">
      <w:pPr>
        <w:ind w:firstLineChars="200" w:firstLine="420"/>
        <w:rPr>
          <w:rFonts w:ascii="宋体"/>
        </w:rPr>
      </w:pPr>
      <w:r>
        <w:rPr>
          <w:rFonts w:ascii="宋体" w:hAnsi="宋体" w:hint="eastAsia"/>
        </w:rPr>
        <w:t>①化脓性骨髓炎：结合病理和演变过程讲授由急性转为慢性骨髓炎的</w:t>
      </w:r>
      <w:r>
        <w:rPr>
          <w:rFonts w:ascii="宋体" w:hAnsi="宋体"/>
        </w:rPr>
        <w:t>X</w:t>
      </w:r>
      <w:r>
        <w:rPr>
          <w:rFonts w:ascii="宋体" w:hAnsi="宋体" w:hint="eastAsia"/>
        </w:rPr>
        <w:t>线表现。</w:t>
      </w:r>
    </w:p>
    <w:p w:rsidR="003717A0" w:rsidRDefault="003717A0">
      <w:pPr>
        <w:ind w:firstLineChars="200" w:firstLine="420"/>
        <w:rPr>
          <w:rFonts w:ascii="宋体"/>
        </w:rPr>
      </w:pPr>
      <w:r>
        <w:rPr>
          <w:rFonts w:ascii="宋体" w:hAnsi="宋体" w:hint="eastAsia"/>
        </w:rPr>
        <w:t>②化脓性关节炎</w:t>
      </w:r>
    </w:p>
    <w:p w:rsidR="003717A0" w:rsidRDefault="003717A0">
      <w:pPr>
        <w:ind w:firstLineChars="200" w:firstLine="420"/>
        <w:rPr>
          <w:rFonts w:ascii="宋体"/>
        </w:rPr>
      </w:pPr>
      <w:r>
        <w:rPr>
          <w:rFonts w:ascii="宋体" w:hAnsi="宋体"/>
        </w:rPr>
        <w:t>3.</w:t>
      </w:r>
      <w:r>
        <w:rPr>
          <w:rFonts w:ascii="宋体" w:hAnsi="宋体" w:hint="eastAsia"/>
        </w:rPr>
        <w:t>骨、关节结核</w:t>
      </w:r>
    </w:p>
    <w:p w:rsidR="003717A0" w:rsidRDefault="003717A0">
      <w:pPr>
        <w:ind w:firstLineChars="200" w:firstLine="420"/>
        <w:rPr>
          <w:rFonts w:ascii="宋体"/>
        </w:rPr>
      </w:pPr>
      <w:r>
        <w:rPr>
          <w:rFonts w:ascii="宋体" w:hAnsi="宋体" w:hint="eastAsia"/>
        </w:rPr>
        <w:t>①骨、干骺端结核</w:t>
      </w:r>
      <w:r>
        <w:rPr>
          <w:rFonts w:ascii="宋体" w:hAnsi="宋体"/>
        </w:rPr>
        <w:t xml:space="preserve">          </w:t>
      </w:r>
      <w:r>
        <w:rPr>
          <w:rFonts w:ascii="宋体" w:hAnsi="宋体" w:hint="eastAsia"/>
        </w:rPr>
        <w:t>②关节结核</w:t>
      </w:r>
      <w:r>
        <w:rPr>
          <w:rFonts w:ascii="宋体" w:hAnsi="宋体"/>
        </w:rPr>
        <w:t xml:space="preserve">        </w:t>
      </w:r>
      <w:r>
        <w:rPr>
          <w:rFonts w:ascii="宋体" w:hAnsi="宋体" w:hint="eastAsia"/>
        </w:rPr>
        <w:t>③脊柱结核</w:t>
      </w:r>
    </w:p>
    <w:p w:rsidR="003717A0" w:rsidRDefault="003717A0">
      <w:pPr>
        <w:ind w:firstLineChars="200" w:firstLine="420"/>
        <w:rPr>
          <w:rFonts w:ascii="宋体"/>
        </w:rPr>
      </w:pPr>
      <w:r>
        <w:rPr>
          <w:rFonts w:ascii="宋体" w:hAnsi="宋体"/>
        </w:rPr>
        <w:t>4.</w:t>
      </w:r>
      <w:r>
        <w:rPr>
          <w:rFonts w:ascii="宋体" w:hAnsi="宋体" w:hint="eastAsia"/>
        </w:rPr>
        <w:t>骨肿瘤</w:t>
      </w:r>
    </w:p>
    <w:p w:rsidR="003717A0" w:rsidRDefault="003717A0">
      <w:pPr>
        <w:ind w:firstLineChars="200" w:firstLine="420"/>
        <w:rPr>
          <w:rFonts w:ascii="宋体"/>
        </w:rPr>
      </w:pPr>
      <w:r>
        <w:rPr>
          <w:rFonts w:ascii="宋体" w:hAnsi="宋体" w:hint="eastAsia"/>
        </w:rPr>
        <w:t>①良性：骨巨细胞瘤</w:t>
      </w:r>
      <w:r>
        <w:rPr>
          <w:rFonts w:ascii="宋体" w:hAnsi="宋体"/>
        </w:rPr>
        <w:t xml:space="preserve">           </w:t>
      </w:r>
      <w:r>
        <w:rPr>
          <w:rFonts w:ascii="宋体" w:hAnsi="宋体" w:hint="eastAsia"/>
        </w:rPr>
        <w:t>②恶性：骨肉瘤</w:t>
      </w:r>
      <w:r>
        <w:rPr>
          <w:rFonts w:ascii="宋体" w:hAnsi="宋体"/>
        </w:rPr>
        <w:t xml:space="preserve">      </w:t>
      </w:r>
      <w:r>
        <w:rPr>
          <w:rFonts w:ascii="宋体" w:hAnsi="宋体" w:hint="eastAsia"/>
        </w:rPr>
        <w:t>③转移性肿瘤</w:t>
      </w:r>
    </w:p>
    <w:p w:rsidR="003717A0" w:rsidRDefault="003717A0">
      <w:pPr>
        <w:numPr>
          <w:ilvl w:val="0"/>
          <w:numId w:val="14"/>
        </w:numPr>
        <w:tabs>
          <w:tab w:val="clear" w:pos="360"/>
        </w:tabs>
        <w:ind w:left="0" w:firstLineChars="200" w:firstLine="420"/>
        <w:rPr>
          <w:rFonts w:ascii="宋体"/>
        </w:rPr>
      </w:pPr>
      <w:r>
        <w:rPr>
          <w:rFonts w:ascii="宋体" w:hAnsi="宋体" w:hint="eastAsia"/>
        </w:rPr>
        <w:t>佝偻病</w:t>
      </w:r>
    </w:p>
    <w:p w:rsidR="003717A0" w:rsidRDefault="003717A0">
      <w:pPr>
        <w:numPr>
          <w:ilvl w:val="0"/>
          <w:numId w:val="14"/>
        </w:numPr>
        <w:tabs>
          <w:tab w:val="clear" w:pos="360"/>
        </w:tabs>
        <w:ind w:left="0" w:firstLineChars="200" w:firstLine="420"/>
        <w:rPr>
          <w:rFonts w:ascii="宋体"/>
        </w:rPr>
      </w:pPr>
      <w:r>
        <w:rPr>
          <w:rFonts w:ascii="宋体" w:hAnsi="宋体" w:hint="eastAsia"/>
        </w:rPr>
        <w:t>慢性骨关节病</w:t>
      </w:r>
    </w:p>
    <w:p w:rsidR="003717A0" w:rsidRDefault="003717A0">
      <w:pPr>
        <w:rPr>
          <w:rFonts w:ascii="宋体"/>
        </w:rPr>
      </w:pPr>
      <w:r>
        <w:rPr>
          <w:rFonts w:ascii="宋体" w:hAnsi="宋体" w:hint="eastAsia"/>
        </w:rPr>
        <w:t>六、骨关节疾病</w:t>
      </w:r>
      <w:r>
        <w:rPr>
          <w:rFonts w:ascii="宋体" w:hAnsi="宋体"/>
        </w:rPr>
        <w:t>CT</w:t>
      </w:r>
      <w:r>
        <w:rPr>
          <w:rFonts w:ascii="宋体" w:hAnsi="宋体" w:hint="eastAsia"/>
        </w:rPr>
        <w:t>与</w:t>
      </w:r>
      <w:r>
        <w:rPr>
          <w:rFonts w:ascii="宋体" w:hAnsi="宋体"/>
        </w:rPr>
        <w:t>MRI</w:t>
      </w:r>
      <w:r>
        <w:rPr>
          <w:rFonts w:ascii="宋体" w:hAnsi="宋体" w:hint="eastAsia"/>
        </w:rPr>
        <w:t>诊断</w:t>
      </w:r>
    </w:p>
    <w:p w:rsidR="003717A0" w:rsidRDefault="003717A0">
      <w:pPr>
        <w:ind w:firstLineChars="200" w:firstLine="420"/>
        <w:rPr>
          <w:rFonts w:ascii="宋体"/>
        </w:rPr>
      </w:pPr>
      <w:r>
        <w:rPr>
          <w:rFonts w:ascii="宋体" w:hAnsi="宋体"/>
        </w:rPr>
        <w:t>1.</w:t>
      </w:r>
      <w:r>
        <w:rPr>
          <w:rFonts w:ascii="宋体" w:hAnsi="宋体" w:hint="eastAsia"/>
        </w:rPr>
        <w:t>骨挫伤</w:t>
      </w:r>
      <w:r>
        <w:rPr>
          <w:rFonts w:ascii="宋体" w:hAnsi="宋体"/>
        </w:rPr>
        <w:t>MRI</w:t>
      </w:r>
      <w:r>
        <w:rPr>
          <w:rFonts w:ascii="宋体" w:hAnsi="宋体" w:hint="eastAsia"/>
        </w:rPr>
        <w:t>软骨半月板损伤</w:t>
      </w:r>
      <w:r>
        <w:rPr>
          <w:rFonts w:ascii="宋体" w:hAnsi="宋体"/>
        </w:rPr>
        <w:t>MRI</w:t>
      </w:r>
    </w:p>
    <w:p w:rsidR="003717A0" w:rsidRDefault="003717A0">
      <w:pPr>
        <w:ind w:firstLineChars="200" w:firstLine="420"/>
        <w:rPr>
          <w:rFonts w:ascii="宋体"/>
        </w:rPr>
      </w:pPr>
      <w:r>
        <w:rPr>
          <w:rFonts w:ascii="宋体" w:hAnsi="宋体"/>
        </w:rPr>
        <w:t>2.</w:t>
      </w:r>
      <w:r>
        <w:rPr>
          <w:rFonts w:ascii="宋体" w:hAnsi="宋体" w:hint="eastAsia"/>
        </w:rPr>
        <w:t>椎间盘突出的</w:t>
      </w:r>
      <w:r>
        <w:rPr>
          <w:rFonts w:ascii="宋体" w:hAnsi="宋体"/>
        </w:rPr>
        <w:t>CT</w:t>
      </w:r>
      <w:r>
        <w:rPr>
          <w:rFonts w:ascii="宋体" w:hAnsi="宋体" w:hint="eastAsia"/>
        </w:rPr>
        <w:t>与</w:t>
      </w:r>
      <w:r>
        <w:rPr>
          <w:rFonts w:ascii="宋体" w:hAnsi="宋体"/>
        </w:rPr>
        <w:t>MRI</w:t>
      </w:r>
      <w:r>
        <w:rPr>
          <w:rFonts w:ascii="宋体" w:hAnsi="宋体" w:hint="eastAsia"/>
        </w:rPr>
        <w:t>诊断</w:t>
      </w:r>
    </w:p>
    <w:p w:rsidR="003717A0" w:rsidRDefault="003717A0">
      <w:pPr>
        <w:rPr>
          <w:rFonts w:ascii="宋体"/>
        </w:rPr>
      </w:pPr>
      <w:r>
        <w:rPr>
          <w:rFonts w:ascii="宋体" w:hAnsi="宋体" w:hint="eastAsia"/>
        </w:rPr>
        <w:t>七、各种影像检查的比较和优选</w:t>
      </w:r>
    </w:p>
    <w:p w:rsidR="003717A0" w:rsidRDefault="003717A0">
      <w:pPr>
        <w:tabs>
          <w:tab w:val="left" w:pos="0"/>
        </w:tabs>
        <w:adjustRightInd w:val="0"/>
        <w:snapToGrid w:val="0"/>
        <w:spacing w:line="360" w:lineRule="auto"/>
        <w:ind w:right="4"/>
        <w:rPr>
          <w:rFonts w:ascii="Times New Roman" w:hAnsi="Times New Roman"/>
        </w:rPr>
      </w:pPr>
    </w:p>
    <w:p w:rsidR="003717A0" w:rsidRDefault="003717A0">
      <w:pPr>
        <w:adjustRightInd w:val="0"/>
        <w:snapToGrid w:val="0"/>
        <w:spacing w:line="360" w:lineRule="auto"/>
        <w:ind w:right="6" w:firstLineChars="200" w:firstLine="422"/>
        <w:rPr>
          <w:rFonts w:ascii="Times New Roman"/>
          <w:b/>
        </w:rPr>
      </w:pPr>
      <w:r>
        <w:rPr>
          <w:rFonts w:ascii="Times New Roman" w:hint="eastAsia"/>
          <w:b/>
        </w:rPr>
        <w:t>实习内容（</w:t>
      </w:r>
      <w:r>
        <w:rPr>
          <w:rFonts w:ascii="Times New Roman" w:hAnsi="Times New Roman"/>
          <w:b/>
        </w:rPr>
        <w:t>1</w:t>
      </w:r>
      <w:r>
        <w:rPr>
          <w:rFonts w:ascii="Times New Roman" w:hint="eastAsia"/>
          <w:b/>
        </w:rPr>
        <w:t>学时）</w:t>
      </w:r>
    </w:p>
    <w:p w:rsidR="003717A0" w:rsidRDefault="003717A0">
      <w:pPr>
        <w:ind w:firstLine="435"/>
      </w:pPr>
      <w:r>
        <w:rPr>
          <w:rFonts w:hint="eastAsia"/>
        </w:rPr>
        <w:t>分小组读片，使学生掌握骨、关节的基本病变影像学表现；掌握常见部位骨关节常见病变的</w:t>
      </w:r>
      <w:r>
        <w:t>X</w:t>
      </w:r>
      <w:r>
        <w:rPr>
          <w:rFonts w:hint="eastAsia"/>
        </w:rPr>
        <w:t>线、</w:t>
      </w:r>
      <w:r>
        <w:t>CT</w:t>
      </w:r>
      <w:r>
        <w:rPr>
          <w:rFonts w:hint="eastAsia"/>
        </w:rPr>
        <w:t>表现，椎间盘病变的</w:t>
      </w:r>
      <w:r>
        <w:t>CT</w:t>
      </w:r>
      <w:r>
        <w:rPr>
          <w:rFonts w:hint="eastAsia"/>
        </w:rPr>
        <w:t>、</w:t>
      </w:r>
      <w:r>
        <w:t>MRI</w:t>
      </w:r>
      <w:r>
        <w:rPr>
          <w:rFonts w:hint="eastAsia"/>
        </w:rPr>
        <w:t>表现</w:t>
      </w:r>
    </w:p>
    <w:p w:rsidR="003717A0" w:rsidRDefault="003717A0">
      <w:pPr>
        <w:adjustRightInd w:val="0"/>
        <w:snapToGrid w:val="0"/>
        <w:spacing w:line="360" w:lineRule="auto"/>
        <w:ind w:right="6" w:firstLineChars="200" w:firstLine="422"/>
        <w:rPr>
          <w:rFonts w:ascii="Times New Roman" w:hAnsi="Times New Roman"/>
          <w:b/>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目的要求</w:t>
      </w:r>
    </w:p>
    <w:p w:rsidR="003717A0" w:rsidRDefault="003717A0" w:rsidP="00553236">
      <w:pPr>
        <w:ind w:firstLineChars="200" w:firstLine="420"/>
      </w:pPr>
      <w:r>
        <w:t>1.</w:t>
      </w:r>
      <w:r>
        <w:rPr>
          <w:rFonts w:hint="eastAsia"/>
        </w:rPr>
        <w:t>了解骨、关节的影像学检查方法</w:t>
      </w:r>
    </w:p>
    <w:p w:rsidR="003717A0" w:rsidRDefault="003717A0" w:rsidP="00553236">
      <w:pPr>
        <w:ind w:firstLineChars="200" w:firstLine="420"/>
      </w:pPr>
      <w:r>
        <w:t>2.</w:t>
      </w:r>
      <w:r>
        <w:rPr>
          <w:rFonts w:hint="eastAsia"/>
        </w:rPr>
        <w:t>掌握骨、关节的正常影像学表现</w:t>
      </w:r>
    </w:p>
    <w:p w:rsidR="003717A0" w:rsidRDefault="003717A0" w:rsidP="00553236">
      <w:pPr>
        <w:ind w:firstLineChars="200" w:firstLine="420"/>
      </w:pPr>
      <w:r>
        <w:t>3.</w:t>
      </w:r>
      <w:r>
        <w:rPr>
          <w:rFonts w:hint="eastAsia"/>
        </w:rPr>
        <w:t>掌握骨、关节的基本病变影像学表现</w:t>
      </w:r>
    </w:p>
    <w:p w:rsidR="003717A0" w:rsidRDefault="003717A0" w:rsidP="00553236">
      <w:pPr>
        <w:ind w:firstLineChars="200" w:firstLine="420"/>
      </w:pPr>
      <w:r>
        <w:t>4.</w:t>
      </w:r>
      <w:r>
        <w:rPr>
          <w:rFonts w:hint="eastAsia"/>
        </w:rPr>
        <w:t>掌握常见部位骨骼骨折的</w:t>
      </w:r>
      <w:r>
        <w:t>X</w:t>
      </w:r>
      <w:r>
        <w:rPr>
          <w:rFonts w:hint="eastAsia"/>
        </w:rPr>
        <w:t>线、</w:t>
      </w:r>
      <w:r>
        <w:t>CT</w:t>
      </w:r>
      <w:r>
        <w:rPr>
          <w:rFonts w:hint="eastAsia"/>
        </w:rPr>
        <w:t>表现，椎间盘病变的</w:t>
      </w:r>
      <w:r>
        <w:t>CT</w:t>
      </w:r>
      <w:r>
        <w:rPr>
          <w:rFonts w:hint="eastAsia"/>
        </w:rPr>
        <w:t>、</w:t>
      </w:r>
      <w:r>
        <w:t>MRI</w:t>
      </w:r>
      <w:r>
        <w:rPr>
          <w:rFonts w:hint="eastAsia"/>
        </w:rPr>
        <w:t>表现</w:t>
      </w:r>
    </w:p>
    <w:p w:rsidR="003717A0" w:rsidRDefault="003717A0" w:rsidP="00553236">
      <w:pPr>
        <w:ind w:firstLineChars="200" w:firstLine="420"/>
      </w:pPr>
      <w:r>
        <w:t>5.</w:t>
      </w:r>
      <w:r>
        <w:rPr>
          <w:rFonts w:hint="eastAsia"/>
        </w:rPr>
        <w:t>掌握骨关节化脓性和结核性感染的</w:t>
      </w:r>
      <w:r>
        <w:t>X</w:t>
      </w:r>
      <w:r>
        <w:rPr>
          <w:rFonts w:hint="eastAsia"/>
        </w:rPr>
        <w:t>线表现、良性与恶性骨肿瘤的影像学鉴别、最常见骨肿瘤的影像学表现</w:t>
      </w:r>
    </w:p>
    <w:p w:rsidR="003717A0" w:rsidRDefault="003717A0" w:rsidP="00553236">
      <w:pPr>
        <w:ind w:firstLineChars="200" w:firstLine="420"/>
      </w:pPr>
      <w:r>
        <w:t>6.</w:t>
      </w:r>
      <w:r>
        <w:rPr>
          <w:rFonts w:hint="eastAsia"/>
        </w:rPr>
        <w:t>掌握佝偻病的</w:t>
      </w:r>
      <w:r>
        <w:t>X</w:t>
      </w:r>
      <w:r>
        <w:rPr>
          <w:rFonts w:hint="eastAsia"/>
        </w:rPr>
        <w:t>线表现</w:t>
      </w:r>
    </w:p>
    <w:p w:rsidR="003717A0" w:rsidRDefault="003717A0" w:rsidP="00553236">
      <w:pPr>
        <w:ind w:firstLineChars="200" w:firstLine="420"/>
      </w:pPr>
      <w:r>
        <w:t>7.</w:t>
      </w:r>
      <w:r>
        <w:rPr>
          <w:rFonts w:hint="eastAsia"/>
        </w:rPr>
        <w:t>了解骨、关节疾病的</w:t>
      </w:r>
      <w:r>
        <w:t>CT</w:t>
      </w:r>
      <w:r>
        <w:rPr>
          <w:rFonts w:hint="eastAsia"/>
        </w:rPr>
        <w:t>与</w:t>
      </w:r>
      <w:r>
        <w:t>MRI</w:t>
      </w:r>
      <w:r>
        <w:rPr>
          <w:rFonts w:hint="eastAsia"/>
        </w:rPr>
        <w:t>诊断价值。</w:t>
      </w: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呼吸系统影像学诊断</w:t>
      </w:r>
    </w:p>
    <w:p w:rsidR="003717A0" w:rsidRDefault="003717A0" w:rsidP="005E20B5">
      <w:pPr>
        <w:adjustRightInd w:val="0"/>
        <w:snapToGrid w:val="0"/>
        <w:spacing w:beforeLines="50" w:line="360" w:lineRule="auto"/>
        <w:ind w:right="6"/>
        <w:jc w:val="center"/>
        <w:rPr>
          <w:b/>
          <w:sz w:val="22"/>
        </w:rPr>
      </w:pP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4</w:t>
      </w:r>
      <w:r>
        <w:rPr>
          <w:rFonts w:ascii="Times New Roman" w:hint="eastAsia"/>
          <w:b/>
        </w:rPr>
        <w:t>学时）</w:t>
      </w:r>
    </w:p>
    <w:p w:rsidR="003717A0" w:rsidRDefault="003717A0">
      <w:r>
        <w:rPr>
          <w:rFonts w:hint="eastAsia"/>
        </w:rPr>
        <w:t>一、引言</w:t>
      </w:r>
    </w:p>
    <w:p w:rsidR="003717A0" w:rsidRDefault="003717A0">
      <w:pPr>
        <w:ind w:firstLine="435"/>
      </w:pPr>
      <w:r>
        <w:rPr>
          <w:rFonts w:hint="eastAsia"/>
        </w:rPr>
        <w:t>概述呼吸系统有良好的自然对比，常见病多，</w:t>
      </w:r>
      <w:r>
        <w:t>X</w:t>
      </w:r>
      <w:r>
        <w:rPr>
          <w:rFonts w:hint="eastAsia"/>
        </w:rPr>
        <w:t>线检查是呼吸系统疾病有效的诊断方法，应用广泛，但也有限度，需密切结合临床资料才能更好地发挥作用。</w:t>
      </w:r>
    </w:p>
    <w:p w:rsidR="003717A0" w:rsidRDefault="003717A0">
      <w:pPr>
        <w:ind w:firstLine="435"/>
      </w:pPr>
      <w:r>
        <w:rPr>
          <w:rFonts w:hint="eastAsia"/>
        </w:rPr>
        <w:lastRenderedPageBreak/>
        <w:t>二、检查方法</w:t>
      </w:r>
    </w:p>
    <w:p w:rsidR="003717A0" w:rsidRDefault="003717A0">
      <w:pPr>
        <w:ind w:firstLine="435"/>
      </w:pPr>
      <w:r>
        <w:rPr>
          <w:rFonts w:hint="eastAsia"/>
        </w:rPr>
        <w:t>三、正常影像学表现</w:t>
      </w:r>
    </w:p>
    <w:p w:rsidR="003717A0" w:rsidRDefault="003717A0">
      <w:pPr>
        <w:ind w:firstLine="435"/>
      </w:pPr>
      <w:r>
        <w:rPr>
          <w:rFonts w:hint="eastAsia"/>
        </w:rPr>
        <w:t>讲授胸壁、纵隔、膈、肺部和胸膜的正常</w:t>
      </w:r>
      <w:r>
        <w:t>X</w:t>
      </w:r>
      <w:r>
        <w:rPr>
          <w:rFonts w:hint="eastAsia"/>
        </w:rPr>
        <w:t>线和</w:t>
      </w:r>
      <w:r>
        <w:t>CT</w:t>
      </w:r>
      <w:r>
        <w:rPr>
          <w:rFonts w:hint="eastAsia"/>
        </w:rPr>
        <w:t>表现。肺部要结合解剖和生理。如支气管、淋巴结、肺血管、肺叶、肺段和小叶；讲授肺门、肺纹理和肺野。注意肺野同肺叶及肺段的关系。</w:t>
      </w:r>
    </w:p>
    <w:p w:rsidR="003717A0" w:rsidRDefault="003717A0">
      <w:pPr>
        <w:ind w:firstLine="435"/>
      </w:pPr>
      <w:r>
        <w:rPr>
          <w:rFonts w:hint="eastAsia"/>
        </w:rPr>
        <w:t>四、基本病变影像学表现</w:t>
      </w:r>
    </w:p>
    <w:p w:rsidR="003717A0" w:rsidRDefault="003717A0">
      <w:pPr>
        <w:ind w:firstLine="435"/>
      </w:pPr>
      <w:r>
        <w:rPr>
          <w:rFonts w:hint="eastAsia"/>
        </w:rPr>
        <w:t>概述呼吸系统基本病变在</w:t>
      </w:r>
      <w:r>
        <w:t>X</w:t>
      </w:r>
      <w:r>
        <w:rPr>
          <w:rFonts w:hint="eastAsia"/>
        </w:rPr>
        <w:t>线上和</w:t>
      </w:r>
      <w:r>
        <w:t>CT</w:t>
      </w:r>
      <w:r>
        <w:rPr>
          <w:rFonts w:hint="eastAsia"/>
        </w:rPr>
        <w:t>主要表现为肺野透光度的改变和肺野中出现不同密度与形态的影像。</w:t>
      </w:r>
    </w:p>
    <w:p w:rsidR="003717A0" w:rsidRDefault="003717A0">
      <w:pPr>
        <w:ind w:firstLine="435"/>
      </w:pPr>
      <w:r>
        <w:rPr>
          <w:rFonts w:hint="eastAsia"/>
        </w:rPr>
        <w:t>（一）支气管阻塞及其后果</w:t>
      </w:r>
    </w:p>
    <w:p w:rsidR="003717A0" w:rsidRDefault="003717A0">
      <w:pPr>
        <w:ind w:firstLine="435"/>
      </w:pPr>
      <w:r>
        <w:t>1.</w:t>
      </w:r>
      <w:r>
        <w:rPr>
          <w:rFonts w:hint="eastAsia"/>
        </w:rPr>
        <w:t>阻塞性肺气肿</w:t>
      </w:r>
      <w:r>
        <w:t xml:space="preserve">                   2.</w:t>
      </w:r>
      <w:r>
        <w:rPr>
          <w:rFonts w:hint="eastAsia"/>
        </w:rPr>
        <w:t>阻塞性肺不张</w:t>
      </w:r>
      <w:r>
        <w:t xml:space="preserve">     3.</w:t>
      </w:r>
      <w:r>
        <w:rPr>
          <w:rFonts w:hint="eastAsia"/>
        </w:rPr>
        <w:t>阻塞性肺炎</w:t>
      </w:r>
    </w:p>
    <w:p w:rsidR="003717A0" w:rsidRDefault="003717A0">
      <w:pPr>
        <w:ind w:firstLine="435"/>
      </w:pPr>
      <w:r>
        <w:rPr>
          <w:rFonts w:hint="eastAsia"/>
        </w:rPr>
        <w:t>（二）肺部病变</w:t>
      </w:r>
    </w:p>
    <w:p w:rsidR="003717A0" w:rsidRDefault="003717A0">
      <w:pPr>
        <w:ind w:firstLine="435"/>
      </w:pPr>
      <w:r>
        <w:t>1.</w:t>
      </w:r>
      <w:r>
        <w:rPr>
          <w:rFonts w:hint="eastAsia"/>
        </w:rPr>
        <w:t>渗出与实变</w:t>
      </w:r>
      <w:r>
        <w:t xml:space="preserve">              2.</w:t>
      </w:r>
      <w:r>
        <w:rPr>
          <w:rFonts w:hint="eastAsia"/>
        </w:rPr>
        <w:t>空洞与空腔</w:t>
      </w:r>
      <w:r>
        <w:t xml:space="preserve">            3.</w:t>
      </w:r>
      <w:r>
        <w:rPr>
          <w:rFonts w:hint="eastAsia"/>
        </w:rPr>
        <w:t>结节与肿块</w:t>
      </w:r>
      <w:r>
        <w:t xml:space="preserve">         </w:t>
      </w:r>
    </w:p>
    <w:p w:rsidR="003717A0" w:rsidRDefault="003717A0">
      <w:pPr>
        <w:ind w:firstLine="435"/>
      </w:pPr>
      <w:r>
        <w:t>4.</w:t>
      </w:r>
      <w:r>
        <w:rPr>
          <w:rFonts w:hint="eastAsia"/>
        </w:rPr>
        <w:t>网状、细线状及索条状影</w:t>
      </w:r>
      <w:r>
        <w:t xml:space="preserve">        6. </w:t>
      </w:r>
      <w:r>
        <w:rPr>
          <w:rFonts w:hint="eastAsia"/>
        </w:rPr>
        <w:t>钙化</w:t>
      </w:r>
    </w:p>
    <w:p w:rsidR="003717A0" w:rsidRDefault="003717A0">
      <w:pPr>
        <w:ind w:firstLine="435"/>
      </w:pPr>
      <w:r>
        <w:rPr>
          <w:rFonts w:hint="eastAsia"/>
        </w:rPr>
        <w:t>（三）胸膜病变</w:t>
      </w:r>
    </w:p>
    <w:p w:rsidR="003717A0" w:rsidRDefault="003717A0">
      <w:pPr>
        <w:ind w:firstLine="435"/>
      </w:pPr>
      <w:r>
        <w:t>1.</w:t>
      </w:r>
      <w:r>
        <w:rPr>
          <w:rFonts w:hint="eastAsia"/>
        </w:rPr>
        <w:t>胸腔积液</w:t>
      </w:r>
      <w:r>
        <w:t xml:space="preserve">          2.</w:t>
      </w:r>
      <w:r>
        <w:rPr>
          <w:rFonts w:hint="eastAsia"/>
        </w:rPr>
        <w:t>气胸及液气胸</w:t>
      </w:r>
      <w:r>
        <w:t xml:space="preserve">        3.</w:t>
      </w:r>
      <w:r>
        <w:rPr>
          <w:rFonts w:hint="eastAsia"/>
        </w:rPr>
        <w:t>胸膜粘连、肥厚及钙化</w:t>
      </w:r>
      <w:r>
        <w:t xml:space="preserve">   4.</w:t>
      </w:r>
      <w:r>
        <w:rPr>
          <w:rFonts w:hint="eastAsia"/>
        </w:rPr>
        <w:t>胸膜肿块</w:t>
      </w:r>
    </w:p>
    <w:p w:rsidR="003717A0" w:rsidRDefault="003717A0">
      <w:pPr>
        <w:ind w:firstLine="435"/>
      </w:pPr>
      <w:r>
        <w:rPr>
          <w:rFonts w:hint="eastAsia"/>
        </w:rPr>
        <w:t>（四）纵膈病变</w:t>
      </w:r>
    </w:p>
    <w:p w:rsidR="003717A0" w:rsidRDefault="003717A0">
      <w:pPr>
        <w:ind w:firstLine="435"/>
      </w:pPr>
      <w:r>
        <w:rPr>
          <w:rFonts w:hint="eastAsia"/>
        </w:rPr>
        <w:t>五、常见病</w:t>
      </w:r>
      <w:r>
        <w:t>X</w:t>
      </w:r>
      <w:r>
        <w:rPr>
          <w:rFonts w:hint="eastAsia"/>
        </w:rPr>
        <w:t>线和</w:t>
      </w:r>
      <w:r>
        <w:t>CT</w:t>
      </w:r>
      <w:r>
        <w:rPr>
          <w:rFonts w:hint="eastAsia"/>
        </w:rPr>
        <w:t>、</w:t>
      </w:r>
      <w:r>
        <w:t>MRI</w:t>
      </w:r>
      <w:r>
        <w:rPr>
          <w:rFonts w:hint="eastAsia"/>
        </w:rPr>
        <w:t>表现</w:t>
      </w:r>
    </w:p>
    <w:p w:rsidR="003717A0" w:rsidRDefault="003717A0">
      <w:pPr>
        <w:ind w:firstLine="435"/>
      </w:pPr>
      <w:r>
        <w:rPr>
          <w:rFonts w:hint="eastAsia"/>
        </w:rPr>
        <w:t>（一）支气管扩张</w:t>
      </w:r>
    </w:p>
    <w:p w:rsidR="003717A0" w:rsidRDefault="003717A0">
      <w:pPr>
        <w:ind w:firstLine="435"/>
      </w:pPr>
      <w:r>
        <w:rPr>
          <w:rFonts w:hint="eastAsia"/>
        </w:rPr>
        <w:t>（二）肺炎</w:t>
      </w:r>
      <w:r>
        <w:t xml:space="preserve"> </w:t>
      </w:r>
    </w:p>
    <w:p w:rsidR="003717A0" w:rsidRDefault="003717A0">
      <w:pPr>
        <w:ind w:firstLine="435"/>
      </w:pPr>
      <w:r>
        <w:t>1.</w:t>
      </w:r>
      <w:r>
        <w:rPr>
          <w:rFonts w:hint="eastAsia"/>
        </w:rPr>
        <w:t>大叶肺炎</w:t>
      </w:r>
      <w:r>
        <w:t xml:space="preserve">           2.</w:t>
      </w:r>
      <w:r>
        <w:rPr>
          <w:rFonts w:hint="eastAsia"/>
        </w:rPr>
        <w:t>支气管肺炎</w:t>
      </w:r>
      <w:r>
        <w:t xml:space="preserve">        3.</w:t>
      </w:r>
      <w:r>
        <w:rPr>
          <w:rFonts w:hint="eastAsia"/>
        </w:rPr>
        <w:t>间质性肺炎</w:t>
      </w:r>
    </w:p>
    <w:p w:rsidR="003717A0" w:rsidRDefault="003717A0">
      <w:pPr>
        <w:ind w:firstLine="435"/>
      </w:pPr>
      <w:r>
        <w:rPr>
          <w:rFonts w:hint="eastAsia"/>
        </w:rPr>
        <w:t>（三）肺脓肿</w:t>
      </w:r>
    </w:p>
    <w:p w:rsidR="003717A0" w:rsidRDefault="003717A0">
      <w:pPr>
        <w:ind w:firstLine="435"/>
      </w:pPr>
      <w:r>
        <w:rPr>
          <w:rFonts w:hint="eastAsia"/>
        </w:rPr>
        <w:t>（四）肺结核</w:t>
      </w:r>
    </w:p>
    <w:p w:rsidR="003717A0" w:rsidRDefault="003717A0">
      <w:pPr>
        <w:ind w:firstLine="435"/>
      </w:pPr>
      <w:r>
        <w:rPr>
          <w:rFonts w:hint="eastAsia"/>
        </w:rPr>
        <w:t>（五）肺肿瘤</w:t>
      </w:r>
    </w:p>
    <w:p w:rsidR="003717A0" w:rsidRDefault="003717A0">
      <w:pPr>
        <w:ind w:firstLine="435"/>
      </w:pPr>
      <w:r>
        <w:rPr>
          <w:rFonts w:hint="eastAsia"/>
        </w:rPr>
        <w:t>结合</w:t>
      </w:r>
      <w:r>
        <w:t>X</w:t>
      </w:r>
      <w:r>
        <w:rPr>
          <w:rFonts w:hint="eastAsia"/>
        </w:rPr>
        <w:t>线和</w:t>
      </w:r>
      <w:r>
        <w:t>CT</w:t>
      </w:r>
      <w:r>
        <w:rPr>
          <w:rFonts w:hint="eastAsia"/>
        </w:rPr>
        <w:t>分型及转移途径，阐明原发性肺癌的</w:t>
      </w:r>
      <w:r>
        <w:t>X</w:t>
      </w:r>
      <w:r>
        <w:rPr>
          <w:rFonts w:hint="eastAsia"/>
        </w:rPr>
        <w:t>线和</w:t>
      </w:r>
      <w:r>
        <w:t>CT</w:t>
      </w:r>
      <w:r>
        <w:rPr>
          <w:rFonts w:hint="eastAsia"/>
        </w:rPr>
        <w:t>表现。</w:t>
      </w:r>
    </w:p>
    <w:p w:rsidR="003717A0" w:rsidRDefault="003717A0">
      <w:pPr>
        <w:ind w:firstLine="435"/>
      </w:pPr>
      <w:r>
        <w:rPr>
          <w:rFonts w:hint="eastAsia"/>
        </w:rPr>
        <w:t>（六）纵隔疾病</w:t>
      </w:r>
    </w:p>
    <w:p w:rsidR="003717A0" w:rsidRDefault="003717A0">
      <w:pPr>
        <w:ind w:firstLine="435"/>
      </w:pPr>
      <w:r>
        <w:t>CT</w:t>
      </w:r>
      <w:r>
        <w:rPr>
          <w:rFonts w:hint="eastAsia"/>
        </w:rPr>
        <w:t>、</w:t>
      </w:r>
      <w:r>
        <w:t>MRI</w:t>
      </w:r>
      <w:r>
        <w:rPr>
          <w:rFonts w:hint="eastAsia"/>
        </w:rPr>
        <w:t>对纵隔疾病的诊断、鉴别诊断。</w:t>
      </w:r>
    </w:p>
    <w:p w:rsidR="003717A0" w:rsidRDefault="00553236" w:rsidP="00553236">
      <w:pPr>
        <w:tabs>
          <w:tab w:val="left" w:pos="855"/>
        </w:tabs>
        <w:ind w:left="855" w:hanging="420"/>
      </w:pPr>
      <w:r>
        <w:rPr>
          <w:rFonts w:hint="eastAsia"/>
        </w:rPr>
        <w:t>1.</w:t>
      </w:r>
      <w:r w:rsidR="003717A0">
        <w:rPr>
          <w:rFonts w:hint="eastAsia"/>
        </w:rPr>
        <w:t>胸内甲状腺肿</w:t>
      </w:r>
      <w:r w:rsidR="003717A0">
        <w:t xml:space="preserve">  2.</w:t>
      </w:r>
      <w:r w:rsidR="003717A0">
        <w:rPr>
          <w:rFonts w:hint="eastAsia"/>
        </w:rPr>
        <w:t>胸腺瘤</w:t>
      </w:r>
      <w:r w:rsidR="003717A0">
        <w:t xml:space="preserve">  3.</w:t>
      </w:r>
      <w:r w:rsidR="003717A0">
        <w:rPr>
          <w:rFonts w:hint="eastAsia"/>
        </w:rPr>
        <w:t>畸胎类肿瘤</w:t>
      </w:r>
      <w:r w:rsidR="003717A0">
        <w:t xml:space="preserve">  4.</w:t>
      </w:r>
      <w:r w:rsidR="003717A0">
        <w:rPr>
          <w:rFonts w:hint="eastAsia"/>
        </w:rPr>
        <w:t>淋巴瘤</w:t>
      </w:r>
      <w:r w:rsidR="003717A0">
        <w:t xml:space="preserve">  5.</w:t>
      </w:r>
      <w:r w:rsidR="003717A0">
        <w:rPr>
          <w:rFonts w:hint="eastAsia"/>
        </w:rPr>
        <w:t>神经源性肿瘤</w:t>
      </w:r>
      <w:r w:rsidR="003717A0">
        <w:t xml:space="preserve">  6.</w:t>
      </w:r>
      <w:r w:rsidR="003717A0">
        <w:rPr>
          <w:rFonts w:hint="eastAsia"/>
        </w:rPr>
        <w:t>囊性肿块</w:t>
      </w:r>
    </w:p>
    <w:p w:rsidR="003717A0" w:rsidRDefault="003717A0">
      <w:pPr>
        <w:ind w:firstLineChars="200" w:firstLine="420"/>
        <w:rPr>
          <w:rFonts w:ascii="宋体"/>
        </w:rPr>
      </w:pPr>
      <w:r>
        <w:rPr>
          <w:rFonts w:ascii="宋体" w:hAnsi="宋体" w:hint="eastAsia"/>
        </w:rPr>
        <w:t>七、各种影像检查的比较和优选</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2</w:t>
      </w:r>
      <w:r>
        <w:rPr>
          <w:rFonts w:ascii="Times New Roman" w:hint="eastAsia"/>
          <w:b/>
        </w:rPr>
        <w:t>学时）</w:t>
      </w:r>
    </w:p>
    <w:p w:rsidR="003717A0" w:rsidRDefault="003717A0">
      <w:pPr>
        <w:tabs>
          <w:tab w:val="left" w:pos="855"/>
        </w:tabs>
        <w:ind w:left="855" w:hanging="420"/>
      </w:pPr>
      <w:r>
        <w:rPr>
          <w:rFonts w:hint="eastAsia"/>
        </w:rPr>
        <w:t>分小组读片，掌握肺炎、肺结核及原发性肺癌的典型</w:t>
      </w:r>
      <w:r>
        <w:t>X</w:t>
      </w:r>
      <w:r>
        <w:rPr>
          <w:rFonts w:hint="eastAsia"/>
        </w:rPr>
        <w:t>线和</w:t>
      </w:r>
      <w:r>
        <w:t>CT</w:t>
      </w:r>
      <w:r>
        <w:rPr>
          <w:rFonts w:hint="eastAsia"/>
        </w:rPr>
        <w:t>表现；掌握纵隔常见疾病的</w:t>
      </w:r>
      <w:r>
        <w:t>CT</w:t>
      </w:r>
      <w:r>
        <w:rPr>
          <w:rFonts w:hint="eastAsia"/>
        </w:rPr>
        <w:t>、</w:t>
      </w:r>
      <w:r>
        <w:t>MRI</w:t>
      </w:r>
      <w:r>
        <w:rPr>
          <w:rFonts w:hint="eastAsia"/>
        </w:rPr>
        <w:t>影像诊断和鉴别诊断</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tabs>
          <w:tab w:val="left" w:pos="855"/>
        </w:tabs>
        <w:ind w:left="855" w:hanging="420"/>
      </w:pPr>
      <w:r>
        <w:t>1.</w:t>
      </w:r>
      <w:r>
        <w:rPr>
          <w:rFonts w:hint="eastAsia"/>
        </w:rPr>
        <w:t>掌握肺炎、肺结核及原发性肺癌的典型</w:t>
      </w:r>
      <w:r>
        <w:t>X</w:t>
      </w:r>
      <w:r>
        <w:rPr>
          <w:rFonts w:hint="eastAsia"/>
        </w:rPr>
        <w:t>线和</w:t>
      </w:r>
      <w:r>
        <w:t>CT</w:t>
      </w:r>
      <w:r>
        <w:rPr>
          <w:rFonts w:hint="eastAsia"/>
        </w:rPr>
        <w:t>表现</w:t>
      </w:r>
    </w:p>
    <w:p w:rsidR="003717A0" w:rsidRDefault="003717A0">
      <w:pPr>
        <w:tabs>
          <w:tab w:val="left" w:pos="855"/>
        </w:tabs>
        <w:ind w:left="855" w:hanging="420"/>
      </w:pPr>
      <w:r>
        <w:t>2.</w:t>
      </w:r>
      <w:r>
        <w:rPr>
          <w:rFonts w:hint="eastAsia"/>
        </w:rPr>
        <w:t>掌握纵隔常见疾病的</w:t>
      </w:r>
      <w:r>
        <w:t>CT</w:t>
      </w:r>
      <w:r>
        <w:rPr>
          <w:rFonts w:hint="eastAsia"/>
        </w:rPr>
        <w:t>、</w:t>
      </w:r>
      <w:r>
        <w:t>MRI</w:t>
      </w:r>
      <w:r>
        <w:rPr>
          <w:rFonts w:hint="eastAsia"/>
        </w:rPr>
        <w:t>影像诊断和鉴别诊断</w:t>
      </w:r>
    </w:p>
    <w:p w:rsidR="003717A0" w:rsidRDefault="003717A0" w:rsidP="005E20B5">
      <w:pPr>
        <w:adjustRightInd w:val="0"/>
        <w:snapToGrid w:val="0"/>
        <w:spacing w:beforeLines="50" w:line="360" w:lineRule="auto"/>
        <w:ind w:right="6"/>
        <w:jc w:val="center"/>
        <w:rPr>
          <w:b/>
          <w:sz w:val="22"/>
        </w:rPr>
      </w:pPr>
      <w:r>
        <w:rPr>
          <w:rFonts w:hint="eastAsia"/>
          <w:b/>
          <w:sz w:val="22"/>
        </w:rPr>
        <w:t>第四章</w:t>
      </w:r>
      <w:r>
        <w:rPr>
          <w:b/>
          <w:sz w:val="22"/>
        </w:rPr>
        <w:t xml:space="preserve">  </w:t>
      </w:r>
      <w:r>
        <w:rPr>
          <w:rFonts w:hint="eastAsia"/>
          <w:b/>
          <w:sz w:val="22"/>
        </w:rPr>
        <w:t>循环系统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4</w:t>
      </w:r>
      <w:r>
        <w:rPr>
          <w:rFonts w:ascii="Times New Roman" w:hint="eastAsia"/>
          <w:b/>
        </w:rPr>
        <w:t>学时）</w:t>
      </w:r>
    </w:p>
    <w:p w:rsidR="003717A0" w:rsidRDefault="003717A0">
      <w:pPr>
        <w:tabs>
          <w:tab w:val="left" w:pos="855"/>
        </w:tabs>
        <w:ind w:left="855" w:hanging="420"/>
      </w:pPr>
      <w:r>
        <w:rPr>
          <w:rFonts w:hint="eastAsia"/>
        </w:rPr>
        <w:t>引言</w:t>
      </w:r>
    </w:p>
    <w:p w:rsidR="003717A0" w:rsidRDefault="003717A0">
      <w:pPr>
        <w:ind w:left="435"/>
      </w:pPr>
      <w:r>
        <w:rPr>
          <w:rFonts w:hint="eastAsia"/>
        </w:rPr>
        <w:t>概述普通</w:t>
      </w:r>
      <w:r>
        <w:t>X</w:t>
      </w:r>
      <w:r>
        <w:rPr>
          <w:rFonts w:hint="eastAsia"/>
        </w:rPr>
        <w:t>线检查方法对心脏大血管疾病诊断的作用与限度、</w:t>
      </w:r>
      <w:r>
        <w:t>CT</w:t>
      </w:r>
      <w:r>
        <w:rPr>
          <w:rFonts w:hint="eastAsia"/>
        </w:rPr>
        <w:t>、</w:t>
      </w:r>
      <w:r>
        <w:t>MRI</w:t>
      </w:r>
      <w:r>
        <w:rPr>
          <w:rFonts w:hint="eastAsia"/>
        </w:rPr>
        <w:t>、超声心动图</w:t>
      </w:r>
    </w:p>
    <w:p w:rsidR="003717A0" w:rsidRDefault="003717A0">
      <w:r>
        <w:rPr>
          <w:rFonts w:hint="eastAsia"/>
        </w:rPr>
        <w:t>的优势与价值，并强调结合其它检查结果的重要性。</w:t>
      </w:r>
    </w:p>
    <w:p w:rsidR="003717A0" w:rsidRDefault="003717A0">
      <w:pPr>
        <w:tabs>
          <w:tab w:val="left" w:pos="855"/>
        </w:tabs>
        <w:ind w:left="855" w:hanging="420"/>
      </w:pPr>
      <w:r>
        <w:rPr>
          <w:rFonts w:hint="eastAsia"/>
        </w:rPr>
        <w:t>检查方法</w:t>
      </w:r>
    </w:p>
    <w:p w:rsidR="003717A0" w:rsidRDefault="003717A0">
      <w:pPr>
        <w:tabs>
          <w:tab w:val="left" w:pos="855"/>
        </w:tabs>
        <w:ind w:left="855" w:hanging="420"/>
      </w:pPr>
      <w:r>
        <w:rPr>
          <w:rFonts w:hint="eastAsia"/>
        </w:rPr>
        <w:t>正常</w:t>
      </w:r>
      <w:r>
        <w:t>X</w:t>
      </w:r>
      <w:r>
        <w:rPr>
          <w:rFonts w:hint="eastAsia"/>
        </w:rPr>
        <w:t>线表现</w:t>
      </w:r>
    </w:p>
    <w:p w:rsidR="003717A0" w:rsidRDefault="003717A0">
      <w:pPr>
        <w:ind w:firstLine="435"/>
      </w:pPr>
      <w:r>
        <w:rPr>
          <w:rFonts w:hint="eastAsia"/>
        </w:rPr>
        <w:t>结合心脏大血管的解剖、生理、讲授正常</w:t>
      </w:r>
      <w:r>
        <w:t>X</w:t>
      </w:r>
      <w:r>
        <w:rPr>
          <w:rFonts w:hint="eastAsia"/>
        </w:rPr>
        <w:t>线表现，并讲解观察心脏大血管</w:t>
      </w:r>
      <w:r>
        <w:t>X</w:t>
      </w:r>
      <w:r>
        <w:rPr>
          <w:rFonts w:hint="eastAsia"/>
        </w:rPr>
        <w:t>线所见的内容。</w:t>
      </w:r>
    </w:p>
    <w:p w:rsidR="003717A0" w:rsidRDefault="003717A0">
      <w:pPr>
        <w:tabs>
          <w:tab w:val="left" w:pos="1155"/>
        </w:tabs>
        <w:ind w:left="1155" w:hanging="720"/>
      </w:pPr>
      <w:r>
        <w:rPr>
          <w:rFonts w:hint="eastAsia"/>
        </w:rPr>
        <w:t>分别讲授心脏大血管在四个检查位置上的投影。</w:t>
      </w:r>
    </w:p>
    <w:p w:rsidR="003717A0" w:rsidRDefault="003717A0">
      <w:pPr>
        <w:tabs>
          <w:tab w:val="left" w:pos="1155"/>
        </w:tabs>
        <w:ind w:left="1155" w:hanging="720"/>
      </w:pPr>
      <w:r>
        <w:rPr>
          <w:rFonts w:hint="eastAsia"/>
        </w:rPr>
        <w:t>心脏大血管搏动</w:t>
      </w:r>
    </w:p>
    <w:p w:rsidR="003717A0" w:rsidRDefault="003717A0">
      <w:pPr>
        <w:tabs>
          <w:tab w:val="left" w:pos="1155"/>
        </w:tabs>
        <w:ind w:left="1155" w:hanging="720"/>
      </w:pPr>
      <w:r>
        <w:rPr>
          <w:rFonts w:hint="eastAsia"/>
        </w:rPr>
        <w:lastRenderedPageBreak/>
        <w:t>心脏大血管同食管的关系</w:t>
      </w:r>
    </w:p>
    <w:p w:rsidR="003717A0" w:rsidRDefault="003717A0">
      <w:pPr>
        <w:ind w:left="435"/>
      </w:pPr>
      <w:r>
        <w:rPr>
          <w:rFonts w:hint="eastAsia"/>
        </w:rPr>
        <w:t>四、基本病变影像学表现</w:t>
      </w:r>
    </w:p>
    <w:p w:rsidR="003717A0" w:rsidRDefault="003717A0">
      <w:pPr>
        <w:ind w:left="435"/>
      </w:pPr>
      <w:r>
        <w:rPr>
          <w:rFonts w:hint="eastAsia"/>
        </w:rPr>
        <w:t>概述心脏内腔病多不能直接在</w:t>
      </w:r>
      <w:r>
        <w:t>X</w:t>
      </w:r>
      <w:r>
        <w:rPr>
          <w:rFonts w:hint="eastAsia"/>
        </w:rPr>
        <w:t>线上显示，但由之而引起的心脏扩张与心壁肥厚，</w:t>
      </w:r>
    </w:p>
    <w:p w:rsidR="003717A0" w:rsidRDefault="003717A0">
      <w:r>
        <w:rPr>
          <w:rFonts w:hint="eastAsia"/>
        </w:rPr>
        <w:t>却可以通过心脏增大，形状及搏动的改变反映出来。</w:t>
      </w:r>
    </w:p>
    <w:p w:rsidR="003717A0" w:rsidRDefault="003717A0">
      <w:r>
        <w:t xml:space="preserve">    </w:t>
      </w:r>
      <w:r>
        <w:rPr>
          <w:rFonts w:hint="eastAsia"/>
        </w:rPr>
        <w:t>（一）心脏各房室增大</w:t>
      </w:r>
    </w:p>
    <w:p w:rsidR="003717A0" w:rsidRDefault="003717A0">
      <w:pPr>
        <w:ind w:firstLine="435"/>
      </w:pPr>
      <w:r>
        <w:t>1.</w:t>
      </w:r>
      <w:r>
        <w:rPr>
          <w:rFonts w:hint="eastAsia"/>
        </w:rPr>
        <w:t>左心室增大</w:t>
      </w:r>
      <w:r>
        <w:t xml:space="preserve">       2.</w:t>
      </w:r>
      <w:r>
        <w:rPr>
          <w:rFonts w:hint="eastAsia"/>
        </w:rPr>
        <w:t>右心室增大</w:t>
      </w:r>
      <w:r>
        <w:t xml:space="preserve">        3.</w:t>
      </w:r>
      <w:r>
        <w:rPr>
          <w:rFonts w:hint="eastAsia"/>
        </w:rPr>
        <w:t>左心房增大</w:t>
      </w:r>
      <w:r>
        <w:t xml:space="preserve">       4.</w:t>
      </w:r>
      <w:r>
        <w:rPr>
          <w:rFonts w:hint="eastAsia"/>
        </w:rPr>
        <w:t>右心房增大</w:t>
      </w:r>
    </w:p>
    <w:p w:rsidR="003717A0" w:rsidRDefault="003717A0">
      <w:pPr>
        <w:ind w:firstLine="435"/>
      </w:pPr>
      <w:r>
        <w:rPr>
          <w:rFonts w:hint="eastAsia"/>
        </w:rPr>
        <w:t>（二）心脏大血管搏动的改变</w:t>
      </w:r>
    </w:p>
    <w:p w:rsidR="003717A0" w:rsidRDefault="003717A0">
      <w:pPr>
        <w:ind w:firstLine="435"/>
      </w:pPr>
      <w:r>
        <w:rPr>
          <w:rFonts w:hint="eastAsia"/>
        </w:rPr>
        <w:t>（三）肺循环的改变</w:t>
      </w:r>
    </w:p>
    <w:p w:rsidR="003717A0" w:rsidRDefault="003717A0">
      <w:pPr>
        <w:ind w:firstLine="435"/>
      </w:pPr>
      <w:r>
        <w:t>1.</w:t>
      </w:r>
      <w:r>
        <w:rPr>
          <w:rFonts w:hint="eastAsia"/>
        </w:rPr>
        <w:t>肺充血</w:t>
      </w:r>
      <w:r>
        <w:t xml:space="preserve">         2.</w:t>
      </w:r>
      <w:r>
        <w:rPr>
          <w:rFonts w:hint="eastAsia"/>
        </w:rPr>
        <w:t>肺淤血</w:t>
      </w:r>
      <w:r>
        <w:t xml:space="preserve">         3.</w:t>
      </w:r>
      <w:r>
        <w:rPr>
          <w:rFonts w:hint="eastAsia"/>
        </w:rPr>
        <w:t>肺血减少</w:t>
      </w:r>
      <w:r>
        <w:t xml:space="preserve">      4.</w:t>
      </w:r>
      <w:r>
        <w:rPr>
          <w:rFonts w:hint="eastAsia"/>
        </w:rPr>
        <w:t>肺水肿</w:t>
      </w:r>
    </w:p>
    <w:p w:rsidR="003717A0" w:rsidRDefault="003717A0">
      <w:pPr>
        <w:ind w:firstLine="435"/>
      </w:pPr>
      <w:r>
        <w:rPr>
          <w:rFonts w:hint="eastAsia"/>
        </w:rPr>
        <w:t>五、常见病影像学表现和</w:t>
      </w:r>
      <w:r>
        <w:t>CT</w:t>
      </w:r>
      <w:r>
        <w:rPr>
          <w:rFonts w:hint="eastAsia"/>
        </w:rPr>
        <w:t>、</w:t>
      </w:r>
      <w:r>
        <w:t>MRI</w:t>
      </w:r>
      <w:r>
        <w:rPr>
          <w:rFonts w:hint="eastAsia"/>
        </w:rPr>
        <w:t>的价值与作用。</w:t>
      </w:r>
    </w:p>
    <w:p w:rsidR="003717A0" w:rsidRDefault="003717A0">
      <w:pPr>
        <w:ind w:firstLine="435"/>
      </w:pPr>
      <w:r>
        <w:rPr>
          <w:rFonts w:hint="eastAsia"/>
        </w:rPr>
        <w:t>（一）冠状动脉粥样硬化性心脏病</w:t>
      </w:r>
    </w:p>
    <w:p w:rsidR="003717A0" w:rsidRDefault="003717A0">
      <w:pPr>
        <w:ind w:firstLine="435"/>
      </w:pPr>
      <w:r>
        <w:rPr>
          <w:rFonts w:hint="eastAsia"/>
        </w:rPr>
        <w:t>（二）风湿性心脏病</w:t>
      </w:r>
    </w:p>
    <w:p w:rsidR="003717A0" w:rsidRDefault="003717A0">
      <w:pPr>
        <w:ind w:firstLine="435"/>
      </w:pPr>
      <w:r>
        <w:rPr>
          <w:rFonts w:hint="eastAsia"/>
        </w:rPr>
        <w:t>（三）先天性心脏病</w:t>
      </w:r>
    </w:p>
    <w:p w:rsidR="003717A0" w:rsidRDefault="003717A0">
      <w:pPr>
        <w:ind w:firstLine="435"/>
      </w:pPr>
      <w:r>
        <w:t>1.</w:t>
      </w:r>
      <w:r>
        <w:rPr>
          <w:rFonts w:hint="eastAsia"/>
        </w:rPr>
        <w:t>房间隔缺损</w:t>
      </w:r>
      <w:r>
        <w:t xml:space="preserve">    2.</w:t>
      </w:r>
      <w:r>
        <w:rPr>
          <w:rFonts w:hint="eastAsia"/>
        </w:rPr>
        <w:t>法洛氏四联症</w:t>
      </w:r>
    </w:p>
    <w:p w:rsidR="003717A0" w:rsidRDefault="003717A0">
      <w:pPr>
        <w:ind w:firstLine="435"/>
      </w:pPr>
      <w:r>
        <w:rPr>
          <w:rFonts w:hint="eastAsia"/>
        </w:rPr>
        <w:t>（四）心包积液</w:t>
      </w:r>
    </w:p>
    <w:p w:rsidR="003717A0" w:rsidRDefault="003717A0">
      <w:pPr>
        <w:ind w:firstLine="435"/>
      </w:pPr>
      <w:r>
        <w:rPr>
          <w:rFonts w:hint="eastAsia"/>
        </w:rPr>
        <w:t>（五）大血管病变</w:t>
      </w:r>
    </w:p>
    <w:p w:rsidR="003717A0" w:rsidRDefault="003717A0">
      <w:r>
        <w:t xml:space="preserve">    1.</w:t>
      </w:r>
      <w:r>
        <w:rPr>
          <w:rFonts w:hint="eastAsia"/>
        </w:rPr>
        <w:t>肺动脉栓塞</w:t>
      </w:r>
      <w:r>
        <w:t xml:space="preserve">    2.</w:t>
      </w:r>
      <w:r>
        <w:rPr>
          <w:rFonts w:hint="eastAsia"/>
        </w:rPr>
        <w:t>主动脉夹层</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b/>
        </w:rPr>
        <w:t>2</w:t>
      </w:r>
      <w:r>
        <w:rPr>
          <w:rFonts w:ascii="Times New Roman" w:hint="eastAsia"/>
          <w:b/>
        </w:rPr>
        <w:t>学时）</w:t>
      </w:r>
    </w:p>
    <w:p w:rsidR="003717A0" w:rsidRDefault="003717A0">
      <w:r>
        <w:rPr>
          <w:rFonts w:hint="eastAsia"/>
        </w:rPr>
        <w:t>分小组读片，使学生了解心脏大血管的影像学检查方法；熟悉心脏大血管的正常与基本病变的影像学表现；掌握循环系统常见病的影像学表现；了解</w:t>
      </w:r>
      <w:r>
        <w:t>CT</w:t>
      </w:r>
      <w:r>
        <w:rPr>
          <w:rFonts w:hint="eastAsia"/>
        </w:rPr>
        <w:t>、</w:t>
      </w:r>
      <w:r>
        <w:t>MRI</w:t>
      </w:r>
      <w:r>
        <w:rPr>
          <w:rFonts w:hint="eastAsia"/>
        </w:rPr>
        <w:t>在循环系统疾病诊断中的价值。</w:t>
      </w:r>
    </w:p>
    <w:p w:rsidR="003717A0" w:rsidRDefault="00553236" w:rsidP="00553236">
      <w:pPr>
        <w:pStyle w:val="a8"/>
        <w:tabs>
          <w:tab w:val="left" w:pos="420"/>
        </w:tabs>
        <w:adjustRightInd w:val="0"/>
        <w:snapToGrid w:val="0"/>
        <w:spacing w:line="360" w:lineRule="auto"/>
        <w:ind w:left="0" w:right="4"/>
        <w:jc w:val="both"/>
        <w:rPr>
          <w:sz w:val="21"/>
        </w:rPr>
      </w:pPr>
      <w:r>
        <w:rPr>
          <w:rFonts w:hint="eastAsia"/>
          <w:sz w:val="21"/>
        </w:rPr>
        <w:t xml:space="preserve"> </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rsidP="00553236">
      <w:pPr>
        <w:numPr>
          <w:ilvl w:val="0"/>
          <w:numId w:val="568"/>
        </w:numPr>
        <w:tabs>
          <w:tab w:val="left" w:pos="855"/>
        </w:tabs>
        <w:ind w:left="855" w:hanging="420"/>
      </w:pPr>
      <w:r>
        <w:rPr>
          <w:rFonts w:hint="eastAsia"/>
        </w:rPr>
        <w:t>了解心脏大血管的影像学检查方法</w:t>
      </w:r>
      <w:r>
        <w:t xml:space="preserve">  </w:t>
      </w:r>
    </w:p>
    <w:p w:rsidR="003717A0" w:rsidRDefault="003717A0" w:rsidP="00553236">
      <w:pPr>
        <w:numPr>
          <w:ilvl w:val="0"/>
          <w:numId w:val="568"/>
        </w:numPr>
        <w:tabs>
          <w:tab w:val="left" w:pos="855"/>
        </w:tabs>
        <w:ind w:left="855" w:hanging="420"/>
      </w:pPr>
      <w:r>
        <w:rPr>
          <w:rFonts w:hint="eastAsia"/>
        </w:rPr>
        <w:t>熟悉心脏大血管的正常与基本病变的影像学表现</w:t>
      </w:r>
    </w:p>
    <w:p w:rsidR="003717A0" w:rsidRDefault="003717A0" w:rsidP="00553236">
      <w:pPr>
        <w:numPr>
          <w:ilvl w:val="0"/>
          <w:numId w:val="568"/>
        </w:numPr>
        <w:tabs>
          <w:tab w:val="left" w:pos="855"/>
        </w:tabs>
        <w:ind w:left="855" w:hanging="420"/>
      </w:pPr>
      <w:r>
        <w:rPr>
          <w:rFonts w:hint="eastAsia"/>
        </w:rPr>
        <w:t>掌握循环系统常见病的影像学表现</w:t>
      </w:r>
    </w:p>
    <w:p w:rsidR="003717A0" w:rsidRDefault="003717A0" w:rsidP="00553236">
      <w:pPr>
        <w:numPr>
          <w:ilvl w:val="0"/>
          <w:numId w:val="568"/>
        </w:numPr>
        <w:tabs>
          <w:tab w:val="left" w:pos="855"/>
        </w:tabs>
        <w:ind w:left="855" w:hanging="420"/>
      </w:pPr>
      <w:r>
        <w:rPr>
          <w:rFonts w:hint="eastAsia"/>
        </w:rPr>
        <w:t>了解</w:t>
      </w:r>
      <w:r>
        <w:t>CT</w:t>
      </w:r>
      <w:r>
        <w:rPr>
          <w:rFonts w:hint="eastAsia"/>
        </w:rPr>
        <w:t>、</w:t>
      </w:r>
      <w:r>
        <w:t>MRI</w:t>
      </w:r>
      <w:r>
        <w:rPr>
          <w:rFonts w:hint="eastAsia"/>
        </w:rPr>
        <w:t>在循环系统疾病诊断中的价值。</w:t>
      </w:r>
    </w:p>
    <w:p w:rsidR="003717A0" w:rsidRDefault="003717A0" w:rsidP="005E20B5">
      <w:pPr>
        <w:adjustRightInd w:val="0"/>
        <w:snapToGrid w:val="0"/>
        <w:spacing w:beforeLines="50" w:line="360" w:lineRule="auto"/>
        <w:ind w:right="6"/>
        <w:jc w:val="center"/>
        <w:rPr>
          <w:b/>
          <w:sz w:val="22"/>
        </w:rPr>
      </w:pPr>
      <w:r>
        <w:rPr>
          <w:rFonts w:hint="eastAsia"/>
          <w:b/>
          <w:sz w:val="22"/>
        </w:rPr>
        <w:t>第五章</w:t>
      </w:r>
      <w:r>
        <w:rPr>
          <w:b/>
          <w:sz w:val="22"/>
        </w:rPr>
        <w:t xml:space="preserve">  </w:t>
      </w:r>
      <w:r>
        <w:rPr>
          <w:rFonts w:hint="eastAsia"/>
          <w:b/>
          <w:sz w:val="22"/>
        </w:rPr>
        <w:t>消化系统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4</w:t>
      </w:r>
      <w:r>
        <w:rPr>
          <w:rFonts w:ascii="Times New Roman" w:hint="eastAsia"/>
          <w:b/>
        </w:rPr>
        <w:t>学时）</w:t>
      </w:r>
    </w:p>
    <w:p w:rsidR="003717A0" w:rsidRDefault="003717A0">
      <w:r>
        <w:rPr>
          <w:rFonts w:hint="eastAsia"/>
        </w:rPr>
        <w:t>一、急腹症</w:t>
      </w:r>
    </w:p>
    <w:p w:rsidR="003717A0" w:rsidRDefault="003717A0">
      <w:r>
        <w:t xml:space="preserve">    1.</w:t>
      </w:r>
      <w:r>
        <w:rPr>
          <w:rFonts w:hint="eastAsia"/>
        </w:rPr>
        <w:t>检查技术</w:t>
      </w:r>
      <w:r>
        <w:t xml:space="preserve"> </w:t>
      </w:r>
    </w:p>
    <w:p w:rsidR="003717A0" w:rsidRDefault="003717A0">
      <w:r>
        <w:t xml:space="preserve">    2.</w:t>
      </w:r>
      <w:r>
        <w:rPr>
          <w:rFonts w:hint="eastAsia"/>
        </w:rPr>
        <w:t>正常影像学表现</w:t>
      </w:r>
    </w:p>
    <w:p w:rsidR="003717A0" w:rsidRDefault="003717A0">
      <w:pPr>
        <w:ind w:firstLine="435"/>
      </w:pPr>
      <w:r>
        <w:t>3.</w:t>
      </w:r>
      <w:r>
        <w:rPr>
          <w:rFonts w:hint="eastAsia"/>
        </w:rPr>
        <w:t>基本病变影像学表现</w:t>
      </w:r>
    </w:p>
    <w:p w:rsidR="003717A0" w:rsidRDefault="003717A0">
      <w:pPr>
        <w:ind w:firstLine="435"/>
      </w:pPr>
      <w:r>
        <w:t>4.</w:t>
      </w:r>
      <w:r>
        <w:rPr>
          <w:rFonts w:hint="eastAsia"/>
        </w:rPr>
        <w:t>常见急腹症的影像学诊断</w:t>
      </w:r>
    </w:p>
    <w:p w:rsidR="003717A0" w:rsidRDefault="003717A0">
      <w:pPr>
        <w:ind w:firstLine="435"/>
      </w:pPr>
      <w:r>
        <w:rPr>
          <w:rFonts w:ascii="宋体" w:hAnsi="宋体" w:hint="eastAsia"/>
        </w:rPr>
        <w:t>①</w:t>
      </w:r>
      <w:r>
        <w:rPr>
          <w:rFonts w:hint="eastAsia"/>
        </w:rPr>
        <w:t>肠梗阻</w:t>
      </w:r>
      <w:r>
        <w:rPr>
          <w:rFonts w:ascii="宋体" w:hAnsi="宋体" w:hint="eastAsia"/>
        </w:rPr>
        <w:t>②</w:t>
      </w:r>
      <w:r>
        <w:rPr>
          <w:rFonts w:hint="eastAsia"/>
        </w:rPr>
        <w:t>胃肠道穿孔③腹部外伤</w:t>
      </w:r>
    </w:p>
    <w:p w:rsidR="003717A0" w:rsidRDefault="003717A0">
      <w:pPr>
        <w:ind w:firstLine="435"/>
      </w:pPr>
      <w:r>
        <w:t>5.</w:t>
      </w:r>
      <w:r>
        <w:rPr>
          <w:rFonts w:hint="eastAsia"/>
        </w:rPr>
        <w:t>各种影像检查的比较与优化</w:t>
      </w:r>
    </w:p>
    <w:p w:rsidR="003717A0" w:rsidRDefault="003717A0">
      <w:pPr>
        <w:ind w:firstLine="435"/>
      </w:pPr>
      <w:r>
        <w:rPr>
          <w:rFonts w:hint="eastAsia"/>
        </w:rPr>
        <w:t>二、食管与胃肠道</w:t>
      </w:r>
    </w:p>
    <w:p w:rsidR="003717A0" w:rsidRDefault="003717A0">
      <w:pPr>
        <w:ind w:firstLine="435"/>
      </w:pPr>
      <w:r>
        <w:t>1.</w:t>
      </w:r>
      <w:r>
        <w:rPr>
          <w:rFonts w:hint="eastAsia"/>
        </w:rPr>
        <w:t>引言</w:t>
      </w:r>
    </w:p>
    <w:p w:rsidR="003717A0" w:rsidRDefault="003717A0">
      <w:pPr>
        <w:ind w:firstLine="435"/>
      </w:pPr>
      <w:r>
        <w:rPr>
          <w:rFonts w:hint="eastAsia"/>
        </w:rPr>
        <w:t>阐明胃肠道影像学检查的特点及诊断作用与限度</w:t>
      </w:r>
    </w:p>
    <w:p w:rsidR="003717A0" w:rsidRDefault="003717A0">
      <w:pPr>
        <w:ind w:firstLine="435"/>
      </w:pPr>
      <w:r>
        <w:t>2.</w:t>
      </w:r>
      <w:r>
        <w:rPr>
          <w:rFonts w:hint="eastAsia"/>
        </w:rPr>
        <w:t>检查技术</w:t>
      </w:r>
    </w:p>
    <w:p w:rsidR="003717A0" w:rsidRDefault="003717A0">
      <w:pPr>
        <w:ind w:firstLine="435"/>
      </w:pPr>
      <w:r>
        <w:t>3.</w:t>
      </w:r>
      <w:r>
        <w:rPr>
          <w:rFonts w:hint="eastAsia"/>
        </w:rPr>
        <w:t>正常影像表现</w:t>
      </w:r>
    </w:p>
    <w:p w:rsidR="003717A0" w:rsidRDefault="003717A0">
      <w:pPr>
        <w:ind w:firstLine="435"/>
      </w:pPr>
      <w:r>
        <w:t>4.</w:t>
      </w:r>
      <w:r>
        <w:rPr>
          <w:rFonts w:hint="eastAsia"/>
        </w:rPr>
        <w:t>基本病变影像表现</w:t>
      </w:r>
    </w:p>
    <w:p w:rsidR="003717A0" w:rsidRDefault="003717A0">
      <w:pPr>
        <w:ind w:firstLine="435"/>
      </w:pPr>
      <w:r>
        <w:rPr>
          <w:rFonts w:ascii="宋体" w:hAnsi="宋体" w:hint="eastAsia"/>
        </w:rPr>
        <w:t>①</w:t>
      </w:r>
      <w:r>
        <w:rPr>
          <w:rFonts w:hint="eastAsia"/>
        </w:rPr>
        <w:t>轮廓的改变</w:t>
      </w:r>
    </w:p>
    <w:p w:rsidR="003717A0" w:rsidRDefault="003717A0">
      <w:pPr>
        <w:ind w:firstLine="435"/>
      </w:pPr>
      <w:r>
        <w:rPr>
          <w:rFonts w:ascii="宋体" w:hAnsi="宋体" w:hint="eastAsia"/>
        </w:rPr>
        <w:lastRenderedPageBreak/>
        <w:t>②</w:t>
      </w:r>
      <w:r>
        <w:rPr>
          <w:rFonts w:hint="eastAsia"/>
        </w:rPr>
        <w:t>粘膜的改变</w:t>
      </w:r>
    </w:p>
    <w:p w:rsidR="003717A0" w:rsidRDefault="003717A0">
      <w:pPr>
        <w:ind w:firstLine="435"/>
      </w:pPr>
      <w:r>
        <w:rPr>
          <w:rFonts w:ascii="宋体" w:hAnsi="宋体" w:hint="eastAsia"/>
        </w:rPr>
        <w:t>③</w:t>
      </w:r>
      <w:r>
        <w:rPr>
          <w:rFonts w:hint="eastAsia"/>
        </w:rPr>
        <w:t>管腔大小的改变</w:t>
      </w:r>
    </w:p>
    <w:p w:rsidR="003717A0" w:rsidRDefault="003717A0">
      <w:pPr>
        <w:ind w:firstLine="435"/>
      </w:pPr>
      <w:r>
        <w:rPr>
          <w:rFonts w:ascii="宋体" w:hAnsi="宋体" w:hint="eastAsia"/>
        </w:rPr>
        <w:t>④</w:t>
      </w:r>
      <w:r>
        <w:rPr>
          <w:rFonts w:hint="eastAsia"/>
        </w:rPr>
        <w:t>位置及可动性的改变</w:t>
      </w:r>
    </w:p>
    <w:p w:rsidR="003717A0" w:rsidRDefault="003717A0">
      <w:pPr>
        <w:ind w:firstLine="435"/>
      </w:pPr>
      <w:r>
        <w:rPr>
          <w:rFonts w:ascii="宋体" w:hAnsi="宋体" w:hint="eastAsia"/>
        </w:rPr>
        <w:t>⑤</w:t>
      </w:r>
      <w:r>
        <w:rPr>
          <w:rFonts w:hint="eastAsia"/>
        </w:rPr>
        <w:t>功能性改变</w:t>
      </w:r>
    </w:p>
    <w:p w:rsidR="003717A0" w:rsidRDefault="003717A0">
      <w:pPr>
        <w:ind w:firstLine="435"/>
      </w:pPr>
      <w:r>
        <w:t>5.</w:t>
      </w:r>
      <w:r>
        <w:rPr>
          <w:rFonts w:hint="eastAsia"/>
        </w:rPr>
        <w:t>常见病影像表现</w:t>
      </w:r>
    </w:p>
    <w:p w:rsidR="003717A0" w:rsidRDefault="003717A0">
      <w:pPr>
        <w:ind w:firstLine="435"/>
      </w:pPr>
      <w:r>
        <w:rPr>
          <w:rFonts w:ascii="宋体" w:hAnsi="宋体" w:hint="eastAsia"/>
        </w:rPr>
        <w:t>①</w:t>
      </w:r>
      <w:r>
        <w:rPr>
          <w:rFonts w:hint="eastAsia"/>
        </w:rPr>
        <w:t>食道静脉曲张</w:t>
      </w:r>
      <w:r>
        <w:t xml:space="preserve">         </w:t>
      </w:r>
      <w:r>
        <w:rPr>
          <w:rFonts w:ascii="宋体" w:hAnsi="宋体" w:hint="eastAsia"/>
        </w:rPr>
        <w:t>②</w:t>
      </w:r>
      <w:r>
        <w:rPr>
          <w:rFonts w:hint="eastAsia"/>
        </w:rPr>
        <w:t>食管癌</w:t>
      </w:r>
      <w:r>
        <w:t xml:space="preserve">           </w:t>
      </w:r>
      <w:r>
        <w:rPr>
          <w:rFonts w:ascii="宋体" w:hAnsi="宋体" w:hint="eastAsia"/>
        </w:rPr>
        <w:t>③</w:t>
      </w:r>
      <w:r>
        <w:rPr>
          <w:rFonts w:hint="eastAsia"/>
        </w:rPr>
        <w:t>胃及十二指肠溃疡</w:t>
      </w:r>
      <w:r>
        <w:t xml:space="preserve"> </w:t>
      </w:r>
    </w:p>
    <w:p w:rsidR="003717A0" w:rsidRDefault="003717A0">
      <w:pPr>
        <w:ind w:firstLine="435"/>
      </w:pPr>
      <w:r>
        <w:rPr>
          <w:rFonts w:ascii="宋体" w:hAnsi="宋体" w:hint="eastAsia"/>
        </w:rPr>
        <w:t>④</w:t>
      </w:r>
      <w:r>
        <w:rPr>
          <w:rFonts w:hint="eastAsia"/>
        </w:rPr>
        <w:t>胃癌</w:t>
      </w:r>
      <w:r>
        <w:t xml:space="preserve">            </w:t>
      </w:r>
      <w:r>
        <w:rPr>
          <w:rFonts w:ascii="宋体" w:hAnsi="宋体" w:hint="eastAsia"/>
        </w:rPr>
        <w:t>⑤</w:t>
      </w:r>
      <w:r>
        <w:rPr>
          <w:rFonts w:hint="eastAsia"/>
        </w:rPr>
        <w:t>肠结核</w:t>
      </w:r>
      <w:r>
        <w:t xml:space="preserve">             </w:t>
      </w:r>
      <w:r>
        <w:rPr>
          <w:rFonts w:ascii="宋体" w:hAnsi="宋体" w:hint="eastAsia"/>
        </w:rPr>
        <w:t>⑥</w:t>
      </w:r>
      <w:r>
        <w:rPr>
          <w:rFonts w:hint="eastAsia"/>
        </w:rPr>
        <w:t>小肠肿瘤</w:t>
      </w:r>
      <w:r>
        <w:t xml:space="preserve">         </w:t>
      </w:r>
      <w:r>
        <w:rPr>
          <w:rFonts w:ascii="宋体" w:hAnsi="宋体" w:hint="eastAsia"/>
        </w:rPr>
        <w:t>⑦</w:t>
      </w:r>
      <w:r>
        <w:rPr>
          <w:rFonts w:hint="eastAsia"/>
        </w:rPr>
        <w:t>结肠癌</w:t>
      </w:r>
    </w:p>
    <w:p w:rsidR="003717A0" w:rsidRDefault="003717A0">
      <w:pPr>
        <w:ind w:firstLine="435"/>
      </w:pPr>
      <w:r>
        <w:rPr>
          <w:rFonts w:hint="eastAsia"/>
        </w:rPr>
        <w:t>三、肝、胆、胰、脾</w:t>
      </w:r>
    </w:p>
    <w:p w:rsidR="003717A0" w:rsidRDefault="003717A0">
      <w:pPr>
        <w:ind w:firstLine="435"/>
      </w:pPr>
      <w:r>
        <w:rPr>
          <w:rFonts w:hint="eastAsia"/>
        </w:rPr>
        <w:t>影像学检查是肝胆胰疾病的主要诊断手段，需要合理选择、互相补充，以获得正确的诊断。</w:t>
      </w:r>
    </w:p>
    <w:p w:rsidR="003717A0" w:rsidRDefault="003717A0">
      <w:pPr>
        <w:ind w:firstLine="435"/>
      </w:pPr>
      <w:r>
        <w:t>1</w:t>
      </w:r>
      <w:r>
        <w:rPr>
          <w:rFonts w:hint="eastAsia"/>
        </w:rPr>
        <w:t>肝脏</w:t>
      </w:r>
    </w:p>
    <w:p w:rsidR="003717A0" w:rsidRDefault="003717A0">
      <w:pPr>
        <w:ind w:firstLine="435"/>
      </w:pPr>
      <w:r>
        <w:rPr>
          <w:rFonts w:ascii="宋体" w:hAnsi="宋体" w:hint="eastAsia"/>
        </w:rPr>
        <w:t>①</w:t>
      </w:r>
      <w:r>
        <w:rPr>
          <w:rFonts w:hint="eastAsia"/>
        </w:rPr>
        <w:t>检查技术</w:t>
      </w:r>
    </w:p>
    <w:p w:rsidR="003717A0" w:rsidRDefault="003717A0">
      <w:pPr>
        <w:ind w:firstLine="435"/>
      </w:pPr>
      <w:r>
        <w:rPr>
          <w:rFonts w:ascii="宋体" w:hAnsi="宋体" w:hint="eastAsia"/>
        </w:rPr>
        <w:t>②</w:t>
      </w:r>
      <w:r>
        <w:rPr>
          <w:rFonts w:hint="eastAsia"/>
        </w:rPr>
        <w:t>正常影像学表现</w:t>
      </w:r>
    </w:p>
    <w:p w:rsidR="003717A0" w:rsidRDefault="003717A0">
      <w:pPr>
        <w:ind w:firstLine="435"/>
      </w:pPr>
      <w:r>
        <w:rPr>
          <w:rFonts w:ascii="宋体" w:hAnsi="宋体" w:hint="eastAsia"/>
        </w:rPr>
        <w:t>③</w:t>
      </w:r>
      <w:r>
        <w:rPr>
          <w:rFonts w:hint="eastAsia"/>
        </w:rPr>
        <w:t>基本病变影像表现</w:t>
      </w:r>
    </w:p>
    <w:p w:rsidR="003717A0" w:rsidRDefault="003717A0">
      <w:pPr>
        <w:ind w:firstLine="435"/>
      </w:pPr>
      <w:r>
        <w:rPr>
          <w:rFonts w:ascii="宋体" w:hAnsi="宋体" w:hint="eastAsia"/>
        </w:rPr>
        <w:t>④</w:t>
      </w:r>
      <w:r>
        <w:rPr>
          <w:rFonts w:hint="eastAsia"/>
        </w:rPr>
        <w:t>肝脏常见疾病影像表现</w:t>
      </w:r>
    </w:p>
    <w:p w:rsidR="003717A0" w:rsidRDefault="003717A0">
      <w:pPr>
        <w:ind w:firstLine="435"/>
      </w:pPr>
      <w:r>
        <w:rPr>
          <w:rFonts w:hint="eastAsia"/>
        </w:rPr>
        <w:t>主要讲述原发性肝癌和肝海绵状血管瘤、肝脏转移瘤、肝脓肿、肝囊肿及肝硬化。</w:t>
      </w:r>
    </w:p>
    <w:p w:rsidR="003717A0" w:rsidRDefault="003717A0">
      <w:pPr>
        <w:ind w:firstLine="435"/>
      </w:pPr>
      <w:r>
        <w:t>2.</w:t>
      </w:r>
      <w:r>
        <w:rPr>
          <w:rFonts w:hint="eastAsia"/>
        </w:rPr>
        <w:t>胆</w:t>
      </w:r>
    </w:p>
    <w:p w:rsidR="003717A0" w:rsidRDefault="003717A0">
      <w:pPr>
        <w:ind w:firstLine="435"/>
      </w:pPr>
      <w:r>
        <w:rPr>
          <w:rFonts w:ascii="宋体" w:hAnsi="宋体" w:hint="eastAsia"/>
        </w:rPr>
        <w:t>①</w:t>
      </w:r>
      <w:r>
        <w:rPr>
          <w:rFonts w:hint="eastAsia"/>
        </w:rPr>
        <w:t>检查技术</w:t>
      </w:r>
    </w:p>
    <w:p w:rsidR="003717A0" w:rsidRDefault="003717A0">
      <w:pPr>
        <w:ind w:firstLine="435"/>
      </w:pPr>
      <w:r>
        <w:rPr>
          <w:rFonts w:ascii="宋体" w:hAnsi="宋体" w:hint="eastAsia"/>
        </w:rPr>
        <w:t>②</w:t>
      </w:r>
      <w:r>
        <w:rPr>
          <w:rFonts w:hint="eastAsia"/>
        </w:rPr>
        <w:t>正常影像学表现</w:t>
      </w:r>
    </w:p>
    <w:p w:rsidR="003717A0" w:rsidRDefault="003717A0">
      <w:pPr>
        <w:ind w:firstLine="435"/>
      </w:pPr>
      <w:r>
        <w:rPr>
          <w:rFonts w:ascii="宋体" w:hAnsi="宋体" w:hint="eastAsia"/>
        </w:rPr>
        <w:t>③</w:t>
      </w:r>
      <w:r>
        <w:rPr>
          <w:rFonts w:hint="eastAsia"/>
        </w:rPr>
        <w:t>基本病变影像表现</w:t>
      </w:r>
    </w:p>
    <w:p w:rsidR="003717A0" w:rsidRDefault="003717A0">
      <w:pPr>
        <w:ind w:firstLine="435"/>
      </w:pPr>
      <w:r>
        <w:rPr>
          <w:rFonts w:ascii="宋体" w:hAnsi="宋体" w:hint="eastAsia"/>
        </w:rPr>
        <w:t>④</w:t>
      </w:r>
      <w:r>
        <w:rPr>
          <w:rFonts w:hint="eastAsia"/>
        </w:rPr>
        <w:t>胆道系统常见疾病影像表现：胆石症与胆囊炎、胆囊癌、胆管癌</w:t>
      </w:r>
    </w:p>
    <w:p w:rsidR="003717A0" w:rsidRDefault="003717A0">
      <w:pPr>
        <w:ind w:firstLine="435"/>
      </w:pPr>
      <w:r>
        <w:t>3.</w:t>
      </w:r>
      <w:r>
        <w:rPr>
          <w:rFonts w:hint="eastAsia"/>
        </w:rPr>
        <w:t>胰腺</w:t>
      </w:r>
    </w:p>
    <w:p w:rsidR="003717A0" w:rsidRDefault="003717A0">
      <w:pPr>
        <w:ind w:firstLine="435"/>
      </w:pPr>
      <w:r>
        <w:rPr>
          <w:rFonts w:ascii="宋体" w:hAnsi="宋体" w:hint="eastAsia"/>
        </w:rPr>
        <w:t>①</w:t>
      </w:r>
      <w:r>
        <w:rPr>
          <w:rFonts w:hint="eastAsia"/>
        </w:rPr>
        <w:t>检查技术</w:t>
      </w:r>
    </w:p>
    <w:p w:rsidR="003717A0" w:rsidRDefault="003717A0">
      <w:pPr>
        <w:ind w:firstLine="435"/>
      </w:pPr>
      <w:r>
        <w:rPr>
          <w:rFonts w:ascii="宋体" w:hAnsi="宋体" w:hint="eastAsia"/>
        </w:rPr>
        <w:t>②</w:t>
      </w:r>
      <w:r>
        <w:rPr>
          <w:rFonts w:hint="eastAsia"/>
        </w:rPr>
        <w:t>正常影像学表现</w:t>
      </w:r>
    </w:p>
    <w:p w:rsidR="003717A0" w:rsidRDefault="003717A0">
      <w:pPr>
        <w:ind w:firstLine="435"/>
      </w:pPr>
      <w:r>
        <w:rPr>
          <w:rFonts w:ascii="宋体" w:hAnsi="宋体" w:hint="eastAsia"/>
        </w:rPr>
        <w:t>③</w:t>
      </w:r>
      <w:r>
        <w:rPr>
          <w:rFonts w:hint="eastAsia"/>
        </w:rPr>
        <w:t>基本病变影像表现</w:t>
      </w:r>
    </w:p>
    <w:p w:rsidR="003717A0" w:rsidRDefault="003717A0">
      <w:pPr>
        <w:ind w:firstLine="435"/>
      </w:pPr>
      <w:r>
        <w:rPr>
          <w:rFonts w:ascii="宋体" w:hAnsi="宋体" w:hint="eastAsia"/>
        </w:rPr>
        <w:t>④</w:t>
      </w:r>
      <w:r>
        <w:rPr>
          <w:rFonts w:hint="eastAsia"/>
        </w:rPr>
        <w:t>胰腺常见疾病影像表现：胰腺炎（急、慢性）、胰腺癌</w:t>
      </w:r>
    </w:p>
    <w:p w:rsidR="003717A0" w:rsidRDefault="003717A0">
      <w:pPr>
        <w:ind w:firstLine="435"/>
      </w:pPr>
      <w:r>
        <w:t>4.</w:t>
      </w:r>
      <w:r>
        <w:rPr>
          <w:rFonts w:hint="eastAsia"/>
        </w:rPr>
        <w:t>脾脏</w:t>
      </w:r>
    </w:p>
    <w:p w:rsidR="003717A0" w:rsidRDefault="003717A0">
      <w:pPr>
        <w:ind w:firstLine="435"/>
      </w:pPr>
      <w:r>
        <w:rPr>
          <w:rFonts w:ascii="宋体" w:hAnsi="宋体" w:hint="eastAsia"/>
        </w:rPr>
        <w:t>①</w:t>
      </w:r>
      <w:r>
        <w:rPr>
          <w:rFonts w:hint="eastAsia"/>
        </w:rPr>
        <w:t>检查技术</w:t>
      </w:r>
    </w:p>
    <w:p w:rsidR="003717A0" w:rsidRDefault="003717A0">
      <w:pPr>
        <w:ind w:firstLine="435"/>
      </w:pPr>
      <w:r>
        <w:rPr>
          <w:rFonts w:ascii="宋体" w:hAnsi="宋体" w:hint="eastAsia"/>
        </w:rPr>
        <w:t>②</w:t>
      </w:r>
      <w:r>
        <w:rPr>
          <w:rFonts w:hint="eastAsia"/>
        </w:rPr>
        <w:t>正常影像学表现</w:t>
      </w:r>
    </w:p>
    <w:p w:rsidR="003717A0" w:rsidRDefault="003717A0">
      <w:pPr>
        <w:ind w:firstLine="435"/>
      </w:pPr>
      <w:r>
        <w:rPr>
          <w:rFonts w:ascii="宋体" w:hAnsi="宋体" w:hint="eastAsia"/>
        </w:rPr>
        <w:t>③</w:t>
      </w:r>
      <w:r>
        <w:rPr>
          <w:rFonts w:hint="eastAsia"/>
        </w:rPr>
        <w:t>基本病变影像表现</w:t>
      </w:r>
    </w:p>
    <w:p w:rsidR="003717A0" w:rsidRDefault="003717A0">
      <w:pPr>
        <w:ind w:firstLine="435"/>
      </w:pPr>
      <w:r>
        <w:rPr>
          <w:rFonts w:ascii="宋体" w:hAnsi="宋体" w:hint="eastAsia"/>
        </w:rPr>
        <w:t>④脾脏</w:t>
      </w:r>
      <w:r>
        <w:rPr>
          <w:rFonts w:hint="eastAsia"/>
        </w:rPr>
        <w:t>常见疾病影像表现</w:t>
      </w:r>
    </w:p>
    <w:p w:rsidR="003717A0" w:rsidRDefault="003717A0">
      <w:pPr>
        <w:ind w:firstLine="435"/>
      </w:pPr>
      <w:r>
        <w:rPr>
          <w:rFonts w:hint="eastAsia"/>
        </w:rPr>
        <w:t>脾肿瘤、脾脓肿、脾囊肿、脾梗死</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2</w:t>
      </w:r>
      <w:r>
        <w:rPr>
          <w:rFonts w:ascii="Times New Roman" w:hint="eastAsia"/>
          <w:b/>
        </w:rPr>
        <w:t>学时）</w:t>
      </w:r>
    </w:p>
    <w:p w:rsidR="003717A0" w:rsidRDefault="003717A0">
      <w:pPr>
        <w:ind w:firstLine="435"/>
      </w:pPr>
      <w:r>
        <w:rPr>
          <w:rFonts w:hint="eastAsia"/>
        </w:rPr>
        <w:t>分小组读片，掌握急腹症的影像检查方法和影像学表现；掌握胃肠正常及基本病变的影像学表现；掌握胃肠道常见病影像学表现；掌握肝、胆、胰、脾正常</w:t>
      </w:r>
      <w:r>
        <w:t>CT</w:t>
      </w:r>
      <w:r>
        <w:rPr>
          <w:rFonts w:hint="eastAsia"/>
        </w:rPr>
        <w:t>、</w:t>
      </w:r>
      <w:r>
        <w:t>MRI</w:t>
      </w:r>
      <w:r>
        <w:rPr>
          <w:rFonts w:hint="eastAsia"/>
        </w:rPr>
        <w:t>表现及常见病的</w:t>
      </w:r>
      <w:r>
        <w:t>CT</w:t>
      </w:r>
      <w:r>
        <w:rPr>
          <w:rFonts w:hint="eastAsia"/>
        </w:rPr>
        <w:t>、</w:t>
      </w:r>
      <w:r>
        <w:t>MRI</w:t>
      </w:r>
      <w:r>
        <w:rPr>
          <w:rFonts w:hint="eastAsia"/>
        </w:rPr>
        <w:t>表现；了解胆道系统的影像学检查方法及正常影像学表现</w:t>
      </w:r>
    </w:p>
    <w:p w:rsidR="003717A0" w:rsidRDefault="003717A0">
      <w:pPr>
        <w:pStyle w:val="a8"/>
        <w:tabs>
          <w:tab w:val="left" w:pos="420"/>
          <w:tab w:val="left" w:pos="1260"/>
        </w:tabs>
        <w:adjustRightInd w:val="0"/>
        <w:snapToGrid w:val="0"/>
        <w:spacing w:line="360" w:lineRule="auto"/>
        <w:ind w:left="420" w:right="4"/>
        <w:jc w:val="both"/>
        <w:rPr>
          <w:sz w:val="21"/>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ind w:firstLine="435"/>
      </w:pPr>
      <w:r>
        <w:t>1.</w:t>
      </w:r>
      <w:r>
        <w:rPr>
          <w:rFonts w:hint="eastAsia"/>
        </w:rPr>
        <w:t>掌握急腹症的影像检查方法和影像学表现</w:t>
      </w:r>
    </w:p>
    <w:p w:rsidR="003717A0" w:rsidRDefault="003717A0">
      <w:pPr>
        <w:ind w:firstLine="435"/>
      </w:pPr>
      <w:r>
        <w:t>2.</w:t>
      </w:r>
      <w:r>
        <w:rPr>
          <w:rFonts w:hint="eastAsia"/>
        </w:rPr>
        <w:t>了解胃肠道影像学检查方法</w:t>
      </w:r>
    </w:p>
    <w:p w:rsidR="003717A0" w:rsidRDefault="003717A0">
      <w:pPr>
        <w:ind w:firstLine="435"/>
      </w:pPr>
      <w:r>
        <w:t>3.</w:t>
      </w:r>
      <w:r>
        <w:rPr>
          <w:rFonts w:hint="eastAsia"/>
        </w:rPr>
        <w:t>掌握胃肠正常及基本病变的影像学表现</w:t>
      </w:r>
    </w:p>
    <w:p w:rsidR="003717A0" w:rsidRDefault="003717A0">
      <w:pPr>
        <w:ind w:firstLine="435"/>
      </w:pPr>
      <w:r>
        <w:t>4.</w:t>
      </w:r>
      <w:r>
        <w:rPr>
          <w:rFonts w:hint="eastAsia"/>
        </w:rPr>
        <w:t>掌握胃肠道常见病影像学表现</w:t>
      </w:r>
    </w:p>
    <w:p w:rsidR="003717A0" w:rsidRDefault="003717A0">
      <w:pPr>
        <w:ind w:firstLine="435"/>
      </w:pPr>
      <w:r>
        <w:t>5.</w:t>
      </w:r>
      <w:r>
        <w:rPr>
          <w:rFonts w:hint="eastAsia"/>
        </w:rPr>
        <w:t>掌握肝、胆、胰、脾正常</w:t>
      </w:r>
      <w:r>
        <w:t>CT</w:t>
      </w:r>
      <w:r>
        <w:rPr>
          <w:rFonts w:hint="eastAsia"/>
        </w:rPr>
        <w:t>、</w:t>
      </w:r>
      <w:r>
        <w:t>MRI</w:t>
      </w:r>
      <w:r>
        <w:rPr>
          <w:rFonts w:hint="eastAsia"/>
        </w:rPr>
        <w:t>表现及常见病的</w:t>
      </w:r>
      <w:r>
        <w:t>CT</w:t>
      </w:r>
      <w:r>
        <w:rPr>
          <w:rFonts w:hint="eastAsia"/>
        </w:rPr>
        <w:t>、</w:t>
      </w:r>
      <w:r>
        <w:t>MRI</w:t>
      </w:r>
      <w:r>
        <w:rPr>
          <w:rFonts w:hint="eastAsia"/>
        </w:rPr>
        <w:t>表现</w:t>
      </w:r>
    </w:p>
    <w:p w:rsidR="003717A0" w:rsidRDefault="003717A0">
      <w:pPr>
        <w:ind w:firstLine="435"/>
      </w:pPr>
      <w:r>
        <w:t>6.</w:t>
      </w:r>
      <w:r>
        <w:rPr>
          <w:rFonts w:hint="eastAsia"/>
        </w:rPr>
        <w:t>了解胆道系统的影像学检查方法及正常影像学表现</w:t>
      </w:r>
    </w:p>
    <w:p w:rsidR="003717A0" w:rsidRDefault="003717A0" w:rsidP="005E20B5">
      <w:pPr>
        <w:adjustRightInd w:val="0"/>
        <w:snapToGrid w:val="0"/>
        <w:spacing w:beforeLines="50" w:line="360" w:lineRule="auto"/>
        <w:ind w:right="6"/>
        <w:jc w:val="center"/>
      </w:pPr>
      <w:r>
        <w:rPr>
          <w:rFonts w:hint="eastAsia"/>
          <w:b/>
          <w:sz w:val="22"/>
        </w:rPr>
        <w:lastRenderedPageBreak/>
        <w:t>第六章</w:t>
      </w:r>
      <w:r>
        <w:t xml:space="preserve"> </w:t>
      </w:r>
      <w:r>
        <w:rPr>
          <w:rFonts w:hint="eastAsia"/>
          <w:b/>
          <w:sz w:val="22"/>
        </w:rPr>
        <w:t>泌尿与生殖系统</w:t>
      </w:r>
    </w:p>
    <w:p w:rsidR="003717A0" w:rsidRDefault="003717A0" w:rsidP="005E20B5">
      <w:pPr>
        <w:adjustRightInd w:val="0"/>
        <w:snapToGrid w:val="0"/>
        <w:spacing w:beforeLines="50" w:line="360" w:lineRule="auto"/>
        <w:ind w:right="6"/>
        <w:jc w:val="center"/>
        <w:rPr>
          <w:b/>
          <w:sz w:val="22"/>
        </w:rPr>
      </w:pP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4</w:t>
      </w:r>
      <w:r>
        <w:rPr>
          <w:rFonts w:ascii="Times New Roman" w:hint="eastAsia"/>
          <w:b/>
        </w:rPr>
        <w:t>学时）</w:t>
      </w:r>
    </w:p>
    <w:p w:rsidR="003717A0" w:rsidRDefault="00553236" w:rsidP="00553236">
      <w:r>
        <w:rPr>
          <w:rFonts w:hint="eastAsia"/>
        </w:rPr>
        <w:t>一、</w:t>
      </w:r>
      <w:r w:rsidR="003717A0">
        <w:rPr>
          <w:rFonts w:hint="eastAsia"/>
        </w:rPr>
        <w:t>泌尿系统与肾上腺</w:t>
      </w:r>
    </w:p>
    <w:p w:rsidR="003717A0" w:rsidRDefault="00553236" w:rsidP="00553236">
      <w:r>
        <w:rPr>
          <w:rFonts w:hint="eastAsia"/>
        </w:rPr>
        <w:t>（一）</w:t>
      </w:r>
      <w:r w:rsidR="003717A0">
        <w:rPr>
          <w:rFonts w:hint="eastAsia"/>
        </w:rPr>
        <w:t>肾与输尿管</w:t>
      </w:r>
    </w:p>
    <w:p w:rsidR="003717A0" w:rsidRDefault="003717A0">
      <w:pPr>
        <w:ind w:firstLine="435"/>
      </w:pPr>
      <w:r>
        <w:t>1.</w:t>
      </w:r>
      <w:r>
        <w:rPr>
          <w:rFonts w:hint="eastAsia"/>
        </w:rPr>
        <w:t>检查技术</w:t>
      </w:r>
    </w:p>
    <w:p w:rsidR="003717A0" w:rsidRDefault="003717A0">
      <w:pPr>
        <w:ind w:firstLine="435"/>
      </w:pPr>
      <w:r>
        <w:t>2.</w:t>
      </w:r>
      <w:r>
        <w:rPr>
          <w:rFonts w:hint="eastAsia"/>
        </w:rPr>
        <w:t>正常影像学表现</w:t>
      </w:r>
    </w:p>
    <w:p w:rsidR="003717A0" w:rsidRDefault="003717A0">
      <w:pPr>
        <w:ind w:firstLine="435"/>
      </w:pPr>
      <w:r>
        <w:t>3.</w:t>
      </w:r>
      <w:r>
        <w:rPr>
          <w:rFonts w:hint="eastAsia"/>
        </w:rPr>
        <w:t>基本病变影像表现</w:t>
      </w:r>
    </w:p>
    <w:p w:rsidR="003717A0" w:rsidRDefault="003717A0">
      <w:pPr>
        <w:ind w:firstLine="435"/>
      </w:pPr>
      <w:r>
        <w:t>4.</w:t>
      </w:r>
      <w:r>
        <w:rPr>
          <w:rFonts w:hint="eastAsia"/>
        </w:rPr>
        <w:t>常见疾病影像表现：肾与输尿管结石、肾囊肿与多囊肾、肾细胞癌、肾盂癌、肾血管平滑肌脂肪瘤</w:t>
      </w:r>
    </w:p>
    <w:p w:rsidR="003717A0" w:rsidRDefault="003717A0">
      <w:r>
        <w:rPr>
          <w:rFonts w:hint="eastAsia"/>
        </w:rPr>
        <w:t>（二）膀胱</w:t>
      </w:r>
    </w:p>
    <w:p w:rsidR="003717A0" w:rsidRDefault="003717A0">
      <w:pPr>
        <w:ind w:firstLine="435"/>
      </w:pPr>
      <w:r>
        <w:t>1.</w:t>
      </w:r>
      <w:r>
        <w:rPr>
          <w:rFonts w:hint="eastAsia"/>
        </w:rPr>
        <w:t>检查技术</w:t>
      </w:r>
    </w:p>
    <w:p w:rsidR="003717A0" w:rsidRDefault="003717A0">
      <w:pPr>
        <w:ind w:firstLine="435"/>
      </w:pPr>
      <w:r>
        <w:t>2.</w:t>
      </w:r>
      <w:r>
        <w:rPr>
          <w:rFonts w:hint="eastAsia"/>
        </w:rPr>
        <w:t>正常影像学表现</w:t>
      </w:r>
    </w:p>
    <w:p w:rsidR="003717A0" w:rsidRDefault="003717A0">
      <w:pPr>
        <w:ind w:firstLine="435"/>
      </w:pPr>
      <w:r>
        <w:t>3.</w:t>
      </w:r>
      <w:r>
        <w:rPr>
          <w:rFonts w:hint="eastAsia"/>
        </w:rPr>
        <w:t>基本病变影像表现</w:t>
      </w:r>
    </w:p>
    <w:p w:rsidR="003717A0" w:rsidRDefault="003717A0">
      <w:pPr>
        <w:ind w:firstLineChars="200" w:firstLine="420"/>
      </w:pPr>
      <w:r>
        <w:t>4.</w:t>
      </w:r>
      <w:r>
        <w:rPr>
          <w:rFonts w:hint="eastAsia"/>
        </w:rPr>
        <w:t>常见疾病影像表现：膀胱癌</w:t>
      </w:r>
    </w:p>
    <w:p w:rsidR="003717A0" w:rsidRDefault="003717A0">
      <w:r>
        <w:rPr>
          <w:rFonts w:hint="eastAsia"/>
        </w:rPr>
        <w:t>（三）肾上腺</w:t>
      </w:r>
    </w:p>
    <w:p w:rsidR="003717A0" w:rsidRDefault="003717A0">
      <w:pPr>
        <w:ind w:firstLine="435"/>
      </w:pPr>
      <w:r>
        <w:t>1.</w:t>
      </w:r>
      <w:r>
        <w:rPr>
          <w:rFonts w:hint="eastAsia"/>
        </w:rPr>
        <w:t>检查技术</w:t>
      </w:r>
    </w:p>
    <w:p w:rsidR="003717A0" w:rsidRDefault="003717A0">
      <w:pPr>
        <w:ind w:firstLine="435"/>
      </w:pPr>
      <w:r>
        <w:t>2.</w:t>
      </w:r>
      <w:r>
        <w:rPr>
          <w:rFonts w:hint="eastAsia"/>
        </w:rPr>
        <w:t>正常影像学表现</w:t>
      </w:r>
    </w:p>
    <w:p w:rsidR="003717A0" w:rsidRDefault="003717A0">
      <w:pPr>
        <w:ind w:firstLine="435"/>
      </w:pPr>
      <w:r>
        <w:t>3.</w:t>
      </w:r>
      <w:r>
        <w:rPr>
          <w:rFonts w:hint="eastAsia"/>
        </w:rPr>
        <w:t>基本病变影像表现</w:t>
      </w:r>
    </w:p>
    <w:p w:rsidR="003717A0" w:rsidRDefault="003717A0">
      <w:r>
        <w:t xml:space="preserve">    4.</w:t>
      </w:r>
      <w:r>
        <w:rPr>
          <w:rFonts w:hint="eastAsia"/>
        </w:rPr>
        <w:t>常见疾病影像表现：肾上腺皮质增生、肾上腺肿瘤</w:t>
      </w:r>
    </w:p>
    <w:p w:rsidR="003717A0" w:rsidRDefault="00553236" w:rsidP="00553236">
      <w:pPr>
        <w:tabs>
          <w:tab w:val="left" w:pos="360"/>
        </w:tabs>
      </w:pPr>
      <w:r>
        <w:rPr>
          <w:rFonts w:hint="eastAsia"/>
        </w:rPr>
        <w:t>（四）</w:t>
      </w:r>
      <w:r w:rsidR="003717A0">
        <w:rPr>
          <w:rFonts w:hint="eastAsia"/>
        </w:rPr>
        <w:t>女性生殖系统</w:t>
      </w:r>
    </w:p>
    <w:p w:rsidR="003717A0" w:rsidRDefault="003717A0">
      <w:pPr>
        <w:ind w:firstLine="435"/>
      </w:pPr>
      <w:r>
        <w:t>1.</w:t>
      </w:r>
      <w:r>
        <w:rPr>
          <w:rFonts w:hint="eastAsia"/>
        </w:rPr>
        <w:t>检查技术</w:t>
      </w:r>
    </w:p>
    <w:p w:rsidR="003717A0" w:rsidRDefault="003717A0">
      <w:pPr>
        <w:ind w:firstLine="435"/>
      </w:pPr>
      <w:r>
        <w:t>2.</w:t>
      </w:r>
      <w:r>
        <w:rPr>
          <w:rFonts w:hint="eastAsia"/>
        </w:rPr>
        <w:t>正常影像学表现</w:t>
      </w:r>
    </w:p>
    <w:p w:rsidR="003717A0" w:rsidRDefault="003717A0">
      <w:pPr>
        <w:ind w:firstLine="435"/>
      </w:pPr>
      <w:r>
        <w:t>3.</w:t>
      </w:r>
      <w:r>
        <w:rPr>
          <w:rFonts w:hint="eastAsia"/>
        </w:rPr>
        <w:t>基本病变影像表现</w:t>
      </w:r>
    </w:p>
    <w:p w:rsidR="003717A0" w:rsidRDefault="003717A0">
      <w:pPr>
        <w:ind w:firstLineChars="200" w:firstLine="420"/>
      </w:pPr>
      <w:r>
        <w:t>4.</w:t>
      </w:r>
      <w:r>
        <w:rPr>
          <w:rFonts w:hint="eastAsia"/>
        </w:rPr>
        <w:t>常见疾病影像表现：卵巢囊肿和卵巢肿瘤、子宫肌瘤、子宫癌、先天异常</w:t>
      </w:r>
    </w:p>
    <w:p w:rsidR="003717A0" w:rsidRDefault="003717A0">
      <w:r>
        <w:rPr>
          <w:rFonts w:hint="eastAsia"/>
        </w:rPr>
        <w:t>三、男性生殖系统</w:t>
      </w:r>
    </w:p>
    <w:p w:rsidR="003717A0" w:rsidRDefault="003717A0">
      <w:pPr>
        <w:ind w:firstLine="435"/>
      </w:pPr>
      <w:r>
        <w:t>1.</w:t>
      </w:r>
      <w:r>
        <w:rPr>
          <w:rFonts w:hint="eastAsia"/>
        </w:rPr>
        <w:t>检查技术</w:t>
      </w:r>
    </w:p>
    <w:p w:rsidR="003717A0" w:rsidRDefault="003717A0">
      <w:pPr>
        <w:ind w:firstLine="435"/>
      </w:pPr>
      <w:r>
        <w:t>2.</w:t>
      </w:r>
      <w:r>
        <w:rPr>
          <w:rFonts w:hint="eastAsia"/>
        </w:rPr>
        <w:t>正常影像学表现</w:t>
      </w:r>
    </w:p>
    <w:p w:rsidR="003717A0" w:rsidRDefault="003717A0">
      <w:pPr>
        <w:ind w:firstLine="435"/>
      </w:pPr>
      <w:r>
        <w:t>3.</w:t>
      </w:r>
      <w:r>
        <w:rPr>
          <w:rFonts w:hint="eastAsia"/>
        </w:rPr>
        <w:t>基本病变影像表现</w:t>
      </w:r>
    </w:p>
    <w:p w:rsidR="003717A0" w:rsidRDefault="003717A0">
      <w:pPr>
        <w:ind w:firstLineChars="200" w:firstLine="420"/>
      </w:pPr>
      <w:r>
        <w:t>4.</w:t>
      </w:r>
      <w:r>
        <w:rPr>
          <w:rFonts w:hint="eastAsia"/>
        </w:rPr>
        <w:t>常见疾病影像表现：良性前列腺增生、前列腺癌</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b/>
        </w:rPr>
        <w:t>2</w:t>
      </w:r>
      <w:r>
        <w:rPr>
          <w:rFonts w:ascii="Times New Roman" w:hint="eastAsia"/>
          <w:b/>
        </w:rPr>
        <w:t>学时）</w:t>
      </w:r>
    </w:p>
    <w:p w:rsidR="003717A0" w:rsidRDefault="003717A0">
      <w:pPr>
        <w:adjustRightInd w:val="0"/>
        <w:snapToGrid w:val="0"/>
        <w:spacing w:line="360" w:lineRule="auto"/>
        <w:ind w:right="6" w:firstLineChars="200" w:firstLine="420"/>
      </w:pPr>
      <w:r>
        <w:rPr>
          <w:rFonts w:hint="eastAsia"/>
        </w:rPr>
        <w:t>分小组读片，掌握泌尿生殖系统常见病影像表现</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ind w:firstLine="435"/>
      </w:pPr>
      <w:r>
        <w:t>1.</w:t>
      </w:r>
      <w:r>
        <w:rPr>
          <w:rFonts w:hint="eastAsia"/>
        </w:rPr>
        <w:t>了解泌尿生殖系统影像检查方法及正常表现</w:t>
      </w:r>
    </w:p>
    <w:p w:rsidR="003717A0" w:rsidRDefault="003717A0">
      <w:pPr>
        <w:ind w:firstLine="435"/>
      </w:pPr>
      <w:r>
        <w:t>2.</w:t>
      </w:r>
      <w:r>
        <w:rPr>
          <w:rFonts w:hint="eastAsia"/>
        </w:rPr>
        <w:t>掌握泌尿生殖系统常见病影像表现</w:t>
      </w:r>
    </w:p>
    <w:p w:rsidR="003717A0" w:rsidRDefault="003717A0" w:rsidP="005E20B5">
      <w:pPr>
        <w:adjustRightInd w:val="0"/>
        <w:snapToGrid w:val="0"/>
        <w:spacing w:beforeLines="50" w:line="360" w:lineRule="auto"/>
        <w:ind w:right="6"/>
        <w:jc w:val="center"/>
        <w:rPr>
          <w:b/>
          <w:sz w:val="22"/>
        </w:rPr>
      </w:pPr>
      <w:r>
        <w:rPr>
          <w:rFonts w:hint="eastAsia"/>
          <w:b/>
          <w:sz w:val="22"/>
        </w:rPr>
        <w:t>第七章</w:t>
      </w:r>
      <w:r>
        <w:rPr>
          <w:b/>
          <w:sz w:val="22"/>
        </w:rPr>
        <w:t xml:space="preserve">  </w:t>
      </w:r>
      <w:r>
        <w:rPr>
          <w:rFonts w:hint="eastAsia"/>
          <w:b/>
          <w:sz w:val="22"/>
        </w:rPr>
        <w:t>中枢神经系统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r>
        <w:rPr>
          <w:rFonts w:hint="eastAsia"/>
        </w:rPr>
        <w:t>一、脑与脊髓</w:t>
      </w:r>
    </w:p>
    <w:p w:rsidR="003717A0" w:rsidRDefault="003717A0">
      <w:r>
        <w:t xml:space="preserve">    1.X</w:t>
      </w:r>
      <w:r>
        <w:rPr>
          <w:rFonts w:hint="eastAsia"/>
        </w:rPr>
        <w:t>线、</w:t>
      </w:r>
      <w:r>
        <w:t>CT</w:t>
      </w:r>
      <w:r>
        <w:rPr>
          <w:rFonts w:hint="eastAsia"/>
        </w:rPr>
        <w:t>和</w:t>
      </w:r>
      <w:r>
        <w:t>MRI</w:t>
      </w:r>
      <w:r>
        <w:rPr>
          <w:rFonts w:hint="eastAsia"/>
        </w:rPr>
        <w:t>检查方法。</w:t>
      </w:r>
      <w:r>
        <w:t xml:space="preserve"> </w:t>
      </w:r>
    </w:p>
    <w:p w:rsidR="003717A0" w:rsidRDefault="003717A0">
      <w:r>
        <w:t xml:space="preserve">    2.</w:t>
      </w:r>
      <w:r>
        <w:rPr>
          <w:rFonts w:hint="eastAsia"/>
        </w:rPr>
        <w:t>正常</w:t>
      </w:r>
      <w:r>
        <w:t>X</w:t>
      </w:r>
      <w:r>
        <w:rPr>
          <w:rFonts w:hint="eastAsia"/>
        </w:rPr>
        <w:t>线、</w:t>
      </w:r>
      <w:r>
        <w:t>CT</w:t>
      </w:r>
      <w:r>
        <w:rPr>
          <w:rFonts w:hint="eastAsia"/>
        </w:rPr>
        <w:t>和</w:t>
      </w:r>
      <w:r>
        <w:t>MRI</w:t>
      </w:r>
      <w:r>
        <w:rPr>
          <w:rFonts w:hint="eastAsia"/>
        </w:rPr>
        <w:t>表现。</w:t>
      </w:r>
    </w:p>
    <w:p w:rsidR="003717A0" w:rsidRDefault="003717A0">
      <w:pPr>
        <w:ind w:firstLine="435"/>
      </w:pPr>
      <w:r>
        <w:t>3.</w:t>
      </w:r>
      <w:r>
        <w:rPr>
          <w:rFonts w:hint="eastAsia"/>
        </w:rPr>
        <w:t>基本病变</w:t>
      </w:r>
      <w:r>
        <w:t>CT</w:t>
      </w:r>
      <w:r>
        <w:rPr>
          <w:rFonts w:hint="eastAsia"/>
        </w:rPr>
        <w:t>和</w:t>
      </w:r>
      <w:r>
        <w:t>MR</w:t>
      </w:r>
      <w:r>
        <w:rPr>
          <w:rFonts w:hint="eastAsia"/>
        </w:rPr>
        <w:t>表现。</w:t>
      </w:r>
    </w:p>
    <w:p w:rsidR="003717A0" w:rsidRDefault="003717A0">
      <w:pPr>
        <w:ind w:firstLine="435"/>
      </w:pPr>
      <w:r>
        <w:lastRenderedPageBreak/>
        <w:t>4.</w:t>
      </w:r>
      <w:r>
        <w:rPr>
          <w:rFonts w:hint="eastAsia"/>
        </w:rPr>
        <w:t>脑肿瘤</w:t>
      </w:r>
      <w:r>
        <w:t>CT</w:t>
      </w:r>
      <w:r>
        <w:rPr>
          <w:rFonts w:hint="eastAsia"/>
        </w:rPr>
        <w:t>和</w:t>
      </w:r>
      <w:r>
        <w:t>MR</w:t>
      </w:r>
      <w:r>
        <w:rPr>
          <w:rFonts w:hint="eastAsia"/>
        </w:rPr>
        <w:t>表现和诊断。</w:t>
      </w:r>
    </w:p>
    <w:p w:rsidR="003717A0" w:rsidRDefault="003717A0">
      <w:pPr>
        <w:ind w:firstLineChars="300" w:firstLine="630"/>
      </w:pPr>
      <w:r>
        <w:rPr>
          <w:rFonts w:ascii="宋体" w:hAnsi="宋体" w:hint="eastAsia"/>
        </w:rPr>
        <w:t>①胶质瘤</w:t>
      </w:r>
      <w:r>
        <w:rPr>
          <w:rFonts w:ascii="宋体" w:hAnsi="宋体"/>
        </w:rPr>
        <w:t xml:space="preserve">  </w:t>
      </w:r>
      <w:r>
        <w:rPr>
          <w:rFonts w:ascii="宋体" w:hAnsi="宋体" w:hint="eastAsia"/>
        </w:rPr>
        <w:t>②脑膜瘤</w:t>
      </w:r>
      <w:r>
        <w:rPr>
          <w:rFonts w:ascii="宋体" w:hAnsi="宋体"/>
        </w:rPr>
        <w:t xml:space="preserve">  </w:t>
      </w:r>
      <w:r>
        <w:rPr>
          <w:rFonts w:ascii="宋体" w:hAnsi="宋体" w:hint="eastAsia"/>
        </w:rPr>
        <w:t>③垂体瘤</w:t>
      </w:r>
      <w:r>
        <w:rPr>
          <w:rFonts w:ascii="宋体" w:hAnsi="宋体"/>
        </w:rPr>
        <w:t xml:space="preserve">  </w:t>
      </w:r>
      <w:r>
        <w:rPr>
          <w:rFonts w:ascii="宋体" w:hAnsi="宋体" w:hint="eastAsia"/>
        </w:rPr>
        <w:t>④颅咽管瘤</w:t>
      </w:r>
      <w:r>
        <w:rPr>
          <w:rFonts w:ascii="宋体" w:hAnsi="宋体"/>
        </w:rPr>
        <w:t xml:space="preserve">  </w:t>
      </w:r>
      <w:r>
        <w:rPr>
          <w:rFonts w:ascii="宋体" w:hAnsi="宋体" w:hint="eastAsia"/>
        </w:rPr>
        <w:t>⑤听神经瘤</w:t>
      </w:r>
    </w:p>
    <w:p w:rsidR="003717A0" w:rsidRDefault="003717A0">
      <w:pPr>
        <w:ind w:firstLine="435"/>
      </w:pPr>
      <w:r>
        <w:t>4.</w:t>
      </w:r>
      <w:r>
        <w:rPr>
          <w:rFonts w:hint="eastAsia"/>
        </w:rPr>
        <w:t>脑血管病变（缺血、出血）</w:t>
      </w:r>
      <w:r>
        <w:t>CT</w:t>
      </w:r>
      <w:r>
        <w:rPr>
          <w:rFonts w:hint="eastAsia"/>
        </w:rPr>
        <w:t>、</w:t>
      </w:r>
      <w:r>
        <w:t>MRI</w:t>
      </w:r>
      <w:r>
        <w:rPr>
          <w:rFonts w:hint="eastAsia"/>
        </w:rPr>
        <w:t>诊断</w:t>
      </w:r>
    </w:p>
    <w:p w:rsidR="003717A0" w:rsidRDefault="003717A0">
      <w:pPr>
        <w:ind w:firstLineChars="300" w:firstLine="630"/>
      </w:pPr>
      <w:r>
        <w:rPr>
          <w:rFonts w:ascii="宋体" w:hAnsi="宋体" w:hint="eastAsia"/>
        </w:rPr>
        <w:t>①梗死</w:t>
      </w:r>
      <w:r>
        <w:rPr>
          <w:rFonts w:ascii="宋体" w:hAnsi="宋体"/>
        </w:rPr>
        <w:t xml:space="preserve">   </w:t>
      </w:r>
      <w:r>
        <w:rPr>
          <w:rFonts w:ascii="宋体" w:hAnsi="宋体" w:hint="eastAsia"/>
        </w:rPr>
        <w:t>②出血</w:t>
      </w:r>
      <w:r>
        <w:rPr>
          <w:rFonts w:ascii="宋体" w:hAnsi="宋体"/>
        </w:rPr>
        <w:t xml:space="preserve">  </w:t>
      </w:r>
      <w:r>
        <w:rPr>
          <w:rFonts w:ascii="宋体" w:hAnsi="宋体" w:hint="eastAsia"/>
        </w:rPr>
        <w:t>③动脉瘤</w:t>
      </w:r>
      <w:r>
        <w:rPr>
          <w:rFonts w:ascii="宋体" w:hAnsi="宋体"/>
        </w:rPr>
        <w:t xml:space="preserve"> </w:t>
      </w:r>
    </w:p>
    <w:p w:rsidR="003717A0" w:rsidRDefault="003717A0">
      <w:pPr>
        <w:ind w:firstLineChars="200" w:firstLine="420"/>
      </w:pPr>
      <w:r>
        <w:t>5.</w:t>
      </w:r>
      <w:r>
        <w:rPr>
          <w:rFonts w:hint="eastAsia"/>
        </w:rPr>
        <w:t>脑外伤</w:t>
      </w:r>
      <w:r>
        <w:t>CT</w:t>
      </w:r>
      <w:r>
        <w:rPr>
          <w:rFonts w:hint="eastAsia"/>
        </w:rPr>
        <w:t>、</w:t>
      </w:r>
      <w:r>
        <w:t>MRI</w:t>
      </w:r>
      <w:r>
        <w:rPr>
          <w:rFonts w:hint="eastAsia"/>
        </w:rPr>
        <w:t>诊断</w:t>
      </w:r>
    </w:p>
    <w:p w:rsidR="003717A0" w:rsidRDefault="003717A0">
      <w:pPr>
        <w:ind w:firstLineChars="300" w:firstLine="630"/>
      </w:pPr>
      <w:r>
        <w:t xml:space="preserve"> </w:t>
      </w:r>
      <w:r>
        <w:rPr>
          <w:rFonts w:ascii="宋体" w:hAnsi="宋体" w:hint="eastAsia"/>
        </w:rPr>
        <w:t>①挫伤</w:t>
      </w:r>
      <w:r>
        <w:rPr>
          <w:rFonts w:ascii="宋体" w:hAnsi="宋体"/>
        </w:rPr>
        <w:t xml:space="preserve">  </w:t>
      </w:r>
      <w:r>
        <w:rPr>
          <w:rFonts w:ascii="宋体" w:hAnsi="宋体" w:hint="eastAsia"/>
        </w:rPr>
        <w:t>②脑内血肿</w:t>
      </w:r>
      <w:r>
        <w:rPr>
          <w:rFonts w:ascii="宋体" w:hAnsi="宋体"/>
        </w:rPr>
        <w:t xml:space="preserve">  </w:t>
      </w:r>
      <w:r>
        <w:rPr>
          <w:rFonts w:ascii="宋体" w:hAnsi="宋体" w:hint="eastAsia"/>
        </w:rPr>
        <w:t>③硬膜下血肿</w:t>
      </w:r>
      <w:r>
        <w:rPr>
          <w:rFonts w:ascii="宋体" w:hAnsi="宋体"/>
        </w:rPr>
        <w:t xml:space="preserve">  </w:t>
      </w:r>
      <w:r>
        <w:rPr>
          <w:rFonts w:ascii="宋体" w:hAnsi="宋体" w:hint="eastAsia"/>
        </w:rPr>
        <w:t>④硬膜外血肿</w:t>
      </w:r>
      <w:r>
        <w:rPr>
          <w:rFonts w:ascii="宋体" w:hAnsi="宋体"/>
        </w:rPr>
        <w:t xml:space="preserve">  </w:t>
      </w:r>
      <w:r>
        <w:rPr>
          <w:rFonts w:ascii="宋体" w:hAnsi="宋体" w:hint="eastAsia"/>
        </w:rPr>
        <w:t>⑤蛛网膜下腔出血</w:t>
      </w:r>
    </w:p>
    <w:p w:rsidR="003717A0" w:rsidRDefault="003717A0">
      <w:pPr>
        <w:ind w:firstLine="435"/>
      </w:pPr>
      <w:r>
        <w:t>6.</w:t>
      </w:r>
      <w:r>
        <w:rPr>
          <w:rFonts w:hint="eastAsia"/>
        </w:rPr>
        <w:t>脊髓损伤</w:t>
      </w:r>
      <w:r>
        <w:t>MIR</w:t>
      </w:r>
      <w:r>
        <w:rPr>
          <w:rFonts w:hint="eastAsia"/>
        </w:rPr>
        <w:t>诊断</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1</w:t>
      </w:r>
      <w:r>
        <w:rPr>
          <w:rFonts w:ascii="Times New Roman" w:hint="eastAsia"/>
          <w:b/>
        </w:rPr>
        <w:t>学时）</w:t>
      </w:r>
    </w:p>
    <w:p w:rsidR="003717A0" w:rsidRDefault="003717A0">
      <w:pPr>
        <w:ind w:firstLine="435"/>
      </w:pPr>
      <w:r>
        <w:rPr>
          <w:rFonts w:hint="eastAsia"/>
        </w:rPr>
        <w:t>分小组读片，掌握中枢神经系统正常的</w:t>
      </w:r>
      <w:r>
        <w:t>CT</w:t>
      </w:r>
      <w:r>
        <w:rPr>
          <w:rFonts w:hint="eastAsia"/>
        </w:rPr>
        <w:t>和</w:t>
      </w:r>
      <w:r>
        <w:t>MRI</w:t>
      </w:r>
      <w:r>
        <w:rPr>
          <w:rFonts w:hint="eastAsia"/>
        </w:rPr>
        <w:t>表现；</w:t>
      </w:r>
      <w:r>
        <w:t>.</w:t>
      </w:r>
      <w:r>
        <w:rPr>
          <w:rFonts w:hint="eastAsia"/>
        </w:rPr>
        <w:t>掌握中枢神经系统基本病变的</w:t>
      </w:r>
      <w:r>
        <w:t>CT</w:t>
      </w:r>
      <w:r>
        <w:rPr>
          <w:rFonts w:hint="eastAsia"/>
        </w:rPr>
        <w:t>和</w:t>
      </w:r>
      <w:r>
        <w:t>MRI</w:t>
      </w:r>
      <w:r>
        <w:rPr>
          <w:rFonts w:hint="eastAsia"/>
        </w:rPr>
        <w:t>表现</w:t>
      </w:r>
    </w:p>
    <w:p w:rsidR="003717A0" w:rsidRDefault="003717A0">
      <w:pPr>
        <w:ind w:firstLine="435"/>
      </w:pPr>
      <w:r>
        <w:rPr>
          <w:rFonts w:ascii="Times New Roman" w:hint="eastAsia"/>
          <w:b/>
        </w:rPr>
        <w:t>目的要求</w:t>
      </w:r>
    </w:p>
    <w:p w:rsidR="003717A0" w:rsidRDefault="003717A0">
      <w:pPr>
        <w:ind w:firstLine="435"/>
      </w:pPr>
      <w:r>
        <w:t>1.</w:t>
      </w:r>
      <w:r>
        <w:rPr>
          <w:rFonts w:hint="eastAsia"/>
        </w:rPr>
        <w:t>了解中枢神经系统</w:t>
      </w:r>
      <w:r>
        <w:t>X</w:t>
      </w:r>
      <w:r>
        <w:rPr>
          <w:rFonts w:hint="eastAsia"/>
        </w:rPr>
        <w:t>线、</w:t>
      </w:r>
      <w:r>
        <w:t>CT</w:t>
      </w:r>
      <w:r>
        <w:rPr>
          <w:rFonts w:hint="eastAsia"/>
        </w:rPr>
        <w:t>和</w:t>
      </w:r>
      <w:r>
        <w:t>MRI</w:t>
      </w:r>
      <w:r>
        <w:rPr>
          <w:rFonts w:hint="eastAsia"/>
        </w:rPr>
        <w:t>检查方法。</w:t>
      </w:r>
    </w:p>
    <w:p w:rsidR="003717A0" w:rsidRDefault="003717A0">
      <w:pPr>
        <w:ind w:firstLine="435"/>
      </w:pPr>
      <w:r>
        <w:t>2.</w:t>
      </w:r>
      <w:r>
        <w:rPr>
          <w:rFonts w:hint="eastAsia"/>
        </w:rPr>
        <w:t>了解中枢神经系统有关</w:t>
      </w:r>
      <w:r>
        <w:t>CT</w:t>
      </w:r>
      <w:r>
        <w:rPr>
          <w:rFonts w:hint="eastAsia"/>
        </w:rPr>
        <w:t>和</w:t>
      </w:r>
      <w:r>
        <w:t>MRI</w:t>
      </w:r>
      <w:r>
        <w:rPr>
          <w:rFonts w:hint="eastAsia"/>
        </w:rPr>
        <w:t>检查的新技术及其意义。</w:t>
      </w:r>
    </w:p>
    <w:p w:rsidR="003717A0" w:rsidRDefault="003717A0">
      <w:pPr>
        <w:ind w:firstLine="435"/>
      </w:pPr>
      <w:r>
        <w:t>3.</w:t>
      </w:r>
      <w:r>
        <w:rPr>
          <w:rFonts w:hint="eastAsia"/>
        </w:rPr>
        <w:t>掌握中枢神经系统正常的</w:t>
      </w:r>
      <w:r>
        <w:t>CT</w:t>
      </w:r>
      <w:r>
        <w:rPr>
          <w:rFonts w:hint="eastAsia"/>
        </w:rPr>
        <w:t>和</w:t>
      </w:r>
      <w:r>
        <w:t>MRI</w:t>
      </w:r>
      <w:r>
        <w:rPr>
          <w:rFonts w:hint="eastAsia"/>
        </w:rPr>
        <w:t>表现。</w:t>
      </w:r>
    </w:p>
    <w:p w:rsidR="003717A0" w:rsidRDefault="003717A0">
      <w:pPr>
        <w:ind w:firstLine="435"/>
      </w:pPr>
      <w:r>
        <w:t>4.</w:t>
      </w:r>
      <w:r>
        <w:rPr>
          <w:rFonts w:hint="eastAsia"/>
        </w:rPr>
        <w:t>掌握中枢神经系统基本病变的</w:t>
      </w:r>
      <w:r>
        <w:t>CT</w:t>
      </w:r>
      <w:r>
        <w:rPr>
          <w:rFonts w:hint="eastAsia"/>
        </w:rPr>
        <w:t>和</w:t>
      </w:r>
      <w:r>
        <w:t>MRI</w:t>
      </w:r>
      <w:r>
        <w:rPr>
          <w:rFonts w:hint="eastAsia"/>
        </w:rPr>
        <w:t>表现。</w:t>
      </w:r>
    </w:p>
    <w:p w:rsidR="003717A0" w:rsidRDefault="003717A0">
      <w:pPr>
        <w:ind w:firstLineChars="1100" w:firstLine="2319"/>
        <w:rPr>
          <w:rFonts w:ascii="Times New Roman"/>
          <w:b/>
        </w:rPr>
      </w:pPr>
      <w:r>
        <w:rPr>
          <w:rFonts w:ascii="Times New Roman" w:hint="eastAsia"/>
          <w:b/>
        </w:rPr>
        <w:t>第八章</w:t>
      </w:r>
      <w:r>
        <w:rPr>
          <w:rFonts w:ascii="Times New Roman"/>
          <w:b/>
        </w:rPr>
        <w:t xml:space="preserve">  </w:t>
      </w:r>
      <w:r>
        <w:rPr>
          <w:rFonts w:ascii="Times New Roman" w:hint="eastAsia"/>
          <w:b/>
        </w:rPr>
        <w:t>儿科影像学</w:t>
      </w:r>
    </w:p>
    <w:p w:rsidR="003717A0" w:rsidRDefault="003717A0">
      <w:pPr>
        <w:rPr>
          <w:rFonts w:ascii="Times New Roman"/>
          <w:b/>
        </w:rPr>
      </w:pPr>
      <w:r>
        <w:rPr>
          <w:rFonts w:ascii="Times New Roman" w:hint="eastAsia"/>
          <w:b/>
        </w:rPr>
        <w:t>教学内容（</w:t>
      </w:r>
      <w:r>
        <w:rPr>
          <w:rFonts w:ascii="Times New Roman"/>
          <w:b/>
        </w:rPr>
        <w:t>2</w:t>
      </w:r>
      <w:r>
        <w:rPr>
          <w:rFonts w:ascii="Times New Roman" w:hint="eastAsia"/>
          <w:b/>
        </w:rPr>
        <w:t>学时）</w:t>
      </w:r>
    </w:p>
    <w:p w:rsidR="003717A0" w:rsidRDefault="003717A0">
      <w:r>
        <w:rPr>
          <w:rFonts w:hint="eastAsia"/>
        </w:rPr>
        <w:t>一、儿科影像学检查技术</w:t>
      </w:r>
    </w:p>
    <w:p w:rsidR="003717A0" w:rsidRDefault="003717A0">
      <w:r>
        <w:rPr>
          <w:rFonts w:hint="eastAsia"/>
        </w:rPr>
        <w:t>二、各系统正常与病变的影像特点</w:t>
      </w:r>
    </w:p>
    <w:p w:rsidR="003717A0" w:rsidRDefault="003717A0">
      <w:r>
        <w:rPr>
          <w:rFonts w:hint="eastAsia"/>
        </w:rPr>
        <w:t>三、各系统常见病变的影像诊断</w:t>
      </w:r>
    </w:p>
    <w:p w:rsidR="003717A0" w:rsidRDefault="003717A0">
      <w:r>
        <w:t>1.</w:t>
      </w:r>
      <w:r>
        <w:rPr>
          <w:rFonts w:hint="eastAsia"/>
        </w:rPr>
        <w:t>先天性髋关节脱位</w:t>
      </w:r>
    </w:p>
    <w:p w:rsidR="003717A0" w:rsidRDefault="003717A0">
      <w:r>
        <w:t>2.</w:t>
      </w:r>
      <w:r>
        <w:rPr>
          <w:rFonts w:hint="eastAsia"/>
        </w:rPr>
        <w:t>呼吸道异物</w:t>
      </w:r>
    </w:p>
    <w:p w:rsidR="003717A0" w:rsidRDefault="003717A0">
      <w:r>
        <w:t>3.</w:t>
      </w:r>
      <w:r>
        <w:rPr>
          <w:rFonts w:hint="eastAsia"/>
        </w:rPr>
        <w:t>完全性肺静脉异位引流</w:t>
      </w:r>
    </w:p>
    <w:p w:rsidR="003717A0" w:rsidRDefault="003717A0">
      <w:r>
        <w:t>4.</w:t>
      </w:r>
      <w:r>
        <w:rPr>
          <w:rFonts w:hint="eastAsia"/>
        </w:rPr>
        <w:t>先天性巨结肠</w:t>
      </w:r>
    </w:p>
    <w:p w:rsidR="003717A0" w:rsidRDefault="003717A0">
      <w:r>
        <w:t>5.</w:t>
      </w:r>
      <w:r>
        <w:rPr>
          <w:rFonts w:hint="eastAsia"/>
        </w:rPr>
        <w:t>先天性胆总管囊肿</w:t>
      </w:r>
    </w:p>
    <w:p w:rsidR="003717A0" w:rsidRDefault="003717A0">
      <w:r>
        <w:t>6.</w:t>
      </w:r>
      <w:r>
        <w:rPr>
          <w:rFonts w:hint="eastAsia"/>
        </w:rPr>
        <w:t>肾母细胞瘤、肾上腺神经母细胞瘤、肾上腺出血</w:t>
      </w:r>
    </w:p>
    <w:p w:rsidR="003717A0" w:rsidRDefault="003717A0">
      <w:pPr>
        <w:adjustRightInd w:val="0"/>
        <w:snapToGrid w:val="0"/>
        <w:spacing w:line="360" w:lineRule="auto"/>
        <w:ind w:right="6"/>
        <w:rPr>
          <w:rFonts w:ascii="Times New Roman" w:hAnsi="Times New Roman"/>
          <w:b/>
        </w:rPr>
      </w:pPr>
      <w:r>
        <w:rPr>
          <w:rFonts w:ascii="Times New Roman" w:hint="eastAsia"/>
          <w:b/>
        </w:rPr>
        <w:t>实习内容（</w:t>
      </w:r>
      <w:r>
        <w:rPr>
          <w:rFonts w:ascii="Times New Roman" w:hAnsi="Times New Roman"/>
          <w:b/>
        </w:rPr>
        <w:t>1</w:t>
      </w:r>
      <w:r>
        <w:rPr>
          <w:rFonts w:ascii="Times New Roman" w:hint="eastAsia"/>
          <w:b/>
        </w:rPr>
        <w:t>学时）</w:t>
      </w:r>
    </w:p>
    <w:p w:rsidR="003717A0" w:rsidRDefault="003717A0">
      <w:r>
        <w:rPr>
          <w:rFonts w:hint="eastAsia"/>
        </w:rPr>
        <w:t>分小组读片，掌握儿科常见病变的典型影像学表现</w:t>
      </w:r>
    </w:p>
    <w:p w:rsidR="003717A0" w:rsidRDefault="003717A0">
      <w:pPr>
        <w:rPr>
          <w:rFonts w:ascii="Times New Roman"/>
          <w:b/>
        </w:rPr>
      </w:pPr>
      <w:r>
        <w:rPr>
          <w:rFonts w:ascii="Times New Roman" w:hint="eastAsia"/>
          <w:b/>
        </w:rPr>
        <w:t>目的要求</w:t>
      </w:r>
    </w:p>
    <w:p w:rsidR="003717A0" w:rsidRDefault="003717A0">
      <w:r>
        <w:rPr>
          <w:rFonts w:hint="eastAsia"/>
        </w:rPr>
        <w:t>熟悉儿科各系统的正常影像表现、基本病变影像表现，掌握儿科常见病变的典型影像表现。</w:t>
      </w:r>
    </w:p>
    <w:p w:rsidR="003717A0" w:rsidRDefault="003717A0"/>
    <w:p w:rsidR="003717A0" w:rsidRDefault="003717A0">
      <w:pPr>
        <w:adjustRightInd w:val="0"/>
        <w:snapToGrid w:val="0"/>
        <w:spacing w:line="360" w:lineRule="auto"/>
        <w:jc w:val="center"/>
        <w:rPr>
          <w:b/>
          <w:bCs/>
          <w:sz w:val="28"/>
          <w:szCs w:val="28"/>
        </w:rPr>
      </w:pPr>
      <w:r>
        <w:rPr>
          <w:rFonts w:hint="eastAsia"/>
          <w:b/>
          <w:bCs/>
          <w:sz w:val="28"/>
          <w:szCs w:val="28"/>
        </w:rPr>
        <w:t>理论课、实验课学时分配</w:t>
      </w:r>
    </w:p>
    <w:tbl>
      <w:tblPr>
        <w:tblW w:w="8097"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8"/>
        <w:gridCol w:w="3595"/>
        <w:gridCol w:w="702"/>
        <w:gridCol w:w="1406"/>
        <w:gridCol w:w="1626"/>
      </w:tblGrid>
      <w:tr w:rsidR="003717A0">
        <w:trPr>
          <w:trHeight w:val="340"/>
        </w:trPr>
        <w:tc>
          <w:tcPr>
            <w:tcW w:w="768" w:type="dxa"/>
            <w:vAlign w:val="center"/>
          </w:tcPr>
          <w:p w:rsidR="003717A0" w:rsidRDefault="003717A0">
            <w:pPr>
              <w:spacing w:line="240" w:lineRule="atLeast"/>
              <w:jc w:val="center"/>
              <w:rPr>
                <w:rFonts w:ascii="宋体"/>
              </w:rPr>
            </w:pPr>
            <w:r>
              <w:rPr>
                <w:rFonts w:ascii="宋体" w:hAnsi="宋体" w:hint="eastAsia"/>
              </w:rPr>
              <w:t>序号</w:t>
            </w:r>
          </w:p>
        </w:tc>
        <w:tc>
          <w:tcPr>
            <w:tcW w:w="3595" w:type="dxa"/>
            <w:vAlign w:val="center"/>
          </w:tcPr>
          <w:p w:rsidR="003717A0" w:rsidRDefault="003717A0">
            <w:pPr>
              <w:spacing w:line="240" w:lineRule="atLeast"/>
              <w:jc w:val="center"/>
              <w:rPr>
                <w:rFonts w:ascii="宋体"/>
              </w:rPr>
            </w:pPr>
            <w:r>
              <w:rPr>
                <w:rFonts w:ascii="宋体" w:hAnsi="宋体" w:hint="eastAsia"/>
              </w:rPr>
              <w:t>内</w:t>
            </w:r>
            <w:r>
              <w:rPr>
                <w:rFonts w:ascii="宋体" w:hAnsi="宋体"/>
              </w:rPr>
              <w:t xml:space="preserve">     </w:t>
            </w:r>
            <w:r>
              <w:rPr>
                <w:rFonts w:ascii="宋体" w:hAnsi="宋体" w:hint="eastAsia"/>
              </w:rPr>
              <w:t>容</w:t>
            </w:r>
          </w:p>
        </w:tc>
        <w:tc>
          <w:tcPr>
            <w:tcW w:w="702" w:type="dxa"/>
            <w:vAlign w:val="center"/>
          </w:tcPr>
          <w:p w:rsidR="003717A0" w:rsidRDefault="003717A0">
            <w:pPr>
              <w:spacing w:line="240" w:lineRule="atLeast"/>
              <w:jc w:val="center"/>
              <w:rPr>
                <w:rFonts w:ascii="宋体"/>
              </w:rPr>
            </w:pPr>
            <w:r>
              <w:rPr>
                <w:rFonts w:ascii="宋体" w:hAnsi="宋体" w:hint="eastAsia"/>
              </w:rPr>
              <w:t>学</w:t>
            </w:r>
            <w:r>
              <w:rPr>
                <w:rFonts w:ascii="宋体" w:hAnsi="宋体"/>
              </w:rPr>
              <w:t xml:space="preserve">  </w:t>
            </w:r>
            <w:r>
              <w:rPr>
                <w:rFonts w:ascii="宋体" w:hAnsi="宋体" w:hint="eastAsia"/>
              </w:rPr>
              <w:t>时</w:t>
            </w:r>
          </w:p>
        </w:tc>
        <w:tc>
          <w:tcPr>
            <w:tcW w:w="1406" w:type="dxa"/>
            <w:vAlign w:val="center"/>
          </w:tcPr>
          <w:p w:rsidR="003717A0" w:rsidRDefault="003717A0">
            <w:pPr>
              <w:spacing w:line="240" w:lineRule="atLeast"/>
              <w:jc w:val="center"/>
              <w:rPr>
                <w:rFonts w:ascii="宋体"/>
              </w:rPr>
            </w:pPr>
            <w:r>
              <w:rPr>
                <w:rFonts w:ascii="宋体" w:hAnsi="宋体" w:hint="eastAsia"/>
              </w:rPr>
              <w:t>其中实验（上机）学时</w:t>
            </w:r>
          </w:p>
        </w:tc>
        <w:tc>
          <w:tcPr>
            <w:tcW w:w="1626" w:type="dxa"/>
            <w:vAlign w:val="center"/>
          </w:tcPr>
          <w:p w:rsidR="003717A0" w:rsidRDefault="003717A0">
            <w:pPr>
              <w:spacing w:line="240" w:lineRule="atLeast"/>
              <w:jc w:val="center"/>
              <w:rPr>
                <w:rFonts w:ascii="宋体"/>
              </w:rPr>
            </w:pPr>
            <w:r>
              <w:rPr>
                <w:rFonts w:ascii="宋体" w:hAnsi="宋体" w:hint="eastAsia"/>
              </w:rPr>
              <w:t>备</w:t>
            </w:r>
            <w:r>
              <w:rPr>
                <w:rFonts w:ascii="宋体" w:hAnsi="宋体"/>
              </w:rPr>
              <w:t xml:space="preserve">  </w:t>
            </w:r>
            <w:r>
              <w:rPr>
                <w:rFonts w:ascii="宋体" w:hAnsi="宋体" w:hint="eastAsia"/>
              </w:rPr>
              <w:t>注</w:t>
            </w:r>
          </w:p>
        </w:tc>
      </w:tr>
      <w:tr w:rsidR="003717A0">
        <w:trPr>
          <w:cantSplit/>
          <w:trHeight w:val="340"/>
        </w:trPr>
        <w:tc>
          <w:tcPr>
            <w:tcW w:w="768" w:type="dxa"/>
            <w:vAlign w:val="center"/>
          </w:tcPr>
          <w:p w:rsidR="003717A0" w:rsidRDefault="003717A0">
            <w:pPr>
              <w:spacing w:line="240" w:lineRule="atLeast"/>
              <w:jc w:val="center"/>
              <w:rPr>
                <w:rFonts w:ascii="宋体"/>
                <w:bCs/>
              </w:rPr>
            </w:pPr>
            <w:r>
              <w:rPr>
                <w:rFonts w:ascii="宋体" w:hAnsi="宋体"/>
                <w:bCs/>
              </w:rPr>
              <w:t>1</w:t>
            </w:r>
          </w:p>
        </w:tc>
        <w:tc>
          <w:tcPr>
            <w:tcW w:w="3595" w:type="dxa"/>
            <w:vAlign w:val="center"/>
          </w:tcPr>
          <w:p w:rsidR="003717A0" w:rsidRDefault="003717A0">
            <w:pPr>
              <w:spacing w:line="240" w:lineRule="atLeast"/>
              <w:jc w:val="left"/>
              <w:rPr>
                <w:rFonts w:ascii="宋体"/>
                <w:b/>
                <w:bCs/>
                <w:snapToGrid w:val="0"/>
                <w:kern w:val="0"/>
                <w:szCs w:val="21"/>
              </w:rPr>
            </w:pPr>
            <w:r>
              <w:rPr>
                <w:rFonts w:hint="eastAsia"/>
              </w:rPr>
              <w:t>总论、骨、关节系统</w:t>
            </w:r>
          </w:p>
        </w:tc>
        <w:tc>
          <w:tcPr>
            <w:tcW w:w="702" w:type="dxa"/>
            <w:vAlign w:val="center"/>
          </w:tcPr>
          <w:p w:rsidR="003717A0" w:rsidRDefault="003717A0">
            <w:pPr>
              <w:spacing w:line="240" w:lineRule="atLeast"/>
              <w:jc w:val="center"/>
              <w:rPr>
                <w:rFonts w:ascii="宋体"/>
                <w:szCs w:val="21"/>
              </w:rPr>
            </w:pPr>
            <w:r>
              <w:rPr>
                <w:rFonts w:ascii="宋体" w:hAnsi="宋体"/>
                <w:szCs w:val="21"/>
              </w:rPr>
              <w:t>4</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2</w:t>
            </w:r>
          </w:p>
        </w:tc>
        <w:tc>
          <w:tcPr>
            <w:tcW w:w="1626" w:type="dxa"/>
            <w:vMerge w:val="restart"/>
          </w:tcPr>
          <w:p w:rsidR="003717A0" w:rsidRDefault="003717A0">
            <w:pPr>
              <w:spacing w:line="240" w:lineRule="atLeast"/>
              <w:jc w:val="center"/>
              <w:rPr>
                <w:rFonts w:ascii="宋体"/>
                <w:b/>
                <w:bCs/>
              </w:rPr>
            </w:pPr>
            <w:r>
              <w:rPr>
                <w:rFonts w:hint="eastAsia"/>
              </w:rPr>
              <w:t>部分理论课内容由实习老师结合图片讲解</w:t>
            </w:r>
          </w:p>
        </w:tc>
      </w:tr>
      <w:tr w:rsidR="003717A0">
        <w:trPr>
          <w:cantSplit/>
          <w:trHeight w:val="340"/>
        </w:trPr>
        <w:tc>
          <w:tcPr>
            <w:tcW w:w="768" w:type="dxa"/>
            <w:vAlign w:val="center"/>
          </w:tcPr>
          <w:p w:rsidR="003717A0" w:rsidRDefault="003717A0">
            <w:pPr>
              <w:spacing w:line="240" w:lineRule="atLeast"/>
              <w:jc w:val="center"/>
              <w:rPr>
                <w:rFonts w:ascii="宋体"/>
                <w:bCs/>
              </w:rPr>
            </w:pPr>
            <w:r>
              <w:rPr>
                <w:rFonts w:ascii="宋体" w:hAnsi="宋体"/>
                <w:bCs/>
              </w:rPr>
              <w:t>2</w:t>
            </w:r>
          </w:p>
        </w:tc>
        <w:tc>
          <w:tcPr>
            <w:tcW w:w="3595" w:type="dxa"/>
            <w:vAlign w:val="center"/>
          </w:tcPr>
          <w:p w:rsidR="003717A0" w:rsidRDefault="003717A0">
            <w:pPr>
              <w:spacing w:line="240" w:lineRule="atLeast"/>
              <w:rPr>
                <w:rFonts w:ascii="宋体"/>
                <w:b/>
                <w:bCs/>
              </w:rPr>
            </w:pPr>
            <w:r>
              <w:rPr>
                <w:rFonts w:hint="eastAsia"/>
              </w:rPr>
              <w:t>呼吸系统</w:t>
            </w:r>
            <w:r>
              <w:t xml:space="preserve">    </w:t>
            </w:r>
          </w:p>
        </w:tc>
        <w:tc>
          <w:tcPr>
            <w:tcW w:w="702" w:type="dxa"/>
            <w:vAlign w:val="center"/>
          </w:tcPr>
          <w:p w:rsidR="003717A0" w:rsidRDefault="003717A0">
            <w:pPr>
              <w:spacing w:line="240" w:lineRule="atLeast"/>
              <w:jc w:val="center"/>
              <w:rPr>
                <w:rFonts w:ascii="宋体"/>
                <w:bCs/>
                <w:szCs w:val="21"/>
              </w:rPr>
            </w:pPr>
            <w:r>
              <w:rPr>
                <w:rFonts w:ascii="宋体" w:hAnsi="宋体"/>
                <w:bCs/>
                <w:szCs w:val="21"/>
              </w:rPr>
              <w:t>4</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2</w:t>
            </w:r>
          </w:p>
        </w:tc>
        <w:tc>
          <w:tcPr>
            <w:tcW w:w="1626" w:type="dxa"/>
            <w:vMerge/>
          </w:tcPr>
          <w:p w:rsidR="003717A0" w:rsidRDefault="003717A0">
            <w:pPr>
              <w:spacing w:line="240" w:lineRule="atLeast"/>
              <w:jc w:val="center"/>
              <w:rPr>
                <w:rFonts w:ascii="宋体"/>
                <w:b/>
                <w:bCs/>
              </w:rPr>
            </w:pPr>
          </w:p>
        </w:tc>
      </w:tr>
      <w:tr w:rsidR="003717A0">
        <w:trPr>
          <w:cantSplit/>
          <w:trHeight w:val="340"/>
        </w:trPr>
        <w:tc>
          <w:tcPr>
            <w:tcW w:w="768" w:type="dxa"/>
            <w:vAlign w:val="center"/>
          </w:tcPr>
          <w:p w:rsidR="003717A0" w:rsidRDefault="003717A0">
            <w:pPr>
              <w:spacing w:line="240" w:lineRule="atLeast"/>
              <w:jc w:val="center"/>
              <w:rPr>
                <w:rFonts w:ascii="宋体"/>
                <w:bCs/>
              </w:rPr>
            </w:pPr>
            <w:r>
              <w:rPr>
                <w:rFonts w:ascii="宋体" w:hAnsi="宋体"/>
                <w:bCs/>
              </w:rPr>
              <w:t>3</w:t>
            </w:r>
          </w:p>
        </w:tc>
        <w:tc>
          <w:tcPr>
            <w:tcW w:w="3595" w:type="dxa"/>
          </w:tcPr>
          <w:p w:rsidR="003717A0" w:rsidRDefault="003717A0">
            <w:pPr>
              <w:spacing w:line="240" w:lineRule="atLeast"/>
              <w:rPr>
                <w:rFonts w:ascii="宋体"/>
                <w:b/>
                <w:bCs/>
              </w:rPr>
            </w:pPr>
            <w:r>
              <w:rPr>
                <w:rFonts w:hint="eastAsia"/>
              </w:rPr>
              <w:t>循环系统</w:t>
            </w:r>
            <w:r>
              <w:t xml:space="preserve">    </w:t>
            </w:r>
          </w:p>
        </w:tc>
        <w:tc>
          <w:tcPr>
            <w:tcW w:w="702" w:type="dxa"/>
            <w:vAlign w:val="center"/>
          </w:tcPr>
          <w:p w:rsidR="003717A0" w:rsidRDefault="003717A0">
            <w:pPr>
              <w:spacing w:line="240" w:lineRule="atLeast"/>
              <w:jc w:val="center"/>
              <w:rPr>
                <w:rFonts w:ascii="宋体"/>
                <w:bCs/>
                <w:szCs w:val="21"/>
              </w:rPr>
            </w:pPr>
            <w:r>
              <w:rPr>
                <w:rFonts w:ascii="宋体" w:hAnsi="宋体"/>
                <w:bCs/>
                <w:szCs w:val="21"/>
              </w:rPr>
              <w:t>4</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2</w:t>
            </w:r>
          </w:p>
        </w:tc>
        <w:tc>
          <w:tcPr>
            <w:tcW w:w="1626" w:type="dxa"/>
            <w:vMerge/>
          </w:tcPr>
          <w:p w:rsidR="003717A0" w:rsidRDefault="003717A0">
            <w:pPr>
              <w:spacing w:line="240" w:lineRule="atLeast"/>
              <w:jc w:val="center"/>
              <w:rPr>
                <w:rFonts w:ascii="宋体"/>
                <w:b/>
                <w:bCs/>
              </w:rPr>
            </w:pPr>
          </w:p>
        </w:tc>
      </w:tr>
      <w:tr w:rsidR="003717A0">
        <w:trPr>
          <w:cantSplit/>
          <w:trHeight w:val="340"/>
        </w:trPr>
        <w:tc>
          <w:tcPr>
            <w:tcW w:w="768" w:type="dxa"/>
          </w:tcPr>
          <w:p w:rsidR="003717A0" w:rsidRDefault="003717A0">
            <w:pPr>
              <w:spacing w:line="240" w:lineRule="atLeast"/>
              <w:ind w:firstLineChars="100" w:firstLine="210"/>
              <w:rPr>
                <w:rFonts w:ascii="宋体"/>
                <w:b/>
                <w:bCs/>
              </w:rPr>
            </w:pPr>
            <w:r>
              <w:t>4</w:t>
            </w:r>
          </w:p>
        </w:tc>
        <w:tc>
          <w:tcPr>
            <w:tcW w:w="3595" w:type="dxa"/>
          </w:tcPr>
          <w:p w:rsidR="003717A0" w:rsidRDefault="003717A0">
            <w:pPr>
              <w:spacing w:line="240" w:lineRule="atLeast"/>
            </w:pPr>
            <w:r>
              <w:rPr>
                <w:rFonts w:hint="eastAsia"/>
              </w:rPr>
              <w:t>消化系统</w:t>
            </w:r>
          </w:p>
        </w:tc>
        <w:tc>
          <w:tcPr>
            <w:tcW w:w="702" w:type="dxa"/>
            <w:vAlign w:val="center"/>
          </w:tcPr>
          <w:p w:rsidR="003717A0" w:rsidRDefault="003717A0">
            <w:pPr>
              <w:spacing w:line="240" w:lineRule="atLeast"/>
              <w:jc w:val="center"/>
              <w:rPr>
                <w:rFonts w:ascii="宋体"/>
                <w:szCs w:val="21"/>
              </w:rPr>
            </w:pPr>
            <w:r>
              <w:rPr>
                <w:rFonts w:ascii="宋体" w:hAnsi="宋体"/>
                <w:szCs w:val="21"/>
              </w:rPr>
              <w:t>4</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2</w:t>
            </w:r>
          </w:p>
        </w:tc>
        <w:tc>
          <w:tcPr>
            <w:tcW w:w="1626" w:type="dxa"/>
            <w:vMerge/>
          </w:tcPr>
          <w:p w:rsidR="003717A0" w:rsidRDefault="003717A0">
            <w:pPr>
              <w:spacing w:line="240" w:lineRule="atLeast"/>
              <w:jc w:val="center"/>
              <w:rPr>
                <w:rFonts w:ascii="宋体"/>
                <w:b/>
                <w:bCs/>
              </w:rPr>
            </w:pPr>
          </w:p>
        </w:tc>
      </w:tr>
      <w:tr w:rsidR="003717A0">
        <w:trPr>
          <w:cantSplit/>
          <w:trHeight w:val="340"/>
        </w:trPr>
        <w:tc>
          <w:tcPr>
            <w:tcW w:w="768" w:type="dxa"/>
          </w:tcPr>
          <w:p w:rsidR="003717A0" w:rsidRDefault="003717A0">
            <w:pPr>
              <w:spacing w:line="240" w:lineRule="atLeast"/>
              <w:ind w:firstLineChars="100" w:firstLine="210"/>
            </w:pPr>
            <w:r>
              <w:t>5.</w:t>
            </w:r>
          </w:p>
        </w:tc>
        <w:tc>
          <w:tcPr>
            <w:tcW w:w="3595" w:type="dxa"/>
          </w:tcPr>
          <w:p w:rsidR="003717A0" w:rsidRDefault="003717A0">
            <w:pPr>
              <w:spacing w:line="240" w:lineRule="atLeast"/>
            </w:pPr>
            <w:r>
              <w:rPr>
                <w:rFonts w:hint="eastAsia"/>
              </w:rPr>
              <w:t>泌尿生殖系统</w:t>
            </w:r>
          </w:p>
        </w:tc>
        <w:tc>
          <w:tcPr>
            <w:tcW w:w="702" w:type="dxa"/>
            <w:vAlign w:val="center"/>
          </w:tcPr>
          <w:p w:rsidR="003717A0" w:rsidRDefault="003717A0">
            <w:pPr>
              <w:spacing w:line="240" w:lineRule="atLeast"/>
              <w:jc w:val="center"/>
              <w:rPr>
                <w:rFonts w:ascii="宋体"/>
                <w:szCs w:val="21"/>
              </w:rPr>
            </w:pPr>
            <w:r>
              <w:rPr>
                <w:rFonts w:ascii="宋体" w:hAnsi="宋体"/>
                <w:szCs w:val="21"/>
              </w:rPr>
              <w:t>4</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2</w:t>
            </w:r>
          </w:p>
        </w:tc>
        <w:tc>
          <w:tcPr>
            <w:tcW w:w="1626" w:type="dxa"/>
            <w:vMerge/>
          </w:tcPr>
          <w:p w:rsidR="003717A0" w:rsidRDefault="003717A0">
            <w:pPr>
              <w:spacing w:line="240" w:lineRule="atLeast"/>
              <w:jc w:val="center"/>
              <w:rPr>
                <w:rFonts w:ascii="宋体"/>
                <w:b/>
                <w:bCs/>
              </w:rPr>
            </w:pPr>
          </w:p>
        </w:tc>
      </w:tr>
      <w:tr w:rsidR="003717A0">
        <w:trPr>
          <w:cantSplit/>
          <w:trHeight w:val="340"/>
        </w:trPr>
        <w:tc>
          <w:tcPr>
            <w:tcW w:w="768" w:type="dxa"/>
          </w:tcPr>
          <w:p w:rsidR="003717A0" w:rsidRDefault="003717A0">
            <w:pPr>
              <w:spacing w:line="240" w:lineRule="atLeast"/>
              <w:ind w:firstLineChars="100" w:firstLine="210"/>
            </w:pPr>
            <w:r>
              <w:t>5</w:t>
            </w:r>
          </w:p>
        </w:tc>
        <w:tc>
          <w:tcPr>
            <w:tcW w:w="3595" w:type="dxa"/>
          </w:tcPr>
          <w:p w:rsidR="003717A0" w:rsidRDefault="003717A0">
            <w:pPr>
              <w:spacing w:line="240" w:lineRule="atLeast"/>
            </w:pPr>
            <w:r>
              <w:rPr>
                <w:rFonts w:hint="eastAsia"/>
              </w:rPr>
              <w:t>中枢神经系统</w:t>
            </w:r>
          </w:p>
        </w:tc>
        <w:tc>
          <w:tcPr>
            <w:tcW w:w="702" w:type="dxa"/>
            <w:vAlign w:val="center"/>
          </w:tcPr>
          <w:p w:rsidR="003717A0" w:rsidRDefault="003717A0">
            <w:pPr>
              <w:spacing w:line="240" w:lineRule="atLeast"/>
              <w:jc w:val="center"/>
              <w:rPr>
                <w:rFonts w:ascii="宋体"/>
                <w:szCs w:val="21"/>
              </w:rPr>
            </w:pPr>
            <w:r>
              <w:rPr>
                <w:rFonts w:ascii="宋体" w:hAnsi="宋体"/>
                <w:szCs w:val="21"/>
              </w:rPr>
              <w:t>2</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1</w:t>
            </w:r>
          </w:p>
        </w:tc>
        <w:tc>
          <w:tcPr>
            <w:tcW w:w="1626" w:type="dxa"/>
            <w:vMerge/>
          </w:tcPr>
          <w:p w:rsidR="003717A0" w:rsidRDefault="003717A0">
            <w:pPr>
              <w:spacing w:line="240" w:lineRule="atLeast"/>
              <w:jc w:val="center"/>
              <w:rPr>
                <w:rFonts w:ascii="宋体"/>
                <w:b/>
                <w:bCs/>
              </w:rPr>
            </w:pPr>
          </w:p>
        </w:tc>
      </w:tr>
      <w:tr w:rsidR="003717A0">
        <w:trPr>
          <w:trHeight w:val="340"/>
        </w:trPr>
        <w:tc>
          <w:tcPr>
            <w:tcW w:w="768" w:type="dxa"/>
          </w:tcPr>
          <w:p w:rsidR="003717A0" w:rsidRDefault="003717A0">
            <w:pPr>
              <w:spacing w:line="240" w:lineRule="atLeast"/>
              <w:ind w:firstLineChars="100" w:firstLine="210"/>
            </w:pPr>
            <w:r>
              <w:t>6</w:t>
            </w:r>
          </w:p>
        </w:tc>
        <w:tc>
          <w:tcPr>
            <w:tcW w:w="3595" w:type="dxa"/>
          </w:tcPr>
          <w:p w:rsidR="003717A0" w:rsidRDefault="003717A0">
            <w:pPr>
              <w:spacing w:line="240" w:lineRule="atLeast"/>
            </w:pPr>
            <w:r>
              <w:rPr>
                <w:rFonts w:hint="eastAsia"/>
              </w:rPr>
              <w:t>儿科影像学</w:t>
            </w:r>
          </w:p>
        </w:tc>
        <w:tc>
          <w:tcPr>
            <w:tcW w:w="702" w:type="dxa"/>
            <w:vAlign w:val="center"/>
          </w:tcPr>
          <w:p w:rsidR="003717A0" w:rsidRDefault="003717A0">
            <w:pPr>
              <w:spacing w:line="240" w:lineRule="atLeast"/>
              <w:jc w:val="center"/>
              <w:rPr>
                <w:rFonts w:ascii="宋体"/>
                <w:szCs w:val="21"/>
              </w:rPr>
            </w:pPr>
            <w:r>
              <w:rPr>
                <w:rFonts w:ascii="宋体" w:hAnsi="宋体"/>
                <w:szCs w:val="21"/>
              </w:rPr>
              <w:t>2</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1</w:t>
            </w:r>
          </w:p>
        </w:tc>
        <w:tc>
          <w:tcPr>
            <w:tcW w:w="1626" w:type="dxa"/>
          </w:tcPr>
          <w:p w:rsidR="003717A0" w:rsidRDefault="003717A0">
            <w:pPr>
              <w:spacing w:line="240" w:lineRule="atLeast"/>
              <w:jc w:val="center"/>
              <w:rPr>
                <w:rFonts w:ascii="宋体"/>
                <w:b/>
                <w:bCs/>
              </w:rPr>
            </w:pPr>
          </w:p>
        </w:tc>
      </w:tr>
      <w:tr w:rsidR="003717A0">
        <w:trPr>
          <w:trHeight w:val="340"/>
        </w:trPr>
        <w:tc>
          <w:tcPr>
            <w:tcW w:w="768" w:type="dxa"/>
          </w:tcPr>
          <w:p w:rsidR="003717A0" w:rsidRDefault="003717A0">
            <w:pPr>
              <w:spacing w:line="240" w:lineRule="atLeast"/>
            </w:pPr>
            <w:r>
              <w:rPr>
                <w:rFonts w:hint="eastAsia"/>
              </w:rPr>
              <w:t>合计</w:t>
            </w:r>
          </w:p>
        </w:tc>
        <w:tc>
          <w:tcPr>
            <w:tcW w:w="3595" w:type="dxa"/>
          </w:tcPr>
          <w:p w:rsidR="003717A0" w:rsidRDefault="003717A0">
            <w:pPr>
              <w:spacing w:line="240" w:lineRule="atLeast"/>
            </w:pPr>
          </w:p>
        </w:tc>
        <w:tc>
          <w:tcPr>
            <w:tcW w:w="702" w:type="dxa"/>
            <w:vAlign w:val="center"/>
          </w:tcPr>
          <w:p w:rsidR="003717A0" w:rsidRDefault="003717A0">
            <w:pPr>
              <w:spacing w:line="240" w:lineRule="atLeast"/>
              <w:jc w:val="center"/>
              <w:rPr>
                <w:rFonts w:ascii="宋体"/>
                <w:szCs w:val="21"/>
              </w:rPr>
            </w:pPr>
            <w:r>
              <w:rPr>
                <w:rFonts w:ascii="宋体" w:hAnsi="宋体"/>
                <w:szCs w:val="21"/>
              </w:rPr>
              <w:t>24</w:t>
            </w:r>
          </w:p>
        </w:tc>
        <w:tc>
          <w:tcPr>
            <w:tcW w:w="1406" w:type="dxa"/>
            <w:vAlign w:val="center"/>
          </w:tcPr>
          <w:p w:rsidR="003717A0" w:rsidRDefault="003717A0">
            <w:pPr>
              <w:spacing w:line="240" w:lineRule="atLeast"/>
              <w:jc w:val="center"/>
              <w:rPr>
                <w:rFonts w:ascii="宋体"/>
                <w:bCs/>
                <w:szCs w:val="21"/>
              </w:rPr>
            </w:pPr>
            <w:r>
              <w:rPr>
                <w:rFonts w:ascii="宋体" w:hAnsi="宋体"/>
                <w:bCs/>
                <w:szCs w:val="21"/>
              </w:rPr>
              <w:t>12</w:t>
            </w:r>
          </w:p>
        </w:tc>
        <w:tc>
          <w:tcPr>
            <w:tcW w:w="1626" w:type="dxa"/>
          </w:tcPr>
          <w:p w:rsidR="003717A0" w:rsidRDefault="003717A0">
            <w:pPr>
              <w:spacing w:line="240" w:lineRule="atLeast"/>
              <w:jc w:val="center"/>
              <w:rPr>
                <w:rFonts w:ascii="宋体"/>
                <w:b/>
                <w:bCs/>
              </w:rPr>
            </w:pPr>
          </w:p>
        </w:tc>
      </w:tr>
    </w:tbl>
    <w:p w:rsidR="003717A0" w:rsidRDefault="003717A0">
      <w:pPr>
        <w:adjustRightInd w:val="0"/>
        <w:snapToGrid w:val="0"/>
        <w:spacing w:line="360" w:lineRule="auto"/>
        <w:jc w:val="center"/>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多媒体教学课件、多媒体教室、数字化教学平台等。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理论课教材：白人驹、徐克主编，《</w:t>
      </w:r>
      <w:r>
        <w:rPr>
          <w:rFonts w:hint="eastAsia"/>
          <w:sz w:val="22"/>
        </w:rPr>
        <w:t>医学影像学》第</w:t>
      </w:r>
      <w:r>
        <w:rPr>
          <w:sz w:val="22"/>
        </w:rPr>
        <w:t>7</w:t>
      </w:r>
      <w:r>
        <w:rPr>
          <w:rFonts w:hint="eastAsia"/>
          <w:sz w:val="22"/>
        </w:rPr>
        <w:t>版</w:t>
      </w:r>
      <w:r>
        <w:rPr>
          <w:sz w:val="22"/>
        </w:rPr>
        <w:t>.</w:t>
      </w:r>
      <w:r>
        <w:rPr>
          <w:rFonts w:hint="eastAsia"/>
          <w:sz w:val="22"/>
        </w:rPr>
        <w:t>北京：人民卫生出版社，</w:t>
      </w:r>
      <w:r>
        <w:rPr>
          <w:sz w:val="22"/>
        </w:rPr>
        <w:t>2014.</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白人驹，张雪林，主编</w:t>
      </w:r>
      <w:r>
        <w:rPr>
          <w:rFonts w:ascii="Times New Roman" w:hAnsi="Times New Roman"/>
        </w:rPr>
        <w:t>.</w:t>
      </w:r>
      <w:r>
        <w:rPr>
          <w:rFonts w:ascii="Times New Roman" w:hAnsi="Times New Roman" w:hint="eastAsia"/>
        </w:rPr>
        <w:t>医学影像诊断学</w:t>
      </w:r>
      <w:r>
        <w:rPr>
          <w:rFonts w:ascii="Times New Roman" w:hAnsi="Times New Roman"/>
        </w:rPr>
        <w:t>.</w:t>
      </w:r>
      <w:r>
        <w:rPr>
          <w:rFonts w:ascii="Times New Roman" w:hAnsi="Times New Roman" w:hint="eastAsia"/>
        </w:rPr>
        <w:t>第</w:t>
      </w:r>
      <w:r>
        <w:rPr>
          <w:rFonts w:ascii="Times New Roman" w:hAnsi="Times New Roman"/>
        </w:rPr>
        <w:t>3</w:t>
      </w:r>
      <w:r>
        <w:rPr>
          <w:rFonts w:ascii="Times New Roman" w:hAnsi="Times New Roman" w:hint="eastAsia"/>
        </w:rPr>
        <w:t>版</w:t>
      </w:r>
      <w:r>
        <w:rPr>
          <w:rFonts w:ascii="Times New Roman" w:hAnsi="Times New Roman"/>
        </w:rPr>
        <w:t>.</w:t>
      </w:r>
      <w:r>
        <w:rPr>
          <w:rFonts w:ascii="Times New Roman" w:hAnsi="Times New Roman" w:hint="eastAsia"/>
        </w:rPr>
        <w:t>北京：人民卫生出版社，</w:t>
      </w:r>
      <w:r>
        <w:rPr>
          <w:rFonts w:ascii="Times New Roman" w:hAnsi="Times New Roman"/>
        </w:rPr>
        <w:t>2010</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姜玉新，王志刚，主编</w:t>
      </w:r>
      <w:r>
        <w:rPr>
          <w:rFonts w:ascii="Times New Roman" w:hAnsi="Times New Roman"/>
        </w:rPr>
        <w:t>.</w:t>
      </w:r>
      <w:r>
        <w:rPr>
          <w:rFonts w:ascii="Times New Roman" w:hAnsi="Times New Roman" w:hint="eastAsia"/>
        </w:rPr>
        <w:t>医学超声影像学</w:t>
      </w:r>
      <w:r>
        <w:rPr>
          <w:rFonts w:ascii="Times New Roman" w:hAnsi="Times New Roman"/>
        </w:rPr>
        <w:t>.</w:t>
      </w:r>
      <w:r>
        <w:rPr>
          <w:rFonts w:ascii="Times New Roman" w:hAnsi="Times New Roman" w:hint="eastAsia"/>
        </w:rPr>
        <w:t>北京：人民卫生出版社，</w:t>
      </w:r>
      <w:r>
        <w:rPr>
          <w:rFonts w:ascii="Times New Roman" w:hAnsi="Times New Roman"/>
        </w:rPr>
        <w:t>2010</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郭启勇，主编</w:t>
      </w:r>
      <w:r>
        <w:rPr>
          <w:rFonts w:ascii="Times New Roman" w:hAnsi="Times New Roman"/>
        </w:rPr>
        <w:t>.</w:t>
      </w:r>
      <w:r>
        <w:rPr>
          <w:rFonts w:ascii="Times New Roman" w:hAnsi="Times New Roman" w:hint="eastAsia"/>
        </w:rPr>
        <w:t>实用放射学</w:t>
      </w:r>
      <w:r>
        <w:rPr>
          <w:rFonts w:ascii="Times New Roman" w:hAnsi="Times New Roman"/>
        </w:rPr>
        <w:t>.</w:t>
      </w:r>
      <w:r>
        <w:rPr>
          <w:rFonts w:ascii="Times New Roman" w:hAnsi="Times New Roman" w:hint="eastAsia"/>
        </w:rPr>
        <w:t>第</w:t>
      </w:r>
      <w:r>
        <w:rPr>
          <w:rFonts w:ascii="Times New Roman" w:hAnsi="Times New Roman"/>
        </w:rPr>
        <w:t>3</w:t>
      </w:r>
      <w:r>
        <w:rPr>
          <w:rFonts w:ascii="Times New Roman" w:hAnsi="Times New Roman" w:hint="eastAsia"/>
        </w:rPr>
        <w:t>版</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2007</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张雪林，主编</w:t>
      </w:r>
      <w:r>
        <w:rPr>
          <w:rFonts w:ascii="Times New Roman" w:hAnsi="Times New Roman"/>
        </w:rPr>
        <w:t>.</w:t>
      </w:r>
      <w:r>
        <w:rPr>
          <w:rFonts w:ascii="Times New Roman" w:hAnsi="Times New Roman" w:hint="eastAsia"/>
        </w:rPr>
        <w:t>影像断层解剖学</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2000</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申宝忠，主编</w:t>
      </w:r>
      <w:r>
        <w:rPr>
          <w:rFonts w:ascii="Times New Roman" w:hAnsi="Times New Roman"/>
        </w:rPr>
        <w:t>.</w:t>
      </w:r>
      <w:r>
        <w:rPr>
          <w:rFonts w:ascii="Times New Roman" w:hAnsi="Times New Roman" w:hint="eastAsia"/>
        </w:rPr>
        <w:t>分子影像学，第</w:t>
      </w:r>
      <w:r>
        <w:rPr>
          <w:rFonts w:ascii="Times New Roman" w:hAnsi="Times New Roman"/>
        </w:rPr>
        <w:t>2</w:t>
      </w:r>
      <w:r>
        <w:rPr>
          <w:rFonts w:ascii="Times New Roman" w:hAnsi="Times New Roman" w:hint="eastAsia"/>
        </w:rPr>
        <w:t>版</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2010</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郭启勇，主编</w:t>
      </w:r>
      <w:r>
        <w:rPr>
          <w:rFonts w:ascii="Times New Roman" w:hAnsi="Times New Roman"/>
        </w:rPr>
        <w:t>.</w:t>
      </w:r>
      <w:r>
        <w:rPr>
          <w:rFonts w:ascii="Times New Roman" w:hAnsi="Times New Roman" w:hint="eastAsia"/>
        </w:rPr>
        <w:t>临床医学影像学</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2011</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伍建林，路希伟，主编</w:t>
      </w:r>
      <w:r>
        <w:rPr>
          <w:rFonts w:ascii="Times New Roman" w:hAnsi="Times New Roman"/>
        </w:rPr>
        <w:t>.</w:t>
      </w:r>
      <w:r>
        <w:rPr>
          <w:rFonts w:ascii="Times New Roman" w:hAnsi="Times New Roman" w:hint="eastAsia"/>
        </w:rPr>
        <w:t>临床结核病影像诊断</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2011</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吴恩惠，总主编（李铁一</w:t>
      </w:r>
      <w:r>
        <w:rPr>
          <w:rFonts w:ascii="Times New Roman" w:hAnsi="Times New Roman"/>
        </w:rPr>
        <w:t>.</w:t>
      </w:r>
      <w:r>
        <w:rPr>
          <w:rFonts w:ascii="Times New Roman" w:hAnsi="Times New Roman" w:hint="eastAsia"/>
        </w:rPr>
        <w:t>主编）</w:t>
      </w:r>
      <w:r>
        <w:rPr>
          <w:rFonts w:ascii="Times New Roman" w:hAnsi="Times New Roman"/>
        </w:rPr>
        <w:t>.</w:t>
      </w:r>
      <w:r>
        <w:rPr>
          <w:rFonts w:ascii="Times New Roman" w:hAnsi="Times New Roman" w:hint="eastAsia"/>
        </w:rPr>
        <w:t>中华影像医学：呼吸系统卷</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2002</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章士正，主编</w:t>
      </w:r>
      <w:r>
        <w:rPr>
          <w:rFonts w:ascii="Times New Roman" w:hAnsi="Times New Roman"/>
        </w:rPr>
        <w:t>.</w:t>
      </w:r>
      <w:r>
        <w:rPr>
          <w:rFonts w:ascii="Times New Roman" w:hAnsi="Times New Roman" w:hint="eastAsia"/>
        </w:rPr>
        <w:t>小肠影像诊断学</w:t>
      </w:r>
      <w:r>
        <w:rPr>
          <w:rFonts w:ascii="Times New Roman" w:hAnsi="Times New Roman"/>
        </w:rPr>
        <w:t>.</w:t>
      </w:r>
      <w:r>
        <w:rPr>
          <w:rFonts w:ascii="Times New Roman" w:hAnsi="Times New Roman" w:hint="eastAsia"/>
        </w:rPr>
        <w:t>北京：人民军医出版社，</w:t>
      </w:r>
      <w:r>
        <w:rPr>
          <w:rFonts w:ascii="Times New Roman" w:hAnsi="Times New Roman"/>
        </w:rPr>
        <w:t>2006</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戴汝平，主编</w:t>
      </w:r>
      <w:r>
        <w:rPr>
          <w:rFonts w:ascii="Times New Roman" w:hAnsi="Times New Roman"/>
        </w:rPr>
        <w:t>.</w:t>
      </w:r>
      <w:r>
        <w:rPr>
          <w:rFonts w:ascii="Times New Roman" w:hAnsi="Times New Roman" w:hint="eastAsia"/>
        </w:rPr>
        <w:t>心血管病</w:t>
      </w:r>
      <w:r>
        <w:rPr>
          <w:rFonts w:ascii="Times New Roman" w:hAnsi="Times New Roman"/>
        </w:rPr>
        <w:t>CT</w:t>
      </w:r>
      <w:r>
        <w:rPr>
          <w:rFonts w:ascii="Times New Roman" w:hAnsi="Times New Roman" w:hint="eastAsia"/>
        </w:rPr>
        <w:t>诊断学</w:t>
      </w:r>
      <w:r>
        <w:rPr>
          <w:rFonts w:ascii="Times New Roman" w:hAnsi="Times New Roman"/>
        </w:rPr>
        <w:t xml:space="preserve">. </w:t>
      </w:r>
      <w:r>
        <w:rPr>
          <w:rFonts w:ascii="Times New Roman" w:hAnsi="Times New Roman" w:hint="eastAsia"/>
        </w:rPr>
        <w:t>北京：人民卫生出版社，</w:t>
      </w:r>
      <w:r>
        <w:rPr>
          <w:rFonts w:ascii="Times New Roman" w:hAnsi="Times New Roman"/>
        </w:rPr>
        <w:t>2000</w:t>
      </w:r>
    </w:p>
    <w:p w:rsidR="003717A0" w:rsidRDefault="003717A0">
      <w:pPr>
        <w:adjustRightInd w:val="0"/>
        <w:snapToGrid w:val="0"/>
        <w:spacing w:line="360" w:lineRule="auto"/>
        <w:ind w:right="4"/>
        <w:rPr>
          <w:rFonts w:ascii="Times New Roman" w:hAnsi="Times New Roman"/>
        </w:rPr>
      </w:pPr>
    </w:p>
    <w:p w:rsidR="003717A0" w:rsidRDefault="003717A0" w:rsidP="00A77A25">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制定人：陆</w:t>
      </w:r>
      <w:r w:rsidR="00A77A25">
        <w:rPr>
          <w:rFonts w:ascii="黑体" w:eastAsia="黑体" w:cs="黑体" w:hint="eastAsia"/>
          <w:kern w:val="0"/>
          <w:szCs w:val="21"/>
        </w:rPr>
        <w:t xml:space="preserve">  </w:t>
      </w:r>
      <w:r>
        <w:rPr>
          <w:rFonts w:ascii="黑体" w:eastAsia="黑体" w:cs="黑体" w:hint="eastAsia"/>
          <w:kern w:val="0"/>
          <w:szCs w:val="21"/>
        </w:rPr>
        <w:t>蓉</w:t>
      </w:r>
    </w:p>
    <w:p w:rsidR="003717A0" w:rsidRDefault="003717A0" w:rsidP="00A77A25">
      <w:pPr>
        <w:adjustRightInd w:val="0"/>
        <w:snapToGrid w:val="0"/>
        <w:spacing w:beforeLines="50" w:afterLines="50" w:line="360" w:lineRule="auto"/>
        <w:jc w:val="center"/>
        <w:rPr>
          <w:rFonts w:ascii="黑体" w:eastAsia="黑体"/>
          <w:b/>
          <w:sz w:val="30"/>
          <w:szCs w:val="30"/>
        </w:rPr>
      </w:pPr>
      <w:r>
        <w:rPr>
          <w:rFonts w:ascii="黑体" w:eastAsia="黑体" w:cs="黑体"/>
          <w:kern w:val="0"/>
          <w:szCs w:val="21"/>
        </w:rPr>
        <w:t xml:space="preserve">   </w:t>
      </w:r>
      <w:r w:rsidR="00A77A25">
        <w:rPr>
          <w:rFonts w:ascii="黑体" w:eastAsia="黑体" w:cs="黑体"/>
          <w:kern w:val="0"/>
          <w:szCs w:val="21"/>
        </w:rPr>
        <w:t xml:space="preserve">                              </w:t>
      </w:r>
      <w:r>
        <w:rPr>
          <w:rFonts w:ascii="黑体" w:eastAsia="黑体" w:cs="黑体"/>
          <w:kern w:val="0"/>
          <w:szCs w:val="21"/>
        </w:rPr>
        <w:t xml:space="preserve"> </w:t>
      </w:r>
      <w:r>
        <w:rPr>
          <w:rFonts w:ascii="黑体" w:eastAsia="黑体" w:cs="黑体" w:hint="eastAsia"/>
          <w:kern w:val="0"/>
          <w:szCs w:val="21"/>
        </w:rPr>
        <w:t>审核人：</w:t>
      </w:r>
      <w:r w:rsidR="00A77A25">
        <w:rPr>
          <w:rFonts w:ascii="黑体" w:eastAsia="黑体" w:cs="黑体" w:hint="eastAsia"/>
          <w:kern w:val="0"/>
          <w:szCs w:val="21"/>
        </w:rPr>
        <w:t>吴献华</w:t>
      </w:r>
      <w:r>
        <w:rPr>
          <w:rFonts w:ascii="黑体" w:eastAsia="黑体" w:cs="黑体"/>
          <w:kern w:val="0"/>
          <w:szCs w:val="21"/>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A77A25">
      <w:pPr>
        <w:numPr>
          <w:ilvl w:val="0"/>
          <w:numId w:val="178"/>
        </w:numPr>
        <w:adjustRightInd w:val="0"/>
        <w:snapToGrid w:val="0"/>
        <w:spacing w:line="360" w:lineRule="auto"/>
        <w:ind w:right="4" w:hanging="660"/>
        <w:rPr>
          <w:rFonts w:ascii="Times New Roman"/>
        </w:rPr>
      </w:pPr>
      <w:r>
        <w:rPr>
          <w:rFonts w:ascii="Times New Roman" w:hint="eastAsia"/>
        </w:rPr>
        <w:t>修读完本课程规定内容的康复治疗学专业的本科学生；</w:t>
      </w:r>
    </w:p>
    <w:p w:rsidR="003717A0" w:rsidRDefault="003717A0">
      <w:pPr>
        <w:numPr>
          <w:ilvl w:val="0"/>
          <w:numId w:val="178"/>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ind w:firstLineChars="150" w:firstLine="315"/>
      </w:pPr>
      <w:r>
        <w:rPr>
          <w:rFonts w:ascii="宋体" w:hAnsi="宋体" w:hint="eastAsia"/>
          <w:szCs w:val="21"/>
        </w:rPr>
        <w:t>通过考核来检查和了解学生对本门课程内容的掌握程度，考核</w:t>
      </w:r>
      <w:r>
        <w:rPr>
          <w:rFonts w:hint="eastAsia"/>
        </w:rPr>
        <w:t>学生对影像诊断的应用原理、检查方法、观察与分析方法和诊断原则</w:t>
      </w:r>
      <w:r>
        <w:rPr>
          <w:rFonts w:ascii="宋体" w:hAnsi="宋体" w:hint="eastAsia"/>
          <w:szCs w:val="21"/>
        </w:rPr>
        <w:t>理解和掌握情况</w:t>
      </w:r>
      <w:r>
        <w:rPr>
          <w:rFonts w:hint="eastAsia"/>
        </w:rPr>
        <w:t>；影像诊断的价值与限度；各系统的正常与基本病变的影像表现，重点是骨骼肌肉、消化和呼吸、中枢神经四个系统。</w:t>
      </w:r>
    </w:p>
    <w:p w:rsidR="003717A0" w:rsidRDefault="003717A0">
      <w:pPr>
        <w:ind w:firstLineChars="150" w:firstLine="361"/>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主要专业名词；</w:t>
      </w:r>
      <w:r>
        <w:rPr>
          <w:rFonts w:hint="eastAsia"/>
        </w:rPr>
        <w:t>掌握骨骼肌肉系统、呼吸系统和消化系统、中枢神经系统的正常影像表现和基本病变影像表现。掌握常见病的典型影像表现。</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ind w:firstLineChars="150" w:firstLine="315"/>
      </w:pPr>
      <w:r>
        <w:rPr>
          <w:rFonts w:hint="eastAsia"/>
        </w:rPr>
        <w:t>（一）了解影像诊断的应用原理、诊断价值与限度、在临床工作中的地位和发展概况，以及优选或综合使用各种成像检查。</w:t>
      </w:r>
    </w:p>
    <w:p w:rsidR="003717A0" w:rsidRDefault="003717A0">
      <w:pPr>
        <w:ind w:firstLineChars="150" w:firstLine="315"/>
      </w:pPr>
      <w:r>
        <w:rPr>
          <w:rFonts w:hint="eastAsia"/>
        </w:rPr>
        <w:t>（二）熟悉常用的影像检查方法，检查前后的注意事项及其应用范围，并能在临床工作中正确使用。</w:t>
      </w:r>
    </w:p>
    <w:p w:rsidR="003717A0" w:rsidRDefault="003717A0">
      <w:pPr>
        <w:ind w:firstLineChars="150" w:firstLine="315"/>
      </w:pPr>
      <w:r>
        <w:rPr>
          <w:rFonts w:hint="eastAsia"/>
        </w:rPr>
        <w:t>（三）学会观察、分析影像表现的方法和诊断原则。</w:t>
      </w:r>
    </w:p>
    <w:p w:rsidR="003717A0" w:rsidRDefault="003717A0">
      <w:pPr>
        <w:ind w:firstLineChars="150" w:firstLine="315"/>
      </w:pPr>
      <w:r>
        <w:rPr>
          <w:rFonts w:hint="eastAsia"/>
        </w:rPr>
        <w:t>（四）掌握骨骼肌肉系统、呼吸系统和消化系统、中枢神经系统的正常影像表现和基本病变影像表现。掌握几种常见病的典型影像表现。</w:t>
      </w:r>
    </w:p>
    <w:p w:rsidR="003717A0" w:rsidRDefault="003717A0">
      <w:pPr>
        <w:ind w:firstLineChars="150" w:firstLine="315"/>
      </w:pPr>
      <w:r>
        <w:rPr>
          <w:rFonts w:hint="eastAsia"/>
        </w:rPr>
        <w:t>（五）了解循环、乳腺和泌尿生殖等系统的正常影像表现和基本病变影像表现。</w:t>
      </w:r>
    </w:p>
    <w:p w:rsidR="003717A0" w:rsidRDefault="003717A0">
      <w:pPr>
        <w:ind w:firstLineChars="150" w:firstLine="315"/>
      </w:pPr>
      <w:r>
        <w:rPr>
          <w:rFonts w:hint="eastAsia"/>
        </w:rPr>
        <w:t>（六）了解儿科各系统的正常影像表现、基本病变影像表现，熟悉儿科常见病变的典型影像表现。</w:t>
      </w:r>
    </w:p>
    <w:p w:rsidR="003717A0" w:rsidRDefault="003717A0">
      <w:pPr>
        <w:ind w:firstLineChars="150" w:firstLine="315"/>
      </w:pPr>
      <w:r>
        <w:rPr>
          <w:rFonts w:hint="eastAsia"/>
        </w:rPr>
        <w:t>（七）了解介入放射学概念、</w:t>
      </w:r>
      <w:r>
        <w:t>DSA</w:t>
      </w:r>
      <w:r>
        <w:rPr>
          <w:rFonts w:hint="eastAsia"/>
        </w:rPr>
        <w:t>定义、介入放射学技术主要包括内容；了解血管性及非血管性介入技术的的概念、内容、适应症、临床应用等。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影像影像学课程考试试题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numPr>
          <w:ilvl w:val="0"/>
          <w:numId w:val="179"/>
        </w:numPr>
      </w:pPr>
      <w:r>
        <w:rPr>
          <w:rFonts w:hint="eastAsia"/>
        </w:rPr>
        <w:t>名词解释（每题</w:t>
      </w:r>
      <w:r>
        <w:t>3</w:t>
      </w:r>
      <w:r>
        <w:rPr>
          <w:rFonts w:hint="eastAsia"/>
        </w:rPr>
        <w:t>分，共</w:t>
      </w:r>
      <w:r>
        <w:t>30</w:t>
      </w:r>
      <w:r>
        <w:rPr>
          <w:rFonts w:hint="eastAsia"/>
        </w:rPr>
        <w:t>分）</w:t>
      </w:r>
    </w:p>
    <w:p w:rsidR="003717A0" w:rsidRDefault="003717A0">
      <w:pPr>
        <w:numPr>
          <w:ilvl w:val="1"/>
          <w:numId w:val="179"/>
        </w:numPr>
      </w:pPr>
      <w:r>
        <w:rPr>
          <w:rFonts w:hint="eastAsia"/>
        </w:rPr>
        <w:t>空气支气管征</w:t>
      </w:r>
    </w:p>
    <w:p w:rsidR="003717A0" w:rsidRDefault="003717A0">
      <w:pPr>
        <w:numPr>
          <w:ilvl w:val="1"/>
          <w:numId w:val="179"/>
        </w:numPr>
      </w:pPr>
      <w:r>
        <w:rPr>
          <w:rFonts w:hint="eastAsia"/>
        </w:rPr>
        <w:t>兔耳征</w:t>
      </w:r>
    </w:p>
    <w:p w:rsidR="003717A0" w:rsidRDefault="003717A0">
      <w:r>
        <w:rPr>
          <w:rFonts w:hint="eastAsia"/>
        </w:rPr>
        <w:t xml:space="preserve">　</w:t>
      </w:r>
      <w:r>
        <w:t xml:space="preserve"> 3. colles</w:t>
      </w:r>
      <w:r>
        <w:rPr>
          <w:rFonts w:hint="eastAsia"/>
        </w:rPr>
        <w:t>骨折</w:t>
      </w:r>
    </w:p>
    <w:p w:rsidR="003717A0" w:rsidRDefault="003717A0">
      <w:r>
        <w:t xml:space="preserve">   4.</w:t>
      </w:r>
      <w:r>
        <w:rPr>
          <w:rFonts w:hint="eastAsia"/>
        </w:rPr>
        <w:t>骨质软化</w:t>
      </w:r>
    </w:p>
    <w:p w:rsidR="003717A0" w:rsidRDefault="003717A0">
      <w:pPr>
        <w:ind w:firstLineChars="150" w:firstLine="315"/>
      </w:pPr>
      <w:r>
        <w:lastRenderedPageBreak/>
        <w:t>5.</w:t>
      </w:r>
      <w:r>
        <w:rPr>
          <w:rFonts w:hint="eastAsia"/>
        </w:rPr>
        <w:t>肿瘤骨</w:t>
      </w:r>
    </w:p>
    <w:p w:rsidR="003717A0" w:rsidRDefault="003717A0">
      <w:pPr>
        <w:ind w:firstLineChars="150" w:firstLine="315"/>
      </w:pPr>
      <w:r>
        <w:t>6.</w:t>
      </w:r>
      <w:r>
        <w:rPr>
          <w:rFonts w:hint="eastAsia"/>
        </w:rPr>
        <w:t>占位效应</w:t>
      </w:r>
    </w:p>
    <w:p w:rsidR="003717A0" w:rsidRDefault="003717A0">
      <w:r>
        <w:t xml:space="preserve">   7.</w:t>
      </w:r>
      <w:r>
        <w:rPr>
          <w:rFonts w:hint="eastAsia"/>
        </w:rPr>
        <w:t>脑膜尾征</w:t>
      </w:r>
    </w:p>
    <w:p w:rsidR="003717A0" w:rsidRDefault="003717A0">
      <w:pPr>
        <w:ind w:firstLineChars="150" w:firstLine="315"/>
      </w:pPr>
      <w:r>
        <w:t>8.</w:t>
      </w:r>
      <w:r>
        <w:rPr>
          <w:rFonts w:hint="eastAsia"/>
        </w:rPr>
        <w:t>假肿瘤征</w:t>
      </w:r>
    </w:p>
    <w:p w:rsidR="003717A0" w:rsidRDefault="003717A0">
      <w:pPr>
        <w:ind w:firstLineChars="150" w:firstLine="315"/>
      </w:pPr>
      <w:r>
        <w:t>9.</w:t>
      </w:r>
      <w:r>
        <w:rPr>
          <w:rFonts w:hint="eastAsia"/>
        </w:rPr>
        <w:t>相反搏动点</w:t>
      </w:r>
    </w:p>
    <w:p w:rsidR="003717A0" w:rsidRDefault="003717A0">
      <w:pPr>
        <w:ind w:firstLineChars="150" w:firstLine="315"/>
      </w:pPr>
      <w:r>
        <w:t>10.</w:t>
      </w:r>
      <w:r>
        <w:rPr>
          <w:rFonts w:hint="eastAsia"/>
        </w:rPr>
        <w:t>半月征</w:t>
      </w:r>
    </w:p>
    <w:p w:rsidR="003717A0" w:rsidRDefault="003717A0">
      <w:pPr>
        <w:ind w:left="360"/>
      </w:pPr>
    </w:p>
    <w:p w:rsidR="003717A0" w:rsidRDefault="003717A0">
      <w:pPr>
        <w:numPr>
          <w:ilvl w:val="0"/>
          <w:numId w:val="179"/>
        </w:numPr>
      </w:pPr>
      <w:r>
        <w:rPr>
          <w:rFonts w:hint="eastAsia"/>
        </w:rPr>
        <w:t>填空题（每格</w:t>
      </w:r>
      <w:r>
        <w:t>0.5</w:t>
      </w:r>
      <w:r>
        <w:rPr>
          <w:rFonts w:hint="eastAsia"/>
        </w:rPr>
        <w:t>分，共</w:t>
      </w:r>
      <w:r>
        <w:t>20</w:t>
      </w:r>
      <w:r>
        <w:rPr>
          <w:rFonts w:hint="eastAsia"/>
        </w:rPr>
        <w:t>分）</w:t>
      </w:r>
    </w:p>
    <w:p w:rsidR="003717A0" w:rsidRDefault="003717A0">
      <w:pPr>
        <w:numPr>
          <w:ilvl w:val="1"/>
          <w:numId w:val="179"/>
        </w:numPr>
      </w:pPr>
      <w:r>
        <w:rPr>
          <w:rFonts w:hint="eastAsia"/>
        </w:rPr>
        <w:t>急性血行播散型肺结核，表现为两肺弥漫性粟粒样阴影，边缘清晰；粟粒影像特点主要为三个一致，即</w:t>
      </w:r>
      <w:r>
        <w:t>__________</w:t>
      </w:r>
      <w:r>
        <w:rPr>
          <w:rFonts w:hint="eastAsia"/>
        </w:rPr>
        <w:t>、</w:t>
      </w:r>
      <w:r>
        <w:t>____________</w:t>
      </w:r>
      <w:r>
        <w:rPr>
          <w:rFonts w:hint="eastAsia"/>
        </w:rPr>
        <w:t>、</w:t>
      </w:r>
      <w:r>
        <w:t>___________</w:t>
      </w:r>
      <w:r>
        <w:rPr>
          <w:rFonts w:hint="eastAsia"/>
        </w:rPr>
        <w:t>。</w:t>
      </w:r>
    </w:p>
    <w:p w:rsidR="003717A0" w:rsidRDefault="003717A0">
      <w:pPr>
        <w:ind w:leftChars="200" w:left="630" w:hangingChars="100" w:hanging="210"/>
      </w:pPr>
      <w:r>
        <w:t xml:space="preserve">2. </w:t>
      </w:r>
      <w:r>
        <w:rPr>
          <w:rFonts w:hint="eastAsia"/>
        </w:rPr>
        <w:t>空洞为肺内病变组织发生坏死后经</w:t>
      </w:r>
      <w:r>
        <w:t>____________</w:t>
      </w:r>
      <w:r>
        <w:rPr>
          <w:rFonts w:hint="eastAsia"/>
        </w:rPr>
        <w:t>排出后而形成，多见于</w:t>
      </w:r>
      <w:r>
        <w:t>____________</w:t>
      </w:r>
      <w:r>
        <w:rPr>
          <w:rFonts w:hint="eastAsia"/>
        </w:rPr>
        <w:t>、</w:t>
      </w:r>
      <w:r>
        <w:t>________________</w:t>
      </w:r>
      <w:r>
        <w:rPr>
          <w:rFonts w:hint="eastAsia"/>
        </w:rPr>
        <w:t>、</w:t>
      </w:r>
      <w:r>
        <w:t>_______________</w:t>
      </w:r>
      <w:r>
        <w:rPr>
          <w:rFonts w:hint="eastAsia"/>
        </w:rPr>
        <w:t>等病变。</w:t>
      </w:r>
    </w:p>
    <w:p w:rsidR="003717A0" w:rsidRDefault="003717A0">
      <w:pPr>
        <w:ind w:leftChars="200" w:left="630" w:hangingChars="100" w:hanging="210"/>
      </w:pPr>
      <w:r>
        <w:t xml:space="preserve">3. </w:t>
      </w:r>
      <w:r>
        <w:rPr>
          <w:rFonts w:hint="eastAsia"/>
        </w:rPr>
        <w:t>肺门指</w:t>
      </w:r>
      <w:r>
        <w:t xml:space="preserve">________________ </w:t>
      </w:r>
      <w:r>
        <w:rPr>
          <w:rFonts w:hint="eastAsia"/>
        </w:rPr>
        <w:t>，其主要构成为</w:t>
      </w:r>
      <w:r>
        <w:t>____________</w:t>
      </w:r>
      <w:r>
        <w:rPr>
          <w:rFonts w:hint="eastAsia"/>
        </w:rPr>
        <w:t>、</w:t>
      </w:r>
      <w:r>
        <w:t>___________</w:t>
      </w:r>
      <w:r>
        <w:rPr>
          <w:rFonts w:hint="eastAsia"/>
        </w:rPr>
        <w:t>。</w:t>
      </w:r>
    </w:p>
    <w:p w:rsidR="003717A0" w:rsidRDefault="003717A0">
      <w:r>
        <w:t xml:space="preserve">    4.</w:t>
      </w:r>
      <w:r>
        <w:rPr>
          <w:rFonts w:hint="eastAsia"/>
        </w:rPr>
        <w:t>小儿长骨可分为</w:t>
      </w:r>
      <w:r>
        <w:t>____________</w:t>
      </w:r>
      <w:r>
        <w:rPr>
          <w:rFonts w:hint="eastAsia"/>
        </w:rPr>
        <w:t>、</w:t>
      </w:r>
      <w:r>
        <w:t>________________</w:t>
      </w:r>
      <w:r>
        <w:rPr>
          <w:rFonts w:hint="eastAsia"/>
        </w:rPr>
        <w:t>、</w:t>
      </w:r>
      <w:r>
        <w:t>_______________</w:t>
      </w:r>
      <w:r>
        <w:rPr>
          <w:rFonts w:hint="eastAsia"/>
        </w:rPr>
        <w:t>、</w:t>
      </w:r>
      <w:r>
        <w:t>__________</w:t>
      </w:r>
      <w:r>
        <w:rPr>
          <w:rFonts w:hint="eastAsia"/>
        </w:rPr>
        <w:t>，成年骨只有</w:t>
      </w:r>
      <w:r>
        <w:t>________________</w:t>
      </w:r>
      <w:r>
        <w:rPr>
          <w:rFonts w:hint="eastAsia"/>
        </w:rPr>
        <w:t>、</w:t>
      </w:r>
      <w:r>
        <w:t>_______________</w:t>
      </w:r>
      <w:r>
        <w:rPr>
          <w:rFonts w:hint="eastAsia"/>
        </w:rPr>
        <w:t>。</w:t>
      </w:r>
    </w:p>
    <w:p w:rsidR="003717A0" w:rsidRDefault="003717A0">
      <w:r>
        <w:t xml:space="preserve">    5 .</w:t>
      </w:r>
      <w:r>
        <w:rPr>
          <w:rFonts w:hint="eastAsia"/>
        </w:rPr>
        <w:t>不同骨肿瘤有其一定的好发部位及年龄，如骨巨细胞瘤好发部位是</w:t>
      </w:r>
      <w:r>
        <w:t>__________</w:t>
      </w:r>
      <w:r>
        <w:rPr>
          <w:rFonts w:hint="eastAsia"/>
        </w:rPr>
        <w:t>，好发年龄是</w:t>
      </w:r>
      <w:r>
        <w:t>__________</w:t>
      </w:r>
      <w:r>
        <w:rPr>
          <w:rFonts w:hint="eastAsia"/>
        </w:rPr>
        <w:t>，岁；骨肉瘤好发部位是</w:t>
      </w:r>
      <w:r>
        <w:t>__________</w:t>
      </w:r>
      <w:r>
        <w:rPr>
          <w:rFonts w:hint="eastAsia"/>
        </w:rPr>
        <w:t>；而转移瘤好发于</w:t>
      </w:r>
      <w:r>
        <w:t>__________</w:t>
      </w:r>
      <w:r>
        <w:rPr>
          <w:rFonts w:hint="eastAsia"/>
        </w:rPr>
        <w:t>。</w:t>
      </w:r>
    </w:p>
    <w:p w:rsidR="003717A0" w:rsidRDefault="003717A0">
      <w:r>
        <w:t xml:space="preserve">    6.</w:t>
      </w:r>
      <w:r>
        <w:rPr>
          <w:rFonts w:hint="eastAsia"/>
        </w:rPr>
        <w:t>在</w:t>
      </w:r>
      <w:r>
        <w:t>MRI T</w:t>
      </w:r>
      <w:r>
        <w:rPr>
          <w:vertAlign w:val="subscript"/>
        </w:rPr>
        <w:t>2</w:t>
      </w:r>
      <w:r>
        <w:t>WI</w:t>
      </w:r>
      <w:r>
        <w:rPr>
          <w:rFonts w:hint="eastAsia"/>
        </w:rPr>
        <w:t>上，宫体自内向外分成三层信号，依次为</w:t>
      </w:r>
      <w:r>
        <w:rPr>
          <w:u w:val="single"/>
        </w:rPr>
        <w:t xml:space="preserve">            </w:t>
      </w:r>
      <w:r>
        <w:rPr>
          <w:rFonts w:hint="eastAsia"/>
        </w:rPr>
        <w:t>、</w:t>
      </w:r>
      <w:r>
        <w:rPr>
          <w:u w:val="single"/>
        </w:rPr>
        <w:t xml:space="preserve">            </w:t>
      </w:r>
      <w:r>
        <w:rPr>
          <w:rFonts w:hint="eastAsia"/>
        </w:rPr>
        <w:t>、和</w:t>
      </w:r>
      <w:r>
        <w:rPr>
          <w:u w:val="single"/>
        </w:rPr>
        <w:t xml:space="preserve">           </w:t>
      </w:r>
      <w:r>
        <w:rPr>
          <w:rFonts w:hint="eastAsia"/>
        </w:rPr>
        <w:t>。</w:t>
      </w:r>
    </w:p>
    <w:p w:rsidR="003717A0" w:rsidRDefault="003717A0">
      <w:r>
        <w:t xml:space="preserve">    7.</w:t>
      </w:r>
      <w:r>
        <w:rPr>
          <w:rFonts w:hint="eastAsia"/>
        </w:rPr>
        <w:t>正常节育环的位置一般在</w:t>
      </w:r>
      <w:r>
        <w:rPr>
          <w:u w:val="single"/>
        </w:rPr>
        <w:t xml:space="preserve">                               </w:t>
      </w:r>
      <w:r>
        <w:rPr>
          <w:rFonts w:hint="eastAsia"/>
        </w:rPr>
        <w:t>。</w:t>
      </w:r>
    </w:p>
    <w:p w:rsidR="003717A0" w:rsidRDefault="003717A0">
      <w:r>
        <w:t xml:space="preserve">    8.</w:t>
      </w:r>
      <w:r>
        <w:rPr>
          <w:rFonts w:hint="eastAsia"/>
        </w:rPr>
        <w:t>在</w:t>
      </w:r>
      <w:r>
        <w:t>MRI T</w:t>
      </w:r>
      <w:r>
        <w:rPr>
          <w:vertAlign w:val="subscript"/>
        </w:rPr>
        <w:t>2</w:t>
      </w:r>
      <w:r>
        <w:t xml:space="preserve">WI </w:t>
      </w:r>
      <w:r>
        <w:rPr>
          <w:rFonts w:hint="eastAsia"/>
        </w:rPr>
        <w:t>上前列腺中央叶呈</w:t>
      </w:r>
      <w:r>
        <w:rPr>
          <w:u w:val="single"/>
        </w:rPr>
        <w:t xml:space="preserve">     </w:t>
      </w:r>
      <w:r>
        <w:rPr>
          <w:rFonts w:hint="eastAsia"/>
        </w:rPr>
        <w:t>信号，周围叶呈</w:t>
      </w:r>
      <w:r>
        <w:rPr>
          <w:u w:val="single"/>
        </w:rPr>
        <w:t xml:space="preserve">     </w:t>
      </w:r>
      <w:r>
        <w:rPr>
          <w:rFonts w:hint="eastAsia"/>
        </w:rPr>
        <w:t>信号，前列腺增生主要发生在</w:t>
      </w:r>
      <w:r>
        <w:rPr>
          <w:u w:val="single"/>
        </w:rPr>
        <w:t xml:space="preserve">        </w:t>
      </w:r>
      <w:r>
        <w:rPr>
          <w:rFonts w:hint="eastAsia"/>
        </w:rPr>
        <w:t>，前列腺癌多发生在</w:t>
      </w:r>
      <w:r>
        <w:rPr>
          <w:u w:val="single"/>
        </w:rPr>
        <w:t xml:space="preserve">        </w:t>
      </w:r>
      <w:r>
        <w:rPr>
          <w:rFonts w:hint="eastAsia"/>
        </w:rPr>
        <w:t>。</w:t>
      </w:r>
    </w:p>
    <w:p w:rsidR="003717A0" w:rsidRDefault="003717A0">
      <w:r>
        <w:t xml:space="preserve">    9.</w:t>
      </w:r>
      <w:r>
        <w:rPr>
          <w:rFonts w:hint="eastAsia"/>
        </w:rPr>
        <w:t>急性期血肿（出血后</w:t>
      </w:r>
      <w:r>
        <w:t>2</w:t>
      </w:r>
      <w:r>
        <w:rPr>
          <w:rFonts w:hint="eastAsia"/>
        </w:rPr>
        <w:t>天内），</w:t>
      </w:r>
      <w:r>
        <w:t>MRI T</w:t>
      </w:r>
      <w:r>
        <w:rPr>
          <w:vertAlign w:val="subscript"/>
        </w:rPr>
        <w:t>1</w:t>
      </w:r>
      <w:r>
        <w:t>WI</w:t>
      </w:r>
      <w:r>
        <w:rPr>
          <w:rFonts w:hint="eastAsia"/>
        </w:rPr>
        <w:t>上表现为</w:t>
      </w:r>
      <w:r>
        <w:rPr>
          <w:u w:val="single"/>
        </w:rPr>
        <w:t xml:space="preserve">     </w:t>
      </w:r>
      <w:r>
        <w:rPr>
          <w:rFonts w:hint="eastAsia"/>
        </w:rPr>
        <w:t>信号，</w:t>
      </w:r>
      <w:r>
        <w:t>T</w:t>
      </w:r>
      <w:r>
        <w:rPr>
          <w:vertAlign w:val="subscript"/>
        </w:rPr>
        <w:t>2</w:t>
      </w:r>
      <w:r>
        <w:t xml:space="preserve">WI </w:t>
      </w:r>
      <w:r>
        <w:rPr>
          <w:rFonts w:hint="eastAsia"/>
        </w:rPr>
        <w:t>上呈</w:t>
      </w:r>
      <w:r>
        <w:rPr>
          <w:u w:val="single"/>
        </w:rPr>
        <w:t xml:space="preserve">     </w:t>
      </w:r>
      <w:r>
        <w:rPr>
          <w:rFonts w:hint="eastAsia"/>
        </w:rPr>
        <w:t>信号。</w:t>
      </w:r>
    </w:p>
    <w:p w:rsidR="003717A0" w:rsidRDefault="003717A0">
      <w:pPr>
        <w:rPr>
          <w:u w:val="single"/>
        </w:rPr>
      </w:pPr>
      <w:r>
        <w:t xml:space="preserve">    10.</w:t>
      </w:r>
      <w:r>
        <w:rPr>
          <w:rFonts w:hint="eastAsia"/>
        </w:rPr>
        <w:t>心脏形态异常包括</w:t>
      </w:r>
      <w:r>
        <w:rPr>
          <w:u w:val="single"/>
        </w:rPr>
        <w:t xml:space="preserve">                 </w:t>
      </w:r>
      <w:r>
        <w:rPr>
          <w:rFonts w:hint="eastAsia"/>
        </w:rPr>
        <w:t>、</w:t>
      </w:r>
      <w:r>
        <w:rPr>
          <w:u w:val="single"/>
        </w:rPr>
        <w:t xml:space="preserve">               </w:t>
      </w:r>
      <w:r>
        <w:rPr>
          <w:rFonts w:hint="eastAsia"/>
        </w:rPr>
        <w:t>、</w:t>
      </w:r>
      <w:r>
        <w:rPr>
          <w:u w:val="single"/>
        </w:rPr>
        <w:t xml:space="preserve">              </w:t>
      </w:r>
    </w:p>
    <w:p w:rsidR="003717A0" w:rsidRDefault="003717A0">
      <w:r>
        <w:rPr>
          <w:rFonts w:ascii="宋体" w:hAnsi="宋体"/>
        </w:rPr>
        <w:t xml:space="preserve">    11.</w:t>
      </w:r>
      <w:r>
        <w:rPr>
          <w:rFonts w:ascii="宋体" w:hAnsi="宋体" w:hint="eastAsia"/>
        </w:rPr>
        <w:t>粘膜水肿带是良性胃溃疡的特征性表现之一，根据粘膜水肿的程度不同，粘膜水肿带可以分为</w:t>
      </w:r>
      <w:r>
        <w:rPr>
          <w:u w:val="single"/>
        </w:rPr>
        <w:t xml:space="preserve"> </w:t>
      </w:r>
      <w:r>
        <w:rPr>
          <w:rFonts w:ascii="楷体_GB2312" w:eastAsia="楷体_GB2312"/>
          <w:u w:val="single"/>
        </w:rPr>
        <w:t xml:space="preserve">           </w:t>
      </w:r>
      <w:r>
        <w:rPr>
          <w:rFonts w:hint="eastAsia"/>
        </w:rPr>
        <w:t>、</w:t>
      </w:r>
      <w:r>
        <w:rPr>
          <w:rFonts w:ascii="楷体_GB2312" w:eastAsia="楷体_GB2312"/>
          <w:u w:val="single"/>
        </w:rPr>
        <w:t xml:space="preserve">              </w:t>
      </w:r>
      <w:r>
        <w:rPr>
          <w:rFonts w:hint="eastAsia"/>
        </w:rPr>
        <w:t>、</w:t>
      </w:r>
      <w:r>
        <w:rPr>
          <w:rFonts w:ascii="楷体_GB2312" w:eastAsia="楷体_GB2312"/>
          <w:u w:val="single"/>
        </w:rPr>
        <w:t xml:space="preserve">              </w:t>
      </w:r>
      <w:r>
        <w:rPr>
          <w:rFonts w:ascii="宋体" w:hAnsi="宋体" w:hint="eastAsia"/>
        </w:rPr>
        <w:t>。</w:t>
      </w:r>
    </w:p>
    <w:p w:rsidR="003717A0" w:rsidRDefault="003717A0">
      <w:pPr>
        <w:ind w:firstLineChars="150" w:firstLine="315"/>
      </w:pPr>
      <w:r>
        <w:t xml:space="preserve"> 12.</w:t>
      </w:r>
      <w:r>
        <w:rPr>
          <w:rFonts w:hint="eastAsia"/>
        </w:rPr>
        <w:t>先心法四包括</w:t>
      </w:r>
      <w:r>
        <w:rPr>
          <w:u w:val="single"/>
        </w:rPr>
        <w:t xml:space="preserve"> </w:t>
      </w:r>
      <w:r>
        <w:rPr>
          <w:rFonts w:ascii="楷体_GB2312" w:eastAsia="楷体_GB2312"/>
          <w:u w:val="single"/>
        </w:rPr>
        <w:t xml:space="preserve">           </w:t>
      </w:r>
      <w:r>
        <w:rPr>
          <w:rFonts w:hint="eastAsia"/>
        </w:rPr>
        <w:t>、</w:t>
      </w:r>
      <w:r>
        <w:rPr>
          <w:rFonts w:ascii="楷体_GB2312" w:eastAsia="楷体_GB2312"/>
          <w:u w:val="single"/>
        </w:rPr>
        <w:t xml:space="preserve">              </w:t>
      </w:r>
      <w:r>
        <w:rPr>
          <w:rFonts w:hint="eastAsia"/>
        </w:rPr>
        <w:t>、</w:t>
      </w:r>
      <w:r>
        <w:rPr>
          <w:rFonts w:ascii="楷体_GB2312" w:eastAsia="楷体_GB2312"/>
          <w:u w:val="single"/>
        </w:rPr>
        <w:t xml:space="preserve">              </w:t>
      </w:r>
      <w:r>
        <w:rPr>
          <w:rFonts w:hint="eastAsia"/>
        </w:rPr>
        <w:t>和</w:t>
      </w:r>
      <w:r>
        <w:rPr>
          <w:rFonts w:ascii="楷体_GB2312" w:eastAsia="楷体_GB2312"/>
          <w:u w:val="single"/>
        </w:rPr>
        <w:t xml:space="preserve">               </w:t>
      </w:r>
      <w:r>
        <w:rPr>
          <w:rFonts w:hint="eastAsia"/>
        </w:rPr>
        <w:t>四种先天性心血管畸形。</w:t>
      </w:r>
    </w:p>
    <w:p w:rsidR="003717A0" w:rsidRDefault="003717A0">
      <w:pPr>
        <w:ind w:leftChars="200" w:left="630" w:hangingChars="100" w:hanging="210"/>
      </w:pPr>
    </w:p>
    <w:p w:rsidR="003717A0" w:rsidRDefault="003717A0">
      <w:r>
        <w:rPr>
          <w:rFonts w:hint="eastAsia"/>
        </w:rPr>
        <w:t>三、选择（每题</w:t>
      </w:r>
      <w:r>
        <w:t>1</w:t>
      </w:r>
      <w:r>
        <w:rPr>
          <w:rFonts w:hint="eastAsia"/>
        </w:rPr>
        <w:t>分，共</w:t>
      </w:r>
      <w:r>
        <w:t>20</w:t>
      </w:r>
      <w:r>
        <w:rPr>
          <w:rFonts w:hint="eastAsia"/>
        </w:rPr>
        <w:t>题）</w:t>
      </w:r>
    </w:p>
    <w:p w:rsidR="003717A0" w:rsidRDefault="003717A0">
      <w:r>
        <w:t xml:space="preserve">1. </w:t>
      </w:r>
      <w:r>
        <w:rPr>
          <w:rFonts w:hint="eastAsia"/>
        </w:rPr>
        <w:t>卫星病灶多见于哪种疾病：</w:t>
      </w:r>
    </w:p>
    <w:p w:rsidR="003717A0" w:rsidRDefault="003717A0">
      <w:pPr>
        <w:ind w:left="420"/>
      </w:pPr>
      <w:r>
        <w:t>A</w:t>
      </w:r>
      <w:r>
        <w:rPr>
          <w:rFonts w:hint="eastAsia"/>
        </w:rPr>
        <w:t>、周围型肺癌</w:t>
      </w:r>
    </w:p>
    <w:p w:rsidR="003717A0" w:rsidRDefault="003717A0">
      <w:pPr>
        <w:ind w:left="420"/>
      </w:pPr>
      <w:r>
        <w:t>B</w:t>
      </w:r>
      <w:r>
        <w:rPr>
          <w:rFonts w:hint="eastAsia"/>
        </w:rPr>
        <w:t>、球形肺炎</w:t>
      </w:r>
    </w:p>
    <w:p w:rsidR="003717A0" w:rsidRDefault="003717A0">
      <w:pPr>
        <w:ind w:left="420"/>
      </w:pPr>
      <w:r>
        <w:t>C</w:t>
      </w:r>
      <w:r>
        <w:rPr>
          <w:rFonts w:hint="eastAsia"/>
        </w:rPr>
        <w:t>、急性粟粒性肺结核</w:t>
      </w:r>
    </w:p>
    <w:p w:rsidR="003717A0" w:rsidRDefault="003717A0">
      <w:pPr>
        <w:ind w:left="420"/>
      </w:pPr>
      <w:r>
        <w:t>D</w:t>
      </w:r>
      <w:r>
        <w:rPr>
          <w:rFonts w:hint="eastAsia"/>
        </w:rPr>
        <w:t>、结核球</w:t>
      </w:r>
    </w:p>
    <w:p w:rsidR="003717A0" w:rsidRDefault="003717A0">
      <w:pPr>
        <w:rPr>
          <w:rFonts w:ascii="宋体"/>
        </w:rPr>
      </w:pPr>
      <w:r>
        <w:t>2.</w:t>
      </w:r>
      <w:r>
        <w:rPr>
          <w:rFonts w:ascii="宋体" w:hAnsi="宋体"/>
        </w:rPr>
        <w:t xml:space="preserve">  </w:t>
      </w:r>
      <w:r>
        <w:rPr>
          <w:rFonts w:ascii="宋体" w:hAnsi="宋体" w:hint="eastAsia"/>
        </w:rPr>
        <w:t>无壁空洞最常见于：</w:t>
      </w:r>
    </w:p>
    <w:p w:rsidR="003717A0" w:rsidRDefault="003717A0">
      <w:pPr>
        <w:ind w:left="420"/>
      </w:pPr>
      <w:r>
        <w:t>A</w:t>
      </w:r>
      <w:r>
        <w:rPr>
          <w:rFonts w:ascii="宋体"/>
        </w:rPr>
        <w:t>.</w:t>
      </w:r>
      <w:r>
        <w:rPr>
          <w:rFonts w:ascii="宋体" w:hAnsi="宋体" w:hint="eastAsia"/>
        </w:rPr>
        <w:t>周围型肺癌</w:t>
      </w:r>
      <w:r>
        <w:rPr>
          <w:rFonts w:ascii="宋体" w:hAnsi="宋体"/>
        </w:rPr>
        <w:t xml:space="preserve">   </w:t>
      </w:r>
      <w:r>
        <w:t xml:space="preserve"> B</w:t>
      </w:r>
      <w:r>
        <w:rPr>
          <w:rFonts w:ascii="宋体"/>
        </w:rPr>
        <w:t>.</w:t>
      </w:r>
      <w:r>
        <w:rPr>
          <w:rFonts w:ascii="宋体" w:hAnsi="宋体" w:hint="eastAsia"/>
        </w:rPr>
        <w:t>干酪性肺炎</w:t>
      </w:r>
      <w:r>
        <w:rPr>
          <w:rFonts w:ascii="宋体" w:hAnsi="宋体"/>
        </w:rPr>
        <w:t xml:space="preserve">    </w:t>
      </w:r>
      <w:r>
        <w:t xml:space="preserve"> C</w:t>
      </w:r>
      <w:r>
        <w:rPr>
          <w:rFonts w:ascii="宋体"/>
        </w:rPr>
        <w:t>.</w:t>
      </w:r>
      <w:r>
        <w:rPr>
          <w:rFonts w:ascii="宋体" w:hAnsi="宋体" w:hint="eastAsia"/>
        </w:rPr>
        <w:t>肺转移瘤</w:t>
      </w:r>
      <w:r>
        <w:rPr>
          <w:rFonts w:ascii="宋体" w:hAnsi="宋体"/>
        </w:rPr>
        <w:t xml:space="preserve">     </w:t>
      </w:r>
      <w:r>
        <w:t>D.</w:t>
      </w:r>
      <w:r>
        <w:rPr>
          <w:rFonts w:ascii="宋体" w:hAnsi="宋体" w:hint="eastAsia"/>
        </w:rPr>
        <w:t>肺脓肿</w:t>
      </w:r>
      <w:r>
        <w:rPr>
          <w:rFonts w:ascii="宋体" w:hAnsi="宋体"/>
        </w:rPr>
        <w:t xml:space="preserve">     </w:t>
      </w:r>
      <w:r>
        <w:t>E</w:t>
      </w:r>
      <w:r>
        <w:rPr>
          <w:rFonts w:ascii="宋体"/>
        </w:rPr>
        <w:t>.</w:t>
      </w:r>
      <w:r>
        <w:rPr>
          <w:rFonts w:ascii="宋体" w:hAnsi="宋体" w:hint="eastAsia"/>
        </w:rPr>
        <w:t>浸润性肺结核</w:t>
      </w:r>
    </w:p>
    <w:p w:rsidR="003717A0" w:rsidRDefault="003717A0">
      <w:r>
        <w:t xml:space="preserve">3. </w:t>
      </w:r>
      <w:r>
        <w:rPr>
          <w:rFonts w:hint="eastAsia"/>
        </w:rPr>
        <w:t>能使纵隔向患侧移位的</w:t>
      </w:r>
    </w:p>
    <w:p w:rsidR="003717A0" w:rsidRDefault="003717A0">
      <w:r>
        <w:t xml:space="preserve">  (1)</w:t>
      </w:r>
      <w:r>
        <w:rPr>
          <w:rFonts w:hint="eastAsia"/>
        </w:rPr>
        <w:t>、肺不张</w:t>
      </w:r>
      <w:r>
        <w:t xml:space="preserve">        </w:t>
      </w:r>
      <w:r>
        <w:rPr>
          <w:rFonts w:hint="eastAsia"/>
        </w:rPr>
        <w:t>（</w:t>
      </w:r>
      <w:r>
        <w:t>2</w:t>
      </w:r>
      <w:r>
        <w:rPr>
          <w:rFonts w:hint="eastAsia"/>
        </w:rPr>
        <w:t>）肺硬变</w:t>
      </w:r>
      <w:r>
        <w:t xml:space="preserve">        </w:t>
      </w:r>
      <w:r>
        <w:rPr>
          <w:rFonts w:hint="eastAsia"/>
        </w:rPr>
        <w:t>（</w:t>
      </w:r>
      <w:r>
        <w:t>3</w:t>
      </w:r>
      <w:r>
        <w:rPr>
          <w:rFonts w:hint="eastAsia"/>
        </w:rPr>
        <w:t>）广泛胸膜肥厚</w:t>
      </w:r>
    </w:p>
    <w:p w:rsidR="003717A0" w:rsidRDefault="003717A0">
      <w:r>
        <w:t xml:space="preserve">  </w:t>
      </w:r>
      <w:r>
        <w:rPr>
          <w:rFonts w:hint="eastAsia"/>
        </w:rPr>
        <w:t>（</w:t>
      </w:r>
      <w:r>
        <w:t>4</w:t>
      </w:r>
      <w:r>
        <w:rPr>
          <w:rFonts w:hint="eastAsia"/>
        </w:rPr>
        <w:t>）胸腔积液</w:t>
      </w:r>
      <w:r>
        <w:t xml:space="preserve">      </w:t>
      </w:r>
      <w:r>
        <w:rPr>
          <w:rFonts w:hint="eastAsia"/>
        </w:rPr>
        <w:t>（</w:t>
      </w:r>
      <w:r>
        <w:t>5</w:t>
      </w:r>
      <w:r>
        <w:rPr>
          <w:rFonts w:hint="eastAsia"/>
        </w:rPr>
        <w:t>）胸膜肿瘤</w:t>
      </w:r>
    </w:p>
    <w:p w:rsidR="003717A0" w:rsidRDefault="003717A0">
      <w:pPr>
        <w:ind w:firstLineChars="200" w:firstLine="420"/>
      </w:pPr>
      <w:r>
        <w:t>A</w:t>
      </w:r>
      <w:r>
        <w:rPr>
          <w:rFonts w:hint="eastAsia"/>
        </w:rPr>
        <w:t>、（</w:t>
      </w:r>
      <w:r>
        <w:t>1+2+3</w:t>
      </w:r>
      <w:r>
        <w:rPr>
          <w:rFonts w:hint="eastAsia"/>
        </w:rPr>
        <w:t>）</w:t>
      </w:r>
      <w:r>
        <w:t xml:space="preserve">   B</w:t>
      </w:r>
      <w:r>
        <w:rPr>
          <w:rFonts w:hint="eastAsia"/>
        </w:rPr>
        <w:t>、（</w:t>
      </w:r>
      <w:r>
        <w:t>1+2+4</w:t>
      </w:r>
      <w:r>
        <w:rPr>
          <w:rFonts w:hint="eastAsia"/>
        </w:rPr>
        <w:t>）</w:t>
      </w:r>
      <w:r>
        <w:t xml:space="preserve">   C</w:t>
      </w:r>
      <w:r>
        <w:rPr>
          <w:rFonts w:hint="eastAsia"/>
        </w:rPr>
        <w:t>、（</w:t>
      </w:r>
      <w:r>
        <w:t>1+3+5</w:t>
      </w:r>
      <w:r>
        <w:rPr>
          <w:rFonts w:hint="eastAsia"/>
        </w:rPr>
        <w:t>）</w:t>
      </w:r>
      <w:r>
        <w:t xml:space="preserve">  D</w:t>
      </w:r>
      <w:r>
        <w:rPr>
          <w:rFonts w:hint="eastAsia"/>
        </w:rPr>
        <w:t>、（</w:t>
      </w:r>
      <w:r>
        <w:t>2+4+5</w:t>
      </w:r>
      <w:r>
        <w:rPr>
          <w:rFonts w:hint="eastAsia"/>
        </w:rPr>
        <w:t>）</w:t>
      </w:r>
      <w:r>
        <w:t xml:space="preserve">   E</w:t>
      </w:r>
      <w:r>
        <w:rPr>
          <w:rFonts w:hint="eastAsia"/>
        </w:rPr>
        <w:t>、（</w:t>
      </w:r>
      <w:r>
        <w:t>3+4+5</w:t>
      </w:r>
      <w:r>
        <w:rPr>
          <w:rFonts w:hint="eastAsia"/>
        </w:rPr>
        <w:t>）</w:t>
      </w:r>
    </w:p>
    <w:p w:rsidR="003717A0" w:rsidRDefault="003717A0">
      <w:r>
        <w:t xml:space="preserve">4. </w:t>
      </w:r>
      <w:r>
        <w:rPr>
          <w:rFonts w:hint="eastAsia"/>
        </w:rPr>
        <w:t>可以见到钙化的疾病是</w:t>
      </w:r>
    </w:p>
    <w:p w:rsidR="003717A0" w:rsidRDefault="003717A0">
      <w:pPr>
        <w:ind w:firstLineChars="50" w:firstLine="105"/>
      </w:pPr>
      <w:r>
        <w:rPr>
          <w:rFonts w:hint="eastAsia"/>
        </w:rPr>
        <w:t>（</w:t>
      </w:r>
      <w:r>
        <w:t>1</w:t>
      </w:r>
      <w:r>
        <w:rPr>
          <w:rFonts w:hint="eastAsia"/>
        </w:rPr>
        <w:t>）错构瘤</w:t>
      </w:r>
      <w:r>
        <w:t xml:space="preserve">     </w:t>
      </w:r>
      <w:r>
        <w:rPr>
          <w:rFonts w:hint="eastAsia"/>
        </w:rPr>
        <w:t>（</w:t>
      </w:r>
      <w:r>
        <w:t>2</w:t>
      </w:r>
      <w:r>
        <w:rPr>
          <w:rFonts w:hint="eastAsia"/>
        </w:rPr>
        <w:t>）淋巴结结核</w:t>
      </w:r>
      <w:r>
        <w:t xml:space="preserve">   </w:t>
      </w:r>
      <w:r>
        <w:rPr>
          <w:rFonts w:hint="eastAsia"/>
        </w:rPr>
        <w:t>（</w:t>
      </w:r>
      <w:r>
        <w:t>3</w:t>
      </w:r>
      <w:r>
        <w:rPr>
          <w:rFonts w:hint="eastAsia"/>
        </w:rPr>
        <w:t>）肺炎</w:t>
      </w:r>
      <w:r>
        <w:t xml:space="preserve">   </w:t>
      </w:r>
      <w:r>
        <w:rPr>
          <w:rFonts w:hint="eastAsia"/>
        </w:rPr>
        <w:t>（</w:t>
      </w:r>
      <w:r>
        <w:t>4</w:t>
      </w:r>
      <w:r>
        <w:rPr>
          <w:rFonts w:hint="eastAsia"/>
        </w:rPr>
        <w:t>）周围型肺癌</w:t>
      </w:r>
      <w:r>
        <w:t xml:space="preserve">   </w:t>
      </w:r>
      <w:r>
        <w:rPr>
          <w:rFonts w:hint="eastAsia"/>
        </w:rPr>
        <w:t>（</w:t>
      </w:r>
      <w:r>
        <w:t>5</w:t>
      </w:r>
      <w:r>
        <w:rPr>
          <w:rFonts w:hint="eastAsia"/>
        </w:rPr>
        <w:t>）中央型肺癌</w:t>
      </w:r>
    </w:p>
    <w:p w:rsidR="003717A0" w:rsidRDefault="003717A0">
      <w:pPr>
        <w:ind w:firstLineChars="200" w:firstLine="420"/>
      </w:pPr>
      <w:r>
        <w:t>A</w:t>
      </w:r>
      <w:r>
        <w:rPr>
          <w:rFonts w:hint="eastAsia"/>
        </w:rPr>
        <w:t>、（</w:t>
      </w:r>
      <w:r>
        <w:t>1+2+3</w:t>
      </w:r>
      <w:r>
        <w:rPr>
          <w:rFonts w:hint="eastAsia"/>
        </w:rPr>
        <w:t>）</w:t>
      </w:r>
      <w:r>
        <w:t xml:space="preserve">    B</w:t>
      </w:r>
      <w:r>
        <w:rPr>
          <w:rFonts w:hint="eastAsia"/>
        </w:rPr>
        <w:t>、（</w:t>
      </w:r>
      <w:r>
        <w:t>1+2+4</w:t>
      </w:r>
      <w:r>
        <w:rPr>
          <w:rFonts w:hint="eastAsia"/>
        </w:rPr>
        <w:t>）</w:t>
      </w:r>
      <w:r>
        <w:t xml:space="preserve">    C</w:t>
      </w:r>
      <w:r>
        <w:rPr>
          <w:rFonts w:hint="eastAsia"/>
        </w:rPr>
        <w:t>、（</w:t>
      </w:r>
      <w:r>
        <w:t>1+3+5</w:t>
      </w:r>
      <w:r>
        <w:rPr>
          <w:rFonts w:hint="eastAsia"/>
        </w:rPr>
        <w:t>）</w:t>
      </w:r>
      <w:r>
        <w:t xml:space="preserve">     D</w:t>
      </w:r>
      <w:r>
        <w:rPr>
          <w:rFonts w:hint="eastAsia"/>
        </w:rPr>
        <w:t>、（</w:t>
      </w:r>
      <w:r>
        <w:t>2+4+5</w:t>
      </w:r>
      <w:r>
        <w:rPr>
          <w:rFonts w:hint="eastAsia"/>
        </w:rPr>
        <w:t>）</w:t>
      </w:r>
      <w:r>
        <w:t xml:space="preserve">       E</w:t>
      </w:r>
      <w:r>
        <w:rPr>
          <w:rFonts w:hint="eastAsia"/>
        </w:rPr>
        <w:t>、（</w:t>
      </w:r>
      <w:r>
        <w:t>3+4+5</w:t>
      </w:r>
      <w:r>
        <w:rPr>
          <w:rFonts w:hint="eastAsia"/>
        </w:rPr>
        <w:t>）</w:t>
      </w:r>
    </w:p>
    <w:p w:rsidR="003717A0" w:rsidRDefault="003717A0">
      <w:r>
        <w:lastRenderedPageBreak/>
        <w:t>5.</w:t>
      </w:r>
      <w:r>
        <w:rPr>
          <w:rFonts w:hint="eastAsia"/>
        </w:rPr>
        <w:t>下面是支气管肺炎的</w:t>
      </w:r>
      <w:r>
        <w:t>X</w:t>
      </w:r>
      <w:r>
        <w:rPr>
          <w:rFonts w:hint="eastAsia"/>
        </w:rPr>
        <w:t>线表现，请指出正确的一组：</w:t>
      </w:r>
    </w:p>
    <w:p w:rsidR="003717A0" w:rsidRDefault="003717A0">
      <w:pPr>
        <w:ind w:firstLine="435"/>
      </w:pPr>
      <w:r>
        <w:rPr>
          <w:rFonts w:hint="eastAsia"/>
        </w:rPr>
        <w:t>⑴两肺纹理增粗，边缘模糊</w:t>
      </w:r>
    </w:p>
    <w:p w:rsidR="003717A0" w:rsidRDefault="003717A0">
      <w:pPr>
        <w:ind w:firstLine="435"/>
      </w:pPr>
      <w:r>
        <w:rPr>
          <w:rFonts w:hint="eastAsia"/>
        </w:rPr>
        <w:t>⑵实变的阴影占据整个大叶，密度均匀一致</w:t>
      </w:r>
    </w:p>
    <w:p w:rsidR="003717A0" w:rsidRDefault="003717A0">
      <w:pPr>
        <w:ind w:firstLine="435"/>
      </w:pPr>
      <w:r>
        <w:rPr>
          <w:rFonts w:hint="eastAsia"/>
        </w:rPr>
        <w:t>⑶沿支气管分布的斑片状影，多位于两肺的中下野中内带</w:t>
      </w:r>
    </w:p>
    <w:p w:rsidR="003717A0" w:rsidRDefault="003717A0">
      <w:pPr>
        <w:ind w:firstLine="435"/>
      </w:pPr>
      <w:r>
        <w:rPr>
          <w:rFonts w:hint="eastAsia"/>
        </w:rPr>
        <w:t>⑷沿支气管分布的斑片状影，多位于两肺的中上野中内带</w:t>
      </w:r>
    </w:p>
    <w:p w:rsidR="003717A0" w:rsidRDefault="003717A0">
      <w:pPr>
        <w:ind w:firstLine="435"/>
      </w:pPr>
      <w:r>
        <w:rPr>
          <w:rFonts w:hint="eastAsia"/>
        </w:rPr>
        <w:t>⑸小儿患者常见肺门影增大、模糊</w:t>
      </w:r>
    </w:p>
    <w:p w:rsidR="003717A0" w:rsidRDefault="003717A0">
      <w:pPr>
        <w:numPr>
          <w:ilvl w:val="0"/>
          <w:numId w:val="180"/>
        </w:numPr>
        <w:ind w:left="360" w:hanging="360"/>
      </w:pPr>
      <w:r>
        <w:rPr>
          <w:rFonts w:cs="Times New Roman" w:hint="eastAsia"/>
        </w:rPr>
        <w:t>（</w:t>
      </w:r>
      <w:r>
        <w:t>1+3+5</w:t>
      </w:r>
      <w:r>
        <w:rPr>
          <w:rFonts w:hint="eastAsia"/>
        </w:rPr>
        <w:t>）</w:t>
      </w:r>
      <w:r>
        <w:t xml:space="preserve">  B</w:t>
      </w:r>
      <w:r>
        <w:rPr>
          <w:rFonts w:hint="eastAsia"/>
        </w:rPr>
        <w:t>、（</w:t>
      </w:r>
      <w:r>
        <w:t>2+4+5</w:t>
      </w:r>
      <w:r>
        <w:rPr>
          <w:rFonts w:hint="eastAsia"/>
        </w:rPr>
        <w:t>）</w:t>
      </w:r>
      <w:r>
        <w:t xml:space="preserve">  C</w:t>
      </w:r>
      <w:r>
        <w:rPr>
          <w:rFonts w:hint="eastAsia"/>
        </w:rPr>
        <w:t>、（</w:t>
      </w:r>
      <w:r>
        <w:t>1+2+3</w:t>
      </w:r>
      <w:r>
        <w:rPr>
          <w:rFonts w:hint="eastAsia"/>
        </w:rPr>
        <w:t>）</w:t>
      </w:r>
      <w:r>
        <w:t xml:space="preserve">  D</w:t>
      </w:r>
      <w:r>
        <w:rPr>
          <w:rFonts w:hint="eastAsia"/>
        </w:rPr>
        <w:t>、（</w:t>
      </w:r>
      <w:r>
        <w:t>1+4+5</w:t>
      </w:r>
      <w:r>
        <w:rPr>
          <w:rFonts w:hint="eastAsia"/>
        </w:rPr>
        <w:t>）</w:t>
      </w:r>
    </w:p>
    <w:p w:rsidR="003717A0" w:rsidRDefault="003717A0">
      <w:r>
        <w:t xml:space="preserve"> 6.</w:t>
      </w:r>
      <w:r>
        <w:rPr>
          <w:rFonts w:hint="eastAsia"/>
        </w:rPr>
        <w:t>有关骨质疏松，下列那组正确：（</w:t>
      </w:r>
      <w:r>
        <w:t xml:space="preserve">     </w:t>
      </w:r>
      <w:r>
        <w:rPr>
          <w:rFonts w:hint="eastAsia"/>
        </w:rPr>
        <w:t>）</w:t>
      </w:r>
    </w:p>
    <w:p w:rsidR="003717A0" w:rsidRDefault="003717A0">
      <w:r>
        <w:t xml:space="preserve">     </w:t>
      </w:r>
      <w:r>
        <w:rPr>
          <w:rFonts w:hint="eastAsia"/>
        </w:rPr>
        <w:t>（</w:t>
      </w:r>
      <w:r>
        <w:t>1</w:t>
      </w:r>
      <w:r>
        <w:rPr>
          <w:rFonts w:hint="eastAsia"/>
        </w:rPr>
        <w:t>）指一定单位体积内骨组织有机成分正常，而矿物盐含量减少</w:t>
      </w:r>
    </w:p>
    <w:p w:rsidR="003717A0" w:rsidRDefault="003717A0">
      <w:r>
        <w:t xml:space="preserve">     </w:t>
      </w:r>
      <w:r>
        <w:rPr>
          <w:rFonts w:hint="eastAsia"/>
        </w:rPr>
        <w:t>（</w:t>
      </w:r>
      <w:r>
        <w:t>2</w:t>
      </w:r>
      <w:r>
        <w:rPr>
          <w:rFonts w:hint="eastAsia"/>
        </w:rPr>
        <w:t>）指一定单位体积内骨量的减少，而骨质的质没有发生改变</w:t>
      </w:r>
    </w:p>
    <w:p w:rsidR="003717A0" w:rsidRDefault="003717A0">
      <w:r>
        <w:t xml:space="preserve">     </w:t>
      </w:r>
      <w:r>
        <w:rPr>
          <w:rFonts w:hint="eastAsia"/>
        </w:rPr>
        <w:t>（</w:t>
      </w:r>
      <w:r>
        <w:t>3</w:t>
      </w:r>
      <w:r>
        <w:rPr>
          <w:rFonts w:hint="eastAsia"/>
        </w:rPr>
        <w:t>）骨小梁和骨皮质边界模糊</w:t>
      </w:r>
    </w:p>
    <w:p w:rsidR="003717A0" w:rsidRDefault="003717A0">
      <w:r>
        <w:t xml:space="preserve">     </w:t>
      </w:r>
      <w:r>
        <w:rPr>
          <w:rFonts w:hint="eastAsia"/>
        </w:rPr>
        <w:t>（</w:t>
      </w:r>
      <w:r>
        <w:t>4</w:t>
      </w:r>
      <w:r>
        <w:rPr>
          <w:rFonts w:hint="eastAsia"/>
        </w:rPr>
        <w:t>）骨小梁和骨皮质境界清晰</w:t>
      </w:r>
    </w:p>
    <w:p w:rsidR="003717A0" w:rsidRDefault="003717A0">
      <w:r>
        <w:t xml:space="preserve">     </w:t>
      </w:r>
      <w:r>
        <w:rPr>
          <w:rFonts w:hint="eastAsia"/>
        </w:rPr>
        <w:t>（</w:t>
      </w:r>
      <w:r>
        <w:t>5</w:t>
      </w:r>
      <w:r>
        <w:rPr>
          <w:rFonts w:hint="eastAsia"/>
        </w:rPr>
        <w:t>）骨密度减低，骨皮质变薄，骨小梁变稀少，变纤细</w:t>
      </w:r>
    </w:p>
    <w:p w:rsidR="003717A0" w:rsidRDefault="003717A0">
      <w:r>
        <w:t xml:space="preserve">    A.</w:t>
      </w:r>
      <w:r>
        <w:rPr>
          <w:rFonts w:hint="eastAsia"/>
        </w:rPr>
        <w:t>（</w:t>
      </w:r>
      <w:r>
        <w:t>1+3+5</w:t>
      </w:r>
      <w:r>
        <w:rPr>
          <w:rFonts w:hint="eastAsia"/>
        </w:rPr>
        <w:t>）</w:t>
      </w:r>
      <w:r>
        <w:t xml:space="preserve">          B.</w:t>
      </w:r>
      <w:r>
        <w:rPr>
          <w:rFonts w:hint="eastAsia"/>
        </w:rPr>
        <w:t>（</w:t>
      </w:r>
      <w:r>
        <w:t>2+3+5</w:t>
      </w:r>
      <w:r>
        <w:rPr>
          <w:rFonts w:hint="eastAsia"/>
        </w:rPr>
        <w:t>）</w:t>
      </w:r>
    </w:p>
    <w:p w:rsidR="003717A0" w:rsidRDefault="003717A0">
      <w:r>
        <w:t xml:space="preserve">    C</w:t>
      </w:r>
      <w:r>
        <w:rPr>
          <w:rFonts w:hint="eastAsia"/>
        </w:rPr>
        <w:t>．（</w:t>
      </w:r>
      <w:r>
        <w:t>1+4+5</w:t>
      </w:r>
      <w:r>
        <w:rPr>
          <w:rFonts w:hint="eastAsia"/>
        </w:rPr>
        <w:t>）</w:t>
      </w:r>
      <w:r>
        <w:t xml:space="preserve">         D.</w:t>
      </w:r>
      <w:r>
        <w:rPr>
          <w:rFonts w:hint="eastAsia"/>
        </w:rPr>
        <w:t>（</w:t>
      </w:r>
      <w:r>
        <w:t>2+4+5</w:t>
      </w:r>
      <w:r>
        <w:rPr>
          <w:rFonts w:hint="eastAsia"/>
        </w:rPr>
        <w:t>）</w:t>
      </w:r>
    </w:p>
    <w:p w:rsidR="003717A0" w:rsidRDefault="003717A0">
      <w:r>
        <w:t xml:space="preserve">   7.</w:t>
      </w:r>
      <w:r>
        <w:rPr>
          <w:rFonts w:hint="eastAsia"/>
        </w:rPr>
        <w:t>有关脊柱结核，下列那组正确：（</w:t>
      </w:r>
      <w:r>
        <w:t xml:space="preserve">     </w:t>
      </w:r>
      <w:r>
        <w:rPr>
          <w:rFonts w:hint="eastAsia"/>
        </w:rPr>
        <w:t>）</w:t>
      </w:r>
    </w:p>
    <w:p w:rsidR="003717A0" w:rsidRDefault="003717A0">
      <w:r>
        <w:t xml:space="preserve">      </w:t>
      </w:r>
      <w:r>
        <w:rPr>
          <w:rFonts w:hint="eastAsia"/>
        </w:rPr>
        <w:t>（</w:t>
      </w:r>
      <w:r>
        <w:t>1</w:t>
      </w:r>
      <w:r>
        <w:rPr>
          <w:rFonts w:hint="eastAsia"/>
        </w:rPr>
        <w:t>）好累及相邻的两个椎体</w:t>
      </w:r>
    </w:p>
    <w:p w:rsidR="003717A0" w:rsidRDefault="003717A0">
      <w:r>
        <w:t xml:space="preserve">      </w:t>
      </w:r>
      <w:r>
        <w:rPr>
          <w:rFonts w:hint="eastAsia"/>
        </w:rPr>
        <w:t>（</w:t>
      </w:r>
      <w:r>
        <w:t>2</w:t>
      </w:r>
      <w:r>
        <w:rPr>
          <w:rFonts w:hint="eastAsia"/>
        </w:rPr>
        <w:t>）附件也容易累及</w:t>
      </w:r>
    </w:p>
    <w:p w:rsidR="003717A0" w:rsidRDefault="003717A0">
      <w:r>
        <w:t xml:space="preserve">      </w:t>
      </w:r>
      <w:r>
        <w:rPr>
          <w:rFonts w:hint="eastAsia"/>
        </w:rPr>
        <w:t>（</w:t>
      </w:r>
      <w:r>
        <w:t>3</w:t>
      </w:r>
      <w:r>
        <w:rPr>
          <w:rFonts w:hint="eastAsia"/>
        </w:rPr>
        <w:t>）附件较少累及</w:t>
      </w:r>
    </w:p>
    <w:p w:rsidR="003717A0" w:rsidRDefault="003717A0">
      <w:r>
        <w:t xml:space="preserve">      </w:t>
      </w:r>
      <w:r>
        <w:rPr>
          <w:rFonts w:hint="eastAsia"/>
        </w:rPr>
        <w:t>（</w:t>
      </w:r>
      <w:r>
        <w:t>4</w:t>
      </w:r>
      <w:r>
        <w:rPr>
          <w:rFonts w:hint="eastAsia"/>
        </w:rPr>
        <w:t>）较早就引起椎体软骨板破坏，椎间隙狭窄</w:t>
      </w:r>
    </w:p>
    <w:p w:rsidR="003717A0" w:rsidRDefault="003717A0">
      <w:r>
        <w:t xml:space="preserve">      </w:t>
      </w:r>
      <w:r>
        <w:rPr>
          <w:rFonts w:hint="eastAsia"/>
        </w:rPr>
        <w:t>（</w:t>
      </w:r>
      <w:r>
        <w:t>5</w:t>
      </w:r>
      <w:r>
        <w:rPr>
          <w:rFonts w:hint="eastAsia"/>
        </w:rPr>
        <w:t>）椎体楔形变，早期椎间隙不变窄</w:t>
      </w:r>
    </w:p>
    <w:p w:rsidR="003717A0" w:rsidRDefault="003717A0">
      <w:r>
        <w:t xml:space="preserve">    A.</w:t>
      </w:r>
      <w:r>
        <w:rPr>
          <w:rFonts w:hint="eastAsia"/>
        </w:rPr>
        <w:t>（</w:t>
      </w:r>
      <w:r>
        <w:t>1+3+4</w:t>
      </w:r>
      <w:r>
        <w:rPr>
          <w:rFonts w:hint="eastAsia"/>
        </w:rPr>
        <w:t>）</w:t>
      </w:r>
      <w:r>
        <w:t xml:space="preserve">          B.</w:t>
      </w:r>
      <w:r>
        <w:rPr>
          <w:rFonts w:hint="eastAsia"/>
        </w:rPr>
        <w:t>（</w:t>
      </w:r>
      <w:r>
        <w:t>2+3+5</w:t>
      </w:r>
      <w:r>
        <w:rPr>
          <w:rFonts w:hint="eastAsia"/>
        </w:rPr>
        <w:t>）</w:t>
      </w:r>
    </w:p>
    <w:p w:rsidR="003717A0" w:rsidRDefault="003717A0">
      <w:pPr>
        <w:ind w:firstLine="435"/>
      </w:pPr>
      <w:r>
        <w:t>C.</w:t>
      </w:r>
      <w:r>
        <w:rPr>
          <w:rFonts w:hint="eastAsia"/>
        </w:rPr>
        <w:t>（</w:t>
      </w:r>
      <w:r>
        <w:t>1+4+5</w:t>
      </w:r>
      <w:r>
        <w:rPr>
          <w:rFonts w:hint="eastAsia"/>
        </w:rPr>
        <w:t>）</w:t>
      </w:r>
      <w:r>
        <w:t xml:space="preserve">          D.</w:t>
      </w:r>
      <w:r>
        <w:rPr>
          <w:rFonts w:hint="eastAsia"/>
        </w:rPr>
        <w:t>（</w:t>
      </w:r>
      <w:r>
        <w:t>2+4+5</w:t>
      </w:r>
      <w:r>
        <w:rPr>
          <w:rFonts w:hint="eastAsia"/>
        </w:rPr>
        <w:t>）</w:t>
      </w:r>
      <w:r>
        <w:t xml:space="preserve">     </w:t>
      </w:r>
    </w:p>
    <w:p w:rsidR="003717A0" w:rsidRDefault="003717A0">
      <w:r>
        <w:t xml:space="preserve">  8.</w:t>
      </w:r>
      <w:r>
        <w:rPr>
          <w:rFonts w:hint="eastAsia"/>
        </w:rPr>
        <w:t>有关化脓性关节炎，下列那组正确：（</w:t>
      </w:r>
      <w:r>
        <w:t xml:space="preserve">     </w:t>
      </w:r>
      <w:r>
        <w:rPr>
          <w:rFonts w:hint="eastAsia"/>
        </w:rPr>
        <w:t>）</w:t>
      </w:r>
    </w:p>
    <w:p w:rsidR="003717A0" w:rsidRDefault="003717A0">
      <w:r>
        <w:t xml:space="preserve">      </w:t>
      </w:r>
      <w:r>
        <w:rPr>
          <w:rFonts w:hint="eastAsia"/>
        </w:rPr>
        <w:t>（</w:t>
      </w:r>
      <w:r>
        <w:t>1</w:t>
      </w:r>
      <w:r>
        <w:rPr>
          <w:rFonts w:hint="eastAsia"/>
        </w:rPr>
        <w:t>）早期即可引起关节软骨破坏，关节间隙狭窄</w:t>
      </w:r>
    </w:p>
    <w:p w:rsidR="003717A0" w:rsidRDefault="003717A0">
      <w:r>
        <w:t xml:space="preserve">      </w:t>
      </w:r>
      <w:r>
        <w:rPr>
          <w:rFonts w:hint="eastAsia"/>
        </w:rPr>
        <w:t>（</w:t>
      </w:r>
      <w:r>
        <w:t>2</w:t>
      </w:r>
      <w:r>
        <w:rPr>
          <w:rFonts w:hint="eastAsia"/>
        </w:rPr>
        <w:t>）关节间隙狭窄出现较晚</w:t>
      </w:r>
    </w:p>
    <w:p w:rsidR="003717A0" w:rsidRDefault="003717A0">
      <w:r>
        <w:t xml:space="preserve">      </w:t>
      </w:r>
      <w:r>
        <w:rPr>
          <w:rFonts w:hint="eastAsia"/>
        </w:rPr>
        <w:t>（</w:t>
      </w:r>
      <w:r>
        <w:t>3</w:t>
      </w:r>
      <w:r>
        <w:rPr>
          <w:rFonts w:hint="eastAsia"/>
        </w:rPr>
        <w:t>）关节软骨下骨质破坏，以承受体重部分出现早和明显</w:t>
      </w:r>
    </w:p>
    <w:p w:rsidR="003717A0" w:rsidRDefault="003717A0">
      <w:r>
        <w:t xml:space="preserve">      </w:t>
      </w:r>
      <w:r>
        <w:rPr>
          <w:rFonts w:hint="eastAsia"/>
        </w:rPr>
        <w:t>（</w:t>
      </w:r>
      <w:r>
        <w:t>4</w:t>
      </w:r>
      <w:r>
        <w:rPr>
          <w:rFonts w:hint="eastAsia"/>
        </w:rPr>
        <w:t>）关节面骨质破坏居关节面边缘部分，呈虫蚀状骨质破坏</w:t>
      </w:r>
    </w:p>
    <w:p w:rsidR="003717A0" w:rsidRDefault="003717A0">
      <w:r>
        <w:t xml:space="preserve">      </w:t>
      </w:r>
      <w:r>
        <w:rPr>
          <w:rFonts w:hint="eastAsia"/>
        </w:rPr>
        <w:t>（</w:t>
      </w:r>
      <w:r>
        <w:t>5</w:t>
      </w:r>
      <w:r>
        <w:rPr>
          <w:rFonts w:hint="eastAsia"/>
        </w:rPr>
        <w:t>）病变严重时可形成骨性强直</w:t>
      </w:r>
    </w:p>
    <w:p w:rsidR="003717A0" w:rsidRDefault="003717A0">
      <w:r>
        <w:t xml:space="preserve">     A.</w:t>
      </w:r>
      <w:r>
        <w:rPr>
          <w:rFonts w:hint="eastAsia"/>
        </w:rPr>
        <w:t>（</w:t>
      </w:r>
      <w:r>
        <w:t>1+3+5</w:t>
      </w:r>
      <w:r>
        <w:rPr>
          <w:rFonts w:hint="eastAsia"/>
        </w:rPr>
        <w:t>）</w:t>
      </w:r>
      <w:r>
        <w:t xml:space="preserve">          B.</w:t>
      </w:r>
      <w:r>
        <w:rPr>
          <w:rFonts w:hint="eastAsia"/>
        </w:rPr>
        <w:t>（</w:t>
      </w:r>
      <w:r>
        <w:t>2+3+4</w:t>
      </w:r>
      <w:r>
        <w:rPr>
          <w:rFonts w:hint="eastAsia"/>
        </w:rPr>
        <w:t>）</w:t>
      </w:r>
    </w:p>
    <w:p w:rsidR="003717A0" w:rsidRDefault="003717A0">
      <w:r>
        <w:t xml:space="preserve">     C.</w:t>
      </w:r>
      <w:r>
        <w:rPr>
          <w:rFonts w:hint="eastAsia"/>
        </w:rPr>
        <w:t>（</w:t>
      </w:r>
      <w:r>
        <w:t>2+4+5</w:t>
      </w:r>
      <w:r>
        <w:rPr>
          <w:rFonts w:hint="eastAsia"/>
        </w:rPr>
        <w:t>）</w:t>
      </w:r>
      <w:r>
        <w:t xml:space="preserve">          D.</w:t>
      </w:r>
      <w:r>
        <w:rPr>
          <w:rFonts w:hint="eastAsia"/>
        </w:rPr>
        <w:t>（</w:t>
      </w:r>
      <w:r>
        <w:t>1+4+5</w:t>
      </w:r>
      <w:r>
        <w:rPr>
          <w:rFonts w:hint="eastAsia"/>
        </w:rPr>
        <w:t>）</w:t>
      </w:r>
    </w:p>
    <w:p w:rsidR="003717A0" w:rsidRDefault="003717A0">
      <w:pPr>
        <w:ind w:firstLineChars="100" w:firstLine="210"/>
      </w:pPr>
      <w:r>
        <w:t>9.</w:t>
      </w:r>
      <w:r>
        <w:rPr>
          <w:rFonts w:hint="eastAsia"/>
        </w:rPr>
        <w:t>下列哪一种股骨上段骨折易发生股骨头缺血坏死（</w:t>
      </w:r>
      <w:r>
        <w:t xml:space="preserve">  </w:t>
      </w:r>
      <w:r>
        <w:rPr>
          <w:rFonts w:hint="eastAsia"/>
        </w:rPr>
        <w:t>）</w:t>
      </w:r>
    </w:p>
    <w:p w:rsidR="003717A0" w:rsidRDefault="003717A0">
      <w:r>
        <w:t xml:space="preserve">    A. </w:t>
      </w:r>
      <w:r>
        <w:rPr>
          <w:rFonts w:hint="eastAsia"/>
        </w:rPr>
        <w:t>股骨头下骨折</w:t>
      </w:r>
      <w:r>
        <w:t xml:space="preserve">     B. </w:t>
      </w:r>
      <w:r>
        <w:rPr>
          <w:rFonts w:hint="eastAsia"/>
        </w:rPr>
        <w:t>股骨颈中部骨折</w:t>
      </w:r>
    </w:p>
    <w:p w:rsidR="003717A0" w:rsidRDefault="003717A0">
      <w:pPr>
        <w:ind w:firstLineChars="200" w:firstLine="420"/>
      </w:pPr>
      <w:r>
        <w:t xml:space="preserve">C. </w:t>
      </w:r>
      <w:r>
        <w:rPr>
          <w:rFonts w:hint="eastAsia"/>
        </w:rPr>
        <w:t>股骨颈基底部骨折</w:t>
      </w:r>
      <w:r>
        <w:t xml:space="preserve"> D. </w:t>
      </w:r>
      <w:r>
        <w:rPr>
          <w:rFonts w:hint="eastAsia"/>
        </w:rPr>
        <w:t>股骨粗隆间骨折</w:t>
      </w:r>
      <w:r>
        <w:t xml:space="preserve">   </w:t>
      </w:r>
    </w:p>
    <w:p w:rsidR="003717A0" w:rsidRDefault="003717A0">
      <w:pPr>
        <w:ind w:firstLineChars="100" w:firstLine="210"/>
      </w:pPr>
      <w:r>
        <w:t>10.</w:t>
      </w:r>
      <w:r>
        <w:rPr>
          <w:rFonts w:hint="eastAsia"/>
        </w:rPr>
        <w:t>骨骺、干骺结核中心型的</w:t>
      </w:r>
      <w:r>
        <w:t>X</w:t>
      </w:r>
      <w:r>
        <w:rPr>
          <w:rFonts w:hint="eastAsia"/>
        </w:rPr>
        <w:t>线表现中哪项不符合：（</w:t>
      </w:r>
      <w:r>
        <w:t xml:space="preserve"> </w:t>
      </w:r>
      <w:r>
        <w:rPr>
          <w:b/>
        </w:rPr>
        <w:t xml:space="preserve"> </w:t>
      </w:r>
      <w:r>
        <w:rPr>
          <w:rFonts w:hint="eastAsia"/>
        </w:rPr>
        <w:t>）</w:t>
      </w:r>
    </w:p>
    <w:p w:rsidR="003717A0" w:rsidRDefault="003717A0">
      <w:pPr>
        <w:ind w:firstLineChars="200" w:firstLine="420"/>
      </w:pPr>
      <w:r>
        <w:t>A</w:t>
      </w:r>
      <w:r>
        <w:rPr>
          <w:rFonts w:hint="eastAsia"/>
        </w:rPr>
        <w:t>、早期表现为局限性骨质疏松</w:t>
      </w:r>
      <w:r>
        <w:t xml:space="preserve">           B</w:t>
      </w:r>
      <w:r>
        <w:rPr>
          <w:rFonts w:hint="eastAsia"/>
        </w:rPr>
        <w:t>、逐渐形成圆形、椭圆形破坏区</w:t>
      </w:r>
      <w:r>
        <w:t xml:space="preserve">  </w:t>
      </w:r>
    </w:p>
    <w:p w:rsidR="003717A0" w:rsidRDefault="003717A0">
      <w:pPr>
        <w:ind w:firstLineChars="200" w:firstLine="420"/>
      </w:pPr>
      <w:r>
        <w:t>C</w:t>
      </w:r>
      <w:r>
        <w:rPr>
          <w:rFonts w:hint="eastAsia"/>
        </w:rPr>
        <w:t>、病灶边缘多较清晰</w:t>
      </w:r>
      <w:r>
        <w:t xml:space="preserve">                   D</w:t>
      </w:r>
      <w:r>
        <w:rPr>
          <w:rFonts w:hint="eastAsia"/>
        </w:rPr>
        <w:t>、邻近无明显骨质增生现象</w:t>
      </w:r>
      <w:r>
        <w:t xml:space="preserve">  </w:t>
      </w:r>
    </w:p>
    <w:p w:rsidR="003717A0" w:rsidRDefault="003717A0">
      <w:pPr>
        <w:ind w:firstLineChars="200" w:firstLine="420"/>
      </w:pPr>
      <w:r>
        <w:t>E</w:t>
      </w:r>
      <w:r>
        <w:rPr>
          <w:rFonts w:hint="eastAsia"/>
        </w:rPr>
        <w:t>、破坏灶常不能跨越骺线</w:t>
      </w:r>
    </w:p>
    <w:p w:rsidR="003717A0" w:rsidRDefault="003717A0">
      <w:r>
        <w:t>11.</w:t>
      </w:r>
      <w:r>
        <w:rPr>
          <w:rFonts w:hint="eastAsia"/>
        </w:rPr>
        <w:t>下列关于硬膜外血肿的特点，哪项错误</w:t>
      </w:r>
      <w:r>
        <w:t xml:space="preserve">                                </w:t>
      </w:r>
      <w:r>
        <w:rPr>
          <w:rFonts w:hint="eastAsia"/>
        </w:rPr>
        <w:t>（</w:t>
      </w:r>
      <w:r>
        <w:t xml:space="preserve">    </w:t>
      </w:r>
      <w:r>
        <w:rPr>
          <w:rFonts w:hint="eastAsia"/>
        </w:rPr>
        <w:t>）</w:t>
      </w:r>
    </w:p>
    <w:p w:rsidR="003717A0" w:rsidRDefault="003717A0">
      <w:r>
        <w:t>A</w:t>
      </w:r>
      <w:r>
        <w:rPr>
          <w:rFonts w:hint="eastAsia"/>
        </w:rPr>
        <w:t>：多由脑膜中动脉损伤所致；</w:t>
      </w:r>
      <w:r>
        <w:t>B</w:t>
      </w:r>
      <w:r>
        <w:rPr>
          <w:rFonts w:hint="eastAsia"/>
        </w:rPr>
        <w:t>：</w:t>
      </w:r>
      <w:r>
        <w:t>CT</w:t>
      </w:r>
      <w:r>
        <w:rPr>
          <w:rFonts w:hint="eastAsia"/>
        </w:rPr>
        <w:t>表现为颅板下梭形或半圆形高密度影；</w:t>
      </w:r>
      <w:r>
        <w:t>C</w:t>
      </w:r>
      <w:r>
        <w:rPr>
          <w:rFonts w:hint="eastAsia"/>
        </w:rPr>
        <w:t>：多位于骨折附近；</w:t>
      </w:r>
      <w:r>
        <w:t>D</w:t>
      </w:r>
      <w:r>
        <w:rPr>
          <w:rFonts w:hint="eastAsia"/>
        </w:rPr>
        <w:t>：可跨越颅缝、但不能跨越中线</w:t>
      </w:r>
    </w:p>
    <w:p w:rsidR="003717A0" w:rsidRDefault="003717A0">
      <w:r>
        <w:t>12</w:t>
      </w:r>
      <w:r>
        <w:rPr>
          <w:rFonts w:hint="eastAsia"/>
        </w:rPr>
        <w:t>、</w:t>
      </w:r>
      <w:r>
        <w:t>CT</w:t>
      </w:r>
      <w:r>
        <w:rPr>
          <w:rFonts w:hint="eastAsia"/>
        </w:rPr>
        <w:t>检查前列腺上缘超过耻骨联合上方</w:t>
      </w:r>
      <w:r>
        <w:t xml:space="preserve"> </w:t>
      </w:r>
      <w:r>
        <w:rPr>
          <w:u w:val="single"/>
        </w:rPr>
        <w:t xml:space="preserve">    </w:t>
      </w:r>
      <w:r>
        <w:t>cm</w:t>
      </w:r>
      <w:r>
        <w:rPr>
          <w:rFonts w:hint="eastAsia"/>
        </w:rPr>
        <w:t>可诊断为前列腺增生</w:t>
      </w:r>
      <w:r>
        <w:t xml:space="preserve">      </w:t>
      </w:r>
      <w:r>
        <w:rPr>
          <w:rFonts w:hint="eastAsia"/>
        </w:rPr>
        <w:t>（</w:t>
      </w:r>
      <w:r>
        <w:t xml:space="preserve">    </w:t>
      </w:r>
      <w:r>
        <w:rPr>
          <w:rFonts w:hint="eastAsia"/>
        </w:rPr>
        <w:t>）</w:t>
      </w:r>
    </w:p>
    <w:p w:rsidR="003717A0" w:rsidRDefault="003717A0">
      <w:r>
        <w:t>A</w:t>
      </w:r>
      <w:r>
        <w:rPr>
          <w:rFonts w:hint="eastAsia"/>
        </w:rPr>
        <w:t>：</w:t>
      </w:r>
      <w:r>
        <w:t>1</w:t>
      </w:r>
      <w:r>
        <w:rPr>
          <w:rFonts w:hint="eastAsia"/>
        </w:rPr>
        <w:t>；</w:t>
      </w:r>
      <w:r>
        <w:t>B</w:t>
      </w:r>
      <w:r>
        <w:rPr>
          <w:rFonts w:hint="eastAsia"/>
        </w:rPr>
        <w:t>：</w:t>
      </w:r>
      <w:r>
        <w:t>2</w:t>
      </w:r>
      <w:r>
        <w:rPr>
          <w:rFonts w:hint="eastAsia"/>
        </w:rPr>
        <w:t>；</w:t>
      </w:r>
      <w:r>
        <w:t>C</w:t>
      </w:r>
      <w:r>
        <w:rPr>
          <w:rFonts w:hint="eastAsia"/>
        </w:rPr>
        <w:t>：</w:t>
      </w:r>
      <w:r>
        <w:t>3</w:t>
      </w:r>
      <w:r>
        <w:rPr>
          <w:rFonts w:hint="eastAsia"/>
        </w:rPr>
        <w:t>；</w:t>
      </w:r>
      <w:r>
        <w:t>D</w:t>
      </w:r>
      <w:r>
        <w:rPr>
          <w:rFonts w:hint="eastAsia"/>
        </w:rPr>
        <w:t>：</w:t>
      </w:r>
      <w:r>
        <w:t>4</w:t>
      </w:r>
    </w:p>
    <w:p w:rsidR="003717A0" w:rsidRDefault="003717A0">
      <w:r>
        <w:t>13</w:t>
      </w:r>
      <w:r>
        <w:rPr>
          <w:rFonts w:hint="eastAsia"/>
        </w:rPr>
        <w:t>、在各种影像学检查方法中，哪一种检查方法是诊断子宫肌瘤最准确的方法</w:t>
      </w:r>
      <w:r>
        <w:t xml:space="preserve"> </w:t>
      </w:r>
      <w:r>
        <w:rPr>
          <w:rFonts w:hint="eastAsia"/>
        </w:rPr>
        <w:t>（</w:t>
      </w:r>
      <w:r>
        <w:t xml:space="preserve">    </w:t>
      </w:r>
      <w:r>
        <w:rPr>
          <w:rFonts w:hint="eastAsia"/>
        </w:rPr>
        <w:t>）</w:t>
      </w:r>
    </w:p>
    <w:p w:rsidR="003717A0" w:rsidRDefault="003717A0">
      <w:r>
        <w:lastRenderedPageBreak/>
        <w:t>A</w:t>
      </w:r>
      <w:r>
        <w:rPr>
          <w:rFonts w:hint="eastAsia"/>
        </w:rPr>
        <w:t>：超声；</w:t>
      </w:r>
      <w:r>
        <w:t>B</w:t>
      </w:r>
      <w:r>
        <w:rPr>
          <w:rFonts w:hint="eastAsia"/>
        </w:rPr>
        <w:t>：</w:t>
      </w:r>
      <w:r>
        <w:t>MRI</w:t>
      </w:r>
      <w:r>
        <w:rPr>
          <w:rFonts w:hint="eastAsia"/>
        </w:rPr>
        <w:t>；</w:t>
      </w:r>
      <w:r>
        <w:t>C</w:t>
      </w:r>
      <w:r>
        <w:rPr>
          <w:rFonts w:hint="eastAsia"/>
        </w:rPr>
        <w:t>：</w:t>
      </w:r>
      <w:r>
        <w:t>CT</w:t>
      </w:r>
      <w:r>
        <w:rPr>
          <w:rFonts w:hint="eastAsia"/>
        </w:rPr>
        <w:t>；</w:t>
      </w:r>
      <w:r>
        <w:t>D</w:t>
      </w:r>
      <w:r>
        <w:rPr>
          <w:rFonts w:hint="eastAsia"/>
        </w:rPr>
        <w:t>：</w:t>
      </w:r>
      <w:r>
        <w:t>DSA</w:t>
      </w:r>
    </w:p>
    <w:p w:rsidR="003717A0" w:rsidRDefault="003717A0">
      <w:r>
        <w:t>14</w:t>
      </w:r>
      <w:r>
        <w:rPr>
          <w:rFonts w:hint="eastAsia"/>
        </w:rPr>
        <w:t>、蛛网膜下腔出血一般在（</w:t>
      </w:r>
      <w:r>
        <w:t xml:space="preserve">    </w:t>
      </w:r>
      <w:r>
        <w:rPr>
          <w:rFonts w:hint="eastAsia"/>
        </w:rPr>
        <w:t>）天左右吸收</w:t>
      </w:r>
      <w:r>
        <w:t xml:space="preserve">                           </w:t>
      </w:r>
      <w:r>
        <w:rPr>
          <w:rFonts w:hint="eastAsia"/>
        </w:rPr>
        <w:t>（</w:t>
      </w:r>
      <w:r>
        <w:t xml:space="preserve">    </w:t>
      </w:r>
      <w:r>
        <w:rPr>
          <w:rFonts w:hint="eastAsia"/>
        </w:rPr>
        <w:t>）</w:t>
      </w:r>
    </w:p>
    <w:p w:rsidR="003717A0" w:rsidRDefault="003717A0">
      <w:r>
        <w:t>A</w:t>
      </w:r>
      <w:r>
        <w:rPr>
          <w:rFonts w:hint="eastAsia"/>
        </w:rPr>
        <w:t>：</w:t>
      </w:r>
      <w:r>
        <w:t>4</w:t>
      </w:r>
      <w:r>
        <w:rPr>
          <w:rFonts w:hint="eastAsia"/>
        </w:rPr>
        <w:t>；</w:t>
      </w:r>
      <w:r>
        <w:t>B</w:t>
      </w:r>
      <w:r>
        <w:rPr>
          <w:rFonts w:hint="eastAsia"/>
        </w:rPr>
        <w:t>：</w:t>
      </w:r>
      <w:r>
        <w:t>5</w:t>
      </w:r>
      <w:r>
        <w:rPr>
          <w:rFonts w:hint="eastAsia"/>
        </w:rPr>
        <w:t>；</w:t>
      </w:r>
      <w:r>
        <w:t>C</w:t>
      </w:r>
      <w:r>
        <w:rPr>
          <w:rFonts w:hint="eastAsia"/>
        </w:rPr>
        <w:t>：</w:t>
      </w:r>
      <w:r>
        <w:t>6</w:t>
      </w:r>
      <w:r>
        <w:rPr>
          <w:rFonts w:hint="eastAsia"/>
        </w:rPr>
        <w:t>；</w:t>
      </w:r>
      <w:r>
        <w:t>D</w:t>
      </w:r>
      <w:r>
        <w:rPr>
          <w:rFonts w:hint="eastAsia"/>
        </w:rPr>
        <w:t>：</w:t>
      </w:r>
      <w:r>
        <w:t>7</w:t>
      </w:r>
    </w:p>
    <w:p w:rsidR="003717A0" w:rsidRDefault="003717A0">
      <w:r>
        <w:t>15</w:t>
      </w:r>
      <w:r>
        <w:rPr>
          <w:rFonts w:hint="eastAsia"/>
        </w:rPr>
        <w:t>、下列关于泌尿系结石的描述，哪项错误</w:t>
      </w:r>
      <w:r>
        <w:t xml:space="preserve">                               </w:t>
      </w:r>
      <w:r>
        <w:rPr>
          <w:rFonts w:hint="eastAsia"/>
        </w:rPr>
        <w:t>（</w:t>
      </w:r>
      <w:r>
        <w:t xml:space="preserve">    </w:t>
      </w:r>
      <w:r>
        <w:rPr>
          <w:rFonts w:hint="eastAsia"/>
        </w:rPr>
        <w:t>）</w:t>
      </w:r>
    </w:p>
    <w:p w:rsidR="003717A0" w:rsidRDefault="003717A0">
      <w:r>
        <w:t>A</w:t>
      </w:r>
      <w:r>
        <w:rPr>
          <w:rFonts w:hint="eastAsia"/>
        </w:rPr>
        <w:t>：肾结石绝大多数位于肾盂内，具有肾盂肾盏的形态特征；</w:t>
      </w:r>
      <w:r>
        <w:t>B</w:t>
      </w:r>
      <w:r>
        <w:rPr>
          <w:rFonts w:hint="eastAsia"/>
        </w:rPr>
        <w:t>：输尿管结石多为肾结石下移而来，约米粒至黄豆大小，其长轴与输尿管长轴垂直；</w:t>
      </w:r>
      <w:r>
        <w:t>C</w:t>
      </w:r>
      <w:r>
        <w:rPr>
          <w:rFonts w:hint="eastAsia"/>
        </w:rPr>
        <w:t>：膀胱结石多呈圆形、卵圆形，结石可随体位而改变；</w:t>
      </w:r>
      <w:r>
        <w:t>D</w:t>
      </w:r>
      <w:r>
        <w:rPr>
          <w:rFonts w:hint="eastAsia"/>
        </w:rPr>
        <w:t>：泌尿系统结石可发生于肾至尿道任何部位，主要原发于肾和膀胱。</w:t>
      </w:r>
    </w:p>
    <w:p w:rsidR="003717A0" w:rsidRDefault="003717A0">
      <w:r>
        <w:t>16.</w:t>
      </w:r>
      <w:r>
        <w:rPr>
          <w:rFonts w:hint="eastAsia"/>
        </w:rPr>
        <w:t>下述胃溃疡征象，哪一项提示为恶性</w:t>
      </w:r>
      <w:r>
        <w:t xml:space="preserve">                                    (    )</w:t>
      </w:r>
    </w:p>
    <w:p w:rsidR="003717A0" w:rsidRDefault="003717A0">
      <w:pPr>
        <w:numPr>
          <w:ilvl w:val="0"/>
          <w:numId w:val="36"/>
        </w:numPr>
        <w:tabs>
          <w:tab w:val="left" w:pos="360"/>
        </w:tabs>
        <w:ind w:left="360"/>
      </w:pPr>
      <w:r>
        <w:rPr>
          <w:rFonts w:cs="Times New Roman" w:hint="eastAsia"/>
        </w:rPr>
        <w:t>项圈征</w:t>
      </w:r>
      <w:r>
        <w:t xml:space="preserve"> </w:t>
      </w:r>
    </w:p>
    <w:p w:rsidR="003717A0" w:rsidRDefault="003717A0">
      <w:pPr>
        <w:numPr>
          <w:ilvl w:val="0"/>
          <w:numId w:val="36"/>
        </w:numPr>
        <w:tabs>
          <w:tab w:val="left" w:pos="360"/>
        </w:tabs>
        <w:ind w:left="360"/>
      </w:pPr>
      <w:r>
        <w:rPr>
          <w:rFonts w:cs="Times New Roman" w:hint="eastAsia"/>
        </w:rPr>
        <w:t>狭颈征</w:t>
      </w:r>
      <w:r>
        <w:t xml:space="preserve"> </w:t>
      </w:r>
    </w:p>
    <w:p w:rsidR="003717A0" w:rsidRDefault="003717A0">
      <w:pPr>
        <w:numPr>
          <w:ilvl w:val="0"/>
          <w:numId w:val="36"/>
        </w:numPr>
        <w:tabs>
          <w:tab w:val="left" w:pos="360"/>
        </w:tabs>
        <w:ind w:left="360"/>
      </w:pPr>
      <w:r>
        <w:rPr>
          <w:rFonts w:cs="Times New Roman" w:hint="eastAsia"/>
        </w:rPr>
        <w:t>粘膜纠集</w:t>
      </w:r>
    </w:p>
    <w:p w:rsidR="003717A0" w:rsidRDefault="003717A0">
      <w:pPr>
        <w:numPr>
          <w:ilvl w:val="0"/>
          <w:numId w:val="36"/>
        </w:numPr>
        <w:tabs>
          <w:tab w:val="left" w:pos="360"/>
        </w:tabs>
        <w:ind w:left="360"/>
      </w:pPr>
      <w:r>
        <w:rPr>
          <w:rFonts w:cs="Times New Roman" w:hint="eastAsia"/>
        </w:rPr>
        <w:t>腔外龛影</w:t>
      </w:r>
      <w:r>
        <w:t xml:space="preserve">  </w:t>
      </w:r>
    </w:p>
    <w:p w:rsidR="003717A0" w:rsidRDefault="003717A0">
      <w:pPr>
        <w:numPr>
          <w:ilvl w:val="0"/>
          <w:numId w:val="36"/>
        </w:numPr>
        <w:tabs>
          <w:tab w:val="left" w:pos="360"/>
        </w:tabs>
        <w:ind w:left="360"/>
      </w:pPr>
      <w:r>
        <w:rPr>
          <w:rFonts w:cs="Times New Roman" w:hint="eastAsia"/>
        </w:rPr>
        <w:t>局部胃襞僵硬</w:t>
      </w:r>
    </w:p>
    <w:p w:rsidR="003717A0" w:rsidRDefault="003717A0">
      <w:r>
        <w:t>17.</w:t>
      </w:r>
      <w:r>
        <w:rPr>
          <w:rFonts w:hint="eastAsia"/>
        </w:rPr>
        <w:t>十二指肠溃疡好发于</w:t>
      </w:r>
      <w:r>
        <w:t xml:space="preserve">                                                   (   )</w:t>
      </w:r>
    </w:p>
    <w:p w:rsidR="003717A0" w:rsidRDefault="003717A0">
      <w:pPr>
        <w:numPr>
          <w:ilvl w:val="0"/>
          <w:numId w:val="181"/>
        </w:numPr>
        <w:tabs>
          <w:tab w:val="left" w:pos="360"/>
        </w:tabs>
      </w:pPr>
      <w:r>
        <w:rPr>
          <w:rFonts w:hint="eastAsia"/>
        </w:rPr>
        <w:t>降部</w:t>
      </w:r>
      <w:r>
        <w:t xml:space="preserve"> </w:t>
      </w:r>
    </w:p>
    <w:p w:rsidR="003717A0" w:rsidRDefault="003717A0">
      <w:pPr>
        <w:numPr>
          <w:ilvl w:val="0"/>
          <w:numId w:val="181"/>
        </w:numPr>
        <w:tabs>
          <w:tab w:val="left" w:pos="360"/>
        </w:tabs>
      </w:pPr>
      <w:r>
        <w:rPr>
          <w:rFonts w:hint="eastAsia"/>
        </w:rPr>
        <w:t>球部</w:t>
      </w:r>
      <w:r>
        <w:t xml:space="preserve">  </w:t>
      </w:r>
    </w:p>
    <w:p w:rsidR="003717A0" w:rsidRDefault="003717A0">
      <w:pPr>
        <w:numPr>
          <w:ilvl w:val="0"/>
          <w:numId w:val="181"/>
        </w:numPr>
        <w:tabs>
          <w:tab w:val="left" w:pos="360"/>
        </w:tabs>
      </w:pPr>
      <w:r>
        <w:rPr>
          <w:rFonts w:hint="eastAsia"/>
        </w:rPr>
        <w:t>升部</w:t>
      </w:r>
      <w:r>
        <w:t xml:space="preserve">  </w:t>
      </w:r>
    </w:p>
    <w:p w:rsidR="003717A0" w:rsidRDefault="003717A0">
      <w:pPr>
        <w:numPr>
          <w:ilvl w:val="0"/>
          <w:numId w:val="181"/>
        </w:numPr>
        <w:tabs>
          <w:tab w:val="left" w:pos="360"/>
        </w:tabs>
      </w:pPr>
      <w:r>
        <w:rPr>
          <w:rFonts w:hint="eastAsia"/>
        </w:rPr>
        <w:t>球后部</w:t>
      </w:r>
      <w:r>
        <w:t xml:space="preserve"> </w:t>
      </w:r>
    </w:p>
    <w:p w:rsidR="003717A0" w:rsidRDefault="003717A0">
      <w:pPr>
        <w:numPr>
          <w:ilvl w:val="0"/>
          <w:numId w:val="181"/>
        </w:numPr>
        <w:tabs>
          <w:tab w:val="left" w:pos="360"/>
        </w:tabs>
      </w:pPr>
      <w:r>
        <w:rPr>
          <w:rFonts w:hint="eastAsia"/>
        </w:rPr>
        <w:t>横部</w:t>
      </w:r>
    </w:p>
    <w:p w:rsidR="003717A0" w:rsidRDefault="003717A0">
      <w:r>
        <w:t>18.</w:t>
      </w:r>
      <w:r>
        <w:rPr>
          <w:rFonts w:hint="eastAsia"/>
        </w:rPr>
        <w:t>消化道穿孔最常见的原因是</w:t>
      </w:r>
      <w:r>
        <w:t xml:space="preserve">                                             (   )</w:t>
      </w:r>
    </w:p>
    <w:p w:rsidR="003717A0" w:rsidRDefault="003717A0">
      <w:pPr>
        <w:numPr>
          <w:ilvl w:val="0"/>
          <w:numId w:val="29"/>
        </w:numPr>
        <w:tabs>
          <w:tab w:val="clear" w:pos="1425"/>
          <w:tab w:val="left" w:pos="360"/>
        </w:tabs>
        <w:ind w:left="360"/>
      </w:pPr>
      <w:r>
        <w:rPr>
          <w:rFonts w:hint="eastAsia"/>
        </w:rPr>
        <w:t>消化道肿瘤</w:t>
      </w:r>
      <w:r>
        <w:t xml:space="preserve">  </w:t>
      </w:r>
    </w:p>
    <w:p w:rsidR="003717A0" w:rsidRDefault="003717A0">
      <w:pPr>
        <w:numPr>
          <w:ilvl w:val="0"/>
          <w:numId w:val="29"/>
        </w:numPr>
        <w:tabs>
          <w:tab w:val="clear" w:pos="1425"/>
          <w:tab w:val="left" w:pos="360"/>
        </w:tabs>
        <w:ind w:left="360"/>
      </w:pPr>
      <w:r>
        <w:rPr>
          <w:rFonts w:hint="eastAsia"/>
        </w:rPr>
        <w:t>消化道溃疡</w:t>
      </w:r>
      <w:r>
        <w:t xml:space="preserve">  </w:t>
      </w:r>
    </w:p>
    <w:p w:rsidR="003717A0" w:rsidRDefault="003717A0">
      <w:pPr>
        <w:numPr>
          <w:ilvl w:val="0"/>
          <w:numId w:val="29"/>
        </w:numPr>
        <w:tabs>
          <w:tab w:val="clear" w:pos="1425"/>
          <w:tab w:val="left" w:pos="360"/>
        </w:tabs>
        <w:ind w:left="360"/>
      </w:pPr>
      <w:r>
        <w:rPr>
          <w:rFonts w:hint="eastAsia"/>
        </w:rPr>
        <w:t>消化道结核</w:t>
      </w:r>
      <w:r>
        <w:t xml:space="preserve">  </w:t>
      </w:r>
    </w:p>
    <w:p w:rsidR="003717A0" w:rsidRDefault="003717A0">
      <w:pPr>
        <w:numPr>
          <w:ilvl w:val="0"/>
          <w:numId w:val="29"/>
        </w:numPr>
        <w:tabs>
          <w:tab w:val="clear" w:pos="1425"/>
          <w:tab w:val="left" w:pos="360"/>
        </w:tabs>
        <w:ind w:left="360"/>
      </w:pPr>
      <w:r>
        <w:rPr>
          <w:rFonts w:hint="eastAsia"/>
        </w:rPr>
        <w:t>消化道憩室</w:t>
      </w:r>
    </w:p>
    <w:p w:rsidR="003717A0" w:rsidRDefault="003717A0">
      <w:r>
        <w:t>19.</w:t>
      </w:r>
      <w:r>
        <w:rPr>
          <w:rFonts w:hint="eastAsia"/>
        </w:rPr>
        <w:t>下述哪种肠梗阻属于动力性肠梗阻</w:t>
      </w:r>
      <w:r>
        <w:t xml:space="preserve">                                 (   )</w:t>
      </w:r>
    </w:p>
    <w:p w:rsidR="003717A0" w:rsidRDefault="003717A0">
      <w:pPr>
        <w:numPr>
          <w:ilvl w:val="0"/>
          <w:numId w:val="20"/>
        </w:numPr>
      </w:pPr>
      <w:r>
        <w:rPr>
          <w:rFonts w:hint="eastAsia"/>
        </w:rPr>
        <w:t>单纯性肠梗阻</w:t>
      </w:r>
      <w:r>
        <w:t xml:space="preserve">  </w:t>
      </w:r>
    </w:p>
    <w:p w:rsidR="003717A0" w:rsidRDefault="003717A0">
      <w:pPr>
        <w:numPr>
          <w:ilvl w:val="0"/>
          <w:numId w:val="20"/>
        </w:numPr>
      </w:pPr>
      <w:r>
        <w:rPr>
          <w:rFonts w:hint="eastAsia"/>
        </w:rPr>
        <w:t>绞榨性肠梗阻</w:t>
      </w:r>
      <w:r>
        <w:t xml:space="preserve">  </w:t>
      </w:r>
    </w:p>
    <w:p w:rsidR="003717A0" w:rsidRDefault="003717A0">
      <w:pPr>
        <w:numPr>
          <w:ilvl w:val="0"/>
          <w:numId w:val="20"/>
        </w:numPr>
      </w:pPr>
      <w:r>
        <w:rPr>
          <w:rFonts w:hint="eastAsia"/>
        </w:rPr>
        <w:t>麻痹性肠梗阻</w:t>
      </w:r>
      <w:r>
        <w:t xml:space="preserve">  </w:t>
      </w:r>
    </w:p>
    <w:p w:rsidR="003717A0" w:rsidRDefault="003717A0">
      <w:pPr>
        <w:numPr>
          <w:ilvl w:val="0"/>
          <w:numId w:val="20"/>
        </w:numPr>
      </w:pPr>
      <w:r>
        <w:rPr>
          <w:rFonts w:hint="eastAsia"/>
        </w:rPr>
        <w:t>血运性肠梗阻</w:t>
      </w:r>
    </w:p>
    <w:p w:rsidR="003717A0" w:rsidRDefault="003717A0">
      <w:pPr>
        <w:numPr>
          <w:ilvl w:val="0"/>
          <w:numId w:val="182"/>
        </w:numPr>
        <w:ind w:left="360" w:hanging="360"/>
      </w:pPr>
      <w:r>
        <w:rPr>
          <w:rFonts w:cs="Times New Roman" w:hint="eastAsia"/>
        </w:rPr>
        <w:t>下列哪种先天性心脏病属于紫绀型先天性心脏病　　　　　　　　　　　　　（　　）</w:t>
      </w:r>
    </w:p>
    <w:p w:rsidR="003717A0" w:rsidRDefault="003717A0">
      <w:pPr>
        <w:numPr>
          <w:ilvl w:val="0"/>
          <w:numId w:val="183"/>
        </w:numPr>
        <w:ind w:left="360" w:hanging="360"/>
      </w:pPr>
      <w:r>
        <w:rPr>
          <w:rFonts w:cs="Times New Roman" w:hint="eastAsia"/>
        </w:rPr>
        <w:t>房间隔缺损</w:t>
      </w:r>
    </w:p>
    <w:p w:rsidR="003717A0" w:rsidRDefault="003717A0">
      <w:pPr>
        <w:numPr>
          <w:ilvl w:val="0"/>
          <w:numId w:val="183"/>
        </w:numPr>
        <w:ind w:left="360" w:hanging="360"/>
      </w:pPr>
      <w:r>
        <w:rPr>
          <w:rFonts w:cs="Times New Roman" w:hint="eastAsia"/>
        </w:rPr>
        <w:t>室间隔缺损</w:t>
      </w:r>
    </w:p>
    <w:p w:rsidR="003717A0" w:rsidRDefault="003717A0">
      <w:pPr>
        <w:numPr>
          <w:ilvl w:val="0"/>
          <w:numId w:val="183"/>
        </w:numPr>
        <w:ind w:left="360" w:hanging="360"/>
      </w:pPr>
      <w:r>
        <w:rPr>
          <w:rFonts w:cs="Times New Roman" w:hint="eastAsia"/>
        </w:rPr>
        <w:t>动脉导管未闭</w:t>
      </w:r>
    </w:p>
    <w:p w:rsidR="003717A0" w:rsidRDefault="003717A0">
      <w:pPr>
        <w:numPr>
          <w:ilvl w:val="0"/>
          <w:numId w:val="183"/>
        </w:numPr>
        <w:ind w:left="360" w:hanging="360"/>
      </w:pPr>
      <w:r>
        <w:rPr>
          <w:rFonts w:cs="Times New Roman" w:hint="eastAsia"/>
        </w:rPr>
        <w:t>法洛氏四联症</w:t>
      </w:r>
    </w:p>
    <w:p w:rsidR="003717A0" w:rsidRDefault="003717A0"/>
    <w:p w:rsidR="003717A0" w:rsidRDefault="003717A0">
      <w:pPr>
        <w:ind w:firstLineChars="200" w:firstLine="420"/>
      </w:pPr>
    </w:p>
    <w:p w:rsidR="003717A0" w:rsidRDefault="003717A0">
      <w:r>
        <w:rPr>
          <w:rFonts w:hint="eastAsia"/>
        </w:rPr>
        <w:t>四、问答题（每题</w:t>
      </w:r>
      <w:r>
        <w:t>6</w:t>
      </w:r>
      <w:r>
        <w:rPr>
          <w:rFonts w:hint="eastAsia"/>
        </w:rPr>
        <w:t>分，共</w:t>
      </w:r>
      <w:r>
        <w:t>30</w:t>
      </w:r>
      <w:r>
        <w:rPr>
          <w:rFonts w:hint="eastAsia"/>
        </w:rPr>
        <w:t>分）</w:t>
      </w:r>
    </w:p>
    <w:p w:rsidR="003717A0" w:rsidRDefault="003717A0">
      <w:pPr>
        <w:numPr>
          <w:ilvl w:val="0"/>
          <w:numId w:val="184"/>
        </w:numPr>
      </w:pPr>
      <w:r>
        <w:rPr>
          <w:rFonts w:hint="eastAsia"/>
        </w:rPr>
        <w:t>胸部影像上，周围型肺癌有哪些恶性征象及其形成机理</w:t>
      </w:r>
    </w:p>
    <w:p w:rsidR="003717A0" w:rsidRDefault="003717A0">
      <w:r>
        <w:t>2</w:t>
      </w:r>
      <w:r>
        <w:rPr>
          <w:rFonts w:hint="eastAsia"/>
        </w:rPr>
        <w:t>、大叶性肺炎的病理变化与ｘ线表现有哪些</w:t>
      </w:r>
    </w:p>
    <w:p w:rsidR="003717A0" w:rsidRDefault="003717A0">
      <w:r>
        <w:t>3</w:t>
      </w:r>
      <w:r>
        <w:rPr>
          <w:rFonts w:hint="eastAsia"/>
        </w:rPr>
        <w:t>、良恶性骨巨细胞瘤的</w:t>
      </w:r>
      <w:r>
        <w:t>X</w:t>
      </w:r>
      <w:r>
        <w:rPr>
          <w:rFonts w:hint="eastAsia"/>
        </w:rPr>
        <w:t>线表现？</w:t>
      </w:r>
    </w:p>
    <w:p w:rsidR="003717A0" w:rsidRDefault="003717A0">
      <w:r>
        <w:t>4</w:t>
      </w:r>
      <w:r>
        <w:rPr>
          <w:rFonts w:hint="eastAsia"/>
        </w:rPr>
        <w:t>、肾盂癌的影像学表现有哪些</w:t>
      </w:r>
    </w:p>
    <w:p w:rsidR="003717A0" w:rsidRDefault="003717A0">
      <w:pPr>
        <w:rPr>
          <w:rFonts w:ascii="宋体"/>
          <w:sz w:val="24"/>
          <w:shd w:val="clear" w:color="auto" w:fill="6CBEEE"/>
        </w:rPr>
      </w:pPr>
      <w:r>
        <w:t>5</w:t>
      </w:r>
      <w:r>
        <w:rPr>
          <w:rFonts w:hint="eastAsia"/>
        </w:rPr>
        <w:t>、先天性心脏病法洛氏四联症的Ｘ线表现</w:t>
      </w:r>
      <w:r>
        <w:t>?</w:t>
      </w:r>
      <w:r>
        <w:rPr>
          <w:rFonts w:hint="eastAsia"/>
          <w:b/>
          <w:bCs/>
        </w:rPr>
        <w:t>错误！超链接引用无效。错误！超链接引用无效。</w:t>
      </w:r>
    </w:p>
    <w:p w:rsidR="003717A0" w:rsidRDefault="003717A0">
      <w:pPr>
        <w:spacing w:line="300" w:lineRule="auto"/>
        <w:rPr>
          <w:szCs w:val="21"/>
        </w:rPr>
      </w:pPr>
    </w:p>
    <w:p w:rsidR="003717A0" w:rsidRDefault="003717A0" w:rsidP="00F5156D">
      <w:pPr>
        <w:widowControl/>
        <w:jc w:val="center"/>
        <w:rPr>
          <w:rFonts w:ascii="Times New Roman" w:eastAsia="黑体" w:hAnsi="Times New Roman"/>
          <w:kern w:val="0"/>
          <w:sz w:val="34"/>
          <w:szCs w:val="34"/>
        </w:rPr>
      </w:pPr>
      <w:r>
        <w:rPr>
          <w:rFonts w:ascii="Times New Roman" w:hAnsi="Times New Roman"/>
          <w:b/>
          <w:kern w:val="0"/>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教师应关心现代影像影像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18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18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185"/>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18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18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18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186"/>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sz w:val="22"/>
              </w:rPr>
            </w:pPr>
            <w:r>
              <w:rPr>
                <w:rFonts w:hint="eastAsia"/>
                <w:sz w:val="22"/>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18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18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同时还鼓励学生利用业余时间到教研室参加读片活动。</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62" w:name="_Toc469312993"/>
      <w:bookmarkStart w:id="63" w:name="_Toc471830705"/>
      <w:r w:rsidRPr="00F5156D">
        <w:rPr>
          <w:rFonts w:hint="eastAsia"/>
          <w:b/>
        </w:rPr>
        <w:lastRenderedPageBreak/>
        <w:t>《组织学与胚胎学》课程质量标准</w:t>
      </w:r>
      <w:bookmarkEnd w:id="62"/>
      <w:bookmarkEnd w:id="63"/>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组织学与胚胎学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Histology and Embryology</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160047</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一</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组织学与胚胎学</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组织学与胚胎学</w:t>
            </w:r>
          </w:p>
        </w:tc>
      </w:tr>
      <w:tr w:rsidR="003717A0" w:rsidTr="00F5156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科学出版社，</w:t>
            </w:r>
            <w:r>
              <w:rPr>
                <w:sz w:val="22"/>
              </w:rPr>
              <w:t>2013</w:t>
            </w:r>
            <w:r>
              <w:rPr>
                <w:rFonts w:hint="eastAsia"/>
                <w:sz w:val="22"/>
              </w:rPr>
              <w:t>年</w:t>
            </w:r>
            <w:r>
              <w:rPr>
                <w:sz w:val="22"/>
              </w:rPr>
              <w:t>5</w:t>
            </w:r>
            <w:r>
              <w:rPr>
                <w:rFonts w:hint="eastAsia"/>
                <w:sz w:val="22"/>
              </w:rPr>
              <w:t>月第</w:t>
            </w:r>
            <w:r>
              <w:rPr>
                <w:sz w:val="22"/>
              </w:rPr>
              <w:t>2</w:t>
            </w:r>
            <w:r>
              <w:rPr>
                <w:rFonts w:hint="eastAsia"/>
                <w:sz w:val="22"/>
              </w:rPr>
              <w:t>版，书号：</w:t>
            </w:r>
            <w:r>
              <w:rPr>
                <w:sz w:val="22"/>
              </w:rPr>
              <w:t>ISBN 978-7-03-037427-1</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30%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70%</w:t>
            </w: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pPr>
              <w:adjustRightInd w:val="0"/>
              <w:snapToGrid w:val="0"/>
              <w:spacing w:line="360" w:lineRule="auto"/>
              <w:jc w:val="center"/>
              <w:rPr>
                <w:sz w:val="22"/>
              </w:rPr>
            </w:pPr>
            <w:r>
              <w:rPr>
                <w:rFonts w:hint="eastAsia"/>
                <w:sz w:val="22"/>
              </w:rPr>
              <w:t>姓名</w:t>
            </w:r>
          </w:p>
        </w:tc>
        <w:tc>
          <w:tcPr>
            <w:tcW w:w="1523" w:type="dxa"/>
          </w:tcPr>
          <w:p w:rsidR="003717A0" w:rsidRDefault="003717A0">
            <w:pPr>
              <w:adjustRightInd w:val="0"/>
              <w:snapToGrid w:val="0"/>
              <w:spacing w:line="360" w:lineRule="auto"/>
              <w:jc w:val="center"/>
              <w:rPr>
                <w:sz w:val="22"/>
              </w:rPr>
            </w:pPr>
            <w:r>
              <w:rPr>
                <w:rFonts w:hint="eastAsia"/>
                <w:sz w:val="22"/>
              </w:rPr>
              <w:t>性别</w:t>
            </w:r>
          </w:p>
        </w:tc>
        <w:tc>
          <w:tcPr>
            <w:tcW w:w="1524" w:type="dxa"/>
            <w:gridSpan w:val="2"/>
          </w:tcPr>
          <w:p w:rsidR="003717A0" w:rsidRDefault="003717A0">
            <w:pPr>
              <w:adjustRightInd w:val="0"/>
              <w:snapToGrid w:val="0"/>
              <w:spacing w:line="360" w:lineRule="auto"/>
              <w:jc w:val="center"/>
              <w:rPr>
                <w:sz w:val="22"/>
              </w:rPr>
            </w:pPr>
            <w:r>
              <w:rPr>
                <w:rFonts w:hint="eastAsia"/>
                <w:sz w:val="22"/>
              </w:rPr>
              <w:t>学历</w:t>
            </w:r>
          </w:p>
        </w:tc>
        <w:tc>
          <w:tcPr>
            <w:tcW w:w="1523" w:type="dxa"/>
            <w:gridSpan w:val="3"/>
          </w:tcPr>
          <w:p w:rsidR="003717A0" w:rsidRDefault="003717A0">
            <w:pPr>
              <w:adjustRightInd w:val="0"/>
              <w:snapToGrid w:val="0"/>
              <w:spacing w:line="360" w:lineRule="auto"/>
              <w:jc w:val="center"/>
              <w:rPr>
                <w:sz w:val="22"/>
              </w:rPr>
            </w:pPr>
            <w:r>
              <w:rPr>
                <w:rFonts w:hint="eastAsia"/>
                <w:sz w:val="22"/>
              </w:rPr>
              <w:t>学位</w:t>
            </w:r>
          </w:p>
        </w:tc>
        <w:tc>
          <w:tcPr>
            <w:tcW w:w="1524" w:type="dxa"/>
            <w:gridSpan w:val="2"/>
          </w:tcPr>
          <w:p w:rsidR="003717A0" w:rsidRDefault="003717A0">
            <w:pPr>
              <w:adjustRightInd w:val="0"/>
              <w:snapToGrid w:val="0"/>
              <w:spacing w:line="360" w:lineRule="auto"/>
              <w:jc w:val="center"/>
              <w:rPr>
                <w:sz w:val="22"/>
              </w:rPr>
            </w:pPr>
            <w:r>
              <w:rPr>
                <w:rFonts w:hint="eastAsia"/>
                <w:sz w:val="22"/>
              </w:rPr>
              <w:t>职称</w:t>
            </w:r>
          </w:p>
        </w:tc>
        <w:tc>
          <w:tcPr>
            <w:tcW w:w="1524" w:type="dxa"/>
          </w:tcPr>
          <w:p w:rsidR="003717A0" w:rsidRDefault="003717A0">
            <w:pPr>
              <w:adjustRightInd w:val="0"/>
              <w:snapToGrid w:val="0"/>
              <w:spacing w:line="360" w:lineRule="auto"/>
              <w:jc w:val="center"/>
              <w:rPr>
                <w:sz w:val="22"/>
              </w:rPr>
            </w:pPr>
            <w:r>
              <w:rPr>
                <w:rFonts w:hint="eastAsia"/>
                <w:sz w:val="22"/>
              </w:rPr>
              <w:t>从教时间</w:t>
            </w:r>
          </w:p>
        </w:tc>
      </w:tr>
      <w:tr w:rsidR="003717A0" w:rsidTr="00F5156D">
        <w:trPr>
          <w:jc w:val="center"/>
        </w:trPr>
        <w:tc>
          <w:tcPr>
            <w:tcW w:w="1668" w:type="dxa"/>
          </w:tcPr>
          <w:p w:rsidR="003717A0" w:rsidRDefault="003717A0">
            <w:pPr>
              <w:adjustRightInd w:val="0"/>
              <w:snapToGrid w:val="0"/>
              <w:spacing w:line="360" w:lineRule="auto"/>
              <w:jc w:val="center"/>
              <w:rPr>
                <w:sz w:val="22"/>
              </w:rPr>
            </w:pPr>
            <w:r>
              <w:rPr>
                <w:rFonts w:hint="eastAsia"/>
                <w:sz w:val="22"/>
              </w:rPr>
              <w:t>李</w:t>
            </w:r>
            <w:r>
              <w:rPr>
                <w:sz w:val="22"/>
              </w:rPr>
              <w:t xml:space="preserve">  </w:t>
            </w:r>
            <w:r>
              <w:rPr>
                <w:rFonts w:hint="eastAsia"/>
                <w:sz w:val="22"/>
              </w:rPr>
              <w:t>奕</w:t>
            </w:r>
          </w:p>
        </w:tc>
        <w:tc>
          <w:tcPr>
            <w:tcW w:w="1523" w:type="dxa"/>
          </w:tcPr>
          <w:p w:rsidR="003717A0" w:rsidRDefault="003717A0">
            <w:pPr>
              <w:adjustRightInd w:val="0"/>
              <w:snapToGrid w:val="0"/>
              <w:spacing w:line="360" w:lineRule="auto"/>
              <w:jc w:val="center"/>
              <w:rPr>
                <w:sz w:val="22"/>
              </w:rPr>
            </w:pPr>
            <w:r>
              <w:rPr>
                <w:rFonts w:hint="eastAsia"/>
                <w:sz w:val="22"/>
              </w:rPr>
              <w:t>女</w:t>
            </w:r>
          </w:p>
        </w:tc>
        <w:tc>
          <w:tcPr>
            <w:tcW w:w="1524" w:type="dxa"/>
            <w:gridSpan w:val="2"/>
          </w:tcPr>
          <w:p w:rsidR="003717A0" w:rsidRDefault="003717A0">
            <w:pPr>
              <w:adjustRightInd w:val="0"/>
              <w:snapToGrid w:val="0"/>
              <w:spacing w:line="360" w:lineRule="auto"/>
              <w:jc w:val="center"/>
              <w:rPr>
                <w:sz w:val="22"/>
              </w:rPr>
            </w:pPr>
            <w:r>
              <w:rPr>
                <w:rFonts w:hint="eastAsia"/>
                <w:sz w:val="22"/>
              </w:rPr>
              <w:t>研究生</w:t>
            </w:r>
          </w:p>
        </w:tc>
        <w:tc>
          <w:tcPr>
            <w:tcW w:w="1523" w:type="dxa"/>
            <w:gridSpan w:val="3"/>
          </w:tcPr>
          <w:p w:rsidR="003717A0" w:rsidRDefault="003717A0">
            <w:pPr>
              <w:adjustRightInd w:val="0"/>
              <w:snapToGrid w:val="0"/>
              <w:spacing w:line="360" w:lineRule="auto"/>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360" w:lineRule="auto"/>
              <w:jc w:val="center"/>
              <w:rPr>
                <w:sz w:val="22"/>
              </w:rPr>
            </w:pPr>
            <w:r>
              <w:rPr>
                <w:rFonts w:hint="eastAsia"/>
                <w:sz w:val="22"/>
              </w:rPr>
              <w:t>副教授</w:t>
            </w:r>
          </w:p>
        </w:tc>
        <w:tc>
          <w:tcPr>
            <w:tcW w:w="1524" w:type="dxa"/>
          </w:tcPr>
          <w:p w:rsidR="003717A0" w:rsidRDefault="003717A0">
            <w:pPr>
              <w:adjustRightInd w:val="0"/>
              <w:snapToGrid w:val="0"/>
              <w:spacing w:line="360" w:lineRule="auto"/>
              <w:jc w:val="center"/>
              <w:rPr>
                <w:sz w:val="22"/>
              </w:rPr>
            </w:pPr>
            <w:r>
              <w:rPr>
                <w:sz w:val="22"/>
              </w:rPr>
              <w:t>2001.8</w:t>
            </w:r>
          </w:p>
        </w:tc>
      </w:tr>
      <w:tr w:rsidR="003717A0" w:rsidTr="00F5156D">
        <w:trPr>
          <w:jc w:val="center"/>
        </w:trPr>
        <w:tc>
          <w:tcPr>
            <w:tcW w:w="1668" w:type="dxa"/>
          </w:tcPr>
          <w:p w:rsidR="003717A0" w:rsidRDefault="003717A0">
            <w:pPr>
              <w:adjustRightInd w:val="0"/>
              <w:snapToGrid w:val="0"/>
              <w:spacing w:line="360" w:lineRule="auto"/>
              <w:jc w:val="center"/>
              <w:rPr>
                <w:sz w:val="22"/>
              </w:rPr>
            </w:pPr>
            <w:r>
              <w:rPr>
                <w:rFonts w:hint="eastAsia"/>
                <w:sz w:val="22"/>
              </w:rPr>
              <w:t>徐邦生</w:t>
            </w:r>
          </w:p>
        </w:tc>
        <w:tc>
          <w:tcPr>
            <w:tcW w:w="1523" w:type="dxa"/>
          </w:tcPr>
          <w:p w:rsidR="003717A0" w:rsidRDefault="003717A0">
            <w:pPr>
              <w:adjustRightInd w:val="0"/>
              <w:snapToGrid w:val="0"/>
              <w:spacing w:line="360" w:lineRule="auto"/>
              <w:jc w:val="center"/>
              <w:rPr>
                <w:sz w:val="22"/>
              </w:rPr>
            </w:pPr>
            <w:r>
              <w:rPr>
                <w:rFonts w:hint="eastAsia"/>
                <w:sz w:val="22"/>
              </w:rPr>
              <w:t>女</w:t>
            </w:r>
          </w:p>
        </w:tc>
        <w:tc>
          <w:tcPr>
            <w:tcW w:w="1524" w:type="dxa"/>
            <w:gridSpan w:val="2"/>
          </w:tcPr>
          <w:p w:rsidR="003717A0" w:rsidRDefault="003717A0">
            <w:pPr>
              <w:adjustRightInd w:val="0"/>
              <w:snapToGrid w:val="0"/>
              <w:spacing w:line="360" w:lineRule="auto"/>
              <w:jc w:val="center"/>
              <w:rPr>
                <w:sz w:val="22"/>
              </w:rPr>
            </w:pPr>
            <w:r>
              <w:rPr>
                <w:rFonts w:hint="eastAsia"/>
                <w:sz w:val="22"/>
              </w:rPr>
              <w:t>本科生</w:t>
            </w:r>
          </w:p>
        </w:tc>
        <w:tc>
          <w:tcPr>
            <w:tcW w:w="1523" w:type="dxa"/>
            <w:gridSpan w:val="3"/>
          </w:tcPr>
          <w:p w:rsidR="003717A0" w:rsidRDefault="003717A0">
            <w:pPr>
              <w:adjustRightInd w:val="0"/>
              <w:snapToGrid w:val="0"/>
              <w:spacing w:line="360" w:lineRule="auto"/>
              <w:jc w:val="center"/>
              <w:rPr>
                <w:sz w:val="22"/>
              </w:rPr>
            </w:pPr>
            <w:r>
              <w:rPr>
                <w:rFonts w:hint="eastAsia"/>
                <w:sz w:val="22"/>
              </w:rPr>
              <w:t>学</w:t>
            </w:r>
            <w:r>
              <w:rPr>
                <w:sz w:val="22"/>
              </w:rPr>
              <w:t xml:space="preserve"> </w:t>
            </w:r>
            <w:r>
              <w:rPr>
                <w:rFonts w:hint="eastAsia"/>
                <w:sz w:val="22"/>
              </w:rPr>
              <w:t>士</w:t>
            </w:r>
          </w:p>
        </w:tc>
        <w:tc>
          <w:tcPr>
            <w:tcW w:w="1524" w:type="dxa"/>
            <w:gridSpan w:val="2"/>
          </w:tcPr>
          <w:p w:rsidR="003717A0" w:rsidRDefault="003717A0">
            <w:pPr>
              <w:adjustRightInd w:val="0"/>
              <w:snapToGrid w:val="0"/>
              <w:spacing w:line="360" w:lineRule="auto"/>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360" w:lineRule="auto"/>
              <w:jc w:val="center"/>
              <w:rPr>
                <w:sz w:val="22"/>
              </w:rPr>
            </w:pPr>
            <w:r>
              <w:rPr>
                <w:sz w:val="22"/>
              </w:rPr>
              <w:t>1976.8</w:t>
            </w:r>
          </w:p>
        </w:tc>
      </w:tr>
      <w:tr w:rsidR="003717A0" w:rsidTr="00F5156D">
        <w:trPr>
          <w:jc w:val="center"/>
        </w:trPr>
        <w:tc>
          <w:tcPr>
            <w:tcW w:w="1668" w:type="dxa"/>
            <w:vAlign w:val="bottom"/>
          </w:tcPr>
          <w:p w:rsidR="003717A0" w:rsidRDefault="003717A0">
            <w:pPr>
              <w:adjustRightInd w:val="0"/>
              <w:snapToGrid w:val="0"/>
              <w:spacing w:line="360" w:lineRule="auto"/>
              <w:jc w:val="center"/>
              <w:rPr>
                <w:sz w:val="22"/>
              </w:rPr>
            </w:pPr>
            <w:r>
              <w:rPr>
                <w:rFonts w:hint="eastAsia"/>
                <w:sz w:val="22"/>
              </w:rPr>
              <w:t>陈</w:t>
            </w:r>
            <w:r>
              <w:rPr>
                <w:sz w:val="22"/>
              </w:rPr>
              <w:t xml:space="preserve">  </w:t>
            </w:r>
            <w:r>
              <w:rPr>
                <w:rFonts w:hint="eastAsia"/>
                <w:sz w:val="22"/>
              </w:rPr>
              <w:t>颖</w:t>
            </w:r>
          </w:p>
        </w:tc>
        <w:tc>
          <w:tcPr>
            <w:tcW w:w="1523" w:type="dxa"/>
            <w:vAlign w:val="bottom"/>
          </w:tcPr>
          <w:p w:rsidR="003717A0" w:rsidRDefault="003717A0">
            <w:pPr>
              <w:adjustRightInd w:val="0"/>
              <w:snapToGrid w:val="0"/>
              <w:spacing w:line="360" w:lineRule="auto"/>
              <w:jc w:val="center"/>
              <w:rPr>
                <w:sz w:val="22"/>
              </w:rPr>
            </w:pPr>
            <w:r>
              <w:rPr>
                <w:rFonts w:hint="eastAsia"/>
                <w:sz w:val="22"/>
              </w:rPr>
              <w:t>女</w:t>
            </w:r>
          </w:p>
        </w:tc>
        <w:tc>
          <w:tcPr>
            <w:tcW w:w="1524" w:type="dxa"/>
            <w:gridSpan w:val="2"/>
            <w:vAlign w:val="bottom"/>
          </w:tcPr>
          <w:p w:rsidR="003717A0" w:rsidRDefault="003717A0">
            <w:pPr>
              <w:adjustRightInd w:val="0"/>
              <w:snapToGrid w:val="0"/>
              <w:spacing w:line="360" w:lineRule="auto"/>
              <w:jc w:val="center"/>
              <w:rPr>
                <w:sz w:val="22"/>
              </w:rPr>
            </w:pPr>
            <w:r>
              <w:rPr>
                <w:rFonts w:hint="eastAsia"/>
                <w:sz w:val="22"/>
              </w:rPr>
              <w:t>研究生</w:t>
            </w:r>
          </w:p>
        </w:tc>
        <w:tc>
          <w:tcPr>
            <w:tcW w:w="1523" w:type="dxa"/>
            <w:gridSpan w:val="3"/>
            <w:vAlign w:val="bottom"/>
          </w:tcPr>
          <w:p w:rsidR="003717A0" w:rsidRDefault="003717A0">
            <w:pPr>
              <w:adjustRightInd w:val="0"/>
              <w:snapToGrid w:val="0"/>
              <w:spacing w:line="360" w:lineRule="auto"/>
              <w:jc w:val="center"/>
              <w:rPr>
                <w:sz w:val="22"/>
              </w:rPr>
            </w:pPr>
            <w:r>
              <w:rPr>
                <w:rFonts w:hint="eastAsia"/>
                <w:sz w:val="22"/>
              </w:rPr>
              <w:t>硕</w:t>
            </w:r>
            <w:r>
              <w:rPr>
                <w:sz w:val="22"/>
              </w:rPr>
              <w:t xml:space="preserve"> </w:t>
            </w:r>
            <w:r>
              <w:rPr>
                <w:rFonts w:hint="eastAsia"/>
                <w:sz w:val="22"/>
              </w:rPr>
              <w:t>士</w:t>
            </w:r>
          </w:p>
        </w:tc>
        <w:tc>
          <w:tcPr>
            <w:tcW w:w="1524" w:type="dxa"/>
            <w:gridSpan w:val="2"/>
            <w:vAlign w:val="bottom"/>
          </w:tcPr>
          <w:p w:rsidR="003717A0" w:rsidRDefault="003717A0">
            <w:pPr>
              <w:adjustRightInd w:val="0"/>
              <w:snapToGrid w:val="0"/>
              <w:spacing w:line="360" w:lineRule="auto"/>
              <w:jc w:val="center"/>
              <w:rPr>
                <w:sz w:val="22"/>
              </w:rPr>
            </w:pPr>
            <w:r>
              <w:rPr>
                <w:rFonts w:hint="eastAsia"/>
                <w:sz w:val="22"/>
              </w:rPr>
              <w:t>讲</w:t>
            </w:r>
            <w:r>
              <w:rPr>
                <w:sz w:val="22"/>
              </w:rPr>
              <w:t xml:space="preserve">  </w:t>
            </w:r>
            <w:r>
              <w:rPr>
                <w:rFonts w:hint="eastAsia"/>
                <w:sz w:val="22"/>
              </w:rPr>
              <w:t>师</w:t>
            </w:r>
          </w:p>
        </w:tc>
        <w:tc>
          <w:tcPr>
            <w:tcW w:w="1524" w:type="dxa"/>
            <w:vAlign w:val="bottom"/>
          </w:tcPr>
          <w:p w:rsidR="003717A0" w:rsidRDefault="003717A0">
            <w:pPr>
              <w:adjustRightInd w:val="0"/>
              <w:snapToGrid w:val="0"/>
              <w:spacing w:line="360" w:lineRule="auto"/>
              <w:jc w:val="center"/>
              <w:rPr>
                <w:sz w:val="22"/>
              </w:rPr>
            </w:pPr>
            <w:r>
              <w:rPr>
                <w:sz w:val="22"/>
              </w:rPr>
              <w:t>2009.8</w:t>
            </w:r>
          </w:p>
        </w:tc>
      </w:tr>
      <w:tr w:rsidR="003717A0" w:rsidTr="00F5156D">
        <w:trPr>
          <w:jc w:val="center"/>
        </w:trPr>
        <w:tc>
          <w:tcPr>
            <w:tcW w:w="1668" w:type="dxa"/>
          </w:tcPr>
          <w:p w:rsidR="003717A0" w:rsidRDefault="003717A0">
            <w:pPr>
              <w:adjustRightInd w:val="0"/>
              <w:snapToGrid w:val="0"/>
              <w:spacing w:line="360" w:lineRule="auto"/>
              <w:jc w:val="center"/>
              <w:rPr>
                <w:sz w:val="22"/>
              </w:rPr>
            </w:pPr>
            <w:r>
              <w:rPr>
                <w:rFonts w:hint="eastAsia"/>
                <w:sz w:val="22"/>
              </w:rPr>
              <w:t>潘静莹</w:t>
            </w:r>
          </w:p>
        </w:tc>
        <w:tc>
          <w:tcPr>
            <w:tcW w:w="1523" w:type="dxa"/>
          </w:tcPr>
          <w:p w:rsidR="003717A0" w:rsidRDefault="003717A0">
            <w:pPr>
              <w:adjustRightInd w:val="0"/>
              <w:snapToGrid w:val="0"/>
              <w:spacing w:line="360" w:lineRule="auto"/>
              <w:jc w:val="center"/>
              <w:rPr>
                <w:sz w:val="22"/>
              </w:rPr>
            </w:pPr>
            <w:r>
              <w:rPr>
                <w:rFonts w:hint="eastAsia"/>
                <w:sz w:val="22"/>
              </w:rPr>
              <w:t>女</w:t>
            </w:r>
          </w:p>
        </w:tc>
        <w:tc>
          <w:tcPr>
            <w:tcW w:w="1524" w:type="dxa"/>
            <w:gridSpan w:val="2"/>
          </w:tcPr>
          <w:p w:rsidR="003717A0" w:rsidRDefault="003717A0">
            <w:pPr>
              <w:adjustRightInd w:val="0"/>
              <w:snapToGrid w:val="0"/>
              <w:spacing w:line="360" w:lineRule="auto"/>
              <w:jc w:val="center"/>
              <w:rPr>
                <w:sz w:val="22"/>
              </w:rPr>
            </w:pPr>
            <w:r>
              <w:rPr>
                <w:rFonts w:hint="eastAsia"/>
                <w:sz w:val="22"/>
              </w:rPr>
              <w:t>研究生</w:t>
            </w:r>
          </w:p>
        </w:tc>
        <w:tc>
          <w:tcPr>
            <w:tcW w:w="1523" w:type="dxa"/>
            <w:gridSpan w:val="3"/>
          </w:tcPr>
          <w:p w:rsidR="003717A0" w:rsidRDefault="003717A0">
            <w:pPr>
              <w:adjustRightInd w:val="0"/>
              <w:snapToGrid w:val="0"/>
              <w:spacing w:line="360" w:lineRule="auto"/>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360" w:lineRule="auto"/>
              <w:jc w:val="center"/>
              <w:rPr>
                <w:sz w:val="22"/>
              </w:rPr>
            </w:pPr>
            <w:r>
              <w:rPr>
                <w:rFonts w:hint="eastAsia"/>
                <w:sz w:val="22"/>
              </w:rPr>
              <w:t>助</w:t>
            </w:r>
            <w:r>
              <w:rPr>
                <w:sz w:val="22"/>
              </w:rPr>
              <w:t xml:space="preserve">  </w:t>
            </w:r>
            <w:r>
              <w:rPr>
                <w:rFonts w:hint="eastAsia"/>
                <w:sz w:val="22"/>
              </w:rPr>
              <w:t>教</w:t>
            </w:r>
          </w:p>
        </w:tc>
        <w:tc>
          <w:tcPr>
            <w:tcW w:w="1524" w:type="dxa"/>
          </w:tcPr>
          <w:p w:rsidR="003717A0" w:rsidRDefault="003717A0">
            <w:pPr>
              <w:adjustRightInd w:val="0"/>
              <w:snapToGrid w:val="0"/>
              <w:spacing w:line="360" w:lineRule="auto"/>
              <w:jc w:val="center"/>
              <w:rPr>
                <w:sz w:val="22"/>
              </w:rPr>
            </w:pPr>
            <w:r>
              <w:rPr>
                <w:sz w:val="22"/>
              </w:rPr>
              <w:t>2014.3</w:t>
            </w:r>
          </w:p>
        </w:tc>
      </w:tr>
      <w:tr w:rsidR="003717A0" w:rsidTr="00F5156D">
        <w:trPr>
          <w:jc w:val="center"/>
        </w:trPr>
        <w:tc>
          <w:tcPr>
            <w:tcW w:w="1668" w:type="dxa"/>
          </w:tcPr>
          <w:p w:rsidR="003717A0" w:rsidRDefault="003717A0">
            <w:pPr>
              <w:adjustRightInd w:val="0"/>
              <w:snapToGrid w:val="0"/>
              <w:spacing w:line="360" w:lineRule="auto"/>
              <w:jc w:val="center"/>
              <w:rPr>
                <w:sz w:val="22"/>
              </w:rPr>
            </w:pPr>
          </w:p>
        </w:tc>
        <w:tc>
          <w:tcPr>
            <w:tcW w:w="1523" w:type="dxa"/>
          </w:tcPr>
          <w:p w:rsidR="003717A0" w:rsidRDefault="003717A0">
            <w:pPr>
              <w:adjustRightInd w:val="0"/>
              <w:snapToGrid w:val="0"/>
              <w:spacing w:line="360" w:lineRule="auto"/>
              <w:jc w:val="center"/>
              <w:rPr>
                <w:sz w:val="22"/>
              </w:rPr>
            </w:pPr>
          </w:p>
        </w:tc>
        <w:tc>
          <w:tcPr>
            <w:tcW w:w="1524" w:type="dxa"/>
            <w:gridSpan w:val="2"/>
          </w:tcPr>
          <w:p w:rsidR="003717A0" w:rsidRDefault="003717A0">
            <w:pPr>
              <w:adjustRightInd w:val="0"/>
              <w:snapToGrid w:val="0"/>
              <w:spacing w:line="360" w:lineRule="auto"/>
              <w:jc w:val="center"/>
              <w:rPr>
                <w:sz w:val="22"/>
              </w:rPr>
            </w:pPr>
          </w:p>
        </w:tc>
        <w:tc>
          <w:tcPr>
            <w:tcW w:w="1523" w:type="dxa"/>
            <w:gridSpan w:val="3"/>
          </w:tcPr>
          <w:p w:rsidR="003717A0" w:rsidRDefault="003717A0">
            <w:pPr>
              <w:adjustRightInd w:val="0"/>
              <w:snapToGrid w:val="0"/>
              <w:spacing w:line="360" w:lineRule="auto"/>
              <w:jc w:val="center"/>
              <w:rPr>
                <w:sz w:val="22"/>
              </w:rPr>
            </w:pPr>
          </w:p>
        </w:tc>
        <w:tc>
          <w:tcPr>
            <w:tcW w:w="1524" w:type="dxa"/>
            <w:gridSpan w:val="2"/>
          </w:tcPr>
          <w:p w:rsidR="003717A0" w:rsidRDefault="003717A0">
            <w:pPr>
              <w:adjustRightInd w:val="0"/>
              <w:snapToGrid w:val="0"/>
              <w:spacing w:line="360" w:lineRule="auto"/>
              <w:jc w:val="center"/>
              <w:rPr>
                <w:sz w:val="22"/>
              </w:rPr>
            </w:pPr>
          </w:p>
        </w:tc>
        <w:tc>
          <w:tcPr>
            <w:tcW w:w="1524" w:type="dxa"/>
          </w:tcPr>
          <w:p w:rsidR="003717A0" w:rsidRDefault="003717A0">
            <w:pPr>
              <w:adjustRightInd w:val="0"/>
              <w:snapToGrid w:val="0"/>
              <w:spacing w:line="360" w:lineRule="auto"/>
              <w:jc w:val="center"/>
              <w:rPr>
                <w:sz w:val="22"/>
              </w:rPr>
            </w:pPr>
          </w:p>
        </w:tc>
      </w:tr>
      <w:tr w:rsidR="003717A0" w:rsidTr="00F5156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F5156D">
        <w:trPr>
          <w:jc w:val="center"/>
        </w:trPr>
        <w:tc>
          <w:tcPr>
            <w:tcW w:w="9286" w:type="dxa"/>
            <w:gridSpan w:val="10"/>
          </w:tcPr>
          <w:p w:rsidR="003717A0" w:rsidRDefault="003717A0" w:rsidP="00664AA5">
            <w:pPr>
              <w:adjustRightInd w:val="0"/>
              <w:snapToGrid w:val="0"/>
              <w:spacing w:line="500" w:lineRule="exact"/>
              <w:ind w:firstLineChars="250" w:firstLine="550"/>
              <w:rPr>
                <w:sz w:val="22"/>
              </w:rPr>
            </w:pPr>
            <w:r>
              <w:rPr>
                <w:rFonts w:hint="eastAsia"/>
                <w:sz w:val="22"/>
              </w:rPr>
              <w:t>组织学与胚胎学是康复治疗学专业的基础必修课程。这门课程包括两部分：组织学是研究正常机体在光学显微镜下的微细结构和电子显微镜下的超微结构及其有关功能的科学；胚胎学是研究个体发生的科学。通过本课程的教学，要求学生能达到：识别主要细胞、组织和器官的光镜结构；了解人体主要细胞和组织的超微结构；了解这些结构与功能的关系；对人体胚胎的早期发生过程能有较系统的认识；从而为学习其他基础医学与临床医学课程打下良好的基础。本课程教学的主要路径与方法：（</w:t>
            </w:r>
            <w:r>
              <w:rPr>
                <w:sz w:val="22"/>
              </w:rPr>
              <w:t>1</w:t>
            </w:r>
            <w:r>
              <w:rPr>
                <w:rFonts w:hint="eastAsia"/>
                <w:sz w:val="22"/>
              </w:rPr>
              <w:t>）通过理论课堂讲解组织学与胚胎学的主要知识点，使学生</w:t>
            </w:r>
            <w:r>
              <w:rPr>
                <w:rFonts w:hint="eastAsia"/>
                <w:sz w:val="22"/>
              </w:rPr>
              <w:lastRenderedPageBreak/>
              <w:t>掌握本课程的基本概念和知识，同时利用参考书和</w:t>
            </w:r>
            <w:r>
              <w:rPr>
                <w:sz w:val="22"/>
              </w:rPr>
              <w:t>blackboard</w:t>
            </w:r>
            <w:r>
              <w:rPr>
                <w:rFonts w:hint="eastAsia"/>
                <w:sz w:val="22"/>
              </w:rPr>
              <w:t>等网络平台，辅导学生逐步形成自主学习的能力；（</w:t>
            </w:r>
            <w:r>
              <w:rPr>
                <w:sz w:val="22"/>
              </w:rPr>
              <w:t>2</w:t>
            </w:r>
            <w:r>
              <w:rPr>
                <w:rFonts w:hint="eastAsia"/>
                <w:sz w:val="22"/>
              </w:rPr>
              <w:t>）根据模式图、模型教具及标本描述人体胚胎的早期发生过程及其畸形形成原因；（</w:t>
            </w:r>
            <w:r>
              <w:rPr>
                <w:sz w:val="22"/>
              </w:rPr>
              <w:t>3</w:t>
            </w:r>
            <w:r>
              <w:rPr>
                <w:rFonts w:hint="eastAsia"/>
                <w:sz w:val="22"/>
              </w:rPr>
              <w:t>）利用校园网上医学形态学数字化教学平台对细胞、组织和器官的形态学结构进行自学。</w:t>
            </w:r>
          </w:p>
        </w:tc>
      </w:tr>
    </w:tbl>
    <w:p w:rsidR="003717A0" w:rsidRDefault="003717A0">
      <w:pPr>
        <w:adjustRightInd w:val="0"/>
        <w:spacing w:line="360" w:lineRule="auto"/>
        <w:contextualSpacing/>
        <w:jc w:val="center"/>
        <w:rPr>
          <w:rFonts w:ascii="黑体" w:eastAsia="黑体"/>
          <w:b/>
          <w:sz w:val="30"/>
          <w:szCs w:val="30"/>
        </w:rPr>
      </w:pPr>
    </w:p>
    <w:p w:rsidR="003717A0" w:rsidRPr="00F5156D" w:rsidRDefault="003717A0" w:rsidP="00F5156D">
      <w:pPr>
        <w:widowControl/>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黑体" w:eastAsia="黑体" w:hAnsi="Times New Roman"/>
          <w:b/>
          <w:kern w:val="0"/>
          <w:sz w:val="24"/>
          <w:szCs w:val="24"/>
        </w:rPr>
        <w:t>(</w:t>
      </w:r>
      <w:r>
        <w:rPr>
          <w:rFonts w:ascii="黑体" w:eastAsia="黑体" w:hAnsi="Times New Roman" w:hint="eastAsia"/>
          <w:b/>
          <w:kern w:val="0"/>
          <w:sz w:val="24"/>
          <w:szCs w:val="24"/>
        </w:rPr>
        <w:t>一</w:t>
      </w:r>
      <w:r>
        <w:rPr>
          <w:rFonts w:ascii="黑体" w:eastAsia="黑体" w:hAnsi="Times New Roman"/>
          <w:b/>
          <w:kern w:val="0"/>
          <w:sz w:val="24"/>
          <w:szCs w:val="24"/>
        </w:rPr>
        <w:t xml:space="preserve">) </w:t>
      </w:r>
      <w:r>
        <w:rPr>
          <w:rFonts w:ascii="Times New Roman" w:eastAsia="黑体" w:hAnsi="Times New Roman" w:hint="eastAsia"/>
          <w:b/>
          <w:kern w:val="0"/>
          <w:sz w:val="24"/>
          <w:szCs w:val="24"/>
        </w:rPr>
        <w:t>课程的基本信息</w:t>
      </w:r>
    </w:p>
    <w:p w:rsidR="003717A0" w:rsidRDefault="003717A0">
      <w:pPr>
        <w:autoSpaceDE w:val="0"/>
        <w:autoSpaceDN w:val="0"/>
        <w:adjustRightInd w:val="0"/>
        <w:snapToGrid w:val="0"/>
        <w:spacing w:line="360" w:lineRule="auto"/>
        <w:ind w:firstLineChars="193" w:firstLine="405"/>
        <w:jc w:val="left"/>
        <w:rPr>
          <w:sz w:val="22"/>
          <w:szCs w:val="21"/>
        </w:rPr>
      </w:pPr>
      <w:r>
        <w:rPr>
          <w:rFonts w:ascii="Times New Roman" w:hAnsi="Times New Roman" w:hint="eastAsia"/>
          <w:kern w:val="0"/>
          <w:szCs w:val="21"/>
        </w:rPr>
        <w:t>适应对象：本科层次，</w:t>
      </w:r>
      <w:r>
        <w:rPr>
          <w:rFonts w:hint="eastAsia"/>
          <w:sz w:val="22"/>
        </w:rPr>
        <w:t>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rFonts w:ascii="Times New Roman" w:eastAsia="楷体_GB2312" w:hAnsi="Times New Roman"/>
          <w:sz w:val="24"/>
          <w:szCs w:val="24"/>
        </w:rPr>
        <w:t>160047</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36</w:t>
      </w:r>
      <w:r>
        <w:rPr>
          <w:rFonts w:ascii="Times New Roman" w:hAnsi="Times New Roman" w:hint="eastAsia"/>
          <w:kern w:val="0"/>
          <w:szCs w:val="21"/>
        </w:rPr>
        <w:t>学时</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2</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后续课程：病理解剖学及后续的临床专业课程</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黑体" w:eastAsia="黑体" w:hAnsi="Times New Roman"/>
          <w:b/>
          <w:kern w:val="0"/>
          <w:sz w:val="24"/>
          <w:szCs w:val="24"/>
        </w:rPr>
        <w:t>(</w:t>
      </w:r>
      <w:r>
        <w:rPr>
          <w:rFonts w:ascii="黑体" w:eastAsia="黑体" w:hAnsi="Times New Roman" w:hint="eastAsia"/>
          <w:b/>
          <w:kern w:val="0"/>
          <w:sz w:val="24"/>
          <w:szCs w:val="24"/>
        </w:rPr>
        <w:t>二</w:t>
      </w:r>
      <w:r>
        <w:rPr>
          <w:rFonts w:ascii="黑体" w:eastAsia="黑体" w:hAnsi="Times New Roman"/>
          <w:b/>
          <w:kern w:val="0"/>
          <w:sz w:val="24"/>
          <w:szCs w:val="24"/>
        </w:rPr>
        <w:t xml:space="preserve">) </w:t>
      </w:r>
      <w:r>
        <w:rPr>
          <w:rFonts w:ascii="Times New Roman" w:eastAsia="黑体" w:hAnsi="Times New Roman" w:hint="eastAsia"/>
          <w:b/>
          <w:kern w:val="0"/>
          <w:sz w:val="24"/>
          <w:szCs w:val="24"/>
        </w:rPr>
        <w:t>课程性质与任务：</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作为</w:t>
      </w:r>
      <w:r>
        <w:rPr>
          <w:rFonts w:hint="eastAsia"/>
          <w:sz w:val="22"/>
        </w:rPr>
        <w:t>康复治疗学</w:t>
      </w:r>
      <w:r>
        <w:rPr>
          <w:rFonts w:ascii="Times New Roman" w:hAnsi="Times New Roman" w:hint="eastAsia"/>
          <w:kern w:val="0"/>
          <w:szCs w:val="21"/>
        </w:rPr>
        <w:t>专业学生，为了理解疾病时机体的变化，首先必须对正常人体有较系统的认识，需要了解各系统、器官、组织和细胞等不同层面的形态学及生理、生化等机能学两部分知识。机体的形态结构是决定和执行相关机能的物质基础，所以首先要认识并掌握各个层面的正常形态结构，才能为后续正常机能学、疾病状态下的形态功能改变及临床专业课程学习打下基础。本课程从微观角度去认识人体的正常形态结构，是</w:t>
      </w:r>
      <w:r>
        <w:rPr>
          <w:rFonts w:hint="eastAsia"/>
          <w:sz w:val="22"/>
        </w:rPr>
        <w:t>康复治疗学、公共事业管理（医事法学）和医学法学</w:t>
      </w:r>
      <w:r>
        <w:rPr>
          <w:rFonts w:ascii="Times New Roman" w:hAnsi="Times New Roman" w:hint="eastAsia"/>
          <w:kern w:val="0"/>
          <w:szCs w:val="21"/>
        </w:rPr>
        <w:t>专业基础必修课程和学位课程；使学生通过本课程的教学能达到：</w:t>
      </w:r>
      <w:r>
        <w:rPr>
          <w:rFonts w:hAnsi="宋体" w:hint="eastAsia"/>
        </w:rPr>
        <w:t>识别主要细胞、组织和器官的光镜结构；了解人体主要细胞和组织的超微结构；了解这些结构与功能的关系；对人体胚胎的早期发生过程能有较系统的认识</w:t>
      </w:r>
      <w:r>
        <w:rPr>
          <w:rFonts w:ascii="Times New Roman" w:hAnsi="Times New Roman" w:hint="eastAsia"/>
          <w:kern w:val="0"/>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黑体" w:eastAsia="黑体" w:hAnsi="Times New Roman"/>
          <w:b/>
          <w:kern w:val="0"/>
          <w:sz w:val="24"/>
          <w:szCs w:val="24"/>
        </w:rPr>
        <w:t>(</w:t>
      </w:r>
      <w:r>
        <w:rPr>
          <w:rFonts w:ascii="黑体" w:eastAsia="黑体" w:hAnsi="Times New Roman" w:hint="eastAsia"/>
          <w:b/>
          <w:kern w:val="0"/>
          <w:sz w:val="24"/>
          <w:szCs w:val="24"/>
        </w:rPr>
        <w:t>三</w:t>
      </w:r>
      <w:r>
        <w:rPr>
          <w:rFonts w:ascii="黑体"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通过本课程的学习，要求学生达到较系统掌握人体正常的细微结构及相关功能，较系统的认识人体胚胎的早期发生过程；逐步培养学生收集资料和自主学习的能力，注重培养学生分析问题和解决问题的能力。</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黑体" w:eastAsia="黑体" w:hAnsi="Times New Roman"/>
          <w:b/>
          <w:kern w:val="0"/>
          <w:sz w:val="24"/>
          <w:szCs w:val="24"/>
        </w:rPr>
        <w:t xml:space="preserve"> (</w:t>
      </w:r>
      <w:r>
        <w:rPr>
          <w:rFonts w:ascii="黑体" w:eastAsia="黑体" w:hAnsi="Times New Roman" w:hint="eastAsia"/>
          <w:b/>
          <w:kern w:val="0"/>
          <w:sz w:val="24"/>
          <w:szCs w:val="24"/>
        </w:rPr>
        <w:t>四</w:t>
      </w:r>
      <w:r>
        <w:rPr>
          <w:rFonts w:ascii="黑体" w:eastAsia="黑体" w:hAnsi="Times New Roman"/>
          <w:b/>
          <w:kern w:val="0"/>
          <w:sz w:val="24"/>
          <w:szCs w:val="24"/>
        </w:rPr>
        <w:t xml:space="preserve">) </w:t>
      </w:r>
      <w:r>
        <w:rPr>
          <w:rFonts w:ascii="Times New Roman" w:eastAsia="黑体" w:hAnsi="Times New Roman" w:hint="eastAsia"/>
          <w:b/>
          <w:kern w:val="0"/>
          <w:sz w:val="24"/>
          <w:szCs w:val="24"/>
        </w:rPr>
        <w:t>教学内容与安排</w:t>
      </w:r>
    </w:p>
    <w:p w:rsidR="003717A0" w:rsidRDefault="003717A0" w:rsidP="005E20B5">
      <w:pPr>
        <w:adjustRightInd w:val="0"/>
        <w:snapToGrid w:val="0"/>
        <w:spacing w:beforeLines="50" w:line="360" w:lineRule="auto"/>
        <w:ind w:right="6"/>
        <w:jc w:val="left"/>
        <w:rPr>
          <w:b/>
          <w:sz w:val="22"/>
        </w:rPr>
      </w:pPr>
      <w:r>
        <w:rPr>
          <w:rFonts w:hint="eastAsia"/>
          <w:b/>
          <w:sz w:val="22"/>
        </w:rPr>
        <w:t>第一部分：组织学</w:t>
      </w: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组织学绪论</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b/>
        </w:rPr>
        <w:t>1</w:t>
      </w:r>
      <w:r>
        <w:rPr>
          <w:rFonts w:ascii="Times New Roman" w:hint="eastAsia"/>
          <w:b/>
        </w:rPr>
        <w:t>学时）</w:t>
      </w:r>
    </w:p>
    <w:p w:rsidR="003717A0" w:rsidRDefault="003717A0">
      <w:pPr>
        <w:numPr>
          <w:ilvl w:val="0"/>
          <w:numId w:val="188"/>
        </w:numPr>
        <w:tabs>
          <w:tab w:val="clear" w:pos="420"/>
          <w:tab w:val="left" w:pos="0"/>
        </w:tabs>
        <w:adjustRightInd w:val="0"/>
        <w:snapToGrid w:val="0"/>
        <w:spacing w:line="360" w:lineRule="auto"/>
        <w:ind w:left="0" w:right="4" w:firstLine="720"/>
        <w:rPr>
          <w:rFonts w:ascii="Times New Roman"/>
        </w:rPr>
      </w:pPr>
      <w:r>
        <w:rPr>
          <w:rFonts w:ascii="Times New Roman" w:hint="eastAsia"/>
        </w:rPr>
        <w:t>组织学的定义和内容。</w:t>
      </w:r>
    </w:p>
    <w:p w:rsidR="003717A0" w:rsidRDefault="003717A0">
      <w:pPr>
        <w:numPr>
          <w:ilvl w:val="0"/>
          <w:numId w:val="188"/>
        </w:numPr>
        <w:tabs>
          <w:tab w:val="clear" w:pos="420"/>
          <w:tab w:val="left" w:pos="0"/>
        </w:tabs>
        <w:adjustRightInd w:val="0"/>
        <w:snapToGrid w:val="0"/>
        <w:spacing w:line="360" w:lineRule="auto"/>
        <w:ind w:left="0" w:right="4" w:firstLine="720"/>
        <w:rPr>
          <w:rFonts w:ascii="Times New Roman"/>
          <w:b/>
        </w:rPr>
      </w:pPr>
      <w:r>
        <w:rPr>
          <w:rFonts w:ascii="Times New Roman" w:hint="eastAsia"/>
        </w:rPr>
        <w:t>组织学常用的研究技术：石蜡切片法的基本原理；苏木素</w:t>
      </w:r>
      <w:r>
        <w:rPr>
          <w:rFonts w:ascii="Times New Roman"/>
        </w:rPr>
        <w:t>-</w:t>
      </w:r>
      <w:r>
        <w:rPr>
          <w:rFonts w:ascii="Times New Roman" w:hint="eastAsia"/>
        </w:rPr>
        <w:t>伊红染色的原理和含义；透射电镜和扫描电镜，电子密度高与电子密度低的含义；镜下常用计量单位</w:t>
      </w:r>
      <w:r>
        <w:rPr>
          <w:rFonts w:ascii="Times New Roman" w:hint="eastAsia"/>
          <w:b/>
        </w:rPr>
        <w:t>。</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目的要求</w:t>
      </w:r>
    </w:p>
    <w:p w:rsidR="003717A0" w:rsidRDefault="003717A0">
      <w:pPr>
        <w:tabs>
          <w:tab w:val="left" w:pos="690"/>
        </w:tabs>
        <w:adjustRightInd w:val="0"/>
        <w:snapToGrid w:val="0"/>
        <w:spacing w:line="360" w:lineRule="auto"/>
        <w:ind w:right="4" w:firstLineChars="350" w:firstLine="735"/>
        <w:rPr>
          <w:rFonts w:ascii="Times New Roman"/>
        </w:rPr>
      </w:pPr>
      <w:r>
        <w:rPr>
          <w:rFonts w:ascii="Times New Roman"/>
        </w:rPr>
        <w:t xml:space="preserve">1.    </w:t>
      </w:r>
      <w:r>
        <w:rPr>
          <w:rFonts w:ascii="Times New Roman" w:hint="eastAsia"/>
        </w:rPr>
        <w:t>了解组织学的内容和学习目的。</w:t>
      </w:r>
    </w:p>
    <w:p w:rsidR="003717A0" w:rsidRDefault="003717A0">
      <w:pPr>
        <w:tabs>
          <w:tab w:val="left" w:pos="690"/>
        </w:tabs>
        <w:adjustRightInd w:val="0"/>
        <w:snapToGrid w:val="0"/>
        <w:spacing w:line="360" w:lineRule="auto"/>
        <w:ind w:right="4" w:firstLineChars="350" w:firstLine="735"/>
        <w:rPr>
          <w:rFonts w:ascii="Times New Roman"/>
        </w:rPr>
      </w:pPr>
      <w:r>
        <w:rPr>
          <w:rFonts w:ascii="Times New Roman"/>
        </w:rPr>
        <w:t xml:space="preserve">2.    </w:t>
      </w:r>
      <w:r>
        <w:rPr>
          <w:rFonts w:ascii="Times New Roman" w:hint="eastAsia"/>
        </w:rPr>
        <w:t>熟悉组织学的常用研究技术。</w:t>
      </w:r>
    </w:p>
    <w:p w:rsidR="003717A0" w:rsidRDefault="003717A0" w:rsidP="005E20B5">
      <w:pPr>
        <w:adjustRightInd w:val="0"/>
        <w:snapToGrid w:val="0"/>
        <w:spacing w:beforeLines="50" w:line="360" w:lineRule="auto"/>
        <w:ind w:right="6"/>
        <w:jc w:val="center"/>
        <w:rPr>
          <w:b/>
          <w:sz w:val="22"/>
        </w:rPr>
      </w:pPr>
      <w:r>
        <w:rPr>
          <w:rFonts w:hint="eastAsia"/>
          <w:b/>
          <w:sz w:val="22"/>
        </w:rPr>
        <w:t>第二章</w:t>
      </w:r>
      <w:r>
        <w:rPr>
          <w:b/>
          <w:sz w:val="22"/>
        </w:rPr>
        <w:t xml:space="preserve">  </w:t>
      </w:r>
      <w:r>
        <w:rPr>
          <w:rFonts w:hint="eastAsia"/>
          <w:b/>
          <w:sz w:val="22"/>
        </w:rPr>
        <w:t>细胞</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lastRenderedPageBreak/>
        <w:t>教学内容（</w:t>
      </w:r>
      <w:r>
        <w:rPr>
          <w:rFonts w:ascii="Times New Roman" w:hAnsi="Times New Roman"/>
          <w:b/>
        </w:rPr>
        <w:t>1</w:t>
      </w:r>
      <w:r>
        <w:rPr>
          <w:rFonts w:ascii="Times New Roman" w:hint="eastAsia"/>
          <w:b/>
        </w:rPr>
        <w:t>学时）</w:t>
      </w:r>
    </w:p>
    <w:p w:rsidR="003717A0" w:rsidRDefault="003717A0">
      <w:pPr>
        <w:numPr>
          <w:ilvl w:val="0"/>
          <w:numId w:val="189"/>
        </w:numPr>
        <w:tabs>
          <w:tab w:val="clear" w:pos="420"/>
          <w:tab w:val="left" w:pos="0"/>
        </w:tabs>
        <w:adjustRightInd w:val="0"/>
        <w:snapToGrid w:val="0"/>
        <w:spacing w:line="360" w:lineRule="auto"/>
        <w:ind w:left="0" w:right="4" w:firstLine="720"/>
        <w:rPr>
          <w:bCs/>
          <w:iCs/>
          <w:kern w:val="0"/>
          <w:szCs w:val="21"/>
        </w:rPr>
      </w:pPr>
      <w:r>
        <w:rPr>
          <w:rFonts w:hAnsi="宋体" w:hint="eastAsia"/>
          <w:bCs/>
          <w:iCs/>
          <w:kern w:val="0"/>
          <w:szCs w:val="21"/>
        </w:rPr>
        <w:t>细胞膜的化学组成、分子结构及液态镶嵌模型。</w:t>
      </w:r>
    </w:p>
    <w:p w:rsidR="003717A0" w:rsidRDefault="003717A0">
      <w:pPr>
        <w:numPr>
          <w:ilvl w:val="0"/>
          <w:numId w:val="189"/>
        </w:numPr>
        <w:tabs>
          <w:tab w:val="clear" w:pos="420"/>
          <w:tab w:val="left" w:pos="0"/>
        </w:tabs>
        <w:adjustRightInd w:val="0"/>
        <w:snapToGrid w:val="0"/>
        <w:spacing w:line="360" w:lineRule="auto"/>
        <w:ind w:left="0" w:right="4" w:firstLine="720"/>
        <w:rPr>
          <w:bCs/>
          <w:iCs/>
          <w:kern w:val="0"/>
          <w:szCs w:val="21"/>
        </w:rPr>
      </w:pPr>
      <w:r>
        <w:rPr>
          <w:rFonts w:hAnsi="宋体" w:hint="eastAsia"/>
          <w:bCs/>
          <w:iCs/>
          <w:kern w:val="0"/>
          <w:szCs w:val="21"/>
        </w:rPr>
        <w:t>线粒体、核糖体、内质网、高尔基体、溶酶体、微丝和微管的电镜结构及功能特点。</w:t>
      </w:r>
    </w:p>
    <w:p w:rsidR="003717A0" w:rsidRDefault="003717A0">
      <w:pPr>
        <w:numPr>
          <w:ilvl w:val="0"/>
          <w:numId w:val="189"/>
        </w:numPr>
        <w:tabs>
          <w:tab w:val="clear" w:pos="420"/>
          <w:tab w:val="left" w:pos="0"/>
        </w:tabs>
        <w:adjustRightInd w:val="0"/>
        <w:snapToGrid w:val="0"/>
        <w:spacing w:line="360" w:lineRule="auto"/>
        <w:ind w:left="0" w:right="4" w:firstLine="720"/>
        <w:rPr>
          <w:bCs/>
          <w:iCs/>
          <w:kern w:val="0"/>
          <w:szCs w:val="21"/>
        </w:rPr>
      </w:pPr>
      <w:r>
        <w:rPr>
          <w:rFonts w:hAnsi="宋体" w:hint="eastAsia"/>
          <w:bCs/>
          <w:iCs/>
          <w:kern w:val="0"/>
          <w:szCs w:val="21"/>
        </w:rPr>
        <w:t>细胞核的核被膜、染色质（染色体）和核仁的结构及功能特点。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numPr>
          <w:ilvl w:val="0"/>
          <w:numId w:val="190"/>
        </w:numPr>
        <w:adjustRightInd w:val="0"/>
        <w:snapToGrid w:val="0"/>
        <w:spacing w:line="360" w:lineRule="auto"/>
        <w:ind w:firstLine="300"/>
        <w:rPr>
          <w:szCs w:val="21"/>
        </w:rPr>
      </w:pPr>
      <w:r>
        <w:rPr>
          <w:rFonts w:hAnsi="宋体" w:hint="eastAsia"/>
          <w:szCs w:val="21"/>
        </w:rPr>
        <w:t>熟悉细胞膜的化学组成、分子结构及液态镶嵌模型。</w:t>
      </w:r>
    </w:p>
    <w:p w:rsidR="003717A0" w:rsidRDefault="003717A0">
      <w:pPr>
        <w:numPr>
          <w:ilvl w:val="0"/>
          <w:numId w:val="190"/>
        </w:numPr>
        <w:adjustRightInd w:val="0"/>
        <w:snapToGrid w:val="0"/>
        <w:spacing w:line="360" w:lineRule="auto"/>
        <w:ind w:firstLine="300"/>
        <w:rPr>
          <w:szCs w:val="21"/>
        </w:rPr>
      </w:pPr>
      <w:r>
        <w:rPr>
          <w:rFonts w:hAnsi="宋体" w:hint="eastAsia"/>
          <w:szCs w:val="21"/>
        </w:rPr>
        <w:t>熟悉主要细胞器的结构及功能特点。</w:t>
      </w:r>
    </w:p>
    <w:p w:rsidR="003717A0" w:rsidRDefault="003717A0">
      <w:pPr>
        <w:adjustRightInd w:val="0"/>
        <w:snapToGrid w:val="0"/>
        <w:spacing w:line="360" w:lineRule="auto"/>
        <w:ind w:left="720" w:right="4"/>
        <w:rPr>
          <w:rFonts w:ascii="Times New Roman" w:hAnsi="Times New Roman"/>
        </w:rPr>
      </w:pPr>
      <w:r>
        <w:rPr>
          <w:rFonts w:hAnsi="宋体"/>
          <w:szCs w:val="21"/>
        </w:rPr>
        <w:t xml:space="preserve">3.   </w:t>
      </w:r>
      <w:r>
        <w:rPr>
          <w:rFonts w:hAnsi="宋体" w:hint="eastAsia"/>
          <w:szCs w:val="21"/>
        </w:rPr>
        <w:t>了解细胞核的主要结构及功能。</w:t>
      </w: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上皮组织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firstLineChars="350" w:firstLine="735"/>
        <w:rPr>
          <w:rFonts w:hAnsi="宋体"/>
          <w:szCs w:val="21"/>
        </w:rPr>
      </w:pPr>
      <w:r>
        <w:t xml:space="preserve">1.   </w:t>
      </w:r>
      <w:r>
        <w:rPr>
          <w:rFonts w:hAnsi="宋体" w:hint="eastAsia"/>
          <w:szCs w:val="21"/>
        </w:rPr>
        <w:t>上皮组织的一般特点和分类。</w:t>
      </w:r>
    </w:p>
    <w:p w:rsidR="003717A0" w:rsidRDefault="003717A0">
      <w:pPr>
        <w:adjustRightInd w:val="0"/>
        <w:snapToGrid w:val="0"/>
        <w:spacing w:line="360" w:lineRule="auto"/>
        <w:ind w:leftChars="200" w:left="420" w:firstLineChars="150" w:firstLine="315"/>
        <w:rPr>
          <w:rFonts w:hAnsi="宋体"/>
          <w:szCs w:val="21"/>
        </w:rPr>
      </w:pPr>
      <w:r>
        <w:rPr>
          <w:rFonts w:hAnsi="宋体"/>
          <w:szCs w:val="21"/>
        </w:rPr>
        <w:t xml:space="preserve">2.   </w:t>
      </w:r>
      <w:r>
        <w:rPr>
          <w:rFonts w:hAnsi="宋体" w:hint="eastAsia"/>
          <w:szCs w:val="21"/>
        </w:rPr>
        <w:t>被覆上皮的分类；单层扁平上皮、单层立方上皮、单层柱状上皮、假复层纤毛柱状上皮、复层扁平上皮和变移上皮的分布、光镜结构及功能。</w:t>
      </w:r>
    </w:p>
    <w:p w:rsidR="003717A0" w:rsidRDefault="003717A0">
      <w:pPr>
        <w:adjustRightInd w:val="0"/>
        <w:snapToGrid w:val="0"/>
        <w:spacing w:line="360" w:lineRule="auto"/>
        <w:ind w:leftChars="200" w:left="420" w:firstLineChars="150" w:firstLine="315"/>
        <w:rPr>
          <w:rFonts w:hAnsi="宋体"/>
          <w:szCs w:val="21"/>
        </w:rPr>
      </w:pPr>
      <w:r>
        <w:rPr>
          <w:rFonts w:hAnsi="宋体"/>
          <w:szCs w:val="21"/>
        </w:rPr>
        <w:t xml:space="preserve">3.   </w:t>
      </w:r>
      <w:r>
        <w:rPr>
          <w:rFonts w:hAnsi="宋体" w:hint="eastAsia"/>
          <w:szCs w:val="21"/>
        </w:rPr>
        <w:t>上皮细胞游离面的微绒毛和纤毛的结构及功能；上皮细胞侧面的紧密连接、中间连接、桥粒和缝隙连接的位置、结构及功能，连接复合体；上皮细胞基底面的基膜和质膜内褶的结构及功能。</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目的要求</w:t>
      </w:r>
    </w:p>
    <w:p w:rsidR="003717A0" w:rsidRDefault="003717A0">
      <w:pPr>
        <w:tabs>
          <w:tab w:val="left" w:pos="1260"/>
        </w:tabs>
        <w:adjustRightInd w:val="0"/>
        <w:snapToGrid w:val="0"/>
        <w:spacing w:line="360" w:lineRule="auto"/>
        <w:ind w:right="4" w:firstLineChars="350" w:firstLine="735"/>
        <w:rPr>
          <w:rFonts w:ascii="Times New Roman"/>
        </w:rPr>
      </w:pPr>
      <w:r>
        <w:rPr>
          <w:rFonts w:ascii="Times New Roman"/>
        </w:rPr>
        <w:t xml:space="preserve">1.   </w:t>
      </w:r>
      <w:r>
        <w:rPr>
          <w:rFonts w:ascii="Times New Roman" w:hint="eastAsia"/>
        </w:rPr>
        <w:t>熟悉上皮组织的一般特点和分类。</w:t>
      </w:r>
    </w:p>
    <w:p w:rsidR="003717A0" w:rsidRDefault="003717A0">
      <w:pPr>
        <w:adjustRightInd w:val="0"/>
        <w:snapToGrid w:val="0"/>
        <w:spacing w:line="360" w:lineRule="auto"/>
        <w:ind w:right="4" w:firstLineChars="350" w:firstLine="735"/>
        <w:rPr>
          <w:rFonts w:ascii="Times New Roman"/>
        </w:rPr>
      </w:pPr>
      <w:r>
        <w:rPr>
          <w:rFonts w:ascii="Times New Roman"/>
        </w:rPr>
        <w:t xml:space="preserve">2.   </w:t>
      </w:r>
      <w:r>
        <w:rPr>
          <w:rFonts w:ascii="Times New Roman" w:hint="eastAsia"/>
        </w:rPr>
        <w:t>熟悉上皮特殊结构的光、电镜结构及功能。</w:t>
      </w:r>
    </w:p>
    <w:p w:rsidR="003717A0" w:rsidRDefault="003717A0" w:rsidP="005E20B5">
      <w:pPr>
        <w:adjustRightInd w:val="0"/>
        <w:snapToGrid w:val="0"/>
        <w:spacing w:beforeLines="50" w:line="360" w:lineRule="auto"/>
        <w:ind w:right="6"/>
        <w:jc w:val="center"/>
        <w:rPr>
          <w:b/>
          <w:sz w:val="22"/>
        </w:rPr>
      </w:pPr>
      <w:r>
        <w:rPr>
          <w:rFonts w:hint="eastAsia"/>
          <w:b/>
          <w:sz w:val="22"/>
        </w:rPr>
        <w:t>第四章</w:t>
      </w:r>
      <w:r>
        <w:rPr>
          <w:b/>
          <w:sz w:val="22"/>
        </w:rPr>
        <w:t xml:space="preserve">  </w:t>
      </w:r>
      <w:r>
        <w:rPr>
          <w:rFonts w:hint="eastAsia"/>
          <w:b/>
          <w:sz w:val="22"/>
        </w:rPr>
        <w:t>固有结缔组织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adjustRightInd w:val="0"/>
        <w:snapToGrid w:val="0"/>
        <w:spacing w:line="360" w:lineRule="auto"/>
        <w:ind w:right="4" w:firstLineChars="350" w:firstLine="735"/>
      </w:pPr>
      <w:r>
        <w:t xml:space="preserve">1.   </w:t>
      </w:r>
      <w:r>
        <w:rPr>
          <w:rFonts w:hint="eastAsia"/>
        </w:rPr>
        <w:t>结缔组织的一般特点和分类；固有结缔组织的概念。</w:t>
      </w:r>
    </w:p>
    <w:p w:rsidR="003717A0" w:rsidRDefault="003717A0">
      <w:pPr>
        <w:adjustRightInd w:val="0"/>
        <w:snapToGrid w:val="0"/>
        <w:spacing w:line="360" w:lineRule="auto"/>
        <w:ind w:rightChars="2" w:right="4" w:firstLineChars="350" w:firstLine="735"/>
      </w:pPr>
      <w:r>
        <w:t xml:space="preserve">2.   </w:t>
      </w:r>
      <w:r>
        <w:rPr>
          <w:rFonts w:hint="eastAsia"/>
        </w:rPr>
        <w:t>疏松结缔组织的组成；成纤维细胞、巨噬细胞、浆细胞和肥大细胞的光、电镜结构及功能；胶原纤维、网状纤维和弹性纤维的光镜结构特点；基质的组成及功能。</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目的要求</w:t>
      </w:r>
    </w:p>
    <w:p w:rsidR="003717A0" w:rsidRDefault="003717A0">
      <w:pPr>
        <w:numPr>
          <w:ilvl w:val="0"/>
          <w:numId w:val="191"/>
        </w:numPr>
        <w:tabs>
          <w:tab w:val="clear" w:pos="1140"/>
          <w:tab w:val="left" w:pos="1260"/>
        </w:tabs>
        <w:adjustRightInd w:val="0"/>
        <w:snapToGrid w:val="0"/>
        <w:spacing w:line="360" w:lineRule="auto"/>
        <w:ind w:left="1260" w:right="4" w:hanging="540"/>
      </w:pPr>
      <w:r>
        <w:rPr>
          <w:rFonts w:hint="eastAsia"/>
        </w:rPr>
        <w:t>了解结缔组织的一般特点和分类。</w:t>
      </w:r>
    </w:p>
    <w:p w:rsidR="003717A0" w:rsidRDefault="003717A0">
      <w:pPr>
        <w:numPr>
          <w:ilvl w:val="0"/>
          <w:numId w:val="191"/>
        </w:numPr>
        <w:tabs>
          <w:tab w:val="clear" w:pos="1140"/>
          <w:tab w:val="left" w:pos="1260"/>
        </w:tabs>
        <w:adjustRightInd w:val="0"/>
        <w:snapToGrid w:val="0"/>
        <w:spacing w:line="360" w:lineRule="auto"/>
        <w:ind w:left="1260" w:right="4" w:hanging="540"/>
      </w:pPr>
      <w:r>
        <w:rPr>
          <w:rFonts w:hint="eastAsia"/>
        </w:rPr>
        <w:t>掌握疏松结缔组织的结构及功能。</w:t>
      </w: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第五章</w:t>
      </w:r>
      <w:r>
        <w:rPr>
          <w:b/>
          <w:sz w:val="22"/>
        </w:rPr>
        <w:t xml:space="preserve">  </w:t>
      </w:r>
      <w:r>
        <w:rPr>
          <w:rFonts w:hint="eastAsia"/>
          <w:b/>
          <w:sz w:val="22"/>
        </w:rPr>
        <w:t>血液和淋巴</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numPr>
          <w:ilvl w:val="0"/>
          <w:numId w:val="192"/>
        </w:numPr>
        <w:tabs>
          <w:tab w:val="clear" w:pos="420"/>
          <w:tab w:val="left" w:pos="0"/>
          <w:tab w:val="left" w:pos="1260"/>
        </w:tabs>
        <w:adjustRightInd w:val="0"/>
        <w:snapToGrid w:val="0"/>
        <w:spacing w:line="360" w:lineRule="auto"/>
        <w:ind w:left="0" w:rightChars="2" w:right="4" w:firstLine="720"/>
      </w:pPr>
      <w:r>
        <w:rPr>
          <w:rFonts w:hint="eastAsia"/>
        </w:rPr>
        <w:t>血液的组成，血浆和血清的概念，血液有形成分及正常值。</w:t>
      </w:r>
    </w:p>
    <w:p w:rsidR="003717A0" w:rsidRDefault="003717A0">
      <w:pPr>
        <w:numPr>
          <w:ilvl w:val="0"/>
          <w:numId w:val="192"/>
        </w:numPr>
        <w:tabs>
          <w:tab w:val="clear" w:pos="420"/>
          <w:tab w:val="left" w:pos="0"/>
          <w:tab w:val="left" w:pos="1260"/>
        </w:tabs>
        <w:adjustRightInd w:val="0"/>
        <w:snapToGrid w:val="0"/>
        <w:spacing w:line="360" w:lineRule="auto"/>
        <w:ind w:left="0" w:rightChars="2" w:right="4" w:firstLine="720"/>
      </w:pPr>
      <w:r>
        <w:rPr>
          <w:rFonts w:hint="eastAsia"/>
        </w:rPr>
        <w:t>红细胞的结构及功能特点；中性粒细胞、嗜酸性粒细胞、嗜碱性粒细胞、淋巴细胞和单核细胞的光、电镜结构及功能特点；血小板的功能特点。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adjustRightInd w:val="0"/>
        <w:snapToGrid w:val="0"/>
        <w:spacing w:line="360" w:lineRule="auto"/>
        <w:ind w:right="6" w:firstLineChars="350" w:firstLine="735"/>
        <w:rPr>
          <w:rFonts w:ascii="Times New Roman" w:hAnsi="Times New Roman"/>
          <w:b/>
        </w:rPr>
      </w:pPr>
      <w:r>
        <w:rPr>
          <w:rFonts w:hint="eastAsia"/>
        </w:rPr>
        <w:lastRenderedPageBreak/>
        <w:t>掌握血液有形成份的正常值、结构及功能特点。</w:t>
      </w:r>
    </w:p>
    <w:p w:rsidR="003717A0" w:rsidRDefault="003717A0" w:rsidP="005E20B5">
      <w:pPr>
        <w:adjustRightInd w:val="0"/>
        <w:snapToGrid w:val="0"/>
        <w:spacing w:beforeLines="50" w:line="360" w:lineRule="auto"/>
        <w:ind w:right="6"/>
        <w:jc w:val="center"/>
        <w:rPr>
          <w:b/>
          <w:sz w:val="22"/>
        </w:rPr>
      </w:pPr>
      <w:r>
        <w:rPr>
          <w:rFonts w:hint="eastAsia"/>
          <w:b/>
          <w:sz w:val="22"/>
        </w:rPr>
        <w:t>第六章</w:t>
      </w:r>
      <w:r>
        <w:rPr>
          <w:b/>
          <w:sz w:val="22"/>
        </w:rPr>
        <w:t xml:space="preserve">  </w:t>
      </w:r>
      <w:r>
        <w:rPr>
          <w:rFonts w:hint="eastAsia"/>
          <w:b/>
          <w:sz w:val="22"/>
        </w:rPr>
        <w:t>软骨与骨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numPr>
          <w:ilvl w:val="0"/>
          <w:numId w:val="193"/>
        </w:numPr>
        <w:tabs>
          <w:tab w:val="clear" w:pos="1630"/>
          <w:tab w:val="left" w:pos="1260"/>
          <w:tab w:val="left" w:pos="1800"/>
        </w:tabs>
        <w:adjustRightInd w:val="0"/>
        <w:snapToGrid w:val="0"/>
        <w:spacing w:line="360" w:lineRule="auto"/>
        <w:ind w:left="0" w:right="4" w:firstLine="720"/>
      </w:pPr>
      <w:r>
        <w:rPr>
          <w:rFonts w:hint="eastAsia"/>
        </w:rPr>
        <w:t>软骨的组织学特点；软骨细胞的光镜结构，软骨的基质与纤维，同源细胞群的概念；透明软骨、弹性软骨及纤维软骨的分布和结构特点。</w:t>
      </w:r>
    </w:p>
    <w:p w:rsidR="003717A0" w:rsidRDefault="003717A0">
      <w:pPr>
        <w:numPr>
          <w:ilvl w:val="0"/>
          <w:numId w:val="193"/>
        </w:numPr>
        <w:tabs>
          <w:tab w:val="clear" w:pos="1630"/>
          <w:tab w:val="left" w:pos="1260"/>
          <w:tab w:val="left" w:pos="1800"/>
        </w:tabs>
        <w:adjustRightInd w:val="0"/>
        <w:snapToGrid w:val="0"/>
        <w:spacing w:line="360" w:lineRule="auto"/>
        <w:ind w:left="0" w:right="4" w:firstLine="720"/>
      </w:pPr>
      <w:r>
        <w:rPr>
          <w:rFonts w:hint="eastAsia"/>
        </w:rPr>
        <w:t>骨的组织学特点；骨质的组成；骨组织的细胞组成，成骨细胞、骨细胞和破骨细胞的光镜结构及功能特点。</w:t>
      </w:r>
    </w:p>
    <w:p w:rsidR="003717A0" w:rsidRDefault="003717A0">
      <w:pPr>
        <w:numPr>
          <w:ilvl w:val="0"/>
          <w:numId w:val="193"/>
        </w:numPr>
        <w:tabs>
          <w:tab w:val="clear" w:pos="1630"/>
          <w:tab w:val="left" w:pos="1260"/>
          <w:tab w:val="left" w:pos="1800"/>
        </w:tabs>
        <w:adjustRightInd w:val="0"/>
        <w:snapToGrid w:val="0"/>
        <w:spacing w:line="360" w:lineRule="auto"/>
        <w:ind w:left="0" w:right="4" w:firstLine="720"/>
      </w:pPr>
      <w:r>
        <w:rPr>
          <w:rFonts w:hint="eastAsia"/>
        </w:rPr>
        <w:t>骨密质的骨板排列方式，环骨板、骨单位和间骨板的结构特点。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numPr>
          <w:ilvl w:val="0"/>
          <w:numId w:val="194"/>
        </w:numPr>
        <w:adjustRightInd w:val="0"/>
        <w:snapToGrid w:val="0"/>
        <w:spacing w:line="360" w:lineRule="auto"/>
        <w:ind w:rightChars="2" w:right="4" w:firstLine="300"/>
      </w:pPr>
      <w:r>
        <w:rPr>
          <w:rFonts w:cs="Times New Roman" w:hint="eastAsia"/>
        </w:rPr>
        <w:t>熟悉</w:t>
      </w:r>
      <w:r>
        <w:rPr>
          <w:rFonts w:hint="eastAsia"/>
        </w:rPr>
        <w:t>透明软骨的结构。</w:t>
      </w:r>
    </w:p>
    <w:p w:rsidR="003717A0" w:rsidRDefault="003717A0">
      <w:pPr>
        <w:numPr>
          <w:ilvl w:val="0"/>
          <w:numId w:val="194"/>
        </w:numPr>
        <w:adjustRightInd w:val="0"/>
        <w:snapToGrid w:val="0"/>
        <w:spacing w:line="360" w:lineRule="auto"/>
        <w:ind w:rightChars="2" w:right="4" w:firstLine="300"/>
      </w:pPr>
      <w:r>
        <w:rPr>
          <w:rFonts w:cs="Times New Roman" w:hint="eastAsia"/>
        </w:rPr>
        <w:t>熟悉</w:t>
      </w:r>
      <w:r>
        <w:rPr>
          <w:rFonts w:hint="eastAsia"/>
        </w:rPr>
        <w:t>成骨细胞、骨细胞和破骨细胞的光镜结构及功能特点。</w:t>
      </w:r>
    </w:p>
    <w:p w:rsidR="003717A0" w:rsidRDefault="003717A0">
      <w:pPr>
        <w:numPr>
          <w:ilvl w:val="0"/>
          <w:numId w:val="194"/>
        </w:numPr>
        <w:adjustRightInd w:val="0"/>
        <w:snapToGrid w:val="0"/>
        <w:spacing w:line="360" w:lineRule="auto"/>
        <w:ind w:rightChars="2" w:right="4" w:firstLine="300"/>
      </w:pPr>
      <w:r>
        <w:rPr>
          <w:rFonts w:cs="Times New Roman" w:hint="eastAsia"/>
        </w:rPr>
        <w:t>掌握骨密质的骨板排列形式</w:t>
      </w:r>
      <w:r>
        <w:rPr>
          <w:rFonts w:hint="eastAsia"/>
        </w:rPr>
        <w:t>、骨单位的结构特点。</w:t>
      </w:r>
    </w:p>
    <w:p w:rsidR="003717A0" w:rsidRDefault="003717A0" w:rsidP="005E20B5">
      <w:pPr>
        <w:adjustRightInd w:val="0"/>
        <w:snapToGrid w:val="0"/>
        <w:spacing w:beforeLines="50" w:line="360" w:lineRule="auto"/>
        <w:ind w:right="6"/>
        <w:jc w:val="center"/>
        <w:rPr>
          <w:b/>
          <w:sz w:val="22"/>
        </w:rPr>
      </w:pPr>
      <w:r>
        <w:rPr>
          <w:rFonts w:hint="eastAsia"/>
          <w:b/>
          <w:sz w:val="22"/>
        </w:rPr>
        <w:t>第七章</w:t>
      </w:r>
      <w:r>
        <w:rPr>
          <w:b/>
          <w:sz w:val="22"/>
        </w:rPr>
        <w:t xml:space="preserve">  </w:t>
      </w:r>
      <w:r>
        <w:rPr>
          <w:rFonts w:hint="eastAsia"/>
          <w:b/>
          <w:sz w:val="22"/>
        </w:rPr>
        <w:t>肌组织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pStyle w:val="a8"/>
        <w:numPr>
          <w:ilvl w:val="0"/>
          <w:numId w:val="195"/>
        </w:numPr>
        <w:tabs>
          <w:tab w:val="clear" w:pos="1860"/>
          <w:tab w:val="left" w:pos="1260"/>
        </w:tabs>
        <w:adjustRightInd w:val="0"/>
        <w:snapToGrid w:val="0"/>
        <w:spacing w:line="360" w:lineRule="auto"/>
        <w:ind w:left="0" w:right="4" w:firstLine="720"/>
        <w:jc w:val="both"/>
        <w:rPr>
          <w:sz w:val="21"/>
        </w:rPr>
      </w:pPr>
      <w:r>
        <w:rPr>
          <w:rFonts w:hint="eastAsia"/>
          <w:sz w:val="21"/>
        </w:rPr>
        <w:t>肌组织的相关名词和分类。</w:t>
      </w:r>
    </w:p>
    <w:p w:rsidR="003717A0" w:rsidRDefault="003717A0">
      <w:pPr>
        <w:pStyle w:val="a8"/>
        <w:numPr>
          <w:ilvl w:val="0"/>
          <w:numId w:val="195"/>
        </w:numPr>
        <w:tabs>
          <w:tab w:val="clear" w:pos="1860"/>
          <w:tab w:val="left" w:pos="1260"/>
        </w:tabs>
        <w:adjustRightInd w:val="0"/>
        <w:snapToGrid w:val="0"/>
        <w:spacing w:line="360" w:lineRule="auto"/>
        <w:ind w:left="0" w:rightChars="2" w:right="4" w:firstLine="720"/>
        <w:jc w:val="both"/>
        <w:rPr>
          <w:sz w:val="21"/>
        </w:rPr>
      </w:pPr>
      <w:r>
        <w:rPr>
          <w:rFonts w:hint="eastAsia"/>
          <w:sz w:val="21"/>
        </w:rPr>
        <w:t>骨骼肌纤维的光镜结构，肌节的概念；肌原纤维、横小管和肌质网的电镜结构及功能，三联体的概念。</w:t>
      </w:r>
    </w:p>
    <w:p w:rsidR="003717A0" w:rsidRDefault="003717A0">
      <w:pPr>
        <w:pStyle w:val="a8"/>
        <w:numPr>
          <w:ilvl w:val="0"/>
          <w:numId w:val="195"/>
        </w:numPr>
        <w:tabs>
          <w:tab w:val="clear" w:pos="1860"/>
          <w:tab w:val="left" w:pos="1260"/>
        </w:tabs>
        <w:adjustRightInd w:val="0"/>
        <w:snapToGrid w:val="0"/>
        <w:spacing w:line="360" w:lineRule="auto"/>
        <w:ind w:left="0" w:right="4" w:firstLine="720"/>
        <w:jc w:val="both"/>
        <w:rPr>
          <w:sz w:val="21"/>
        </w:rPr>
      </w:pPr>
      <w:r>
        <w:rPr>
          <w:rFonts w:hint="eastAsia"/>
          <w:sz w:val="21"/>
        </w:rPr>
        <w:t>心肌纤维的光、电镜结构特点；闰盘的电镜结构。</w:t>
      </w:r>
    </w:p>
    <w:p w:rsidR="003717A0" w:rsidRDefault="003717A0">
      <w:pPr>
        <w:pStyle w:val="a8"/>
        <w:numPr>
          <w:ilvl w:val="0"/>
          <w:numId w:val="195"/>
        </w:numPr>
        <w:tabs>
          <w:tab w:val="clear" w:pos="1860"/>
          <w:tab w:val="left" w:pos="1260"/>
        </w:tabs>
        <w:adjustRightInd w:val="0"/>
        <w:snapToGrid w:val="0"/>
        <w:spacing w:line="360" w:lineRule="auto"/>
        <w:ind w:left="0" w:right="4" w:firstLine="720"/>
        <w:jc w:val="both"/>
        <w:rPr>
          <w:sz w:val="21"/>
        </w:rPr>
      </w:pPr>
      <w:r>
        <w:rPr>
          <w:rFonts w:hint="eastAsia"/>
          <w:sz w:val="21"/>
        </w:rPr>
        <w:t>平滑肌纤维的光镜结构特点。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196"/>
        </w:numPr>
        <w:adjustRightInd w:val="0"/>
        <w:snapToGrid w:val="0"/>
        <w:spacing w:line="360" w:lineRule="auto"/>
        <w:ind w:right="4" w:hanging="580"/>
        <w:jc w:val="both"/>
        <w:rPr>
          <w:sz w:val="21"/>
        </w:rPr>
      </w:pPr>
      <w:r>
        <w:rPr>
          <w:rFonts w:hint="eastAsia"/>
          <w:sz w:val="21"/>
        </w:rPr>
        <w:t>掌握骨骼肌的光、电镜结构特点。</w:t>
      </w:r>
    </w:p>
    <w:p w:rsidR="003717A0" w:rsidRDefault="003717A0">
      <w:pPr>
        <w:pStyle w:val="a8"/>
        <w:numPr>
          <w:ilvl w:val="0"/>
          <w:numId w:val="196"/>
        </w:numPr>
        <w:adjustRightInd w:val="0"/>
        <w:snapToGrid w:val="0"/>
        <w:spacing w:line="360" w:lineRule="auto"/>
        <w:ind w:right="4" w:hanging="580"/>
        <w:jc w:val="both"/>
        <w:rPr>
          <w:sz w:val="21"/>
        </w:rPr>
      </w:pPr>
      <w:r>
        <w:rPr>
          <w:rFonts w:hint="eastAsia"/>
          <w:sz w:val="21"/>
        </w:rPr>
        <w:t>熟悉心肌的光镜结构特点。</w:t>
      </w:r>
    </w:p>
    <w:p w:rsidR="003717A0" w:rsidRDefault="003717A0">
      <w:pPr>
        <w:pStyle w:val="a8"/>
        <w:numPr>
          <w:ilvl w:val="0"/>
          <w:numId w:val="196"/>
        </w:numPr>
        <w:adjustRightInd w:val="0"/>
        <w:snapToGrid w:val="0"/>
        <w:spacing w:line="360" w:lineRule="auto"/>
        <w:ind w:right="4" w:hanging="580"/>
        <w:jc w:val="both"/>
        <w:rPr>
          <w:sz w:val="21"/>
        </w:rPr>
      </w:pPr>
      <w:r>
        <w:rPr>
          <w:rFonts w:hint="eastAsia"/>
          <w:sz w:val="21"/>
        </w:rPr>
        <w:t>了解平滑肌的光镜结构特点。</w:t>
      </w:r>
    </w:p>
    <w:p w:rsidR="003717A0" w:rsidRDefault="003717A0" w:rsidP="005E20B5">
      <w:pPr>
        <w:adjustRightInd w:val="0"/>
        <w:snapToGrid w:val="0"/>
        <w:spacing w:beforeLines="50" w:line="360" w:lineRule="auto"/>
        <w:ind w:right="6"/>
        <w:jc w:val="center"/>
        <w:rPr>
          <w:b/>
          <w:sz w:val="22"/>
        </w:rPr>
      </w:pPr>
      <w:r>
        <w:rPr>
          <w:rFonts w:hint="eastAsia"/>
          <w:b/>
          <w:sz w:val="22"/>
        </w:rPr>
        <w:t>第八章</w:t>
      </w:r>
      <w:r>
        <w:rPr>
          <w:b/>
          <w:sz w:val="22"/>
        </w:rPr>
        <w:t xml:space="preserve">  </w:t>
      </w:r>
      <w:r>
        <w:rPr>
          <w:rFonts w:hint="eastAsia"/>
          <w:b/>
          <w:sz w:val="22"/>
        </w:rPr>
        <w:t>神经组织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197"/>
        </w:numPr>
        <w:adjustRightInd w:val="0"/>
        <w:snapToGrid w:val="0"/>
        <w:spacing w:line="360" w:lineRule="auto"/>
        <w:ind w:right="4" w:firstLine="300"/>
        <w:jc w:val="both"/>
        <w:rPr>
          <w:sz w:val="21"/>
        </w:rPr>
      </w:pPr>
      <w:r>
        <w:rPr>
          <w:rFonts w:hint="eastAsia"/>
          <w:sz w:val="21"/>
        </w:rPr>
        <w:t>神经组织的一般结构特点。</w:t>
      </w:r>
    </w:p>
    <w:p w:rsidR="003717A0" w:rsidRDefault="003717A0">
      <w:pPr>
        <w:pStyle w:val="a8"/>
        <w:numPr>
          <w:ilvl w:val="0"/>
          <w:numId w:val="197"/>
        </w:numPr>
        <w:adjustRightInd w:val="0"/>
        <w:snapToGrid w:val="0"/>
        <w:spacing w:line="360" w:lineRule="auto"/>
        <w:ind w:right="4" w:firstLine="300"/>
        <w:jc w:val="both"/>
        <w:rPr>
          <w:sz w:val="21"/>
        </w:rPr>
      </w:pPr>
      <w:r>
        <w:rPr>
          <w:rFonts w:hint="eastAsia"/>
          <w:sz w:val="21"/>
        </w:rPr>
        <w:t>神经元的结构，尼氏体、神经原纤维的分布和电镜结构；神经元的分类。</w:t>
      </w:r>
    </w:p>
    <w:p w:rsidR="003717A0" w:rsidRDefault="003717A0">
      <w:pPr>
        <w:pStyle w:val="a8"/>
        <w:numPr>
          <w:ilvl w:val="0"/>
          <w:numId w:val="197"/>
        </w:numPr>
        <w:tabs>
          <w:tab w:val="clear" w:pos="420"/>
          <w:tab w:val="left" w:pos="0"/>
        </w:tabs>
        <w:adjustRightInd w:val="0"/>
        <w:snapToGrid w:val="0"/>
        <w:spacing w:line="360" w:lineRule="auto"/>
        <w:ind w:left="0" w:right="4" w:firstLine="720"/>
        <w:jc w:val="both"/>
        <w:rPr>
          <w:sz w:val="21"/>
        </w:rPr>
      </w:pPr>
      <w:r>
        <w:rPr>
          <w:rFonts w:hint="eastAsia"/>
          <w:sz w:val="21"/>
        </w:rPr>
        <w:t>化学性突触的光、电镜结构及功能。</w:t>
      </w:r>
    </w:p>
    <w:p w:rsidR="003717A0" w:rsidRDefault="003717A0">
      <w:pPr>
        <w:pStyle w:val="a8"/>
        <w:numPr>
          <w:ilvl w:val="0"/>
          <w:numId w:val="197"/>
        </w:numPr>
        <w:tabs>
          <w:tab w:val="clear" w:pos="420"/>
          <w:tab w:val="left" w:pos="0"/>
        </w:tabs>
        <w:adjustRightInd w:val="0"/>
        <w:snapToGrid w:val="0"/>
        <w:spacing w:line="360" w:lineRule="auto"/>
        <w:ind w:left="0" w:rightChars="2" w:right="4" w:firstLine="720"/>
        <w:jc w:val="both"/>
        <w:rPr>
          <w:sz w:val="21"/>
        </w:rPr>
      </w:pPr>
      <w:r>
        <w:rPr>
          <w:rFonts w:hint="eastAsia"/>
          <w:sz w:val="21"/>
        </w:rPr>
        <w:t>星形胶质细胞、少突胶质细胞、小胶质细胞和施万细胞的结构及功能特点；血</w:t>
      </w:r>
      <w:r>
        <w:rPr>
          <w:sz w:val="21"/>
        </w:rPr>
        <w:t>-</w:t>
      </w:r>
      <w:r>
        <w:rPr>
          <w:rFonts w:hint="eastAsia"/>
          <w:sz w:val="21"/>
        </w:rPr>
        <w:t>脑屏障的组成及功能。</w:t>
      </w:r>
    </w:p>
    <w:p w:rsidR="003717A0" w:rsidRDefault="003717A0">
      <w:pPr>
        <w:pStyle w:val="a8"/>
        <w:numPr>
          <w:ilvl w:val="0"/>
          <w:numId w:val="197"/>
        </w:numPr>
        <w:tabs>
          <w:tab w:val="clear" w:pos="420"/>
          <w:tab w:val="left" w:pos="0"/>
        </w:tabs>
        <w:adjustRightInd w:val="0"/>
        <w:snapToGrid w:val="0"/>
        <w:spacing w:line="360" w:lineRule="auto"/>
        <w:ind w:left="0" w:rightChars="2" w:right="4" w:firstLine="720"/>
        <w:jc w:val="both"/>
        <w:rPr>
          <w:sz w:val="21"/>
        </w:rPr>
      </w:pPr>
      <w:r>
        <w:rPr>
          <w:rFonts w:hint="eastAsia"/>
          <w:sz w:val="21"/>
        </w:rPr>
        <w:t>有髓神经纤维的光、电镜结构，髓鞘的形成；无髓神经纤维的结构特点。</w:t>
      </w:r>
    </w:p>
    <w:p w:rsidR="003717A0" w:rsidRDefault="003717A0">
      <w:pPr>
        <w:adjustRightInd w:val="0"/>
        <w:snapToGrid w:val="0"/>
        <w:spacing w:line="360" w:lineRule="auto"/>
        <w:ind w:right="6" w:firstLineChars="200" w:firstLine="420"/>
      </w:pPr>
      <w:r>
        <w:rPr>
          <w:rFonts w:hint="eastAsia"/>
        </w:rPr>
        <w:t>感觉神经末梢：游离神经末梢、触觉小体、环层小体、肌梭的结构及功能特点；运动神经末梢：躯体、内脏运动神经末梢的结构及功能特点。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lastRenderedPageBreak/>
        <w:t>目的要求</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了解神经组织的一般结构特点。</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掌握神经元的结构及分类。</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掌握突触的光、电镜结构。</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了解神经胶质细胞的种类及功能。</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熟悉血</w:t>
      </w:r>
      <w:r>
        <w:rPr>
          <w:sz w:val="21"/>
        </w:rPr>
        <w:t>-</w:t>
      </w:r>
      <w:r>
        <w:rPr>
          <w:rFonts w:hint="eastAsia"/>
          <w:sz w:val="21"/>
        </w:rPr>
        <w:t>脑屏障的组成和功能。</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熟悉神经纤维的结构与分类。</w:t>
      </w:r>
    </w:p>
    <w:p w:rsidR="003717A0" w:rsidRDefault="003717A0">
      <w:pPr>
        <w:pStyle w:val="a8"/>
        <w:numPr>
          <w:ilvl w:val="0"/>
          <w:numId w:val="198"/>
        </w:numPr>
        <w:tabs>
          <w:tab w:val="clear" w:pos="1060"/>
          <w:tab w:val="left" w:pos="1260"/>
        </w:tabs>
        <w:adjustRightInd w:val="0"/>
        <w:snapToGrid w:val="0"/>
        <w:spacing w:line="360" w:lineRule="auto"/>
        <w:ind w:left="1260" w:right="4" w:hanging="540"/>
        <w:jc w:val="both"/>
        <w:rPr>
          <w:sz w:val="21"/>
        </w:rPr>
      </w:pPr>
      <w:r>
        <w:rPr>
          <w:rFonts w:hint="eastAsia"/>
          <w:sz w:val="21"/>
        </w:rPr>
        <w:t>了解神经末梢的种类及功能。</w:t>
      </w:r>
    </w:p>
    <w:p w:rsidR="003717A0" w:rsidRDefault="003717A0" w:rsidP="005E20B5">
      <w:pPr>
        <w:adjustRightInd w:val="0"/>
        <w:snapToGrid w:val="0"/>
        <w:spacing w:beforeLines="50" w:line="360" w:lineRule="auto"/>
        <w:ind w:right="6"/>
        <w:jc w:val="center"/>
        <w:rPr>
          <w:b/>
          <w:sz w:val="22"/>
        </w:rPr>
      </w:pPr>
      <w:r>
        <w:rPr>
          <w:rFonts w:hint="eastAsia"/>
          <w:b/>
          <w:sz w:val="22"/>
        </w:rPr>
        <w:t>第九章</w:t>
      </w:r>
      <w:r>
        <w:rPr>
          <w:b/>
          <w:sz w:val="22"/>
        </w:rPr>
        <w:t xml:space="preserve">  </w:t>
      </w:r>
      <w:r>
        <w:rPr>
          <w:rFonts w:hint="eastAsia"/>
          <w:b/>
          <w:sz w:val="22"/>
        </w:rPr>
        <w:t>循环系统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pStyle w:val="a8"/>
        <w:numPr>
          <w:ilvl w:val="0"/>
          <w:numId w:val="199"/>
        </w:numPr>
        <w:tabs>
          <w:tab w:val="left" w:pos="1260"/>
        </w:tabs>
        <w:adjustRightInd w:val="0"/>
        <w:snapToGrid w:val="0"/>
        <w:spacing w:line="360" w:lineRule="auto"/>
        <w:ind w:right="4" w:firstLine="300"/>
        <w:jc w:val="both"/>
        <w:rPr>
          <w:sz w:val="21"/>
        </w:rPr>
      </w:pPr>
      <w:r>
        <w:rPr>
          <w:rFonts w:hint="eastAsia"/>
          <w:sz w:val="21"/>
        </w:rPr>
        <w:t>血管壁的一般结构。</w:t>
      </w:r>
    </w:p>
    <w:p w:rsidR="003717A0" w:rsidRDefault="003717A0">
      <w:pPr>
        <w:pStyle w:val="a8"/>
        <w:numPr>
          <w:ilvl w:val="0"/>
          <w:numId w:val="199"/>
        </w:numPr>
        <w:tabs>
          <w:tab w:val="left" w:pos="1260"/>
        </w:tabs>
        <w:adjustRightInd w:val="0"/>
        <w:snapToGrid w:val="0"/>
        <w:spacing w:line="360" w:lineRule="auto"/>
        <w:ind w:right="4" w:firstLine="300"/>
        <w:jc w:val="both"/>
        <w:rPr>
          <w:sz w:val="21"/>
        </w:rPr>
      </w:pPr>
      <w:r>
        <w:rPr>
          <w:rFonts w:hint="eastAsia"/>
          <w:sz w:val="21"/>
        </w:rPr>
        <w:t>大动脉、中动脉和小动脉的结构及功能特点。</w:t>
      </w:r>
    </w:p>
    <w:p w:rsidR="003717A0" w:rsidRDefault="003717A0">
      <w:pPr>
        <w:pStyle w:val="a8"/>
        <w:numPr>
          <w:ilvl w:val="0"/>
          <w:numId w:val="199"/>
        </w:numPr>
        <w:tabs>
          <w:tab w:val="left" w:pos="1260"/>
        </w:tabs>
        <w:adjustRightInd w:val="0"/>
        <w:snapToGrid w:val="0"/>
        <w:spacing w:line="360" w:lineRule="auto"/>
        <w:ind w:right="4" w:firstLine="300"/>
        <w:jc w:val="both"/>
        <w:rPr>
          <w:sz w:val="21"/>
        </w:rPr>
      </w:pPr>
      <w:r>
        <w:rPr>
          <w:rFonts w:hint="eastAsia"/>
          <w:sz w:val="21"/>
        </w:rPr>
        <w:t>毛细血管的分类、分布、电镜结构及功能。</w:t>
      </w:r>
    </w:p>
    <w:p w:rsidR="003717A0" w:rsidRDefault="003717A0">
      <w:pPr>
        <w:pStyle w:val="a8"/>
        <w:numPr>
          <w:ilvl w:val="0"/>
          <w:numId w:val="199"/>
        </w:numPr>
        <w:tabs>
          <w:tab w:val="left" w:pos="1260"/>
        </w:tabs>
        <w:adjustRightInd w:val="0"/>
        <w:snapToGrid w:val="0"/>
        <w:spacing w:line="360" w:lineRule="auto"/>
        <w:ind w:right="4" w:firstLine="300"/>
        <w:jc w:val="both"/>
        <w:rPr>
          <w:sz w:val="21"/>
        </w:rPr>
      </w:pPr>
      <w:r>
        <w:rPr>
          <w:rFonts w:hint="eastAsia"/>
          <w:sz w:val="21"/>
        </w:rPr>
        <w:t>静脉的结构特点。</w:t>
      </w:r>
    </w:p>
    <w:p w:rsidR="003717A0" w:rsidRDefault="003717A0">
      <w:pPr>
        <w:adjustRightInd w:val="0"/>
        <w:snapToGrid w:val="0"/>
        <w:spacing w:line="360" w:lineRule="auto"/>
        <w:ind w:right="6" w:firstLineChars="350" w:firstLine="735"/>
      </w:pPr>
      <w:r>
        <w:t xml:space="preserve">5.   </w:t>
      </w:r>
      <w:r>
        <w:rPr>
          <w:rFonts w:hint="eastAsia"/>
        </w:rPr>
        <w:t>心脏壁的结构；浦肯野纤维的光镜结构及功能。</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00"/>
        </w:numPr>
        <w:tabs>
          <w:tab w:val="clear" w:pos="1060"/>
          <w:tab w:val="left" w:pos="1260"/>
        </w:tabs>
        <w:adjustRightInd w:val="0"/>
        <w:snapToGrid w:val="0"/>
        <w:spacing w:line="360" w:lineRule="auto"/>
        <w:ind w:right="4" w:hanging="340"/>
        <w:jc w:val="both"/>
        <w:rPr>
          <w:sz w:val="21"/>
        </w:rPr>
      </w:pPr>
      <w:r>
        <w:rPr>
          <w:rFonts w:hint="eastAsia"/>
          <w:sz w:val="21"/>
        </w:rPr>
        <w:t>熟悉血管壁的一般结构。</w:t>
      </w:r>
    </w:p>
    <w:p w:rsidR="003717A0" w:rsidRDefault="003717A0">
      <w:pPr>
        <w:pStyle w:val="a8"/>
        <w:numPr>
          <w:ilvl w:val="0"/>
          <w:numId w:val="200"/>
        </w:numPr>
        <w:tabs>
          <w:tab w:val="clear" w:pos="1060"/>
          <w:tab w:val="left" w:pos="1260"/>
        </w:tabs>
        <w:adjustRightInd w:val="0"/>
        <w:snapToGrid w:val="0"/>
        <w:spacing w:line="360" w:lineRule="auto"/>
        <w:ind w:right="4" w:hanging="340"/>
        <w:jc w:val="both"/>
        <w:rPr>
          <w:sz w:val="21"/>
        </w:rPr>
      </w:pPr>
      <w:r>
        <w:rPr>
          <w:rFonts w:hint="eastAsia"/>
          <w:sz w:val="21"/>
        </w:rPr>
        <w:t>掌握大动脉、中动脉和小动脉的结构及功能特点。</w:t>
      </w:r>
    </w:p>
    <w:p w:rsidR="003717A0" w:rsidRDefault="003717A0">
      <w:pPr>
        <w:pStyle w:val="a8"/>
        <w:numPr>
          <w:ilvl w:val="0"/>
          <w:numId w:val="200"/>
        </w:numPr>
        <w:tabs>
          <w:tab w:val="clear" w:pos="1060"/>
          <w:tab w:val="left" w:pos="1260"/>
        </w:tabs>
        <w:adjustRightInd w:val="0"/>
        <w:snapToGrid w:val="0"/>
        <w:spacing w:line="360" w:lineRule="auto"/>
        <w:ind w:right="4" w:hanging="340"/>
        <w:jc w:val="both"/>
        <w:rPr>
          <w:sz w:val="21"/>
        </w:rPr>
      </w:pPr>
      <w:r>
        <w:rPr>
          <w:rFonts w:hint="eastAsia"/>
          <w:sz w:val="21"/>
        </w:rPr>
        <w:t>熟悉三种毛细血管的分布和电镜结构特点。</w:t>
      </w:r>
    </w:p>
    <w:p w:rsidR="003717A0" w:rsidRDefault="003717A0">
      <w:pPr>
        <w:pStyle w:val="a8"/>
        <w:numPr>
          <w:ilvl w:val="0"/>
          <w:numId w:val="200"/>
        </w:numPr>
        <w:tabs>
          <w:tab w:val="clear" w:pos="1060"/>
          <w:tab w:val="left" w:pos="1260"/>
        </w:tabs>
        <w:adjustRightInd w:val="0"/>
        <w:snapToGrid w:val="0"/>
        <w:spacing w:line="360" w:lineRule="auto"/>
        <w:ind w:right="4" w:hanging="340"/>
        <w:jc w:val="both"/>
        <w:rPr>
          <w:sz w:val="21"/>
        </w:rPr>
      </w:pPr>
      <w:r>
        <w:rPr>
          <w:rFonts w:hint="eastAsia"/>
          <w:sz w:val="21"/>
        </w:rPr>
        <w:t>了解心脏壁的结构。</w:t>
      </w:r>
    </w:p>
    <w:p w:rsidR="003717A0" w:rsidRDefault="003717A0" w:rsidP="005E20B5">
      <w:pPr>
        <w:adjustRightInd w:val="0"/>
        <w:snapToGrid w:val="0"/>
        <w:spacing w:beforeLines="50" w:line="360" w:lineRule="auto"/>
        <w:ind w:right="6"/>
        <w:jc w:val="center"/>
        <w:rPr>
          <w:b/>
          <w:sz w:val="22"/>
        </w:rPr>
      </w:pPr>
      <w:r>
        <w:rPr>
          <w:rFonts w:hint="eastAsia"/>
          <w:b/>
          <w:sz w:val="22"/>
        </w:rPr>
        <w:t>第十章</w:t>
      </w:r>
      <w:r>
        <w:rPr>
          <w:b/>
          <w:sz w:val="22"/>
        </w:rPr>
        <w:t xml:space="preserve">  </w:t>
      </w:r>
      <w:r>
        <w:rPr>
          <w:rFonts w:hint="eastAsia"/>
          <w:b/>
          <w:sz w:val="22"/>
        </w:rPr>
        <w:t>免疫系统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201"/>
        </w:numPr>
        <w:tabs>
          <w:tab w:val="clear" w:pos="420"/>
          <w:tab w:val="left" w:pos="0"/>
          <w:tab w:val="left" w:pos="1260"/>
        </w:tabs>
        <w:adjustRightInd w:val="0"/>
        <w:snapToGrid w:val="0"/>
        <w:spacing w:line="360" w:lineRule="auto"/>
        <w:ind w:left="0" w:right="4" w:firstLine="720"/>
        <w:jc w:val="both"/>
        <w:rPr>
          <w:sz w:val="21"/>
        </w:rPr>
      </w:pPr>
      <w:r>
        <w:rPr>
          <w:rFonts w:hint="eastAsia"/>
          <w:sz w:val="21"/>
        </w:rPr>
        <w:t>免疫系统的组成和功能。</w:t>
      </w:r>
    </w:p>
    <w:p w:rsidR="003717A0" w:rsidRDefault="003717A0">
      <w:pPr>
        <w:pStyle w:val="a8"/>
        <w:numPr>
          <w:ilvl w:val="0"/>
          <w:numId w:val="201"/>
        </w:numPr>
        <w:tabs>
          <w:tab w:val="clear" w:pos="420"/>
          <w:tab w:val="left" w:pos="0"/>
          <w:tab w:val="left" w:pos="1260"/>
        </w:tabs>
        <w:adjustRightInd w:val="0"/>
        <w:snapToGrid w:val="0"/>
        <w:spacing w:line="360" w:lineRule="auto"/>
        <w:ind w:left="0" w:right="4" w:firstLine="720"/>
        <w:jc w:val="both"/>
        <w:rPr>
          <w:sz w:val="21"/>
        </w:rPr>
      </w:pPr>
      <w:r>
        <w:rPr>
          <w:rFonts w:hint="eastAsia"/>
          <w:sz w:val="21"/>
        </w:rPr>
        <w:t>淋巴细胞的分类及功能；单核吞噬细胞系统的组成和分布。</w:t>
      </w:r>
    </w:p>
    <w:p w:rsidR="003717A0" w:rsidRDefault="003717A0">
      <w:pPr>
        <w:pStyle w:val="a8"/>
        <w:numPr>
          <w:ilvl w:val="0"/>
          <w:numId w:val="201"/>
        </w:numPr>
        <w:tabs>
          <w:tab w:val="clear" w:pos="420"/>
          <w:tab w:val="left" w:pos="0"/>
          <w:tab w:val="left" w:pos="1260"/>
        </w:tabs>
        <w:adjustRightInd w:val="0"/>
        <w:snapToGrid w:val="0"/>
        <w:spacing w:line="360" w:lineRule="auto"/>
        <w:ind w:left="0" w:rightChars="2" w:right="4" w:firstLine="720"/>
        <w:jc w:val="both"/>
        <w:rPr>
          <w:sz w:val="21"/>
        </w:rPr>
      </w:pPr>
      <w:r>
        <w:rPr>
          <w:rFonts w:hint="eastAsia"/>
          <w:sz w:val="21"/>
        </w:rPr>
        <w:t>淋巴组织的分类和结构特点；胸腺依赖区的概念。</w:t>
      </w:r>
    </w:p>
    <w:p w:rsidR="003717A0" w:rsidRDefault="003717A0">
      <w:pPr>
        <w:pStyle w:val="a8"/>
        <w:numPr>
          <w:ilvl w:val="0"/>
          <w:numId w:val="201"/>
        </w:numPr>
        <w:tabs>
          <w:tab w:val="clear" w:pos="420"/>
          <w:tab w:val="left" w:pos="0"/>
          <w:tab w:val="left" w:pos="1260"/>
        </w:tabs>
        <w:adjustRightInd w:val="0"/>
        <w:snapToGrid w:val="0"/>
        <w:spacing w:line="360" w:lineRule="auto"/>
        <w:ind w:left="0" w:rightChars="2" w:right="4" w:firstLine="720"/>
        <w:jc w:val="both"/>
        <w:rPr>
          <w:sz w:val="21"/>
        </w:rPr>
      </w:pPr>
      <w:r>
        <w:rPr>
          <w:rFonts w:hint="eastAsia"/>
          <w:sz w:val="21"/>
        </w:rPr>
        <w:t>淋巴器官的分类和结构特点。</w:t>
      </w:r>
    </w:p>
    <w:p w:rsidR="003717A0" w:rsidRDefault="003717A0">
      <w:pPr>
        <w:pStyle w:val="a8"/>
        <w:numPr>
          <w:ilvl w:val="0"/>
          <w:numId w:val="201"/>
        </w:numPr>
        <w:tabs>
          <w:tab w:val="clear" w:pos="420"/>
          <w:tab w:val="left" w:pos="0"/>
          <w:tab w:val="left" w:pos="1260"/>
        </w:tabs>
        <w:adjustRightInd w:val="0"/>
        <w:snapToGrid w:val="0"/>
        <w:spacing w:line="360" w:lineRule="auto"/>
        <w:ind w:left="0" w:rightChars="2" w:right="4" w:firstLine="720"/>
        <w:jc w:val="both"/>
        <w:rPr>
          <w:sz w:val="21"/>
        </w:rPr>
      </w:pPr>
      <w:r>
        <w:rPr>
          <w:rFonts w:hint="eastAsia"/>
          <w:sz w:val="21"/>
        </w:rPr>
        <w:t>胸腺的一般结构，皮质与髓质的结构；胸腺的功能，血</w:t>
      </w:r>
      <w:r>
        <w:rPr>
          <w:sz w:val="21"/>
        </w:rPr>
        <w:t>-</w:t>
      </w:r>
      <w:r>
        <w:rPr>
          <w:rFonts w:hint="eastAsia"/>
          <w:sz w:val="21"/>
        </w:rPr>
        <w:t>胸腺屏障的组成和功能。</w:t>
      </w:r>
    </w:p>
    <w:p w:rsidR="003717A0" w:rsidRDefault="003717A0">
      <w:pPr>
        <w:pStyle w:val="a8"/>
        <w:numPr>
          <w:ilvl w:val="0"/>
          <w:numId w:val="201"/>
        </w:numPr>
        <w:tabs>
          <w:tab w:val="clear" w:pos="420"/>
          <w:tab w:val="left" w:pos="0"/>
          <w:tab w:val="left" w:pos="1260"/>
        </w:tabs>
        <w:adjustRightInd w:val="0"/>
        <w:snapToGrid w:val="0"/>
        <w:spacing w:line="360" w:lineRule="auto"/>
        <w:ind w:left="0" w:rightChars="2" w:right="4" w:firstLine="720"/>
        <w:jc w:val="both"/>
        <w:rPr>
          <w:sz w:val="21"/>
        </w:rPr>
      </w:pPr>
      <w:r>
        <w:rPr>
          <w:rFonts w:hint="eastAsia"/>
          <w:sz w:val="21"/>
        </w:rPr>
        <w:t>淋巴结的一般结构，皮质与髓质的结构；淋巴结的功能。</w:t>
      </w:r>
    </w:p>
    <w:p w:rsidR="003717A0" w:rsidRDefault="003717A0">
      <w:pPr>
        <w:pStyle w:val="a8"/>
        <w:numPr>
          <w:ilvl w:val="0"/>
          <w:numId w:val="201"/>
        </w:numPr>
        <w:tabs>
          <w:tab w:val="clear" w:pos="420"/>
          <w:tab w:val="left" w:pos="0"/>
          <w:tab w:val="left" w:pos="1260"/>
        </w:tabs>
        <w:adjustRightInd w:val="0"/>
        <w:snapToGrid w:val="0"/>
        <w:spacing w:line="360" w:lineRule="auto"/>
        <w:ind w:left="0" w:rightChars="2" w:right="4" w:firstLine="720"/>
        <w:jc w:val="both"/>
        <w:rPr>
          <w:sz w:val="21"/>
        </w:rPr>
      </w:pPr>
      <w:r>
        <w:rPr>
          <w:rFonts w:hint="eastAsia"/>
          <w:sz w:val="21"/>
        </w:rPr>
        <w:t>脾的一般结构，白髓与红髓的结构；脾的功能。</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02"/>
        </w:numPr>
        <w:tabs>
          <w:tab w:val="clear" w:pos="1060"/>
          <w:tab w:val="left" w:pos="1260"/>
        </w:tabs>
        <w:adjustRightInd w:val="0"/>
        <w:snapToGrid w:val="0"/>
        <w:spacing w:line="360" w:lineRule="auto"/>
        <w:ind w:right="4" w:hanging="340"/>
        <w:jc w:val="both"/>
        <w:rPr>
          <w:sz w:val="21"/>
        </w:rPr>
      </w:pPr>
      <w:r>
        <w:rPr>
          <w:rFonts w:hint="eastAsia"/>
          <w:sz w:val="21"/>
        </w:rPr>
        <w:t>了解淋巴细胞的分类和功能、单核吞噬细胞系统的组成和分布。</w:t>
      </w:r>
    </w:p>
    <w:p w:rsidR="003717A0" w:rsidRDefault="003717A0">
      <w:pPr>
        <w:pStyle w:val="a8"/>
        <w:numPr>
          <w:ilvl w:val="0"/>
          <w:numId w:val="202"/>
        </w:numPr>
        <w:tabs>
          <w:tab w:val="clear" w:pos="1060"/>
          <w:tab w:val="left" w:pos="1260"/>
        </w:tabs>
        <w:adjustRightInd w:val="0"/>
        <w:snapToGrid w:val="0"/>
        <w:spacing w:line="360" w:lineRule="auto"/>
        <w:ind w:right="4" w:hanging="340"/>
        <w:jc w:val="both"/>
        <w:rPr>
          <w:sz w:val="21"/>
        </w:rPr>
      </w:pPr>
      <w:r>
        <w:rPr>
          <w:rFonts w:hint="eastAsia"/>
          <w:sz w:val="21"/>
        </w:rPr>
        <w:t>了解中枢与周围淋巴器官的概念和组成。</w:t>
      </w:r>
    </w:p>
    <w:p w:rsidR="003717A0" w:rsidRDefault="003717A0">
      <w:pPr>
        <w:pStyle w:val="a8"/>
        <w:numPr>
          <w:ilvl w:val="0"/>
          <w:numId w:val="202"/>
        </w:numPr>
        <w:tabs>
          <w:tab w:val="clear" w:pos="1060"/>
          <w:tab w:val="left" w:pos="1260"/>
        </w:tabs>
        <w:adjustRightInd w:val="0"/>
        <w:snapToGrid w:val="0"/>
        <w:spacing w:line="360" w:lineRule="auto"/>
        <w:ind w:right="4" w:hanging="340"/>
        <w:jc w:val="both"/>
        <w:rPr>
          <w:sz w:val="21"/>
        </w:rPr>
      </w:pPr>
      <w:r>
        <w:rPr>
          <w:rFonts w:hint="eastAsia"/>
          <w:sz w:val="21"/>
        </w:rPr>
        <w:t>了解胸腺的结构及功能特点。</w:t>
      </w:r>
    </w:p>
    <w:p w:rsidR="003717A0" w:rsidRDefault="003717A0">
      <w:pPr>
        <w:pStyle w:val="a8"/>
        <w:numPr>
          <w:ilvl w:val="0"/>
          <w:numId w:val="202"/>
        </w:numPr>
        <w:tabs>
          <w:tab w:val="clear" w:pos="1060"/>
          <w:tab w:val="left" w:pos="1260"/>
        </w:tabs>
        <w:adjustRightInd w:val="0"/>
        <w:snapToGrid w:val="0"/>
        <w:spacing w:line="360" w:lineRule="auto"/>
        <w:ind w:right="4" w:hanging="340"/>
        <w:jc w:val="both"/>
        <w:rPr>
          <w:sz w:val="21"/>
        </w:rPr>
      </w:pPr>
      <w:r>
        <w:rPr>
          <w:rFonts w:hint="eastAsia"/>
          <w:sz w:val="21"/>
        </w:rPr>
        <w:lastRenderedPageBreak/>
        <w:t>熟悉血</w:t>
      </w:r>
      <w:r>
        <w:rPr>
          <w:sz w:val="21"/>
        </w:rPr>
        <w:t>-</w:t>
      </w:r>
      <w:r>
        <w:rPr>
          <w:rFonts w:hint="eastAsia"/>
          <w:sz w:val="21"/>
        </w:rPr>
        <w:t>胸腺屏障的组成和功能。</w:t>
      </w:r>
    </w:p>
    <w:p w:rsidR="003717A0" w:rsidRDefault="003717A0">
      <w:pPr>
        <w:pStyle w:val="a8"/>
        <w:numPr>
          <w:ilvl w:val="0"/>
          <w:numId w:val="202"/>
        </w:numPr>
        <w:tabs>
          <w:tab w:val="clear" w:pos="1060"/>
          <w:tab w:val="left" w:pos="1260"/>
        </w:tabs>
        <w:adjustRightInd w:val="0"/>
        <w:snapToGrid w:val="0"/>
        <w:spacing w:line="360" w:lineRule="auto"/>
        <w:ind w:right="4" w:hanging="340"/>
        <w:jc w:val="both"/>
        <w:rPr>
          <w:sz w:val="21"/>
        </w:rPr>
      </w:pPr>
      <w:r>
        <w:rPr>
          <w:rFonts w:hint="eastAsia"/>
          <w:sz w:val="21"/>
        </w:rPr>
        <w:t>掌握淋巴结和脾的结构及功能特点。</w:t>
      </w:r>
    </w:p>
    <w:p w:rsidR="003717A0" w:rsidRDefault="003717A0" w:rsidP="005E20B5">
      <w:pPr>
        <w:adjustRightInd w:val="0"/>
        <w:snapToGrid w:val="0"/>
        <w:spacing w:beforeLines="50" w:line="360" w:lineRule="auto"/>
        <w:ind w:right="6"/>
        <w:jc w:val="center"/>
        <w:rPr>
          <w:b/>
          <w:sz w:val="22"/>
        </w:rPr>
      </w:pPr>
      <w:r>
        <w:rPr>
          <w:rFonts w:hint="eastAsia"/>
          <w:b/>
          <w:sz w:val="22"/>
        </w:rPr>
        <w:t>第十一章</w:t>
      </w:r>
      <w:r>
        <w:rPr>
          <w:b/>
          <w:sz w:val="22"/>
        </w:rPr>
        <w:t xml:space="preserve">  </w:t>
      </w:r>
      <w:r>
        <w:rPr>
          <w:rFonts w:hint="eastAsia"/>
          <w:b/>
          <w:sz w:val="22"/>
        </w:rPr>
        <w:t>内分泌系统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pStyle w:val="a8"/>
        <w:numPr>
          <w:ilvl w:val="0"/>
          <w:numId w:val="203"/>
        </w:numPr>
        <w:tabs>
          <w:tab w:val="clear" w:pos="1060"/>
          <w:tab w:val="left" w:pos="1260"/>
        </w:tabs>
        <w:adjustRightInd w:val="0"/>
        <w:snapToGrid w:val="0"/>
        <w:spacing w:line="360" w:lineRule="auto"/>
        <w:ind w:left="0" w:right="4" w:firstLine="720"/>
        <w:jc w:val="both"/>
        <w:rPr>
          <w:sz w:val="21"/>
        </w:rPr>
      </w:pPr>
      <w:r>
        <w:rPr>
          <w:rFonts w:hint="eastAsia"/>
          <w:sz w:val="21"/>
        </w:rPr>
        <w:t>内分泌系统的组成；内分泌腺的一般结构特点。</w:t>
      </w:r>
    </w:p>
    <w:p w:rsidR="003717A0" w:rsidRDefault="003717A0">
      <w:pPr>
        <w:pStyle w:val="a8"/>
        <w:numPr>
          <w:ilvl w:val="0"/>
          <w:numId w:val="203"/>
        </w:numPr>
        <w:tabs>
          <w:tab w:val="clear" w:pos="1060"/>
          <w:tab w:val="left" w:pos="1260"/>
        </w:tabs>
        <w:adjustRightInd w:val="0"/>
        <w:snapToGrid w:val="0"/>
        <w:spacing w:line="360" w:lineRule="auto"/>
        <w:ind w:left="0" w:right="4" w:firstLine="720"/>
        <w:jc w:val="both"/>
        <w:rPr>
          <w:sz w:val="21"/>
        </w:rPr>
      </w:pPr>
      <w:r>
        <w:rPr>
          <w:rFonts w:hint="eastAsia"/>
          <w:sz w:val="21"/>
        </w:rPr>
        <w:t>甲状腺的一般结构；甲状腺滤泡细胞的光镜结构及功能，分泌异常导致的疾病；滤泡旁细胞的分布、光镜结构及功能。</w:t>
      </w:r>
    </w:p>
    <w:p w:rsidR="003717A0" w:rsidRDefault="003717A0">
      <w:pPr>
        <w:pStyle w:val="a8"/>
        <w:numPr>
          <w:ilvl w:val="0"/>
          <w:numId w:val="203"/>
        </w:numPr>
        <w:tabs>
          <w:tab w:val="clear" w:pos="1060"/>
          <w:tab w:val="left" w:pos="1260"/>
        </w:tabs>
        <w:adjustRightInd w:val="0"/>
        <w:snapToGrid w:val="0"/>
        <w:spacing w:line="360" w:lineRule="auto"/>
        <w:ind w:left="0" w:right="4" w:firstLine="720"/>
        <w:jc w:val="both"/>
        <w:rPr>
          <w:sz w:val="21"/>
        </w:rPr>
      </w:pPr>
      <w:r>
        <w:rPr>
          <w:rFonts w:hint="eastAsia"/>
          <w:sz w:val="21"/>
        </w:rPr>
        <w:t>肾上腺的一般结构；皮质的光镜结构及功能；髓质细胞的分类及功能。</w:t>
      </w:r>
    </w:p>
    <w:p w:rsidR="003717A0" w:rsidRDefault="003717A0">
      <w:pPr>
        <w:pStyle w:val="a8"/>
        <w:numPr>
          <w:ilvl w:val="0"/>
          <w:numId w:val="203"/>
        </w:numPr>
        <w:tabs>
          <w:tab w:val="clear" w:pos="1060"/>
          <w:tab w:val="left" w:pos="1260"/>
        </w:tabs>
        <w:adjustRightInd w:val="0"/>
        <w:snapToGrid w:val="0"/>
        <w:spacing w:line="360" w:lineRule="auto"/>
        <w:ind w:left="0" w:right="4" w:firstLine="720"/>
        <w:jc w:val="both"/>
        <w:rPr>
          <w:sz w:val="21"/>
          <w:szCs w:val="21"/>
        </w:rPr>
      </w:pPr>
      <w:r>
        <w:rPr>
          <w:rFonts w:hint="eastAsia"/>
          <w:sz w:val="21"/>
        </w:rPr>
        <w:t>垂体的一般结构；腺垂体远侧部的细胞组成，嗜色细胞的分类及功能，分泌异常导致的疾病；神经垂体的组织结构特点；</w:t>
      </w:r>
      <w:r>
        <w:rPr>
          <w:rFonts w:hint="eastAsia"/>
          <w:sz w:val="21"/>
          <w:szCs w:val="21"/>
        </w:rPr>
        <w:t>垂体门脉系统的组成；下丘脑与腺垂体、神经垂体的关系。</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04"/>
        </w:numPr>
        <w:tabs>
          <w:tab w:val="clear" w:pos="1060"/>
          <w:tab w:val="left" w:pos="1260"/>
        </w:tabs>
        <w:adjustRightInd w:val="0"/>
        <w:snapToGrid w:val="0"/>
        <w:spacing w:line="360" w:lineRule="auto"/>
        <w:ind w:left="1260" w:right="4" w:hanging="540"/>
        <w:jc w:val="both"/>
        <w:rPr>
          <w:sz w:val="21"/>
        </w:rPr>
      </w:pPr>
      <w:r>
        <w:rPr>
          <w:rFonts w:hint="eastAsia"/>
          <w:sz w:val="21"/>
        </w:rPr>
        <w:t>了解内分泌腺的一般结构特点。</w:t>
      </w:r>
    </w:p>
    <w:p w:rsidR="003717A0" w:rsidRDefault="003717A0">
      <w:pPr>
        <w:pStyle w:val="a8"/>
        <w:numPr>
          <w:ilvl w:val="0"/>
          <w:numId w:val="204"/>
        </w:numPr>
        <w:tabs>
          <w:tab w:val="clear" w:pos="1060"/>
          <w:tab w:val="left" w:pos="1260"/>
        </w:tabs>
        <w:adjustRightInd w:val="0"/>
        <w:snapToGrid w:val="0"/>
        <w:spacing w:line="360" w:lineRule="auto"/>
        <w:ind w:left="1260" w:right="4" w:hanging="540"/>
        <w:jc w:val="both"/>
        <w:rPr>
          <w:sz w:val="21"/>
        </w:rPr>
      </w:pPr>
      <w:r>
        <w:rPr>
          <w:rFonts w:hint="eastAsia"/>
          <w:sz w:val="21"/>
        </w:rPr>
        <w:t>掌握甲状腺、肾上腺的光镜结构特点、功能以及分泌异常导致的疾病。</w:t>
      </w:r>
    </w:p>
    <w:p w:rsidR="003717A0" w:rsidRDefault="003717A0">
      <w:pPr>
        <w:pStyle w:val="a8"/>
        <w:numPr>
          <w:ilvl w:val="0"/>
          <w:numId w:val="204"/>
        </w:numPr>
        <w:tabs>
          <w:tab w:val="clear" w:pos="1060"/>
          <w:tab w:val="left" w:pos="1260"/>
        </w:tabs>
        <w:adjustRightInd w:val="0"/>
        <w:snapToGrid w:val="0"/>
        <w:spacing w:line="360" w:lineRule="auto"/>
        <w:ind w:left="1260" w:right="4" w:hanging="540"/>
        <w:jc w:val="both"/>
        <w:rPr>
          <w:sz w:val="21"/>
        </w:rPr>
      </w:pPr>
      <w:r>
        <w:rPr>
          <w:rFonts w:hint="eastAsia"/>
          <w:sz w:val="21"/>
        </w:rPr>
        <w:t>熟悉垂体远侧部的细胞组成、功能以及分泌异常导致的疾病。</w:t>
      </w:r>
    </w:p>
    <w:p w:rsidR="003717A0" w:rsidRDefault="003717A0" w:rsidP="005E20B5">
      <w:pPr>
        <w:adjustRightInd w:val="0"/>
        <w:snapToGrid w:val="0"/>
        <w:spacing w:beforeLines="50" w:line="360" w:lineRule="auto"/>
        <w:ind w:right="6" w:firstLineChars="350" w:firstLine="735"/>
      </w:pPr>
      <w:r>
        <w:t xml:space="preserve">4.   </w:t>
      </w:r>
      <w:r>
        <w:rPr>
          <w:rFonts w:hint="eastAsia"/>
        </w:rPr>
        <w:t>了解下丘脑与</w:t>
      </w:r>
      <w:r>
        <w:rPr>
          <w:rFonts w:hint="eastAsia"/>
          <w:szCs w:val="21"/>
        </w:rPr>
        <w:t>腺垂体、神经垂体的关系</w:t>
      </w:r>
      <w:r>
        <w:rPr>
          <w:rFonts w:hint="eastAsia"/>
        </w:rPr>
        <w:t>。</w:t>
      </w:r>
    </w:p>
    <w:p w:rsidR="003717A0" w:rsidRDefault="003717A0" w:rsidP="005E20B5">
      <w:pPr>
        <w:adjustRightInd w:val="0"/>
        <w:snapToGrid w:val="0"/>
        <w:spacing w:beforeLines="50" w:line="360" w:lineRule="auto"/>
        <w:ind w:right="6" w:firstLineChars="350" w:firstLine="773"/>
        <w:jc w:val="center"/>
        <w:rPr>
          <w:b/>
          <w:sz w:val="22"/>
        </w:rPr>
      </w:pPr>
      <w:r>
        <w:rPr>
          <w:rFonts w:hint="eastAsia"/>
          <w:b/>
          <w:sz w:val="22"/>
        </w:rPr>
        <w:t>第十二章</w:t>
      </w:r>
      <w:r>
        <w:rPr>
          <w:b/>
          <w:sz w:val="22"/>
        </w:rPr>
        <w:t xml:space="preserve">  </w:t>
      </w:r>
      <w:r>
        <w:rPr>
          <w:rFonts w:hint="eastAsia"/>
          <w:b/>
          <w:sz w:val="22"/>
        </w:rPr>
        <w:t>皮肤</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pStyle w:val="a8"/>
        <w:numPr>
          <w:ilvl w:val="0"/>
          <w:numId w:val="205"/>
        </w:numPr>
        <w:tabs>
          <w:tab w:val="clear" w:pos="1060"/>
          <w:tab w:val="left" w:pos="360"/>
          <w:tab w:val="left" w:pos="1260"/>
          <w:tab w:val="left" w:pos="1440"/>
        </w:tabs>
        <w:adjustRightInd w:val="0"/>
        <w:snapToGrid w:val="0"/>
        <w:spacing w:line="360" w:lineRule="auto"/>
        <w:ind w:left="0" w:rightChars="2" w:right="4" w:firstLine="720"/>
        <w:jc w:val="both"/>
        <w:rPr>
          <w:sz w:val="21"/>
        </w:rPr>
      </w:pPr>
      <w:r>
        <w:rPr>
          <w:rFonts w:hint="eastAsia"/>
          <w:sz w:val="21"/>
        </w:rPr>
        <w:t>表皮的分层和角化过程；薄皮表皮的结构特点。</w:t>
      </w:r>
      <w:r>
        <w:rPr>
          <w:sz w:val="21"/>
        </w:rPr>
        <w:t xml:space="preserve"> </w:t>
      </w:r>
    </w:p>
    <w:p w:rsidR="003717A0" w:rsidRDefault="003717A0">
      <w:pPr>
        <w:pStyle w:val="a8"/>
        <w:numPr>
          <w:ilvl w:val="0"/>
          <w:numId w:val="205"/>
        </w:numPr>
        <w:tabs>
          <w:tab w:val="clear" w:pos="1060"/>
          <w:tab w:val="left" w:pos="360"/>
          <w:tab w:val="left" w:pos="1260"/>
          <w:tab w:val="left" w:pos="1440"/>
        </w:tabs>
        <w:adjustRightInd w:val="0"/>
        <w:snapToGrid w:val="0"/>
        <w:spacing w:line="360" w:lineRule="auto"/>
        <w:ind w:left="0" w:rightChars="2" w:right="4" w:firstLine="720"/>
        <w:jc w:val="both"/>
        <w:rPr>
          <w:sz w:val="21"/>
        </w:rPr>
      </w:pPr>
      <w:r>
        <w:rPr>
          <w:rFonts w:hint="eastAsia"/>
          <w:sz w:val="21"/>
        </w:rPr>
        <w:t>真皮的分层。</w:t>
      </w:r>
    </w:p>
    <w:p w:rsidR="003717A0" w:rsidRDefault="003717A0">
      <w:pPr>
        <w:pStyle w:val="a8"/>
        <w:numPr>
          <w:ilvl w:val="0"/>
          <w:numId w:val="205"/>
        </w:numPr>
        <w:tabs>
          <w:tab w:val="clear" w:pos="1060"/>
          <w:tab w:val="left" w:pos="1260"/>
        </w:tabs>
        <w:adjustRightInd w:val="0"/>
        <w:snapToGrid w:val="0"/>
        <w:spacing w:line="360" w:lineRule="auto"/>
        <w:ind w:left="0" w:rightChars="2" w:right="4" w:firstLine="720"/>
        <w:jc w:val="both"/>
        <w:rPr>
          <w:sz w:val="21"/>
        </w:rPr>
      </w:pPr>
      <w:r>
        <w:rPr>
          <w:rFonts w:hint="eastAsia"/>
          <w:sz w:val="21"/>
        </w:rPr>
        <w:t>毛的结构特点，立毛肌的位置和功能；皮脂腺、汗腺的光镜结构特点及功能；大汗腺的分布和结构特点。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06"/>
        </w:numPr>
        <w:tabs>
          <w:tab w:val="clear" w:pos="1060"/>
          <w:tab w:val="left" w:pos="1260"/>
        </w:tabs>
        <w:adjustRightInd w:val="0"/>
        <w:snapToGrid w:val="0"/>
        <w:spacing w:line="360" w:lineRule="auto"/>
        <w:ind w:right="4" w:hanging="340"/>
        <w:jc w:val="both"/>
        <w:rPr>
          <w:sz w:val="21"/>
        </w:rPr>
      </w:pPr>
      <w:r>
        <w:rPr>
          <w:rFonts w:hint="eastAsia"/>
          <w:sz w:val="21"/>
        </w:rPr>
        <w:t>掌握表皮的分层。</w:t>
      </w:r>
    </w:p>
    <w:p w:rsidR="003717A0" w:rsidRDefault="003717A0">
      <w:pPr>
        <w:pStyle w:val="a8"/>
        <w:numPr>
          <w:ilvl w:val="0"/>
          <w:numId w:val="206"/>
        </w:numPr>
        <w:tabs>
          <w:tab w:val="clear" w:pos="1060"/>
          <w:tab w:val="left" w:pos="1260"/>
        </w:tabs>
        <w:adjustRightInd w:val="0"/>
        <w:snapToGrid w:val="0"/>
        <w:spacing w:line="360" w:lineRule="auto"/>
        <w:ind w:right="4" w:hanging="340"/>
        <w:jc w:val="both"/>
        <w:rPr>
          <w:sz w:val="21"/>
        </w:rPr>
      </w:pPr>
      <w:r>
        <w:rPr>
          <w:rFonts w:hint="eastAsia"/>
          <w:sz w:val="21"/>
        </w:rPr>
        <w:t>了解真皮的分层。</w:t>
      </w:r>
    </w:p>
    <w:p w:rsidR="003717A0" w:rsidRDefault="003717A0">
      <w:pPr>
        <w:pStyle w:val="a8"/>
        <w:numPr>
          <w:ilvl w:val="0"/>
          <w:numId w:val="206"/>
        </w:numPr>
        <w:tabs>
          <w:tab w:val="clear" w:pos="1060"/>
          <w:tab w:val="left" w:pos="1260"/>
        </w:tabs>
        <w:adjustRightInd w:val="0"/>
        <w:snapToGrid w:val="0"/>
        <w:spacing w:line="360" w:lineRule="auto"/>
        <w:ind w:right="4" w:hanging="340"/>
        <w:jc w:val="both"/>
        <w:rPr>
          <w:sz w:val="21"/>
        </w:rPr>
      </w:pPr>
      <w:r>
        <w:rPr>
          <w:rFonts w:hint="eastAsia"/>
          <w:sz w:val="21"/>
        </w:rPr>
        <w:t>熟悉毛、皮脂腺和汗腺的结构及功能。</w:t>
      </w:r>
    </w:p>
    <w:p w:rsidR="003717A0" w:rsidRDefault="003717A0" w:rsidP="005E20B5">
      <w:pPr>
        <w:adjustRightInd w:val="0"/>
        <w:snapToGrid w:val="0"/>
        <w:spacing w:beforeLines="50" w:line="360" w:lineRule="auto"/>
        <w:ind w:right="6"/>
        <w:jc w:val="center"/>
        <w:rPr>
          <w:b/>
          <w:sz w:val="22"/>
        </w:rPr>
      </w:pPr>
      <w:r>
        <w:rPr>
          <w:rFonts w:hint="eastAsia"/>
          <w:b/>
          <w:sz w:val="22"/>
        </w:rPr>
        <w:t>第十三章</w:t>
      </w:r>
      <w:r>
        <w:rPr>
          <w:b/>
          <w:sz w:val="22"/>
        </w:rPr>
        <w:t xml:space="preserve">  </w:t>
      </w:r>
      <w:r>
        <w:rPr>
          <w:rFonts w:hint="eastAsia"/>
          <w:b/>
          <w:sz w:val="22"/>
        </w:rPr>
        <w:t>消化管</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3717A0">
      <w:pPr>
        <w:pStyle w:val="a8"/>
        <w:numPr>
          <w:ilvl w:val="0"/>
          <w:numId w:val="207"/>
        </w:numPr>
        <w:tabs>
          <w:tab w:val="clear" w:pos="1060"/>
          <w:tab w:val="left" w:pos="720"/>
          <w:tab w:val="left" w:pos="1260"/>
        </w:tabs>
        <w:adjustRightInd w:val="0"/>
        <w:snapToGrid w:val="0"/>
        <w:spacing w:line="360" w:lineRule="auto"/>
        <w:ind w:left="0" w:right="4" w:firstLine="720"/>
        <w:jc w:val="both"/>
        <w:rPr>
          <w:sz w:val="21"/>
        </w:rPr>
      </w:pPr>
      <w:r>
        <w:rPr>
          <w:rFonts w:hint="eastAsia"/>
          <w:sz w:val="21"/>
        </w:rPr>
        <w:t>消化管壁的一般结构。</w:t>
      </w:r>
    </w:p>
    <w:p w:rsidR="003717A0" w:rsidRDefault="003717A0">
      <w:pPr>
        <w:pStyle w:val="a8"/>
        <w:numPr>
          <w:ilvl w:val="0"/>
          <w:numId w:val="207"/>
        </w:numPr>
        <w:tabs>
          <w:tab w:val="clear" w:pos="1060"/>
          <w:tab w:val="left" w:pos="720"/>
          <w:tab w:val="left" w:pos="1260"/>
        </w:tabs>
        <w:adjustRightInd w:val="0"/>
        <w:snapToGrid w:val="0"/>
        <w:spacing w:line="360" w:lineRule="auto"/>
        <w:ind w:left="0" w:rightChars="2" w:right="4" w:firstLine="720"/>
        <w:jc w:val="both"/>
        <w:rPr>
          <w:sz w:val="21"/>
        </w:rPr>
      </w:pPr>
      <w:r>
        <w:rPr>
          <w:rFonts w:hint="eastAsia"/>
          <w:sz w:val="21"/>
        </w:rPr>
        <w:t>胃黏膜上皮的光镜结构及功能，胃黏膜屏障的组成和功能；胃底腺的细胞组成，壁细胞与主细胞的光、电镜结构及功能；胃其它各层结构。</w:t>
      </w:r>
    </w:p>
    <w:p w:rsidR="003717A0" w:rsidRDefault="003717A0">
      <w:pPr>
        <w:pStyle w:val="a8"/>
        <w:numPr>
          <w:ilvl w:val="0"/>
          <w:numId w:val="207"/>
        </w:numPr>
        <w:tabs>
          <w:tab w:val="clear" w:pos="1060"/>
          <w:tab w:val="left" w:pos="720"/>
          <w:tab w:val="left" w:pos="1260"/>
        </w:tabs>
        <w:adjustRightInd w:val="0"/>
        <w:snapToGrid w:val="0"/>
        <w:spacing w:line="360" w:lineRule="auto"/>
        <w:ind w:left="0" w:rightChars="2" w:right="4" w:firstLine="720"/>
        <w:jc w:val="both"/>
        <w:rPr>
          <w:sz w:val="21"/>
        </w:rPr>
      </w:pPr>
      <w:r>
        <w:rPr>
          <w:rFonts w:hint="eastAsia"/>
          <w:sz w:val="21"/>
        </w:rPr>
        <w:t>小肠三级突起的概念；肠腺的细胞组成，柱状细胞与帕内特细胞的光镜结构及功能，固有层的结构特点；小肠其他各层结构。</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lastRenderedPageBreak/>
        <w:t>目的要求</w:t>
      </w:r>
    </w:p>
    <w:p w:rsidR="003717A0" w:rsidRDefault="003717A0">
      <w:pPr>
        <w:pStyle w:val="a8"/>
        <w:numPr>
          <w:ilvl w:val="0"/>
          <w:numId w:val="208"/>
        </w:numPr>
        <w:tabs>
          <w:tab w:val="clear" w:pos="1060"/>
          <w:tab w:val="left" w:pos="1260"/>
        </w:tabs>
        <w:adjustRightInd w:val="0"/>
        <w:snapToGrid w:val="0"/>
        <w:spacing w:line="360" w:lineRule="auto"/>
        <w:ind w:right="4" w:hanging="340"/>
        <w:jc w:val="both"/>
        <w:rPr>
          <w:sz w:val="21"/>
        </w:rPr>
      </w:pPr>
      <w:r>
        <w:rPr>
          <w:rFonts w:hint="eastAsia"/>
          <w:sz w:val="21"/>
        </w:rPr>
        <w:t>熟悉消化管壁的一般结构。</w:t>
      </w:r>
    </w:p>
    <w:p w:rsidR="003717A0" w:rsidRDefault="003717A0">
      <w:pPr>
        <w:pStyle w:val="a8"/>
        <w:numPr>
          <w:ilvl w:val="0"/>
          <w:numId w:val="208"/>
        </w:numPr>
        <w:tabs>
          <w:tab w:val="clear" w:pos="1060"/>
          <w:tab w:val="left" w:pos="1260"/>
        </w:tabs>
        <w:adjustRightInd w:val="0"/>
        <w:snapToGrid w:val="0"/>
        <w:spacing w:line="360" w:lineRule="auto"/>
        <w:ind w:right="4" w:hanging="340"/>
        <w:jc w:val="both"/>
        <w:rPr>
          <w:sz w:val="21"/>
        </w:rPr>
      </w:pPr>
      <w:r>
        <w:rPr>
          <w:rFonts w:hint="eastAsia"/>
          <w:sz w:val="21"/>
        </w:rPr>
        <w:t>掌握胃底腺的细胞组成、壁细胞和主细胞的光、电镜结构及功能特点。</w:t>
      </w:r>
    </w:p>
    <w:p w:rsidR="003717A0" w:rsidRDefault="003717A0">
      <w:pPr>
        <w:pStyle w:val="a8"/>
        <w:numPr>
          <w:ilvl w:val="0"/>
          <w:numId w:val="208"/>
        </w:numPr>
        <w:tabs>
          <w:tab w:val="clear" w:pos="1060"/>
          <w:tab w:val="left" w:pos="1260"/>
        </w:tabs>
        <w:adjustRightInd w:val="0"/>
        <w:snapToGrid w:val="0"/>
        <w:spacing w:line="360" w:lineRule="auto"/>
        <w:ind w:right="4" w:hanging="340"/>
        <w:jc w:val="both"/>
        <w:rPr>
          <w:sz w:val="21"/>
        </w:rPr>
      </w:pPr>
      <w:r>
        <w:rPr>
          <w:rFonts w:hint="eastAsia"/>
          <w:sz w:val="21"/>
        </w:rPr>
        <w:t>熟悉小肠壁与消化吸收有关的结构特点。</w:t>
      </w:r>
    </w:p>
    <w:p w:rsidR="003717A0" w:rsidRDefault="003717A0" w:rsidP="005E20B5">
      <w:pPr>
        <w:adjustRightInd w:val="0"/>
        <w:snapToGrid w:val="0"/>
        <w:spacing w:beforeLines="50" w:line="360" w:lineRule="auto"/>
        <w:ind w:right="6"/>
        <w:jc w:val="center"/>
        <w:rPr>
          <w:b/>
          <w:sz w:val="22"/>
        </w:rPr>
      </w:pPr>
      <w:r>
        <w:rPr>
          <w:rFonts w:hint="eastAsia"/>
          <w:b/>
          <w:sz w:val="22"/>
        </w:rPr>
        <w:t>第十四章</w:t>
      </w:r>
      <w:r>
        <w:rPr>
          <w:b/>
          <w:sz w:val="22"/>
        </w:rPr>
        <w:t xml:space="preserve">  </w:t>
      </w:r>
      <w:r>
        <w:rPr>
          <w:rFonts w:hint="eastAsia"/>
          <w:b/>
          <w:sz w:val="22"/>
        </w:rPr>
        <w:t>消化腺</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209"/>
        </w:numPr>
        <w:tabs>
          <w:tab w:val="clear" w:pos="1060"/>
          <w:tab w:val="left" w:pos="1130"/>
          <w:tab w:val="left" w:pos="1260"/>
        </w:tabs>
        <w:adjustRightInd w:val="0"/>
        <w:snapToGrid w:val="0"/>
        <w:spacing w:line="360" w:lineRule="auto"/>
        <w:ind w:left="0" w:right="4" w:firstLine="720"/>
        <w:jc w:val="both"/>
        <w:rPr>
          <w:sz w:val="21"/>
          <w:szCs w:val="21"/>
        </w:rPr>
      </w:pPr>
      <w:r>
        <w:rPr>
          <w:rFonts w:hint="eastAsia"/>
          <w:sz w:val="21"/>
          <w:szCs w:val="21"/>
        </w:rPr>
        <w:t>大唾液腺腺泡的分类和结构特点；导管的分段和结构特点。</w:t>
      </w:r>
    </w:p>
    <w:p w:rsidR="003717A0" w:rsidRDefault="003717A0">
      <w:pPr>
        <w:pStyle w:val="a8"/>
        <w:numPr>
          <w:ilvl w:val="0"/>
          <w:numId w:val="209"/>
        </w:numPr>
        <w:tabs>
          <w:tab w:val="clear" w:pos="1060"/>
          <w:tab w:val="left" w:pos="1130"/>
          <w:tab w:val="left" w:pos="1260"/>
        </w:tabs>
        <w:adjustRightInd w:val="0"/>
        <w:snapToGrid w:val="0"/>
        <w:spacing w:line="360" w:lineRule="auto"/>
        <w:ind w:left="0" w:right="4" w:firstLine="720"/>
        <w:jc w:val="both"/>
        <w:rPr>
          <w:sz w:val="21"/>
          <w:szCs w:val="21"/>
        </w:rPr>
      </w:pPr>
      <w:r>
        <w:rPr>
          <w:rFonts w:hint="eastAsia"/>
          <w:sz w:val="21"/>
          <w:szCs w:val="21"/>
        </w:rPr>
        <w:t>胰腺外分泌部腺泡与导管的结构特点，外分泌部的功能；胰岛的分布、结构、细胞类型及功能。</w:t>
      </w:r>
    </w:p>
    <w:p w:rsidR="003717A0" w:rsidRDefault="003717A0">
      <w:pPr>
        <w:adjustRightInd w:val="0"/>
        <w:snapToGrid w:val="0"/>
        <w:spacing w:line="360" w:lineRule="auto"/>
        <w:ind w:right="6" w:firstLineChars="350" w:firstLine="735"/>
        <w:rPr>
          <w:szCs w:val="21"/>
        </w:rPr>
      </w:pPr>
      <w:r>
        <w:rPr>
          <w:rFonts w:ascii="Times New Roman" w:hAnsi="Times New Roman"/>
          <w:szCs w:val="21"/>
        </w:rPr>
        <w:t>3</w:t>
      </w:r>
      <w:r>
        <w:rPr>
          <w:szCs w:val="21"/>
        </w:rPr>
        <w:t xml:space="preserve">.  </w:t>
      </w:r>
      <w:r>
        <w:rPr>
          <w:rFonts w:hint="eastAsia"/>
          <w:szCs w:val="21"/>
        </w:rPr>
        <w:t>肝小叶的定义与组成，中央静脉的位置与结构特点，肝板的概念，肝细胞的功能面，肝血窦的位置与结构特点，窦周隙、贮脂细胞的结构及功能，胆小管的位置与结构特点；门管区的位置与结构。</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10"/>
        </w:numPr>
        <w:tabs>
          <w:tab w:val="left" w:pos="1260"/>
        </w:tabs>
        <w:adjustRightInd w:val="0"/>
        <w:snapToGrid w:val="0"/>
        <w:spacing w:line="360" w:lineRule="auto"/>
        <w:ind w:right="4" w:firstLine="20"/>
        <w:jc w:val="both"/>
        <w:rPr>
          <w:sz w:val="21"/>
        </w:rPr>
      </w:pPr>
      <w:r>
        <w:rPr>
          <w:rFonts w:hint="eastAsia"/>
          <w:sz w:val="21"/>
        </w:rPr>
        <w:t>了解</w:t>
      </w:r>
      <w:r>
        <w:rPr>
          <w:rFonts w:hint="eastAsia"/>
          <w:sz w:val="21"/>
          <w:szCs w:val="21"/>
        </w:rPr>
        <w:t>大唾液腺腺泡</w:t>
      </w:r>
      <w:r>
        <w:rPr>
          <w:rFonts w:hint="eastAsia"/>
          <w:sz w:val="21"/>
        </w:rPr>
        <w:t>的分类和结构特点。</w:t>
      </w:r>
    </w:p>
    <w:p w:rsidR="003717A0" w:rsidRDefault="003717A0">
      <w:pPr>
        <w:pStyle w:val="a8"/>
        <w:numPr>
          <w:ilvl w:val="0"/>
          <w:numId w:val="210"/>
        </w:numPr>
        <w:tabs>
          <w:tab w:val="left" w:pos="1260"/>
        </w:tabs>
        <w:adjustRightInd w:val="0"/>
        <w:snapToGrid w:val="0"/>
        <w:spacing w:line="360" w:lineRule="auto"/>
        <w:ind w:right="4" w:firstLine="20"/>
        <w:jc w:val="both"/>
        <w:rPr>
          <w:sz w:val="21"/>
        </w:rPr>
      </w:pPr>
      <w:r>
        <w:rPr>
          <w:rFonts w:hint="eastAsia"/>
          <w:sz w:val="21"/>
        </w:rPr>
        <w:t>了解胰腺外分泌部的结构及功能特点。</w:t>
      </w:r>
    </w:p>
    <w:p w:rsidR="003717A0" w:rsidRDefault="003717A0">
      <w:pPr>
        <w:pStyle w:val="a8"/>
        <w:numPr>
          <w:ilvl w:val="0"/>
          <w:numId w:val="210"/>
        </w:numPr>
        <w:tabs>
          <w:tab w:val="left" w:pos="1260"/>
        </w:tabs>
        <w:adjustRightInd w:val="0"/>
        <w:snapToGrid w:val="0"/>
        <w:spacing w:line="360" w:lineRule="auto"/>
        <w:ind w:right="4" w:firstLine="20"/>
        <w:jc w:val="both"/>
        <w:rPr>
          <w:sz w:val="21"/>
        </w:rPr>
      </w:pPr>
      <w:r>
        <w:rPr>
          <w:rFonts w:hint="eastAsia"/>
          <w:sz w:val="21"/>
        </w:rPr>
        <w:t>掌握胰岛的定义、细胞组成及功能。</w:t>
      </w:r>
    </w:p>
    <w:p w:rsidR="003717A0" w:rsidRDefault="003717A0">
      <w:pPr>
        <w:pStyle w:val="a8"/>
        <w:numPr>
          <w:ilvl w:val="0"/>
          <w:numId w:val="210"/>
        </w:numPr>
        <w:tabs>
          <w:tab w:val="left" w:pos="1260"/>
        </w:tabs>
        <w:adjustRightInd w:val="0"/>
        <w:snapToGrid w:val="0"/>
        <w:spacing w:line="360" w:lineRule="auto"/>
        <w:ind w:right="4" w:firstLine="20"/>
        <w:jc w:val="both"/>
        <w:rPr>
          <w:sz w:val="21"/>
        </w:rPr>
      </w:pPr>
      <w:r>
        <w:rPr>
          <w:rFonts w:hint="eastAsia"/>
          <w:sz w:val="21"/>
        </w:rPr>
        <w:t>掌握肝小叶的组成，肝血窦、窦周隙和胆小管的位置、结构及功能。</w:t>
      </w:r>
    </w:p>
    <w:p w:rsidR="003717A0" w:rsidRDefault="003717A0">
      <w:pPr>
        <w:pStyle w:val="a8"/>
        <w:numPr>
          <w:ilvl w:val="0"/>
          <w:numId w:val="210"/>
        </w:numPr>
        <w:tabs>
          <w:tab w:val="left" w:pos="1260"/>
        </w:tabs>
        <w:adjustRightInd w:val="0"/>
        <w:snapToGrid w:val="0"/>
        <w:spacing w:line="360" w:lineRule="auto"/>
        <w:ind w:right="4" w:firstLine="20"/>
        <w:jc w:val="both"/>
        <w:rPr>
          <w:sz w:val="21"/>
        </w:rPr>
      </w:pPr>
      <w:r>
        <w:rPr>
          <w:rFonts w:hint="eastAsia"/>
          <w:sz w:val="21"/>
        </w:rPr>
        <w:t>熟悉门管区的位置和组成。</w:t>
      </w:r>
    </w:p>
    <w:p w:rsidR="003717A0" w:rsidRDefault="003717A0">
      <w:pPr>
        <w:pStyle w:val="a8"/>
        <w:tabs>
          <w:tab w:val="left" w:pos="1260"/>
        </w:tabs>
        <w:adjustRightInd w:val="0"/>
        <w:snapToGrid w:val="0"/>
        <w:spacing w:line="360" w:lineRule="auto"/>
        <w:ind w:left="700" w:right="4"/>
        <w:jc w:val="center"/>
        <w:rPr>
          <w:sz w:val="21"/>
        </w:rPr>
      </w:pPr>
      <w:r>
        <w:rPr>
          <w:rFonts w:hint="eastAsia"/>
          <w:b/>
          <w:sz w:val="22"/>
        </w:rPr>
        <w:t>第十五章</w:t>
      </w:r>
      <w:r>
        <w:rPr>
          <w:b/>
          <w:sz w:val="22"/>
        </w:rPr>
        <w:t xml:space="preserve">  </w:t>
      </w:r>
      <w:r>
        <w:rPr>
          <w:rFonts w:hint="eastAsia"/>
          <w:b/>
          <w:sz w:val="22"/>
        </w:rPr>
        <w:t>呼吸系统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pStyle w:val="a8"/>
        <w:numPr>
          <w:ilvl w:val="0"/>
          <w:numId w:val="211"/>
        </w:numPr>
        <w:tabs>
          <w:tab w:val="clear" w:pos="420"/>
          <w:tab w:val="left" w:pos="0"/>
        </w:tabs>
        <w:adjustRightInd w:val="0"/>
        <w:snapToGrid w:val="0"/>
        <w:spacing w:line="360" w:lineRule="auto"/>
        <w:ind w:left="0" w:right="4" w:firstLine="720"/>
        <w:jc w:val="both"/>
        <w:rPr>
          <w:sz w:val="21"/>
        </w:rPr>
      </w:pPr>
      <w:r>
        <w:rPr>
          <w:rFonts w:hint="eastAsia"/>
          <w:sz w:val="21"/>
        </w:rPr>
        <w:t>气管、支气管管壁的一般结构。</w:t>
      </w:r>
    </w:p>
    <w:p w:rsidR="003717A0" w:rsidRDefault="003717A0">
      <w:pPr>
        <w:pStyle w:val="a8"/>
        <w:numPr>
          <w:ilvl w:val="0"/>
          <w:numId w:val="211"/>
        </w:numPr>
        <w:tabs>
          <w:tab w:val="clear" w:pos="420"/>
          <w:tab w:val="left" w:pos="0"/>
        </w:tabs>
        <w:adjustRightInd w:val="0"/>
        <w:snapToGrid w:val="0"/>
        <w:spacing w:line="360" w:lineRule="auto"/>
        <w:ind w:left="0" w:right="4" w:firstLine="720"/>
        <w:jc w:val="both"/>
        <w:rPr>
          <w:sz w:val="21"/>
        </w:rPr>
      </w:pPr>
      <w:r>
        <w:rPr>
          <w:rFonts w:hint="eastAsia"/>
          <w:sz w:val="21"/>
        </w:rPr>
        <w:t>肺的一般结构；肺内导气部的组成及管壁结构的变化规律；肺呼吸部的组成，呼吸性细支气管、肺泡管与肺泡囊的结构特点，</w:t>
      </w:r>
      <w:r>
        <w:rPr>
          <w:rFonts w:hAnsi="宋体" w:hint="eastAsia"/>
          <w:sz w:val="21"/>
        </w:rPr>
        <w:t>Ⅰ</w:t>
      </w:r>
      <w:r>
        <w:rPr>
          <w:rFonts w:hint="eastAsia"/>
          <w:sz w:val="21"/>
        </w:rPr>
        <w:t>型和</w:t>
      </w:r>
      <w:r>
        <w:rPr>
          <w:rFonts w:hAnsi="宋体" w:hint="eastAsia"/>
          <w:sz w:val="21"/>
        </w:rPr>
        <w:t>Ⅱ</w:t>
      </w:r>
      <w:r>
        <w:rPr>
          <w:rFonts w:hint="eastAsia"/>
          <w:sz w:val="21"/>
        </w:rPr>
        <w:t>型肺泡细胞的结构及功能，血</w:t>
      </w:r>
      <w:r>
        <w:rPr>
          <w:sz w:val="21"/>
        </w:rPr>
        <w:t>-</w:t>
      </w:r>
      <w:r>
        <w:rPr>
          <w:rFonts w:hint="eastAsia"/>
          <w:sz w:val="21"/>
        </w:rPr>
        <w:t>气屏障的组成及功能。</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12"/>
        </w:numPr>
        <w:tabs>
          <w:tab w:val="clear" w:pos="1060"/>
          <w:tab w:val="left" w:pos="1260"/>
        </w:tabs>
        <w:adjustRightInd w:val="0"/>
        <w:snapToGrid w:val="0"/>
        <w:spacing w:line="360" w:lineRule="auto"/>
        <w:ind w:right="4" w:hanging="340"/>
        <w:jc w:val="both"/>
        <w:rPr>
          <w:sz w:val="21"/>
        </w:rPr>
      </w:pPr>
      <w:r>
        <w:rPr>
          <w:rFonts w:hint="eastAsia"/>
          <w:sz w:val="21"/>
        </w:rPr>
        <w:t>了解气管和支气管管壁的一般结构。</w:t>
      </w:r>
    </w:p>
    <w:p w:rsidR="003717A0" w:rsidRDefault="003717A0">
      <w:pPr>
        <w:pStyle w:val="a8"/>
        <w:numPr>
          <w:ilvl w:val="0"/>
          <w:numId w:val="212"/>
        </w:numPr>
        <w:tabs>
          <w:tab w:val="clear" w:pos="1060"/>
          <w:tab w:val="left" w:pos="1260"/>
        </w:tabs>
        <w:adjustRightInd w:val="0"/>
        <w:snapToGrid w:val="0"/>
        <w:spacing w:line="360" w:lineRule="auto"/>
        <w:ind w:right="4" w:hanging="340"/>
        <w:jc w:val="both"/>
        <w:rPr>
          <w:sz w:val="21"/>
        </w:rPr>
      </w:pPr>
      <w:r>
        <w:rPr>
          <w:rFonts w:hint="eastAsia"/>
          <w:sz w:val="21"/>
        </w:rPr>
        <w:t>了解肺导气部的管壁结构变化规律。</w:t>
      </w:r>
    </w:p>
    <w:p w:rsidR="003717A0" w:rsidRDefault="003717A0">
      <w:pPr>
        <w:pStyle w:val="a8"/>
        <w:numPr>
          <w:ilvl w:val="0"/>
          <w:numId w:val="212"/>
        </w:numPr>
        <w:tabs>
          <w:tab w:val="clear" w:pos="1060"/>
          <w:tab w:val="left" w:pos="1260"/>
        </w:tabs>
        <w:adjustRightInd w:val="0"/>
        <w:snapToGrid w:val="0"/>
        <w:spacing w:line="360" w:lineRule="auto"/>
        <w:ind w:right="4" w:hanging="340"/>
        <w:jc w:val="both"/>
        <w:rPr>
          <w:sz w:val="21"/>
        </w:rPr>
      </w:pPr>
      <w:r>
        <w:rPr>
          <w:rFonts w:hint="eastAsia"/>
          <w:sz w:val="21"/>
        </w:rPr>
        <w:t>掌握肺呼吸部的组成、</w:t>
      </w:r>
      <w:r>
        <w:rPr>
          <w:rFonts w:hAnsi="宋体" w:hint="eastAsia"/>
          <w:sz w:val="21"/>
        </w:rPr>
        <w:t>Ⅰ</w:t>
      </w:r>
      <w:r>
        <w:rPr>
          <w:rFonts w:hint="eastAsia"/>
          <w:sz w:val="21"/>
        </w:rPr>
        <w:t>型和</w:t>
      </w:r>
      <w:r>
        <w:rPr>
          <w:rFonts w:hAnsi="宋体" w:hint="eastAsia"/>
          <w:sz w:val="21"/>
        </w:rPr>
        <w:t>Ⅱ</w:t>
      </w:r>
      <w:r>
        <w:rPr>
          <w:rFonts w:hint="eastAsia"/>
          <w:sz w:val="21"/>
        </w:rPr>
        <w:t>型肺泡细胞的结构及功能。</w:t>
      </w:r>
    </w:p>
    <w:p w:rsidR="003717A0" w:rsidRDefault="003717A0">
      <w:pPr>
        <w:pStyle w:val="a8"/>
        <w:numPr>
          <w:ilvl w:val="0"/>
          <w:numId w:val="212"/>
        </w:numPr>
        <w:tabs>
          <w:tab w:val="clear" w:pos="1060"/>
          <w:tab w:val="left" w:pos="1260"/>
        </w:tabs>
        <w:adjustRightInd w:val="0"/>
        <w:snapToGrid w:val="0"/>
        <w:spacing w:line="360" w:lineRule="auto"/>
        <w:ind w:right="4" w:hanging="340"/>
        <w:jc w:val="both"/>
        <w:rPr>
          <w:sz w:val="21"/>
        </w:rPr>
      </w:pPr>
      <w:r>
        <w:rPr>
          <w:rFonts w:hint="eastAsia"/>
          <w:sz w:val="21"/>
        </w:rPr>
        <w:t>熟悉血</w:t>
      </w:r>
      <w:r>
        <w:rPr>
          <w:sz w:val="21"/>
        </w:rPr>
        <w:t>-</w:t>
      </w:r>
      <w:r>
        <w:rPr>
          <w:rFonts w:hint="eastAsia"/>
          <w:sz w:val="21"/>
        </w:rPr>
        <w:t>气屏障的组成及功能。</w:t>
      </w:r>
    </w:p>
    <w:p w:rsidR="003717A0" w:rsidRDefault="003717A0">
      <w:pPr>
        <w:pStyle w:val="a8"/>
        <w:adjustRightInd w:val="0"/>
        <w:snapToGrid w:val="0"/>
        <w:spacing w:line="360" w:lineRule="auto"/>
        <w:ind w:leftChars="133" w:left="279" w:right="4"/>
        <w:jc w:val="center"/>
        <w:rPr>
          <w:sz w:val="21"/>
        </w:rPr>
      </w:pPr>
      <w:r>
        <w:rPr>
          <w:rFonts w:hint="eastAsia"/>
          <w:b/>
          <w:sz w:val="22"/>
        </w:rPr>
        <w:t>第十六章</w:t>
      </w:r>
      <w:r>
        <w:rPr>
          <w:b/>
          <w:sz w:val="22"/>
        </w:rPr>
        <w:t xml:space="preserve">  </w:t>
      </w:r>
      <w:r>
        <w:rPr>
          <w:rFonts w:hint="eastAsia"/>
          <w:b/>
          <w:sz w:val="22"/>
        </w:rPr>
        <w:t>泌尿系统</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664AA5">
      <w:r>
        <w:rPr>
          <w:rFonts w:hint="eastAsia"/>
        </w:rPr>
        <w:t>1.</w:t>
      </w:r>
      <w:r w:rsidR="003717A0">
        <w:rPr>
          <w:rFonts w:hint="eastAsia"/>
        </w:rPr>
        <w:t>肾的一般结构。</w:t>
      </w:r>
    </w:p>
    <w:p w:rsidR="003717A0" w:rsidRDefault="00664AA5">
      <w:r>
        <w:rPr>
          <w:rFonts w:hint="eastAsia"/>
        </w:rPr>
        <w:t>2.</w:t>
      </w:r>
      <w:r w:rsidR="003717A0">
        <w:rPr>
          <w:rFonts w:hint="eastAsia"/>
        </w:rPr>
        <w:t>肾单位的组成；肾小体的光、电镜结构及功能；肾小囊的结构特点，足细胞的光、电镜结构和功能；滤过屏障的组成及功能；各段肾小管的光、电镜结构及功能。</w:t>
      </w:r>
      <w:r w:rsidR="003717A0">
        <w:t xml:space="preserve"> </w:t>
      </w:r>
    </w:p>
    <w:p w:rsidR="003717A0" w:rsidRDefault="00664AA5">
      <w:r>
        <w:rPr>
          <w:rFonts w:hint="eastAsia"/>
        </w:rPr>
        <w:lastRenderedPageBreak/>
        <w:t>3.</w:t>
      </w:r>
      <w:r w:rsidR="003717A0">
        <w:rPr>
          <w:rFonts w:hint="eastAsia"/>
        </w:rPr>
        <w:t>球旁复合体的组成，球旁细胞的光镜结构及功能，致密斑的结构及功能。</w:t>
      </w:r>
    </w:p>
    <w:p w:rsidR="003717A0" w:rsidRDefault="003717A0">
      <w:pPr>
        <w:rPr>
          <w:b/>
        </w:rPr>
      </w:pPr>
      <w:r>
        <w:rPr>
          <w:rFonts w:hint="eastAsia"/>
          <w:b/>
        </w:rPr>
        <w:t>目的要求</w:t>
      </w:r>
    </w:p>
    <w:p w:rsidR="003717A0" w:rsidRDefault="00664AA5">
      <w:r>
        <w:rPr>
          <w:rFonts w:hint="eastAsia"/>
        </w:rPr>
        <w:t>1.</w:t>
      </w:r>
      <w:r w:rsidR="003717A0">
        <w:rPr>
          <w:rFonts w:hint="eastAsia"/>
        </w:rPr>
        <w:t>掌握肾单位的组成、肾小体的结构、滤过屏障的组成和功能。</w:t>
      </w:r>
    </w:p>
    <w:p w:rsidR="003717A0" w:rsidRDefault="00664AA5">
      <w:r>
        <w:rPr>
          <w:rFonts w:hint="eastAsia"/>
          <w:szCs w:val="21"/>
        </w:rPr>
        <w:t>2.</w:t>
      </w:r>
      <w:r w:rsidR="003717A0">
        <w:rPr>
          <w:rFonts w:hint="eastAsia"/>
          <w:szCs w:val="21"/>
        </w:rPr>
        <w:t>熟悉肾小管的组成、近端小管和远端小管的结构及功能比较。</w:t>
      </w:r>
    </w:p>
    <w:p w:rsidR="003717A0" w:rsidRDefault="00664AA5">
      <w:r>
        <w:rPr>
          <w:rFonts w:hint="eastAsia"/>
          <w:szCs w:val="21"/>
        </w:rPr>
        <w:t>3.</w:t>
      </w:r>
      <w:r w:rsidR="003717A0">
        <w:rPr>
          <w:rFonts w:hint="eastAsia"/>
          <w:szCs w:val="21"/>
        </w:rPr>
        <w:t>了解集合管系的结构与功能。</w:t>
      </w:r>
    </w:p>
    <w:p w:rsidR="003717A0" w:rsidRDefault="00664AA5">
      <w:r>
        <w:rPr>
          <w:rFonts w:hint="eastAsia"/>
        </w:rPr>
        <w:t>4.</w:t>
      </w:r>
      <w:r w:rsidR="003717A0">
        <w:rPr>
          <w:rFonts w:hint="eastAsia"/>
        </w:rPr>
        <w:t>熟悉球旁复合体的组成、球旁细胞和致密斑的结构及功能。</w:t>
      </w:r>
    </w:p>
    <w:p w:rsidR="003717A0" w:rsidRDefault="003717A0">
      <w:pPr>
        <w:rPr>
          <w:b/>
          <w:sz w:val="22"/>
        </w:rPr>
      </w:pPr>
      <w:r>
        <w:rPr>
          <w:rFonts w:hint="eastAsia"/>
          <w:b/>
          <w:sz w:val="22"/>
        </w:rPr>
        <w:t>第十七章</w:t>
      </w:r>
      <w:r>
        <w:rPr>
          <w:b/>
          <w:sz w:val="22"/>
        </w:rPr>
        <w:t xml:space="preserve">  </w:t>
      </w:r>
      <w:r>
        <w:rPr>
          <w:rFonts w:hint="eastAsia"/>
          <w:b/>
          <w:sz w:val="22"/>
        </w:rPr>
        <w:t>男性生殖系统</w:t>
      </w:r>
    </w:p>
    <w:p w:rsidR="003717A0" w:rsidRDefault="003717A0">
      <w:pPr>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664AA5">
      <w:r>
        <w:rPr>
          <w:rFonts w:hint="eastAsia"/>
        </w:rPr>
        <w:t>1.</w:t>
      </w:r>
      <w:r w:rsidR="003717A0">
        <w:rPr>
          <w:rFonts w:hint="eastAsia"/>
        </w:rPr>
        <w:t>睾丸的一般结构特点。</w:t>
      </w:r>
    </w:p>
    <w:p w:rsidR="003717A0" w:rsidRDefault="00664AA5">
      <w:r>
        <w:rPr>
          <w:rFonts w:hint="eastAsia"/>
        </w:rPr>
        <w:t>2.</w:t>
      </w:r>
      <w:r w:rsidR="003717A0">
        <w:rPr>
          <w:rFonts w:hint="eastAsia"/>
        </w:rPr>
        <w:t>生精小管的结构；各级生精细胞的结构特点和排列规律，精子的光镜结构；支持细胞的光、电镜结构及功能，血</w:t>
      </w:r>
      <w:r w:rsidR="003717A0">
        <w:t>-</w:t>
      </w:r>
      <w:r w:rsidR="003717A0">
        <w:rPr>
          <w:rFonts w:hint="eastAsia"/>
        </w:rPr>
        <w:t>生精小管屏障的组成及功能。</w:t>
      </w:r>
    </w:p>
    <w:p w:rsidR="003717A0" w:rsidRDefault="00664AA5">
      <w:r>
        <w:rPr>
          <w:rFonts w:hint="eastAsia"/>
        </w:rPr>
        <w:t>3.</w:t>
      </w:r>
      <w:r w:rsidR="003717A0">
        <w:rPr>
          <w:rFonts w:hint="eastAsia"/>
        </w:rPr>
        <w:t>睾丸间质细胞的光镜结构及功能。</w:t>
      </w:r>
    </w:p>
    <w:p w:rsidR="003717A0" w:rsidRDefault="003717A0">
      <w:pPr>
        <w:rPr>
          <w:rFonts w:ascii="Times New Roman" w:hAnsi="Times New Roman"/>
          <w:b/>
        </w:rPr>
      </w:pPr>
      <w:r>
        <w:rPr>
          <w:rFonts w:ascii="Times New Roman" w:hint="eastAsia"/>
          <w:b/>
        </w:rPr>
        <w:t>目的要求</w:t>
      </w:r>
    </w:p>
    <w:p w:rsidR="003717A0" w:rsidRDefault="00664AA5">
      <w:r>
        <w:rPr>
          <w:rFonts w:hint="eastAsia"/>
        </w:rPr>
        <w:t>1.</w:t>
      </w:r>
      <w:r w:rsidR="003717A0">
        <w:rPr>
          <w:rFonts w:hint="eastAsia"/>
        </w:rPr>
        <w:t>掌握生精小管的结构。</w:t>
      </w:r>
      <w:r w:rsidR="003717A0">
        <w:t xml:space="preserve"> </w:t>
      </w:r>
    </w:p>
    <w:p w:rsidR="003717A0" w:rsidRDefault="00664AA5">
      <w:r>
        <w:rPr>
          <w:rFonts w:hint="eastAsia"/>
        </w:rPr>
        <w:t>2.</w:t>
      </w:r>
      <w:r w:rsidR="003717A0">
        <w:rPr>
          <w:rFonts w:hint="eastAsia"/>
        </w:rPr>
        <w:t>了解精子的发生和形成过程。</w:t>
      </w:r>
    </w:p>
    <w:p w:rsidR="003717A0" w:rsidRDefault="00664AA5">
      <w:r>
        <w:rPr>
          <w:rFonts w:hint="eastAsia"/>
        </w:rPr>
        <w:t>3.</w:t>
      </w:r>
      <w:r w:rsidR="003717A0">
        <w:rPr>
          <w:rFonts w:hint="eastAsia"/>
        </w:rPr>
        <w:t>熟悉血</w:t>
      </w:r>
      <w:r w:rsidR="003717A0">
        <w:t>-</w:t>
      </w:r>
      <w:r w:rsidR="003717A0">
        <w:rPr>
          <w:rFonts w:hint="eastAsia"/>
        </w:rPr>
        <w:t>生精小管屏障的组成及功能。</w:t>
      </w:r>
    </w:p>
    <w:p w:rsidR="003717A0" w:rsidRDefault="00664AA5">
      <w:r>
        <w:rPr>
          <w:rFonts w:hint="eastAsia"/>
        </w:rPr>
        <w:t>4.</w:t>
      </w:r>
      <w:r w:rsidR="003717A0">
        <w:rPr>
          <w:rFonts w:hint="eastAsia"/>
        </w:rPr>
        <w:t>熟悉睾丸间质细胞的结构及功能特点。</w:t>
      </w:r>
    </w:p>
    <w:p w:rsidR="003717A0" w:rsidRDefault="003717A0">
      <w:pPr>
        <w:rPr>
          <w:b/>
          <w:sz w:val="22"/>
        </w:rPr>
      </w:pPr>
      <w:r>
        <w:rPr>
          <w:rFonts w:hint="eastAsia"/>
          <w:b/>
          <w:sz w:val="22"/>
        </w:rPr>
        <w:t>第十八章</w:t>
      </w:r>
      <w:r>
        <w:rPr>
          <w:b/>
          <w:sz w:val="22"/>
        </w:rPr>
        <w:t xml:space="preserve">  </w:t>
      </w:r>
      <w:r>
        <w:rPr>
          <w:rFonts w:hint="eastAsia"/>
          <w:b/>
          <w:sz w:val="22"/>
        </w:rPr>
        <w:t>女性生殖系统</w:t>
      </w:r>
    </w:p>
    <w:p w:rsidR="003717A0" w:rsidRDefault="003717A0">
      <w:pPr>
        <w:rPr>
          <w:rFonts w:ascii="Times New Roman" w:hAnsi="Times New Roman"/>
          <w:b/>
        </w:rPr>
      </w:pPr>
      <w:r>
        <w:rPr>
          <w:rFonts w:ascii="Times New Roman" w:hint="eastAsia"/>
          <w:b/>
        </w:rPr>
        <w:t>教学内容（</w:t>
      </w:r>
      <w:r>
        <w:rPr>
          <w:rFonts w:ascii="Times New Roman" w:hAnsi="Times New Roman"/>
          <w:b/>
        </w:rPr>
        <w:t>2</w:t>
      </w:r>
      <w:r>
        <w:rPr>
          <w:rFonts w:ascii="Times New Roman" w:hint="eastAsia"/>
          <w:b/>
        </w:rPr>
        <w:t>学时）</w:t>
      </w:r>
    </w:p>
    <w:p w:rsidR="003717A0" w:rsidRDefault="00664AA5">
      <w:r>
        <w:rPr>
          <w:rFonts w:hint="eastAsia"/>
        </w:rPr>
        <w:t>1.</w:t>
      </w:r>
      <w:r w:rsidR="003717A0">
        <w:rPr>
          <w:rFonts w:hint="eastAsia"/>
        </w:rPr>
        <w:t>卵巢的一般结构；卵泡的发育和成熟过程，各期卵泡的结构特点；排卵的概念；黄体的形成、细胞组成、功能及退化。</w:t>
      </w:r>
    </w:p>
    <w:p w:rsidR="003717A0" w:rsidRDefault="00664AA5">
      <w:r>
        <w:rPr>
          <w:rFonts w:hint="eastAsia"/>
        </w:rPr>
        <w:t>2.</w:t>
      </w:r>
      <w:r w:rsidR="003717A0">
        <w:rPr>
          <w:rFonts w:hint="eastAsia"/>
        </w:rPr>
        <w:t>子宫壁的结构；子宫内膜的周期性变化。</w:t>
      </w:r>
    </w:p>
    <w:p w:rsidR="003717A0" w:rsidRDefault="003717A0">
      <w:pPr>
        <w:rPr>
          <w:rFonts w:ascii="Times New Roman" w:hAnsi="Times New Roman"/>
          <w:b/>
        </w:rPr>
      </w:pPr>
      <w:r>
        <w:rPr>
          <w:rFonts w:ascii="Times New Roman" w:hint="eastAsia"/>
          <w:b/>
        </w:rPr>
        <w:t>目的要求</w:t>
      </w:r>
    </w:p>
    <w:p w:rsidR="003717A0" w:rsidRDefault="00664AA5">
      <w:r>
        <w:rPr>
          <w:rFonts w:hint="eastAsia"/>
        </w:rPr>
        <w:t>1.</w:t>
      </w:r>
      <w:r w:rsidR="003717A0">
        <w:rPr>
          <w:rFonts w:hint="eastAsia"/>
        </w:rPr>
        <w:t>掌握卵泡发育和成熟的过程，排卵的概念，黄体的形成、结构、功能及退化。</w:t>
      </w:r>
    </w:p>
    <w:p w:rsidR="003717A0" w:rsidRDefault="00664AA5">
      <w:r>
        <w:rPr>
          <w:rFonts w:hint="eastAsia"/>
        </w:rPr>
        <w:t>2.</w:t>
      </w:r>
      <w:r w:rsidR="003717A0">
        <w:rPr>
          <w:rFonts w:hint="eastAsia"/>
        </w:rPr>
        <w:t>了解子宫壁的结构。</w:t>
      </w:r>
    </w:p>
    <w:p w:rsidR="003717A0" w:rsidRDefault="00664AA5">
      <w:r>
        <w:rPr>
          <w:rFonts w:hint="eastAsia"/>
        </w:rPr>
        <w:t>3.</w:t>
      </w:r>
      <w:r w:rsidR="003717A0">
        <w:rPr>
          <w:rFonts w:hint="eastAsia"/>
        </w:rPr>
        <w:t>熟悉月经周期的定义和分期。</w:t>
      </w:r>
    </w:p>
    <w:p w:rsidR="003717A0" w:rsidRDefault="003717A0">
      <w:pPr>
        <w:rPr>
          <w:szCs w:val="21"/>
        </w:rPr>
      </w:pPr>
    </w:p>
    <w:p w:rsidR="003717A0" w:rsidRDefault="003717A0">
      <w:pPr>
        <w:rPr>
          <w:b/>
          <w:sz w:val="22"/>
        </w:rPr>
      </w:pPr>
      <w:r>
        <w:rPr>
          <w:b/>
          <w:sz w:val="22"/>
        </w:rPr>
        <w:t xml:space="preserve">  </w:t>
      </w:r>
      <w:r>
        <w:rPr>
          <w:rFonts w:hint="eastAsia"/>
          <w:b/>
          <w:sz w:val="22"/>
        </w:rPr>
        <w:t>第二部分：胚胎学</w:t>
      </w:r>
    </w:p>
    <w:p w:rsidR="003717A0" w:rsidRDefault="003717A0">
      <w:pPr>
        <w:rPr>
          <w:b/>
          <w:sz w:val="22"/>
        </w:rPr>
      </w:pPr>
      <w:r>
        <w:rPr>
          <w:rFonts w:hint="eastAsia"/>
          <w:b/>
          <w:sz w:val="22"/>
        </w:rPr>
        <w:t>第二十章</w:t>
      </w:r>
      <w:r>
        <w:rPr>
          <w:b/>
          <w:sz w:val="22"/>
        </w:rPr>
        <w:t xml:space="preserve">  </w:t>
      </w:r>
      <w:r>
        <w:rPr>
          <w:rFonts w:hint="eastAsia"/>
          <w:b/>
          <w:sz w:val="22"/>
        </w:rPr>
        <w:t>胚胎学绪论</w:t>
      </w:r>
    </w:p>
    <w:p w:rsidR="003717A0" w:rsidRDefault="003717A0">
      <w:pPr>
        <w:rPr>
          <w:rFonts w:ascii="Times New Roman" w:hAnsi="Times New Roman"/>
          <w:b/>
        </w:rPr>
      </w:pPr>
      <w:r>
        <w:rPr>
          <w:rFonts w:ascii="Times New Roman" w:hint="eastAsia"/>
          <w:b/>
        </w:rPr>
        <w:t>教学内容（</w:t>
      </w:r>
      <w:r>
        <w:rPr>
          <w:rFonts w:ascii="Times New Roman" w:hAnsi="Times New Roman"/>
          <w:b/>
        </w:rPr>
        <w:t>0.1</w:t>
      </w:r>
      <w:r>
        <w:rPr>
          <w:rFonts w:ascii="Times New Roman" w:hint="eastAsia"/>
          <w:b/>
        </w:rPr>
        <w:t>学时）</w:t>
      </w:r>
    </w:p>
    <w:p w:rsidR="003717A0" w:rsidRDefault="003717A0">
      <w:r>
        <w:rPr>
          <w:rFonts w:hint="eastAsia"/>
        </w:rPr>
        <w:t>胚胎学的定义；人胚发育的总时长及阶段划分。</w:t>
      </w:r>
    </w:p>
    <w:p w:rsidR="003717A0" w:rsidRDefault="003717A0">
      <w:pPr>
        <w:rPr>
          <w:rFonts w:ascii="Times New Roman" w:hAnsi="Times New Roman"/>
          <w:b/>
        </w:rPr>
      </w:pPr>
      <w:r>
        <w:rPr>
          <w:rFonts w:ascii="Times New Roman" w:hint="eastAsia"/>
          <w:b/>
        </w:rPr>
        <w:t>目的要求</w:t>
      </w:r>
    </w:p>
    <w:p w:rsidR="003717A0" w:rsidRDefault="003717A0">
      <w:r>
        <w:rPr>
          <w:rFonts w:hint="eastAsia"/>
        </w:rPr>
        <w:t>了解人胚发育的总时长及阶段划分。</w:t>
      </w:r>
    </w:p>
    <w:p w:rsidR="003717A0" w:rsidRDefault="003717A0">
      <w:pPr>
        <w:rPr>
          <w:b/>
          <w:sz w:val="22"/>
        </w:rPr>
      </w:pPr>
      <w:r>
        <w:rPr>
          <w:rFonts w:hint="eastAsia"/>
          <w:b/>
          <w:sz w:val="22"/>
        </w:rPr>
        <w:t>第二十一章</w:t>
      </w:r>
      <w:r>
        <w:rPr>
          <w:b/>
          <w:sz w:val="22"/>
        </w:rPr>
        <w:t xml:space="preserve">  </w:t>
      </w:r>
      <w:r>
        <w:rPr>
          <w:rFonts w:hint="eastAsia"/>
          <w:b/>
          <w:sz w:val="22"/>
        </w:rPr>
        <w:t>人体胚胎早期发生</w:t>
      </w:r>
    </w:p>
    <w:p w:rsidR="003717A0" w:rsidRDefault="003717A0">
      <w:pPr>
        <w:rPr>
          <w:rFonts w:ascii="Times New Roman" w:hAnsi="Times New Roman"/>
          <w:b/>
        </w:rPr>
      </w:pPr>
      <w:r>
        <w:rPr>
          <w:rFonts w:ascii="Times New Roman" w:hint="eastAsia"/>
          <w:b/>
        </w:rPr>
        <w:t>教学内容（</w:t>
      </w:r>
      <w:r>
        <w:rPr>
          <w:rFonts w:ascii="Times New Roman" w:hAnsi="Times New Roman"/>
          <w:b/>
        </w:rPr>
        <w:t>2.9</w:t>
      </w:r>
      <w:r>
        <w:rPr>
          <w:rFonts w:ascii="Times New Roman" w:hint="eastAsia"/>
          <w:b/>
        </w:rPr>
        <w:t>学时）</w:t>
      </w:r>
    </w:p>
    <w:p w:rsidR="003717A0" w:rsidRDefault="00664AA5">
      <w:r>
        <w:rPr>
          <w:rFonts w:hint="eastAsia"/>
        </w:rPr>
        <w:t>1.</w:t>
      </w:r>
      <w:r w:rsidR="003717A0">
        <w:rPr>
          <w:rFonts w:hint="eastAsia"/>
        </w:rPr>
        <w:t>生殖细胞的成熟；受精的条件及意义。</w:t>
      </w:r>
    </w:p>
    <w:p w:rsidR="003717A0" w:rsidRDefault="00664AA5">
      <w:r>
        <w:rPr>
          <w:rFonts w:hint="eastAsia"/>
        </w:rPr>
        <w:t>2.</w:t>
      </w:r>
      <w:r w:rsidR="003717A0">
        <w:rPr>
          <w:rFonts w:hint="eastAsia"/>
        </w:rPr>
        <w:t>卵裂的过程，桑椹胚和胚泡的形成，胚泡的结构特点；植入的定义、时间、部位与过程，前置胎盘和异位妊娠的概念，蜕膜反应及蜕膜的分部。</w:t>
      </w:r>
    </w:p>
    <w:p w:rsidR="003717A0" w:rsidRDefault="00664AA5">
      <w:r>
        <w:rPr>
          <w:rFonts w:hint="eastAsia"/>
        </w:rPr>
        <w:t>3.</w:t>
      </w:r>
      <w:r w:rsidR="003717A0">
        <w:rPr>
          <w:rFonts w:hint="eastAsia"/>
        </w:rPr>
        <w:t>上胚层、下胚层、羊膜腔、卵黄囊等相关结构的形成；内、中、外三胚层胚盘的形成，原条、脊索、口咽膜、泄殖腔膜等相关结构的形成；内、中、外三胚层的分化。</w:t>
      </w:r>
    </w:p>
    <w:p w:rsidR="003717A0" w:rsidRDefault="00664AA5">
      <w:r>
        <w:rPr>
          <w:rFonts w:hint="eastAsia"/>
        </w:rPr>
        <w:t>4.</w:t>
      </w:r>
      <w:r w:rsidR="003717A0">
        <w:rPr>
          <w:rFonts w:hint="eastAsia"/>
        </w:rPr>
        <w:t>胎膜的定义，绒毛膜的分级和结构特点；胎盘的结构及功能，胎盘屏障的组成及功能。</w:t>
      </w:r>
    </w:p>
    <w:p w:rsidR="003717A0" w:rsidRDefault="003717A0">
      <w:pPr>
        <w:rPr>
          <w:rFonts w:ascii="Times New Roman" w:hAnsi="Times New Roman"/>
          <w:b/>
        </w:rPr>
      </w:pPr>
      <w:r>
        <w:rPr>
          <w:rFonts w:ascii="Times New Roman" w:hint="eastAsia"/>
          <w:b/>
        </w:rPr>
        <w:t>目的要求</w:t>
      </w:r>
    </w:p>
    <w:p w:rsidR="003717A0" w:rsidRDefault="00664AA5">
      <w:r>
        <w:rPr>
          <w:rFonts w:hint="eastAsia"/>
        </w:rPr>
        <w:t>1.</w:t>
      </w:r>
      <w:r w:rsidR="003717A0">
        <w:rPr>
          <w:rFonts w:hint="eastAsia"/>
        </w:rPr>
        <w:t>掌握人胚胎前三周的发育过程、胚泡植入的过程及子宫内膜的变化。</w:t>
      </w:r>
    </w:p>
    <w:p w:rsidR="003717A0" w:rsidRDefault="00664AA5">
      <w:r>
        <w:rPr>
          <w:rFonts w:hint="eastAsia"/>
        </w:rPr>
        <w:t>2.</w:t>
      </w:r>
      <w:r w:rsidR="003717A0">
        <w:rPr>
          <w:rFonts w:hint="eastAsia"/>
        </w:rPr>
        <w:t>了解人胚胎第四周至第八周的发育过程。</w:t>
      </w:r>
    </w:p>
    <w:p w:rsidR="003717A0" w:rsidRDefault="00664AA5">
      <w:r>
        <w:rPr>
          <w:rFonts w:hint="eastAsia"/>
        </w:rPr>
        <w:lastRenderedPageBreak/>
        <w:t>3.</w:t>
      </w:r>
      <w:r w:rsidR="003717A0">
        <w:rPr>
          <w:rFonts w:hint="eastAsia"/>
        </w:rPr>
        <w:t>熟悉胎膜的组成。</w:t>
      </w:r>
    </w:p>
    <w:p w:rsidR="003717A0" w:rsidRDefault="00664AA5">
      <w:r>
        <w:rPr>
          <w:rFonts w:hint="eastAsia"/>
        </w:rPr>
        <w:t>4.</w:t>
      </w:r>
      <w:r w:rsidR="003717A0">
        <w:rPr>
          <w:rFonts w:hint="eastAsia"/>
        </w:rPr>
        <w:t>了解胎盘的结构及功能。</w:t>
      </w:r>
    </w:p>
    <w:p w:rsidR="003717A0" w:rsidRDefault="00664AA5">
      <w:r>
        <w:rPr>
          <w:rFonts w:hint="eastAsia"/>
        </w:rPr>
        <w:t>5.</w:t>
      </w:r>
      <w:r w:rsidR="003717A0">
        <w:rPr>
          <w:rFonts w:hint="eastAsia"/>
        </w:rPr>
        <w:t>掌握胎盘屏障的组成及功能。</w:t>
      </w:r>
    </w:p>
    <w:p w:rsidR="003717A0" w:rsidRDefault="003717A0">
      <w:pPr>
        <w:adjustRightInd w:val="0"/>
        <w:snapToGrid w:val="0"/>
        <w:spacing w:line="360" w:lineRule="auto"/>
        <w:ind w:left="709" w:right="4"/>
      </w:pP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4"/>
        <w:gridCol w:w="3974"/>
        <w:gridCol w:w="720"/>
        <w:gridCol w:w="2520"/>
        <w:gridCol w:w="900"/>
      </w:tblGrid>
      <w:tr w:rsidR="003717A0" w:rsidTr="00F5156D">
        <w:trPr>
          <w:jc w:val="center"/>
        </w:trPr>
        <w:tc>
          <w:tcPr>
            <w:tcW w:w="454" w:type="dxa"/>
            <w:vAlign w:val="center"/>
          </w:tcPr>
          <w:p w:rsidR="003717A0" w:rsidRDefault="003717A0">
            <w:pPr>
              <w:jc w:val="center"/>
              <w:rPr>
                <w:sz w:val="24"/>
              </w:rPr>
            </w:pPr>
            <w:r>
              <w:rPr>
                <w:rFonts w:hint="eastAsia"/>
                <w:sz w:val="24"/>
              </w:rPr>
              <w:t>序号</w:t>
            </w:r>
          </w:p>
        </w:tc>
        <w:tc>
          <w:tcPr>
            <w:tcW w:w="3974" w:type="dxa"/>
            <w:vAlign w:val="center"/>
          </w:tcPr>
          <w:p w:rsidR="003717A0" w:rsidRDefault="003717A0">
            <w:pPr>
              <w:jc w:val="center"/>
              <w:rPr>
                <w:sz w:val="24"/>
              </w:rPr>
            </w:pPr>
            <w:r>
              <w:rPr>
                <w:rFonts w:hint="eastAsia"/>
                <w:sz w:val="24"/>
              </w:rPr>
              <w:t>讲课内容</w:t>
            </w:r>
          </w:p>
          <w:p w:rsidR="003717A0" w:rsidRDefault="003717A0">
            <w:pPr>
              <w:jc w:val="center"/>
              <w:rPr>
                <w:sz w:val="24"/>
              </w:rPr>
            </w:pPr>
            <w:r>
              <w:rPr>
                <w:rFonts w:hint="eastAsia"/>
                <w:sz w:val="24"/>
              </w:rPr>
              <w:t>（具体章</w:t>
            </w:r>
            <w:bookmarkStart w:id="64" w:name="_Hlk374991522"/>
            <w:r>
              <w:rPr>
                <w:rFonts w:hint="eastAsia"/>
                <w:sz w:val="24"/>
              </w:rPr>
              <w:t>节或实验）</w:t>
            </w:r>
          </w:p>
        </w:tc>
        <w:tc>
          <w:tcPr>
            <w:tcW w:w="720" w:type="dxa"/>
            <w:vAlign w:val="center"/>
          </w:tcPr>
          <w:p w:rsidR="003717A0" w:rsidRDefault="003717A0">
            <w:pPr>
              <w:jc w:val="center"/>
              <w:rPr>
                <w:sz w:val="24"/>
              </w:rPr>
            </w:pPr>
            <w:r>
              <w:rPr>
                <w:rFonts w:hint="eastAsia"/>
                <w:sz w:val="24"/>
              </w:rPr>
              <w:t>学时</w:t>
            </w:r>
          </w:p>
        </w:tc>
        <w:tc>
          <w:tcPr>
            <w:tcW w:w="2520" w:type="dxa"/>
            <w:vAlign w:val="center"/>
          </w:tcPr>
          <w:p w:rsidR="003717A0" w:rsidRDefault="003717A0">
            <w:pPr>
              <w:jc w:val="center"/>
              <w:rPr>
                <w:sz w:val="24"/>
              </w:rPr>
            </w:pPr>
            <w:r>
              <w:rPr>
                <w:rFonts w:hint="eastAsia"/>
                <w:sz w:val="24"/>
              </w:rPr>
              <w:t>作业</w:t>
            </w:r>
          </w:p>
        </w:tc>
        <w:tc>
          <w:tcPr>
            <w:tcW w:w="900" w:type="dxa"/>
            <w:vAlign w:val="center"/>
          </w:tcPr>
          <w:p w:rsidR="003717A0" w:rsidRDefault="003717A0">
            <w:pPr>
              <w:jc w:val="center"/>
              <w:rPr>
                <w:sz w:val="24"/>
              </w:rPr>
            </w:pPr>
            <w:r>
              <w:rPr>
                <w:rFonts w:hint="eastAsia"/>
                <w:sz w:val="24"/>
              </w:rPr>
              <w:t>备注</w:t>
            </w:r>
          </w:p>
        </w:tc>
      </w:tr>
      <w:tr w:rsidR="003717A0" w:rsidTr="00F5156D">
        <w:trPr>
          <w:jc w:val="center"/>
        </w:trPr>
        <w:tc>
          <w:tcPr>
            <w:tcW w:w="454" w:type="dxa"/>
          </w:tcPr>
          <w:p w:rsidR="003717A0" w:rsidRDefault="003717A0">
            <w:pPr>
              <w:jc w:val="center"/>
            </w:pPr>
            <w:r>
              <w:t>1</w:t>
            </w:r>
          </w:p>
        </w:tc>
        <w:tc>
          <w:tcPr>
            <w:tcW w:w="3974" w:type="dxa"/>
          </w:tcPr>
          <w:p w:rsidR="003717A0" w:rsidRDefault="003717A0">
            <w:pPr>
              <w:ind w:firstLineChars="167" w:firstLine="351"/>
            </w:pPr>
            <w:r>
              <w:rPr>
                <w:rFonts w:hint="eastAsia"/>
              </w:rPr>
              <w:t>组织学绪论</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2</w:t>
            </w:r>
          </w:p>
        </w:tc>
        <w:tc>
          <w:tcPr>
            <w:tcW w:w="3974" w:type="dxa"/>
          </w:tcPr>
          <w:p w:rsidR="003717A0" w:rsidRDefault="003717A0">
            <w:pPr>
              <w:ind w:firstLineChars="167" w:firstLine="351"/>
            </w:pPr>
            <w:r>
              <w:rPr>
                <w:rFonts w:hint="eastAsia"/>
              </w:rPr>
              <w:t>细胞</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3</w:t>
            </w:r>
          </w:p>
        </w:tc>
        <w:tc>
          <w:tcPr>
            <w:tcW w:w="3974" w:type="dxa"/>
          </w:tcPr>
          <w:p w:rsidR="003717A0" w:rsidRDefault="003717A0">
            <w:pPr>
              <w:ind w:firstLineChars="167" w:firstLine="351"/>
            </w:pPr>
            <w:r>
              <w:rPr>
                <w:rFonts w:hint="eastAsia"/>
              </w:rPr>
              <w:t>上皮组织</w:t>
            </w:r>
          </w:p>
        </w:tc>
        <w:tc>
          <w:tcPr>
            <w:tcW w:w="720" w:type="dxa"/>
          </w:tcPr>
          <w:p w:rsidR="003717A0" w:rsidRDefault="003717A0">
            <w:pPr>
              <w:jc w:val="center"/>
            </w:pPr>
            <w:r>
              <w:t>3</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4</w:t>
            </w:r>
          </w:p>
        </w:tc>
        <w:tc>
          <w:tcPr>
            <w:tcW w:w="3974" w:type="dxa"/>
          </w:tcPr>
          <w:p w:rsidR="003717A0" w:rsidRDefault="003717A0">
            <w:pPr>
              <w:ind w:firstLineChars="167" w:firstLine="351"/>
            </w:pPr>
            <w:r>
              <w:rPr>
                <w:rFonts w:hint="eastAsia"/>
              </w:rPr>
              <w:t>固有结缔组织</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5</w:t>
            </w:r>
          </w:p>
        </w:tc>
        <w:tc>
          <w:tcPr>
            <w:tcW w:w="3974" w:type="dxa"/>
          </w:tcPr>
          <w:p w:rsidR="003717A0" w:rsidRDefault="003717A0">
            <w:pPr>
              <w:ind w:firstLineChars="167" w:firstLine="351"/>
            </w:pPr>
            <w:r>
              <w:rPr>
                <w:rFonts w:hint="eastAsia"/>
              </w:rPr>
              <w:t>血液和淋巴</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6</w:t>
            </w:r>
          </w:p>
        </w:tc>
        <w:tc>
          <w:tcPr>
            <w:tcW w:w="3974" w:type="dxa"/>
          </w:tcPr>
          <w:p w:rsidR="003717A0" w:rsidRDefault="003717A0">
            <w:pPr>
              <w:ind w:firstLineChars="167" w:firstLine="351"/>
            </w:pPr>
            <w:r>
              <w:rPr>
                <w:rFonts w:hint="eastAsia"/>
              </w:rPr>
              <w:t>软骨和骨</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7</w:t>
            </w:r>
          </w:p>
        </w:tc>
        <w:tc>
          <w:tcPr>
            <w:tcW w:w="3974" w:type="dxa"/>
          </w:tcPr>
          <w:p w:rsidR="003717A0" w:rsidRDefault="003717A0">
            <w:pPr>
              <w:ind w:firstLineChars="167" w:firstLine="351"/>
            </w:pPr>
            <w:r>
              <w:rPr>
                <w:rFonts w:hint="eastAsia"/>
              </w:rPr>
              <w:t>肌组织</w:t>
            </w:r>
          </w:p>
        </w:tc>
        <w:tc>
          <w:tcPr>
            <w:tcW w:w="720" w:type="dxa"/>
          </w:tcPr>
          <w:p w:rsidR="003717A0" w:rsidRDefault="003717A0">
            <w:pPr>
              <w:jc w:val="center"/>
            </w:pPr>
            <w:r>
              <w:t>2</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8</w:t>
            </w:r>
          </w:p>
        </w:tc>
        <w:tc>
          <w:tcPr>
            <w:tcW w:w="3974" w:type="dxa"/>
          </w:tcPr>
          <w:p w:rsidR="003717A0" w:rsidRDefault="003717A0">
            <w:pPr>
              <w:ind w:firstLineChars="167" w:firstLine="351"/>
            </w:pPr>
            <w:r>
              <w:rPr>
                <w:rFonts w:hint="eastAsia"/>
              </w:rPr>
              <w:t>神经组织</w:t>
            </w:r>
          </w:p>
        </w:tc>
        <w:tc>
          <w:tcPr>
            <w:tcW w:w="720" w:type="dxa"/>
          </w:tcPr>
          <w:p w:rsidR="003717A0" w:rsidRDefault="003717A0">
            <w:pPr>
              <w:jc w:val="center"/>
            </w:pPr>
            <w:r>
              <w:t>3</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9</w:t>
            </w:r>
          </w:p>
        </w:tc>
        <w:tc>
          <w:tcPr>
            <w:tcW w:w="3974" w:type="dxa"/>
          </w:tcPr>
          <w:p w:rsidR="003717A0" w:rsidRDefault="003717A0">
            <w:pPr>
              <w:ind w:firstLineChars="167" w:firstLine="351"/>
            </w:pPr>
            <w:r>
              <w:rPr>
                <w:rFonts w:hint="eastAsia"/>
              </w:rPr>
              <w:t>循环系统</w:t>
            </w:r>
          </w:p>
        </w:tc>
        <w:tc>
          <w:tcPr>
            <w:tcW w:w="720" w:type="dxa"/>
          </w:tcPr>
          <w:p w:rsidR="003717A0" w:rsidRDefault="003717A0">
            <w:pPr>
              <w:jc w:val="center"/>
            </w:pPr>
            <w:r>
              <w:t>2</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10</w:t>
            </w:r>
          </w:p>
        </w:tc>
        <w:tc>
          <w:tcPr>
            <w:tcW w:w="3974" w:type="dxa"/>
          </w:tcPr>
          <w:p w:rsidR="003717A0" w:rsidRDefault="003717A0">
            <w:pPr>
              <w:ind w:firstLineChars="167" w:firstLine="351"/>
            </w:pPr>
            <w:r>
              <w:rPr>
                <w:rFonts w:hint="eastAsia"/>
              </w:rPr>
              <w:t>免疫系统</w:t>
            </w:r>
          </w:p>
        </w:tc>
        <w:tc>
          <w:tcPr>
            <w:tcW w:w="720" w:type="dxa"/>
          </w:tcPr>
          <w:p w:rsidR="003717A0" w:rsidRDefault="003717A0">
            <w:pPr>
              <w:jc w:val="center"/>
            </w:pPr>
            <w:r>
              <w:t>3</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11</w:t>
            </w:r>
          </w:p>
        </w:tc>
        <w:tc>
          <w:tcPr>
            <w:tcW w:w="3974" w:type="dxa"/>
          </w:tcPr>
          <w:p w:rsidR="003717A0" w:rsidRDefault="003717A0">
            <w:pPr>
              <w:ind w:firstLineChars="167" w:firstLine="351"/>
            </w:pPr>
            <w:r>
              <w:rPr>
                <w:rFonts w:hint="eastAsia"/>
              </w:rPr>
              <w:t>内分泌系统</w:t>
            </w:r>
          </w:p>
        </w:tc>
        <w:tc>
          <w:tcPr>
            <w:tcW w:w="720" w:type="dxa"/>
          </w:tcPr>
          <w:p w:rsidR="003717A0" w:rsidRDefault="003717A0">
            <w:pPr>
              <w:jc w:val="center"/>
            </w:pPr>
            <w:r>
              <w:t>2</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12</w:t>
            </w:r>
          </w:p>
        </w:tc>
        <w:tc>
          <w:tcPr>
            <w:tcW w:w="3974" w:type="dxa"/>
          </w:tcPr>
          <w:p w:rsidR="003717A0" w:rsidRDefault="003717A0">
            <w:pPr>
              <w:ind w:firstLineChars="167" w:firstLine="351"/>
            </w:pPr>
            <w:r>
              <w:rPr>
                <w:rFonts w:hint="eastAsia"/>
              </w:rPr>
              <w:t>皮肤</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13</w:t>
            </w:r>
          </w:p>
        </w:tc>
        <w:tc>
          <w:tcPr>
            <w:tcW w:w="3974" w:type="dxa"/>
          </w:tcPr>
          <w:p w:rsidR="003717A0" w:rsidRDefault="003717A0">
            <w:pPr>
              <w:ind w:firstLineChars="167" w:firstLine="351"/>
            </w:pPr>
            <w:r>
              <w:rPr>
                <w:rFonts w:hint="eastAsia"/>
              </w:rPr>
              <w:t>消化管</w:t>
            </w:r>
          </w:p>
        </w:tc>
        <w:tc>
          <w:tcPr>
            <w:tcW w:w="720" w:type="dxa"/>
          </w:tcPr>
          <w:p w:rsidR="003717A0" w:rsidRDefault="003717A0">
            <w:pPr>
              <w:jc w:val="center"/>
            </w:pPr>
            <w:r>
              <w:t>2</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14</w:t>
            </w:r>
          </w:p>
        </w:tc>
        <w:tc>
          <w:tcPr>
            <w:tcW w:w="3974" w:type="dxa"/>
          </w:tcPr>
          <w:p w:rsidR="003717A0" w:rsidRDefault="003717A0">
            <w:pPr>
              <w:ind w:firstLineChars="167" w:firstLine="351"/>
            </w:pPr>
            <w:r>
              <w:rPr>
                <w:rFonts w:hint="eastAsia"/>
              </w:rPr>
              <w:t>消化腺</w:t>
            </w:r>
          </w:p>
        </w:tc>
        <w:tc>
          <w:tcPr>
            <w:tcW w:w="720" w:type="dxa"/>
          </w:tcPr>
          <w:p w:rsidR="003717A0" w:rsidRDefault="003717A0">
            <w:pPr>
              <w:jc w:val="center"/>
            </w:pPr>
            <w:r>
              <w:t>3</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15</w:t>
            </w:r>
          </w:p>
        </w:tc>
        <w:tc>
          <w:tcPr>
            <w:tcW w:w="3974" w:type="dxa"/>
          </w:tcPr>
          <w:p w:rsidR="003717A0" w:rsidRDefault="003717A0">
            <w:pPr>
              <w:ind w:firstLineChars="167" w:firstLine="351"/>
            </w:pPr>
            <w:r>
              <w:rPr>
                <w:rFonts w:hint="eastAsia"/>
              </w:rPr>
              <w:t>呼吸系统</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16</w:t>
            </w:r>
          </w:p>
        </w:tc>
        <w:tc>
          <w:tcPr>
            <w:tcW w:w="3974" w:type="dxa"/>
          </w:tcPr>
          <w:p w:rsidR="003717A0" w:rsidRDefault="003717A0">
            <w:pPr>
              <w:ind w:firstLineChars="167" w:firstLine="351"/>
            </w:pPr>
            <w:r>
              <w:rPr>
                <w:rFonts w:hint="eastAsia"/>
              </w:rPr>
              <w:t>泌尿系统</w:t>
            </w:r>
          </w:p>
        </w:tc>
        <w:tc>
          <w:tcPr>
            <w:tcW w:w="720" w:type="dxa"/>
          </w:tcPr>
          <w:p w:rsidR="003717A0" w:rsidRDefault="003717A0">
            <w:pPr>
              <w:jc w:val="center"/>
            </w:pPr>
            <w:r>
              <w:t>3</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17</w:t>
            </w:r>
          </w:p>
        </w:tc>
        <w:tc>
          <w:tcPr>
            <w:tcW w:w="3974" w:type="dxa"/>
          </w:tcPr>
          <w:p w:rsidR="003717A0" w:rsidRDefault="003717A0">
            <w:pPr>
              <w:ind w:firstLineChars="167" w:firstLine="351"/>
            </w:pPr>
            <w:r>
              <w:rPr>
                <w:rFonts w:hint="eastAsia"/>
              </w:rPr>
              <w:t>男性生殖系统</w:t>
            </w:r>
          </w:p>
        </w:tc>
        <w:tc>
          <w:tcPr>
            <w:tcW w:w="720" w:type="dxa"/>
          </w:tcPr>
          <w:p w:rsidR="003717A0" w:rsidRDefault="003717A0">
            <w:pPr>
              <w:jc w:val="center"/>
            </w:pPr>
            <w:r>
              <w:t>1</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18</w:t>
            </w:r>
          </w:p>
        </w:tc>
        <w:tc>
          <w:tcPr>
            <w:tcW w:w="3974" w:type="dxa"/>
          </w:tcPr>
          <w:p w:rsidR="003717A0" w:rsidRDefault="003717A0">
            <w:pPr>
              <w:ind w:firstLineChars="167" w:firstLine="351"/>
            </w:pPr>
            <w:r>
              <w:rPr>
                <w:rFonts w:hint="eastAsia"/>
              </w:rPr>
              <w:t>女性生殖系统</w:t>
            </w:r>
          </w:p>
        </w:tc>
        <w:tc>
          <w:tcPr>
            <w:tcW w:w="720" w:type="dxa"/>
          </w:tcPr>
          <w:p w:rsidR="003717A0" w:rsidRDefault="003717A0">
            <w:pPr>
              <w:jc w:val="center"/>
            </w:pPr>
            <w:r>
              <w:t>2</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r>
              <w:t>19</w:t>
            </w:r>
          </w:p>
        </w:tc>
        <w:tc>
          <w:tcPr>
            <w:tcW w:w="3974" w:type="dxa"/>
          </w:tcPr>
          <w:p w:rsidR="003717A0" w:rsidRDefault="003717A0">
            <w:pPr>
              <w:ind w:firstLineChars="167" w:firstLine="351"/>
            </w:pPr>
            <w:r>
              <w:rPr>
                <w:rFonts w:hint="eastAsia"/>
              </w:rPr>
              <w:t>胚胎学绪论</w:t>
            </w:r>
          </w:p>
        </w:tc>
        <w:tc>
          <w:tcPr>
            <w:tcW w:w="720" w:type="dxa"/>
          </w:tcPr>
          <w:p w:rsidR="003717A0" w:rsidRDefault="003717A0">
            <w:pPr>
              <w:jc w:val="center"/>
            </w:pPr>
            <w:r>
              <w:t>0.1</w:t>
            </w:r>
          </w:p>
        </w:tc>
        <w:tc>
          <w:tcPr>
            <w:tcW w:w="2520" w:type="dxa"/>
          </w:tcPr>
          <w:p w:rsidR="003717A0" w:rsidRDefault="003717A0"/>
        </w:tc>
        <w:tc>
          <w:tcPr>
            <w:tcW w:w="900" w:type="dxa"/>
          </w:tcPr>
          <w:p w:rsidR="003717A0" w:rsidRDefault="003717A0"/>
        </w:tc>
      </w:tr>
      <w:bookmarkEnd w:id="64"/>
      <w:tr w:rsidR="003717A0" w:rsidTr="00F5156D">
        <w:trPr>
          <w:jc w:val="center"/>
        </w:trPr>
        <w:tc>
          <w:tcPr>
            <w:tcW w:w="454" w:type="dxa"/>
          </w:tcPr>
          <w:p w:rsidR="003717A0" w:rsidRDefault="003717A0">
            <w:pPr>
              <w:jc w:val="center"/>
            </w:pPr>
            <w:r>
              <w:t>20</w:t>
            </w:r>
          </w:p>
        </w:tc>
        <w:tc>
          <w:tcPr>
            <w:tcW w:w="3974" w:type="dxa"/>
          </w:tcPr>
          <w:p w:rsidR="003717A0" w:rsidRDefault="003717A0">
            <w:pPr>
              <w:ind w:firstLineChars="167" w:firstLine="351"/>
            </w:pPr>
            <w:r>
              <w:rPr>
                <w:rFonts w:hint="eastAsia"/>
              </w:rPr>
              <w:t>人体胚胎早期发生</w:t>
            </w:r>
          </w:p>
        </w:tc>
        <w:tc>
          <w:tcPr>
            <w:tcW w:w="720" w:type="dxa"/>
          </w:tcPr>
          <w:p w:rsidR="003717A0" w:rsidRDefault="003717A0">
            <w:pPr>
              <w:jc w:val="center"/>
            </w:pPr>
            <w:r>
              <w:t>2.9</w:t>
            </w:r>
          </w:p>
        </w:tc>
        <w:tc>
          <w:tcPr>
            <w:tcW w:w="2520" w:type="dxa"/>
          </w:tcPr>
          <w:p w:rsidR="003717A0" w:rsidRDefault="003717A0"/>
        </w:tc>
        <w:tc>
          <w:tcPr>
            <w:tcW w:w="900" w:type="dxa"/>
          </w:tcPr>
          <w:p w:rsidR="003717A0" w:rsidRDefault="003717A0"/>
        </w:tc>
      </w:tr>
      <w:tr w:rsidR="003717A0" w:rsidTr="00F5156D">
        <w:trPr>
          <w:jc w:val="center"/>
        </w:trPr>
        <w:tc>
          <w:tcPr>
            <w:tcW w:w="454" w:type="dxa"/>
          </w:tcPr>
          <w:p w:rsidR="003717A0" w:rsidRDefault="003717A0">
            <w:pPr>
              <w:jc w:val="center"/>
            </w:pPr>
          </w:p>
        </w:tc>
        <w:tc>
          <w:tcPr>
            <w:tcW w:w="3974" w:type="dxa"/>
          </w:tcPr>
          <w:p w:rsidR="003717A0" w:rsidRDefault="003717A0">
            <w:pPr>
              <w:ind w:firstLineChars="167" w:firstLine="351"/>
            </w:pPr>
            <w:r>
              <w:rPr>
                <w:rFonts w:hint="eastAsia"/>
              </w:rPr>
              <w:t>合　计</w:t>
            </w:r>
          </w:p>
        </w:tc>
        <w:tc>
          <w:tcPr>
            <w:tcW w:w="720" w:type="dxa"/>
          </w:tcPr>
          <w:p w:rsidR="003717A0" w:rsidRDefault="003717A0">
            <w:pPr>
              <w:jc w:val="center"/>
            </w:pPr>
            <w:r>
              <w:t>36</w:t>
            </w:r>
          </w:p>
        </w:tc>
        <w:tc>
          <w:tcPr>
            <w:tcW w:w="2520" w:type="dxa"/>
          </w:tcPr>
          <w:p w:rsidR="003717A0" w:rsidRDefault="003717A0"/>
        </w:tc>
        <w:tc>
          <w:tcPr>
            <w:tcW w:w="900" w:type="dxa"/>
          </w:tcPr>
          <w:p w:rsidR="003717A0" w:rsidRDefault="003717A0"/>
        </w:tc>
      </w:tr>
    </w:tbl>
    <w:p w:rsidR="003717A0" w:rsidRDefault="003717A0">
      <w:pPr>
        <w:adjustRightInd w:val="0"/>
        <w:snapToGrid w:val="0"/>
        <w:spacing w:line="360" w:lineRule="auto"/>
        <w:jc w:val="cente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w:t>
      </w:r>
      <w:r>
        <w:rPr>
          <w:rFonts w:ascii="Times New Roman"/>
        </w:rPr>
        <w:t>blackboard</w:t>
      </w:r>
      <w:r>
        <w:rPr>
          <w:rFonts w:ascii="Times New Roman" w:hint="eastAsia"/>
        </w:rPr>
        <w:t>网络平台等；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多媒体教学课件、模型教具、医学形态学数字化教学平台等。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70%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平时成绩占总成绩的</w:t>
      </w:r>
      <w:r>
        <w:rPr>
          <w:rFonts w:ascii="Times New Roman"/>
        </w:rPr>
        <w:t>30%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此外平时采用课堂提问、小测验等多种方法，注意收集学生反馈意见，掌握学生学习情况；同时让学生也对自己的知识掌握情况有所了解，并及时发现和纠正对知识的理解有所偏差的部分。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lastRenderedPageBreak/>
        <w:t>理论课教材：王晓冬、陈永珍、徐邦生主编，《组织学与胚胎学》，科学出版社，</w:t>
      </w:r>
      <w:r>
        <w:rPr>
          <w:rFonts w:ascii="Times New Roman" w:hAnsi="Times New Roman"/>
        </w:rPr>
        <w:t>2013.5</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实验课教材：陈永珍、黄晓燕、林巍巍主编，《组织胚胎实验学》，科学出版社，</w:t>
      </w:r>
      <w:r>
        <w:rPr>
          <w:rFonts w:ascii="Times New Roman" w:hAnsi="Times New Roman"/>
        </w:rPr>
        <w:t>2014.7</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邹仲之、李继承主编，《组织学与胚胎学》（第八版），人民卫生出版社，</w:t>
      </w:r>
      <w:r>
        <w:rPr>
          <w:rFonts w:ascii="Times New Roman"/>
        </w:rPr>
        <w:t xml:space="preserve">2013 </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成令忠等主编，《现代组织学》，上海科学技术文献出版社，</w:t>
      </w:r>
      <w:r>
        <w:rPr>
          <w:rFonts w:ascii="Times New Roman"/>
        </w:rPr>
        <w:t>2003</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高英茂主编，《组织学与胚胎学》（医学英文原版改编双语教材），科学出版社，</w:t>
      </w:r>
      <w:r>
        <w:rPr>
          <w:rFonts w:ascii="Times New Roman"/>
        </w:rPr>
        <w:t>2006</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rPr>
        <w:t>Lauren J S</w:t>
      </w:r>
      <w:r>
        <w:rPr>
          <w:rFonts w:ascii="Times New Roman" w:hint="eastAsia"/>
        </w:rPr>
        <w:t>主编，《胚胎学基本要点》，北京大学医学院出版社，</w:t>
      </w:r>
      <w:r>
        <w:rPr>
          <w:rFonts w:ascii="Times New Roman"/>
        </w:rPr>
        <w:t>2002</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rPr>
        <w:t>David H Cormack</w:t>
      </w:r>
      <w:r>
        <w:rPr>
          <w:rFonts w:ascii="Times New Roman" w:hint="eastAsia"/>
        </w:rPr>
        <w:t>，《</w:t>
      </w:r>
      <w:r>
        <w:rPr>
          <w:rFonts w:ascii="Times New Roman"/>
        </w:rPr>
        <w:t>Essential Histology</w:t>
      </w:r>
      <w:r>
        <w:rPr>
          <w:rFonts w:ascii="Times New Roman" w:hint="eastAsia"/>
        </w:rPr>
        <w:t>》（</w:t>
      </w:r>
      <w:r>
        <w:rPr>
          <w:rFonts w:ascii="Times New Roman"/>
        </w:rPr>
        <w:t>2nd ed</w:t>
      </w:r>
      <w:r>
        <w:rPr>
          <w:rFonts w:ascii="Times New Roman" w:hint="eastAsia"/>
        </w:rPr>
        <w:t>），</w:t>
      </w:r>
      <w:r>
        <w:rPr>
          <w:rFonts w:ascii="Times New Roman"/>
        </w:rPr>
        <w:t>Lippincott Williams &amp; Wilkins</w:t>
      </w:r>
      <w:r>
        <w:rPr>
          <w:rFonts w:ascii="Times New Roman" w:hint="eastAsia"/>
        </w:rPr>
        <w:t>，</w:t>
      </w:r>
      <w:r>
        <w:rPr>
          <w:rFonts w:ascii="Times New Roman"/>
        </w:rPr>
        <w:t>2001</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rPr>
        <w:t>Sadler TW</w:t>
      </w:r>
      <w:r>
        <w:rPr>
          <w:rFonts w:ascii="Times New Roman" w:hint="eastAsia"/>
        </w:rPr>
        <w:t>，《</w:t>
      </w:r>
      <w:r>
        <w:rPr>
          <w:rFonts w:ascii="Times New Roman"/>
        </w:rPr>
        <w:t>Langman</w:t>
      </w:r>
      <w:r>
        <w:rPr>
          <w:rFonts w:ascii="Times New Roman"/>
        </w:rPr>
        <w:t>’</w:t>
      </w:r>
      <w:r>
        <w:rPr>
          <w:rFonts w:ascii="Times New Roman"/>
        </w:rPr>
        <w:t>s medical embryology</w:t>
      </w:r>
      <w:r>
        <w:rPr>
          <w:rFonts w:ascii="Times New Roman" w:hint="eastAsia"/>
        </w:rPr>
        <w:t>》（</w:t>
      </w:r>
      <w:r>
        <w:rPr>
          <w:rFonts w:ascii="Times New Roman"/>
        </w:rPr>
        <w:t>8th ed</w:t>
      </w:r>
      <w:r>
        <w:rPr>
          <w:rFonts w:ascii="Times New Roman" w:hint="eastAsia"/>
        </w:rPr>
        <w:t>），</w:t>
      </w:r>
      <w:r>
        <w:rPr>
          <w:rFonts w:ascii="Times New Roman"/>
        </w:rPr>
        <w:t>Lippincott Williams &amp; Wilkins</w:t>
      </w:r>
      <w:r>
        <w:rPr>
          <w:rFonts w:ascii="Times New Roman" w:hint="eastAsia"/>
        </w:rPr>
        <w:t>，</w:t>
      </w:r>
      <w:r>
        <w:rPr>
          <w:rFonts w:ascii="Times New Roman"/>
        </w:rPr>
        <w:t>2000</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徐邦生主编，《组织学与胚胎学实战考试题解》，人民军医出版社，</w:t>
      </w:r>
      <w:r>
        <w:rPr>
          <w:rFonts w:ascii="Times New Roman"/>
        </w:rPr>
        <w:t>2005</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组织学实习引导片（录像）系列</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胚胎学实习引导片（录像）系列</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校园网医学形态学数字化教学平台</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国家、省精品课程的《组织学与胚胎学》网页</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国内外医学院校组织学与胚胎学专业及教研室的相关网站</w:t>
      </w:r>
    </w:p>
    <w:p w:rsidR="003717A0" w:rsidRDefault="003717A0">
      <w:pPr>
        <w:autoSpaceDE w:val="0"/>
        <w:autoSpaceDN w:val="0"/>
        <w:adjustRightInd w:val="0"/>
        <w:snapToGrid w:val="0"/>
        <w:spacing w:line="360" w:lineRule="auto"/>
        <w:ind w:firstLineChars="2185" w:firstLine="5244"/>
        <w:jc w:val="left"/>
        <w:rPr>
          <w:rFonts w:ascii="黑体" w:eastAsia="黑体" w:cs="黑体"/>
          <w:kern w:val="0"/>
          <w:sz w:val="24"/>
          <w:szCs w:val="24"/>
        </w:rPr>
      </w:pPr>
    </w:p>
    <w:p w:rsidR="003717A0" w:rsidRPr="00F5156D" w:rsidRDefault="003717A0" w:rsidP="00F5156D">
      <w:pPr>
        <w:autoSpaceDE w:val="0"/>
        <w:autoSpaceDN w:val="0"/>
        <w:adjustRightInd w:val="0"/>
        <w:snapToGrid w:val="0"/>
        <w:spacing w:line="360" w:lineRule="auto"/>
        <w:ind w:firstLineChars="3280" w:firstLine="6888"/>
        <w:rPr>
          <w:rFonts w:ascii="黑体" w:eastAsia="黑体" w:cs="黑体"/>
          <w:kern w:val="0"/>
          <w:szCs w:val="21"/>
        </w:rPr>
      </w:pPr>
      <w:r w:rsidRPr="00F5156D">
        <w:rPr>
          <w:rFonts w:ascii="黑体" w:eastAsia="黑体" w:cs="黑体" w:hint="eastAsia"/>
          <w:kern w:val="0"/>
          <w:szCs w:val="21"/>
        </w:rPr>
        <w:t>制定人：李</w:t>
      </w:r>
      <w:r w:rsidRPr="00F5156D">
        <w:rPr>
          <w:rFonts w:ascii="黑体" w:eastAsia="黑体" w:cs="黑体"/>
          <w:kern w:val="0"/>
          <w:szCs w:val="21"/>
        </w:rPr>
        <w:t xml:space="preserve">  </w:t>
      </w:r>
      <w:r w:rsidRPr="00F5156D">
        <w:rPr>
          <w:rFonts w:ascii="黑体" w:eastAsia="黑体" w:cs="黑体" w:hint="eastAsia"/>
          <w:kern w:val="0"/>
          <w:szCs w:val="21"/>
        </w:rPr>
        <w:t>奕</w:t>
      </w:r>
    </w:p>
    <w:p w:rsidR="003717A0" w:rsidRPr="00F5156D" w:rsidRDefault="003717A0" w:rsidP="00F5156D">
      <w:pPr>
        <w:autoSpaceDE w:val="0"/>
        <w:autoSpaceDN w:val="0"/>
        <w:adjustRightInd w:val="0"/>
        <w:snapToGrid w:val="0"/>
        <w:spacing w:line="360" w:lineRule="auto"/>
        <w:ind w:firstLineChars="3280" w:firstLine="6888"/>
        <w:rPr>
          <w:rFonts w:ascii="黑体" w:eastAsia="黑体" w:cs="黑体"/>
          <w:kern w:val="0"/>
          <w:szCs w:val="21"/>
        </w:rPr>
      </w:pPr>
      <w:r w:rsidRPr="00F5156D">
        <w:rPr>
          <w:rFonts w:ascii="黑体" w:eastAsia="黑体" w:cs="黑体" w:hint="eastAsia"/>
          <w:kern w:val="0"/>
          <w:szCs w:val="21"/>
        </w:rPr>
        <w:t>审核人：王晓冬</w:t>
      </w:r>
    </w:p>
    <w:p w:rsidR="003717A0" w:rsidRDefault="003717A0" w:rsidP="00F5156D">
      <w:pPr>
        <w:widowControl/>
        <w:jc w:val="center"/>
        <w:rPr>
          <w:rFonts w:ascii="黑体" w:eastAsia="黑体"/>
          <w:b/>
          <w:sz w:val="30"/>
          <w:szCs w:val="30"/>
        </w:rPr>
      </w:pPr>
      <w:r>
        <w:rPr>
          <w:rFonts w:ascii="黑体" w:eastAsia="黑体" w:cs="黑体"/>
          <w:kern w:val="0"/>
          <w:szCs w:val="21"/>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664AA5">
      <w:pPr>
        <w:numPr>
          <w:ilvl w:val="0"/>
          <w:numId w:val="213"/>
        </w:numPr>
        <w:adjustRightInd w:val="0"/>
        <w:snapToGrid w:val="0"/>
        <w:spacing w:line="360" w:lineRule="auto"/>
        <w:ind w:right="4" w:hanging="660"/>
        <w:rPr>
          <w:rFonts w:ascii="Times New Roman"/>
        </w:rPr>
      </w:pPr>
      <w:r>
        <w:rPr>
          <w:rFonts w:ascii="Times New Roman" w:hint="eastAsia"/>
        </w:rPr>
        <w:t>修读完本课程规定内容的康复治疗学的本科学生；</w:t>
      </w:r>
    </w:p>
    <w:p w:rsidR="003717A0" w:rsidRDefault="003717A0">
      <w:pPr>
        <w:numPr>
          <w:ilvl w:val="0"/>
          <w:numId w:val="213"/>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提出并获准免修本课程、申请进行课程水平考核的康复治疗学的本科学生。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正常人体的细微结构及相关功能、人体胚胎的早期发生过程的理解和掌握情况。通过本课程的学习，学生应对机体正常的形态结构与功能执行、静态结构与动态结构、平面结构与立体结构等关系有一定的了解和掌握。</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70%</w:t>
      </w:r>
      <w:r>
        <w:rPr>
          <w:rFonts w:ascii="宋体" w:hAnsi="宋体" w:hint="eastAsia"/>
          <w:szCs w:val="21"/>
        </w:rPr>
        <w:t>。</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szCs w:val="24"/>
        </w:rPr>
      </w:pPr>
      <w:r>
        <w:rPr>
          <w:rFonts w:ascii="宋体" w:hAnsi="宋体" w:hint="eastAsia"/>
          <w:szCs w:val="21"/>
        </w:rPr>
        <w:t>平时成绩占总成绩的</w:t>
      </w:r>
      <w:r>
        <w:rPr>
          <w:rFonts w:ascii="宋体" w:hAnsi="宋体"/>
          <w:szCs w:val="21"/>
        </w:rPr>
        <w:t>30%</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组织学与胚胎学的基本概念；主要专业名词；各器官、组织及主要细胞的形态细微结构特点及与执行的相关功能的关系；人体胚胎的早期发生过程。</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Pr="00F5156D" w:rsidRDefault="003717A0" w:rsidP="00F5156D">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以正常人体的细微结构及功能、人体胚胎的早期发生过程为考试重点，考核学生运用课程知识分析问题、解决问题的能力。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组织学与胚胎学课程考试试题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w:t>
      </w:r>
      <w:r>
        <w:rPr>
          <w:rFonts w:ascii="Times New Roman" w:hAnsi="Times New Roman"/>
          <w:kern w:val="0"/>
          <w:sz w:val="22"/>
          <w:u w:val="single"/>
        </w:rPr>
        <w:t>---</w:t>
      </w:r>
      <w:r>
        <w:rPr>
          <w:rFonts w:ascii="Times New Roman" w:hAnsi="Times New Roman" w:hint="eastAsia"/>
          <w:kern w:val="0"/>
          <w:sz w:val="22"/>
          <w:u w:val="single"/>
        </w:rPr>
        <w:t>ⅩⅩⅩⅩ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hint="eastAsia"/>
          <w:sz w:val="22"/>
          <w:u w:val="single"/>
        </w:rPr>
        <w:t>康复治疗学</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djustRightInd w:val="0"/>
        <w:snapToGrid w:val="0"/>
        <w:spacing w:line="300" w:lineRule="auto"/>
        <w:rPr>
          <w:szCs w:val="21"/>
        </w:rPr>
      </w:pPr>
      <w:r>
        <w:rPr>
          <w:rFonts w:hAnsi="宋体" w:hint="eastAsia"/>
          <w:szCs w:val="21"/>
        </w:rPr>
        <w:t>一、填空题：（每格</w:t>
      </w:r>
      <w:r>
        <w:rPr>
          <w:szCs w:val="21"/>
        </w:rPr>
        <w:t>0.5</w:t>
      </w:r>
      <w:r>
        <w:rPr>
          <w:rFonts w:hAnsi="宋体" w:hint="eastAsia"/>
          <w:szCs w:val="21"/>
        </w:rPr>
        <w:t>分，共</w:t>
      </w:r>
      <w:r>
        <w:rPr>
          <w:szCs w:val="21"/>
        </w:rPr>
        <w:t>30</w:t>
      </w:r>
      <w:r>
        <w:rPr>
          <w:rFonts w:hAnsi="宋体" w:hint="eastAsia"/>
          <w:szCs w:val="21"/>
        </w:rPr>
        <w:t>分）</w:t>
      </w:r>
    </w:p>
    <w:p w:rsidR="003717A0" w:rsidRDefault="003717A0">
      <w:pPr>
        <w:adjustRightInd w:val="0"/>
        <w:snapToGrid w:val="0"/>
        <w:spacing w:line="420" w:lineRule="auto"/>
        <w:ind w:rightChars="94" w:right="197"/>
        <w:rPr>
          <w:szCs w:val="21"/>
        </w:rPr>
      </w:pPr>
      <w:r>
        <w:rPr>
          <w:szCs w:val="21"/>
        </w:rPr>
        <w:t>1.</w:t>
      </w:r>
      <w:r>
        <w:rPr>
          <w:rFonts w:hAnsi="宋体" w:hint="eastAsia"/>
          <w:szCs w:val="21"/>
        </w:rPr>
        <w:t>最常用的组织切片制作方式是</w:t>
      </w:r>
      <w:r>
        <w:rPr>
          <w:szCs w:val="21"/>
        </w:rPr>
        <w:t>________</w:t>
      </w:r>
      <w:r>
        <w:rPr>
          <w:rFonts w:hint="eastAsia"/>
          <w:szCs w:val="21"/>
        </w:rPr>
        <w:t>包埋切片</w:t>
      </w:r>
      <w:r>
        <w:rPr>
          <w:rFonts w:hAnsi="宋体" w:hint="eastAsia"/>
          <w:szCs w:val="21"/>
        </w:rPr>
        <w:t>，</w:t>
      </w:r>
      <w:r>
        <w:rPr>
          <w:rFonts w:hAnsi="宋体"/>
          <w:szCs w:val="21"/>
        </w:rPr>
        <w:t>HE</w:t>
      </w:r>
      <w:r>
        <w:rPr>
          <w:rFonts w:hAnsi="宋体" w:hint="eastAsia"/>
          <w:szCs w:val="21"/>
        </w:rPr>
        <w:t>染色使用的染色剂是</w:t>
      </w:r>
      <w:r>
        <w:rPr>
          <w:szCs w:val="21"/>
        </w:rPr>
        <w:t>________</w:t>
      </w:r>
      <w:r>
        <w:rPr>
          <w:rFonts w:hAnsi="宋体" w:hint="eastAsia"/>
          <w:szCs w:val="21"/>
        </w:rPr>
        <w:t>和</w:t>
      </w:r>
      <w:r>
        <w:rPr>
          <w:szCs w:val="21"/>
        </w:rPr>
        <w:t>________</w:t>
      </w:r>
      <w:r>
        <w:rPr>
          <w:rFonts w:hAnsi="宋体" w:hint="eastAsia"/>
          <w:szCs w:val="21"/>
        </w:rPr>
        <w:t>。核糖体以</w:t>
      </w:r>
      <w:r>
        <w:rPr>
          <w:szCs w:val="21"/>
        </w:rPr>
        <w:t>2</w:t>
      </w:r>
      <w:r>
        <w:rPr>
          <w:rFonts w:hAnsi="宋体" w:hint="eastAsia"/>
          <w:szCs w:val="21"/>
        </w:rPr>
        <w:t>种形式存在，一种称</w:t>
      </w:r>
      <w:r>
        <w:rPr>
          <w:rFonts w:hint="eastAsia"/>
          <w:szCs w:val="21"/>
        </w:rPr>
        <w:t>游离核糖体</w:t>
      </w:r>
      <w:r>
        <w:rPr>
          <w:rFonts w:hAnsi="宋体" w:hint="eastAsia"/>
          <w:szCs w:val="21"/>
        </w:rPr>
        <w:t>，另一种称</w:t>
      </w:r>
      <w:r>
        <w:rPr>
          <w:szCs w:val="21"/>
        </w:rPr>
        <w:t>________</w:t>
      </w:r>
      <w:r>
        <w:rPr>
          <w:rFonts w:hAnsi="宋体" w:hint="eastAsia"/>
          <w:szCs w:val="21"/>
        </w:rPr>
        <w:t>，前者合成</w:t>
      </w:r>
      <w:r>
        <w:rPr>
          <w:szCs w:val="21"/>
        </w:rPr>
        <w:t>________</w:t>
      </w:r>
      <w:r>
        <w:rPr>
          <w:rFonts w:hAnsi="宋体" w:hint="eastAsia"/>
          <w:szCs w:val="21"/>
        </w:rPr>
        <w:t>，后者合成</w:t>
      </w:r>
      <w:r>
        <w:rPr>
          <w:szCs w:val="21"/>
        </w:rPr>
        <w:t>________</w:t>
      </w:r>
      <w:r>
        <w:rPr>
          <w:rFonts w:hAnsi="宋体" w:hint="eastAsia"/>
          <w:kern w:val="0"/>
          <w:szCs w:val="21"/>
        </w:rPr>
        <w:t>。</w:t>
      </w:r>
    </w:p>
    <w:p w:rsidR="003717A0" w:rsidRDefault="003717A0">
      <w:pPr>
        <w:adjustRightInd w:val="0"/>
        <w:snapToGrid w:val="0"/>
        <w:spacing w:line="420" w:lineRule="auto"/>
        <w:rPr>
          <w:szCs w:val="21"/>
        </w:rPr>
      </w:pPr>
      <w:r>
        <w:rPr>
          <w:szCs w:val="21"/>
        </w:rPr>
        <w:t>2.</w:t>
      </w:r>
      <w:r>
        <w:rPr>
          <w:rFonts w:hAnsi="宋体" w:hint="eastAsia"/>
          <w:szCs w:val="21"/>
        </w:rPr>
        <w:t>内皮分布于</w:t>
      </w:r>
      <w:r>
        <w:rPr>
          <w:szCs w:val="21"/>
        </w:rPr>
        <w:t>________</w:t>
      </w:r>
      <w:r>
        <w:rPr>
          <w:rFonts w:hAnsi="宋体" w:hint="eastAsia"/>
          <w:szCs w:val="21"/>
        </w:rPr>
        <w:t>、</w:t>
      </w:r>
      <w:r>
        <w:rPr>
          <w:szCs w:val="21"/>
        </w:rPr>
        <w:t>________</w:t>
      </w:r>
      <w:r>
        <w:rPr>
          <w:rFonts w:hAnsi="宋体" w:hint="eastAsia"/>
          <w:szCs w:val="21"/>
        </w:rPr>
        <w:t>和</w:t>
      </w:r>
      <w:r>
        <w:rPr>
          <w:szCs w:val="21"/>
        </w:rPr>
        <w:t>________</w:t>
      </w:r>
      <w:r>
        <w:rPr>
          <w:rFonts w:hint="eastAsia"/>
          <w:szCs w:val="21"/>
        </w:rPr>
        <w:t>腔面</w:t>
      </w:r>
      <w:r>
        <w:rPr>
          <w:rFonts w:hAnsi="宋体" w:hint="eastAsia"/>
          <w:szCs w:val="21"/>
        </w:rPr>
        <w:t>；间皮分布于</w:t>
      </w:r>
      <w:r>
        <w:rPr>
          <w:szCs w:val="21"/>
        </w:rPr>
        <w:t>________</w:t>
      </w:r>
      <w:r>
        <w:rPr>
          <w:rFonts w:hAnsi="宋体" w:hint="eastAsia"/>
          <w:szCs w:val="21"/>
        </w:rPr>
        <w:t>、</w:t>
      </w:r>
      <w:r>
        <w:rPr>
          <w:szCs w:val="21"/>
        </w:rPr>
        <w:t>________</w:t>
      </w:r>
      <w:r>
        <w:rPr>
          <w:rFonts w:hAnsi="宋体" w:hint="eastAsia"/>
          <w:szCs w:val="21"/>
        </w:rPr>
        <w:t>和</w:t>
      </w:r>
      <w:r>
        <w:rPr>
          <w:szCs w:val="21"/>
        </w:rPr>
        <w:t>________</w:t>
      </w:r>
      <w:r>
        <w:rPr>
          <w:rFonts w:hint="eastAsia"/>
          <w:szCs w:val="21"/>
        </w:rPr>
        <w:t>表面</w:t>
      </w:r>
      <w:r>
        <w:rPr>
          <w:rFonts w:hAnsi="宋体" w:hint="eastAsia"/>
          <w:szCs w:val="21"/>
        </w:rPr>
        <w:t>。</w:t>
      </w:r>
    </w:p>
    <w:p w:rsidR="003717A0" w:rsidRDefault="003717A0">
      <w:pPr>
        <w:adjustRightInd w:val="0"/>
        <w:snapToGrid w:val="0"/>
        <w:spacing w:line="420" w:lineRule="auto"/>
        <w:ind w:rightChars="94" w:right="197"/>
        <w:rPr>
          <w:szCs w:val="21"/>
        </w:rPr>
      </w:pPr>
      <w:r>
        <w:rPr>
          <w:szCs w:val="21"/>
        </w:rPr>
        <w:t>3.</w:t>
      </w:r>
      <w:r>
        <w:rPr>
          <w:rFonts w:hAnsi="宋体" w:hint="eastAsia"/>
          <w:szCs w:val="21"/>
        </w:rPr>
        <w:t>以所含纤维的种类为依据，将软骨分三种，其中</w:t>
      </w:r>
      <w:r>
        <w:rPr>
          <w:szCs w:val="21"/>
        </w:rPr>
        <w:t>________</w:t>
      </w:r>
      <w:r>
        <w:rPr>
          <w:rFonts w:hAnsi="宋体" w:hint="eastAsia"/>
          <w:szCs w:val="21"/>
        </w:rPr>
        <w:t>软骨含有</w:t>
      </w:r>
      <w:r>
        <w:rPr>
          <w:szCs w:val="21"/>
        </w:rPr>
        <w:t>________</w:t>
      </w:r>
      <w:r>
        <w:rPr>
          <w:rFonts w:hint="eastAsia"/>
          <w:szCs w:val="21"/>
        </w:rPr>
        <w:t>纤维；</w:t>
      </w:r>
      <w:r>
        <w:rPr>
          <w:szCs w:val="21"/>
        </w:rPr>
        <w:t>________</w:t>
      </w:r>
      <w:r>
        <w:rPr>
          <w:rFonts w:hAnsi="宋体" w:hint="eastAsia"/>
          <w:szCs w:val="21"/>
        </w:rPr>
        <w:t>软骨含有</w:t>
      </w:r>
      <w:r>
        <w:rPr>
          <w:szCs w:val="21"/>
        </w:rPr>
        <w:t>________</w:t>
      </w:r>
      <w:r>
        <w:rPr>
          <w:rFonts w:hint="eastAsia"/>
          <w:szCs w:val="21"/>
        </w:rPr>
        <w:t>纤维；</w:t>
      </w:r>
      <w:r>
        <w:rPr>
          <w:szCs w:val="21"/>
        </w:rPr>
        <w:t>________</w:t>
      </w:r>
      <w:r>
        <w:rPr>
          <w:rFonts w:hAnsi="宋体" w:hint="eastAsia"/>
          <w:szCs w:val="21"/>
        </w:rPr>
        <w:t>软骨含有</w:t>
      </w:r>
      <w:r>
        <w:rPr>
          <w:szCs w:val="21"/>
        </w:rPr>
        <w:t>________</w:t>
      </w:r>
      <w:r>
        <w:rPr>
          <w:rFonts w:hAnsi="宋体" w:hint="eastAsia"/>
          <w:szCs w:val="21"/>
        </w:rPr>
        <w:t>。</w:t>
      </w:r>
    </w:p>
    <w:p w:rsidR="003717A0" w:rsidRDefault="003717A0">
      <w:pPr>
        <w:adjustRightInd w:val="0"/>
        <w:snapToGrid w:val="0"/>
        <w:spacing w:line="420" w:lineRule="auto"/>
        <w:rPr>
          <w:szCs w:val="21"/>
        </w:rPr>
      </w:pPr>
      <w:r>
        <w:rPr>
          <w:szCs w:val="21"/>
        </w:rPr>
        <w:t>4.</w:t>
      </w:r>
      <w:r>
        <w:rPr>
          <w:rFonts w:hAnsi="宋体" w:hint="eastAsia"/>
          <w:szCs w:val="21"/>
        </w:rPr>
        <w:t>正常人血液中含少量未完全成熟的红细胞，称</w:t>
      </w:r>
      <w:r>
        <w:rPr>
          <w:szCs w:val="21"/>
        </w:rPr>
        <w:t>________</w:t>
      </w:r>
      <w:r>
        <w:rPr>
          <w:rFonts w:hAnsi="宋体" w:hint="eastAsia"/>
          <w:szCs w:val="21"/>
        </w:rPr>
        <w:t>，其胞质内有少量</w:t>
      </w:r>
      <w:r>
        <w:rPr>
          <w:szCs w:val="21"/>
        </w:rPr>
        <w:t>________</w:t>
      </w:r>
      <w:r>
        <w:rPr>
          <w:rFonts w:hAnsi="宋体" w:hint="eastAsia"/>
          <w:szCs w:val="21"/>
        </w:rPr>
        <w:t>，说明具有</w:t>
      </w:r>
      <w:r>
        <w:rPr>
          <w:szCs w:val="21"/>
        </w:rPr>
        <w:lastRenderedPageBreak/>
        <w:t>________</w:t>
      </w:r>
      <w:r>
        <w:rPr>
          <w:rFonts w:hAnsi="宋体" w:hint="eastAsia"/>
          <w:szCs w:val="21"/>
        </w:rPr>
        <w:t>的能力，在成人这种细胞约占</w:t>
      </w:r>
      <w:r>
        <w:rPr>
          <w:szCs w:val="21"/>
        </w:rPr>
        <w:t>________%</w:t>
      </w:r>
      <w:r>
        <w:rPr>
          <w:rFonts w:hAnsi="宋体" w:hint="eastAsia"/>
          <w:szCs w:val="21"/>
        </w:rPr>
        <w:t>。</w:t>
      </w:r>
    </w:p>
    <w:p w:rsidR="003717A0" w:rsidRDefault="003717A0">
      <w:pPr>
        <w:adjustRightInd w:val="0"/>
        <w:snapToGrid w:val="0"/>
        <w:spacing w:line="420" w:lineRule="auto"/>
        <w:rPr>
          <w:szCs w:val="21"/>
        </w:rPr>
      </w:pPr>
      <w:r>
        <w:rPr>
          <w:szCs w:val="21"/>
        </w:rPr>
        <w:t>5.</w:t>
      </w:r>
      <w:r>
        <w:rPr>
          <w:rFonts w:hAnsi="宋体" w:hint="eastAsia"/>
          <w:szCs w:val="21"/>
        </w:rPr>
        <w:t>肌组织按分布部位分三种：</w:t>
      </w:r>
      <w:r>
        <w:rPr>
          <w:szCs w:val="21"/>
        </w:rPr>
        <w:t>________</w:t>
      </w:r>
      <w:r>
        <w:rPr>
          <w:rFonts w:hAnsi="宋体" w:hint="eastAsia"/>
          <w:szCs w:val="21"/>
        </w:rPr>
        <w:t>肌、</w:t>
      </w:r>
      <w:r>
        <w:rPr>
          <w:szCs w:val="21"/>
        </w:rPr>
        <w:t>________</w:t>
      </w:r>
      <w:r>
        <w:rPr>
          <w:rFonts w:hAnsi="宋体" w:hint="eastAsia"/>
          <w:szCs w:val="21"/>
        </w:rPr>
        <w:t>肌和</w:t>
      </w:r>
      <w:r>
        <w:rPr>
          <w:szCs w:val="21"/>
        </w:rPr>
        <w:t>________</w:t>
      </w:r>
      <w:r>
        <w:rPr>
          <w:rFonts w:hAnsi="宋体" w:hint="eastAsia"/>
          <w:szCs w:val="21"/>
        </w:rPr>
        <w:t>肌，肌原纤维由</w:t>
      </w:r>
      <w:r>
        <w:rPr>
          <w:szCs w:val="21"/>
        </w:rPr>
        <w:t>________</w:t>
      </w:r>
      <w:r>
        <w:rPr>
          <w:rFonts w:hAnsi="宋体" w:hint="eastAsia"/>
          <w:szCs w:val="21"/>
        </w:rPr>
        <w:t>和</w:t>
      </w:r>
      <w:r>
        <w:rPr>
          <w:szCs w:val="21"/>
        </w:rPr>
        <w:t>________</w:t>
      </w:r>
      <w:r>
        <w:rPr>
          <w:rFonts w:hAnsi="宋体" w:hint="eastAsia"/>
          <w:szCs w:val="21"/>
        </w:rPr>
        <w:t>两种肌丝构成。</w:t>
      </w:r>
    </w:p>
    <w:p w:rsidR="003717A0" w:rsidRDefault="003717A0">
      <w:pPr>
        <w:adjustRightInd w:val="0"/>
        <w:snapToGrid w:val="0"/>
        <w:spacing w:line="420" w:lineRule="auto"/>
        <w:ind w:rightChars="94" w:right="197"/>
        <w:rPr>
          <w:szCs w:val="21"/>
        </w:rPr>
      </w:pPr>
      <w:r>
        <w:rPr>
          <w:szCs w:val="21"/>
        </w:rPr>
        <w:t>6.</w:t>
      </w:r>
      <w:r>
        <w:rPr>
          <w:rFonts w:hAnsi="宋体" w:hint="eastAsia"/>
          <w:szCs w:val="21"/>
        </w:rPr>
        <w:t>神经元内有</w:t>
      </w:r>
      <w:r>
        <w:rPr>
          <w:szCs w:val="21"/>
        </w:rPr>
        <w:t>________</w:t>
      </w:r>
      <w:r>
        <w:rPr>
          <w:rFonts w:hAnsi="宋体" w:hint="eastAsia"/>
          <w:szCs w:val="21"/>
        </w:rPr>
        <w:t>和神经原纤维两种特征性结构，电镜下可见前者由</w:t>
      </w:r>
      <w:r>
        <w:rPr>
          <w:szCs w:val="21"/>
        </w:rPr>
        <w:t>________</w:t>
      </w:r>
      <w:r>
        <w:rPr>
          <w:rFonts w:hint="eastAsia"/>
          <w:szCs w:val="21"/>
        </w:rPr>
        <w:t>和</w:t>
      </w:r>
      <w:r>
        <w:rPr>
          <w:szCs w:val="21"/>
        </w:rPr>
        <w:t>________</w:t>
      </w:r>
      <w:r>
        <w:rPr>
          <w:rFonts w:hAnsi="宋体" w:hint="eastAsia"/>
          <w:szCs w:val="21"/>
        </w:rPr>
        <w:t>构成。</w:t>
      </w:r>
    </w:p>
    <w:p w:rsidR="003717A0" w:rsidRDefault="003717A0">
      <w:pPr>
        <w:adjustRightInd w:val="0"/>
        <w:snapToGrid w:val="0"/>
        <w:spacing w:line="420" w:lineRule="auto"/>
        <w:ind w:rightChars="94" w:right="197"/>
        <w:rPr>
          <w:szCs w:val="21"/>
        </w:rPr>
      </w:pPr>
      <w:r>
        <w:rPr>
          <w:szCs w:val="21"/>
        </w:rPr>
        <w:t>7.</w:t>
      </w:r>
      <w:r>
        <w:rPr>
          <w:rFonts w:hAnsi="宋体" w:hint="eastAsia"/>
          <w:szCs w:val="21"/>
        </w:rPr>
        <w:t>中动脉中膜主要由</w:t>
      </w:r>
      <w:r>
        <w:rPr>
          <w:szCs w:val="21"/>
        </w:rPr>
        <w:t>________</w:t>
      </w:r>
      <w:r>
        <w:rPr>
          <w:rFonts w:hAnsi="宋体" w:hint="eastAsia"/>
          <w:szCs w:val="21"/>
        </w:rPr>
        <w:t>构成，故又称</w:t>
      </w:r>
      <w:r>
        <w:rPr>
          <w:szCs w:val="21"/>
        </w:rPr>
        <w:t>________</w:t>
      </w:r>
      <w:r>
        <w:rPr>
          <w:rFonts w:hint="eastAsia"/>
          <w:szCs w:val="21"/>
        </w:rPr>
        <w:t>动脉</w:t>
      </w:r>
      <w:r>
        <w:rPr>
          <w:rFonts w:hAnsi="宋体" w:hint="eastAsia"/>
          <w:szCs w:val="21"/>
        </w:rPr>
        <w:t>；大动脉中膜主要由</w:t>
      </w:r>
      <w:r>
        <w:rPr>
          <w:szCs w:val="21"/>
        </w:rPr>
        <w:t>________</w:t>
      </w:r>
      <w:r>
        <w:rPr>
          <w:rFonts w:hAnsi="宋体" w:hint="eastAsia"/>
          <w:szCs w:val="21"/>
        </w:rPr>
        <w:t>构成，故又称</w:t>
      </w:r>
      <w:r>
        <w:rPr>
          <w:szCs w:val="21"/>
        </w:rPr>
        <w:t>________</w:t>
      </w:r>
      <w:r>
        <w:rPr>
          <w:rFonts w:hint="eastAsia"/>
          <w:szCs w:val="21"/>
        </w:rPr>
        <w:t>动脉</w:t>
      </w:r>
      <w:r>
        <w:rPr>
          <w:rFonts w:hAnsi="宋体" w:hint="eastAsia"/>
          <w:szCs w:val="21"/>
        </w:rPr>
        <w:t>。心脏壁从内到外分</w:t>
      </w:r>
      <w:r>
        <w:rPr>
          <w:szCs w:val="21"/>
        </w:rPr>
        <w:t>________</w:t>
      </w:r>
      <w:r>
        <w:rPr>
          <w:rFonts w:hAnsi="宋体" w:hint="eastAsia"/>
          <w:szCs w:val="21"/>
        </w:rPr>
        <w:t>、</w:t>
      </w:r>
      <w:r>
        <w:rPr>
          <w:szCs w:val="21"/>
        </w:rPr>
        <w:t>________</w:t>
      </w:r>
      <w:r>
        <w:rPr>
          <w:rFonts w:hAnsi="宋体" w:hint="eastAsia"/>
          <w:szCs w:val="21"/>
        </w:rPr>
        <w:t>和</w:t>
      </w:r>
      <w:r>
        <w:rPr>
          <w:szCs w:val="21"/>
        </w:rPr>
        <w:t>________3</w:t>
      </w:r>
      <w:r>
        <w:rPr>
          <w:rFonts w:hAnsi="宋体" w:hint="eastAsia"/>
          <w:szCs w:val="21"/>
        </w:rPr>
        <w:t>层。</w:t>
      </w:r>
    </w:p>
    <w:p w:rsidR="003717A0" w:rsidRDefault="003717A0">
      <w:pPr>
        <w:adjustRightInd w:val="0"/>
        <w:snapToGrid w:val="0"/>
        <w:spacing w:line="420" w:lineRule="auto"/>
        <w:rPr>
          <w:szCs w:val="21"/>
        </w:rPr>
      </w:pPr>
      <w:r>
        <w:rPr>
          <w:szCs w:val="21"/>
        </w:rPr>
        <w:t>8.</w:t>
      </w:r>
      <w:r>
        <w:rPr>
          <w:rFonts w:hAnsi="宋体" w:hint="eastAsia"/>
          <w:szCs w:val="21"/>
        </w:rPr>
        <w:t>幼年时生长激素分泌量过少会引起</w:t>
      </w:r>
      <w:r>
        <w:rPr>
          <w:szCs w:val="21"/>
        </w:rPr>
        <w:t>________</w:t>
      </w:r>
      <w:r>
        <w:rPr>
          <w:rFonts w:hAnsi="宋体" w:hint="eastAsia"/>
          <w:szCs w:val="21"/>
        </w:rPr>
        <w:t>；腺垂体的促性腺激素细胞分泌</w:t>
      </w:r>
      <w:r>
        <w:rPr>
          <w:szCs w:val="21"/>
        </w:rPr>
        <w:t>________</w:t>
      </w:r>
      <w:r>
        <w:rPr>
          <w:rFonts w:hAnsi="宋体" w:hint="eastAsia"/>
          <w:szCs w:val="21"/>
        </w:rPr>
        <w:t>和</w:t>
      </w:r>
      <w:r>
        <w:rPr>
          <w:szCs w:val="21"/>
        </w:rPr>
        <w:t>________</w:t>
      </w:r>
      <w:r>
        <w:rPr>
          <w:rFonts w:hAnsi="宋体" w:hint="eastAsia"/>
          <w:szCs w:val="21"/>
        </w:rPr>
        <w:t>两种激素。</w:t>
      </w:r>
    </w:p>
    <w:p w:rsidR="003717A0" w:rsidRDefault="003717A0">
      <w:pPr>
        <w:adjustRightInd w:val="0"/>
        <w:snapToGrid w:val="0"/>
        <w:spacing w:line="420" w:lineRule="auto"/>
        <w:rPr>
          <w:szCs w:val="21"/>
        </w:rPr>
      </w:pPr>
      <w:r>
        <w:rPr>
          <w:szCs w:val="21"/>
        </w:rPr>
        <w:t>9.</w:t>
      </w:r>
      <w:r>
        <w:rPr>
          <w:rFonts w:hAnsi="宋体" w:hint="eastAsia"/>
          <w:szCs w:val="21"/>
        </w:rPr>
        <w:t>表皮由</w:t>
      </w:r>
      <w:r>
        <w:rPr>
          <w:szCs w:val="21"/>
        </w:rPr>
        <w:t>________</w:t>
      </w:r>
      <w:r>
        <w:rPr>
          <w:rFonts w:hAnsi="宋体" w:hint="eastAsia"/>
          <w:szCs w:val="21"/>
        </w:rPr>
        <w:t>上皮构成，含有两类细胞：</w:t>
      </w:r>
      <w:r>
        <w:rPr>
          <w:szCs w:val="21"/>
        </w:rPr>
        <w:t>________</w:t>
      </w:r>
      <w:r>
        <w:rPr>
          <w:rFonts w:hAnsi="宋体" w:hint="eastAsia"/>
          <w:szCs w:val="21"/>
        </w:rPr>
        <w:t>细胞和</w:t>
      </w:r>
      <w:r>
        <w:rPr>
          <w:szCs w:val="21"/>
        </w:rPr>
        <w:t>________</w:t>
      </w:r>
      <w:r>
        <w:rPr>
          <w:rFonts w:hAnsi="宋体" w:hint="eastAsia"/>
          <w:szCs w:val="21"/>
        </w:rPr>
        <w:t>细胞。</w:t>
      </w:r>
    </w:p>
    <w:p w:rsidR="003717A0" w:rsidRDefault="003717A0">
      <w:pPr>
        <w:rPr>
          <w:szCs w:val="21"/>
        </w:rPr>
      </w:pPr>
      <w:r>
        <w:rPr>
          <w:szCs w:val="21"/>
        </w:rPr>
        <w:t>10.</w:t>
      </w:r>
      <w:r>
        <w:rPr>
          <w:rFonts w:hAnsi="宋体" w:hint="eastAsia"/>
          <w:szCs w:val="21"/>
        </w:rPr>
        <w:t>小肠肠腔内出现</w:t>
      </w:r>
      <w:r>
        <w:rPr>
          <w:szCs w:val="21"/>
        </w:rPr>
        <w:t>________</w:t>
      </w:r>
      <w:r>
        <w:rPr>
          <w:rFonts w:hAnsi="宋体" w:hint="eastAsia"/>
          <w:szCs w:val="21"/>
        </w:rPr>
        <w:t>、</w:t>
      </w:r>
      <w:r>
        <w:rPr>
          <w:szCs w:val="21"/>
        </w:rPr>
        <w:t>________</w:t>
      </w:r>
      <w:r>
        <w:rPr>
          <w:rFonts w:hAnsi="宋体" w:hint="eastAsia"/>
          <w:szCs w:val="21"/>
        </w:rPr>
        <w:t>和</w:t>
      </w:r>
      <w:r>
        <w:rPr>
          <w:szCs w:val="21"/>
        </w:rPr>
        <w:t>________</w:t>
      </w:r>
      <w:r>
        <w:rPr>
          <w:rFonts w:hAnsi="宋体" w:hint="eastAsia"/>
          <w:szCs w:val="21"/>
        </w:rPr>
        <w:t>三级突起，从而使肠表面积扩大了</w:t>
      </w:r>
      <w:r>
        <w:rPr>
          <w:szCs w:val="21"/>
        </w:rPr>
        <w:t>600</w:t>
      </w:r>
      <w:r>
        <w:rPr>
          <w:rFonts w:hAnsi="宋体" w:hint="eastAsia"/>
          <w:szCs w:val="21"/>
        </w:rPr>
        <w:t>多倍。</w:t>
      </w:r>
    </w:p>
    <w:p w:rsidR="003717A0" w:rsidRDefault="003717A0">
      <w:pPr>
        <w:rPr>
          <w:rFonts w:ascii="Times New Roman" w:hAnsi="Times New Roman"/>
        </w:rPr>
      </w:pPr>
      <w:r>
        <w:rPr>
          <w:rFonts w:ascii="Times New Roman" w:hAnsi="Times New Roman"/>
        </w:rPr>
        <w:t>11.</w:t>
      </w:r>
      <w:r>
        <w:rPr>
          <w:rFonts w:ascii="Times New Roman" w:hAnsi="宋体" w:hint="eastAsia"/>
        </w:rPr>
        <w:t>滤过膜是指血液过滤形成原尿所必须通过的结构。由</w:t>
      </w:r>
      <w:r>
        <w:rPr>
          <w:rFonts w:ascii="Times New Roman" w:hAnsi="Times New Roman"/>
        </w:rPr>
        <w:t>________</w:t>
      </w:r>
      <w:r>
        <w:rPr>
          <w:rFonts w:ascii="Times New Roman" w:hAnsi="宋体" w:hint="eastAsia"/>
        </w:rPr>
        <w:t>、</w:t>
      </w:r>
      <w:r>
        <w:rPr>
          <w:rFonts w:ascii="Times New Roman" w:hAnsi="Times New Roman"/>
        </w:rPr>
        <w:t>________</w:t>
      </w:r>
      <w:r>
        <w:rPr>
          <w:rFonts w:ascii="Times New Roman" w:hAnsi="宋体" w:hint="eastAsia"/>
        </w:rPr>
        <w:t>和</w:t>
      </w:r>
      <w:r>
        <w:rPr>
          <w:rFonts w:ascii="Times New Roman" w:hAnsi="Times New Roman"/>
        </w:rPr>
        <w:t>________</w:t>
      </w:r>
      <w:r>
        <w:rPr>
          <w:rFonts w:ascii="Times New Roman" w:hAnsi="Times New Roman" w:hint="eastAsia"/>
        </w:rPr>
        <w:t>三</w:t>
      </w:r>
      <w:r>
        <w:rPr>
          <w:rFonts w:ascii="Times New Roman" w:hAnsi="宋体" w:hint="eastAsia"/>
        </w:rPr>
        <w:t>层组成。</w:t>
      </w:r>
    </w:p>
    <w:p w:rsidR="003717A0" w:rsidRDefault="003717A0">
      <w:r>
        <w:t>12.</w:t>
      </w:r>
      <w:r>
        <w:rPr>
          <w:rFonts w:hint="eastAsia"/>
        </w:rPr>
        <w:t>初级生长卵泡由中央的</w:t>
      </w:r>
      <w:r>
        <w:t>________</w:t>
      </w:r>
      <w:r>
        <w:rPr>
          <w:rFonts w:hint="eastAsia"/>
        </w:rPr>
        <w:t>、周围的</w:t>
      </w:r>
      <w:r>
        <w:t>________</w:t>
      </w:r>
      <w:r>
        <w:rPr>
          <w:rFonts w:hint="eastAsia"/>
        </w:rPr>
        <w:t>和二者之间的</w:t>
      </w:r>
      <w:r>
        <w:t>________</w:t>
      </w:r>
      <w:r>
        <w:rPr>
          <w:rFonts w:hint="eastAsia"/>
        </w:rPr>
        <w:t>组成。卵巢排卵后形成有内分泌功能的细胞团称</w:t>
      </w:r>
      <w:r>
        <w:t>________</w:t>
      </w:r>
      <w:r>
        <w:rPr>
          <w:rFonts w:hint="eastAsia"/>
        </w:rPr>
        <w:t>，分泌</w:t>
      </w:r>
      <w:r>
        <w:t>________</w:t>
      </w:r>
      <w:r>
        <w:rPr>
          <w:rFonts w:hint="eastAsia"/>
        </w:rPr>
        <w:t>和</w:t>
      </w:r>
      <w:r>
        <w:t>________</w:t>
      </w:r>
      <w:r>
        <w:rPr>
          <w:rFonts w:hint="eastAsia"/>
        </w:rPr>
        <w:t>激素。</w:t>
      </w:r>
    </w:p>
    <w:p w:rsidR="003717A0" w:rsidRDefault="003717A0">
      <w:pPr>
        <w:rPr>
          <w:rFonts w:ascii="Times New Roman" w:hAnsi="Times New Roman"/>
        </w:rPr>
      </w:pPr>
      <w:r>
        <w:t>13.</w:t>
      </w:r>
      <w:r>
        <w:rPr>
          <w:rFonts w:hint="eastAsia"/>
        </w:rPr>
        <w:t>胚泡的组成分三部分：</w:t>
      </w:r>
      <w:r>
        <w:t>________</w:t>
      </w:r>
      <w:r>
        <w:rPr>
          <w:rFonts w:hint="eastAsia"/>
        </w:rPr>
        <w:t>、</w:t>
      </w:r>
      <w:r>
        <w:t>________</w:t>
      </w:r>
      <w:r>
        <w:rPr>
          <w:rFonts w:hint="eastAsia"/>
        </w:rPr>
        <w:t>和</w:t>
      </w:r>
      <w:r>
        <w:t>________</w:t>
      </w:r>
      <w:r>
        <w:rPr>
          <w:rFonts w:hint="eastAsia"/>
        </w:rPr>
        <w:t>。在脊索的头端和原条的尾端有两处无中</w:t>
      </w:r>
      <w:r>
        <w:rPr>
          <w:rFonts w:ascii="Times New Roman" w:hAnsi="宋体" w:hint="eastAsia"/>
        </w:rPr>
        <w:t>胚层，只有内外胚层紧贴，分别称</w:t>
      </w:r>
      <w:r>
        <w:rPr>
          <w:rFonts w:ascii="Times New Roman" w:hAnsi="Times New Roman"/>
        </w:rPr>
        <w:t>________</w:t>
      </w:r>
      <w:r>
        <w:rPr>
          <w:rFonts w:ascii="Times New Roman" w:hAnsi="宋体" w:hint="eastAsia"/>
        </w:rPr>
        <w:t>和</w:t>
      </w:r>
      <w:r>
        <w:rPr>
          <w:rFonts w:ascii="Times New Roman" w:hAnsi="Times New Roman"/>
        </w:rPr>
        <w:t>________</w:t>
      </w:r>
      <w:r>
        <w:rPr>
          <w:rFonts w:ascii="Times New Roman" w:hAnsi="宋体" w:hint="eastAsia"/>
        </w:rPr>
        <w:t>。</w:t>
      </w:r>
    </w:p>
    <w:p w:rsidR="003717A0" w:rsidRDefault="003717A0">
      <w:pPr>
        <w:adjustRightInd w:val="0"/>
        <w:snapToGrid w:val="0"/>
        <w:spacing w:line="300" w:lineRule="auto"/>
        <w:rPr>
          <w:szCs w:val="21"/>
        </w:rPr>
      </w:pPr>
      <w:r>
        <w:rPr>
          <w:rFonts w:hAnsi="宋体" w:hint="eastAsia"/>
          <w:szCs w:val="21"/>
        </w:rPr>
        <w:t>二、名词解释：（每题</w:t>
      </w:r>
      <w:r>
        <w:rPr>
          <w:szCs w:val="21"/>
        </w:rPr>
        <w:t>5</w:t>
      </w:r>
      <w:r>
        <w:rPr>
          <w:rFonts w:hAnsi="宋体" w:hint="eastAsia"/>
          <w:szCs w:val="21"/>
        </w:rPr>
        <w:t>分，共</w:t>
      </w:r>
      <w:r>
        <w:rPr>
          <w:szCs w:val="21"/>
        </w:rPr>
        <w:t>20</w:t>
      </w:r>
      <w:r>
        <w:rPr>
          <w:rFonts w:hAnsi="宋体" w:hint="eastAsia"/>
          <w:szCs w:val="21"/>
        </w:rPr>
        <w:t>分）</w:t>
      </w:r>
    </w:p>
    <w:p w:rsidR="003717A0" w:rsidRDefault="003717A0">
      <w:pPr>
        <w:adjustRightInd w:val="0"/>
        <w:snapToGrid w:val="0"/>
        <w:spacing w:line="300" w:lineRule="auto"/>
        <w:rPr>
          <w:szCs w:val="21"/>
        </w:rPr>
      </w:pPr>
      <w:r>
        <w:rPr>
          <w:szCs w:val="21"/>
        </w:rPr>
        <w:t>1.</w:t>
      </w:r>
      <w:r>
        <w:rPr>
          <w:rFonts w:hint="eastAsia"/>
          <w:szCs w:val="21"/>
        </w:rPr>
        <w:t>连接复合体（定义）</w:t>
      </w:r>
    </w:p>
    <w:p w:rsidR="003717A0" w:rsidRDefault="003717A0">
      <w:pPr>
        <w:adjustRightInd w:val="0"/>
        <w:snapToGrid w:val="0"/>
        <w:spacing w:line="300" w:lineRule="auto"/>
        <w:rPr>
          <w:szCs w:val="21"/>
        </w:rPr>
      </w:pPr>
      <w:r>
        <w:rPr>
          <w:szCs w:val="21"/>
        </w:rPr>
        <w:t>2.</w:t>
      </w:r>
      <w:r>
        <w:rPr>
          <w:rFonts w:hint="eastAsia"/>
          <w:szCs w:val="21"/>
        </w:rPr>
        <w:t>分子筛（定义、功能）</w:t>
      </w:r>
    </w:p>
    <w:p w:rsidR="003717A0" w:rsidRDefault="003717A0">
      <w:pPr>
        <w:adjustRightInd w:val="0"/>
        <w:snapToGrid w:val="0"/>
        <w:spacing w:line="300" w:lineRule="auto"/>
        <w:rPr>
          <w:szCs w:val="21"/>
        </w:rPr>
      </w:pPr>
      <w:r>
        <w:rPr>
          <w:szCs w:val="21"/>
        </w:rPr>
        <w:t>3.</w:t>
      </w:r>
      <w:r>
        <w:rPr>
          <w:rFonts w:hint="eastAsia"/>
          <w:szCs w:val="21"/>
        </w:rPr>
        <w:t>闰盘（位置、结构、功能）</w:t>
      </w:r>
    </w:p>
    <w:p w:rsidR="003717A0" w:rsidRDefault="003717A0">
      <w:pPr>
        <w:adjustRightInd w:val="0"/>
        <w:snapToGrid w:val="0"/>
        <w:spacing w:line="300" w:lineRule="auto"/>
        <w:rPr>
          <w:szCs w:val="21"/>
        </w:rPr>
      </w:pPr>
      <w:r>
        <w:rPr>
          <w:szCs w:val="21"/>
        </w:rPr>
        <w:t>4.</w:t>
      </w:r>
      <w:r>
        <w:rPr>
          <w:rFonts w:hint="eastAsia"/>
          <w:szCs w:val="21"/>
        </w:rPr>
        <w:t>胎膜（组成）</w:t>
      </w:r>
    </w:p>
    <w:p w:rsidR="003717A0" w:rsidRDefault="003717A0">
      <w:pPr>
        <w:adjustRightInd w:val="0"/>
        <w:snapToGrid w:val="0"/>
        <w:spacing w:line="300" w:lineRule="auto"/>
        <w:rPr>
          <w:szCs w:val="21"/>
        </w:rPr>
      </w:pPr>
      <w:r>
        <w:rPr>
          <w:rFonts w:hint="eastAsia"/>
          <w:szCs w:val="21"/>
        </w:rPr>
        <w:t>三、简答题：（每题</w:t>
      </w:r>
      <w:r>
        <w:rPr>
          <w:szCs w:val="21"/>
        </w:rPr>
        <w:t>5</w:t>
      </w:r>
      <w:r>
        <w:rPr>
          <w:rFonts w:hint="eastAsia"/>
          <w:szCs w:val="21"/>
        </w:rPr>
        <w:t>分，共</w:t>
      </w:r>
      <w:r>
        <w:rPr>
          <w:szCs w:val="21"/>
        </w:rPr>
        <w:t>20</w:t>
      </w:r>
      <w:r>
        <w:rPr>
          <w:rFonts w:hint="eastAsia"/>
          <w:szCs w:val="21"/>
        </w:rPr>
        <w:t>分）</w:t>
      </w:r>
    </w:p>
    <w:p w:rsidR="003717A0" w:rsidRDefault="003717A0">
      <w:pPr>
        <w:spacing w:line="300" w:lineRule="auto"/>
        <w:rPr>
          <w:szCs w:val="21"/>
        </w:rPr>
      </w:pPr>
      <w:r>
        <w:rPr>
          <w:szCs w:val="21"/>
        </w:rPr>
        <w:t>1.</w:t>
      </w:r>
      <w:r>
        <w:rPr>
          <w:rFonts w:hint="eastAsia"/>
          <w:szCs w:val="21"/>
        </w:rPr>
        <w:t>简述胃底腺主细胞的光、电镜结构与功能。</w:t>
      </w:r>
    </w:p>
    <w:p w:rsidR="003717A0" w:rsidRDefault="003717A0">
      <w:pPr>
        <w:spacing w:line="300" w:lineRule="auto"/>
        <w:rPr>
          <w:szCs w:val="21"/>
        </w:rPr>
      </w:pPr>
      <w:r>
        <w:rPr>
          <w:szCs w:val="21"/>
        </w:rPr>
        <w:t>2.</w:t>
      </w:r>
      <w:r>
        <w:rPr>
          <w:rFonts w:hint="eastAsia"/>
          <w:szCs w:val="21"/>
        </w:rPr>
        <w:t>简述</w:t>
      </w:r>
      <w:r>
        <w:rPr>
          <w:rFonts w:hint="eastAsia"/>
          <w:bCs/>
          <w:szCs w:val="21"/>
        </w:rPr>
        <w:t>肺内支气管</w:t>
      </w:r>
      <w:r>
        <w:rPr>
          <w:rFonts w:hint="eastAsia"/>
          <w:szCs w:val="21"/>
        </w:rPr>
        <w:t>导气部的结构变化规律。</w:t>
      </w:r>
    </w:p>
    <w:p w:rsidR="003717A0" w:rsidRDefault="003717A0">
      <w:pPr>
        <w:spacing w:line="300" w:lineRule="auto"/>
        <w:rPr>
          <w:szCs w:val="21"/>
        </w:rPr>
      </w:pPr>
      <w:r>
        <w:rPr>
          <w:szCs w:val="21"/>
        </w:rPr>
        <w:t>3.</w:t>
      </w:r>
      <w:r>
        <w:rPr>
          <w:rFonts w:hint="eastAsia"/>
          <w:szCs w:val="21"/>
        </w:rPr>
        <w:t>简述血－睾屏障的组成和功能。</w:t>
      </w:r>
    </w:p>
    <w:p w:rsidR="003717A0" w:rsidRDefault="003717A0">
      <w:pPr>
        <w:spacing w:line="300" w:lineRule="auto"/>
        <w:rPr>
          <w:szCs w:val="21"/>
        </w:rPr>
      </w:pPr>
      <w:r>
        <w:rPr>
          <w:szCs w:val="21"/>
        </w:rPr>
        <w:t>4.</w:t>
      </w:r>
      <w:r>
        <w:rPr>
          <w:rFonts w:hint="eastAsia"/>
          <w:szCs w:val="21"/>
        </w:rPr>
        <w:t>简述二胚层胚盘和三胚层胚盘的组成。</w:t>
      </w:r>
    </w:p>
    <w:p w:rsidR="003717A0" w:rsidRDefault="003717A0">
      <w:pPr>
        <w:adjustRightInd w:val="0"/>
        <w:snapToGrid w:val="0"/>
        <w:spacing w:line="300" w:lineRule="auto"/>
        <w:rPr>
          <w:szCs w:val="21"/>
        </w:rPr>
      </w:pPr>
      <w:r>
        <w:rPr>
          <w:rFonts w:hint="eastAsia"/>
          <w:szCs w:val="21"/>
        </w:rPr>
        <w:t>三、论述题：（每题</w:t>
      </w:r>
      <w:r>
        <w:rPr>
          <w:szCs w:val="21"/>
        </w:rPr>
        <w:t>10</w:t>
      </w:r>
      <w:r>
        <w:rPr>
          <w:rFonts w:hint="eastAsia"/>
          <w:szCs w:val="21"/>
        </w:rPr>
        <w:t>分，共</w:t>
      </w:r>
      <w:r>
        <w:rPr>
          <w:szCs w:val="21"/>
        </w:rPr>
        <w:t>30</w:t>
      </w:r>
      <w:r>
        <w:rPr>
          <w:rFonts w:hint="eastAsia"/>
          <w:szCs w:val="21"/>
        </w:rPr>
        <w:t>分）</w:t>
      </w:r>
    </w:p>
    <w:p w:rsidR="003717A0" w:rsidRDefault="003717A0">
      <w:pPr>
        <w:tabs>
          <w:tab w:val="left" w:pos="720"/>
        </w:tabs>
        <w:spacing w:line="300" w:lineRule="auto"/>
        <w:rPr>
          <w:szCs w:val="21"/>
        </w:rPr>
      </w:pPr>
      <w:r>
        <w:rPr>
          <w:szCs w:val="21"/>
        </w:rPr>
        <w:t>1.</w:t>
      </w:r>
      <w:r>
        <w:rPr>
          <w:rFonts w:hint="eastAsia"/>
          <w:szCs w:val="21"/>
        </w:rPr>
        <w:t>试比较</w:t>
      </w:r>
      <w:r>
        <w:rPr>
          <w:rFonts w:hint="eastAsia"/>
          <w:bCs/>
          <w:szCs w:val="21"/>
        </w:rPr>
        <w:t>中枢淋巴器官和周围淋巴器官</w:t>
      </w:r>
      <w:r>
        <w:rPr>
          <w:rFonts w:hint="eastAsia"/>
          <w:szCs w:val="21"/>
        </w:rPr>
        <w:t>的区别。</w:t>
      </w:r>
    </w:p>
    <w:p w:rsidR="003717A0" w:rsidRDefault="003717A0">
      <w:pPr>
        <w:tabs>
          <w:tab w:val="left" w:pos="360"/>
        </w:tabs>
        <w:spacing w:line="300" w:lineRule="auto"/>
        <w:rPr>
          <w:szCs w:val="21"/>
        </w:rPr>
      </w:pPr>
      <w:r>
        <w:rPr>
          <w:szCs w:val="21"/>
        </w:rPr>
        <w:t>2.</w:t>
      </w:r>
      <w:r>
        <w:rPr>
          <w:rFonts w:hint="eastAsia"/>
          <w:szCs w:val="21"/>
        </w:rPr>
        <w:t>试述神经垂体结构特点及与下丘脑的关系。</w:t>
      </w:r>
    </w:p>
    <w:p w:rsidR="003717A0" w:rsidRDefault="003717A0">
      <w:pPr>
        <w:tabs>
          <w:tab w:val="left" w:pos="360"/>
        </w:tabs>
        <w:spacing w:line="300" w:lineRule="auto"/>
        <w:rPr>
          <w:szCs w:val="21"/>
        </w:rPr>
      </w:pPr>
      <w:r>
        <w:rPr>
          <w:szCs w:val="21"/>
        </w:rPr>
        <w:t>3.</w:t>
      </w:r>
      <w:r>
        <w:rPr>
          <w:rFonts w:hint="eastAsia"/>
          <w:szCs w:val="21"/>
        </w:rPr>
        <w:t>详述消化管管壁的一般结构。</w:t>
      </w:r>
    </w:p>
    <w:p w:rsidR="003717A0" w:rsidRDefault="003717A0" w:rsidP="00F5156D">
      <w:pPr>
        <w:widowControl/>
        <w:jc w:val="center"/>
        <w:rPr>
          <w:rFonts w:ascii="Times New Roman" w:eastAsia="黑体" w:hAnsi="Times New Roman"/>
          <w:kern w:val="0"/>
          <w:sz w:val="34"/>
          <w:szCs w:val="34"/>
        </w:rPr>
      </w:pPr>
      <w:r>
        <w:rPr>
          <w:rFonts w:ascii="Times New Roman" w:hAnsi="Times New Roman"/>
          <w:b/>
          <w:kern w:val="0"/>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教师应关心组织学与胚胎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21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21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214"/>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21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21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21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215"/>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firstLineChars="193" w:firstLine="425"/>
              <w:jc w:val="left"/>
              <w:rPr>
                <w:sz w:val="22"/>
              </w:rPr>
            </w:pPr>
            <w:r>
              <w:rPr>
                <w:rFonts w:hint="eastAsia"/>
                <w:sz w:val="22"/>
              </w:rPr>
              <w:t>学生需完成一定数量的平时作业，包括课前预习，描绘观察到的细胞、组织和器官的形态结构特点等等。</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一、学生完成作业的主要内容：</w:t>
            </w:r>
          </w:p>
          <w:p w:rsidR="003717A0" w:rsidRDefault="003717A0">
            <w:pPr>
              <w:autoSpaceDE w:val="0"/>
              <w:autoSpaceDN w:val="0"/>
              <w:adjustRightInd w:val="0"/>
              <w:snapToGrid w:val="0"/>
              <w:spacing w:line="360" w:lineRule="auto"/>
              <w:ind w:left="420"/>
              <w:jc w:val="left"/>
              <w:rPr>
                <w:rFonts w:ascii="Times New Roman" w:hAnsi="宋体"/>
                <w:szCs w:val="21"/>
              </w:rPr>
            </w:pPr>
            <w:r>
              <w:rPr>
                <w:rFonts w:ascii="Times New Roman" w:hAnsi="宋体" w:hint="eastAsia"/>
                <w:szCs w:val="21"/>
              </w:rPr>
              <w:t>适当对学生进行阶段小测验。</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二、学生完成的作业必须达到以下基本要求：</w:t>
            </w:r>
          </w:p>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及时完成阶段小测验；</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三、教师批改或讲评作业的数量和次数要求如下：</w:t>
            </w:r>
          </w:p>
          <w:p w:rsidR="003717A0" w:rsidRDefault="003717A0">
            <w:pPr>
              <w:numPr>
                <w:ilvl w:val="0"/>
                <w:numId w:val="21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学生的阶段小测验要全批全改，按时批改并讲评；</w:t>
            </w:r>
          </w:p>
          <w:p w:rsidR="003717A0" w:rsidRDefault="003717A0">
            <w:pPr>
              <w:numPr>
                <w:ilvl w:val="0"/>
                <w:numId w:val="216"/>
              </w:numPr>
              <w:autoSpaceDE w:val="0"/>
              <w:autoSpaceDN w:val="0"/>
              <w:adjustRightInd w:val="0"/>
              <w:snapToGrid w:val="0"/>
              <w:spacing w:line="360" w:lineRule="auto"/>
              <w:jc w:val="left"/>
              <w:rPr>
                <w:sz w:val="22"/>
              </w:rPr>
            </w:pPr>
            <w:r>
              <w:rPr>
                <w:rFonts w:ascii="Times New Roman" w:hAnsi="宋体" w:hint="eastAsia"/>
                <w:szCs w:val="21"/>
              </w:rPr>
              <w:t>期末按百分制评出每个学生作业的总评成绩，作为本课程学期总评成绩中平时成绩的重要组成部分。</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21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平时作业占总评成绩的</w:t>
            </w:r>
            <w:r>
              <w:rPr>
                <w:rFonts w:ascii="Times New Roman" w:hAnsi="宋体"/>
                <w:szCs w:val="21"/>
              </w:rPr>
              <w:t>30%</w:t>
            </w:r>
            <w:r>
              <w:rPr>
                <w:rFonts w:ascii="Times New Roman" w:hAnsi="宋体" w:hint="eastAsia"/>
                <w:szCs w:val="21"/>
              </w:rPr>
              <w:t>；</w:t>
            </w:r>
          </w:p>
          <w:p w:rsidR="003717A0" w:rsidRDefault="003717A0">
            <w:pPr>
              <w:numPr>
                <w:ilvl w:val="0"/>
                <w:numId w:val="21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70%</w:t>
            </w:r>
            <w:r>
              <w:rPr>
                <w:rFonts w:ascii="Times New Roman" w:hAnsi="宋体" w:hint="eastAsia"/>
                <w:szCs w:val="21"/>
              </w:rPr>
              <w:t>；</w:t>
            </w:r>
          </w:p>
          <w:p w:rsidR="003717A0" w:rsidRDefault="003717A0">
            <w:pPr>
              <w:numPr>
                <w:ilvl w:val="0"/>
                <w:numId w:val="21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同时还鼓励学生选修“形态学技术”课程，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rsidP="00F5156D">
      <w:pPr>
        <w:pStyle w:val="1"/>
        <w:rPr>
          <w:b/>
        </w:rPr>
      </w:pPr>
      <w:bookmarkStart w:id="65" w:name="_Toc469312994"/>
      <w:bookmarkStart w:id="66" w:name="_Toc471830706"/>
      <w:r w:rsidRPr="00F5156D">
        <w:rPr>
          <w:rFonts w:hint="eastAsia"/>
          <w:b/>
        </w:rPr>
        <w:lastRenderedPageBreak/>
        <w:t>《医学英语》课程质量标准</w:t>
      </w:r>
      <w:bookmarkEnd w:id="65"/>
      <w:bookmarkEnd w:id="66"/>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p w:rsidR="003717A0" w:rsidRDefault="003717A0">
      <w:pPr>
        <w:spacing w:line="420" w:lineRule="exact"/>
        <w:ind w:firstLineChars="200" w:firstLine="420"/>
      </w:pPr>
      <w:r>
        <w:rPr>
          <w:rFonts w:hint="eastAsia"/>
        </w:rPr>
        <w:t>本课程的性质：医学英语是高等教育的一个有机组成部分，它是医学专业学生的一门必修课程。医学英语是以医学话题、医学语言知识与应用技能为主要内容，以外语教学理论为指导，以遵循语言教学和语言习得的客观规律为前提，集多种教学模式和教学手段为一体的教学体系。医学英语教学应根据国家和社会对人才英语综合应用能力、尤其是对学术能力的要求，在帮助学生继续打好语言基础的同时，应特别重视培养学生实际应用能力，尤其是针对医学英语词汇量大专业性强的特点，帮助学生迅速扩大词汇量，同时提高听、说、读、写、译的能力，为学生真正具备国际学术交流能力打下厚实的基础。</w:t>
      </w:r>
    </w:p>
    <w:p w:rsidR="003717A0" w:rsidRDefault="003717A0">
      <w:pPr>
        <w:spacing w:line="420" w:lineRule="exact"/>
        <w:ind w:firstLineChars="200" w:firstLine="420"/>
      </w:pPr>
      <w:r>
        <w:rPr>
          <w:rFonts w:hint="eastAsia"/>
        </w:rPr>
        <w:t>教学对象：本课程是医学院校</w:t>
      </w:r>
      <w:r>
        <w:rPr>
          <w:rFonts w:ascii="宋体" w:hAnsi="宋体" w:hint="eastAsia"/>
          <w:bCs/>
        </w:rPr>
        <w:t>临床、护理、生物、口腔、儿科、影像、预防、全科、五官、医检等医学相关专业</w:t>
      </w:r>
      <w:r>
        <w:rPr>
          <w:rFonts w:hint="eastAsia"/>
        </w:rPr>
        <w:t>的必修课，是继大学英语后的高年级专业英语课。学生接受本课程时，大部分学生已经通过国家四级英语考试，部分同学已经通过六级考试，已经掌握了</w:t>
      </w:r>
      <w:r>
        <w:t>4000-5000</w:t>
      </w:r>
      <w:r>
        <w:rPr>
          <w:rFonts w:hint="eastAsia"/>
        </w:rPr>
        <w:t>个词汇，并在听、说、读、写等方面受过训练。</w:t>
      </w:r>
    </w:p>
    <w:p w:rsidR="003717A0" w:rsidRDefault="003717A0">
      <w:pPr>
        <w:pStyle w:val="af0"/>
        <w:ind w:firstLineChars="200" w:firstLine="420"/>
        <w:rPr>
          <w:sz w:val="21"/>
          <w:szCs w:val="21"/>
        </w:rPr>
      </w:pPr>
      <w:r>
        <w:rPr>
          <w:rFonts w:hint="eastAsia"/>
          <w:sz w:val="21"/>
          <w:szCs w:val="21"/>
        </w:rPr>
        <w:t>本课程的任务和目标是：通过本课程的学习，让学生掌握普通医学基本词汇</w:t>
      </w:r>
      <w:r>
        <w:rPr>
          <w:sz w:val="21"/>
          <w:szCs w:val="21"/>
        </w:rPr>
        <w:t>2000</w:t>
      </w:r>
      <w:r>
        <w:rPr>
          <w:rFonts w:hint="eastAsia"/>
          <w:sz w:val="21"/>
          <w:szCs w:val="21"/>
        </w:rPr>
        <w:t>个，了解医学术语的构词特点，熟练掌握常用医学词素</w:t>
      </w:r>
      <w:r>
        <w:rPr>
          <w:sz w:val="21"/>
          <w:szCs w:val="21"/>
        </w:rPr>
        <w:t>400</w:t>
      </w:r>
      <w:r>
        <w:rPr>
          <w:rFonts w:hint="eastAsia"/>
          <w:sz w:val="21"/>
          <w:szCs w:val="21"/>
        </w:rPr>
        <w:t>个，进而熟练掌握医学术语</w:t>
      </w:r>
      <w:r>
        <w:rPr>
          <w:sz w:val="21"/>
          <w:szCs w:val="21"/>
        </w:rPr>
        <w:t>2000</w:t>
      </w:r>
      <w:r>
        <w:rPr>
          <w:rFonts w:hint="eastAsia"/>
          <w:sz w:val="21"/>
          <w:szCs w:val="21"/>
        </w:rPr>
        <w:t>个，共</w:t>
      </w:r>
      <w:r>
        <w:rPr>
          <w:sz w:val="21"/>
          <w:szCs w:val="21"/>
        </w:rPr>
        <w:t>4000</w:t>
      </w:r>
      <w:r>
        <w:rPr>
          <w:rFonts w:hint="eastAsia"/>
          <w:sz w:val="21"/>
          <w:szCs w:val="21"/>
        </w:rPr>
        <w:t>相关医学词汇。熟悉医学英语常用句型，写作风格，能独立阅读并查阅医学文献，了解医学论文各部分的写作方法和要求，并实践医学英语小论文的写作，为日后能应付工作，科研，学术会议，论文写作在听、说、读、写、译方面的要求打下扎实基础。</w:t>
      </w:r>
    </w:p>
    <w:p w:rsidR="003717A0" w:rsidRDefault="003717A0" w:rsidP="00F5156D">
      <w:pPr>
        <w:widowControl/>
        <w:jc w:val="center"/>
        <w:rPr>
          <w:b/>
          <w:bCs/>
          <w:sz w:val="28"/>
          <w:szCs w:val="28"/>
        </w:rPr>
      </w:pPr>
      <w:r w:rsidRPr="00F5156D">
        <w:rPr>
          <w:rFonts w:ascii="Times New Roman" w:eastAsia="黑体" w:hAnsi="Times New Roman" w:cs="Times New Roman" w:hint="eastAsia"/>
          <w:b/>
          <w:bCs/>
          <w:kern w:val="0"/>
          <w:sz w:val="32"/>
          <w:szCs w:val="32"/>
        </w:rPr>
        <w:t>二、教学目标和要求</w:t>
      </w:r>
    </w:p>
    <w:p w:rsidR="003717A0" w:rsidRDefault="003717A0">
      <w:pPr>
        <w:pStyle w:val="af0"/>
        <w:ind w:firstLineChars="200" w:firstLine="422"/>
        <w:rPr>
          <w:b/>
          <w:bCs/>
          <w:sz w:val="21"/>
          <w:szCs w:val="21"/>
        </w:rPr>
      </w:pPr>
      <w:r>
        <w:rPr>
          <w:rFonts w:hint="eastAsia"/>
          <w:b/>
          <w:bCs/>
          <w:sz w:val="21"/>
          <w:szCs w:val="21"/>
        </w:rPr>
        <w:t>医学英语一的教学目标和要求</w:t>
      </w:r>
    </w:p>
    <w:p w:rsidR="003717A0" w:rsidRDefault="003717A0">
      <w:pPr>
        <w:pStyle w:val="af0"/>
        <w:ind w:firstLineChars="200" w:firstLine="420"/>
        <w:rPr>
          <w:sz w:val="21"/>
          <w:szCs w:val="21"/>
        </w:rPr>
      </w:pPr>
      <w:r>
        <w:rPr>
          <w:rFonts w:hint="eastAsia"/>
          <w:sz w:val="21"/>
          <w:szCs w:val="21"/>
        </w:rPr>
        <w:t>医学英语的教学目标是帮助学生打下比较扎实的医学英语语言基础，掌握良好的语言学习方法，增强自主学习能力，提高综合文化素养，使他们具有较强的英语综合应用能力，特别是学术交流能力，能有效地进行口头和书面的信息交流，以适应社会和医学事业的发展。</w:t>
      </w:r>
    </w:p>
    <w:p w:rsidR="003717A0" w:rsidRDefault="003717A0">
      <w:pPr>
        <w:pStyle w:val="af0"/>
        <w:numPr>
          <w:ilvl w:val="0"/>
          <w:numId w:val="218"/>
        </w:numPr>
        <w:ind w:firstLineChars="200" w:firstLine="420"/>
        <w:rPr>
          <w:sz w:val="21"/>
          <w:szCs w:val="21"/>
        </w:rPr>
      </w:pPr>
      <w:r>
        <w:rPr>
          <w:rFonts w:hint="eastAsia"/>
          <w:sz w:val="21"/>
          <w:szCs w:val="21"/>
        </w:rPr>
        <w:t>，词汇</w:t>
      </w:r>
    </w:p>
    <w:p w:rsidR="003717A0" w:rsidRDefault="003717A0">
      <w:pPr>
        <w:pStyle w:val="af0"/>
        <w:ind w:firstLine="420"/>
        <w:rPr>
          <w:sz w:val="21"/>
          <w:szCs w:val="21"/>
        </w:rPr>
      </w:pPr>
      <w:r>
        <w:rPr>
          <w:rFonts w:hint="eastAsia"/>
          <w:sz w:val="21"/>
          <w:szCs w:val="21"/>
        </w:rPr>
        <w:t>了解有关骨骼系统，神经系统，血液系统，内分泌系统，消化系统、生殖系统泌尿系统的相关词汇，固定表达</w:t>
      </w:r>
      <w:r>
        <w:rPr>
          <w:sz w:val="21"/>
          <w:szCs w:val="21"/>
        </w:rPr>
        <w:t>800</w:t>
      </w:r>
      <w:r>
        <w:rPr>
          <w:rFonts w:hint="eastAsia"/>
          <w:sz w:val="21"/>
          <w:szCs w:val="21"/>
        </w:rPr>
        <w:t>个单词和词组。了解相关专业的医学词根</w:t>
      </w:r>
      <w:r>
        <w:rPr>
          <w:sz w:val="21"/>
          <w:szCs w:val="21"/>
        </w:rPr>
        <w:t>180</w:t>
      </w:r>
      <w:r>
        <w:rPr>
          <w:rFonts w:hint="eastAsia"/>
          <w:sz w:val="21"/>
          <w:szCs w:val="21"/>
        </w:rPr>
        <w:t>个。熟练掌握医学术语</w:t>
      </w:r>
      <w:r>
        <w:rPr>
          <w:sz w:val="21"/>
          <w:szCs w:val="21"/>
        </w:rPr>
        <w:t>300</w:t>
      </w:r>
      <w:r>
        <w:rPr>
          <w:rFonts w:hint="eastAsia"/>
          <w:sz w:val="21"/>
          <w:szCs w:val="21"/>
        </w:rPr>
        <w:t>个，拓展性了解医学术语</w:t>
      </w:r>
      <w:r>
        <w:rPr>
          <w:sz w:val="21"/>
          <w:szCs w:val="21"/>
        </w:rPr>
        <w:t>500</w:t>
      </w:r>
      <w:r>
        <w:rPr>
          <w:rFonts w:hint="eastAsia"/>
          <w:sz w:val="21"/>
          <w:szCs w:val="21"/>
        </w:rPr>
        <w:t>个。能在口头和书面上比较熟练的运用相关词汇。</w:t>
      </w:r>
    </w:p>
    <w:p w:rsidR="003717A0" w:rsidRDefault="003717A0">
      <w:pPr>
        <w:pStyle w:val="af0"/>
        <w:numPr>
          <w:ilvl w:val="0"/>
          <w:numId w:val="218"/>
        </w:numPr>
        <w:ind w:firstLineChars="200" w:firstLine="420"/>
        <w:rPr>
          <w:sz w:val="21"/>
          <w:szCs w:val="21"/>
        </w:rPr>
      </w:pPr>
      <w:r>
        <w:rPr>
          <w:rFonts w:hint="eastAsia"/>
          <w:sz w:val="21"/>
          <w:szCs w:val="21"/>
        </w:rPr>
        <w:t>，听力理解能力</w:t>
      </w:r>
    </w:p>
    <w:p w:rsidR="003717A0" w:rsidRDefault="003717A0">
      <w:pPr>
        <w:pStyle w:val="af0"/>
        <w:ind w:firstLine="420"/>
        <w:rPr>
          <w:sz w:val="21"/>
          <w:szCs w:val="21"/>
        </w:rPr>
      </w:pPr>
      <w:r>
        <w:rPr>
          <w:rFonts w:hint="eastAsia"/>
          <w:sz w:val="21"/>
          <w:szCs w:val="21"/>
        </w:rPr>
        <w:t>能听懂英语授课，学完相关系统后能大概听懂相关视频材料，掌握其中大意，抓住要点。</w:t>
      </w:r>
    </w:p>
    <w:p w:rsidR="003717A0" w:rsidRDefault="003717A0">
      <w:pPr>
        <w:pStyle w:val="af0"/>
        <w:numPr>
          <w:ilvl w:val="0"/>
          <w:numId w:val="218"/>
        </w:numPr>
        <w:ind w:firstLineChars="200" w:firstLine="420"/>
        <w:rPr>
          <w:sz w:val="21"/>
          <w:szCs w:val="21"/>
        </w:rPr>
      </w:pPr>
      <w:r>
        <w:rPr>
          <w:rFonts w:hint="eastAsia"/>
          <w:sz w:val="21"/>
          <w:szCs w:val="21"/>
        </w:rPr>
        <w:t>，口语表达能力</w:t>
      </w:r>
    </w:p>
    <w:p w:rsidR="003717A0" w:rsidRDefault="003717A0">
      <w:pPr>
        <w:pStyle w:val="af0"/>
        <w:ind w:firstLine="420"/>
        <w:rPr>
          <w:sz w:val="21"/>
          <w:szCs w:val="21"/>
        </w:rPr>
      </w:pPr>
      <w:r>
        <w:rPr>
          <w:rFonts w:hint="eastAsia"/>
          <w:sz w:val="21"/>
          <w:szCs w:val="21"/>
        </w:rPr>
        <w:lastRenderedPageBreak/>
        <w:t>能在学习过程中流利地进行日常英语交流，并就某一主题进行科普性讨论。表达清楚，语言语调基本正确。能在学完相关章节后就某一小话题经充分准备后在课堂做汇报性总结。</w:t>
      </w:r>
    </w:p>
    <w:p w:rsidR="003717A0" w:rsidRDefault="003717A0">
      <w:pPr>
        <w:pStyle w:val="af0"/>
        <w:ind w:firstLineChars="200" w:firstLine="420"/>
        <w:rPr>
          <w:sz w:val="21"/>
          <w:szCs w:val="21"/>
        </w:rPr>
      </w:pPr>
      <w:r>
        <w:rPr>
          <w:sz w:val="21"/>
          <w:szCs w:val="21"/>
        </w:rPr>
        <w:t>4</w:t>
      </w:r>
      <w:r>
        <w:rPr>
          <w:rFonts w:hint="eastAsia"/>
          <w:sz w:val="21"/>
          <w:szCs w:val="21"/>
        </w:rPr>
        <w:t>），阅读理解能力</w:t>
      </w:r>
    </w:p>
    <w:p w:rsidR="003717A0" w:rsidRDefault="003717A0">
      <w:pPr>
        <w:pStyle w:val="af0"/>
        <w:ind w:firstLineChars="200" w:firstLine="420"/>
        <w:rPr>
          <w:sz w:val="21"/>
          <w:szCs w:val="21"/>
        </w:rPr>
      </w:pPr>
      <w:r>
        <w:rPr>
          <w:rFonts w:hint="eastAsia"/>
          <w:sz w:val="21"/>
          <w:szCs w:val="21"/>
        </w:rPr>
        <w:t>能读懂中等难度的医学科普性题材的英语文章，在学完相关系统后借助字典进行相关题材的专业阅读课外，能抓住主要事实和有关细节。</w:t>
      </w:r>
    </w:p>
    <w:p w:rsidR="003717A0" w:rsidRDefault="003717A0">
      <w:pPr>
        <w:pStyle w:val="af0"/>
        <w:numPr>
          <w:ilvl w:val="0"/>
          <w:numId w:val="219"/>
        </w:numPr>
        <w:ind w:firstLineChars="200" w:firstLine="420"/>
        <w:rPr>
          <w:sz w:val="21"/>
          <w:szCs w:val="21"/>
        </w:rPr>
      </w:pPr>
      <w:r>
        <w:rPr>
          <w:rFonts w:hint="eastAsia"/>
          <w:sz w:val="21"/>
          <w:szCs w:val="21"/>
        </w:rPr>
        <w:t>，书面表达能力</w:t>
      </w:r>
    </w:p>
    <w:p w:rsidR="003717A0" w:rsidRDefault="003717A0">
      <w:pPr>
        <w:pStyle w:val="af0"/>
        <w:ind w:firstLine="420"/>
        <w:rPr>
          <w:sz w:val="21"/>
          <w:szCs w:val="21"/>
        </w:rPr>
      </w:pPr>
      <w:r>
        <w:rPr>
          <w:rFonts w:hint="eastAsia"/>
          <w:sz w:val="21"/>
          <w:szCs w:val="21"/>
        </w:rPr>
        <w:t>能写出科普医学类材料的摘要或笼统介绍一般疾病，内容完整，用词恰当，意思表达清楚，无重大语言错误，并能使用恰当的写作技巧。</w:t>
      </w:r>
    </w:p>
    <w:p w:rsidR="003717A0" w:rsidRDefault="003717A0">
      <w:pPr>
        <w:pStyle w:val="af0"/>
        <w:numPr>
          <w:ilvl w:val="0"/>
          <w:numId w:val="219"/>
        </w:numPr>
        <w:ind w:firstLineChars="200" w:firstLine="420"/>
        <w:rPr>
          <w:sz w:val="21"/>
          <w:szCs w:val="21"/>
        </w:rPr>
      </w:pPr>
      <w:r>
        <w:rPr>
          <w:rFonts w:hint="eastAsia"/>
          <w:sz w:val="21"/>
          <w:szCs w:val="21"/>
        </w:rPr>
        <w:t>，翻译能力</w:t>
      </w:r>
    </w:p>
    <w:p w:rsidR="003717A0" w:rsidRDefault="003717A0">
      <w:pPr>
        <w:pStyle w:val="af0"/>
        <w:ind w:firstLine="420"/>
        <w:rPr>
          <w:sz w:val="21"/>
          <w:szCs w:val="21"/>
        </w:rPr>
      </w:pPr>
      <w:r>
        <w:rPr>
          <w:rFonts w:hint="eastAsia"/>
          <w:sz w:val="21"/>
          <w:szCs w:val="21"/>
        </w:rPr>
        <w:t>能借助字典对医学题材熟悉的文章进行英汉互译，译文基本流畅，基本忠实原文，并能在翻译时使用适当的翻译技巧。</w:t>
      </w:r>
    </w:p>
    <w:p w:rsidR="003717A0" w:rsidRDefault="003717A0">
      <w:pPr>
        <w:pStyle w:val="af0"/>
        <w:ind w:firstLineChars="200" w:firstLine="422"/>
        <w:rPr>
          <w:b/>
          <w:bCs/>
          <w:sz w:val="21"/>
          <w:szCs w:val="21"/>
        </w:rPr>
      </w:pPr>
      <w:r>
        <w:rPr>
          <w:rFonts w:hint="eastAsia"/>
          <w:b/>
          <w:bCs/>
          <w:sz w:val="21"/>
          <w:szCs w:val="21"/>
        </w:rPr>
        <w:t>医学英语二的教学目标和要求</w:t>
      </w:r>
    </w:p>
    <w:p w:rsidR="003717A0" w:rsidRDefault="003717A0">
      <w:pPr>
        <w:pStyle w:val="af0"/>
        <w:ind w:firstLineChars="200" w:firstLine="420"/>
        <w:rPr>
          <w:sz w:val="21"/>
          <w:szCs w:val="21"/>
        </w:rPr>
      </w:pPr>
      <w:r>
        <w:rPr>
          <w:rFonts w:hint="eastAsia"/>
          <w:sz w:val="21"/>
          <w:szCs w:val="21"/>
        </w:rPr>
        <w:t>医学英语的教学目标是帮助学生打下比较扎实的医学英语语言基础，掌握良好的语言学习方法，增强自主学习能力，提高综合文化素养，使他们具有较强的英语综合应用能力，特别是学术交流能力，能有效地进行口头和书面的信息交流，以适应社会和医学事业的发展。</w:t>
      </w:r>
    </w:p>
    <w:p w:rsidR="003717A0" w:rsidRDefault="003717A0">
      <w:pPr>
        <w:pStyle w:val="af0"/>
        <w:ind w:firstLine="420"/>
        <w:rPr>
          <w:sz w:val="21"/>
          <w:szCs w:val="21"/>
        </w:rPr>
      </w:pPr>
      <w:r>
        <w:rPr>
          <w:sz w:val="21"/>
          <w:szCs w:val="21"/>
        </w:rPr>
        <w:t>1</w:t>
      </w:r>
      <w:r>
        <w:rPr>
          <w:rFonts w:hint="eastAsia"/>
          <w:sz w:val="21"/>
          <w:szCs w:val="21"/>
        </w:rPr>
        <w:t>），词汇</w:t>
      </w:r>
    </w:p>
    <w:p w:rsidR="003717A0" w:rsidRDefault="003717A0">
      <w:pPr>
        <w:pStyle w:val="af0"/>
        <w:ind w:firstLine="420"/>
        <w:rPr>
          <w:sz w:val="21"/>
          <w:szCs w:val="21"/>
        </w:rPr>
      </w:pPr>
      <w:r>
        <w:rPr>
          <w:rFonts w:hint="eastAsia"/>
          <w:sz w:val="21"/>
          <w:szCs w:val="21"/>
        </w:rPr>
        <w:t>了解有关心血管系统，呼吸系统，血液系统，细胞凋亡，炎症、病理学和药动学药效学的相关词汇，固定表达</w:t>
      </w:r>
      <w:r>
        <w:rPr>
          <w:sz w:val="21"/>
          <w:szCs w:val="21"/>
        </w:rPr>
        <w:t>800</w:t>
      </w:r>
      <w:r>
        <w:rPr>
          <w:rFonts w:hint="eastAsia"/>
          <w:sz w:val="21"/>
          <w:szCs w:val="21"/>
        </w:rPr>
        <w:t>个单词和词组。了解相关专业的医学词根</w:t>
      </w:r>
      <w:r>
        <w:rPr>
          <w:sz w:val="21"/>
          <w:szCs w:val="21"/>
        </w:rPr>
        <w:t>180</w:t>
      </w:r>
      <w:r>
        <w:rPr>
          <w:rFonts w:hint="eastAsia"/>
          <w:sz w:val="21"/>
          <w:szCs w:val="21"/>
        </w:rPr>
        <w:t>个。熟练掌握医学术语</w:t>
      </w:r>
      <w:r>
        <w:rPr>
          <w:sz w:val="21"/>
          <w:szCs w:val="21"/>
        </w:rPr>
        <w:t>300</w:t>
      </w:r>
      <w:r>
        <w:rPr>
          <w:rFonts w:hint="eastAsia"/>
          <w:sz w:val="21"/>
          <w:szCs w:val="21"/>
        </w:rPr>
        <w:t>个，拓展性了解医学术语</w:t>
      </w:r>
      <w:r>
        <w:rPr>
          <w:sz w:val="21"/>
          <w:szCs w:val="21"/>
        </w:rPr>
        <w:t>500</w:t>
      </w:r>
      <w:r>
        <w:rPr>
          <w:rFonts w:hint="eastAsia"/>
          <w:sz w:val="21"/>
          <w:szCs w:val="21"/>
        </w:rPr>
        <w:t>个。能在口头和书面上比较熟练的运用相关词汇。</w:t>
      </w:r>
    </w:p>
    <w:p w:rsidR="003717A0" w:rsidRDefault="003717A0">
      <w:pPr>
        <w:pStyle w:val="af0"/>
        <w:ind w:firstLine="420"/>
        <w:rPr>
          <w:sz w:val="21"/>
          <w:szCs w:val="21"/>
        </w:rPr>
      </w:pPr>
      <w:r>
        <w:rPr>
          <w:sz w:val="21"/>
          <w:szCs w:val="21"/>
        </w:rPr>
        <w:t>2</w:t>
      </w:r>
      <w:r>
        <w:rPr>
          <w:rFonts w:hint="eastAsia"/>
          <w:sz w:val="21"/>
          <w:szCs w:val="21"/>
        </w:rPr>
        <w:t>），听力理解能力</w:t>
      </w:r>
    </w:p>
    <w:p w:rsidR="003717A0" w:rsidRDefault="003717A0">
      <w:pPr>
        <w:pStyle w:val="af0"/>
        <w:ind w:firstLine="420"/>
        <w:rPr>
          <w:sz w:val="21"/>
          <w:szCs w:val="21"/>
        </w:rPr>
      </w:pPr>
      <w:r>
        <w:rPr>
          <w:rFonts w:hint="eastAsia"/>
          <w:sz w:val="21"/>
          <w:szCs w:val="21"/>
        </w:rPr>
        <w:t>能轻松听懂英语授课，学完相关系统后能大概听懂相关视频材料，掌握其中大意，抓住要点和重点细节。领会讲话者的观点和态度，并能进行基本分析、推理和判断。</w:t>
      </w:r>
    </w:p>
    <w:p w:rsidR="003717A0" w:rsidRDefault="003717A0">
      <w:pPr>
        <w:pStyle w:val="af0"/>
        <w:ind w:firstLine="420"/>
        <w:rPr>
          <w:sz w:val="21"/>
          <w:szCs w:val="21"/>
        </w:rPr>
      </w:pPr>
      <w:r>
        <w:rPr>
          <w:sz w:val="21"/>
          <w:szCs w:val="21"/>
        </w:rPr>
        <w:t>3</w:t>
      </w:r>
      <w:r>
        <w:rPr>
          <w:rFonts w:hint="eastAsia"/>
          <w:sz w:val="21"/>
          <w:szCs w:val="21"/>
        </w:rPr>
        <w:t>），口语表达能力</w:t>
      </w:r>
    </w:p>
    <w:p w:rsidR="003717A0" w:rsidRDefault="003717A0">
      <w:pPr>
        <w:pStyle w:val="af0"/>
        <w:ind w:firstLine="420"/>
        <w:rPr>
          <w:sz w:val="21"/>
          <w:szCs w:val="21"/>
        </w:rPr>
      </w:pPr>
      <w:r>
        <w:rPr>
          <w:rFonts w:hint="eastAsia"/>
          <w:sz w:val="21"/>
          <w:szCs w:val="21"/>
        </w:rPr>
        <w:t>能在学习过程中流利地进行日常英语交流，并就某一主题进行科普性讨论。能基本表达个人意见、情感、观点等和基本陈述事实、理由等，表达清楚，语言语调基本正确。能在学完相关章节后就某一小话题经充分准备后在课堂做汇报性总结。</w:t>
      </w:r>
    </w:p>
    <w:p w:rsidR="003717A0" w:rsidRDefault="003717A0">
      <w:pPr>
        <w:pStyle w:val="af0"/>
        <w:ind w:firstLineChars="200" w:firstLine="420"/>
        <w:rPr>
          <w:sz w:val="21"/>
          <w:szCs w:val="21"/>
        </w:rPr>
      </w:pPr>
      <w:r>
        <w:rPr>
          <w:sz w:val="21"/>
          <w:szCs w:val="21"/>
        </w:rPr>
        <w:t>4</w:t>
      </w:r>
      <w:r>
        <w:rPr>
          <w:rFonts w:hint="eastAsia"/>
          <w:sz w:val="21"/>
          <w:szCs w:val="21"/>
        </w:rPr>
        <w:t>），阅读理解能力</w:t>
      </w:r>
    </w:p>
    <w:p w:rsidR="003717A0" w:rsidRDefault="003717A0">
      <w:pPr>
        <w:pStyle w:val="af0"/>
        <w:ind w:firstLineChars="200" w:firstLine="420"/>
        <w:rPr>
          <w:sz w:val="21"/>
          <w:szCs w:val="21"/>
        </w:rPr>
      </w:pPr>
      <w:r>
        <w:rPr>
          <w:rFonts w:hint="eastAsia"/>
          <w:sz w:val="21"/>
          <w:szCs w:val="21"/>
        </w:rPr>
        <w:t>能读懂中等难度的医学科普性题材的英语文章，在学完相关系统后借助字典进行相关题材的专业阅读课外，能抓住主要事实和有关细节。能够基本读懂本人专业方面的文献综述性文章，并能正确理解中心大意，抓住主要事实和有关细节。</w:t>
      </w:r>
    </w:p>
    <w:p w:rsidR="003717A0" w:rsidRDefault="003717A0">
      <w:pPr>
        <w:pStyle w:val="af0"/>
        <w:ind w:firstLine="420"/>
        <w:rPr>
          <w:sz w:val="21"/>
          <w:szCs w:val="21"/>
        </w:rPr>
      </w:pPr>
      <w:r>
        <w:rPr>
          <w:sz w:val="21"/>
          <w:szCs w:val="21"/>
        </w:rPr>
        <w:lastRenderedPageBreak/>
        <w:t>5</w:t>
      </w:r>
      <w:r>
        <w:rPr>
          <w:rFonts w:hint="eastAsia"/>
          <w:sz w:val="21"/>
          <w:szCs w:val="21"/>
        </w:rPr>
        <w:t>），书面表达能力</w:t>
      </w:r>
    </w:p>
    <w:p w:rsidR="003717A0" w:rsidRDefault="003717A0">
      <w:pPr>
        <w:pStyle w:val="af0"/>
        <w:ind w:firstLine="420"/>
        <w:rPr>
          <w:sz w:val="21"/>
          <w:szCs w:val="21"/>
        </w:rPr>
      </w:pPr>
      <w:r>
        <w:rPr>
          <w:rFonts w:hint="eastAsia"/>
          <w:sz w:val="21"/>
          <w:szCs w:val="21"/>
        </w:rPr>
        <w:t>能写出科普医学类材料的摘要或笼统介绍一般疾病，内容完整，用词恰当，意思表达清楚，无重大语言错误，并能使用恰当的写作技巧。能借助参考资料写出与本专业相关的报告，结构基本清晰，内容较为丰富，内容完整，调理清楚，文理通顺。</w:t>
      </w:r>
    </w:p>
    <w:p w:rsidR="003717A0" w:rsidRDefault="003717A0">
      <w:pPr>
        <w:pStyle w:val="af0"/>
        <w:ind w:firstLine="420"/>
        <w:rPr>
          <w:sz w:val="21"/>
          <w:szCs w:val="21"/>
        </w:rPr>
      </w:pPr>
      <w:r>
        <w:rPr>
          <w:sz w:val="21"/>
          <w:szCs w:val="21"/>
        </w:rPr>
        <w:t>6</w:t>
      </w:r>
      <w:r>
        <w:rPr>
          <w:rFonts w:hint="eastAsia"/>
          <w:sz w:val="21"/>
          <w:szCs w:val="21"/>
        </w:rPr>
        <w:t>），翻译能力</w:t>
      </w:r>
    </w:p>
    <w:p w:rsidR="003717A0" w:rsidRDefault="003717A0">
      <w:pPr>
        <w:pStyle w:val="af0"/>
        <w:ind w:firstLine="420"/>
        <w:rPr>
          <w:sz w:val="21"/>
          <w:szCs w:val="21"/>
        </w:rPr>
      </w:pPr>
      <w:r>
        <w:rPr>
          <w:rFonts w:hint="eastAsia"/>
          <w:sz w:val="21"/>
          <w:szCs w:val="21"/>
        </w:rPr>
        <w:t>能借助字典对科普类医学题材熟悉的文章进行英汉互译，译文基本流畅，基本忠实原文，并能在翻译时使用适当的翻译技巧。能翻译专业相关的长难句，语句通顺，达意。</w:t>
      </w:r>
    </w:p>
    <w:p w:rsidR="003717A0" w:rsidRDefault="003717A0">
      <w:pPr>
        <w:pStyle w:val="af0"/>
        <w:ind w:firstLineChars="200" w:firstLine="422"/>
        <w:rPr>
          <w:b/>
          <w:bCs/>
          <w:sz w:val="21"/>
          <w:szCs w:val="21"/>
        </w:rPr>
      </w:pPr>
      <w:r>
        <w:rPr>
          <w:rFonts w:hint="eastAsia"/>
          <w:b/>
          <w:bCs/>
          <w:sz w:val="21"/>
          <w:szCs w:val="21"/>
        </w:rPr>
        <w:t>医学英语三的教学目标和要求</w:t>
      </w:r>
    </w:p>
    <w:p w:rsidR="003717A0" w:rsidRDefault="003717A0">
      <w:pPr>
        <w:pStyle w:val="af0"/>
        <w:ind w:firstLineChars="200" w:firstLine="420"/>
        <w:rPr>
          <w:sz w:val="21"/>
          <w:szCs w:val="21"/>
        </w:rPr>
      </w:pPr>
      <w:r>
        <w:rPr>
          <w:rFonts w:hint="eastAsia"/>
          <w:sz w:val="21"/>
          <w:szCs w:val="21"/>
        </w:rPr>
        <w:t>医学英语的教学目标是帮助学生打下比较扎实的医学英语语言基础，掌握良好的语言学习方法，增强自主学习能力，提高综合文化素养，使他们具有较强的英语综合应用能力，特别是学术交流能力，能有效地进行口头和书面的信息交流，以适应社会和医学事业的发展。</w:t>
      </w:r>
    </w:p>
    <w:p w:rsidR="003717A0" w:rsidRDefault="003717A0">
      <w:pPr>
        <w:pStyle w:val="af0"/>
        <w:ind w:firstLine="420"/>
        <w:rPr>
          <w:sz w:val="21"/>
          <w:szCs w:val="21"/>
        </w:rPr>
      </w:pPr>
      <w:r>
        <w:rPr>
          <w:sz w:val="21"/>
          <w:szCs w:val="21"/>
        </w:rPr>
        <w:t>1</w:t>
      </w:r>
      <w:r>
        <w:rPr>
          <w:rFonts w:hint="eastAsia"/>
          <w:sz w:val="21"/>
          <w:szCs w:val="21"/>
        </w:rPr>
        <w:t>），词汇</w:t>
      </w:r>
    </w:p>
    <w:p w:rsidR="003717A0" w:rsidRDefault="003717A0">
      <w:pPr>
        <w:pStyle w:val="af0"/>
        <w:ind w:firstLine="420"/>
        <w:rPr>
          <w:sz w:val="21"/>
          <w:szCs w:val="21"/>
        </w:rPr>
      </w:pPr>
      <w:r>
        <w:rPr>
          <w:rFonts w:hint="eastAsia"/>
          <w:sz w:val="21"/>
          <w:szCs w:val="21"/>
        </w:rPr>
        <w:t>了解有关心脏插管，肾衰，和糖尿病方面的相关词汇，固定表达</w:t>
      </w:r>
      <w:r>
        <w:rPr>
          <w:sz w:val="21"/>
          <w:szCs w:val="21"/>
        </w:rPr>
        <w:t>400</w:t>
      </w:r>
      <w:r>
        <w:rPr>
          <w:rFonts w:hint="eastAsia"/>
          <w:sz w:val="21"/>
          <w:szCs w:val="21"/>
        </w:rPr>
        <w:t>个单词和词组。了解相关专业的医学词根</w:t>
      </w:r>
      <w:r>
        <w:rPr>
          <w:sz w:val="21"/>
          <w:szCs w:val="21"/>
        </w:rPr>
        <w:t>100</w:t>
      </w:r>
      <w:r>
        <w:rPr>
          <w:rFonts w:hint="eastAsia"/>
          <w:sz w:val="21"/>
          <w:szCs w:val="21"/>
        </w:rPr>
        <w:t>个。熟练掌握医学术语</w:t>
      </w:r>
      <w:r>
        <w:rPr>
          <w:sz w:val="21"/>
          <w:szCs w:val="21"/>
        </w:rPr>
        <w:t>200</w:t>
      </w:r>
      <w:r>
        <w:rPr>
          <w:rFonts w:hint="eastAsia"/>
          <w:sz w:val="21"/>
          <w:szCs w:val="21"/>
        </w:rPr>
        <w:t>个，拓展性了解医学术语</w:t>
      </w:r>
      <w:r>
        <w:rPr>
          <w:sz w:val="21"/>
          <w:szCs w:val="21"/>
        </w:rPr>
        <w:t>300</w:t>
      </w:r>
      <w:r>
        <w:rPr>
          <w:rFonts w:hint="eastAsia"/>
          <w:sz w:val="21"/>
          <w:szCs w:val="21"/>
        </w:rPr>
        <w:t>个。能在口头和书面上比较熟练的运用相关词汇。</w:t>
      </w:r>
    </w:p>
    <w:p w:rsidR="003717A0" w:rsidRDefault="003717A0">
      <w:pPr>
        <w:pStyle w:val="af0"/>
        <w:ind w:firstLine="420"/>
        <w:rPr>
          <w:sz w:val="21"/>
          <w:szCs w:val="21"/>
        </w:rPr>
      </w:pPr>
      <w:r>
        <w:rPr>
          <w:sz w:val="21"/>
          <w:szCs w:val="21"/>
        </w:rPr>
        <w:t>2</w:t>
      </w:r>
      <w:r>
        <w:rPr>
          <w:rFonts w:hint="eastAsia"/>
          <w:sz w:val="21"/>
          <w:szCs w:val="21"/>
        </w:rPr>
        <w:t>），听力理解能力</w:t>
      </w:r>
    </w:p>
    <w:p w:rsidR="003717A0" w:rsidRDefault="003717A0">
      <w:pPr>
        <w:pStyle w:val="af0"/>
        <w:ind w:firstLine="420"/>
        <w:rPr>
          <w:sz w:val="21"/>
          <w:szCs w:val="21"/>
        </w:rPr>
      </w:pPr>
      <w:r>
        <w:rPr>
          <w:rFonts w:hint="eastAsia"/>
          <w:sz w:val="21"/>
          <w:szCs w:val="21"/>
        </w:rPr>
        <w:t>能轻松听懂英语授课，学完相关系统后能大概听懂相关视频材料，掌握其中大意，抓住要点和重点细节。领会讲话者的观点和态度，并能进行基本分析、推理和判断。能听懂本专业相关的学术讲座，并掌握其中心大意，抓住要点。</w:t>
      </w:r>
    </w:p>
    <w:p w:rsidR="003717A0" w:rsidRDefault="003717A0">
      <w:pPr>
        <w:pStyle w:val="af0"/>
        <w:ind w:firstLine="420"/>
        <w:rPr>
          <w:sz w:val="21"/>
          <w:szCs w:val="21"/>
        </w:rPr>
      </w:pPr>
      <w:r>
        <w:rPr>
          <w:sz w:val="21"/>
          <w:szCs w:val="21"/>
        </w:rPr>
        <w:t>3</w:t>
      </w:r>
      <w:r>
        <w:rPr>
          <w:rFonts w:hint="eastAsia"/>
          <w:sz w:val="21"/>
          <w:szCs w:val="21"/>
        </w:rPr>
        <w:t>），口语表达能力</w:t>
      </w:r>
    </w:p>
    <w:p w:rsidR="003717A0" w:rsidRDefault="003717A0">
      <w:pPr>
        <w:pStyle w:val="af0"/>
        <w:ind w:firstLine="420"/>
        <w:rPr>
          <w:sz w:val="21"/>
          <w:szCs w:val="21"/>
        </w:rPr>
      </w:pPr>
      <w:r>
        <w:rPr>
          <w:rFonts w:hint="eastAsia"/>
          <w:sz w:val="21"/>
          <w:szCs w:val="21"/>
        </w:rPr>
        <w:t>能在学习过程中流利地进行日常英语交流，并就某一主题进行科普性讨论。能基本表达个人意见、情感、观点等和基本陈述事实、理由等，表达清楚，语言语调基本正确。能在学完相关章节后就某一小话题经充分准备后在课堂做汇报性总结。能就专业话题较为流利地准确地进行对话或讨论，能用简练的语言概括较长的文本或讲话。</w:t>
      </w:r>
    </w:p>
    <w:p w:rsidR="003717A0" w:rsidRDefault="003717A0">
      <w:pPr>
        <w:pStyle w:val="af0"/>
        <w:numPr>
          <w:ilvl w:val="0"/>
          <w:numId w:val="220"/>
        </w:numPr>
        <w:ind w:firstLineChars="200" w:firstLine="420"/>
        <w:rPr>
          <w:sz w:val="21"/>
          <w:szCs w:val="21"/>
        </w:rPr>
      </w:pPr>
      <w:r>
        <w:rPr>
          <w:rFonts w:hint="eastAsia"/>
          <w:sz w:val="21"/>
          <w:szCs w:val="21"/>
        </w:rPr>
        <w:t>，阅读理解能力</w:t>
      </w:r>
    </w:p>
    <w:p w:rsidR="003717A0" w:rsidRDefault="003717A0">
      <w:pPr>
        <w:pStyle w:val="af0"/>
        <w:ind w:firstLine="420"/>
        <w:rPr>
          <w:sz w:val="21"/>
          <w:szCs w:val="21"/>
        </w:rPr>
      </w:pPr>
      <w:r>
        <w:rPr>
          <w:rFonts w:hint="eastAsia"/>
          <w:sz w:val="21"/>
          <w:szCs w:val="21"/>
        </w:rPr>
        <w:t>能读懂中等难度的医学科普性题材的英语文章，在学完相关系统后借助字典进行相关题材的专业阅读课外，能抓住主要事实和有关细节。能够基本读懂本人专业方面的文献综述性文章，并能正确理解中心大意，抓住主要事实和有关细节。能读懂医学学术论文，了解大意。</w:t>
      </w:r>
    </w:p>
    <w:p w:rsidR="003717A0" w:rsidRDefault="003717A0">
      <w:pPr>
        <w:pStyle w:val="af0"/>
        <w:ind w:firstLine="420"/>
        <w:rPr>
          <w:sz w:val="21"/>
          <w:szCs w:val="21"/>
        </w:rPr>
      </w:pPr>
      <w:r>
        <w:rPr>
          <w:sz w:val="21"/>
          <w:szCs w:val="21"/>
        </w:rPr>
        <w:t>5</w:t>
      </w:r>
      <w:r>
        <w:rPr>
          <w:rFonts w:hint="eastAsia"/>
          <w:sz w:val="21"/>
          <w:szCs w:val="21"/>
        </w:rPr>
        <w:t>），书面表达能力</w:t>
      </w:r>
    </w:p>
    <w:p w:rsidR="003717A0" w:rsidRDefault="003717A0">
      <w:pPr>
        <w:pStyle w:val="af0"/>
        <w:ind w:firstLine="420"/>
        <w:rPr>
          <w:sz w:val="21"/>
          <w:szCs w:val="21"/>
        </w:rPr>
      </w:pPr>
      <w:r>
        <w:rPr>
          <w:rFonts w:hint="eastAsia"/>
          <w:sz w:val="21"/>
          <w:szCs w:val="21"/>
        </w:rPr>
        <w:lastRenderedPageBreak/>
        <w:t>能写出科普医学类材料的摘要或笼统介绍一般疾病，内容完整，用词恰当，意思表达清楚，无重大语言错误，并能使用恰当的写作技巧。能借助参考资料写出与本专业相关的报告，结构基本清晰，内容较为丰富，内容完整，调理清楚，文理通顺。</w:t>
      </w:r>
    </w:p>
    <w:p w:rsidR="003717A0" w:rsidRDefault="003717A0">
      <w:pPr>
        <w:pStyle w:val="af0"/>
        <w:ind w:firstLine="420"/>
        <w:rPr>
          <w:sz w:val="21"/>
          <w:szCs w:val="21"/>
        </w:rPr>
      </w:pPr>
      <w:r>
        <w:rPr>
          <w:sz w:val="21"/>
          <w:szCs w:val="21"/>
        </w:rPr>
        <w:t>6</w:t>
      </w:r>
      <w:r>
        <w:rPr>
          <w:rFonts w:hint="eastAsia"/>
          <w:sz w:val="21"/>
          <w:szCs w:val="21"/>
        </w:rPr>
        <w:t>），翻译能力</w:t>
      </w:r>
    </w:p>
    <w:p w:rsidR="003717A0" w:rsidRDefault="003717A0">
      <w:pPr>
        <w:pStyle w:val="af0"/>
        <w:ind w:firstLine="420"/>
        <w:rPr>
          <w:sz w:val="21"/>
          <w:szCs w:val="21"/>
        </w:rPr>
      </w:pPr>
      <w:r>
        <w:rPr>
          <w:rFonts w:hint="eastAsia"/>
          <w:sz w:val="21"/>
          <w:szCs w:val="21"/>
        </w:rPr>
        <w:t>能借助字典对科普类医学题材熟悉的文章进行英汉互译，译文基本流畅，基本忠实原文，并能在翻译时使用适当的翻译技巧。能借助字典基本将本专业的论文译成英文，理解基本正确，译文基本通顺、达意、无重大语言错误。</w:t>
      </w:r>
    </w:p>
    <w:p w:rsidR="003717A0" w:rsidRDefault="003717A0">
      <w:pPr>
        <w:pStyle w:val="af0"/>
        <w:ind w:firstLineChars="200" w:firstLine="422"/>
        <w:rPr>
          <w:b/>
          <w:bCs/>
          <w:sz w:val="21"/>
          <w:szCs w:val="21"/>
        </w:rPr>
      </w:pPr>
      <w:r>
        <w:rPr>
          <w:rFonts w:hint="eastAsia"/>
          <w:b/>
          <w:bCs/>
          <w:sz w:val="21"/>
          <w:szCs w:val="21"/>
        </w:rPr>
        <w:t>医学英语四的教学目标和要求</w:t>
      </w:r>
    </w:p>
    <w:p w:rsidR="003717A0" w:rsidRDefault="003717A0">
      <w:pPr>
        <w:pStyle w:val="af0"/>
        <w:ind w:firstLineChars="200" w:firstLine="420"/>
        <w:rPr>
          <w:sz w:val="21"/>
          <w:szCs w:val="21"/>
        </w:rPr>
      </w:pPr>
      <w:r>
        <w:rPr>
          <w:rFonts w:hint="eastAsia"/>
          <w:sz w:val="21"/>
          <w:szCs w:val="21"/>
        </w:rPr>
        <w:t>医学英语的教学目标是帮助学生打下比较扎实的医学英语语言基础，掌握良好的语言学习方法，增强自主学习能力，提高综合文化素养，使他们具有较强的英语综合应用能力，特别是学术交流能力，能有效地进行口头和书面的信息交流，以适应社会和医学事业的发展。</w:t>
      </w:r>
    </w:p>
    <w:p w:rsidR="003717A0" w:rsidRDefault="003717A0">
      <w:pPr>
        <w:pStyle w:val="af0"/>
        <w:ind w:firstLine="420"/>
        <w:rPr>
          <w:sz w:val="21"/>
          <w:szCs w:val="21"/>
        </w:rPr>
      </w:pPr>
      <w:r>
        <w:rPr>
          <w:sz w:val="21"/>
          <w:szCs w:val="21"/>
        </w:rPr>
        <w:t>1</w:t>
      </w:r>
      <w:r>
        <w:rPr>
          <w:rFonts w:hint="eastAsia"/>
          <w:sz w:val="21"/>
          <w:szCs w:val="21"/>
        </w:rPr>
        <w:t>），词汇</w:t>
      </w:r>
    </w:p>
    <w:p w:rsidR="003717A0" w:rsidRDefault="003717A0">
      <w:pPr>
        <w:pStyle w:val="af0"/>
        <w:ind w:firstLine="420"/>
        <w:rPr>
          <w:sz w:val="21"/>
          <w:szCs w:val="21"/>
        </w:rPr>
      </w:pPr>
      <w:r>
        <w:rPr>
          <w:rFonts w:hint="eastAsia"/>
          <w:sz w:val="21"/>
          <w:szCs w:val="21"/>
        </w:rPr>
        <w:t>了解有关哮喘、急性上呼吸道出血和胰腺移植等方面的</w:t>
      </w:r>
      <w:r>
        <w:rPr>
          <w:sz w:val="21"/>
          <w:szCs w:val="21"/>
        </w:rPr>
        <w:t>400</w:t>
      </w:r>
      <w:r>
        <w:rPr>
          <w:rFonts w:hint="eastAsia"/>
          <w:sz w:val="21"/>
          <w:szCs w:val="21"/>
        </w:rPr>
        <w:t>个单词和词组。了解相关专业的医学词根</w:t>
      </w:r>
      <w:r>
        <w:rPr>
          <w:sz w:val="21"/>
          <w:szCs w:val="21"/>
        </w:rPr>
        <w:t>100</w:t>
      </w:r>
      <w:r>
        <w:rPr>
          <w:rFonts w:hint="eastAsia"/>
          <w:sz w:val="21"/>
          <w:szCs w:val="21"/>
        </w:rPr>
        <w:t>个。熟练掌握医学术语</w:t>
      </w:r>
      <w:r>
        <w:rPr>
          <w:sz w:val="21"/>
          <w:szCs w:val="21"/>
        </w:rPr>
        <w:t>200</w:t>
      </w:r>
      <w:r>
        <w:rPr>
          <w:rFonts w:hint="eastAsia"/>
          <w:sz w:val="21"/>
          <w:szCs w:val="21"/>
        </w:rPr>
        <w:t>个，拓展性了解医学术语</w:t>
      </w:r>
      <w:r>
        <w:rPr>
          <w:sz w:val="21"/>
          <w:szCs w:val="21"/>
        </w:rPr>
        <w:t>300</w:t>
      </w:r>
      <w:r>
        <w:rPr>
          <w:rFonts w:hint="eastAsia"/>
          <w:sz w:val="21"/>
          <w:szCs w:val="21"/>
        </w:rPr>
        <w:t>个。能在口头和书面上比较熟练的运用相关词汇。</w:t>
      </w:r>
    </w:p>
    <w:p w:rsidR="003717A0" w:rsidRDefault="003717A0">
      <w:pPr>
        <w:pStyle w:val="af0"/>
        <w:ind w:firstLine="420"/>
        <w:rPr>
          <w:sz w:val="21"/>
          <w:szCs w:val="21"/>
        </w:rPr>
      </w:pPr>
      <w:r>
        <w:rPr>
          <w:sz w:val="21"/>
          <w:szCs w:val="21"/>
        </w:rPr>
        <w:t>2</w:t>
      </w:r>
      <w:r>
        <w:rPr>
          <w:rFonts w:hint="eastAsia"/>
          <w:sz w:val="21"/>
          <w:szCs w:val="21"/>
        </w:rPr>
        <w:t>），听力理解能力</w:t>
      </w:r>
    </w:p>
    <w:p w:rsidR="003717A0" w:rsidRDefault="003717A0">
      <w:pPr>
        <w:pStyle w:val="af0"/>
        <w:ind w:firstLine="420"/>
        <w:rPr>
          <w:sz w:val="21"/>
          <w:szCs w:val="21"/>
        </w:rPr>
      </w:pPr>
      <w:r>
        <w:rPr>
          <w:rFonts w:hint="eastAsia"/>
          <w:sz w:val="21"/>
          <w:szCs w:val="21"/>
        </w:rPr>
        <w:t>能轻松听懂英语授课，学完相关系统后能大概听懂相关视频材料，掌握其中大意，抓住要点和重点细节。领会讲话者的观点和态度，并能进行基本分析、推理和判断。能听懂本专业相关的学术讲座，并掌握其中心大意，抓住要点。</w:t>
      </w:r>
    </w:p>
    <w:p w:rsidR="003717A0" w:rsidRDefault="003717A0">
      <w:pPr>
        <w:pStyle w:val="af0"/>
        <w:ind w:firstLine="420"/>
        <w:rPr>
          <w:sz w:val="21"/>
          <w:szCs w:val="21"/>
        </w:rPr>
      </w:pPr>
      <w:r>
        <w:rPr>
          <w:sz w:val="21"/>
          <w:szCs w:val="21"/>
        </w:rPr>
        <w:t>3</w:t>
      </w:r>
      <w:r>
        <w:rPr>
          <w:rFonts w:hint="eastAsia"/>
          <w:sz w:val="21"/>
          <w:szCs w:val="21"/>
        </w:rPr>
        <w:t>），口语表达能力</w:t>
      </w:r>
    </w:p>
    <w:p w:rsidR="003717A0" w:rsidRDefault="003717A0">
      <w:pPr>
        <w:pStyle w:val="af0"/>
        <w:ind w:firstLine="420"/>
        <w:rPr>
          <w:sz w:val="21"/>
          <w:szCs w:val="21"/>
        </w:rPr>
      </w:pPr>
      <w:r>
        <w:rPr>
          <w:rFonts w:hint="eastAsia"/>
          <w:sz w:val="21"/>
          <w:szCs w:val="21"/>
        </w:rPr>
        <w:t>能在学习过程中流利地进行日常英语交流，并就某一主题进行科普性讨论。能基本表达个人意见、情感、观点等和基本陈述事实、理由等，表达清楚，语言语调基本正确。能在学完相关章节后就某一小话题经充分准备后在课堂做汇报性总结。能就专业话题较为流利地准确地进行对话或讨论，能用简练的语言概括较长的文本或讲话。能复述学术报告内容，语言表达通顺达意。</w:t>
      </w:r>
    </w:p>
    <w:p w:rsidR="003717A0" w:rsidRDefault="003717A0">
      <w:pPr>
        <w:pStyle w:val="af0"/>
        <w:ind w:firstLineChars="200" w:firstLine="420"/>
        <w:rPr>
          <w:sz w:val="21"/>
          <w:szCs w:val="21"/>
        </w:rPr>
      </w:pPr>
      <w:r>
        <w:rPr>
          <w:sz w:val="21"/>
          <w:szCs w:val="21"/>
        </w:rPr>
        <w:t>4</w:t>
      </w:r>
      <w:r>
        <w:rPr>
          <w:rFonts w:hint="eastAsia"/>
          <w:sz w:val="21"/>
          <w:szCs w:val="21"/>
        </w:rPr>
        <w:t>），阅读理解能力</w:t>
      </w:r>
    </w:p>
    <w:p w:rsidR="003717A0" w:rsidRDefault="003717A0">
      <w:pPr>
        <w:pStyle w:val="af0"/>
        <w:ind w:firstLineChars="200" w:firstLine="420"/>
        <w:rPr>
          <w:sz w:val="21"/>
          <w:szCs w:val="21"/>
        </w:rPr>
      </w:pPr>
      <w:r>
        <w:rPr>
          <w:rFonts w:hint="eastAsia"/>
          <w:sz w:val="21"/>
          <w:szCs w:val="21"/>
        </w:rPr>
        <w:t>能读懂中等难度的医学科普性题材的英语文章，在学完相关系统后借助字典进行相关题材的专业阅读课外，能抓住主要事实和有关细节。能够基本读懂本人专业方面的文献综述性文章，并能正确理解中心大意，抓住主要事实和有关细节。能读懂医学学术论文，学术报告，了解大意。</w:t>
      </w:r>
    </w:p>
    <w:p w:rsidR="003717A0" w:rsidRDefault="003717A0">
      <w:pPr>
        <w:pStyle w:val="af0"/>
        <w:ind w:firstLine="420"/>
        <w:rPr>
          <w:sz w:val="21"/>
          <w:szCs w:val="21"/>
        </w:rPr>
      </w:pPr>
      <w:r>
        <w:rPr>
          <w:sz w:val="21"/>
          <w:szCs w:val="21"/>
        </w:rPr>
        <w:t>5</w:t>
      </w:r>
      <w:r>
        <w:rPr>
          <w:rFonts w:hint="eastAsia"/>
          <w:sz w:val="21"/>
          <w:szCs w:val="21"/>
        </w:rPr>
        <w:t>），书面表达能力</w:t>
      </w:r>
    </w:p>
    <w:p w:rsidR="003717A0" w:rsidRDefault="003717A0">
      <w:pPr>
        <w:pStyle w:val="af0"/>
        <w:ind w:firstLine="420"/>
        <w:rPr>
          <w:sz w:val="21"/>
          <w:szCs w:val="21"/>
        </w:rPr>
      </w:pPr>
      <w:r>
        <w:rPr>
          <w:rFonts w:hint="eastAsia"/>
          <w:sz w:val="21"/>
          <w:szCs w:val="21"/>
        </w:rPr>
        <w:t>能写出科普医学类材料的摘要或笼统介绍一般疾病，内容完整，用词恰当，意思表达清楚，无重大语言错误，并能使用恰当的写作技巧。能借助参考资料写出与本专业相关的报告，结构基本清</w:t>
      </w:r>
      <w:r>
        <w:rPr>
          <w:rFonts w:hint="eastAsia"/>
          <w:sz w:val="21"/>
          <w:szCs w:val="21"/>
        </w:rPr>
        <w:lastRenderedPageBreak/>
        <w:t>晰，内容较为丰富，内容完整，调理清楚，文理通顺。实践医学英语小论文的写作，结构清楚，调理清晰，内容完整，格式正确。</w:t>
      </w:r>
    </w:p>
    <w:p w:rsidR="003717A0" w:rsidRDefault="003717A0">
      <w:pPr>
        <w:pStyle w:val="af0"/>
        <w:ind w:firstLine="420"/>
        <w:rPr>
          <w:sz w:val="21"/>
          <w:szCs w:val="21"/>
        </w:rPr>
      </w:pPr>
      <w:r>
        <w:rPr>
          <w:sz w:val="21"/>
          <w:szCs w:val="21"/>
        </w:rPr>
        <w:t>6</w:t>
      </w:r>
      <w:r>
        <w:rPr>
          <w:rFonts w:hint="eastAsia"/>
          <w:sz w:val="21"/>
          <w:szCs w:val="21"/>
        </w:rPr>
        <w:t>），翻译能力</w:t>
      </w:r>
    </w:p>
    <w:p w:rsidR="003717A0" w:rsidRDefault="003717A0">
      <w:pPr>
        <w:pStyle w:val="af0"/>
        <w:ind w:firstLine="420"/>
        <w:rPr>
          <w:sz w:val="21"/>
          <w:szCs w:val="21"/>
        </w:rPr>
      </w:pPr>
      <w:r>
        <w:rPr>
          <w:rFonts w:hint="eastAsia"/>
          <w:sz w:val="21"/>
          <w:szCs w:val="21"/>
        </w:rPr>
        <w:t>能借助字典对科普类医学题材熟悉的文章进行英汉互译，译文基本流畅，基本忠实原文，并能在翻译时使用适当的翻译技巧。能借助字典基本将本专业的论文译成英文，理解基本正确，译文基本通顺、达意、无重大语言错误。</w:t>
      </w:r>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三、教学内容</w:t>
      </w:r>
    </w:p>
    <w:p w:rsidR="003717A0" w:rsidRDefault="003717A0">
      <w:pPr>
        <w:pStyle w:val="af"/>
        <w:ind w:left="0" w:right="480" w:firstLineChars="0" w:firstLine="0"/>
        <w:rPr>
          <w:szCs w:val="21"/>
        </w:rPr>
      </w:pPr>
      <w:r>
        <w:rPr>
          <w:rFonts w:hint="eastAsia"/>
          <w:b/>
          <w:bCs/>
          <w:szCs w:val="21"/>
        </w:rPr>
        <w:t>医学英语一教学内容</w:t>
      </w:r>
      <w:r>
        <w:rPr>
          <w:szCs w:val="21"/>
        </w:rPr>
        <w:t xml:space="preserve"> </w:t>
      </w:r>
      <w:r>
        <w:rPr>
          <w:rFonts w:hint="eastAsia"/>
          <w:szCs w:val="21"/>
        </w:rPr>
        <w:t>《</w:t>
      </w:r>
      <w:r>
        <w:rPr>
          <w:szCs w:val="21"/>
        </w:rPr>
        <w:t>21</w:t>
      </w:r>
      <w:r>
        <w:rPr>
          <w:rFonts w:hint="eastAsia"/>
          <w:szCs w:val="21"/>
        </w:rPr>
        <w:t>世纪大学医学英语</w:t>
      </w:r>
      <w:r>
        <w:rPr>
          <w:szCs w:val="21"/>
        </w:rPr>
        <w:t>--</w:t>
      </w:r>
      <w:r>
        <w:rPr>
          <w:rFonts w:hint="eastAsia"/>
          <w:szCs w:val="21"/>
        </w:rPr>
        <w:t>基础医学英语》主编</w:t>
      </w:r>
      <w:r>
        <w:rPr>
          <w:szCs w:val="21"/>
        </w:rPr>
        <w:t xml:space="preserve"> </w:t>
      </w:r>
      <w:r>
        <w:rPr>
          <w:rFonts w:hint="eastAsia"/>
          <w:szCs w:val="21"/>
        </w:rPr>
        <w:t>高宝坤</w:t>
      </w:r>
      <w:r>
        <w:rPr>
          <w:szCs w:val="21"/>
        </w:rPr>
        <w:t xml:space="preserve"> </w:t>
      </w:r>
      <w:r>
        <w:rPr>
          <w:rFonts w:hint="eastAsia"/>
          <w:szCs w:val="21"/>
        </w:rPr>
        <w:t>谢崇国</w:t>
      </w:r>
      <w:r>
        <w:rPr>
          <w:szCs w:val="21"/>
        </w:rPr>
        <w:t xml:space="preserve"> </w:t>
      </w:r>
      <w:r>
        <w:rPr>
          <w:rFonts w:hint="eastAsia"/>
          <w:szCs w:val="21"/>
        </w:rPr>
        <w:t>高等教育出版社</w:t>
      </w:r>
    </w:p>
    <w:p w:rsidR="003717A0" w:rsidRDefault="003717A0">
      <w:pPr>
        <w:pStyle w:val="af"/>
        <w:numPr>
          <w:ilvl w:val="0"/>
          <w:numId w:val="221"/>
        </w:numPr>
        <w:ind w:left="420" w:right="480" w:hanging="420"/>
        <w:rPr>
          <w:szCs w:val="21"/>
        </w:rPr>
      </w:pPr>
      <w:r>
        <w:rPr>
          <w:szCs w:val="21"/>
        </w:rPr>
        <w:t>Lecture--General Introduction of Medical English</w:t>
      </w:r>
    </w:p>
    <w:p w:rsidR="003717A0" w:rsidRDefault="003717A0">
      <w:pPr>
        <w:pStyle w:val="af"/>
        <w:numPr>
          <w:ilvl w:val="0"/>
          <w:numId w:val="221"/>
        </w:numPr>
        <w:ind w:left="420" w:right="480" w:hanging="420"/>
        <w:rPr>
          <w:szCs w:val="21"/>
        </w:rPr>
      </w:pPr>
      <w:r>
        <w:rPr>
          <w:szCs w:val="21"/>
        </w:rPr>
        <w:t xml:space="preserve">Unit 1: Passage A: The Skeletal System </w:t>
      </w:r>
    </w:p>
    <w:p w:rsidR="003717A0" w:rsidRDefault="003717A0">
      <w:pPr>
        <w:pStyle w:val="af"/>
        <w:ind w:left="0" w:right="480" w:firstLineChars="0" w:firstLine="0"/>
        <w:rPr>
          <w:szCs w:val="21"/>
        </w:rPr>
      </w:pPr>
      <w:r>
        <w:rPr>
          <w:szCs w:val="21"/>
        </w:rPr>
        <w:t xml:space="preserve">          Passage B: Amplication of DNA by Polymerase Chain Reaction                     </w:t>
      </w:r>
    </w:p>
    <w:p w:rsidR="003717A0" w:rsidRDefault="003717A0">
      <w:pPr>
        <w:pStyle w:val="af"/>
        <w:numPr>
          <w:ilvl w:val="0"/>
          <w:numId w:val="221"/>
        </w:numPr>
        <w:ind w:right="480" w:firstLineChars="0"/>
        <w:rPr>
          <w:szCs w:val="21"/>
        </w:rPr>
      </w:pPr>
      <w:r>
        <w:rPr>
          <w:szCs w:val="21"/>
        </w:rPr>
        <w:t xml:space="preserve">Unit 2: Passage A: The Brain and its Function </w:t>
      </w:r>
    </w:p>
    <w:p w:rsidR="003717A0" w:rsidRDefault="003717A0">
      <w:pPr>
        <w:pStyle w:val="af"/>
        <w:ind w:left="360" w:right="480" w:firstLineChars="0" w:firstLine="0"/>
        <w:rPr>
          <w:szCs w:val="21"/>
        </w:rPr>
      </w:pPr>
      <w:r>
        <w:rPr>
          <w:szCs w:val="21"/>
        </w:rPr>
        <w:t xml:space="preserve">      Passage B: Other Parts of the Nervous System</w:t>
      </w:r>
    </w:p>
    <w:p w:rsidR="003717A0" w:rsidRDefault="003717A0">
      <w:pPr>
        <w:pStyle w:val="af"/>
        <w:numPr>
          <w:ilvl w:val="0"/>
          <w:numId w:val="221"/>
        </w:numPr>
        <w:ind w:right="480" w:firstLineChars="0"/>
        <w:rPr>
          <w:szCs w:val="21"/>
        </w:rPr>
      </w:pPr>
      <w:r>
        <w:rPr>
          <w:szCs w:val="21"/>
        </w:rPr>
        <w:t>Unit 3: Passage A: Blood</w:t>
      </w:r>
    </w:p>
    <w:p w:rsidR="003717A0" w:rsidRDefault="003717A0">
      <w:pPr>
        <w:pStyle w:val="af"/>
        <w:ind w:left="360" w:right="480" w:firstLineChars="0" w:firstLine="0"/>
        <w:rPr>
          <w:szCs w:val="21"/>
        </w:rPr>
      </w:pPr>
      <w:r>
        <w:rPr>
          <w:szCs w:val="21"/>
        </w:rPr>
        <w:t xml:space="preserve">      Passage B: General Principle of Physical Examination</w:t>
      </w:r>
    </w:p>
    <w:p w:rsidR="003717A0" w:rsidRDefault="003717A0">
      <w:pPr>
        <w:pStyle w:val="af"/>
        <w:numPr>
          <w:ilvl w:val="0"/>
          <w:numId w:val="221"/>
        </w:numPr>
        <w:ind w:right="480" w:firstLineChars="0"/>
        <w:rPr>
          <w:szCs w:val="21"/>
        </w:rPr>
      </w:pPr>
      <w:r>
        <w:rPr>
          <w:szCs w:val="21"/>
        </w:rPr>
        <w:t>Unit 4: Passage A:The Endocrine System</w:t>
      </w:r>
    </w:p>
    <w:p w:rsidR="003717A0" w:rsidRDefault="003717A0">
      <w:pPr>
        <w:pStyle w:val="af"/>
        <w:ind w:left="360" w:right="480" w:firstLineChars="0" w:firstLine="0"/>
        <w:rPr>
          <w:szCs w:val="21"/>
        </w:rPr>
      </w:pPr>
      <w:r>
        <w:rPr>
          <w:szCs w:val="21"/>
        </w:rPr>
        <w:t xml:space="preserve">      Passage B: Action and Secretion of Hormone </w:t>
      </w:r>
    </w:p>
    <w:p w:rsidR="003717A0" w:rsidRDefault="003717A0">
      <w:pPr>
        <w:pStyle w:val="af"/>
        <w:numPr>
          <w:ilvl w:val="0"/>
          <w:numId w:val="221"/>
        </w:numPr>
        <w:ind w:right="480" w:firstLineChars="0"/>
        <w:rPr>
          <w:szCs w:val="21"/>
        </w:rPr>
      </w:pPr>
      <w:r>
        <w:rPr>
          <w:szCs w:val="21"/>
        </w:rPr>
        <w:t>Unit 5: Passage A: The Digestive System</w:t>
      </w:r>
    </w:p>
    <w:p w:rsidR="003717A0" w:rsidRDefault="003717A0">
      <w:pPr>
        <w:pStyle w:val="af"/>
        <w:ind w:left="360" w:right="480" w:firstLineChars="0" w:firstLine="0"/>
        <w:rPr>
          <w:szCs w:val="21"/>
        </w:rPr>
      </w:pPr>
      <w:r>
        <w:rPr>
          <w:szCs w:val="21"/>
        </w:rPr>
        <w:t xml:space="preserve">      Passage B: Clinical and Pathological Conditions of the Digestive System</w:t>
      </w:r>
    </w:p>
    <w:p w:rsidR="003717A0" w:rsidRDefault="003717A0">
      <w:pPr>
        <w:pStyle w:val="af"/>
        <w:numPr>
          <w:ilvl w:val="0"/>
          <w:numId w:val="221"/>
        </w:numPr>
        <w:ind w:right="480" w:firstLineChars="0"/>
        <w:rPr>
          <w:szCs w:val="21"/>
        </w:rPr>
      </w:pPr>
      <w:r>
        <w:rPr>
          <w:szCs w:val="21"/>
        </w:rPr>
        <w:t>Unit 6:Passage A:Urine Formation</w:t>
      </w:r>
    </w:p>
    <w:p w:rsidR="003717A0" w:rsidRDefault="003717A0">
      <w:pPr>
        <w:pStyle w:val="af"/>
        <w:ind w:left="0" w:right="480" w:firstLineChars="0" w:firstLine="0"/>
        <w:rPr>
          <w:szCs w:val="21"/>
        </w:rPr>
      </w:pPr>
      <w:r>
        <w:rPr>
          <w:szCs w:val="21"/>
        </w:rPr>
        <w:t xml:space="preserve">         Passage B: Pathophysiology of the Kidneys </w:t>
      </w:r>
    </w:p>
    <w:p w:rsidR="003717A0" w:rsidRDefault="003717A0">
      <w:pPr>
        <w:pStyle w:val="af"/>
        <w:ind w:left="0" w:right="480" w:firstLineChars="0" w:firstLine="0"/>
        <w:rPr>
          <w:szCs w:val="21"/>
        </w:rPr>
      </w:pPr>
    </w:p>
    <w:p w:rsidR="003717A0" w:rsidRDefault="003717A0">
      <w:pPr>
        <w:pStyle w:val="af"/>
        <w:ind w:left="0" w:right="480" w:firstLineChars="0" w:firstLine="0"/>
        <w:rPr>
          <w:szCs w:val="21"/>
        </w:rPr>
      </w:pPr>
      <w:r>
        <w:rPr>
          <w:rFonts w:hint="eastAsia"/>
          <w:b/>
          <w:bCs/>
          <w:szCs w:val="21"/>
        </w:rPr>
        <w:t>医学英语二教学内容</w:t>
      </w:r>
      <w:r>
        <w:rPr>
          <w:rFonts w:hint="eastAsia"/>
          <w:szCs w:val="21"/>
        </w:rPr>
        <w:t>《</w:t>
      </w:r>
      <w:r>
        <w:rPr>
          <w:szCs w:val="21"/>
        </w:rPr>
        <w:t>21</w:t>
      </w:r>
      <w:r>
        <w:rPr>
          <w:rFonts w:hint="eastAsia"/>
          <w:szCs w:val="21"/>
        </w:rPr>
        <w:t>世纪大学医学英语</w:t>
      </w:r>
      <w:r>
        <w:rPr>
          <w:szCs w:val="21"/>
        </w:rPr>
        <w:t>--</w:t>
      </w:r>
      <w:r>
        <w:rPr>
          <w:rFonts w:hint="eastAsia"/>
          <w:szCs w:val="21"/>
        </w:rPr>
        <w:t>基础医学英语》主编</w:t>
      </w:r>
      <w:r>
        <w:rPr>
          <w:szCs w:val="21"/>
        </w:rPr>
        <w:t xml:space="preserve"> </w:t>
      </w:r>
      <w:r>
        <w:rPr>
          <w:rFonts w:hint="eastAsia"/>
          <w:szCs w:val="21"/>
        </w:rPr>
        <w:t>高宝坤</w:t>
      </w:r>
      <w:r>
        <w:rPr>
          <w:szCs w:val="21"/>
        </w:rPr>
        <w:t xml:space="preserve"> </w:t>
      </w:r>
      <w:r>
        <w:rPr>
          <w:rFonts w:hint="eastAsia"/>
          <w:szCs w:val="21"/>
        </w:rPr>
        <w:t>谢崇国</w:t>
      </w:r>
      <w:r>
        <w:rPr>
          <w:szCs w:val="21"/>
        </w:rPr>
        <w:t xml:space="preserve"> </w:t>
      </w:r>
      <w:r>
        <w:rPr>
          <w:rFonts w:hint="eastAsia"/>
          <w:szCs w:val="21"/>
        </w:rPr>
        <w:t>高等教育出版社</w:t>
      </w:r>
    </w:p>
    <w:p w:rsidR="003717A0" w:rsidRDefault="003717A0">
      <w:pPr>
        <w:pStyle w:val="af"/>
        <w:ind w:left="0" w:right="480" w:firstLineChars="0" w:firstLine="0"/>
        <w:rPr>
          <w:b/>
          <w:bCs/>
          <w:szCs w:val="21"/>
        </w:rPr>
      </w:pPr>
    </w:p>
    <w:p w:rsidR="003717A0" w:rsidRDefault="003717A0">
      <w:pPr>
        <w:pStyle w:val="af"/>
        <w:ind w:left="0" w:right="480" w:firstLineChars="0" w:firstLine="0"/>
        <w:rPr>
          <w:szCs w:val="21"/>
        </w:rPr>
      </w:pPr>
      <w:r>
        <w:rPr>
          <w:szCs w:val="21"/>
        </w:rPr>
        <w:t>1. Unit 8: Passage A: The Cardiovascular System</w:t>
      </w:r>
    </w:p>
    <w:p w:rsidR="003717A0" w:rsidRDefault="003717A0">
      <w:pPr>
        <w:pStyle w:val="af"/>
        <w:ind w:leftChars="-200" w:left="-420" w:right="480" w:firstLineChars="0" w:firstLine="0"/>
        <w:rPr>
          <w:szCs w:val="21"/>
        </w:rPr>
      </w:pPr>
      <w:r>
        <w:rPr>
          <w:szCs w:val="21"/>
        </w:rPr>
        <w:t xml:space="preserve">             Passage B: Factors Determining Arterial Pressure and Hypertension</w:t>
      </w:r>
    </w:p>
    <w:p w:rsidR="003717A0" w:rsidRDefault="003717A0">
      <w:pPr>
        <w:pStyle w:val="af"/>
        <w:ind w:leftChars="-200" w:left="-420" w:right="480" w:firstLineChars="200" w:firstLine="420"/>
        <w:rPr>
          <w:szCs w:val="21"/>
        </w:rPr>
      </w:pPr>
      <w:r>
        <w:rPr>
          <w:szCs w:val="21"/>
        </w:rPr>
        <w:t>2. Unit 9: Passage A: Respiratory System (I)</w:t>
      </w:r>
    </w:p>
    <w:p w:rsidR="003717A0" w:rsidRDefault="003717A0">
      <w:pPr>
        <w:pStyle w:val="af"/>
        <w:ind w:leftChars="-200" w:left="-420" w:right="480" w:firstLineChars="200" w:firstLine="420"/>
        <w:rPr>
          <w:szCs w:val="21"/>
        </w:rPr>
      </w:pPr>
      <w:r>
        <w:rPr>
          <w:szCs w:val="21"/>
        </w:rPr>
        <w:t xml:space="preserve">        Passage B: Respiratory System (II)</w:t>
      </w:r>
    </w:p>
    <w:p w:rsidR="003717A0" w:rsidRDefault="003717A0">
      <w:pPr>
        <w:pStyle w:val="af"/>
        <w:ind w:left="0" w:right="480" w:firstLineChars="0" w:firstLine="0"/>
        <w:rPr>
          <w:szCs w:val="21"/>
        </w:rPr>
      </w:pPr>
      <w:r>
        <w:rPr>
          <w:szCs w:val="21"/>
        </w:rPr>
        <w:t>3. Unit 10: Passage A: Tumor</w:t>
      </w:r>
    </w:p>
    <w:p w:rsidR="003717A0" w:rsidRDefault="003717A0">
      <w:pPr>
        <w:pStyle w:val="af"/>
        <w:ind w:left="0" w:right="480" w:firstLineChars="0" w:firstLine="0"/>
        <w:rPr>
          <w:szCs w:val="21"/>
        </w:rPr>
      </w:pPr>
      <w:r>
        <w:rPr>
          <w:szCs w:val="21"/>
        </w:rPr>
        <w:t xml:space="preserve">          Passage B: Cancer</w:t>
      </w:r>
    </w:p>
    <w:p w:rsidR="003717A0" w:rsidRDefault="003717A0">
      <w:pPr>
        <w:pStyle w:val="af"/>
        <w:numPr>
          <w:ilvl w:val="0"/>
          <w:numId w:val="222"/>
        </w:numPr>
        <w:ind w:leftChars="-200" w:left="-420" w:right="480" w:firstLineChars="200" w:firstLine="420"/>
        <w:rPr>
          <w:szCs w:val="21"/>
        </w:rPr>
      </w:pPr>
      <w:r>
        <w:rPr>
          <w:szCs w:val="21"/>
        </w:rPr>
        <w:t>Unit 11: Passage A: Cell Death</w:t>
      </w:r>
    </w:p>
    <w:p w:rsidR="003717A0" w:rsidRDefault="003717A0">
      <w:pPr>
        <w:pStyle w:val="af"/>
        <w:ind w:left="0" w:right="480" w:firstLineChars="0" w:firstLine="0"/>
        <w:rPr>
          <w:szCs w:val="21"/>
        </w:rPr>
      </w:pPr>
      <w:r>
        <w:rPr>
          <w:szCs w:val="21"/>
        </w:rPr>
        <w:t xml:space="preserve">          Passage B: Will There Be “Carbon Copy” People?</w:t>
      </w:r>
    </w:p>
    <w:p w:rsidR="003717A0" w:rsidRDefault="003717A0">
      <w:pPr>
        <w:pStyle w:val="af"/>
        <w:numPr>
          <w:ilvl w:val="0"/>
          <w:numId w:val="222"/>
        </w:numPr>
        <w:ind w:leftChars="-200" w:left="-420" w:right="480" w:firstLineChars="200" w:firstLine="420"/>
        <w:rPr>
          <w:szCs w:val="21"/>
        </w:rPr>
      </w:pPr>
      <w:r>
        <w:rPr>
          <w:szCs w:val="21"/>
        </w:rPr>
        <w:t>Unit 14: Passage A: Definition and Nature of Inflammation</w:t>
      </w:r>
    </w:p>
    <w:p w:rsidR="003717A0" w:rsidRDefault="003717A0">
      <w:pPr>
        <w:pStyle w:val="af"/>
        <w:ind w:left="0" w:right="480" w:firstLineChars="0" w:firstLine="0"/>
        <w:rPr>
          <w:szCs w:val="21"/>
        </w:rPr>
      </w:pPr>
      <w:r>
        <w:rPr>
          <w:szCs w:val="21"/>
        </w:rPr>
        <w:t xml:space="preserve">          Passage B: The Control of Microorganisms by Chemical Agents</w:t>
      </w:r>
    </w:p>
    <w:p w:rsidR="003717A0" w:rsidRDefault="003717A0">
      <w:pPr>
        <w:pStyle w:val="af"/>
        <w:numPr>
          <w:ilvl w:val="0"/>
          <w:numId w:val="222"/>
        </w:numPr>
        <w:ind w:leftChars="-200" w:left="-420" w:right="480" w:firstLineChars="200" w:firstLine="420"/>
        <w:rPr>
          <w:szCs w:val="21"/>
        </w:rPr>
      </w:pPr>
      <w:r>
        <w:rPr>
          <w:szCs w:val="21"/>
        </w:rPr>
        <w:t>Unit 15: Passage A: Pathology</w:t>
      </w:r>
    </w:p>
    <w:p w:rsidR="003717A0" w:rsidRDefault="003717A0">
      <w:pPr>
        <w:pStyle w:val="af"/>
        <w:ind w:left="0" w:right="480" w:firstLineChars="0" w:firstLine="0"/>
        <w:rPr>
          <w:szCs w:val="21"/>
        </w:rPr>
      </w:pPr>
      <w:r>
        <w:rPr>
          <w:szCs w:val="21"/>
        </w:rPr>
        <w:t xml:space="preserve">          Passage B: Classification of Disease</w:t>
      </w:r>
    </w:p>
    <w:p w:rsidR="003717A0" w:rsidRDefault="003717A0">
      <w:pPr>
        <w:pStyle w:val="af"/>
        <w:numPr>
          <w:ilvl w:val="0"/>
          <w:numId w:val="222"/>
        </w:numPr>
        <w:ind w:leftChars="-200" w:left="-420" w:right="480" w:firstLineChars="200" w:firstLine="420"/>
        <w:rPr>
          <w:szCs w:val="21"/>
        </w:rPr>
      </w:pPr>
      <w:r>
        <w:rPr>
          <w:szCs w:val="21"/>
        </w:rPr>
        <w:t xml:space="preserve">Unit 16: Passage A: Pharmacodynamics and Pharmacokinetics </w:t>
      </w:r>
    </w:p>
    <w:p w:rsidR="003717A0" w:rsidRDefault="003717A0">
      <w:pPr>
        <w:pStyle w:val="af"/>
        <w:ind w:left="0" w:right="480" w:firstLineChars="0" w:firstLine="0"/>
        <w:rPr>
          <w:szCs w:val="21"/>
        </w:rPr>
      </w:pPr>
      <w:r>
        <w:rPr>
          <w:szCs w:val="21"/>
        </w:rPr>
        <w:t xml:space="preserve">          Passage B: Tumor Pathology</w:t>
      </w:r>
    </w:p>
    <w:p w:rsidR="003717A0" w:rsidRDefault="003717A0">
      <w:pPr>
        <w:pStyle w:val="af"/>
        <w:ind w:left="0" w:right="480" w:firstLineChars="0" w:firstLine="0"/>
        <w:rPr>
          <w:b/>
          <w:bCs/>
          <w:szCs w:val="21"/>
        </w:rPr>
      </w:pPr>
      <w:r>
        <w:rPr>
          <w:rFonts w:hint="eastAsia"/>
          <w:b/>
          <w:bCs/>
          <w:szCs w:val="21"/>
        </w:rPr>
        <w:t>医学英语三的教学内容</w:t>
      </w:r>
    </w:p>
    <w:p w:rsidR="003717A0" w:rsidRDefault="003717A0">
      <w:pPr>
        <w:pStyle w:val="af"/>
        <w:ind w:left="0" w:right="480" w:firstLineChars="0" w:firstLine="0"/>
        <w:rPr>
          <w:szCs w:val="21"/>
        </w:rPr>
      </w:pPr>
      <w:r>
        <w:rPr>
          <w:szCs w:val="21"/>
        </w:rPr>
        <w:lastRenderedPageBreak/>
        <w:t>2011-2015</w:t>
      </w:r>
      <w:r>
        <w:rPr>
          <w:rFonts w:hint="eastAsia"/>
          <w:szCs w:val="21"/>
        </w:rPr>
        <w:t>学年医学英语三教学内容</w:t>
      </w:r>
      <w:r>
        <w:rPr>
          <w:szCs w:val="21"/>
        </w:rPr>
        <w:t xml:space="preserve">  (21</w:t>
      </w:r>
      <w:r>
        <w:rPr>
          <w:rFonts w:hint="eastAsia"/>
          <w:szCs w:val="21"/>
        </w:rPr>
        <w:t>世纪大学医学英语</w:t>
      </w:r>
      <w:r>
        <w:rPr>
          <w:szCs w:val="21"/>
        </w:rPr>
        <w:t>--</w:t>
      </w:r>
      <w:r>
        <w:rPr>
          <w:rFonts w:hint="eastAsia"/>
          <w:szCs w:val="21"/>
        </w:rPr>
        <w:t>临床医学英语，主编董丽明，刘振清，高等教育出版社）</w:t>
      </w:r>
    </w:p>
    <w:p w:rsidR="003717A0" w:rsidRDefault="003717A0">
      <w:pPr>
        <w:pStyle w:val="af"/>
        <w:numPr>
          <w:ilvl w:val="0"/>
          <w:numId w:val="223"/>
        </w:numPr>
        <w:ind w:left="0" w:right="480" w:firstLineChars="0" w:firstLine="0"/>
        <w:rPr>
          <w:szCs w:val="21"/>
        </w:rPr>
      </w:pPr>
      <w:r>
        <w:rPr>
          <w:szCs w:val="21"/>
        </w:rPr>
        <w:t>Unit 3: Text A: Cardiac Catheterization and Interventional Procedures: Historical Background(6</w:t>
      </w:r>
      <w:r>
        <w:rPr>
          <w:rFonts w:hint="eastAsia"/>
          <w:szCs w:val="21"/>
        </w:rPr>
        <w:t>学时）</w:t>
      </w:r>
    </w:p>
    <w:p w:rsidR="003717A0" w:rsidRDefault="003717A0">
      <w:pPr>
        <w:pStyle w:val="af"/>
        <w:ind w:left="0" w:right="480" w:firstLineChars="0" w:firstLine="0"/>
        <w:rPr>
          <w:szCs w:val="21"/>
        </w:rPr>
      </w:pPr>
      <w:r>
        <w:rPr>
          <w:szCs w:val="21"/>
        </w:rPr>
        <w:t xml:space="preserve">         Medical words, Expressions</w:t>
      </w:r>
    </w:p>
    <w:p w:rsidR="003717A0" w:rsidRDefault="003717A0">
      <w:pPr>
        <w:pStyle w:val="af"/>
        <w:ind w:left="0" w:right="480" w:firstLineChars="0" w:firstLine="0"/>
        <w:rPr>
          <w:szCs w:val="21"/>
        </w:rPr>
      </w:pPr>
      <w:r>
        <w:rPr>
          <w:szCs w:val="21"/>
        </w:rPr>
        <w:t xml:space="preserve">         Translation </w:t>
      </w:r>
    </w:p>
    <w:p w:rsidR="003717A0" w:rsidRDefault="003717A0">
      <w:pPr>
        <w:pStyle w:val="af"/>
        <w:ind w:left="0" w:right="480" w:firstLineChars="0" w:firstLine="0"/>
        <w:rPr>
          <w:szCs w:val="21"/>
        </w:rPr>
      </w:pPr>
      <w:r>
        <w:rPr>
          <w:szCs w:val="21"/>
        </w:rPr>
        <w:t xml:space="preserve">         Listening </w:t>
      </w:r>
    </w:p>
    <w:p w:rsidR="003717A0" w:rsidRDefault="003717A0">
      <w:pPr>
        <w:pStyle w:val="af"/>
        <w:ind w:left="0" w:right="480" w:firstLineChars="0" w:firstLine="0"/>
        <w:rPr>
          <w:szCs w:val="21"/>
        </w:rPr>
      </w:pPr>
      <w:r>
        <w:rPr>
          <w:szCs w:val="21"/>
        </w:rPr>
        <w:t xml:space="preserve">         Writing </w:t>
      </w:r>
    </w:p>
    <w:p w:rsidR="003717A0" w:rsidRDefault="003717A0">
      <w:pPr>
        <w:pStyle w:val="af"/>
        <w:ind w:left="0" w:right="480" w:firstLineChars="0" w:firstLine="0"/>
        <w:rPr>
          <w:szCs w:val="21"/>
        </w:rPr>
      </w:pPr>
      <w:r>
        <w:rPr>
          <w:szCs w:val="21"/>
        </w:rPr>
        <w:t xml:space="preserve">         Discussion</w:t>
      </w:r>
    </w:p>
    <w:p w:rsidR="003717A0" w:rsidRDefault="003717A0">
      <w:pPr>
        <w:pStyle w:val="af"/>
        <w:ind w:left="0" w:right="480" w:firstLineChars="0" w:firstLine="0"/>
        <w:rPr>
          <w:szCs w:val="21"/>
        </w:rPr>
      </w:pPr>
      <w:r>
        <w:rPr>
          <w:szCs w:val="21"/>
        </w:rPr>
        <w:t xml:space="preserve">         Text B: The Future in Asthma Treatment </w:t>
      </w:r>
    </w:p>
    <w:p w:rsidR="003717A0" w:rsidRDefault="003717A0">
      <w:pPr>
        <w:pStyle w:val="af"/>
        <w:ind w:left="0" w:right="480" w:firstLineChars="0" w:firstLine="0"/>
        <w:rPr>
          <w:szCs w:val="21"/>
        </w:rPr>
      </w:pPr>
      <w:r>
        <w:rPr>
          <w:szCs w:val="21"/>
        </w:rPr>
        <w:t xml:space="preserve">         Text B: Nonsurgical Treatment of Hepatocellular Carcinoma</w:t>
      </w:r>
    </w:p>
    <w:p w:rsidR="003717A0" w:rsidRDefault="003717A0">
      <w:pPr>
        <w:pStyle w:val="af"/>
        <w:numPr>
          <w:ilvl w:val="0"/>
          <w:numId w:val="223"/>
        </w:numPr>
        <w:ind w:right="480" w:firstLineChars="0"/>
        <w:rPr>
          <w:szCs w:val="21"/>
        </w:rPr>
      </w:pPr>
      <w:r>
        <w:rPr>
          <w:szCs w:val="21"/>
        </w:rPr>
        <w:t>Unit 4: Text A: Acute Renal Failure(6</w:t>
      </w:r>
      <w:r>
        <w:rPr>
          <w:rFonts w:hint="eastAsia"/>
          <w:szCs w:val="21"/>
        </w:rPr>
        <w:t>学时）</w:t>
      </w:r>
    </w:p>
    <w:p w:rsidR="003717A0" w:rsidRDefault="003717A0">
      <w:pPr>
        <w:pStyle w:val="af"/>
        <w:ind w:left="0" w:right="480" w:firstLineChars="0" w:firstLine="0"/>
        <w:rPr>
          <w:szCs w:val="21"/>
        </w:rPr>
      </w:pPr>
      <w:r>
        <w:rPr>
          <w:szCs w:val="21"/>
        </w:rPr>
        <w:t xml:space="preserve">         Medical words, Expressions</w:t>
      </w:r>
    </w:p>
    <w:p w:rsidR="003717A0" w:rsidRDefault="003717A0">
      <w:pPr>
        <w:pStyle w:val="af"/>
        <w:ind w:left="0" w:right="480" w:firstLineChars="0" w:firstLine="0"/>
        <w:rPr>
          <w:szCs w:val="21"/>
        </w:rPr>
      </w:pPr>
      <w:r>
        <w:rPr>
          <w:szCs w:val="21"/>
        </w:rPr>
        <w:t xml:space="preserve">         Translation </w:t>
      </w:r>
    </w:p>
    <w:p w:rsidR="003717A0" w:rsidRDefault="003717A0">
      <w:pPr>
        <w:pStyle w:val="af"/>
        <w:ind w:left="0" w:right="480" w:firstLineChars="0" w:firstLine="0"/>
        <w:rPr>
          <w:szCs w:val="21"/>
        </w:rPr>
      </w:pPr>
      <w:r>
        <w:rPr>
          <w:szCs w:val="21"/>
        </w:rPr>
        <w:t xml:space="preserve">         Listening </w:t>
      </w:r>
    </w:p>
    <w:p w:rsidR="003717A0" w:rsidRDefault="003717A0">
      <w:pPr>
        <w:pStyle w:val="af"/>
        <w:ind w:left="0" w:right="480" w:firstLineChars="0" w:firstLine="0"/>
        <w:rPr>
          <w:szCs w:val="21"/>
        </w:rPr>
      </w:pPr>
      <w:r>
        <w:rPr>
          <w:szCs w:val="21"/>
        </w:rPr>
        <w:t xml:space="preserve">         Writing </w:t>
      </w:r>
    </w:p>
    <w:p w:rsidR="003717A0" w:rsidRDefault="003717A0">
      <w:pPr>
        <w:pStyle w:val="af"/>
        <w:ind w:left="0" w:right="480" w:firstLineChars="0" w:firstLine="0"/>
        <w:rPr>
          <w:szCs w:val="21"/>
        </w:rPr>
      </w:pPr>
      <w:r>
        <w:rPr>
          <w:szCs w:val="21"/>
        </w:rPr>
        <w:t xml:space="preserve">         Discussion</w:t>
      </w:r>
    </w:p>
    <w:p w:rsidR="003717A0" w:rsidRDefault="003717A0">
      <w:pPr>
        <w:pStyle w:val="af"/>
        <w:ind w:left="0" w:right="480" w:firstLineChars="0" w:firstLine="0"/>
        <w:rPr>
          <w:szCs w:val="21"/>
        </w:rPr>
      </w:pPr>
      <w:r>
        <w:rPr>
          <w:szCs w:val="21"/>
        </w:rPr>
        <w:t xml:space="preserve">         Text B: The Future in Asthma Treatment </w:t>
      </w:r>
    </w:p>
    <w:p w:rsidR="003717A0" w:rsidRDefault="003717A0">
      <w:pPr>
        <w:pStyle w:val="af"/>
        <w:ind w:left="0" w:right="480" w:firstLineChars="0" w:firstLine="0"/>
        <w:rPr>
          <w:szCs w:val="21"/>
        </w:rPr>
      </w:pPr>
      <w:r>
        <w:rPr>
          <w:szCs w:val="21"/>
        </w:rPr>
        <w:t xml:space="preserve">         Text B: Renal Transplantation</w:t>
      </w:r>
    </w:p>
    <w:p w:rsidR="003717A0" w:rsidRDefault="003717A0">
      <w:pPr>
        <w:pStyle w:val="af"/>
        <w:numPr>
          <w:ilvl w:val="0"/>
          <w:numId w:val="223"/>
        </w:numPr>
        <w:ind w:right="480" w:firstLineChars="0"/>
        <w:rPr>
          <w:szCs w:val="21"/>
        </w:rPr>
      </w:pPr>
      <w:r>
        <w:rPr>
          <w:szCs w:val="21"/>
        </w:rPr>
        <w:t>Unit 5: Text A: When is Diabetes Diabetes? (6</w:t>
      </w:r>
      <w:r>
        <w:rPr>
          <w:rFonts w:hint="eastAsia"/>
          <w:szCs w:val="21"/>
        </w:rPr>
        <w:t>学时）</w:t>
      </w:r>
    </w:p>
    <w:p w:rsidR="003717A0" w:rsidRDefault="003717A0">
      <w:pPr>
        <w:pStyle w:val="af"/>
        <w:ind w:left="0" w:right="480" w:firstLineChars="0" w:firstLine="0"/>
        <w:rPr>
          <w:szCs w:val="21"/>
        </w:rPr>
      </w:pPr>
      <w:r>
        <w:rPr>
          <w:szCs w:val="21"/>
        </w:rPr>
        <w:t xml:space="preserve">         Medical words, Expressions</w:t>
      </w:r>
    </w:p>
    <w:p w:rsidR="003717A0" w:rsidRDefault="003717A0">
      <w:pPr>
        <w:pStyle w:val="af"/>
        <w:ind w:left="0" w:right="480" w:firstLineChars="0" w:firstLine="0"/>
        <w:rPr>
          <w:szCs w:val="21"/>
        </w:rPr>
      </w:pPr>
      <w:r>
        <w:rPr>
          <w:szCs w:val="21"/>
        </w:rPr>
        <w:t xml:space="preserve">         Translation </w:t>
      </w:r>
    </w:p>
    <w:p w:rsidR="003717A0" w:rsidRDefault="003717A0">
      <w:pPr>
        <w:pStyle w:val="af"/>
        <w:ind w:left="0" w:right="480" w:firstLineChars="0" w:firstLine="0"/>
        <w:rPr>
          <w:szCs w:val="21"/>
        </w:rPr>
      </w:pPr>
      <w:r>
        <w:rPr>
          <w:szCs w:val="21"/>
        </w:rPr>
        <w:t xml:space="preserve">         Listening </w:t>
      </w:r>
    </w:p>
    <w:p w:rsidR="003717A0" w:rsidRDefault="003717A0">
      <w:pPr>
        <w:pStyle w:val="af"/>
        <w:ind w:left="0" w:right="480" w:firstLineChars="0" w:firstLine="0"/>
        <w:rPr>
          <w:szCs w:val="21"/>
        </w:rPr>
      </w:pPr>
      <w:r>
        <w:rPr>
          <w:szCs w:val="21"/>
        </w:rPr>
        <w:t xml:space="preserve">         Writing </w:t>
      </w:r>
    </w:p>
    <w:p w:rsidR="003717A0" w:rsidRDefault="003717A0">
      <w:pPr>
        <w:pStyle w:val="af"/>
        <w:ind w:left="0" w:right="480" w:firstLineChars="0" w:firstLine="0"/>
        <w:rPr>
          <w:szCs w:val="21"/>
        </w:rPr>
      </w:pPr>
      <w:r>
        <w:rPr>
          <w:szCs w:val="21"/>
        </w:rPr>
        <w:t xml:space="preserve">         Discussion</w:t>
      </w:r>
    </w:p>
    <w:p w:rsidR="003717A0" w:rsidRDefault="003717A0">
      <w:pPr>
        <w:pStyle w:val="af"/>
        <w:ind w:left="0" w:right="480" w:firstLineChars="0" w:firstLine="0"/>
        <w:rPr>
          <w:szCs w:val="21"/>
        </w:rPr>
      </w:pPr>
      <w:r>
        <w:rPr>
          <w:szCs w:val="21"/>
        </w:rPr>
        <w:t xml:space="preserve">         Text B: The Future in Asthma Treatment </w:t>
      </w:r>
    </w:p>
    <w:p w:rsidR="003717A0" w:rsidRDefault="003717A0">
      <w:pPr>
        <w:pStyle w:val="af"/>
        <w:ind w:left="0" w:right="480" w:firstLineChars="0" w:firstLine="0"/>
        <w:rPr>
          <w:szCs w:val="21"/>
        </w:rPr>
      </w:pPr>
      <w:r>
        <w:rPr>
          <w:szCs w:val="21"/>
        </w:rPr>
        <w:t xml:space="preserve">         Text B: Diabetes Care and Patient-oriented Outcomes</w:t>
      </w:r>
    </w:p>
    <w:p w:rsidR="003717A0" w:rsidRDefault="003717A0">
      <w:pPr>
        <w:pStyle w:val="af"/>
        <w:ind w:left="0" w:right="480" w:firstLineChars="0" w:firstLine="0"/>
        <w:rPr>
          <w:szCs w:val="21"/>
        </w:rPr>
      </w:pPr>
      <w:r>
        <w:rPr>
          <w:szCs w:val="21"/>
        </w:rPr>
        <w:t>2015-2016</w:t>
      </w:r>
      <w:r>
        <w:rPr>
          <w:rFonts w:hint="eastAsia"/>
          <w:szCs w:val="21"/>
        </w:rPr>
        <w:t>学年《医学英语三》教学内容</w:t>
      </w:r>
      <w:r>
        <w:rPr>
          <w:szCs w:val="21"/>
        </w:rPr>
        <w:t xml:space="preserve"> </w:t>
      </w:r>
      <w:r>
        <w:rPr>
          <w:rFonts w:hint="eastAsia"/>
          <w:szCs w:val="21"/>
        </w:rPr>
        <w:t>（医药英语教程</w:t>
      </w:r>
      <w:r>
        <w:rPr>
          <w:szCs w:val="21"/>
        </w:rPr>
        <w:t xml:space="preserve"> Patrick Fitzgerald, Marie McCullagh and Ros Wright </w:t>
      </w:r>
      <w:r>
        <w:rPr>
          <w:rFonts w:hint="eastAsia"/>
          <w:szCs w:val="21"/>
        </w:rPr>
        <w:t>原著</w:t>
      </w:r>
      <w:r>
        <w:rPr>
          <w:szCs w:val="21"/>
        </w:rPr>
        <w:t xml:space="preserve"> </w:t>
      </w:r>
      <w:r>
        <w:rPr>
          <w:rFonts w:hint="eastAsia"/>
          <w:szCs w:val="21"/>
        </w:rPr>
        <w:t>《大学专门用途英语》改编组</w:t>
      </w:r>
      <w:r>
        <w:rPr>
          <w:szCs w:val="21"/>
        </w:rPr>
        <w:t xml:space="preserve"> </w:t>
      </w:r>
      <w:r>
        <w:rPr>
          <w:rFonts w:hint="eastAsia"/>
          <w:szCs w:val="21"/>
        </w:rPr>
        <w:t>改编）</w:t>
      </w:r>
    </w:p>
    <w:p w:rsidR="003717A0" w:rsidRDefault="003717A0">
      <w:pPr>
        <w:pStyle w:val="af"/>
        <w:ind w:left="0" w:right="480" w:firstLineChars="0" w:firstLine="0"/>
        <w:rPr>
          <w:szCs w:val="21"/>
        </w:rPr>
      </w:pPr>
      <w:r>
        <w:rPr>
          <w:szCs w:val="21"/>
        </w:rPr>
        <w:t>1. Unit 1</w:t>
      </w:r>
      <w:r>
        <w:rPr>
          <w:rFonts w:hint="eastAsia"/>
          <w:szCs w:val="21"/>
        </w:rPr>
        <w:t>：</w:t>
      </w:r>
      <w:r>
        <w:rPr>
          <w:szCs w:val="21"/>
        </w:rPr>
        <w:t>what is medicine</w:t>
      </w:r>
      <w:r>
        <w:rPr>
          <w:rFonts w:hint="eastAsia"/>
          <w:szCs w:val="21"/>
        </w:rPr>
        <w:t>？</w:t>
      </w:r>
      <w:r>
        <w:rPr>
          <w:szCs w:val="21"/>
        </w:rPr>
        <w:t xml:space="preserve"> </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1.1 Vocabulary</w:t>
      </w:r>
      <w:r>
        <w:rPr>
          <w:rFonts w:hint="eastAsia"/>
          <w:szCs w:val="21"/>
        </w:rPr>
        <w:t>：</w:t>
      </w:r>
      <w:r>
        <w:rPr>
          <w:szCs w:val="21"/>
        </w:rPr>
        <w:t>guessing words in context. Prefixes and suffixes</w:t>
      </w:r>
    </w:p>
    <w:p w:rsidR="003717A0" w:rsidRDefault="003717A0">
      <w:pPr>
        <w:pStyle w:val="af"/>
        <w:ind w:left="0" w:right="480" w:firstLineChars="0" w:firstLine="0"/>
        <w:rPr>
          <w:szCs w:val="21"/>
        </w:rPr>
      </w:pPr>
      <w:r>
        <w:rPr>
          <w:szCs w:val="21"/>
        </w:rPr>
        <w:t xml:space="preserve">        1.2 Listening: preparing for a lecture. Predicting lecture content. Making notes</w:t>
      </w:r>
    </w:p>
    <w:p w:rsidR="003717A0" w:rsidRDefault="003717A0">
      <w:pPr>
        <w:pStyle w:val="af"/>
        <w:ind w:left="0" w:right="480" w:firstLineChars="0" w:firstLine="0"/>
        <w:rPr>
          <w:szCs w:val="21"/>
        </w:rPr>
      </w:pPr>
      <w:r>
        <w:rPr>
          <w:szCs w:val="21"/>
        </w:rPr>
        <w:t xml:space="preserve">        1.3 Extending skills: lecture organization. Choosing the best form of notes</w:t>
      </w:r>
    </w:p>
    <w:p w:rsidR="003717A0" w:rsidRDefault="003717A0">
      <w:pPr>
        <w:pStyle w:val="af"/>
        <w:ind w:left="0" w:right="480" w:firstLineChars="0" w:firstLine="0"/>
        <w:rPr>
          <w:szCs w:val="21"/>
        </w:rPr>
      </w:pPr>
      <w:r>
        <w:rPr>
          <w:szCs w:val="21"/>
        </w:rPr>
        <w:t xml:space="preserve">        1.4 Extending skills: making notes. Speaking from notes</w:t>
      </w:r>
    </w:p>
    <w:p w:rsidR="003717A0" w:rsidRDefault="003717A0">
      <w:pPr>
        <w:pStyle w:val="af"/>
        <w:ind w:left="0" w:right="480" w:firstLineChars="0" w:firstLine="0"/>
        <w:rPr>
          <w:szCs w:val="21"/>
        </w:rPr>
      </w:pPr>
      <w:r>
        <w:rPr>
          <w:szCs w:val="21"/>
        </w:rPr>
        <w:t>2. unit 2: Achievement in medicine</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2.1 Vocabulary: using an English-English dictionary</w:t>
      </w:r>
    </w:p>
    <w:p w:rsidR="003717A0" w:rsidRDefault="003717A0">
      <w:pPr>
        <w:pStyle w:val="af"/>
        <w:ind w:left="0" w:right="480" w:firstLineChars="0" w:firstLine="0"/>
        <w:rPr>
          <w:szCs w:val="21"/>
        </w:rPr>
      </w:pPr>
      <w:r>
        <w:rPr>
          <w:szCs w:val="21"/>
        </w:rPr>
        <w:t xml:space="preserve">        2.2 Reading: using research questions</w:t>
      </w:r>
    </w:p>
    <w:p w:rsidR="003717A0" w:rsidRDefault="003717A0">
      <w:pPr>
        <w:pStyle w:val="af"/>
        <w:ind w:left="0" w:right="480" w:firstLineChars="0" w:firstLine="0"/>
        <w:rPr>
          <w:szCs w:val="21"/>
        </w:rPr>
      </w:pPr>
      <w:r>
        <w:rPr>
          <w:szCs w:val="21"/>
        </w:rPr>
        <w:t xml:space="preserve">        2.3 Extending skills: topic sentences. Summarizing</w:t>
      </w:r>
    </w:p>
    <w:p w:rsidR="003717A0" w:rsidRDefault="003717A0">
      <w:pPr>
        <w:pStyle w:val="af"/>
        <w:ind w:left="0" w:right="480" w:firstLineChars="0" w:firstLine="0"/>
        <w:rPr>
          <w:szCs w:val="21"/>
        </w:rPr>
      </w:pPr>
      <w:r>
        <w:rPr>
          <w:szCs w:val="21"/>
        </w:rPr>
        <w:t xml:space="preserve">        2.4 Extending skills: using research questions. Writing topic sentences. Summarizing\</w:t>
      </w:r>
    </w:p>
    <w:p w:rsidR="003717A0" w:rsidRDefault="003717A0">
      <w:pPr>
        <w:pStyle w:val="af"/>
        <w:ind w:left="0" w:right="480" w:firstLineChars="0" w:firstLine="0"/>
        <w:rPr>
          <w:szCs w:val="21"/>
        </w:rPr>
      </w:pPr>
      <w:r>
        <w:rPr>
          <w:szCs w:val="21"/>
        </w:rPr>
        <w:t>3.Unit 4: Computers in medicine</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4.1 Vocabulary: computer jargon. Abbreviations and acronyms. Verb and noun suffixes</w:t>
      </w:r>
    </w:p>
    <w:p w:rsidR="003717A0" w:rsidRDefault="003717A0">
      <w:pPr>
        <w:pStyle w:val="af"/>
        <w:ind w:left="0" w:right="480" w:firstLineChars="0" w:firstLine="0"/>
        <w:rPr>
          <w:szCs w:val="21"/>
        </w:rPr>
      </w:pPr>
      <w:r>
        <w:rPr>
          <w:szCs w:val="21"/>
        </w:rPr>
        <w:t xml:space="preserve">        4.2 Reading: preparation for reading research. Topic development</w:t>
      </w:r>
    </w:p>
    <w:p w:rsidR="003717A0" w:rsidRDefault="003717A0">
      <w:pPr>
        <w:pStyle w:val="af"/>
        <w:ind w:left="0" w:right="480" w:firstLineChars="0" w:firstLine="0"/>
        <w:rPr>
          <w:szCs w:val="21"/>
        </w:rPr>
      </w:pPr>
      <w:r>
        <w:rPr>
          <w:szCs w:val="21"/>
        </w:rPr>
        <w:t xml:space="preserve">        4.3 Extending skills: using the internet effectively</w:t>
      </w:r>
    </w:p>
    <w:p w:rsidR="003717A0" w:rsidRDefault="003717A0">
      <w:pPr>
        <w:pStyle w:val="af"/>
        <w:ind w:left="0" w:right="480" w:firstLineChars="0" w:firstLine="0"/>
        <w:rPr>
          <w:szCs w:val="21"/>
        </w:rPr>
      </w:pPr>
      <w:r>
        <w:rPr>
          <w:szCs w:val="21"/>
        </w:rPr>
        <w:t xml:space="preserve">        4.4 Extending skills: analyzing internet search results. Reporting research findings</w:t>
      </w:r>
    </w:p>
    <w:p w:rsidR="003717A0" w:rsidRDefault="003717A0">
      <w:pPr>
        <w:pStyle w:val="af"/>
        <w:ind w:left="0" w:right="480" w:firstLineChars="0" w:firstLine="0"/>
        <w:rPr>
          <w:szCs w:val="21"/>
        </w:rPr>
      </w:pPr>
      <w:r>
        <w:rPr>
          <w:szCs w:val="21"/>
        </w:rPr>
        <w:lastRenderedPageBreak/>
        <w:t>4.Unit 6: Biology, biochemistry, and pharmacology</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6.1 Vocabulary: paraphrasing at sentence level</w:t>
      </w:r>
    </w:p>
    <w:p w:rsidR="003717A0" w:rsidRDefault="003717A0">
      <w:pPr>
        <w:pStyle w:val="af"/>
        <w:ind w:left="0" w:right="480" w:firstLineChars="0" w:firstLine="0"/>
        <w:rPr>
          <w:szCs w:val="21"/>
        </w:rPr>
      </w:pPr>
      <w:r>
        <w:rPr>
          <w:szCs w:val="21"/>
        </w:rPr>
        <w:t xml:space="preserve">        6.2 Reading: identifying subject-verb-object in long sentences. Paraphtasing</w:t>
      </w:r>
    </w:p>
    <w:p w:rsidR="003717A0" w:rsidRDefault="003717A0">
      <w:pPr>
        <w:pStyle w:val="af"/>
        <w:ind w:left="0" w:right="480" w:firstLineChars="0" w:firstLine="0"/>
        <w:rPr>
          <w:szCs w:val="21"/>
        </w:rPr>
      </w:pPr>
      <w:r>
        <w:rPr>
          <w:szCs w:val="21"/>
        </w:rPr>
        <w:t xml:space="preserve">        6.3 Extending skills: understanding complex sentences</w:t>
      </w:r>
    </w:p>
    <w:p w:rsidR="003717A0" w:rsidRDefault="003717A0">
      <w:pPr>
        <w:pStyle w:val="af"/>
        <w:ind w:left="0" w:right="480" w:firstLineChars="0" w:firstLine="0"/>
        <w:rPr>
          <w:szCs w:val="21"/>
        </w:rPr>
      </w:pPr>
      <w:r>
        <w:rPr>
          <w:szCs w:val="21"/>
        </w:rPr>
        <w:t xml:space="preserve">        6.4 Extending skills: writing complex sentences</w:t>
      </w:r>
    </w:p>
    <w:p w:rsidR="003717A0" w:rsidRDefault="003717A0">
      <w:pPr>
        <w:pStyle w:val="af0"/>
        <w:jc w:val="both"/>
        <w:rPr>
          <w:b/>
          <w:sz w:val="21"/>
          <w:szCs w:val="21"/>
        </w:rPr>
      </w:pPr>
      <w:r>
        <w:rPr>
          <w:rFonts w:hint="eastAsia"/>
          <w:b/>
          <w:sz w:val="21"/>
          <w:szCs w:val="21"/>
        </w:rPr>
        <w:t>医学英语（四）的教学内容</w:t>
      </w:r>
    </w:p>
    <w:p w:rsidR="003717A0" w:rsidRDefault="003717A0">
      <w:pPr>
        <w:pStyle w:val="af"/>
        <w:ind w:left="0" w:right="480" w:firstLineChars="0" w:firstLine="0"/>
        <w:rPr>
          <w:szCs w:val="21"/>
        </w:rPr>
      </w:pPr>
      <w:r>
        <w:rPr>
          <w:szCs w:val="21"/>
        </w:rPr>
        <w:t>2011-2015</w:t>
      </w:r>
      <w:r>
        <w:rPr>
          <w:rFonts w:hint="eastAsia"/>
          <w:szCs w:val="21"/>
        </w:rPr>
        <w:t>学年医学英语四教学内容</w:t>
      </w:r>
      <w:r>
        <w:rPr>
          <w:szCs w:val="21"/>
        </w:rPr>
        <w:t xml:space="preserve">  (21</w:t>
      </w:r>
      <w:r>
        <w:rPr>
          <w:rFonts w:hint="eastAsia"/>
          <w:szCs w:val="21"/>
        </w:rPr>
        <w:t>世纪大学医学英语</w:t>
      </w:r>
      <w:r>
        <w:rPr>
          <w:szCs w:val="21"/>
        </w:rPr>
        <w:t>--</w:t>
      </w:r>
      <w:r>
        <w:rPr>
          <w:rFonts w:hint="eastAsia"/>
          <w:szCs w:val="21"/>
        </w:rPr>
        <w:t>临床医学英语，主编董丽明，刘振清，高等教育出版社）</w:t>
      </w:r>
    </w:p>
    <w:p w:rsidR="003717A0" w:rsidRDefault="003717A0">
      <w:pPr>
        <w:pStyle w:val="af"/>
        <w:ind w:left="0" w:right="480" w:firstLineChars="0" w:firstLine="0"/>
        <w:rPr>
          <w:szCs w:val="21"/>
        </w:rPr>
      </w:pPr>
    </w:p>
    <w:p w:rsidR="003717A0" w:rsidRDefault="003717A0">
      <w:pPr>
        <w:pStyle w:val="af"/>
        <w:ind w:left="0" w:right="480" w:firstLineChars="0" w:firstLine="0"/>
        <w:rPr>
          <w:szCs w:val="21"/>
        </w:rPr>
      </w:pPr>
      <w:r>
        <w:rPr>
          <w:szCs w:val="21"/>
        </w:rPr>
        <w:t>1. Unit 6: Text A: Asthma (6</w:t>
      </w:r>
      <w:r>
        <w:rPr>
          <w:rFonts w:hint="eastAsia"/>
          <w:szCs w:val="21"/>
        </w:rPr>
        <w:t>学时）</w:t>
      </w:r>
    </w:p>
    <w:p w:rsidR="003717A0" w:rsidRDefault="003717A0">
      <w:pPr>
        <w:pStyle w:val="af"/>
        <w:ind w:left="0" w:right="480" w:firstLineChars="0" w:firstLine="0"/>
        <w:rPr>
          <w:szCs w:val="21"/>
        </w:rPr>
      </w:pPr>
      <w:r>
        <w:rPr>
          <w:szCs w:val="21"/>
        </w:rPr>
        <w:t xml:space="preserve">         Medical words, Expressions</w:t>
      </w:r>
    </w:p>
    <w:p w:rsidR="003717A0" w:rsidRDefault="003717A0">
      <w:pPr>
        <w:pStyle w:val="af"/>
        <w:ind w:left="0" w:right="480" w:firstLineChars="0" w:firstLine="0"/>
        <w:rPr>
          <w:szCs w:val="21"/>
        </w:rPr>
      </w:pPr>
      <w:r>
        <w:rPr>
          <w:szCs w:val="21"/>
        </w:rPr>
        <w:t xml:space="preserve">         Translation </w:t>
      </w:r>
    </w:p>
    <w:p w:rsidR="003717A0" w:rsidRDefault="003717A0">
      <w:pPr>
        <w:pStyle w:val="af"/>
        <w:ind w:left="0" w:right="480" w:firstLineChars="0" w:firstLine="0"/>
        <w:rPr>
          <w:szCs w:val="21"/>
        </w:rPr>
      </w:pPr>
      <w:r>
        <w:rPr>
          <w:szCs w:val="21"/>
        </w:rPr>
        <w:t xml:space="preserve">         Listening </w:t>
      </w:r>
    </w:p>
    <w:p w:rsidR="003717A0" w:rsidRDefault="003717A0">
      <w:pPr>
        <w:pStyle w:val="af"/>
        <w:ind w:left="0" w:right="480" w:firstLineChars="0" w:firstLine="0"/>
        <w:rPr>
          <w:szCs w:val="21"/>
        </w:rPr>
      </w:pPr>
      <w:r>
        <w:rPr>
          <w:szCs w:val="21"/>
        </w:rPr>
        <w:t xml:space="preserve">         Writing </w:t>
      </w:r>
    </w:p>
    <w:p w:rsidR="003717A0" w:rsidRDefault="003717A0">
      <w:pPr>
        <w:pStyle w:val="af"/>
        <w:ind w:left="0" w:right="480" w:firstLineChars="0" w:firstLine="0"/>
        <w:rPr>
          <w:szCs w:val="21"/>
        </w:rPr>
      </w:pPr>
      <w:r>
        <w:rPr>
          <w:szCs w:val="21"/>
        </w:rPr>
        <w:t xml:space="preserve">         Discussion</w:t>
      </w:r>
    </w:p>
    <w:p w:rsidR="003717A0" w:rsidRDefault="003717A0">
      <w:pPr>
        <w:pStyle w:val="af"/>
        <w:ind w:left="0" w:right="480" w:firstLineChars="0" w:firstLine="0"/>
        <w:rPr>
          <w:szCs w:val="21"/>
        </w:rPr>
      </w:pPr>
      <w:r>
        <w:rPr>
          <w:szCs w:val="21"/>
        </w:rPr>
        <w:t xml:space="preserve">         Text B: The Future in Asthma Treatment </w:t>
      </w:r>
    </w:p>
    <w:p w:rsidR="003717A0" w:rsidRDefault="003717A0">
      <w:pPr>
        <w:pStyle w:val="af"/>
        <w:ind w:left="0" w:right="480" w:firstLineChars="0" w:firstLine="0"/>
        <w:rPr>
          <w:szCs w:val="21"/>
        </w:rPr>
      </w:pPr>
    </w:p>
    <w:p w:rsidR="003717A0" w:rsidRDefault="003717A0">
      <w:pPr>
        <w:pStyle w:val="af"/>
        <w:numPr>
          <w:ilvl w:val="0"/>
          <w:numId w:val="224"/>
        </w:numPr>
        <w:ind w:left="0" w:right="480" w:firstLineChars="0" w:firstLine="0"/>
        <w:rPr>
          <w:szCs w:val="21"/>
        </w:rPr>
      </w:pPr>
      <w:r>
        <w:rPr>
          <w:szCs w:val="21"/>
        </w:rPr>
        <w:t>Unit 7: Text A: Acute Upper Gastrointestinal Hemorrhage (6</w:t>
      </w:r>
      <w:r>
        <w:rPr>
          <w:rFonts w:hint="eastAsia"/>
          <w:szCs w:val="21"/>
        </w:rPr>
        <w:t>学时）</w:t>
      </w:r>
    </w:p>
    <w:p w:rsidR="003717A0" w:rsidRDefault="003717A0">
      <w:pPr>
        <w:pStyle w:val="af"/>
        <w:ind w:left="0" w:right="480" w:firstLineChars="0" w:firstLine="0"/>
        <w:rPr>
          <w:szCs w:val="21"/>
        </w:rPr>
      </w:pPr>
      <w:r>
        <w:rPr>
          <w:szCs w:val="21"/>
        </w:rPr>
        <w:t xml:space="preserve">         Medical words, Expressions</w:t>
      </w:r>
    </w:p>
    <w:p w:rsidR="003717A0" w:rsidRDefault="003717A0">
      <w:pPr>
        <w:pStyle w:val="af"/>
        <w:ind w:left="0" w:right="480" w:firstLineChars="0" w:firstLine="0"/>
        <w:rPr>
          <w:szCs w:val="21"/>
        </w:rPr>
      </w:pPr>
      <w:r>
        <w:rPr>
          <w:szCs w:val="21"/>
        </w:rPr>
        <w:t xml:space="preserve">         Translation </w:t>
      </w:r>
    </w:p>
    <w:p w:rsidR="003717A0" w:rsidRDefault="003717A0">
      <w:pPr>
        <w:pStyle w:val="af"/>
        <w:ind w:left="0" w:right="480" w:firstLineChars="0" w:firstLine="0"/>
        <w:rPr>
          <w:szCs w:val="21"/>
        </w:rPr>
      </w:pPr>
      <w:r>
        <w:rPr>
          <w:szCs w:val="21"/>
        </w:rPr>
        <w:t xml:space="preserve">         Listening </w:t>
      </w:r>
    </w:p>
    <w:p w:rsidR="003717A0" w:rsidRDefault="003717A0">
      <w:pPr>
        <w:pStyle w:val="af"/>
        <w:ind w:left="0" w:right="480" w:firstLineChars="0" w:firstLine="0"/>
        <w:rPr>
          <w:szCs w:val="21"/>
        </w:rPr>
      </w:pPr>
      <w:r>
        <w:rPr>
          <w:szCs w:val="21"/>
        </w:rPr>
        <w:t xml:space="preserve">         Writing </w:t>
      </w:r>
    </w:p>
    <w:p w:rsidR="003717A0" w:rsidRDefault="003717A0">
      <w:pPr>
        <w:pStyle w:val="af"/>
        <w:ind w:left="0" w:right="480" w:firstLineChars="0" w:firstLine="0"/>
        <w:rPr>
          <w:szCs w:val="21"/>
        </w:rPr>
      </w:pPr>
      <w:r>
        <w:rPr>
          <w:szCs w:val="21"/>
        </w:rPr>
        <w:t xml:space="preserve">         Discussion</w:t>
      </w:r>
    </w:p>
    <w:p w:rsidR="003717A0" w:rsidRDefault="003717A0">
      <w:pPr>
        <w:pStyle w:val="af"/>
        <w:ind w:left="0" w:right="480" w:firstLineChars="0" w:firstLine="0"/>
        <w:rPr>
          <w:szCs w:val="21"/>
        </w:rPr>
      </w:pPr>
      <w:r>
        <w:rPr>
          <w:szCs w:val="21"/>
        </w:rPr>
        <w:t xml:space="preserve">         Text B: Clinical Assessment and Early Endoscopic Diagnosis</w:t>
      </w:r>
    </w:p>
    <w:p w:rsidR="003717A0" w:rsidRDefault="003717A0">
      <w:pPr>
        <w:pStyle w:val="af"/>
        <w:ind w:left="0" w:right="480" w:firstLineChars="0" w:firstLine="0"/>
        <w:rPr>
          <w:szCs w:val="21"/>
        </w:rPr>
      </w:pPr>
    </w:p>
    <w:p w:rsidR="003717A0" w:rsidRDefault="003717A0">
      <w:pPr>
        <w:pStyle w:val="af"/>
        <w:numPr>
          <w:ilvl w:val="0"/>
          <w:numId w:val="224"/>
        </w:numPr>
        <w:ind w:right="480" w:firstLineChars="0"/>
        <w:rPr>
          <w:szCs w:val="21"/>
        </w:rPr>
      </w:pPr>
      <w:r>
        <w:rPr>
          <w:szCs w:val="21"/>
        </w:rPr>
        <w:t>Unit 8: Text A: Pancreas Transplantation(6</w:t>
      </w:r>
      <w:r>
        <w:rPr>
          <w:rFonts w:hint="eastAsia"/>
          <w:szCs w:val="21"/>
        </w:rPr>
        <w:t>学时）</w:t>
      </w:r>
    </w:p>
    <w:p w:rsidR="003717A0" w:rsidRDefault="003717A0">
      <w:pPr>
        <w:pStyle w:val="af"/>
        <w:ind w:left="0" w:right="480" w:firstLineChars="0" w:firstLine="0"/>
        <w:rPr>
          <w:szCs w:val="21"/>
        </w:rPr>
      </w:pPr>
      <w:r>
        <w:rPr>
          <w:szCs w:val="21"/>
        </w:rPr>
        <w:t xml:space="preserve">         Medical words, Expressions</w:t>
      </w:r>
    </w:p>
    <w:p w:rsidR="003717A0" w:rsidRDefault="003717A0">
      <w:pPr>
        <w:pStyle w:val="af"/>
        <w:ind w:left="0" w:right="480" w:firstLineChars="0" w:firstLine="0"/>
        <w:rPr>
          <w:szCs w:val="21"/>
        </w:rPr>
      </w:pPr>
      <w:r>
        <w:rPr>
          <w:szCs w:val="21"/>
        </w:rPr>
        <w:t xml:space="preserve">         Translation </w:t>
      </w:r>
    </w:p>
    <w:p w:rsidR="003717A0" w:rsidRDefault="003717A0">
      <w:pPr>
        <w:pStyle w:val="af"/>
        <w:ind w:left="0" w:right="480" w:firstLineChars="0" w:firstLine="0"/>
        <w:rPr>
          <w:szCs w:val="21"/>
        </w:rPr>
      </w:pPr>
      <w:r>
        <w:rPr>
          <w:szCs w:val="21"/>
        </w:rPr>
        <w:t xml:space="preserve">         Listening </w:t>
      </w:r>
    </w:p>
    <w:p w:rsidR="003717A0" w:rsidRDefault="003717A0">
      <w:pPr>
        <w:pStyle w:val="af"/>
        <w:ind w:left="0" w:right="480" w:firstLineChars="0" w:firstLine="0"/>
        <w:rPr>
          <w:szCs w:val="21"/>
        </w:rPr>
      </w:pPr>
      <w:r>
        <w:rPr>
          <w:szCs w:val="21"/>
        </w:rPr>
        <w:t xml:space="preserve">         Writing </w:t>
      </w:r>
    </w:p>
    <w:p w:rsidR="003717A0" w:rsidRDefault="003717A0">
      <w:pPr>
        <w:pStyle w:val="af"/>
        <w:ind w:left="0" w:right="480" w:firstLineChars="0" w:firstLine="0"/>
        <w:rPr>
          <w:szCs w:val="21"/>
        </w:rPr>
      </w:pPr>
      <w:r>
        <w:rPr>
          <w:szCs w:val="21"/>
        </w:rPr>
        <w:t xml:space="preserve">         Discussion</w:t>
      </w:r>
    </w:p>
    <w:p w:rsidR="003717A0" w:rsidRDefault="003717A0">
      <w:pPr>
        <w:pStyle w:val="af"/>
        <w:ind w:left="0" w:right="480" w:firstLineChars="0" w:firstLine="0"/>
        <w:rPr>
          <w:szCs w:val="21"/>
        </w:rPr>
      </w:pPr>
      <w:r>
        <w:rPr>
          <w:szCs w:val="21"/>
        </w:rPr>
        <w:t xml:space="preserve">        Text B: Transplantation in the 21</w:t>
      </w:r>
      <w:r>
        <w:rPr>
          <w:szCs w:val="21"/>
          <w:vertAlign w:val="superscript"/>
        </w:rPr>
        <w:t>st</w:t>
      </w:r>
      <w:r>
        <w:rPr>
          <w:szCs w:val="21"/>
        </w:rPr>
        <w:t xml:space="preserve"> Century</w:t>
      </w:r>
    </w:p>
    <w:p w:rsidR="003717A0" w:rsidRDefault="003717A0">
      <w:pPr>
        <w:pStyle w:val="af"/>
        <w:ind w:left="0" w:right="480" w:firstLineChars="0" w:firstLine="0"/>
        <w:rPr>
          <w:szCs w:val="21"/>
        </w:rPr>
      </w:pPr>
      <w:r>
        <w:rPr>
          <w:szCs w:val="21"/>
        </w:rPr>
        <w:t>2015-2016</w:t>
      </w:r>
      <w:r>
        <w:rPr>
          <w:rFonts w:hint="eastAsia"/>
          <w:szCs w:val="21"/>
        </w:rPr>
        <w:t>学年《医学英语四》教学内容</w:t>
      </w:r>
      <w:r>
        <w:rPr>
          <w:szCs w:val="21"/>
        </w:rPr>
        <w:t xml:space="preserve"> </w:t>
      </w:r>
      <w:r>
        <w:rPr>
          <w:rFonts w:hint="eastAsia"/>
          <w:szCs w:val="21"/>
        </w:rPr>
        <w:t>（医药英语教程</w:t>
      </w:r>
      <w:r>
        <w:rPr>
          <w:szCs w:val="21"/>
        </w:rPr>
        <w:t xml:space="preserve"> Patrick Fitzgerald, Marie McCullagh and Ros Wright </w:t>
      </w:r>
      <w:r>
        <w:rPr>
          <w:rFonts w:hint="eastAsia"/>
          <w:szCs w:val="21"/>
        </w:rPr>
        <w:t>原著</w:t>
      </w:r>
      <w:r>
        <w:rPr>
          <w:szCs w:val="21"/>
        </w:rPr>
        <w:t xml:space="preserve"> </w:t>
      </w:r>
      <w:r>
        <w:rPr>
          <w:rFonts w:hint="eastAsia"/>
          <w:szCs w:val="21"/>
        </w:rPr>
        <w:t>《大学专门用途英语》改编组</w:t>
      </w:r>
      <w:r>
        <w:rPr>
          <w:szCs w:val="21"/>
        </w:rPr>
        <w:t xml:space="preserve"> </w:t>
      </w:r>
      <w:r>
        <w:rPr>
          <w:rFonts w:hint="eastAsia"/>
          <w:szCs w:val="21"/>
        </w:rPr>
        <w:t>改编）</w:t>
      </w:r>
    </w:p>
    <w:p w:rsidR="003717A0" w:rsidRDefault="003717A0">
      <w:pPr>
        <w:pStyle w:val="af"/>
        <w:ind w:left="0" w:right="480" w:firstLineChars="0" w:firstLine="0"/>
        <w:rPr>
          <w:szCs w:val="21"/>
        </w:rPr>
      </w:pPr>
      <w:r>
        <w:rPr>
          <w:szCs w:val="21"/>
        </w:rPr>
        <w:t xml:space="preserve">1. Unit 8: clinical setting: primary care </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8.1 Vocabulary: synonyms. Nouns from verbs. Paraphrasing</w:t>
      </w:r>
    </w:p>
    <w:p w:rsidR="003717A0" w:rsidRDefault="003717A0">
      <w:pPr>
        <w:pStyle w:val="af"/>
        <w:ind w:left="0" w:right="480" w:firstLineChars="0" w:firstLine="0"/>
        <w:rPr>
          <w:szCs w:val="21"/>
        </w:rPr>
      </w:pPr>
      <w:r>
        <w:rPr>
          <w:szCs w:val="21"/>
        </w:rPr>
        <w:t xml:space="preserve">      8.2 Reading: essay types. Complex sentences with passives. Definitions</w:t>
      </w:r>
    </w:p>
    <w:p w:rsidR="003717A0" w:rsidRDefault="003717A0">
      <w:pPr>
        <w:pStyle w:val="af"/>
        <w:ind w:left="0" w:right="480" w:firstLineChars="0" w:firstLine="0"/>
        <w:rPr>
          <w:szCs w:val="21"/>
        </w:rPr>
      </w:pPr>
      <w:r>
        <w:rPr>
          <w:szCs w:val="21"/>
        </w:rPr>
        <w:t xml:space="preserve">      8.3 Extending skills: passives in dependent clauses. Essay plans</w:t>
      </w:r>
    </w:p>
    <w:p w:rsidR="003717A0" w:rsidRDefault="003717A0">
      <w:pPr>
        <w:pStyle w:val="af"/>
        <w:ind w:left="0" w:right="480" w:firstLineChars="0" w:firstLine="0"/>
        <w:rPr>
          <w:szCs w:val="21"/>
        </w:rPr>
      </w:pPr>
      <w:r>
        <w:rPr>
          <w:szCs w:val="21"/>
        </w:rPr>
        <w:t xml:space="preserve">      8.4 Extending skills: writing complex sentences. Writing essay plans. Writing essays</w:t>
      </w:r>
    </w:p>
    <w:p w:rsidR="003717A0" w:rsidRDefault="003717A0">
      <w:pPr>
        <w:pStyle w:val="af"/>
        <w:ind w:left="0" w:right="480" w:firstLineChars="0" w:firstLine="0"/>
        <w:rPr>
          <w:szCs w:val="21"/>
        </w:rPr>
      </w:pPr>
      <w:r>
        <w:rPr>
          <w:szCs w:val="21"/>
        </w:rPr>
        <w:t>2. Unit 9: non-clinical setting: public health</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9.1 Vocabulary: fixed phrases. Medical terms</w:t>
      </w:r>
    </w:p>
    <w:p w:rsidR="003717A0" w:rsidRDefault="003717A0">
      <w:pPr>
        <w:pStyle w:val="af"/>
        <w:ind w:left="0" w:right="480" w:firstLineChars="0" w:firstLine="0"/>
        <w:rPr>
          <w:szCs w:val="21"/>
        </w:rPr>
      </w:pPr>
      <w:r>
        <w:rPr>
          <w:szCs w:val="21"/>
        </w:rPr>
        <w:t xml:space="preserve">      9.2 Listening: using the Cornell note-taking system</w:t>
      </w:r>
    </w:p>
    <w:p w:rsidR="003717A0" w:rsidRDefault="003717A0">
      <w:pPr>
        <w:pStyle w:val="af"/>
        <w:ind w:left="0" w:right="480" w:firstLineChars="0" w:firstLine="0"/>
        <w:rPr>
          <w:szCs w:val="21"/>
        </w:rPr>
      </w:pPr>
      <w:r>
        <w:rPr>
          <w:szCs w:val="21"/>
        </w:rPr>
        <w:t xml:space="preserve">      9.3 Extending skills: recognizing digressions. Source references</w:t>
      </w:r>
    </w:p>
    <w:p w:rsidR="003717A0" w:rsidRDefault="003717A0">
      <w:pPr>
        <w:pStyle w:val="af"/>
        <w:ind w:left="0" w:right="480" w:firstLineChars="0" w:firstLine="0"/>
        <w:rPr>
          <w:szCs w:val="21"/>
        </w:rPr>
      </w:pPr>
      <w:r>
        <w:rPr>
          <w:szCs w:val="21"/>
        </w:rPr>
        <w:lastRenderedPageBreak/>
        <w:t xml:space="preserve">      9.4 Extending skills: making effective contributions to a seminar</w:t>
      </w:r>
    </w:p>
    <w:p w:rsidR="003717A0" w:rsidRDefault="003717A0">
      <w:pPr>
        <w:pStyle w:val="af"/>
        <w:ind w:left="0" w:right="480" w:firstLineChars="0" w:firstLine="0"/>
        <w:rPr>
          <w:szCs w:val="21"/>
        </w:rPr>
      </w:pPr>
      <w:r>
        <w:rPr>
          <w:szCs w:val="21"/>
        </w:rPr>
        <w:t>3. Unit 10: Evidence-based medicine</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10.1 Vocabulary: “neutral” and “marked” words/ expressing confidence/tentativeness</w:t>
      </w:r>
    </w:p>
    <w:p w:rsidR="003717A0" w:rsidRDefault="003717A0">
      <w:pPr>
        <w:pStyle w:val="af"/>
        <w:ind w:left="0" w:right="480" w:firstLineChars="0" w:firstLine="0"/>
        <w:rPr>
          <w:szCs w:val="21"/>
        </w:rPr>
      </w:pPr>
      <w:r>
        <w:rPr>
          <w:szCs w:val="21"/>
        </w:rPr>
        <w:t xml:space="preserve">      10.2 Reading: identifying stance and level of confidence. Inferring implicit ideas</w:t>
      </w:r>
    </w:p>
    <w:p w:rsidR="003717A0" w:rsidRDefault="003717A0">
      <w:pPr>
        <w:pStyle w:val="af"/>
        <w:ind w:left="0" w:right="480" w:firstLineChars="0" w:firstLine="0"/>
        <w:rPr>
          <w:szCs w:val="21"/>
        </w:rPr>
      </w:pPr>
      <w:r>
        <w:rPr>
          <w:szCs w:val="21"/>
        </w:rPr>
        <w:t xml:space="preserve">      10.3 Extending skills: essay types. Situation-problem-solution-evaluation essays</w:t>
      </w:r>
    </w:p>
    <w:p w:rsidR="003717A0" w:rsidRDefault="003717A0">
      <w:pPr>
        <w:pStyle w:val="af"/>
        <w:ind w:left="0" w:right="480" w:firstLineChars="300" w:firstLine="630"/>
        <w:rPr>
          <w:szCs w:val="21"/>
        </w:rPr>
      </w:pPr>
      <w:r>
        <w:rPr>
          <w:szCs w:val="21"/>
        </w:rPr>
        <w:t>10.4 Extending skills: writing complex sentences. References. quotations</w:t>
      </w:r>
    </w:p>
    <w:p w:rsidR="003717A0" w:rsidRDefault="003717A0">
      <w:pPr>
        <w:pStyle w:val="af"/>
        <w:ind w:left="0" w:right="480" w:firstLineChars="0" w:firstLine="0"/>
        <w:rPr>
          <w:szCs w:val="21"/>
        </w:rPr>
      </w:pPr>
      <w:r>
        <w:rPr>
          <w:szCs w:val="21"/>
        </w:rPr>
        <w:t>4. Unit 12: the future of medicine</w:t>
      </w:r>
      <w:r>
        <w:rPr>
          <w:rFonts w:hint="eastAsia"/>
          <w:szCs w:val="21"/>
        </w:rPr>
        <w:t>（</w:t>
      </w:r>
      <w:r>
        <w:rPr>
          <w:szCs w:val="21"/>
        </w:rPr>
        <w:t>4</w:t>
      </w:r>
      <w:r>
        <w:rPr>
          <w:rFonts w:hint="eastAsia"/>
          <w:szCs w:val="21"/>
        </w:rPr>
        <w:t>学时）</w:t>
      </w:r>
    </w:p>
    <w:p w:rsidR="003717A0" w:rsidRDefault="003717A0">
      <w:pPr>
        <w:pStyle w:val="af"/>
        <w:ind w:left="0" w:right="480" w:firstLineChars="0" w:firstLine="0"/>
        <w:rPr>
          <w:szCs w:val="21"/>
        </w:rPr>
      </w:pPr>
      <w:r>
        <w:rPr>
          <w:szCs w:val="21"/>
        </w:rPr>
        <w:t xml:space="preserve">      12.1 Vocabulary: referring back. Introducing quotations/paraphrases</w:t>
      </w:r>
    </w:p>
    <w:p w:rsidR="003717A0" w:rsidRDefault="003717A0">
      <w:pPr>
        <w:pStyle w:val="af"/>
        <w:ind w:left="0" w:right="480" w:firstLineChars="0" w:firstLine="0"/>
        <w:rPr>
          <w:szCs w:val="21"/>
        </w:rPr>
      </w:pPr>
      <w:r>
        <w:rPr>
          <w:szCs w:val="21"/>
        </w:rPr>
        <w:t xml:space="preserve">      12.2 Reading: linking ideas in a text. Quoting and paraphrasing</w:t>
      </w:r>
    </w:p>
    <w:p w:rsidR="003717A0" w:rsidRDefault="003717A0">
      <w:pPr>
        <w:pStyle w:val="af"/>
        <w:ind w:left="0" w:right="480" w:firstLineChars="0" w:firstLine="0"/>
        <w:rPr>
          <w:szCs w:val="21"/>
        </w:rPr>
      </w:pPr>
      <w:r>
        <w:rPr>
          <w:szCs w:val="21"/>
        </w:rPr>
        <w:t xml:space="preserve">      12.3 Extending skills: research reports: introduction, method, conclusion</w:t>
      </w:r>
    </w:p>
    <w:p w:rsidR="003717A0" w:rsidRDefault="003717A0">
      <w:pPr>
        <w:pStyle w:val="af"/>
        <w:ind w:left="0" w:right="480" w:firstLineChars="0" w:firstLine="0"/>
        <w:rPr>
          <w:szCs w:val="21"/>
        </w:rPr>
      </w:pPr>
      <w:r>
        <w:rPr>
          <w:szCs w:val="21"/>
        </w:rPr>
        <w:t xml:space="preserve">      12.4 Extending skills: research reports: questionnaires, findings, discussion</w:t>
      </w:r>
    </w:p>
    <w:p w:rsidR="003717A0" w:rsidRDefault="003717A0" w:rsidP="00F5156D">
      <w:pPr>
        <w:widowControl/>
        <w:jc w:val="center"/>
        <w:rPr>
          <w:b/>
          <w:bCs/>
          <w:sz w:val="28"/>
          <w:szCs w:val="28"/>
        </w:rPr>
      </w:pPr>
      <w:r w:rsidRPr="00F5156D">
        <w:rPr>
          <w:rFonts w:ascii="Times New Roman" w:eastAsia="黑体" w:hAnsi="Times New Roman" w:cs="Times New Roman" w:hint="eastAsia"/>
          <w:b/>
          <w:bCs/>
          <w:kern w:val="0"/>
          <w:sz w:val="32"/>
          <w:szCs w:val="32"/>
        </w:rPr>
        <w:t>四、教学模式</w:t>
      </w:r>
    </w:p>
    <w:p w:rsidR="003717A0" w:rsidRDefault="003717A0" w:rsidP="00F5156D">
      <w:pPr>
        <w:spacing w:line="420" w:lineRule="exact"/>
        <w:ind w:firstLineChars="200" w:firstLine="420"/>
      </w:pPr>
      <w:r>
        <w:rPr>
          <w:rFonts w:hint="eastAsia"/>
        </w:rPr>
        <w:t>医学英语的教学在第五第六学期为周学时</w:t>
      </w:r>
      <w:r>
        <w:t>2</w:t>
      </w:r>
      <w:r>
        <w:rPr>
          <w:rFonts w:hint="eastAsia"/>
        </w:rPr>
        <w:t>，共</w:t>
      </w:r>
      <w:r>
        <w:t>72</w:t>
      </w:r>
      <w:r>
        <w:rPr>
          <w:rFonts w:hint="eastAsia"/>
        </w:rPr>
        <w:t>学时。第七第八学期是周学时</w:t>
      </w:r>
      <w:r>
        <w:t>1</w:t>
      </w:r>
      <w:r>
        <w:rPr>
          <w:rFonts w:hint="eastAsia"/>
        </w:rPr>
        <w:t>，共</w:t>
      </w:r>
      <w:r>
        <w:t>36</w:t>
      </w:r>
      <w:r>
        <w:rPr>
          <w:rFonts w:hint="eastAsia"/>
        </w:rPr>
        <w:t>学时。教学时间少，因此教学模式应以现代信息技术为支撑，彻底改变以教师讲授为主的单一的教学模式，真正体现以教师为主导，以学生为主体，以主题教学法和任务教学法理论指导教学实践，让学生在课堂内外运用语言去完成口头和书面任务。充分利用多媒体网络等先进教学技术，保证英语教学中多渠道输入、吸收、多渠道输出、有目的再输入的过程。多媒体教学和网络资源相结合。教师利用网络丰富教学内容。学生在消化课内知识的基础上利用网络补充和扩展知识，并实行资源共享，鼓励学生到课堂做</w:t>
      </w:r>
      <w:r>
        <w:t>presentation</w:t>
      </w:r>
      <w:r>
        <w:rPr>
          <w:rFonts w:hint="eastAsia"/>
        </w:rPr>
        <w:t>以分享知识，同时锻炼口头表达，培养学生学术语言的表达能力。</w:t>
      </w:r>
      <w:r>
        <w:rPr>
          <w:rFonts w:hint="eastAsia"/>
          <w:bCs/>
        </w:rPr>
        <w:t>教学方法建议</w:t>
      </w:r>
      <w:r>
        <w:rPr>
          <w:rFonts w:ascii="仿宋_GB2312" w:hint="eastAsia"/>
        </w:rPr>
        <w:t>以专题研讨与教师讲解，学生问答相结合的形式，采用师生互动法，教学相长。学生凭借医学知识学英语，教师通过英语学医学。</w:t>
      </w:r>
    </w:p>
    <w:p w:rsidR="003717A0" w:rsidRDefault="003717A0" w:rsidP="00F5156D">
      <w:pPr>
        <w:widowControl/>
        <w:jc w:val="center"/>
        <w:rPr>
          <w:b/>
          <w:bCs/>
          <w:sz w:val="28"/>
          <w:szCs w:val="28"/>
        </w:rPr>
      </w:pPr>
      <w:r w:rsidRPr="00F5156D">
        <w:rPr>
          <w:rFonts w:ascii="Times New Roman" w:eastAsia="黑体" w:hAnsi="Times New Roman" w:cs="Times New Roman" w:hint="eastAsia"/>
          <w:b/>
          <w:bCs/>
          <w:kern w:val="0"/>
          <w:sz w:val="32"/>
          <w:szCs w:val="32"/>
        </w:rPr>
        <w:t>五、教学评估</w:t>
      </w:r>
    </w:p>
    <w:p w:rsidR="003717A0" w:rsidRDefault="003717A0">
      <w:pPr>
        <w:spacing w:line="400" w:lineRule="exact"/>
        <w:ind w:firstLine="435"/>
        <w:rPr>
          <w:rFonts w:ascii="宋体"/>
          <w:b/>
          <w:bCs/>
        </w:rPr>
      </w:pPr>
      <w:r>
        <w:rPr>
          <w:rFonts w:hint="eastAsia"/>
          <w:szCs w:val="21"/>
        </w:rPr>
        <w:t>教学评估是医学英语课程教学的一个重要环节。教学评估分形成性评价和终结性评价两种。形成性评价是对学术日常学习过程中的表现，所取得的成绩和存在的问题、态度等方面进行综合评价，以激励学生学习，帮助学生有效调控自己的学习过程。具体方式包括课堂学习活动评价，平时测验，作业评分。第五第六学期</w:t>
      </w:r>
      <w:r>
        <w:rPr>
          <w:rFonts w:hint="eastAsia"/>
        </w:rPr>
        <w:t>要求学生每单元后完成各类练习，书面作业要求学生对每篇课文写概要，阅读老师布置的与课文相关材料写出概要在课堂上作短时间演讲。第七第八学期以论文阅读和论文写作为课外重点作业进行过程评价。</w:t>
      </w:r>
      <w:r>
        <w:rPr>
          <w:rFonts w:hint="eastAsia"/>
          <w:szCs w:val="21"/>
        </w:rPr>
        <w:t>终结性评价是检测学生综合语言运用能力发展程度的重要途径，以期末考试为重要形式。终结性评价的结果应结合形成性评价给定学生各级学业成绩和最终学业成绩，具体分配是</w:t>
      </w:r>
      <w:r>
        <w:rPr>
          <w:rFonts w:ascii="宋体" w:hAnsi="宋体" w:hint="eastAsia"/>
          <w:bCs/>
        </w:rPr>
        <w:t>出勤</w:t>
      </w:r>
      <w:r>
        <w:rPr>
          <w:rFonts w:ascii="宋体" w:hAnsi="宋体"/>
          <w:bCs/>
        </w:rPr>
        <w:t>10%</w:t>
      </w:r>
      <w:r>
        <w:rPr>
          <w:rFonts w:ascii="宋体" w:hAnsi="宋体" w:hint="eastAsia"/>
          <w:bCs/>
        </w:rPr>
        <w:t>，平时作业表现等</w:t>
      </w:r>
      <w:r>
        <w:rPr>
          <w:rFonts w:ascii="宋体" w:hAnsi="宋体"/>
          <w:bCs/>
        </w:rPr>
        <w:t>20%</w:t>
      </w:r>
      <w:r>
        <w:rPr>
          <w:rFonts w:ascii="宋体" w:hAnsi="宋体" w:hint="eastAsia"/>
          <w:bCs/>
        </w:rPr>
        <w:t>，期末考试</w:t>
      </w:r>
      <w:r>
        <w:rPr>
          <w:rFonts w:ascii="宋体" w:hAnsi="宋体"/>
          <w:bCs/>
        </w:rPr>
        <w:t>70%</w:t>
      </w:r>
      <w:r>
        <w:rPr>
          <w:rFonts w:ascii="宋体" w:hAnsi="宋体" w:hint="eastAsia"/>
          <w:bCs/>
        </w:rPr>
        <w:t>。</w:t>
      </w:r>
      <w:r>
        <w:rPr>
          <w:rFonts w:ascii="宋体" w:hAnsi="宋体"/>
          <w:b/>
          <w:bCs/>
        </w:rPr>
        <w:t xml:space="preserve">            </w:t>
      </w:r>
    </w:p>
    <w:p w:rsidR="003717A0" w:rsidRDefault="003717A0">
      <w:pPr>
        <w:spacing w:line="400" w:lineRule="exact"/>
        <w:ind w:firstLine="435"/>
        <w:rPr>
          <w:rFonts w:ascii="宋体"/>
          <w:b/>
          <w:bCs/>
        </w:rPr>
      </w:pPr>
    </w:p>
    <w:p w:rsidR="003717A0" w:rsidRDefault="003717A0">
      <w:pPr>
        <w:spacing w:line="400" w:lineRule="exact"/>
        <w:ind w:firstLine="435"/>
        <w:rPr>
          <w:b/>
          <w:szCs w:val="21"/>
        </w:rPr>
      </w:pPr>
      <w:r>
        <w:rPr>
          <w:rFonts w:ascii="宋体" w:hAnsi="宋体"/>
          <w:b/>
          <w:bCs/>
        </w:rPr>
        <w:t xml:space="preserve">                           </w:t>
      </w:r>
    </w:p>
    <w:p w:rsidR="003717A0" w:rsidRPr="00F5156D" w:rsidRDefault="003717A0">
      <w:pPr>
        <w:pStyle w:val="1"/>
        <w:rPr>
          <w:b/>
        </w:rPr>
      </w:pPr>
      <w:r>
        <w:br w:type="page"/>
      </w:r>
      <w:bookmarkStart w:id="67" w:name="_Toc469312995"/>
      <w:bookmarkStart w:id="68" w:name="_Toc471830707"/>
      <w:r w:rsidRPr="00F5156D">
        <w:rPr>
          <w:rFonts w:hint="eastAsia"/>
          <w:b/>
        </w:rPr>
        <w:lastRenderedPageBreak/>
        <w:t>《环境与辅助技术》课程质量标准</w:t>
      </w:r>
      <w:bookmarkEnd w:id="67"/>
      <w:bookmarkEnd w:id="68"/>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rsidP="00F5156D">
            <w:pPr>
              <w:adjustRightInd w:val="0"/>
              <w:snapToGrid w:val="0"/>
              <w:spacing w:line="440" w:lineRule="exact"/>
              <w:jc w:val="center"/>
              <w:rPr>
                <w:sz w:val="22"/>
              </w:rPr>
            </w:pPr>
            <w:r>
              <w:rPr>
                <w:rFonts w:hint="eastAsia"/>
                <w:sz w:val="22"/>
              </w:rPr>
              <w:t>课程名称</w:t>
            </w:r>
          </w:p>
        </w:tc>
        <w:tc>
          <w:tcPr>
            <w:tcW w:w="7618" w:type="dxa"/>
            <w:gridSpan w:val="9"/>
          </w:tcPr>
          <w:p w:rsidR="003717A0" w:rsidRDefault="003717A0" w:rsidP="00F5156D">
            <w:pPr>
              <w:adjustRightInd w:val="0"/>
              <w:snapToGrid w:val="0"/>
              <w:spacing w:line="440" w:lineRule="exact"/>
              <w:jc w:val="center"/>
              <w:rPr>
                <w:sz w:val="22"/>
              </w:rPr>
            </w:pPr>
            <w:r>
              <w:rPr>
                <w:rFonts w:hint="eastAsia"/>
              </w:rPr>
              <w:t>环境与辅助技术</w:t>
            </w:r>
          </w:p>
        </w:tc>
      </w:tr>
      <w:tr w:rsidR="003717A0">
        <w:tc>
          <w:tcPr>
            <w:tcW w:w="1668" w:type="dxa"/>
          </w:tcPr>
          <w:p w:rsidR="003717A0" w:rsidRDefault="003717A0" w:rsidP="00F5156D">
            <w:pPr>
              <w:adjustRightInd w:val="0"/>
              <w:snapToGrid w:val="0"/>
              <w:spacing w:line="440" w:lineRule="exact"/>
              <w:jc w:val="center"/>
              <w:rPr>
                <w:sz w:val="22"/>
              </w:rPr>
            </w:pPr>
            <w:r>
              <w:rPr>
                <w:rFonts w:hint="eastAsia"/>
                <w:sz w:val="22"/>
              </w:rPr>
              <w:t>英译名称</w:t>
            </w:r>
          </w:p>
        </w:tc>
        <w:tc>
          <w:tcPr>
            <w:tcW w:w="7618" w:type="dxa"/>
            <w:gridSpan w:val="9"/>
          </w:tcPr>
          <w:p w:rsidR="003717A0" w:rsidRDefault="003717A0" w:rsidP="00F5156D">
            <w:pPr>
              <w:adjustRightInd w:val="0"/>
              <w:snapToGrid w:val="0"/>
              <w:spacing w:line="440" w:lineRule="exact"/>
              <w:jc w:val="center"/>
            </w:pPr>
            <w:r>
              <w:t>Environment and Assistive Technology</w:t>
            </w:r>
          </w:p>
        </w:tc>
      </w:tr>
      <w:tr w:rsidR="003717A0">
        <w:tc>
          <w:tcPr>
            <w:tcW w:w="1668" w:type="dxa"/>
          </w:tcPr>
          <w:p w:rsidR="003717A0" w:rsidRDefault="003717A0" w:rsidP="00F5156D">
            <w:pPr>
              <w:adjustRightInd w:val="0"/>
              <w:snapToGrid w:val="0"/>
              <w:spacing w:line="440" w:lineRule="exact"/>
              <w:jc w:val="center"/>
              <w:rPr>
                <w:sz w:val="22"/>
              </w:rPr>
            </w:pPr>
            <w:r>
              <w:rPr>
                <w:rFonts w:hint="eastAsia"/>
                <w:sz w:val="22"/>
              </w:rPr>
              <w:t>课程代码</w:t>
            </w:r>
          </w:p>
        </w:tc>
        <w:tc>
          <w:tcPr>
            <w:tcW w:w="2350" w:type="dxa"/>
            <w:gridSpan w:val="2"/>
          </w:tcPr>
          <w:p w:rsidR="003717A0" w:rsidRDefault="003717A0" w:rsidP="00F5156D">
            <w:pPr>
              <w:adjustRightInd w:val="0"/>
              <w:snapToGrid w:val="0"/>
              <w:spacing w:line="440" w:lineRule="exact"/>
              <w:jc w:val="center"/>
              <w:rPr>
                <w:sz w:val="22"/>
              </w:rPr>
            </w:pPr>
            <w:r>
              <w:rPr>
                <w:sz w:val="22"/>
              </w:rPr>
              <w:t>170702</w:t>
            </w:r>
          </w:p>
        </w:tc>
        <w:tc>
          <w:tcPr>
            <w:tcW w:w="1902" w:type="dxa"/>
            <w:gridSpan w:val="3"/>
          </w:tcPr>
          <w:p w:rsidR="003717A0" w:rsidRDefault="003717A0" w:rsidP="00F5156D">
            <w:pPr>
              <w:adjustRightInd w:val="0"/>
              <w:snapToGrid w:val="0"/>
              <w:spacing w:line="440" w:lineRule="exact"/>
              <w:jc w:val="center"/>
              <w:rPr>
                <w:sz w:val="22"/>
              </w:rPr>
            </w:pPr>
            <w:r>
              <w:rPr>
                <w:rFonts w:hint="eastAsia"/>
                <w:sz w:val="22"/>
              </w:rPr>
              <w:t>课程开设学期</w:t>
            </w:r>
          </w:p>
        </w:tc>
        <w:tc>
          <w:tcPr>
            <w:tcW w:w="3366" w:type="dxa"/>
            <w:gridSpan w:val="4"/>
          </w:tcPr>
          <w:p w:rsidR="003717A0" w:rsidRDefault="003717A0" w:rsidP="00F5156D">
            <w:pPr>
              <w:adjustRightInd w:val="0"/>
              <w:snapToGrid w:val="0"/>
              <w:spacing w:line="440" w:lineRule="exact"/>
              <w:jc w:val="center"/>
              <w:rPr>
                <w:sz w:val="22"/>
              </w:rPr>
            </w:pPr>
            <w:r>
              <w:rPr>
                <w:rFonts w:hint="eastAsia"/>
                <w:sz w:val="22"/>
              </w:rPr>
              <w:t>六</w:t>
            </w:r>
          </w:p>
        </w:tc>
      </w:tr>
      <w:tr w:rsidR="003717A0">
        <w:tc>
          <w:tcPr>
            <w:tcW w:w="1668" w:type="dxa"/>
          </w:tcPr>
          <w:p w:rsidR="003717A0" w:rsidRDefault="003717A0" w:rsidP="00F5156D">
            <w:pPr>
              <w:adjustRightInd w:val="0"/>
              <w:snapToGrid w:val="0"/>
              <w:spacing w:line="440" w:lineRule="exact"/>
              <w:jc w:val="center"/>
              <w:rPr>
                <w:sz w:val="22"/>
              </w:rPr>
            </w:pPr>
            <w:r>
              <w:rPr>
                <w:rFonts w:hint="eastAsia"/>
                <w:sz w:val="22"/>
              </w:rPr>
              <w:t>课程学时</w:t>
            </w:r>
          </w:p>
        </w:tc>
        <w:tc>
          <w:tcPr>
            <w:tcW w:w="2350" w:type="dxa"/>
            <w:gridSpan w:val="2"/>
          </w:tcPr>
          <w:p w:rsidR="003717A0" w:rsidRDefault="003717A0" w:rsidP="00F5156D">
            <w:pPr>
              <w:adjustRightInd w:val="0"/>
              <w:snapToGrid w:val="0"/>
              <w:spacing w:line="440" w:lineRule="exact"/>
              <w:jc w:val="center"/>
              <w:rPr>
                <w:sz w:val="22"/>
              </w:rPr>
            </w:pPr>
            <w:r>
              <w:rPr>
                <w:sz w:val="22"/>
              </w:rPr>
              <w:t>30</w:t>
            </w:r>
          </w:p>
        </w:tc>
        <w:tc>
          <w:tcPr>
            <w:tcW w:w="1902" w:type="dxa"/>
            <w:gridSpan w:val="3"/>
          </w:tcPr>
          <w:p w:rsidR="003717A0" w:rsidRDefault="003717A0" w:rsidP="00F5156D">
            <w:pPr>
              <w:adjustRightInd w:val="0"/>
              <w:snapToGrid w:val="0"/>
              <w:spacing w:line="440" w:lineRule="exact"/>
              <w:jc w:val="center"/>
              <w:rPr>
                <w:sz w:val="22"/>
              </w:rPr>
            </w:pPr>
            <w:r>
              <w:rPr>
                <w:rFonts w:hint="eastAsia"/>
                <w:sz w:val="22"/>
              </w:rPr>
              <w:t>课程学分</w:t>
            </w:r>
          </w:p>
        </w:tc>
        <w:tc>
          <w:tcPr>
            <w:tcW w:w="3366" w:type="dxa"/>
            <w:gridSpan w:val="4"/>
          </w:tcPr>
          <w:p w:rsidR="003717A0" w:rsidRDefault="003717A0" w:rsidP="00F5156D">
            <w:pPr>
              <w:adjustRightInd w:val="0"/>
              <w:snapToGrid w:val="0"/>
              <w:spacing w:line="440" w:lineRule="exact"/>
              <w:jc w:val="center"/>
              <w:rPr>
                <w:sz w:val="22"/>
              </w:rPr>
            </w:pPr>
            <w:r>
              <w:rPr>
                <w:sz w:val="22"/>
              </w:rPr>
              <w:t>2</w:t>
            </w:r>
            <w:r>
              <w:rPr>
                <w:rFonts w:hint="eastAsia"/>
                <w:sz w:val="22"/>
              </w:rPr>
              <w:t>分</w:t>
            </w:r>
          </w:p>
        </w:tc>
      </w:tr>
      <w:tr w:rsidR="003717A0">
        <w:tc>
          <w:tcPr>
            <w:tcW w:w="1668" w:type="dxa"/>
          </w:tcPr>
          <w:p w:rsidR="003717A0" w:rsidRDefault="003717A0" w:rsidP="00F5156D">
            <w:pPr>
              <w:adjustRightInd w:val="0"/>
              <w:snapToGrid w:val="0"/>
              <w:spacing w:line="440" w:lineRule="exact"/>
              <w:jc w:val="center"/>
              <w:rPr>
                <w:sz w:val="22"/>
              </w:rPr>
            </w:pPr>
            <w:r>
              <w:rPr>
                <w:rFonts w:hint="eastAsia"/>
                <w:sz w:val="22"/>
              </w:rPr>
              <w:t>课程类型</w:t>
            </w:r>
          </w:p>
        </w:tc>
        <w:tc>
          <w:tcPr>
            <w:tcW w:w="7618" w:type="dxa"/>
            <w:gridSpan w:val="9"/>
          </w:tcPr>
          <w:p w:rsidR="003717A0" w:rsidRDefault="003717A0" w:rsidP="00F5156D">
            <w:pPr>
              <w:adjustRightInd w:val="0"/>
              <w:snapToGrid w:val="0"/>
              <w:spacing w:line="440" w:lineRule="exact"/>
              <w:jc w:val="center"/>
              <w:rPr>
                <w:sz w:val="22"/>
              </w:rPr>
            </w:pPr>
            <w:r>
              <w:rPr>
                <w:rFonts w:ascii="宋体" w:hint="eastAsia"/>
                <w:sz w:val="22"/>
              </w:rPr>
              <w:t>□</w:t>
            </w:r>
            <w:r>
              <w:rPr>
                <w:rFonts w:hint="eastAsia"/>
                <w:sz w:val="22"/>
              </w:rPr>
              <w:t>公共基础课</w:t>
            </w:r>
            <w:r>
              <w:rPr>
                <w:rFonts w:ascii="宋体" w:hint="eastAsia"/>
                <w:sz w:val="22"/>
              </w:rPr>
              <w:t>□专业基础课</w:t>
            </w:r>
            <w:r>
              <w:rPr>
                <w:rFonts w:ascii="宋体" w:hint="eastAsia"/>
                <w:szCs w:val="21"/>
              </w:rPr>
              <w:t>■</w:t>
            </w:r>
            <w:r>
              <w:rPr>
                <w:rFonts w:ascii="宋体" w:hint="eastAsia"/>
                <w:sz w:val="22"/>
              </w:rPr>
              <w:t>专业课□专业选修课□公共选修课</w:t>
            </w:r>
          </w:p>
        </w:tc>
      </w:tr>
      <w:tr w:rsidR="003717A0">
        <w:tc>
          <w:tcPr>
            <w:tcW w:w="1668" w:type="dxa"/>
          </w:tcPr>
          <w:p w:rsidR="003717A0" w:rsidRDefault="003717A0" w:rsidP="00F5156D">
            <w:pPr>
              <w:adjustRightInd w:val="0"/>
              <w:snapToGrid w:val="0"/>
              <w:spacing w:line="440" w:lineRule="exact"/>
              <w:jc w:val="center"/>
              <w:rPr>
                <w:sz w:val="22"/>
              </w:rPr>
            </w:pPr>
            <w:r>
              <w:rPr>
                <w:rFonts w:hint="eastAsia"/>
                <w:sz w:val="22"/>
              </w:rPr>
              <w:t>授课学院</w:t>
            </w:r>
          </w:p>
        </w:tc>
        <w:tc>
          <w:tcPr>
            <w:tcW w:w="2350" w:type="dxa"/>
            <w:gridSpan w:val="2"/>
          </w:tcPr>
          <w:p w:rsidR="003717A0" w:rsidRDefault="003717A0" w:rsidP="00F5156D">
            <w:pPr>
              <w:adjustRightInd w:val="0"/>
              <w:snapToGrid w:val="0"/>
              <w:spacing w:line="440" w:lineRule="exact"/>
              <w:jc w:val="center"/>
              <w:rPr>
                <w:sz w:val="22"/>
              </w:rPr>
            </w:pPr>
            <w:r>
              <w:rPr>
                <w:rFonts w:hint="eastAsia"/>
                <w:sz w:val="22"/>
              </w:rPr>
              <w:t>医学院</w:t>
            </w:r>
          </w:p>
        </w:tc>
        <w:tc>
          <w:tcPr>
            <w:tcW w:w="2634" w:type="dxa"/>
            <w:gridSpan w:val="5"/>
          </w:tcPr>
          <w:p w:rsidR="003717A0" w:rsidRDefault="003717A0" w:rsidP="00F5156D">
            <w:pPr>
              <w:adjustRightInd w:val="0"/>
              <w:snapToGrid w:val="0"/>
              <w:spacing w:line="44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F5156D">
            <w:pPr>
              <w:adjustRightInd w:val="0"/>
              <w:snapToGrid w:val="0"/>
              <w:spacing w:line="440" w:lineRule="exact"/>
              <w:jc w:val="center"/>
              <w:rPr>
                <w:sz w:val="22"/>
              </w:rPr>
            </w:pPr>
            <w:r>
              <w:rPr>
                <w:rFonts w:hint="eastAsia"/>
                <w:sz w:val="22"/>
              </w:rPr>
              <w:t>康复医学科</w:t>
            </w:r>
          </w:p>
        </w:tc>
      </w:tr>
      <w:tr w:rsidR="003717A0">
        <w:tc>
          <w:tcPr>
            <w:tcW w:w="1668" w:type="dxa"/>
          </w:tcPr>
          <w:p w:rsidR="003717A0" w:rsidRDefault="003717A0" w:rsidP="00F5156D">
            <w:pPr>
              <w:adjustRightInd w:val="0"/>
              <w:snapToGrid w:val="0"/>
              <w:spacing w:line="440" w:lineRule="exact"/>
              <w:rPr>
                <w:sz w:val="22"/>
              </w:rPr>
            </w:pPr>
            <w:r>
              <w:rPr>
                <w:rFonts w:hint="eastAsia"/>
                <w:sz w:val="22"/>
              </w:rPr>
              <w:t>教材名称</w:t>
            </w:r>
          </w:p>
        </w:tc>
        <w:tc>
          <w:tcPr>
            <w:tcW w:w="7618" w:type="dxa"/>
            <w:gridSpan w:val="9"/>
          </w:tcPr>
          <w:p w:rsidR="003717A0" w:rsidRDefault="003717A0" w:rsidP="00F5156D">
            <w:pPr>
              <w:adjustRightInd w:val="0"/>
              <w:snapToGrid w:val="0"/>
              <w:spacing w:line="440" w:lineRule="exact"/>
              <w:rPr>
                <w:sz w:val="22"/>
              </w:rPr>
            </w:pPr>
            <w:r>
              <w:rPr>
                <w:rFonts w:hint="eastAsia"/>
                <w:sz w:val="22"/>
              </w:rPr>
              <w:t>自编</w:t>
            </w:r>
          </w:p>
        </w:tc>
      </w:tr>
      <w:tr w:rsidR="003717A0">
        <w:tc>
          <w:tcPr>
            <w:tcW w:w="1668" w:type="dxa"/>
          </w:tcPr>
          <w:p w:rsidR="003717A0" w:rsidRDefault="003717A0" w:rsidP="00F5156D">
            <w:pPr>
              <w:adjustRightInd w:val="0"/>
              <w:snapToGrid w:val="0"/>
              <w:spacing w:line="440" w:lineRule="exact"/>
              <w:rPr>
                <w:sz w:val="22"/>
              </w:rPr>
            </w:pPr>
            <w:r>
              <w:rPr>
                <w:rFonts w:hint="eastAsia"/>
                <w:sz w:val="22"/>
              </w:rPr>
              <w:t>教材出版信息</w:t>
            </w:r>
          </w:p>
        </w:tc>
        <w:tc>
          <w:tcPr>
            <w:tcW w:w="7618" w:type="dxa"/>
            <w:gridSpan w:val="9"/>
          </w:tcPr>
          <w:p w:rsidR="003717A0" w:rsidRDefault="003717A0" w:rsidP="00F5156D">
            <w:pPr>
              <w:adjustRightInd w:val="0"/>
              <w:snapToGrid w:val="0"/>
              <w:spacing w:line="440" w:lineRule="exact"/>
              <w:rPr>
                <w:sz w:val="22"/>
              </w:rPr>
            </w:pPr>
            <w:r>
              <w:rPr>
                <w:rFonts w:hint="eastAsia"/>
                <w:sz w:val="22"/>
              </w:rPr>
              <w:t>暂未出版</w:t>
            </w:r>
          </w:p>
        </w:tc>
      </w:tr>
      <w:tr w:rsidR="003717A0">
        <w:tc>
          <w:tcPr>
            <w:tcW w:w="1668" w:type="dxa"/>
          </w:tcPr>
          <w:p w:rsidR="003717A0" w:rsidRDefault="003717A0" w:rsidP="00F5156D">
            <w:pPr>
              <w:adjustRightInd w:val="0"/>
              <w:snapToGrid w:val="0"/>
              <w:spacing w:line="440" w:lineRule="exact"/>
              <w:rPr>
                <w:sz w:val="22"/>
              </w:rPr>
            </w:pPr>
            <w:r>
              <w:rPr>
                <w:rFonts w:hint="eastAsia"/>
                <w:sz w:val="22"/>
              </w:rPr>
              <w:t>教材性质</w:t>
            </w:r>
          </w:p>
        </w:tc>
        <w:tc>
          <w:tcPr>
            <w:tcW w:w="7618" w:type="dxa"/>
            <w:gridSpan w:val="9"/>
          </w:tcPr>
          <w:p w:rsidR="003717A0" w:rsidRDefault="003717A0" w:rsidP="00F5156D">
            <w:pPr>
              <w:adjustRightInd w:val="0"/>
              <w:snapToGrid w:val="0"/>
              <w:spacing w:line="44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tc>
          <w:tcPr>
            <w:tcW w:w="1668" w:type="dxa"/>
          </w:tcPr>
          <w:p w:rsidR="003717A0" w:rsidRDefault="003717A0" w:rsidP="00F5156D">
            <w:pPr>
              <w:adjustRightInd w:val="0"/>
              <w:snapToGrid w:val="0"/>
              <w:spacing w:line="440" w:lineRule="exact"/>
              <w:rPr>
                <w:sz w:val="22"/>
              </w:rPr>
            </w:pPr>
            <w:r>
              <w:rPr>
                <w:rFonts w:hint="eastAsia"/>
                <w:sz w:val="22"/>
              </w:rPr>
              <w:t>考核方式</w:t>
            </w:r>
          </w:p>
        </w:tc>
        <w:tc>
          <w:tcPr>
            <w:tcW w:w="7618" w:type="dxa"/>
            <w:gridSpan w:val="9"/>
          </w:tcPr>
          <w:p w:rsidR="003717A0" w:rsidRDefault="003717A0" w:rsidP="00F5156D">
            <w:pPr>
              <w:adjustRightInd w:val="0"/>
              <w:snapToGrid w:val="0"/>
              <w:spacing w:line="440" w:lineRule="exact"/>
              <w:rPr>
                <w:sz w:val="22"/>
              </w:rPr>
            </w:pPr>
            <w:r>
              <w:rPr>
                <w:rFonts w:ascii="宋体" w:hint="eastAsia"/>
                <w:szCs w:val="21"/>
              </w:rPr>
              <w:t>■</w:t>
            </w: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tc>
          <w:tcPr>
            <w:tcW w:w="1668" w:type="dxa"/>
          </w:tcPr>
          <w:p w:rsidR="003717A0" w:rsidRDefault="003717A0" w:rsidP="00F5156D">
            <w:pPr>
              <w:adjustRightInd w:val="0"/>
              <w:snapToGrid w:val="0"/>
              <w:spacing w:line="440" w:lineRule="exact"/>
              <w:rPr>
                <w:sz w:val="22"/>
              </w:rPr>
            </w:pPr>
            <w:r>
              <w:rPr>
                <w:rFonts w:hint="eastAsia"/>
                <w:sz w:val="22"/>
              </w:rPr>
              <w:t>课程成绩</w:t>
            </w:r>
          </w:p>
        </w:tc>
        <w:tc>
          <w:tcPr>
            <w:tcW w:w="3809" w:type="dxa"/>
            <w:gridSpan w:val="4"/>
          </w:tcPr>
          <w:p w:rsidR="003717A0" w:rsidRDefault="003717A0" w:rsidP="00F5156D">
            <w:pPr>
              <w:adjustRightInd w:val="0"/>
              <w:snapToGrid w:val="0"/>
              <w:spacing w:line="440" w:lineRule="exact"/>
              <w:rPr>
                <w:sz w:val="22"/>
              </w:rPr>
            </w:pPr>
            <w:r>
              <w:rPr>
                <w:rFonts w:hint="eastAsia"/>
                <w:sz w:val="22"/>
              </w:rPr>
              <w:t>平时成绩</w:t>
            </w:r>
            <w:r>
              <w:rPr>
                <w:sz w:val="22"/>
              </w:rPr>
              <w:t xml:space="preserve">  </w:t>
            </w:r>
          </w:p>
        </w:tc>
        <w:tc>
          <w:tcPr>
            <w:tcW w:w="3809" w:type="dxa"/>
            <w:gridSpan w:val="5"/>
          </w:tcPr>
          <w:p w:rsidR="003717A0" w:rsidRDefault="003717A0" w:rsidP="00F5156D">
            <w:pPr>
              <w:adjustRightInd w:val="0"/>
              <w:snapToGrid w:val="0"/>
              <w:spacing w:line="440" w:lineRule="exact"/>
              <w:rPr>
                <w:sz w:val="22"/>
              </w:rPr>
            </w:pPr>
            <w:r>
              <w:rPr>
                <w:rFonts w:hint="eastAsia"/>
                <w:sz w:val="22"/>
              </w:rPr>
              <w:t>期末成绩</w:t>
            </w:r>
            <w:r>
              <w:rPr>
                <w:sz w:val="22"/>
              </w:rPr>
              <w:t>100%</w:t>
            </w:r>
          </w:p>
        </w:tc>
      </w:tr>
      <w:tr w:rsidR="003717A0">
        <w:tc>
          <w:tcPr>
            <w:tcW w:w="9286" w:type="dxa"/>
            <w:gridSpan w:val="10"/>
          </w:tcPr>
          <w:p w:rsidR="003717A0" w:rsidRDefault="003717A0" w:rsidP="00F5156D">
            <w:pPr>
              <w:adjustRightInd w:val="0"/>
              <w:snapToGrid w:val="0"/>
              <w:spacing w:line="440" w:lineRule="exact"/>
              <w:rPr>
                <w:sz w:val="22"/>
              </w:rPr>
            </w:pPr>
            <w:r>
              <w:rPr>
                <w:rFonts w:hint="eastAsia"/>
                <w:sz w:val="22"/>
              </w:rPr>
              <w:t>课程负责人及团队骨干（五人以内）</w:t>
            </w:r>
          </w:p>
        </w:tc>
      </w:tr>
      <w:tr w:rsidR="003717A0">
        <w:tc>
          <w:tcPr>
            <w:tcW w:w="1668" w:type="dxa"/>
          </w:tcPr>
          <w:p w:rsidR="003717A0" w:rsidRDefault="003717A0" w:rsidP="00F5156D">
            <w:pPr>
              <w:adjustRightInd w:val="0"/>
              <w:snapToGrid w:val="0"/>
              <w:spacing w:line="440" w:lineRule="exact"/>
              <w:jc w:val="center"/>
              <w:rPr>
                <w:sz w:val="22"/>
              </w:rPr>
            </w:pPr>
            <w:r>
              <w:rPr>
                <w:rFonts w:hint="eastAsia"/>
                <w:sz w:val="22"/>
              </w:rPr>
              <w:t>姓名</w:t>
            </w:r>
          </w:p>
        </w:tc>
        <w:tc>
          <w:tcPr>
            <w:tcW w:w="1523" w:type="dxa"/>
          </w:tcPr>
          <w:p w:rsidR="003717A0" w:rsidRDefault="003717A0" w:rsidP="00F5156D">
            <w:pPr>
              <w:adjustRightInd w:val="0"/>
              <w:snapToGrid w:val="0"/>
              <w:spacing w:line="440" w:lineRule="exact"/>
              <w:jc w:val="center"/>
              <w:rPr>
                <w:sz w:val="22"/>
              </w:rPr>
            </w:pPr>
            <w:r>
              <w:rPr>
                <w:rFonts w:hint="eastAsia"/>
                <w:sz w:val="22"/>
              </w:rPr>
              <w:t>性别</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学历</w:t>
            </w:r>
          </w:p>
        </w:tc>
        <w:tc>
          <w:tcPr>
            <w:tcW w:w="1523" w:type="dxa"/>
            <w:gridSpan w:val="3"/>
          </w:tcPr>
          <w:p w:rsidR="003717A0" w:rsidRDefault="003717A0" w:rsidP="00F5156D">
            <w:pPr>
              <w:adjustRightInd w:val="0"/>
              <w:snapToGrid w:val="0"/>
              <w:spacing w:line="440" w:lineRule="exact"/>
              <w:jc w:val="center"/>
              <w:rPr>
                <w:sz w:val="22"/>
              </w:rPr>
            </w:pPr>
            <w:r>
              <w:rPr>
                <w:rFonts w:hint="eastAsia"/>
                <w:sz w:val="22"/>
              </w:rPr>
              <w:t>学位</w:t>
            </w:r>
          </w:p>
        </w:tc>
        <w:tc>
          <w:tcPr>
            <w:tcW w:w="1524" w:type="dxa"/>
            <w:gridSpan w:val="2"/>
          </w:tcPr>
          <w:p w:rsidR="003717A0" w:rsidRDefault="003717A0" w:rsidP="00F5156D">
            <w:pPr>
              <w:adjustRightInd w:val="0"/>
              <w:snapToGrid w:val="0"/>
              <w:spacing w:line="440" w:lineRule="exact"/>
              <w:jc w:val="center"/>
              <w:rPr>
                <w:sz w:val="22"/>
              </w:rPr>
            </w:pPr>
            <w:r>
              <w:rPr>
                <w:rFonts w:hint="eastAsia"/>
                <w:sz w:val="22"/>
              </w:rPr>
              <w:t>职称</w:t>
            </w:r>
          </w:p>
        </w:tc>
        <w:tc>
          <w:tcPr>
            <w:tcW w:w="1524" w:type="dxa"/>
          </w:tcPr>
          <w:p w:rsidR="003717A0" w:rsidRDefault="003717A0" w:rsidP="00F5156D">
            <w:pPr>
              <w:adjustRightInd w:val="0"/>
              <w:snapToGrid w:val="0"/>
              <w:spacing w:line="440" w:lineRule="exact"/>
              <w:jc w:val="center"/>
              <w:rPr>
                <w:sz w:val="22"/>
              </w:rPr>
            </w:pPr>
            <w:r>
              <w:rPr>
                <w:rFonts w:hint="eastAsia"/>
                <w:sz w:val="22"/>
              </w:rPr>
              <w:t>从教时间</w:t>
            </w:r>
          </w:p>
        </w:tc>
      </w:tr>
      <w:tr w:rsidR="003717A0">
        <w:tc>
          <w:tcPr>
            <w:tcW w:w="1668" w:type="dxa"/>
          </w:tcPr>
          <w:p w:rsidR="003717A0" w:rsidRDefault="003717A0" w:rsidP="00F5156D">
            <w:pPr>
              <w:adjustRightInd w:val="0"/>
              <w:snapToGrid w:val="0"/>
              <w:spacing w:line="440" w:lineRule="exact"/>
              <w:ind w:firstLineChars="150" w:firstLine="330"/>
              <w:rPr>
                <w:sz w:val="22"/>
              </w:rPr>
            </w:pPr>
            <w:r>
              <w:rPr>
                <w:rFonts w:hint="eastAsia"/>
                <w:sz w:val="22"/>
              </w:rPr>
              <w:t>沈光宇</w:t>
            </w:r>
          </w:p>
        </w:tc>
        <w:tc>
          <w:tcPr>
            <w:tcW w:w="1523" w:type="dxa"/>
          </w:tcPr>
          <w:p w:rsidR="003717A0" w:rsidRDefault="003717A0" w:rsidP="00F5156D">
            <w:pPr>
              <w:adjustRightInd w:val="0"/>
              <w:snapToGrid w:val="0"/>
              <w:spacing w:line="440" w:lineRule="exact"/>
              <w:ind w:firstLineChars="200" w:firstLine="440"/>
              <w:rPr>
                <w:sz w:val="22"/>
              </w:rPr>
            </w:pPr>
            <w:r>
              <w:rPr>
                <w:rFonts w:hint="eastAsia"/>
                <w:sz w:val="22"/>
              </w:rPr>
              <w:t>男</w:t>
            </w:r>
          </w:p>
        </w:tc>
        <w:tc>
          <w:tcPr>
            <w:tcW w:w="1524" w:type="dxa"/>
            <w:gridSpan w:val="2"/>
          </w:tcPr>
          <w:p w:rsidR="003717A0" w:rsidRDefault="003717A0" w:rsidP="00F5156D">
            <w:pPr>
              <w:adjustRightInd w:val="0"/>
              <w:snapToGrid w:val="0"/>
              <w:spacing w:line="440" w:lineRule="exact"/>
              <w:ind w:firstLineChars="200" w:firstLine="440"/>
              <w:rPr>
                <w:sz w:val="22"/>
              </w:rPr>
            </w:pPr>
            <w:r>
              <w:rPr>
                <w:rFonts w:hint="eastAsia"/>
                <w:sz w:val="22"/>
              </w:rPr>
              <w:t>本科</w:t>
            </w:r>
          </w:p>
        </w:tc>
        <w:tc>
          <w:tcPr>
            <w:tcW w:w="1523" w:type="dxa"/>
            <w:gridSpan w:val="3"/>
          </w:tcPr>
          <w:p w:rsidR="003717A0" w:rsidRDefault="003717A0" w:rsidP="00F5156D">
            <w:pPr>
              <w:adjustRightInd w:val="0"/>
              <w:snapToGrid w:val="0"/>
              <w:spacing w:line="440" w:lineRule="exact"/>
              <w:ind w:firstLineChars="200" w:firstLine="440"/>
              <w:rPr>
                <w:sz w:val="22"/>
              </w:rPr>
            </w:pPr>
            <w:r>
              <w:rPr>
                <w:rFonts w:hint="eastAsia"/>
                <w:sz w:val="22"/>
              </w:rPr>
              <w:t>学士</w:t>
            </w:r>
          </w:p>
        </w:tc>
        <w:tc>
          <w:tcPr>
            <w:tcW w:w="1524" w:type="dxa"/>
            <w:gridSpan w:val="2"/>
          </w:tcPr>
          <w:p w:rsidR="003717A0" w:rsidRDefault="003717A0" w:rsidP="00F5156D">
            <w:pPr>
              <w:adjustRightInd w:val="0"/>
              <w:snapToGrid w:val="0"/>
              <w:spacing w:line="440" w:lineRule="exact"/>
              <w:ind w:firstLineChars="200" w:firstLine="440"/>
              <w:rPr>
                <w:sz w:val="22"/>
              </w:rPr>
            </w:pPr>
            <w:r>
              <w:rPr>
                <w:rFonts w:hint="eastAsia"/>
                <w:sz w:val="22"/>
              </w:rPr>
              <w:t>教授</w:t>
            </w:r>
          </w:p>
        </w:tc>
        <w:tc>
          <w:tcPr>
            <w:tcW w:w="1524" w:type="dxa"/>
          </w:tcPr>
          <w:p w:rsidR="003717A0" w:rsidRDefault="003717A0" w:rsidP="00F5156D">
            <w:pPr>
              <w:adjustRightInd w:val="0"/>
              <w:snapToGrid w:val="0"/>
              <w:spacing w:line="440" w:lineRule="exact"/>
              <w:ind w:firstLineChars="100" w:firstLine="220"/>
              <w:rPr>
                <w:sz w:val="22"/>
              </w:rPr>
            </w:pPr>
            <w:r>
              <w:rPr>
                <w:sz w:val="22"/>
              </w:rPr>
              <w:t>1985.06</w:t>
            </w:r>
          </w:p>
        </w:tc>
      </w:tr>
      <w:tr w:rsidR="003717A0">
        <w:tc>
          <w:tcPr>
            <w:tcW w:w="1668" w:type="dxa"/>
          </w:tcPr>
          <w:p w:rsidR="003717A0" w:rsidRDefault="003717A0" w:rsidP="00F5156D">
            <w:pPr>
              <w:adjustRightInd w:val="0"/>
              <w:snapToGrid w:val="0"/>
              <w:spacing w:line="440" w:lineRule="exact"/>
              <w:rPr>
                <w:sz w:val="22"/>
              </w:rPr>
            </w:pPr>
            <w:r>
              <w:rPr>
                <w:sz w:val="22"/>
              </w:rPr>
              <w:t xml:space="preserve">   </w:t>
            </w:r>
            <w:r>
              <w:rPr>
                <w:rFonts w:hint="eastAsia"/>
                <w:sz w:val="22"/>
              </w:rPr>
              <w:t>胡玉明</w:t>
            </w:r>
          </w:p>
        </w:tc>
        <w:tc>
          <w:tcPr>
            <w:tcW w:w="1523" w:type="dxa"/>
          </w:tcPr>
          <w:p w:rsidR="003717A0" w:rsidRDefault="003717A0" w:rsidP="00F5156D">
            <w:pPr>
              <w:adjustRightInd w:val="0"/>
              <w:snapToGrid w:val="0"/>
              <w:spacing w:line="440" w:lineRule="exact"/>
              <w:rPr>
                <w:sz w:val="22"/>
              </w:rPr>
            </w:pPr>
            <w:r>
              <w:rPr>
                <w:sz w:val="22"/>
              </w:rPr>
              <w:t xml:space="preserve">    </w:t>
            </w:r>
            <w:r>
              <w:rPr>
                <w:rFonts w:hint="eastAsia"/>
                <w:sz w:val="22"/>
              </w:rPr>
              <w:t>女</w:t>
            </w:r>
          </w:p>
        </w:tc>
        <w:tc>
          <w:tcPr>
            <w:tcW w:w="1524" w:type="dxa"/>
            <w:gridSpan w:val="2"/>
          </w:tcPr>
          <w:p w:rsidR="003717A0" w:rsidRDefault="003717A0" w:rsidP="00F5156D">
            <w:pPr>
              <w:adjustRightInd w:val="0"/>
              <w:snapToGrid w:val="0"/>
              <w:spacing w:line="440" w:lineRule="exact"/>
              <w:rPr>
                <w:sz w:val="22"/>
              </w:rPr>
            </w:pPr>
            <w:r>
              <w:rPr>
                <w:sz w:val="22"/>
              </w:rPr>
              <w:t xml:space="preserve">   </w:t>
            </w:r>
            <w:r>
              <w:rPr>
                <w:rFonts w:hint="eastAsia"/>
                <w:sz w:val="22"/>
              </w:rPr>
              <w:t>研究生</w:t>
            </w:r>
          </w:p>
        </w:tc>
        <w:tc>
          <w:tcPr>
            <w:tcW w:w="1523" w:type="dxa"/>
            <w:gridSpan w:val="3"/>
          </w:tcPr>
          <w:p w:rsidR="003717A0" w:rsidRDefault="003717A0" w:rsidP="00F5156D">
            <w:pPr>
              <w:adjustRightInd w:val="0"/>
              <w:snapToGrid w:val="0"/>
              <w:spacing w:line="440" w:lineRule="exact"/>
              <w:rPr>
                <w:sz w:val="22"/>
              </w:rPr>
            </w:pPr>
            <w:r>
              <w:rPr>
                <w:sz w:val="22"/>
              </w:rPr>
              <w:t xml:space="preserve">    </w:t>
            </w:r>
            <w:r>
              <w:rPr>
                <w:rFonts w:hint="eastAsia"/>
                <w:sz w:val="22"/>
              </w:rPr>
              <w:t>硕士</w:t>
            </w:r>
          </w:p>
        </w:tc>
        <w:tc>
          <w:tcPr>
            <w:tcW w:w="1524" w:type="dxa"/>
            <w:gridSpan w:val="2"/>
          </w:tcPr>
          <w:p w:rsidR="003717A0" w:rsidRDefault="003717A0" w:rsidP="00F5156D">
            <w:pPr>
              <w:adjustRightInd w:val="0"/>
              <w:snapToGrid w:val="0"/>
              <w:spacing w:line="440" w:lineRule="exact"/>
              <w:rPr>
                <w:sz w:val="22"/>
              </w:rPr>
            </w:pPr>
            <w:r>
              <w:rPr>
                <w:sz w:val="22"/>
              </w:rPr>
              <w:t xml:space="preserve">    </w:t>
            </w:r>
            <w:r>
              <w:rPr>
                <w:rFonts w:hint="eastAsia"/>
                <w:sz w:val="22"/>
              </w:rPr>
              <w:t>讲师</w:t>
            </w:r>
          </w:p>
        </w:tc>
        <w:tc>
          <w:tcPr>
            <w:tcW w:w="1524" w:type="dxa"/>
          </w:tcPr>
          <w:p w:rsidR="003717A0" w:rsidRDefault="003717A0" w:rsidP="00F5156D">
            <w:pPr>
              <w:adjustRightInd w:val="0"/>
              <w:snapToGrid w:val="0"/>
              <w:spacing w:line="440" w:lineRule="exact"/>
              <w:rPr>
                <w:sz w:val="22"/>
              </w:rPr>
            </w:pPr>
            <w:r>
              <w:rPr>
                <w:sz w:val="22"/>
              </w:rPr>
              <w:t xml:space="preserve">  2003.09</w:t>
            </w:r>
          </w:p>
        </w:tc>
      </w:tr>
      <w:tr w:rsidR="003717A0">
        <w:tc>
          <w:tcPr>
            <w:tcW w:w="1668" w:type="dxa"/>
          </w:tcPr>
          <w:p w:rsidR="003717A0" w:rsidRDefault="003717A0" w:rsidP="00F5156D">
            <w:pPr>
              <w:adjustRightInd w:val="0"/>
              <w:snapToGrid w:val="0"/>
              <w:spacing w:line="440" w:lineRule="exact"/>
              <w:rPr>
                <w:sz w:val="22"/>
              </w:rPr>
            </w:pPr>
            <w:r>
              <w:rPr>
                <w:sz w:val="22"/>
              </w:rPr>
              <w:t xml:space="preserve">   </w:t>
            </w:r>
            <w:r>
              <w:rPr>
                <w:rFonts w:hint="eastAsia"/>
                <w:sz w:val="22"/>
              </w:rPr>
              <w:t>顾琦</w:t>
            </w:r>
          </w:p>
        </w:tc>
        <w:tc>
          <w:tcPr>
            <w:tcW w:w="1523" w:type="dxa"/>
          </w:tcPr>
          <w:p w:rsidR="003717A0" w:rsidRDefault="003717A0" w:rsidP="00F5156D">
            <w:pPr>
              <w:adjustRightInd w:val="0"/>
              <w:snapToGrid w:val="0"/>
              <w:spacing w:line="440" w:lineRule="exact"/>
              <w:rPr>
                <w:sz w:val="22"/>
              </w:rPr>
            </w:pPr>
            <w:r>
              <w:rPr>
                <w:sz w:val="22"/>
              </w:rPr>
              <w:t xml:space="preserve">    </w:t>
            </w:r>
            <w:r>
              <w:rPr>
                <w:rFonts w:hint="eastAsia"/>
                <w:sz w:val="22"/>
              </w:rPr>
              <w:t>女</w:t>
            </w:r>
          </w:p>
        </w:tc>
        <w:tc>
          <w:tcPr>
            <w:tcW w:w="1524" w:type="dxa"/>
            <w:gridSpan w:val="2"/>
          </w:tcPr>
          <w:p w:rsidR="003717A0" w:rsidRDefault="003717A0" w:rsidP="00F5156D">
            <w:pPr>
              <w:adjustRightInd w:val="0"/>
              <w:snapToGrid w:val="0"/>
              <w:spacing w:line="440" w:lineRule="exact"/>
              <w:rPr>
                <w:sz w:val="22"/>
              </w:rPr>
            </w:pPr>
            <w:r>
              <w:rPr>
                <w:sz w:val="22"/>
              </w:rPr>
              <w:t xml:space="preserve">    </w:t>
            </w:r>
            <w:r>
              <w:rPr>
                <w:rFonts w:hint="eastAsia"/>
                <w:sz w:val="22"/>
              </w:rPr>
              <w:t>本科</w:t>
            </w:r>
          </w:p>
        </w:tc>
        <w:tc>
          <w:tcPr>
            <w:tcW w:w="1523" w:type="dxa"/>
            <w:gridSpan w:val="3"/>
          </w:tcPr>
          <w:p w:rsidR="003717A0" w:rsidRDefault="003717A0" w:rsidP="00F5156D">
            <w:pPr>
              <w:adjustRightInd w:val="0"/>
              <w:snapToGrid w:val="0"/>
              <w:spacing w:line="440" w:lineRule="exact"/>
              <w:rPr>
                <w:sz w:val="22"/>
              </w:rPr>
            </w:pPr>
            <w:r>
              <w:rPr>
                <w:sz w:val="22"/>
              </w:rPr>
              <w:t xml:space="preserve">    </w:t>
            </w:r>
            <w:r>
              <w:rPr>
                <w:rFonts w:hint="eastAsia"/>
                <w:sz w:val="22"/>
              </w:rPr>
              <w:t>学士</w:t>
            </w:r>
          </w:p>
        </w:tc>
        <w:tc>
          <w:tcPr>
            <w:tcW w:w="1524" w:type="dxa"/>
            <w:gridSpan w:val="2"/>
          </w:tcPr>
          <w:p w:rsidR="003717A0" w:rsidRDefault="003717A0" w:rsidP="00F5156D">
            <w:pPr>
              <w:adjustRightInd w:val="0"/>
              <w:snapToGrid w:val="0"/>
              <w:spacing w:line="440" w:lineRule="exact"/>
              <w:rPr>
                <w:sz w:val="22"/>
              </w:rPr>
            </w:pPr>
            <w:r>
              <w:rPr>
                <w:sz w:val="22"/>
              </w:rPr>
              <w:t xml:space="preserve">    </w:t>
            </w:r>
            <w:r>
              <w:rPr>
                <w:rFonts w:hint="eastAsia"/>
                <w:sz w:val="22"/>
              </w:rPr>
              <w:t>讲师</w:t>
            </w:r>
          </w:p>
        </w:tc>
        <w:tc>
          <w:tcPr>
            <w:tcW w:w="1524" w:type="dxa"/>
          </w:tcPr>
          <w:p w:rsidR="003717A0" w:rsidRDefault="003717A0" w:rsidP="00F5156D">
            <w:pPr>
              <w:adjustRightInd w:val="0"/>
              <w:snapToGrid w:val="0"/>
              <w:spacing w:line="440" w:lineRule="exact"/>
              <w:rPr>
                <w:sz w:val="22"/>
              </w:rPr>
            </w:pPr>
            <w:r>
              <w:rPr>
                <w:sz w:val="22"/>
              </w:rPr>
              <w:t xml:space="preserve">  2005.09</w:t>
            </w:r>
          </w:p>
        </w:tc>
      </w:tr>
      <w:tr w:rsidR="003717A0">
        <w:tc>
          <w:tcPr>
            <w:tcW w:w="1668" w:type="dxa"/>
          </w:tcPr>
          <w:p w:rsidR="003717A0" w:rsidRDefault="003717A0" w:rsidP="00F5156D">
            <w:pPr>
              <w:adjustRightInd w:val="0"/>
              <w:snapToGrid w:val="0"/>
              <w:spacing w:line="440" w:lineRule="exact"/>
              <w:rPr>
                <w:sz w:val="22"/>
              </w:rPr>
            </w:pPr>
            <w:r>
              <w:rPr>
                <w:sz w:val="22"/>
              </w:rPr>
              <w:t xml:space="preserve">   </w:t>
            </w:r>
            <w:r>
              <w:rPr>
                <w:rFonts w:hint="eastAsia"/>
                <w:sz w:val="22"/>
              </w:rPr>
              <w:t>高洁</w:t>
            </w:r>
          </w:p>
        </w:tc>
        <w:tc>
          <w:tcPr>
            <w:tcW w:w="1523" w:type="dxa"/>
          </w:tcPr>
          <w:p w:rsidR="003717A0" w:rsidRDefault="003717A0" w:rsidP="00F5156D">
            <w:pPr>
              <w:adjustRightInd w:val="0"/>
              <w:snapToGrid w:val="0"/>
              <w:spacing w:line="440" w:lineRule="exact"/>
              <w:rPr>
                <w:sz w:val="22"/>
              </w:rPr>
            </w:pPr>
            <w:r>
              <w:rPr>
                <w:sz w:val="22"/>
              </w:rPr>
              <w:t xml:space="preserve">    </w:t>
            </w:r>
            <w:r>
              <w:rPr>
                <w:rFonts w:hint="eastAsia"/>
                <w:sz w:val="22"/>
              </w:rPr>
              <w:t>女</w:t>
            </w:r>
          </w:p>
        </w:tc>
        <w:tc>
          <w:tcPr>
            <w:tcW w:w="1524" w:type="dxa"/>
            <w:gridSpan w:val="2"/>
          </w:tcPr>
          <w:p w:rsidR="003717A0" w:rsidRDefault="003717A0" w:rsidP="00F5156D">
            <w:pPr>
              <w:adjustRightInd w:val="0"/>
              <w:snapToGrid w:val="0"/>
              <w:spacing w:line="440" w:lineRule="exact"/>
              <w:rPr>
                <w:sz w:val="22"/>
              </w:rPr>
            </w:pPr>
            <w:r>
              <w:rPr>
                <w:sz w:val="22"/>
              </w:rPr>
              <w:t xml:space="preserve">    </w:t>
            </w:r>
            <w:r>
              <w:rPr>
                <w:rFonts w:hint="eastAsia"/>
                <w:sz w:val="22"/>
              </w:rPr>
              <w:t>本科</w:t>
            </w:r>
          </w:p>
        </w:tc>
        <w:tc>
          <w:tcPr>
            <w:tcW w:w="1523" w:type="dxa"/>
            <w:gridSpan w:val="3"/>
          </w:tcPr>
          <w:p w:rsidR="003717A0" w:rsidRDefault="003717A0" w:rsidP="00F5156D">
            <w:pPr>
              <w:adjustRightInd w:val="0"/>
              <w:snapToGrid w:val="0"/>
              <w:spacing w:line="440" w:lineRule="exact"/>
              <w:rPr>
                <w:sz w:val="22"/>
              </w:rPr>
            </w:pPr>
            <w:r>
              <w:rPr>
                <w:sz w:val="22"/>
              </w:rPr>
              <w:t xml:space="preserve">    </w:t>
            </w:r>
            <w:r>
              <w:rPr>
                <w:rFonts w:hint="eastAsia"/>
                <w:sz w:val="22"/>
              </w:rPr>
              <w:t>学士</w:t>
            </w:r>
          </w:p>
        </w:tc>
        <w:tc>
          <w:tcPr>
            <w:tcW w:w="1524" w:type="dxa"/>
            <w:gridSpan w:val="2"/>
          </w:tcPr>
          <w:p w:rsidR="003717A0" w:rsidRDefault="003717A0" w:rsidP="00F5156D">
            <w:pPr>
              <w:adjustRightInd w:val="0"/>
              <w:snapToGrid w:val="0"/>
              <w:spacing w:line="440" w:lineRule="exact"/>
              <w:rPr>
                <w:sz w:val="22"/>
              </w:rPr>
            </w:pPr>
            <w:r>
              <w:rPr>
                <w:sz w:val="22"/>
              </w:rPr>
              <w:t xml:space="preserve">    </w:t>
            </w:r>
            <w:r>
              <w:rPr>
                <w:rFonts w:hint="eastAsia"/>
                <w:sz w:val="22"/>
              </w:rPr>
              <w:t>助教</w:t>
            </w:r>
          </w:p>
        </w:tc>
        <w:tc>
          <w:tcPr>
            <w:tcW w:w="1524" w:type="dxa"/>
          </w:tcPr>
          <w:p w:rsidR="003717A0" w:rsidRDefault="003717A0" w:rsidP="00F5156D">
            <w:pPr>
              <w:adjustRightInd w:val="0"/>
              <w:snapToGrid w:val="0"/>
              <w:spacing w:line="440" w:lineRule="exact"/>
              <w:rPr>
                <w:sz w:val="22"/>
              </w:rPr>
            </w:pPr>
            <w:r>
              <w:rPr>
                <w:sz w:val="22"/>
              </w:rPr>
              <w:t xml:space="preserve">  2013.09</w:t>
            </w:r>
          </w:p>
        </w:tc>
      </w:tr>
      <w:tr w:rsidR="003717A0">
        <w:tc>
          <w:tcPr>
            <w:tcW w:w="1668" w:type="dxa"/>
          </w:tcPr>
          <w:p w:rsidR="003717A0" w:rsidRDefault="003717A0" w:rsidP="00F5156D">
            <w:pPr>
              <w:adjustRightInd w:val="0"/>
              <w:snapToGrid w:val="0"/>
              <w:spacing w:line="440" w:lineRule="exact"/>
              <w:rPr>
                <w:sz w:val="22"/>
              </w:rPr>
            </w:pPr>
          </w:p>
        </w:tc>
        <w:tc>
          <w:tcPr>
            <w:tcW w:w="1523" w:type="dxa"/>
          </w:tcPr>
          <w:p w:rsidR="003717A0" w:rsidRDefault="003717A0" w:rsidP="00F5156D">
            <w:pPr>
              <w:adjustRightInd w:val="0"/>
              <w:snapToGrid w:val="0"/>
              <w:spacing w:line="440" w:lineRule="exact"/>
              <w:rPr>
                <w:sz w:val="22"/>
              </w:rPr>
            </w:pPr>
          </w:p>
        </w:tc>
        <w:tc>
          <w:tcPr>
            <w:tcW w:w="1524" w:type="dxa"/>
            <w:gridSpan w:val="2"/>
          </w:tcPr>
          <w:p w:rsidR="003717A0" w:rsidRDefault="003717A0" w:rsidP="00F5156D">
            <w:pPr>
              <w:adjustRightInd w:val="0"/>
              <w:snapToGrid w:val="0"/>
              <w:spacing w:line="440" w:lineRule="exact"/>
              <w:rPr>
                <w:sz w:val="22"/>
              </w:rPr>
            </w:pPr>
          </w:p>
        </w:tc>
        <w:tc>
          <w:tcPr>
            <w:tcW w:w="1523" w:type="dxa"/>
            <w:gridSpan w:val="3"/>
          </w:tcPr>
          <w:p w:rsidR="003717A0" w:rsidRDefault="003717A0" w:rsidP="00F5156D">
            <w:pPr>
              <w:adjustRightInd w:val="0"/>
              <w:snapToGrid w:val="0"/>
              <w:spacing w:line="440" w:lineRule="exact"/>
              <w:rPr>
                <w:sz w:val="22"/>
              </w:rPr>
            </w:pPr>
          </w:p>
        </w:tc>
        <w:tc>
          <w:tcPr>
            <w:tcW w:w="1524" w:type="dxa"/>
            <w:gridSpan w:val="2"/>
          </w:tcPr>
          <w:p w:rsidR="003717A0" w:rsidRDefault="003717A0" w:rsidP="00F5156D">
            <w:pPr>
              <w:adjustRightInd w:val="0"/>
              <w:snapToGrid w:val="0"/>
              <w:spacing w:line="440" w:lineRule="exact"/>
              <w:rPr>
                <w:sz w:val="22"/>
              </w:rPr>
            </w:pPr>
          </w:p>
        </w:tc>
        <w:tc>
          <w:tcPr>
            <w:tcW w:w="1524" w:type="dxa"/>
          </w:tcPr>
          <w:p w:rsidR="003717A0" w:rsidRDefault="003717A0" w:rsidP="00F5156D">
            <w:pPr>
              <w:adjustRightInd w:val="0"/>
              <w:snapToGrid w:val="0"/>
              <w:spacing w:line="440" w:lineRule="exact"/>
              <w:rPr>
                <w:sz w:val="22"/>
              </w:rPr>
            </w:pPr>
          </w:p>
        </w:tc>
      </w:tr>
      <w:tr w:rsidR="003717A0">
        <w:tc>
          <w:tcPr>
            <w:tcW w:w="9286" w:type="dxa"/>
            <w:gridSpan w:val="10"/>
          </w:tcPr>
          <w:p w:rsidR="003717A0" w:rsidRDefault="003717A0" w:rsidP="00F5156D">
            <w:pPr>
              <w:adjustRightInd w:val="0"/>
              <w:snapToGrid w:val="0"/>
              <w:spacing w:line="440" w:lineRule="exact"/>
              <w:rPr>
                <w:sz w:val="22"/>
              </w:rPr>
            </w:pPr>
            <w:r>
              <w:rPr>
                <w:rFonts w:hint="eastAsia"/>
                <w:sz w:val="22"/>
              </w:rPr>
              <w:t>课程简介</w:t>
            </w:r>
          </w:p>
        </w:tc>
      </w:tr>
      <w:tr w:rsidR="003717A0">
        <w:tc>
          <w:tcPr>
            <w:tcW w:w="9286" w:type="dxa"/>
            <w:gridSpan w:val="10"/>
          </w:tcPr>
          <w:p w:rsidR="003717A0" w:rsidRDefault="003717A0" w:rsidP="00F5156D">
            <w:pPr>
              <w:adjustRightInd w:val="0"/>
              <w:snapToGrid w:val="0"/>
              <w:spacing w:line="440" w:lineRule="exact"/>
              <w:rPr>
                <w:sz w:val="24"/>
                <w:szCs w:val="24"/>
              </w:rPr>
            </w:pPr>
            <w:r>
              <w:rPr>
                <w:sz w:val="22"/>
              </w:rPr>
              <w:t xml:space="preserve">   </w:t>
            </w:r>
            <w:r>
              <w:rPr>
                <w:rFonts w:hint="eastAsia"/>
                <w:sz w:val="22"/>
              </w:rPr>
              <w:t>本课程主要介绍作业治疗实践中环境方面的问题和辅助器具的应用。环境方面包括物理治疗环境、社会环境和文化环境，着重解释作业活动与环境之间的相互作用，及其对残疾人所带来的影响。从技术、服务和系统方面，讲解辅助技术如何帮助残疾人、老年人进行功能代偿以促进其独立生活并充分发挥他们的潜力。主要从穿衣、进食、如厕、洗浴、个人卫生等方面选取和制作常用辅助器具。本课程注重学生的实际操作能力，同时为学生提供亲身体验有障碍环境和无障碍环境，以及不同种类的辅助技术、用具和相关设施的机会，以加强学生对本课程的理解，并明白作业治疗在环境方面所扮演的角色，增强学生对患者环境改造和辅助器具应用方面的自主性和创造性。</w:t>
            </w:r>
          </w:p>
        </w:tc>
      </w:tr>
    </w:tbl>
    <w:p w:rsidR="003717A0" w:rsidRDefault="003717A0" w:rsidP="00F5156D">
      <w:pPr>
        <w:widowControl/>
        <w:jc w:val="center"/>
        <w:rPr>
          <w:rFonts w:ascii="Times New Roman" w:eastAsia="黑体" w:hAnsi="Times New Roman" w:cs="Times New Roman"/>
          <w:b/>
          <w:bCs/>
          <w:kern w:val="0"/>
          <w:sz w:val="32"/>
          <w:szCs w:val="32"/>
        </w:rPr>
      </w:pPr>
    </w:p>
    <w:p w:rsidR="003717A0" w:rsidRPr="00F5156D" w:rsidRDefault="003717A0" w:rsidP="00F5156D">
      <w:pPr>
        <w:widowControl/>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适应对象：本科层次，作业治疗学专业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sz w:val="22"/>
        </w:rPr>
        <w:t>170702</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t>30</w:t>
      </w:r>
      <w:r>
        <w:rPr>
          <w:rFonts w:hint="eastAsia"/>
        </w:rPr>
        <w:t>（理论课：</w:t>
      </w:r>
      <w:r>
        <w:t xml:space="preserve">15 </w:t>
      </w:r>
      <w:r>
        <w:rPr>
          <w:rFonts w:hint="eastAsia"/>
        </w:rPr>
        <w:t>实践课：</w:t>
      </w:r>
      <w:r>
        <w:t>15</w:t>
      </w:r>
      <w:r>
        <w:rPr>
          <w:rFonts w:hint="eastAsia"/>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2</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w:t>
      </w:r>
      <w:r>
        <w:rPr>
          <w:rFonts w:ascii="宋体" w:hint="eastAsia"/>
          <w:szCs w:val="21"/>
        </w:rPr>
        <w:t>康复评定学</w:t>
      </w:r>
      <w:r>
        <w:rPr>
          <w:rFonts w:ascii="宋体"/>
          <w:szCs w:val="21"/>
        </w:rPr>
        <w:t xml:space="preserve">  </w:t>
      </w:r>
      <w:r>
        <w:rPr>
          <w:rFonts w:ascii="宋体" w:hint="eastAsia"/>
          <w:szCs w:val="21"/>
        </w:rPr>
        <w:t>作业治疗学概论</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spacing w:line="276" w:lineRule="auto"/>
        <w:ind w:firstLineChars="150" w:firstLine="315"/>
        <w:rPr>
          <w:rFonts w:ascii="Times New Roman" w:hAnsi="Times New Roman"/>
          <w:kern w:val="0"/>
          <w:szCs w:val="21"/>
        </w:rPr>
      </w:pPr>
      <w:r>
        <w:rPr>
          <w:rFonts w:ascii="Times New Roman" w:hAnsi="Times New Roman" w:hint="eastAsia"/>
          <w:kern w:val="0"/>
          <w:szCs w:val="21"/>
        </w:rPr>
        <w:t>本课程主要介绍作业治疗实践中环境方面的问题，包括物理治疗环境、社会环境和文化环境。着重解释作业活动与环境之间的相互作用，及其对残疾人所带来的影响。本课程注重学生的实际操作能力，同时为学生提供亲身体验有障碍环境和无障碍环境，以及不同种类的辅助技术、用具和相关设施的机会，以加强学生对本课程的理解，并明白作业治疗在环境方面所扮演的角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明确环境在作业活动中所扮演的角色，评估环境（物理和社会环境）对人类作业表现的影响。</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理解在残疾人的康复方面关于无障碍环境、环境改造和辅助器具的设计原则和技术方面的含义。</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探讨不同年龄阶段和不能残疾类型的人群，在与其生活和工作环境互动中所具有的能力和需求。</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批判性地评估现有的楼房、公共设施、辅助器具和工作环境方面一集有关的法律法规对不同残疾类型的人群所带来的方便和不足。</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从作业构成（感觉运动、认知和社会心理）的层面去联系实践无障碍环境和辅助器具设计方面的概念与原则</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认识当前科技发展在残疾人康复方面的应用，融会、发明并应用科技资讯去满足服务对象在环境和辅助器具方面的需求。</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系统性地对科技资讯和有关环境与辅助技术方面专业文献进行回顾和分析。</w:t>
      </w:r>
    </w:p>
    <w:p w:rsidR="003717A0" w:rsidRDefault="003717A0">
      <w:pPr>
        <w:spacing w:line="276" w:lineRule="auto"/>
        <w:ind w:firstLineChars="200" w:firstLine="420"/>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通过个案讨论和课题研究，能对所选择的个案在环境改造的效果、应用技术去改进作业治疗的疗效方面进行分析和评价。</w:t>
      </w:r>
    </w:p>
    <w:p w:rsidR="003717A0" w:rsidRDefault="003717A0">
      <w:pPr>
        <w:spacing w:line="276" w:lineRule="auto"/>
        <w:ind w:firstLineChars="150" w:firstLine="315"/>
        <w:rPr>
          <w:rFonts w:ascii="Times New Roman" w:hAnsi="Times New Roman"/>
          <w:kern w:val="0"/>
          <w:szCs w:val="21"/>
        </w:rPr>
      </w:pPr>
      <w:r>
        <w:rPr>
          <w:rFonts w:ascii="Times New Roman" w:hAnsi="Times New Roman"/>
          <w:kern w:val="0"/>
          <w:szCs w:val="21"/>
        </w:rPr>
        <w:t>9.</w:t>
      </w:r>
      <w:r>
        <w:rPr>
          <w:rFonts w:ascii="Times New Roman" w:hAnsi="Times New Roman" w:hint="eastAsia"/>
          <w:kern w:val="0"/>
          <w:szCs w:val="21"/>
        </w:rPr>
        <w:t>明确作业治疗师在为残疾人创造和争取平等机会以及对残疾人的接纳方面所扮演的角色。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rFonts w:ascii="Times New Roman" w:hAnsi="Times New Roman"/>
          <w:b/>
        </w:rPr>
      </w:pPr>
      <w:r>
        <w:rPr>
          <w:rFonts w:hint="eastAsia"/>
          <w:b/>
          <w:sz w:val="22"/>
        </w:rPr>
        <w:t>第一章</w:t>
      </w:r>
      <w:r>
        <w:rPr>
          <w:b/>
          <w:sz w:val="22"/>
        </w:rPr>
        <w:t xml:space="preserve">  </w:t>
      </w:r>
      <w:r>
        <w:rPr>
          <w:rFonts w:hint="eastAsia"/>
          <w:b/>
          <w:sz w:val="22"/>
        </w:rPr>
        <w:t>人类与环境之间的互动及其相互影响（人</w:t>
      </w:r>
      <w:r>
        <w:rPr>
          <w:b/>
          <w:sz w:val="22"/>
        </w:rPr>
        <w:t>—</w:t>
      </w:r>
      <w:r>
        <w:rPr>
          <w:rFonts w:hint="eastAsia"/>
          <w:b/>
          <w:sz w:val="22"/>
        </w:rPr>
        <w:t>环境</w:t>
      </w:r>
      <w:r>
        <w:rPr>
          <w:b/>
          <w:sz w:val="22"/>
        </w:rPr>
        <w:t>—</w:t>
      </w:r>
      <w:r>
        <w:rPr>
          <w:rFonts w:hint="eastAsia"/>
          <w:b/>
          <w:sz w:val="22"/>
        </w:rPr>
        <w:t>作业模式）</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教学内容（</w:t>
      </w:r>
      <w:r>
        <w:rPr>
          <w:rFonts w:ascii="Times New Roman" w:hAnsi="Times New Roman"/>
          <w:b/>
        </w:rPr>
        <w:t>2</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1</w:t>
      </w:r>
      <w:r>
        <w:rPr>
          <w:rFonts w:ascii="宋体" w:hint="eastAsia"/>
          <w:szCs w:val="21"/>
        </w:rPr>
        <w:t>）环境的概念。</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2</w:t>
      </w:r>
      <w:r>
        <w:rPr>
          <w:rFonts w:ascii="宋体" w:hint="eastAsia"/>
          <w:szCs w:val="21"/>
        </w:rPr>
        <w:t>）人类的行为。</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3</w:t>
      </w:r>
      <w:r>
        <w:rPr>
          <w:rFonts w:ascii="宋体" w:hint="eastAsia"/>
          <w:szCs w:val="21"/>
        </w:rPr>
        <w:t>）环境与人类作业活动。</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lastRenderedPageBreak/>
        <w:t>（</w:t>
      </w:r>
      <w:r>
        <w:rPr>
          <w:rFonts w:ascii="宋体"/>
          <w:szCs w:val="21"/>
        </w:rPr>
        <w:t>4</w:t>
      </w:r>
      <w:r>
        <w:rPr>
          <w:rFonts w:ascii="宋体" w:hint="eastAsia"/>
          <w:szCs w:val="21"/>
        </w:rPr>
        <w:t>）环境在不同的时段或区域对不同种类残疾人的作业行为的影响。</w:t>
      </w:r>
    </w:p>
    <w:p w:rsidR="003717A0" w:rsidRDefault="003717A0">
      <w:pPr>
        <w:autoSpaceDE w:val="0"/>
        <w:autoSpaceDN w:val="0"/>
        <w:adjustRightInd w:val="0"/>
        <w:snapToGrid w:val="0"/>
        <w:spacing w:line="440" w:lineRule="exact"/>
        <w:ind w:firstLineChars="196" w:firstLine="412"/>
        <w:jc w:val="left"/>
        <w:rPr>
          <w:rFonts w:ascii="Times New Roman" w:hAnsi="Times New Roman"/>
          <w:b/>
        </w:rPr>
      </w:pPr>
      <w:r>
        <w:rPr>
          <w:rFonts w:ascii="宋体"/>
          <w:szCs w:val="21"/>
        </w:rPr>
        <w:t xml:space="preserve"> </w:t>
      </w:r>
      <w:r>
        <w:rPr>
          <w:rFonts w:ascii="Times New Roman" w:hAnsi="Times New Roman" w:hint="eastAsia"/>
          <w:b/>
        </w:rPr>
        <w:t>见习内容（</w:t>
      </w:r>
      <w:r>
        <w:rPr>
          <w:rFonts w:ascii="Times New Roman" w:hAnsi="Times New Roman"/>
          <w:b/>
        </w:rPr>
        <w:t>2</w:t>
      </w:r>
      <w:r>
        <w:rPr>
          <w:rFonts w:ascii="Times New Roman" w:hAnsi="Times New Roman" w:hint="eastAsia"/>
          <w:b/>
        </w:rPr>
        <w:t>学时）</w:t>
      </w:r>
    </w:p>
    <w:p w:rsidR="003717A0" w:rsidRDefault="003717A0">
      <w:pPr>
        <w:numPr>
          <w:ilvl w:val="0"/>
          <w:numId w:val="225"/>
        </w:numPr>
        <w:autoSpaceDE w:val="0"/>
        <w:autoSpaceDN w:val="0"/>
        <w:adjustRightInd w:val="0"/>
        <w:snapToGrid w:val="0"/>
        <w:spacing w:line="440" w:lineRule="exact"/>
        <w:jc w:val="left"/>
        <w:rPr>
          <w:rFonts w:ascii="宋体"/>
          <w:szCs w:val="21"/>
        </w:rPr>
      </w:pPr>
      <w:r>
        <w:rPr>
          <w:rFonts w:ascii="宋体" w:hint="eastAsia"/>
          <w:szCs w:val="21"/>
        </w:rPr>
        <w:t>对环境进行分类</w:t>
      </w:r>
    </w:p>
    <w:p w:rsidR="003717A0" w:rsidRDefault="003717A0">
      <w:pPr>
        <w:numPr>
          <w:ilvl w:val="0"/>
          <w:numId w:val="225"/>
        </w:numPr>
        <w:autoSpaceDE w:val="0"/>
        <w:autoSpaceDN w:val="0"/>
        <w:adjustRightInd w:val="0"/>
        <w:snapToGrid w:val="0"/>
        <w:spacing w:line="440" w:lineRule="exact"/>
        <w:jc w:val="left"/>
        <w:rPr>
          <w:rFonts w:ascii="宋体"/>
          <w:szCs w:val="21"/>
        </w:rPr>
      </w:pPr>
      <w:r>
        <w:rPr>
          <w:rFonts w:ascii="宋体" w:hint="eastAsia"/>
          <w:szCs w:val="21"/>
        </w:rPr>
        <w:t>分析环境因素对人类作业活动及影响</w:t>
      </w:r>
    </w:p>
    <w:p w:rsidR="003717A0" w:rsidRDefault="003717A0">
      <w:pPr>
        <w:numPr>
          <w:ilvl w:val="0"/>
          <w:numId w:val="225"/>
        </w:numPr>
        <w:autoSpaceDE w:val="0"/>
        <w:autoSpaceDN w:val="0"/>
        <w:adjustRightInd w:val="0"/>
        <w:snapToGrid w:val="0"/>
        <w:spacing w:line="440" w:lineRule="exact"/>
        <w:jc w:val="left"/>
        <w:rPr>
          <w:rFonts w:ascii="宋体"/>
          <w:szCs w:val="21"/>
        </w:rPr>
      </w:pPr>
      <w:r>
        <w:rPr>
          <w:rFonts w:ascii="宋体" w:hint="eastAsia"/>
          <w:szCs w:val="21"/>
        </w:rPr>
        <w:t>分析环境因素对心理和情绪及行为技巧的影响</w:t>
      </w:r>
    </w:p>
    <w:p w:rsidR="003717A0" w:rsidRDefault="003717A0">
      <w:pPr>
        <w:numPr>
          <w:ilvl w:val="0"/>
          <w:numId w:val="225"/>
        </w:numPr>
        <w:autoSpaceDE w:val="0"/>
        <w:autoSpaceDN w:val="0"/>
        <w:adjustRightInd w:val="0"/>
        <w:snapToGrid w:val="0"/>
        <w:spacing w:line="440" w:lineRule="exact"/>
        <w:jc w:val="left"/>
        <w:rPr>
          <w:rFonts w:ascii="宋体"/>
          <w:szCs w:val="21"/>
        </w:rPr>
      </w:pPr>
      <w:r>
        <w:rPr>
          <w:rFonts w:ascii="宋体" w:hint="eastAsia"/>
          <w:szCs w:val="21"/>
        </w:rPr>
        <w:t>从物理环境和社会环境角度分析对残疾人的影响</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b/>
        </w:rPr>
        <w:t xml:space="preserve"> </w:t>
      </w:r>
      <w:r>
        <w:rPr>
          <w:rFonts w:ascii="Times New Roman" w:hAnsi="Times New Roman" w:hint="eastAsia"/>
          <w:b/>
        </w:rPr>
        <w:t>目的要求</w:t>
      </w:r>
      <w:r>
        <w:rPr>
          <w:rFonts w:ascii="宋体"/>
          <w:szCs w:val="21"/>
        </w:rPr>
        <w:t xml:space="preserve"> </w:t>
      </w:r>
    </w:p>
    <w:p w:rsidR="003717A0" w:rsidRDefault="003717A0">
      <w:pPr>
        <w:numPr>
          <w:ilvl w:val="0"/>
          <w:numId w:val="226"/>
        </w:numPr>
        <w:autoSpaceDE w:val="0"/>
        <w:autoSpaceDN w:val="0"/>
        <w:adjustRightInd w:val="0"/>
        <w:snapToGrid w:val="0"/>
        <w:spacing w:line="440" w:lineRule="exact"/>
        <w:jc w:val="left"/>
        <w:rPr>
          <w:rFonts w:ascii="宋体"/>
          <w:szCs w:val="21"/>
        </w:rPr>
      </w:pPr>
      <w:r>
        <w:rPr>
          <w:rFonts w:ascii="宋体" w:hint="eastAsia"/>
          <w:szCs w:val="21"/>
        </w:rPr>
        <w:t>了解环境的概念和学习目的</w:t>
      </w:r>
    </w:p>
    <w:p w:rsidR="003717A0" w:rsidRDefault="003717A0">
      <w:pPr>
        <w:numPr>
          <w:ilvl w:val="0"/>
          <w:numId w:val="226"/>
        </w:numPr>
        <w:autoSpaceDE w:val="0"/>
        <w:autoSpaceDN w:val="0"/>
        <w:adjustRightInd w:val="0"/>
        <w:snapToGrid w:val="0"/>
        <w:spacing w:line="440" w:lineRule="exact"/>
        <w:jc w:val="left"/>
        <w:rPr>
          <w:rFonts w:ascii="宋体"/>
          <w:szCs w:val="21"/>
        </w:rPr>
      </w:pPr>
      <w:r>
        <w:rPr>
          <w:rFonts w:ascii="宋体" w:hint="eastAsia"/>
          <w:szCs w:val="21"/>
        </w:rPr>
        <w:t>掌握环境的分类和人与环境之间的关系</w:t>
      </w:r>
    </w:p>
    <w:p w:rsidR="003717A0" w:rsidRDefault="003717A0">
      <w:pPr>
        <w:numPr>
          <w:ilvl w:val="0"/>
          <w:numId w:val="226"/>
        </w:numPr>
        <w:autoSpaceDE w:val="0"/>
        <w:autoSpaceDN w:val="0"/>
        <w:adjustRightInd w:val="0"/>
        <w:snapToGrid w:val="0"/>
        <w:spacing w:line="440" w:lineRule="exact"/>
        <w:jc w:val="left"/>
        <w:rPr>
          <w:rFonts w:ascii="宋体"/>
          <w:szCs w:val="21"/>
        </w:rPr>
      </w:pPr>
      <w:r>
        <w:rPr>
          <w:rFonts w:ascii="宋体" w:hint="eastAsia"/>
          <w:szCs w:val="21"/>
        </w:rPr>
        <w:t>掌握环境在不同的时段或区域对不同种类残疾人的作业行为的影响</w:t>
      </w:r>
    </w:p>
    <w:p w:rsidR="003717A0" w:rsidRDefault="003717A0" w:rsidP="005E20B5">
      <w:pPr>
        <w:adjustRightInd w:val="0"/>
        <w:snapToGrid w:val="0"/>
        <w:spacing w:beforeLines="50" w:line="360" w:lineRule="auto"/>
        <w:ind w:right="6"/>
        <w:jc w:val="center"/>
        <w:rPr>
          <w:b/>
          <w:sz w:val="22"/>
        </w:rPr>
      </w:pPr>
      <w:r>
        <w:rPr>
          <w:rFonts w:hint="eastAsia"/>
          <w:b/>
          <w:sz w:val="22"/>
        </w:rPr>
        <w:t>第二章</w:t>
      </w:r>
      <w:r>
        <w:rPr>
          <w:b/>
          <w:sz w:val="22"/>
        </w:rPr>
        <w:t xml:space="preserve">  </w:t>
      </w:r>
      <w:r>
        <w:rPr>
          <w:rFonts w:hint="eastAsia"/>
          <w:b/>
          <w:sz w:val="22"/>
        </w:rPr>
        <w:t>环境的评估</w:t>
      </w:r>
    </w:p>
    <w:p w:rsidR="003717A0" w:rsidRDefault="003717A0">
      <w:pPr>
        <w:autoSpaceDE w:val="0"/>
        <w:autoSpaceDN w:val="0"/>
        <w:adjustRightInd w:val="0"/>
        <w:snapToGrid w:val="0"/>
        <w:spacing w:line="440" w:lineRule="exact"/>
        <w:ind w:firstLineChars="245" w:firstLine="517"/>
        <w:jc w:val="left"/>
        <w:rPr>
          <w:rFonts w:ascii="宋体"/>
          <w:szCs w:val="21"/>
        </w:rPr>
      </w:pPr>
      <w:r>
        <w:rPr>
          <w:rFonts w:ascii="Times New Roman" w:hAnsi="Times New Roman" w:hint="eastAsia"/>
          <w:b/>
        </w:rPr>
        <w:t>教学内容（</w:t>
      </w:r>
      <w:r>
        <w:rPr>
          <w:rFonts w:ascii="Times New Roman" w:hAnsi="Times New Roman"/>
          <w:b/>
        </w:rPr>
        <w:t>2</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1</w:t>
      </w:r>
      <w:r>
        <w:rPr>
          <w:rFonts w:ascii="宋体" w:hint="eastAsia"/>
          <w:szCs w:val="21"/>
        </w:rPr>
        <w:t>）非标准化的评估方法。</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环境的安全性</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物件的可获得性和环境的可进出性</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患者在实际环境中的作业活动表现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与患者或家属进行实际面谈的情况</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2</w:t>
      </w:r>
      <w:r>
        <w:rPr>
          <w:rFonts w:ascii="宋体" w:hint="eastAsia"/>
          <w:szCs w:val="21"/>
        </w:rPr>
        <w:t>）标准化评估方法。</w:t>
      </w:r>
    </w:p>
    <w:p w:rsidR="003717A0" w:rsidRDefault="003717A0">
      <w:pPr>
        <w:autoSpaceDE w:val="0"/>
        <w:autoSpaceDN w:val="0"/>
        <w:adjustRightInd w:val="0"/>
        <w:snapToGrid w:val="0"/>
        <w:spacing w:line="440" w:lineRule="exact"/>
        <w:ind w:firstLineChars="196" w:firstLine="412"/>
        <w:jc w:val="left"/>
        <w:rPr>
          <w:rFonts w:ascii="Times New Roman" w:hAnsi="Times New Roman"/>
          <w:b/>
        </w:rPr>
      </w:pPr>
      <w:r>
        <w:rPr>
          <w:rFonts w:ascii="宋体"/>
          <w:szCs w:val="21"/>
        </w:rPr>
        <w:t xml:space="preserve"> </w:t>
      </w:r>
      <w:r>
        <w:rPr>
          <w:rFonts w:ascii="Times New Roman" w:hAnsi="Times New Roman" w:hint="eastAsia"/>
          <w:b/>
        </w:rPr>
        <w:t>见习内容（</w:t>
      </w:r>
      <w:r>
        <w:rPr>
          <w:rFonts w:ascii="Times New Roman" w:hAnsi="Times New Roman"/>
          <w:b/>
        </w:rPr>
        <w:t>2</w:t>
      </w:r>
      <w:r>
        <w:rPr>
          <w:rFonts w:ascii="Times New Roman" w:hAnsi="Times New Roman" w:hint="eastAsia"/>
          <w:b/>
        </w:rPr>
        <w:t>学时）</w:t>
      </w:r>
    </w:p>
    <w:p w:rsidR="003717A0" w:rsidRDefault="003717A0">
      <w:pPr>
        <w:numPr>
          <w:ilvl w:val="0"/>
          <w:numId w:val="227"/>
        </w:numPr>
        <w:autoSpaceDE w:val="0"/>
        <w:autoSpaceDN w:val="0"/>
        <w:adjustRightInd w:val="0"/>
        <w:snapToGrid w:val="0"/>
        <w:spacing w:line="440" w:lineRule="exact"/>
        <w:jc w:val="left"/>
        <w:rPr>
          <w:rFonts w:ascii="宋体"/>
          <w:szCs w:val="21"/>
        </w:rPr>
      </w:pPr>
      <w:r>
        <w:rPr>
          <w:rFonts w:ascii="宋体" w:hint="eastAsia"/>
          <w:szCs w:val="21"/>
        </w:rPr>
        <w:t>分析环境的安全性</w:t>
      </w:r>
      <w:r>
        <w:rPr>
          <w:rFonts w:ascii="宋体"/>
          <w:szCs w:val="21"/>
        </w:rPr>
        <w:t>,</w:t>
      </w:r>
      <w:r>
        <w:rPr>
          <w:rFonts w:ascii="宋体" w:hint="eastAsia"/>
          <w:szCs w:val="21"/>
        </w:rPr>
        <w:t>包括导致绊倒的危险因素、光线、电线和插座、家具楼梯等</w:t>
      </w:r>
    </w:p>
    <w:p w:rsidR="003717A0" w:rsidRDefault="003717A0">
      <w:pPr>
        <w:numPr>
          <w:ilvl w:val="0"/>
          <w:numId w:val="227"/>
        </w:numPr>
        <w:autoSpaceDE w:val="0"/>
        <w:autoSpaceDN w:val="0"/>
        <w:adjustRightInd w:val="0"/>
        <w:snapToGrid w:val="0"/>
        <w:spacing w:line="440" w:lineRule="exact"/>
        <w:jc w:val="left"/>
        <w:rPr>
          <w:rFonts w:ascii="宋体"/>
          <w:szCs w:val="21"/>
        </w:rPr>
      </w:pPr>
      <w:r>
        <w:rPr>
          <w:rFonts w:ascii="宋体" w:hint="eastAsia"/>
          <w:szCs w:val="21"/>
        </w:rPr>
        <w:t>分析物件的可获得性，如洗漱用品的可获得性、浴室的设置等</w:t>
      </w:r>
    </w:p>
    <w:p w:rsidR="003717A0" w:rsidRDefault="003717A0">
      <w:pPr>
        <w:numPr>
          <w:ilvl w:val="0"/>
          <w:numId w:val="227"/>
        </w:numPr>
        <w:autoSpaceDE w:val="0"/>
        <w:autoSpaceDN w:val="0"/>
        <w:adjustRightInd w:val="0"/>
        <w:snapToGrid w:val="0"/>
        <w:spacing w:line="440" w:lineRule="exact"/>
        <w:jc w:val="left"/>
        <w:rPr>
          <w:rFonts w:ascii="宋体"/>
          <w:szCs w:val="21"/>
        </w:rPr>
      </w:pPr>
      <w:r>
        <w:rPr>
          <w:rFonts w:ascii="宋体" w:hint="eastAsia"/>
          <w:szCs w:val="21"/>
        </w:rPr>
        <w:t>分析环境的可进出性，如房间的通道、家具的摆放等</w:t>
      </w:r>
    </w:p>
    <w:p w:rsidR="003717A0" w:rsidRDefault="003717A0">
      <w:pPr>
        <w:numPr>
          <w:ilvl w:val="0"/>
          <w:numId w:val="227"/>
        </w:numPr>
        <w:autoSpaceDE w:val="0"/>
        <w:autoSpaceDN w:val="0"/>
        <w:adjustRightInd w:val="0"/>
        <w:snapToGrid w:val="0"/>
        <w:spacing w:line="440" w:lineRule="exact"/>
        <w:jc w:val="left"/>
        <w:rPr>
          <w:rFonts w:ascii="宋体"/>
          <w:szCs w:val="21"/>
        </w:rPr>
      </w:pPr>
      <w:r>
        <w:rPr>
          <w:rFonts w:ascii="宋体" w:hint="eastAsia"/>
          <w:szCs w:val="21"/>
        </w:rPr>
        <w:t>模拟与患者或家属进行面谈的情况，内容包括物理环境方面、发病前的居住情况、发病前是否有使用辅助器具以及使用的情况、社会环境方面</w:t>
      </w:r>
    </w:p>
    <w:p w:rsidR="003717A0" w:rsidRDefault="003717A0">
      <w:pPr>
        <w:numPr>
          <w:ilvl w:val="0"/>
          <w:numId w:val="227"/>
        </w:numPr>
        <w:autoSpaceDE w:val="0"/>
        <w:autoSpaceDN w:val="0"/>
        <w:adjustRightInd w:val="0"/>
        <w:snapToGrid w:val="0"/>
        <w:spacing w:line="440" w:lineRule="exact"/>
        <w:jc w:val="left"/>
        <w:rPr>
          <w:rFonts w:ascii="宋体"/>
          <w:szCs w:val="21"/>
        </w:rPr>
      </w:pPr>
      <w:r>
        <w:rPr>
          <w:rFonts w:ascii="宋体" w:hint="eastAsia"/>
          <w:szCs w:val="21"/>
        </w:rPr>
        <w:t>评估并填写《康复环境和功能安全检查量表》</w:t>
      </w:r>
    </w:p>
    <w:p w:rsidR="003717A0" w:rsidRDefault="003717A0">
      <w:pPr>
        <w:autoSpaceDE w:val="0"/>
        <w:autoSpaceDN w:val="0"/>
        <w:adjustRightInd w:val="0"/>
        <w:snapToGrid w:val="0"/>
        <w:spacing w:line="440" w:lineRule="exact"/>
        <w:jc w:val="left"/>
        <w:rPr>
          <w:rFonts w:ascii="Times New Roman" w:hAnsi="Times New Roman"/>
          <w:b/>
        </w:rPr>
      </w:pPr>
      <w:r>
        <w:rPr>
          <w:rFonts w:ascii="Times New Roman" w:hAnsi="Times New Roman"/>
          <w:b/>
        </w:rPr>
        <w:t xml:space="preserve">     </w:t>
      </w:r>
      <w:r>
        <w:rPr>
          <w:rFonts w:ascii="Times New Roman" w:hAnsi="Times New Roman" w:hint="eastAsia"/>
          <w:b/>
        </w:rPr>
        <w:t>目的要求</w:t>
      </w:r>
    </w:p>
    <w:p w:rsidR="003717A0" w:rsidRDefault="003717A0">
      <w:pPr>
        <w:numPr>
          <w:ilvl w:val="0"/>
          <w:numId w:val="228"/>
        </w:numPr>
        <w:autoSpaceDE w:val="0"/>
        <w:autoSpaceDN w:val="0"/>
        <w:adjustRightInd w:val="0"/>
        <w:snapToGrid w:val="0"/>
        <w:spacing w:line="440" w:lineRule="exact"/>
        <w:jc w:val="left"/>
        <w:rPr>
          <w:rFonts w:ascii="宋体"/>
          <w:szCs w:val="21"/>
        </w:rPr>
      </w:pPr>
      <w:r>
        <w:rPr>
          <w:rFonts w:ascii="宋体" w:hint="eastAsia"/>
          <w:szCs w:val="21"/>
        </w:rPr>
        <w:t>了解非标准化评估方法的优缺点</w:t>
      </w:r>
    </w:p>
    <w:p w:rsidR="003717A0" w:rsidRDefault="003717A0">
      <w:pPr>
        <w:numPr>
          <w:ilvl w:val="0"/>
          <w:numId w:val="228"/>
        </w:numPr>
        <w:autoSpaceDE w:val="0"/>
        <w:autoSpaceDN w:val="0"/>
        <w:adjustRightInd w:val="0"/>
        <w:snapToGrid w:val="0"/>
        <w:spacing w:line="440" w:lineRule="exact"/>
        <w:jc w:val="left"/>
        <w:rPr>
          <w:rFonts w:ascii="宋体"/>
          <w:szCs w:val="21"/>
        </w:rPr>
      </w:pPr>
      <w:r>
        <w:rPr>
          <w:rFonts w:ascii="宋体" w:hint="eastAsia"/>
          <w:szCs w:val="21"/>
        </w:rPr>
        <w:t>掌握对物件的可获得性和环境的可进出性的分析</w:t>
      </w:r>
    </w:p>
    <w:p w:rsidR="003717A0" w:rsidRDefault="003717A0">
      <w:pPr>
        <w:numPr>
          <w:ilvl w:val="0"/>
          <w:numId w:val="228"/>
        </w:numPr>
        <w:autoSpaceDE w:val="0"/>
        <w:autoSpaceDN w:val="0"/>
        <w:adjustRightInd w:val="0"/>
        <w:snapToGrid w:val="0"/>
        <w:spacing w:line="440" w:lineRule="exact"/>
        <w:jc w:val="left"/>
        <w:rPr>
          <w:rFonts w:ascii="宋体"/>
          <w:szCs w:val="21"/>
        </w:rPr>
      </w:pPr>
      <w:r>
        <w:rPr>
          <w:rFonts w:ascii="宋体" w:hint="eastAsia"/>
          <w:szCs w:val="21"/>
        </w:rPr>
        <w:t>熟悉患者在实际环境中的作业活动可能遇到的困难</w:t>
      </w:r>
    </w:p>
    <w:p w:rsidR="003717A0" w:rsidRDefault="003717A0">
      <w:pPr>
        <w:numPr>
          <w:ilvl w:val="0"/>
          <w:numId w:val="228"/>
        </w:numPr>
        <w:autoSpaceDE w:val="0"/>
        <w:autoSpaceDN w:val="0"/>
        <w:adjustRightInd w:val="0"/>
        <w:snapToGrid w:val="0"/>
        <w:spacing w:line="440" w:lineRule="exact"/>
        <w:jc w:val="left"/>
        <w:rPr>
          <w:rFonts w:ascii="宋体"/>
          <w:szCs w:val="21"/>
        </w:rPr>
      </w:pPr>
      <w:r>
        <w:rPr>
          <w:rFonts w:ascii="宋体" w:hint="eastAsia"/>
          <w:szCs w:val="21"/>
        </w:rPr>
        <w:t>熟悉运用《康复环境和功能安全检查量表》</w:t>
      </w: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环境的改造</w:t>
      </w:r>
    </w:p>
    <w:p w:rsidR="003717A0" w:rsidRDefault="003717A0">
      <w:pPr>
        <w:autoSpaceDE w:val="0"/>
        <w:autoSpaceDN w:val="0"/>
        <w:adjustRightInd w:val="0"/>
        <w:snapToGrid w:val="0"/>
        <w:spacing w:line="440" w:lineRule="exact"/>
        <w:ind w:firstLineChars="196" w:firstLine="413"/>
        <w:jc w:val="left"/>
        <w:rPr>
          <w:rFonts w:ascii="Times New Roman" w:hAnsi="Times New Roman"/>
          <w:b/>
        </w:rPr>
      </w:pPr>
      <w:r>
        <w:rPr>
          <w:rFonts w:ascii="Times New Roman" w:hAnsi="Times New Roman" w:hint="eastAsia"/>
          <w:b/>
        </w:rPr>
        <w:lastRenderedPageBreak/>
        <w:t>教学内容（</w:t>
      </w:r>
      <w:r>
        <w:rPr>
          <w:rFonts w:ascii="Times New Roman" w:hAnsi="Times New Roman"/>
          <w:b/>
        </w:rPr>
        <w:t>3</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1</w:t>
      </w:r>
      <w:r>
        <w:rPr>
          <w:rFonts w:ascii="宋体" w:hint="eastAsia"/>
          <w:szCs w:val="21"/>
        </w:rPr>
        <w:t>）辅助器具的使用</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2</w:t>
      </w:r>
      <w:r>
        <w:rPr>
          <w:rFonts w:ascii="宋体" w:hint="eastAsia"/>
          <w:szCs w:val="21"/>
        </w:rPr>
        <w:t>）物理结构的改造</w:t>
      </w:r>
      <w:r>
        <w:rPr>
          <w:rFonts w:ascii="宋体"/>
          <w:szCs w:val="21"/>
        </w:rPr>
        <w:t>:</w:t>
      </w:r>
      <w:r>
        <w:rPr>
          <w:rFonts w:ascii="宋体" w:hint="eastAsia"/>
          <w:szCs w:val="21"/>
        </w:rPr>
        <w:t>非房屋结构的改造、房屋结构的改造</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3</w:t>
      </w:r>
      <w:r>
        <w:rPr>
          <w:rFonts w:ascii="宋体" w:hint="eastAsia"/>
          <w:szCs w:val="21"/>
        </w:rPr>
        <w:t>）物件的改造</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4</w:t>
      </w:r>
      <w:r>
        <w:rPr>
          <w:rFonts w:ascii="宋体" w:hint="eastAsia"/>
          <w:szCs w:val="21"/>
        </w:rPr>
        <w:t>）作业活动的调整</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5</w:t>
      </w:r>
      <w:r>
        <w:rPr>
          <w:rFonts w:ascii="宋体" w:hint="eastAsia"/>
          <w:szCs w:val="21"/>
        </w:rPr>
        <w:t>）改造方案</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6</w:t>
      </w:r>
      <w:r>
        <w:rPr>
          <w:rFonts w:ascii="宋体" w:hint="eastAsia"/>
          <w:szCs w:val="21"/>
        </w:rPr>
        <w:t>）无障碍环境的标准和要求</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7</w:t>
      </w:r>
      <w:r>
        <w:rPr>
          <w:rFonts w:ascii="宋体" w:hint="eastAsia"/>
          <w:szCs w:val="21"/>
        </w:rPr>
        <w:t>）家访</w:t>
      </w:r>
    </w:p>
    <w:p w:rsidR="003717A0" w:rsidRDefault="003717A0">
      <w:pPr>
        <w:autoSpaceDE w:val="0"/>
        <w:autoSpaceDN w:val="0"/>
        <w:adjustRightInd w:val="0"/>
        <w:snapToGrid w:val="0"/>
        <w:spacing w:line="440" w:lineRule="exact"/>
        <w:ind w:firstLineChars="346" w:firstLine="727"/>
        <w:jc w:val="left"/>
        <w:rPr>
          <w:rFonts w:ascii="宋体"/>
          <w:szCs w:val="21"/>
        </w:rPr>
      </w:pPr>
      <w:r>
        <w:rPr>
          <w:rFonts w:ascii="宋体" w:hint="eastAsia"/>
          <w:szCs w:val="21"/>
        </w:rPr>
        <w:t>（</w:t>
      </w:r>
      <w:r>
        <w:rPr>
          <w:rFonts w:ascii="宋体"/>
          <w:szCs w:val="21"/>
        </w:rPr>
        <w:t>8</w:t>
      </w:r>
      <w:r>
        <w:rPr>
          <w:rFonts w:ascii="宋体" w:hint="eastAsia"/>
          <w:szCs w:val="21"/>
        </w:rPr>
        <w:t>）其他社会资源的利用</w:t>
      </w:r>
    </w:p>
    <w:p w:rsidR="003717A0" w:rsidRDefault="003717A0">
      <w:pPr>
        <w:autoSpaceDE w:val="0"/>
        <w:autoSpaceDN w:val="0"/>
        <w:adjustRightInd w:val="0"/>
        <w:snapToGrid w:val="0"/>
        <w:spacing w:line="440" w:lineRule="exact"/>
        <w:ind w:firstLineChars="196" w:firstLine="413"/>
        <w:jc w:val="left"/>
        <w:rPr>
          <w:rFonts w:ascii="Times New Roman" w:hAnsi="Times New Roman"/>
          <w:b/>
        </w:rPr>
      </w:pPr>
      <w:r>
        <w:rPr>
          <w:rFonts w:ascii="Times New Roman" w:hAnsi="Times New Roman" w:hint="eastAsia"/>
          <w:b/>
        </w:rPr>
        <w:t>见习内容（</w:t>
      </w:r>
      <w:r>
        <w:rPr>
          <w:rFonts w:ascii="Times New Roman" w:hAnsi="Times New Roman"/>
          <w:b/>
        </w:rPr>
        <w:t>3</w:t>
      </w:r>
      <w:r>
        <w:rPr>
          <w:rFonts w:ascii="Times New Roman" w:hAnsi="Times New Roman" w:hint="eastAsia"/>
          <w:b/>
        </w:rPr>
        <w:t>学时）</w:t>
      </w:r>
    </w:p>
    <w:p w:rsidR="003717A0" w:rsidRDefault="003717A0">
      <w:pPr>
        <w:numPr>
          <w:ilvl w:val="0"/>
          <w:numId w:val="229"/>
        </w:numPr>
        <w:autoSpaceDE w:val="0"/>
        <w:autoSpaceDN w:val="0"/>
        <w:adjustRightInd w:val="0"/>
        <w:snapToGrid w:val="0"/>
        <w:spacing w:line="440" w:lineRule="exact"/>
        <w:jc w:val="left"/>
        <w:rPr>
          <w:rFonts w:ascii="宋体"/>
          <w:szCs w:val="21"/>
        </w:rPr>
      </w:pPr>
      <w:r>
        <w:rPr>
          <w:rFonts w:ascii="宋体" w:hint="eastAsia"/>
          <w:szCs w:val="21"/>
        </w:rPr>
        <w:t>为患者选择辅助器具并指导患者最有效地使用辅助器具</w:t>
      </w:r>
    </w:p>
    <w:p w:rsidR="003717A0" w:rsidRDefault="003717A0">
      <w:pPr>
        <w:numPr>
          <w:ilvl w:val="0"/>
          <w:numId w:val="229"/>
        </w:numPr>
        <w:autoSpaceDE w:val="0"/>
        <w:autoSpaceDN w:val="0"/>
        <w:adjustRightInd w:val="0"/>
        <w:snapToGrid w:val="0"/>
        <w:spacing w:line="440" w:lineRule="exact"/>
        <w:jc w:val="left"/>
        <w:rPr>
          <w:rFonts w:ascii="宋体"/>
          <w:szCs w:val="21"/>
        </w:rPr>
      </w:pPr>
      <w:r>
        <w:rPr>
          <w:rFonts w:ascii="宋体" w:hint="eastAsia"/>
          <w:szCs w:val="21"/>
        </w:rPr>
        <w:t>帮助患者找一些更安全的地方去存放可能导致绊倒危险的物品，提出墙壁、地板、过道、楼梯的改造方法</w:t>
      </w:r>
    </w:p>
    <w:p w:rsidR="003717A0" w:rsidRDefault="003717A0">
      <w:pPr>
        <w:numPr>
          <w:ilvl w:val="0"/>
          <w:numId w:val="229"/>
        </w:numPr>
        <w:autoSpaceDE w:val="0"/>
        <w:autoSpaceDN w:val="0"/>
        <w:adjustRightInd w:val="0"/>
        <w:snapToGrid w:val="0"/>
        <w:spacing w:line="440" w:lineRule="exact"/>
        <w:jc w:val="left"/>
        <w:rPr>
          <w:rFonts w:ascii="宋体"/>
          <w:szCs w:val="21"/>
        </w:rPr>
      </w:pPr>
      <w:r>
        <w:rPr>
          <w:rFonts w:ascii="宋体" w:hint="eastAsia"/>
          <w:szCs w:val="21"/>
        </w:rPr>
        <w:t>充分考虑物件的实用性和外观，进行物件改造</w:t>
      </w:r>
    </w:p>
    <w:p w:rsidR="003717A0" w:rsidRDefault="003717A0">
      <w:pPr>
        <w:numPr>
          <w:ilvl w:val="0"/>
          <w:numId w:val="229"/>
        </w:numPr>
        <w:autoSpaceDE w:val="0"/>
        <w:autoSpaceDN w:val="0"/>
        <w:adjustRightInd w:val="0"/>
        <w:snapToGrid w:val="0"/>
        <w:spacing w:line="440" w:lineRule="exact"/>
        <w:jc w:val="left"/>
        <w:rPr>
          <w:rFonts w:ascii="宋体"/>
          <w:szCs w:val="21"/>
        </w:rPr>
      </w:pPr>
      <w:r>
        <w:rPr>
          <w:rFonts w:ascii="宋体" w:hint="eastAsia"/>
          <w:szCs w:val="21"/>
        </w:rPr>
        <w:t>对患者的作业活动进行调整</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目的要求</w:t>
      </w:r>
    </w:p>
    <w:p w:rsidR="003717A0" w:rsidRDefault="003717A0">
      <w:pPr>
        <w:numPr>
          <w:ilvl w:val="0"/>
          <w:numId w:val="230"/>
        </w:numPr>
        <w:autoSpaceDE w:val="0"/>
        <w:autoSpaceDN w:val="0"/>
        <w:adjustRightInd w:val="0"/>
        <w:snapToGrid w:val="0"/>
        <w:spacing w:line="440" w:lineRule="exact"/>
        <w:jc w:val="left"/>
        <w:rPr>
          <w:rFonts w:ascii="宋体"/>
          <w:szCs w:val="21"/>
        </w:rPr>
      </w:pPr>
      <w:r>
        <w:rPr>
          <w:rFonts w:ascii="宋体" w:hint="eastAsia"/>
          <w:szCs w:val="21"/>
        </w:rPr>
        <w:t>了解环境改造的目的</w:t>
      </w:r>
      <w:r>
        <w:rPr>
          <w:rFonts w:ascii="宋体"/>
          <w:szCs w:val="21"/>
        </w:rPr>
        <w:t>;</w:t>
      </w:r>
      <w:r>
        <w:rPr>
          <w:rFonts w:ascii="宋体" w:hint="eastAsia"/>
          <w:szCs w:val="21"/>
        </w:rPr>
        <w:t>熟悉环境改造的分类</w:t>
      </w:r>
    </w:p>
    <w:p w:rsidR="003717A0" w:rsidRDefault="003717A0">
      <w:pPr>
        <w:numPr>
          <w:ilvl w:val="0"/>
          <w:numId w:val="230"/>
        </w:numPr>
        <w:autoSpaceDE w:val="0"/>
        <w:autoSpaceDN w:val="0"/>
        <w:adjustRightInd w:val="0"/>
        <w:snapToGrid w:val="0"/>
        <w:spacing w:line="440" w:lineRule="exact"/>
        <w:jc w:val="left"/>
        <w:rPr>
          <w:rFonts w:ascii="宋体"/>
          <w:szCs w:val="21"/>
        </w:rPr>
      </w:pPr>
      <w:r>
        <w:rPr>
          <w:rFonts w:ascii="宋体" w:hint="eastAsia"/>
          <w:szCs w:val="21"/>
        </w:rPr>
        <w:t>能够设计环境改造方案</w:t>
      </w:r>
    </w:p>
    <w:p w:rsidR="003717A0" w:rsidRDefault="003717A0">
      <w:pPr>
        <w:numPr>
          <w:ilvl w:val="0"/>
          <w:numId w:val="230"/>
        </w:numPr>
        <w:autoSpaceDE w:val="0"/>
        <w:autoSpaceDN w:val="0"/>
        <w:adjustRightInd w:val="0"/>
        <w:snapToGrid w:val="0"/>
        <w:spacing w:line="440" w:lineRule="exact"/>
        <w:jc w:val="left"/>
        <w:rPr>
          <w:rFonts w:ascii="宋体"/>
          <w:szCs w:val="21"/>
        </w:rPr>
      </w:pPr>
      <w:r>
        <w:rPr>
          <w:rFonts w:ascii="宋体" w:hint="eastAsia"/>
          <w:szCs w:val="21"/>
        </w:rPr>
        <w:t>熟悉无障碍环境的标准和要求</w:t>
      </w:r>
    </w:p>
    <w:p w:rsidR="003717A0" w:rsidRDefault="003717A0" w:rsidP="005E20B5">
      <w:pPr>
        <w:adjustRightInd w:val="0"/>
        <w:snapToGrid w:val="0"/>
        <w:spacing w:beforeLines="50" w:line="360" w:lineRule="auto"/>
        <w:ind w:right="6"/>
        <w:jc w:val="center"/>
        <w:rPr>
          <w:b/>
          <w:sz w:val="22"/>
        </w:rPr>
      </w:pPr>
      <w:r>
        <w:rPr>
          <w:rFonts w:hint="eastAsia"/>
          <w:b/>
          <w:sz w:val="22"/>
        </w:rPr>
        <w:t>第四章</w:t>
      </w:r>
      <w:r>
        <w:rPr>
          <w:b/>
          <w:sz w:val="22"/>
        </w:rPr>
        <w:t xml:space="preserve">  </w:t>
      </w:r>
      <w:r>
        <w:rPr>
          <w:rFonts w:hint="eastAsia"/>
          <w:b/>
          <w:sz w:val="22"/>
        </w:rPr>
        <w:t>辅助技术概述（</w:t>
      </w:r>
      <w:r>
        <w:rPr>
          <w:b/>
          <w:sz w:val="22"/>
        </w:rPr>
        <w:t>2</w:t>
      </w:r>
      <w:r>
        <w:rPr>
          <w:rFonts w:hint="eastAsia"/>
          <w:b/>
          <w:sz w:val="22"/>
        </w:rPr>
        <w:t>学时）</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教学内容（</w:t>
      </w:r>
      <w:r>
        <w:rPr>
          <w:rFonts w:ascii="Times New Roman" w:hAnsi="Times New Roman"/>
          <w:b/>
        </w:rPr>
        <w:t>2</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1</w:t>
      </w:r>
      <w:r>
        <w:rPr>
          <w:rFonts w:ascii="宋体" w:hint="eastAsia"/>
          <w:szCs w:val="21"/>
        </w:rPr>
        <w:t>）辅助技术的概念。</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2</w:t>
      </w:r>
      <w:r>
        <w:rPr>
          <w:rFonts w:ascii="宋体" w:hint="eastAsia"/>
          <w:szCs w:val="21"/>
        </w:rPr>
        <w:t>）辅助技术的分类，按使用人群分类、按使用环境分类。</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3</w:t>
      </w:r>
      <w:r>
        <w:rPr>
          <w:rFonts w:ascii="宋体" w:hint="eastAsia"/>
          <w:szCs w:val="21"/>
        </w:rPr>
        <w:t>）辅助技术的作用。</w:t>
      </w:r>
    </w:p>
    <w:p w:rsidR="003717A0" w:rsidRDefault="003717A0">
      <w:pPr>
        <w:autoSpaceDE w:val="0"/>
        <w:autoSpaceDN w:val="0"/>
        <w:adjustRightInd w:val="0"/>
        <w:snapToGrid w:val="0"/>
        <w:spacing w:line="440" w:lineRule="exact"/>
        <w:ind w:firstLineChars="346" w:firstLine="727"/>
        <w:jc w:val="left"/>
        <w:rPr>
          <w:rFonts w:ascii="宋体"/>
          <w:szCs w:val="21"/>
        </w:rPr>
      </w:pPr>
      <w:r>
        <w:rPr>
          <w:rFonts w:ascii="宋体" w:hint="eastAsia"/>
          <w:szCs w:val="21"/>
        </w:rPr>
        <w:t>（</w:t>
      </w:r>
      <w:r>
        <w:rPr>
          <w:rFonts w:ascii="宋体"/>
          <w:szCs w:val="21"/>
        </w:rPr>
        <w:t>4</w:t>
      </w:r>
      <w:r>
        <w:rPr>
          <w:rFonts w:ascii="宋体" w:hint="eastAsia"/>
          <w:szCs w:val="21"/>
        </w:rPr>
        <w:t>）应用原则。</w:t>
      </w:r>
    </w:p>
    <w:p w:rsidR="003717A0" w:rsidRDefault="003717A0">
      <w:pPr>
        <w:autoSpaceDE w:val="0"/>
        <w:autoSpaceDN w:val="0"/>
        <w:adjustRightInd w:val="0"/>
        <w:snapToGrid w:val="0"/>
        <w:spacing w:line="440" w:lineRule="exact"/>
        <w:ind w:firstLineChars="196" w:firstLine="413"/>
        <w:jc w:val="left"/>
        <w:rPr>
          <w:rFonts w:ascii="Times New Roman" w:hAnsi="Times New Roman"/>
          <w:b/>
        </w:rPr>
      </w:pPr>
      <w:r>
        <w:rPr>
          <w:rFonts w:ascii="Times New Roman" w:hAnsi="Times New Roman" w:hint="eastAsia"/>
          <w:b/>
        </w:rPr>
        <w:t>见习内容（</w:t>
      </w:r>
      <w:r>
        <w:rPr>
          <w:rFonts w:ascii="Times New Roman" w:hAnsi="Times New Roman"/>
          <w:b/>
        </w:rPr>
        <w:t>2</w:t>
      </w:r>
      <w:r>
        <w:rPr>
          <w:rFonts w:ascii="Times New Roman" w:hAnsi="Times New Roman" w:hint="eastAsia"/>
          <w:b/>
        </w:rPr>
        <w:t>学时）</w:t>
      </w:r>
    </w:p>
    <w:p w:rsidR="003717A0" w:rsidRDefault="003717A0">
      <w:pPr>
        <w:numPr>
          <w:ilvl w:val="0"/>
          <w:numId w:val="231"/>
        </w:numPr>
        <w:autoSpaceDE w:val="0"/>
        <w:autoSpaceDN w:val="0"/>
        <w:adjustRightInd w:val="0"/>
        <w:snapToGrid w:val="0"/>
        <w:spacing w:line="440" w:lineRule="exact"/>
        <w:jc w:val="left"/>
        <w:rPr>
          <w:rFonts w:ascii="宋体"/>
          <w:szCs w:val="21"/>
        </w:rPr>
      </w:pPr>
      <w:r>
        <w:rPr>
          <w:rFonts w:ascii="宋体" w:hint="eastAsia"/>
          <w:szCs w:val="21"/>
        </w:rPr>
        <w:t>认识各种辅助器具，如助听器、语训器、沟通板、假肢、矫形器、轮椅、老花镜、手杖等</w:t>
      </w:r>
    </w:p>
    <w:p w:rsidR="003717A0" w:rsidRDefault="003717A0">
      <w:pPr>
        <w:numPr>
          <w:ilvl w:val="0"/>
          <w:numId w:val="231"/>
        </w:numPr>
        <w:autoSpaceDE w:val="0"/>
        <w:autoSpaceDN w:val="0"/>
        <w:adjustRightInd w:val="0"/>
        <w:snapToGrid w:val="0"/>
        <w:spacing w:line="440" w:lineRule="exact"/>
        <w:jc w:val="left"/>
        <w:rPr>
          <w:rFonts w:ascii="宋体"/>
          <w:szCs w:val="21"/>
        </w:rPr>
      </w:pPr>
      <w:r>
        <w:rPr>
          <w:rFonts w:ascii="宋体" w:hint="eastAsia"/>
          <w:szCs w:val="21"/>
        </w:rPr>
        <w:t>熟悉各类辅助器具的作用以及适应人群</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目的要求</w:t>
      </w:r>
    </w:p>
    <w:p w:rsidR="003717A0" w:rsidRDefault="003717A0">
      <w:pPr>
        <w:numPr>
          <w:ilvl w:val="0"/>
          <w:numId w:val="232"/>
        </w:numPr>
        <w:autoSpaceDE w:val="0"/>
        <w:autoSpaceDN w:val="0"/>
        <w:adjustRightInd w:val="0"/>
        <w:snapToGrid w:val="0"/>
        <w:spacing w:line="440" w:lineRule="exact"/>
        <w:jc w:val="left"/>
        <w:rPr>
          <w:rFonts w:ascii="宋体"/>
          <w:szCs w:val="21"/>
        </w:rPr>
      </w:pPr>
      <w:r>
        <w:rPr>
          <w:rFonts w:ascii="宋体" w:hint="eastAsia"/>
          <w:szCs w:val="21"/>
        </w:rPr>
        <w:t>掌握辅助技术的概念、作用</w:t>
      </w:r>
    </w:p>
    <w:p w:rsidR="003717A0" w:rsidRDefault="003717A0">
      <w:pPr>
        <w:numPr>
          <w:ilvl w:val="0"/>
          <w:numId w:val="232"/>
        </w:numPr>
        <w:autoSpaceDE w:val="0"/>
        <w:autoSpaceDN w:val="0"/>
        <w:adjustRightInd w:val="0"/>
        <w:snapToGrid w:val="0"/>
        <w:spacing w:line="440" w:lineRule="exact"/>
        <w:jc w:val="left"/>
        <w:rPr>
          <w:rFonts w:ascii="宋体"/>
          <w:szCs w:val="21"/>
        </w:rPr>
      </w:pPr>
      <w:r>
        <w:rPr>
          <w:rFonts w:ascii="宋体" w:hint="eastAsia"/>
          <w:szCs w:val="21"/>
        </w:rPr>
        <w:lastRenderedPageBreak/>
        <w:t>掌握辅助技术的应用原则，辅助器具的选配原则</w:t>
      </w:r>
    </w:p>
    <w:p w:rsidR="003717A0" w:rsidRDefault="003717A0">
      <w:pPr>
        <w:numPr>
          <w:ilvl w:val="0"/>
          <w:numId w:val="232"/>
        </w:numPr>
        <w:autoSpaceDE w:val="0"/>
        <w:autoSpaceDN w:val="0"/>
        <w:adjustRightInd w:val="0"/>
        <w:snapToGrid w:val="0"/>
        <w:spacing w:line="440" w:lineRule="exact"/>
        <w:jc w:val="left"/>
        <w:rPr>
          <w:rFonts w:ascii="宋体"/>
          <w:szCs w:val="21"/>
        </w:rPr>
      </w:pPr>
      <w:r>
        <w:rPr>
          <w:rFonts w:ascii="宋体" w:hint="eastAsia"/>
          <w:szCs w:val="21"/>
        </w:rPr>
        <w:t>了解辅助器具的使用方法，以便指导患者使用</w:t>
      </w:r>
    </w:p>
    <w:p w:rsidR="003717A0" w:rsidRDefault="003717A0" w:rsidP="005E20B5">
      <w:pPr>
        <w:adjustRightInd w:val="0"/>
        <w:snapToGrid w:val="0"/>
        <w:spacing w:beforeLines="50" w:line="360" w:lineRule="auto"/>
        <w:ind w:right="6"/>
        <w:jc w:val="center"/>
        <w:rPr>
          <w:b/>
          <w:sz w:val="22"/>
        </w:rPr>
      </w:pPr>
      <w:r>
        <w:rPr>
          <w:rFonts w:hint="eastAsia"/>
          <w:b/>
          <w:sz w:val="22"/>
        </w:rPr>
        <w:t>第五章</w:t>
      </w:r>
      <w:r>
        <w:rPr>
          <w:b/>
          <w:sz w:val="22"/>
        </w:rPr>
        <w:t xml:space="preserve">  </w:t>
      </w:r>
      <w:r>
        <w:rPr>
          <w:rFonts w:hint="eastAsia"/>
          <w:b/>
          <w:sz w:val="22"/>
        </w:rPr>
        <w:t>辅助技术应用程序（</w:t>
      </w:r>
      <w:r>
        <w:rPr>
          <w:b/>
          <w:sz w:val="22"/>
        </w:rPr>
        <w:t>2</w:t>
      </w:r>
      <w:r>
        <w:rPr>
          <w:rFonts w:hint="eastAsia"/>
          <w:b/>
          <w:sz w:val="22"/>
        </w:rPr>
        <w:t>学时）</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教学内容（</w:t>
      </w:r>
      <w:r>
        <w:rPr>
          <w:rFonts w:ascii="Times New Roman" w:hAnsi="Times New Roman"/>
          <w:b/>
        </w:rPr>
        <w:t>2</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1</w:t>
      </w:r>
      <w:r>
        <w:rPr>
          <w:rFonts w:ascii="宋体" w:hint="eastAsia"/>
          <w:szCs w:val="21"/>
        </w:rPr>
        <w:t>）功能评定：运动功能、感觉功能、认知功能、心理功能、情绪行为、环境</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2</w:t>
      </w:r>
      <w:r>
        <w:rPr>
          <w:rFonts w:ascii="宋体" w:hint="eastAsia"/>
          <w:szCs w:val="21"/>
        </w:rPr>
        <w:t>）辅助器具处方</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3</w:t>
      </w:r>
      <w:r>
        <w:rPr>
          <w:rFonts w:ascii="宋体" w:hint="eastAsia"/>
          <w:szCs w:val="21"/>
        </w:rPr>
        <w:t>）选配前训练</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4</w:t>
      </w:r>
      <w:r>
        <w:rPr>
          <w:rFonts w:ascii="宋体" w:hint="eastAsia"/>
          <w:szCs w:val="21"/>
        </w:rPr>
        <w:t>）制作或选购</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5</w:t>
      </w:r>
      <w:r>
        <w:rPr>
          <w:rFonts w:ascii="宋体" w:hint="eastAsia"/>
          <w:szCs w:val="21"/>
        </w:rPr>
        <w:t>）辅助器具使用训练</w:t>
      </w:r>
    </w:p>
    <w:p w:rsidR="003717A0" w:rsidRDefault="003717A0">
      <w:pPr>
        <w:autoSpaceDE w:val="0"/>
        <w:autoSpaceDN w:val="0"/>
        <w:adjustRightInd w:val="0"/>
        <w:snapToGrid w:val="0"/>
        <w:spacing w:line="440" w:lineRule="exact"/>
        <w:ind w:firstLineChars="350" w:firstLine="735"/>
        <w:jc w:val="left"/>
        <w:rPr>
          <w:rFonts w:ascii="宋体"/>
          <w:szCs w:val="21"/>
        </w:rPr>
      </w:pPr>
      <w:r>
        <w:rPr>
          <w:rFonts w:ascii="宋体" w:hint="eastAsia"/>
          <w:szCs w:val="21"/>
        </w:rPr>
        <w:t>（</w:t>
      </w:r>
      <w:r>
        <w:rPr>
          <w:rFonts w:ascii="宋体"/>
          <w:szCs w:val="21"/>
        </w:rPr>
        <w:t>6</w:t>
      </w:r>
      <w:r>
        <w:rPr>
          <w:rFonts w:ascii="宋体" w:hint="eastAsia"/>
          <w:szCs w:val="21"/>
        </w:rPr>
        <w:t>）辅助器具使用评定</w:t>
      </w:r>
    </w:p>
    <w:p w:rsidR="003717A0" w:rsidRDefault="003717A0">
      <w:pPr>
        <w:autoSpaceDE w:val="0"/>
        <w:autoSpaceDN w:val="0"/>
        <w:adjustRightInd w:val="0"/>
        <w:snapToGrid w:val="0"/>
        <w:spacing w:line="440" w:lineRule="exact"/>
        <w:ind w:firstLineChars="346" w:firstLine="727"/>
        <w:jc w:val="left"/>
        <w:rPr>
          <w:rFonts w:ascii="宋体"/>
          <w:szCs w:val="21"/>
        </w:rPr>
      </w:pPr>
      <w:r>
        <w:rPr>
          <w:rFonts w:ascii="宋体" w:hint="eastAsia"/>
          <w:szCs w:val="21"/>
        </w:rPr>
        <w:t>（</w:t>
      </w:r>
      <w:r>
        <w:rPr>
          <w:rFonts w:ascii="宋体"/>
          <w:szCs w:val="21"/>
        </w:rPr>
        <w:t>7</w:t>
      </w:r>
      <w:r>
        <w:rPr>
          <w:rFonts w:ascii="宋体" w:hint="eastAsia"/>
          <w:szCs w:val="21"/>
        </w:rPr>
        <w:t>）随访</w:t>
      </w:r>
    </w:p>
    <w:p w:rsidR="003717A0" w:rsidRDefault="003717A0">
      <w:pPr>
        <w:autoSpaceDE w:val="0"/>
        <w:autoSpaceDN w:val="0"/>
        <w:adjustRightInd w:val="0"/>
        <w:snapToGrid w:val="0"/>
        <w:spacing w:line="440" w:lineRule="exact"/>
        <w:ind w:firstLineChars="196" w:firstLine="413"/>
        <w:jc w:val="left"/>
        <w:rPr>
          <w:rFonts w:ascii="Times New Roman" w:hAnsi="Times New Roman"/>
          <w:b/>
        </w:rPr>
      </w:pPr>
      <w:r>
        <w:rPr>
          <w:rFonts w:ascii="Times New Roman" w:hAnsi="Times New Roman" w:hint="eastAsia"/>
          <w:b/>
        </w:rPr>
        <w:t>见习内容（</w:t>
      </w:r>
      <w:r>
        <w:rPr>
          <w:rFonts w:ascii="Times New Roman" w:hAnsi="Times New Roman"/>
          <w:b/>
        </w:rPr>
        <w:t>2</w:t>
      </w:r>
      <w:r>
        <w:rPr>
          <w:rFonts w:ascii="Times New Roman" w:hAnsi="Times New Roman" w:hint="eastAsia"/>
          <w:b/>
        </w:rPr>
        <w:t>学时）</w:t>
      </w:r>
    </w:p>
    <w:p w:rsidR="003717A0" w:rsidRDefault="003717A0">
      <w:pPr>
        <w:numPr>
          <w:ilvl w:val="0"/>
          <w:numId w:val="233"/>
        </w:numPr>
        <w:autoSpaceDE w:val="0"/>
        <w:autoSpaceDN w:val="0"/>
        <w:adjustRightInd w:val="0"/>
        <w:snapToGrid w:val="0"/>
        <w:spacing w:line="440" w:lineRule="exact"/>
        <w:jc w:val="left"/>
        <w:rPr>
          <w:rFonts w:ascii="宋体"/>
          <w:szCs w:val="21"/>
        </w:rPr>
      </w:pPr>
      <w:r>
        <w:rPr>
          <w:rFonts w:ascii="宋体" w:hint="eastAsia"/>
          <w:szCs w:val="21"/>
        </w:rPr>
        <w:t>对运动功能、感觉功能、认知功能、心理功能、情绪行为、环境进行评定</w:t>
      </w:r>
    </w:p>
    <w:p w:rsidR="003717A0" w:rsidRDefault="003717A0">
      <w:pPr>
        <w:numPr>
          <w:ilvl w:val="0"/>
          <w:numId w:val="233"/>
        </w:numPr>
        <w:autoSpaceDE w:val="0"/>
        <w:autoSpaceDN w:val="0"/>
        <w:adjustRightInd w:val="0"/>
        <w:snapToGrid w:val="0"/>
        <w:spacing w:line="440" w:lineRule="exact"/>
        <w:jc w:val="left"/>
        <w:rPr>
          <w:rFonts w:ascii="宋体"/>
          <w:szCs w:val="21"/>
        </w:rPr>
      </w:pPr>
      <w:r>
        <w:rPr>
          <w:rFonts w:ascii="宋体" w:hint="eastAsia"/>
          <w:szCs w:val="21"/>
        </w:rPr>
        <w:t>为不同的功能障碍者选择所需的辅助器具</w:t>
      </w:r>
    </w:p>
    <w:p w:rsidR="003717A0" w:rsidRDefault="003717A0">
      <w:pPr>
        <w:numPr>
          <w:ilvl w:val="0"/>
          <w:numId w:val="233"/>
        </w:numPr>
        <w:autoSpaceDE w:val="0"/>
        <w:autoSpaceDN w:val="0"/>
        <w:adjustRightInd w:val="0"/>
        <w:snapToGrid w:val="0"/>
        <w:spacing w:line="440" w:lineRule="exact"/>
        <w:jc w:val="left"/>
        <w:rPr>
          <w:rFonts w:ascii="宋体"/>
          <w:szCs w:val="21"/>
        </w:rPr>
      </w:pPr>
      <w:r>
        <w:rPr>
          <w:rFonts w:ascii="宋体" w:hint="eastAsia"/>
          <w:szCs w:val="21"/>
        </w:rPr>
        <w:t>为患者制定辅助器具选用处方</w:t>
      </w:r>
    </w:p>
    <w:p w:rsidR="003717A0" w:rsidRDefault="003717A0">
      <w:pPr>
        <w:numPr>
          <w:ilvl w:val="0"/>
          <w:numId w:val="233"/>
        </w:numPr>
        <w:autoSpaceDE w:val="0"/>
        <w:autoSpaceDN w:val="0"/>
        <w:adjustRightInd w:val="0"/>
        <w:snapToGrid w:val="0"/>
        <w:spacing w:line="440" w:lineRule="exact"/>
        <w:jc w:val="left"/>
        <w:rPr>
          <w:rFonts w:ascii="宋体"/>
          <w:szCs w:val="21"/>
        </w:rPr>
      </w:pPr>
      <w:r>
        <w:rPr>
          <w:rFonts w:ascii="宋体" w:hint="eastAsia"/>
          <w:szCs w:val="21"/>
        </w:rPr>
        <w:t>为患者设计选配前训练</w:t>
      </w:r>
    </w:p>
    <w:p w:rsidR="003717A0" w:rsidRDefault="003717A0">
      <w:pPr>
        <w:numPr>
          <w:ilvl w:val="0"/>
          <w:numId w:val="229"/>
        </w:numPr>
        <w:autoSpaceDE w:val="0"/>
        <w:autoSpaceDN w:val="0"/>
        <w:adjustRightInd w:val="0"/>
        <w:snapToGrid w:val="0"/>
        <w:spacing w:line="440" w:lineRule="exact"/>
        <w:jc w:val="left"/>
        <w:rPr>
          <w:rFonts w:ascii="宋体"/>
          <w:szCs w:val="21"/>
        </w:rPr>
      </w:pPr>
      <w:r>
        <w:rPr>
          <w:rFonts w:ascii="宋体" w:hint="eastAsia"/>
          <w:szCs w:val="21"/>
        </w:rPr>
        <w:t>模拟为患者进行使用训练</w:t>
      </w:r>
    </w:p>
    <w:p w:rsidR="003717A0" w:rsidRDefault="003717A0">
      <w:pPr>
        <w:numPr>
          <w:ilvl w:val="0"/>
          <w:numId w:val="229"/>
        </w:numPr>
        <w:autoSpaceDE w:val="0"/>
        <w:autoSpaceDN w:val="0"/>
        <w:adjustRightInd w:val="0"/>
        <w:snapToGrid w:val="0"/>
        <w:spacing w:line="440" w:lineRule="exact"/>
        <w:jc w:val="left"/>
        <w:rPr>
          <w:rFonts w:ascii="宋体"/>
          <w:szCs w:val="21"/>
        </w:rPr>
      </w:pPr>
      <w:r>
        <w:rPr>
          <w:rFonts w:ascii="宋体" w:hint="eastAsia"/>
          <w:szCs w:val="21"/>
        </w:rPr>
        <w:t>设计使用后的评定内容</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目的要求</w:t>
      </w:r>
    </w:p>
    <w:p w:rsidR="003717A0" w:rsidRDefault="003717A0">
      <w:pPr>
        <w:numPr>
          <w:ilvl w:val="0"/>
          <w:numId w:val="234"/>
        </w:numPr>
        <w:autoSpaceDE w:val="0"/>
        <w:autoSpaceDN w:val="0"/>
        <w:adjustRightInd w:val="0"/>
        <w:snapToGrid w:val="0"/>
        <w:spacing w:line="440" w:lineRule="exact"/>
        <w:jc w:val="left"/>
        <w:rPr>
          <w:rFonts w:ascii="宋体"/>
          <w:szCs w:val="21"/>
        </w:rPr>
      </w:pPr>
      <w:r>
        <w:rPr>
          <w:rFonts w:ascii="宋体" w:hint="eastAsia"/>
          <w:szCs w:val="21"/>
        </w:rPr>
        <w:t>熟悉辅助技术应用流程</w:t>
      </w:r>
    </w:p>
    <w:p w:rsidR="003717A0" w:rsidRDefault="003717A0">
      <w:pPr>
        <w:numPr>
          <w:ilvl w:val="0"/>
          <w:numId w:val="234"/>
        </w:numPr>
        <w:autoSpaceDE w:val="0"/>
        <w:autoSpaceDN w:val="0"/>
        <w:adjustRightInd w:val="0"/>
        <w:snapToGrid w:val="0"/>
        <w:spacing w:line="440" w:lineRule="exact"/>
        <w:jc w:val="left"/>
        <w:rPr>
          <w:rFonts w:ascii="宋体"/>
          <w:szCs w:val="21"/>
        </w:rPr>
      </w:pPr>
      <w:r>
        <w:rPr>
          <w:rFonts w:ascii="宋体" w:hint="eastAsia"/>
          <w:szCs w:val="21"/>
        </w:rPr>
        <w:t>掌握功能评定内容、辅助器具的处方制定</w:t>
      </w:r>
    </w:p>
    <w:p w:rsidR="003717A0" w:rsidRDefault="003717A0">
      <w:pPr>
        <w:numPr>
          <w:ilvl w:val="0"/>
          <w:numId w:val="234"/>
        </w:numPr>
        <w:autoSpaceDE w:val="0"/>
        <w:autoSpaceDN w:val="0"/>
        <w:adjustRightInd w:val="0"/>
        <w:snapToGrid w:val="0"/>
        <w:spacing w:line="440" w:lineRule="exact"/>
        <w:jc w:val="left"/>
        <w:rPr>
          <w:rFonts w:ascii="宋体"/>
          <w:szCs w:val="21"/>
        </w:rPr>
      </w:pPr>
      <w:r>
        <w:rPr>
          <w:rFonts w:ascii="宋体" w:hint="eastAsia"/>
          <w:szCs w:val="21"/>
        </w:rPr>
        <w:t>掌握选配前训练和使用训练</w:t>
      </w:r>
    </w:p>
    <w:p w:rsidR="003717A0" w:rsidRDefault="003717A0">
      <w:pPr>
        <w:numPr>
          <w:ilvl w:val="0"/>
          <w:numId w:val="234"/>
        </w:numPr>
        <w:autoSpaceDE w:val="0"/>
        <w:autoSpaceDN w:val="0"/>
        <w:adjustRightInd w:val="0"/>
        <w:snapToGrid w:val="0"/>
        <w:spacing w:line="440" w:lineRule="exact"/>
        <w:jc w:val="left"/>
        <w:rPr>
          <w:rFonts w:ascii="宋体"/>
          <w:szCs w:val="21"/>
        </w:rPr>
      </w:pPr>
      <w:r>
        <w:rPr>
          <w:rFonts w:ascii="宋体" w:hint="eastAsia"/>
          <w:szCs w:val="21"/>
        </w:rPr>
        <w:t>掌握使用后的评定</w:t>
      </w:r>
    </w:p>
    <w:p w:rsidR="003717A0" w:rsidRDefault="003717A0" w:rsidP="005E20B5">
      <w:pPr>
        <w:adjustRightInd w:val="0"/>
        <w:snapToGrid w:val="0"/>
        <w:spacing w:beforeLines="50" w:line="360" w:lineRule="auto"/>
        <w:ind w:right="6"/>
        <w:jc w:val="center"/>
        <w:rPr>
          <w:rFonts w:ascii="Times New Roman" w:hAnsi="Times New Roman"/>
          <w:b/>
        </w:rPr>
      </w:pPr>
      <w:r>
        <w:rPr>
          <w:rFonts w:hint="eastAsia"/>
          <w:b/>
          <w:sz w:val="22"/>
        </w:rPr>
        <w:t>第六章</w:t>
      </w:r>
      <w:r>
        <w:rPr>
          <w:b/>
          <w:sz w:val="22"/>
        </w:rPr>
        <w:t xml:space="preserve">  </w:t>
      </w:r>
      <w:r>
        <w:rPr>
          <w:rFonts w:hint="eastAsia"/>
          <w:b/>
          <w:sz w:val="22"/>
        </w:rPr>
        <w:t>常用的辅助器具（</w:t>
      </w:r>
      <w:r>
        <w:rPr>
          <w:b/>
          <w:sz w:val="22"/>
        </w:rPr>
        <w:t>2</w:t>
      </w:r>
      <w:r>
        <w:rPr>
          <w:rFonts w:hint="eastAsia"/>
          <w:b/>
          <w:sz w:val="22"/>
        </w:rPr>
        <w:t>学时）</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教学内容（</w:t>
      </w:r>
      <w:r>
        <w:rPr>
          <w:rFonts w:ascii="Times New Roman" w:hAnsi="Times New Roman"/>
          <w:b/>
        </w:rPr>
        <w:t>2</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1</w:t>
      </w:r>
      <w:r>
        <w:rPr>
          <w:rFonts w:ascii="宋体" w:hint="eastAsia"/>
          <w:szCs w:val="21"/>
        </w:rPr>
        <w:t>）穿衣辅助器具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2</w:t>
      </w:r>
      <w:r>
        <w:rPr>
          <w:rFonts w:ascii="宋体" w:hint="eastAsia"/>
          <w:szCs w:val="21"/>
        </w:rPr>
        <w:t>）进食辅助器具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3</w:t>
      </w:r>
      <w:r>
        <w:rPr>
          <w:rFonts w:ascii="宋体" w:hint="eastAsia"/>
          <w:szCs w:val="21"/>
        </w:rPr>
        <w:t>）如厕辅助器具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4</w:t>
      </w:r>
      <w:r>
        <w:rPr>
          <w:rFonts w:ascii="宋体" w:hint="eastAsia"/>
          <w:szCs w:val="21"/>
        </w:rPr>
        <w:t>）洗浴辅助器具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5</w:t>
      </w:r>
      <w:r>
        <w:rPr>
          <w:rFonts w:ascii="宋体" w:hint="eastAsia"/>
          <w:szCs w:val="21"/>
        </w:rPr>
        <w:t>）个人卫生辅助器具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6</w:t>
      </w:r>
      <w:r>
        <w:rPr>
          <w:rFonts w:ascii="宋体" w:hint="eastAsia"/>
          <w:szCs w:val="21"/>
        </w:rPr>
        <w:t>）交流辅助器具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lastRenderedPageBreak/>
        <w:t>（</w:t>
      </w:r>
      <w:r>
        <w:rPr>
          <w:rFonts w:ascii="宋体"/>
          <w:szCs w:val="21"/>
        </w:rPr>
        <w:t>7</w:t>
      </w:r>
      <w:r>
        <w:rPr>
          <w:rFonts w:ascii="宋体" w:hint="eastAsia"/>
          <w:szCs w:val="21"/>
        </w:rPr>
        <w:t>）转移辅助器具</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8</w:t>
      </w:r>
      <w:r>
        <w:rPr>
          <w:rFonts w:ascii="宋体" w:hint="eastAsia"/>
          <w:szCs w:val="21"/>
        </w:rPr>
        <w:t>）其它辅助器具</w:t>
      </w:r>
    </w:p>
    <w:p w:rsidR="003717A0" w:rsidRDefault="003717A0">
      <w:pPr>
        <w:autoSpaceDE w:val="0"/>
        <w:autoSpaceDN w:val="0"/>
        <w:adjustRightInd w:val="0"/>
        <w:snapToGrid w:val="0"/>
        <w:spacing w:line="440" w:lineRule="exact"/>
        <w:ind w:firstLineChars="296" w:firstLine="622"/>
        <w:jc w:val="left"/>
        <w:rPr>
          <w:rFonts w:ascii="宋体"/>
          <w:szCs w:val="21"/>
        </w:rPr>
      </w:pPr>
      <w:r>
        <w:rPr>
          <w:rFonts w:ascii="宋体" w:hint="eastAsia"/>
          <w:szCs w:val="21"/>
        </w:rPr>
        <w:t>（</w:t>
      </w:r>
      <w:r>
        <w:rPr>
          <w:rFonts w:ascii="宋体"/>
          <w:szCs w:val="21"/>
        </w:rPr>
        <w:t>9</w:t>
      </w:r>
      <w:r>
        <w:rPr>
          <w:rFonts w:ascii="宋体" w:hint="eastAsia"/>
          <w:szCs w:val="21"/>
        </w:rPr>
        <w:t>）环境控制系统</w:t>
      </w:r>
    </w:p>
    <w:p w:rsidR="003717A0" w:rsidRDefault="003717A0">
      <w:pPr>
        <w:autoSpaceDE w:val="0"/>
        <w:autoSpaceDN w:val="0"/>
        <w:adjustRightInd w:val="0"/>
        <w:snapToGrid w:val="0"/>
        <w:spacing w:line="440" w:lineRule="exact"/>
        <w:ind w:firstLineChars="196" w:firstLine="413"/>
        <w:jc w:val="left"/>
        <w:rPr>
          <w:rFonts w:ascii="Times New Roman" w:hAnsi="Times New Roman"/>
          <w:b/>
        </w:rPr>
      </w:pPr>
      <w:r>
        <w:rPr>
          <w:rFonts w:ascii="Times New Roman" w:hAnsi="Times New Roman" w:hint="eastAsia"/>
          <w:b/>
        </w:rPr>
        <w:t>见习内容（</w:t>
      </w:r>
      <w:r>
        <w:rPr>
          <w:rFonts w:ascii="Times New Roman" w:hAnsi="Times New Roman"/>
          <w:b/>
        </w:rPr>
        <w:t>2</w:t>
      </w:r>
      <w:r>
        <w:rPr>
          <w:rFonts w:ascii="Times New Roman" w:hAnsi="Times New Roman" w:hint="eastAsia"/>
          <w:b/>
        </w:rPr>
        <w:t>学时）</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模拟指导患者使用穿衣钩、系衣扣、穿袜器、鞋拔等穿衣辅助器具</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模拟指导患者使用改装手柄的餐具、防洒碗等进食辅助器具</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模拟指导患者使用坐便器、加高座垫、扶手、厕纸夹等如厕辅助器具</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模拟指导患者使用洗澡椅、长柄刷、洗澡手套等洗浴辅助器具</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模拟指导患者使用改装牙刷、改装梳子等个人卫生辅助器具</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模拟指导患者使用翻书器、沟通版等交流辅助器具</w:t>
      </w:r>
    </w:p>
    <w:p w:rsidR="003717A0" w:rsidRDefault="003717A0">
      <w:pPr>
        <w:numPr>
          <w:ilvl w:val="0"/>
          <w:numId w:val="235"/>
        </w:numPr>
        <w:autoSpaceDE w:val="0"/>
        <w:autoSpaceDN w:val="0"/>
        <w:adjustRightInd w:val="0"/>
        <w:snapToGrid w:val="0"/>
        <w:spacing w:line="440" w:lineRule="exact"/>
        <w:jc w:val="left"/>
        <w:rPr>
          <w:rFonts w:ascii="宋体"/>
          <w:szCs w:val="21"/>
        </w:rPr>
      </w:pPr>
      <w:r>
        <w:rPr>
          <w:rFonts w:ascii="宋体" w:hint="eastAsia"/>
          <w:szCs w:val="21"/>
        </w:rPr>
        <w:t>模拟指导患者使用转移车、转移板等转移辅助器具</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目的要求</w:t>
      </w:r>
    </w:p>
    <w:p w:rsidR="003717A0" w:rsidRDefault="003717A0">
      <w:pPr>
        <w:numPr>
          <w:ilvl w:val="0"/>
          <w:numId w:val="236"/>
        </w:numPr>
        <w:autoSpaceDE w:val="0"/>
        <w:autoSpaceDN w:val="0"/>
        <w:adjustRightInd w:val="0"/>
        <w:snapToGrid w:val="0"/>
        <w:spacing w:line="440" w:lineRule="exact"/>
        <w:jc w:val="left"/>
        <w:rPr>
          <w:rFonts w:ascii="宋体"/>
          <w:szCs w:val="21"/>
        </w:rPr>
      </w:pPr>
      <w:r>
        <w:rPr>
          <w:rFonts w:ascii="宋体" w:hint="eastAsia"/>
          <w:szCs w:val="21"/>
        </w:rPr>
        <w:t>熟悉各类辅助器具的使用方法</w:t>
      </w:r>
    </w:p>
    <w:p w:rsidR="003717A0" w:rsidRDefault="003717A0">
      <w:pPr>
        <w:numPr>
          <w:ilvl w:val="0"/>
          <w:numId w:val="236"/>
        </w:numPr>
        <w:autoSpaceDE w:val="0"/>
        <w:autoSpaceDN w:val="0"/>
        <w:adjustRightInd w:val="0"/>
        <w:snapToGrid w:val="0"/>
        <w:spacing w:line="440" w:lineRule="exact"/>
        <w:jc w:val="left"/>
        <w:rPr>
          <w:rFonts w:ascii="宋体"/>
          <w:szCs w:val="21"/>
        </w:rPr>
      </w:pPr>
      <w:r>
        <w:rPr>
          <w:rFonts w:ascii="宋体" w:hint="eastAsia"/>
          <w:szCs w:val="21"/>
        </w:rPr>
        <w:t>掌握各类辅助器具的适用人群</w:t>
      </w:r>
    </w:p>
    <w:p w:rsidR="003717A0" w:rsidRDefault="003717A0">
      <w:pPr>
        <w:numPr>
          <w:ilvl w:val="0"/>
          <w:numId w:val="236"/>
        </w:numPr>
        <w:autoSpaceDE w:val="0"/>
        <w:autoSpaceDN w:val="0"/>
        <w:adjustRightInd w:val="0"/>
        <w:snapToGrid w:val="0"/>
        <w:spacing w:line="440" w:lineRule="exact"/>
        <w:jc w:val="left"/>
        <w:rPr>
          <w:rFonts w:ascii="宋体"/>
          <w:szCs w:val="21"/>
        </w:rPr>
      </w:pPr>
      <w:r>
        <w:rPr>
          <w:rFonts w:ascii="宋体" w:hint="eastAsia"/>
          <w:szCs w:val="21"/>
        </w:rPr>
        <w:t>了解环境控制系统</w:t>
      </w:r>
    </w:p>
    <w:p w:rsidR="003717A0" w:rsidRDefault="003717A0" w:rsidP="005E20B5">
      <w:pPr>
        <w:adjustRightInd w:val="0"/>
        <w:snapToGrid w:val="0"/>
        <w:spacing w:beforeLines="50" w:line="360" w:lineRule="auto"/>
        <w:ind w:right="6"/>
        <w:jc w:val="center"/>
        <w:rPr>
          <w:b/>
          <w:sz w:val="22"/>
        </w:rPr>
      </w:pPr>
      <w:r>
        <w:rPr>
          <w:rFonts w:hint="eastAsia"/>
          <w:b/>
          <w:sz w:val="22"/>
        </w:rPr>
        <w:t>第七章</w:t>
      </w:r>
      <w:r>
        <w:rPr>
          <w:b/>
          <w:sz w:val="22"/>
        </w:rPr>
        <w:t xml:space="preserve">  </w:t>
      </w:r>
      <w:r>
        <w:rPr>
          <w:rFonts w:hint="eastAsia"/>
          <w:b/>
          <w:sz w:val="22"/>
        </w:rPr>
        <w:t>节省体能技术（</w:t>
      </w:r>
      <w:r>
        <w:rPr>
          <w:b/>
          <w:sz w:val="22"/>
        </w:rPr>
        <w:t>2</w:t>
      </w:r>
      <w:r>
        <w:rPr>
          <w:rFonts w:hint="eastAsia"/>
          <w:b/>
          <w:sz w:val="22"/>
        </w:rPr>
        <w:t>学时）</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教学内容（</w:t>
      </w:r>
      <w:r>
        <w:rPr>
          <w:rFonts w:ascii="Times New Roman" w:hAnsi="Times New Roman"/>
          <w:b/>
        </w:rPr>
        <w:t>2</w:t>
      </w:r>
      <w:r>
        <w:rPr>
          <w:rFonts w:ascii="Times New Roman" w:hAnsi="Times New Roman" w:hint="eastAsia"/>
          <w:b/>
        </w:rPr>
        <w:t>学时）</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1</w:t>
      </w:r>
      <w:r>
        <w:rPr>
          <w:rFonts w:ascii="宋体" w:hint="eastAsia"/>
          <w:szCs w:val="21"/>
        </w:rPr>
        <w:t>）原则</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2</w:t>
      </w:r>
      <w:r>
        <w:rPr>
          <w:rFonts w:ascii="宋体" w:hint="eastAsia"/>
          <w:szCs w:val="21"/>
        </w:rPr>
        <w:t>）日常生活中应用，如进食、梳洗、穿衣、如厕、洗澡、做饭、打扫等</w:t>
      </w:r>
    </w:p>
    <w:p w:rsidR="003717A0" w:rsidRDefault="003717A0">
      <w:pPr>
        <w:autoSpaceDE w:val="0"/>
        <w:autoSpaceDN w:val="0"/>
        <w:adjustRightInd w:val="0"/>
        <w:snapToGrid w:val="0"/>
        <w:spacing w:line="440" w:lineRule="exact"/>
        <w:ind w:firstLineChars="300" w:firstLine="630"/>
        <w:jc w:val="left"/>
        <w:rPr>
          <w:rFonts w:ascii="宋体"/>
          <w:szCs w:val="21"/>
        </w:rPr>
      </w:pPr>
      <w:r>
        <w:rPr>
          <w:rFonts w:ascii="宋体" w:hint="eastAsia"/>
          <w:szCs w:val="21"/>
        </w:rPr>
        <w:t>（</w:t>
      </w:r>
      <w:r>
        <w:rPr>
          <w:rFonts w:ascii="宋体"/>
          <w:szCs w:val="21"/>
        </w:rPr>
        <w:t>3</w:t>
      </w:r>
      <w:r>
        <w:rPr>
          <w:rFonts w:ascii="宋体" w:hint="eastAsia"/>
          <w:szCs w:val="21"/>
        </w:rPr>
        <w:t>）工作中应用，如坐姿、工作台的高度调整等</w:t>
      </w:r>
    </w:p>
    <w:p w:rsidR="003717A0" w:rsidRDefault="003717A0">
      <w:pPr>
        <w:autoSpaceDE w:val="0"/>
        <w:autoSpaceDN w:val="0"/>
        <w:adjustRightInd w:val="0"/>
        <w:snapToGrid w:val="0"/>
        <w:spacing w:line="440" w:lineRule="exact"/>
        <w:ind w:firstLineChars="296" w:firstLine="622"/>
        <w:jc w:val="left"/>
        <w:rPr>
          <w:rFonts w:ascii="宋体"/>
          <w:szCs w:val="21"/>
        </w:rPr>
      </w:pPr>
      <w:r>
        <w:rPr>
          <w:rFonts w:ascii="宋体" w:hint="eastAsia"/>
          <w:szCs w:val="21"/>
        </w:rPr>
        <w:t>（</w:t>
      </w:r>
      <w:r>
        <w:rPr>
          <w:rFonts w:ascii="宋体"/>
          <w:szCs w:val="21"/>
        </w:rPr>
        <w:t>4</w:t>
      </w:r>
      <w:r>
        <w:rPr>
          <w:rFonts w:ascii="宋体" w:hint="eastAsia"/>
          <w:szCs w:val="21"/>
        </w:rPr>
        <w:t>）不同障碍者的应用，如运动障碍者、感觉障碍者、认知障碍者、言语障碍者</w:t>
      </w:r>
    </w:p>
    <w:p w:rsidR="003717A0" w:rsidRDefault="003717A0">
      <w:pPr>
        <w:autoSpaceDE w:val="0"/>
        <w:autoSpaceDN w:val="0"/>
        <w:adjustRightInd w:val="0"/>
        <w:snapToGrid w:val="0"/>
        <w:spacing w:line="440" w:lineRule="exact"/>
        <w:ind w:firstLineChars="196" w:firstLine="413"/>
        <w:jc w:val="left"/>
        <w:rPr>
          <w:rFonts w:ascii="Times New Roman" w:hAnsi="Times New Roman"/>
          <w:b/>
        </w:rPr>
      </w:pPr>
      <w:r>
        <w:rPr>
          <w:rFonts w:ascii="Times New Roman" w:hAnsi="Times New Roman" w:hint="eastAsia"/>
          <w:b/>
        </w:rPr>
        <w:t>见习内容（</w:t>
      </w:r>
      <w:r>
        <w:rPr>
          <w:rFonts w:ascii="Times New Roman" w:hAnsi="Times New Roman"/>
          <w:b/>
        </w:rPr>
        <w:t>2</w:t>
      </w:r>
      <w:r>
        <w:rPr>
          <w:rFonts w:ascii="Times New Roman" w:hAnsi="Times New Roman" w:hint="eastAsia"/>
          <w:b/>
        </w:rPr>
        <w:t>学时）</w:t>
      </w:r>
    </w:p>
    <w:p w:rsidR="003717A0" w:rsidRDefault="003717A0">
      <w:pPr>
        <w:numPr>
          <w:ilvl w:val="0"/>
          <w:numId w:val="237"/>
        </w:numPr>
        <w:autoSpaceDE w:val="0"/>
        <w:autoSpaceDN w:val="0"/>
        <w:adjustRightInd w:val="0"/>
        <w:snapToGrid w:val="0"/>
        <w:spacing w:line="440" w:lineRule="exact"/>
        <w:jc w:val="left"/>
        <w:rPr>
          <w:rFonts w:ascii="宋体"/>
          <w:szCs w:val="21"/>
        </w:rPr>
      </w:pPr>
      <w:r>
        <w:rPr>
          <w:rFonts w:ascii="宋体" w:hint="eastAsia"/>
          <w:szCs w:val="21"/>
        </w:rPr>
        <w:t>为不同患者设计生活中节省体能的方案</w:t>
      </w:r>
    </w:p>
    <w:p w:rsidR="003717A0" w:rsidRDefault="003717A0">
      <w:pPr>
        <w:numPr>
          <w:ilvl w:val="0"/>
          <w:numId w:val="237"/>
        </w:numPr>
        <w:autoSpaceDE w:val="0"/>
        <w:autoSpaceDN w:val="0"/>
        <w:adjustRightInd w:val="0"/>
        <w:snapToGrid w:val="0"/>
        <w:spacing w:line="440" w:lineRule="exact"/>
        <w:jc w:val="left"/>
        <w:rPr>
          <w:rFonts w:ascii="宋体"/>
          <w:szCs w:val="21"/>
        </w:rPr>
      </w:pPr>
      <w:r>
        <w:rPr>
          <w:rFonts w:ascii="宋体" w:hint="eastAsia"/>
          <w:szCs w:val="21"/>
        </w:rPr>
        <w:t>为不同患者设计工作中节省体能的方案</w:t>
      </w:r>
    </w:p>
    <w:p w:rsidR="003717A0" w:rsidRDefault="003717A0">
      <w:pPr>
        <w:autoSpaceDE w:val="0"/>
        <w:autoSpaceDN w:val="0"/>
        <w:adjustRightInd w:val="0"/>
        <w:snapToGrid w:val="0"/>
        <w:spacing w:line="440" w:lineRule="exact"/>
        <w:ind w:firstLineChars="196" w:firstLine="413"/>
        <w:jc w:val="left"/>
        <w:rPr>
          <w:rFonts w:ascii="宋体"/>
          <w:szCs w:val="21"/>
        </w:rPr>
      </w:pPr>
      <w:r>
        <w:rPr>
          <w:rFonts w:ascii="Times New Roman" w:hAnsi="Times New Roman" w:hint="eastAsia"/>
          <w:b/>
        </w:rPr>
        <w:t>目的要求</w:t>
      </w:r>
    </w:p>
    <w:p w:rsidR="003717A0" w:rsidRDefault="003717A0">
      <w:pPr>
        <w:numPr>
          <w:ilvl w:val="0"/>
          <w:numId w:val="238"/>
        </w:numPr>
        <w:autoSpaceDE w:val="0"/>
        <w:autoSpaceDN w:val="0"/>
        <w:adjustRightInd w:val="0"/>
        <w:snapToGrid w:val="0"/>
        <w:spacing w:line="440" w:lineRule="exact"/>
        <w:jc w:val="left"/>
        <w:rPr>
          <w:rFonts w:ascii="宋体"/>
          <w:szCs w:val="21"/>
        </w:rPr>
      </w:pPr>
      <w:r>
        <w:rPr>
          <w:rFonts w:ascii="宋体" w:hint="eastAsia"/>
          <w:szCs w:val="21"/>
        </w:rPr>
        <w:t>掌握节省体能技术的原则</w:t>
      </w:r>
    </w:p>
    <w:p w:rsidR="003717A0" w:rsidRDefault="003717A0">
      <w:pPr>
        <w:numPr>
          <w:ilvl w:val="0"/>
          <w:numId w:val="238"/>
        </w:numPr>
        <w:autoSpaceDE w:val="0"/>
        <w:autoSpaceDN w:val="0"/>
        <w:adjustRightInd w:val="0"/>
        <w:snapToGrid w:val="0"/>
        <w:spacing w:line="440" w:lineRule="exact"/>
        <w:jc w:val="left"/>
        <w:rPr>
          <w:rFonts w:ascii="宋体"/>
          <w:szCs w:val="21"/>
        </w:rPr>
      </w:pPr>
      <w:r>
        <w:rPr>
          <w:rFonts w:ascii="宋体" w:hint="eastAsia"/>
          <w:szCs w:val="21"/>
        </w:rPr>
        <w:t>掌握节省体能技术在日常生活中的应用</w:t>
      </w:r>
    </w:p>
    <w:p w:rsidR="003717A0" w:rsidRDefault="003717A0">
      <w:pPr>
        <w:numPr>
          <w:ilvl w:val="0"/>
          <w:numId w:val="238"/>
        </w:numPr>
        <w:autoSpaceDE w:val="0"/>
        <w:autoSpaceDN w:val="0"/>
        <w:adjustRightInd w:val="0"/>
        <w:snapToGrid w:val="0"/>
        <w:spacing w:line="440" w:lineRule="exact"/>
        <w:jc w:val="left"/>
        <w:rPr>
          <w:rFonts w:ascii="宋体"/>
          <w:szCs w:val="21"/>
        </w:rPr>
      </w:pPr>
      <w:r>
        <w:rPr>
          <w:rFonts w:ascii="宋体" w:hint="eastAsia"/>
          <w:szCs w:val="21"/>
        </w:rPr>
        <w:t>熟悉节省体能技术在工作中的应用</w:t>
      </w:r>
    </w:p>
    <w:p w:rsidR="003717A0" w:rsidRDefault="003717A0">
      <w:pPr>
        <w:numPr>
          <w:ilvl w:val="0"/>
          <w:numId w:val="238"/>
        </w:numPr>
        <w:autoSpaceDE w:val="0"/>
        <w:autoSpaceDN w:val="0"/>
        <w:adjustRightInd w:val="0"/>
        <w:snapToGrid w:val="0"/>
        <w:spacing w:line="440" w:lineRule="exact"/>
        <w:jc w:val="left"/>
        <w:rPr>
          <w:rFonts w:ascii="宋体"/>
          <w:szCs w:val="21"/>
        </w:rPr>
      </w:pPr>
      <w:r>
        <w:rPr>
          <w:rFonts w:ascii="宋体" w:hint="eastAsia"/>
          <w:szCs w:val="21"/>
        </w:rPr>
        <w:t>掌握不同障碍者所需要用到的节省体能</w:t>
      </w:r>
    </w:p>
    <w:p w:rsidR="003717A0" w:rsidRDefault="003717A0">
      <w:pPr>
        <w:jc w:val="left"/>
        <w:rPr>
          <w:b/>
        </w:rPr>
      </w:pPr>
      <w:r>
        <w:rPr>
          <w:rFonts w:hint="eastAsia"/>
          <w:b/>
        </w:rPr>
        <w:t>教学方法</w:t>
      </w:r>
    </w:p>
    <w:p w:rsidR="003717A0" w:rsidRDefault="003717A0">
      <w:pPr>
        <w:pStyle w:val="ListParagraph11"/>
        <w:numPr>
          <w:ilvl w:val="0"/>
          <w:numId w:val="239"/>
        </w:numPr>
        <w:spacing w:line="276" w:lineRule="auto"/>
        <w:ind w:firstLineChars="0"/>
        <w:rPr>
          <w:szCs w:val="21"/>
        </w:rPr>
      </w:pPr>
      <w:r>
        <w:rPr>
          <w:rFonts w:hint="eastAsia"/>
          <w:szCs w:val="21"/>
        </w:rPr>
        <w:t>讲课</w:t>
      </w:r>
      <w:r>
        <w:rPr>
          <w:szCs w:val="21"/>
        </w:rPr>
        <w:t xml:space="preserve">   </w:t>
      </w:r>
      <w:r>
        <w:rPr>
          <w:rFonts w:hint="eastAsia"/>
          <w:szCs w:val="21"/>
        </w:rPr>
        <w:t>为学生讲授环境和辅助器具方面的理论知识，以及在作业治疗程序上的应用。</w:t>
      </w:r>
    </w:p>
    <w:p w:rsidR="003717A0" w:rsidRDefault="003717A0">
      <w:pPr>
        <w:pStyle w:val="ListParagraph11"/>
        <w:numPr>
          <w:ilvl w:val="0"/>
          <w:numId w:val="239"/>
        </w:numPr>
        <w:spacing w:line="276" w:lineRule="auto"/>
        <w:ind w:firstLineChars="0"/>
        <w:rPr>
          <w:szCs w:val="21"/>
        </w:rPr>
      </w:pPr>
      <w:r>
        <w:rPr>
          <w:rFonts w:hint="eastAsia"/>
          <w:szCs w:val="21"/>
        </w:rPr>
        <w:t>见习课</w:t>
      </w:r>
      <w:r>
        <w:rPr>
          <w:szCs w:val="21"/>
        </w:rPr>
        <w:t xml:space="preserve">   </w:t>
      </w:r>
      <w:r>
        <w:rPr>
          <w:rFonts w:hint="eastAsia"/>
          <w:szCs w:val="21"/>
        </w:rPr>
        <w:t>安排学生去体验有障碍环境和无障碍环境对残疾人功能的影响，要求学习、分析</w:t>
      </w:r>
      <w:r>
        <w:rPr>
          <w:rFonts w:hint="eastAsia"/>
          <w:szCs w:val="21"/>
        </w:rPr>
        <w:lastRenderedPageBreak/>
        <w:t>并提出改造方案。</w:t>
      </w:r>
    </w:p>
    <w:p w:rsidR="003717A0" w:rsidRDefault="003717A0">
      <w:pPr>
        <w:pStyle w:val="ListParagraph11"/>
        <w:numPr>
          <w:ilvl w:val="0"/>
          <w:numId w:val="239"/>
        </w:numPr>
        <w:spacing w:line="276" w:lineRule="auto"/>
        <w:ind w:firstLineChars="0"/>
        <w:rPr>
          <w:szCs w:val="21"/>
        </w:rPr>
      </w:pPr>
      <w:r>
        <w:rPr>
          <w:rFonts w:hint="eastAsia"/>
          <w:szCs w:val="21"/>
        </w:rPr>
        <w:t>自学</w:t>
      </w:r>
      <w:r>
        <w:rPr>
          <w:szCs w:val="21"/>
        </w:rPr>
        <w:t xml:space="preserve">    </w:t>
      </w:r>
      <w:r>
        <w:rPr>
          <w:rFonts w:hint="eastAsia"/>
          <w:szCs w:val="21"/>
        </w:rPr>
        <w:t>要求学生去查找有关当前先进科技在环境议题应用方面的文章和项目，并与当前所学的课程内容相结合。</w:t>
      </w:r>
    </w:p>
    <w:p w:rsidR="003717A0" w:rsidRDefault="003717A0">
      <w:pPr>
        <w:ind w:firstLineChars="50" w:firstLine="105"/>
        <w:jc w:val="left"/>
        <w:rPr>
          <w:b/>
        </w:rPr>
      </w:pPr>
      <w:r>
        <w:rPr>
          <w:rFonts w:hint="eastAsia"/>
          <w:b/>
        </w:rPr>
        <w:t>教学时数分配</w:t>
      </w:r>
    </w:p>
    <w:tbl>
      <w:tblPr>
        <w:tblW w:w="8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4763"/>
        <w:gridCol w:w="817"/>
        <w:gridCol w:w="1945"/>
      </w:tblGrid>
      <w:tr w:rsidR="003717A0">
        <w:trPr>
          <w:trHeight w:val="420"/>
        </w:trPr>
        <w:tc>
          <w:tcPr>
            <w:tcW w:w="817" w:type="dxa"/>
          </w:tcPr>
          <w:p w:rsidR="003717A0" w:rsidRDefault="003717A0">
            <w:pPr>
              <w:spacing w:line="276" w:lineRule="auto"/>
              <w:rPr>
                <w:szCs w:val="21"/>
              </w:rPr>
            </w:pPr>
            <w:r>
              <w:rPr>
                <w:rFonts w:hint="eastAsia"/>
                <w:szCs w:val="21"/>
              </w:rPr>
              <w:t>序号</w:t>
            </w:r>
          </w:p>
        </w:tc>
        <w:tc>
          <w:tcPr>
            <w:tcW w:w="4763" w:type="dxa"/>
          </w:tcPr>
          <w:p w:rsidR="003717A0" w:rsidRDefault="003717A0">
            <w:pPr>
              <w:spacing w:line="276" w:lineRule="auto"/>
              <w:rPr>
                <w:szCs w:val="21"/>
              </w:rPr>
            </w:pPr>
            <w:r>
              <w:rPr>
                <w:rFonts w:hint="eastAsia"/>
                <w:szCs w:val="21"/>
              </w:rPr>
              <w:t>内容</w:t>
            </w:r>
          </w:p>
        </w:tc>
        <w:tc>
          <w:tcPr>
            <w:tcW w:w="817" w:type="dxa"/>
          </w:tcPr>
          <w:p w:rsidR="003717A0" w:rsidRDefault="003717A0">
            <w:pPr>
              <w:spacing w:line="276" w:lineRule="auto"/>
              <w:rPr>
                <w:szCs w:val="21"/>
              </w:rPr>
            </w:pPr>
            <w:r>
              <w:rPr>
                <w:rFonts w:hint="eastAsia"/>
                <w:szCs w:val="21"/>
              </w:rPr>
              <w:t>学时</w:t>
            </w:r>
          </w:p>
        </w:tc>
        <w:tc>
          <w:tcPr>
            <w:tcW w:w="1945" w:type="dxa"/>
          </w:tcPr>
          <w:p w:rsidR="003717A0" w:rsidRDefault="003717A0">
            <w:pPr>
              <w:spacing w:line="276" w:lineRule="auto"/>
              <w:ind w:firstLineChars="50" w:firstLine="105"/>
              <w:rPr>
                <w:szCs w:val="21"/>
              </w:rPr>
            </w:pPr>
            <w:r>
              <w:rPr>
                <w:rFonts w:hint="eastAsia"/>
                <w:szCs w:val="21"/>
              </w:rPr>
              <w:t>实验见习学时</w:t>
            </w:r>
          </w:p>
        </w:tc>
      </w:tr>
      <w:tr w:rsidR="003717A0">
        <w:trPr>
          <w:trHeight w:val="404"/>
        </w:trPr>
        <w:tc>
          <w:tcPr>
            <w:tcW w:w="817" w:type="dxa"/>
          </w:tcPr>
          <w:p w:rsidR="003717A0" w:rsidRDefault="003717A0">
            <w:pPr>
              <w:spacing w:line="276" w:lineRule="auto"/>
              <w:rPr>
                <w:szCs w:val="21"/>
              </w:rPr>
            </w:pPr>
            <w:r>
              <w:rPr>
                <w:szCs w:val="21"/>
              </w:rPr>
              <w:t>1</w:t>
            </w:r>
          </w:p>
        </w:tc>
        <w:tc>
          <w:tcPr>
            <w:tcW w:w="4763" w:type="dxa"/>
          </w:tcPr>
          <w:p w:rsidR="003717A0" w:rsidRDefault="003717A0">
            <w:pPr>
              <w:spacing w:line="276" w:lineRule="auto"/>
              <w:rPr>
                <w:szCs w:val="21"/>
              </w:rPr>
            </w:pPr>
            <w:r>
              <w:rPr>
                <w:rFonts w:hint="eastAsia"/>
                <w:szCs w:val="21"/>
              </w:rPr>
              <w:t>人类与环境之间的互动及其相互影响</w:t>
            </w:r>
          </w:p>
        </w:tc>
        <w:tc>
          <w:tcPr>
            <w:tcW w:w="817" w:type="dxa"/>
            <w:vAlign w:val="center"/>
          </w:tcPr>
          <w:p w:rsidR="003717A0" w:rsidRDefault="003717A0">
            <w:pPr>
              <w:spacing w:line="276" w:lineRule="auto"/>
              <w:jc w:val="center"/>
              <w:rPr>
                <w:szCs w:val="21"/>
              </w:rPr>
            </w:pPr>
            <w:r>
              <w:rPr>
                <w:szCs w:val="21"/>
              </w:rPr>
              <w:t>2</w:t>
            </w:r>
          </w:p>
        </w:tc>
        <w:tc>
          <w:tcPr>
            <w:tcW w:w="1945" w:type="dxa"/>
            <w:vAlign w:val="center"/>
          </w:tcPr>
          <w:p w:rsidR="003717A0" w:rsidRDefault="003717A0">
            <w:pPr>
              <w:spacing w:line="276" w:lineRule="auto"/>
              <w:jc w:val="center"/>
              <w:rPr>
                <w:szCs w:val="21"/>
              </w:rPr>
            </w:pPr>
            <w:r>
              <w:rPr>
                <w:szCs w:val="21"/>
              </w:rPr>
              <w:t>2</w:t>
            </w:r>
          </w:p>
        </w:tc>
      </w:tr>
      <w:tr w:rsidR="003717A0">
        <w:trPr>
          <w:trHeight w:val="420"/>
        </w:trPr>
        <w:tc>
          <w:tcPr>
            <w:tcW w:w="817" w:type="dxa"/>
          </w:tcPr>
          <w:p w:rsidR="003717A0" w:rsidRDefault="003717A0">
            <w:pPr>
              <w:spacing w:line="276" w:lineRule="auto"/>
              <w:rPr>
                <w:szCs w:val="21"/>
              </w:rPr>
            </w:pPr>
            <w:r>
              <w:rPr>
                <w:szCs w:val="21"/>
              </w:rPr>
              <w:t>2</w:t>
            </w:r>
          </w:p>
        </w:tc>
        <w:tc>
          <w:tcPr>
            <w:tcW w:w="4763" w:type="dxa"/>
          </w:tcPr>
          <w:p w:rsidR="003717A0" w:rsidRDefault="003717A0">
            <w:pPr>
              <w:spacing w:line="276" w:lineRule="auto"/>
              <w:rPr>
                <w:szCs w:val="21"/>
              </w:rPr>
            </w:pPr>
            <w:r>
              <w:rPr>
                <w:rFonts w:hint="eastAsia"/>
                <w:szCs w:val="21"/>
              </w:rPr>
              <w:t>环境的评估</w:t>
            </w:r>
          </w:p>
        </w:tc>
        <w:tc>
          <w:tcPr>
            <w:tcW w:w="817" w:type="dxa"/>
            <w:vAlign w:val="center"/>
          </w:tcPr>
          <w:p w:rsidR="003717A0" w:rsidRDefault="003717A0">
            <w:pPr>
              <w:spacing w:line="276" w:lineRule="auto"/>
              <w:jc w:val="center"/>
              <w:rPr>
                <w:szCs w:val="21"/>
              </w:rPr>
            </w:pPr>
            <w:r>
              <w:rPr>
                <w:szCs w:val="21"/>
              </w:rPr>
              <w:t>2</w:t>
            </w:r>
          </w:p>
        </w:tc>
        <w:tc>
          <w:tcPr>
            <w:tcW w:w="1945" w:type="dxa"/>
            <w:vAlign w:val="center"/>
          </w:tcPr>
          <w:p w:rsidR="003717A0" w:rsidRDefault="003717A0">
            <w:pPr>
              <w:spacing w:line="276" w:lineRule="auto"/>
              <w:jc w:val="center"/>
              <w:rPr>
                <w:szCs w:val="21"/>
              </w:rPr>
            </w:pPr>
            <w:r>
              <w:rPr>
                <w:szCs w:val="21"/>
              </w:rPr>
              <w:t>2</w:t>
            </w:r>
          </w:p>
        </w:tc>
      </w:tr>
      <w:tr w:rsidR="003717A0">
        <w:trPr>
          <w:trHeight w:val="404"/>
        </w:trPr>
        <w:tc>
          <w:tcPr>
            <w:tcW w:w="817" w:type="dxa"/>
          </w:tcPr>
          <w:p w:rsidR="003717A0" w:rsidRDefault="003717A0">
            <w:pPr>
              <w:spacing w:line="276" w:lineRule="auto"/>
              <w:rPr>
                <w:szCs w:val="21"/>
              </w:rPr>
            </w:pPr>
            <w:r>
              <w:rPr>
                <w:szCs w:val="21"/>
              </w:rPr>
              <w:t>3</w:t>
            </w:r>
          </w:p>
        </w:tc>
        <w:tc>
          <w:tcPr>
            <w:tcW w:w="4763" w:type="dxa"/>
          </w:tcPr>
          <w:p w:rsidR="003717A0" w:rsidRDefault="003717A0">
            <w:pPr>
              <w:spacing w:line="276" w:lineRule="auto"/>
              <w:rPr>
                <w:szCs w:val="21"/>
              </w:rPr>
            </w:pPr>
            <w:r>
              <w:rPr>
                <w:rFonts w:hint="eastAsia"/>
                <w:szCs w:val="21"/>
              </w:rPr>
              <w:t>环境的改造</w:t>
            </w:r>
          </w:p>
        </w:tc>
        <w:tc>
          <w:tcPr>
            <w:tcW w:w="817" w:type="dxa"/>
            <w:vAlign w:val="center"/>
          </w:tcPr>
          <w:p w:rsidR="003717A0" w:rsidRDefault="003717A0">
            <w:pPr>
              <w:spacing w:line="276" w:lineRule="auto"/>
              <w:jc w:val="center"/>
              <w:rPr>
                <w:szCs w:val="21"/>
              </w:rPr>
            </w:pPr>
            <w:r>
              <w:rPr>
                <w:szCs w:val="21"/>
              </w:rPr>
              <w:t>3</w:t>
            </w:r>
          </w:p>
        </w:tc>
        <w:tc>
          <w:tcPr>
            <w:tcW w:w="1945" w:type="dxa"/>
            <w:vAlign w:val="center"/>
          </w:tcPr>
          <w:p w:rsidR="003717A0" w:rsidRDefault="003717A0">
            <w:pPr>
              <w:spacing w:line="276" w:lineRule="auto"/>
              <w:jc w:val="center"/>
              <w:rPr>
                <w:szCs w:val="21"/>
              </w:rPr>
            </w:pPr>
            <w:r>
              <w:rPr>
                <w:szCs w:val="21"/>
              </w:rPr>
              <w:t>3</w:t>
            </w:r>
          </w:p>
        </w:tc>
      </w:tr>
      <w:tr w:rsidR="003717A0">
        <w:trPr>
          <w:trHeight w:val="420"/>
        </w:trPr>
        <w:tc>
          <w:tcPr>
            <w:tcW w:w="817" w:type="dxa"/>
          </w:tcPr>
          <w:p w:rsidR="003717A0" w:rsidRDefault="003717A0">
            <w:pPr>
              <w:spacing w:line="276" w:lineRule="auto"/>
              <w:rPr>
                <w:szCs w:val="21"/>
              </w:rPr>
            </w:pPr>
            <w:r>
              <w:rPr>
                <w:szCs w:val="21"/>
              </w:rPr>
              <w:t>4</w:t>
            </w:r>
          </w:p>
        </w:tc>
        <w:tc>
          <w:tcPr>
            <w:tcW w:w="4763" w:type="dxa"/>
          </w:tcPr>
          <w:p w:rsidR="003717A0" w:rsidRDefault="003717A0">
            <w:pPr>
              <w:spacing w:line="276" w:lineRule="auto"/>
              <w:rPr>
                <w:szCs w:val="21"/>
              </w:rPr>
            </w:pPr>
            <w:r>
              <w:rPr>
                <w:rFonts w:hint="eastAsia"/>
                <w:szCs w:val="21"/>
              </w:rPr>
              <w:t>辅助技术概述</w:t>
            </w:r>
          </w:p>
        </w:tc>
        <w:tc>
          <w:tcPr>
            <w:tcW w:w="817" w:type="dxa"/>
            <w:vAlign w:val="center"/>
          </w:tcPr>
          <w:p w:rsidR="003717A0" w:rsidRDefault="003717A0">
            <w:pPr>
              <w:spacing w:line="276" w:lineRule="auto"/>
              <w:jc w:val="center"/>
              <w:rPr>
                <w:szCs w:val="21"/>
              </w:rPr>
            </w:pPr>
            <w:r>
              <w:rPr>
                <w:szCs w:val="21"/>
              </w:rPr>
              <w:t>2</w:t>
            </w:r>
          </w:p>
        </w:tc>
        <w:tc>
          <w:tcPr>
            <w:tcW w:w="1945" w:type="dxa"/>
            <w:vAlign w:val="center"/>
          </w:tcPr>
          <w:p w:rsidR="003717A0" w:rsidRDefault="003717A0">
            <w:pPr>
              <w:spacing w:line="276" w:lineRule="auto"/>
              <w:jc w:val="center"/>
              <w:rPr>
                <w:szCs w:val="21"/>
              </w:rPr>
            </w:pPr>
            <w:r>
              <w:rPr>
                <w:szCs w:val="21"/>
              </w:rPr>
              <w:t>2</w:t>
            </w:r>
          </w:p>
        </w:tc>
      </w:tr>
      <w:tr w:rsidR="003717A0">
        <w:trPr>
          <w:trHeight w:val="420"/>
        </w:trPr>
        <w:tc>
          <w:tcPr>
            <w:tcW w:w="817" w:type="dxa"/>
          </w:tcPr>
          <w:p w:rsidR="003717A0" w:rsidRDefault="003717A0">
            <w:pPr>
              <w:spacing w:line="276" w:lineRule="auto"/>
              <w:rPr>
                <w:szCs w:val="21"/>
              </w:rPr>
            </w:pPr>
            <w:r>
              <w:rPr>
                <w:szCs w:val="21"/>
              </w:rPr>
              <w:t>5</w:t>
            </w:r>
          </w:p>
        </w:tc>
        <w:tc>
          <w:tcPr>
            <w:tcW w:w="4763" w:type="dxa"/>
          </w:tcPr>
          <w:p w:rsidR="003717A0" w:rsidRDefault="003717A0">
            <w:pPr>
              <w:spacing w:line="276" w:lineRule="auto"/>
              <w:rPr>
                <w:szCs w:val="21"/>
              </w:rPr>
            </w:pPr>
            <w:r>
              <w:rPr>
                <w:rFonts w:hint="eastAsia"/>
                <w:szCs w:val="21"/>
              </w:rPr>
              <w:t>辅助技术应用程序</w:t>
            </w:r>
          </w:p>
        </w:tc>
        <w:tc>
          <w:tcPr>
            <w:tcW w:w="817" w:type="dxa"/>
            <w:vAlign w:val="center"/>
          </w:tcPr>
          <w:p w:rsidR="003717A0" w:rsidRDefault="003717A0">
            <w:pPr>
              <w:spacing w:line="276" w:lineRule="auto"/>
              <w:jc w:val="center"/>
              <w:rPr>
                <w:szCs w:val="21"/>
              </w:rPr>
            </w:pPr>
            <w:r>
              <w:rPr>
                <w:szCs w:val="21"/>
              </w:rPr>
              <w:t>2</w:t>
            </w:r>
          </w:p>
        </w:tc>
        <w:tc>
          <w:tcPr>
            <w:tcW w:w="1945" w:type="dxa"/>
            <w:vAlign w:val="center"/>
          </w:tcPr>
          <w:p w:rsidR="003717A0" w:rsidRDefault="003717A0">
            <w:pPr>
              <w:spacing w:line="276" w:lineRule="auto"/>
              <w:jc w:val="center"/>
              <w:rPr>
                <w:szCs w:val="21"/>
              </w:rPr>
            </w:pPr>
            <w:r>
              <w:rPr>
                <w:szCs w:val="21"/>
              </w:rPr>
              <w:t>2</w:t>
            </w:r>
          </w:p>
        </w:tc>
      </w:tr>
      <w:tr w:rsidR="003717A0">
        <w:trPr>
          <w:trHeight w:val="404"/>
        </w:trPr>
        <w:tc>
          <w:tcPr>
            <w:tcW w:w="817" w:type="dxa"/>
          </w:tcPr>
          <w:p w:rsidR="003717A0" w:rsidRDefault="003717A0">
            <w:pPr>
              <w:spacing w:line="276" w:lineRule="auto"/>
              <w:rPr>
                <w:szCs w:val="21"/>
              </w:rPr>
            </w:pPr>
            <w:r>
              <w:rPr>
                <w:szCs w:val="21"/>
              </w:rPr>
              <w:t>6</w:t>
            </w:r>
          </w:p>
        </w:tc>
        <w:tc>
          <w:tcPr>
            <w:tcW w:w="4763" w:type="dxa"/>
          </w:tcPr>
          <w:p w:rsidR="003717A0" w:rsidRDefault="003717A0">
            <w:pPr>
              <w:spacing w:line="276" w:lineRule="auto"/>
              <w:rPr>
                <w:szCs w:val="21"/>
              </w:rPr>
            </w:pPr>
            <w:r>
              <w:rPr>
                <w:rFonts w:hint="eastAsia"/>
                <w:szCs w:val="21"/>
              </w:rPr>
              <w:t>常用的辅助器具</w:t>
            </w:r>
          </w:p>
        </w:tc>
        <w:tc>
          <w:tcPr>
            <w:tcW w:w="817" w:type="dxa"/>
            <w:vAlign w:val="center"/>
          </w:tcPr>
          <w:p w:rsidR="003717A0" w:rsidRDefault="003717A0">
            <w:pPr>
              <w:spacing w:line="276" w:lineRule="auto"/>
              <w:jc w:val="center"/>
              <w:rPr>
                <w:szCs w:val="21"/>
              </w:rPr>
            </w:pPr>
            <w:r>
              <w:rPr>
                <w:szCs w:val="21"/>
              </w:rPr>
              <w:t>2</w:t>
            </w:r>
          </w:p>
        </w:tc>
        <w:tc>
          <w:tcPr>
            <w:tcW w:w="1945" w:type="dxa"/>
            <w:vAlign w:val="center"/>
          </w:tcPr>
          <w:p w:rsidR="003717A0" w:rsidRDefault="003717A0">
            <w:pPr>
              <w:spacing w:line="276" w:lineRule="auto"/>
              <w:jc w:val="center"/>
              <w:rPr>
                <w:szCs w:val="21"/>
              </w:rPr>
            </w:pPr>
            <w:r>
              <w:rPr>
                <w:szCs w:val="21"/>
              </w:rPr>
              <w:t>2</w:t>
            </w:r>
          </w:p>
        </w:tc>
      </w:tr>
      <w:tr w:rsidR="003717A0">
        <w:trPr>
          <w:trHeight w:val="420"/>
        </w:trPr>
        <w:tc>
          <w:tcPr>
            <w:tcW w:w="817" w:type="dxa"/>
          </w:tcPr>
          <w:p w:rsidR="003717A0" w:rsidRDefault="003717A0">
            <w:pPr>
              <w:spacing w:line="276" w:lineRule="auto"/>
              <w:rPr>
                <w:szCs w:val="21"/>
              </w:rPr>
            </w:pPr>
            <w:r>
              <w:rPr>
                <w:szCs w:val="21"/>
              </w:rPr>
              <w:t>7</w:t>
            </w:r>
          </w:p>
        </w:tc>
        <w:tc>
          <w:tcPr>
            <w:tcW w:w="4763" w:type="dxa"/>
          </w:tcPr>
          <w:p w:rsidR="003717A0" w:rsidRDefault="003717A0">
            <w:pPr>
              <w:spacing w:line="276" w:lineRule="auto"/>
              <w:rPr>
                <w:szCs w:val="21"/>
              </w:rPr>
            </w:pPr>
            <w:r>
              <w:rPr>
                <w:rFonts w:hint="eastAsia"/>
                <w:szCs w:val="21"/>
              </w:rPr>
              <w:t>节省体能技术</w:t>
            </w:r>
          </w:p>
        </w:tc>
        <w:tc>
          <w:tcPr>
            <w:tcW w:w="817" w:type="dxa"/>
            <w:vAlign w:val="center"/>
          </w:tcPr>
          <w:p w:rsidR="003717A0" w:rsidRDefault="003717A0">
            <w:pPr>
              <w:spacing w:line="276" w:lineRule="auto"/>
              <w:jc w:val="center"/>
              <w:rPr>
                <w:szCs w:val="21"/>
              </w:rPr>
            </w:pPr>
            <w:r>
              <w:rPr>
                <w:szCs w:val="21"/>
              </w:rPr>
              <w:t>2</w:t>
            </w:r>
          </w:p>
        </w:tc>
        <w:tc>
          <w:tcPr>
            <w:tcW w:w="1945" w:type="dxa"/>
            <w:vAlign w:val="center"/>
          </w:tcPr>
          <w:p w:rsidR="003717A0" w:rsidRDefault="003717A0">
            <w:pPr>
              <w:spacing w:line="276" w:lineRule="auto"/>
              <w:jc w:val="center"/>
              <w:rPr>
                <w:szCs w:val="21"/>
              </w:rPr>
            </w:pPr>
            <w:r>
              <w:rPr>
                <w:szCs w:val="21"/>
              </w:rPr>
              <w:t>2</w:t>
            </w:r>
          </w:p>
        </w:tc>
      </w:tr>
      <w:tr w:rsidR="003717A0">
        <w:trPr>
          <w:trHeight w:val="420"/>
        </w:trPr>
        <w:tc>
          <w:tcPr>
            <w:tcW w:w="5580" w:type="dxa"/>
            <w:gridSpan w:val="2"/>
          </w:tcPr>
          <w:p w:rsidR="003717A0" w:rsidRDefault="003717A0">
            <w:pPr>
              <w:spacing w:line="276" w:lineRule="auto"/>
              <w:rPr>
                <w:szCs w:val="21"/>
              </w:rPr>
            </w:pPr>
            <w:r>
              <w:rPr>
                <w:rFonts w:hint="eastAsia"/>
                <w:szCs w:val="21"/>
              </w:rPr>
              <w:t>合计</w:t>
            </w:r>
          </w:p>
        </w:tc>
        <w:tc>
          <w:tcPr>
            <w:tcW w:w="817" w:type="dxa"/>
            <w:vAlign w:val="center"/>
          </w:tcPr>
          <w:p w:rsidR="003717A0" w:rsidRDefault="003717A0">
            <w:pPr>
              <w:spacing w:line="276" w:lineRule="auto"/>
              <w:jc w:val="center"/>
              <w:rPr>
                <w:szCs w:val="21"/>
              </w:rPr>
            </w:pPr>
            <w:r>
              <w:rPr>
                <w:szCs w:val="21"/>
              </w:rPr>
              <w:t>15</w:t>
            </w:r>
          </w:p>
        </w:tc>
        <w:tc>
          <w:tcPr>
            <w:tcW w:w="1945" w:type="dxa"/>
            <w:vAlign w:val="center"/>
          </w:tcPr>
          <w:p w:rsidR="003717A0" w:rsidRDefault="003717A0">
            <w:pPr>
              <w:spacing w:line="276" w:lineRule="auto"/>
              <w:jc w:val="center"/>
              <w:rPr>
                <w:szCs w:val="21"/>
              </w:rPr>
            </w:pPr>
            <w:r>
              <w:rPr>
                <w:szCs w:val="21"/>
              </w:rPr>
              <w:t>15</w:t>
            </w:r>
          </w:p>
        </w:tc>
      </w:tr>
    </w:tbl>
    <w:p w:rsidR="003717A0" w:rsidRDefault="003717A0">
      <w:pPr>
        <w:autoSpaceDE w:val="0"/>
        <w:autoSpaceDN w:val="0"/>
        <w:adjustRightInd w:val="0"/>
        <w:snapToGrid w:val="0"/>
        <w:spacing w:line="440" w:lineRule="exact"/>
        <w:jc w:val="left"/>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ind w:firstLineChars="150" w:firstLine="315"/>
        <w:rPr>
          <w:rFonts w:ascii="宋体"/>
          <w:szCs w:val="21"/>
        </w:rPr>
      </w:pPr>
      <w:r>
        <w:rPr>
          <w:rFonts w:ascii="宋体" w:hint="eastAsia"/>
          <w:szCs w:val="21"/>
        </w:rPr>
        <w:t>课堂教学以大班上课为主，讲课按教学大纲进行讲课时要做到目地明确，层次分明，讲究教学方法，充分利用图表、幻灯、录相、多媒体等教学工具。</w:t>
      </w:r>
    </w:p>
    <w:p w:rsidR="003717A0" w:rsidRDefault="003717A0">
      <w:pPr>
        <w:ind w:firstLineChars="150" w:firstLine="315"/>
        <w:rPr>
          <w:rFonts w:ascii="宋体"/>
          <w:szCs w:val="21"/>
        </w:rPr>
      </w:pPr>
      <w:r>
        <w:rPr>
          <w:rFonts w:ascii="宋体" w:hint="eastAsia"/>
          <w:szCs w:val="21"/>
        </w:rPr>
        <w:t>在实习中，利用各种检查仪器和治疗工具示教，小组带教互动以学生动手学习操作为主，结合对病人治疗进行必要的重点讲解，以巩固和深化课堂所讲授的知识。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numPr>
          <w:ilvl w:val="0"/>
          <w:numId w:val="240"/>
        </w:numPr>
        <w:jc w:val="left"/>
        <w:rPr>
          <w:rFonts w:ascii="Times New Roman" w:hAnsi="Times New Roman"/>
          <w:szCs w:val="21"/>
        </w:rPr>
      </w:pPr>
      <w:r>
        <w:rPr>
          <w:rFonts w:ascii="Times New Roman" w:hAnsi="Times New Roman" w:hint="eastAsia"/>
          <w:szCs w:val="21"/>
        </w:rPr>
        <w:t>目的和性质</w:t>
      </w:r>
    </w:p>
    <w:p w:rsidR="003717A0" w:rsidRDefault="003717A0">
      <w:pPr>
        <w:jc w:val="left"/>
        <w:rPr>
          <w:rFonts w:ascii="Times New Roman" w:hAnsi="Times New Roman"/>
          <w:szCs w:val="21"/>
        </w:rPr>
      </w:pPr>
      <w:r>
        <w:rPr>
          <w:rFonts w:ascii="Times New Roman" w:hAnsi="Times New Roman"/>
          <w:szCs w:val="21"/>
        </w:rPr>
        <w:t xml:space="preserve">    </w:t>
      </w:r>
      <w:r>
        <w:rPr>
          <w:rFonts w:ascii="Times New Roman" w:hAnsi="Times New Roman" w:hint="eastAsia"/>
          <w:szCs w:val="21"/>
        </w:rPr>
        <w:t>通过考查了解学生是否按教学大纲的目的和要求掌握本课程的基本内容，为今后的实践加深印象。</w:t>
      </w:r>
    </w:p>
    <w:p w:rsidR="003717A0" w:rsidRDefault="003717A0">
      <w:pPr>
        <w:ind w:firstLine="419"/>
        <w:jc w:val="left"/>
        <w:rPr>
          <w:rFonts w:ascii="Times New Roman" w:hAnsi="Times New Roman"/>
          <w:szCs w:val="21"/>
        </w:rPr>
      </w:pPr>
      <w:r>
        <w:rPr>
          <w:rFonts w:ascii="Times New Roman" w:hAnsi="Times New Roman"/>
          <w:szCs w:val="21"/>
        </w:rPr>
        <w:t>2</w:t>
      </w:r>
      <w:r>
        <w:rPr>
          <w:rFonts w:ascii="Times New Roman" w:hAnsi="Times New Roman" w:hint="eastAsia"/>
          <w:szCs w:val="21"/>
        </w:rPr>
        <w:t>、内容比例</w:t>
      </w:r>
    </w:p>
    <w:p w:rsidR="003717A0" w:rsidRDefault="003717A0">
      <w:pPr>
        <w:ind w:firstLine="419"/>
        <w:jc w:val="left"/>
        <w:rPr>
          <w:rFonts w:ascii="Times New Roman" w:hAnsi="Times New Roman"/>
          <w:szCs w:val="21"/>
        </w:rPr>
      </w:pPr>
      <w:r>
        <w:rPr>
          <w:rFonts w:ascii="Times New Roman" w:hAnsi="Times New Roman"/>
          <w:szCs w:val="21"/>
        </w:rPr>
        <w:t xml:space="preserve"> </w:t>
      </w:r>
      <w:r>
        <w:rPr>
          <w:rFonts w:ascii="Times New Roman" w:hAnsi="Times New Roman" w:hint="eastAsia"/>
          <w:szCs w:val="21"/>
        </w:rPr>
        <w:t>考核方式：期末考试</w:t>
      </w:r>
      <w:r>
        <w:rPr>
          <w:rFonts w:ascii="Times New Roman" w:hAnsi="Times New Roman"/>
          <w:szCs w:val="21"/>
        </w:rPr>
        <w:t xml:space="preserve"> 100%</w:t>
      </w:r>
    </w:p>
    <w:p w:rsidR="003717A0" w:rsidRDefault="003717A0">
      <w:pPr>
        <w:jc w:val="left"/>
        <w:rPr>
          <w:rFonts w:ascii="宋体"/>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napToGrid w:val="0"/>
        <w:spacing w:line="440" w:lineRule="exact"/>
        <w:jc w:val="left"/>
        <w:rPr>
          <w:rFonts w:ascii="宋体"/>
          <w:szCs w:val="21"/>
        </w:rPr>
      </w:pPr>
      <w:r>
        <w:rPr>
          <w:rFonts w:ascii="Times New Roman" w:hAnsi="Times New Roman" w:hint="eastAsia"/>
        </w:rPr>
        <w:t>教材：</w:t>
      </w:r>
      <w:r>
        <w:rPr>
          <w:rFonts w:ascii="Times New Roman" w:hAnsi="Times New Roman"/>
        </w:rPr>
        <w:t xml:space="preserve"> </w:t>
      </w:r>
      <w:r>
        <w:rPr>
          <w:rFonts w:ascii="Times New Roman" w:hAnsi="Times New Roman" w:hint="eastAsia"/>
        </w:rPr>
        <w:t>自编讲义《环境与辅助技术》</w:t>
      </w:r>
    </w:p>
    <w:p w:rsidR="003717A0" w:rsidRDefault="003717A0">
      <w:pPr>
        <w:autoSpaceDE w:val="0"/>
        <w:autoSpaceDN w:val="0"/>
        <w:adjustRightInd w:val="0"/>
        <w:snapToGrid w:val="0"/>
        <w:spacing w:line="440" w:lineRule="exact"/>
        <w:jc w:val="left"/>
        <w:rPr>
          <w:rFonts w:ascii="宋体"/>
          <w:szCs w:val="21"/>
        </w:rPr>
      </w:pPr>
      <w:r>
        <w:rPr>
          <w:rFonts w:ascii="宋体" w:hint="eastAsia"/>
          <w:szCs w:val="21"/>
        </w:rPr>
        <w:t>主要参考书：</w:t>
      </w:r>
      <w:r>
        <w:rPr>
          <w:rFonts w:ascii="宋体"/>
          <w:szCs w:val="21"/>
        </w:rPr>
        <w:t xml:space="preserve">  </w:t>
      </w:r>
      <w:r>
        <w:rPr>
          <w:rFonts w:ascii="宋体" w:hint="eastAsia"/>
          <w:szCs w:val="21"/>
        </w:rPr>
        <w:t>窦祖林</w:t>
      </w:r>
      <w:r>
        <w:rPr>
          <w:rFonts w:ascii="宋体"/>
          <w:szCs w:val="21"/>
        </w:rPr>
        <w:t xml:space="preserve"> </w:t>
      </w:r>
      <w:r>
        <w:rPr>
          <w:rFonts w:ascii="宋体" w:hint="eastAsia"/>
          <w:szCs w:val="21"/>
        </w:rPr>
        <w:t>《作业治疗学》</w:t>
      </w:r>
      <w:r>
        <w:rPr>
          <w:rFonts w:ascii="宋体"/>
          <w:szCs w:val="21"/>
        </w:rPr>
        <w:t xml:space="preserve"> </w:t>
      </w:r>
      <w:r>
        <w:rPr>
          <w:rFonts w:ascii="宋体" w:hint="eastAsia"/>
          <w:szCs w:val="21"/>
        </w:rPr>
        <w:t>北京：人民卫生出版社，</w:t>
      </w:r>
      <w:r>
        <w:rPr>
          <w:rFonts w:ascii="宋体"/>
          <w:szCs w:val="21"/>
        </w:rPr>
        <w:t>2008</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王刚，王彤</w:t>
      </w:r>
      <w:r>
        <w:rPr>
          <w:rFonts w:ascii="宋体"/>
          <w:szCs w:val="21"/>
        </w:rPr>
        <w:t xml:space="preserve"> </w:t>
      </w:r>
      <w:r>
        <w:rPr>
          <w:rFonts w:ascii="宋体" w:hint="eastAsia"/>
          <w:szCs w:val="21"/>
        </w:rPr>
        <w:t>《临床作业治疗学》</w:t>
      </w:r>
      <w:r>
        <w:rPr>
          <w:rFonts w:ascii="宋体"/>
          <w:szCs w:val="21"/>
        </w:rPr>
        <w:t xml:space="preserve"> </w:t>
      </w:r>
      <w:r>
        <w:rPr>
          <w:rFonts w:ascii="宋体" w:hint="eastAsia"/>
          <w:szCs w:val="21"/>
        </w:rPr>
        <w:t>北京：华夏出版社，</w:t>
      </w:r>
      <w:r>
        <w:rPr>
          <w:rFonts w:ascii="宋体"/>
          <w:szCs w:val="21"/>
        </w:rPr>
        <w:t>2005.</w:t>
      </w: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Pr="00F5156D" w:rsidRDefault="003717A0" w:rsidP="00F5156D">
      <w:pPr>
        <w:autoSpaceDE w:val="0"/>
        <w:autoSpaceDN w:val="0"/>
        <w:adjustRightInd w:val="0"/>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制定人：高</w:t>
      </w:r>
      <w:r w:rsidRPr="00F5156D">
        <w:rPr>
          <w:rFonts w:ascii="黑体" w:eastAsia="黑体" w:cs="黑体"/>
          <w:kern w:val="0"/>
          <w:szCs w:val="21"/>
        </w:rPr>
        <w:t xml:space="preserve">  </w:t>
      </w:r>
      <w:r w:rsidRPr="00F5156D">
        <w:rPr>
          <w:rFonts w:ascii="黑体" w:eastAsia="黑体" w:cs="黑体" w:hint="eastAsia"/>
          <w:kern w:val="0"/>
          <w:szCs w:val="21"/>
        </w:rPr>
        <w:t>洁</w:t>
      </w:r>
    </w:p>
    <w:p w:rsidR="003717A0" w:rsidRPr="00F5156D" w:rsidRDefault="00664AA5" w:rsidP="00F5156D">
      <w:pPr>
        <w:autoSpaceDE w:val="0"/>
        <w:autoSpaceDN w:val="0"/>
        <w:adjustRightInd w:val="0"/>
        <w:spacing w:line="360" w:lineRule="exact"/>
        <w:jc w:val="center"/>
        <w:rPr>
          <w:rFonts w:ascii="黑体" w:eastAsia="黑体" w:cs="黑体"/>
          <w:kern w:val="0"/>
          <w:sz w:val="18"/>
          <w:szCs w:val="18"/>
        </w:rPr>
      </w:pPr>
      <w:r>
        <w:rPr>
          <w:rFonts w:ascii="黑体" w:eastAsia="黑体" w:cs="黑体" w:hint="eastAsia"/>
          <w:kern w:val="0"/>
          <w:szCs w:val="21"/>
        </w:rPr>
        <w:t xml:space="preserve">                                                </w:t>
      </w:r>
      <w:r w:rsidR="003717A0" w:rsidRPr="00F5156D">
        <w:rPr>
          <w:rFonts w:ascii="黑体" w:eastAsia="黑体" w:cs="黑体" w:hint="eastAsia"/>
          <w:kern w:val="0"/>
          <w:szCs w:val="21"/>
        </w:rPr>
        <w:t>审核人：沈光宇</w:t>
      </w:r>
      <w:r w:rsidR="003717A0">
        <w:rPr>
          <w:rFonts w:ascii="黑体" w:eastAsia="黑体" w:cs="黑体"/>
          <w:kern w:val="0"/>
          <w:sz w:val="18"/>
          <w:szCs w:val="18"/>
        </w:rPr>
        <w:br w:type="page"/>
      </w:r>
      <w:r w:rsidR="003717A0"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left="720" w:right="4"/>
        <w:rPr>
          <w:rFonts w:ascii="Times New Roman" w:hAnsi="Times New Roman"/>
        </w:rPr>
      </w:pPr>
      <w:r>
        <w:rPr>
          <w:rFonts w:ascii="Times New Roman" w:hAnsi="Times New Roman" w:hint="eastAsia"/>
        </w:rPr>
        <w:t>修读完本课程规定内容的作业治疗专业的本科学生；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r>
        <w:rPr>
          <w:rFonts w:hint="eastAsia"/>
        </w:rPr>
        <w:t>通过考察了解学术是否按照教学大纲的目的和要求掌握本课程的基本内容，为今后的实践加深印象。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期末闭卷理论考核和平时小组汇报形式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r>
        <w:rPr>
          <w:rFonts w:hint="eastAsia"/>
        </w:rPr>
        <w:t>考核方式：笔试</w:t>
      </w:r>
      <w: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440" w:lineRule="exact"/>
        <w:ind w:firstLineChars="200" w:firstLine="440"/>
        <w:jc w:val="left"/>
        <w:rPr>
          <w:rFonts w:ascii="宋体"/>
          <w:szCs w:val="21"/>
        </w:rPr>
      </w:pPr>
      <w:r>
        <w:rPr>
          <w:rFonts w:hint="eastAsia"/>
          <w:sz w:val="22"/>
        </w:rPr>
        <w:t>环境改造概念，环境的分类，环境的评估，</w:t>
      </w:r>
      <w:r>
        <w:rPr>
          <w:rFonts w:ascii="Times New Roman" w:eastAsia="黑体" w:hAnsi="Times New Roman"/>
          <w:b/>
          <w:kern w:val="0"/>
          <w:sz w:val="22"/>
        </w:rPr>
        <w:t xml:space="preserve"> </w:t>
      </w:r>
      <w:r>
        <w:rPr>
          <w:rFonts w:ascii="宋体" w:hint="eastAsia"/>
          <w:szCs w:val="21"/>
        </w:rPr>
        <w:t>对物件的可获得性和环境的可进出性的分析，物件的改造，改造方案，无障碍环境的标准和要求，辅助技术的概念，辅助技术的分类，辅助器具处方，选配前训练，辅助器具使用训练，辅助器具使用评定，节省体能技术的原则及应用。</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Pr="00F5156D" w:rsidRDefault="003717A0" w:rsidP="00F5156D">
      <w:pPr>
        <w:spacing w:line="276" w:lineRule="auto"/>
        <w:ind w:firstLineChars="200" w:firstLine="440"/>
        <w:rPr>
          <w:rFonts w:ascii="Times New Roman" w:hAnsi="Times New Roman"/>
          <w:kern w:val="0"/>
          <w:szCs w:val="21"/>
        </w:rPr>
      </w:pPr>
      <w:r>
        <w:rPr>
          <w:rFonts w:hint="eastAsia"/>
          <w:sz w:val="22"/>
        </w:rPr>
        <w:t>考核学生是否已经掌握环境改造的概念与环境的分类和评估，掌握环境改造方案，熟悉</w:t>
      </w:r>
      <w:r>
        <w:rPr>
          <w:rFonts w:ascii="宋体" w:hint="eastAsia"/>
          <w:szCs w:val="21"/>
        </w:rPr>
        <w:t>无障碍环境的标准和要求，熟悉各类辅助器具的使用方法，掌握各类辅助器具的适用人群。同时，考核学生“</w:t>
      </w:r>
      <w:r>
        <w:rPr>
          <w:rFonts w:ascii="Times New Roman" w:hAnsi="Times New Roman" w:hint="eastAsia"/>
          <w:kern w:val="0"/>
          <w:szCs w:val="21"/>
        </w:rPr>
        <w:t>探讨不同年龄阶段和不能残疾类型的人群，在与其生活和工作环境互动中所具有的能力和需求”的分析能力。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sz w:val="22"/>
        </w:rPr>
        <w:t xml:space="preserve">              </w:t>
      </w:r>
      <w:r>
        <w:rPr>
          <w:rFonts w:ascii="Times New Roman" w:eastAsia="黑体" w:hAnsi="Times New Roman" w:hint="eastAsia"/>
          <w:b/>
          <w:kern w:val="0"/>
          <w:sz w:val="24"/>
          <w:szCs w:val="24"/>
        </w:rPr>
        <w:t>环境与辅助技术课程考试试题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r>
        <w:rPr>
          <w:sz w:val="32"/>
          <w:u w:val="single"/>
        </w:rPr>
        <w:t xml:space="preserve">        </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widowControl/>
        <w:adjustRightInd w:val="0"/>
        <w:snapToGrid w:val="0"/>
        <w:spacing w:line="440" w:lineRule="exact"/>
        <w:ind w:firstLineChars="162" w:firstLine="358"/>
        <w:rPr>
          <w:rFonts w:ascii="Times New Roman" w:hAnsi="Times New Roman"/>
          <w:b/>
          <w:kern w:val="0"/>
          <w:sz w:val="22"/>
        </w:rPr>
      </w:pPr>
      <w:r>
        <w:rPr>
          <w:rFonts w:ascii="Times New Roman" w:hAnsi="Times New Roman" w:hint="eastAsia"/>
          <w:b/>
          <w:kern w:val="0"/>
          <w:sz w:val="22"/>
        </w:rPr>
        <w:t>一、名词解释：（每题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1</w:t>
      </w:r>
      <w:r>
        <w:rPr>
          <w:rFonts w:ascii="Times New Roman" w:hAnsi="Times New Roman" w:hint="eastAsia"/>
          <w:szCs w:val="21"/>
        </w:rPr>
        <w:t>、环境（意义、分类）</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2</w:t>
      </w:r>
      <w:r>
        <w:rPr>
          <w:rFonts w:ascii="Times New Roman" w:hAnsi="Times New Roman" w:hint="eastAsia"/>
          <w:szCs w:val="21"/>
        </w:rPr>
        <w:t>、辅助技术（意义、内涵）</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3</w:t>
      </w:r>
      <w:r>
        <w:rPr>
          <w:rFonts w:ascii="Times New Roman" w:hAnsi="Times New Roman" w:hint="eastAsia"/>
          <w:szCs w:val="21"/>
        </w:rPr>
        <w:t>、环境控制系统</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4</w:t>
      </w:r>
      <w:r>
        <w:rPr>
          <w:rFonts w:ascii="Times New Roman" w:hAnsi="Times New Roman" w:hint="eastAsia"/>
          <w:szCs w:val="21"/>
        </w:rPr>
        <w:t>、节省体能技术</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二、问答题：（每题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50</w:t>
      </w:r>
      <w:r>
        <w:rPr>
          <w:rFonts w:ascii="Times New Roman" w:hAnsi="Times New Roman" w:hint="eastAsia"/>
          <w:b/>
          <w:kern w:val="0"/>
          <w:sz w:val="22"/>
        </w:rPr>
        <w:t>分）</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1</w:t>
      </w:r>
      <w:r>
        <w:rPr>
          <w:rFonts w:ascii="Times New Roman" w:hAnsi="Times New Roman" w:hint="eastAsia"/>
          <w:szCs w:val="21"/>
        </w:rPr>
        <w:t>、环境因素对残疾人的影响。</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2</w:t>
      </w:r>
      <w:r>
        <w:rPr>
          <w:rFonts w:ascii="Times New Roman" w:hAnsi="Times New Roman" w:hint="eastAsia"/>
          <w:szCs w:val="21"/>
        </w:rPr>
        <w:t>、对环境进行非标准化评估时，可以从哪些方面来考虑？</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3</w:t>
      </w:r>
      <w:r>
        <w:rPr>
          <w:rFonts w:ascii="Times New Roman" w:hAnsi="Times New Roman" w:hint="eastAsia"/>
          <w:szCs w:val="21"/>
        </w:rPr>
        <w:t>、当考虑到作业活动改造时，治疗师可以从作业活动的哪些方面去考虑？</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t>4</w:t>
      </w:r>
      <w:r>
        <w:rPr>
          <w:rFonts w:ascii="Times New Roman" w:hAnsi="Times New Roman" w:hint="eastAsia"/>
          <w:szCs w:val="21"/>
        </w:rPr>
        <w:t>、辅助器具的作用以及选配的基本原则</w:t>
      </w:r>
    </w:p>
    <w:p w:rsidR="003717A0" w:rsidRDefault="003717A0">
      <w:pPr>
        <w:autoSpaceDE w:val="0"/>
        <w:autoSpaceDN w:val="0"/>
        <w:adjustRightInd w:val="0"/>
        <w:spacing w:line="440" w:lineRule="exact"/>
        <w:ind w:firstLineChars="193" w:firstLine="405"/>
        <w:jc w:val="left"/>
        <w:rPr>
          <w:rFonts w:ascii="Times New Roman" w:hAnsi="Times New Roman"/>
          <w:szCs w:val="21"/>
        </w:rPr>
      </w:pPr>
      <w:r>
        <w:rPr>
          <w:rFonts w:ascii="Times New Roman" w:hAnsi="Times New Roman"/>
          <w:szCs w:val="21"/>
        </w:rPr>
        <w:lastRenderedPageBreak/>
        <w:t>5</w:t>
      </w:r>
      <w:r>
        <w:rPr>
          <w:rFonts w:ascii="Times New Roman" w:hAnsi="Times New Roman" w:hint="eastAsia"/>
          <w:szCs w:val="21"/>
        </w:rPr>
        <w:t>、请列举几个常用的穿衣、进食和如厕辅助器具</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三、论述题：（</w:t>
      </w:r>
      <w:r>
        <w:rPr>
          <w:rFonts w:ascii="Times New Roman" w:hAnsi="Times New Roman"/>
          <w:b/>
          <w:kern w:val="0"/>
          <w:sz w:val="22"/>
        </w:rPr>
        <w:t>30</w:t>
      </w:r>
      <w:r>
        <w:rPr>
          <w:rFonts w:ascii="Times New Roman" w:hAnsi="Times New Roman" w:hint="eastAsia"/>
          <w:b/>
          <w:kern w:val="0"/>
          <w:sz w:val="22"/>
        </w:rPr>
        <w:t>分）</w:t>
      </w:r>
    </w:p>
    <w:p w:rsidR="003717A0" w:rsidRDefault="003717A0">
      <w:pPr>
        <w:autoSpaceDE w:val="0"/>
        <w:autoSpaceDN w:val="0"/>
        <w:adjustRightInd w:val="0"/>
        <w:spacing w:line="440" w:lineRule="exact"/>
        <w:ind w:firstLineChars="150" w:firstLine="315"/>
        <w:jc w:val="left"/>
        <w:rPr>
          <w:rFonts w:ascii="Times New Roman" w:hAnsi="Times New Roman"/>
          <w:szCs w:val="21"/>
        </w:rPr>
      </w:pPr>
      <w:r>
        <w:rPr>
          <w:rFonts w:ascii="Times New Roman" w:hAnsi="Times New Roman" w:hint="eastAsia"/>
          <w:szCs w:val="21"/>
        </w:rPr>
        <w:t>赵</w:t>
      </w:r>
      <w:r>
        <w:rPr>
          <w:rFonts w:ascii="Times New Roman" w:hAnsi="Times New Roman"/>
          <w:szCs w:val="21"/>
        </w:rPr>
        <w:t>**</w:t>
      </w:r>
      <w:r>
        <w:rPr>
          <w:rFonts w:ascii="Times New Roman" w:hAnsi="Times New Roman" w:hint="eastAsia"/>
          <w:szCs w:val="21"/>
        </w:rPr>
        <w:t>，男，</w:t>
      </w:r>
      <w:r>
        <w:rPr>
          <w:rFonts w:ascii="Times New Roman" w:hAnsi="Times New Roman"/>
          <w:szCs w:val="21"/>
        </w:rPr>
        <w:t>50</w:t>
      </w:r>
      <w:r>
        <w:rPr>
          <w:rFonts w:ascii="Times New Roman" w:hAnsi="Times New Roman" w:hint="eastAsia"/>
          <w:szCs w:val="21"/>
        </w:rPr>
        <w:t>岁，建筑工人，</w:t>
      </w:r>
      <w:r>
        <w:rPr>
          <w:rFonts w:ascii="Times New Roman" w:hAnsi="Times New Roman"/>
          <w:szCs w:val="21"/>
        </w:rPr>
        <w:t>3</w:t>
      </w:r>
      <w:r>
        <w:rPr>
          <w:rFonts w:ascii="Times New Roman" w:hAnsi="Times New Roman" w:hint="eastAsia"/>
          <w:szCs w:val="21"/>
        </w:rPr>
        <w:t>个月前从高处摔落致脑外伤，当即到某医院神经外科治疗，遗留有右侧肢体活动功能障碍，后转入康复科。经过一段时间的康复治疗后，运动功能有所改善。现其右手用勺吃饭常常有食物从盘中溢出，或不能将食物全部嘴边送至嘴边，右手可柱状爪握，拇指和食指能侧捏，但较费力，前臂不能旋后，坐位平衡</w:t>
      </w:r>
      <w:r>
        <w:rPr>
          <w:rFonts w:ascii="Times New Roman" w:hAnsi="Times New Roman"/>
          <w:szCs w:val="21"/>
        </w:rPr>
        <w:t>2</w:t>
      </w:r>
      <w:r>
        <w:rPr>
          <w:rFonts w:ascii="Times New Roman" w:hAnsi="Times New Roman" w:hint="eastAsia"/>
          <w:szCs w:val="21"/>
        </w:rPr>
        <w:t>级，站立平衡</w:t>
      </w:r>
      <w:r>
        <w:rPr>
          <w:rFonts w:ascii="Times New Roman" w:hAnsi="Times New Roman"/>
          <w:szCs w:val="21"/>
        </w:rPr>
        <w:t>2</w:t>
      </w:r>
      <w:r>
        <w:rPr>
          <w:rFonts w:ascii="Times New Roman" w:hAnsi="Times New Roman" w:hint="eastAsia"/>
          <w:szCs w:val="21"/>
        </w:rPr>
        <w:t>级，可在平行杆内步行，不能独自行走，不能上下楼梯。可自己套上上衣，穿裤子有困难，不会系纽扣和鞋带。</w:t>
      </w:r>
      <w:r>
        <w:rPr>
          <w:rFonts w:ascii="Times New Roman" w:hAnsi="Times New Roman"/>
          <w:szCs w:val="21"/>
        </w:rPr>
        <w:t>Barthel</w:t>
      </w:r>
      <w:r>
        <w:rPr>
          <w:rFonts w:ascii="Times New Roman" w:hAnsi="Times New Roman" w:hint="eastAsia"/>
          <w:szCs w:val="21"/>
        </w:rPr>
        <w:t>指数中床椅转移</w:t>
      </w:r>
      <w:r>
        <w:rPr>
          <w:rFonts w:ascii="Times New Roman" w:hAnsi="Times New Roman"/>
          <w:szCs w:val="21"/>
        </w:rPr>
        <w:t>10</w:t>
      </w:r>
      <w:r>
        <w:rPr>
          <w:rFonts w:ascii="Times New Roman" w:hAnsi="Times New Roman" w:hint="eastAsia"/>
          <w:szCs w:val="21"/>
        </w:rPr>
        <w:t>分。</w:t>
      </w:r>
    </w:p>
    <w:p w:rsidR="003717A0" w:rsidRDefault="003717A0">
      <w:pPr>
        <w:autoSpaceDE w:val="0"/>
        <w:autoSpaceDN w:val="0"/>
        <w:adjustRightInd w:val="0"/>
        <w:spacing w:line="440" w:lineRule="exact"/>
        <w:ind w:firstLineChars="150" w:firstLine="315"/>
        <w:jc w:val="left"/>
        <w:rPr>
          <w:rFonts w:ascii="Times New Roman" w:hAnsi="Times New Roman"/>
          <w:szCs w:val="21"/>
        </w:rPr>
      </w:pPr>
      <w:r>
        <w:rPr>
          <w:rFonts w:ascii="Times New Roman" w:hAnsi="Times New Roman" w:hint="eastAsia"/>
          <w:szCs w:val="21"/>
        </w:rPr>
        <w:t>现患者要出院，心情烦躁，担心回家后自己日常生活会给家庭带来很大负担，并担心回去后只能闷在家中，不能出去。治疗师家访后发现，赵</w:t>
      </w:r>
      <w:r>
        <w:rPr>
          <w:rFonts w:ascii="Times New Roman" w:hAnsi="Times New Roman"/>
          <w:szCs w:val="21"/>
        </w:rPr>
        <w:t>**</w:t>
      </w:r>
      <w:r>
        <w:rPr>
          <w:rFonts w:ascii="Times New Roman" w:hAnsi="Times New Roman" w:hint="eastAsia"/>
          <w:szCs w:val="21"/>
        </w:rPr>
        <w:t>家是一个二层的楼房，他的卧室在二楼，且在一楼，进门有台阶，浴室是盆浴，马桶高度较低。</w:t>
      </w:r>
    </w:p>
    <w:p w:rsidR="003717A0" w:rsidRDefault="003717A0">
      <w:pPr>
        <w:numPr>
          <w:ilvl w:val="0"/>
          <w:numId w:val="241"/>
        </w:numPr>
        <w:autoSpaceDE w:val="0"/>
        <w:autoSpaceDN w:val="0"/>
        <w:adjustRightInd w:val="0"/>
        <w:spacing w:line="440" w:lineRule="exact"/>
        <w:jc w:val="left"/>
        <w:rPr>
          <w:rFonts w:ascii="Times New Roman" w:hAnsi="Times New Roman"/>
          <w:szCs w:val="21"/>
        </w:rPr>
      </w:pPr>
      <w:r>
        <w:rPr>
          <w:rFonts w:ascii="Times New Roman" w:hAnsi="Times New Roman" w:hint="eastAsia"/>
          <w:szCs w:val="21"/>
        </w:rPr>
        <w:t>为改善患者日常生活能力，你觉得辅助技术可以从哪些方面来帮助患者？</w:t>
      </w:r>
    </w:p>
    <w:p w:rsidR="003717A0" w:rsidRDefault="003717A0">
      <w:pPr>
        <w:numPr>
          <w:ilvl w:val="0"/>
          <w:numId w:val="241"/>
        </w:numPr>
        <w:autoSpaceDE w:val="0"/>
        <w:autoSpaceDN w:val="0"/>
        <w:adjustRightInd w:val="0"/>
        <w:spacing w:line="440" w:lineRule="exact"/>
        <w:jc w:val="left"/>
        <w:rPr>
          <w:rFonts w:ascii="Times New Roman" w:hAnsi="Times New Roman"/>
          <w:szCs w:val="21"/>
        </w:rPr>
      </w:pPr>
      <w:r>
        <w:rPr>
          <w:rFonts w:ascii="Times New Roman" w:hAnsi="Times New Roman" w:hint="eastAsia"/>
          <w:szCs w:val="21"/>
        </w:rPr>
        <w:t>你觉得患者居住环境需不需要改造，可以改造哪些方面？</w:t>
      </w:r>
    </w:p>
    <w:p w:rsidR="003717A0" w:rsidRDefault="003717A0">
      <w:pPr>
        <w:numPr>
          <w:ilvl w:val="0"/>
          <w:numId w:val="241"/>
        </w:numPr>
        <w:autoSpaceDE w:val="0"/>
        <w:autoSpaceDN w:val="0"/>
        <w:adjustRightInd w:val="0"/>
        <w:spacing w:line="440" w:lineRule="exact"/>
        <w:jc w:val="left"/>
        <w:rPr>
          <w:rFonts w:ascii="Times New Roman" w:hAnsi="Times New Roman"/>
          <w:szCs w:val="21"/>
        </w:rPr>
      </w:pPr>
      <w:r>
        <w:rPr>
          <w:rFonts w:ascii="Times New Roman" w:hAnsi="Times New Roman" w:hint="eastAsia"/>
          <w:szCs w:val="21"/>
        </w:rPr>
        <w:t>为患者设计一套辅助技术应用程序来达到治疗最好的效果。</w:t>
      </w:r>
    </w:p>
    <w:p w:rsidR="003717A0" w:rsidRPr="00F5156D" w:rsidRDefault="003717A0" w:rsidP="00F5156D">
      <w:pPr>
        <w:autoSpaceDE w:val="0"/>
        <w:autoSpaceDN w:val="0"/>
        <w:adjustRightInd w:val="0"/>
        <w:spacing w:line="440" w:lineRule="exact"/>
        <w:ind w:firstLineChars="193" w:firstLine="656"/>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7"/>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或工作坊中让学生来加强理解。教师应关心环境和辅助技术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szCs w:val="21"/>
              </w:rPr>
              <w:t>4</w:t>
            </w: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考试学期总评成绩的评定方法如下：</w:t>
            </w:r>
            <w:r>
              <w:rPr>
                <w:rFonts w:hint="eastAsia"/>
              </w:rPr>
              <w:t>笔试</w:t>
            </w:r>
            <w:r>
              <w:t>100</w:t>
            </w:r>
            <w:r>
              <w:rPr>
                <w:rFonts w:ascii="宋体"/>
                <w:szCs w:val="21"/>
              </w:rPr>
              <w:t>%</w:t>
            </w:r>
          </w:p>
          <w:p w:rsidR="003717A0" w:rsidRDefault="003717A0">
            <w:pPr>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69" w:name="_Toc469312996"/>
      <w:bookmarkStart w:id="70" w:name="_Toc471830708"/>
      <w:r w:rsidRPr="00F5156D">
        <w:rPr>
          <w:rFonts w:hint="eastAsia"/>
          <w:b/>
        </w:rPr>
        <w:lastRenderedPageBreak/>
        <w:t>《肌肉骨骼物理治疗学》课程质量标准</w:t>
      </w:r>
      <w:bookmarkEnd w:id="69"/>
      <w:bookmarkEnd w:id="70"/>
    </w:p>
    <w:p w:rsidR="003717A0" w:rsidRPr="00F5156D" w:rsidRDefault="003717A0">
      <w:pPr>
        <w:adjustRightInd w:val="0"/>
        <w:spacing w:line="360" w:lineRule="auto"/>
        <w:contextualSpacing/>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课程名称</w:t>
            </w:r>
          </w:p>
        </w:tc>
        <w:tc>
          <w:tcPr>
            <w:tcW w:w="7618" w:type="dxa"/>
            <w:gridSpan w:val="9"/>
          </w:tcPr>
          <w:p w:rsidR="003717A0" w:rsidRDefault="003717A0" w:rsidP="00F5156D">
            <w:pPr>
              <w:adjustRightInd w:val="0"/>
              <w:snapToGrid w:val="0"/>
              <w:spacing w:line="460" w:lineRule="exact"/>
              <w:jc w:val="center"/>
              <w:rPr>
                <w:sz w:val="22"/>
              </w:rPr>
            </w:pPr>
            <w:r>
              <w:rPr>
                <w:rFonts w:hint="eastAsia"/>
                <w:sz w:val="22"/>
              </w:rPr>
              <w:t>肌肉骨骼物理治疗学</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英译名称</w:t>
            </w:r>
          </w:p>
        </w:tc>
        <w:tc>
          <w:tcPr>
            <w:tcW w:w="7618" w:type="dxa"/>
            <w:gridSpan w:val="9"/>
          </w:tcPr>
          <w:p w:rsidR="003717A0" w:rsidRDefault="003717A0" w:rsidP="00F5156D">
            <w:pPr>
              <w:adjustRightInd w:val="0"/>
              <w:snapToGrid w:val="0"/>
              <w:spacing w:line="460" w:lineRule="exact"/>
              <w:jc w:val="center"/>
              <w:rPr>
                <w:rFonts w:ascii="Times New Roman" w:hAnsi="Times New Roman"/>
                <w:sz w:val="22"/>
              </w:rPr>
            </w:pPr>
            <w:r>
              <w:rPr>
                <w:rFonts w:ascii="Times New Roman" w:hAnsi="Times New Roman"/>
                <w:sz w:val="22"/>
              </w:rPr>
              <w:t>Musculoskeletal  Physiotherapy</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课程代码</w:t>
            </w:r>
          </w:p>
        </w:tc>
        <w:tc>
          <w:tcPr>
            <w:tcW w:w="2350" w:type="dxa"/>
            <w:gridSpan w:val="2"/>
          </w:tcPr>
          <w:p w:rsidR="003717A0" w:rsidRDefault="003717A0" w:rsidP="00F5156D">
            <w:pPr>
              <w:adjustRightInd w:val="0"/>
              <w:snapToGrid w:val="0"/>
              <w:spacing w:line="460" w:lineRule="exact"/>
              <w:jc w:val="center"/>
              <w:rPr>
                <w:sz w:val="22"/>
              </w:rPr>
            </w:pPr>
            <w:r>
              <w:rPr>
                <w:sz w:val="22"/>
              </w:rPr>
              <w:t xml:space="preserve">170708 </w:t>
            </w:r>
          </w:p>
        </w:tc>
        <w:tc>
          <w:tcPr>
            <w:tcW w:w="1902" w:type="dxa"/>
            <w:gridSpan w:val="3"/>
          </w:tcPr>
          <w:p w:rsidR="003717A0" w:rsidRDefault="003717A0" w:rsidP="00F5156D">
            <w:pPr>
              <w:adjustRightInd w:val="0"/>
              <w:snapToGrid w:val="0"/>
              <w:spacing w:line="460" w:lineRule="exact"/>
              <w:jc w:val="center"/>
              <w:rPr>
                <w:sz w:val="22"/>
              </w:rPr>
            </w:pPr>
            <w:r>
              <w:rPr>
                <w:rFonts w:hint="eastAsia"/>
                <w:sz w:val="22"/>
              </w:rPr>
              <w:t>课程开设学期</w:t>
            </w:r>
          </w:p>
        </w:tc>
        <w:tc>
          <w:tcPr>
            <w:tcW w:w="3366" w:type="dxa"/>
            <w:gridSpan w:val="4"/>
          </w:tcPr>
          <w:p w:rsidR="003717A0" w:rsidRDefault="003717A0" w:rsidP="00F5156D">
            <w:pPr>
              <w:adjustRightInd w:val="0"/>
              <w:snapToGrid w:val="0"/>
              <w:spacing w:line="460" w:lineRule="exact"/>
              <w:jc w:val="center"/>
              <w:rPr>
                <w:sz w:val="22"/>
              </w:rPr>
            </w:pPr>
            <w:r>
              <w:rPr>
                <w:rFonts w:hint="eastAsia"/>
                <w:sz w:val="22"/>
              </w:rPr>
              <w:t>六</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课程学时</w:t>
            </w:r>
          </w:p>
        </w:tc>
        <w:tc>
          <w:tcPr>
            <w:tcW w:w="2350" w:type="dxa"/>
            <w:gridSpan w:val="2"/>
          </w:tcPr>
          <w:p w:rsidR="003717A0" w:rsidRDefault="003717A0" w:rsidP="00F5156D">
            <w:pPr>
              <w:adjustRightInd w:val="0"/>
              <w:snapToGrid w:val="0"/>
              <w:spacing w:line="460" w:lineRule="exact"/>
              <w:jc w:val="center"/>
              <w:rPr>
                <w:sz w:val="22"/>
              </w:rPr>
            </w:pPr>
            <w:r>
              <w:rPr>
                <w:sz w:val="22"/>
              </w:rPr>
              <w:t>108</w:t>
            </w:r>
          </w:p>
        </w:tc>
        <w:tc>
          <w:tcPr>
            <w:tcW w:w="1902" w:type="dxa"/>
            <w:gridSpan w:val="3"/>
          </w:tcPr>
          <w:p w:rsidR="003717A0" w:rsidRDefault="003717A0" w:rsidP="00F5156D">
            <w:pPr>
              <w:adjustRightInd w:val="0"/>
              <w:snapToGrid w:val="0"/>
              <w:spacing w:line="460" w:lineRule="exact"/>
              <w:jc w:val="center"/>
              <w:rPr>
                <w:sz w:val="22"/>
              </w:rPr>
            </w:pPr>
            <w:r>
              <w:rPr>
                <w:rFonts w:hint="eastAsia"/>
                <w:sz w:val="22"/>
              </w:rPr>
              <w:t>课程学分</w:t>
            </w:r>
          </w:p>
        </w:tc>
        <w:tc>
          <w:tcPr>
            <w:tcW w:w="3366" w:type="dxa"/>
            <w:gridSpan w:val="4"/>
          </w:tcPr>
          <w:p w:rsidR="003717A0" w:rsidRDefault="003717A0" w:rsidP="00F5156D">
            <w:pPr>
              <w:adjustRightInd w:val="0"/>
              <w:snapToGrid w:val="0"/>
              <w:spacing w:line="460" w:lineRule="exact"/>
              <w:jc w:val="center"/>
              <w:rPr>
                <w:sz w:val="22"/>
              </w:rPr>
            </w:pPr>
            <w:r>
              <w:rPr>
                <w:sz w:val="22"/>
              </w:rPr>
              <w:t>5</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课程类型</w:t>
            </w:r>
          </w:p>
        </w:tc>
        <w:tc>
          <w:tcPr>
            <w:tcW w:w="7618" w:type="dxa"/>
            <w:gridSpan w:val="9"/>
          </w:tcPr>
          <w:p w:rsidR="003717A0" w:rsidRDefault="003717A0" w:rsidP="00F5156D">
            <w:pPr>
              <w:adjustRightInd w:val="0"/>
              <w:snapToGrid w:val="0"/>
              <w:spacing w:line="46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授课学院</w:t>
            </w:r>
          </w:p>
        </w:tc>
        <w:tc>
          <w:tcPr>
            <w:tcW w:w="2350" w:type="dxa"/>
            <w:gridSpan w:val="2"/>
          </w:tcPr>
          <w:p w:rsidR="003717A0" w:rsidRDefault="003717A0" w:rsidP="00F5156D">
            <w:pPr>
              <w:adjustRightInd w:val="0"/>
              <w:snapToGrid w:val="0"/>
              <w:spacing w:line="460" w:lineRule="exact"/>
              <w:jc w:val="center"/>
              <w:rPr>
                <w:sz w:val="22"/>
              </w:rPr>
            </w:pPr>
            <w:r>
              <w:rPr>
                <w:rFonts w:hint="eastAsia"/>
                <w:sz w:val="22"/>
              </w:rPr>
              <w:t>医学院</w:t>
            </w:r>
          </w:p>
        </w:tc>
        <w:tc>
          <w:tcPr>
            <w:tcW w:w="2634" w:type="dxa"/>
            <w:gridSpan w:val="5"/>
          </w:tcPr>
          <w:p w:rsidR="003717A0" w:rsidRDefault="003717A0" w:rsidP="00F5156D">
            <w:pPr>
              <w:adjustRightInd w:val="0"/>
              <w:snapToGrid w:val="0"/>
              <w:spacing w:line="46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F5156D">
            <w:pPr>
              <w:adjustRightInd w:val="0"/>
              <w:snapToGrid w:val="0"/>
              <w:spacing w:line="460" w:lineRule="exact"/>
              <w:jc w:val="center"/>
              <w:rPr>
                <w:sz w:val="22"/>
              </w:rPr>
            </w:pPr>
            <w:r>
              <w:rPr>
                <w:rFonts w:hint="eastAsia"/>
                <w:sz w:val="22"/>
              </w:rPr>
              <w:t>康复治疗学</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教材名称</w:t>
            </w:r>
          </w:p>
        </w:tc>
        <w:tc>
          <w:tcPr>
            <w:tcW w:w="7618" w:type="dxa"/>
            <w:gridSpan w:val="9"/>
          </w:tcPr>
          <w:p w:rsidR="003717A0" w:rsidRDefault="003717A0" w:rsidP="00F5156D">
            <w:pPr>
              <w:adjustRightInd w:val="0"/>
              <w:snapToGrid w:val="0"/>
              <w:spacing w:line="460" w:lineRule="exact"/>
              <w:ind w:firstLineChars="1150" w:firstLine="2530"/>
              <w:rPr>
                <w:sz w:val="22"/>
              </w:rPr>
            </w:pPr>
            <w:r>
              <w:rPr>
                <w:rFonts w:hint="eastAsia"/>
                <w:sz w:val="22"/>
              </w:rPr>
              <w:t>肌肉骨骼康复学</w:t>
            </w:r>
          </w:p>
        </w:tc>
      </w:tr>
      <w:tr w:rsidR="003717A0" w:rsidTr="00F5156D">
        <w:trPr>
          <w:jc w:val="center"/>
        </w:trPr>
        <w:tc>
          <w:tcPr>
            <w:tcW w:w="1668" w:type="dxa"/>
          </w:tcPr>
          <w:p w:rsidR="003717A0" w:rsidRDefault="003717A0" w:rsidP="00F5156D">
            <w:pPr>
              <w:adjustRightInd w:val="0"/>
              <w:snapToGrid w:val="0"/>
              <w:spacing w:line="460" w:lineRule="exact"/>
              <w:rPr>
                <w:sz w:val="22"/>
              </w:rPr>
            </w:pPr>
            <w:r>
              <w:rPr>
                <w:rFonts w:hint="eastAsia"/>
                <w:sz w:val="22"/>
              </w:rPr>
              <w:t>教材出版信息</w:t>
            </w:r>
          </w:p>
        </w:tc>
        <w:tc>
          <w:tcPr>
            <w:tcW w:w="7618" w:type="dxa"/>
            <w:gridSpan w:val="9"/>
          </w:tcPr>
          <w:p w:rsidR="003717A0" w:rsidRDefault="003717A0" w:rsidP="00F5156D">
            <w:pPr>
              <w:adjustRightInd w:val="0"/>
              <w:snapToGrid w:val="0"/>
              <w:spacing w:line="460" w:lineRule="exact"/>
              <w:jc w:val="center"/>
              <w:rPr>
                <w:sz w:val="22"/>
              </w:rPr>
            </w:pPr>
            <w:r>
              <w:rPr>
                <w:rFonts w:hint="eastAsia"/>
                <w:sz w:val="22"/>
              </w:rPr>
              <w:t>人民卫生出版社，</w:t>
            </w:r>
            <w:r>
              <w:rPr>
                <w:sz w:val="22"/>
              </w:rPr>
              <w:t>2013</w:t>
            </w:r>
            <w:r>
              <w:rPr>
                <w:rFonts w:hint="eastAsia"/>
                <w:sz w:val="22"/>
              </w:rPr>
              <w:t>年</w:t>
            </w:r>
            <w:r>
              <w:rPr>
                <w:sz w:val="22"/>
              </w:rPr>
              <w:t>5</w:t>
            </w:r>
            <w:r>
              <w:rPr>
                <w:rFonts w:hint="eastAsia"/>
                <w:sz w:val="22"/>
              </w:rPr>
              <w:t>月第</w:t>
            </w:r>
            <w:r>
              <w:rPr>
                <w:sz w:val="22"/>
              </w:rPr>
              <w:t>2</w:t>
            </w:r>
            <w:r>
              <w:rPr>
                <w:rFonts w:hint="eastAsia"/>
                <w:sz w:val="22"/>
              </w:rPr>
              <w:t>版，书号：</w:t>
            </w:r>
            <w:r>
              <w:rPr>
                <w:sz w:val="22"/>
              </w:rPr>
              <w:t>ISBN 978-7-117-17015-4</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教材性质</w:t>
            </w:r>
          </w:p>
        </w:tc>
        <w:tc>
          <w:tcPr>
            <w:tcW w:w="7618" w:type="dxa"/>
            <w:gridSpan w:val="9"/>
          </w:tcPr>
          <w:p w:rsidR="003717A0" w:rsidRDefault="003717A0" w:rsidP="00F5156D">
            <w:pPr>
              <w:adjustRightInd w:val="0"/>
              <w:snapToGrid w:val="0"/>
              <w:spacing w:line="460" w:lineRule="exact"/>
              <w:rPr>
                <w:sz w:val="22"/>
              </w:rPr>
            </w:pPr>
            <w:r>
              <w:rPr>
                <w:rFonts w:ascii="宋体" w:hAnsi="宋体" w:hint="eastAsia"/>
                <w:szCs w:val="21"/>
              </w:rPr>
              <w:t>■</w:t>
            </w:r>
            <w:r>
              <w:rPr>
                <w:rFonts w:ascii="宋体" w:hAnsi="宋体" w:hint="eastAsia"/>
                <w:sz w:val="22"/>
              </w:rPr>
              <w:t>国家□部级规划□省级规划□自编□其他</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考核方式</w:t>
            </w:r>
          </w:p>
        </w:tc>
        <w:tc>
          <w:tcPr>
            <w:tcW w:w="7618" w:type="dxa"/>
            <w:gridSpan w:val="9"/>
          </w:tcPr>
          <w:p w:rsidR="003717A0" w:rsidRDefault="003717A0" w:rsidP="00F5156D">
            <w:pPr>
              <w:adjustRightInd w:val="0"/>
              <w:snapToGrid w:val="0"/>
              <w:spacing w:line="46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课程成绩</w:t>
            </w:r>
          </w:p>
        </w:tc>
        <w:tc>
          <w:tcPr>
            <w:tcW w:w="3809" w:type="dxa"/>
            <w:gridSpan w:val="4"/>
          </w:tcPr>
          <w:p w:rsidR="003717A0" w:rsidRDefault="003717A0" w:rsidP="00F5156D">
            <w:pPr>
              <w:adjustRightInd w:val="0"/>
              <w:snapToGrid w:val="0"/>
              <w:spacing w:line="460" w:lineRule="exact"/>
              <w:jc w:val="left"/>
              <w:rPr>
                <w:sz w:val="22"/>
              </w:rPr>
            </w:pPr>
            <w:r>
              <w:rPr>
                <w:rFonts w:hint="eastAsia"/>
                <w:sz w:val="22"/>
              </w:rPr>
              <w:t>平时成绩</w:t>
            </w:r>
            <w:r>
              <w:rPr>
                <w:sz w:val="22"/>
              </w:rPr>
              <w:t>0%</w:t>
            </w:r>
          </w:p>
        </w:tc>
        <w:tc>
          <w:tcPr>
            <w:tcW w:w="3809" w:type="dxa"/>
            <w:gridSpan w:val="5"/>
          </w:tcPr>
          <w:p w:rsidR="003717A0" w:rsidRDefault="003717A0" w:rsidP="00F5156D">
            <w:pPr>
              <w:adjustRightInd w:val="0"/>
              <w:snapToGrid w:val="0"/>
              <w:spacing w:line="460" w:lineRule="exact"/>
              <w:jc w:val="left"/>
              <w:rPr>
                <w:sz w:val="22"/>
              </w:rPr>
            </w:pPr>
            <w:r>
              <w:rPr>
                <w:rFonts w:hint="eastAsia"/>
                <w:sz w:val="22"/>
              </w:rPr>
              <w:t>期末成绩</w:t>
            </w:r>
            <w:r>
              <w:rPr>
                <w:sz w:val="22"/>
              </w:rPr>
              <w:t>100%</w:t>
            </w:r>
          </w:p>
        </w:tc>
      </w:tr>
      <w:tr w:rsidR="003717A0" w:rsidTr="00F5156D">
        <w:trPr>
          <w:jc w:val="center"/>
        </w:trPr>
        <w:tc>
          <w:tcPr>
            <w:tcW w:w="9286" w:type="dxa"/>
            <w:gridSpan w:val="10"/>
          </w:tcPr>
          <w:p w:rsidR="003717A0" w:rsidRDefault="003717A0" w:rsidP="00F5156D">
            <w:pPr>
              <w:adjustRightInd w:val="0"/>
              <w:snapToGrid w:val="0"/>
              <w:spacing w:line="460" w:lineRule="exact"/>
              <w:rPr>
                <w:sz w:val="22"/>
              </w:rPr>
            </w:pPr>
            <w:r>
              <w:rPr>
                <w:rFonts w:hint="eastAsia"/>
                <w:sz w:val="22"/>
              </w:rPr>
              <w:t>课程负责人及团队骨干（五人以内）</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姓名</w:t>
            </w:r>
          </w:p>
        </w:tc>
        <w:tc>
          <w:tcPr>
            <w:tcW w:w="1523" w:type="dxa"/>
          </w:tcPr>
          <w:p w:rsidR="003717A0" w:rsidRDefault="003717A0" w:rsidP="00F5156D">
            <w:pPr>
              <w:adjustRightInd w:val="0"/>
              <w:snapToGrid w:val="0"/>
              <w:spacing w:line="460" w:lineRule="exact"/>
              <w:jc w:val="center"/>
              <w:rPr>
                <w:sz w:val="22"/>
              </w:rPr>
            </w:pPr>
            <w:r>
              <w:rPr>
                <w:rFonts w:hint="eastAsia"/>
                <w:sz w:val="22"/>
              </w:rPr>
              <w:t>性别</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学历</w:t>
            </w:r>
          </w:p>
        </w:tc>
        <w:tc>
          <w:tcPr>
            <w:tcW w:w="1523" w:type="dxa"/>
            <w:gridSpan w:val="3"/>
          </w:tcPr>
          <w:p w:rsidR="003717A0" w:rsidRDefault="003717A0" w:rsidP="00F5156D">
            <w:pPr>
              <w:adjustRightInd w:val="0"/>
              <w:snapToGrid w:val="0"/>
              <w:spacing w:line="460" w:lineRule="exact"/>
              <w:jc w:val="center"/>
              <w:rPr>
                <w:sz w:val="22"/>
              </w:rPr>
            </w:pPr>
            <w:r>
              <w:rPr>
                <w:rFonts w:hint="eastAsia"/>
                <w:sz w:val="22"/>
              </w:rPr>
              <w:t>学位</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职称</w:t>
            </w:r>
          </w:p>
        </w:tc>
        <w:tc>
          <w:tcPr>
            <w:tcW w:w="1524" w:type="dxa"/>
          </w:tcPr>
          <w:p w:rsidR="003717A0" w:rsidRDefault="003717A0" w:rsidP="00F5156D">
            <w:pPr>
              <w:adjustRightInd w:val="0"/>
              <w:snapToGrid w:val="0"/>
              <w:spacing w:line="460" w:lineRule="exact"/>
              <w:jc w:val="center"/>
              <w:rPr>
                <w:sz w:val="22"/>
              </w:rPr>
            </w:pPr>
            <w:r>
              <w:rPr>
                <w:rFonts w:hint="eastAsia"/>
                <w:sz w:val="22"/>
              </w:rPr>
              <w:t>从教时间</w:t>
            </w:r>
          </w:p>
        </w:tc>
      </w:tr>
      <w:tr w:rsidR="003717A0" w:rsidTr="00F5156D">
        <w:trPr>
          <w:jc w:val="center"/>
        </w:trPr>
        <w:tc>
          <w:tcPr>
            <w:tcW w:w="1668" w:type="dxa"/>
          </w:tcPr>
          <w:p w:rsidR="003717A0" w:rsidRDefault="003717A0" w:rsidP="00F5156D">
            <w:pPr>
              <w:adjustRightInd w:val="0"/>
              <w:snapToGrid w:val="0"/>
              <w:spacing w:line="460" w:lineRule="exact"/>
              <w:ind w:firstLineChars="200" w:firstLine="440"/>
              <w:rPr>
                <w:sz w:val="22"/>
              </w:rPr>
            </w:pPr>
            <w:r>
              <w:rPr>
                <w:rFonts w:hint="eastAsia"/>
                <w:sz w:val="22"/>
              </w:rPr>
              <w:t>郭爱松</w:t>
            </w:r>
          </w:p>
        </w:tc>
        <w:tc>
          <w:tcPr>
            <w:tcW w:w="1523" w:type="dxa"/>
          </w:tcPr>
          <w:p w:rsidR="003717A0" w:rsidRDefault="003717A0" w:rsidP="00F5156D">
            <w:pPr>
              <w:adjustRightInd w:val="0"/>
              <w:snapToGrid w:val="0"/>
              <w:spacing w:line="460" w:lineRule="exact"/>
              <w:jc w:val="center"/>
              <w:rPr>
                <w:sz w:val="22"/>
              </w:rPr>
            </w:pPr>
            <w:r>
              <w:rPr>
                <w:rFonts w:hint="eastAsia"/>
                <w:sz w:val="22"/>
              </w:rPr>
              <w:t>男</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6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副教授</w:t>
            </w:r>
          </w:p>
        </w:tc>
        <w:tc>
          <w:tcPr>
            <w:tcW w:w="1524" w:type="dxa"/>
          </w:tcPr>
          <w:p w:rsidR="003717A0" w:rsidRDefault="003717A0" w:rsidP="00F5156D">
            <w:pPr>
              <w:adjustRightInd w:val="0"/>
              <w:snapToGrid w:val="0"/>
              <w:spacing w:line="460" w:lineRule="exact"/>
              <w:jc w:val="center"/>
              <w:rPr>
                <w:sz w:val="22"/>
              </w:rPr>
            </w:pPr>
            <w:r>
              <w:rPr>
                <w:sz w:val="22"/>
              </w:rPr>
              <w:t>1998.1</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吴勤峰</w:t>
            </w:r>
          </w:p>
        </w:tc>
        <w:tc>
          <w:tcPr>
            <w:tcW w:w="1523" w:type="dxa"/>
          </w:tcPr>
          <w:p w:rsidR="003717A0" w:rsidRDefault="003717A0" w:rsidP="00F5156D">
            <w:pPr>
              <w:adjustRightInd w:val="0"/>
              <w:snapToGrid w:val="0"/>
              <w:spacing w:line="460" w:lineRule="exact"/>
              <w:jc w:val="center"/>
              <w:rPr>
                <w:sz w:val="22"/>
              </w:rPr>
            </w:pPr>
            <w:r>
              <w:rPr>
                <w:rFonts w:hint="eastAsia"/>
                <w:sz w:val="22"/>
              </w:rPr>
              <w:t>男</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6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讲师</w:t>
            </w:r>
          </w:p>
        </w:tc>
        <w:tc>
          <w:tcPr>
            <w:tcW w:w="1524" w:type="dxa"/>
          </w:tcPr>
          <w:p w:rsidR="003717A0" w:rsidRDefault="003717A0" w:rsidP="00F5156D">
            <w:pPr>
              <w:adjustRightInd w:val="0"/>
              <w:snapToGrid w:val="0"/>
              <w:spacing w:line="460" w:lineRule="exact"/>
              <w:jc w:val="center"/>
              <w:rPr>
                <w:sz w:val="22"/>
              </w:rPr>
            </w:pPr>
            <w:r>
              <w:rPr>
                <w:sz w:val="22"/>
              </w:rPr>
              <w:t>2005.8</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刘苏</w:t>
            </w:r>
          </w:p>
        </w:tc>
        <w:tc>
          <w:tcPr>
            <w:tcW w:w="1523" w:type="dxa"/>
          </w:tcPr>
          <w:p w:rsidR="003717A0" w:rsidRDefault="003717A0" w:rsidP="00F5156D">
            <w:pPr>
              <w:adjustRightInd w:val="0"/>
              <w:snapToGrid w:val="0"/>
              <w:spacing w:line="460" w:lineRule="exact"/>
              <w:jc w:val="center"/>
              <w:rPr>
                <w:sz w:val="22"/>
              </w:rPr>
            </w:pPr>
            <w:r>
              <w:rPr>
                <w:rFonts w:hint="eastAsia"/>
                <w:sz w:val="22"/>
              </w:rPr>
              <w:t>女</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6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讲师</w:t>
            </w:r>
          </w:p>
        </w:tc>
        <w:tc>
          <w:tcPr>
            <w:tcW w:w="1524" w:type="dxa"/>
          </w:tcPr>
          <w:p w:rsidR="003717A0" w:rsidRDefault="003717A0" w:rsidP="00F5156D">
            <w:pPr>
              <w:adjustRightInd w:val="0"/>
              <w:snapToGrid w:val="0"/>
              <w:spacing w:line="460" w:lineRule="exact"/>
              <w:jc w:val="center"/>
              <w:rPr>
                <w:sz w:val="22"/>
              </w:rPr>
            </w:pPr>
            <w:r>
              <w:rPr>
                <w:sz w:val="22"/>
              </w:rPr>
              <w:t>2007.8</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朱振杰</w:t>
            </w:r>
          </w:p>
        </w:tc>
        <w:tc>
          <w:tcPr>
            <w:tcW w:w="1523" w:type="dxa"/>
          </w:tcPr>
          <w:p w:rsidR="003717A0" w:rsidRDefault="003717A0" w:rsidP="00F5156D">
            <w:pPr>
              <w:adjustRightInd w:val="0"/>
              <w:snapToGrid w:val="0"/>
              <w:spacing w:line="460" w:lineRule="exact"/>
              <w:jc w:val="center"/>
              <w:rPr>
                <w:sz w:val="22"/>
              </w:rPr>
            </w:pPr>
            <w:r>
              <w:rPr>
                <w:rFonts w:hint="eastAsia"/>
                <w:sz w:val="22"/>
              </w:rPr>
              <w:t>女</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6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讲师</w:t>
            </w:r>
          </w:p>
        </w:tc>
        <w:tc>
          <w:tcPr>
            <w:tcW w:w="1524" w:type="dxa"/>
          </w:tcPr>
          <w:p w:rsidR="003717A0" w:rsidRDefault="003717A0" w:rsidP="00F5156D">
            <w:pPr>
              <w:adjustRightInd w:val="0"/>
              <w:snapToGrid w:val="0"/>
              <w:spacing w:line="460" w:lineRule="exact"/>
              <w:jc w:val="center"/>
              <w:rPr>
                <w:sz w:val="22"/>
              </w:rPr>
            </w:pPr>
            <w:r>
              <w:rPr>
                <w:sz w:val="22"/>
              </w:rPr>
              <w:t>2007.8</w:t>
            </w:r>
          </w:p>
        </w:tc>
      </w:tr>
      <w:tr w:rsidR="003717A0" w:rsidTr="00F5156D">
        <w:trPr>
          <w:jc w:val="center"/>
        </w:trPr>
        <w:tc>
          <w:tcPr>
            <w:tcW w:w="1668" w:type="dxa"/>
          </w:tcPr>
          <w:p w:rsidR="003717A0" w:rsidRDefault="003717A0" w:rsidP="00F5156D">
            <w:pPr>
              <w:adjustRightInd w:val="0"/>
              <w:snapToGrid w:val="0"/>
              <w:spacing w:line="460" w:lineRule="exact"/>
              <w:jc w:val="center"/>
              <w:rPr>
                <w:sz w:val="22"/>
              </w:rPr>
            </w:pPr>
            <w:r>
              <w:rPr>
                <w:rFonts w:hint="eastAsia"/>
                <w:sz w:val="22"/>
              </w:rPr>
              <w:t>顾琦</w:t>
            </w:r>
          </w:p>
        </w:tc>
        <w:tc>
          <w:tcPr>
            <w:tcW w:w="1523" w:type="dxa"/>
          </w:tcPr>
          <w:p w:rsidR="003717A0" w:rsidRDefault="003717A0" w:rsidP="00F5156D">
            <w:pPr>
              <w:adjustRightInd w:val="0"/>
              <w:snapToGrid w:val="0"/>
              <w:spacing w:line="460" w:lineRule="exact"/>
              <w:jc w:val="center"/>
              <w:rPr>
                <w:sz w:val="22"/>
              </w:rPr>
            </w:pPr>
            <w:r>
              <w:rPr>
                <w:rFonts w:hint="eastAsia"/>
                <w:sz w:val="22"/>
              </w:rPr>
              <w:t>女</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6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rsidP="00F5156D">
            <w:pPr>
              <w:adjustRightInd w:val="0"/>
              <w:snapToGrid w:val="0"/>
              <w:spacing w:line="460" w:lineRule="exact"/>
              <w:jc w:val="center"/>
              <w:rPr>
                <w:sz w:val="22"/>
              </w:rPr>
            </w:pPr>
            <w:r>
              <w:rPr>
                <w:rFonts w:hint="eastAsia"/>
                <w:sz w:val="22"/>
              </w:rPr>
              <w:t>讲师</w:t>
            </w:r>
          </w:p>
        </w:tc>
        <w:tc>
          <w:tcPr>
            <w:tcW w:w="1524" w:type="dxa"/>
          </w:tcPr>
          <w:p w:rsidR="003717A0" w:rsidRDefault="003717A0" w:rsidP="00F5156D">
            <w:pPr>
              <w:adjustRightInd w:val="0"/>
              <w:snapToGrid w:val="0"/>
              <w:spacing w:line="460" w:lineRule="exact"/>
              <w:jc w:val="center"/>
              <w:rPr>
                <w:sz w:val="22"/>
              </w:rPr>
            </w:pPr>
            <w:r>
              <w:rPr>
                <w:sz w:val="22"/>
              </w:rPr>
              <w:t>2007.8</w:t>
            </w:r>
          </w:p>
        </w:tc>
      </w:tr>
      <w:tr w:rsidR="003717A0" w:rsidTr="00F5156D">
        <w:trPr>
          <w:jc w:val="center"/>
        </w:trPr>
        <w:tc>
          <w:tcPr>
            <w:tcW w:w="9286" w:type="dxa"/>
            <w:gridSpan w:val="10"/>
          </w:tcPr>
          <w:p w:rsidR="003717A0" w:rsidRDefault="003717A0" w:rsidP="00F5156D">
            <w:pPr>
              <w:adjustRightInd w:val="0"/>
              <w:snapToGrid w:val="0"/>
              <w:spacing w:line="460" w:lineRule="exact"/>
              <w:rPr>
                <w:sz w:val="22"/>
              </w:rPr>
            </w:pPr>
            <w:r>
              <w:rPr>
                <w:rFonts w:hint="eastAsia"/>
                <w:sz w:val="22"/>
              </w:rPr>
              <w:t>课程简介</w:t>
            </w:r>
          </w:p>
        </w:tc>
      </w:tr>
      <w:tr w:rsidR="003717A0" w:rsidTr="00F5156D">
        <w:trPr>
          <w:jc w:val="center"/>
        </w:trPr>
        <w:tc>
          <w:tcPr>
            <w:tcW w:w="9286" w:type="dxa"/>
            <w:gridSpan w:val="10"/>
          </w:tcPr>
          <w:p w:rsidR="003717A0" w:rsidRDefault="003717A0" w:rsidP="00F5156D">
            <w:pPr>
              <w:spacing w:line="460" w:lineRule="exact"/>
              <w:ind w:firstLineChars="200" w:firstLine="420"/>
              <w:rPr>
                <w:rFonts w:ascii="宋体"/>
                <w:szCs w:val="21"/>
              </w:rPr>
            </w:pPr>
            <w:r>
              <w:rPr>
                <w:rFonts w:ascii="宋体" w:hAnsi="宋体" w:hint="eastAsia"/>
                <w:szCs w:val="21"/>
              </w:rPr>
              <w:t>骨骼肌肉系统疾病物理治疗是物理治疗学专业的一门必修课程，是康复治疗学的重要组成部分。通过本课程学习，使学生重点掌握骨骼肌肉系统疾病物理治疗的相关原理和理论、骨骼肌肉系统疾病物理治疗的功能评定、物理治疗技术，掌握骨折、骨关节炎、手外伤、截肢等临床常见疾病的特点、分类、评价及其康复治疗方法。</w:t>
            </w:r>
            <w:r>
              <w:rPr>
                <w:rFonts w:hint="eastAsia"/>
                <w:sz w:val="22"/>
              </w:rPr>
              <w:t>本课程教学的主要路径与方法：（</w:t>
            </w:r>
            <w:r>
              <w:rPr>
                <w:sz w:val="22"/>
              </w:rPr>
              <w:t>1</w:t>
            </w:r>
            <w:r>
              <w:rPr>
                <w:rFonts w:hint="eastAsia"/>
                <w:sz w:val="22"/>
              </w:rPr>
              <w:t>）通过理论课堂讲解的主要知识点，使学生掌握本课程的基本概念和知识，同时利用参考书和网络平台，辅导学生逐步形成自主学习的能力；</w:t>
            </w:r>
            <w:r>
              <w:rPr>
                <w:rFonts w:ascii="宋体" w:hAnsi="宋体" w:hint="eastAsia"/>
                <w:szCs w:val="21"/>
              </w:rPr>
              <w:t>讲课时要做到目地明确，层次分明，充分利用图表、幻灯、录相、多媒体等教学工具。（</w:t>
            </w:r>
            <w:r>
              <w:rPr>
                <w:rFonts w:ascii="宋体" w:hAnsi="宋体"/>
                <w:szCs w:val="21"/>
              </w:rPr>
              <w:t>2</w:t>
            </w:r>
            <w:r>
              <w:rPr>
                <w:rFonts w:ascii="宋体" w:hAnsi="宋体" w:hint="eastAsia"/>
                <w:szCs w:val="21"/>
              </w:rPr>
              <w:t>）在实习中，利用各种检查仪器和治疗工具示教，小组带教互动以学生动手学习操作为主，结合对病人治疗进行必要的重点讲解，以巩固和深化课堂所讲授的知识</w:t>
            </w:r>
            <w:r>
              <w:rPr>
                <w:rFonts w:hint="eastAsia"/>
                <w:sz w:val="22"/>
              </w:rPr>
              <w:t>。</w:t>
            </w:r>
          </w:p>
        </w:tc>
      </w:tr>
    </w:tbl>
    <w:p w:rsidR="003717A0" w:rsidRPr="00F5156D" w:rsidRDefault="003717A0" w:rsidP="00F5156D">
      <w:pPr>
        <w:adjustRightInd w:val="0"/>
        <w:spacing w:line="360" w:lineRule="auto"/>
        <w:contextualSpacing/>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适应对象：本科层次，物理治疗学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rFonts w:ascii="Times New Roman" w:hAnsi="Times New Roman"/>
          <w:kern w:val="0"/>
          <w:szCs w:val="21"/>
        </w:rPr>
        <w:t>170708</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108</w:t>
      </w:r>
      <w:r>
        <w:rPr>
          <w:rFonts w:ascii="Times New Roman" w:hAnsi="Times New Roman" w:hint="eastAsia"/>
          <w:kern w:val="0"/>
          <w:szCs w:val="21"/>
        </w:rPr>
        <w:t>学时（理论学时</w:t>
      </w:r>
      <w:r>
        <w:rPr>
          <w:rFonts w:ascii="Times New Roman" w:hAnsi="Times New Roman"/>
          <w:kern w:val="0"/>
          <w:szCs w:val="21"/>
        </w:rPr>
        <w:t>54</w:t>
      </w:r>
      <w:r>
        <w:rPr>
          <w:rFonts w:ascii="Times New Roman" w:hAnsi="Times New Roman" w:hint="eastAsia"/>
          <w:kern w:val="0"/>
          <w:szCs w:val="21"/>
        </w:rPr>
        <w:t>，实验学时</w:t>
      </w:r>
      <w:r>
        <w:rPr>
          <w:rFonts w:ascii="Times New Roman" w:hAnsi="Times New Roman"/>
          <w:kern w:val="0"/>
          <w:szCs w:val="21"/>
        </w:rPr>
        <w:t>54</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5</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先修课程：康复评定学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后续课程：其他临床康复专业课程</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hint="eastAsia"/>
          <w:szCs w:val="21"/>
        </w:rPr>
        <w:t>骨骼肌肉系统疾病康复治疗是康复治疗学专业的一门必修课程，是康复治疗学的重要组成部分。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hint="eastAsia"/>
          <w:szCs w:val="21"/>
        </w:rPr>
        <w:t>通过本课程学习，使学生重点掌握骨骼肌肉系统疾病作业治疗的相关原理和理论、骨骼肌肉系统疾病作业治疗的功能评定、作业治疗技术，掌握骨折、骨关节炎、手外伤、截肢等临床常见疾病的特点、分类、评价及其康复治疗方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b/>
          <w:sz w:val="28"/>
        </w:rPr>
      </w:pPr>
      <w:r>
        <w:rPr>
          <w:rFonts w:hint="eastAsia"/>
          <w:b/>
          <w:sz w:val="28"/>
        </w:rPr>
        <w:t>第一章</w:t>
      </w:r>
      <w:r>
        <w:rPr>
          <w:b/>
          <w:sz w:val="28"/>
        </w:rPr>
        <w:t xml:space="preserve">  </w:t>
      </w:r>
      <w:r>
        <w:rPr>
          <w:rFonts w:hint="eastAsia"/>
          <w:b/>
          <w:sz w:val="28"/>
        </w:rPr>
        <w:t>概论</w:t>
      </w:r>
    </w:p>
    <w:p w:rsidR="003717A0" w:rsidRDefault="003717A0">
      <w:pPr>
        <w:numPr>
          <w:ilvl w:val="0"/>
          <w:numId w:val="242"/>
        </w:numPr>
        <w:adjustRightInd w:val="0"/>
        <w:snapToGrid w:val="0"/>
        <w:spacing w:line="360" w:lineRule="auto"/>
        <w:ind w:right="6"/>
        <w:rPr>
          <w:rFonts w:ascii="宋体"/>
          <w:sz w:val="24"/>
        </w:rPr>
      </w:pPr>
      <w:r>
        <w:rPr>
          <w:rFonts w:ascii="宋体" w:hAnsi="宋体" w:hint="eastAsia"/>
          <w:sz w:val="24"/>
        </w:rPr>
        <w:t>教学内容（</w:t>
      </w:r>
      <w:r>
        <w:rPr>
          <w:rFonts w:ascii="宋体" w:hAnsi="宋体"/>
          <w:sz w:val="24"/>
        </w:rPr>
        <w:t>3</w:t>
      </w:r>
      <w:r>
        <w:rPr>
          <w:rFonts w:ascii="宋体" w:hAnsi="宋体" w:hint="eastAsia"/>
          <w:sz w:val="24"/>
        </w:rPr>
        <w:t>学时）</w:t>
      </w:r>
    </w:p>
    <w:p w:rsidR="003717A0" w:rsidRDefault="003717A0">
      <w:pPr>
        <w:numPr>
          <w:ilvl w:val="0"/>
          <w:numId w:val="243"/>
        </w:numPr>
        <w:adjustRightInd w:val="0"/>
        <w:snapToGrid w:val="0"/>
        <w:spacing w:line="360" w:lineRule="auto"/>
        <w:ind w:right="6"/>
        <w:rPr>
          <w:rFonts w:ascii="宋体"/>
          <w:sz w:val="24"/>
        </w:rPr>
      </w:pPr>
      <w:r>
        <w:rPr>
          <w:rFonts w:ascii="宋体" w:hAnsi="宋体" w:hint="eastAsia"/>
          <w:sz w:val="24"/>
        </w:rPr>
        <w:t>肌肉骨骼康复学的定义。</w:t>
      </w:r>
    </w:p>
    <w:p w:rsidR="003717A0" w:rsidRDefault="003717A0">
      <w:pPr>
        <w:numPr>
          <w:ilvl w:val="0"/>
          <w:numId w:val="243"/>
        </w:numPr>
        <w:adjustRightInd w:val="0"/>
        <w:snapToGrid w:val="0"/>
        <w:spacing w:line="360" w:lineRule="auto"/>
        <w:ind w:right="6"/>
        <w:rPr>
          <w:rFonts w:ascii="宋体"/>
          <w:sz w:val="24"/>
        </w:rPr>
      </w:pPr>
      <w:r>
        <w:rPr>
          <w:rFonts w:ascii="宋体" w:hAnsi="宋体" w:hint="eastAsia"/>
          <w:sz w:val="24"/>
        </w:rPr>
        <w:t>肌肉骨骼康复学的内容。</w:t>
      </w:r>
    </w:p>
    <w:p w:rsidR="003717A0" w:rsidRDefault="003717A0">
      <w:pPr>
        <w:numPr>
          <w:ilvl w:val="0"/>
          <w:numId w:val="243"/>
        </w:numPr>
        <w:adjustRightInd w:val="0"/>
        <w:snapToGrid w:val="0"/>
        <w:spacing w:line="360" w:lineRule="auto"/>
        <w:ind w:right="6"/>
        <w:rPr>
          <w:rFonts w:ascii="宋体"/>
          <w:sz w:val="24"/>
        </w:rPr>
      </w:pPr>
      <w:r>
        <w:rPr>
          <w:rFonts w:ascii="宋体" w:hAnsi="宋体" w:hint="eastAsia"/>
          <w:sz w:val="24"/>
        </w:rPr>
        <w:t>肌肉骨骼康复学的常用检查与治疗方法。</w:t>
      </w:r>
    </w:p>
    <w:p w:rsidR="003717A0" w:rsidRDefault="003717A0">
      <w:pPr>
        <w:numPr>
          <w:ilvl w:val="0"/>
          <w:numId w:val="242"/>
        </w:numPr>
        <w:adjustRightInd w:val="0"/>
        <w:snapToGrid w:val="0"/>
        <w:spacing w:line="360" w:lineRule="auto"/>
        <w:ind w:right="6"/>
        <w:rPr>
          <w:rFonts w:ascii="宋体"/>
          <w:sz w:val="24"/>
        </w:rPr>
      </w:pPr>
      <w:r>
        <w:rPr>
          <w:rFonts w:ascii="宋体" w:hAnsi="宋体" w:hint="eastAsia"/>
          <w:sz w:val="24"/>
        </w:rPr>
        <w:t>实习内容（</w:t>
      </w:r>
      <w:r>
        <w:rPr>
          <w:rFonts w:ascii="宋体" w:hAnsi="宋体"/>
          <w:sz w:val="24"/>
        </w:rPr>
        <w:t>3</w:t>
      </w:r>
      <w:r>
        <w:rPr>
          <w:rFonts w:ascii="宋体" w:hAnsi="宋体" w:hint="eastAsia"/>
          <w:sz w:val="24"/>
        </w:rPr>
        <w:t>学时）</w:t>
      </w:r>
    </w:p>
    <w:p w:rsidR="003717A0" w:rsidRDefault="003717A0">
      <w:pPr>
        <w:numPr>
          <w:ilvl w:val="0"/>
          <w:numId w:val="244"/>
        </w:numPr>
        <w:adjustRightInd w:val="0"/>
        <w:snapToGrid w:val="0"/>
        <w:spacing w:line="360" w:lineRule="auto"/>
        <w:ind w:right="6"/>
        <w:rPr>
          <w:rFonts w:ascii="宋体"/>
          <w:sz w:val="24"/>
        </w:rPr>
      </w:pPr>
      <w:r>
        <w:rPr>
          <w:rFonts w:ascii="宋体" w:hAnsi="宋体" w:hint="eastAsia"/>
          <w:sz w:val="24"/>
        </w:rPr>
        <w:t>肌肉骨骼康复学的常用检查与治疗方法。</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4" w:firstLineChars="200" w:firstLine="480"/>
        <w:rPr>
          <w:rFonts w:ascii="Times New Roman" w:hAnsi="Times New Roman"/>
        </w:rPr>
      </w:pPr>
      <w:r>
        <w:rPr>
          <w:rFonts w:ascii="宋体" w:hAnsi="宋体"/>
          <w:sz w:val="24"/>
        </w:rPr>
        <w:t>1.</w:t>
      </w:r>
      <w:r>
        <w:rPr>
          <w:rFonts w:ascii="宋体" w:hAnsi="宋体" w:hint="eastAsia"/>
          <w:sz w:val="24"/>
        </w:rPr>
        <w:t>熟悉肌肉骨骼康复学的定义</w:t>
      </w:r>
      <w:r>
        <w:rPr>
          <w:rFonts w:ascii="Times New Roman" w:hint="eastAsia"/>
        </w:rPr>
        <w:t>。</w:t>
      </w:r>
    </w:p>
    <w:p w:rsidR="003717A0" w:rsidRDefault="003717A0">
      <w:pPr>
        <w:adjustRightInd w:val="0"/>
        <w:snapToGrid w:val="0"/>
        <w:spacing w:line="360" w:lineRule="auto"/>
        <w:ind w:right="4" w:firstLineChars="200" w:firstLine="480"/>
        <w:rPr>
          <w:rFonts w:ascii="Times New Roman" w:hAnsi="Times New Roman"/>
        </w:rPr>
      </w:pPr>
      <w:r>
        <w:rPr>
          <w:rFonts w:ascii="宋体" w:hAnsi="宋体"/>
          <w:sz w:val="24"/>
        </w:rPr>
        <w:t>2.</w:t>
      </w:r>
      <w:r>
        <w:rPr>
          <w:rFonts w:ascii="宋体" w:hAnsi="宋体" w:hint="eastAsia"/>
          <w:sz w:val="24"/>
        </w:rPr>
        <w:t>熟悉肌肉骨骼康复学的内容</w:t>
      </w:r>
      <w:r>
        <w:rPr>
          <w:rFonts w:ascii="Times New Roman" w:hint="eastAsia"/>
        </w:rPr>
        <w:t>。</w:t>
      </w:r>
    </w:p>
    <w:p w:rsidR="003717A0" w:rsidRDefault="003717A0">
      <w:pPr>
        <w:adjustRightInd w:val="0"/>
        <w:snapToGrid w:val="0"/>
        <w:spacing w:line="360" w:lineRule="auto"/>
        <w:ind w:right="4" w:firstLineChars="200" w:firstLine="480"/>
        <w:rPr>
          <w:rFonts w:ascii="Times New Roman" w:hAnsi="Times New Roman"/>
        </w:rPr>
      </w:pPr>
      <w:r>
        <w:rPr>
          <w:rFonts w:ascii="宋体" w:hAnsi="宋体"/>
          <w:sz w:val="24"/>
        </w:rPr>
        <w:t>3.</w:t>
      </w:r>
      <w:r>
        <w:rPr>
          <w:rFonts w:ascii="宋体" w:hAnsi="宋体" w:hint="eastAsia"/>
          <w:sz w:val="24"/>
        </w:rPr>
        <w:t>掌握肌肉骨骼康复学的常用检查与治疗方法。</w:t>
      </w:r>
    </w:p>
    <w:p w:rsidR="003717A0" w:rsidRDefault="003717A0" w:rsidP="005E20B5">
      <w:pPr>
        <w:adjustRightInd w:val="0"/>
        <w:snapToGrid w:val="0"/>
        <w:spacing w:beforeLines="50" w:line="360" w:lineRule="auto"/>
        <w:ind w:right="6"/>
        <w:jc w:val="center"/>
        <w:rPr>
          <w:b/>
          <w:sz w:val="28"/>
          <w:szCs w:val="28"/>
        </w:rPr>
      </w:pPr>
      <w:r>
        <w:rPr>
          <w:rFonts w:hint="eastAsia"/>
          <w:b/>
          <w:sz w:val="28"/>
          <w:szCs w:val="28"/>
        </w:rPr>
        <w:t>第二章</w:t>
      </w:r>
      <w:r>
        <w:rPr>
          <w:b/>
          <w:sz w:val="28"/>
          <w:szCs w:val="28"/>
        </w:rPr>
        <w:t xml:space="preserve">  </w:t>
      </w:r>
      <w:r>
        <w:rPr>
          <w:rFonts w:hint="eastAsia"/>
          <w:b/>
          <w:sz w:val="28"/>
          <w:szCs w:val="28"/>
        </w:rPr>
        <w:t>上肢创伤康复</w:t>
      </w:r>
    </w:p>
    <w:p w:rsidR="003717A0" w:rsidRDefault="003717A0" w:rsidP="005E20B5">
      <w:pPr>
        <w:adjustRightInd w:val="0"/>
        <w:snapToGrid w:val="0"/>
        <w:spacing w:beforeLines="50" w:line="360" w:lineRule="auto"/>
        <w:ind w:right="6"/>
        <w:rPr>
          <w:b/>
          <w:sz w:val="22"/>
        </w:rPr>
      </w:pPr>
      <w:r>
        <w:rPr>
          <w:rFonts w:ascii="宋体" w:hAnsi="宋体"/>
          <w:sz w:val="24"/>
        </w:rPr>
        <w:t>1.</w:t>
      </w:r>
      <w:r>
        <w:rPr>
          <w:rFonts w:ascii="宋体" w:hAnsi="宋体" w:hint="eastAsia"/>
          <w:sz w:val="24"/>
        </w:rPr>
        <w:t>教学内容（</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left="360" w:right="6"/>
        <w:rPr>
          <w:rFonts w:ascii="宋体"/>
          <w:sz w:val="24"/>
        </w:rPr>
      </w:pPr>
      <w:r>
        <w:rPr>
          <w:rFonts w:ascii="宋体" w:hAnsi="宋体"/>
          <w:sz w:val="24"/>
        </w:rPr>
        <w:t xml:space="preserve">1. </w:t>
      </w:r>
      <w:r>
        <w:rPr>
          <w:rFonts w:ascii="宋体" w:hAnsi="宋体" w:hint="eastAsia"/>
          <w:sz w:val="24"/>
        </w:rPr>
        <w:t>肩部骨折与脱位</w:t>
      </w:r>
    </w:p>
    <w:p w:rsidR="003717A0" w:rsidRDefault="003717A0">
      <w:pPr>
        <w:adjustRightInd w:val="0"/>
        <w:snapToGrid w:val="0"/>
        <w:spacing w:line="360" w:lineRule="auto"/>
        <w:ind w:left="360" w:right="6"/>
        <w:rPr>
          <w:rFonts w:ascii="宋体"/>
          <w:sz w:val="24"/>
        </w:rPr>
      </w:pPr>
      <w:r>
        <w:rPr>
          <w:rFonts w:ascii="宋体" w:hAnsi="宋体"/>
          <w:sz w:val="24"/>
        </w:rPr>
        <w:lastRenderedPageBreak/>
        <w:t xml:space="preserve">2. </w:t>
      </w:r>
      <w:r>
        <w:rPr>
          <w:rFonts w:ascii="宋体" w:hAnsi="宋体" w:hint="eastAsia"/>
          <w:sz w:val="24"/>
        </w:rPr>
        <w:t>肱骨骨折</w:t>
      </w:r>
    </w:p>
    <w:p w:rsidR="003717A0" w:rsidRDefault="003717A0">
      <w:pPr>
        <w:adjustRightInd w:val="0"/>
        <w:snapToGrid w:val="0"/>
        <w:spacing w:line="360" w:lineRule="auto"/>
        <w:ind w:left="360" w:right="6"/>
        <w:rPr>
          <w:rFonts w:ascii="宋体"/>
          <w:sz w:val="24"/>
        </w:rPr>
      </w:pPr>
      <w:r>
        <w:rPr>
          <w:rFonts w:ascii="宋体" w:hAnsi="宋体"/>
          <w:sz w:val="24"/>
        </w:rPr>
        <w:t xml:space="preserve">3. </w:t>
      </w:r>
      <w:r>
        <w:rPr>
          <w:rFonts w:ascii="宋体" w:hAnsi="宋体" w:hint="eastAsia"/>
          <w:sz w:val="24"/>
        </w:rPr>
        <w:t>肘部骨折与脱位</w:t>
      </w:r>
    </w:p>
    <w:p w:rsidR="003717A0" w:rsidRDefault="003717A0">
      <w:pPr>
        <w:adjustRightInd w:val="0"/>
        <w:snapToGrid w:val="0"/>
        <w:spacing w:line="360" w:lineRule="auto"/>
        <w:ind w:left="360" w:right="6"/>
        <w:rPr>
          <w:rFonts w:ascii="宋体"/>
          <w:sz w:val="24"/>
          <w:szCs w:val="24"/>
        </w:rPr>
      </w:pPr>
      <w:r>
        <w:rPr>
          <w:rFonts w:ascii="宋体" w:hAnsi="宋体"/>
          <w:sz w:val="24"/>
        </w:rPr>
        <w:t xml:space="preserve">4. </w:t>
      </w:r>
      <w:r>
        <w:rPr>
          <w:rFonts w:ascii="宋体" w:hAnsi="宋体" w:hint="eastAsia"/>
          <w:sz w:val="24"/>
        </w:rPr>
        <w:t>前臂骨折</w:t>
      </w:r>
    </w:p>
    <w:p w:rsidR="003717A0" w:rsidRDefault="003717A0">
      <w:pPr>
        <w:adjustRightInd w:val="0"/>
        <w:snapToGrid w:val="0"/>
        <w:spacing w:line="360" w:lineRule="auto"/>
        <w:ind w:right="6"/>
        <w:rPr>
          <w:rFonts w:ascii="宋体"/>
          <w:sz w:val="24"/>
          <w:szCs w:val="24"/>
        </w:rPr>
      </w:pPr>
      <w:r>
        <w:rPr>
          <w:rFonts w:ascii="宋体" w:hAnsi="宋体"/>
          <w:sz w:val="24"/>
          <w:szCs w:val="24"/>
        </w:rPr>
        <w:t>2.</w:t>
      </w:r>
      <w:r>
        <w:rPr>
          <w:rFonts w:ascii="宋体" w:hAnsi="宋体" w:hint="eastAsia"/>
          <w:sz w:val="24"/>
          <w:szCs w:val="24"/>
        </w:rPr>
        <w:t>实习内容（</w:t>
      </w:r>
      <w:r>
        <w:rPr>
          <w:rFonts w:ascii="宋体" w:hAnsi="宋体"/>
          <w:sz w:val="24"/>
          <w:szCs w:val="24"/>
        </w:rPr>
        <w:t>3</w:t>
      </w:r>
      <w:r>
        <w:rPr>
          <w:rFonts w:ascii="宋体" w:hAnsi="宋体" w:hint="eastAsia"/>
          <w:sz w:val="24"/>
          <w:szCs w:val="24"/>
        </w:rPr>
        <w:t>学时）</w:t>
      </w:r>
    </w:p>
    <w:p w:rsidR="003717A0" w:rsidRDefault="003717A0">
      <w:pPr>
        <w:adjustRightInd w:val="0"/>
        <w:snapToGrid w:val="0"/>
        <w:spacing w:line="360" w:lineRule="auto"/>
        <w:ind w:right="6" w:firstLineChars="100" w:firstLine="240"/>
        <w:rPr>
          <w:sz w:val="24"/>
          <w:szCs w:val="24"/>
        </w:rPr>
      </w:pPr>
      <w:r>
        <w:rPr>
          <w:rFonts w:ascii="宋体" w:hAnsi="宋体"/>
          <w:sz w:val="24"/>
          <w:szCs w:val="24"/>
        </w:rPr>
        <w:t>1.</w:t>
      </w:r>
      <w:r>
        <w:rPr>
          <w:rFonts w:hint="eastAsia"/>
          <w:sz w:val="24"/>
          <w:szCs w:val="24"/>
        </w:rPr>
        <w:t>上肢创伤的康复评定</w:t>
      </w:r>
    </w:p>
    <w:p w:rsidR="003717A0" w:rsidRDefault="003717A0">
      <w:pPr>
        <w:adjustRightInd w:val="0"/>
        <w:snapToGrid w:val="0"/>
        <w:spacing w:line="360" w:lineRule="auto"/>
        <w:ind w:right="6" w:firstLineChars="100" w:firstLine="240"/>
        <w:rPr>
          <w:sz w:val="24"/>
          <w:szCs w:val="24"/>
        </w:rPr>
      </w:pPr>
      <w:r>
        <w:rPr>
          <w:rFonts w:ascii="宋体" w:hAnsi="宋体"/>
          <w:sz w:val="24"/>
          <w:szCs w:val="24"/>
        </w:rPr>
        <w:t>2.</w:t>
      </w:r>
      <w:r>
        <w:rPr>
          <w:rFonts w:hint="eastAsia"/>
          <w:sz w:val="24"/>
          <w:szCs w:val="24"/>
        </w:rPr>
        <w:t>上肢创伤的康复治疗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firstLineChars="100" w:firstLine="240"/>
        <w:rPr>
          <w:sz w:val="24"/>
          <w:szCs w:val="24"/>
        </w:rPr>
      </w:pPr>
      <w:r>
        <w:rPr>
          <w:rFonts w:ascii="宋体" w:hAnsi="宋体"/>
          <w:sz w:val="24"/>
          <w:szCs w:val="24"/>
        </w:rPr>
        <w:t>1.</w:t>
      </w:r>
      <w:r>
        <w:rPr>
          <w:rFonts w:ascii="宋体" w:hAnsi="宋体" w:hint="eastAsia"/>
          <w:sz w:val="24"/>
          <w:szCs w:val="24"/>
        </w:rPr>
        <w:t>熟悉</w:t>
      </w:r>
      <w:r>
        <w:rPr>
          <w:rFonts w:hint="eastAsia"/>
          <w:sz w:val="24"/>
          <w:szCs w:val="24"/>
        </w:rPr>
        <w:t>上肢创伤的康复评定</w:t>
      </w:r>
    </w:p>
    <w:p w:rsidR="003717A0" w:rsidRDefault="003717A0">
      <w:pPr>
        <w:adjustRightInd w:val="0"/>
        <w:snapToGrid w:val="0"/>
        <w:spacing w:line="360" w:lineRule="auto"/>
        <w:ind w:right="6" w:firstLineChars="100" w:firstLine="240"/>
        <w:rPr>
          <w:sz w:val="24"/>
          <w:szCs w:val="24"/>
        </w:rPr>
      </w:pPr>
      <w:r>
        <w:rPr>
          <w:rFonts w:ascii="宋体" w:hAnsi="宋体"/>
          <w:sz w:val="24"/>
          <w:szCs w:val="24"/>
        </w:rPr>
        <w:t>2.</w:t>
      </w:r>
      <w:r>
        <w:rPr>
          <w:rFonts w:ascii="宋体" w:hAnsi="宋体" w:hint="eastAsia"/>
          <w:sz w:val="24"/>
          <w:szCs w:val="24"/>
        </w:rPr>
        <w:t>掌握</w:t>
      </w:r>
      <w:r>
        <w:rPr>
          <w:rFonts w:hint="eastAsia"/>
          <w:sz w:val="24"/>
          <w:szCs w:val="24"/>
        </w:rPr>
        <w:t>上肢创伤的康复治疗</w:t>
      </w:r>
    </w:p>
    <w:p w:rsidR="003717A0" w:rsidRDefault="003717A0">
      <w:pPr>
        <w:widowControl/>
        <w:ind w:firstLineChars="1100" w:firstLine="3092"/>
        <w:jc w:val="left"/>
        <w:rPr>
          <w:rFonts w:ascii="宋体" w:cs="宋体"/>
          <w:b/>
          <w:kern w:val="0"/>
          <w:sz w:val="28"/>
          <w:szCs w:val="28"/>
        </w:rPr>
      </w:pPr>
      <w:r>
        <w:rPr>
          <w:rFonts w:ascii="宋体" w:hAnsi="宋体" w:cs="宋体" w:hint="eastAsia"/>
          <w:b/>
          <w:kern w:val="0"/>
          <w:sz w:val="28"/>
          <w:szCs w:val="28"/>
        </w:rPr>
        <w:t>第三章</w:t>
      </w:r>
      <w:r>
        <w:rPr>
          <w:rFonts w:ascii="宋体" w:hAnsi="宋体" w:cs="宋体"/>
          <w:b/>
          <w:kern w:val="0"/>
          <w:sz w:val="28"/>
          <w:szCs w:val="28"/>
        </w:rPr>
        <w:t xml:space="preserve"> </w:t>
      </w:r>
      <w:r>
        <w:rPr>
          <w:rFonts w:ascii="宋体" w:hAnsi="宋体" w:cs="宋体" w:hint="eastAsia"/>
          <w:b/>
          <w:kern w:val="0"/>
          <w:sz w:val="28"/>
          <w:szCs w:val="28"/>
        </w:rPr>
        <w:t>手外伤康复</w:t>
      </w:r>
    </w:p>
    <w:p w:rsidR="003717A0" w:rsidRDefault="003717A0">
      <w:pPr>
        <w:adjustRightInd w:val="0"/>
        <w:snapToGrid w:val="0"/>
        <w:spacing w:line="360" w:lineRule="auto"/>
        <w:ind w:right="6"/>
        <w:rPr>
          <w:rFonts w:ascii="宋体"/>
          <w:sz w:val="24"/>
        </w:rPr>
      </w:pPr>
      <w:r>
        <w:rPr>
          <w:rFonts w:ascii="宋体" w:hAnsi="宋体"/>
          <w:sz w:val="24"/>
        </w:rPr>
        <w:t>1.</w:t>
      </w:r>
      <w:r>
        <w:rPr>
          <w:rFonts w:ascii="宋体" w:hAnsi="宋体" w:hint="eastAsia"/>
          <w:sz w:val="24"/>
        </w:rPr>
        <w:t>教学内容（</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Chars="100" w:firstLine="240"/>
        <w:rPr>
          <w:rFonts w:ascii="宋体"/>
          <w:sz w:val="24"/>
        </w:rPr>
      </w:pPr>
      <w:r>
        <w:rPr>
          <w:rFonts w:ascii="宋体" w:hAnsi="宋体"/>
          <w:sz w:val="24"/>
        </w:rPr>
        <w:t>1.</w:t>
      </w:r>
      <w:r>
        <w:rPr>
          <w:rFonts w:ascii="宋体" w:hAnsi="宋体" w:hint="eastAsia"/>
          <w:sz w:val="24"/>
        </w:rPr>
        <w:t>手部肌腱损伤</w:t>
      </w:r>
    </w:p>
    <w:p w:rsidR="003717A0" w:rsidRDefault="003717A0">
      <w:pPr>
        <w:adjustRightInd w:val="0"/>
        <w:snapToGrid w:val="0"/>
        <w:spacing w:line="360" w:lineRule="auto"/>
        <w:ind w:right="6" w:firstLineChars="100" w:firstLine="240"/>
        <w:rPr>
          <w:rFonts w:ascii="宋体"/>
          <w:sz w:val="24"/>
        </w:rPr>
      </w:pPr>
      <w:r>
        <w:rPr>
          <w:rFonts w:ascii="宋体" w:hAnsi="宋体"/>
          <w:sz w:val="24"/>
        </w:rPr>
        <w:t>2.</w:t>
      </w:r>
      <w:r>
        <w:rPr>
          <w:rFonts w:ascii="宋体" w:hAnsi="宋体" w:hint="eastAsia"/>
          <w:sz w:val="24"/>
        </w:rPr>
        <w:t>手部骨折</w:t>
      </w:r>
    </w:p>
    <w:p w:rsidR="003717A0" w:rsidRDefault="003717A0">
      <w:pPr>
        <w:adjustRightInd w:val="0"/>
        <w:snapToGrid w:val="0"/>
        <w:spacing w:line="360" w:lineRule="auto"/>
        <w:ind w:right="6" w:firstLineChars="100" w:firstLine="240"/>
        <w:rPr>
          <w:rFonts w:ascii="宋体"/>
          <w:sz w:val="24"/>
        </w:rPr>
      </w:pPr>
      <w:r>
        <w:rPr>
          <w:rFonts w:ascii="宋体" w:hAnsi="宋体"/>
          <w:sz w:val="24"/>
        </w:rPr>
        <w:t>3.</w:t>
      </w:r>
      <w:r>
        <w:rPr>
          <w:rFonts w:ascii="宋体" w:hAnsi="宋体" w:hint="eastAsia"/>
          <w:sz w:val="24"/>
        </w:rPr>
        <w:t>手部神经损伤</w:t>
      </w:r>
    </w:p>
    <w:p w:rsidR="003717A0" w:rsidRDefault="003717A0">
      <w:pPr>
        <w:adjustRightInd w:val="0"/>
        <w:snapToGrid w:val="0"/>
        <w:spacing w:line="360" w:lineRule="auto"/>
        <w:ind w:right="6" w:firstLineChars="100" w:firstLine="240"/>
        <w:rPr>
          <w:rFonts w:ascii="宋体"/>
          <w:sz w:val="24"/>
        </w:rPr>
      </w:pPr>
      <w:r>
        <w:rPr>
          <w:rFonts w:ascii="宋体" w:hAnsi="宋体"/>
          <w:sz w:val="24"/>
        </w:rPr>
        <w:t>4.</w:t>
      </w:r>
      <w:r>
        <w:rPr>
          <w:rFonts w:ascii="宋体" w:hAnsi="宋体" w:hint="eastAsia"/>
          <w:sz w:val="24"/>
        </w:rPr>
        <w:t>手部多发伤</w:t>
      </w:r>
    </w:p>
    <w:p w:rsidR="003717A0" w:rsidRDefault="003717A0">
      <w:pPr>
        <w:adjustRightInd w:val="0"/>
        <w:snapToGrid w:val="0"/>
        <w:spacing w:line="360" w:lineRule="auto"/>
        <w:ind w:right="6"/>
        <w:rPr>
          <w:rFonts w:ascii="宋体"/>
          <w:sz w:val="24"/>
        </w:rPr>
      </w:pPr>
      <w:r>
        <w:rPr>
          <w:rFonts w:ascii="宋体" w:hAnsi="宋体"/>
          <w:sz w:val="24"/>
        </w:rPr>
        <w:t>2.</w:t>
      </w:r>
      <w:r>
        <w:rPr>
          <w:rFonts w:ascii="宋体" w:hAnsi="宋体" w:hint="eastAsia"/>
          <w:sz w:val="24"/>
        </w:rPr>
        <w:t>实习内容（</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Chars="100" w:firstLine="240"/>
        <w:rPr>
          <w:rFonts w:ascii="宋体"/>
          <w:sz w:val="24"/>
        </w:rPr>
      </w:pPr>
      <w:r>
        <w:rPr>
          <w:rFonts w:ascii="宋体" w:hAnsi="宋体"/>
          <w:sz w:val="24"/>
        </w:rPr>
        <w:t>1.</w:t>
      </w:r>
      <w:r>
        <w:rPr>
          <w:rFonts w:ascii="宋体" w:hAnsi="宋体" w:hint="eastAsia"/>
          <w:sz w:val="24"/>
        </w:rPr>
        <w:t>手外伤的康复评定</w:t>
      </w:r>
    </w:p>
    <w:p w:rsidR="003717A0" w:rsidRDefault="003717A0">
      <w:pPr>
        <w:adjustRightInd w:val="0"/>
        <w:snapToGrid w:val="0"/>
        <w:spacing w:line="360" w:lineRule="auto"/>
        <w:ind w:right="6" w:firstLineChars="100" w:firstLine="240"/>
        <w:rPr>
          <w:rFonts w:ascii="宋体"/>
          <w:sz w:val="24"/>
        </w:rPr>
      </w:pPr>
      <w:r>
        <w:rPr>
          <w:rFonts w:ascii="宋体" w:hAnsi="宋体"/>
          <w:sz w:val="24"/>
        </w:rPr>
        <w:t>2.</w:t>
      </w:r>
      <w:r>
        <w:rPr>
          <w:rFonts w:ascii="宋体" w:hAnsi="宋体" w:hint="eastAsia"/>
          <w:sz w:val="24"/>
        </w:rPr>
        <w:t>手外伤的康复治疗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firstLineChars="200" w:firstLine="480"/>
        <w:rPr>
          <w:rFonts w:ascii="宋体"/>
          <w:sz w:val="24"/>
        </w:rPr>
      </w:pPr>
      <w:r>
        <w:rPr>
          <w:rFonts w:ascii="宋体" w:hAnsi="宋体"/>
          <w:sz w:val="24"/>
        </w:rPr>
        <w:t>1.</w:t>
      </w:r>
      <w:r>
        <w:rPr>
          <w:rFonts w:ascii="宋体" w:hAnsi="宋体" w:hint="eastAsia"/>
          <w:sz w:val="24"/>
        </w:rPr>
        <w:t>熟悉手外伤的康复评定</w:t>
      </w:r>
    </w:p>
    <w:p w:rsidR="003717A0" w:rsidRDefault="003717A0">
      <w:pPr>
        <w:adjustRightInd w:val="0"/>
        <w:snapToGrid w:val="0"/>
        <w:spacing w:line="360" w:lineRule="auto"/>
        <w:ind w:right="6" w:firstLineChars="200" w:firstLine="480"/>
        <w:rPr>
          <w:rFonts w:ascii="宋体"/>
          <w:sz w:val="24"/>
        </w:rPr>
      </w:pPr>
      <w:r>
        <w:rPr>
          <w:rFonts w:ascii="宋体" w:hAnsi="宋体"/>
          <w:sz w:val="24"/>
        </w:rPr>
        <w:t>2.</w:t>
      </w:r>
      <w:r>
        <w:rPr>
          <w:rFonts w:ascii="宋体" w:hAnsi="宋体" w:hint="eastAsia"/>
          <w:sz w:val="24"/>
        </w:rPr>
        <w:t>掌握手外伤的康复治疗</w:t>
      </w:r>
    </w:p>
    <w:p w:rsidR="003717A0" w:rsidRDefault="003717A0">
      <w:pPr>
        <w:adjustRightInd w:val="0"/>
        <w:snapToGrid w:val="0"/>
        <w:spacing w:line="360" w:lineRule="auto"/>
        <w:ind w:right="6" w:firstLineChars="100" w:firstLine="240"/>
        <w:rPr>
          <w:rFonts w:ascii="宋体"/>
          <w:b/>
          <w:sz w:val="28"/>
          <w:szCs w:val="28"/>
        </w:rPr>
      </w:pPr>
      <w:r>
        <w:rPr>
          <w:rFonts w:ascii="宋体" w:hAnsi="宋体"/>
          <w:sz w:val="24"/>
        </w:rPr>
        <w:t xml:space="preserve">                    </w:t>
      </w:r>
      <w:r>
        <w:rPr>
          <w:rFonts w:ascii="宋体" w:hAnsi="宋体"/>
          <w:b/>
          <w:sz w:val="28"/>
          <w:szCs w:val="28"/>
        </w:rPr>
        <w:t xml:space="preserve"> </w:t>
      </w:r>
      <w:r>
        <w:rPr>
          <w:rFonts w:ascii="宋体" w:hAnsi="宋体" w:hint="eastAsia"/>
          <w:b/>
          <w:sz w:val="28"/>
          <w:szCs w:val="28"/>
        </w:rPr>
        <w:t>第四章</w:t>
      </w:r>
      <w:r>
        <w:rPr>
          <w:rFonts w:ascii="宋体" w:hAnsi="宋体"/>
          <w:b/>
          <w:sz w:val="28"/>
          <w:szCs w:val="28"/>
        </w:rPr>
        <w:t xml:space="preserve"> </w:t>
      </w:r>
      <w:r>
        <w:rPr>
          <w:rFonts w:ascii="宋体" w:hAnsi="宋体" w:hint="eastAsia"/>
          <w:b/>
          <w:sz w:val="28"/>
          <w:szCs w:val="28"/>
        </w:rPr>
        <w:t>下肢创伤的康复</w:t>
      </w:r>
    </w:p>
    <w:p w:rsidR="003717A0" w:rsidRDefault="003717A0">
      <w:pPr>
        <w:adjustRightInd w:val="0"/>
        <w:snapToGrid w:val="0"/>
        <w:spacing w:line="360" w:lineRule="auto"/>
        <w:ind w:right="6" w:firstLineChars="100" w:firstLine="240"/>
        <w:rPr>
          <w:rFonts w:ascii="宋体"/>
          <w:sz w:val="24"/>
        </w:rPr>
      </w:pPr>
      <w:r>
        <w:rPr>
          <w:rFonts w:ascii="宋体" w:hAnsi="宋体"/>
          <w:sz w:val="24"/>
        </w:rPr>
        <w:t>1.</w:t>
      </w:r>
      <w:r>
        <w:rPr>
          <w:rFonts w:ascii="宋体" w:hAnsi="宋体" w:hint="eastAsia"/>
          <w:sz w:val="24"/>
        </w:rPr>
        <w:t>教学内容（</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Chars="100" w:firstLine="240"/>
        <w:rPr>
          <w:rFonts w:ascii="宋体"/>
          <w:sz w:val="24"/>
        </w:rPr>
      </w:pPr>
      <w:r>
        <w:rPr>
          <w:rFonts w:ascii="宋体" w:hAnsi="宋体"/>
          <w:sz w:val="24"/>
        </w:rPr>
        <w:t xml:space="preserve">  1.</w:t>
      </w:r>
      <w:r>
        <w:rPr>
          <w:rFonts w:ascii="宋体" w:hAnsi="宋体" w:hint="eastAsia"/>
          <w:sz w:val="24"/>
        </w:rPr>
        <w:t>股骨骨折</w:t>
      </w:r>
    </w:p>
    <w:p w:rsidR="003717A0" w:rsidRDefault="003717A0">
      <w:pPr>
        <w:adjustRightInd w:val="0"/>
        <w:snapToGrid w:val="0"/>
        <w:spacing w:line="360" w:lineRule="auto"/>
        <w:ind w:right="6" w:firstLineChars="100" w:firstLine="240"/>
        <w:rPr>
          <w:rFonts w:ascii="宋体"/>
          <w:sz w:val="24"/>
        </w:rPr>
      </w:pPr>
      <w:r>
        <w:rPr>
          <w:rFonts w:ascii="宋体" w:hAnsi="宋体"/>
          <w:sz w:val="24"/>
        </w:rPr>
        <w:t xml:space="preserve">  2.</w:t>
      </w:r>
      <w:r>
        <w:rPr>
          <w:rFonts w:ascii="宋体" w:hAnsi="宋体" w:hint="eastAsia"/>
          <w:sz w:val="24"/>
        </w:rPr>
        <w:t>膝部骨折</w:t>
      </w:r>
    </w:p>
    <w:p w:rsidR="003717A0" w:rsidRDefault="003717A0">
      <w:pPr>
        <w:adjustRightInd w:val="0"/>
        <w:snapToGrid w:val="0"/>
        <w:spacing w:line="360" w:lineRule="auto"/>
        <w:ind w:right="6" w:firstLineChars="100" w:firstLine="240"/>
        <w:rPr>
          <w:rFonts w:ascii="宋体"/>
          <w:sz w:val="24"/>
        </w:rPr>
      </w:pPr>
      <w:r>
        <w:rPr>
          <w:rFonts w:ascii="宋体" w:hAnsi="宋体"/>
          <w:sz w:val="24"/>
        </w:rPr>
        <w:t xml:space="preserve">  3.</w:t>
      </w:r>
      <w:r>
        <w:rPr>
          <w:rFonts w:ascii="宋体" w:hAnsi="宋体" w:hint="eastAsia"/>
          <w:sz w:val="24"/>
        </w:rPr>
        <w:t>胫腓骨骨折</w:t>
      </w:r>
    </w:p>
    <w:p w:rsidR="003717A0" w:rsidRDefault="003717A0">
      <w:pPr>
        <w:adjustRightInd w:val="0"/>
        <w:snapToGrid w:val="0"/>
        <w:spacing w:line="360" w:lineRule="auto"/>
        <w:ind w:right="6" w:firstLineChars="100" w:firstLine="240"/>
        <w:rPr>
          <w:rFonts w:ascii="宋体"/>
          <w:sz w:val="24"/>
        </w:rPr>
      </w:pPr>
      <w:r>
        <w:rPr>
          <w:rFonts w:ascii="宋体" w:hAnsi="宋体"/>
          <w:sz w:val="24"/>
        </w:rPr>
        <w:t xml:space="preserve">  4.</w:t>
      </w:r>
      <w:r>
        <w:rPr>
          <w:rFonts w:ascii="宋体" w:hAnsi="宋体" w:hint="eastAsia"/>
          <w:sz w:val="24"/>
        </w:rPr>
        <w:t>踝部骨折</w:t>
      </w:r>
    </w:p>
    <w:p w:rsidR="003717A0" w:rsidRDefault="003717A0">
      <w:pPr>
        <w:adjustRightInd w:val="0"/>
        <w:snapToGrid w:val="0"/>
        <w:spacing w:line="360" w:lineRule="auto"/>
        <w:ind w:right="6" w:firstLineChars="100" w:firstLine="240"/>
        <w:rPr>
          <w:rFonts w:ascii="宋体"/>
          <w:sz w:val="24"/>
        </w:rPr>
      </w:pPr>
      <w:r>
        <w:rPr>
          <w:rFonts w:ascii="宋体" w:hAnsi="宋体"/>
          <w:sz w:val="24"/>
        </w:rPr>
        <w:t>2.</w:t>
      </w:r>
      <w:r>
        <w:rPr>
          <w:rFonts w:ascii="宋体" w:hAnsi="宋体" w:hint="eastAsia"/>
          <w:sz w:val="24"/>
        </w:rPr>
        <w:t>实习内容（</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rPr>
          <w:rFonts w:ascii="宋体"/>
          <w:sz w:val="24"/>
        </w:rPr>
      </w:pPr>
      <w:r>
        <w:rPr>
          <w:rFonts w:ascii="宋体" w:hAnsi="宋体"/>
          <w:sz w:val="24"/>
        </w:rPr>
        <w:t xml:space="preserve">    1</w:t>
      </w:r>
      <w:r>
        <w:rPr>
          <w:rFonts w:ascii="宋体" w:hAnsi="宋体" w:hint="eastAsia"/>
          <w:sz w:val="24"/>
        </w:rPr>
        <w:t>．下肢创伤的康复评定</w:t>
      </w:r>
    </w:p>
    <w:p w:rsidR="003717A0" w:rsidRDefault="003717A0">
      <w:pPr>
        <w:adjustRightInd w:val="0"/>
        <w:snapToGrid w:val="0"/>
        <w:spacing w:line="360" w:lineRule="auto"/>
        <w:ind w:right="6" w:firstLine="480"/>
        <w:rPr>
          <w:rFonts w:ascii="宋体"/>
          <w:sz w:val="24"/>
        </w:rPr>
      </w:pPr>
      <w:r>
        <w:rPr>
          <w:rFonts w:ascii="宋体" w:hAnsi="宋体"/>
          <w:sz w:val="24"/>
        </w:rPr>
        <w:lastRenderedPageBreak/>
        <w:t>2</w:t>
      </w:r>
      <w:r>
        <w:rPr>
          <w:rFonts w:ascii="宋体" w:hAnsi="宋体" w:hint="eastAsia"/>
          <w:sz w:val="24"/>
        </w:rPr>
        <w:t>．下肢创伤的康复治疗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rPr>
          <w:rFonts w:ascii="宋体"/>
          <w:sz w:val="24"/>
        </w:rPr>
      </w:pPr>
      <w:r>
        <w:rPr>
          <w:rFonts w:ascii="宋体" w:hAnsi="宋体"/>
          <w:sz w:val="24"/>
        </w:rPr>
        <w:t xml:space="preserve">    1</w:t>
      </w:r>
      <w:r>
        <w:rPr>
          <w:rFonts w:ascii="宋体" w:hAnsi="宋体" w:hint="eastAsia"/>
          <w:sz w:val="24"/>
        </w:rPr>
        <w:t>．熟悉下肢创伤的康复评定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．掌握下肢创伤的康复治疗</w:t>
      </w:r>
    </w:p>
    <w:p w:rsidR="003717A0" w:rsidRDefault="003717A0">
      <w:pPr>
        <w:adjustRightInd w:val="0"/>
        <w:snapToGrid w:val="0"/>
        <w:spacing w:line="360" w:lineRule="auto"/>
        <w:ind w:right="6"/>
        <w:rPr>
          <w:rFonts w:ascii="宋体"/>
          <w:b/>
          <w:sz w:val="28"/>
          <w:szCs w:val="28"/>
        </w:rPr>
      </w:pPr>
      <w:r>
        <w:rPr>
          <w:rFonts w:ascii="宋体" w:hAnsi="宋体"/>
          <w:sz w:val="24"/>
        </w:rPr>
        <w:t xml:space="preserve">              </w:t>
      </w:r>
      <w:r>
        <w:rPr>
          <w:rFonts w:ascii="宋体" w:hAnsi="宋体"/>
          <w:b/>
          <w:sz w:val="28"/>
          <w:szCs w:val="28"/>
        </w:rPr>
        <w:t xml:space="preserve">   </w:t>
      </w:r>
      <w:r>
        <w:rPr>
          <w:rFonts w:hint="eastAsia"/>
          <w:b/>
          <w:sz w:val="28"/>
          <w:szCs w:val="28"/>
        </w:rPr>
        <w:t>第五章</w:t>
      </w:r>
      <w:r>
        <w:rPr>
          <w:b/>
          <w:sz w:val="28"/>
          <w:szCs w:val="28"/>
        </w:rPr>
        <w:t xml:space="preserve"> </w:t>
      </w:r>
      <w:r>
        <w:rPr>
          <w:rFonts w:hint="eastAsia"/>
          <w:b/>
          <w:sz w:val="28"/>
          <w:szCs w:val="28"/>
        </w:rPr>
        <w:t>脊柱和骨盆损伤的康复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1.</w:t>
      </w:r>
      <w:r>
        <w:rPr>
          <w:rFonts w:ascii="宋体" w:hAnsi="宋体" w:hint="eastAsia"/>
          <w:sz w:val="24"/>
          <w:szCs w:val="24"/>
        </w:rPr>
        <w:t>脊柱骨折</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2.</w:t>
      </w:r>
      <w:r>
        <w:rPr>
          <w:rFonts w:ascii="宋体" w:hAnsi="宋体" w:hint="eastAsia"/>
          <w:sz w:val="24"/>
          <w:szCs w:val="24"/>
        </w:rPr>
        <w:t>骨盆骨折</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 xml:space="preserve">1. </w:t>
      </w:r>
      <w:r>
        <w:rPr>
          <w:rFonts w:ascii="宋体" w:hAnsi="宋体" w:hint="eastAsia"/>
          <w:sz w:val="24"/>
          <w:szCs w:val="24"/>
        </w:rPr>
        <w:t>脊柱和骨盆损伤的康复评定</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 xml:space="preserve">2. </w:t>
      </w:r>
      <w:r>
        <w:rPr>
          <w:rFonts w:ascii="宋体" w:hAnsi="宋体" w:hint="eastAsia"/>
          <w:sz w:val="24"/>
          <w:szCs w:val="24"/>
        </w:rPr>
        <w:t>脊柱和骨盆损伤的康复治疗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 xml:space="preserve">1. </w:t>
      </w:r>
      <w:r>
        <w:rPr>
          <w:rFonts w:ascii="宋体" w:hAnsi="宋体" w:hint="eastAsia"/>
          <w:sz w:val="24"/>
          <w:szCs w:val="24"/>
        </w:rPr>
        <w:t>熟悉脊柱和骨盆损伤的康复评定</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 xml:space="preserve">2. </w:t>
      </w:r>
      <w:r>
        <w:rPr>
          <w:rFonts w:ascii="宋体" w:hAnsi="宋体" w:hint="eastAsia"/>
          <w:sz w:val="24"/>
          <w:szCs w:val="24"/>
        </w:rPr>
        <w:t>掌握脊柱和骨盆损伤的康复治疗</w:t>
      </w:r>
    </w:p>
    <w:p w:rsidR="003717A0" w:rsidRDefault="003717A0">
      <w:pPr>
        <w:adjustRightInd w:val="0"/>
        <w:snapToGrid w:val="0"/>
        <w:spacing w:line="360" w:lineRule="auto"/>
        <w:ind w:right="6" w:firstLineChars="700" w:firstLine="1968"/>
        <w:rPr>
          <w:b/>
          <w:sz w:val="28"/>
          <w:szCs w:val="28"/>
        </w:rPr>
      </w:pPr>
      <w:r>
        <w:rPr>
          <w:rFonts w:hint="eastAsia"/>
          <w:b/>
          <w:sz w:val="28"/>
          <w:szCs w:val="28"/>
        </w:rPr>
        <w:t>第六章</w:t>
      </w:r>
      <w:r>
        <w:rPr>
          <w:b/>
          <w:sz w:val="28"/>
          <w:szCs w:val="28"/>
        </w:rPr>
        <w:t xml:space="preserve"> </w:t>
      </w:r>
      <w:r>
        <w:rPr>
          <w:rFonts w:hint="eastAsia"/>
          <w:b/>
          <w:sz w:val="28"/>
          <w:szCs w:val="28"/>
        </w:rPr>
        <w:t>脊髓损伤康复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脊髓损伤的临床特点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脊髓损伤的康复评定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脊髓损伤的康复治疗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脊髓损伤的康复评定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脊髓损伤的康复治疗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熟悉脊髓损伤的康复评定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掌握脊髓损伤的康复治疗</w:t>
      </w:r>
    </w:p>
    <w:p w:rsidR="003717A0" w:rsidRDefault="003717A0">
      <w:pPr>
        <w:adjustRightInd w:val="0"/>
        <w:snapToGrid w:val="0"/>
        <w:spacing w:line="360" w:lineRule="auto"/>
        <w:ind w:right="6"/>
        <w:rPr>
          <w:rFonts w:ascii="宋体"/>
          <w:sz w:val="24"/>
        </w:rPr>
      </w:pPr>
      <w:r>
        <w:rPr>
          <w:rFonts w:ascii="宋体" w:hAnsi="宋体"/>
          <w:sz w:val="24"/>
        </w:rPr>
        <w:t xml:space="preserve">                  </w:t>
      </w:r>
      <w:r>
        <w:rPr>
          <w:rFonts w:hint="eastAsia"/>
          <w:b/>
          <w:sz w:val="28"/>
          <w:szCs w:val="28"/>
        </w:rPr>
        <w:t>第七章</w:t>
      </w:r>
      <w:r>
        <w:rPr>
          <w:b/>
          <w:sz w:val="28"/>
          <w:szCs w:val="28"/>
        </w:rPr>
        <w:t xml:space="preserve"> </w:t>
      </w:r>
      <w:r>
        <w:rPr>
          <w:rFonts w:hint="eastAsia"/>
          <w:b/>
          <w:sz w:val="28"/>
          <w:szCs w:val="28"/>
        </w:rPr>
        <w:t>周围神经损伤康复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周围神经损伤的临床特点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周围神经损伤的康复评定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lastRenderedPageBreak/>
        <w:t>3.</w:t>
      </w:r>
      <w:r>
        <w:rPr>
          <w:rFonts w:ascii="宋体" w:hAnsi="宋体" w:hint="eastAsia"/>
          <w:sz w:val="24"/>
        </w:rPr>
        <w:t>周围神经损伤的康复治疗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周围神经损伤的康复评定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周围神经损伤的康复治疗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熟悉周围神经损伤的康复评定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掌握周围神经损伤的康复治疗</w:t>
      </w:r>
    </w:p>
    <w:p w:rsidR="003717A0" w:rsidRDefault="003717A0">
      <w:pPr>
        <w:adjustRightInd w:val="0"/>
        <w:snapToGrid w:val="0"/>
        <w:spacing w:line="360" w:lineRule="auto"/>
        <w:ind w:right="6"/>
        <w:rPr>
          <w:b/>
          <w:sz w:val="28"/>
          <w:szCs w:val="28"/>
        </w:rPr>
      </w:pPr>
      <w:r>
        <w:rPr>
          <w:rFonts w:ascii="宋体" w:hAnsi="宋体"/>
          <w:sz w:val="24"/>
          <w:szCs w:val="24"/>
        </w:rPr>
        <w:t xml:space="preserve">                    </w:t>
      </w:r>
      <w:r>
        <w:rPr>
          <w:rFonts w:hint="eastAsia"/>
          <w:b/>
          <w:sz w:val="28"/>
          <w:szCs w:val="28"/>
        </w:rPr>
        <w:t>第八章</w:t>
      </w:r>
      <w:r>
        <w:rPr>
          <w:b/>
          <w:sz w:val="28"/>
          <w:szCs w:val="28"/>
        </w:rPr>
        <w:t xml:space="preserve">  </w:t>
      </w:r>
      <w:r>
        <w:rPr>
          <w:rFonts w:hint="eastAsia"/>
          <w:b/>
          <w:sz w:val="28"/>
          <w:szCs w:val="28"/>
        </w:rPr>
        <w:t>截肢和断指再植康复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rPr>
          <w:rFonts w:ascii="宋体"/>
          <w:sz w:val="24"/>
          <w:szCs w:val="24"/>
        </w:rPr>
      </w:pPr>
      <w:r>
        <w:rPr>
          <w:rFonts w:ascii="宋体" w:hAnsi="宋体"/>
          <w:sz w:val="24"/>
          <w:szCs w:val="24"/>
        </w:rPr>
        <w:t xml:space="preserve">    1.</w:t>
      </w:r>
      <w:r>
        <w:rPr>
          <w:rFonts w:ascii="宋体" w:hAnsi="宋体" w:hint="eastAsia"/>
          <w:sz w:val="24"/>
          <w:szCs w:val="24"/>
        </w:rPr>
        <w:t>断肢再植康复</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2.</w:t>
      </w:r>
      <w:r>
        <w:rPr>
          <w:rFonts w:ascii="宋体" w:hAnsi="宋体" w:hint="eastAsia"/>
          <w:sz w:val="24"/>
          <w:szCs w:val="24"/>
        </w:rPr>
        <w:t>断指再植康复</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Chars="200" w:firstLine="480"/>
        <w:rPr>
          <w:rFonts w:ascii="宋体"/>
          <w:sz w:val="24"/>
          <w:szCs w:val="24"/>
        </w:rPr>
      </w:pPr>
      <w:r>
        <w:rPr>
          <w:rFonts w:ascii="宋体" w:hAnsi="宋体"/>
          <w:sz w:val="24"/>
          <w:szCs w:val="24"/>
        </w:rPr>
        <w:t>1.</w:t>
      </w:r>
      <w:r>
        <w:rPr>
          <w:rFonts w:ascii="宋体" w:hAnsi="宋体" w:hint="eastAsia"/>
          <w:sz w:val="24"/>
          <w:szCs w:val="24"/>
        </w:rPr>
        <w:t>断肢再植康复评定和康复治疗</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2.</w:t>
      </w:r>
      <w:r>
        <w:rPr>
          <w:rFonts w:ascii="宋体" w:hAnsi="宋体" w:hint="eastAsia"/>
          <w:sz w:val="24"/>
          <w:szCs w:val="24"/>
        </w:rPr>
        <w:t>断指再植康复评定和康复治疗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Chars="200" w:firstLine="480"/>
        <w:rPr>
          <w:rFonts w:ascii="宋体"/>
          <w:sz w:val="24"/>
          <w:szCs w:val="24"/>
        </w:rPr>
      </w:pPr>
      <w:r>
        <w:rPr>
          <w:rFonts w:ascii="宋体" w:hAnsi="宋体"/>
          <w:sz w:val="24"/>
          <w:szCs w:val="24"/>
        </w:rPr>
        <w:t>1.</w:t>
      </w:r>
      <w:r>
        <w:rPr>
          <w:rFonts w:ascii="宋体" w:hAnsi="宋体" w:hint="eastAsia"/>
          <w:sz w:val="24"/>
          <w:szCs w:val="24"/>
        </w:rPr>
        <w:t>熟悉断肢再植康复评定和康复治疗</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2.</w:t>
      </w:r>
      <w:r>
        <w:rPr>
          <w:rFonts w:ascii="宋体" w:hAnsi="宋体" w:hint="eastAsia"/>
          <w:sz w:val="24"/>
          <w:szCs w:val="24"/>
        </w:rPr>
        <w:t>掌握断指再植康复评定和康复治疗</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 xml:space="preserve">                </w:t>
      </w:r>
      <w:r>
        <w:rPr>
          <w:rFonts w:hint="eastAsia"/>
          <w:b/>
          <w:sz w:val="28"/>
          <w:szCs w:val="28"/>
        </w:rPr>
        <w:t>第九章</w:t>
      </w:r>
      <w:r>
        <w:rPr>
          <w:b/>
          <w:sz w:val="28"/>
          <w:szCs w:val="28"/>
        </w:rPr>
        <w:t xml:space="preserve"> </w:t>
      </w:r>
      <w:r>
        <w:rPr>
          <w:rFonts w:hint="eastAsia"/>
          <w:b/>
          <w:sz w:val="28"/>
          <w:szCs w:val="28"/>
        </w:rPr>
        <w:t>运动创伤康复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1.</w:t>
      </w:r>
      <w:r>
        <w:rPr>
          <w:rFonts w:ascii="宋体" w:hAnsi="宋体" w:hint="eastAsia"/>
          <w:sz w:val="24"/>
          <w:szCs w:val="24"/>
        </w:rPr>
        <w:t>肌肉损伤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2.</w:t>
      </w:r>
      <w:r>
        <w:rPr>
          <w:rFonts w:ascii="宋体" w:hAnsi="宋体" w:hint="eastAsia"/>
          <w:sz w:val="24"/>
          <w:szCs w:val="24"/>
        </w:rPr>
        <w:t>韧带损伤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3.</w:t>
      </w:r>
      <w:r>
        <w:rPr>
          <w:rFonts w:ascii="宋体" w:hAnsi="宋体" w:hint="eastAsia"/>
          <w:sz w:val="24"/>
          <w:szCs w:val="24"/>
        </w:rPr>
        <w:t>肌腱损伤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4.</w:t>
      </w:r>
      <w:r>
        <w:rPr>
          <w:rFonts w:ascii="宋体" w:hAnsi="宋体" w:hint="eastAsia"/>
          <w:sz w:val="24"/>
          <w:szCs w:val="24"/>
        </w:rPr>
        <w:t>关节软骨损伤</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1.</w:t>
      </w:r>
      <w:r>
        <w:rPr>
          <w:rFonts w:ascii="宋体" w:hAnsi="宋体" w:hint="eastAsia"/>
          <w:sz w:val="24"/>
          <w:szCs w:val="24"/>
        </w:rPr>
        <w:t>韧带损伤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2.</w:t>
      </w:r>
      <w:r>
        <w:rPr>
          <w:rFonts w:ascii="宋体" w:hAnsi="宋体" w:hint="eastAsia"/>
          <w:sz w:val="24"/>
          <w:szCs w:val="24"/>
        </w:rPr>
        <w:t>肌腱损伤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3.</w:t>
      </w:r>
      <w:r>
        <w:rPr>
          <w:rFonts w:ascii="宋体" w:hAnsi="宋体" w:hint="eastAsia"/>
          <w:sz w:val="24"/>
          <w:szCs w:val="24"/>
        </w:rPr>
        <w:t>关节软骨损伤</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1.</w:t>
      </w:r>
      <w:r>
        <w:rPr>
          <w:rFonts w:ascii="宋体" w:hAnsi="宋体" w:hint="eastAsia"/>
          <w:sz w:val="24"/>
          <w:szCs w:val="24"/>
        </w:rPr>
        <w:t>熟悉韧带损伤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lastRenderedPageBreak/>
        <w:t>2.</w:t>
      </w:r>
      <w:r>
        <w:rPr>
          <w:rFonts w:ascii="宋体" w:hAnsi="宋体" w:hint="eastAsia"/>
          <w:sz w:val="24"/>
          <w:szCs w:val="24"/>
        </w:rPr>
        <w:t>掌握肌腱损伤</w:t>
      </w:r>
    </w:p>
    <w:p w:rsidR="003717A0" w:rsidRDefault="003717A0">
      <w:pPr>
        <w:adjustRightInd w:val="0"/>
        <w:snapToGrid w:val="0"/>
        <w:spacing w:line="360" w:lineRule="auto"/>
        <w:ind w:right="6" w:firstLine="480"/>
        <w:rPr>
          <w:rFonts w:ascii="宋体"/>
          <w:sz w:val="24"/>
          <w:szCs w:val="24"/>
        </w:rPr>
      </w:pPr>
      <w:r>
        <w:rPr>
          <w:rFonts w:ascii="宋体" w:hAnsi="宋体"/>
          <w:sz w:val="24"/>
          <w:szCs w:val="24"/>
        </w:rPr>
        <w:t>3.</w:t>
      </w:r>
      <w:r>
        <w:rPr>
          <w:rFonts w:ascii="宋体" w:hAnsi="宋体" w:hint="eastAsia"/>
          <w:sz w:val="24"/>
          <w:szCs w:val="24"/>
        </w:rPr>
        <w:t>掌握关节软骨损伤</w:t>
      </w:r>
    </w:p>
    <w:p w:rsidR="003717A0" w:rsidRDefault="003717A0">
      <w:pPr>
        <w:adjustRightInd w:val="0"/>
        <w:snapToGrid w:val="0"/>
        <w:spacing w:line="360" w:lineRule="auto"/>
        <w:ind w:right="6"/>
        <w:rPr>
          <w:b/>
          <w:sz w:val="28"/>
          <w:szCs w:val="28"/>
        </w:rPr>
      </w:pPr>
      <w:r>
        <w:rPr>
          <w:rFonts w:ascii="宋体" w:hAnsi="宋体"/>
          <w:sz w:val="24"/>
          <w:szCs w:val="24"/>
        </w:rPr>
        <w:t xml:space="preserve">                     </w:t>
      </w:r>
      <w:r>
        <w:rPr>
          <w:rFonts w:hint="eastAsia"/>
          <w:b/>
          <w:sz w:val="28"/>
          <w:szCs w:val="28"/>
        </w:rPr>
        <w:t>第十章</w:t>
      </w:r>
      <w:r>
        <w:rPr>
          <w:b/>
          <w:sz w:val="28"/>
          <w:szCs w:val="28"/>
        </w:rPr>
        <w:t xml:space="preserve"> </w:t>
      </w:r>
      <w:r>
        <w:rPr>
          <w:rFonts w:hint="eastAsia"/>
          <w:b/>
          <w:sz w:val="28"/>
          <w:szCs w:val="28"/>
        </w:rPr>
        <w:t>截肢康复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截肢平面的选择</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截肢的康复评定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截肢的康复治疗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截肢的康复评定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截肢的康复治疗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熟悉截肢的康复评定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掌握截肢的康复治疗</w:t>
      </w:r>
    </w:p>
    <w:p w:rsidR="003717A0" w:rsidRDefault="003717A0">
      <w:pPr>
        <w:adjustRightInd w:val="0"/>
        <w:snapToGrid w:val="0"/>
        <w:spacing w:line="360" w:lineRule="auto"/>
        <w:ind w:right="6"/>
        <w:rPr>
          <w:rFonts w:ascii="宋体"/>
          <w:sz w:val="24"/>
          <w:szCs w:val="24"/>
        </w:rPr>
      </w:pPr>
      <w:r>
        <w:rPr>
          <w:rFonts w:ascii="宋体" w:hAnsi="宋体"/>
          <w:sz w:val="24"/>
          <w:szCs w:val="24"/>
        </w:rPr>
        <w:t xml:space="preserve">                     </w:t>
      </w:r>
      <w:r>
        <w:rPr>
          <w:rFonts w:hint="eastAsia"/>
          <w:b/>
          <w:sz w:val="28"/>
          <w:szCs w:val="28"/>
        </w:rPr>
        <w:t>第十一章</w:t>
      </w:r>
      <w:r>
        <w:rPr>
          <w:b/>
          <w:sz w:val="28"/>
          <w:szCs w:val="28"/>
        </w:rPr>
        <w:t xml:space="preserve"> </w:t>
      </w:r>
      <w:r>
        <w:rPr>
          <w:rFonts w:hint="eastAsia"/>
          <w:b/>
          <w:sz w:val="28"/>
          <w:szCs w:val="28"/>
        </w:rPr>
        <w:t>关节置换康复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髋关节置换</w:t>
      </w:r>
      <w:r>
        <w:rPr>
          <w:rFonts w:ascii="宋体" w:hAnsi="宋体"/>
          <w:sz w:val="24"/>
        </w:rPr>
        <w:t xml:space="preserve"> </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膝关节置换</w:t>
      </w:r>
      <w:r>
        <w:rPr>
          <w:rFonts w:ascii="宋体" w:hAnsi="宋体"/>
          <w:sz w:val="24"/>
        </w:rPr>
        <w:t xml:space="preserve"> </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肩关节置换</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髋关节置换康复评定和康复治疗</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膝关节置换康复评定和康复治疗</w:t>
      </w:r>
    </w:p>
    <w:p w:rsidR="003717A0" w:rsidRDefault="003717A0">
      <w:pPr>
        <w:adjustRightInd w:val="0"/>
        <w:snapToGrid w:val="0"/>
        <w:spacing w:line="360" w:lineRule="auto"/>
        <w:ind w:right="6"/>
        <w:rPr>
          <w:rFonts w:ascii="宋体"/>
          <w:sz w:val="24"/>
        </w:rPr>
      </w:pPr>
      <w:r>
        <w:rPr>
          <w:rFonts w:ascii="宋体" w:hAnsi="宋体"/>
          <w:sz w:val="24"/>
        </w:rPr>
        <w:t>3.</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掌握髋关节置换康复评定和康复治疗</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掌握膝关节置换康复评定和康复治疗</w:t>
      </w:r>
    </w:p>
    <w:p w:rsidR="003717A0" w:rsidRDefault="003717A0">
      <w:pPr>
        <w:adjustRightInd w:val="0"/>
        <w:snapToGrid w:val="0"/>
        <w:spacing w:line="360" w:lineRule="auto"/>
        <w:ind w:right="6" w:firstLineChars="1000" w:firstLine="2811"/>
        <w:rPr>
          <w:rFonts w:ascii="宋体"/>
          <w:sz w:val="24"/>
          <w:szCs w:val="24"/>
        </w:rPr>
      </w:pPr>
      <w:r>
        <w:rPr>
          <w:rFonts w:hint="eastAsia"/>
          <w:b/>
          <w:sz w:val="28"/>
          <w:szCs w:val="28"/>
        </w:rPr>
        <w:t>第十二章</w:t>
      </w:r>
      <w:r>
        <w:rPr>
          <w:b/>
          <w:sz w:val="28"/>
          <w:szCs w:val="28"/>
        </w:rPr>
        <w:t xml:space="preserve"> </w:t>
      </w:r>
      <w:r>
        <w:rPr>
          <w:rFonts w:hint="eastAsia"/>
          <w:b/>
          <w:sz w:val="28"/>
          <w:szCs w:val="28"/>
        </w:rPr>
        <w:t>骨关节炎康复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骨关节炎的临床特点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骨关节炎的康复评定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骨关节炎的康复治疗</w:t>
      </w:r>
    </w:p>
    <w:p w:rsidR="003717A0" w:rsidRDefault="003717A0">
      <w:pPr>
        <w:adjustRightInd w:val="0"/>
        <w:snapToGrid w:val="0"/>
        <w:spacing w:line="360" w:lineRule="auto"/>
        <w:ind w:right="6"/>
        <w:rPr>
          <w:rFonts w:ascii="宋体"/>
          <w:sz w:val="24"/>
        </w:rPr>
      </w:pPr>
      <w:r>
        <w:rPr>
          <w:rFonts w:ascii="宋体" w:hAnsi="宋体"/>
          <w:sz w:val="24"/>
          <w:szCs w:val="24"/>
        </w:rPr>
        <w:lastRenderedPageBreak/>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骨关节炎的康复评定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骨关节炎的康复治疗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熟悉骨关节炎的康复评定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掌握骨关节炎的康复治疗</w:t>
      </w:r>
    </w:p>
    <w:p w:rsidR="003717A0" w:rsidRDefault="003717A0">
      <w:pPr>
        <w:adjustRightInd w:val="0"/>
        <w:snapToGrid w:val="0"/>
        <w:spacing w:line="360" w:lineRule="auto"/>
        <w:ind w:right="6"/>
        <w:rPr>
          <w:rFonts w:ascii="宋体"/>
          <w:sz w:val="24"/>
          <w:szCs w:val="24"/>
        </w:rPr>
      </w:pPr>
    </w:p>
    <w:p w:rsidR="003717A0" w:rsidRDefault="003717A0">
      <w:pPr>
        <w:adjustRightInd w:val="0"/>
        <w:snapToGrid w:val="0"/>
        <w:spacing w:line="360" w:lineRule="auto"/>
        <w:ind w:right="6" w:firstLineChars="600" w:firstLine="1687"/>
        <w:rPr>
          <w:rFonts w:ascii="宋体"/>
          <w:sz w:val="24"/>
          <w:szCs w:val="24"/>
        </w:rPr>
      </w:pPr>
      <w:r>
        <w:rPr>
          <w:rFonts w:hint="eastAsia"/>
          <w:b/>
          <w:sz w:val="28"/>
          <w:szCs w:val="28"/>
        </w:rPr>
        <w:t>第十三章</w:t>
      </w:r>
      <w:r>
        <w:rPr>
          <w:b/>
          <w:sz w:val="28"/>
          <w:szCs w:val="28"/>
        </w:rPr>
        <w:t xml:space="preserve"> </w:t>
      </w:r>
      <w:r>
        <w:rPr>
          <w:rFonts w:hint="eastAsia"/>
          <w:b/>
          <w:sz w:val="28"/>
          <w:szCs w:val="28"/>
        </w:rPr>
        <w:t>颈椎病康复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颈椎病的临床特点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颈椎病的康复评定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颈椎病的康复治疗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颈椎病的康复评定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颈椎病的康复治疗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熟悉颈椎病的康复评定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掌握颈椎病的康复治疗</w:t>
      </w:r>
    </w:p>
    <w:p w:rsidR="003717A0" w:rsidRDefault="003717A0">
      <w:pPr>
        <w:adjustRightInd w:val="0"/>
        <w:snapToGrid w:val="0"/>
        <w:spacing w:line="360" w:lineRule="auto"/>
        <w:ind w:left="780" w:right="4"/>
        <w:rPr>
          <w:rFonts w:ascii="Times New Roman" w:hAnsi="Times New Roman"/>
        </w:rPr>
      </w:pPr>
    </w:p>
    <w:p w:rsidR="003717A0" w:rsidRDefault="003717A0">
      <w:pPr>
        <w:adjustRightInd w:val="0"/>
        <w:snapToGrid w:val="0"/>
        <w:spacing w:line="360" w:lineRule="auto"/>
        <w:ind w:right="6" w:firstLineChars="1000" w:firstLine="2811"/>
        <w:rPr>
          <w:rFonts w:ascii="宋体"/>
          <w:sz w:val="24"/>
          <w:szCs w:val="24"/>
        </w:rPr>
      </w:pPr>
      <w:r>
        <w:rPr>
          <w:rFonts w:hint="eastAsia"/>
          <w:b/>
          <w:sz w:val="28"/>
          <w:szCs w:val="28"/>
        </w:rPr>
        <w:t>第十四章</w:t>
      </w:r>
      <w:r>
        <w:rPr>
          <w:b/>
          <w:sz w:val="28"/>
          <w:szCs w:val="28"/>
        </w:rPr>
        <w:t xml:space="preserve"> </w:t>
      </w:r>
      <w:r>
        <w:rPr>
          <w:rFonts w:hint="eastAsia"/>
          <w:b/>
          <w:sz w:val="28"/>
          <w:szCs w:val="28"/>
        </w:rPr>
        <w:t>下背痛康复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下背痛的临床特点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下背痛的康复评定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下背痛的康复治疗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下背痛的康复评定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下背痛的康复治疗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熟悉下背痛的康复评定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掌握下背痛的康复治疗</w:t>
      </w:r>
    </w:p>
    <w:p w:rsidR="003717A0" w:rsidRDefault="003717A0">
      <w:pPr>
        <w:adjustRightInd w:val="0"/>
        <w:snapToGrid w:val="0"/>
        <w:spacing w:line="360" w:lineRule="auto"/>
        <w:ind w:right="6" w:firstLineChars="1000" w:firstLine="2811"/>
        <w:rPr>
          <w:rFonts w:ascii="宋体"/>
          <w:sz w:val="24"/>
          <w:szCs w:val="24"/>
        </w:rPr>
      </w:pPr>
      <w:r>
        <w:rPr>
          <w:rFonts w:hint="eastAsia"/>
          <w:b/>
          <w:sz w:val="28"/>
          <w:szCs w:val="28"/>
        </w:rPr>
        <w:lastRenderedPageBreak/>
        <w:t>第十五章</w:t>
      </w:r>
      <w:r>
        <w:rPr>
          <w:b/>
          <w:sz w:val="28"/>
          <w:szCs w:val="28"/>
        </w:rPr>
        <w:t xml:space="preserve"> </w:t>
      </w:r>
      <w:r>
        <w:rPr>
          <w:rFonts w:hint="eastAsia"/>
          <w:b/>
          <w:sz w:val="28"/>
          <w:szCs w:val="28"/>
        </w:rPr>
        <w:t>慢性运动损伤康复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慢性运动损伤的临床特点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慢性运动损伤的康复评定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慢性运动损伤的康复治疗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慢性运动损伤的康复评定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慢性运动损伤的康复治疗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熟悉慢性运动损伤的康复评定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掌握慢性运动损伤的康复治疗</w:t>
      </w:r>
    </w:p>
    <w:p w:rsidR="003717A0" w:rsidRDefault="003717A0">
      <w:pPr>
        <w:adjustRightInd w:val="0"/>
        <w:snapToGrid w:val="0"/>
        <w:spacing w:line="360" w:lineRule="auto"/>
        <w:ind w:right="6" w:firstLineChars="1000" w:firstLine="2811"/>
        <w:rPr>
          <w:rFonts w:ascii="宋体"/>
          <w:sz w:val="24"/>
          <w:szCs w:val="24"/>
        </w:rPr>
      </w:pPr>
      <w:r>
        <w:rPr>
          <w:rFonts w:hint="eastAsia"/>
          <w:b/>
          <w:sz w:val="28"/>
          <w:szCs w:val="28"/>
        </w:rPr>
        <w:t>第十六章</w:t>
      </w:r>
      <w:r>
        <w:rPr>
          <w:b/>
          <w:sz w:val="28"/>
          <w:szCs w:val="28"/>
        </w:rPr>
        <w:t xml:space="preserve"> </w:t>
      </w:r>
      <w:r>
        <w:rPr>
          <w:rFonts w:hint="eastAsia"/>
          <w:b/>
          <w:sz w:val="28"/>
          <w:szCs w:val="28"/>
        </w:rPr>
        <w:t>先天畸形康复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先天畸形的临床特点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先天畸形的康复评定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先天畸形的康复治疗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先天畸形的康复评定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先天畸形的康复治疗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熟悉先天畸形的康复评定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掌握先天畸形的康复治疗</w:t>
      </w:r>
    </w:p>
    <w:p w:rsidR="003717A0" w:rsidRDefault="003717A0">
      <w:pPr>
        <w:adjustRightInd w:val="0"/>
        <w:snapToGrid w:val="0"/>
        <w:spacing w:line="360" w:lineRule="auto"/>
        <w:ind w:right="6" w:firstLineChars="1000" w:firstLine="2811"/>
        <w:rPr>
          <w:b/>
          <w:sz w:val="28"/>
          <w:szCs w:val="28"/>
        </w:rPr>
      </w:pPr>
    </w:p>
    <w:p w:rsidR="003717A0" w:rsidRDefault="003717A0">
      <w:pPr>
        <w:adjustRightInd w:val="0"/>
        <w:snapToGrid w:val="0"/>
        <w:spacing w:line="360" w:lineRule="auto"/>
        <w:ind w:right="6" w:firstLineChars="1000" w:firstLine="2811"/>
        <w:rPr>
          <w:rFonts w:ascii="宋体"/>
          <w:sz w:val="24"/>
          <w:szCs w:val="24"/>
        </w:rPr>
      </w:pPr>
      <w:r>
        <w:rPr>
          <w:rFonts w:hint="eastAsia"/>
          <w:b/>
          <w:sz w:val="28"/>
          <w:szCs w:val="28"/>
        </w:rPr>
        <w:t>第十七章</w:t>
      </w:r>
      <w:r>
        <w:rPr>
          <w:b/>
          <w:sz w:val="28"/>
          <w:szCs w:val="28"/>
        </w:rPr>
        <w:t xml:space="preserve"> </w:t>
      </w:r>
      <w:r>
        <w:rPr>
          <w:rFonts w:hint="eastAsia"/>
          <w:b/>
          <w:sz w:val="28"/>
          <w:szCs w:val="28"/>
        </w:rPr>
        <w:t>脊柱侧凸康复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脊柱侧凸的临床特点</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脊柱侧凸的康复评定</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脊柱侧凸的康复治疗</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lastRenderedPageBreak/>
        <w:t>1.</w:t>
      </w:r>
      <w:r>
        <w:rPr>
          <w:rFonts w:ascii="宋体" w:hAnsi="宋体" w:hint="eastAsia"/>
          <w:sz w:val="24"/>
        </w:rPr>
        <w:t>脊柱侧凸的康复评定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脊柱侧凸的康复治疗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熟悉脊柱侧凸的康复评定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掌握脊柱侧凸的康复治疗</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掌握先天畸形的康复治疗</w:t>
      </w:r>
    </w:p>
    <w:p w:rsidR="003717A0" w:rsidRDefault="003717A0">
      <w:pPr>
        <w:adjustRightInd w:val="0"/>
        <w:snapToGrid w:val="0"/>
        <w:spacing w:line="360" w:lineRule="auto"/>
        <w:ind w:right="6" w:firstLineChars="1000" w:firstLine="2811"/>
        <w:rPr>
          <w:b/>
          <w:sz w:val="28"/>
          <w:szCs w:val="28"/>
        </w:rPr>
      </w:pPr>
    </w:p>
    <w:p w:rsidR="003717A0" w:rsidRDefault="003717A0">
      <w:pPr>
        <w:adjustRightInd w:val="0"/>
        <w:snapToGrid w:val="0"/>
        <w:spacing w:line="360" w:lineRule="auto"/>
        <w:ind w:right="6" w:firstLineChars="1000" w:firstLine="2811"/>
        <w:rPr>
          <w:rFonts w:ascii="宋体"/>
          <w:sz w:val="24"/>
          <w:szCs w:val="24"/>
        </w:rPr>
      </w:pPr>
      <w:r>
        <w:rPr>
          <w:rFonts w:hint="eastAsia"/>
          <w:b/>
          <w:sz w:val="28"/>
          <w:szCs w:val="28"/>
        </w:rPr>
        <w:t>第十八章</w:t>
      </w:r>
      <w:r>
        <w:rPr>
          <w:b/>
          <w:sz w:val="28"/>
          <w:szCs w:val="28"/>
        </w:rPr>
        <w:t xml:space="preserve"> </w:t>
      </w:r>
      <w:r>
        <w:rPr>
          <w:rFonts w:hint="eastAsia"/>
          <w:b/>
          <w:sz w:val="28"/>
          <w:szCs w:val="28"/>
        </w:rPr>
        <w:t>脊柱侧凸康复</w:t>
      </w:r>
    </w:p>
    <w:p w:rsidR="003717A0" w:rsidRDefault="003717A0">
      <w:pPr>
        <w:adjustRightInd w:val="0"/>
        <w:snapToGrid w:val="0"/>
        <w:spacing w:line="360" w:lineRule="auto"/>
        <w:ind w:right="6"/>
        <w:rPr>
          <w:rFonts w:ascii="宋体"/>
          <w:sz w:val="24"/>
        </w:rPr>
      </w:pPr>
      <w:r>
        <w:rPr>
          <w:rFonts w:ascii="宋体" w:hAnsi="宋体"/>
          <w:sz w:val="24"/>
          <w:szCs w:val="24"/>
        </w:rPr>
        <w:t>1.</w:t>
      </w:r>
      <w:r>
        <w:rPr>
          <w:rFonts w:ascii="宋体" w:hAnsi="宋体" w:hint="eastAsia"/>
          <w:sz w:val="24"/>
          <w:szCs w:val="24"/>
        </w:rPr>
        <w:t>教学内容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关节挛缩</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复杂性局部疼痛综合症</w:t>
      </w:r>
    </w:p>
    <w:p w:rsidR="003717A0" w:rsidRDefault="003717A0">
      <w:pPr>
        <w:adjustRightInd w:val="0"/>
        <w:snapToGrid w:val="0"/>
        <w:spacing w:line="360" w:lineRule="auto"/>
        <w:ind w:right="6" w:firstLine="480"/>
        <w:rPr>
          <w:rFonts w:ascii="宋体"/>
          <w:sz w:val="24"/>
        </w:rPr>
      </w:pPr>
      <w:r>
        <w:rPr>
          <w:rFonts w:ascii="宋体" w:hAnsi="宋体"/>
          <w:sz w:val="24"/>
        </w:rPr>
        <w:t>3.</w:t>
      </w:r>
      <w:r>
        <w:rPr>
          <w:rFonts w:ascii="宋体" w:hAnsi="宋体" w:hint="eastAsia"/>
          <w:sz w:val="24"/>
        </w:rPr>
        <w:t>骨化性肌炎</w:t>
      </w:r>
    </w:p>
    <w:p w:rsidR="003717A0" w:rsidRDefault="003717A0">
      <w:pPr>
        <w:adjustRightInd w:val="0"/>
        <w:snapToGrid w:val="0"/>
        <w:spacing w:line="360" w:lineRule="auto"/>
        <w:ind w:right="6" w:firstLine="480"/>
        <w:rPr>
          <w:rFonts w:ascii="宋体"/>
          <w:sz w:val="24"/>
        </w:rPr>
      </w:pPr>
      <w:r>
        <w:rPr>
          <w:rFonts w:ascii="宋体" w:hAnsi="宋体"/>
          <w:sz w:val="24"/>
        </w:rPr>
        <w:t>4.</w:t>
      </w:r>
      <w:r>
        <w:rPr>
          <w:rFonts w:ascii="宋体" w:hAnsi="宋体" w:hint="eastAsia"/>
          <w:sz w:val="24"/>
        </w:rPr>
        <w:t>骨不连</w:t>
      </w:r>
    </w:p>
    <w:p w:rsidR="003717A0" w:rsidRDefault="003717A0">
      <w:pPr>
        <w:adjustRightInd w:val="0"/>
        <w:snapToGrid w:val="0"/>
        <w:spacing w:line="360" w:lineRule="auto"/>
        <w:ind w:right="6"/>
        <w:rPr>
          <w:rFonts w:ascii="宋体"/>
          <w:sz w:val="24"/>
        </w:rPr>
      </w:pPr>
      <w:r>
        <w:rPr>
          <w:rFonts w:ascii="宋体" w:hAnsi="宋体"/>
          <w:sz w:val="24"/>
          <w:szCs w:val="24"/>
        </w:rPr>
        <w:t>2.</w:t>
      </w:r>
      <w:r>
        <w:rPr>
          <w:rFonts w:ascii="宋体" w:hAnsi="宋体" w:hint="eastAsia"/>
          <w:sz w:val="24"/>
          <w:szCs w:val="24"/>
        </w:rPr>
        <w:t>实习内容</w:t>
      </w:r>
      <w:r>
        <w:rPr>
          <w:rFonts w:ascii="宋体" w:hAnsi="宋体" w:hint="eastAsia"/>
          <w:sz w:val="24"/>
        </w:rPr>
        <w:t>（</w:t>
      </w:r>
      <w:r>
        <w:rPr>
          <w:rFonts w:ascii="宋体" w:hAnsi="宋体"/>
          <w:sz w:val="24"/>
        </w:rPr>
        <w:t>3</w:t>
      </w:r>
      <w:r>
        <w:rPr>
          <w:rFonts w:ascii="宋体" w:hAnsi="宋体" w:hint="eastAsia"/>
          <w:sz w:val="24"/>
        </w:rPr>
        <w:t>学时）</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关节挛缩的康复评定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关节挛缩的康复治疗</w:t>
      </w:r>
    </w:p>
    <w:p w:rsidR="003717A0" w:rsidRDefault="003717A0">
      <w:pPr>
        <w:adjustRightInd w:val="0"/>
        <w:snapToGrid w:val="0"/>
        <w:spacing w:line="360" w:lineRule="auto"/>
        <w:ind w:right="6"/>
        <w:rPr>
          <w:rFonts w:ascii="宋体"/>
          <w:sz w:val="24"/>
        </w:rPr>
      </w:pPr>
      <w:r>
        <w:rPr>
          <w:rFonts w:ascii="宋体" w:hAnsi="宋体"/>
          <w:sz w:val="24"/>
          <w:szCs w:val="24"/>
        </w:rPr>
        <w:t>3.</w:t>
      </w:r>
      <w:r>
        <w:rPr>
          <w:rFonts w:ascii="宋体" w:hAnsi="宋体"/>
          <w:sz w:val="24"/>
        </w:rPr>
        <w:t xml:space="preserve"> </w:t>
      </w:r>
      <w:r>
        <w:rPr>
          <w:rFonts w:ascii="宋体" w:hAnsi="宋体" w:hint="eastAsia"/>
          <w:sz w:val="24"/>
        </w:rPr>
        <w:t>目的和要求</w:t>
      </w:r>
    </w:p>
    <w:p w:rsidR="003717A0" w:rsidRDefault="003717A0">
      <w:pPr>
        <w:adjustRightInd w:val="0"/>
        <w:snapToGrid w:val="0"/>
        <w:spacing w:line="360" w:lineRule="auto"/>
        <w:ind w:right="6" w:firstLine="480"/>
        <w:rPr>
          <w:rFonts w:ascii="宋体"/>
          <w:sz w:val="24"/>
        </w:rPr>
      </w:pPr>
      <w:r>
        <w:rPr>
          <w:rFonts w:ascii="宋体" w:hAnsi="宋体"/>
          <w:sz w:val="24"/>
        </w:rPr>
        <w:t>1.</w:t>
      </w:r>
      <w:r>
        <w:rPr>
          <w:rFonts w:ascii="宋体" w:hAnsi="宋体" w:hint="eastAsia"/>
          <w:sz w:val="24"/>
        </w:rPr>
        <w:t>熟悉关节挛缩的康复评定</w:t>
      </w:r>
    </w:p>
    <w:p w:rsidR="003717A0" w:rsidRDefault="003717A0">
      <w:pPr>
        <w:adjustRightInd w:val="0"/>
        <w:snapToGrid w:val="0"/>
        <w:spacing w:line="360" w:lineRule="auto"/>
        <w:ind w:right="6" w:firstLine="480"/>
        <w:rPr>
          <w:rFonts w:ascii="宋体"/>
          <w:sz w:val="24"/>
        </w:rPr>
      </w:pPr>
      <w:r>
        <w:rPr>
          <w:rFonts w:ascii="宋体" w:hAnsi="宋体"/>
          <w:sz w:val="24"/>
        </w:rPr>
        <w:t>2.</w:t>
      </w:r>
      <w:r>
        <w:rPr>
          <w:rFonts w:ascii="宋体" w:hAnsi="宋体" w:hint="eastAsia"/>
          <w:sz w:val="24"/>
        </w:rPr>
        <w:t>掌握关节挛缩的康复治疗</w:t>
      </w:r>
    </w:p>
    <w:p w:rsidR="003717A0" w:rsidRDefault="003717A0">
      <w:pPr>
        <w:adjustRightInd w:val="0"/>
        <w:snapToGrid w:val="0"/>
        <w:spacing w:line="360" w:lineRule="auto"/>
        <w:rPr>
          <w:rFonts w:ascii="Times New Roman" w:hAnsi="Times New Roman"/>
          <w:b/>
        </w:rPr>
      </w:pP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969"/>
        <w:gridCol w:w="709"/>
        <w:gridCol w:w="2551"/>
        <w:gridCol w:w="851"/>
      </w:tblGrid>
      <w:tr w:rsidR="003717A0">
        <w:tc>
          <w:tcPr>
            <w:tcW w:w="817" w:type="dxa"/>
            <w:vAlign w:val="center"/>
          </w:tcPr>
          <w:p w:rsidR="003717A0" w:rsidRDefault="003717A0">
            <w:pPr>
              <w:jc w:val="center"/>
              <w:rPr>
                <w:sz w:val="24"/>
              </w:rPr>
            </w:pPr>
            <w:r>
              <w:rPr>
                <w:rFonts w:hint="eastAsia"/>
                <w:sz w:val="24"/>
              </w:rPr>
              <w:t>序号</w:t>
            </w:r>
          </w:p>
        </w:tc>
        <w:tc>
          <w:tcPr>
            <w:tcW w:w="3969"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709" w:type="dxa"/>
            <w:vAlign w:val="center"/>
          </w:tcPr>
          <w:p w:rsidR="003717A0" w:rsidRDefault="003717A0">
            <w:pPr>
              <w:jc w:val="center"/>
              <w:rPr>
                <w:sz w:val="24"/>
              </w:rPr>
            </w:pPr>
            <w:r>
              <w:rPr>
                <w:rFonts w:hint="eastAsia"/>
                <w:sz w:val="24"/>
              </w:rPr>
              <w:t>学时</w:t>
            </w:r>
          </w:p>
        </w:tc>
        <w:tc>
          <w:tcPr>
            <w:tcW w:w="2551"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第一章</w:t>
            </w:r>
            <w:r>
              <w:rPr>
                <w:rFonts w:ascii="宋体" w:hAnsi="宋体" w:cs="宋体"/>
                <w:kern w:val="0"/>
                <w:sz w:val="24"/>
                <w:szCs w:val="24"/>
              </w:rPr>
              <w:t xml:space="preserve"> </w:t>
            </w:r>
            <w:r>
              <w:rPr>
                <w:rFonts w:ascii="宋体" w:hAnsi="宋体" w:cs="宋体" w:hint="eastAsia"/>
                <w:kern w:val="0"/>
                <w:sz w:val="24"/>
                <w:szCs w:val="24"/>
              </w:rPr>
              <w:t>肌肉骨骼康复学概论</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第二章</w:t>
            </w:r>
            <w:r>
              <w:rPr>
                <w:rFonts w:ascii="宋体" w:hAnsi="宋体" w:cs="宋体"/>
                <w:kern w:val="0"/>
                <w:sz w:val="24"/>
                <w:szCs w:val="24"/>
              </w:rPr>
              <w:t xml:space="preserve"> </w:t>
            </w:r>
            <w:r>
              <w:rPr>
                <w:rFonts w:ascii="宋体" w:hAnsi="宋体" w:cs="宋体" w:hint="eastAsia"/>
                <w:kern w:val="0"/>
                <w:sz w:val="24"/>
                <w:szCs w:val="24"/>
              </w:rPr>
              <w:t>上肢骨折康复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第三章</w:t>
            </w:r>
            <w:r>
              <w:rPr>
                <w:rFonts w:ascii="宋体" w:hAnsi="宋体" w:cs="宋体"/>
                <w:kern w:val="0"/>
                <w:sz w:val="24"/>
                <w:szCs w:val="24"/>
              </w:rPr>
              <w:t xml:space="preserve"> </w:t>
            </w:r>
            <w:r>
              <w:rPr>
                <w:rFonts w:ascii="宋体" w:hAnsi="宋体" w:cs="宋体" w:hint="eastAsia"/>
                <w:kern w:val="0"/>
                <w:sz w:val="24"/>
                <w:szCs w:val="24"/>
              </w:rPr>
              <w:t>手外伤康复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第四章</w:t>
            </w:r>
            <w:r>
              <w:rPr>
                <w:rFonts w:ascii="宋体" w:hAnsi="宋体" w:cs="宋体"/>
                <w:kern w:val="0"/>
                <w:sz w:val="24"/>
                <w:szCs w:val="24"/>
              </w:rPr>
              <w:t xml:space="preserve"> </w:t>
            </w:r>
            <w:r>
              <w:rPr>
                <w:rFonts w:ascii="宋体" w:hAnsi="宋体" w:cs="宋体" w:hint="eastAsia"/>
                <w:kern w:val="0"/>
                <w:sz w:val="24"/>
                <w:szCs w:val="24"/>
              </w:rPr>
              <w:t>下肢骨折康复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第五章</w:t>
            </w:r>
            <w:r>
              <w:rPr>
                <w:rFonts w:ascii="宋体" w:hAnsi="宋体" w:cs="宋体"/>
                <w:kern w:val="0"/>
                <w:sz w:val="24"/>
                <w:szCs w:val="24"/>
              </w:rPr>
              <w:t xml:space="preserve"> </w:t>
            </w:r>
            <w:r>
              <w:rPr>
                <w:rFonts w:ascii="宋体" w:hAnsi="宋体" w:cs="宋体" w:hint="eastAsia"/>
                <w:kern w:val="0"/>
                <w:sz w:val="24"/>
                <w:szCs w:val="24"/>
              </w:rPr>
              <w:t>脊柱和骨盆损伤康复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第六章</w:t>
            </w:r>
            <w:r>
              <w:rPr>
                <w:rFonts w:ascii="宋体" w:hAnsi="宋体" w:cs="宋体"/>
                <w:kern w:val="0"/>
                <w:sz w:val="24"/>
                <w:szCs w:val="24"/>
              </w:rPr>
              <w:t xml:space="preserve"> </w:t>
            </w:r>
            <w:r>
              <w:rPr>
                <w:rFonts w:ascii="宋体" w:hAnsi="宋体" w:cs="宋体" w:hint="eastAsia"/>
                <w:kern w:val="0"/>
                <w:sz w:val="24"/>
                <w:szCs w:val="24"/>
              </w:rPr>
              <w:t>脊髓损伤康复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第七章</w:t>
            </w:r>
            <w:r>
              <w:rPr>
                <w:rFonts w:ascii="宋体" w:hAnsi="宋体" w:cs="宋体"/>
                <w:kern w:val="0"/>
                <w:sz w:val="24"/>
                <w:szCs w:val="24"/>
              </w:rPr>
              <w:t xml:space="preserve"> </w:t>
            </w:r>
            <w:r>
              <w:rPr>
                <w:rFonts w:ascii="宋体" w:hAnsi="宋体" w:cs="宋体" w:hint="eastAsia"/>
                <w:kern w:val="0"/>
                <w:sz w:val="24"/>
                <w:szCs w:val="24"/>
              </w:rPr>
              <w:t>周围神经损伤康复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第八章</w:t>
            </w:r>
            <w:r>
              <w:rPr>
                <w:rFonts w:ascii="宋体" w:hAnsi="宋体" w:cs="宋体"/>
                <w:kern w:val="0"/>
                <w:sz w:val="24"/>
                <w:szCs w:val="24"/>
              </w:rPr>
              <w:t xml:space="preserve"> </w:t>
            </w:r>
            <w:r>
              <w:rPr>
                <w:rFonts w:ascii="宋体" w:hAnsi="宋体" w:cs="宋体" w:hint="eastAsia"/>
                <w:kern w:val="0"/>
                <w:sz w:val="24"/>
                <w:szCs w:val="24"/>
              </w:rPr>
              <w:t>断肢再植康复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第九章</w:t>
            </w:r>
            <w:r>
              <w:rPr>
                <w:rFonts w:ascii="宋体" w:hAnsi="宋体" w:cs="宋体"/>
                <w:kern w:val="0"/>
                <w:sz w:val="24"/>
                <w:szCs w:val="24"/>
              </w:rPr>
              <w:t xml:space="preserve"> </w:t>
            </w:r>
            <w:r>
              <w:rPr>
                <w:rFonts w:ascii="宋体" w:hAnsi="宋体" w:cs="宋体" w:hint="eastAsia"/>
                <w:kern w:val="0"/>
                <w:sz w:val="24"/>
                <w:szCs w:val="24"/>
              </w:rPr>
              <w:t>运动创伤的康复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第十章</w:t>
            </w:r>
            <w:r>
              <w:rPr>
                <w:rFonts w:ascii="宋体" w:hAnsi="宋体" w:cs="宋体"/>
                <w:kern w:val="0"/>
                <w:sz w:val="24"/>
                <w:szCs w:val="24"/>
              </w:rPr>
              <w:t xml:space="preserve"> </w:t>
            </w:r>
            <w:r>
              <w:rPr>
                <w:rFonts w:ascii="宋体" w:hAnsi="宋体" w:cs="宋体" w:hint="eastAsia"/>
                <w:kern w:val="0"/>
                <w:sz w:val="24"/>
                <w:szCs w:val="24"/>
              </w:rPr>
              <w:t>周围神经损伤的康复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lastRenderedPageBreak/>
              <w:t>11</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第十一章</w:t>
            </w:r>
            <w:r>
              <w:rPr>
                <w:rFonts w:ascii="宋体" w:hAnsi="宋体" w:cs="宋体"/>
                <w:kern w:val="0"/>
                <w:sz w:val="24"/>
                <w:szCs w:val="24"/>
              </w:rPr>
              <w:t xml:space="preserve"> </w:t>
            </w:r>
            <w:r>
              <w:rPr>
                <w:rFonts w:ascii="宋体" w:hAnsi="宋体" w:cs="宋体" w:hint="eastAsia"/>
                <w:kern w:val="0"/>
                <w:sz w:val="24"/>
                <w:szCs w:val="24"/>
              </w:rPr>
              <w:t>髌骨软骨软化症康复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第十二章</w:t>
            </w:r>
            <w:r>
              <w:rPr>
                <w:rFonts w:ascii="宋体" w:hAnsi="宋体" w:cs="宋体"/>
                <w:kern w:val="0"/>
                <w:sz w:val="24"/>
                <w:szCs w:val="24"/>
              </w:rPr>
              <w:t xml:space="preserve"> </w:t>
            </w:r>
            <w:r>
              <w:rPr>
                <w:rFonts w:ascii="宋体" w:hAnsi="宋体" w:cs="宋体" w:hint="eastAsia"/>
                <w:kern w:val="0"/>
                <w:sz w:val="24"/>
                <w:szCs w:val="24"/>
              </w:rPr>
              <w:t>骨关节炎的康复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第十三章</w:t>
            </w:r>
            <w:r>
              <w:rPr>
                <w:rFonts w:ascii="宋体" w:hAnsi="宋体" w:cs="宋体"/>
                <w:kern w:val="0"/>
                <w:sz w:val="24"/>
                <w:szCs w:val="24"/>
              </w:rPr>
              <w:t xml:space="preserve"> </w:t>
            </w:r>
            <w:r>
              <w:rPr>
                <w:rFonts w:ascii="宋体" w:hAnsi="宋体" w:cs="宋体" w:hint="eastAsia"/>
                <w:kern w:val="0"/>
                <w:sz w:val="24"/>
                <w:szCs w:val="24"/>
              </w:rPr>
              <w:t>颈椎病康复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第十四章</w:t>
            </w:r>
            <w:r>
              <w:rPr>
                <w:rFonts w:ascii="宋体" w:hAnsi="宋体" w:cs="宋体"/>
                <w:kern w:val="0"/>
                <w:sz w:val="24"/>
                <w:szCs w:val="24"/>
              </w:rPr>
              <w:t xml:space="preserve"> </w:t>
            </w:r>
            <w:r>
              <w:rPr>
                <w:rFonts w:ascii="宋体" w:hAnsi="宋体" w:cs="宋体" w:hint="eastAsia"/>
                <w:kern w:val="0"/>
                <w:sz w:val="24"/>
                <w:szCs w:val="24"/>
              </w:rPr>
              <w:t>下背痛的康复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15</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第十五章</w:t>
            </w:r>
            <w:r>
              <w:rPr>
                <w:rFonts w:ascii="宋体" w:hAnsi="宋体" w:cs="宋体"/>
                <w:kern w:val="0"/>
                <w:sz w:val="24"/>
                <w:szCs w:val="24"/>
              </w:rPr>
              <w:t xml:space="preserve"> </w:t>
            </w:r>
            <w:r>
              <w:rPr>
                <w:rFonts w:ascii="宋体" w:hAnsi="宋体" w:cs="宋体" w:hint="eastAsia"/>
                <w:kern w:val="0"/>
                <w:sz w:val="24"/>
                <w:szCs w:val="24"/>
              </w:rPr>
              <w:t>慢性运动系统疾患的康复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第十六章</w:t>
            </w:r>
            <w:r>
              <w:rPr>
                <w:rFonts w:ascii="宋体" w:hAnsi="宋体" w:cs="宋体"/>
                <w:kern w:val="0"/>
                <w:sz w:val="24"/>
                <w:szCs w:val="24"/>
              </w:rPr>
              <w:t xml:space="preserve"> </w:t>
            </w:r>
            <w:r>
              <w:rPr>
                <w:rFonts w:ascii="宋体" w:hAnsi="宋体" w:cs="宋体" w:hint="eastAsia"/>
                <w:kern w:val="0"/>
                <w:sz w:val="24"/>
                <w:szCs w:val="24"/>
              </w:rPr>
              <w:t>运动创伤的康复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969" w:type="dxa"/>
          </w:tcPr>
          <w:p w:rsidR="003717A0" w:rsidRDefault="003717A0">
            <w:pPr>
              <w:rPr>
                <w:rFonts w:ascii="Times New Roman" w:hAnsi="Times New Roman"/>
              </w:rPr>
            </w:pPr>
            <w:r>
              <w:rPr>
                <w:rFonts w:ascii="宋体" w:hAnsi="宋体" w:cs="宋体" w:hint="eastAsia"/>
                <w:kern w:val="0"/>
                <w:sz w:val="24"/>
                <w:szCs w:val="24"/>
              </w:rPr>
              <w:t>第十七章</w:t>
            </w:r>
            <w:r>
              <w:rPr>
                <w:rFonts w:ascii="宋体" w:hAnsi="宋体" w:cs="宋体"/>
                <w:kern w:val="0"/>
                <w:sz w:val="24"/>
                <w:szCs w:val="24"/>
              </w:rPr>
              <w:t xml:space="preserve"> </w:t>
            </w:r>
            <w:r>
              <w:rPr>
                <w:rFonts w:ascii="宋体" w:hAnsi="宋体" w:cs="宋体" w:hint="eastAsia"/>
                <w:kern w:val="0"/>
                <w:sz w:val="24"/>
                <w:szCs w:val="24"/>
              </w:rPr>
              <w:t>脊柱侧凸的康复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18</w:t>
            </w:r>
          </w:p>
        </w:tc>
        <w:tc>
          <w:tcPr>
            <w:tcW w:w="3969" w:type="dxa"/>
          </w:tcPr>
          <w:p w:rsidR="003717A0" w:rsidRDefault="003717A0">
            <w:pPr>
              <w:rPr>
                <w:rFonts w:ascii="Times New Roman" w:hAnsi="Times New Roman"/>
              </w:rPr>
            </w:pPr>
            <w:r>
              <w:rPr>
                <w:rFonts w:ascii="宋体" w:hAnsi="宋体" w:cs="宋体" w:hint="eastAsia"/>
                <w:kern w:val="0"/>
                <w:sz w:val="24"/>
                <w:szCs w:val="24"/>
              </w:rPr>
              <w:t>第十八章</w:t>
            </w:r>
            <w:r>
              <w:rPr>
                <w:rFonts w:ascii="宋体" w:hAnsi="宋体" w:cs="宋体"/>
                <w:kern w:val="0"/>
                <w:sz w:val="24"/>
                <w:szCs w:val="24"/>
              </w:rPr>
              <w:t xml:space="preserve"> </w:t>
            </w:r>
            <w:r>
              <w:rPr>
                <w:rFonts w:ascii="宋体" w:hAnsi="宋体" w:cs="宋体" w:hint="eastAsia"/>
                <w:kern w:val="0"/>
                <w:sz w:val="24"/>
                <w:szCs w:val="24"/>
              </w:rPr>
              <w:t>特殊问题的康复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969"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54</w:t>
            </w:r>
          </w:p>
        </w:tc>
        <w:tc>
          <w:tcPr>
            <w:tcW w:w="2551"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pPr>
    </w:p>
    <w:p w:rsidR="003717A0" w:rsidRDefault="003717A0">
      <w:pPr>
        <w:adjustRightInd w:val="0"/>
        <w:snapToGrid w:val="0"/>
        <w:spacing w:line="360" w:lineRule="auto"/>
        <w:jc w:val="center"/>
        <w:rPr>
          <w:b/>
          <w:bCs/>
          <w:sz w:val="28"/>
          <w:szCs w:val="28"/>
        </w:rPr>
      </w:pPr>
      <w:r>
        <w:rPr>
          <w:rFonts w:hint="eastAsia"/>
          <w:b/>
          <w:bCs/>
          <w:sz w:val="28"/>
          <w:szCs w:val="28"/>
        </w:rPr>
        <w:t>实验课学时分配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969"/>
        <w:gridCol w:w="709"/>
        <w:gridCol w:w="2551"/>
        <w:gridCol w:w="851"/>
      </w:tblGrid>
      <w:tr w:rsidR="003717A0">
        <w:tc>
          <w:tcPr>
            <w:tcW w:w="817" w:type="dxa"/>
            <w:vAlign w:val="center"/>
          </w:tcPr>
          <w:p w:rsidR="003717A0" w:rsidRDefault="003717A0">
            <w:pPr>
              <w:jc w:val="center"/>
              <w:rPr>
                <w:sz w:val="24"/>
              </w:rPr>
            </w:pPr>
            <w:r>
              <w:rPr>
                <w:rFonts w:hint="eastAsia"/>
                <w:sz w:val="24"/>
              </w:rPr>
              <w:t>序号</w:t>
            </w:r>
          </w:p>
        </w:tc>
        <w:tc>
          <w:tcPr>
            <w:tcW w:w="3969"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709" w:type="dxa"/>
            <w:vAlign w:val="center"/>
          </w:tcPr>
          <w:p w:rsidR="003717A0" w:rsidRDefault="003717A0">
            <w:pPr>
              <w:jc w:val="center"/>
              <w:rPr>
                <w:sz w:val="24"/>
              </w:rPr>
            </w:pPr>
            <w:r>
              <w:rPr>
                <w:rFonts w:hint="eastAsia"/>
                <w:sz w:val="24"/>
              </w:rPr>
              <w:t>学时</w:t>
            </w:r>
          </w:p>
        </w:tc>
        <w:tc>
          <w:tcPr>
            <w:tcW w:w="2551"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第一章</w:t>
            </w:r>
            <w:r>
              <w:rPr>
                <w:rFonts w:ascii="宋体" w:hAnsi="宋体" w:cs="宋体"/>
                <w:kern w:val="0"/>
                <w:sz w:val="24"/>
                <w:szCs w:val="24"/>
              </w:rPr>
              <w:t xml:space="preserve"> </w:t>
            </w:r>
            <w:r>
              <w:rPr>
                <w:rFonts w:ascii="宋体" w:hAnsi="宋体" w:cs="宋体" w:hint="eastAsia"/>
                <w:kern w:val="0"/>
                <w:sz w:val="24"/>
                <w:szCs w:val="24"/>
              </w:rPr>
              <w:t>肌肉骨骼康复学概论</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第二章</w:t>
            </w:r>
            <w:r>
              <w:rPr>
                <w:rFonts w:ascii="宋体" w:hAnsi="宋体" w:cs="宋体"/>
                <w:kern w:val="0"/>
                <w:sz w:val="24"/>
                <w:szCs w:val="24"/>
              </w:rPr>
              <w:t xml:space="preserve"> </w:t>
            </w:r>
            <w:r>
              <w:rPr>
                <w:rFonts w:ascii="宋体" w:hAnsi="宋体" w:cs="宋体" w:hint="eastAsia"/>
                <w:kern w:val="0"/>
                <w:sz w:val="24"/>
                <w:szCs w:val="24"/>
              </w:rPr>
              <w:t>上肢骨折康复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第三章</w:t>
            </w:r>
            <w:r>
              <w:rPr>
                <w:rFonts w:ascii="宋体" w:hAnsi="宋体" w:cs="宋体"/>
                <w:kern w:val="0"/>
                <w:sz w:val="24"/>
                <w:szCs w:val="24"/>
              </w:rPr>
              <w:t xml:space="preserve"> </w:t>
            </w:r>
            <w:r>
              <w:rPr>
                <w:rFonts w:ascii="宋体" w:hAnsi="宋体" w:cs="宋体" w:hint="eastAsia"/>
                <w:kern w:val="0"/>
                <w:sz w:val="24"/>
                <w:szCs w:val="24"/>
              </w:rPr>
              <w:t>手外伤康复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第四章</w:t>
            </w:r>
            <w:r>
              <w:rPr>
                <w:rFonts w:ascii="宋体" w:hAnsi="宋体" w:cs="宋体"/>
                <w:kern w:val="0"/>
                <w:sz w:val="24"/>
                <w:szCs w:val="24"/>
              </w:rPr>
              <w:t xml:space="preserve"> </w:t>
            </w:r>
            <w:r>
              <w:rPr>
                <w:rFonts w:ascii="宋体" w:hAnsi="宋体" w:cs="宋体" w:hint="eastAsia"/>
                <w:kern w:val="0"/>
                <w:sz w:val="24"/>
                <w:szCs w:val="24"/>
              </w:rPr>
              <w:t>下肢骨折康复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第五章</w:t>
            </w:r>
            <w:r>
              <w:rPr>
                <w:rFonts w:ascii="宋体" w:hAnsi="宋体" w:cs="宋体"/>
                <w:kern w:val="0"/>
                <w:sz w:val="24"/>
                <w:szCs w:val="24"/>
              </w:rPr>
              <w:t xml:space="preserve"> </w:t>
            </w:r>
            <w:r>
              <w:rPr>
                <w:rFonts w:ascii="宋体" w:hAnsi="宋体" w:cs="宋体" w:hint="eastAsia"/>
                <w:kern w:val="0"/>
                <w:sz w:val="24"/>
                <w:szCs w:val="24"/>
              </w:rPr>
              <w:t>脊柱和骨盆损伤康复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第六章</w:t>
            </w:r>
            <w:r>
              <w:rPr>
                <w:rFonts w:ascii="宋体" w:hAnsi="宋体" w:cs="宋体"/>
                <w:kern w:val="0"/>
                <w:sz w:val="24"/>
                <w:szCs w:val="24"/>
              </w:rPr>
              <w:t xml:space="preserve"> </w:t>
            </w:r>
            <w:r>
              <w:rPr>
                <w:rFonts w:ascii="宋体" w:hAnsi="宋体" w:cs="宋体" w:hint="eastAsia"/>
                <w:kern w:val="0"/>
                <w:sz w:val="24"/>
                <w:szCs w:val="24"/>
              </w:rPr>
              <w:t>脊髓损伤康复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第七章</w:t>
            </w:r>
            <w:r>
              <w:rPr>
                <w:rFonts w:ascii="宋体" w:hAnsi="宋体" w:cs="宋体"/>
                <w:kern w:val="0"/>
                <w:sz w:val="24"/>
                <w:szCs w:val="24"/>
              </w:rPr>
              <w:t xml:space="preserve"> </w:t>
            </w:r>
            <w:r>
              <w:rPr>
                <w:rFonts w:ascii="宋体" w:hAnsi="宋体" w:cs="宋体" w:hint="eastAsia"/>
                <w:kern w:val="0"/>
                <w:sz w:val="24"/>
                <w:szCs w:val="24"/>
              </w:rPr>
              <w:t>周围神经损伤康复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第八章</w:t>
            </w:r>
            <w:r>
              <w:rPr>
                <w:rFonts w:ascii="宋体" w:hAnsi="宋体" w:cs="宋体"/>
                <w:kern w:val="0"/>
                <w:sz w:val="24"/>
                <w:szCs w:val="24"/>
              </w:rPr>
              <w:t xml:space="preserve"> </w:t>
            </w:r>
            <w:r>
              <w:rPr>
                <w:rFonts w:ascii="宋体" w:hAnsi="宋体" w:cs="宋体" w:hint="eastAsia"/>
                <w:kern w:val="0"/>
                <w:sz w:val="24"/>
                <w:szCs w:val="24"/>
              </w:rPr>
              <w:t>断肢再植康复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第九章</w:t>
            </w:r>
            <w:r>
              <w:rPr>
                <w:rFonts w:ascii="宋体" w:hAnsi="宋体" w:cs="宋体"/>
                <w:kern w:val="0"/>
                <w:sz w:val="24"/>
                <w:szCs w:val="24"/>
              </w:rPr>
              <w:t xml:space="preserve"> </w:t>
            </w:r>
            <w:r>
              <w:rPr>
                <w:rFonts w:ascii="宋体" w:hAnsi="宋体" w:cs="宋体" w:hint="eastAsia"/>
                <w:kern w:val="0"/>
                <w:sz w:val="24"/>
                <w:szCs w:val="24"/>
              </w:rPr>
              <w:t>运动创伤的康复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第十章</w:t>
            </w:r>
            <w:r>
              <w:rPr>
                <w:rFonts w:ascii="宋体" w:hAnsi="宋体" w:cs="宋体"/>
                <w:kern w:val="0"/>
                <w:sz w:val="24"/>
                <w:szCs w:val="24"/>
              </w:rPr>
              <w:t xml:space="preserve"> </w:t>
            </w:r>
            <w:r>
              <w:rPr>
                <w:rFonts w:ascii="宋体" w:hAnsi="宋体" w:cs="宋体" w:hint="eastAsia"/>
                <w:kern w:val="0"/>
                <w:sz w:val="24"/>
                <w:szCs w:val="24"/>
              </w:rPr>
              <w:t>周围神经损伤的康复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11</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第十一章</w:t>
            </w:r>
            <w:r>
              <w:rPr>
                <w:rFonts w:ascii="宋体" w:hAnsi="宋体" w:cs="宋体"/>
                <w:kern w:val="0"/>
                <w:sz w:val="24"/>
                <w:szCs w:val="24"/>
              </w:rPr>
              <w:t xml:space="preserve"> </w:t>
            </w:r>
            <w:r>
              <w:rPr>
                <w:rFonts w:ascii="宋体" w:hAnsi="宋体" w:cs="宋体" w:hint="eastAsia"/>
                <w:kern w:val="0"/>
                <w:sz w:val="24"/>
                <w:szCs w:val="24"/>
              </w:rPr>
              <w:t>髌骨软骨软化症康复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第十二章</w:t>
            </w:r>
            <w:r>
              <w:rPr>
                <w:rFonts w:ascii="宋体" w:hAnsi="宋体" w:cs="宋体"/>
                <w:kern w:val="0"/>
                <w:sz w:val="24"/>
                <w:szCs w:val="24"/>
              </w:rPr>
              <w:t xml:space="preserve"> </w:t>
            </w:r>
            <w:r>
              <w:rPr>
                <w:rFonts w:ascii="宋体" w:hAnsi="宋体" w:cs="宋体" w:hint="eastAsia"/>
                <w:kern w:val="0"/>
                <w:sz w:val="24"/>
                <w:szCs w:val="24"/>
              </w:rPr>
              <w:t>骨关节炎的康复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第十三章</w:t>
            </w:r>
            <w:r>
              <w:rPr>
                <w:rFonts w:ascii="宋体" w:hAnsi="宋体" w:cs="宋体"/>
                <w:kern w:val="0"/>
                <w:sz w:val="24"/>
                <w:szCs w:val="24"/>
              </w:rPr>
              <w:t xml:space="preserve"> </w:t>
            </w:r>
            <w:r>
              <w:rPr>
                <w:rFonts w:ascii="宋体" w:hAnsi="宋体" w:cs="宋体" w:hint="eastAsia"/>
                <w:kern w:val="0"/>
                <w:sz w:val="24"/>
                <w:szCs w:val="24"/>
              </w:rPr>
              <w:t>颈椎病康复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第十四章</w:t>
            </w:r>
            <w:r>
              <w:rPr>
                <w:rFonts w:ascii="宋体" w:hAnsi="宋体" w:cs="宋体"/>
                <w:kern w:val="0"/>
                <w:sz w:val="24"/>
                <w:szCs w:val="24"/>
              </w:rPr>
              <w:t xml:space="preserve"> </w:t>
            </w:r>
            <w:r>
              <w:rPr>
                <w:rFonts w:ascii="宋体" w:hAnsi="宋体" w:cs="宋体" w:hint="eastAsia"/>
                <w:kern w:val="0"/>
                <w:sz w:val="24"/>
                <w:szCs w:val="24"/>
              </w:rPr>
              <w:t>下背痛的康复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15</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第十五章</w:t>
            </w:r>
            <w:r>
              <w:rPr>
                <w:rFonts w:ascii="宋体" w:hAnsi="宋体" w:cs="宋体"/>
                <w:kern w:val="0"/>
                <w:sz w:val="24"/>
                <w:szCs w:val="24"/>
              </w:rPr>
              <w:t xml:space="preserve"> </w:t>
            </w:r>
            <w:r>
              <w:rPr>
                <w:rFonts w:ascii="宋体" w:hAnsi="宋体" w:cs="宋体" w:hint="eastAsia"/>
                <w:kern w:val="0"/>
                <w:sz w:val="24"/>
                <w:szCs w:val="24"/>
              </w:rPr>
              <w:t>慢性运动系统疾患的康复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969" w:type="dxa"/>
          </w:tcPr>
          <w:p w:rsidR="003717A0" w:rsidRDefault="003717A0">
            <w:pPr>
              <w:widowControl/>
              <w:jc w:val="left"/>
              <w:rPr>
                <w:rFonts w:ascii="宋体" w:cs="宋体"/>
                <w:kern w:val="0"/>
                <w:sz w:val="24"/>
                <w:szCs w:val="24"/>
              </w:rPr>
            </w:pPr>
            <w:r>
              <w:rPr>
                <w:rFonts w:ascii="宋体" w:hAnsi="宋体" w:cs="宋体" w:hint="eastAsia"/>
                <w:kern w:val="0"/>
                <w:sz w:val="24"/>
                <w:szCs w:val="24"/>
              </w:rPr>
              <w:t>第十六章</w:t>
            </w:r>
            <w:r>
              <w:rPr>
                <w:rFonts w:ascii="宋体" w:hAnsi="宋体" w:cs="宋体"/>
                <w:kern w:val="0"/>
                <w:sz w:val="24"/>
                <w:szCs w:val="24"/>
              </w:rPr>
              <w:t xml:space="preserve"> </w:t>
            </w:r>
            <w:r>
              <w:rPr>
                <w:rFonts w:ascii="宋体" w:hAnsi="宋体" w:cs="宋体" w:hint="eastAsia"/>
                <w:kern w:val="0"/>
                <w:sz w:val="24"/>
                <w:szCs w:val="24"/>
              </w:rPr>
              <w:t>运动创伤的康复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969" w:type="dxa"/>
          </w:tcPr>
          <w:p w:rsidR="003717A0" w:rsidRDefault="003717A0">
            <w:pPr>
              <w:rPr>
                <w:rFonts w:ascii="Times New Roman" w:hAnsi="Times New Roman"/>
              </w:rPr>
            </w:pPr>
            <w:r>
              <w:rPr>
                <w:rFonts w:ascii="宋体" w:hAnsi="宋体" w:cs="宋体" w:hint="eastAsia"/>
                <w:kern w:val="0"/>
                <w:sz w:val="24"/>
                <w:szCs w:val="24"/>
              </w:rPr>
              <w:t>第十七章</w:t>
            </w:r>
            <w:r>
              <w:rPr>
                <w:rFonts w:ascii="宋体" w:hAnsi="宋体" w:cs="宋体"/>
                <w:kern w:val="0"/>
                <w:sz w:val="24"/>
                <w:szCs w:val="24"/>
              </w:rPr>
              <w:t xml:space="preserve"> </w:t>
            </w:r>
            <w:r>
              <w:rPr>
                <w:rFonts w:ascii="宋体" w:hAnsi="宋体" w:cs="宋体" w:hint="eastAsia"/>
                <w:kern w:val="0"/>
                <w:sz w:val="24"/>
                <w:szCs w:val="24"/>
              </w:rPr>
              <w:t>脊柱侧凸的康复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18</w:t>
            </w:r>
          </w:p>
        </w:tc>
        <w:tc>
          <w:tcPr>
            <w:tcW w:w="3969" w:type="dxa"/>
          </w:tcPr>
          <w:p w:rsidR="003717A0" w:rsidRDefault="003717A0">
            <w:pPr>
              <w:rPr>
                <w:rFonts w:ascii="Times New Roman" w:hAnsi="Times New Roman"/>
              </w:rPr>
            </w:pPr>
            <w:r>
              <w:rPr>
                <w:rFonts w:ascii="宋体" w:hAnsi="宋体" w:cs="宋体" w:hint="eastAsia"/>
                <w:kern w:val="0"/>
                <w:sz w:val="24"/>
                <w:szCs w:val="24"/>
              </w:rPr>
              <w:t>第十八章</w:t>
            </w:r>
            <w:r>
              <w:rPr>
                <w:rFonts w:ascii="宋体" w:hAnsi="宋体" w:cs="宋体"/>
                <w:kern w:val="0"/>
                <w:sz w:val="24"/>
                <w:szCs w:val="24"/>
              </w:rPr>
              <w:t xml:space="preserve"> </w:t>
            </w:r>
            <w:r>
              <w:rPr>
                <w:rFonts w:ascii="宋体" w:hAnsi="宋体" w:cs="宋体" w:hint="eastAsia"/>
                <w:kern w:val="0"/>
                <w:sz w:val="24"/>
                <w:szCs w:val="24"/>
              </w:rPr>
              <w:t>特殊问题的康复</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2551" w:type="dxa"/>
          </w:tcPr>
          <w:p w:rsidR="003717A0" w:rsidRDefault="003717A0"/>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969"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54</w:t>
            </w:r>
          </w:p>
        </w:tc>
        <w:tc>
          <w:tcPr>
            <w:tcW w:w="2551"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rPr>
          <w:b/>
          <w:bCs/>
          <w:sz w:val="28"/>
          <w:szCs w:val="28"/>
        </w:rPr>
      </w:pPr>
    </w:p>
    <w:p w:rsidR="003717A0" w:rsidRDefault="003717A0">
      <w:pPr>
        <w:adjustRightInd w:val="0"/>
        <w:snapToGrid w:val="0"/>
        <w:jc w:val="center"/>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多媒体教室、康复治疗系实验室、附院康复治疗中心等；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多媒体教学课件、康复治疗系实验室、附院康复治疗中心各种康复器材等。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lastRenderedPageBreak/>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理论课教材：张长杰主编，《肌肉骨骼康复学》，人民卫生出版社，</w:t>
      </w:r>
      <w:r>
        <w:rPr>
          <w:rFonts w:ascii="Times New Roman" w:hAnsi="Times New Roman"/>
        </w:rPr>
        <w:t>2013.5</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实验课教材：张长杰主编，《肌肉骨骼康复学》，人民卫生出版社，</w:t>
      </w:r>
      <w:r>
        <w:rPr>
          <w:rFonts w:ascii="Times New Roman" w:hAnsi="Times New Roman"/>
        </w:rPr>
        <w:t>2013.5</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于长隆主编，《骨科康复学》，人民卫生出版社，</w:t>
      </w:r>
      <w:r>
        <w:rPr>
          <w:rFonts w:ascii="Times New Roman"/>
        </w:rPr>
        <w:t xml:space="preserve">2008 </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陆廷仁主编，《骨科康复学》，人民卫生出版社，</w:t>
      </w:r>
      <w:r>
        <w:rPr>
          <w:rFonts w:ascii="Times New Roman"/>
        </w:rPr>
        <w:t>2007</w:t>
      </w:r>
    </w:p>
    <w:p w:rsidR="003717A0" w:rsidRDefault="003717A0">
      <w:pPr>
        <w:numPr>
          <w:ilvl w:val="0"/>
          <w:numId w:val="149"/>
        </w:numPr>
        <w:adjustRightInd w:val="0"/>
        <w:snapToGrid w:val="0"/>
        <w:spacing w:line="360" w:lineRule="auto"/>
        <w:ind w:left="0" w:right="4" w:firstLine="480"/>
        <w:rPr>
          <w:rFonts w:ascii="Times New Roman"/>
        </w:rPr>
      </w:pPr>
      <w:r>
        <w:rPr>
          <w:rFonts w:ascii="Times New Roman" w:hint="eastAsia"/>
        </w:rPr>
        <w:t>曲绵域主编，《实用运动医学》，人民卫生出版社，</w:t>
      </w:r>
      <w:r>
        <w:rPr>
          <w:rFonts w:ascii="Times New Roman"/>
        </w:rPr>
        <w:t>2003</w:t>
      </w:r>
    </w:p>
    <w:p w:rsidR="003717A0" w:rsidRDefault="003717A0">
      <w:pPr>
        <w:adjustRightInd w:val="0"/>
        <w:snapToGrid w:val="0"/>
        <w:spacing w:line="360" w:lineRule="auto"/>
        <w:ind w:right="4" w:firstLineChars="3150" w:firstLine="6615"/>
        <w:rPr>
          <w:rFonts w:ascii="Times New Roman"/>
        </w:rPr>
      </w:pPr>
      <w:r>
        <w:rPr>
          <w:rFonts w:ascii="黑体" w:eastAsia="黑体" w:cs="黑体" w:hint="eastAsia"/>
          <w:kern w:val="0"/>
          <w:szCs w:val="21"/>
        </w:rPr>
        <w:t>制定人：吴勤峰</w:t>
      </w:r>
    </w:p>
    <w:p w:rsidR="003717A0" w:rsidRDefault="00C43799" w:rsidP="005E20B5">
      <w:pPr>
        <w:adjustRightInd w:val="0"/>
        <w:snapToGrid w:val="0"/>
        <w:spacing w:beforeLines="50" w:afterLines="50" w:line="360" w:lineRule="auto"/>
        <w:jc w:val="center"/>
        <w:rPr>
          <w:rFonts w:ascii="黑体" w:eastAsia="黑体" w:cs="黑体"/>
          <w:kern w:val="0"/>
          <w:szCs w:val="21"/>
        </w:rPr>
      </w:pPr>
      <w:r>
        <w:rPr>
          <w:rFonts w:ascii="黑体" w:eastAsia="黑体" w:cs="黑体"/>
          <w:kern w:val="0"/>
          <w:szCs w:val="21"/>
        </w:rPr>
        <w:t xml:space="preserve">                           </w:t>
      </w:r>
      <w:r w:rsidR="003717A0">
        <w:rPr>
          <w:rFonts w:ascii="黑体" w:eastAsia="黑体" w:cs="黑体"/>
          <w:kern w:val="0"/>
          <w:szCs w:val="21"/>
        </w:rPr>
        <w:t xml:space="preserve">                        </w:t>
      </w:r>
      <w:r w:rsidR="003717A0">
        <w:rPr>
          <w:rFonts w:ascii="黑体" w:eastAsia="黑体" w:cs="黑体" w:hint="eastAsia"/>
          <w:kern w:val="0"/>
          <w:szCs w:val="21"/>
        </w:rPr>
        <w:t>审核人：沈光宇</w:t>
      </w:r>
    </w:p>
    <w:p w:rsidR="003717A0" w:rsidRDefault="003717A0" w:rsidP="005E20B5">
      <w:pPr>
        <w:adjustRightInd w:val="0"/>
        <w:snapToGrid w:val="0"/>
        <w:spacing w:beforeLines="50" w:afterLines="50" w:line="360" w:lineRule="auto"/>
        <w:rPr>
          <w:rFonts w:ascii="黑体" w:eastAsia="黑体"/>
          <w:b/>
          <w:sz w:val="30"/>
          <w:szCs w:val="30"/>
        </w:rPr>
      </w:pPr>
    </w:p>
    <w:p w:rsidR="003717A0" w:rsidRPr="00F5156D" w:rsidRDefault="003717A0" w:rsidP="00F5156D">
      <w:pPr>
        <w:adjustRightInd w:val="0"/>
        <w:spacing w:line="360" w:lineRule="auto"/>
        <w:contextualSpacing/>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C43799">
      <w:pPr>
        <w:numPr>
          <w:ilvl w:val="0"/>
          <w:numId w:val="245"/>
        </w:numPr>
        <w:adjustRightInd w:val="0"/>
        <w:snapToGrid w:val="0"/>
        <w:spacing w:line="360" w:lineRule="auto"/>
        <w:ind w:right="4" w:hanging="660"/>
        <w:rPr>
          <w:rFonts w:ascii="Times New Roman"/>
        </w:rPr>
      </w:pPr>
      <w:r>
        <w:rPr>
          <w:rFonts w:ascii="Times New Roman" w:hint="eastAsia"/>
        </w:rPr>
        <w:t>修读完本课程规定内容的康复治疗学专业的本科学生；</w:t>
      </w:r>
    </w:p>
    <w:p w:rsidR="003717A0" w:rsidRDefault="003717A0">
      <w:pPr>
        <w:numPr>
          <w:ilvl w:val="0"/>
          <w:numId w:val="245"/>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通过考核来检查和了解学生对本门课程内容的掌握程度，考核学生对肌肉骨骼系统疾病康复评定和康复治疗的理解和掌握情况，及实践操作能力。</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期末闭卷理论考核和实践操作考核。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szCs w:val="24"/>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3" w:firstLine="426"/>
        <w:jc w:val="left"/>
        <w:rPr>
          <w:rFonts w:ascii="宋体"/>
          <w:szCs w:val="21"/>
        </w:rPr>
      </w:pPr>
      <w:r>
        <w:rPr>
          <w:rFonts w:ascii="Times New Roman" w:eastAsia="黑体" w:hAnsi="Times New Roman" w:hint="eastAsia"/>
          <w:b/>
          <w:kern w:val="0"/>
          <w:sz w:val="22"/>
        </w:rPr>
        <w:t>考核内容：</w:t>
      </w:r>
      <w:r>
        <w:rPr>
          <w:rFonts w:ascii="宋体" w:hAnsi="宋体" w:hint="eastAsia"/>
          <w:szCs w:val="21"/>
        </w:rPr>
        <w:t>肌肉骨骼系统疾病康复评定和康复治疗基本理论及实践操作能力。</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r>
        <w:rPr>
          <w:rFonts w:ascii="宋体" w:hAnsi="宋体" w:hint="eastAsia"/>
          <w:szCs w:val="21"/>
        </w:rPr>
        <w:t>熟悉掌握常见肌肉骨骼系统疾病康复评定和康复治疗基本理论及实践操作能力。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djustRightInd w:val="0"/>
        <w:snapToGrid w:val="0"/>
        <w:spacing w:line="360" w:lineRule="auto"/>
        <w:ind w:right="4" w:firstLineChars="200" w:firstLine="480"/>
        <w:rPr>
          <w:rFonts w:ascii="Times New Roman"/>
        </w:rPr>
      </w:pPr>
      <w:r>
        <w:rPr>
          <w:rFonts w:ascii="宋体" w:hAnsi="宋体" w:hint="eastAsia"/>
          <w:sz w:val="24"/>
        </w:rPr>
        <w:t>一、名</w:t>
      </w:r>
      <w:r>
        <w:rPr>
          <w:rFonts w:ascii="Times New Roman" w:hint="eastAsia"/>
        </w:rPr>
        <w:t>词解释（</w:t>
      </w:r>
      <w:r>
        <w:rPr>
          <w:rFonts w:ascii="Times New Roman"/>
        </w:rPr>
        <w:t>3</w:t>
      </w:r>
      <w:r>
        <w:rPr>
          <w:rFonts w:ascii="Times New Roman" w:hint="eastAsia"/>
        </w:rPr>
        <w:t>分×</w:t>
      </w:r>
      <w:r>
        <w:rPr>
          <w:rFonts w:ascii="Times New Roman"/>
        </w:rPr>
        <w:t>10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rPr>
        <w:t>1.</w:t>
      </w:r>
      <w:r>
        <w:rPr>
          <w:rFonts w:ascii="Times New Roman"/>
        </w:rPr>
        <w:t>“</w:t>
      </w:r>
      <w:r>
        <w:rPr>
          <w:rFonts w:ascii="Times New Roman"/>
        </w:rPr>
        <w:t>4</w:t>
      </w:r>
      <w:r>
        <w:rPr>
          <w:rFonts w:ascii="Times New Roman"/>
        </w:rPr>
        <w:t>”</w:t>
      </w:r>
      <w:r>
        <w:rPr>
          <w:rFonts w:ascii="Times New Roman" w:hint="eastAsia"/>
        </w:rPr>
        <w:t>字试验</w:t>
      </w:r>
    </w:p>
    <w:p w:rsidR="003717A0" w:rsidRDefault="003717A0">
      <w:pPr>
        <w:adjustRightInd w:val="0"/>
        <w:snapToGrid w:val="0"/>
        <w:spacing w:line="360" w:lineRule="auto"/>
        <w:ind w:right="4" w:firstLineChars="200" w:firstLine="420"/>
        <w:rPr>
          <w:rFonts w:ascii="Times New Roman"/>
        </w:rPr>
      </w:pPr>
      <w:r>
        <w:rPr>
          <w:rFonts w:ascii="Times New Roman"/>
        </w:rPr>
        <w:t xml:space="preserve">2. </w:t>
      </w:r>
      <w:r>
        <w:rPr>
          <w:rFonts w:ascii="Times New Roman" w:hint="eastAsia"/>
        </w:rPr>
        <w:t>脊髓损伤</w:t>
      </w:r>
    </w:p>
    <w:p w:rsidR="003717A0" w:rsidRDefault="003717A0">
      <w:pPr>
        <w:adjustRightInd w:val="0"/>
        <w:snapToGrid w:val="0"/>
        <w:spacing w:line="360" w:lineRule="auto"/>
        <w:ind w:right="4" w:firstLineChars="200" w:firstLine="420"/>
        <w:rPr>
          <w:rFonts w:ascii="Times New Roman"/>
        </w:rPr>
      </w:pPr>
      <w:r>
        <w:rPr>
          <w:rFonts w:ascii="Times New Roman"/>
        </w:rPr>
        <w:t xml:space="preserve">3. </w:t>
      </w:r>
      <w:r>
        <w:rPr>
          <w:rFonts w:ascii="Times New Roman" w:hint="eastAsia"/>
        </w:rPr>
        <w:t>人工关节置换术</w:t>
      </w:r>
    </w:p>
    <w:p w:rsidR="003717A0" w:rsidRDefault="003717A0">
      <w:pPr>
        <w:adjustRightInd w:val="0"/>
        <w:snapToGrid w:val="0"/>
        <w:spacing w:line="360" w:lineRule="auto"/>
        <w:ind w:right="4" w:firstLineChars="200" w:firstLine="420"/>
        <w:rPr>
          <w:rFonts w:ascii="Times New Roman"/>
        </w:rPr>
      </w:pPr>
      <w:r>
        <w:rPr>
          <w:rFonts w:ascii="Times New Roman"/>
        </w:rPr>
        <w:t>4</w:t>
      </w:r>
      <w:r>
        <w:rPr>
          <w:rFonts w:ascii="Times New Roman" w:hint="eastAsia"/>
        </w:rPr>
        <w:t>．中央束综合征</w:t>
      </w:r>
    </w:p>
    <w:p w:rsidR="003717A0" w:rsidRDefault="003717A0">
      <w:pPr>
        <w:adjustRightInd w:val="0"/>
        <w:snapToGrid w:val="0"/>
        <w:spacing w:line="360" w:lineRule="auto"/>
        <w:ind w:right="4" w:firstLineChars="200" w:firstLine="420"/>
        <w:rPr>
          <w:rFonts w:ascii="Times New Roman"/>
        </w:rPr>
      </w:pPr>
      <w:r>
        <w:rPr>
          <w:rFonts w:ascii="Times New Roman"/>
        </w:rPr>
        <w:t xml:space="preserve">5. </w:t>
      </w:r>
      <w:r>
        <w:rPr>
          <w:rFonts w:ascii="Times New Roman" w:hint="eastAsia"/>
        </w:rPr>
        <w:t>扣击试验</w:t>
      </w:r>
      <w:r>
        <w:rPr>
          <w:rFonts w:ascii="Times New Roman"/>
        </w:rPr>
        <w:t>(Tinel)</w:t>
      </w:r>
      <w:r>
        <w:rPr>
          <w:rFonts w:ascii="Times New Roman" w:hint="eastAsia"/>
        </w:rPr>
        <w:t>征</w:t>
      </w:r>
    </w:p>
    <w:p w:rsidR="003717A0" w:rsidRDefault="003717A0">
      <w:pPr>
        <w:adjustRightInd w:val="0"/>
        <w:snapToGrid w:val="0"/>
        <w:spacing w:line="360" w:lineRule="auto"/>
        <w:ind w:right="4" w:firstLineChars="200" w:firstLine="420"/>
        <w:rPr>
          <w:rFonts w:ascii="Times New Roman"/>
        </w:rPr>
      </w:pPr>
      <w:r>
        <w:rPr>
          <w:rFonts w:ascii="Times New Roman"/>
        </w:rPr>
        <w:t>6.</w:t>
      </w:r>
      <w:r>
        <w:rPr>
          <w:rFonts w:ascii="Times New Roman" w:hint="eastAsia"/>
        </w:rPr>
        <w:t>下背痛</w:t>
      </w:r>
    </w:p>
    <w:p w:rsidR="003717A0" w:rsidRDefault="003717A0">
      <w:pPr>
        <w:adjustRightInd w:val="0"/>
        <w:snapToGrid w:val="0"/>
        <w:spacing w:line="360" w:lineRule="auto"/>
        <w:ind w:right="4" w:firstLineChars="200" w:firstLine="420"/>
        <w:rPr>
          <w:rFonts w:ascii="Times New Roman"/>
        </w:rPr>
      </w:pPr>
      <w:r>
        <w:rPr>
          <w:rFonts w:ascii="Times New Roman"/>
        </w:rPr>
        <w:t xml:space="preserve">7. </w:t>
      </w:r>
      <w:r>
        <w:rPr>
          <w:rFonts w:ascii="Times New Roman" w:hint="eastAsia"/>
        </w:rPr>
        <w:t>骨关节炎</w:t>
      </w:r>
    </w:p>
    <w:p w:rsidR="003717A0" w:rsidRDefault="003717A0">
      <w:pPr>
        <w:adjustRightInd w:val="0"/>
        <w:snapToGrid w:val="0"/>
        <w:spacing w:line="360" w:lineRule="auto"/>
        <w:ind w:right="4" w:firstLineChars="200" w:firstLine="420"/>
        <w:rPr>
          <w:rFonts w:ascii="Times New Roman"/>
        </w:rPr>
      </w:pPr>
      <w:r>
        <w:rPr>
          <w:rFonts w:ascii="Times New Roman"/>
        </w:rPr>
        <w:t xml:space="preserve">8. </w:t>
      </w:r>
      <w:r>
        <w:rPr>
          <w:rFonts w:ascii="Times New Roman" w:hint="eastAsia"/>
        </w:rPr>
        <w:t>椎动脉型颈椎病</w:t>
      </w:r>
    </w:p>
    <w:p w:rsidR="003717A0" w:rsidRDefault="003717A0">
      <w:pPr>
        <w:adjustRightInd w:val="0"/>
        <w:snapToGrid w:val="0"/>
        <w:spacing w:line="360" w:lineRule="auto"/>
        <w:ind w:right="4" w:firstLineChars="200" w:firstLine="420"/>
        <w:rPr>
          <w:rFonts w:ascii="Times New Roman"/>
        </w:rPr>
      </w:pPr>
      <w:r>
        <w:rPr>
          <w:rFonts w:ascii="Times New Roman"/>
        </w:rPr>
        <w:t xml:space="preserve">9. </w:t>
      </w:r>
      <w:r>
        <w:rPr>
          <w:rFonts w:ascii="Times New Roman" w:hint="eastAsia"/>
        </w:rPr>
        <w:t>神经根型颈椎病</w:t>
      </w:r>
    </w:p>
    <w:p w:rsidR="003717A0" w:rsidRDefault="003717A0">
      <w:pPr>
        <w:adjustRightInd w:val="0"/>
        <w:snapToGrid w:val="0"/>
        <w:spacing w:line="360" w:lineRule="auto"/>
        <w:ind w:right="4" w:firstLineChars="200" w:firstLine="420"/>
        <w:rPr>
          <w:rFonts w:ascii="Times New Roman"/>
        </w:rPr>
      </w:pPr>
      <w:r>
        <w:rPr>
          <w:rFonts w:ascii="Times New Roman"/>
        </w:rPr>
        <w:t>10.</w:t>
      </w:r>
      <w:r>
        <w:rPr>
          <w:rFonts w:ascii="Times New Roman" w:hint="eastAsia"/>
        </w:rPr>
        <w:t>骶髂关节功能紊乱</w:t>
      </w:r>
    </w:p>
    <w:p w:rsidR="003717A0" w:rsidRDefault="003717A0">
      <w:pPr>
        <w:adjustRightInd w:val="0"/>
        <w:snapToGrid w:val="0"/>
        <w:spacing w:line="360" w:lineRule="auto"/>
        <w:ind w:right="4" w:firstLineChars="200" w:firstLine="420"/>
        <w:rPr>
          <w:rFonts w:ascii="Times New Roman"/>
        </w:rPr>
      </w:pPr>
      <w:r>
        <w:rPr>
          <w:rFonts w:ascii="Times New Roman" w:hint="eastAsia"/>
        </w:rPr>
        <w:t>二、选择题（</w:t>
      </w:r>
      <w:r>
        <w:rPr>
          <w:rFonts w:ascii="Times New Roman"/>
        </w:rPr>
        <w:t>2</w:t>
      </w:r>
      <w:r>
        <w:rPr>
          <w:rFonts w:ascii="Times New Roman" w:hint="eastAsia"/>
        </w:rPr>
        <w:t>分×</w:t>
      </w:r>
      <w:r>
        <w:rPr>
          <w:rFonts w:ascii="Times New Roman"/>
        </w:rPr>
        <w:t>20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rPr>
        <w:t xml:space="preserve">1. </w:t>
      </w:r>
      <w:r>
        <w:rPr>
          <w:rFonts w:ascii="Times New Roman" w:hint="eastAsia"/>
        </w:rPr>
        <w:t>下肢神经损伤中（</w:t>
      </w:r>
      <w:r>
        <w:rPr>
          <w:rFonts w:ascii="Times New Roman"/>
        </w:rPr>
        <w:t xml:space="preserve">  </w:t>
      </w:r>
      <w:r>
        <w:rPr>
          <w:rFonts w:ascii="Times New Roman" w:hint="eastAsia"/>
        </w:rPr>
        <w:t>）损伤最多见</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．胫神经</w:t>
      </w:r>
      <w:r>
        <w:rPr>
          <w:rFonts w:ascii="Times New Roman"/>
        </w:rPr>
        <w:t xml:space="preserve">  B</w:t>
      </w:r>
      <w:r>
        <w:rPr>
          <w:rFonts w:ascii="Times New Roman" w:hint="eastAsia"/>
        </w:rPr>
        <w:t>．坐骨神经</w:t>
      </w:r>
      <w:r>
        <w:rPr>
          <w:rFonts w:ascii="Times New Roman"/>
        </w:rPr>
        <w:t xml:space="preserve">  C</w:t>
      </w:r>
      <w:r>
        <w:rPr>
          <w:rFonts w:ascii="Times New Roman" w:hint="eastAsia"/>
        </w:rPr>
        <w:t>．腓浅神经</w:t>
      </w:r>
      <w:r>
        <w:rPr>
          <w:rFonts w:ascii="Times New Roman"/>
        </w:rPr>
        <w:t xml:space="preserve">  D</w:t>
      </w:r>
      <w:r>
        <w:rPr>
          <w:rFonts w:ascii="Times New Roman" w:hint="eastAsia"/>
        </w:rPr>
        <w:t>．腓总神经</w:t>
      </w:r>
      <w:r>
        <w:rPr>
          <w:rFonts w:ascii="Times New Roman"/>
        </w:rPr>
        <w:t xml:space="preserve">  E</w:t>
      </w:r>
      <w:r>
        <w:rPr>
          <w:rFonts w:ascii="Times New Roman" w:hint="eastAsia"/>
        </w:rPr>
        <w:t>．腓深神经</w:t>
      </w:r>
    </w:p>
    <w:p w:rsidR="003717A0" w:rsidRDefault="003717A0">
      <w:pPr>
        <w:adjustRightInd w:val="0"/>
        <w:snapToGrid w:val="0"/>
        <w:spacing w:line="360" w:lineRule="auto"/>
        <w:ind w:right="4" w:firstLineChars="200" w:firstLine="420"/>
        <w:rPr>
          <w:rFonts w:ascii="Times New Roman"/>
        </w:rPr>
      </w:pPr>
      <w:r>
        <w:rPr>
          <w:rFonts w:ascii="Times New Roman"/>
        </w:rPr>
        <w:t>2</w:t>
      </w:r>
      <w:r>
        <w:rPr>
          <w:rFonts w:ascii="Times New Roman" w:hint="eastAsia"/>
        </w:rPr>
        <w:t>、骨不连指在骨折后</w:t>
      </w:r>
      <w:r>
        <w:rPr>
          <w:rFonts w:ascii="Times New Roman"/>
        </w:rPr>
        <w:t xml:space="preserve">         </w:t>
      </w:r>
      <w:r>
        <w:rPr>
          <w:rFonts w:ascii="Times New Roman" w:hint="eastAsia"/>
        </w:rPr>
        <w:t>未愈合者</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w:t>
      </w:r>
      <w:r>
        <w:rPr>
          <w:rFonts w:ascii="Times New Roman"/>
        </w:rPr>
        <w:t>6</w:t>
      </w:r>
      <w:r>
        <w:rPr>
          <w:rFonts w:ascii="Times New Roman" w:hint="eastAsia"/>
        </w:rPr>
        <w:t>个月</w:t>
      </w:r>
      <w:r>
        <w:rPr>
          <w:rFonts w:ascii="Times New Roman"/>
        </w:rPr>
        <w:t xml:space="preserve">                  B</w:t>
      </w:r>
      <w:r>
        <w:rPr>
          <w:rFonts w:ascii="Times New Roman" w:hint="eastAsia"/>
        </w:rPr>
        <w:t>．</w:t>
      </w:r>
      <w:r>
        <w:rPr>
          <w:rFonts w:ascii="Times New Roman"/>
        </w:rPr>
        <w:t>8</w:t>
      </w:r>
      <w:r>
        <w:rPr>
          <w:rFonts w:ascii="Times New Roman" w:hint="eastAsia"/>
        </w:rPr>
        <w:t>个月</w:t>
      </w:r>
      <w:r>
        <w:rPr>
          <w:rFonts w:ascii="Times New Roman"/>
        </w:rPr>
        <w:t xml:space="preserve">           C</w:t>
      </w:r>
      <w:r>
        <w:rPr>
          <w:rFonts w:ascii="Times New Roman" w:hint="eastAsia"/>
        </w:rPr>
        <w:t>．</w:t>
      </w:r>
      <w:r>
        <w:rPr>
          <w:rFonts w:ascii="Times New Roman"/>
        </w:rPr>
        <w:t>10</w:t>
      </w:r>
      <w:r>
        <w:rPr>
          <w:rFonts w:ascii="Times New Roman" w:hint="eastAsia"/>
        </w:rPr>
        <w:t>个月</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w:t>
      </w:r>
      <w:r>
        <w:rPr>
          <w:rFonts w:ascii="Times New Roman"/>
        </w:rPr>
        <w:t>3</w:t>
      </w:r>
      <w:r>
        <w:rPr>
          <w:rFonts w:ascii="Times New Roman" w:hint="eastAsia"/>
        </w:rPr>
        <w:t>个月</w:t>
      </w:r>
      <w:r>
        <w:rPr>
          <w:rFonts w:ascii="Times New Roman"/>
        </w:rPr>
        <w:t xml:space="preserve">                  E</w:t>
      </w:r>
      <w:r>
        <w:rPr>
          <w:rFonts w:ascii="Times New Roman" w:hint="eastAsia"/>
        </w:rPr>
        <w:t>．</w:t>
      </w:r>
      <w:r>
        <w:rPr>
          <w:rFonts w:ascii="Times New Roman"/>
        </w:rPr>
        <w:t>5</w:t>
      </w:r>
      <w:r>
        <w:rPr>
          <w:rFonts w:ascii="Times New Roman" w:hint="eastAsia"/>
        </w:rPr>
        <w:t>个月</w:t>
      </w:r>
    </w:p>
    <w:p w:rsidR="003717A0" w:rsidRDefault="003717A0">
      <w:pPr>
        <w:adjustRightInd w:val="0"/>
        <w:snapToGrid w:val="0"/>
        <w:spacing w:line="360" w:lineRule="auto"/>
        <w:ind w:right="4" w:firstLineChars="200" w:firstLine="420"/>
        <w:rPr>
          <w:rFonts w:ascii="Times New Roman"/>
        </w:rPr>
      </w:pPr>
      <w:r>
        <w:rPr>
          <w:rFonts w:ascii="Times New Roman"/>
        </w:rPr>
        <w:t xml:space="preserve">3. </w:t>
      </w:r>
      <w:r>
        <w:rPr>
          <w:rFonts w:ascii="Times New Roman" w:hint="eastAsia"/>
        </w:rPr>
        <w:t>周围神经损伤感觉障碍不明显，但运动障碍很严重见于</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lastRenderedPageBreak/>
        <w:t>A</w:t>
      </w:r>
      <w:r>
        <w:rPr>
          <w:rFonts w:ascii="Times New Roman" w:hint="eastAsia"/>
        </w:rPr>
        <w:t>．肌皮神经损伤</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．腋神经损伤</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．桡神经损伤</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．尺神经损伤</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．正中神经损伤</w:t>
      </w:r>
    </w:p>
    <w:p w:rsidR="003717A0" w:rsidRDefault="003717A0">
      <w:pPr>
        <w:adjustRightInd w:val="0"/>
        <w:snapToGrid w:val="0"/>
        <w:spacing w:line="360" w:lineRule="auto"/>
        <w:ind w:right="4" w:firstLineChars="200" w:firstLine="420"/>
        <w:rPr>
          <w:rFonts w:ascii="Times New Roman"/>
        </w:rPr>
      </w:pPr>
      <w:r>
        <w:rPr>
          <w:rFonts w:ascii="Times New Roman"/>
        </w:rPr>
        <w:t xml:space="preserve">4. </w:t>
      </w:r>
      <w:r>
        <w:rPr>
          <w:rFonts w:ascii="Times New Roman" w:hint="eastAsia"/>
        </w:rPr>
        <w:t>髋关节置换术后正确上下床方式</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．下床时健腿先离床后患腿离床，上床则相反</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．下床时患腿先离床后健腿离床，上床则相反</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．双侧腿先后离床顺序均可</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．下床时健腿先离床后患腿离床，上床时与下床一样</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．下床时患腿先离床后健腿离床，上床时与下床一样</w:t>
      </w:r>
    </w:p>
    <w:p w:rsidR="003717A0" w:rsidRDefault="003717A0">
      <w:pPr>
        <w:adjustRightInd w:val="0"/>
        <w:snapToGrid w:val="0"/>
        <w:spacing w:line="360" w:lineRule="auto"/>
        <w:ind w:right="4" w:firstLineChars="200" w:firstLine="420"/>
        <w:rPr>
          <w:rFonts w:ascii="Times New Roman"/>
        </w:rPr>
      </w:pPr>
      <w:r>
        <w:rPr>
          <w:rFonts w:ascii="Times New Roman"/>
        </w:rPr>
        <w:t>5.</w:t>
      </w:r>
      <w:r>
        <w:rPr>
          <w:rFonts w:ascii="Times New Roman" w:hint="eastAsia"/>
        </w:rPr>
        <w:t>关于复杂性局部疼痛综合征描述错误的是</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．可能与交感神经系统过分活跃有关</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．下肢</w:t>
      </w:r>
      <w:r>
        <w:rPr>
          <w:rFonts w:ascii="Times New Roman"/>
        </w:rPr>
        <w:t>CRPS</w:t>
      </w:r>
      <w:r>
        <w:rPr>
          <w:rFonts w:ascii="Times New Roman" w:hint="eastAsia"/>
        </w:rPr>
        <w:t>可给予星状神经节阻滞</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．疼痛是最主要的临床表现</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．偏瘫肩手综合征的疼痛症状归属于</w:t>
      </w:r>
      <w:r>
        <w:rPr>
          <w:rFonts w:ascii="Times New Roman"/>
        </w:rPr>
        <w:t>CRPS</w:t>
      </w:r>
      <w:r>
        <w:rPr>
          <w:rFonts w:ascii="Times New Roman" w:hint="eastAsia"/>
        </w:rPr>
        <w:t>Ι型</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w:t>
      </w:r>
      <w:r>
        <w:rPr>
          <w:rFonts w:ascii="Times New Roman"/>
        </w:rPr>
        <w:t>CRPS</w:t>
      </w:r>
      <w:r>
        <w:rPr>
          <w:rFonts w:ascii="Times New Roman" w:hint="eastAsia"/>
        </w:rPr>
        <w:t>多发生于四肢</w:t>
      </w:r>
    </w:p>
    <w:p w:rsidR="003717A0" w:rsidRDefault="003717A0">
      <w:pPr>
        <w:adjustRightInd w:val="0"/>
        <w:snapToGrid w:val="0"/>
        <w:spacing w:line="360" w:lineRule="auto"/>
        <w:ind w:right="4" w:firstLineChars="200" w:firstLine="420"/>
        <w:rPr>
          <w:rFonts w:ascii="Times New Roman"/>
        </w:rPr>
      </w:pPr>
      <w:r>
        <w:rPr>
          <w:rFonts w:ascii="Times New Roman"/>
        </w:rPr>
        <w:t xml:space="preserve">6. </w:t>
      </w:r>
      <w:r>
        <w:rPr>
          <w:rFonts w:ascii="Times New Roman" w:hint="eastAsia"/>
        </w:rPr>
        <w:t>小腿截肢以（</w:t>
      </w:r>
      <w:r>
        <w:rPr>
          <w:rFonts w:ascii="Times New Roman"/>
        </w:rPr>
        <w:t xml:space="preserve">       </w:t>
      </w:r>
      <w:r>
        <w:rPr>
          <w:rFonts w:ascii="Times New Roman" w:hint="eastAsia"/>
        </w:rPr>
        <w:t>）为佳</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．中上</w:t>
      </w:r>
      <w:r>
        <w:rPr>
          <w:rFonts w:ascii="Times New Roman"/>
        </w:rPr>
        <w:t>1/3</w:t>
      </w:r>
      <w:r>
        <w:rPr>
          <w:rFonts w:ascii="Times New Roman" w:hint="eastAsia"/>
        </w:rPr>
        <w:t>交界处</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．小腿远端</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．中下</w:t>
      </w:r>
      <w:r>
        <w:rPr>
          <w:rFonts w:ascii="Times New Roman"/>
        </w:rPr>
        <w:t>1/3</w:t>
      </w:r>
      <w:r>
        <w:rPr>
          <w:rFonts w:ascii="Times New Roman" w:hint="eastAsia"/>
        </w:rPr>
        <w:t>交界处</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．小腿近端</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．膝关节处</w:t>
      </w:r>
    </w:p>
    <w:p w:rsidR="003717A0" w:rsidRDefault="003717A0">
      <w:pPr>
        <w:adjustRightInd w:val="0"/>
        <w:snapToGrid w:val="0"/>
        <w:spacing w:line="360" w:lineRule="auto"/>
        <w:ind w:right="4" w:firstLineChars="200" w:firstLine="420"/>
        <w:rPr>
          <w:rFonts w:ascii="Times New Roman"/>
        </w:rPr>
      </w:pPr>
      <w:r>
        <w:rPr>
          <w:rFonts w:ascii="Times New Roman"/>
        </w:rPr>
        <w:t xml:space="preserve">7. </w:t>
      </w:r>
      <w:r>
        <w:rPr>
          <w:rFonts w:ascii="Times New Roman" w:hint="eastAsia"/>
        </w:rPr>
        <w:t>残肢外形以</w:t>
      </w:r>
      <w:r>
        <w:rPr>
          <w:rFonts w:ascii="Times New Roman"/>
        </w:rPr>
        <w:t xml:space="preserve"> </w:t>
      </w:r>
      <w:r>
        <w:rPr>
          <w:rFonts w:ascii="Times New Roman" w:hint="eastAsia"/>
        </w:rPr>
        <w:t>（</w:t>
      </w:r>
      <w:r>
        <w:rPr>
          <w:rFonts w:ascii="Times New Roman"/>
        </w:rPr>
        <w:t xml:space="preserve">       </w:t>
      </w:r>
      <w:r>
        <w:rPr>
          <w:rFonts w:ascii="Times New Roman" w:hint="eastAsia"/>
        </w:rPr>
        <w:t>）为佳</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．圆柱状</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．圆锥状</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．三角形</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．不规则形</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．以上均可</w:t>
      </w:r>
    </w:p>
    <w:p w:rsidR="003717A0" w:rsidRDefault="003717A0">
      <w:pPr>
        <w:adjustRightInd w:val="0"/>
        <w:snapToGrid w:val="0"/>
        <w:spacing w:line="360" w:lineRule="auto"/>
        <w:ind w:right="4" w:firstLineChars="200" w:firstLine="420"/>
        <w:rPr>
          <w:rFonts w:ascii="Times New Roman"/>
        </w:rPr>
      </w:pPr>
      <w:r>
        <w:rPr>
          <w:rFonts w:ascii="Times New Roman"/>
        </w:rPr>
        <w:t xml:space="preserve">8. </w:t>
      </w:r>
      <w:r>
        <w:rPr>
          <w:rFonts w:ascii="Times New Roman" w:hint="eastAsia"/>
        </w:rPr>
        <w:t>脊柱骨折最常见部位</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 T10-L2                 B</w:t>
      </w:r>
      <w:r>
        <w:rPr>
          <w:rFonts w:ascii="Times New Roman" w:hint="eastAsia"/>
        </w:rPr>
        <w:t>．</w:t>
      </w:r>
      <w:r>
        <w:rPr>
          <w:rFonts w:ascii="Times New Roman"/>
        </w:rPr>
        <w:t>C5-C7            C</w:t>
      </w:r>
      <w:r>
        <w:rPr>
          <w:rFonts w:ascii="Times New Roman" w:hint="eastAsia"/>
        </w:rPr>
        <w:t>．</w:t>
      </w:r>
      <w:r>
        <w:rPr>
          <w:rFonts w:ascii="Times New Roman"/>
        </w:rPr>
        <w:t xml:space="preserve">T8-T10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w:t>
      </w:r>
      <w:r>
        <w:rPr>
          <w:rFonts w:ascii="Times New Roman"/>
        </w:rPr>
        <w:t>L1-L3                  E</w:t>
      </w:r>
      <w:r>
        <w:rPr>
          <w:rFonts w:ascii="Times New Roman" w:hint="eastAsia"/>
        </w:rPr>
        <w:t>．</w:t>
      </w:r>
      <w:r>
        <w:rPr>
          <w:rFonts w:ascii="Times New Roman"/>
        </w:rPr>
        <w:t xml:space="preserve">T1-T4 </w:t>
      </w:r>
    </w:p>
    <w:p w:rsidR="003717A0" w:rsidRDefault="003717A0">
      <w:pPr>
        <w:adjustRightInd w:val="0"/>
        <w:snapToGrid w:val="0"/>
        <w:spacing w:line="360" w:lineRule="auto"/>
        <w:ind w:right="4" w:firstLineChars="200" w:firstLine="420"/>
        <w:rPr>
          <w:rFonts w:ascii="Times New Roman"/>
        </w:rPr>
      </w:pPr>
      <w:r>
        <w:rPr>
          <w:rFonts w:ascii="Times New Roman"/>
        </w:rPr>
        <w:t>9.</w:t>
      </w:r>
      <w:r>
        <w:rPr>
          <w:rFonts w:ascii="Times New Roman" w:hint="eastAsia"/>
        </w:rPr>
        <w:t>拇长屈肌腱极易发生黏连的部位是</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．Ⅰ区</w:t>
      </w:r>
      <w:r>
        <w:rPr>
          <w:rFonts w:ascii="Times New Roman"/>
        </w:rPr>
        <w:t xml:space="preserve">                  B</w:t>
      </w:r>
      <w:r>
        <w:rPr>
          <w:rFonts w:ascii="Times New Roman" w:hint="eastAsia"/>
        </w:rPr>
        <w:t>．Ⅱ区</w:t>
      </w:r>
      <w:r>
        <w:rPr>
          <w:rFonts w:ascii="Times New Roman"/>
        </w:rPr>
        <w:t xml:space="preserve">             C</w:t>
      </w:r>
      <w:r>
        <w:rPr>
          <w:rFonts w:ascii="Times New Roman" w:hint="eastAsia"/>
        </w:rPr>
        <w:t>．Ⅲ区</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lastRenderedPageBreak/>
        <w:t>D</w:t>
      </w:r>
      <w:r>
        <w:rPr>
          <w:rFonts w:ascii="Times New Roman" w:hint="eastAsia"/>
        </w:rPr>
        <w:t>．</w:t>
      </w:r>
      <w:r>
        <w:rPr>
          <w:rFonts w:ascii="Times New Roman"/>
        </w:rPr>
        <w:t xml:space="preserve"> </w:t>
      </w:r>
      <w:r>
        <w:rPr>
          <w:rFonts w:ascii="Times New Roman" w:hint="eastAsia"/>
        </w:rPr>
        <w:t>Ⅳ区</w:t>
      </w:r>
      <w:r>
        <w:rPr>
          <w:rFonts w:ascii="Times New Roman"/>
        </w:rPr>
        <w:t xml:space="preserve">                 E</w:t>
      </w:r>
      <w:r>
        <w:rPr>
          <w:rFonts w:ascii="Times New Roman" w:hint="eastAsia"/>
        </w:rPr>
        <w:t>．Ⅴ区</w:t>
      </w:r>
    </w:p>
    <w:p w:rsidR="003717A0" w:rsidRDefault="003717A0">
      <w:pPr>
        <w:adjustRightInd w:val="0"/>
        <w:snapToGrid w:val="0"/>
        <w:spacing w:line="360" w:lineRule="auto"/>
        <w:ind w:right="4" w:firstLineChars="200" w:firstLine="420"/>
        <w:rPr>
          <w:rFonts w:ascii="Times New Roman"/>
        </w:rPr>
      </w:pPr>
      <w:r>
        <w:rPr>
          <w:rFonts w:ascii="Times New Roman"/>
        </w:rPr>
        <w:t>10.</w:t>
      </w:r>
      <w:r>
        <w:rPr>
          <w:rFonts w:ascii="Times New Roman" w:hint="eastAsia"/>
        </w:rPr>
        <w:t>手部骨折中常因供血差易引起骨不连的是：</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．掌骨骨折</w:t>
      </w:r>
      <w:r>
        <w:rPr>
          <w:rFonts w:ascii="Times New Roman"/>
        </w:rPr>
        <w:t xml:space="preserve">              B</w:t>
      </w:r>
      <w:r>
        <w:rPr>
          <w:rFonts w:ascii="Times New Roman" w:hint="eastAsia"/>
        </w:rPr>
        <w:t>．月骨骨折</w:t>
      </w:r>
      <w:r>
        <w:rPr>
          <w:rFonts w:ascii="Times New Roman"/>
        </w:rPr>
        <w:t xml:space="preserve">           C</w:t>
      </w:r>
      <w:r>
        <w:rPr>
          <w:rFonts w:ascii="Times New Roman" w:hint="eastAsia"/>
        </w:rPr>
        <w:t>．周骨骨折</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w:t>
      </w:r>
      <w:r>
        <w:rPr>
          <w:rFonts w:ascii="Times New Roman"/>
        </w:rPr>
        <w:t>Colle</w:t>
      </w:r>
      <w:r>
        <w:rPr>
          <w:rFonts w:ascii="Times New Roman" w:hint="eastAsia"/>
        </w:rPr>
        <w:t>’</w:t>
      </w:r>
      <w:r>
        <w:rPr>
          <w:rFonts w:ascii="Times New Roman"/>
        </w:rPr>
        <w:t>s</w:t>
      </w:r>
      <w:r>
        <w:rPr>
          <w:rFonts w:ascii="Times New Roman" w:hint="eastAsia"/>
        </w:rPr>
        <w:t>骨折</w:t>
      </w:r>
      <w:r>
        <w:rPr>
          <w:rFonts w:ascii="Times New Roman"/>
        </w:rPr>
        <w:t xml:space="preserve">          E</w:t>
      </w:r>
      <w:r>
        <w:rPr>
          <w:rFonts w:ascii="Times New Roman" w:hint="eastAsia"/>
        </w:rPr>
        <w:t>．指骨骨折</w:t>
      </w:r>
    </w:p>
    <w:p w:rsidR="003717A0" w:rsidRDefault="003717A0">
      <w:pPr>
        <w:adjustRightInd w:val="0"/>
        <w:snapToGrid w:val="0"/>
        <w:spacing w:line="360" w:lineRule="auto"/>
        <w:ind w:right="4" w:firstLineChars="200" w:firstLine="420"/>
        <w:rPr>
          <w:rFonts w:ascii="Times New Roman"/>
        </w:rPr>
      </w:pPr>
      <w:r>
        <w:rPr>
          <w:rFonts w:ascii="Times New Roman"/>
        </w:rPr>
        <w:t>11.</w:t>
      </w:r>
      <w:r>
        <w:rPr>
          <w:rFonts w:ascii="Times New Roman" w:hint="eastAsia"/>
        </w:rPr>
        <w:t>正中神经损伤时，可出现</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．拇指对掌功能受限</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．大鱼际肌萎缩</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．掌侧拇、食、中指腹皮肤感觉异常</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．环指桡侧半掌面皮肤感觉异常</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．手的精细功能受到严重影响</w:t>
      </w:r>
    </w:p>
    <w:p w:rsidR="003717A0" w:rsidRDefault="003717A0">
      <w:pPr>
        <w:adjustRightInd w:val="0"/>
        <w:snapToGrid w:val="0"/>
        <w:spacing w:line="360" w:lineRule="auto"/>
        <w:ind w:right="4" w:firstLineChars="200" w:firstLine="420"/>
        <w:rPr>
          <w:rFonts w:ascii="Times New Roman"/>
        </w:rPr>
      </w:pPr>
      <w:r>
        <w:rPr>
          <w:rFonts w:ascii="Times New Roman"/>
        </w:rPr>
        <w:t>12</w:t>
      </w:r>
      <w:r>
        <w:rPr>
          <w:rFonts w:ascii="Times New Roman" w:hint="eastAsia"/>
        </w:rPr>
        <w:t>．下列哪些属于脊髓休克的特点</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．损伤平面以下的脊髓神经功能完全消失</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．持续时间一般为数小时至数周</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．脊髓休克期间可以对损害程度作出正确的评估</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．球（海绵体）－肛门反射的出现提示脊髓休克期已经结束</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．以上均正确</w:t>
      </w:r>
    </w:p>
    <w:p w:rsidR="003717A0" w:rsidRDefault="003717A0">
      <w:pPr>
        <w:adjustRightInd w:val="0"/>
        <w:snapToGrid w:val="0"/>
        <w:spacing w:line="360" w:lineRule="auto"/>
        <w:ind w:right="4" w:firstLineChars="200" w:firstLine="420"/>
        <w:rPr>
          <w:rFonts w:ascii="Times New Roman"/>
        </w:rPr>
      </w:pPr>
      <w:r>
        <w:rPr>
          <w:rFonts w:ascii="Times New Roman"/>
        </w:rPr>
        <w:t>13.</w:t>
      </w:r>
      <w:r>
        <w:rPr>
          <w:rFonts w:ascii="Times New Roman" w:hint="eastAsia"/>
        </w:rPr>
        <w:t>关于半月板的解剖特点正确的包括</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分内、外侧两个半月板</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内侧半月板呈“</w:t>
      </w:r>
      <w:r>
        <w:rPr>
          <w:rFonts w:ascii="Times New Roman"/>
        </w:rPr>
        <w:t>C</w:t>
      </w:r>
      <w:r>
        <w:rPr>
          <w:rFonts w:ascii="Times New Roman" w:hint="eastAsia"/>
        </w:rPr>
        <w:t>”型</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外侧半月板边缘与关节囊及内侧副韧带深层相连</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外侧半月板呈“</w:t>
      </w:r>
      <w:r>
        <w:rPr>
          <w:rFonts w:ascii="Times New Roman"/>
        </w:rPr>
        <w:t>O</w:t>
      </w:r>
      <w:r>
        <w:rPr>
          <w:rFonts w:ascii="Times New Roman" w:hint="eastAsia"/>
        </w:rPr>
        <w:t>”</w:t>
      </w:r>
      <w:r>
        <w:rPr>
          <w:rFonts w:ascii="Times New Roman"/>
        </w:rPr>
        <w:t xml:space="preserve"> </w:t>
      </w:r>
      <w:r>
        <w:rPr>
          <w:rFonts w:ascii="Times New Roman" w:hint="eastAsia"/>
        </w:rPr>
        <w:t>形，</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内侧半月板与内侧副韧带是分开的</w:t>
      </w:r>
    </w:p>
    <w:p w:rsidR="003717A0" w:rsidRDefault="003717A0">
      <w:pPr>
        <w:adjustRightInd w:val="0"/>
        <w:snapToGrid w:val="0"/>
        <w:spacing w:line="360" w:lineRule="auto"/>
        <w:ind w:right="4" w:firstLineChars="200" w:firstLine="420"/>
        <w:rPr>
          <w:rFonts w:ascii="Times New Roman"/>
        </w:rPr>
      </w:pPr>
      <w:r>
        <w:rPr>
          <w:rFonts w:ascii="Times New Roman"/>
        </w:rPr>
        <w:t>14.</w:t>
      </w:r>
      <w:r>
        <w:rPr>
          <w:rFonts w:ascii="Times New Roman" w:hint="eastAsia"/>
        </w:rPr>
        <w:t>关于颈椎牵引的方法正确的包括</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常用方法为枕颌布带牵引法，通常采用坐位牵引</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如病变主要在上颈段，牵引角度宜采用</w:t>
      </w:r>
      <w:r>
        <w:rPr>
          <w:rFonts w:ascii="Times New Roman"/>
        </w:rPr>
        <w:t xml:space="preserve"> 0-10</w:t>
      </w:r>
      <w:r>
        <w:rPr>
          <w:rFonts w:ascii="Times New Roman"/>
        </w:rPr>
        <w:t>°</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如病变主要在下颈段</w:t>
      </w:r>
      <w:r>
        <w:rPr>
          <w:rFonts w:ascii="Times New Roman"/>
        </w:rPr>
        <w:t>,</w:t>
      </w:r>
      <w:r>
        <w:rPr>
          <w:rFonts w:ascii="Times New Roman" w:hint="eastAsia"/>
        </w:rPr>
        <w:t>牵引角度应稍前倾，可在</w:t>
      </w:r>
      <w:r>
        <w:rPr>
          <w:rFonts w:ascii="Times New Roman"/>
        </w:rPr>
        <w:t>30</w:t>
      </w:r>
      <w:r>
        <w:rPr>
          <w:rFonts w:ascii="Times New Roman"/>
        </w:rPr>
        <w:t>°</w:t>
      </w:r>
      <w:r>
        <w:rPr>
          <w:rFonts w:ascii="Times New Roman"/>
        </w:rPr>
        <w:t>-45</w:t>
      </w:r>
      <w:r>
        <w:rPr>
          <w:rFonts w:ascii="Times New Roman"/>
        </w:rPr>
        <w:t>°</w:t>
      </w:r>
      <w:r>
        <w:rPr>
          <w:rFonts w:ascii="Times New Roman"/>
        </w:rPr>
        <w:br/>
        <w:t>D.</w:t>
      </w:r>
      <w:r>
        <w:rPr>
          <w:rFonts w:ascii="Times New Roman" w:hint="eastAsia"/>
        </w:rPr>
        <w:t>间歇牵引的重量可以其自身体重的</w:t>
      </w:r>
      <w:r>
        <w:rPr>
          <w:rFonts w:ascii="Times New Roman"/>
        </w:rPr>
        <w:t xml:space="preserve"> 10</w:t>
      </w:r>
      <w:r>
        <w:rPr>
          <w:rFonts w:ascii="Times New Roman" w:hint="eastAsia"/>
        </w:rPr>
        <w:t>％～</w:t>
      </w:r>
      <w:r>
        <w:rPr>
          <w:rFonts w:ascii="Times New Roman"/>
        </w:rPr>
        <w:t xml:space="preserve"> 20</w:t>
      </w:r>
      <w:r>
        <w:rPr>
          <w:rFonts w:ascii="Times New Roman" w:hint="eastAsia"/>
        </w:rPr>
        <w:t>％确定</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牵引时间以连续牵引</w:t>
      </w:r>
      <w:r>
        <w:rPr>
          <w:rFonts w:ascii="Times New Roman"/>
        </w:rPr>
        <w:t xml:space="preserve"> 20 </w:t>
      </w:r>
      <w:r>
        <w:rPr>
          <w:rFonts w:ascii="Times New Roman" w:hint="eastAsia"/>
        </w:rPr>
        <w:t>分钟，间歇牵引则</w:t>
      </w:r>
      <w:r>
        <w:rPr>
          <w:rFonts w:ascii="Times New Roman"/>
        </w:rPr>
        <w:t xml:space="preserve"> 20 </w:t>
      </w:r>
      <w:r>
        <w:rPr>
          <w:rFonts w:ascii="Times New Roman" w:hint="eastAsia"/>
        </w:rPr>
        <w:t>～</w:t>
      </w:r>
      <w:r>
        <w:rPr>
          <w:rFonts w:ascii="Times New Roman"/>
        </w:rPr>
        <w:t xml:space="preserve"> 30 </w:t>
      </w:r>
      <w:r>
        <w:rPr>
          <w:rFonts w:ascii="Times New Roman" w:hint="eastAsia"/>
        </w:rPr>
        <w:t>分钟为宜，每天一次，</w:t>
      </w:r>
      <w:r>
        <w:rPr>
          <w:rFonts w:ascii="Times New Roman"/>
        </w:rPr>
        <w:t xml:space="preserve">10 </w:t>
      </w:r>
      <w:r>
        <w:rPr>
          <w:rFonts w:ascii="Times New Roman" w:hint="eastAsia"/>
        </w:rPr>
        <w:t>～</w:t>
      </w:r>
      <w:r>
        <w:rPr>
          <w:rFonts w:ascii="Times New Roman"/>
        </w:rPr>
        <w:t xml:space="preserve"> 15 </w:t>
      </w:r>
      <w:r>
        <w:rPr>
          <w:rFonts w:ascii="Times New Roman" w:hint="eastAsia"/>
        </w:rPr>
        <w:t>天为一疗程</w:t>
      </w:r>
    </w:p>
    <w:p w:rsidR="003717A0" w:rsidRDefault="003717A0">
      <w:pPr>
        <w:adjustRightInd w:val="0"/>
        <w:snapToGrid w:val="0"/>
        <w:spacing w:line="360" w:lineRule="auto"/>
        <w:ind w:right="4" w:firstLineChars="200" w:firstLine="420"/>
        <w:rPr>
          <w:rFonts w:ascii="Times New Roman"/>
        </w:rPr>
      </w:pPr>
      <w:r>
        <w:rPr>
          <w:rFonts w:ascii="Times New Roman"/>
        </w:rPr>
        <w:t>15.</w:t>
      </w:r>
      <w:r>
        <w:rPr>
          <w:rFonts w:ascii="Times New Roman" w:hint="eastAsia"/>
        </w:rPr>
        <w:t>肌腱损伤急性期的处理原则包括</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保护（</w:t>
      </w:r>
      <w:r>
        <w:rPr>
          <w:rFonts w:ascii="Times New Roman"/>
        </w:rPr>
        <w:t>protection, P</w:t>
      </w:r>
      <w:r>
        <w:rPr>
          <w:rFonts w:ascii="Times New Roman" w:hint="eastAsia"/>
        </w:rPr>
        <w:t>）</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休息（</w:t>
      </w:r>
      <w:r>
        <w:rPr>
          <w:rFonts w:ascii="Times New Roman"/>
        </w:rPr>
        <w:t>rest</w:t>
      </w:r>
      <w:r>
        <w:rPr>
          <w:rFonts w:ascii="Times New Roman" w:hint="eastAsia"/>
        </w:rPr>
        <w:t>，</w:t>
      </w:r>
      <w:r>
        <w:rPr>
          <w:rFonts w:ascii="Times New Roman"/>
        </w:rPr>
        <w:t>R</w:t>
      </w:r>
      <w:r>
        <w:rPr>
          <w:rFonts w:ascii="Times New Roman" w:hint="eastAsia"/>
        </w:rPr>
        <w:t>）</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冰敷</w:t>
      </w:r>
      <w:r>
        <w:rPr>
          <w:rFonts w:ascii="Times New Roman"/>
        </w:rPr>
        <w:t>(ice, I)</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加压（</w:t>
      </w:r>
      <w:r>
        <w:rPr>
          <w:rFonts w:ascii="Times New Roman"/>
        </w:rPr>
        <w:t>compression, C</w:t>
      </w:r>
      <w:r>
        <w:rPr>
          <w:rFonts w:ascii="Times New Roman" w:hint="eastAsia"/>
        </w:rPr>
        <w:t>）、</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lastRenderedPageBreak/>
        <w:t>E.</w:t>
      </w:r>
      <w:r>
        <w:rPr>
          <w:rFonts w:ascii="Times New Roman" w:hint="eastAsia"/>
        </w:rPr>
        <w:t>抬高患部（</w:t>
      </w:r>
      <w:r>
        <w:rPr>
          <w:rFonts w:ascii="Times New Roman"/>
        </w:rPr>
        <w:t>elevation, E</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rPr>
        <w:t xml:space="preserve">16. </w:t>
      </w:r>
      <w:r>
        <w:rPr>
          <w:rFonts w:ascii="Times New Roman" w:hint="eastAsia"/>
        </w:rPr>
        <w:t>关于腰椎间盘突出症正确的包括</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A.L4</w:t>
      </w:r>
      <w:r>
        <w:rPr>
          <w:rFonts w:ascii="Times New Roman" w:hint="eastAsia"/>
        </w:rPr>
        <w:t>～</w:t>
      </w:r>
      <w:r>
        <w:rPr>
          <w:rFonts w:ascii="Times New Roman"/>
        </w:rPr>
        <w:t>5</w:t>
      </w:r>
      <w:r>
        <w:rPr>
          <w:rFonts w:ascii="Times New Roman" w:hint="eastAsia"/>
        </w:rPr>
        <w:t>、</w:t>
      </w:r>
      <w:r>
        <w:rPr>
          <w:rFonts w:ascii="Times New Roman"/>
        </w:rPr>
        <w:t>L5</w:t>
      </w:r>
      <w:r>
        <w:rPr>
          <w:rFonts w:ascii="Times New Roman" w:hint="eastAsia"/>
        </w:rPr>
        <w:t>～</w:t>
      </w:r>
      <w:r>
        <w:rPr>
          <w:rFonts w:ascii="Times New Roman"/>
        </w:rPr>
        <w:t>S1</w:t>
      </w:r>
      <w:r>
        <w:rPr>
          <w:rFonts w:ascii="Times New Roman" w:hint="eastAsia"/>
        </w:rPr>
        <w:t>的纤维环破裂常见</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表现为腰背痛、下肢放射性神经痛</w:t>
      </w:r>
    </w:p>
    <w:p w:rsidR="003717A0" w:rsidRDefault="003717A0">
      <w:pPr>
        <w:adjustRightInd w:val="0"/>
        <w:snapToGrid w:val="0"/>
        <w:spacing w:line="360" w:lineRule="auto"/>
        <w:ind w:right="4" w:firstLineChars="200" w:firstLine="420"/>
        <w:rPr>
          <w:rFonts w:ascii="Times New Roman"/>
        </w:rPr>
      </w:pPr>
      <w:r>
        <w:rPr>
          <w:rFonts w:ascii="Times New Roman"/>
        </w:rPr>
        <w:t>C.X</w:t>
      </w:r>
      <w:r>
        <w:rPr>
          <w:rFonts w:ascii="Times New Roman" w:hint="eastAsia"/>
        </w:rPr>
        <w:t>线检查在病变的层面可显示椎间盘突出影像及硬膜囊受压。</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直腿抬高试验及加强试验阳性多见</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咳嗽、打喷嚏或腹部用力时可导致症状加重</w:t>
      </w:r>
    </w:p>
    <w:p w:rsidR="003717A0" w:rsidRDefault="003717A0">
      <w:pPr>
        <w:adjustRightInd w:val="0"/>
        <w:snapToGrid w:val="0"/>
        <w:spacing w:line="360" w:lineRule="auto"/>
        <w:ind w:right="4" w:firstLineChars="200" w:firstLine="420"/>
        <w:rPr>
          <w:rFonts w:ascii="Times New Roman"/>
        </w:rPr>
      </w:pPr>
      <w:r>
        <w:rPr>
          <w:rFonts w:ascii="Times New Roman"/>
        </w:rPr>
        <w:t>17</w:t>
      </w:r>
      <w:r>
        <w:rPr>
          <w:rFonts w:ascii="Times New Roman" w:hint="eastAsia"/>
        </w:rPr>
        <w:t>．半月板损伤症状包括</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疼痛</w:t>
      </w:r>
      <w:r>
        <w:rPr>
          <w:rFonts w:ascii="Times New Roman"/>
        </w:rPr>
        <w:t xml:space="preserve">   B.</w:t>
      </w:r>
      <w:r>
        <w:rPr>
          <w:rFonts w:ascii="Times New Roman" w:hint="eastAsia"/>
        </w:rPr>
        <w:t>关节积液</w:t>
      </w:r>
      <w:r>
        <w:rPr>
          <w:rFonts w:ascii="Times New Roman"/>
        </w:rPr>
        <w:t xml:space="preserve">   C.</w:t>
      </w:r>
      <w:r>
        <w:rPr>
          <w:rFonts w:ascii="Times New Roman" w:hint="eastAsia"/>
        </w:rPr>
        <w:t>绞锁</w:t>
      </w:r>
      <w:r>
        <w:rPr>
          <w:rFonts w:ascii="Times New Roman"/>
        </w:rPr>
        <w:t xml:space="preserve">   D.</w:t>
      </w:r>
      <w:r>
        <w:rPr>
          <w:rFonts w:ascii="Times New Roman" w:hint="eastAsia"/>
        </w:rPr>
        <w:t>关节僵硬</w:t>
      </w:r>
      <w:r>
        <w:rPr>
          <w:rFonts w:ascii="Times New Roman"/>
        </w:rPr>
        <w:t xml:space="preserve">      E.</w:t>
      </w:r>
      <w:r>
        <w:rPr>
          <w:rFonts w:ascii="Times New Roman" w:hint="eastAsia"/>
        </w:rPr>
        <w:t>弹响</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18.</w:t>
      </w:r>
      <w:r>
        <w:rPr>
          <w:rFonts w:ascii="Times New Roman" w:hint="eastAsia"/>
        </w:rPr>
        <w:t>关于膝关节前交叉韧带损伤正确的包括</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急性损伤常发生在运动创伤中</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起于股骨外侧髁的内侧，向前下方并向内侧，止于胫骨髁间隆突的前方</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浮髌试验阳性</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前抽屉试验阳性</w:t>
      </w:r>
    </w:p>
    <w:p w:rsidR="003717A0" w:rsidRDefault="003717A0">
      <w:pPr>
        <w:adjustRightInd w:val="0"/>
        <w:snapToGrid w:val="0"/>
        <w:spacing w:line="360" w:lineRule="auto"/>
        <w:ind w:right="4" w:firstLineChars="200" w:firstLine="420"/>
        <w:rPr>
          <w:rFonts w:ascii="Times New Roman"/>
        </w:rPr>
      </w:pPr>
      <w:r>
        <w:rPr>
          <w:rFonts w:ascii="Times New Roman"/>
        </w:rPr>
        <w:t>E.Lachman</w:t>
      </w:r>
      <w:r>
        <w:rPr>
          <w:rFonts w:ascii="Times New Roman" w:hint="eastAsia"/>
        </w:rPr>
        <w:t>征阳性</w:t>
      </w:r>
    </w:p>
    <w:p w:rsidR="003717A0" w:rsidRDefault="003717A0">
      <w:pPr>
        <w:adjustRightInd w:val="0"/>
        <w:snapToGrid w:val="0"/>
        <w:spacing w:line="360" w:lineRule="auto"/>
        <w:ind w:right="4" w:firstLineChars="200" w:firstLine="420"/>
        <w:rPr>
          <w:rFonts w:ascii="Times New Roman"/>
        </w:rPr>
      </w:pPr>
      <w:r>
        <w:rPr>
          <w:rFonts w:ascii="Times New Roman"/>
        </w:rPr>
        <w:t>19.</w:t>
      </w:r>
      <w:r>
        <w:rPr>
          <w:rFonts w:ascii="Times New Roman" w:hint="eastAsia"/>
        </w:rPr>
        <w:t>骨性关节炎好发部位</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髋关节</w:t>
      </w:r>
      <w:r>
        <w:rPr>
          <w:rFonts w:ascii="Times New Roman"/>
        </w:rPr>
        <w:t xml:space="preserve">   B.</w:t>
      </w:r>
      <w:r>
        <w:rPr>
          <w:rFonts w:ascii="Times New Roman" w:hint="eastAsia"/>
        </w:rPr>
        <w:t>膝关节</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腰椎</w:t>
      </w:r>
      <w:r>
        <w:rPr>
          <w:rFonts w:ascii="Times New Roman"/>
        </w:rPr>
        <w:t xml:space="preserve">     D.</w:t>
      </w:r>
      <w:r>
        <w:rPr>
          <w:rFonts w:ascii="Times New Roman" w:hint="eastAsia"/>
        </w:rPr>
        <w:t>肘关节</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手关节</w:t>
      </w:r>
    </w:p>
    <w:p w:rsidR="003717A0" w:rsidRDefault="003717A0">
      <w:pPr>
        <w:adjustRightInd w:val="0"/>
        <w:snapToGrid w:val="0"/>
        <w:spacing w:line="360" w:lineRule="auto"/>
        <w:ind w:right="4" w:firstLineChars="200" w:firstLine="420"/>
        <w:rPr>
          <w:rFonts w:ascii="Times New Roman"/>
        </w:rPr>
      </w:pPr>
      <w:r>
        <w:rPr>
          <w:rFonts w:ascii="Times New Roman"/>
        </w:rPr>
        <w:t>20.</w:t>
      </w:r>
      <w:r>
        <w:rPr>
          <w:rFonts w:ascii="Times New Roman" w:hint="eastAsia"/>
        </w:rPr>
        <w:t>软组织损伤基本病理过程</w:t>
      </w:r>
      <w:r>
        <w:rPr>
          <w:rFonts w:ascii="Times New Roman"/>
        </w:rPr>
        <w:t xml:space="preserve">     </w:t>
      </w:r>
    </w:p>
    <w:p w:rsidR="003717A0" w:rsidRDefault="003717A0">
      <w:pPr>
        <w:adjustRightInd w:val="0"/>
        <w:snapToGrid w:val="0"/>
        <w:spacing w:line="360" w:lineRule="auto"/>
        <w:ind w:right="4" w:firstLineChars="200" w:firstLine="420"/>
        <w:rPr>
          <w:rFonts w:ascii="Times New Roman"/>
        </w:rPr>
      </w:pPr>
      <w:r>
        <w:rPr>
          <w:rFonts w:ascii="Times New Roman"/>
        </w:rPr>
        <w:t>A.</w:t>
      </w:r>
      <w:r>
        <w:rPr>
          <w:rFonts w:ascii="Times New Roman" w:hint="eastAsia"/>
        </w:rPr>
        <w:t>组织损伤及出血</w:t>
      </w:r>
    </w:p>
    <w:p w:rsidR="003717A0" w:rsidRDefault="003717A0">
      <w:pPr>
        <w:adjustRightInd w:val="0"/>
        <w:snapToGrid w:val="0"/>
        <w:spacing w:line="360" w:lineRule="auto"/>
        <w:ind w:right="4" w:firstLineChars="200" w:firstLine="420"/>
        <w:rPr>
          <w:rFonts w:ascii="Times New Roman"/>
        </w:rPr>
      </w:pPr>
      <w:r>
        <w:rPr>
          <w:rFonts w:ascii="Times New Roman"/>
        </w:rPr>
        <w:t>B.</w:t>
      </w:r>
      <w:r>
        <w:rPr>
          <w:rFonts w:ascii="Times New Roman" w:hint="eastAsia"/>
        </w:rPr>
        <w:t>炎症反应及肿胀</w:t>
      </w:r>
    </w:p>
    <w:p w:rsidR="003717A0" w:rsidRDefault="003717A0">
      <w:pPr>
        <w:adjustRightInd w:val="0"/>
        <w:snapToGrid w:val="0"/>
        <w:spacing w:line="360" w:lineRule="auto"/>
        <w:ind w:right="4" w:firstLineChars="200" w:firstLine="420"/>
        <w:rPr>
          <w:rFonts w:ascii="Times New Roman"/>
        </w:rPr>
      </w:pPr>
      <w:r>
        <w:rPr>
          <w:rFonts w:ascii="Times New Roman"/>
        </w:rPr>
        <w:t>C.</w:t>
      </w:r>
      <w:r>
        <w:rPr>
          <w:rFonts w:ascii="Times New Roman" w:hint="eastAsia"/>
        </w:rPr>
        <w:t>肉芽组织机化</w:t>
      </w:r>
    </w:p>
    <w:p w:rsidR="003717A0" w:rsidRDefault="003717A0">
      <w:pPr>
        <w:adjustRightInd w:val="0"/>
        <w:snapToGrid w:val="0"/>
        <w:spacing w:line="360" w:lineRule="auto"/>
        <w:ind w:right="4" w:firstLineChars="200" w:firstLine="420"/>
        <w:rPr>
          <w:rFonts w:ascii="Times New Roman"/>
        </w:rPr>
      </w:pPr>
      <w:r>
        <w:rPr>
          <w:rFonts w:ascii="Times New Roman"/>
        </w:rPr>
        <w:t>D.</w:t>
      </w:r>
      <w:r>
        <w:rPr>
          <w:rFonts w:ascii="Times New Roman" w:hint="eastAsia"/>
        </w:rPr>
        <w:t>瘢痕形成</w:t>
      </w:r>
    </w:p>
    <w:p w:rsidR="003717A0" w:rsidRDefault="003717A0">
      <w:pPr>
        <w:adjustRightInd w:val="0"/>
        <w:snapToGrid w:val="0"/>
        <w:spacing w:line="360" w:lineRule="auto"/>
        <w:ind w:right="4" w:firstLineChars="200" w:firstLine="420"/>
        <w:rPr>
          <w:rFonts w:ascii="Times New Roman"/>
        </w:rPr>
      </w:pPr>
      <w:r>
        <w:rPr>
          <w:rFonts w:ascii="Times New Roman"/>
        </w:rPr>
        <w:t>E.</w:t>
      </w:r>
      <w:r>
        <w:rPr>
          <w:rFonts w:ascii="Times New Roman" w:hint="eastAsia"/>
        </w:rPr>
        <w:t>骨质增生</w:t>
      </w:r>
    </w:p>
    <w:p w:rsidR="003717A0" w:rsidRDefault="003717A0">
      <w:pPr>
        <w:adjustRightInd w:val="0"/>
        <w:snapToGrid w:val="0"/>
        <w:spacing w:line="360" w:lineRule="auto"/>
        <w:ind w:right="4" w:firstLineChars="200" w:firstLine="420"/>
        <w:rPr>
          <w:rFonts w:ascii="Times New Roman"/>
        </w:rPr>
      </w:pPr>
      <w:r>
        <w:rPr>
          <w:rFonts w:ascii="Times New Roman" w:hint="eastAsia"/>
        </w:rPr>
        <w:t>三、简答题（</w:t>
      </w:r>
      <w:r>
        <w:rPr>
          <w:rFonts w:ascii="Times New Roman"/>
        </w:rPr>
        <w:t>5</w:t>
      </w:r>
      <w:r>
        <w:rPr>
          <w:rFonts w:ascii="Times New Roman" w:hint="eastAsia"/>
        </w:rPr>
        <w:t>分×</w:t>
      </w:r>
      <w:r>
        <w:rPr>
          <w:rFonts w:ascii="Times New Roman"/>
        </w:rPr>
        <w:t>6</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rPr>
        <w:t>1</w:t>
      </w:r>
      <w:r>
        <w:rPr>
          <w:rFonts w:ascii="Times New Roman" w:hint="eastAsia"/>
        </w:rPr>
        <w:t>、简述股骨颈骨折术后的康复治疗</w:t>
      </w:r>
    </w:p>
    <w:p w:rsidR="003717A0" w:rsidRDefault="003717A0">
      <w:pPr>
        <w:adjustRightInd w:val="0"/>
        <w:snapToGrid w:val="0"/>
        <w:spacing w:line="360" w:lineRule="auto"/>
        <w:ind w:right="4" w:firstLineChars="200" w:firstLine="420"/>
        <w:rPr>
          <w:rFonts w:ascii="Times New Roman"/>
        </w:rPr>
      </w:pPr>
      <w:r>
        <w:rPr>
          <w:rFonts w:ascii="Times New Roman"/>
        </w:rPr>
        <w:t>2</w:t>
      </w:r>
      <w:r>
        <w:rPr>
          <w:rFonts w:ascii="Times New Roman" w:hint="eastAsia"/>
        </w:rPr>
        <w:t>、简述髋关节置换术后的关节保护技术</w:t>
      </w:r>
    </w:p>
    <w:p w:rsidR="003717A0" w:rsidRDefault="003717A0">
      <w:pPr>
        <w:adjustRightInd w:val="0"/>
        <w:snapToGrid w:val="0"/>
        <w:spacing w:line="360" w:lineRule="auto"/>
        <w:ind w:right="4" w:firstLineChars="200" w:firstLine="420"/>
        <w:rPr>
          <w:rFonts w:ascii="Times New Roman"/>
        </w:rPr>
      </w:pPr>
      <w:r>
        <w:rPr>
          <w:rFonts w:ascii="Times New Roman"/>
        </w:rPr>
        <w:t>3</w:t>
      </w:r>
      <w:r>
        <w:rPr>
          <w:rFonts w:ascii="Times New Roman" w:hint="eastAsia"/>
        </w:rPr>
        <w:t>、简述脊髓损伤后常见的并发症</w:t>
      </w:r>
    </w:p>
    <w:p w:rsidR="003717A0" w:rsidRDefault="003717A0">
      <w:pPr>
        <w:adjustRightInd w:val="0"/>
        <w:snapToGrid w:val="0"/>
        <w:spacing w:line="360" w:lineRule="auto"/>
        <w:ind w:right="4" w:firstLineChars="200" w:firstLine="420"/>
        <w:rPr>
          <w:rFonts w:ascii="Times New Roman"/>
        </w:rPr>
      </w:pPr>
      <w:r>
        <w:rPr>
          <w:rFonts w:ascii="Times New Roman"/>
        </w:rPr>
        <w:t>4</w:t>
      </w:r>
      <w:r>
        <w:rPr>
          <w:rFonts w:ascii="Times New Roman" w:hint="eastAsia"/>
        </w:rPr>
        <w:t>、简述颈椎病的分型</w:t>
      </w:r>
    </w:p>
    <w:p w:rsidR="003717A0" w:rsidRDefault="003717A0">
      <w:pPr>
        <w:adjustRightInd w:val="0"/>
        <w:snapToGrid w:val="0"/>
        <w:spacing w:line="360" w:lineRule="auto"/>
        <w:ind w:right="4" w:firstLineChars="200" w:firstLine="420"/>
        <w:rPr>
          <w:rFonts w:ascii="Times New Roman"/>
        </w:rPr>
      </w:pPr>
      <w:r>
        <w:rPr>
          <w:rFonts w:ascii="Times New Roman"/>
        </w:rPr>
        <w:t>5</w:t>
      </w:r>
      <w:r>
        <w:rPr>
          <w:rFonts w:ascii="Times New Roman" w:hint="eastAsia"/>
        </w:rPr>
        <w:t>、简述腰椎管狭窄的临床特点</w:t>
      </w:r>
    </w:p>
    <w:p w:rsidR="003717A0" w:rsidRDefault="003717A0">
      <w:pPr>
        <w:adjustRightInd w:val="0"/>
        <w:snapToGrid w:val="0"/>
        <w:spacing w:line="360" w:lineRule="auto"/>
        <w:ind w:right="4" w:firstLineChars="200" w:firstLine="420"/>
        <w:rPr>
          <w:rFonts w:ascii="Times New Roman"/>
        </w:rPr>
      </w:pPr>
      <w:r>
        <w:rPr>
          <w:rFonts w:ascii="Times New Roman"/>
        </w:rPr>
        <w:t>6</w:t>
      </w:r>
      <w:r>
        <w:rPr>
          <w:rFonts w:ascii="Times New Roman" w:hint="eastAsia"/>
        </w:rPr>
        <w:t>、简述运动创伤分期治疗原则</w:t>
      </w:r>
    </w:p>
    <w:p w:rsidR="003717A0" w:rsidRDefault="003717A0" w:rsidP="00F5156D">
      <w:pPr>
        <w:adjustRightInd w:val="0"/>
        <w:spacing w:line="360" w:lineRule="auto"/>
        <w:contextualSpacing/>
        <w:jc w:val="center"/>
        <w:rPr>
          <w:rFonts w:ascii="Times New Roman" w:eastAsia="黑体" w:hAnsi="Times New Roman"/>
          <w:kern w:val="0"/>
          <w:sz w:val="34"/>
          <w:szCs w:val="34"/>
        </w:rPr>
      </w:pPr>
      <w:r>
        <w:rPr>
          <w:rFonts w:ascii="Times New Roman" w:hAnsi="Times New Roman"/>
          <w:b/>
          <w:kern w:val="0"/>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2301"/>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24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24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246"/>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24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24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24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247"/>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699"/>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sz w:val="22"/>
              </w:rPr>
            </w:pPr>
          </w:p>
          <w:p w:rsidR="003717A0" w:rsidRDefault="003717A0">
            <w:pPr>
              <w:autoSpaceDE w:val="0"/>
              <w:autoSpaceDN w:val="0"/>
              <w:adjustRightInd w:val="0"/>
              <w:snapToGrid w:val="0"/>
              <w:spacing w:line="360" w:lineRule="auto"/>
              <w:ind w:left="420"/>
              <w:jc w:val="left"/>
              <w:rPr>
                <w:sz w:val="22"/>
              </w:rPr>
            </w:pPr>
            <w:r>
              <w:rPr>
                <w:rFonts w:hint="eastAsia"/>
                <w:sz w:val="22"/>
              </w:rPr>
              <w:t>无作业</w:t>
            </w:r>
          </w:p>
          <w:p w:rsidR="003717A0" w:rsidRDefault="003717A0">
            <w:pPr>
              <w:autoSpaceDE w:val="0"/>
              <w:autoSpaceDN w:val="0"/>
              <w:adjustRightInd w:val="0"/>
              <w:snapToGrid w:val="0"/>
              <w:spacing w:line="360" w:lineRule="auto"/>
              <w:ind w:left="420"/>
              <w:jc w:val="left"/>
              <w:rPr>
                <w:rFonts w:ascii="Times New Roman" w:hAnsi="宋体"/>
                <w:szCs w:val="21"/>
              </w:rPr>
            </w:pP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24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24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71" w:name="_Toc469312997"/>
      <w:bookmarkStart w:id="72" w:name="_Toc471830709"/>
      <w:r w:rsidRPr="00F5156D">
        <w:rPr>
          <w:rFonts w:hint="eastAsia"/>
          <w:b/>
        </w:rPr>
        <w:lastRenderedPageBreak/>
        <w:t>《精神、职业治疗》课程质量标准</w:t>
      </w:r>
      <w:bookmarkEnd w:id="71"/>
      <w:bookmarkEnd w:id="72"/>
    </w:p>
    <w:p w:rsidR="003717A0" w:rsidRPr="00F5156D" w:rsidRDefault="003717A0" w:rsidP="00F5156D">
      <w:pPr>
        <w:adjustRightInd w:val="0"/>
        <w:spacing w:line="360" w:lineRule="auto"/>
        <w:contextualSpacing/>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精神、职业治疗</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 xml:space="preserve">Spirit </w:t>
            </w:r>
            <w:r>
              <w:rPr>
                <w:rFonts w:hint="eastAsia"/>
                <w:sz w:val="22"/>
              </w:rPr>
              <w:t>、</w:t>
            </w:r>
            <w:r>
              <w:rPr>
                <w:sz w:val="22"/>
              </w:rPr>
              <w:t>Vocational  rehabilitation</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170700</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sz w:val="22"/>
              </w:rPr>
              <w:t>6</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90</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5</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□业基础课</w:t>
            </w:r>
            <w:r>
              <w:rPr>
                <w:rFonts w:ascii="宋体" w:hint="eastAsia"/>
                <w:szCs w:val="21"/>
              </w:rPr>
              <w:t>■</w:t>
            </w:r>
            <w:r>
              <w:rPr>
                <w:rFonts w:asci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康复医学科</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暂未出版</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Cs w:val="21"/>
              </w:rPr>
              <w:t>■</w:t>
            </w: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ind w:firstLineChars="150" w:firstLine="330"/>
              <w:rPr>
                <w:sz w:val="22"/>
              </w:rPr>
            </w:pPr>
            <w:r>
              <w:rPr>
                <w:rFonts w:hint="eastAsia"/>
                <w:sz w:val="22"/>
              </w:rPr>
              <w:t>沈光宇</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本科</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学士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教授</w:t>
            </w:r>
          </w:p>
        </w:tc>
        <w:tc>
          <w:tcPr>
            <w:tcW w:w="1524" w:type="dxa"/>
          </w:tcPr>
          <w:p w:rsidR="003717A0" w:rsidRDefault="003717A0">
            <w:pPr>
              <w:adjustRightInd w:val="0"/>
              <w:snapToGrid w:val="0"/>
              <w:spacing w:line="500" w:lineRule="exact"/>
              <w:ind w:firstLineChars="100" w:firstLine="220"/>
              <w:rPr>
                <w:sz w:val="22"/>
              </w:rPr>
            </w:pPr>
            <w:r>
              <w:rPr>
                <w:sz w:val="22"/>
              </w:rPr>
              <w:t>1985.06</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鞠晶昀</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2005.09</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胡玉明</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2003.09</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rPr>
              <w:t>职业康复是作业治疗学专业的一门必修课程，是康复治疗学的主要组成部分，通过本课程学习，使学生重点掌握职业康复理论与实践内容，包括职业康复概念、职业康复评估技术、职业康复训练技术、职业培训、职业指导、康复辅导、残疾管理等基本内容。本课程理论教学与实践技能操作并重，旨在提升学生对职业康复核心理念的理解以及技术应用操作能力，同时培养治疗师跨专业储备知识和技能的能力，建立全人康复的工作理念。</w:t>
            </w:r>
            <w:r>
              <w:rPr>
                <w:rFonts w:hint="eastAsia"/>
                <w:sz w:val="22"/>
              </w:rPr>
              <w:t>本课程教学的主要路径与方法：（</w:t>
            </w:r>
            <w:r>
              <w:t>1</w:t>
            </w:r>
            <w:r>
              <w:rPr>
                <w:rFonts w:hint="eastAsia"/>
              </w:rPr>
              <w:t>）课堂教学</w:t>
            </w:r>
            <w:r>
              <w:t xml:space="preserve">  </w:t>
            </w:r>
            <w:r>
              <w:rPr>
                <w:rFonts w:hint="eastAsia"/>
              </w:rPr>
              <w:t>课堂教学以大班上课为主，讲课按教学大纲进行，讲课时要做到目的明确，层次分明，讲究教学方法，</w:t>
            </w:r>
            <w:r>
              <w:rPr>
                <w:rFonts w:hint="eastAsia"/>
              </w:rPr>
              <w:lastRenderedPageBreak/>
              <w:t>充分利用图表、幻灯、录像、多媒体等教学工具。为学生讲授职业康复的理论知识和实用技术，包括职业康复评定技术、职业康复训练技术、职业培训、职业咨询和指导技术的应用。（</w:t>
            </w:r>
            <w:r>
              <w:t>2</w:t>
            </w:r>
            <w:r>
              <w:rPr>
                <w:rFonts w:hint="eastAsia"/>
              </w:rPr>
              <w:t>）实习</w:t>
            </w:r>
            <w:r>
              <w:t xml:space="preserve">  </w:t>
            </w:r>
            <w:r>
              <w:rPr>
                <w:rFonts w:hint="eastAsia"/>
              </w:rPr>
              <w:t>在实习中，选择典型病例，结合书本和临床实践，对作业治疗技术进行重点讲解，以巩固和深化课堂所讲授的知识。辅导学生在模拟或真实工作环境中，练习使用职业康复技术，了解回归工作岗位利益相关者的现实需要，提升与各利益相关者互动的技巧与能力。（</w:t>
            </w:r>
            <w:r>
              <w:t>3</w:t>
            </w:r>
            <w:r>
              <w:rPr>
                <w:rFonts w:hint="eastAsia"/>
              </w:rPr>
              <w:t>）课题研讨</w:t>
            </w:r>
            <w:r>
              <w:t xml:space="preserve"> </w:t>
            </w:r>
            <w:r>
              <w:rPr>
                <w:rFonts w:hint="eastAsia"/>
              </w:rPr>
              <w:t>职业康复实证研究的系统回顾，个案分析，强化技术与工作安置技术研究。（</w:t>
            </w:r>
            <w:r>
              <w:t>4</w:t>
            </w:r>
            <w:r>
              <w:rPr>
                <w:rFonts w:hint="eastAsia"/>
              </w:rPr>
              <w:t>）工作坊</w:t>
            </w:r>
            <w:r>
              <w:t xml:space="preserve"> </w:t>
            </w:r>
            <w:r>
              <w:rPr>
                <w:rFonts w:hint="eastAsia"/>
              </w:rPr>
              <w:t>提供与当前所学的课程内容相匹配的前瞻性主题讲座和参与式培训，扩充学生的学术视野和主动学习的能力。</w:t>
            </w:r>
          </w:p>
        </w:tc>
      </w:tr>
    </w:tbl>
    <w:p w:rsidR="003717A0" w:rsidRDefault="003717A0" w:rsidP="00F5156D">
      <w:pPr>
        <w:adjustRightInd w:val="0"/>
        <w:spacing w:line="360" w:lineRule="auto"/>
        <w:contextualSpacing/>
        <w:jc w:val="center"/>
        <w:rPr>
          <w:rFonts w:ascii="Times New Roman" w:eastAsia="黑体" w:hAnsi="Times New Roman" w:cs="Times New Roman"/>
          <w:b/>
          <w:bCs/>
          <w:kern w:val="0"/>
          <w:sz w:val="32"/>
          <w:szCs w:val="32"/>
        </w:rPr>
      </w:pPr>
    </w:p>
    <w:p w:rsidR="003717A0" w:rsidRPr="00F5156D" w:rsidRDefault="003717A0" w:rsidP="00F5156D">
      <w:pPr>
        <w:adjustRightInd w:val="0"/>
        <w:spacing w:line="360" w:lineRule="auto"/>
        <w:contextualSpacing/>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适应对象：本科层次，作业治疗学专业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rFonts w:ascii="Times New Roman" w:hAnsi="Times New Roman"/>
          <w:kern w:val="0"/>
          <w:sz w:val="22"/>
        </w:rPr>
        <w:t>170700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t>90</w:t>
      </w:r>
      <w:r>
        <w:rPr>
          <w:rFonts w:hint="eastAsia"/>
        </w:rPr>
        <w:t>（理论课</w:t>
      </w:r>
      <w:r>
        <w:t xml:space="preserve">54   </w:t>
      </w:r>
      <w:r>
        <w:rPr>
          <w:rFonts w:hint="eastAsia"/>
        </w:rPr>
        <w:t>实践课</w:t>
      </w:r>
      <w:r>
        <w:t xml:space="preserve"> 18   </w:t>
      </w:r>
      <w:r>
        <w:rPr>
          <w:rFonts w:hint="eastAsia"/>
        </w:rPr>
        <w:t>工作坊</w:t>
      </w:r>
      <w:r>
        <w:t xml:space="preserve"> 18</w:t>
      </w:r>
      <w:r>
        <w:rPr>
          <w:rFonts w:hint="eastAsia"/>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 xml:space="preserve"> 5</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先修课程：康复医学概论</w:t>
      </w:r>
      <w:r>
        <w:rPr>
          <w:rFonts w:ascii="Times New Roman" w:hAnsi="Times New Roman"/>
          <w:kern w:val="0"/>
          <w:szCs w:val="21"/>
        </w:rPr>
        <w:t xml:space="preserve"> </w:t>
      </w:r>
      <w:r>
        <w:rPr>
          <w:rFonts w:ascii="宋体" w:hint="eastAsia"/>
          <w:szCs w:val="21"/>
        </w:rPr>
        <w:t>作业治疗理论与技术</w:t>
      </w:r>
      <w:r>
        <w:rPr>
          <w:rFonts w:ascii="宋体"/>
          <w:szCs w:val="21"/>
        </w:rPr>
        <w:t xml:space="preserve"> </w:t>
      </w:r>
      <w:r>
        <w:rPr>
          <w:rFonts w:ascii="宋体" w:hint="eastAsia"/>
          <w:szCs w:val="21"/>
        </w:rPr>
        <w:t>康复评定学</w:t>
      </w:r>
      <w:r>
        <w:rPr>
          <w:rFonts w:ascii="宋体"/>
          <w:szCs w:val="21"/>
        </w:rPr>
        <w:t xml:space="preserve">  </w:t>
      </w:r>
      <w:r>
        <w:rPr>
          <w:rFonts w:ascii="宋体" w:hint="eastAsia"/>
          <w:szCs w:val="21"/>
        </w:rPr>
        <w:t>作业治疗学概论</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后续课程：康复心理学</w:t>
      </w:r>
      <w:r>
        <w:rPr>
          <w:rFonts w:ascii="Times New Roman" w:hAnsi="Times New Roman"/>
          <w:kern w:val="0"/>
          <w:sz w:val="22"/>
        </w:rPr>
        <w:t xml:space="preserve">  </w:t>
      </w:r>
      <w:r>
        <w:rPr>
          <w:rFonts w:ascii="Times New Roman" w:hAnsi="Times New Roman" w:hint="eastAsia"/>
          <w:kern w:val="0"/>
          <w:sz w:val="22"/>
        </w:rPr>
        <w:t>环境与辅助技术等其他相关的作业治疗学</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ind w:firstLineChars="250" w:firstLine="525"/>
      </w:pPr>
      <w:r>
        <w:rPr>
          <w:rFonts w:hint="eastAsia"/>
        </w:rPr>
        <w:t>职业康复是作业治疗学专业的一门必修课程，是康复治疗学的主要组成部分，通过本课程学习，使学生重点掌握职业康复理论与实践内容，包括职业康复概念、职业康复评估技术、职业康复训练技术、职业培训、职业指导、康复辅导、残疾管理等基本内容。本课程理论教学与实践技能操作并重，旨在提升学生对职业康复核心理念的理解以及技术应用操作能力，同时培养治疗师跨专业储备知识和技能的能力，建立全人康复的工作理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ind w:firstLineChars="200" w:firstLine="420"/>
        <w:jc w:val="left"/>
        <w:rPr>
          <w:sz w:val="22"/>
        </w:rPr>
      </w:pPr>
      <w:r>
        <w:rPr>
          <w:rFonts w:hint="eastAsia"/>
        </w:rPr>
        <w:t>通过本课程的学习，要求学生达到较系统的掌握职业康复的概念和相关理念，较系统的认识职业康复的相关过程，旨在提升学生对职业康复核心理念的理解以及技术应用操作能力，逐步培养学生收集资料和自主学习的能力，与人交流的能力，同时培养治疗师跨专业储备知识和技能的能力，建立全人康复的工作理念，提高学生的分析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ind w:firstLineChars="1700" w:firstLine="3584"/>
        <w:rPr>
          <w:b/>
        </w:rPr>
      </w:pPr>
      <w:r>
        <w:rPr>
          <w:rFonts w:hint="eastAsia"/>
          <w:b/>
        </w:rPr>
        <w:t>第一章</w:t>
      </w:r>
      <w:r>
        <w:rPr>
          <w:b/>
        </w:rPr>
        <w:t xml:space="preserve"> </w:t>
      </w:r>
      <w:r>
        <w:rPr>
          <w:rFonts w:hint="eastAsia"/>
          <w:b/>
        </w:rPr>
        <w:t>职业康复概述</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）职业康复概念</w:t>
      </w:r>
    </w:p>
    <w:p w:rsidR="003717A0" w:rsidRDefault="003717A0">
      <w:r>
        <w:t>2</w:t>
      </w:r>
      <w:r>
        <w:rPr>
          <w:rFonts w:hint="eastAsia"/>
        </w:rPr>
        <w:t>）职业康复内容</w:t>
      </w:r>
    </w:p>
    <w:p w:rsidR="003717A0" w:rsidRDefault="003717A0">
      <w:pPr>
        <w:spacing w:before="240"/>
      </w:pPr>
      <w:r>
        <w:t>3</w:t>
      </w:r>
      <w:r>
        <w:rPr>
          <w:rFonts w:hint="eastAsia"/>
        </w:rPr>
        <w:t>）职业康复流程与服务模式</w:t>
      </w:r>
    </w:p>
    <w:p w:rsidR="003717A0" w:rsidRDefault="003717A0">
      <w:pPr>
        <w:rPr>
          <w:b/>
        </w:rPr>
      </w:pPr>
      <w:r>
        <w:rPr>
          <w:rFonts w:hint="eastAsia"/>
          <w:b/>
        </w:rPr>
        <w:t>目的要求：</w:t>
      </w:r>
    </w:p>
    <w:p w:rsidR="003717A0" w:rsidRDefault="003717A0">
      <w:r>
        <w:t>1</w:t>
      </w:r>
      <w:r>
        <w:rPr>
          <w:rFonts w:hint="eastAsia"/>
        </w:rPr>
        <w:t>）掌握职业康复的概念</w:t>
      </w:r>
    </w:p>
    <w:p w:rsidR="003717A0" w:rsidRDefault="003717A0">
      <w:r>
        <w:t>2</w:t>
      </w:r>
      <w:r>
        <w:rPr>
          <w:rFonts w:hint="eastAsia"/>
        </w:rPr>
        <w:t>）掌握医疗康复与职业康复的关系</w:t>
      </w:r>
    </w:p>
    <w:p w:rsidR="003717A0" w:rsidRDefault="003717A0">
      <w:r>
        <w:t>3</w:t>
      </w:r>
      <w:r>
        <w:rPr>
          <w:rFonts w:hint="eastAsia"/>
        </w:rPr>
        <w:t>）了解职业康复流程与服务模式</w:t>
      </w:r>
    </w:p>
    <w:p w:rsidR="003717A0" w:rsidRDefault="003717A0"/>
    <w:p w:rsidR="003717A0" w:rsidRDefault="003717A0">
      <w:pPr>
        <w:ind w:firstLineChars="1800" w:firstLine="3795"/>
        <w:rPr>
          <w:b/>
        </w:rPr>
      </w:pPr>
      <w:r>
        <w:rPr>
          <w:rFonts w:hint="eastAsia"/>
          <w:b/>
        </w:rPr>
        <w:t>第二章</w:t>
      </w:r>
      <w:r>
        <w:rPr>
          <w:b/>
        </w:rPr>
        <w:t xml:space="preserve"> </w:t>
      </w:r>
      <w:r>
        <w:rPr>
          <w:rFonts w:hint="eastAsia"/>
          <w:b/>
        </w:rPr>
        <w:t>职业康复评估</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）职业能力评估（对与工作相关的功能因素、心理、社会、行为因素、工作因素等的评估）</w:t>
      </w:r>
    </w:p>
    <w:p w:rsidR="003717A0" w:rsidRDefault="003717A0">
      <w:r>
        <w:t>2</w:t>
      </w:r>
      <w:r>
        <w:rPr>
          <w:rFonts w:hint="eastAsia"/>
        </w:rPr>
        <w:t>）功能性能力评估</w:t>
      </w:r>
    </w:p>
    <w:p w:rsidR="003717A0" w:rsidRDefault="003717A0">
      <w:r>
        <w:t>3</w:t>
      </w:r>
      <w:r>
        <w:rPr>
          <w:rFonts w:hint="eastAsia"/>
        </w:rPr>
        <w:t>）工作分析</w:t>
      </w:r>
    </w:p>
    <w:p w:rsidR="003717A0" w:rsidRDefault="003717A0">
      <w:r>
        <w:t>4</w:t>
      </w:r>
      <w:r>
        <w:rPr>
          <w:rFonts w:hint="eastAsia"/>
        </w:rPr>
        <w:t>）工作模拟评估</w:t>
      </w:r>
    </w:p>
    <w:p w:rsidR="003717A0" w:rsidRDefault="003717A0">
      <w:r>
        <w:lastRenderedPageBreak/>
        <w:t>5</w:t>
      </w:r>
      <w:r>
        <w:rPr>
          <w:rFonts w:hint="eastAsia"/>
        </w:rPr>
        <w:t>）工作现场评估</w:t>
      </w:r>
    </w:p>
    <w:p w:rsidR="003717A0" w:rsidRDefault="003717A0">
      <w:pPr>
        <w:adjustRightInd w:val="0"/>
        <w:snapToGrid w:val="0"/>
        <w:spacing w:line="360" w:lineRule="auto"/>
        <w:ind w:right="6"/>
        <w:rPr>
          <w:rFonts w:ascii="Times New Roman" w:hAnsi="Times New Roman"/>
          <w:b/>
        </w:rPr>
      </w:pPr>
      <w:r>
        <w:rPr>
          <w:rFonts w:ascii="Times New Roman" w:hAnsi="Times New Roman" w:hint="eastAsia"/>
          <w:b/>
        </w:rPr>
        <w:t>实习内容</w:t>
      </w:r>
    </w:p>
    <w:p w:rsidR="003717A0" w:rsidRDefault="003717A0">
      <w:r>
        <w:t>1</w:t>
      </w:r>
      <w:r>
        <w:rPr>
          <w:rFonts w:hint="eastAsia"/>
        </w:rPr>
        <w:t>）工作分析</w:t>
      </w:r>
    </w:p>
    <w:p w:rsidR="003717A0" w:rsidRDefault="003717A0">
      <w:r>
        <w:t>2</w:t>
      </w:r>
      <w:r>
        <w:rPr>
          <w:rFonts w:hint="eastAsia"/>
        </w:rPr>
        <w:t>）工作模拟评估</w:t>
      </w:r>
    </w:p>
    <w:p w:rsidR="003717A0" w:rsidRDefault="003717A0">
      <w:pPr>
        <w:rPr>
          <w:rFonts w:ascii="Times New Roman" w:hAnsi="Times New Roman"/>
          <w:b/>
        </w:rPr>
      </w:pPr>
      <w:r>
        <w:rPr>
          <w:rFonts w:ascii="Times New Roman" w:hAnsi="Times New Roman" w:hint="eastAsia"/>
          <w:b/>
        </w:rPr>
        <w:t>工作坊</w:t>
      </w:r>
    </w:p>
    <w:p w:rsidR="003717A0" w:rsidRDefault="003717A0">
      <w:r>
        <w:t>1</w:t>
      </w:r>
      <w:r>
        <w:rPr>
          <w:rFonts w:hint="eastAsia"/>
        </w:rPr>
        <w:t>）工作现场评估</w:t>
      </w:r>
    </w:p>
    <w:p w:rsidR="003717A0" w:rsidRDefault="003717A0">
      <w:pPr>
        <w:adjustRightInd w:val="0"/>
        <w:snapToGrid w:val="0"/>
        <w:spacing w:line="360" w:lineRule="auto"/>
        <w:ind w:right="6"/>
        <w:rPr>
          <w:rFonts w:ascii="Times New Roman" w:hAnsi="Times New Roman"/>
          <w:b/>
        </w:rPr>
      </w:pPr>
    </w:p>
    <w:p w:rsidR="003717A0" w:rsidRDefault="003717A0">
      <w:pPr>
        <w:rPr>
          <w:b/>
        </w:rPr>
      </w:pPr>
      <w:r>
        <w:rPr>
          <w:rFonts w:hint="eastAsia"/>
          <w:b/>
        </w:rPr>
        <w:t>目的要求：</w:t>
      </w:r>
    </w:p>
    <w:p w:rsidR="003717A0" w:rsidRDefault="003717A0">
      <w:r>
        <w:t>1</w:t>
      </w:r>
      <w:r>
        <w:rPr>
          <w:rFonts w:hint="eastAsia"/>
        </w:rPr>
        <w:t>）掌握和运用职业康复评估技术和评估工具，能够对评估结果作出恰当的解释</w:t>
      </w:r>
    </w:p>
    <w:p w:rsidR="003717A0" w:rsidRDefault="003717A0">
      <w:r>
        <w:t>2</w:t>
      </w:r>
      <w:r>
        <w:rPr>
          <w:rFonts w:hint="eastAsia"/>
        </w:rPr>
        <w:t>）掌握准确评估个案的工作能力和工作需要的条件</w:t>
      </w:r>
    </w:p>
    <w:p w:rsidR="003717A0" w:rsidRDefault="003717A0">
      <w:pPr>
        <w:rPr>
          <w:b/>
        </w:rPr>
      </w:pPr>
    </w:p>
    <w:p w:rsidR="003717A0" w:rsidRDefault="003717A0">
      <w:pPr>
        <w:ind w:firstLineChars="1750" w:firstLine="3689"/>
        <w:rPr>
          <w:b/>
        </w:rPr>
      </w:pPr>
      <w:r>
        <w:rPr>
          <w:rFonts w:hint="eastAsia"/>
          <w:b/>
        </w:rPr>
        <w:t>第三章</w:t>
      </w:r>
      <w:r>
        <w:rPr>
          <w:b/>
        </w:rPr>
        <w:t xml:space="preserve"> </w:t>
      </w:r>
      <w:r>
        <w:rPr>
          <w:rFonts w:hint="eastAsia"/>
          <w:b/>
        </w:rPr>
        <w:t>职业康复训练</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）工作能力强化训练</w:t>
      </w:r>
    </w:p>
    <w:p w:rsidR="003717A0" w:rsidRDefault="003717A0">
      <w:r>
        <w:t>2</w:t>
      </w:r>
      <w:r>
        <w:rPr>
          <w:rFonts w:hint="eastAsia"/>
        </w:rPr>
        <w:t>）工作模拟训练</w:t>
      </w:r>
    </w:p>
    <w:p w:rsidR="003717A0" w:rsidRDefault="003717A0">
      <w:r>
        <w:t>3)</w:t>
      </w:r>
      <w:r>
        <w:rPr>
          <w:rFonts w:hint="eastAsia"/>
        </w:rPr>
        <w:t>工作站的设计与使用</w:t>
      </w:r>
    </w:p>
    <w:p w:rsidR="003717A0" w:rsidRDefault="003717A0">
      <w:r>
        <w:t>4)</w:t>
      </w:r>
      <w:r>
        <w:rPr>
          <w:rFonts w:hint="eastAsia"/>
        </w:rPr>
        <w:t>现场工作强化训练</w:t>
      </w:r>
    </w:p>
    <w:p w:rsidR="003717A0" w:rsidRDefault="003717A0">
      <w:r>
        <w:t>5)</w:t>
      </w:r>
      <w:r>
        <w:rPr>
          <w:rFonts w:hint="eastAsia"/>
        </w:rPr>
        <w:t>工作安置</w:t>
      </w:r>
    </w:p>
    <w:p w:rsidR="003717A0" w:rsidRDefault="003717A0">
      <w:pPr>
        <w:adjustRightInd w:val="0"/>
        <w:snapToGrid w:val="0"/>
        <w:spacing w:line="360" w:lineRule="auto"/>
        <w:ind w:right="6"/>
        <w:rPr>
          <w:rFonts w:ascii="Times New Roman" w:hAnsi="Times New Roman"/>
          <w:b/>
        </w:rPr>
      </w:pPr>
      <w:r>
        <w:rPr>
          <w:rFonts w:ascii="Times New Roman" w:hAnsi="Times New Roman" w:hint="eastAsia"/>
          <w:b/>
        </w:rPr>
        <w:t>实习内容</w:t>
      </w:r>
    </w:p>
    <w:p w:rsidR="003717A0" w:rsidRDefault="003717A0">
      <w:r>
        <w:t>1</w:t>
      </w:r>
      <w:r>
        <w:rPr>
          <w:rFonts w:hint="eastAsia"/>
        </w:rPr>
        <w:t>）工作能力强化训练</w:t>
      </w:r>
    </w:p>
    <w:p w:rsidR="003717A0" w:rsidRDefault="003717A0">
      <w:r>
        <w:t>2</w:t>
      </w:r>
      <w:r>
        <w:rPr>
          <w:rFonts w:hint="eastAsia"/>
        </w:rPr>
        <w:t>）工作模拟训练</w:t>
      </w:r>
    </w:p>
    <w:p w:rsidR="003717A0" w:rsidRDefault="003717A0">
      <w:r>
        <w:t>3</w:t>
      </w:r>
      <w:r>
        <w:rPr>
          <w:rFonts w:hint="eastAsia"/>
        </w:rPr>
        <w:t>）工作站的设计与使用</w:t>
      </w:r>
    </w:p>
    <w:p w:rsidR="003717A0" w:rsidRDefault="003717A0">
      <w:pPr>
        <w:rPr>
          <w:rFonts w:ascii="Times New Roman" w:hAnsi="Times New Roman"/>
          <w:b/>
        </w:rPr>
      </w:pPr>
      <w:r>
        <w:rPr>
          <w:rFonts w:ascii="Times New Roman" w:hAnsi="Times New Roman" w:hint="eastAsia"/>
          <w:b/>
        </w:rPr>
        <w:t>工作坊</w:t>
      </w:r>
    </w:p>
    <w:p w:rsidR="003717A0" w:rsidRDefault="003717A0">
      <w:r>
        <w:t>1</w:t>
      </w:r>
      <w:r>
        <w:rPr>
          <w:rFonts w:hint="eastAsia"/>
        </w:rPr>
        <w:t>）现场工作强化训练</w:t>
      </w:r>
    </w:p>
    <w:p w:rsidR="003717A0" w:rsidRDefault="003717A0">
      <w:pPr>
        <w:rPr>
          <w:b/>
        </w:rPr>
      </w:pPr>
      <w:r>
        <w:rPr>
          <w:rFonts w:hint="eastAsia"/>
          <w:b/>
        </w:rPr>
        <w:t>目的要求：</w:t>
      </w:r>
    </w:p>
    <w:p w:rsidR="003717A0" w:rsidRDefault="003717A0">
      <w:r>
        <w:rPr>
          <w:rFonts w:hint="eastAsia"/>
        </w:rPr>
        <w:t>掌握和运用职业康复训练技术及常用训练工具，能够为个案制度基本的工作强化训练及工作安置方案。</w:t>
      </w:r>
    </w:p>
    <w:p w:rsidR="003717A0" w:rsidRDefault="003717A0"/>
    <w:p w:rsidR="003717A0" w:rsidRDefault="003717A0">
      <w:pPr>
        <w:ind w:firstLineChars="1800" w:firstLine="3795"/>
        <w:rPr>
          <w:b/>
        </w:rPr>
      </w:pPr>
      <w:r>
        <w:rPr>
          <w:rFonts w:hint="eastAsia"/>
          <w:b/>
        </w:rPr>
        <w:t>第四章</w:t>
      </w:r>
      <w:r>
        <w:rPr>
          <w:b/>
        </w:rPr>
        <w:t xml:space="preserve"> </w:t>
      </w:r>
      <w:r>
        <w:rPr>
          <w:rFonts w:hint="eastAsia"/>
          <w:b/>
        </w:rPr>
        <w:t>职业培训</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）职业培训项目设计</w:t>
      </w:r>
    </w:p>
    <w:p w:rsidR="003717A0" w:rsidRDefault="003717A0">
      <w:r>
        <w:t>2</w:t>
      </w:r>
      <w:r>
        <w:rPr>
          <w:rFonts w:hint="eastAsia"/>
        </w:rPr>
        <w:t>）专业技能培训</w:t>
      </w:r>
    </w:p>
    <w:p w:rsidR="003717A0" w:rsidRDefault="003717A0">
      <w:r>
        <w:t>3</w:t>
      </w:r>
      <w:r>
        <w:rPr>
          <w:rFonts w:hint="eastAsia"/>
        </w:rPr>
        <w:t>）职业咨询与指导</w:t>
      </w:r>
    </w:p>
    <w:p w:rsidR="003717A0" w:rsidRDefault="003717A0">
      <w:r>
        <w:t>4</w:t>
      </w:r>
      <w:r>
        <w:rPr>
          <w:rFonts w:hint="eastAsia"/>
        </w:rPr>
        <w:t>）就业服务</w:t>
      </w:r>
    </w:p>
    <w:p w:rsidR="003717A0" w:rsidRDefault="003717A0">
      <w:pPr>
        <w:adjustRightInd w:val="0"/>
        <w:snapToGrid w:val="0"/>
        <w:spacing w:line="360" w:lineRule="auto"/>
        <w:ind w:right="6"/>
        <w:rPr>
          <w:rFonts w:ascii="Times New Roman" w:hAnsi="Times New Roman"/>
          <w:b/>
        </w:rPr>
      </w:pPr>
      <w:r>
        <w:rPr>
          <w:rFonts w:ascii="Times New Roman" w:hAnsi="Times New Roman" w:hint="eastAsia"/>
          <w:b/>
        </w:rPr>
        <w:t>实习内容</w:t>
      </w:r>
    </w:p>
    <w:p w:rsidR="003717A0" w:rsidRDefault="003717A0">
      <w:r>
        <w:t>1</w:t>
      </w:r>
      <w:r>
        <w:rPr>
          <w:rFonts w:hint="eastAsia"/>
        </w:rPr>
        <w:t>）职业培训项目设计</w:t>
      </w:r>
    </w:p>
    <w:p w:rsidR="003717A0" w:rsidRDefault="003717A0">
      <w:r>
        <w:t>2</w:t>
      </w:r>
      <w:r>
        <w:rPr>
          <w:rFonts w:hint="eastAsia"/>
        </w:rPr>
        <w:t>）专业技能培训</w:t>
      </w:r>
    </w:p>
    <w:p w:rsidR="003717A0" w:rsidRDefault="003717A0">
      <w:r>
        <w:t>3</w:t>
      </w:r>
      <w:r>
        <w:rPr>
          <w:rFonts w:hint="eastAsia"/>
        </w:rPr>
        <w:t>）职业咨询与指导</w:t>
      </w:r>
    </w:p>
    <w:p w:rsidR="003717A0" w:rsidRDefault="003717A0">
      <w:pPr>
        <w:rPr>
          <w:rFonts w:ascii="Times New Roman" w:hAnsi="Times New Roman"/>
          <w:b/>
        </w:rPr>
      </w:pPr>
      <w:r>
        <w:rPr>
          <w:rFonts w:ascii="Times New Roman" w:hAnsi="Times New Roman" w:hint="eastAsia"/>
          <w:b/>
        </w:rPr>
        <w:t>工作坊</w:t>
      </w:r>
    </w:p>
    <w:p w:rsidR="003717A0" w:rsidRDefault="003717A0">
      <w:r>
        <w:t>1</w:t>
      </w:r>
      <w:r>
        <w:rPr>
          <w:rFonts w:hint="eastAsia"/>
        </w:rPr>
        <w:t>）就业服务</w:t>
      </w:r>
    </w:p>
    <w:p w:rsidR="003717A0" w:rsidRDefault="003717A0">
      <w:pPr>
        <w:rPr>
          <w:b/>
        </w:rPr>
      </w:pPr>
      <w:r>
        <w:rPr>
          <w:rFonts w:hint="eastAsia"/>
          <w:b/>
        </w:rPr>
        <w:t>目的要求：</w:t>
      </w:r>
    </w:p>
    <w:p w:rsidR="003717A0" w:rsidRDefault="003717A0">
      <w:r>
        <w:rPr>
          <w:rFonts w:hint="eastAsia"/>
        </w:rPr>
        <w:t>掌握常见伤残疾病的职业康复原则和职业康复策略。</w:t>
      </w:r>
    </w:p>
    <w:p w:rsidR="003717A0" w:rsidRDefault="003717A0"/>
    <w:p w:rsidR="003717A0" w:rsidRDefault="003717A0">
      <w:pPr>
        <w:ind w:firstLineChars="1650" w:firstLine="3479"/>
        <w:rPr>
          <w:b/>
        </w:rPr>
      </w:pPr>
      <w:r>
        <w:rPr>
          <w:rFonts w:hint="eastAsia"/>
          <w:b/>
        </w:rPr>
        <w:lastRenderedPageBreak/>
        <w:t>第五章</w:t>
      </w:r>
      <w:r>
        <w:rPr>
          <w:b/>
        </w:rPr>
        <w:t xml:space="preserve"> </w:t>
      </w:r>
      <w:r>
        <w:rPr>
          <w:rFonts w:hint="eastAsia"/>
          <w:b/>
        </w:rPr>
        <w:t>残疾管理</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）工作场所职业健康安全管理基本概念</w:t>
      </w:r>
    </w:p>
    <w:p w:rsidR="003717A0" w:rsidRDefault="003717A0">
      <w:r>
        <w:t>2</w:t>
      </w:r>
      <w:r>
        <w:rPr>
          <w:rFonts w:hint="eastAsia"/>
        </w:rPr>
        <w:t>）与工作相关常见骨骼肌肉系统劳损的预防</w:t>
      </w:r>
    </w:p>
    <w:p w:rsidR="003717A0" w:rsidRDefault="003717A0">
      <w:r>
        <w:t>3)</w:t>
      </w:r>
      <w:r>
        <w:rPr>
          <w:rFonts w:hint="eastAsia"/>
        </w:rPr>
        <w:t>国际残疾管理经验与发展趋势</w:t>
      </w:r>
    </w:p>
    <w:p w:rsidR="003717A0" w:rsidRDefault="003717A0">
      <w:pPr>
        <w:adjustRightInd w:val="0"/>
        <w:snapToGrid w:val="0"/>
        <w:spacing w:line="360" w:lineRule="auto"/>
        <w:ind w:right="6"/>
        <w:rPr>
          <w:rFonts w:ascii="Times New Roman" w:hAnsi="Times New Roman"/>
          <w:b/>
        </w:rPr>
      </w:pPr>
      <w:r>
        <w:rPr>
          <w:rFonts w:ascii="Times New Roman" w:hAnsi="Times New Roman" w:hint="eastAsia"/>
          <w:b/>
        </w:rPr>
        <w:t>实习内容</w:t>
      </w:r>
    </w:p>
    <w:p w:rsidR="003717A0" w:rsidRDefault="003717A0">
      <w:r>
        <w:t>1</w:t>
      </w:r>
      <w:r>
        <w:rPr>
          <w:rFonts w:hint="eastAsia"/>
        </w:rPr>
        <w:t>）工作场所职业健康安全管理基本概念</w:t>
      </w:r>
    </w:p>
    <w:p w:rsidR="003717A0" w:rsidRDefault="003717A0">
      <w:pPr>
        <w:rPr>
          <w:rFonts w:ascii="Times New Roman" w:hAnsi="Times New Roman"/>
          <w:b/>
        </w:rPr>
      </w:pPr>
      <w:r>
        <w:rPr>
          <w:rFonts w:ascii="Times New Roman" w:hAnsi="Times New Roman" w:hint="eastAsia"/>
          <w:b/>
        </w:rPr>
        <w:t>工作坊</w:t>
      </w:r>
    </w:p>
    <w:p w:rsidR="003717A0" w:rsidRDefault="003717A0">
      <w:r>
        <w:t>1</w:t>
      </w:r>
      <w:r>
        <w:rPr>
          <w:rFonts w:hint="eastAsia"/>
        </w:rPr>
        <w:t>）与工作相关常见骨骼肌肉系统劳损的预防</w:t>
      </w:r>
    </w:p>
    <w:p w:rsidR="003717A0" w:rsidRDefault="003717A0">
      <w:pPr>
        <w:rPr>
          <w:b/>
        </w:rPr>
      </w:pPr>
      <w:r>
        <w:rPr>
          <w:rFonts w:hint="eastAsia"/>
          <w:b/>
        </w:rPr>
        <w:t>目的要求：</w:t>
      </w:r>
    </w:p>
    <w:p w:rsidR="003717A0" w:rsidRDefault="003717A0">
      <w:r>
        <w:rPr>
          <w:rFonts w:hint="eastAsia"/>
        </w:rPr>
        <w:t>掌握职业培训理论及技术。</w:t>
      </w:r>
    </w:p>
    <w:p w:rsidR="003717A0" w:rsidRDefault="003717A0"/>
    <w:p w:rsidR="003717A0" w:rsidRDefault="003717A0">
      <w:pPr>
        <w:ind w:firstLineChars="1200" w:firstLine="2530"/>
        <w:rPr>
          <w:b/>
        </w:rPr>
      </w:pPr>
      <w:r>
        <w:rPr>
          <w:rFonts w:hint="eastAsia"/>
          <w:b/>
        </w:rPr>
        <w:t>第六章</w:t>
      </w:r>
      <w:r>
        <w:rPr>
          <w:b/>
        </w:rPr>
        <w:t xml:space="preserve"> </w:t>
      </w:r>
      <w:r>
        <w:rPr>
          <w:rFonts w:hint="eastAsia"/>
          <w:b/>
        </w:rPr>
        <w:t>常见伤残及常见症状的职业康复方案</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）手外伤的职业康复方案</w:t>
      </w:r>
    </w:p>
    <w:p w:rsidR="003717A0" w:rsidRDefault="003717A0">
      <w:r>
        <w:t>2</w:t>
      </w:r>
      <w:r>
        <w:rPr>
          <w:rFonts w:hint="eastAsia"/>
        </w:rPr>
        <w:t>）骨创伤的职业康复方案</w:t>
      </w:r>
    </w:p>
    <w:p w:rsidR="003717A0" w:rsidRDefault="003717A0">
      <w:r>
        <w:t>3)</w:t>
      </w:r>
      <w:r>
        <w:rPr>
          <w:rFonts w:hint="eastAsia"/>
        </w:rPr>
        <w:t>烧伤的职业康复方案</w:t>
      </w:r>
    </w:p>
    <w:p w:rsidR="003717A0" w:rsidRDefault="003717A0">
      <w:r>
        <w:t>4)</w:t>
      </w:r>
      <w:r>
        <w:rPr>
          <w:rFonts w:hint="eastAsia"/>
        </w:rPr>
        <w:t>周围神经损伤的职业康复方案</w:t>
      </w:r>
    </w:p>
    <w:p w:rsidR="003717A0" w:rsidRDefault="003717A0">
      <w:r>
        <w:t>5)</w:t>
      </w:r>
      <w:r>
        <w:rPr>
          <w:rFonts w:hint="eastAsia"/>
        </w:rPr>
        <w:t>颅脑损伤的职业康复方案</w:t>
      </w:r>
    </w:p>
    <w:p w:rsidR="003717A0" w:rsidRDefault="003717A0">
      <w:r>
        <w:t>6</w:t>
      </w:r>
      <w:r>
        <w:rPr>
          <w:rFonts w:hint="eastAsia"/>
        </w:rPr>
        <w:t>）脊髓损伤的职业康复方案</w:t>
      </w:r>
    </w:p>
    <w:p w:rsidR="003717A0" w:rsidRDefault="003717A0">
      <w:r>
        <w:t>7</w:t>
      </w:r>
      <w:r>
        <w:rPr>
          <w:rFonts w:hint="eastAsia"/>
        </w:rPr>
        <w:t>）疼痛管理方案</w:t>
      </w:r>
    </w:p>
    <w:p w:rsidR="003717A0" w:rsidRDefault="003717A0">
      <w:pPr>
        <w:adjustRightInd w:val="0"/>
        <w:snapToGrid w:val="0"/>
        <w:spacing w:line="360" w:lineRule="auto"/>
        <w:ind w:right="6"/>
        <w:rPr>
          <w:rFonts w:ascii="Times New Roman" w:hAnsi="Times New Roman"/>
          <w:b/>
        </w:rPr>
      </w:pPr>
      <w:r>
        <w:rPr>
          <w:rFonts w:ascii="Times New Roman" w:hAnsi="Times New Roman" w:hint="eastAsia"/>
          <w:b/>
        </w:rPr>
        <w:t>实习内容</w:t>
      </w:r>
    </w:p>
    <w:p w:rsidR="003717A0" w:rsidRDefault="003717A0">
      <w:r>
        <w:t>1</w:t>
      </w:r>
      <w:r>
        <w:rPr>
          <w:rFonts w:hint="eastAsia"/>
        </w:rPr>
        <w:t>）手外伤的职业康复方案</w:t>
      </w:r>
    </w:p>
    <w:p w:rsidR="003717A0" w:rsidRDefault="003717A0">
      <w:r>
        <w:t>2</w:t>
      </w:r>
      <w:r>
        <w:rPr>
          <w:rFonts w:hint="eastAsia"/>
        </w:rPr>
        <w:t>）骨创伤的职业康复方案</w:t>
      </w:r>
    </w:p>
    <w:p w:rsidR="003717A0" w:rsidRDefault="003717A0">
      <w:r>
        <w:t>3)</w:t>
      </w:r>
      <w:r>
        <w:rPr>
          <w:rFonts w:hint="eastAsia"/>
        </w:rPr>
        <w:t>烧伤的职业康复方案</w:t>
      </w:r>
    </w:p>
    <w:p w:rsidR="003717A0" w:rsidRDefault="003717A0">
      <w:r>
        <w:t>4)</w:t>
      </w:r>
      <w:r>
        <w:rPr>
          <w:rFonts w:hint="eastAsia"/>
        </w:rPr>
        <w:t>周围神经损伤的职业康复方案</w:t>
      </w:r>
    </w:p>
    <w:p w:rsidR="003717A0" w:rsidRDefault="003717A0">
      <w:r>
        <w:t>5)</w:t>
      </w:r>
      <w:r>
        <w:rPr>
          <w:rFonts w:hint="eastAsia"/>
        </w:rPr>
        <w:t>颅脑损伤的职业康复方案</w:t>
      </w:r>
    </w:p>
    <w:p w:rsidR="003717A0" w:rsidRDefault="003717A0">
      <w:r>
        <w:t>6</w:t>
      </w:r>
      <w:r>
        <w:rPr>
          <w:rFonts w:hint="eastAsia"/>
        </w:rPr>
        <w:t>）脊髓损伤的职业康复方案</w:t>
      </w:r>
    </w:p>
    <w:p w:rsidR="003717A0" w:rsidRDefault="003717A0">
      <w:r>
        <w:t>7</w:t>
      </w:r>
      <w:r>
        <w:rPr>
          <w:rFonts w:hint="eastAsia"/>
        </w:rPr>
        <w:t>）疼痛管理方案</w:t>
      </w:r>
    </w:p>
    <w:p w:rsidR="003717A0" w:rsidRDefault="003717A0">
      <w:pPr>
        <w:rPr>
          <w:rFonts w:ascii="Times New Roman" w:hAnsi="Times New Roman"/>
          <w:b/>
        </w:rPr>
      </w:pPr>
      <w:r>
        <w:rPr>
          <w:rFonts w:ascii="Times New Roman" w:hAnsi="Times New Roman" w:hint="eastAsia"/>
          <w:b/>
        </w:rPr>
        <w:t>工作坊</w:t>
      </w:r>
    </w:p>
    <w:p w:rsidR="003717A0" w:rsidRDefault="003717A0">
      <w:r>
        <w:t>1</w:t>
      </w:r>
      <w:r>
        <w:rPr>
          <w:rFonts w:hint="eastAsia"/>
        </w:rPr>
        <w:t>）手外伤的职业康复方案</w:t>
      </w:r>
    </w:p>
    <w:p w:rsidR="003717A0" w:rsidRDefault="003717A0">
      <w:r>
        <w:t>2</w:t>
      </w:r>
      <w:r>
        <w:rPr>
          <w:rFonts w:hint="eastAsia"/>
        </w:rPr>
        <w:t>）骨创伤的职业康复方案</w:t>
      </w:r>
    </w:p>
    <w:p w:rsidR="003717A0" w:rsidRDefault="003717A0">
      <w:r>
        <w:t>3)</w:t>
      </w:r>
      <w:r>
        <w:rPr>
          <w:rFonts w:hint="eastAsia"/>
        </w:rPr>
        <w:t>烧伤的职业康复方案</w:t>
      </w:r>
    </w:p>
    <w:p w:rsidR="003717A0" w:rsidRDefault="003717A0">
      <w:r>
        <w:t>4)</w:t>
      </w:r>
      <w:r>
        <w:rPr>
          <w:rFonts w:hint="eastAsia"/>
        </w:rPr>
        <w:t>周围神经损伤的职业康复方案</w:t>
      </w:r>
    </w:p>
    <w:p w:rsidR="003717A0" w:rsidRDefault="003717A0">
      <w:r>
        <w:t>5)</w:t>
      </w:r>
      <w:r>
        <w:rPr>
          <w:rFonts w:hint="eastAsia"/>
        </w:rPr>
        <w:t>颅脑损伤的职业康复方案</w:t>
      </w:r>
    </w:p>
    <w:p w:rsidR="003717A0" w:rsidRDefault="003717A0">
      <w:r>
        <w:t>6</w:t>
      </w:r>
      <w:r>
        <w:rPr>
          <w:rFonts w:hint="eastAsia"/>
        </w:rPr>
        <w:t>）脊髓损伤的职业康复方案</w:t>
      </w:r>
    </w:p>
    <w:p w:rsidR="003717A0" w:rsidRDefault="003717A0">
      <w:r>
        <w:t>7</w:t>
      </w:r>
      <w:r>
        <w:rPr>
          <w:rFonts w:hint="eastAsia"/>
        </w:rPr>
        <w:t>）疼痛管理方案</w:t>
      </w:r>
    </w:p>
    <w:p w:rsidR="003717A0" w:rsidRDefault="003717A0">
      <w:pPr>
        <w:rPr>
          <w:b/>
        </w:rPr>
      </w:pPr>
      <w:r>
        <w:rPr>
          <w:rFonts w:hint="eastAsia"/>
          <w:b/>
        </w:rPr>
        <w:t>目的要求：</w:t>
      </w:r>
    </w:p>
    <w:p w:rsidR="003717A0" w:rsidRDefault="003717A0">
      <w:r>
        <w:rPr>
          <w:rFonts w:hint="eastAsia"/>
        </w:rPr>
        <w:t>掌握常见疾病的职业方案</w:t>
      </w:r>
    </w:p>
    <w:p w:rsidR="003717A0" w:rsidRDefault="003717A0"/>
    <w:p w:rsidR="003717A0" w:rsidRDefault="003717A0">
      <w:pPr>
        <w:ind w:firstLineChars="1300" w:firstLine="2741"/>
        <w:rPr>
          <w:b/>
        </w:rPr>
      </w:pPr>
      <w:r>
        <w:rPr>
          <w:rFonts w:hint="eastAsia"/>
          <w:b/>
        </w:rPr>
        <w:t>第七章</w:t>
      </w:r>
      <w:r>
        <w:rPr>
          <w:b/>
        </w:rPr>
        <w:t xml:space="preserve"> </w:t>
      </w:r>
      <w:r>
        <w:rPr>
          <w:rFonts w:hint="eastAsia"/>
          <w:b/>
        </w:rPr>
        <w:t>社会心理调适与康复辅导</w:t>
      </w:r>
    </w:p>
    <w:p w:rsidR="003717A0" w:rsidRDefault="003717A0">
      <w:pPr>
        <w:adjustRightInd w:val="0"/>
        <w:snapToGrid w:val="0"/>
        <w:spacing w:line="360" w:lineRule="auto"/>
        <w:ind w:right="6"/>
        <w:rPr>
          <w:rFonts w:ascii="Times New Roman" w:hAnsi="Times New Roman"/>
          <w:b/>
        </w:rPr>
      </w:pPr>
      <w:r>
        <w:rPr>
          <w:rFonts w:hint="eastAsia"/>
          <w:b/>
        </w:rPr>
        <w:t>教学内容：</w:t>
      </w:r>
    </w:p>
    <w:p w:rsidR="003717A0" w:rsidRDefault="003717A0">
      <w:r>
        <w:t>1</w:t>
      </w:r>
      <w:r>
        <w:rPr>
          <w:rFonts w:hint="eastAsia"/>
        </w:rPr>
        <w:t>）伤残适应调整理论与干预</w:t>
      </w:r>
    </w:p>
    <w:p w:rsidR="003717A0" w:rsidRDefault="003717A0">
      <w:r>
        <w:lastRenderedPageBreak/>
        <w:t>2</w:t>
      </w:r>
      <w:r>
        <w:rPr>
          <w:rFonts w:hint="eastAsia"/>
        </w:rPr>
        <w:t>）康复辅导基本技巧</w:t>
      </w:r>
    </w:p>
    <w:p w:rsidR="003717A0" w:rsidRDefault="003717A0">
      <w:r>
        <w:t>3)</w:t>
      </w:r>
      <w:r>
        <w:rPr>
          <w:rFonts w:hint="eastAsia"/>
        </w:rPr>
        <w:t>动机面谈技巧</w:t>
      </w:r>
    </w:p>
    <w:p w:rsidR="003717A0" w:rsidRDefault="003717A0">
      <w:pPr>
        <w:adjustRightInd w:val="0"/>
        <w:snapToGrid w:val="0"/>
        <w:spacing w:line="360" w:lineRule="auto"/>
        <w:ind w:right="6"/>
        <w:rPr>
          <w:rFonts w:ascii="Times New Roman" w:hAnsi="Times New Roman"/>
          <w:b/>
        </w:rPr>
      </w:pPr>
      <w:r>
        <w:rPr>
          <w:rFonts w:ascii="Times New Roman" w:hAnsi="Times New Roman" w:hint="eastAsia"/>
          <w:b/>
        </w:rPr>
        <w:t>实习内容</w:t>
      </w:r>
    </w:p>
    <w:p w:rsidR="003717A0" w:rsidRDefault="003717A0">
      <w:r>
        <w:t>1</w:t>
      </w:r>
      <w:r>
        <w:rPr>
          <w:rFonts w:hint="eastAsia"/>
        </w:rPr>
        <w:t>）康复辅导基本技巧</w:t>
      </w:r>
    </w:p>
    <w:p w:rsidR="003717A0" w:rsidRDefault="003717A0">
      <w:pPr>
        <w:rPr>
          <w:rFonts w:ascii="Times New Roman" w:hAnsi="Times New Roman"/>
          <w:b/>
        </w:rPr>
      </w:pPr>
      <w:r>
        <w:rPr>
          <w:rFonts w:ascii="Times New Roman" w:hAnsi="Times New Roman" w:hint="eastAsia"/>
          <w:b/>
        </w:rPr>
        <w:t>工作坊</w:t>
      </w:r>
    </w:p>
    <w:p w:rsidR="003717A0" w:rsidRDefault="003717A0">
      <w:r>
        <w:t>1</w:t>
      </w:r>
      <w:r>
        <w:rPr>
          <w:rFonts w:hint="eastAsia"/>
        </w:rPr>
        <w:t>）动机面谈技巧</w:t>
      </w:r>
    </w:p>
    <w:p w:rsidR="003717A0" w:rsidRDefault="003717A0">
      <w:pPr>
        <w:rPr>
          <w:b/>
        </w:rPr>
      </w:pPr>
      <w:r>
        <w:rPr>
          <w:rFonts w:hint="eastAsia"/>
          <w:b/>
        </w:rPr>
        <w:t>目的要求：</w:t>
      </w:r>
    </w:p>
    <w:p w:rsidR="003717A0" w:rsidRDefault="003717A0">
      <w:r>
        <w:rPr>
          <w:rFonts w:hint="eastAsia"/>
        </w:rPr>
        <w:t>熟悉伤残适应理论与康复辅导基本技术，初步理解职业康复需要跨专业整合知识与技能的要求。</w:t>
      </w:r>
    </w:p>
    <w:p w:rsidR="003717A0" w:rsidRDefault="003717A0"/>
    <w:p w:rsidR="003717A0" w:rsidRDefault="003717A0">
      <w:pPr>
        <w:jc w:val="center"/>
        <w:rPr>
          <w:b/>
          <w:sz w:val="28"/>
          <w:szCs w:val="28"/>
        </w:rPr>
      </w:pPr>
      <w:r>
        <w:rPr>
          <w:rFonts w:hint="eastAsia"/>
          <w:b/>
          <w:sz w:val="28"/>
          <w:szCs w:val="28"/>
        </w:rPr>
        <w:t>课程学时分配</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8"/>
        <w:gridCol w:w="3161"/>
        <w:gridCol w:w="1138"/>
        <w:gridCol w:w="3161"/>
        <w:gridCol w:w="1138"/>
      </w:tblGrid>
      <w:tr w:rsidR="003717A0">
        <w:trPr>
          <w:trHeight w:val="285"/>
        </w:trPr>
        <w:tc>
          <w:tcPr>
            <w:tcW w:w="688" w:type="dxa"/>
            <w:vAlign w:val="center"/>
          </w:tcPr>
          <w:p w:rsidR="003717A0" w:rsidRDefault="003717A0">
            <w:pPr>
              <w:adjustRightInd w:val="0"/>
              <w:snapToGrid w:val="0"/>
              <w:spacing w:line="360" w:lineRule="exact"/>
              <w:ind w:right="6"/>
              <w:jc w:val="center"/>
              <w:rPr>
                <w:rFonts w:ascii="Times New Roman"/>
              </w:rPr>
            </w:pPr>
            <w:r>
              <w:rPr>
                <w:rFonts w:ascii="Times New Roman" w:hint="eastAsia"/>
              </w:rPr>
              <w:t>序号</w:t>
            </w:r>
          </w:p>
        </w:tc>
        <w:tc>
          <w:tcPr>
            <w:tcW w:w="3161" w:type="dxa"/>
            <w:vAlign w:val="center"/>
          </w:tcPr>
          <w:p w:rsidR="003717A0" w:rsidRDefault="003717A0">
            <w:pPr>
              <w:adjustRightInd w:val="0"/>
              <w:snapToGrid w:val="0"/>
              <w:spacing w:line="360" w:lineRule="exact"/>
              <w:ind w:right="6"/>
              <w:jc w:val="center"/>
              <w:rPr>
                <w:rFonts w:ascii="Times New Roman"/>
              </w:rPr>
            </w:pPr>
            <w:r>
              <w:rPr>
                <w:rFonts w:ascii="Times New Roman" w:hint="eastAsia"/>
              </w:rPr>
              <w:t>理论内容</w:t>
            </w:r>
          </w:p>
        </w:tc>
        <w:tc>
          <w:tcPr>
            <w:tcW w:w="1138" w:type="dxa"/>
            <w:vAlign w:val="center"/>
          </w:tcPr>
          <w:p w:rsidR="003717A0" w:rsidRDefault="003717A0">
            <w:pPr>
              <w:adjustRightInd w:val="0"/>
              <w:snapToGrid w:val="0"/>
              <w:spacing w:line="360" w:lineRule="exact"/>
              <w:ind w:right="6"/>
              <w:jc w:val="center"/>
              <w:rPr>
                <w:rFonts w:ascii="Times New Roman"/>
              </w:rPr>
            </w:pPr>
            <w:r>
              <w:rPr>
                <w:rFonts w:ascii="Times New Roman" w:hint="eastAsia"/>
              </w:rPr>
              <w:t>理论学时</w:t>
            </w:r>
          </w:p>
        </w:tc>
        <w:tc>
          <w:tcPr>
            <w:tcW w:w="3161" w:type="dxa"/>
            <w:vAlign w:val="center"/>
          </w:tcPr>
          <w:p w:rsidR="003717A0" w:rsidRDefault="003717A0">
            <w:pPr>
              <w:adjustRightInd w:val="0"/>
              <w:snapToGrid w:val="0"/>
              <w:spacing w:line="360" w:lineRule="exact"/>
              <w:ind w:right="6"/>
              <w:jc w:val="center"/>
              <w:rPr>
                <w:rFonts w:ascii="Times New Roman"/>
              </w:rPr>
            </w:pPr>
            <w:r>
              <w:rPr>
                <w:rFonts w:ascii="Times New Roman" w:hint="eastAsia"/>
              </w:rPr>
              <w:t>见习内容</w:t>
            </w:r>
          </w:p>
        </w:tc>
        <w:tc>
          <w:tcPr>
            <w:tcW w:w="1138" w:type="dxa"/>
          </w:tcPr>
          <w:p w:rsidR="003717A0" w:rsidRDefault="003717A0">
            <w:pPr>
              <w:adjustRightInd w:val="0"/>
              <w:snapToGrid w:val="0"/>
              <w:spacing w:line="360" w:lineRule="exact"/>
              <w:ind w:right="6"/>
              <w:jc w:val="center"/>
              <w:rPr>
                <w:rFonts w:ascii="Times New Roman"/>
              </w:rPr>
            </w:pPr>
            <w:r>
              <w:rPr>
                <w:rFonts w:ascii="Times New Roman" w:hint="eastAsia"/>
              </w:rPr>
              <w:t>见习学时</w:t>
            </w:r>
          </w:p>
        </w:tc>
      </w:tr>
      <w:tr w:rsidR="003717A0">
        <w:trPr>
          <w:trHeight w:val="285"/>
        </w:trPr>
        <w:tc>
          <w:tcPr>
            <w:tcW w:w="688" w:type="dxa"/>
            <w:vAlign w:val="center"/>
          </w:tcPr>
          <w:p w:rsidR="003717A0" w:rsidRDefault="003717A0">
            <w:pPr>
              <w:jc w:val="center"/>
              <w:rPr>
                <w:rFonts w:ascii="宋体" w:cs="宋体"/>
                <w:sz w:val="24"/>
                <w:szCs w:val="24"/>
              </w:rPr>
            </w:pPr>
            <w:r>
              <w:t>1</w:t>
            </w:r>
          </w:p>
        </w:tc>
        <w:tc>
          <w:tcPr>
            <w:tcW w:w="3161" w:type="dxa"/>
            <w:vAlign w:val="center"/>
          </w:tcPr>
          <w:p w:rsidR="003717A0" w:rsidRDefault="003717A0">
            <w:pPr>
              <w:jc w:val="center"/>
              <w:rPr>
                <w:rFonts w:ascii="宋体" w:cs="宋体"/>
                <w:szCs w:val="21"/>
              </w:rPr>
            </w:pPr>
            <w:r>
              <w:rPr>
                <w:rFonts w:hint="eastAsia"/>
                <w:szCs w:val="21"/>
              </w:rPr>
              <w:t>精神分裂症作业治疗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精神分裂症作业治疗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2</w:t>
            </w:r>
          </w:p>
        </w:tc>
        <w:tc>
          <w:tcPr>
            <w:tcW w:w="3161" w:type="dxa"/>
            <w:vAlign w:val="center"/>
          </w:tcPr>
          <w:p w:rsidR="003717A0" w:rsidRDefault="003717A0">
            <w:pPr>
              <w:jc w:val="center"/>
              <w:rPr>
                <w:rFonts w:ascii="宋体" w:cs="宋体"/>
                <w:szCs w:val="21"/>
              </w:rPr>
            </w:pPr>
            <w:r>
              <w:rPr>
                <w:rFonts w:hint="eastAsia"/>
                <w:szCs w:val="21"/>
              </w:rPr>
              <w:t>抑郁性神经症作业治疗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抑郁性神经症作业治疗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3</w:t>
            </w:r>
          </w:p>
        </w:tc>
        <w:tc>
          <w:tcPr>
            <w:tcW w:w="3161" w:type="dxa"/>
            <w:vAlign w:val="center"/>
          </w:tcPr>
          <w:p w:rsidR="003717A0" w:rsidRDefault="003717A0">
            <w:pPr>
              <w:jc w:val="center"/>
              <w:rPr>
                <w:rFonts w:ascii="宋体" w:cs="宋体"/>
                <w:szCs w:val="21"/>
              </w:rPr>
            </w:pPr>
            <w:r>
              <w:rPr>
                <w:rFonts w:hint="eastAsia"/>
                <w:szCs w:val="21"/>
              </w:rPr>
              <w:t>强迫症作业治疗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强迫症作业治疗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4</w:t>
            </w:r>
          </w:p>
        </w:tc>
        <w:tc>
          <w:tcPr>
            <w:tcW w:w="3161" w:type="dxa"/>
            <w:vAlign w:val="center"/>
          </w:tcPr>
          <w:p w:rsidR="003717A0" w:rsidRDefault="003717A0">
            <w:pPr>
              <w:jc w:val="center"/>
              <w:rPr>
                <w:rFonts w:ascii="宋体" w:cs="宋体"/>
                <w:szCs w:val="21"/>
              </w:rPr>
            </w:pPr>
            <w:r>
              <w:rPr>
                <w:rFonts w:hint="eastAsia"/>
                <w:szCs w:val="21"/>
              </w:rPr>
              <w:t>失眠症作业治疗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失眠症作业治疗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5</w:t>
            </w:r>
          </w:p>
        </w:tc>
        <w:tc>
          <w:tcPr>
            <w:tcW w:w="3161" w:type="dxa"/>
            <w:vAlign w:val="center"/>
          </w:tcPr>
          <w:p w:rsidR="003717A0" w:rsidRDefault="003717A0">
            <w:pPr>
              <w:jc w:val="center"/>
              <w:rPr>
                <w:rFonts w:ascii="宋体" w:cs="宋体"/>
                <w:szCs w:val="21"/>
              </w:rPr>
            </w:pPr>
            <w:r>
              <w:rPr>
                <w:rFonts w:hint="eastAsia"/>
                <w:szCs w:val="21"/>
              </w:rPr>
              <w:t>药物依赖性精神障碍作业治疗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药物依赖性精神障碍作业治疗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6</w:t>
            </w:r>
          </w:p>
        </w:tc>
        <w:tc>
          <w:tcPr>
            <w:tcW w:w="3161" w:type="dxa"/>
            <w:vAlign w:val="center"/>
          </w:tcPr>
          <w:p w:rsidR="003717A0" w:rsidRDefault="003717A0">
            <w:pPr>
              <w:jc w:val="center"/>
              <w:rPr>
                <w:rFonts w:ascii="宋体" w:cs="宋体"/>
                <w:szCs w:val="21"/>
              </w:rPr>
            </w:pPr>
            <w:r>
              <w:rPr>
                <w:rFonts w:hint="eastAsia"/>
                <w:szCs w:val="21"/>
              </w:rPr>
              <w:t>脑器质性精神障碍作业治疗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脑器质性精神障碍作业治疗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7</w:t>
            </w:r>
          </w:p>
        </w:tc>
        <w:tc>
          <w:tcPr>
            <w:tcW w:w="3161" w:type="dxa"/>
            <w:vAlign w:val="center"/>
          </w:tcPr>
          <w:p w:rsidR="003717A0" w:rsidRDefault="003717A0">
            <w:pPr>
              <w:jc w:val="center"/>
              <w:rPr>
                <w:rFonts w:ascii="宋体" w:cs="宋体"/>
                <w:sz w:val="24"/>
                <w:szCs w:val="24"/>
              </w:rPr>
            </w:pPr>
            <w:r>
              <w:rPr>
                <w:rFonts w:hint="eastAsia"/>
              </w:rPr>
              <w:t>心因性精神障碍作业治疗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 w:val="24"/>
                <w:szCs w:val="24"/>
              </w:rPr>
            </w:pPr>
            <w:r>
              <w:rPr>
                <w:rFonts w:hint="eastAsia"/>
              </w:rPr>
              <w:t>心因性精神障碍作业治疗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8</w:t>
            </w:r>
          </w:p>
        </w:tc>
        <w:tc>
          <w:tcPr>
            <w:tcW w:w="3161" w:type="dxa"/>
            <w:vAlign w:val="center"/>
          </w:tcPr>
          <w:p w:rsidR="003717A0" w:rsidRDefault="003717A0">
            <w:pPr>
              <w:jc w:val="center"/>
              <w:rPr>
                <w:rFonts w:ascii="宋体" w:cs="宋体"/>
                <w:szCs w:val="21"/>
              </w:rPr>
            </w:pPr>
            <w:r>
              <w:rPr>
                <w:rFonts w:hint="eastAsia"/>
                <w:szCs w:val="21"/>
              </w:rPr>
              <w:t>精神发育迟滞作业治疗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精神发育迟滞作业治疗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9</w:t>
            </w:r>
          </w:p>
        </w:tc>
        <w:tc>
          <w:tcPr>
            <w:tcW w:w="3161" w:type="dxa"/>
            <w:vAlign w:val="center"/>
          </w:tcPr>
          <w:p w:rsidR="003717A0" w:rsidRDefault="003717A0">
            <w:pPr>
              <w:jc w:val="center"/>
              <w:rPr>
                <w:rFonts w:ascii="宋体" w:cs="宋体"/>
                <w:szCs w:val="21"/>
              </w:rPr>
            </w:pPr>
            <w:r>
              <w:rPr>
                <w:rFonts w:hint="eastAsia"/>
                <w:szCs w:val="21"/>
              </w:rPr>
              <w:t>躯体行为障碍作业治疗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躯体行为障碍作业治疗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10</w:t>
            </w:r>
          </w:p>
        </w:tc>
        <w:tc>
          <w:tcPr>
            <w:tcW w:w="3161" w:type="dxa"/>
            <w:vAlign w:val="center"/>
          </w:tcPr>
          <w:p w:rsidR="003717A0" w:rsidRDefault="003717A0">
            <w:pPr>
              <w:jc w:val="center"/>
              <w:rPr>
                <w:rFonts w:ascii="宋体" w:cs="宋体"/>
                <w:sz w:val="24"/>
                <w:szCs w:val="24"/>
              </w:rPr>
            </w:pPr>
            <w:r>
              <w:rPr>
                <w:rFonts w:hint="eastAsia"/>
              </w:rPr>
              <w:t>恐怖症作业治疗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 w:val="24"/>
                <w:szCs w:val="24"/>
              </w:rPr>
            </w:pPr>
            <w:r>
              <w:rPr>
                <w:rFonts w:hint="eastAsia"/>
              </w:rPr>
              <w:t>恐怖症作业治疗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11</w:t>
            </w:r>
          </w:p>
        </w:tc>
        <w:tc>
          <w:tcPr>
            <w:tcW w:w="3161" w:type="dxa"/>
            <w:vAlign w:val="center"/>
          </w:tcPr>
          <w:p w:rsidR="003717A0" w:rsidRDefault="003717A0">
            <w:pPr>
              <w:jc w:val="center"/>
              <w:rPr>
                <w:rFonts w:ascii="宋体" w:cs="宋体"/>
                <w:szCs w:val="21"/>
              </w:rPr>
            </w:pPr>
            <w:r>
              <w:rPr>
                <w:rFonts w:hint="eastAsia"/>
                <w:szCs w:val="21"/>
              </w:rPr>
              <w:t>儿童孤独症作业治疗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儿童孤独症作业治疗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12</w:t>
            </w:r>
          </w:p>
        </w:tc>
        <w:tc>
          <w:tcPr>
            <w:tcW w:w="3161" w:type="dxa"/>
            <w:vAlign w:val="center"/>
          </w:tcPr>
          <w:p w:rsidR="003717A0" w:rsidRDefault="003717A0">
            <w:pPr>
              <w:jc w:val="center"/>
              <w:rPr>
                <w:rFonts w:ascii="宋体" w:cs="宋体"/>
                <w:szCs w:val="21"/>
              </w:rPr>
            </w:pPr>
            <w:r>
              <w:rPr>
                <w:rFonts w:hint="eastAsia"/>
                <w:szCs w:val="21"/>
              </w:rPr>
              <w:t>躁狂症作业治疗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躁狂症作业治疗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13</w:t>
            </w:r>
          </w:p>
        </w:tc>
        <w:tc>
          <w:tcPr>
            <w:tcW w:w="3161" w:type="dxa"/>
            <w:vAlign w:val="center"/>
          </w:tcPr>
          <w:p w:rsidR="003717A0" w:rsidRDefault="003717A0">
            <w:pPr>
              <w:jc w:val="center"/>
              <w:rPr>
                <w:rFonts w:ascii="宋体" w:cs="宋体"/>
                <w:szCs w:val="21"/>
              </w:rPr>
            </w:pPr>
            <w:r>
              <w:rPr>
                <w:rFonts w:hint="eastAsia"/>
                <w:szCs w:val="21"/>
              </w:rPr>
              <w:t>烧伤后职业训练</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烧伤后职业训练</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14</w:t>
            </w:r>
          </w:p>
        </w:tc>
        <w:tc>
          <w:tcPr>
            <w:tcW w:w="3161" w:type="dxa"/>
            <w:vAlign w:val="center"/>
          </w:tcPr>
          <w:p w:rsidR="003717A0" w:rsidRDefault="003717A0">
            <w:pPr>
              <w:jc w:val="center"/>
              <w:rPr>
                <w:rFonts w:ascii="宋体" w:cs="宋体"/>
                <w:szCs w:val="21"/>
              </w:rPr>
            </w:pPr>
            <w:r>
              <w:rPr>
                <w:rFonts w:hint="eastAsia"/>
                <w:szCs w:val="21"/>
              </w:rPr>
              <w:t>手外伤后职业训练</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手外伤后职业训练</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15</w:t>
            </w:r>
          </w:p>
        </w:tc>
        <w:tc>
          <w:tcPr>
            <w:tcW w:w="3161" w:type="dxa"/>
            <w:vAlign w:val="center"/>
          </w:tcPr>
          <w:p w:rsidR="003717A0" w:rsidRDefault="003717A0">
            <w:pPr>
              <w:jc w:val="center"/>
              <w:rPr>
                <w:rFonts w:ascii="宋体" w:cs="宋体"/>
                <w:szCs w:val="21"/>
              </w:rPr>
            </w:pPr>
            <w:r>
              <w:rPr>
                <w:rFonts w:hint="eastAsia"/>
                <w:szCs w:val="21"/>
              </w:rPr>
              <w:t>儿童感觉失调作业治疗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儿童感觉失调作业治疗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16</w:t>
            </w:r>
          </w:p>
        </w:tc>
        <w:tc>
          <w:tcPr>
            <w:tcW w:w="3161" w:type="dxa"/>
            <w:vAlign w:val="center"/>
          </w:tcPr>
          <w:p w:rsidR="003717A0" w:rsidRDefault="003717A0">
            <w:pPr>
              <w:jc w:val="center"/>
              <w:rPr>
                <w:rFonts w:ascii="宋体" w:cs="宋体"/>
                <w:szCs w:val="21"/>
              </w:rPr>
            </w:pPr>
            <w:r>
              <w:rPr>
                <w:rFonts w:hint="eastAsia"/>
                <w:szCs w:val="21"/>
              </w:rPr>
              <w:t>截肢后作业治疗</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截肢后作业治疗</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17</w:t>
            </w:r>
          </w:p>
        </w:tc>
        <w:tc>
          <w:tcPr>
            <w:tcW w:w="3161" w:type="dxa"/>
            <w:vAlign w:val="center"/>
          </w:tcPr>
          <w:p w:rsidR="003717A0" w:rsidRDefault="003717A0">
            <w:pPr>
              <w:jc w:val="center"/>
              <w:rPr>
                <w:rFonts w:ascii="宋体" w:cs="宋体"/>
                <w:szCs w:val="21"/>
              </w:rPr>
            </w:pPr>
            <w:r>
              <w:rPr>
                <w:rFonts w:hint="eastAsia"/>
                <w:szCs w:val="21"/>
              </w:rPr>
              <w:t>就业能力评定</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就业能力评定</w:t>
            </w:r>
          </w:p>
        </w:tc>
        <w:tc>
          <w:tcPr>
            <w:tcW w:w="1138" w:type="dxa"/>
          </w:tcPr>
          <w:p w:rsidR="003717A0" w:rsidRDefault="003717A0">
            <w:pPr>
              <w:jc w:val="center"/>
            </w:pPr>
            <w:r>
              <w:rPr>
                <w:rFonts w:ascii="Times New Roman"/>
              </w:rPr>
              <w:t>2</w:t>
            </w:r>
          </w:p>
        </w:tc>
      </w:tr>
      <w:tr w:rsidR="003717A0">
        <w:trPr>
          <w:trHeight w:val="285"/>
        </w:trPr>
        <w:tc>
          <w:tcPr>
            <w:tcW w:w="688" w:type="dxa"/>
            <w:vAlign w:val="center"/>
          </w:tcPr>
          <w:p w:rsidR="003717A0" w:rsidRDefault="003717A0">
            <w:pPr>
              <w:jc w:val="center"/>
              <w:rPr>
                <w:rFonts w:ascii="宋体" w:cs="宋体"/>
                <w:sz w:val="24"/>
                <w:szCs w:val="24"/>
              </w:rPr>
            </w:pPr>
            <w:r>
              <w:t>18</w:t>
            </w:r>
          </w:p>
        </w:tc>
        <w:tc>
          <w:tcPr>
            <w:tcW w:w="3161" w:type="dxa"/>
            <w:vAlign w:val="center"/>
          </w:tcPr>
          <w:p w:rsidR="003717A0" w:rsidRDefault="003717A0">
            <w:pPr>
              <w:jc w:val="center"/>
              <w:rPr>
                <w:rFonts w:ascii="宋体" w:cs="宋体"/>
                <w:szCs w:val="21"/>
              </w:rPr>
            </w:pPr>
            <w:r>
              <w:rPr>
                <w:rFonts w:hint="eastAsia"/>
                <w:szCs w:val="21"/>
              </w:rPr>
              <w:t>辅助具应用</w:t>
            </w:r>
          </w:p>
        </w:tc>
        <w:tc>
          <w:tcPr>
            <w:tcW w:w="1138" w:type="dxa"/>
          </w:tcPr>
          <w:p w:rsidR="003717A0" w:rsidRDefault="003717A0">
            <w:pPr>
              <w:jc w:val="center"/>
            </w:pPr>
            <w:r>
              <w:rPr>
                <w:rFonts w:ascii="Times New Roman"/>
              </w:rPr>
              <w:t>3</w:t>
            </w:r>
          </w:p>
        </w:tc>
        <w:tc>
          <w:tcPr>
            <w:tcW w:w="3161" w:type="dxa"/>
            <w:vAlign w:val="center"/>
          </w:tcPr>
          <w:p w:rsidR="003717A0" w:rsidRDefault="003717A0">
            <w:pPr>
              <w:jc w:val="center"/>
              <w:rPr>
                <w:rFonts w:ascii="宋体" w:cs="宋体"/>
                <w:szCs w:val="21"/>
              </w:rPr>
            </w:pPr>
            <w:r>
              <w:rPr>
                <w:rFonts w:hint="eastAsia"/>
                <w:szCs w:val="21"/>
              </w:rPr>
              <w:t>辅助具应用</w:t>
            </w:r>
          </w:p>
        </w:tc>
        <w:tc>
          <w:tcPr>
            <w:tcW w:w="1138" w:type="dxa"/>
          </w:tcPr>
          <w:p w:rsidR="003717A0" w:rsidRDefault="003717A0">
            <w:pPr>
              <w:jc w:val="center"/>
            </w:pPr>
            <w:r>
              <w:rPr>
                <w:rFonts w:ascii="Times New Roman"/>
              </w:rPr>
              <w:t>2</w:t>
            </w:r>
          </w:p>
        </w:tc>
      </w:tr>
      <w:tr w:rsidR="003717A0">
        <w:trPr>
          <w:trHeight w:val="285"/>
        </w:trPr>
        <w:tc>
          <w:tcPr>
            <w:tcW w:w="3849" w:type="dxa"/>
            <w:gridSpan w:val="2"/>
            <w:vAlign w:val="center"/>
          </w:tcPr>
          <w:p w:rsidR="003717A0" w:rsidRDefault="003717A0">
            <w:pPr>
              <w:adjustRightInd w:val="0"/>
              <w:snapToGrid w:val="0"/>
              <w:spacing w:line="360" w:lineRule="exact"/>
              <w:ind w:right="4" w:firstLineChars="200" w:firstLine="420"/>
              <w:jc w:val="center"/>
              <w:rPr>
                <w:rFonts w:ascii="Times New Roman"/>
              </w:rPr>
            </w:pPr>
            <w:r>
              <w:rPr>
                <w:rFonts w:ascii="Times New Roman" w:hint="eastAsia"/>
              </w:rPr>
              <w:t>合计</w:t>
            </w:r>
          </w:p>
        </w:tc>
        <w:tc>
          <w:tcPr>
            <w:tcW w:w="1138" w:type="dxa"/>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54</w:t>
            </w:r>
          </w:p>
        </w:tc>
        <w:tc>
          <w:tcPr>
            <w:tcW w:w="3161" w:type="dxa"/>
            <w:vAlign w:val="center"/>
          </w:tcPr>
          <w:p w:rsidR="003717A0" w:rsidRDefault="003717A0">
            <w:pPr>
              <w:adjustRightInd w:val="0"/>
              <w:snapToGrid w:val="0"/>
              <w:spacing w:line="360" w:lineRule="exact"/>
              <w:ind w:right="4" w:firstLineChars="200" w:firstLine="420"/>
              <w:rPr>
                <w:rFonts w:ascii="Times New Roman"/>
              </w:rPr>
            </w:pPr>
          </w:p>
        </w:tc>
        <w:tc>
          <w:tcPr>
            <w:tcW w:w="1138" w:type="dxa"/>
          </w:tcPr>
          <w:p w:rsidR="003717A0" w:rsidRDefault="003717A0">
            <w:pPr>
              <w:adjustRightInd w:val="0"/>
              <w:snapToGrid w:val="0"/>
              <w:spacing w:line="360" w:lineRule="exact"/>
              <w:ind w:right="4" w:firstLineChars="200" w:firstLine="420"/>
              <w:rPr>
                <w:rFonts w:ascii="Times New Roman"/>
              </w:rPr>
            </w:pPr>
            <w:r>
              <w:rPr>
                <w:rFonts w:ascii="Times New Roman"/>
              </w:rPr>
              <w:t>36</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多媒体教室、作业疗法实验室、网络平台等；</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多媒体教学课件、模拟工作环境，实际工作环境等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r>
        <w:rPr>
          <w:rFonts w:hint="eastAsia"/>
        </w:rPr>
        <w:t>考核方式：笔试</w:t>
      </w:r>
      <w: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pStyle w:val="a7"/>
        <w:rPr>
          <w:rFonts w:ascii="宋体"/>
          <w:szCs w:val="21"/>
        </w:rPr>
      </w:pPr>
      <w:r>
        <w:rPr>
          <w:rFonts w:ascii="宋体" w:hint="eastAsia"/>
          <w:szCs w:val="21"/>
        </w:rPr>
        <w:t>教材：</w:t>
      </w:r>
      <w:r>
        <w:rPr>
          <w:rFonts w:ascii="宋体"/>
          <w:szCs w:val="21"/>
        </w:rPr>
        <w:t xml:space="preserve"> </w:t>
      </w:r>
      <w:r>
        <w:rPr>
          <w:rFonts w:ascii="宋体" w:hint="eastAsia"/>
          <w:szCs w:val="21"/>
        </w:rPr>
        <w:t>自编讲义《职业康复》</w:t>
      </w:r>
    </w:p>
    <w:p w:rsidR="003717A0" w:rsidRDefault="003717A0">
      <w:pPr>
        <w:rPr>
          <w:rFonts w:ascii="宋体"/>
          <w:szCs w:val="21"/>
        </w:rPr>
      </w:pPr>
      <w:r>
        <w:rPr>
          <w:rFonts w:ascii="宋体" w:hint="eastAsia"/>
          <w:szCs w:val="21"/>
        </w:rPr>
        <w:t>主要参考书：</w:t>
      </w:r>
    </w:p>
    <w:p w:rsidR="003717A0" w:rsidRDefault="003717A0">
      <w:r>
        <w:rPr>
          <w:rFonts w:ascii="宋体"/>
          <w:szCs w:val="21"/>
        </w:rPr>
        <w:t>1</w:t>
      </w:r>
      <w:r>
        <w:rPr>
          <w:rFonts w:hint="eastAsia"/>
        </w:rPr>
        <w:t>、闵水平</w:t>
      </w:r>
      <w:r>
        <w:t xml:space="preserve">. </w:t>
      </w:r>
      <w:r>
        <w:rPr>
          <w:rFonts w:hint="eastAsia"/>
        </w:rPr>
        <w:t>作业治疗技术</w:t>
      </w:r>
      <w:r>
        <w:t xml:space="preserve">. </w:t>
      </w:r>
      <w:r>
        <w:rPr>
          <w:rFonts w:hint="eastAsia"/>
        </w:rPr>
        <w:t>人民卫生出版社，</w:t>
      </w:r>
      <w:r>
        <w:t>2008</w:t>
      </w:r>
      <w:r>
        <w:rPr>
          <w:rFonts w:hint="eastAsia"/>
        </w:rPr>
        <w:t>年</w:t>
      </w:r>
      <w:r>
        <w:t>.</w:t>
      </w:r>
    </w:p>
    <w:p w:rsidR="003717A0" w:rsidRDefault="003717A0">
      <w:r>
        <w:lastRenderedPageBreak/>
        <w:t>2</w:t>
      </w:r>
      <w:r>
        <w:rPr>
          <w:rFonts w:hint="eastAsia"/>
        </w:rPr>
        <w:t>、南登崑，黄晓琳</w:t>
      </w:r>
      <w:r>
        <w:t xml:space="preserve">. </w:t>
      </w:r>
      <w:r>
        <w:rPr>
          <w:rFonts w:hint="eastAsia"/>
        </w:rPr>
        <w:t>实用康复医学</w:t>
      </w:r>
      <w:r>
        <w:t xml:space="preserve">. </w:t>
      </w:r>
      <w:r>
        <w:rPr>
          <w:rFonts w:hint="eastAsia"/>
        </w:rPr>
        <w:t>人民卫生出版社，</w:t>
      </w:r>
      <w:r>
        <w:t>2009</w:t>
      </w:r>
      <w:r>
        <w:rPr>
          <w:rFonts w:hint="eastAsia"/>
        </w:rPr>
        <w:t>年</w:t>
      </w:r>
      <w:r>
        <w:t>.</w:t>
      </w:r>
    </w:p>
    <w:p w:rsidR="003717A0" w:rsidRDefault="003717A0">
      <w:r>
        <w:t>3</w:t>
      </w:r>
      <w:r>
        <w:rPr>
          <w:rFonts w:hint="eastAsia"/>
        </w:rPr>
        <w:t>、窦祖林</w:t>
      </w:r>
      <w:r>
        <w:t xml:space="preserve">.  </w:t>
      </w:r>
      <w:r>
        <w:rPr>
          <w:rFonts w:hint="eastAsia"/>
        </w:rPr>
        <w:t>作业治疗学</w:t>
      </w:r>
      <w:r>
        <w:t xml:space="preserve">. </w:t>
      </w:r>
      <w:r>
        <w:rPr>
          <w:rFonts w:hint="eastAsia"/>
        </w:rPr>
        <w:t>人民卫生出版社，</w:t>
      </w:r>
      <w:r>
        <w:t xml:space="preserve"> 2008.</w:t>
      </w:r>
    </w:p>
    <w:p w:rsidR="003717A0" w:rsidRDefault="003717A0">
      <w:r>
        <w:t>4</w:t>
      </w:r>
      <w:r>
        <w:rPr>
          <w:rFonts w:hint="eastAsia"/>
        </w:rPr>
        <w:t>、王敏行</w:t>
      </w:r>
      <w:r>
        <w:t xml:space="preserve">. </w:t>
      </w:r>
      <w:r>
        <w:rPr>
          <w:rFonts w:hint="eastAsia"/>
        </w:rPr>
        <w:t>身心障碍者职业辅导评量工作手册（修订版）</w:t>
      </w:r>
      <w:r>
        <w:t xml:space="preserve"> .</w:t>
      </w:r>
      <w:r>
        <w:rPr>
          <w:rFonts w:hint="eastAsia"/>
        </w:rPr>
        <w:t>台湾劳工委员会职业训练局，</w:t>
      </w:r>
      <w:r>
        <w:t xml:space="preserve"> 1996.</w:t>
      </w:r>
    </w:p>
    <w:p w:rsidR="003717A0" w:rsidRDefault="003717A0">
      <w:r>
        <w:t>5</w:t>
      </w:r>
      <w:r>
        <w:rPr>
          <w:rFonts w:hint="eastAsia"/>
        </w:rPr>
        <w:t>、卓大宏</w:t>
      </w:r>
      <w:r>
        <w:t xml:space="preserve">. </w:t>
      </w:r>
      <w:r>
        <w:rPr>
          <w:rFonts w:hint="eastAsia"/>
        </w:rPr>
        <w:t>中国康复医学</w:t>
      </w:r>
      <w:r>
        <w:t xml:space="preserve">. </w:t>
      </w:r>
      <w:r>
        <w:rPr>
          <w:rFonts w:hint="eastAsia"/>
        </w:rPr>
        <w:t>华夏出版社</w:t>
      </w:r>
      <w:r>
        <w:t xml:space="preserve"> </w:t>
      </w:r>
      <w:r>
        <w:rPr>
          <w:rFonts w:hint="eastAsia"/>
        </w:rPr>
        <w:t>，</w:t>
      </w:r>
      <w:r>
        <w:t>2003 .</w:t>
      </w:r>
    </w:p>
    <w:p w:rsidR="003717A0" w:rsidRDefault="003717A0">
      <w:r>
        <w:t>6</w:t>
      </w:r>
      <w:r>
        <w:rPr>
          <w:rFonts w:hint="eastAsia"/>
        </w:rPr>
        <w:t>、</w:t>
      </w:r>
      <w:r>
        <w:t>Clivc Langman. Introduction to Vocational Rahabilitation Police,practices and Skill.Great Britain,2011.</w:t>
      </w:r>
    </w:p>
    <w:p w:rsidR="003717A0" w:rsidRDefault="003717A0">
      <w:pPr>
        <w:wordWrap w:val="0"/>
      </w:pPr>
      <w:r>
        <w:t>7</w:t>
      </w:r>
      <w:r>
        <w:rPr>
          <w:rFonts w:hint="eastAsia"/>
        </w:rPr>
        <w:t>、</w:t>
      </w:r>
      <w:r>
        <w:t>Stanford E.Rubin,Foundations of the Vocational Rehabilitation Process. 6</w:t>
      </w:r>
      <w:r>
        <w:rPr>
          <w:vertAlign w:val="superscript"/>
        </w:rPr>
        <w:t>th</w:t>
      </w:r>
      <w:r>
        <w:t xml:space="preserve"> ed.Pro-ed Inc,2008.</w:t>
      </w:r>
    </w:p>
    <w:p w:rsidR="003717A0" w:rsidRDefault="003717A0">
      <w:pPr>
        <w:wordWrap w:val="0"/>
      </w:pPr>
      <w:r>
        <w:t>8</w:t>
      </w:r>
      <w:r>
        <w:rPr>
          <w:rFonts w:hint="eastAsia"/>
        </w:rPr>
        <w:t>、</w:t>
      </w:r>
      <w:r>
        <w:t>U.S.Department of Labor.The revised Handbook for Analyzing Jobs.Washington.D.C:U.S.Department of Labor,Employment and Training Administration,1991.</w:t>
      </w:r>
    </w:p>
    <w:p w:rsidR="003717A0" w:rsidRDefault="003717A0">
      <w:pPr>
        <w:wordWrap w:val="0"/>
      </w:pPr>
      <w:r>
        <w:t>9</w:t>
      </w:r>
      <w:r>
        <w:rPr>
          <w:rFonts w:hint="eastAsia"/>
        </w:rPr>
        <w:t>、</w:t>
      </w:r>
      <w:r>
        <w:t>U.S.Department of Labor.Dictionary of Occupational Title.4</w:t>
      </w:r>
      <w:r>
        <w:rPr>
          <w:vertAlign w:val="superscript"/>
        </w:rPr>
        <w:t>th</w:t>
      </w:r>
      <w:r>
        <w:t xml:space="preserve"> ed.Washington.D.C.:U.S.Government printing Office,1991.</w:t>
      </w:r>
    </w:p>
    <w:p w:rsidR="003717A0" w:rsidRDefault="003717A0">
      <w:pPr>
        <w:autoSpaceDE w:val="0"/>
        <w:autoSpaceDN w:val="0"/>
        <w:adjustRightInd w:val="0"/>
        <w:ind w:leftChars="2900" w:left="6090" w:firstLineChars="150" w:firstLine="360"/>
        <w:jc w:val="left"/>
        <w:rPr>
          <w:rFonts w:ascii="黑体" w:eastAsia="黑体" w:cs="黑体"/>
          <w:kern w:val="0"/>
          <w:sz w:val="24"/>
          <w:szCs w:val="24"/>
        </w:rPr>
      </w:pPr>
    </w:p>
    <w:p w:rsidR="003717A0" w:rsidRDefault="003717A0">
      <w:pPr>
        <w:autoSpaceDE w:val="0"/>
        <w:autoSpaceDN w:val="0"/>
        <w:adjustRightInd w:val="0"/>
        <w:ind w:leftChars="2900" w:left="6090" w:firstLineChars="150" w:firstLine="360"/>
        <w:jc w:val="left"/>
        <w:rPr>
          <w:rFonts w:ascii="黑体" w:eastAsia="黑体" w:cs="黑体"/>
          <w:kern w:val="0"/>
          <w:sz w:val="24"/>
          <w:szCs w:val="24"/>
        </w:rPr>
      </w:pPr>
    </w:p>
    <w:p w:rsidR="003717A0" w:rsidRPr="00F5156D" w:rsidRDefault="003717A0" w:rsidP="00F5156D">
      <w:pPr>
        <w:autoSpaceDE w:val="0"/>
        <w:autoSpaceDN w:val="0"/>
        <w:adjustRightInd w:val="0"/>
        <w:ind w:leftChars="2900" w:left="6090" w:firstLineChars="150" w:firstLine="315"/>
        <w:jc w:val="left"/>
        <w:rPr>
          <w:rFonts w:ascii="黑体" w:eastAsia="黑体" w:cs="黑体"/>
          <w:kern w:val="0"/>
          <w:szCs w:val="21"/>
        </w:rPr>
      </w:pPr>
      <w:r w:rsidRPr="00F5156D">
        <w:rPr>
          <w:rFonts w:ascii="黑体" w:eastAsia="黑体" w:cs="黑体" w:hint="eastAsia"/>
          <w:kern w:val="0"/>
          <w:szCs w:val="21"/>
        </w:rPr>
        <w:t>制定人：鞠晶昀</w:t>
      </w:r>
    </w:p>
    <w:p w:rsidR="003717A0" w:rsidRPr="00F5156D" w:rsidRDefault="003717A0" w:rsidP="00F5156D">
      <w:pPr>
        <w:autoSpaceDE w:val="0"/>
        <w:autoSpaceDN w:val="0"/>
        <w:adjustRightInd w:val="0"/>
        <w:ind w:leftChars="2900" w:left="6090" w:firstLineChars="150" w:firstLine="315"/>
        <w:jc w:val="left"/>
        <w:rPr>
          <w:rFonts w:ascii="黑体" w:eastAsia="黑体" w:cs="黑体"/>
          <w:kern w:val="0"/>
          <w:szCs w:val="21"/>
        </w:rPr>
      </w:pPr>
      <w:r w:rsidRPr="00F5156D">
        <w:rPr>
          <w:rFonts w:ascii="黑体" w:eastAsia="黑体" w:cs="黑体" w:hint="eastAsia"/>
          <w:kern w:val="0"/>
          <w:szCs w:val="21"/>
        </w:rPr>
        <w:t>审核人：沈光宇</w:t>
      </w:r>
    </w:p>
    <w:p w:rsidR="003717A0" w:rsidRDefault="003717A0" w:rsidP="00F5156D">
      <w:pPr>
        <w:adjustRightInd w:val="0"/>
        <w:spacing w:line="360" w:lineRule="auto"/>
        <w:contextualSpacing/>
        <w:jc w:val="center"/>
        <w:rPr>
          <w:rFonts w:ascii="Times New Roman" w:hAnsi="Times New Roman"/>
          <w:sz w:val="22"/>
        </w:rPr>
      </w:pPr>
      <w:r>
        <w:rPr>
          <w:rFonts w:ascii="黑体" w:eastAsia="黑体" w:cs="黑体"/>
          <w:kern w:val="0"/>
          <w:sz w:val="24"/>
          <w:szCs w:val="24"/>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left="720" w:right="4"/>
        <w:rPr>
          <w:rFonts w:ascii="Times New Roman" w:hAnsi="Times New Roman"/>
        </w:rPr>
      </w:pPr>
      <w:r>
        <w:rPr>
          <w:rFonts w:ascii="Times New Roman" w:hAnsi="Times New Roman" w:hint="eastAsia"/>
        </w:rPr>
        <w:t>修读完本课程规定内容的作业治疗专业的本科学生；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r>
        <w:rPr>
          <w:rFonts w:hint="eastAsia"/>
        </w:rPr>
        <w:t>通过考察了解学术是否按照教学大纲的目的和要求掌握本课程的基本内容，为今后的实践加深印象。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期末闭卷理论考核和平时小组汇报形式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r>
        <w:rPr>
          <w:rFonts w:hint="eastAsia"/>
        </w:rPr>
        <w:t>考核方式：笔试</w:t>
      </w:r>
      <w: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职业康复概念，职业康复的评估，职业康复的相关训练，残疾的管理内容，各种伤残疾病的职业康复方案</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掌握职业康复的概念和评估过程及内容，掌握常见伤残及常见症状的职业康复方案，熟悉职业培训的理念及过程，熟悉社会心理的康复辅导</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职业康复课程考试试题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90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50</w:t>
      </w:r>
      <w:r>
        <w:rPr>
          <w:rFonts w:ascii="Times New Roman" w:hAnsi="Times New Roman" w:hint="eastAsia"/>
          <w:b/>
          <w:kern w:val="0"/>
          <w:sz w:val="22"/>
        </w:rPr>
        <w:t>分</w:t>
      </w:r>
    </w:p>
    <w:p w:rsidR="003717A0" w:rsidRDefault="003717A0">
      <w:pPr>
        <w:widowControl/>
        <w:adjustRightInd w:val="0"/>
        <w:snapToGrid w:val="0"/>
        <w:spacing w:line="440" w:lineRule="exact"/>
        <w:ind w:firstLineChars="162" w:firstLine="358"/>
        <w:rPr>
          <w:rFonts w:ascii="Times New Roman" w:hAnsi="Times New Roman"/>
          <w:b/>
          <w:kern w:val="0"/>
          <w:sz w:val="22"/>
        </w:rPr>
      </w:pPr>
      <w:r>
        <w:rPr>
          <w:rFonts w:ascii="Times New Roman" w:hAnsi="Times New Roman" w:hint="eastAsia"/>
          <w:b/>
          <w:kern w:val="0"/>
          <w:sz w:val="22"/>
        </w:rPr>
        <w:t>一、</w:t>
      </w:r>
      <w:r>
        <w:rPr>
          <w:rFonts w:ascii="Times New Roman" w:hAnsi="Times New Roman"/>
          <w:b/>
          <w:kern w:val="0"/>
          <w:sz w:val="22"/>
        </w:rPr>
        <w:tab/>
      </w:r>
      <w:r>
        <w:rPr>
          <w:rFonts w:ascii="Times New Roman" w:hAnsi="Times New Roman" w:hint="eastAsia"/>
          <w:b/>
          <w:kern w:val="0"/>
          <w:sz w:val="22"/>
        </w:rPr>
        <w:t>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utoSpaceDE w:val="0"/>
        <w:autoSpaceDN w:val="0"/>
        <w:adjustRightInd w:val="0"/>
        <w:spacing w:line="440" w:lineRule="exact"/>
        <w:ind w:firstLineChars="192" w:firstLine="403"/>
        <w:jc w:val="left"/>
        <w:rPr>
          <w:rFonts w:ascii="Times New Roman" w:eastAsia="黑体" w:hAnsi="Times New Roman"/>
          <w:b/>
          <w:kern w:val="0"/>
          <w:sz w:val="22"/>
        </w:rPr>
      </w:pPr>
      <w:r>
        <w:rPr>
          <w:rFonts w:ascii="Times New Roman" w:hAnsi="Times New Roman"/>
          <w:szCs w:val="21"/>
        </w:rPr>
        <w:t>1.</w:t>
      </w:r>
      <w:r>
        <w:rPr>
          <w:sz w:val="22"/>
        </w:rPr>
        <w:t xml:space="preserve"> </w:t>
      </w:r>
      <w:r>
        <w:rPr>
          <w:rFonts w:hint="eastAsia"/>
          <w:sz w:val="22"/>
        </w:rPr>
        <w:t>职业康复</w:t>
      </w:r>
      <w:r>
        <w:rPr>
          <w:sz w:val="22"/>
        </w:rPr>
        <w:t xml:space="preserve"> </w:t>
      </w:r>
      <w:r>
        <w:rPr>
          <w:rFonts w:hint="eastAsia"/>
          <w:sz w:val="22"/>
        </w:rPr>
        <w:t>职业康复</w:t>
      </w:r>
      <w:r>
        <w:rPr>
          <w:sz w:val="22"/>
        </w:rPr>
        <w:t xml:space="preserve"> </w:t>
      </w:r>
      <w:r>
        <w:rPr>
          <w:rFonts w:hint="eastAsia"/>
          <w:sz w:val="22"/>
        </w:rPr>
        <w:t>的管理内容，各种伤残疾病的职业康复方案</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2.</w:t>
      </w:r>
      <w:r>
        <w:rPr>
          <w:sz w:val="22"/>
        </w:rPr>
        <w:t xml:space="preserve"> </w:t>
      </w:r>
      <w:r>
        <w:rPr>
          <w:rFonts w:hint="eastAsia"/>
          <w:sz w:val="22"/>
        </w:rPr>
        <w:t>残疾</w:t>
      </w:r>
      <w:r>
        <w:rPr>
          <w:rFonts w:ascii="Times New Roman" w:hAnsi="Times New Roman"/>
          <w:szCs w:val="21"/>
        </w:rPr>
        <w:t xml:space="preserve"> </w:t>
      </w:r>
    </w:p>
    <w:p w:rsidR="003717A0" w:rsidRDefault="003717A0">
      <w:pPr>
        <w:adjustRightInd w:val="0"/>
        <w:snapToGrid w:val="0"/>
        <w:spacing w:line="440" w:lineRule="exact"/>
        <w:ind w:leftChars="171" w:left="359"/>
        <w:jc w:val="left"/>
        <w:rPr>
          <w:sz w:val="22"/>
        </w:rPr>
      </w:pPr>
      <w:r>
        <w:rPr>
          <w:rFonts w:ascii="Times New Roman" w:hAnsi="Times New Roman"/>
          <w:szCs w:val="21"/>
        </w:rPr>
        <w:t>3.</w:t>
      </w:r>
      <w:r>
        <w:rPr>
          <w:sz w:val="22"/>
        </w:rPr>
        <w:t xml:space="preserve"> </w:t>
      </w:r>
      <w:r>
        <w:rPr>
          <w:rFonts w:hint="eastAsia"/>
          <w:sz w:val="22"/>
        </w:rPr>
        <w:t>职业康复的评估</w:t>
      </w:r>
    </w:p>
    <w:p w:rsidR="003717A0" w:rsidRDefault="003717A0">
      <w:pPr>
        <w:adjustRightInd w:val="0"/>
        <w:snapToGrid w:val="0"/>
        <w:spacing w:line="440" w:lineRule="exact"/>
        <w:ind w:leftChars="171" w:left="359"/>
        <w:jc w:val="left"/>
        <w:rPr>
          <w:rFonts w:ascii="Times New Roman" w:hAnsi="Times New Roman"/>
          <w:szCs w:val="21"/>
        </w:rPr>
      </w:pPr>
      <w:r>
        <w:rPr>
          <w:sz w:val="22"/>
        </w:rPr>
        <w:t>4.</w:t>
      </w:r>
      <w:r>
        <w:t xml:space="preserve"> </w:t>
      </w:r>
      <w:r>
        <w:rPr>
          <w:rFonts w:hint="eastAsia"/>
        </w:rPr>
        <w:t>工作分析</w:t>
      </w:r>
    </w:p>
    <w:p w:rsidR="003717A0" w:rsidRDefault="003717A0" w:rsidP="005E20B5">
      <w:pPr>
        <w:widowControl/>
        <w:adjustRightInd w:val="0"/>
        <w:snapToGrid w:val="0"/>
        <w:spacing w:beforeLines="50" w:line="440" w:lineRule="exact"/>
        <w:ind w:firstLineChars="162" w:firstLine="358"/>
        <w:rPr>
          <w:rFonts w:ascii="Times New Roman" w:hAnsi="Times New Roman"/>
          <w:b/>
          <w:kern w:val="0"/>
          <w:sz w:val="22"/>
        </w:rPr>
      </w:pPr>
      <w:r>
        <w:rPr>
          <w:rFonts w:ascii="Times New Roman" w:hAnsi="Times New Roman" w:hint="eastAsia"/>
          <w:b/>
          <w:kern w:val="0"/>
          <w:sz w:val="22"/>
        </w:rPr>
        <w:t>二、简答题：（每题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30</w:t>
      </w:r>
      <w:r>
        <w:rPr>
          <w:rFonts w:ascii="Times New Roman" w:hAnsi="Times New Roman" w:hint="eastAsia"/>
          <w:b/>
          <w:kern w:val="0"/>
          <w:sz w:val="22"/>
        </w:rPr>
        <w:t>分）</w:t>
      </w:r>
    </w:p>
    <w:p w:rsidR="003717A0" w:rsidRDefault="003717A0">
      <w:pPr>
        <w:adjustRightInd w:val="0"/>
        <w:snapToGrid w:val="0"/>
        <w:spacing w:line="440" w:lineRule="exact"/>
        <w:ind w:leftChars="171" w:left="359"/>
        <w:jc w:val="left"/>
        <w:rPr>
          <w:sz w:val="22"/>
        </w:rPr>
      </w:pPr>
      <w:r>
        <w:rPr>
          <w:rFonts w:ascii="Times New Roman" w:hAnsi="Times New Roman"/>
          <w:szCs w:val="21"/>
        </w:rPr>
        <w:t>1.</w:t>
      </w:r>
      <w:r>
        <w:rPr>
          <w:sz w:val="22"/>
        </w:rPr>
        <w:t xml:space="preserve"> </w:t>
      </w:r>
      <w:r>
        <w:rPr>
          <w:rFonts w:hint="eastAsia"/>
          <w:sz w:val="22"/>
        </w:rPr>
        <w:t>职业康复的相关训练</w:t>
      </w:r>
    </w:p>
    <w:p w:rsidR="003717A0" w:rsidRDefault="003717A0">
      <w:pPr>
        <w:adjustRightInd w:val="0"/>
        <w:snapToGrid w:val="0"/>
        <w:spacing w:line="440" w:lineRule="exact"/>
        <w:ind w:leftChars="171" w:left="359"/>
        <w:jc w:val="left"/>
        <w:rPr>
          <w:sz w:val="22"/>
        </w:rPr>
      </w:pPr>
      <w:r>
        <w:rPr>
          <w:rFonts w:ascii="Times New Roman" w:hAnsi="Times New Roman"/>
          <w:szCs w:val="21"/>
        </w:rPr>
        <w:t>2.</w:t>
      </w:r>
      <w:r>
        <w:rPr>
          <w:sz w:val="22"/>
        </w:rPr>
        <w:t xml:space="preserve"> </w:t>
      </w:r>
      <w:r>
        <w:rPr>
          <w:rFonts w:hint="eastAsia"/>
          <w:sz w:val="22"/>
        </w:rPr>
        <w:t>职业康复的管理内容</w:t>
      </w:r>
    </w:p>
    <w:p w:rsidR="003717A0" w:rsidRDefault="003717A0">
      <w:pPr>
        <w:adjustRightInd w:val="0"/>
        <w:snapToGrid w:val="0"/>
        <w:spacing w:line="440" w:lineRule="exact"/>
        <w:ind w:leftChars="171" w:left="359"/>
        <w:jc w:val="left"/>
        <w:rPr>
          <w:sz w:val="22"/>
        </w:rPr>
      </w:pPr>
      <w:r>
        <w:rPr>
          <w:rFonts w:ascii="Times New Roman" w:hAnsi="Times New Roman"/>
          <w:szCs w:val="21"/>
        </w:rPr>
        <w:t>3.</w:t>
      </w:r>
      <w:r>
        <w:t xml:space="preserve"> </w:t>
      </w:r>
      <w:r>
        <w:rPr>
          <w:rFonts w:hint="eastAsia"/>
        </w:rPr>
        <w:t>手外伤的职业康复方案</w:t>
      </w:r>
    </w:p>
    <w:p w:rsidR="003717A0" w:rsidRPr="00F5156D" w:rsidRDefault="003717A0" w:rsidP="00F5156D">
      <w:pPr>
        <w:adjustRightInd w:val="0"/>
        <w:spacing w:line="360" w:lineRule="auto"/>
        <w:contextualSpacing/>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auto"/>
              <w:ind w:firstLineChars="158" w:firstLine="332"/>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或工作坊中让学生来加强理解。教师应关心职业康复及作业疗法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auto"/>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auto"/>
              <w:jc w:val="left"/>
            </w:pPr>
            <w:r>
              <w:rPr>
                <w:rFonts w:ascii="Times New Roman" w:hAnsi="Times New Roman"/>
                <w:szCs w:val="21"/>
              </w:rPr>
              <w:t>4</w:t>
            </w: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考试学期总评成绩的评定方法如下：</w:t>
            </w:r>
            <w:r>
              <w:rPr>
                <w:rFonts w:hint="eastAsia"/>
              </w:rPr>
              <w:t>笔试</w:t>
            </w:r>
            <w:r>
              <w:t>100%</w:t>
            </w:r>
          </w:p>
          <w:p w:rsidR="003717A0" w:rsidRDefault="003717A0">
            <w:pPr>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auto"/>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73" w:name="_Toc469312998"/>
      <w:bookmarkStart w:id="74" w:name="_Toc471830710"/>
      <w:r w:rsidRPr="00F5156D">
        <w:rPr>
          <w:rFonts w:hint="eastAsia"/>
          <w:b/>
        </w:rPr>
        <w:lastRenderedPageBreak/>
        <w:t>《康复工程学》课程质量标准</w:t>
      </w:r>
      <w:bookmarkEnd w:id="73"/>
      <w:bookmarkEnd w:id="74"/>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康复工程学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rFonts w:ascii="Arial" w:hAnsi="Arial"/>
                <w:sz w:val="24"/>
              </w:rPr>
              <w:t>Clinical rehabilitation engineering</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170203</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五</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45</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w:t>
            </w:r>
            <w:r>
              <w:rPr>
                <w:rFonts w:ascii="宋体" w:hint="eastAsia"/>
                <w:szCs w:val="21"/>
              </w:rPr>
              <w:t>■</w:t>
            </w:r>
            <w:r>
              <w:rPr>
                <w:rFonts w:asci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康复医学教研室</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临床康复工程学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w:t>
            </w:r>
            <w:r>
              <w:rPr>
                <w:rFonts w:ascii="宋体" w:hint="eastAsia"/>
                <w:szCs w:val="21"/>
              </w:rPr>
              <w:t>■</w:t>
            </w:r>
            <w:r>
              <w:rPr>
                <w:rFonts w:ascii="宋体" w:hint="eastAsia"/>
                <w:sz w:val="22"/>
              </w:rPr>
              <w:t>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Cs w:val="21"/>
              </w:rPr>
              <w:t>■</w:t>
            </w: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ind w:firstLineChars="200" w:firstLine="440"/>
              <w:rPr>
                <w:sz w:val="22"/>
              </w:rPr>
            </w:pPr>
            <w:r>
              <w:rPr>
                <w:rFonts w:hint="eastAsia"/>
                <w:sz w:val="22"/>
              </w:rPr>
              <w:t>施海滨</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男</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adjustRightInd w:val="0"/>
              <w:snapToGrid w:val="0"/>
              <w:spacing w:line="500" w:lineRule="exact"/>
              <w:ind w:firstLineChars="50" w:firstLine="110"/>
              <w:rPr>
                <w:sz w:val="22"/>
              </w:rPr>
            </w:pPr>
            <w:r>
              <w:rPr>
                <w:rFonts w:hint="eastAsia"/>
                <w:sz w:val="22"/>
              </w:rPr>
              <w:t>副主任技师</w:t>
            </w:r>
          </w:p>
        </w:tc>
        <w:tc>
          <w:tcPr>
            <w:tcW w:w="1524" w:type="dxa"/>
          </w:tcPr>
          <w:p w:rsidR="003717A0" w:rsidRDefault="003717A0">
            <w:pPr>
              <w:adjustRightInd w:val="0"/>
              <w:snapToGrid w:val="0"/>
              <w:spacing w:line="500" w:lineRule="exact"/>
              <w:rPr>
                <w:sz w:val="22"/>
              </w:rPr>
            </w:pPr>
            <w:r>
              <w:rPr>
                <w:sz w:val="22"/>
              </w:rPr>
              <w:t xml:space="preserve">  2007.08</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顾琦</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ind w:firstLineChars="100" w:firstLine="220"/>
              <w:rPr>
                <w:sz w:val="22"/>
              </w:rPr>
            </w:pPr>
            <w:r>
              <w:rPr>
                <w:sz w:val="22"/>
              </w:rPr>
              <w:t>2005.08</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sz w:val="22"/>
              </w:rPr>
              <w:t>临床康复工程学是一门医工结合的学科，它是采用工程学的原理和方法，改善功能障碍者的活动和参与，使之重返社会，提高生活质量。本课程不仅设有专门章节介绍康复工程的相关基础知识，如生物力学、人机工程学等，为其他内容奠定基础；还介绍了假肢、矫形器、轮椅与助行器等与肢体功能障碍者相关的辅助器具；另外对视听觉、言语、智力障碍者的常见康复工程产品进行了介绍以及无障碍环境的基本概念及应用进行了全面阐述。</w:t>
            </w:r>
          </w:p>
        </w:tc>
      </w:tr>
    </w:tbl>
    <w:p w:rsidR="003717A0" w:rsidRDefault="003717A0" w:rsidP="00F5156D">
      <w:pPr>
        <w:adjustRightInd w:val="0"/>
        <w:spacing w:line="360" w:lineRule="auto"/>
        <w:contextualSpacing/>
        <w:jc w:val="center"/>
        <w:rPr>
          <w:rFonts w:ascii="Times New Roman" w:eastAsia="黑体" w:hAnsi="Times New Roman" w:cs="Times New Roman"/>
          <w:b/>
          <w:bCs/>
          <w:kern w:val="0"/>
          <w:sz w:val="32"/>
          <w:szCs w:val="32"/>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适应对象：本科层次，康复治疗学专业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rFonts w:ascii="Times New Roman" w:hAnsi="Times New Roman"/>
          <w:kern w:val="0"/>
          <w:sz w:val="22"/>
        </w:rPr>
        <w:t>170203</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rPr>
          <w:rFonts w:ascii="Times New Roman" w:hAnsi="Times New Roman"/>
          <w:kern w:val="0"/>
          <w:sz w:val="22"/>
        </w:rPr>
        <w:t>45</w:t>
      </w:r>
      <w:r w:rsidR="00EA5BFD">
        <w:rPr>
          <w:rFonts w:ascii="Times New Roman" w:hAnsi="Times New Roman" w:hint="eastAsia"/>
          <w:kern w:val="0"/>
          <w:sz w:val="22"/>
        </w:rPr>
        <w:t>学时</w:t>
      </w:r>
      <w:r>
        <w:rPr>
          <w:rFonts w:ascii="Times New Roman" w:hAnsi="Times New Roman" w:hint="eastAsia"/>
          <w:kern w:val="0"/>
          <w:sz w:val="22"/>
        </w:rPr>
        <w:t>（理论课：</w:t>
      </w:r>
      <w:r>
        <w:rPr>
          <w:rFonts w:ascii="Times New Roman" w:hAnsi="Times New Roman"/>
          <w:kern w:val="0"/>
          <w:sz w:val="22"/>
        </w:rPr>
        <w:t>30</w:t>
      </w:r>
      <w:r>
        <w:rPr>
          <w:rFonts w:ascii="Times New Roman" w:hAnsi="Times New Roman" w:hint="eastAsia"/>
          <w:kern w:val="0"/>
          <w:sz w:val="22"/>
        </w:rPr>
        <w:t>学时</w:t>
      </w:r>
      <w:r>
        <w:rPr>
          <w:rFonts w:ascii="Times New Roman" w:hAnsi="Times New Roman"/>
          <w:kern w:val="0"/>
          <w:sz w:val="22"/>
        </w:rPr>
        <w:t xml:space="preserve">  </w:t>
      </w:r>
      <w:r>
        <w:rPr>
          <w:rFonts w:ascii="Times New Roman" w:hAnsi="Times New Roman" w:hint="eastAsia"/>
          <w:kern w:val="0"/>
          <w:sz w:val="22"/>
        </w:rPr>
        <w:t>实习：</w:t>
      </w:r>
      <w:r>
        <w:rPr>
          <w:rFonts w:ascii="Times New Roman" w:hAnsi="Times New Roman"/>
          <w:kern w:val="0"/>
          <w:sz w:val="22"/>
        </w:rPr>
        <w:t>15</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 xml:space="preserve"> 2</w:t>
      </w:r>
      <w:r>
        <w:rPr>
          <w:rFonts w:ascii="Times New Roman" w:hAnsi="Times New Roman" w:hint="eastAsia"/>
          <w:kern w:val="0"/>
          <w:sz w:val="22"/>
        </w:rPr>
        <w:t>分</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先修课程：运动学</w:t>
      </w:r>
      <w:r>
        <w:rPr>
          <w:rFonts w:ascii="Times New Roman" w:hAnsi="Times New Roman"/>
          <w:kern w:val="0"/>
          <w:szCs w:val="21"/>
        </w:rPr>
        <w:t xml:space="preserve">  </w:t>
      </w:r>
      <w:r>
        <w:rPr>
          <w:rFonts w:ascii="Times New Roman" w:hAnsi="Times New Roman" w:hint="eastAsia"/>
          <w:kern w:val="0"/>
          <w:szCs w:val="21"/>
        </w:rPr>
        <w:t>康复评定学</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sz w:val="22"/>
        </w:rPr>
        <w:t xml:space="preserve">    </w:t>
      </w:r>
      <w:r>
        <w:rPr>
          <w:rFonts w:hint="eastAsia"/>
          <w:sz w:val="22"/>
        </w:rPr>
        <w:t>康复工程学是一门医工结合的学科，是全面康复的重要内容，是现代科学技术与人体康复需求相结合的产物。它是在临床实践中，采用工程学的原理和方法来帮助和改善功能障碍者的活动和参与，最大限度地开发功能障碍者的潜能，使之重返社会，提高生活质量的一门课程。随着科技的发展、社会的进步，以及人口的老龄化，越来越多的康复工程产品被被呈现并应用于临床。</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通过本课程的学习，使学生了解康复工程的相关基础知识，熟悉各类康复工程产品的原理、结构，重点掌握假肢、矫形器、轮椅与助行器、坐姿系统与坐垫等与肢体功能障碍者相关的辅助器具的选配与应用，以及装配以后的训练。另外本课程还介绍了一系列常见康复工程产品，以及无障碍环境的基本概念及应用，全面帮助患者重返家庭，重返社会，提高生活质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left"/>
        <w:rPr>
          <w:rFonts w:ascii="Times New Roman" w:eastAsia="黑体" w:hAnsi="Times New Roman"/>
          <w:kern w:val="0"/>
          <w:sz w:val="24"/>
          <w:szCs w:val="24"/>
        </w:rPr>
      </w:pPr>
      <w:r>
        <w:rPr>
          <w:rFonts w:ascii="Times New Roman" w:eastAsia="黑体" w:hAnsi="Times New Roman" w:hint="eastAsia"/>
          <w:kern w:val="0"/>
          <w:sz w:val="24"/>
          <w:szCs w:val="24"/>
        </w:rPr>
        <w:t>第一章</w:t>
      </w:r>
      <w:r>
        <w:rPr>
          <w:rFonts w:ascii="Times New Roman" w:eastAsia="黑体" w:hAnsi="Times New Roman"/>
          <w:kern w:val="0"/>
          <w:sz w:val="24"/>
          <w:szCs w:val="24"/>
        </w:rPr>
        <w:t xml:space="preserve">  </w:t>
      </w:r>
      <w:r>
        <w:rPr>
          <w:rFonts w:ascii="Times New Roman" w:eastAsia="黑体" w:hAnsi="Times New Roman" w:hint="eastAsia"/>
          <w:kern w:val="0"/>
          <w:sz w:val="24"/>
          <w:szCs w:val="24"/>
        </w:rPr>
        <w:t>绪论</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0"/>
          <w:numId w:val="249"/>
        </w:numPr>
        <w:autoSpaceDE w:val="0"/>
        <w:autoSpaceDN w:val="0"/>
        <w:adjustRightInd w:val="0"/>
        <w:snapToGrid w:val="0"/>
        <w:spacing w:line="440" w:lineRule="exact"/>
        <w:jc w:val="left"/>
        <w:rPr>
          <w:sz w:val="22"/>
        </w:rPr>
      </w:pPr>
      <w:r>
        <w:rPr>
          <w:rFonts w:hint="eastAsia"/>
          <w:sz w:val="22"/>
        </w:rPr>
        <w:t>掌握康复工程学的的定义、</w:t>
      </w:r>
    </w:p>
    <w:p w:rsidR="003717A0" w:rsidRDefault="003717A0">
      <w:pPr>
        <w:numPr>
          <w:ilvl w:val="0"/>
          <w:numId w:val="249"/>
        </w:numPr>
        <w:autoSpaceDE w:val="0"/>
        <w:autoSpaceDN w:val="0"/>
        <w:adjustRightInd w:val="0"/>
        <w:snapToGrid w:val="0"/>
        <w:spacing w:line="440" w:lineRule="exact"/>
        <w:jc w:val="left"/>
        <w:rPr>
          <w:sz w:val="22"/>
        </w:rPr>
      </w:pPr>
      <w:r>
        <w:rPr>
          <w:rFonts w:hint="eastAsia"/>
          <w:sz w:val="22"/>
        </w:rPr>
        <w:t>了解康复工程学的服务对象</w:t>
      </w:r>
    </w:p>
    <w:p w:rsidR="003717A0" w:rsidRDefault="003717A0">
      <w:pPr>
        <w:numPr>
          <w:ilvl w:val="0"/>
          <w:numId w:val="249"/>
        </w:numPr>
        <w:autoSpaceDE w:val="0"/>
        <w:autoSpaceDN w:val="0"/>
        <w:adjustRightInd w:val="0"/>
        <w:snapToGrid w:val="0"/>
        <w:spacing w:line="440" w:lineRule="exact"/>
        <w:jc w:val="left"/>
        <w:rPr>
          <w:sz w:val="22"/>
        </w:rPr>
      </w:pPr>
      <w:r>
        <w:rPr>
          <w:rFonts w:hint="eastAsia"/>
          <w:sz w:val="22"/>
        </w:rPr>
        <w:t>了解康复工程学的形成与发展</w:t>
      </w:r>
    </w:p>
    <w:p w:rsidR="003717A0" w:rsidRDefault="003717A0">
      <w:pPr>
        <w:numPr>
          <w:ilvl w:val="0"/>
          <w:numId w:val="249"/>
        </w:numPr>
        <w:autoSpaceDE w:val="0"/>
        <w:autoSpaceDN w:val="0"/>
        <w:adjustRightInd w:val="0"/>
        <w:snapToGrid w:val="0"/>
        <w:spacing w:line="440" w:lineRule="exact"/>
        <w:jc w:val="left"/>
        <w:rPr>
          <w:sz w:val="22"/>
        </w:rPr>
      </w:pPr>
      <w:r>
        <w:rPr>
          <w:rFonts w:hint="eastAsia"/>
          <w:sz w:val="22"/>
        </w:rPr>
        <w:t>了解康复工程产品</w:t>
      </w:r>
    </w:p>
    <w:p w:rsidR="003717A0" w:rsidRDefault="003717A0">
      <w:pPr>
        <w:numPr>
          <w:ilvl w:val="0"/>
          <w:numId w:val="249"/>
        </w:numPr>
        <w:autoSpaceDE w:val="0"/>
        <w:autoSpaceDN w:val="0"/>
        <w:adjustRightInd w:val="0"/>
        <w:snapToGrid w:val="0"/>
        <w:spacing w:line="440" w:lineRule="exact"/>
        <w:jc w:val="left"/>
        <w:rPr>
          <w:sz w:val="22"/>
        </w:rPr>
      </w:pPr>
      <w:r>
        <w:rPr>
          <w:rFonts w:hint="eastAsia"/>
          <w:sz w:val="22"/>
        </w:rPr>
        <w:t>了解辅助技术的定义以及组成</w:t>
      </w:r>
    </w:p>
    <w:p w:rsidR="003717A0" w:rsidRDefault="003717A0">
      <w:pPr>
        <w:autoSpaceDE w:val="0"/>
        <w:autoSpaceDN w:val="0"/>
        <w:adjustRightInd w:val="0"/>
        <w:snapToGrid w:val="0"/>
        <w:spacing w:line="440" w:lineRule="exact"/>
        <w:jc w:val="left"/>
        <w:rPr>
          <w:sz w:val="22"/>
        </w:rPr>
      </w:pPr>
      <w:r>
        <w:rPr>
          <w:rFonts w:hint="eastAsia"/>
          <w:sz w:val="22"/>
        </w:rPr>
        <w:t>教学内容</w:t>
      </w:r>
    </w:p>
    <w:p w:rsidR="003717A0" w:rsidRDefault="003717A0">
      <w:pPr>
        <w:numPr>
          <w:ilvl w:val="0"/>
          <w:numId w:val="250"/>
        </w:numPr>
        <w:autoSpaceDE w:val="0"/>
        <w:autoSpaceDN w:val="0"/>
        <w:adjustRightInd w:val="0"/>
        <w:snapToGrid w:val="0"/>
        <w:spacing w:line="440" w:lineRule="exact"/>
        <w:jc w:val="left"/>
        <w:rPr>
          <w:sz w:val="22"/>
        </w:rPr>
      </w:pPr>
      <w:r>
        <w:rPr>
          <w:rFonts w:hint="eastAsia"/>
          <w:sz w:val="22"/>
        </w:rPr>
        <w:t>临床康复工程学概述</w:t>
      </w:r>
    </w:p>
    <w:p w:rsidR="003717A0" w:rsidRDefault="003717A0">
      <w:pPr>
        <w:numPr>
          <w:ilvl w:val="0"/>
          <w:numId w:val="250"/>
        </w:numPr>
        <w:autoSpaceDE w:val="0"/>
        <w:autoSpaceDN w:val="0"/>
        <w:adjustRightInd w:val="0"/>
        <w:snapToGrid w:val="0"/>
        <w:spacing w:line="440" w:lineRule="exact"/>
        <w:jc w:val="left"/>
        <w:rPr>
          <w:sz w:val="22"/>
        </w:rPr>
      </w:pPr>
      <w:r>
        <w:rPr>
          <w:rFonts w:hint="eastAsia"/>
          <w:sz w:val="22"/>
        </w:rPr>
        <w:lastRenderedPageBreak/>
        <w:t>康复工程与辅助技术</w:t>
      </w:r>
    </w:p>
    <w:p w:rsidR="003717A0" w:rsidRDefault="003717A0">
      <w:pPr>
        <w:numPr>
          <w:ilvl w:val="0"/>
          <w:numId w:val="251"/>
        </w:numPr>
        <w:autoSpaceDE w:val="0"/>
        <w:autoSpaceDN w:val="0"/>
        <w:adjustRightInd w:val="0"/>
        <w:snapToGrid w:val="0"/>
        <w:spacing w:line="440" w:lineRule="exact"/>
        <w:jc w:val="left"/>
        <w:rPr>
          <w:b/>
          <w:sz w:val="22"/>
        </w:rPr>
      </w:pPr>
      <w:r>
        <w:rPr>
          <w:rFonts w:hint="eastAsia"/>
          <w:b/>
          <w:sz w:val="22"/>
        </w:rPr>
        <w:t>临床康复工程基础学</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了解基本力学概念</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了解相关系统的生物力学</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了解环境控制技术</w:t>
      </w:r>
    </w:p>
    <w:p w:rsidR="003717A0" w:rsidRDefault="003717A0">
      <w:pPr>
        <w:autoSpaceDE w:val="0"/>
        <w:autoSpaceDN w:val="0"/>
        <w:adjustRightInd w:val="0"/>
        <w:snapToGrid w:val="0"/>
        <w:spacing w:line="440" w:lineRule="exact"/>
        <w:jc w:val="left"/>
        <w:rPr>
          <w:b/>
          <w:sz w:val="22"/>
        </w:rPr>
      </w:pPr>
    </w:p>
    <w:p w:rsidR="003717A0" w:rsidRDefault="003717A0">
      <w:pPr>
        <w:autoSpaceDE w:val="0"/>
        <w:autoSpaceDN w:val="0"/>
        <w:adjustRightInd w:val="0"/>
        <w:snapToGrid w:val="0"/>
        <w:spacing w:line="440" w:lineRule="exact"/>
        <w:jc w:val="left"/>
        <w:rPr>
          <w:b/>
          <w:sz w:val="22"/>
        </w:rPr>
      </w:pPr>
      <w:r>
        <w:rPr>
          <w:rFonts w:hint="eastAsia"/>
          <w:sz w:val="22"/>
        </w:rPr>
        <w:t>教学内容</w:t>
      </w:r>
    </w:p>
    <w:p w:rsidR="003717A0" w:rsidRDefault="003717A0">
      <w:pPr>
        <w:numPr>
          <w:ilvl w:val="0"/>
          <w:numId w:val="252"/>
        </w:numPr>
        <w:autoSpaceDE w:val="0"/>
        <w:autoSpaceDN w:val="0"/>
        <w:adjustRightInd w:val="0"/>
        <w:snapToGrid w:val="0"/>
        <w:spacing w:line="440" w:lineRule="exact"/>
        <w:jc w:val="left"/>
        <w:rPr>
          <w:sz w:val="22"/>
        </w:rPr>
      </w:pPr>
      <w:r>
        <w:rPr>
          <w:rFonts w:hint="eastAsia"/>
          <w:sz w:val="22"/>
        </w:rPr>
        <w:t>生物力学</w:t>
      </w:r>
    </w:p>
    <w:p w:rsidR="003717A0" w:rsidRDefault="003717A0">
      <w:pPr>
        <w:numPr>
          <w:ilvl w:val="0"/>
          <w:numId w:val="252"/>
        </w:numPr>
        <w:autoSpaceDE w:val="0"/>
        <w:autoSpaceDN w:val="0"/>
        <w:adjustRightInd w:val="0"/>
        <w:snapToGrid w:val="0"/>
        <w:spacing w:line="440" w:lineRule="exact"/>
        <w:jc w:val="left"/>
        <w:rPr>
          <w:sz w:val="22"/>
        </w:rPr>
      </w:pPr>
      <w:r>
        <w:rPr>
          <w:rFonts w:hint="eastAsia"/>
          <w:sz w:val="22"/>
        </w:rPr>
        <w:t>人机工程学</w:t>
      </w:r>
    </w:p>
    <w:p w:rsidR="003717A0" w:rsidRDefault="003717A0">
      <w:pPr>
        <w:numPr>
          <w:ilvl w:val="0"/>
          <w:numId w:val="251"/>
        </w:numPr>
        <w:autoSpaceDE w:val="0"/>
        <w:autoSpaceDN w:val="0"/>
        <w:adjustRightInd w:val="0"/>
        <w:snapToGrid w:val="0"/>
        <w:spacing w:line="440" w:lineRule="exact"/>
        <w:jc w:val="left"/>
        <w:rPr>
          <w:b/>
          <w:sz w:val="22"/>
        </w:rPr>
      </w:pPr>
      <w:r>
        <w:rPr>
          <w:rFonts w:hint="eastAsia"/>
          <w:b/>
          <w:sz w:val="22"/>
        </w:rPr>
        <w:t>康复评定和治疗设备</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了解常用康复评定设备</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掌握常用康复治疗设备</w:t>
      </w:r>
    </w:p>
    <w:p w:rsidR="003717A0" w:rsidRDefault="003717A0">
      <w:pPr>
        <w:autoSpaceDE w:val="0"/>
        <w:autoSpaceDN w:val="0"/>
        <w:adjustRightInd w:val="0"/>
        <w:snapToGrid w:val="0"/>
        <w:spacing w:line="440" w:lineRule="exact"/>
        <w:jc w:val="left"/>
        <w:rPr>
          <w:sz w:val="22"/>
        </w:rPr>
      </w:pPr>
      <w:r>
        <w:rPr>
          <w:rFonts w:hint="eastAsia"/>
          <w:sz w:val="22"/>
        </w:rPr>
        <w:t>教学内容</w:t>
      </w:r>
    </w:p>
    <w:p w:rsidR="003717A0" w:rsidRDefault="003717A0">
      <w:pPr>
        <w:numPr>
          <w:ilvl w:val="0"/>
          <w:numId w:val="253"/>
        </w:numPr>
        <w:autoSpaceDE w:val="0"/>
        <w:autoSpaceDN w:val="0"/>
        <w:adjustRightInd w:val="0"/>
        <w:snapToGrid w:val="0"/>
        <w:spacing w:line="440" w:lineRule="exact"/>
        <w:jc w:val="left"/>
        <w:rPr>
          <w:sz w:val="22"/>
        </w:rPr>
      </w:pPr>
      <w:r>
        <w:rPr>
          <w:rFonts w:hint="eastAsia"/>
          <w:sz w:val="22"/>
        </w:rPr>
        <w:t>常用康复评定设备</w:t>
      </w:r>
    </w:p>
    <w:p w:rsidR="003717A0" w:rsidRDefault="003717A0">
      <w:pPr>
        <w:numPr>
          <w:ilvl w:val="0"/>
          <w:numId w:val="253"/>
        </w:numPr>
        <w:autoSpaceDE w:val="0"/>
        <w:autoSpaceDN w:val="0"/>
        <w:adjustRightInd w:val="0"/>
        <w:snapToGrid w:val="0"/>
        <w:spacing w:line="440" w:lineRule="exact"/>
        <w:jc w:val="left"/>
        <w:rPr>
          <w:sz w:val="22"/>
        </w:rPr>
      </w:pPr>
      <w:r>
        <w:rPr>
          <w:rFonts w:hint="eastAsia"/>
          <w:sz w:val="22"/>
        </w:rPr>
        <w:t>常用康复治疗设备</w:t>
      </w:r>
    </w:p>
    <w:p w:rsidR="003717A0" w:rsidRDefault="003717A0">
      <w:pPr>
        <w:numPr>
          <w:ilvl w:val="0"/>
          <w:numId w:val="253"/>
        </w:numPr>
        <w:autoSpaceDE w:val="0"/>
        <w:autoSpaceDN w:val="0"/>
        <w:adjustRightInd w:val="0"/>
        <w:snapToGrid w:val="0"/>
        <w:spacing w:line="440" w:lineRule="exact"/>
        <w:jc w:val="left"/>
        <w:rPr>
          <w:sz w:val="22"/>
        </w:rPr>
      </w:pPr>
      <w:r>
        <w:rPr>
          <w:rFonts w:hint="eastAsia"/>
          <w:sz w:val="22"/>
        </w:rPr>
        <w:t>康复机器人</w:t>
      </w:r>
    </w:p>
    <w:p w:rsidR="003717A0" w:rsidRDefault="003717A0">
      <w:pPr>
        <w:numPr>
          <w:ilvl w:val="0"/>
          <w:numId w:val="253"/>
        </w:numPr>
        <w:autoSpaceDE w:val="0"/>
        <w:autoSpaceDN w:val="0"/>
        <w:adjustRightInd w:val="0"/>
        <w:snapToGrid w:val="0"/>
        <w:spacing w:line="440" w:lineRule="exact"/>
        <w:jc w:val="left"/>
        <w:rPr>
          <w:sz w:val="22"/>
        </w:rPr>
      </w:pPr>
      <w:r>
        <w:rPr>
          <w:rFonts w:hint="eastAsia"/>
          <w:sz w:val="22"/>
        </w:rPr>
        <w:t>虚拟现实技术</w:t>
      </w:r>
    </w:p>
    <w:p w:rsidR="003717A0" w:rsidRDefault="003717A0">
      <w:pPr>
        <w:numPr>
          <w:ilvl w:val="0"/>
          <w:numId w:val="253"/>
        </w:numPr>
        <w:autoSpaceDE w:val="0"/>
        <w:autoSpaceDN w:val="0"/>
        <w:adjustRightInd w:val="0"/>
        <w:snapToGrid w:val="0"/>
        <w:spacing w:line="440" w:lineRule="exact"/>
        <w:jc w:val="left"/>
        <w:rPr>
          <w:sz w:val="22"/>
        </w:rPr>
      </w:pPr>
      <w:r>
        <w:rPr>
          <w:rFonts w:hint="eastAsia"/>
          <w:sz w:val="22"/>
        </w:rPr>
        <w:t>功能性电刺激</w:t>
      </w:r>
    </w:p>
    <w:p w:rsidR="003717A0" w:rsidRDefault="003717A0">
      <w:pPr>
        <w:numPr>
          <w:ilvl w:val="0"/>
          <w:numId w:val="251"/>
        </w:numPr>
        <w:autoSpaceDE w:val="0"/>
        <w:autoSpaceDN w:val="0"/>
        <w:adjustRightInd w:val="0"/>
        <w:snapToGrid w:val="0"/>
        <w:spacing w:line="440" w:lineRule="exact"/>
        <w:jc w:val="left"/>
        <w:rPr>
          <w:b/>
          <w:sz w:val="22"/>
        </w:rPr>
      </w:pPr>
      <w:r>
        <w:rPr>
          <w:rFonts w:hint="eastAsia"/>
          <w:b/>
          <w:sz w:val="22"/>
        </w:rPr>
        <w:t>假肢</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掌握上肢以及下肢假肢的选配</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掌握假肢装配以后的康复训练</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掌握上下肢假肢评定</w:t>
      </w:r>
    </w:p>
    <w:p w:rsidR="003717A0" w:rsidRDefault="003717A0">
      <w:pPr>
        <w:autoSpaceDE w:val="0"/>
        <w:autoSpaceDN w:val="0"/>
        <w:adjustRightInd w:val="0"/>
        <w:snapToGrid w:val="0"/>
        <w:spacing w:line="440" w:lineRule="exact"/>
        <w:jc w:val="left"/>
        <w:rPr>
          <w:sz w:val="22"/>
        </w:rPr>
      </w:pPr>
      <w:r>
        <w:rPr>
          <w:rFonts w:hint="eastAsia"/>
          <w:sz w:val="22"/>
        </w:rPr>
        <w:t>教学内容</w:t>
      </w:r>
    </w:p>
    <w:p w:rsidR="003717A0" w:rsidRDefault="003717A0">
      <w:pPr>
        <w:numPr>
          <w:ilvl w:val="0"/>
          <w:numId w:val="254"/>
        </w:numPr>
        <w:autoSpaceDE w:val="0"/>
        <w:autoSpaceDN w:val="0"/>
        <w:adjustRightInd w:val="0"/>
        <w:snapToGrid w:val="0"/>
        <w:spacing w:line="440" w:lineRule="exact"/>
        <w:jc w:val="left"/>
        <w:rPr>
          <w:sz w:val="22"/>
        </w:rPr>
      </w:pPr>
      <w:r>
        <w:rPr>
          <w:rFonts w:hint="eastAsia"/>
          <w:sz w:val="22"/>
        </w:rPr>
        <w:t>概述</w:t>
      </w:r>
    </w:p>
    <w:p w:rsidR="003717A0" w:rsidRDefault="003717A0">
      <w:pPr>
        <w:numPr>
          <w:ilvl w:val="0"/>
          <w:numId w:val="254"/>
        </w:numPr>
        <w:autoSpaceDE w:val="0"/>
        <w:autoSpaceDN w:val="0"/>
        <w:adjustRightInd w:val="0"/>
        <w:snapToGrid w:val="0"/>
        <w:spacing w:line="440" w:lineRule="exact"/>
        <w:jc w:val="left"/>
        <w:rPr>
          <w:sz w:val="22"/>
        </w:rPr>
      </w:pPr>
      <w:r>
        <w:rPr>
          <w:rFonts w:hint="eastAsia"/>
          <w:sz w:val="22"/>
        </w:rPr>
        <w:t>下肢假肢</w:t>
      </w:r>
    </w:p>
    <w:p w:rsidR="003717A0" w:rsidRDefault="003717A0">
      <w:pPr>
        <w:numPr>
          <w:ilvl w:val="0"/>
          <w:numId w:val="254"/>
        </w:numPr>
        <w:autoSpaceDE w:val="0"/>
        <w:autoSpaceDN w:val="0"/>
        <w:adjustRightInd w:val="0"/>
        <w:snapToGrid w:val="0"/>
        <w:spacing w:line="440" w:lineRule="exact"/>
        <w:jc w:val="left"/>
        <w:rPr>
          <w:sz w:val="22"/>
        </w:rPr>
      </w:pPr>
      <w:r>
        <w:rPr>
          <w:rFonts w:hint="eastAsia"/>
          <w:sz w:val="22"/>
        </w:rPr>
        <w:t>上肢假肢</w:t>
      </w:r>
    </w:p>
    <w:p w:rsidR="003717A0" w:rsidRPr="00EA5BFD" w:rsidRDefault="003717A0">
      <w:pPr>
        <w:numPr>
          <w:ilvl w:val="0"/>
          <w:numId w:val="251"/>
        </w:numPr>
        <w:autoSpaceDE w:val="0"/>
        <w:autoSpaceDN w:val="0"/>
        <w:adjustRightInd w:val="0"/>
        <w:snapToGrid w:val="0"/>
        <w:spacing w:line="440" w:lineRule="exact"/>
        <w:jc w:val="left"/>
        <w:rPr>
          <w:b/>
          <w:sz w:val="22"/>
        </w:rPr>
      </w:pPr>
      <w:r w:rsidRPr="00EA5BFD">
        <w:rPr>
          <w:rFonts w:hint="eastAsia"/>
          <w:b/>
          <w:sz w:val="22"/>
        </w:rPr>
        <w:t>矫形器</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lastRenderedPageBreak/>
        <w:t>掌握矫形器的治疗作用</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了解矫形器的不良作用以及防治</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熟悉掌握脊柱矫形器的选配及临床应用</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掌握上下肢矫形器的选配及临床应用</w:t>
      </w:r>
    </w:p>
    <w:p w:rsidR="003717A0" w:rsidRDefault="003717A0">
      <w:pPr>
        <w:autoSpaceDE w:val="0"/>
        <w:autoSpaceDN w:val="0"/>
        <w:adjustRightInd w:val="0"/>
        <w:snapToGrid w:val="0"/>
        <w:spacing w:line="440" w:lineRule="exact"/>
        <w:jc w:val="left"/>
        <w:rPr>
          <w:sz w:val="22"/>
        </w:rPr>
      </w:pPr>
    </w:p>
    <w:p w:rsidR="003717A0" w:rsidRDefault="003717A0">
      <w:pPr>
        <w:autoSpaceDE w:val="0"/>
        <w:autoSpaceDN w:val="0"/>
        <w:adjustRightInd w:val="0"/>
        <w:snapToGrid w:val="0"/>
        <w:spacing w:line="440" w:lineRule="exact"/>
        <w:jc w:val="left"/>
        <w:rPr>
          <w:sz w:val="22"/>
        </w:rPr>
      </w:pPr>
      <w:r>
        <w:rPr>
          <w:rFonts w:hint="eastAsia"/>
          <w:sz w:val="22"/>
        </w:rPr>
        <w:t>教学内容</w:t>
      </w:r>
    </w:p>
    <w:p w:rsidR="003717A0" w:rsidRDefault="003717A0">
      <w:pPr>
        <w:numPr>
          <w:ilvl w:val="0"/>
          <w:numId w:val="255"/>
        </w:numPr>
        <w:autoSpaceDE w:val="0"/>
        <w:autoSpaceDN w:val="0"/>
        <w:adjustRightInd w:val="0"/>
        <w:snapToGrid w:val="0"/>
        <w:spacing w:line="440" w:lineRule="exact"/>
        <w:jc w:val="left"/>
        <w:rPr>
          <w:sz w:val="22"/>
        </w:rPr>
      </w:pPr>
      <w:r>
        <w:rPr>
          <w:rFonts w:hint="eastAsia"/>
          <w:sz w:val="22"/>
        </w:rPr>
        <w:t>概述</w:t>
      </w:r>
    </w:p>
    <w:p w:rsidR="003717A0" w:rsidRDefault="003717A0">
      <w:pPr>
        <w:numPr>
          <w:ilvl w:val="0"/>
          <w:numId w:val="255"/>
        </w:numPr>
        <w:autoSpaceDE w:val="0"/>
        <w:autoSpaceDN w:val="0"/>
        <w:adjustRightInd w:val="0"/>
        <w:snapToGrid w:val="0"/>
        <w:spacing w:line="440" w:lineRule="exact"/>
        <w:jc w:val="left"/>
        <w:rPr>
          <w:sz w:val="22"/>
        </w:rPr>
      </w:pPr>
      <w:r>
        <w:rPr>
          <w:rFonts w:hint="eastAsia"/>
          <w:sz w:val="22"/>
        </w:rPr>
        <w:t>脊柱矫形器</w:t>
      </w:r>
    </w:p>
    <w:p w:rsidR="003717A0" w:rsidRDefault="003717A0">
      <w:pPr>
        <w:numPr>
          <w:ilvl w:val="0"/>
          <w:numId w:val="255"/>
        </w:numPr>
        <w:autoSpaceDE w:val="0"/>
        <w:autoSpaceDN w:val="0"/>
        <w:adjustRightInd w:val="0"/>
        <w:snapToGrid w:val="0"/>
        <w:spacing w:line="440" w:lineRule="exact"/>
        <w:jc w:val="left"/>
        <w:rPr>
          <w:sz w:val="22"/>
        </w:rPr>
      </w:pPr>
      <w:r>
        <w:rPr>
          <w:rFonts w:hint="eastAsia"/>
          <w:sz w:val="22"/>
        </w:rPr>
        <w:t>上肢矫形器</w:t>
      </w:r>
    </w:p>
    <w:p w:rsidR="003717A0" w:rsidRDefault="003717A0">
      <w:pPr>
        <w:numPr>
          <w:ilvl w:val="0"/>
          <w:numId w:val="255"/>
        </w:numPr>
        <w:autoSpaceDE w:val="0"/>
        <w:autoSpaceDN w:val="0"/>
        <w:adjustRightInd w:val="0"/>
        <w:snapToGrid w:val="0"/>
        <w:spacing w:line="440" w:lineRule="exact"/>
        <w:jc w:val="left"/>
        <w:rPr>
          <w:sz w:val="22"/>
        </w:rPr>
      </w:pPr>
      <w:r>
        <w:rPr>
          <w:rFonts w:hint="eastAsia"/>
          <w:sz w:val="22"/>
        </w:rPr>
        <w:t>下肢矫形器</w:t>
      </w:r>
    </w:p>
    <w:p w:rsidR="003717A0" w:rsidRPr="00EA5BFD" w:rsidRDefault="003717A0">
      <w:pPr>
        <w:numPr>
          <w:ilvl w:val="0"/>
          <w:numId w:val="251"/>
        </w:numPr>
        <w:autoSpaceDE w:val="0"/>
        <w:autoSpaceDN w:val="0"/>
        <w:adjustRightInd w:val="0"/>
        <w:snapToGrid w:val="0"/>
        <w:spacing w:line="440" w:lineRule="exact"/>
        <w:jc w:val="left"/>
        <w:rPr>
          <w:b/>
          <w:sz w:val="22"/>
        </w:rPr>
      </w:pPr>
      <w:r w:rsidRPr="00EA5BFD">
        <w:rPr>
          <w:rFonts w:hint="eastAsia"/>
          <w:b/>
          <w:sz w:val="22"/>
        </w:rPr>
        <w:t>轮椅与助行器</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了解轮椅及助行器的结构和分类</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掌握轮椅的选配</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掌握助行器的选配与临床应用</w:t>
      </w:r>
    </w:p>
    <w:p w:rsidR="003717A0" w:rsidRDefault="003717A0">
      <w:pPr>
        <w:autoSpaceDE w:val="0"/>
        <w:autoSpaceDN w:val="0"/>
        <w:adjustRightInd w:val="0"/>
        <w:snapToGrid w:val="0"/>
        <w:spacing w:line="440" w:lineRule="exact"/>
        <w:jc w:val="left"/>
        <w:rPr>
          <w:sz w:val="22"/>
        </w:rPr>
      </w:pPr>
      <w:r>
        <w:rPr>
          <w:rFonts w:hint="eastAsia"/>
          <w:sz w:val="22"/>
        </w:rPr>
        <w:t>教学内容</w:t>
      </w:r>
    </w:p>
    <w:p w:rsidR="003717A0" w:rsidRDefault="003717A0">
      <w:pPr>
        <w:numPr>
          <w:ilvl w:val="0"/>
          <w:numId w:val="256"/>
        </w:numPr>
        <w:autoSpaceDE w:val="0"/>
        <w:autoSpaceDN w:val="0"/>
        <w:adjustRightInd w:val="0"/>
        <w:snapToGrid w:val="0"/>
        <w:spacing w:line="440" w:lineRule="exact"/>
        <w:jc w:val="left"/>
        <w:rPr>
          <w:sz w:val="22"/>
        </w:rPr>
      </w:pPr>
      <w:r>
        <w:rPr>
          <w:rFonts w:hint="eastAsia"/>
          <w:sz w:val="22"/>
        </w:rPr>
        <w:t>轮椅</w:t>
      </w:r>
    </w:p>
    <w:p w:rsidR="003717A0" w:rsidRDefault="003717A0">
      <w:pPr>
        <w:numPr>
          <w:ilvl w:val="0"/>
          <w:numId w:val="256"/>
        </w:numPr>
        <w:autoSpaceDE w:val="0"/>
        <w:autoSpaceDN w:val="0"/>
        <w:adjustRightInd w:val="0"/>
        <w:snapToGrid w:val="0"/>
        <w:spacing w:line="440" w:lineRule="exact"/>
        <w:jc w:val="left"/>
        <w:rPr>
          <w:sz w:val="22"/>
        </w:rPr>
      </w:pPr>
      <w:r>
        <w:rPr>
          <w:rFonts w:hint="eastAsia"/>
          <w:sz w:val="22"/>
        </w:rPr>
        <w:t>助行器</w:t>
      </w:r>
    </w:p>
    <w:p w:rsidR="003717A0" w:rsidRDefault="003717A0">
      <w:pPr>
        <w:numPr>
          <w:ilvl w:val="0"/>
          <w:numId w:val="251"/>
        </w:numPr>
        <w:autoSpaceDE w:val="0"/>
        <w:autoSpaceDN w:val="0"/>
        <w:adjustRightInd w:val="0"/>
        <w:snapToGrid w:val="0"/>
        <w:spacing w:line="440" w:lineRule="exact"/>
        <w:jc w:val="left"/>
        <w:rPr>
          <w:b/>
          <w:sz w:val="22"/>
        </w:rPr>
      </w:pPr>
      <w:r>
        <w:rPr>
          <w:rFonts w:hint="eastAsia"/>
          <w:b/>
          <w:sz w:val="22"/>
        </w:rPr>
        <w:t>坐姿系统与坐垫</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了解坐姿系统的分类及结构</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掌握坐姿系统及坐垫的选配</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了解坐姿系统及坐垫的选配原则及注意事项</w:t>
      </w:r>
    </w:p>
    <w:p w:rsidR="003717A0" w:rsidRDefault="003717A0">
      <w:pPr>
        <w:autoSpaceDE w:val="0"/>
        <w:autoSpaceDN w:val="0"/>
        <w:adjustRightInd w:val="0"/>
        <w:snapToGrid w:val="0"/>
        <w:spacing w:line="440" w:lineRule="exact"/>
        <w:jc w:val="left"/>
        <w:rPr>
          <w:sz w:val="22"/>
        </w:rPr>
      </w:pPr>
      <w:r>
        <w:rPr>
          <w:rFonts w:hint="eastAsia"/>
          <w:sz w:val="22"/>
        </w:rPr>
        <w:t>教学内容</w:t>
      </w:r>
    </w:p>
    <w:p w:rsidR="003717A0" w:rsidRDefault="003717A0">
      <w:pPr>
        <w:numPr>
          <w:ilvl w:val="0"/>
          <w:numId w:val="257"/>
        </w:numPr>
        <w:autoSpaceDE w:val="0"/>
        <w:autoSpaceDN w:val="0"/>
        <w:adjustRightInd w:val="0"/>
        <w:snapToGrid w:val="0"/>
        <w:spacing w:line="440" w:lineRule="exact"/>
        <w:jc w:val="left"/>
        <w:rPr>
          <w:sz w:val="22"/>
        </w:rPr>
      </w:pPr>
      <w:r>
        <w:rPr>
          <w:rFonts w:hint="eastAsia"/>
          <w:sz w:val="22"/>
        </w:rPr>
        <w:t>坐姿系统</w:t>
      </w:r>
    </w:p>
    <w:p w:rsidR="003717A0" w:rsidRDefault="003717A0">
      <w:pPr>
        <w:numPr>
          <w:ilvl w:val="0"/>
          <w:numId w:val="257"/>
        </w:numPr>
        <w:autoSpaceDE w:val="0"/>
        <w:autoSpaceDN w:val="0"/>
        <w:adjustRightInd w:val="0"/>
        <w:snapToGrid w:val="0"/>
        <w:spacing w:line="440" w:lineRule="exact"/>
        <w:jc w:val="left"/>
        <w:rPr>
          <w:sz w:val="22"/>
        </w:rPr>
      </w:pPr>
      <w:r>
        <w:rPr>
          <w:rFonts w:hint="eastAsia"/>
          <w:sz w:val="22"/>
        </w:rPr>
        <w:t>坐垫</w:t>
      </w:r>
    </w:p>
    <w:p w:rsidR="003717A0" w:rsidRDefault="003717A0">
      <w:pPr>
        <w:numPr>
          <w:ilvl w:val="0"/>
          <w:numId w:val="251"/>
        </w:numPr>
        <w:autoSpaceDE w:val="0"/>
        <w:autoSpaceDN w:val="0"/>
        <w:adjustRightInd w:val="0"/>
        <w:snapToGrid w:val="0"/>
        <w:spacing w:line="440" w:lineRule="exact"/>
        <w:jc w:val="left"/>
        <w:rPr>
          <w:b/>
          <w:sz w:val="22"/>
        </w:rPr>
      </w:pPr>
      <w:r>
        <w:rPr>
          <w:rFonts w:hint="eastAsia"/>
          <w:b/>
          <w:sz w:val="22"/>
        </w:rPr>
        <w:t>无障碍环境</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了解无障碍环境的改造原则</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掌握各种无障碍环境的应用</w:t>
      </w:r>
    </w:p>
    <w:p w:rsidR="003717A0" w:rsidRDefault="003717A0">
      <w:pPr>
        <w:numPr>
          <w:ilvl w:val="2"/>
          <w:numId w:val="251"/>
        </w:numPr>
        <w:autoSpaceDE w:val="0"/>
        <w:autoSpaceDN w:val="0"/>
        <w:adjustRightInd w:val="0"/>
        <w:snapToGrid w:val="0"/>
        <w:spacing w:line="440" w:lineRule="exact"/>
        <w:jc w:val="left"/>
        <w:rPr>
          <w:sz w:val="22"/>
        </w:rPr>
      </w:pPr>
      <w:r>
        <w:rPr>
          <w:rFonts w:hint="eastAsia"/>
          <w:sz w:val="22"/>
        </w:rPr>
        <w:t>熟悉掌握居家环境的改造及设计</w:t>
      </w:r>
    </w:p>
    <w:p w:rsidR="003717A0" w:rsidRDefault="003717A0">
      <w:pPr>
        <w:autoSpaceDE w:val="0"/>
        <w:autoSpaceDN w:val="0"/>
        <w:adjustRightInd w:val="0"/>
        <w:snapToGrid w:val="0"/>
        <w:spacing w:line="440" w:lineRule="exact"/>
        <w:jc w:val="left"/>
        <w:rPr>
          <w:sz w:val="22"/>
        </w:rPr>
      </w:pPr>
      <w:r>
        <w:rPr>
          <w:rFonts w:hint="eastAsia"/>
          <w:sz w:val="22"/>
        </w:rPr>
        <w:lastRenderedPageBreak/>
        <w:t>教学内容</w:t>
      </w:r>
    </w:p>
    <w:p w:rsidR="003717A0" w:rsidRDefault="003717A0">
      <w:pPr>
        <w:autoSpaceDE w:val="0"/>
        <w:autoSpaceDN w:val="0"/>
        <w:adjustRightInd w:val="0"/>
        <w:snapToGrid w:val="0"/>
        <w:spacing w:line="440" w:lineRule="exact"/>
        <w:jc w:val="left"/>
        <w:rPr>
          <w:sz w:val="22"/>
        </w:rPr>
      </w:pPr>
      <w:r>
        <w:rPr>
          <w:rFonts w:hint="eastAsia"/>
          <w:sz w:val="22"/>
        </w:rPr>
        <w:t>第一节</w:t>
      </w:r>
      <w:r>
        <w:rPr>
          <w:b/>
          <w:sz w:val="22"/>
        </w:rPr>
        <w:t xml:space="preserve"> </w:t>
      </w:r>
      <w:r>
        <w:rPr>
          <w:sz w:val="22"/>
        </w:rPr>
        <w:t xml:space="preserve">  </w:t>
      </w:r>
      <w:r>
        <w:rPr>
          <w:rFonts w:hint="eastAsia"/>
          <w:sz w:val="22"/>
        </w:rPr>
        <w:t>概述</w:t>
      </w:r>
    </w:p>
    <w:p w:rsidR="003717A0" w:rsidRDefault="003717A0">
      <w:pPr>
        <w:autoSpaceDE w:val="0"/>
        <w:autoSpaceDN w:val="0"/>
        <w:adjustRightInd w:val="0"/>
        <w:snapToGrid w:val="0"/>
        <w:spacing w:line="440" w:lineRule="exact"/>
        <w:jc w:val="left"/>
        <w:rPr>
          <w:sz w:val="22"/>
        </w:rPr>
      </w:pPr>
      <w:r>
        <w:rPr>
          <w:rFonts w:hint="eastAsia"/>
          <w:sz w:val="22"/>
        </w:rPr>
        <w:t>第二节</w:t>
      </w:r>
      <w:r>
        <w:rPr>
          <w:sz w:val="22"/>
        </w:rPr>
        <w:t xml:space="preserve">   </w:t>
      </w:r>
      <w:r>
        <w:rPr>
          <w:rFonts w:hint="eastAsia"/>
          <w:sz w:val="22"/>
        </w:rPr>
        <w:t>无障碍环境的改造原则和步骤</w:t>
      </w:r>
    </w:p>
    <w:p w:rsidR="003717A0" w:rsidRDefault="003717A0">
      <w:pPr>
        <w:autoSpaceDE w:val="0"/>
        <w:autoSpaceDN w:val="0"/>
        <w:adjustRightInd w:val="0"/>
        <w:snapToGrid w:val="0"/>
        <w:spacing w:line="440" w:lineRule="exact"/>
        <w:jc w:val="left"/>
        <w:rPr>
          <w:sz w:val="22"/>
        </w:rPr>
      </w:pPr>
      <w:r>
        <w:rPr>
          <w:rFonts w:hint="eastAsia"/>
          <w:sz w:val="22"/>
        </w:rPr>
        <w:t>第三节</w:t>
      </w:r>
      <w:r>
        <w:rPr>
          <w:sz w:val="22"/>
        </w:rPr>
        <w:t xml:space="preserve">   </w:t>
      </w:r>
      <w:r>
        <w:rPr>
          <w:rFonts w:hint="eastAsia"/>
          <w:sz w:val="22"/>
        </w:rPr>
        <w:t>无障碍环境的应用</w:t>
      </w:r>
    </w:p>
    <w:p w:rsidR="003717A0" w:rsidRDefault="003717A0">
      <w:pPr>
        <w:numPr>
          <w:ilvl w:val="0"/>
          <w:numId w:val="251"/>
        </w:numPr>
        <w:autoSpaceDE w:val="0"/>
        <w:autoSpaceDN w:val="0"/>
        <w:adjustRightInd w:val="0"/>
        <w:snapToGrid w:val="0"/>
        <w:spacing w:line="440" w:lineRule="exact"/>
        <w:jc w:val="left"/>
        <w:rPr>
          <w:b/>
          <w:sz w:val="22"/>
        </w:rPr>
      </w:pPr>
      <w:r>
        <w:rPr>
          <w:rFonts w:hint="eastAsia"/>
          <w:b/>
          <w:sz w:val="22"/>
        </w:rPr>
        <w:t>交流与智力障碍的辅助器具</w:t>
      </w:r>
      <w:r>
        <w:rPr>
          <w:b/>
          <w:sz w:val="22"/>
        </w:rPr>
        <w:t xml:space="preserve"> </w:t>
      </w:r>
    </w:p>
    <w:p w:rsidR="003717A0" w:rsidRDefault="003717A0">
      <w:pPr>
        <w:autoSpaceDE w:val="0"/>
        <w:autoSpaceDN w:val="0"/>
        <w:adjustRightInd w:val="0"/>
        <w:snapToGrid w:val="0"/>
        <w:spacing w:line="440" w:lineRule="exact"/>
        <w:jc w:val="left"/>
        <w:rPr>
          <w:sz w:val="22"/>
        </w:rPr>
      </w:pPr>
      <w:r>
        <w:rPr>
          <w:rFonts w:hint="eastAsia"/>
          <w:sz w:val="22"/>
        </w:rPr>
        <w:t>目的要求</w:t>
      </w:r>
    </w:p>
    <w:p w:rsidR="003717A0" w:rsidRDefault="003717A0">
      <w:pPr>
        <w:autoSpaceDE w:val="0"/>
        <w:autoSpaceDN w:val="0"/>
        <w:adjustRightInd w:val="0"/>
        <w:snapToGrid w:val="0"/>
        <w:spacing w:line="440" w:lineRule="exact"/>
        <w:jc w:val="left"/>
        <w:rPr>
          <w:sz w:val="22"/>
        </w:rPr>
      </w:pPr>
      <w:r>
        <w:rPr>
          <w:b/>
          <w:sz w:val="22"/>
        </w:rPr>
        <w:t xml:space="preserve">  1.  </w:t>
      </w:r>
      <w:r>
        <w:rPr>
          <w:rFonts w:hint="eastAsia"/>
          <w:sz w:val="22"/>
        </w:rPr>
        <w:t>了解视听、言语及智力障碍的辅助器具</w:t>
      </w:r>
    </w:p>
    <w:p w:rsidR="003717A0" w:rsidRDefault="003717A0">
      <w:pPr>
        <w:autoSpaceDE w:val="0"/>
        <w:autoSpaceDN w:val="0"/>
        <w:adjustRightInd w:val="0"/>
        <w:snapToGrid w:val="0"/>
        <w:spacing w:line="440" w:lineRule="exact"/>
        <w:jc w:val="left"/>
        <w:rPr>
          <w:b/>
          <w:sz w:val="22"/>
        </w:rPr>
      </w:pPr>
      <w:r>
        <w:rPr>
          <w:rFonts w:hint="eastAsia"/>
          <w:sz w:val="22"/>
        </w:rPr>
        <w:t>教学内容</w:t>
      </w:r>
    </w:p>
    <w:p w:rsidR="003717A0" w:rsidRDefault="003717A0">
      <w:pPr>
        <w:numPr>
          <w:ilvl w:val="1"/>
          <w:numId w:val="251"/>
        </w:numPr>
        <w:autoSpaceDE w:val="0"/>
        <w:autoSpaceDN w:val="0"/>
        <w:adjustRightInd w:val="0"/>
        <w:snapToGrid w:val="0"/>
        <w:spacing w:line="440" w:lineRule="exact"/>
        <w:jc w:val="left"/>
        <w:rPr>
          <w:sz w:val="22"/>
        </w:rPr>
      </w:pPr>
      <w:r>
        <w:rPr>
          <w:rFonts w:hint="eastAsia"/>
          <w:sz w:val="22"/>
        </w:rPr>
        <w:t>听觉障碍的辅助器具</w:t>
      </w:r>
    </w:p>
    <w:p w:rsidR="003717A0" w:rsidRDefault="003717A0">
      <w:pPr>
        <w:numPr>
          <w:ilvl w:val="1"/>
          <w:numId w:val="251"/>
        </w:numPr>
        <w:autoSpaceDE w:val="0"/>
        <w:autoSpaceDN w:val="0"/>
        <w:adjustRightInd w:val="0"/>
        <w:snapToGrid w:val="0"/>
        <w:spacing w:line="440" w:lineRule="exact"/>
        <w:jc w:val="left"/>
        <w:rPr>
          <w:sz w:val="22"/>
        </w:rPr>
      </w:pPr>
      <w:r>
        <w:rPr>
          <w:rFonts w:hint="eastAsia"/>
          <w:sz w:val="22"/>
        </w:rPr>
        <w:t>视觉障碍的辅助器具</w:t>
      </w:r>
    </w:p>
    <w:p w:rsidR="003717A0" w:rsidRDefault="003717A0">
      <w:pPr>
        <w:numPr>
          <w:ilvl w:val="1"/>
          <w:numId w:val="251"/>
        </w:numPr>
        <w:autoSpaceDE w:val="0"/>
        <w:autoSpaceDN w:val="0"/>
        <w:adjustRightInd w:val="0"/>
        <w:snapToGrid w:val="0"/>
        <w:spacing w:line="440" w:lineRule="exact"/>
        <w:jc w:val="left"/>
        <w:rPr>
          <w:sz w:val="22"/>
        </w:rPr>
      </w:pPr>
      <w:r>
        <w:rPr>
          <w:rFonts w:hint="eastAsia"/>
          <w:sz w:val="22"/>
        </w:rPr>
        <w:t>言语障碍的辅助器具</w:t>
      </w:r>
    </w:p>
    <w:p w:rsidR="003717A0" w:rsidRDefault="003717A0">
      <w:pPr>
        <w:numPr>
          <w:ilvl w:val="1"/>
          <w:numId w:val="251"/>
        </w:numPr>
        <w:autoSpaceDE w:val="0"/>
        <w:autoSpaceDN w:val="0"/>
        <w:adjustRightInd w:val="0"/>
        <w:snapToGrid w:val="0"/>
        <w:spacing w:line="440" w:lineRule="exact"/>
        <w:jc w:val="left"/>
        <w:rPr>
          <w:sz w:val="22"/>
        </w:rPr>
      </w:pPr>
      <w:r>
        <w:rPr>
          <w:rFonts w:hint="eastAsia"/>
          <w:sz w:val="22"/>
        </w:rPr>
        <w:t>智力障碍的辅助器具</w:t>
      </w:r>
    </w:p>
    <w:p w:rsidR="003717A0" w:rsidRDefault="003717A0">
      <w:pPr>
        <w:autoSpaceDE w:val="0"/>
        <w:autoSpaceDN w:val="0"/>
        <w:adjustRightInd w:val="0"/>
        <w:snapToGrid w:val="0"/>
        <w:spacing w:line="440" w:lineRule="exact"/>
        <w:ind w:left="420"/>
        <w:jc w:val="left"/>
        <w:rPr>
          <w:sz w:val="22"/>
        </w:rPr>
      </w:pPr>
    </w:p>
    <w:p w:rsidR="003717A0" w:rsidRDefault="003717A0">
      <w:pPr>
        <w:spacing w:line="360" w:lineRule="auto"/>
        <w:rPr>
          <w:rFonts w:ascii="宋体"/>
          <w:szCs w:val="21"/>
        </w:rPr>
      </w:pPr>
      <w:r>
        <w:rPr>
          <w:rFonts w:ascii="宋体" w:hint="eastAsia"/>
          <w:b/>
          <w:szCs w:val="21"/>
        </w:rPr>
        <w:t>实验见习：</w:t>
      </w:r>
      <w:r>
        <w:rPr>
          <w:rFonts w:ascii="宋体" w:hint="eastAsia"/>
          <w:szCs w:val="21"/>
        </w:rPr>
        <w:t>本课程安排</w:t>
      </w:r>
      <w:r>
        <w:rPr>
          <w:rFonts w:ascii="宋体"/>
          <w:szCs w:val="21"/>
        </w:rPr>
        <w:t>15</w:t>
      </w:r>
      <w:r>
        <w:rPr>
          <w:rFonts w:ascii="宋体" w:hint="eastAsia"/>
          <w:szCs w:val="21"/>
        </w:rPr>
        <w:t>学时的实验见习，见习场所在假肢矫形器站。</w:t>
      </w:r>
    </w:p>
    <w:p w:rsidR="003717A0" w:rsidRDefault="003717A0">
      <w:pPr>
        <w:autoSpaceDE w:val="0"/>
        <w:autoSpaceDN w:val="0"/>
        <w:adjustRightInd w:val="0"/>
        <w:snapToGrid w:val="0"/>
        <w:spacing w:line="440" w:lineRule="exact"/>
        <w:jc w:val="left"/>
        <w:rPr>
          <w:sz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3072"/>
        <w:gridCol w:w="2131"/>
        <w:gridCol w:w="2131"/>
      </w:tblGrid>
      <w:tr w:rsidR="003717A0">
        <w:tc>
          <w:tcPr>
            <w:tcW w:w="1188" w:type="dxa"/>
          </w:tcPr>
          <w:p w:rsidR="003717A0" w:rsidRDefault="003717A0">
            <w:pPr>
              <w:rPr>
                <w:rFonts w:ascii="宋体"/>
                <w:szCs w:val="21"/>
              </w:rPr>
            </w:pPr>
            <w:r>
              <w:rPr>
                <w:rFonts w:ascii="宋体" w:hint="eastAsia"/>
                <w:szCs w:val="21"/>
              </w:rPr>
              <w:t>序号</w:t>
            </w:r>
          </w:p>
        </w:tc>
        <w:tc>
          <w:tcPr>
            <w:tcW w:w="3072" w:type="dxa"/>
          </w:tcPr>
          <w:p w:rsidR="003717A0" w:rsidRDefault="003717A0">
            <w:pPr>
              <w:rPr>
                <w:rFonts w:ascii="宋体"/>
                <w:szCs w:val="21"/>
              </w:rPr>
            </w:pPr>
            <w:r>
              <w:rPr>
                <w:rFonts w:ascii="宋体" w:hint="eastAsia"/>
                <w:szCs w:val="21"/>
              </w:rPr>
              <w:t>内容</w:t>
            </w:r>
          </w:p>
          <w:p w:rsidR="003717A0" w:rsidRDefault="003717A0">
            <w:pPr>
              <w:rPr>
                <w:rFonts w:ascii="宋体"/>
                <w:szCs w:val="21"/>
              </w:rPr>
            </w:pPr>
          </w:p>
        </w:tc>
        <w:tc>
          <w:tcPr>
            <w:tcW w:w="2131" w:type="dxa"/>
          </w:tcPr>
          <w:p w:rsidR="003717A0" w:rsidRDefault="003717A0">
            <w:pPr>
              <w:rPr>
                <w:rFonts w:ascii="宋体"/>
                <w:szCs w:val="21"/>
              </w:rPr>
            </w:pPr>
            <w:r>
              <w:rPr>
                <w:rFonts w:ascii="宋体" w:hint="eastAsia"/>
                <w:szCs w:val="21"/>
              </w:rPr>
              <w:t>学时</w:t>
            </w:r>
          </w:p>
        </w:tc>
        <w:tc>
          <w:tcPr>
            <w:tcW w:w="2131" w:type="dxa"/>
          </w:tcPr>
          <w:p w:rsidR="003717A0" w:rsidRDefault="003717A0">
            <w:pPr>
              <w:rPr>
                <w:rFonts w:ascii="宋体"/>
                <w:szCs w:val="21"/>
              </w:rPr>
            </w:pPr>
            <w:r>
              <w:rPr>
                <w:rFonts w:ascii="宋体" w:hint="eastAsia"/>
                <w:szCs w:val="21"/>
              </w:rPr>
              <w:t>实验见习学时</w:t>
            </w:r>
          </w:p>
        </w:tc>
      </w:tr>
      <w:tr w:rsidR="003717A0">
        <w:tc>
          <w:tcPr>
            <w:tcW w:w="1188" w:type="dxa"/>
          </w:tcPr>
          <w:p w:rsidR="003717A0" w:rsidRDefault="003717A0">
            <w:pPr>
              <w:rPr>
                <w:rFonts w:ascii="宋体"/>
                <w:szCs w:val="21"/>
              </w:rPr>
            </w:pPr>
            <w:r>
              <w:rPr>
                <w:rFonts w:ascii="宋体"/>
                <w:szCs w:val="21"/>
              </w:rPr>
              <w:t>1</w:t>
            </w:r>
          </w:p>
        </w:tc>
        <w:tc>
          <w:tcPr>
            <w:tcW w:w="3072" w:type="dxa"/>
          </w:tcPr>
          <w:p w:rsidR="003717A0" w:rsidRDefault="003717A0">
            <w:pPr>
              <w:rPr>
                <w:rFonts w:ascii="宋体"/>
                <w:szCs w:val="21"/>
              </w:rPr>
            </w:pPr>
            <w:r>
              <w:rPr>
                <w:rFonts w:ascii="宋体" w:hint="eastAsia"/>
                <w:szCs w:val="21"/>
              </w:rPr>
              <w:t>绪论</w:t>
            </w:r>
          </w:p>
        </w:tc>
        <w:tc>
          <w:tcPr>
            <w:tcW w:w="2131" w:type="dxa"/>
          </w:tcPr>
          <w:p w:rsidR="003717A0" w:rsidRDefault="003717A0">
            <w:pPr>
              <w:rPr>
                <w:rFonts w:ascii="宋体"/>
                <w:szCs w:val="21"/>
              </w:rPr>
            </w:pPr>
            <w:r>
              <w:rPr>
                <w:rFonts w:ascii="宋体"/>
                <w:szCs w:val="21"/>
              </w:rPr>
              <w:t>2</w:t>
            </w:r>
          </w:p>
        </w:tc>
        <w:tc>
          <w:tcPr>
            <w:tcW w:w="2131" w:type="dxa"/>
          </w:tcPr>
          <w:p w:rsidR="003717A0" w:rsidRDefault="003717A0">
            <w:pPr>
              <w:rPr>
                <w:rFonts w:ascii="宋体"/>
                <w:szCs w:val="21"/>
              </w:rPr>
            </w:pPr>
          </w:p>
        </w:tc>
      </w:tr>
      <w:tr w:rsidR="003717A0">
        <w:tc>
          <w:tcPr>
            <w:tcW w:w="1188" w:type="dxa"/>
          </w:tcPr>
          <w:p w:rsidR="003717A0" w:rsidRDefault="003717A0">
            <w:pPr>
              <w:rPr>
                <w:rFonts w:ascii="宋体"/>
                <w:szCs w:val="21"/>
              </w:rPr>
            </w:pPr>
            <w:r>
              <w:rPr>
                <w:rFonts w:ascii="宋体"/>
                <w:szCs w:val="21"/>
              </w:rPr>
              <w:t>2</w:t>
            </w:r>
          </w:p>
        </w:tc>
        <w:tc>
          <w:tcPr>
            <w:tcW w:w="3072" w:type="dxa"/>
          </w:tcPr>
          <w:p w:rsidR="003717A0" w:rsidRDefault="003717A0">
            <w:pPr>
              <w:rPr>
                <w:rFonts w:ascii="宋体"/>
                <w:szCs w:val="21"/>
              </w:rPr>
            </w:pPr>
            <w:r>
              <w:rPr>
                <w:rFonts w:ascii="宋体" w:hint="eastAsia"/>
                <w:szCs w:val="21"/>
              </w:rPr>
              <w:t>临床康复工程学基础</w:t>
            </w:r>
          </w:p>
        </w:tc>
        <w:tc>
          <w:tcPr>
            <w:tcW w:w="2131" w:type="dxa"/>
          </w:tcPr>
          <w:p w:rsidR="003717A0" w:rsidRDefault="003717A0">
            <w:pPr>
              <w:rPr>
                <w:rFonts w:ascii="宋体"/>
                <w:szCs w:val="21"/>
              </w:rPr>
            </w:pPr>
            <w:r>
              <w:rPr>
                <w:rFonts w:ascii="宋体"/>
                <w:szCs w:val="21"/>
              </w:rPr>
              <w:t>3</w:t>
            </w:r>
          </w:p>
        </w:tc>
        <w:tc>
          <w:tcPr>
            <w:tcW w:w="2131" w:type="dxa"/>
          </w:tcPr>
          <w:p w:rsidR="003717A0" w:rsidRDefault="003717A0">
            <w:pPr>
              <w:rPr>
                <w:rFonts w:ascii="宋体"/>
                <w:szCs w:val="21"/>
              </w:rPr>
            </w:pPr>
          </w:p>
        </w:tc>
      </w:tr>
      <w:tr w:rsidR="003717A0">
        <w:tc>
          <w:tcPr>
            <w:tcW w:w="1188" w:type="dxa"/>
          </w:tcPr>
          <w:p w:rsidR="003717A0" w:rsidRDefault="003717A0">
            <w:pPr>
              <w:rPr>
                <w:rFonts w:ascii="宋体"/>
                <w:szCs w:val="21"/>
              </w:rPr>
            </w:pPr>
            <w:r>
              <w:rPr>
                <w:rFonts w:ascii="宋体"/>
                <w:szCs w:val="21"/>
              </w:rPr>
              <w:t>3</w:t>
            </w:r>
          </w:p>
        </w:tc>
        <w:tc>
          <w:tcPr>
            <w:tcW w:w="3072" w:type="dxa"/>
          </w:tcPr>
          <w:p w:rsidR="003717A0" w:rsidRDefault="003717A0">
            <w:pPr>
              <w:rPr>
                <w:rFonts w:ascii="宋体"/>
                <w:szCs w:val="21"/>
              </w:rPr>
            </w:pPr>
            <w:r>
              <w:rPr>
                <w:rFonts w:ascii="宋体" w:hint="eastAsia"/>
                <w:szCs w:val="21"/>
              </w:rPr>
              <w:t>康复评定和治疗设备</w:t>
            </w:r>
          </w:p>
        </w:tc>
        <w:tc>
          <w:tcPr>
            <w:tcW w:w="2131" w:type="dxa"/>
          </w:tcPr>
          <w:p w:rsidR="003717A0" w:rsidRDefault="003717A0">
            <w:pPr>
              <w:rPr>
                <w:rFonts w:ascii="宋体"/>
                <w:szCs w:val="21"/>
              </w:rPr>
            </w:pPr>
            <w:r>
              <w:rPr>
                <w:rFonts w:ascii="宋体"/>
                <w:szCs w:val="21"/>
              </w:rPr>
              <w:t>3</w:t>
            </w:r>
          </w:p>
        </w:tc>
        <w:tc>
          <w:tcPr>
            <w:tcW w:w="2131" w:type="dxa"/>
          </w:tcPr>
          <w:p w:rsidR="003717A0" w:rsidRDefault="003717A0">
            <w:pPr>
              <w:rPr>
                <w:rFonts w:ascii="宋体"/>
                <w:szCs w:val="21"/>
              </w:rPr>
            </w:pPr>
            <w:r>
              <w:rPr>
                <w:rFonts w:ascii="宋体"/>
                <w:szCs w:val="21"/>
              </w:rPr>
              <w:t>2</w:t>
            </w:r>
          </w:p>
        </w:tc>
      </w:tr>
      <w:tr w:rsidR="003717A0">
        <w:tc>
          <w:tcPr>
            <w:tcW w:w="1188" w:type="dxa"/>
          </w:tcPr>
          <w:p w:rsidR="003717A0" w:rsidRDefault="003717A0">
            <w:pPr>
              <w:rPr>
                <w:rFonts w:ascii="宋体"/>
                <w:szCs w:val="21"/>
              </w:rPr>
            </w:pPr>
            <w:r>
              <w:rPr>
                <w:rFonts w:ascii="宋体"/>
                <w:szCs w:val="21"/>
              </w:rPr>
              <w:t>4</w:t>
            </w:r>
          </w:p>
        </w:tc>
        <w:tc>
          <w:tcPr>
            <w:tcW w:w="3072" w:type="dxa"/>
          </w:tcPr>
          <w:p w:rsidR="003717A0" w:rsidRDefault="003717A0">
            <w:pPr>
              <w:rPr>
                <w:rFonts w:ascii="宋体"/>
                <w:szCs w:val="21"/>
              </w:rPr>
            </w:pPr>
            <w:r>
              <w:rPr>
                <w:rFonts w:ascii="宋体" w:hint="eastAsia"/>
                <w:szCs w:val="21"/>
              </w:rPr>
              <w:t>假肢</w:t>
            </w:r>
          </w:p>
        </w:tc>
        <w:tc>
          <w:tcPr>
            <w:tcW w:w="2131" w:type="dxa"/>
          </w:tcPr>
          <w:p w:rsidR="003717A0" w:rsidRDefault="003717A0">
            <w:pPr>
              <w:rPr>
                <w:rFonts w:ascii="宋体"/>
                <w:szCs w:val="21"/>
              </w:rPr>
            </w:pPr>
            <w:r>
              <w:rPr>
                <w:rFonts w:ascii="宋体"/>
                <w:szCs w:val="21"/>
              </w:rPr>
              <w:t>6</w:t>
            </w:r>
          </w:p>
        </w:tc>
        <w:tc>
          <w:tcPr>
            <w:tcW w:w="2131" w:type="dxa"/>
          </w:tcPr>
          <w:p w:rsidR="003717A0" w:rsidRDefault="003717A0">
            <w:pPr>
              <w:rPr>
                <w:rFonts w:ascii="宋体"/>
                <w:szCs w:val="21"/>
              </w:rPr>
            </w:pPr>
            <w:r>
              <w:rPr>
                <w:rFonts w:ascii="宋体"/>
                <w:szCs w:val="21"/>
              </w:rPr>
              <w:t>3</w:t>
            </w:r>
          </w:p>
        </w:tc>
      </w:tr>
      <w:tr w:rsidR="003717A0">
        <w:tc>
          <w:tcPr>
            <w:tcW w:w="1188" w:type="dxa"/>
          </w:tcPr>
          <w:p w:rsidR="003717A0" w:rsidRDefault="003717A0">
            <w:pPr>
              <w:rPr>
                <w:rFonts w:ascii="宋体"/>
                <w:szCs w:val="21"/>
              </w:rPr>
            </w:pPr>
            <w:r>
              <w:rPr>
                <w:rFonts w:ascii="宋体"/>
                <w:szCs w:val="21"/>
              </w:rPr>
              <w:t>5</w:t>
            </w:r>
          </w:p>
        </w:tc>
        <w:tc>
          <w:tcPr>
            <w:tcW w:w="3072" w:type="dxa"/>
          </w:tcPr>
          <w:p w:rsidR="003717A0" w:rsidRDefault="003717A0">
            <w:pPr>
              <w:rPr>
                <w:rFonts w:ascii="宋体"/>
                <w:szCs w:val="21"/>
              </w:rPr>
            </w:pPr>
            <w:r>
              <w:rPr>
                <w:rFonts w:ascii="宋体" w:hint="eastAsia"/>
                <w:szCs w:val="21"/>
              </w:rPr>
              <w:t>矫形器</w:t>
            </w:r>
          </w:p>
        </w:tc>
        <w:tc>
          <w:tcPr>
            <w:tcW w:w="2131" w:type="dxa"/>
          </w:tcPr>
          <w:p w:rsidR="003717A0" w:rsidRDefault="003717A0">
            <w:pPr>
              <w:rPr>
                <w:rFonts w:ascii="宋体"/>
                <w:szCs w:val="21"/>
              </w:rPr>
            </w:pPr>
            <w:r>
              <w:rPr>
                <w:rFonts w:ascii="宋体"/>
                <w:szCs w:val="21"/>
              </w:rPr>
              <w:t>6</w:t>
            </w:r>
          </w:p>
        </w:tc>
        <w:tc>
          <w:tcPr>
            <w:tcW w:w="2131" w:type="dxa"/>
          </w:tcPr>
          <w:p w:rsidR="003717A0" w:rsidRDefault="003717A0">
            <w:pPr>
              <w:rPr>
                <w:rFonts w:ascii="宋体"/>
                <w:szCs w:val="21"/>
              </w:rPr>
            </w:pPr>
            <w:r>
              <w:rPr>
                <w:rFonts w:ascii="宋体"/>
                <w:szCs w:val="21"/>
              </w:rPr>
              <w:t>3</w:t>
            </w:r>
          </w:p>
        </w:tc>
      </w:tr>
      <w:tr w:rsidR="003717A0">
        <w:tc>
          <w:tcPr>
            <w:tcW w:w="1188" w:type="dxa"/>
          </w:tcPr>
          <w:p w:rsidR="003717A0" w:rsidRDefault="003717A0">
            <w:pPr>
              <w:rPr>
                <w:rFonts w:ascii="宋体"/>
                <w:szCs w:val="21"/>
              </w:rPr>
            </w:pPr>
            <w:r>
              <w:rPr>
                <w:rFonts w:ascii="宋体"/>
                <w:szCs w:val="21"/>
              </w:rPr>
              <w:t>6</w:t>
            </w:r>
          </w:p>
        </w:tc>
        <w:tc>
          <w:tcPr>
            <w:tcW w:w="3072" w:type="dxa"/>
          </w:tcPr>
          <w:p w:rsidR="003717A0" w:rsidRDefault="003717A0">
            <w:pPr>
              <w:rPr>
                <w:rFonts w:ascii="宋体"/>
                <w:szCs w:val="21"/>
              </w:rPr>
            </w:pPr>
            <w:r>
              <w:rPr>
                <w:rFonts w:ascii="宋体" w:hint="eastAsia"/>
                <w:szCs w:val="21"/>
              </w:rPr>
              <w:t>轮椅与助行器</w:t>
            </w:r>
          </w:p>
        </w:tc>
        <w:tc>
          <w:tcPr>
            <w:tcW w:w="2131" w:type="dxa"/>
          </w:tcPr>
          <w:p w:rsidR="003717A0" w:rsidRDefault="003717A0">
            <w:pPr>
              <w:rPr>
                <w:rFonts w:ascii="宋体"/>
                <w:szCs w:val="21"/>
              </w:rPr>
            </w:pPr>
            <w:r>
              <w:rPr>
                <w:rFonts w:ascii="宋体"/>
                <w:szCs w:val="21"/>
              </w:rPr>
              <w:t>3</w:t>
            </w:r>
          </w:p>
        </w:tc>
        <w:tc>
          <w:tcPr>
            <w:tcW w:w="2131" w:type="dxa"/>
          </w:tcPr>
          <w:p w:rsidR="003717A0" w:rsidRDefault="003717A0">
            <w:pPr>
              <w:rPr>
                <w:rFonts w:ascii="宋体"/>
                <w:szCs w:val="21"/>
              </w:rPr>
            </w:pPr>
            <w:r>
              <w:rPr>
                <w:rFonts w:ascii="宋体"/>
                <w:szCs w:val="21"/>
              </w:rPr>
              <w:t>2</w:t>
            </w:r>
          </w:p>
        </w:tc>
      </w:tr>
      <w:tr w:rsidR="003717A0">
        <w:tc>
          <w:tcPr>
            <w:tcW w:w="1188" w:type="dxa"/>
          </w:tcPr>
          <w:p w:rsidR="003717A0" w:rsidRDefault="003717A0">
            <w:pPr>
              <w:rPr>
                <w:rFonts w:ascii="宋体"/>
                <w:szCs w:val="21"/>
              </w:rPr>
            </w:pPr>
            <w:r>
              <w:rPr>
                <w:rFonts w:ascii="宋体"/>
                <w:szCs w:val="21"/>
              </w:rPr>
              <w:t>7</w:t>
            </w:r>
          </w:p>
        </w:tc>
        <w:tc>
          <w:tcPr>
            <w:tcW w:w="3072" w:type="dxa"/>
          </w:tcPr>
          <w:p w:rsidR="003717A0" w:rsidRDefault="003717A0">
            <w:pPr>
              <w:rPr>
                <w:rFonts w:ascii="宋体"/>
                <w:szCs w:val="21"/>
              </w:rPr>
            </w:pPr>
            <w:r>
              <w:rPr>
                <w:rFonts w:ascii="宋体" w:hint="eastAsia"/>
                <w:szCs w:val="21"/>
              </w:rPr>
              <w:t>坐姿系统与坐垫</w:t>
            </w:r>
          </w:p>
        </w:tc>
        <w:tc>
          <w:tcPr>
            <w:tcW w:w="2131" w:type="dxa"/>
          </w:tcPr>
          <w:p w:rsidR="003717A0" w:rsidRDefault="003717A0">
            <w:pPr>
              <w:rPr>
                <w:rFonts w:ascii="宋体"/>
                <w:szCs w:val="21"/>
              </w:rPr>
            </w:pPr>
            <w:r>
              <w:rPr>
                <w:rFonts w:ascii="宋体"/>
                <w:szCs w:val="21"/>
              </w:rPr>
              <w:t>2</w:t>
            </w:r>
          </w:p>
        </w:tc>
        <w:tc>
          <w:tcPr>
            <w:tcW w:w="2131" w:type="dxa"/>
          </w:tcPr>
          <w:p w:rsidR="003717A0" w:rsidRDefault="003717A0">
            <w:pPr>
              <w:rPr>
                <w:rFonts w:ascii="宋体"/>
                <w:szCs w:val="21"/>
              </w:rPr>
            </w:pPr>
            <w:r>
              <w:rPr>
                <w:rFonts w:ascii="宋体"/>
                <w:szCs w:val="21"/>
              </w:rPr>
              <w:t>1</w:t>
            </w:r>
          </w:p>
        </w:tc>
      </w:tr>
      <w:tr w:rsidR="003717A0">
        <w:tc>
          <w:tcPr>
            <w:tcW w:w="1188" w:type="dxa"/>
          </w:tcPr>
          <w:p w:rsidR="003717A0" w:rsidRDefault="003717A0">
            <w:pPr>
              <w:rPr>
                <w:rFonts w:ascii="宋体"/>
                <w:szCs w:val="21"/>
              </w:rPr>
            </w:pPr>
            <w:r>
              <w:rPr>
                <w:rFonts w:ascii="宋体"/>
                <w:szCs w:val="21"/>
              </w:rPr>
              <w:t>8</w:t>
            </w:r>
          </w:p>
        </w:tc>
        <w:tc>
          <w:tcPr>
            <w:tcW w:w="3072" w:type="dxa"/>
          </w:tcPr>
          <w:p w:rsidR="003717A0" w:rsidRDefault="003717A0">
            <w:pPr>
              <w:rPr>
                <w:rFonts w:ascii="宋体"/>
                <w:szCs w:val="21"/>
              </w:rPr>
            </w:pPr>
            <w:r>
              <w:rPr>
                <w:rFonts w:ascii="宋体" w:hint="eastAsia"/>
                <w:szCs w:val="21"/>
              </w:rPr>
              <w:t>无障碍环境</w:t>
            </w:r>
          </w:p>
        </w:tc>
        <w:tc>
          <w:tcPr>
            <w:tcW w:w="2131" w:type="dxa"/>
          </w:tcPr>
          <w:p w:rsidR="003717A0" w:rsidRDefault="003717A0">
            <w:pPr>
              <w:rPr>
                <w:rFonts w:ascii="宋体"/>
                <w:szCs w:val="21"/>
              </w:rPr>
            </w:pPr>
            <w:r>
              <w:rPr>
                <w:rFonts w:ascii="宋体"/>
                <w:szCs w:val="21"/>
              </w:rPr>
              <w:t>2</w:t>
            </w:r>
          </w:p>
        </w:tc>
        <w:tc>
          <w:tcPr>
            <w:tcW w:w="2131" w:type="dxa"/>
          </w:tcPr>
          <w:p w:rsidR="003717A0" w:rsidRDefault="003717A0">
            <w:pPr>
              <w:rPr>
                <w:rFonts w:ascii="宋体"/>
                <w:szCs w:val="21"/>
              </w:rPr>
            </w:pPr>
            <w:r>
              <w:rPr>
                <w:rFonts w:ascii="宋体"/>
                <w:szCs w:val="21"/>
              </w:rPr>
              <w:t>2</w:t>
            </w:r>
          </w:p>
        </w:tc>
      </w:tr>
      <w:tr w:rsidR="003717A0">
        <w:tc>
          <w:tcPr>
            <w:tcW w:w="1188" w:type="dxa"/>
          </w:tcPr>
          <w:p w:rsidR="003717A0" w:rsidRDefault="003717A0">
            <w:pPr>
              <w:rPr>
                <w:rFonts w:ascii="宋体"/>
                <w:szCs w:val="21"/>
              </w:rPr>
            </w:pPr>
            <w:r>
              <w:rPr>
                <w:rFonts w:ascii="宋体"/>
                <w:szCs w:val="21"/>
              </w:rPr>
              <w:t>9</w:t>
            </w:r>
          </w:p>
        </w:tc>
        <w:tc>
          <w:tcPr>
            <w:tcW w:w="3072" w:type="dxa"/>
          </w:tcPr>
          <w:p w:rsidR="003717A0" w:rsidRDefault="003717A0">
            <w:pPr>
              <w:rPr>
                <w:rFonts w:ascii="宋体"/>
                <w:szCs w:val="21"/>
              </w:rPr>
            </w:pPr>
            <w:r>
              <w:rPr>
                <w:rFonts w:ascii="宋体" w:hint="eastAsia"/>
                <w:szCs w:val="21"/>
              </w:rPr>
              <w:t>交流与智力障碍的辅助器具</w:t>
            </w:r>
          </w:p>
        </w:tc>
        <w:tc>
          <w:tcPr>
            <w:tcW w:w="2131" w:type="dxa"/>
          </w:tcPr>
          <w:p w:rsidR="003717A0" w:rsidRDefault="003717A0">
            <w:pPr>
              <w:rPr>
                <w:rFonts w:ascii="宋体"/>
                <w:szCs w:val="21"/>
              </w:rPr>
            </w:pPr>
            <w:r>
              <w:rPr>
                <w:rFonts w:ascii="宋体"/>
                <w:szCs w:val="21"/>
              </w:rPr>
              <w:t>3</w:t>
            </w:r>
          </w:p>
        </w:tc>
        <w:tc>
          <w:tcPr>
            <w:tcW w:w="2131" w:type="dxa"/>
          </w:tcPr>
          <w:p w:rsidR="003717A0" w:rsidRDefault="003717A0">
            <w:pPr>
              <w:rPr>
                <w:rFonts w:ascii="宋体"/>
                <w:szCs w:val="21"/>
              </w:rPr>
            </w:pPr>
            <w:r>
              <w:rPr>
                <w:rFonts w:ascii="宋体"/>
                <w:szCs w:val="21"/>
              </w:rPr>
              <w:t>2</w:t>
            </w:r>
          </w:p>
        </w:tc>
      </w:tr>
      <w:tr w:rsidR="003717A0">
        <w:trPr>
          <w:trHeight w:val="611"/>
        </w:trPr>
        <w:tc>
          <w:tcPr>
            <w:tcW w:w="4260" w:type="dxa"/>
            <w:gridSpan w:val="2"/>
          </w:tcPr>
          <w:p w:rsidR="003717A0" w:rsidRDefault="003717A0">
            <w:pPr>
              <w:ind w:firstLineChars="400" w:firstLine="840"/>
              <w:rPr>
                <w:rFonts w:ascii="宋体"/>
                <w:szCs w:val="21"/>
              </w:rPr>
            </w:pPr>
            <w:r>
              <w:rPr>
                <w:rFonts w:ascii="宋体" w:hint="eastAsia"/>
                <w:szCs w:val="21"/>
              </w:rPr>
              <w:t>合计</w:t>
            </w:r>
            <w:r>
              <w:rPr>
                <w:rFonts w:ascii="宋体"/>
                <w:szCs w:val="21"/>
              </w:rPr>
              <w:t xml:space="preserve">  </w:t>
            </w:r>
          </w:p>
        </w:tc>
        <w:tc>
          <w:tcPr>
            <w:tcW w:w="2131" w:type="dxa"/>
          </w:tcPr>
          <w:p w:rsidR="003717A0" w:rsidRDefault="003717A0">
            <w:pPr>
              <w:rPr>
                <w:rFonts w:ascii="宋体"/>
                <w:szCs w:val="21"/>
              </w:rPr>
            </w:pPr>
            <w:r>
              <w:rPr>
                <w:rFonts w:ascii="宋体"/>
                <w:szCs w:val="21"/>
              </w:rPr>
              <w:t>30</w:t>
            </w:r>
          </w:p>
        </w:tc>
        <w:tc>
          <w:tcPr>
            <w:tcW w:w="2131" w:type="dxa"/>
          </w:tcPr>
          <w:p w:rsidR="003717A0" w:rsidRDefault="003717A0">
            <w:pPr>
              <w:rPr>
                <w:rFonts w:ascii="宋体"/>
                <w:szCs w:val="21"/>
              </w:rPr>
            </w:pPr>
            <w:r>
              <w:rPr>
                <w:rFonts w:ascii="宋体"/>
                <w:szCs w:val="21"/>
              </w:rPr>
              <w:t>15</w:t>
            </w:r>
          </w:p>
        </w:tc>
      </w:tr>
    </w:tbl>
    <w:p w:rsidR="003717A0" w:rsidRDefault="003717A0">
      <w:pPr>
        <w:autoSpaceDE w:val="0"/>
        <w:autoSpaceDN w:val="0"/>
        <w:adjustRightInd w:val="0"/>
        <w:snapToGrid w:val="0"/>
        <w:spacing w:line="440" w:lineRule="exact"/>
        <w:jc w:val="left"/>
        <w:rPr>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ind w:firstLineChars="150" w:firstLine="315"/>
        <w:rPr>
          <w:rFonts w:ascii="宋体"/>
          <w:szCs w:val="21"/>
        </w:rPr>
      </w:pPr>
      <w:r>
        <w:rPr>
          <w:rFonts w:ascii="宋体" w:hint="eastAsia"/>
          <w:szCs w:val="21"/>
        </w:rPr>
        <w:t>课堂教学以大班上课为主，讲课按教学大纲进行讲课时要做到目地明确，层次分明，讲究教学方法，充分利用图表、幻灯、录相、多媒体等教学工具。</w:t>
      </w:r>
    </w:p>
    <w:p w:rsidR="003717A0" w:rsidRDefault="003717A0">
      <w:pPr>
        <w:ind w:firstLineChars="150" w:firstLine="315"/>
        <w:rPr>
          <w:rFonts w:ascii="宋体"/>
          <w:szCs w:val="21"/>
        </w:rPr>
      </w:pPr>
      <w:r>
        <w:rPr>
          <w:rFonts w:ascii="宋体" w:hint="eastAsia"/>
          <w:szCs w:val="21"/>
        </w:rPr>
        <w:t>在实验见习中，利用各种工具示教，小组带教，以学生自主操作为主，结合对病人治疗需求进行必要的重点讲解，以巩固和深化课堂所讲授的知识。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napToGrid w:val="0"/>
        <w:spacing w:line="440" w:lineRule="exact"/>
        <w:jc w:val="left"/>
        <w:rPr>
          <w:rFonts w:ascii="宋体"/>
          <w:szCs w:val="21"/>
        </w:rPr>
      </w:pPr>
      <w:r>
        <w:rPr>
          <w:rFonts w:ascii="宋体" w:hint="eastAsia"/>
          <w:szCs w:val="21"/>
        </w:rPr>
        <w:t>期末考试</w:t>
      </w:r>
      <w:r>
        <w:rPr>
          <w:rFonts w:ascii="宋体"/>
          <w:szCs w:val="21"/>
        </w:rPr>
        <w:t xml:space="preserve">  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七、附录</w:t>
      </w:r>
    </w:p>
    <w:p w:rsidR="003717A0" w:rsidRDefault="003717A0">
      <w:pPr>
        <w:autoSpaceDE w:val="0"/>
        <w:autoSpaceDN w:val="0"/>
        <w:adjustRightInd w:val="0"/>
        <w:spacing w:line="360" w:lineRule="exact"/>
        <w:jc w:val="left"/>
        <w:rPr>
          <w:sz w:val="22"/>
        </w:rPr>
      </w:pPr>
      <w:r>
        <w:rPr>
          <w:sz w:val="22"/>
        </w:rPr>
        <w:t>1.</w:t>
      </w:r>
      <w:r>
        <w:rPr>
          <w:rFonts w:hint="eastAsia"/>
          <w:sz w:val="22"/>
        </w:rPr>
        <w:t>刘夕东主编，《康复工程学》，人民卫生出版社，</w:t>
      </w:r>
      <w:r>
        <w:rPr>
          <w:sz w:val="22"/>
        </w:rPr>
        <w:t>2012</w:t>
      </w:r>
      <w:r>
        <w:rPr>
          <w:rFonts w:hint="eastAsia"/>
          <w:sz w:val="22"/>
        </w:rPr>
        <w:t>年</w:t>
      </w:r>
    </w:p>
    <w:p w:rsidR="003717A0" w:rsidRDefault="003717A0">
      <w:pPr>
        <w:autoSpaceDE w:val="0"/>
        <w:autoSpaceDN w:val="0"/>
        <w:adjustRightInd w:val="0"/>
        <w:spacing w:line="360" w:lineRule="exact"/>
        <w:jc w:val="left"/>
        <w:rPr>
          <w:sz w:val="22"/>
        </w:rPr>
      </w:pPr>
      <w:r>
        <w:rPr>
          <w:sz w:val="22"/>
        </w:rPr>
        <w:t>2.</w:t>
      </w:r>
      <w:r>
        <w:rPr>
          <w:rFonts w:hint="eastAsia"/>
          <w:sz w:val="22"/>
        </w:rPr>
        <w:t>武继祥主编，《假肢与矫形器的临床应用》，人民卫生出版社，</w:t>
      </w:r>
      <w:r>
        <w:rPr>
          <w:sz w:val="22"/>
        </w:rPr>
        <w:t>2012</w:t>
      </w:r>
      <w:r>
        <w:rPr>
          <w:rFonts w:hint="eastAsia"/>
          <w:sz w:val="22"/>
        </w:rPr>
        <w:t>年</w:t>
      </w:r>
    </w:p>
    <w:p w:rsidR="003717A0" w:rsidRDefault="003717A0">
      <w:pPr>
        <w:autoSpaceDE w:val="0"/>
        <w:autoSpaceDN w:val="0"/>
        <w:adjustRightInd w:val="0"/>
        <w:spacing w:line="360" w:lineRule="exact"/>
        <w:jc w:val="left"/>
        <w:rPr>
          <w:sz w:val="22"/>
        </w:rPr>
      </w:pPr>
      <w:r>
        <w:rPr>
          <w:sz w:val="22"/>
        </w:rPr>
        <w:t>3.</w:t>
      </w:r>
      <w:r>
        <w:rPr>
          <w:rFonts w:hint="eastAsia"/>
          <w:sz w:val="22"/>
        </w:rPr>
        <w:t>舒彬主编，《创伤康复学》，人民卫生出版社，</w:t>
      </w:r>
      <w:r>
        <w:rPr>
          <w:sz w:val="22"/>
        </w:rPr>
        <w:t>2010</w:t>
      </w:r>
      <w:r>
        <w:rPr>
          <w:rFonts w:hint="eastAsia"/>
          <w:sz w:val="22"/>
        </w:rPr>
        <w:t>年</w:t>
      </w:r>
    </w:p>
    <w:p w:rsidR="003717A0" w:rsidRDefault="003717A0">
      <w:pPr>
        <w:autoSpaceDE w:val="0"/>
        <w:autoSpaceDN w:val="0"/>
        <w:adjustRightInd w:val="0"/>
        <w:spacing w:line="360" w:lineRule="exact"/>
        <w:jc w:val="left"/>
        <w:rPr>
          <w:sz w:val="22"/>
        </w:rPr>
      </w:pPr>
      <w:r>
        <w:rPr>
          <w:sz w:val="22"/>
        </w:rPr>
        <w:t>4.</w:t>
      </w:r>
      <w:r>
        <w:rPr>
          <w:rFonts w:hint="eastAsia"/>
          <w:sz w:val="22"/>
        </w:rPr>
        <w:t>喻洪流主编，《假肢矫形器原理与应用》，东南大学出版社</w:t>
      </w:r>
    </w:p>
    <w:p w:rsidR="003717A0" w:rsidRDefault="003717A0">
      <w:pPr>
        <w:autoSpaceDE w:val="0"/>
        <w:autoSpaceDN w:val="0"/>
        <w:adjustRightInd w:val="0"/>
        <w:spacing w:line="360" w:lineRule="exact"/>
        <w:jc w:val="left"/>
        <w:rPr>
          <w:sz w:val="22"/>
        </w:rPr>
      </w:pPr>
      <w:r>
        <w:rPr>
          <w:sz w:val="22"/>
        </w:rPr>
        <w:t>5.Metring NL,Gaspar MI,Mateus-Vasconcelos ES,Gomes MM,de Abreu DC.Influence of different types of seat cushions on the static sitting posture in individuals with spinal cord injury.Spinal Cord.2012;50(8):627-631</w:t>
      </w:r>
    </w:p>
    <w:p w:rsidR="003717A0" w:rsidRDefault="003717A0">
      <w:pPr>
        <w:autoSpaceDE w:val="0"/>
        <w:autoSpaceDN w:val="0"/>
        <w:adjustRightInd w:val="0"/>
        <w:spacing w:line="360" w:lineRule="exact"/>
        <w:jc w:val="left"/>
        <w:rPr>
          <w:sz w:val="22"/>
        </w:rPr>
      </w:pPr>
      <w:r>
        <w:rPr>
          <w:sz w:val="22"/>
        </w:rPr>
        <w:t>6.International standard.Assistive products for persons with disability-Classification and terminology.Fifth edition,ISO 9999:2011</w:t>
      </w:r>
    </w:p>
    <w:p w:rsidR="003717A0" w:rsidRDefault="003717A0">
      <w:pPr>
        <w:autoSpaceDE w:val="0"/>
        <w:autoSpaceDN w:val="0"/>
        <w:adjustRightInd w:val="0"/>
        <w:spacing w:line="360" w:lineRule="exact"/>
        <w:jc w:val="left"/>
        <w:rPr>
          <w:sz w:val="22"/>
        </w:rPr>
      </w:pPr>
      <w:r>
        <w:rPr>
          <w:sz w:val="22"/>
        </w:rPr>
        <w:t>7.</w:t>
      </w:r>
      <w:r>
        <w:rPr>
          <w:rFonts w:hint="eastAsia"/>
          <w:sz w:val="22"/>
        </w:rPr>
        <w:t>肖晓鸿、方欣主编，《康复工程技术》，华中科技大学出版社，</w:t>
      </w:r>
      <w:r>
        <w:rPr>
          <w:sz w:val="22"/>
        </w:rPr>
        <w:t>2011</w:t>
      </w:r>
      <w:r>
        <w:rPr>
          <w:rFonts w:hint="eastAsia"/>
          <w:sz w:val="22"/>
        </w:rPr>
        <w:t>年</w:t>
      </w:r>
    </w:p>
    <w:p w:rsidR="003717A0" w:rsidRDefault="003717A0">
      <w:pPr>
        <w:autoSpaceDE w:val="0"/>
        <w:autoSpaceDN w:val="0"/>
        <w:adjustRightInd w:val="0"/>
        <w:spacing w:line="360" w:lineRule="exact"/>
        <w:jc w:val="left"/>
        <w:rPr>
          <w:sz w:val="22"/>
        </w:rPr>
      </w:pPr>
      <w:r>
        <w:rPr>
          <w:sz w:val="22"/>
        </w:rPr>
        <w:t>8.</w:t>
      </w:r>
      <w:r>
        <w:rPr>
          <w:rFonts w:hint="eastAsia"/>
          <w:sz w:val="22"/>
        </w:rPr>
        <w:t>金德闻、张济川主编，《康复工程与生物机械学》，清华大学出版社，</w:t>
      </w:r>
      <w:r>
        <w:rPr>
          <w:sz w:val="22"/>
        </w:rPr>
        <w:t>2011</w:t>
      </w:r>
      <w:r>
        <w:rPr>
          <w:rFonts w:hint="eastAsia"/>
          <w:sz w:val="22"/>
        </w:rPr>
        <w:t>年</w:t>
      </w:r>
    </w:p>
    <w:p w:rsidR="003717A0" w:rsidRDefault="003717A0">
      <w:pPr>
        <w:autoSpaceDE w:val="0"/>
        <w:autoSpaceDN w:val="0"/>
        <w:adjustRightInd w:val="0"/>
        <w:jc w:val="left"/>
        <w:rPr>
          <w:rFonts w:ascii="黑体" w:eastAsia="黑体" w:cs="黑体"/>
          <w:kern w:val="0"/>
          <w:sz w:val="18"/>
          <w:szCs w:val="18"/>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Default="003717A0" w:rsidP="00F5156D">
      <w:pPr>
        <w:autoSpaceDE w:val="0"/>
        <w:autoSpaceDN w:val="0"/>
        <w:adjustRightInd w:val="0"/>
        <w:spacing w:line="360" w:lineRule="exact"/>
        <w:ind w:left="702" w:right="440"/>
        <w:jc w:val="right"/>
        <w:rPr>
          <w:rFonts w:cs="黑体"/>
          <w:kern w:val="0"/>
          <w:sz w:val="22"/>
        </w:rPr>
      </w:pPr>
      <w:r>
        <w:rPr>
          <w:rFonts w:cs="黑体" w:hint="eastAsia"/>
          <w:kern w:val="0"/>
          <w:sz w:val="22"/>
        </w:rPr>
        <w:t>制定人：顾</w:t>
      </w:r>
      <w:r>
        <w:rPr>
          <w:rFonts w:cs="黑体"/>
          <w:kern w:val="0"/>
          <w:sz w:val="22"/>
        </w:rPr>
        <w:t xml:space="preserve">  </w:t>
      </w:r>
      <w:r>
        <w:rPr>
          <w:rFonts w:cs="黑体" w:hint="eastAsia"/>
          <w:kern w:val="0"/>
          <w:sz w:val="22"/>
        </w:rPr>
        <w:t>琦</w:t>
      </w:r>
    </w:p>
    <w:p w:rsidR="003717A0" w:rsidRDefault="003717A0" w:rsidP="00F5156D">
      <w:pPr>
        <w:autoSpaceDE w:val="0"/>
        <w:autoSpaceDN w:val="0"/>
        <w:adjustRightInd w:val="0"/>
        <w:spacing w:line="360" w:lineRule="exact"/>
        <w:ind w:left="702" w:right="440"/>
        <w:jc w:val="right"/>
        <w:rPr>
          <w:rFonts w:cs="黑体"/>
          <w:kern w:val="0"/>
          <w:sz w:val="22"/>
        </w:rPr>
      </w:pPr>
      <w:r>
        <w:rPr>
          <w:rFonts w:cs="黑体" w:hint="eastAsia"/>
          <w:kern w:val="0"/>
          <w:sz w:val="22"/>
        </w:rPr>
        <w:t>审核人：沈光宇</w:t>
      </w:r>
      <w:r>
        <w:rPr>
          <w:rFonts w:cs="黑体"/>
          <w:kern w:val="0"/>
          <w:sz w:val="22"/>
        </w:rPr>
        <w:t xml:space="preserve"> </w:t>
      </w:r>
    </w:p>
    <w:p w:rsidR="003717A0" w:rsidRPr="00F5156D" w:rsidRDefault="003717A0" w:rsidP="005E20B5">
      <w:pPr>
        <w:adjustRightInd w:val="0"/>
        <w:snapToGrid w:val="0"/>
        <w:spacing w:beforeLines="50" w:afterLines="50" w:line="440" w:lineRule="exact"/>
        <w:jc w:val="center"/>
        <w:rPr>
          <w:rFonts w:ascii="黑体" w:eastAsia="黑体" w:cs="黑体"/>
          <w:kern w:val="0"/>
          <w:sz w:val="18"/>
          <w:szCs w:val="18"/>
        </w:rPr>
      </w:pPr>
      <w:r>
        <w:rPr>
          <w:rFonts w:cs="黑体"/>
          <w:kern w:val="0"/>
          <w:sz w:val="22"/>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F5156D">
      <w:pPr>
        <w:adjustRightInd w:val="0"/>
        <w:snapToGrid w:val="0"/>
        <w:spacing w:line="360" w:lineRule="auto"/>
        <w:ind w:left="720" w:right="4"/>
        <w:rPr>
          <w:rFonts w:ascii="Times New Roman" w:hAnsi="Times New Roman"/>
        </w:rPr>
      </w:pPr>
      <w:r>
        <w:rPr>
          <w:rFonts w:ascii="Times New Roman" w:hAnsi="Times New Roman" w:hint="eastAsia"/>
        </w:rPr>
        <w:t>修读完本课程规定内容的康复治疗专业的本科学生；</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rsidP="00F5156D">
      <w:pPr>
        <w:autoSpaceDE w:val="0"/>
        <w:autoSpaceDN w:val="0"/>
        <w:adjustRightInd w:val="0"/>
        <w:snapToGrid w:val="0"/>
        <w:spacing w:line="360" w:lineRule="auto"/>
        <w:ind w:firstLineChars="193" w:firstLine="405"/>
        <w:jc w:val="left"/>
        <w:rPr>
          <w:rFonts w:ascii="宋体"/>
          <w:szCs w:val="21"/>
        </w:rPr>
      </w:pPr>
      <w:r>
        <w:rPr>
          <w:rFonts w:ascii="宋体" w:hint="eastAsia"/>
          <w:szCs w:val="21"/>
        </w:rPr>
        <w:t>通过考核来检查和了解学生对本门课程内容的掌握程度，考核学生对各类康复工程产品的设计、选配及应用的掌握情况。</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rsidP="00F5156D">
      <w:pPr>
        <w:autoSpaceDE w:val="0"/>
        <w:autoSpaceDN w:val="0"/>
        <w:adjustRightInd w:val="0"/>
        <w:snapToGrid w:val="0"/>
        <w:spacing w:line="360" w:lineRule="auto"/>
        <w:ind w:firstLineChars="200" w:firstLine="420"/>
        <w:jc w:val="left"/>
        <w:rPr>
          <w:rFonts w:ascii="Times New Roman" w:eastAsia="黑体" w:hAnsi="Times New Roman"/>
          <w:b/>
          <w:kern w:val="0"/>
          <w:sz w:val="24"/>
          <w:szCs w:val="24"/>
        </w:rPr>
      </w:pPr>
      <w:r>
        <w:rPr>
          <w:rFonts w:ascii="宋体" w:hint="eastAsia"/>
          <w:szCs w:val="21"/>
        </w:rPr>
        <w:t>期末闭卷理论考核和平时实验见习操作制作考核</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rsidP="00F5156D">
      <w:pPr>
        <w:autoSpaceDE w:val="0"/>
        <w:autoSpaceDN w:val="0"/>
        <w:adjustRightInd w:val="0"/>
        <w:snapToGrid w:val="0"/>
        <w:spacing w:line="360" w:lineRule="auto"/>
        <w:ind w:firstLineChars="200" w:firstLine="420"/>
        <w:jc w:val="left"/>
        <w:rPr>
          <w:rFonts w:ascii="宋体"/>
          <w:szCs w:val="21"/>
        </w:rPr>
      </w:pPr>
      <w:r>
        <w:rPr>
          <w:rFonts w:ascii="宋体" w:hint="eastAsia"/>
          <w:szCs w:val="21"/>
        </w:rPr>
        <w:t>期末考试</w:t>
      </w:r>
      <w:r>
        <w:rPr>
          <w:rFonts w:ascii="宋体"/>
          <w:szCs w:val="21"/>
        </w:rPr>
        <w:t xml:space="preserve">  100%</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rsidP="00F5156D">
      <w:pPr>
        <w:autoSpaceDE w:val="0"/>
        <w:autoSpaceDN w:val="0"/>
        <w:adjustRightInd w:val="0"/>
        <w:spacing w:line="360" w:lineRule="auto"/>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rsidP="00F5156D">
      <w:pPr>
        <w:autoSpaceDE w:val="0"/>
        <w:autoSpaceDN w:val="0"/>
        <w:adjustRightInd w:val="0"/>
        <w:spacing w:line="360" w:lineRule="auto"/>
        <w:ind w:firstLineChars="192" w:firstLine="422"/>
        <w:jc w:val="left"/>
        <w:rPr>
          <w:sz w:val="22"/>
        </w:rPr>
      </w:pPr>
      <w:r>
        <w:rPr>
          <w:rFonts w:hint="eastAsia"/>
          <w:sz w:val="22"/>
        </w:rPr>
        <w:t>假肢、矫形器、轮椅与辅助具的选配以及临床应用，还包括装配以后的训练和评估</w:t>
      </w:r>
    </w:p>
    <w:p w:rsidR="003717A0" w:rsidRDefault="003717A0" w:rsidP="00F5156D">
      <w:pPr>
        <w:autoSpaceDE w:val="0"/>
        <w:autoSpaceDN w:val="0"/>
        <w:adjustRightInd w:val="0"/>
        <w:spacing w:line="360" w:lineRule="auto"/>
        <w:jc w:val="left"/>
        <w:rPr>
          <w:sz w:val="22"/>
        </w:rPr>
      </w:pPr>
      <w:r>
        <w:rPr>
          <w:rFonts w:ascii="Times New Roman" w:eastAsia="黑体" w:hAnsi="Times New Roman" w:hint="eastAsia"/>
          <w:b/>
          <w:kern w:val="0"/>
          <w:sz w:val="22"/>
        </w:rPr>
        <w:t>考核要求：</w:t>
      </w:r>
    </w:p>
    <w:p w:rsidR="003717A0" w:rsidRDefault="003717A0" w:rsidP="00F5156D">
      <w:pPr>
        <w:autoSpaceDE w:val="0"/>
        <w:autoSpaceDN w:val="0"/>
        <w:adjustRightInd w:val="0"/>
        <w:spacing w:line="360" w:lineRule="auto"/>
        <w:ind w:leftChars="198" w:left="416"/>
        <w:jc w:val="left"/>
        <w:rPr>
          <w:sz w:val="22"/>
        </w:rPr>
      </w:pPr>
      <w:r>
        <w:rPr>
          <w:rFonts w:hint="eastAsia"/>
          <w:sz w:val="22"/>
        </w:rPr>
        <w:t>掌握常用辅助产品的设计、选配、临床应用以及佩戴以后的功能训练，例如假肢、矫形器等。</w:t>
      </w:r>
    </w:p>
    <w:p w:rsidR="003717A0" w:rsidRDefault="003717A0" w:rsidP="00F5156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rsidP="00F5156D">
      <w:pPr>
        <w:autoSpaceDE w:val="0"/>
        <w:autoSpaceDN w:val="0"/>
        <w:adjustRightInd w:val="0"/>
        <w:snapToGrid w:val="0"/>
        <w:spacing w:line="360" w:lineRule="auto"/>
        <w:jc w:val="center"/>
        <w:rPr>
          <w:rFonts w:ascii="宋体"/>
          <w:b/>
          <w:kern w:val="0"/>
          <w:sz w:val="24"/>
          <w:szCs w:val="24"/>
        </w:rPr>
      </w:pPr>
      <w:r>
        <w:rPr>
          <w:rFonts w:ascii="宋体" w:hAnsi="宋体" w:hint="eastAsia"/>
          <w:b/>
          <w:kern w:val="0"/>
          <w:sz w:val="24"/>
          <w:szCs w:val="24"/>
        </w:rPr>
        <w:t>临床康复工程学</w:t>
      </w:r>
    </w:p>
    <w:p w:rsidR="003717A0" w:rsidRDefault="003717A0" w:rsidP="00F5156D">
      <w:pPr>
        <w:autoSpaceDE w:val="0"/>
        <w:autoSpaceDN w:val="0"/>
        <w:adjustRightInd w:val="0"/>
        <w:snapToGrid w:val="0"/>
        <w:spacing w:line="360" w:lineRule="auto"/>
        <w:jc w:val="center"/>
        <w:rPr>
          <w:rFonts w:ascii="宋体"/>
          <w:kern w:val="0"/>
          <w:sz w:val="22"/>
        </w:rPr>
      </w:pPr>
      <w:r>
        <w:rPr>
          <w:rFonts w:ascii="宋体" w:hAnsi="宋体" w:hint="eastAsia"/>
          <w:kern w:val="0"/>
          <w:sz w:val="22"/>
          <w:u w:val="single"/>
        </w:rPr>
        <w:t>ⅩⅩⅩⅩⅩ</w:t>
      </w:r>
      <w:r>
        <w:rPr>
          <w:rFonts w:ascii="宋体"/>
          <w:kern w:val="0"/>
          <w:sz w:val="22"/>
          <w:u w:val="single"/>
        </w:rPr>
        <w:t>---</w:t>
      </w:r>
      <w:r>
        <w:rPr>
          <w:rFonts w:ascii="宋体" w:hAnsi="宋体" w:hint="eastAsia"/>
          <w:kern w:val="0"/>
          <w:sz w:val="22"/>
          <w:u w:val="single"/>
        </w:rPr>
        <w:t>ⅩⅩⅩ</w:t>
      </w:r>
      <w:r>
        <w:rPr>
          <w:rFonts w:ascii="宋体" w:hAnsi="宋体"/>
          <w:kern w:val="0"/>
          <w:sz w:val="22"/>
          <w:u w:val="single"/>
        </w:rPr>
        <w:t xml:space="preserve"> </w:t>
      </w:r>
      <w:r>
        <w:rPr>
          <w:rFonts w:ascii="宋体" w:hAnsi="宋体" w:hint="eastAsia"/>
          <w:kern w:val="0"/>
          <w:sz w:val="22"/>
        </w:rPr>
        <w:t>学年</w:t>
      </w:r>
      <w:r>
        <w:rPr>
          <w:rFonts w:ascii="宋体" w:hAnsi="宋体"/>
          <w:sz w:val="32"/>
          <w:u w:val="single"/>
        </w:rPr>
        <w:t xml:space="preserve"> </w:t>
      </w:r>
      <w:r>
        <w:rPr>
          <w:rFonts w:ascii="宋体" w:hAnsi="宋体" w:hint="eastAsia"/>
          <w:kern w:val="0"/>
          <w:sz w:val="22"/>
          <w:u w:val="single"/>
        </w:rPr>
        <w:t>ⅩⅩ</w:t>
      </w:r>
      <w:r>
        <w:rPr>
          <w:rFonts w:ascii="宋体" w:hAnsi="宋体"/>
          <w:kern w:val="0"/>
          <w:sz w:val="22"/>
          <w:u w:val="single"/>
        </w:rPr>
        <w:t xml:space="preserve"> </w:t>
      </w:r>
      <w:r>
        <w:rPr>
          <w:rFonts w:ascii="宋体" w:hAnsi="宋体" w:hint="eastAsia"/>
          <w:kern w:val="0"/>
          <w:sz w:val="22"/>
        </w:rPr>
        <w:t>学期</w:t>
      </w:r>
      <w:r>
        <w:rPr>
          <w:rFonts w:ascii="宋体" w:hAnsi="宋体"/>
          <w:sz w:val="32"/>
          <w:u w:val="single"/>
        </w:rPr>
        <w:t xml:space="preserve">  </w:t>
      </w:r>
      <w:r>
        <w:rPr>
          <w:rFonts w:ascii="宋体" w:hAnsi="宋体" w:hint="eastAsia"/>
          <w:kern w:val="0"/>
          <w:sz w:val="22"/>
          <w:u w:val="single"/>
        </w:rPr>
        <w:t>康复治疗ⅩⅩⅩ</w:t>
      </w:r>
      <w:r>
        <w:rPr>
          <w:rFonts w:ascii="宋体" w:hAnsi="宋体"/>
          <w:kern w:val="0"/>
          <w:sz w:val="22"/>
          <w:u w:val="single"/>
        </w:rPr>
        <w:t xml:space="preserve">  </w:t>
      </w:r>
      <w:r>
        <w:rPr>
          <w:rFonts w:ascii="宋体" w:hAnsi="宋体" w:hint="eastAsia"/>
          <w:kern w:val="0"/>
          <w:sz w:val="22"/>
        </w:rPr>
        <w:t>班级</w:t>
      </w:r>
    </w:p>
    <w:p w:rsidR="003717A0" w:rsidRPr="00F5156D" w:rsidRDefault="003717A0" w:rsidP="00F5156D">
      <w:pPr>
        <w:autoSpaceDE w:val="0"/>
        <w:autoSpaceDN w:val="0"/>
        <w:adjustRightInd w:val="0"/>
        <w:spacing w:line="360" w:lineRule="auto"/>
        <w:ind w:firstLineChars="193" w:firstLine="426"/>
        <w:jc w:val="center"/>
        <w:rPr>
          <w:rFonts w:ascii="宋体"/>
          <w:b/>
          <w:kern w:val="0"/>
          <w:sz w:val="22"/>
        </w:rPr>
      </w:pPr>
      <w:r>
        <w:rPr>
          <w:rFonts w:ascii="宋体" w:hAnsi="宋体" w:hint="eastAsia"/>
          <w:b/>
          <w:kern w:val="0"/>
          <w:sz w:val="22"/>
        </w:rPr>
        <w:t>时间：</w:t>
      </w:r>
      <w:r>
        <w:rPr>
          <w:rFonts w:ascii="宋体" w:hAnsi="宋体"/>
          <w:b/>
          <w:kern w:val="0"/>
          <w:sz w:val="22"/>
        </w:rPr>
        <w:t>120</w:t>
      </w:r>
      <w:r>
        <w:rPr>
          <w:rFonts w:ascii="宋体" w:hAnsi="宋体" w:hint="eastAsia"/>
          <w:b/>
          <w:kern w:val="0"/>
          <w:sz w:val="22"/>
        </w:rPr>
        <w:t>分钟</w:t>
      </w:r>
      <w:r>
        <w:rPr>
          <w:rFonts w:ascii="宋体" w:hAnsi="宋体"/>
          <w:b/>
          <w:kern w:val="0"/>
          <w:sz w:val="22"/>
        </w:rPr>
        <w:t xml:space="preserve">     </w:t>
      </w:r>
      <w:r>
        <w:rPr>
          <w:rFonts w:ascii="宋体" w:hAnsi="宋体" w:hint="eastAsia"/>
          <w:b/>
          <w:kern w:val="0"/>
          <w:sz w:val="22"/>
        </w:rPr>
        <w:t>总分：</w:t>
      </w:r>
      <w:r>
        <w:rPr>
          <w:rFonts w:ascii="宋体" w:hAnsi="宋体"/>
          <w:b/>
          <w:kern w:val="0"/>
          <w:sz w:val="22"/>
        </w:rPr>
        <w:t>100</w:t>
      </w:r>
      <w:r>
        <w:rPr>
          <w:rFonts w:ascii="宋体" w:hAnsi="宋体" w:hint="eastAsia"/>
          <w:b/>
          <w:kern w:val="0"/>
          <w:sz w:val="22"/>
        </w:rPr>
        <w:t>分</w:t>
      </w:r>
    </w:p>
    <w:p w:rsidR="003717A0" w:rsidRDefault="003717A0" w:rsidP="00F5156D">
      <w:pPr>
        <w:numPr>
          <w:ilvl w:val="0"/>
          <w:numId w:val="258"/>
        </w:numPr>
        <w:spacing w:line="360" w:lineRule="auto"/>
        <w:rPr>
          <w:rFonts w:ascii="宋体"/>
          <w:sz w:val="24"/>
        </w:rPr>
      </w:pPr>
      <w:r>
        <w:rPr>
          <w:rFonts w:ascii="宋体" w:hAnsi="宋体" w:hint="eastAsia"/>
          <w:sz w:val="24"/>
        </w:rPr>
        <w:t>名词解释：（每题</w:t>
      </w:r>
      <w:r>
        <w:rPr>
          <w:rFonts w:ascii="宋体" w:hAnsi="宋体"/>
          <w:sz w:val="24"/>
        </w:rPr>
        <w:t>2</w:t>
      </w:r>
      <w:r>
        <w:rPr>
          <w:rFonts w:ascii="宋体" w:hAnsi="宋体" w:hint="eastAsia"/>
          <w:sz w:val="24"/>
        </w:rPr>
        <w:t>分，共</w:t>
      </w:r>
      <w:r>
        <w:rPr>
          <w:rFonts w:ascii="宋体" w:hAnsi="宋体"/>
          <w:sz w:val="24"/>
        </w:rPr>
        <w:t>10</w:t>
      </w:r>
      <w:r>
        <w:rPr>
          <w:rFonts w:ascii="宋体" w:hAnsi="宋体" w:hint="eastAsia"/>
          <w:sz w:val="24"/>
        </w:rPr>
        <w:t>分）</w:t>
      </w:r>
    </w:p>
    <w:p w:rsidR="003717A0" w:rsidRDefault="003717A0" w:rsidP="00F5156D">
      <w:pPr>
        <w:numPr>
          <w:ilvl w:val="0"/>
          <w:numId w:val="259"/>
        </w:numPr>
        <w:spacing w:line="360" w:lineRule="auto"/>
        <w:rPr>
          <w:rFonts w:ascii="宋体"/>
          <w:sz w:val="24"/>
        </w:rPr>
      </w:pPr>
      <w:r>
        <w:rPr>
          <w:rFonts w:ascii="宋体" w:hAnsi="宋体" w:hint="eastAsia"/>
          <w:sz w:val="24"/>
        </w:rPr>
        <w:t>假肢</w:t>
      </w:r>
    </w:p>
    <w:p w:rsidR="003717A0" w:rsidRDefault="003717A0" w:rsidP="00F5156D">
      <w:pPr>
        <w:numPr>
          <w:ilvl w:val="0"/>
          <w:numId w:val="259"/>
        </w:numPr>
        <w:spacing w:line="360" w:lineRule="auto"/>
        <w:rPr>
          <w:rFonts w:ascii="宋体"/>
          <w:sz w:val="24"/>
        </w:rPr>
      </w:pPr>
      <w:r>
        <w:rPr>
          <w:rFonts w:ascii="宋体" w:hAnsi="宋体" w:hint="eastAsia"/>
          <w:sz w:val="24"/>
        </w:rPr>
        <w:t>骨成形术</w:t>
      </w:r>
    </w:p>
    <w:p w:rsidR="003717A0" w:rsidRDefault="003717A0" w:rsidP="00F5156D">
      <w:pPr>
        <w:spacing w:line="360" w:lineRule="auto"/>
        <w:rPr>
          <w:rFonts w:ascii="宋体"/>
          <w:sz w:val="24"/>
        </w:rPr>
      </w:pPr>
      <w:r>
        <w:rPr>
          <w:rFonts w:ascii="宋体" w:hAnsi="宋体"/>
          <w:sz w:val="24"/>
        </w:rPr>
        <w:t>3</w:t>
      </w:r>
      <w:r>
        <w:rPr>
          <w:rFonts w:ascii="宋体" w:hAnsi="宋体" w:hint="eastAsia"/>
          <w:sz w:val="24"/>
        </w:rPr>
        <w:t>．被动型上肢假肢</w:t>
      </w:r>
    </w:p>
    <w:p w:rsidR="003717A0" w:rsidRDefault="003717A0" w:rsidP="00F5156D">
      <w:pPr>
        <w:spacing w:line="360" w:lineRule="auto"/>
        <w:rPr>
          <w:rFonts w:ascii="宋体"/>
          <w:sz w:val="24"/>
        </w:rPr>
      </w:pPr>
      <w:r>
        <w:rPr>
          <w:rFonts w:ascii="宋体" w:hAnsi="宋体"/>
          <w:sz w:val="24"/>
        </w:rPr>
        <w:t>4</w:t>
      </w:r>
      <w:r>
        <w:rPr>
          <w:rFonts w:ascii="宋体" w:hAnsi="宋体" w:hint="eastAsia"/>
          <w:sz w:val="24"/>
        </w:rPr>
        <w:t>．矫形器</w:t>
      </w:r>
    </w:p>
    <w:p w:rsidR="003717A0" w:rsidRDefault="003717A0" w:rsidP="00F5156D">
      <w:pPr>
        <w:spacing w:line="360" w:lineRule="auto"/>
        <w:rPr>
          <w:rFonts w:ascii="宋体"/>
          <w:sz w:val="24"/>
        </w:rPr>
      </w:pPr>
      <w:r>
        <w:rPr>
          <w:rFonts w:ascii="宋体" w:hAnsi="宋体"/>
          <w:sz w:val="24"/>
        </w:rPr>
        <w:t xml:space="preserve">5. </w:t>
      </w:r>
      <w:r>
        <w:rPr>
          <w:rFonts w:ascii="宋体" w:hAnsi="宋体" w:hint="eastAsia"/>
          <w:sz w:val="24"/>
        </w:rPr>
        <w:t>脊柱侧凸</w:t>
      </w:r>
    </w:p>
    <w:p w:rsidR="003717A0" w:rsidRDefault="003717A0" w:rsidP="00F5156D">
      <w:pPr>
        <w:numPr>
          <w:ilvl w:val="0"/>
          <w:numId w:val="258"/>
        </w:numPr>
        <w:spacing w:line="360" w:lineRule="auto"/>
        <w:rPr>
          <w:rFonts w:ascii="宋体"/>
          <w:sz w:val="24"/>
        </w:rPr>
      </w:pPr>
      <w:r>
        <w:rPr>
          <w:rFonts w:ascii="宋体" w:hAnsi="宋体" w:hint="eastAsia"/>
          <w:sz w:val="24"/>
        </w:rPr>
        <w:t>多选题：（每题</w:t>
      </w:r>
      <w:r>
        <w:rPr>
          <w:rFonts w:ascii="宋体" w:hAnsi="宋体"/>
          <w:sz w:val="24"/>
        </w:rPr>
        <w:t>1</w:t>
      </w:r>
      <w:r>
        <w:rPr>
          <w:rFonts w:ascii="宋体" w:hAnsi="宋体" w:hint="eastAsia"/>
          <w:sz w:val="24"/>
        </w:rPr>
        <w:t>分，共</w:t>
      </w:r>
      <w:r>
        <w:rPr>
          <w:rFonts w:ascii="宋体" w:hAnsi="宋体"/>
          <w:sz w:val="24"/>
        </w:rPr>
        <w:t>12</w:t>
      </w:r>
      <w:r>
        <w:rPr>
          <w:rFonts w:ascii="宋体" w:hAnsi="宋体" w:hint="eastAsia"/>
          <w:sz w:val="24"/>
        </w:rPr>
        <w:t>分）</w:t>
      </w:r>
    </w:p>
    <w:p w:rsidR="003717A0" w:rsidRDefault="003717A0" w:rsidP="00F5156D">
      <w:pPr>
        <w:spacing w:line="360" w:lineRule="auto"/>
        <w:rPr>
          <w:rFonts w:ascii="宋体"/>
          <w:sz w:val="24"/>
        </w:rPr>
      </w:pPr>
      <w:r>
        <w:rPr>
          <w:rFonts w:ascii="宋体" w:hAnsi="宋体"/>
          <w:sz w:val="24"/>
        </w:rPr>
        <w:t>1</w:t>
      </w:r>
      <w:r>
        <w:rPr>
          <w:rFonts w:ascii="宋体" w:hAnsi="宋体" w:hint="eastAsia"/>
          <w:sz w:val="24"/>
        </w:rPr>
        <w:t>、截肢的主要原因有哪些：（</w:t>
      </w:r>
      <w:r>
        <w:rPr>
          <w:rFonts w:ascii="宋体" w:hAnsi="宋体"/>
          <w:sz w:val="24"/>
        </w:rPr>
        <w:t xml:space="preserve">     </w:t>
      </w:r>
      <w:r>
        <w:rPr>
          <w:rFonts w:ascii="宋体" w:hAnsi="宋体" w:hint="eastAsia"/>
          <w:sz w:val="24"/>
        </w:rPr>
        <w:t>）</w:t>
      </w:r>
    </w:p>
    <w:p w:rsidR="003717A0" w:rsidRDefault="003717A0" w:rsidP="00F5156D">
      <w:pPr>
        <w:numPr>
          <w:ilvl w:val="0"/>
          <w:numId w:val="260"/>
        </w:numPr>
        <w:spacing w:line="360" w:lineRule="auto"/>
        <w:rPr>
          <w:rFonts w:ascii="宋体"/>
          <w:sz w:val="24"/>
        </w:rPr>
      </w:pPr>
      <w:r>
        <w:rPr>
          <w:rFonts w:ascii="宋体" w:hAnsi="宋体" w:hint="eastAsia"/>
          <w:sz w:val="24"/>
        </w:rPr>
        <w:t>不可修复的严重创伤</w:t>
      </w:r>
      <w:r>
        <w:rPr>
          <w:rFonts w:ascii="宋体" w:hAnsi="宋体"/>
          <w:sz w:val="24"/>
        </w:rPr>
        <w:t xml:space="preserve">    B.</w:t>
      </w:r>
      <w:r>
        <w:rPr>
          <w:rFonts w:ascii="宋体" w:hAnsi="宋体" w:hint="eastAsia"/>
          <w:sz w:val="24"/>
        </w:rPr>
        <w:t>恶性肿瘤</w:t>
      </w:r>
    </w:p>
    <w:p w:rsidR="003717A0" w:rsidRDefault="003717A0" w:rsidP="00F5156D">
      <w:pPr>
        <w:spacing w:line="360" w:lineRule="auto"/>
        <w:rPr>
          <w:rFonts w:ascii="宋体"/>
          <w:sz w:val="24"/>
        </w:rPr>
      </w:pPr>
      <w:r>
        <w:rPr>
          <w:rFonts w:ascii="宋体" w:hAnsi="宋体"/>
          <w:sz w:val="24"/>
        </w:rPr>
        <w:t>C.</w:t>
      </w:r>
      <w:r>
        <w:rPr>
          <w:rFonts w:ascii="宋体" w:hAnsi="宋体" w:hint="eastAsia"/>
          <w:sz w:val="24"/>
        </w:rPr>
        <w:t>神经性疾病</w:t>
      </w:r>
      <w:r>
        <w:rPr>
          <w:rFonts w:ascii="宋体" w:hAnsi="宋体"/>
          <w:sz w:val="24"/>
        </w:rPr>
        <w:t xml:space="preserve">              D</w:t>
      </w:r>
      <w:r>
        <w:rPr>
          <w:rFonts w:ascii="宋体" w:hAnsi="宋体" w:hint="eastAsia"/>
          <w:sz w:val="24"/>
        </w:rPr>
        <w:t>糖尿病并发症</w:t>
      </w:r>
    </w:p>
    <w:p w:rsidR="003717A0" w:rsidRDefault="003717A0" w:rsidP="00F5156D">
      <w:pPr>
        <w:spacing w:line="360" w:lineRule="auto"/>
        <w:rPr>
          <w:rFonts w:ascii="宋体"/>
          <w:sz w:val="24"/>
        </w:rPr>
      </w:pPr>
      <w:r>
        <w:rPr>
          <w:rFonts w:ascii="宋体" w:hAnsi="宋体"/>
          <w:sz w:val="24"/>
        </w:rPr>
        <w:lastRenderedPageBreak/>
        <w:t>2</w:t>
      </w:r>
      <w:r>
        <w:rPr>
          <w:rFonts w:ascii="宋体" w:hAnsi="宋体" w:hint="eastAsia"/>
          <w:sz w:val="24"/>
        </w:rPr>
        <w:t>、具有较好的机械强度、无毒，用于制造各种残肢接受腔的常用塑料有：（</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．丙烯酸树脂</w:t>
      </w:r>
    </w:p>
    <w:p w:rsidR="003717A0" w:rsidRDefault="003717A0" w:rsidP="00F5156D">
      <w:pPr>
        <w:spacing w:line="360" w:lineRule="auto"/>
        <w:rPr>
          <w:rFonts w:ascii="宋体"/>
          <w:sz w:val="24"/>
        </w:rPr>
      </w:pPr>
      <w:r>
        <w:rPr>
          <w:rFonts w:ascii="宋体" w:hAnsi="宋体"/>
          <w:sz w:val="24"/>
        </w:rPr>
        <w:t>B</w:t>
      </w:r>
      <w:r>
        <w:rPr>
          <w:rFonts w:ascii="宋体" w:hAnsi="宋体" w:hint="eastAsia"/>
          <w:sz w:val="24"/>
        </w:rPr>
        <w:t>．不饱和聚酯树脂</w:t>
      </w:r>
    </w:p>
    <w:p w:rsidR="003717A0" w:rsidRDefault="003717A0" w:rsidP="00F5156D">
      <w:pPr>
        <w:spacing w:line="360" w:lineRule="auto"/>
        <w:rPr>
          <w:rFonts w:ascii="宋体"/>
          <w:sz w:val="24"/>
        </w:rPr>
      </w:pPr>
      <w:r>
        <w:rPr>
          <w:rFonts w:ascii="宋体" w:hAnsi="宋体"/>
          <w:sz w:val="24"/>
        </w:rPr>
        <w:t>C</w:t>
      </w:r>
      <w:r>
        <w:rPr>
          <w:rFonts w:ascii="宋体" w:hAnsi="宋体" w:hint="eastAsia"/>
          <w:sz w:val="24"/>
        </w:rPr>
        <w:t>．环氧树脂</w:t>
      </w:r>
    </w:p>
    <w:p w:rsidR="003717A0" w:rsidRDefault="003717A0" w:rsidP="00F5156D">
      <w:pPr>
        <w:spacing w:line="360" w:lineRule="auto"/>
        <w:rPr>
          <w:rFonts w:ascii="宋体"/>
          <w:sz w:val="24"/>
        </w:rPr>
      </w:pPr>
      <w:r>
        <w:rPr>
          <w:rFonts w:ascii="宋体" w:hAnsi="宋体"/>
          <w:sz w:val="24"/>
        </w:rPr>
        <w:t>D</w:t>
      </w:r>
      <w:r>
        <w:rPr>
          <w:rFonts w:ascii="宋体" w:hAnsi="宋体" w:hint="eastAsia"/>
          <w:sz w:val="24"/>
        </w:rPr>
        <w:t>．聚乙烯板材</w:t>
      </w:r>
    </w:p>
    <w:p w:rsidR="003717A0" w:rsidRDefault="003717A0" w:rsidP="00F5156D">
      <w:pPr>
        <w:spacing w:line="360" w:lineRule="auto"/>
        <w:rPr>
          <w:rFonts w:ascii="宋体"/>
          <w:sz w:val="24"/>
        </w:rPr>
      </w:pPr>
      <w:r>
        <w:rPr>
          <w:rFonts w:ascii="宋体" w:hAnsi="宋体"/>
          <w:sz w:val="24"/>
        </w:rPr>
        <w:t>3</w:t>
      </w:r>
      <w:r>
        <w:rPr>
          <w:rFonts w:ascii="宋体" w:hAnsi="宋体" w:hint="eastAsia"/>
          <w:sz w:val="24"/>
        </w:rPr>
        <w:t>、上肢假肢的悬吊装置与控制系统功能有哪些：（</w:t>
      </w:r>
      <w:r>
        <w:rPr>
          <w:rFonts w:ascii="宋体" w:hAnsi="宋体"/>
          <w:sz w:val="24"/>
        </w:rPr>
        <w:t xml:space="preserve">   </w:t>
      </w:r>
      <w:r>
        <w:rPr>
          <w:rFonts w:ascii="宋体" w:hAnsi="宋体" w:hint="eastAsia"/>
          <w:sz w:val="24"/>
        </w:rPr>
        <w:t>）</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、悬吊假肢</w:t>
      </w:r>
      <w:r>
        <w:rPr>
          <w:rFonts w:ascii="宋体" w:hAnsi="宋体"/>
          <w:sz w:val="24"/>
        </w:rPr>
        <w:t xml:space="preserve">         B</w:t>
      </w:r>
      <w:r>
        <w:rPr>
          <w:rFonts w:ascii="宋体" w:hAnsi="宋体" w:hint="eastAsia"/>
          <w:sz w:val="24"/>
        </w:rPr>
        <w:t>、操纵假手装置的开合</w:t>
      </w:r>
      <w:r>
        <w:rPr>
          <w:rFonts w:ascii="宋体" w:hAnsi="宋体"/>
          <w:sz w:val="24"/>
        </w:rPr>
        <w:t xml:space="preserve">         C</w:t>
      </w:r>
      <w:r>
        <w:rPr>
          <w:rFonts w:ascii="宋体" w:hAnsi="宋体" w:hint="eastAsia"/>
          <w:sz w:val="24"/>
        </w:rPr>
        <w:t>、肘关节的屈曲</w:t>
      </w:r>
      <w:r>
        <w:rPr>
          <w:rFonts w:ascii="宋体" w:hAnsi="宋体"/>
          <w:sz w:val="24"/>
        </w:rPr>
        <w:t xml:space="preserve">         D</w:t>
      </w:r>
      <w:r>
        <w:rPr>
          <w:rFonts w:ascii="宋体" w:hAnsi="宋体" w:hint="eastAsia"/>
          <w:sz w:val="24"/>
        </w:rPr>
        <w:t>、肘关节的锁定</w:t>
      </w:r>
    </w:p>
    <w:p w:rsidR="003717A0" w:rsidRDefault="003717A0" w:rsidP="00F5156D">
      <w:pPr>
        <w:spacing w:line="360" w:lineRule="auto"/>
        <w:rPr>
          <w:rFonts w:ascii="宋体"/>
          <w:sz w:val="24"/>
        </w:rPr>
      </w:pPr>
      <w:r>
        <w:rPr>
          <w:rFonts w:ascii="宋体" w:hAnsi="宋体"/>
          <w:sz w:val="24"/>
        </w:rPr>
        <w:t>4</w:t>
      </w:r>
      <w:r>
        <w:rPr>
          <w:rFonts w:ascii="宋体" w:hAnsi="宋体" w:hint="eastAsia"/>
          <w:sz w:val="24"/>
        </w:rPr>
        <w:t>、理想的大腿残肢功能位应该是：</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、在仰卧位时髋关节保持伸展、内收位</w:t>
      </w:r>
      <w:r>
        <w:rPr>
          <w:rFonts w:ascii="宋体" w:hAnsi="宋体"/>
          <w:sz w:val="24"/>
        </w:rPr>
        <w:t xml:space="preserve">    B</w:t>
      </w:r>
      <w:r>
        <w:rPr>
          <w:rFonts w:ascii="宋体" w:hAnsi="宋体" w:hint="eastAsia"/>
          <w:sz w:val="24"/>
        </w:rPr>
        <w:t>、仰卧时可在腰下置放枕头</w:t>
      </w:r>
    </w:p>
    <w:p w:rsidR="003717A0" w:rsidRDefault="003717A0" w:rsidP="00F5156D">
      <w:pPr>
        <w:spacing w:line="360" w:lineRule="auto"/>
        <w:rPr>
          <w:rFonts w:ascii="宋体"/>
          <w:sz w:val="24"/>
        </w:rPr>
      </w:pPr>
      <w:r>
        <w:rPr>
          <w:rFonts w:ascii="宋体" w:hAnsi="宋体"/>
          <w:sz w:val="24"/>
        </w:rPr>
        <w:t>C</w:t>
      </w:r>
      <w:r>
        <w:rPr>
          <w:rFonts w:ascii="宋体" w:hAnsi="宋体" w:hint="eastAsia"/>
          <w:sz w:val="24"/>
        </w:rPr>
        <w:t>、也可采取俯卧位时的睡觉姿势</w:t>
      </w:r>
      <w:r>
        <w:rPr>
          <w:rFonts w:ascii="宋体" w:hAnsi="宋体"/>
          <w:sz w:val="24"/>
        </w:rPr>
        <w:t xml:space="preserve">          D</w:t>
      </w:r>
      <w:r>
        <w:rPr>
          <w:rFonts w:ascii="宋体" w:hAnsi="宋体" w:hint="eastAsia"/>
          <w:sz w:val="24"/>
        </w:rPr>
        <w:t>、睡觉时在两腿间放置枕头</w:t>
      </w:r>
    </w:p>
    <w:p w:rsidR="003717A0" w:rsidRDefault="003717A0" w:rsidP="00F5156D">
      <w:pPr>
        <w:spacing w:line="360" w:lineRule="auto"/>
        <w:rPr>
          <w:rFonts w:ascii="宋体"/>
          <w:sz w:val="24"/>
        </w:rPr>
      </w:pPr>
      <w:r>
        <w:rPr>
          <w:rFonts w:ascii="宋体" w:hAnsi="宋体"/>
          <w:sz w:val="24"/>
        </w:rPr>
        <w:t>5</w:t>
      </w:r>
      <w:r>
        <w:rPr>
          <w:rFonts w:ascii="宋体" w:hAnsi="宋体" w:hint="eastAsia"/>
          <w:sz w:val="24"/>
        </w:rPr>
        <w:t>、截肢后残肢肿胀影响假肢的使用，预防处理的方法是：（</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、软绷带的使用</w:t>
      </w:r>
      <w:r>
        <w:rPr>
          <w:rFonts w:ascii="宋体" w:hAnsi="宋体"/>
          <w:sz w:val="24"/>
        </w:rPr>
        <w:t xml:space="preserve">   B</w:t>
      </w:r>
      <w:r>
        <w:rPr>
          <w:rFonts w:ascii="宋体" w:hAnsi="宋体" w:hint="eastAsia"/>
          <w:sz w:val="24"/>
        </w:rPr>
        <w:t>、石蜡疗法</w:t>
      </w:r>
      <w:r>
        <w:rPr>
          <w:rFonts w:ascii="宋体" w:hAnsi="宋体"/>
          <w:sz w:val="24"/>
        </w:rPr>
        <w:t xml:space="preserve">   C</w:t>
      </w:r>
      <w:r>
        <w:rPr>
          <w:rFonts w:ascii="宋体" w:hAnsi="宋体" w:hint="eastAsia"/>
          <w:sz w:val="24"/>
        </w:rPr>
        <w:t>、音频电疗</w:t>
      </w:r>
      <w:r>
        <w:rPr>
          <w:rFonts w:ascii="宋体" w:hAnsi="宋体"/>
          <w:sz w:val="24"/>
        </w:rPr>
        <w:t xml:space="preserve">   D</w:t>
      </w:r>
      <w:r>
        <w:rPr>
          <w:rFonts w:ascii="宋体" w:hAnsi="宋体" w:hint="eastAsia"/>
          <w:sz w:val="24"/>
        </w:rPr>
        <w:t>、放射治疗</w:t>
      </w:r>
    </w:p>
    <w:p w:rsidR="003717A0" w:rsidRDefault="003717A0" w:rsidP="00F5156D">
      <w:pPr>
        <w:spacing w:line="360" w:lineRule="auto"/>
        <w:rPr>
          <w:rFonts w:ascii="宋体"/>
          <w:sz w:val="24"/>
        </w:rPr>
      </w:pPr>
      <w:r>
        <w:rPr>
          <w:rFonts w:ascii="宋体" w:hAnsi="宋体"/>
          <w:sz w:val="24"/>
        </w:rPr>
        <w:t>6</w:t>
      </w:r>
      <w:r>
        <w:rPr>
          <w:rFonts w:ascii="宋体" w:hAnsi="宋体" w:hint="eastAsia"/>
          <w:sz w:val="24"/>
        </w:rPr>
        <w:t>、脊柱侧凸根据病因可分为：</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、肌性侧凸</w:t>
      </w:r>
      <w:r>
        <w:rPr>
          <w:rFonts w:ascii="宋体" w:hAnsi="宋体"/>
          <w:sz w:val="24"/>
        </w:rPr>
        <w:t xml:space="preserve">        B</w:t>
      </w:r>
      <w:r>
        <w:rPr>
          <w:rFonts w:ascii="宋体" w:hAnsi="宋体" w:hint="eastAsia"/>
          <w:sz w:val="24"/>
        </w:rPr>
        <w:t>、神经性侧凸</w:t>
      </w:r>
      <w:r>
        <w:rPr>
          <w:rFonts w:ascii="宋体" w:hAnsi="宋体"/>
          <w:sz w:val="24"/>
        </w:rPr>
        <w:t xml:space="preserve">     C</w:t>
      </w:r>
      <w:r>
        <w:rPr>
          <w:rFonts w:ascii="宋体" w:hAnsi="宋体" w:hint="eastAsia"/>
          <w:sz w:val="24"/>
        </w:rPr>
        <w:t>、姿势性侧凸</w:t>
      </w:r>
      <w:r>
        <w:rPr>
          <w:rFonts w:ascii="宋体" w:hAnsi="宋体"/>
          <w:sz w:val="24"/>
        </w:rPr>
        <w:t xml:space="preserve">       D</w:t>
      </w:r>
      <w:r>
        <w:rPr>
          <w:rFonts w:ascii="宋体" w:hAnsi="宋体" w:hint="eastAsia"/>
          <w:sz w:val="24"/>
        </w:rPr>
        <w:t>、先天性侧凸</w:t>
      </w:r>
      <w:r>
        <w:rPr>
          <w:rFonts w:ascii="宋体" w:hAnsi="宋体"/>
          <w:sz w:val="24"/>
        </w:rPr>
        <w:t xml:space="preserve">            E</w:t>
      </w:r>
      <w:r>
        <w:rPr>
          <w:rFonts w:ascii="宋体" w:hAnsi="宋体" w:hint="eastAsia"/>
          <w:sz w:val="24"/>
        </w:rPr>
        <w:t>、特发性侧凸</w:t>
      </w:r>
    </w:p>
    <w:p w:rsidR="003717A0" w:rsidRDefault="003717A0" w:rsidP="00F5156D">
      <w:pPr>
        <w:spacing w:line="360" w:lineRule="auto"/>
        <w:rPr>
          <w:rFonts w:ascii="宋体"/>
          <w:sz w:val="24"/>
        </w:rPr>
      </w:pPr>
      <w:r>
        <w:rPr>
          <w:rFonts w:ascii="宋体" w:hAnsi="宋体"/>
          <w:sz w:val="24"/>
        </w:rPr>
        <w:t>7</w:t>
      </w:r>
      <w:r>
        <w:rPr>
          <w:rFonts w:ascii="宋体" w:hAnsi="宋体" w:hint="eastAsia"/>
          <w:sz w:val="24"/>
        </w:rPr>
        <w:t>、上肢假肢的基本要求：</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、功能好</w:t>
      </w:r>
      <w:r>
        <w:rPr>
          <w:rFonts w:ascii="宋体" w:hAnsi="宋体"/>
          <w:sz w:val="24"/>
        </w:rPr>
        <w:t xml:space="preserve">   B</w:t>
      </w:r>
      <w:r>
        <w:rPr>
          <w:rFonts w:ascii="宋体" w:hAnsi="宋体" w:hint="eastAsia"/>
          <w:sz w:val="24"/>
        </w:rPr>
        <w:t>、外观逼真</w:t>
      </w:r>
      <w:r>
        <w:rPr>
          <w:rFonts w:ascii="宋体" w:hAnsi="宋体"/>
          <w:sz w:val="24"/>
        </w:rPr>
        <w:t xml:space="preserve">    C</w:t>
      </w:r>
      <w:r>
        <w:rPr>
          <w:rFonts w:ascii="宋体" w:hAnsi="宋体" w:hint="eastAsia"/>
          <w:sz w:val="24"/>
        </w:rPr>
        <w:t>、操纵灵活</w:t>
      </w:r>
      <w:r>
        <w:rPr>
          <w:rFonts w:ascii="宋体" w:hAnsi="宋体"/>
          <w:sz w:val="24"/>
        </w:rPr>
        <w:t xml:space="preserve">   D</w:t>
      </w:r>
      <w:r>
        <w:rPr>
          <w:rFonts w:ascii="宋体" w:hAnsi="宋体" w:hint="eastAsia"/>
          <w:sz w:val="24"/>
        </w:rPr>
        <w:t>、其他要求</w:t>
      </w:r>
    </w:p>
    <w:p w:rsidR="003717A0" w:rsidRDefault="003717A0" w:rsidP="00F5156D">
      <w:pPr>
        <w:spacing w:line="360" w:lineRule="auto"/>
        <w:rPr>
          <w:rFonts w:ascii="宋体"/>
          <w:sz w:val="24"/>
        </w:rPr>
      </w:pPr>
      <w:r>
        <w:rPr>
          <w:rFonts w:ascii="宋体" w:hAnsi="宋体"/>
          <w:sz w:val="24"/>
        </w:rPr>
        <w:t>8</w:t>
      </w:r>
      <w:r>
        <w:rPr>
          <w:rFonts w:ascii="宋体" w:hAnsi="宋体" w:hint="eastAsia"/>
          <w:sz w:val="24"/>
        </w:rPr>
        <w:t>、常用手指矫形器有：</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．槌状指夹板</w:t>
      </w:r>
      <w:r>
        <w:rPr>
          <w:rFonts w:ascii="宋体" w:hAnsi="宋体"/>
          <w:sz w:val="24"/>
        </w:rPr>
        <w:t xml:space="preserve">   B</w:t>
      </w:r>
      <w:r>
        <w:rPr>
          <w:rFonts w:ascii="宋体" w:hAnsi="宋体" w:hint="eastAsia"/>
          <w:sz w:val="24"/>
        </w:rPr>
        <w:t>．鹅颈指夹板</w:t>
      </w:r>
      <w:r>
        <w:rPr>
          <w:rFonts w:ascii="宋体" w:hAnsi="宋体"/>
          <w:sz w:val="24"/>
        </w:rPr>
        <w:t xml:space="preserve">    C</w:t>
      </w:r>
      <w:r>
        <w:rPr>
          <w:rFonts w:ascii="宋体" w:hAnsi="宋体" w:hint="eastAsia"/>
          <w:sz w:val="24"/>
        </w:rPr>
        <w:t>．扣眼畸形夹板</w:t>
      </w:r>
      <w:r>
        <w:rPr>
          <w:rFonts w:ascii="宋体" w:hAnsi="宋体"/>
          <w:sz w:val="24"/>
        </w:rPr>
        <w:t xml:space="preserve">   D</w:t>
      </w:r>
      <w:r>
        <w:rPr>
          <w:rFonts w:ascii="宋体" w:hAnsi="宋体" w:hint="eastAsia"/>
          <w:sz w:val="24"/>
        </w:rPr>
        <w:t>．指间关节助伸矫形器</w:t>
      </w:r>
      <w:r>
        <w:rPr>
          <w:rFonts w:ascii="宋体" w:hAnsi="宋体"/>
          <w:sz w:val="24"/>
        </w:rPr>
        <w:t xml:space="preserve">      E. </w:t>
      </w:r>
      <w:r>
        <w:rPr>
          <w:rFonts w:ascii="宋体" w:hAnsi="宋体" w:hint="eastAsia"/>
          <w:sz w:val="24"/>
        </w:rPr>
        <w:t>指间关节助屈矫形器</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9</w:t>
      </w:r>
      <w:r>
        <w:rPr>
          <w:rFonts w:ascii="宋体" w:hAnsi="宋体" w:hint="eastAsia"/>
          <w:sz w:val="24"/>
        </w:rPr>
        <w:t>、儿麻患者下肢不等长是常见症状，下列描述正确的是：</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 xml:space="preserve"> A</w:t>
      </w:r>
      <w:r>
        <w:rPr>
          <w:rFonts w:ascii="宋体" w:hAnsi="宋体" w:hint="eastAsia"/>
          <w:sz w:val="24"/>
        </w:rPr>
        <w:t>．患肢屈髋、屈膝畸形，显得患侧变短</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 xml:space="preserve"> B</w:t>
      </w:r>
      <w:r>
        <w:rPr>
          <w:rFonts w:ascii="宋体" w:hAnsi="宋体" w:hint="eastAsia"/>
          <w:sz w:val="24"/>
        </w:rPr>
        <w:t>．患肢马蹄畸形，显得患侧变短</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 xml:space="preserve"> C</w:t>
      </w:r>
      <w:r>
        <w:rPr>
          <w:rFonts w:ascii="宋体" w:hAnsi="宋体" w:hint="eastAsia"/>
          <w:sz w:val="24"/>
        </w:rPr>
        <w:t>．患肢髋外展畸形，显得患侧变短</w:t>
      </w:r>
    </w:p>
    <w:p w:rsidR="003717A0" w:rsidRDefault="003717A0" w:rsidP="00F5156D">
      <w:pPr>
        <w:spacing w:line="360" w:lineRule="auto"/>
        <w:rPr>
          <w:rFonts w:ascii="宋体"/>
          <w:sz w:val="24"/>
        </w:rPr>
      </w:pPr>
      <w:r>
        <w:rPr>
          <w:rFonts w:ascii="宋体" w:hAnsi="宋体"/>
          <w:sz w:val="24"/>
        </w:rPr>
        <w:t xml:space="preserve"> D</w:t>
      </w:r>
      <w:r>
        <w:rPr>
          <w:rFonts w:ascii="宋体" w:hAnsi="宋体" w:hint="eastAsia"/>
          <w:sz w:val="24"/>
        </w:rPr>
        <w:t>．患肢髋内收畸形，显得患侧变长</w:t>
      </w:r>
    </w:p>
    <w:p w:rsidR="003717A0" w:rsidRDefault="003717A0" w:rsidP="00F5156D">
      <w:pPr>
        <w:spacing w:line="360" w:lineRule="auto"/>
        <w:rPr>
          <w:rFonts w:ascii="宋体"/>
          <w:sz w:val="24"/>
        </w:rPr>
      </w:pPr>
      <w:r>
        <w:rPr>
          <w:rFonts w:ascii="宋体" w:hAnsi="宋体"/>
          <w:sz w:val="24"/>
        </w:rPr>
        <w:t>10</w:t>
      </w:r>
      <w:r>
        <w:rPr>
          <w:rFonts w:ascii="宋体" w:hAnsi="宋体" w:hint="eastAsia"/>
          <w:sz w:val="24"/>
        </w:rPr>
        <w:t>、哪些属于矫形器制作工艺流程：</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 xml:space="preserve"> A</w:t>
      </w:r>
      <w:r>
        <w:rPr>
          <w:rFonts w:ascii="宋体" w:hAnsi="宋体" w:hint="eastAsia"/>
          <w:sz w:val="24"/>
        </w:rPr>
        <w:t>．制取石膏阴型</w:t>
      </w:r>
      <w:r>
        <w:rPr>
          <w:rFonts w:ascii="宋体" w:hAnsi="宋体"/>
          <w:sz w:val="24"/>
        </w:rPr>
        <w:t xml:space="preserve">   B</w:t>
      </w:r>
      <w:r>
        <w:rPr>
          <w:rFonts w:ascii="宋体" w:hAnsi="宋体" w:hint="eastAsia"/>
          <w:sz w:val="24"/>
        </w:rPr>
        <w:t>．浇注石膏阳型</w:t>
      </w:r>
      <w:r>
        <w:rPr>
          <w:rFonts w:ascii="宋体" w:hAnsi="宋体"/>
          <w:sz w:val="24"/>
        </w:rPr>
        <w:t xml:space="preserve">    C</w:t>
      </w:r>
      <w:r>
        <w:rPr>
          <w:rFonts w:ascii="宋体" w:hAnsi="宋体" w:hint="eastAsia"/>
          <w:sz w:val="24"/>
        </w:rPr>
        <w:t>．修整石膏阳型</w:t>
      </w:r>
      <w:r>
        <w:rPr>
          <w:rFonts w:ascii="宋体" w:hAnsi="宋体"/>
          <w:sz w:val="24"/>
        </w:rPr>
        <w:t xml:space="preserve">   D</w:t>
      </w:r>
      <w:r>
        <w:rPr>
          <w:rFonts w:ascii="宋体" w:hAnsi="宋体" w:hint="eastAsia"/>
          <w:sz w:val="24"/>
        </w:rPr>
        <w:t>．热塑成型加工</w:t>
      </w:r>
      <w:r>
        <w:rPr>
          <w:rFonts w:ascii="宋体" w:hAnsi="宋体"/>
          <w:sz w:val="24"/>
        </w:rPr>
        <w:t xml:space="preserve">    E. </w:t>
      </w:r>
      <w:r>
        <w:rPr>
          <w:rFonts w:ascii="宋体" w:hAnsi="宋体" w:hint="eastAsia"/>
          <w:sz w:val="24"/>
        </w:rPr>
        <w:t>装饰性加工</w:t>
      </w:r>
    </w:p>
    <w:p w:rsidR="003717A0" w:rsidRDefault="003717A0" w:rsidP="00F5156D">
      <w:pPr>
        <w:spacing w:line="360" w:lineRule="auto"/>
        <w:rPr>
          <w:rFonts w:ascii="宋体"/>
          <w:sz w:val="24"/>
        </w:rPr>
      </w:pPr>
      <w:r>
        <w:rPr>
          <w:rFonts w:ascii="宋体" w:hAnsi="宋体"/>
          <w:sz w:val="24"/>
        </w:rPr>
        <w:t>11</w:t>
      </w:r>
      <w:r>
        <w:rPr>
          <w:rFonts w:ascii="宋体" w:hAnsi="宋体" w:hint="eastAsia"/>
          <w:sz w:val="24"/>
        </w:rPr>
        <w:t>、选择合适的轮椅，应参考哪些原则：</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lastRenderedPageBreak/>
        <w:t>A</w:t>
      </w:r>
      <w:r>
        <w:rPr>
          <w:rFonts w:ascii="宋体" w:hAnsi="宋体" w:hint="eastAsia"/>
          <w:sz w:val="24"/>
        </w:rPr>
        <w:t>．安全</w:t>
      </w:r>
      <w:r>
        <w:rPr>
          <w:rFonts w:ascii="宋体" w:hAnsi="宋体"/>
          <w:sz w:val="24"/>
        </w:rPr>
        <w:t xml:space="preserve">   B</w:t>
      </w:r>
      <w:r>
        <w:rPr>
          <w:rFonts w:ascii="宋体" w:hAnsi="宋体" w:hint="eastAsia"/>
          <w:sz w:val="24"/>
        </w:rPr>
        <w:t>．舒适</w:t>
      </w:r>
      <w:r>
        <w:rPr>
          <w:rFonts w:ascii="宋体" w:hAnsi="宋体"/>
          <w:sz w:val="24"/>
        </w:rPr>
        <w:t xml:space="preserve">    C</w:t>
      </w:r>
      <w:r>
        <w:rPr>
          <w:rFonts w:ascii="宋体" w:hAnsi="宋体" w:hint="eastAsia"/>
          <w:sz w:val="24"/>
        </w:rPr>
        <w:t>．行动方便</w:t>
      </w:r>
      <w:r>
        <w:rPr>
          <w:rFonts w:ascii="宋体" w:hAnsi="宋体"/>
          <w:sz w:val="24"/>
        </w:rPr>
        <w:t xml:space="preserve">   D</w:t>
      </w:r>
      <w:r>
        <w:rPr>
          <w:rFonts w:ascii="宋体" w:hAnsi="宋体" w:hint="eastAsia"/>
          <w:sz w:val="24"/>
        </w:rPr>
        <w:t>．压力分布均匀</w:t>
      </w:r>
    </w:p>
    <w:p w:rsidR="003717A0" w:rsidRDefault="003717A0" w:rsidP="00F5156D">
      <w:pPr>
        <w:spacing w:line="360" w:lineRule="auto"/>
        <w:rPr>
          <w:rFonts w:ascii="宋体"/>
          <w:sz w:val="24"/>
        </w:rPr>
      </w:pPr>
      <w:r>
        <w:rPr>
          <w:rFonts w:ascii="宋体" w:hAnsi="宋体"/>
          <w:sz w:val="24"/>
        </w:rPr>
        <w:t>12</w:t>
      </w:r>
      <w:r>
        <w:rPr>
          <w:rFonts w:ascii="宋体" w:hAnsi="宋体" w:hint="eastAsia"/>
          <w:sz w:val="24"/>
        </w:rPr>
        <w:t>、矫形鞋的基本作用有哪些：</w:t>
      </w:r>
      <w:r>
        <w:rPr>
          <w:rFonts w:ascii="宋体" w:hAnsi="宋体"/>
          <w:sz w:val="24"/>
        </w:rPr>
        <w:t xml:space="preserve"> </w:t>
      </w:r>
      <w:r>
        <w:rPr>
          <w:rFonts w:ascii="宋体" w:hAnsi="宋体" w:hint="eastAsia"/>
          <w:sz w:val="24"/>
        </w:rPr>
        <w:t>（</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．减轻疼痛</w:t>
      </w:r>
      <w:r>
        <w:rPr>
          <w:rFonts w:ascii="宋体" w:hAnsi="宋体"/>
          <w:sz w:val="24"/>
        </w:rPr>
        <w:t xml:space="preserve">   B</w:t>
      </w:r>
      <w:r>
        <w:rPr>
          <w:rFonts w:ascii="宋体" w:hAnsi="宋体" w:hint="eastAsia"/>
          <w:sz w:val="24"/>
        </w:rPr>
        <w:t>．预防矫正畸形</w:t>
      </w:r>
      <w:r>
        <w:rPr>
          <w:rFonts w:ascii="宋体" w:hAnsi="宋体"/>
          <w:sz w:val="24"/>
        </w:rPr>
        <w:t xml:space="preserve">    C</w:t>
      </w:r>
      <w:r>
        <w:rPr>
          <w:rFonts w:ascii="宋体" w:hAnsi="宋体" w:hint="eastAsia"/>
          <w:sz w:val="24"/>
        </w:rPr>
        <w:t>．代偿丧失的关节运动功能</w:t>
      </w:r>
      <w:r>
        <w:rPr>
          <w:rFonts w:ascii="宋体" w:hAnsi="宋体"/>
          <w:sz w:val="24"/>
        </w:rPr>
        <w:t xml:space="preserve">      D</w:t>
      </w:r>
      <w:r>
        <w:rPr>
          <w:rFonts w:ascii="宋体" w:hAnsi="宋体" w:hint="eastAsia"/>
          <w:sz w:val="24"/>
        </w:rPr>
        <w:t>．消除关节异常活动</w:t>
      </w:r>
    </w:p>
    <w:p w:rsidR="003717A0" w:rsidRDefault="003717A0" w:rsidP="00F5156D">
      <w:pPr>
        <w:spacing w:line="360" w:lineRule="auto"/>
        <w:rPr>
          <w:rFonts w:ascii="宋体"/>
          <w:sz w:val="24"/>
        </w:rPr>
      </w:pPr>
      <w:r>
        <w:rPr>
          <w:rFonts w:ascii="宋体" w:hAnsi="宋体" w:hint="eastAsia"/>
          <w:sz w:val="24"/>
        </w:rPr>
        <w:t>三、单选题（每题</w:t>
      </w:r>
      <w:r>
        <w:rPr>
          <w:rFonts w:ascii="宋体" w:hAnsi="宋体"/>
          <w:sz w:val="24"/>
        </w:rPr>
        <w:t>1</w:t>
      </w:r>
      <w:r>
        <w:rPr>
          <w:rFonts w:ascii="宋体" w:hAnsi="宋体" w:hint="eastAsia"/>
          <w:sz w:val="24"/>
        </w:rPr>
        <w:t>分，共</w:t>
      </w:r>
      <w:r>
        <w:rPr>
          <w:rFonts w:ascii="宋体" w:hAnsi="宋体"/>
          <w:sz w:val="24"/>
        </w:rPr>
        <w:t>10</w:t>
      </w:r>
      <w:r>
        <w:rPr>
          <w:rFonts w:ascii="宋体" w:hAnsi="宋体" w:hint="eastAsia"/>
          <w:sz w:val="24"/>
        </w:rPr>
        <w:t>分）</w:t>
      </w:r>
    </w:p>
    <w:p w:rsidR="003717A0" w:rsidRDefault="003717A0" w:rsidP="00F5156D">
      <w:pPr>
        <w:spacing w:line="360" w:lineRule="auto"/>
        <w:rPr>
          <w:rFonts w:ascii="宋体"/>
          <w:sz w:val="24"/>
        </w:rPr>
      </w:pPr>
      <w:r>
        <w:rPr>
          <w:rFonts w:ascii="宋体" w:hAnsi="宋体"/>
          <w:sz w:val="24"/>
        </w:rPr>
        <w:t>1</w:t>
      </w:r>
      <w:r>
        <w:rPr>
          <w:rFonts w:ascii="宋体" w:hAnsi="宋体" w:hint="eastAsia"/>
          <w:sz w:val="24"/>
        </w:rPr>
        <w:t>、可以在皮肤上直接成型的塑料是：（</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．聚丙烯板</w:t>
      </w:r>
      <w:r>
        <w:rPr>
          <w:rFonts w:ascii="宋体" w:hAnsi="宋体"/>
          <w:sz w:val="24"/>
        </w:rPr>
        <w:t xml:space="preserve">    B.</w:t>
      </w:r>
      <w:r>
        <w:rPr>
          <w:rFonts w:ascii="宋体" w:hAnsi="宋体" w:hint="eastAsia"/>
          <w:sz w:val="24"/>
        </w:rPr>
        <w:t>聚乙烯板</w:t>
      </w:r>
      <w:r>
        <w:rPr>
          <w:rFonts w:ascii="宋体" w:hAnsi="宋体"/>
          <w:sz w:val="24"/>
        </w:rPr>
        <w:t xml:space="preserve">  C.</w:t>
      </w:r>
      <w:r>
        <w:rPr>
          <w:rFonts w:ascii="宋体" w:hAnsi="宋体" w:hint="eastAsia"/>
          <w:sz w:val="24"/>
        </w:rPr>
        <w:t>低温热塑板</w:t>
      </w:r>
      <w:r>
        <w:rPr>
          <w:rFonts w:ascii="宋体" w:hAnsi="宋体"/>
          <w:sz w:val="24"/>
        </w:rPr>
        <w:t xml:space="preserve">      D</w:t>
      </w:r>
      <w:r>
        <w:rPr>
          <w:rFonts w:ascii="宋体" w:hAnsi="宋体" w:hint="eastAsia"/>
          <w:sz w:val="24"/>
        </w:rPr>
        <w:t>热塑性泡沫塑料板</w:t>
      </w:r>
    </w:p>
    <w:p w:rsidR="003717A0" w:rsidRDefault="003717A0" w:rsidP="00F5156D">
      <w:pPr>
        <w:spacing w:line="360" w:lineRule="auto"/>
        <w:rPr>
          <w:rFonts w:ascii="宋体"/>
          <w:sz w:val="24"/>
        </w:rPr>
      </w:pPr>
      <w:r>
        <w:rPr>
          <w:rFonts w:ascii="宋体" w:hAnsi="宋体"/>
          <w:sz w:val="24"/>
        </w:rPr>
        <w:t>2</w:t>
      </w:r>
      <w:r>
        <w:rPr>
          <w:rFonts w:ascii="宋体" w:hAnsi="宋体" w:hint="eastAsia"/>
          <w:sz w:val="24"/>
        </w:rPr>
        <w:t>、</w:t>
      </w:r>
      <w:r>
        <w:rPr>
          <w:rFonts w:ascii="宋体" w:hAnsi="宋体"/>
          <w:sz w:val="24"/>
        </w:rPr>
        <w:t>PTB</w:t>
      </w:r>
      <w:r>
        <w:rPr>
          <w:rFonts w:ascii="宋体" w:hAnsi="宋体" w:hint="eastAsia"/>
          <w:sz w:val="24"/>
        </w:rPr>
        <w:t>假肢，残肢与接受腔之的活塞运动最大的允许范围是（</w:t>
      </w:r>
      <w:r>
        <w:rPr>
          <w:rFonts w:ascii="宋体" w:hAnsi="宋体"/>
          <w:sz w:val="24"/>
        </w:rPr>
        <w:t xml:space="preserve">    </w:t>
      </w:r>
      <w:r>
        <w:rPr>
          <w:rFonts w:ascii="宋体" w:hAnsi="宋体" w:hint="eastAsia"/>
          <w:sz w:val="24"/>
        </w:rPr>
        <w:t>）</w:t>
      </w:r>
      <w:r>
        <w:rPr>
          <w:rFonts w:ascii="宋体" w:hAnsi="宋体"/>
          <w:sz w:val="24"/>
        </w:rPr>
        <w:t>mm</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w:t>
      </w:r>
      <w:r>
        <w:rPr>
          <w:rFonts w:ascii="宋体" w:hAnsi="宋体"/>
          <w:sz w:val="24"/>
        </w:rPr>
        <w:t>5    B</w:t>
      </w:r>
      <w:r>
        <w:rPr>
          <w:rFonts w:ascii="宋体" w:hAnsi="宋体" w:hint="eastAsia"/>
          <w:sz w:val="24"/>
        </w:rPr>
        <w:t>．</w:t>
      </w:r>
      <w:r>
        <w:rPr>
          <w:rFonts w:ascii="宋体" w:hAnsi="宋体"/>
          <w:sz w:val="24"/>
        </w:rPr>
        <w:t>10    C</w:t>
      </w:r>
      <w:r>
        <w:rPr>
          <w:rFonts w:ascii="宋体" w:hAnsi="宋体" w:hint="eastAsia"/>
          <w:sz w:val="24"/>
        </w:rPr>
        <w:t>．</w:t>
      </w:r>
      <w:r>
        <w:rPr>
          <w:rFonts w:ascii="宋体" w:hAnsi="宋体"/>
          <w:sz w:val="24"/>
        </w:rPr>
        <w:t>15   D</w:t>
      </w:r>
      <w:r>
        <w:rPr>
          <w:rFonts w:ascii="宋体" w:hAnsi="宋体" w:hint="eastAsia"/>
          <w:sz w:val="24"/>
        </w:rPr>
        <w:t>．</w:t>
      </w:r>
      <w:r>
        <w:rPr>
          <w:rFonts w:ascii="宋体" w:hAnsi="宋体"/>
          <w:sz w:val="24"/>
        </w:rPr>
        <w:t>20</w:t>
      </w:r>
    </w:p>
    <w:p w:rsidR="003717A0" w:rsidRDefault="003717A0" w:rsidP="00F5156D">
      <w:pPr>
        <w:spacing w:line="360" w:lineRule="auto"/>
        <w:rPr>
          <w:rFonts w:ascii="宋体"/>
          <w:sz w:val="24"/>
        </w:rPr>
      </w:pPr>
      <w:r>
        <w:rPr>
          <w:rFonts w:ascii="宋体" w:hAnsi="宋体"/>
          <w:sz w:val="24"/>
        </w:rPr>
        <w:t>3</w:t>
      </w:r>
      <w:r>
        <w:rPr>
          <w:rFonts w:ascii="宋体" w:hAnsi="宋体" w:hint="eastAsia"/>
          <w:sz w:val="24"/>
        </w:rPr>
        <w:t>、对装配肌电假手者需要进行肌电信号的测试，在检测前先请他做（</w:t>
      </w:r>
      <w:r>
        <w:rPr>
          <w:rFonts w:ascii="宋体" w:hAnsi="宋体"/>
          <w:sz w:val="24"/>
        </w:rPr>
        <w:t xml:space="preserve">   </w:t>
      </w:r>
      <w:r>
        <w:rPr>
          <w:rFonts w:ascii="宋体" w:hAnsi="宋体" w:hint="eastAsia"/>
          <w:sz w:val="24"/>
        </w:rPr>
        <w:t>）动作</w:t>
      </w:r>
      <w:r>
        <w:rPr>
          <w:rFonts w:ascii="宋体" w:hAnsi="宋体"/>
          <w:sz w:val="24"/>
        </w:rPr>
        <w:t xml:space="preserve">  </w:t>
      </w:r>
    </w:p>
    <w:p w:rsidR="003717A0" w:rsidRDefault="003717A0" w:rsidP="00F5156D">
      <w:pPr>
        <w:numPr>
          <w:ilvl w:val="2"/>
          <w:numId w:val="258"/>
        </w:numPr>
        <w:tabs>
          <w:tab w:val="clear" w:pos="1245"/>
        </w:tabs>
        <w:spacing w:line="360" w:lineRule="auto"/>
        <w:ind w:left="604" w:hanging="604"/>
        <w:rPr>
          <w:rFonts w:ascii="宋体"/>
          <w:sz w:val="24"/>
        </w:rPr>
      </w:pPr>
      <w:r>
        <w:rPr>
          <w:rFonts w:ascii="宋体" w:hAnsi="宋体" w:hint="eastAsia"/>
          <w:sz w:val="24"/>
        </w:rPr>
        <w:t>手臂摆动</w:t>
      </w:r>
      <w:r>
        <w:rPr>
          <w:rFonts w:ascii="宋体" w:hAnsi="宋体"/>
          <w:sz w:val="24"/>
        </w:rPr>
        <w:t xml:space="preserve">  B</w:t>
      </w:r>
      <w:r>
        <w:rPr>
          <w:rFonts w:ascii="宋体" w:hAnsi="宋体" w:hint="eastAsia"/>
          <w:sz w:val="24"/>
        </w:rPr>
        <w:t>、幻肢伸屈</w:t>
      </w:r>
      <w:r>
        <w:rPr>
          <w:rFonts w:ascii="宋体" w:hAnsi="宋体"/>
          <w:sz w:val="24"/>
        </w:rPr>
        <w:t xml:space="preserve"> C</w:t>
      </w:r>
      <w:r>
        <w:rPr>
          <w:rFonts w:ascii="宋体" w:hAnsi="宋体" w:hint="eastAsia"/>
          <w:sz w:val="24"/>
        </w:rPr>
        <w:t>、肌肉用力</w:t>
      </w:r>
      <w:r>
        <w:rPr>
          <w:rFonts w:ascii="宋体" w:hAnsi="宋体"/>
          <w:sz w:val="24"/>
        </w:rPr>
        <w:t xml:space="preserve"> D</w:t>
      </w:r>
      <w:r>
        <w:rPr>
          <w:rFonts w:ascii="宋体" w:hAnsi="宋体" w:hint="eastAsia"/>
          <w:sz w:val="24"/>
        </w:rPr>
        <w:t>、肩部运动</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4</w:t>
      </w:r>
      <w:r>
        <w:rPr>
          <w:rFonts w:ascii="宋体" w:hAnsi="宋体" w:hint="eastAsia"/>
          <w:sz w:val="24"/>
        </w:rPr>
        <w:t>、明斯特式接受腔是一种包髁式前臂接受腔，其适用范围广泛，尤其适用于安装前臂（</w:t>
      </w:r>
      <w:r>
        <w:rPr>
          <w:rFonts w:ascii="宋体" w:hAnsi="宋体"/>
          <w:sz w:val="24"/>
        </w:rPr>
        <w:t xml:space="preserve">    </w:t>
      </w:r>
      <w:r>
        <w:rPr>
          <w:rFonts w:ascii="宋体" w:hAnsi="宋体" w:hint="eastAsia"/>
          <w:sz w:val="24"/>
        </w:rPr>
        <w:t>）</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、美容假肢</w:t>
      </w:r>
      <w:r>
        <w:rPr>
          <w:rFonts w:ascii="宋体" w:hAnsi="宋体"/>
          <w:sz w:val="24"/>
        </w:rPr>
        <w:t xml:space="preserve">  B</w:t>
      </w:r>
      <w:r>
        <w:rPr>
          <w:rFonts w:ascii="宋体" w:hAnsi="宋体" w:hint="eastAsia"/>
          <w:sz w:val="24"/>
        </w:rPr>
        <w:t>、肌电假肢</w:t>
      </w:r>
      <w:r>
        <w:rPr>
          <w:rFonts w:ascii="宋体" w:hAnsi="宋体"/>
          <w:sz w:val="24"/>
        </w:rPr>
        <w:t xml:space="preserve"> C</w:t>
      </w:r>
      <w:r>
        <w:rPr>
          <w:rFonts w:ascii="宋体" w:hAnsi="宋体" w:hint="eastAsia"/>
          <w:sz w:val="24"/>
        </w:rPr>
        <w:t>、掌握假肢</w:t>
      </w:r>
      <w:r>
        <w:rPr>
          <w:rFonts w:ascii="宋体" w:hAnsi="宋体"/>
          <w:sz w:val="24"/>
        </w:rPr>
        <w:t xml:space="preserve"> D</w:t>
      </w:r>
      <w:r>
        <w:rPr>
          <w:rFonts w:ascii="宋体" w:hAnsi="宋体" w:hint="eastAsia"/>
          <w:sz w:val="24"/>
        </w:rPr>
        <w:t>、工具假肢</w:t>
      </w:r>
    </w:p>
    <w:p w:rsidR="003717A0" w:rsidRDefault="003717A0" w:rsidP="00F5156D">
      <w:pPr>
        <w:spacing w:line="360" w:lineRule="auto"/>
        <w:rPr>
          <w:rFonts w:ascii="宋体"/>
          <w:sz w:val="24"/>
        </w:rPr>
      </w:pPr>
      <w:r>
        <w:rPr>
          <w:rFonts w:ascii="宋体" w:hAnsi="宋体"/>
          <w:sz w:val="24"/>
        </w:rPr>
        <w:t>5</w:t>
      </w:r>
      <w:r>
        <w:rPr>
          <w:rFonts w:ascii="宋体" w:hAnsi="宋体" w:hint="eastAsia"/>
          <w:sz w:val="24"/>
        </w:rPr>
        <w:t>、大腿假肢中，截肢者年龄较大，残肢控制能力弱的患者一般选用（</w:t>
      </w:r>
      <w:r>
        <w:rPr>
          <w:rFonts w:ascii="宋体" w:hAnsi="宋体"/>
          <w:sz w:val="24"/>
        </w:rPr>
        <w:t xml:space="preserve">    </w:t>
      </w:r>
      <w:r>
        <w:rPr>
          <w:rFonts w:ascii="宋体" w:hAnsi="宋体" w:hint="eastAsia"/>
          <w:sz w:val="24"/>
        </w:rPr>
        <w:t>）膝关节</w:t>
      </w:r>
    </w:p>
    <w:p w:rsidR="003717A0" w:rsidRDefault="003717A0" w:rsidP="00F5156D">
      <w:pPr>
        <w:numPr>
          <w:ilvl w:val="0"/>
          <w:numId w:val="261"/>
        </w:numPr>
        <w:spacing w:line="360" w:lineRule="auto"/>
        <w:rPr>
          <w:rFonts w:ascii="宋体"/>
          <w:sz w:val="24"/>
        </w:rPr>
      </w:pPr>
      <w:r>
        <w:rPr>
          <w:rFonts w:ascii="宋体"/>
          <w:kern w:val="0"/>
          <w:sz w:val="34"/>
          <w:szCs w:val="34"/>
        </w:rPr>
        <w:br w:type="page"/>
      </w:r>
      <w:r>
        <w:rPr>
          <w:rFonts w:ascii="宋体" w:hAnsi="宋体" w:hint="eastAsia"/>
          <w:sz w:val="24"/>
        </w:rPr>
        <w:lastRenderedPageBreak/>
        <w:t>单轴</w:t>
      </w:r>
      <w:r>
        <w:rPr>
          <w:rFonts w:ascii="宋体" w:hAnsi="宋体"/>
          <w:sz w:val="24"/>
        </w:rPr>
        <w:t xml:space="preserve">  B</w:t>
      </w:r>
      <w:r>
        <w:rPr>
          <w:rFonts w:ascii="宋体" w:hAnsi="宋体" w:hint="eastAsia"/>
          <w:sz w:val="24"/>
        </w:rPr>
        <w:t>多轴</w:t>
      </w:r>
      <w:r>
        <w:rPr>
          <w:rFonts w:ascii="宋体" w:hAnsi="宋体"/>
          <w:sz w:val="24"/>
        </w:rPr>
        <w:t xml:space="preserve"> C</w:t>
      </w:r>
      <w:r>
        <w:rPr>
          <w:rFonts w:ascii="宋体" w:hAnsi="宋体" w:hint="eastAsia"/>
          <w:sz w:val="24"/>
        </w:rPr>
        <w:t>、承重自锁</w:t>
      </w:r>
      <w:r>
        <w:rPr>
          <w:rFonts w:ascii="宋体" w:hAnsi="宋体"/>
          <w:sz w:val="24"/>
        </w:rPr>
        <w:t xml:space="preserve"> D</w:t>
      </w:r>
      <w:r>
        <w:rPr>
          <w:rFonts w:ascii="宋体" w:hAnsi="宋体" w:hint="eastAsia"/>
          <w:sz w:val="24"/>
        </w:rPr>
        <w:t>、液</w:t>
      </w:r>
      <w:r>
        <w:rPr>
          <w:rFonts w:ascii="宋体" w:hAnsi="宋体"/>
          <w:sz w:val="24"/>
        </w:rPr>
        <w:t>(</w:t>
      </w:r>
      <w:r>
        <w:rPr>
          <w:rFonts w:ascii="宋体" w:hAnsi="宋体" w:hint="eastAsia"/>
          <w:sz w:val="24"/>
        </w:rPr>
        <w:t>气</w:t>
      </w:r>
      <w:r>
        <w:rPr>
          <w:rFonts w:ascii="宋体" w:hAnsi="宋体"/>
          <w:sz w:val="24"/>
        </w:rPr>
        <w:t>)</w:t>
      </w:r>
      <w:r>
        <w:rPr>
          <w:rFonts w:ascii="宋体" w:hAnsi="宋体" w:hint="eastAsia"/>
          <w:sz w:val="24"/>
        </w:rPr>
        <w:t>压</w:t>
      </w:r>
    </w:p>
    <w:p w:rsidR="003717A0" w:rsidRDefault="003717A0" w:rsidP="00F5156D">
      <w:pPr>
        <w:spacing w:line="360" w:lineRule="auto"/>
        <w:rPr>
          <w:rFonts w:ascii="宋体"/>
          <w:sz w:val="24"/>
        </w:rPr>
      </w:pPr>
      <w:r>
        <w:rPr>
          <w:rFonts w:ascii="宋体" w:hAnsi="宋体"/>
          <w:sz w:val="24"/>
        </w:rPr>
        <w:t>6</w:t>
      </w:r>
      <w:r>
        <w:rPr>
          <w:rFonts w:ascii="宋体" w:hAnsi="宋体" w:hint="eastAsia"/>
          <w:sz w:val="24"/>
        </w:rPr>
        <w:t>、脊柱侧凸绝对适应证的度数为（</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w:t>
      </w:r>
      <w:r>
        <w:rPr>
          <w:rFonts w:ascii="宋体" w:hAnsi="宋体"/>
          <w:sz w:val="24"/>
        </w:rPr>
        <w:t>30</w:t>
      </w:r>
      <w:r>
        <w:rPr>
          <w:rFonts w:ascii="宋体" w:hAnsi="宋体" w:hint="eastAsia"/>
          <w:sz w:val="24"/>
        </w:rPr>
        <w:t>°</w:t>
      </w:r>
      <w:r>
        <w:rPr>
          <w:rFonts w:ascii="宋体" w:hAnsi="宋体"/>
          <w:sz w:val="24"/>
        </w:rPr>
        <w:t>~40</w:t>
      </w:r>
      <w:r>
        <w:rPr>
          <w:rFonts w:ascii="宋体" w:hAnsi="宋体" w:hint="eastAsia"/>
          <w:sz w:val="24"/>
        </w:rPr>
        <w:t>°</w:t>
      </w:r>
      <w:r>
        <w:rPr>
          <w:rFonts w:ascii="宋体" w:hAnsi="宋体"/>
          <w:sz w:val="24"/>
        </w:rPr>
        <w:t xml:space="preserve">   B</w:t>
      </w:r>
      <w:r>
        <w:rPr>
          <w:rFonts w:ascii="宋体" w:hAnsi="宋体" w:hint="eastAsia"/>
          <w:sz w:val="24"/>
        </w:rPr>
        <w:t>．</w:t>
      </w:r>
      <w:r>
        <w:rPr>
          <w:rFonts w:ascii="宋体" w:hAnsi="宋体"/>
          <w:sz w:val="24"/>
        </w:rPr>
        <w:t>10</w:t>
      </w:r>
      <w:r>
        <w:rPr>
          <w:rFonts w:ascii="宋体" w:hAnsi="宋体" w:hint="eastAsia"/>
          <w:sz w:val="24"/>
        </w:rPr>
        <w:t>°</w:t>
      </w:r>
      <w:r>
        <w:rPr>
          <w:rFonts w:ascii="宋体" w:hAnsi="宋体"/>
          <w:sz w:val="24"/>
        </w:rPr>
        <w:t>~25</w:t>
      </w:r>
      <w:r>
        <w:rPr>
          <w:rFonts w:ascii="宋体" w:hAnsi="宋体" w:hint="eastAsia"/>
          <w:sz w:val="24"/>
        </w:rPr>
        <w:t>°</w:t>
      </w:r>
      <w:r>
        <w:rPr>
          <w:rFonts w:ascii="宋体" w:hAnsi="宋体"/>
          <w:sz w:val="24"/>
        </w:rPr>
        <w:t xml:space="preserve">    C</w:t>
      </w:r>
      <w:r>
        <w:rPr>
          <w:rFonts w:ascii="宋体" w:hAnsi="宋体" w:hint="eastAsia"/>
          <w:sz w:val="24"/>
        </w:rPr>
        <w:t>．</w:t>
      </w:r>
      <w:r>
        <w:rPr>
          <w:rFonts w:ascii="宋体" w:hAnsi="宋体"/>
          <w:sz w:val="24"/>
        </w:rPr>
        <w:t>15</w:t>
      </w:r>
      <w:r>
        <w:rPr>
          <w:rFonts w:ascii="宋体" w:hAnsi="宋体" w:hint="eastAsia"/>
          <w:sz w:val="24"/>
        </w:rPr>
        <w:t>°</w:t>
      </w:r>
      <w:r>
        <w:rPr>
          <w:rFonts w:ascii="宋体" w:hAnsi="宋体"/>
          <w:sz w:val="24"/>
        </w:rPr>
        <w:t>~30</w:t>
      </w:r>
      <w:r>
        <w:rPr>
          <w:rFonts w:ascii="宋体" w:hAnsi="宋体" w:hint="eastAsia"/>
          <w:sz w:val="24"/>
        </w:rPr>
        <w:t>°</w:t>
      </w:r>
      <w:r>
        <w:rPr>
          <w:rFonts w:ascii="宋体" w:hAnsi="宋体"/>
          <w:sz w:val="24"/>
        </w:rPr>
        <w:t xml:space="preserve">   D</w:t>
      </w:r>
      <w:r>
        <w:rPr>
          <w:rFonts w:ascii="宋体" w:hAnsi="宋体" w:hint="eastAsia"/>
          <w:sz w:val="24"/>
        </w:rPr>
        <w:t>．</w:t>
      </w:r>
      <w:r>
        <w:rPr>
          <w:rFonts w:ascii="宋体" w:hAnsi="宋体"/>
          <w:sz w:val="24"/>
        </w:rPr>
        <w:t>20</w:t>
      </w:r>
      <w:r>
        <w:rPr>
          <w:rFonts w:ascii="宋体" w:hAnsi="宋体" w:hint="eastAsia"/>
          <w:sz w:val="24"/>
        </w:rPr>
        <w:t>°</w:t>
      </w:r>
      <w:r>
        <w:rPr>
          <w:rFonts w:ascii="宋体" w:hAnsi="宋体"/>
          <w:sz w:val="24"/>
        </w:rPr>
        <w:t>~40</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7</w:t>
      </w:r>
      <w:r>
        <w:rPr>
          <w:rFonts w:ascii="宋体" w:hAnsi="宋体" w:hint="eastAsia"/>
          <w:sz w:val="24"/>
        </w:rPr>
        <w:t>、下列哪项不是硬踝塑料</w:t>
      </w:r>
      <w:r>
        <w:rPr>
          <w:rFonts w:ascii="宋体" w:hAnsi="宋体"/>
          <w:sz w:val="24"/>
        </w:rPr>
        <w:t>AFO</w:t>
      </w:r>
      <w:r>
        <w:rPr>
          <w:rFonts w:ascii="宋体" w:hAnsi="宋体" w:hint="eastAsia"/>
          <w:sz w:val="24"/>
        </w:rPr>
        <w:t>的功能（</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．摆动期控制足的下垂</w:t>
      </w:r>
      <w:r>
        <w:rPr>
          <w:rFonts w:ascii="宋体" w:hAnsi="宋体"/>
          <w:sz w:val="24"/>
        </w:rPr>
        <w:t xml:space="preserve">    B</w:t>
      </w:r>
      <w:r>
        <w:rPr>
          <w:rFonts w:ascii="宋体" w:hAnsi="宋体" w:hint="eastAsia"/>
          <w:sz w:val="24"/>
        </w:rPr>
        <w:t>．支撑期控制踝关节的跖屈、背屈活动</w:t>
      </w:r>
      <w:r>
        <w:rPr>
          <w:rFonts w:ascii="宋体" w:hAnsi="宋体"/>
          <w:sz w:val="24"/>
        </w:rPr>
        <w:t xml:space="preserve">    C</w:t>
      </w:r>
      <w:r>
        <w:rPr>
          <w:rFonts w:ascii="宋体" w:hAnsi="宋体" w:hint="eastAsia"/>
          <w:sz w:val="24"/>
        </w:rPr>
        <w:t>．控制距下关节的内翻、外翻活动</w:t>
      </w:r>
      <w:r>
        <w:rPr>
          <w:rFonts w:ascii="宋体" w:hAnsi="宋体"/>
          <w:sz w:val="24"/>
        </w:rPr>
        <w:t xml:space="preserve">   D</w:t>
      </w:r>
      <w:r>
        <w:rPr>
          <w:rFonts w:ascii="宋体" w:hAnsi="宋体" w:hint="eastAsia"/>
          <w:sz w:val="24"/>
        </w:rPr>
        <w:t>．利用地面反作用力使膝伸直</w:t>
      </w:r>
    </w:p>
    <w:p w:rsidR="003717A0" w:rsidRDefault="003717A0" w:rsidP="00F5156D">
      <w:pPr>
        <w:spacing w:line="360" w:lineRule="auto"/>
        <w:rPr>
          <w:rFonts w:ascii="宋体"/>
          <w:sz w:val="24"/>
        </w:rPr>
      </w:pPr>
      <w:r>
        <w:rPr>
          <w:rFonts w:ascii="宋体" w:hAnsi="宋体"/>
          <w:sz w:val="24"/>
        </w:rPr>
        <w:t>8</w:t>
      </w:r>
      <w:r>
        <w:rPr>
          <w:rFonts w:ascii="宋体" w:hAnsi="宋体" w:hint="eastAsia"/>
          <w:sz w:val="24"/>
        </w:rPr>
        <w:t>、夹持矫形器品种多样，其中应用较多的是（</w:t>
      </w:r>
      <w:r>
        <w:rPr>
          <w:rFonts w:ascii="宋体" w:hAnsi="宋体"/>
          <w:sz w:val="24"/>
        </w:rPr>
        <w:t xml:space="preserve">    </w:t>
      </w:r>
      <w:r>
        <w:rPr>
          <w:rFonts w:ascii="宋体" w:hAnsi="宋体" w:hint="eastAsia"/>
          <w:sz w:val="24"/>
        </w:rPr>
        <w:t>）驱动式夹持矫形器</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．棘轮</w:t>
      </w:r>
      <w:r>
        <w:rPr>
          <w:rFonts w:ascii="宋体" w:hAnsi="宋体"/>
          <w:sz w:val="24"/>
        </w:rPr>
        <w:t xml:space="preserve">   B</w:t>
      </w:r>
      <w:r>
        <w:rPr>
          <w:rFonts w:ascii="宋体" w:hAnsi="宋体" w:hint="eastAsia"/>
          <w:sz w:val="24"/>
        </w:rPr>
        <w:t>．肩关节</w:t>
      </w:r>
      <w:r>
        <w:rPr>
          <w:rFonts w:ascii="宋体" w:hAnsi="宋体"/>
          <w:sz w:val="24"/>
        </w:rPr>
        <w:t xml:space="preserve">    C</w:t>
      </w:r>
      <w:r>
        <w:rPr>
          <w:rFonts w:ascii="宋体" w:hAnsi="宋体" w:hint="eastAsia"/>
          <w:sz w:val="24"/>
        </w:rPr>
        <w:t>．腕关节</w:t>
      </w:r>
      <w:r>
        <w:rPr>
          <w:rFonts w:ascii="宋体" w:hAnsi="宋体"/>
          <w:sz w:val="24"/>
        </w:rPr>
        <w:t xml:space="preserve">   D</w:t>
      </w:r>
      <w:r>
        <w:rPr>
          <w:rFonts w:ascii="宋体" w:hAnsi="宋体" w:hint="eastAsia"/>
          <w:sz w:val="24"/>
        </w:rPr>
        <w:t>．体外力源</w:t>
      </w:r>
    </w:p>
    <w:p w:rsidR="003717A0" w:rsidRDefault="003717A0" w:rsidP="00F5156D">
      <w:pPr>
        <w:spacing w:line="360" w:lineRule="auto"/>
        <w:rPr>
          <w:rFonts w:ascii="宋体"/>
          <w:sz w:val="24"/>
        </w:rPr>
      </w:pPr>
      <w:r>
        <w:rPr>
          <w:rFonts w:ascii="宋体" w:hAnsi="宋体"/>
          <w:sz w:val="24"/>
        </w:rPr>
        <w:t>9</w:t>
      </w:r>
      <w:r>
        <w:rPr>
          <w:rFonts w:ascii="宋体" w:hAnsi="宋体" w:hint="eastAsia"/>
          <w:sz w:val="24"/>
        </w:rPr>
        <w:t>、全免荷</w:t>
      </w:r>
      <w:r>
        <w:rPr>
          <w:rFonts w:ascii="宋体" w:hAnsi="宋体"/>
          <w:sz w:val="24"/>
        </w:rPr>
        <w:t>AFO</w:t>
      </w:r>
      <w:r>
        <w:rPr>
          <w:rFonts w:ascii="宋体" w:hAnsi="宋体" w:hint="eastAsia"/>
          <w:sz w:val="24"/>
        </w:rPr>
        <w:t>要求鞋底、马镫之间保留（</w:t>
      </w:r>
      <w:r>
        <w:rPr>
          <w:rFonts w:ascii="宋体" w:hAnsi="宋体"/>
          <w:sz w:val="24"/>
        </w:rPr>
        <w:t xml:space="preserve">     </w:t>
      </w:r>
      <w:r>
        <w:rPr>
          <w:rFonts w:ascii="宋体" w:hAnsi="宋体" w:hint="eastAsia"/>
          <w:sz w:val="24"/>
        </w:rPr>
        <w:t>）</w:t>
      </w:r>
      <w:r>
        <w:rPr>
          <w:rFonts w:ascii="宋体" w:hAnsi="宋体"/>
          <w:sz w:val="24"/>
        </w:rPr>
        <w:t>cm</w:t>
      </w:r>
      <w:r>
        <w:rPr>
          <w:rFonts w:ascii="宋体" w:hAnsi="宋体" w:hint="eastAsia"/>
          <w:sz w:val="24"/>
        </w:rPr>
        <w:t>的距离，以保证步行支撑期足尖不触地。</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w:t>
      </w:r>
      <w:r>
        <w:rPr>
          <w:rFonts w:ascii="宋体" w:hAnsi="宋体"/>
          <w:sz w:val="24"/>
        </w:rPr>
        <w:t>1~3   B</w:t>
      </w:r>
      <w:r>
        <w:rPr>
          <w:rFonts w:ascii="宋体" w:hAnsi="宋体" w:hint="eastAsia"/>
          <w:sz w:val="24"/>
        </w:rPr>
        <w:t>．</w:t>
      </w:r>
      <w:r>
        <w:rPr>
          <w:rFonts w:ascii="宋体" w:hAnsi="宋体"/>
          <w:sz w:val="24"/>
        </w:rPr>
        <w:t>3~6    C</w:t>
      </w:r>
      <w:r>
        <w:rPr>
          <w:rFonts w:ascii="宋体" w:hAnsi="宋体" w:hint="eastAsia"/>
          <w:sz w:val="24"/>
        </w:rPr>
        <w:t>．</w:t>
      </w:r>
      <w:r>
        <w:rPr>
          <w:rFonts w:ascii="宋体" w:hAnsi="宋体"/>
          <w:sz w:val="24"/>
        </w:rPr>
        <w:t>2~5   D</w:t>
      </w:r>
      <w:r>
        <w:rPr>
          <w:rFonts w:ascii="宋体" w:hAnsi="宋体" w:hint="eastAsia"/>
          <w:sz w:val="24"/>
        </w:rPr>
        <w:t>．</w:t>
      </w:r>
      <w:r>
        <w:rPr>
          <w:rFonts w:ascii="宋体" w:hAnsi="宋体"/>
          <w:sz w:val="24"/>
        </w:rPr>
        <w:t>8~10</w:t>
      </w:r>
    </w:p>
    <w:p w:rsidR="003717A0" w:rsidRDefault="003717A0" w:rsidP="00F5156D">
      <w:pPr>
        <w:spacing w:line="360" w:lineRule="auto"/>
        <w:rPr>
          <w:rFonts w:ascii="宋体"/>
          <w:sz w:val="24"/>
        </w:rPr>
      </w:pPr>
      <w:r>
        <w:rPr>
          <w:rFonts w:ascii="宋体" w:hAnsi="宋体"/>
          <w:sz w:val="24"/>
        </w:rPr>
        <w:t>10</w:t>
      </w:r>
      <w:r>
        <w:rPr>
          <w:rFonts w:ascii="宋体" w:hAnsi="宋体" w:hint="eastAsia"/>
          <w:sz w:val="24"/>
        </w:rPr>
        <w:t>、治疗青少年股骨头无菌性缺血性坏死，装配矫形器时除要求尽量做到全免荷，还应保持髋关节处于（</w:t>
      </w:r>
      <w:r>
        <w:rPr>
          <w:rFonts w:ascii="宋体" w:hAnsi="宋体"/>
          <w:sz w:val="24"/>
        </w:rPr>
        <w:t xml:space="preserve">     </w:t>
      </w:r>
      <w:r>
        <w:rPr>
          <w:rFonts w:ascii="宋体" w:hAnsi="宋体" w:hint="eastAsia"/>
          <w:sz w:val="24"/>
        </w:rPr>
        <w:t>）位。</w:t>
      </w:r>
    </w:p>
    <w:p w:rsidR="003717A0" w:rsidRDefault="003717A0" w:rsidP="00F5156D">
      <w:pPr>
        <w:spacing w:line="360" w:lineRule="auto"/>
        <w:rPr>
          <w:rFonts w:ascii="宋体"/>
          <w:sz w:val="24"/>
        </w:rPr>
      </w:pPr>
      <w:r>
        <w:rPr>
          <w:rFonts w:ascii="宋体" w:hAnsi="宋体"/>
          <w:sz w:val="24"/>
        </w:rPr>
        <w:t>A</w:t>
      </w:r>
      <w:r>
        <w:rPr>
          <w:rFonts w:ascii="宋体" w:hAnsi="宋体" w:hint="eastAsia"/>
          <w:sz w:val="24"/>
        </w:rPr>
        <w:t>．内收外旋</w:t>
      </w:r>
      <w:r>
        <w:rPr>
          <w:rFonts w:ascii="宋体" w:hAnsi="宋体"/>
          <w:sz w:val="24"/>
        </w:rPr>
        <w:t xml:space="preserve">   B</w:t>
      </w:r>
      <w:r>
        <w:rPr>
          <w:rFonts w:ascii="宋体" w:hAnsi="宋体" w:hint="eastAsia"/>
          <w:sz w:val="24"/>
        </w:rPr>
        <w:t>．内收内旋</w:t>
      </w:r>
      <w:r>
        <w:rPr>
          <w:rFonts w:ascii="宋体" w:hAnsi="宋体"/>
          <w:sz w:val="24"/>
        </w:rPr>
        <w:t xml:space="preserve">    C</w:t>
      </w:r>
      <w:r>
        <w:rPr>
          <w:rFonts w:ascii="宋体" w:hAnsi="宋体" w:hint="eastAsia"/>
          <w:sz w:val="24"/>
        </w:rPr>
        <w:t>．外展外旋</w:t>
      </w:r>
      <w:r>
        <w:rPr>
          <w:rFonts w:ascii="宋体" w:hAnsi="宋体"/>
          <w:sz w:val="24"/>
        </w:rPr>
        <w:t xml:space="preserve">   D</w:t>
      </w:r>
      <w:r>
        <w:rPr>
          <w:rFonts w:ascii="宋体" w:hAnsi="宋体" w:hint="eastAsia"/>
          <w:sz w:val="24"/>
        </w:rPr>
        <w:t>．外展内旋</w:t>
      </w:r>
    </w:p>
    <w:p w:rsidR="003717A0" w:rsidRDefault="003717A0" w:rsidP="00F5156D">
      <w:pPr>
        <w:spacing w:line="360" w:lineRule="auto"/>
        <w:rPr>
          <w:rFonts w:ascii="宋体"/>
          <w:sz w:val="24"/>
        </w:rPr>
      </w:pPr>
      <w:r>
        <w:rPr>
          <w:rFonts w:ascii="宋体" w:hAnsi="宋体" w:hint="eastAsia"/>
          <w:sz w:val="24"/>
        </w:rPr>
        <w:t>四、填空题：（每格</w:t>
      </w:r>
      <w:r>
        <w:rPr>
          <w:rFonts w:ascii="宋体" w:hAnsi="宋体"/>
          <w:sz w:val="24"/>
        </w:rPr>
        <w:t>0.5</w:t>
      </w:r>
      <w:r>
        <w:rPr>
          <w:rFonts w:ascii="宋体" w:hAnsi="宋体" w:hint="eastAsia"/>
          <w:sz w:val="24"/>
        </w:rPr>
        <w:t>分，共</w:t>
      </w:r>
      <w:r>
        <w:rPr>
          <w:rFonts w:ascii="宋体" w:hAnsi="宋体"/>
          <w:sz w:val="24"/>
        </w:rPr>
        <w:t>23</w:t>
      </w:r>
      <w:r>
        <w:rPr>
          <w:rFonts w:ascii="宋体" w:hAnsi="宋体" w:hint="eastAsia"/>
          <w:sz w:val="24"/>
        </w:rPr>
        <w:t>分）</w:t>
      </w:r>
    </w:p>
    <w:p w:rsidR="003717A0" w:rsidRDefault="003717A0" w:rsidP="00F5156D">
      <w:pPr>
        <w:numPr>
          <w:ilvl w:val="0"/>
          <w:numId w:val="262"/>
        </w:numPr>
        <w:spacing w:line="360" w:lineRule="auto"/>
        <w:rPr>
          <w:rFonts w:ascii="宋体"/>
          <w:kern w:val="0"/>
          <w:szCs w:val="21"/>
        </w:rPr>
      </w:pPr>
      <w:r>
        <w:rPr>
          <w:rFonts w:ascii="宋体" w:hAnsi="宋体" w:hint="eastAsia"/>
          <w:sz w:val="24"/>
        </w:rPr>
        <w:t>截肢既是</w:t>
      </w:r>
      <w:r>
        <w:rPr>
          <w:rFonts w:ascii="宋体" w:hAnsi="宋体"/>
          <w:kern w:val="0"/>
          <w:szCs w:val="21"/>
          <w:u w:val="single"/>
        </w:rPr>
        <w:t xml:space="preserve">        </w:t>
      </w:r>
      <w:r>
        <w:rPr>
          <w:rFonts w:ascii="宋体" w:hAnsi="宋体" w:hint="eastAsia"/>
          <w:kern w:val="0"/>
          <w:szCs w:val="21"/>
        </w:rPr>
        <w:t>手术，又是</w:t>
      </w:r>
      <w:r>
        <w:rPr>
          <w:rFonts w:ascii="宋体" w:hAnsi="宋体"/>
          <w:kern w:val="0"/>
          <w:szCs w:val="21"/>
          <w:u w:val="single"/>
        </w:rPr>
        <w:t xml:space="preserve">          </w:t>
      </w:r>
      <w:r>
        <w:rPr>
          <w:rFonts w:ascii="宋体" w:hAnsi="宋体" w:hint="eastAsia"/>
          <w:kern w:val="0"/>
          <w:szCs w:val="21"/>
        </w:rPr>
        <w:t>手术，截肢手术要为</w:t>
      </w:r>
      <w:r>
        <w:rPr>
          <w:rFonts w:ascii="宋体" w:hAnsi="宋体"/>
          <w:kern w:val="0"/>
          <w:szCs w:val="21"/>
          <w:u w:val="single"/>
        </w:rPr>
        <w:t xml:space="preserve">               </w:t>
      </w:r>
      <w:r>
        <w:rPr>
          <w:rFonts w:ascii="宋体" w:hAnsi="宋体" w:hint="eastAsia"/>
          <w:kern w:val="0"/>
          <w:szCs w:val="21"/>
        </w:rPr>
        <w:t>作准备。</w:t>
      </w:r>
      <w:r>
        <w:rPr>
          <w:rFonts w:ascii="宋体" w:hAnsi="宋体"/>
          <w:kern w:val="0"/>
          <w:szCs w:val="21"/>
        </w:rPr>
        <w:t xml:space="preserve"> </w:t>
      </w:r>
    </w:p>
    <w:p w:rsidR="003717A0" w:rsidRDefault="003717A0" w:rsidP="00F5156D">
      <w:pPr>
        <w:spacing w:line="360" w:lineRule="auto"/>
        <w:rPr>
          <w:rFonts w:ascii="宋体"/>
          <w:sz w:val="24"/>
        </w:rPr>
      </w:pPr>
      <w:r>
        <w:rPr>
          <w:rFonts w:ascii="宋体" w:hAnsi="宋体"/>
          <w:sz w:val="24"/>
        </w:rPr>
        <w:t>2</w:t>
      </w:r>
      <w:r>
        <w:rPr>
          <w:rFonts w:ascii="宋体" w:hAnsi="宋体" w:hint="eastAsia"/>
          <w:sz w:val="24"/>
        </w:rPr>
        <w:t>、</w:t>
      </w:r>
      <w:r>
        <w:rPr>
          <w:rFonts w:ascii="宋体" w:hAnsi="宋体"/>
          <w:kern w:val="0"/>
          <w:szCs w:val="21"/>
          <w:u w:val="single"/>
        </w:rPr>
        <w:t xml:space="preserve">       </w:t>
      </w:r>
      <w:r>
        <w:rPr>
          <w:rFonts w:ascii="宋体" w:hAnsi="宋体" w:hint="eastAsia"/>
          <w:sz w:val="24"/>
        </w:rPr>
        <w:t>是指从事专业性劳动或日常生活而设计制作的上肢假肢。</w:t>
      </w:r>
    </w:p>
    <w:p w:rsidR="003717A0" w:rsidRDefault="003717A0" w:rsidP="00F5156D">
      <w:pPr>
        <w:spacing w:line="360" w:lineRule="auto"/>
        <w:rPr>
          <w:rFonts w:ascii="宋体"/>
          <w:sz w:val="24"/>
        </w:rPr>
      </w:pPr>
      <w:r>
        <w:rPr>
          <w:rFonts w:ascii="宋体" w:hAnsi="宋体"/>
          <w:sz w:val="24"/>
        </w:rPr>
        <w:t>3</w:t>
      </w:r>
      <w:r>
        <w:rPr>
          <w:rFonts w:ascii="宋体" w:hAnsi="宋体" w:hint="eastAsia"/>
          <w:sz w:val="24"/>
        </w:rPr>
        <w:t>、赛姆截肢的患者应穿戴</w:t>
      </w:r>
      <w:r>
        <w:rPr>
          <w:rFonts w:ascii="宋体" w:hAnsi="宋体"/>
          <w:kern w:val="0"/>
          <w:szCs w:val="21"/>
          <w:u w:val="single"/>
        </w:rPr>
        <w:t xml:space="preserve">         </w:t>
      </w:r>
      <w:r>
        <w:rPr>
          <w:rFonts w:ascii="宋体" w:hAnsi="宋体" w:hint="eastAsia"/>
          <w:kern w:val="0"/>
          <w:szCs w:val="21"/>
        </w:rPr>
        <w:t>假肢。</w:t>
      </w:r>
    </w:p>
    <w:p w:rsidR="003717A0" w:rsidRDefault="003717A0" w:rsidP="00F5156D">
      <w:pPr>
        <w:spacing w:line="360" w:lineRule="auto"/>
        <w:rPr>
          <w:rFonts w:ascii="宋体"/>
          <w:sz w:val="24"/>
        </w:rPr>
      </w:pPr>
      <w:r>
        <w:rPr>
          <w:rFonts w:ascii="宋体" w:hAnsi="宋体"/>
          <w:sz w:val="24"/>
        </w:rPr>
        <w:t>4</w:t>
      </w:r>
      <w:r>
        <w:rPr>
          <w:rFonts w:ascii="宋体" w:hAnsi="宋体" w:hint="eastAsia"/>
          <w:sz w:val="24"/>
        </w:rPr>
        <w:t>、大腿假肢的主要受力面是</w:t>
      </w:r>
      <w:r>
        <w:rPr>
          <w:rFonts w:ascii="宋体" w:hAnsi="宋体"/>
          <w:sz w:val="24"/>
          <w:u w:val="single"/>
        </w:rPr>
        <w:t xml:space="preserve">          </w:t>
      </w:r>
      <w:r>
        <w:rPr>
          <w:rFonts w:ascii="宋体" w:hAnsi="宋体" w:hint="eastAsia"/>
          <w:sz w:val="24"/>
        </w:rPr>
        <w:t>，</w:t>
      </w:r>
      <w:r>
        <w:rPr>
          <w:rFonts w:ascii="宋体" w:hAnsi="宋体"/>
          <w:sz w:val="24"/>
        </w:rPr>
        <w:t>PTB</w:t>
      </w:r>
      <w:r>
        <w:rPr>
          <w:rFonts w:ascii="宋体" w:hAnsi="宋体" w:hint="eastAsia"/>
          <w:sz w:val="24"/>
        </w:rPr>
        <w:t>小腿假肢的主要受力面为</w:t>
      </w:r>
      <w:r>
        <w:rPr>
          <w:rFonts w:ascii="宋体" w:hAnsi="宋体"/>
          <w:sz w:val="24"/>
          <w:u w:val="single"/>
        </w:rPr>
        <w:t xml:space="preserve">         </w:t>
      </w:r>
      <w:r>
        <w:rPr>
          <w:rFonts w:ascii="宋体" w:hAnsi="宋体" w:hint="eastAsia"/>
          <w:sz w:val="24"/>
        </w:rPr>
        <w:t>；膝离断假肢的主要受力面为</w:t>
      </w:r>
      <w:r>
        <w:rPr>
          <w:rFonts w:ascii="宋体" w:hAnsi="宋体"/>
          <w:sz w:val="24"/>
          <w:u w:val="single"/>
        </w:rPr>
        <w:t xml:space="preserve">         </w:t>
      </w:r>
      <w:r>
        <w:rPr>
          <w:rFonts w:ascii="宋体" w:hAnsi="宋体" w:hint="eastAsia"/>
          <w:sz w:val="24"/>
        </w:rPr>
        <w:t>。</w:t>
      </w:r>
    </w:p>
    <w:p w:rsidR="003717A0" w:rsidRDefault="003717A0" w:rsidP="00F5156D">
      <w:pPr>
        <w:spacing w:line="360" w:lineRule="auto"/>
        <w:rPr>
          <w:rFonts w:ascii="宋体"/>
        </w:rPr>
      </w:pPr>
      <w:r>
        <w:rPr>
          <w:rFonts w:ascii="宋体" w:hAnsi="宋体"/>
          <w:sz w:val="24"/>
        </w:rPr>
        <w:t>5</w:t>
      </w:r>
      <w:r>
        <w:rPr>
          <w:rFonts w:ascii="宋体" w:hAnsi="宋体" w:hint="eastAsia"/>
          <w:sz w:val="24"/>
        </w:rPr>
        <w:t>、糖尿病患者截肢为防止残肢皮肤表面擦伤，可选用带</w:t>
      </w:r>
      <w:r>
        <w:rPr>
          <w:rFonts w:ascii="宋体" w:hAnsi="宋体"/>
          <w:kern w:val="0"/>
          <w:szCs w:val="21"/>
          <w:u w:val="single"/>
        </w:rPr>
        <w:t xml:space="preserve">           </w:t>
      </w:r>
      <w:r>
        <w:rPr>
          <w:rFonts w:ascii="宋体" w:hAnsi="宋体"/>
          <w:kern w:val="0"/>
          <w:szCs w:val="21"/>
        </w:rPr>
        <w:t xml:space="preserve"> </w:t>
      </w:r>
      <w:r>
        <w:rPr>
          <w:rFonts w:ascii="宋体" w:hAnsi="宋体" w:hint="eastAsia"/>
        </w:rPr>
        <w:t>套的小腿假肢。</w:t>
      </w:r>
    </w:p>
    <w:p w:rsidR="003717A0" w:rsidRDefault="003717A0" w:rsidP="00F5156D">
      <w:pPr>
        <w:spacing w:line="360" w:lineRule="auto"/>
        <w:rPr>
          <w:rFonts w:ascii="宋体"/>
          <w:sz w:val="24"/>
        </w:rPr>
      </w:pPr>
      <w:r>
        <w:rPr>
          <w:rFonts w:ascii="宋体" w:hAnsi="宋体"/>
        </w:rPr>
        <w:t>6</w:t>
      </w:r>
      <w:r>
        <w:rPr>
          <w:rFonts w:ascii="宋体" w:hAnsi="宋体" w:hint="eastAsia"/>
        </w:rPr>
        <w:t>、</w:t>
      </w:r>
      <w:r>
        <w:rPr>
          <w:rFonts w:ascii="宋体" w:hAnsi="宋体" w:hint="eastAsia"/>
          <w:sz w:val="24"/>
        </w:rPr>
        <w:t>单侧大腿假肢者上台阶步行训练时，一般采用健侧腿</w:t>
      </w:r>
      <w:r>
        <w:rPr>
          <w:rFonts w:ascii="宋体" w:hAnsi="宋体"/>
          <w:kern w:val="0"/>
          <w:sz w:val="24"/>
          <w:szCs w:val="21"/>
          <w:u w:val="single"/>
        </w:rPr>
        <w:t xml:space="preserve">        </w:t>
      </w:r>
      <w:r>
        <w:rPr>
          <w:rFonts w:ascii="宋体" w:hAnsi="宋体" w:hint="eastAsia"/>
          <w:kern w:val="0"/>
          <w:sz w:val="24"/>
          <w:szCs w:val="21"/>
        </w:rPr>
        <w:t>台阶，假肢</w:t>
      </w:r>
      <w:r>
        <w:rPr>
          <w:rFonts w:ascii="宋体" w:hAnsi="宋体"/>
          <w:kern w:val="0"/>
          <w:sz w:val="24"/>
          <w:szCs w:val="21"/>
          <w:u w:val="single"/>
        </w:rPr>
        <w:t xml:space="preserve">      </w:t>
      </w:r>
      <w:r>
        <w:rPr>
          <w:rFonts w:ascii="宋体" w:hAnsi="宋体" w:hint="eastAsia"/>
          <w:kern w:val="0"/>
          <w:sz w:val="24"/>
          <w:szCs w:val="21"/>
        </w:rPr>
        <w:t>台阶。</w:t>
      </w:r>
    </w:p>
    <w:p w:rsidR="003717A0" w:rsidRDefault="003717A0" w:rsidP="00F5156D">
      <w:pPr>
        <w:widowControl/>
        <w:spacing w:line="360" w:lineRule="auto"/>
        <w:jc w:val="left"/>
        <w:rPr>
          <w:rFonts w:ascii="宋体"/>
          <w:kern w:val="0"/>
          <w:sz w:val="24"/>
          <w:szCs w:val="21"/>
        </w:rPr>
      </w:pPr>
      <w:r>
        <w:rPr>
          <w:rFonts w:ascii="宋体" w:hAnsi="宋体"/>
          <w:kern w:val="0"/>
          <w:sz w:val="24"/>
          <w:szCs w:val="21"/>
        </w:rPr>
        <w:t>7</w:t>
      </w:r>
      <w:r>
        <w:rPr>
          <w:rFonts w:ascii="宋体" w:hAnsi="宋体" w:hint="eastAsia"/>
          <w:kern w:val="0"/>
          <w:sz w:val="24"/>
          <w:szCs w:val="21"/>
        </w:rPr>
        <w:t>、在采集上臂肌电假手的肌电信号时，通常将电极放在残肢的</w:t>
      </w:r>
      <w:r>
        <w:rPr>
          <w:rFonts w:ascii="宋体" w:hAnsi="宋体"/>
          <w:kern w:val="0"/>
          <w:sz w:val="24"/>
          <w:szCs w:val="21"/>
          <w:u w:val="single"/>
        </w:rPr>
        <w:t xml:space="preserve">                   </w:t>
      </w:r>
      <w:r>
        <w:rPr>
          <w:rFonts w:ascii="宋体" w:hAnsi="宋体" w:hint="eastAsia"/>
          <w:kern w:val="0"/>
          <w:sz w:val="24"/>
          <w:szCs w:val="21"/>
        </w:rPr>
        <w:t>部位。</w:t>
      </w:r>
    </w:p>
    <w:p w:rsidR="003717A0" w:rsidRDefault="003717A0" w:rsidP="00F5156D">
      <w:pPr>
        <w:spacing w:line="360" w:lineRule="auto"/>
        <w:rPr>
          <w:rFonts w:ascii="宋体"/>
          <w:kern w:val="0"/>
          <w:sz w:val="24"/>
          <w:szCs w:val="21"/>
        </w:rPr>
      </w:pPr>
      <w:r>
        <w:rPr>
          <w:rFonts w:ascii="宋体" w:hAnsi="宋体"/>
          <w:kern w:val="0"/>
          <w:sz w:val="24"/>
          <w:szCs w:val="21"/>
        </w:rPr>
        <w:t>8</w:t>
      </w:r>
      <w:r>
        <w:rPr>
          <w:rFonts w:ascii="宋体" w:hAnsi="宋体" w:hint="eastAsia"/>
          <w:kern w:val="0"/>
          <w:sz w:val="24"/>
          <w:szCs w:val="21"/>
        </w:rPr>
        <w:t>、一般临时性假肢在截肢后</w:t>
      </w:r>
      <w:r>
        <w:rPr>
          <w:rFonts w:ascii="宋体" w:hAnsi="宋体"/>
          <w:kern w:val="0"/>
          <w:sz w:val="24"/>
          <w:szCs w:val="21"/>
          <w:u w:val="single"/>
        </w:rPr>
        <w:t xml:space="preserve">     </w:t>
      </w:r>
      <w:r>
        <w:rPr>
          <w:rFonts w:ascii="宋体" w:hAnsi="宋体" w:hint="eastAsia"/>
          <w:kern w:val="0"/>
          <w:sz w:val="24"/>
          <w:szCs w:val="21"/>
        </w:rPr>
        <w:t>周，伤口良好愈合拆后即可安装。</w:t>
      </w:r>
    </w:p>
    <w:p w:rsidR="003717A0" w:rsidRDefault="003717A0" w:rsidP="00F5156D">
      <w:pPr>
        <w:spacing w:line="360" w:lineRule="auto"/>
        <w:ind w:left="62" w:hangingChars="26" w:hanging="62"/>
        <w:rPr>
          <w:rFonts w:ascii="宋体"/>
        </w:rPr>
      </w:pPr>
      <w:r>
        <w:rPr>
          <w:rFonts w:ascii="宋体" w:hAnsi="宋体"/>
          <w:sz w:val="24"/>
        </w:rPr>
        <w:t>9</w:t>
      </w:r>
      <w:r>
        <w:rPr>
          <w:rFonts w:ascii="宋体" w:hAnsi="宋体" w:hint="eastAsia"/>
          <w:sz w:val="24"/>
        </w:rPr>
        <w:t>、前臂截肢后适合装配各种具有功能的假肢，主要可选择</w:t>
      </w:r>
      <w:r>
        <w:rPr>
          <w:rFonts w:ascii="宋体" w:hAnsi="宋体"/>
          <w:sz w:val="24"/>
          <w:u w:val="single"/>
        </w:rPr>
        <w:t xml:space="preserve">  </w:t>
      </w:r>
      <w:r>
        <w:rPr>
          <w:rFonts w:ascii="宋体" w:hAnsi="宋体"/>
          <w:kern w:val="0"/>
          <w:szCs w:val="21"/>
          <w:u w:val="single"/>
        </w:rPr>
        <w:t xml:space="preserve">   </w:t>
      </w:r>
      <w:r>
        <w:rPr>
          <w:rFonts w:ascii="宋体" w:hAnsi="宋体"/>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w:t>
      </w:r>
      <w:r>
        <w:rPr>
          <w:rFonts w:ascii="宋体" w:hAnsi="宋体"/>
          <w:u w:val="single"/>
        </w:rPr>
        <w:t xml:space="preserve">         </w:t>
      </w:r>
      <w:r>
        <w:rPr>
          <w:rFonts w:ascii="宋体" w:hAnsi="宋体" w:hint="eastAsia"/>
          <w:kern w:val="0"/>
          <w:sz w:val="24"/>
          <w:szCs w:val="21"/>
        </w:rPr>
        <w:t>两类前臂假肢。</w:t>
      </w:r>
      <w:r>
        <w:rPr>
          <w:rFonts w:ascii="宋体" w:hAnsi="宋体"/>
        </w:rPr>
        <w:t xml:space="preserve">  </w:t>
      </w:r>
    </w:p>
    <w:p w:rsidR="003717A0" w:rsidRDefault="003717A0" w:rsidP="00F5156D">
      <w:pPr>
        <w:spacing w:line="360" w:lineRule="auto"/>
        <w:rPr>
          <w:rFonts w:ascii="宋体"/>
          <w:kern w:val="0"/>
          <w:sz w:val="24"/>
          <w:szCs w:val="21"/>
        </w:rPr>
      </w:pPr>
      <w:r>
        <w:rPr>
          <w:rFonts w:ascii="宋体" w:hAnsi="宋体"/>
          <w:kern w:val="0"/>
          <w:sz w:val="24"/>
          <w:szCs w:val="21"/>
        </w:rPr>
        <w:t>10</w:t>
      </w:r>
      <w:r>
        <w:rPr>
          <w:rFonts w:ascii="宋体" w:hAnsi="宋体" w:hint="eastAsia"/>
          <w:kern w:val="0"/>
          <w:sz w:val="24"/>
          <w:szCs w:val="21"/>
        </w:rPr>
        <w:t>、</w:t>
      </w:r>
      <w:r>
        <w:rPr>
          <w:rFonts w:ascii="宋体" w:hAnsi="宋体" w:hint="eastAsia"/>
          <w:sz w:val="24"/>
        </w:rPr>
        <w:t>大腿截肢者容易出现髋关节</w:t>
      </w:r>
      <w:r>
        <w:rPr>
          <w:rFonts w:ascii="宋体" w:hAnsi="宋体"/>
          <w:kern w:val="0"/>
          <w:sz w:val="24"/>
          <w:szCs w:val="21"/>
          <w:u w:val="single"/>
        </w:rPr>
        <w:t xml:space="preserve">        </w:t>
      </w:r>
      <w:r>
        <w:rPr>
          <w:rFonts w:ascii="宋体" w:hAnsi="宋体" w:hint="eastAsia"/>
          <w:kern w:val="0"/>
          <w:sz w:val="24"/>
          <w:szCs w:val="21"/>
        </w:rPr>
        <w:t>、</w:t>
      </w:r>
      <w:r>
        <w:rPr>
          <w:rFonts w:ascii="宋体" w:hAnsi="宋体"/>
          <w:kern w:val="0"/>
          <w:sz w:val="24"/>
          <w:szCs w:val="21"/>
          <w:u w:val="single"/>
        </w:rPr>
        <w:t xml:space="preserve">       </w:t>
      </w:r>
      <w:r>
        <w:rPr>
          <w:rFonts w:ascii="宋体" w:hAnsi="宋体" w:hint="eastAsia"/>
          <w:kern w:val="0"/>
          <w:sz w:val="24"/>
          <w:szCs w:val="21"/>
        </w:rPr>
        <w:t>畸形，小腿截肢者容易出现膝关节</w:t>
      </w:r>
      <w:r>
        <w:rPr>
          <w:rFonts w:ascii="宋体" w:hAnsi="宋体"/>
          <w:kern w:val="0"/>
          <w:sz w:val="24"/>
          <w:szCs w:val="21"/>
          <w:u w:val="single"/>
        </w:rPr>
        <w:t xml:space="preserve">        </w:t>
      </w:r>
      <w:r>
        <w:rPr>
          <w:rFonts w:ascii="宋体" w:hAnsi="宋体" w:hint="eastAsia"/>
          <w:kern w:val="0"/>
          <w:sz w:val="24"/>
          <w:szCs w:val="21"/>
        </w:rPr>
        <w:t>畸形，一旦关节畸形，对假肢的设计、装配带来影响。</w:t>
      </w:r>
    </w:p>
    <w:p w:rsidR="003717A0" w:rsidRDefault="003717A0" w:rsidP="00F5156D">
      <w:pPr>
        <w:spacing w:line="360" w:lineRule="auto"/>
        <w:ind w:left="62" w:hangingChars="26" w:hanging="62"/>
        <w:rPr>
          <w:rFonts w:ascii="宋体"/>
          <w:kern w:val="0"/>
          <w:sz w:val="24"/>
          <w:szCs w:val="21"/>
        </w:rPr>
      </w:pPr>
      <w:r>
        <w:rPr>
          <w:rFonts w:ascii="宋体" w:hAnsi="宋体"/>
          <w:kern w:val="0"/>
          <w:sz w:val="24"/>
          <w:szCs w:val="21"/>
        </w:rPr>
        <w:lastRenderedPageBreak/>
        <w:t>11</w:t>
      </w:r>
      <w:r>
        <w:rPr>
          <w:rFonts w:ascii="宋体" w:hAnsi="宋体" w:hint="eastAsia"/>
          <w:kern w:val="0"/>
          <w:sz w:val="24"/>
          <w:szCs w:val="21"/>
        </w:rPr>
        <w:t>、假肢的临床适合检查是保证假肢装配质量的关键性工作，检查按装配工序可分为</w:t>
      </w:r>
      <w:r>
        <w:rPr>
          <w:rFonts w:ascii="宋体" w:hAnsi="宋体"/>
          <w:kern w:val="0"/>
          <w:sz w:val="24"/>
          <w:szCs w:val="21"/>
          <w:u w:val="single"/>
        </w:rPr>
        <w:t xml:space="preserve">        </w:t>
      </w:r>
      <w:r>
        <w:rPr>
          <w:rFonts w:ascii="宋体" w:hAnsi="宋体" w:hint="eastAsia"/>
          <w:kern w:val="0"/>
          <w:sz w:val="24"/>
          <w:szCs w:val="21"/>
        </w:rPr>
        <w:t>、</w:t>
      </w:r>
      <w:r>
        <w:rPr>
          <w:rFonts w:ascii="宋体" w:hAnsi="宋体"/>
          <w:kern w:val="0"/>
          <w:sz w:val="24"/>
          <w:szCs w:val="21"/>
          <w:u w:val="single"/>
        </w:rPr>
        <w:t xml:space="preserve">        </w:t>
      </w:r>
      <w:r>
        <w:rPr>
          <w:rFonts w:ascii="宋体" w:hAnsi="宋体" w:hint="eastAsia"/>
          <w:kern w:val="0"/>
          <w:sz w:val="24"/>
          <w:szCs w:val="21"/>
        </w:rPr>
        <w:t>二个阶段。</w:t>
      </w:r>
    </w:p>
    <w:p w:rsidR="003717A0" w:rsidRDefault="003717A0" w:rsidP="00F5156D">
      <w:pPr>
        <w:spacing w:line="360" w:lineRule="auto"/>
        <w:rPr>
          <w:rFonts w:ascii="宋体"/>
          <w:kern w:val="0"/>
          <w:sz w:val="24"/>
          <w:szCs w:val="21"/>
        </w:rPr>
      </w:pPr>
      <w:r>
        <w:rPr>
          <w:rFonts w:ascii="宋体" w:hAnsi="宋体"/>
          <w:kern w:val="0"/>
          <w:sz w:val="24"/>
          <w:szCs w:val="21"/>
        </w:rPr>
        <w:t>12</w:t>
      </w:r>
      <w:r>
        <w:rPr>
          <w:rFonts w:ascii="宋体" w:hAnsi="宋体" w:hint="eastAsia"/>
          <w:kern w:val="0"/>
          <w:sz w:val="24"/>
          <w:szCs w:val="21"/>
        </w:rPr>
        <w:t>、穿戴大腿假肢下很陡的路面时可采用</w:t>
      </w:r>
      <w:r>
        <w:rPr>
          <w:rFonts w:ascii="宋体" w:hAnsi="宋体"/>
          <w:kern w:val="0"/>
          <w:sz w:val="24"/>
          <w:szCs w:val="21"/>
          <w:u w:val="single"/>
        </w:rPr>
        <w:t xml:space="preserve">      </w:t>
      </w:r>
      <w:r>
        <w:rPr>
          <w:rFonts w:ascii="宋体" w:hAnsi="宋体" w:hint="eastAsia"/>
          <w:kern w:val="0"/>
          <w:sz w:val="24"/>
          <w:szCs w:val="21"/>
        </w:rPr>
        <w:t>方法走过。</w:t>
      </w:r>
    </w:p>
    <w:p w:rsidR="003717A0" w:rsidRDefault="003717A0" w:rsidP="00F5156D">
      <w:pPr>
        <w:spacing w:line="360" w:lineRule="auto"/>
        <w:rPr>
          <w:rFonts w:ascii="宋体"/>
          <w:sz w:val="24"/>
        </w:rPr>
      </w:pPr>
      <w:r>
        <w:rPr>
          <w:rFonts w:ascii="宋体" w:hAnsi="宋体"/>
          <w:sz w:val="24"/>
        </w:rPr>
        <w:t>13</w:t>
      </w:r>
      <w:r>
        <w:rPr>
          <w:rFonts w:ascii="宋体" w:hAnsi="宋体" w:hint="eastAsia"/>
          <w:sz w:val="24"/>
        </w:rPr>
        <w:t>、脊柱侧凸矫形器取得较好治疗效果的前提之一是具有</w:t>
      </w:r>
      <w:r>
        <w:rPr>
          <w:rFonts w:ascii="宋体" w:hAnsi="宋体"/>
          <w:sz w:val="24"/>
          <w:u w:val="single"/>
        </w:rPr>
        <w:t xml:space="preserve">    </w:t>
      </w:r>
      <w:r>
        <w:rPr>
          <w:rFonts w:ascii="宋体" w:hAnsi="宋体" w:hint="eastAsia"/>
          <w:sz w:val="24"/>
        </w:rPr>
        <w:t>年的骨骼发育时间。</w:t>
      </w:r>
    </w:p>
    <w:p w:rsidR="003717A0" w:rsidRDefault="00514AB1" w:rsidP="00F5156D">
      <w:pPr>
        <w:tabs>
          <w:tab w:val="left" w:pos="6825"/>
        </w:tabs>
        <w:spacing w:line="360" w:lineRule="auto"/>
        <w:rPr>
          <w:rFonts w:ascii="宋体"/>
          <w:sz w:val="24"/>
        </w:rPr>
      </w:pPr>
      <w:r w:rsidRPr="00514AB1">
        <w:rPr>
          <w:noProof/>
        </w:rPr>
        <w:pict>
          <v:line id="_x0000_s1027" style="position:absolute;left:0;text-align:left;z-index:2" from="246.7pt,19.8pt" to="336.7pt,19.8pt"/>
        </w:pict>
      </w:r>
      <w:r w:rsidR="003717A0">
        <w:rPr>
          <w:rFonts w:ascii="宋体" w:hAnsi="宋体"/>
          <w:sz w:val="24"/>
        </w:rPr>
        <w:t>14</w:t>
      </w:r>
      <w:r w:rsidR="003717A0">
        <w:rPr>
          <w:rFonts w:ascii="宋体" w:hAnsi="宋体" w:hint="eastAsia"/>
          <w:sz w:val="24"/>
        </w:rPr>
        <w:t>、使用交替迈步矫形器时当患者一侧髋关节</w:t>
      </w:r>
      <w:r w:rsidR="003717A0">
        <w:rPr>
          <w:rFonts w:ascii="宋体"/>
          <w:sz w:val="24"/>
        </w:rPr>
        <w:tab/>
      </w:r>
      <w:r w:rsidR="003717A0">
        <w:rPr>
          <w:rFonts w:ascii="宋体" w:hAnsi="宋体" w:hint="eastAsia"/>
          <w:sz w:val="24"/>
        </w:rPr>
        <w:t>带动另一侧髋关节做屈曲运动，从而达到带动下肢向前移动的目的。</w:t>
      </w:r>
    </w:p>
    <w:p w:rsidR="003717A0" w:rsidRDefault="003717A0" w:rsidP="00F5156D">
      <w:pPr>
        <w:spacing w:line="360" w:lineRule="auto"/>
        <w:rPr>
          <w:rFonts w:ascii="宋体"/>
          <w:sz w:val="24"/>
        </w:rPr>
      </w:pPr>
      <w:r>
        <w:rPr>
          <w:rFonts w:ascii="宋体" w:hAnsi="宋体"/>
          <w:sz w:val="24"/>
        </w:rPr>
        <w:t>15</w:t>
      </w:r>
      <w:r>
        <w:rPr>
          <w:rFonts w:ascii="宋体" w:hAnsi="宋体" w:hint="eastAsia"/>
          <w:sz w:val="24"/>
        </w:rPr>
        <w:t>、静态腕手矫形器的使用目的是将腕关节固定于</w:t>
      </w:r>
      <w:r>
        <w:rPr>
          <w:rFonts w:ascii="宋体" w:hAnsi="宋体"/>
          <w:sz w:val="24"/>
          <w:u w:val="single"/>
        </w:rPr>
        <w:t xml:space="preserve">       </w:t>
      </w:r>
      <w:r>
        <w:rPr>
          <w:rFonts w:ascii="宋体" w:hAnsi="宋体" w:hint="eastAsia"/>
          <w:sz w:val="24"/>
        </w:rPr>
        <w:t>位。</w:t>
      </w:r>
    </w:p>
    <w:p w:rsidR="003717A0" w:rsidRDefault="003717A0" w:rsidP="00F5156D">
      <w:pPr>
        <w:spacing w:line="360" w:lineRule="auto"/>
        <w:rPr>
          <w:rFonts w:ascii="宋体"/>
          <w:sz w:val="24"/>
        </w:rPr>
      </w:pPr>
      <w:r>
        <w:rPr>
          <w:rFonts w:ascii="宋体" w:hAnsi="宋体"/>
          <w:sz w:val="24"/>
        </w:rPr>
        <w:t>16</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因其强度高、质量轻，在矫形器生产中被广泛应用。</w:t>
      </w:r>
    </w:p>
    <w:p w:rsidR="003717A0" w:rsidRDefault="003717A0" w:rsidP="00F5156D">
      <w:pPr>
        <w:spacing w:line="360" w:lineRule="auto"/>
        <w:rPr>
          <w:rFonts w:ascii="宋体"/>
          <w:sz w:val="24"/>
        </w:rPr>
      </w:pPr>
      <w:r>
        <w:rPr>
          <w:rFonts w:ascii="宋体" w:hAnsi="宋体"/>
          <w:sz w:val="24"/>
        </w:rPr>
        <w:t>17</w:t>
      </w:r>
      <w:r>
        <w:rPr>
          <w:rFonts w:ascii="宋体" w:hAnsi="宋体" w:hint="eastAsia"/>
          <w:sz w:val="24"/>
        </w:rPr>
        <w:t>、热塑材料按加热温度可分为</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热塑材料。</w:t>
      </w:r>
      <w:r>
        <w:rPr>
          <w:rFonts w:ascii="宋体" w:hAnsi="宋体"/>
          <w:sz w:val="24"/>
        </w:rPr>
        <w:t xml:space="preserve"> </w:t>
      </w:r>
    </w:p>
    <w:p w:rsidR="003717A0" w:rsidRDefault="003717A0" w:rsidP="00F5156D">
      <w:pPr>
        <w:spacing w:line="360" w:lineRule="auto"/>
        <w:rPr>
          <w:rFonts w:ascii="宋体"/>
          <w:sz w:val="24"/>
        </w:rPr>
      </w:pPr>
      <w:r>
        <w:rPr>
          <w:rFonts w:ascii="宋体" w:hAnsi="宋体"/>
          <w:sz w:val="24"/>
        </w:rPr>
        <w:t>18</w:t>
      </w:r>
      <w:r>
        <w:rPr>
          <w:rFonts w:ascii="宋体" w:hAnsi="宋体" w:hint="eastAsia"/>
          <w:sz w:val="24"/>
        </w:rPr>
        <w:t>、手杖高度的测量是从</w:t>
      </w:r>
      <w:r>
        <w:rPr>
          <w:rFonts w:ascii="宋体" w:hAnsi="宋体"/>
          <w:sz w:val="24"/>
        </w:rPr>
        <w:t xml:space="preserve"> </w:t>
      </w:r>
      <w:r>
        <w:rPr>
          <w:rFonts w:ascii="宋体" w:hAnsi="宋体"/>
          <w:sz w:val="24"/>
          <w:u w:val="single"/>
        </w:rPr>
        <w:t xml:space="preserve">        </w:t>
      </w:r>
      <w:r>
        <w:rPr>
          <w:rFonts w:ascii="宋体" w:hAnsi="宋体" w:hint="eastAsia"/>
          <w:sz w:val="24"/>
        </w:rPr>
        <w:t>到</w:t>
      </w:r>
      <w:r>
        <w:rPr>
          <w:rFonts w:ascii="宋体" w:hAnsi="宋体"/>
          <w:sz w:val="24"/>
          <w:u w:val="single"/>
        </w:rPr>
        <w:t xml:space="preserve">        </w:t>
      </w:r>
      <w:r>
        <w:rPr>
          <w:rFonts w:ascii="宋体" w:hAnsi="宋体" w:hint="eastAsia"/>
          <w:sz w:val="24"/>
        </w:rPr>
        <w:t>的距离。</w:t>
      </w:r>
    </w:p>
    <w:p w:rsidR="003717A0" w:rsidRDefault="003717A0" w:rsidP="00F5156D">
      <w:pPr>
        <w:spacing w:line="360" w:lineRule="auto"/>
        <w:rPr>
          <w:rFonts w:ascii="宋体"/>
          <w:sz w:val="24"/>
        </w:rPr>
      </w:pPr>
      <w:r>
        <w:rPr>
          <w:rFonts w:ascii="宋体" w:hAnsi="宋体"/>
          <w:sz w:val="24"/>
        </w:rPr>
        <w:t>19</w:t>
      </w:r>
      <w:r>
        <w:rPr>
          <w:rFonts w:ascii="宋体" w:hAnsi="宋体" w:hint="eastAsia"/>
          <w:sz w:val="24"/>
        </w:rPr>
        <w:t>、前臂支撑拐长度的测量是从</w:t>
      </w:r>
      <w:r>
        <w:rPr>
          <w:rFonts w:ascii="宋体" w:hAnsi="宋体"/>
          <w:sz w:val="24"/>
          <w:u w:val="single"/>
        </w:rPr>
        <w:t xml:space="preserve">         </w:t>
      </w:r>
      <w:r>
        <w:rPr>
          <w:rFonts w:ascii="宋体" w:hAnsi="宋体" w:hint="eastAsia"/>
          <w:sz w:val="24"/>
        </w:rPr>
        <w:t>到</w:t>
      </w:r>
      <w:r>
        <w:rPr>
          <w:rFonts w:ascii="宋体" w:hAnsi="宋体"/>
          <w:sz w:val="24"/>
          <w:u w:val="single"/>
        </w:rPr>
        <w:t xml:space="preserve">        </w:t>
      </w:r>
      <w:r>
        <w:rPr>
          <w:rFonts w:ascii="宋体" w:hAnsi="宋体" w:hint="eastAsia"/>
          <w:sz w:val="24"/>
        </w:rPr>
        <w:t>的距离。</w:t>
      </w:r>
    </w:p>
    <w:p w:rsidR="003717A0" w:rsidRDefault="003717A0" w:rsidP="00F5156D">
      <w:pPr>
        <w:spacing w:line="360" w:lineRule="auto"/>
        <w:rPr>
          <w:rFonts w:ascii="宋体"/>
          <w:sz w:val="24"/>
        </w:rPr>
      </w:pPr>
      <w:r>
        <w:rPr>
          <w:rFonts w:ascii="宋体" w:hAnsi="宋体"/>
          <w:sz w:val="24"/>
        </w:rPr>
        <w:t>20</w:t>
      </w:r>
      <w:r>
        <w:rPr>
          <w:rFonts w:ascii="宋体" w:hAnsi="宋体" w:hint="eastAsia"/>
          <w:sz w:val="24"/>
        </w:rPr>
        <w:t>、在矫形器统一命名方案中，胸腰骶矫形器的缩写为</w:t>
      </w:r>
      <w:r>
        <w:rPr>
          <w:rFonts w:ascii="宋体" w:hAnsi="宋体"/>
          <w:sz w:val="24"/>
          <w:u w:val="single"/>
        </w:rPr>
        <w:t xml:space="preserve">          </w:t>
      </w:r>
      <w:r>
        <w:rPr>
          <w:rFonts w:ascii="宋体" w:hAnsi="宋体" w:hint="eastAsia"/>
          <w:sz w:val="24"/>
        </w:rPr>
        <w:t>，膝踝足矫形器的缩写为</w:t>
      </w:r>
      <w:r>
        <w:rPr>
          <w:rFonts w:ascii="宋体" w:hAnsi="宋体"/>
          <w:sz w:val="24"/>
          <w:u w:val="single"/>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21</w:t>
      </w:r>
      <w:r>
        <w:rPr>
          <w:rFonts w:ascii="宋体" w:hAnsi="宋体" w:hint="eastAsia"/>
          <w:sz w:val="24"/>
        </w:rPr>
        <w:t>、矫形器按装配部位可分为</w:t>
      </w:r>
      <w:r>
        <w:rPr>
          <w:rFonts w:ascii="宋体" w:hAnsi="宋体" w:hint="eastAsia"/>
          <w:sz w:val="24"/>
          <w:u w:val="single"/>
        </w:rPr>
        <w:t xml:space="preserve">　　　　　</w:t>
      </w:r>
      <w:r>
        <w:rPr>
          <w:rFonts w:ascii="宋体" w:hAnsi="宋体" w:hint="eastAsia"/>
          <w:sz w:val="24"/>
        </w:rPr>
        <w:t>、</w:t>
      </w:r>
      <w:r>
        <w:rPr>
          <w:rFonts w:ascii="宋体" w:hAnsi="宋体" w:hint="eastAsia"/>
          <w:sz w:val="24"/>
          <w:u w:val="single"/>
        </w:rPr>
        <w:t xml:space="preserve">　　　　　</w:t>
      </w:r>
      <w:r>
        <w:rPr>
          <w:rFonts w:ascii="宋体" w:hAnsi="宋体" w:hint="eastAsia"/>
          <w:sz w:val="24"/>
        </w:rPr>
        <w:t>、</w:t>
      </w:r>
      <w:r>
        <w:rPr>
          <w:rFonts w:ascii="宋体" w:hAnsi="宋体" w:hint="eastAsia"/>
          <w:sz w:val="24"/>
          <w:u w:val="single"/>
        </w:rPr>
        <w:t xml:space="preserve">　　　　　</w:t>
      </w:r>
      <w:r>
        <w:rPr>
          <w:rFonts w:ascii="宋体" w:hAnsi="宋体" w:hint="eastAsia"/>
          <w:sz w:val="24"/>
        </w:rPr>
        <w:t>三类矫形器。</w:t>
      </w:r>
    </w:p>
    <w:p w:rsidR="003717A0" w:rsidRDefault="003717A0" w:rsidP="00F5156D">
      <w:pPr>
        <w:spacing w:line="360" w:lineRule="auto"/>
        <w:rPr>
          <w:rFonts w:ascii="宋体"/>
          <w:sz w:val="24"/>
        </w:rPr>
      </w:pPr>
      <w:r>
        <w:rPr>
          <w:rFonts w:ascii="宋体" w:hAnsi="宋体"/>
          <w:sz w:val="24"/>
        </w:rPr>
        <w:t>22</w:t>
      </w:r>
      <w:r>
        <w:rPr>
          <w:rFonts w:ascii="宋体" w:hAnsi="宋体" w:hint="eastAsia"/>
          <w:sz w:val="24"/>
        </w:rPr>
        <w:t>、要获得较大的矫正力矩，可以增加</w:t>
      </w:r>
      <w:r>
        <w:rPr>
          <w:rFonts w:ascii="宋体" w:hAnsi="宋体"/>
          <w:sz w:val="24"/>
          <w:u w:val="single"/>
        </w:rPr>
        <w:t xml:space="preserve">         </w:t>
      </w:r>
      <w:r>
        <w:rPr>
          <w:rFonts w:ascii="宋体" w:hAnsi="宋体" w:hint="eastAsia"/>
          <w:sz w:val="24"/>
        </w:rPr>
        <w:t>，或加长</w:t>
      </w:r>
      <w:r>
        <w:rPr>
          <w:rFonts w:ascii="宋体" w:hAnsi="宋体"/>
          <w:sz w:val="24"/>
          <w:u w:val="single"/>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23</w:t>
      </w:r>
      <w:r>
        <w:rPr>
          <w:rFonts w:ascii="宋体" w:hAnsi="宋体" w:hint="eastAsia"/>
          <w:sz w:val="24"/>
        </w:rPr>
        <w:t>、在矫形器临床工作程序中，</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是主要任务。</w:t>
      </w:r>
    </w:p>
    <w:p w:rsidR="003717A0" w:rsidRDefault="003717A0" w:rsidP="00F5156D">
      <w:pPr>
        <w:spacing w:line="360" w:lineRule="auto"/>
        <w:rPr>
          <w:rFonts w:ascii="宋体"/>
          <w:sz w:val="24"/>
        </w:rPr>
      </w:pPr>
      <w:r>
        <w:rPr>
          <w:rFonts w:ascii="宋体" w:hAnsi="宋体"/>
          <w:sz w:val="24"/>
        </w:rPr>
        <w:t>24</w:t>
      </w:r>
      <w:r>
        <w:rPr>
          <w:rFonts w:ascii="宋体" w:hAnsi="宋体" w:hint="eastAsia"/>
          <w:sz w:val="24"/>
        </w:rPr>
        <w:t>、不全免荷</w:t>
      </w:r>
      <w:r>
        <w:rPr>
          <w:rFonts w:ascii="宋体" w:hAnsi="宋体"/>
          <w:sz w:val="24"/>
        </w:rPr>
        <w:t>AFO</w:t>
      </w:r>
      <w:r>
        <w:rPr>
          <w:rFonts w:ascii="宋体" w:hAnsi="宋体" w:hint="eastAsia"/>
          <w:sz w:val="24"/>
        </w:rPr>
        <w:t>要求患者足跟与鞋底保留</w:t>
      </w:r>
      <w:r>
        <w:rPr>
          <w:rFonts w:ascii="宋体" w:hAnsi="宋体"/>
          <w:sz w:val="24"/>
          <w:u w:val="single"/>
        </w:rPr>
        <w:t xml:space="preserve">      </w:t>
      </w:r>
      <w:r>
        <w:rPr>
          <w:rFonts w:ascii="宋体" w:hAnsi="宋体"/>
          <w:sz w:val="24"/>
        </w:rPr>
        <w:t>cm</w:t>
      </w:r>
      <w:r>
        <w:rPr>
          <w:rFonts w:ascii="宋体" w:hAnsi="宋体" w:hint="eastAsia"/>
          <w:sz w:val="24"/>
        </w:rPr>
        <w:t>的距离。</w:t>
      </w:r>
    </w:p>
    <w:p w:rsidR="003717A0" w:rsidRDefault="003717A0" w:rsidP="00F5156D">
      <w:pPr>
        <w:widowControl/>
        <w:spacing w:line="360" w:lineRule="auto"/>
        <w:jc w:val="left"/>
        <w:rPr>
          <w:rFonts w:ascii="宋体"/>
          <w:sz w:val="24"/>
          <w:u w:val="single"/>
        </w:rPr>
      </w:pPr>
      <w:r>
        <w:rPr>
          <w:rFonts w:ascii="宋体" w:hAnsi="宋体"/>
          <w:sz w:val="24"/>
        </w:rPr>
        <w:t>25</w:t>
      </w:r>
      <w:r>
        <w:rPr>
          <w:rFonts w:ascii="宋体" w:hAnsi="宋体" w:hint="eastAsia"/>
          <w:sz w:val="24"/>
        </w:rPr>
        <w:t>、</w:t>
      </w:r>
      <w:r>
        <w:rPr>
          <w:rFonts w:ascii="宋体" w:hAnsi="宋体" w:hint="eastAsia"/>
          <w:kern w:val="0"/>
          <w:sz w:val="24"/>
          <w:szCs w:val="21"/>
        </w:rPr>
        <w:t>保守治疗股骨头无菌性缺血性坏死原则是保持髋关节于</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u w:val="single"/>
        </w:rPr>
        <w:t>。</w:t>
      </w:r>
    </w:p>
    <w:p w:rsidR="003717A0" w:rsidRDefault="003717A0" w:rsidP="00F5156D">
      <w:pPr>
        <w:numPr>
          <w:ilvl w:val="2"/>
          <w:numId w:val="263"/>
        </w:numPr>
        <w:tabs>
          <w:tab w:val="clear" w:pos="1320"/>
        </w:tabs>
        <w:spacing w:line="360" w:lineRule="auto"/>
        <w:ind w:left="604" w:hanging="540"/>
        <w:rPr>
          <w:rFonts w:ascii="宋体"/>
          <w:sz w:val="24"/>
        </w:rPr>
      </w:pPr>
      <w:r>
        <w:rPr>
          <w:rFonts w:ascii="宋体" w:hAnsi="宋体" w:hint="eastAsia"/>
          <w:sz w:val="24"/>
        </w:rPr>
        <w:t>是非题（每题</w:t>
      </w:r>
      <w:r>
        <w:rPr>
          <w:rFonts w:ascii="宋体" w:hAnsi="宋体"/>
          <w:sz w:val="24"/>
        </w:rPr>
        <w:t>1</w:t>
      </w:r>
      <w:r>
        <w:rPr>
          <w:rFonts w:ascii="宋体" w:hAnsi="宋体" w:hint="eastAsia"/>
          <w:sz w:val="24"/>
        </w:rPr>
        <w:t>分，共</w:t>
      </w:r>
      <w:r>
        <w:rPr>
          <w:rFonts w:ascii="宋体" w:hAnsi="宋体"/>
          <w:sz w:val="24"/>
        </w:rPr>
        <w:t>10</w:t>
      </w:r>
      <w:r>
        <w:rPr>
          <w:rFonts w:ascii="宋体" w:hAnsi="宋体" w:hint="eastAsia"/>
          <w:sz w:val="24"/>
        </w:rPr>
        <w:t>分）</w:t>
      </w:r>
    </w:p>
    <w:p w:rsidR="003717A0" w:rsidRDefault="003717A0" w:rsidP="00F5156D">
      <w:pPr>
        <w:numPr>
          <w:ilvl w:val="0"/>
          <w:numId w:val="264"/>
        </w:numPr>
        <w:spacing w:line="360" w:lineRule="auto"/>
        <w:rPr>
          <w:rFonts w:ascii="宋体"/>
          <w:sz w:val="24"/>
        </w:rPr>
      </w:pPr>
      <w:r>
        <w:rPr>
          <w:rFonts w:ascii="宋体" w:hAnsi="宋体" w:hint="eastAsia"/>
          <w:sz w:val="24"/>
        </w:rPr>
        <w:t>现代假肢新型接受腔的应用，它有残肢承重合理，穿截舒适，假肢悬吊能力强，且不影响残肢血液循环等优点。</w:t>
      </w:r>
      <w:r>
        <w:rPr>
          <w:rFonts w:ascii="宋体" w:hAnsi="宋体"/>
          <w:sz w:val="24"/>
        </w:rPr>
        <w:t>(    )</w:t>
      </w:r>
    </w:p>
    <w:p w:rsidR="003717A0" w:rsidRDefault="003717A0" w:rsidP="00F5156D">
      <w:pPr>
        <w:numPr>
          <w:ilvl w:val="0"/>
          <w:numId w:val="264"/>
        </w:numPr>
        <w:spacing w:line="360" w:lineRule="auto"/>
        <w:rPr>
          <w:rFonts w:ascii="宋体"/>
          <w:sz w:val="24"/>
        </w:rPr>
      </w:pPr>
      <w:r>
        <w:rPr>
          <w:rFonts w:ascii="宋体" w:hAnsi="宋体" w:hint="eastAsia"/>
          <w:sz w:val="24"/>
        </w:rPr>
        <w:t>小腿截肢为加强对假肢的控制，获得满意的步态，残肢越长越好。</w:t>
      </w:r>
      <w:r>
        <w:rPr>
          <w:rFonts w:ascii="宋体" w:hAnsi="宋体"/>
          <w:sz w:val="24"/>
        </w:rPr>
        <w:t>(    )</w:t>
      </w:r>
    </w:p>
    <w:p w:rsidR="003717A0" w:rsidRDefault="003717A0" w:rsidP="00F5156D">
      <w:pPr>
        <w:numPr>
          <w:ilvl w:val="0"/>
          <w:numId w:val="264"/>
        </w:numPr>
        <w:spacing w:line="360" w:lineRule="auto"/>
        <w:rPr>
          <w:rFonts w:ascii="宋体"/>
          <w:sz w:val="24"/>
        </w:rPr>
      </w:pPr>
      <w:r>
        <w:rPr>
          <w:rFonts w:ascii="宋体" w:hAnsi="宋体" w:hint="eastAsia"/>
          <w:sz w:val="24"/>
        </w:rPr>
        <w:t>大腿截肢后，患者可将残肢放在拐杖扶手上，进行锻炼，为安装假肢进行准备。</w:t>
      </w:r>
      <w:r>
        <w:rPr>
          <w:rFonts w:ascii="宋体" w:hAnsi="宋体"/>
          <w:sz w:val="24"/>
        </w:rPr>
        <w:t>(     )</w:t>
      </w:r>
    </w:p>
    <w:p w:rsidR="003717A0" w:rsidRDefault="003717A0" w:rsidP="00F5156D">
      <w:pPr>
        <w:numPr>
          <w:ilvl w:val="0"/>
          <w:numId w:val="264"/>
        </w:numPr>
        <w:spacing w:line="360" w:lineRule="auto"/>
        <w:rPr>
          <w:rFonts w:ascii="宋体"/>
          <w:sz w:val="24"/>
        </w:rPr>
      </w:pPr>
      <w:r>
        <w:rPr>
          <w:rFonts w:ascii="宋体" w:hAnsi="宋体" w:hint="eastAsia"/>
          <w:sz w:val="24"/>
        </w:rPr>
        <w:t>假肢的长度必须与健肢相一致，不允许比健侧稍短。</w:t>
      </w:r>
      <w:r>
        <w:rPr>
          <w:rFonts w:ascii="宋体" w:hAnsi="宋体"/>
          <w:sz w:val="24"/>
        </w:rPr>
        <w:t>(      )</w:t>
      </w:r>
    </w:p>
    <w:p w:rsidR="003717A0" w:rsidRDefault="003717A0" w:rsidP="00F5156D">
      <w:pPr>
        <w:numPr>
          <w:ilvl w:val="0"/>
          <w:numId w:val="264"/>
        </w:numPr>
        <w:spacing w:line="360" w:lineRule="auto"/>
        <w:rPr>
          <w:rFonts w:ascii="宋体"/>
          <w:sz w:val="24"/>
        </w:rPr>
      </w:pPr>
      <w:r>
        <w:rPr>
          <w:rFonts w:ascii="宋体" w:hAnsi="宋体" w:hint="eastAsia"/>
          <w:sz w:val="24"/>
        </w:rPr>
        <w:t>对上肢假肢的基本要求是功能好、操作灵活、轻便、外观逼真、坚固耐用，可以自己穿脱。</w:t>
      </w:r>
      <w:r>
        <w:rPr>
          <w:rFonts w:ascii="宋体" w:hAnsi="宋体"/>
          <w:sz w:val="24"/>
        </w:rPr>
        <w:t>(     )</w:t>
      </w:r>
    </w:p>
    <w:p w:rsidR="003717A0" w:rsidRDefault="003717A0" w:rsidP="00F5156D">
      <w:pPr>
        <w:spacing w:line="360" w:lineRule="auto"/>
        <w:rPr>
          <w:rFonts w:ascii="宋体"/>
          <w:sz w:val="24"/>
        </w:rPr>
      </w:pPr>
      <w:r>
        <w:rPr>
          <w:rFonts w:ascii="宋体" w:hAnsi="宋体"/>
          <w:sz w:val="24"/>
        </w:rPr>
        <w:t>6</w:t>
      </w:r>
      <w:r>
        <w:rPr>
          <w:rFonts w:ascii="宋体" w:hAnsi="宋体" w:hint="eastAsia"/>
          <w:sz w:val="24"/>
        </w:rPr>
        <w:t>、设计对掌矫形器，当患者腕关节不能主动控制时，采用短对掌矫形器。（</w:t>
      </w:r>
      <w:r>
        <w:rPr>
          <w:rFonts w:ascii="宋体" w:hAnsi="宋体"/>
          <w:sz w:val="24"/>
        </w:rPr>
        <w:t xml:space="preserve">   </w:t>
      </w:r>
      <w:r>
        <w:rPr>
          <w:rFonts w:ascii="宋体" w:hAnsi="宋体" w:hint="eastAsia"/>
          <w:sz w:val="24"/>
        </w:rPr>
        <w:t>）</w:t>
      </w:r>
    </w:p>
    <w:p w:rsidR="003717A0" w:rsidRDefault="003717A0" w:rsidP="00F5156D">
      <w:pPr>
        <w:spacing w:line="360" w:lineRule="auto"/>
        <w:ind w:left="360" w:hangingChars="150" w:hanging="360"/>
        <w:rPr>
          <w:rFonts w:ascii="宋体"/>
          <w:sz w:val="24"/>
        </w:rPr>
      </w:pPr>
      <w:r>
        <w:rPr>
          <w:rFonts w:ascii="宋体" w:hAnsi="宋体"/>
          <w:sz w:val="24"/>
        </w:rPr>
        <w:t>7</w:t>
      </w:r>
      <w:r>
        <w:rPr>
          <w:rFonts w:ascii="宋体" w:hAnsi="宋体" w:hint="eastAsia"/>
          <w:sz w:val="24"/>
        </w:rPr>
        <w:t>、铝合金支条一般用于制作儿童、妇女、老人等体重级别低，且活动度不大的患者所</w:t>
      </w:r>
      <w:r>
        <w:rPr>
          <w:rFonts w:ascii="宋体" w:hAnsi="宋体" w:hint="eastAsia"/>
          <w:sz w:val="24"/>
        </w:rPr>
        <w:lastRenderedPageBreak/>
        <w:t>用的矫形器。（</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8</w:t>
      </w:r>
      <w:r>
        <w:rPr>
          <w:rFonts w:ascii="宋体" w:hAnsi="宋体" w:hint="eastAsia"/>
          <w:sz w:val="24"/>
        </w:rPr>
        <w:t>、动态</w:t>
      </w:r>
      <w:r>
        <w:rPr>
          <w:rFonts w:ascii="宋体" w:hAnsi="宋体"/>
          <w:sz w:val="24"/>
        </w:rPr>
        <w:t>DAFO</w:t>
      </w:r>
      <w:r>
        <w:rPr>
          <w:rFonts w:ascii="宋体" w:hAnsi="宋体" w:hint="eastAsia"/>
          <w:sz w:val="24"/>
        </w:rPr>
        <w:t>是目前最广泛应用的一种肌张力抑制性的矫形器。（</w:t>
      </w:r>
      <w:r>
        <w:rPr>
          <w:rFonts w:ascii="宋体" w:hAnsi="宋体"/>
          <w:sz w:val="24"/>
        </w:rPr>
        <w:t xml:space="preserve">   </w:t>
      </w:r>
      <w:r>
        <w:rPr>
          <w:rFonts w:ascii="宋体" w:hAnsi="宋体" w:hint="eastAsia"/>
          <w:sz w:val="24"/>
        </w:rPr>
        <w:t>）</w:t>
      </w:r>
    </w:p>
    <w:p w:rsidR="003717A0" w:rsidRDefault="003717A0" w:rsidP="00F5156D">
      <w:pPr>
        <w:spacing w:line="360" w:lineRule="auto"/>
        <w:rPr>
          <w:rFonts w:ascii="宋体"/>
          <w:sz w:val="24"/>
        </w:rPr>
      </w:pPr>
      <w:r>
        <w:rPr>
          <w:rFonts w:ascii="宋体" w:hAnsi="宋体"/>
          <w:sz w:val="24"/>
        </w:rPr>
        <w:t>9</w:t>
      </w:r>
      <w:r>
        <w:rPr>
          <w:rFonts w:ascii="宋体" w:hAnsi="宋体" w:hint="eastAsia"/>
          <w:sz w:val="24"/>
        </w:rPr>
        <w:t>、</w:t>
      </w:r>
      <w:r>
        <w:rPr>
          <w:rFonts w:ascii="宋体" w:hAnsi="宋体"/>
          <w:sz w:val="24"/>
        </w:rPr>
        <w:t>RGO</w:t>
      </w:r>
      <w:r>
        <w:rPr>
          <w:rFonts w:ascii="宋体" w:hAnsi="宋体" w:hint="eastAsia"/>
          <w:sz w:val="24"/>
        </w:rPr>
        <w:t>的适应证是脊椎裂、</w:t>
      </w:r>
      <w:r>
        <w:rPr>
          <w:rFonts w:ascii="宋体" w:hAnsi="宋体"/>
          <w:sz w:val="24"/>
        </w:rPr>
        <w:t>T5~L2</w:t>
      </w:r>
      <w:r>
        <w:rPr>
          <w:rFonts w:ascii="宋体" w:hAnsi="宋体" w:hint="eastAsia"/>
          <w:sz w:val="24"/>
        </w:rPr>
        <w:t>脊髓损伤的截瘫。（</w:t>
      </w:r>
      <w:r>
        <w:rPr>
          <w:rFonts w:ascii="宋体" w:hAnsi="宋体"/>
          <w:sz w:val="24"/>
        </w:rPr>
        <w:t xml:space="preserve">   </w:t>
      </w:r>
      <w:r>
        <w:rPr>
          <w:rFonts w:ascii="宋体" w:hAnsi="宋体" w:hint="eastAsia"/>
          <w:sz w:val="24"/>
        </w:rPr>
        <w:t>）</w:t>
      </w:r>
    </w:p>
    <w:p w:rsidR="003717A0" w:rsidRDefault="003717A0" w:rsidP="00F5156D">
      <w:pPr>
        <w:spacing w:line="360" w:lineRule="auto"/>
        <w:ind w:left="360" w:hangingChars="150" w:hanging="360"/>
        <w:rPr>
          <w:rFonts w:ascii="宋体"/>
          <w:sz w:val="24"/>
        </w:rPr>
      </w:pPr>
      <w:r>
        <w:rPr>
          <w:rFonts w:ascii="宋体" w:hAnsi="宋体"/>
          <w:sz w:val="24"/>
        </w:rPr>
        <w:t>10</w:t>
      </w:r>
      <w:r>
        <w:rPr>
          <w:rFonts w:ascii="宋体" w:hAnsi="宋体" w:hint="eastAsia"/>
          <w:sz w:val="24"/>
        </w:rPr>
        <w:t>、免荷式</w:t>
      </w:r>
      <w:r>
        <w:rPr>
          <w:rFonts w:ascii="宋体" w:hAnsi="宋体"/>
          <w:sz w:val="24"/>
        </w:rPr>
        <w:t>KAFO</w:t>
      </w:r>
      <w:r>
        <w:rPr>
          <w:rFonts w:ascii="宋体" w:hAnsi="宋体" w:hint="eastAsia"/>
          <w:sz w:val="24"/>
        </w:rPr>
        <w:t>的结构特点是在大腿上部设有类似大腿假肢的接受腔或坐骨承重环。（</w:t>
      </w:r>
      <w:r>
        <w:rPr>
          <w:rFonts w:ascii="宋体" w:hAnsi="宋体"/>
          <w:sz w:val="24"/>
        </w:rPr>
        <w:t xml:space="preserve">    </w:t>
      </w:r>
      <w:r>
        <w:rPr>
          <w:rFonts w:ascii="宋体" w:hAnsi="宋体" w:hint="eastAsia"/>
          <w:sz w:val="24"/>
        </w:rPr>
        <w:t>）</w:t>
      </w:r>
    </w:p>
    <w:p w:rsidR="003717A0" w:rsidRDefault="003717A0" w:rsidP="00F5156D">
      <w:pPr>
        <w:numPr>
          <w:ilvl w:val="2"/>
          <w:numId w:val="263"/>
        </w:numPr>
        <w:tabs>
          <w:tab w:val="clear" w:pos="1320"/>
        </w:tabs>
        <w:spacing w:line="360" w:lineRule="auto"/>
        <w:ind w:left="425" w:hanging="540"/>
        <w:rPr>
          <w:rFonts w:ascii="宋体"/>
          <w:sz w:val="24"/>
        </w:rPr>
      </w:pPr>
      <w:r>
        <w:rPr>
          <w:rFonts w:ascii="宋体" w:hAnsi="宋体" w:hint="eastAsia"/>
          <w:sz w:val="24"/>
        </w:rPr>
        <w:t>问答题（每题</w:t>
      </w:r>
      <w:r>
        <w:rPr>
          <w:rFonts w:ascii="宋体" w:hAnsi="宋体"/>
          <w:sz w:val="24"/>
        </w:rPr>
        <w:t>5</w:t>
      </w:r>
      <w:r>
        <w:rPr>
          <w:rFonts w:ascii="宋体" w:hAnsi="宋体" w:hint="eastAsia"/>
          <w:sz w:val="24"/>
        </w:rPr>
        <w:t>分，共</w:t>
      </w:r>
      <w:r>
        <w:rPr>
          <w:rFonts w:ascii="宋体" w:hAnsi="宋体"/>
          <w:sz w:val="24"/>
        </w:rPr>
        <w:t>35</w:t>
      </w:r>
      <w:r>
        <w:rPr>
          <w:rFonts w:ascii="宋体" w:hAnsi="宋体" w:hint="eastAsia"/>
          <w:sz w:val="24"/>
        </w:rPr>
        <w:t>分）</w:t>
      </w:r>
    </w:p>
    <w:p w:rsidR="003717A0" w:rsidRDefault="003717A0" w:rsidP="00F5156D">
      <w:pPr>
        <w:spacing w:line="360" w:lineRule="auto"/>
        <w:ind w:left="62"/>
        <w:rPr>
          <w:rFonts w:ascii="宋体"/>
          <w:sz w:val="24"/>
        </w:rPr>
      </w:pPr>
      <w:r>
        <w:rPr>
          <w:rFonts w:ascii="宋体" w:hAnsi="宋体"/>
          <w:sz w:val="24"/>
        </w:rPr>
        <w:t>1</w:t>
      </w:r>
      <w:r>
        <w:rPr>
          <w:rFonts w:ascii="宋体" w:hAnsi="宋体" w:hint="eastAsia"/>
          <w:sz w:val="24"/>
        </w:rPr>
        <w:t>、儿童截肢的特点。</w:t>
      </w:r>
    </w:p>
    <w:p w:rsidR="003717A0" w:rsidRDefault="003717A0" w:rsidP="00F5156D">
      <w:pPr>
        <w:numPr>
          <w:ilvl w:val="0"/>
          <w:numId w:val="262"/>
        </w:numPr>
        <w:spacing w:line="360" w:lineRule="auto"/>
        <w:ind w:left="419" w:hanging="357"/>
        <w:jc w:val="left"/>
        <w:rPr>
          <w:rFonts w:ascii="宋体"/>
          <w:sz w:val="24"/>
        </w:rPr>
      </w:pPr>
      <w:r>
        <w:rPr>
          <w:rFonts w:ascii="宋体" w:hAnsi="宋体" w:hint="eastAsia"/>
          <w:sz w:val="24"/>
        </w:rPr>
        <w:t>截肢者康复的目的，以及截肢者康复协作组成有哪些？</w:t>
      </w:r>
    </w:p>
    <w:p w:rsidR="003717A0" w:rsidRDefault="003717A0" w:rsidP="00F5156D">
      <w:pPr>
        <w:numPr>
          <w:ilvl w:val="0"/>
          <w:numId w:val="262"/>
        </w:numPr>
        <w:spacing w:line="360" w:lineRule="auto"/>
        <w:rPr>
          <w:rFonts w:ascii="宋体"/>
          <w:sz w:val="24"/>
        </w:rPr>
      </w:pPr>
      <w:r>
        <w:rPr>
          <w:rFonts w:ascii="宋体" w:hAnsi="宋体" w:hint="eastAsia"/>
          <w:sz w:val="24"/>
        </w:rPr>
        <w:t>一具功能良好的下肢假肢应具有的条件。</w:t>
      </w:r>
    </w:p>
    <w:p w:rsidR="003717A0" w:rsidRDefault="003717A0" w:rsidP="00F5156D">
      <w:pPr>
        <w:numPr>
          <w:ilvl w:val="0"/>
          <w:numId w:val="262"/>
        </w:numPr>
        <w:spacing w:line="360" w:lineRule="auto"/>
        <w:rPr>
          <w:rFonts w:ascii="宋体"/>
          <w:sz w:val="24"/>
        </w:rPr>
      </w:pPr>
      <w:r>
        <w:rPr>
          <w:rFonts w:ascii="宋体" w:hAnsi="宋体" w:hint="eastAsia"/>
          <w:sz w:val="24"/>
        </w:rPr>
        <w:t>使用临时假肢的优点。</w:t>
      </w:r>
    </w:p>
    <w:p w:rsidR="003717A0" w:rsidRDefault="003717A0" w:rsidP="00F5156D">
      <w:pPr>
        <w:numPr>
          <w:ilvl w:val="0"/>
          <w:numId w:val="262"/>
        </w:numPr>
        <w:spacing w:line="360" w:lineRule="auto"/>
        <w:rPr>
          <w:rFonts w:ascii="宋体"/>
          <w:sz w:val="24"/>
        </w:rPr>
      </w:pPr>
      <w:r>
        <w:rPr>
          <w:rFonts w:ascii="宋体" w:hAnsi="宋体" w:hint="eastAsia"/>
          <w:sz w:val="24"/>
        </w:rPr>
        <w:t>简述矫形器的基本作用。</w:t>
      </w:r>
    </w:p>
    <w:p w:rsidR="003717A0" w:rsidRDefault="003717A0" w:rsidP="00F5156D">
      <w:pPr>
        <w:numPr>
          <w:ilvl w:val="0"/>
          <w:numId w:val="262"/>
        </w:numPr>
        <w:spacing w:line="360" w:lineRule="auto"/>
        <w:rPr>
          <w:rFonts w:ascii="宋体"/>
          <w:sz w:val="24"/>
        </w:rPr>
      </w:pPr>
      <w:r>
        <w:rPr>
          <w:rFonts w:ascii="宋体" w:hAnsi="宋体" w:hint="eastAsia"/>
          <w:sz w:val="24"/>
        </w:rPr>
        <w:t>应用矫形器治疗脊柱侧凸的效果与哪些因素密切相关？</w:t>
      </w:r>
    </w:p>
    <w:p w:rsidR="003717A0" w:rsidRDefault="003717A0" w:rsidP="00F5156D">
      <w:pPr>
        <w:widowControl/>
        <w:spacing w:line="360" w:lineRule="auto"/>
        <w:jc w:val="left"/>
        <w:rPr>
          <w:rFonts w:ascii="宋体"/>
          <w:sz w:val="24"/>
        </w:rPr>
      </w:pPr>
      <w:r>
        <w:rPr>
          <w:rFonts w:ascii="宋体" w:hAnsi="宋体"/>
          <w:sz w:val="24"/>
        </w:rPr>
        <w:t>7</w:t>
      </w:r>
      <w:r>
        <w:rPr>
          <w:rFonts w:ascii="宋体" w:hAnsi="宋体" w:hint="eastAsia"/>
          <w:sz w:val="24"/>
        </w:rPr>
        <w:t>、治疗师在矫形器装配中的主要任务。</w:t>
      </w:r>
    </w:p>
    <w:p w:rsidR="003717A0" w:rsidRDefault="003717A0">
      <w:pPr>
        <w:widowControl/>
        <w:jc w:val="left"/>
        <w:rPr>
          <w:rFonts w:ascii="宋体"/>
          <w:sz w:val="24"/>
        </w:rPr>
      </w:pPr>
    </w:p>
    <w:p w:rsidR="003717A0" w:rsidRDefault="003717A0">
      <w:pPr>
        <w:widowControl/>
        <w:jc w:val="left"/>
        <w:rPr>
          <w:rFonts w:ascii="宋体"/>
          <w:kern w:val="0"/>
          <w:sz w:val="34"/>
          <w:szCs w:val="34"/>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7"/>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中让学生来加强理解。教师应关心临床康复工程学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本课程为学期课程，成绩考核的方式：考试。考试时实行同一专业统考，即统一命题，统一考试，统一阅卷。考试学期总评成绩的评定方法如下：</w:t>
            </w:r>
          </w:p>
          <w:p w:rsidR="003717A0" w:rsidRDefault="003717A0">
            <w:pPr>
              <w:autoSpaceDE w:val="0"/>
              <w:autoSpaceDN w:val="0"/>
              <w:adjustRightInd w:val="0"/>
              <w:snapToGrid w:val="0"/>
              <w:spacing w:line="360" w:lineRule="auto"/>
              <w:ind w:firstLineChars="193" w:firstLine="405"/>
              <w:jc w:val="left"/>
              <w:rPr>
                <w:rFonts w:ascii="宋体"/>
                <w:szCs w:val="21"/>
              </w:rPr>
            </w:pPr>
            <w:r>
              <w:t xml:space="preserve"> </w:t>
            </w:r>
            <w:r>
              <w:rPr>
                <w:rFonts w:hint="eastAsia"/>
              </w:rPr>
              <w:t>笔试</w:t>
            </w:r>
            <w:r>
              <w:t>100%</w:t>
            </w:r>
          </w:p>
          <w:p w:rsidR="003717A0" w:rsidRDefault="003717A0">
            <w:pPr>
              <w:autoSpaceDE w:val="0"/>
              <w:autoSpaceDN w:val="0"/>
              <w:adjustRightInd w:val="0"/>
              <w:snapToGrid w:val="0"/>
              <w:spacing w:line="360" w:lineRule="auto"/>
              <w:ind w:firstLineChars="250" w:firstLine="525"/>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75" w:name="_Toc469312999"/>
      <w:bookmarkStart w:id="76" w:name="_Toc471830711"/>
      <w:r w:rsidRPr="00F5156D">
        <w:rPr>
          <w:rFonts w:hint="eastAsia"/>
          <w:b/>
        </w:rPr>
        <w:lastRenderedPageBreak/>
        <w:t>《康复功能评定学》课程质量标准</w:t>
      </w:r>
      <w:bookmarkEnd w:id="75"/>
      <w:bookmarkEnd w:id="76"/>
      <w:r w:rsidRPr="00F5156D">
        <w:rPr>
          <w:b/>
        </w:rPr>
        <w:t xml:space="preserve"> </w:t>
      </w: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康复功能评定学</w:t>
            </w:r>
            <w:r>
              <w:rPr>
                <w:sz w:val="22"/>
              </w:rPr>
              <w:t xml:space="preserve"> </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ind w:firstLineChars="650" w:firstLine="1430"/>
              <w:rPr>
                <w:sz w:val="22"/>
              </w:rPr>
            </w:pPr>
            <w:r>
              <w:rPr>
                <w:sz w:val="22"/>
              </w:rPr>
              <w:t>Rehabilitation Function Evaluation and Assessment</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170668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三</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108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ind w:firstLineChars="600" w:firstLine="1320"/>
              <w:rPr>
                <w:sz w:val="22"/>
              </w:rPr>
            </w:pPr>
            <w:r>
              <w:rPr>
                <w:sz w:val="22"/>
              </w:rPr>
              <w:t>4</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康复功能评定学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人民卫生出版社，</w:t>
            </w:r>
            <w:r>
              <w:rPr>
                <w:sz w:val="22"/>
              </w:rPr>
              <w:t>2013</w:t>
            </w:r>
            <w:r>
              <w:rPr>
                <w:rFonts w:hint="eastAsia"/>
                <w:sz w:val="22"/>
              </w:rPr>
              <w:t>年</w:t>
            </w:r>
            <w:r>
              <w:rPr>
                <w:sz w:val="22"/>
              </w:rPr>
              <w:t>3</w:t>
            </w:r>
            <w:r>
              <w:rPr>
                <w:rFonts w:hint="eastAsia"/>
                <w:sz w:val="22"/>
              </w:rPr>
              <w:t>月第</w:t>
            </w:r>
            <w:r>
              <w:rPr>
                <w:sz w:val="22"/>
              </w:rPr>
              <w:t>2</w:t>
            </w:r>
            <w:r>
              <w:rPr>
                <w:rFonts w:hint="eastAsia"/>
                <w:sz w:val="22"/>
              </w:rPr>
              <w:t>版，书号：</w:t>
            </w:r>
            <w:r>
              <w:rPr>
                <w:sz w:val="22"/>
              </w:rPr>
              <w:t>ISBN 978-7-117-17219-6</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沈光宇</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本科生</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500" w:lineRule="exact"/>
              <w:jc w:val="center"/>
              <w:rPr>
                <w:sz w:val="22"/>
              </w:rPr>
            </w:pPr>
            <w:r>
              <w:rPr>
                <w:sz w:val="22"/>
              </w:rPr>
              <w:t>1982.1</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蔡俊燕</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2005.9</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吴勤峰</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2005.9</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刘苏</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2006.9</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ind w:firstLineChars="250" w:firstLine="550"/>
              <w:rPr>
                <w:rFonts w:ascii="Times New Roman" w:hAnsi="Times New Roman"/>
                <w:sz w:val="22"/>
              </w:rPr>
            </w:pPr>
            <w:r>
              <w:rPr>
                <w:rFonts w:ascii="Times New Roman" w:hAnsi="Times New Roman" w:hint="eastAsia"/>
                <w:sz w:val="22"/>
              </w:rPr>
              <w:t>康复功能评定学是康复治疗学中的一项最基本的专业技能，也是最重要的专业课之一。是制订出好的治疗计划的基础。只有通过全面的、系统的和详尽记录的康复评定，才有可能确定病人的具体问题，制定相应的干预计划。评定可提供有关的信息，以资对治疗过程进行比较和评估。病人、治疗师和医生可藉此清楚的了解到病情是在好转、恶化还是维持原状。并对如何进一步进行治疗、对是否应改变或停止治疗作出合理的决定。</w:t>
            </w:r>
            <w:r>
              <w:rPr>
                <w:rFonts w:ascii="Times New Roman" w:hAnsi="Times New Roman"/>
                <w:sz w:val="22"/>
              </w:rPr>
              <w:t xml:space="preserve">  </w:t>
            </w:r>
          </w:p>
          <w:p w:rsidR="003717A0" w:rsidRDefault="003717A0">
            <w:pPr>
              <w:adjustRightInd w:val="0"/>
              <w:snapToGrid w:val="0"/>
              <w:spacing w:line="500" w:lineRule="exact"/>
              <w:ind w:firstLineChars="250" w:firstLine="550"/>
              <w:rPr>
                <w:rFonts w:ascii="Times New Roman" w:hAnsi="Times New Roman"/>
                <w:sz w:val="22"/>
              </w:rPr>
            </w:pPr>
            <w:r>
              <w:rPr>
                <w:rFonts w:ascii="Times New Roman" w:hAnsi="Times New Roman" w:hint="eastAsia"/>
                <w:sz w:val="22"/>
              </w:rPr>
              <w:t>通过本课程的学习，使学生能够系统地了解康复评定的基本概念及最常用的康复评定及目</w:t>
            </w:r>
            <w:r>
              <w:rPr>
                <w:rFonts w:ascii="Times New Roman" w:hAnsi="Times New Roman" w:hint="eastAsia"/>
                <w:sz w:val="22"/>
              </w:rPr>
              <w:lastRenderedPageBreak/>
              <w:t>前临床上通用的一些评估量表。为进入后期康复治疗学临床课程学习打下坚实的基础。</w:t>
            </w:r>
          </w:p>
          <w:p w:rsidR="003717A0" w:rsidRDefault="003717A0">
            <w:pPr>
              <w:adjustRightInd w:val="0"/>
              <w:snapToGrid w:val="0"/>
              <w:spacing w:line="500" w:lineRule="exact"/>
              <w:ind w:firstLineChars="250" w:firstLine="550"/>
              <w:rPr>
                <w:rFonts w:ascii="Times New Roman" w:hAnsi="Times New Roman"/>
                <w:sz w:val="22"/>
              </w:rPr>
            </w:pPr>
            <w:r>
              <w:rPr>
                <w:rFonts w:ascii="Times New Roman" w:hAnsi="Times New Roman" w:hint="eastAsia"/>
                <w:sz w:val="22"/>
              </w:rPr>
              <w:t>本课程需要医用物理学、组织学与胚胎学、人体解剖学、医学生物学、生物化学、生理学、病理学、病理生理学、人体发育学、运动学相关知识作基础。</w:t>
            </w:r>
          </w:p>
        </w:tc>
      </w:tr>
    </w:tbl>
    <w:p w:rsidR="003717A0" w:rsidRDefault="003717A0">
      <w:pPr>
        <w:adjustRightInd w:val="0"/>
        <w:spacing w:line="360" w:lineRule="auto"/>
        <w:contextualSpacing/>
        <w:jc w:val="center"/>
        <w:rPr>
          <w:rFonts w:ascii="黑体" w:eastAsia="黑体"/>
          <w:b/>
          <w:sz w:val="30"/>
          <w:szCs w:val="30"/>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rsidP="00EA5BFD">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w:t>
      </w:r>
      <w:r w:rsidR="00EA5BFD">
        <w:rPr>
          <w:rFonts w:ascii="Times New Roman" w:hAnsi="Times New Roman" w:hint="eastAsia"/>
          <w:kern w:val="0"/>
          <w:szCs w:val="21"/>
        </w:rPr>
        <w:t>层次，康复治疗学专业</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sz w:val="22"/>
        </w:rPr>
        <w:t>17066</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108</w:t>
      </w:r>
      <w:r>
        <w:rPr>
          <w:rFonts w:ascii="Times New Roman" w:hAnsi="Times New Roman" w:hint="eastAsia"/>
          <w:kern w:val="0"/>
          <w:szCs w:val="21"/>
        </w:rPr>
        <w:t>学时（理论学时</w:t>
      </w:r>
      <w:r>
        <w:rPr>
          <w:rFonts w:ascii="Times New Roman" w:hAnsi="Times New Roman"/>
          <w:kern w:val="0"/>
          <w:szCs w:val="21"/>
        </w:rPr>
        <w:t>54</w:t>
      </w:r>
      <w:r>
        <w:rPr>
          <w:rFonts w:ascii="Times New Roman" w:hAnsi="Times New Roman" w:hint="eastAsia"/>
          <w:kern w:val="0"/>
          <w:szCs w:val="21"/>
        </w:rPr>
        <w:t>，实验学时</w:t>
      </w:r>
      <w:r>
        <w:rPr>
          <w:rFonts w:ascii="Times New Roman" w:hAnsi="Times New Roman"/>
          <w:kern w:val="0"/>
          <w:szCs w:val="21"/>
        </w:rPr>
        <w:t>54</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4</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先修课程：康复医学概论</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后续课程：物理治疗学</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康复功能评定学是研究有关功能状况的理论和技能的一门学科，是康复治疗专业主要的专业基础课之一。在康复领域中，康复功能评定是对病、伤、残患者的功能状况及其水平进行定性或定量的描述，并对其结果做出合理解释的过程。</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康复功能评定学是康复治疗专业最重要的专业课之一。评定是了解功能障碍相关信息的必要阶段，是制定适宜的康复治疗计划的前提，是保障康复治疗安全的基础，是康复工作者的一项基本的专业技能。</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要求学生能熟练掌握常用的量表的使用，并对量表的信度、效度、敏感度和统一性进行研究，为进一步学习各临床课程及以后的工作打下坚实基础；较系统的对常见疾患进行运动功能、职业能力、日常生活活动能力、生活质量等进行正确评估；逐步培养学生采集病史、检测功能、记录结果和分析处理的能力；把握评定过程中的相关注意事项，并对康复评定结果进行正确描述；注重培养学生发现问题、分析问题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总论</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numPr>
          <w:ilvl w:val="0"/>
          <w:numId w:val="265"/>
        </w:numPr>
        <w:tabs>
          <w:tab w:val="clear" w:pos="420"/>
          <w:tab w:val="left" w:pos="0"/>
        </w:tabs>
        <w:adjustRightInd w:val="0"/>
        <w:snapToGrid w:val="0"/>
        <w:spacing w:line="360" w:lineRule="auto"/>
        <w:ind w:left="0" w:right="4" w:firstLine="720"/>
        <w:rPr>
          <w:rFonts w:ascii="Times New Roman"/>
        </w:rPr>
      </w:pPr>
      <w:r>
        <w:rPr>
          <w:rFonts w:ascii="Times New Roman" w:hint="eastAsia"/>
        </w:rPr>
        <w:t>康复评定的定义</w:t>
      </w:r>
    </w:p>
    <w:p w:rsidR="003717A0" w:rsidRDefault="003717A0">
      <w:pPr>
        <w:numPr>
          <w:ilvl w:val="0"/>
          <w:numId w:val="265"/>
        </w:numPr>
        <w:tabs>
          <w:tab w:val="clear" w:pos="420"/>
          <w:tab w:val="left" w:pos="0"/>
        </w:tabs>
        <w:adjustRightInd w:val="0"/>
        <w:snapToGrid w:val="0"/>
        <w:spacing w:line="360" w:lineRule="auto"/>
        <w:ind w:left="0" w:right="4" w:firstLine="720"/>
        <w:rPr>
          <w:rFonts w:ascii="Times New Roman"/>
        </w:rPr>
      </w:pPr>
      <w:r>
        <w:rPr>
          <w:rFonts w:ascii="Times New Roman" w:hint="eastAsia"/>
        </w:rPr>
        <w:t>康复评定的影响因素</w:t>
      </w:r>
    </w:p>
    <w:p w:rsidR="003717A0" w:rsidRDefault="003717A0">
      <w:pPr>
        <w:numPr>
          <w:ilvl w:val="0"/>
          <w:numId w:val="265"/>
        </w:numPr>
        <w:tabs>
          <w:tab w:val="clear" w:pos="420"/>
          <w:tab w:val="left" w:pos="0"/>
        </w:tabs>
        <w:adjustRightInd w:val="0"/>
        <w:snapToGrid w:val="0"/>
        <w:spacing w:line="360" w:lineRule="auto"/>
        <w:ind w:left="0" w:right="4" w:firstLine="720"/>
        <w:rPr>
          <w:rFonts w:ascii="Times New Roman"/>
        </w:rPr>
      </w:pPr>
      <w:r>
        <w:rPr>
          <w:rFonts w:ascii="Times New Roman" w:hint="eastAsia"/>
        </w:rPr>
        <w:t>常用的康复评定评定方法</w:t>
      </w:r>
    </w:p>
    <w:p w:rsidR="003717A0" w:rsidRDefault="003717A0">
      <w:pPr>
        <w:numPr>
          <w:ilvl w:val="0"/>
          <w:numId w:val="265"/>
        </w:numPr>
        <w:tabs>
          <w:tab w:val="clear" w:pos="420"/>
          <w:tab w:val="left" w:pos="0"/>
        </w:tabs>
        <w:adjustRightInd w:val="0"/>
        <w:snapToGrid w:val="0"/>
        <w:spacing w:line="360" w:lineRule="auto"/>
        <w:ind w:left="0" w:right="4" w:firstLine="720"/>
        <w:rPr>
          <w:rFonts w:ascii="Times New Roman"/>
        </w:rPr>
      </w:pPr>
      <w:r>
        <w:rPr>
          <w:rFonts w:ascii="Times New Roman" w:hint="eastAsia"/>
        </w:rPr>
        <w:t>康复评定的实施</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0.5</w:t>
      </w:r>
      <w:r>
        <w:rPr>
          <w:rFonts w:ascii="Times New Roman" w:hint="eastAsia"/>
          <w:b/>
        </w:rPr>
        <w:t>学时）</w:t>
      </w:r>
    </w:p>
    <w:p w:rsidR="003717A0" w:rsidRDefault="003717A0">
      <w:pPr>
        <w:adjustRightInd w:val="0"/>
        <w:snapToGrid w:val="0"/>
        <w:spacing w:line="360" w:lineRule="auto"/>
        <w:ind w:leftChars="343" w:left="720" w:right="4" w:firstLineChars="200" w:firstLine="420"/>
        <w:rPr>
          <w:rFonts w:ascii="Times New Roman"/>
        </w:rPr>
      </w:pPr>
      <w:r>
        <w:rPr>
          <w:rFonts w:ascii="Times New Roman" w:hint="eastAsia"/>
        </w:rPr>
        <w:t>本课程的实验见习，掌握康复评定的基本概念，掌握康复评定的基本流程，了解相关量表及其应用，以及康复评定的注意事项。</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目的要求</w:t>
      </w:r>
    </w:p>
    <w:p w:rsidR="003717A0" w:rsidRDefault="003717A0">
      <w:pPr>
        <w:numPr>
          <w:ilvl w:val="0"/>
          <w:numId w:val="266"/>
        </w:numPr>
        <w:adjustRightInd w:val="0"/>
        <w:snapToGrid w:val="0"/>
        <w:spacing w:line="360" w:lineRule="auto"/>
        <w:ind w:right="4"/>
        <w:rPr>
          <w:rFonts w:ascii="Times New Roman"/>
        </w:rPr>
      </w:pPr>
      <w:r>
        <w:rPr>
          <w:rFonts w:ascii="Times New Roman" w:hint="eastAsia"/>
        </w:rPr>
        <w:lastRenderedPageBreak/>
        <w:t>掌握康复评定的定义</w:t>
      </w:r>
    </w:p>
    <w:p w:rsidR="003717A0" w:rsidRDefault="003717A0">
      <w:pPr>
        <w:numPr>
          <w:ilvl w:val="0"/>
          <w:numId w:val="266"/>
        </w:numPr>
        <w:adjustRightInd w:val="0"/>
        <w:snapToGrid w:val="0"/>
        <w:spacing w:line="360" w:lineRule="auto"/>
        <w:ind w:right="4"/>
        <w:rPr>
          <w:rFonts w:ascii="Times New Roman"/>
        </w:rPr>
      </w:pPr>
      <w:r>
        <w:rPr>
          <w:rFonts w:ascii="Times New Roman" w:hint="eastAsia"/>
        </w:rPr>
        <w:t>熟悉康复评定的影响因素</w:t>
      </w:r>
    </w:p>
    <w:p w:rsidR="003717A0" w:rsidRDefault="003717A0">
      <w:pPr>
        <w:numPr>
          <w:ilvl w:val="0"/>
          <w:numId w:val="266"/>
        </w:numPr>
        <w:adjustRightInd w:val="0"/>
        <w:snapToGrid w:val="0"/>
        <w:spacing w:line="360" w:lineRule="auto"/>
        <w:ind w:right="4"/>
        <w:rPr>
          <w:rFonts w:ascii="Times New Roman"/>
        </w:rPr>
      </w:pPr>
      <w:r>
        <w:rPr>
          <w:rFonts w:ascii="Times New Roman" w:hint="eastAsia"/>
        </w:rPr>
        <w:t>掌握常用的康复评定的评定方法</w:t>
      </w:r>
    </w:p>
    <w:p w:rsidR="003717A0" w:rsidRDefault="003717A0">
      <w:pPr>
        <w:numPr>
          <w:ilvl w:val="0"/>
          <w:numId w:val="266"/>
        </w:numPr>
        <w:adjustRightInd w:val="0"/>
        <w:snapToGrid w:val="0"/>
        <w:spacing w:line="360" w:lineRule="auto"/>
        <w:ind w:right="4"/>
        <w:rPr>
          <w:rFonts w:ascii="Times New Roman"/>
        </w:rPr>
      </w:pPr>
      <w:r>
        <w:rPr>
          <w:rFonts w:ascii="Times New Roman" w:hint="eastAsia"/>
        </w:rPr>
        <w:t>熟悉康复评定的实施</w:t>
      </w:r>
    </w:p>
    <w:p w:rsidR="003717A0" w:rsidRDefault="003717A0">
      <w:pPr>
        <w:adjustRightInd w:val="0"/>
        <w:snapToGrid w:val="0"/>
        <w:spacing w:line="360" w:lineRule="auto"/>
        <w:ind w:right="6" w:firstLineChars="200" w:firstLine="422"/>
        <w:rPr>
          <w:rFonts w:ascii="Times New Roman" w:hAnsi="Times New Roman"/>
          <w:b/>
        </w:rPr>
      </w:pPr>
    </w:p>
    <w:p w:rsidR="003717A0" w:rsidRDefault="003717A0" w:rsidP="005E20B5">
      <w:pPr>
        <w:adjustRightInd w:val="0"/>
        <w:snapToGrid w:val="0"/>
        <w:spacing w:beforeLines="50" w:line="360" w:lineRule="auto"/>
        <w:ind w:right="6"/>
        <w:jc w:val="center"/>
        <w:rPr>
          <w:b/>
          <w:sz w:val="22"/>
        </w:rPr>
      </w:pPr>
      <w:r>
        <w:rPr>
          <w:rFonts w:hint="eastAsia"/>
          <w:b/>
          <w:sz w:val="22"/>
        </w:rPr>
        <w:t>第二章</w:t>
      </w:r>
      <w:r>
        <w:rPr>
          <w:b/>
          <w:sz w:val="22"/>
        </w:rPr>
        <w:t xml:space="preserve">  </w:t>
      </w:r>
      <w:r>
        <w:rPr>
          <w:rFonts w:hint="eastAsia"/>
          <w:b/>
          <w:sz w:val="22"/>
        </w:rPr>
        <w:t>人体形态评定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67"/>
        </w:numPr>
        <w:tabs>
          <w:tab w:val="clear" w:pos="420"/>
          <w:tab w:val="left" w:pos="0"/>
          <w:tab w:val="left" w:pos="1260"/>
        </w:tabs>
        <w:adjustRightInd w:val="0"/>
        <w:snapToGrid w:val="0"/>
        <w:spacing w:line="360" w:lineRule="auto"/>
        <w:ind w:left="0" w:right="4" w:firstLine="720"/>
        <w:rPr>
          <w:rFonts w:ascii="Times New Roman"/>
        </w:rPr>
      </w:pPr>
      <w:r>
        <w:rPr>
          <w:rFonts w:ascii="Times New Roman" w:hint="eastAsia"/>
        </w:rPr>
        <w:t>形态评定的定义</w:t>
      </w:r>
    </w:p>
    <w:p w:rsidR="003717A0" w:rsidRDefault="003717A0">
      <w:pPr>
        <w:numPr>
          <w:ilvl w:val="0"/>
          <w:numId w:val="267"/>
        </w:numPr>
        <w:tabs>
          <w:tab w:val="clear" w:pos="420"/>
          <w:tab w:val="left" w:pos="0"/>
          <w:tab w:val="left" w:pos="1260"/>
        </w:tabs>
        <w:adjustRightInd w:val="0"/>
        <w:snapToGrid w:val="0"/>
        <w:spacing w:line="360" w:lineRule="auto"/>
        <w:ind w:left="0" w:right="4" w:firstLine="720"/>
        <w:rPr>
          <w:rFonts w:ascii="Times New Roman"/>
        </w:rPr>
      </w:pPr>
      <w:r>
        <w:rPr>
          <w:rFonts w:ascii="Times New Roman" w:hint="eastAsia"/>
        </w:rPr>
        <w:t>形态评定的影响因素</w:t>
      </w:r>
    </w:p>
    <w:p w:rsidR="003717A0" w:rsidRDefault="003717A0">
      <w:pPr>
        <w:numPr>
          <w:ilvl w:val="0"/>
          <w:numId w:val="267"/>
        </w:numPr>
        <w:tabs>
          <w:tab w:val="clear" w:pos="420"/>
          <w:tab w:val="left" w:pos="0"/>
          <w:tab w:val="left" w:pos="1260"/>
        </w:tabs>
        <w:adjustRightInd w:val="0"/>
        <w:snapToGrid w:val="0"/>
        <w:spacing w:line="360" w:lineRule="auto"/>
        <w:ind w:left="0" w:right="4" w:firstLine="720"/>
        <w:rPr>
          <w:rFonts w:ascii="Times New Roman"/>
        </w:rPr>
      </w:pPr>
      <w:r>
        <w:rPr>
          <w:rFonts w:ascii="Times New Roman" w:hint="eastAsia"/>
        </w:rPr>
        <w:t>常用的形态评定评定方法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tabs>
          <w:tab w:val="left" w:pos="1260"/>
        </w:tabs>
        <w:adjustRightInd w:val="0"/>
        <w:snapToGrid w:val="0"/>
        <w:spacing w:line="360" w:lineRule="auto"/>
        <w:ind w:leftChars="343" w:left="720" w:right="4" w:firstLineChars="200" w:firstLine="420"/>
        <w:rPr>
          <w:rFonts w:ascii="Times New Roman" w:hAnsi="Times New Roman"/>
          <w:b/>
        </w:rPr>
      </w:pPr>
      <w:r>
        <w:rPr>
          <w:rFonts w:ascii="Times New Roman" w:hint="eastAsia"/>
        </w:rPr>
        <w:t>本课程的实验见习包括正确姿势的评定方法；常见的异常姿势及其评定方法；身体长度的测量方法；身体周径的测量方法；身体素质的评定方法；身高和体重的测量方法等。</w:t>
      </w:r>
    </w:p>
    <w:p w:rsidR="003717A0" w:rsidRDefault="003717A0">
      <w:pPr>
        <w:tabs>
          <w:tab w:val="left" w:pos="1260"/>
        </w:tabs>
        <w:adjustRightInd w:val="0"/>
        <w:snapToGrid w:val="0"/>
        <w:spacing w:line="360" w:lineRule="auto"/>
        <w:ind w:right="4" w:firstLineChars="196" w:firstLine="413"/>
        <w:rPr>
          <w:rFonts w:ascii="Times New Roman" w:hAnsi="Times New Roman"/>
          <w:b/>
        </w:rPr>
      </w:pPr>
      <w:r>
        <w:rPr>
          <w:rFonts w:ascii="Times New Roman" w:hint="eastAsia"/>
          <w:b/>
        </w:rPr>
        <w:t>目的要求</w:t>
      </w:r>
    </w:p>
    <w:p w:rsidR="003717A0" w:rsidRDefault="003717A0">
      <w:pPr>
        <w:numPr>
          <w:ilvl w:val="0"/>
          <w:numId w:val="268"/>
        </w:numPr>
        <w:tabs>
          <w:tab w:val="left" w:pos="1260"/>
        </w:tabs>
        <w:adjustRightInd w:val="0"/>
        <w:snapToGrid w:val="0"/>
        <w:spacing w:line="360" w:lineRule="auto"/>
        <w:ind w:right="4"/>
        <w:rPr>
          <w:rFonts w:ascii="Times New Roman"/>
        </w:rPr>
      </w:pPr>
      <w:r>
        <w:rPr>
          <w:rFonts w:ascii="Times New Roman" w:hint="eastAsia"/>
        </w:rPr>
        <w:t>掌握形态评定的定义</w:t>
      </w:r>
    </w:p>
    <w:p w:rsidR="003717A0" w:rsidRDefault="003717A0">
      <w:pPr>
        <w:numPr>
          <w:ilvl w:val="0"/>
          <w:numId w:val="268"/>
        </w:numPr>
        <w:tabs>
          <w:tab w:val="left" w:pos="1260"/>
        </w:tabs>
        <w:adjustRightInd w:val="0"/>
        <w:snapToGrid w:val="0"/>
        <w:spacing w:line="360" w:lineRule="auto"/>
        <w:ind w:right="4"/>
        <w:rPr>
          <w:rFonts w:ascii="Times New Roman"/>
        </w:rPr>
      </w:pPr>
      <w:r>
        <w:rPr>
          <w:rFonts w:ascii="Times New Roman" w:hint="eastAsia"/>
        </w:rPr>
        <w:t>熟悉形态评定的影响因素</w:t>
      </w:r>
    </w:p>
    <w:p w:rsidR="003717A0" w:rsidRDefault="003717A0">
      <w:pPr>
        <w:numPr>
          <w:ilvl w:val="0"/>
          <w:numId w:val="268"/>
        </w:numPr>
        <w:tabs>
          <w:tab w:val="left" w:pos="1260"/>
        </w:tabs>
        <w:adjustRightInd w:val="0"/>
        <w:snapToGrid w:val="0"/>
        <w:spacing w:line="360" w:lineRule="auto"/>
        <w:ind w:right="4"/>
        <w:rPr>
          <w:rFonts w:ascii="Times New Roman"/>
        </w:rPr>
      </w:pPr>
      <w:r>
        <w:rPr>
          <w:rFonts w:ascii="Times New Roman" w:hint="eastAsia"/>
        </w:rPr>
        <w:t>掌握常用的形态评定评定方法</w:t>
      </w: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第三章</w:t>
      </w:r>
      <w:r>
        <w:rPr>
          <w:b/>
          <w:sz w:val="22"/>
        </w:rPr>
        <w:t xml:space="preserve">  </w:t>
      </w:r>
      <w:r>
        <w:rPr>
          <w:rFonts w:hint="eastAsia"/>
          <w:b/>
          <w:sz w:val="22"/>
        </w:rPr>
        <w:t>神经系统反射的评定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69"/>
        </w:numPr>
        <w:tabs>
          <w:tab w:val="left" w:pos="1260"/>
        </w:tabs>
        <w:adjustRightInd w:val="0"/>
        <w:snapToGrid w:val="0"/>
        <w:spacing w:line="360" w:lineRule="auto"/>
        <w:ind w:left="0" w:rightChars="2" w:right="4" w:firstLine="720"/>
        <w:rPr>
          <w:rFonts w:ascii="Times New Roman"/>
        </w:rPr>
      </w:pPr>
      <w:r>
        <w:rPr>
          <w:rFonts w:ascii="Times New Roman" w:hint="eastAsia"/>
        </w:rPr>
        <w:t>反射发育的基本特点：反射活动是动作行为产生的前提，反射发育具有时间性，中枢神经系统的损害引起反射发育的延迟或倒退。</w:t>
      </w:r>
    </w:p>
    <w:p w:rsidR="003717A0" w:rsidRDefault="003717A0">
      <w:pPr>
        <w:numPr>
          <w:ilvl w:val="0"/>
          <w:numId w:val="269"/>
        </w:numPr>
        <w:tabs>
          <w:tab w:val="left" w:pos="1260"/>
        </w:tabs>
        <w:adjustRightInd w:val="0"/>
        <w:snapToGrid w:val="0"/>
        <w:spacing w:line="360" w:lineRule="auto"/>
        <w:ind w:left="0" w:rightChars="2" w:right="4" w:firstLine="720"/>
        <w:rPr>
          <w:rFonts w:ascii="Times New Roman" w:hAnsi="Times New Roman"/>
        </w:rPr>
      </w:pPr>
      <w:r>
        <w:rPr>
          <w:rFonts w:ascii="Times New Roman" w:hint="eastAsia"/>
        </w:rPr>
        <w:t>评定方法：脊髓水平反射（原始反射），脑干水平反射，中脑水平反射，大脑水平反射，检查注意事项。</w:t>
      </w:r>
      <w:r>
        <w:rPr>
          <w:rFonts w:ascii="Times New Roman"/>
        </w:rPr>
        <w:t xml:space="preserve"> </w:t>
      </w:r>
    </w:p>
    <w:p w:rsidR="003717A0" w:rsidRDefault="003717A0">
      <w:pPr>
        <w:numPr>
          <w:ilvl w:val="0"/>
          <w:numId w:val="269"/>
        </w:numPr>
        <w:tabs>
          <w:tab w:val="left" w:pos="1260"/>
        </w:tabs>
        <w:adjustRightInd w:val="0"/>
        <w:snapToGrid w:val="0"/>
        <w:spacing w:line="360" w:lineRule="auto"/>
        <w:ind w:left="0" w:rightChars="2" w:right="4" w:firstLine="720"/>
        <w:rPr>
          <w:rFonts w:ascii="Times New Roman" w:hAnsi="Times New Roman"/>
        </w:rPr>
      </w:pPr>
      <w:r>
        <w:rPr>
          <w:rFonts w:ascii="Times New Roman" w:hint="eastAsia"/>
        </w:rPr>
        <w:t>评定结果与治疗技术的分析：评定结果的分析，治疗技术的考虑。</w:t>
      </w:r>
    </w:p>
    <w:p w:rsidR="003717A0" w:rsidRDefault="003717A0">
      <w:pPr>
        <w:numPr>
          <w:ilvl w:val="0"/>
          <w:numId w:val="269"/>
        </w:numPr>
        <w:tabs>
          <w:tab w:val="left" w:pos="1260"/>
        </w:tabs>
        <w:adjustRightInd w:val="0"/>
        <w:snapToGrid w:val="0"/>
        <w:spacing w:line="360" w:lineRule="auto"/>
        <w:ind w:left="0" w:rightChars="2" w:right="4" w:firstLine="720"/>
        <w:rPr>
          <w:rFonts w:ascii="Times New Roman" w:hAnsi="Times New Roman"/>
        </w:rPr>
      </w:pPr>
      <w:r>
        <w:rPr>
          <w:rFonts w:ascii="Times New Roman" w:hint="eastAsia"/>
        </w:rPr>
        <w:t>脑性瘫痪儿童的评定：评定的原则和内容，</w:t>
      </w:r>
      <w:r>
        <w:rPr>
          <w:rFonts w:ascii="Times New Roman"/>
        </w:rPr>
        <w:t>Key months</w:t>
      </w:r>
      <w:r>
        <w:rPr>
          <w:rFonts w:ascii="Times New Roman" w:hint="eastAsia"/>
        </w:rPr>
        <w:t>常用检查项目表，小儿神经发育的综合评定：肌张力、自发运动或行为的观察，姿势发育的评定，精细运动的发育，反射运动发育的评定，言语发育的评定。</w:t>
      </w:r>
    </w:p>
    <w:p w:rsidR="003717A0" w:rsidRDefault="003717A0">
      <w:pPr>
        <w:pStyle w:val="a8"/>
        <w:adjustRightInd w:val="0"/>
        <w:snapToGrid w:val="0"/>
        <w:spacing w:line="360" w:lineRule="auto"/>
        <w:ind w:left="0" w:right="4" w:firstLine="360"/>
        <w:jc w:val="both"/>
        <w:rPr>
          <w:b/>
          <w:sz w:val="21"/>
          <w:szCs w:val="21"/>
        </w:rPr>
      </w:pPr>
      <w:r>
        <w:rPr>
          <w:rFonts w:hint="eastAsia"/>
          <w:b/>
          <w:sz w:val="21"/>
          <w:szCs w:val="21"/>
        </w:rPr>
        <w:t>实习内容（</w:t>
      </w:r>
      <w:r>
        <w:rPr>
          <w:b/>
          <w:sz w:val="21"/>
          <w:szCs w:val="21"/>
        </w:rPr>
        <w:t>3</w:t>
      </w:r>
      <w:r>
        <w:rPr>
          <w:rFonts w:hint="eastAsia"/>
          <w:b/>
          <w:sz w:val="21"/>
          <w:szCs w:val="21"/>
        </w:rPr>
        <w:t>学时）</w:t>
      </w:r>
    </w:p>
    <w:p w:rsidR="003717A0" w:rsidRDefault="003717A0">
      <w:pPr>
        <w:pStyle w:val="a8"/>
        <w:numPr>
          <w:ilvl w:val="0"/>
          <w:numId w:val="270"/>
        </w:numPr>
        <w:adjustRightInd w:val="0"/>
        <w:snapToGrid w:val="0"/>
        <w:spacing w:line="360" w:lineRule="auto"/>
        <w:ind w:right="4" w:firstLine="300"/>
        <w:jc w:val="both"/>
        <w:rPr>
          <w:rFonts w:hAnsi="Calibri"/>
          <w:sz w:val="21"/>
          <w:szCs w:val="22"/>
        </w:rPr>
      </w:pPr>
      <w:r>
        <w:rPr>
          <w:rFonts w:hAnsi="Calibri" w:hint="eastAsia"/>
          <w:sz w:val="21"/>
          <w:szCs w:val="22"/>
        </w:rPr>
        <w:t>评定方法</w:t>
      </w:r>
    </w:p>
    <w:p w:rsidR="003717A0" w:rsidRDefault="003717A0">
      <w:pPr>
        <w:pStyle w:val="a8"/>
        <w:numPr>
          <w:ilvl w:val="0"/>
          <w:numId w:val="270"/>
        </w:numPr>
        <w:adjustRightInd w:val="0"/>
        <w:snapToGrid w:val="0"/>
        <w:spacing w:line="360" w:lineRule="auto"/>
        <w:ind w:right="4" w:firstLine="300"/>
        <w:jc w:val="both"/>
        <w:rPr>
          <w:rFonts w:hAnsi="Calibri"/>
          <w:sz w:val="21"/>
          <w:szCs w:val="22"/>
        </w:rPr>
      </w:pPr>
      <w:r>
        <w:rPr>
          <w:rFonts w:hAnsi="Calibri" w:hint="eastAsia"/>
          <w:sz w:val="21"/>
          <w:szCs w:val="22"/>
        </w:rPr>
        <w:t>脑性瘫痪儿童的评定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71"/>
        </w:numPr>
        <w:adjustRightInd w:val="0"/>
        <w:snapToGrid w:val="0"/>
        <w:spacing w:line="360" w:lineRule="auto"/>
        <w:ind w:right="4" w:firstLine="300"/>
        <w:jc w:val="both"/>
        <w:rPr>
          <w:rFonts w:hAnsi="Calibri"/>
          <w:sz w:val="21"/>
          <w:szCs w:val="22"/>
        </w:rPr>
      </w:pPr>
      <w:r>
        <w:rPr>
          <w:rFonts w:hAnsi="Calibri" w:hint="eastAsia"/>
          <w:sz w:val="21"/>
          <w:szCs w:val="22"/>
        </w:rPr>
        <w:t>了解反射发育的基本特点。</w:t>
      </w:r>
    </w:p>
    <w:p w:rsidR="003717A0" w:rsidRDefault="003717A0">
      <w:pPr>
        <w:pStyle w:val="a8"/>
        <w:numPr>
          <w:ilvl w:val="0"/>
          <w:numId w:val="271"/>
        </w:numPr>
        <w:adjustRightInd w:val="0"/>
        <w:snapToGrid w:val="0"/>
        <w:spacing w:line="360" w:lineRule="auto"/>
        <w:ind w:right="4" w:firstLine="300"/>
        <w:jc w:val="both"/>
        <w:rPr>
          <w:rFonts w:hAnsi="Calibri"/>
          <w:sz w:val="21"/>
          <w:szCs w:val="22"/>
        </w:rPr>
      </w:pPr>
      <w:r>
        <w:rPr>
          <w:rFonts w:hAnsi="Calibri" w:hint="eastAsia"/>
          <w:sz w:val="21"/>
          <w:szCs w:val="22"/>
        </w:rPr>
        <w:t>熟悉反射评定的方法、结果与治疗技术的分析。</w:t>
      </w:r>
    </w:p>
    <w:p w:rsidR="003717A0" w:rsidRDefault="003717A0">
      <w:pPr>
        <w:tabs>
          <w:tab w:val="left" w:pos="1260"/>
        </w:tabs>
        <w:adjustRightInd w:val="0"/>
        <w:snapToGrid w:val="0"/>
        <w:spacing w:line="360" w:lineRule="auto"/>
        <w:ind w:left="1129" w:right="4"/>
        <w:rPr>
          <w:rFonts w:ascii="Times New Roman"/>
        </w:rPr>
      </w:pPr>
      <w:r>
        <w:rPr>
          <w:rFonts w:hint="eastAsia"/>
        </w:rPr>
        <w:lastRenderedPageBreak/>
        <w:t>掌握脑性瘫痪儿童评定。</w:t>
      </w:r>
    </w:p>
    <w:p w:rsidR="003717A0" w:rsidRDefault="003717A0" w:rsidP="005E20B5">
      <w:pPr>
        <w:adjustRightInd w:val="0"/>
        <w:snapToGrid w:val="0"/>
        <w:spacing w:beforeLines="50" w:line="360" w:lineRule="auto"/>
        <w:ind w:right="6"/>
        <w:jc w:val="center"/>
        <w:rPr>
          <w:b/>
          <w:sz w:val="22"/>
        </w:rPr>
      </w:pPr>
      <w:r>
        <w:rPr>
          <w:rFonts w:hint="eastAsia"/>
          <w:b/>
          <w:sz w:val="22"/>
        </w:rPr>
        <w:t>第四章</w:t>
      </w:r>
      <w:r>
        <w:rPr>
          <w:b/>
          <w:sz w:val="22"/>
        </w:rPr>
        <w:t xml:space="preserve">  </w:t>
      </w:r>
      <w:r>
        <w:rPr>
          <w:rFonts w:hint="eastAsia"/>
          <w:b/>
          <w:sz w:val="22"/>
        </w:rPr>
        <w:t>心肺功能评定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72"/>
        </w:numPr>
        <w:tabs>
          <w:tab w:val="clear" w:pos="780"/>
          <w:tab w:val="left" w:pos="0"/>
        </w:tabs>
        <w:adjustRightInd w:val="0"/>
        <w:snapToGrid w:val="0"/>
        <w:spacing w:line="360" w:lineRule="auto"/>
        <w:ind w:left="0" w:right="4" w:firstLine="720"/>
        <w:rPr>
          <w:rFonts w:ascii="Times New Roman" w:hAnsi="Times New Roman"/>
        </w:rPr>
      </w:pPr>
      <w:r>
        <w:rPr>
          <w:rFonts w:ascii="Times New Roman" w:hint="eastAsia"/>
        </w:rPr>
        <w:t>心功能分级。</w:t>
      </w:r>
    </w:p>
    <w:p w:rsidR="003717A0" w:rsidRDefault="003717A0">
      <w:pPr>
        <w:numPr>
          <w:ilvl w:val="0"/>
          <w:numId w:val="272"/>
        </w:numPr>
        <w:tabs>
          <w:tab w:val="clear" w:pos="780"/>
          <w:tab w:val="left" w:pos="0"/>
        </w:tabs>
        <w:adjustRightInd w:val="0"/>
        <w:snapToGrid w:val="0"/>
        <w:spacing w:line="360" w:lineRule="auto"/>
        <w:ind w:left="0" w:rightChars="2" w:right="4" w:firstLine="720"/>
        <w:rPr>
          <w:rFonts w:ascii="Times New Roman" w:hAnsi="Times New Roman"/>
        </w:rPr>
      </w:pPr>
      <w:r>
        <w:rPr>
          <w:rFonts w:ascii="Times New Roman" w:hint="eastAsia"/>
        </w:rPr>
        <w:t>心电运动实验（目的、种类、适应症、禁忌症、方案、结果及意义）。</w:t>
      </w:r>
    </w:p>
    <w:p w:rsidR="003717A0" w:rsidRDefault="003717A0">
      <w:pPr>
        <w:numPr>
          <w:ilvl w:val="0"/>
          <w:numId w:val="272"/>
        </w:numPr>
        <w:tabs>
          <w:tab w:val="clear" w:pos="780"/>
          <w:tab w:val="left" w:pos="0"/>
        </w:tabs>
        <w:adjustRightInd w:val="0"/>
        <w:snapToGrid w:val="0"/>
        <w:spacing w:line="360" w:lineRule="auto"/>
        <w:ind w:left="0" w:right="4" w:firstLine="720"/>
        <w:rPr>
          <w:rFonts w:ascii="Times New Roman" w:hAnsi="Times New Roman"/>
        </w:rPr>
      </w:pPr>
      <w:r>
        <w:rPr>
          <w:rFonts w:ascii="Times New Roman" w:hint="eastAsia"/>
        </w:rPr>
        <w:t>肺容积，通气功能、运动气体代谢测定。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numPr>
          <w:ilvl w:val="0"/>
          <w:numId w:val="273"/>
        </w:numPr>
        <w:adjustRightInd w:val="0"/>
        <w:snapToGrid w:val="0"/>
        <w:spacing w:line="360" w:lineRule="auto"/>
        <w:ind w:right="4"/>
        <w:rPr>
          <w:rFonts w:ascii="Times New Roman" w:hAnsi="Times New Roman"/>
        </w:rPr>
      </w:pPr>
      <w:r>
        <w:rPr>
          <w:rFonts w:ascii="Times New Roman" w:hint="eastAsia"/>
        </w:rPr>
        <w:t>心功能分级。</w:t>
      </w:r>
    </w:p>
    <w:p w:rsidR="003717A0" w:rsidRDefault="003717A0">
      <w:pPr>
        <w:numPr>
          <w:ilvl w:val="0"/>
          <w:numId w:val="273"/>
        </w:numPr>
        <w:adjustRightInd w:val="0"/>
        <w:snapToGrid w:val="0"/>
        <w:spacing w:line="360" w:lineRule="auto"/>
        <w:ind w:left="0" w:rightChars="2" w:right="4" w:firstLine="720"/>
        <w:rPr>
          <w:rFonts w:ascii="Times New Roman" w:hAnsi="Times New Roman"/>
        </w:rPr>
      </w:pPr>
      <w:r>
        <w:rPr>
          <w:rFonts w:ascii="Times New Roman" w:hint="eastAsia"/>
        </w:rPr>
        <w:t>心电运动实验。</w:t>
      </w:r>
    </w:p>
    <w:p w:rsidR="003717A0" w:rsidRDefault="003717A0">
      <w:pPr>
        <w:numPr>
          <w:ilvl w:val="0"/>
          <w:numId w:val="273"/>
        </w:numPr>
        <w:adjustRightInd w:val="0"/>
        <w:snapToGrid w:val="0"/>
        <w:spacing w:line="360" w:lineRule="auto"/>
        <w:ind w:left="0" w:rightChars="2" w:right="4" w:firstLine="720"/>
        <w:rPr>
          <w:rFonts w:ascii="Times New Roman" w:hAnsi="Times New Roman"/>
        </w:rPr>
      </w:pPr>
      <w:r>
        <w:rPr>
          <w:rFonts w:ascii="Times New Roman" w:hint="eastAsia"/>
        </w:rPr>
        <w:t>肺容积，通气功能、运动气体代谢测定。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目的要求</w:t>
      </w:r>
    </w:p>
    <w:p w:rsidR="003717A0" w:rsidRDefault="003717A0" w:rsidP="005E20B5">
      <w:pPr>
        <w:numPr>
          <w:ilvl w:val="0"/>
          <w:numId w:val="274"/>
        </w:numPr>
        <w:adjustRightInd w:val="0"/>
        <w:snapToGrid w:val="0"/>
        <w:spacing w:beforeLines="50"/>
        <w:ind w:right="4"/>
        <w:rPr>
          <w:rFonts w:ascii="Times New Roman" w:hAnsi="Times New Roman"/>
        </w:rPr>
      </w:pPr>
      <w:r>
        <w:rPr>
          <w:rFonts w:ascii="Times New Roman" w:hAnsi="Times New Roman" w:hint="eastAsia"/>
        </w:rPr>
        <w:t>掌握心功能分级、心电运动试验。</w:t>
      </w:r>
    </w:p>
    <w:p w:rsidR="003717A0" w:rsidRDefault="003717A0" w:rsidP="005E20B5">
      <w:pPr>
        <w:numPr>
          <w:ilvl w:val="0"/>
          <w:numId w:val="274"/>
        </w:numPr>
        <w:adjustRightInd w:val="0"/>
        <w:snapToGrid w:val="0"/>
        <w:spacing w:beforeLines="50"/>
        <w:ind w:right="4"/>
        <w:rPr>
          <w:rFonts w:ascii="Times New Roman" w:hAnsi="Times New Roman"/>
        </w:rPr>
      </w:pPr>
      <w:r>
        <w:rPr>
          <w:rFonts w:ascii="Times New Roman" w:hAnsi="Times New Roman" w:hint="eastAsia"/>
        </w:rPr>
        <w:t>了解肺功能评定的目的意义。</w:t>
      </w:r>
    </w:p>
    <w:p w:rsidR="003717A0" w:rsidRDefault="003717A0" w:rsidP="005E20B5">
      <w:pPr>
        <w:numPr>
          <w:ilvl w:val="0"/>
          <w:numId w:val="274"/>
        </w:numPr>
        <w:adjustRightInd w:val="0"/>
        <w:snapToGrid w:val="0"/>
        <w:spacing w:beforeLines="50"/>
        <w:ind w:right="4"/>
        <w:rPr>
          <w:rFonts w:ascii="Times New Roman" w:hAnsi="Times New Roman"/>
        </w:rPr>
      </w:pPr>
      <w:r>
        <w:rPr>
          <w:rFonts w:ascii="Times New Roman" w:hAnsi="Times New Roman" w:hint="eastAsia"/>
        </w:rPr>
        <w:t>熟悉肺容积与肺通气功能测定、运动气体代谢测定。</w:t>
      </w:r>
      <w:r>
        <w:rPr>
          <w:rFonts w:ascii="Times New Roman" w:hAnsi="Times New Roman"/>
        </w:rPr>
        <w:t xml:space="preserve"> </w:t>
      </w:r>
    </w:p>
    <w:p w:rsidR="003717A0" w:rsidRDefault="003717A0" w:rsidP="005E20B5">
      <w:pPr>
        <w:numPr>
          <w:ilvl w:val="0"/>
          <w:numId w:val="274"/>
        </w:numPr>
        <w:adjustRightInd w:val="0"/>
        <w:snapToGrid w:val="0"/>
        <w:spacing w:beforeLines="50"/>
        <w:ind w:right="4"/>
        <w:rPr>
          <w:rFonts w:ascii="Times New Roman" w:hAnsi="Times New Roman"/>
        </w:rPr>
      </w:pPr>
      <w:r>
        <w:rPr>
          <w:rFonts w:ascii="Times New Roman" w:hAnsi="Times New Roman" w:hint="eastAsia"/>
        </w:rPr>
        <w:t>掌握呼吸困难分级。</w:t>
      </w:r>
    </w:p>
    <w:p w:rsidR="003717A0" w:rsidRDefault="003717A0" w:rsidP="005E20B5">
      <w:pPr>
        <w:adjustRightInd w:val="0"/>
        <w:snapToGrid w:val="0"/>
        <w:spacing w:beforeLines="50" w:line="360" w:lineRule="auto"/>
        <w:ind w:right="6"/>
        <w:jc w:val="center"/>
        <w:rPr>
          <w:b/>
          <w:sz w:val="22"/>
        </w:rPr>
      </w:pPr>
      <w:r>
        <w:rPr>
          <w:rFonts w:hint="eastAsia"/>
          <w:b/>
          <w:sz w:val="22"/>
        </w:rPr>
        <w:t>第五章</w:t>
      </w:r>
      <w:r>
        <w:rPr>
          <w:b/>
          <w:sz w:val="22"/>
        </w:rPr>
        <w:t xml:space="preserve">  </w:t>
      </w:r>
      <w:r>
        <w:rPr>
          <w:rFonts w:hint="eastAsia"/>
          <w:b/>
          <w:sz w:val="22"/>
        </w:rPr>
        <w:t>认知功能的评定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275"/>
        </w:numPr>
        <w:adjustRightInd w:val="0"/>
        <w:snapToGrid w:val="0"/>
        <w:spacing w:line="360" w:lineRule="auto"/>
        <w:ind w:left="0" w:rightChars="2" w:right="4" w:firstLine="720"/>
        <w:rPr>
          <w:sz w:val="21"/>
        </w:rPr>
      </w:pPr>
      <w:r>
        <w:rPr>
          <w:rFonts w:hint="eastAsia"/>
          <w:sz w:val="21"/>
        </w:rPr>
        <w:t>神经心理学的基本概念：神经心理学（</w:t>
      </w:r>
      <w:r>
        <w:rPr>
          <w:sz w:val="21"/>
        </w:rPr>
        <w:t>Neuropsychology</w:t>
      </w:r>
      <w:r>
        <w:rPr>
          <w:rFonts w:hint="eastAsia"/>
          <w:sz w:val="21"/>
        </w:rPr>
        <w:t>）定义、研究内容、临床神经心理学的评定方法；临床神经心理学评定的主要内容；神经心理学评定的类型；评定报告的书写；神经心理学评定在康复医学中的作用；神经心理学评定的注意事项。</w:t>
      </w:r>
    </w:p>
    <w:p w:rsidR="003717A0" w:rsidRDefault="003717A0">
      <w:pPr>
        <w:pStyle w:val="a8"/>
        <w:numPr>
          <w:ilvl w:val="0"/>
          <w:numId w:val="275"/>
        </w:numPr>
        <w:adjustRightInd w:val="0"/>
        <w:snapToGrid w:val="0"/>
        <w:spacing w:line="360" w:lineRule="auto"/>
        <w:ind w:left="0" w:rightChars="2" w:right="4" w:firstLine="720"/>
        <w:rPr>
          <w:sz w:val="21"/>
        </w:rPr>
      </w:pPr>
      <w:r>
        <w:rPr>
          <w:rFonts w:hint="eastAsia"/>
          <w:sz w:val="21"/>
        </w:rPr>
        <w:t>认知功能障碍的定义，认知功能障碍的内容。</w:t>
      </w:r>
    </w:p>
    <w:p w:rsidR="003717A0" w:rsidRDefault="003717A0">
      <w:pPr>
        <w:pStyle w:val="a8"/>
        <w:numPr>
          <w:ilvl w:val="0"/>
          <w:numId w:val="275"/>
        </w:numPr>
        <w:adjustRightInd w:val="0"/>
        <w:snapToGrid w:val="0"/>
        <w:spacing w:line="360" w:lineRule="auto"/>
        <w:ind w:left="0" w:rightChars="2" w:right="4" w:firstLine="720"/>
        <w:rPr>
          <w:sz w:val="21"/>
        </w:rPr>
      </w:pPr>
      <w:r>
        <w:rPr>
          <w:rFonts w:hint="eastAsia"/>
          <w:sz w:val="21"/>
        </w:rPr>
        <w:t>意识障碍评定：意识状态的初步判断、</w:t>
      </w:r>
      <w:r>
        <w:rPr>
          <w:sz w:val="21"/>
        </w:rPr>
        <w:t>Glasgow</w:t>
      </w:r>
      <w:r>
        <w:rPr>
          <w:rFonts w:hint="eastAsia"/>
          <w:sz w:val="21"/>
        </w:rPr>
        <w:t>昏迷量表，简明精神状态检查（</w:t>
      </w:r>
      <w:r>
        <w:rPr>
          <w:sz w:val="21"/>
        </w:rPr>
        <w:t>MMSE</w:t>
      </w:r>
      <w:r>
        <w:rPr>
          <w:rFonts w:hint="eastAsia"/>
          <w:sz w:val="21"/>
        </w:rPr>
        <w:t>）</w:t>
      </w:r>
    </w:p>
    <w:p w:rsidR="003717A0" w:rsidRDefault="003717A0">
      <w:pPr>
        <w:pStyle w:val="a8"/>
        <w:adjustRightInd w:val="0"/>
        <w:snapToGrid w:val="0"/>
        <w:spacing w:line="360" w:lineRule="auto"/>
        <w:ind w:left="0" w:rightChars="2" w:right="4"/>
        <w:rPr>
          <w:sz w:val="21"/>
        </w:rPr>
      </w:pPr>
      <w:r>
        <w:rPr>
          <w:rFonts w:hint="eastAsia"/>
          <w:sz w:val="21"/>
        </w:rPr>
        <w:t>认知功能筛查量表；注意力障的评定；记忆障碍的评定；知觉障碍评定；执行功能障碍的评定。</w:t>
      </w:r>
      <w:r>
        <w:rPr>
          <w:sz w:val="21"/>
        </w:rPr>
        <w:t xml:space="preserve"> </w:t>
      </w:r>
    </w:p>
    <w:p w:rsidR="003717A0" w:rsidRDefault="003717A0">
      <w:pPr>
        <w:pStyle w:val="a8"/>
        <w:numPr>
          <w:ilvl w:val="0"/>
          <w:numId w:val="275"/>
        </w:numPr>
        <w:adjustRightInd w:val="0"/>
        <w:snapToGrid w:val="0"/>
        <w:spacing w:line="360" w:lineRule="auto"/>
        <w:ind w:left="0" w:rightChars="2" w:right="4" w:firstLine="720"/>
        <w:jc w:val="both"/>
        <w:rPr>
          <w:sz w:val="21"/>
        </w:rPr>
      </w:pPr>
      <w:r>
        <w:rPr>
          <w:rFonts w:hint="eastAsia"/>
          <w:sz w:val="21"/>
        </w:rPr>
        <w:t>抑郁（</w:t>
      </w:r>
      <w:r>
        <w:rPr>
          <w:sz w:val="21"/>
        </w:rPr>
        <w:t>Depression</w:t>
      </w:r>
      <w:r>
        <w:rPr>
          <w:rFonts w:hint="eastAsia"/>
          <w:sz w:val="21"/>
        </w:rPr>
        <w:t>）、焦虑（</w:t>
      </w:r>
      <w:r>
        <w:rPr>
          <w:sz w:val="21"/>
        </w:rPr>
        <w:t>Anxiety</w:t>
      </w:r>
      <w:r>
        <w:rPr>
          <w:rFonts w:hint="eastAsia"/>
          <w:sz w:val="21"/>
        </w:rPr>
        <w:t>）。</w:t>
      </w:r>
    </w:p>
    <w:p w:rsidR="003717A0" w:rsidRDefault="003717A0">
      <w:pPr>
        <w:pStyle w:val="a8"/>
        <w:numPr>
          <w:ilvl w:val="0"/>
          <w:numId w:val="275"/>
        </w:numPr>
        <w:adjustRightInd w:val="0"/>
        <w:snapToGrid w:val="0"/>
        <w:spacing w:line="360" w:lineRule="auto"/>
        <w:ind w:left="0" w:rightChars="2" w:right="4" w:firstLine="720"/>
        <w:jc w:val="both"/>
        <w:rPr>
          <w:sz w:val="21"/>
        </w:rPr>
      </w:pPr>
      <w:r>
        <w:rPr>
          <w:rFonts w:hint="eastAsia"/>
          <w:sz w:val="21"/>
        </w:rPr>
        <w:t>抑郁量表、焦虑量表。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276"/>
        </w:numPr>
        <w:tabs>
          <w:tab w:val="clear" w:pos="1060"/>
          <w:tab w:val="left" w:pos="1260"/>
          <w:tab w:val="left" w:pos="1740"/>
        </w:tabs>
        <w:adjustRightInd w:val="0"/>
        <w:snapToGrid w:val="0"/>
        <w:spacing w:line="360" w:lineRule="auto"/>
        <w:ind w:right="4" w:hanging="340"/>
        <w:jc w:val="both"/>
        <w:rPr>
          <w:sz w:val="21"/>
        </w:rPr>
      </w:pPr>
      <w:r>
        <w:rPr>
          <w:rFonts w:hint="eastAsia"/>
          <w:sz w:val="21"/>
        </w:rPr>
        <w:t>抑郁量表。</w:t>
      </w:r>
    </w:p>
    <w:p w:rsidR="003717A0" w:rsidRDefault="003717A0">
      <w:pPr>
        <w:pStyle w:val="a8"/>
        <w:numPr>
          <w:ilvl w:val="0"/>
          <w:numId w:val="276"/>
        </w:numPr>
        <w:tabs>
          <w:tab w:val="clear" w:pos="1060"/>
          <w:tab w:val="left" w:pos="1260"/>
          <w:tab w:val="left" w:pos="1740"/>
        </w:tabs>
        <w:adjustRightInd w:val="0"/>
        <w:snapToGrid w:val="0"/>
        <w:spacing w:line="360" w:lineRule="auto"/>
        <w:ind w:right="4" w:hanging="340"/>
        <w:jc w:val="both"/>
        <w:rPr>
          <w:sz w:val="21"/>
        </w:rPr>
      </w:pPr>
      <w:r>
        <w:rPr>
          <w:rFonts w:hint="eastAsia"/>
          <w:sz w:val="21"/>
        </w:rPr>
        <w:t>焦虑量表。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1"/>
          <w:numId w:val="277"/>
        </w:numPr>
        <w:adjustRightInd w:val="0"/>
        <w:snapToGrid w:val="0"/>
        <w:spacing w:line="360" w:lineRule="auto"/>
        <w:ind w:right="4"/>
        <w:rPr>
          <w:sz w:val="21"/>
        </w:rPr>
      </w:pPr>
      <w:r>
        <w:rPr>
          <w:rFonts w:hint="eastAsia"/>
          <w:sz w:val="21"/>
        </w:rPr>
        <w:t>了解神经心理学的基本概念、临床神经心理学的评定方法、情绪情感障碍的评定。</w:t>
      </w:r>
    </w:p>
    <w:p w:rsidR="003717A0" w:rsidRDefault="003717A0">
      <w:pPr>
        <w:pStyle w:val="a8"/>
        <w:numPr>
          <w:ilvl w:val="1"/>
          <w:numId w:val="277"/>
        </w:numPr>
        <w:adjustRightInd w:val="0"/>
        <w:snapToGrid w:val="0"/>
        <w:spacing w:line="360" w:lineRule="auto"/>
        <w:ind w:right="4"/>
        <w:rPr>
          <w:sz w:val="21"/>
        </w:rPr>
      </w:pPr>
      <w:r>
        <w:rPr>
          <w:rFonts w:hint="eastAsia"/>
          <w:sz w:val="21"/>
        </w:rPr>
        <w:t>熟悉认知功能障碍的内容、注意力障碍评定、知觉障碍评定、执行功能障碍评定</w:t>
      </w:r>
      <w:r>
        <w:rPr>
          <w:sz w:val="21"/>
        </w:rPr>
        <w:t xml:space="preserve"> </w:t>
      </w:r>
      <w:r>
        <w:rPr>
          <w:rFonts w:hint="eastAsia"/>
          <w:sz w:val="21"/>
        </w:rPr>
        <w:t>掌握</w:t>
      </w:r>
    </w:p>
    <w:p w:rsidR="003717A0" w:rsidRDefault="003717A0">
      <w:pPr>
        <w:pStyle w:val="a8"/>
        <w:adjustRightInd w:val="0"/>
        <w:snapToGrid w:val="0"/>
        <w:spacing w:line="360" w:lineRule="auto"/>
        <w:ind w:right="4"/>
        <w:jc w:val="both"/>
        <w:rPr>
          <w:sz w:val="21"/>
        </w:rPr>
      </w:pPr>
      <w:r>
        <w:rPr>
          <w:rFonts w:hint="eastAsia"/>
          <w:sz w:val="21"/>
        </w:rPr>
        <w:t>意识障碍评定、</w:t>
      </w:r>
      <w:r>
        <w:rPr>
          <w:sz w:val="21"/>
        </w:rPr>
        <w:t>Glasgow</w:t>
      </w:r>
      <w:r>
        <w:rPr>
          <w:rFonts w:hint="eastAsia"/>
          <w:sz w:val="21"/>
        </w:rPr>
        <w:t>昏迷量表</w:t>
      </w:r>
      <w:r>
        <w:rPr>
          <w:sz w:val="21"/>
        </w:rPr>
        <w:t xml:space="preserve"> </w:t>
      </w:r>
      <w:r>
        <w:rPr>
          <w:rFonts w:hint="eastAsia"/>
          <w:sz w:val="21"/>
        </w:rPr>
        <w:t>、简明精神状态检查（</w:t>
      </w:r>
      <w:r>
        <w:rPr>
          <w:sz w:val="21"/>
        </w:rPr>
        <w:t>MMSE</w:t>
      </w:r>
      <w:r>
        <w:rPr>
          <w:rFonts w:hint="eastAsia"/>
          <w:sz w:val="21"/>
        </w:rPr>
        <w:t>）、认知功能筛查量表、记忆力障碍评定。</w:t>
      </w:r>
    </w:p>
    <w:p w:rsidR="003717A0" w:rsidRDefault="003717A0" w:rsidP="005E20B5">
      <w:pPr>
        <w:adjustRightInd w:val="0"/>
        <w:snapToGrid w:val="0"/>
        <w:spacing w:beforeLines="50" w:line="360" w:lineRule="auto"/>
        <w:ind w:right="6"/>
        <w:jc w:val="center"/>
        <w:rPr>
          <w:b/>
          <w:sz w:val="22"/>
        </w:rPr>
      </w:pPr>
      <w:r>
        <w:rPr>
          <w:rFonts w:hint="eastAsia"/>
          <w:b/>
          <w:sz w:val="22"/>
        </w:rPr>
        <w:lastRenderedPageBreak/>
        <w:t>第六章</w:t>
      </w:r>
      <w:r>
        <w:rPr>
          <w:b/>
          <w:sz w:val="22"/>
        </w:rPr>
        <w:t xml:space="preserve">  </w:t>
      </w:r>
      <w:r>
        <w:rPr>
          <w:rFonts w:hint="eastAsia"/>
          <w:b/>
          <w:sz w:val="22"/>
        </w:rPr>
        <w:t>言语功能的评定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278"/>
        </w:numPr>
        <w:tabs>
          <w:tab w:val="left" w:pos="720"/>
        </w:tabs>
        <w:adjustRightInd w:val="0"/>
        <w:snapToGrid w:val="0"/>
        <w:spacing w:line="360" w:lineRule="auto"/>
        <w:ind w:left="0" w:rightChars="2" w:right="4" w:firstLine="720"/>
        <w:jc w:val="both"/>
        <w:rPr>
          <w:sz w:val="21"/>
        </w:rPr>
      </w:pPr>
      <w:r>
        <w:rPr>
          <w:rFonts w:hint="eastAsia"/>
          <w:sz w:val="21"/>
        </w:rPr>
        <w:t>言语和语言的概念、言语产生的机制；语言的特征：任意性（</w:t>
      </w:r>
      <w:r>
        <w:rPr>
          <w:sz w:val="21"/>
        </w:rPr>
        <w:t>arbitrariness</w:t>
      </w:r>
      <w:r>
        <w:rPr>
          <w:rFonts w:hint="eastAsia"/>
          <w:sz w:val="21"/>
        </w:rPr>
        <w:t>）语义性（</w:t>
      </w:r>
      <w:r>
        <w:rPr>
          <w:sz w:val="21"/>
        </w:rPr>
        <w:t>semanticity</w:t>
      </w:r>
      <w:r>
        <w:rPr>
          <w:rFonts w:hint="eastAsia"/>
          <w:sz w:val="21"/>
        </w:rPr>
        <w:t>）离散性（</w:t>
      </w:r>
      <w:r>
        <w:rPr>
          <w:sz w:val="21"/>
        </w:rPr>
        <w:t>discreteness</w:t>
      </w:r>
      <w:r>
        <w:rPr>
          <w:rFonts w:hint="eastAsia"/>
          <w:sz w:val="21"/>
        </w:rPr>
        <w:t>）双重性（</w:t>
      </w:r>
      <w:r>
        <w:rPr>
          <w:sz w:val="21"/>
        </w:rPr>
        <w:t>duality of patterning</w:t>
      </w:r>
      <w:r>
        <w:rPr>
          <w:rFonts w:hint="eastAsia"/>
          <w:sz w:val="21"/>
        </w:rPr>
        <w:t>）生成性</w:t>
      </w:r>
      <w:r>
        <w:rPr>
          <w:sz w:val="21"/>
        </w:rPr>
        <w:t xml:space="preserve"> </w:t>
      </w:r>
      <w:r>
        <w:rPr>
          <w:rFonts w:hint="eastAsia"/>
          <w:sz w:val="21"/>
        </w:rPr>
        <w:t>（</w:t>
      </w:r>
      <w:r>
        <w:rPr>
          <w:sz w:val="21"/>
        </w:rPr>
        <w:t>productivity</w:t>
      </w:r>
      <w:r>
        <w:rPr>
          <w:rFonts w:hint="eastAsia"/>
          <w:sz w:val="21"/>
        </w:rPr>
        <w:t>）置换性</w:t>
      </w:r>
      <w:r>
        <w:rPr>
          <w:sz w:val="21"/>
        </w:rPr>
        <w:t xml:space="preserve"> </w:t>
      </w:r>
      <w:r>
        <w:rPr>
          <w:rFonts w:hint="eastAsia"/>
          <w:sz w:val="21"/>
        </w:rPr>
        <w:t>（</w:t>
      </w:r>
      <w:r>
        <w:rPr>
          <w:sz w:val="21"/>
        </w:rPr>
        <w:t>displacement</w:t>
      </w:r>
      <w:r>
        <w:rPr>
          <w:rFonts w:hint="eastAsia"/>
          <w:sz w:val="21"/>
        </w:rPr>
        <w:t>）。</w:t>
      </w:r>
      <w:r>
        <w:rPr>
          <w:sz w:val="21"/>
        </w:rPr>
        <w:t xml:space="preserve">  </w:t>
      </w:r>
    </w:p>
    <w:p w:rsidR="003717A0" w:rsidRDefault="003717A0">
      <w:pPr>
        <w:pStyle w:val="a8"/>
        <w:numPr>
          <w:ilvl w:val="0"/>
          <w:numId w:val="278"/>
        </w:numPr>
        <w:tabs>
          <w:tab w:val="left" w:pos="720"/>
        </w:tabs>
        <w:adjustRightInd w:val="0"/>
        <w:snapToGrid w:val="0"/>
        <w:spacing w:line="360" w:lineRule="auto"/>
        <w:ind w:left="0" w:rightChars="2" w:right="4" w:firstLine="720"/>
        <w:rPr>
          <w:sz w:val="21"/>
        </w:rPr>
      </w:pPr>
      <w:r>
        <w:rPr>
          <w:rFonts w:hint="eastAsia"/>
          <w:sz w:val="21"/>
        </w:rPr>
        <w:t>言语语言障碍筛选方法。</w:t>
      </w:r>
      <w:r>
        <w:rPr>
          <w:sz w:val="21"/>
        </w:rPr>
        <w:t xml:space="preserve"> </w:t>
      </w:r>
    </w:p>
    <w:p w:rsidR="003717A0" w:rsidRDefault="003717A0">
      <w:pPr>
        <w:pStyle w:val="a8"/>
        <w:numPr>
          <w:ilvl w:val="0"/>
          <w:numId w:val="278"/>
        </w:numPr>
        <w:tabs>
          <w:tab w:val="left" w:pos="720"/>
        </w:tabs>
        <w:adjustRightInd w:val="0"/>
        <w:snapToGrid w:val="0"/>
        <w:spacing w:line="360" w:lineRule="auto"/>
        <w:ind w:left="0" w:rightChars="2" w:right="4" w:firstLine="720"/>
        <w:jc w:val="both"/>
        <w:rPr>
          <w:sz w:val="21"/>
        </w:rPr>
      </w:pPr>
      <w:r>
        <w:rPr>
          <w:rFonts w:hint="eastAsia"/>
          <w:sz w:val="21"/>
        </w:rPr>
        <w:t>失语症评定：失语症是指神经系统的高级部位</w:t>
      </w:r>
      <w:r>
        <w:rPr>
          <w:sz w:val="21"/>
        </w:rPr>
        <w:t>-</w:t>
      </w:r>
      <w:r>
        <w:rPr>
          <w:rFonts w:hint="eastAsia"/>
          <w:sz w:val="21"/>
        </w:rPr>
        <w:t>大脑半球发生了器质性损伤，引起语言交际过程中，语言的感知辨认、理解接收、组织运用及表达等功能的某一或某几方面失调的现象，其实质是语言和思维二者双向转译机制的崩溃和中断。失语症临床表现；失语症的检查方法：北京医科大学汉语失语检查方法、北京医院汉语失语症检查法、中国康复研究中心汉语标准失语症检查、临床汉语言语测评方法；失语症的分类：国内常用的失语症分类方法；各型失语症的主要特征。</w:t>
      </w:r>
    </w:p>
    <w:p w:rsidR="003717A0" w:rsidRDefault="003717A0">
      <w:pPr>
        <w:pStyle w:val="a8"/>
        <w:numPr>
          <w:ilvl w:val="0"/>
          <w:numId w:val="278"/>
        </w:numPr>
        <w:tabs>
          <w:tab w:val="left" w:pos="720"/>
        </w:tabs>
        <w:adjustRightInd w:val="0"/>
        <w:snapToGrid w:val="0"/>
        <w:spacing w:line="360" w:lineRule="auto"/>
        <w:ind w:left="0" w:rightChars="2" w:right="4" w:firstLine="720"/>
        <w:jc w:val="both"/>
        <w:rPr>
          <w:sz w:val="21"/>
        </w:rPr>
      </w:pPr>
      <w:r>
        <w:rPr>
          <w:rFonts w:hint="eastAsia"/>
          <w:sz w:val="21"/>
        </w:rPr>
        <w:t>失写症</w:t>
      </w:r>
      <w:r>
        <w:rPr>
          <w:sz w:val="21"/>
        </w:rPr>
        <w:t xml:space="preserve"> (agraphia)</w:t>
      </w:r>
      <w:r>
        <w:rPr>
          <w:rFonts w:hint="eastAsia"/>
          <w:sz w:val="21"/>
        </w:rPr>
        <w:t>分类、特点；失读症（</w:t>
      </w:r>
      <w:r>
        <w:rPr>
          <w:sz w:val="21"/>
        </w:rPr>
        <w:t>alexia</w:t>
      </w:r>
      <w:r>
        <w:rPr>
          <w:rFonts w:hint="eastAsia"/>
          <w:sz w:val="21"/>
        </w:rPr>
        <w:t>）。</w:t>
      </w:r>
      <w:r>
        <w:rPr>
          <w:sz w:val="21"/>
        </w:rPr>
        <w:t xml:space="preserve">  </w:t>
      </w:r>
    </w:p>
    <w:p w:rsidR="003717A0" w:rsidRDefault="003717A0">
      <w:pPr>
        <w:pStyle w:val="a8"/>
        <w:numPr>
          <w:ilvl w:val="0"/>
          <w:numId w:val="278"/>
        </w:numPr>
        <w:tabs>
          <w:tab w:val="left" w:pos="720"/>
        </w:tabs>
        <w:adjustRightInd w:val="0"/>
        <w:snapToGrid w:val="0"/>
        <w:spacing w:line="360" w:lineRule="auto"/>
        <w:ind w:left="0" w:rightChars="2" w:right="4" w:firstLine="720"/>
        <w:jc w:val="both"/>
        <w:rPr>
          <w:sz w:val="21"/>
        </w:rPr>
      </w:pPr>
      <w:r>
        <w:rPr>
          <w:rFonts w:hint="eastAsia"/>
          <w:sz w:val="21"/>
        </w:rPr>
        <w:t>构音障碍的功能评定主要检查方法：中国康复研究中心构音障碍检查法、河北省人民医院构音障碍评定法。</w:t>
      </w:r>
    </w:p>
    <w:p w:rsidR="003717A0" w:rsidRDefault="003717A0">
      <w:pPr>
        <w:pStyle w:val="a8"/>
        <w:numPr>
          <w:ilvl w:val="0"/>
          <w:numId w:val="278"/>
        </w:numPr>
        <w:tabs>
          <w:tab w:val="left" w:pos="720"/>
        </w:tabs>
        <w:adjustRightInd w:val="0"/>
        <w:snapToGrid w:val="0"/>
        <w:spacing w:line="360" w:lineRule="auto"/>
        <w:ind w:left="0" w:rightChars="2" w:right="4" w:firstLine="720"/>
        <w:jc w:val="both"/>
        <w:rPr>
          <w:sz w:val="21"/>
        </w:rPr>
      </w:pPr>
      <w:r>
        <w:rPr>
          <w:rFonts w:hint="eastAsia"/>
          <w:sz w:val="21"/>
        </w:rPr>
        <w:t>儿童语言发育迟缓的评定。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279"/>
        </w:numPr>
        <w:tabs>
          <w:tab w:val="clear" w:pos="1060"/>
          <w:tab w:val="left" w:pos="1260"/>
          <w:tab w:val="left" w:pos="2160"/>
        </w:tabs>
        <w:adjustRightInd w:val="0"/>
        <w:snapToGrid w:val="0"/>
        <w:spacing w:line="360" w:lineRule="auto"/>
        <w:ind w:right="4" w:hanging="340"/>
        <w:jc w:val="both"/>
        <w:rPr>
          <w:sz w:val="21"/>
        </w:rPr>
      </w:pPr>
      <w:r>
        <w:rPr>
          <w:rFonts w:hint="eastAsia"/>
          <w:sz w:val="21"/>
        </w:rPr>
        <w:t>言语语言障碍筛选方法。</w:t>
      </w:r>
    </w:p>
    <w:p w:rsidR="003717A0" w:rsidRDefault="003717A0">
      <w:pPr>
        <w:pStyle w:val="a8"/>
        <w:numPr>
          <w:ilvl w:val="0"/>
          <w:numId w:val="279"/>
        </w:numPr>
        <w:tabs>
          <w:tab w:val="clear" w:pos="1060"/>
          <w:tab w:val="left" w:pos="1260"/>
          <w:tab w:val="left" w:pos="2160"/>
        </w:tabs>
        <w:adjustRightInd w:val="0"/>
        <w:snapToGrid w:val="0"/>
        <w:spacing w:line="360" w:lineRule="auto"/>
        <w:ind w:right="4" w:hanging="340"/>
        <w:jc w:val="both"/>
        <w:rPr>
          <w:sz w:val="21"/>
        </w:rPr>
      </w:pPr>
      <w:r>
        <w:rPr>
          <w:rFonts w:hint="eastAsia"/>
          <w:sz w:val="21"/>
        </w:rPr>
        <w:t>失语症评定。</w:t>
      </w:r>
    </w:p>
    <w:p w:rsidR="003717A0" w:rsidRDefault="003717A0">
      <w:pPr>
        <w:pStyle w:val="a8"/>
        <w:numPr>
          <w:ilvl w:val="0"/>
          <w:numId w:val="279"/>
        </w:numPr>
        <w:tabs>
          <w:tab w:val="clear" w:pos="1060"/>
          <w:tab w:val="left" w:pos="1260"/>
          <w:tab w:val="left" w:pos="2160"/>
        </w:tabs>
        <w:adjustRightInd w:val="0"/>
        <w:snapToGrid w:val="0"/>
        <w:spacing w:line="360" w:lineRule="auto"/>
        <w:ind w:right="4" w:hanging="340"/>
        <w:jc w:val="both"/>
        <w:rPr>
          <w:sz w:val="21"/>
        </w:rPr>
      </w:pPr>
      <w:r>
        <w:rPr>
          <w:rFonts w:hint="eastAsia"/>
          <w:sz w:val="21"/>
        </w:rPr>
        <w:t>构音障碍的评定。</w:t>
      </w:r>
    </w:p>
    <w:p w:rsidR="003717A0" w:rsidRDefault="003717A0">
      <w:pPr>
        <w:pStyle w:val="a8"/>
        <w:numPr>
          <w:ilvl w:val="0"/>
          <w:numId w:val="279"/>
        </w:numPr>
        <w:tabs>
          <w:tab w:val="clear" w:pos="1060"/>
          <w:tab w:val="left" w:pos="1260"/>
          <w:tab w:val="left" w:pos="2160"/>
        </w:tabs>
        <w:adjustRightInd w:val="0"/>
        <w:snapToGrid w:val="0"/>
        <w:spacing w:line="360" w:lineRule="auto"/>
        <w:ind w:right="4" w:hanging="340"/>
        <w:jc w:val="both"/>
        <w:rPr>
          <w:sz w:val="21"/>
        </w:rPr>
      </w:pPr>
      <w:r>
        <w:rPr>
          <w:rFonts w:hint="eastAsia"/>
          <w:sz w:val="21"/>
        </w:rPr>
        <w:t>儿童语言发育迟缓的评定。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rsidP="005E20B5">
      <w:pPr>
        <w:numPr>
          <w:ilvl w:val="0"/>
          <w:numId w:val="280"/>
        </w:numPr>
        <w:adjustRightInd w:val="0"/>
        <w:snapToGrid w:val="0"/>
        <w:spacing w:beforeLines="50"/>
        <w:ind w:right="6"/>
        <w:jc w:val="left"/>
        <w:rPr>
          <w:rFonts w:ascii="Times New Roman" w:hAnsi="Times New Roman"/>
          <w:szCs w:val="20"/>
        </w:rPr>
      </w:pPr>
      <w:r>
        <w:rPr>
          <w:rFonts w:ascii="Times New Roman" w:hAnsi="Times New Roman" w:hint="eastAsia"/>
          <w:szCs w:val="20"/>
        </w:rPr>
        <w:t>了解言语和语言的概念、言语产生的机制、语言的特征。</w:t>
      </w:r>
      <w:r>
        <w:rPr>
          <w:rFonts w:ascii="Times New Roman" w:hAnsi="Times New Roman"/>
          <w:szCs w:val="20"/>
        </w:rPr>
        <w:t xml:space="preserve">  </w:t>
      </w:r>
    </w:p>
    <w:p w:rsidR="003717A0" w:rsidRDefault="003717A0" w:rsidP="005E20B5">
      <w:pPr>
        <w:numPr>
          <w:ilvl w:val="0"/>
          <w:numId w:val="280"/>
        </w:numPr>
        <w:adjustRightInd w:val="0"/>
        <w:snapToGrid w:val="0"/>
        <w:spacing w:beforeLines="50"/>
        <w:ind w:right="6"/>
        <w:jc w:val="left"/>
        <w:rPr>
          <w:rFonts w:ascii="Times New Roman" w:hAnsi="Times New Roman"/>
          <w:szCs w:val="20"/>
        </w:rPr>
      </w:pPr>
      <w:r>
        <w:rPr>
          <w:rFonts w:ascii="Times New Roman" w:hAnsi="Times New Roman" w:hint="eastAsia"/>
          <w:szCs w:val="20"/>
        </w:rPr>
        <w:t>熟悉言语语言障碍的基本概念、言语语言障碍的筛选、构音障碍的评定、儿童语言发育</w:t>
      </w:r>
    </w:p>
    <w:p w:rsidR="003717A0" w:rsidRDefault="003717A0" w:rsidP="005E20B5">
      <w:pPr>
        <w:adjustRightInd w:val="0"/>
        <w:snapToGrid w:val="0"/>
        <w:spacing w:beforeLines="50"/>
        <w:ind w:right="6"/>
        <w:jc w:val="left"/>
        <w:rPr>
          <w:rFonts w:ascii="Times New Roman" w:hAnsi="Times New Roman"/>
          <w:szCs w:val="20"/>
        </w:rPr>
      </w:pPr>
      <w:r>
        <w:rPr>
          <w:rFonts w:ascii="Times New Roman" w:hAnsi="Times New Roman" w:hint="eastAsia"/>
          <w:szCs w:val="20"/>
        </w:rPr>
        <w:t>迟缓的评定。</w:t>
      </w:r>
    </w:p>
    <w:p w:rsidR="003717A0" w:rsidRDefault="003717A0" w:rsidP="005E20B5">
      <w:pPr>
        <w:numPr>
          <w:ilvl w:val="0"/>
          <w:numId w:val="281"/>
        </w:numPr>
        <w:adjustRightInd w:val="0"/>
        <w:snapToGrid w:val="0"/>
        <w:spacing w:beforeLines="50"/>
        <w:ind w:right="6"/>
        <w:jc w:val="left"/>
        <w:rPr>
          <w:rFonts w:ascii="Times New Roman" w:hAnsi="Times New Roman"/>
          <w:szCs w:val="20"/>
        </w:rPr>
      </w:pPr>
      <w:r>
        <w:rPr>
          <w:rFonts w:ascii="Times New Roman" w:hAnsi="Times New Roman"/>
          <w:szCs w:val="20"/>
        </w:rPr>
        <w:t xml:space="preserve">  </w:t>
      </w:r>
      <w:r>
        <w:rPr>
          <w:rFonts w:ascii="Times New Roman" w:hAnsi="Times New Roman" w:hint="eastAsia"/>
          <w:szCs w:val="20"/>
        </w:rPr>
        <w:t>掌握失语症评定。</w:t>
      </w:r>
    </w:p>
    <w:p w:rsidR="003717A0" w:rsidRDefault="003717A0" w:rsidP="005E20B5">
      <w:pPr>
        <w:adjustRightInd w:val="0"/>
        <w:snapToGrid w:val="0"/>
        <w:spacing w:beforeLines="50" w:line="360" w:lineRule="auto"/>
        <w:ind w:right="6"/>
        <w:jc w:val="center"/>
        <w:rPr>
          <w:b/>
          <w:sz w:val="22"/>
        </w:rPr>
      </w:pPr>
      <w:r>
        <w:rPr>
          <w:rFonts w:hint="eastAsia"/>
          <w:b/>
          <w:sz w:val="22"/>
        </w:rPr>
        <w:t>第七章</w:t>
      </w:r>
      <w:r>
        <w:rPr>
          <w:b/>
          <w:sz w:val="22"/>
        </w:rPr>
        <w:t xml:space="preserve">  </w:t>
      </w:r>
      <w:r>
        <w:rPr>
          <w:rFonts w:hint="eastAsia"/>
          <w:b/>
          <w:sz w:val="22"/>
        </w:rPr>
        <w:t>感觉功能的评定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感受器的定义和分类、感觉传导通路。</w:t>
      </w:r>
      <w:r>
        <w:rPr>
          <w:rFonts w:ascii="Times New Roman" w:hAnsi="Times New Roman"/>
          <w:szCs w:val="20"/>
        </w:rPr>
        <w:t xml:space="preserve"> </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感觉障碍的临床分类和分型：刺激性症状：感觉过敏（</w:t>
      </w:r>
      <w:r>
        <w:rPr>
          <w:rFonts w:ascii="Times New Roman" w:hAnsi="Times New Roman"/>
          <w:szCs w:val="20"/>
        </w:rPr>
        <w:t>hyperesthesia</w:t>
      </w:r>
      <w:r>
        <w:rPr>
          <w:rFonts w:ascii="Times New Roman" w:hAnsi="Times New Roman" w:hint="eastAsia"/>
          <w:szCs w:val="20"/>
        </w:rPr>
        <w:t>、感觉倒错</w:t>
      </w:r>
    </w:p>
    <w:p w:rsidR="003717A0" w:rsidRDefault="003717A0">
      <w:pPr>
        <w:adjustRightInd w:val="0"/>
        <w:snapToGrid w:val="0"/>
        <w:spacing w:line="360" w:lineRule="auto"/>
        <w:ind w:left="709" w:right="6"/>
        <w:rPr>
          <w:rFonts w:ascii="Times New Roman" w:hAnsi="Times New Roman"/>
          <w:szCs w:val="20"/>
        </w:rPr>
      </w:pPr>
      <w:r>
        <w:rPr>
          <w:rFonts w:ascii="Times New Roman" w:hAnsi="Times New Roman" w:hint="eastAsia"/>
          <w:szCs w:val="20"/>
        </w:rPr>
        <w:t>（</w:t>
      </w:r>
      <w:r>
        <w:rPr>
          <w:rFonts w:ascii="Times New Roman" w:hAnsi="Times New Roman"/>
          <w:szCs w:val="20"/>
        </w:rPr>
        <w:t>dysesthesia</w:t>
      </w:r>
      <w:r>
        <w:rPr>
          <w:rFonts w:ascii="Times New Roman" w:hAnsi="Times New Roman" w:hint="eastAsia"/>
          <w:szCs w:val="20"/>
        </w:rPr>
        <w:t>）</w:t>
      </w:r>
      <w:r>
        <w:rPr>
          <w:rFonts w:ascii="Times New Roman" w:hAnsi="Times New Roman"/>
          <w:szCs w:val="20"/>
        </w:rPr>
        <w:t xml:space="preserve"> </w:t>
      </w:r>
      <w:r>
        <w:rPr>
          <w:rFonts w:ascii="Times New Roman" w:hAnsi="Times New Roman" w:hint="eastAsia"/>
          <w:szCs w:val="20"/>
        </w:rPr>
        <w:t>、感觉过度（</w:t>
      </w:r>
      <w:r>
        <w:rPr>
          <w:rFonts w:ascii="Times New Roman" w:hAnsi="Times New Roman"/>
          <w:szCs w:val="20"/>
        </w:rPr>
        <w:t>hyperpathia</w:t>
      </w:r>
      <w:r>
        <w:rPr>
          <w:rFonts w:ascii="Times New Roman" w:hAnsi="Times New Roman" w:hint="eastAsia"/>
          <w:szCs w:val="20"/>
        </w:rPr>
        <w:t>）、感觉异常（</w:t>
      </w:r>
      <w:r>
        <w:rPr>
          <w:rFonts w:ascii="Times New Roman" w:hAnsi="Times New Roman"/>
          <w:szCs w:val="20"/>
        </w:rPr>
        <w:t>paresthesia</w:t>
      </w:r>
      <w:r>
        <w:rPr>
          <w:rFonts w:ascii="Times New Roman" w:hAnsi="Times New Roman" w:hint="eastAsia"/>
          <w:szCs w:val="20"/>
        </w:rPr>
        <w:t>）</w:t>
      </w:r>
      <w:r>
        <w:rPr>
          <w:rFonts w:ascii="Times New Roman" w:hAnsi="Times New Roman"/>
          <w:szCs w:val="20"/>
        </w:rPr>
        <w:t xml:space="preserve"> </w:t>
      </w:r>
      <w:r>
        <w:rPr>
          <w:rFonts w:ascii="Times New Roman" w:hAnsi="Times New Roman" w:hint="eastAsia"/>
          <w:szCs w:val="20"/>
        </w:rPr>
        <w:t>、感觉错位</w:t>
      </w:r>
      <w:r>
        <w:rPr>
          <w:rFonts w:ascii="Times New Roman" w:hAnsi="Times New Roman"/>
          <w:szCs w:val="20"/>
        </w:rPr>
        <w:t xml:space="preserve"> </w:t>
      </w:r>
      <w:r>
        <w:rPr>
          <w:rFonts w:ascii="Times New Roman" w:hAnsi="Times New Roman" w:hint="eastAsia"/>
          <w:szCs w:val="20"/>
        </w:rPr>
        <w:t>（</w:t>
      </w:r>
      <w:r>
        <w:rPr>
          <w:rFonts w:ascii="Times New Roman" w:hAnsi="Times New Roman"/>
          <w:szCs w:val="20"/>
        </w:rPr>
        <w:t>alloesthesia</w:t>
      </w:r>
      <w:r>
        <w:rPr>
          <w:rFonts w:ascii="Times New Roman" w:hAnsi="Times New Roman" w:hint="eastAsia"/>
          <w:szCs w:val="20"/>
        </w:rPr>
        <w:t>）、</w:t>
      </w:r>
    </w:p>
    <w:p w:rsidR="003717A0" w:rsidRDefault="003717A0">
      <w:pPr>
        <w:adjustRightInd w:val="0"/>
        <w:snapToGrid w:val="0"/>
        <w:spacing w:line="360" w:lineRule="auto"/>
        <w:ind w:right="6"/>
        <w:rPr>
          <w:rFonts w:ascii="Times New Roman" w:hAnsi="Times New Roman"/>
          <w:szCs w:val="20"/>
        </w:rPr>
      </w:pPr>
      <w:r>
        <w:rPr>
          <w:rFonts w:ascii="Times New Roman" w:hAnsi="Times New Roman" w:hint="eastAsia"/>
          <w:szCs w:val="20"/>
        </w:rPr>
        <w:t>疼痛（</w:t>
      </w:r>
      <w:r>
        <w:rPr>
          <w:rFonts w:ascii="Times New Roman" w:hAnsi="Times New Roman"/>
          <w:szCs w:val="20"/>
        </w:rPr>
        <w:t>pain</w:t>
      </w:r>
      <w:r>
        <w:rPr>
          <w:rFonts w:ascii="Times New Roman" w:hAnsi="Times New Roman" w:hint="eastAsia"/>
          <w:szCs w:val="20"/>
        </w:rPr>
        <w:t>）；</w:t>
      </w:r>
      <w:r>
        <w:rPr>
          <w:rFonts w:ascii="Times New Roman" w:hAnsi="Times New Roman"/>
          <w:szCs w:val="20"/>
        </w:rPr>
        <w:t xml:space="preserve">  </w:t>
      </w:r>
      <w:r>
        <w:rPr>
          <w:rFonts w:ascii="Times New Roman" w:hAnsi="Times New Roman" w:hint="eastAsia"/>
          <w:szCs w:val="20"/>
        </w:rPr>
        <w:t>抑制性症状：感觉缺失（</w:t>
      </w:r>
      <w:r>
        <w:rPr>
          <w:rFonts w:ascii="Times New Roman" w:hAnsi="Times New Roman"/>
          <w:szCs w:val="20"/>
        </w:rPr>
        <w:t>anesthesia</w:t>
      </w:r>
      <w:r>
        <w:rPr>
          <w:rFonts w:ascii="Times New Roman" w:hAnsi="Times New Roman" w:hint="eastAsia"/>
          <w:szCs w:val="20"/>
        </w:rPr>
        <w:t>）、感觉减退（</w:t>
      </w:r>
      <w:r>
        <w:rPr>
          <w:rFonts w:ascii="Times New Roman" w:hAnsi="Times New Roman"/>
          <w:szCs w:val="20"/>
        </w:rPr>
        <w:t>hypoesthesia</w:t>
      </w:r>
      <w:r>
        <w:rPr>
          <w:rFonts w:ascii="Times New Roman" w:hAnsi="Times New Roman" w:hint="eastAsia"/>
          <w:szCs w:val="20"/>
        </w:rPr>
        <w:t>）。</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感觉障碍的分型及特点。</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躯体感觉的检查和评定的评定设备、感觉评定适应证及禁忌证。</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lastRenderedPageBreak/>
        <w:t>躯体感觉的检查和评定的评定方法、注意事项。</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疼痛的分类：</w:t>
      </w:r>
      <w:r>
        <w:rPr>
          <w:rFonts w:ascii="Times New Roman" w:hAnsi="Times New Roman"/>
          <w:szCs w:val="20"/>
        </w:rPr>
        <w:t>ICF</w:t>
      </w:r>
      <w:r>
        <w:rPr>
          <w:rFonts w:ascii="Times New Roman" w:hAnsi="Times New Roman" w:hint="eastAsia"/>
          <w:szCs w:val="20"/>
        </w:rPr>
        <w:t>国际功能、残疾和健康分类：</w:t>
      </w:r>
      <w:r>
        <w:rPr>
          <w:rFonts w:ascii="Times New Roman" w:hAnsi="Times New Roman"/>
          <w:szCs w:val="20"/>
        </w:rPr>
        <w:t>1</w:t>
      </w:r>
      <w:r>
        <w:rPr>
          <w:rFonts w:ascii="Times New Roman" w:hAnsi="Times New Roman" w:hint="eastAsia"/>
          <w:szCs w:val="20"/>
        </w:rPr>
        <w:t>）全身性疼痛，</w:t>
      </w:r>
      <w:r>
        <w:rPr>
          <w:rFonts w:ascii="Times New Roman" w:hAnsi="Times New Roman"/>
          <w:szCs w:val="20"/>
        </w:rPr>
        <w:t>2</w:t>
      </w:r>
      <w:r>
        <w:rPr>
          <w:rFonts w:ascii="Times New Roman" w:hAnsi="Times New Roman" w:hint="eastAsia"/>
          <w:szCs w:val="20"/>
        </w:rPr>
        <w:t>）身体单一部位疼痛：</w:t>
      </w:r>
    </w:p>
    <w:p w:rsidR="003717A0" w:rsidRDefault="003717A0">
      <w:pPr>
        <w:adjustRightInd w:val="0"/>
        <w:snapToGrid w:val="0"/>
        <w:spacing w:line="360" w:lineRule="auto"/>
        <w:ind w:right="6"/>
        <w:rPr>
          <w:rFonts w:ascii="Times New Roman" w:hAnsi="Times New Roman"/>
          <w:szCs w:val="20"/>
        </w:rPr>
      </w:pPr>
      <w:r>
        <w:rPr>
          <w:rFonts w:ascii="Times New Roman" w:hAnsi="Times New Roman" w:hint="eastAsia"/>
          <w:szCs w:val="20"/>
        </w:rPr>
        <w:t>包括头和颈部疼痛、胸部疼痛、胃和腹部疼痛、背部疼痛、上肢疼痛、下肢疼痛、关节疼痛、其他特指的身体单一部位疼痛、身体单一部位疼痛未特指，</w:t>
      </w:r>
      <w:r>
        <w:rPr>
          <w:rFonts w:ascii="Times New Roman" w:hAnsi="Times New Roman"/>
          <w:szCs w:val="20"/>
        </w:rPr>
        <w:t>3</w:t>
      </w:r>
      <w:r>
        <w:rPr>
          <w:rFonts w:ascii="Times New Roman" w:hAnsi="Times New Roman" w:hint="eastAsia"/>
          <w:szCs w:val="20"/>
        </w:rPr>
        <w:t>）身体多部位疼痛，</w:t>
      </w:r>
      <w:r>
        <w:rPr>
          <w:rFonts w:ascii="Times New Roman" w:hAnsi="Times New Roman"/>
          <w:szCs w:val="20"/>
        </w:rPr>
        <w:t>4</w:t>
      </w:r>
      <w:r>
        <w:rPr>
          <w:rFonts w:ascii="Times New Roman" w:hAnsi="Times New Roman" w:hint="eastAsia"/>
          <w:szCs w:val="20"/>
        </w:rPr>
        <w:t>）生皮节段辐射状疼痛，</w:t>
      </w:r>
      <w:r>
        <w:rPr>
          <w:rFonts w:ascii="Times New Roman" w:hAnsi="Times New Roman"/>
          <w:szCs w:val="20"/>
        </w:rPr>
        <w:t>5</w:t>
      </w:r>
      <w:r>
        <w:rPr>
          <w:rFonts w:ascii="Times New Roman" w:hAnsi="Times New Roman" w:hint="eastAsia"/>
          <w:szCs w:val="20"/>
        </w:rPr>
        <w:t>）节段或区域上辐射状疼痛，</w:t>
      </w:r>
      <w:r>
        <w:rPr>
          <w:rFonts w:ascii="Times New Roman" w:hAnsi="Times New Roman"/>
          <w:szCs w:val="20"/>
        </w:rPr>
        <w:t>6</w:t>
      </w:r>
      <w:r>
        <w:rPr>
          <w:rFonts w:ascii="Times New Roman" w:hAnsi="Times New Roman" w:hint="eastAsia"/>
          <w:szCs w:val="20"/>
        </w:rPr>
        <w:t>）其他特指或未特指的痛觉，</w:t>
      </w:r>
      <w:r>
        <w:rPr>
          <w:rFonts w:ascii="Times New Roman" w:hAnsi="Times New Roman"/>
          <w:szCs w:val="20"/>
        </w:rPr>
        <w:t>7</w:t>
      </w:r>
      <w:r>
        <w:rPr>
          <w:rFonts w:ascii="Times New Roman" w:hAnsi="Times New Roman" w:hint="eastAsia"/>
          <w:szCs w:val="20"/>
        </w:rPr>
        <w:t>）其他特指的感觉功能和疼痛，</w:t>
      </w:r>
      <w:r>
        <w:rPr>
          <w:rFonts w:ascii="Times New Roman" w:hAnsi="Times New Roman"/>
          <w:szCs w:val="20"/>
        </w:rPr>
        <w:t>8</w:t>
      </w:r>
      <w:r>
        <w:rPr>
          <w:rFonts w:ascii="Times New Roman" w:hAnsi="Times New Roman" w:hint="eastAsia"/>
          <w:szCs w:val="20"/>
        </w:rPr>
        <w:t>）感觉功能和疼痛未特指其他特指的身体单一部位疼痛；根据临床症状疼痛分类：</w:t>
      </w:r>
      <w:r>
        <w:rPr>
          <w:rFonts w:ascii="Times New Roman" w:hAnsi="Times New Roman"/>
          <w:szCs w:val="20"/>
        </w:rPr>
        <w:t>1</w:t>
      </w:r>
      <w:r>
        <w:rPr>
          <w:rFonts w:ascii="Times New Roman" w:hAnsi="Times New Roman" w:hint="eastAsia"/>
          <w:szCs w:val="20"/>
        </w:rPr>
        <w:t>）中枢性疼痛</w:t>
      </w:r>
      <w:r>
        <w:rPr>
          <w:rFonts w:ascii="Times New Roman" w:hAnsi="Times New Roman"/>
          <w:szCs w:val="20"/>
        </w:rPr>
        <w:t xml:space="preserve">  </w:t>
      </w:r>
      <w:r>
        <w:rPr>
          <w:rFonts w:ascii="Times New Roman" w:hAnsi="Times New Roman" w:hint="eastAsia"/>
          <w:szCs w:val="20"/>
        </w:rPr>
        <w:t>例如丘脑综合症、幻肢痛，</w:t>
      </w:r>
      <w:r>
        <w:rPr>
          <w:rFonts w:ascii="Times New Roman" w:hAnsi="Times New Roman"/>
          <w:szCs w:val="20"/>
        </w:rPr>
        <w:t>2</w:t>
      </w:r>
      <w:r>
        <w:rPr>
          <w:rFonts w:ascii="Times New Roman" w:hAnsi="Times New Roman" w:hint="eastAsia"/>
          <w:szCs w:val="20"/>
        </w:rPr>
        <w:t>）外周性疼痛（</w:t>
      </w:r>
      <w:r>
        <w:rPr>
          <w:rFonts w:ascii="Times New Roman" w:hAnsi="Times New Roman"/>
          <w:szCs w:val="20"/>
        </w:rPr>
        <w:t>1</w:t>
      </w:r>
      <w:r>
        <w:rPr>
          <w:rFonts w:ascii="Times New Roman" w:hAnsi="Times New Roman" w:hint="eastAsia"/>
          <w:szCs w:val="20"/>
        </w:rPr>
        <w:t>）内脏痛：胆囊炎、胆结石、肾结石、消化性溃疡、冠心病等；（</w:t>
      </w:r>
      <w:r>
        <w:rPr>
          <w:rFonts w:ascii="Times New Roman" w:hAnsi="Times New Roman"/>
          <w:szCs w:val="20"/>
        </w:rPr>
        <w:t>2</w:t>
      </w:r>
      <w:r>
        <w:rPr>
          <w:rFonts w:ascii="Times New Roman" w:hAnsi="Times New Roman" w:hint="eastAsia"/>
          <w:szCs w:val="20"/>
        </w:rPr>
        <w:t>）躯体痛：深部肌肉、骨、关节、结締组织的疼痛以及浅部的各种皮肤疼痛等，</w:t>
      </w:r>
      <w:r>
        <w:rPr>
          <w:rFonts w:ascii="Times New Roman" w:hAnsi="Times New Roman"/>
          <w:szCs w:val="20"/>
        </w:rPr>
        <w:t>3</w:t>
      </w:r>
      <w:r>
        <w:rPr>
          <w:rFonts w:ascii="Times New Roman" w:hAnsi="Times New Roman" w:hint="eastAsia"/>
          <w:szCs w:val="20"/>
        </w:rPr>
        <w:t>）心因性疼痛</w:t>
      </w:r>
      <w:r>
        <w:rPr>
          <w:rFonts w:ascii="Times New Roman" w:hAnsi="Times New Roman"/>
          <w:szCs w:val="20"/>
        </w:rPr>
        <w:t xml:space="preserve">  </w:t>
      </w:r>
      <w:r>
        <w:rPr>
          <w:rFonts w:ascii="Times New Roman" w:hAnsi="Times New Roman" w:hint="eastAsia"/>
          <w:szCs w:val="20"/>
        </w:rPr>
        <w:t>癔病性疼痛、精神性疼痛；根据疼痛的持续时间分类：</w:t>
      </w:r>
      <w:r>
        <w:rPr>
          <w:rFonts w:ascii="Times New Roman" w:hAnsi="Times New Roman"/>
          <w:szCs w:val="20"/>
        </w:rPr>
        <w:t>1</w:t>
      </w:r>
      <w:r>
        <w:rPr>
          <w:rFonts w:ascii="Times New Roman" w:hAnsi="Times New Roman" w:hint="eastAsia"/>
          <w:szCs w:val="20"/>
        </w:rPr>
        <w:t>）急性疼痛：</w:t>
      </w:r>
      <w:r>
        <w:rPr>
          <w:rFonts w:ascii="Times New Roman" w:hAnsi="Times New Roman"/>
          <w:szCs w:val="20"/>
        </w:rPr>
        <w:t>1</w:t>
      </w:r>
      <w:r>
        <w:rPr>
          <w:rFonts w:ascii="Times New Roman" w:hAnsi="Times New Roman" w:hint="eastAsia"/>
          <w:szCs w:val="20"/>
        </w:rPr>
        <w:t>个月以内。</w:t>
      </w:r>
      <w:r>
        <w:rPr>
          <w:rFonts w:ascii="Times New Roman" w:hAnsi="Times New Roman"/>
          <w:szCs w:val="20"/>
        </w:rPr>
        <w:t>2</w:t>
      </w:r>
      <w:r>
        <w:rPr>
          <w:rFonts w:ascii="Times New Roman" w:hAnsi="Times New Roman" w:hint="eastAsia"/>
          <w:szCs w:val="20"/>
        </w:rPr>
        <w:t>）慢性疼痛：</w:t>
      </w:r>
      <w:r>
        <w:rPr>
          <w:rFonts w:ascii="Times New Roman" w:hAnsi="Times New Roman"/>
          <w:szCs w:val="20"/>
        </w:rPr>
        <w:t>6</w:t>
      </w:r>
      <w:r>
        <w:rPr>
          <w:rFonts w:ascii="Times New Roman" w:hAnsi="Times New Roman" w:hint="eastAsia"/>
          <w:szCs w:val="20"/>
        </w:rPr>
        <w:t>个月以上。</w:t>
      </w:r>
      <w:r>
        <w:rPr>
          <w:rFonts w:ascii="Times New Roman" w:hAnsi="Times New Roman"/>
          <w:szCs w:val="20"/>
        </w:rPr>
        <w:t>3</w:t>
      </w:r>
      <w:r>
        <w:rPr>
          <w:rFonts w:ascii="Times New Roman" w:hAnsi="Times New Roman" w:hint="eastAsia"/>
          <w:szCs w:val="20"/>
        </w:rPr>
        <w:t>）亚急性疼痛：介于急性疼痛和慢性疼痛之间约</w:t>
      </w:r>
      <w:r>
        <w:rPr>
          <w:rFonts w:ascii="Times New Roman" w:hAnsi="Times New Roman"/>
          <w:szCs w:val="20"/>
        </w:rPr>
        <w:t>3</w:t>
      </w:r>
      <w:r>
        <w:rPr>
          <w:rFonts w:ascii="Times New Roman" w:hAnsi="Times New Roman" w:hint="eastAsia"/>
          <w:szCs w:val="20"/>
        </w:rPr>
        <w:t>个月。</w:t>
      </w:r>
      <w:r>
        <w:rPr>
          <w:rFonts w:ascii="Times New Roman" w:hAnsi="Times New Roman"/>
          <w:szCs w:val="20"/>
        </w:rPr>
        <w:t>4</w:t>
      </w:r>
      <w:r>
        <w:rPr>
          <w:rFonts w:ascii="Times New Roman" w:hAnsi="Times New Roman" w:hint="eastAsia"/>
          <w:szCs w:val="20"/>
        </w:rPr>
        <w:t>）再发性急性疼痛：数月或数年中不连续的有限的急性发作。</w:t>
      </w:r>
      <w:r>
        <w:rPr>
          <w:rFonts w:ascii="Times New Roman" w:hAnsi="Times New Roman"/>
          <w:szCs w:val="20"/>
        </w:rPr>
        <w:t xml:space="preserve">  </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疼痛的常用的评定方法：压力测痛法、</w:t>
      </w:r>
      <w:r>
        <w:rPr>
          <w:rFonts w:ascii="Times New Roman" w:hAnsi="Times New Roman"/>
          <w:szCs w:val="20"/>
        </w:rPr>
        <w:t>45</w:t>
      </w:r>
      <w:r>
        <w:rPr>
          <w:rFonts w:ascii="Times New Roman" w:hAnsi="Times New Roman" w:hint="eastAsia"/>
          <w:szCs w:val="20"/>
        </w:rPr>
        <w:t>区体表面积评分法、、视觉模拟评分（</w:t>
      </w:r>
      <w:r>
        <w:rPr>
          <w:rFonts w:ascii="Times New Roman" w:hAnsi="Times New Roman"/>
          <w:szCs w:val="20"/>
        </w:rPr>
        <w:t>VAS</w:t>
      </w:r>
      <w:r>
        <w:rPr>
          <w:rFonts w:ascii="Times New Roman" w:hAnsi="Times New Roman" w:hint="eastAsia"/>
          <w:szCs w:val="20"/>
        </w:rPr>
        <w:t>）、</w:t>
      </w:r>
    </w:p>
    <w:p w:rsidR="003717A0" w:rsidRDefault="003717A0">
      <w:pPr>
        <w:adjustRightInd w:val="0"/>
        <w:snapToGrid w:val="0"/>
        <w:spacing w:line="360" w:lineRule="auto"/>
        <w:ind w:right="6"/>
        <w:rPr>
          <w:rFonts w:ascii="Times New Roman" w:hAnsi="Times New Roman"/>
          <w:szCs w:val="20"/>
        </w:rPr>
      </w:pPr>
      <w:r>
        <w:rPr>
          <w:rFonts w:ascii="Times New Roman" w:hAnsi="Times New Roman" w:hint="eastAsia"/>
          <w:szCs w:val="20"/>
        </w:rPr>
        <w:t>口述分级评分法（</w:t>
      </w:r>
      <w:r>
        <w:rPr>
          <w:rFonts w:ascii="Times New Roman" w:hAnsi="Times New Roman"/>
          <w:szCs w:val="20"/>
        </w:rPr>
        <w:t>VRS</w:t>
      </w:r>
      <w:r>
        <w:rPr>
          <w:rFonts w:ascii="Times New Roman" w:hAnsi="Times New Roman" w:hint="eastAsia"/>
          <w:szCs w:val="20"/>
        </w:rPr>
        <w:t>、简化</w:t>
      </w:r>
      <w:r>
        <w:rPr>
          <w:rFonts w:ascii="Times New Roman" w:hAnsi="Times New Roman"/>
          <w:szCs w:val="20"/>
        </w:rPr>
        <w:t>McGill</w:t>
      </w:r>
      <w:r>
        <w:rPr>
          <w:rFonts w:ascii="Times New Roman" w:hAnsi="Times New Roman" w:hint="eastAsia"/>
          <w:szCs w:val="20"/>
        </w:rPr>
        <w:t>疼痛问卷（</w:t>
      </w:r>
      <w:r>
        <w:rPr>
          <w:rFonts w:ascii="Times New Roman" w:hAnsi="Times New Roman"/>
          <w:szCs w:val="20"/>
        </w:rPr>
        <w:t>SF-MPQ</w:t>
      </w:r>
      <w:r>
        <w:rPr>
          <w:rFonts w:ascii="Times New Roman" w:hAnsi="Times New Roman" w:hint="eastAsia"/>
          <w:szCs w:val="20"/>
        </w:rPr>
        <w:t>）、疼痛日记评定法、</w:t>
      </w:r>
      <w:r>
        <w:rPr>
          <w:rFonts w:ascii="Times New Roman" w:hAnsi="Times New Roman"/>
          <w:szCs w:val="20"/>
        </w:rPr>
        <w:t>Oswestry</w:t>
      </w:r>
      <w:r>
        <w:rPr>
          <w:rFonts w:ascii="Times New Roman" w:hAnsi="Times New Roman" w:hint="eastAsia"/>
          <w:szCs w:val="20"/>
        </w:rPr>
        <w:t>功能障碍指数、疼痛行为记录评定、小儿疼痛的评定。</w:t>
      </w:r>
      <w:r>
        <w:rPr>
          <w:rFonts w:ascii="Times New Roman" w:hAnsi="Times New Roman"/>
          <w:szCs w:val="20"/>
        </w:rPr>
        <w:t xml:space="preserve">      </w:t>
      </w:r>
    </w:p>
    <w:p w:rsidR="003717A0" w:rsidRDefault="003717A0">
      <w:pPr>
        <w:numPr>
          <w:ilvl w:val="0"/>
          <w:numId w:val="282"/>
        </w:numPr>
        <w:adjustRightInd w:val="0"/>
        <w:snapToGrid w:val="0"/>
        <w:spacing w:line="360" w:lineRule="auto"/>
        <w:ind w:right="6"/>
        <w:rPr>
          <w:rFonts w:ascii="Times New Roman" w:hAnsi="Times New Roman"/>
          <w:szCs w:val="20"/>
        </w:rPr>
      </w:pPr>
      <w:r>
        <w:rPr>
          <w:rFonts w:ascii="Times New Roman" w:hAnsi="Times New Roman" w:hint="eastAsia"/>
          <w:szCs w:val="20"/>
        </w:rPr>
        <w:t>儿童听力评估和测试、视功能诊断和评定方法</w:t>
      </w:r>
    </w:p>
    <w:p w:rsidR="003717A0" w:rsidRDefault="003717A0">
      <w:pPr>
        <w:adjustRightInd w:val="0"/>
        <w:snapToGrid w:val="0"/>
        <w:spacing w:line="360" w:lineRule="auto"/>
        <w:ind w:left="420" w:right="6"/>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283"/>
        </w:numPr>
        <w:adjustRightInd w:val="0"/>
        <w:snapToGrid w:val="0"/>
        <w:spacing w:line="360" w:lineRule="auto"/>
        <w:ind w:right="4"/>
        <w:jc w:val="both"/>
        <w:rPr>
          <w:sz w:val="21"/>
        </w:rPr>
      </w:pPr>
      <w:r>
        <w:rPr>
          <w:rFonts w:hint="eastAsia"/>
          <w:sz w:val="21"/>
        </w:rPr>
        <w:t>感觉障碍的评定方法。</w:t>
      </w:r>
    </w:p>
    <w:p w:rsidR="003717A0" w:rsidRDefault="003717A0">
      <w:pPr>
        <w:pStyle w:val="a8"/>
        <w:numPr>
          <w:ilvl w:val="0"/>
          <w:numId w:val="283"/>
        </w:numPr>
        <w:adjustRightInd w:val="0"/>
        <w:snapToGrid w:val="0"/>
        <w:spacing w:line="360" w:lineRule="auto"/>
        <w:ind w:right="4" w:hanging="340"/>
        <w:jc w:val="both"/>
        <w:rPr>
          <w:sz w:val="21"/>
        </w:rPr>
      </w:pPr>
      <w:r>
        <w:rPr>
          <w:rFonts w:hint="eastAsia"/>
          <w:sz w:val="21"/>
        </w:rPr>
        <w:t>疼痛的评定方法。</w:t>
      </w:r>
    </w:p>
    <w:p w:rsidR="003717A0" w:rsidRDefault="003717A0">
      <w:pPr>
        <w:pStyle w:val="a8"/>
        <w:numPr>
          <w:ilvl w:val="0"/>
          <w:numId w:val="283"/>
        </w:numPr>
        <w:adjustRightInd w:val="0"/>
        <w:snapToGrid w:val="0"/>
        <w:spacing w:line="360" w:lineRule="auto"/>
        <w:ind w:right="4" w:hanging="340"/>
        <w:jc w:val="both"/>
        <w:rPr>
          <w:sz w:val="21"/>
        </w:rPr>
      </w:pPr>
      <w:r>
        <w:rPr>
          <w:rFonts w:hint="eastAsia"/>
          <w:sz w:val="21"/>
        </w:rPr>
        <w:t>感觉障碍的定位诊断。</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84"/>
        </w:numPr>
        <w:adjustRightInd w:val="0"/>
        <w:snapToGrid w:val="0"/>
        <w:spacing w:line="360" w:lineRule="auto"/>
        <w:ind w:right="4" w:hanging="340"/>
        <w:jc w:val="both"/>
        <w:rPr>
          <w:sz w:val="21"/>
        </w:rPr>
      </w:pPr>
      <w:r>
        <w:rPr>
          <w:rFonts w:hint="eastAsia"/>
          <w:sz w:val="21"/>
        </w:rPr>
        <w:t>了解感觉的解剖及生理学基础、儿童听力评估和测试、视功能诊断和评定方法。</w:t>
      </w:r>
      <w:r>
        <w:rPr>
          <w:sz w:val="21"/>
        </w:rPr>
        <w:t xml:space="preserve"> </w:t>
      </w:r>
    </w:p>
    <w:p w:rsidR="003717A0" w:rsidRDefault="003717A0">
      <w:pPr>
        <w:pStyle w:val="a8"/>
        <w:numPr>
          <w:ilvl w:val="0"/>
          <w:numId w:val="284"/>
        </w:numPr>
        <w:adjustRightInd w:val="0"/>
        <w:snapToGrid w:val="0"/>
        <w:spacing w:line="360" w:lineRule="auto"/>
        <w:ind w:right="4" w:hanging="340"/>
        <w:jc w:val="both"/>
        <w:rPr>
          <w:sz w:val="21"/>
        </w:rPr>
      </w:pPr>
      <w:r>
        <w:rPr>
          <w:rFonts w:hint="eastAsia"/>
          <w:sz w:val="21"/>
        </w:rPr>
        <w:t>熟悉感觉障碍的临床分类和分型、躯体感觉的检查和评定。</w:t>
      </w:r>
    </w:p>
    <w:p w:rsidR="003717A0" w:rsidRDefault="003717A0">
      <w:pPr>
        <w:pStyle w:val="a8"/>
        <w:numPr>
          <w:ilvl w:val="0"/>
          <w:numId w:val="284"/>
        </w:numPr>
        <w:adjustRightInd w:val="0"/>
        <w:snapToGrid w:val="0"/>
        <w:spacing w:line="360" w:lineRule="auto"/>
        <w:ind w:right="4" w:hanging="340"/>
        <w:jc w:val="both"/>
        <w:rPr>
          <w:sz w:val="21"/>
        </w:rPr>
      </w:pPr>
      <w:r>
        <w:rPr>
          <w:rFonts w:hint="eastAsia"/>
          <w:sz w:val="21"/>
        </w:rPr>
        <w:t>掌握疼痛的评定。</w:t>
      </w:r>
    </w:p>
    <w:p w:rsidR="003717A0" w:rsidRDefault="003717A0" w:rsidP="005E20B5">
      <w:pPr>
        <w:adjustRightInd w:val="0"/>
        <w:snapToGrid w:val="0"/>
        <w:spacing w:beforeLines="50" w:line="360" w:lineRule="auto"/>
        <w:ind w:right="6"/>
        <w:jc w:val="center"/>
        <w:rPr>
          <w:b/>
          <w:sz w:val="22"/>
        </w:rPr>
      </w:pPr>
      <w:r>
        <w:rPr>
          <w:rFonts w:hint="eastAsia"/>
          <w:b/>
          <w:sz w:val="22"/>
        </w:rPr>
        <w:t>第八章</w:t>
      </w:r>
      <w:r>
        <w:rPr>
          <w:b/>
          <w:sz w:val="22"/>
        </w:rPr>
        <w:t xml:space="preserve">  </w:t>
      </w:r>
      <w:r>
        <w:rPr>
          <w:rFonts w:hint="eastAsia"/>
          <w:b/>
          <w:sz w:val="22"/>
        </w:rPr>
        <w:t>肌张力的评定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t>肌张力（</w:t>
      </w:r>
      <w:r>
        <w:rPr>
          <w:rFonts w:ascii="Times New Roman"/>
        </w:rPr>
        <w:t>muscle tone</w:t>
      </w:r>
      <w:r>
        <w:rPr>
          <w:rFonts w:ascii="Times New Roman" w:hint="eastAsia"/>
        </w:rPr>
        <w:t>）是指人体在安静休息的情况下，肌肉保持一定紧张状态的能力。</w:t>
      </w:r>
    </w:p>
    <w:p w:rsidR="003717A0" w:rsidRDefault="003717A0">
      <w:pPr>
        <w:adjustRightInd w:val="0"/>
        <w:snapToGrid w:val="0"/>
        <w:spacing w:line="360" w:lineRule="auto"/>
        <w:ind w:rightChars="2" w:right="4"/>
        <w:rPr>
          <w:rFonts w:ascii="Times New Roman"/>
        </w:rPr>
      </w:pPr>
      <w:r>
        <w:rPr>
          <w:rFonts w:ascii="Times New Roman" w:hint="eastAsia"/>
        </w:rPr>
        <w:t>必要的肌张力是维持肢体位置，支撑体重所必需的；是保证肢体运动制控能力，空间位置，进行各种复杂运动所必要的条件。</w:t>
      </w:r>
      <w:r>
        <w:rPr>
          <w:rFonts w:ascii="Times New Roman"/>
        </w:rPr>
        <w:t xml:space="preserve"> </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t>肌张力分类：</w:t>
      </w:r>
      <w:r>
        <w:rPr>
          <w:rFonts w:ascii="Times New Roman"/>
        </w:rPr>
        <w:t xml:space="preserve">  1</w:t>
      </w:r>
      <w:r>
        <w:rPr>
          <w:rFonts w:ascii="Times New Roman" w:hint="eastAsia"/>
        </w:rPr>
        <w:t>）正常肌张力分类：静止性肌张力、姿势性肌张力、运动性肌张力；</w:t>
      </w:r>
      <w:r>
        <w:rPr>
          <w:rFonts w:ascii="Times New Roman"/>
        </w:rPr>
        <w:t xml:space="preserve">   2</w:t>
      </w:r>
      <w:r>
        <w:rPr>
          <w:rFonts w:ascii="Times New Roman" w:hint="eastAsia"/>
        </w:rPr>
        <w:t>）</w:t>
      </w:r>
    </w:p>
    <w:p w:rsidR="003717A0" w:rsidRDefault="003717A0">
      <w:pPr>
        <w:adjustRightInd w:val="0"/>
        <w:snapToGrid w:val="0"/>
        <w:spacing w:line="360" w:lineRule="auto"/>
        <w:ind w:rightChars="2" w:right="4"/>
        <w:rPr>
          <w:rFonts w:ascii="Times New Roman"/>
        </w:rPr>
      </w:pPr>
      <w:r>
        <w:rPr>
          <w:rFonts w:ascii="Times New Roman" w:hint="eastAsia"/>
        </w:rPr>
        <w:t>异常肌张力分类：肌张力减低（迟缓）、肌张力增高（痉挛）、肌张力障碍。</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t>正常肌张力的特征。</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t>影响肌张力的因素。</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t>常见的肌张力异常：痉挛、僵硬、肌张力障碍、肌张力驰缓。</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t>肌张力的检查方法：</w:t>
      </w:r>
      <w:r>
        <w:rPr>
          <w:rFonts w:ascii="Times New Roman"/>
        </w:rPr>
        <w:t xml:space="preserve"> </w:t>
      </w:r>
      <w:r>
        <w:rPr>
          <w:rFonts w:ascii="Times New Roman" w:hint="eastAsia"/>
        </w:rPr>
        <w:t>肌张力降低、肌张力增高、影响肌张力异常临床检查的因素。</w:t>
      </w:r>
    </w:p>
    <w:p w:rsidR="003717A0" w:rsidRDefault="003717A0">
      <w:pPr>
        <w:numPr>
          <w:ilvl w:val="0"/>
          <w:numId w:val="285"/>
        </w:numPr>
        <w:adjustRightInd w:val="0"/>
        <w:snapToGrid w:val="0"/>
        <w:spacing w:line="360" w:lineRule="auto"/>
        <w:ind w:rightChars="2" w:right="4"/>
        <w:rPr>
          <w:rFonts w:ascii="Times New Roman"/>
        </w:rPr>
      </w:pPr>
      <w:r>
        <w:rPr>
          <w:rFonts w:ascii="Times New Roman" w:hint="eastAsia"/>
        </w:rPr>
        <w:lastRenderedPageBreak/>
        <w:t>临床分级、反射检查、被动运动评定、主动运动评定、功能评定、痉挛步态的评定。</w:t>
      </w:r>
      <w:r>
        <w:rPr>
          <w:rFonts w:ascii="Times New Roman"/>
        </w:rPr>
        <w:t xml:space="preserve"> </w:t>
      </w:r>
    </w:p>
    <w:p w:rsidR="003717A0" w:rsidRDefault="003717A0">
      <w:pPr>
        <w:numPr>
          <w:ilvl w:val="0"/>
          <w:numId w:val="285"/>
        </w:numPr>
        <w:tabs>
          <w:tab w:val="left" w:pos="1260"/>
        </w:tabs>
        <w:adjustRightInd w:val="0"/>
        <w:snapToGrid w:val="0"/>
        <w:spacing w:line="360" w:lineRule="auto"/>
        <w:ind w:rightChars="2" w:right="4"/>
        <w:rPr>
          <w:rFonts w:ascii="Times New Roman"/>
        </w:rPr>
      </w:pPr>
      <w:r>
        <w:rPr>
          <w:rFonts w:ascii="Times New Roman" w:hint="eastAsia"/>
        </w:rPr>
        <w:t>痉挛发生的病理生理机制、痉挛的临床意义。</w:t>
      </w:r>
      <w:r>
        <w:rPr>
          <w:rFonts w:ascii="Times New Roman"/>
        </w:rPr>
        <w:t xml:space="preserve"> </w:t>
      </w:r>
    </w:p>
    <w:p w:rsidR="003717A0" w:rsidRDefault="003717A0">
      <w:pPr>
        <w:numPr>
          <w:ilvl w:val="0"/>
          <w:numId w:val="285"/>
        </w:numPr>
        <w:tabs>
          <w:tab w:val="left" w:pos="1260"/>
        </w:tabs>
        <w:adjustRightInd w:val="0"/>
        <w:snapToGrid w:val="0"/>
        <w:spacing w:line="360" w:lineRule="auto"/>
        <w:ind w:rightChars="2" w:right="4"/>
        <w:rPr>
          <w:rFonts w:ascii="Times New Roman"/>
        </w:rPr>
      </w:pPr>
      <w:r>
        <w:rPr>
          <w:rFonts w:ascii="Times New Roman" w:hint="eastAsia"/>
        </w:rPr>
        <w:t>痉挛的评定量表：改良</w:t>
      </w:r>
      <w:r>
        <w:rPr>
          <w:rFonts w:ascii="Times New Roman"/>
        </w:rPr>
        <w:t>Ashworth</w:t>
      </w:r>
      <w:r>
        <w:rPr>
          <w:rFonts w:ascii="Times New Roman" w:hint="eastAsia"/>
        </w:rPr>
        <w:t>分级法、</w:t>
      </w:r>
      <w:r>
        <w:rPr>
          <w:rFonts w:ascii="Times New Roman"/>
        </w:rPr>
        <w:t>Brunnstrom</w:t>
      </w:r>
      <w:r>
        <w:rPr>
          <w:rFonts w:ascii="Times New Roman" w:hint="eastAsia"/>
        </w:rPr>
        <w:t>评定法、</w:t>
      </w:r>
      <w:r>
        <w:rPr>
          <w:rFonts w:ascii="Times New Roman"/>
        </w:rPr>
        <w:t>Fugl-Meyer</w:t>
      </w:r>
      <w:r>
        <w:rPr>
          <w:rFonts w:ascii="Times New Roman" w:hint="eastAsia"/>
        </w:rPr>
        <w:t>评定法、股</w:t>
      </w:r>
    </w:p>
    <w:p w:rsidR="003717A0" w:rsidRDefault="003717A0">
      <w:pPr>
        <w:tabs>
          <w:tab w:val="left" w:pos="1260"/>
        </w:tabs>
        <w:adjustRightInd w:val="0"/>
        <w:snapToGrid w:val="0"/>
        <w:spacing w:line="360" w:lineRule="auto"/>
        <w:ind w:rightChars="2" w:right="4"/>
        <w:rPr>
          <w:rFonts w:ascii="Times New Roman"/>
        </w:rPr>
      </w:pPr>
      <w:r>
        <w:rPr>
          <w:rFonts w:ascii="Times New Roman" w:hint="eastAsia"/>
        </w:rPr>
        <w:t>内收肌张力量表、临床痉挛指数、</w:t>
      </w:r>
      <w:r>
        <w:rPr>
          <w:rFonts w:ascii="Times New Roman"/>
        </w:rPr>
        <w:t xml:space="preserve">Oswestry </w:t>
      </w:r>
      <w:r>
        <w:rPr>
          <w:rFonts w:ascii="Times New Roman" w:hint="eastAsia"/>
        </w:rPr>
        <w:t>等级量表</w:t>
      </w:r>
      <w:r>
        <w:rPr>
          <w:rFonts w:ascii="Times New Roman"/>
        </w:rPr>
        <w:t xml:space="preserve"> </w:t>
      </w:r>
      <w:r>
        <w:rPr>
          <w:rFonts w:ascii="Times New Roman" w:hint="eastAsia"/>
        </w:rPr>
        <w:t>、改良</w:t>
      </w:r>
      <w:r>
        <w:rPr>
          <w:rFonts w:ascii="Times New Roman"/>
        </w:rPr>
        <w:t xml:space="preserve">Tardieu </w:t>
      </w:r>
      <w:r>
        <w:rPr>
          <w:rFonts w:ascii="Times New Roman" w:hint="eastAsia"/>
        </w:rPr>
        <w:t>量、</w:t>
      </w:r>
      <w:r>
        <w:rPr>
          <w:rFonts w:ascii="Times New Roman"/>
        </w:rPr>
        <w:t>Rivermead</w:t>
      </w:r>
      <w:r>
        <w:rPr>
          <w:rFonts w:ascii="Times New Roman" w:hint="eastAsia"/>
        </w:rPr>
        <w:t>运动指数。</w:t>
      </w:r>
    </w:p>
    <w:p w:rsidR="003717A0" w:rsidRDefault="003717A0">
      <w:pPr>
        <w:numPr>
          <w:ilvl w:val="0"/>
          <w:numId w:val="285"/>
        </w:numPr>
        <w:tabs>
          <w:tab w:val="left" w:pos="1260"/>
        </w:tabs>
        <w:adjustRightInd w:val="0"/>
        <w:snapToGrid w:val="0"/>
        <w:spacing w:line="360" w:lineRule="auto"/>
        <w:ind w:rightChars="2" w:right="4"/>
        <w:rPr>
          <w:rFonts w:ascii="Times New Roman"/>
        </w:rPr>
      </w:pPr>
      <w:r>
        <w:rPr>
          <w:rFonts w:ascii="Times New Roman"/>
        </w:rPr>
        <w:t>Tufts</w:t>
      </w:r>
      <w:r>
        <w:rPr>
          <w:rFonts w:ascii="Times New Roman" w:hint="eastAsia"/>
        </w:rPr>
        <w:t>运动功能评定、九柱孔检查、改良</w:t>
      </w:r>
      <w:r>
        <w:rPr>
          <w:rFonts w:ascii="Times New Roman"/>
        </w:rPr>
        <w:t>Barthel</w:t>
      </w:r>
      <w:r>
        <w:rPr>
          <w:rFonts w:ascii="Times New Roman" w:hint="eastAsia"/>
        </w:rPr>
        <w:t>指数、功能独立性评定。</w:t>
      </w:r>
    </w:p>
    <w:p w:rsidR="003717A0" w:rsidRDefault="003717A0">
      <w:pPr>
        <w:numPr>
          <w:ilvl w:val="0"/>
          <w:numId w:val="285"/>
        </w:numPr>
        <w:tabs>
          <w:tab w:val="left" w:pos="1260"/>
        </w:tabs>
        <w:adjustRightInd w:val="0"/>
        <w:snapToGrid w:val="0"/>
        <w:spacing w:line="360" w:lineRule="auto"/>
        <w:ind w:rightChars="2" w:right="4"/>
        <w:rPr>
          <w:rFonts w:ascii="Times New Roman"/>
        </w:rPr>
      </w:pPr>
      <w:r>
        <w:rPr>
          <w:rFonts w:ascii="Times New Roman" w:hint="eastAsia"/>
        </w:rPr>
        <w:t>痉挛评定量表应用注意事项。</w:t>
      </w:r>
      <w:r>
        <w:rPr>
          <w:rFonts w:ascii="Times New Roman"/>
        </w:rPr>
        <w:t xml:space="preserve"> </w:t>
      </w:r>
    </w:p>
    <w:p w:rsidR="003717A0" w:rsidRDefault="003717A0">
      <w:pPr>
        <w:numPr>
          <w:ilvl w:val="0"/>
          <w:numId w:val="285"/>
        </w:numPr>
        <w:tabs>
          <w:tab w:val="left" w:pos="1260"/>
        </w:tabs>
        <w:adjustRightInd w:val="0"/>
        <w:snapToGrid w:val="0"/>
        <w:spacing w:line="360" w:lineRule="auto"/>
        <w:ind w:rightChars="2" w:right="4"/>
        <w:rPr>
          <w:rFonts w:ascii="Times New Roman"/>
        </w:rPr>
      </w:pPr>
      <w:r>
        <w:rPr>
          <w:rFonts w:ascii="Times New Roman" w:hint="eastAsia"/>
        </w:rPr>
        <w:t>生物力学评定方法：钟摆试验、屈曲维持试验、便携式测力计方法、等速装置评定方法。</w:t>
      </w:r>
      <w:r>
        <w:rPr>
          <w:rFonts w:ascii="Times New Roman"/>
        </w:rPr>
        <w:t xml:space="preserve"> </w:t>
      </w:r>
    </w:p>
    <w:p w:rsidR="003717A0" w:rsidRDefault="003717A0">
      <w:pPr>
        <w:numPr>
          <w:ilvl w:val="0"/>
          <w:numId w:val="285"/>
        </w:numPr>
        <w:tabs>
          <w:tab w:val="left" w:pos="1260"/>
        </w:tabs>
        <w:adjustRightInd w:val="0"/>
        <w:snapToGrid w:val="0"/>
        <w:spacing w:line="360" w:lineRule="auto"/>
        <w:ind w:rightChars="2" w:right="4"/>
        <w:rPr>
          <w:rFonts w:ascii="Times New Roman" w:hAnsi="Times New Roman"/>
          <w:szCs w:val="20"/>
        </w:rPr>
      </w:pPr>
      <w:r>
        <w:rPr>
          <w:rFonts w:ascii="Times New Roman" w:hint="eastAsia"/>
        </w:rPr>
        <w:t>电生理评定方法。</w:t>
      </w:r>
    </w:p>
    <w:p w:rsidR="003717A0" w:rsidRDefault="003717A0">
      <w:pPr>
        <w:tabs>
          <w:tab w:val="left" w:pos="1260"/>
        </w:tabs>
        <w:adjustRightInd w:val="0"/>
        <w:snapToGrid w:val="0"/>
        <w:spacing w:line="360" w:lineRule="auto"/>
        <w:ind w:rightChars="2" w:right="4" w:firstLineChars="196" w:firstLine="413"/>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286"/>
        </w:numPr>
        <w:tabs>
          <w:tab w:val="left" w:pos="1260"/>
        </w:tabs>
        <w:adjustRightInd w:val="0"/>
        <w:snapToGrid w:val="0"/>
        <w:spacing w:line="360" w:lineRule="auto"/>
        <w:ind w:right="4" w:hanging="1140"/>
        <w:jc w:val="both"/>
        <w:rPr>
          <w:sz w:val="21"/>
        </w:rPr>
      </w:pPr>
      <w:r>
        <w:rPr>
          <w:rFonts w:hint="eastAsia"/>
          <w:sz w:val="21"/>
        </w:rPr>
        <w:t>肌张力的检查方法</w:t>
      </w:r>
    </w:p>
    <w:p w:rsidR="003717A0" w:rsidRDefault="003717A0">
      <w:pPr>
        <w:pStyle w:val="a8"/>
        <w:numPr>
          <w:ilvl w:val="0"/>
          <w:numId w:val="286"/>
        </w:numPr>
        <w:tabs>
          <w:tab w:val="left" w:pos="1260"/>
        </w:tabs>
        <w:adjustRightInd w:val="0"/>
        <w:snapToGrid w:val="0"/>
        <w:spacing w:line="360" w:lineRule="auto"/>
        <w:ind w:right="4" w:hanging="1140"/>
        <w:jc w:val="both"/>
        <w:rPr>
          <w:sz w:val="21"/>
        </w:rPr>
      </w:pPr>
      <w:r>
        <w:rPr>
          <w:rFonts w:hint="eastAsia"/>
          <w:sz w:val="21"/>
        </w:rPr>
        <w:t>生物力学评定方法。</w:t>
      </w:r>
    </w:p>
    <w:p w:rsidR="003717A0" w:rsidRDefault="003717A0">
      <w:pPr>
        <w:pStyle w:val="a8"/>
        <w:numPr>
          <w:ilvl w:val="0"/>
          <w:numId w:val="286"/>
        </w:numPr>
        <w:tabs>
          <w:tab w:val="left" w:pos="1260"/>
        </w:tabs>
        <w:adjustRightInd w:val="0"/>
        <w:snapToGrid w:val="0"/>
        <w:spacing w:line="360" w:lineRule="auto"/>
        <w:ind w:right="4" w:hanging="1140"/>
        <w:jc w:val="both"/>
        <w:rPr>
          <w:sz w:val="21"/>
        </w:rPr>
      </w:pPr>
      <w:r>
        <w:rPr>
          <w:rFonts w:hint="eastAsia"/>
          <w:sz w:val="21"/>
        </w:rPr>
        <w:t>电生理评定方法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87"/>
        </w:numPr>
        <w:adjustRightInd w:val="0"/>
        <w:snapToGrid w:val="0"/>
        <w:spacing w:line="360" w:lineRule="auto"/>
        <w:ind w:right="4"/>
        <w:jc w:val="both"/>
        <w:rPr>
          <w:sz w:val="21"/>
        </w:rPr>
      </w:pPr>
      <w:r>
        <w:rPr>
          <w:rFonts w:hint="eastAsia"/>
          <w:sz w:val="21"/>
        </w:rPr>
        <w:t>了解肌张力的表现、常见的肌张力异常，了解钟摆试验、屈曲维持试验、便携式测力计</w:t>
      </w:r>
    </w:p>
    <w:p w:rsidR="003717A0" w:rsidRDefault="003717A0">
      <w:pPr>
        <w:pStyle w:val="a8"/>
        <w:adjustRightInd w:val="0"/>
        <w:snapToGrid w:val="0"/>
        <w:spacing w:line="360" w:lineRule="auto"/>
        <w:ind w:left="0" w:right="4"/>
        <w:jc w:val="both"/>
        <w:rPr>
          <w:sz w:val="21"/>
        </w:rPr>
      </w:pPr>
      <w:r>
        <w:rPr>
          <w:rFonts w:hint="eastAsia"/>
          <w:sz w:val="21"/>
        </w:rPr>
        <w:t>方法、等速装置评定方法，了解电生理评定方法。</w:t>
      </w:r>
      <w:r>
        <w:rPr>
          <w:sz w:val="21"/>
        </w:rPr>
        <w:t xml:space="preserve">  </w:t>
      </w:r>
    </w:p>
    <w:p w:rsidR="003717A0" w:rsidRDefault="003717A0">
      <w:pPr>
        <w:pStyle w:val="a8"/>
        <w:numPr>
          <w:ilvl w:val="0"/>
          <w:numId w:val="287"/>
        </w:numPr>
        <w:adjustRightInd w:val="0"/>
        <w:snapToGrid w:val="0"/>
        <w:spacing w:line="360" w:lineRule="auto"/>
        <w:ind w:right="4"/>
        <w:jc w:val="both"/>
        <w:rPr>
          <w:sz w:val="21"/>
        </w:rPr>
      </w:pPr>
      <w:r>
        <w:rPr>
          <w:rFonts w:hint="eastAsia"/>
          <w:sz w:val="21"/>
        </w:rPr>
        <w:t>熟悉肌张力的检查方法、临床分级、反射检查、被动运动评定、主动运动评定、功能评</w:t>
      </w:r>
    </w:p>
    <w:p w:rsidR="003717A0" w:rsidRDefault="003717A0">
      <w:pPr>
        <w:pStyle w:val="a8"/>
        <w:adjustRightInd w:val="0"/>
        <w:snapToGrid w:val="0"/>
        <w:spacing w:line="360" w:lineRule="auto"/>
        <w:ind w:left="0" w:right="4"/>
        <w:jc w:val="both"/>
        <w:rPr>
          <w:sz w:val="21"/>
        </w:rPr>
      </w:pPr>
      <w:r>
        <w:rPr>
          <w:rFonts w:hint="eastAsia"/>
          <w:sz w:val="21"/>
        </w:rPr>
        <w:t>定、痉挛步态的评定。</w:t>
      </w:r>
    </w:p>
    <w:p w:rsidR="003717A0" w:rsidRDefault="003717A0">
      <w:pPr>
        <w:pStyle w:val="a8"/>
        <w:numPr>
          <w:ilvl w:val="0"/>
          <w:numId w:val="287"/>
        </w:numPr>
        <w:adjustRightInd w:val="0"/>
        <w:snapToGrid w:val="0"/>
        <w:spacing w:line="360" w:lineRule="auto"/>
        <w:ind w:right="4"/>
        <w:jc w:val="both"/>
        <w:rPr>
          <w:sz w:val="21"/>
        </w:rPr>
      </w:pPr>
      <w:r>
        <w:rPr>
          <w:rFonts w:hint="eastAsia"/>
          <w:sz w:val="21"/>
        </w:rPr>
        <w:t>熟悉痉挛发生的病理生理机制、痉挛的临床意义。</w:t>
      </w:r>
    </w:p>
    <w:p w:rsidR="003717A0" w:rsidRDefault="003717A0">
      <w:pPr>
        <w:pStyle w:val="a8"/>
        <w:numPr>
          <w:ilvl w:val="0"/>
          <w:numId w:val="287"/>
        </w:numPr>
        <w:adjustRightInd w:val="0"/>
        <w:snapToGrid w:val="0"/>
        <w:spacing w:line="360" w:lineRule="auto"/>
        <w:ind w:right="4"/>
        <w:jc w:val="both"/>
        <w:rPr>
          <w:sz w:val="21"/>
        </w:rPr>
      </w:pPr>
      <w:r>
        <w:rPr>
          <w:rFonts w:hint="eastAsia"/>
          <w:sz w:val="21"/>
        </w:rPr>
        <w:t>掌握痉挛评定量表及注意事项。</w:t>
      </w:r>
    </w:p>
    <w:p w:rsidR="003717A0" w:rsidRDefault="003717A0" w:rsidP="005E20B5">
      <w:pPr>
        <w:adjustRightInd w:val="0"/>
        <w:snapToGrid w:val="0"/>
        <w:spacing w:beforeLines="50" w:line="360" w:lineRule="auto"/>
        <w:ind w:right="6"/>
        <w:jc w:val="center"/>
        <w:rPr>
          <w:b/>
          <w:sz w:val="22"/>
        </w:rPr>
      </w:pPr>
      <w:r>
        <w:rPr>
          <w:rFonts w:hint="eastAsia"/>
          <w:b/>
          <w:sz w:val="22"/>
        </w:rPr>
        <w:t>第九章</w:t>
      </w:r>
      <w:r>
        <w:rPr>
          <w:b/>
          <w:sz w:val="22"/>
        </w:rPr>
        <w:t xml:space="preserve">  </w:t>
      </w:r>
      <w:r>
        <w:rPr>
          <w:rFonts w:hint="eastAsia"/>
          <w:b/>
          <w:sz w:val="22"/>
        </w:rPr>
        <w:t>肌力的评定</w:t>
      </w:r>
      <w:r>
        <w:rPr>
          <w:b/>
          <w:sz w:val="22"/>
        </w:rPr>
        <w:t xml:space="preserve"> </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88"/>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肌肉的分类；肌肉收缩的类型：等张收缩、等长收缩、等速收缩；影响肌力的因素：肌肉的生理横断面、肌肉的募集、肌肉的初长度、肌纤维走向与肌腱长轴的关系、杠杆效率、中枢神经系统调节功能的协调性。</w:t>
      </w:r>
    </w:p>
    <w:p w:rsidR="003717A0" w:rsidRDefault="003717A0">
      <w:pPr>
        <w:numPr>
          <w:ilvl w:val="0"/>
          <w:numId w:val="288"/>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徒手肌力评定：</w:t>
      </w:r>
      <w:r>
        <w:rPr>
          <w:rFonts w:ascii="Times New Roman"/>
        </w:rPr>
        <w:t>Lovett</w:t>
      </w:r>
      <w:r>
        <w:rPr>
          <w:rFonts w:ascii="Times New Roman" w:hint="eastAsia"/>
        </w:rPr>
        <w:t>分级法，</w:t>
      </w:r>
      <w:r>
        <w:rPr>
          <w:rFonts w:ascii="Times New Roman"/>
        </w:rPr>
        <w:t>M</w:t>
      </w:r>
      <w:r>
        <w:rPr>
          <w:rFonts w:ascii="Times New Roman" w:hint="eastAsia"/>
        </w:rPr>
        <w:t>．</w:t>
      </w:r>
      <w:r>
        <w:rPr>
          <w:rFonts w:ascii="Times New Roman"/>
        </w:rPr>
        <w:t>R</w:t>
      </w:r>
      <w:r>
        <w:rPr>
          <w:rFonts w:ascii="Times New Roman" w:hint="eastAsia"/>
        </w:rPr>
        <w:t>．</w:t>
      </w:r>
      <w:r>
        <w:rPr>
          <w:rFonts w:ascii="Times New Roman"/>
        </w:rPr>
        <w:t>C</w:t>
      </w:r>
      <w:r>
        <w:rPr>
          <w:rFonts w:ascii="Times New Roman" w:hint="eastAsia"/>
        </w:rPr>
        <w:t>分级法，注意事项，主要肌肉的手法检查方法。</w:t>
      </w:r>
    </w:p>
    <w:p w:rsidR="003717A0" w:rsidRDefault="003717A0">
      <w:pPr>
        <w:numPr>
          <w:ilvl w:val="0"/>
          <w:numId w:val="288"/>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应用仪器评定肌力：常用的设备及方法，等速运动测定。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numPr>
          <w:ilvl w:val="0"/>
          <w:numId w:val="289"/>
        </w:numPr>
        <w:adjustRightInd w:val="0"/>
        <w:snapToGrid w:val="0"/>
        <w:spacing w:line="360" w:lineRule="auto"/>
        <w:ind w:right="6"/>
        <w:rPr>
          <w:rFonts w:ascii="Times New Roman"/>
        </w:rPr>
      </w:pPr>
      <w:r>
        <w:rPr>
          <w:rFonts w:ascii="Times New Roman" w:hint="eastAsia"/>
        </w:rPr>
        <w:t>徒手肌力评定</w:t>
      </w:r>
    </w:p>
    <w:p w:rsidR="003717A0" w:rsidRDefault="003717A0">
      <w:pPr>
        <w:numPr>
          <w:ilvl w:val="0"/>
          <w:numId w:val="289"/>
        </w:numPr>
        <w:adjustRightInd w:val="0"/>
        <w:snapToGrid w:val="0"/>
        <w:spacing w:line="360" w:lineRule="auto"/>
        <w:ind w:right="6"/>
        <w:rPr>
          <w:rFonts w:ascii="Times New Roman"/>
        </w:rPr>
      </w:pPr>
      <w:r>
        <w:rPr>
          <w:rFonts w:ascii="Times New Roman" w:hint="eastAsia"/>
        </w:rPr>
        <w:t>应用仪器评定肌力</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90"/>
        </w:numPr>
        <w:adjustRightInd w:val="0"/>
        <w:snapToGrid w:val="0"/>
        <w:spacing w:line="360" w:lineRule="auto"/>
        <w:ind w:right="4" w:firstLine="300"/>
        <w:jc w:val="both"/>
        <w:rPr>
          <w:rFonts w:hAnsi="Calibri"/>
          <w:sz w:val="21"/>
          <w:szCs w:val="22"/>
        </w:rPr>
      </w:pPr>
      <w:r>
        <w:rPr>
          <w:rFonts w:hAnsi="Calibri" w:hint="eastAsia"/>
          <w:sz w:val="21"/>
          <w:szCs w:val="22"/>
        </w:rPr>
        <w:t>了解肌力概述、常用仪器评定肌力。</w:t>
      </w:r>
    </w:p>
    <w:p w:rsidR="003717A0" w:rsidRDefault="003717A0">
      <w:pPr>
        <w:pStyle w:val="a8"/>
        <w:numPr>
          <w:ilvl w:val="0"/>
          <w:numId w:val="290"/>
        </w:numPr>
        <w:adjustRightInd w:val="0"/>
        <w:snapToGrid w:val="0"/>
        <w:spacing w:line="360" w:lineRule="auto"/>
        <w:ind w:right="4" w:firstLine="300"/>
        <w:jc w:val="both"/>
        <w:rPr>
          <w:rFonts w:hAnsi="Calibri"/>
          <w:sz w:val="21"/>
          <w:szCs w:val="22"/>
        </w:rPr>
      </w:pPr>
      <w:r>
        <w:rPr>
          <w:rFonts w:hAnsi="Calibri" w:hint="eastAsia"/>
          <w:sz w:val="21"/>
          <w:szCs w:val="22"/>
        </w:rPr>
        <w:t>熟悉主要肌肉的手法检查方法。</w:t>
      </w:r>
    </w:p>
    <w:p w:rsidR="003717A0" w:rsidRDefault="003717A0">
      <w:pPr>
        <w:pStyle w:val="a8"/>
        <w:numPr>
          <w:ilvl w:val="0"/>
          <w:numId w:val="290"/>
        </w:numPr>
        <w:adjustRightInd w:val="0"/>
        <w:snapToGrid w:val="0"/>
        <w:spacing w:line="360" w:lineRule="auto"/>
        <w:ind w:right="4" w:firstLine="300"/>
        <w:jc w:val="both"/>
        <w:rPr>
          <w:rFonts w:hAnsi="Calibri"/>
          <w:sz w:val="21"/>
          <w:szCs w:val="22"/>
        </w:rPr>
      </w:pPr>
      <w:r>
        <w:rPr>
          <w:rFonts w:hAnsi="Calibri" w:hint="eastAsia"/>
          <w:sz w:val="21"/>
          <w:szCs w:val="22"/>
        </w:rPr>
        <w:t>掌握徒手肌力检查分级标准、注意事项。</w:t>
      </w:r>
    </w:p>
    <w:p w:rsidR="003717A0" w:rsidRDefault="003717A0" w:rsidP="005E20B5">
      <w:pPr>
        <w:adjustRightInd w:val="0"/>
        <w:snapToGrid w:val="0"/>
        <w:spacing w:beforeLines="50" w:line="360" w:lineRule="auto"/>
        <w:ind w:right="6"/>
        <w:jc w:val="center"/>
        <w:rPr>
          <w:b/>
          <w:sz w:val="22"/>
        </w:rPr>
      </w:pPr>
      <w:r>
        <w:rPr>
          <w:rFonts w:hint="eastAsia"/>
          <w:b/>
          <w:sz w:val="22"/>
        </w:rPr>
        <w:lastRenderedPageBreak/>
        <w:t>第十章</w:t>
      </w:r>
      <w:r>
        <w:rPr>
          <w:b/>
          <w:sz w:val="22"/>
        </w:rPr>
        <w:t xml:space="preserve">  </w:t>
      </w:r>
      <w:r>
        <w:rPr>
          <w:rFonts w:hint="eastAsia"/>
          <w:b/>
          <w:sz w:val="22"/>
        </w:rPr>
        <w:t>关节活动度的评定</w:t>
      </w:r>
      <w:r>
        <w:rPr>
          <w:b/>
          <w:sz w:val="22"/>
        </w:rPr>
        <w:t xml:space="preserve"> </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291"/>
        </w:numPr>
        <w:tabs>
          <w:tab w:val="left" w:pos="1260"/>
        </w:tabs>
        <w:adjustRightInd w:val="0"/>
        <w:snapToGrid w:val="0"/>
        <w:spacing w:line="360" w:lineRule="auto"/>
        <w:ind w:left="0" w:rightChars="2" w:right="4" w:firstLine="720"/>
        <w:rPr>
          <w:rFonts w:ascii="Times New Roman"/>
        </w:rPr>
      </w:pPr>
      <w:r>
        <w:rPr>
          <w:rFonts w:ascii="Times New Roman" w:hint="eastAsia"/>
        </w:rPr>
        <w:t>关节概述；</w:t>
      </w:r>
      <w:r>
        <w:rPr>
          <w:rFonts w:ascii="Times New Roman"/>
        </w:rPr>
        <w:t>1</w:t>
      </w:r>
      <w:r>
        <w:rPr>
          <w:rFonts w:ascii="Times New Roman" w:hint="eastAsia"/>
        </w:rPr>
        <w:t>）滑膜关节的基本结构，滑膜关节辅助结构，关节的分类；</w:t>
      </w:r>
      <w:r>
        <w:rPr>
          <w:rFonts w:ascii="Times New Roman"/>
        </w:rPr>
        <w:t>2</w:t>
      </w:r>
      <w:r>
        <w:rPr>
          <w:rFonts w:ascii="Times New Roman" w:hint="eastAsia"/>
        </w:rPr>
        <w:t>）关节的生理运动，关节的稳定性及灵活性，影响关节活动的因素，引起关节活动度一场的原因。</w:t>
      </w:r>
      <w:r>
        <w:rPr>
          <w:rFonts w:ascii="Times New Roman"/>
        </w:rPr>
        <w:t xml:space="preserve">  </w:t>
      </w:r>
    </w:p>
    <w:p w:rsidR="003717A0" w:rsidRDefault="003717A0">
      <w:pPr>
        <w:numPr>
          <w:ilvl w:val="0"/>
          <w:numId w:val="291"/>
        </w:numPr>
        <w:tabs>
          <w:tab w:val="left" w:pos="1260"/>
        </w:tabs>
        <w:adjustRightInd w:val="0"/>
        <w:snapToGrid w:val="0"/>
        <w:spacing w:line="360" w:lineRule="auto"/>
        <w:ind w:left="0" w:rightChars="2" w:right="4" w:firstLine="720"/>
        <w:rPr>
          <w:rFonts w:ascii="Times New Roman"/>
        </w:rPr>
      </w:pPr>
      <w:r>
        <w:rPr>
          <w:rFonts w:ascii="Times New Roman" w:hint="eastAsia"/>
        </w:rPr>
        <w:t>关节活动度测量工具、测量方法、测量结果的记录。</w:t>
      </w:r>
      <w:r>
        <w:rPr>
          <w:rFonts w:ascii="Times New Roman"/>
        </w:rPr>
        <w:t xml:space="preserve"> </w:t>
      </w:r>
    </w:p>
    <w:p w:rsidR="003717A0" w:rsidRDefault="003717A0">
      <w:pPr>
        <w:numPr>
          <w:ilvl w:val="0"/>
          <w:numId w:val="291"/>
        </w:numPr>
        <w:tabs>
          <w:tab w:val="left" w:pos="1260"/>
        </w:tabs>
        <w:adjustRightInd w:val="0"/>
        <w:snapToGrid w:val="0"/>
        <w:spacing w:line="360" w:lineRule="auto"/>
        <w:ind w:left="0" w:rightChars="2" w:right="4" w:firstLine="720"/>
        <w:rPr>
          <w:rFonts w:ascii="Times New Roman"/>
        </w:rPr>
      </w:pPr>
      <w:r>
        <w:rPr>
          <w:rFonts w:ascii="Times New Roman" w:hint="eastAsia"/>
        </w:rPr>
        <w:t>关节活动度评定的原则。</w:t>
      </w:r>
      <w:r>
        <w:rPr>
          <w:rFonts w:ascii="Times New Roman"/>
        </w:rPr>
        <w:t xml:space="preserve"> </w:t>
      </w:r>
    </w:p>
    <w:p w:rsidR="003717A0" w:rsidRDefault="003717A0">
      <w:pPr>
        <w:numPr>
          <w:ilvl w:val="0"/>
          <w:numId w:val="291"/>
        </w:numPr>
        <w:tabs>
          <w:tab w:val="left" w:pos="1260"/>
        </w:tabs>
        <w:adjustRightInd w:val="0"/>
        <w:snapToGrid w:val="0"/>
        <w:spacing w:line="360" w:lineRule="auto"/>
        <w:ind w:left="0" w:rightChars="2" w:right="4" w:firstLine="720"/>
        <w:rPr>
          <w:rFonts w:ascii="Times New Roman"/>
        </w:rPr>
      </w:pPr>
      <w:r>
        <w:rPr>
          <w:rFonts w:ascii="Times New Roman" w:hint="eastAsia"/>
        </w:rPr>
        <w:t>关节活动度评定的注意事项：</w:t>
      </w:r>
      <w:r>
        <w:rPr>
          <w:rFonts w:ascii="Times New Roman"/>
        </w:rPr>
        <w:t xml:space="preserve">  1</w:t>
      </w:r>
      <w:r>
        <w:rPr>
          <w:rFonts w:ascii="Times New Roman" w:hint="eastAsia"/>
        </w:rPr>
        <w:t>）测试姿势要正确，防邻近关节的替代动作；</w:t>
      </w:r>
      <w:r>
        <w:rPr>
          <w:rFonts w:ascii="Times New Roman"/>
        </w:rPr>
        <w:t xml:space="preserve"> 2</w:t>
      </w:r>
      <w:r>
        <w:rPr>
          <w:rFonts w:ascii="Times New Roman" w:hint="eastAsia"/>
        </w:rPr>
        <w:t>）量角器要固定好；</w:t>
      </w:r>
      <w:r>
        <w:rPr>
          <w:rFonts w:ascii="Times New Roman"/>
        </w:rPr>
        <w:t xml:space="preserve">  3</w:t>
      </w:r>
      <w:r>
        <w:rPr>
          <w:rFonts w:ascii="Times New Roman" w:hint="eastAsia"/>
        </w:rPr>
        <w:t>）先主动后被动的顺序测量；</w:t>
      </w:r>
      <w:r>
        <w:rPr>
          <w:rFonts w:ascii="Times New Roman"/>
        </w:rPr>
        <w:t xml:space="preserve">  4</w:t>
      </w:r>
      <w:r>
        <w:rPr>
          <w:rFonts w:ascii="Times New Roman" w:hint="eastAsia"/>
        </w:rPr>
        <w:t>）应与健侧作比较</w:t>
      </w:r>
      <w:r>
        <w:rPr>
          <w:rFonts w:ascii="Times New Roman"/>
        </w:rPr>
        <w:t>,</w:t>
      </w:r>
      <w:r>
        <w:rPr>
          <w:rFonts w:ascii="Times New Roman" w:hint="eastAsia"/>
        </w:rPr>
        <w:t>明确关节的活动范围；</w:t>
      </w:r>
      <w:r>
        <w:rPr>
          <w:rFonts w:ascii="Times New Roman"/>
        </w:rPr>
        <w:t xml:space="preserve"> 5</w:t>
      </w:r>
      <w:r>
        <w:rPr>
          <w:rFonts w:ascii="Times New Roman" w:hint="eastAsia"/>
        </w:rPr>
        <w:t>）熟悉关节的中立位和关节的运动方向；</w:t>
      </w:r>
      <w:r>
        <w:rPr>
          <w:rFonts w:ascii="Times New Roman"/>
        </w:rPr>
        <w:t xml:space="preserve"> 6</w:t>
      </w:r>
      <w:r>
        <w:rPr>
          <w:rFonts w:ascii="Times New Roman" w:hint="eastAsia"/>
        </w:rPr>
        <w:t>）避免在治疗后检查；</w:t>
      </w:r>
      <w:r>
        <w:rPr>
          <w:rFonts w:ascii="Times New Roman"/>
        </w:rPr>
        <w:t xml:space="preserve">  7</w:t>
      </w:r>
      <w:r>
        <w:rPr>
          <w:rFonts w:ascii="Times New Roman" w:hint="eastAsia"/>
        </w:rPr>
        <w:t>）各种方法和不同器械测量有差异，不宜比较。</w:t>
      </w:r>
      <w:r>
        <w:rPr>
          <w:rFonts w:ascii="Times New Roman"/>
        </w:rPr>
        <w:t xml:space="preserve"> </w:t>
      </w:r>
    </w:p>
    <w:p w:rsidR="003717A0" w:rsidRDefault="003717A0">
      <w:pPr>
        <w:numPr>
          <w:ilvl w:val="0"/>
          <w:numId w:val="291"/>
        </w:numPr>
        <w:tabs>
          <w:tab w:val="left" w:pos="1260"/>
        </w:tabs>
        <w:adjustRightInd w:val="0"/>
        <w:snapToGrid w:val="0"/>
        <w:spacing w:line="360" w:lineRule="auto"/>
        <w:ind w:left="0" w:rightChars="2" w:right="4" w:firstLine="720"/>
        <w:rPr>
          <w:rFonts w:ascii="Times New Roman"/>
        </w:rPr>
      </w:pPr>
      <w:r>
        <w:rPr>
          <w:rFonts w:ascii="Times New Roman" w:hint="eastAsia"/>
        </w:rPr>
        <w:t>颈椎关节活动度、胸腰椎关节活动度、肩关节活动度、肘关节活动度、前臂活动度、腕关节活动度、手指关节活动度、拇指关节活动度、髋关节活动度、膝关节活动度、踝关节活动度。</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numPr>
          <w:ilvl w:val="0"/>
          <w:numId w:val="292"/>
        </w:numPr>
        <w:adjustRightInd w:val="0"/>
        <w:snapToGrid w:val="0"/>
        <w:spacing w:line="360" w:lineRule="auto"/>
        <w:ind w:right="6"/>
        <w:rPr>
          <w:rFonts w:ascii="Times New Roman"/>
        </w:rPr>
      </w:pPr>
      <w:r>
        <w:rPr>
          <w:rFonts w:ascii="Times New Roman" w:hint="eastAsia"/>
        </w:rPr>
        <w:t>掌握量角器的使用方法。</w:t>
      </w:r>
    </w:p>
    <w:p w:rsidR="003717A0" w:rsidRDefault="003717A0">
      <w:pPr>
        <w:numPr>
          <w:ilvl w:val="0"/>
          <w:numId w:val="293"/>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颈椎关节活动度、胸腰椎关节活动度、肩关节活动度、肘关节活动度、前臂活动度、腕关节活动度、手指关节活动度、拇指关节活动度、髋关节活动度、膝关节活动度、踝关节活动度。</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94"/>
        </w:numPr>
        <w:adjustRightInd w:val="0"/>
        <w:snapToGrid w:val="0"/>
        <w:spacing w:line="360" w:lineRule="auto"/>
        <w:ind w:right="4"/>
        <w:jc w:val="both"/>
        <w:rPr>
          <w:rFonts w:hAnsi="Calibri"/>
          <w:sz w:val="21"/>
          <w:szCs w:val="22"/>
        </w:rPr>
      </w:pPr>
      <w:r>
        <w:rPr>
          <w:rFonts w:hAnsi="Calibri" w:hint="eastAsia"/>
          <w:sz w:val="21"/>
          <w:szCs w:val="22"/>
        </w:rPr>
        <w:t>了解滑膜关节类型，关节的生理运动及其影响因素。</w:t>
      </w:r>
      <w:r>
        <w:rPr>
          <w:rFonts w:hAnsi="Calibri"/>
          <w:sz w:val="21"/>
          <w:szCs w:val="22"/>
        </w:rPr>
        <w:t xml:space="preserve">  </w:t>
      </w:r>
    </w:p>
    <w:p w:rsidR="003717A0" w:rsidRDefault="003717A0">
      <w:pPr>
        <w:pStyle w:val="a8"/>
        <w:numPr>
          <w:ilvl w:val="0"/>
          <w:numId w:val="294"/>
        </w:numPr>
        <w:adjustRightInd w:val="0"/>
        <w:snapToGrid w:val="0"/>
        <w:spacing w:line="360" w:lineRule="auto"/>
        <w:ind w:right="4"/>
        <w:jc w:val="both"/>
        <w:rPr>
          <w:rFonts w:hAnsi="Calibri"/>
          <w:sz w:val="21"/>
          <w:szCs w:val="22"/>
        </w:rPr>
      </w:pPr>
      <w:r>
        <w:rPr>
          <w:rFonts w:hAnsi="Calibri" w:hint="eastAsia"/>
          <w:sz w:val="21"/>
          <w:szCs w:val="22"/>
        </w:rPr>
        <w:t>熟悉关节活动度评定测量工具、测量方法、测量结果的记录；关节活动度评定的原则及</w:t>
      </w:r>
    </w:p>
    <w:p w:rsidR="003717A0" w:rsidRDefault="003717A0">
      <w:pPr>
        <w:pStyle w:val="a8"/>
        <w:adjustRightInd w:val="0"/>
        <w:snapToGrid w:val="0"/>
        <w:spacing w:line="360" w:lineRule="auto"/>
        <w:ind w:left="0" w:right="4"/>
        <w:jc w:val="both"/>
        <w:rPr>
          <w:rFonts w:hAnsi="Calibri"/>
          <w:sz w:val="21"/>
          <w:szCs w:val="22"/>
        </w:rPr>
      </w:pPr>
      <w:r>
        <w:rPr>
          <w:rFonts w:hAnsi="Calibri" w:hint="eastAsia"/>
          <w:sz w:val="21"/>
          <w:szCs w:val="22"/>
        </w:rPr>
        <w:t>注意事项。</w:t>
      </w:r>
      <w:r>
        <w:rPr>
          <w:rFonts w:hAnsi="Calibri"/>
          <w:sz w:val="21"/>
          <w:szCs w:val="22"/>
        </w:rPr>
        <w:t xml:space="preserve">  </w:t>
      </w:r>
    </w:p>
    <w:p w:rsidR="003717A0" w:rsidRDefault="003717A0">
      <w:pPr>
        <w:pStyle w:val="a8"/>
        <w:numPr>
          <w:ilvl w:val="0"/>
          <w:numId w:val="294"/>
        </w:numPr>
        <w:adjustRightInd w:val="0"/>
        <w:snapToGrid w:val="0"/>
        <w:spacing w:line="360" w:lineRule="auto"/>
        <w:ind w:right="4"/>
        <w:jc w:val="both"/>
        <w:rPr>
          <w:rFonts w:hAnsi="Calibri"/>
          <w:sz w:val="21"/>
          <w:szCs w:val="22"/>
        </w:rPr>
      </w:pPr>
      <w:r>
        <w:rPr>
          <w:rFonts w:hAnsi="Calibri" w:hint="eastAsia"/>
          <w:sz w:val="21"/>
          <w:szCs w:val="22"/>
        </w:rPr>
        <w:t>掌握主要关节活动度的测量方法。</w:t>
      </w:r>
    </w:p>
    <w:p w:rsidR="003717A0" w:rsidRDefault="003717A0" w:rsidP="005E20B5">
      <w:pPr>
        <w:adjustRightInd w:val="0"/>
        <w:snapToGrid w:val="0"/>
        <w:spacing w:beforeLines="50" w:line="360" w:lineRule="auto"/>
        <w:ind w:right="6"/>
        <w:jc w:val="center"/>
        <w:rPr>
          <w:b/>
          <w:sz w:val="22"/>
        </w:rPr>
      </w:pPr>
      <w:r>
        <w:rPr>
          <w:rFonts w:hint="eastAsia"/>
          <w:b/>
          <w:sz w:val="22"/>
        </w:rPr>
        <w:t>第十一章</w:t>
      </w:r>
      <w:r>
        <w:rPr>
          <w:b/>
          <w:sz w:val="22"/>
        </w:rPr>
        <w:t xml:space="preserve">  </w:t>
      </w:r>
      <w:r>
        <w:rPr>
          <w:rFonts w:hint="eastAsia"/>
          <w:b/>
          <w:sz w:val="22"/>
        </w:rPr>
        <w:t>协调与平衡评定</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平衡：人体平衡的维持需要三个环节的参与：感觉输入、中枢整合、运动控制。</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平衡反应：平衡反应是指平衡状态改变时，人体恢复原有平衡或建立新平衡的过程，包</w:t>
      </w:r>
    </w:p>
    <w:p w:rsidR="003717A0" w:rsidRDefault="003717A0">
      <w:pPr>
        <w:pStyle w:val="a8"/>
        <w:adjustRightInd w:val="0"/>
        <w:snapToGrid w:val="0"/>
        <w:spacing w:line="360" w:lineRule="auto"/>
        <w:ind w:right="4"/>
        <w:jc w:val="both"/>
        <w:rPr>
          <w:sz w:val="21"/>
        </w:rPr>
      </w:pPr>
      <w:r>
        <w:rPr>
          <w:rFonts w:hint="eastAsia"/>
          <w:sz w:val="21"/>
        </w:rPr>
        <w:t>括反应时间和运动时间。反应时间是指从平衡状态的改变到出现可见运动的时间；运动时间是指从出现可见运动到动作完成、建立新平衡的时间。特殊平衡反应、平衡反应的形成规律、平衡反应的表现方式。</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平衡评定的目的、平衡功能分级：</w:t>
      </w:r>
      <w:r>
        <w:rPr>
          <w:sz w:val="21"/>
        </w:rPr>
        <w:t>I</w:t>
      </w:r>
      <w:r>
        <w:rPr>
          <w:rFonts w:hint="eastAsia"/>
          <w:sz w:val="21"/>
        </w:rPr>
        <w:t>级：能正确地完成活动；</w:t>
      </w:r>
      <w:r>
        <w:rPr>
          <w:sz w:val="21"/>
        </w:rPr>
        <w:t>II</w:t>
      </w:r>
      <w:r>
        <w:rPr>
          <w:rFonts w:hint="eastAsia"/>
          <w:sz w:val="21"/>
        </w:rPr>
        <w:t>级：能完成活动，仅需</w:t>
      </w:r>
    </w:p>
    <w:p w:rsidR="003717A0" w:rsidRDefault="003717A0">
      <w:pPr>
        <w:pStyle w:val="a8"/>
        <w:adjustRightInd w:val="0"/>
        <w:snapToGrid w:val="0"/>
        <w:spacing w:line="360" w:lineRule="auto"/>
        <w:ind w:right="4"/>
        <w:jc w:val="both"/>
        <w:rPr>
          <w:sz w:val="21"/>
        </w:rPr>
      </w:pPr>
      <w:r>
        <w:rPr>
          <w:rFonts w:hint="eastAsia"/>
          <w:sz w:val="21"/>
        </w:rPr>
        <w:t>要较小的帮助来维持平衡；</w:t>
      </w:r>
      <w:r>
        <w:rPr>
          <w:sz w:val="21"/>
        </w:rPr>
        <w:t>III</w:t>
      </w:r>
      <w:r>
        <w:rPr>
          <w:rFonts w:hint="eastAsia"/>
          <w:sz w:val="21"/>
        </w:rPr>
        <w:t>级：能完成活动，但需要较大的帮助来维持平衡；</w:t>
      </w:r>
      <w:r>
        <w:rPr>
          <w:sz w:val="21"/>
        </w:rPr>
        <w:t>IV</w:t>
      </w:r>
      <w:r>
        <w:rPr>
          <w:rFonts w:hint="eastAsia"/>
          <w:sz w:val="21"/>
        </w:rPr>
        <w:t>级：不能完成活动。适应证、评定内容、评定指标。</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平衡种类：静态平衡、自我动态平衡、他人动态平衡。</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平衡评定方法：观察法、量表法、平衡仪测试法。临床常用平衡评定方法：</w:t>
      </w:r>
      <w:r>
        <w:rPr>
          <w:sz w:val="21"/>
        </w:rPr>
        <w:t>Fugl-Meyer</w:t>
      </w:r>
    </w:p>
    <w:p w:rsidR="003717A0" w:rsidRDefault="003717A0">
      <w:pPr>
        <w:pStyle w:val="a8"/>
        <w:adjustRightInd w:val="0"/>
        <w:snapToGrid w:val="0"/>
        <w:spacing w:line="360" w:lineRule="auto"/>
        <w:ind w:right="4"/>
        <w:jc w:val="both"/>
        <w:rPr>
          <w:sz w:val="21"/>
        </w:rPr>
      </w:pPr>
      <w:r>
        <w:rPr>
          <w:rFonts w:hint="eastAsia"/>
          <w:sz w:val="21"/>
        </w:rPr>
        <w:t>平衡反应测试、</w:t>
      </w:r>
      <w:r>
        <w:rPr>
          <w:sz w:val="21"/>
        </w:rPr>
        <w:t>Lindmark</w:t>
      </w:r>
      <w:r>
        <w:rPr>
          <w:rFonts w:hint="eastAsia"/>
          <w:sz w:val="21"/>
        </w:rPr>
        <w:t>平衡反应测试、</w:t>
      </w:r>
      <w:r>
        <w:rPr>
          <w:sz w:val="21"/>
        </w:rPr>
        <w:t>Berg</w:t>
      </w:r>
      <w:r>
        <w:rPr>
          <w:rFonts w:hint="eastAsia"/>
          <w:sz w:val="21"/>
        </w:rPr>
        <w:t>平衡量表评定指南、</w:t>
      </w:r>
      <w:r>
        <w:rPr>
          <w:sz w:val="21"/>
        </w:rPr>
        <w:t>MAS</w:t>
      </w:r>
      <w:r>
        <w:rPr>
          <w:rFonts w:hint="eastAsia"/>
          <w:sz w:val="21"/>
        </w:rPr>
        <w:t>平衡功能评测、</w:t>
      </w:r>
      <w:r>
        <w:rPr>
          <w:sz w:val="21"/>
        </w:rPr>
        <w:t>Semans</w:t>
      </w:r>
      <w:r>
        <w:rPr>
          <w:rFonts w:hint="eastAsia"/>
          <w:sz w:val="21"/>
        </w:rPr>
        <w:lastRenderedPageBreak/>
        <w:t>平衡障碍分级法、日本东京大学康复部的平衡评定、脊髓损伤受试者的平衡测试、静态平衡仪测试、动态平衡仪测试、协调与协调运动、共济失调。</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协调评定的目的、协调功能分级：</w:t>
      </w:r>
      <w:r>
        <w:rPr>
          <w:sz w:val="21"/>
        </w:rPr>
        <w:t>I</w:t>
      </w:r>
      <w:r>
        <w:rPr>
          <w:rFonts w:hint="eastAsia"/>
          <w:sz w:val="21"/>
        </w:rPr>
        <w:t>级：正常完成。</w:t>
      </w:r>
      <w:r>
        <w:rPr>
          <w:sz w:val="21"/>
        </w:rPr>
        <w:t>II</w:t>
      </w:r>
      <w:r>
        <w:rPr>
          <w:rFonts w:hint="eastAsia"/>
          <w:sz w:val="21"/>
        </w:rPr>
        <w:t>级：轻度残损，能完成活动，但</w:t>
      </w:r>
    </w:p>
    <w:p w:rsidR="003717A0" w:rsidRDefault="003717A0">
      <w:pPr>
        <w:pStyle w:val="a8"/>
        <w:adjustRightInd w:val="0"/>
        <w:snapToGrid w:val="0"/>
        <w:spacing w:line="360" w:lineRule="auto"/>
        <w:ind w:right="4"/>
        <w:jc w:val="both"/>
        <w:rPr>
          <w:sz w:val="21"/>
        </w:rPr>
      </w:pPr>
      <w:r>
        <w:rPr>
          <w:rFonts w:hint="eastAsia"/>
          <w:sz w:val="21"/>
        </w:rPr>
        <w:t>较正常速度和技巧稍有差异。</w:t>
      </w:r>
      <w:r>
        <w:rPr>
          <w:sz w:val="21"/>
        </w:rPr>
        <w:t>III</w:t>
      </w:r>
      <w:r>
        <w:rPr>
          <w:rFonts w:hint="eastAsia"/>
          <w:sz w:val="21"/>
        </w:rPr>
        <w:t>级：中度残损，能完成活动，但动作慢、笨拙、明显不稳定。</w:t>
      </w:r>
      <w:r>
        <w:rPr>
          <w:sz w:val="21"/>
        </w:rPr>
        <w:t>IV</w:t>
      </w:r>
      <w:r>
        <w:rPr>
          <w:rFonts w:hint="eastAsia"/>
          <w:sz w:val="21"/>
        </w:rPr>
        <w:t>级：重度残损：仅能启动动作，不能完成。</w:t>
      </w:r>
      <w:r>
        <w:rPr>
          <w:sz w:val="21"/>
        </w:rPr>
        <w:t>V</w:t>
      </w:r>
      <w:r>
        <w:rPr>
          <w:rFonts w:hint="eastAsia"/>
          <w:sz w:val="21"/>
        </w:rPr>
        <w:t>级：不能完成活动。协调评定的内容：在协调功能评定时，应依次检测以下内容：①完成动作的时间是否正常；②运动是否精确、直接、容易反向做；③加快速度是否影响运动质量；④进行活动时有无身体无关的运动；⑤不看自己运动时是否影响运动的质量；⑥受试者是否很快感到疲劳。、前庭、迷路损害均可引起。平衡反应延迟、加剧或不恰当，影响坐、站和走路。</w:t>
      </w:r>
      <w:r>
        <w:rPr>
          <w:sz w:val="21"/>
        </w:rPr>
        <w:t xml:space="preserve">  </w:t>
      </w:r>
    </w:p>
    <w:p w:rsidR="003717A0" w:rsidRDefault="003717A0">
      <w:pPr>
        <w:pStyle w:val="a8"/>
        <w:numPr>
          <w:ilvl w:val="0"/>
          <w:numId w:val="295"/>
        </w:numPr>
        <w:adjustRightInd w:val="0"/>
        <w:snapToGrid w:val="0"/>
        <w:spacing w:line="360" w:lineRule="auto"/>
        <w:ind w:right="4"/>
        <w:jc w:val="both"/>
        <w:rPr>
          <w:sz w:val="21"/>
        </w:rPr>
      </w:pPr>
      <w:r>
        <w:rPr>
          <w:rFonts w:hint="eastAsia"/>
          <w:sz w:val="21"/>
        </w:rPr>
        <w:t>协调评定方法：观察法、协调试验。</w:t>
      </w:r>
    </w:p>
    <w:p w:rsidR="003717A0" w:rsidRDefault="003717A0">
      <w:pPr>
        <w:adjustRightInd w:val="0"/>
        <w:snapToGrid w:val="0"/>
        <w:spacing w:line="360" w:lineRule="auto"/>
        <w:ind w:left="420" w:right="6"/>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296"/>
        </w:numPr>
        <w:adjustRightInd w:val="0"/>
        <w:snapToGrid w:val="0"/>
        <w:spacing w:line="360" w:lineRule="auto"/>
        <w:ind w:right="4"/>
        <w:jc w:val="both"/>
        <w:rPr>
          <w:sz w:val="21"/>
        </w:rPr>
      </w:pPr>
      <w:r>
        <w:rPr>
          <w:rFonts w:hint="eastAsia"/>
          <w:sz w:val="21"/>
        </w:rPr>
        <w:t>平衡评定的目的及内容、协调评定的目的及内容。</w:t>
      </w:r>
    </w:p>
    <w:p w:rsidR="003717A0" w:rsidRDefault="003717A0">
      <w:pPr>
        <w:pStyle w:val="a8"/>
        <w:numPr>
          <w:ilvl w:val="0"/>
          <w:numId w:val="296"/>
        </w:numPr>
        <w:adjustRightInd w:val="0"/>
        <w:snapToGrid w:val="0"/>
        <w:spacing w:line="360" w:lineRule="auto"/>
        <w:ind w:right="4"/>
        <w:jc w:val="both"/>
        <w:rPr>
          <w:sz w:val="21"/>
        </w:rPr>
      </w:pPr>
      <w:r>
        <w:rPr>
          <w:rFonts w:hint="eastAsia"/>
          <w:sz w:val="21"/>
        </w:rPr>
        <w:t>临床常用平衡评定方法、协调评定方法。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297"/>
        </w:numPr>
        <w:adjustRightInd w:val="0"/>
        <w:snapToGrid w:val="0"/>
        <w:spacing w:line="360" w:lineRule="auto"/>
        <w:ind w:right="4"/>
        <w:jc w:val="both"/>
        <w:rPr>
          <w:sz w:val="21"/>
        </w:rPr>
      </w:pPr>
      <w:r>
        <w:rPr>
          <w:rFonts w:hint="eastAsia"/>
          <w:sz w:val="21"/>
        </w:rPr>
        <w:t>了解平衡与平衡反应、平衡评定的目的及内容、协调评定的目的及内容。</w:t>
      </w:r>
      <w:r>
        <w:rPr>
          <w:sz w:val="21"/>
        </w:rPr>
        <w:t xml:space="preserve">  </w:t>
      </w:r>
    </w:p>
    <w:p w:rsidR="003717A0" w:rsidRDefault="003717A0">
      <w:pPr>
        <w:pStyle w:val="a8"/>
        <w:numPr>
          <w:ilvl w:val="0"/>
          <w:numId w:val="297"/>
        </w:numPr>
        <w:adjustRightInd w:val="0"/>
        <w:snapToGrid w:val="0"/>
        <w:spacing w:line="360" w:lineRule="auto"/>
        <w:ind w:right="4"/>
        <w:jc w:val="both"/>
        <w:rPr>
          <w:sz w:val="21"/>
        </w:rPr>
      </w:pPr>
      <w:r>
        <w:rPr>
          <w:rFonts w:hint="eastAsia"/>
          <w:sz w:val="21"/>
        </w:rPr>
        <w:t>熟悉平衡种类与评定方法、协调与共济失调。</w:t>
      </w:r>
    </w:p>
    <w:p w:rsidR="003717A0" w:rsidRDefault="003717A0">
      <w:pPr>
        <w:pStyle w:val="a8"/>
        <w:numPr>
          <w:ilvl w:val="0"/>
          <w:numId w:val="297"/>
        </w:numPr>
        <w:adjustRightInd w:val="0"/>
        <w:snapToGrid w:val="0"/>
        <w:spacing w:line="360" w:lineRule="auto"/>
        <w:ind w:right="4"/>
        <w:jc w:val="both"/>
        <w:rPr>
          <w:sz w:val="21"/>
        </w:rPr>
      </w:pPr>
      <w:r>
        <w:rPr>
          <w:rFonts w:hint="eastAsia"/>
          <w:sz w:val="21"/>
        </w:rPr>
        <w:t>掌握临床常用平衡评定方法、协调评定方法。</w:t>
      </w:r>
    </w:p>
    <w:p w:rsidR="003717A0" w:rsidRDefault="003717A0" w:rsidP="005E20B5">
      <w:pPr>
        <w:adjustRightInd w:val="0"/>
        <w:snapToGrid w:val="0"/>
        <w:spacing w:beforeLines="50" w:line="360" w:lineRule="auto"/>
        <w:ind w:right="6"/>
        <w:jc w:val="center"/>
        <w:rPr>
          <w:b/>
          <w:sz w:val="22"/>
        </w:rPr>
      </w:pPr>
      <w:r>
        <w:rPr>
          <w:rFonts w:hint="eastAsia"/>
          <w:b/>
          <w:sz w:val="22"/>
        </w:rPr>
        <w:t>第十二章</w:t>
      </w:r>
      <w:r>
        <w:rPr>
          <w:b/>
          <w:sz w:val="22"/>
        </w:rPr>
        <w:t xml:space="preserve">  </w:t>
      </w:r>
      <w:r>
        <w:rPr>
          <w:rFonts w:hint="eastAsia"/>
          <w:b/>
          <w:sz w:val="22"/>
        </w:rPr>
        <w:t>步态分析</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298"/>
        </w:numPr>
        <w:tabs>
          <w:tab w:val="clear" w:pos="1060"/>
          <w:tab w:val="left" w:pos="1260"/>
        </w:tabs>
        <w:adjustRightInd w:val="0"/>
        <w:snapToGrid w:val="0"/>
        <w:spacing w:line="360" w:lineRule="auto"/>
        <w:ind w:right="4" w:hanging="340"/>
        <w:jc w:val="both"/>
        <w:rPr>
          <w:sz w:val="21"/>
        </w:rPr>
      </w:pPr>
      <w:r>
        <w:rPr>
          <w:rFonts w:hint="eastAsia"/>
          <w:sz w:val="21"/>
        </w:rPr>
        <w:t>步态分析中常用的基本参数包括步长、步幅、步频、步速、步行周期、步行时相，其</w:t>
      </w:r>
    </w:p>
    <w:p w:rsidR="003717A0" w:rsidRDefault="003717A0">
      <w:pPr>
        <w:pStyle w:val="a8"/>
        <w:adjustRightInd w:val="0"/>
        <w:snapToGrid w:val="0"/>
        <w:spacing w:line="360" w:lineRule="auto"/>
        <w:ind w:left="0" w:right="4"/>
        <w:jc w:val="both"/>
        <w:rPr>
          <w:sz w:val="21"/>
        </w:rPr>
      </w:pPr>
      <w:r>
        <w:rPr>
          <w:rFonts w:hint="eastAsia"/>
          <w:sz w:val="21"/>
        </w:rPr>
        <w:t>中步长、步频和步速是步态分析中最常用的</w:t>
      </w:r>
      <w:r>
        <w:rPr>
          <w:sz w:val="21"/>
        </w:rPr>
        <w:t>3</w:t>
      </w:r>
      <w:r>
        <w:rPr>
          <w:rFonts w:hint="eastAsia"/>
          <w:sz w:val="21"/>
        </w:rPr>
        <w:t>大要素，其内涵是有关行走的生物力学分析所涉及的最基本知识，进行步态分析者应当熟练掌握。</w:t>
      </w:r>
      <w:r>
        <w:rPr>
          <w:sz w:val="21"/>
        </w:rPr>
        <w:t xml:space="preserve">   </w:t>
      </w:r>
    </w:p>
    <w:p w:rsidR="003717A0" w:rsidRDefault="003717A0">
      <w:pPr>
        <w:pStyle w:val="a8"/>
        <w:numPr>
          <w:ilvl w:val="0"/>
          <w:numId w:val="298"/>
        </w:numPr>
        <w:tabs>
          <w:tab w:val="clear" w:pos="1060"/>
          <w:tab w:val="left" w:pos="1260"/>
        </w:tabs>
        <w:adjustRightInd w:val="0"/>
        <w:snapToGrid w:val="0"/>
        <w:spacing w:line="360" w:lineRule="auto"/>
        <w:ind w:right="4" w:hanging="340"/>
        <w:jc w:val="both"/>
        <w:rPr>
          <w:sz w:val="21"/>
        </w:rPr>
      </w:pPr>
      <w:r>
        <w:rPr>
          <w:rFonts w:hint="eastAsia"/>
          <w:sz w:val="21"/>
        </w:rPr>
        <w:t>正常步行必须完成三个过程：支持体重，单腿支撑，摆动腿迈步。</w:t>
      </w:r>
      <w:r>
        <w:rPr>
          <w:sz w:val="21"/>
        </w:rPr>
        <w:t xml:space="preserve"> </w:t>
      </w:r>
    </w:p>
    <w:p w:rsidR="003717A0" w:rsidRDefault="003717A0">
      <w:pPr>
        <w:pStyle w:val="a8"/>
        <w:numPr>
          <w:ilvl w:val="0"/>
          <w:numId w:val="298"/>
        </w:numPr>
        <w:tabs>
          <w:tab w:val="clear" w:pos="1060"/>
          <w:tab w:val="left" w:pos="1260"/>
        </w:tabs>
        <w:adjustRightInd w:val="0"/>
        <w:snapToGrid w:val="0"/>
        <w:spacing w:line="360" w:lineRule="auto"/>
        <w:ind w:right="4" w:hanging="340"/>
        <w:jc w:val="both"/>
        <w:rPr>
          <w:sz w:val="21"/>
        </w:rPr>
      </w:pPr>
      <w:r>
        <w:rPr>
          <w:rFonts w:hint="eastAsia"/>
          <w:sz w:val="21"/>
        </w:rPr>
        <w:t>正常步态中关节和肌肉的活动。</w:t>
      </w:r>
      <w:r>
        <w:rPr>
          <w:sz w:val="21"/>
        </w:rPr>
        <w:t xml:space="preserve">   </w:t>
      </w:r>
    </w:p>
    <w:p w:rsidR="003717A0" w:rsidRDefault="003717A0">
      <w:pPr>
        <w:pStyle w:val="a8"/>
        <w:numPr>
          <w:ilvl w:val="0"/>
          <w:numId w:val="298"/>
        </w:numPr>
        <w:tabs>
          <w:tab w:val="clear" w:pos="1060"/>
          <w:tab w:val="left" w:pos="1260"/>
        </w:tabs>
        <w:adjustRightInd w:val="0"/>
        <w:snapToGrid w:val="0"/>
        <w:spacing w:line="360" w:lineRule="auto"/>
        <w:ind w:right="4" w:hanging="340"/>
        <w:jc w:val="both"/>
        <w:rPr>
          <w:sz w:val="21"/>
        </w:rPr>
      </w:pPr>
      <w:r>
        <w:rPr>
          <w:rFonts w:hint="eastAsia"/>
          <w:sz w:val="21"/>
        </w:rPr>
        <w:t>常见的异常步态：平足、尖足、偏瘫步态、膝内翻（</w:t>
      </w:r>
      <w:r>
        <w:rPr>
          <w:sz w:val="21"/>
        </w:rPr>
        <w:t>O</w:t>
      </w:r>
      <w:r>
        <w:rPr>
          <w:rFonts w:hint="eastAsia"/>
          <w:sz w:val="21"/>
        </w:rPr>
        <w:t>腿）和膝外翻（</w:t>
      </w:r>
      <w:r>
        <w:rPr>
          <w:sz w:val="21"/>
        </w:rPr>
        <w:t>X</w:t>
      </w:r>
      <w:r>
        <w:rPr>
          <w:rFonts w:hint="eastAsia"/>
          <w:sz w:val="21"/>
        </w:rPr>
        <w:t>腿）步态。</w:t>
      </w:r>
      <w:r>
        <w:rPr>
          <w:sz w:val="21"/>
        </w:rPr>
        <w:t xml:space="preserve"> </w:t>
      </w:r>
    </w:p>
    <w:p w:rsidR="003717A0" w:rsidRDefault="003717A0">
      <w:pPr>
        <w:pStyle w:val="a8"/>
        <w:numPr>
          <w:ilvl w:val="0"/>
          <w:numId w:val="298"/>
        </w:numPr>
        <w:tabs>
          <w:tab w:val="clear" w:pos="1060"/>
          <w:tab w:val="left" w:pos="1260"/>
        </w:tabs>
        <w:adjustRightInd w:val="0"/>
        <w:snapToGrid w:val="0"/>
        <w:spacing w:line="360" w:lineRule="auto"/>
        <w:ind w:right="4" w:hanging="340"/>
        <w:jc w:val="both"/>
        <w:rPr>
          <w:sz w:val="21"/>
        </w:rPr>
      </w:pPr>
      <w:r>
        <w:rPr>
          <w:rFonts w:hint="eastAsia"/>
          <w:sz w:val="21"/>
        </w:rPr>
        <w:t>步态分析方法：临床定性分析。</w:t>
      </w:r>
    </w:p>
    <w:p w:rsidR="003717A0" w:rsidRDefault="003717A0">
      <w:pPr>
        <w:adjustRightInd w:val="0"/>
        <w:snapToGrid w:val="0"/>
        <w:spacing w:line="360" w:lineRule="auto"/>
        <w:ind w:right="6" w:firstLineChars="200" w:firstLine="422"/>
        <w:rPr>
          <w:rFonts w:ascii="Times New Roman" w:hAnsi="Times New Roman"/>
          <w:szCs w:val="20"/>
        </w:rPr>
      </w:pPr>
      <w:r>
        <w:rPr>
          <w:rFonts w:ascii="Times New Roman" w:hint="eastAsia"/>
          <w:b/>
        </w:rPr>
        <w:t>实习内容（</w:t>
      </w:r>
      <w:r>
        <w:rPr>
          <w:rFonts w:ascii="Times New Roman"/>
          <w:b/>
        </w:rPr>
        <w:t>3</w:t>
      </w:r>
      <w:r>
        <w:rPr>
          <w:rFonts w:ascii="Times New Roman" w:hint="eastAsia"/>
          <w:b/>
        </w:rPr>
        <w:t>学时）</w:t>
      </w:r>
    </w:p>
    <w:p w:rsidR="003717A0" w:rsidRDefault="003717A0">
      <w:pPr>
        <w:pStyle w:val="a8"/>
        <w:numPr>
          <w:ilvl w:val="0"/>
          <w:numId w:val="299"/>
        </w:numPr>
        <w:adjustRightInd w:val="0"/>
        <w:snapToGrid w:val="0"/>
        <w:spacing w:line="360" w:lineRule="auto"/>
        <w:ind w:right="4" w:hanging="340"/>
        <w:jc w:val="both"/>
        <w:rPr>
          <w:sz w:val="21"/>
        </w:rPr>
      </w:pPr>
      <w:r>
        <w:rPr>
          <w:rFonts w:hint="eastAsia"/>
          <w:sz w:val="21"/>
        </w:rPr>
        <w:t>步态分析中常用的基本参数。</w:t>
      </w:r>
    </w:p>
    <w:p w:rsidR="003717A0" w:rsidRDefault="003717A0">
      <w:pPr>
        <w:pStyle w:val="a8"/>
        <w:numPr>
          <w:ilvl w:val="0"/>
          <w:numId w:val="299"/>
        </w:numPr>
        <w:adjustRightInd w:val="0"/>
        <w:snapToGrid w:val="0"/>
        <w:spacing w:line="360" w:lineRule="auto"/>
        <w:ind w:right="4" w:hanging="340"/>
        <w:jc w:val="both"/>
        <w:rPr>
          <w:sz w:val="21"/>
        </w:rPr>
      </w:pPr>
      <w:r>
        <w:rPr>
          <w:rFonts w:hint="eastAsia"/>
          <w:sz w:val="21"/>
        </w:rPr>
        <w:t>常见的异常步态。</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00"/>
        </w:numPr>
        <w:adjustRightInd w:val="0"/>
        <w:snapToGrid w:val="0"/>
        <w:spacing w:line="360" w:lineRule="auto"/>
        <w:ind w:right="4"/>
        <w:jc w:val="both"/>
        <w:rPr>
          <w:sz w:val="21"/>
        </w:rPr>
      </w:pPr>
      <w:r>
        <w:rPr>
          <w:rFonts w:hint="eastAsia"/>
          <w:sz w:val="21"/>
        </w:rPr>
        <w:t>了解正常步态的基本构成、运动学变化、动力学变化、能量消耗。</w:t>
      </w:r>
      <w:r>
        <w:rPr>
          <w:sz w:val="21"/>
        </w:rPr>
        <w:t xml:space="preserve"> </w:t>
      </w:r>
    </w:p>
    <w:p w:rsidR="003717A0" w:rsidRDefault="003717A0">
      <w:pPr>
        <w:pStyle w:val="a8"/>
        <w:numPr>
          <w:ilvl w:val="0"/>
          <w:numId w:val="300"/>
        </w:numPr>
        <w:adjustRightInd w:val="0"/>
        <w:snapToGrid w:val="0"/>
        <w:spacing w:line="360" w:lineRule="auto"/>
        <w:ind w:right="4"/>
        <w:jc w:val="both"/>
        <w:rPr>
          <w:sz w:val="21"/>
        </w:rPr>
      </w:pPr>
      <w:r>
        <w:rPr>
          <w:rFonts w:hint="eastAsia"/>
          <w:sz w:val="21"/>
        </w:rPr>
        <w:t>熟悉步态分析的方法。</w:t>
      </w:r>
      <w:r>
        <w:rPr>
          <w:sz w:val="21"/>
        </w:rPr>
        <w:t xml:space="preserve">  </w:t>
      </w:r>
    </w:p>
    <w:p w:rsidR="003717A0" w:rsidRDefault="003717A0">
      <w:pPr>
        <w:pStyle w:val="a8"/>
        <w:numPr>
          <w:ilvl w:val="0"/>
          <w:numId w:val="300"/>
        </w:numPr>
        <w:adjustRightInd w:val="0"/>
        <w:snapToGrid w:val="0"/>
        <w:spacing w:line="360" w:lineRule="auto"/>
        <w:ind w:right="4"/>
        <w:jc w:val="both"/>
        <w:rPr>
          <w:sz w:val="21"/>
        </w:rPr>
      </w:pPr>
      <w:r>
        <w:rPr>
          <w:rFonts w:hint="eastAsia"/>
          <w:sz w:val="21"/>
        </w:rPr>
        <w:t>掌握常见异常步态模式的评定。</w:t>
      </w:r>
    </w:p>
    <w:p w:rsidR="003717A0" w:rsidRDefault="003717A0" w:rsidP="005E20B5">
      <w:pPr>
        <w:adjustRightInd w:val="0"/>
        <w:snapToGrid w:val="0"/>
        <w:spacing w:beforeLines="50" w:line="360" w:lineRule="auto"/>
        <w:ind w:right="6"/>
        <w:jc w:val="center"/>
        <w:rPr>
          <w:b/>
          <w:sz w:val="22"/>
        </w:rPr>
      </w:pPr>
      <w:r>
        <w:rPr>
          <w:rFonts w:hint="eastAsia"/>
          <w:b/>
          <w:sz w:val="22"/>
        </w:rPr>
        <w:lastRenderedPageBreak/>
        <w:t>第十三章</w:t>
      </w:r>
      <w:r>
        <w:rPr>
          <w:b/>
          <w:sz w:val="22"/>
        </w:rPr>
        <w:t xml:space="preserve">  </w:t>
      </w:r>
      <w:r>
        <w:rPr>
          <w:rFonts w:hint="eastAsia"/>
          <w:b/>
          <w:sz w:val="22"/>
        </w:rPr>
        <w:t>神经电生理检查</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01"/>
        </w:numPr>
        <w:tabs>
          <w:tab w:val="left" w:pos="1260"/>
        </w:tabs>
        <w:adjustRightInd w:val="0"/>
        <w:snapToGrid w:val="0"/>
        <w:spacing w:line="360" w:lineRule="auto"/>
        <w:ind w:left="0" w:rightChars="2" w:right="4" w:firstLine="720"/>
        <w:jc w:val="both"/>
        <w:rPr>
          <w:sz w:val="21"/>
        </w:rPr>
      </w:pPr>
      <w:r>
        <w:rPr>
          <w:rFonts w:hint="eastAsia"/>
          <w:sz w:val="21"/>
        </w:rPr>
        <w:t>神经电生理检查的内容包括：肌电图</w:t>
      </w:r>
      <w:r>
        <w:rPr>
          <w:sz w:val="21"/>
        </w:rPr>
        <w:t>(electromyography</w:t>
      </w:r>
      <w:r>
        <w:rPr>
          <w:rFonts w:hint="eastAsia"/>
          <w:sz w:val="21"/>
        </w:rPr>
        <w:t>，</w:t>
      </w:r>
      <w:r>
        <w:rPr>
          <w:sz w:val="21"/>
        </w:rPr>
        <w:t>EMG)</w:t>
      </w:r>
      <w:r>
        <w:rPr>
          <w:rFonts w:hint="eastAsia"/>
          <w:sz w:val="21"/>
        </w:rPr>
        <w:t>、神经传导测定、特殊检查、诱发电位</w:t>
      </w:r>
      <w:r>
        <w:rPr>
          <w:sz w:val="21"/>
        </w:rPr>
        <w:t>(evoked potential</w:t>
      </w:r>
      <w:r>
        <w:rPr>
          <w:rFonts w:hint="eastAsia"/>
          <w:sz w:val="21"/>
        </w:rPr>
        <w:t>，</w:t>
      </w:r>
      <w:r>
        <w:rPr>
          <w:sz w:val="21"/>
        </w:rPr>
        <w:t>EP)</w:t>
      </w:r>
      <w:r>
        <w:rPr>
          <w:rFonts w:hint="eastAsia"/>
          <w:sz w:val="21"/>
        </w:rPr>
        <w:t>检查、低频电诊断</w:t>
      </w:r>
      <w:r>
        <w:rPr>
          <w:sz w:val="21"/>
        </w:rPr>
        <w:t>(low  frequency electrodiagnosis)</w:t>
      </w:r>
      <w:r>
        <w:rPr>
          <w:rFonts w:hint="eastAsia"/>
          <w:sz w:val="21"/>
        </w:rPr>
        <w:t>。</w:t>
      </w:r>
    </w:p>
    <w:p w:rsidR="003717A0" w:rsidRDefault="003717A0">
      <w:pPr>
        <w:pStyle w:val="a8"/>
        <w:numPr>
          <w:ilvl w:val="0"/>
          <w:numId w:val="301"/>
        </w:numPr>
        <w:tabs>
          <w:tab w:val="left" w:pos="1260"/>
        </w:tabs>
        <w:adjustRightInd w:val="0"/>
        <w:snapToGrid w:val="0"/>
        <w:spacing w:line="360" w:lineRule="auto"/>
        <w:ind w:left="0" w:rightChars="2" w:right="4" w:firstLine="720"/>
        <w:jc w:val="both"/>
        <w:rPr>
          <w:sz w:val="21"/>
        </w:rPr>
      </w:pPr>
      <w:r>
        <w:rPr>
          <w:rFonts w:hint="eastAsia"/>
          <w:sz w:val="21"/>
        </w:rPr>
        <w:t>检查前的注意事项。</w:t>
      </w:r>
      <w:r>
        <w:rPr>
          <w:sz w:val="21"/>
        </w:rPr>
        <w:t xml:space="preserve"> </w:t>
      </w:r>
    </w:p>
    <w:p w:rsidR="003717A0" w:rsidRDefault="003717A0">
      <w:pPr>
        <w:pStyle w:val="a8"/>
        <w:numPr>
          <w:ilvl w:val="0"/>
          <w:numId w:val="301"/>
        </w:numPr>
        <w:tabs>
          <w:tab w:val="left" w:pos="1260"/>
        </w:tabs>
        <w:adjustRightInd w:val="0"/>
        <w:snapToGrid w:val="0"/>
        <w:spacing w:line="360" w:lineRule="auto"/>
        <w:ind w:left="0" w:rightChars="2" w:right="4" w:firstLine="720"/>
        <w:jc w:val="both"/>
        <w:rPr>
          <w:sz w:val="21"/>
        </w:rPr>
      </w:pPr>
      <w:r>
        <w:rPr>
          <w:rFonts w:hint="eastAsia"/>
          <w:sz w:val="21"/>
        </w:rPr>
        <w:t>神经肌电图检查：肌电图检查、神经传导的测定、特殊检查、表面肌电图。</w:t>
      </w:r>
    </w:p>
    <w:p w:rsidR="003717A0" w:rsidRDefault="003717A0">
      <w:pPr>
        <w:pStyle w:val="a8"/>
        <w:numPr>
          <w:ilvl w:val="0"/>
          <w:numId w:val="301"/>
        </w:numPr>
        <w:tabs>
          <w:tab w:val="left" w:pos="1260"/>
        </w:tabs>
        <w:adjustRightInd w:val="0"/>
        <w:snapToGrid w:val="0"/>
        <w:spacing w:line="360" w:lineRule="auto"/>
        <w:ind w:left="0" w:rightChars="2" w:right="4" w:firstLine="720"/>
        <w:jc w:val="both"/>
        <w:rPr>
          <w:sz w:val="21"/>
        </w:rPr>
      </w:pPr>
      <w:r>
        <w:rPr>
          <w:rFonts w:hint="eastAsia"/>
          <w:sz w:val="21"/>
        </w:rPr>
        <w:t>诱发电位、低频电诊断。</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02"/>
        </w:numPr>
        <w:tabs>
          <w:tab w:val="left" w:pos="1260"/>
        </w:tabs>
        <w:adjustRightInd w:val="0"/>
        <w:snapToGrid w:val="0"/>
        <w:spacing w:line="360" w:lineRule="auto"/>
        <w:ind w:right="4" w:firstLine="300"/>
        <w:jc w:val="both"/>
        <w:rPr>
          <w:sz w:val="21"/>
        </w:rPr>
      </w:pPr>
      <w:r>
        <w:rPr>
          <w:rFonts w:hint="eastAsia"/>
          <w:sz w:val="21"/>
        </w:rPr>
        <w:t>神经肌电图检查。</w:t>
      </w:r>
    </w:p>
    <w:p w:rsidR="003717A0" w:rsidRDefault="003717A0">
      <w:pPr>
        <w:pStyle w:val="a8"/>
        <w:numPr>
          <w:ilvl w:val="0"/>
          <w:numId w:val="302"/>
        </w:numPr>
        <w:tabs>
          <w:tab w:val="left" w:pos="1260"/>
        </w:tabs>
        <w:adjustRightInd w:val="0"/>
        <w:snapToGrid w:val="0"/>
        <w:spacing w:line="360" w:lineRule="auto"/>
        <w:ind w:right="4" w:firstLine="300"/>
        <w:jc w:val="both"/>
        <w:rPr>
          <w:sz w:val="21"/>
        </w:rPr>
      </w:pPr>
      <w:r>
        <w:rPr>
          <w:rFonts w:hint="eastAsia"/>
          <w:sz w:val="21"/>
        </w:rPr>
        <w:t>神经电生理检查结果的分析及判断、神经电生理检查的方法。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03"/>
        </w:numPr>
        <w:adjustRightInd w:val="0"/>
        <w:snapToGrid w:val="0"/>
        <w:spacing w:line="360" w:lineRule="auto"/>
        <w:ind w:right="4"/>
        <w:jc w:val="both"/>
        <w:rPr>
          <w:sz w:val="21"/>
        </w:rPr>
      </w:pPr>
      <w:r>
        <w:rPr>
          <w:rFonts w:hint="eastAsia"/>
          <w:sz w:val="21"/>
        </w:rPr>
        <w:t>了解神经电生理检查的基本要求、方法及注意事项。</w:t>
      </w:r>
      <w:r>
        <w:rPr>
          <w:sz w:val="21"/>
        </w:rPr>
        <w:t xml:space="preserve">  </w:t>
      </w:r>
    </w:p>
    <w:p w:rsidR="003717A0" w:rsidRDefault="003717A0">
      <w:pPr>
        <w:pStyle w:val="a8"/>
        <w:numPr>
          <w:ilvl w:val="0"/>
          <w:numId w:val="303"/>
        </w:numPr>
        <w:adjustRightInd w:val="0"/>
        <w:snapToGrid w:val="0"/>
        <w:spacing w:line="360" w:lineRule="auto"/>
        <w:ind w:right="4"/>
        <w:jc w:val="both"/>
        <w:rPr>
          <w:sz w:val="21"/>
        </w:rPr>
      </w:pPr>
      <w:r>
        <w:rPr>
          <w:rFonts w:hint="eastAsia"/>
          <w:sz w:val="21"/>
        </w:rPr>
        <w:t>熟悉神经电生理检查结果的分析及判断、神经电生理检查的临床意义。</w:t>
      </w:r>
    </w:p>
    <w:p w:rsidR="003717A0" w:rsidRDefault="003717A0" w:rsidP="005E20B5">
      <w:pPr>
        <w:adjustRightInd w:val="0"/>
        <w:snapToGrid w:val="0"/>
        <w:spacing w:beforeLines="50" w:line="360" w:lineRule="auto"/>
        <w:ind w:right="6"/>
        <w:jc w:val="center"/>
        <w:rPr>
          <w:b/>
          <w:sz w:val="22"/>
        </w:rPr>
      </w:pPr>
      <w:r>
        <w:rPr>
          <w:rFonts w:hint="eastAsia"/>
          <w:b/>
          <w:sz w:val="22"/>
        </w:rPr>
        <w:t>第十四章</w:t>
      </w:r>
      <w:r>
        <w:rPr>
          <w:b/>
          <w:sz w:val="22"/>
        </w:rPr>
        <w:t xml:space="preserve">  </w:t>
      </w:r>
      <w:r>
        <w:rPr>
          <w:rFonts w:hint="eastAsia"/>
          <w:b/>
          <w:sz w:val="22"/>
        </w:rPr>
        <w:t>日常生活活动能力的评定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04"/>
        </w:numPr>
        <w:adjustRightInd w:val="0"/>
        <w:snapToGrid w:val="0"/>
        <w:spacing w:line="360" w:lineRule="auto"/>
        <w:ind w:left="0" w:rightChars="2" w:right="4" w:firstLine="720"/>
        <w:rPr>
          <w:sz w:val="21"/>
        </w:rPr>
      </w:pPr>
      <w:r>
        <w:rPr>
          <w:rFonts w:hint="eastAsia"/>
          <w:sz w:val="21"/>
        </w:rPr>
        <w:t>手运动功能评定：肌力、手的关节活动度、感觉、体积、手的灵巧性及协调性。</w:t>
      </w:r>
    </w:p>
    <w:p w:rsidR="003717A0" w:rsidRDefault="003717A0">
      <w:pPr>
        <w:pStyle w:val="a8"/>
        <w:numPr>
          <w:ilvl w:val="0"/>
          <w:numId w:val="304"/>
        </w:numPr>
        <w:adjustRightInd w:val="0"/>
        <w:snapToGrid w:val="0"/>
        <w:spacing w:line="360" w:lineRule="auto"/>
        <w:ind w:left="0" w:rightChars="2" w:right="4" w:firstLine="720"/>
        <w:rPr>
          <w:sz w:val="21"/>
        </w:rPr>
      </w:pPr>
      <w:r>
        <w:rPr>
          <w:rFonts w:hint="eastAsia"/>
          <w:sz w:val="21"/>
        </w:rPr>
        <w:t>运动功能恢复等级。</w:t>
      </w:r>
    </w:p>
    <w:p w:rsidR="003717A0" w:rsidRDefault="003717A0">
      <w:pPr>
        <w:pStyle w:val="a8"/>
        <w:numPr>
          <w:ilvl w:val="0"/>
          <w:numId w:val="304"/>
        </w:numPr>
        <w:adjustRightInd w:val="0"/>
        <w:snapToGrid w:val="0"/>
        <w:spacing w:line="360" w:lineRule="auto"/>
        <w:ind w:left="0" w:rightChars="2" w:right="4" w:firstLine="720"/>
        <w:rPr>
          <w:sz w:val="21"/>
        </w:rPr>
      </w:pPr>
      <w:r>
        <w:rPr>
          <w:rFonts w:hint="eastAsia"/>
          <w:sz w:val="21"/>
        </w:rPr>
        <w:t>手的整体功能评定：</w:t>
      </w:r>
      <w:r>
        <w:rPr>
          <w:sz w:val="21"/>
        </w:rPr>
        <w:t>Carroll</w:t>
      </w:r>
      <w:r>
        <w:rPr>
          <w:rFonts w:hint="eastAsia"/>
          <w:sz w:val="21"/>
        </w:rPr>
        <w:t>手功能评定法、</w:t>
      </w:r>
      <w:r>
        <w:rPr>
          <w:sz w:val="21"/>
        </w:rPr>
        <w:t>Jebsen</w:t>
      </w:r>
      <w:r>
        <w:rPr>
          <w:rFonts w:hint="eastAsia"/>
          <w:sz w:val="21"/>
        </w:rPr>
        <w:t>手功能测试、</w:t>
      </w:r>
      <w:r>
        <w:rPr>
          <w:sz w:val="21"/>
        </w:rPr>
        <w:t>Sollerman</w:t>
      </w:r>
      <w:r>
        <w:rPr>
          <w:rFonts w:hint="eastAsia"/>
          <w:sz w:val="21"/>
        </w:rPr>
        <w:t>手</w:t>
      </w:r>
      <w:r>
        <w:rPr>
          <w:sz w:val="21"/>
        </w:rPr>
        <w:t>ADL</w:t>
      </w:r>
      <w:r>
        <w:rPr>
          <w:rFonts w:hint="eastAsia"/>
          <w:sz w:val="21"/>
        </w:rPr>
        <w:t>能力测试、</w:t>
      </w:r>
      <w:r>
        <w:rPr>
          <w:sz w:val="21"/>
        </w:rPr>
        <w:t>Carroll</w:t>
      </w:r>
      <w:r>
        <w:rPr>
          <w:rFonts w:hint="eastAsia"/>
          <w:sz w:val="21"/>
        </w:rPr>
        <w:t>手功能评定法。</w:t>
      </w:r>
    </w:p>
    <w:p w:rsidR="003717A0" w:rsidRDefault="003717A0">
      <w:pPr>
        <w:pStyle w:val="a8"/>
        <w:numPr>
          <w:ilvl w:val="0"/>
          <w:numId w:val="304"/>
        </w:numPr>
        <w:adjustRightInd w:val="0"/>
        <w:snapToGrid w:val="0"/>
        <w:spacing w:line="360" w:lineRule="auto"/>
        <w:ind w:left="0" w:rightChars="2" w:right="4" w:firstLine="720"/>
        <w:rPr>
          <w:sz w:val="21"/>
        </w:rPr>
      </w:pPr>
      <w:r>
        <w:rPr>
          <w:rFonts w:hint="eastAsia"/>
          <w:sz w:val="21"/>
        </w:rPr>
        <w:t>手感觉功能评定：浅感觉、深感觉（本体感觉）、复合感觉（皮质感觉）、感觉功能恢复等级。</w:t>
      </w:r>
      <w:r>
        <w:rPr>
          <w:sz w:val="21"/>
        </w:rPr>
        <w:t xml:space="preserve"> </w:t>
      </w:r>
    </w:p>
    <w:p w:rsidR="003717A0" w:rsidRDefault="003717A0">
      <w:pPr>
        <w:pStyle w:val="a8"/>
        <w:numPr>
          <w:ilvl w:val="0"/>
          <w:numId w:val="304"/>
        </w:numPr>
        <w:adjustRightInd w:val="0"/>
        <w:snapToGrid w:val="0"/>
        <w:spacing w:line="360" w:lineRule="auto"/>
        <w:ind w:left="0" w:rightChars="2" w:right="4" w:firstLine="720"/>
        <w:jc w:val="both"/>
        <w:rPr>
          <w:sz w:val="21"/>
        </w:rPr>
      </w:pPr>
      <w:r>
        <w:rPr>
          <w:rFonts w:hint="eastAsia"/>
          <w:sz w:val="21"/>
        </w:rPr>
        <w:t>日常生活活动能力评定定义、分类、内容、评定目的、评定步骤、评定方法、评定时间、评定的场所。</w:t>
      </w:r>
    </w:p>
    <w:p w:rsidR="003717A0" w:rsidRDefault="003717A0">
      <w:pPr>
        <w:pStyle w:val="a8"/>
        <w:numPr>
          <w:ilvl w:val="0"/>
          <w:numId w:val="304"/>
        </w:numPr>
        <w:adjustRightInd w:val="0"/>
        <w:snapToGrid w:val="0"/>
        <w:spacing w:line="360" w:lineRule="auto"/>
        <w:ind w:left="0" w:rightChars="2" w:right="4" w:firstLine="720"/>
        <w:jc w:val="both"/>
        <w:rPr>
          <w:sz w:val="21"/>
        </w:rPr>
      </w:pPr>
      <w:r>
        <w:rPr>
          <w:rFonts w:hint="eastAsia"/>
          <w:sz w:val="21"/>
        </w:rPr>
        <w:t>日常生活活动能力评定方法：</w:t>
      </w:r>
      <w:r>
        <w:rPr>
          <w:sz w:val="21"/>
        </w:rPr>
        <w:t>PADL</w:t>
      </w:r>
      <w:r>
        <w:rPr>
          <w:rFonts w:hint="eastAsia"/>
          <w:sz w:val="21"/>
        </w:rPr>
        <w:t>标准化量表：</w:t>
      </w:r>
      <w:r>
        <w:rPr>
          <w:sz w:val="21"/>
        </w:rPr>
        <w:t>PULSES</w:t>
      </w:r>
      <w:r>
        <w:rPr>
          <w:rFonts w:hint="eastAsia"/>
          <w:sz w:val="21"/>
        </w:rPr>
        <w:t>评定量表、</w:t>
      </w:r>
      <w:r>
        <w:rPr>
          <w:sz w:val="21"/>
        </w:rPr>
        <w:t>Barthel</w:t>
      </w:r>
      <w:r>
        <w:rPr>
          <w:rFonts w:hint="eastAsia"/>
          <w:sz w:val="21"/>
        </w:rPr>
        <w:t>指数评定、</w:t>
      </w:r>
      <w:r>
        <w:rPr>
          <w:sz w:val="21"/>
        </w:rPr>
        <w:t>Katz</w:t>
      </w:r>
      <w:r>
        <w:rPr>
          <w:rFonts w:hint="eastAsia"/>
          <w:sz w:val="21"/>
        </w:rPr>
        <w:t>指数评定、修订的</w:t>
      </w:r>
      <w:r>
        <w:rPr>
          <w:sz w:val="21"/>
        </w:rPr>
        <w:t>Kenny</w:t>
      </w:r>
      <w:r>
        <w:rPr>
          <w:rFonts w:hint="eastAsia"/>
          <w:sz w:val="21"/>
        </w:rPr>
        <w:t>自理评定、功能独立性评定、功能综合评定量表；</w:t>
      </w:r>
      <w:r>
        <w:rPr>
          <w:sz w:val="21"/>
        </w:rPr>
        <w:t>IADL</w:t>
      </w:r>
      <w:r>
        <w:rPr>
          <w:rFonts w:hint="eastAsia"/>
          <w:sz w:val="21"/>
        </w:rPr>
        <w:t>标准化量表：快速残疾评定量表、</w:t>
      </w:r>
      <w:r>
        <w:rPr>
          <w:sz w:val="21"/>
        </w:rPr>
        <w:t>Frenchay</w:t>
      </w:r>
      <w:r>
        <w:rPr>
          <w:rFonts w:hint="eastAsia"/>
          <w:sz w:val="21"/>
        </w:rPr>
        <w:t>活动指数、功能活动问卷。</w:t>
      </w:r>
    </w:p>
    <w:p w:rsidR="003717A0" w:rsidRDefault="003717A0">
      <w:pPr>
        <w:pStyle w:val="a8"/>
        <w:numPr>
          <w:ilvl w:val="0"/>
          <w:numId w:val="304"/>
        </w:numPr>
        <w:adjustRightInd w:val="0"/>
        <w:snapToGrid w:val="0"/>
        <w:spacing w:line="360" w:lineRule="auto"/>
        <w:ind w:left="0" w:rightChars="2" w:right="4" w:firstLine="720"/>
        <w:jc w:val="both"/>
        <w:rPr>
          <w:sz w:val="21"/>
        </w:rPr>
      </w:pPr>
      <w:r>
        <w:rPr>
          <w:rFonts w:hint="eastAsia"/>
          <w:sz w:val="21"/>
        </w:rPr>
        <w:t>评定的注意事项。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05"/>
        </w:numPr>
        <w:tabs>
          <w:tab w:val="left" w:pos="1740"/>
        </w:tabs>
        <w:adjustRightInd w:val="0"/>
        <w:snapToGrid w:val="0"/>
        <w:spacing w:line="360" w:lineRule="auto"/>
        <w:ind w:right="4" w:hanging="340"/>
        <w:jc w:val="both"/>
        <w:rPr>
          <w:sz w:val="21"/>
        </w:rPr>
      </w:pPr>
      <w:r>
        <w:rPr>
          <w:rFonts w:hint="eastAsia"/>
          <w:sz w:val="21"/>
        </w:rPr>
        <w:t>手运动功能评定。</w:t>
      </w:r>
    </w:p>
    <w:p w:rsidR="003717A0" w:rsidRDefault="003717A0">
      <w:pPr>
        <w:pStyle w:val="a8"/>
        <w:numPr>
          <w:ilvl w:val="0"/>
          <w:numId w:val="305"/>
        </w:numPr>
        <w:tabs>
          <w:tab w:val="left" w:pos="1740"/>
        </w:tabs>
        <w:adjustRightInd w:val="0"/>
        <w:snapToGrid w:val="0"/>
        <w:spacing w:line="360" w:lineRule="auto"/>
        <w:ind w:right="4" w:hanging="340"/>
        <w:jc w:val="both"/>
        <w:rPr>
          <w:sz w:val="21"/>
        </w:rPr>
      </w:pPr>
      <w:r>
        <w:rPr>
          <w:rFonts w:hint="eastAsia"/>
          <w:sz w:val="21"/>
        </w:rPr>
        <w:t>手的整体功能评定。</w:t>
      </w:r>
    </w:p>
    <w:p w:rsidR="003717A0" w:rsidRDefault="003717A0">
      <w:pPr>
        <w:pStyle w:val="a8"/>
        <w:numPr>
          <w:ilvl w:val="0"/>
          <w:numId w:val="305"/>
        </w:numPr>
        <w:tabs>
          <w:tab w:val="left" w:pos="1740"/>
        </w:tabs>
        <w:adjustRightInd w:val="0"/>
        <w:snapToGrid w:val="0"/>
        <w:spacing w:line="360" w:lineRule="auto"/>
        <w:ind w:right="4" w:hanging="340"/>
        <w:jc w:val="both"/>
        <w:rPr>
          <w:sz w:val="21"/>
        </w:rPr>
      </w:pPr>
      <w:r>
        <w:rPr>
          <w:rFonts w:hint="eastAsia"/>
          <w:sz w:val="21"/>
        </w:rPr>
        <w:t>手感觉功能评定</w:t>
      </w:r>
    </w:p>
    <w:p w:rsidR="003717A0" w:rsidRDefault="003717A0">
      <w:pPr>
        <w:pStyle w:val="a8"/>
        <w:numPr>
          <w:ilvl w:val="0"/>
          <w:numId w:val="305"/>
        </w:numPr>
        <w:tabs>
          <w:tab w:val="left" w:pos="1740"/>
        </w:tabs>
        <w:adjustRightInd w:val="0"/>
        <w:snapToGrid w:val="0"/>
        <w:spacing w:line="360" w:lineRule="auto"/>
        <w:ind w:right="4" w:hanging="340"/>
        <w:jc w:val="both"/>
        <w:rPr>
          <w:sz w:val="21"/>
        </w:rPr>
      </w:pPr>
      <w:r>
        <w:rPr>
          <w:rFonts w:hint="eastAsia"/>
          <w:sz w:val="21"/>
        </w:rPr>
        <w:t>日常生活活动能力评定方法。</w:t>
      </w:r>
    </w:p>
    <w:p w:rsidR="003717A0" w:rsidRDefault="003717A0">
      <w:pPr>
        <w:pStyle w:val="a8"/>
        <w:numPr>
          <w:ilvl w:val="0"/>
          <w:numId w:val="305"/>
        </w:numPr>
        <w:tabs>
          <w:tab w:val="left" w:pos="1740"/>
        </w:tabs>
        <w:adjustRightInd w:val="0"/>
        <w:snapToGrid w:val="0"/>
        <w:spacing w:line="360" w:lineRule="auto"/>
        <w:ind w:right="4" w:hanging="340"/>
        <w:jc w:val="both"/>
        <w:rPr>
          <w:sz w:val="21"/>
        </w:rPr>
      </w:pPr>
      <w:r>
        <w:rPr>
          <w:rFonts w:hint="eastAsia"/>
          <w:sz w:val="21"/>
        </w:rPr>
        <w:t>评定的注意事项。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06"/>
        </w:numPr>
        <w:adjustRightInd w:val="0"/>
        <w:snapToGrid w:val="0"/>
        <w:spacing w:line="360" w:lineRule="auto"/>
        <w:ind w:right="4"/>
        <w:rPr>
          <w:sz w:val="21"/>
        </w:rPr>
      </w:pPr>
      <w:r>
        <w:rPr>
          <w:rFonts w:hint="eastAsia"/>
          <w:sz w:val="21"/>
        </w:rPr>
        <w:lastRenderedPageBreak/>
        <w:t>了解日常生活活动能力评定定义、分类、内容、评定目的、评定步骤、评定方法、评定</w:t>
      </w:r>
    </w:p>
    <w:p w:rsidR="003717A0" w:rsidRDefault="003717A0">
      <w:pPr>
        <w:pStyle w:val="a8"/>
        <w:adjustRightInd w:val="0"/>
        <w:snapToGrid w:val="0"/>
        <w:spacing w:line="360" w:lineRule="auto"/>
        <w:ind w:left="0" w:right="4"/>
        <w:rPr>
          <w:sz w:val="21"/>
        </w:rPr>
      </w:pPr>
      <w:r>
        <w:rPr>
          <w:rFonts w:hint="eastAsia"/>
          <w:sz w:val="21"/>
        </w:rPr>
        <w:t>时间、评定的场所。。</w:t>
      </w:r>
    </w:p>
    <w:p w:rsidR="003717A0" w:rsidRDefault="003717A0">
      <w:pPr>
        <w:pStyle w:val="a8"/>
        <w:numPr>
          <w:ilvl w:val="0"/>
          <w:numId w:val="306"/>
        </w:numPr>
        <w:adjustRightInd w:val="0"/>
        <w:snapToGrid w:val="0"/>
        <w:spacing w:line="360" w:lineRule="auto"/>
        <w:ind w:right="4"/>
        <w:rPr>
          <w:sz w:val="21"/>
        </w:rPr>
      </w:pPr>
      <w:r>
        <w:rPr>
          <w:rFonts w:hint="eastAsia"/>
          <w:sz w:val="21"/>
        </w:rPr>
        <w:t>熟悉日常生活能力评定的注意事项。</w:t>
      </w:r>
    </w:p>
    <w:p w:rsidR="003717A0" w:rsidRDefault="003717A0">
      <w:pPr>
        <w:pStyle w:val="a8"/>
        <w:numPr>
          <w:ilvl w:val="0"/>
          <w:numId w:val="306"/>
        </w:numPr>
        <w:adjustRightInd w:val="0"/>
        <w:snapToGrid w:val="0"/>
        <w:spacing w:line="360" w:lineRule="auto"/>
        <w:ind w:right="4"/>
        <w:rPr>
          <w:sz w:val="21"/>
        </w:rPr>
      </w:pPr>
      <w:r>
        <w:rPr>
          <w:rFonts w:hint="eastAsia"/>
          <w:sz w:val="21"/>
        </w:rPr>
        <w:t>掌握手运动功能、感觉功能的评定、日常生活活动能力评定方法。</w:t>
      </w:r>
    </w:p>
    <w:p w:rsidR="003717A0" w:rsidRDefault="003717A0" w:rsidP="005E20B5">
      <w:pPr>
        <w:adjustRightInd w:val="0"/>
        <w:snapToGrid w:val="0"/>
        <w:spacing w:beforeLines="50" w:line="360" w:lineRule="auto"/>
        <w:ind w:right="6"/>
        <w:jc w:val="center"/>
        <w:rPr>
          <w:b/>
          <w:sz w:val="22"/>
        </w:rPr>
      </w:pPr>
      <w:r>
        <w:rPr>
          <w:rFonts w:hint="eastAsia"/>
          <w:b/>
          <w:sz w:val="22"/>
        </w:rPr>
        <w:t>第十五章</w:t>
      </w:r>
      <w:r>
        <w:rPr>
          <w:b/>
          <w:sz w:val="22"/>
        </w:rPr>
        <w:t xml:space="preserve">  </w:t>
      </w:r>
      <w:r>
        <w:rPr>
          <w:rFonts w:hint="eastAsia"/>
          <w:b/>
          <w:sz w:val="22"/>
        </w:rPr>
        <w:t>生活质量和社会功能的评定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07"/>
        </w:numPr>
        <w:adjustRightInd w:val="0"/>
        <w:snapToGrid w:val="0"/>
        <w:spacing w:line="360" w:lineRule="auto"/>
        <w:ind w:left="0" w:rightChars="2" w:right="4" w:firstLine="720"/>
        <w:rPr>
          <w:sz w:val="21"/>
        </w:rPr>
      </w:pPr>
      <w:r>
        <w:rPr>
          <w:rFonts w:hint="eastAsia"/>
          <w:sz w:val="21"/>
        </w:rPr>
        <w:t>生活质量、健康相关的生活质量，康复医学实践中进行</w:t>
      </w:r>
      <w:r>
        <w:rPr>
          <w:sz w:val="21"/>
        </w:rPr>
        <w:t>QOL</w:t>
      </w:r>
      <w:r>
        <w:rPr>
          <w:rFonts w:hint="eastAsia"/>
          <w:sz w:val="21"/>
        </w:rPr>
        <w:t>评定的意义。</w:t>
      </w:r>
    </w:p>
    <w:p w:rsidR="003717A0" w:rsidRDefault="003717A0">
      <w:pPr>
        <w:pStyle w:val="a8"/>
        <w:numPr>
          <w:ilvl w:val="0"/>
          <w:numId w:val="307"/>
        </w:numPr>
        <w:adjustRightInd w:val="0"/>
        <w:snapToGrid w:val="0"/>
        <w:spacing w:line="360" w:lineRule="auto"/>
        <w:ind w:left="0" w:rightChars="2" w:right="4" w:firstLine="720"/>
        <w:rPr>
          <w:sz w:val="21"/>
        </w:rPr>
      </w:pPr>
      <w:r>
        <w:rPr>
          <w:sz w:val="21"/>
        </w:rPr>
        <w:t>WHO</w:t>
      </w:r>
      <w:r>
        <w:rPr>
          <w:rFonts w:hint="eastAsia"/>
          <w:sz w:val="21"/>
        </w:rPr>
        <w:t>提出六大方面：身体机能、心理状况、独立能力、社会关系、生活环境、宗教信仰与精神寄托。</w:t>
      </w:r>
    </w:p>
    <w:p w:rsidR="003717A0" w:rsidRDefault="003717A0">
      <w:pPr>
        <w:pStyle w:val="a8"/>
        <w:numPr>
          <w:ilvl w:val="0"/>
          <w:numId w:val="307"/>
        </w:numPr>
        <w:adjustRightInd w:val="0"/>
        <w:snapToGrid w:val="0"/>
        <w:spacing w:line="360" w:lineRule="auto"/>
        <w:ind w:left="0" w:rightChars="2" w:right="4" w:firstLine="720"/>
        <w:rPr>
          <w:sz w:val="21"/>
        </w:rPr>
      </w:pPr>
      <w:r>
        <w:rPr>
          <w:sz w:val="21"/>
        </w:rPr>
        <w:t>WHO</w:t>
      </w:r>
      <w:r>
        <w:rPr>
          <w:rFonts w:hint="eastAsia"/>
          <w:sz w:val="21"/>
        </w:rPr>
        <w:t>生存质量评定量表（</w:t>
      </w:r>
      <w:r>
        <w:rPr>
          <w:sz w:val="21"/>
        </w:rPr>
        <w:t>WHOQOL - 100</w:t>
      </w:r>
      <w:r>
        <w:rPr>
          <w:rFonts w:hint="eastAsia"/>
          <w:sz w:val="21"/>
        </w:rPr>
        <w:t>量表）、健康状况调查问卷（</w:t>
      </w:r>
      <w:r>
        <w:rPr>
          <w:sz w:val="21"/>
        </w:rPr>
        <w:t>36-item short-form</w:t>
      </w:r>
      <w:r>
        <w:rPr>
          <w:rFonts w:hint="eastAsia"/>
          <w:sz w:val="21"/>
        </w:rPr>
        <w:t>，</w:t>
      </w:r>
      <w:r>
        <w:rPr>
          <w:sz w:val="21"/>
        </w:rPr>
        <w:t>SF-36</w:t>
      </w:r>
      <w:r>
        <w:rPr>
          <w:rFonts w:hint="eastAsia"/>
          <w:sz w:val="21"/>
        </w:rPr>
        <w:t>）、健康生存质量表</w:t>
      </w:r>
      <w:r>
        <w:rPr>
          <w:sz w:val="21"/>
        </w:rPr>
        <w:t>( quality of well-being scale</w:t>
      </w:r>
      <w:r>
        <w:rPr>
          <w:rFonts w:hint="eastAsia"/>
          <w:sz w:val="21"/>
        </w:rPr>
        <w:t>，</w:t>
      </w:r>
      <w:r>
        <w:rPr>
          <w:sz w:val="21"/>
        </w:rPr>
        <w:t>QWB )</w:t>
      </w:r>
      <w:r>
        <w:rPr>
          <w:rFonts w:hint="eastAsia"/>
          <w:sz w:val="21"/>
        </w:rPr>
        <w:t>、</w:t>
      </w:r>
      <w:r>
        <w:rPr>
          <w:sz w:val="21"/>
        </w:rPr>
        <w:t xml:space="preserve">SIP ( sickness impact profile )  </w:t>
      </w:r>
      <w:r>
        <w:rPr>
          <w:rFonts w:hint="eastAsia"/>
          <w:sz w:val="21"/>
        </w:rPr>
        <w:t>即疾病影响程度表、</w:t>
      </w:r>
      <w:r>
        <w:rPr>
          <w:sz w:val="21"/>
        </w:rPr>
        <w:t>SWLS(satisfaction with life scale)</w:t>
      </w:r>
      <w:r>
        <w:rPr>
          <w:rFonts w:hint="eastAsia"/>
          <w:sz w:val="21"/>
        </w:rPr>
        <w:t>即生活满意度量表。</w:t>
      </w:r>
    </w:p>
    <w:p w:rsidR="003717A0" w:rsidRDefault="003717A0">
      <w:pPr>
        <w:pStyle w:val="a8"/>
        <w:numPr>
          <w:ilvl w:val="0"/>
          <w:numId w:val="307"/>
        </w:numPr>
        <w:adjustRightInd w:val="0"/>
        <w:snapToGrid w:val="0"/>
        <w:spacing w:line="360" w:lineRule="auto"/>
        <w:ind w:left="0" w:rightChars="2" w:right="4" w:firstLine="720"/>
        <w:rPr>
          <w:sz w:val="21"/>
        </w:rPr>
      </w:pPr>
      <w:r>
        <w:rPr>
          <w:rFonts w:hint="eastAsia"/>
          <w:sz w:val="21"/>
        </w:rPr>
        <w:t>社会功能评定。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08"/>
        </w:numPr>
        <w:tabs>
          <w:tab w:val="left" w:pos="1740"/>
        </w:tabs>
        <w:adjustRightInd w:val="0"/>
        <w:snapToGrid w:val="0"/>
        <w:spacing w:line="360" w:lineRule="auto"/>
        <w:ind w:right="4" w:hanging="340"/>
        <w:jc w:val="both"/>
        <w:rPr>
          <w:sz w:val="21"/>
        </w:rPr>
      </w:pPr>
      <w:r>
        <w:rPr>
          <w:rFonts w:hint="eastAsia"/>
          <w:sz w:val="21"/>
        </w:rPr>
        <w:t>生活质量评定。</w:t>
      </w:r>
    </w:p>
    <w:p w:rsidR="003717A0" w:rsidRDefault="003717A0">
      <w:pPr>
        <w:pStyle w:val="a8"/>
        <w:numPr>
          <w:ilvl w:val="0"/>
          <w:numId w:val="308"/>
        </w:numPr>
        <w:tabs>
          <w:tab w:val="left" w:pos="1740"/>
        </w:tabs>
        <w:adjustRightInd w:val="0"/>
        <w:snapToGrid w:val="0"/>
        <w:spacing w:line="360" w:lineRule="auto"/>
        <w:ind w:right="4" w:hanging="340"/>
        <w:jc w:val="both"/>
        <w:rPr>
          <w:sz w:val="21"/>
        </w:rPr>
      </w:pPr>
      <w:r>
        <w:rPr>
          <w:rFonts w:hint="eastAsia"/>
          <w:sz w:val="21"/>
        </w:rPr>
        <w:t>社会功能评定。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09"/>
        </w:numPr>
        <w:adjustRightInd w:val="0"/>
        <w:snapToGrid w:val="0"/>
        <w:spacing w:line="360" w:lineRule="auto"/>
        <w:ind w:rightChars="2" w:right="4"/>
        <w:rPr>
          <w:sz w:val="21"/>
        </w:rPr>
      </w:pPr>
      <w:r>
        <w:rPr>
          <w:rFonts w:hint="eastAsia"/>
          <w:sz w:val="21"/>
        </w:rPr>
        <w:t>了解生活质量、健康相关的生活质量，康复医学实践中进行</w:t>
      </w:r>
      <w:r>
        <w:rPr>
          <w:sz w:val="21"/>
        </w:rPr>
        <w:t>QOL</w:t>
      </w:r>
      <w:r>
        <w:rPr>
          <w:rFonts w:hint="eastAsia"/>
          <w:sz w:val="21"/>
        </w:rPr>
        <w:t>评定的意义。</w:t>
      </w:r>
    </w:p>
    <w:p w:rsidR="003717A0" w:rsidRDefault="003717A0">
      <w:pPr>
        <w:pStyle w:val="a8"/>
        <w:numPr>
          <w:ilvl w:val="0"/>
          <w:numId w:val="309"/>
        </w:numPr>
        <w:adjustRightInd w:val="0"/>
        <w:snapToGrid w:val="0"/>
        <w:spacing w:line="360" w:lineRule="auto"/>
        <w:ind w:rightChars="2" w:right="4"/>
        <w:rPr>
          <w:sz w:val="21"/>
        </w:rPr>
      </w:pPr>
      <w:r>
        <w:rPr>
          <w:rFonts w:hint="eastAsia"/>
          <w:sz w:val="21"/>
        </w:rPr>
        <w:t>熟悉生活质量评定的内容、注意事项。</w:t>
      </w:r>
    </w:p>
    <w:p w:rsidR="003717A0" w:rsidRDefault="003717A0">
      <w:pPr>
        <w:pStyle w:val="a8"/>
        <w:numPr>
          <w:ilvl w:val="0"/>
          <w:numId w:val="309"/>
        </w:numPr>
        <w:adjustRightInd w:val="0"/>
        <w:snapToGrid w:val="0"/>
        <w:spacing w:line="360" w:lineRule="auto"/>
        <w:ind w:rightChars="2" w:right="4"/>
        <w:rPr>
          <w:sz w:val="21"/>
        </w:rPr>
      </w:pPr>
      <w:r>
        <w:rPr>
          <w:rFonts w:hint="eastAsia"/>
          <w:sz w:val="21"/>
        </w:rPr>
        <w:t>掌握生活质量评定的方法、量表。</w:t>
      </w:r>
    </w:p>
    <w:p w:rsidR="003717A0" w:rsidRDefault="003717A0" w:rsidP="005E20B5">
      <w:pPr>
        <w:adjustRightInd w:val="0"/>
        <w:snapToGrid w:val="0"/>
        <w:spacing w:beforeLines="50" w:line="360" w:lineRule="auto"/>
        <w:ind w:right="6"/>
        <w:jc w:val="center"/>
        <w:rPr>
          <w:b/>
          <w:sz w:val="22"/>
        </w:rPr>
      </w:pPr>
      <w:r>
        <w:rPr>
          <w:rFonts w:hint="eastAsia"/>
          <w:b/>
          <w:sz w:val="22"/>
        </w:rPr>
        <w:t>第十六章</w:t>
      </w:r>
      <w:r>
        <w:rPr>
          <w:b/>
          <w:sz w:val="22"/>
        </w:rPr>
        <w:t xml:space="preserve">  </w:t>
      </w:r>
      <w:r>
        <w:rPr>
          <w:rFonts w:hint="eastAsia"/>
          <w:b/>
          <w:sz w:val="22"/>
        </w:rPr>
        <w:t>常见骨关节疾病的评定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10"/>
        </w:numPr>
        <w:adjustRightInd w:val="0"/>
        <w:snapToGrid w:val="0"/>
        <w:spacing w:line="360" w:lineRule="auto"/>
        <w:ind w:left="0" w:rightChars="2" w:right="4" w:firstLine="720"/>
        <w:rPr>
          <w:sz w:val="21"/>
        </w:rPr>
      </w:pPr>
      <w:r>
        <w:rPr>
          <w:rFonts w:hint="eastAsia"/>
          <w:sz w:val="21"/>
        </w:rPr>
        <w:t>手外伤的运动功能评定、感觉功能评定、手的整体功能评定。</w:t>
      </w:r>
    </w:p>
    <w:p w:rsidR="003717A0" w:rsidRDefault="003717A0">
      <w:pPr>
        <w:pStyle w:val="a8"/>
        <w:numPr>
          <w:ilvl w:val="0"/>
          <w:numId w:val="310"/>
        </w:numPr>
        <w:adjustRightInd w:val="0"/>
        <w:snapToGrid w:val="0"/>
        <w:spacing w:line="360" w:lineRule="auto"/>
        <w:ind w:left="0" w:rightChars="2" w:right="4" w:firstLine="720"/>
        <w:rPr>
          <w:sz w:val="21"/>
        </w:rPr>
      </w:pPr>
      <w:r>
        <w:rPr>
          <w:rFonts w:hint="eastAsia"/>
          <w:sz w:val="21"/>
        </w:rPr>
        <w:t>肩周炎的概述和康复评定。</w:t>
      </w:r>
    </w:p>
    <w:p w:rsidR="003717A0" w:rsidRDefault="003717A0">
      <w:pPr>
        <w:pStyle w:val="a8"/>
        <w:numPr>
          <w:ilvl w:val="0"/>
          <w:numId w:val="310"/>
        </w:numPr>
        <w:adjustRightInd w:val="0"/>
        <w:snapToGrid w:val="0"/>
        <w:spacing w:line="360" w:lineRule="auto"/>
        <w:ind w:left="0" w:rightChars="2" w:right="4" w:firstLine="720"/>
        <w:rPr>
          <w:sz w:val="21"/>
        </w:rPr>
      </w:pPr>
      <w:r>
        <w:rPr>
          <w:rFonts w:hint="eastAsia"/>
          <w:sz w:val="21"/>
        </w:rPr>
        <w:t>颈椎病的概述和康复评定。</w:t>
      </w:r>
    </w:p>
    <w:p w:rsidR="003717A0" w:rsidRDefault="003717A0">
      <w:pPr>
        <w:pStyle w:val="a8"/>
        <w:numPr>
          <w:ilvl w:val="0"/>
          <w:numId w:val="310"/>
        </w:numPr>
        <w:adjustRightInd w:val="0"/>
        <w:snapToGrid w:val="0"/>
        <w:spacing w:line="360" w:lineRule="auto"/>
        <w:ind w:left="0" w:rightChars="2" w:right="4" w:firstLine="720"/>
        <w:rPr>
          <w:sz w:val="21"/>
        </w:rPr>
      </w:pPr>
      <w:r>
        <w:rPr>
          <w:rFonts w:hint="eastAsia"/>
          <w:sz w:val="21"/>
        </w:rPr>
        <w:t>腰椎间盘突出症的概述和康复评定。</w:t>
      </w:r>
    </w:p>
    <w:p w:rsidR="003717A0" w:rsidRDefault="003717A0">
      <w:pPr>
        <w:pStyle w:val="a8"/>
        <w:numPr>
          <w:ilvl w:val="0"/>
          <w:numId w:val="310"/>
        </w:numPr>
        <w:adjustRightInd w:val="0"/>
        <w:snapToGrid w:val="0"/>
        <w:spacing w:line="360" w:lineRule="auto"/>
        <w:ind w:left="0" w:rightChars="2" w:right="4" w:firstLine="720"/>
        <w:rPr>
          <w:sz w:val="21"/>
        </w:rPr>
      </w:pPr>
      <w:r>
        <w:rPr>
          <w:rFonts w:hint="eastAsia"/>
          <w:sz w:val="21"/>
        </w:rPr>
        <w:t>膝关节骨性关节炎的概述和康复评定。</w:t>
      </w:r>
    </w:p>
    <w:p w:rsidR="003717A0" w:rsidRDefault="003717A0">
      <w:pPr>
        <w:pStyle w:val="a8"/>
        <w:numPr>
          <w:ilvl w:val="0"/>
          <w:numId w:val="310"/>
        </w:numPr>
        <w:adjustRightInd w:val="0"/>
        <w:snapToGrid w:val="0"/>
        <w:spacing w:line="360" w:lineRule="auto"/>
        <w:ind w:left="0" w:rightChars="2" w:right="4" w:firstLine="720"/>
        <w:rPr>
          <w:sz w:val="21"/>
        </w:rPr>
      </w:pPr>
      <w:r>
        <w:rPr>
          <w:rFonts w:hint="eastAsia"/>
          <w:sz w:val="21"/>
        </w:rPr>
        <w:t>截肢后全身状况的评定，截肢平面与功能丧失百分率的评定，残肢评定。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11"/>
        </w:numPr>
        <w:adjustRightInd w:val="0"/>
        <w:snapToGrid w:val="0"/>
        <w:spacing w:line="360" w:lineRule="auto"/>
        <w:ind w:left="0" w:rightChars="2" w:right="4" w:firstLine="720"/>
        <w:rPr>
          <w:sz w:val="21"/>
        </w:rPr>
      </w:pPr>
      <w:r>
        <w:rPr>
          <w:rFonts w:hint="eastAsia"/>
          <w:sz w:val="21"/>
        </w:rPr>
        <w:t>手外伤的运动功能评定、感觉功能评定、手的整体功能评定。</w:t>
      </w:r>
    </w:p>
    <w:p w:rsidR="003717A0" w:rsidRDefault="003717A0">
      <w:pPr>
        <w:pStyle w:val="a8"/>
        <w:numPr>
          <w:ilvl w:val="0"/>
          <w:numId w:val="311"/>
        </w:numPr>
        <w:adjustRightInd w:val="0"/>
        <w:snapToGrid w:val="0"/>
        <w:spacing w:line="360" w:lineRule="auto"/>
        <w:ind w:left="0" w:rightChars="2" w:right="4" w:firstLine="720"/>
        <w:rPr>
          <w:sz w:val="21"/>
        </w:rPr>
      </w:pPr>
      <w:r>
        <w:rPr>
          <w:rFonts w:hint="eastAsia"/>
          <w:sz w:val="21"/>
        </w:rPr>
        <w:t>肩周炎的康复评定。</w:t>
      </w:r>
    </w:p>
    <w:p w:rsidR="003717A0" w:rsidRDefault="003717A0">
      <w:pPr>
        <w:pStyle w:val="a8"/>
        <w:numPr>
          <w:ilvl w:val="0"/>
          <w:numId w:val="311"/>
        </w:numPr>
        <w:adjustRightInd w:val="0"/>
        <w:snapToGrid w:val="0"/>
        <w:spacing w:line="360" w:lineRule="auto"/>
        <w:ind w:left="0" w:rightChars="2" w:right="4" w:firstLine="720"/>
        <w:rPr>
          <w:sz w:val="21"/>
        </w:rPr>
      </w:pPr>
      <w:r>
        <w:rPr>
          <w:rFonts w:hint="eastAsia"/>
          <w:sz w:val="21"/>
        </w:rPr>
        <w:t>颈椎病的康复评定。</w:t>
      </w:r>
    </w:p>
    <w:p w:rsidR="003717A0" w:rsidRDefault="003717A0">
      <w:pPr>
        <w:pStyle w:val="a8"/>
        <w:numPr>
          <w:ilvl w:val="0"/>
          <w:numId w:val="311"/>
        </w:numPr>
        <w:adjustRightInd w:val="0"/>
        <w:snapToGrid w:val="0"/>
        <w:spacing w:line="360" w:lineRule="auto"/>
        <w:ind w:left="0" w:rightChars="2" w:right="4" w:firstLine="720"/>
        <w:rPr>
          <w:sz w:val="21"/>
        </w:rPr>
      </w:pPr>
      <w:r>
        <w:rPr>
          <w:rFonts w:hint="eastAsia"/>
          <w:sz w:val="21"/>
        </w:rPr>
        <w:t>腰椎间盘突出症的康复评定。</w:t>
      </w:r>
    </w:p>
    <w:p w:rsidR="003717A0" w:rsidRDefault="003717A0">
      <w:pPr>
        <w:pStyle w:val="a8"/>
        <w:numPr>
          <w:ilvl w:val="0"/>
          <w:numId w:val="311"/>
        </w:numPr>
        <w:adjustRightInd w:val="0"/>
        <w:snapToGrid w:val="0"/>
        <w:spacing w:line="360" w:lineRule="auto"/>
        <w:ind w:left="0" w:rightChars="2" w:right="4" w:firstLine="720"/>
        <w:rPr>
          <w:sz w:val="21"/>
        </w:rPr>
      </w:pPr>
      <w:r>
        <w:rPr>
          <w:rFonts w:hint="eastAsia"/>
          <w:sz w:val="21"/>
        </w:rPr>
        <w:lastRenderedPageBreak/>
        <w:t>膝关节骨性关节炎的康复评定。</w:t>
      </w:r>
    </w:p>
    <w:p w:rsidR="003717A0" w:rsidRDefault="003717A0">
      <w:pPr>
        <w:pStyle w:val="a8"/>
        <w:numPr>
          <w:ilvl w:val="0"/>
          <w:numId w:val="311"/>
        </w:numPr>
        <w:adjustRightInd w:val="0"/>
        <w:snapToGrid w:val="0"/>
        <w:spacing w:line="360" w:lineRule="auto"/>
        <w:ind w:left="0" w:rightChars="2" w:right="4" w:firstLine="720"/>
        <w:rPr>
          <w:sz w:val="21"/>
        </w:rPr>
      </w:pPr>
      <w:r>
        <w:rPr>
          <w:rFonts w:hint="eastAsia"/>
          <w:sz w:val="21"/>
        </w:rPr>
        <w:t>截肢后全身状况的评定，截肢平面与功能丧失百分率的评定，残肢评定。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12"/>
        </w:numPr>
        <w:adjustRightInd w:val="0"/>
        <w:snapToGrid w:val="0"/>
        <w:spacing w:line="360" w:lineRule="auto"/>
        <w:ind w:rightChars="2" w:right="4"/>
        <w:rPr>
          <w:sz w:val="21"/>
        </w:rPr>
      </w:pPr>
      <w:r>
        <w:rPr>
          <w:rFonts w:hint="eastAsia"/>
          <w:sz w:val="21"/>
        </w:rPr>
        <w:t>了解常见骨关节疾病的定义。</w:t>
      </w:r>
    </w:p>
    <w:p w:rsidR="003717A0" w:rsidRDefault="003717A0">
      <w:pPr>
        <w:pStyle w:val="a8"/>
        <w:numPr>
          <w:ilvl w:val="0"/>
          <w:numId w:val="312"/>
        </w:numPr>
        <w:adjustRightInd w:val="0"/>
        <w:snapToGrid w:val="0"/>
        <w:spacing w:line="360" w:lineRule="auto"/>
        <w:ind w:rightChars="2" w:right="4"/>
        <w:rPr>
          <w:sz w:val="21"/>
        </w:rPr>
      </w:pPr>
      <w:r>
        <w:rPr>
          <w:rFonts w:hint="eastAsia"/>
          <w:sz w:val="21"/>
        </w:rPr>
        <w:t>掌握常见骨关节疾病的评定方法。</w:t>
      </w:r>
    </w:p>
    <w:p w:rsidR="003717A0" w:rsidRDefault="003717A0" w:rsidP="005E20B5">
      <w:pPr>
        <w:adjustRightInd w:val="0"/>
        <w:snapToGrid w:val="0"/>
        <w:spacing w:beforeLines="50" w:line="360" w:lineRule="auto"/>
        <w:ind w:right="6"/>
        <w:jc w:val="center"/>
        <w:rPr>
          <w:b/>
          <w:sz w:val="22"/>
        </w:rPr>
      </w:pPr>
      <w:r>
        <w:rPr>
          <w:rFonts w:hint="eastAsia"/>
          <w:b/>
          <w:sz w:val="22"/>
        </w:rPr>
        <w:t>第十七章</w:t>
      </w:r>
      <w:r>
        <w:rPr>
          <w:b/>
          <w:sz w:val="22"/>
        </w:rPr>
        <w:t xml:space="preserve">  </w:t>
      </w:r>
      <w:r>
        <w:rPr>
          <w:rFonts w:hint="eastAsia"/>
          <w:b/>
          <w:sz w:val="22"/>
        </w:rPr>
        <w:t>常见神经系统疾病的评定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13"/>
        </w:numPr>
        <w:adjustRightInd w:val="0"/>
        <w:snapToGrid w:val="0"/>
        <w:spacing w:line="360" w:lineRule="auto"/>
        <w:ind w:left="0" w:rightChars="2" w:right="4" w:firstLine="720"/>
        <w:rPr>
          <w:sz w:val="21"/>
        </w:rPr>
      </w:pPr>
      <w:r>
        <w:rPr>
          <w:rFonts w:hint="eastAsia"/>
          <w:sz w:val="21"/>
        </w:rPr>
        <w:t>脑性瘫痪的评定原则和内容；脑性瘫痪的评定方法。</w:t>
      </w:r>
    </w:p>
    <w:p w:rsidR="003717A0" w:rsidRDefault="003717A0">
      <w:pPr>
        <w:pStyle w:val="a8"/>
        <w:numPr>
          <w:ilvl w:val="0"/>
          <w:numId w:val="313"/>
        </w:numPr>
        <w:adjustRightInd w:val="0"/>
        <w:snapToGrid w:val="0"/>
        <w:spacing w:line="360" w:lineRule="auto"/>
        <w:ind w:left="0" w:rightChars="2" w:right="4" w:firstLine="720"/>
        <w:rPr>
          <w:sz w:val="21"/>
        </w:rPr>
      </w:pPr>
      <w:r>
        <w:rPr>
          <w:rFonts w:hint="eastAsia"/>
          <w:sz w:val="21"/>
        </w:rPr>
        <w:t>脊髓损伤类型的识别</w:t>
      </w:r>
      <w:r>
        <w:rPr>
          <w:sz w:val="21"/>
        </w:rPr>
        <w:t xml:space="preserve"> 1</w:t>
      </w:r>
      <w:r>
        <w:rPr>
          <w:rFonts w:hint="eastAsia"/>
          <w:sz w:val="21"/>
        </w:rPr>
        <w:t>）病因分类</w:t>
      </w:r>
      <w:r>
        <w:rPr>
          <w:sz w:val="21"/>
        </w:rPr>
        <w:t>2</w:t>
      </w:r>
      <w:r>
        <w:rPr>
          <w:rFonts w:hint="eastAsia"/>
          <w:sz w:val="21"/>
        </w:rPr>
        <w:t>）</w:t>
      </w:r>
      <w:r>
        <w:rPr>
          <w:sz w:val="21"/>
        </w:rPr>
        <w:t xml:space="preserve"> </w:t>
      </w:r>
      <w:r>
        <w:rPr>
          <w:rFonts w:hint="eastAsia"/>
          <w:sz w:val="21"/>
        </w:rPr>
        <w:t>神经功能分类：</w:t>
      </w:r>
      <w:r>
        <w:rPr>
          <w:sz w:val="21"/>
        </w:rPr>
        <w:t>92</w:t>
      </w:r>
      <w:r>
        <w:rPr>
          <w:rFonts w:hint="eastAsia"/>
          <w:sz w:val="21"/>
        </w:rPr>
        <w:t>’</w:t>
      </w:r>
      <w:r>
        <w:rPr>
          <w:sz w:val="21"/>
        </w:rPr>
        <w:t xml:space="preserve">ASIA </w:t>
      </w:r>
      <w:r>
        <w:rPr>
          <w:rFonts w:hint="eastAsia"/>
          <w:sz w:val="21"/>
        </w:rPr>
        <w:t>标准主要内容包括以</w:t>
      </w:r>
    </w:p>
    <w:p w:rsidR="003717A0" w:rsidRDefault="003717A0">
      <w:pPr>
        <w:pStyle w:val="a8"/>
        <w:adjustRightInd w:val="0"/>
        <w:snapToGrid w:val="0"/>
        <w:spacing w:line="360" w:lineRule="auto"/>
        <w:ind w:left="0" w:rightChars="2" w:right="4"/>
        <w:rPr>
          <w:sz w:val="21"/>
        </w:rPr>
      </w:pPr>
      <w:r>
        <w:rPr>
          <w:rFonts w:hint="eastAsia"/>
          <w:sz w:val="21"/>
        </w:rPr>
        <w:t>下四个方面：①脊髓损伤的水平②脊髓损伤的程度③</w:t>
      </w:r>
      <w:r>
        <w:rPr>
          <w:sz w:val="21"/>
        </w:rPr>
        <w:t>ASIA</w:t>
      </w:r>
      <w:r>
        <w:rPr>
          <w:rFonts w:hint="eastAsia"/>
          <w:sz w:val="21"/>
        </w:rPr>
        <w:t>残损指数④功能独立性评定。脊柱脊髓损伤诊断：①脊柱损伤诊断：包括骨折部位、类型，脊柱稳定性；②脊髓损伤诊断：</w:t>
      </w:r>
      <w:r>
        <w:rPr>
          <w:sz w:val="21"/>
        </w:rPr>
        <w:t>ASIA</w:t>
      </w:r>
      <w:r>
        <w:rPr>
          <w:rFonts w:hint="eastAsia"/>
          <w:sz w:val="21"/>
        </w:rPr>
        <w:t>分类诊断，包括脊髓损伤水平、程度，运动指数，感觉指数和</w:t>
      </w:r>
      <w:r>
        <w:rPr>
          <w:sz w:val="21"/>
        </w:rPr>
        <w:t>FIM</w:t>
      </w:r>
      <w:r>
        <w:rPr>
          <w:rFonts w:hint="eastAsia"/>
          <w:sz w:val="21"/>
        </w:rPr>
        <w:t>评分等；③复合损伤诊断：包括头部、四肢及内脏的损伤；④并发症的诊断：包括压疮、泌尿系感染等一系列脊髓损伤并发症；⑤其他疾病诊断：包括患者伤前已有或伤后发现的其他疾病。早期康复评定</w:t>
      </w:r>
      <w:r>
        <w:rPr>
          <w:sz w:val="21"/>
        </w:rPr>
        <w:t xml:space="preserve"> 1</w:t>
      </w:r>
      <w:r>
        <w:rPr>
          <w:rFonts w:hint="eastAsia"/>
          <w:sz w:val="21"/>
        </w:rPr>
        <w:t>）脊柱脊髓功能评定：一般应包括：脊柱骨折类型与脊柱稳定性及脊柱矫形器评定；根据</w:t>
      </w:r>
      <w:r>
        <w:rPr>
          <w:sz w:val="21"/>
        </w:rPr>
        <w:t>ASIA</w:t>
      </w:r>
      <w:r>
        <w:rPr>
          <w:rFonts w:hint="eastAsia"/>
          <w:sz w:val="21"/>
        </w:rPr>
        <w:t>标准对脊髓损伤的水平和程度，肌力评分、感觉评分和功能独立性评定（</w:t>
      </w:r>
      <w:r>
        <w:rPr>
          <w:sz w:val="21"/>
        </w:rPr>
        <w:t>FIM</w:t>
      </w:r>
      <w:r>
        <w:rPr>
          <w:rFonts w:hint="eastAsia"/>
          <w:sz w:val="21"/>
        </w:rPr>
        <w:t>）。</w:t>
      </w:r>
      <w:r>
        <w:rPr>
          <w:sz w:val="21"/>
        </w:rPr>
        <w:t>2</w:t>
      </w:r>
      <w:r>
        <w:rPr>
          <w:rFonts w:hint="eastAsia"/>
          <w:sz w:val="21"/>
        </w:rPr>
        <w:t>）躯体功能评定：关节功能评定、肌肉功能评定、上肢功能评定、下肢功能评定、自助具与步行矫形器的评定、泌尿与性功能评定、心肺功能评定。</w:t>
      </w:r>
      <w:r>
        <w:rPr>
          <w:sz w:val="21"/>
        </w:rPr>
        <w:t xml:space="preserve">  3</w:t>
      </w:r>
      <w:r>
        <w:rPr>
          <w:rFonts w:hint="eastAsia"/>
          <w:sz w:val="21"/>
        </w:rPr>
        <w:t>）心理功能评定：一般包括心理状态评定、性格评定、疼痛行为评定。</w:t>
      </w:r>
      <w:r>
        <w:rPr>
          <w:sz w:val="21"/>
        </w:rPr>
        <w:t xml:space="preserve">  4</w:t>
      </w:r>
      <w:r>
        <w:rPr>
          <w:rFonts w:hint="eastAsia"/>
          <w:sz w:val="21"/>
        </w:rPr>
        <w:t>）社会功能评定：一般包括社会生活能力评定、就业能力评定，独立能力评定等。脊髓损伤并发症的评定：常见的并发症有关节挛缩、痉挛、骨质疏松、异位骨化、肺部感染、泌尿系感染、深静脉血栓、压疮、便秘、排尿障碍等，其治疗均需要正确的评估，然后采取正确的治疗才能获得良好的治疗效果。</w:t>
      </w:r>
    </w:p>
    <w:p w:rsidR="003717A0" w:rsidRDefault="003717A0">
      <w:pPr>
        <w:pStyle w:val="a8"/>
        <w:numPr>
          <w:ilvl w:val="0"/>
          <w:numId w:val="313"/>
        </w:numPr>
        <w:adjustRightInd w:val="0"/>
        <w:snapToGrid w:val="0"/>
        <w:spacing w:line="360" w:lineRule="auto"/>
        <w:ind w:rightChars="2" w:right="4"/>
        <w:rPr>
          <w:sz w:val="21"/>
        </w:rPr>
      </w:pPr>
      <w:r>
        <w:rPr>
          <w:rFonts w:hint="eastAsia"/>
          <w:sz w:val="21"/>
        </w:rPr>
        <w:t>偏瘫是最常见的障碍之一，可见于脑卒中、脑外伤等多种疾病和外伤。尽管各种疾病和</w:t>
      </w:r>
    </w:p>
    <w:p w:rsidR="003717A0" w:rsidRDefault="003717A0">
      <w:pPr>
        <w:pStyle w:val="a8"/>
        <w:adjustRightInd w:val="0"/>
        <w:snapToGrid w:val="0"/>
        <w:spacing w:line="360" w:lineRule="auto"/>
        <w:ind w:left="0" w:rightChars="2" w:right="4"/>
        <w:rPr>
          <w:sz w:val="21"/>
        </w:rPr>
      </w:pPr>
      <w:r>
        <w:rPr>
          <w:rFonts w:hint="eastAsia"/>
          <w:sz w:val="21"/>
        </w:rPr>
        <w:t>外伤的诊断和临床处理方法不同，但其造成的偏瘫的功能评定方法是相同的，通称为偏瘫的运动功能评定：偏瘫患者的异常运动模式：中枢性瘫痪的本质、姿势反射；联合反应和运动；共同运动；痉挛模式与特定姿势。偏瘫运动功能评定：</w:t>
      </w:r>
      <w:r>
        <w:rPr>
          <w:sz w:val="21"/>
        </w:rPr>
        <w:t>Brunnstro</w:t>
      </w:r>
      <w:r>
        <w:rPr>
          <w:rFonts w:hint="eastAsia"/>
          <w:sz w:val="21"/>
        </w:rPr>
        <w:t>评价法、</w:t>
      </w:r>
      <w:r>
        <w:rPr>
          <w:sz w:val="21"/>
        </w:rPr>
        <w:t>Bobath</w:t>
      </w:r>
      <w:r>
        <w:rPr>
          <w:rFonts w:hint="eastAsia"/>
          <w:sz w:val="21"/>
        </w:rPr>
        <w:t>评价法、</w:t>
      </w:r>
      <w:r>
        <w:rPr>
          <w:sz w:val="21"/>
        </w:rPr>
        <w:t>MAS</w:t>
      </w:r>
      <w:r>
        <w:rPr>
          <w:rFonts w:hint="eastAsia"/>
          <w:sz w:val="21"/>
        </w:rPr>
        <w:t>、上田敏法、</w:t>
      </w:r>
      <w:r>
        <w:rPr>
          <w:sz w:val="21"/>
        </w:rPr>
        <w:t>Fugl</w:t>
      </w:r>
      <w:r>
        <w:rPr>
          <w:rFonts w:hint="eastAsia"/>
          <w:sz w:val="21"/>
        </w:rPr>
        <w:t>－</w:t>
      </w:r>
      <w:r>
        <w:rPr>
          <w:sz w:val="21"/>
        </w:rPr>
        <w:t>Meyer</w:t>
      </w:r>
      <w:r>
        <w:rPr>
          <w:rFonts w:hint="eastAsia"/>
          <w:sz w:val="21"/>
        </w:rPr>
        <w:t>评价法。偏瘫手的功能评定。评价注意事项包括：①评价中使用的工具要符合要求。如剪指甲刀大小约</w:t>
      </w:r>
      <w:r>
        <w:rPr>
          <w:sz w:val="21"/>
        </w:rPr>
        <w:t>10</w:t>
      </w:r>
      <w:r>
        <w:rPr>
          <w:rFonts w:hint="eastAsia"/>
          <w:sz w:val="21"/>
        </w:rPr>
        <w:t>厘米，不得有特殊加工；衬衫袖口必须是男式衬衫袖口、钮扣不得改造；②动作操作要规范。如取硬币要包括打开和关好钱包；伞要打正，不得把伞扛在肩上，并且要持续</w:t>
      </w:r>
      <w:r>
        <w:rPr>
          <w:sz w:val="21"/>
        </w:rPr>
        <w:t>10</w:t>
      </w:r>
      <w:r>
        <w:rPr>
          <w:rFonts w:hint="eastAsia"/>
          <w:sz w:val="21"/>
        </w:rPr>
        <w:t>秒钟等。</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14"/>
        </w:numPr>
        <w:tabs>
          <w:tab w:val="left" w:pos="1740"/>
        </w:tabs>
        <w:adjustRightInd w:val="0"/>
        <w:snapToGrid w:val="0"/>
        <w:spacing w:line="360" w:lineRule="auto"/>
        <w:ind w:right="4" w:hanging="340"/>
        <w:jc w:val="both"/>
        <w:rPr>
          <w:sz w:val="21"/>
        </w:rPr>
      </w:pPr>
      <w:r>
        <w:rPr>
          <w:rFonts w:hint="eastAsia"/>
          <w:sz w:val="21"/>
        </w:rPr>
        <w:t>脑性瘫痪的评定。</w:t>
      </w:r>
    </w:p>
    <w:p w:rsidR="003717A0" w:rsidRDefault="003717A0">
      <w:pPr>
        <w:pStyle w:val="a8"/>
        <w:numPr>
          <w:ilvl w:val="0"/>
          <w:numId w:val="314"/>
        </w:numPr>
        <w:tabs>
          <w:tab w:val="left" w:pos="1740"/>
        </w:tabs>
        <w:adjustRightInd w:val="0"/>
        <w:snapToGrid w:val="0"/>
        <w:spacing w:line="360" w:lineRule="auto"/>
        <w:ind w:right="4" w:hanging="340"/>
        <w:jc w:val="both"/>
        <w:rPr>
          <w:sz w:val="21"/>
        </w:rPr>
      </w:pPr>
      <w:r>
        <w:rPr>
          <w:rFonts w:hint="eastAsia"/>
          <w:sz w:val="21"/>
        </w:rPr>
        <w:t>截瘫及四肢瘫的评定。</w:t>
      </w:r>
    </w:p>
    <w:p w:rsidR="003717A0" w:rsidRDefault="003717A0">
      <w:pPr>
        <w:pStyle w:val="a8"/>
        <w:numPr>
          <w:ilvl w:val="0"/>
          <w:numId w:val="314"/>
        </w:numPr>
        <w:tabs>
          <w:tab w:val="left" w:pos="1740"/>
        </w:tabs>
        <w:adjustRightInd w:val="0"/>
        <w:snapToGrid w:val="0"/>
        <w:spacing w:line="360" w:lineRule="auto"/>
        <w:ind w:right="4" w:hanging="340"/>
        <w:jc w:val="both"/>
        <w:rPr>
          <w:sz w:val="21"/>
        </w:rPr>
      </w:pPr>
      <w:r>
        <w:rPr>
          <w:rFonts w:hint="eastAsia"/>
          <w:sz w:val="21"/>
        </w:rPr>
        <w:t>偏瘫的评定方法。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15"/>
        </w:numPr>
        <w:adjustRightInd w:val="0"/>
        <w:snapToGrid w:val="0"/>
        <w:spacing w:line="360" w:lineRule="auto"/>
        <w:ind w:rightChars="2" w:right="4"/>
        <w:rPr>
          <w:sz w:val="21"/>
        </w:rPr>
      </w:pPr>
      <w:r>
        <w:rPr>
          <w:rFonts w:hint="eastAsia"/>
          <w:sz w:val="21"/>
        </w:rPr>
        <w:t>了解脑性瘫痪的评定原则和内容，脑性瘫痪的评定方法。</w:t>
      </w:r>
    </w:p>
    <w:p w:rsidR="003717A0" w:rsidRDefault="003717A0">
      <w:pPr>
        <w:pStyle w:val="a8"/>
        <w:numPr>
          <w:ilvl w:val="0"/>
          <w:numId w:val="315"/>
        </w:numPr>
        <w:adjustRightInd w:val="0"/>
        <w:snapToGrid w:val="0"/>
        <w:spacing w:line="360" w:lineRule="auto"/>
        <w:ind w:rightChars="2" w:right="4"/>
        <w:rPr>
          <w:sz w:val="21"/>
        </w:rPr>
      </w:pPr>
      <w:r>
        <w:rPr>
          <w:rFonts w:hint="eastAsia"/>
          <w:sz w:val="21"/>
        </w:rPr>
        <w:lastRenderedPageBreak/>
        <w:t>掌握脊髓损伤的脊髓损伤的水平、脊髓损伤的程度、</w:t>
      </w:r>
      <w:r>
        <w:rPr>
          <w:sz w:val="21"/>
        </w:rPr>
        <w:t>ASIA</w:t>
      </w:r>
      <w:r>
        <w:rPr>
          <w:rFonts w:hint="eastAsia"/>
          <w:sz w:val="21"/>
        </w:rPr>
        <w:t>残损指数、功能独立性评定评定方法。</w:t>
      </w:r>
    </w:p>
    <w:p w:rsidR="003717A0" w:rsidRDefault="003717A0">
      <w:pPr>
        <w:pStyle w:val="a8"/>
        <w:numPr>
          <w:ilvl w:val="0"/>
          <w:numId w:val="315"/>
        </w:numPr>
        <w:adjustRightInd w:val="0"/>
        <w:snapToGrid w:val="0"/>
        <w:spacing w:line="360" w:lineRule="auto"/>
        <w:ind w:rightChars="2" w:right="4"/>
        <w:rPr>
          <w:sz w:val="21"/>
        </w:rPr>
      </w:pPr>
      <w:r>
        <w:rPr>
          <w:rFonts w:hint="eastAsia"/>
          <w:sz w:val="21"/>
        </w:rPr>
        <w:t>了解偏瘫患者的异常运动模式。</w:t>
      </w:r>
    </w:p>
    <w:p w:rsidR="003717A0" w:rsidRDefault="003717A0">
      <w:pPr>
        <w:pStyle w:val="a8"/>
        <w:numPr>
          <w:ilvl w:val="0"/>
          <w:numId w:val="315"/>
        </w:numPr>
        <w:adjustRightInd w:val="0"/>
        <w:snapToGrid w:val="0"/>
        <w:spacing w:line="360" w:lineRule="auto"/>
        <w:ind w:rightChars="2" w:right="4"/>
        <w:rPr>
          <w:sz w:val="21"/>
        </w:rPr>
      </w:pPr>
      <w:r>
        <w:rPr>
          <w:rFonts w:hint="eastAsia"/>
          <w:sz w:val="21"/>
        </w:rPr>
        <w:t>熟悉联合反应和运动、共同运动、痉挛模式与特定姿势。</w:t>
      </w:r>
    </w:p>
    <w:p w:rsidR="003717A0" w:rsidRDefault="003717A0">
      <w:pPr>
        <w:pStyle w:val="a8"/>
        <w:numPr>
          <w:ilvl w:val="0"/>
          <w:numId w:val="315"/>
        </w:numPr>
        <w:adjustRightInd w:val="0"/>
        <w:snapToGrid w:val="0"/>
        <w:spacing w:line="360" w:lineRule="auto"/>
        <w:ind w:rightChars="2" w:right="4"/>
        <w:rPr>
          <w:sz w:val="21"/>
        </w:rPr>
      </w:pPr>
      <w:r>
        <w:rPr>
          <w:rFonts w:hint="eastAsia"/>
          <w:sz w:val="21"/>
        </w:rPr>
        <w:t>掌握</w:t>
      </w:r>
      <w:r>
        <w:rPr>
          <w:sz w:val="21"/>
        </w:rPr>
        <w:t>Brunnstro</w:t>
      </w:r>
      <w:r>
        <w:rPr>
          <w:rFonts w:hint="eastAsia"/>
          <w:sz w:val="21"/>
        </w:rPr>
        <w:t>评价法、</w:t>
      </w:r>
      <w:r>
        <w:rPr>
          <w:sz w:val="21"/>
        </w:rPr>
        <w:t>Bobath</w:t>
      </w:r>
      <w:r>
        <w:rPr>
          <w:rFonts w:hint="eastAsia"/>
          <w:sz w:val="21"/>
        </w:rPr>
        <w:t>评价法、</w:t>
      </w:r>
      <w:r>
        <w:rPr>
          <w:sz w:val="21"/>
        </w:rPr>
        <w:t>MAS</w:t>
      </w:r>
      <w:r>
        <w:rPr>
          <w:rFonts w:hint="eastAsia"/>
          <w:sz w:val="21"/>
        </w:rPr>
        <w:t>、上田敏法、</w:t>
      </w:r>
      <w:r>
        <w:rPr>
          <w:sz w:val="21"/>
        </w:rPr>
        <w:t>Fugl</w:t>
      </w:r>
      <w:r>
        <w:rPr>
          <w:rFonts w:hint="eastAsia"/>
          <w:sz w:val="21"/>
        </w:rPr>
        <w:t>－</w:t>
      </w:r>
      <w:r>
        <w:rPr>
          <w:sz w:val="21"/>
        </w:rPr>
        <w:t>Meyer</w:t>
      </w:r>
      <w:r>
        <w:rPr>
          <w:rFonts w:hint="eastAsia"/>
          <w:sz w:val="21"/>
        </w:rPr>
        <w:t>评价法。</w:t>
      </w:r>
    </w:p>
    <w:p w:rsidR="003717A0" w:rsidRDefault="003717A0" w:rsidP="005E20B5">
      <w:pPr>
        <w:adjustRightInd w:val="0"/>
        <w:snapToGrid w:val="0"/>
        <w:spacing w:beforeLines="50" w:line="360" w:lineRule="auto"/>
        <w:ind w:right="6"/>
        <w:jc w:val="center"/>
        <w:rPr>
          <w:b/>
          <w:sz w:val="22"/>
        </w:rPr>
      </w:pPr>
      <w:r>
        <w:rPr>
          <w:rFonts w:hint="eastAsia"/>
          <w:b/>
          <w:sz w:val="22"/>
        </w:rPr>
        <w:t>第十八章</w:t>
      </w:r>
      <w:r>
        <w:rPr>
          <w:b/>
          <w:sz w:val="22"/>
        </w:rPr>
        <w:t xml:space="preserve">  </w:t>
      </w:r>
      <w:r>
        <w:rPr>
          <w:rFonts w:hint="eastAsia"/>
          <w:b/>
          <w:sz w:val="22"/>
        </w:rPr>
        <w:t>康复常见并发症的评定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16"/>
        </w:numPr>
        <w:adjustRightInd w:val="0"/>
        <w:snapToGrid w:val="0"/>
        <w:spacing w:line="360" w:lineRule="auto"/>
        <w:ind w:left="0" w:rightChars="2" w:right="4" w:firstLine="720"/>
        <w:rPr>
          <w:sz w:val="21"/>
        </w:rPr>
      </w:pPr>
      <w:r>
        <w:rPr>
          <w:rFonts w:hint="eastAsia"/>
          <w:sz w:val="21"/>
        </w:rPr>
        <w:t>压疮评定：压疮发生的原因和好发部位、压疮的分级与评定、预后评定法。</w:t>
      </w:r>
      <w:r>
        <w:rPr>
          <w:sz w:val="21"/>
        </w:rPr>
        <w:t xml:space="preserve"> </w:t>
      </w:r>
    </w:p>
    <w:p w:rsidR="003717A0" w:rsidRDefault="003717A0">
      <w:pPr>
        <w:pStyle w:val="a8"/>
        <w:numPr>
          <w:ilvl w:val="0"/>
          <w:numId w:val="316"/>
        </w:numPr>
        <w:adjustRightInd w:val="0"/>
        <w:snapToGrid w:val="0"/>
        <w:spacing w:line="360" w:lineRule="auto"/>
        <w:ind w:left="0" w:rightChars="2" w:right="4" w:firstLine="720"/>
        <w:rPr>
          <w:sz w:val="21"/>
        </w:rPr>
      </w:pPr>
      <w:r>
        <w:rPr>
          <w:rFonts w:hint="eastAsia"/>
          <w:sz w:val="21"/>
        </w:rPr>
        <w:t>吞咽困难的评定：吞咽过程、常用的评定方法、吞咽功能评定。</w:t>
      </w:r>
    </w:p>
    <w:p w:rsidR="003717A0" w:rsidRDefault="003717A0">
      <w:pPr>
        <w:pStyle w:val="a8"/>
        <w:numPr>
          <w:ilvl w:val="0"/>
          <w:numId w:val="316"/>
        </w:numPr>
        <w:adjustRightInd w:val="0"/>
        <w:snapToGrid w:val="0"/>
        <w:spacing w:line="360" w:lineRule="auto"/>
        <w:ind w:left="0" w:rightChars="2" w:right="4" w:firstLine="720"/>
        <w:rPr>
          <w:sz w:val="21"/>
        </w:rPr>
      </w:pPr>
      <w:r>
        <w:rPr>
          <w:rFonts w:hint="eastAsia"/>
          <w:sz w:val="21"/>
        </w:rPr>
        <w:t>排尿障碍评定：神经元性排尿障碍的特点、神经元性排尿障碍评定、常见的神经元性排尿障碍分析及评定。</w:t>
      </w:r>
    </w:p>
    <w:p w:rsidR="003717A0" w:rsidRDefault="003717A0">
      <w:pPr>
        <w:pStyle w:val="a8"/>
        <w:numPr>
          <w:ilvl w:val="0"/>
          <w:numId w:val="316"/>
        </w:numPr>
        <w:adjustRightInd w:val="0"/>
        <w:snapToGrid w:val="0"/>
        <w:spacing w:line="360" w:lineRule="auto"/>
        <w:ind w:left="0" w:rightChars="2" w:right="4" w:firstLine="720"/>
        <w:rPr>
          <w:sz w:val="21"/>
        </w:rPr>
      </w:pPr>
      <w:r>
        <w:rPr>
          <w:rFonts w:hint="eastAsia"/>
          <w:sz w:val="21"/>
        </w:rPr>
        <w:t>排便障碍评定：常见的排便功能障碍、排便障碍评定。</w:t>
      </w:r>
    </w:p>
    <w:p w:rsidR="003717A0" w:rsidRDefault="003717A0">
      <w:pPr>
        <w:pStyle w:val="a8"/>
        <w:numPr>
          <w:ilvl w:val="0"/>
          <w:numId w:val="316"/>
        </w:numPr>
        <w:adjustRightInd w:val="0"/>
        <w:snapToGrid w:val="0"/>
        <w:spacing w:line="360" w:lineRule="auto"/>
        <w:ind w:left="0" w:rightChars="2" w:right="4" w:firstLine="720"/>
        <w:rPr>
          <w:sz w:val="21"/>
        </w:rPr>
      </w:pPr>
      <w:r>
        <w:rPr>
          <w:rFonts w:hint="eastAsia"/>
          <w:sz w:val="21"/>
        </w:rPr>
        <w:t>性功能评定：正常性功能与残疾人的性满足、性功能障碍的类型、性功能障碍的原因、性功能障碍的评定。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17"/>
        </w:numPr>
        <w:tabs>
          <w:tab w:val="left" w:pos="1740"/>
        </w:tabs>
        <w:adjustRightInd w:val="0"/>
        <w:snapToGrid w:val="0"/>
        <w:spacing w:line="360" w:lineRule="auto"/>
        <w:ind w:right="4" w:hanging="340"/>
        <w:jc w:val="both"/>
        <w:rPr>
          <w:sz w:val="21"/>
        </w:rPr>
      </w:pPr>
      <w:r>
        <w:rPr>
          <w:rFonts w:hint="eastAsia"/>
          <w:sz w:val="21"/>
        </w:rPr>
        <w:t>压疮评定方法。</w:t>
      </w:r>
    </w:p>
    <w:p w:rsidR="003717A0" w:rsidRDefault="003717A0">
      <w:pPr>
        <w:pStyle w:val="a8"/>
        <w:numPr>
          <w:ilvl w:val="0"/>
          <w:numId w:val="317"/>
        </w:numPr>
        <w:tabs>
          <w:tab w:val="left" w:pos="1740"/>
        </w:tabs>
        <w:adjustRightInd w:val="0"/>
        <w:snapToGrid w:val="0"/>
        <w:spacing w:line="360" w:lineRule="auto"/>
        <w:ind w:right="4" w:hanging="340"/>
        <w:jc w:val="both"/>
        <w:rPr>
          <w:sz w:val="21"/>
        </w:rPr>
      </w:pPr>
      <w:r>
        <w:rPr>
          <w:rFonts w:hint="eastAsia"/>
          <w:sz w:val="21"/>
        </w:rPr>
        <w:t>吞咽困难的评定方法。</w:t>
      </w:r>
    </w:p>
    <w:p w:rsidR="003717A0" w:rsidRDefault="003717A0">
      <w:pPr>
        <w:pStyle w:val="a8"/>
        <w:numPr>
          <w:ilvl w:val="0"/>
          <w:numId w:val="317"/>
        </w:numPr>
        <w:tabs>
          <w:tab w:val="left" w:pos="1740"/>
        </w:tabs>
        <w:adjustRightInd w:val="0"/>
        <w:snapToGrid w:val="0"/>
        <w:spacing w:line="360" w:lineRule="auto"/>
        <w:ind w:right="4" w:hanging="340"/>
        <w:jc w:val="both"/>
        <w:rPr>
          <w:sz w:val="21"/>
        </w:rPr>
      </w:pPr>
      <w:r>
        <w:rPr>
          <w:rFonts w:hint="eastAsia"/>
          <w:sz w:val="21"/>
        </w:rPr>
        <w:t>排尿障碍评定、排便障碍评定方法。</w:t>
      </w:r>
    </w:p>
    <w:p w:rsidR="003717A0" w:rsidRDefault="003717A0">
      <w:pPr>
        <w:pStyle w:val="a8"/>
        <w:numPr>
          <w:ilvl w:val="0"/>
          <w:numId w:val="317"/>
        </w:numPr>
        <w:tabs>
          <w:tab w:val="left" w:pos="1740"/>
        </w:tabs>
        <w:adjustRightInd w:val="0"/>
        <w:snapToGrid w:val="0"/>
        <w:spacing w:line="360" w:lineRule="auto"/>
        <w:ind w:right="4" w:hanging="340"/>
        <w:jc w:val="both"/>
        <w:rPr>
          <w:sz w:val="21"/>
        </w:rPr>
      </w:pPr>
      <w:r>
        <w:rPr>
          <w:rFonts w:hint="eastAsia"/>
          <w:sz w:val="21"/>
        </w:rPr>
        <w:t>性功能评定方法。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adjustRightInd w:val="0"/>
        <w:snapToGrid w:val="0"/>
        <w:spacing w:line="360" w:lineRule="auto"/>
        <w:ind w:left="0" w:rightChars="2" w:right="4" w:firstLineChars="400" w:firstLine="840"/>
        <w:rPr>
          <w:sz w:val="21"/>
        </w:rPr>
      </w:pPr>
      <w:r>
        <w:rPr>
          <w:rFonts w:hint="eastAsia"/>
          <w:sz w:val="21"/>
        </w:rPr>
        <w:t>熟悉压疮评定、吞咽困难的评定、排尿障碍评定、排便障碍评定、性功能评定。</w:t>
      </w:r>
    </w:p>
    <w:p w:rsidR="003717A0" w:rsidRDefault="003717A0" w:rsidP="005E20B5">
      <w:pPr>
        <w:adjustRightInd w:val="0"/>
        <w:snapToGrid w:val="0"/>
        <w:spacing w:beforeLines="50" w:line="360" w:lineRule="auto"/>
        <w:ind w:right="6"/>
        <w:jc w:val="center"/>
        <w:rPr>
          <w:b/>
          <w:sz w:val="22"/>
        </w:rPr>
      </w:pPr>
      <w:r>
        <w:rPr>
          <w:rFonts w:hint="eastAsia"/>
          <w:b/>
          <w:sz w:val="22"/>
        </w:rPr>
        <w:t>第十九章</w:t>
      </w:r>
      <w:r>
        <w:rPr>
          <w:b/>
          <w:sz w:val="22"/>
        </w:rPr>
        <w:t xml:space="preserve">  </w:t>
      </w:r>
      <w:r>
        <w:rPr>
          <w:rFonts w:hint="eastAsia"/>
          <w:b/>
          <w:sz w:val="22"/>
        </w:rPr>
        <w:t>环境评定</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1</w:t>
      </w:r>
      <w:r>
        <w:rPr>
          <w:rFonts w:ascii="Times New Roman" w:hint="eastAsia"/>
          <w:b/>
        </w:rPr>
        <w:t>学时）</w:t>
      </w:r>
    </w:p>
    <w:p w:rsidR="003717A0" w:rsidRDefault="003717A0">
      <w:pPr>
        <w:pStyle w:val="a8"/>
        <w:numPr>
          <w:ilvl w:val="0"/>
          <w:numId w:val="318"/>
        </w:numPr>
        <w:adjustRightInd w:val="0"/>
        <w:snapToGrid w:val="0"/>
        <w:spacing w:line="360" w:lineRule="auto"/>
        <w:ind w:left="0" w:rightChars="2" w:right="4" w:firstLine="720"/>
        <w:rPr>
          <w:sz w:val="21"/>
        </w:rPr>
      </w:pPr>
      <w:r>
        <w:rPr>
          <w:rFonts w:hint="eastAsia"/>
          <w:sz w:val="21"/>
        </w:rPr>
        <w:t>环境和无障碍环境定义。</w:t>
      </w:r>
    </w:p>
    <w:p w:rsidR="003717A0" w:rsidRDefault="003717A0">
      <w:pPr>
        <w:pStyle w:val="a8"/>
        <w:numPr>
          <w:ilvl w:val="0"/>
          <w:numId w:val="318"/>
        </w:numPr>
        <w:adjustRightInd w:val="0"/>
        <w:snapToGrid w:val="0"/>
        <w:spacing w:line="360" w:lineRule="auto"/>
        <w:ind w:left="0" w:rightChars="2" w:right="4" w:firstLine="720"/>
        <w:rPr>
          <w:sz w:val="21"/>
        </w:rPr>
      </w:pPr>
      <w:r>
        <w:rPr>
          <w:rFonts w:hint="eastAsia"/>
          <w:sz w:val="21"/>
        </w:rPr>
        <w:t>国内外无障碍环境简况、无障碍环境内容、人造物质环境分类。</w:t>
      </w:r>
    </w:p>
    <w:p w:rsidR="003717A0" w:rsidRDefault="003717A0">
      <w:pPr>
        <w:pStyle w:val="a8"/>
        <w:numPr>
          <w:ilvl w:val="0"/>
          <w:numId w:val="318"/>
        </w:numPr>
        <w:adjustRightInd w:val="0"/>
        <w:snapToGrid w:val="0"/>
        <w:spacing w:line="360" w:lineRule="auto"/>
        <w:ind w:left="0" w:rightChars="2" w:right="4" w:firstLine="720"/>
        <w:rPr>
          <w:sz w:val="21"/>
        </w:rPr>
      </w:pPr>
      <w:r>
        <w:rPr>
          <w:rFonts w:hint="eastAsia"/>
          <w:sz w:val="21"/>
        </w:rPr>
        <w:t>环境评定方法：环境评定分级、环境评定内容、环境评定应用、环境评定结果。</w:t>
      </w:r>
    </w:p>
    <w:p w:rsidR="003717A0" w:rsidRDefault="003717A0">
      <w:pPr>
        <w:pStyle w:val="a8"/>
        <w:numPr>
          <w:ilvl w:val="0"/>
          <w:numId w:val="318"/>
        </w:numPr>
        <w:adjustRightInd w:val="0"/>
        <w:snapToGrid w:val="0"/>
        <w:spacing w:line="360" w:lineRule="auto"/>
        <w:ind w:left="0" w:rightChars="2" w:right="4" w:firstLine="720"/>
        <w:rPr>
          <w:sz w:val="21"/>
        </w:rPr>
      </w:pPr>
      <w:r>
        <w:rPr>
          <w:rFonts w:hint="eastAsia"/>
          <w:sz w:val="21"/>
        </w:rPr>
        <w:t>环境评定解决方案、环境改造步骤、环境改造应用举例、附件。</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0.5</w:t>
      </w:r>
      <w:r>
        <w:rPr>
          <w:rFonts w:ascii="Times New Roman" w:hint="eastAsia"/>
          <w:b/>
        </w:rPr>
        <w:t>学时）</w:t>
      </w:r>
    </w:p>
    <w:p w:rsidR="003717A0" w:rsidRDefault="003717A0">
      <w:pPr>
        <w:pStyle w:val="a8"/>
        <w:numPr>
          <w:ilvl w:val="0"/>
          <w:numId w:val="319"/>
        </w:numPr>
        <w:tabs>
          <w:tab w:val="left" w:pos="1740"/>
        </w:tabs>
        <w:adjustRightInd w:val="0"/>
        <w:snapToGrid w:val="0"/>
        <w:spacing w:line="360" w:lineRule="auto"/>
        <w:ind w:right="4" w:hanging="340"/>
        <w:jc w:val="both"/>
        <w:rPr>
          <w:sz w:val="21"/>
        </w:rPr>
      </w:pPr>
      <w:r>
        <w:rPr>
          <w:rFonts w:hint="eastAsia"/>
          <w:sz w:val="21"/>
        </w:rPr>
        <w:t>环境评定方法。</w:t>
      </w:r>
    </w:p>
    <w:p w:rsidR="003717A0" w:rsidRDefault="003717A0">
      <w:pPr>
        <w:pStyle w:val="a8"/>
        <w:numPr>
          <w:ilvl w:val="0"/>
          <w:numId w:val="319"/>
        </w:numPr>
        <w:tabs>
          <w:tab w:val="left" w:pos="1740"/>
        </w:tabs>
        <w:adjustRightInd w:val="0"/>
        <w:snapToGrid w:val="0"/>
        <w:spacing w:line="360" w:lineRule="auto"/>
        <w:ind w:right="4" w:hanging="340"/>
        <w:jc w:val="both"/>
        <w:rPr>
          <w:sz w:val="21"/>
        </w:rPr>
      </w:pPr>
      <w:r>
        <w:rPr>
          <w:rFonts w:hint="eastAsia"/>
          <w:sz w:val="21"/>
        </w:rPr>
        <w:t>环境评定解决方案、环境改造步骤、环境改造应用举例。</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adjustRightInd w:val="0"/>
        <w:snapToGrid w:val="0"/>
        <w:spacing w:line="360" w:lineRule="auto"/>
        <w:ind w:leftChars="133" w:left="279" w:rightChars="2" w:right="4" w:firstLineChars="200" w:firstLine="420"/>
        <w:rPr>
          <w:sz w:val="21"/>
        </w:rPr>
      </w:pPr>
      <w:r>
        <w:rPr>
          <w:rFonts w:hint="eastAsia"/>
          <w:sz w:val="21"/>
        </w:rPr>
        <w:t>了解环境和无障碍环境定义、环境评定方法、环境评定解决方案、环境改造步骤、环境</w:t>
      </w:r>
    </w:p>
    <w:p w:rsidR="003717A0" w:rsidRPr="00EA5BFD" w:rsidRDefault="003717A0" w:rsidP="00F5156D">
      <w:pPr>
        <w:pStyle w:val="a8"/>
        <w:adjustRightInd w:val="0"/>
        <w:snapToGrid w:val="0"/>
        <w:spacing w:line="360" w:lineRule="auto"/>
        <w:ind w:rightChars="2" w:right="4"/>
        <w:rPr>
          <w:sz w:val="21"/>
          <w:szCs w:val="21"/>
        </w:rPr>
      </w:pPr>
      <w:r w:rsidRPr="00EA5BFD">
        <w:rPr>
          <w:rFonts w:hint="eastAsia"/>
          <w:sz w:val="21"/>
          <w:szCs w:val="21"/>
        </w:rPr>
        <w:t>改造应用举例、附件。</w:t>
      </w:r>
    </w:p>
    <w:p w:rsidR="003717A0" w:rsidRDefault="003717A0">
      <w:pPr>
        <w:adjustRightInd w:val="0"/>
        <w:snapToGrid w:val="0"/>
        <w:spacing w:line="360" w:lineRule="auto"/>
        <w:jc w:val="center"/>
        <w:rPr>
          <w:b/>
          <w:bCs/>
          <w:sz w:val="28"/>
          <w:szCs w:val="28"/>
        </w:rPr>
      </w:pPr>
      <w:r>
        <w:rPr>
          <w:rFonts w:hint="eastAsia"/>
          <w:b/>
          <w:bCs/>
          <w:sz w:val="28"/>
          <w:szCs w:val="28"/>
        </w:rPr>
        <w:lastRenderedPageBreak/>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260"/>
        <w:gridCol w:w="709"/>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260"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709"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260" w:type="dxa"/>
          </w:tcPr>
          <w:p w:rsidR="003717A0" w:rsidRDefault="003717A0">
            <w:pPr>
              <w:rPr>
                <w:rFonts w:ascii="Times New Roman" w:hAnsi="Times New Roman"/>
              </w:rPr>
            </w:pPr>
            <w:r>
              <w:rPr>
                <w:rFonts w:ascii="Arial" w:hAnsi="Arial" w:hint="eastAsia"/>
                <w:szCs w:val="21"/>
                <w:shd w:val="clear" w:color="auto" w:fill="FFFFFF"/>
              </w:rPr>
              <w:t>总论</w:t>
            </w:r>
          </w:p>
        </w:tc>
        <w:tc>
          <w:tcPr>
            <w:tcW w:w="709" w:type="dxa"/>
            <w:vAlign w:val="center"/>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人体形态评定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神经系统反射的评定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心肺功能的评定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认知功能的评定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言语功能的评定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感觉功能的评定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肌张力的评定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肌力的评定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关节活动度的评定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11</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协调与平衡评定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步态分析</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神经电生理检查</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日常生活活动能力的评定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生活质量评定和社会功能的评定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常见骨关节疾病的评定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常见神经疾病的评定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18</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康复常见并发症的评定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19</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环境评定</w:t>
            </w:r>
          </w:p>
        </w:tc>
        <w:tc>
          <w:tcPr>
            <w:tcW w:w="709" w:type="dxa"/>
            <w:vAlign w:val="center"/>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p>
        </w:tc>
        <w:tc>
          <w:tcPr>
            <w:tcW w:w="3260"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54</w:t>
            </w:r>
          </w:p>
        </w:tc>
        <w:tc>
          <w:tcPr>
            <w:tcW w:w="3260"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rPr>
          <w:b/>
          <w:bCs/>
          <w:sz w:val="28"/>
          <w:szCs w:val="28"/>
        </w:rPr>
      </w:pPr>
    </w:p>
    <w:p w:rsidR="003717A0" w:rsidRDefault="003717A0">
      <w:pPr>
        <w:adjustRightInd w:val="0"/>
        <w:snapToGrid w:val="0"/>
        <w:spacing w:line="360" w:lineRule="auto"/>
        <w:jc w:val="center"/>
        <w:rPr>
          <w:b/>
          <w:bCs/>
          <w:sz w:val="28"/>
          <w:szCs w:val="28"/>
        </w:rPr>
      </w:pPr>
      <w:r>
        <w:rPr>
          <w:rFonts w:hint="eastAsia"/>
          <w:b/>
          <w:bCs/>
          <w:sz w:val="28"/>
          <w:szCs w:val="28"/>
        </w:rPr>
        <w:t>实验课学时分配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260"/>
        <w:gridCol w:w="709"/>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260" w:type="dxa"/>
            <w:vAlign w:val="center"/>
          </w:tcPr>
          <w:p w:rsidR="003717A0" w:rsidRDefault="003717A0">
            <w:pPr>
              <w:adjustRightInd w:val="0"/>
              <w:snapToGrid w:val="0"/>
              <w:jc w:val="center"/>
              <w:rPr>
                <w:sz w:val="24"/>
              </w:rPr>
            </w:pPr>
            <w:r>
              <w:rPr>
                <w:rFonts w:hint="eastAsia"/>
                <w:sz w:val="24"/>
              </w:rPr>
              <w:t>实验内容</w:t>
            </w:r>
          </w:p>
          <w:p w:rsidR="003717A0" w:rsidRDefault="003717A0">
            <w:pPr>
              <w:adjustRightInd w:val="0"/>
              <w:snapToGrid w:val="0"/>
              <w:jc w:val="center"/>
              <w:rPr>
                <w:sz w:val="24"/>
              </w:rPr>
            </w:pPr>
            <w:r>
              <w:rPr>
                <w:rFonts w:hint="eastAsia"/>
                <w:sz w:val="24"/>
              </w:rPr>
              <w:t>（具体章节或实验）</w:t>
            </w:r>
          </w:p>
        </w:tc>
        <w:tc>
          <w:tcPr>
            <w:tcW w:w="709"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260" w:type="dxa"/>
          </w:tcPr>
          <w:p w:rsidR="003717A0" w:rsidRDefault="003717A0">
            <w:pPr>
              <w:rPr>
                <w:rFonts w:ascii="Times New Roman" w:hAnsi="Times New Roman"/>
              </w:rPr>
            </w:pPr>
            <w:r>
              <w:rPr>
                <w:rFonts w:ascii="Arial" w:hAnsi="Arial" w:hint="eastAsia"/>
                <w:szCs w:val="21"/>
                <w:shd w:val="clear" w:color="auto" w:fill="FFFFFF"/>
              </w:rPr>
              <w:t>总论</w:t>
            </w:r>
          </w:p>
        </w:tc>
        <w:tc>
          <w:tcPr>
            <w:tcW w:w="709" w:type="dxa"/>
            <w:vAlign w:val="center"/>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人体形态评定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神经系统反射的评定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心肺功能的评定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认知功能的评定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言语功能的评定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感觉功能的评定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肌张力的评定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肌力的评定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关节活动度的评定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11</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协调与平衡评定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步态分析</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神经电生理检查</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日常生活活动能力的评定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lastRenderedPageBreak/>
              <w:t>15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生活质量评定和社会功能的评定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常见骨关节疾病的评定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常见神经疾病的评定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18</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康复常见并发症的评定</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19</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环境评定</w:t>
            </w:r>
          </w:p>
        </w:tc>
        <w:tc>
          <w:tcPr>
            <w:tcW w:w="709" w:type="dxa"/>
            <w:vAlign w:val="center"/>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260"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54</w:t>
            </w:r>
          </w:p>
        </w:tc>
        <w:tc>
          <w:tcPr>
            <w:tcW w:w="3260"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多媒体教室、康复治疗实验室、附属医院康复治疗中心等；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多媒体教学课件、各种康复器械、各种评定工具等。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理论课教材：王玉龙主编，《康复功能评定学》，人民卫生出版社，</w:t>
      </w:r>
      <w:r>
        <w:rPr>
          <w:rFonts w:ascii="Times New Roman" w:hAnsi="Times New Roman"/>
        </w:rPr>
        <w:t>2013.3</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实验课教材：王玉龙主编，《康复功能评定学》，人民卫生出版社，</w:t>
      </w:r>
      <w:r>
        <w:rPr>
          <w:rFonts w:ascii="Times New Roman" w:hAnsi="Times New Roman"/>
        </w:rPr>
        <w:t>2013.3</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numPr>
          <w:ilvl w:val="0"/>
          <w:numId w:val="149"/>
        </w:numPr>
        <w:adjustRightInd w:val="0"/>
        <w:snapToGrid w:val="0"/>
        <w:spacing w:line="360" w:lineRule="auto"/>
        <w:ind w:left="0" w:right="4" w:firstLine="480"/>
        <w:rPr>
          <w:rFonts w:ascii="Times New Roman" w:hAnsi="Times New Roman"/>
        </w:rPr>
      </w:pPr>
      <w:r>
        <w:rPr>
          <w:rFonts w:ascii="Times New Roman" w:hAnsi="Times New Roman" w:hint="eastAsia"/>
        </w:rPr>
        <w:t>恽晓平主编，《康复疗法评定学》，华夏出版社，</w:t>
      </w:r>
      <w:r>
        <w:rPr>
          <w:rFonts w:ascii="Times New Roman" w:hAnsi="Times New Roman"/>
        </w:rPr>
        <w:t xml:space="preserve">2005.7 </w:t>
      </w:r>
    </w:p>
    <w:p w:rsidR="003717A0" w:rsidRDefault="003717A0">
      <w:pPr>
        <w:numPr>
          <w:ilvl w:val="0"/>
          <w:numId w:val="149"/>
        </w:numPr>
        <w:adjustRightInd w:val="0"/>
        <w:snapToGrid w:val="0"/>
        <w:spacing w:line="360" w:lineRule="auto"/>
        <w:ind w:left="0" w:right="4" w:firstLine="480"/>
        <w:rPr>
          <w:rFonts w:ascii="Times New Roman" w:hAnsi="Times New Roman"/>
        </w:rPr>
      </w:pPr>
      <w:r>
        <w:rPr>
          <w:rFonts w:ascii="Times New Roman" w:hAnsi="Times New Roman" w:hint="eastAsia"/>
        </w:rPr>
        <w:t>国内外医学院校康复评定学专业及教研室的相关网站</w:t>
      </w: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制定人：蔡俊燕</w:t>
      </w:r>
    </w:p>
    <w:p w:rsidR="003717A0" w:rsidRDefault="00EA5BFD" w:rsidP="005E20B5">
      <w:pPr>
        <w:adjustRightInd w:val="0"/>
        <w:snapToGrid w:val="0"/>
        <w:spacing w:beforeLines="50" w:afterLines="50" w:line="360" w:lineRule="auto"/>
        <w:jc w:val="center"/>
        <w:rPr>
          <w:rFonts w:ascii="黑体" w:eastAsia="黑体"/>
          <w:b/>
          <w:sz w:val="30"/>
          <w:szCs w:val="30"/>
        </w:rPr>
      </w:pPr>
      <w:r>
        <w:rPr>
          <w:rFonts w:ascii="黑体" w:eastAsia="黑体" w:cs="黑体"/>
          <w:kern w:val="0"/>
          <w:szCs w:val="21"/>
        </w:rPr>
        <w:t xml:space="preserve">                             </w:t>
      </w:r>
      <w:r w:rsidR="003717A0">
        <w:rPr>
          <w:rFonts w:ascii="黑体" w:eastAsia="黑体" w:cs="黑体"/>
          <w:kern w:val="0"/>
          <w:szCs w:val="21"/>
        </w:rPr>
        <w:t xml:space="preserve">     </w:t>
      </w:r>
      <w:r w:rsidR="003717A0">
        <w:rPr>
          <w:rFonts w:ascii="黑体" w:eastAsia="黑体" w:cs="黑体" w:hint="eastAsia"/>
          <w:kern w:val="0"/>
          <w:szCs w:val="21"/>
        </w:rPr>
        <w:t>审核人：沈光宇</w:t>
      </w:r>
      <w:r w:rsidR="003717A0">
        <w:rPr>
          <w:rFonts w:ascii="黑体" w:eastAsia="黑体" w:cs="黑体"/>
          <w:kern w:val="0"/>
          <w:szCs w:val="21"/>
        </w:rPr>
        <w:br w:type="page"/>
      </w:r>
      <w:r w:rsidR="003717A0" w:rsidRPr="00F5156D">
        <w:rPr>
          <w:rFonts w:ascii="Times New Roman" w:eastAsia="黑体" w:hAnsi="Times New Roman" w:cs="Times New Roman" w:hint="eastAsia"/>
          <w:b/>
          <w:bCs/>
          <w:kern w:val="0"/>
          <w:sz w:val="32"/>
          <w:szCs w:val="32"/>
        </w:rPr>
        <w:lastRenderedPageBreak/>
        <w:t>三、考核大纲</w:t>
      </w:r>
    </w:p>
    <w:p w:rsidR="003717A0" w:rsidRDefault="003717A0">
      <w:pPr>
        <w:numPr>
          <w:ilvl w:val="0"/>
          <w:numId w:val="320"/>
        </w:num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适应对象</w:t>
      </w:r>
    </w:p>
    <w:p w:rsidR="003717A0" w:rsidRDefault="003717A0">
      <w:pPr>
        <w:autoSpaceDE w:val="0"/>
        <w:autoSpaceDN w:val="0"/>
        <w:adjustRightInd w:val="0"/>
        <w:snapToGrid w:val="0"/>
        <w:spacing w:line="360" w:lineRule="auto"/>
        <w:ind w:left="510"/>
        <w:jc w:val="left"/>
        <w:rPr>
          <w:rFonts w:ascii="Times New Roman" w:eastAsia="黑体" w:hAnsi="Times New Roman"/>
          <w:b/>
          <w:kern w:val="0"/>
          <w:sz w:val="24"/>
          <w:szCs w:val="24"/>
        </w:rPr>
      </w:pPr>
      <w:r>
        <w:rPr>
          <w:rFonts w:ascii="Times New Roman" w:hint="eastAsia"/>
        </w:rPr>
        <w:t>修读完本课程规定内容的康复治疗学专业的本科学生。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各种评定方法的理解和掌握情况，包括人体形态学评定、运动功能评定、感觉功能评定、言语功能评定、认知功能评定、手功能及日常生活活动能力评定、生活质量和社会功能评定及常见病症的评定等。通过本课程的学习，学生应对临床常见的评定方法有一定的了解和掌握。</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期末闭卷理论考核和实验操作考核。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康复评定的定义、方法、对象、内容。康复评定的意义和作用。康复评定的实施。各章节评定的内容、方法、注意事项。常见病症的康复评定实施。</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考核学生对康复评定学的基本概念、基本理论的理解程度；考核学生掌握康复功能评定学的基本知识及熟练程度；考核学生综合运用所学知识分析问题和解决问题的能力。</w:t>
      </w:r>
    </w:p>
    <w:p w:rsidR="003717A0" w:rsidRDefault="003717A0">
      <w:pPr>
        <w:autoSpaceDE w:val="0"/>
        <w:autoSpaceDN w:val="0"/>
        <w:adjustRightInd w:val="0"/>
        <w:snapToGrid w:val="0"/>
        <w:spacing w:line="360" w:lineRule="auto"/>
        <w:jc w:val="left"/>
        <w:rPr>
          <w:rFonts w:ascii="宋体"/>
          <w:b/>
          <w:kern w:val="0"/>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康复功能评定学课程考试试题</w:t>
      </w:r>
    </w:p>
    <w:p w:rsidR="003717A0" w:rsidRDefault="003717A0">
      <w:pPr>
        <w:autoSpaceDE w:val="0"/>
        <w:autoSpaceDN w:val="0"/>
        <w:adjustRightInd w:val="0"/>
        <w:snapToGrid w:val="0"/>
        <w:spacing w:line="440" w:lineRule="exact"/>
        <w:jc w:val="center"/>
        <w:rPr>
          <w:rFonts w:ascii="宋体"/>
          <w:sz w:val="22"/>
        </w:rPr>
      </w:pPr>
      <w:r>
        <w:rPr>
          <w:rFonts w:ascii="宋体" w:hAnsi="宋体"/>
          <w:sz w:val="22"/>
          <w:u w:val="single"/>
        </w:rPr>
        <w:t xml:space="preserve">X X X X --- X X X </w:t>
      </w:r>
      <w:r>
        <w:rPr>
          <w:rFonts w:ascii="宋体" w:hAnsi="宋体" w:hint="eastAsia"/>
          <w:sz w:val="22"/>
        </w:rPr>
        <w:t>学年</w:t>
      </w:r>
      <w:r>
        <w:rPr>
          <w:rFonts w:ascii="宋体" w:hAnsi="宋体"/>
          <w:sz w:val="22"/>
        </w:rPr>
        <w:t xml:space="preserve"> </w:t>
      </w:r>
      <w:r>
        <w:rPr>
          <w:rFonts w:ascii="宋体" w:hAnsi="宋体"/>
          <w:sz w:val="22"/>
          <w:u w:val="single"/>
        </w:rPr>
        <w:t xml:space="preserve">X X </w:t>
      </w:r>
      <w:r>
        <w:rPr>
          <w:rFonts w:ascii="宋体" w:hAnsi="宋体"/>
          <w:sz w:val="22"/>
        </w:rPr>
        <w:t xml:space="preserve"> </w:t>
      </w:r>
      <w:r>
        <w:rPr>
          <w:rFonts w:ascii="宋体" w:hAnsi="宋体" w:hint="eastAsia"/>
          <w:sz w:val="22"/>
        </w:rPr>
        <w:t>学期</w:t>
      </w:r>
      <w:r>
        <w:rPr>
          <w:rFonts w:ascii="宋体" w:hAnsi="宋体"/>
          <w:sz w:val="22"/>
        </w:rPr>
        <w:t xml:space="preserve"> </w:t>
      </w:r>
      <w:r>
        <w:rPr>
          <w:rFonts w:ascii="宋体" w:hAnsi="宋体" w:hint="eastAsia"/>
          <w:sz w:val="22"/>
          <w:u w:val="single"/>
        </w:rPr>
        <w:t>康复治疗学</w:t>
      </w:r>
      <w:r>
        <w:rPr>
          <w:rFonts w:ascii="宋体" w:hAnsi="宋体"/>
          <w:sz w:val="22"/>
          <w:u w:val="single"/>
        </w:rPr>
        <w:t xml:space="preserve">X X X </w:t>
      </w:r>
      <w:r>
        <w:rPr>
          <w:rFonts w:ascii="宋体" w:hAnsi="宋体"/>
          <w:sz w:val="22"/>
        </w:rPr>
        <w:t xml:space="preserve"> </w:t>
      </w:r>
      <w:r>
        <w:rPr>
          <w:rFonts w:ascii="宋体" w:hAnsi="宋体" w:hint="eastAsia"/>
          <w:sz w:val="22"/>
        </w:rPr>
        <w:t>班级</w:t>
      </w:r>
    </w:p>
    <w:p w:rsidR="003717A0" w:rsidRDefault="003717A0">
      <w:pPr>
        <w:autoSpaceDE w:val="0"/>
        <w:autoSpaceDN w:val="0"/>
        <w:adjustRightInd w:val="0"/>
        <w:snapToGrid w:val="0"/>
        <w:spacing w:line="440" w:lineRule="exact"/>
        <w:jc w:val="center"/>
        <w:rPr>
          <w:rFonts w:ascii="宋体"/>
          <w:b/>
          <w:sz w:val="22"/>
        </w:rPr>
      </w:pPr>
      <w:r>
        <w:rPr>
          <w:rFonts w:ascii="宋体" w:hAnsi="宋体"/>
          <w:b/>
          <w:sz w:val="22"/>
        </w:rPr>
        <w:t xml:space="preserve">                </w:t>
      </w:r>
      <w:r>
        <w:rPr>
          <w:rFonts w:ascii="宋体" w:hAnsi="宋体" w:hint="eastAsia"/>
          <w:b/>
          <w:sz w:val="22"/>
        </w:rPr>
        <w:t>时间：</w:t>
      </w:r>
      <w:r>
        <w:rPr>
          <w:rFonts w:ascii="宋体" w:hAnsi="宋体"/>
          <w:b/>
          <w:sz w:val="22"/>
        </w:rPr>
        <w:t>120</w:t>
      </w:r>
      <w:r>
        <w:rPr>
          <w:rFonts w:ascii="宋体" w:hAnsi="宋体" w:hint="eastAsia"/>
          <w:b/>
          <w:sz w:val="22"/>
        </w:rPr>
        <w:t>分钟</w:t>
      </w:r>
      <w:r>
        <w:rPr>
          <w:rFonts w:ascii="宋体" w:hAnsi="宋体"/>
          <w:b/>
          <w:sz w:val="22"/>
        </w:rPr>
        <w:t xml:space="preserve">   </w:t>
      </w:r>
      <w:r>
        <w:rPr>
          <w:rFonts w:ascii="宋体" w:hAnsi="宋体" w:hint="eastAsia"/>
          <w:b/>
          <w:sz w:val="22"/>
        </w:rPr>
        <w:t>总分：</w:t>
      </w:r>
      <w:r>
        <w:rPr>
          <w:rFonts w:ascii="宋体" w:hAnsi="宋体"/>
          <w:b/>
          <w:sz w:val="22"/>
        </w:rPr>
        <w:t>100</w:t>
      </w:r>
      <w:r>
        <w:rPr>
          <w:rFonts w:ascii="宋体" w:hAnsi="宋体" w:hint="eastAsia"/>
          <w:b/>
          <w:sz w:val="22"/>
        </w:rPr>
        <w:t>分</w:t>
      </w:r>
    </w:p>
    <w:p w:rsidR="003717A0" w:rsidRDefault="003717A0">
      <w:r>
        <w:rPr>
          <w:rFonts w:hint="eastAsia"/>
        </w:rPr>
        <w:t>一、名词解释</w:t>
      </w:r>
      <w:r>
        <w:t xml:space="preserve"> </w:t>
      </w:r>
      <w:r>
        <w:rPr>
          <w:rFonts w:hint="eastAsia"/>
        </w:rPr>
        <w:t>（每题</w:t>
      </w:r>
      <w:r>
        <w:t>3</w:t>
      </w:r>
      <w:r>
        <w:rPr>
          <w:rFonts w:hint="eastAsia"/>
        </w:rPr>
        <w:t>分，共</w:t>
      </w:r>
      <w:r>
        <w:t>30</w:t>
      </w:r>
      <w:r>
        <w:rPr>
          <w:rFonts w:hint="eastAsia"/>
        </w:rPr>
        <w:t>分）</w:t>
      </w:r>
    </w:p>
    <w:p w:rsidR="003717A0" w:rsidRDefault="003717A0">
      <w:r>
        <w:t>1</w:t>
      </w:r>
      <w:r>
        <w:rPr>
          <w:rFonts w:hint="eastAsia"/>
        </w:rPr>
        <w:t>、康复评定</w:t>
      </w:r>
    </w:p>
    <w:p w:rsidR="003717A0" w:rsidRDefault="003717A0">
      <w:r>
        <w:t>2</w:t>
      </w:r>
      <w:r>
        <w:rPr>
          <w:rFonts w:hint="eastAsia"/>
        </w:rPr>
        <w:t>、关节活动度</w:t>
      </w:r>
    </w:p>
    <w:p w:rsidR="003717A0" w:rsidRDefault="003717A0">
      <w:r>
        <w:t>3</w:t>
      </w:r>
      <w:r>
        <w:rPr>
          <w:rFonts w:hint="eastAsia"/>
        </w:rPr>
        <w:t>、步行周期</w:t>
      </w:r>
    </w:p>
    <w:p w:rsidR="003717A0" w:rsidRDefault="003717A0">
      <w:r>
        <w:t>4</w:t>
      </w:r>
      <w:r>
        <w:rPr>
          <w:rFonts w:hint="eastAsia"/>
        </w:rPr>
        <w:t>、脊髓半切综合征</w:t>
      </w:r>
    </w:p>
    <w:p w:rsidR="003717A0" w:rsidRDefault="003717A0">
      <w:pPr>
        <w:spacing w:line="320" w:lineRule="exact"/>
      </w:pPr>
      <w:r>
        <w:t>5</w:t>
      </w:r>
      <w:r>
        <w:rPr>
          <w:rFonts w:hint="eastAsia"/>
        </w:rPr>
        <w:t>、</w:t>
      </w:r>
      <w:r>
        <w:rPr>
          <w:rFonts w:hint="eastAsia"/>
          <w:bCs/>
        </w:rPr>
        <w:t>活动平板试验</w:t>
      </w:r>
    </w:p>
    <w:p w:rsidR="003717A0" w:rsidRDefault="003717A0">
      <w:r>
        <w:t>6</w:t>
      </w:r>
      <w:r>
        <w:rPr>
          <w:rFonts w:hint="eastAsia"/>
        </w:rPr>
        <w:t>、</w:t>
      </w:r>
      <w:r>
        <w:rPr>
          <w:rFonts w:hint="eastAsia"/>
          <w:szCs w:val="21"/>
        </w:rPr>
        <w:t>非对称性紧张性颈反射</w:t>
      </w:r>
    </w:p>
    <w:p w:rsidR="003717A0" w:rsidRDefault="003717A0">
      <w:pPr>
        <w:spacing w:line="300" w:lineRule="auto"/>
        <w:rPr>
          <w:szCs w:val="21"/>
        </w:rPr>
      </w:pPr>
      <w:r>
        <w:t>7</w:t>
      </w:r>
      <w:r>
        <w:rPr>
          <w:rFonts w:hint="eastAsia"/>
        </w:rPr>
        <w:t>、</w:t>
      </w:r>
      <w:r>
        <w:rPr>
          <w:rFonts w:hint="eastAsia"/>
          <w:szCs w:val="21"/>
        </w:rPr>
        <w:t>步幅</w:t>
      </w:r>
    </w:p>
    <w:p w:rsidR="003717A0" w:rsidRDefault="003717A0">
      <w:r>
        <w:t>8</w:t>
      </w:r>
      <w:r>
        <w:rPr>
          <w:rFonts w:hint="eastAsia"/>
        </w:rPr>
        <w:t>、</w:t>
      </w:r>
      <w:r>
        <w:rPr>
          <w:rFonts w:hint="eastAsia"/>
          <w:bCs/>
        </w:rPr>
        <w:t>症状限制运动试验</w:t>
      </w:r>
    </w:p>
    <w:p w:rsidR="003717A0" w:rsidRDefault="003717A0">
      <w:pPr>
        <w:rPr>
          <w:bCs/>
        </w:rPr>
      </w:pPr>
      <w:r>
        <w:t>9</w:t>
      </w:r>
      <w:r>
        <w:rPr>
          <w:rFonts w:hint="eastAsia"/>
          <w:bCs/>
        </w:rPr>
        <w:t>、联合反应</w:t>
      </w:r>
    </w:p>
    <w:p w:rsidR="003717A0" w:rsidRDefault="003717A0">
      <w:pPr>
        <w:rPr>
          <w:bCs/>
        </w:rPr>
      </w:pPr>
      <w:r>
        <w:rPr>
          <w:bCs/>
        </w:rPr>
        <w:lastRenderedPageBreak/>
        <w:t>10</w:t>
      </w:r>
      <w:r>
        <w:rPr>
          <w:rFonts w:hint="eastAsia"/>
          <w:bCs/>
        </w:rPr>
        <w:t>、</w:t>
      </w:r>
      <w:r>
        <w:rPr>
          <w:bCs/>
        </w:rPr>
        <w:t>Romberg</w:t>
      </w:r>
      <w:r>
        <w:rPr>
          <w:rFonts w:hint="eastAsia"/>
          <w:bCs/>
        </w:rPr>
        <w:t>阳性</w:t>
      </w:r>
    </w:p>
    <w:p w:rsidR="003717A0" w:rsidRDefault="003717A0">
      <w:r>
        <w:rPr>
          <w:rFonts w:hint="eastAsia"/>
        </w:rPr>
        <w:t>二、选择题（每题</w:t>
      </w:r>
      <w:r>
        <w:t>2</w:t>
      </w:r>
      <w:r>
        <w:rPr>
          <w:rFonts w:hint="eastAsia"/>
        </w:rPr>
        <w:t>分，共</w:t>
      </w:r>
      <w:r>
        <w:t>40</w:t>
      </w:r>
      <w:r>
        <w:rPr>
          <w:rFonts w:hint="eastAsia"/>
        </w:rPr>
        <w:t>分）</w:t>
      </w:r>
    </w:p>
    <w:p w:rsidR="003717A0" w:rsidRDefault="003717A0">
      <w:pPr>
        <w:spacing w:line="400" w:lineRule="exact"/>
      </w:pPr>
      <w:r>
        <w:t>1</w:t>
      </w:r>
      <w:r>
        <w:rPr>
          <w:rFonts w:hint="eastAsia"/>
        </w:rPr>
        <w:t>、下列不属于轻度肌张力降低特征的是：（</w:t>
      </w:r>
      <w:r>
        <w:t xml:space="preserve">  </w:t>
      </w:r>
      <w:r>
        <w:rPr>
          <w:rFonts w:hint="eastAsia"/>
        </w:rPr>
        <w:t>）</w:t>
      </w:r>
    </w:p>
    <w:p w:rsidR="003717A0" w:rsidRDefault="003717A0">
      <w:pPr>
        <w:spacing w:line="400" w:lineRule="exact"/>
      </w:pPr>
      <w:r>
        <w:t>A</w:t>
      </w:r>
      <w:r>
        <w:rPr>
          <w:rFonts w:hint="eastAsia"/>
        </w:rPr>
        <w:t>、主动肌与拮抗肌同时收缩的能力较弱</w:t>
      </w:r>
    </w:p>
    <w:p w:rsidR="003717A0" w:rsidRDefault="003717A0">
      <w:pPr>
        <w:spacing w:line="400" w:lineRule="exact"/>
      </w:pPr>
      <w:r>
        <w:t>B</w:t>
      </w:r>
      <w:r>
        <w:rPr>
          <w:rFonts w:hint="eastAsia"/>
        </w:rPr>
        <w:t>、将肢体处于抗重力位，肢体有短暂抗重力能力，随即落下</w:t>
      </w:r>
    </w:p>
    <w:p w:rsidR="003717A0" w:rsidRDefault="003717A0">
      <w:pPr>
        <w:spacing w:line="400" w:lineRule="exact"/>
      </w:pPr>
      <w:r>
        <w:t>C</w:t>
      </w:r>
      <w:r>
        <w:rPr>
          <w:rFonts w:hint="eastAsia"/>
        </w:rPr>
        <w:t>、能完成功能性动作</w:t>
      </w:r>
      <w:r>
        <w:t xml:space="preserve">   </w:t>
      </w:r>
    </w:p>
    <w:p w:rsidR="003717A0" w:rsidRDefault="003717A0">
      <w:pPr>
        <w:spacing w:line="400" w:lineRule="exact"/>
      </w:pPr>
      <w:r>
        <w:t>D</w:t>
      </w:r>
      <w:r>
        <w:rPr>
          <w:rFonts w:hint="eastAsia"/>
        </w:rPr>
        <w:t>、不能完成功能性动作</w:t>
      </w:r>
    </w:p>
    <w:p w:rsidR="003717A0" w:rsidRDefault="003717A0">
      <w:pPr>
        <w:spacing w:line="400" w:lineRule="exact"/>
      </w:pPr>
      <w:r>
        <w:t>2</w:t>
      </w:r>
      <w:r>
        <w:rPr>
          <w:rFonts w:hint="eastAsia"/>
        </w:rPr>
        <w:t>、肩关节水平外展的参考值范围：（</w:t>
      </w:r>
      <w:r>
        <w:t xml:space="preserve">  </w:t>
      </w:r>
      <w:r>
        <w:rPr>
          <w:rFonts w:hint="eastAsia"/>
        </w:rPr>
        <w:t>）</w:t>
      </w:r>
    </w:p>
    <w:p w:rsidR="003717A0" w:rsidRDefault="003717A0">
      <w:pPr>
        <w:spacing w:line="400" w:lineRule="exact"/>
      </w:pPr>
      <w:r>
        <w:t>A</w:t>
      </w:r>
      <w:r>
        <w:rPr>
          <w:rFonts w:hint="eastAsia"/>
        </w:rPr>
        <w:t>、</w:t>
      </w:r>
      <w:r>
        <w:t>0-45</w:t>
      </w:r>
      <w:r>
        <w:rPr>
          <w:rFonts w:hint="eastAsia"/>
        </w:rPr>
        <w:t>°</w:t>
      </w:r>
      <w:r>
        <w:t xml:space="preserve">  B</w:t>
      </w:r>
      <w:r>
        <w:rPr>
          <w:rFonts w:hint="eastAsia"/>
        </w:rPr>
        <w:t>、</w:t>
      </w:r>
      <w:r>
        <w:t>0-90</w:t>
      </w:r>
      <w:r>
        <w:rPr>
          <w:rFonts w:hint="eastAsia"/>
        </w:rPr>
        <w:t>°</w:t>
      </w:r>
      <w:r>
        <w:t xml:space="preserve">  C</w:t>
      </w:r>
      <w:r>
        <w:rPr>
          <w:rFonts w:hint="eastAsia"/>
        </w:rPr>
        <w:t>、</w:t>
      </w:r>
      <w:r>
        <w:t>0-135</w:t>
      </w:r>
      <w:r>
        <w:rPr>
          <w:rFonts w:hint="eastAsia"/>
        </w:rPr>
        <w:t>°</w:t>
      </w:r>
      <w:r>
        <w:t xml:space="preserve">    D</w:t>
      </w:r>
      <w:r>
        <w:rPr>
          <w:rFonts w:hint="eastAsia"/>
        </w:rPr>
        <w:t>、</w:t>
      </w:r>
      <w:r>
        <w:t>0-165</w:t>
      </w:r>
      <w:r>
        <w:rPr>
          <w:rFonts w:hint="eastAsia"/>
        </w:rPr>
        <w:t>°</w:t>
      </w:r>
    </w:p>
    <w:p w:rsidR="003717A0" w:rsidRDefault="003717A0">
      <w:pPr>
        <w:spacing w:line="400" w:lineRule="exact"/>
      </w:pPr>
      <w:r>
        <w:t>3</w:t>
      </w:r>
      <w:r>
        <w:rPr>
          <w:rFonts w:hint="eastAsia"/>
        </w:rPr>
        <w:t>、</w:t>
      </w:r>
      <w:r>
        <w:t>1980</w:t>
      </w:r>
      <w:r>
        <w:rPr>
          <w:rFonts w:hint="eastAsia"/>
        </w:rPr>
        <w:t>年</w:t>
      </w:r>
      <w:r>
        <w:t>WHO</w:t>
      </w:r>
      <w:r>
        <w:rPr>
          <w:rFonts w:hint="eastAsia"/>
        </w:rPr>
        <w:t>提出康复评定的三个层面的特点不包括：（</w:t>
      </w:r>
      <w:r>
        <w:t xml:space="preserve">  </w:t>
      </w:r>
      <w:r>
        <w:rPr>
          <w:rFonts w:hint="eastAsia"/>
        </w:rPr>
        <w:t>）</w:t>
      </w:r>
    </w:p>
    <w:p w:rsidR="003717A0" w:rsidRDefault="003717A0">
      <w:pPr>
        <w:spacing w:line="400" w:lineRule="exact"/>
      </w:pPr>
      <w:r>
        <w:t>A</w:t>
      </w:r>
      <w:r>
        <w:rPr>
          <w:rFonts w:hint="eastAsia"/>
        </w:rPr>
        <w:t>、残损：器官水平，功能障碍。</w:t>
      </w:r>
    </w:p>
    <w:p w:rsidR="003717A0" w:rsidRDefault="003717A0">
      <w:pPr>
        <w:spacing w:line="400" w:lineRule="exact"/>
      </w:pPr>
      <w:r>
        <w:t>B</w:t>
      </w:r>
      <w:r>
        <w:rPr>
          <w:rFonts w:hint="eastAsia"/>
        </w:rPr>
        <w:t>、残疾：个体水平，能力障碍。</w:t>
      </w:r>
    </w:p>
    <w:p w:rsidR="003717A0" w:rsidRDefault="003717A0">
      <w:pPr>
        <w:spacing w:line="400" w:lineRule="exact"/>
      </w:pPr>
      <w:r>
        <w:t>C</w:t>
      </w:r>
      <w:r>
        <w:rPr>
          <w:rFonts w:hint="eastAsia"/>
        </w:rPr>
        <w:t>、残障：社会水平，功能和能力障碍</w:t>
      </w:r>
    </w:p>
    <w:p w:rsidR="003717A0" w:rsidRDefault="003717A0">
      <w:pPr>
        <w:spacing w:line="400" w:lineRule="exact"/>
      </w:pPr>
      <w:r>
        <w:t>D</w:t>
      </w:r>
      <w:r>
        <w:rPr>
          <w:rFonts w:hint="eastAsia"/>
        </w:rPr>
        <w:t>、不仅涉及功能障碍和活动受限方面的评定，还包括对环境因素的评定</w:t>
      </w:r>
    </w:p>
    <w:p w:rsidR="003717A0" w:rsidRDefault="003717A0">
      <w:pPr>
        <w:spacing w:line="400" w:lineRule="exact"/>
      </w:pPr>
      <w:r>
        <w:t>4</w:t>
      </w:r>
      <w:r>
        <w:rPr>
          <w:rFonts w:hint="eastAsia"/>
        </w:rPr>
        <w:t>、疼痛引起的活动受限，终末感的性质可为：（</w:t>
      </w:r>
      <w:r>
        <w:t xml:space="preserve">  </w:t>
      </w:r>
      <w:r>
        <w:rPr>
          <w:rFonts w:hint="eastAsia"/>
        </w:rPr>
        <w:t>）</w:t>
      </w:r>
    </w:p>
    <w:p w:rsidR="003717A0" w:rsidRDefault="003717A0">
      <w:pPr>
        <w:spacing w:line="400" w:lineRule="exact"/>
      </w:pPr>
      <w:r>
        <w:t>A</w:t>
      </w:r>
      <w:r>
        <w:rPr>
          <w:rFonts w:hint="eastAsia"/>
        </w:rPr>
        <w:t>、轻度的反弹感</w:t>
      </w:r>
      <w:r>
        <w:t xml:space="preserve">    B</w:t>
      </w:r>
      <w:r>
        <w:rPr>
          <w:rFonts w:hint="eastAsia"/>
        </w:rPr>
        <w:t>、虚性抵抗</w:t>
      </w:r>
      <w:r>
        <w:t xml:space="preserve"> C</w:t>
      </w:r>
      <w:r>
        <w:rPr>
          <w:rFonts w:hint="eastAsia"/>
        </w:rPr>
        <w:t>、柔软的抵抗</w:t>
      </w:r>
      <w:r>
        <w:t xml:space="preserve">    D</w:t>
      </w:r>
      <w:r>
        <w:rPr>
          <w:rFonts w:hint="eastAsia"/>
        </w:rPr>
        <w:t>、坚硬抵抗</w:t>
      </w:r>
    </w:p>
    <w:p w:rsidR="003717A0" w:rsidRDefault="003717A0">
      <w:pPr>
        <w:spacing w:line="400" w:lineRule="exact"/>
      </w:pPr>
      <w:r>
        <w:t>5</w:t>
      </w:r>
      <w:r>
        <w:rPr>
          <w:rFonts w:hint="eastAsia"/>
        </w:rPr>
        <w:t>、对疼痛部位的评定可以应用的评定方法是（</w:t>
      </w:r>
      <w:r>
        <w:t xml:space="preserve">  </w:t>
      </w:r>
      <w:r>
        <w:rPr>
          <w:rFonts w:hint="eastAsia"/>
        </w:rPr>
        <w:t>）</w:t>
      </w:r>
    </w:p>
    <w:p w:rsidR="003717A0" w:rsidRDefault="003717A0">
      <w:pPr>
        <w:spacing w:line="400" w:lineRule="exact"/>
      </w:pPr>
      <w:r>
        <w:t>A</w:t>
      </w:r>
      <w:r>
        <w:rPr>
          <w:rFonts w:hint="eastAsia"/>
        </w:rPr>
        <w:t>、</w:t>
      </w:r>
      <w:r>
        <w:t>45</w:t>
      </w:r>
      <w:r>
        <w:rPr>
          <w:rFonts w:hint="eastAsia"/>
        </w:rPr>
        <w:t>区体表面积图</w:t>
      </w:r>
    </w:p>
    <w:p w:rsidR="003717A0" w:rsidRDefault="003717A0">
      <w:pPr>
        <w:spacing w:line="400" w:lineRule="exact"/>
      </w:pPr>
      <w:r>
        <w:t>B</w:t>
      </w:r>
      <w:r>
        <w:rPr>
          <w:rFonts w:hint="eastAsia"/>
        </w:rPr>
        <w:t>、</w:t>
      </w:r>
      <w:r>
        <w:t>VAS</w:t>
      </w:r>
      <w:r>
        <w:rPr>
          <w:rFonts w:hint="eastAsia"/>
        </w:rPr>
        <w:t>法、</w:t>
      </w:r>
      <w:r>
        <w:t xml:space="preserve">VRS </w:t>
      </w:r>
      <w:r>
        <w:rPr>
          <w:rFonts w:hint="eastAsia"/>
        </w:rPr>
        <w:t>法</w:t>
      </w:r>
    </w:p>
    <w:p w:rsidR="003717A0" w:rsidRDefault="003717A0">
      <w:pPr>
        <w:spacing w:line="400" w:lineRule="exact"/>
      </w:pPr>
      <w:r>
        <w:t>C</w:t>
      </w:r>
      <w:r>
        <w:rPr>
          <w:rFonts w:hint="eastAsia"/>
        </w:rPr>
        <w:t>、压力测痛法</w:t>
      </w:r>
    </w:p>
    <w:p w:rsidR="003717A0" w:rsidRDefault="003717A0">
      <w:pPr>
        <w:spacing w:line="300" w:lineRule="auto"/>
      </w:pPr>
      <w:r>
        <w:t>D</w:t>
      </w:r>
      <w:r>
        <w:rPr>
          <w:rFonts w:hint="eastAsia"/>
        </w:rPr>
        <w:t>、简化的</w:t>
      </w:r>
      <w:r>
        <w:t>McGill</w:t>
      </w:r>
      <w:r>
        <w:rPr>
          <w:rFonts w:hint="eastAsia"/>
        </w:rPr>
        <w:t>疼痛问卷法</w:t>
      </w:r>
    </w:p>
    <w:p w:rsidR="003717A0" w:rsidRDefault="003717A0">
      <w:pPr>
        <w:rPr>
          <w:szCs w:val="21"/>
        </w:rPr>
      </w:pPr>
      <w:r>
        <w:rPr>
          <w:szCs w:val="21"/>
        </w:rPr>
        <w:t>6</w:t>
      </w:r>
      <w:r>
        <w:rPr>
          <w:rFonts w:hint="eastAsia"/>
          <w:szCs w:val="21"/>
        </w:rPr>
        <w:t>、主动关节活动度小于被动关节活动度提示（</w:t>
      </w:r>
      <w:r>
        <w:rPr>
          <w:szCs w:val="21"/>
        </w:rPr>
        <w:t xml:space="preserve"> </w:t>
      </w:r>
      <w:r>
        <w:rPr>
          <w:rFonts w:hint="eastAsia"/>
          <w:szCs w:val="21"/>
        </w:rPr>
        <w:t>）</w:t>
      </w:r>
    </w:p>
    <w:p w:rsidR="003717A0" w:rsidRDefault="003717A0">
      <w:pPr>
        <w:rPr>
          <w:szCs w:val="21"/>
        </w:rPr>
      </w:pPr>
      <w:r>
        <w:rPr>
          <w:szCs w:val="21"/>
        </w:rPr>
        <w:t>A</w:t>
      </w:r>
      <w:r>
        <w:rPr>
          <w:rFonts w:hint="eastAsia"/>
          <w:szCs w:val="21"/>
        </w:rPr>
        <w:t>．肌肉协调性障碍</w:t>
      </w:r>
    </w:p>
    <w:p w:rsidR="003717A0" w:rsidRDefault="003717A0">
      <w:pPr>
        <w:rPr>
          <w:szCs w:val="21"/>
        </w:rPr>
      </w:pPr>
      <w:r>
        <w:rPr>
          <w:szCs w:val="21"/>
        </w:rPr>
        <w:t>B</w:t>
      </w:r>
      <w:r>
        <w:rPr>
          <w:rFonts w:hint="eastAsia"/>
          <w:szCs w:val="21"/>
        </w:rPr>
        <w:t>．肌力下降</w:t>
      </w:r>
    </w:p>
    <w:p w:rsidR="003717A0" w:rsidRDefault="003717A0">
      <w:pPr>
        <w:rPr>
          <w:szCs w:val="21"/>
        </w:rPr>
      </w:pPr>
      <w:r>
        <w:rPr>
          <w:szCs w:val="21"/>
        </w:rPr>
        <w:t>C</w:t>
      </w:r>
      <w:r>
        <w:rPr>
          <w:rFonts w:hint="eastAsia"/>
          <w:szCs w:val="21"/>
        </w:rPr>
        <w:t>．肌肉耐力下降</w:t>
      </w:r>
    </w:p>
    <w:p w:rsidR="003717A0" w:rsidRDefault="003717A0">
      <w:pPr>
        <w:rPr>
          <w:szCs w:val="21"/>
        </w:rPr>
      </w:pPr>
      <w:r>
        <w:rPr>
          <w:szCs w:val="21"/>
        </w:rPr>
        <w:t>D</w:t>
      </w:r>
      <w:r>
        <w:rPr>
          <w:rFonts w:hint="eastAsia"/>
          <w:szCs w:val="21"/>
        </w:rPr>
        <w:t>．结缔组织异常</w:t>
      </w:r>
    </w:p>
    <w:p w:rsidR="003717A0" w:rsidRDefault="003717A0">
      <w:pPr>
        <w:rPr>
          <w:rFonts w:hAnsi="宋体" w:cs="宋体"/>
          <w:szCs w:val="21"/>
        </w:rPr>
      </w:pPr>
    </w:p>
    <w:p w:rsidR="003717A0" w:rsidRDefault="003717A0">
      <w:pPr>
        <w:rPr>
          <w:szCs w:val="21"/>
        </w:rPr>
      </w:pPr>
      <w:r>
        <w:rPr>
          <w:szCs w:val="21"/>
        </w:rPr>
        <w:t>7</w:t>
      </w:r>
      <w:r>
        <w:rPr>
          <w:rFonts w:hint="eastAsia"/>
          <w:szCs w:val="21"/>
        </w:rPr>
        <w:t>、脊髓损伤后运动功能不完全损伤的指征是（</w:t>
      </w:r>
      <w:r>
        <w:rPr>
          <w:szCs w:val="21"/>
        </w:rPr>
        <w:t xml:space="preserve"> </w:t>
      </w:r>
      <w:r>
        <w:rPr>
          <w:rFonts w:hint="eastAsia"/>
          <w:szCs w:val="21"/>
        </w:rPr>
        <w:t>）</w:t>
      </w:r>
    </w:p>
    <w:p w:rsidR="003717A0" w:rsidRDefault="003717A0">
      <w:pPr>
        <w:rPr>
          <w:szCs w:val="21"/>
        </w:rPr>
      </w:pPr>
      <w:r>
        <w:rPr>
          <w:szCs w:val="21"/>
        </w:rPr>
        <w:t xml:space="preserve"> A</w:t>
      </w:r>
      <w:r>
        <w:rPr>
          <w:rFonts w:hint="eastAsia"/>
          <w:szCs w:val="21"/>
        </w:rPr>
        <w:t>．足趾可以活动</w:t>
      </w:r>
    </w:p>
    <w:p w:rsidR="003717A0" w:rsidRDefault="003717A0">
      <w:pPr>
        <w:rPr>
          <w:szCs w:val="21"/>
        </w:rPr>
      </w:pPr>
      <w:r>
        <w:rPr>
          <w:szCs w:val="21"/>
        </w:rPr>
        <w:t xml:space="preserve"> B</w:t>
      </w:r>
      <w:r>
        <w:rPr>
          <w:rFonts w:hint="eastAsia"/>
          <w:szCs w:val="21"/>
        </w:rPr>
        <w:t>．踝可以活动</w:t>
      </w:r>
    </w:p>
    <w:p w:rsidR="003717A0" w:rsidRDefault="003717A0">
      <w:pPr>
        <w:rPr>
          <w:szCs w:val="21"/>
        </w:rPr>
      </w:pPr>
      <w:r>
        <w:rPr>
          <w:szCs w:val="21"/>
        </w:rPr>
        <w:t xml:space="preserve"> C</w:t>
      </w:r>
      <w:r>
        <w:rPr>
          <w:rFonts w:hint="eastAsia"/>
          <w:szCs w:val="21"/>
        </w:rPr>
        <w:t>．膝可以活动</w:t>
      </w:r>
    </w:p>
    <w:p w:rsidR="003717A0" w:rsidRDefault="003717A0">
      <w:pPr>
        <w:rPr>
          <w:szCs w:val="21"/>
        </w:rPr>
      </w:pPr>
      <w:r>
        <w:rPr>
          <w:szCs w:val="21"/>
        </w:rPr>
        <w:t xml:space="preserve"> D</w:t>
      </w:r>
      <w:r>
        <w:rPr>
          <w:rFonts w:hint="eastAsia"/>
          <w:szCs w:val="21"/>
        </w:rPr>
        <w:t>．肛门指诊时可触及外括约肌收缩</w:t>
      </w:r>
    </w:p>
    <w:p w:rsidR="003717A0" w:rsidRDefault="003717A0">
      <w:pPr>
        <w:rPr>
          <w:szCs w:val="21"/>
        </w:rPr>
      </w:pPr>
      <w:r>
        <w:t>8</w:t>
      </w:r>
      <w:r>
        <w:rPr>
          <w:rFonts w:hint="eastAsia"/>
        </w:rPr>
        <w:t>、</w:t>
      </w:r>
      <w:r>
        <w:rPr>
          <w:rFonts w:hint="eastAsia"/>
          <w:szCs w:val="21"/>
        </w:rPr>
        <w:t>三角肌由下列哪一神经支配（</w:t>
      </w:r>
      <w:r>
        <w:rPr>
          <w:szCs w:val="21"/>
        </w:rPr>
        <w:t xml:space="preserve"> </w:t>
      </w:r>
      <w:r>
        <w:rPr>
          <w:rFonts w:hint="eastAsia"/>
          <w:szCs w:val="21"/>
        </w:rPr>
        <w:t>）</w:t>
      </w:r>
    </w:p>
    <w:p w:rsidR="003717A0" w:rsidRDefault="003717A0">
      <w:pPr>
        <w:rPr>
          <w:szCs w:val="21"/>
        </w:rPr>
      </w:pPr>
      <w:r>
        <w:rPr>
          <w:szCs w:val="21"/>
        </w:rPr>
        <w:t>A</w:t>
      </w:r>
      <w:r>
        <w:rPr>
          <w:rFonts w:hint="eastAsia"/>
          <w:szCs w:val="21"/>
        </w:rPr>
        <w:t>．肩胛背神经</w:t>
      </w:r>
    </w:p>
    <w:p w:rsidR="003717A0" w:rsidRDefault="003717A0">
      <w:pPr>
        <w:rPr>
          <w:szCs w:val="21"/>
        </w:rPr>
      </w:pPr>
      <w:r>
        <w:rPr>
          <w:szCs w:val="21"/>
        </w:rPr>
        <w:t>B</w:t>
      </w:r>
      <w:r>
        <w:rPr>
          <w:rFonts w:hint="eastAsia"/>
          <w:szCs w:val="21"/>
        </w:rPr>
        <w:t>．腋神经</w:t>
      </w:r>
    </w:p>
    <w:p w:rsidR="003717A0" w:rsidRDefault="003717A0">
      <w:pPr>
        <w:rPr>
          <w:szCs w:val="21"/>
        </w:rPr>
      </w:pPr>
      <w:r>
        <w:rPr>
          <w:szCs w:val="21"/>
        </w:rPr>
        <w:t>C</w:t>
      </w:r>
      <w:r>
        <w:rPr>
          <w:rFonts w:hint="eastAsia"/>
          <w:szCs w:val="21"/>
        </w:rPr>
        <w:t>．肌皮神经</w:t>
      </w:r>
    </w:p>
    <w:p w:rsidR="003717A0" w:rsidRDefault="003717A0">
      <w:pPr>
        <w:rPr>
          <w:szCs w:val="21"/>
        </w:rPr>
      </w:pPr>
      <w:r>
        <w:rPr>
          <w:szCs w:val="21"/>
        </w:rPr>
        <w:t>D</w:t>
      </w:r>
      <w:r>
        <w:rPr>
          <w:rFonts w:hint="eastAsia"/>
          <w:szCs w:val="21"/>
        </w:rPr>
        <w:t>．胸背神经</w:t>
      </w:r>
    </w:p>
    <w:p w:rsidR="003717A0" w:rsidRDefault="003717A0">
      <w:pPr>
        <w:rPr>
          <w:szCs w:val="21"/>
        </w:rPr>
      </w:pPr>
      <w:r>
        <w:rPr>
          <w:szCs w:val="21"/>
        </w:rPr>
        <w:t>9</w:t>
      </w:r>
      <w:r>
        <w:rPr>
          <w:rFonts w:hint="eastAsia"/>
          <w:szCs w:val="21"/>
        </w:rPr>
        <w:t>、脊髓损伤运动神经平面评定的关键肌的肌力应该不小于（</w:t>
      </w:r>
      <w:r>
        <w:rPr>
          <w:szCs w:val="21"/>
        </w:rPr>
        <w:t xml:space="preserve"> </w:t>
      </w:r>
      <w:r>
        <w:rPr>
          <w:rFonts w:hint="eastAsia"/>
          <w:szCs w:val="21"/>
        </w:rPr>
        <w:t>）</w:t>
      </w:r>
    </w:p>
    <w:p w:rsidR="003717A0" w:rsidRDefault="003717A0">
      <w:pPr>
        <w:rPr>
          <w:szCs w:val="21"/>
        </w:rPr>
      </w:pPr>
      <w:r>
        <w:rPr>
          <w:szCs w:val="21"/>
        </w:rPr>
        <w:t>A</w:t>
      </w:r>
      <w:r>
        <w:rPr>
          <w:rFonts w:hint="eastAsia"/>
          <w:szCs w:val="21"/>
        </w:rPr>
        <w:t>、</w:t>
      </w:r>
      <w:r>
        <w:rPr>
          <w:szCs w:val="21"/>
        </w:rPr>
        <w:t>1</w:t>
      </w:r>
      <w:r>
        <w:rPr>
          <w:rFonts w:hint="eastAsia"/>
          <w:szCs w:val="21"/>
        </w:rPr>
        <w:t>级</w:t>
      </w:r>
      <w:r>
        <w:rPr>
          <w:szCs w:val="21"/>
        </w:rPr>
        <w:t xml:space="preserve">  B</w:t>
      </w:r>
      <w:r>
        <w:rPr>
          <w:rFonts w:hint="eastAsia"/>
          <w:szCs w:val="21"/>
        </w:rPr>
        <w:t>、</w:t>
      </w:r>
      <w:r>
        <w:rPr>
          <w:szCs w:val="21"/>
        </w:rPr>
        <w:t>2</w:t>
      </w:r>
      <w:r>
        <w:rPr>
          <w:rFonts w:hint="eastAsia"/>
          <w:szCs w:val="21"/>
        </w:rPr>
        <w:t>级</w:t>
      </w:r>
      <w:r>
        <w:rPr>
          <w:szCs w:val="21"/>
        </w:rPr>
        <w:t xml:space="preserve">   C</w:t>
      </w:r>
      <w:r>
        <w:rPr>
          <w:rFonts w:hint="eastAsia"/>
          <w:szCs w:val="21"/>
        </w:rPr>
        <w:t>、</w:t>
      </w:r>
      <w:r>
        <w:rPr>
          <w:szCs w:val="21"/>
        </w:rPr>
        <w:t>3</w:t>
      </w:r>
      <w:r>
        <w:rPr>
          <w:rFonts w:hint="eastAsia"/>
          <w:szCs w:val="21"/>
        </w:rPr>
        <w:t>级</w:t>
      </w:r>
      <w:r>
        <w:rPr>
          <w:szCs w:val="21"/>
        </w:rPr>
        <w:t xml:space="preserve">  D</w:t>
      </w:r>
      <w:r>
        <w:rPr>
          <w:rFonts w:hint="eastAsia"/>
          <w:szCs w:val="21"/>
        </w:rPr>
        <w:t>、</w:t>
      </w:r>
      <w:r>
        <w:rPr>
          <w:szCs w:val="21"/>
        </w:rPr>
        <w:t>4</w:t>
      </w:r>
      <w:r>
        <w:rPr>
          <w:rFonts w:hint="eastAsia"/>
          <w:szCs w:val="21"/>
        </w:rPr>
        <w:t>级</w:t>
      </w:r>
    </w:p>
    <w:p w:rsidR="003717A0" w:rsidRDefault="003717A0">
      <w:pPr>
        <w:rPr>
          <w:szCs w:val="21"/>
        </w:rPr>
      </w:pPr>
      <w:r>
        <w:rPr>
          <w:szCs w:val="21"/>
        </w:rPr>
        <w:lastRenderedPageBreak/>
        <w:t>10</w:t>
      </w:r>
      <w:r>
        <w:rPr>
          <w:rFonts w:hint="eastAsia"/>
          <w:szCs w:val="21"/>
        </w:rPr>
        <w:t>、脐以上感觉正常，以下感觉减退或消失，其感觉神经平面位（</w:t>
      </w:r>
      <w:r>
        <w:rPr>
          <w:szCs w:val="21"/>
        </w:rPr>
        <w:t xml:space="preserve"> </w:t>
      </w:r>
      <w:r>
        <w:rPr>
          <w:rFonts w:hint="eastAsia"/>
          <w:szCs w:val="21"/>
        </w:rPr>
        <w:t>）</w:t>
      </w:r>
    </w:p>
    <w:p w:rsidR="003717A0" w:rsidRDefault="003717A0">
      <w:pPr>
        <w:rPr>
          <w:szCs w:val="21"/>
        </w:rPr>
      </w:pPr>
      <w:r>
        <w:rPr>
          <w:szCs w:val="21"/>
        </w:rPr>
        <w:t>A. T6   B.T10   C.T12    D. L2</w:t>
      </w:r>
    </w:p>
    <w:p w:rsidR="003717A0" w:rsidRDefault="003717A0">
      <w:pPr>
        <w:rPr>
          <w:szCs w:val="21"/>
        </w:rPr>
      </w:pPr>
      <w:r>
        <w:rPr>
          <w:szCs w:val="21"/>
        </w:rPr>
        <w:t>11</w:t>
      </w:r>
      <w:r>
        <w:rPr>
          <w:rFonts w:hint="eastAsia"/>
          <w:szCs w:val="21"/>
        </w:rPr>
        <w:t>、功能独立性评定</w:t>
      </w:r>
      <w:r>
        <w:rPr>
          <w:szCs w:val="21"/>
        </w:rPr>
        <w:t xml:space="preserve">(FIM) </w:t>
      </w:r>
      <w:r>
        <w:rPr>
          <w:rFonts w:hint="eastAsia"/>
          <w:szCs w:val="21"/>
        </w:rPr>
        <w:t>的评价内容为（</w:t>
      </w:r>
      <w:r>
        <w:rPr>
          <w:szCs w:val="21"/>
        </w:rPr>
        <w:t xml:space="preserve"> </w:t>
      </w:r>
      <w:r>
        <w:rPr>
          <w:rFonts w:hint="eastAsia"/>
          <w:szCs w:val="21"/>
        </w:rPr>
        <w:t>）项</w:t>
      </w:r>
    </w:p>
    <w:p w:rsidR="003717A0" w:rsidRDefault="003717A0">
      <w:pPr>
        <w:rPr>
          <w:szCs w:val="21"/>
        </w:rPr>
      </w:pPr>
      <w:r>
        <w:rPr>
          <w:szCs w:val="21"/>
        </w:rPr>
        <w:t>A</w:t>
      </w:r>
      <w:r>
        <w:rPr>
          <w:rFonts w:hint="eastAsia"/>
          <w:szCs w:val="21"/>
        </w:rPr>
        <w:t>、</w:t>
      </w:r>
      <w:r>
        <w:rPr>
          <w:szCs w:val="21"/>
        </w:rPr>
        <w:t>6   B</w:t>
      </w:r>
      <w:r>
        <w:rPr>
          <w:rFonts w:hint="eastAsia"/>
          <w:szCs w:val="21"/>
        </w:rPr>
        <w:t>、</w:t>
      </w:r>
      <w:r>
        <w:rPr>
          <w:szCs w:val="21"/>
        </w:rPr>
        <w:t>10   C</w:t>
      </w:r>
      <w:r>
        <w:rPr>
          <w:rFonts w:hint="eastAsia"/>
          <w:szCs w:val="21"/>
        </w:rPr>
        <w:t>、</w:t>
      </w:r>
      <w:r>
        <w:rPr>
          <w:szCs w:val="21"/>
        </w:rPr>
        <w:t>18   D</w:t>
      </w:r>
      <w:r>
        <w:rPr>
          <w:rFonts w:hint="eastAsia"/>
          <w:szCs w:val="21"/>
        </w:rPr>
        <w:t>、</w:t>
      </w:r>
      <w:r>
        <w:rPr>
          <w:szCs w:val="21"/>
        </w:rPr>
        <w:t>21</w:t>
      </w:r>
    </w:p>
    <w:p w:rsidR="003717A0" w:rsidRDefault="003717A0">
      <w:pPr>
        <w:rPr>
          <w:u w:val="single"/>
        </w:rPr>
      </w:pPr>
      <w:r>
        <w:rPr>
          <w:rFonts w:ascii="宋体" w:hAnsi="宋体" w:cs="宋体"/>
        </w:rPr>
        <w:t>12</w:t>
      </w:r>
      <w:r>
        <w:rPr>
          <w:rFonts w:ascii="宋体" w:hAnsi="宋体" w:cs="宋体" w:hint="eastAsia"/>
        </w:rPr>
        <w:t>、</w:t>
      </w:r>
      <w:r>
        <w:rPr>
          <w:rFonts w:hint="eastAsia"/>
        </w:rPr>
        <w:t>步态分析最常用的三大要素是</w:t>
      </w:r>
      <w:r>
        <w:rPr>
          <w:u w:val="single"/>
        </w:rPr>
        <w:t xml:space="preserve">      </w:t>
      </w:r>
    </w:p>
    <w:p w:rsidR="003717A0" w:rsidRDefault="003717A0">
      <w:r>
        <w:t>A</w:t>
      </w:r>
      <w:r>
        <w:rPr>
          <w:rFonts w:hint="eastAsia"/>
        </w:rPr>
        <w:t>．步长、步幅、步行周期</w:t>
      </w:r>
      <w:r>
        <w:t xml:space="preserve">          B</w:t>
      </w:r>
      <w:r>
        <w:rPr>
          <w:rFonts w:hint="eastAsia"/>
        </w:rPr>
        <w:t>．步幅、步频、步速、</w:t>
      </w:r>
      <w:r>
        <w:t xml:space="preserve">     </w:t>
      </w:r>
    </w:p>
    <w:p w:rsidR="003717A0" w:rsidRDefault="003717A0">
      <w:r>
        <w:t>C</w:t>
      </w:r>
      <w:r>
        <w:rPr>
          <w:rFonts w:hint="eastAsia"/>
        </w:rPr>
        <w:t>．步频、步速、步长</w:t>
      </w:r>
      <w:r>
        <w:t xml:space="preserve">              D</w:t>
      </w:r>
      <w:r>
        <w:rPr>
          <w:rFonts w:hint="eastAsia"/>
        </w:rPr>
        <w:t>．步长、步幅、步频</w:t>
      </w:r>
    </w:p>
    <w:p w:rsidR="003717A0" w:rsidRDefault="003717A0">
      <w:r>
        <w:rPr>
          <w:rFonts w:ascii="宋体" w:hAnsi="宋体" w:cs="宋体"/>
        </w:rPr>
        <w:t>13</w:t>
      </w:r>
      <w:r>
        <w:rPr>
          <w:rFonts w:ascii="宋体" w:hAnsi="宋体" w:cs="宋体" w:hint="eastAsia"/>
        </w:rPr>
        <w:t>、</w:t>
      </w:r>
      <w:r>
        <w:rPr>
          <w:rFonts w:hint="eastAsia"/>
        </w:rPr>
        <w:t>侧卧位时仅能股四头肌收缩，肌力为</w:t>
      </w:r>
      <w:r>
        <w:t xml:space="preserve"> (  )</w:t>
      </w:r>
    </w:p>
    <w:p w:rsidR="003717A0" w:rsidRDefault="003717A0">
      <w:r>
        <w:t>A</w:t>
      </w:r>
      <w:r>
        <w:rPr>
          <w:rFonts w:hint="eastAsia"/>
        </w:rPr>
        <w:t>、</w:t>
      </w:r>
      <w:r>
        <w:t>I</w:t>
      </w:r>
      <w:r>
        <w:rPr>
          <w:rFonts w:hint="eastAsia"/>
        </w:rPr>
        <w:t>级</w:t>
      </w:r>
      <w:r>
        <w:t xml:space="preserve">        B</w:t>
      </w:r>
      <w:r>
        <w:rPr>
          <w:rFonts w:hint="eastAsia"/>
        </w:rPr>
        <w:t>、</w:t>
      </w:r>
      <w:r>
        <w:t>2</w:t>
      </w:r>
      <w:r>
        <w:rPr>
          <w:rFonts w:hint="eastAsia"/>
        </w:rPr>
        <w:t>级</w:t>
      </w:r>
      <w:r>
        <w:t xml:space="preserve">         C</w:t>
      </w:r>
      <w:r>
        <w:rPr>
          <w:rFonts w:hint="eastAsia"/>
        </w:rPr>
        <w:t>、</w:t>
      </w:r>
      <w:r>
        <w:t>3</w:t>
      </w:r>
      <w:r>
        <w:rPr>
          <w:rFonts w:hint="eastAsia"/>
        </w:rPr>
        <w:t>级</w:t>
      </w:r>
      <w:r>
        <w:t xml:space="preserve">         D</w:t>
      </w:r>
      <w:r>
        <w:rPr>
          <w:rFonts w:hint="eastAsia"/>
        </w:rPr>
        <w:t>、</w:t>
      </w:r>
      <w:r>
        <w:t>4</w:t>
      </w:r>
      <w:r>
        <w:rPr>
          <w:rFonts w:hint="eastAsia"/>
        </w:rPr>
        <w:t>级</w:t>
      </w:r>
      <w:r>
        <w:t xml:space="preserve">         </w:t>
      </w:r>
    </w:p>
    <w:p w:rsidR="003717A0" w:rsidRDefault="003717A0">
      <w:r>
        <w:t>14</w:t>
      </w:r>
      <w:r>
        <w:rPr>
          <w:rFonts w:hint="eastAsia"/>
        </w:rPr>
        <w:t>、受检者保持站立位，并反复抱起受检者使足底数次触碰地面，称为</w:t>
      </w:r>
    </w:p>
    <w:p w:rsidR="003717A0" w:rsidRDefault="003717A0">
      <w:r>
        <w:t>A</w:t>
      </w:r>
      <w:r>
        <w:rPr>
          <w:rFonts w:hint="eastAsia"/>
        </w:rPr>
        <w:t>拥抱反射</w:t>
      </w:r>
      <w:r>
        <w:t xml:space="preserve">    B</w:t>
      </w:r>
      <w:r>
        <w:rPr>
          <w:rFonts w:hint="eastAsia"/>
        </w:rPr>
        <w:t>视觉翻正反应</w:t>
      </w:r>
    </w:p>
    <w:p w:rsidR="003717A0" w:rsidRDefault="003717A0">
      <w:pPr>
        <w:spacing w:line="300" w:lineRule="auto"/>
      </w:pPr>
      <w:r>
        <w:t>C</w:t>
      </w:r>
      <w:r>
        <w:rPr>
          <w:rFonts w:hint="eastAsia"/>
        </w:rPr>
        <w:t>倾斜反应</w:t>
      </w:r>
      <w:r>
        <w:t xml:space="preserve">    D</w:t>
      </w:r>
      <w:r>
        <w:rPr>
          <w:rFonts w:hint="eastAsia"/>
        </w:rPr>
        <w:t>阳性支持反应</w:t>
      </w:r>
    </w:p>
    <w:p w:rsidR="003717A0" w:rsidRDefault="003717A0">
      <w:pPr>
        <w:rPr>
          <w:bCs/>
          <w:u w:val="single"/>
        </w:rPr>
      </w:pPr>
      <w:r>
        <w:t>15</w:t>
      </w:r>
      <w:r>
        <w:rPr>
          <w:rFonts w:hint="eastAsia"/>
        </w:rPr>
        <w:t>、</w:t>
      </w:r>
      <w:r>
        <w:rPr>
          <w:rFonts w:hint="eastAsia"/>
          <w:bCs/>
        </w:rPr>
        <w:t>国内最常用的平板运动实验方案是</w:t>
      </w:r>
      <w:r>
        <w:rPr>
          <w:bCs/>
          <w:u w:val="single"/>
        </w:rPr>
        <w:t xml:space="preserve">     </w:t>
      </w:r>
    </w:p>
    <w:p w:rsidR="003717A0" w:rsidRDefault="003717A0">
      <w:pPr>
        <w:rPr>
          <w:bCs/>
        </w:rPr>
      </w:pPr>
      <w:r>
        <w:rPr>
          <w:bCs/>
        </w:rPr>
        <w:t>A</w:t>
      </w:r>
      <w:r>
        <w:rPr>
          <w:rFonts w:hint="eastAsia"/>
          <w:bCs/>
        </w:rPr>
        <w:t>．</w:t>
      </w:r>
      <w:r>
        <w:rPr>
          <w:bCs/>
        </w:rPr>
        <w:t>Bruce</w:t>
      </w:r>
      <w:r>
        <w:rPr>
          <w:rFonts w:hint="eastAsia"/>
          <w:bCs/>
        </w:rPr>
        <w:t>方案</w:t>
      </w:r>
      <w:r>
        <w:rPr>
          <w:bCs/>
        </w:rPr>
        <w:t xml:space="preserve">      B</w:t>
      </w:r>
      <w:r>
        <w:rPr>
          <w:rFonts w:hint="eastAsia"/>
          <w:bCs/>
        </w:rPr>
        <w:t>．</w:t>
      </w:r>
      <w:r>
        <w:rPr>
          <w:bCs/>
        </w:rPr>
        <w:t>Naughton</w:t>
      </w:r>
      <w:r>
        <w:rPr>
          <w:rFonts w:hint="eastAsia"/>
          <w:bCs/>
        </w:rPr>
        <w:t>方案</w:t>
      </w:r>
      <w:r>
        <w:rPr>
          <w:bCs/>
        </w:rPr>
        <w:t xml:space="preserve">     C</w:t>
      </w:r>
      <w:r>
        <w:rPr>
          <w:rFonts w:hint="eastAsia"/>
          <w:bCs/>
        </w:rPr>
        <w:t>．</w:t>
      </w:r>
      <w:r>
        <w:rPr>
          <w:bCs/>
        </w:rPr>
        <w:t>Balke</w:t>
      </w:r>
      <w:r>
        <w:rPr>
          <w:rFonts w:hint="eastAsia"/>
          <w:bCs/>
        </w:rPr>
        <w:t>方案</w:t>
      </w:r>
      <w:r>
        <w:rPr>
          <w:b/>
          <w:bCs/>
        </w:rPr>
        <w:t xml:space="preserve">   </w:t>
      </w:r>
      <w:r>
        <w:rPr>
          <w:bCs/>
        </w:rPr>
        <w:t xml:space="preserve"> D</w:t>
      </w:r>
      <w:r>
        <w:rPr>
          <w:rFonts w:hint="eastAsia"/>
          <w:bCs/>
        </w:rPr>
        <w:t>．踏车运动试验方案</w:t>
      </w:r>
    </w:p>
    <w:p w:rsidR="003717A0" w:rsidRDefault="003717A0">
      <w:pPr>
        <w:rPr>
          <w:bCs/>
          <w:u w:val="single"/>
        </w:rPr>
      </w:pPr>
      <w:r>
        <w:rPr>
          <w:bCs/>
        </w:rPr>
        <w:t>16</w:t>
      </w:r>
      <w:r>
        <w:rPr>
          <w:rFonts w:hint="eastAsia"/>
          <w:bCs/>
        </w:rPr>
        <w:t>、关于共同运动说法正确的是</w:t>
      </w:r>
      <w:r>
        <w:rPr>
          <w:bCs/>
          <w:u w:val="single"/>
        </w:rPr>
        <w:t xml:space="preserve">     </w:t>
      </w:r>
    </w:p>
    <w:p w:rsidR="003717A0" w:rsidRDefault="003717A0">
      <w:pPr>
        <w:rPr>
          <w:bCs/>
        </w:rPr>
      </w:pPr>
      <w:r>
        <w:rPr>
          <w:bCs/>
        </w:rPr>
        <w:t>A</w:t>
      </w:r>
      <w:r>
        <w:rPr>
          <w:rFonts w:hint="eastAsia"/>
          <w:bCs/>
        </w:rPr>
        <w:t>．是一种不随意运动</w:t>
      </w:r>
      <w:r>
        <w:rPr>
          <w:bCs/>
        </w:rPr>
        <w:t xml:space="preserve">        B</w:t>
      </w:r>
      <w:r>
        <w:rPr>
          <w:rFonts w:hint="eastAsia"/>
          <w:bCs/>
        </w:rPr>
        <w:t>．是一种“半随意运动”</w:t>
      </w:r>
      <w:r>
        <w:rPr>
          <w:bCs/>
        </w:rPr>
        <w:t xml:space="preserve">     </w:t>
      </w:r>
    </w:p>
    <w:p w:rsidR="003717A0" w:rsidRDefault="003717A0">
      <w:pPr>
        <w:rPr>
          <w:bCs/>
        </w:rPr>
      </w:pPr>
      <w:r>
        <w:rPr>
          <w:bCs/>
        </w:rPr>
        <w:t>C</w:t>
      </w:r>
      <w:r>
        <w:rPr>
          <w:rFonts w:hint="eastAsia"/>
          <w:bCs/>
        </w:rPr>
        <w:t>．出现在健侧</w:t>
      </w:r>
      <w:r>
        <w:rPr>
          <w:bCs/>
        </w:rPr>
        <w:t xml:space="preserve">              D</w:t>
      </w:r>
      <w:r>
        <w:rPr>
          <w:rFonts w:hint="eastAsia"/>
          <w:bCs/>
        </w:rPr>
        <w:t>．是一种正常运动模式</w:t>
      </w:r>
    </w:p>
    <w:p w:rsidR="003717A0" w:rsidRDefault="003717A0">
      <w:pPr>
        <w:rPr>
          <w:bCs/>
        </w:rPr>
      </w:pPr>
      <w:r>
        <w:rPr>
          <w:bCs/>
        </w:rPr>
        <w:t>17</w:t>
      </w:r>
      <w:r>
        <w:rPr>
          <w:rFonts w:hint="eastAsia"/>
          <w:bCs/>
        </w:rPr>
        <w:t>、一般认为，人体平衡的维持需要以下哪三个环节的参与</w:t>
      </w:r>
    </w:p>
    <w:p w:rsidR="003717A0" w:rsidRDefault="003717A0">
      <w:pPr>
        <w:rPr>
          <w:bCs/>
        </w:rPr>
      </w:pPr>
      <w:r>
        <w:rPr>
          <w:bCs/>
        </w:rPr>
        <w:t>A</w:t>
      </w:r>
      <w:r>
        <w:rPr>
          <w:rFonts w:hint="eastAsia"/>
          <w:bCs/>
        </w:rPr>
        <w:t>．躯体感觉、视觉系统、前庭系统</w:t>
      </w:r>
      <w:r>
        <w:rPr>
          <w:bCs/>
        </w:rPr>
        <w:t xml:space="preserve">         </w:t>
      </w:r>
    </w:p>
    <w:p w:rsidR="003717A0" w:rsidRDefault="003717A0">
      <w:pPr>
        <w:rPr>
          <w:bCs/>
        </w:rPr>
      </w:pPr>
      <w:r>
        <w:rPr>
          <w:bCs/>
        </w:rPr>
        <w:t>B</w:t>
      </w:r>
      <w:r>
        <w:rPr>
          <w:rFonts w:hint="eastAsia"/>
          <w:bCs/>
        </w:rPr>
        <w:t>．感觉输入、中枢整合、运动控制</w:t>
      </w:r>
      <w:r>
        <w:rPr>
          <w:bCs/>
        </w:rPr>
        <w:t xml:space="preserve">    </w:t>
      </w:r>
    </w:p>
    <w:p w:rsidR="003717A0" w:rsidRDefault="003717A0">
      <w:pPr>
        <w:rPr>
          <w:bCs/>
        </w:rPr>
      </w:pPr>
      <w:r>
        <w:rPr>
          <w:bCs/>
        </w:rPr>
        <w:t>C</w:t>
      </w:r>
      <w:r>
        <w:rPr>
          <w:rFonts w:hint="eastAsia"/>
          <w:bCs/>
        </w:rPr>
        <w:t>．大脑平衡反射调节系统、中枢整合、运动控制</w:t>
      </w:r>
      <w:r>
        <w:rPr>
          <w:bCs/>
        </w:rPr>
        <w:t xml:space="preserve">     </w:t>
      </w:r>
    </w:p>
    <w:p w:rsidR="003717A0" w:rsidRDefault="003717A0">
      <w:pPr>
        <w:rPr>
          <w:bCs/>
        </w:rPr>
      </w:pPr>
      <w:r>
        <w:rPr>
          <w:bCs/>
        </w:rPr>
        <w:t>D</w:t>
      </w:r>
      <w:r>
        <w:rPr>
          <w:rFonts w:hint="eastAsia"/>
          <w:bCs/>
        </w:rPr>
        <w:t>．小脑共济协调系统、大脑平衡反射调节系统、躯体感觉</w:t>
      </w:r>
    </w:p>
    <w:p w:rsidR="003717A0" w:rsidRDefault="003717A0">
      <w:pPr>
        <w:rPr>
          <w:bCs/>
          <w:u w:val="single"/>
        </w:rPr>
      </w:pPr>
      <w:r>
        <w:rPr>
          <w:bCs/>
        </w:rPr>
        <w:t>18</w:t>
      </w:r>
      <w:r>
        <w:rPr>
          <w:rFonts w:hint="eastAsia"/>
          <w:bCs/>
        </w:rPr>
        <w:t>、典型的痉挛模式表现为</w:t>
      </w:r>
      <w:r>
        <w:rPr>
          <w:bCs/>
          <w:u w:val="single"/>
        </w:rPr>
        <w:t xml:space="preserve">     </w:t>
      </w:r>
    </w:p>
    <w:p w:rsidR="003717A0" w:rsidRDefault="003717A0">
      <w:pPr>
        <w:rPr>
          <w:bCs/>
        </w:rPr>
      </w:pPr>
      <w:r>
        <w:rPr>
          <w:bCs/>
        </w:rPr>
        <w:t>A</w:t>
      </w:r>
      <w:r>
        <w:rPr>
          <w:rFonts w:hint="eastAsia"/>
          <w:bCs/>
        </w:rPr>
        <w:t>．足跖屈、内翻</w:t>
      </w:r>
      <w:r>
        <w:rPr>
          <w:bCs/>
        </w:rPr>
        <w:t xml:space="preserve">      B</w:t>
      </w:r>
      <w:r>
        <w:rPr>
          <w:rFonts w:hint="eastAsia"/>
          <w:bCs/>
        </w:rPr>
        <w:t>．肘关节伸展</w:t>
      </w:r>
      <w:r>
        <w:rPr>
          <w:bCs/>
        </w:rPr>
        <w:t xml:space="preserve">     C</w:t>
      </w:r>
      <w:r>
        <w:rPr>
          <w:rFonts w:hint="eastAsia"/>
          <w:bCs/>
        </w:rPr>
        <w:t>．膝关节屈曲</w:t>
      </w:r>
      <w:r>
        <w:rPr>
          <w:bCs/>
        </w:rPr>
        <w:t xml:space="preserve">     D</w:t>
      </w:r>
      <w:r>
        <w:rPr>
          <w:rFonts w:hint="eastAsia"/>
          <w:bCs/>
        </w:rPr>
        <w:t>．上肢呈伸肌优势</w:t>
      </w:r>
    </w:p>
    <w:p w:rsidR="003717A0" w:rsidRDefault="003717A0">
      <w:pPr>
        <w:rPr>
          <w:bCs/>
          <w:u w:val="single"/>
        </w:rPr>
      </w:pPr>
      <w:r>
        <w:rPr>
          <w:rFonts w:hAnsi="宋体" w:cs="宋体"/>
        </w:rPr>
        <w:t>19</w:t>
      </w:r>
      <w:r>
        <w:rPr>
          <w:rFonts w:hAnsi="宋体" w:cs="宋体" w:hint="eastAsia"/>
        </w:rPr>
        <w:t>、</w:t>
      </w:r>
      <w:r>
        <w:rPr>
          <w:rFonts w:hint="eastAsia"/>
          <w:bCs/>
        </w:rPr>
        <w:t>（多选）下列哪些是心电运动实验的目的</w:t>
      </w:r>
      <w:r>
        <w:rPr>
          <w:bCs/>
          <w:u w:val="single"/>
        </w:rPr>
        <w:t xml:space="preserve">     </w:t>
      </w:r>
    </w:p>
    <w:p w:rsidR="003717A0" w:rsidRDefault="003717A0">
      <w:pPr>
        <w:rPr>
          <w:bCs/>
        </w:rPr>
      </w:pPr>
      <w:r>
        <w:rPr>
          <w:bCs/>
        </w:rPr>
        <w:t>A</w:t>
      </w:r>
      <w:r>
        <w:rPr>
          <w:rFonts w:hint="eastAsia"/>
          <w:bCs/>
        </w:rPr>
        <w:t>．评定心功能、体力活动能力</w:t>
      </w:r>
      <w:r>
        <w:rPr>
          <w:bCs/>
        </w:rPr>
        <w:t xml:space="preserve">        B</w:t>
      </w:r>
      <w:r>
        <w:rPr>
          <w:rFonts w:hint="eastAsia"/>
          <w:bCs/>
        </w:rPr>
        <w:t>．冠心病的早期诊断</w:t>
      </w:r>
      <w:r>
        <w:rPr>
          <w:bCs/>
        </w:rPr>
        <w:t xml:space="preserve">    </w:t>
      </w:r>
    </w:p>
    <w:p w:rsidR="003717A0" w:rsidRDefault="003717A0">
      <w:pPr>
        <w:rPr>
          <w:bCs/>
        </w:rPr>
      </w:pPr>
      <w:r>
        <w:rPr>
          <w:bCs/>
        </w:rPr>
        <w:t>C</w:t>
      </w:r>
      <w:r>
        <w:rPr>
          <w:rFonts w:hint="eastAsia"/>
          <w:bCs/>
        </w:rPr>
        <w:t>．判定是否有先天性心脏病</w:t>
      </w:r>
      <w:r>
        <w:rPr>
          <w:bCs/>
        </w:rPr>
        <w:t xml:space="preserve">           D</w:t>
      </w:r>
      <w:r>
        <w:rPr>
          <w:rFonts w:hint="eastAsia"/>
          <w:bCs/>
        </w:rPr>
        <w:t>．评定运动锻炼和康复治疗的效果</w:t>
      </w:r>
    </w:p>
    <w:p w:rsidR="003717A0" w:rsidRDefault="003717A0">
      <w:r>
        <w:rPr>
          <w:rFonts w:hAnsi="宋体" w:cs="宋体"/>
        </w:rPr>
        <w:t>20</w:t>
      </w:r>
      <w:r>
        <w:rPr>
          <w:rFonts w:hAnsi="宋体" w:cs="宋体" w:hint="eastAsia"/>
        </w:rPr>
        <w:t>、</w:t>
      </w:r>
      <w:r>
        <w:rPr>
          <w:rFonts w:hint="eastAsia"/>
        </w:rPr>
        <w:t>手持重物，从肘屈曲状态逐渐放下，为了控制前臂坠落的速度，此时要求肱二头肌做</w:t>
      </w:r>
    </w:p>
    <w:p w:rsidR="003717A0" w:rsidRDefault="003717A0">
      <w:r>
        <w:t>A</w:t>
      </w:r>
      <w:r>
        <w:rPr>
          <w:rFonts w:hint="eastAsia"/>
        </w:rPr>
        <w:t>等长收缩</w:t>
      </w:r>
      <w:r>
        <w:t xml:space="preserve">          B</w:t>
      </w:r>
      <w:r>
        <w:rPr>
          <w:rFonts w:hint="eastAsia"/>
        </w:rPr>
        <w:t>等速离心性收缩</w:t>
      </w:r>
    </w:p>
    <w:p w:rsidR="003717A0" w:rsidRDefault="003717A0">
      <w:pPr>
        <w:spacing w:line="300" w:lineRule="auto"/>
      </w:pPr>
      <w:r>
        <w:t xml:space="preserve">C </w:t>
      </w:r>
      <w:r>
        <w:rPr>
          <w:rFonts w:hint="eastAsia"/>
        </w:rPr>
        <w:t>等张离心性收缩</w:t>
      </w:r>
      <w:r>
        <w:t xml:space="preserve">    D</w:t>
      </w:r>
      <w:r>
        <w:rPr>
          <w:rFonts w:hint="eastAsia"/>
        </w:rPr>
        <w:t>等速向心性收缩</w:t>
      </w:r>
      <w:r>
        <w:t xml:space="preserve">  </w:t>
      </w:r>
    </w:p>
    <w:p w:rsidR="003717A0" w:rsidRDefault="003717A0">
      <w:pPr>
        <w:pStyle w:val="a9"/>
        <w:spacing w:line="380" w:lineRule="exact"/>
      </w:pPr>
      <w:r>
        <w:rPr>
          <w:rFonts w:hint="eastAsia"/>
        </w:rPr>
        <w:t>三、问答题（每题</w:t>
      </w:r>
      <w:r>
        <w:t>5</w:t>
      </w:r>
      <w:r>
        <w:rPr>
          <w:rFonts w:hint="eastAsia"/>
        </w:rPr>
        <w:t>分，共</w:t>
      </w:r>
      <w:r>
        <w:t>30</w:t>
      </w:r>
      <w:r>
        <w:rPr>
          <w:rFonts w:hint="eastAsia"/>
        </w:rPr>
        <w:t>分）</w:t>
      </w:r>
    </w:p>
    <w:p w:rsidR="003717A0" w:rsidRDefault="003717A0">
      <w:pPr>
        <w:numPr>
          <w:ilvl w:val="0"/>
          <w:numId w:val="321"/>
        </w:numPr>
        <w:spacing w:line="400" w:lineRule="exact"/>
        <w:rPr>
          <w:rFonts w:ascii="宋体" w:hAnsi="Courier New" w:cs="Courier New"/>
          <w:szCs w:val="21"/>
        </w:rPr>
      </w:pPr>
      <w:r>
        <w:rPr>
          <w:rFonts w:ascii="宋体" w:hAnsi="Courier New" w:cs="Courier New" w:hint="eastAsia"/>
          <w:szCs w:val="21"/>
        </w:rPr>
        <w:t>关节活动度的定义、分类。</w:t>
      </w:r>
    </w:p>
    <w:p w:rsidR="003717A0" w:rsidRDefault="003717A0">
      <w:pPr>
        <w:numPr>
          <w:ilvl w:val="0"/>
          <w:numId w:val="321"/>
        </w:numPr>
        <w:spacing w:line="400" w:lineRule="exact"/>
        <w:rPr>
          <w:rFonts w:ascii="宋体" w:hAnsi="Courier New" w:cs="Courier New"/>
          <w:szCs w:val="21"/>
        </w:rPr>
      </w:pPr>
      <w:r>
        <w:rPr>
          <w:rFonts w:ascii="宋体" w:hAnsi="Courier New" w:cs="Courier New" w:hint="eastAsia"/>
          <w:szCs w:val="21"/>
        </w:rPr>
        <w:t>髋关节屈曲的测量方法与正常范围。</w:t>
      </w:r>
    </w:p>
    <w:p w:rsidR="003717A0" w:rsidRDefault="003717A0">
      <w:pPr>
        <w:numPr>
          <w:ilvl w:val="0"/>
          <w:numId w:val="321"/>
        </w:numPr>
        <w:spacing w:line="400" w:lineRule="exact"/>
        <w:rPr>
          <w:rFonts w:ascii="宋体" w:hAnsi="Courier New" w:cs="Courier New"/>
          <w:szCs w:val="21"/>
        </w:rPr>
      </w:pPr>
      <w:r>
        <w:rPr>
          <w:rFonts w:hint="eastAsia"/>
          <w:bCs/>
        </w:rPr>
        <w:t>改良的</w:t>
      </w:r>
      <w:r>
        <w:rPr>
          <w:bCs/>
        </w:rPr>
        <w:t>Ashworth</w:t>
      </w:r>
      <w:r>
        <w:rPr>
          <w:rFonts w:hint="eastAsia"/>
          <w:bCs/>
        </w:rPr>
        <w:t>法内容。</w:t>
      </w:r>
    </w:p>
    <w:p w:rsidR="003717A0" w:rsidRDefault="003717A0">
      <w:pPr>
        <w:numPr>
          <w:ilvl w:val="0"/>
          <w:numId w:val="321"/>
        </w:numPr>
        <w:spacing w:line="400" w:lineRule="exact"/>
        <w:rPr>
          <w:rFonts w:ascii="宋体" w:hAnsi="Courier New" w:cs="Courier New"/>
          <w:szCs w:val="21"/>
        </w:rPr>
      </w:pPr>
      <w:r>
        <w:rPr>
          <w:rFonts w:hint="eastAsia"/>
          <w:bCs/>
        </w:rPr>
        <w:t>步行周期分期</w:t>
      </w:r>
      <w:r>
        <w:rPr>
          <w:rFonts w:hint="eastAsia"/>
        </w:rPr>
        <w:t>的</w:t>
      </w:r>
      <w:r>
        <w:rPr>
          <w:bCs/>
        </w:rPr>
        <w:t>RLA</w:t>
      </w:r>
      <w:r>
        <w:rPr>
          <w:rFonts w:hint="eastAsia"/>
          <w:bCs/>
        </w:rPr>
        <w:t>分期法。</w:t>
      </w:r>
    </w:p>
    <w:p w:rsidR="003717A0" w:rsidRDefault="003717A0">
      <w:pPr>
        <w:numPr>
          <w:ilvl w:val="0"/>
          <w:numId w:val="321"/>
        </w:numPr>
        <w:spacing w:line="400" w:lineRule="exact"/>
        <w:rPr>
          <w:rFonts w:ascii="宋体" w:hAnsi="Courier New" w:cs="Courier New"/>
          <w:szCs w:val="21"/>
        </w:rPr>
      </w:pPr>
      <w:r>
        <w:rPr>
          <w:rFonts w:hint="eastAsia"/>
        </w:rPr>
        <w:t>心电运动试验</w:t>
      </w:r>
      <w:r>
        <w:rPr>
          <w:rFonts w:hint="eastAsia"/>
          <w:bCs/>
        </w:rPr>
        <w:t>运动试验的结果及其意义。</w:t>
      </w:r>
    </w:p>
    <w:p w:rsidR="003717A0" w:rsidRDefault="003717A0">
      <w:pPr>
        <w:numPr>
          <w:ilvl w:val="0"/>
          <w:numId w:val="321"/>
        </w:numPr>
        <w:spacing w:line="400" w:lineRule="exact"/>
        <w:rPr>
          <w:rFonts w:ascii="宋体" w:hAnsi="Courier New" w:cs="Courier New"/>
          <w:szCs w:val="21"/>
        </w:rPr>
      </w:pPr>
      <w:r>
        <w:rPr>
          <w:bCs/>
        </w:rPr>
        <w:t>Brunnstrom</w:t>
      </w:r>
      <w:r>
        <w:rPr>
          <w:rFonts w:hint="eastAsia"/>
          <w:bCs/>
        </w:rPr>
        <w:t>偏瘫下肢功能评价表。</w:t>
      </w:r>
    </w:p>
    <w:p w:rsidR="003717A0" w:rsidRDefault="003717A0">
      <w:pPr>
        <w:spacing w:line="400" w:lineRule="exact"/>
        <w:rPr>
          <w:bCs/>
        </w:rPr>
      </w:pPr>
    </w:p>
    <w:p w:rsidR="003717A0" w:rsidRDefault="003717A0">
      <w:pPr>
        <w:spacing w:line="400" w:lineRule="exact"/>
        <w:rPr>
          <w:bCs/>
        </w:rPr>
      </w:pPr>
    </w:p>
    <w:p w:rsidR="003717A0" w:rsidRDefault="003717A0">
      <w:pPr>
        <w:spacing w:line="400" w:lineRule="exact"/>
        <w:rPr>
          <w:bCs/>
        </w:rPr>
      </w:pPr>
    </w:p>
    <w:p w:rsidR="003717A0" w:rsidRDefault="003717A0">
      <w:pPr>
        <w:spacing w:line="400" w:lineRule="exact"/>
        <w:rPr>
          <w:bCs/>
        </w:rPr>
      </w:pPr>
    </w:p>
    <w:p w:rsidR="003717A0" w:rsidRDefault="003717A0">
      <w:pPr>
        <w:spacing w:line="400" w:lineRule="exact"/>
        <w:ind w:left="480"/>
        <w:rPr>
          <w:rFonts w:ascii="黑体" w:eastAsia="黑体" w:hAnsi="黑体" w:cs="Courier New"/>
          <w:sz w:val="32"/>
          <w:szCs w:val="32"/>
        </w:rPr>
      </w:pPr>
      <w:r>
        <w:rPr>
          <w:rFonts w:ascii="黑体" w:eastAsia="黑体" w:hAnsi="黑体" w:cs="Courier New" w:hint="eastAsia"/>
          <w:sz w:val="32"/>
          <w:szCs w:val="32"/>
        </w:rPr>
        <w:lastRenderedPageBreak/>
        <w:t>四、课程实施与保障</w:t>
      </w:r>
    </w:p>
    <w:p w:rsidR="003717A0" w:rsidRDefault="003717A0">
      <w:pPr>
        <w:spacing w:line="400" w:lineRule="exact"/>
        <w:ind w:left="480"/>
        <w:rPr>
          <w:rFonts w:ascii="黑体" w:eastAsia="黑体" w:hAnsi="黑体" w:cs="Courier New"/>
          <w:sz w:val="32"/>
          <w:szCs w:val="32"/>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形态的描述，可在实习课中让学生通过病案引入和康复评定工具来加强理解。教师应关心康复功能评定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32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32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322"/>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3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3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3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多媒体教学手段、课堂实验、病案引入相结合，以培养学生实践动手的能力。</w:t>
            </w:r>
          </w:p>
          <w:p w:rsidR="003717A0" w:rsidRDefault="003717A0">
            <w:pPr>
              <w:numPr>
                <w:ilvl w:val="0"/>
                <w:numId w:val="323"/>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Chars="54" w:left="113" w:right="113" w:firstLineChars="343" w:firstLine="826"/>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rFonts w:ascii="Times New Roman" w:hAnsi="宋体"/>
                <w:szCs w:val="21"/>
              </w:rPr>
            </w:pPr>
            <w:r>
              <w:rPr>
                <w:rFonts w:ascii="Times New Roman" w:hAnsi="宋体" w:hint="eastAsia"/>
                <w:szCs w:val="21"/>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32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32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77" w:name="_Toc469313000"/>
      <w:bookmarkStart w:id="78" w:name="_Toc471830712"/>
      <w:r w:rsidRPr="00F5156D">
        <w:rPr>
          <w:rFonts w:hint="eastAsia"/>
          <w:b/>
        </w:rPr>
        <w:lastRenderedPageBreak/>
        <w:t>《康复心理学》课程质量标准</w:t>
      </w:r>
      <w:bookmarkEnd w:id="77"/>
      <w:bookmarkEnd w:id="78"/>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康复心理学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Rehabilitation  psychology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170207</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五</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康复医学系</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ind w:firstLineChars="950" w:firstLine="2090"/>
              <w:rPr>
                <w:sz w:val="22"/>
              </w:rPr>
            </w:pPr>
            <w:r>
              <w:rPr>
                <w:rFonts w:hint="eastAsia"/>
                <w:sz w:val="22"/>
              </w:rPr>
              <w:t>医学心理学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r>
              <w:rPr>
                <w:sz w:val="22"/>
              </w:rPr>
              <w:t>2013</w:t>
            </w:r>
            <w:r>
              <w:rPr>
                <w:rFonts w:hint="eastAsia"/>
                <w:sz w:val="22"/>
              </w:rPr>
              <w:t>年</w:t>
            </w:r>
            <w:r>
              <w:rPr>
                <w:sz w:val="22"/>
              </w:rPr>
              <w:t>3</w:t>
            </w:r>
            <w:r>
              <w:rPr>
                <w:rFonts w:hint="eastAsia"/>
                <w:sz w:val="22"/>
              </w:rPr>
              <w:t>月第</w:t>
            </w:r>
            <w:r>
              <w:rPr>
                <w:sz w:val="22"/>
              </w:rPr>
              <w:t>6</w:t>
            </w:r>
            <w:r>
              <w:rPr>
                <w:rFonts w:hint="eastAsia"/>
                <w:sz w:val="22"/>
              </w:rPr>
              <w:t>版</w:t>
            </w:r>
            <w:r>
              <w:rPr>
                <w:sz w:val="22"/>
              </w:rPr>
              <w:t xml:space="preserve"> </w:t>
            </w:r>
            <w:r>
              <w:rPr>
                <w:rFonts w:hint="eastAsia"/>
                <w:sz w:val="22"/>
              </w:rPr>
              <w:t>书号</w:t>
            </w:r>
            <w:r>
              <w:rPr>
                <w:sz w:val="22"/>
              </w:rPr>
              <w:t>ISBN978-7-117-17070-3/R</w:t>
            </w:r>
            <w:r>
              <w:rPr>
                <w:rFonts w:ascii="宋体" w:hAnsi="宋体" w:cs="宋体" w:hint="eastAsia"/>
                <w:sz w:val="22"/>
              </w:rPr>
              <w:t>﹒</w:t>
            </w:r>
            <w:r>
              <w:rPr>
                <w:sz w:val="22"/>
              </w:rPr>
              <w:t>17071</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沈光宇</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r>
              <w:rPr>
                <w:rFonts w:hint="eastAsia"/>
                <w:sz w:val="22"/>
              </w:rPr>
              <w:t>沈永江</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r>
              <w:rPr>
                <w:rFonts w:hint="eastAsia"/>
                <w:sz w:val="22"/>
              </w:rPr>
              <w:t>潘发达</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widowControl/>
              <w:spacing w:line="380" w:lineRule="atLeast"/>
              <w:ind w:firstLine="420"/>
              <w:jc w:val="left"/>
              <w:rPr>
                <w:rFonts w:ascii="宋体" w:cs="宋体"/>
                <w:kern w:val="0"/>
                <w:sz w:val="24"/>
              </w:rPr>
            </w:pPr>
            <w:r>
              <w:rPr>
                <w:rFonts w:hint="eastAsia"/>
                <w:sz w:val="22"/>
              </w:rPr>
              <w:t>康复治疗专业课程结构在康复治疗方面有六大板块，康复心理治疗是其中之一，国际上是独立的专业，我国仍然以医学心理学为主要教学内容，兼顾康复患者的心理特点与治疗，也涉及健康心理、医患关系和沟通等内容。该课程的实施能使康复治疗专业学生学习掌握心理学基础知识，提高自身的心理素质，以现代医学模式认识和开展康复治疗。课程教学主要以理论教学为主，</w:t>
            </w:r>
            <w:r>
              <w:rPr>
                <w:sz w:val="22"/>
              </w:rPr>
              <w:t>3</w:t>
            </w:r>
            <w:r>
              <w:rPr>
                <w:rFonts w:hint="eastAsia"/>
                <w:sz w:val="22"/>
              </w:rPr>
              <w:t>次实验见习由教科院心理学实验室完成。</w:t>
            </w:r>
          </w:p>
        </w:tc>
      </w:tr>
    </w:tbl>
    <w:p w:rsidR="003717A0" w:rsidRDefault="003717A0" w:rsidP="005E20B5">
      <w:pPr>
        <w:adjustRightInd w:val="0"/>
        <w:snapToGrid w:val="0"/>
        <w:spacing w:beforeLines="50" w:afterLines="50" w:line="400" w:lineRule="exact"/>
        <w:jc w:val="center"/>
        <w:rPr>
          <w:rFonts w:ascii="Times New Roman" w:eastAsia="黑体" w:hAnsi="Times New Roman"/>
          <w:b/>
          <w:kern w:val="0"/>
          <w:sz w:val="32"/>
          <w:szCs w:val="32"/>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sz w:val="22"/>
        </w:rPr>
        <w:t>170207</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36</w:t>
      </w:r>
      <w:r>
        <w:rPr>
          <w:rFonts w:ascii="Times New Roman" w:hAnsi="Times New Roman" w:hint="eastAsia"/>
          <w:kern w:val="0"/>
          <w:sz w:val="22"/>
        </w:rPr>
        <w:t>（</w:t>
      </w:r>
      <w:r>
        <w:rPr>
          <w:rFonts w:ascii="Times New Roman" w:hAnsi="Times New Roman"/>
          <w:kern w:val="0"/>
          <w:sz w:val="22"/>
        </w:rPr>
        <w:t>27/9</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2</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w:t>
      </w:r>
      <w:r>
        <w:rPr>
          <w:rFonts w:ascii="Times New Roman" w:hAnsi="Times New Roman"/>
          <w:kern w:val="0"/>
          <w:szCs w:val="21"/>
        </w:rPr>
        <w:t xml:space="preserve"> </w:t>
      </w:r>
      <w:r>
        <w:rPr>
          <w:rFonts w:ascii="Times New Roman" w:hAnsi="Times New Roman" w:hint="eastAsia"/>
          <w:kern w:val="0"/>
          <w:szCs w:val="21"/>
        </w:rPr>
        <w:t>专业基础和专业课</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临床康复课程</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ind w:firstLine="420"/>
        <w:jc w:val="left"/>
        <w:rPr>
          <w:rFonts w:ascii="Times New Roman" w:eastAsia="黑体" w:hAnsi="Times New Roman"/>
          <w:b/>
          <w:kern w:val="0"/>
          <w:sz w:val="24"/>
          <w:szCs w:val="24"/>
        </w:rPr>
      </w:pPr>
      <w:r>
        <w:rPr>
          <w:rFonts w:ascii="宋体" w:hAnsi="宋体" w:cs="宋体" w:hint="eastAsia"/>
          <w:kern w:val="0"/>
          <w:szCs w:val="21"/>
        </w:rPr>
        <w:t>康复心理学以医学心理学为蓝本，是心理学和医学相结合而形成的一门交叉学科，是医学与人文社会科学相结合的边缘学科。它将心理学的理论、方法和技术应用于医学实践，研究解决医学领域中有关健康和疾病的心理行为问题，从理论上全面阐述心理社会因素在健康与疾病过程中的作用，为人们提供更为全面的医学观、疾病观和健康观。学习医学心理学对于提高医学生自身的心理素质，更好的了解临床上患者的心理状态，搞好医患关系有着重要作用，同时对于转变传统的医学观念，适应医学发展的需要有着十分重要的意义。</w:t>
      </w:r>
      <w:r>
        <w:rPr>
          <w:rFonts w:ascii="Times New Roman" w:eastAsia="黑体" w:hAnsi="Times New Roman"/>
          <w:b/>
          <w:kern w:val="0"/>
          <w:szCs w:val="21"/>
        </w:rPr>
        <w:t xml:space="preserve"> </w:t>
      </w:r>
      <w:r>
        <w:rPr>
          <w:rFonts w:ascii="Times New Roman" w:eastAsia="黑体" w:hAnsi="Times New Roman"/>
          <w:b/>
          <w:kern w:val="0"/>
          <w:sz w:val="24"/>
          <w:szCs w:val="24"/>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ind w:firstLineChars="200" w:firstLine="420"/>
        <w:jc w:val="left"/>
        <w:rPr>
          <w:rFonts w:ascii="宋体" w:cs="宋体"/>
          <w:kern w:val="0"/>
          <w:szCs w:val="21"/>
        </w:rPr>
      </w:pPr>
      <w:r>
        <w:rPr>
          <w:rFonts w:ascii="宋体" w:hAnsi="宋体" w:cs="宋体" w:hint="eastAsia"/>
          <w:kern w:val="0"/>
          <w:szCs w:val="21"/>
        </w:rPr>
        <w:t>通过对本课程的学习，加强学生将心理学与医学紧密相连的思维模式，使学生学会运用心理诊断和治疗等技术为临床服务，从而真正作到医学模式从单纯的生物医学模式转变为生物</w:t>
      </w:r>
      <w:r>
        <w:rPr>
          <w:rFonts w:ascii="宋体" w:cs="宋体"/>
          <w:kern w:val="0"/>
          <w:szCs w:val="21"/>
        </w:rPr>
        <w:t>-</w:t>
      </w:r>
      <w:r>
        <w:rPr>
          <w:rFonts w:ascii="宋体" w:hAnsi="宋体" w:cs="宋体" w:hint="eastAsia"/>
          <w:kern w:val="0"/>
          <w:szCs w:val="21"/>
        </w:rPr>
        <w:t>心理</w:t>
      </w:r>
      <w:r>
        <w:rPr>
          <w:rFonts w:ascii="宋体" w:cs="宋体"/>
          <w:kern w:val="0"/>
          <w:szCs w:val="21"/>
        </w:rPr>
        <w:t>-</w:t>
      </w:r>
      <w:r>
        <w:rPr>
          <w:rFonts w:ascii="宋体" w:hAnsi="宋体" w:cs="宋体" w:hint="eastAsia"/>
          <w:kern w:val="0"/>
          <w:szCs w:val="21"/>
        </w:rPr>
        <w:t>社会医学模式，进一步改进疾病的防治措施，提高医疗质量，促进人类的身心健康。</w:t>
      </w:r>
    </w:p>
    <w:p w:rsidR="003717A0" w:rsidRDefault="003717A0">
      <w:pPr>
        <w:autoSpaceDE w:val="0"/>
        <w:autoSpaceDN w:val="0"/>
        <w:adjustRightInd w:val="0"/>
        <w:snapToGrid w:val="0"/>
        <w:spacing w:line="440" w:lineRule="exact"/>
        <w:jc w:val="left"/>
        <w:rPr>
          <w:rFonts w:ascii="宋体" w:cs="宋体"/>
          <w:kern w:val="0"/>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widowControl/>
        <w:jc w:val="center"/>
        <w:rPr>
          <w:rFonts w:ascii="宋体" w:cs="宋体"/>
          <w:kern w:val="0"/>
          <w:szCs w:val="21"/>
        </w:rPr>
      </w:pPr>
      <w:r>
        <w:rPr>
          <w:rFonts w:ascii="宋体" w:hAnsi="宋体" w:cs="宋体" w:hint="eastAsia"/>
          <w:b/>
          <w:bCs/>
          <w:kern w:val="0"/>
          <w:szCs w:val="21"/>
        </w:rPr>
        <w:t>第一章</w:t>
      </w:r>
      <w:r>
        <w:rPr>
          <w:rFonts w:ascii="宋体" w:hAnsi="宋体" w:cs="宋体"/>
          <w:b/>
          <w:bCs/>
          <w:kern w:val="0"/>
          <w:szCs w:val="21"/>
        </w:rPr>
        <w:t xml:space="preserve"> </w:t>
      </w:r>
      <w:r>
        <w:rPr>
          <w:rFonts w:ascii="宋体" w:hAnsi="宋体" w:cs="宋体" w:hint="eastAsia"/>
          <w:b/>
          <w:bCs/>
          <w:kern w:val="0"/>
          <w:szCs w:val="21"/>
        </w:rPr>
        <w:t>绪</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论</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了解：医学心理学的研究方法</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熟悉：生物</w:t>
      </w:r>
      <w:r>
        <w:rPr>
          <w:rFonts w:ascii="宋体" w:cs="宋体"/>
          <w:kern w:val="0"/>
          <w:szCs w:val="21"/>
        </w:rPr>
        <w:t>-</w:t>
      </w:r>
      <w:r>
        <w:rPr>
          <w:rFonts w:ascii="宋体" w:hAnsi="宋体" w:cs="宋体" w:hint="eastAsia"/>
          <w:kern w:val="0"/>
          <w:szCs w:val="21"/>
        </w:rPr>
        <w:t>心理</w:t>
      </w:r>
      <w:r>
        <w:rPr>
          <w:rFonts w:ascii="宋体" w:cs="宋体"/>
          <w:kern w:val="0"/>
          <w:szCs w:val="21"/>
        </w:rPr>
        <w:t>-</w:t>
      </w:r>
      <w:r>
        <w:rPr>
          <w:rFonts w:ascii="宋体" w:hAnsi="宋体" w:cs="宋体" w:hint="eastAsia"/>
          <w:kern w:val="0"/>
          <w:szCs w:val="21"/>
        </w:rPr>
        <w:t>社会医学模式的含义及意义</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掌握：医学心理学的概念及应用范围</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医学心理学的定义、性质与发展</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医学模式的发展及转变的意义</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医学心理学的研究方法及其特殊性</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1</w:t>
      </w:r>
      <w:r>
        <w:rPr>
          <w:rFonts w:ascii="宋体" w:hAnsi="宋体" w:cs="宋体" w:hint="eastAsia"/>
          <w:kern w:val="0"/>
          <w:szCs w:val="21"/>
        </w:rPr>
        <w:t>学时</w:t>
      </w:r>
    </w:p>
    <w:p w:rsidR="003717A0" w:rsidRDefault="003717A0">
      <w:pPr>
        <w:widowControl/>
        <w:jc w:val="center"/>
        <w:rPr>
          <w:rFonts w:ascii="宋体" w:cs="宋体"/>
          <w:kern w:val="0"/>
          <w:szCs w:val="21"/>
        </w:rPr>
      </w:pPr>
      <w:r>
        <w:rPr>
          <w:rFonts w:ascii="宋体" w:hAnsi="宋体" w:cs="宋体" w:hint="eastAsia"/>
          <w:b/>
          <w:bCs/>
          <w:kern w:val="0"/>
          <w:szCs w:val="21"/>
        </w:rPr>
        <w:t>第二章</w:t>
      </w:r>
      <w:r>
        <w:rPr>
          <w:rFonts w:ascii="宋体" w:hAnsi="宋体" w:cs="宋体"/>
          <w:b/>
          <w:bCs/>
          <w:kern w:val="0"/>
          <w:szCs w:val="21"/>
        </w:rPr>
        <w:t xml:space="preserve"> </w:t>
      </w:r>
      <w:r>
        <w:rPr>
          <w:rFonts w:ascii="宋体" w:hAnsi="宋体" w:cs="宋体" w:hint="eastAsia"/>
          <w:b/>
          <w:bCs/>
          <w:kern w:val="0"/>
          <w:szCs w:val="21"/>
        </w:rPr>
        <w:t>心理学基础</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3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了解：各种心理防卫机制的概念</w:t>
      </w:r>
    </w:p>
    <w:p w:rsidR="003717A0" w:rsidRDefault="003717A0">
      <w:pPr>
        <w:widowControl/>
        <w:spacing w:line="360" w:lineRule="auto"/>
        <w:ind w:left="210" w:firstLine="42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熟悉：感知觉与思维、情绪与情感、性格与气质的关系；动机冲突；常见的心理防御机制、遗忘理论；思维和记忆的分类</w:t>
      </w:r>
    </w:p>
    <w:p w:rsidR="003717A0" w:rsidRDefault="003717A0">
      <w:pPr>
        <w:widowControl/>
        <w:spacing w:line="360" w:lineRule="auto"/>
        <w:ind w:left="210" w:firstLine="378"/>
        <w:jc w:val="left"/>
        <w:rPr>
          <w:rFonts w:ascii="宋体" w:cs="宋体"/>
          <w:kern w:val="0"/>
          <w:szCs w:val="21"/>
        </w:rPr>
      </w:pPr>
      <w:r>
        <w:rPr>
          <w:rFonts w:ascii="宋体" w:hAnsi="宋体" w:cs="宋体"/>
          <w:kern w:val="0"/>
          <w:szCs w:val="21"/>
        </w:rPr>
        <w:lastRenderedPageBreak/>
        <w:t>3.</w:t>
      </w:r>
      <w:r>
        <w:rPr>
          <w:rFonts w:ascii="宋体" w:hAnsi="宋体" w:cs="宋体" w:hint="eastAsia"/>
          <w:kern w:val="0"/>
          <w:szCs w:val="21"/>
        </w:rPr>
        <w:t>掌握：心理的实质、心理活动的内容，感觉、知觉、记忆、思维、想象、注意、意志、心境、人格、性格、气质及动机的概念、特性及应用；需要的层次</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心理的实质、认知过程、情感过程、意志过程的基本概念</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感知觉、记忆、思维、注意和情绪的生理机制及在医学领域中的应用</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意志行动的心理过程及意志品质</w:t>
      </w:r>
    </w:p>
    <w:p w:rsidR="003717A0" w:rsidRDefault="003717A0">
      <w:pPr>
        <w:widowControl/>
        <w:ind w:firstLine="600"/>
        <w:jc w:val="left"/>
        <w:rPr>
          <w:rFonts w:ascii="宋体" w:cs="宋体"/>
          <w:kern w:val="0"/>
          <w:szCs w:val="21"/>
        </w:rPr>
      </w:pPr>
      <w:r>
        <w:rPr>
          <w:rFonts w:ascii="宋体" w:hAnsi="宋体" w:cs="宋体"/>
          <w:kern w:val="0"/>
          <w:szCs w:val="21"/>
        </w:rPr>
        <w:t>4.</w:t>
      </w:r>
      <w:r>
        <w:rPr>
          <w:rFonts w:ascii="宋体" w:hAnsi="宋体" w:cs="宋体" w:hint="eastAsia"/>
          <w:kern w:val="0"/>
          <w:szCs w:val="21"/>
        </w:rPr>
        <w:t>个性的定义及个性包括的内容，能力、气质及性格在医学工作中的意义</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4</w:t>
      </w:r>
      <w:r>
        <w:rPr>
          <w:rFonts w:ascii="宋体" w:hAnsi="宋体" w:cs="宋体" w:hint="eastAsia"/>
          <w:kern w:val="0"/>
          <w:szCs w:val="21"/>
        </w:rPr>
        <w:t>学时</w:t>
      </w:r>
    </w:p>
    <w:p w:rsidR="003717A0" w:rsidRDefault="003717A0">
      <w:pPr>
        <w:widowControl/>
        <w:ind w:firstLine="3263"/>
        <w:jc w:val="left"/>
        <w:rPr>
          <w:rFonts w:ascii="宋体" w:cs="宋体"/>
          <w:kern w:val="0"/>
          <w:szCs w:val="21"/>
        </w:rPr>
      </w:pPr>
      <w:r>
        <w:rPr>
          <w:rFonts w:ascii="宋体" w:hAnsi="宋体" w:cs="宋体" w:hint="eastAsia"/>
          <w:b/>
          <w:bCs/>
          <w:kern w:val="0"/>
          <w:szCs w:val="21"/>
        </w:rPr>
        <w:t>第三章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心理发展与心理健康</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3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了解：心理健康的任务及人的发展理论</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熟悉：不同年龄阶段的心理特征</w:t>
      </w:r>
    </w:p>
    <w:p w:rsidR="003717A0" w:rsidRDefault="003717A0">
      <w:pPr>
        <w:widowControl/>
        <w:ind w:left="210" w:firstLine="386"/>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掌握：健康、心理健康的概念及判断心理健康的标准；各年龄段心理健康问题和应采取的措施</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人的发展与生命周期，健康的概念及健康的标准</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儿童及青少年心理健康问题及解决方法</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成年期心理健康问题及解决的方法对策</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1</w:t>
      </w:r>
      <w:r>
        <w:rPr>
          <w:rFonts w:ascii="宋体" w:hAnsi="宋体" w:cs="宋体" w:hint="eastAsia"/>
          <w:kern w:val="0"/>
          <w:szCs w:val="21"/>
        </w:rPr>
        <w:t>学时</w:t>
      </w:r>
    </w:p>
    <w:p w:rsidR="003717A0" w:rsidRDefault="003717A0">
      <w:pPr>
        <w:widowControl/>
        <w:ind w:firstLine="3179"/>
        <w:jc w:val="left"/>
        <w:rPr>
          <w:rFonts w:ascii="宋体" w:cs="宋体"/>
          <w:kern w:val="0"/>
          <w:szCs w:val="21"/>
        </w:rPr>
      </w:pPr>
      <w:r>
        <w:rPr>
          <w:rFonts w:ascii="宋体" w:hAnsi="宋体" w:cs="宋体" w:hint="eastAsia"/>
          <w:b/>
          <w:bCs/>
          <w:kern w:val="0"/>
          <w:szCs w:val="21"/>
        </w:rPr>
        <w:t>第四章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主要理论流派</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了解：心理生物学理论和人性主义理论、中医的医学心理学思想</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熟悉：认知理论和人本主义理论</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掌握：行为学习理论和精神分析理论</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行为主义学习理论、精神分析理论、认知理论和人本主义理论的基本理论观点</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行为主义学习理论、精神分析理论、认知理论和人本主义理论的应用</w:t>
      </w:r>
      <w:r>
        <w:rPr>
          <w:rFonts w:ascii="宋体" w:hAnsi="宋体" w:cs="宋体"/>
          <w:kern w:val="0"/>
          <w:szCs w:val="21"/>
        </w:rPr>
        <w:t xml:space="preserve"> </w:t>
      </w:r>
    </w:p>
    <w:p w:rsidR="003717A0" w:rsidRDefault="003717A0">
      <w:pPr>
        <w:widowControl/>
        <w:ind w:firstLine="630"/>
        <w:jc w:val="left"/>
        <w:rPr>
          <w:rFonts w:ascii="宋体" w:cs="宋体"/>
          <w:kern w:val="0"/>
          <w:szCs w:val="21"/>
        </w:rPr>
      </w:pPr>
      <w:r>
        <w:rPr>
          <w:rFonts w:ascii="宋体" w:hAnsi="宋体" w:cs="宋体"/>
          <w:kern w:val="0"/>
          <w:szCs w:val="21"/>
        </w:rPr>
        <w:t>3.</w:t>
      </w:r>
      <w:r>
        <w:rPr>
          <w:rFonts w:ascii="宋体" w:hAnsi="宋体" w:cs="宋体" w:hint="eastAsia"/>
          <w:kern w:val="0"/>
          <w:szCs w:val="21"/>
        </w:rPr>
        <w:t>行为主义学习理论、精神分析理论、认知理论和人本主义理论的评价</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1</w:t>
      </w:r>
      <w:r>
        <w:rPr>
          <w:rFonts w:ascii="宋体" w:hAnsi="宋体" w:cs="宋体" w:hint="eastAsia"/>
          <w:kern w:val="0"/>
          <w:szCs w:val="21"/>
        </w:rPr>
        <w:t>学时</w:t>
      </w:r>
    </w:p>
    <w:p w:rsidR="003717A0" w:rsidRDefault="003717A0">
      <w:pPr>
        <w:widowControl/>
        <w:ind w:firstLine="3078"/>
        <w:jc w:val="left"/>
        <w:rPr>
          <w:rFonts w:ascii="宋体" w:cs="宋体"/>
          <w:kern w:val="0"/>
          <w:szCs w:val="21"/>
        </w:rPr>
      </w:pPr>
      <w:r>
        <w:rPr>
          <w:rFonts w:ascii="宋体" w:hAnsi="宋体" w:cs="宋体" w:hint="eastAsia"/>
          <w:b/>
          <w:bCs/>
          <w:kern w:val="0"/>
          <w:szCs w:val="21"/>
        </w:rPr>
        <w:t>第五章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心理评估</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了解：心理评估的发展史</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熟悉：心理评估的概念、种类和用途</w:t>
      </w:r>
    </w:p>
    <w:p w:rsidR="003717A0" w:rsidRDefault="003717A0">
      <w:pPr>
        <w:widowControl/>
        <w:ind w:left="210" w:firstLine="378"/>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掌握：应用心理测验的原则，效度、信度、常模的概念，常用心理测验的名称、应用方法</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心理评估与心理测验的基本概念，标准化心理测验的基本条件及使用原则</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心理测验的分类，智商的概念及常用的智力测验</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人格测验的种类及其操作程序和分数的解释与说明</w:t>
      </w:r>
      <w:r>
        <w:rPr>
          <w:rFonts w:ascii="宋体" w:hAnsi="宋体" w:cs="宋体"/>
          <w:kern w:val="0"/>
          <w:szCs w:val="21"/>
        </w:rPr>
        <w:t xml:space="preserve"> </w:t>
      </w:r>
    </w:p>
    <w:p w:rsidR="003717A0" w:rsidRDefault="003717A0">
      <w:pPr>
        <w:widowControl/>
        <w:ind w:firstLine="600"/>
        <w:jc w:val="left"/>
        <w:rPr>
          <w:rFonts w:ascii="宋体" w:cs="宋体"/>
          <w:kern w:val="0"/>
          <w:szCs w:val="21"/>
        </w:rPr>
      </w:pPr>
      <w:r>
        <w:rPr>
          <w:rFonts w:ascii="宋体" w:hAnsi="宋体" w:cs="宋体"/>
          <w:kern w:val="0"/>
          <w:szCs w:val="21"/>
        </w:rPr>
        <w:t>4.</w:t>
      </w:r>
      <w:r>
        <w:rPr>
          <w:rFonts w:ascii="宋体" w:hAnsi="宋体" w:cs="宋体" w:hint="eastAsia"/>
          <w:kern w:val="0"/>
          <w:szCs w:val="21"/>
        </w:rPr>
        <w:t>评定量表的使用</w:t>
      </w:r>
      <w:r>
        <w:rPr>
          <w:rFonts w:ascii="宋体" w:hAnsi="宋体" w:cs="宋体"/>
          <w:kern w:val="0"/>
          <w:szCs w:val="21"/>
        </w:rPr>
        <w:t xml:space="preserve"> </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3</w:t>
      </w:r>
      <w:r>
        <w:rPr>
          <w:rFonts w:ascii="宋体" w:hAnsi="宋体" w:cs="宋体" w:hint="eastAsia"/>
          <w:kern w:val="0"/>
          <w:szCs w:val="21"/>
        </w:rPr>
        <w:t>学时</w:t>
      </w:r>
    </w:p>
    <w:p w:rsidR="003717A0" w:rsidRDefault="003717A0">
      <w:pPr>
        <w:widowControl/>
        <w:ind w:firstLine="2876"/>
        <w:jc w:val="left"/>
        <w:rPr>
          <w:rFonts w:ascii="宋体" w:cs="宋体"/>
          <w:kern w:val="0"/>
          <w:szCs w:val="21"/>
        </w:rPr>
      </w:pPr>
      <w:r>
        <w:rPr>
          <w:rFonts w:ascii="宋体" w:hAnsi="宋体" w:cs="宋体" w:hint="eastAsia"/>
          <w:b/>
          <w:bCs/>
          <w:kern w:val="0"/>
          <w:szCs w:val="21"/>
        </w:rPr>
        <w:t>第六章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心理应激</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3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了解：心理应激的理论及相关的研究</w:t>
      </w:r>
      <w:r>
        <w:rPr>
          <w:rFonts w:ascii="宋体" w:hAnsi="宋体" w:cs="宋体"/>
          <w:kern w:val="0"/>
          <w:szCs w:val="21"/>
        </w:rPr>
        <w:t xml:space="preserve"> </w:t>
      </w:r>
    </w:p>
    <w:p w:rsidR="003717A0" w:rsidRDefault="003717A0">
      <w:pPr>
        <w:widowControl/>
        <w:ind w:firstLine="630"/>
        <w:jc w:val="left"/>
        <w:rPr>
          <w:rFonts w:ascii="宋体" w:cs="宋体"/>
          <w:kern w:val="0"/>
          <w:szCs w:val="21"/>
        </w:rPr>
      </w:pPr>
      <w:r>
        <w:rPr>
          <w:rFonts w:ascii="宋体" w:hAnsi="宋体" w:cs="宋体"/>
          <w:kern w:val="0"/>
          <w:szCs w:val="21"/>
        </w:rPr>
        <w:lastRenderedPageBreak/>
        <w:t>2.</w:t>
      </w:r>
      <w:r>
        <w:rPr>
          <w:rFonts w:ascii="宋体" w:hAnsi="宋体" w:cs="宋体" w:hint="eastAsia"/>
          <w:kern w:val="0"/>
          <w:szCs w:val="21"/>
        </w:rPr>
        <w:t>熟悉：生活事件及应激反应</w:t>
      </w:r>
    </w:p>
    <w:p w:rsidR="003717A0" w:rsidRDefault="003717A0">
      <w:pPr>
        <w:widowControl/>
        <w:ind w:firstLine="630"/>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掌握：应激产生的原因以及应对方式</w:t>
      </w:r>
      <w:r>
        <w:rPr>
          <w:rFonts w:ascii="宋体" w:hAnsi="宋体" w:cs="宋体"/>
          <w:kern w:val="0"/>
          <w:szCs w:val="21"/>
        </w:rPr>
        <w:t xml:space="preserve"> </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心理应激的概念，塞里的应激理论</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生活事件的概念及生活事件的分类</w:t>
      </w:r>
    </w:p>
    <w:p w:rsidR="003717A0" w:rsidRDefault="003717A0">
      <w:pPr>
        <w:widowControl/>
        <w:ind w:firstLine="630"/>
        <w:jc w:val="left"/>
        <w:rPr>
          <w:rFonts w:ascii="宋体" w:cs="宋体"/>
          <w:kern w:val="0"/>
          <w:szCs w:val="21"/>
        </w:rPr>
      </w:pPr>
      <w:r>
        <w:rPr>
          <w:rFonts w:ascii="宋体" w:hAnsi="宋体" w:cs="宋体"/>
          <w:kern w:val="0"/>
          <w:szCs w:val="21"/>
        </w:rPr>
        <w:t>3.</w:t>
      </w:r>
      <w:r>
        <w:rPr>
          <w:rFonts w:ascii="宋体" w:hAnsi="宋体" w:cs="宋体" w:hint="eastAsia"/>
          <w:kern w:val="0"/>
          <w:szCs w:val="21"/>
        </w:rPr>
        <w:t>应对的概念，面对应激事件应该采取的应对方式</w:t>
      </w:r>
    </w:p>
    <w:p w:rsidR="003717A0" w:rsidRDefault="003717A0">
      <w:pPr>
        <w:widowControl/>
        <w:ind w:firstLine="630"/>
        <w:jc w:val="left"/>
        <w:rPr>
          <w:rFonts w:ascii="宋体" w:cs="宋体"/>
          <w:kern w:val="0"/>
          <w:szCs w:val="21"/>
        </w:rPr>
      </w:pPr>
      <w:r>
        <w:rPr>
          <w:rFonts w:ascii="宋体" w:hAnsi="宋体" w:cs="宋体"/>
          <w:kern w:val="0"/>
          <w:szCs w:val="21"/>
        </w:rPr>
        <w:t>4.</w:t>
      </w:r>
      <w:r>
        <w:rPr>
          <w:rFonts w:ascii="宋体" w:hAnsi="宋体" w:cs="宋体" w:hint="eastAsia"/>
          <w:kern w:val="0"/>
          <w:szCs w:val="21"/>
        </w:rPr>
        <w:t>社会支持的概念，个性与应激因素的关系</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3</w:t>
      </w:r>
      <w:r>
        <w:rPr>
          <w:rFonts w:ascii="宋体" w:hAnsi="宋体" w:cs="宋体" w:hint="eastAsia"/>
          <w:kern w:val="0"/>
          <w:szCs w:val="21"/>
        </w:rPr>
        <w:t>学时</w:t>
      </w:r>
    </w:p>
    <w:p w:rsidR="003717A0" w:rsidRDefault="003717A0">
      <w:pPr>
        <w:widowControl/>
        <w:jc w:val="center"/>
        <w:rPr>
          <w:rFonts w:ascii="宋体" w:cs="宋体"/>
          <w:b/>
          <w:bCs/>
          <w:kern w:val="0"/>
          <w:szCs w:val="21"/>
        </w:rPr>
      </w:pPr>
      <w:r>
        <w:rPr>
          <w:rFonts w:ascii="宋体" w:hAnsi="宋体" w:cs="宋体" w:hint="eastAsia"/>
          <w:b/>
          <w:bCs/>
          <w:kern w:val="0"/>
          <w:szCs w:val="21"/>
        </w:rPr>
        <w:t>第七章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心身疾病</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了解：心身疾病的发病机制</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熟悉：各科的心身相关问题</w:t>
      </w:r>
    </w:p>
    <w:p w:rsidR="003717A0" w:rsidRDefault="003717A0">
      <w:pPr>
        <w:widowControl/>
        <w:ind w:firstLine="592"/>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掌握：各种心身相关问题的特点及解决对策</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心身疾病的定义、诊断标准及防治原则</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内科、儿科、妇产科、肿瘤科疾病的发生发展与心理社会因素</w:t>
      </w:r>
      <w:r>
        <w:rPr>
          <w:rFonts w:ascii="宋体" w:hAnsi="宋体" w:cs="宋体"/>
          <w:kern w:val="0"/>
          <w:szCs w:val="21"/>
        </w:rPr>
        <w:t xml:space="preserve"> </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内科、儿科、妇产科、肿瘤科常见临床心理问题及干预</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2</w:t>
      </w:r>
      <w:r>
        <w:rPr>
          <w:rFonts w:ascii="宋体" w:hAnsi="宋体" w:cs="宋体" w:hint="eastAsia"/>
          <w:kern w:val="0"/>
          <w:szCs w:val="21"/>
        </w:rPr>
        <w:t>学时</w:t>
      </w:r>
    </w:p>
    <w:p w:rsidR="003717A0" w:rsidRDefault="003717A0">
      <w:pPr>
        <w:widowControl/>
        <w:ind w:firstLineChars="1604" w:firstLine="3382"/>
        <w:jc w:val="left"/>
        <w:rPr>
          <w:rFonts w:ascii="宋体" w:cs="宋体"/>
          <w:b/>
          <w:kern w:val="0"/>
          <w:szCs w:val="21"/>
        </w:rPr>
      </w:pPr>
      <w:r>
        <w:rPr>
          <w:rFonts w:ascii="宋体" w:hAnsi="宋体" w:cs="宋体" w:hint="eastAsia"/>
          <w:b/>
          <w:kern w:val="0"/>
          <w:szCs w:val="21"/>
        </w:rPr>
        <w:t>第八章</w:t>
      </w:r>
      <w:r>
        <w:rPr>
          <w:rFonts w:ascii="宋体" w:hAnsi="宋体" w:cs="宋体"/>
          <w:b/>
          <w:kern w:val="0"/>
          <w:szCs w:val="21"/>
        </w:rPr>
        <w:t xml:space="preserve">  </w:t>
      </w:r>
      <w:r>
        <w:rPr>
          <w:rFonts w:ascii="宋体" w:hAnsi="宋体" w:cs="宋体" w:hint="eastAsia"/>
          <w:b/>
          <w:kern w:val="0"/>
          <w:szCs w:val="21"/>
        </w:rPr>
        <w:t>异常心理</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了解：常见的异常心理</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熟悉：异常心理的分类</w:t>
      </w:r>
    </w:p>
    <w:p w:rsidR="003717A0" w:rsidRDefault="003717A0">
      <w:pPr>
        <w:widowControl/>
        <w:ind w:firstLine="592"/>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掌握：异常心理的概念、与正常心理的区分</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 xml:space="preserve">1. </w:t>
      </w:r>
      <w:r>
        <w:rPr>
          <w:rFonts w:ascii="宋体" w:hAnsi="宋体" w:cs="宋体" w:hint="eastAsia"/>
          <w:kern w:val="0"/>
          <w:szCs w:val="21"/>
        </w:rPr>
        <w:t>异常心理的概念、与正常心理的区分和判别</w:t>
      </w:r>
    </w:p>
    <w:p w:rsidR="003717A0" w:rsidRDefault="003717A0">
      <w:pPr>
        <w:widowControl/>
        <w:ind w:firstLine="600"/>
        <w:jc w:val="left"/>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异常心理的分类</w:t>
      </w:r>
    </w:p>
    <w:p w:rsidR="003717A0" w:rsidRDefault="003717A0">
      <w:pPr>
        <w:widowControl/>
        <w:ind w:firstLine="600"/>
        <w:jc w:val="left"/>
        <w:rPr>
          <w:rFonts w:ascii="宋体" w:cs="宋体"/>
          <w:kern w:val="0"/>
          <w:szCs w:val="21"/>
        </w:rPr>
      </w:pPr>
      <w:r>
        <w:rPr>
          <w:rFonts w:ascii="宋体" w:hAnsi="宋体" w:cs="宋体"/>
          <w:kern w:val="0"/>
          <w:szCs w:val="21"/>
        </w:rPr>
        <w:t xml:space="preserve">3. </w:t>
      </w:r>
      <w:r>
        <w:rPr>
          <w:rFonts w:ascii="宋体" w:hAnsi="宋体" w:cs="宋体" w:hint="eastAsia"/>
          <w:kern w:val="0"/>
          <w:szCs w:val="21"/>
        </w:rPr>
        <w:t>常见的异常心理：焦虑障碍、抑郁障碍、人格障碍、睡眠障碍等</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2</w:t>
      </w:r>
      <w:r>
        <w:rPr>
          <w:rFonts w:ascii="宋体" w:hAnsi="宋体" w:cs="宋体" w:hint="eastAsia"/>
          <w:kern w:val="0"/>
          <w:szCs w:val="21"/>
        </w:rPr>
        <w:t>学时</w:t>
      </w:r>
    </w:p>
    <w:p w:rsidR="003717A0" w:rsidRDefault="003717A0">
      <w:pPr>
        <w:widowControl/>
        <w:jc w:val="center"/>
        <w:rPr>
          <w:rFonts w:ascii="宋体" w:cs="宋体"/>
          <w:b/>
          <w:kern w:val="0"/>
          <w:szCs w:val="21"/>
        </w:rPr>
      </w:pPr>
      <w:r>
        <w:rPr>
          <w:rFonts w:ascii="宋体" w:hAnsi="宋体" w:cs="宋体" w:hint="eastAsia"/>
          <w:b/>
          <w:kern w:val="0"/>
          <w:szCs w:val="21"/>
        </w:rPr>
        <w:t>第九章</w:t>
      </w:r>
      <w:r>
        <w:rPr>
          <w:rFonts w:ascii="宋体" w:hAnsi="宋体" w:cs="宋体"/>
          <w:b/>
          <w:kern w:val="0"/>
          <w:szCs w:val="21"/>
        </w:rPr>
        <w:t xml:space="preserve"> </w:t>
      </w:r>
      <w:r>
        <w:rPr>
          <w:rFonts w:ascii="宋体" w:hAnsi="宋体" w:cs="宋体" w:hint="eastAsia"/>
          <w:b/>
          <w:kern w:val="0"/>
          <w:szCs w:val="21"/>
        </w:rPr>
        <w:t>健康行为</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了解：烟、酒、网络成瘾的心理学机制及防控</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熟悉：饮食、运动与肥胖的关系和影响肥胖的心理社会因素</w:t>
      </w:r>
    </w:p>
    <w:p w:rsidR="003717A0" w:rsidRDefault="003717A0">
      <w:pPr>
        <w:widowControl/>
        <w:ind w:firstLine="592"/>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掌握：烟、酒、网络成瘾的心理学机制及防控</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 xml:space="preserve">1. </w:t>
      </w:r>
      <w:r>
        <w:rPr>
          <w:rFonts w:ascii="宋体" w:hAnsi="宋体" w:cs="宋体" w:hint="eastAsia"/>
          <w:kern w:val="0"/>
          <w:szCs w:val="21"/>
        </w:rPr>
        <w:t>健康行为与行为转变，行为转变的理论</w:t>
      </w:r>
    </w:p>
    <w:p w:rsidR="003717A0" w:rsidRDefault="003717A0">
      <w:pPr>
        <w:widowControl/>
        <w:ind w:firstLine="600"/>
        <w:jc w:val="left"/>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健康保护和健康损害行为，健康行为的影响因素</w:t>
      </w:r>
    </w:p>
    <w:p w:rsidR="003717A0" w:rsidRDefault="003717A0">
      <w:pPr>
        <w:widowControl/>
        <w:ind w:firstLine="600"/>
        <w:jc w:val="left"/>
        <w:rPr>
          <w:rFonts w:ascii="宋体" w:cs="宋体"/>
          <w:kern w:val="0"/>
          <w:szCs w:val="21"/>
        </w:rPr>
      </w:pPr>
      <w:r>
        <w:rPr>
          <w:rFonts w:ascii="宋体" w:hAnsi="宋体" w:cs="宋体"/>
          <w:kern w:val="0"/>
          <w:szCs w:val="21"/>
        </w:rPr>
        <w:t xml:space="preserve">3. </w:t>
      </w:r>
      <w:r>
        <w:rPr>
          <w:rFonts w:ascii="宋体" w:hAnsi="宋体" w:cs="宋体" w:hint="eastAsia"/>
          <w:kern w:val="0"/>
          <w:szCs w:val="21"/>
        </w:rPr>
        <w:t>烟、酒、网络成瘾的心理学机制及防控</w:t>
      </w:r>
    </w:p>
    <w:p w:rsidR="003717A0" w:rsidRDefault="003717A0">
      <w:pPr>
        <w:widowControl/>
        <w:ind w:firstLine="600"/>
        <w:jc w:val="left"/>
        <w:rPr>
          <w:rFonts w:ascii="宋体" w:cs="宋体"/>
          <w:kern w:val="0"/>
          <w:szCs w:val="21"/>
        </w:rPr>
      </w:pPr>
      <w:r>
        <w:rPr>
          <w:rFonts w:ascii="宋体" w:hAnsi="宋体" w:cs="宋体"/>
          <w:kern w:val="0"/>
          <w:szCs w:val="21"/>
        </w:rPr>
        <w:t xml:space="preserve">4. </w:t>
      </w:r>
      <w:r>
        <w:rPr>
          <w:rFonts w:ascii="宋体" w:hAnsi="宋体" w:cs="宋体" w:hint="eastAsia"/>
          <w:kern w:val="0"/>
          <w:szCs w:val="21"/>
        </w:rPr>
        <w:t>饮食、运动与肥胖，性行为与性传播性疾病</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2</w:t>
      </w:r>
      <w:r>
        <w:rPr>
          <w:rFonts w:ascii="宋体" w:hAnsi="宋体" w:cs="宋体" w:hint="eastAsia"/>
          <w:kern w:val="0"/>
          <w:szCs w:val="21"/>
        </w:rPr>
        <w:t>学时</w:t>
      </w:r>
    </w:p>
    <w:p w:rsidR="003717A0" w:rsidRDefault="003717A0">
      <w:pPr>
        <w:widowControl/>
        <w:rPr>
          <w:rFonts w:ascii="宋体" w:cs="宋体"/>
          <w:b/>
          <w:bCs/>
          <w:kern w:val="0"/>
          <w:szCs w:val="21"/>
        </w:rPr>
      </w:pPr>
    </w:p>
    <w:p w:rsidR="003717A0" w:rsidRDefault="003717A0">
      <w:pPr>
        <w:widowControl/>
        <w:jc w:val="center"/>
        <w:rPr>
          <w:rFonts w:ascii="宋体" w:cs="宋体"/>
          <w:kern w:val="0"/>
          <w:szCs w:val="21"/>
        </w:rPr>
      </w:pPr>
      <w:r>
        <w:rPr>
          <w:rFonts w:ascii="宋体" w:hAnsi="宋体" w:cs="宋体" w:hint="eastAsia"/>
          <w:b/>
          <w:bCs/>
          <w:kern w:val="0"/>
          <w:szCs w:val="21"/>
        </w:rPr>
        <w:t>第十章</w:t>
      </w:r>
      <w:r>
        <w:rPr>
          <w:rFonts w:ascii="宋体" w:hAnsi="宋体" w:cs="宋体"/>
          <w:b/>
          <w:bCs/>
          <w:kern w:val="0"/>
          <w:szCs w:val="21"/>
        </w:rPr>
        <w:t xml:space="preserve">  </w:t>
      </w:r>
      <w:r>
        <w:rPr>
          <w:rFonts w:ascii="宋体" w:hAnsi="宋体" w:cs="宋体" w:hint="eastAsia"/>
          <w:b/>
          <w:bCs/>
          <w:kern w:val="0"/>
          <w:szCs w:val="21"/>
        </w:rPr>
        <w:t>病人心理</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了解：各类病人的心理特征及其意义</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熟悉：病人的心理需要、病人的求医行为与遵医行为</w:t>
      </w:r>
    </w:p>
    <w:p w:rsidR="003717A0" w:rsidRDefault="003717A0">
      <w:pPr>
        <w:widowControl/>
        <w:ind w:firstLine="600"/>
        <w:jc w:val="left"/>
        <w:rPr>
          <w:rFonts w:ascii="宋体" w:cs="宋体"/>
          <w:kern w:val="0"/>
          <w:szCs w:val="21"/>
        </w:rPr>
      </w:pPr>
      <w:r>
        <w:rPr>
          <w:rFonts w:ascii="宋体" w:hAnsi="宋体" w:cs="宋体"/>
          <w:kern w:val="0"/>
          <w:szCs w:val="21"/>
        </w:rPr>
        <w:lastRenderedPageBreak/>
        <w:t>3.</w:t>
      </w:r>
      <w:r>
        <w:rPr>
          <w:rFonts w:ascii="宋体" w:hAnsi="宋体" w:cs="宋体" w:hint="eastAsia"/>
          <w:kern w:val="0"/>
          <w:szCs w:val="21"/>
        </w:rPr>
        <w:t>掌握：病人的一般心理特点及基本干预方法</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病人的概念与病人角色、病人的心理需要、病人的求医行为与遵医行为</w:t>
      </w:r>
    </w:p>
    <w:p w:rsidR="003717A0" w:rsidRDefault="003717A0">
      <w:pPr>
        <w:widowControl/>
        <w:ind w:firstLine="600"/>
        <w:jc w:val="left"/>
        <w:rPr>
          <w:rFonts w:ascii="宋体" w:cs="宋体"/>
          <w:kern w:val="0"/>
          <w:szCs w:val="21"/>
        </w:rPr>
      </w:pPr>
      <w:r>
        <w:rPr>
          <w:rFonts w:ascii="宋体" w:hAnsi="宋体" w:cs="宋体"/>
          <w:kern w:val="0"/>
          <w:szCs w:val="21"/>
        </w:rPr>
        <w:t xml:space="preserve">2. </w:t>
      </w:r>
      <w:r>
        <w:rPr>
          <w:rFonts w:ascii="宋体" w:hAnsi="宋体" w:cs="宋体" w:hint="eastAsia"/>
          <w:kern w:val="0"/>
          <w:szCs w:val="21"/>
        </w:rPr>
        <w:t>病人的一般心理特点及基本干预方法</w:t>
      </w:r>
    </w:p>
    <w:p w:rsidR="003717A0" w:rsidRDefault="003717A0">
      <w:pPr>
        <w:widowControl/>
        <w:ind w:firstLine="600"/>
        <w:jc w:val="left"/>
        <w:rPr>
          <w:rFonts w:ascii="宋体" w:cs="宋体"/>
          <w:kern w:val="0"/>
          <w:szCs w:val="21"/>
        </w:rPr>
      </w:pPr>
      <w:r>
        <w:rPr>
          <w:rFonts w:ascii="宋体" w:hAnsi="宋体" w:cs="宋体"/>
          <w:kern w:val="0"/>
          <w:szCs w:val="21"/>
        </w:rPr>
        <w:t xml:space="preserve">3. </w:t>
      </w:r>
      <w:r>
        <w:rPr>
          <w:rFonts w:ascii="宋体" w:hAnsi="宋体" w:cs="宋体" w:hint="eastAsia"/>
          <w:kern w:val="0"/>
          <w:szCs w:val="21"/>
        </w:rPr>
        <w:t>不同病种、不同病期病人的心理问题及干预</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2</w:t>
      </w:r>
      <w:r>
        <w:rPr>
          <w:rFonts w:ascii="宋体" w:hAnsi="宋体" w:cs="宋体" w:hint="eastAsia"/>
          <w:kern w:val="0"/>
          <w:szCs w:val="21"/>
        </w:rPr>
        <w:t>学时</w:t>
      </w:r>
    </w:p>
    <w:p w:rsidR="003717A0" w:rsidRDefault="003717A0">
      <w:pPr>
        <w:widowControl/>
        <w:jc w:val="center"/>
        <w:rPr>
          <w:rFonts w:ascii="宋体" w:cs="宋体"/>
          <w:kern w:val="0"/>
          <w:szCs w:val="21"/>
        </w:rPr>
      </w:pPr>
      <w:r>
        <w:rPr>
          <w:rFonts w:ascii="宋体" w:hAnsi="宋体" w:cs="宋体" w:hint="eastAsia"/>
          <w:b/>
          <w:bCs/>
          <w:kern w:val="0"/>
          <w:szCs w:val="21"/>
        </w:rPr>
        <w:t>第十一章</w:t>
      </w:r>
      <w:r>
        <w:rPr>
          <w:rFonts w:ascii="宋体" w:hAnsi="宋体" w:cs="宋体"/>
          <w:b/>
          <w:bCs/>
          <w:kern w:val="0"/>
          <w:szCs w:val="21"/>
        </w:rPr>
        <w:t xml:space="preserve"> </w:t>
      </w:r>
      <w:r>
        <w:rPr>
          <w:rFonts w:ascii="宋体" w:hAnsi="宋体" w:cs="宋体" w:hint="eastAsia"/>
          <w:b/>
          <w:bCs/>
          <w:kern w:val="0"/>
          <w:szCs w:val="21"/>
        </w:rPr>
        <w:t>医患关系与医患沟通</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了解：医生角色与医疗行为、社会文化因素对医疗行为的影响</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熟悉：医患关系的概念、特点、影响医患关系的因素，医患沟通的意义</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掌握：建立良好医患关系的基本原则、医患沟通的基本方法</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 xml:space="preserve">1. </w:t>
      </w:r>
      <w:r>
        <w:rPr>
          <w:rFonts w:ascii="宋体" w:hAnsi="宋体" w:cs="宋体" w:hint="eastAsia"/>
          <w:kern w:val="0"/>
          <w:szCs w:val="21"/>
        </w:rPr>
        <w:t>医生角色与医疗行为、社会文化因素对医疗行为的影响</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医患关系的定义、基本结构、特点、类型，影响医患关系的因素</w:t>
      </w:r>
    </w:p>
    <w:p w:rsidR="003717A0" w:rsidRDefault="003717A0">
      <w:pPr>
        <w:widowControl/>
        <w:ind w:firstLine="600"/>
        <w:jc w:val="left"/>
        <w:rPr>
          <w:rFonts w:ascii="宋体" w:cs="宋体"/>
          <w:kern w:val="0"/>
          <w:szCs w:val="21"/>
        </w:rPr>
      </w:pPr>
      <w:r>
        <w:rPr>
          <w:rFonts w:ascii="宋体" w:hAnsi="宋体" w:cs="宋体"/>
          <w:kern w:val="0"/>
          <w:szCs w:val="21"/>
        </w:rPr>
        <w:t xml:space="preserve">3. </w:t>
      </w:r>
      <w:r>
        <w:rPr>
          <w:rFonts w:ascii="宋体" w:hAnsi="宋体" w:cs="宋体" w:hint="eastAsia"/>
          <w:kern w:val="0"/>
          <w:szCs w:val="21"/>
        </w:rPr>
        <w:t>医患关系应合法、保持职业关系、处理好移情与反移情</w:t>
      </w:r>
    </w:p>
    <w:p w:rsidR="003717A0" w:rsidRDefault="003717A0">
      <w:pPr>
        <w:widowControl/>
        <w:ind w:firstLine="600"/>
        <w:jc w:val="left"/>
        <w:rPr>
          <w:rFonts w:ascii="宋体" w:cs="宋体"/>
          <w:kern w:val="0"/>
          <w:szCs w:val="21"/>
        </w:rPr>
      </w:pPr>
      <w:r>
        <w:rPr>
          <w:rFonts w:ascii="宋体" w:hAnsi="宋体" w:cs="宋体"/>
          <w:kern w:val="0"/>
          <w:szCs w:val="21"/>
        </w:rPr>
        <w:t xml:space="preserve">4. </w:t>
      </w:r>
      <w:r>
        <w:rPr>
          <w:rFonts w:ascii="宋体" w:hAnsi="宋体" w:cs="宋体" w:hint="eastAsia"/>
          <w:kern w:val="0"/>
          <w:szCs w:val="21"/>
        </w:rPr>
        <w:t>医患沟通的定义、形式、层次、功能、基本方法</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2</w:t>
      </w:r>
      <w:r>
        <w:rPr>
          <w:rFonts w:ascii="宋体" w:hAnsi="宋体" w:cs="宋体" w:hint="eastAsia"/>
          <w:kern w:val="0"/>
          <w:szCs w:val="21"/>
        </w:rPr>
        <w:t>学时</w:t>
      </w:r>
    </w:p>
    <w:p w:rsidR="003717A0" w:rsidRDefault="003717A0">
      <w:pPr>
        <w:widowControl/>
        <w:jc w:val="left"/>
        <w:rPr>
          <w:rFonts w:ascii="宋体" w:cs="宋体"/>
          <w:kern w:val="0"/>
          <w:szCs w:val="21"/>
        </w:rPr>
      </w:pPr>
    </w:p>
    <w:p w:rsidR="003717A0" w:rsidRDefault="003717A0">
      <w:pPr>
        <w:widowControl/>
        <w:ind w:firstLine="2869"/>
        <w:jc w:val="left"/>
        <w:rPr>
          <w:rFonts w:ascii="宋体" w:cs="宋体"/>
          <w:kern w:val="0"/>
          <w:szCs w:val="21"/>
        </w:rPr>
      </w:pPr>
      <w:r>
        <w:rPr>
          <w:rFonts w:ascii="宋体" w:hAnsi="宋体" w:cs="宋体" w:hint="eastAsia"/>
          <w:b/>
          <w:bCs/>
          <w:kern w:val="0"/>
          <w:szCs w:val="21"/>
        </w:rPr>
        <w:t>第十二章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心理干预概述</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了解：心理干预的概念</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熟悉：心理干预的内容与形式</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掌握：心理治疗的定义历史、心理治疗的基本技术，心理治疗的范围</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心理干预的定义，心理治疗的定义</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心理干预的内容与形式</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心理治疗的基本技术和治疗范围</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1</w:t>
      </w:r>
      <w:r>
        <w:rPr>
          <w:rFonts w:ascii="宋体" w:hAnsi="宋体" w:cs="宋体" w:hint="eastAsia"/>
          <w:kern w:val="0"/>
          <w:szCs w:val="21"/>
        </w:rPr>
        <w:t>学时</w:t>
      </w:r>
    </w:p>
    <w:p w:rsidR="003717A0" w:rsidRDefault="003717A0">
      <w:pPr>
        <w:widowControl/>
        <w:ind w:firstLine="2673"/>
        <w:jc w:val="left"/>
        <w:rPr>
          <w:rFonts w:ascii="宋体" w:cs="宋体"/>
          <w:kern w:val="0"/>
          <w:szCs w:val="21"/>
        </w:rPr>
      </w:pPr>
      <w:r>
        <w:rPr>
          <w:rFonts w:ascii="宋体" w:hAnsi="宋体" w:cs="宋体" w:hint="eastAsia"/>
          <w:b/>
          <w:bCs/>
          <w:kern w:val="0"/>
          <w:szCs w:val="21"/>
        </w:rPr>
        <w:t>第十三章</w:t>
      </w:r>
      <w:r>
        <w:rPr>
          <w:rFonts w:ascii="宋体" w:cs="宋体"/>
          <w:b/>
          <w:bCs/>
          <w:kern w:val="0"/>
          <w:szCs w:val="21"/>
        </w:rPr>
        <w:t> </w:t>
      </w:r>
      <w:r>
        <w:rPr>
          <w:rFonts w:ascii="宋体" w:hAnsi="宋体" w:cs="宋体"/>
          <w:b/>
          <w:bCs/>
          <w:kern w:val="0"/>
          <w:szCs w:val="21"/>
        </w:rPr>
        <w:t xml:space="preserve"> </w:t>
      </w:r>
      <w:r>
        <w:rPr>
          <w:rFonts w:ascii="宋体" w:hAnsi="宋体" w:cs="宋体" w:hint="eastAsia"/>
          <w:b/>
          <w:bCs/>
          <w:kern w:val="0"/>
          <w:szCs w:val="21"/>
        </w:rPr>
        <w:t>心理干预各论</w:t>
      </w:r>
    </w:p>
    <w:p w:rsidR="003717A0" w:rsidRDefault="003717A0">
      <w:pPr>
        <w:widowControl/>
        <w:jc w:val="left"/>
        <w:rPr>
          <w:rFonts w:ascii="宋体" w:cs="宋体"/>
          <w:kern w:val="0"/>
          <w:szCs w:val="21"/>
        </w:rPr>
      </w:pPr>
      <w:r>
        <w:rPr>
          <w:rFonts w:ascii="宋体" w:hAnsi="宋体" w:cs="宋体" w:hint="eastAsia"/>
          <w:kern w:val="0"/>
          <w:szCs w:val="21"/>
        </w:rPr>
        <w:t>【目的要求】</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了解：各种心理治疗的发展史</w:t>
      </w:r>
    </w:p>
    <w:p w:rsidR="003717A0" w:rsidRDefault="003717A0">
      <w:pPr>
        <w:widowControl/>
        <w:ind w:firstLine="600"/>
        <w:jc w:val="left"/>
        <w:rPr>
          <w:rFonts w:ascii="宋体" w:cs="宋体"/>
          <w:kern w:val="0"/>
          <w:szCs w:val="21"/>
        </w:rPr>
      </w:pPr>
      <w:r>
        <w:rPr>
          <w:rFonts w:ascii="宋体" w:hAnsi="宋体" w:cs="宋体"/>
          <w:kern w:val="0"/>
          <w:szCs w:val="21"/>
        </w:rPr>
        <w:t>2.</w:t>
      </w:r>
      <w:r>
        <w:rPr>
          <w:rFonts w:ascii="宋体" w:hAnsi="宋体" w:cs="宋体" w:hint="eastAsia"/>
          <w:kern w:val="0"/>
          <w:szCs w:val="21"/>
        </w:rPr>
        <w:t>熟悉：常用心理治疗方法和适应症</w:t>
      </w:r>
    </w:p>
    <w:p w:rsidR="003717A0" w:rsidRDefault="003717A0">
      <w:pPr>
        <w:widowControl/>
        <w:ind w:firstLine="600"/>
        <w:jc w:val="left"/>
        <w:rPr>
          <w:rFonts w:ascii="宋体" w:cs="宋体"/>
          <w:kern w:val="0"/>
          <w:szCs w:val="21"/>
        </w:rPr>
      </w:pPr>
      <w:r>
        <w:rPr>
          <w:rFonts w:ascii="宋体" w:hAnsi="宋体" w:cs="宋体"/>
          <w:kern w:val="0"/>
          <w:szCs w:val="21"/>
        </w:rPr>
        <w:t>3.</w:t>
      </w:r>
      <w:r>
        <w:rPr>
          <w:rFonts w:ascii="宋体" w:hAnsi="宋体" w:cs="宋体" w:hint="eastAsia"/>
          <w:kern w:val="0"/>
          <w:szCs w:val="21"/>
        </w:rPr>
        <w:t>掌握：各种心理治疗的定义、方法、适应症和评价</w:t>
      </w:r>
    </w:p>
    <w:p w:rsidR="003717A0" w:rsidRDefault="003717A0">
      <w:pPr>
        <w:widowControl/>
        <w:jc w:val="left"/>
        <w:rPr>
          <w:rFonts w:ascii="宋体" w:cs="宋体"/>
          <w:kern w:val="0"/>
          <w:szCs w:val="21"/>
        </w:rPr>
      </w:pPr>
      <w:r>
        <w:rPr>
          <w:rFonts w:ascii="宋体" w:hAnsi="宋体" w:cs="宋体" w:hint="eastAsia"/>
          <w:kern w:val="0"/>
          <w:szCs w:val="21"/>
        </w:rPr>
        <w:t>【教学内容】</w:t>
      </w:r>
    </w:p>
    <w:p w:rsidR="003717A0" w:rsidRDefault="003717A0">
      <w:pPr>
        <w:widowControl/>
        <w:ind w:firstLine="600"/>
        <w:jc w:val="left"/>
        <w:rPr>
          <w:rFonts w:ascii="宋体" w:cs="宋体"/>
          <w:kern w:val="0"/>
          <w:szCs w:val="21"/>
        </w:rPr>
      </w:pPr>
      <w:r>
        <w:rPr>
          <w:rFonts w:ascii="宋体" w:hAnsi="宋体" w:cs="宋体"/>
          <w:kern w:val="0"/>
          <w:szCs w:val="21"/>
        </w:rPr>
        <w:t>1.</w:t>
      </w:r>
      <w:r>
        <w:rPr>
          <w:rFonts w:ascii="宋体" w:hAnsi="宋体" w:cs="宋体" w:hint="eastAsia"/>
          <w:kern w:val="0"/>
          <w:szCs w:val="21"/>
        </w:rPr>
        <w:t>各种心理治疗的发展历史</w:t>
      </w:r>
    </w:p>
    <w:p w:rsidR="003717A0" w:rsidRDefault="003717A0">
      <w:pPr>
        <w:widowControl/>
        <w:ind w:left="210" w:firstLine="378"/>
        <w:jc w:val="left"/>
        <w:rPr>
          <w:rFonts w:ascii="宋体" w:cs="宋体"/>
          <w:kern w:val="0"/>
          <w:szCs w:val="21"/>
        </w:rPr>
      </w:pPr>
      <w:r>
        <w:rPr>
          <w:rFonts w:ascii="宋体" w:hAnsi="宋体" w:cs="宋体"/>
          <w:kern w:val="0"/>
          <w:szCs w:val="21"/>
        </w:rPr>
        <w:t>2.</w:t>
      </w:r>
      <w:r>
        <w:rPr>
          <w:rFonts w:ascii="宋体" w:hAnsi="宋体" w:cs="宋体" w:hint="eastAsia"/>
          <w:kern w:val="0"/>
          <w:szCs w:val="21"/>
        </w:rPr>
        <w:t>精神分析疗法、行为治疗、患者中心疗法、森田疗法、暗示和催眠疗法、松弛疗法、生物反馈疗法、支持疗法、家庭治疗、集体心理治疗、的基本内容、方法和适应症</w:t>
      </w:r>
      <w:r>
        <w:rPr>
          <w:rFonts w:ascii="宋体" w:hAnsi="宋体" w:cs="宋体"/>
          <w:kern w:val="0"/>
          <w:szCs w:val="21"/>
        </w:rPr>
        <w:t xml:space="preserve"> </w:t>
      </w:r>
    </w:p>
    <w:p w:rsidR="003717A0" w:rsidRDefault="003717A0">
      <w:pPr>
        <w:widowControl/>
        <w:jc w:val="left"/>
        <w:rPr>
          <w:rFonts w:ascii="宋体" w:cs="宋体"/>
          <w:kern w:val="0"/>
          <w:szCs w:val="21"/>
        </w:rPr>
      </w:pPr>
      <w:r>
        <w:rPr>
          <w:rFonts w:ascii="宋体" w:hAnsi="宋体" w:cs="宋体" w:hint="eastAsia"/>
          <w:kern w:val="0"/>
          <w:szCs w:val="21"/>
        </w:rPr>
        <w:t>【计划学时】</w:t>
      </w:r>
      <w:r>
        <w:rPr>
          <w:rFonts w:ascii="宋体" w:hAnsi="宋体" w:cs="宋体"/>
          <w:kern w:val="0"/>
          <w:szCs w:val="21"/>
        </w:rPr>
        <w:t>3</w:t>
      </w:r>
      <w:r>
        <w:rPr>
          <w:rFonts w:ascii="宋体" w:hAnsi="宋体" w:cs="宋体" w:hint="eastAsia"/>
          <w:kern w:val="0"/>
          <w:szCs w:val="21"/>
        </w:rPr>
        <w:t>学时</w:t>
      </w:r>
    </w:p>
    <w:p w:rsidR="003717A0" w:rsidRDefault="003717A0">
      <w:pPr>
        <w:widowControl/>
        <w:spacing w:line="380" w:lineRule="atLeast"/>
        <w:jc w:val="center"/>
        <w:rPr>
          <w:rFonts w:ascii="宋体" w:cs="宋体"/>
          <w:kern w:val="0"/>
          <w:sz w:val="24"/>
        </w:rPr>
      </w:pPr>
      <w:r>
        <w:rPr>
          <w:rFonts w:ascii="宋体" w:hAnsi="宋体" w:cs="宋体" w:hint="eastAsia"/>
          <w:b/>
          <w:bCs/>
          <w:kern w:val="0"/>
          <w:sz w:val="24"/>
        </w:rPr>
        <w:t>教学内容及学时分配</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401"/>
        <w:gridCol w:w="3960"/>
        <w:gridCol w:w="1309"/>
        <w:gridCol w:w="1309"/>
        <w:gridCol w:w="1307"/>
      </w:tblGrid>
      <w:tr w:rsidR="003717A0">
        <w:trPr>
          <w:trHeight w:val="20"/>
          <w:jc w:val="center"/>
        </w:trPr>
        <w:tc>
          <w:tcPr>
            <w:tcW w:w="1401" w:type="dxa"/>
            <w:tcMar>
              <w:top w:w="0" w:type="dxa"/>
              <w:left w:w="108" w:type="dxa"/>
              <w:bottom w:w="0" w:type="dxa"/>
              <w:right w:w="108" w:type="dxa"/>
            </w:tcMar>
          </w:tcPr>
          <w:p w:rsidR="003717A0" w:rsidRDefault="003717A0">
            <w:pPr>
              <w:widowControl/>
              <w:spacing w:line="20" w:lineRule="atLeast"/>
              <w:jc w:val="center"/>
              <w:rPr>
                <w:rFonts w:ascii="Times New Roman" w:hAnsi="Times New Roman"/>
                <w:kern w:val="0"/>
                <w:sz w:val="24"/>
              </w:rPr>
            </w:pPr>
            <w:r>
              <w:rPr>
                <w:rFonts w:ascii="Times New Roman" w:hAnsi="宋体" w:hint="eastAsia"/>
                <w:kern w:val="0"/>
                <w:sz w:val="24"/>
              </w:rPr>
              <w:t>章</w:t>
            </w:r>
            <w:r>
              <w:rPr>
                <w:rFonts w:ascii="Times New Roman" w:hAnsi="Times New Roman"/>
                <w:kern w:val="0"/>
                <w:sz w:val="24"/>
              </w:rPr>
              <w:t xml:space="preserve">  </w:t>
            </w:r>
            <w:r>
              <w:rPr>
                <w:rFonts w:ascii="Times New Roman" w:hAnsi="宋体" w:hint="eastAsia"/>
                <w:kern w:val="0"/>
                <w:sz w:val="24"/>
              </w:rPr>
              <w:t>次</w:t>
            </w:r>
          </w:p>
        </w:tc>
        <w:tc>
          <w:tcPr>
            <w:tcW w:w="3960" w:type="dxa"/>
            <w:tcMar>
              <w:top w:w="0" w:type="dxa"/>
              <w:left w:w="108" w:type="dxa"/>
              <w:bottom w:w="0" w:type="dxa"/>
              <w:right w:w="108" w:type="dxa"/>
            </w:tcMar>
          </w:tcPr>
          <w:p w:rsidR="003717A0" w:rsidRDefault="003717A0">
            <w:pPr>
              <w:widowControl/>
              <w:spacing w:line="20" w:lineRule="atLeast"/>
              <w:jc w:val="center"/>
              <w:rPr>
                <w:rFonts w:ascii="Times New Roman" w:hAnsi="Times New Roman"/>
                <w:kern w:val="0"/>
                <w:sz w:val="24"/>
              </w:rPr>
            </w:pPr>
            <w:r>
              <w:rPr>
                <w:rFonts w:ascii="Times New Roman" w:hAnsi="宋体" w:hint="eastAsia"/>
                <w:kern w:val="0"/>
                <w:sz w:val="24"/>
              </w:rPr>
              <w:t>教</w:t>
            </w:r>
            <w:r>
              <w:rPr>
                <w:rFonts w:ascii="Times New Roman" w:hAnsi="Times New Roman"/>
                <w:kern w:val="0"/>
                <w:sz w:val="24"/>
              </w:rPr>
              <w:t xml:space="preserve">  </w:t>
            </w:r>
            <w:r>
              <w:rPr>
                <w:rFonts w:ascii="Times New Roman" w:hAnsi="宋体" w:hint="eastAsia"/>
                <w:kern w:val="0"/>
                <w:sz w:val="24"/>
              </w:rPr>
              <w:t>学</w:t>
            </w:r>
            <w:r>
              <w:rPr>
                <w:rFonts w:ascii="Times New Roman" w:hAnsi="Times New Roman"/>
                <w:kern w:val="0"/>
                <w:sz w:val="24"/>
              </w:rPr>
              <w:t xml:space="preserve">  </w:t>
            </w:r>
            <w:r>
              <w:rPr>
                <w:rFonts w:ascii="Times New Roman" w:hAnsi="宋体" w:hint="eastAsia"/>
                <w:kern w:val="0"/>
                <w:sz w:val="24"/>
              </w:rPr>
              <w:t>内</w:t>
            </w:r>
            <w:r>
              <w:rPr>
                <w:rFonts w:ascii="Times New Roman" w:hAnsi="Times New Roman"/>
                <w:kern w:val="0"/>
                <w:sz w:val="24"/>
              </w:rPr>
              <w:t xml:space="preserve">  </w:t>
            </w:r>
            <w:r>
              <w:rPr>
                <w:rFonts w:ascii="Times New Roman" w:hAnsi="宋体" w:hint="eastAsia"/>
                <w:kern w:val="0"/>
                <w:sz w:val="24"/>
              </w:rPr>
              <w:t>容</w:t>
            </w:r>
          </w:p>
        </w:tc>
        <w:tc>
          <w:tcPr>
            <w:tcW w:w="1309" w:type="dxa"/>
            <w:tcMar>
              <w:top w:w="0" w:type="dxa"/>
              <w:left w:w="108" w:type="dxa"/>
              <w:bottom w:w="0" w:type="dxa"/>
              <w:right w:w="108" w:type="dxa"/>
            </w:tcMar>
          </w:tcPr>
          <w:p w:rsidR="003717A0" w:rsidRDefault="003717A0">
            <w:pPr>
              <w:widowControl/>
              <w:spacing w:line="20" w:lineRule="atLeast"/>
              <w:jc w:val="center"/>
              <w:rPr>
                <w:rFonts w:ascii="Times New Roman" w:hAnsi="Times New Roman"/>
                <w:kern w:val="0"/>
                <w:sz w:val="24"/>
              </w:rPr>
            </w:pPr>
            <w:r>
              <w:rPr>
                <w:rFonts w:ascii="Times New Roman" w:hAnsi="宋体" w:hint="eastAsia"/>
                <w:kern w:val="0"/>
                <w:sz w:val="24"/>
              </w:rPr>
              <w:t>理论学时</w:t>
            </w:r>
          </w:p>
        </w:tc>
        <w:tc>
          <w:tcPr>
            <w:tcW w:w="1309" w:type="dxa"/>
            <w:tcMar>
              <w:top w:w="0" w:type="dxa"/>
              <w:left w:w="108" w:type="dxa"/>
              <w:bottom w:w="0" w:type="dxa"/>
              <w:right w:w="108" w:type="dxa"/>
            </w:tcMar>
          </w:tcPr>
          <w:p w:rsidR="003717A0" w:rsidRDefault="003717A0">
            <w:pPr>
              <w:widowControl/>
              <w:spacing w:line="20" w:lineRule="atLeast"/>
              <w:jc w:val="center"/>
              <w:rPr>
                <w:rFonts w:ascii="Times New Roman" w:hAnsi="Times New Roman"/>
                <w:kern w:val="0"/>
                <w:sz w:val="24"/>
              </w:rPr>
            </w:pPr>
            <w:r>
              <w:rPr>
                <w:rFonts w:ascii="Times New Roman" w:hAnsi="宋体" w:hint="eastAsia"/>
                <w:kern w:val="0"/>
                <w:sz w:val="24"/>
              </w:rPr>
              <w:t>实验学时</w:t>
            </w:r>
          </w:p>
        </w:tc>
        <w:tc>
          <w:tcPr>
            <w:tcW w:w="1307" w:type="dxa"/>
            <w:tcMar>
              <w:top w:w="0" w:type="dxa"/>
              <w:left w:w="108" w:type="dxa"/>
              <w:bottom w:w="0" w:type="dxa"/>
              <w:right w:w="108" w:type="dxa"/>
            </w:tcMar>
          </w:tcPr>
          <w:p w:rsidR="003717A0" w:rsidRDefault="003717A0">
            <w:pPr>
              <w:widowControl/>
              <w:spacing w:line="20" w:lineRule="atLeast"/>
              <w:jc w:val="center"/>
              <w:rPr>
                <w:rFonts w:ascii="Times New Roman" w:hAnsi="Times New Roman"/>
                <w:kern w:val="0"/>
                <w:sz w:val="24"/>
              </w:rPr>
            </w:pPr>
            <w:r>
              <w:rPr>
                <w:rFonts w:ascii="Times New Roman" w:hAnsi="宋体" w:hint="eastAsia"/>
                <w:kern w:val="0"/>
                <w:sz w:val="24"/>
              </w:rPr>
              <w:t>总学时</w:t>
            </w: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第一章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概论</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1</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第二章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心理学基础</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4</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w:t>
            </w: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第三章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心理发展与心理健康</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1</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第四章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主要心理流派</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1</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lastRenderedPageBreak/>
              <w:t>第五章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心理评估</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w:t>
            </w: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第六章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心理应激</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第七章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心身疾病</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2</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第八章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异常心理</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2</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第九章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健康行为</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2</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w:t>
            </w: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第十章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病人心理</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2</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第十一章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医患关系和医患沟通</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2</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rPr>
                <w:rFonts w:ascii="Times New Roman" w:hAnsi="Times New Roman"/>
              </w:rPr>
            </w:pPr>
            <w:r>
              <w:rPr>
                <w:rFonts w:ascii="Times New Roman" w:hAnsi="宋体" w:hint="eastAsia"/>
                <w:kern w:val="0"/>
                <w:szCs w:val="21"/>
              </w:rPr>
              <w:t>第十二章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心理干预概述</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1</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widowControl/>
              <w:rPr>
                <w:rFonts w:ascii="Times New Roman" w:hAnsi="Times New Roman"/>
                <w:kern w:val="0"/>
                <w:szCs w:val="21"/>
              </w:rPr>
            </w:pPr>
            <w:r>
              <w:rPr>
                <w:rFonts w:ascii="Times New Roman" w:hAnsi="宋体" w:hint="eastAsia"/>
                <w:kern w:val="0"/>
                <w:szCs w:val="21"/>
              </w:rPr>
              <w:t>第十三章</w:t>
            </w:r>
          </w:p>
        </w:tc>
        <w:tc>
          <w:tcPr>
            <w:tcW w:w="3960" w:type="dxa"/>
            <w:tcMar>
              <w:top w:w="0" w:type="dxa"/>
              <w:left w:w="108" w:type="dxa"/>
              <w:bottom w:w="0" w:type="dxa"/>
              <w:right w:w="108" w:type="dxa"/>
            </w:tcMar>
          </w:tcPr>
          <w:p w:rsidR="003717A0" w:rsidRDefault="003717A0">
            <w:pPr>
              <w:widowControl/>
              <w:jc w:val="left"/>
              <w:rPr>
                <w:rFonts w:ascii="Times New Roman" w:hAnsi="Times New Roman"/>
                <w:kern w:val="0"/>
                <w:szCs w:val="21"/>
              </w:rPr>
            </w:pPr>
            <w:r>
              <w:rPr>
                <w:rFonts w:ascii="Times New Roman" w:hAnsi="宋体" w:hint="eastAsia"/>
                <w:kern w:val="0"/>
                <w:szCs w:val="21"/>
              </w:rPr>
              <w:t>心理干预各论</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p>
        </w:tc>
      </w:tr>
      <w:tr w:rsidR="003717A0">
        <w:trPr>
          <w:trHeight w:val="20"/>
          <w:jc w:val="center"/>
        </w:trPr>
        <w:tc>
          <w:tcPr>
            <w:tcW w:w="1401"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宋体" w:hint="eastAsia"/>
                <w:kern w:val="0"/>
                <w:szCs w:val="21"/>
              </w:rPr>
              <w:t>合</w:t>
            </w:r>
            <w:r>
              <w:rPr>
                <w:rFonts w:ascii="Times New Roman" w:hAnsi="Times New Roman"/>
                <w:kern w:val="0"/>
                <w:szCs w:val="21"/>
              </w:rPr>
              <w:t xml:space="preserve"> </w:t>
            </w:r>
            <w:r>
              <w:rPr>
                <w:rFonts w:ascii="Times New Roman" w:hAnsi="宋体" w:hint="eastAsia"/>
                <w:kern w:val="0"/>
                <w:szCs w:val="21"/>
              </w:rPr>
              <w:t>计</w:t>
            </w:r>
          </w:p>
        </w:tc>
        <w:tc>
          <w:tcPr>
            <w:tcW w:w="3960"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 </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27</w:t>
            </w:r>
          </w:p>
        </w:tc>
        <w:tc>
          <w:tcPr>
            <w:tcW w:w="1309"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9</w:t>
            </w:r>
          </w:p>
        </w:tc>
        <w:tc>
          <w:tcPr>
            <w:tcW w:w="1307" w:type="dxa"/>
            <w:tcMar>
              <w:top w:w="0" w:type="dxa"/>
              <w:left w:w="108" w:type="dxa"/>
              <w:bottom w:w="0" w:type="dxa"/>
              <w:right w:w="108" w:type="dxa"/>
            </w:tcMar>
          </w:tcPr>
          <w:p w:rsidR="003717A0" w:rsidRDefault="003717A0">
            <w:pPr>
              <w:widowControl/>
              <w:jc w:val="center"/>
              <w:rPr>
                <w:rFonts w:ascii="Times New Roman" w:hAnsi="Times New Roman"/>
                <w:kern w:val="0"/>
                <w:szCs w:val="21"/>
              </w:rPr>
            </w:pPr>
            <w:r>
              <w:rPr>
                <w:rFonts w:ascii="Times New Roman" w:hAnsi="Times New Roman"/>
                <w:kern w:val="0"/>
                <w:szCs w:val="21"/>
              </w:rPr>
              <w:t>36</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w:t>
      </w:r>
      <w:r>
        <w:rPr>
          <w:rFonts w:ascii="Times New Roman"/>
        </w:rPr>
        <w:t>blackboard</w:t>
      </w:r>
      <w:r>
        <w:rPr>
          <w:rFonts w:ascii="Times New Roman" w:hint="eastAsia"/>
        </w:rPr>
        <w:t>网络平台、心理学实验室、素质拓展训练基地等；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多媒体教学课件、实验教学课件、心理素质拓展训练课等。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widowControl/>
        <w:spacing w:line="380" w:lineRule="atLeast"/>
        <w:ind w:firstLine="420"/>
        <w:jc w:val="left"/>
        <w:rPr>
          <w:rFonts w:ascii="宋体" w:cs="宋体"/>
          <w:kern w:val="0"/>
          <w:szCs w:val="21"/>
        </w:rPr>
      </w:pPr>
      <w:r>
        <w:rPr>
          <w:rFonts w:ascii="宋体" w:hAnsi="宋体" w:cs="宋体" w:hint="eastAsia"/>
          <w:kern w:val="0"/>
          <w:szCs w:val="21"/>
        </w:rPr>
        <w:t>本课程为考试学科，课程结束进行考试，时间为</w:t>
      </w:r>
      <w:r>
        <w:rPr>
          <w:rFonts w:ascii="宋体" w:hAnsi="宋体" w:cs="宋体"/>
          <w:kern w:val="0"/>
          <w:szCs w:val="21"/>
        </w:rPr>
        <w:t>60</w:t>
      </w:r>
      <w:r>
        <w:rPr>
          <w:rFonts w:ascii="宋体" w:hAnsi="宋体" w:cs="宋体" w:hint="eastAsia"/>
          <w:kern w:val="0"/>
          <w:szCs w:val="21"/>
        </w:rPr>
        <w:t>分钟。成绩以合格与不合格计，</w:t>
      </w:r>
      <w:r>
        <w:rPr>
          <w:rFonts w:ascii="宋体" w:hAnsi="宋体" w:cs="宋体"/>
          <w:kern w:val="0"/>
          <w:szCs w:val="21"/>
        </w:rPr>
        <w:t>60</w:t>
      </w:r>
      <w:r>
        <w:rPr>
          <w:rFonts w:ascii="宋体" w:hAnsi="宋体" w:cs="宋体" w:hint="eastAsia"/>
          <w:kern w:val="0"/>
          <w:szCs w:val="21"/>
        </w:rPr>
        <w:t>分及以上者为合格。考试分两部分，理论部分为闭卷考核，成绩占</w:t>
      </w:r>
      <w:r>
        <w:rPr>
          <w:rFonts w:ascii="宋体" w:hAnsi="宋体" w:cs="宋体"/>
          <w:kern w:val="0"/>
          <w:szCs w:val="21"/>
        </w:rPr>
        <w:t>100%</w:t>
      </w:r>
      <w:r>
        <w:rPr>
          <w:rFonts w:ascii="宋体" w:hAnsi="宋体" w:cs="宋体" w:hint="eastAsia"/>
          <w:kern w:val="0"/>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widowControl/>
        <w:spacing w:line="380" w:lineRule="atLeast"/>
        <w:jc w:val="left"/>
        <w:rPr>
          <w:rFonts w:ascii="宋体" w:cs="宋体"/>
          <w:kern w:val="0"/>
          <w:szCs w:val="21"/>
        </w:rPr>
      </w:pPr>
      <w:r>
        <w:rPr>
          <w:rFonts w:ascii="黑体" w:eastAsia="黑体" w:hAnsi="宋体" w:cs="宋体" w:hint="eastAsia"/>
          <w:b/>
          <w:bCs/>
          <w:kern w:val="0"/>
          <w:sz w:val="24"/>
        </w:rPr>
        <w:t>教材</w:t>
      </w:r>
      <w:r>
        <w:rPr>
          <w:rFonts w:ascii="黑体" w:eastAsia="黑体" w:hAnsi="宋体" w:cs="宋体"/>
          <w:b/>
          <w:bCs/>
          <w:kern w:val="0"/>
          <w:sz w:val="24"/>
        </w:rPr>
        <w:t xml:space="preserve">  </w:t>
      </w:r>
      <w:r>
        <w:rPr>
          <w:rFonts w:ascii="宋体" w:hAnsi="宋体" w:cs="宋体" w:hint="eastAsia"/>
          <w:kern w:val="0"/>
          <w:szCs w:val="21"/>
        </w:rPr>
        <w:t>《医学心理学》</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主编</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姚树桥</w:t>
      </w:r>
      <w:r>
        <w:rPr>
          <w:rFonts w:ascii="宋体" w:cs="宋体"/>
          <w:kern w:val="0"/>
          <w:szCs w:val="21"/>
        </w:rPr>
        <w:t>   </w:t>
      </w:r>
      <w:r>
        <w:rPr>
          <w:rFonts w:ascii="宋体" w:hAnsi="宋体" w:cs="宋体" w:hint="eastAsia"/>
          <w:kern w:val="0"/>
          <w:szCs w:val="21"/>
        </w:rPr>
        <w:t>人民卫生出版社第</w:t>
      </w:r>
      <w:r>
        <w:rPr>
          <w:rFonts w:ascii="宋体" w:hAnsi="宋体" w:cs="宋体"/>
          <w:kern w:val="0"/>
          <w:szCs w:val="21"/>
        </w:rPr>
        <w:t>6</w:t>
      </w:r>
      <w:r>
        <w:rPr>
          <w:rFonts w:ascii="宋体" w:hAnsi="宋体" w:cs="宋体" w:hint="eastAsia"/>
          <w:kern w:val="0"/>
          <w:szCs w:val="21"/>
        </w:rPr>
        <w:t>版</w:t>
      </w:r>
    </w:p>
    <w:p w:rsidR="003717A0" w:rsidRDefault="003717A0">
      <w:pPr>
        <w:widowControl/>
        <w:spacing w:line="380" w:lineRule="atLeast"/>
        <w:jc w:val="left"/>
        <w:rPr>
          <w:rFonts w:ascii="宋体" w:cs="宋体"/>
          <w:kern w:val="0"/>
          <w:sz w:val="24"/>
        </w:rPr>
      </w:pPr>
      <w:r>
        <w:rPr>
          <w:rFonts w:ascii="黑体" w:eastAsia="黑体" w:hAnsi="宋体" w:cs="宋体" w:hint="eastAsia"/>
          <w:b/>
          <w:bCs/>
          <w:kern w:val="0"/>
          <w:sz w:val="24"/>
        </w:rPr>
        <w:t>及参考书目</w:t>
      </w:r>
    </w:p>
    <w:p w:rsidR="003717A0" w:rsidRDefault="003717A0">
      <w:pPr>
        <w:widowControl/>
        <w:spacing w:line="380" w:lineRule="atLeast"/>
        <w:ind w:firstLine="420"/>
        <w:jc w:val="left"/>
        <w:rPr>
          <w:rFonts w:ascii="宋体" w:cs="宋体"/>
          <w:kern w:val="0"/>
          <w:szCs w:val="21"/>
        </w:rPr>
      </w:pPr>
      <w:r>
        <w:rPr>
          <w:rFonts w:ascii="宋体" w:hAnsi="宋体" w:cs="宋体"/>
          <w:kern w:val="0"/>
          <w:szCs w:val="21"/>
        </w:rPr>
        <w:t xml:space="preserve">1. </w:t>
      </w:r>
      <w:r>
        <w:rPr>
          <w:rFonts w:ascii="宋体" w:hAnsi="宋体" w:cs="宋体" w:hint="eastAsia"/>
          <w:kern w:val="0"/>
          <w:szCs w:val="21"/>
        </w:rPr>
        <w:t>《医学心理学》</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主编</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姜乾金</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人民卫生出版社第</w:t>
      </w:r>
      <w:r>
        <w:rPr>
          <w:rFonts w:ascii="宋体" w:hAnsi="宋体" w:cs="宋体"/>
          <w:kern w:val="0"/>
          <w:szCs w:val="21"/>
        </w:rPr>
        <w:t>4</w:t>
      </w:r>
      <w:r>
        <w:rPr>
          <w:rFonts w:ascii="宋体" w:hAnsi="宋体" w:cs="宋体" w:hint="eastAsia"/>
          <w:kern w:val="0"/>
          <w:szCs w:val="21"/>
        </w:rPr>
        <w:t>版</w:t>
      </w:r>
    </w:p>
    <w:p w:rsidR="003717A0" w:rsidRDefault="003717A0">
      <w:pPr>
        <w:widowControl/>
        <w:spacing w:line="380" w:lineRule="atLeast"/>
        <w:ind w:firstLine="420"/>
        <w:jc w:val="left"/>
        <w:rPr>
          <w:rFonts w:ascii="宋体" w:cs="宋体"/>
          <w:kern w:val="0"/>
          <w:szCs w:val="21"/>
        </w:rPr>
      </w:pPr>
      <w:r>
        <w:rPr>
          <w:rFonts w:ascii="宋体" w:hAnsi="宋体" w:cs="宋体"/>
          <w:kern w:val="0"/>
          <w:szCs w:val="21"/>
        </w:rPr>
        <w:t xml:space="preserve">2. </w:t>
      </w:r>
      <w:r>
        <w:rPr>
          <w:rFonts w:ascii="宋体" w:hAnsi="宋体" w:cs="宋体" w:hint="eastAsia"/>
          <w:kern w:val="0"/>
          <w:szCs w:val="21"/>
        </w:rPr>
        <w:t>《康复心理学》</w:t>
      </w:r>
      <w:r>
        <w:rPr>
          <w:rFonts w:ascii="宋体" w:hAnsi="宋体" w:cs="宋体"/>
          <w:kern w:val="0"/>
          <w:szCs w:val="21"/>
        </w:rPr>
        <w:t xml:space="preserve"> </w:t>
      </w:r>
      <w:r>
        <w:rPr>
          <w:rFonts w:ascii="宋体" w:hAnsi="宋体" w:cs="宋体" w:hint="eastAsia"/>
          <w:kern w:val="0"/>
          <w:szCs w:val="21"/>
        </w:rPr>
        <w:t>主编</w:t>
      </w:r>
      <w:r>
        <w:rPr>
          <w:rFonts w:ascii="宋体" w:hAnsi="宋体" w:cs="宋体"/>
          <w:kern w:val="0"/>
          <w:szCs w:val="21"/>
        </w:rPr>
        <w:t xml:space="preserve">  </w:t>
      </w:r>
      <w:r>
        <w:rPr>
          <w:rFonts w:ascii="宋体" w:hAnsi="宋体" w:cs="宋体" w:hint="eastAsia"/>
          <w:kern w:val="0"/>
          <w:szCs w:val="21"/>
        </w:rPr>
        <w:t>李</w:t>
      </w:r>
      <w:r>
        <w:rPr>
          <w:rFonts w:ascii="宋体" w:hAnsi="宋体" w:cs="宋体"/>
          <w:kern w:val="0"/>
          <w:szCs w:val="21"/>
        </w:rPr>
        <w:t xml:space="preserve">  </w:t>
      </w:r>
      <w:r>
        <w:rPr>
          <w:rFonts w:ascii="宋体" w:hAnsi="宋体" w:cs="宋体" w:hint="eastAsia"/>
          <w:kern w:val="0"/>
          <w:szCs w:val="21"/>
        </w:rPr>
        <w:t>静</w:t>
      </w:r>
      <w:r>
        <w:rPr>
          <w:rFonts w:ascii="宋体" w:hAnsi="宋体" w:cs="宋体"/>
          <w:kern w:val="0"/>
          <w:szCs w:val="21"/>
        </w:rPr>
        <w:t xml:space="preserve">        </w:t>
      </w:r>
      <w:r>
        <w:rPr>
          <w:rFonts w:ascii="宋体" w:hAnsi="宋体" w:cs="宋体" w:hint="eastAsia"/>
          <w:kern w:val="0"/>
          <w:szCs w:val="21"/>
        </w:rPr>
        <w:t>人民卫生出版社第</w:t>
      </w:r>
      <w:r>
        <w:rPr>
          <w:rFonts w:ascii="宋体" w:hAnsi="宋体" w:cs="宋体"/>
          <w:kern w:val="0"/>
          <w:szCs w:val="21"/>
        </w:rPr>
        <w:t>1</w:t>
      </w:r>
      <w:r>
        <w:rPr>
          <w:rFonts w:ascii="宋体" w:hAnsi="宋体" w:cs="宋体" w:hint="eastAsia"/>
          <w:kern w:val="0"/>
          <w:szCs w:val="21"/>
        </w:rPr>
        <w:t>版</w:t>
      </w:r>
    </w:p>
    <w:p w:rsidR="003717A0" w:rsidRDefault="003717A0">
      <w:pPr>
        <w:widowControl/>
        <w:spacing w:line="380" w:lineRule="atLeast"/>
        <w:ind w:firstLine="420"/>
        <w:jc w:val="left"/>
        <w:rPr>
          <w:rFonts w:ascii="宋体" w:cs="宋体"/>
          <w:kern w:val="0"/>
          <w:szCs w:val="21"/>
        </w:rPr>
      </w:pPr>
      <w:r>
        <w:rPr>
          <w:rFonts w:ascii="宋体" w:hAnsi="宋体" w:cs="宋体"/>
          <w:kern w:val="0"/>
          <w:szCs w:val="21"/>
        </w:rPr>
        <w:t>3.</w:t>
      </w:r>
      <w:r>
        <w:rPr>
          <w:rFonts w:ascii="宋体" w:hAnsi="宋体" w:cs="宋体" w:hint="eastAsia"/>
          <w:kern w:val="0"/>
          <w:szCs w:val="21"/>
        </w:rPr>
        <w:t>《医学心理学》</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主编</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马存根</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人民卫生出版社第</w:t>
      </w:r>
      <w:r>
        <w:rPr>
          <w:rFonts w:ascii="宋体" w:hAnsi="宋体" w:cs="宋体"/>
          <w:kern w:val="0"/>
          <w:szCs w:val="21"/>
        </w:rPr>
        <w:t>2</w:t>
      </w:r>
      <w:r>
        <w:rPr>
          <w:rFonts w:ascii="宋体" w:hAnsi="宋体" w:cs="宋体" w:hint="eastAsia"/>
          <w:kern w:val="0"/>
          <w:szCs w:val="21"/>
        </w:rPr>
        <w:t>版</w:t>
      </w:r>
    </w:p>
    <w:p w:rsidR="003717A0" w:rsidRDefault="003717A0">
      <w:pPr>
        <w:widowControl/>
        <w:spacing w:line="380" w:lineRule="atLeast"/>
        <w:ind w:firstLine="420"/>
        <w:jc w:val="left"/>
        <w:rPr>
          <w:rFonts w:ascii="宋体" w:cs="宋体"/>
          <w:kern w:val="0"/>
          <w:szCs w:val="21"/>
        </w:rPr>
      </w:pPr>
      <w:r>
        <w:rPr>
          <w:rFonts w:ascii="宋体" w:hAnsi="宋体" w:cs="宋体"/>
          <w:kern w:val="0"/>
          <w:szCs w:val="21"/>
        </w:rPr>
        <w:t>4.</w:t>
      </w:r>
      <w:r>
        <w:rPr>
          <w:rFonts w:ascii="宋体" w:hAnsi="宋体" w:cs="宋体" w:hint="eastAsia"/>
          <w:kern w:val="0"/>
          <w:szCs w:val="21"/>
        </w:rPr>
        <w:t>《普通心理学》</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主编</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彭聃龄</w:t>
      </w:r>
      <w:r>
        <w:rPr>
          <w:rFonts w:ascii="宋体" w:cs="宋体"/>
          <w:kern w:val="0"/>
          <w:szCs w:val="21"/>
        </w:rPr>
        <w:t>      </w:t>
      </w:r>
      <w:r>
        <w:rPr>
          <w:rFonts w:ascii="宋体" w:hAnsi="宋体" w:cs="宋体"/>
          <w:kern w:val="0"/>
          <w:szCs w:val="21"/>
        </w:rPr>
        <w:t xml:space="preserve">   </w:t>
      </w:r>
      <w:r>
        <w:rPr>
          <w:rFonts w:ascii="宋体" w:hAnsi="宋体" w:cs="宋体" w:hint="eastAsia"/>
          <w:kern w:val="0"/>
          <w:szCs w:val="21"/>
        </w:rPr>
        <w:t>北京师范大学出版社</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F5156D" w:rsidRDefault="003717A0">
      <w:pPr>
        <w:autoSpaceDE w:val="0"/>
        <w:autoSpaceDN w:val="0"/>
        <w:adjustRightInd w:val="0"/>
        <w:ind w:leftChars="3200" w:left="6720"/>
        <w:jc w:val="left"/>
        <w:rPr>
          <w:rFonts w:ascii="黑体" w:eastAsia="黑体" w:cs="黑体"/>
          <w:kern w:val="0"/>
          <w:szCs w:val="21"/>
        </w:rPr>
      </w:pPr>
      <w:r w:rsidRPr="00F5156D">
        <w:rPr>
          <w:rFonts w:ascii="黑体" w:eastAsia="黑体" w:cs="黑体" w:hint="eastAsia"/>
          <w:kern w:val="0"/>
          <w:szCs w:val="21"/>
        </w:rPr>
        <w:t>制定人：胡玉明</w:t>
      </w:r>
    </w:p>
    <w:p w:rsidR="003717A0" w:rsidRPr="00F5156D" w:rsidRDefault="003717A0">
      <w:pPr>
        <w:autoSpaceDE w:val="0"/>
        <w:autoSpaceDN w:val="0"/>
        <w:adjustRightInd w:val="0"/>
        <w:ind w:leftChars="3200" w:left="6720"/>
        <w:jc w:val="left"/>
        <w:rPr>
          <w:rFonts w:ascii="黑体" w:eastAsia="黑体" w:cs="黑体"/>
          <w:kern w:val="0"/>
          <w:szCs w:val="21"/>
        </w:rPr>
      </w:pPr>
      <w:r w:rsidRPr="00F5156D">
        <w:rPr>
          <w:rFonts w:ascii="黑体" w:eastAsia="黑体" w:cs="黑体" w:hint="eastAsia"/>
          <w:kern w:val="0"/>
          <w:szCs w:val="21"/>
        </w:rPr>
        <w:t>审核人：沈光宇</w:t>
      </w:r>
    </w:p>
    <w:p w:rsidR="003717A0" w:rsidRDefault="003717A0">
      <w:pPr>
        <w:autoSpaceDE w:val="0"/>
        <w:autoSpaceDN w:val="0"/>
        <w:adjustRightInd w:val="0"/>
        <w:spacing w:line="360" w:lineRule="exact"/>
        <w:ind w:leftChars="3510" w:left="7371" w:firstLineChars="157" w:firstLine="283"/>
        <w:jc w:val="left"/>
        <w:rPr>
          <w:rFonts w:ascii="黑体" w:eastAsia="黑体" w:cs="黑体"/>
          <w:kern w:val="0"/>
          <w:sz w:val="18"/>
          <w:szCs w:val="18"/>
        </w:rPr>
      </w:pPr>
    </w:p>
    <w:p w:rsidR="003717A0" w:rsidRDefault="003717A0" w:rsidP="005E20B5">
      <w:pPr>
        <w:adjustRightInd w:val="0"/>
        <w:snapToGrid w:val="0"/>
        <w:spacing w:beforeLines="50" w:afterLines="50" w:line="360" w:lineRule="auto"/>
        <w:jc w:val="center"/>
        <w:rPr>
          <w:rFonts w:ascii="黑体" w:eastAsia="黑体"/>
          <w:b/>
          <w:sz w:val="30"/>
          <w:szCs w:val="30"/>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EA5BFD">
      <w:pPr>
        <w:numPr>
          <w:ilvl w:val="0"/>
          <w:numId w:val="325"/>
        </w:numPr>
        <w:adjustRightInd w:val="0"/>
        <w:snapToGrid w:val="0"/>
        <w:spacing w:line="360" w:lineRule="auto"/>
        <w:ind w:right="4" w:hanging="660"/>
        <w:rPr>
          <w:rFonts w:ascii="Times New Roman"/>
        </w:rPr>
      </w:pPr>
      <w:r>
        <w:rPr>
          <w:rFonts w:ascii="Times New Roman" w:hint="eastAsia"/>
        </w:rPr>
        <w:t>修读完本课程规定内容的康复治疗专业的本科学生；</w:t>
      </w:r>
    </w:p>
    <w:p w:rsidR="003717A0" w:rsidRDefault="003717A0">
      <w:pPr>
        <w:numPr>
          <w:ilvl w:val="0"/>
          <w:numId w:val="325"/>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通过考试来检查和了解学生对本门课程内容的掌握程度，</w:t>
      </w:r>
      <w:r>
        <w:rPr>
          <w:rFonts w:ascii="宋体" w:hAnsi="宋体" w:cs="宋体" w:hint="eastAsia"/>
          <w:kern w:val="0"/>
          <w:szCs w:val="21"/>
        </w:rPr>
        <w:t>通过对本课程的学习，加强学生将心理学与医学紧密相连的思维模式，使学生学会运用心理学基础理论，对康复患者进行初步的心理评估和心理治疗，从而真正做到医学模式从单纯的生物医学模式转变为生物</w:t>
      </w:r>
      <w:r>
        <w:rPr>
          <w:rFonts w:ascii="宋体" w:cs="宋体"/>
          <w:kern w:val="0"/>
          <w:szCs w:val="21"/>
        </w:rPr>
        <w:t>-</w:t>
      </w:r>
      <w:r>
        <w:rPr>
          <w:rFonts w:ascii="宋体" w:hAnsi="宋体" w:cs="宋体" w:hint="eastAsia"/>
          <w:kern w:val="0"/>
          <w:szCs w:val="21"/>
        </w:rPr>
        <w:t>心理</w:t>
      </w:r>
      <w:r>
        <w:rPr>
          <w:rFonts w:ascii="宋体" w:cs="宋体"/>
          <w:kern w:val="0"/>
          <w:szCs w:val="21"/>
        </w:rPr>
        <w:t>-</w:t>
      </w:r>
      <w:r>
        <w:rPr>
          <w:rFonts w:ascii="宋体" w:hAnsi="宋体" w:cs="宋体" w:hint="eastAsia"/>
          <w:kern w:val="0"/>
          <w:szCs w:val="21"/>
        </w:rPr>
        <w:t>社会医学模式，进一步改进疾病的防治措施，对患者实施整体康复，提高康复医疗质量，促进人类的身心健康。</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期末闭卷理论考试和平时实验见习课考核。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szCs w:val="24"/>
        </w:rPr>
      </w:pPr>
      <w:r>
        <w:rPr>
          <w:rFonts w:ascii="宋体" w:hAnsi="宋体" w:hint="eastAsia"/>
          <w:szCs w:val="21"/>
        </w:rPr>
        <w:t>期末闭卷理论考试成绩占总成绩的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r>
        <w:rPr>
          <w:rFonts w:ascii="宋体" w:hAnsi="宋体" w:cs="宋体" w:hint="eastAsia"/>
          <w:kern w:val="0"/>
          <w:szCs w:val="21"/>
        </w:rPr>
        <w:t>：医学心理学的概念及应用范围，心理的实质、心理活动的内容，感觉、知觉、记忆、思维、想象、注意、意志、心境、人格、性格、气质及动机的概念、特性及应用；需要的层次，健康、心理健康的概念及判断心理健康的标准，应用心理测验的原则，效度、信度、常模的概念，应激产生的原因以及应对方式，各种心身相关问题的特点及解决对策，异常心理的概念、与正常心理的区分，健康行为与行为转变，病人的一般心理特点及基本干预方法，建立良好医患关系的基本原则、医患沟通的基本方法，各种心理治疗的定义、方法、适应症和评价</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2" w:firstLine="403"/>
        <w:jc w:val="left"/>
        <w:rPr>
          <w:rFonts w:ascii="Times New Roman" w:eastAsia="黑体" w:hAnsi="Times New Roman"/>
          <w:b/>
          <w:kern w:val="0"/>
          <w:sz w:val="22"/>
        </w:rPr>
      </w:pPr>
      <w:r>
        <w:rPr>
          <w:rFonts w:ascii="宋体" w:hAnsi="宋体" w:hint="eastAsia"/>
          <w:szCs w:val="21"/>
        </w:rPr>
        <w:t>通过考试来检查和了解学生对本门课程内容的掌握程度，</w:t>
      </w:r>
      <w:r>
        <w:rPr>
          <w:rFonts w:ascii="宋体" w:hAnsi="宋体" w:cs="宋体" w:hint="eastAsia"/>
          <w:kern w:val="0"/>
          <w:szCs w:val="21"/>
        </w:rPr>
        <w:t>通过对本课程的学习，学生应掌握医学心理学的基本知识，使学生学会运用心理学基础理论，对康复患者进行初步的心理评估和心理治疗；熟悉心理健康的概念及判断心理健康的标准及各年龄段心理健康问题和应采取的措施，以生物</w:t>
      </w:r>
      <w:r>
        <w:rPr>
          <w:rFonts w:ascii="宋体" w:cs="宋体"/>
          <w:kern w:val="0"/>
          <w:szCs w:val="21"/>
        </w:rPr>
        <w:t>-</w:t>
      </w:r>
      <w:r>
        <w:rPr>
          <w:rFonts w:ascii="宋体" w:hAnsi="宋体" w:cs="宋体" w:hint="eastAsia"/>
          <w:kern w:val="0"/>
          <w:szCs w:val="21"/>
        </w:rPr>
        <w:t>心理</w:t>
      </w:r>
      <w:r>
        <w:rPr>
          <w:rFonts w:ascii="宋体" w:cs="宋体"/>
          <w:kern w:val="0"/>
          <w:szCs w:val="21"/>
        </w:rPr>
        <w:t>-</w:t>
      </w:r>
      <w:r>
        <w:rPr>
          <w:rFonts w:ascii="宋体" w:hAnsi="宋体" w:cs="宋体" w:hint="eastAsia"/>
          <w:kern w:val="0"/>
          <w:szCs w:val="21"/>
        </w:rPr>
        <w:t>社会医学模式医治患者，建立良好的医患关系。</w:t>
      </w:r>
    </w:p>
    <w:p w:rsidR="003717A0" w:rsidRDefault="003717A0">
      <w:pPr>
        <w:autoSpaceDE w:val="0"/>
        <w:autoSpaceDN w:val="0"/>
        <w:adjustRightInd w:val="0"/>
        <w:snapToGrid w:val="0"/>
        <w:spacing w:line="360" w:lineRule="auto"/>
        <w:ind w:firstLineChars="193" w:firstLine="405"/>
        <w:jc w:val="left"/>
        <w:rPr>
          <w:rFonts w:ascii="宋体"/>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kern w:val="0"/>
          <w:sz w:val="24"/>
          <w:szCs w:val="24"/>
        </w:rPr>
      </w:pPr>
      <w:r>
        <w:rPr>
          <w:rFonts w:ascii="Times New Roman" w:eastAsia="黑体" w:hAnsi="Times New Roman" w:hint="eastAsia"/>
          <w:kern w:val="0"/>
          <w:sz w:val="24"/>
          <w:szCs w:val="24"/>
        </w:rPr>
        <w:t>康复心理学课程考试试题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康复治疗专业</w:t>
      </w:r>
      <w:r>
        <w:rPr>
          <w:rFonts w:ascii="Times New Roman" w:hAnsi="Times New Roman"/>
          <w:kern w:val="0"/>
          <w:sz w:val="22"/>
          <w:u w:val="single"/>
        </w:rPr>
        <w:t xml:space="preserve">  </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5"/>
        <w:jc w:val="center"/>
        <w:rPr>
          <w:rFonts w:ascii="Times New Roman" w:hAnsi="Times New Roman"/>
          <w:kern w:val="0"/>
          <w:sz w:val="22"/>
        </w:rPr>
      </w:pPr>
      <w:r>
        <w:rPr>
          <w:rFonts w:ascii="Times New Roman" w:hAnsi="Times New Roman" w:hint="eastAsia"/>
          <w:kern w:val="0"/>
          <w:sz w:val="22"/>
        </w:rPr>
        <w:t>时间：</w:t>
      </w:r>
      <w:r>
        <w:rPr>
          <w:rFonts w:ascii="Times New Roman" w:hAnsi="Times New Roman"/>
          <w:kern w:val="0"/>
          <w:sz w:val="22"/>
        </w:rPr>
        <w:t>90</w:t>
      </w:r>
      <w:r>
        <w:rPr>
          <w:rFonts w:ascii="Times New Roman" w:hAnsi="Times New Roman" w:hint="eastAsia"/>
          <w:kern w:val="0"/>
          <w:sz w:val="22"/>
        </w:rPr>
        <w:t>分钟</w:t>
      </w:r>
      <w:r>
        <w:rPr>
          <w:rFonts w:ascii="Times New Roman" w:hAnsi="Times New Roman"/>
          <w:kern w:val="0"/>
          <w:sz w:val="22"/>
        </w:rPr>
        <w:t xml:space="preserve">     </w:t>
      </w:r>
      <w:r>
        <w:rPr>
          <w:rFonts w:ascii="Times New Roman" w:hAnsi="Times New Roman" w:hint="eastAsia"/>
          <w:kern w:val="0"/>
          <w:sz w:val="22"/>
        </w:rPr>
        <w:t>总分：</w:t>
      </w:r>
      <w:r>
        <w:rPr>
          <w:rFonts w:ascii="Times New Roman" w:hAnsi="Times New Roman"/>
          <w:kern w:val="0"/>
          <w:sz w:val="22"/>
        </w:rPr>
        <w:t>100</w:t>
      </w:r>
      <w:r>
        <w:rPr>
          <w:rFonts w:ascii="Times New Roman" w:hAnsi="Times New Roman" w:hint="eastAsia"/>
          <w:kern w:val="0"/>
          <w:sz w:val="22"/>
        </w:rPr>
        <w:t>分</w:t>
      </w:r>
    </w:p>
    <w:p w:rsidR="003717A0" w:rsidRDefault="003717A0">
      <w:pPr>
        <w:numPr>
          <w:ilvl w:val="0"/>
          <w:numId w:val="326"/>
        </w:numPr>
        <w:tabs>
          <w:tab w:val="left" w:pos="480"/>
        </w:tabs>
        <w:ind w:left="480" w:hanging="480"/>
        <w:rPr>
          <w:rFonts w:ascii="宋体"/>
          <w:sz w:val="24"/>
        </w:rPr>
      </w:pPr>
      <w:r>
        <w:rPr>
          <w:rFonts w:ascii="宋体" w:hAnsi="宋体" w:hint="eastAsia"/>
          <w:sz w:val="24"/>
        </w:rPr>
        <w:t>名词解释（每题</w:t>
      </w:r>
      <w:r>
        <w:rPr>
          <w:rFonts w:ascii="宋体" w:hAnsi="宋体"/>
          <w:sz w:val="24"/>
        </w:rPr>
        <w:t>4</w:t>
      </w:r>
      <w:r>
        <w:rPr>
          <w:rFonts w:ascii="宋体" w:hAnsi="宋体" w:hint="eastAsia"/>
          <w:sz w:val="24"/>
        </w:rPr>
        <w:t>分共</w:t>
      </w:r>
      <w:r>
        <w:rPr>
          <w:rFonts w:ascii="宋体" w:hAnsi="宋体"/>
          <w:sz w:val="24"/>
        </w:rPr>
        <w:t>24</w:t>
      </w:r>
      <w:r>
        <w:rPr>
          <w:rFonts w:ascii="宋体" w:hAnsi="宋体" w:hint="eastAsia"/>
          <w:sz w:val="24"/>
        </w:rPr>
        <w:t>分）</w:t>
      </w:r>
    </w:p>
    <w:p w:rsidR="003717A0" w:rsidRDefault="003717A0">
      <w:pPr>
        <w:rPr>
          <w:rFonts w:ascii="宋体"/>
          <w:sz w:val="24"/>
        </w:rPr>
      </w:pPr>
      <w:r>
        <w:rPr>
          <w:rFonts w:ascii="宋体" w:hAnsi="宋体"/>
          <w:sz w:val="24"/>
        </w:rPr>
        <w:t>1</w:t>
      </w:r>
      <w:r>
        <w:rPr>
          <w:rFonts w:ascii="宋体" w:hAnsi="宋体" w:hint="eastAsia"/>
          <w:sz w:val="24"/>
        </w:rPr>
        <w:t>、感觉</w:t>
      </w:r>
    </w:p>
    <w:p w:rsidR="003717A0" w:rsidRDefault="003717A0">
      <w:pPr>
        <w:rPr>
          <w:rFonts w:ascii="宋体"/>
          <w:sz w:val="24"/>
        </w:rPr>
      </w:pPr>
      <w:r>
        <w:rPr>
          <w:rFonts w:ascii="宋体" w:hAnsi="宋体"/>
          <w:sz w:val="24"/>
        </w:rPr>
        <w:t>2</w:t>
      </w:r>
      <w:r>
        <w:rPr>
          <w:rFonts w:ascii="宋体" w:hAnsi="宋体" w:hint="eastAsia"/>
          <w:sz w:val="24"/>
        </w:rPr>
        <w:t>、知觉</w:t>
      </w:r>
    </w:p>
    <w:p w:rsidR="003717A0" w:rsidRDefault="003717A0">
      <w:pPr>
        <w:rPr>
          <w:rFonts w:ascii="宋体"/>
          <w:sz w:val="24"/>
        </w:rPr>
      </w:pPr>
      <w:r>
        <w:rPr>
          <w:rFonts w:ascii="宋体" w:hAnsi="宋体"/>
          <w:sz w:val="24"/>
        </w:rPr>
        <w:lastRenderedPageBreak/>
        <w:t>3</w:t>
      </w:r>
      <w:r>
        <w:rPr>
          <w:rFonts w:ascii="宋体" w:hAnsi="宋体" w:hint="eastAsia"/>
          <w:sz w:val="24"/>
        </w:rPr>
        <w:t>、能力</w:t>
      </w:r>
    </w:p>
    <w:p w:rsidR="003717A0" w:rsidRDefault="003717A0">
      <w:pPr>
        <w:rPr>
          <w:rFonts w:ascii="宋体"/>
          <w:sz w:val="24"/>
        </w:rPr>
      </w:pPr>
      <w:r>
        <w:rPr>
          <w:rFonts w:ascii="宋体" w:hAnsi="宋体"/>
          <w:sz w:val="24"/>
        </w:rPr>
        <w:t>4</w:t>
      </w:r>
      <w:r>
        <w:rPr>
          <w:rFonts w:ascii="宋体" w:hAnsi="宋体" w:hint="eastAsia"/>
          <w:sz w:val="24"/>
        </w:rPr>
        <w:t>、智力</w:t>
      </w:r>
    </w:p>
    <w:p w:rsidR="003717A0" w:rsidRDefault="003717A0">
      <w:pPr>
        <w:rPr>
          <w:rFonts w:ascii="宋体"/>
          <w:sz w:val="24"/>
        </w:rPr>
      </w:pPr>
      <w:r>
        <w:rPr>
          <w:rFonts w:ascii="宋体" w:hAnsi="宋体"/>
          <w:sz w:val="24"/>
        </w:rPr>
        <w:t>5</w:t>
      </w:r>
      <w:r>
        <w:rPr>
          <w:rFonts w:ascii="宋体" w:hAnsi="宋体" w:hint="eastAsia"/>
          <w:sz w:val="24"/>
        </w:rPr>
        <w:t>、气质</w:t>
      </w:r>
    </w:p>
    <w:p w:rsidR="003717A0" w:rsidRDefault="003717A0">
      <w:pPr>
        <w:rPr>
          <w:rFonts w:ascii="宋体"/>
          <w:sz w:val="24"/>
        </w:rPr>
      </w:pPr>
      <w:r>
        <w:rPr>
          <w:rFonts w:ascii="宋体" w:hAnsi="宋体"/>
          <w:sz w:val="24"/>
        </w:rPr>
        <w:t>6</w:t>
      </w:r>
      <w:r>
        <w:rPr>
          <w:rFonts w:ascii="宋体" w:hAnsi="宋体" w:hint="eastAsia"/>
          <w:sz w:val="24"/>
        </w:rPr>
        <w:t>、性格</w:t>
      </w:r>
    </w:p>
    <w:p w:rsidR="003717A0" w:rsidRDefault="003717A0">
      <w:pPr>
        <w:rPr>
          <w:rFonts w:ascii="宋体"/>
          <w:sz w:val="24"/>
        </w:rPr>
      </w:pPr>
      <w:r>
        <w:rPr>
          <w:rFonts w:ascii="宋体" w:hAnsi="宋体"/>
          <w:sz w:val="24"/>
        </w:rPr>
        <w:t>7</w:t>
      </w:r>
      <w:r>
        <w:rPr>
          <w:rFonts w:ascii="宋体" w:hAnsi="宋体" w:hint="eastAsia"/>
          <w:sz w:val="24"/>
        </w:rPr>
        <w:t>、动机</w:t>
      </w:r>
    </w:p>
    <w:p w:rsidR="003717A0" w:rsidRDefault="003717A0">
      <w:pPr>
        <w:rPr>
          <w:rFonts w:ascii="宋体"/>
          <w:sz w:val="24"/>
        </w:rPr>
      </w:pPr>
      <w:r>
        <w:rPr>
          <w:rFonts w:ascii="宋体" w:hAnsi="宋体"/>
          <w:sz w:val="24"/>
        </w:rPr>
        <w:t>8</w:t>
      </w:r>
      <w:r>
        <w:rPr>
          <w:rFonts w:ascii="宋体" w:hAnsi="宋体" w:hint="eastAsia"/>
          <w:sz w:val="24"/>
        </w:rPr>
        <w:t>、需要</w:t>
      </w:r>
    </w:p>
    <w:p w:rsidR="003717A0" w:rsidRDefault="003717A0">
      <w:pPr>
        <w:rPr>
          <w:rFonts w:ascii="宋体"/>
          <w:sz w:val="24"/>
        </w:rPr>
      </w:pPr>
      <w:r>
        <w:rPr>
          <w:rFonts w:ascii="宋体" w:hAnsi="宋体"/>
          <w:sz w:val="24"/>
        </w:rPr>
        <w:t>9</w:t>
      </w:r>
      <w:r>
        <w:rPr>
          <w:rFonts w:ascii="宋体" w:hAnsi="宋体" w:hint="eastAsia"/>
          <w:sz w:val="24"/>
        </w:rPr>
        <w:t>、心理治疗</w:t>
      </w:r>
    </w:p>
    <w:p w:rsidR="003717A0" w:rsidRDefault="003717A0">
      <w:pPr>
        <w:rPr>
          <w:rFonts w:ascii="宋体"/>
          <w:sz w:val="24"/>
        </w:rPr>
      </w:pPr>
      <w:r>
        <w:rPr>
          <w:rFonts w:ascii="宋体" w:hAnsi="宋体"/>
          <w:sz w:val="24"/>
        </w:rPr>
        <w:t>10</w:t>
      </w:r>
      <w:r>
        <w:rPr>
          <w:rFonts w:ascii="宋体" w:hAnsi="宋体" w:hint="eastAsia"/>
          <w:sz w:val="24"/>
        </w:rPr>
        <w:t>、心身疾病</w:t>
      </w:r>
    </w:p>
    <w:p w:rsidR="003717A0" w:rsidRDefault="003717A0">
      <w:pPr>
        <w:rPr>
          <w:rFonts w:ascii="宋体"/>
          <w:sz w:val="24"/>
        </w:rPr>
      </w:pPr>
      <w:r>
        <w:rPr>
          <w:rFonts w:ascii="宋体" w:hAnsi="宋体" w:hint="eastAsia"/>
          <w:sz w:val="24"/>
        </w:rPr>
        <w:t>二、填空题（每格</w:t>
      </w:r>
      <w:r>
        <w:rPr>
          <w:rFonts w:ascii="宋体" w:hAnsi="宋体"/>
          <w:sz w:val="24"/>
        </w:rPr>
        <w:t>0.5</w:t>
      </w:r>
      <w:r>
        <w:rPr>
          <w:rFonts w:ascii="宋体" w:hAnsi="宋体" w:hint="eastAsia"/>
          <w:sz w:val="24"/>
        </w:rPr>
        <w:t>分共</w:t>
      </w:r>
      <w:r>
        <w:rPr>
          <w:rFonts w:ascii="宋体" w:hAnsi="宋体"/>
          <w:sz w:val="24"/>
        </w:rPr>
        <w:t xml:space="preserve"> 20 </w:t>
      </w:r>
      <w:r>
        <w:rPr>
          <w:rFonts w:ascii="宋体" w:hAnsi="宋体" w:hint="eastAsia"/>
          <w:sz w:val="24"/>
        </w:rPr>
        <w:t>分）</w:t>
      </w:r>
    </w:p>
    <w:p w:rsidR="003717A0" w:rsidRDefault="003717A0">
      <w:pPr>
        <w:rPr>
          <w:rFonts w:ascii="宋体"/>
          <w:bCs/>
          <w:sz w:val="24"/>
          <w:u w:val="single"/>
        </w:rPr>
      </w:pPr>
      <w:r>
        <w:rPr>
          <w:rFonts w:ascii="宋体" w:hAnsi="宋体"/>
          <w:shadow/>
          <w:sz w:val="24"/>
        </w:rPr>
        <w:t>1</w:t>
      </w:r>
      <w:r>
        <w:rPr>
          <w:rFonts w:ascii="宋体" w:hAnsi="宋体" w:hint="eastAsia"/>
          <w:shadow/>
          <w:sz w:val="24"/>
        </w:rPr>
        <w:t>、</w:t>
      </w:r>
      <w:r>
        <w:rPr>
          <w:rFonts w:ascii="宋体" w:hAnsi="宋体" w:hint="eastAsia"/>
          <w:bCs/>
          <w:sz w:val="24"/>
        </w:rPr>
        <w:t>认知过程是心理过程中的最重要和最基本的部分。它是指人们获得或应用知识的过程，是</w:t>
      </w:r>
      <w:r>
        <w:rPr>
          <w:rFonts w:ascii="宋体" w:hAnsi="宋体"/>
          <w:bCs/>
          <w:sz w:val="24"/>
          <w:u w:val="single"/>
        </w:rPr>
        <w:t xml:space="preserve">             </w:t>
      </w:r>
      <w:r>
        <w:rPr>
          <w:rFonts w:ascii="宋体" w:hAnsi="宋体" w:hint="eastAsia"/>
          <w:bCs/>
          <w:sz w:val="24"/>
        </w:rPr>
        <w:t>和</w:t>
      </w:r>
      <w:r>
        <w:rPr>
          <w:rFonts w:ascii="宋体" w:hAnsi="宋体"/>
          <w:bCs/>
          <w:sz w:val="24"/>
          <w:u w:val="single"/>
        </w:rPr>
        <w:t xml:space="preserve">              </w:t>
      </w:r>
      <w:r>
        <w:rPr>
          <w:rFonts w:ascii="宋体" w:hAnsi="宋体" w:hint="eastAsia"/>
          <w:bCs/>
          <w:sz w:val="24"/>
        </w:rPr>
        <w:t>的基础。主要包括感觉和</w:t>
      </w:r>
      <w:r>
        <w:rPr>
          <w:rFonts w:ascii="宋体" w:hAnsi="宋体"/>
          <w:bCs/>
          <w:sz w:val="24"/>
          <w:u w:val="single"/>
        </w:rPr>
        <w:t xml:space="preserve">         </w:t>
      </w:r>
      <w:r>
        <w:rPr>
          <w:rFonts w:ascii="宋体" w:hAnsi="宋体" w:hint="eastAsia"/>
          <w:bCs/>
          <w:sz w:val="24"/>
          <w:u w:val="single"/>
        </w:rPr>
        <w:t>、</w:t>
      </w:r>
      <w:r>
        <w:rPr>
          <w:rFonts w:ascii="宋体" w:hAnsi="宋体" w:hint="eastAsia"/>
          <w:bCs/>
          <w:sz w:val="24"/>
        </w:rPr>
        <w:t>记忆</w:t>
      </w:r>
      <w:r>
        <w:rPr>
          <w:rFonts w:ascii="宋体" w:hAnsi="宋体" w:hint="eastAsia"/>
          <w:bCs/>
          <w:sz w:val="24"/>
          <w:u w:val="single"/>
        </w:rPr>
        <w:t>、</w:t>
      </w:r>
      <w:r>
        <w:rPr>
          <w:rFonts w:ascii="宋体" w:hAnsi="宋体"/>
          <w:bCs/>
          <w:sz w:val="24"/>
          <w:u w:val="single"/>
        </w:rPr>
        <w:t xml:space="preserve">         </w:t>
      </w:r>
      <w:r>
        <w:rPr>
          <w:rFonts w:ascii="宋体" w:hAnsi="宋体" w:hint="eastAsia"/>
          <w:bCs/>
          <w:sz w:val="24"/>
          <w:u w:val="single"/>
        </w:rPr>
        <w:t>、</w:t>
      </w:r>
      <w:r>
        <w:rPr>
          <w:rFonts w:ascii="宋体" w:hAnsi="宋体"/>
          <w:bCs/>
          <w:sz w:val="24"/>
          <w:u w:val="single"/>
        </w:rPr>
        <w:t xml:space="preserve">          </w:t>
      </w:r>
      <w:r>
        <w:rPr>
          <w:rFonts w:ascii="宋体" w:hAnsi="宋体" w:hint="eastAsia"/>
          <w:bCs/>
          <w:sz w:val="24"/>
          <w:u w:val="single"/>
        </w:rPr>
        <w:t>、</w:t>
      </w:r>
      <w:r>
        <w:rPr>
          <w:rFonts w:ascii="宋体" w:hAnsi="宋体"/>
          <w:bCs/>
          <w:sz w:val="24"/>
          <w:u w:val="single"/>
        </w:rPr>
        <w:t xml:space="preserve">           </w:t>
      </w:r>
      <w:r>
        <w:rPr>
          <w:rFonts w:ascii="宋体" w:hAnsi="宋体" w:hint="eastAsia"/>
          <w:bCs/>
          <w:sz w:val="24"/>
          <w:u w:val="single"/>
        </w:rPr>
        <w:t>。</w:t>
      </w:r>
    </w:p>
    <w:p w:rsidR="003717A0" w:rsidRDefault="003717A0">
      <w:pPr>
        <w:rPr>
          <w:rFonts w:ascii="宋体"/>
          <w:sz w:val="24"/>
        </w:rPr>
      </w:pPr>
      <w:r>
        <w:rPr>
          <w:rFonts w:ascii="宋体" w:hAnsi="宋体"/>
          <w:shadow/>
          <w:sz w:val="24"/>
        </w:rPr>
        <w:t>2</w:t>
      </w:r>
      <w:r>
        <w:rPr>
          <w:rFonts w:ascii="宋体" w:hAnsi="宋体" w:hint="eastAsia"/>
          <w:shadow/>
          <w:sz w:val="24"/>
        </w:rPr>
        <w:t>、</w:t>
      </w:r>
      <w:r>
        <w:rPr>
          <w:rFonts w:ascii="宋体" w:hAnsi="宋体" w:hint="eastAsia"/>
          <w:sz w:val="24"/>
        </w:rPr>
        <w:t>错觉是在</w:t>
      </w:r>
      <w:r>
        <w:rPr>
          <w:rFonts w:ascii="宋体" w:hAnsi="宋体"/>
          <w:sz w:val="24"/>
          <w:u w:val="single"/>
        </w:rPr>
        <w:t xml:space="preserve">           </w:t>
      </w:r>
      <w:r>
        <w:rPr>
          <w:rFonts w:ascii="宋体" w:hAnsi="宋体" w:hint="eastAsia"/>
          <w:sz w:val="24"/>
        </w:rPr>
        <w:t>刺激作用下产生的对</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rPr>
        <w:t>知觉，是</w:t>
      </w:r>
    </w:p>
    <w:p w:rsidR="003717A0" w:rsidRDefault="003717A0">
      <w:pPr>
        <w:rPr>
          <w:rFonts w:ascii="宋体"/>
          <w:sz w:val="24"/>
        </w:rPr>
      </w:pPr>
      <w:r>
        <w:rPr>
          <w:rFonts w:ascii="宋体" w:hAnsi="宋体"/>
          <w:sz w:val="24"/>
          <w:u w:val="single"/>
        </w:rPr>
        <w:t xml:space="preserve">        </w:t>
      </w:r>
      <w:r>
        <w:rPr>
          <w:rFonts w:ascii="宋体" w:hAnsi="宋体" w:hint="eastAsia"/>
          <w:sz w:val="24"/>
        </w:rPr>
        <w:t>的知觉。</w:t>
      </w:r>
    </w:p>
    <w:p w:rsidR="003717A0" w:rsidRDefault="003717A0">
      <w:pPr>
        <w:rPr>
          <w:rFonts w:ascii="宋体"/>
          <w:sz w:val="24"/>
          <w:u w:val="single"/>
        </w:rPr>
      </w:pPr>
      <w:r>
        <w:rPr>
          <w:rFonts w:ascii="宋体" w:hAnsi="宋体"/>
          <w:sz w:val="24"/>
        </w:rPr>
        <w:t>3</w:t>
      </w:r>
      <w:r>
        <w:rPr>
          <w:rFonts w:ascii="宋体" w:hAnsi="宋体" w:hint="eastAsia"/>
          <w:sz w:val="24"/>
        </w:rPr>
        <w:t>、记忆是人脑对</w:t>
      </w:r>
      <w:r>
        <w:rPr>
          <w:rFonts w:ascii="宋体" w:hAnsi="宋体"/>
          <w:sz w:val="24"/>
          <w:u w:val="single"/>
        </w:rPr>
        <w:t xml:space="preserve">            </w:t>
      </w:r>
      <w:r>
        <w:rPr>
          <w:rFonts w:ascii="宋体" w:hAnsi="宋体" w:hint="eastAsia"/>
          <w:sz w:val="24"/>
        </w:rPr>
        <w:t>事物的反映。记忆的三个基本环节是</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w:t>
      </w:r>
    </w:p>
    <w:p w:rsidR="003717A0" w:rsidRDefault="003717A0">
      <w:pPr>
        <w:rPr>
          <w:rFonts w:ascii="宋体"/>
          <w:sz w:val="24"/>
          <w:u w:val="single"/>
        </w:rPr>
      </w:pPr>
      <w:r>
        <w:rPr>
          <w:rFonts w:ascii="宋体" w:hAnsi="宋体"/>
          <w:sz w:val="24"/>
        </w:rPr>
        <w:t>4</w:t>
      </w:r>
      <w:r>
        <w:rPr>
          <w:rFonts w:ascii="宋体" w:hAnsi="宋体" w:hint="eastAsia"/>
          <w:sz w:val="24"/>
        </w:rPr>
        <w:t>、思维是人脑对</w:t>
      </w:r>
      <w:r>
        <w:rPr>
          <w:rFonts w:ascii="宋体" w:hAnsi="宋体"/>
          <w:sz w:val="24"/>
          <w:u w:val="single"/>
        </w:rPr>
        <w:t xml:space="preserve">          </w:t>
      </w:r>
      <w:r>
        <w:rPr>
          <w:rFonts w:ascii="宋体" w:hAnsi="宋体" w:hint="eastAsia"/>
          <w:sz w:val="24"/>
        </w:rPr>
        <w:t>概括的、</w:t>
      </w:r>
      <w:r>
        <w:rPr>
          <w:rFonts w:ascii="宋体" w:hAnsi="宋体"/>
          <w:sz w:val="24"/>
          <w:u w:val="single"/>
        </w:rPr>
        <w:t xml:space="preserve">        </w:t>
      </w:r>
      <w:r>
        <w:rPr>
          <w:rFonts w:ascii="宋体" w:hAnsi="宋体" w:hint="eastAsia"/>
          <w:sz w:val="24"/>
        </w:rPr>
        <w:t>反映，是认识的高级形式。</w:t>
      </w:r>
    </w:p>
    <w:p w:rsidR="003717A0" w:rsidRDefault="003717A0">
      <w:pPr>
        <w:ind w:left="240" w:hangingChars="100" w:hanging="240"/>
        <w:rPr>
          <w:rFonts w:ascii="宋体"/>
          <w:bCs/>
          <w:sz w:val="24"/>
          <w:lang w:val="en-GB"/>
        </w:rPr>
      </w:pPr>
      <w:r>
        <w:rPr>
          <w:rFonts w:ascii="宋体" w:hAnsi="宋体"/>
          <w:shadow/>
          <w:sz w:val="24"/>
        </w:rPr>
        <w:t>5</w:t>
      </w:r>
      <w:r>
        <w:rPr>
          <w:rFonts w:ascii="宋体" w:hAnsi="宋体" w:hint="eastAsia"/>
          <w:shadow/>
          <w:sz w:val="24"/>
        </w:rPr>
        <w:t>、</w:t>
      </w:r>
      <w:r>
        <w:rPr>
          <w:rFonts w:ascii="宋体" w:hAnsi="宋体" w:hint="eastAsia"/>
          <w:bCs/>
          <w:sz w:val="24"/>
          <w:lang w:val="en-GB"/>
        </w:rPr>
        <w:t>情绪和情感是指人们对</w:t>
      </w:r>
      <w:r>
        <w:rPr>
          <w:rFonts w:ascii="宋体" w:hAnsi="宋体"/>
          <w:bCs/>
          <w:sz w:val="24"/>
          <w:u w:val="single"/>
          <w:lang w:val="en-GB"/>
        </w:rPr>
        <w:t xml:space="preserve">          </w:t>
      </w:r>
      <w:r>
        <w:rPr>
          <w:rFonts w:ascii="宋体" w:hAnsi="宋体" w:hint="eastAsia"/>
          <w:bCs/>
          <w:sz w:val="24"/>
          <w:lang w:val="en-GB"/>
        </w:rPr>
        <w:t>是否符合</w:t>
      </w:r>
      <w:r>
        <w:rPr>
          <w:rFonts w:ascii="宋体" w:hAnsi="宋体"/>
          <w:bCs/>
          <w:sz w:val="24"/>
          <w:u w:val="single"/>
          <w:lang w:val="en-GB"/>
        </w:rPr>
        <w:t xml:space="preserve">          </w:t>
      </w:r>
      <w:r>
        <w:rPr>
          <w:rFonts w:ascii="宋体" w:hAnsi="宋体" w:hint="eastAsia"/>
          <w:bCs/>
          <w:sz w:val="24"/>
          <w:lang w:val="en-GB"/>
        </w:rPr>
        <w:t>的态度的体验。</w:t>
      </w:r>
    </w:p>
    <w:p w:rsidR="003717A0" w:rsidRDefault="003717A0">
      <w:pPr>
        <w:rPr>
          <w:rFonts w:ascii="宋体"/>
          <w:sz w:val="24"/>
          <w:u w:val="single"/>
        </w:rPr>
      </w:pPr>
      <w:r>
        <w:rPr>
          <w:rFonts w:ascii="宋体" w:hAnsi="宋体"/>
          <w:bCs/>
          <w:sz w:val="24"/>
          <w:lang w:val="en-GB"/>
        </w:rPr>
        <w:t>6</w:t>
      </w:r>
      <w:r>
        <w:rPr>
          <w:rFonts w:ascii="宋体" w:hAnsi="宋体" w:hint="eastAsia"/>
          <w:bCs/>
          <w:sz w:val="24"/>
          <w:lang w:val="en-GB"/>
        </w:rPr>
        <w:t>、</w:t>
      </w:r>
      <w:r>
        <w:rPr>
          <w:rFonts w:ascii="宋体" w:hAnsi="宋体" w:hint="eastAsia"/>
          <w:sz w:val="24"/>
        </w:rPr>
        <w:t>人格是指一个人的整个</w:t>
      </w:r>
      <w:r>
        <w:rPr>
          <w:rFonts w:ascii="宋体" w:hAnsi="宋体"/>
          <w:sz w:val="24"/>
          <w:u w:val="single"/>
        </w:rPr>
        <w:t xml:space="preserve">           </w:t>
      </w:r>
      <w:r>
        <w:rPr>
          <w:rFonts w:ascii="宋体" w:hAnsi="宋体" w:hint="eastAsia"/>
          <w:sz w:val="24"/>
        </w:rPr>
        <w:t>，具有一定</w:t>
      </w:r>
      <w:r>
        <w:rPr>
          <w:rFonts w:ascii="宋体" w:hAnsi="宋体"/>
          <w:sz w:val="24"/>
          <w:u w:val="single"/>
        </w:rPr>
        <w:t xml:space="preserve">        </w:t>
      </w:r>
      <w:r>
        <w:rPr>
          <w:rFonts w:ascii="宋体" w:hAnsi="宋体" w:hint="eastAsia"/>
          <w:sz w:val="24"/>
        </w:rPr>
        <w:t>的，</w:t>
      </w:r>
      <w:r>
        <w:rPr>
          <w:rFonts w:ascii="宋体" w:hAnsi="宋体"/>
          <w:sz w:val="24"/>
          <w:u w:val="single"/>
        </w:rPr>
        <w:t xml:space="preserve">        </w:t>
      </w:r>
      <w:r>
        <w:rPr>
          <w:rFonts w:ascii="宋体" w:hAnsi="宋体" w:hint="eastAsia"/>
          <w:sz w:val="24"/>
        </w:rPr>
        <w:t>的心理特征的总和。人格一般也等同于</w:t>
      </w:r>
      <w:r>
        <w:rPr>
          <w:rFonts w:ascii="宋体" w:hAnsi="宋体"/>
          <w:sz w:val="24"/>
          <w:u w:val="single"/>
        </w:rPr>
        <w:t xml:space="preserve">         </w:t>
      </w:r>
      <w:r>
        <w:rPr>
          <w:rFonts w:ascii="宋体" w:hAnsi="宋体" w:hint="eastAsia"/>
          <w:sz w:val="24"/>
          <w:u w:val="single"/>
        </w:rPr>
        <w:t>。</w:t>
      </w:r>
    </w:p>
    <w:p w:rsidR="003717A0" w:rsidRDefault="003717A0">
      <w:pPr>
        <w:rPr>
          <w:rFonts w:ascii="宋体"/>
          <w:bCs/>
          <w:sz w:val="24"/>
          <w:u w:val="single"/>
        </w:rPr>
      </w:pPr>
      <w:r>
        <w:rPr>
          <w:rFonts w:ascii="宋体" w:hAnsi="宋体"/>
          <w:sz w:val="24"/>
        </w:rPr>
        <w:t>7</w:t>
      </w:r>
      <w:r>
        <w:rPr>
          <w:rFonts w:ascii="宋体" w:hAnsi="宋体" w:hint="eastAsia"/>
          <w:sz w:val="24"/>
        </w:rPr>
        <w:t>、</w:t>
      </w:r>
      <w:r>
        <w:rPr>
          <w:rFonts w:ascii="宋体" w:hAnsi="宋体" w:hint="eastAsia"/>
          <w:bCs/>
          <w:sz w:val="24"/>
        </w:rPr>
        <w:t>行为学习的主要观点是把</w:t>
      </w:r>
      <w:r>
        <w:rPr>
          <w:rFonts w:ascii="宋体" w:hAnsi="宋体"/>
          <w:bCs/>
          <w:sz w:val="24"/>
          <w:u w:val="single"/>
        </w:rPr>
        <w:t xml:space="preserve">     </w:t>
      </w:r>
      <w:r>
        <w:rPr>
          <w:rFonts w:ascii="宋体" w:hAnsi="宋体" w:hint="eastAsia"/>
          <w:bCs/>
          <w:sz w:val="24"/>
        </w:rPr>
        <w:t>视为以奖励</w:t>
      </w:r>
      <w:r>
        <w:rPr>
          <w:rFonts w:ascii="宋体" w:hAnsi="宋体"/>
          <w:bCs/>
          <w:sz w:val="24"/>
          <w:u w:val="single"/>
        </w:rPr>
        <w:t xml:space="preserve">     </w:t>
      </w:r>
      <w:r>
        <w:rPr>
          <w:rFonts w:ascii="宋体" w:hAnsi="宋体" w:hint="eastAsia"/>
          <w:bCs/>
          <w:sz w:val="24"/>
        </w:rPr>
        <w:t>和</w:t>
      </w:r>
      <w:r>
        <w:rPr>
          <w:rFonts w:ascii="宋体" w:hAnsi="宋体"/>
          <w:bCs/>
          <w:sz w:val="24"/>
          <w:u w:val="single"/>
        </w:rPr>
        <w:t xml:space="preserve">     </w:t>
      </w:r>
      <w:r>
        <w:rPr>
          <w:rFonts w:ascii="宋体" w:hAnsi="宋体" w:hint="eastAsia"/>
          <w:bCs/>
          <w:sz w:val="24"/>
        </w:rPr>
        <w:t>为基础的学习。</w:t>
      </w:r>
    </w:p>
    <w:p w:rsidR="003717A0" w:rsidRDefault="003717A0">
      <w:pPr>
        <w:rPr>
          <w:rFonts w:ascii="宋体"/>
          <w:bCs/>
          <w:sz w:val="24"/>
        </w:rPr>
      </w:pPr>
      <w:r>
        <w:rPr>
          <w:rFonts w:ascii="宋体" w:hAnsi="宋体" w:hint="eastAsia"/>
          <w:bCs/>
          <w:sz w:val="24"/>
        </w:rPr>
        <w:t>人的正常或病态行为都可以通过</w:t>
      </w:r>
      <w:r>
        <w:rPr>
          <w:rFonts w:ascii="宋体" w:hAnsi="宋体"/>
          <w:bCs/>
          <w:sz w:val="24"/>
          <w:u w:val="single"/>
        </w:rPr>
        <w:t xml:space="preserve">      </w:t>
      </w:r>
      <w:r>
        <w:rPr>
          <w:rFonts w:ascii="宋体" w:hAnsi="宋体" w:hint="eastAsia"/>
          <w:bCs/>
          <w:sz w:val="24"/>
        </w:rPr>
        <w:t>而获得和形成。行为治疗技术实际上是一些</w:t>
      </w:r>
      <w:r>
        <w:rPr>
          <w:rFonts w:ascii="宋体" w:hAnsi="宋体"/>
          <w:bCs/>
          <w:sz w:val="24"/>
          <w:u w:val="single"/>
        </w:rPr>
        <w:t xml:space="preserve">      </w:t>
      </w:r>
      <w:r>
        <w:rPr>
          <w:rFonts w:ascii="宋体" w:hAnsi="宋体" w:hint="eastAsia"/>
          <w:bCs/>
          <w:sz w:val="24"/>
        </w:rPr>
        <w:t>、消除和</w:t>
      </w:r>
      <w:r>
        <w:rPr>
          <w:rFonts w:ascii="宋体" w:hAnsi="宋体"/>
          <w:bCs/>
          <w:sz w:val="24"/>
          <w:u w:val="single"/>
        </w:rPr>
        <w:t xml:space="preserve">       </w:t>
      </w:r>
      <w:r>
        <w:rPr>
          <w:rFonts w:ascii="宋体" w:hAnsi="宋体" w:hint="eastAsia"/>
          <w:bCs/>
          <w:sz w:val="24"/>
        </w:rPr>
        <w:t>行为的学习过程。</w:t>
      </w:r>
    </w:p>
    <w:p w:rsidR="003717A0" w:rsidRDefault="003717A0">
      <w:pPr>
        <w:rPr>
          <w:rFonts w:ascii="宋体"/>
          <w:sz w:val="24"/>
          <w:u w:val="single"/>
        </w:rPr>
      </w:pPr>
      <w:r>
        <w:rPr>
          <w:rFonts w:ascii="宋体" w:hAnsi="宋体"/>
          <w:bCs/>
          <w:sz w:val="24"/>
        </w:rPr>
        <w:t>8</w:t>
      </w:r>
      <w:r>
        <w:rPr>
          <w:rFonts w:ascii="宋体" w:hAnsi="宋体" w:hint="eastAsia"/>
          <w:bCs/>
          <w:sz w:val="24"/>
        </w:rPr>
        <w:t>、马斯洛</w:t>
      </w:r>
      <w:r>
        <w:rPr>
          <w:rFonts w:ascii="宋体" w:hAnsi="宋体" w:hint="eastAsia"/>
          <w:sz w:val="24"/>
        </w:rPr>
        <w:t>需要理论的五个层次分别是：</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w:t>
      </w:r>
    </w:p>
    <w:p w:rsidR="003717A0" w:rsidRDefault="003717A0">
      <w:pPr>
        <w:rPr>
          <w:rFonts w:ascii="宋体"/>
          <w:b/>
          <w:u w:val="single"/>
        </w:rPr>
      </w:pP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w:t>
      </w:r>
      <w:r>
        <w:rPr>
          <w:rFonts w:ascii="宋体" w:hAnsi="宋体"/>
          <w:sz w:val="24"/>
          <w:u w:val="single"/>
        </w:rPr>
        <w:t xml:space="preserve">                  </w:t>
      </w:r>
      <w:r>
        <w:rPr>
          <w:rFonts w:ascii="宋体" w:hAnsi="宋体" w:hint="eastAsia"/>
          <w:sz w:val="24"/>
          <w:u w:val="single"/>
        </w:rPr>
        <w:t>。</w:t>
      </w:r>
    </w:p>
    <w:p w:rsidR="003717A0" w:rsidRDefault="003717A0">
      <w:pPr>
        <w:rPr>
          <w:rFonts w:ascii="宋体"/>
          <w:b/>
          <w:bCs/>
          <w:u w:val="single"/>
        </w:rPr>
      </w:pPr>
      <w:r>
        <w:rPr>
          <w:rFonts w:ascii="宋体" w:hAnsi="宋体"/>
          <w:shadow/>
          <w:sz w:val="24"/>
        </w:rPr>
        <w:t>9</w:t>
      </w:r>
      <w:r>
        <w:rPr>
          <w:rFonts w:ascii="宋体" w:hAnsi="宋体" w:hint="eastAsia"/>
          <w:shadow/>
          <w:sz w:val="24"/>
        </w:rPr>
        <w:t>、</w:t>
      </w:r>
      <w:r>
        <w:rPr>
          <w:rFonts w:ascii="宋体" w:hAnsi="宋体" w:hint="eastAsia"/>
          <w:bCs/>
          <w:sz w:val="24"/>
        </w:rPr>
        <w:t>人格测量最常用的方法有</w:t>
      </w:r>
      <w:r>
        <w:rPr>
          <w:rFonts w:ascii="宋体" w:hAnsi="宋体"/>
          <w:bCs/>
          <w:sz w:val="24"/>
        </w:rPr>
        <w:t>:</w:t>
      </w:r>
      <w:r>
        <w:rPr>
          <w:rFonts w:ascii="宋体" w:hAnsi="宋体"/>
          <w:bCs/>
          <w:sz w:val="24"/>
          <w:u w:val="single"/>
        </w:rPr>
        <w:t xml:space="preserve">                </w:t>
      </w:r>
      <w:r>
        <w:rPr>
          <w:rFonts w:ascii="宋体" w:hAnsi="宋体" w:hint="eastAsia"/>
          <w:bCs/>
          <w:sz w:val="24"/>
        </w:rPr>
        <w:t>调查表</w:t>
      </w:r>
      <w:r>
        <w:rPr>
          <w:rFonts w:ascii="宋体" w:hAnsi="宋体"/>
          <w:bCs/>
          <w:sz w:val="24"/>
        </w:rPr>
        <w:t>(MMPI)</w:t>
      </w:r>
      <w:r>
        <w:rPr>
          <w:rFonts w:ascii="宋体" w:hAnsi="宋体" w:hint="eastAsia"/>
          <w:bCs/>
          <w:sz w:val="24"/>
        </w:rPr>
        <w:t>、</w:t>
      </w:r>
      <w:r>
        <w:rPr>
          <w:rFonts w:ascii="宋体" w:hAnsi="宋体"/>
          <w:bCs/>
          <w:sz w:val="24"/>
          <w:u w:val="single"/>
        </w:rPr>
        <w:t xml:space="preserve">        </w:t>
      </w:r>
      <w:r>
        <w:rPr>
          <w:rFonts w:ascii="宋体" w:hAnsi="宋体" w:hint="eastAsia"/>
          <w:bCs/>
          <w:sz w:val="24"/>
        </w:rPr>
        <w:t>人格问卷</w:t>
      </w:r>
      <w:r>
        <w:rPr>
          <w:rFonts w:ascii="宋体" w:hAnsi="宋体"/>
          <w:bCs/>
          <w:sz w:val="24"/>
        </w:rPr>
        <w:t xml:space="preserve"> (EPQ)</w:t>
      </w:r>
      <w:r>
        <w:rPr>
          <w:rFonts w:ascii="宋体" w:hAnsi="宋体" w:hint="eastAsia"/>
          <w:bCs/>
          <w:sz w:val="24"/>
        </w:rPr>
        <w:t>、</w:t>
      </w:r>
      <w:r>
        <w:rPr>
          <w:rFonts w:ascii="宋体" w:hAnsi="宋体"/>
          <w:bCs/>
          <w:sz w:val="24"/>
          <w:u w:val="single"/>
        </w:rPr>
        <w:t xml:space="preserve">              </w:t>
      </w:r>
      <w:r>
        <w:rPr>
          <w:rFonts w:ascii="宋体" w:hAnsi="宋体" w:hint="eastAsia"/>
          <w:bCs/>
          <w:sz w:val="24"/>
        </w:rPr>
        <w:t>项人格因素问卷（</w:t>
      </w:r>
      <w:r>
        <w:rPr>
          <w:rFonts w:ascii="宋体" w:hAnsi="宋体"/>
          <w:bCs/>
          <w:sz w:val="24"/>
        </w:rPr>
        <w:t>16PF</w:t>
      </w:r>
      <w:r>
        <w:rPr>
          <w:rFonts w:ascii="宋体" w:hAnsi="宋体" w:hint="eastAsia"/>
          <w:bCs/>
          <w:sz w:val="24"/>
        </w:rPr>
        <w:t>）。</w:t>
      </w:r>
      <w:r>
        <w:rPr>
          <w:rFonts w:ascii="宋体" w:hAnsi="宋体"/>
          <w:bCs/>
          <w:sz w:val="24"/>
        </w:rPr>
        <w:t xml:space="preserve">   </w:t>
      </w:r>
    </w:p>
    <w:p w:rsidR="003717A0" w:rsidRDefault="003717A0">
      <w:pPr>
        <w:rPr>
          <w:rFonts w:ascii="宋体"/>
          <w:bCs/>
          <w:sz w:val="24"/>
          <w:u w:val="single"/>
        </w:rPr>
      </w:pPr>
      <w:r>
        <w:rPr>
          <w:rFonts w:ascii="宋体" w:hAnsi="宋体"/>
          <w:shadow/>
          <w:sz w:val="24"/>
        </w:rPr>
        <w:t>10</w:t>
      </w:r>
      <w:r>
        <w:rPr>
          <w:rFonts w:ascii="宋体" w:hAnsi="宋体" w:hint="eastAsia"/>
          <w:shadow/>
          <w:sz w:val="24"/>
        </w:rPr>
        <w:t>、心理治疗的方法很多，常用有：</w:t>
      </w:r>
      <w:r>
        <w:rPr>
          <w:rFonts w:ascii="宋体" w:hAnsi="宋体" w:hint="eastAsia"/>
          <w:bCs/>
          <w:sz w:val="24"/>
        </w:rPr>
        <w:t>精神分析疗法、</w:t>
      </w:r>
      <w:r>
        <w:rPr>
          <w:rFonts w:ascii="宋体" w:hAnsi="宋体"/>
          <w:bCs/>
          <w:sz w:val="24"/>
          <w:u w:val="single"/>
        </w:rPr>
        <w:t xml:space="preserve">            </w:t>
      </w:r>
      <w:r>
        <w:rPr>
          <w:rFonts w:ascii="宋体" w:hAnsi="宋体" w:hint="eastAsia"/>
          <w:bCs/>
          <w:sz w:val="24"/>
        </w:rPr>
        <w:t>、</w:t>
      </w:r>
      <w:r>
        <w:rPr>
          <w:rFonts w:ascii="宋体" w:hAnsi="宋体"/>
          <w:bCs/>
          <w:sz w:val="24"/>
          <w:u w:val="single"/>
        </w:rPr>
        <w:t xml:space="preserve">           </w:t>
      </w:r>
      <w:r>
        <w:rPr>
          <w:rFonts w:ascii="宋体" w:hAnsi="宋体" w:hint="eastAsia"/>
          <w:bCs/>
          <w:sz w:val="24"/>
          <w:u w:val="single"/>
        </w:rPr>
        <w:t>、</w:t>
      </w:r>
      <w:r>
        <w:rPr>
          <w:rFonts w:ascii="宋体" w:hAnsi="宋体" w:hint="eastAsia"/>
          <w:bCs/>
          <w:sz w:val="24"/>
        </w:rPr>
        <w:t>森田疗法、</w:t>
      </w:r>
      <w:r>
        <w:rPr>
          <w:rFonts w:ascii="宋体" w:hAnsi="宋体"/>
          <w:bCs/>
          <w:sz w:val="24"/>
          <w:u w:val="single"/>
        </w:rPr>
        <w:t xml:space="preserve">                   </w:t>
      </w:r>
      <w:r>
        <w:rPr>
          <w:rFonts w:ascii="宋体" w:hAnsi="宋体" w:hint="eastAsia"/>
          <w:bCs/>
          <w:sz w:val="24"/>
          <w:u w:val="single"/>
        </w:rPr>
        <w:t>、</w:t>
      </w:r>
      <w:r>
        <w:rPr>
          <w:rFonts w:ascii="宋体" w:hAnsi="宋体" w:hint="eastAsia"/>
          <w:bCs/>
          <w:sz w:val="24"/>
        </w:rPr>
        <w:t>松弛疗法、</w:t>
      </w:r>
      <w:r>
        <w:rPr>
          <w:rFonts w:ascii="宋体" w:hAnsi="宋体"/>
          <w:bCs/>
          <w:sz w:val="24"/>
          <w:u w:val="single"/>
        </w:rPr>
        <w:t xml:space="preserve">                 </w:t>
      </w:r>
      <w:r>
        <w:rPr>
          <w:rFonts w:ascii="宋体" w:hAnsi="宋体" w:hint="eastAsia"/>
          <w:bCs/>
          <w:sz w:val="24"/>
          <w:u w:val="single"/>
        </w:rPr>
        <w:t>、</w:t>
      </w:r>
      <w:r>
        <w:rPr>
          <w:rFonts w:ascii="宋体" w:hAnsi="宋体" w:hint="eastAsia"/>
          <w:bCs/>
          <w:sz w:val="24"/>
        </w:rPr>
        <w:t>家庭治疗、集体心理治疗等。</w:t>
      </w:r>
    </w:p>
    <w:p w:rsidR="003717A0" w:rsidRDefault="003717A0">
      <w:pPr>
        <w:rPr>
          <w:rFonts w:ascii="宋体"/>
          <w:sz w:val="24"/>
        </w:rPr>
      </w:pPr>
      <w:r>
        <w:rPr>
          <w:rFonts w:ascii="宋体" w:hAnsi="宋体" w:hint="eastAsia"/>
          <w:sz w:val="24"/>
        </w:rPr>
        <w:t>三、选择题（每题</w:t>
      </w:r>
      <w:r>
        <w:rPr>
          <w:rFonts w:ascii="宋体" w:hAnsi="宋体"/>
          <w:sz w:val="24"/>
        </w:rPr>
        <w:t>3</w:t>
      </w:r>
      <w:r>
        <w:rPr>
          <w:rFonts w:ascii="宋体" w:hAnsi="宋体" w:hint="eastAsia"/>
          <w:sz w:val="24"/>
        </w:rPr>
        <w:t>分共</w:t>
      </w:r>
      <w:r>
        <w:rPr>
          <w:rFonts w:ascii="宋体" w:hAnsi="宋体"/>
          <w:sz w:val="24"/>
        </w:rPr>
        <w:t>24</w:t>
      </w:r>
      <w:r>
        <w:rPr>
          <w:rFonts w:ascii="宋体" w:hAnsi="宋体" w:hint="eastAsia"/>
          <w:sz w:val="24"/>
        </w:rPr>
        <w:t>分）</w:t>
      </w:r>
    </w:p>
    <w:p w:rsidR="003717A0" w:rsidRDefault="003717A0">
      <w:pPr>
        <w:rPr>
          <w:rFonts w:ascii="宋体"/>
          <w:sz w:val="24"/>
        </w:rPr>
      </w:pPr>
      <w:r>
        <w:rPr>
          <w:rFonts w:ascii="宋体" w:hAnsi="宋体" w:hint="eastAsia"/>
          <w:sz w:val="24"/>
        </w:rPr>
        <w:t>（一）单项选择题</w:t>
      </w:r>
    </w:p>
    <w:p w:rsidR="003717A0" w:rsidRDefault="003717A0">
      <w:pPr>
        <w:rPr>
          <w:rFonts w:ascii="宋体"/>
          <w:sz w:val="24"/>
        </w:rPr>
      </w:pPr>
      <w:r>
        <w:rPr>
          <w:rFonts w:ascii="宋体" w:hAnsi="宋体"/>
          <w:sz w:val="24"/>
        </w:rPr>
        <w:t>1</w:t>
      </w:r>
      <w:r>
        <w:rPr>
          <w:rFonts w:ascii="宋体" w:hAnsi="宋体" w:hint="eastAsia"/>
          <w:sz w:val="24"/>
        </w:rPr>
        <w:t>、下面哪一项不是按记忆的内容分类（</w:t>
      </w:r>
      <w:r>
        <w:rPr>
          <w:rFonts w:ascii="宋体" w:hAnsi="宋体"/>
          <w:sz w:val="24"/>
        </w:rPr>
        <w:t xml:space="preserve">       </w:t>
      </w:r>
      <w:r>
        <w:rPr>
          <w:rFonts w:ascii="宋体" w:hAnsi="宋体" w:hint="eastAsia"/>
          <w:sz w:val="24"/>
        </w:rPr>
        <w:t>）</w:t>
      </w:r>
    </w:p>
    <w:p w:rsidR="003717A0" w:rsidRDefault="003717A0">
      <w:pPr>
        <w:ind w:firstLineChars="150" w:firstLine="360"/>
        <w:rPr>
          <w:rFonts w:ascii="宋体"/>
          <w:sz w:val="24"/>
        </w:rPr>
      </w:pPr>
      <w:r>
        <w:rPr>
          <w:rFonts w:ascii="宋体" w:hAnsi="宋体"/>
          <w:sz w:val="24"/>
        </w:rPr>
        <w:t xml:space="preserve">A. </w:t>
      </w:r>
      <w:r>
        <w:rPr>
          <w:rFonts w:ascii="宋体" w:hAnsi="宋体" w:hint="eastAsia"/>
          <w:sz w:val="24"/>
        </w:rPr>
        <w:t>形象记忆</w:t>
      </w:r>
      <w:r>
        <w:rPr>
          <w:rFonts w:ascii="宋体" w:hAnsi="宋体"/>
          <w:sz w:val="24"/>
        </w:rPr>
        <w:t xml:space="preserve">         B. </w:t>
      </w:r>
      <w:r>
        <w:rPr>
          <w:rFonts w:ascii="宋体" w:hAnsi="宋体" w:hint="eastAsia"/>
          <w:sz w:val="24"/>
        </w:rPr>
        <w:t>逻辑记忆</w:t>
      </w:r>
      <w:r>
        <w:rPr>
          <w:rFonts w:ascii="宋体" w:hAnsi="宋体"/>
          <w:sz w:val="24"/>
        </w:rPr>
        <w:t xml:space="preserve">        C. </w:t>
      </w:r>
      <w:r>
        <w:rPr>
          <w:rFonts w:ascii="宋体" w:hAnsi="宋体" w:hint="eastAsia"/>
          <w:sz w:val="24"/>
        </w:rPr>
        <w:t>情绪记忆</w:t>
      </w:r>
    </w:p>
    <w:p w:rsidR="003717A0" w:rsidRDefault="003717A0">
      <w:pPr>
        <w:ind w:firstLineChars="150" w:firstLine="360"/>
        <w:rPr>
          <w:rFonts w:ascii="宋体"/>
          <w:sz w:val="24"/>
        </w:rPr>
      </w:pPr>
      <w:r>
        <w:rPr>
          <w:rFonts w:ascii="宋体" w:hAnsi="宋体"/>
          <w:sz w:val="24"/>
        </w:rPr>
        <w:t xml:space="preserve">D. </w:t>
      </w:r>
      <w:r>
        <w:rPr>
          <w:rFonts w:ascii="宋体" w:hAnsi="宋体" w:hint="eastAsia"/>
          <w:sz w:val="24"/>
        </w:rPr>
        <w:t>主动记忆</w:t>
      </w:r>
      <w:r>
        <w:rPr>
          <w:rFonts w:ascii="宋体" w:hAnsi="宋体"/>
          <w:sz w:val="24"/>
        </w:rPr>
        <w:t xml:space="preserve">         E. </w:t>
      </w:r>
      <w:r>
        <w:rPr>
          <w:rFonts w:ascii="宋体" w:hAnsi="宋体" w:hint="eastAsia"/>
          <w:sz w:val="24"/>
        </w:rPr>
        <w:t>运动记忆</w:t>
      </w:r>
    </w:p>
    <w:p w:rsidR="003717A0" w:rsidRDefault="003717A0">
      <w:pPr>
        <w:rPr>
          <w:rFonts w:ascii="宋体"/>
          <w:sz w:val="24"/>
        </w:rPr>
      </w:pPr>
      <w:r>
        <w:rPr>
          <w:rFonts w:ascii="宋体" w:hAnsi="宋体"/>
          <w:sz w:val="24"/>
        </w:rPr>
        <w:t>2</w:t>
      </w:r>
      <w:r>
        <w:rPr>
          <w:rFonts w:ascii="宋体" w:hAnsi="宋体" w:hint="eastAsia"/>
          <w:sz w:val="24"/>
        </w:rPr>
        <w:t>、目前使用最广泛的智力测验量表是（</w:t>
      </w:r>
      <w:r>
        <w:rPr>
          <w:rFonts w:ascii="宋体" w:hAnsi="宋体"/>
          <w:sz w:val="24"/>
        </w:rPr>
        <w:t xml:space="preserve">      </w:t>
      </w:r>
      <w:r>
        <w:rPr>
          <w:rFonts w:ascii="宋体" w:hAnsi="宋体" w:hint="eastAsia"/>
          <w:sz w:val="24"/>
        </w:rPr>
        <w:t>）</w:t>
      </w:r>
    </w:p>
    <w:p w:rsidR="003717A0" w:rsidRDefault="003717A0">
      <w:pPr>
        <w:rPr>
          <w:rFonts w:ascii="宋体"/>
          <w:sz w:val="24"/>
        </w:rPr>
      </w:pPr>
      <w:r>
        <w:rPr>
          <w:rFonts w:ascii="宋体" w:hAnsi="宋体"/>
          <w:sz w:val="24"/>
        </w:rPr>
        <w:t xml:space="preserve">   A</w:t>
      </w:r>
      <w:r>
        <w:rPr>
          <w:rFonts w:ascii="宋体" w:hAnsi="宋体" w:hint="eastAsia"/>
          <w:sz w:val="24"/>
        </w:rPr>
        <w:t>．韦克斯勒智力量表</w:t>
      </w:r>
      <w:r>
        <w:rPr>
          <w:rFonts w:ascii="宋体" w:hAnsi="宋体"/>
          <w:sz w:val="24"/>
        </w:rPr>
        <w:t xml:space="preserve">           B</w:t>
      </w:r>
      <w:r>
        <w:rPr>
          <w:rFonts w:ascii="宋体" w:hAnsi="宋体" w:hint="eastAsia"/>
          <w:sz w:val="24"/>
        </w:rPr>
        <w:t>．成人简易智力测验</w:t>
      </w:r>
    </w:p>
    <w:p w:rsidR="003717A0" w:rsidRDefault="003717A0">
      <w:pPr>
        <w:rPr>
          <w:rFonts w:ascii="宋体"/>
          <w:sz w:val="24"/>
        </w:rPr>
      </w:pPr>
      <w:r>
        <w:rPr>
          <w:rFonts w:ascii="宋体" w:hAnsi="宋体"/>
          <w:sz w:val="24"/>
        </w:rPr>
        <w:t xml:space="preserve">   C</w:t>
      </w:r>
      <w:r>
        <w:rPr>
          <w:rFonts w:ascii="宋体" w:hAnsi="宋体" w:hint="eastAsia"/>
          <w:sz w:val="24"/>
        </w:rPr>
        <w:t>．斯坦福一比奈量表</w:t>
      </w:r>
      <w:r>
        <w:rPr>
          <w:rFonts w:ascii="宋体" w:hAnsi="宋体"/>
          <w:sz w:val="24"/>
        </w:rPr>
        <w:t xml:space="preserve">           D</w:t>
      </w:r>
      <w:r>
        <w:rPr>
          <w:rFonts w:ascii="宋体" w:hAnsi="宋体" w:hint="eastAsia"/>
          <w:sz w:val="24"/>
        </w:rPr>
        <w:t>．贝利婴儿量表</w:t>
      </w:r>
    </w:p>
    <w:p w:rsidR="003717A0" w:rsidRDefault="003717A0">
      <w:pPr>
        <w:ind w:firstLineChars="150" w:firstLine="360"/>
        <w:rPr>
          <w:rFonts w:ascii="宋体"/>
          <w:sz w:val="24"/>
        </w:rPr>
      </w:pPr>
      <w:r>
        <w:rPr>
          <w:rFonts w:ascii="宋体" w:hAnsi="宋体"/>
          <w:sz w:val="24"/>
        </w:rPr>
        <w:t xml:space="preserve">   E</w:t>
      </w:r>
      <w:r>
        <w:rPr>
          <w:rFonts w:ascii="宋体" w:hAnsi="宋体" w:hint="eastAsia"/>
          <w:sz w:val="24"/>
        </w:rPr>
        <w:t>．丹佛发展筛选测验</w:t>
      </w:r>
    </w:p>
    <w:p w:rsidR="003717A0" w:rsidRDefault="003717A0">
      <w:pPr>
        <w:rPr>
          <w:rFonts w:ascii="宋体"/>
          <w:bCs/>
          <w:sz w:val="24"/>
        </w:rPr>
      </w:pPr>
      <w:r>
        <w:rPr>
          <w:rFonts w:ascii="宋体" w:hAnsi="宋体" w:cs="宋体"/>
        </w:rPr>
        <w:t>3</w:t>
      </w:r>
      <w:r>
        <w:rPr>
          <w:rFonts w:ascii="宋体" w:hAnsi="宋体" w:cs="宋体" w:hint="eastAsia"/>
        </w:rPr>
        <w:t>、</w:t>
      </w:r>
      <w:r>
        <w:rPr>
          <w:rFonts w:ascii="宋体" w:hAnsi="宋体" w:hint="eastAsia"/>
          <w:bCs/>
          <w:sz w:val="24"/>
        </w:rPr>
        <w:t>自我防御机制不包括下面哪一项</w:t>
      </w:r>
      <w:r>
        <w:rPr>
          <w:rFonts w:ascii="宋体" w:hAnsi="宋体"/>
          <w:bCs/>
          <w:sz w:val="24"/>
        </w:rPr>
        <w:t>(        )</w:t>
      </w:r>
    </w:p>
    <w:p w:rsidR="003717A0" w:rsidRDefault="003717A0">
      <w:pPr>
        <w:ind w:firstLineChars="150" w:firstLine="360"/>
        <w:rPr>
          <w:rFonts w:ascii="宋体"/>
          <w:bCs/>
          <w:sz w:val="24"/>
        </w:rPr>
      </w:pPr>
      <w:r>
        <w:rPr>
          <w:rFonts w:ascii="宋体" w:hAnsi="宋体"/>
          <w:bCs/>
          <w:sz w:val="24"/>
        </w:rPr>
        <w:t xml:space="preserve">A. </w:t>
      </w:r>
      <w:r>
        <w:rPr>
          <w:rFonts w:ascii="宋体" w:hAnsi="宋体" w:hint="eastAsia"/>
          <w:bCs/>
          <w:sz w:val="24"/>
        </w:rPr>
        <w:t>压抑（</w:t>
      </w:r>
      <w:r>
        <w:rPr>
          <w:rFonts w:ascii="宋体" w:hAnsi="宋体"/>
          <w:bCs/>
          <w:sz w:val="24"/>
        </w:rPr>
        <w:t>repression</w:t>
      </w:r>
      <w:r>
        <w:rPr>
          <w:rFonts w:ascii="宋体" w:hAnsi="宋体" w:hint="eastAsia"/>
          <w:bCs/>
          <w:sz w:val="24"/>
        </w:rPr>
        <w:t>）</w:t>
      </w:r>
      <w:r>
        <w:rPr>
          <w:rFonts w:ascii="宋体" w:hAnsi="宋体"/>
          <w:bCs/>
          <w:sz w:val="24"/>
        </w:rPr>
        <w:t xml:space="preserve">       B. </w:t>
      </w:r>
      <w:r>
        <w:rPr>
          <w:rFonts w:ascii="宋体" w:hAnsi="宋体" w:hint="eastAsia"/>
          <w:bCs/>
          <w:sz w:val="24"/>
        </w:rPr>
        <w:t>反向作用</w:t>
      </w:r>
      <w:r>
        <w:rPr>
          <w:rFonts w:ascii="宋体" w:hAnsi="宋体"/>
          <w:bCs/>
          <w:sz w:val="24"/>
        </w:rPr>
        <w:t>(formation reaction)</w:t>
      </w:r>
    </w:p>
    <w:p w:rsidR="003717A0" w:rsidRDefault="003717A0">
      <w:pPr>
        <w:ind w:firstLineChars="150" w:firstLine="360"/>
        <w:rPr>
          <w:rFonts w:ascii="宋体"/>
          <w:bCs/>
          <w:sz w:val="24"/>
        </w:rPr>
      </w:pPr>
      <w:r>
        <w:rPr>
          <w:rFonts w:ascii="宋体" w:hAnsi="宋体"/>
          <w:bCs/>
          <w:sz w:val="24"/>
        </w:rPr>
        <w:t xml:space="preserve">C. </w:t>
      </w:r>
      <w:r>
        <w:rPr>
          <w:rFonts w:ascii="宋体" w:hAnsi="宋体" w:hint="eastAsia"/>
          <w:bCs/>
          <w:sz w:val="24"/>
        </w:rPr>
        <w:t>置换作用</w:t>
      </w:r>
      <w:r>
        <w:rPr>
          <w:rFonts w:ascii="宋体" w:hAnsi="宋体"/>
          <w:bCs/>
          <w:sz w:val="24"/>
        </w:rPr>
        <w:t xml:space="preserve">(displacement)   D. </w:t>
      </w:r>
      <w:r>
        <w:rPr>
          <w:rFonts w:ascii="宋体" w:hAnsi="宋体" w:hint="eastAsia"/>
          <w:bCs/>
          <w:sz w:val="24"/>
        </w:rPr>
        <w:t>退行</w:t>
      </w:r>
      <w:r>
        <w:rPr>
          <w:rFonts w:ascii="宋体" w:hAnsi="宋体"/>
          <w:bCs/>
          <w:sz w:val="24"/>
        </w:rPr>
        <w:t xml:space="preserve">(regression) </w:t>
      </w:r>
    </w:p>
    <w:p w:rsidR="003717A0" w:rsidRDefault="003717A0">
      <w:pPr>
        <w:ind w:firstLineChars="150" w:firstLine="360"/>
        <w:rPr>
          <w:rFonts w:ascii="宋体"/>
          <w:bCs/>
          <w:sz w:val="24"/>
        </w:rPr>
      </w:pPr>
      <w:r>
        <w:rPr>
          <w:rFonts w:ascii="宋体" w:hAnsi="宋体"/>
          <w:bCs/>
          <w:sz w:val="24"/>
        </w:rPr>
        <w:t xml:space="preserve">E. </w:t>
      </w:r>
      <w:r>
        <w:rPr>
          <w:rFonts w:ascii="宋体" w:hAnsi="宋体" w:hint="eastAsia"/>
          <w:bCs/>
          <w:sz w:val="24"/>
        </w:rPr>
        <w:t>应对</w:t>
      </w:r>
      <w:r>
        <w:rPr>
          <w:rFonts w:ascii="宋体" w:hAnsi="宋体"/>
          <w:bCs/>
          <w:sz w:val="24"/>
        </w:rPr>
        <w:t xml:space="preserve">(coping) </w:t>
      </w:r>
    </w:p>
    <w:p w:rsidR="003717A0" w:rsidRDefault="003717A0">
      <w:pPr>
        <w:rPr>
          <w:rFonts w:ascii="宋体"/>
          <w:bCs/>
          <w:sz w:val="24"/>
        </w:rPr>
      </w:pPr>
      <w:r>
        <w:rPr>
          <w:rFonts w:ascii="宋体" w:hAnsi="宋体"/>
          <w:bCs/>
          <w:sz w:val="24"/>
        </w:rPr>
        <w:t>4</w:t>
      </w:r>
      <w:r>
        <w:rPr>
          <w:rFonts w:ascii="宋体" w:hAnsi="宋体" w:hint="eastAsia"/>
          <w:bCs/>
          <w:sz w:val="24"/>
        </w:rPr>
        <w:t>、关于气质和性格的描述，下列那项不正确（</w:t>
      </w:r>
      <w:r>
        <w:rPr>
          <w:rFonts w:ascii="宋体" w:hAnsi="宋体"/>
          <w:bCs/>
          <w:sz w:val="24"/>
        </w:rPr>
        <w:t xml:space="preserve">    </w:t>
      </w:r>
      <w:r>
        <w:rPr>
          <w:rFonts w:ascii="宋体" w:hAnsi="宋体" w:hint="eastAsia"/>
          <w:bCs/>
          <w:sz w:val="24"/>
        </w:rPr>
        <w:t>）</w:t>
      </w:r>
    </w:p>
    <w:p w:rsidR="003717A0" w:rsidRDefault="003717A0">
      <w:pPr>
        <w:ind w:firstLineChars="150" w:firstLine="360"/>
        <w:rPr>
          <w:rFonts w:ascii="宋体"/>
          <w:sz w:val="24"/>
        </w:rPr>
      </w:pPr>
      <w:r>
        <w:rPr>
          <w:rFonts w:ascii="宋体" w:hAnsi="宋体"/>
          <w:sz w:val="24"/>
        </w:rPr>
        <w:lastRenderedPageBreak/>
        <w:t xml:space="preserve">A. </w:t>
      </w:r>
      <w:r>
        <w:rPr>
          <w:rFonts w:ascii="宋体" w:hAnsi="宋体" w:hint="eastAsia"/>
          <w:sz w:val="24"/>
        </w:rPr>
        <w:t>气质是生来俱有的心理活动的动力特征</w:t>
      </w:r>
    </w:p>
    <w:p w:rsidR="003717A0" w:rsidRDefault="003717A0">
      <w:pPr>
        <w:rPr>
          <w:rFonts w:ascii="宋体"/>
          <w:sz w:val="24"/>
        </w:rPr>
      </w:pPr>
      <w:r>
        <w:rPr>
          <w:rFonts w:ascii="宋体" w:hAnsi="宋体"/>
          <w:sz w:val="24"/>
        </w:rPr>
        <w:t xml:space="preserve">   B. </w:t>
      </w:r>
      <w:r>
        <w:rPr>
          <w:rFonts w:ascii="宋体" w:hAnsi="宋体" w:hint="eastAsia"/>
          <w:sz w:val="24"/>
        </w:rPr>
        <w:t>性格是在后天的社会生活环境中逐渐形成发展起来的</w:t>
      </w:r>
    </w:p>
    <w:p w:rsidR="003717A0" w:rsidRDefault="003717A0">
      <w:pPr>
        <w:ind w:firstLineChars="150" w:firstLine="360"/>
        <w:rPr>
          <w:rFonts w:ascii="宋体"/>
          <w:sz w:val="24"/>
        </w:rPr>
      </w:pPr>
      <w:r>
        <w:rPr>
          <w:rFonts w:ascii="宋体" w:hAnsi="宋体"/>
          <w:sz w:val="24"/>
        </w:rPr>
        <w:t xml:space="preserve">C. </w:t>
      </w:r>
      <w:r>
        <w:rPr>
          <w:rFonts w:ascii="宋体" w:hAnsi="宋体" w:hint="eastAsia"/>
          <w:sz w:val="24"/>
        </w:rPr>
        <w:t>气质形成早，不易变化</w:t>
      </w:r>
    </w:p>
    <w:p w:rsidR="003717A0" w:rsidRDefault="003717A0">
      <w:pPr>
        <w:ind w:firstLineChars="150" w:firstLine="360"/>
        <w:rPr>
          <w:rFonts w:ascii="宋体"/>
          <w:sz w:val="24"/>
        </w:rPr>
      </w:pPr>
      <w:r>
        <w:rPr>
          <w:rFonts w:ascii="宋体" w:hAnsi="宋体"/>
          <w:sz w:val="24"/>
        </w:rPr>
        <w:t xml:space="preserve">D. </w:t>
      </w:r>
      <w:r>
        <w:rPr>
          <w:rFonts w:ascii="宋体" w:hAnsi="宋体" w:hint="eastAsia"/>
          <w:sz w:val="24"/>
        </w:rPr>
        <w:t>性格形成晚，比气质变化快</w:t>
      </w:r>
    </w:p>
    <w:p w:rsidR="003717A0" w:rsidRDefault="003717A0">
      <w:pPr>
        <w:ind w:firstLineChars="150" w:firstLine="360"/>
        <w:rPr>
          <w:rFonts w:ascii="宋体"/>
          <w:sz w:val="24"/>
        </w:rPr>
      </w:pPr>
      <w:r>
        <w:rPr>
          <w:rFonts w:ascii="宋体" w:hAnsi="宋体"/>
          <w:sz w:val="24"/>
        </w:rPr>
        <w:t xml:space="preserve">E. </w:t>
      </w:r>
      <w:r>
        <w:rPr>
          <w:rFonts w:ascii="宋体" w:hAnsi="宋体" w:hint="eastAsia"/>
          <w:sz w:val="24"/>
        </w:rPr>
        <w:t>性格影响着气质的动态方面</w:t>
      </w:r>
    </w:p>
    <w:p w:rsidR="003717A0" w:rsidRDefault="003717A0">
      <w:pPr>
        <w:rPr>
          <w:rFonts w:ascii="宋体"/>
          <w:bCs/>
          <w:sz w:val="24"/>
        </w:rPr>
      </w:pPr>
      <w:r>
        <w:rPr>
          <w:rFonts w:ascii="宋体" w:hAnsi="宋体"/>
          <w:bCs/>
          <w:sz w:val="24"/>
        </w:rPr>
        <w:t>(</w:t>
      </w:r>
      <w:r>
        <w:rPr>
          <w:rFonts w:ascii="宋体" w:hAnsi="宋体" w:hint="eastAsia"/>
          <w:bCs/>
          <w:sz w:val="24"/>
        </w:rPr>
        <w:t>二</w:t>
      </w:r>
      <w:r>
        <w:rPr>
          <w:rFonts w:ascii="宋体" w:hAnsi="宋体"/>
          <w:bCs/>
          <w:sz w:val="24"/>
        </w:rPr>
        <w:t xml:space="preserve">) </w:t>
      </w:r>
      <w:r>
        <w:rPr>
          <w:rFonts w:ascii="宋体" w:hAnsi="宋体" w:hint="eastAsia"/>
          <w:bCs/>
          <w:sz w:val="24"/>
        </w:rPr>
        <w:t>多项选择题</w:t>
      </w:r>
    </w:p>
    <w:p w:rsidR="003717A0" w:rsidRDefault="003717A0">
      <w:pPr>
        <w:rPr>
          <w:rFonts w:ascii="宋体"/>
          <w:bCs/>
          <w:sz w:val="24"/>
        </w:rPr>
      </w:pPr>
      <w:r>
        <w:rPr>
          <w:rFonts w:ascii="宋体" w:hAnsi="宋体"/>
          <w:bCs/>
          <w:sz w:val="24"/>
        </w:rPr>
        <w:t>5</w:t>
      </w:r>
      <w:r>
        <w:rPr>
          <w:rFonts w:ascii="宋体" w:hAnsi="宋体" w:hint="eastAsia"/>
          <w:bCs/>
          <w:sz w:val="24"/>
        </w:rPr>
        <w:t>、根据思维方式分类可以分为（</w:t>
      </w:r>
      <w:r>
        <w:rPr>
          <w:rFonts w:ascii="宋体" w:hAnsi="宋体"/>
          <w:bCs/>
          <w:sz w:val="24"/>
        </w:rPr>
        <w:t xml:space="preserve">            </w:t>
      </w:r>
      <w:r>
        <w:rPr>
          <w:rFonts w:ascii="宋体" w:hAnsi="宋体" w:hint="eastAsia"/>
          <w:bCs/>
          <w:sz w:val="24"/>
        </w:rPr>
        <w:t>）</w:t>
      </w:r>
    </w:p>
    <w:p w:rsidR="003717A0" w:rsidRDefault="003717A0">
      <w:pPr>
        <w:ind w:firstLineChars="150" w:firstLine="360"/>
        <w:rPr>
          <w:rFonts w:ascii="宋体"/>
          <w:bCs/>
          <w:sz w:val="24"/>
        </w:rPr>
      </w:pPr>
      <w:r>
        <w:rPr>
          <w:rFonts w:ascii="宋体" w:hAnsi="宋体"/>
          <w:bCs/>
          <w:sz w:val="24"/>
        </w:rPr>
        <w:t xml:space="preserve">A. </w:t>
      </w:r>
      <w:r>
        <w:rPr>
          <w:rFonts w:ascii="宋体" w:hAnsi="宋体" w:hint="eastAsia"/>
          <w:bCs/>
          <w:sz w:val="24"/>
        </w:rPr>
        <w:t>动作思维</w:t>
      </w:r>
      <w:r>
        <w:rPr>
          <w:rFonts w:ascii="宋体" w:hAnsi="宋体"/>
          <w:bCs/>
          <w:sz w:val="24"/>
        </w:rPr>
        <w:t xml:space="preserve">        B.  </w:t>
      </w:r>
      <w:r>
        <w:rPr>
          <w:rFonts w:ascii="宋体" w:hAnsi="宋体" w:hint="eastAsia"/>
          <w:bCs/>
          <w:sz w:val="24"/>
        </w:rPr>
        <w:t>形象思维</w:t>
      </w:r>
      <w:r>
        <w:rPr>
          <w:rFonts w:ascii="宋体" w:hAnsi="宋体"/>
          <w:bCs/>
          <w:sz w:val="24"/>
        </w:rPr>
        <w:t xml:space="preserve">          C. </w:t>
      </w:r>
      <w:r>
        <w:rPr>
          <w:rFonts w:ascii="宋体" w:hAnsi="宋体" w:hint="eastAsia"/>
          <w:bCs/>
          <w:sz w:val="24"/>
        </w:rPr>
        <w:t>正向思维</w:t>
      </w:r>
    </w:p>
    <w:p w:rsidR="003717A0" w:rsidRDefault="003717A0">
      <w:pPr>
        <w:ind w:firstLineChars="150" w:firstLine="360"/>
        <w:rPr>
          <w:rFonts w:ascii="宋体"/>
          <w:bCs/>
          <w:sz w:val="24"/>
        </w:rPr>
      </w:pPr>
      <w:r>
        <w:rPr>
          <w:rFonts w:ascii="宋体" w:hAnsi="宋体"/>
          <w:bCs/>
          <w:sz w:val="24"/>
        </w:rPr>
        <w:t xml:space="preserve">D. </w:t>
      </w:r>
      <w:r>
        <w:rPr>
          <w:rFonts w:ascii="宋体" w:hAnsi="宋体" w:hint="eastAsia"/>
          <w:bCs/>
          <w:sz w:val="24"/>
        </w:rPr>
        <w:t>反向思维</w:t>
      </w:r>
      <w:r>
        <w:rPr>
          <w:rFonts w:ascii="宋体" w:hAnsi="宋体"/>
          <w:bCs/>
          <w:sz w:val="24"/>
        </w:rPr>
        <w:t xml:space="preserve">        E.  </w:t>
      </w:r>
      <w:r>
        <w:rPr>
          <w:rFonts w:ascii="宋体" w:hAnsi="宋体" w:hint="eastAsia"/>
          <w:bCs/>
          <w:sz w:val="24"/>
        </w:rPr>
        <w:t>抽象思维</w:t>
      </w:r>
    </w:p>
    <w:p w:rsidR="003717A0" w:rsidRDefault="003717A0">
      <w:pPr>
        <w:rPr>
          <w:rFonts w:ascii="宋体"/>
          <w:bCs/>
          <w:sz w:val="24"/>
        </w:rPr>
      </w:pPr>
      <w:r>
        <w:rPr>
          <w:rFonts w:ascii="宋体" w:hAnsi="宋体"/>
          <w:bCs/>
          <w:sz w:val="24"/>
        </w:rPr>
        <w:t>6</w:t>
      </w:r>
      <w:r>
        <w:rPr>
          <w:rFonts w:ascii="宋体" w:hAnsi="宋体" w:hint="eastAsia"/>
          <w:bCs/>
          <w:sz w:val="24"/>
        </w:rPr>
        <w:t>、关于心理咨询和心理治疗区别的描述正确的是（</w:t>
      </w:r>
      <w:r>
        <w:rPr>
          <w:rFonts w:ascii="宋体" w:hAnsi="宋体"/>
          <w:bCs/>
          <w:sz w:val="24"/>
        </w:rPr>
        <w:t xml:space="preserve">            </w:t>
      </w:r>
      <w:r>
        <w:rPr>
          <w:rFonts w:ascii="宋体" w:hAnsi="宋体" w:hint="eastAsia"/>
          <w:bCs/>
          <w:sz w:val="24"/>
        </w:rPr>
        <w:t>）</w:t>
      </w:r>
    </w:p>
    <w:p w:rsidR="003717A0" w:rsidRDefault="003717A0">
      <w:pPr>
        <w:ind w:firstLineChars="150" w:firstLine="360"/>
        <w:rPr>
          <w:rFonts w:ascii="宋体"/>
          <w:bCs/>
          <w:sz w:val="24"/>
        </w:rPr>
      </w:pPr>
      <w:r>
        <w:rPr>
          <w:rFonts w:ascii="宋体" w:hAnsi="宋体"/>
          <w:bCs/>
          <w:sz w:val="24"/>
        </w:rPr>
        <w:t xml:space="preserve">A. </w:t>
      </w:r>
      <w:r>
        <w:rPr>
          <w:rFonts w:ascii="宋体" w:hAnsi="宋体" w:hint="eastAsia"/>
          <w:bCs/>
          <w:sz w:val="24"/>
        </w:rPr>
        <w:t>心理咨询针对有现实问题或心理困扰的正常人</w:t>
      </w:r>
    </w:p>
    <w:p w:rsidR="003717A0" w:rsidRDefault="003717A0">
      <w:pPr>
        <w:ind w:firstLineChars="150" w:firstLine="360"/>
        <w:rPr>
          <w:rFonts w:ascii="宋体"/>
          <w:bCs/>
          <w:sz w:val="24"/>
        </w:rPr>
      </w:pPr>
      <w:r>
        <w:rPr>
          <w:rFonts w:ascii="宋体" w:hAnsi="宋体"/>
          <w:bCs/>
          <w:sz w:val="24"/>
        </w:rPr>
        <w:t xml:space="preserve">B. </w:t>
      </w:r>
      <w:r>
        <w:rPr>
          <w:rFonts w:ascii="宋体" w:hAnsi="宋体" w:hint="eastAsia"/>
          <w:bCs/>
          <w:sz w:val="24"/>
        </w:rPr>
        <w:t>心理治疗主要针对有心理障碍的病人</w:t>
      </w:r>
    </w:p>
    <w:p w:rsidR="003717A0" w:rsidRDefault="003717A0">
      <w:pPr>
        <w:ind w:firstLineChars="150" w:firstLine="360"/>
        <w:rPr>
          <w:rFonts w:ascii="宋体"/>
          <w:bCs/>
          <w:sz w:val="24"/>
        </w:rPr>
      </w:pPr>
      <w:r>
        <w:rPr>
          <w:rFonts w:ascii="宋体" w:hAnsi="宋体"/>
          <w:bCs/>
          <w:sz w:val="24"/>
        </w:rPr>
        <w:t xml:space="preserve">C. </w:t>
      </w:r>
      <w:r>
        <w:rPr>
          <w:rFonts w:ascii="宋体" w:hAnsi="宋体" w:hint="eastAsia"/>
          <w:bCs/>
          <w:sz w:val="24"/>
        </w:rPr>
        <w:t>心理咨询侧重于对来访者的支持、启发、教育、指导</w:t>
      </w:r>
      <w:r>
        <w:rPr>
          <w:rFonts w:ascii="宋体" w:hAnsi="宋体"/>
          <w:bCs/>
          <w:sz w:val="24"/>
        </w:rPr>
        <w:t xml:space="preserve">  </w:t>
      </w:r>
    </w:p>
    <w:p w:rsidR="003717A0" w:rsidRDefault="003717A0">
      <w:pPr>
        <w:ind w:firstLineChars="150" w:firstLine="360"/>
        <w:rPr>
          <w:rFonts w:ascii="宋体"/>
          <w:bCs/>
          <w:sz w:val="24"/>
        </w:rPr>
      </w:pPr>
      <w:r>
        <w:rPr>
          <w:rFonts w:ascii="宋体" w:hAnsi="宋体"/>
          <w:bCs/>
          <w:sz w:val="24"/>
        </w:rPr>
        <w:t xml:space="preserve">D. </w:t>
      </w:r>
      <w:r>
        <w:rPr>
          <w:rFonts w:ascii="宋体" w:hAnsi="宋体" w:hint="eastAsia"/>
          <w:bCs/>
          <w:sz w:val="24"/>
        </w:rPr>
        <w:t>心理治疗侧重于分析与矫正，消除症状，重建人格</w:t>
      </w:r>
    </w:p>
    <w:p w:rsidR="003717A0" w:rsidRDefault="003717A0">
      <w:pPr>
        <w:ind w:firstLineChars="150" w:firstLine="360"/>
        <w:rPr>
          <w:rFonts w:ascii="宋体"/>
          <w:bCs/>
          <w:sz w:val="24"/>
        </w:rPr>
      </w:pPr>
      <w:r>
        <w:rPr>
          <w:rFonts w:ascii="宋体" w:hAnsi="宋体"/>
          <w:bCs/>
          <w:sz w:val="24"/>
        </w:rPr>
        <w:t xml:space="preserve">E. </w:t>
      </w:r>
      <w:r>
        <w:rPr>
          <w:rFonts w:ascii="宋体" w:hAnsi="宋体" w:hint="eastAsia"/>
          <w:bCs/>
          <w:sz w:val="24"/>
        </w:rPr>
        <w:t>心理咨询具哲学社会学倾向</w:t>
      </w:r>
      <w:r>
        <w:rPr>
          <w:rFonts w:ascii="宋体"/>
          <w:bCs/>
          <w:sz w:val="24"/>
        </w:rPr>
        <w:t>,</w:t>
      </w:r>
      <w:r>
        <w:rPr>
          <w:rFonts w:ascii="宋体" w:hAnsi="宋体" w:hint="eastAsia"/>
          <w:bCs/>
          <w:sz w:val="24"/>
        </w:rPr>
        <w:t>心理治疗具医学倾向</w:t>
      </w:r>
    </w:p>
    <w:p w:rsidR="003717A0" w:rsidRDefault="003717A0">
      <w:pPr>
        <w:rPr>
          <w:rFonts w:ascii="宋体"/>
          <w:bCs/>
          <w:sz w:val="24"/>
        </w:rPr>
      </w:pPr>
      <w:r>
        <w:rPr>
          <w:rFonts w:ascii="宋体" w:hAnsi="宋体"/>
          <w:bCs/>
          <w:sz w:val="24"/>
        </w:rPr>
        <w:t>7</w:t>
      </w:r>
      <w:r>
        <w:rPr>
          <w:rFonts w:ascii="宋体" w:hAnsi="宋体" w:hint="eastAsia"/>
          <w:bCs/>
          <w:sz w:val="24"/>
        </w:rPr>
        <w:t>、心理评估根据其功用分类可以有（</w:t>
      </w:r>
      <w:r>
        <w:rPr>
          <w:rFonts w:ascii="宋体" w:hAnsi="宋体"/>
          <w:bCs/>
          <w:sz w:val="24"/>
        </w:rPr>
        <w:t xml:space="preserve">           </w:t>
      </w:r>
      <w:r>
        <w:rPr>
          <w:rFonts w:ascii="宋体" w:hAnsi="宋体" w:hint="eastAsia"/>
          <w:bCs/>
          <w:sz w:val="24"/>
        </w:rPr>
        <w:t>）</w:t>
      </w:r>
    </w:p>
    <w:p w:rsidR="003717A0" w:rsidRDefault="003717A0">
      <w:pPr>
        <w:ind w:firstLineChars="150" w:firstLine="360"/>
        <w:rPr>
          <w:rFonts w:ascii="宋体"/>
          <w:bCs/>
          <w:sz w:val="24"/>
        </w:rPr>
      </w:pPr>
      <w:r>
        <w:rPr>
          <w:rFonts w:ascii="宋体" w:hAnsi="宋体"/>
          <w:bCs/>
          <w:sz w:val="24"/>
        </w:rPr>
        <w:t xml:space="preserve">A. </w:t>
      </w:r>
      <w:r>
        <w:rPr>
          <w:rFonts w:ascii="宋体" w:hAnsi="宋体" w:hint="eastAsia"/>
          <w:bCs/>
          <w:sz w:val="24"/>
        </w:rPr>
        <w:t>智力测验</w:t>
      </w:r>
      <w:r>
        <w:rPr>
          <w:rFonts w:ascii="宋体" w:hAnsi="宋体"/>
          <w:bCs/>
          <w:sz w:val="24"/>
        </w:rPr>
        <w:t xml:space="preserve">        B. </w:t>
      </w:r>
      <w:r>
        <w:rPr>
          <w:rFonts w:ascii="宋体" w:hAnsi="宋体" w:hint="eastAsia"/>
          <w:bCs/>
          <w:sz w:val="24"/>
        </w:rPr>
        <w:t>人格测验</w:t>
      </w:r>
      <w:r>
        <w:rPr>
          <w:rFonts w:ascii="宋体" w:hAnsi="宋体"/>
          <w:bCs/>
          <w:sz w:val="24"/>
        </w:rPr>
        <w:t xml:space="preserve">          C. </w:t>
      </w:r>
      <w:r>
        <w:rPr>
          <w:rFonts w:ascii="宋体" w:hAnsi="宋体" w:hint="eastAsia"/>
          <w:bCs/>
          <w:sz w:val="24"/>
        </w:rPr>
        <w:t>神经心理学测验</w:t>
      </w:r>
    </w:p>
    <w:p w:rsidR="003717A0" w:rsidRDefault="003717A0">
      <w:pPr>
        <w:autoSpaceDE w:val="0"/>
        <w:autoSpaceDN w:val="0"/>
        <w:adjustRightInd w:val="0"/>
        <w:snapToGrid w:val="0"/>
        <w:ind w:firstLineChars="150" w:firstLine="360"/>
        <w:jc w:val="left"/>
        <w:rPr>
          <w:rFonts w:ascii="宋体"/>
          <w:bCs/>
          <w:sz w:val="24"/>
        </w:rPr>
      </w:pPr>
      <w:r>
        <w:rPr>
          <w:rFonts w:ascii="宋体" w:hAnsi="宋体"/>
          <w:bCs/>
          <w:sz w:val="24"/>
        </w:rPr>
        <w:t xml:space="preserve">D. </w:t>
      </w:r>
      <w:r>
        <w:rPr>
          <w:rFonts w:ascii="宋体" w:hAnsi="宋体" w:hint="eastAsia"/>
          <w:bCs/>
          <w:sz w:val="24"/>
        </w:rPr>
        <w:t>评定量表</w:t>
      </w:r>
      <w:r>
        <w:rPr>
          <w:rFonts w:ascii="宋体" w:hAnsi="宋体"/>
          <w:bCs/>
          <w:sz w:val="24"/>
        </w:rPr>
        <w:t xml:space="preserve">        E. </w:t>
      </w:r>
      <w:r>
        <w:rPr>
          <w:rFonts w:ascii="宋体" w:hAnsi="宋体" w:hint="eastAsia"/>
          <w:bCs/>
          <w:sz w:val="24"/>
        </w:rPr>
        <w:t>以上都是</w:t>
      </w:r>
    </w:p>
    <w:p w:rsidR="003717A0" w:rsidRDefault="003717A0">
      <w:pPr>
        <w:rPr>
          <w:rFonts w:ascii="宋体"/>
          <w:bCs/>
          <w:sz w:val="24"/>
        </w:rPr>
      </w:pPr>
      <w:r>
        <w:rPr>
          <w:rFonts w:ascii="宋体" w:hAnsi="宋体"/>
          <w:bCs/>
          <w:sz w:val="24"/>
        </w:rPr>
        <w:t>8</w:t>
      </w:r>
      <w:r>
        <w:rPr>
          <w:rFonts w:ascii="宋体" w:hAnsi="宋体" w:hint="eastAsia"/>
          <w:bCs/>
          <w:sz w:val="24"/>
        </w:rPr>
        <w:t>、建立良好医患关系的原则是（</w:t>
      </w:r>
      <w:r>
        <w:rPr>
          <w:rFonts w:ascii="宋体" w:hAnsi="宋体"/>
          <w:bCs/>
          <w:sz w:val="24"/>
        </w:rPr>
        <w:t xml:space="preserve">              </w:t>
      </w:r>
      <w:r>
        <w:rPr>
          <w:rFonts w:ascii="宋体" w:hAnsi="宋体" w:hint="eastAsia"/>
          <w:bCs/>
          <w:sz w:val="24"/>
        </w:rPr>
        <w:t>）</w:t>
      </w:r>
    </w:p>
    <w:p w:rsidR="003717A0" w:rsidRDefault="003717A0">
      <w:pPr>
        <w:ind w:firstLineChars="150" w:firstLine="360"/>
        <w:rPr>
          <w:rFonts w:ascii="宋体"/>
          <w:bCs/>
          <w:sz w:val="24"/>
        </w:rPr>
      </w:pPr>
      <w:r>
        <w:rPr>
          <w:rFonts w:ascii="宋体" w:hAnsi="宋体"/>
          <w:bCs/>
          <w:sz w:val="24"/>
        </w:rPr>
        <w:t xml:space="preserve">A. </w:t>
      </w:r>
      <w:r>
        <w:rPr>
          <w:rFonts w:ascii="宋体" w:hAnsi="宋体" w:hint="eastAsia"/>
          <w:bCs/>
          <w:sz w:val="24"/>
        </w:rPr>
        <w:t>医患关系应建立在法律和法规的框架内</w:t>
      </w:r>
    </w:p>
    <w:p w:rsidR="003717A0" w:rsidRDefault="003717A0">
      <w:pPr>
        <w:ind w:firstLineChars="150" w:firstLine="360"/>
        <w:rPr>
          <w:rFonts w:ascii="宋体"/>
          <w:bCs/>
          <w:sz w:val="24"/>
        </w:rPr>
      </w:pPr>
      <w:r>
        <w:rPr>
          <w:rFonts w:ascii="宋体" w:hAnsi="宋体"/>
          <w:bCs/>
          <w:sz w:val="24"/>
        </w:rPr>
        <w:t xml:space="preserve">B. </w:t>
      </w:r>
      <w:r>
        <w:rPr>
          <w:rFonts w:ascii="宋体" w:hAnsi="宋体" w:hint="eastAsia"/>
          <w:bCs/>
          <w:sz w:val="24"/>
        </w:rPr>
        <w:t>处理好医患之间的职业和非职业关系</w:t>
      </w:r>
    </w:p>
    <w:p w:rsidR="003717A0" w:rsidRDefault="003717A0">
      <w:pPr>
        <w:ind w:firstLineChars="150" w:firstLine="360"/>
        <w:rPr>
          <w:rFonts w:ascii="宋体"/>
          <w:bCs/>
          <w:sz w:val="24"/>
        </w:rPr>
      </w:pPr>
      <w:r>
        <w:rPr>
          <w:rFonts w:ascii="宋体" w:hAnsi="宋体"/>
          <w:bCs/>
          <w:sz w:val="24"/>
        </w:rPr>
        <w:t xml:space="preserve">C. </w:t>
      </w:r>
      <w:r>
        <w:rPr>
          <w:rFonts w:ascii="宋体" w:hAnsi="宋体" w:hint="eastAsia"/>
          <w:bCs/>
          <w:sz w:val="24"/>
        </w:rPr>
        <w:t>处理好“移情”和“反移情”的问题</w:t>
      </w:r>
    </w:p>
    <w:p w:rsidR="003717A0" w:rsidRDefault="003717A0">
      <w:pPr>
        <w:ind w:firstLineChars="150" w:firstLine="360"/>
        <w:rPr>
          <w:rFonts w:ascii="宋体"/>
          <w:bCs/>
          <w:sz w:val="24"/>
        </w:rPr>
      </w:pPr>
      <w:r>
        <w:rPr>
          <w:rFonts w:ascii="宋体" w:hAnsi="宋体"/>
          <w:bCs/>
          <w:sz w:val="24"/>
        </w:rPr>
        <w:t xml:space="preserve">D. </w:t>
      </w:r>
      <w:r>
        <w:rPr>
          <w:rFonts w:ascii="宋体" w:hAnsi="宋体" w:hint="eastAsia"/>
          <w:bCs/>
          <w:sz w:val="24"/>
        </w:rPr>
        <w:t>理解和正确应对患者的心理防卫机制</w:t>
      </w:r>
    </w:p>
    <w:p w:rsidR="003717A0" w:rsidRDefault="003717A0">
      <w:pPr>
        <w:ind w:firstLineChars="150" w:firstLine="360"/>
        <w:rPr>
          <w:rFonts w:ascii="宋体"/>
          <w:bCs/>
          <w:sz w:val="24"/>
        </w:rPr>
      </w:pPr>
      <w:r>
        <w:rPr>
          <w:rFonts w:ascii="宋体" w:hAnsi="宋体"/>
          <w:bCs/>
          <w:sz w:val="24"/>
        </w:rPr>
        <w:t xml:space="preserve">E. </w:t>
      </w:r>
      <w:r>
        <w:rPr>
          <w:rFonts w:ascii="宋体" w:hAnsi="宋体" w:hint="eastAsia"/>
          <w:bCs/>
          <w:sz w:val="24"/>
        </w:rPr>
        <w:t>正确应用沟通的技巧</w:t>
      </w:r>
    </w:p>
    <w:p w:rsidR="003717A0" w:rsidRDefault="003717A0">
      <w:pPr>
        <w:rPr>
          <w:rFonts w:ascii="宋体"/>
          <w:sz w:val="24"/>
        </w:rPr>
      </w:pPr>
      <w:r>
        <w:rPr>
          <w:rFonts w:ascii="宋体" w:hAnsi="宋体" w:hint="eastAsia"/>
          <w:sz w:val="24"/>
        </w:rPr>
        <w:t>四、是非题（每题</w:t>
      </w:r>
      <w:r>
        <w:rPr>
          <w:rFonts w:ascii="宋体" w:hAnsi="宋体"/>
          <w:sz w:val="24"/>
        </w:rPr>
        <w:t>2</w:t>
      </w:r>
      <w:r>
        <w:rPr>
          <w:rFonts w:ascii="宋体" w:hAnsi="宋体" w:hint="eastAsia"/>
          <w:sz w:val="24"/>
        </w:rPr>
        <w:t>分共</w:t>
      </w:r>
      <w:r>
        <w:rPr>
          <w:rFonts w:ascii="宋体" w:hAnsi="宋体"/>
          <w:sz w:val="24"/>
        </w:rPr>
        <w:t>12</w:t>
      </w:r>
      <w:r>
        <w:rPr>
          <w:rFonts w:ascii="宋体" w:hAnsi="宋体" w:hint="eastAsia"/>
          <w:sz w:val="24"/>
        </w:rPr>
        <w:t>分）</w:t>
      </w:r>
    </w:p>
    <w:p w:rsidR="003717A0" w:rsidRDefault="003717A0">
      <w:pPr>
        <w:rPr>
          <w:rFonts w:ascii="宋体"/>
          <w:sz w:val="24"/>
        </w:rPr>
      </w:pPr>
      <w:r>
        <w:rPr>
          <w:rFonts w:ascii="宋体" w:hAnsi="宋体"/>
          <w:sz w:val="24"/>
        </w:rPr>
        <w:t>1</w:t>
      </w:r>
      <w:r>
        <w:rPr>
          <w:rFonts w:ascii="宋体" w:hAnsi="宋体" w:hint="eastAsia"/>
          <w:sz w:val="24"/>
        </w:rPr>
        <w:t>、</w:t>
      </w:r>
      <w:r>
        <w:rPr>
          <w:rFonts w:ascii="宋体" w:hAnsi="宋体" w:hint="eastAsia"/>
          <w:bCs/>
          <w:sz w:val="24"/>
        </w:rPr>
        <w:t>康复心理学的目的是解决康复对象的一系列心理障碍，帮助他们接受残疾现实并逐渐适应，挖掘他们的潜能，使他们重新回归社会。</w:t>
      </w:r>
      <w:r>
        <w:rPr>
          <w:rFonts w:ascii="宋体" w:hAnsi="宋体"/>
          <w:bCs/>
          <w:sz w:val="24"/>
        </w:rPr>
        <w:t xml:space="preserve">         </w:t>
      </w:r>
      <w:r>
        <w:rPr>
          <w:rFonts w:ascii="宋体" w:hAnsi="宋体" w:hint="eastAsia"/>
          <w:bCs/>
          <w:sz w:val="24"/>
        </w:rPr>
        <w:t>（</w:t>
      </w:r>
      <w:r>
        <w:rPr>
          <w:rFonts w:ascii="宋体" w:hAnsi="宋体"/>
          <w:bCs/>
          <w:sz w:val="24"/>
        </w:rPr>
        <w:t xml:space="preserve">  </w:t>
      </w:r>
      <w:r>
        <w:rPr>
          <w:rFonts w:ascii="宋体" w:hAnsi="宋体" w:hint="eastAsia"/>
          <w:bCs/>
          <w:sz w:val="24"/>
        </w:rPr>
        <w:t>）</w:t>
      </w:r>
    </w:p>
    <w:p w:rsidR="003717A0" w:rsidRDefault="003717A0">
      <w:pPr>
        <w:rPr>
          <w:rFonts w:ascii="宋体"/>
          <w:bCs/>
          <w:sz w:val="24"/>
        </w:rPr>
      </w:pPr>
      <w:r>
        <w:rPr>
          <w:rFonts w:ascii="宋体" w:hAnsi="宋体"/>
          <w:sz w:val="24"/>
        </w:rPr>
        <w:t>2</w:t>
      </w:r>
      <w:r>
        <w:rPr>
          <w:rFonts w:ascii="宋体" w:hAnsi="宋体" w:hint="eastAsia"/>
          <w:sz w:val="24"/>
        </w:rPr>
        <w:t>、</w:t>
      </w:r>
      <w:r>
        <w:rPr>
          <w:rFonts w:ascii="宋体" w:hAnsi="宋体" w:hint="eastAsia"/>
          <w:sz w:val="24"/>
          <w:lang w:val="en-GB"/>
        </w:rPr>
        <w:t>情感的分为道德感（</w:t>
      </w:r>
      <w:r>
        <w:rPr>
          <w:rFonts w:ascii="宋体" w:hAnsi="宋体"/>
          <w:sz w:val="24"/>
          <w:lang w:val="en-GB"/>
        </w:rPr>
        <w:t>moral feeling</w:t>
      </w:r>
      <w:r>
        <w:rPr>
          <w:rFonts w:ascii="宋体" w:hAnsi="宋体" w:hint="eastAsia"/>
          <w:sz w:val="24"/>
          <w:lang w:val="en-GB"/>
        </w:rPr>
        <w:t>）是在评价人的思想、意图和行为是否符合道德标准时产生的情感；理智感（</w:t>
      </w:r>
      <w:r>
        <w:rPr>
          <w:rFonts w:ascii="宋体" w:hAnsi="宋体"/>
          <w:sz w:val="24"/>
          <w:lang w:val="en-GB"/>
        </w:rPr>
        <w:t>rational feeling</w:t>
      </w:r>
      <w:r>
        <w:rPr>
          <w:rFonts w:ascii="宋体" w:hAnsi="宋体" w:hint="eastAsia"/>
          <w:sz w:val="24"/>
          <w:lang w:val="en-GB"/>
        </w:rPr>
        <w:t>）是在认识和评价事物过程中所产生的情感；美感（</w:t>
      </w:r>
      <w:r>
        <w:rPr>
          <w:rFonts w:ascii="宋体" w:hAnsi="宋体"/>
          <w:sz w:val="24"/>
          <w:lang w:val="en-GB"/>
        </w:rPr>
        <w:t>aesthetic feeling</w:t>
      </w:r>
      <w:r>
        <w:rPr>
          <w:rFonts w:ascii="宋体" w:hAnsi="宋体" w:hint="eastAsia"/>
          <w:sz w:val="24"/>
          <w:lang w:val="en-GB"/>
        </w:rPr>
        <w:t>）是根据一定的审美标准评价事物时所产生的情感。</w:t>
      </w:r>
      <w:r>
        <w:rPr>
          <w:rFonts w:ascii="宋体" w:hAnsi="宋体"/>
          <w:sz w:val="24"/>
          <w:lang w:val="en-GB"/>
        </w:rPr>
        <w:t xml:space="preserve">                                    </w:t>
      </w:r>
      <w:r>
        <w:rPr>
          <w:rFonts w:ascii="宋体" w:hAnsi="宋体" w:hint="eastAsia"/>
          <w:sz w:val="24"/>
          <w:lang w:val="en-GB"/>
        </w:rPr>
        <w:t>（</w:t>
      </w:r>
      <w:r>
        <w:rPr>
          <w:rFonts w:ascii="宋体" w:hAnsi="宋体"/>
          <w:sz w:val="24"/>
          <w:lang w:val="en-GB"/>
        </w:rPr>
        <w:t xml:space="preserve">  </w:t>
      </w:r>
      <w:r>
        <w:rPr>
          <w:rFonts w:ascii="宋体" w:hAnsi="宋体" w:hint="eastAsia"/>
          <w:sz w:val="24"/>
          <w:lang w:val="en-GB"/>
        </w:rPr>
        <w:t>）</w:t>
      </w:r>
    </w:p>
    <w:p w:rsidR="003717A0" w:rsidRDefault="003717A0">
      <w:pPr>
        <w:rPr>
          <w:rFonts w:ascii="宋体"/>
          <w:bCs/>
          <w:sz w:val="24"/>
        </w:rPr>
      </w:pPr>
      <w:r>
        <w:rPr>
          <w:rFonts w:ascii="宋体" w:hAnsi="宋体"/>
          <w:bCs/>
          <w:sz w:val="24"/>
        </w:rPr>
        <w:t>3</w:t>
      </w:r>
      <w:r>
        <w:rPr>
          <w:rFonts w:ascii="宋体" w:hAnsi="宋体" w:hint="eastAsia"/>
          <w:bCs/>
          <w:sz w:val="24"/>
        </w:rPr>
        <w:t>、心理干预是指在心理学理论指导下有计划、按步骤地对一定对象的心理活动、个性特征或行为问题施加影响，使之发生朝向预期目标变化的过程。（</w:t>
      </w:r>
      <w:r>
        <w:rPr>
          <w:rFonts w:ascii="宋体" w:hAnsi="宋体"/>
          <w:bCs/>
          <w:sz w:val="24"/>
        </w:rPr>
        <w:t xml:space="preserve">  </w:t>
      </w:r>
      <w:r>
        <w:rPr>
          <w:rFonts w:ascii="宋体" w:hAnsi="宋体" w:hint="eastAsia"/>
          <w:bCs/>
          <w:sz w:val="24"/>
        </w:rPr>
        <w:t>）</w:t>
      </w:r>
    </w:p>
    <w:p w:rsidR="003717A0" w:rsidRDefault="003717A0">
      <w:pPr>
        <w:rPr>
          <w:rFonts w:ascii="宋体"/>
          <w:sz w:val="24"/>
          <w:lang w:val="en-GB"/>
        </w:rPr>
      </w:pPr>
      <w:r>
        <w:rPr>
          <w:rFonts w:ascii="宋体" w:hAnsi="宋体"/>
          <w:sz w:val="24"/>
          <w:lang w:val="en-GB"/>
        </w:rPr>
        <w:t>4</w:t>
      </w:r>
      <w:r>
        <w:rPr>
          <w:rFonts w:ascii="宋体" w:hAnsi="宋体" w:hint="eastAsia"/>
          <w:sz w:val="24"/>
          <w:lang w:val="en-GB"/>
        </w:rPr>
        <w:t>、心境（</w:t>
      </w:r>
      <w:r>
        <w:rPr>
          <w:rFonts w:ascii="宋体" w:hAnsi="宋体"/>
          <w:sz w:val="24"/>
          <w:lang w:val="en-GB"/>
        </w:rPr>
        <w:t>mood</w:t>
      </w:r>
      <w:r>
        <w:rPr>
          <w:rFonts w:ascii="宋体" w:hAnsi="宋体" w:hint="eastAsia"/>
          <w:sz w:val="24"/>
          <w:lang w:val="en-GB"/>
        </w:rPr>
        <w:t>）是指微弱而持久、带有渲染性的情绪状态。激情（</w:t>
      </w:r>
      <w:r>
        <w:rPr>
          <w:rFonts w:ascii="宋体" w:hAnsi="宋体"/>
          <w:sz w:val="24"/>
          <w:lang w:val="en-GB"/>
        </w:rPr>
        <w:t>inten-</w:t>
      </w:r>
    </w:p>
    <w:p w:rsidR="003717A0" w:rsidRDefault="003717A0">
      <w:pPr>
        <w:rPr>
          <w:rFonts w:ascii="宋体"/>
          <w:b/>
          <w:bCs/>
          <w:u w:val="single"/>
        </w:rPr>
      </w:pPr>
      <w:r>
        <w:rPr>
          <w:rFonts w:ascii="宋体" w:hAnsi="宋体"/>
          <w:sz w:val="24"/>
          <w:lang w:val="en-GB"/>
        </w:rPr>
        <w:t>seemotion</w:t>
      </w:r>
      <w:r>
        <w:rPr>
          <w:rFonts w:ascii="宋体" w:hAnsi="宋体" w:hint="eastAsia"/>
          <w:sz w:val="24"/>
          <w:lang w:val="en-GB"/>
        </w:rPr>
        <w:t>）</w:t>
      </w:r>
      <w:r>
        <w:rPr>
          <w:rFonts w:ascii="宋体" w:hAnsi="宋体"/>
          <w:sz w:val="24"/>
          <w:lang w:val="en-GB"/>
        </w:rPr>
        <w:t xml:space="preserve"> </w:t>
      </w:r>
      <w:r>
        <w:rPr>
          <w:rFonts w:ascii="宋体" w:hAnsi="宋体" w:hint="eastAsia"/>
          <w:sz w:val="24"/>
          <w:lang w:val="en-GB"/>
        </w:rPr>
        <w:t>是一种迅猛爆发、激动短暂的情绪状态。</w:t>
      </w:r>
      <w:r>
        <w:rPr>
          <w:rFonts w:ascii="宋体" w:hAnsi="宋体"/>
          <w:sz w:val="24"/>
          <w:lang w:val="en-GB"/>
        </w:rPr>
        <w:t xml:space="preserve">          </w:t>
      </w:r>
      <w:r>
        <w:rPr>
          <w:rFonts w:ascii="宋体" w:hAnsi="宋体" w:hint="eastAsia"/>
          <w:sz w:val="24"/>
          <w:lang w:val="en-GB"/>
        </w:rPr>
        <w:t>（</w:t>
      </w:r>
      <w:r>
        <w:rPr>
          <w:rFonts w:ascii="宋体" w:hAnsi="宋体"/>
          <w:sz w:val="24"/>
          <w:lang w:val="en-GB"/>
        </w:rPr>
        <w:t xml:space="preserve">   </w:t>
      </w:r>
      <w:r>
        <w:rPr>
          <w:rFonts w:ascii="宋体" w:hAnsi="宋体" w:hint="eastAsia"/>
          <w:sz w:val="24"/>
          <w:lang w:val="en-GB"/>
        </w:rPr>
        <w:t>）</w:t>
      </w:r>
    </w:p>
    <w:p w:rsidR="003717A0" w:rsidRDefault="003717A0">
      <w:pPr>
        <w:rPr>
          <w:rFonts w:ascii="宋体"/>
          <w:sz w:val="24"/>
          <w:lang w:val="en-GB"/>
        </w:rPr>
      </w:pPr>
      <w:r>
        <w:rPr>
          <w:rFonts w:ascii="宋体" w:hAnsi="宋体"/>
          <w:sz w:val="24"/>
        </w:rPr>
        <w:t>5</w:t>
      </w:r>
      <w:r>
        <w:rPr>
          <w:rFonts w:ascii="宋体" w:hAnsi="宋体" w:hint="eastAsia"/>
          <w:sz w:val="24"/>
        </w:rPr>
        <w:t>、</w:t>
      </w:r>
      <w:r>
        <w:rPr>
          <w:rFonts w:ascii="宋体" w:hAnsi="宋体" w:hint="eastAsia"/>
          <w:bCs/>
          <w:sz w:val="24"/>
        </w:rPr>
        <w:t>注意是指个体的心理活动对一定对象的关注和转移。</w:t>
      </w:r>
      <w:r>
        <w:rPr>
          <w:rFonts w:ascii="宋体" w:hAnsi="宋体"/>
          <w:bCs/>
          <w:sz w:val="24"/>
        </w:rPr>
        <w:t xml:space="preserve">            </w:t>
      </w:r>
      <w:r>
        <w:rPr>
          <w:rFonts w:ascii="宋体" w:hAnsi="宋体" w:hint="eastAsia"/>
          <w:bCs/>
          <w:sz w:val="24"/>
        </w:rPr>
        <w:t>（</w:t>
      </w:r>
      <w:r>
        <w:rPr>
          <w:rFonts w:ascii="宋体" w:hAnsi="宋体"/>
          <w:bCs/>
          <w:sz w:val="24"/>
        </w:rPr>
        <w:t xml:space="preserve">  </w:t>
      </w:r>
      <w:r>
        <w:rPr>
          <w:rFonts w:ascii="宋体" w:hAnsi="宋体" w:hint="eastAsia"/>
          <w:bCs/>
          <w:sz w:val="24"/>
        </w:rPr>
        <w:t>）</w:t>
      </w:r>
      <w:r>
        <w:rPr>
          <w:rFonts w:ascii="宋体" w:hAnsi="宋体"/>
          <w:sz w:val="24"/>
          <w:lang w:val="en-GB"/>
        </w:rPr>
        <w:t xml:space="preserve">                                     </w:t>
      </w:r>
    </w:p>
    <w:p w:rsidR="003717A0" w:rsidRDefault="003717A0">
      <w:pPr>
        <w:rPr>
          <w:rFonts w:ascii="宋体"/>
          <w:sz w:val="24"/>
          <w:lang w:val="en-GB"/>
        </w:rPr>
      </w:pPr>
      <w:r>
        <w:rPr>
          <w:rFonts w:ascii="宋体" w:hAnsi="宋体"/>
          <w:sz w:val="24"/>
          <w:lang w:val="en-GB"/>
        </w:rPr>
        <w:t>6</w:t>
      </w:r>
      <w:r>
        <w:rPr>
          <w:rFonts w:ascii="宋体" w:hAnsi="宋体" w:hint="eastAsia"/>
          <w:sz w:val="24"/>
          <w:lang w:val="en-GB"/>
        </w:rPr>
        <w:t>、意志（</w:t>
      </w:r>
      <w:r>
        <w:rPr>
          <w:rFonts w:ascii="宋体" w:hAnsi="宋体"/>
          <w:sz w:val="24"/>
        </w:rPr>
        <w:t>will</w:t>
      </w:r>
      <w:r>
        <w:rPr>
          <w:rFonts w:ascii="宋体" w:hAnsi="宋体" w:hint="eastAsia"/>
          <w:sz w:val="24"/>
          <w:lang w:val="en-GB"/>
        </w:rPr>
        <w:t>）是指人们自觉地确定目标，有意识地支配、调节行为，通过克服困难以实现预定目标的心理过程。</w:t>
      </w:r>
      <w:r>
        <w:rPr>
          <w:rFonts w:ascii="宋体" w:hAnsi="宋体"/>
          <w:sz w:val="24"/>
          <w:lang w:val="en-GB"/>
        </w:rPr>
        <w:t xml:space="preserve">                           </w:t>
      </w:r>
      <w:r>
        <w:rPr>
          <w:rFonts w:ascii="宋体" w:hAnsi="宋体" w:hint="eastAsia"/>
          <w:sz w:val="24"/>
          <w:lang w:val="en-GB"/>
        </w:rPr>
        <w:t>（</w:t>
      </w:r>
      <w:r>
        <w:rPr>
          <w:rFonts w:ascii="宋体" w:hAnsi="宋体"/>
          <w:sz w:val="24"/>
          <w:lang w:val="en-GB"/>
        </w:rPr>
        <w:t xml:space="preserve">  </w:t>
      </w:r>
      <w:r>
        <w:rPr>
          <w:rFonts w:ascii="宋体" w:hAnsi="宋体" w:hint="eastAsia"/>
          <w:sz w:val="24"/>
          <w:lang w:val="en-GB"/>
        </w:rPr>
        <w:t>）</w:t>
      </w:r>
    </w:p>
    <w:p w:rsidR="003717A0" w:rsidRDefault="003717A0">
      <w:pPr>
        <w:rPr>
          <w:rFonts w:ascii="宋体"/>
          <w:sz w:val="24"/>
        </w:rPr>
      </w:pPr>
      <w:r>
        <w:rPr>
          <w:rFonts w:ascii="宋体" w:hAnsi="宋体" w:hint="eastAsia"/>
          <w:sz w:val="24"/>
        </w:rPr>
        <w:t>五、问答题（每题</w:t>
      </w:r>
      <w:r>
        <w:rPr>
          <w:rFonts w:ascii="宋体" w:hAnsi="宋体"/>
          <w:sz w:val="24"/>
        </w:rPr>
        <w:t>5</w:t>
      </w:r>
      <w:r>
        <w:rPr>
          <w:rFonts w:ascii="宋体" w:hAnsi="宋体" w:hint="eastAsia"/>
          <w:sz w:val="24"/>
        </w:rPr>
        <w:t>分共</w:t>
      </w:r>
      <w:r>
        <w:rPr>
          <w:rFonts w:ascii="宋体" w:hAnsi="宋体"/>
          <w:sz w:val="24"/>
        </w:rPr>
        <w:t>20</w:t>
      </w:r>
      <w:r>
        <w:rPr>
          <w:rFonts w:ascii="宋体" w:hAnsi="宋体" w:hint="eastAsia"/>
          <w:sz w:val="24"/>
        </w:rPr>
        <w:t>分）</w:t>
      </w:r>
    </w:p>
    <w:p w:rsidR="003717A0" w:rsidRDefault="003717A0">
      <w:pPr>
        <w:rPr>
          <w:rFonts w:ascii="宋体"/>
        </w:rPr>
      </w:pPr>
      <w:r>
        <w:rPr>
          <w:rFonts w:ascii="宋体" w:hAnsi="宋体"/>
          <w:sz w:val="24"/>
        </w:rPr>
        <w:t>1</w:t>
      </w:r>
      <w:r>
        <w:rPr>
          <w:rFonts w:ascii="宋体" w:hAnsi="宋体" w:hint="eastAsia"/>
          <w:sz w:val="24"/>
        </w:rPr>
        <w:t>、简述</w:t>
      </w:r>
      <w:r>
        <w:rPr>
          <w:rFonts w:ascii="宋体" w:hAnsi="宋体" w:hint="eastAsia"/>
          <w:bCs/>
          <w:sz w:val="24"/>
        </w:rPr>
        <w:t>健康保护行为和</w:t>
      </w:r>
      <w:r>
        <w:rPr>
          <w:rFonts w:ascii="宋体" w:hAnsi="宋体" w:hint="eastAsia"/>
          <w:bCs/>
          <w:sz w:val="24"/>
          <w:lang w:val="en-AU"/>
        </w:rPr>
        <w:t>损害健康行为。</w:t>
      </w:r>
    </w:p>
    <w:p w:rsidR="003717A0" w:rsidRDefault="003717A0">
      <w:pPr>
        <w:rPr>
          <w:rFonts w:ascii="宋体"/>
          <w:u w:val="single"/>
        </w:rPr>
      </w:pPr>
      <w:r>
        <w:rPr>
          <w:rFonts w:ascii="宋体" w:hAnsi="宋体"/>
        </w:rPr>
        <w:t>2</w:t>
      </w:r>
      <w:r>
        <w:rPr>
          <w:rFonts w:ascii="宋体" w:hAnsi="宋体" w:hint="eastAsia"/>
        </w:rPr>
        <w:t>、</w:t>
      </w:r>
      <w:r>
        <w:rPr>
          <w:rFonts w:ascii="宋体" w:hAnsi="宋体" w:hint="eastAsia"/>
          <w:sz w:val="24"/>
        </w:rPr>
        <w:t>试述</w:t>
      </w:r>
      <w:r>
        <w:rPr>
          <w:rFonts w:ascii="宋体" w:hAnsi="宋体" w:hint="eastAsia"/>
          <w:bCs/>
          <w:sz w:val="24"/>
        </w:rPr>
        <w:t>医学心理学对疾病与健康的思考。</w:t>
      </w:r>
    </w:p>
    <w:p w:rsidR="003717A0" w:rsidRDefault="003717A0">
      <w:pPr>
        <w:rPr>
          <w:rFonts w:ascii="宋体"/>
          <w:sz w:val="24"/>
          <w:u w:val="single"/>
        </w:rPr>
      </w:pPr>
      <w:r>
        <w:rPr>
          <w:rFonts w:ascii="宋体" w:hAnsi="宋体"/>
          <w:sz w:val="24"/>
        </w:rPr>
        <w:t>3</w:t>
      </w:r>
      <w:r>
        <w:rPr>
          <w:rFonts w:ascii="宋体" w:hAnsi="宋体" w:hint="eastAsia"/>
          <w:sz w:val="24"/>
        </w:rPr>
        <w:t>、什么是应激、应激源？</w:t>
      </w:r>
    </w:p>
    <w:p w:rsidR="003717A0" w:rsidRDefault="003717A0">
      <w:pPr>
        <w:autoSpaceDE w:val="0"/>
        <w:autoSpaceDN w:val="0"/>
        <w:adjustRightInd w:val="0"/>
        <w:snapToGrid w:val="0"/>
        <w:jc w:val="left"/>
        <w:rPr>
          <w:rFonts w:ascii="宋体"/>
          <w:b/>
          <w:kern w:val="0"/>
          <w:sz w:val="24"/>
          <w:szCs w:val="24"/>
        </w:rPr>
      </w:pPr>
      <w:r>
        <w:rPr>
          <w:rFonts w:ascii="宋体" w:hAnsi="宋体"/>
          <w:bCs/>
          <w:sz w:val="24"/>
        </w:rPr>
        <w:t>4</w:t>
      </w:r>
      <w:r>
        <w:rPr>
          <w:rFonts w:ascii="宋体" w:hAnsi="宋体" w:hint="eastAsia"/>
          <w:bCs/>
          <w:sz w:val="24"/>
        </w:rPr>
        <w:t>、试述突发损伤或疾病后有可能永久功能障碍患者的心理适应过程</w:t>
      </w:r>
      <w:r>
        <w:rPr>
          <w:rFonts w:ascii="宋体" w:hAnsi="宋体" w:hint="eastAsia"/>
          <w:sz w:val="24"/>
        </w:rPr>
        <w:t>。</w:t>
      </w:r>
    </w:p>
    <w:p w:rsidR="003717A0" w:rsidRDefault="003717A0">
      <w:pPr>
        <w:widowControl/>
        <w:adjustRightInd w:val="0"/>
        <w:snapToGrid w:val="0"/>
        <w:spacing w:line="360" w:lineRule="auto"/>
        <w:rPr>
          <w:rFonts w:ascii="Times New Roman" w:eastAsia="黑体" w:hAnsi="Times New Roman"/>
          <w:kern w:val="0"/>
          <w:sz w:val="34"/>
          <w:szCs w:val="34"/>
        </w:rPr>
      </w:pPr>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应用医学心理学教材在授课中要结合康复治疗的理论与实践，教师在平时教学过程中要注意收集学生的反馈意见，通过分析教学方案、教学过程中存在的问题，为教学工作提供反馈信息，以改进、完善和提高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32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32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327"/>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32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32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采用多种教学方式（如启发式教学、讨论式教学、多媒体示范教学等），注重培养、提高学生发现、分析和解决问题的能力，以便让学生能体会和领略学科研究的思路和方法。</w:t>
            </w:r>
          </w:p>
          <w:p w:rsidR="003717A0" w:rsidRDefault="003717A0">
            <w:pPr>
              <w:numPr>
                <w:ilvl w:val="0"/>
                <w:numId w:val="32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328"/>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sz w:val="22"/>
              </w:rPr>
            </w:pPr>
            <w:r>
              <w:rPr>
                <w:rFonts w:hint="eastAsia"/>
                <w:sz w:val="22"/>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32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32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同时还鼓励学生参加大学生心理卫生协会，培养和提高他们学习和应用心理学知识的兴趣和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79" w:name="_Toc469313001"/>
      <w:bookmarkStart w:id="80" w:name="_Toc471830713"/>
      <w:r w:rsidRPr="00F5156D">
        <w:rPr>
          <w:rFonts w:hint="eastAsia"/>
          <w:b/>
        </w:rPr>
        <w:lastRenderedPageBreak/>
        <w:t>《康复医学概论》课程质量标准</w:t>
      </w:r>
      <w:bookmarkEnd w:id="79"/>
      <w:bookmarkEnd w:id="80"/>
    </w:p>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rsidP="00EA5BFD">
            <w:pPr>
              <w:shd w:val="clear" w:color="auto" w:fill="FFFFFF"/>
              <w:adjustRightInd w:val="0"/>
              <w:snapToGrid w:val="0"/>
              <w:spacing w:line="500" w:lineRule="exact"/>
              <w:jc w:val="center"/>
              <w:rPr>
                <w:sz w:val="22"/>
              </w:rPr>
            </w:pPr>
            <w:r>
              <w:rPr>
                <w:rFonts w:hint="eastAsia"/>
                <w:sz w:val="22"/>
              </w:rPr>
              <w:t>康复医学概论</w:t>
            </w:r>
          </w:p>
        </w:tc>
      </w:tr>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shd w:val="clear" w:color="auto" w:fill="FFFFFF"/>
              <w:adjustRightInd w:val="0"/>
              <w:snapToGrid w:val="0"/>
              <w:spacing w:line="500" w:lineRule="exact"/>
              <w:jc w:val="center"/>
              <w:rPr>
                <w:sz w:val="22"/>
              </w:rPr>
            </w:pPr>
            <w:r>
              <w:rPr>
                <w:sz w:val="22"/>
              </w:rPr>
              <w:t>Introduction of rehabilitation medicine</w:t>
            </w:r>
          </w:p>
        </w:tc>
      </w:tr>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shd w:val="clear" w:color="auto" w:fill="FFFFFF"/>
              <w:adjustRightInd w:val="0"/>
              <w:snapToGrid w:val="0"/>
              <w:spacing w:line="500" w:lineRule="exact"/>
              <w:jc w:val="center"/>
              <w:rPr>
                <w:sz w:val="22"/>
              </w:rPr>
            </w:pPr>
            <w:r>
              <w:rPr>
                <w:sz w:val="22"/>
              </w:rPr>
              <w:t>170586</w:t>
            </w:r>
          </w:p>
        </w:tc>
        <w:tc>
          <w:tcPr>
            <w:tcW w:w="1902" w:type="dxa"/>
            <w:gridSpan w:val="3"/>
          </w:tcPr>
          <w:p w:rsidR="003717A0" w:rsidRDefault="003717A0">
            <w:pPr>
              <w:shd w:val="clear" w:color="auto" w:fill="FFFFFF"/>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shd w:val="clear" w:color="auto" w:fill="FFFFFF"/>
              <w:adjustRightInd w:val="0"/>
              <w:snapToGrid w:val="0"/>
              <w:spacing w:line="500" w:lineRule="exact"/>
              <w:jc w:val="center"/>
              <w:rPr>
                <w:sz w:val="22"/>
              </w:rPr>
            </w:pPr>
            <w:r>
              <w:rPr>
                <w:rFonts w:hint="eastAsia"/>
                <w:sz w:val="22"/>
              </w:rPr>
              <w:t>三</w:t>
            </w:r>
          </w:p>
        </w:tc>
      </w:tr>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shd w:val="clear" w:color="auto" w:fill="FFFFFF"/>
              <w:adjustRightInd w:val="0"/>
              <w:snapToGrid w:val="0"/>
              <w:spacing w:line="500" w:lineRule="exact"/>
              <w:jc w:val="center"/>
              <w:rPr>
                <w:sz w:val="22"/>
              </w:rPr>
            </w:pPr>
            <w:r>
              <w:rPr>
                <w:sz w:val="22"/>
              </w:rPr>
              <w:t>36</w:t>
            </w:r>
          </w:p>
        </w:tc>
        <w:tc>
          <w:tcPr>
            <w:tcW w:w="1902" w:type="dxa"/>
            <w:gridSpan w:val="3"/>
          </w:tcPr>
          <w:p w:rsidR="003717A0" w:rsidRDefault="003717A0">
            <w:pPr>
              <w:shd w:val="clear" w:color="auto" w:fill="FFFFFF"/>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shd w:val="clear" w:color="auto" w:fill="FFFFFF"/>
              <w:adjustRightInd w:val="0"/>
              <w:snapToGrid w:val="0"/>
              <w:spacing w:line="500" w:lineRule="exact"/>
              <w:jc w:val="center"/>
              <w:rPr>
                <w:sz w:val="22"/>
              </w:rPr>
            </w:pPr>
            <w:r>
              <w:rPr>
                <w:sz w:val="22"/>
              </w:rPr>
              <w:t>2</w:t>
            </w:r>
          </w:p>
        </w:tc>
      </w:tr>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shd w:val="clear" w:color="auto" w:fill="FFFFFF"/>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shd w:val="clear" w:color="auto" w:fill="FFFFFF"/>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shd w:val="clear" w:color="auto" w:fill="FFFFFF"/>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shd w:val="clear" w:color="auto" w:fill="FFFFFF"/>
              <w:adjustRightInd w:val="0"/>
              <w:snapToGrid w:val="0"/>
              <w:spacing w:line="500" w:lineRule="exact"/>
              <w:jc w:val="center"/>
              <w:rPr>
                <w:sz w:val="22"/>
              </w:rPr>
            </w:pPr>
            <w:r>
              <w:rPr>
                <w:rFonts w:hint="eastAsia"/>
                <w:sz w:val="22"/>
              </w:rPr>
              <w:t>康复医学系</w:t>
            </w:r>
          </w:p>
        </w:tc>
      </w:tr>
      <w:tr w:rsidR="003717A0">
        <w:tc>
          <w:tcPr>
            <w:tcW w:w="1668" w:type="dxa"/>
          </w:tcPr>
          <w:p w:rsidR="003717A0" w:rsidRDefault="003717A0">
            <w:pPr>
              <w:shd w:val="clear" w:color="auto" w:fill="FFFFFF"/>
              <w:adjustRightInd w:val="0"/>
              <w:snapToGrid w:val="0"/>
              <w:spacing w:line="500" w:lineRule="exact"/>
              <w:rPr>
                <w:sz w:val="22"/>
              </w:rPr>
            </w:pPr>
            <w:r>
              <w:rPr>
                <w:rFonts w:hint="eastAsia"/>
                <w:sz w:val="22"/>
              </w:rPr>
              <w:t>教材名称</w:t>
            </w:r>
          </w:p>
        </w:tc>
        <w:tc>
          <w:tcPr>
            <w:tcW w:w="7618" w:type="dxa"/>
            <w:gridSpan w:val="9"/>
          </w:tcPr>
          <w:p w:rsidR="003717A0" w:rsidRDefault="003717A0">
            <w:pPr>
              <w:shd w:val="clear" w:color="auto" w:fill="FFFFFF"/>
              <w:adjustRightInd w:val="0"/>
              <w:snapToGrid w:val="0"/>
              <w:spacing w:line="500" w:lineRule="exact"/>
              <w:ind w:firstLineChars="950" w:firstLine="2090"/>
              <w:rPr>
                <w:sz w:val="22"/>
              </w:rPr>
            </w:pPr>
            <w:r>
              <w:rPr>
                <w:rFonts w:hint="eastAsia"/>
                <w:sz w:val="22"/>
              </w:rPr>
              <w:t>康复医学概论</w:t>
            </w:r>
          </w:p>
        </w:tc>
      </w:tr>
      <w:tr w:rsidR="003717A0">
        <w:tc>
          <w:tcPr>
            <w:tcW w:w="1668" w:type="dxa"/>
          </w:tcPr>
          <w:p w:rsidR="003717A0" w:rsidRDefault="003717A0">
            <w:pPr>
              <w:shd w:val="clear" w:color="auto" w:fill="FFFFFF"/>
              <w:adjustRightInd w:val="0"/>
              <w:snapToGrid w:val="0"/>
              <w:spacing w:line="500" w:lineRule="exact"/>
              <w:rPr>
                <w:sz w:val="22"/>
              </w:rPr>
            </w:pPr>
            <w:r>
              <w:rPr>
                <w:rFonts w:hint="eastAsia"/>
                <w:sz w:val="22"/>
              </w:rPr>
              <w:t>教材出版信息</w:t>
            </w:r>
          </w:p>
        </w:tc>
        <w:tc>
          <w:tcPr>
            <w:tcW w:w="7618" w:type="dxa"/>
            <w:gridSpan w:val="9"/>
          </w:tcPr>
          <w:p w:rsidR="003717A0" w:rsidRDefault="003717A0">
            <w:pPr>
              <w:shd w:val="clear" w:color="auto" w:fill="FFFFFF"/>
              <w:adjustRightInd w:val="0"/>
              <w:snapToGrid w:val="0"/>
              <w:spacing w:line="500" w:lineRule="exact"/>
              <w:rPr>
                <w:sz w:val="22"/>
              </w:rPr>
            </w:pPr>
            <w:r>
              <w:rPr>
                <w:rFonts w:hint="eastAsia"/>
                <w:sz w:val="22"/>
              </w:rPr>
              <w:t>人民卫生出版社</w:t>
            </w:r>
            <w:r>
              <w:rPr>
                <w:sz w:val="22"/>
              </w:rPr>
              <w:t xml:space="preserve"> 2013</w:t>
            </w:r>
            <w:r>
              <w:rPr>
                <w:rFonts w:hint="eastAsia"/>
                <w:sz w:val="22"/>
              </w:rPr>
              <w:t>年</w:t>
            </w:r>
            <w:r>
              <w:rPr>
                <w:sz w:val="22"/>
              </w:rPr>
              <w:t>8</w:t>
            </w:r>
            <w:r>
              <w:rPr>
                <w:rFonts w:hint="eastAsia"/>
                <w:sz w:val="22"/>
              </w:rPr>
              <w:t>月第二版</w:t>
            </w:r>
            <w:r>
              <w:rPr>
                <w:sz w:val="22"/>
              </w:rPr>
              <w:t xml:space="preserve"> </w:t>
            </w:r>
            <w:r>
              <w:rPr>
                <w:rFonts w:hint="eastAsia"/>
                <w:sz w:val="22"/>
              </w:rPr>
              <w:t>书号</w:t>
            </w:r>
            <w:r>
              <w:rPr>
                <w:sz w:val="22"/>
              </w:rPr>
              <w:t>ISBN978-7-117-17151-9/R</w:t>
            </w:r>
            <w:r>
              <w:rPr>
                <w:rFonts w:hint="eastAsia"/>
                <w:sz w:val="22"/>
              </w:rPr>
              <w:t>·</w:t>
            </w:r>
            <w:r>
              <w:rPr>
                <w:sz w:val="22"/>
              </w:rPr>
              <w:t>17152</w:t>
            </w:r>
          </w:p>
        </w:tc>
      </w:tr>
      <w:tr w:rsidR="003717A0">
        <w:tc>
          <w:tcPr>
            <w:tcW w:w="1668" w:type="dxa"/>
          </w:tcPr>
          <w:p w:rsidR="003717A0" w:rsidRDefault="003717A0">
            <w:pPr>
              <w:shd w:val="clear" w:color="auto" w:fill="FFFFFF"/>
              <w:adjustRightInd w:val="0"/>
              <w:snapToGrid w:val="0"/>
              <w:spacing w:line="500" w:lineRule="exact"/>
              <w:rPr>
                <w:sz w:val="22"/>
              </w:rPr>
            </w:pPr>
            <w:r>
              <w:rPr>
                <w:rFonts w:hint="eastAsia"/>
                <w:sz w:val="22"/>
              </w:rPr>
              <w:t>教材性质</w:t>
            </w:r>
          </w:p>
        </w:tc>
        <w:tc>
          <w:tcPr>
            <w:tcW w:w="7618" w:type="dxa"/>
            <w:gridSpan w:val="9"/>
          </w:tcPr>
          <w:p w:rsidR="003717A0" w:rsidRDefault="003717A0">
            <w:pPr>
              <w:shd w:val="clear" w:color="auto" w:fill="FFFFFF"/>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shd w:val="clear" w:color="auto" w:fill="FFFFFF"/>
              <w:adjustRightInd w:val="0"/>
              <w:snapToGrid w:val="0"/>
              <w:spacing w:line="500" w:lineRule="exact"/>
              <w:rPr>
                <w:sz w:val="22"/>
              </w:rPr>
            </w:pPr>
            <w:r>
              <w:rPr>
                <w:rFonts w:hint="eastAsia"/>
                <w:sz w:val="22"/>
              </w:rPr>
              <w:t>考核方式</w:t>
            </w:r>
          </w:p>
        </w:tc>
        <w:tc>
          <w:tcPr>
            <w:tcW w:w="7618" w:type="dxa"/>
            <w:gridSpan w:val="9"/>
          </w:tcPr>
          <w:p w:rsidR="003717A0" w:rsidRDefault="003717A0">
            <w:pPr>
              <w:shd w:val="clear" w:color="auto" w:fill="FFFFFF"/>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shd w:val="clear" w:color="auto" w:fill="FFFFFF"/>
              <w:adjustRightInd w:val="0"/>
              <w:snapToGrid w:val="0"/>
              <w:spacing w:line="500" w:lineRule="exact"/>
              <w:rPr>
                <w:sz w:val="22"/>
              </w:rPr>
            </w:pPr>
            <w:r>
              <w:rPr>
                <w:rFonts w:hint="eastAsia"/>
                <w:sz w:val="22"/>
              </w:rPr>
              <w:t>课程成绩</w:t>
            </w:r>
          </w:p>
        </w:tc>
        <w:tc>
          <w:tcPr>
            <w:tcW w:w="3809" w:type="dxa"/>
            <w:gridSpan w:val="4"/>
          </w:tcPr>
          <w:p w:rsidR="003717A0" w:rsidRDefault="003717A0">
            <w:pPr>
              <w:shd w:val="clear" w:color="auto" w:fill="FFFFFF"/>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shd w:val="clear" w:color="auto" w:fill="FFFFFF"/>
              <w:adjustRightInd w:val="0"/>
              <w:snapToGrid w:val="0"/>
              <w:spacing w:line="500" w:lineRule="exact"/>
              <w:rPr>
                <w:sz w:val="22"/>
              </w:rPr>
            </w:pPr>
            <w:r>
              <w:rPr>
                <w:rFonts w:hint="eastAsia"/>
                <w:sz w:val="22"/>
              </w:rPr>
              <w:t>期末成绩</w:t>
            </w:r>
            <w:r>
              <w:rPr>
                <w:sz w:val="22"/>
              </w:rPr>
              <w:t xml:space="preserve">  100%</w:t>
            </w:r>
          </w:p>
        </w:tc>
      </w:tr>
      <w:tr w:rsidR="003717A0">
        <w:tc>
          <w:tcPr>
            <w:tcW w:w="9286" w:type="dxa"/>
            <w:gridSpan w:val="10"/>
          </w:tcPr>
          <w:p w:rsidR="003717A0" w:rsidRDefault="003717A0">
            <w:pPr>
              <w:shd w:val="clear" w:color="auto" w:fill="FFFFFF"/>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shd w:val="clear" w:color="auto" w:fill="FFFFFF"/>
              <w:adjustRightInd w:val="0"/>
              <w:snapToGrid w:val="0"/>
              <w:spacing w:line="500" w:lineRule="exact"/>
              <w:jc w:val="center"/>
              <w:rPr>
                <w:sz w:val="22"/>
              </w:rPr>
            </w:pPr>
            <w:r>
              <w:rPr>
                <w:rFonts w:hint="eastAsia"/>
                <w:sz w:val="22"/>
              </w:rPr>
              <w:t>姓名</w:t>
            </w:r>
          </w:p>
        </w:tc>
        <w:tc>
          <w:tcPr>
            <w:tcW w:w="1523" w:type="dxa"/>
          </w:tcPr>
          <w:p w:rsidR="003717A0" w:rsidRDefault="003717A0">
            <w:pPr>
              <w:shd w:val="clear" w:color="auto" w:fill="FFFFFF"/>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shd w:val="clear" w:color="auto" w:fill="FFFFFF"/>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shd w:val="clear" w:color="auto" w:fill="FFFFFF"/>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shd w:val="clear" w:color="auto" w:fill="FFFFFF"/>
              <w:adjustRightInd w:val="0"/>
              <w:snapToGrid w:val="0"/>
              <w:spacing w:line="500" w:lineRule="exact"/>
              <w:jc w:val="center"/>
              <w:rPr>
                <w:sz w:val="22"/>
              </w:rPr>
            </w:pPr>
            <w:r>
              <w:rPr>
                <w:rFonts w:hint="eastAsia"/>
                <w:sz w:val="22"/>
              </w:rPr>
              <w:t>职称</w:t>
            </w:r>
          </w:p>
        </w:tc>
        <w:tc>
          <w:tcPr>
            <w:tcW w:w="1524" w:type="dxa"/>
          </w:tcPr>
          <w:p w:rsidR="003717A0" w:rsidRDefault="003717A0">
            <w:pPr>
              <w:shd w:val="clear" w:color="auto" w:fill="FFFFFF"/>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shd w:val="clear" w:color="auto" w:fill="FFFFFF"/>
              <w:adjustRightInd w:val="0"/>
              <w:snapToGrid w:val="0"/>
              <w:spacing w:line="500" w:lineRule="exact"/>
              <w:ind w:firstLineChars="150" w:firstLine="330"/>
              <w:rPr>
                <w:sz w:val="22"/>
              </w:rPr>
            </w:pPr>
            <w:r>
              <w:rPr>
                <w:rFonts w:hint="eastAsia"/>
                <w:sz w:val="22"/>
              </w:rPr>
              <w:t>沈光宇</w:t>
            </w:r>
          </w:p>
        </w:tc>
        <w:tc>
          <w:tcPr>
            <w:tcW w:w="1523"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男</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教授</w:t>
            </w:r>
          </w:p>
        </w:tc>
        <w:tc>
          <w:tcPr>
            <w:tcW w:w="1524" w:type="dxa"/>
          </w:tcPr>
          <w:p w:rsidR="003717A0" w:rsidRDefault="003717A0">
            <w:pPr>
              <w:shd w:val="clear" w:color="auto" w:fill="FFFFFF"/>
              <w:adjustRightInd w:val="0"/>
              <w:snapToGrid w:val="0"/>
              <w:spacing w:line="500" w:lineRule="exact"/>
              <w:rPr>
                <w:sz w:val="22"/>
              </w:rPr>
            </w:pPr>
            <w:r>
              <w:rPr>
                <w:sz w:val="22"/>
              </w:rPr>
              <w:t xml:space="preserve">  1985.6</w:t>
            </w:r>
          </w:p>
        </w:tc>
      </w:tr>
      <w:tr w:rsidR="003717A0">
        <w:tc>
          <w:tcPr>
            <w:tcW w:w="1668"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倪</w:t>
            </w:r>
            <w:r>
              <w:rPr>
                <w:sz w:val="22"/>
              </w:rPr>
              <w:t xml:space="preserve">  </w:t>
            </w:r>
            <w:r>
              <w:rPr>
                <w:rFonts w:hint="eastAsia"/>
                <w:sz w:val="22"/>
              </w:rPr>
              <w:t>隽</w:t>
            </w:r>
          </w:p>
        </w:tc>
        <w:tc>
          <w:tcPr>
            <w:tcW w:w="1523"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博士</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副教授</w:t>
            </w:r>
          </w:p>
        </w:tc>
        <w:tc>
          <w:tcPr>
            <w:tcW w:w="1524" w:type="dxa"/>
          </w:tcPr>
          <w:p w:rsidR="003717A0" w:rsidRDefault="003717A0">
            <w:pPr>
              <w:shd w:val="clear" w:color="auto" w:fill="FFFFFF"/>
              <w:adjustRightInd w:val="0"/>
              <w:snapToGrid w:val="0"/>
              <w:spacing w:line="500" w:lineRule="exact"/>
              <w:rPr>
                <w:sz w:val="22"/>
              </w:rPr>
            </w:pPr>
            <w:r>
              <w:rPr>
                <w:sz w:val="22"/>
              </w:rPr>
              <w:t xml:space="preserve">  2007.8</w:t>
            </w:r>
          </w:p>
        </w:tc>
      </w:tr>
      <w:tr w:rsidR="003717A0">
        <w:tc>
          <w:tcPr>
            <w:tcW w:w="1668"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朱振杰</w:t>
            </w:r>
          </w:p>
        </w:tc>
        <w:tc>
          <w:tcPr>
            <w:tcW w:w="1523"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男</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shd w:val="clear" w:color="auto" w:fill="FFFFFF"/>
              <w:adjustRightInd w:val="0"/>
              <w:snapToGrid w:val="0"/>
              <w:spacing w:line="500" w:lineRule="exact"/>
              <w:rPr>
                <w:sz w:val="22"/>
              </w:rPr>
            </w:pPr>
            <w:r>
              <w:rPr>
                <w:sz w:val="22"/>
              </w:rPr>
              <w:t xml:space="preserve">  2008.8</w:t>
            </w:r>
          </w:p>
        </w:tc>
      </w:tr>
      <w:tr w:rsidR="003717A0">
        <w:tc>
          <w:tcPr>
            <w:tcW w:w="1668"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蔡俊燕</w:t>
            </w:r>
          </w:p>
        </w:tc>
        <w:tc>
          <w:tcPr>
            <w:tcW w:w="1523"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shd w:val="clear" w:color="auto" w:fill="FFFFFF"/>
              <w:ind w:firstLineChars="150" w:firstLine="330"/>
            </w:pPr>
            <w:r>
              <w:rPr>
                <w:rFonts w:hint="eastAsia"/>
                <w:sz w:val="22"/>
              </w:rPr>
              <w:t>讲师</w:t>
            </w:r>
          </w:p>
        </w:tc>
        <w:tc>
          <w:tcPr>
            <w:tcW w:w="1524" w:type="dxa"/>
          </w:tcPr>
          <w:p w:rsidR="003717A0" w:rsidRDefault="003717A0">
            <w:pPr>
              <w:shd w:val="clear" w:color="auto" w:fill="FFFFFF"/>
              <w:adjustRightInd w:val="0"/>
              <w:snapToGrid w:val="0"/>
              <w:spacing w:line="500" w:lineRule="exact"/>
              <w:rPr>
                <w:sz w:val="22"/>
              </w:rPr>
            </w:pPr>
            <w:r>
              <w:rPr>
                <w:sz w:val="22"/>
              </w:rPr>
              <w:t xml:space="preserve">  2005.8</w:t>
            </w:r>
          </w:p>
        </w:tc>
      </w:tr>
      <w:tr w:rsidR="003717A0">
        <w:tc>
          <w:tcPr>
            <w:tcW w:w="1668"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胡玉明</w:t>
            </w:r>
          </w:p>
        </w:tc>
        <w:tc>
          <w:tcPr>
            <w:tcW w:w="1523" w:type="dxa"/>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shd w:val="clear" w:color="auto" w:fill="FFFFFF"/>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shd w:val="clear" w:color="auto" w:fill="FFFFFF"/>
              <w:ind w:firstLineChars="150" w:firstLine="330"/>
            </w:pPr>
            <w:r>
              <w:rPr>
                <w:rFonts w:hint="eastAsia"/>
                <w:sz w:val="22"/>
              </w:rPr>
              <w:t>讲师</w:t>
            </w:r>
          </w:p>
        </w:tc>
        <w:tc>
          <w:tcPr>
            <w:tcW w:w="1524" w:type="dxa"/>
          </w:tcPr>
          <w:p w:rsidR="003717A0" w:rsidRDefault="003717A0">
            <w:pPr>
              <w:shd w:val="clear" w:color="auto" w:fill="FFFFFF"/>
              <w:adjustRightInd w:val="0"/>
              <w:snapToGrid w:val="0"/>
              <w:spacing w:line="500" w:lineRule="exact"/>
              <w:rPr>
                <w:sz w:val="22"/>
              </w:rPr>
            </w:pPr>
            <w:r>
              <w:rPr>
                <w:sz w:val="22"/>
              </w:rPr>
              <w:t xml:space="preserve">  2005.8</w:t>
            </w:r>
          </w:p>
        </w:tc>
      </w:tr>
      <w:tr w:rsidR="003717A0">
        <w:tc>
          <w:tcPr>
            <w:tcW w:w="9286" w:type="dxa"/>
            <w:gridSpan w:val="10"/>
          </w:tcPr>
          <w:p w:rsidR="003717A0" w:rsidRDefault="003717A0">
            <w:pPr>
              <w:shd w:val="clear" w:color="auto" w:fill="FFFFFF"/>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shd w:val="clear" w:color="auto" w:fill="FFFFFF"/>
              <w:adjustRightInd w:val="0"/>
              <w:snapToGrid w:val="0"/>
              <w:spacing w:line="500" w:lineRule="exact"/>
              <w:rPr>
                <w:rFonts w:ascii="宋体"/>
                <w:szCs w:val="21"/>
              </w:rPr>
            </w:pPr>
            <w:r>
              <w:rPr>
                <w:sz w:val="22"/>
              </w:rPr>
              <w:t xml:space="preserve">    </w:t>
            </w:r>
            <w:r>
              <w:rPr>
                <w:rFonts w:ascii="宋体" w:hAnsi="宋体" w:hint="eastAsia"/>
                <w:szCs w:val="21"/>
              </w:rPr>
              <w:t>康复治疗是康复医学学科的重要组成部分，所以，康复医学概论是康复治疗学专业的专业基础课程，给以学生康复医学的基本概念，显示康复医学的基本框架。全书分为</w:t>
            </w:r>
            <w:r>
              <w:rPr>
                <w:rFonts w:ascii="宋体" w:hAnsi="宋体"/>
                <w:szCs w:val="21"/>
              </w:rPr>
              <w:t>8</w:t>
            </w:r>
            <w:r>
              <w:rPr>
                <w:rFonts w:ascii="宋体" w:hAnsi="宋体" w:hint="eastAsia"/>
                <w:szCs w:val="21"/>
              </w:rPr>
              <w:t>个章节，分别阐述了康复医学的概念、内容、地位、作用、流程以及最新康复概念新进展。特别强调了残疾概念、功能障碍，以及康复医学与临床医学的关系，还介绍了康复医学相关的医学伦理、科学研究、康复医学科设置和管理规范等。以理论授课和实地观摩见习为主要教学方法。</w:t>
            </w:r>
          </w:p>
        </w:tc>
      </w:tr>
    </w:tbl>
    <w:p w:rsidR="003717A0" w:rsidRPr="00F5156D" w:rsidRDefault="003717A0" w:rsidP="005E20B5">
      <w:pPr>
        <w:adjustRightInd w:val="0"/>
        <w:snapToGrid w:val="0"/>
        <w:spacing w:beforeLines="50" w:afterLines="50" w:line="440" w:lineRule="exact"/>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shd w:val="clear" w:color="auto" w:fill="FFFFFF"/>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适应对象：本科层次，康复治疗专业</w:t>
      </w:r>
    </w:p>
    <w:p w:rsidR="003717A0" w:rsidRDefault="003717A0">
      <w:pPr>
        <w:shd w:val="clear" w:color="auto" w:fill="FFFFFF"/>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170586</w:t>
      </w:r>
    </w:p>
    <w:p w:rsidR="003717A0" w:rsidRDefault="003717A0">
      <w:pPr>
        <w:shd w:val="clear" w:color="auto" w:fill="FFFFFF"/>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36  </w:t>
      </w:r>
      <w:r>
        <w:rPr>
          <w:rFonts w:ascii="Times New Roman" w:hAnsi="Times New Roman" w:hint="eastAsia"/>
          <w:kern w:val="0"/>
          <w:sz w:val="22"/>
        </w:rPr>
        <w:t>（</w:t>
      </w:r>
      <w:r>
        <w:rPr>
          <w:rFonts w:ascii="Times New Roman" w:hAnsi="Times New Roman"/>
          <w:kern w:val="0"/>
          <w:sz w:val="22"/>
        </w:rPr>
        <w:t>24/12</w:t>
      </w:r>
      <w:r>
        <w:rPr>
          <w:rFonts w:ascii="Times New Roman" w:hAnsi="Times New Roman" w:hint="eastAsia"/>
          <w:kern w:val="0"/>
          <w:sz w:val="22"/>
        </w:rPr>
        <w:t>）</w:t>
      </w:r>
    </w:p>
    <w:p w:rsidR="003717A0" w:rsidRDefault="003717A0">
      <w:pPr>
        <w:shd w:val="clear" w:color="auto" w:fill="FFFFFF"/>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2</w:t>
      </w:r>
    </w:p>
    <w:p w:rsidR="003717A0" w:rsidRDefault="003717A0">
      <w:pPr>
        <w:shd w:val="clear" w:color="auto" w:fill="FFFFFF"/>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w:t>
      </w:r>
      <w:r>
        <w:rPr>
          <w:rFonts w:ascii="Times New Roman" w:hAnsi="Times New Roman"/>
          <w:kern w:val="0"/>
          <w:szCs w:val="21"/>
        </w:rPr>
        <w:t xml:space="preserve"> </w:t>
      </w:r>
      <w:r>
        <w:rPr>
          <w:rFonts w:ascii="Times New Roman" w:hAnsi="Times New Roman" w:hint="eastAsia"/>
          <w:kern w:val="0"/>
          <w:szCs w:val="21"/>
        </w:rPr>
        <w:t>医学基础课程</w:t>
      </w:r>
    </w:p>
    <w:p w:rsidR="003717A0" w:rsidRDefault="003717A0">
      <w:pPr>
        <w:shd w:val="clear" w:color="auto" w:fill="FFFFFF"/>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后续课程：康复评定、康复治疗技术各论、临床康复各论</w:t>
      </w:r>
      <w:r>
        <w:rPr>
          <w:rFonts w:ascii="Times New Roman" w:hAnsi="Times New Roman"/>
          <w:kern w:val="0"/>
          <w:sz w:val="22"/>
        </w:rPr>
        <w:t xml:space="preserve"> </w:t>
      </w: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pStyle w:val="reader-word-layerreader-word-s1-16"/>
        <w:shd w:val="clear" w:color="auto" w:fill="FFFFFF"/>
        <w:spacing w:line="360" w:lineRule="auto"/>
        <w:ind w:firstLineChars="200" w:firstLine="420"/>
        <w:rPr>
          <w:sz w:val="21"/>
          <w:szCs w:val="21"/>
        </w:rPr>
      </w:pPr>
      <w:r>
        <w:rPr>
          <w:rFonts w:hint="eastAsia"/>
          <w:sz w:val="21"/>
          <w:szCs w:val="21"/>
        </w:rPr>
        <w:t>康复医学是医学的一个重要分支，是研究有关功能障碍的预防、评定和处理（治疗和训练）等，促进病伤残者康复的一门医学。随着医疗卫生事业的发展、人民生活条件的改善烈性传染病得以控制和消灭，人类平均期望寿命值延长，人口老化，慢性病和老年病比例大大增加，加之交道事故和其他意外伤害事件增多，社会上的残疾人口也相应增加，患者和医务人员也都不能仅仅满足于单纯的治病，而要求功能也能得到保存和恢复，渴望获得较高的生活质量，所有这些都为康复医学的快速发展提供了社会动力，基础医学和临床医学的发展也为康复医学的发展打下坚实的基础。康复医学概论全方位概括和论述了康复医学</w:t>
      </w:r>
      <w:r>
        <w:rPr>
          <w:sz w:val="21"/>
          <w:szCs w:val="21"/>
        </w:rPr>
        <w:t>,</w:t>
      </w:r>
      <w:r>
        <w:rPr>
          <w:rFonts w:hint="eastAsia"/>
          <w:sz w:val="21"/>
          <w:szCs w:val="21"/>
        </w:rPr>
        <w:t>分别阐述了康复和康复医学的概念、内容、地位、作用、流程。特别强调了残疾概念、功能障碍以及康复医学和临床医学的关系。才外还涉及到重要相关内容，包括流行学、医学伦理学、科学研究方法等等，并对康复医学科的设置和管理规范予以说明。</w:t>
      </w: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pStyle w:val="reader-word-layerreader-word-s1-16"/>
        <w:shd w:val="clear" w:color="auto" w:fill="FFFFFF"/>
        <w:spacing w:line="360" w:lineRule="auto"/>
        <w:rPr>
          <w:rFonts w:cs="Arial"/>
          <w:spacing w:val="-8"/>
          <w:sz w:val="21"/>
          <w:szCs w:val="21"/>
        </w:rPr>
      </w:pPr>
      <w:r>
        <w:rPr>
          <w:sz w:val="22"/>
        </w:rPr>
        <w:t xml:space="preserve">   </w:t>
      </w:r>
      <w:r>
        <w:rPr>
          <w:sz w:val="21"/>
          <w:szCs w:val="21"/>
        </w:rPr>
        <w:t xml:space="preserve"> </w:t>
      </w:r>
      <w:r>
        <w:rPr>
          <w:rFonts w:hint="eastAsia"/>
          <w:sz w:val="21"/>
          <w:szCs w:val="21"/>
        </w:rPr>
        <w:t>通过本课程的教学，要求学生能够：掌握康复、康复医学的概念、服务对象，认识康复医学是现代医学的一个重要分支，认识它区别于临床医学的独有特性；掌握康复医学的组成、工作内容、</w:t>
      </w:r>
      <w:r>
        <w:rPr>
          <w:rFonts w:hint="eastAsia"/>
          <w:spacing w:val="-6"/>
          <w:sz w:val="21"/>
          <w:szCs w:val="21"/>
        </w:rPr>
        <w:t>工作方式；</w:t>
      </w:r>
      <w:r>
        <w:rPr>
          <w:rFonts w:hint="eastAsia"/>
          <w:sz w:val="21"/>
          <w:szCs w:val="21"/>
        </w:rPr>
        <w:t>熟悉康复医学与临床医学的相互关系；说出残疾、残疾人、残疾学的定义。残疾预防、残疾评定。掌握</w:t>
      </w:r>
      <w:r>
        <w:rPr>
          <w:sz w:val="21"/>
          <w:szCs w:val="21"/>
        </w:rPr>
        <w:t>ICF</w:t>
      </w:r>
      <w:r>
        <w:rPr>
          <w:rFonts w:hint="eastAsia"/>
          <w:sz w:val="21"/>
          <w:szCs w:val="21"/>
        </w:rPr>
        <w:t>的基本概念、康复预防三层次，功能障碍的评定和康复治疗的基本原则，康复医学的工作方式和工作流程。了解康复医学科的设置、常用设备、诊疗工作常规等。</w:t>
      </w:r>
      <w:r>
        <w:rPr>
          <w:rFonts w:cs="Arial" w:hint="eastAsia"/>
          <w:sz w:val="21"/>
          <w:szCs w:val="21"/>
        </w:rPr>
        <w:t>努力培养适应</w:t>
      </w:r>
      <w:r>
        <w:rPr>
          <w:rFonts w:cs="Arial"/>
          <w:sz w:val="21"/>
          <w:szCs w:val="21"/>
        </w:rPr>
        <w:t>21</w:t>
      </w:r>
      <w:r>
        <w:rPr>
          <w:rFonts w:cs="Arial" w:hint="eastAsia"/>
          <w:sz w:val="21"/>
          <w:szCs w:val="21"/>
        </w:rPr>
        <w:t>世纪社会进步和卫生事业发展需求的高层次、实用型康复治疗技术专业人材。教学活动主要以理论讲授、自学、讨论、练习、实践、调查等进行，在教学活动中，应注意相关</w:t>
      </w:r>
      <w:r>
        <w:rPr>
          <w:rFonts w:hint="eastAsia"/>
          <w:sz w:val="21"/>
          <w:szCs w:val="21"/>
        </w:rPr>
        <w:t>学科的知识的运用，并贯彻理论联系实践原则，提高教学效果。通过提问、作业、实</w:t>
      </w:r>
      <w:r>
        <w:rPr>
          <w:rFonts w:cs="Arial" w:hint="eastAsia"/>
          <w:spacing w:val="-8"/>
          <w:sz w:val="21"/>
          <w:szCs w:val="21"/>
        </w:rPr>
        <w:t>习心得、讲评和考核等形式进行评价。</w:t>
      </w:r>
    </w:p>
    <w:p w:rsidR="003717A0" w:rsidRDefault="003717A0">
      <w:pPr>
        <w:pStyle w:val="reader-word-layerreader-word-s1-16"/>
        <w:shd w:val="clear" w:color="auto" w:fill="FFFFFF"/>
        <w:spacing w:line="360" w:lineRule="auto"/>
        <w:rPr>
          <w:rFonts w:cs="Arial"/>
          <w:spacing w:val="12"/>
          <w:sz w:val="21"/>
          <w:szCs w:val="21"/>
        </w:rPr>
      </w:pP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四、教学内容与安排</w:t>
      </w:r>
    </w:p>
    <w:p w:rsidR="003717A0" w:rsidRDefault="003717A0">
      <w:pPr>
        <w:pStyle w:val="reader-word-layerreader-word-s1-9"/>
        <w:shd w:val="clear" w:color="auto" w:fill="FFFFFF"/>
        <w:rPr>
          <w:rFonts w:cs="Arial"/>
          <w:b/>
          <w:sz w:val="21"/>
          <w:szCs w:val="21"/>
        </w:rPr>
      </w:pPr>
      <w:r>
        <w:rPr>
          <w:rFonts w:hint="eastAsia"/>
          <w:b/>
          <w:sz w:val="21"/>
          <w:szCs w:val="21"/>
        </w:rPr>
        <w:t>第一章</w:t>
      </w:r>
      <w:r>
        <w:rPr>
          <w:b/>
          <w:sz w:val="21"/>
          <w:szCs w:val="21"/>
        </w:rPr>
        <w:t xml:space="preserve">  </w:t>
      </w:r>
      <w:r>
        <w:rPr>
          <w:rFonts w:cs="Arial" w:hint="eastAsia"/>
          <w:b/>
          <w:sz w:val="21"/>
          <w:szCs w:val="21"/>
        </w:rPr>
        <w:t>概述</w:t>
      </w:r>
    </w:p>
    <w:p w:rsidR="003717A0" w:rsidRDefault="003717A0">
      <w:pPr>
        <w:pStyle w:val="reader-word-layerreader-word-s1-9"/>
        <w:shd w:val="clear" w:color="auto" w:fill="FFFFFF"/>
        <w:rPr>
          <w:rFonts w:cs="Arial"/>
          <w:sz w:val="21"/>
          <w:szCs w:val="21"/>
        </w:rPr>
      </w:pPr>
      <w:r>
        <w:rPr>
          <w:rFonts w:hint="eastAsia"/>
          <w:sz w:val="21"/>
          <w:szCs w:val="21"/>
        </w:rPr>
        <w:t>【教学内容】</w:t>
      </w:r>
    </w:p>
    <w:p w:rsidR="003717A0" w:rsidRDefault="003717A0">
      <w:pPr>
        <w:pStyle w:val="reader-word-layerreader-word-s1-8"/>
        <w:shd w:val="clear" w:color="auto" w:fill="FFFFFF"/>
        <w:rPr>
          <w:rFonts w:cs="Arial"/>
          <w:sz w:val="21"/>
          <w:szCs w:val="21"/>
        </w:rPr>
      </w:pPr>
      <w:r>
        <w:rPr>
          <w:rFonts w:cs="Arial"/>
          <w:sz w:val="21"/>
          <w:szCs w:val="21"/>
        </w:rPr>
        <w:t>1.</w:t>
      </w:r>
      <w:r>
        <w:rPr>
          <w:rFonts w:hint="eastAsia"/>
          <w:sz w:val="21"/>
          <w:szCs w:val="21"/>
        </w:rPr>
        <w:t>康复及康复医学涉及的主要概念</w:t>
      </w:r>
    </w:p>
    <w:p w:rsidR="003717A0" w:rsidRDefault="003717A0">
      <w:pPr>
        <w:pStyle w:val="reader-word-layerreader-word-s1-8"/>
        <w:shd w:val="clear" w:color="auto" w:fill="FFFFFF"/>
        <w:rPr>
          <w:rFonts w:cs="Arial"/>
          <w:sz w:val="21"/>
          <w:szCs w:val="21"/>
        </w:rPr>
      </w:pPr>
      <w:r>
        <w:rPr>
          <w:rFonts w:cs="Arial"/>
          <w:sz w:val="21"/>
          <w:szCs w:val="21"/>
        </w:rPr>
        <w:t>2.</w:t>
      </w:r>
      <w:r>
        <w:rPr>
          <w:rFonts w:hint="eastAsia"/>
          <w:sz w:val="21"/>
          <w:szCs w:val="21"/>
        </w:rPr>
        <w:t>康复医学发展史</w:t>
      </w:r>
    </w:p>
    <w:p w:rsidR="003717A0" w:rsidRDefault="003717A0">
      <w:pPr>
        <w:pStyle w:val="reader-word-layerreader-word-s1-8"/>
        <w:shd w:val="clear" w:color="auto" w:fill="FFFFFF"/>
        <w:rPr>
          <w:rFonts w:cs="Arial"/>
          <w:sz w:val="21"/>
          <w:szCs w:val="21"/>
        </w:rPr>
      </w:pPr>
      <w:r>
        <w:rPr>
          <w:rFonts w:cs="Arial"/>
          <w:sz w:val="21"/>
          <w:szCs w:val="21"/>
        </w:rPr>
        <w:t>3.</w:t>
      </w:r>
      <w:r>
        <w:rPr>
          <w:rFonts w:hint="eastAsia"/>
          <w:sz w:val="21"/>
          <w:szCs w:val="21"/>
        </w:rPr>
        <w:t>康复医学的内容：康复基础学、康复功能评定学、康复治疗学、临床康复学、社区康复</w:t>
      </w:r>
    </w:p>
    <w:p w:rsidR="003717A0" w:rsidRDefault="003717A0">
      <w:pPr>
        <w:pStyle w:val="reader-word-layerreader-word-s1-8"/>
        <w:shd w:val="clear" w:color="auto" w:fill="FFFFFF"/>
        <w:rPr>
          <w:rFonts w:cs="Arial"/>
          <w:sz w:val="21"/>
          <w:szCs w:val="21"/>
        </w:rPr>
      </w:pPr>
      <w:r>
        <w:rPr>
          <w:sz w:val="21"/>
          <w:szCs w:val="21"/>
        </w:rPr>
        <w:t>4.</w:t>
      </w:r>
      <w:r>
        <w:rPr>
          <w:rFonts w:hint="eastAsia"/>
          <w:sz w:val="21"/>
          <w:szCs w:val="21"/>
        </w:rPr>
        <w:t>康复效益</w:t>
      </w:r>
    </w:p>
    <w:p w:rsidR="003717A0" w:rsidRDefault="003717A0">
      <w:pPr>
        <w:pStyle w:val="reader-word-layerreader-word-s1-9"/>
        <w:shd w:val="clear" w:color="auto" w:fill="FFFFFF"/>
        <w:rPr>
          <w:rFonts w:cs="Arial"/>
          <w:sz w:val="21"/>
          <w:szCs w:val="21"/>
        </w:rPr>
      </w:pPr>
      <w:r>
        <w:rPr>
          <w:rFonts w:hint="eastAsia"/>
          <w:sz w:val="21"/>
          <w:szCs w:val="21"/>
        </w:rPr>
        <w:t>【基本要求】</w:t>
      </w:r>
    </w:p>
    <w:p w:rsidR="003717A0" w:rsidRDefault="003717A0">
      <w:pPr>
        <w:pStyle w:val="reader-word-layerreader-word-s1-8"/>
        <w:shd w:val="clear" w:color="auto" w:fill="FFFFFF"/>
        <w:rPr>
          <w:rFonts w:cs="Arial"/>
          <w:sz w:val="21"/>
          <w:szCs w:val="21"/>
        </w:rPr>
      </w:pPr>
      <w:r>
        <w:rPr>
          <w:sz w:val="21"/>
          <w:szCs w:val="21"/>
        </w:rPr>
        <w:t>1. </w:t>
      </w:r>
      <w:r>
        <w:rPr>
          <w:rFonts w:hint="eastAsia"/>
          <w:sz w:val="21"/>
          <w:szCs w:val="21"/>
        </w:rPr>
        <w:t>掌握康复、康复医学的概念、服务对象，认识康复医学是现代医学的一个重要分支，认</w:t>
      </w:r>
      <w:r>
        <w:rPr>
          <w:rFonts w:cs="Arial" w:hint="eastAsia"/>
          <w:sz w:val="21"/>
          <w:szCs w:val="21"/>
        </w:rPr>
        <w:t>识它区别于临床医学的独有特性。</w:t>
      </w:r>
    </w:p>
    <w:p w:rsidR="003717A0" w:rsidRDefault="003717A0">
      <w:pPr>
        <w:pStyle w:val="reader-word-layerreader-word-s1-8"/>
        <w:shd w:val="clear" w:color="auto" w:fill="FFFFFF"/>
        <w:rPr>
          <w:rFonts w:cs="Arial"/>
          <w:sz w:val="21"/>
          <w:szCs w:val="21"/>
        </w:rPr>
      </w:pPr>
      <w:r>
        <w:rPr>
          <w:sz w:val="21"/>
          <w:szCs w:val="21"/>
        </w:rPr>
        <w:t>2. </w:t>
      </w:r>
      <w:r>
        <w:rPr>
          <w:rFonts w:hint="eastAsia"/>
          <w:sz w:val="21"/>
          <w:szCs w:val="21"/>
        </w:rPr>
        <w:t>掌握康复医学的组成，工作内容，工作方式。</w:t>
      </w:r>
    </w:p>
    <w:p w:rsidR="003717A0" w:rsidRDefault="003717A0">
      <w:pPr>
        <w:pStyle w:val="reader-word-layerreader-word-s1-8"/>
        <w:shd w:val="clear" w:color="auto" w:fill="FFFFFF"/>
        <w:rPr>
          <w:rFonts w:cs="Arial"/>
          <w:sz w:val="21"/>
          <w:szCs w:val="21"/>
        </w:rPr>
      </w:pPr>
      <w:r>
        <w:rPr>
          <w:sz w:val="21"/>
          <w:szCs w:val="21"/>
        </w:rPr>
        <w:t>3.</w:t>
      </w:r>
      <w:r>
        <w:rPr>
          <w:rFonts w:hint="eastAsia"/>
          <w:sz w:val="21"/>
          <w:szCs w:val="21"/>
        </w:rPr>
        <w:t>了解康复医学发展史</w:t>
      </w:r>
    </w:p>
    <w:p w:rsidR="003717A0" w:rsidRDefault="003717A0">
      <w:pPr>
        <w:pStyle w:val="reader-word-layerreader-word-s2-3"/>
        <w:shd w:val="clear" w:color="auto" w:fill="FFFFFF"/>
        <w:rPr>
          <w:rFonts w:cs="Arial"/>
          <w:sz w:val="21"/>
          <w:szCs w:val="21"/>
        </w:rPr>
      </w:pPr>
      <w:r>
        <w:rPr>
          <w:rFonts w:cs="Arial" w:hint="eastAsia"/>
          <w:sz w:val="21"/>
          <w:szCs w:val="21"/>
        </w:rPr>
        <w:t>【重难点】</w:t>
      </w:r>
    </w:p>
    <w:p w:rsidR="003717A0" w:rsidRDefault="003717A0">
      <w:pPr>
        <w:pStyle w:val="reader-word-layerreader-word-s2-5"/>
        <w:shd w:val="clear" w:color="auto" w:fill="FFFFFF"/>
        <w:rPr>
          <w:rFonts w:cs="Arial"/>
          <w:sz w:val="21"/>
          <w:szCs w:val="21"/>
        </w:rPr>
      </w:pPr>
      <w:r>
        <w:rPr>
          <w:sz w:val="21"/>
          <w:szCs w:val="21"/>
        </w:rPr>
        <w:t>1.</w:t>
      </w:r>
      <w:r>
        <w:rPr>
          <w:rFonts w:hint="eastAsia"/>
          <w:sz w:val="21"/>
          <w:szCs w:val="21"/>
        </w:rPr>
        <w:t>康复、康复医学的概念</w:t>
      </w:r>
    </w:p>
    <w:p w:rsidR="003717A0" w:rsidRDefault="003717A0">
      <w:pPr>
        <w:pStyle w:val="reader-word-layerreader-word-s2-4"/>
        <w:shd w:val="clear" w:color="auto" w:fill="FFFFFF"/>
        <w:rPr>
          <w:rFonts w:cs="Arial"/>
          <w:sz w:val="21"/>
          <w:szCs w:val="21"/>
        </w:rPr>
      </w:pPr>
      <w:r>
        <w:rPr>
          <w:rFonts w:cs="Arial"/>
          <w:sz w:val="21"/>
          <w:szCs w:val="21"/>
        </w:rPr>
        <w:t>2.</w:t>
      </w:r>
      <w:r>
        <w:rPr>
          <w:rFonts w:hint="eastAsia"/>
          <w:sz w:val="21"/>
          <w:szCs w:val="21"/>
        </w:rPr>
        <w:t>康复医学的内容</w:t>
      </w:r>
    </w:p>
    <w:p w:rsidR="003717A0" w:rsidRDefault="003717A0">
      <w:pPr>
        <w:pStyle w:val="reader-word-layerreader-word-s2-3"/>
        <w:shd w:val="clear" w:color="auto" w:fill="FFFFFF"/>
        <w:rPr>
          <w:rFonts w:cs="Arial"/>
          <w:sz w:val="21"/>
          <w:szCs w:val="21"/>
        </w:rPr>
      </w:pPr>
      <w:r>
        <w:rPr>
          <w:rFonts w:cs="Arial" w:hint="eastAsia"/>
          <w:sz w:val="21"/>
          <w:szCs w:val="21"/>
        </w:rPr>
        <w:t>【学时安排】</w:t>
      </w:r>
    </w:p>
    <w:p w:rsidR="003717A0" w:rsidRDefault="003717A0">
      <w:pPr>
        <w:pStyle w:val="reader-word-layerreader-word-s2-4"/>
        <w:shd w:val="clear" w:color="auto" w:fill="FFFFFF"/>
        <w:rPr>
          <w:rFonts w:cs="Arial"/>
          <w:sz w:val="21"/>
          <w:szCs w:val="21"/>
        </w:rPr>
      </w:pPr>
      <w:r>
        <w:rPr>
          <w:sz w:val="21"/>
          <w:szCs w:val="21"/>
        </w:rPr>
        <w:t>3</w:t>
      </w:r>
      <w:r>
        <w:rPr>
          <w:rFonts w:hint="eastAsia"/>
          <w:sz w:val="21"/>
          <w:szCs w:val="21"/>
        </w:rPr>
        <w:t>学时</w:t>
      </w:r>
    </w:p>
    <w:p w:rsidR="003717A0" w:rsidRDefault="003717A0">
      <w:pPr>
        <w:pStyle w:val="reader-word-layerreader-word-s3-8"/>
        <w:shd w:val="clear" w:color="auto" w:fill="FFFFFF"/>
        <w:rPr>
          <w:rFonts w:cs="Arial"/>
          <w:b/>
          <w:sz w:val="21"/>
          <w:szCs w:val="21"/>
        </w:rPr>
      </w:pPr>
      <w:r>
        <w:rPr>
          <w:rFonts w:hint="eastAsia"/>
          <w:b/>
          <w:sz w:val="21"/>
          <w:szCs w:val="21"/>
        </w:rPr>
        <w:t>第二章</w:t>
      </w:r>
      <w:r>
        <w:rPr>
          <w:b/>
          <w:sz w:val="21"/>
          <w:szCs w:val="21"/>
        </w:rPr>
        <w:t xml:space="preserve">  </w:t>
      </w:r>
      <w:r>
        <w:rPr>
          <w:rFonts w:hint="eastAsia"/>
          <w:b/>
          <w:sz w:val="21"/>
          <w:szCs w:val="21"/>
        </w:rPr>
        <w:t>康复伦理问题</w:t>
      </w:r>
    </w:p>
    <w:p w:rsidR="003717A0" w:rsidRDefault="003717A0">
      <w:pPr>
        <w:pStyle w:val="reader-word-layerreader-word-s3-13"/>
        <w:shd w:val="clear" w:color="auto" w:fill="FFFFFF"/>
        <w:rPr>
          <w:rFonts w:cs="Arial"/>
          <w:sz w:val="21"/>
          <w:szCs w:val="21"/>
        </w:rPr>
      </w:pPr>
      <w:r>
        <w:rPr>
          <w:rFonts w:hint="eastAsia"/>
          <w:sz w:val="21"/>
          <w:szCs w:val="21"/>
        </w:rPr>
        <w:t>【教学内容】</w:t>
      </w:r>
    </w:p>
    <w:p w:rsidR="003717A0" w:rsidRDefault="003717A0">
      <w:pPr>
        <w:pStyle w:val="reader-word-layerreader-word-s3-8"/>
        <w:shd w:val="clear" w:color="auto" w:fill="FFFFFF"/>
        <w:rPr>
          <w:rFonts w:cs="Arial"/>
          <w:sz w:val="21"/>
          <w:szCs w:val="21"/>
        </w:rPr>
      </w:pPr>
      <w:r>
        <w:rPr>
          <w:sz w:val="21"/>
          <w:szCs w:val="21"/>
        </w:rPr>
        <w:t>1</w:t>
      </w:r>
      <w:r>
        <w:rPr>
          <w:rFonts w:hint="eastAsia"/>
          <w:sz w:val="21"/>
          <w:szCs w:val="21"/>
        </w:rPr>
        <w:t>历史与发展</w:t>
      </w:r>
    </w:p>
    <w:p w:rsidR="003717A0" w:rsidRDefault="003717A0">
      <w:pPr>
        <w:pStyle w:val="reader-word-layerreader-word-s3-9"/>
        <w:shd w:val="clear" w:color="auto" w:fill="FFFFFF"/>
        <w:rPr>
          <w:rFonts w:cs="Arial"/>
          <w:sz w:val="21"/>
          <w:szCs w:val="21"/>
        </w:rPr>
      </w:pPr>
      <w:r>
        <w:rPr>
          <w:sz w:val="21"/>
          <w:szCs w:val="21"/>
        </w:rPr>
        <w:t>2</w:t>
      </w:r>
      <w:r>
        <w:rPr>
          <w:rFonts w:hint="eastAsia"/>
          <w:sz w:val="21"/>
          <w:szCs w:val="21"/>
        </w:rPr>
        <w:t>临床康复实践问题</w:t>
      </w:r>
      <w:r>
        <w:rPr>
          <w:sz w:val="21"/>
          <w:szCs w:val="21"/>
        </w:rPr>
        <w:t xml:space="preserve">  </w:t>
      </w:r>
      <w:r>
        <w:rPr>
          <w:rFonts w:hint="eastAsia"/>
          <w:sz w:val="21"/>
          <w:szCs w:val="21"/>
        </w:rPr>
        <w:t>如何选择患者制定个体化的康复方案</w:t>
      </w:r>
      <w:r>
        <w:rPr>
          <w:sz w:val="21"/>
          <w:szCs w:val="21"/>
        </w:rPr>
        <w:t xml:space="preserve">  </w:t>
      </w:r>
      <w:r>
        <w:rPr>
          <w:rFonts w:hint="eastAsia"/>
          <w:sz w:val="21"/>
          <w:szCs w:val="21"/>
        </w:rPr>
        <w:t>医患关系</w:t>
      </w:r>
      <w:r>
        <w:rPr>
          <w:sz w:val="21"/>
          <w:szCs w:val="21"/>
        </w:rPr>
        <w:t xml:space="preserve">  </w:t>
      </w:r>
      <w:r>
        <w:rPr>
          <w:rFonts w:hint="eastAsia"/>
          <w:sz w:val="21"/>
          <w:szCs w:val="21"/>
        </w:rPr>
        <w:t>专业团队的协调与配合</w:t>
      </w:r>
    </w:p>
    <w:p w:rsidR="003717A0" w:rsidRDefault="003717A0">
      <w:pPr>
        <w:pStyle w:val="reader-word-layerreader-word-s3-14"/>
        <w:shd w:val="clear" w:color="auto" w:fill="FFFFFF"/>
        <w:rPr>
          <w:rFonts w:cs="Arial"/>
          <w:sz w:val="21"/>
          <w:szCs w:val="21"/>
        </w:rPr>
      </w:pPr>
      <w:r>
        <w:rPr>
          <w:rFonts w:hint="eastAsia"/>
          <w:sz w:val="21"/>
          <w:szCs w:val="21"/>
        </w:rPr>
        <w:t>家庭成员的作用与职责</w:t>
      </w:r>
      <w:r>
        <w:rPr>
          <w:sz w:val="21"/>
          <w:szCs w:val="21"/>
        </w:rPr>
        <w:t xml:space="preserve"> </w:t>
      </w:r>
      <w:r>
        <w:rPr>
          <w:rFonts w:hint="eastAsia"/>
          <w:sz w:val="21"/>
          <w:szCs w:val="21"/>
        </w:rPr>
        <w:t>康复治疗质量控制与终止</w:t>
      </w:r>
    </w:p>
    <w:p w:rsidR="003717A0" w:rsidRDefault="003717A0">
      <w:pPr>
        <w:pStyle w:val="reader-word-layerreader-word-s3-7"/>
        <w:shd w:val="clear" w:color="auto" w:fill="FFFFFF"/>
        <w:rPr>
          <w:rFonts w:cs="Arial"/>
          <w:sz w:val="21"/>
          <w:szCs w:val="21"/>
        </w:rPr>
      </w:pPr>
      <w:r>
        <w:rPr>
          <w:rFonts w:cs="Arial" w:hint="eastAsia"/>
          <w:sz w:val="21"/>
          <w:szCs w:val="21"/>
        </w:rPr>
        <w:t>【基本要求】</w:t>
      </w:r>
    </w:p>
    <w:p w:rsidR="003717A0" w:rsidRDefault="003717A0">
      <w:pPr>
        <w:pStyle w:val="reader-word-layerreader-word-s3-8"/>
        <w:shd w:val="clear" w:color="auto" w:fill="FFFFFF"/>
        <w:rPr>
          <w:rFonts w:cs="Arial"/>
          <w:sz w:val="21"/>
          <w:szCs w:val="21"/>
        </w:rPr>
      </w:pPr>
      <w:r>
        <w:rPr>
          <w:sz w:val="21"/>
          <w:szCs w:val="21"/>
        </w:rPr>
        <w:t>1.</w:t>
      </w:r>
      <w:r>
        <w:rPr>
          <w:rFonts w:hint="eastAsia"/>
          <w:sz w:val="21"/>
          <w:szCs w:val="21"/>
        </w:rPr>
        <w:t>掌握康复医学伦理的特点及临床康复实践中的伦理问题；康复专业人员职责。</w:t>
      </w:r>
    </w:p>
    <w:p w:rsidR="003717A0" w:rsidRDefault="003717A0">
      <w:pPr>
        <w:pStyle w:val="reader-word-layerreader-word-s3-9"/>
        <w:shd w:val="clear" w:color="auto" w:fill="FFFFFF"/>
        <w:rPr>
          <w:rFonts w:cs="Arial"/>
          <w:sz w:val="21"/>
          <w:szCs w:val="21"/>
        </w:rPr>
      </w:pPr>
      <w:r>
        <w:rPr>
          <w:sz w:val="21"/>
          <w:szCs w:val="21"/>
        </w:rPr>
        <w:lastRenderedPageBreak/>
        <w:t>2.</w:t>
      </w:r>
      <w:r>
        <w:rPr>
          <w:rFonts w:hint="eastAsia"/>
          <w:sz w:val="21"/>
          <w:szCs w:val="21"/>
        </w:rPr>
        <w:t>熟悉康复伦理问题的政策、法规以及康复伦理问题的宣传和教育工作</w:t>
      </w:r>
    </w:p>
    <w:p w:rsidR="003717A0" w:rsidRDefault="003717A0">
      <w:pPr>
        <w:pStyle w:val="reader-word-layerreader-word-s3-9"/>
        <w:shd w:val="clear" w:color="auto" w:fill="FFFFFF"/>
        <w:rPr>
          <w:rFonts w:cs="Arial"/>
          <w:sz w:val="21"/>
          <w:szCs w:val="21"/>
        </w:rPr>
      </w:pPr>
      <w:r>
        <w:rPr>
          <w:sz w:val="21"/>
          <w:szCs w:val="21"/>
        </w:rPr>
        <w:t>3.</w:t>
      </w:r>
      <w:r>
        <w:rPr>
          <w:rFonts w:hint="eastAsia"/>
          <w:sz w:val="21"/>
          <w:szCs w:val="21"/>
        </w:rPr>
        <w:t>了解康复伦理问题的历史和发展。</w:t>
      </w:r>
    </w:p>
    <w:p w:rsidR="003717A0" w:rsidRDefault="003717A0">
      <w:pPr>
        <w:pStyle w:val="reader-word-layerreader-word-s3-7"/>
        <w:shd w:val="clear" w:color="auto" w:fill="FFFFFF"/>
        <w:rPr>
          <w:rFonts w:cs="Arial"/>
          <w:sz w:val="21"/>
          <w:szCs w:val="21"/>
        </w:rPr>
      </w:pPr>
      <w:r>
        <w:rPr>
          <w:rFonts w:cs="Arial" w:hint="eastAsia"/>
          <w:sz w:val="21"/>
          <w:szCs w:val="21"/>
        </w:rPr>
        <w:t>【重难点】</w:t>
      </w:r>
    </w:p>
    <w:p w:rsidR="003717A0" w:rsidRDefault="003717A0">
      <w:pPr>
        <w:pStyle w:val="reader-word-layerreader-word-s3-8"/>
        <w:shd w:val="clear" w:color="auto" w:fill="FFFFFF"/>
        <w:rPr>
          <w:rFonts w:cs="Arial"/>
          <w:sz w:val="21"/>
          <w:szCs w:val="21"/>
        </w:rPr>
      </w:pPr>
      <w:r>
        <w:rPr>
          <w:sz w:val="21"/>
          <w:szCs w:val="21"/>
        </w:rPr>
        <w:t>1.</w:t>
      </w:r>
      <w:r>
        <w:rPr>
          <w:rFonts w:hint="eastAsia"/>
          <w:sz w:val="21"/>
          <w:szCs w:val="21"/>
        </w:rPr>
        <w:t>确立康复专业目标的伦理问题</w:t>
      </w:r>
    </w:p>
    <w:p w:rsidR="003717A0" w:rsidRDefault="003717A0">
      <w:pPr>
        <w:pStyle w:val="reader-word-layerreader-word-s3-1"/>
        <w:shd w:val="clear" w:color="auto" w:fill="FFFFFF"/>
        <w:rPr>
          <w:rFonts w:cs="Arial"/>
          <w:sz w:val="21"/>
          <w:szCs w:val="21"/>
        </w:rPr>
      </w:pPr>
      <w:r>
        <w:rPr>
          <w:rFonts w:cs="Arial"/>
          <w:sz w:val="21"/>
          <w:szCs w:val="21"/>
        </w:rPr>
        <w:t>2.</w:t>
      </w:r>
      <w:r>
        <w:rPr>
          <w:rFonts w:hint="eastAsia"/>
          <w:sz w:val="21"/>
          <w:szCs w:val="21"/>
        </w:rPr>
        <w:t>康复医患关系中的伦理问题</w:t>
      </w:r>
    </w:p>
    <w:p w:rsidR="003717A0" w:rsidRDefault="003717A0">
      <w:pPr>
        <w:pStyle w:val="reader-word-layerreader-word-s3-1"/>
        <w:shd w:val="clear" w:color="auto" w:fill="FFFFFF"/>
        <w:rPr>
          <w:rFonts w:cs="Arial"/>
          <w:sz w:val="21"/>
          <w:szCs w:val="21"/>
        </w:rPr>
      </w:pPr>
      <w:r>
        <w:rPr>
          <w:rFonts w:cs="Arial"/>
          <w:sz w:val="21"/>
          <w:szCs w:val="21"/>
        </w:rPr>
        <w:t>3.</w:t>
      </w:r>
      <w:r>
        <w:rPr>
          <w:rFonts w:hint="eastAsia"/>
          <w:sz w:val="21"/>
          <w:szCs w:val="21"/>
        </w:rPr>
        <w:t>设定治疗目标中的伦理问题</w:t>
      </w:r>
    </w:p>
    <w:p w:rsidR="003717A0" w:rsidRDefault="003717A0">
      <w:pPr>
        <w:pStyle w:val="reader-word-layerreader-word-s3-1"/>
        <w:shd w:val="clear" w:color="auto" w:fill="FFFFFF"/>
        <w:rPr>
          <w:rFonts w:cs="Arial"/>
          <w:sz w:val="21"/>
          <w:szCs w:val="21"/>
        </w:rPr>
      </w:pPr>
      <w:r>
        <w:rPr>
          <w:rFonts w:cs="Arial"/>
          <w:sz w:val="21"/>
          <w:szCs w:val="21"/>
        </w:rPr>
        <w:t>4.</w:t>
      </w:r>
      <w:r>
        <w:rPr>
          <w:rFonts w:hint="eastAsia"/>
          <w:sz w:val="21"/>
          <w:szCs w:val="21"/>
        </w:rPr>
        <w:t>团队协作中的伦理问题</w:t>
      </w:r>
    </w:p>
    <w:p w:rsidR="003717A0" w:rsidRDefault="003717A0">
      <w:pPr>
        <w:pStyle w:val="reader-word-layerreader-word-s3-7"/>
        <w:shd w:val="clear" w:color="auto" w:fill="FFFFFF"/>
        <w:rPr>
          <w:rFonts w:cs="Arial"/>
          <w:sz w:val="21"/>
          <w:szCs w:val="21"/>
        </w:rPr>
      </w:pPr>
      <w:r>
        <w:rPr>
          <w:rFonts w:cs="Arial" w:hint="eastAsia"/>
          <w:sz w:val="21"/>
          <w:szCs w:val="21"/>
        </w:rPr>
        <w:t>【学时安排】</w:t>
      </w:r>
    </w:p>
    <w:p w:rsidR="003717A0" w:rsidRDefault="003717A0">
      <w:pPr>
        <w:pStyle w:val="reader-word-layerreader-word-s3-8"/>
        <w:shd w:val="clear" w:color="auto" w:fill="FFFFFF"/>
        <w:rPr>
          <w:rFonts w:cs="Arial"/>
          <w:sz w:val="21"/>
          <w:szCs w:val="21"/>
        </w:rPr>
      </w:pPr>
      <w:r>
        <w:rPr>
          <w:sz w:val="21"/>
          <w:szCs w:val="21"/>
        </w:rPr>
        <w:t>3</w:t>
      </w:r>
      <w:r>
        <w:rPr>
          <w:rFonts w:hint="eastAsia"/>
          <w:sz w:val="21"/>
          <w:szCs w:val="21"/>
        </w:rPr>
        <w:t>学时</w:t>
      </w:r>
    </w:p>
    <w:p w:rsidR="003717A0" w:rsidRDefault="003717A0">
      <w:pPr>
        <w:pStyle w:val="reader-word-layerreader-word-s2-9"/>
        <w:shd w:val="clear" w:color="auto" w:fill="FFFFFF"/>
        <w:rPr>
          <w:rFonts w:cs="Arial"/>
          <w:b/>
          <w:sz w:val="21"/>
          <w:szCs w:val="21"/>
        </w:rPr>
      </w:pPr>
      <w:r>
        <w:rPr>
          <w:rFonts w:hint="eastAsia"/>
          <w:b/>
          <w:sz w:val="21"/>
          <w:szCs w:val="21"/>
        </w:rPr>
        <w:t>第三章</w:t>
      </w:r>
      <w:r>
        <w:rPr>
          <w:b/>
          <w:sz w:val="21"/>
          <w:szCs w:val="21"/>
        </w:rPr>
        <w:t xml:space="preserve"> </w:t>
      </w:r>
      <w:r>
        <w:rPr>
          <w:rFonts w:hint="eastAsia"/>
          <w:b/>
          <w:sz w:val="21"/>
          <w:szCs w:val="21"/>
        </w:rPr>
        <w:t>残疾学</w:t>
      </w:r>
    </w:p>
    <w:p w:rsidR="003717A0" w:rsidRDefault="003717A0">
      <w:pPr>
        <w:pStyle w:val="reader-word-layerreader-word-s2-5"/>
        <w:shd w:val="clear" w:color="auto" w:fill="FFFFFF"/>
        <w:rPr>
          <w:rFonts w:cs="Arial"/>
          <w:sz w:val="21"/>
          <w:szCs w:val="21"/>
        </w:rPr>
      </w:pPr>
      <w:r>
        <w:rPr>
          <w:rFonts w:hint="eastAsia"/>
          <w:sz w:val="21"/>
          <w:szCs w:val="21"/>
        </w:rPr>
        <w:t>【教学内容】</w:t>
      </w:r>
    </w:p>
    <w:p w:rsidR="003717A0" w:rsidRDefault="003717A0">
      <w:pPr>
        <w:pStyle w:val="reader-word-layerreader-word-s2-5"/>
        <w:shd w:val="clear" w:color="auto" w:fill="FFFFFF"/>
        <w:rPr>
          <w:rFonts w:cs="Arial"/>
          <w:sz w:val="21"/>
          <w:szCs w:val="21"/>
        </w:rPr>
      </w:pPr>
      <w:r>
        <w:rPr>
          <w:sz w:val="21"/>
          <w:szCs w:val="21"/>
        </w:rPr>
        <w:t>1</w:t>
      </w:r>
      <w:r>
        <w:rPr>
          <w:rFonts w:hint="eastAsia"/>
          <w:sz w:val="21"/>
          <w:szCs w:val="21"/>
        </w:rPr>
        <w:t>基本概念</w:t>
      </w:r>
    </w:p>
    <w:p w:rsidR="003717A0" w:rsidRDefault="003717A0">
      <w:pPr>
        <w:pStyle w:val="reader-word-layerreader-word-s2-4"/>
        <w:shd w:val="clear" w:color="auto" w:fill="FFFFFF"/>
        <w:rPr>
          <w:rFonts w:cs="Arial"/>
          <w:sz w:val="21"/>
          <w:szCs w:val="21"/>
        </w:rPr>
      </w:pPr>
      <w:r>
        <w:rPr>
          <w:rFonts w:hint="eastAsia"/>
          <w:sz w:val="21"/>
          <w:szCs w:val="21"/>
        </w:rPr>
        <w:t>致残原因</w:t>
      </w:r>
    </w:p>
    <w:p w:rsidR="003717A0" w:rsidRDefault="003717A0">
      <w:pPr>
        <w:pStyle w:val="reader-word-layerreader-word-s2-4"/>
        <w:shd w:val="clear" w:color="auto" w:fill="FFFFFF"/>
        <w:rPr>
          <w:rFonts w:cs="Arial"/>
          <w:sz w:val="21"/>
          <w:szCs w:val="21"/>
        </w:rPr>
      </w:pPr>
      <w:r>
        <w:rPr>
          <w:rFonts w:cs="Arial"/>
          <w:sz w:val="21"/>
          <w:szCs w:val="21"/>
        </w:rPr>
        <w:t>3</w:t>
      </w:r>
      <w:r>
        <w:rPr>
          <w:rFonts w:hint="eastAsia"/>
          <w:sz w:val="21"/>
          <w:szCs w:val="21"/>
        </w:rPr>
        <w:t>残疾分类</w:t>
      </w:r>
    </w:p>
    <w:p w:rsidR="003717A0" w:rsidRDefault="003717A0">
      <w:pPr>
        <w:pStyle w:val="reader-word-layerreader-word-s2-4"/>
        <w:shd w:val="clear" w:color="auto" w:fill="FFFFFF"/>
        <w:rPr>
          <w:rFonts w:cs="Arial"/>
          <w:sz w:val="21"/>
          <w:szCs w:val="21"/>
        </w:rPr>
      </w:pPr>
      <w:r>
        <w:rPr>
          <w:rFonts w:cs="Arial"/>
          <w:sz w:val="21"/>
          <w:szCs w:val="21"/>
        </w:rPr>
        <w:t>4</w:t>
      </w:r>
      <w:r>
        <w:rPr>
          <w:rFonts w:hint="eastAsia"/>
          <w:sz w:val="21"/>
          <w:szCs w:val="21"/>
        </w:rPr>
        <w:t>残疾预防</w:t>
      </w:r>
    </w:p>
    <w:p w:rsidR="003717A0" w:rsidRDefault="003717A0">
      <w:pPr>
        <w:pStyle w:val="reader-word-layerreader-word-s2-4"/>
        <w:shd w:val="clear" w:color="auto" w:fill="FFFFFF"/>
        <w:rPr>
          <w:rFonts w:cs="Arial"/>
          <w:sz w:val="21"/>
          <w:szCs w:val="21"/>
        </w:rPr>
      </w:pPr>
      <w:r>
        <w:rPr>
          <w:rFonts w:cs="Arial"/>
          <w:sz w:val="21"/>
          <w:szCs w:val="21"/>
        </w:rPr>
        <w:t>5</w:t>
      </w:r>
      <w:r>
        <w:rPr>
          <w:rFonts w:hint="eastAsia"/>
          <w:sz w:val="21"/>
          <w:szCs w:val="21"/>
        </w:rPr>
        <w:t>残疾相关的政策法规</w:t>
      </w:r>
    </w:p>
    <w:p w:rsidR="003717A0" w:rsidRDefault="003717A0">
      <w:pPr>
        <w:pStyle w:val="reader-word-layerreader-word-s2-4"/>
        <w:shd w:val="clear" w:color="auto" w:fill="FFFFFF"/>
        <w:rPr>
          <w:rFonts w:cs="Arial"/>
          <w:sz w:val="21"/>
          <w:szCs w:val="21"/>
        </w:rPr>
      </w:pPr>
      <w:r>
        <w:rPr>
          <w:sz w:val="21"/>
          <w:szCs w:val="21"/>
        </w:rPr>
        <w:t> </w:t>
      </w:r>
      <w:r>
        <w:rPr>
          <w:rFonts w:hint="eastAsia"/>
          <w:sz w:val="21"/>
          <w:szCs w:val="21"/>
        </w:rPr>
        <w:t>【基本要求】</w:t>
      </w:r>
    </w:p>
    <w:p w:rsidR="003717A0" w:rsidRDefault="003717A0">
      <w:pPr>
        <w:pStyle w:val="reader-word-layerreader-word-s2-5"/>
        <w:shd w:val="clear" w:color="auto" w:fill="FFFFFF"/>
        <w:rPr>
          <w:rFonts w:cs="Arial"/>
          <w:sz w:val="21"/>
          <w:szCs w:val="21"/>
        </w:rPr>
      </w:pPr>
      <w:r>
        <w:rPr>
          <w:sz w:val="21"/>
          <w:szCs w:val="21"/>
        </w:rPr>
        <w:t>1</w:t>
      </w:r>
      <w:r>
        <w:rPr>
          <w:rFonts w:hint="eastAsia"/>
          <w:sz w:val="21"/>
          <w:szCs w:val="21"/>
        </w:rPr>
        <w:t>掌握残疾、残障、残损的概念；残疾的分类</w:t>
      </w:r>
    </w:p>
    <w:p w:rsidR="003717A0" w:rsidRDefault="003717A0">
      <w:pPr>
        <w:pStyle w:val="reader-word-layerreader-word-s2-4"/>
        <w:shd w:val="clear" w:color="auto" w:fill="FFFFFF"/>
        <w:rPr>
          <w:rFonts w:cs="Arial"/>
          <w:sz w:val="21"/>
          <w:szCs w:val="21"/>
        </w:rPr>
      </w:pPr>
      <w:r>
        <w:rPr>
          <w:sz w:val="21"/>
          <w:szCs w:val="21"/>
        </w:rPr>
        <w:t>2</w:t>
      </w:r>
      <w:r>
        <w:rPr>
          <w:rFonts w:hint="eastAsia"/>
          <w:sz w:val="21"/>
          <w:szCs w:val="21"/>
        </w:rPr>
        <w:t>熟悉残疾预防、常见致残原因</w:t>
      </w:r>
    </w:p>
    <w:p w:rsidR="003717A0" w:rsidRDefault="003717A0">
      <w:pPr>
        <w:pStyle w:val="reader-word-layerreader-word-s2-4"/>
        <w:shd w:val="clear" w:color="auto" w:fill="FFFFFF"/>
        <w:rPr>
          <w:rFonts w:cs="Arial"/>
          <w:sz w:val="21"/>
          <w:szCs w:val="21"/>
        </w:rPr>
      </w:pPr>
      <w:r>
        <w:rPr>
          <w:sz w:val="21"/>
          <w:szCs w:val="21"/>
        </w:rPr>
        <w:t>3</w:t>
      </w:r>
      <w:r>
        <w:rPr>
          <w:rFonts w:hint="eastAsia"/>
          <w:sz w:val="21"/>
          <w:szCs w:val="21"/>
        </w:rPr>
        <w:t>了解残疾相关的政策法规</w:t>
      </w:r>
    </w:p>
    <w:p w:rsidR="003717A0" w:rsidRDefault="003717A0">
      <w:pPr>
        <w:pStyle w:val="reader-word-layerreader-word-s2-3"/>
        <w:shd w:val="clear" w:color="auto" w:fill="FFFFFF"/>
        <w:rPr>
          <w:rFonts w:cs="Arial"/>
          <w:sz w:val="21"/>
          <w:szCs w:val="21"/>
        </w:rPr>
      </w:pPr>
      <w:r>
        <w:rPr>
          <w:rFonts w:cs="Arial" w:hint="eastAsia"/>
          <w:sz w:val="21"/>
          <w:szCs w:val="21"/>
        </w:rPr>
        <w:t>【重难点】</w:t>
      </w:r>
    </w:p>
    <w:p w:rsidR="003717A0" w:rsidRDefault="003717A0">
      <w:pPr>
        <w:pStyle w:val="reader-word-layerreader-word-s2-5"/>
        <w:shd w:val="clear" w:color="auto" w:fill="FFFFFF"/>
        <w:rPr>
          <w:rFonts w:cs="Arial"/>
          <w:sz w:val="21"/>
          <w:szCs w:val="21"/>
        </w:rPr>
      </w:pPr>
      <w:r>
        <w:rPr>
          <w:sz w:val="21"/>
          <w:szCs w:val="21"/>
        </w:rPr>
        <w:t>1</w:t>
      </w:r>
      <w:r>
        <w:rPr>
          <w:rFonts w:hint="eastAsia"/>
          <w:sz w:val="21"/>
          <w:szCs w:val="21"/>
        </w:rPr>
        <w:t>残疾、残障、残损的概念</w:t>
      </w:r>
    </w:p>
    <w:p w:rsidR="003717A0" w:rsidRDefault="003717A0">
      <w:pPr>
        <w:pStyle w:val="reader-word-layerreader-word-s2-4"/>
        <w:shd w:val="clear" w:color="auto" w:fill="FFFFFF"/>
        <w:rPr>
          <w:rFonts w:cs="Arial"/>
          <w:sz w:val="21"/>
          <w:szCs w:val="21"/>
        </w:rPr>
      </w:pPr>
      <w:r>
        <w:rPr>
          <w:sz w:val="21"/>
          <w:szCs w:val="21"/>
        </w:rPr>
        <w:t>2</w:t>
      </w:r>
      <w:r>
        <w:rPr>
          <w:rFonts w:hint="eastAsia"/>
          <w:sz w:val="21"/>
          <w:szCs w:val="21"/>
        </w:rPr>
        <w:t>残疾的分类：</w:t>
      </w:r>
      <w:r>
        <w:rPr>
          <w:spacing w:val="-6"/>
          <w:sz w:val="21"/>
          <w:szCs w:val="21"/>
        </w:rPr>
        <w:t>ICIDH</w:t>
      </w:r>
      <w:r>
        <w:rPr>
          <w:rFonts w:hint="eastAsia"/>
          <w:sz w:val="21"/>
          <w:szCs w:val="21"/>
        </w:rPr>
        <w:t>及</w:t>
      </w:r>
      <w:r>
        <w:rPr>
          <w:rFonts w:cs="Arial"/>
          <w:spacing w:val="-18"/>
          <w:sz w:val="21"/>
          <w:szCs w:val="21"/>
        </w:rPr>
        <w:t>ICF </w:t>
      </w:r>
    </w:p>
    <w:p w:rsidR="003717A0" w:rsidRDefault="003717A0">
      <w:pPr>
        <w:pStyle w:val="reader-word-layerreader-word-s2-3"/>
        <w:shd w:val="clear" w:color="auto" w:fill="FFFFFF"/>
        <w:rPr>
          <w:rFonts w:cs="Arial"/>
          <w:sz w:val="21"/>
          <w:szCs w:val="21"/>
        </w:rPr>
      </w:pPr>
      <w:r>
        <w:rPr>
          <w:rFonts w:cs="Arial" w:hint="eastAsia"/>
          <w:sz w:val="21"/>
          <w:szCs w:val="21"/>
        </w:rPr>
        <w:t>【学时安排】</w:t>
      </w:r>
    </w:p>
    <w:p w:rsidR="003717A0" w:rsidRDefault="003717A0">
      <w:pPr>
        <w:pStyle w:val="reader-word-layerreader-word-s2-4"/>
        <w:shd w:val="clear" w:color="auto" w:fill="FFFFFF"/>
        <w:rPr>
          <w:rFonts w:cs="Arial"/>
          <w:sz w:val="21"/>
          <w:szCs w:val="21"/>
        </w:rPr>
      </w:pPr>
      <w:r>
        <w:rPr>
          <w:sz w:val="21"/>
          <w:szCs w:val="21"/>
        </w:rPr>
        <w:lastRenderedPageBreak/>
        <w:t>4</w:t>
      </w:r>
      <w:r>
        <w:rPr>
          <w:rFonts w:hint="eastAsia"/>
          <w:sz w:val="21"/>
          <w:szCs w:val="21"/>
        </w:rPr>
        <w:t>学时</w:t>
      </w:r>
    </w:p>
    <w:p w:rsidR="003717A0" w:rsidRDefault="003717A0">
      <w:pPr>
        <w:pStyle w:val="reader-word-layerreader-word-s2-4"/>
        <w:shd w:val="clear" w:color="auto" w:fill="FFFFFF"/>
        <w:rPr>
          <w:rFonts w:cs="Arial"/>
          <w:b/>
          <w:sz w:val="21"/>
          <w:szCs w:val="21"/>
        </w:rPr>
      </w:pPr>
      <w:r>
        <w:rPr>
          <w:sz w:val="21"/>
          <w:szCs w:val="21"/>
        </w:rPr>
        <w:t> </w:t>
      </w:r>
      <w:r>
        <w:rPr>
          <w:rFonts w:hint="eastAsia"/>
          <w:b/>
          <w:sz w:val="21"/>
          <w:szCs w:val="21"/>
        </w:rPr>
        <w:t>第四章</w:t>
      </w:r>
      <w:r>
        <w:rPr>
          <w:b/>
          <w:sz w:val="21"/>
          <w:szCs w:val="21"/>
        </w:rPr>
        <w:t xml:space="preserve">   </w:t>
      </w:r>
      <w:r>
        <w:rPr>
          <w:rFonts w:hint="eastAsia"/>
          <w:b/>
          <w:sz w:val="21"/>
          <w:szCs w:val="21"/>
        </w:rPr>
        <w:t>功能障碍</w:t>
      </w:r>
    </w:p>
    <w:p w:rsidR="003717A0" w:rsidRDefault="003717A0">
      <w:pPr>
        <w:pStyle w:val="reader-word-layerreader-word-s2-3"/>
        <w:shd w:val="clear" w:color="auto" w:fill="FFFFFF"/>
        <w:rPr>
          <w:rFonts w:cs="Arial"/>
          <w:sz w:val="21"/>
          <w:szCs w:val="21"/>
        </w:rPr>
      </w:pPr>
      <w:r>
        <w:rPr>
          <w:rFonts w:cs="Arial" w:hint="eastAsia"/>
          <w:sz w:val="21"/>
          <w:szCs w:val="21"/>
        </w:rPr>
        <w:t>【教学内容】</w:t>
      </w:r>
    </w:p>
    <w:p w:rsidR="003717A0" w:rsidRDefault="003717A0">
      <w:pPr>
        <w:pStyle w:val="reader-word-layerreader-word-s2-5"/>
        <w:shd w:val="clear" w:color="auto" w:fill="FFFFFF"/>
        <w:rPr>
          <w:rFonts w:cs="Arial"/>
          <w:sz w:val="21"/>
          <w:szCs w:val="21"/>
        </w:rPr>
      </w:pPr>
      <w:r>
        <w:rPr>
          <w:sz w:val="21"/>
          <w:szCs w:val="21"/>
        </w:rPr>
        <w:t>1</w:t>
      </w:r>
      <w:r>
        <w:rPr>
          <w:rFonts w:hint="eastAsia"/>
          <w:sz w:val="21"/>
          <w:szCs w:val="21"/>
        </w:rPr>
        <w:t>残损、活动受限和参与局限</w:t>
      </w:r>
    </w:p>
    <w:p w:rsidR="003717A0" w:rsidRDefault="003717A0">
      <w:pPr>
        <w:pStyle w:val="reader-word-layerreader-word-s2-4"/>
        <w:shd w:val="clear" w:color="auto" w:fill="FFFFFF"/>
        <w:rPr>
          <w:rFonts w:cs="Arial"/>
          <w:sz w:val="21"/>
          <w:szCs w:val="21"/>
        </w:rPr>
      </w:pPr>
      <w:r>
        <w:rPr>
          <w:rFonts w:cs="Arial"/>
          <w:sz w:val="21"/>
          <w:szCs w:val="21"/>
        </w:rPr>
        <w:t>2</w:t>
      </w:r>
      <w:r>
        <w:rPr>
          <w:rFonts w:hint="eastAsia"/>
          <w:sz w:val="21"/>
          <w:szCs w:val="21"/>
        </w:rPr>
        <w:t>功能障碍的评定</w:t>
      </w:r>
    </w:p>
    <w:p w:rsidR="003717A0" w:rsidRDefault="003717A0">
      <w:pPr>
        <w:pStyle w:val="reader-word-layerreader-word-s2-4"/>
        <w:shd w:val="clear" w:color="auto" w:fill="FFFFFF"/>
        <w:rPr>
          <w:rFonts w:cs="Arial"/>
          <w:sz w:val="21"/>
          <w:szCs w:val="21"/>
        </w:rPr>
      </w:pPr>
      <w:r>
        <w:rPr>
          <w:rFonts w:cs="Arial"/>
          <w:sz w:val="21"/>
          <w:szCs w:val="21"/>
        </w:rPr>
        <w:t>3</w:t>
      </w:r>
      <w:r>
        <w:rPr>
          <w:rFonts w:hint="eastAsia"/>
          <w:sz w:val="21"/>
          <w:szCs w:val="21"/>
        </w:rPr>
        <w:t>功能障碍的康复治疗</w:t>
      </w:r>
    </w:p>
    <w:p w:rsidR="003717A0" w:rsidRDefault="003717A0">
      <w:pPr>
        <w:pStyle w:val="reader-word-layerreader-word-s2-3"/>
        <w:shd w:val="clear" w:color="auto" w:fill="FFFFFF"/>
        <w:rPr>
          <w:rFonts w:cs="Arial"/>
          <w:sz w:val="21"/>
          <w:szCs w:val="21"/>
        </w:rPr>
      </w:pPr>
      <w:r>
        <w:rPr>
          <w:rFonts w:hint="eastAsia"/>
          <w:sz w:val="21"/>
          <w:szCs w:val="21"/>
        </w:rPr>
        <w:t>【基本要求】</w:t>
      </w:r>
    </w:p>
    <w:p w:rsidR="003717A0" w:rsidRDefault="003717A0">
      <w:pPr>
        <w:pStyle w:val="reader-word-layerreader-word-s2-13"/>
        <w:shd w:val="clear" w:color="auto" w:fill="FFFFFF"/>
        <w:rPr>
          <w:rFonts w:cs="Arial"/>
          <w:sz w:val="21"/>
          <w:szCs w:val="21"/>
        </w:rPr>
      </w:pPr>
      <w:r>
        <w:rPr>
          <w:sz w:val="21"/>
          <w:szCs w:val="21"/>
        </w:rPr>
        <w:t>1</w:t>
      </w:r>
      <w:r>
        <w:rPr>
          <w:rFonts w:hint="eastAsia"/>
          <w:sz w:val="21"/>
          <w:szCs w:val="21"/>
        </w:rPr>
        <w:t>掌握功能、功能障碍的定义。</w:t>
      </w:r>
    </w:p>
    <w:p w:rsidR="003717A0" w:rsidRDefault="003717A0">
      <w:pPr>
        <w:pStyle w:val="reader-word-layerreader-word-s2-13"/>
        <w:shd w:val="clear" w:color="auto" w:fill="FFFFFF"/>
        <w:rPr>
          <w:rFonts w:cs="Arial"/>
          <w:sz w:val="21"/>
          <w:szCs w:val="21"/>
        </w:rPr>
      </w:pPr>
      <w:r>
        <w:rPr>
          <w:sz w:val="21"/>
          <w:szCs w:val="21"/>
        </w:rPr>
        <w:t>2</w:t>
      </w:r>
      <w:r>
        <w:rPr>
          <w:rFonts w:hint="eastAsia"/>
          <w:sz w:val="21"/>
          <w:szCs w:val="21"/>
        </w:rPr>
        <w:t>熟悉功能障碍评定的意义；功能障碍康复治疗的原则。</w:t>
      </w:r>
    </w:p>
    <w:p w:rsidR="003717A0" w:rsidRDefault="003717A0">
      <w:pPr>
        <w:pStyle w:val="reader-word-layerreader-word-s2-13"/>
        <w:shd w:val="clear" w:color="auto" w:fill="FFFFFF"/>
        <w:rPr>
          <w:rFonts w:cs="Arial"/>
          <w:sz w:val="21"/>
          <w:szCs w:val="21"/>
        </w:rPr>
      </w:pPr>
      <w:r>
        <w:rPr>
          <w:sz w:val="21"/>
          <w:szCs w:val="21"/>
        </w:rPr>
        <w:t>3</w:t>
      </w:r>
      <w:r>
        <w:rPr>
          <w:rFonts w:hint="eastAsia"/>
          <w:sz w:val="21"/>
          <w:szCs w:val="21"/>
        </w:rPr>
        <w:t>了解残损、活动受限与参与局限的异同。</w:t>
      </w:r>
    </w:p>
    <w:p w:rsidR="003717A0" w:rsidRDefault="003717A0">
      <w:pPr>
        <w:pStyle w:val="reader-word-layerreader-word-s2-3"/>
        <w:shd w:val="clear" w:color="auto" w:fill="FFFFFF"/>
        <w:rPr>
          <w:rFonts w:cs="Arial"/>
          <w:sz w:val="21"/>
          <w:szCs w:val="21"/>
        </w:rPr>
      </w:pPr>
      <w:r>
        <w:rPr>
          <w:rFonts w:hint="eastAsia"/>
          <w:sz w:val="21"/>
          <w:szCs w:val="21"/>
        </w:rPr>
        <w:t>【重难点】</w:t>
      </w:r>
    </w:p>
    <w:p w:rsidR="003717A0" w:rsidRDefault="003717A0">
      <w:pPr>
        <w:pStyle w:val="reader-word-layerreader-word-s2-2"/>
        <w:shd w:val="clear" w:color="auto" w:fill="FFFFFF"/>
        <w:rPr>
          <w:rFonts w:cs="Arial"/>
          <w:spacing w:val="-11"/>
          <w:sz w:val="21"/>
          <w:szCs w:val="21"/>
        </w:rPr>
      </w:pPr>
      <w:r>
        <w:rPr>
          <w:rFonts w:hint="eastAsia"/>
          <w:sz w:val="21"/>
          <w:szCs w:val="21"/>
        </w:rPr>
        <w:t>残损、活动受限与参与局限的异同</w:t>
      </w:r>
    </w:p>
    <w:p w:rsidR="003717A0" w:rsidRDefault="003717A0">
      <w:pPr>
        <w:pStyle w:val="reader-word-layerreader-word-s2-3"/>
        <w:shd w:val="clear" w:color="auto" w:fill="FFFFFF"/>
        <w:rPr>
          <w:rFonts w:cs="Arial"/>
          <w:sz w:val="21"/>
          <w:szCs w:val="21"/>
        </w:rPr>
      </w:pPr>
      <w:r>
        <w:rPr>
          <w:rFonts w:cs="Arial" w:hint="eastAsia"/>
          <w:sz w:val="21"/>
          <w:szCs w:val="21"/>
        </w:rPr>
        <w:t>【学时安排】</w:t>
      </w:r>
    </w:p>
    <w:p w:rsidR="003717A0" w:rsidRDefault="003717A0">
      <w:pPr>
        <w:pStyle w:val="reader-word-layerreader-word-s2-4"/>
        <w:shd w:val="clear" w:color="auto" w:fill="FFFFFF"/>
        <w:rPr>
          <w:rFonts w:cs="Arial"/>
          <w:sz w:val="21"/>
          <w:szCs w:val="21"/>
        </w:rPr>
      </w:pPr>
      <w:r>
        <w:rPr>
          <w:sz w:val="21"/>
          <w:szCs w:val="21"/>
        </w:rPr>
        <w:t>2</w:t>
      </w:r>
      <w:r>
        <w:rPr>
          <w:rFonts w:hint="eastAsia"/>
          <w:sz w:val="21"/>
          <w:szCs w:val="21"/>
        </w:rPr>
        <w:t>学时</w:t>
      </w:r>
    </w:p>
    <w:p w:rsidR="003717A0" w:rsidRDefault="003717A0">
      <w:pPr>
        <w:pStyle w:val="reader-word-layerreader-word-s2-3"/>
        <w:shd w:val="clear" w:color="auto" w:fill="FFFFFF"/>
        <w:rPr>
          <w:rFonts w:cs="Arial"/>
          <w:b/>
          <w:sz w:val="21"/>
          <w:szCs w:val="21"/>
        </w:rPr>
      </w:pPr>
      <w:r>
        <w:rPr>
          <w:rFonts w:hint="eastAsia"/>
          <w:b/>
          <w:sz w:val="21"/>
          <w:szCs w:val="21"/>
        </w:rPr>
        <w:t>第五章</w:t>
      </w:r>
      <w:r>
        <w:rPr>
          <w:b/>
          <w:sz w:val="21"/>
          <w:szCs w:val="21"/>
        </w:rPr>
        <w:t xml:space="preserve">   </w:t>
      </w:r>
      <w:r>
        <w:rPr>
          <w:rFonts w:cs="Arial" w:hint="eastAsia"/>
          <w:b/>
          <w:spacing w:val="-5"/>
          <w:sz w:val="21"/>
          <w:szCs w:val="21"/>
        </w:rPr>
        <w:t>康复医学的工作方式和流程</w:t>
      </w:r>
    </w:p>
    <w:p w:rsidR="003717A0" w:rsidRDefault="003717A0">
      <w:pPr>
        <w:pStyle w:val="reader-word-layerreader-word-s2-5"/>
        <w:shd w:val="clear" w:color="auto" w:fill="FFFFFF"/>
        <w:rPr>
          <w:rFonts w:cs="Arial"/>
          <w:sz w:val="21"/>
          <w:szCs w:val="21"/>
        </w:rPr>
      </w:pPr>
      <w:r>
        <w:rPr>
          <w:rFonts w:hint="eastAsia"/>
          <w:sz w:val="21"/>
          <w:szCs w:val="21"/>
        </w:rPr>
        <w:t>【教学内容】</w:t>
      </w:r>
    </w:p>
    <w:p w:rsidR="003717A0" w:rsidRDefault="003717A0">
      <w:pPr>
        <w:pStyle w:val="reader-word-layerreader-word-s2-5"/>
        <w:shd w:val="clear" w:color="auto" w:fill="FFFFFF"/>
        <w:rPr>
          <w:rFonts w:cs="Arial"/>
          <w:sz w:val="21"/>
          <w:szCs w:val="21"/>
        </w:rPr>
      </w:pPr>
      <w:r>
        <w:rPr>
          <w:sz w:val="21"/>
          <w:szCs w:val="21"/>
        </w:rPr>
        <w:t>1</w:t>
      </w:r>
      <w:r>
        <w:rPr>
          <w:rFonts w:hint="eastAsia"/>
          <w:sz w:val="21"/>
          <w:szCs w:val="21"/>
        </w:rPr>
        <w:t>机构康复</w:t>
      </w:r>
    </w:p>
    <w:p w:rsidR="003717A0" w:rsidRDefault="003717A0">
      <w:pPr>
        <w:pStyle w:val="reader-word-layerreader-word-s2-4"/>
        <w:shd w:val="clear" w:color="auto" w:fill="FFFFFF"/>
        <w:rPr>
          <w:rFonts w:cs="Arial"/>
          <w:sz w:val="21"/>
          <w:szCs w:val="21"/>
        </w:rPr>
      </w:pPr>
      <w:r>
        <w:rPr>
          <w:sz w:val="21"/>
          <w:szCs w:val="21"/>
        </w:rPr>
        <w:t>2</w:t>
      </w:r>
      <w:r>
        <w:rPr>
          <w:rFonts w:hint="eastAsia"/>
          <w:sz w:val="21"/>
          <w:szCs w:val="21"/>
        </w:rPr>
        <w:t>社区康复</w:t>
      </w:r>
    </w:p>
    <w:p w:rsidR="003717A0" w:rsidRDefault="003717A0">
      <w:pPr>
        <w:pStyle w:val="reader-word-layerreader-word-s3-1"/>
        <w:shd w:val="clear" w:color="auto" w:fill="FFFFFF"/>
        <w:rPr>
          <w:rFonts w:cs="Arial"/>
          <w:sz w:val="21"/>
          <w:szCs w:val="21"/>
        </w:rPr>
      </w:pPr>
      <w:r>
        <w:rPr>
          <w:rFonts w:cs="Arial"/>
          <w:sz w:val="21"/>
          <w:szCs w:val="21"/>
        </w:rPr>
        <w:t>3</w:t>
      </w:r>
      <w:r>
        <w:rPr>
          <w:rFonts w:hint="eastAsia"/>
          <w:sz w:val="21"/>
          <w:szCs w:val="21"/>
        </w:rPr>
        <w:t>工作方法</w:t>
      </w:r>
      <w:r>
        <w:rPr>
          <w:sz w:val="21"/>
          <w:szCs w:val="21"/>
        </w:rPr>
        <w:t>——</w:t>
      </w:r>
      <w:r>
        <w:rPr>
          <w:rFonts w:hint="eastAsia"/>
          <w:sz w:val="21"/>
          <w:szCs w:val="21"/>
        </w:rPr>
        <w:t>康复协作组</w:t>
      </w:r>
    </w:p>
    <w:p w:rsidR="003717A0" w:rsidRDefault="003717A0">
      <w:pPr>
        <w:pStyle w:val="reader-word-layerreader-word-s3-1"/>
        <w:shd w:val="clear" w:color="auto" w:fill="FFFFFF"/>
        <w:rPr>
          <w:rFonts w:cs="Arial"/>
          <w:sz w:val="21"/>
          <w:szCs w:val="21"/>
        </w:rPr>
      </w:pPr>
      <w:r>
        <w:rPr>
          <w:rFonts w:cs="Arial"/>
          <w:sz w:val="21"/>
          <w:szCs w:val="21"/>
        </w:rPr>
        <w:t>4</w:t>
      </w:r>
      <w:r>
        <w:rPr>
          <w:rFonts w:hint="eastAsia"/>
          <w:sz w:val="21"/>
          <w:szCs w:val="21"/>
        </w:rPr>
        <w:t>康复工作流程</w:t>
      </w:r>
    </w:p>
    <w:p w:rsidR="003717A0" w:rsidRDefault="003717A0">
      <w:pPr>
        <w:pStyle w:val="reader-word-layerreader-word-s3-1"/>
        <w:shd w:val="clear" w:color="auto" w:fill="FFFFFF"/>
        <w:rPr>
          <w:rFonts w:cs="Arial"/>
          <w:sz w:val="21"/>
          <w:szCs w:val="21"/>
        </w:rPr>
      </w:pPr>
      <w:r>
        <w:rPr>
          <w:rFonts w:cs="Arial"/>
          <w:sz w:val="21"/>
          <w:szCs w:val="21"/>
        </w:rPr>
        <w:t>5</w:t>
      </w:r>
      <w:r>
        <w:rPr>
          <w:rFonts w:hint="eastAsia"/>
          <w:sz w:val="21"/>
          <w:szCs w:val="21"/>
        </w:rPr>
        <w:t>康复结局</w:t>
      </w:r>
      <w:r>
        <w:rPr>
          <w:rFonts w:cs="Arial"/>
          <w:sz w:val="21"/>
          <w:szCs w:val="21"/>
        </w:rPr>
        <w:t> </w:t>
      </w:r>
    </w:p>
    <w:p w:rsidR="003717A0" w:rsidRDefault="003717A0">
      <w:pPr>
        <w:pStyle w:val="reader-word-layerreader-word-s3-7"/>
        <w:shd w:val="clear" w:color="auto" w:fill="FFFFFF"/>
        <w:rPr>
          <w:rFonts w:cs="Arial"/>
          <w:sz w:val="21"/>
          <w:szCs w:val="21"/>
        </w:rPr>
      </w:pPr>
      <w:r>
        <w:rPr>
          <w:rFonts w:hint="eastAsia"/>
          <w:sz w:val="21"/>
          <w:szCs w:val="21"/>
        </w:rPr>
        <w:t>【基本要求】</w:t>
      </w:r>
    </w:p>
    <w:p w:rsidR="003717A0" w:rsidRDefault="003717A0">
      <w:pPr>
        <w:pStyle w:val="reader-word-layerreader-word-s3-9"/>
        <w:shd w:val="clear" w:color="auto" w:fill="FFFFFF"/>
        <w:rPr>
          <w:rFonts w:cs="Arial"/>
          <w:sz w:val="21"/>
          <w:szCs w:val="21"/>
        </w:rPr>
      </w:pPr>
      <w:r>
        <w:rPr>
          <w:sz w:val="21"/>
          <w:szCs w:val="21"/>
        </w:rPr>
        <w:t>1</w:t>
      </w:r>
      <w:r>
        <w:rPr>
          <w:rFonts w:hint="eastAsia"/>
          <w:sz w:val="21"/>
          <w:szCs w:val="21"/>
        </w:rPr>
        <w:t>掌握康复协作组的概念及康复医学专业人员的职责；康复门诊和病房的工作流程；康复</w:t>
      </w:r>
      <w:r>
        <w:rPr>
          <w:rFonts w:cs="Arial" w:hint="eastAsia"/>
          <w:sz w:val="21"/>
          <w:szCs w:val="21"/>
        </w:rPr>
        <w:t>结局的概念。</w:t>
      </w:r>
    </w:p>
    <w:p w:rsidR="003717A0" w:rsidRDefault="003717A0">
      <w:pPr>
        <w:pStyle w:val="reader-word-layerreader-word-s3-9"/>
        <w:shd w:val="clear" w:color="auto" w:fill="FFFFFF"/>
        <w:rPr>
          <w:rFonts w:cs="Arial"/>
          <w:sz w:val="21"/>
          <w:szCs w:val="21"/>
        </w:rPr>
      </w:pPr>
      <w:r>
        <w:rPr>
          <w:sz w:val="21"/>
          <w:szCs w:val="21"/>
        </w:rPr>
        <w:lastRenderedPageBreak/>
        <w:t>2</w:t>
      </w:r>
      <w:r>
        <w:rPr>
          <w:rFonts w:hint="eastAsia"/>
          <w:sz w:val="21"/>
          <w:szCs w:val="21"/>
        </w:rPr>
        <w:t>熟悉社区康复工作流程。</w:t>
      </w:r>
    </w:p>
    <w:p w:rsidR="003717A0" w:rsidRDefault="003717A0">
      <w:pPr>
        <w:pStyle w:val="reader-word-layerreader-word-s3-9"/>
        <w:shd w:val="clear" w:color="auto" w:fill="FFFFFF"/>
        <w:rPr>
          <w:rFonts w:cs="Arial"/>
          <w:sz w:val="21"/>
          <w:szCs w:val="21"/>
        </w:rPr>
      </w:pPr>
      <w:r>
        <w:rPr>
          <w:sz w:val="21"/>
          <w:szCs w:val="21"/>
        </w:rPr>
        <w:t>3</w:t>
      </w:r>
      <w:r>
        <w:rPr>
          <w:rFonts w:hint="eastAsia"/>
          <w:sz w:val="21"/>
          <w:szCs w:val="21"/>
        </w:rPr>
        <w:t>了解康复结局的评定。</w:t>
      </w:r>
    </w:p>
    <w:p w:rsidR="003717A0" w:rsidRDefault="003717A0">
      <w:pPr>
        <w:pStyle w:val="reader-word-layerreader-word-s3-7"/>
        <w:shd w:val="clear" w:color="auto" w:fill="FFFFFF"/>
        <w:rPr>
          <w:rFonts w:cs="Arial"/>
          <w:sz w:val="21"/>
          <w:szCs w:val="21"/>
        </w:rPr>
      </w:pPr>
      <w:r>
        <w:rPr>
          <w:rFonts w:cs="Arial" w:hint="eastAsia"/>
          <w:sz w:val="21"/>
          <w:szCs w:val="21"/>
        </w:rPr>
        <w:t>【重难点】</w:t>
      </w:r>
    </w:p>
    <w:p w:rsidR="003717A0" w:rsidRDefault="003717A0">
      <w:pPr>
        <w:pStyle w:val="reader-word-layerreader-word-s3-8"/>
        <w:shd w:val="clear" w:color="auto" w:fill="FFFFFF"/>
        <w:rPr>
          <w:rFonts w:cs="Arial"/>
          <w:sz w:val="21"/>
          <w:szCs w:val="21"/>
        </w:rPr>
      </w:pPr>
      <w:r>
        <w:rPr>
          <w:sz w:val="21"/>
          <w:szCs w:val="21"/>
        </w:rPr>
        <w:t>1</w:t>
      </w:r>
      <w:r>
        <w:rPr>
          <w:rFonts w:hint="eastAsia"/>
          <w:sz w:val="21"/>
          <w:szCs w:val="21"/>
        </w:rPr>
        <w:t>康复工作的流程</w:t>
      </w:r>
    </w:p>
    <w:p w:rsidR="003717A0" w:rsidRDefault="003717A0">
      <w:pPr>
        <w:pStyle w:val="reader-word-layerreader-word-s3-1"/>
        <w:shd w:val="clear" w:color="auto" w:fill="FFFFFF"/>
        <w:rPr>
          <w:rFonts w:cs="Arial"/>
          <w:sz w:val="21"/>
          <w:szCs w:val="21"/>
        </w:rPr>
      </w:pPr>
      <w:r>
        <w:rPr>
          <w:rFonts w:cs="Arial"/>
          <w:sz w:val="21"/>
          <w:szCs w:val="21"/>
        </w:rPr>
        <w:t>2</w:t>
      </w:r>
      <w:r>
        <w:rPr>
          <w:rFonts w:hint="eastAsia"/>
          <w:sz w:val="21"/>
          <w:szCs w:val="21"/>
        </w:rPr>
        <w:t>康复协作组</w:t>
      </w:r>
    </w:p>
    <w:p w:rsidR="003717A0" w:rsidRDefault="003717A0">
      <w:pPr>
        <w:pStyle w:val="reader-word-layerreader-word-s3-7"/>
        <w:shd w:val="clear" w:color="auto" w:fill="FFFFFF"/>
        <w:rPr>
          <w:rFonts w:cs="Arial"/>
          <w:sz w:val="21"/>
          <w:szCs w:val="21"/>
        </w:rPr>
      </w:pPr>
      <w:r>
        <w:rPr>
          <w:rFonts w:cs="Arial" w:hint="eastAsia"/>
          <w:sz w:val="21"/>
          <w:szCs w:val="21"/>
        </w:rPr>
        <w:t>【学时安排】</w:t>
      </w:r>
    </w:p>
    <w:p w:rsidR="003717A0" w:rsidRDefault="003717A0">
      <w:pPr>
        <w:pStyle w:val="reader-word-layerreader-word-s3-8"/>
        <w:shd w:val="clear" w:color="auto" w:fill="FFFFFF"/>
        <w:rPr>
          <w:sz w:val="21"/>
          <w:szCs w:val="21"/>
        </w:rPr>
      </w:pPr>
      <w:r>
        <w:rPr>
          <w:sz w:val="21"/>
          <w:szCs w:val="21"/>
        </w:rPr>
        <w:t>5</w:t>
      </w:r>
      <w:r>
        <w:rPr>
          <w:rFonts w:hint="eastAsia"/>
          <w:sz w:val="21"/>
          <w:szCs w:val="21"/>
        </w:rPr>
        <w:t>学时</w:t>
      </w:r>
    </w:p>
    <w:p w:rsidR="003717A0" w:rsidRDefault="003717A0">
      <w:pPr>
        <w:pStyle w:val="reader-word-layerreader-word-s3-8"/>
        <w:shd w:val="clear" w:color="auto" w:fill="FFFFFF"/>
        <w:rPr>
          <w:b/>
          <w:sz w:val="21"/>
          <w:szCs w:val="21"/>
        </w:rPr>
      </w:pPr>
      <w:r>
        <w:rPr>
          <w:rFonts w:hint="eastAsia"/>
          <w:b/>
          <w:sz w:val="21"/>
          <w:szCs w:val="21"/>
        </w:rPr>
        <w:t>第六章</w:t>
      </w:r>
      <w:r>
        <w:rPr>
          <w:b/>
          <w:sz w:val="21"/>
          <w:szCs w:val="21"/>
        </w:rPr>
        <w:t xml:space="preserve">  </w:t>
      </w:r>
      <w:r>
        <w:rPr>
          <w:rFonts w:hint="eastAsia"/>
          <w:b/>
          <w:sz w:val="21"/>
          <w:szCs w:val="21"/>
        </w:rPr>
        <w:t>康复医学中的科学研究</w:t>
      </w:r>
    </w:p>
    <w:p w:rsidR="003717A0" w:rsidRDefault="003717A0">
      <w:pPr>
        <w:pStyle w:val="reader-word-layerreader-word-s3-7"/>
        <w:shd w:val="clear" w:color="auto" w:fill="FFFFFF"/>
        <w:rPr>
          <w:rFonts w:cs="Arial"/>
          <w:sz w:val="21"/>
          <w:szCs w:val="21"/>
        </w:rPr>
      </w:pPr>
      <w:r>
        <w:rPr>
          <w:rFonts w:hint="eastAsia"/>
          <w:sz w:val="21"/>
          <w:szCs w:val="21"/>
        </w:rPr>
        <w:t>【教学内容】</w:t>
      </w:r>
    </w:p>
    <w:p w:rsidR="003717A0" w:rsidRDefault="003717A0">
      <w:pPr>
        <w:pStyle w:val="reader-word-layerreader-word-s3-8"/>
        <w:shd w:val="clear" w:color="auto" w:fill="FFFFFF"/>
        <w:rPr>
          <w:rFonts w:cs="Arial"/>
          <w:sz w:val="21"/>
          <w:szCs w:val="21"/>
        </w:rPr>
      </w:pPr>
      <w:r>
        <w:rPr>
          <w:rFonts w:cs="Arial" w:hint="eastAsia"/>
          <w:sz w:val="21"/>
          <w:szCs w:val="21"/>
        </w:rPr>
        <w:t>康复医学科研的任务、意义、方法</w:t>
      </w:r>
    </w:p>
    <w:p w:rsidR="003717A0" w:rsidRDefault="003717A0">
      <w:pPr>
        <w:pStyle w:val="reader-word-layerreader-word-s3-8"/>
        <w:shd w:val="clear" w:color="auto" w:fill="FFFFFF"/>
        <w:rPr>
          <w:rFonts w:cs="Arial"/>
          <w:sz w:val="21"/>
          <w:szCs w:val="21"/>
        </w:rPr>
      </w:pPr>
      <w:r>
        <w:rPr>
          <w:rFonts w:cs="Arial" w:hint="eastAsia"/>
          <w:sz w:val="21"/>
          <w:szCs w:val="21"/>
        </w:rPr>
        <w:t>临床医学科研设计</w:t>
      </w:r>
    </w:p>
    <w:p w:rsidR="003717A0" w:rsidRDefault="003717A0">
      <w:pPr>
        <w:pStyle w:val="reader-word-layerreader-word-s3-8"/>
        <w:shd w:val="clear" w:color="auto" w:fill="FFFFFF"/>
        <w:rPr>
          <w:rFonts w:cs="Arial"/>
          <w:sz w:val="21"/>
          <w:szCs w:val="21"/>
        </w:rPr>
      </w:pPr>
      <w:r>
        <w:rPr>
          <w:rFonts w:cs="Arial" w:hint="eastAsia"/>
          <w:sz w:val="21"/>
          <w:szCs w:val="21"/>
        </w:rPr>
        <w:t>卫生经济学评价</w:t>
      </w:r>
    </w:p>
    <w:p w:rsidR="003717A0" w:rsidRDefault="003717A0">
      <w:pPr>
        <w:pStyle w:val="reader-word-layerreader-word-s3-8"/>
        <w:shd w:val="clear" w:color="auto" w:fill="FFFFFF"/>
        <w:rPr>
          <w:rFonts w:cs="Arial"/>
          <w:sz w:val="21"/>
          <w:szCs w:val="21"/>
        </w:rPr>
      </w:pPr>
      <w:r>
        <w:rPr>
          <w:rFonts w:cs="Arial" w:hint="eastAsia"/>
          <w:sz w:val="21"/>
          <w:szCs w:val="21"/>
        </w:rPr>
        <w:t>循证医学</w:t>
      </w:r>
    </w:p>
    <w:p w:rsidR="003717A0" w:rsidRDefault="003717A0">
      <w:pPr>
        <w:pStyle w:val="reader-word-layerreader-word-s3-8"/>
        <w:shd w:val="clear" w:color="auto" w:fill="FFFFFF"/>
        <w:rPr>
          <w:rFonts w:cs="Arial"/>
          <w:sz w:val="21"/>
          <w:szCs w:val="21"/>
        </w:rPr>
      </w:pPr>
      <w:r>
        <w:rPr>
          <w:rFonts w:cs="Arial" w:hint="eastAsia"/>
          <w:sz w:val="21"/>
          <w:szCs w:val="21"/>
        </w:rPr>
        <w:t>医学综述和科研论文写作</w:t>
      </w:r>
    </w:p>
    <w:p w:rsidR="003717A0" w:rsidRDefault="003717A0">
      <w:pPr>
        <w:pStyle w:val="reader-word-layerreader-word-s3-7"/>
        <w:shd w:val="clear" w:color="auto" w:fill="FFFFFF"/>
        <w:rPr>
          <w:rFonts w:cs="Arial"/>
          <w:sz w:val="21"/>
          <w:szCs w:val="21"/>
        </w:rPr>
      </w:pPr>
      <w:r>
        <w:rPr>
          <w:rFonts w:cs="Arial" w:hint="eastAsia"/>
          <w:sz w:val="21"/>
          <w:szCs w:val="21"/>
        </w:rPr>
        <w:t>【基本要求】</w:t>
      </w:r>
    </w:p>
    <w:p w:rsidR="003717A0" w:rsidRDefault="003717A0">
      <w:pPr>
        <w:pStyle w:val="reader-word-layerreader-word-s3-8"/>
        <w:shd w:val="clear" w:color="auto" w:fill="FFFFFF"/>
        <w:rPr>
          <w:rFonts w:cs="Arial"/>
          <w:sz w:val="21"/>
          <w:szCs w:val="21"/>
        </w:rPr>
      </w:pPr>
      <w:r>
        <w:rPr>
          <w:rFonts w:cs="Arial" w:hint="eastAsia"/>
          <w:sz w:val="21"/>
          <w:szCs w:val="21"/>
        </w:rPr>
        <w:t>熟悉康复医学科研的设计、方法，论文的写作要点</w:t>
      </w:r>
    </w:p>
    <w:p w:rsidR="003717A0" w:rsidRDefault="003717A0">
      <w:pPr>
        <w:pStyle w:val="reader-word-layerreader-word-s3-8"/>
        <w:shd w:val="clear" w:color="auto" w:fill="FFFFFF"/>
        <w:rPr>
          <w:rFonts w:cs="Arial"/>
          <w:sz w:val="21"/>
          <w:szCs w:val="21"/>
        </w:rPr>
      </w:pPr>
      <w:r>
        <w:rPr>
          <w:rFonts w:cs="Arial" w:hint="eastAsia"/>
          <w:sz w:val="21"/>
          <w:szCs w:val="21"/>
        </w:rPr>
        <w:t>了解卫生经济学评价的概念和评价，循证医学的概念和操作步骤</w:t>
      </w:r>
    </w:p>
    <w:p w:rsidR="003717A0" w:rsidRDefault="003717A0">
      <w:pPr>
        <w:pStyle w:val="reader-word-layerreader-word-s3-7"/>
        <w:shd w:val="clear" w:color="auto" w:fill="FFFFFF"/>
        <w:rPr>
          <w:rFonts w:cs="Arial"/>
          <w:sz w:val="21"/>
          <w:szCs w:val="21"/>
        </w:rPr>
      </w:pPr>
      <w:r>
        <w:rPr>
          <w:rFonts w:cs="Arial" w:hint="eastAsia"/>
          <w:sz w:val="21"/>
          <w:szCs w:val="21"/>
        </w:rPr>
        <w:t>【重难点】</w:t>
      </w:r>
    </w:p>
    <w:p w:rsidR="003717A0" w:rsidRDefault="003717A0">
      <w:pPr>
        <w:pStyle w:val="reader-word-layerreader-word-s3-8"/>
        <w:shd w:val="clear" w:color="auto" w:fill="FFFFFF"/>
        <w:rPr>
          <w:rFonts w:cs="Arial"/>
          <w:sz w:val="21"/>
          <w:szCs w:val="21"/>
        </w:rPr>
      </w:pPr>
      <w:r>
        <w:rPr>
          <w:rFonts w:cs="Arial" w:hint="eastAsia"/>
          <w:sz w:val="21"/>
          <w:szCs w:val="21"/>
        </w:rPr>
        <w:t>康复医学科研的设计、方法，论文的写作要点</w:t>
      </w:r>
    </w:p>
    <w:p w:rsidR="003717A0" w:rsidRDefault="003717A0">
      <w:pPr>
        <w:pStyle w:val="reader-word-layerreader-word-s3-7"/>
        <w:shd w:val="clear" w:color="auto" w:fill="FFFFFF"/>
        <w:rPr>
          <w:rFonts w:cs="Arial"/>
          <w:sz w:val="21"/>
          <w:szCs w:val="21"/>
        </w:rPr>
      </w:pPr>
      <w:r>
        <w:rPr>
          <w:rFonts w:cs="Arial" w:hint="eastAsia"/>
          <w:sz w:val="21"/>
          <w:szCs w:val="21"/>
        </w:rPr>
        <w:t>【学时安排】</w:t>
      </w:r>
    </w:p>
    <w:p w:rsidR="003717A0" w:rsidRDefault="003717A0">
      <w:pPr>
        <w:pStyle w:val="reader-word-layerreader-word-s3-8"/>
        <w:shd w:val="clear" w:color="auto" w:fill="FFFFFF"/>
        <w:rPr>
          <w:rFonts w:cs="Arial"/>
          <w:sz w:val="21"/>
          <w:szCs w:val="21"/>
        </w:rPr>
      </w:pPr>
      <w:r>
        <w:rPr>
          <w:rFonts w:cs="Arial"/>
          <w:sz w:val="21"/>
          <w:szCs w:val="21"/>
        </w:rPr>
        <w:t>2</w:t>
      </w:r>
      <w:r>
        <w:rPr>
          <w:rFonts w:cs="Arial" w:hint="eastAsia"/>
          <w:sz w:val="21"/>
          <w:szCs w:val="21"/>
        </w:rPr>
        <w:t>学时</w:t>
      </w:r>
    </w:p>
    <w:p w:rsidR="003717A0" w:rsidRDefault="003717A0">
      <w:pPr>
        <w:pStyle w:val="reader-word-layerreader-word-s3-7"/>
        <w:shd w:val="clear" w:color="auto" w:fill="FFFFFF"/>
        <w:rPr>
          <w:rFonts w:cs="Arial"/>
          <w:b/>
          <w:sz w:val="21"/>
          <w:szCs w:val="21"/>
        </w:rPr>
      </w:pPr>
      <w:r>
        <w:rPr>
          <w:rFonts w:cs="Arial" w:hint="eastAsia"/>
          <w:b/>
          <w:sz w:val="21"/>
          <w:szCs w:val="21"/>
        </w:rPr>
        <w:t>第七章</w:t>
      </w:r>
      <w:r>
        <w:rPr>
          <w:rFonts w:cs="Arial"/>
          <w:b/>
          <w:sz w:val="21"/>
          <w:szCs w:val="21"/>
        </w:rPr>
        <w:t xml:space="preserve">  </w:t>
      </w:r>
      <w:r>
        <w:rPr>
          <w:rFonts w:hint="eastAsia"/>
          <w:b/>
          <w:sz w:val="21"/>
          <w:szCs w:val="21"/>
        </w:rPr>
        <w:t>康复医学科的设置和常用设备</w:t>
      </w:r>
    </w:p>
    <w:p w:rsidR="003717A0" w:rsidRDefault="003717A0">
      <w:pPr>
        <w:pStyle w:val="reader-word-layerreader-word-s3-7"/>
        <w:shd w:val="clear" w:color="auto" w:fill="FFFFFF"/>
        <w:rPr>
          <w:rFonts w:cs="Arial"/>
          <w:sz w:val="21"/>
          <w:szCs w:val="21"/>
        </w:rPr>
      </w:pPr>
      <w:r>
        <w:rPr>
          <w:rFonts w:hint="eastAsia"/>
          <w:sz w:val="21"/>
          <w:szCs w:val="21"/>
        </w:rPr>
        <w:t>【教学内容】</w:t>
      </w:r>
    </w:p>
    <w:p w:rsidR="003717A0" w:rsidRDefault="003717A0">
      <w:pPr>
        <w:pStyle w:val="reader-word-layerreader-word-s3-2"/>
        <w:shd w:val="clear" w:color="auto" w:fill="FFFFFF"/>
        <w:rPr>
          <w:rFonts w:cs="Arial"/>
          <w:spacing w:val="-9"/>
          <w:sz w:val="21"/>
          <w:szCs w:val="21"/>
        </w:rPr>
      </w:pPr>
      <w:r>
        <w:rPr>
          <w:rFonts w:cs="Arial" w:hint="eastAsia"/>
          <w:spacing w:val="-9"/>
          <w:sz w:val="21"/>
          <w:szCs w:val="21"/>
        </w:rPr>
        <w:t>康复医学科的设置：</w:t>
      </w:r>
    </w:p>
    <w:p w:rsidR="003717A0" w:rsidRDefault="003717A0">
      <w:pPr>
        <w:pStyle w:val="reader-word-layerreader-word-s3-15"/>
        <w:shd w:val="clear" w:color="auto" w:fill="FFFFFF"/>
        <w:rPr>
          <w:rFonts w:cs="Arial"/>
          <w:sz w:val="21"/>
          <w:szCs w:val="21"/>
        </w:rPr>
      </w:pPr>
      <w:r>
        <w:rPr>
          <w:rFonts w:cs="Arial" w:hint="eastAsia"/>
          <w:sz w:val="21"/>
          <w:szCs w:val="21"/>
        </w:rPr>
        <w:lastRenderedPageBreak/>
        <w:t>康复医学科的功能与作用、</w:t>
      </w:r>
    </w:p>
    <w:p w:rsidR="003717A0" w:rsidRDefault="003717A0">
      <w:pPr>
        <w:pStyle w:val="reader-word-layerreader-word-s3-11"/>
        <w:shd w:val="clear" w:color="auto" w:fill="FFFFFF"/>
        <w:rPr>
          <w:rFonts w:cs="Arial"/>
          <w:sz w:val="21"/>
          <w:szCs w:val="21"/>
        </w:rPr>
      </w:pPr>
      <w:r>
        <w:rPr>
          <w:rFonts w:cs="Arial" w:hint="eastAsia"/>
          <w:sz w:val="21"/>
          <w:szCs w:val="21"/>
        </w:rPr>
        <w:t>康复医学科设置的基本原则、</w:t>
      </w:r>
    </w:p>
    <w:p w:rsidR="003717A0" w:rsidRDefault="003717A0">
      <w:pPr>
        <w:pStyle w:val="reader-word-layerreader-word-s3-2"/>
        <w:shd w:val="clear" w:color="auto" w:fill="FFFFFF"/>
        <w:rPr>
          <w:rFonts w:cs="Arial"/>
          <w:spacing w:val="-16"/>
          <w:sz w:val="21"/>
          <w:szCs w:val="21"/>
        </w:rPr>
      </w:pPr>
      <w:r>
        <w:rPr>
          <w:rFonts w:cs="Arial" w:hint="eastAsia"/>
          <w:spacing w:val="-16"/>
          <w:sz w:val="21"/>
          <w:szCs w:val="21"/>
        </w:rPr>
        <w:t>康复医学科的</w:t>
      </w:r>
      <w:r>
        <w:rPr>
          <w:rFonts w:hint="eastAsia"/>
          <w:sz w:val="21"/>
          <w:szCs w:val="21"/>
        </w:rPr>
        <w:t>组成部分、康复医学科的人员组成、康复医学科的诊疗场地与设施</w:t>
      </w:r>
    </w:p>
    <w:p w:rsidR="003717A0" w:rsidRDefault="003717A0">
      <w:pPr>
        <w:pStyle w:val="reader-word-layerreader-word-s3-17"/>
        <w:shd w:val="clear" w:color="auto" w:fill="FFFFFF"/>
        <w:rPr>
          <w:rFonts w:cs="Arial"/>
          <w:sz w:val="21"/>
          <w:szCs w:val="21"/>
        </w:rPr>
      </w:pPr>
      <w:r>
        <w:rPr>
          <w:rFonts w:hint="eastAsia"/>
          <w:sz w:val="21"/>
          <w:szCs w:val="21"/>
        </w:rPr>
        <w:t>康复医学科的常用设备：功能评定设备、治疗与训练设备</w:t>
      </w:r>
    </w:p>
    <w:p w:rsidR="003717A0" w:rsidRDefault="003717A0">
      <w:pPr>
        <w:pStyle w:val="reader-word-layerreader-word-s3-7"/>
        <w:shd w:val="clear" w:color="auto" w:fill="FFFFFF"/>
        <w:rPr>
          <w:rFonts w:cs="Arial"/>
          <w:sz w:val="21"/>
          <w:szCs w:val="21"/>
        </w:rPr>
      </w:pPr>
      <w:r>
        <w:rPr>
          <w:rFonts w:cs="Arial" w:hint="eastAsia"/>
          <w:sz w:val="21"/>
          <w:szCs w:val="21"/>
        </w:rPr>
        <w:t>【基本要求】</w:t>
      </w:r>
    </w:p>
    <w:p w:rsidR="003717A0" w:rsidRDefault="003717A0">
      <w:pPr>
        <w:pStyle w:val="reader-word-layerreader-word-s3-8"/>
        <w:shd w:val="clear" w:color="auto" w:fill="FFFFFF"/>
        <w:rPr>
          <w:rFonts w:cs="Arial"/>
          <w:sz w:val="21"/>
          <w:szCs w:val="21"/>
        </w:rPr>
      </w:pPr>
      <w:r>
        <w:rPr>
          <w:sz w:val="21"/>
          <w:szCs w:val="21"/>
        </w:rPr>
        <w:t>1</w:t>
      </w:r>
      <w:r>
        <w:rPr>
          <w:rFonts w:hint="eastAsia"/>
          <w:sz w:val="21"/>
          <w:szCs w:val="21"/>
        </w:rPr>
        <w:t>掌握康复医学科的组成部分和人员组成、常见的设备</w:t>
      </w:r>
    </w:p>
    <w:p w:rsidR="003717A0" w:rsidRDefault="003717A0">
      <w:pPr>
        <w:pStyle w:val="reader-word-layerreader-word-s3-1"/>
        <w:shd w:val="clear" w:color="auto" w:fill="FFFFFF"/>
        <w:rPr>
          <w:rFonts w:cs="Arial"/>
          <w:sz w:val="21"/>
          <w:szCs w:val="21"/>
        </w:rPr>
      </w:pPr>
      <w:r>
        <w:rPr>
          <w:sz w:val="21"/>
          <w:szCs w:val="21"/>
        </w:rPr>
        <w:t>2</w:t>
      </w:r>
      <w:r>
        <w:rPr>
          <w:rFonts w:hint="eastAsia"/>
          <w:sz w:val="21"/>
          <w:szCs w:val="21"/>
        </w:rPr>
        <w:t>熟悉康复医学科的功能和作用及设置的基本原则</w:t>
      </w:r>
    </w:p>
    <w:p w:rsidR="003717A0" w:rsidRDefault="003717A0">
      <w:pPr>
        <w:pStyle w:val="reader-word-layerreader-word-s3-7"/>
        <w:shd w:val="clear" w:color="auto" w:fill="FFFFFF"/>
        <w:rPr>
          <w:rFonts w:cs="Arial"/>
          <w:sz w:val="21"/>
          <w:szCs w:val="21"/>
        </w:rPr>
      </w:pPr>
      <w:r>
        <w:rPr>
          <w:rFonts w:cs="Arial" w:hint="eastAsia"/>
          <w:sz w:val="21"/>
          <w:szCs w:val="21"/>
        </w:rPr>
        <w:t>【重难点】</w:t>
      </w:r>
    </w:p>
    <w:p w:rsidR="003717A0" w:rsidRDefault="003717A0">
      <w:pPr>
        <w:pStyle w:val="reader-word-layerreader-word-s3-8"/>
        <w:shd w:val="clear" w:color="auto" w:fill="FFFFFF"/>
        <w:rPr>
          <w:rFonts w:cs="Arial"/>
          <w:sz w:val="21"/>
          <w:szCs w:val="21"/>
        </w:rPr>
      </w:pPr>
      <w:r>
        <w:rPr>
          <w:rFonts w:hint="eastAsia"/>
          <w:sz w:val="21"/>
          <w:szCs w:val="21"/>
        </w:rPr>
        <w:t>康复医学科的组成部分和人员组成</w:t>
      </w:r>
    </w:p>
    <w:p w:rsidR="003717A0" w:rsidRDefault="003717A0">
      <w:pPr>
        <w:pStyle w:val="reader-word-layerreader-word-s3-7"/>
        <w:shd w:val="clear" w:color="auto" w:fill="FFFFFF"/>
        <w:rPr>
          <w:rFonts w:cs="Arial"/>
          <w:sz w:val="21"/>
          <w:szCs w:val="21"/>
        </w:rPr>
      </w:pPr>
      <w:r>
        <w:rPr>
          <w:rFonts w:cs="Arial" w:hint="eastAsia"/>
          <w:sz w:val="21"/>
          <w:szCs w:val="21"/>
        </w:rPr>
        <w:t>【学时安排】</w:t>
      </w:r>
    </w:p>
    <w:p w:rsidR="003717A0" w:rsidRDefault="003717A0">
      <w:pPr>
        <w:pStyle w:val="reader-word-layerreader-word-s3-8"/>
        <w:shd w:val="clear" w:color="auto" w:fill="FFFFFF"/>
        <w:rPr>
          <w:rFonts w:cs="Arial"/>
          <w:sz w:val="21"/>
          <w:szCs w:val="21"/>
        </w:rPr>
      </w:pPr>
      <w:r>
        <w:rPr>
          <w:sz w:val="21"/>
          <w:szCs w:val="21"/>
        </w:rPr>
        <w:t>2</w:t>
      </w:r>
      <w:r>
        <w:rPr>
          <w:rFonts w:hint="eastAsia"/>
          <w:sz w:val="21"/>
          <w:szCs w:val="21"/>
        </w:rPr>
        <w:t>学时</w:t>
      </w:r>
    </w:p>
    <w:p w:rsidR="003717A0" w:rsidRDefault="003717A0">
      <w:pPr>
        <w:pStyle w:val="reader-word-layerreader-word-s3-7"/>
        <w:shd w:val="clear" w:color="auto" w:fill="FFFFFF"/>
        <w:rPr>
          <w:rFonts w:cs="Arial"/>
          <w:b/>
          <w:sz w:val="21"/>
          <w:szCs w:val="21"/>
        </w:rPr>
      </w:pPr>
      <w:r>
        <w:rPr>
          <w:rFonts w:hint="eastAsia"/>
          <w:b/>
          <w:sz w:val="21"/>
          <w:szCs w:val="21"/>
        </w:rPr>
        <w:t>第八章</w:t>
      </w:r>
      <w:r>
        <w:rPr>
          <w:b/>
          <w:sz w:val="21"/>
          <w:szCs w:val="21"/>
        </w:rPr>
        <w:t xml:space="preserve"> </w:t>
      </w:r>
      <w:r>
        <w:rPr>
          <w:rFonts w:hint="eastAsia"/>
          <w:b/>
          <w:sz w:val="21"/>
          <w:szCs w:val="21"/>
        </w:rPr>
        <w:t>康复医学科诊疗工作常规</w:t>
      </w:r>
    </w:p>
    <w:p w:rsidR="003717A0" w:rsidRDefault="003717A0">
      <w:pPr>
        <w:pStyle w:val="reader-word-layerreader-word-s3-7"/>
        <w:shd w:val="clear" w:color="auto" w:fill="FFFFFF"/>
        <w:rPr>
          <w:rFonts w:cs="Arial"/>
          <w:sz w:val="21"/>
          <w:szCs w:val="21"/>
        </w:rPr>
      </w:pPr>
      <w:r>
        <w:rPr>
          <w:rFonts w:cs="Arial" w:hint="eastAsia"/>
          <w:sz w:val="21"/>
          <w:szCs w:val="21"/>
        </w:rPr>
        <w:t>【教学内容】</w:t>
      </w:r>
    </w:p>
    <w:p w:rsidR="003717A0" w:rsidRDefault="003717A0">
      <w:pPr>
        <w:pStyle w:val="reader-word-layerreader-word-s3-8"/>
        <w:shd w:val="clear" w:color="auto" w:fill="FFFFFF"/>
        <w:rPr>
          <w:rFonts w:cs="Arial"/>
          <w:sz w:val="21"/>
          <w:szCs w:val="21"/>
        </w:rPr>
      </w:pPr>
      <w:r>
        <w:rPr>
          <w:rFonts w:cs="Arial"/>
          <w:sz w:val="21"/>
          <w:szCs w:val="21"/>
        </w:rPr>
        <w:t> 1</w:t>
      </w:r>
      <w:r>
        <w:rPr>
          <w:rFonts w:hint="eastAsia"/>
          <w:sz w:val="21"/>
          <w:szCs w:val="21"/>
        </w:rPr>
        <w:t>康复医学科的病历和治疗处方书写常规</w:t>
      </w:r>
    </w:p>
    <w:p w:rsidR="003717A0" w:rsidRDefault="003717A0">
      <w:pPr>
        <w:pStyle w:val="reader-word-layerreader-word-s3-1"/>
        <w:shd w:val="clear" w:color="auto" w:fill="FFFFFF"/>
        <w:rPr>
          <w:rFonts w:cs="Arial"/>
          <w:sz w:val="21"/>
          <w:szCs w:val="21"/>
        </w:rPr>
      </w:pPr>
      <w:r>
        <w:rPr>
          <w:sz w:val="21"/>
          <w:szCs w:val="21"/>
        </w:rPr>
        <w:t> 2</w:t>
      </w:r>
      <w:r>
        <w:rPr>
          <w:rFonts w:hint="eastAsia"/>
          <w:sz w:val="21"/>
          <w:szCs w:val="21"/>
        </w:rPr>
        <w:t>康复医学科门诊、治疗室工作常规</w:t>
      </w:r>
    </w:p>
    <w:p w:rsidR="003717A0" w:rsidRDefault="003717A0">
      <w:pPr>
        <w:pStyle w:val="reader-word-layerreader-word-s4-8"/>
        <w:shd w:val="clear" w:color="auto" w:fill="FFFFFF"/>
        <w:rPr>
          <w:rFonts w:cs="Arial"/>
          <w:sz w:val="21"/>
          <w:szCs w:val="21"/>
        </w:rPr>
      </w:pPr>
      <w:r>
        <w:rPr>
          <w:rFonts w:cs="Arial" w:hint="eastAsia"/>
          <w:sz w:val="21"/>
          <w:szCs w:val="21"/>
        </w:rPr>
        <w:t>【基本要求】</w:t>
      </w:r>
    </w:p>
    <w:p w:rsidR="003717A0" w:rsidRDefault="003717A0">
      <w:pPr>
        <w:pStyle w:val="reader-word-layerreader-word-s4-11"/>
        <w:shd w:val="clear" w:color="auto" w:fill="FFFFFF"/>
        <w:rPr>
          <w:rFonts w:cs="Arial"/>
          <w:sz w:val="21"/>
          <w:szCs w:val="21"/>
        </w:rPr>
      </w:pPr>
      <w:r>
        <w:rPr>
          <w:sz w:val="21"/>
          <w:szCs w:val="21"/>
        </w:rPr>
        <w:t>1</w:t>
      </w:r>
      <w:r>
        <w:rPr>
          <w:rFonts w:hint="eastAsia"/>
          <w:sz w:val="21"/>
          <w:szCs w:val="21"/>
        </w:rPr>
        <w:t>掌握康复医学科的病历书写、设计治疗处方</w:t>
      </w:r>
    </w:p>
    <w:p w:rsidR="003717A0" w:rsidRDefault="003717A0">
      <w:pPr>
        <w:pStyle w:val="reader-word-layerreader-word-s4-1"/>
        <w:shd w:val="clear" w:color="auto" w:fill="FFFFFF"/>
        <w:rPr>
          <w:rFonts w:cs="Arial"/>
          <w:sz w:val="21"/>
          <w:szCs w:val="21"/>
        </w:rPr>
      </w:pPr>
      <w:r>
        <w:rPr>
          <w:sz w:val="21"/>
          <w:szCs w:val="21"/>
        </w:rPr>
        <w:t>2</w:t>
      </w:r>
      <w:r>
        <w:rPr>
          <w:rFonts w:hint="eastAsia"/>
          <w:sz w:val="21"/>
          <w:szCs w:val="21"/>
        </w:rPr>
        <w:t>熟悉康复医学科门诊、治疗室工作常规</w:t>
      </w:r>
    </w:p>
    <w:p w:rsidR="003717A0" w:rsidRDefault="003717A0">
      <w:pPr>
        <w:pStyle w:val="reader-word-layerreader-word-s4-8"/>
        <w:shd w:val="clear" w:color="auto" w:fill="FFFFFF"/>
        <w:rPr>
          <w:rFonts w:cs="Arial"/>
          <w:sz w:val="21"/>
          <w:szCs w:val="21"/>
        </w:rPr>
      </w:pPr>
      <w:r>
        <w:rPr>
          <w:rFonts w:hint="eastAsia"/>
          <w:sz w:val="21"/>
          <w:szCs w:val="21"/>
        </w:rPr>
        <w:t>【重难点】</w:t>
      </w:r>
    </w:p>
    <w:p w:rsidR="003717A0" w:rsidRDefault="003717A0">
      <w:pPr>
        <w:pStyle w:val="reader-word-layerreader-word-s4-15"/>
        <w:shd w:val="clear" w:color="auto" w:fill="FFFFFF"/>
        <w:rPr>
          <w:rFonts w:cs="Arial"/>
          <w:sz w:val="21"/>
          <w:szCs w:val="21"/>
        </w:rPr>
      </w:pPr>
      <w:r>
        <w:rPr>
          <w:rFonts w:hint="eastAsia"/>
          <w:sz w:val="21"/>
          <w:szCs w:val="21"/>
        </w:rPr>
        <w:t>康复医学科的病历书写、设计治疗处方</w:t>
      </w:r>
    </w:p>
    <w:p w:rsidR="003717A0" w:rsidRDefault="003717A0">
      <w:pPr>
        <w:pStyle w:val="reader-word-layerreader-word-s4-8"/>
        <w:shd w:val="clear" w:color="auto" w:fill="FFFFFF"/>
        <w:rPr>
          <w:rFonts w:cs="Arial"/>
          <w:sz w:val="21"/>
          <w:szCs w:val="21"/>
        </w:rPr>
      </w:pPr>
      <w:r>
        <w:rPr>
          <w:rFonts w:cs="Arial" w:hint="eastAsia"/>
          <w:sz w:val="21"/>
          <w:szCs w:val="21"/>
        </w:rPr>
        <w:t>【学时安排】</w:t>
      </w:r>
    </w:p>
    <w:p w:rsidR="003717A0" w:rsidRDefault="003717A0">
      <w:pPr>
        <w:pStyle w:val="reader-word-layerreader-word-s4-1"/>
        <w:shd w:val="clear" w:color="auto" w:fill="FFFFFF"/>
        <w:rPr>
          <w:rFonts w:cs="Arial"/>
          <w:sz w:val="21"/>
          <w:szCs w:val="21"/>
        </w:rPr>
      </w:pPr>
      <w:r>
        <w:rPr>
          <w:sz w:val="21"/>
          <w:szCs w:val="21"/>
        </w:rPr>
        <w:t>3</w:t>
      </w:r>
      <w:r>
        <w:rPr>
          <w:rFonts w:hint="eastAsia"/>
          <w:sz w:val="21"/>
          <w:szCs w:val="21"/>
        </w:rPr>
        <w:t>学时</w:t>
      </w:r>
    </w:p>
    <w:p w:rsidR="003717A0" w:rsidRDefault="003717A0">
      <w:pPr>
        <w:shd w:val="clear" w:color="auto" w:fill="FFFFFF"/>
        <w:adjustRightInd w:val="0"/>
        <w:snapToGrid w:val="0"/>
        <w:spacing w:line="360" w:lineRule="auto"/>
        <w:jc w:val="center"/>
        <w:rPr>
          <w:b/>
          <w:bCs/>
          <w:sz w:val="28"/>
          <w:szCs w:val="28"/>
        </w:rPr>
      </w:pPr>
    </w:p>
    <w:p w:rsidR="003717A0" w:rsidRDefault="003717A0">
      <w:pPr>
        <w:shd w:val="clear" w:color="auto" w:fill="FFFFFF"/>
        <w:adjustRightInd w:val="0"/>
        <w:snapToGrid w:val="0"/>
        <w:spacing w:line="360" w:lineRule="auto"/>
        <w:jc w:val="center"/>
        <w:rPr>
          <w:b/>
          <w:bCs/>
          <w:sz w:val="28"/>
          <w:szCs w:val="28"/>
        </w:rPr>
      </w:pPr>
      <w:r>
        <w:rPr>
          <w:rFonts w:hint="eastAsia"/>
          <w:b/>
          <w:bCs/>
          <w:sz w:val="28"/>
          <w:szCs w:val="28"/>
        </w:rPr>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shd w:val="clear" w:color="auto" w:fill="FFFFFF"/>
              <w:jc w:val="center"/>
              <w:rPr>
                <w:sz w:val="24"/>
              </w:rPr>
            </w:pPr>
            <w:r>
              <w:rPr>
                <w:rFonts w:hint="eastAsia"/>
                <w:sz w:val="24"/>
              </w:rPr>
              <w:lastRenderedPageBreak/>
              <w:t>序号</w:t>
            </w:r>
          </w:p>
        </w:tc>
        <w:tc>
          <w:tcPr>
            <w:tcW w:w="3119" w:type="dxa"/>
            <w:vAlign w:val="center"/>
          </w:tcPr>
          <w:p w:rsidR="003717A0" w:rsidRDefault="003717A0">
            <w:pPr>
              <w:shd w:val="clear" w:color="auto" w:fill="FFFFFF"/>
              <w:adjustRightInd w:val="0"/>
              <w:snapToGrid w:val="0"/>
              <w:jc w:val="center"/>
              <w:rPr>
                <w:sz w:val="24"/>
              </w:rPr>
            </w:pPr>
            <w:r>
              <w:rPr>
                <w:rFonts w:hint="eastAsia"/>
                <w:sz w:val="24"/>
              </w:rPr>
              <w:t>讲课内容</w:t>
            </w:r>
          </w:p>
          <w:p w:rsidR="003717A0" w:rsidRDefault="003717A0">
            <w:pPr>
              <w:shd w:val="clear" w:color="auto" w:fill="FFFFFF"/>
              <w:adjustRightInd w:val="0"/>
              <w:snapToGrid w:val="0"/>
              <w:jc w:val="center"/>
              <w:rPr>
                <w:sz w:val="24"/>
              </w:rPr>
            </w:pPr>
            <w:r>
              <w:rPr>
                <w:rFonts w:hint="eastAsia"/>
                <w:sz w:val="24"/>
              </w:rPr>
              <w:t>（具体章节或实验）</w:t>
            </w:r>
          </w:p>
        </w:tc>
        <w:tc>
          <w:tcPr>
            <w:tcW w:w="850" w:type="dxa"/>
            <w:vAlign w:val="center"/>
          </w:tcPr>
          <w:p w:rsidR="003717A0" w:rsidRDefault="003717A0">
            <w:pPr>
              <w:shd w:val="clear" w:color="auto" w:fill="FFFFFF"/>
              <w:jc w:val="center"/>
              <w:rPr>
                <w:sz w:val="24"/>
              </w:rPr>
            </w:pPr>
            <w:r>
              <w:rPr>
                <w:rFonts w:hint="eastAsia"/>
                <w:sz w:val="24"/>
              </w:rPr>
              <w:t>学时</w:t>
            </w:r>
          </w:p>
        </w:tc>
        <w:tc>
          <w:tcPr>
            <w:tcW w:w="3260" w:type="dxa"/>
            <w:vAlign w:val="center"/>
          </w:tcPr>
          <w:p w:rsidR="003717A0" w:rsidRDefault="003717A0">
            <w:pPr>
              <w:shd w:val="clear" w:color="auto" w:fill="FFFFFF"/>
              <w:jc w:val="center"/>
              <w:rPr>
                <w:sz w:val="24"/>
              </w:rPr>
            </w:pPr>
            <w:r>
              <w:rPr>
                <w:rFonts w:hint="eastAsia"/>
                <w:sz w:val="24"/>
              </w:rPr>
              <w:t>作业</w:t>
            </w:r>
          </w:p>
        </w:tc>
        <w:tc>
          <w:tcPr>
            <w:tcW w:w="851" w:type="dxa"/>
            <w:vAlign w:val="center"/>
          </w:tcPr>
          <w:p w:rsidR="003717A0" w:rsidRDefault="003717A0">
            <w:pPr>
              <w:shd w:val="clear" w:color="auto" w:fill="FFFFFF"/>
              <w:jc w:val="center"/>
              <w:rPr>
                <w:sz w:val="24"/>
              </w:rPr>
            </w:pPr>
            <w:r>
              <w:rPr>
                <w:rFonts w:hint="eastAsia"/>
                <w:sz w:val="24"/>
              </w:rPr>
              <w:t>备注</w:t>
            </w: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1</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概论</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260" w:type="dxa"/>
          </w:tcPr>
          <w:p w:rsidR="003717A0" w:rsidRDefault="003717A0">
            <w:pPr>
              <w:shd w:val="clear" w:color="auto" w:fill="FFFFFF"/>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2</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康复伦理问题</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260" w:type="dxa"/>
          </w:tcPr>
          <w:p w:rsidR="003717A0" w:rsidRDefault="003717A0">
            <w:pPr>
              <w:shd w:val="clear" w:color="auto" w:fill="FFFFFF"/>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3</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残疾学</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4</w:t>
            </w:r>
          </w:p>
        </w:tc>
        <w:tc>
          <w:tcPr>
            <w:tcW w:w="3260" w:type="dxa"/>
          </w:tcPr>
          <w:p w:rsidR="003717A0" w:rsidRDefault="003717A0">
            <w:pPr>
              <w:shd w:val="clear" w:color="auto" w:fill="FFFFFF"/>
              <w:ind w:firstLineChars="2" w:firstLine="4"/>
              <w:jc w:val="left"/>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4</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功能障碍</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2</w:t>
            </w:r>
          </w:p>
        </w:tc>
        <w:tc>
          <w:tcPr>
            <w:tcW w:w="3260" w:type="dxa"/>
          </w:tcPr>
          <w:p w:rsidR="003717A0" w:rsidRDefault="003717A0">
            <w:pPr>
              <w:shd w:val="clear" w:color="auto" w:fill="FFFFFF"/>
              <w:ind w:firstLineChars="2" w:firstLine="4"/>
              <w:jc w:val="left"/>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5</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康复医学的工作方式和流程</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5</w:t>
            </w:r>
          </w:p>
        </w:tc>
        <w:tc>
          <w:tcPr>
            <w:tcW w:w="3260" w:type="dxa"/>
          </w:tcPr>
          <w:p w:rsidR="003717A0" w:rsidRDefault="003717A0">
            <w:pPr>
              <w:shd w:val="clear" w:color="auto" w:fill="FFFFFF"/>
              <w:ind w:firstLineChars="2" w:firstLine="4"/>
              <w:jc w:val="left"/>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6</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康复医学中的科学研究</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2</w:t>
            </w:r>
          </w:p>
        </w:tc>
        <w:tc>
          <w:tcPr>
            <w:tcW w:w="3260" w:type="dxa"/>
          </w:tcPr>
          <w:p w:rsidR="003717A0" w:rsidRDefault="003717A0">
            <w:pPr>
              <w:shd w:val="clear" w:color="auto" w:fill="FFFFFF"/>
              <w:ind w:firstLineChars="2" w:firstLine="4"/>
              <w:jc w:val="left"/>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7</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康复医学科的设置和常用设备</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2</w:t>
            </w:r>
          </w:p>
        </w:tc>
        <w:tc>
          <w:tcPr>
            <w:tcW w:w="3260" w:type="dxa"/>
          </w:tcPr>
          <w:p w:rsidR="003717A0" w:rsidRDefault="003717A0">
            <w:pPr>
              <w:shd w:val="clear" w:color="auto" w:fill="FFFFFF"/>
              <w:jc w:val="left"/>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8</w:t>
            </w:r>
          </w:p>
        </w:tc>
        <w:tc>
          <w:tcPr>
            <w:tcW w:w="3119" w:type="dxa"/>
          </w:tcPr>
          <w:p w:rsidR="003717A0" w:rsidRDefault="003717A0">
            <w:pPr>
              <w:shd w:val="clear" w:color="auto" w:fill="FFFFFF"/>
              <w:ind w:firstLineChars="53" w:firstLine="111"/>
              <w:rPr>
                <w:rFonts w:ascii="Times New Roman" w:hAnsi="Times New Roman"/>
              </w:rPr>
            </w:pPr>
            <w:r>
              <w:rPr>
                <w:rFonts w:ascii="Times New Roman" w:hint="eastAsia"/>
              </w:rPr>
              <w:t>康复医学科诊疗工作常规</w:t>
            </w:r>
          </w:p>
        </w:tc>
        <w:tc>
          <w:tcPr>
            <w:tcW w:w="850"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260" w:type="dxa"/>
          </w:tcPr>
          <w:p w:rsidR="003717A0" w:rsidRDefault="003717A0">
            <w:pPr>
              <w:shd w:val="clear" w:color="auto" w:fill="FFFFFF"/>
              <w:jc w:val="left"/>
            </w:pPr>
          </w:p>
        </w:tc>
        <w:tc>
          <w:tcPr>
            <w:tcW w:w="851" w:type="dxa"/>
          </w:tcPr>
          <w:p w:rsidR="003717A0" w:rsidRDefault="003717A0">
            <w:pPr>
              <w:shd w:val="clear" w:color="auto" w:fill="FFFFFF"/>
            </w:pPr>
          </w:p>
        </w:tc>
      </w:tr>
    </w:tbl>
    <w:p w:rsidR="003717A0" w:rsidRDefault="003717A0">
      <w:pPr>
        <w:shd w:val="clear" w:color="auto" w:fill="FFFFFF"/>
        <w:adjustRightInd w:val="0"/>
        <w:snapToGrid w:val="0"/>
        <w:spacing w:line="360" w:lineRule="auto"/>
        <w:jc w:val="center"/>
        <w:rPr>
          <w:b/>
          <w:bCs/>
          <w:sz w:val="28"/>
          <w:szCs w:val="28"/>
        </w:rPr>
      </w:pPr>
    </w:p>
    <w:p w:rsidR="003717A0" w:rsidRDefault="003717A0">
      <w:pPr>
        <w:shd w:val="clear" w:color="auto" w:fill="FFFFFF"/>
        <w:adjustRightInd w:val="0"/>
        <w:snapToGrid w:val="0"/>
        <w:spacing w:line="360" w:lineRule="auto"/>
        <w:jc w:val="center"/>
        <w:rPr>
          <w:b/>
          <w:bCs/>
          <w:sz w:val="28"/>
          <w:szCs w:val="28"/>
        </w:rPr>
      </w:pPr>
      <w:r>
        <w:rPr>
          <w:rFonts w:hint="eastAsia"/>
          <w:b/>
          <w:bCs/>
          <w:sz w:val="28"/>
          <w:szCs w:val="28"/>
        </w:rPr>
        <w:t>实验课学时分配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977"/>
        <w:gridCol w:w="709"/>
        <w:gridCol w:w="3543"/>
        <w:gridCol w:w="851"/>
      </w:tblGrid>
      <w:tr w:rsidR="003717A0">
        <w:tc>
          <w:tcPr>
            <w:tcW w:w="817" w:type="dxa"/>
            <w:vAlign w:val="center"/>
          </w:tcPr>
          <w:p w:rsidR="003717A0" w:rsidRDefault="003717A0">
            <w:pPr>
              <w:shd w:val="clear" w:color="auto" w:fill="FFFFFF"/>
              <w:adjustRightInd w:val="0"/>
              <w:snapToGrid w:val="0"/>
              <w:jc w:val="center"/>
              <w:rPr>
                <w:sz w:val="24"/>
              </w:rPr>
            </w:pPr>
            <w:r>
              <w:rPr>
                <w:rFonts w:hint="eastAsia"/>
                <w:sz w:val="24"/>
              </w:rPr>
              <w:t>序号</w:t>
            </w:r>
          </w:p>
        </w:tc>
        <w:tc>
          <w:tcPr>
            <w:tcW w:w="2977" w:type="dxa"/>
            <w:vAlign w:val="center"/>
          </w:tcPr>
          <w:p w:rsidR="003717A0" w:rsidRDefault="003717A0">
            <w:pPr>
              <w:shd w:val="clear" w:color="auto" w:fill="FFFFFF"/>
              <w:adjustRightInd w:val="0"/>
              <w:snapToGrid w:val="0"/>
              <w:jc w:val="center"/>
              <w:rPr>
                <w:sz w:val="24"/>
              </w:rPr>
            </w:pPr>
            <w:r>
              <w:rPr>
                <w:rFonts w:hint="eastAsia"/>
                <w:sz w:val="24"/>
              </w:rPr>
              <w:t>实验内容</w:t>
            </w:r>
          </w:p>
          <w:p w:rsidR="003717A0" w:rsidRDefault="003717A0">
            <w:pPr>
              <w:shd w:val="clear" w:color="auto" w:fill="FFFFFF"/>
              <w:adjustRightInd w:val="0"/>
              <w:snapToGrid w:val="0"/>
              <w:jc w:val="center"/>
              <w:rPr>
                <w:sz w:val="24"/>
              </w:rPr>
            </w:pPr>
            <w:r>
              <w:rPr>
                <w:rFonts w:hint="eastAsia"/>
                <w:sz w:val="24"/>
              </w:rPr>
              <w:t>（具体章节或实验）</w:t>
            </w:r>
          </w:p>
        </w:tc>
        <w:tc>
          <w:tcPr>
            <w:tcW w:w="709" w:type="dxa"/>
            <w:vAlign w:val="center"/>
          </w:tcPr>
          <w:p w:rsidR="003717A0" w:rsidRDefault="003717A0">
            <w:pPr>
              <w:shd w:val="clear" w:color="auto" w:fill="FFFFFF"/>
              <w:adjustRightInd w:val="0"/>
              <w:snapToGrid w:val="0"/>
              <w:jc w:val="center"/>
              <w:rPr>
                <w:sz w:val="24"/>
              </w:rPr>
            </w:pPr>
            <w:r>
              <w:rPr>
                <w:rFonts w:hint="eastAsia"/>
                <w:sz w:val="24"/>
              </w:rPr>
              <w:t>学时</w:t>
            </w:r>
          </w:p>
        </w:tc>
        <w:tc>
          <w:tcPr>
            <w:tcW w:w="3543" w:type="dxa"/>
            <w:vAlign w:val="center"/>
          </w:tcPr>
          <w:p w:rsidR="003717A0" w:rsidRDefault="003717A0">
            <w:pPr>
              <w:shd w:val="clear" w:color="auto" w:fill="FFFFFF"/>
              <w:adjustRightInd w:val="0"/>
              <w:snapToGrid w:val="0"/>
              <w:jc w:val="center"/>
              <w:rPr>
                <w:sz w:val="24"/>
              </w:rPr>
            </w:pPr>
            <w:r>
              <w:rPr>
                <w:rFonts w:hint="eastAsia"/>
                <w:sz w:val="24"/>
              </w:rPr>
              <w:t>作业</w:t>
            </w:r>
          </w:p>
        </w:tc>
        <w:tc>
          <w:tcPr>
            <w:tcW w:w="851" w:type="dxa"/>
            <w:vAlign w:val="center"/>
          </w:tcPr>
          <w:p w:rsidR="003717A0" w:rsidRDefault="003717A0">
            <w:pPr>
              <w:shd w:val="clear" w:color="auto" w:fill="FFFFFF"/>
              <w:adjustRightInd w:val="0"/>
              <w:snapToGrid w:val="0"/>
              <w:jc w:val="center"/>
              <w:rPr>
                <w:sz w:val="24"/>
              </w:rPr>
            </w:pPr>
            <w:r>
              <w:rPr>
                <w:rFonts w:hint="eastAsia"/>
                <w:sz w:val="24"/>
              </w:rPr>
              <w:t>备注</w:t>
            </w:r>
          </w:p>
        </w:tc>
      </w:tr>
      <w:tr w:rsidR="003717A0">
        <w:tc>
          <w:tcPr>
            <w:tcW w:w="817" w:type="dxa"/>
            <w:vAlign w:val="center"/>
          </w:tcPr>
          <w:p w:rsidR="003717A0" w:rsidRDefault="003717A0">
            <w:pPr>
              <w:shd w:val="clear" w:color="auto" w:fill="FFFFFF"/>
              <w:jc w:val="center"/>
              <w:rPr>
                <w:rFonts w:ascii="Times New Roman" w:hAnsi="Times New Roman"/>
              </w:rPr>
            </w:pPr>
            <w:r>
              <w:rPr>
                <w:rFonts w:ascii="Times New Roman" w:hAnsi="Times New Roman"/>
              </w:rPr>
              <w:t>1</w:t>
            </w:r>
          </w:p>
        </w:tc>
        <w:tc>
          <w:tcPr>
            <w:tcW w:w="2977" w:type="dxa"/>
            <w:vAlign w:val="center"/>
          </w:tcPr>
          <w:p w:rsidR="003717A0" w:rsidRDefault="003717A0">
            <w:pPr>
              <w:shd w:val="clear" w:color="auto" w:fill="FFFFFF"/>
              <w:ind w:firstLineChars="53" w:firstLine="111"/>
              <w:rPr>
                <w:rFonts w:ascii="Times New Roman" w:hAnsi="Times New Roman"/>
              </w:rPr>
            </w:pPr>
            <w:r>
              <w:rPr>
                <w:rFonts w:ascii="Times New Roman" w:hint="eastAsia"/>
              </w:rPr>
              <w:t>残疾学</w:t>
            </w:r>
          </w:p>
        </w:tc>
        <w:tc>
          <w:tcPr>
            <w:tcW w:w="709"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543" w:type="dxa"/>
            <w:vAlign w:val="center"/>
          </w:tcPr>
          <w:p w:rsidR="003717A0" w:rsidRDefault="003717A0">
            <w:pPr>
              <w:shd w:val="clear" w:color="auto" w:fill="FFFFFF"/>
              <w:rPr>
                <w:rFonts w:ascii="Times New Roman" w:hAnsi="Times New Roman"/>
              </w:rPr>
            </w:pPr>
          </w:p>
        </w:tc>
        <w:tc>
          <w:tcPr>
            <w:tcW w:w="851" w:type="dxa"/>
          </w:tcPr>
          <w:p w:rsidR="003717A0" w:rsidRDefault="003717A0">
            <w:pPr>
              <w:shd w:val="clear" w:color="auto" w:fill="FFFFFF"/>
            </w:pPr>
          </w:p>
        </w:tc>
      </w:tr>
      <w:tr w:rsidR="003717A0">
        <w:tc>
          <w:tcPr>
            <w:tcW w:w="817" w:type="dxa"/>
            <w:vAlign w:val="center"/>
          </w:tcPr>
          <w:p w:rsidR="003717A0" w:rsidRDefault="003717A0">
            <w:pPr>
              <w:shd w:val="clear" w:color="auto" w:fill="FFFFFF"/>
              <w:jc w:val="center"/>
              <w:rPr>
                <w:rFonts w:ascii="Times New Roman" w:hAnsi="Times New Roman"/>
              </w:rPr>
            </w:pPr>
            <w:r>
              <w:rPr>
                <w:rFonts w:ascii="Times New Roman" w:hAnsi="Times New Roman"/>
              </w:rPr>
              <w:t>2</w:t>
            </w:r>
          </w:p>
        </w:tc>
        <w:tc>
          <w:tcPr>
            <w:tcW w:w="2977" w:type="dxa"/>
            <w:vAlign w:val="center"/>
          </w:tcPr>
          <w:p w:rsidR="003717A0" w:rsidRDefault="003717A0">
            <w:pPr>
              <w:shd w:val="clear" w:color="auto" w:fill="FFFFFF"/>
              <w:ind w:firstLineChars="53" w:firstLine="111"/>
              <w:rPr>
                <w:rFonts w:ascii="Times New Roman" w:hAnsi="Times New Roman"/>
              </w:rPr>
            </w:pPr>
            <w:r>
              <w:rPr>
                <w:rFonts w:ascii="Times New Roman" w:hint="eastAsia"/>
              </w:rPr>
              <w:t>功能障碍</w:t>
            </w:r>
          </w:p>
        </w:tc>
        <w:tc>
          <w:tcPr>
            <w:tcW w:w="709"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543" w:type="dxa"/>
          </w:tcPr>
          <w:p w:rsidR="003717A0" w:rsidRDefault="003717A0">
            <w:pPr>
              <w:shd w:val="clear" w:color="auto" w:fill="FFFFFF"/>
              <w:rPr>
                <w:rFonts w:ascii="Times New Roman" w:hAnsi="Times New Roman"/>
              </w:rPr>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3</w:t>
            </w:r>
          </w:p>
        </w:tc>
        <w:tc>
          <w:tcPr>
            <w:tcW w:w="2977" w:type="dxa"/>
          </w:tcPr>
          <w:p w:rsidR="003717A0" w:rsidRDefault="003717A0">
            <w:pPr>
              <w:shd w:val="clear" w:color="auto" w:fill="FFFFFF"/>
              <w:rPr>
                <w:rFonts w:ascii="Times New Roman" w:hAnsi="Times New Roman"/>
              </w:rPr>
            </w:pPr>
            <w:r>
              <w:rPr>
                <w:rFonts w:ascii="Times New Roman" w:hint="eastAsia"/>
              </w:rPr>
              <w:t>康复医学科的设置和常用设备</w:t>
            </w:r>
          </w:p>
        </w:tc>
        <w:tc>
          <w:tcPr>
            <w:tcW w:w="709"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543" w:type="dxa"/>
          </w:tcPr>
          <w:p w:rsidR="003717A0" w:rsidRDefault="003717A0">
            <w:pPr>
              <w:shd w:val="clear" w:color="auto" w:fill="FFFFFF"/>
              <w:rPr>
                <w:rFonts w:ascii="Times New Roman" w:hAnsi="Times New Roman"/>
              </w:rPr>
            </w:pPr>
          </w:p>
        </w:tc>
        <w:tc>
          <w:tcPr>
            <w:tcW w:w="851" w:type="dxa"/>
          </w:tcPr>
          <w:p w:rsidR="003717A0" w:rsidRDefault="003717A0">
            <w:pPr>
              <w:shd w:val="clear" w:color="auto" w:fill="FFFFFF"/>
            </w:pPr>
          </w:p>
        </w:tc>
      </w:tr>
      <w:tr w:rsidR="003717A0">
        <w:tc>
          <w:tcPr>
            <w:tcW w:w="817" w:type="dxa"/>
          </w:tcPr>
          <w:p w:rsidR="003717A0" w:rsidRDefault="003717A0">
            <w:pPr>
              <w:shd w:val="clear" w:color="auto" w:fill="FFFFFF"/>
              <w:jc w:val="center"/>
              <w:rPr>
                <w:rFonts w:ascii="Times New Roman" w:hAnsi="Times New Roman"/>
              </w:rPr>
            </w:pPr>
            <w:r>
              <w:rPr>
                <w:rFonts w:ascii="Times New Roman" w:hAnsi="Times New Roman"/>
              </w:rPr>
              <w:t>4</w:t>
            </w:r>
          </w:p>
        </w:tc>
        <w:tc>
          <w:tcPr>
            <w:tcW w:w="2977" w:type="dxa"/>
          </w:tcPr>
          <w:p w:rsidR="003717A0" w:rsidRDefault="003717A0">
            <w:pPr>
              <w:shd w:val="clear" w:color="auto" w:fill="FFFFFF"/>
              <w:ind w:firstLineChars="53" w:firstLine="111"/>
              <w:rPr>
                <w:rFonts w:ascii="Times New Roman" w:hAnsi="Times New Roman"/>
              </w:rPr>
            </w:pPr>
            <w:r>
              <w:rPr>
                <w:rFonts w:ascii="Times New Roman" w:hint="eastAsia"/>
              </w:rPr>
              <w:t>康复医学科诊疗工作常规</w:t>
            </w:r>
          </w:p>
        </w:tc>
        <w:tc>
          <w:tcPr>
            <w:tcW w:w="709" w:type="dxa"/>
            <w:vAlign w:val="center"/>
          </w:tcPr>
          <w:p w:rsidR="003717A0" w:rsidRDefault="003717A0">
            <w:pPr>
              <w:shd w:val="clear" w:color="auto" w:fill="FFFFFF"/>
              <w:jc w:val="center"/>
              <w:rPr>
                <w:rFonts w:ascii="Times New Roman" w:hAnsi="Times New Roman"/>
              </w:rPr>
            </w:pPr>
            <w:r>
              <w:rPr>
                <w:rFonts w:ascii="Times New Roman" w:hAnsi="Times New Roman"/>
              </w:rPr>
              <w:t>3</w:t>
            </w:r>
          </w:p>
        </w:tc>
        <w:tc>
          <w:tcPr>
            <w:tcW w:w="3543" w:type="dxa"/>
          </w:tcPr>
          <w:p w:rsidR="003717A0" w:rsidRDefault="003717A0">
            <w:pPr>
              <w:shd w:val="clear" w:color="auto" w:fill="FFFFFF"/>
              <w:rPr>
                <w:rFonts w:ascii="Times New Roman" w:hAnsi="Times New Roman"/>
              </w:rPr>
            </w:pPr>
          </w:p>
        </w:tc>
        <w:tc>
          <w:tcPr>
            <w:tcW w:w="851" w:type="dxa"/>
          </w:tcPr>
          <w:p w:rsidR="003717A0" w:rsidRDefault="003717A0">
            <w:pPr>
              <w:shd w:val="clear" w:color="auto" w:fill="FFFFFF"/>
            </w:pPr>
          </w:p>
        </w:tc>
      </w:tr>
    </w:tbl>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pStyle w:val="reader-word-layerreader-word-s4-4"/>
        <w:shd w:val="clear" w:color="auto" w:fill="FFFFFF"/>
        <w:spacing w:line="360" w:lineRule="auto"/>
        <w:ind w:firstLineChars="300" w:firstLine="372"/>
        <w:rPr>
          <w:sz w:val="21"/>
          <w:szCs w:val="21"/>
        </w:rPr>
      </w:pPr>
      <w:r>
        <w:rPr>
          <w:rFonts w:hint="eastAsia"/>
          <w:spacing w:val="-43"/>
          <w:sz w:val="21"/>
          <w:szCs w:val="21"/>
        </w:rPr>
        <w:t>在</w:t>
      </w:r>
      <w:r>
        <w:rPr>
          <w:spacing w:val="-43"/>
          <w:sz w:val="21"/>
          <w:szCs w:val="21"/>
        </w:rPr>
        <w:t xml:space="preserve">     </w:t>
      </w:r>
      <w:r>
        <w:rPr>
          <w:rFonts w:hint="eastAsia"/>
          <w:sz w:val="21"/>
          <w:szCs w:val="21"/>
        </w:rPr>
        <w:t>课程教学过程中，既要注重突出学生能力和素质的培养，充分发挥学生主观能动性，又注意在导学上下功夫，大胆尝试项目教学法、</w:t>
      </w:r>
      <w:r>
        <w:rPr>
          <w:rFonts w:hint="eastAsia"/>
          <w:spacing w:val="-37"/>
          <w:sz w:val="21"/>
          <w:szCs w:val="21"/>
        </w:rPr>
        <w:t>角</w:t>
      </w:r>
      <w:r>
        <w:rPr>
          <w:spacing w:val="-37"/>
          <w:sz w:val="21"/>
          <w:szCs w:val="21"/>
        </w:rPr>
        <w:t xml:space="preserve">   </w:t>
      </w:r>
      <w:r>
        <w:rPr>
          <w:rFonts w:hint="eastAsia"/>
          <w:spacing w:val="-37"/>
          <w:sz w:val="21"/>
          <w:szCs w:val="21"/>
        </w:rPr>
        <w:t>色</w:t>
      </w:r>
      <w:r>
        <w:rPr>
          <w:spacing w:val="-37"/>
          <w:sz w:val="21"/>
          <w:szCs w:val="21"/>
        </w:rPr>
        <w:t xml:space="preserve">  </w:t>
      </w:r>
      <w:r>
        <w:rPr>
          <w:rFonts w:hint="eastAsia"/>
          <w:spacing w:val="-37"/>
          <w:sz w:val="21"/>
          <w:szCs w:val="21"/>
        </w:rPr>
        <w:t>扮</w:t>
      </w:r>
      <w:r>
        <w:rPr>
          <w:spacing w:val="-37"/>
          <w:sz w:val="21"/>
          <w:szCs w:val="21"/>
        </w:rPr>
        <w:t xml:space="preserve">  </w:t>
      </w:r>
      <w:r>
        <w:rPr>
          <w:rFonts w:hint="eastAsia"/>
          <w:spacing w:val="-37"/>
          <w:sz w:val="21"/>
          <w:szCs w:val="21"/>
        </w:rPr>
        <w:t>演</w:t>
      </w:r>
      <w:r>
        <w:rPr>
          <w:spacing w:val="-37"/>
          <w:sz w:val="21"/>
          <w:szCs w:val="21"/>
        </w:rPr>
        <w:t xml:space="preserve">  </w:t>
      </w:r>
      <w:r>
        <w:rPr>
          <w:rFonts w:hint="eastAsia"/>
          <w:spacing w:val="-37"/>
          <w:sz w:val="21"/>
          <w:szCs w:val="21"/>
        </w:rPr>
        <w:t>、情</w:t>
      </w:r>
      <w:r>
        <w:rPr>
          <w:spacing w:val="-37"/>
          <w:sz w:val="21"/>
          <w:szCs w:val="21"/>
        </w:rPr>
        <w:t xml:space="preserve">   </w:t>
      </w:r>
      <w:r>
        <w:rPr>
          <w:rFonts w:hint="eastAsia"/>
          <w:spacing w:val="-37"/>
          <w:sz w:val="21"/>
          <w:szCs w:val="21"/>
        </w:rPr>
        <w:t>景</w:t>
      </w:r>
      <w:r>
        <w:rPr>
          <w:spacing w:val="-37"/>
          <w:sz w:val="21"/>
          <w:szCs w:val="21"/>
        </w:rPr>
        <w:t xml:space="preserve">   </w:t>
      </w:r>
      <w:r>
        <w:rPr>
          <w:rFonts w:hint="eastAsia"/>
          <w:spacing w:val="-37"/>
          <w:sz w:val="21"/>
          <w:szCs w:val="21"/>
        </w:rPr>
        <w:t>教</w:t>
      </w:r>
      <w:r>
        <w:rPr>
          <w:spacing w:val="-37"/>
          <w:sz w:val="21"/>
          <w:szCs w:val="21"/>
        </w:rPr>
        <w:t xml:space="preserve">   </w:t>
      </w:r>
      <w:r>
        <w:rPr>
          <w:rFonts w:hint="eastAsia"/>
          <w:spacing w:val="-37"/>
          <w:sz w:val="21"/>
          <w:szCs w:val="21"/>
        </w:rPr>
        <w:t>学</w:t>
      </w:r>
      <w:r>
        <w:rPr>
          <w:spacing w:val="-37"/>
          <w:sz w:val="21"/>
          <w:szCs w:val="21"/>
        </w:rPr>
        <w:t xml:space="preserve">   </w:t>
      </w:r>
      <w:r>
        <w:rPr>
          <w:rFonts w:hint="eastAsia"/>
          <w:spacing w:val="-37"/>
          <w:sz w:val="21"/>
          <w:szCs w:val="21"/>
        </w:rPr>
        <w:t>法</w:t>
      </w:r>
      <w:r>
        <w:rPr>
          <w:spacing w:val="-37"/>
          <w:sz w:val="21"/>
          <w:szCs w:val="21"/>
        </w:rPr>
        <w:t xml:space="preserve">  </w:t>
      </w:r>
      <w:r>
        <w:rPr>
          <w:rFonts w:hint="eastAsia"/>
          <w:sz w:val="21"/>
          <w:szCs w:val="21"/>
        </w:rPr>
        <w:t>等行之有效的教学方法，并将多种教学方法与手段有机结合，相互渗透，灵活应用，加强“教”与“学”的互动性，使教师在教学活动中的角色由单纯的传授者变为组织者、引导者、参与者、成为学生的学习顾问和教练，从而充分发挥教师的引导作用。</w:t>
      </w:r>
    </w:p>
    <w:p w:rsidR="003717A0" w:rsidRDefault="003717A0">
      <w:pPr>
        <w:pStyle w:val="reader-word-layerreader-word-s4-4"/>
        <w:shd w:val="clear" w:color="auto" w:fill="FFFFFF"/>
        <w:spacing w:line="360" w:lineRule="auto"/>
        <w:rPr>
          <w:rFonts w:cs="Arial"/>
          <w:spacing w:val="-43"/>
          <w:sz w:val="21"/>
          <w:szCs w:val="21"/>
        </w:rPr>
      </w:pPr>
      <w:r>
        <w:rPr>
          <w:rFonts w:cs="Arial" w:hint="eastAsia"/>
          <w:sz w:val="21"/>
          <w:szCs w:val="21"/>
        </w:rPr>
        <w:t>具体教学方法和手段主要有：</w:t>
      </w:r>
    </w:p>
    <w:p w:rsidR="003717A0" w:rsidRDefault="003717A0">
      <w:pPr>
        <w:pStyle w:val="reader-word-layerreader-word-s4-1"/>
        <w:shd w:val="clear" w:color="auto" w:fill="FFFFFF"/>
        <w:spacing w:line="360" w:lineRule="auto"/>
        <w:ind w:firstLineChars="200" w:firstLine="420"/>
        <w:rPr>
          <w:rFonts w:cs="Arial"/>
          <w:sz w:val="21"/>
          <w:szCs w:val="21"/>
        </w:rPr>
      </w:pPr>
      <w:r>
        <w:rPr>
          <w:sz w:val="21"/>
          <w:szCs w:val="21"/>
        </w:rPr>
        <w:t>1</w:t>
      </w:r>
      <w:r>
        <w:rPr>
          <w:rFonts w:hint="eastAsia"/>
          <w:sz w:val="21"/>
          <w:szCs w:val="21"/>
        </w:rPr>
        <w:t>、传统教学与现代教学法相结合：课堂教学除按传统教学方法归纳讲解、提问、小结等方法外更注重应用现代技术教育手段，根据《康复医学概论》课程内容多较抽象，图表多、视</w:t>
      </w:r>
      <w:r>
        <w:rPr>
          <w:rFonts w:cs="Arial" w:hint="eastAsia"/>
          <w:sz w:val="21"/>
          <w:szCs w:val="21"/>
        </w:rPr>
        <w:t>野小等特点，编制与课程配套的电子教案，增加教学信息量，让学生获取更多知识。</w:t>
      </w:r>
    </w:p>
    <w:p w:rsidR="003717A0" w:rsidRDefault="003717A0">
      <w:pPr>
        <w:pStyle w:val="reader-word-layerreader-word-s4-1"/>
        <w:shd w:val="clear" w:color="auto" w:fill="FFFFFF"/>
        <w:spacing w:line="360" w:lineRule="auto"/>
        <w:ind w:firstLineChars="200" w:firstLine="420"/>
        <w:rPr>
          <w:rFonts w:cs="Arial"/>
          <w:sz w:val="21"/>
          <w:szCs w:val="21"/>
        </w:rPr>
      </w:pPr>
      <w:r>
        <w:rPr>
          <w:sz w:val="21"/>
          <w:szCs w:val="21"/>
        </w:rPr>
        <w:t>2</w:t>
      </w:r>
      <w:r>
        <w:rPr>
          <w:rFonts w:hint="eastAsia"/>
          <w:sz w:val="21"/>
          <w:szCs w:val="21"/>
        </w:rPr>
        <w:t>、教师讲授与自学讨论法相结合：教学中根据内容的特点，先提出问题由学生自学讨论，然后教师总结性讲解。既激发学生的好奇心，增进掌握知识和技能的能力。又增强学生的自</w:t>
      </w:r>
      <w:r>
        <w:rPr>
          <w:rFonts w:cs="Arial" w:hint="eastAsia"/>
          <w:sz w:val="21"/>
          <w:szCs w:val="21"/>
        </w:rPr>
        <w:t>信心和增加表现自我胆量的机遇。</w:t>
      </w:r>
    </w:p>
    <w:p w:rsidR="003717A0" w:rsidRDefault="003717A0">
      <w:pPr>
        <w:pStyle w:val="reader-word-layerreader-word-s4-1"/>
        <w:shd w:val="clear" w:color="auto" w:fill="FFFFFF"/>
        <w:spacing w:line="360" w:lineRule="auto"/>
        <w:ind w:firstLineChars="200" w:firstLine="420"/>
        <w:rPr>
          <w:rFonts w:cs="Arial"/>
          <w:sz w:val="21"/>
          <w:szCs w:val="21"/>
        </w:rPr>
      </w:pPr>
      <w:r>
        <w:rPr>
          <w:sz w:val="21"/>
          <w:szCs w:val="21"/>
        </w:rPr>
        <w:lastRenderedPageBreak/>
        <w:t>3</w:t>
      </w:r>
      <w:r>
        <w:rPr>
          <w:rFonts w:hint="eastAsia"/>
          <w:sz w:val="21"/>
          <w:szCs w:val="21"/>
        </w:rPr>
        <w:t>、动静结合教学法：应用教师讲解，情景教学与角色扮演、学生演示等教学法，让学生在</w:t>
      </w:r>
      <w:r>
        <w:rPr>
          <w:rFonts w:cs="Arial" w:hint="eastAsia"/>
          <w:sz w:val="21"/>
          <w:szCs w:val="21"/>
        </w:rPr>
        <w:t>轻松、愉快的环境中学习，激发学生的学习兴趣，提高学生的动手能力和社会适应能力。</w:t>
      </w: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pStyle w:val="reader-word-layerreader-word-s4-1"/>
        <w:shd w:val="clear" w:color="auto" w:fill="FFFFFF"/>
        <w:ind w:firstLineChars="200" w:firstLine="420"/>
        <w:rPr>
          <w:rFonts w:cs="Arial"/>
          <w:sz w:val="21"/>
          <w:szCs w:val="21"/>
        </w:rPr>
      </w:pPr>
      <w:r>
        <w:rPr>
          <w:sz w:val="21"/>
          <w:szCs w:val="21"/>
        </w:rPr>
        <w:t>1</w:t>
      </w:r>
      <w:r>
        <w:rPr>
          <w:rFonts w:hint="eastAsia"/>
          <w:sz w:val="21"/>
          <w:szCs w:val="21"/>
        </w:rPr>
        <w:t>、考核目的：考察学生对本学科基础知识、基本理论、基本技术掌握情况和解决实际方法</w:t>
      </w:r>
      <w:r>
        <w:rPr>
          <w:rFonts w:cs="Arial" w:hint="eastAsia"/>
          <w:spacing w:val="-9"/>
          <w:sz w:val="21"/>
          <w:szCs w:val="21"/>
        </w:rPr>
        <w:t>的能力的情况。</w:t>
      </w:r>
    </w:p>
    <w:p w:rsidR="003717A0" w:rsidRDefault="003717A0">
      <w:pPr>
        <w:pStyle w:val="reader-word-layerreader-word-s4-1"/>
        <w:shd w:val="clear" w:color="auto" w:fill="FFFFFF"/>
        <w:ind w:firstLineChars="200" w:firstLine="420"/>
        <w:rPr>
          <w:rFonts w:cs="Arial"/>
          <w:spacing w:val="-27"/>
          <w:sz w:val="21"/>
          <w:szCs w:val="21"/>
        </w:rPr>
      </w:pPr>
      <w:r>
        <w:rPr>
          <w:sz w:val="21"/>
          <w:szCs w:val="21"/>
        </w:rPr>
        <w:t>2</w:t>
      </w:r>
      <w:r>
        <w:rPr>
          <w:rFonts w:hint="eastAsia"/>
          <w:spacing w:val="-13"/>
          <w:sz w:val="21"/>
          <w:szCs w:val="21"/>
        </w:rPr>
        <w:t>、考核形式：闭卷考核。</w:t>
      </w:r>
    </w:p>
    <w:p w:rsidR="003717A0" w:rsidRDefault="003717A0">
      <w:pPr>
        <w:pStyle w:val="reader-word-layerreader-word-s4-1"/>
        <w:shd w:val="clear" w:color="auto" w:fill="FFFFFF"/>
        <w:ind w:firstLineChars="200" w:firstLine="420"/>
        <w:rPr>
          <w:rFonts w:cs="Arial"/>
          <w:sz w:val="21"/>
          <w:szCs w:val="21"/>
        </w:rPr>
      </w:pPr>
      <w:r>
        <w:rPr>
          <w:sz w:val="21"/>
          <w:szCs w:val="21"/>
        </w:rPr>
        <w:t>3</w:t>
      </w:r>
      <w:r>
        <w:rPr>
          <w:rFonts w:hint="eastAsia"/>
          <w:sz w:val="21"/>
          <w:szCs w:val="21"/>
        </w:rPr>
        <w:t>、主要考核内容：大纲要求熟悉、掌握的内容。</w:t>
      </w:r>
    </w:p>
    <w:p w:rsidR="003717A0" w:rsidRDefault="003717A0">
      <w:pPr>
        <w:pStyle w:val="reader-word-layerreader-word-s4-1"/>
        <w:shd w:val="clear" w:color="auto" w:fill="FFFFFF"/>
        <w:ind w:firstLineChars="200" w:firstLine="420"/>
        <w:rPr>
          <w:rFonts w:cs="Arial"/>
          <w:sz w:val="21"/>
          <w:szCs w:val="21"/>
        </w:rPr>
      </w:pPr>
      <w:r>
        <w:rPr>
          <w:sz w:val="21"/>
          <w:szCs w:val="21"/>
        </w:rPr>
        <w:t>4</w:t>
      </w:r>
      <w:r>
        <w:rPr>
          <w:rFonts w:hint="eastAsia"/>
          <w:sz w:val="21"/>
          <w:szCs w:val="21"/>
        </w:rPr>
        <w:t>、考核题型：单项选择题、多项选择题、问答题、判断题、辨析题</w:t>
      </w:r>
    </w:p>
    <w:p w:rsidR="003717A0" w:rsidRDefault="003717A0">
      <w:pPr>
        <w:pStyle w:val="reader-word-layerreader-word-s4-1"/>
        <w:shd w:val="clear" w:color="auto" w:fill="FFFFFF"/>
        <w:ind w:firstLineChars="200" w:firstLine="420"/>
        <w:rPr>
          <w:rFonts w:ascii="Times New Roman" w:hAnsi="Times New Roman" w:cs="Times New Roman"/>
          <w:sz w:val="21"/>
          <w:szCs w:val="21"/>
        </w:rPr>
      </w:pPr>
      <w:r>
        <w:rPr>
          <w:rFonts w:ascii="Times New Roman" w:hAnsi="Times New Roman" w:cs="Times New Roman"/>
          <w:sz w:val="21"/>
          <w:szCs w:val="21"/>
        </w:rPr>
        <w:t>5</w:t>
      </w:r>
      <w:r>
        <w:rPr>
          <w:rFonts w:ascii="Times New Roman" w:cs="Times New Roman" w:hint="eastAsia"/>
          <w:sz w:val="21"/>
          <w:szCs w:val="21"/>
        </w:rPr>
        <w:t>、成绩评定：书面成绩占</w:t>
      </w:r>
      <w:r>
        <w:rPr>
          <w:rFonts w:ascii="Times New Roman" w:hAnsi="Times New Roman" w:cs="Times New Roman"/>
          <w:sz w:val="21"/>
          <w:szCs w:val="21"/>
        </w:rPr>
        <w:t>100%</w:t>
      </w:r>
    </w:p>
    <w:p w:rsidR="003717A0" w:rsidRDefault="003717A0">
      <w:pPr>
        <w:shd w:val="clear" w:color="auto" w:fill="FFFFFF"/>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pStyle w:val="reader-word-layerreader-word-s4-11"/>
        <w:shd w:val="clear" w:color="auto" w:fill="FFFFFF"/>
        <w:rPr>
          <w:rFonts w:cs="Arial"/>
          <w:sz w:val="21"/>
          <w:szCs w:val="21"/>
        </w:rPr>
      </w:pPr>
      <w:r>
        <w:rPr>
          <w:rFonts w:hint="eastAsia"/>
          <w:sz w:val="21"/>
          <w:szCs w:val="21"/>
        </w:rPr>
        <w:t>教材：《康复医学概论》王宁华主编，卫生部规划教材，人民卫生出版社。</w:t>
      </w:r>
    </w:p>
    <w:p w:rsidR="003717A0" w:rsidRDefault="003717A0">
      <w:pPr>
        <w:pStyle w:val="reader-word-layerreader-word-s4-15"/>
        <w:shd w:val="clear" w:color="auto" w:fill="FFFFFF"/>
        <w:rPr>
          <w:rFonts w:cs="Arial"/>
          <w:sz w:val="21"/>
          <w:szCs w:val="21"/>
        </w:rPr>
      </w:pPr>
      <w:r>
        <w:rPr>
          <w:rFonts w:hint="eastAsia"/>
          <w:sz w:val="21"/>
          <w:szCs w:val="21"/>
        </w:rPr>
        <w:t>参考教材：《康复医学》，南登崑编著，人民卫生出版社，</w:t>
      </w:r>
      <w:r>
        <w:rPr>
          <w:spacing w:val="-17"/>
          <w:sz w:val="21"/>
          <w:szCs w:val="21"/>
        </w:rPr>
        <w:t>2001</w:t>
      </w:r>
      <w:r>
        <w:rPr>
          <w:rFonts w:cs="Arial" w:hint="eastAsia"/>
          <w:sz w:val="21"/>
          <w:szCs w:val="21"/>
        </w:rPr>
        <w:t>年。</w:t>
      </w:r>
    </w:p>
    <w:p w:rsidR="003717A0" w:rsidRDefault="003717A0">
      <w:pPr>
        <w:pStyle w:val="reader-word-layerreader-word-s5-0"/>
        <w:shd w:val="clear" w:color="auto" w:fill="FFFFFF"/>
        <w:ind w:firstLineChars="200" w:firstLine="376"/>
        <w:rPr>
          <w:rFonts w:cs="Arial"/>
          <w:spacing w:val="-11"/>
          <w:sz w:val="21"/>
          <w:szCs w:val="21"/>
        </w:rPr>
      </w:pPr>
      <w:r>
        <w:rPr>
          <w:rFonts w:hint="eastAsia"/>
          <w:spacing w:val="-11"/>
          <w:sz w:val="21"/>
          <w:szCs w:val="21"/>
        </w:rPr>
        <w:t>《实用康复医学》</w:t>
      </w:r>
      <w:r>
        <w:rPr>
          <w:rFonts w:hint="eastAsia"/>
          <w:sz w:val="21"/>
          <w:szCs w:val="21"/>
        </w:rPr>
        <w:t>，周士坊等编著，东南大学出版社，</w:t>
      </w:r>
      <w:r>
        <w:rPr>
          <w:rFonts w:cs="Arial"/>
          <w:sz w:val="21"/>
          <w:szCs w:val="21"/>
        </w:rPr>
        <w:t>1990</w:t>
      </w:r>
      <w:r>
        <w:rPr>
          <w:rFonts w:cs="Arial" w:hint="eastAsia"/>
          <w:spacing w:val="-27"/>
          <w:sz w:val="21"/>
          <w:szCs w:val="21"/>
        </w:rPr>
        <w:t>年。</w:t>
      </w:r>
    </w:p>
    <w:p w:rsidR="003717A0" w:rsidRDefault="003717A0">
      <w:pPr>
        <w:pStyle w:val="reader-word-layerreader-word-s5-7"/>
        <w:shd w:val="clear" w:color="auto" w:fill="FFFFFF"/>
        <w:ind w:firstLineChars="200" w:firstLine="420"/>
        <w:rPr>
          <w:rFonts w:cs="Arial"/>
          <w:sz w:val="21"/>
          <w:szCs w:val="21"/>
        </w:rPr>
      </w:pPr>
      <w:r>
        <w:rPr>
          <w:rFonts w:hint="eastAsia"/>
          <w:sz w:val="21"/>
          <w:szCs w:val="21"/>
        </w:rPr>
        <w:t>《实用瘫痪康复》，燕铁斌</w:t>
      </w:r>
      <w:r>
        <w:rPr>
          <w:sz w:val="21"/>
          <w:szCs w:val="21"/>
        </w:rPr>
        <w:t>,</w:t>
      </w:r>
      <w:r>
        <w:rPr>
          <w:rFonts w:hint="eastAsia"/>
          <w:sz w:val="21"/>
          <w:szCs w:val="21"/>
        </w:rPr>
        <w:t>窦祖林编著，人民卫生出版社，</w:t>
      </w:r>
      <w:r>
        <w:rPr>
          <w:rFonts w:cs="Arial"/>
          <w:sz w:val="21"/>
          <w:szCs w:val="21"/>
        </w:rPr>
        <w:t>2000</w:t>
      </w:r>
      <w:r>
        <w:rPr>
          <w:rFonts w:cs="Arial" w:hint="eastAsia"/>
          <w:sz w:val="21"/>
          <w:szCs w:val="21"/>
        </w:rPr>
        <w:t>。</w:t>
      </w:r>
    </w:p>
    <w:p w:rsidR="003717A0" w:rsidRDefault="003717A0">
      <w:pPr>
        <w:shd w:val="clear" w:color="auto" w:fill="FFFFFF"/>
        <w:autoSpaceDE w:val="0"/>
        <w:autoSpaceDN w:val="0"/>
        <w:adjustRightInd w:val="0"/>
        <w:ind w:firstLineChars="200" w:firstLine="420"/>
        <w:jc w:val="left"/>
        <w:rPr>
          <w:rFonts w:ascii="黑体" w:eastAsia="黑体" w:cs="黑体"/>
          <w:kern w:val="0"/>
          <w:sz w:val="18"/>
          <w:szCs w:val="18"/>
        </w:rPr>
      </w:pPr>
      <w:r>
        <w:rPr>
          <w:rFonts w:hint="eastAsia"/>
          <w:szCs w:val="21"/>
        </w:rPr>
        <w:t>《中国康复医学》，卓大宏等编著，华夏出版社，</w:t>
      </w:r>
      <w:r>
        <w:rPr>
          <w:szCs w:val="21"/>
        </w:rPr>
        <w:t>2003</w:t>
      </w:r>
      <w:r>
        <w:rPr>
          <w:rFonts w:hint="eastAsia"/>
          <w:szCs w:val="21"/>
        </w:rPr>
        <w:t>。</w:t>
      </w:r>
    </w:p>
    <w:p w:rsidR="003717A0" w:rsidRDefault="003717A0">
      <w:pPr>
        <w:shd w:val="clear" w:color="auto" w:fill="FFFFFF"/>
        <w:autoSpaceDE w:val="0"/>
        <w:autoSpaceDN w:val="0"/>
        <w:adjustRightInd w:val="0"/>
        <w:jc w:val="left"/>
        <w:rPr>
          <w:rFonts w:ascii="黑体" w:eastAsia="黑体" w:cs="黑体"/>
          <w:kern w:val="0"/>
          <w:sz w:val="18"/>
          <w:szCs w:val="18"/>
        </w:rPr>
      </w:pPr>
    </w:p>
    <w:p w:rsidR="003717A0" w:rsidRPr="00F5156D" w:rsidRDefault="003717A0" w:rsidP="00F5156D">
      <w:pPr>
        <w:shd w:val="clear" w:color="auto" w:fill="FFFFFF"/>
        <w:autoSpaceDE w:val="0"/>
        <w:autoSpaceDN w:val="0"/>
        <w:adjustRightInd w:val="0"/>
        <w:ind w:firstLineChars="3150" w:firstLine="6615"/>
        <w:jc w:val="left"/>
        <w:rPr>
          <w:rFonts w:ascii="黑体" w:eastAsia="黑体" w:hAnsi="黑体" w:cs="黑体"/>
          <w:kern w:val="0"/>
          <w:szCs w:val="21"/>
        </w:rPr>
      </w:pPr>
      <w:r w:rsidRPr="00F5156D">
        <w:rPr>
          <w:rFonts w:ascii="黑体" w:eastAsia="黑体" w:hAnsi="黑体" w:cs="黑体" w:hint="eastAsia"/>
          <w:kern w:val="0"/>
          <w:szCs w:val="21"/>
        </w:rPr>
        <w:t>制定人：</w:t>
      </w:r>
      <w:r w:rsidRPr="00F5156D">
        <w:rPr>
          <w:rFonts w:ascii="黑体" w:eastAsia="黑体" w:hAnsi="黑体" w:cs="黑体"/>
          <w:kern w:val="0"/>
          <w:szCs w:val="21"/>
        </w:rPr>
        <w:t xml:space="preserve"> </w:t>
      </w:r>
      <w:r w:rsidRPr="00F5156D">
        <w:rPr>
          <w:rFonts w:ascii="黑体" w:eastAsia="黑体" w:hAnsi="黑体" w:cs="黑体" w:hint="eastAsia"/>
          <w:kern w:val="0"/>
          <w:szCs w:val="21"/>
        </w:rPr>
        <w:t>朱振杰</w:t>
      </w:r>
    </w:p>
    <w:p w:rsidR="003717A0" w:rsidRPr="00F5156D" w:rsidRDefault="003717A0" w:rsidP="005E20B5">
      <w:pPr>
        <w:shd w:val="clear" w:color="auto" w:fill="FFFFFF"/>
        <w:adjustRightInd w:val="0"/>
        <w:snapToGrid w:val="0"/>
        <w:spacing w:beforeLines="50" w:afterLines="50" w:line="360" w:lineRule="auto"/>
        <w:jc w:val="center"/>
        <w:rPr>
          <w:rFonts w:ascii="黑体" w:eastAsia="黑体" w:hAnsi="黑体" w:cs="黑体"/>
          <w:kern w:val="0"/>
          <w:szCs w:val="21"/>
        </w:rPr>
      </w:pPr>
      <w:r w:rsidRPr="00F5156D">
        <w:rPr>
          <w:rFonts w:ascii="黑体" w:eastAsia="黑体" w:hAnsi="黑体" w:cs="黑体"/>
          <w:kern w:val="0"/>
          <w:szCs w:val="21"/>
        </w:rPr>
        <w:t xml:space="preserve">              </w:t>
      </w:r>
      <w:r w:rsidR="00EA5BFD">
        <w:rPr>
          <w:rFonts w:ascii="黑体" w:eastAsia="黑体" w:hAnsi="黑体" w:cs="黑体"/>
          <w:kern w:val="0"/>
          <w:szCs w:val="21"/>
        </w:rPr>
        <w:t xml:space="preserve">                          </w:t>
      </w:r>
      <w:r>
        <w:rPr>
          <w:rFonts w:ascii="黑体" w:eastAsia="黑体" w:hAnsi="黑体" w:cs="黑体"/>
          <w:kern w:val="0"/>
          <w:szCs w:val="21"/>
        </w:rPr>
        <w:t xml:space="preserve">            </w:t>
      </w:r>
      <w:r w:rsidRPr="00F5156D">
        <w:rPr>
          <w:rFonts w:ascii="黑体" w:eastAsia="黑体" w:hAnsi="黑体" w:cs="黑体"/>
          <w:kern w:val="0"/>
          <w:szCs w:val="21"/>
        </w:rPr>
        <w:t xml:space="preserve"> </w:t>
      </w:r>
      <w:r w:rsidRPr="00F5156D">
        <w:rPr>
          <w:rFonts w:ascii="黑体" w:eastAsia="黑体" w:hAnsi="黑体" w:cs="黑体" w:hint="eastAsia"/>
          <w:kern w:val="0"/>
          <w:szCs w:val="21"/>
        </w:rPr>
        <w:t>审核人：</w:t>
      </w:r>
      <w:r w:rsidRPr="00F5156D">
        <w:rPr>
          <w:rFonts w:ascii="黑体" w:eastAsia="黑体" w:hAnsi="黑体" w:cs="黑体"/>
          <w:kern w:val="0"/>
          <w:szCs w:val="21"/>
        </w:rPr>
        <w:t xml:space="preserve"> </w:t>
      </w:r>
      <w:r w:rsidRPr="00F5156D">
        <w:rPr>
          <w:rFonts w:ascii="黑体" w:eastAsia="黑体" w:hAnsi="黑体" w:cs="黑体" w:hint="eastAsia"/>
          <w:kern w:val="0"/>
          <w:szCs w:val="21"/>
        </w:rPr>
        <w:t>沈光宇</w:t>
      </w:r>
    </w:p>
    <w:p w:rsidR="003717A0" w:rsidRDefault="003717A0" w:rsidP="005E20B5">
      <w:pPr>
        <w:shd w:val="clear" w:color="auto" w:fill="FFFFFF"/>
        <w:adjustRightInd w:val="0"/>
        <w:snapToGrid w:val="0"/>
        <w:spacing w:beforeLines="50" w:afterLines="50" w:line="360" w:lineRule="auto"/>
        <w:jc w:val="center"/>
        <w:rPr>
          <w:rFonts w:ascii="黑体" w:eastAsia="黑体"/>
          <w:b/>
          <w:sz w:val="30"/>
          <w:szCs w:val="30"/>
        </w:rPr>
      </w:pPr>
      <w:r>
        <w:rPr>
          <w:rFonts w:ascii="黑体" w:eastAsia="黑体" w:cs="黑体"/>
          <w:kern w:val="0"/>
          <w:sz w:val="18"/>
          <w:szCs w:val="18"/>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shd w:val="clear" w:color="auto" w:fill="FFFFFF"/>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EA5BFD">
      <w:pPr>
        <w:numPr>
          <w:ilvl w:val="0"/>
          <w:numId w:val="330"/>
        </w:numPr>
        <w:shd w:val="clear" w:color="auto" w:fill="FFFFFF"/>
        <w:adjustRightInd w:val="0"/>
        <w:snapToGrid w:val="0"/>
        <w:spacing w:line="360" w:lineRule="auto"/>
        <w:ind w:right="4" w:hanging="660"/>
        <w:rPr>
          <w:rFonts w:ascii="Times New Roman"/>
        </w:rPr>
      </w:pPr>
      <w:r>
        <w:rPr>
          <w:rFonts w:ascii="Times New Roman" w:hint="eastAsia"/>
        </w:rPr>
        <w:t>修读完本课程规定内容的康复治疗专业的本科学生；</w:t>
      </w:r>
    </w:p>
    <w:p w:rsidR="003717A0" w:rsidRDefault="003717A0">
      <w:pPr>
        <w:numPr>
          <w:ilvl w:val="0"/>
          <w:numId w:val="330"/>
        </w:numPr>
        <w:shd w:val="clear" w:color="auto" w:fill="FFFFFF"/>
        <w:adjustRightInd w:val="0"/>
        <w:snapToGrid w:val="0"/>
        <w:spacing w:line="360" w:lineRule="auto"/>
        <w:ind w:right="4" w:hanging="660"/>
        <w:rPr>
          <w:rFonts w:ascii="Times New Roman"/>
        </w:rPr>
      </w:pPr>
      <w:r>
        <w:rPr>
          <w:rFonts w:ascii="Times New Roman" w:hint="eastAsia"/>
        </w:rPr>
        <w:t>提出并获准免修本课程、申请进行课程水平考核的康复治疗专业的本科学生。</w:t>
      </w:r>
    </w:p>
    <w:p w:rsidR="003717A0" w:rsidRDefault="003717A0">
      <w:pPr>
        <w:shd w:val="clear" w:color="auto" w:fill="FFFFFF"/>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shd w:val="clear" w:color="auto" w:fill="FFFFFF"/>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w:t>
      </w:r>
      <w:r>
        <w:rPr>
          <w:rFonts w:hint="eastAsia"/>
          <w:szCs w:val="21"/>
        </w:rPr>
        <w:t>掌握康复、康复医学的概念、服务对象，认识康复医学是现代医学的一个重要分支，认识它区别于临床医学的独有特性；掌握康复医学的组成、工作内容、</w:t>
      </w:r>
      <w:r>
        <w:rPr>
          <w:rFonts w:hint="eastAsia"/>
          <w:spacing w:val="-6"/>
          <w:szCs w:val="21"/>
        </w:rPr>
        <w:t>工作方式；</w:t>
      </w:r>
      <w:r>
        <w:rPr>
          <w:rFonts w:hint="eastAsia"/>
          <w:szCs w:val="21"/>
        </w:rPr>
        <w:t>熟悉康复医学与临床医学的相互关系；掌握残疾、残疾人、残疾学、功能障碍的定义，残疾预防、残疾评定。康复预防三层次</w:t>
      </w:r>
      <w:r>
        <w:rPr>
          <w:rFonts w:ascii="宋体" w:hAnsi="宋体" w:hint="eastAsia"/>
          <w:szCs w:val="21"/>
        </w:rPr>
        <w:t>等关系。</w:t>
      </w:r>
    </w:p>
    <w:p w:rsidR="003717A0" w:rsidRDefault="003717A0">
      <w:pPr>
        <w:shd w:val="clear" w:color="auto" w:fill="FFFFFF"/>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shd w:val="clear" w:color="auto" w:fill="FFFFFF"/>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期末闭卷理论考核和平时作业、观摩、见习考核。</w:t>
      </w:r>
    </w:p>
    <w:p w:rsidR="003717A0" w:rsidRDefault="003717A0">
      <w:pPr>
        <w:shd w:val="clear" w:color="auto" w:fill="FFFFFF"/>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shd w:val="clear" w:color="auto" w:fill="FFFFFF"/>
        <w:autoSpaceDE w:val="0"/>
        <w:autoSpaceDN w:val="0"/>
        <w:adjustRightInd w:val="0"/>
        <w:snapToGrid w:val="0"/>
        <w:spacing w:line="360" w:lineRule="auto"/>
        <w:ind w:firstLineChars="193" w:firstLine="405"/>
        <w:jc w:val="left"/>
        <w:rPr>
          <w:rFonts w:ascii="楷体_GB2312" w:eastAsia="楷体_GB2312"/>
          <w:sz w:val="24"/>
          <w:szCs w:val="24"/>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shd w:val="clear" w:color="auto" w:fill="FFFFFF"/>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shd w:val="clear" w:color="auto" w:fill="FFFFFF"/>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shd w:val="clear" w:color="auto" w:fill="FFFFFF"/>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康复和康复医学的基本概念；主要专业名词；</w:t>
      </w:r>
      <w:r>
        <w:rPr>
          <w:rFonts w:hint="eastAsia"/>
          <w:szCs w:val="21"/>
        </w:rPr>
        <w:t>康复医学的组成、工作内容、</w:t>
      </w:r>
      <w:r>
        <w:rPr>
          <w:rFonts w:hint="eastAsia"/>
          <w:spacing w:val="-6"/>
          <w:szCs w:val="21"/>
        </w:rPr>
        <w:t>工作方式；</w:t>
      </w:r>
      <w:r>
        <w:rPr>
          <w:rFonts w:hint="eastAsia"/>
          <w:szCs w:val="21"/>
        </w:rPr>
        <w:t>康复医学与临床医学的相互关系；残疾、残疾人、残疾学、功能障碍的定义。残疾预防、残疾评定、康复预防三层次</w:t>
      </w:r>
      <w:r>
        <w:rPr>
          <w:rFonts w:ascii="宋体" w:hAnsi="宋体" w:hint="eastAsia"/>
          <w:szCs w:val="21"/>
        </w:rPr>
        <w:t>等关系。</w:t>
      </w:r>
      <w:r>
        <w:rPr>
          <w:szCs w:val="21"/>
        </w:rPr>
        <w:t>ICF</w:t>
      </w:r>
      <w:r>
        <w:rPr>
          <w:rFonts w:hint="eastAsia"/>
          <w:szCs w:val="21"/>
        </w:rPr>
        <w:t>的基本概念，功能障碍的评定和康复治疗的基本原则，康复医学的工作方式和工作流程。康复医学科的设置、常用设备、诊疗工作常规等。</w:t>
      </w:r>
    </w:p>
    <w:p w:rsidR="003717A0" w:rsidRDefault="003717A0">
      <w:pPr>
        <w:shd w:val="clear" w:color="auto" w:fill="FFFFFF"/>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shd w:val="clear" w:color="auto" w:fill="FFFFFF"/>
        <w:autoSpaceDE w:val="0"/>
        <w:autoSpaceDN w:val="0"/>
        <w:adjustRightInd w:val="0"/>
        <w:snapToGrid w:val="0"/>
        <w:spacing w:line="360" w:lineRule="auto"/>
        <w:ind w:firstLineChars="193" w:firstLine="405"/>
        <w:jc w:val="left"/>
        <w:rPr>
          <w:rFonts w:ascii="宋体"/>
          <w:szCs w:val="21"/>
        </w:rPr>
      </w:pPr>
      <w:r>
        <w:rPr>
          <w:rFonts w:hint="eastAsia"/>
          <w:szCs w:val="21"/>
        </w:rPr>
        <w:t>认识康复医学是现代医学的一个重要分支，认识它区别于临床医学的独有特性。</w:t>
      </w:r>
      <w:r>
        <w:rPr>
          <w:rFonts w:ascii="宋体" w:hAnsi="宋体" w:hint="eastAsia"/>
          <w:szCs w:val="21"/>
        </w:rPr>
        <w:t>以康复和康复医学的基本概念</w:t>
      </w:r>
      <w:r>
        <w:rPr>
          <w:rFonts w:hint="eastAsia"/>
          <w:szCs w:val="21"/>
        </w:rPr>
        <w:t>、工作内容、</w:t>
      </w:r>
      <w:r>
        <w:rPr>
          <w:rFonts w:hint="eastAsia"/>
          <w:spacing w:val="-6"/>
          <w:szCs w:val="21"/>
        </w:rPr>
        <w:t>工作方式、</w:t>
      </w:r>
      <w:r>
        <w:rPr>
          <w:szCs w:val="21"/>
        </w:rPr>
        <w:t>ICF</w:t>
      </w:r>
      <w:r>
        <w:rPr>
          <w:rFonts w:hint="eastAsia"/>
          <w:szCs w:val="21"/>
        </w:rPr>
        <w:t>的基本概念、功能障碍的评定和康复治疗的基本原则，康复医学的工作方式和工作流程</w:t>
      </w:r>
      <w:r>
        <w:rPr>
          <w:rFonts w:hint="eastAsia"/>
          <w:spacing w:val="-6"/>
          <w:szCs w:val="21"/>
        </w:rPr>
        <w:t>、</w:t>
      </w:r>
      <w:r>
        <w:rPr>
          <w:rFonts w:hint="eastAsia"/>
          <w:szCs w:val="21"/>
        </w:rPr>
        <w:t>康复医学与临床医学的相互关系</w:t>
      </w:r>
      <w:r>
        <w:rPr>
          <w:rFonts w:ascii="宋体" w:hAnsi="宋体" w:hint="eastAsia"/>
          <w:szCs w:val="21"/>
        </w:rPr>
        <w:t>为考试重点，考核学生运用课程知识分析问题、解决问题的能力。</w:t>
      </w:r>
    </w:p>
    <w:p w:rsidR="003717A0" w:rsidRDefault="003717A0">
      <w:pPr>
        <w:shd w:val="clear" w:color="auto" w:fill="FFFFFF"/>
        <w:autoSpaceDE w:val="0"/>
        <w:autoSpaceDN w:val="0"/>
        <w:adjustRightIn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shd w:val="clear" w:color="auto" w:fill="FFFFFF"/>
        <w:autoSpaceDE w:val="0"/>
        <w:autoSpaceDN w:val="0"/>
        <w:adjustRightInd w:val="0"/>
        <w:snapToGrid w:val="0"/>
        <w:spacing w:line="440" w:lineRule="exact"/>
        <w:jc w:val="center"/>
        <w:rPr>
          <w:rFonts w:ascii="Times New Roman" w:eastAsia="黑体" w:hAnsi="Times New Roman"/>
          <w:kern w:val="0"/>
          <w:sz w:val="24"/>
          <w:szCs w:val="24"/>
        </w:rPr>
      </w:pPr>
      <w:r>
        <w:rPr>
          <w:rFonts w:ascii="Times New Roman" w:eastAsia="黑体" w:hAnsi="Times New Roman" w:hint="eastAsia"/>
          <w:kern w:val="0"/>
          <w:sz w:val="24"/>
          <w:szCs w:val="24"/>
        </w:rPr>
        <w:t>康复医学概论课程考试试题</w:t>
      </w:r>
    </w:p>
    <w:p w:rsidR="003717A0" w:rsidRDefault="003717A0">
      <w:pPr>
        <w:shd w:val="clear" w:color="auto" w:fill="FFFFFF"/>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康复治疗专业</w:t>
      </w:r>
      <w:r>
        <w:rPr>
          <w:rFonts w:ascii="Times New Roman" w:hAnsi="Times New Roman"/>
          <w:kern w:val="0"/>
          <w:sz w:val="22"/>
          <w:u w:val="single"/>
        </w:rPr>
        <w:t xml:space="preserve">  </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shd w:val="clear" w:color="auto" w:fill="FFFFFF"/>
        <w:autoSpaceDE w:val="0"/>
        <w:autoSpaceDN w:val="0"/>
        <w:adjustRightInd w:val="0"/>
        <w:spacing w:line="440" w:lineRule="exact"/>
        <w:ind w:firstLineChars="193" w:firstLine="425"/>
        <w:jc w:val="center"/>
        <w:rPr>
          <w:rFonts w:ascii="Times New Roman" w:hAnsi="Times New Roman"/>
          <w:kern w:val="0"/>
          <w:sz w:val="22"/>
        </w:rPr>
      </w:pPr>
      <w:r>
        <w:rPr>
          <w:rFonts w:ascii="Times New Roman" w:hAnsi="Times New Roman" w:hint="eastAsia"/>
          <w:kern w:val="0"/>
          <w:sz w:val="22"/>
        </w:rPr>
        <w:t>时间：</w:t>
      </w:r>
      <w:r>
        <w:rPr>
          <w:rFonts w:ascii="Times New Roman" w:hAnsi="Times New Roman"/>
          <w:kern w:val="0"/>
          <w:sz w:val="22"/>
        </w:rPr>
        <w:t>90</w:t>
      </w:r>
      <w:r>
        <w:rPr>
          <w:rFonts w:ascii="Times New Roman" w:hAnsi="Times New Roman" w:hint="eastAsia"/>
          <w:kern w:val="0"/>
          <w:sz w:val="22"/>
        </w:rPr>
        <w:t>分钟</w:t>
      </w:r>
      <w:r>
        <w:rPr>
          <w:rFonts w:ascii="Times New Roman" w:hAnsi="Times New Roman"/>
          <w:kern w:val="0"/>
          <w:sz w:val="22"/>
        </w:rPr>
        <w:t xml:space="preserve">     </w:t>
      </w:r>
      <w:r>
        <w:rPr>
          <w:rFonts w:ascii="Times New Roman" w:hAnsi="Times New Roman" w:hint="eastAsia"/>
          <w:kern w:val="0"/>
          <w:sz w:val="22"/>
        </w:rPr>
        <w:t>总分：</w:t>
      </w:r>
      <w:r>
        <w:rPr>
          <w:rFonts w:ascii="Times New Roman" w:hAnsi="Times New Roman"/>
          <w:kern w:val="0"/>
          <w:sz w:val="22"/>
        </w:rPr>
        <w:t>100</w:t>
      </w:r>
      <w:r>
        <w:rPr>
          <w:rFonts w:ascii="Times New Roman" w:hAnsi="Times New Roman" w:hint="eastAsia"/>
          <w:kern w:val="0"/>
          <w:sz w:val="22"/>
        </w:rPr>
        <w:t>分</w:t>
      </w:r>
    </w:p>
    <w:p w:rsidR="003717A0" w:rsidRDefault="003717A0">
      <w:pPr>
        <w:numPr>
          <w:ilvl w:val="0"/>
          <w:numId w:val="331"/>
        </w:numPr>
        <w:shd w:val="clear" w:color="auto" w:fill="FFFFFF"/>
        <w:tabs>
          <w:tab w:val="left" w:pos="720"/>
        </w:tabs>
        <w:spacing w:line="360" w:lineRule="auto"/>
        <w:rPr>
          <w:rFonts w:ascii="宋体"/>
          <w:szCs w:val="21"/>
        </w:rPr>
      </w:pPr>
      <w:r>
        <w:rPr>
          <w:rFonts w:ascii="宋体" w:hAnsi="宋体" w:hint="eastAsia"/>
          <w:szCs w:val="21"/>
        </w:rPr>
        <w:t>名词解释：（每题</w:t>
      </w:r>
      <w:r>
        <w:rPr>
          <w:rFonts w:ascii="宋体" w:hAnsi="宋体"/>
          <w:szCs w:val="21"/>
        </w:rPr>
        <w:t>3</w:t>
      </w:r>
      <w:r>
        <w:rPr>
          <w:rFonts w:ascii="宋体" w:hAnsi="宋体" w:hint="eastAsia"/>
          <w:szCs w:val="21"/>
        </w:rPr>
        <w:t>分，共</w:t>
      </w:r>
      <w:r>
        <w:rPr>
          <w:rFonts w:ascii="宋体" w:hAnsi="宋体"/>
          <w:szCs w:val="21"/>
        </w:rPr>
        <w:t>30</w:t>
      </w:r>
      <w:r>
        <w:rPr>
          <w:rFonts w:ascii="宋体" w:hAnsi="宋体" w:hint="eastAsia"/>
          <w:szCs w:val="21"/>
        </w:rPr>
        <w:t>分）</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康复</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康复医学</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康复流程</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szCs w:val="21"/>
        </w:rPr>
        <w:lastRenderedPageBreak/>
        <w:t>ADL</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残疾</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社区康复</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康复评定</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作业疗法</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hint="eastAsia"/>
          <w:szCs w:val="21"/>
        </w:rPr>
        <w:t>物理治疗</w:t>
      </w:r>
    </w:p>
    <w:p w:rsidR="003717A0" w:rsidRDefault="003717A0">
      <w:pPr>
        <w:numPr>
          <w:ilvl w:val="0"/>
          <w:numId w:val="15"/>
        </w:numPr>
        <w:shd w:val="clear" w:color="auto" w:fill="FFFFFF"/>
        <w:tabs>
          <w:tab w:val="left" w:pos="360"/>
        </w:tabs>
        <w:spacing w:line="360" w:lineRule="auto"/>
        <w:ind w:left="360" w:hanging="360"/>
        <w:rPr>
          <w:rFonts w:ascii="宋体"/>
          <w:szCs w:val="21"/>
        </w:rPr>
      </w:pPr>
      <w:r>
        <w:rPr>
          <w:rFonts w:ascii="宋体" w:hAnsi="宋体" w:cs="Times New Roman"/>
          <w:szCs w:val="21"/>
        </w:rPr>
        <w:t>ICF</w:t>
      </w:r>
    </w:p>
    <w:p w:rsidR="003717A0" w:rsidRDefault="003717A0">
      <w:pPr>
        <w:shd w:val="clear" w:color="auto" w:fill="FFFFFF"/>
        <w:rPr>
          <w:rFonts w:ascii="宋体"/>
          <w:szCs w:val="21"/>
        </w:rPr>
      </w:pPr>
      <w:r>
        <w:rPr>
          <w:rFonts w:ascii="宋体" w:hAnsi="宋体" w:hint="eastAsia"/>
          <w:szCs w:val="21"/>
        </w:rPr>
        <w:t>二、选择题：（每题</w:t>
      </w:r>
      <w:r>
        <w:rPr>
          <w:rFonts w:ascii="宋体" w:hAnsi="宋体"/>
          <w:szCs w:val="21"/>
        </w:rPr>
        <w:t>2</w:t>
      </w:r>
      <w:r>
        <w:rPr>
          <w:rFonts w:ascii="宋体" w:hAnsi="宋体" w:hint="eastAsia"/>
          <w:szCs w:val="21"/>
        </w:rPr>
        <w:t>分，共</w:t>
      </w:r>
      <w:r>
        <w:rPr>
          <w:rFonts w:ascii="宋体" w:hAnsi="宋体"/>
          <w:szCs w:val="21"/>
        </w:rPr>
        <w:t>30</w:t>
      </w:r>
      <w:r>
        <w:rPr>
          <w:rFonts w:ascii="宋体" w:hAnsi="宋体" w:hint="eastAsia"/>
          <w:szCs w:val="21"/>
        </w:rPr>
        <w:t>分）</w:t>
      </w:r>
    </w:p>
    <w:p w:rsidR="003717A0" w:rsidRDefault="003717A0">
      <w:pPr>
        <w:shd w:val="clear" w:color="auto" w:fill="FFFFFF"/>
        <w:rPr>
          <w:rFonts w:ascii="宋体"/>
          <w:szCs w:val="21"/>
        </w:rPr>
      </w:pPr>
      <w:r>
        <w:rPr>
          <w:rFonts w:ascii="宋体" w:hAnsi="宋体"/>
          <w:szCs w:val="21"/>
        </w:rPr>
        <w:t xml:space="preserve">1. </w:t>
      </w:r>
      <w:r>
        <w:rPr>
          <w:rFonts w:ascii="宋体" w:hAnsi="宋体" w:hint="eastAsia"/>
          <w:szCs w:val="21"/>
        </w:rPr>
        <w:t>（多选）全面医学包括</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、预防医学</w:t>
      </w:r>
      <w:r>
        <w:rPr>
          <w:rFonts w:ascii="宋体" w:hAnsi="宋体"/>
          <w:szCs w:val="21"/>
        </w:rPr>
        <w:t xml:space="preserve">          B</w:t>
      </w:r>
      <w:r>
        <w:rPr>
          <w:rFonts w:ascii="宋体" w:hAnsi="宋体" w:hint="eastAsia"/>
          <w:szCs w:val="21"/>
        </w:rPr>
        <w:t>、疗养医学</w:t>
      </w:r>
      <w:r>
        <w:rPr>
          <w:rFonts w:ascii="宋体" w:hAnsi="宋体"/>
          <w:szCs w:val="21"/>
        </w:rPr>
        <w:t xml:space="preserve">        C</w:t>
      </w:r>
      <w:r>
        <w:rPr>
          <w:rFonts w:ascii="宋体" w:hAnsi="宋体" w:hint="eastAsia"/>
          <w:szCs w:val="21"/>
        </w:rPr>
        <w:t>、康复医学</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、保健医学</w:t>
      </w:r>
      <w:r>
        <w:rPr>
          <w:rFonts w:ascii="宋体" w:hAnsi="宋体"/>
          <w:szCs w:val="21"/>
        </w:rPr>
        <w:t xml:space="preserve">          E</w:t>
      </w:r>
      <w:r>
        <w:rPr>
          <w:rFonts w:ascii="宋体" w:hAnsi="宋体" w:hint="eastAsia"/>
          <w:szCs w:val="21"/>
        </w:rPr>
        <w:t>、临床医学</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2.</w:t>
      </w:r>
      <w:r>
        <w:rPr>
          <w:rFonts w:ascii="宋体" w:hAnsi="宋体" w:hint="eastAsia"/>
          <w:szCs w:val="21"/>
        </w:rPr>
        <w:t>（多选）康复医学的三种服务形式是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、机构康复</w:t>
      </w:r>
      <w:r>
        <w:rPr>
          <w:rFonts w:ascii="宋体" w:hAnsi="宋体"/>
          <w:szCs w:val="21"/>
        </w:rPr>
        <w:t xml:space="preserve">          B</w:t>
      </w:r>
      <w:r>
        <w:rPr>
          <w:rFonts w:ascii="宋体" w:hAnsi="宋体" w:hint="eastAsia"/>
          <w:szCs w:val="21"/>
        </w:rPr>
        <w:t>、社区康复</w:t>
      </w:r>
      <w:r>
        <w:rPr>
          <w:rFonts w:ascii="宋体" w:hAnsi="宋体"/>
          <w:szCs w:val="21"/>
        </w:rPr>
        <w:t xml:space="preserve">       C</w:t>
      </w:r>
      <w:r>
        <w:rPr>
          <w:rFonts w:ascii="宋体" w:hAnsi="宋体" w:hint="eastAsia"/>
          <w:szCs w:val="21"/>
        </w:rPr>
        <w:t>、上门康复</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、门诊康复</w:t>
      </w:r>
      <w:r>
        <w:rPr>
          <w:rFonts w:ascii="宋体" w:hAnsi="宋体"/>
          <w:szCs w:val="21"/>
        </w:rPr>
        <w:t xml:space="preserve">          E</w:t>
      </w:r>
      <w:r>
        <w:rPr>
          <w:rFonts w:ascii="宋体" w:hAnsi="宋体" w:hint="eastAsia"/>
          <w:szCs w:val="21"/>
        </w:rPr>
        <w:t>、日间医院康复</w:t>
      </w:r>
    </w:p>
    <w:p w:rsidR="003717A0" w:rsidRDefault="003717A0">
      <w:pPr>
        <w:shd w:val="clear" w:color="auto" w:fill="FFFFFF"/>
        <w:rPr>
          <w:rFonts w:ascii="宋体"/>
          <w:szCs w:val="21"/>
        </w:rPr>
      </w:pPr>
      <w:r>
        <w:rPr>
          <w:rFonts w:ascii="宋体" w:hAnsi="宋体"/>
          <w:szCs w:val="21"/>
        </w:rPr>
        <w:t xml:space="preserve">3. </w:t>
      </w:r>
      <w:r>
        <w:rPr>
          <w:rFonts w:ascii="宋体" w:hAnsi="宋体" w:hint="eastAsia"/>
          <w:szCs w:val="21"/>
        </w:rPr>
        <w:t>（多选）中国的残疾分类标准中有</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、视力残疾</w:t>
      </w:r>
      <w:r>
        <w:rPr>
          <w:rFonts w:ascii="宋体" w:hAnsi="宋体"/>
          <w:szCs w:val="21"/>
        </w:rPr>
        <w:t xml:space="preserve">: </w:t>
      </w:r>
      <w:r>
        <w:rPr>
          <w:rFonts w:ascii="宋体" w:hAnsi="宋体" w:hint="eastAsia"/>
          <w:szCs w:val="21"/>
        </w:rPr>
        <w:t>盲、低视力</w:t>
      </w:r>
    </w:p>
    <w:p w:rsidR="003717A0" w:rsidRDefault="003717A0">
      <w:pPr>
        <w:shd w:val="clear" w:color="auto" w:fill="FFFFFF"/>
        <w:rPr>
          <w:rFonts w:ascii="宋体"/>
          <w:szCs w:val="21"/>
        </w:rPr>
      </w:pPr>
      <w:r>
        <w:rPr>
          <w:rFonts w:ascii="宋体" w:hAnsi="宋体"/>
          <w:szCs w:val="21"/>
        </w:rPr>
        <w:t>B</w:t>
      </w:r>
      <w:r>
        <w:rPr>
          <w:rFonts w:ascii="宋体" w:hAnsi="宋体" w:hint="eastAsia"/>
          <w:szCs w:val="21"/>
        </w:rPr>
        <w:t>、听力语言残疾：聋、重听、单纯的语言残疾不分级</w:t>
      </w:r>
    </w:p>
    <w:p w:rsidR="003717A0" w:rsidRDefault="003717A0">
      <w:pPr>
        <w:shd w:val="clear" w:color="auto" w:fill="FFFFFF"/>
        <w:rPr>
          <w:rFonts w:ascii="宋体"/>
          <w:szCs w:val="21"/>
        </w:rPr>
      </w:pPr>
      <w:r>
        <w:rPr>
          <w:rFonts w:ascii="宋体" w:hAnsi="宋体"/>
          <w:szCs w:val="21"/>
        </w:rPr>
        <w:t>C</w:t>
      </w:r>
      <w:r>
        <w:rPr>
          <w:rFonts w:ascii="宋体" w:hAnsi="宋体" w:hint="eastAsia"/>
          <w:szCs w:val="21"/>
        </w:rPr>
        <w:t>、智力残疾：极重度、重度、中度、轻度</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、肢体残疾：一级、二级、三级、四级</w:t>
      </w:r>
    </w:p>
    <w:p w:rsidR="003717A0" w:rsidRDefault="003717A0">
      <w:pPr>
        <w:shd w:val="clear" w:color="auto" w:fill="FFFFFF"/>
        <w:rPr>
          <w:rFonts w:ascii="宋体"/>
          <w:szCs w:val="21"/>
        </w:rPr>
      </w:pPr>
      <w:r>
        <w:rPr>
          <w:rFonts w:ascii="宋体" w:hAnsi="宋体"/>
          <w:szCs w:val="21"/>
        </w:rPr>
        <w:t>E</w:t>
      </w:r>
      <w:r>
        <w:rPr>
          <w:rFonts w:ascii="宋体" w:hAnsi="宋体" w:hint="eastAsia"/>
          <w:szCs w:val="21"/>
        </w:rPr>
        <w:t>、精神残疾：极重度、重度、中度、轻度</w:t>
      </w:r>
    </w:p>
    <w:p w:rsidR="003717A0" w:rsidRDefault="003717A0">
      <w:pPr>
        <w:shd w:val="clear" w:color="auto" w:fill="FFFFFF"/>
        <w:rPr>
          <w:rFonts w:ascii="宋体"/>
          <w:szCs w:val="21"/>
        </w:rPr>
      </w:pPr>
      <w:r>
        <w:rPr>
          <w:rFonts w:ascii="宋体" w:hAnsi="宋体"/>
          <w:szCs w:val="21"/>
        </w:rPr>
        <w:t>4.</w:t>
      </w:r>
      <w:r>
        <w:rPr>
          <w:rFonts w:ascii="宋体" w:hAnsi="宋体" w:hint="eastAsia"/>
          <w:szCs w:val="21"/>
        </w:rPr>
        <w:t>（单选）我国规定“全国助残日”是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w:t>
      </w:r>
      <w:r>
        <w:rPr>
          <w:rFonts w:ascii="宋体" w:hAnsi="宋体"/>
          <w:szCs w:val="21"/>
        </w:rPr>
        <w:t>3</w:t>
      </w:r>
      <w:r>
        <w:rPr>
          <w:rFonts w:ascii="宋体" w:hAnsi="宋体" w:hint="eastAsia"/>
          <w:szCs w:val="21"/>
        </w:rPr>
        <w:t>月的第三个星期天</w:t>
      </w:r>
      <w:r>
        <w:rPr>
          <w:rFonts w:ascii="宋体" w:hAnsi="宋体"/>
          <w:szCs w:val="21"/>
        </w:rPr>
        <w:t xml:space="preserve">          B</w:t>
      </w:r>
      <w:r>
        <w:rPr>
          <w:rFonts w:ascii="宋体" w:hAnsi="宋体" w:hint="eastAsia"/>
          <w:szCs w:val="21"/>
        </w:rPr>
        <w:t>、</w:t>
      </w:r>
      <w:r>
        <w:rPr>
          <w:rFonts w:ascii="宋体" w:hAnsi="宋体"/>
          <w:szCs w:val="21"/>
        </w:rPr>
        <w:t>7</w:t>
      </w:r>
      <w:r>
        <w:rPr>
          <w:rFonts w:ascii="宋体" w:hAnsi="宋体" w:hint="eastAsia"/>
          <w:szCs w:val="21"/>
        </w:rPr>
        <w:t>月的第二个星期天</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C</w:t>
      </w:r>
      <w:r>
        <w:rPr>
          <w:rFonts w:ascii="宋体" w:hAnsi="宋体" w:hint="eastAsia"/>
          <w:szCs w:val="21"/>
        </w:rPr>
        <w:t>、</w:t>
      </w:r>
      <w:r>
        <w:rPr>
          <w:rFonts w:ascii="宋体" w:hAnsi="宋体"/>
          <w:szCs w:val="21"/>
        </w:rPr>
        <w:t>5</w:t>
      </w:r>
      <w:r>
        <w:rPr>
          <w:rFonts w:ascii="宋体" w:hAnsi="宋体" w:hint="eastAsia"/>
          <w:szCs w:val="21"/>
        </w:rPr>
        <w:t>月的第三个星期天</w:t>
      </w:r>
      <w:r>
        <w:rPr>
          <w:rFonts w:ascii="宋体" w:hAnsi="宋体"/>
          <w:szCs w:val="21"/>
        </w:rPr>
        <w:t xml:space="preserve">          D</w:t>
      </w:r>
      <w:r>
        <w:rPr>
          <w:rFonts w:ascii="宋体" w:hAnsi="宋体" w:hint="eastAsia"/>
          <w:szCs w:val="21"/>
        </w:rPr>
        <w:t>、</w:t>
      </w:r>
      <w:r>
        <w:rPr>
          <w:rFonts w:ascii="宋体" w:hAnsi="宋体"/>
          <w:szCs w:val="21"/>
        </w:rPr>
        <w:t>4</w:t>
      </w:r>
      <w:r>
        <w:rPr>
          <w:rFonts w:ascii="宋体" w:hAnsi="宋体" w:hint="eastAsia"/>
          <w:szCs w:val="21"/>
        </w:rPr>
        <w:t>月的第一个星期天</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E</w:t>
      </w:r>
      <w:r>
        <w:rPr>
          <w:rFonts w:ascii="宋体" w:hAnsi="宋体" w:hint="eastAsia"/>
          <w:szCs w:val="21"/>
        </w:rPr>
        <w:t>、</w:t>
      </w:r>
      <w:r>
        <w:rPr>
          <w:rFonts w:ascii="宋体" w:hAnsi="宋体"/>
          <w:szCs w:val="21"/>
        </w:rPr>
        <w:t>6</w:t>
      </w:r>
      <w:r>
        <w:rPr>
          <w:rFonts w:ascii="宋体" w:hAnsi="宋体" w:hint="eastAsia"/>
          <w:szCs w:val="21"/>
        </w:rPr>
        <w:t>月的第二个星期天</w:t>
      </w:r>
    </w:p>
    <w:p w:rsidR="003717A0" w:rsidRDefault="003717A0">
      <w:pPr>
        <w:shd w:val="clear" w:color="auto" w:fill="FFFFFF"/>
        <w:rPr>
          <w:rFonts w:ascii="宋体"/>
          <w:szCs w:val="21"/>
        </w:rPr>
      </w:pPr>
      <w:r>
        <w:rPr>
          <w:rFonts w:ascii="宋体" w:hAnsi="宋体"/>
          <w:szCs w:val="21"/>
        </w:rPr>
        <w:t>5.</w:t>
      </w:r>
      <w:r>
        <w:rPr>
          <w:rFonts w:ascii="宋体" w:hAnsi="宋体" w:hint="eastAsia"/>
          <w:szCs w:val="21"/>
        </w:rPr>
        <w:t>（多选）康复医学的构成包括</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、康复基础学</w:t>
      </w:r>
      <w:r>
        <w:rPr>
          <w:rFonts w:ascii="宋体" w:hAnsi="宋体"/>
          <w:szCs w:val="21"/>
        </w:rPr>
        <w:t xml:space="preserve">      B</w:t>
      </w:r>
      <w:r>
        <w:rPr>
          <w:rFonts w:ascii="宋体" w:hAnsi="宋体" w:hint="eastAsia"/>
          <w:szCs w:val="21"/>
        </w:rPr>
        <w:t>、临床康复学</w:t>
      </w:r>
      <w:r>
        <w:rPr>
          <w:rFonts w:ascii="宋体" w:hAnsi="宋体"/>
          <w:szCs w:val="21"/>
        </w:rPr>
        <w:t xml:space="preserve">      C</w:t>
      </w:r>
      <w:r>
        <w:rPr>
          <w:rFonts w:ascii="宋体" w:hAnsi="宋体" w:hint="eastAsia"/>
          <w:szCs w:val="21"/>
        </w:rPr>
        <w:t>、康复功能评定学</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、康复治疗学</w:t>
      </w:r>
      <w:r>
        <w:rPr>
          <w:rFonts w:ascii="宋体" w:hAnsi="宋体"/>
          <w:szCs w:val="21"/>
        </w:rPr>
        <w:t xml:space="preserve">      E</w:t>
      </w:r>
      <w:r>
        <w:rPr>
          <w:rFonts w:ascii="宋体" w:hAnsi="宋体" w:hint="eastAsia"/>
          <w:szCs w:val="21"/>
        </w:rPr>
        <w:t>、社区康复学</w:t>
      </w:r>
    </w:p>
    <w:p w:rsidR="003717A0" w:rsidRDefault="003717A0">
      <w:pPr>
        <w:shd w:val="clear" w:color="auto" w:fill="FFFFFF"/>
        <w:rPr>
          <w:rFonts w:ascii="宋体"/>
          <w:szCs w:val="21"/>
        </w:rPr>
      </w:pPr>
      <w:r>
        <w:rPr>
          <w:rFonts w:ascii="宋体" w:hAnsi="宋体"/>
          <w:szCs w:val="21"/>
        </w:rPr>
        <w:t>6.</w:t>
      </w:r>
      <w:r>
        <w:rPr>
          <w:rFonts w:ascii="宋体" w:hAnsi="宋体" w:hint="eastAsia"/>
          <w:szCs w:val="21"/>
        </w:rPr>
        <w:t>（多选）康复治疗的主要内容有</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、物理治疗</w:t>
      </w:r>
      <w:r>
        <w:rPr>
          <w:rFonts w:ascii="宋体" w:hAnsi="宋体"/>
          <w:szCs w:val="21"/>
        </w:rPr>
        <w:t xml:space="preserve">          B</w:t>
      </w:r>
      <w:r>
        <w:rPr>
          <w:rFonts w:ascii="宋体" w:hAnsi="宋体" w:hint="eastAsia"/>
          <w:szCs w:val="21"/>
        </w:rPr>
        <w:t>、手术治疗</w:t>
      </w:r>
      <w:r>
        <w:rPr>
          <w:rFonts w:ascii="宋体" w:hAnsi="宋体"/>
          <w:szCs w:val="21"/>
        </w:rPr>
        <w:t xml:space="preserve">        C</w:t>
      </w:r>
      <w:r>
        <w:rPr>
          <w:rFonts w:ascii="宋体" w:hAnsi="宋体" w:hint="eastAsia"/>
          <w:szCs w:val="21"/>
        </w:rPr>
        <w:t>、作业治疗</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、药物治疗</w:t>
      </w:r>
      <w:r>
        <w:rPr>
          <w:rFonts w:ascii="宋体" w:hAnsi="宋体"/>
          <w:szCs w:val="21"/>
        </w:rPr>
        <w:t xml:space="preserve">          E</w:t>
      </w:r>
      <w:r>
        <w:rPr>
          <w:rFonts w:ascii="宋体" w:hAnsi="宋体" w:hint="eastAsia"/>
          <w:szCs w:val="21"/>
        </w:rPr>
        <w:t>、康复工程</w:t>
      </w:r>
    </w:p>
    <w:p w:rsidR="003717A0" w:rsidRDefault="003717A0">
      <w:pPr>
        <w:shd w:val="clear" w:color="auto" w:fill="FFFFFF"/>
        <w:rPr>
          <w:rFonts w:ascii="宋体"/>
          <w:szCs w:val="21"/>
        </w:rPr>
      </w:pPr>
      <w:r>
        <w:rPr>
          <w:rFonts w:ascii="宋体" w:hAnsi="宋体"/>
          <w:szCs w:val="21"/>
        </w:rPr>
        <w:t>7</w:t>
      </w:r>
      <w:r>
        <w:rPr>
          <w:rFonts w:ascii="宋体" w:hAnsi="宋体" w:hint="eastAsia"/>
          <w:szCs w:val="21"/>
        </w:rPr>
        <w:t>．（多选）功能障碍评定的内容包括</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w:t>
      </w:r>
      <w:r>
        <w:rPr>
          <w:rFonts w:ascii="宋体" w:hAnsi="宋体"/>
          <w:szCs w:val="21"/>
        </w:rPr>
        <w:t>ICF</w:t>
      </w:r>
      <w:r>
        <w:rPr>
          <w:rFonts w:ascii="宋体" w:hAnsi="宋体" w:hint="eastAsia"/>
          <w:szCs w:val="21"/>
        </w:rPr>
        <w:t>体系为功能障碍评定的基本框架</w:t>
      </w:r>
    </w:p>
    <w:p w:rsidR="003717A0" w:rsidRDefault="003717A0">
      <w:pPr>
        <w:shd w:val="clear" w:color="auto" w:fill="FFFFFF"/>
        <w:rPr>
          <w:rFonts w:ascii="宋体"/>
          <w:szCs w:val="21"/>
        </w:rPr>
      </w:pPr>
      <w:r>
        <w:rPr>
          <w:rFonts w:ascii="宋体" w:hAnsi="宋体"/>
          <w:szCs w:val="21"/>
        </w:rPr>
        <w:t>B</w:t>
      </w:r>
      <w:r>
        <w:rPr>
          <w:rFonts w:ascii="宋体" w:hAnsi="宋体" w:hint="eastAsia"/>
          <w:szCs w:val="21"/>
        </w:rPr>
        <w:t>、确定受限制因素</w:t>
      </w:r>
    </w:p>
    <w:p w:rsidR="003717A0" w:rsidRDefault="003717A0">
      <w:pPr>
        <w:shd w:val="clear" w:color="auto" w:fill="FFFFFF"/>
        <w:rPr>
          <w:rFonts w:ascii="宋体"/>
          <w:szCs w:val="21"/>
        </w:rPr>
      </w:pPr>
      <w:r>
        <w:rPr>
          <w:rFonts w:ascii="宋体" w:hAnsi="宋体"/>
          <w:szCs w:val="21"/>
        </w:rPr>
        <w:t>C</w:t>
      </w:r>
      <w:r>
        <w:rPr>
          <w:rFonts w:ascii="宋体" w:hAnsi="宋体" w:hint="eastAsia"/>
          <w:szCs w:val="21"/>
        </w:rPr>
        <w:t>、确定受限制的性质及其严重程度</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、确定现存的和康复所要求的功能水平</w:t>
      </w:r>
    </w:p>
    <w:p w:rsidR="003717A0" w:rsidRDefault="003717A0">
      <w:pPr>
        <w:shd w:val="clear" w:color="auto" w:fill="FFFFFF"/>
        <w:rPr>
          <w:rFonts w:ascii="宋体"/>
          <w:szCs w:val="21"/>
        </w:rPr>
      </w:pPr>
      <w:r>
        <w:rPr>
          <w:rFonts w:ascii="宋体" w:hAnsi="宋体"/>
          <w:szCs w:val="21"/>
        </w:rPr>
        <w:t>8.</w:t>
      </w:r>
      <w:r>
        <w:rPr>
          <w:rFonts w:ascii="宋体" w:hAnsi="宋体" w:hint="eastAsia"/>
          <w:szCs w:val="21"/>
        </w:rPr>
        <w:t>（多选）临床科学研究设计的基本步骤（</w:t>
      </w:r>
      <w:r>
        <w:rPr>
          <w:rFonts w:ascii="宋体" w:hAnsi="宋体"/>
          <w:szCs w:val="21"/>
        </w:rPr>
        <w:t xml:space="preserve">      </w:t>
      </w:r>
      <w:r>
        <w:rPr>
          <w:rFonts w:ascii="宋体" w:hAnsi="宋体" w:hint="eastAsia"/>
          <w:szCs w:val="21"/>
        </w:rPr>
        <w:t>）</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、确定科学研究主题</w:t>
      </w:r>
      <w:r>
        <w:rPr>
          <w:rFonts w:ascii="宋体" w:hAnsi="宋体"/>
          <w:szCs w:val="21"/>
        </w:rPr>
        <w:t xml:space="preserve">      B</w:t>
      </w:r>
      <w:r>
        <w:rPr>
          <w:rFonts w:ascii="宋体" w:hAnsi="宋体" w:hint="eastAsia"/>
          <w:szCs w:val="21"/>
        </w:rPr>
        <w:t>、科学研究方案设计</w:t>
      </w:r>
    </w:p>
    <w:p w:rsidR="003717A0" w:rsidRDefault="003717A0">
      <w:pPr>
        <w:shd w:val="clear" w:color="auto" w:fill="FFFFFF"/>
        <w:rPr>
          <w:rFonts w:ascii="宋体"/>
          <w:szCs w:val="21"/>
        </w:rPr>
      </w:pPr>
      <w:r>
        <w:rPr>
          <w:rFonts w:ascii="宋体" w:hAnsi="宋体"/>
          <w:szCs w:val="21"/>
        </w:rPr>
        <w:t>C</w:t>
      </w:r>
      <w:r>
        <w:rPr>
          <w:rFonts w:ascii="宋体" w:hAnsi="宋体" w:hint="eastAsia"/>
          <w:szCs w:val="21"/>
        </w:rPr>
        <w:t>、确定样本大小</w:t>
      </w:r>
      <w:r>
        <w:rPr>
          <w:rFonts w:ascii="宋体" w:hAnsi="宋体"/>
          <w:szCs w:val="21"/>
        </w:rPr>
        <w:t xml:space="preserve">          D</w:t>
      </w:r>
      <w:r>
        <w:rPr>
          <w:rFonts w:ascii="宋体" w:hAnsi="宋体" w:hint="eastAsia"/>
          <w:szCs w:val="21"/>
        </w:rPr>
        <w:t>、防止偏倚和误差</w:t>
      </w:r>
      <w:r>
        <w:rPr>
          <w:rFonts w:ascii="宋体" w:hAnsi="宋体"/>
          <w:szCs w:val="21"/>
        </w:rPr>
        <w:t xml:space="preserve">      E</w:t>
      </w:r>
      <w:r>
        <w:rPr>
          <w:rFonts w:ascii="宋体" w:hAnsi="宋体" w:hint="eastAsia"/>
          <w:szCs w:val="21"/>
        </w:rPr>
        <w:t>、资料分析</w:t>
      </w:r>
    </w:p>
    <w:p w:rsidR="003717A0" w:rsidRDefault="003717A0">
      <w:pPr>
        <w:shd w:val="clear" w:color="auto" w:fill="FFFFFF"/>
        <w:rPr>
          <w:rFonts w:ascii="宋体"/>
          <w:szCs w:val="21"/>
        </w:rPr>
      </w:pPr>
      <w:r>
        <w:rPr>
          <w:rFonts w:ascii="宋体" w:hAnsi="宋体"/>
          <w:szCs w:val="21"/>
        </w:rPr>
        <w:t>9.</w:t>
      </w:r>
      <w:r>
        <w:rPr>
          <w:rFonts w:ascii="宋体" w:hAnsi="宋体" w:hint="eastAsia"/>
          <w:szCs w:val="21"/>
        </w:rPr>
        <w:t>（单选）康复的对象最主要是指</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、急性患者</w:t>
      </w:r>
      <w:r>
        <w:rPr>
          <w:rFonts w:ascii="宋体" w:hAnsi="宋体"/>
          <w:szCs w:val="21"/>
        </w:rPr>
        <w:t xml:space="preserve">          B</w:t>
      </w:r>
      <w:r>
        <w:rPr>
          <w:rFonts w:ascii="宋体" w:hAnsi="宋体" w:hint="eastAsia"/>
          <w:szCs w:val="21"/>
        </w:rPr>
        <w:t>、有功能障碍者</w:t>
      </w:r>
      <w:r>
        <w:rPr>
          <w:rFonts w:ascii="宋体" w:hAnsi="宋体"/>
          <w:szCs w:val="21"/>
        </w:rPr>
        <w:t xml:space="preserve">        C</w:t>
      </w:r>
      <w:r>
        <w:rPr>
          <w:rFonts w:ascii="宋体" w:hAnsi="宋体" w:hint="eastAsia"/>
          <w:szCs w:val="21"/>
        </w:rPr>
        <w:t>、病情稳定者</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、生活不能自理者</w:t>
      </w:r>
      <w:r>
        <w:rPr>
          <w:rFonts w:ascii="宋体" w:hAnsi="宋体"/>
          <w:szCs w:val="21"/>
        </w:rPr>
        <w:t xml:space="preserve">    E</w:t>
      </w:r>
      <w:r>
        <w:rPr>
          <w:rFonts w:ascii="宋体" w:hAnsi="宋体" w:hint="eastAsia"/>
          <w:szCs w:val="21"/>
        </w:rPr>
        <w:t>、慢性病者</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lastRenderedPageBreak/>
        <w:t>10.</w:t>
      </w:r>
      <w:r>
        <w:rPr>
          <w:rFonts w:ascii="宋体" w:hAnsi="宋体" w:hint="eastAsia"/>
          <w:szCs w:val="21"/>
        </w:rPr>
        <w:t>（单选）康复的最终目标不包括</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、疾病痊愈出院者</w:t>
      </w:r>
      <w:r>
        <w:rPr>
          <w:rFonts w:ascii="宋体" w:hAnsi="宋体"/>
          <w:szCs w:val="21"/>
        </w:rPr>
        <w:t xml:space="preserve">        B</w:t>
      </w:r>
      <w:r>
        <w:rPr>
          <w:rFonts w:ascii="宋体" w:hAnsi="宋体" w:hint="eastAsia"/>
          <w:szCs w:val="21"/>
        </w:rPr>
        <w:t>、功能恢复</w:t>
      </w:r>
      <w:r>
        <w:rPr>
          <w:rFonts w:ascii="宋体" w:hAnsi="宋体"/>
          <w:szCs w:val="21"/>
        </w:rPr>
        <w:t xml:space="preserve">        C</w:t>
      </w:r>
      <w:r>
        <w:rPr>
          <w:rFonts w:ascii="宋体" w:hAnsi="宋体" w:hint="eastAsia"/>
          <w:szCs w:val="21"/>
        </w:rPr>
        <w:t>、重新就业</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、提高生活质量</w:t>
      </w:r>
      <w:r>
        <w:rPr>
          <w:rFonts w:ascii="宋体" w:hAnsi="宋体"/>
          <w:szCs w:val="21"/>
        </w:rPr>
        <w:t xml:space="preserve">          E</w:t>
      </w:r>
      <w:r>
        <w:rPr>
          <w:rFonts w:ascii="宋体" w:hAnsi="宋体" w:hint="eastAsia"/>
          <w:szCs w:val="21"/>
        </w:rPr>
        <w:t>、回归家庭和社会</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11.</w:t>
      </w:r>
      <w:r>
        <w:rPr>
          <w:rFonts w:ascii="宋体" w:hAnsi="宋体" w:hint="eastAsia"/>
          <w:szCs w:val="21"/>
        </w:rPr>
        <w:t>（单选）健康的概念不涉及的内容是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、躯体</w:t>
      </w:r>
      <w:r>
        <w:rPr>
          <w:rFonts w:ascii="宋体" w:hAnsi="宋体"/>
          <w:szCs w:val="21"/>
        </w:rPr>
        <w:t xml:space="preserve">     B</w:t>
      </w:r>
      <w:r>
        <w:rPr>
          <w:rFonts w:ascii="宋体" w:hAnsi="宋体" w:hint="eastAsia"/>
          <w:szCs w:val="21"/>
        </w:rPr>
        <w:t>、心理</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C</w:t>
      </w:r>
      <w:r>
        <w:rPr>
          <w:rFonts w:ascii="宋体" w:hAnsi="宋体" w:hint="eastAsia"/>
          <w:szCs w:val="21"/>
        </w:rPr>
        <w:t>、社会</w:t>
      </w:r>
      <w:r>
        <w:rPr>
          <w:rFonts w:ascii="宋体" w:hAnsi="宋体"/>
          <w:szCs w:val="21"/>
        </w:rPr>
        <w:t xml:space="preserve">     D</w:t>
      </w:r>
      <w:r>
        <w:rPr>
          <w:rFonts w:ascii="宋体" w:hAnsi="宋体" w:hint="eastAsia"/>
          <w:szCs w:val="21"/>
        </w:rPr>
        <w:t>、解剖</w:t>
      </w:r>
      <w:r>
        <w:rPr>
          <w:rFonts w:ascii="宋体" w:hAnsi="宋体"/>
          <w:szCs w:val="21"/>
        </w:rPr>
        <w:t xml:space="preserve">     E</w:t>
      </w:r>
      <w:r>
        <w:rPr>
          <w:rFonts w:ascii="宋体" w:hAnsi="宋体" w:hint="eastAsia"/>
          <w:szCs w:val="21"/>
        </w:rPr>
        <w:t>、道德品质</w:t>
      </w:r>
    </w:p>
    <w:p w:rsidR="003717A0" w:rsidRDefault="003717A0">
      <w:pPr>
        <w:shd w:val="clear" w:color="auto" w:fill="FFFFFF"/>
        <w:rPr>
          <w:rFonts w:ascii="宋体"/>
          <w:szCs w:val="21"/>
        </w:rPr>
      </w:pPr>
      <w:r>
        <w:rPr>
          <w:rFonts w:ascii="宋体" w:hAnsi="宋体"/>
          <w:szCs w:val="21"/>
        </w:rPr>
        <w:t>12.</w:t>
      </w:r>
      <w:r>
        <w:rPr>
          <w:rFonts w:ascii="宋体" w:hAnsi="宋体" w:hint="eastAsia"/>
          <w:szCs w:val="21"/>
        </w:rPr>
        <w:t>（单选）</w:t>
      </w:r>
      <w:r>
        <w:rPr>
          <w:rFonts w:ascii="宋体" w:hAnsi="宋体"/>
          <w:szCs w:val="21"/>
        </w:rPr>
        <w:t>ICF</w:t>
      </w:r>
      <w:r>
        <w:rPr>
          <w:rFonts w:ascii="宋体" w:hAnsi="宋体" w:hint="eastAsia"/>
          <w:szCs w:val="21"/>
        </w:rPr>
        <w:t>的评定用于</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、老年人</w:t>
      </w:r>
      <w:r>
        <w:rPr>
          <w:rFonts w:ascii="宋体" w:hAnsi="宋体"/>
          <w:szCs w:val="21"/>
        </w:rPr>
        <w:t xml:space="preserve">          B</w:t>
      </w:r>
      <w:r>
        <w:rPr>
          <w:rFonts w:ascii="宋体" w:hAnsi="宋体" w:hint="eastAsia"/>
          <w:szCs w:val="21"/>
        </w:rPr>
        <w:t>、慢性病患者</w:t>
      </w:r>
      <w:r>
        <w:rPr>
          <w:rFonts w:ascii="宋体" w:hAnsi="宋体"/>
          <w:szCs w:val="21"/>
        </w:rPr>
        <w:t xml:space="preserve">        C</w:t>
      </w:r>
      <w:r>
        <w:rPr>
          <w:rFonts w:ascii="宋体" w:hAnsi="宋体" w:hint="eastAsia"/>
          <w:szCs w:val="21"/>
        </w:rPr>
        <w:t>、健康人</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、所有人</w:t>
      </w:r>
      <w:r>
        <w:rPr>
          <w:rFonts w:ascii="宋体" w:hAnsi="宋体"/>
          <w:szCs w:val="21"/>
        </w:rPr>
        <w:t xml:space="preserve">          E</w:t>
      </w:r>
      <w:r>
        <w:rPr>
          <w:rFonts w:ascii="宋体" w:hAnsi="宋体" w:hint="eastAsia"/>
          <w:szCs w:val="21"/>
        </w:rPr>
        <w:t>、残疾人</w:t>
      </w:r>
    </w:p>
    <w:p w:rsidR="003717A0" w:rsidRDefault="003717A0">
      <w:pPr>
        <w:shd w:val="clear" w:color="auto" w:fill="FFFFFF"/>
        <w:rPr>
          <w:rFonts w:ascii="宋体"/>
          <w:szCs w:val="21"/>
        </w:rPr>
      </w:pPr>
      <w:r>
        <w:rPr>
          <w:rFonts w:ascii="宋体" w:hAnsi="宋体"/>
          <w:szCs w:val="21"/>
        </w:rPr>
        <w:t>13.</w:t>
      </w:r>
      <w:r>
        <w:rPr>
          <w:rFonts w:ascii="宋体" w:hAnsi="宋体" w:hint="eastAsia"/>
          <w:szCs w:val="21"/>
        </w:rPr>
        <w:t>（单选）从理论模式来看</w:t>
      </w:r>
      <w:r>
        <w:rPr>
          <w:rFonts w:ascii="宋体" w:hAnsi="宋体"/>
          <w:szCs w:val="21"/>
        </w:rPr>
        <w:t>ICF</w:t>
      </w:r>
      <w:r>
        <w:rPr>
          <w:rFonts w:ascii="宋体" w:hAnsi="宋体" w:hint="eastAsia"/>
          <w:szCs w:val="21"/>
        </w:rPr>
        <w:t>分类符合的是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、生物模式</w:t>
      </w:r>
      <w:r>
        <w:rPr>
          <w:rFonts w:ascii="宋体" w:hAnsi="宋体"/>
          <w:szCs w:val="21"/>
        </w:rPr>
        <w:t xml:space="preserve">             B</w:t>
      </w:r>
      <w:r>
        <w:rPr>
          <w:rFonts w:ascii="宋体" w:hAnsi="宋体" w:hint="eastAsia"/>
          <w:szCs w:val="21"/>
        </w:rPr>
        <w:t>、社会模式</w:t>
      </w:r>
      <w:r>
        <w:rPr>
          <w:rFonts w:ascii="宋体" w:hAnsi="宋体"/>
          <w:szCs w:val="21"/>
        </w:rPr>
        <w:t xml:space="preserve">        C</w:t>
      </w:r>
      <w:r>
        <w:rPr>
          <w:rFonts w:ascii="宋体" w:hAnsi="宋体" w:hint="eastAsia"/>
          <w:szCs w:val="21"/>
        </w:rPr>
        <w:t>、心理模式</w:t>
      </w:r>
    </w:p>
    <w:p w:rsidR="003717A0" w:rsidRDefault="003717A0">
      <w:pPr>
        <w:shd w:val="clear" w:color="auto" w:fill="FFFFFF"/>
        <w:rPr>
          <w:rFonts w:ascii="宋体"/>
          <w:szCs w:val="21"/>
        </w:rPr>
      </w:pPr>
      <w:r>
        <w:rPr>
          <w:rFonts w:ascii="宋体" w:hAnsi="宋体"/>
          <w:szCs w:val="21"/>
        </w:rPr>
        <w:t>D</w:t>
      </w:r>
      <w:r>
        <w:rPr>
          <w:rFonts w:ascii="宋体" w:hAnsi="宋体" w:hint="eastAsia"/>
          <w:szCs w:val="21"/>
        </w:rPr>
        <w:t>、生物</w:t>
      </w:r>
      <w:r>
        <w:rPr>
          <w:rFonts w:ascii="宋体"/>
          <w:szCs w:val="21"/>
        </w:rPr>
        <w:t>-</w:t>
      </w:r>
      <w:r>
        <w:rPr>
          <w:rFonts w:ascii="宋体" w:hAnsi="宋体" w:hint="eastAsia"/>
          <w:szCs w:val="21"/>
        </w:rPr>
        <w:t>心理</w:t>
      </w:r>
      <w:r>
        <w:rPr>
          <w:rFonts w:ascii="宋体"/>
          <w:szCs w:val="21"/>
        </w:rPr>
        <w:t>-</w:t>
      </w:r>
      <w:r>
        <w:rPr>
          <w:rFonts w:ascii="宋体" w:hAnsi="宋体" w:hint="eastAsia"/>
          <w:szCs w:val="21"/>
        </w:rPr>
        <w:t>社会模式</w:t>
      </w:r>
      <w:r>
        <w:rPr>
          <w:rFonts w:ascii="宋体" w:hAnsi="宋体"/>
          <w:szCs w:val="21"/>
        </w:rPr>
        <w:t xml:space="preserve">    E</w:t>
      </w:r>
      <w:r>
        <w:rPr>
          <w:rFonts w:ascii="宋体" w:hAnsi="宋体" w:hint="eastAsia"/>
          <w:szCs w:val="21"/>
        </w:rPr>
        <w:t>、生物</w:t>
      </w:r>
      <w:r>
        <w:rPr>
          <w:rFonts w:ascii="宋体"/>
          <w:szCs w:val="21"/>
        </w:rPr>
        <w:t>-</w:t>
      </w:r>
      <w:r>
        <w:rPr>
          <w:rFonts w:ascii="宋体" w:hAnsi="宋体" w:hint="eastAsia"/>
          <w:szCs w:val="21"/>
        </w:rPr>
        <w:t>心理模式</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14.</w:t>
      </w:r>
      <w:r>
        <w:rPr>
          <w:rFonts w:ascii="宋体" w:hAnsi="宋体" w:hint="eastAsia"/>
          <w:szCs w:val="21"/>
        </w:rPr>
        <w:t>（单选）活动受限是指</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、精神障碍</w:t>
      </w:r>
      <w:r>
        <w:rPr>
          <w:rFonts w:ascii="宋体" w:hAnsi="宋体"/>
          <w:szCs w:val="21"/>
        </w:rPr>
        <w:t xml:space="preserve">          B</w:t>
      </w:r>
      <w:r>
        <w:rPr>
          <w:rFonts w:ascii="宋体" w:hAnsi="宋体" w:hint="eastAsia"/>
          <w:szCs w:val="21"/>
        </w:rPr>
        <w:t>、个体在进行活动时可能遇到困难</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C</w:t>
      </w:r>
      <w:r>
        <w:rPr>
          <w:rFonts w:ascii="宋体" w:hAnsi="宋体" w:hint="eastAsia"/>
          <w:szCs w:val="21"/>
        </w:rPr>
        <w:t>、感觉障碍</w:t>
      </w:r>
      <w:r>
        <w:rPr>
          <w:rFonts w:ascii="宋体" w:hAnsi="宋体"/>
          <w:szCs w:val="21"/>
        </w:rPr>
        <w:t xml:space="preserve">          D</w:t>
      </w:r>
      <w:r>
        <w:rPr>
          <w:rFonts w:ascii="宋体" w:hAnsi="宋体" w:hint="eastAsia"/>
          <w:szCs w:val="21"/>
        </w:rPr>
        <w:t>、神经肌肉骨骼和运动有关的功能障碍</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15.</w:t>
      </w:r>
      <w:r>
        <w:rPr>
          <w:rFonts w:ascii="宋体" w:hAnsi="宋体" w:hint="eastAsia"/>
          <w:szCs w:val="21"/>
        </w:rPr>
        <w:t>（多选）负责康复治疗工作的人员有</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A</w:t>
      </w:r>
      <w:r>
        <w:rPr>
          <w:rFonts w:ascii="宋体" w:hAnsi="宋体" w:hint="eastAsia"/>
          <w:szCs w:val="21"/>
        </w:rPr>
        <w:t>、康复护士</w:t>
      </w:r>
      <w:r>
        <w:rPr>
          <w:rFonts w:ascii="宋体" w:hAnsi="宋体"/>
          <w:szCs w:val="21"/>
        </w:rPr>
        <w:t xml:space="preserve">          B</w:t>
      </w:r>
      <w:r>
        <w:rPr>
          <w:rFonts w:ascii="宋体" w:hAnsi="宋体" w:hint="eastAsia"/>
          <w:szCs w:val="21"/>
        </w:rPr>
        <w:t>、作业治疗师</w:t>
      </w:r>
      <w:r>
        <w:rPr>
          <w:rFonts w:ascii="宋体" w:hAnsi="宋体"/>
          <w:szCs w:val="21"/>
        </w:rPr>
        <w:t xml:space="preserve">        C</w:t>
      </w:r>
      <w:r>
        <w:rPr>
          <w:rFonts w:ascii="宋体" w:hAnsi="宋体" w:hint="eastAsia"/>
          <w:szCs w:val="21"/>
        </w:rPr>
        <w:t>、言语治疗师</w:t>
      </w:r>
    </w:p>
    <w:p w:rsidR="003717A0" w:rsidRDefault="003717A0">
      <w:pPr>
        <w:widowControl/>
        <w:shd w:val="clear" w:color="auto" w:fill="FFFFFF"/>
        <w:jc w:val="left"/>
        <w:rPr>
          <w:rFonts w:ascii="宋体"/>
          <w:szCs w:val="21"/>
        </w:rPr>
      </w:pPr>
      <w:r>
        <w:rPr>
          <w:rFonts w:ascii="宋体" w:hAnsi="宋体"/>
          <w:szCs w:val="21"/>
        </w:rPr>
        <w:t>D</w:t>
      </w:r>
      <w:r>
        <w:rPr>
          <w:rFonts w:ascii="宋体" w:hAnsi="宋体" w:hint="eastAsia"/>
          <w:szCs w:val="21"/>
        </w:rPr>
        <w:t>、临床医生</w:t>
      </w:r>
      <w:r>
        <w:rPr>
          <w:rFonts w:ascii="宋体" w:hAnsi="宋体"/>
          <w:szCs w:val="21"/>
        </w:rPr>
        <w:t xml:space="preserve">          E</w:t>
      </w:r>
      <w:r>
        <w:rPr>
          <w:rFonts w:ascii="宋体" w:hAnsi="宋体" w:hint="eastAsia"/>
          <w:szCs w:val="21"/>
        </w:rPr>
        <w:t>、物理治疗师</w:t>
      </w:r>
    </w:p>
    <w:p w:rsidR="003717A0" w:rsidRDefault="003717A0">
      <w:pPr>
        <w:numPr>
          <w:ilvl w:val="0"/>
          <w:numId w:val="332"/>
        </w:numPr>
        <w:shd w:val="clear" w:color="auto" w:fill="FFFFFF"/>
        <w:rPr>
          <w:rFonts w:ascii="宋体"/>
          <w:szCs w:val="21"/>
        </w:rPr>
      </w:pPr>
      <w:r>
        <w:rPr>
          <w:rFonts w:ascii="宋体" w:hAnsi="宋体" w:hint="eastAsia"/>
          <w:szCs w:val="21"/>
        </w:rPr>
        <w:t>填空题（每格</w:t>
      </w:r>
      <w:r>
        <w:rPr>
          <w:rFonts w:ascii="宋体" w:hAnsi="宋体"/>
          <w:szCs w:val="21"/>
        </w:rPr>
        <w:t>1</w:t>
      </w:r>
      <w:r>
        <w:rPr>
          <w:rFonts w:ascii="宋体" w:hAnsi="宋体" w:hint="eastAsia"/>
          <w:szCs w:val="21"/>
        </w:rPr>
        <w:t>分，共</w:t>
      </w:r>
      <w:r>
        <w:rPr>
          <w:rFonts w:ascii="宋体" w:hAnsi="宋体"/>
          <w:szCs w:val="21"/>
        </w:rPr>
        <w:t>14</w:t>
      </w:r>
      <w:r>
        <w:rPr>
          <w:rFonts w:ascii="宋体" w:hAnsi="宋体" w:hint="eastAsia"/>
          <w:szCs w:val="21"/>
        </w:rPr>
        <w:t>分）</w:t>
      </w:r>
    </w:p>
    <w:p w:rsidR="003717A0" w:rsidRDefault="003717A0">
      <w:pPr>
        <w:shd w:val="clear" w:color="auto" w:fill="FFFFFF"/>
        <w:rPr>
          <w:rFonts w:ascii="宋体"/>
          <w:szCs w:val="21"/>
          <w:u w:val="single"/>
        </w:rPr>
      </w:pPr>
      <w:r>
        <w:rPr>
          <w:rFonts w:ascii="宋体" w:hAnsi="宋体"/>
          <w:szCs w:val="21"/>
        </w:rPr>
        <w:t>1.</w:t>
      </w:r>
      <w:r>
        <w:rPr>
          <w:rFonts w:ascii="宋体" w:hAnsi="宋体" w:hint="eastAsia"/>
          <w:szCs w:val="21"/>
        </w:rPr>
        <w:t>康复的范畴包括医疗康复</w:t>
      </w:r>
      <w:r>
        <w:rPr>
          <w:rFonts w:ascii="宋体" w:hAnsi="宋体" w:hint="eastAsia"/>
          <w:szCs w:val="21"/>
          <w:u w:val="single"/>
        </w:rPr>
        <w:t>、</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hint="eastAsia"/>
          <w:szCs w:val="21"/>
          <w:u w:val="single"/>
        </w:rPr>
        <w:t>、和</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p>
    <w:p w:rsidR="003717A0" w:rsidRDefault="003717A0">
      <w:pPr>
        <w:shd w:val="clear" w:color="auto" w:fill="FFFFFF"/>
        <w:rPr>
          <w:rFonts w:ascii="宋体"/>
          <w:szCs w:val="21"/>
        </w:rPr>
      </w:pPr>
      <w:r>
        <w:rPr>
          <w:rFonts w:ascii="宋体" w:hAnsi="宋体" w:hint="eastAsia"/>
          <w:szCs w:val="21"/>
        </w:rPr>
        <w:t>康复工程等这些方面共同构成了全面康复。</w:t>
      </w:r>
    </w:p>
    <w:p w:rsidR="003717A0" w:rsidRDefault="003717A0">
      <w:pPr>
        <w:shd w:val="clear" w:color="auto" w:fill="FFFFFF"/>
        <w:rPr>
          <w:rFonts w:ascii="宋体"/>
          <w:szCs w:val="21"/>
          <w:u w:val="single"/>
        </w:rPr>
      </w:pPr>
      <w:r>
        <w:rPr>
          <w:rFonts w:ascii="宋体" w:hAnsi="宋体"/>
          <w:szCs w:val="21"/>
        </w:rPr>
        <w:t>2</w:t>
      </w:r>
      <w:r>
        <w:rPr>
          <w:rFonts w:ascii="宋体" w:hAnsi="宋体" w:hint="eastAsia"/>
          <w:szCs w:val="21"/>
        </w:rPr>
        <w:t>．参与局限的含义应包</w:t>
      </w:r>
      <w:r>
        <w:rPr>
          <w:rFonts w:ascii="宋体" w:hAnsi="宋体" w:hint="eastAsia"/>
          <w:szCs w:val="21"/>
          <w:u w:val="single"/>
        </w:rPr>
        <w:t>括</w:t>
      </w:r>
      <w:r>
        <w:rPr>
          <w:rFonts w:ascii="宋体" w:hAnsi="宋体"/>
          <w:szCs w:val="21"/>
          <w:u w:val="single"/>
        </w:rPr>
        <w:t xml:space="preserve">          </w:t>
      </w:r>
      <w:r>
        <w:rPr>
          <w:rFonts w:ascii="宋体" w:hAnsi="宋体" w:hint="eastAsia"/>
          <w:szCs w:val="21"/>
          <w:u w:val="single"/>
        </w:rPr>
        <w:t>和</w:t>
      </w:r>
      <w:r>
        <w:rPr>
          <w:rFonts w:ascii="宋体" w:hAnsi="宋体"/>
          <w:szCs w:val="21"/>
          <w:u w:val="single"/>
        </w:rPr>
        <w:t xml:space="preserve">          </w:t>
      </w:r>
      <w:r>
        <w:rPr>
          <w:rFonts w:ascii="宋体" w:hAnsi="宋体" w:hint="eastAsia"/>
          <w:szCs w:val="21"/>
          <w:u w:val="single"/>
        </w:rPr>
        <w:t>，</w:t>
      </w:r>
      <w:r>
        <w:rPr>
          <w:rFonts w:ascii="宋体" w:hAnsi="宋体" w:hint="eastAsia"/>
          <w:szCs w:val="21"/>
        </w:rPr>
        <w:t>主要生活领域，</w:t>
      </w:r>
      <w:r>
        <w:rPr>
          <w:rFonts w:ascii="宋体" w:hAnsi="宋体" w:hint="eastAsia"/>
          <w:szCs w:val="21"/>
          <w:u w:val="single"/>
        </w:rPr>
        <w:t>如</w:t>
      </w:r>
      <w:r>
        <w:rPr>
          <w:rFonts w:ascii="宋体" w:hAnsi="宋体"/>
          <w:szCs w:val="21"/>
          <w:u w:val="single"/>
        </w:rPr>
        <w:t xml:space="preserve">         </w:t>
      </w:r>
      <w:r>
        <w:rPr>
          <w:rFonts w:ascii="宋体" w:hAnsi="宋体" w:hint="eastAsia"/>
          <w:szCs w:val="21"/>
          <w:u w:val="single"/>
        </w:rPr>
        <w:t>、</w:t>
      </w:r>
    </w:p>
    <w:p w:rsidR="003717A0" w:rsidRDefault="003717A0">
      <w:pPr>
        <w:shd w:val="clear" w:color="auto" w:fill="FFFFFF"/>
        <w:rPr>
          <w:rFonts w:ascii="宋体"/>
          <w:szCs w:val="21"/>
        </w:rPr>
      </w:pPr>
      <w:r>
        <w:rPr>
          <w:rFonts w:ascii="宋体" w:hAnsi="宋体" w:hint="eastAsia"/>
          <w:szCs w:val="21"/>
        </w:rPr>
        <w:t>社会</w:t>
      </w:r>
      <w:r>
        <w:rPr>
          <w:rFonts w:ascii="宋体" w:hAnsi="宋体" w:hint="eastAsia"/>
          <w:szCs w:val="21"/>
          <w:u w:val="single"/>
        </w:rPr>
        <w:t>和</w:t>
      </w:r>
      <w:r>
        <w:rPr>
          <w:rFonts w:ascii="宋体" w:hAnsi="宋体"/>
          <w:szCs w:val="21"/>
          <w:u w:val="single"/>
        </w:rPr>
        <w:t xml:space="preserve">          </w:t>
      </w:r>
      <w:r>
        <w:rPr>
          <w:rFonts w:ascii="宋体" w:hAnsi="宋体" w:hint="eastAsia"/>
          <w:szCs w:val="21"/>
          <w:u w:val="single"/>
        </w:rPr>
        <w:t>等</w:t>
      </w:r>
      <w:r>
        <w:rPr>
          <w:rFonts w:ascii="宋体" w:hAnsi="宋体" w:hint="eastAsia"/>
          <w:szCs w:val="21"/>
        </w:rPr>
        <w:t>方面。</w:t>
      </w:r>
    </w:p>
    <w:p w:rsidR="003717A0" w:rsidRDefault="003717A0">
      <w:pPr>
        <w:shd w:val="clear" w:color="auto" w:fill="FFFFFF"/>
        <w:rPr>
          <w:rFonts w:ascii="宋体"/>
          <w:szCs w:val="21"/>
          <w:u w:val="single"/>
        </w:rPr>
      </w:pPr>
      <w:r>
        <w:rPr>
          <w:rFonts w:ascii="宋体" w:hAnsi="宋体"/>
          <w:szCs w:val="21"/>
        </w:rPr>
        <w:t>3. 1980</w:t>
      </w:r>
      <w:r>
        <w:rPr>
          <w:rFonts w:ascii="宋体" w:hAnsi="宋体" w:hint="eastAsia"/>
          <w:szCs w:val="21"/>
        </w:rPr>
        <w:t>年，</w:t>
      </w:r>
      <w:r>
        <w:rPr>
          <w:rFonts w:ascii="宋体" w:hAnsi="宋体"/>
          <w:szCs w:val="21"/>
        </w:rPr>
        <w:t>WHO</w:t>
      </w:r>
      <w:r>
        <w:rPr>
          <w:rFonts w:ascii="宋体" w:hAnsi="宋体" w:hint="eastAsia"/>
          <w:szCs w:val="21"/>
        </w:rPr>
        <w:t>按照残疾的性质、程度和影响，把残疾分为</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hint="eastAsia"/>
          <w:szCs w:val="21"/>
          <w:u w:val="single"/>
        </w:rPr>
        <w:t>、</w:t>
      </w:r>
      <w:r>
        <w:rPr>
          <w:rFonts w:ascii="宋体" w:hAnsi="宋体"/>
          <w:szCs w:val="21"/>
          <w:u w:val="single"/>
        </w:rPr>
        <w:t xml:space="preserve">           </w:t>
      </w:r>
      <w:r>
        <w:rPr>
          <w:rFonts w:ascii="宋体" w:hAnsi="宋体" w:hint="eastAsia"/>
          <w:szCs w:val="21"/>
          <w:u w:val="single"/>
        </w:rPr>
        <w:t>。</w:t>
      </w:r>
    </w:p>
    <w:p w:rsidR="003717A0" w:rsidRDefault="003717A0">
      <w:pPr>
        <w:shd w:val="clear" w:color="auto" w:fill="FFFFFF"/>
        <w:spacing w:line="360" w:lineRule="auto"/>
        <w:rPr>
          <w:rFonts w:ascii="宋体"/>
          <w:szCs w:val="21"/>
          <w:u w:val="single"/>
        </w:rPr>
      </w:pPr>
      <w:r>
        <w:rPr>
          <w:rFonts w:ascii="宋体" w:hAnsi="宋体"/>
          <w:szCs w:val="21"/>
        </w:rPr>
        <w:t>4.</w:t>
      </w:r>
      <w:r>
        <w:rPr>
          <w:rFonts w:ascii="宋体" w:hAnsi="宋体" w:hint="eastAsia"/>
          <w:szCs w:val="21"/>
        </w:rPr>
        <w:t>康复最终目标是使患者生活</w:t>
      </w:r>
      <w:r>
        <w:rPr>
          <w:rFonts w:ascii="宋体" w:hAnsi="宋体"/>
          <w:szCs w:val="21"/>
          <w:u w:val="single"/>
        </w:rPr>
        <w:t xml:space="preserve">            </w:t>
      </w:r>
      <w:r>
        <w:rPr>
          <w:rFonts w:ascii="宋体" w:hAnsi="宋体" w:hint="eastAsia"/>
          <w:szCs w:val="21"/>
          <w:u w:val="single"/>
        </w:rPr>
        <w:t>的</w:t>
      </w:r>
      <w:r>
        <w:rPr>
          <w:rFonts w:ascii="宋体" w:hAnsi="宋体" w:hint="eastAsia"/>
          <w:szCs w:val="21"/>
        </w:rPr>
        <w:t>独立，改善</w:t>
      </w:r>
      <w:r>
        <w:rPr>
          <w:rFonts w:ascii="宋体" w:hAnsi="宋体"/>
          <w:szCs w:val="21"/>
          <w:u w:val="single"/>
        </w:rPr>
        <w:t xml:space="preserve">           </w:t>
      </w:r>
      <w:r>
        <w:rPr>
          <w:rFonts w:ascii="宋体" w:hAnsi="宋体" w:hint="eastAsia"/>
          <w:szCs w:val="21"/>
          <w:u w:val="single"/>
        </w:rPr>
        <w:t>，</w:t>
      </w:r>
      <w:r>
        <w:rPr>
          <w:rFonts w:ascii="宋体" w:hAnsi="宋体" w:hint="eastAsia"/>
          <w:szCs w:val="21"/>
        </w:rPr>
        <w:t>减少个人、家庭和社会的负担，使病伤残者最终能回归</w:t>
      </w:r>
      <w:r>
        <w:rPr>
          <w:rFonts w:ascii="宋体" w:hAnsi="宋体"/>
          <w:szCs w:val="21"/>
          <w:u w:val="single"/>
        </w:rPr>
        <w:t xml:space="preserve">             </w:t>
      </w:r>
      <w:r>
        <w:rPr>
          <w:rFonts w:ascii="宋体" w:hAnsi="宋体" w:hint="eastAsia"/>
          <w:szCs w:val="21"/>
          <w:u w:val="single"/>
        </w:rPr>
        <w:t>和</w:t>
      </w:r>
      <w:r>
        <w:rPr>
          <w:rFonts w:ascii="宋体" w:hAnsi="宋体"/>
          <w:szCs w:val="21"/>
          <w:u w:val="single"/>
        </w:rPr>
        <w:t xml:space="preserve">            </w:t>
      </w:r>
      <w:r>
        <w:rPr>
          <w:rFonts w:ascii="宋体" w:hAnsi="宋体" w:hint="eastAsia"/>
          <w:szCs w:val="21"/>
          <w:u w:val="single"/>
        </w:rPr>
        <w:t>。</w:t>
      </w:r>
    </w:p>
    <w:p w:rsidR="003717A0" w:rsidRDefault="003717A0">
      <w:pPr>
        <w:numPr>
          <w:ilvl w:val="0"/>
          <w:numId w:val="332"/>
        </w:numPr>
        <w:shd w:val="clear" w:color="auto" w:fill="FFFFFF"/>
        <w:rPr>
          <w:rFonts w:ascii="宋体"/>
          <w:szCs w:val="21"/>
        </w:rPr>
      </w:pPr>
      <w:r>
        <w:rPr>
          <w:rFonts w:ascii="宋体" w:hAnsi="宋体" w:hint="eastAsia"/>
          <w:szCs w:val="21"/>
        </w:rPr>
        <w:t>问答题（共</w:t>
      </w:r>
      <w:r>
        <w:rPr>
          <w:rFonts w:ascii="宋体" w:hAnsi="宋体"/>
          <w:szCs w:val="21"/>
        </w:rPr>
        <w:t>26</w:t>
      </w:r>
      <w:r>
        <w:rPr>
          <w:rFonts w:ascii="宋体" w:hAnsi="宋体" w:hint="eastAsia"/>
          <w:szCs w:val="21"/>
        </w:rPr>
        <w:t>分）</w:t>
      </w:r>
    </w:p>
    <w:p w:rsidR="003717A0" w:rsidRDefault="003717A0">
      <w:pPr>
        <w:shd w:val="clear" w:color="auto" w:fill="FFFFFF"/>
        <w:rPr>
          <w:rFonts w:ascii="宋体"/>
          <w:szCs w:val="21"/>
        </w:rPr>
      </w:pPr>
      <w:r>
        <w:rPr>
          <w:rFonts w:ascii="宋体" w:hAnsi="宋体"/>
          <w:szCs w:val="21"/>
        </w:rPr>
        <w:t xml:space="preserve">1. </w:t>
      </w:r>
      <w:r>
        <w:rPr>
          <w:rFonts w:ascii="宋体" w:hAnsi="宋体" w:hint="eastAsia"/>
          <w:szCs w:val="21"/>
        </w:rPr>
        <w:t>临床医学（治疗医学）与康复医学的区别有哪些？（</w:t>
      </w:r>
      <w:r>
        <w:rPr>
          <w:rFonts w:ascii="宋体" w:hAnsi="宋体"/>
          <w:szCs w:val="21"/>
        </w:rPr>
        <w:t>8</w:t>
      </w:r>
      <w:r>
        <w:rPr>
          <w:rFonts w:ascii="宋体" w:hAnsi="宋体" w:hint="eastAsia"/>
          <w:szCs w:val="21"/>
        </w:rPr>
        <w:t>分）</w:t>
      </w:r>
      <w:r>
        <w:rPr>
          <w:rFonts w:ascii="宋体" w:hAnsi="宋体"/>
          <w:szCs w:val="21"/>
        </w:rPr>
        <w:t xml:space="preserve"> </w:t>
      </w:r>
    </w:p>
    <w:p w:rsidR="003717A0" w:rsidRDefault="003717A0">
      <w:pPr>
        <w:shd w:val="clear" w:color="auto" w:fill="FFFFFF"/>
        <w:rPr>
          <w:rFonts w:ascii="宋体"/>
          <w:szCs w:val="21"/>
        </w:rPr>
      </w:pPr>
      <w:r>
        <w:rPr>
          <w:rFonts w:ascii="宋体" w:hAnsi="宋体"/>
          <w:szCs w:val="21"/>
        </w:rPr>
        <w:t xml:space="preserve">2. </w:t>
      </w:r>
      <w:r>
        <w:rPr>
          <w:rFonts w:ascii="宋体" w:hAnsi="宋体" w:hint="eastAsia"/>
          <w:szCs w:val="21"/>
        </w:rPr>
        <w:t>康复评定的任务主要包括三哪个方面或阶段？（</w:t>
      </w:r>
      <w:r>
        <w:rPr>
          <w:rFonts w:ascii="宋体" w:hAnsi="宋体"/>
          <w:szCs w:val="21"/>
        </w:rPr>
        <w:t>6</w:t>
      </w:r>
      <w:r>
        <w:rPr>
          <w:rFonts w:ascii="宋体" w:hAnsi="宋体" w:hint="eastAsia"/>
          <w:szCs w:val="21"/>
        </w:rPr>
        <w:t>分）</w:t>
      </w:r>
      <w:r>
        <w:rPr>
          <w:rFonts w:ascii="宋体" w:hAnsi="宋体"/>
          <w:szCs w:val="21"/>
        </w:rPr>
        <w:t xml:space="preserve"> </w:t>
      </w:r>
    </w:p>
    <w:p w:rsidR="003717A0" w:rsidRDefault="003717A0">
      <w:pPr>
        <w:pStyle w:val="a9"/>
        <w:shd w:val="clear" w:color="auto" w:fill="FFFFFF"/>
        <w:rPr>
          <w:rFonts w:hAnsi="宋体" w:cs="Times New Roman"/>
        </w:rPr>
      </w:pPr>
      <w:r>
        <w:rPr>
          <w:rFonts w:hAnsi="宋体" w:cs="Times New Roman"/>
        </w:rPr>
        <w:t>3</w:t>
      </w:r>
      <w:r>
        <w:rPr>
          <w:rFonts w:hAnsi="宋体" w:cs="Times New Roman" w:hint="eastAsia"/>
        </w:rPr>
        <w:t>．试述康复医学的团队工作模式。（</w:t>
      </w:r>
      <w:r>
        <w:rPr>
          <w:rFonts w:hAnsi="宋体" w:cs="Times New Roman"/>
        </w:rPr>
        <w:t>6</w:t>
      </w:r>
      <w:r>
        <w:rPr>
          <w:rFonts w:hAnsi="宋体" w:cs="Times New Roman" w:hint="eastAsia"/>
        </w:rPr>
        <w:t>分）</w:t>
      </w:r>
    </w:p>
    <w:p w:rsidR="003717A0" w:rsidRDefault="003717A0">
      <w:pPr>
        <w:widowControl/>
        <w:shd w:val="clear" w:color="auto" w:fill="FFFFFF"/>
        <w:jc w:val="left"/>
        <w:rPr>
          <w:rFonts w:ascii="宋体"/>
          <w:szCs w:val="21"/>
        </w:rPr>
      </w:pPr>
      <w:r>
        <w:rPr>
          <w:rFonts w:ascii="宋体" w:hAnsi="宋体"/>
          <w:szCs w:val="21"/>
        </w:rPr>
        <w:t>4</w:t>
      </w:r>
      <w:r>
        <w:rPr>
          <w:rFonts w:ascii="宋体" w:hAnsi="宋体" w:hint="eastAsia"/>
          <w:szCs w:val="21"/>
        </w:rPr>
        <w:t>．试述残疾的三级预防（</w:t>
      </w:r>
      <w:r>
        <w:rPr>
          <w:rFonts w:ascii="宋体" w:hAnsi="宋体"/>
          <w:szCs w:val="21"/>
        </w:rPr>
        <w:t>6</w:t>
      </w:r>
      <w:r>
        <w:rPr>
          <w:rFonts w:ascii="宋体" w:hAnsi="宋体" w:hint="eastAsia"/>
          <w:szCs w:val="21"/>
        </w:rPr>
        <w:t>分）</w:t>
      </w:r>
    </w:p>
    <w:p w:rsidR="003717A0" w:rsidRDefault="003717A0">
      <w:pPr>
        <w:widowControl/>
        <w:shd w:val="clear" w:color="auto" w:fill="FFFFFF"/>
        <w:jc w:val="left"/>
        <w:rPr>
          <w:rFonts w:ascii="宋体"/>
          <w:szCs w:val="21"/>
        </w:rPr>
      </w:pPr>
    </w:p>
    <w:p w:rsidR="003717A0" w:rsidRDefault="003717A0">
      <w:pPr>
        <w:widowControl/>
        <w:shd w:val="clear" w:color="auto" w:fill="FFFFFF"/>
        <w:jc w:val="left"/>
        <w:rPr>
          <w:rFonts w:ascii="宋体"/>
          <w:szCs w:val="21"/>
        </w:rPr>
      </w:pPr>
    </w:p>
    <w:p w:rsidR="003717A0" w:rsidRDefault="003717A0">
      <w:pPr>
        <w:widowControl/>
        <w:shd w:val="clear" w:color="auto" w:fill="FFFFFF"/>
        <w:jc w:val="left"/>
        <w:rPr>
          <w:rFonts w:ascii="宋体"/>
          <w:szCs w:val="21"/>
        </w:rPr>
      </w:pPr>
    </w:p>
    <w:p w:rsidR="003717A0" w:rsidRDefault="003717A0" w:rsidP="005E20B5">
      <w:pPr>
        <w:shd w:val="clear" w:color="auto" w:fill="FFFFFF"/>
        <w:adjustRightInd w:val="0"/>
        <w:snapToGrid w:val="0"/>
        <w:spacing w:beforeLines="50" w:afterLines="50" w:line="360" w:lineRule="auto"/>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
        <w:gridCol w:w="250"/>
        <w:gridCol w:w="9142"/>
      </w:tblGrid>
      <w:tr w:rsidR="003717A0">
        <w:trPr>
          <w:cantSplit/>
          <w:trHeight w:val="1137"/>
          <w:jc w:val="center"/>
        </w:trPr>
        <w:tc>
          <w:tcPr>
            <w:tcW w:w="856" w:type="dxa"/>
            <w:gridSpan w:val="2"/>
            <w:textDirection w:val="tbRlV"/>
            <w:vAlign w:val="center"/>
          </w:tcPr>
          <w:p w:rsidR="003717A0" w:rsidRDefault="003717A0">
            <w:pPr>
              <w:shd w:val="clear" w:color="auto" w:fill="FFFFFF"/>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shd w:val="clear" w:color="auto" w:fill="FFFFFF"/>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与医院康复医学临床和社区康复、残疾人康复相关的内容，可在见习课中让学生通过观摩、调查、录像等的观察来加强理解。教师应关心康复医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606" w:type="dxa"/>
            <w:vMerge w:val="restart"/>
            <w:textDirection w:val="tbRlV"/>
            <w:vAlign w:val="center"/>
          </w:tcPr>
          <w:p w:rsidR="003717A0" w:rsidRDefault="003717A0">
            <w:pPr>
              <w:shd w:val="clear" w:color="auto" w:fill="FFFFFF"/>
              <w:spacing w:line="340" w:lineRule="exact"/>
              <w:ind w:left="113" w:right="113"/>
              <w:jc w:val="center"/>
            </w:pPr>
            <w:r>
              <w:rPr>
                <w:rFonts w:ascii="黑体" w:eastAsia="黑体" w:hint="eastAsia"/>
                <w:b/>
                <w:sz w:val="24"/>
                <w:szCs w:val="24"/>
              </w:rPr>
              <w:t>主要教学环节的质量标准</w:t>
            </w:r>
          </w:p>
        </w:tc>
        <w:tc>
          <w:tcPr>
            <w:tcW w:w="250" w:type="dxa"/>
            <w:textDirection w:val="tbRlV"/>
            <w:vAlign w:val="center"/>
          </w:tcPr>
          <w:p w:rsidR="003717A0" w:rsidRDefault="003717A0">
            <w:pPr>
              <w:shd w:val="clear" w:color="auto" w:fill="FFFFFF"/>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shd w:val="clear" w:color="auto" w:fill="FFFFFF"/>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333"/>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333"/>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333"/>
              </w:numPr>
              <w:shd w:val="clear" w:color="auto" w:fill="FFFFFF"/>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606" w:type="dxa"/>
            <w:vMerge/>
            <w:vAlign w:val="center"/>
          </w:tcPr>
          <w:p w:rsidR="003717A0" w:rsidRDefault="003717A0">
            <w:pPr>
              <w:shd w:val="clear" w:color="auto" w:fill="FFFFFF"/>
              <w:spacing w:line="340" w:lineRule="exact"/>
              <w:jc w:val="center"/>
            </w:pPr>
          </w:p>
        </w:tc>
        <w:tc>
          <w:tcPr>
            <w:tcW w:w="250" w:type="dxa"/>
            <w:textDirection w:val="tbRlV"/>
            <w:vAlign w:val="center"/>
          </w:tcPr>
          <w:p w:rsidR="003717A0" w:rsidRDefault="003717A0">
            <w:pPr>
              <w:shd w:val="clear" w:color="auto" w:fill="FFFFFF"/>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shd w:val="clear" w:color="auto" w:fill="FFFFFF"/>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334"/>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334"/>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334"/>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334"/>
              </w:numPr>
              <w:shd w:val="clear" w:color="auto" w:fill="FFFFFF"/>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606" w:type="dxa"/>
            <w:vMerge w:val="restart"/>
            <w:textDirection w:val="tbRlV"/>
            <w:vAlign w:val="center"/>
          </w:tcPr>
          <w:p w:rsidR="003717A0" w:rsidRDefault="003717A0">
            <w:pPr>
              <w:shd w:val="clear" w:color="auto" w:fill="FFFFFF"/>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250" w:type="dxa"/>
            <w:textDirection w:val="tbRlV"/>
            <w:vAlign w:val="center"/>
          </w:tcPr>
          <w:p w:rsidR="003717A0" w:rsidRDefault="003717A0">
            <w:pPr>
              <w:shd w:val="clear" w:color="auto" w:fill="FFFFFF"/>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shd w:val="clear" w:color="auto" w:fill="FFFFFF"/>
              <w:autoSpaceDE w:val="0"/>
              <w:autoSpaceDN w:val="0"/>
              <w:adjustRightInd w:val="0"/>
              <w:snapToGrid w:val="0"/>
              <w:spacing w:line="360" w:lineRule="auto"/>
              <w:ind w:left="420"/>
              <w:jc w:val="left"/>
              <w:rPr>
                <w:sz w:val="22"/>
              </w:rPr>
            </w:pPr>
            <w:r>
              <w:rPr>
                <w:rFonts w:hint="eastAsia"/>
                <w:sz w:val="22"/>
              </w:rPr>
              <w:t>无作业</w:t>
            </w:r>
          </w:p>
        </w:tc>
      </w:tr>
      <w:tr w:rsidR="003717A0">
        <w:trPr>
          <w:cantSplit/>
          <w:trHeight w:val="1260"/>
          <w:jc w:val="center"/>
        </w:trPr>
        <w:tc>
          <w:tcPr>
            <w:tcW w:w="606" w:type="dxa"/>
            <w:vMerge/>
            <w:vAlign w:val="center"/>
          </w:tcPr>
          <w:p w:rsidR="003717A0" w:rsidRDefault="003717A0">
            <w:pPr>
              <w:shd w:val="clear" w:color="auto" w:fill="FFFFFF"/>
              <w:spacing w:line="340" w:lineRule="exact"/>
              <w:ind w:left="113" w:right="113"/>
              <w:jc w:val="center"/>
              <w:rPr>
                <w:rFonts w:ascii="黑体" w:eastAsia="黑体"/>
                <w:b/>
                <w:sz w:val="24"/>
                <w:szCs w:val="24"/>
              </w:rPr>
            </w:pPr>
          </w:p>
        </w:tc>
        <w:tc>
          <w:tcPr>
            <w:tcW w:w="250" w:type="dxa"/>
            <w:textDirection w:val="tbRlV"/>
            <w:vAlign w:val="center"/>
          </w:tcPr>
          <w:p w:rsidR="003717A0" w:rsidRDefault="003717A0">
            <w:pPr>
              <w:shd w:val="clear" w:color="auto" w:fill="FFFFFF"/>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shd w:val="clear" w:color="auto" w:fill="FFFFFF"/>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在教室、实验室、医院内，多与学生进行面对面的交流互动，同时充分利用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606" w:type="dxa"/>
            <w:vMerge/>
            <w:vAlign w:val="center"/>
          </w:tcPr>
          <w:p w:rsidR="003717A0" w:rsidRDefault="003717A0">
            <w:pPr>
              <w:shd w:val="clear" w:color="auto" w:fill="FFFFFF"/>
              <w:spacing w:line="340" w:lineRule="exact"/>
              <w:ind w:left="113" w:right="113"/>
              <w:jc w:val="center"/>
              <w:rPr>
                <w:rFonts w:ascii="黑体" w:eastAsia="黑体"/>
                <w:b/>
                <w:sz w:val="24"/>
                <w:szCs w:val="24"/>
              </w:rPr>
            </w:pPr>
          </w:p>
        </w:tc>
        <w:tc>
          <w:tcPr>
            <w:tcW w:w="250" w:type="dxa"/>
            <w:textDirection w:val="tbRlV"/>
            <w:vAlign w:val="center"/>
          </w:tcPr>
          <w:p w:rsidR="003717A0" w:rsidRDefault="003717A0">
            <w:pPr>
              <w:shd w:val="clear" w:color="auto" w:fill="FFFFFF"/>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shd w:val="clear" w:color="auto" w:fill="FFFFFF"/>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335"/>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335"/>
              </w:numPr>
              <w:shd w:val="clear" w:color="auto" w:fill="FFFFFF"/>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shd w:val="clear" w:color="auto" w:fill="FFFFFF"/>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1/2</w:t>
            </w:r>
            <w:r>
              <w:rPr>
                <w:rFonts w:ascii="Times New Roman" w:hAnsi="宋体" w:hint="eastAsia"/>
                <w:szCs w:val="21"/>
              </w:rPr>
              <w:t>以上者；</w:t>
            </w:r>
          </w:p>
          <w:p w:rsidR="003717A0" w:rsidRDefault="003717A0">
            <w:pPr>
              <w:shd w:val="clear" w:color="auto" w:fill="FFFFFF"/>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606" w:type="dxa"/>
            <w:vMerge/>
            <w:vAlign w:val="center"/>
          </w:tcPr>
          <w:p w:rsidR="003717A0" w:rsidRDefault="003717A0">
            <w:pPr>
              <w:shd w:val="clear" w:color="auto" w:fill="FFFFFF"/>
              <w:spacing w:line="340" w:lineRule="exact"/>
              <w:ind w:left="113" w:right="113"/>
              <w:jc w:val="center"/>
              <w:rPr>
                <w:rFonts w:ascii="黑体" w:eastAsia="黑体"/>
                <w:b/>
                <w:sz w:val="24"/>
                <w:szCs w:val="24"/>
              </w:rPr>
            </w:pPr>
          </w:p>
        </w:tc>
        <w:tc>
          <w:tcPr>
            <w:tcW w:w="250" w:type="dxa"/>
            <w:textDirection w:val="tbRlV"/>
            <w:vAlign w:val="center"/>
          </w:tcPr>
          <w:p w:rsidR="003717A0" w:rsidRDefault="003717A0">
            <w:pPr>
              <w:shd w:val="clear" w:color="auto" w:fill="FFFFFF"/>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shd w:val="clear" w:color="auto" w:fill="FFFFFF"/>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同时还鼓励学生参加“大学生社区康复基地”的活动，培养和提高专业基本技能和志愿为病、伤、残者服务的精神。</w:t>
            </w:r>
          </w:p>
        </w:tc>
      </w:tr>
      <w:tr w:rsidR="003717A0">
        <w:trPr>
          <w:cantSplit/>
          <w:trHeight w:val="454"/>
          <w:jc w:val="center"/>
        </w:trPr>
        <w:tc>
          <w:tcPr>
            <w:tcW w:w="856" w:type="dxa"/>
            <w:gridSpan w:val="2"/>
            <w:vAlign w:val="center"/>
          </w:tcPr>
          <w:p w:rsidR="003717A0" w:rsidRDefault="003717A0">
            <w:pPr>
              <w:shd w:val="clear" w:color="auto" w:fill="FFFFFF"/>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pPr>
              <w:shd w:val="clear" w:color="auto" w:fill="FFFFFF"/>
            </w:pPr>
          </w:p>
        </w:tc>
      </w:tr>
    </w:tbl>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Default="003717A0" w:rsidP="005E20B5">
      <w:pPr>
        <w:shd w:val="clear" w:color="auto" w:fill="FFFFFF"/>
        <w:adjustRightInd w:val="0"/>
        <w:snapToGrid w:val="0"/>
        <w:spacing w:beforeLines="50" w:afterLines="50" w:line="400" w:lineRule="exact"/>
        <w:jc w:val="center"/>
        <w:rPr>
          <w:rFonts w:ascii="Times New Roman" w:hAnsi="Times New Roman"/>
          <w:sz w:val="22"/>
        </w:rPr>
      </w:pPr>
    </w:p>
    <w:p w:rsidR="003717A0" w:rsidRPr="00F5156D" w:rsidRDefault="003717A0">
      <w:pPr>
        <w:pStyle w:val="1"/>
        <w:rPr>
          <w:b/>
        </w:rPr>
      </w:pPr>
      <w:r>
        <w:br w:type="page"/>
      </w:r>
      <w:bookmarkStart w:id="81" w:name="_Toc469313002"/>
      <w:bookmarkStart w:id="82" w:name="_Toc471830714"/>
      <w:r w:rsidRPr="00F5156D">
        <w:rPr>
          <w:rFonts w:hint="eastAsia"/>
          <w:b/>
        </w:rPr>
        <w:lastRenderedPageBreak/>
        <w:t>《理疗学》课程质量标准</w:t>
      </w:r>
      <w:bookmarkEnd w:id="81"/>
      <w:bookmarkEnd w:id="82"/>
    </w:p>
    <w:p w:rsidR="003717A0" w:rsidRPr="00F5156D" w:rsidRDefault="003717A0" w:rsidP="005E20B5">
      <w:pPr>
        <w:shd w:val="clear" w:color="auto" w:fill="FFFFFF"/>
        <w:adjustRightInd w:val="0"/>
        <w:snapToGrid w:val="0"/>
        <w:spacing w:beforeLines="50" w:afterLines="50" w:line="360" w:lineRule="auto"/>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课程名称</w:t>
            </w:r>
          </w:p>
        </w:tc>
        <w:tc>
          <w:tcPr>
            <w:tcW w:w="7618" w:type="dxa"/>
            <w:gridSpan w:val="9"/>
          </w:tcPr>
          <w:p w:rsidR="003717A0" w:rsidRDefault="003717A0" w:rsidP="00F5156D">
            <w:pPr>
              <w:adjustRightInd w:val="0"/>
              <w:snapToGrid w:val="0"/>
              <w:spacing w:line="440" w:lineRule="atLeast"/>
              <w:jc w:val="center"/>
              <w:rPr>
                <w:sz w:val="22"/>
              </w:rPr>
            </w:pPr>
            <w:r>
              <w:rPr>
                <w:rFonts w:hint="eastAsia"/>
                <w:sz w:val="22"/>
              </w:rPr>
              <w:t>理疗学</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英译名称</w:t>
            </w:r>
          </w:p>
        </w:tc>
        <w:tc>
          <w:tcPr>
            <w:tcW w:w="7618" w:type="dxa"/>
            <w:gridSpan w:val="9"/>
          </w:tcPr>
          <w:p w:rsidR="003717A0" w:rsidRDefault="003717A0" w:rsidP="00F5156D">
            <w:pPr>
              <w:adjustRightInd w:val="0"/>
              <w:snapToGrid w:val="0"/>
              <w:spacing w:line="440" w:lineRule="atLeast"/>
              <w:jc w:val="center"/>
              <w:rPr>
                <w:sz w:val="22"/>
              </w:rPr>
            </w:pPr>
            <w:r>
              <w:rPr>
                <w:sz w:val="22"/>
              </w:rPr>
              <w:t>Physiotherapy</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课程代码</w:t>
            </w:r>
          </w:p>
        </w:tc>
        <w:tc>
          <w:tcPr>
            <w:tcW w:w="2350" w:type="dxa"/>
            <w:gridSpan w:val="2"/>
          </w:tcPr>
          <w:p w:rsidR="003717A0" w:rsidRDefault="003717A0" w:rsidP="00F5156D">
            <w:pPr>
              <w:adjustRightInd w:val="0"/>
              <w:snapToGrid w:val="0"/>
              <w:spacing w:line="440" w:lineRule="atLeast"/>
              <w:jc w:val="center"/>
              <w:rPr>
                <w:sz w:val="22"/>
              </w:rPr>
            </w:pPr>
            <w:r>
              <w:rPr>
                <w:rFonts w:ascii="宋体" w:hAnsi="宋体"/>
                <w:bCs/>
              </w:rPr>
              <w:t>170350</w:t>
            </w:r>
          </w:p>
        </w:tc>
        <w:tc>
          <w:tcPr>
            <w:tcW w:w="1902" w:type="dxa"/>
            <w:gridSpan w:val="3"/>
          </w:tcPr>
          <w:p w:rsidR="003717A0" w:rsidRDefault="003717A0" w:rsidP="00F5156D">
            <w:pPr>
              <w:adjustRightInd w:val="0"/>
              <w:snapToGrid w:val="0"/>
              <w:spacing w:line="440" w:lineRule="atLeast"/>
              <w:jc w:val="center"/>
              <w:rPr>
                <w:sz w:val="22"/>
              </w:rPr>
            </w:pPr>
            <w:r>
              <w:rPr>
                <w:rFonts w:hint="eastAsia"/>
                <w:sz w:val="22"/>
              </w:rPr>
              <w:t>课程开设学期</w:t>
            </w:r>
          </w:p>
        </w:tc>
        <w:tc>
          <w:tcPr>
            <w:tcW w:w="3366" w:type="dxa"/>
            <w:gridSpan w:val="4"/>
          </w:tcPr>
          <w:p w:rsidR="003717A0" w:rsidRDefault="003717A0" w:rsidP="00F5156D">
            <w:pPr>
              <w:adjustRightInd w:val="0"/>
              <w:snapToGrid w:val="0"/>
              <w:spacing w:line="440" w:lineRule="atLeast"/>
              <w:jc w:val="center"/>
              <w:rPr>
                <w:sz w:val="22"/>
              </w:rPr>
            </w:pPr>
            <w:r>
              <w:rPr>
                <w:rFonts w:hint="eastAsia"/>
                <w:sz w:val="22"/>
              </w:rPr>
              <w:t>五</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课程学时</w:t>
            </w:r>
          </w:p>
        </w:tc>
        <w:tc>
          <w:tcPr>
            <w:tcW w:w="2350" w:type="dxa"/>
            <w:gridSpan w:val="2"/>
          </w:tcPr>
          <w:p w:rsidR="003717A0" w:rsidRDefault="003717A0" w:rsidP="00F5156D">
            <w:pPr>
              <w:adjustRightInd w:val="0"/>
              <w:snapToGrid w:val="0"/>
              <w:spacing w:line="440" w:lineRule="atLeast"/>
              <w:jc w:val="center"/>
              <w:rPr>
                <w:sz w:val="22"/>
              </w:rPr>
            </w:pPr>
            <w:r>
              <w:rPr>
                <w:sz w:val="22"/>
              </w:rPr>
              <w:t>72</w:t>
            </w:r>
          </w:p>
        </w:tc>
        <w:tc>
          <w:tcPr>
            <w:tcW w:w="1902" w:type="dxa"/>
            <w:gridSpan w:val="3"/>
          </w:tcPr>
          <w:p w:rsidR="003717A0" w:rsidRDefault="003717A0" w:rsidP="00F5156D">
            <w:pPr>
              <w:adjustRightInd w:val="0"/>
              <w:snapToGrid w:val="0"/>
              <w:spacing w:line="440" w:lineRule="atLeast"/>
              <w:jc w:val="center"/>
              <w:rPr>
                <w:sz w:val="22"/>
              </w:rPr>
            </w:pPr>
            <w:r>
              <w:rPr>
                <w:rFonts w:hint="eastAsia"/>
                <w:sz w:val="22"/>
              </w:rPr>
              <w:t>课程学分</w:t>
            </w:r>
          </w:p>
        </w:tc>
        <w:tc>
          <w:tcPr>
            <w:tcW w:w="3366" w:type="dxa"/>
            <w:gridSpan w:val="4"/>
          </w:tcPr>
          <w:p w:rsidR="003717A0" w:rsidRDefault="003717A0" w:rsidP="00F5156D">
            <w:pPr>
              <w:adjustRightInd w:val="0"/>
              <w:snapToGrid w:val="0"/>
              <w:spacing w:line="440" w:lineRule="atLeast"/>
              <w:jc w:val="center"/>
              <w:rPr>
                <w:sz w:val="22"/>
              </w:rPr>
            </w:pPr>
            <w:r>
              <w:rPr>
                <w:sz w:val="22"/>
              </w:rPr>
              <w:t>3</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课程类型</w:t>
            </w:r>
          </w:p>
        </w:tc>
        <w:tc>
          <w:tcPr>
            <w:tcW w:w="7618" w:type="dxa"/>
            <w:gridSpan w:val="9"/>
          </w:tcPr>
          <w:p w:rsidR="003717A0" w:rsidRDefault="003717A0" w:rsidP="00F5156D">
            <w:pPr>
              <w:adjustRightInd w:val="0"/>
              <w:snapToGrid w:val="0"/>
              <w:spacing w:line="440" w:lineRule="atLeas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授课学院</w:t>
            </w:r>
          </w:p>
        </w:tc>
        <w:tc>
          <w:tcPr>
            <w:tcW w:w="2350" w:type="dxa"/>
            <w:gridSpan w:val="2"/>
          </w:tcPr>
          <w:p w:rsidR="003717A0" w:rsidRDefault="003717A0" w:rsidP="00F5156D">
            <w:pPr>
              <w:adjustRightInd w:val="0"/>
              <w:snapToGrid w:val="0"/>
              <w:spacing w:line="440" w:lineRule="atLeast"/>
              <w:jc w:val="center"/>
              <w:rPr>
                <w:sz w:val="22"/>
              </w:rPr>
            </w:pPr>
            <w:r>
              <w:rPr>
                <w:rFonts w:hint="eastAsia"/>
                <w:sz w:val="22"/>
              </w:rPr>
              <w:t>医学院</w:t>
            </w:r>
          </w:p>
        </w:tc>
        <w:tc>
          <w:tcPr>
            <w:tcW w:w="2634" w:type="dxa"/>
            <w:gridSpan w:val="5"/>
          </w:tcPr>
          <w:p w:rsidR="003717A0" w:rsidRDefault="003717A0" w:rsidP="00F5156D">
            <w:pPr>
              <w:adjustRightInd w:val="0"/>
              <w:snapToGrid w:val="0"/>
              <w:spacing w:line="440" w:lineRule="atLeas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F5156D">
            <w:pPr>
              <w:adjustRightInd w:val="0"/>
              <w:snapToGrid w:val="0"/>
              <w:spacing w:line="440" w:lineRule="atLeast"/>
              <w:jc w:val="center"/>
              <w:rPr>
                <w:sz w:val="22"/>
              </w:rPr>
            </w:pPr>
            <w:r>
              <w:rPr>
                <w:rFonts w:hint="eastAsia"/>
                <w:sz w:val="22"/>
              </w:rPr>
              <w:t>康复医学系</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教材名称</w:t>
            </w:r>
          </w:p>
        </w:tc>
        <w:tc>
          <w:tcPr>
            <w:tcW w:w="7618" w:type="dxa"/>
            <w:gridSpan w:val="9"/>
          </w:tcPr>
          <w:p w:rsidR="003717A0" w:rsidRDefault="003717A0" w:rsidP="00F5156D">
            <w:pPr>
              <w:adjustRightInd w:val="0"/>
              <w:snapToGrid w:val="0"/>
              <w:spacing w:line="440" w:lineRule="atLeast"/>
              <w:jc w:val="center"/>
              <w:rPr>
                <w:sz w:val="22"/>
              </w:rPr>
            </w:pPr>
            <w:r>
              <w:rPr>
                <w:rFonts w:hint="eastAsia"/>
                <w:sz w:val="22"/>
              </w:rPr>
              <w:t>物理治疗学</w:t>
            </w:r>
          </w:p>
        </w:tc>
      </w:tr>
      <w:tr w:rsidR="003717A0" w:rsidTr="00F5156D">
        <w:trPr>
          <w:jc w:val="center"/>
        </w:trPr>
        <w:tc>
          <w:tcPr>
            <w:tcW w:w="1668" w:type="dxa"/>
          </w:tcPr>
          <w:p w:rsidR="003717A0" w:rsidRDefault="003717A0" w:rsidP="00F5156D">
            <w:pPr>
              <w:adjustRightInd w:val="0"/>
              <w:snapToGrid w:val="0"/>
              <w:spacing w:line="440" w:lineRule="atLeast"/>
              <w:rPr>
                <w:sz w:val="22"/>
              </w:rPr>
            </w:pPr>
            <w:r>
              <w:rPr>
                <w:rFonts w:hint="eastAsia"/>
                <w:sz w:val="22"/>
              </w:rPr>
              <w:t>教材出版信息</w:t>
            </w:r>
          </w:p>
        </w:tc>
        <w:tc>
          <w:tcPr>
            <w:tcW w:w="7618" w:type="dxa"/>
            <w:gridSpan w:val="9"/>
          </w:tcPr>
          <w:p w:rsidR="003717A0" w:rsidRDefault="003717A0" w:rsidP="00F5156D">
            <w:pPr>
              <w:adjustRightInd w:val="0"/>
              <w:snapToGrid w:val="0"/>
              <w:spacing w:line="440" w:lineRule="atLeast"/>
              <w:jc w:val="center"/>
              <w:rPr>
                <w:sz w:val="22"/>
              </w:rPr>
            </w:pPr>
            <w:r>
              <w:rPr>
                <w:rFonts w:hint="eastAsia"/>
                <w:sz w:val="22"/>
              </w:rPr>
              <w:t>人民卫生出版社，</w:t>
            </w:r>
            <w:r>
              <w:rPr>
                <w:sz w:val="22"/>
              </w:rPr>
              <w:t>2013</w:t>
            </w:r>
            <w:r>
              <w:rPr>
                <w:rFonts w:hint="eastAsia"/>
                <w:sz w:val="22"/>
              </w:rPr>
              <w:t>年</w:t>
            </w:r>
            <w:r>
              <w:rPr>
                <w:sz w:val="22"/>
              </w:rPr>
              <w:t>8</w:t>
            </w:r>
            <w:r>
              <w:rPr>
                <w:rFonts w:hint="eastAsia"/>
                <w:sz w:val="22"/>
              </w:rPr>
              <w:t>月第</w:t>
            </w:r>
            <w:r>
              <w:rPr>
                <w:sz w:val="22"/>
              </w:rPr>
              <w:t>2</w:t>
            </w:r>
            <w:r>
              <w:rPr>
                <w:rFonts w:hint="eastAsia"/>
                <w:sz w:val="22"/>
              </w:rPr>
              <w:t>版，书号：</w:t>
            </w:r>
            <w:r>
              <w:rPr>
                <w:sz w:val="22"/>
              </w:rPr>
              <w:t>ISBN 978-7-117-17624-8/R</w:t>
            </w:r>
            <w:r>
              <w:rPr>
                <w:rFonts w:hint="eastAsia"/>
                <w:sz w:val="22"/>
              </w:rPr>
              <w:t>·</w:t>
            </w:r>
            <w:r>
              <w:rPr>
                <w:sz w:val="22"/>
              </w:rPr>
              <w:t>17625</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教材性质</w:t>
            </w:r>
          </w:p>
        </w:tc>
        <w:tc>
          <w:tcPr>
            <w:tcW w:w="7618" w:type="dxa"/>
            <w:gridSpan w:val="9"/>
          </w:tcPr>
          <w:p w:rsidR="003717A0" w:rsidRDefault="003717A0" w:rsidP="00F5156D">
            <w:pPr>
              <w:adjustRightInd w:val="0"/>
              <w:snapToGrid w:val="0"/>
              <w:spacing w:line="440" w:lineRule="atLeast"/>
              <w:rPr>
                <w:sz w:val="22"/>
              </w:rPr>
            </w:pPr>
            <w:r>
              <w:rPr>
                <w:rFonts w:ascii="宋体" w:hAnsi="宋体" w:hint="eastAsia"/>
                <w:sz w:val="22"/>
              </w:rPr>
              <w:t>□国家</w:t>
            </w:r>
            <w:r>
              <w:rPr>
                <w:rFonts w:ascii="宋体" w:hAnsi="宋体" w:hint="eastAsia"/>
                <w:szCs w:val="21"/>
              </w:rPr>
              <w:t>■</w:t>
            </w:r>
            <w:r>
              <w:rPr>
                <w:rFonts w:ascii="宋体" w:hAnsi="宋体" w:hint="eastAsia"/>
                <w:sz w:val="22"/>
              </w:rPr>
              <w:t>部级规划□省级规划□自编□其他</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考核方式</w:t>
            </w:r>
          </w:p>
        </w:tc>
        <w:tc>
          <w:tcPr>
            <w:tcW w:w="7618" w:type="dxa"/>
            <w:gridSpan w:val="9"/>
          </w:tcPr>
          <w:p w:rsidR="003717A0" w:rsidRDefault="003717A0" w:rsidP="00F5156D">
            <w:pPr>
              <w:adjustRightInd w:val="0"/>
              <w:snapToGrid w:val="0"/>
              <w:spacing w:line="440" w:lineRule="atLeas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课程成绩</w:t>
            </w:r>
          </w:p>
        </w:tc>
        <w:tc>
          <w:tcPr>
            <w:tcW w:w="3809" w:type="dxa"/>
            <w:gridSpan w:val="4"/>
          </w:tcPr>
          <w:p w:rsidR="003717A0" w:rsidRDefault="003717A0" w:rsidP="00F5156D">
            <w:pPr>
              <w:adjustRightInd w:val="0"/>
              <w:snapToGrid w:val="0"/>
              <w:spacing w:line="440" w:lineRule="atLeast"/>
              <w:jc w:val="left"/>
              <w:rPr>
                <w:sz w:val="22"/>
              </w:rPr>
            </w:pPr>
            <w:r>
              <w:rPr>
                <w:rFonts w:hint="eastAsia"/>
                <w:sz w:val="22"/>
              </w:rPr>
              <w:t>平时成绩</w:t>
            </w:r>
            <w:r>
              <w:rPr>
                <w:sz w:val="22"/>
              </w:rPr>
              <w:t>0%</w:t>
            </w:r>
          </w:p>
        </w:tc>
        <w:tc>
          <w:tcPr>
            <w:tcW w:w="3809" w:type="dxa"/>
            <w:gridSpan w:val="5"/>
          </w:tcPr>
          <w:p w:rsidR="003717A0" w:rsidRDefault="003717A0" w:rsidP="00F5156D">
            <w:pPr>
              <w:adjustRightInd w:val="0"/>
              <w:snapToGrid w:val="0"/>
              <w:spacing w:line="440" w:lineRule="atLeast"/>
              <w:jc w:val="left"/>
              <w:rPr>
                <w:sz w:val="22"/>
              </w:rPr>
            </w:pPr>
            <w:r>
              <w:rPr>
                <w:rFonts w:hint="eastAsia"/>
                <w:sz w:val="22"/>
              </w:rPr>
              <w:t>期末成绩</w:t>
            </w:r>
            <w:r>
              <w:rPr>
                <w:sz w:val="22"/>
              </w:rPr>
              <w:t>100%</w:t>
            </w:r>
          </w:p>
        </w:tc>
      </w:tr>
      <w:tr w:rsidR="003717A0" w:rsidTr="00F5156D">
        <w:trPr>
          <w:jc w:val="center"/>
        </w:trPr>
        <w:tc>
          <w:tcPr>
            <w:tcW w:w="9286" w:type="dxa"/>
            <w:gridSpan w:val="10"/>
          </w:tcPr>
          <w:p w:rsidR="003717A0" w:rsidRDefault="003717A0" w:rsidP="00F5156D">
            <w:pPr>
              <w:adjustRightInd w:val="0"/>
              <w:snapToGrid w:val="0"/>
              <w:spacing w:line="440" w:lineRule="atLeast"/>
              <w:rPr>
                <w:sz w:val="22"/>
              </w:rPr>
            </w:pPr>
            <w:r>
              <w:rPr>
                <w:rFonts w:hint="eastAsia"/>
                <w:sz w:val="22"/>
              </w:rPr>
              <w:t>课程负责人及团队骨干（五人以内）</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姓名</w:t>
            </w:r>
          </w:p>
        </w:tc>
        <w:tc>
          <w:tcPr>
            <w:tcW w:w="1523" w:type="dxa"/>
          </w:tcPr>
          <w:p w:rsidR="003717A0" w:rsidRDefault="003717A0" w:rsidP="00F5156D">
            <w:pPr>
              <w:adjustRightInd w:val="0"/>
              <w:snapToGrid w:val="0"/>
              <w:spacing w:line="440" w:lineRule="atLeast"/>
              <w:jc w:val="center"/>
              <w:rPr>
                <w:sz w:val="22"/>
              </w:rPr>
            </w:pPr>
            <w:r>
              <w:rPr>
                <w:rFonts w:hint="eastAsia"/>
                <w:sz w:val="22"/>
              </w:rPr>
              <w:t>性别</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学历</w:t>
            </w:r>
          </w:p>
        </w:tc>
        <w:tc>
          <w:tcPr>
            <w:tcW w:w="1523" w:type="dxa"/>
            <w:gridSpan w:val="3"/>
          </w:tcPr>
          <w:p w:rsidR="003717A0" w:rsidRDefault="003717A0" w:rsidP="00F5156D">
            <w:pPr>
              <w:adjustRightInd w:val="0"/>
              <w:snapToGrid w:val="0"/>
              <w:spacing w:line="440" w:lineRule="atLeast"/>
              <w:jc w:val="center"/>
              <w:rPr>
                <w:sz w:val="22"/>
              </w:rPr>
            </w:pPr>
            <w:r>
              <w:rPr>
                <w:rFonts w:hint="eastAsia"/>
                <w:sz w:val="22"/>
              </w:rPr>
              <w:t>学位</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职称</w:t>
            </w:r>
          </w:p>
        </w:tc>
        <w:tc>
          <w:tcPr>
            <w:tcW w:w="1524" w:type="dxa"/>
          </w:tcPr>
          <w:p w:rsidR="003717A0" w:rsidRDefault="003717A0" w:rsidP="00F5156D">
            <w:pPr>
              <w:adjustRightInd w:val="0"/>
              <w:snapToGrid w:val="0"/>
              <w:spacing w:line="440" w:lineRule="atLeast"/>
              <w:jc w:val="center"/>
              <w:rPr>
                <w:sz w:val="22"/>
              </w:rPr>
            </w:pPr>
            <w:r>
              <w:rPr>
                <w:rFonts w:hint="eastAsia"/>
                <w:sz w:val="22"/>
              </w:rPr>
              <w:t>从教时间</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沈光宇</w:t>
            </w:r>
          </w:p>
        </w:tc>
        <w:tc>
          <w:tcPr>
            <w:tcW w:w="1523" w:type="dxa"/>
          </w:tcPr>
          <w:p w:rsidR="003717A0" w:rsidRDefault="003717A0" w:rsidP="00F5156D">
            <w:pPr>
              <w:adjustRightInd w:val="0"/>
              <w:snapToGrid w:val="0"/>
              <w:spacing w:line="440" w:lineRule="atLeast"/>
              <w:jc w:val="center"/>
              <w:rPr>
                <w:sz w:val="22"/>
              </w:rPr>
            </w:pPr>
            <w:r>
              <w:rPr>
                <w:rFonts w:hint="eastAsia"/>
                <w:sz w:val="22"/>
              </w:rPr>
              <w:t>男</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本科生</w:t>
            </w:r>
          </w:p>
        </w:tc>
        <w:tc>
          <w:tcPr>
            <w:tcW w:w="1523" w:type="dxa"/>
            <w:gridSpan w:val="3"/>
          </w:tcPr>
          <w:p w:rsidR="003717A0" w:rsidRDefault="003717A0" w:rsidP="00F5156D">
            <w:pPr>
              <w:adjustRightInd w:val="0"/>
              <w:snapToGrid w:val="0"/>
              <w:spacing w:line="440" w:lineRule="atLeast"/>
              <w:jc w:val="center"/>
              <w:rPr>
                <w:sz w:val="22"/>
              </w:rPr>
            </w:pPr>
            <w:r>
              <w:rPr>
                <w:rFonts w:hint="eastAsia"/>
                <w:sz w:val="22"/>
              </w:rPr>
              <w:t>学士</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教授</w:t>
            </w:r>
          </w:p>
        </w:tc>
        <w:tc>
          <w:tcPr>
            <w:tcW w:w="1524" w:type="dxa"/>
          </w:tcPr>
          <w:p w:rsidR="003717A0" w:rsidRDefault="003717A0" w:rsidP="00F5156D">
            <w:pPr>
              <w:adjustRightInd w:val="0"/>
              <w:snapToGrid w:val="0"/>
              <w:spacing w:line="440" w:lineRule="atLeast"/>
              <w:jc w:val="center"/>
              <w:rPr>
                <w:sz w:val="22"/>
              </w:rPr>
            </w:pPr>
            <w:r>
              <w:rPr>
                <w:sz w:val="22"/>
              </w:rPr>
              <w:t>1982.1</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顾琦</w:t>
            </w:r>
          </w:p>
        </w:tc>
        <w:tc>
          <w:tcPr>
            <w:tcW w:w="1523" w:type="dxa"/>
          </w:tcPr>
          <w:p w:rsidR="003717A0" w:rsidRDefault="003717A0" w:rsidP="00F5156D">
            <w:pPr>
              <w:adjustRightInd w:val="0"/>
              <w:snapToGrid w:val="0"/>
              <w:spacing w:line="440" w:lineRule="atLeast"/>
              <w:jc w:val="center"/>
              <w:rPr>
                <w:sz w:val="22"/>
              </w:rPr>
            </w:pPr>
            <w:r>
              <w:rPr>
                <w:rFonts w:hint="eastAsia"/>
                <w:sz w:val="22"/>
              </w:rPr>
              <w:t>女</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atLeast"/>
              <w:jc w:val="center"/>
              <w:rPr>
                <w:sz w:val="22"/>
              </w:rPr>
            </w:pPr>
            <w:r>
              <w:rPr>
                <w:rFonts w:hint="eastAsia"/>
                <w:sz w:val="22"/>
              </w:rPr>
              <w:t>硕士</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讲师</w:t>
            </w:r>
          </w:p>
        </w:tc>
        <w:tc>
          <w:tcPr>
            <w:tcW w:w="1524" w:type="dxa"/>
          </w:tcPr>
          <w:p w:rsidR="003717A0" w:rsidRDefault="003717A0" w:rsidP="00F5156D">
            <w:pPr>
              <w:adjustRightInd w:val="0"/>
              <w:snapToGrid w:val="0"/>
              <w:spacing w:line="440" w:lineRule="atLeast"/>
              <w:jc w:val="center"/>
              <w:rPr>
                <w:sz w:val="22"/>
              </w:rPr>
            </w:pPr>
            <w:r>
              <w:rPr>
                <w:sz w:val="22"/>
              </w:rPr>
              <w:t>2005.8</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r>
              <w:rPr>
                <w:rFonts w:hint="eastAsia"/>
                <w:sz w:val="22"/>
              </w:rPr>
              <w:t>朱振杰</w:t>
            </w:r>
          </w:p>
        </w:tc>
        <w:tc>
          <w:tcPr>
            <w:tcW w:w="1523" w:type="dxa"/>
          </w:tcPr>
          <w:p w:rsidR="003717A0" w:rsidRDefault="003717A0" w:rsidP="00F5156D">
            <w:pPr>
              <w:adjustRightInd w:val="0"/>
              <w:snapToGrid w:val="0"/>
              <w:spacing w:line="440" w:lineRule="atLeast"/>
              <w:jc w:val="center"/>
              <w:rPr>
                <w:sz w:val="22"/>
              </w:rPr>
            </w:pPr>
            <w:r>
              <w:rPr>
                <w:rFonts w:hint="eastAsia"/>
                <w:sz w:val="22"/>
              </w:rPr>
              <w:t>男</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研究生</w:t>
            </w:r>
          </w:p>
        </w:tc>
        <w:tc>
          <w:tcPr>
            <w:tcW w:w="1523" w:type="dxa"/>
            <w:gridSpan w:val="3"/>
          </w:tcPr>
          <w:p w:rsidR="003717A0" w:rsidRDefault="003717A0" w:rsidP="00F5156D">
            <w:pPr>
              <w:adjustRightInd w:val="0"/>
              <w:snapToGrid w:val="0"/>
              <w:spacing w:line="440" w:lineRule="atLeast"/>
              <w:jc w:val="center"/>
              <w:rPr>
                <w:sz w:val="22"/>
              </w:rPr>
            </w:pPr>
            <w:r>
              <w:rPr>
                <w:rFonts w:hint="eastAsia"/>
                <w:sz w:val="22"/>
              </w:rPr>
              <w:t>硕士</w:t>
            </w:r>
          </w:p>
        </w:tc>
        <w:tc>
          <w:tcPr>
            <w:tcW w:w="1524" w:type="dxa"/>
            <w:gridSpan w:val="2"/>
          </w:tcPr>
          <w:p w:rsidR="003717A0" w:rsidRDefault="003717A0" w:rsidP="00F5156D">
            <w:pPr>
              <w:adjustRightInd w:val="0"/>
              <w:snapToGrid w:val="0"/>
              <w:spacing w:line="440" w:lineRule="atLeast"/>
              <w:jc w:val="center"/>
              <w:rPr>
                <w:sz w:val="22"/>
              </w:rPr>
            </w:pPr>
            <w:r>
              <w:rPr>
                <w:rFonts w:hint="eastAsia"/>
                <w:sz w:val="22"/>
              </w:rPr>
              <w:t>讲师</w:t>
            </w:r>
          </w:p>
        </w:tc>
        <w:tc>
          <w:tcPr>
            <w:tcW w:w="1524" w:type="dxa"/>
          </w:tcPr>
          <w:p w:rsidR="003717A0" w:rsidRDefault="003717A0" w:rsidP="00F5156D">
            <w:pPr>
              <w:adjustRightInd w:val="0"/>
              <w:snapToGrid w:val="0"/>
              <w:spacing w:line="440" w:lineRule="atLeast"/>
              <w:jc w:val="center"/>
              <w:rPr>
                <w:sz w:val="22"/>
              </w:rPr>
            </w:pPr>
            <w:r>
              <w:rPr>
                <w:sz w:val="22"/>
              </w:rPr>
              <w:t>2006.9</w:t>
            </w:r>
          </w:p>
        </w:tc>
      </w:tr>
      <w:tr w:rsidR="003717A0" w:rsidTr="00F5156D">
        <w:trPr>
          <w:jc w:val="center"/>
        </w:trPr>
        <w:tc>
          <w:tcPr>
            <w:tcW w:w="1668" w:type="dxa"/>
          </w:tcPr>
          <w:p w:rsidR="003717A0" w:rsidRDefault="003717A0" w:rsidP="00F5156D">
            <w:pPr>
              <w:adjustRightInd w:val="0"/>
              <w:snapToGrid w:val="0"/>
              <w:spacing w:line="440" w:lineRule="atLeast"/>
              <w:jc w:val="center"/>
              <w:rPr>
                <w:sz w:val="22"/>
              </w:rPr>
            </w:pPr>
          </w:p>
        </w:tc>
        <w:tc>
          <w:tcPr>
            <w:tcW w:w="1523" w:type="dxa"/>
          </w:tcPr>
          <w:p w:rsidR="003717A0" w:rsidRDefault="003717A0" w:rsidP="00F5156D">
            <w:pPr>
              <w:adjustRightInd w:val="0"/>
              <w:snapToGrid w:val="0"/>
              <w:spacing w:line="440" w:lineRule="atLeast"/>
              <w:jc w:val="center"/>
              <w:rPr>
                <w:sz w:val="22"/>
              </w:rPr>
            </w:pPr>
          </w:p>
        </w:tc>
        <w:tc>
          <w:tcPr>
            <w:tcW w:w="1524" w:type="dxa"/>
            <w:gridSpan w:val="2"/>
          </w:tcPr>
          <w:p w:rsidR="003717A0" w:rsidRDefault="003717A0" w:rsidP="00F5156D">
            <w:pPr>
              <w:adjustRightInd w:val="0"/>
              <w:snapToGrid w:val="0"/>
              <w:spacing w:line="440" w:lineRule="atLeast"/>
              <w:jc w:val="center"/>
              <w:rPr>
                <w:sz w:val="22"/>
              </w:rPr>
            </w:pPr>
          </w:p>
        </w:tc>
        <w:tc>
          <w:tcPr>
            <w:tcW w:w="1523" w:type="dxa"/>
            <w:gridSpan w:val="3"/>
          </w:tcPr>
          <w:p w:rsidR="003717A0" w:rsidRDefault="003717A0" w:rsidP="00F5156D">
            <w:pPr>
              <w:adjustRightInd w:val="0"/>
              <w:snapToGrid w:val="0"/>
              <w:spacing w:line="440" w:lineRule="atLeast"/>
              <w:jc w:val="center"/>
              <w:rPr>
                <w:sz w:val="22"/>
              </w:rPr>
            </w:pPr>
          </w:p>
        </w:tc>
        <w:tc>
          <w:tcPr>
            <w:tcW w:w="1524" w:type="dxa"/>
            <w:gridSpan w:val="2"/>
          </w:tcPr>
          <w:p w:rsidR="003717A0" w:rsidRDefault="003717A0" w:rsidP="00F5156D">
            <w:pPr>
              <w:adjustRightInd w:val="0"/>
              <w:snapToGrid w:val="0"/>
              <w:spacing w:line="440" w:lineRule="atLeast"/>
              <w:jc w:val="center"/>
              <w:rPr>
                <w:sz w:val="22"/>
              </w:rPr>
            </w:pPr>
          </w:p>
        </w:tc>
        <w:tc>
          <w:tcPr>
            <w:tcW w:w="1524" w:type="dxa"/>
          </w:tcPr>
          <w:p w:rsidR="003717A0" w:rsidRDefault="003717A0" w:rsidP="00F5156D">
            <w:pPr>
              <w:adjustRightInd w:val="0"/>
              <w:snapToGrid w:val="0"/>
              <w:spacing w:line="440" w:lineRule="atLeast"/>
              <w:jc w:val="center"/>
              <w:rPr>
                <w:sz w:val="22"/>
              </w:rPr>
            </w:pPr>
          </w:p>
        </w:tc>
      </w:tr>
      <w:tr w:rsidR="003717A0" w:rsidTr="00F5156D">
        <w:trPr>
          <w:jc w:val="center"/>
        </w:trPr>
        <w:tc>
          <w:tcPr>
            <w:tcW w:w="9286" w:type="dxa"/>
            <w:gridSpan w:val="10"/>
          </w:tcPr>
          <w:p w:rsidR="003717A0" w:rsidRDefault="003717A0" w:rsidP="00F5156D">
            <w:pPr>
              <w:adjustRightInd w:val="0"/>
              <w:snapToGrid w:val="0"/>
              <w:spacing w:line="440" w:lineRule="atLeast"/>
              <w:rPr>
                <w:sz w:val="22"/>
              </w:rPr>
            </w:pPr>
            <w:r>
              <w:rPr>
                <w:rFonts w:hint="eastAsia"/>
                <w:sz w:val="22"/>
              </w:rPr>
              <w:t>课程简介</w:t>
            </w:r>
          </w:p>
        </w:tc>
      </w:tr>
      <w:tr w:rsidR="003717A0" w:rsidTr="00F5156D">
        <w:trPr>
          <w:trHeight w:val="70"/>
          <w:jc w:val="center"/>
        </w:trPr>
        <w:tc>
          <w:tcPr>
            <w:tcW w:w="9286" w:type="dxa"/>
            <w:gridSpan w:val="10"/>
          </w:tcPr>
          <w:p w:rsidR="003717A0" w:rsidRDefault="003717A0" w:rsidP="00F5156D">
            <w:pPr>
              <w:adjustRightInd w:val="0"/>
              <w:snapToGrid w:val="0"/>
              <w:spacing w:line="440" w:lineRule="atLeast"/>
              <w:ind w:firstLineChars="250" w:firstLine="550"/>
              <w:rPr>
                <w:sz w:val="22"/>
              </w:rPr>
            </w:pPr>
            <w:r>
              <w:rPr>
                <w:rFonts w:hint="eastAsia"/>
                <w:sz w:val="22"/>
              </w:rPr>
              <w:t>《理疗学》是康复治疗专业最重要的专业课之一，是神经康复、肌肉骨骼康复等临床应用课程的基础。重点介绍在现代康复医学中较为实用的物理因子治疗方法，并介绍国内外物理因子治疗的新成果、新技术及临床应用。讲述物理因子治疗的定义和基本内容、治疗作用。常用物理因子治疗技术包括声光电磁等各种物理因子治疗方法的基本理论、操作方法、临床应用等内容。</w:t>
            </w:r>
          </w:p>
          <w:p w:rsidR="003717A0" w:rsidRDefault="003717A0" w:rsidP="00F5156D">
            <w:pPr>
              <w:adjustRightInd w:val="0"/>
              <w:snapToGrid w:val="0"/>
              <w:spacing w:line="440" w:lineRule="atLeast"/>
              <w:ind w:firstLineChars="250" w:firstLine="550"/>
              <w:rPr>
                <w:sz w:val="22"/>
              </w:rPr>
            </w:pPr>
            <w:r>
              <w:rPr>
                <w:rFonts w:hint="eastAsia"/>
                <w:sz w:val="22"/>
              </w:rPr>
              <w:t>要求学生通过基础理论与实验操作相结合掌握物理因子治疗基础理论、各类物理治疗技术的临床应用及操作方法为进一步学习各临床康复课程及以后的工作打下坚实基础。</w:t>
            </w:r>
            <w:r>
              <w:rPr>
                <w:sz w:val="22"/>
              </w:rPr>
              <w:t> </w:t>
            </w:r>
          </w:p>
          <w:p w:rsidR="003717A0" w:rsidRDefault="003717A0" w:rsidP="00F5156D">
            <w:pPr>
              <w:adjustRightInd w:val="0"/>
              <w:snapToGrid w:val="0"/>
              <w:spacing w:line="440" w:lineRule="atLeast"/>
              <w:ind w:firstLineChars="250" w:firstLine="550"/>
              <w:rPr>
                <w:sz w:val="22"/>
              </w:rPr>
            </w:pPr>
            <w:r>
              <w:rPr>
                <w:sz w:val="22"/>
              </w:rPr>
              <w:t> 1. </w:t>
            </w:r>
            <w:r>
              <w:rPr>
                <w:rFonts w:hint="eastAsia"/>
                <w:sz w:val="22"/>
              </w:rPr>
              <w:t>掌握物理因子疗法的基本内容</w:t>
            </w:r>
            <w:r>
              <w:rPr>
                <w:sz w:val="22"/>
              </w:rPr>
              <w:t>  2. </w:t>
            </w:r>
            <w:r>
              <w:rPr>
                <w:rFonts w:hint="eastAsia"/>
                <w:sz w:val="22"/>
              </w:rPr>
              <w:t>掌握物理因子疗法的治疗作用</w:t>
            </w:r>
            <w:r>
              <w:rPr>
                <w:sz w:val="22"/>
              </w:rPr>
              <w:t>  3. </w:t>
            </w:r>
            <w:r>
              <w:rPr>
                <w:rFonts w:hint="eastAsia"/>
                <w:sz w:val="22"/>
              </w:rPr>
              <w:t>掌握物理因子疗法的适应症和禁忌症</w:t>
            </w:r>
            <w:r>
              <w:rPr>
                <w:sz w:val="22"/>
              </w:rPr>
              <w:t>  4. </w:t>
            </w:r>
            <w:r>
              <w:rPr>
                <w:rFonts w:hint="eastAsia"/>
                <w:sz w:val="22"/>
              </w:rPr>
              <w:t>熟悉物理因子疗法的作用机制</w:t>
            </w:r>
            <w:r>
              <w:rPr>
                <w:sz w:val="22"/>
              </w:rPr>
              <w:t>   5. </w:t>
            </w:r>
            <w:r>
              <w:rPr>
                <w:rFonts w:hint="eastAsia"/>
                <w:sz w:val="22"/>
              </w:rPr>
              <w:t>熟悉常用物理因子治疗仪器的种类</w:t>
            </w:r>
          </w:p>
        </w:tc>
      </w:tr>
    </w:tbl>
    <w:p w:rsidR="003717A0" w:rsidRPr="00F5156D" w:rsidRDefault="003717A0" w:rsidP="005E20B5">
      <w:pPr>
        <w:shd w:val="clear" w:color="auto" w:fill="FFFFFF"/>
        <w:adjustRightInd w:val="0"/>
        <w:snapToGrid w:val="0"/>
        <w:spacing w:beforeLines="50" w:afterLines="50" w:line="360" w:lineRule="auto"/>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rPr>
          <w:b/>
          <w:sz w:val="30"/>
          <w:szCs w:val="30"/>
        </w:rPr>
      </w:pPr>
      <w:r>
        <w:rPr>
          <w:rFonts w:hint="eastAsia"/>
          <w:b/>
          <w:sz w:val="30"/>
          <w:szCs w:val="30"/>
        </w:rPr>
        <w:t>一、课程的基本信息</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适应对象：</w:t>
      </w:r>
      <w:r w:rsidR="00EA5BFD">
        <w:rPr>
          <w:rFonts w:hint="eastAsia"/>
          <w:kern w:val="0"/>
          <w:szCs w:val="21"/>
        </w:rPr>
        <w:t>本科层次，</w:t>
      </w:r>
      <w:r>
        <w:rPr>
          <w:rFonts w:hint="eastAsia"/>
          <w:kern w:val="0"/>
          <w:szCs w:val="21"/>
        </w:rPr>
        <w:t>康复治疗专业</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课程代码：</w:t>
      </w:r>
      <w:r>
        <w:rPr>
          <w:rFonts w:ascii="宋体" w:hAnsi="宋体"/>
          <w:bCs/>
        </w:rPr>
        <w:t xml:space="preserve"> 170350</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学时分配：</w:t>
      </w:r>
      <w:r>
        <w:rPr>
          <w:kern w:val="0"/>
          <w:szCs w:val="21"/>
        </w:rPr>
        <w:t>72</w:t>
      </w:r>
      <w:r>
        <w:rPr>
          <w:rFonts w:hint="eastAsia"/>
          <w:kern w:val="0"/>
          <w:szCs w:val="21"/>
        </w:rPr>
        <w:t>学时（理论学时</w:t>
      </w:r>
      <w:r>
        <w:rPr>
          <w:kern w:val="0"/>
          <w:szCs w:val="21"/>
        </w:rPr>
        <w:t>36</w:t>
      </w:r>
      <w:r>
        <w:rPr>
          <w:rFonts w:hint="eastAsia"/>
          <w:kern w:val="0"/>
          <w:szCs w:val="21"/>
        </w:rPr>
        <w:t>，实验学时</w:t>
      </w:r>
      <w:r>
        <w:rPr>
          <w:kern w:val="0"/>
          <w:szCs w:val="21"/>
        </w:rPr>
        <w:t>36</w:t>
      </w:r>
      <w:r>
        <w:rPr>
          <w:rFonts w:hint="eastAsia"/>
          <w:kern w:val="0"/>
          <w:szCs w:val="21"/>
        </w:rPr>
        <w:t>）</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赋予学分：</w:t>
      </w:r>
      <w:r>
        <w:rPr>
          <w:kern w:val="0"/>
          <w:szCs w:val="21"/>
        </w:rPr>
        <w:t>3</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先修课程：康复医学概论</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后续课程：临床康复学</w:t>
      </w:r>
    </w:p>
    <w:p w:rsidR="003717A0" w:rsidRDefault="003717A0">
      <w:pPr>
        <w:rPr>
          <w:b/>
          <w:sz w:val="30"/>
          <w:szCs w:val="30"/>
        </w:rPr>
      </w:pPr>
      <w:r>
        <w:rPr>
          <w:rFonts w:hint="eastAsia"/>
          <w:b/>
          <w:sz w:val="30"/>
          <w:szCs w:val="30"/>
        </w:rPr>
        <w:t>二、本课程的性质和任务</w:t>
      </w:r>
    </w:p>
    <w:p w:rsidR="003717A0" w:rsidRDefault="003717A0">
      <w:pPr>
        <w:spacing w:before="100" w:beforeAutospacing="1" w:after="100" w:afterAutospacing="1"/>
        <w:ind w:firstLineChars="200" w:firstLine="420"/>
        <w:jc w:val="left"/>
        <w:rPr>
          <w:rFonts w:ascii="宋体"/>
          <w:szCs w:val="21"/>
        </w:rPr>
      </w:pPr>
      <w:r>
        <w:rPr>
          <w:rFonts w:ascii="宋体" w:hAnsi="宋体" w:hint="eastAsia"/>
          <w:szCs w:val="21"/>
        </w:rPr>
        <w:t>《理疗学》是康复治疗技术专业的一门重要专业课程，系统的介绍了多种康复上常用的应用自然界和人工的物理因子作用于人体、达到预防、治疗和康复的方法，为从事康复工作提供基础。</w:t>
      </w:r>
    </w:p>
    <w:p w:rsidR="003717A0" w:rsidRDefault="003717A0">
      <w:pPr>
        <w:spacing w:before="100" w:beforeAutospacing="1" w:after="100" w:afterAutospacing="1"/>
        <w:ind w:firstLineChars="200" w:firstLine="420"/>
        <w:jc w:val="left"/>
        <w:rPr>
          <w:rFonts w:ascii="宋体"/>
          <w:szCs w:val="21"/>
        </w:rPr>
      </w:pPr>
      <w:r>
        <w:rPr>
          <w:rFonts w:ascii="宋体" w:hAnsi="宋体" w:hint="eastAsia"/>
          <w:szCs w:val="21"/>
        </w:rPr>
        <w:t>通过本课程的教学，使学生了解常用物理因子治疗的定义、基本内容和工作方法，掌握有关的基本概念，初步掌握有关康复常见病碍的物理因子治疗的基本理论、基本知识和技能，了解与掌握常见物理因子的选择及应用，能够在未来的医务工作中运用所学的专业知识完成对康复对象的初步诊疗。</w:t>
      </w:r>
    </w:p>
    <w:p w:rsidR="003717A0" w:rsidRDefault="003717A0">
      <w:pPr>
        <w:rPr>
          <w:b/>
          <w:sz w:val="30"/>
          <w:szCs w:val="30"/>
        </w:rPr>
      </w:pPr>
      <w:r>
        <w:rPr>
          <w:rFonts w:hint="eastAsia"/>
          <w:b/>
          <w:sz w:val="30"/>
          <w:szCs w:val="30"/>
        </w:rPr>
        <w:t>三、本课程的教学目的与要求</w:t>
      </w:r>
    </w:p>
    <w:p w:rsidR="003717A0" w:rsidRDefault="003717A0">
      <w:pPr>
        <w:spacing w:before="100" w:beforeAutospacing="1" w:after="100" w:afterAutospacing="1"/>
        <w:ind w:firstLineChars="200" w:firstLine="420"/>
        <w:jc w:val="left"/>
        <w:rPr>
          <w:rFonts w:ascii="宋体"/>
          <w:szCs w:val="21"/>
        </w:rPr>
      </w:pPr>
      <w:r>
        <w:rPr>
          <w:rFonts w:ascii="宋体" w:hAnsi="宋体" w:hint="eastAsia"/>
          <w:szCs w:val="21"/>
        </w:rPr>
        <w:t>要求学生通过基础理论与实验操作相结合掌握物理因子治疗基础理论、各类物理因子治疗技术的临床应用及操作方法为进一步学习各临床课程及以后的工作打下坚实基础。</w:t>
      </w:r>
      <w:r>
        <w:rPr>
          <w:rFonts w:ascii="宋体"/>
          <w:szCs w:val="21"/>
        </w:rPr>
        <w:t> </w:t>
      </w:r>
      <w:r>
        <w:rPr>
          <w:rFonts w:ascii="宋体" w:hAnsi="宋体" w:hint="eastAsia"/>
          <w:szCs w:val="21"/>
        </w:rPr>
        <w:t>掌握物理因子疗法的基本内容、物理因子疗法的治疗作用、物理因子疗法的适应症和禁忌症；熟悉物理因子疗法的作用机制；熟悉常用物理因子治疗仪器的种类。</w:t>
      </w:r>
    </w:p>
    <w:p w:rsidR="003717A0" w:rsidRDefault="003717A0">
      <w:pPr>
        <w:rPr>
          <w:b/>
          <w:sz w:val="30"/>
          <w:szCs w:val="30"/>
        </w:rPr>
      </w:pPr>
      <w:r>
        <w:rPr>
          <w:rFonts w:hint="eastAsia"/>
          <w:b/>
          <w:sz w:val="30"/>
          <w:szCs w:val="30"/>
        </w:rPr>
        <w:t>四、教学内容与安排</w:t>
      </w:r>
    </w:p>
    <w:p w:rsidR="003717A0" w:rsidRDefault="003717A0">
      <w:pPr>
        <w:spacing w:before="100" w:beforeAutospacing="1" w:after="100" w:afterAutospacing="1"/>
        <w:ind w:left="540"/>
        <w:jc w:val="center"/>
        <w:rPr>
          <w:rFonts w:ascii="宋体"/>
          <w:b/>
          <w:bCs/>
          <w:szCs w:val="21"/>
        </w:rPr>
      </w:pPr>
      <w:r>
        <w:rPr>
          <w:rFonts w:ascii="宋体" w:hAnsi="宋体" w:hint="eastAsia"/>
          <w:b/>
          <w:bCs/>
          <w:szCs w:val="21"/>
        </w:rPr>
        <w:t>第一章、概论</w:t>
      </w:r>
    </w:p>
    <w:p w:rsidR="003717A0" w:rsidRDefault="003717A0">
      <w:pPr>
        <w:spacing w:before="100" w:beforeAutospacing="1" w:after="100" w:afterAutospacing="1"/>
        <w:ind w:left="425"/>
        <w:rPr>
          <w:b/>
        </w:rPr>
      </w:pPr>
      <w:r>
        <w:rPr>
          <w:rFonts w:hint="eastAsia"/>
          <w:b/>
        </w:rPr>
        <w:t>教学内容</w:t>
      </w:r>
    </w:p>
    <w:p w:rsidR="003717A0" w:rsidRDefault="003717A0">
      <w:pPr>
        <w:numPr>
          <w:ilvl w:val="0"/>
          <w:numId w:val="336"/>
        </w:numPr>
        <w:spacing w:before="100" w:beforeAutospacing="1" w:after="100" w:afterAutospacing="1"/>
      </w:pPr>
      <w:r>
        <w:rPr>
          <w:rFonts w:hint="eastAsia"/>
        </w:rPr>
        <w:t>物理疗法的定义和基本内容；</w:t>
      </w:r>
    </w:p>
    <w:p w:rsidR="003717A0" w:rsidRDefault="003717A0">
      <w:pPr>
        <w:numPr>
          <w:ilvl w:val="0"/>
          <w:numId w:val="336"/>
        </w:numPr>
        <w:spacing w:before="100" w:beforeAutospacing="1" w:after="100" w:afterAutospacing="1"/>
      </w:pPr>
      <w:r>
        <w:rPr>
          <w:rFonts w:hint="eastAsia"/>
        </w:rPr>
        <w:t>物理疗法的分类；</w:t>
      </w:r>
      <w:r>
        <w:t> </w:t>
      </w:r>
    </w:p>
    <w:p w:rsidR="003717A0" w:rsidRDefault="003717A0">
      <w:pPr>
        <w:numPr>
          <w:ilvl w:val="0"/>
          <w:numId w:val="336"/>
        </w:numPr>
        <w:spacing w:before="100" w:beforeAutospacing="1" w:after="100" w:afterAutospacing="1"/>
      </w:pPr>
      <w:r>
        <w:rPr>
          <w:rFonts w:hint="eastAsia"/>
        </w:rPr>
        <w:t>物理疗法的治疗作</w:t>
      </w:r>
    </w:p>
    <w:p w:rsidR="003717A0" w:rsidRDefault="003717A0">
      <w:pPr>
        <w:numPr>
          <w:ilvl w:val="0"/>
          <w:numId w:val="336"/>
        </w:numPr>
        <w:spacing w:before="100" w:beforeAutospacing="1" w:after="100" w:afterAutospacing="1"/>
      </w:pPr>
      <w:r>
        <w:rPr>
          <w:rFonts w:hint="eastAsia"/>
        </w:rPr>
        <w:t>自学与拓展：运动治疗与物理治疗的关系</w:t>
      </w:r>
    </w:p>
    <w:p w:rsidR="003717A0" w:rsidRDefault="003717A0">
      <w:pPr>
        <w:spacing w:before="100" w:beforeAutospacing="1" w:after="100" w:afterAutospacing="1"/>
        <w:ind w:left="425"/>
        <w:rPr>
          <w:b/>
        </w:rPr>
      </w:pPr>
      <w:r>
        <w:rPr>
          <w:rFonts w:hint="eastAsia"/>
          <w:b/>
        </w:rPr>
        <w:t>实习内容</w:t>
      </w:r>
    </w:p>
    <w:p w:rsidR="003717A0" w:rsidRDefault="003717A0">
      <w:pPr>
        <w:spacing w:before="100" w:beforeAutospacing="1" w:after="100" w:afterAutospacing="1"/>
        <w:ind w:left="425"/>
      </w:pPr>
      <w:r>
        <w:lastRenderedPageBreak/>
        <w:t>1.</w:t>
      </w:r>
      <w:r>
        <w:rPr>
          <w:rFonts w:hint="eastAsia"/>
        </w:rPr>
        <w:t>参观物理治疗大厅及常用运动治疗仪器</w:t>
      </w:r>
    </w:p>
    <w:p w:rsidR="003717A0" w:rsidRDefault="003717A0">
      <w:pPr>
        <w:spacing w:before="100" w:beforeAutospacing="1" w:after="100" w:afterAutospacing="1"/>
        <w:ind w:left="425"/>
      </w:pPr>
      <w:r>
        <w:t>2.</w:t>
      </w:r>
      <w:r>
        <w:rPr>
          <w:rFonts w:hint="eastAsia"/>
        </w:rPr>
        <w:t>参观常用物理因子治疗仪器</w:t>
      </w:r>
    </w:p>
    <w:p w:rsidR="003717A0" w:rsidRDefault="003717A0">
      <w:pPr>
        <w:spacing w:before="100" w:beforeAutospacing="1" w:after="100" w:afterAutospacing="1"/>
        <w:ind w:left="425"/>
        <w:rPr>
          <w:b/>
        </w:rPr>
      </w:pPr>
      <w:r>
        <w:rPr>
          <w:rFonts w:hint="eastAsia"/>
          <w:b/>
        </w:rPr>
        <w:t>目的与要求：</w:t>
      </w:r>
      <w:r>
        <w:rPr>
          <w:b/>
        </w:rPr>
        <w:t>  </w:t>
      </w:r>
    </w:p>
    <w:p w:rsidR="003717A0" w:rsidRDefault="003717A0">
      <w:pPr>
        <w:ind w:left="855"/>
        <w:rPr>
          <w:rFonts w:ascii="宋体"/>
          <w:bCs/>
          <w:szCs w:val="21"/>
        </w:rPr>
      </w:pPr>
      <w:r>
        <w:rPr>
          <w:rFonts w:ascii="宋体" w:hAnsi="宋体"/>
          <w:bCs/>
          <w:szCs w:val="21"/>
        </w:rPr>
        <w:t>1. </w:t>
      </w:r>
      <w:r>
        <w:rPr>
          <w:rFonts w:ascii="宋体" w:hAnsi="宋体" w:hint="eastAsia"/>
          <w:bCs/>
          <w:szCs w:val="21"/>
        </w:rPr>
        <w:t>掌握物理疗法的基本内容；</w:t>
      </w:r>
    </w:p>
    <w:p w:rsidR="003717A0" w:rsidRDefault="003717A0">
      <w:pPr>
        <w:ind w:left="855"/>
        <w:rPr>
          <w:rFonts w:ascii="宋体"/>
          <w:bCs/>
          <w:szCs w:val="21"/>
        </w:rPr>
      </w:pPr>
      <w:r>
        <w:rPr>
          <w:rFonts w:ascii="宋体"/>
          <w:bCs/>
          <w:szCs w:val="21"/>
        </w:rPr>
        <w:t> </w:t>
      </w:r>
      <w:r>
        <w:rPr>
          <w:rFonts w:ascii="宋体" w:hAnsi="宋体"/>
          <w:bCs/>
          <w:szCs w:val="21"/>
        </w:rPr>
        <w:t>2. </w:t>
      </w:r>
      <w:r>
        <w:rPr>
          <w:rFonts w:ascii="宋体" w:hAnsi="宋体" w:hint="eastAsia"/>
          <w:bCs/>
          <w:szCs w:val="21"/>
        </w:rPr>
        <w:t>掌握物理疗法的分类；</w:t>
      </w:r>
    </w:p>
    <w:p w:rsidR="003717A0" w:rsidRDefault="003717A0">
      <w:pPr>
        <w:ind w:left="855"/>
        <w:rPr>
          <w:rFonts w:ascii="宋体"/>
          <w:bCs/>
          <w:szCs w:val="21"/>
        </w:rPr>
      </w:pPr>
      <w:r>
        <w:rPr>
          <w:rFonts w:ascii="宋体" w:hAnsi="宋体"/>
          <w:bCs/>
          <w:szCs w:val="21"/>
        </w:rPr>
        <w:t>3. </w:t>
      </w:r>
      <w:r>
        <w:rPr>
          <w:rFonts w:ascii="宋体" w:hAnsi="宋体" w:hint="eastAsia"/>
          <w:bCs/>
          <w:szCs w:val="21"/>
        </w:rPr>
        <w:t>掌握物理疗法的治疗作用；</w:t>
      </w:r>
    </w:p>
    <w:p w:rsidR="003717A0" w:rsidRDefault="003717A0">
      <w:pPr>
        <w:ind w:left="855"/>
        <w:rPr>
          <w:rFonts w:ascii="宋体"/>
          <w:bCs/>
          <w:szCs w:val="21"/>
        </w:rPr>
      </w:pPr>
      <w:r>
        <w:rPr>
          <w:rFonts w:ascii="宋体"/>
          <w:bCs/>
          <w:szCs w:val="21"/>
        </w:rPr>
        <w:t> </w:t>
      </w:r>
      <w:r>
        <w:rPr>
          <w:rFonts w:ascii="宋体" w:hAnsi="宋体"/>
          <w:bCs/>
          <w:szCs w:val="21"/>
        </w:rPr>
        <w:t>4. </w:t>
      </w:r>
      <w:r>
        <w:rPr>
          <w:rFonts w:ascii="宋体" w:hAnsi="宋体" w:hint="eastAsia"/>
          <w:bCs/>
          <w:szCs w:val="21"/>
        </w:rPr>
        <w:t>掌握物理疗法的适应症和禁忌症；</w:t>
      </w:r>
      <w:r>
        <w:rPr>
          <w:rFonts w:ascii="宋体"/>
          <w:bCs/>
          <w:szCs w:val="21"/>
        </w:rPr>
        <w:t> </w:t>
      </w:r>
    </w:p>
    <w:p w:rsidR="003717A0" w:rsidRDefault="003717A0">
      <w:pPr>
        <w:ind w:left="855"/>
        <w:rPr>
          <w:rFonts w:ascii="宋体"/>
          <w:bCs/>
          <w:szCs w:val="21"/>
        </w:rPr>
      </w:pPr>
      <w:r>
        <w:rPr>
          <w:rFonts w:ascii="宋体" w:hAnsi="宋体"/>
          <w:bCs/>
          <w:szCs w:val="21"/>
        </w:rPr>
        <w:t>5. </w:t>
      </w:r>
      <w:r>
        <w:rPr>
          <w:rFonts w:ascii="宋体" w:hAnsi="宋体" w:hint="eastAsia"/>
          <w:bCs/>
          <w:szCs w:val="21"/>
        </w:rPr>
        <w:t>熟悉物理疗法的原则；</w:t>
      </w:r>
    </w:p>
    <w:p w:rsidR="003717A0" w:rsidRDefault="003717A0">
      <w:pPr>
        <w:ind w:left="855"/>
        <w:rPr>
          <w:rFonts w:ascii="宋体"/>
          <w:bCs/>
          <w:szCs w:val="21"/>
        </w:rPr>
      </w:pPr>
      <w:r>
        <w:rPr>
          <w:rFonts w:ascii="宋体"/>
          <w:bCs/>
          <w:szCs w:val="21"/>
        </w:rPr>
        <w:t> </w:t>
      </w:r>
      <w:r>
        <w:rPr>
          <w:rFonts w:ascii="宋体" w:hAnsi="宋体"/>
          <w:bCs/>
          <w:szCs w:val="21"/>
        </w:rPr>
        <w:t>6. </w:t>
      </w:r>
      <w:r>
        <w:rPr>
          <w:rFonts w:ascii="宋体" w:hAnsi="宋体" w:hint="eastAsia"/>
          <w:bCs/>
          <w:szCs w:val="21"/>
        </w:rPr>
        <w:t>熟悉物理疗法的作用机制；</w:t>
      </w:r>
      <w:r>
        <w:rPr>
          <w:rFonts w:ascii="宋体"/>
          <w:bCs/>
          <w:szCs w:val="21"/>
        </w:rPr>
        <w:t> </w:t>
      </w:r>
    </w:p>
    <w:p w:rsidR="003717A0" w:rsidRDefault="003717A0">
      <w:pPr>
        <w:ind w:left="855"/>
        <w:rPr>
          <w:rFonts w:ascii="宋体"/>
          <w:bCs/>
          <w:szCs w:val="21"/>
        </w:rPr>
      </w:pPr>
      <w:r>
        <w:rPr>
          <w:rFonts w:ascii="宋体" w:hAnsi="宋体"/>
          <w:bCs/>
          <w:szCs w:val="21"/>
        </w:rPr>
        <w:t>7. </w:t>
      </w:r>
      <w:r>
        <w:rPr>
          <w:rFonts w:ascii="宋体" w:hAnsi="宋体" w:hint="eastAsia"/>
          <w:bCs/>
          <w:szCs w:val="21"/>
        </w:rPr>
        <w:t>熟悉常用物理因子治疗仪器的种类。</w:t>
      </w:r>
    </w:p>
    <w:p w:rsidR="003717A0" w:rsidRDefault="003717A0">
      <w:pPr>
        <w:spacing w:before="100" w:beforeAutospacing="1" w:after="100" w:afterAutospacing="1"/>
        <w:ind w:left="540"/>
        <w:jc w:val="center"/>
        <w:rPr>
          <w:rFonts w:ascii="宋体"/>
          <w:b/>
          <w:bCs/>
          <w:szCs w:val="21"/>
        </w:rPr>
      </w:pPr>
      <w:r>
        <w:rPr>
          <w:rFonts w:ascii="宋体" w:hAnsi="宋体" w:hint="eastAsia"/>
          <w:b/>
          <w:bCs/>
          <w:szCs w:val="21"/>
        </w:rPr>
        <w:t>第二章、直流电疗法</w:t>
      </w:r>
    </w:p>
    <w:p w:rsidR="003717A0" w:rsidRDefault="003717A0">
      <w:pPr>
        <w:spacing w:before="100" w:beforeAutospacing="1" w:after="100" w:afterAutospacing="1"/>
        <w:ind w:left="425"/>
        <w:rPr>
          <w:b/>
        </w:rPr>
      </w:pPr>
      <w:r>
        <w:rPr>
          <w:rFonts w:hint="eastAsia"/>
          <w:b/>
        </w:rPr>
        <w:t>教学内容</w:t>
      </w:r>
    </w:p>
    <w:p w:rsidR="003717A0" w:rsidRDefault="003717A0">
      <w:pPr>
        <w:ind w:left="855"/>
        <w:rPr>
          <w:rFonts w:ascii="宋体"/>
          <w:bCs/>
          <w:szCs w:val="21"/>
        </w:rPr>
      </w:pPr>
      <w:r>
        <w:rPr>
          <w:rFonts w:ascii="宋体" w:hAnsi="宋体"/>
          <w:bCs/>
          <w:szCs w:val="21"/>
        </w:rPr>
        <w:t>1.</w:t>
      </w:r>
      <w:r>
        <w:rPr>
          <w:rFonts w:ascii="宋体" w:hAnsi="宋体" w:hint="eastAsia"/>
          <w:bCs/>
          <w:szCs w:val="21"/>
        </w:rPr>
        <w:t>直流电及直流电离子导入疗法的定义；</w:t>
      </w:r>
      <w:r>
        <w:rPr>
          <w:rFonts w:ascii="宋体"/>
          <w:bCs/>
          <w:szCs w:val="21"/>
        </w:rPr>
        <w:t> </w:t>
      </w:r>
    </w:p>
    <w:p w:rsidR="003717A0" w:rsidRDefault="003717A0">
      <w:pPr>
        <w:ind w:left="855"/>
        <w:rPr>
          <w:rFonts w:ascii="宋体"/>
          <w:bCs/>
          <w:szCs w:val="21"/>
        </w:rPr>
      </w:pPr>
      <w:r>
        <w:rPr>
          <w:rFonts w:ascii="宋体" w:hAnsi="宋体"/>
          <w:bCs/>
          <w:szCs w:val="21"/>
        </w:rPr>
        <w:t>2.</w:t>
      </w:r>
      <w:r>
        <w:rPr>
          <w:rFonts w:ascii="宋体" w:hAnsi="宋体" w:hint="eastAsia"/>
          <w:bCs/>
          <w:szCs w:val="21"/>
        </w:rPr>
        <w:t>直流电及直流电离子导入疗法的作用原理；</w:t>
      </w:r>
      <w:r>
        <w:rPr>
          <w:rFonts w:ascii="宋体"/>
          <w:bCs/>
          <w:szCs w:val="21"/>
        </w:rPr>
        <w:t> </w:t>
      </w:r>
    </w:p>
    <w:p w:rsidR="003717A0" w:rsidRDefault="003717A0">
      <w:pPr>
        <w:ind w:left="855"/>
        <w:rPr>
          <w:rFonts w:ascii="宋体"/>
          <w:bCs/>
          <w:szCs w:val="21"/>
        </w:rPr>
      </w:pPr>
      <w:r>
        <w:rPr>
          <w:rFonts w:ascii="宋体" w:hAnsi="宋体"/>
          <w:bCs/>
          <w:szCs w:val="21"/>
        </w:rPr>
        <w:t>3.</w:t>
      </w:r>
      <w:r>
        <w:rPr>
          <w:rFonts w:ascii="宋体" w:hAnsi="宋体" w:hint="eastAsia"/>
          <w:bCs/>
          <w:szCs w:val="21"/>
        </w:rPr>
        <w:t>直流电及直流电离子导入疗法的治疗作用；</w:t>
      </w:r>
      <w:r>
        <w:rPr>
          <w:rFonts w:ascii="宋体"/>
          <w:bCs/>
          <w:szCs w:val="21"/>
        </w:rPr>
        <w:t> </w:t>
      </w:r>
    </w:p>
    <w:p w:rsidR="003717A0" w:rsidRDefault="003717A0">
      <w:pPr>
        <w:ind w:left="855"/>
        <w:rPr>
          <w:rFonts w:ascii="宋体"/>
          <w:bCs/>
          <w:szCs w:val="21"/>
        </w:rPr>
      </w:pPr>
      <w:r>
        <w:rPr>
          <w:rFonts w:ascii="宋体" w:hAnsi="宋体"/>
          <w:bCs/>
          <w:szCs w:val="21"/>
        </w:rPr>
        <w:t>4.</w:t>
      </w:r>
      <w:r>
        <w:rPr>
          <w:rFonts w:ascii="宋体" w:hAnsi="宋体" w:hint="eastAsia"/>
          <w:bCs/>
          <w:szCs w:val="21"/>
        </w:rPr>
        <w:t>直流电及直流电离子导入疗法的操作技术、临床应用；</w:t>
      </w:r>
      <w:r>
        <w:rPr>
          <w:rFonts w:ascii="宋体"/>
          <w:bCs/>
          <w:szCs w:val="21"/>
        </w:rPr>
        <w:t> </w:t>
      </w:r>
    </w:p>
    <w:p w:rsidR="003717A0" w:rsidRDefault="003717A0">
      <w:pPr>
        <w:ind w:left="855"/>
        <w:rPr>
          <w:rFonts w:ascii="宋体"/>
          <w:bCs/>
          <w:szCs w:val="21"/>
        </w:rPr>
      </w:pPr>
      <w:r>
        <w:rPr>
          <w:rFonts w:ascii="宋体" w:hAnsi="宋体"/>
          <w:bCs/>
          <w:szCs w:val="21"/>
        </w:rPr>
        <w:t>5.</w:t>
      </w:r>
      <w:r>
        <w:rPr>
          <w:rFonts w:ascii="宋体" w:hAnsi="宋体" w:hint="eastAsia"/>
          <w:bCs/>
          <w:szCs w:val="21"/>
        </w:rPr>
        <w:t>直流电及直流电离子导入的适应与禁忌</w:t>
      </w:r>
      <w:r>
        <w:rPr>
          <w:rFonts w:ascii="宋体"/>
          <w:bCs/>
          <w:szCs w:val="21"/>
        </w:rPr>
        <w:t> </w:t>
      </w:r>
    </w:p>
    <w:p w:rsidR="003717A0" w:rsidRDefault="003717A0">
      <w:pPr>
        <w:ind w:left="855"/>
        <w:rPr>
          <w:rFonts w:ascii="宋体"/>
          <w:bCs/>
          <w:szCs w:val="21"/>
        </w:rPr>
      </w:pPr>
      <w:r>
        <w:rPr>
          <w:rFonts w:ascii="宋体" w:hAnsi="宋体"/>
          <w:bCs/>
          <w:szCs w:val="21"/>
        </w:rPr>
        <w:t>6.</w:t>
      </w:r>
      <w:r>
        <w:rPr>
          <w:rFonts w:ascii="宋体" w:hAnsi="宋体" w:hint="eastAsia"/>
          <w:bCs/>
          <w:szCs w:val="21"/>
        </w:rPr>
        <w:t>自学与拓展：直流电临床应用范畴思考</w:t>
      </w:r>
    </w:p>
    <w:p w:rsidR="003717A0" w:rsidRDefault="003717A0">
      <w:pPr>
        <w:spacing w:before="100" w:beforeAutospacing="1" w:after="100" w:afterAutospacing="1"/>
        <w:ind w:left="425"/>
        <w:rPr>
          <w:b/>
        </w:rPr>
      </w:pPr>
      <w:r>
        <w:rPr>
          <w:rFonts w:hint="eastAsia"/>
          <w:b/>
        </w:rPr>
        <w:t>实习内容</w:t>
      </w:r>
    </w:p>
    <w:p w:rsidR="003717A0" w:rsidRDefault="003717A0">
      <w:pPr>
        <w:numPr>
          <w:ilvl w:val="0"/>
          <w:numId w:val="337"/>
        </w:numPr>
        <w:rPr>
          <w:rFonts w:ascii="宋体"/>
          <w:bCs/>
          <w:szCs w:val="21"/>
        </w:rPr>
      </w:pPr>
      <w:r>
        <w:rPr>
          <w:rFonts w:ascii="宋体" w:hAnsi="宋体" w:hint="eastAsia"/>
          <w:bCs/>
          <w:szCs w:val="21"/>
        </w:rPr>
        <w:t>直流电疗法的操作技术</w:t>
      </w:r>
    </w:p>
    <w:p w:rsidR="003717A0" w:rsidRDefault="003717A0">
      <w:pPr>
        <w:numPr>
          <w:ilvl w:val="0"/>
          <w:numId w:val="337"/>
        </w:numPr>
        <w:rPr>
          <w:rFonts w:ascii="宋体"/>
          <w:bCs/>
          <w:szCs w:val="21"/>
        </w:rPr>
      </w:pPr>
      <w:r>
        <w:rPr>
          <w:rFonts w:ascii="宋体" w:hAnsi="宋体" w:hint="eastAsia"/>
          <w:bCs/>
          <w:szCs w:val="21"/>
        </w:rPr>
        <w:t>直流电离子导入疗法的操作技术</w:t>
      </w:r>
    </w:p>
    <w:p w:rsidR="003717A0" w:rsidRDefault="003717A0">
      <w:pPr>
        <w:numPr>
          <w:ilvl w:val="0"/>
          <w:numId w:val="337"/>
        </w:numPr>
        <w:rPr>
          <w:rFonts w:ascii="宋体"/>
          <w:bCs/>
          <w:szCs w:val="21"/>
        </w:rPr>
      </w:pPr>
      <w:r>
        <w:rPr>
          <w:rFonts w:ascii="宋体" w:hAnsi="宋体" w:hint="eastAsia"/>
          <w:bCs/>
          <w:szCs w:val="21"/>
        </w:rPr>
        <w:t>直流电治疗仪</w:t>
      </w:r>
    </w:p>
    <w:p w:rsidR="003717A0" w:rsidRDefault="003717A0">
      <w:pPr>
        <w:ind w:left="855"/>
        <w:rPr>
          <w:rFonts w:ascii="宋体"/>
          <w:bCs/>
          <w:szCs w:val="21"/>
        </w:rPr>
      </w:pPr>
      <w:r>
        <w:rPr>
          <w:rFonts w:hint="eastAsia"/>
          <w:b/>
        </w:rPr>
        <w:t>目的与要求：</w:t>
      </w:r>
    </w:p>
    <w:p w:rsidR="003717A0" w:rsidRDefault="003717A0">
      <w:pPr>
        <w:ind w:left="855"/>
        <w:rPr>
          <w:rFonts w:ascii="宋体"/>
          <w:bCs/>
          <w:szCs w:val="21"/>
        </w:rPr>
      </w:pPr>
      <w:r>
        <w:rPr>
          <w:rFonts w:ascii="宋体" w:hAnsi="宋体"/>
          <w:bCs/>
          <w:szCs w:val="21"/>
        </w:rPr>
        <w:t>1. </w:t>
      </w:r>
      <w:r>
        <w:rPr>
          <w:rFonts w:ascii="宋体" w:hAnsi="宋体" w:hint="eastAsia"/>
          <w:bCs/>
          <w:szCs w:val="21"/>
        </w:rPr>
        <w:t>掌握直流电疗法的作用和操作技术；</w:t>
      </w:r>
      <w:r>
        <w:rPr>
          <w:rFonts w:ascii="宋体"/>
          <w:bCs/>
          <w:szCs w:val="21"/>
        </w:rPr>
        <w:t> </w:t>
      </w:r>
    </w:p>
    <w:p w:rsidR="003717A0" w:rsidRDefault="003717A0">
      <w:pPr>
        <w:ind w:left="855"/>
        <w:rPr>
          <w:rFonts w:ascii="宋体"/>
          <w:bCs/>
          <w:szCs w:val="21"/>
        </w:rPr>
      </w:pPr>
      <w:r>
        <w:rPr>
          <w:rFonts w:ascii="宋体" w:hAnsi="宋体"/>
          <w:bCs/>
          <w:szCs w:val="21"/>
        </w:rPr>
        <w:t>2. </w:t>
      </w:r>
      <w:r>
        <w:rPr>
          <w:rFonts w:ascii="宋体" w:hAnsi="宋体" w:hint="eastAsia"/>
          <w:bCs/>
          <w:szCs w:val="21"/>
        </w:rPr>
        <w:t>掌握直流电药物离子导入疗法的原理和操作技术；</w:t>
      </w:r>
      <w:r>
        <w:rPr>
          <w:rFonts w:ascii="宋体"/>
          <w:bCs/>
          <w:szCs w:val="21"/>
        </w:rPr>
        <w:t> </w:t>
      </w:r>
    </w:p>
    <w:p w:rsidR="003717A0" w:rsidRDefault="003717A0">
      <w:pPr>
        <w:ind w:left="855"/>
        <w:rPr>
          <w:rFonts w:ascii="宋体"/>
          <w:bCs/>
          <w:szCs w:val="21"/>
        </w:rPr>
      </w:pPr>
      <w:r>
        <w:rPr>
          <w:rFonts w:ascii="宋体" w:hAnsi="宋体"/>
          <w:bCs/>
          <w:szCs w:val="21"/>
        </w:rPr>
        <w:t>3. </w:t>
      </w:r>
      <w:r>
        <w:rPr>
          <w:rFonts w:ascii="宋体" w:hAnsi="宋体" w:hint="eastAsia"/>
          <w:bCs/>
          <w:szCs w:val="21"/>
        </w:rPr>
        <w:t>熟悉直流电的适应与禁忌；</w:t>
      </w:r>
      <w:r>
        <w:rPr>
          <w:rFonts w:ascii="宋体"/>
          <w:bCs/>
          <w:szCs w:val="21"/>
        </w:rPr>
        <w:t> </w:t>
      </w:r>
    </w:p>
    <w:p w:rsidR="003717A0" w:rsidRDefault="003717A0">
      <w:pPr>
        <w:ind w:left="855"/>
      </w:pPr>
      <w:r>
        <w:rPr>
          <w:rFonts w:ascii="宋体" w:hAnsi="宋体"/>
          <w:bCs/>
          <w:szCs w:val="21"/>
        </w:rPr>
        <w:t>4. </w:t>
      </w:r>
      <w:r>
        <w:rPr>
          <w:rFonts w:ascii="宋体" w:hAnsi="宋体" w:hint="eastAsia"/>
          <w:bCs/>
          <w:szCs w:val="21"/>
        </w:rPr>
        <w:t>熟悉电离子导入的适应与禁忌。</w:t>
      </w:r>
      <w:r>
        <w:rPr>
          <w:rFonts w:ascii="宋体"/>
          <w:bCs/>
          <w:szCs w:val="21"/>
        </w:rPr>
        <w:t> </w:t>
      </w:r>
    </w:p>
    <w:p w:rsidR="003717A0" w:rsidRDefault="003717A0">
      <w:pPr>
        <w:spacing w:before="100" w:beforeAutospacing="1" w:after="100" w:afterAutospacing="1"/>
        <w:ind w:left="540"/>
        <w:jc w:val="center"/>
        <w:rPr>
          <w:rFonts w:ascii="宋体"/>
          <w:b/>
          <w:bCs/>
          <w:szCs w:val="21"/>
        </w:rPr>
      </w:pPr>
      <w:r>
        <w:rPr>
          <w:rFonts w:ascii="宋体" w:hAnsi="宋体" w:hint="eastAsia"/>
          <w:b/>
          <w:bCs/>
          <w:szCs w:val="21"/>
        </w:rPr>
        <w:t>第三章、低频电疗法</w:t>
      </w:r>
    </w:p>
    <w:p w:rsidR="003717A0" w:rsidRDefault="003717A0">
      <w:pPr>
        <w:spacing w:before="100" w:beforeAutospacing="1" w:after="100" w:afterAutospacing="1"/>
        <w:ind w:left="425"/>
        <w:rPr>
          <w:b/>
        </w:rPr>
      </w:pPr>
      <w:r>
        <w:rPr>
          <w:rFonts w:hint="eastAsia"/>
          <w:b/>
        </w:rPr>
        <w:t>教学内容</w:t>
      </w:r>
    </w:p>
    <w:p w:rsidR="003717A0" w:rsidRDefault="003717A0">
      <w:pPr>
        <w:ind w:left="855"/>
        <w:rPr>
          <w:rFonts w:ascii="宋体"/>
          <w:bCs/>
          <w:szCs w:val="21"/>
        </w:rPr>
      </w:pPr>
      <w:r>
        <w:rPr>
          <w:rFonts w:ascii="宋体" w:hAnsi="宋体"/>
          <w:bCs/>
          <w:szCs w:val="21"/>
        </w:rPr>
        <w:t>1.</w:t>
      </w:r>
      <w:r>
        <w:rPr>
          <w:rFonts w:ascii="宋体" w:hAnsi="宋体" w:hint="eastAsia"/>
          <w:bCs/>
          <w:szCs w:val="21"/>
        </w:rPr>
        <w:t>低频电疗法的分类；</w:t>
      </w:r>
      <w:r>
        <w:rPr>
          <w:rFonts w:ascii="宋体"/>
          <w:bCs/>
          <w:szCs w:val="21"/>
        </w:rPr>
        <w:t> </w:t>
      </w:r>
    </w:p>
    <w:p w:rsidR="003717A0" w:rsidRDefault="003717A0">
      <w:pPr>
        <w:ind w:left="855"/>
        <w:rPr>
          <w:rFonts w:ascii="宋体"/>
          <w:bCs/>
          <w:szCs w:val="21"/>
        </w:rPr>
      </w:pPr>
      <w:r>
        <w:rPr>
          <w:rFonts w:ascii="宋体" w:hAnsi="宋体"/>
          <w:bCs/>
          <w:szCs w:val="21"/>
        </w:rPr>
        <w:t>2.</w:t>
      </w:r>
      <w:r>
        <w:rPr>
          <w:rFonts w:ascii="宋体" w:hAnsi="宋体" w:hint="eastAsia"/>
          <w:bCs/>
          <w:szCs w:val="21"/>
        </w:rPr>
        <w:t>低频电疗法的主要治疗作用；</w:t>
      </w:r>
      <w:r>
        <w:rPr>
          <w:rFonts w:ascii="宋体"/>
          <w:bCs/>
          <w:szCs w:val="21"/>
        </w:rPr>
        <w:t> </w:t>
      </w:r>
    </w:p>
    <w:p w:rsidR="003717A0" w:rsidRDefault="003717A0">
      <w:pPr>
        <w:ind w:left="855"/>
        <w:rPr>
          <w:rFonts w:ascii="宋体"/>
          <w:bCs/>
          <w:szCs w:val="21"/>
        </w:rPr>
      </w:pPr>
      <w:r>
        <w:rPr>
          <w:rFonts w:ascii="宋体" w:hAnsi="宋体"/>
          <w:bCs/>
          <w:szCs w:val="21"/>
        </w:rPr>
        <w:t>3.</w:t>
      </w:r>
      <w:r>
        <w:rPr>
          <w:rFonts w:ascii="宋体" w:hAnsi="宋体" w:hint="eastAsia"/>
          <w:bCs/>
          <w:szCs w:val="21"/>
        </w:rPr>
        <w:t>低频电疗法的治疗技术、临床应用；</w:t>
      </w:r>
      <w:r>
        <w:rPr>
          <w:rFonts w:ascii="宋体"/>
          <w:bCs/>
          <w:szCs w:val="21"/>
        </w:rPr>
        <w:t> </w:t>
      </w:r>
    </w:p>
    <w:p w:rsidR="003717A0" w:rsidRDefault="003717A0">
      <w:pPr>
        <w:ind w:left="855"/>
        <w:rPr>
          <w:rFonts w:ascii="宋体"/>
          <w:bCs/>
          <w:szCs w:val="21"/>
        </w:rPr>
      </w:pPr>
      <w:r>
        <w:rPr>
          <w:rFonts w:ascii="宋体" w:hAnsi="宋体"/>
          <w:bCs/>
          <w:szCs w:val="21"/>
        </w:rPr>
        <w:t>4.</w:t>
      </w:r>
      <w:r>
        <w:rPr>
          <w:rFonts w:ascii="宋体" w:hAnsi="宋体" w:hint="eastAsia"/>
          <w:bCs/>
          <w:szCs w:val="21"/>
        </w:rPr>
        <w:t>低频电疗法的适应与禁忌证</w:t>
      </w:r>
    </w:p>
    <w:p w:rsidR="003717A0" w:rsidRDefault="003717A0">
      <w:pPr>
        <w:spacing w:before="100" w:beforeAutospacing="1" w:after="100" w:afterAutospacing="1"/>
        <w:ind w:left="425"/>
        <w:rPr>
          <w:b/>
        </w:rPr>
      </w:pPr>
      <w:r>
        <w:rPr>
          <w:rFonts w:hint="eastAsia"/>
          <w:b/>
        </w:rPr>
        <w:t>实习内容</w:t>
      </w:r>
    </w:p>
    <w:p w:rsidR="003717A0" w:rsidRDefault="003717A0">
      <w:pPr>
        <w:numPr>
          <w:ilvl w:val="0"/>
          <w:numId w:val="338"/>
        </w:numPr>
        <w:rPr>
          <w:rFonts w:ascii="宋体"/>
          <w:bCs/>
          <w:szCs w:val="21"/>
        </w:rPr>
      </w:pPr>
      <w:r>
        <w:rPr>
          <w:rFonts w:ascii="宋体" w:hAnsi="宋体" w:hint="eastAsia"/>
          <w:bCs/>
          <w:szCs w:val="21"/>
        </w:rPr>
        <w:lastRenderedPageBreak/>
        <w:t>常用的低频电疗法的操作技术</w:t>
      </w:r>
    </w:p>
    <w:p w:rsidR="003717A0" w:rsidRDefault="003717A0">
      <w:pPr>
        <w:numPr>
          <w:ilvl w:val="0"/>
          <w:numId w:val="338"/>
        </w:numPr>
        <w:rPr>
          <w:rFonts w:ascii="宋体"/>
          <w:bCs/>
          <w:szCs w:val="21"/>
        </w:rPr>
      </w:pPr>
      <w:r>
        <w:rPr>
          <w:rFonts w:ascii="宋体" w:hAnsi="宋体" w:hint="eastAsia"/>
          <w:bCs/>
          <w:szCs w:val="21"/>
        </w:rPr>
        <w:t>常用低频电疗的仪器与安全防护</w:t>
      </w:r>
    </w:p>
    <w:p w:rsidR="003717A0" w:rsidRDefault="003717A0">
      <w:pPr>
        <w:ind w:firstLineChars="147" w:firstLine="310"/>
        <w:rPr>
          <w:rFonts w:ascii="宋体"/>
          <w:bCs/>
          <w:szCs w:val="21"/>
        </w:rPr>
      </w:pPr>
      <w:r>
        <w:rPr>
          <w:rFonts w:hint="eastAsia"/>
          <w:b/>
        </w:rPr>
        <w:t>目的与要求：</w:t>
      </w:r>
    </w:p>
    <w:p w:rsidR="003717A0" w:rsidRDefault="003717A0">
      <w:pPr>
        <w:rPr>
          <w:rFonts w:ascii="宋体"/>
          <w:b/>
          <w:bCs/>
          <w:szCs w:val="21"/>
        </w:rPr>
      </w:pPr>
    </w:p>
    <w:p w:rsidR="003717A0" w:rsidRDefault="003717A0">
      <w:pPr>
        <w:ind w:firstLineChars="392" w:firstLine="826"/>
        <w:rPr>
          <w:rFonts w:ascii="宋体"/>
          <w:bCs/>
          <w:szCs w:val="21"/>
        </w:rPr>
      </w:pPr>
      <w:r>
        <w:rPr>
          <w:rFonts w:ascii="宋体" w:hAnsi="宋体"/>
          <w:b/>
          <w:bCs/>
          <w:szCs w:val="21"/>
        </w:rPr>
        <w:t>1.</w:t>
      </w:r>
      <w:r>
        <w:rPr>
          <w:rFonts w:ascii="宋体" w:hAnsi="宋体" w:hint="eastAsia"/>
          <w:bCs/>
          <w:szCs w:val="21"/>
        </w:rPr>
        <w:t>了解低频电疗法的分类；</w:t>
      </w:r>
      <w:r>
        <w:rPr>
          <w:rFonts w:ascii="宋体"/>
          <w:bCs/>
          <w:szCs w:val="21"/>
        </w:rPr>
        <w:t> </w:t>
      </w:r>
    </w:p>
    <w:p w:rsidR="003717A0" w:rsidRDefault="003717A0">
      <w:pPr>
        <w:ind w:firstLineChars="392" w:firstLine="823"/>
        <w:rPr>
          <w:rFonts w:ascii="宋体"/>
          <w:bCs/>
          <w:szCs w:val="21"/>
        </w:rPr>
      </w:pPr>
      <w:r>
        <w:rPr>
          <w:rFonts w:ascii="宋体" w:hAnsi="宋体"/>
          <w:bCs/>
          <w:szCs w:val="21"/>
        </w:rPr>
        <w:t>2.</w:t>
      </w:r>
      <w:r>
        <w:rPr>
          <w:rFonts w:ascii="宋体" w:hAnsi="宋体" w:hint="eastAsia"/>
          <w:bCs/>
          <w:szCs w:val="21"/>
        </w:rPr>
        <w:t>低频电疗法的主要治疗作用；</w:t>
      </w:r>
      <w:r>
        <w:rPr>
          <w:rFonts w:ascii="宋体"/>
          <w:bCs/>
          <w:szCs w:val="21"/>
        </w:rPr>
        <w:t> </w:t>
      </w:r>
    </w:p>
    <w:p w:rsidR="003717A0" w:rsidRDefault="003717A0">
      <w:pPr>
        <w:ind w:firstLineChars="392" w:firstLine="823"/>
        <w:rPr>
          <w:rFonts w:ascii="宋体"/>
          <w:bCs/>
          <w:szCs w:val="21"/>
        </w:rPr>
      </w:pPr>
      <w:r>
        <w:rPr>
          <w:rFonts w:ascii="宋体" w:hAnsi="宋体"/>
          <w:bCs/>
          <w:szCs w:val="21"/>
        </w:rPr>
        <w:t>3.</w:t>
      </w:r>
      <w:r>
        <w:rPr>
          <w:rFonts w:ascii="宋体" w:hAnsi="宋体" w:hint="eastAsia"/>
          <w:bCs/>
          <w:szCs w:val="21"/>
        </w:rPr>
        <w:t>低频电疗法的治疗技术、临床应用；</w:t>
      </w:r>
      <w:r>
        <w:rPr>
          <w:rFonts w:ascii="宋体"/>
          <w:bCs/>
          <w:szCs w:val="21"/>
        </w:rPr>
        <w:t> </w:t>
      </w:r>
    </w:p>
    <w:p w:rsidR="003717A0" w:rsidRDefault="003717A0">
      <w:pPr>
        <w:ind w:firstLineChars="392" w:firstLine="823"/>
        <w:rPr>
          <w:rFonts w:ascii="宋体"/>
          <w:bCs/>
          <w:szCs w:val="21"/>
        </w:rPr>
      </w:pPr>
      <w:r>
        <w:rPr>
          <w:rFonts w:ascii="宋体" w:hAnsi="宋体"/>
          <w:bCs/>
          <w:szCs w:val="21"/>
        </w:rPr>
        <w:t>4.</w:t>
      </w:r>
      <w:r>
        <w:rPr>
          <w:rFonts w:ascii="宋体" w:hAnsi="宋体" w:hint="eastAsia"/>
          <w:bCs/>
          <w:szCs w:val="21"/>
        </w:rPr>
        <w:t>掌握低频电疗法的适应症、禁忌症。</w:t>
      </w:r>
    </w:p>
    <w:p w:rsidR="003717A0" w:rsidRDefault="003717A0">
      <w:pPr>
        <w:ind w:leftChars="407" w:left="855" w:firstLineChars="200" w:firstLine="422"/>
        <w:jc w:val="center"/>
        <w:rPr>
          <w:rFonts w:ascii="宋体"/>
          <w:b/>
          <w:bCs/>
          <w:szCs w:val="21"/>
        </w:rPr>
      </w:pPr>
      <w:r>
        <w:rPr>
          <w:rFonts w:ascii="宋体" w:hAnsi="宋体" w:hint="eastAsia"/>
          <w:b/>
          <w:bCs/>
          <w:szCs w:val="21"/>
        </w:rPr>
        <w:t>第四章、中频电疗法</w:t>
      </w:r>
    </w:p>
    <w:p w:rsidR="003717A0" w:rsidRDefault="003717A0">
      <w:pPr>
        <w:tabs>
          <w:tab w:val="left" w:pos="720"/>
        </w:tabs>
        <w:ind w:leftChars="407" w:left="855" w:firstLineChars="200" w:firstLine="420"/>
        <w:rPr>
          <w:rFonts w:ascii="宋体"/>
          <w:bCs/>
          <w:szCs w:val="21"/>
        </w:rPr>
      </w:pPr>
    </w:p>
    <w:p w:rsidR="003717A0" w:rsidRDefault="003717A0">
      <w:pPr>
        <w:spacing w:before="100" w:beforeAutospacing="1" w:after="100" w:afterAutospacing="1"/>
        <w:ind w:left="425"/>
        <w:rPr>
          <w:b/>
        </w:rPr>
      </w:pPr>
      <w:r>
        <w:rPr>
          <w:rFonts w:hint="eastAsia"/>
          <w:b/>
        </w:rPr>
        <w:t>教学内容</w:t>
      </w:r>
    </w:p>
    <w:p w:rsidR="003717A0" w:rsidRDefault="003717A0">
      <w:pPr>
        <w:ind w:firstLineChars="392" w:firstLine="823"/>
        <w:rPr>
          <w:rFonts w:ascii="宋体"/>
          <w:bCs/>
          <w:szCs w:val="21"/>
        </w:rPr>
      </w:pPr>
      <w:r>
        <w:rPr>
          <w:rFonts w:ascii="宋体" w:hAnsi="宋体"/>
          <w:bCs/>
          <w:szCs w:val="21"/>
        </w:rPr>
        <w:t>1. </w:t>
      </w:r>
      <w:r>
        <w:rPr>
          <w:rFonts w:ascii="宋体" w:hAnsi="宋体" w:hint="eastAsia"/>
          <w:bCs/>
          <w:szCs w:val="21"/>
        </w:rPr>
        <w:t>中频电疗法的治疗作用；</w:t>
      </w:r>
      <w:r>
        <w:rPr>
          <w:rFonts w:ascii="宋体"/>
          <w:bCs/>
          <w:szCs w:val="21"/>
        </w:rPr>
        <w:t> </w:t>
      </w:r>
    </w:p>
    <w:p w:rsidR="003717A0" w:rsidRDefault="003717A0">
      <w:pPr>
        <w:ind w:firstLineChars="392" w:firstLine="823"/>
        <w:rPr>
          <w:rFonts w:ascii="宋体"/>
          <w:bCs/>
          <w:szCs w:val="21"/>
        </w:rPr>
      </w:pPr>
      <w:r>
        <w:rPr>
          <w:rFonts w:ascii="宋体" w:hAnsi="宋体"/>
          <w:bCs/>
          <w:szCs w:val="21"/>
        </w:rPr>
        <w:t>2. </w:t>
      </w:r>
      <w:r>
        <w:rPr>
          <w:rFonts w:ascii="宋体" w:hAnsi="宋体" w:hint="eastAsia"/>
          <w:bCs/>
          <w:szCs w:val="21"/>
        </w:rPr>
        <w:t>中频电疗法的治疗方法剂量分级法；</w:t>
      </w:r>
    </w:p>
    <w:p w:rsidR="003717A0" w:rsidRDefault="003717A0">
      <w:pPr>
        <w:ind w:firstLineChars="392" w:firstLine="823"/>
        <w:rPr>
          <w:rFonts w:ascii="宋体"/>
          <w:bCs/>
          <w:szCs w:val="21"/>
        </w:rPr>
      </w:pPr>
      <w:r>
        <w:rPr>
          <w:rFonts w:ascii="宋体" w:hAnsi="宋体"/>
          <w:bCs/>
          <w:szCs w:val="21"/>
        </w:rPr>
        <w:t>3. </w:t>
      </w:r>
      <w:r>
        <w:rPr>
          <w:rFonts w:ascii="宋体" w:hAnsi="宋体" w:hint="eastAsia"/>
          <w:bCs/>
          <w:szCs w:val="21"/>
        </w:rPr>
        <w:t>中频电疗法的治疗技术、临床应用；</w:t>
      </w:r>
    </w:p>
    <w:p w:rsidR="003717A0" w:rsidRDefault="003717A0">
      <w:pPr>
        <w:ind w:firstLineChars="392" w:firstLine="823"/>
        <w:rPr>
          <w:rFonts w:ascii="宋体"/>
          <w:bCs/>
          <w:szCs w:val="21"/>
        </w:rPr>
      </w:pPr>
      <w:r>
        <w:rPr>
          <w:rFonts w:ascii="宋体" w:hAnsi="宋体"/>
          <w:bCs/>
          <w:szCs w:val="21"/>
        </w:rPr>
        <w:t>4. </w:t>
      </w:r>
      <w:r>
        <w:rPr>
          <w:rFonts w:ascii="宋体" w:hAnsi="宋体" w:hint="eastAsia"/>
          <w:bCs/>
          <w:szCs w:val="21"/>
        </w:rPr>
        <w:t>中频电疗法的适应症与禁忌症</w:t>
      </w:r>
      <w:r>
        <w:rPr>
          <w:rFonts w:ascii="宋体"/>
          <w:bCs/>
          <w:szCs w:val="21"/>
        </w:rPr>
        <w:t> </w:t>
      </w:r>
    </w:p>
    <w:p w:rsidR="003717A0" w:rsidRDefault="003717A0">
      <w:pPr>
        <w:ind w:firstLineChars="392" w:firstLine="823"/>
        <w:rPr>
          <w:rFonts w:ascii="宋体"/>
          <w:bCs/>
          <w:szCs w:val="21"/>
        </w:rPr>
      </w:pPr>
      <w:r>
        <w:rPr>
          <w:rFonts w:ascii="宋体" w:hAnsi="宋体"/>
          <w:bCs/>
          <w:szCs w:val="21"/>
        </w:rPr>
        <w:t>5</w:t>
      </w:r>
      <w:r>
        <w:rPr>
          <w:rFonts w:ascii="宋体" w:hAnsi="宋体" w:hint="eastAsia"/>
          <w:bCs/>
          <w:szCs w:val="21"/>
        </w:rPr>
        <w:t>、自学与拓展：低频电疗与低频电疗的区别与联系</w:t>
      </w:r>
    </w:p>
    <w:p w:rsidR="003717A0" w:rsidRDefault="003717A0">
      <w:pPr>
        <w:spacing w:before="100" w:beforeAutospacing="1" w:after="100" w:afterAutospacing="1"/>
        <w:ind w:left="425"/>
        <w:rPr>
          <w:b/>
        </w:rPr>
      </w:pPr>
      <w:r>
        <w:rPr>
          <w:rFonts w:hint="eastAsia"/>
          <w:b/>
        </w:rPr>
        <w:t>实习内容</w:t>
      </w:r>
    </w:p>
    <w:p w:rsidR="003717A0" w:rsidRDefault="003717A0">
      <w:pPr>
        <w:numPr>
          <w:ilvl w:val="0"/>
          <w:numId w:val="339"/>
        </w:numPr>
        <w:rPr>
          <w:rFonts w:ascii="宋体"/>
          <w:bCs/>
          <w:szCs w:val="21"/>
        </w:rPr>
      </w:pPr>
      <w:r>
        <w:rPr>
          <w:rFonts w:ascii="宋体" w:hAnsi="宋体" w:hint="eastAsia"/>
          <w:bCs/>
          <w:szCs w:val="21"/>
        </w:rPr>
        <w:t>常用的中频电疗法的操作技术</w:t>
      </w:r>
    </w:p>
    <w:p w:rsidR="003717A0" w:rsidRDefault="003717A0">
      <w:pPr>
        <w:numPr>
          <w:ilvl w:val="0"/>
          <w:numId w:val="339"/>
        </w:numPr>
        <w:rPr>
          <w:rFonts w:ascii="宋体"/>
          <w:bCs/>
          <w:szCs w:val="21"/>
        </w:rPr>
      </w:pPr>
      <w:r>
        <w:rPr>
          <w:rFonts w:ascii="宋体" w:hAnsi="宋体" w:hint="eastAsia"/>
          <w:bCs/>
          <w:szCs w:val="21"/>
        </w:rPr>
        <w:t>常用中频电疗的仪器与安全防护</w:t>
      </w:r>
    </w:p>
    <w:p w:rsidR="003717A0" w:rsidRDefault="003717A0">
      <w:pPr>
        <w:ind w:firstLineChars="147" w:firstLine="310"/>
        <w:rPr>
          <w:rFonts w:ascii="宋体"/>
          <w:bCs/>
          <w:szCs w:val="21"/>
        </w:rPr>
      </w:pPr>
      <w:r>
        <w:rPr>
          <w:rFonts w:hint="eastAsia"/>
          <w:b/>
        </w:rPr>
        <w:t>目的与要求：</w:t>
      </w:r>
    </w:p>
    <w:p w:rsidR="003717A0" w:rsidRDefault="003717A0">
      <w:pPr>
        <w:ind w:firstLineChars="392" w:firstLine="823"/>
        <w:rPr>
          <w:rFonts w:ascii="宋体"/>
          <w:bCs/>
          <w:szCs w:val="21"/>
        </w:rPr>
      </w:pPr>
      <w:r>
        <w:rPr>
          <w:rFonts w:ascii="宋体" w:hAnsi="宋体"/>
          <w:bCs/>
          <w:szCs w:val="21"/>
        </w:rPr>
        <w:t>1. </w:t>
      </w:r>
      <w:r>
        <w:rPr>
          <w:rFonts w:ascii="宋体" w:hAnsi="宋体" w:hint="eastAsia"/>
          <w:bCs/>
          <w:szCs w:val="21"/>
        </w:rPr>
        <w:t>了解调制中频电疗法输出波形的种类、调幅度的变化、调幅的意义；</w:t>
      </w:r>
      <w:r>
        <w:rPr>
          <w:rFonts w:ascii="宋体"/>
          <w:bCs/>
          <w:szCs w:val="21"/>
        </w:rPr>
        <w:t> </w:t>
      </w:r>
    </w:p>
    <w:p w:rsidR="003717A0" w:rsidRDefault="003717A0">
      <w:pPr>
        <w:ind w:firstLineChars="392" w:firstLine="823"/>
        <w:rPr>
          <w:rFonts w:ascii="宋体"/>
          <w:bCs/>
          <w:szCs w:val="21"/>
        </w:rPr>
      </w:pPr>
      <w:r>
        <w:rPr>
          <w:rFonts w:ascii="宋体" w:hAnsi="宋体"/>
          <w:bCs/>
          <w:szCs w:val="21"/>
        </w:rPr>
        <w:t>2. </w:t>
      </w:r>
      <w:r>
        <w:rPr>
          <w:rFonts w:ascii="宋体" w:hAnsi="宋体" w:hint="eastAsia"/>
          <w:bCs/>
          <w:szCs w:val="21"/>
        </w:rPr>
        <w:t>掌握等幅中频正弦电疗法的治疗作用、临床应用熟悉操作方法；</w:t>
      </w:r>
    </w:p>
    <w:p w:rsidR="003717A0" w:rsidRDefault="003717A0">
      <w:pPr>
        <w:ind w:firstLineChars="392" w:firstLine="823"/>
        <w:rPr>
          <w:rFonts w:ascii="宋体"/>
          <w:bCs/>
          <w:szCs w:val="21"/>
        </w:rPr>
      </w:pPr>
      <w:r>
        <w:rPr>
          <w:rFonts w:ascii="宋体"/>
          <w:bCs/>
          <w:szCs w:val="21"/>
        </w:rPr>
        <w:t> </w:t>
      </w:r>
      <w:r>
        <w:rPr>
          <w:rFonts w:ascii="宋体" w:hAnsi="宋体"/>
          <w:bCs/>
          <w:szCs w:val="21"/>
        </w:rPr>
        <w:t>3. </w:t>
      </w:r>
      <w:r>
        <w:rPr>
          <w:rFonts w:ascii="宋体" w:hAnsi="宋体" w:hint="eastAsia"/>
          <w:bCs/>
          <w:szCs w:val="21"/>
        </w:rPr>
        <w:t>掌握调制中频电疗法的治疗作用、临床应用熟悉操作方法；</w:t>
      </w:r>
      <w:r>
        <w:rPr>
          <w:rFonts w:ascii="宋体"/>
          <w:bCs/>
          <w:szCs w:val="21"/>
        </w:rPr>
        <w:t> </w:t>
      </w:r>
    </w:p>
    <w:p w:rsidR="003717A0" w:rsidRDefault="003717A0">
      <w:pPr>
        <w:spacing w:before="100" w:beforeAutospacing="1" w:after="100" w:afterAutospacing="1"/>
        <w:ind w:leftChars="171" w:left="359" w:firstLineChars="200" w:firstLine="420"/>
        <w:rPr>
          <w:rFonts w:ascii="宋体"/>
          <w:bCs/>
          <w:szCs w:val="21"/>
        </w:rPr>
      </w:pPr>
      <w:r>
        <w:rPr>
          <w:rFonts w:ascii="宋体" w:hAnsi="宋体"/>
          <w:bCs/>
          <w:szCs w:val="21"/>
        </w:rPr>
        <w:t>4. </w:t>
      </w:r>
      <w:r>
        <w:rPr>
          <w:rFonts w:ascii="宋体" w:hAnsi="宋体" w:hint="eastAsia"/>
          <w:bCs/>
          <w:szCs w:val="21"/>
        </w:rPr>
        <w:t>掌握中频电疗法适应症与禁忌症。</w:t>
      </w:r>
    </w:p>
    <w:p w:rsidR="003717A0" w:rsidRDefault="003717A0">
      <w:pPr>
        <w:spacing w:before="100" w:beforeAutospacing="1" w:after="100" w:afterAutospacing="1"/>
        <w:ind w:left="420"/>
        <w:jc w:val="center"/>
        <w:rPr>
          <w:rFonts w:ascii="宋体"/>
          <w:b/>
          <w:bCs/>
          <w:szCs w:val="21"/>
        </w:rPr>
      </w:pPr>
      <w:r>
        <w:rPr>
          <w:rFonts w:ascii="宋体" w:hAnsi="宋体" w:hint="eastAsia"/>
          <w:b/>
          <w:bCs/>
          <w:szCs w:val="21"/>
        </w:rPr>
        <w:t>第五章、高频电疗法</w:t>
      </w:r>
    </w:p>
    <w:p w:rsidR="003717A0" w:rsidRDefault="003717A0">
      <w:pPr>
        <w:spacing w:before="100" w:beforeAutospacing="1" w:after="100" w:afterAutospacing="1"/>
        <w:ind w:left="420"/>
        <w:rPr>
          <w:rFonts w:ascii="宋体"/>
          <w:szCs w:val="21"/>
        </w:rPr>
      </w:pPr>
      <w:r>
        <w:rPr>
          <w:rFonts w:hint="eastAsia"/>
          <w:b/>
        </w:rPr>
        <w:t>教学内容</w:t>
      </w:r>
    </w:p>
    <w:p w:rsidR="003717A0" w:rsidRDefault="003717A0">
      <w:pPr>
        <w:ind w:firstLineChars="392" w:firstLine="823"/>
        <w:rPr>
          <w:rFonts w:ascii="宋体"/>
          <w:bCs/>
          <w:szCs w:val="21"/>
        </w:rPr>
      </w:pPr>
      <w:r>
        <w:rPr>
          <w:rFonts w:ascii="宋体" w:hAnsi="宋体"/>
          <w:bCs/>
          <w:szCs w:val="21"/>
        </w:rPr>
        <w:t>1. </w:t>
      </w:r>
      <w:r>
        <w:rPr>
          <w:rFonts w:ascii="宋体" w:hAnsi="宋体" w:hint="eastAsia"/>
          <w:bCs/>
          <w:szCs w:val="21"/>
        </w:rPr>
        <w:t>高频电疗法概念、分类；</w:t>
      </w:r>
      <w:r>
        <w:rPr>
          <w:rFonts w:ascii="宋体"/>
          <w:bCs/>
          <w:szCs w:val="21"/>
        </w:rPr>
        <w:t> </w:t>
      </w:r>
    </w:p>
    <w:p w:rsidR="003717A0" w:rsidRDefault="003717A0">
      <w:pPr>
        <w:ind w:firstLineChars="392" w:firstLine="823"/>
        <w:rPr>
          <w:rFonts w:ascii="宋体"/>
          <w:bCs/>
          <w:szCs w:val="21"/>
        </w:rPr>
      </w:pPr>
      <w:r>
        <w:rPr>
          <w:rFonts w:ascii="宋体" w:hAnsi="宋体"/>
          <w:bCs/>
          <w:szCs w:val="21"/>
        </w:rPr>
        <w:t>2.</w:t>
      </w:r>
      <w:r>
        <w:rPr>
          <w:rFonts w:ascii="宋体" w:hAnsi="宋体" w:hint="eastAsia"/>
          <w:bCs/>
          <w:szCs w:val="21"/>
        </w:rPr>
        <w:t>高频电对人体的作用、治疗作用；</w:t>
      </w:r>
      <w:r>
        <w:rPr>
          <w:rFonts w:ascii="宋体"/>
          <w:bCs/>
          <w:szCs w:val="21"/>
        </w:rPr>
        <w:t> </w:t>
      </w:r>
    </w:p>
    <w:p w:rsidR="003717A0" w:rsidRDefault="003717A0">
      <w:pPr>
        <w:ind w:firstLineChars="392" w:firstLine="823"/>
        <w:rPr>
          <w:rFonts w:ascii="宋体"/>
          <w:bCs/>
          <w:szCs w:val="21"/>
        </w:rPr>
      </w:pPr>
      <w:r>
        <w:rPr>
          <w:rFonts w:ascii="宋体" w:hAnsi="宋体"/>
          <w:bCs/>
          <w:szCs w:val="21"/>
        </w:rPr>
        <w:t>3.</w:t>
      </w:r>
      <w:r>
        <w:rPr>
          <w:rFonts w:ascii="宋体" w:hAnsi="宋体" w:hint="eastAsia"/>
          <w:bCs/>
          <w:szCs w:val="21"/>
        </w:rPr>
        <w:t>短波疗法的治疗技术、临床应用；</w:t>
      </w:r>
    </w:p>
    <w:p w:rsidR="003717A0" w:rsidRDefault="003717A0">
      <w:pPr>
        <w:ind w:firstLineChars="392" w:firstLine="823"/>
        <w:rPr>
          <w:rFonts w:ascii="宋体"/>
          <w:bCs/>
          <w:szCs w:val="21"/>
        </w:rPr>
      </w:pPr>
      <w:r>
        <w:rPr>
          <w:rFonts w:ascii="宋体" w:hAnsi="宋体"/>
          <w:bCs/>
          <w:szCs w:val="21"/>
        </w:rPr>
        <w:t>4.</w:t>
      </w:r>
      <w:r>
        <w:rPr>
          <w:rFonts w:ascii="宋体" w:hAnsi="宋体" w:hint="eastAsia"/>
          <w:bCs/>
          <w:szCs w:val="21"/>
        </w:rPr>
        <w:t>超短波疗法的治疗技术、临床应用；</w:t>
      </w:r>
      <w:r>
        <w:rPr>
          <w:rFonts w:ascii="宋体"/>
          <w:bCs/>
          <w:szCs w:val="21"/>
        </w:rPr>
        <w:t> </w:t>
      </w:r>
    </w:p>
    <w:p w:rsidR="003717A0" w:rsidRDefault="003717A0">
      <w:pPr>
        <w:ind w:firstLineChars="392" w:firstLine="823"/>
        <w:rPr>
          <w:rFonts w:ascii="宋体"/>
          <w:bCs/>
          <w:szCs w:val="21"/>
        </w:rPr>
      </w:pPr>
      <w:r>
        <w:rPr>
          <w:rFonts w:ascii="宋体" w:hAnsi="宋体"/>
          <w:bCs/>
          <w:szCs w:val="21"/>
        </w:rPr>
        <w:t>5.</w:t>
      </w:r>
      <w:r>
        <w:rPr>
          <w:rFonts w:ascii="宋体" w:hAnsi="宋体" w:hint="eastAsia"/>
          <w:bCs/>
          <w:szCs w:val="21"/>
        </w:rPr>
        <w:t>微波的参数、微波疗法的治疗技术、临床应用；</w:t>
      </w:r>
      <w:r>
        <w:rPr>
          <w:rFonts w:ascii="宋体"/>
          <w:bCs/>
          <w:szCs w:val="21"/>
        </w:rPr>
        <w:t> </w:t>
      </w:r>
    </w:p>
    <w:p w:rsidR="003717A0" w:rsidRDefault="003717A0">
      <w:pPr>
        <w:ind w:firstLineChars="392" w:firstLine="823"/>
        <w:rPr>
          <w:rFonts w:ascii="宋体"/>
          <w:bCs/>
          <w:szCs w:val="21"/>
        </w:rPr>
      </w:pPr>
      <w:r>
        <w:rPr>
          <w:rFonts w:ascii="宋体" w:hAnsi="宋体"/>
          <w:bCs/>
          <w:szCs w:val="21"/>
        </w:rPr>
        <w:t>6.</w:t>
      </w:r>
      <w:r>
        <w:rPr>
          <w:rFonts w:ascii="宋体" w:hAnsi="宋体" w:hint="eastAsia"/>
          <w:bCs/>
          <w:szCs w:val="21"/>
        </w:rPr>
        <w:t>高频电疗的仪器设备和技术安全</w:t>
      </w:r>
    </w:p>
    <w:p w:rsidR="003717A0" w:rsidRDefault="003717A0">
      <w:pPr>
        <w:ind w:firstLineChars="392" w:firstLine="823"/>
        <w:rPr>
          <w:rFonts w:ascii="宋体"/>
          <w:bCs/>
          <w:szCs w:val="21"/>
        </w:rPr>
      </w:pPr>
      <w:r>
        <w:rPr>
          <w:rFonts w:ascii="宋体" w:hAnsi="宋体"/>
          <w:bCs/>
          <w:szCs w:val="21"/>
        </w:rPr>
        <w:t>7.</w:t>
      </w:r>
      <w:r>
        <w:rPr>
          <w:rFonts w:ascii="宋体" w:hAnsi="宋体" w:hint="eastAsia"/>
          <w:bCs/>
          <w:szCs w:val="21"/>
        </w:rPr>
        <w:t>自学与拓展：如何做好高频电疗的安全防护</w:t>
      </w:r>
    </w:p>
    <w:p w:rsidR="003717A0" w:rsidRDefault="003717A0">
      <w:pPr>
        <w:spacing w:before="100" w:beforeAutospacing="1" w:after="100" w:afterAutospacing="1"/>
        <w:ind w:left="420"/>
        <w:rPr>
          <w:b/>
        </w:rPr>
      </w:pPr>
      <w:r>
        <w:rPr>
          <w:rFonts w:hint="eastAsia"/>
          <w:b/>
        </w:rPr>
        <w:t>实习内容</w:t>
      </w:r>
    </w:p>
    <w:p w:rsidR="003717A0" w:rsidRDefault="003717A0">
      <w:pPr>
        <w:ind w:firstLineChars="392" w:firstLine="823"/>
        <w:rPr>
          <w:rFonts w:ascii="宋体"/>
          <w:bCs/>
          <w:szCs w:val="21"/>
        </w:rPr>
      </w:pPr>
      <w:r>
        <w:rPr>
          <w:rFonts w:ascii="宋体" w:hAnsi="宋体"/>
          <w:bCs/>
          <w:szCs w:val="21"/>
        </w:rPr>
        <w:t>1</w:t>
      </w:r>
      <w:r>
        <w:rPr>
          <w:rFonts w:ascii="宋体" w:hAnsi="宋体" w:hint="eastAsia"/>
          <w:bCs/>
          <w:szCs w:val="21"/>
        </w:rPr>
        <w:t>、高频电疗治疗室的防护</w:t>
      </w:r>
    </w:p>
    <w:p w:rsidR="003717A0" w:rsidRDefault="003717A0">
      <w:pPr>
        <w:ind w:firstLineChars="392" w:firstLine="823"/>
        <w:rPr>
          <w:rFonts w:ascii="宋体"/>
          <w:bCs/>
          <w:szCs w:val="21"/>
        </w:rPr>
      </w:pPr>
      <w:r>
        <w:rPr>
          <w:rFonts w:ascii="宋体" w:hAnsi="宋体"/>
          <w:bCs/>
          <w:szCs w:val="21"/>
        </w:rPr>
        <w:lastRenderedPageBreak/>
        <w:t>2</w:t>
      </w:r>
      <w:r>
        <w:rPr>
          <w:rFonts w:ascii="宋体" w:hAnsi="宋体" w:hint="eastAsia"/>
          <w:bCs/>
          <w:szCs w:val="21"/>
        </w:rPr>
        <w:t>、常用高频电疗仪器特点</w:t>
      </w:r>
      <w:r>
        <w:rPr>
          <w:rFonts w:ascii="宋体"/>
          <w:bCs/>
          <w:szCs w:val="21"/>
        </w:rPr>
        <w:t> </w:t>
      </w:r>
    </w:p>
    <w:p w:rsidR="003717A0" w:rsidRDefault="003717A0">
      <w:pPr>
        <w:ind w:firstLineChars="392" w:firstLine="823"/>
        <w:rPr>
          <w:rFonts w:ascii="宋体"/>
          <w:bCs/>
          <w:szCs w:val="21"/>
        </w:rPr>
      </w:pPr>
      <w:r>
        <w:rPr>
          <w:rFonts w:ascii="宋体" w:hAnsi="宋体"/>
          <w:bCs/>
          <w:szCs w:val="21"/>
        </w:rPr>
        <w:t>3</w:t>
      </w:r>
      <w:r>
        <w:rPr>
          <w:rFonts w:ascii="宋体" w:hAnsi="宋体" w:hint="eastAsia"/>
          <w:bCs/>
          <w:szCs w:val="21"/>
        </w:rPr>
        <w:t>、高频电疗的安全防护</w:t>
      </w:r>
    </w:p>
    <w:p w:rsidR="003717A0" w:rsidRDefault="003717A0">
      <w:pPr>
        <w:ind w:firstLineChars="392" w:firstLine="823"/>
        <w:rPr>
          <w:rFonts w:ascii="宋体"/>
          <w:bCs/>
          <w:szCs w:val="21"/>
        </w:rPr>
      </w:pPr>
      <w:r>
        <w:rPr>
          <w:rFonts w:ascii="宋体" w:hAnsi="宋体"/>
          <w:bCs/>
          <w:szCs w:val="21"/>
        </w:rPr>
        <w:t>4</w:t>
      </w:r>
      <w:r>
        <w:rPr>
          <w:rFonts w:ascii="宋体" w:hAnsi="宋体" w:hint="eastAsia"/>
          <w:bCs/>
          <w:szCs w:val="21"/>
        </w:rPr>
        <w:t>、高频电疗的操作技术</w:t>
      </w:r>
    </w:p>
    <w:p w:rsidR="003717A0" w:rsidRDefault="003717A0">
      <w:pPr>
        <w:ind w:firstLineChars="392" w:firstLine="823"/>
        <w:rPr>
          <w:rFonts w:ascii="宋体"/>
          <w:bCs/>
          <w:szCs w:val="21"/>
        </w:rPr>
      </w:pPr>
      <w:r>
        <w:rPr>
          <w:rFonts w:ascii="宋体" w:hAnsi="宋体"/>
          <w:bCs/>
          <w:szCs w:val="21"/>
        </w:rPr>
        <w:t>5</w:t>
      </w:r>
      <w:r>
        <w:rPr>
          <w:rFonts w:ascii="宋体" w:hAnsi="宋体" w:hint="eastAsia"/>
          <w:bCs/>
          <w:szCs w:val="21"/>
        </w:rPr>
        <w:t>、高频电疗的注意事项</w:t>
      </w:r>
    </w:p>
    <w:p w:rsidR="003717A0" w:rsidRDefault="003717A0">
      <w:pPr>
        <w:ind w:firstLineChars="147" w:firstLine="310"/>
        <w:rPr>
          <w:rFonts w:ascii="宋体"/>
          <w:bCs/>
          <w:szCs w:val="21"/>
        </w:rPr>
      </w:pPr>
      <w:r>
        <w:rPr>
          <w:rFonts w:hint="eastAsia"/>
          <w:b/>
        </w:rPr>
        <w:t>目的与要求：</w:t>
      </w:r>
    </w:p>
    <w:p w:rsidR="003717A0" w:rsidRDefault="003717A0">
      <w:pPr>
        <w:ind w:firstLineChars="392" w:firstLine="823"/>
        <w:rPr>
          <w:rFonts w:ascii="宋体"/>
          <w:bCs/>
          <w:szCs w:val="21"/>
        </w:rPr>
      </w:pPr>
      <w:r>
        <w:rPr>
          <w:rFonts w:ascii="宋体" w:hAnsi="宋体"/>
          <w:bCs/>
          <w:szCs w:val="21"/>
        </w:rPr>
        <w:t>1</w:t>
      </w:r>
      <w:r>
        <w:rPr>
          <w:rFonts w:ascii="宋体" w:hAnsi="宋体" w:hint="eastAsia"/>
          <w:bCs/>
          <w:szCs w:val="21"/>
        </w:rPr>
        <w:t>、熟悉高频电疗法的分类熟悉高频电疗法的作用；</w:t>
      </w:r>
      <w:r>
        <w:rPr>
          <w:rFonts w:ascii="宋体"/>
          <w:bCs/>
          <w:szCs w:val="21"/>
        </w:rPr>
        <w:t> </w:t>
      </w:r>
    </w:p>
    <w:p w:rsidR="003717A0" w:rsidRDefault="003717A0">
      <w:pPr>
        <w:ind w:firstLineChars="392" w:firstLine="823"/>
        <w:rPr>
          <w:rFonts w:ascii="宋体"/>
          <w:bCs/>
          <w:szCs w:val="21"/>
        </w:rPr>
      </w:pPr>
      <w:r>
        <w:rPr>
          <w:rFonts w:ascii="宋体" w:hAnsi="宋体"/>
          <w:bCs/>
          <w:szCs w:val="21"/>
        </w:rPr>
        <w:t>2</w:t>
      </w:r>
      <w:r>
        <w:rPr>
          <w:rFonts w:ascii="宋体" w:hAnsi="宋体" w:hint="eastAsia"/>
          <w:bCs/>
          <w:szCs w:val="21"/>
        </w:rPr>
        <w:t>、掌握短波疗法和超短波疗法的治疗方法</w:t>
      </w:r>
      <w:r>
        <w:rPr>
          <w:rFonts w:ascii="宋体" w:hAnsi="宋体"/>
          <w:bCs/>
          <w:szCs w:val="21"/>
        </w:rPr>
        <w:t>Schliephake</w:t>
      </w:r>
      <w:r>
        <w:rPr>
          <w:rFonts w:ascii="宋体" w:hAnsi="宋体" w:hint="eastAsia"/>
          <w:bCs/>
          <w:szCs w:val="21"/>
        </w:rPr>
        <w:t>的四级剂量分级法；</w:t>
      </w:r>
      <w:r>
        <w:rPr>
          <w:rFonts w:ascii="宋体"/>
          <w:bCs/>
          <w:szCs w:val="21"/>
        </w:rPr>
        <w:t> </w:t>
      </w:r>
    </w:p>
    <w:p w:rsidR="003717A0" w:rsidRDefault="003717A0">
      <w:pPr>
        <w:ind w:firstLineChars="392" w:firstLine="823"/>
        <w:rPr>
          <w:rFonts w:ascii="宋体"/>
          <w:bCs/>
          <w:szCs w:val="21"/>
        </w:rPr>
      </w:pPr>
      <w:r>
        <w:rPr>
          <w:rFonts w:ascii="宋体" w:hAnsi="宋体"/>
          <w:bCs/>
          <w:szCs w:val="21"/>
        </w:rPr>
        <w:t>3. </w:t>
      </w:r>
      <w:r>
        <w:rPr>
          <w:rFonts w:ascii="宋体" w:hAnsi="宋体" w:hint="eastAsia"/>
          <w:bCs/>
          <w:szCs w:val="21"/>
        </w:rPr>
        <w:t>掌握短波疗法和超短波疗法临床应用熟悉操作技术；</w:t>
      </w:r>
      <w:r>
        <w:rPr>
          <w:rFonts w:ascii="宋体"/>
          <w:bCs/>
          <w:szCs w:val="21"/>
        </w:rPr>
        <w:t> </w:t>
      </w:r>
    </w:p>
    <w:p w:rsidR="003717A0" w:rsidRDefault="003717A0">
      <w:pPr>
        <w:ind w:firstLineChars="392" w:firstLine="823"/>
        <w:rPr>
          <w:rFonts w:ascii="宋体"/>
          <w:bCs/>
          <w:szCs w:val="21"/>
        </w:rPr>
      </w:pPr>
      <w:r>
        <w:rPr>
          <w:rFonts w:ascii="宋体" w:hAnsi="宋体"/>
          <w:bCs/>
          <w:szCs w:val="21"/>
        </w:rPr>
        <w:t>4. </w:t>
      </w:r>
      <w:r>
        <w:rPr>
          <w:rFonts w:ascii="宋体" w:hAnsi="宋体" w:hint="eastAsia"/>
          <w:bCs/>
          <w:szCs w:val="21"/>
        </w:rPr>
        <w:t>掌握微波疗法的临床应用熟悉操作技术；</w:t>
      </w:r>
      <w:r>
        <w:rPr>
          <w:rFonts w:ascii="宋体"/>
          <w:bCs/>
          <w:szCs w:val="21"/>
        </w:rPr>
        <w:t> </w:t>
      </w:r>
    </w:p>
    <w:p w:rsidR="003717A0" w:rsidRDefault="003717A0">
      <w:pPr>
        <w:ind w:firstLineChars="392" w:firstLine="823"/>
        <w:rPr>
          <w:rFonts w:ascii="宋体"/>
          <w:bCs/>
          <w:szCs w:val="21"/>
        </w:rPr>
      </w:pPr>
      <w:r>
        <w:rPr>
          <w:rFonts w:ascii="宋体" w:hAnsi="宋体"/>
          <w:bCs/>
          <w:szCs w:val="21"/>
        </w:rPr>
        <w:t>5. </w:t>
      </w:r>
      <w:r>
        <w:rPr>
          <w:rFonts w:ascii="宋体" w:hAnsi="宋体" w:hint="eastAsia"/>
          <w:bCs/>
          <w:szCs w:val="21"/>
        </w:rPr>
        <w:t>掌握高频电疗法的适应症、禁忌症。</w:t>
      </w:r>
      <w:r>
        <w:rPr>
          <w:rFonts w:ascii="宋体"/>
          <w:bCs/>
          <w:szCs w:val="21"/>
        </w:rPr>
        <w:t>  </w:t>
      </w:r>
    </w:p>
    <w:p w:rsidR="003717A0" w:rsidRDefault="003717A0">
      <w:pPr>
        <w:spacing w:before="100" w:beforeAutospacing="1" w:after="100" w:afterAutospacing="1"/>
        <w:ind w:left="420"/>
        <w:rPr>
          <w:rFonts w:ascii="宋体"/>
          <w:szCs w:val="21"/>
        </w:rPr>
      </w:pPr>
    </w:p>
    <w:p w:rsidR="003717A0" w:rsidRDefault="003717A0">
      <w:pPr>
        <w:jc w:val="center"/>
        <w:rPr>
          <w:b/>
        </w:rPr>
      </w:pPr>
      <w:r>
        <w:rPr>
          <w:rFonts w:hint="eastAsia"/>
          <w:b/>
        </w:rPr>
        <w:t>第六章、光疗法</w:t>
      </w:r>
    </w:p>
    <w:p w:rsidR="003717A0" w:rsidRDefault="003717A0">
      <w:pPr>
        <w:spacing w:before="100" w:beforeAutospacing="1" w:after="100" w:afterAutospacing="1"/>
        <w:ind w:left="420"/>
        <w:rPr>
          <w:rFonts w:ascii="宋体"/>
          <w:szCs w:val="21"/>
        </w:rPr>
      </w:pPr>
      <w:r>
        <w:rPr>
          <w:rFonts w:hint="eastAsia"/>
          <w:b/>
        </w:rPr>
        <w:t>教学内容</w:t>
      </w:r>
    </w:p>
    <w:p w:rsidR="003717A0" w:rsidRDefault="003717A0">
      <w:pPr>
        <w:ind w:firstLineChars="392" w:firstLine="823"/>
        <w:rPr>
          <w:rFonts w:ascii="宋体"/>
          <w:bCs/>
          <w:szCs w:val="21"/>
        </w:rPr>
      </w:pPr>
      <w:r>
        <w:rPr>
          <w:rFonts w:ascii="宋体" w:hAnsi="宋体"/>
          <w:bCs/>
          <w:szCs w:val="21"/>
        </w:rPr>
        <w:t>1.</w:t>
      </w:r>
      <w:r>
        <w:rPr>
          <w:rFonts w:ascii="宋体" w:hAnsi="宋体" w:hint="eastAsia"/>
          <w:bCs/>
          <w:szCs w:val="21"/>
        </w:rPr>
        <w:t>红外线疗法的定义治疗作用红外线疗法的操作技术、临床应用；</w:t>
      </w:r>
      <w:r>
        <w:rPr>
          <w:rFonts w:ascii="宋体"/>
          <w:bCs/>
          <w:szCs w:val="21"/>
        </w:rPr>
        <w:t> </w:t>
      </w:r>
    </w:p>
    <w:p w:rsidR="003717A0" w:rsidRDefault="003717A0">
      <w:pPr>
        <w:ind w:firstLineChars="392" w:firstLine="823"/>
        <w:rPr>
          <w:rFonts w:ascii="宋体"/>
          <w:bCs/>
          <w:szCs w:val="21"/>
        </w:rPr>
      </w:pPr>
      <w:r>
        <w:rPr>
          <w:rFonts w:ascii="宋体" w:hAnsi="宋体"/>
          <w:bCs/>
          <w:szCs w:val="21"/>
        </w:rPr>
        <w:t>2.</w:t>
      </w:r>
      <w:r>
        <w:rPr>
          <w:rFonts w:ascii="宋体" w:hAnsi="宋体" w:hint="eastAsia"/>
          <w:bCs/>
          <w:szCs w:val="21"/>
        </w:rPr>
        <w:t>紫外线疗法的定义紫外线疗法的治疗作用紫外线疗法的操作技术、临床应用；</w:t>
      </w:r>
      <w:r>
        <w:rPr>
          <w:rFonts w:ascii="宋体"/>
          <w:bCs/>
          <w:szCs w:val="21"/>
        </w:rPr>
        <w:t> </w:t>
      </w:r>
    </w:p>
    <w:p w:rsidR="003717A0" w:rsidRDefault="003717A0">
      <w:pPr>
        <w:ind w:firstLineChars="392" w:firstLine="823"/>
        <w:rPr>
          <w:rFonts w:ascii="宋体"/>
          <w:bCs/>
          <w:szCs w:val="21"/>
        </w:rPr>
      </w:pPr>
      <w:r>
        <w:rPr>
          <w:rFonts w:ascii="宋体" w:hAnsi="宋体"/>
          <w:bCs/>
          <w:szCs w:val="21"/>
        </w:rPr>
        <w:t>3.</w:t>
      </w:r>
      <w:r>
        <w:rPr>
          <w:rFonts w:ascii="宋体" w:hAnsi="宋体" w:hint="eastAsia"/>
          <w:bCs/>
          <w:szCs w:val="21"/>
        </w:rPr>
        <w:t>激光疗法的定义特性主要治疗作用</w:t>
      </w:r>
    </w:p>
    <w:p w:rsidR="003717A0" w:rsidRDefault="003717A0">
      <w:pPr>
        <w:ind w:firstLineChars="392" w:firstLine="823"/>
        <w:rPr>
          <w:rFonts w:ascii="宋体"/>
          <w:bCs/>
          <w:szCs w:val="21"/>
        </w:rPr>
      </w:pPr>
      <w:r>
        <w:rPr>
          <w:rFonts w:ascii="宋体" w:hAnsi="宋体"/>
          <w:bCs/>
          <w:szCs w:val="21"/>
        </w:rPr>
        <w:t>4.</w:t>
      </w:r>
      <w:r>
        <w:rPr>
          <w:rFonts w:ascii="宋体" w:hAnsi="宋体" w:hint="eastAsia"/>
          <w:bCs/>
          <w:szCs w:val="21"/>
        </w:rPr>
        <w:t>自学与拓展：医学其他领域的激光应用</w:t>
      </w:r>
    </w:p>
    <w:p w:rsidR="003717A0" w:rsidRDefault="003717A0">
      <w:pPr>
        <w:rPr>
          <w:b/>
        </w:rPr>
      </w:pPr>
    </w:p>
    <w:p w:rsidR="003717A0" w:rsidRDefault="003717A0">
      <w:pPr>
        <w:rPr>
          <w:rFonts w:ascii="宋体"/>
          <w:bCs/>
          <w:szCs w:val="21"/>
        </w:rPr>
      </w:pPr>
      <w:r>
        <w:rPr>
          <w:rFonts w:hint="eastAsia"/>
          <w:b/>
        </w:rPr>
        <w:t>实习内容</w:t>
      </w:r>
    </w:p>
    <w:p w:rsidR="003717A0" w:rsidRDefault="003717A0">
      <w:pPr>
        <w:ind w:left="435"/>
      </w:pPr>
      <w:r>
        <w:t>1</w:t>
      </w:r>
      <w:r>
        <w:rPr>
          <w:rFonts w:hint="eastAsia"/>
        </w:rPr>
        <w:t>、可见光物理治疗操作技术</w:t>
      </w:r>
    </w:p>
    <w:p w:rsidR="003717A0" w:rsidRDefault="003717A0">
      <w:pPr>
        <w:ind w:left="435"/>
      </w:pPr>
      <w:r>
        <w:t>2</w:t>
      </w:r>
      <w:r>
        <w:rPr>
          <w:rFonts w:hint="eastAsia"/>
        </w:rPr>
        <w:t>、</w:t>
      </w:r>
      <w:r>
        <w:t>TDP</w:t>
      </w:r>
      <w:r>
        <w:rPr>
          <w:rFonts w:hint="eastAsia"/>
        </w:rPr>
        <w:t>及紫外线操作技术</w:t>
      </w:r>
    </w:p>
    <w:p w:rsidR="003717A0" w:rsidRDefault="003717A0">
      <w:pPr>
        <w:ind w:left="435"/>
      </w:pPr>
      <w:r>
        <w:t>3</w:t>
      </w:r>
      <w:r>
        <w:rPr>
          <w:rFonts w:hint="eastAsia"/>
        </w:rPr>
        <w:t>、激光操作技术</w:t>
      </w:r>
    </w:p>
    <w:p w:rsidR="003717A0" w:rsidRDefault="003717A0">
      <w:pPr>
        <w:ind w:left="435"/>
      </w:pPr>
      <w:r>
        <w:t>4</w:t>
      </w:r>
      <w:r>
        <w:rPr>
          <w:rFonts w:hint="eastAsia"/>
        </w:rPr>
        <w:t>、安全防护</w:t>
      </w:r>
    </w:p>
    <w:p w:rsidR="003717A0" w:rsidRDefault="003717A0">
      <w:pPr>
        <w:ind w:firstLineChars="147" w:firstLine="310"/>
        <w:rPr>
          <w:rFonts w:ascii="宋体"/>
          <w:bCs/>
          <w:szCs w:val="21"/>
        </w:rPr>
      </w:pPr>
      <w:r>
        <w:rPr>
          <w:rFonts w:hint="eastAsia"/>
          <w:b/>
        </w:rPr>
        <w:t>目的与要求：</w:t>
      </w:r>
    </w:p>
    <w:p w:rsidR="003717A0" w:rsidRDefault="003717A0">
      <w:pPr>
        <w:ind w:left="435"/>
      </w:pPr>
      <w:r>
        <w:t>1</w:t>
      </w:r>
      <w:r>
        <w:rPr>
          <w:rFonts w:hint="eastAsia"/>
        </w:rPr>
        <w:t>、熟悉可见光疗法治疗作用、临床应用；</w:t>
      </w:r>
      <w:r>
        <w:t> </w:t>
      </w:r>
    </w:p>
    <w:p w:rsidR="003717A0" w:rsidRDefault="003717A0">
      <w:pPr>
        <w:ind w:left="435"/>
      </w:pPr>
      <w:r>
        <w:t>2.</w:t>
      </w:r>
      <w:r>
        <w:rPr>
          <w:rFonts w:hint="eastAsia"/>
        </w:rPr>
        <w:t>掌握红外线疗法的治疗作用、临床应用；</w:t>
      </w:r>
      <w:r>
        <w:t> </w:t>
      </w:r>
    </w:p>
    <w:p w:rsidR="003717A0" w:rsidRDefault="003717A0">
      <w:pPr>
        <w:ind w:left="435"/>
      </w:pPr>
      <w:r>
        <w:t>3.</w:t>
      </w:r>
      <w:r>
        <w:rPr>
          <w:rFonts w:hint="eastAsia"/>
        </w:rPr>
        <w:t>掌握紫外线疗法的治疗作用、临床应用；</w:t>
      </w:r>
      <w:r>
        <w:t> </w:t>
      </w:r>
    </w:p>
    <w:p w:rsidR="003717A0" w:rsidRDefault="003717A0">
      <w:pPr>
        <w:ind w:left="435"/>
      </w:pPr>
    </w:p>
    <w:p w:rsidR="003717A0" w:rsidRDefault="003717A0">
      <w:pPr>
        <w:ind w:left="435"/>
      </w:pPr>
    </w:p>
    <w:p w:rsidR="003717A0" w:rsidRDefault="003717A0">
      <w:pPr>
        <w:ind w:left="435"/>
        <w:jc w:val="center"/>
        <w:rPr>
          <w:b/>
        </w:rPr>
      </w:pPr>
      <w:r>
        <w:rPr>
          <w:rFonts w:hint="eastAsia"/>
          <w:b/>
        </w:rPr>
        <w:t>第七章、超声波疗法</w:t>
      </w:r>
    </w:p>
    <w:p w:rsidR="003717A0" w:rsidRDefault="003717A0">
      <w:pPr>
        <w:spacing w:before="100" w:beforeAutospacing="1" w:after="100" w:afterAutospacing="1"/>
        <w:ind w:left="420"/>
        <w:rPr>
          <w:rFonts w:ascii="宋体"/>
          <w:szCs w:val="21"/>
        </w:rPr>
      </w:pPr>
      <w:r>
        <w:rPr>
          <w:rFonts w:hint="eastAsia"/>
          <w:b/>
        </w:rPr>
        <w:t>教学内容</w:t>
      </w:r>
    </w:p>
    <w:p w:rsidR="003717A0" w:rsidRDefault="003717A0">
      <w:pPr>
        <w:ind w:left="435"/>
      </w:pPr>
      <w:r>
        <w:t>1.</w:t>
      </w:r>
      <w:r>
        <w:rPr>
          <w:rFonts w:hint="eastAsia"/>
        </w:rPr>
        <w:t>超声波的治疗原理、生物物理效应；</w:t>
      </w:r>
    </w:p>
    <w:p w:rsidR="003717A0" w:rsidRDefault="003717A0">
      <w:pPr>
        <w:ind w:left="435"/>
      </w:pPr>
      <w:r>
        <w:t> 2. </w:t>
      </w:r>
      <w:r>
        <w:rPr>
          <w:rFonts w:hint="eastAsia"/>
        </w:rPr>
        <w:t>超声波的临床应用；</w:t>
      </w:r>
      <w:r>
        <w:t> </w:t>
      </w:r>
    </w:p>
    <w:p w:rsidR="003717A0" w:rsidRDefault="003717A0">
      <w:pPr>
        <w:ind w:left="435"/>
      </w:pPr>
      <w:r>
        <w:t>3. </w:t>
      </w:r>
      <w:r>
        <w:rPr>
          <w:rFonts w:hint="eastAsia"/>
        </w:rPr>
        <w:t>超声波治疗技术；</w:t>
      </w:r>
      <w:r>
        <w:t> </w:t>
      </w:r>
    </w:p>
    <w:p w:rsidR="003717A0" w:rsidRDefault="003717A0">
      <w:pPr>
        <w:ind w:left="435"/>
      </w:pPr>
      <w:r>
        <w:t>4. </w:t>
      </w:r>
      <w:r>
        <w:rPr>
          <w:rFonts w:hint="eastAsia"/>
        </w:rPr>
        <w:t>超声波复合疗法：</w:t>
      </w:r>
      <w:r>
        <w:t> </w:t>
      </w:r>
      <w:r>
        <w:rPr>
          <w:rFonts w:hint="eastAsia"/>
        </w:rPr>
        <w:t>超声电疗、</w:t>
      </w:r>
      <w:r>
        <w:t> </w:t>
      </w:r>
      <w:r>
        <w:rPr>
          <w:rFonts w:hint="eastAsia"/>
        </w:rPr>
        <w:t>超声药透、</w:t>
      </w:r>
      <w:r>
        <w:t> </w:t>
      </w:r>
      <w:r>
        <w:rPr>
          <w:rFonts w:hint="eastAsia"/>
        </w:rPr>
        <w:t>超声雾化</w:t>
      </w:r>
      <w:r>
        <w:t> </w:t>
      </w:r>
    </w:p>
    <w:p w:rsidR="003717A0" w:rsidRDefault="003717A0">
      <w:pPr>
        <w:ind w:left="435"/>
      </w:pPr>
      <w:r>
        <w:t>5</w:t>
      </w:r>
      <w:r>
        <w:rPr>
          <w:rFonts w:hint="eastAsia"/>
        </w:rPr>
        <w:t>、自学与拓展：超声波的空化作用</w:t>
      </w:r>
    </w:p>
    <w:p w:rsidR="003717A0" w:rsidRDefault="003717A0">
      <w:pPr>
        <w:spacing w:before="100" w:beforeAutospacing="1" w:after="100" w:afterAutospacing="1"/>
        <w:ind w:left="420"/>
        <w:rPr>
          <w:b/>
        </w:rPr>
      </w:pPr>
      <w:r>
        <w:rPr>
          <w:rFonts w:hint="eastAsia"/>
          <w:b/>
        </w:rPr>
        <w:t>实习内容</w:t>
      </w:r>
    </w:p>
    <w:p w:rsidR="003717A0" w:rsidRDefault="003717A0">
      <w:pPr>
        <w:numPr>
          <w:ilvl w:val="0"/>
          <w:numId w:val="340"/>
        </w:numPr>
        <w:spacing w:before="100" w:beforeAutospacing="1" w:after="100" w:afterAutospacing="1"/>
      </w:pPr>
      <w:r>
        <w:rPr>
          <w:rFonts w:hint="eastAsia"/>
        </w:rPr>
        <w:lastRenderedPageBreak/>
        <w:t>超声波治疗操作技术</w:t>
      </w:r>
    </w:p>
    <w:p w:rsidR="003717A0" w:rsidRDefault="003717A0">
      <w:pPr>
        <w:numPr>
          <w:ilvl w:val="0"/>
          <w:numId w:val="340"/>
        </w:numPr>
        <w:spacing w:before="100" w:beforeAutospacing="1" w:after="100" w:afterAutospacing="1"/>
      </w:pPr>
      <w:r>
        <w:rPr>
          <w:rFonts w:hint="eastAsia"/>
        </w:rPr>
        <w:t>超声波治疗的注意事项</w:t>
      </w:r>
    </w:p>
    <w:p w:rsidR="003717A0" w:rsidRDefault="003717A0">
      <w:pPr>
        <w:numPr>
          <w:ilvl w:val="0"/>
          <w:numId w:val="340"/>
        </w:numPr>
        <w:spacing w:before="100" w:beforeAutospacing="1" w:after="100" w:afterAutospacing="1"/>
      </w:pPr>
      <w:r>
        <w:rPr>
          <w:rFonts w:hint="eastAsia"/>
        </w:rPr>
        <w:t>超声波治疗的安全防护</w:t>
      </w:r>
    </w:p>
    <w:p w:rsidR="003717A0" w:rsidRDefault="003717A0">
      <w:pPr>
        <w:ind w:firstLineChars="147" w:firstLine="310"/>
        <w:rPr>
          <w:rFonts w:ascii="宋体"/>
          <w:bCs/>
          <w:szCs w:val="21"/>
        </w:rPr>
      </w:pPr>
      <w:r>
        <w:rPr>
          <w:rFonts w:hint="eastAsia"/>
          <w:b/>
        </w:rPr>
        <w:t>目的与要求：</w:t>
      </w:r>
    </w:p>
    <w:p w:rsidR="003717A0" w:rsidRDefault="003717A0">
      <w:pPr>
        <w:ind w:left="435"/>
      </w:pPr>
      <w:r>
        <w:t> 1</w:t>
      </w:r>
      <w:r>
        <w:rPr>
          <w:rFonts w:hint="eastAsia"/>
        </w:rPr>
        <w:t>、掌握超声波的定义、传播；</w:t>
      </w:r>
      <w:r>
        <w:t> </w:t>
      </w:r>
    </w:p>
    <w:p w:rsidR="003717A0" w:rsidRDefault="003717A0">
      <w:pPr>
        <w:ind w:left="435"/>
      </w:pPr>
      <w:r>
        <w:t>2</w:t>
      </w:r>
      <w:r>
        <w:rPr>
          <w:rFonts w:hint="eastAsia"/>
        </w:rPr>
        <w:t>、掌握超声电疗法、超声透药治疗的定义；</w:t>
      </w:r>
      <w:r>
        <w:t> </w:t>
      </w:r>
    </w:p>
    <w:p w:rsidR="003717A0" w:rsidRDefault="003717A0">
      <w:pPr>
        <w:ind w:left="435"/>
      </w:pPr>
      <w:r>
        <w:t>3</w:t>
      </w:r>
      <w:r>
        <w:rPr>
          <w:rFonts w:hint="eastAsia"/>
        </w:rPr>
        <w:t>、</w:t>
      </w:r>
      <w:r>
        <w:t>. </w:t>
      </w:r>
      <w:r>
        <w:rPr>
          <w:rFonts w:hint="eastAsia"/>
        </w:rPr>
        <w:t>熟悉超声波的临床应用；</w:t>
      </w:r>
    </w:p>
    <w:p w:rsidR="003717A0" w:rsidRDefault="003717A0">
      <w:pPr>
        <w:ind w:left="435"/>
      </w:pPr>
      <w:r>
        <w:t>4</w:t>
      </w:r>
      <w:r>
        <w:rPr>
          <w:rFonts w:hint="eastAsia"/>
        </w:rPr>
        <w:t>、</w:t>
      </w:r>
      <w:r>
        <w:t> </w:t>
      </w:r>
      <w:r>
        <w:rPr>
          <w:rFonts w:hint="eastAsia"/>
        </w:rPr>
        <w:t>熟悉超声波治疗原理；</w:t>
      </w:r>
      <w:r>
        <w:t> </w:t>
      </w:r>
    </w:p>
    <w:p w:rsidR="003717A0" w:rsidRDefault="003717A0">
      <w:pPr>
        <w:ind w:left="435"/>
      </w:pPr>
      <w:r>
        <w:t>5</w:t>
      </w:r>
      <w:r>
        <w:rPr>
          <w:rFonts w:hint="eastAsia"/>
        </w:rPr>
        <w:t>、</w:t>
      </w:r>
      <w:r>
        <w:t> </w:t>
      </w:r>
      <w:r>
        <w:rPr>
          <w:rFonts w:hint="eastAsia"/>
        </w:rPr>
        <w:t>熟悉超声波治疗技术。</w:t>
      </w:r>
    </w:p>
    <w:p w:rsidR="003717A0" w:rsidRDefault="003717A0">
      <w:pPr>
        <w:ind w:left="435"/>
      </w:pPr>
    </w:p>
    <w:p w:rsidR="003717A0" w:rsidRDefault="003717A0">
      <w:pPr>
        <w:ind w:left="435"/>
        <w:jc w:val="center"/>
        <w:rPr>
          <w:b/>
        </w:rPr>
      </w:pPr>
      <w:r>
        <w:rPr>
          <w:rFonts w:hint="eastAsia"/>
          <w:b/>
        </w:rPr>
        <w:t>第八章、传导热疗法</w:t>
      </w:r>
    </w:p>
    <w:p w:rsidR="003717A0" w:rsidRDefault="003717A0">
      <w:pPr>
        <w:ind w:left="360"/>
        <w:rPr>
          <w:b/>
        </w:rPr>
      </w:pPr>
      <w:r>
        <w:rPr>
          <w:rFonts w:hint="eastAsia"/>
          <w:b/>
        </w:rPr>
        <w:t>教学内容</w:t>
      </w:r>
    </w:p>
    <w:p w:rsidR="003717A0" w:rsidRDefault="003717A0"/>
    <w:p w:rsidR="003717A0" w:rsidRDefault="003717A0">
      <w:pPr>
        <w:numPr>
          <w:ilvl w:val="0"/>
          <w:numId w:val="341"/>
        </w:numPr>
      </w:pPr>
      <w:r>
        <w:rPr>
          <w:rFonts w:hint="eastAsia"/>
        </w:rPr>
        <w:t>传导热疗法的定义</w:t>
      </w:r>
    </w:p>
    <w:p w:rsidR="003717A0" w:rsidRDefault="003717A0">
      <w:pPr>
        <w:numPr>
          <w:ilvl w:val="0"/>
          <w:numId w:val="341"/>
        </w:numPr>
      </w:pPr>
      <w:r>
        <w:rPr>
          <w:rFonts w:hint="eastAsia"/>
        </w:rPr>
        <w:t>蜡疗的治疗作用、操作技术；</w:t>
      </w:r>
      <w:r>
        <w:t> </w:t>
      </w:r>
    </w:p>
    <w:p w:rsidR="003717A0" w:rsidRDefault="003717A0">
      <w:pPr>
        <w:numPr>
          <w:ilvl w:val="0"/>
          <w:numId w:val="341"/>
        </w:numPr>
      </w:pPr>
      <w:r>
        <w:t> </w:t>
      </w:r>
      <w:r>
        <w:rPr>
          <w:rFonts w:hint="eastAsia"/>
        </w:rPr>
        <w:t>蒸汽疗法、温热疗法</w:t>
      </w:r>
    </w:p>
    <w:p w:rsidR="003717A0" w:rsidRDefault="003717A0">
      <w:pPr>
        <w:numPr>
          <w:ilvl w:val="0"/>
          <w:numId w:val="341"/>
        </w:numPr>
      </w:pPr>
      <w:r>
        <w:rPr>
          <w:rFonts w:hint="eastAsia"/>
        </w:rPr>
        <w:t>自学与拓展：国内外传导热的应用</w:t>
      </w:r>
    </w:p>
    <w:p w:rsidR="003717A0" w:rsidRDefault="003717A0">
      <w:pPr>
        <w:ind w:left="360"/>
        <w:rPr>
          <w:b/>
        </w:rPr>
      </w:pPr>
      <w:r>
        <w:rPr>
          <w:rFonts w:hint="eastAsia"/>
          <w:b/>
        </w:rPr>
        <w:t>实习内容</w:t>
      </w:r>
    </w:p>
    <w:p w:rsidR="003717A0" w:rsidRDefault="003717A0">
      <w:pPr>
        <w:numPr>
          <w:ilvl w:val="1"/>
          <w:numId w:val="341"/>
        </w:numPr>
      </w:pPr>
      <w:r>
        <w:rPr>
          <w:rFonts w:hint="eastAsia"/>
        </w:rPr>
        <w:t>蜡饼的制作</w:t>
      </w:r>
    </w:p>
    <w:p w:rsidR="003717A0" w:rsidRDefault="003717A0">
      <w:pPr>
        <w:numPr>
          <w:ilvl w:val="1"/>
          <w:numId w:val="341"/>
        </w:numPr>
      </w:pPr>
      <w:r>
        <w:rPr>
          <w:rFonts w:hint="eastAsia"/>
        </w:rPr>
        <w:t>蜡疗的操作技术</w:t>
      </w:r>
    </w:p>
    <w:p w:rsidR="003717A0" w:rsidRDefault="003717A0">
      <w:pPr>
        <w:numPr>
          <w:ilvl w:val="1"/>
          <w:numId w:val="341"/>
        </w:numPr>
      </w:pPr>
      <w:r>
        <w:rPr>
          <w:rFonts w:hint="eastAsia"/>
        </w:rPr>
        <w:t>安全防护</w:t>
      </w:r>
    </w:p>
    <w:p w:rsidR="003717A0" w:rsidRDefault="003717A0">
      <w:pPr>
        <w:ind w:left="360"/>
        <w:rPr>
          <w:b/>
        </w:rPr>
      </w:pPr>
      <w:r>
        <w:rPr>
          <w:rFonts w:hint="eastAsia"/>
          <w:b/>
        </w:rPr>
        <w:t>目的与要求</w:t>
      </w:r>
    </w:p>
    <w:p w:rsidR="003717A0" w:rsidRDefault="003717A0">
      <w:pPr>
        <w:ind w:left="360"/>
      </w:pPr>
      <w:r>
        <w:t>1. </w:t>
      </w:r>
      <w:r>
        <w:rPr>
          <w:rFonts w:hint="eastAsia"/>
        </w:rPr>
        <w:t>掌握传导热疗法的定义；</w:t>
      </w:r>
      <w:r>
        <w:t> </w:t>
      </w:r>
    </w:p>
    <w:p w:rsidR="003717A0" w:rsidRDefault="003717A0">
      <w:pPr>
        <w:ind w:left="360"/>
      </w:pPr>
      <w:r>
        <w:t>2. </w:t>
      </w:r>
      <w:r>
        <w:rPr>
          <w:rFonts w:hint="eastAsia"/>
        </w:rPr>
        <w:t>掌握石蜡疗法的治疗作用、操作技术；</w:t>
      </w:r>
      <w:r>
        <w:t> </w:t>
      </w:r>
    </w:p>
    <w:p w:rsidR="003717A0" w:rsidRDefault="003717A0">
      <w:pPr>
        <w:ind w:left="360"/>
      </w:pPr>
      <w:r>
        <w:t>3. </w:t>
      </w:r>
      <w:r>
        <w:rPr>
          <w:rFonts w:hint="eastAsia"/>
        </w:rPr>
        <w:t>了解温热敷疗法、蒸汽疗法治疗作用。</w:t>
      </w:r>
      <w:r>
        <w:t> </w:t>
      </w:r>
    </w:p>
    <w:p w:rsidR="003717A0" w:rsidRDefault="003717A0">
      <w:pPr>
        <w:ind w:left="360"/>
      </w:pPr>
    </w:p>
    <w:p w:rsidR="003717A0" w:rsidRDefault="003717A0">
      <w:pPr>
        <w:ind w:left="435"/>
      </w:pPr>
    </w:p>
    <w:p w:rsidR="003717A0" w:rsidRDefault="003717A0">
      <w:pPr>
        <w:ind w:left="435"/>
        <w:jc w:val="center"/>
        <w:rPr>
          <w:b/>
        </w:rPr>
      </w:pPr>
      <w:r>
        <w:rPr>
          <w:rFonts w:hint="eastAsia"/>
          <w:b/>
        </w:rPr>
        <w:t>第九章、压力治疗</w:t>
      </w:r>
    </w:p>
    <w:p w:rsidR="003717A0" w:rsidRDefault="003717A0">
      <w:pPr>
        <w:ind w:left="360"/>
        <w:rPr>
          <w:b/>
        </w:rPr>
      </w:pPr>
      <w:r>
        <w:rPr>
          <w:rFonts w:hint="eastAsia"/>
          <w:b/>
        </w:rPr>
        <w:t>教学内容</w:t>
      </w:r>
    </w:p>
    <w:p w:rsidR="003717A0" w:rsidRDefault="003717A0">
      <w:pPr>
        <w:tabs>
          <w:tab w:val="left" w:pos="720"/>
        </w:tabs>
        <w:ind w:left="435"/>
      </w:pPr>
      <w:r>
        <w:t>1</w:t>
      </w:r>
      <w:r>
        <w:rPr>
          <w:rFonts w:hint="eastAsia"/>
        </w:rPr>
        <w:t>、压力治疗的定义</w:t>
      </w:r>
    </w:p>
    <w:p w:rsidR="003717A0" w:rsidRDefault="003717A0">
      <w:pPr>
        <w:tabs>
          <w:tab w:val="left" w:pos="720"/>
        </w:tabs>
        <w:ind w:left="435"/>
      </w:pPr>
      <w:r>
        <w:t>2</w:t>
      </w:r>
      <w:r>
        <w:rPr>
          <w:rFonts w:hint="eastAsia"/>
        </w:rPr>
        <w:t>、正压疗法</w:t>
      </w:r>
    </w:p>
    <w:p w:rsidR="003717A0" w:rsidRDefault="003717A0">
      <w:pPr>
        <w:tabs>
          <w:tab w:val="left" w:pos="720"/>
        </w:tabs>
        <w:ind w:left="435"/>
      </w:pPr>
      <w:r>
        <w:t>3</w:t>
      </w:r>
      <w:r>
        <w:rPr>
          <w:rFonts w:hint="eastAsia"/>
        </w:rPr>
        <w:t>、负压疗法</w:t>
      </w:r>
    </w:p>
    <w:p w:rsidR="003717A0" w:rsidRDefault="003717A0">
      <w:pPr>
        <w:tabs>
          <w:tab w:val="left" w:pos="720"/>
        </w:tabs>
        <w:ind w:left="435"/>
      </w:pPr>
      <w:r>
        <w:t>4</w:t>
      </w:r>
      <w:r>
        <w:rPr>
          <w:rFonts w:hint="eastAsia"/>
        </w:rPr>
        <w:t>、正负压疗法</w:t>
      </w:r>
    </w:p>
    <w:p w:rsidR="003717A0" w:rsidRDefault="003717A0">
      <w:pPr>
        <w:tabs>
          <w:tab w:val="left" w:pos="720"/>
        </w:tabs>
        <w:ind w:left="435"/>
      </w:pPr>
      <w:r>
        <w:t>5</w:t>
      </w:r>
      <w:r>
        <w:rPr>
          <w:rFonts w:hint="eastAsia"/>
        </w:rPr>
        <w:t>、自学与拓展：压力衣的制作</w:t>
      </w:r>
    </w:p>
    <w:p w:rsidR="003717A0" w:rsidRDefault="003717A0">
      <w:pPr>
        <w:rPr>
          <w:b/>
        </w:rPr>
      </w:pPr>
    </w:p>
    <w:p w:rsidR="003717A0" w:rsidRDefault="003717A0">
      <w:pPr>
        <w:ind w:left="360"/>
        <w:rPr>
          <w:b/>
        </w:rPr>
      </w:pPr>
      <w:r>
        <w:rPr>
          <w:rFonts w:hint="eastAsia"/>
          <w:b/>
        </w:rPr>
        <w:t>实习内容</w:t>
      </w:r>
    </w:p>
    <w:p w:rsidR="003717A0" w:rsidRDefault="003717A0">
      <w:pPr>
        <w:tabs>
          <w:tab w:val="left" w:pos="720"/>
        </w:tabs>
        <w:ind w:left="435"/>
      </w:pPr>
      <w:r>
        <w:t>1</w:t>
      </w:r>
      <w:r>
        <w:rPr>
          <w:rFonts w:hint="eastAsia"/>
        </w:rPr>
        <w:t>、正压疗法操作</w:t>
      </w:r>
    </w:p>
    <w:p w:rsidR="003717A0" w:rsidRDefault="003717A0">
      <w:pPr>
        <w:tabs>
          <w:tab w:val="left" w:pos="720"/>
        </w:tabs>
        <w:ind w:left="435"/>
      </w:pPr>
      <w:r>
        <w:t>2</w:t>
      </w:r>
      <w:r>
        <w:rPr>
          <w:rFonts w:hint="eastAsia"/>
        </w:rPr>
        <w:t>、负压疗法操作</w:t>
      </w:r>
    </w:p>
    <w:p w:rsidR="003717A0" w:rsidRDefault="003717A0">
      <w:pPr>
        <w:ind w:left="360"/>
        <w:rPr>
          <w:b/>
        </w:rPr>
      </w:pPr>
      <w:r>
        <w:t>3</w:t>
      </w:r>
      <w:r>
        <w:rPr>
          <w:rFonts w:hint="eastAsia"/>
        </w:rPr>
        <w:t>、正负压疗法操作</w:t>
      </w:r>
    </w:p>
    <w:p w:rsidR="003717A0" w:rsidRDefault="003717A0">
      <w:pPr>
        <w:ind w:left="360"/>
        <w:rPr>
          <w:b/>
        </w:rPr>
      </w:pPr>
      <w:r>
        <w:rPr>
          <w:rFonts w:hint="eastAsia"/>
          <w:b/>
        </w:rPr>
        <w:t>目的与要求</w:t>
      </w:r>
    </w:p>
    <w:p w:rsidR="003717A0" w:rsidRDefault="003717A0">
      <w:pPr>
        <w:ind w:left="435"/>
      </w:pPr>
      <w:r>
        <w:t>1</w:t>
      </w:r>
      <w:r>
        <w:rPr>
          <w:rFonts w:hint="eastAsia"/>
        </w:rPr>
        <w:t>、掌握压力的定义，</w:t>
      </w:r>
    </w:p>
    <w:p w:rsidR="003717A0" w:rsidRDefault="003717A0">
      <w:pPr>
        <w:ind w:left="435"/>
      </w:pPr>
      <w:r>
        <w:t>2</w:t>
      </w:r>
      <w:r>
        <w:rPr>
          <w:rFonts w:hint="eastAsia"/>
        </w:rPr>
        <w:t>、掌握正压顺序循环疗法的操作方法及治疗作用</w:t>
      </w:r>
      <w:r>
        <w:t>3</w:t>
      </w:r>
    </w:p>
    <w:p w:rsidR="003717A0" w:rsidRDefault="003717A0">
      <w:pPr>
        <w:ind w:left="435"/>
      </w:pPr>
      <w:r>
        <w:t>3</w:t>
      </w:r>
      <w:r>
        <w:rPr>
          <w:rFonts w:hint="eastAsia"/>
        </w:rPr>
        <w:t>、熟悉正压疗法的注意事项及临床应用，</w:t>
      </w:r>
    </w:p>
    <w:p w:rsidR="003717A0" w:rsidRDefault="003717A0" w:rsidP="00F5156D">
      <w:pPr>
        <w:ind w:left="435"/>
      </w:pPr>
      <w:r>
        <w:t>4</w:t>
      </w:r>
      <w:r>
        <w:rPr>
          <w:rFonts w:hint="eastAsia"/>
        </w:rPr>
        <w:t>、了解正负压疗法的操作方法及注意事项。</w:t>
      </w:r>
    </w:p>
    <w:p w:rsidR="003717A0" w:rsidRDefault="003717A0">
      <w:pPr>
        <w:ind w:left="435"/>
        <w:jc w:val="center"/>
        <w:rPr>
          <w:b/>
        </w:rPr>
      </w:pPr>
      <w:r>
        <w:rPr>
          <w:rFonts w:hint="eastAsia"/>
          <w:b/>
        </w:rPr>
        <w:lastRenderedPageBreak/>
        <w:t>第十章、磁疗法</w:t>
      </w:r>
    </w:p>
    <w:p w:rsidR="003717A0" w:rsidRDefault="003717A0">
      <w:pPr>
        <w:ind w:left="360"/>
        <w:rPr>
          <w:b/>
        </w:rPr>
      </w:pPr>
      <w:r>
        <w:rPr>
          <w:rFonts w:hint="eastAsia"/>
          <w:b/>
        </w:rPr>
        <w:t>教学内容</w:t>
      </w:r>
    </w:p>
    <w:p w:rsidR="003717A0" w:rsidRDefault="003717A0">
      <w:pPr>
        <w:ind w:left="435"/>
      </w:pPr>
      <w:r>
        <w:t>1</w:t>
      </w:r>
      <w:r>
        <w:rPr>
          <w:rFonts w:hint="eastAsia"/>
        </w:rPr>
        <w:t>、磁疗的定义</w:t>
      </w:r>
    </w:p>
    <w:p w:rsidR="003717A0" w:rsidRDefault="003717A0">
      <w:pPr>
        <w:ind w:left="435"/>
      </w:pPr>
      <w:r>
        <w:t>2</w:t>
      </w:r>
      <w:r>
        <w:rPr>
          <w:rFonts w:hint="eastAsia"/>
        </w:rPr>
        <w:t>、磁的基本知识；</w:t>
      </w:r>
      <w:r>
        <w:t> 3</w:t>
      </w:r>
    </w:p>
    <w:p w:rsidR="003717A0" w:rsidRDefault="003717A0">
      <w:pPr>
        <w:ind w:left="435"/>
      </w:pPr>
      <w:r>
        <w:t>3</w:t>
      </w:r>
      <w:r>
        <w:rPr>
          <w:rFonts w:hint="eastAsia"/>
        </w:rPr>
        <w:t>、</w:t>
      </w:r>
      <w:r>
        <w:t> </w:t>
      </w:r>
      <w:r>
        <w:rPr>
          <w:rFonts w:hint="eastAsia"/>
        </w:rPr>
        <w:t>磁场的生理作用和治疗作用；</w:t>
      </w:r>
      <w:r>
        <w:t> </w:t>
      </w:r>
    </w:p>
    <w:p w:rsidR="003717A0" w:rsidRDefault="003717A0">
      <w:pPr>
        <w:ind w:left="435"/>
      </w:pPr>
      <w:r>
        <w:t>4</w:t>
      </w:r>
      <w:r>
        <w:rPr>
          <w:rFonts w:hint="eastAsia"/>
        </w:rPr>
        <w:t>、磁场疗法的治疗技术；</w:t>
      </w:r>
    </w:p>
    <w:p w:rsidR="003717A0" w:rsidRDefault="003717A0">
      <w:pPr>
        <w:ind w:left="435"/>
      </w:pPr>
      <w:r>
        <w:t>5</w:t>
      </w:r>
      <w:r>
        <w:rPr>
          <w:rFonts w:hint="eastAsia"/>
        </w:rPr>
        <w:t>、</w:t>
      </w:r>
      <w:r>
        <w:t> </w:t>
      </w:r>
      <w:r>
        <w:rPr>
          <w:rFonts w:hint="eastAsia"/>
        </w:rPr>
        <w:t>磁场疗法的临床作用。</w:t>
      </w:r>
    </w:p>
    <w:p w:rsidR="003717A0" w:rsidRDefault="003717A0">
      <w:pPr>
        <w:ind w:left="435"/>
      </w:pPr>
      <w:r>
        <w:t>6</w:t>
      </w:r>
      <w:r>
        <w:rPr>
          <w:rFonts w:hint="eastAsia"/>
        </w:rPr>
        <w:t>、自学与拓展：身边常见磁疗产品有哪些</w:t>
      </w:r>
    </w:p>
    <w:p w:rsidR="003717A0" w:rsidRDefault="003717A0">
      <w:pPr>
        <w:ind w:left="360"/>
        <w:rPr>
          <w:b/>
        </w:rPr>
      </w:pPr>
      <w:r>
        <w:rPr>
          <w:rFonts w:hint="eastAsia"/>
          <w:b/>
        </w:rPr>
        <w:t>实习内容</w:t>
      </w:r>
    </w:p>
    <w:p w:rsidR="003717A0" w:rsidRDefault="003717A0">
      <w:pPr>
        <w:numPr>
          <w:ilvl w:val="0"/>
          <w:numId w:val="342"/>
        </w:numPr>
      </w:pPr>
      <w:r>
        <w:rPr>
          <w:rFonts w:hint="eastAsia"/>
        </w:rPr>
        <w:t>认识磁疗的仪器</w:t>
      </w:r>
    </w:p>
    <w:p w:rsidR="003717A0" w:rsidRDefault="003717A0">
      <w:pPr>
        <w:numPr>
          <w:ilvl w:val="0"/>
          <w:numId w:val="342"/>
        </w:numPr>
      </w:pPr>
      <w:r>
        <w:rPr>
          <w:rFonts w:hint="eastAsia"/>
        </w:rPr>
        <w:t>磁疗的操作技术</w:t>
      </w:r>
    </w:p>
    <w:p w:rsidR="003717A0" w:rsidRDefault="003717A0">
      <w:pPr>
        <w:numPr>
          <w:ilvl w:val="0"/>
          <w:numId w:val="342"/>
        </w:numPr>
      </w:pPr>
      <w:r>
        <w:rPr>
          <w:rFonts w:hint="eastAsia"/>
        </w:rPr>
        <w:t>安全防护</w:t>
      </w:r>
    </w:p>
    <w:p w:rsidR="003717A0" w:rsidRDefault="003717A0">
      <w:pPr>
        <w:ind w:left="360"/>
        <w:rPr>
          <w:b/>
        </w:rPr>
      </w:pPr>
      <w:r>
        <w:rPr>
          <w:rFonts w:hint="eastAsia"/>
          <w:b/>
        </w:rPr>
        <w:t>目的与要求</w:t>
      </w:r>
    </w:p>
    <w:p w:rsidR="003717A0" w:rsidRDefault="003717A0">
      <w:pPr>
        <w:ind w:left="435"/>
      </w:pPr>
    </w:p>
    <w:p w:rsidR="003717A0" w:rsidRDefault="003717A0">
      <w:pPr>
        <w:ind w:left="435"/>
      </w:pPr>
      <w:r>
        <w:t>1</w:t>
      </w:r>
      <w:r>
        <w:rPr>
          <w:rFonts w:hint="eastAsia"/>
        </w:rPr>
        <w:t>、掌握磁场疗法的临床应用、定义、治疗作用；</w:t>
      </w:r>
      <w:r>
        <w:t> </w:t>
      </w:r>
    </w:p>
    <w:p w:rsidR="003717A0" w:rsidRDefault="003717A0">
      <w:pPr>
        <w:ind w:left="435"/>
      </w:pPr>
      <w:r>
        <w:t>2. </w:t>
      </w:r>
      <w:r>
        <w:rPr>
          <w:rFonts w:hint="eastAsia"/>
        </w:rPr>
        <w:t>熟悉磁的基本知识；</w:t>
      </w:r>
      <w:r>
        <w:t> </w:t>
      </w:r>
    </w:p>
    <w:p w:rsidR="003717A0" w:rsidRDefault="003717A0">
      <w:pPr>
        <w:ind w:left="435"/>
      </w:pPr>
      <w:r>
        <w:t>3.  </w:t>
      </w:r>
      <w:r>
        <w:rPr>
          <w:rFonts w:hint="eastAsia"/>
        </w:rPr>
        <w:t>熟悉磁场的生理作用与治疗作用；</w:t>
      </w:r>
      <w:r>
        <w:t> </w:t>
      </w:r>
    </w:p>
    <w:p w:rsidR="003717A0" w:rsidRDefault="003717A0">
      <w:pPr>
        <w:ind w:left="435"/>
      </w:pPr>
      <w:r>
        <w:t>4.  </w:t>
      </w:r>
      <w:r>
        <w:rPr>
          <w:rFonts w:hint="eastAsia"/>
        </w:rPr>
        <w:t>熟悉磁场的治疗技术</w:t>
      </w:r>
      <w:r>
        <w:t> </w:t>
      </w:r>
      <w:r>
        <w:rPr>
          <w:rFonts w:hint="eastAsia"/>
        </w:rPr>
        <w:t>内容：</w:t>
      </w:r>
      <w:r>
        <w:t> </w:t>
      </w:r>
    </w:p>
    <w:p w:rsidR="003717A0" w:rsidRDefault="003717A0">
      <w:pPr>
        <w:ind w:left="435"/>
      </w:pPr>
      <w:r>
        <w:t> </w:t>
      </w:r>
    </w:p>
    <w:p w:rsidR="003717A0" w:rsidRDefault="003717A0">
      <w:pPr>
        <w:ind w:left="435"/>
        <w:jc w:val="center"/>
        <w:rPr>
          <w:b/>
        </w:rPr>
      </w:pPr>
      <w:r>
        <w:rPr>
          <w:rFonts w:hint="eastAsia"/>
          <w:b/>
        </w:rPr>
        <w:t>第十一章、水疗法</w:t>
      </w:r>
    </w:p>
    <w:p w:rsidR="003717A0" w:rsidRDefault="003717A0">
      <w:pPr>
        <w:ind w:left="360"/>
        <w:rPr>
          <w:b/>
        </w:rPr>
      </w:pPr>
      <w:r>
        <w:rPr>
          <w:rFonts w:hint="eastAsia"/>
          <w:b/>
        </w:rPr>
        <w:t>教学内容</w:t>
      </w:r>
    </w:p>
    <w:p w:rsidR="003717A0" w:rsidRDefault="003717A0">
      <w:pPr>
        <w:numPr>
          <w:ilvl w:val="0"/>
          <w:numId w:val="343"/>
        </w:numPr>
      </w:pPr>
      <w:r>
        <w:rPr>
          <w:rFonts w:hint="eastAsia"/>
        </w:rPr>
        <w:t>水疗的定义及概述</w:t>
      </w:r>
    </w:p>
    <w:p w:rsidR="003717A0" w:rsidRDefault="003717A0">
      <w:pPr>
        <w:numPr>
          <w:ilvl w:val="0"/>
          <w:numId w:val="343"/>
        </w:numPr>
      </w:pPr>
      <w:r>
        <w:rPr>
          <w:rFonts w:hint="eastAsia"/>
        </w:rPr>
        <w:t>水疗的分类与设施</w:t>
      </w:r>
    </w:p>
    <w:p w:rsidR="003717A0" w:rsidRDefault="003717A0">
      <w:pPr>
        <w:numPr>
          <w:ilvl w:val="0"/>
          <w:numId w:val="343"/>
        </w:numPr>
      </w:pPr>
      <w:r>
        <w:rPr>
          <w:rFonts w:hint="eastAsia"/>
        </w:rPr>
        <w:t>水疗的操作技术</w:t>
      </w:r>
    </w:p>
    <w:p w:rsidR="003717A0" w:rsidRDefault="003717A0">
      <w:pPr>
        <w:numPr>
          <w:ilvl w:val="0"/>
          <w:numId w:val="343"/>
        </w:numPr>
      </w:pPr>
      <w:r>
        <w:rPr>
          <w:rFonts w:hint="eastAsia"/>
        </w:rPr>
        <w:t>水疗临床应用</w:t>
      </w:r>
    </w:p>
    <w:p w:rsidR="003717A0" w:rsidRDefault="003717A0">
      <w:pPr>
        <w:numPr>
          <w:ilvl w:val="0"/>
          <w:numId w:val="343"/>
        </w:numPr>
      </w:pPr>
      <w:r>
        <w:rPr>
          <w:rFonts w:hint="eastAsia"/>
        </w:rPr>
        <w:t>自学与拓展：水疗在肌肉骨骼系统康复中的应用</w:t>
      </w:r>
    </w:p>
    <w:p w:rsidR="003717A0" w:rsidRDefault="003717A0">
      <w:pPr>
        <w:rPr>
          <w:b/>
        </w:rPr>
      </w:pPr>
    </w:p>
    <w:p w:rsidR="003717A0" w:rsidRDefault="003717A0">
      <w:pPr>
        <w:ind w:left="360"/>
        <w:rPr>
          <w:b/>
        </w:rPr>
      </w:pPr>
      <w:r>
        <w:rPr>
          <w:rFonts w:hint="eastAsia"/>
          <w:b/>
        </w:rPr>
        <w:t>实习内容</w:t>
      </w:r>
    </w:p>
    <w:p w:rsidR="003717A0" w:rsidRDefault="003717A0">
      <w:pPr>
        <w:numPr>
          <w:ilvl w:val="0"/>
          <w:numId w:val="344"/>
        </w:numPr>
      </w:pPr>
      <w:r>
        <w:rPr>
          <w:rFonts w:hint="eastAsia"/>
        </w:rPr>
        <w:t>水疗设施</w:t>
      </w:r>
    </w:p>
    <w:p w:rsidR="003717A0" w:rsidRDefault="003717A0">
      <w:pPr>
        <w:numPr>
          <w:ilvl w:val="0"/>
          <w:numId w:val="344"/>
        </w:numPr>
      </w:pPr>
      <w:r>
        <w:rPr>
          <w:rFonts w:hint="eastAsia"/>
        </w:rPr>
        <w:t>水疗操作技术</w:t>
      </w:r>
    </w:p>
    <w:p w:rsidR="003717A0" w:rsidRDefault="003717A0">
      <w:pPr>
        <w:numPr>
          <w:ilvl w:val="0"/>
          <w:numId w:val="344"/>
        </w:numPr>
      </w:pPr>
      <w:r>
        <w:rPr>
          <w:rFonts w:hint="eastAsia"/>
        </w:rPr>
        <w:t>水疗的防护措施</w:t>
      </w:r>
    </w:p>
    <w:p w:rsidR="003717A0" w:rsidRDefault="003717A0">
      <w:pPr>
        <w:ind w:left="360"/>
        <w:rPr>
          <w:b/>
        </w:rPr>
      </w:pPr>
      <w:r>
        <w:rPr>
          <w:rFonts w:hint="eastAsia"/>
          <w:b/>
        </w:rPr>
        <w:t>目的与要求</w:t>
      </w:r>
    </w:p>
    <w:p w:rsidR="003717A0" w:rsidRDefault="003717A0">
      <w:pPr>
        <w:ind w:left="435" w:firstLineChars="200" w:firstLine="420"/>
      </w:pPr>
    </w:p>
    <w:p w:rsidR="003717A0" w:rsidRDefault="003717A0">
      <w:pPr>
        <w:ind w:leftChars="171" w:left="359"/>
      </w:pPr>
      <w:r>
        <w:t>1</w:t>
      </w:r>
      <w:r>
        <w:rPr>
          <w:rFonts w:hint="eastAsia"/>
        </w:rPr>
        <w:t>、掌握水疗作用原理及水疗的理论基础；</w:t>
      </w:r>
    </w:p>
    <w:p w:rsidR="003717A0" w:rsidRDefault="003717A0">
      <w:pPr>
        <w:ind w:leftChars="171" w:left="359"/>
      </w:pPr>
      <w:r>
        <w:t>2</w:t>
      </w:r>
      <w:r>
        <w:rPr>
          <w:rFonts w:hint="eastAsia"/>
        </w:rPr>
        <w:t>、熟悉水疗法的分类、水疗技术和方法、水疗在康复中应用；</w:t>
      </w:r>
    </w:p>
    <w:p w:rsidR="003717A0" w:rsidRDefault="003717A0">
      <w:pPr>
        <w:ind w:leftChars="171" w:left="359"/>
      </w:pPr>
      <w:r>
        <w:t>3</w:t>
      </w:r>
      <w:r>
        <w:rPr>
          <w:rFonts w:hint="eastAsia"/>
        </w:rPr>
        <w:t>、了解水疗室建筑与设备。</w:t>
      </w:r>
    </w:p>
    <w:p w:rsidR="003717A0" w:rsidRDefault="003717A0">
      <w:pPr>
        <w:ind w:left="435"/>
      </w:pPr>
    </w:p>
    <w:p w:rsidR="003717A0" w:rsidRDefault="003717A0">
      <w:pPr>
        <w:ind w:left="435"/>
        <w:jc w:val="center"/>
        <w:rPr>
          <w:b/>
        </w:rPr>
      </w:pPr>
      <w:r>
        <w:rPr>
          <w:rFonts w:hint="eastAsia"/>
          <w:b/>
        </w:rPr>
        <w:t>第十二章、冷疗法与冷冻疗法</w:t>
      </w:r>
    </w:p>
    <w:p w:rsidR="003717A0" w:rsidRDefault="003717A0">
      <w:pPr>
        <w:ind w:left="360"/>
        <w:rPr>
          <w:b/>
        </w:rPr>
      </w:pPr>
      <w:r>
        <w:rPr>
          <w:rFonts w:hint="eastAsia"/>
          <w:b/>
        </w:rPr>
        <w:t>教学内容</w:t>
      </w:r>
    </w:p>
    <w:p w:rsidR="003717A0" w:rsidRDefault="003717A0">
      <w:pPr>
        <w:tabs>
          <w:tab w:val="left" w:pos="720"/>
        </w:tabs>
        <w:ind w:left="435"/>
      </w:pPr>
      <w:r>
        <w:t>1</w:t>
      </w:r>
      <w:r>
        <w:rPr>
          <w:rFonts w:hint="eastAsia"/>
        </w:rPr>
        <w:t>、冷疗及冷冻疗法定义</w:t>
      </w:r>
    </w:p>
    <w:p w:rsidR="003717A0" w:rsidRDefault="003717A0">
      <w:pPr>
        <w:tabs>
          <w:tab w:val="left" w:pos="720"/>
        </w:tabs>
        <w:ind w:left="435"/>
      </w:pPr>
      <w:r>
        <w:t>2</w:t>
      </w:r>
      <w:r>
        <w:rPr>
          <w:rFonts w:hint="eastAsia"/>
        </w:rPr>
        <w:t>、冷疗及冷冻疗法原来及操作技术</w:t>
      </w:r>
    </w:p>
    <w:p w:rsidR="003717A0" w:rsidRDefault="003717A0">
      <w:pPr>
        <w:ind w:left="360"/>
      </w:pPr>
      <w:r>
        <w:t>3</w:t>
      </w:r>
      <w:r>
        <w:rPr>
          <w:rFonts w:hint="eastAsia"/>
        </w:rPr>
        <w:t>、自学与拓展：冷冻疗法在皮肤科的应用</w:t>
      </w:r>
    </w:p>
    <w:p w:rsidR="003717A0" w:rsidRDefault="003717A0">
      <w:pPr>
        <w:ind w:left="360"/>
        <w:rPr>
          <w:b/>
        </w:rPr>
      </w:pPr>
    </w:p>
    <w:p w:rsidR="003717A0" w:rsidRDefault="003717A0">
      <w:pPr>
        <w:ind w:left="360"/>
        <w:rPr>
          <w:b/>
        </w:rPr>
      </w:pPr>
      <w:r>
        <w:rPr>
          <w:rFonts w:hint="eastAsia"/>
          <w:b/>
        </w:rPr>
        <w:t>实习内容</w:t>
      </w:r>
    </w:p>
    <w:p w:rsidR="003717A0" w:rsidRDefault="003717A0">
      <w:pPr>
        <w:numPr>
          <w:ilvl w:val="0"/>
          <w:numId w:val="345"/>
        </w:numPr>
      </w:pPr>
      <w:r>
        <w:rPr>
          <w:rFonts w:hint="eastAsia"/>
        </w:rPr>
        <w:lastRenderedPageBreak/>
        <w:t>常用冷冻疗法举例</w:t>
      </w:r>
    </w:p>
    <w:p w:rsidR="003717A0" w:rsidRDefault="003717A0">
      <w:pPr>
        <w:numPr>
          <w:ilvl w:val="0"/>
          <w:numId w:val="345"/>
        </w:numPr>
      </w:pPr>
      <w:r>
        <w:rPr>
          <w:rFonts w:hint="eastAsia"/>
        </w:rPr>
        <w:t>常用冷冻疗法操作技术</w:t>
      </w:r>
    </w:p>
    <w:p w:rsidR="003717A0" w:rsidRDefault="003717A0">
      <w:pPr>
        <w:numPr>
          <w:ilvl w:val="0"/>
          <w:numId w:val="345"/>
        </w:numPr>
      </w:pPr>
      <w:r>
        <w:rPr>
          <w:rFonts w:hint="eastAsia"/>
        </w:rPr>
        <w:t>注意事项</w:t>
      </w:r>
    </w:p>
    <w:p w:rsidR="003717A0" w:rsidRDefault="003717A0">
      <w:pPr>
        <w:ind w:left="360"/>
        <w:rPr>
          <w:b/>
        </w:rPr>
      </w:pPr>
    </w:p>
    <w:p w:rsidR="003717A0" w:rsidRDefault="003717A0">
      <w:pPr>
        <w:ind w:left="360"/>
        <w:rPr>
          <w:b/>
        </w:rPr>
      </w:pPr>
      <w:r>
        <w:rPr>
          <w:rFonts w:hint="eastAsia"/>
          <w:b/>
        </w:rPr>
        <w:t>目的与要求</w:t>
      </w:r>
    </w:p>
    <w:p w:rsidR="003717A0" w:rsidRDefault="003717A0">
      <w:pPr>
        <w:ind w:leftChars="171" w:left="359"/>
      </w:pPr>
      <w:r>
        <w:t>1</w:t>
      </w:r>
      <w:r>
        <w:rPr>
          <w:rFonts w:hint="eastAsia"/>
        </w:rPr>
        <w:t>、掌握冷疗法、冷冻疗法等定义，</w:t>
      </w:r>
    </w:p>
    <w:p w:rsidR="003717A0" w:rsidRDefault="003717A0">
      <w:pPr>
        <w:ind w:leftChars="171" w:left="359"/>
      </w:pPr>
      <w:r>
        <w:t>2</w:t>
      </w:r>
      <w:r>
        <w:rPr>
          <w:rFonts w:hint="eastAsia"/>
        </w:rPr>
        <w:t>、熟悉冷疗法的注意事项、冷过敏反应及相应的处理办法、冷疗法临床应用，</w:t>
      </w:r>
    </w:p>
    <w:p w:rsidR="003717A0" w:rsidRDefault="003717A0">
      <w:pPr>
        <w:ind w:leftChars="171" w:left="359"/>
      </w:pPr>
      <w:r>
        <w:t>3</w:t>
      </w:r>
      <w:r>
        <w:rPr>
          <w:rFonts w:hint="eastAsia"/>
        </w:rPr>
        <w:t>、熟悉冷冻疗法的注意事项；</w:t>
      </w:r>
    </w:p>
    <w:p w:rsidR="003717A0" w:rsidRDefault="003717A0">
      <w:pPr>
        <w:ind w:leftChars="171" w:left="359"/>
      </w:pPr>
      <w:r>
        <w:t>4</w:t>
      </w:r>
      <w:r>
        <w:rPr>
          <w:rFonts w:hint="eastAsia"/>
        </w:rPr>
        <w:t>、了解冷冻疗法的并发症及处理。</w:t>
      </w:r>
    </w:p>
    <w:p w:rsidR="003717A0" w:rsidRDefault="003717A0">
      <w:pPr>
        <w:ind w:left="435"/>
      </w:pPr>
    </w:p>
    <w:p w:rsidR="003717A0" w:rsidRDefault="003717A0">
      <w:pPr>
        <w:ind w:left="435"/>
        <w:jc w:val="center"/>
        <w:rPr>
          <w:b/>
        </w:rPr>
      </w:pPr>
      <w:r>
        <w:rPr>
          <w:rFonts w:hint="eastAsia"/>
          <w:b/>
        </w:rPr>
        <w:t>第十三章、生物反馈疗法</w:t>
      </w:r>
    </w:p>
    <w:p w:rsidR="003717A0" w:rsidRDefault="003717A0">
      <w:pPr>
        <w:ind w:left="360"/>
        <w:rPr>
          <w:b/>
        </w:rPr>
      </w:pPr>
      <w:r>
        <w:rPr>
          <w:rFonts w:hint="eastAsia"/>
          <w:b/>
        </w:rPr>
        <w:t>教学内容</w:t>
      </w:r>
    </w:p>
    <w:p w:rsidR="003717A0" w:rsidRDefault="003717A0">
      <w:pPr>
        <w:tabs>
          <w:tab w:val="left" w:pos="720"/>
        </w:tabs>
        <w:ind w:left="435"/>
      </w:pPr>
      <w:r>
        <w:t>1</w:t>
      </w:r>
      <w:r>
        <w:rPr>
          <w:rFonts w:hint="eastAsia"/>
        </w:rPr>
        <w:t>、生物反馈疗法的定义及概述</w:t>
      </w:r>
    </w:p>
    <w:p w:rsidR="003717A0" w:rsidRDefault="003717A0">
      <w:pPr>
        <w:tabs>
          <w:tab w:val="left" w:pos="720"/>
        </w:tabs>
        <w:ind w:left="435"/>
      </w:pPr>
      <w:r>
        <w:t>2</w:t>
      </w:r>
      <w:r>
        <w:rPr>
          <w:rFonts w:hint="eastAsia"/>
        </w:rPr>
        <w:t>、生物反馈疗法技术和方法</w:t>
      </w:r>
    </w:p>
    <w:p w:rsidR="003717A0" w:rsidRDefault="003717A0">
      <w:pPr>
        <w:tabs>
          <w:tab w:val="left" w:pos="720"/>
        </w:tabs>
        <w:ind w:left="435"/>
      </w:pPr>
      <w:r>
        <w:t>3</w:t>
      </w:r>
      <w:r>
        <w:rPr>
          <w:rFonts w:hint="eastAsia"/>
        </w:rPr>
        <w:t>、生物反馈疗法的应用</w:t>
      </w:r>
    </w:p>
    <w:p w:rsidR="003717A0" w:rsidRDefault="003717A0">
      <w:pPr>
        <w:tabs>
          <w:tab w:val="left" w:pos="720"/>
        </w:tabs>
        <w:ind w:left="435"/>
      </w:pPr>
      <w:r>
        <w:t>4</w:t>
      </w:r>
      <w:r>
        <w:rPr>
          <w:rFonts w:hint="eastAsia"/>
        </w:rPr>
        <w:t>、肌电生物反馈疗在康复临床中的应用</w:t>
      </w:r>
    </w:p>
    <w:p w:rsidR="003717A0" w:rsidRDefault="003717A0">
      <w:pPr>
        <w:ind w:left="360"/>
        <w:rPr>
          <w:b/>
        </w:rPr>
      </w:pPr>
      <w:r>
        <w:t>5</w:t>
      </w:r>
      <w:r>
        <w:rPr>
          <w:rFonts w:hint="eastAsia"/>
        </w:rPr>
        <w:t>、自学与拓展：生物反馈疗法的应用领域</w:t>
      </w:r>
    </w:p>
    <w:p w:rsidR="003717A0" w:rsidRDefault="003717A0">
      <w:pPr>
        <w:ind w:left="360"/>
        <w:rPr>
          <w:b/>
        </w:rPr>
      </w:pPr>
    </w:p>
    <w:p w:rsidR="003717A0" w:rsidRDefault="003717A0">
      <w:pPr>
        <w:ind w:left="360"/>
        <w:rPr>
          <w:b/>
        </w:rPr>
      </w:pPr>
      <w:r>
        <w:rPr>
          <w:rFonts w:hint="eastAsia"/>
          <w:b/>
        </w:rPr>
        <w:t>实习内容</w:t>
      </w:r>
    </w:p>
    <w:p w:rsidR="003717A0" w:rsidRDefault="003717A0">
      <w:pPr>
        <w:numPr>
          <w:ilvl w:val="0"/>
          <w:numId w:val="346"/>
        </w:numPr>
      </w:pPr>
      <w:r>
        <w:rPr>
          <w:rFonts w:hint="eastAsia"/>
        </w:rPr>
        <w:t>认识常用的生物反馈仪器</w:t>
      </w:r>
    </w:p>
    <w:p w:rsidR="003717A0" w:rsidRDefault="003717A0">
      <w:pPr>
        <w:numPr>
          <w:ilvl w:val="0"/>
          <w:numId w:val="346"/>
        </w:numPr>
      </w:pPr>
      <w:r>
        <w:rPr>
          <w:rFonts w:hint="eastAsia"/>
        </w:rPr>
        <w:t>肌电生物反馈操作技术</w:t>
      </w:r>
    </w:p>
    <w:p w:rsidR="003717A0" w:rsidRDefault="003717A0">
      <w:pPr>
        <w:numPr>
          <w:ilvl w:val="0"/>
          <w:numId w:val="346"/>
        </w:numPr>
      </w:pPr>
      <w:r>
        <w:rPr>
          <w:rFonts w:hint="eastAsia"/>
        </w:rPr>
        <w:t>注意事项</w:t>
      </w:r>
    </w:p>
    <w:p w:rsidR="003717A0" w:rsidRDefault="003717A0">
      <w:pPr>
        <w:ind w:left="360"/>
        <w:rPr>
          <w:b/>
        </w:rPr>
      </w:pPr>
      <w:r>
        <w:rPr>
          <w:rFonts w:hint="eastAsia"/>
          <w:b/>
        </w:rPr>
        <w:t>目的与要求</w:t>
      </w:r>
    </w:p>
    <w:p w:rsidR="003717A0" w:rsidRDefault="003717A0">
      <w:pPr>
        <w:ind w:firstLineChars="200" w:firstLine="420"/>
      </w:pPr>
      <w:r>
        <w:t>1</w:t>
      </w:r>
      <w:r>
        <w:rPr>
          <w:rFonts w:hint="eastAsia"/>
        </w:rPr>
        <w:t>、掌握生物反馈疗法的定义、生物反馈疗法的原理、生物反馈疗法的分类；</w:t>
      </w:r>
    </w:p>
    <w:p w:rsidR="003717A0" w:rsidRDefault="003717A0">
      <w:pPr>
        <w:ind w:firstLineChars="200" w:firstLine="420"/>
      </w:pPr>
      <w:r>
        <w:t>2</w:t>
      </w:r>
      <w:r>
        <w:rPr>
          <w:rFonts w:hint="eastAsia"/>
        </w:rPr>
        <w:t>、熟悉生物反馈疗治疗仪的技术参数、生物反馈治疗的适应症；</w:t>
      </w:r>
    </w:p>
    <w:p w:rsidR="003717A0" w:rsidRDefault="003717A0">
      <w:pPr>
        <w:ind w:firstLineChars="200" w:firstLine="420"/>
      </w:pPr>
      <w:r>
        <w:t>3</w:t>
      </w:r>
      <w:r>
        <w:rPr>
          <w:rFonts w:hint="eastAsia"/>
        </w:rPr>
        <w:t>、了解肌电生物反馈疗在康复临床中的应用。</w:t>
      </w:r>
    </w:p>
    <w:p w:rsidR="003717A0" w:rsidRDefault="003717A0">
      <w:pPr>
        <w:ind w:leftChars="171" w:left="359" w:firstLineChars="150" w:firstLine="315"/>
      </w:pPr>
    </w:p>
    <w:p w:rsidR="003717A0" w:rsidRDefault="003717A0">
      <w:pPr>
        <w:ind w:left="435"/>
        <w:jc w:val="center"/>
        <w:rPr>
          <w:b/>
        </w:rPr>
      </w:pPr>
      <w:r>
        <w:rPr>
          <w:rFonts w:hint="eastAsia"/>
          <w:b/>
        </w:rPr>
        <w:t>第十四章、冲击波疗法</w:t>
      </w:r>
    </w:p>
    <w:p w:rsidR="003717A0" w:rsidRDefault="003717A0">
      <w:pPr>
        <w:ind w:left="360"/>
        <w:rPr>
          <w:b/>
        </w:rPr>
      </w:pPr>
      <w:r>
        <w:rPr>
          <w:rFonts w:hint="eastAsia"/>
          <w:b/>
        </w:rPr>
        <w:t>教学内容</w:t>
      </w:r>
    </w:p>
    <w:p w:rsidR="003717A0" w:rsidRDefault="003717A0">
      <w:pPr>
        <w:numPr>
          <w:ilvl w:val="0"/>
          <w:numId w:val="347"/>
        </w:numPr>
      </w:pPr>
      <w:r>
        <w:rPr>
          <w:rFonts w:hint="eastAsia"/>
        </w:rPr>
        <w:t>冲击波疗法的定义</w:t>
      </w:r>
    </w:p>
    <w:p w:rsidR="003717A0" w:rsidRDefault="003717A0">
      <w:pPr>
        <w:numPr>
          <w:ilvl w:val="0"/>
          <w:numId w:val="347"/>
        </w:numPr>
      </w:pPr>
      <w:r>
        <w:rPr>
          <w:rFonts w:hint="eastAsia"/>
        </w:rPr>
        <w:t>冲击波疗法的物理学作用及生物学效应</w:t>
      </w:r>
    </w:p>
    <w:p w:rsidR="003717A0" w:rsidRDefault="003717A0">
      <w:pPr>
        <w:ind w:firstLineChars="200" w:firstLine="420"/>
      </w:pPr>
      <w:r>
        <w:t>3</w:t>
      </w:r>
      <w:r>
        <w:rPr>
          <w:rFonts w:hint="eastAsia"/>
        </w:rPr>
        <w:t>、冲击波的临床应用</w:t>
      </w:r>
    </w:p>
    <w:p w:rsidR="003717A0" w:rsidRDefault="003717A0">
      <w:pPr>
        <w:ind w:left="360"/>
      </w:pPr>
      <w:r>
        <w:t>4</w:t>
      </w:r>
      <w:r>
        <w:rPr>
          <w:rFonts w:hint="eastAsia"/>
        </w:rPr>
        <w:t>、自学与拓展：冲击波疗法的国内外发展形势</w:t>
      </w:r>
    </w:p>
    <w:p w:rsidR="003717A0" w:rsidRDefault="003717A0">
      <w:pPr>
        <w:ind w:left="360"/>
        <w:rPr>
          <w:b/>
        </w:rPr>
      </w:pPr>
    </w:p>
    <w:p w:rsidR="003717A0" w:rsidRDefault="003717A0">
      <w:pPr>
        <w:ind w:left="360"/>
        <w:rPr>
          <w:b/>
        </w:rPr>
      </w:pPr>
      <w:r>
        <w:rPr>
          <w:rFonts w:hint="eastAsia"/>
          <w:b/>
        </w:rPr>
        <w:t>实习内容</w:t>
      </w:r>
    </w:p>
    <w:p w:rsidR="003717A0" w:rsidRDefault="003717A0">
      <w:pPr>
        <w:numPr>
          <w:ilvl w:val="0"/>
          <w:numId w:val="348"/>
        </w:numPr>
      </w:pPr>
      <w:r>
        <w:rPr>
          <w:rFonts w:hint="eastAsia"/>
        </w:rPr>
        <w:t>认识冲击波治疗仪</w:t>
      </w:r>
    </w:p>
    <w:p w:rsidR="003717A0" w:rsidRDefault="003717A0">
      <w:pPr>
        <w:numPr>
          <w:ilvl w:val="0"/>
          <w:numId w:val="348"/>
        </w:numPr>
      </w:pPr>
      <w:r>
        <w:rPr>
          <w:rFonts w:hint="eastAsia"/>
        </w:rPr>
        <w:t>冲击波治疗的操作技术</w:t>
      </w:r>
    </w:p>
    <w:p w:rsidR="003717A0" w:rsidRDefault="003717A0">
      <w:pPr>
        <w:numPr>
          <w:ilvl w:val="0"/>
          <w:numId w:val="348"/>
        </w:numPr>
      </w:pPr>
      <w:r>
        <w:rPr>
          <w:rFonts w:hint="eastAsia"/>
        </w:rPr>
        <w:t>冲击波治疗的注意事项</w:t>
      </w:r>
    </w:p>
    <w:p w:rsidR="003717A0" w:rsidRDefault="003717A0">
      <w:pPr>
        <w:ind w:left="360"/>
        <w:rPr>
          <w:b/>
        </w:rPr>
      </w:pPr>
      <w:r>
        <w:rPr>
          <w:rFonts w:hint="eastAsia"/>
          <w:b/>
        </w:rPr>
        <w:t>目的与要求</w:t>
      </w:r>
    </w:p>
    <w:p w:rsidR="003717A0" w:rsidRDefault="003717A0">
      <w:pPr>
        <w:numPr>
          <w:ilvl w:val="0"/>
          <w:numId w:val="349"/>
        </w:numPr>
      </w:pPr>
      <w:r>
        <w:rPr>
          <w:rFonts w:hint="eastAsia"/>
        </w:rPr>
        <w:t>掌握冲击波的概念、冲击波的作用原理、生物学效应；</w:t>
      </w:r>
    </w:p>
    <w:p w:rsidR="003717A0" w:rsidRDefault="003717A0">
      <w:pPr>
        <w:numPr>
          <w:ilvl w:val="0"/>
          <w:numId w:val="349"/>
        </w:numPr>
      </w:pPr>
      <w:r>
        <w:rPr>
          <w:rFonts w:hint="eastAsia"/>
        </w:rPr>
        <w:t>熟悉的临床应用，</w:t>
      </w:r>
    </w:p>
    <w:p w:rsidR="003717A0" w:rsidRDefault="003717A0">
      <w:pPr>
        <w:numPr>
          <w:ilvl w:val="0"/>
          <w:numId w:val="349"/>
        </w:numPr>
      </w:pPr>
      <w:r>
        <w:rPr>
          <w:rFonts w:hint="eastAsia"/>
        </w:rPr>
        <w:t>了解冲击波治疗仪器。</w:t>
      </w:r>
    </w:p>
    <w:p w:rsidR="003717A0" w:rsidRDefault="003717A0">
      <w:pPr>
        <w:ind w:left="435"/>
      </w:pPr>
    </w:p>
    <w:p w:rsidR="003717A0" w:rsidRDefault="003717A0">
      <w:pPr>
        <w:ind w:left="435"/>
        <w:rPr>
          <w:b/>
        </w:rPr>
      </w:pPr>
      <w:r>
        <w:rPr>
          <w:rFonts w:hint="eastAsia"/>
          <w:b/>
        </w:rPr>
        <w:t>第十五章、物理治疗文书</w:t>
      </w:r>
    </w:p>
    <w:p w:rsidR="003717A0" w:rsidRDefault="003717A0">
      <w:pPr>
        <w:ind w:left="435"/>
        <w:rPr>
          <w:b/>
        </w:rPr>
      </w:pPr>
      <w:r>
        <w:rPr>
          <w:rFonts w:hint="eastAsia"/>
          <w:b/>
        </w:rPr>
        <w:lastRenderedPageBreak/>
        <w:t>教学内容</w:t>
      </w:r>
    </w:p>
    <w:p w:rsidR="003717A0" w:rsidRDefault="003717A0">
      <w:pPr>
        <w:numPr>
          <w:ilvl w:val="0"/>
          <w:numId w:val="350"/>
        </w:numPr>
      </w:pPr>
      <w:r>
        <w:rPr>
          <w:rFonts w:hint="eastAsia"/>
        </w:rPr>
        <w:t>物理治疗处方的概述</w:t>
      </w:r>
    </w:p>
    <w:p w:rsidR="003717A0" w:rsidRDefault="003717A0">
      <w:pPr>
        <w:numPr>
          <w:ilvl w:val="0"/>
          <w:numId w:val="350"/>
        </w:numPr>
      </w:pPr>
      <w:r>
        <w:rPr>
          <w:rFonts w:hint="eastAsia"/>
        </w:rPr>
        <w:t>治疗处方内容</w:t>
      </w:r>
    </w:p>
    <w:p w:rsidR="003717A0" w:rsidRDefault="003717A0">
      <w:pPr>
        <w:ind w:left="360"/>
        <w:rPr>
          <w:b/>
        </w:rPr>
      </w:pPr>
    </w:p>
    <w:p w:rsidR="003717A0" w:rsidRDefault="003717A0">
      <w:pPr>
        <w:ind w:left="360"/>
        <w:rPr>
          <w:b/>
        </w:rPr>
      </w:pPr>
      <w:r>
        <w:rPr>
          <w:rFonts w:hint="eastAsia"/>
          <w:b/>
        </w:rPr>
        <w:t>实习内容</w:t>
      </w:r>
    </w:p>
    <w:p w:rsidR="003717A0" w:rsidRDefault="003717A0">
      <w:pPr>
        <w:numPr>
          <w:ilvl w:val="0"/>
          <w:numId w:val="351"/>
        </w:numPr>
      </w:pPr>
      <w:r>
        <w:rPr>
          <w:rFonts w:hint="eastAsia"/>
        </w:rPr>
        <w:t>常用物理治疗处方的书写</w:t>
      </w:r>
    </w:p>
    <w:p w:rsidR="003717A0" w:rsidRDefault="003717A0">
      <w:pPr>
        <w:numPr>
          <w:ilvl w:val="0"/>
          <w:numId w:val="351"/>
        </w:numPr>
      </w:pPr>
      <w:r>
        <w:rPr>
          <w:rFonts w:hint="eastAsia"/>
        </w:rPr>
        <w:t>书写物理治疗处方的注意事项</w:t>
      </w:r>
    </w:p>
    <w:p w:rsidR="003717A0" w:rsidRDefault="003717A0">
      <w:pPr>
        <w:ind w:left="360"/>
        <w:rPr>
          <w:b/>
        </w:rPr>
      </w:pPr>
      <w:r>
        <w:rPr>
          <w:rFonts w:hint="eastAsia"/>
          <w:b/>
        </w:rPr>
        <w:t>目的与要求</w:t>
      </w:r>
    </w:p>
    <w:p w:rsidR="003717A0" w:rsidRDefault="003717A0">
      <w:pPr>
        <w:numPr>
          <w:ilvl w:val="0"/>
          <w:numId w:val="352"/>
        </w:numPr>
      </w:pPr>
      <w:r>
        <w:rPr>
          <w:rFonts w:hint="eastAsia"/>
        </w:rPr>
        <w:t>掌握物理治疗处方的内容及书写方法，</w:t>
      </w:r>
    </w:p>
    <w:p w:rsidR="003717A0" w:rsidRDefault="003717A0">
      <w:pPr>
        <w:numPr>
          <w:ilvl w:val="0"/>
          <w:numId w:val="352"/>
        </w:numPr>
      </w:pPr>
      <w:r>
        <w:rPr>
          <w:rFonts w:hint="eastAsia"/>
        </w:rPr>
        <w:t>熟悉物理因子的选择及配伍，</w:t>
      </w:r>
    </w:p>
    <w:p w:rsidR="003717A0" w:rsidRDefault="003717A0">
      <w:pPr>
        <w:numPr>
          <w:ilvl w:val="0"/>
          <w:numId w:val="352"/>
        </w:numPr>
      </w:pPr>
      <w:r>
        <w:rPr>
          <w:rFonts w:hint="eastAsia"/>
        </w:rPr>
        <w:t>了解常用物理因子处方的熟悉方法。</w:t>
      </w:r>
    </w:p>
    <w:p w:rsidR="003717A0" w:rsidRDefault="003717A0">
      <w:pPr>
        <w:ind w:left="435"/>
      </w:pPr>
    </w:p>
    <w:p w:rsidR="003717A0" w:rsidRDefault="003717A0">
      <w:pPr>
        <w:ind w:left="435"/>
      </w:pPr>
    </w:p>
    <w:p w:rsidR="003717A0" w:rsidRDefault="003717A0">
      <w:pPr>
        <w:jc w:val="center"/>
        <w:rPr>
          <w:rFonts w:ascii="宋体"/>
          <w:b/>
          <w:sz w:val="30"/>
          <w:szCs w:val="30"/>
        </w:rPr>
      </w:pPr>
      <w:r>
        <w:rPr>
          <w:rFonts w:hint="eastAsia"/>
          <w:b/>
          <w:sz w:val="30"/>
          <w:szCs w:val="30"/>
        </w:rPr>
        <w:t>教学时数分配</w:t>
      </w:r>
    </w:p>
    <w:tbl>
      <w:tblPr>
        <w:tblW w:w="7848" w:type="dxa"/>
        <w:tblInd w:w="-252" w:type="dxa"/>
        <w:tblBorders>
          <w:top w:val="single" w:sz="12" w:space="0" w:color="008000"/>
          <w:bottom w:val="single" w:sz="12" w:space="0" w:color="008000"/>
        </w:tblBorders>
        <w:tblLayout w:type="fixed"/>
        <w:tblLook w:val="00A0"/>
      </w:tblPr>
      <w:tblGrid>
        <w:gridCol w:w="1260"/>
        <w:gridCol w:w="2928"/>
        <w:gridCol w:w="672"/>
        <w:gridCol w:w="1896"/>
        <w:gridCol w:w="1092"/>
      </w:tblGrid>
      <w:tr w:rsidR="003717A0">
        <w:tc>
          <w:tcPr>
            <w:tcW w:w="1260"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序号</w:t>
            </w:r>
          </w:p>
        </w:tc>
        <w:tc>
          <w:tcPr>
            <w:tcW w:w="2928"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讲课内容</w:t>
            </w:r>
          </w:p>
        </w:tc>
        <w:tc>
          <w:tcPr>
            <w:tcW w:w="672"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学时</w:t>
            </w:r>
          </w:p>
        </w:tc>
        <w:tc>
          <w:tcPr>
            <w:tcW w:w="1896"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作业</w:t>
            </w:r>
          </w:p>
        </w:tc>
        <w:tc>
          <w:tcPr>
            <w:tcW w:w="1092"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备注</w:t>
            </w:r>
          </w:p>
        </w:tc>
      </w:tr>
      <w:tr w:rsidR="003717A0">
        <w:tc>
          <w:tcPr>
            <w:tcW w:w="1260" w:type="dxa"/>
            <w:tcBorders>
              <w:top w:val="nil"/>
              <w:left w:val="nil"/>
              <w:bottom w:val="nil"/>
              <w:right w:val="nil"/>
            </w:tcBorders>
            <w:vAlign w:val="center"/>
          </w:tcPr>
          <w:p w:rsidR="003717A0" w:rsidRDefault="003717A0">
            <w:pPr>
              <w:jc w:val="center"/>
              <w:rPr>
                <w:sz w:val="24"/>
              </w:rPr>
            </w:pPr>
            <w:r>
              <w:t>1</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理疗学概论</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2</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直流电疗法、低频电疗法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3</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中频电疗法、高频电疗法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4</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光疗概述、红外线、可见光疗法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5</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紫外线、激光疗法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6</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超声波疗法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7</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磁场疗法、压力治疗</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8</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冷疗与冷冻疗法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9</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温热疗法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10</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水疗法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11</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生物反馈疗法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12</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物理治疗处方</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single" w:sz="12" w:space="0" w:color="008000"/>
              <w:right w:val="nil"/>
            </w:tcBorders>
            <w:vAlign w:val="center"/>
          </w:tcPr>
          <w:p w:rsidR="003717A0" w:rsidRDefault="003717A0">
            <w:pPr>
              <w:jc w:val="center"/>
              <w:rPr>
                <w:sz w:val="24"/>
              </w:rPr>
            </w:pPr>
          </w:p>
        </w:tc>
        <w:tc>
          <w:tcPr>
            <w:tcW w:w="2928" w:type="dxa"/>
            <w:tcBorders>
              <w:top w:val="nil"/>
              <w:left w:val="nil"/>
              <w:bottom w:val="single" w:sz="12" w:space="0" w:color="008000"/>
              <w:right w:val="nil"/>
            </w:tcBorders>
            <w:vAlign w:val="center"/>
          </w:tcPr>
          <w:p w:rsidR="003717A0" w:rsidRDefault="003717A0">
            <w:pPr>
              <w:jc w:val="left"/>
              <w:rPr>
                <w:sz w:val="20"/>
                <w:szCs w:val="20"/>
              </w:rPr>
            </w:pPr>
            <w:r>
              <w:rPr>
                <w:rFonts w:hint="eastAsia"/>
                <w:sz w:val="20"/>
                <w:szCs w:val="20"/>
              </w:rPr>
              <w:t>总计</w:t>
            </w:r>
          </w:p>
        </w:tc>
        <w:tc>
          <w:tcPr>
            <w:tcW w:w="672" w:type="dxa"/>
            <w:tcBorders>
              <w:top w:val="nil"/>
              <w:left w:val="nil"/>
              <w:bottom w:val="single" w:sz="12" w:space="0" w:color="008000"/>
              <w:right w:val="nil"/>
            </w:tcBorders>
          </w:tcPr>
          <w:p w:rsidR="003717A0" w:rsidRDefault="003717A0">
            <w:pPr>
              <w:spacing w:before="100" w:beforeAutospacing="1" w:after="100" w:afterAutospacing="1"/>
              <w:rPr>
                <w:szCs w:val="21"/>
              </w:rPr>
            </w:pPr>
            <w:r>
              <w:rPr>
                <w:szCs w:val="21"/>
              </w:rPr>
              <w:t>36</w:t>
            </w:r>
          </w:p>
        </w:tc>
        <w:tc>
          <w:tcPr>
            <w:tcW w:w="1896" w:type="dxa"/>
            <w:tcBorders>
              <w:top w:val="nil"/>
              <w:left w:val="nil"/>
              <w:bottom w:val="single" w:sz="12"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single" w:sz="12" w:space="0" w:color="008000"/>
              <w:right w:val="nil"/>
            </w:tcBorders>
          </w:tcPr>
          <w:p w:rsidR="003717A0" w:rsidRDefault="003717A0">
            <w:pPr>
              <w:spacing w:before="100" w:beforeAutospacing="1" w:after="100" w:afterAutospacing="1"/>
              <w:rPr>
                <w:rFonts w:ascii="宋体" w:cs="Arial Unicode MS"/>
                <w:szCs w:val="21"/>
              </w:rPr>
            </w:pPr>
          </w:p>
        </w:tc>
      </w:tr>
    </w:tbl>
    <w:p w:rsidR="003717A0" w:rsidRDefault="003717A0">
      <w:pPr>
        <w:jc w:val="center"/>
        <w:rPr>
          <w:b/>
          <w:sz w:val="30"/>
          <w:szCs w:val="30"/>
        </w:rPr>
      </w:pPr>
    </w:p>
    <w:p w:rsidR="003717A0" w:rsidRDefault="003717A0">
      <w:pPr>
        <w:jc w:val="center"/>
        <w:rPr>
          <w:b/>
          <w:sz w:val="30"/>
          <w:szCs w:val="30"/>
        </w:rPr>
      </w:pPr>
      <w:r>
        <w:rPr>
          <w:rFonts w:hint="eastAsia"/>
          <w:b/>
          <w:sz w:val="30"/>
          <w:szCs w:val="30"/>
        </w:rPr>
        <w:t>见习课时分配</w:t>
      </w:r>
    </w:p>
    <w:tbl>
      <w:tblPr>
        <w:tblW w:w="7848" w:type="dxa"/>
        <w:tblInd w:w="-252" w:type="dxa"/>
        <w:tblBorders>
          <w:top w:val="single" w:sz="12" w:space="0" w:color="008000"/>
          <w:bottom w:val="single" w:sz="12" w:space="0" w:color="008000"/>
        </w:tblBorders>
        <w:tblLayout w:type="fixed"/>
        <w:tblLook w:val="00A0"/>
      </w:tblPr>
      <w:tblGrid>
        <w:gridCol w:w="1260"/>
        <w:gridCol w:w="2928"/>
        <w:gridCol w:w="672"/>
        <w:gridCol w:w="1896"/>
        <w:gridCol w:w="1092"/>
      </w:tblGrid>
      <w:tr w:rsidR="003717A0">
        <w:tc>
          <w:tcPr>
            <w:tcW w:w="1260"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序号</w:t>
            </w:r>
          </w:p>
        </w:tc>
        <w:tc>
          <w:tcPr>
            <w:tcW w:w="2928"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讲课内容</w:t>
            </w:r>
          </w:p>
        </w:tc>
        <w:tc>
          <w:tcPr>
            <w:tcW w:w="672"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学时</w:t>
            </w:r>
          </w:p>
        </w:tc>
        <w:tc>
          <w:tcPr>
            <w:tcW w:w="1896"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作业</w:t>
            </w:r>
          </w:p>
        </w:tc>
        <w:tc>
          <w:tcPr>
            <w:tcW w:w="1092" w:type="dxa"/>
            <w:tcBorders>
              <w:top w:val="single" w:sz="12" w:space="0" w:color="008000"/>
              <w:left w:val="nil"/>
              <w:bottom w:val="single" w:sz="6"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hint="eastAsia"/>
                <w:szCs w:val="21"/>
              </w:rPr>
              <w:t>备注</w:t>
            </w:r>
          </w:p>
        </w:tc>
      </w:tr>
      <w:tr w:rsidR="003717A0">
        <w:tc>
          <w:tcPr>
            <w:tcW w:w="1260" w:type="dxa"/>
            <w:tcBorders>
              <w:top w:val="nil"/>
              <w:left w:val="nil"/>
              <w:bottom w:val="nil"/>
              <w:right w:val="nil"/>
            </w:tcBorders>
            <w:vAlign w:val="center"/>
          </w:tcPr>
          <w:p w:rsidR="003717A0" w:rsidRDefault="003717A0">
            <w:pPr>
              <w:jc w:val="center"/>
              <w:rPr>
                <w:sz w:val="24"/>
              </w:rPr>
            </w:pPr>
            <w:r>
              <w:t>1</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理疗学概论</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2</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直流电疗法、低频电疗法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3</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中频电疗法、高频电疗法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4</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光疗概述、红外线、可见光疗法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5</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紫外线、激光疗法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6</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超声波疗法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7</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磁场疗法、压力治疗</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8</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冷疗与冷冻疗法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9</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温热疗法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szCs w:val="21"/>
              </w:rPr>
              <w:t> </w:t>
            </w: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10</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水疗法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lastRenderedPageBreak/>
              <w:t>11</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生物反馈疗法</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nil"/>
              <w:right w:val="nil"/>
            </w:tcBorders>
            <w:vAlign w:val="center"/>
          </w:tcPr>
          <w:p w:rsidR="003717A0" w:rsidRDefault="003717A0">
            <w:pPr>
              <w:jc w:val="center"/>
              <w:rPr>
                <w:sz w:val="24"/>
              </w:rPr>
            </w:pPr>
            <w:r>
              <w:t>12</w:t>
            </w:r>
          </w:p>
        </w:tc>
        <w:tc>
          <w:tcPr>
            <w:tcW w:w="2928" w:type="dxa"/>
            <w:tcBorders>
              <w:top w:val="nil"/>
              <w:left w:val="nil"/>
              <w:bottom w:val="nil"/>
              <w:right w:val="nil"/>
            </w:tcBorders>
            <w:vAlign w:val="center"/>
          </w:tcPr>
          <w:p w:rsidR="003717A0" w:rsidRDefault="003717A0">
            <w:pPr>
              <w:jc w:val="left"/>
              <w:rPr>
                <w:sz w:val="20"/>
                <w:szCs w:val="20"/>
              </w:rPr>
            </w:pPr>
            <w:r>
              <w:rPr>
                <w:rFonts w:hint="eastAsia"/>
                <w:sz w:val="20"/>
                <w:szCs w:val="20"/>
              </w:rPr>
              <w:t>物理治疗处方</w:t>
            </w:r>
          </w:p>
        </w:tc>
        <w:tc>
          <w:tcPr>
            <w:tcW w:w="672" w:type="dxa"/>
            <w:tcBorders>
              <w:top w:val="nil"/>
              <w:left w:val="nil"/>
              <w:bottom w:val="nil"/>
              <w:right w:val="nil"/>
            </w:tcBorders>
          </w:tcPr>
          <w:p w:rsidR="003717A0" w:rsidRDefault="003717A0">
            <w:pPr>
              <w:spacing w:before="100" w:beforeAutospacing="1" w:after="100" w:afterAutospacing="1"/>
              <w:rPr>
                <w:szCs w:val="21"/>
              </w:rPr>
            </w:pPr>
            <w:r>
              <w:rPr>
                <w:szCs w:val="21"/>
              </w:rPr>
              <w:t>3</w:t>
            </w:r>
          </w:p>
        </w:tc>
        <w:tc>
          <w:tcPr>
            <w:tcW w:w="1896"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nil"/>
              <w:right w:val="nil"/>
            </w:tcBorders>
          </w:tcPr>
          <w:p w:rsidR="003717A0" w:rsidRDefault="003717A0">
            <w:pPr>
              <w:spacing w:before="100" w:beforeAutospacing="1" w:after="100" w:afterAutospacing="1"/>
              <w:rPr>
                <w:rFonts w:ascii="宋体" w:cs="Arial Unicode MS"/>
                <w:szCs w:val="21"/>
              </w:rPr>
            </w:pPr>
          </w:p>
        </w:tc>
      </w:tr>
      <w:tr w:rsidR="003717A0">
        <w:tc>
          <w:tcPr>
            <w:tcW w:w="1260" w:type="dxa"/>
            <w:tcBorders>
              <w:top w:val="nil"/>
              <w:left w:val="nil"/>
              <w:bottom w:val="single" w:sz="12" w:space="0" w:color="008000"/>
              <w:right w:val="nil"/>
            </w:tcBorders>
            <w:vAlign w:val="center"/>
          </w:tcPr>
          <w:p w:rsidR="003717A0" w:rsidRDefault="003717A0">
            <w:pPr>
              <w:jc w:val="center"/>
              <w:rPr>
                <w:sz w:val="24"/>
              </w:rPr>
            </w:pPr>
          </w:p>
        </w:tc>
        <w:tc>
          <w:tcPr>
            <w:tcW w:w="2928" w:type="dxa"/>
            <w:tcBorders>
              <w:top w:val="nil"/>
              <w:left w:val="nil"/>
              <w:bottom w:val="single" w:sz="12" w:space="0" w:color="008000"/>
              <w:right w:val="nil"/>
            </w:tcBorders>
            <w:vAlign w:val="center"/>
          </w:tcPr>
          <w:p w:rsidR="003717A0" w:rsidRDefault="003717A0">
            <w:pPr>
              <w:jc w:val="left"/>
              <w:rPr>
                <w:sz w:val="20"/>
                <w:szCs w:val="20"/>
              </w:rPr>
            </w:pPr>
            <w:r>
              <w:rPr>
                <w:rFonts w:hint="eastAsia"/>
                <w:sz w:val="20"/>
                <w:szCs w:val="20"/>
              </w:rPr>
              <w:t>总计</w:t>
            </w:r>
          </w:p>
        </w:tc>
        <w:tc>
          <w:tcPr>
            <w:tcW w:w="672" w:type="dxa"/>
            <w:tcBorders>
              <w:top w:val="nil"/>
              <w:left w:val="nil"/>
              <w:bottom w:val="single" w:sz="12" w:space="0" w:color="008000"/>
              <w:right w:val="nil"/>
            </w:tcBorders>
          </w:tcPr>
          <w:p w:rsidR="003717A0" w:rsidRDefault="003717A0">
            <w:pPr>
              <w:spacing w:before="100" w:beforeAutospacing="1" w:after="100" w:afterAutospacing="1"/>
              <w:rPr>
                <w:szCs w:val="21"/>
              </w:rPr>
            </w:pPr>
            <w:r>
              <w:rPr>
                <w:szCs w:val="21"/>
              </w:rPr>
              <w:t>36</w:t>
            </w:r>
          </w:p>
        </w:tc>
        <w:tc>
          <w:tcPr>
            <w:tcW w:w="1896" w:type="dxa"/>
            <w:tcBorders>
              <w:top w:val="nil"/>
              <w:left w:val="nil"/>
              <w:bottom w:val="single" w:sz="12" w:space="0" w:color="008000"/>
              <w:right w:val="nil"/>
            </w:tcBorders>
          </w:tcPr>
          <w:p w:rsidR="003717A0" w:rsidRDefault="003717A0">
            <w:pPr>
              <w:spacing w:before="100" w:beforeAutospacing="1" w:after="100" w:afterAutospacing="1"/>
              <w:rPr>
                <w:rFonts w:ascii="宋体" w:cs="Arial Unicode MS"/>
                <w:szCs w:val="21"/>
              </w:rPr>
            </w:pPr>
            <w:r>
              <w:rPr>
                <w:rFonts w:ascii="宋体" w:hAnsi="宋体"/>
                <w:szCs w:val="21"/>
              </w:rPr>
              <w:t xml:space="preserve"> </w:t>
            </w:r>
          </w:p>
        </w:tc>
        <w:tc>
          <w:tcPr>
            <w:tcW w:w="1092" w:type="dxa"/>
            <w:tcBorders>
              <w:top w:val="nil"/>
              <w:left w:val="nil"/>
              <w:bottom w:val="single" w:sz="12" w:space="0" w:color="008000"/>
              <w:right w:val="nil"/>
            </w:tcBorders>
          </w:tcPr>
          <w:p w:rsidR="003717A0" w:rsidRDefault="003717A0">
            <w:pPr>
              <w:spacing w:before="100" w:beforeAutospacing="1" w:after="100" w:afterAutospacing="1"/>
              <w:rPr>
                <w:rFonts w:ascii="宋体" w:cs="Arial Unicode MS"/>
                <w:szCs w:val="21"/>
              </w:rPr>
            </w:pPr>
          </w:p>
        </w:tc>
      </w:tr>
    </w:tbl>
    <w:p w:rsidR="003717A0" w:rsidRDefault="003717A0">
      <w:pPr>
        <w:spacing w:before="100" w:beforeAutospacing="1" w:after="100" w:afterAutospacing="1"/>
        <w:ind w:left="420"/>
        <w:rPr>
          <w:rFonts w:ascii="宋体"/>
          <w:szCs w:val="21"/>
        </w:rPr>
      </w:pP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五、教学设备和设施</w:t>
      </w:r>
    </w:p>
    <w:p w:rsidR="003717A0" w:rsidRDefault="003717A0">
      <w:pPr>
        <w:spacing w:before="100" w:beforeAutospacing="1" w:after="100" w:afterAutospacing="1"/>
        <w:ind w:firstLineChars="200" w:firstLine="420"/>
        <w:rPr>
          <w:rFonts w:ascii="宋体"/>
          <w:szCs w:val="21"/>
        </w:rPr>
      </w:pPr>
      <w:r>
        <w:rPr>
          <w:rFonts w:ascii="宋体" w:hAnsi="宋体" w:hint="eastAsia"/>
          <w:szCs w:val="21"/>
        </w:rPr>
        <w:t>课堂教学以大班上课为主，讲课按教学大纲进行讲课时要做到目地明确，层次分明，讲究教学方法，充分利用图表、幻灯、录相、多媒体等教学工具。</w:t>
      </w:r>
    </w:p>
    <w:p w:rsidR="003717A0" w:rsidRDefault="003717A0">
      <w:pPr>
        <w:adjustRightInd w:val="0"/>
        <w:snapToGrid w:val="0"/>
        <w:spacing w:line="360" w:lineRule="auto"/>
        <w:ind w:right="4" w:firstLineChars="200" w:firstLine="420"/>
      </w:pPr>
      <w:r>
        <w:rPr>
          <w:rFonts w:ascii="宋体" w:hAnsi="宋体" w:hint="eastAsia"/>
          <w:szCs w:val="21"/>
        </w:rPr>
        <w:t>在实习中，利用各种检查仪器和治疗工具示教，小组带教互动以学生动手学习操作为主，结合对病人治疗进行必要的重点讲解，以巩固和深化课堂所讲授的知识。</w:t>
      </w:r>
      <w:r>
        <w:rPr>
          <w:rFonts w:hint="eastAsia"/>
        </w:rPr>
        <w:t>本课程考试采用闭卷考核方法，时间为</w:t>
      </w:r>
      <w:r>
        <w:t xml:space="preserve">2 </w:t>
      </w:r>
      <w:r>
        <w:rPr>
          <w:rFonts w:hint="eastAsia"/>
        </w:rPr>
        <w:t>小时。</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六、课程考核与评估</w:t>
      </w:r>
    </w:p>
    <w:p w:rsidR="003717A0" w:rsidRDefault="003717A0">
      <w:pPr>
        <w:adjustRightInd w:val="0"/>
        <w:snapToGrid w:val="0"/>
        <w:spacing w:line="360" w:lineRule="auto"/>
        <w:ind w:right="4" w:firstLineChars="200" w:firstLine="420"/>
      </w:pPr>
      <w:r>
        <w:rPr>
          <w:rFonts w:hint="eastAsia"/>
        </w:rPr>
        <w:t>期末考试成绩占总成绩的</w:t>
      </w:r>
      <w:r>
        <w:t>100%</w:t>
      </w:r>
      <w:r>
        <w:rPr>
          <w:rFonts w:hint="eastAsia"/>
        </w:rPr>
        <w:t>。</w:t>
      </w:r>
    </w:p>
    <w:p w:rsidR="003717A0" w:rsidRDefault="003717A0">
      <w:pPr>
        <w:adjustRightInd w:val="0"/>
        <w:snapToGrid w:val="0"/>
        <w:spacing w:line="360" w:lineRule="auto"/>
        <w:ind w:right="4" w:firstLineChars="200" w:firstLine="420"/>
      </w:pPr>
      <w:r>
        <w:rPr>
          <w:rFonts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pStyle w:val="a7"/>
        <w:rPr>
          <w:rFonts w:ascii="宋体"/>
          <w:szCs w:val="21"/>
        </w:rPr>
      </w:pP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七、附录</w:t>
      </w:r>
    </w:p>
    <w:p w:rsidR="003717A0" w:rsidRDefault="003717A0">
      <w:pPr>
        <w:pStyle w:val="a7"/>
        <w:rPr>
          <w:rFonts w:ascii="宋体"/>
          <w:szCs w:val="21"/>
        </w:rPr>
      </w:pPr>
      <w:r>
        <w:rPr>
          <w:rFonts w:ascii="宋体" w:hAnsi="宋体" w:hint="eastAsia"/>
          <w:szCs w:val="21"/>
        </w:rPr>
        <w:t>理论教材：《物理治疗学》人民卫士出版社</w:t>
      </w:r>
      <w:r>
        <w:rPr>
          <w:rFonts w:ascii="宋体" w:hAnsi="宋体"/>
          <w:szCs w:val="21"/>
        </w:rPr>
        <w:t xml:space="preserve"> </w:t>
      </w:r>
      <w:r>
        <w:rPr>
          <w:rFonts w:ascii="宋体" w:hAnsi="宋体" w:hint="eastAsia"/>
          <w:szCs w:val="21"/>
        </w:rPr>
        <w:t>第二版</w:t>
      </w:r>
      <w:r>
        <w:rPr>
          <w:rFonts w:ascii="宋体" w:hAnsi="宋体"/>
          <w:szCs w:val="21"/>
        </w:rPr>
        <w:t xml:space="preserve"> </w:t>
      </w:r>
      <w:r>
        <w:rPr>
          <w:rFonts w:ascii="宋体" w:hAnsi="宋体" w:hint="eastAsia"/>
          <w:szCs w:val="21"/>
        </w:rPr>
        <w:t>主编</w:t>
      </w:r>
      <w:r>
        <w:rPr>
          <w:rFonts w:ascii="宋体" w:hAnsi="宋体"/>
          <w:szCs w:val="21"/>
        </w:rPr>
        <w:t>:</w:t>
      </w:r>
      <w:r>
        <w:rPr>
          <w:rFonts w:ascii="宋体" w:hAnsi="宋体" w:hint="eastAsia"/>
          <w:szCs w:val="21"/>
        </w:rPr>
        <w:t>燕铁斌</w:t>
      </w:r>
      <w:r>
        <w:rPr>
          <w:rFonts w:ascii="宋体" w:hAnsi="宋体"/>
          <w:szCs w:val="21"/>
        </w:rPr>
        <w:t xml:space="preserve"> </w:t>
      </w:r>
    </w:p>
    <w:p w:rsidR="003717A0" w:rsidRDefault="003717A0">
      <w:pPr>
        <w:pStyle w:val="a7"/>
        <w:rPr>
          <w:rFonts w:ascii="宋体"/>
          <w:szCs w:val="21"/>
        </w:rPr>
      </w:pPr>
      <w:r>
        <w:rPr>
          <w:rFonts w:ascii="宋体" w:hAnsi="宋体" w:hint="eastAsia"/>
          <w:szCs w:val="21"/>
        </w:rPr>
        <w:t>实验教材：《物理治疗学》人民卫士出版社</w:t>
      </w:r>
      <w:r>
        <w:rPr>
          <w:rFonts w:ascii="宋体" w:hAnsi="宋体"/>
          <w:szCs w:val="21"/>
        </w:rPr>
        <w:t xml:space="preserve"> </w:t>
      </w:r>
      <w:r>
        <w:rPr>
          <w:rFonts w:ascii="宋体" w:hAnsi="宋体" w:hint="eastAsia"/>
          <w:szCs w:val="21"/>
        </w:rPr>
        <w:t>第二版</w:t>
      </w:r>
      <w:r>
        <w:rPr>
          <w:rFonts w:ascii="宋体" w:hAnsi="宋体"/>
          <w:szCs w:val="21"/>
        </w:rPr>
        <w:t xml:space="preserve"> </w:t>
      </w:r>
      <w:r>
        <w:rPr>
          <w:rFonts w:ascii="宋体" w:hAnsi="宋体" w:hint="eastAsia"/>
          <w:szCs w:val="21"/>
        </w:rPr>
        <w:t>主编</w:t>
      </w:r>
      <w:r>
        <w:rPr>
          <w:rFonts w:ascii="宋体" w:hAnsi="宋体"/>
          <w:szCs w:val="21"/>
        </w:rPr>
        <w:t>:</w:t>
      </w:r>
      <w:r>
        <w:rPr>
          <w:rFonts w:ascii="宋体" w:hAnsi="宋体" w:hint="eastAsia"/>
          <w:szCs w:val="21"/>
        </w:rPr>
        <w:t>燕铁斌</w:t>
      </w:r>
    </w:p>
    <w:p w:rsidR="003717A0" w:rsidRDefault="003717A0">
      <w:pPr>
        <w:pStyle w:val="a7"/>
        <w:rPr>
          <w:rFonts w:ascii="宋体"/>
          <w:szCs w:val="21"/>
        </w:rPr>
      </w:pPr>
      <w:r>
        <w:rPr>
          <w:rFonts w:ascii="宋体" w:hAnsi="宋体" w:hint="eastAsia"/>
          <w:szCs w:val="21"/>
        </w:rPr>
        <w:t>主要参考书：</w:t>
      </w:r>
      <w:r>
        <w:rPr>
          <w:rFonts w:ascii="宋体" w:hAnsi="宋体"/>
          <w:szCs w:val="21"/>
        </w:rPr>
        <w:t xml:space="preserve">   </w:t>
      </w:r>
      <w:r>
        <w:rPr>
          <w:rFonts w:ascii="宋体" w:hAnsi="宋体" w:hint="eastAsia"/>
          <w:szCs w:val="21"/>
        </w:rPr>
        <w:t>何成奇主编</w:t>
      </w:r>
      <w:r>
        <w:rPr>
          <w:rFonts w:ascii="宋体" w:hAnsi="宋体"/>
          <w:szCs w:val="21"/>
        </w:rPr>
        <w:t xml:space="preserve">  </w:t>
      </w:r>
      <w:r>
        <w:rPr>
          <w:rFonts w:ascii="宋体" w:hAnsi="宋体" w:hint="eastAsia"/>
          <w:szCs w:val="21"/>
        </w:rPr>
        <w:t>《物理因子治疗技术》</w:t>
      </w:r>
      <w:r>
        <w:rPr>
          <w:rFonts w:ascii="宋体" w:hAnsi="宋体"/>
          <w:szCs w:val="21"/>
        </w:rPr>
        <w:t xml:space="preserve"> </w:t>
      </w:r>
      <w:r>
        <w:rPr>
          <w:rFonts w:ascii="宋体" w:hAnsi="宋体" w:hint="eastAsia"/>
          <w:szCs w:val="21"/>
        </w:rPr>
        <w:t>人民卫生出版社</w:t>
      </w:r>
      <w:r>
        <w:rPr>
          <w:rFonts w:ascii="宋体" w:hAnsi="宋体"/>
          <w:szCs w:val="21"/>
        </w:rPr>
        <w:t xml:space="preserve">  2010</w:t>
      </w:r>
      <w:r>
        <w:rPr>
          <w:rFonts w:ascii="宋体" w:hAnsi="宋体" w:hint="eastAsia"/>
          <w:szCs w:val="21"/>
        </w:rPr>
        <w:t>年</w:t>
      </w:r>
    </w:p>
    <w:p w:rsidR="003717A0" w:rsidRDefault="003717A0">
      <w:pPr>
        <w:pStyle w:val="a7"/>
        <w:ind w:left="359" w:firstLineChars="750" w:firstLine="1575"/>
        <w:rPr>
          <w:rFonts w:ascii="宋体"/>
          <w:szCs w:val="21"/>
        </w:rPr>
      </w:pPr>
      <w:r>
        <w:rPr>
          <w:rFonts w:ascii="宋体" w:hAnsi="宋体" w:hint="eastAsia"/>
          <w:szCs w:val="21"/>
        </w:rPr>
        <w:t>（美）迪利萨（</w:t>
      </w:r>
      <w:r>
        <w:rPr>
          <w:rFonts w:ascii="宋体" w:hAnsi="宋体"/>
          <w:szCs w:val="21"/>
        </w:rPr>
        <w:t>Delisa,J.A.</w:t>
      </w:r>
      <w:r>
        <w:rPr>
          <w:rFonts w:ascii="宋体" w:hAnsi="宋体" w:hint="eastAsia"/>
          <w:szCs w:val="21"/>
        </w:rPr>
        <w:t>）著，南登昆，郭正成主译《康复医学：理论与实践》</w:t>
      </w:r>
      <w:r>
        <w:rPr>
          <w:rFonts w:ascii="宋体" w:hAnsi="宋体"/>
          <w:szCs w:val="21"/>
        </w:rPr>
        <w:t xml:space="preserve">    </w:t>
      </w:r>
      <w:r>
        <w:rPr>
          <w:rFonts w:ascii="宋体" w:hAnsi="宋体" w:hint="eastAsia"/>
          <w:szCs w:val="21"/>
        </w:rPr>
        <w:t>世界图书出版公司</w:t>
      </w:r>
      <w:r>
        <w:rPr>
          <w:rFonts w:ascii="宋体" w:hAnsi="宋体"/>
          <w:szCs w:val="21"/>
        </w:rPr>
        <w:t xml:space="preserve">  2004</w:t>
      </w:r>
      <w:r>
        <w:rPr>
          <w:rFonts w:ascii="宋体" w:hAnsi="宋体" w:hint="eastAsia"/>
          <w:szCs w:val="21"/>
        </w:rPr>
        <w:t>年</w:t>
      </w:r>
    </w:p>
    <w:p w:rsidR="003717A0" w:rsidRDefault="003717A0">
      <w:pPr>
        <w:spacing w:line="360" w:lineRule="auto"/>
        <w:ind w:left="422"/>
        <w:rPr>
          <w:b/>
        </w:rPr>
      </w:pPr>
    </w:p>
    <w:p w:rsidR="003717A0" w:rsidRDefault="003717A0">
      <w:pPr>
        <w:ind w:firstLineChars="1700" w:firstLine="3570"/>
        <w:rPr>
          <w:rFonts w:ascii="宋体" w:cs="Arial Unicode MS"/>
          <w:kern w:val="0"/>
          <w:szCs w:val="21"/>
        </w:rPr>
      </w:pPr>
      <w:r>
        <w:rPr>
          <w:rFonts w:ascii="宋体" w:hAnsi="宋体" w:cs="Arial Unicode MS" w:hint="eastAsia"/>
          <w:kern w:val="0"/>
          <w:szCs w:val="21"/>
        </w:rPr>
        <w:t>制定者：朱振杰</w:t>
      </w:r>
    </w:p>
    <w:p w:rsidR="003717A0" w:rsidRDefault="003717A0">
      <w:pPr>
        <w:ind w:firstLineChars="1700" w:firstLine="3570"/>
        <w:rPr>
          <w:rFonts w:ascii="宋体" w:cs="Arial Unicode MS"/>
          <w:kern w:val="0"/>
          <w:szCs w:val="21"/>
        </w:rPr>
      </w:pPr>
      <w:r>
        <w:rPr>
          <w:rFonts w:ascii="宋体" w:hAnsi="宋体" w:cs="Arial Unicode MS" w:hint="eastAsia"/>
          <w:kern w:val="0"/>
          <w:szCs w:val="21"/>
        </w:rPr>
        <w:t>审核者：沈光宇</w:t>
      </w:r>
    </w:p>
    <w:p w:rsidR="003717A0" w:rsidRDefault="003717A0">
      <w:pPr>
        <w:rPr>
          <w:rFonts w:ascii="宋体" w:cs="Arial Unicode MS"/>
          <w:kern w:val="0"/>
          <w:szCs w:val="21"/>
        </w:rPr>
      </w:pPr>
    </w:p>
    <w:p w:rsidR="003717A0" w:rsidRDefault="003717A0">
      <w:pPr>
        <w:rPr>
          <w:rFonts w:ascii="宋体"/>
          <w:bCs/>
          <w:szCs w:val="21"/>
        </w:rPr>
      </w:pPr>
    </w:p>
    <w:p w:rsidR="003717A0" w:rsidRDefault="003717A0">
      <w:pPr>
        <w:rPr>
          <w:rFonts w:ascii="宋体"/>
          <w:bCs/>
          <w:szCs w:val="21"/>
        </w:rPr>
      </w:pPr>
    </w:p>
    <w:p w:rsidR="003717A0" w:rsidRPr="00F5156D" w:rsidRDefault="003717A0" w:rsidP="005E20B5">
      <w:pPr>
        <w:shd w:val="clear" w:color="auto" w:fill="FFFFFF"/>
        <w:adjustRightInd w:val="0"/>
        <w:snapToGrid w:val="0"/>
        <w:spacing w:beforeLines="50" w:afterLines="50"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一、适应对象</w:t>
      </w:r>
    </w:p>
    <w:p w:rsidR="003717A0" w:rsidRDefault="003717A0" w:rsidP="00EA5BFD">
      <w:pPr>
        <w:numPr>
          <w:ilvl w:val="0"/>
          <w:numId w:val="353"/>
        </w:numPr>
        <w:adjustRightInd w:val="0"/>
        <w:snapToGrid w:val="0"/>
        <w:spacing w:line="360" w:lineRule="auto"/>
        <w:ind w:right="4" w:hanging="660"/>
      </w:pPr>
      <w:r>
        <w:rPr>
          <w:rFonts w:hint="eastAsia"/>
        </w:rPr>
        <w:t>修读完本课程规定内容的康复治疗专业的本科学生；</w:t>
      </w:r>
    </w:p>
    <w:p w:rsidR="003717A0" w:rsidRDefault="003717A0">
      <w:pPr>
        <w:numPr>
          <w:ilvl w:val="0"/>
          <w:numId w:val="353"/>
        </w:numPr>
        <w:adjustRightInd w:val="0"/>
        <w:snapToGrid w:val="0"/>
        <w:spacing w:line="360" w:lineRule="auto"/>
        <w:ind w:right="4" w:hanging="660"/>
      </w:pPr>
      <w:r>
        <w:rPr>
          <w:rFonts w:hint="eastAsia"/>
        </w:rPr>
        <w:t>提出并获准免修本课程、申请进行课程水平考核的康复治疗专业的本科学生。</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w:t>
      </w:r>
      <w:r>
        <w:rPr>
          <w:rFonts w:hint="eastAsia"/>
          <w:sz w:val="22"/>
        </w:rPr>
        <w:t>要求学生通过基础理论与实验操作相结合掌握物理因子治疗基础理论、各类物理治疗技术的临床应用及操作方法为进一步学习各临床康复课程及以后的工作打下坚实基础。</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期末闭卷理论考核和实验操作（物理因子治疗技术操作）考核。</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四、课程考核成绩构成</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五、考核内容与要求</w:t>
      </w:r>
    </w:p>
    <w:p w:rsidR="003717A0" w:rsidRDefault="003717A0">
      <w:pPr>
        <w:autoSpaceDE w:val="0"/>
        <w:autoSpaceDN w:val="0"/>
        <w:adjustRightInd w:val="0"/>
        <w:snapToGrid w:val="0"/>
        <w:spacing w:line="360" w:lineRule="auto"/>
        <w:ind w:firstLineChars="192" w:firstLine="424"/>
        <w:jc w:val="left"/>
        <w:rPr>
          <w:rFonts w:eastAsia="黑体"/>
          <w:b/>
          <w:kern w:val="0"/>
          <w:sz w:val="22"/>
        </w:rPr>
      </w:pPr>
      <w:r>
        <w:rPr>
          <w:rFonts w:eastAsia="黑体" w:hint="eastAsia"/>
          <w:b/>
          <w:kern w:val="0"/>
          <w:sz w:val="22"/>
        </w:rPr>
        <w:t>考核内容：</w:t>
      </w:r>
    </w:p>
    <w:p w:rsidR="003717A0" w:rsidRDefault="003717A0">
      <w:pPr>
        <w:adjustRightInd w:val="0"/>
        <w:snapToGrid w:val="0"/>
        <w:spacing w:line="500" w:lineRule="exact"/>
        <w:ind w:firstLineChars="250" w:firstLine="550"/>
        <w:rPr>
          <w:sz w:val="22"/>
        </w:rPr>
      </w:pPr>
      <w:r>
        <w:rPr>
          <w:rFonts w:hint="eastAsia"/>
          <w:sz w:val="22"/>
        </w:rPr>
        <w:t>物理因子疗法的基本内容，掌握物理因子疗法的治疗作用，掌握物理因子疗法的适应症和禁忌症，物理因子疗法的作用机制，常用物理因子治疗仪器的种类</w:t>
      </w:r>
      <w:r>
        <w:rPr>
          <w:rFonts w:ascii="宋体" w:hAnsi="宋体" w:hint="eastAsia"/>
          <w:szCs w:val="21"/>
        </w:rPr>
        <w:t>；</w:t>
      </w:r>
      <w:r>
        <w:rPr>
          <w:rFonts w:hint="eastAsia"/>
          <w:sz w:val="22"/>
        </w:rPr>
        <w:t>常用物理因子治疗技术包括声光电磁等各种物理因子治疗方法的基本理论、操作方法、临床应用等内容。</w:t>
      </w:r>
    </w:p>
    <w:p w:rsidR="003717A0" w:rsidRDefault="00EA5BFD" w:rsidP="00EA5BFD">
      <w:pPr>
        <w:autoSpaceDE w:val="0"/>
        <w:autoSpaceDN w:val="0"/>
        <w:adjustRightInd w:val="0"/>
        <w:snapToGrid w:val="0"/>
        <w:spacing w:line="360" w:lineRule="auto"/>
        <w:ind w:firstLineChars="192" w:firstLine="422"/>
        <w:jc w:val="left"/>
        <w:rPr>
          <w:rFonts w:ascii="宋体"/>
          <w:b/>
          <w:kern w:val="0"/>
          <w:szCs w:val="21"/>
        </w:rPr>
      </w:pPr>
      <w:r>
        <w:rPr>
          <w:rFonts w:hint="eastAsia"/>
          <w:sz w:val="22"/>
        </w:rPr>
        <w:t xml:space="preserve"> </w:t>
      </w:r>
    </w:p>
    <w:p w:rsidR="003717A0" w:rsidRDefault="003717A0">
      <w:pPr>
        <w:autoSpaceDE w:val="0"/>
        <w:autoSpaceDN w:val="0"/>
        <w:adjustRightInd w:val="0"/>
        <w:snapToGrid w:val="0"/>
        <w:spacing w:line="360" w:lineRule="auto"/>
        <w:ind w:firstLineChars="192" w:firstLine="424"/>
        <w:jc w:val="left"/>
        <w:rPr>
          <w:rFonts w:eastAsia="黑体"/>
          <w:b/>
          <w:kern w:val="0"/>
          <w:sz w:val="22"/>
        </w:rPr>
      </w:pPr>
      <w:r>
        <w:rPr>
          <w:rFonts w:eastAsia="黑体" w:hint="eastAsia"/>
          <w:b/>
          <w:kern w:val="0"/>
          <w:sz w:val="22"/>
        </w:rPr>
        <w:t>考核要求：</w:t>
      </w:r>
    </w:p>
    <w:p w:rsidR="003717A0" w:rsidRDefault="003717A0">
      <w:pPr>
        <w:adjustRightInd w:val="0"/>
        <w:snapToGrid w:val="0"/>
        <w:spacing w:line="500" w:lineRule="exact"/>
        <w:ind w:firstLineChars="250" w:firstLine="550"/>
        <w:rPr>
          <w:sz w:val="22"/>
        </w:rPr>
      </w:pPr>
      <w:r>
        <w:rPr>
          <w:rFonts w:hint="eastAsia"/>
          <w:sz w:val="22"/>
        </w:rPr>
        <w:t>要求学生通过基础理论与实验操作相结合掌握物理因子治疗基础理论、各类物理治疗技术的临床应用及操作方法。</w:t>
      </w:r>
    </w:p>
    <w:p w:rsidR="003717A0" w:rsidRDefault="003717A0">
      <w:pPr>
        <w:autoSpaceDE w:val="0"/>
        <w:autoSpaceDN w:val="0"/>
        <w:adjustRightInd w:val="0"/>
        <w:snapToGrid w:val="0"/>
        <w:spacing w:line="440" w:lineRule="exact"/>
        <w:jc w:val="left"/>
        <w:rPr>
          <w:rFonts w:eastAsia="黑体"/>
          <w:b/>
          <w:kern w:val="0"/>
          <w:sz w:val="24"/>
        </w:rPr>
      </w:pPr>
      <w:r>
        <w:rPr>
          <w:rFonts w:eastAsia="黑体" w:hint="eastAsia"/>
          <w:b/>
          <w:kern w:val="0"/>
          <w:sz w:val="24"/>
        </w:rPr>
        <w:t>六、样卷</w:t>
      </w:r>
    </w:p>
    <w:p w:rsidR="003717A0" w:rsidRDefault="003717A0">
      <w:pPr>
        <w:autoSpaceDE w:val="0"/>
        <w:autoSpaceDN w:val="0"/>
        <w:adjustRightInd w:val="0"/>
        <w:snapToGrid w:val="0"/>
        <w:spacing w:line="440" w:lineRule="exact"/>
        <w:jc w:val="center"/>
        <w:rPr>
          <w:rFonts w:eastAsia="黑体"/>
          <w:b/>
          <w:kern w:val="0"/>
          <w:sz w:val="24"/>
        </w:rPr>
      </w:pPr>
      <w:r>
        <w:rPr>
          <w:rFonts w:eastAsia="黑体" w:hint="eastAsia"/>
          <w:b/>
          <w:kern w:val="0"/>
          <w:sz w:val="24"/>
        </w:rPr>
        <w:t>理疗学课程考试试题</w:t>
      </w:r>
    </w:p>
    <w:p w:rsidR="003717A0" w:rsidRDefault="003717A0">
      <w:pPr>
        <w:autoSpaceDE w:val="0"/>
        <w:autoSpaceDN w:val="0"/>
        <w:adjustRightInd w:val="0"/>
        <w:snapToGrid w:val="0"/>
        <w:spacing w:line="440" w:lineRule="exact"/>
        <w:jc w:val="center"/>
        <w:rPr>
          <w:kern w:val="0"/>
          <w:sz w:val="22"/>
        </w:rPr>
      </w:pPr>
      <w:r>
        <w:rPr>
          <w:kern w:val="0"/>
          <w:sz w:val="22"/>
          <w:u w:val="single"/>
        </w:rPr>
        <w:t xml:space="preserve">  </w:t>
      </w:r>
      <w:r>
        <w:rPr>
          <w:rFonts w:hint="eastAsia"/>
          <w:kern w:val="0"/>
          <w:sz w:val="22"/>
          <w:u w:val="single"/>
        </w:rPr>
        <w:t>ⅩⅩⅩⅩⅩ</w:t>
      </w:r>
      <w:r>
        <w:rPr>
          <w:kern w:val="0"/>
          <w:sz w:val="22"/>
          <w:u w:val="single"/>
        </w:rPr>
        <w:t>---</w:t>
      </w:r>
      <w:r>
        <w:rPr>
          <w:rFonts w:hint="eastAsia"/>
          <w:kern w:val="0"/>
          <w:sz w:val="22"/>
          <w:u w:val="single"/>
        </w:rPr>
        <w:t>ⅩⅩⅩ</w:t>
      </w:r>
      <w:r>
        <w:rPr>
          <w:kern w:val="0"/>
          <w:sz w:val="22"/>
          <w:u w:val="single"/>
        </w:rPr>
        <w:t xml:space="preserve"> </w:t>
      </w:r>
      <w:r>
        <w:rPr>
          <w:rFonts w:hint="eastAsia"/>
          <w:kern w:val="0"/>
          <w:sz w:val="22"/>
        </w:rPr>
        <w:t>学年</w:t>
      </w:r>
      <w:r>
        <w:rPr>
          <w:sz w:val="32"/>
          <w:u w:val="single"/>
        </w:rPr>
        <w:t xml:space="preserve"> </w:t>
      </w:r>
      <w:r>
        <w:rPr>
          <w:rFonts w:hint="eastAsia"/>
          <w:kern w:val="0"/>
          <w:sz w:val="22"/>
          <w:u w:val="single"/>
        </w:rPr>
        <w:t>ⅩⅩ</w:t>
      </w:r>
      <w:r>
        <w:rPr>
          <w:kern w:val="0"/>
          <w:sz w:val="22"/>
          <w:u w:val="single"/>
        </w:rPr>
        <w:t xml:space="preserve"> </w:t>
      </w:r>
      <w:r>
        <w:rPr>
          <w:rFonts w:hint="eastAsia"/>
          <w:kern w:val="0"/>
          <w:sz w:val="22"/>
        </w:rPr>
        <w:t>学期</w:t>
      </w:r>
      <w:r>
        <w:rPr>
          <w:sz w:val="32"/>
          <w:u w:val="single"/>
        </w:rPr>
        <w:t xml:space="preserve">  </w:t>
      </w:r>
      <w:r>
        <w:rPr>
          <w:rFonts w:hint="eastAsia"/>
          <w:kern w:val="0"/>
          <w:sz w:val="22"/>
          <w:u w:val="single"/>
        </w:rPr>
        <w:t>康复治疗学ⅩⅩⅩ</w:t>
      </w:r>
      <w:r>
        <w:rPr>
          <w:kern w:val="0"/>
          <w:sz w:val="22"/>
          <w:u w:val="single"/>
        </w:rPr>
        <w:t xml:space="preserve">  </w:t>
      </w:r>
      <w:r>
        <w:rPr>
          <w:rFonts w:hint="eastAsia"/>
          <w:kern w:val="0"/>
          <w:sz w:val="22"/>
        </w:rPr>
        <w:t>班级</w:t>
      </w:r>
    </w:p>
    <w:p w:rsidR="003717A0" w:rsidRDefault="003717A0">
      <w:pPr>
        <w:autoSpaceDE w:val="0"/>
        <w:autoSpaceDN w:val="0"/>
        <w:adjustRightInd w:val="0"/>
        <w:spacing w:line="440" w:lineRule="exact"/>
        <w:ind w:firstLineChars="193" w:firstLine="426"/>
        <w:jc w:val="center"/>
        <w:rPr>
          <w:b/>
          <w:kern w:val="0"/>
          <w:sz w:val="22"/>
        </w:rPr>
      </w:pPr>
      <w:r>
        <w:rPr>
          <w:rFonts w:hint="eastAsia"/>
          <w:b/>
          <w:kern w:val="0"/>
          <w:sz w:val="22"/>
        </w:rPr>
        <w:t>时间：</w:t>
      </w:r>
      <w:r>
        <w:rPr>
          <w:b/>
          <w:kern w:val="0"/>
          <w:sz w:val="22"/>
        </w:rPr>
        <w:t>120</w:t>
      </w:r>
      <w:r>
        <w:rPr>
          <w:rFonts w:hint="eastAsia"/>
          <w:b/>
          <w:kern w:val="0"/>
          <w:sz w:val="22"/>
        </w:rPr>
        <w:t>分钟</w:t>
      </w:r>
      <w:r>
        <w:rPr>
          <w:b/>
          <w:kern w:val="0"/>
          <w:sz w:val="22"/>
        </w:rPr>
        <w:t xml:space="preserve">     </w:t>
      </w:r>
      <w:r>
        <w:rPr>
          <w:rFonts w:hint="eastAsia"/>
          <w:b/>
          <w:kern w:val="0"/>
          <w:sz w:val="22"/>
        </w:rPr>
        <w:t>总分：</w:t>
      </w:r>
      <w:r>
        <w:rPr>
          <w:b/>
          <w:kern w:val="0"/>
          <w:sz w:val="22"/>
        </w:rPr>
        <w:t>100</w:t>
      </w:r>
      <w:r>
        <w:rPr>
          <w:rFonts w:hint="eastAsia"/>
          <w:b/>
          <w:kern w:val="0"/>
          <w:sz w:val="22"/>
        </w:rPr>
        <w:t>分</w:t>
      </w:r>
    </w:p>
    <w:p w:rsidR="003717A0" w:rsidRDefault="003717A0">
      <w:pPr>
        <w:rPr>
          <w:rFonts w:ascii="宋体"/>
          <w:sz w:val="24"/>
        </w:rPr>
      </w:pPr>
      <w:r>
        <w:rPr>
          <w:rFonts w:ascii="宋体" w:hAnsi="宋体" w:hint="eastAsia"/>
          <w:sz w:val="24"/>
        </w:rPr>
        <w:t>一、名词解释：（每题</w:t>
      </w:r>
      <w:r>
        <w:rPr>
          <w:rFonts w:ascii="宋体" w:hAnsi="宋体"/>
          <w:sz w:val="24"/>
        </w:rPr>
        <w:t>3</w:t>
      </w:r>
      <w:r>
        <w:rPr>
          <w:rFonts w:ascii="宋体" w:hAnsi="宋体" w:hint="eastAsia"/>
          <w:sz w:val="24"/>
        </w:rPr>
        <w:t>分，共</w:t>
      </w:r>
      <w:r>
        <w:rPr>
          <w:rFonts w:ascii="宋体" w:hAnsi="宋体"/>
          <w:sz w:val="24"/>
        </w:rPr>
        <w:t>18</w:t>
      </w:r>
      <w:r>
        <w:rPr>
          <w:rFonts w:ascii="宋体" w:hAnsi="宋体" w:hint="eastAsia"/>
          <w:sz w:val="24"/>
        </w:rPr>
        <w:t>分）</w:t>
      </w:r>
    </w:p>
    <w:p w:rsidR="003717A0" w:rsidRDefault="003717A0" w:rsidP="00EA5BFD">
      <w:pPr>
        <w:numPr>
          <w:ilvl w:val="0"/>
          <w:numId w:val="569"/>
        </w:numPr>
        <w:rPr>
          <w:rFonts w:ascii="宋体"/>
          <w:sz w:val="24"/>
        </w:rPr>
      </w:pPr>
      <w:r>
        <w:rPr>
          <w:rFonts w:ascii="宋体" w:hAnsi="宋体" w:hint="eastAsia"/>
          <w:sz w:val="24"/>
        </w:rPr>
        <w:t>电泳与电渗</w:t>
      </w:r>
    </w:p>
    <w:p w:rsidR="003717A0" w:rsidRDefault="003717A0">
      <w:pPr>
        <w:rPr>
          <w:rFonts w:ascii="宋体"/>
          <w:sz w:val="24"/>
        </w:rPr>
      </w:pPr>
    </w:p>
    <w:p w:rsidR="003717A0" w:rsidRDefault="003717A0">
      <w:pPr>
        <w:rPr>
          <w:rFonts w:ascii="宋体"/>
          <w:sz w:val="24"/>
        </w:rPr>
      </w:pPr>
    </w:p>
    <w:p w:rsidR="003717A0" w:rsidRDefault="003717A0">
      <w:pPr>
        <w:rPr>
          <w:rFonts w:ascii="宋体"/>
          <w:sz w:val="24"/>
        </w:rPr>
      </w:pPr>
    </w:p>
    <w:p w:rsidR="003717A0" w:rsidRDefault="003717A0" w:rsidP="00EA5BFD">
      <w:pPr>
        <w:numPr>
          <w:ilvl w:val="0"/>
          <w:numId w:val="569"/>
        </w:numPr>
        <w:rPr>
          <w:rFonts w:ascii="宋体"/>
          <w:sz w:val="24"/>
        </w:rPr>
      </w:pPr>
      <w:r>
        <w:rPr>
          <w:rFonts w:ascii="宋体" w:hAnsi="宋体" w:hint="eastAsia"/>
          <w:sz w:val="24"/>
        </w:rPr>
        <w:t>压电</w:t>
      </w:r>
      <w:r>
        <w:rPr>
          <w:rFonts w:ascii="宋体" w:hAnsi="宋体" w:hint="eastAsia"/>
        </w:rPr>
        <w:t>效应</w:t>
      </w:r>
    </w:p>
    <w:p w:rsidR="003717A0" w:rsidRDefault="003717A0">
      <w:pPr>
        <w:rPr>
          <w:rFonts w:ascii="宋体"/>
          <w:sz w:val="24"/>
        </w:rPr>
      </w:pPr>
    </w:p>
    <w:p w:rsidR="003717A0" w:rsidRDefault="003717A0" w:rsidP="00EA5BFD">
      <w:pPr>
        <w:numPr>
          <w:ilvl w:val="0"/>
          <w:numId w:val="569"/>
        </w:numPr>
        <w:rPr>
          <w:rFonts w:ascii="宋体"/>
          <w:sz w:val="24"/>
        </w:rPr>
      </w:pPr>
      <w:r>
        <w:rPr>
          <w:rFonts w:ascii="宋体" w:hAnsi="宋体" w:hint="eastAsia"/>
          <w:sz w:val="24"/>
        </w:rPr>
        <w:lastRenderedPageBreak/>
        <w:t>生物反馈疗法</w:t>
      </w:r>
    </w:p>
    <w:p w:rsidR="003717A0" w:rsidRDefault="003717A0">
      <w:pPr>
        <w:rPr>
          <w:rFonts w:ascii="宋体"/>
          <w:sz w:val="24"/>
        </w:rPr>
      </w:pPr>
    </w:p>
    <w:p w:rsidR="003717A0" w:rsidRDefault="003717A0">
      <w:pPr>
        <w:rPr>
          <w:rFonts w:ascii="宋体"/>
          <w:sz w:val="24"/>
        </w:rPr>
      </w:pPr>
    </w:p>
    <w:p w:rsidR="003717A0" w:rsidRDefault="003717A0">
      <w:pPr>
        <w:rPr>
          <w:rFonts w:ascii="宋体"/>
          <w:sz w:val="24"/>
        </w:rPr>
      </w:pPr>
    </w:p>
    <w:p w:rsidR="003717A0" w:rsidRDefault="003717A0" w:rsidP="00EA5BFD">
      <w:pPr>
        <w:numPr>
          <w:ilvl w:val="0"/>
          <w:numId w:val="569"/>
        </w:numPr>
        <w:rPr>
          <w:rFonts w:ascii="宋体"/>
          <w:sz w:val="24"/>
        </w:rPr>
      </w:pPr>
      <w:r>
        <w:rPr>
          <w:rFonts w:ascii="宋体" w:hAnsi="宋体" w:hint="eastAsia"/>
          <w:sz w:val="24"/>
        </w:rPr>
        <w:t>生物剂量</w:t>
      </w:r>
    </w:p>
    <w:p w:rsidR="003717A0" w:rsidRDefault="003717A0">
      <w:pPr>
        <w:rPr>
          <w:rFonts w:ascii="宋体"/>
          <w:sz w:val="24"/>
        </w:rPr>
      </w:pPr>
    </w:p>
    <w:p w:rsidR="003717A0" w:rsidRDefault="003717A0">
      <w:pPr>
        <w:rPr>
          <w:rFonts w:ascii="宋体"/>
          <w:sz w:val="24"/>
        </w:rPr>
      </w:pPr>
    </w:p>
    <w:p w:rsidR="003717A0" w:rsidRDefault="003717A0">
      <w:pPr>
        <w:rPr>
          <w:rFonts w:ascii="宋体"/>
          <w:sz w:val="24"/>
        </w:rPr>
      </w:pPr>
    </w:p>
    <w:p w:rsidR="003717A0" w:rsidRDefault="003717A0">
      <w:pPr>
        <w:spacing w:line="320" w:lineRule="exact"/>
        <w:rPr>
          <w:rFonts w:ascii="宋体"/>
          <w:sz w:val="24"/>
        </w:rPr>
      </w:pPr>
      <w:r>
        <w:rPr>
          <w:rFonts w:ascii="宋体" w:hAnsi="宋体"/>
          <w:sz w:val="24"/>
        </w:rPr>
        <w:t>5</w:t>
      </w:r>
      <w:r>
        <w:rPr>
          <w:rFonts w:ascii="宋体" w:hAnsi="宋体" w:hint="eastAsia"/>
          <w:sz w:val="24"/>
        </w:rPr>
        <w:t>、热的传递方式</w:t>
      </w:r>
    </w:p>
    <w:p w:rsidR="003717A0" w:rsidRDefault="003717A0">
      <w:pPr>
        <w:rPr>
          <w:rFonts w:ascii="宋体"/>
          <w:sz w:val="24"/>
        </w:rPr>
      </w:pPr>
    </w:p>
    <w:p w:rsidR="003717A0" w:rsidRDefault="003717A0">
      <w:pPr>
        <w:rPr>
          <w:rFonts w:ascii="宋体"/>
          <w:sz w:val="24"/>
        </w:rPr>
      </w:pPr>
    </w:p>
    <w:p w:rsidR="003717A0" w:rsidRDefault="003717A0">
      <w:pPr>
        <w:rPr>
          <w:rFonts w:ascii="宋体"/>
          <w:sz w:val="24"/>
        </w:rPr>
      </w:pPr>
    </w:p>
    <w:p w:rsidR="003717A0" w:rsidRDefault="003717A0">
      <w:pPr>
        <w:rPr>
          <w:rFonts w:ascii="宋体"/>
        </w:rPr>
      </w:pPr>
      <w:r>
        <w:rPr>
          <w:rFonts w:ascii="宋体" w:hAnsi="宋体"/>
        </w:rPr>
        <w:t>6</w:t>
      </w:r>
      <w:r>
        <w:rPr>
          <w:rFonts w:ascii="宋体" w:hAnsi="宋体" w:hint="eastAsia"/>
        </w:rPr>
        <w:t>、</w:t>
      </w:r>
      <w:r>
        <w:rPr>
          <w:rFonts w:ascii="宋体" w:hAnsi="宋体" w:hint="eastAsia"/>
          <w:sz w:val="24"/>
        </w:rPr>
        <w:t>水疗法</w:t>
      </w:r>
    </w:p>
    <w:p w:rsidR="003717A0" w:rsidRDefault="003717A0">
      <w:pPr>
        <w:rPr>
          <w:rFonts w:ascii="宋体"/>
        </w:rPr>
      </w:pPr>
    </w:p>
    <w:p w:rsidR="003717A0" w:rsidRDefault="003717A0">
      <w:pPr>
        <w:spacing w:line="420" w:lineRule="exact"/>
        <w:rPr>
          <w:rFonts w:ascii="宋体"/>
        </w:rPr>
      </w:pPr>
    </w:p>
    <w:p w:rsidR="003717A0" w:rsidRDefault="003717A0">
      <w:pPr>
        <w:spacing w:line="420" w:lineRule="exact"/>
        <w:rPr>
          <w:rFonts w:ascii="宋体"/>
        </w:rPr>
      </w:pPr>
    </w:p>
    <w:p w:rsidR="003717A0" w:rsidRDefault="003717A0">
      <w:pPr>
        <w:rPr>
          <w:rFonts w:ascii="宋体"/>
          <w:b/>
          <w:sz w:val="24"/>
        </w:rPr>
      </w:pPr>
      <w:r>
        <w:rPr>
          <w:rFonts w:ascii="宋体" w:hAnsi="宋体" w:hint="eastAsia"/>
          <w:b/>
          <w:sz w:val="24"/>
        </w:rPr>
        <w:t>二、填空题（共</w:t>
      </w:r>
      <w:r>
        <w:rPr>
          <w:rFonts w:ascii="宋体" w:hAnsi="宋体"/>
          <w:b/>
          <w:sz w:val="24"/>
        </w:rPr>
        <w:t>42</w:t>
      </w:r>
      <w:r>
        <w:rPr>
          <w:rFonts w:ascii="宋体" w:hAnsi="宋体" w:hint="eastAsia"/>
          <w:b/>
          <w:sz w:val="24"/>
        </w:rPr>
        <w:t>分，每空</w:t>
      </w:r>
      <w:r>
        <w:rPr>
          <w:rFonts w:ascii="宋体" w:hAnsi="宋体"/>
          <w:b/>
          <w:sz w:val="24"/>
        </w:rPr>
        <w:t>1</w:t>
      </w:r>
      <w:r>
        <w:rPr>
          <w:rFonts w:ascii="宋体" w:hAnsi="宋体" w:hint="eastAsia"/>
          <w:b/>
          <w:sz w:val="24"/>
        </w:rPr>
        <w:t>分）</w:t>
      </w:r>
    </w:p>
    <w:p w:rsidR="003717A0" w:rsidRDefault="003717A0">
      <w:pPr>
        <w:rPr>
          <w:rFonts w:ascii="宋体"/>
          <w:sz w:val="24"/>
        </w:rPr>
      </w:pPr>
      <w:r>
        <w:rPr>
          <w:rFonts w:ascii="宋体" w:hAnsi="宋体"/>
          <w:sz w:val="24"/>
        </w:rPr>
        <w:t>1</w:t>
      </w:r>
      <w:r>
        <w:rPr>
          <w:rFonts w:ascii="宋体" w:hAnsi="宋体" w:hint="eastAsia"/>
          <w:sz w:val="24"/>
        </w:rPr>
        <w:t>、在直流电的作用下，由于发生电泳和电渗，阴极下水分子</w:t>
      </w:r>
      <w:r>
        <w:rPr>
          <w:rFonts w:ascii="宋体" w:hAnsi="宋体"/>
          <w:sz w:val="24"/>
          <w:u w:val="single"/>
        </w:rPr>
        <w:t xml:space="preserve">               </w:t>
      </w:r>
      <w:r>
        <w:rPr>
          <w:rFonts w:ascii="宋体" w:hAnsi="宋体" w:hint="eastAsia"/>
          <w:sz w:val="24"/>
        </w:rPr>
        <w:t>、蛋白分散度</w:t>
      </w:r>
      <w:r>
        <w:rPr>
          <w:rFonts w:ascii="宋体" w:hAnsi="宋体"/>
          <w:sz w:val="24"/>
          <w:u w:val="single"/>
        </w:rPr>
        <w:t xml:space="preserve"> </w:t>
      </w:r>
      <w:r>
        <w:rPr>
          <w:rFonts w:ascii="宋体" w:hAnsi="宋体" w:hint="eastAsia"/>
          <w:sz w:val="24"/>
        </w:rPr>
        <w:t>组织</w:t>
      </w:r>
      <w:r>
        <w:rPr>
          <w:rFonts w:ascii="宋体" w:hAnsi="宋体"/>
          <w:sz w:val="24"/>
        </w:rPr>
        <w:t xml:space="preserve">                                                                                                                                    </w:t>
      </w:r>
      <w:r>
        <w:rPr>
          <w:rFonts w:ascii="宋体" w:hAnsi="宋体" w:hint="eastAsia"/>
          <w:sz w:val="24"/>
        </w:rPr>
        <w:t>膨胀变得松软，而阳极下组织水分</w:t>
      </w:r>
      <w:r>
        <w:rPr>
          <w:rFonts w:ascii="宋体" w:hAnsi="宋体"/>
          <w:sz w:val="24"/>
          <w:u w:val="single"/>
        </w:rPr>
        <w:t xml:space="preserve">         </w:t>
      </w:r>
      <w:r>
        <w:rPr>
          <w:rFonts w:ascii="宋体" w:hAnsi="宋体" w:hint="eastAsia"/>
          <w:sz w:val="24"/>
        </w:rPr>
        <w:t>，蛋白质分散度</w:t>
      </w:r>
      <w:r>
        <w:rPr>
          <w:rFonts w:ascii="宋体" w:hAnsi="宋体"/>
          <w:sz w:val="24"/>
          <w:u w:val="single"/>
        </w:rPr>
        <w:t xml:space="preserve">        </w:t>
      </w:r>
      <w:r>
        <w:rPr>
          <w:rFonts w:ascii="宋体" w:hAnsi="宋体"/>
          <w:sz w:val="24"/>
        </w:rPr>
        <w:t xml:space="preserve"> </w:t>
      </w:r>
      <w:r>
        <w:rPr>
          <w:rFonts w:ascii="宋体" w:hAnsi="宋体" w:hint="eastAsia"/>
          <w:sz w:val="24"/>
        </w:rPr>
        <w:t>组织较干燥。</w:t>
      </w:r>
    </w:p>
    <w:p w:rsidR="003717A0" w:rsidRDefault="003717A0">
      <w:pPr>
        <w:rPr>
          <w:rFonts w:ascii="宋体"/>
          <w:sz w:val="24"/>
        </w:rPr>
      </w:pPr>
      <w:r>
        <w:rPr>
          <w:rFonts w:ascii="宋体" w:hAnsi="宋体"/>
          <w:sz w:val="24"/>
        </w:rPr>
        <w:t>2</w:t>
      </w:r>
      <w:r>
        <w:rPr>
          <w:rFonts w:ascii="宋体" w:hAnsi="宋体" w:hint="eastAsia"/>
          <w:sz w:val="24"/>
        </w:rPr>
        <w:t>、离子导入是利用直流电场作用和电荷</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的特性使无机化合物或有机化合物药物离子、带电胶体微粒进入人体。</w:t>
      </w:r>
    </w:p>
    <w:p w:rsidR="003717A0" w:rsidRDefault="003717A0">
      <w:pPr>
        <w:rPr>
          <w:rFonts w:ascii="宋体"/>
          <w:sz w:val="24"/>
        </w:rPr>
      </w:pPr>
      <w:r>
        <w:rPr>
          <w:rFonts w:ascii="宋体" w:hAnsi="宋体"/>
          <w:sz w:val="24"/>
        </w:rPr>
        <w:t>3</w:t>
      </w:r>
      <w:r>
        <w:rPr>
          <w:rFonts w:ascii="宋体" w:hAnsi="宋体" w:hint="eastAsia"/>
          <w:sz w:val="24"/>
        </w:rPr>
        <w:t>、只有</w:t>
      </w:r>
      <w:r>
        <w:rPr>
          <w:rFonts w:ascii="宋体" w:hAnsi="宋体"/>
          <w:sz w:val="24"/>
          <w:u w:val="single"/>
        </w:rPr>
        <w:t xml:space="preserve">          </w:t>
      </w:r>
      <w:r>
        <w:rPr>
          <w:rFonts w:ascii="宋体" w:hAnsi="宋体" w:hint="eastAsia"/>
          <w:sz w:val="24"/>
        </w:rPr>
        <w:t>的电流才能兴奋神经肌肉组织，引起肌肉收缩。因此低频脉冲电流的主要治疗作用之一是</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r>
        <w:rPr>
          <w:rFonts w:ascii="宋体" w:hAnsi="宋体"/>
          <w:sz w:val="24"/>
        </w:rPr>
        <w:t>4</w:t>
      </w:r>
      <w:r>
        <w:rPr>
          <w:rFonts w:ascii="宋体" w:hAnsi="宋体" w:hint="eastAsia"/>
          <w:sz w:val="24"/>
        </w:rPr>
        <w:t>、低频调制中频电疗的治疗作用</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r>
        <w:rPr>
          <w:rFonts w:ascii="宋体" w:hAnsi="宋体"/>
          <w:sz w:val="24"/>
        </w:rPr>
        <w:t>5</w:t>
      </w:r>
      <w:r>
        <w:rPr>
          <w:rFonts w:ascii="宋体" w:hAnsi="宋体" w:hint="eastAsia"/>
          <w:sz w:val="24"/>
        </w:rPr>
        <w:t>、在高频电作用于人体组织时可产生明显的热效应，其产生机制</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p>
    <w:p w:rsidR="003717A0" w:rsidRDefault="003717A0">
      <w:pPr>
        <w:rPr>
          <w:rFonts w:ascii="宋体"/>
          <w:sz w:val="24"/>
          <w:u w:val="single"/>
        </w:rPr>
      </w:pPr>
      <w:r>
        <w:rPr>
          <w:rFonts w:ascii="宋体" w:hAnsi="宋体"/>
          <w:sz w:val="24"/>
        </w:rPr>
        <w:t>6</w:t>
      </w:r>
      <w:r>
        <w:rPr>
          <w:rFonts w:ascii="宋体" w:hAnsi="宋体" w:hint="eastAsia"/>
          <w:sz w:val="24"/>
        </w:rPr>
        <w:t>、紫外线Ⅱ级红斑量：照射剂量</w:t>
      </w:r>
      <w:r>
        <w:rPr>
          <w:rFonts w:ascii="宋体" w:hAnsi="宋体"/>
          <w:sz w:val="24"/>
          <w:u w:val="single"/>
        </w:rPr>
        <w:t xml:space="preserve">             </w:t>
      </w:r>
      <w:r>
        <w:rPr>
          <w:rFonts w:ascii="宋体" w:hAnsi="宋体" w:hint="eastAsia"/>
          <w:sz w:val="24"/>
        </w:rPr>
        <w:t>、照射</w:t>
      </w:r>
      <w:r>
        <w:rPr>
          <w:rFonts w:ascii="宋体" w:hAnsi="宋体"/>
          <w:sz w:val="24"/>
        </w:rPr>
        <w:t>4~6h</w:t>
      </w:r>
      <w:r>
        <w:rPr>
          <w:rFonts w:ascii="宋体" w:hAnsi="宋体" w:hint="eastAsia"/>
          <w:sz w:val="24"/>
        </w:rPr>
        <w:t>出现</w:t>
      </w:r>
      <w:r>
        <w:rPr>
          <w:rFonts w:ascii="宋体" w:hAnsi="宋体"/>
          <w:sz w:val="24"/>
          <w:u w:val="single"/>
        </w:rPr>
        <w:t xml:space="preserve">               </w:t>
      </w:r>
    </w:p>
    <w:p w:rsidR="003717A0" w:rsidRDefault="003717A0">
      <w:pPr>
        <w:rPr>
          <w:rFonts w:ascii="宋体"/>
          <w:sz w:val="24"/>
        </w:rPr>
      </w:pPr>
      <w:r>
        <w:rPr>
          <w:rFonts w:ascii="宋体" w:hAnsi="宋体" w:hint="eastAsia"/>
          <w:sz w:val="24"/>
        </w:rPr>
        <w:t>伴</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消退，皮肤有斑片状照屑和色素沉着。</w:t>
      </w:r>
    </w:p>
    <w:p w:rsidR="003717A0" w:rsidRDefault="003717A0">
      <w:pPr>
        <w:rPr>
          <w:rFonts w:ascii="宋体"/>
          <w:sz w:val="24"/>
        </w:rPr>
      </w:pPr>
      <w:r>
        <w:rPr>
          <w:rFonts w:ascii="宋体" w:hAnsi="宋体"/>
          <w:sz w:val="24"/>
        </w:rPr>
        <w:t>7</w:t>
      </w:r>
      <w:r>
        <w:rPr>
          <w:rFonts w:ascii="宋体" w:hAnsi="宋体" w:hint="eastAsia"/>
          <w:sz w:val="24"/>
        </w:rPr>
        <w:t>激光的四大特点</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p>
    <w:p w:rsidR="003717A0" w:rsidRDefault="003717A0">
      <w:pPr>
        <w:rPr>
          <w:rFonts w:ascii="宋体"/>
          <w:sz w:val="24"/>
        </w:rPr>
      </w:pPr>
      <w:r>
        <w:rPr>
          <w:rFonts w:ascii="宋体" w:hAnsi="宋体"/>
          <w:sz w:val="24"/>
        </w:rPr>
        <w:t>8</w:t>
      </w:r>
      <w:r>
        <w:rPr>
          <w:rFonts w:ascii="宋体" w:hAnsi="宋体" w:hint="eastAsia"/>
          <w:sz w:val="24"/>
        </w:rPr>
        <w:t>超声波的频率范围</w:t>
      </w:r>
      <w:r>
        <w:rPr>
          <w:rFonts w:ascii="宋体" w:hAnsi="宋体"/>
          <w:sz w:val="24"/>
          <w:u w:val="single"/>
        </w:rPr>
        <w:t xml:space="preserve">           </w:t>
      </w:r>
      <w:r>
        <w:rPr>
          <w:rFonts w:ascii="宋体" w:hAnsi="宋体" w:hint="eastAsia"/>
          <w:sz w:val="24"/>
        </w:rPr>
        <w:t>。超声波不能在</w:t>
      </w:r>
      <w:r>
        <w:rPr>
          <w:rFonts w:ascii="宋体" w:hAnsi="宋体"/>
          <w:sz w:val="24"/>
          <w:u w:val="single"/>
        </w:rPr>
        <w:t xml:space="preserve">             </w:t>
      </w:r>
      <w:r>
        <w:rPr>
          <w:rFonts w:ascii="宋体" w:hAnsi="宋体" w:hint="eastAsia"/>
          <w:sz w:val="24"/>
        </w:rPr>
        <w:t>中传播。</w:t>
      </w:r>
    </w:p>
    <w:p w:rsidR="003717A0" w:rsidRDefault="003717A0">
      <w:pPr>
        <w:rPr>
          <w:rFonts w:ascii="宋体"/>
          <w:sz w:val="24"/>
        </w:rPr>
      </w:pPr>
    </w:p>
    <w:p w:rsidR="003717A0" w:rsidRDefault="003717A0">
      <w:pPr>
        <w:rPr>
          <w:rFonts w:ascii="宋体"/>
          <w:sz w:val="24"/>
          <w:u w:val="single"/>
        </w:rPr>
      </w:pPr>
      <w:r>
        <w:rPr>
          <w:rFonts w:ascii="宋体" w:hAnsi="宋体"/>
          <w:sz w:val="24"/>
        </w:rPr>
        <w:t>9</w:t>
      </w:r>
      <w:r>
        <w:rPr>
          <w:rFonts w:ascii="宋体" w:hAnsi="宋体" w:hint="eastAsia"/>
          <w:sz w:val="24"/>
        </w:rPr>
        <w:t>热传递的方式有</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p>
    <w:p w:rsidR="003717A0" w:rsidRDefault="003717A0">
      <w:pPr>
        <w:rPr>
          <w:rFonts w:ascii="宋体"/>
          <w:sz w:val="24"/>
        </w:rPr>
      </w:pPr>
      <w:r>
        <w:rPr>
          <w:rFonts w:ascii="宋体" w:hAnsi="宋体"/>
          <w:sz w:val="24"/>
        </w:rPr>
        <w:t>10</w:t>
      </w:r>
      <w:r>
        <w:rPr>
          <w:rFonts w:ascii="宋体" w:hAnsi="宋体" w:hint="eastAsia"/>
          <w:sz w:val="24"/>
        </w:rPr>
        <w:t>、石蜡的治疗作用因素</w:t>
      </w:r>
      <w:r>
        <w:rPr>
          <w:rFonts w:ascii="宋体" w:hAnsi="宋体"/>
          <w:sz w:val="24"/>
        </w:rPr>
        <w:t xml:space="preserve"> </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r>
        <w:rPr>
          <w:rFonts w:ascii="宋体" w:hAnsi="宋体"/>
          <w:sz w:val="24"/>
        </w:rPr>
        <w:t>11</w:t>
      </w:r>
      <w:r>
        <w:rPr>
          <w:rFonts w:ascii="宋体" w:hAnsi="宋体" w:hint="eastAsia"/>
          <w:sz w:val="24"/>
        </w:rPr>
        <w:t>、水疗法分类中按温度分类包括</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r>
        <w:rPr>
          <w:rFonts w:ascii="宋体" w:hAnsi="宋体"/>
          <w:sz w:val="24"/>
        </w:rPr>
        <w:t>12</w:t>
      </w:r>
      <w:r>
        <w:rPr>
          <w:rFonts w:ascii="宋体" w:hAnsi="宋体" w:hint="eastAsia"/>
          <w:sz w:val="24"/>
        </w:rPr>
        <w:t>、急性创伤在</w:t>
      </w:r>
      <w:r>
        <w:rPr>
          <w:rFonts w:ascii="宋体" w:hAnsi="宋体"/>
          <w:sz w:val="24"/>
          <w:u w:val="single"/>
        </w:rPr>
        <w:t xml:space="preserve">             </w:t>
      </w:r>
      <w:r>
        <w:rPr>
          <w:rFonts w:ascii="宋体" w:hAnsi="宋体" w:hint="eastAsia"/>
          <w:sz w:val="24"/>
        </w:rPr>
        <w:t>时间内局部不易用红外线照射，以免加剧疼痛和渗出，局部感觉障碍者宜</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p>
    <w:p w:rsidR="003717A0" w:rsidRDefault="003717A0">
      <w:pPr>
        <w:spacing w:line="420" w:lineRule="exact"/>
        <w:rPr>
          <w:rFonts w:ascii="宋体"/>
        </w:rPr>
      </w:pPr>
      <w:r>
        <w:rPr>
          <w:rFonts w:ascii="宋体" w:hAnsi="宋体"/>
          <w:sz w:val="24"/>
        </w:rPr>
        <w:lastRenderedPageBreak/>
        <w:t>13</w:t>
      </w:r>
      <w:r>
        <w:rPr>
          <w:rFonts w:ascii="宋体" w:hAnsi="宋体" w:hint="eastAsia"/>
          <w:sz w:val="24"/>
        </w:rPr>
        <w:t>、直流电疗时，组织兴奋性阴极</w:t>
      </w:r>
      <w:r>
        <w:rPr>
          <w:rFonts w:ascii="宋体" w:hAnsi="宋体"/>
          <w:sz w:val="24"/>
          <w:u w:val="single"/>
        </w:rPr>
        <w:t xml:space="preserve">       </w:t>
      </w:r>
      <w:r>
        <w:rPr>
          <w:rFonts w:ascii="宋体" w:hAnsi="宋体" w:hint="eastAsia"/>
          <w:sz w:val="24"/>
        </w:rPr>
        <w:t>阳极</w:t>
      </w:r>
      <w:r>
        <w:rPr>
          <w:rFonts w:ascii="宋体" w:hAnsi="宋体"/>
          <w:sz w:val="24"/>
          <w:u w:val="single"/>
        </w:rPr>
        <w:t xml:space="preserve">       </w:t>
      </w:r>
      <w:r>
        <w:rPr>
          <w:rFonts w:ascii="宋体" w:hAnsi="宋体" w:hint="eastAsia"/>
          <w:sz w:val="24"/>
        </w:rPr>
        <w:t>。</w:t>
      </w:r>
    </w:p>
    <w:p w:rsidR="003717A0" w:rsidRDefault="003717A0">
      <w:pPr>
        <w:rPr>
          <w:rFonts w:ascii="宋体"/>
          <w:sz w:val="24"/>
        </w:rPr>
      </w:pPr>
      <w:r>
        <w:rPr>
          <w:rFonts w:ascii="宋体" w:hAnsi="宋体" w:hint="eastAsia"/>
          <w:b/>
          <w:sz w:val="24"/>
        </w:rPr>
        <w:t>三、</w:t>
      </w:r>
      <w:r>
        <w:rPr>
          <w:rFonts w:ascii="宋体" w:hAnsi="宋体" w:hint="eastAsia"/>
          <w:sz w:val="24"/>
        </w:rPr>
        <w:t>选择题：（每题</w:t>
      </w:r>
      <w:r>
        <w:rPr>
          <w:rFonts w:ascii="宋体" w:hAnsi="宋体"/>
          <w:sz w:val="24"/>
        </w:rPr>
        <w:t>2</w:t>
      </w:r>
      <w:r>
        <w:rPr>
          <w:rFonts w:ascii="宋体" w:hAnsi="宋体" w:hint="eastAsia"/>
          <w:sz w:val="24"/>
        </w:rPr>
        <w:t>分，共</w:t>
      </w:r>
      <w:r>
        <w:rPr>
          <w:rFonts w:ascii="宋体" w:hAnsi="宋体"/>
          <w:sz w:val="24"/>
        </w:rPr>
        <w:t>16</w:t>
      </w:r>
      <w:r>
        <w:rPr>
          <w:rFonts w:ascii="宋体" w:hAnsi="宋体" w:hint="eastAsia"/>
          <w:sz w:val="24"/>
        </w:rPr>
        <w:t>分）</w:t>
      </w:r>
    </w:p>
    <w:p w:rsidR="003717A0" w:rsidRDefault="003717A0">
      <w:pPr>
        <w:rPr>
          <w:rFonts w:ascii="宋体"/>
          <w:sz w:val="24"/>
        </w:rPr>
      </w:pPr>
      <w:r>
        <w:rPr>
          <w:rFonts w:ascii="宋体" w:hAnsi="宋体"/>
          <w:sz w:val="24"/>
        </w:rPr>
        <w:t>1</w:t>
      </w:r>
      <w:r>
        <w:rPr>
          <w:rFonts w:ascii="宋体" w:hAnsi="宋体" w:hint="eastAsia"/>
          <w:sz w:val="24"/>
        </w:rPr>
        <w:t>、直流电疗时，阴极下组织内不会出现（</w:t>
      </w:r>
      <w:r>
        <w:rPr>
          <w:rFonts w:ascii="宋体" w:hAnsi="宋体"/>
          <w:sz w:val="24"/>
        </w:rPr>
        <w:t xml:space="preserve">     </w:t>
      </w:r>
      <w:r>
        <w:rPr>
          <w:rFonts w:ascii="宋体" w:hAnsi="宋体" w:hint="eastAsia"/>
          <w:sz w:val="24"/>
        </w:rPr>
        <w:t>）</w:t>
      </w:r>
    </w:p>
    <w:p w:rsidR="003717A0" w:rsidRDefault="003717A0">
      <w:pPr>
        <w:rPr>
          <w:rFonts w:ascii="宋体"/>
          <w:sz w:val="24"/>
        </w:rPr>
      </w:pPr>
      <w:r>
        <w:rPr>
          <w:rFonts w:ascii="宋体" w:hAnsi="宋体"/>
          <w:sz w:val="24"/>
        </w:rPr>
        <w:t>A</w:t>
      </w:r>
      <w:r>
        <w:rPr>
          <w:rFonts w:ascii="宋体" w:hAnsi="宋体" w:hint="eastAsia"/>
          <w:sz w:val="24"/>
        </w:rPr>
        <w:t>、</w:t>
      </w:r>
      <w:r>
        <w:rPr>
          <w:rFonts w:ascii="宋体" w:hAnsi="宋体"/>
          <w:sz w:val="24"/>
        </w:rPr>
        <w:t>PH</w:t>
      </w:r>
      <w:r>
        <w:rPr>
          <w:rFonts w:ascii="宋体" w:hAnsi="宋体" w:hint="eastAsia"/>
          <w:sz w:val="24"/>
        </w:rPr>
        <w:t>值偏酸</w:t>
      </w:r>
      <w:r>
        <w:rPr>
          <w:rFonts w:ascii="宋体" w:hAnsi="宋体"/>
          <w:sz w:val="24"/>
        </w:rPr>
        <w:t xml:space="preserve">                             B</w:t>
      </w:r>
      <w:r>
        <w:rPr>
          <w:rFonts w:ascii="宋体" w:hAnsi="宋体" w:hint="eastAsia"/>
          <w:sz w:val="24"/>
        </w:rPr>
        <w:t>、细胞膜致密</w:t>
      </w:r>
    </w:p>
    <w:p w:rsidR="003717A0" w:rsidRDefault="003717A0">
      <w:pPr>
        <w:rPr>
          <w:rFonts w:ascii="宋体"/>
          <w:sz w:val="24"/>
        </w:rPr>
      </w:pPr>
      <w:r>
        <w:rPr>
          <w:rFonts w:ascii="宋体" w:hAnsi="宋体"/>
          <w:sz w:val="24"/>
        </w:rPr>
        <w:t>C</w:t>
      </w:r>
      <w:r>
        <w:rPr>
          <w:rFonts w:ascii="宋体" w:hAnsi="宋体" w:hint="eastAsia"/>
          <w:sz w:val="24"/>
        </w:rPr>
        <w:t>、组织含水量增加</w:t>
      </w:r>
      <w:r>
        <w:rPr>
          <w:rFonts w:ascii="宋体" w:hAnsi="宋体"/>
          <w:sz w:val="24"/>
        </w:rPr>
        <w:t xml:space="preserve">                        D</w:t>
      </w:r>
      <w:r>
        <w:rPr>
          <w:rFonts w:ascii="宋体" w:hAnsi="宋体" w:hint="eastAsia"/>
          <w:sz w:val="24"/>
        </w:rPr>
        <w:t>、神经兴奋性降低</w:t>
      </w:r>
    </w:p>
    <w:p w:rsidR="003717A0" w:rsidRDefault="003717A0">
      <w:pPr>
        <w:rPr>
          <w:rFonts w:ascii="宋体" w:cs="宋体"/>
        </w:rPr>
      </w:pPr>
      <w:r>
        <w:rPr>
          <w:rFonts w:ascii="宋体" w:hAnsi="宋体"/>
          <w:sz w:val="24"/>
        </w:rPr>
        <w:t>E</w:t>
      </w:r>
      <w:r>
        <w:rPr>
          <w:rFonts w:ascii="宋体" w:hAnsi="宋体" w:hint="eastAsia"/>
          <w:sz w:val="24"/>
        </w:rPr>
        <w:t>、</w:t>
      </w:r>
      <w:r>
        <w:rPr>
          <w:rFonts w:ascii="宋体" w:hAnsi="宋体"/>
          <w:sz w:val="24"/>
        </w:rPr>
        <w:t>PH</w:t>
      </w:r>
      <w:r>
        <w:rPr>
          <w:rFonts w:ascii="宋体" w:hAnsi="宋体" w:hint="eastAsia"/>
          <w:sz w:val="24"/>
        </w:rPr>
        <w:t>值偏碱</w:t>
      </w:r>
    </w:p>
    <w:p w:rsidR="003717A0" w:rsidRDefault="003717A0">
      <w:pPr>
        <w:rPr>
          <w:rFonts w:ascii="宋体" w:cs="宋体"/>
        </w:rPr>
      </w:pPr>
      <w:r>
        <w:rPr>
          <w:rFonts w:ascii="宋体" w:hAnsi="宋体" w:cs="宋体"/>
        </w:rPr>
        <w:t>2</w:t>
      </w:r>
      <w:r>
        <w:rPr>
          <w:rFonts w:ascii="宋体" w:hAnsi="宋体" w:cs="宋体" w:hint="eastAsia"/>
        </w:rPr>
        <w:t>．</w:t>
      </w:r>
      <w:r>
        <w:rPr>
          <w:rFonts w:ascii="宋体" w:hAnsi="宋体" w:cs="宋体" w:hint="eastAsia"/>
          <w:sz w:val="24"/>
        </w:rPr>
        <w:t>下列属于中频电疗法的是</w:t>
      </w:r>
      <w:r>
        <w:rPr>
          <w:rFonts w:ascii="宋体" w:hAnsi="宋体" w:cs="宋体"/>
        </w:rPr>
        <w:t xml:space="preserve">   </w:t>
      </w:r>
      <w:r>
        <w:rPr>
          <w:rFonts w:ascii="宋体" w:hAnsi="宋体" w:cs="宋体" w:hint="eastAsia"/>
        </w:rPr>
        <w:t>（</w:t>
      </w:r>
      <w:r>
        <w:rPr>
          <w:rFonts w:ascii="宋体" w:hAnsi="宋体" w:cs="宋体"/>
        </w:rPr>
        <w:t xml:space="preserve">      </w:t>
      </w:r>
      <w:r>
        <w:rPr>
          <w:rFonts w:ascii="宋体" w:hAnsi="宋体" w:cs="宋体" w:hint="eastAsia"/>
        </w:rPr>
        <w:t>）</w:t>
      </w:r>
    </w:p>
    <w:p w:rsidR="003717A0" w:rsidRDefault="003717A0">
      <w:pPr>
        <w:rPr>
          <w:rFonts w:ascii="宋体"/>
          <w:sz w:val="24"/>
        </w:rPr>
      </w:pPr>
      <w:r>
        <w:rPr>
          <w:rFonts w:ascii="宋体" w:hAnsi="宋体"/>
          <w:sz w:val="24"/>
        </w:rPr>
        <w:t>A</w:t>
      </w:r>
      <w:r>
        <w:rPr>
          <w:rFonts w:ascii="宋体" w:hAnsi="宋体" w:hint="eastAsia"/>
          <w:sz w:val="24"/>
        </w:rPr>
        <w:t>．干扰电疗法</w:t>
      </w:r>
    </w:p>
    <w:p w:rsidR="003717A0" w:rsidRDefault="003717A0">
      <w:pPr>
        <w:rPr>
          <w:rFonts w:ascii="宋体"/>
          <w:sz w:val="24"/>
        </w:rPr>
      </w:pPr>
      <w:r>
        <w:rPr>
          <w:rFonts w:ascii="宋体" w:hAnsi="宋体"/>
          <w:sz w:val="24"/>
        </w:rPr>
        <w:t>B</w:t>
      </w:r>
      <w:r>
        <w:rPr>
          <w:rFonts w:ascii="宋体" w:hAnsi="宋体" w:hint="eastAsia"/>
          <w:sz w:val="24"/>
        </w:rPr>
        <w:t>．音频电疗法</w:t>
      </w:r>
    </w:p>
    <w:p w:rsidR="003717A0" w:rsidRDefault="003717A0">
      <w:pPr>
        <w:rPr>
          <w:rFonts w:ascii="宋体"/>
          <w:sz w:val="24"/>
        </w:rPr>
      </w:pPr>
      <w:r>
        <w:rPr>
          <w:rFonts w:ascii="宋体" w:hAnsi="宋体"/>
          <w:sz w:val="24"/>
        </w:rPr>
        <w:t>C</w:t>
      </w:r>
      <w:r>
        <w:rPr>
          <w:rFonts w:ascii="宋体" w:hAnsi="宋体" w:hint="eastAsia"/>
          <w:sz w:val="24"/>
        </w:rPr>
        <w:t>．功能性电刺激疗法</w:t>
      </w:r>
    </w:p>
    <w:p w:rsidR="003717A0" w:rsidRDefault="003717A0">
      <w:pPr>
        <w:rPr>
          <w:rFonts w:ascii="宋体"/>
          <w:sz w:val="24"/>
        </w:rPr>
      </w:pPr>
      <w:r>
        <w:rPr>
          <w:rFonts w:ascii="宋体" w:hAnsi="宋体"/>
          <w:sz w:val="24"/>
        </w:rPr>
        <w:t>D</w:t>
      </w:r>
      <w:r>
        <w:rPr>
          <w:rFonts w:ascii="宋体" w:hAnsi="宋体" w:hint="eastAsia"/>
          <w:sz w:val="24"/>
        </w:rPr>
        <w:t>．感应电疗法</w:t>
      </w:r>
    </w:p>
    <w:p w:rsidR="003717A0" w:rsidRDefault="003717A0">
      <w:pPr>
        <w:rPr>
          <w:rFonts w:ascii="宋体"/>
          <w:sz w:val="24"/>
        </w:rPr>
      </w:pPr>
      <w:r>
        <w:rPr>
          <w:rFonts w:ascii="宋体" w:hAnsi="宋体"/>
          <w:sz w:val="24"/>
        </w:rPr>
        <w:t>E</w:t>
      </w:r>
      <w:r>
        <w:rPr>
          <w:rFonts w:ascii="宋体" w:hAnsi="宋体" w:hint="eastAsia"/>
          <w:sz w:val="24"/>
        </w:rPr>
        <w:t>、经皮神经电刺激疗法</w:t>
      </w:r>
    </w:p>
    <w:p w:rsidR="003717A0" w:rsidRDefault="003717A0">
      <w:pPr>
        <w:rPr>
          <w:rFonts w:ascii="宋体"/>
          <w:sz w:val="24"/>
        </w:rPr>
      </w:pPr>
    </w:p>
    <w:p w:rsidR="003717A0" w:rsidRDefault="003717A0">
      <w:pPr>
        <w:spacing w:line="400" w:lineRule="exact"/>
        <w:ind w:left="120"/>
        <w:rPr>
          <w:rFonts w:ascii="宋体"/>
          <w:sz w:val="24"/>
        </w:rPr>
      </w:pPr>
      <w:r>
        <w:rPr>
          <w:rFonts w:ascii="宋体" w:hAnsi="宋体"/>
          <w:sz w:val="24"/>
        </w:rPr>
        <w:t>3</w:t>
      </w:r>
      <w:r>
        <w:rPr>
          <w:rFonts w:ascii="宋体" w:hAnsi="宋体" w:hint="eastAsia"/>
          <w:sz w:val="24"/>
        </w:rPr>
        <w:t>、红外线的光谱为（</w:t>
      </w:r>
      <w:r>
        <w:rPr>
          <w:rFonts w:ascii="宋体" w:hAnsi="宋体"/>
          <w:sz w:val="24"/>
        </w:rPr>
        <w:t xml:space="preserve">       </w:t>
      </w:r>
      <w:r>
        <w:rPr>
          <w:rFonts w:ascii="宋体" w:hAnsi="宋体" w:hint="eastAsia"/>
          <w:sz w:val="24"/>
        </w:rPr>
        <w:t>）</w:t>
      </w:r>
    </w:p>
    <w:p w:rsidR="003717A0" w:rsidRDefault="003717A0">
      <w:pPr>
        <w:spacing w:line="400" w:lineRule="exact"/>
        <w:ind w:left="120"/>
        <w:rPr>
          <w:rFonts w:ascii="宋体"/>
          <w:sz w:val="24"/>
        </w:rPr>
      </w:pPr>
      <w:r>
        <w:rPr>
          <w:rFonts w:ascii="宋体" w:hAnsi="宋体"/>
          <w:sz w:val="24"/>
        </w:rPr>
        <w:t>A</w:t>
      </w:r>
      <w:r>
        <w:rPr>
          <w:rFonts w:ascii="宋体" w:hAnsi="宋体" w:hint="eastAsia"/>
          <w:sz w:val="24"/>
        </w:rPr>
        <w:t>、</w:t>
      </w:r>
      <w:r>
        <w:rPr>
          <w:rFonts w:ascii="宋体" w:hAnsi="宋体"/>
          <w:sz w:val="24"/>
        </w:rPr>
        <w:t>0.2 um~760 nm                     B</w:t>
      </w:r>
      <w:r>
        <w:rPr>
          <w:rFonts w:ascii="宋体" w:hAnsi="宋体" w:hint="eastAsia"/>
          <w:sz w:val="24"/>
        </w:rPr>
        <w:t>、</w:t>
      </w:r>
      <w:r>
        <w:rPr>
          <w:rFonts w:ascii="宋体" w:hAnsi="宋体"/>
          <w:sz w:val="24"/>
        </w:rPr>
        <w:t>0.4 um~760 nm</w:t>
      </w:r>
    </w:p>
    <w:p w:rsidR="003717A0" w:rsidRDefault="003717A0">
      <w:pPr>
        <w:spacing w:line="400" w:lineRule="exact"/>
        <w:ind w:left="120"/>
        <w:rPr>
          <w:rFonts w:ascii="宋体"/>
          <w:sz w:val="24"/>
        </w:rPr>
      </w:pPr>
      <w:r>
        <w:rPr>
          <w:rFonts w:ascii="宋体" w:hAnsi="宋体"/>
          <w:sz w:val="24"/>
        </w:rPr>
        <w:t>C</w:t>
      </w:r>
      <w:r>
        <w:rPr>
          <w:rFonts w:ascii="宋体" w:hAnsi="宋体" w:hint="eastAsia"/>
          <w:sz w:val="24"/>
          <w:lang w:val="pt-BR"/>
        </w:rPr>
        <w:t>、</w:t>
      </w:r>
      <w:r>
        <w:rPr>
          <w:rFonts w:ascii="宋体" w:hAnsi="宋体"/>
          <w:sz w:val="24"/>
        </w:rPr>
        <w:t>0.3 um~760 nm                 D</w:t>
      </w:r>
      <w:r>
        <w:rPr>
          <w:rFonts w:ascii="宋体" w:hAnsi="宋体" w:hint="eastAsia"/>
          <w:sz w:val="24"/>
        </w:rPr>
        <w:t>、</w:t>
      </w:r>
      <w:r>
        <w:rPr>
          <w:rFonts w:ascii="宋体" w:hAnsi="宋体"/>
          <w:sz w:val="24"/>
        </w:rPr>
        <w:t>1000 um~760 nm</w:t>
      </w:r>
    </w:p>
    <w:p w:rsidR="003717A0" w:rsidRDefault="003717A0">
      <w:pPr>
        <w:spacing w:line="400" w:lineRule="exact"/>
        <w:ind w:left="120"/>
        <w:rPr>
          <w:rFonts w:ascii="宋体"/>
          <w:sz w:val="24"/>
          <w:lang w:val="pt-BR"/>
        </w:rPr>
      </w:pPr>
      <w:r>
        <w:rPr>
          <w:rFonts w:ascii="宋体" w:hAnsi="宋体"/>
          <w:sz w:val="24"/>
          <w:lang w:val="pt-BR"/>
        </w:rPr>
        <w:t>E</w:t>
      </w:r>
      <w:r>
        <w:rPr>
          <w:rFonts w:ascii="宋体" w:hAnsi="宋体" w:hint="eastAsia"/>
          <w:sz w:val="24"/>
          <w:lang w:val="pt-BR"/>
        </w:rPr>
        <w:t>、</w:t>
      </w:r>
      <w:r>
        <w:rPr>
          <w:rFonts w:ascii="宋体" w:hAnsi="宋体"/>
          <w:sz w:val="24"/>
          <w:lang w:val="pt-BR"/>
        </w:rPr>
        <w:t>0.5 um~760 nm</w:t>
      </w:r>
    </w:p>
    <w:p w:rsidR="003717A0" w:rsidRDefault="003717A0">
      <w:pPr>
        <w:rPr>
          <w:rFonts w:ascii="宋体"/>
          <w:sz w:val="24"/>
        </w:rPr>
      </w:pPr>
    </w:p>
    <w:p w:rsidR="003717A0" w:rsidRDefault="003717A0">
      <w:pPr>
        <w:rPr>
          <w:rFonts w:ascii="宋体"/>
          <w:sz w:val="24"/>
        </w:rPr>
      </w:pPr>
      <w:r>
        <w:rPr>
          <w:rFonts w:ascii="宋体" w:hAnsi="宋体"/>
          <w:sz w:val="24"/>
        </w:rPr>
        <w:t>4</w:t>
      </w:r>
      <w:r>
        <w:rPr>
          <w:rFonts w:ascii="宋体" w:hAnsi="宋体" w:hint="eastAsia"/>
          <w:sz w:val="24"/>
        </w:rPr>
        <w:t>、无热量超短波治疗主要用于（</w:t>
      </w:r>
      <w:r>
        <w:rPr>
          <w:rFonts w:ascii="宋体" w:hAnsi="宋体"/>
          <w:sz w:val="24"/>
        </w:rPr>
        <w:t xml:space="preserve">  </w:t>
      </w:r>
      <w:r>
        <w:rPr>
          <w:rFonts w:ascii="宋体" w:hAnsi="宋体" w:hint="eastAsia"/>
          <w:sz w:val="24"/>
        </w:rPr>
        <w:t>）</w:t>
      </w:r>
    </w:p>
    <w:p w:rsidR="003717A0" w:rsidRDefault="003717A0">
      <w:pPr>
        <w:rPr>
          <w:rFonts w:ascii="宋体"/>
          <w:sz w:val="24"/>
        </w:rPr>
      </w:pPr>
      <w:r>
        <w:rPr>
          <w:rFonts w:ascii="宋体" w:hAnsi="宋体"/>
          <w:sz w:val="24"/>
        </w:rPr>
        <w:t>A</w:t>
      </w:r>
      <w:r>
        <w:rPr>
          <w:rFonts w:ascii="宋体" w:hAnsi="宋体" w:hint="eastAsia"/>
          <w:sz w:val="24"/>
        </w:rPr>
        <w:t>、急性疾病</w:t>
      </w:r>
    </w:p>
    <w:p w:rsidR="003717A0" w:rsidRDefault="003717A0">
      <w:pPr>
        <w:rPr>
          <w:rFonts w:ascii="宋体"/>
          <w:sz w:val="24"/>
        </w:rPr>
      </w:pPr>
      <w:r>
        <w:rPr>
          <w:rFonts w:ascii="宋体" w:hAnsi="宋体"/>
          <w:sz w:val="24"/>
        </w:rPr>
        <w:t>B</w:t>
      </w:r>
      <w:r>
        <w:rPr>
          <w:rFonts w:ascii="宋体" w:hAnsi="宋体" w:hint="eastAsia"/>
          <w:sz w:val="24"/>
        </w:rPr>
        <w:t>、亚急性疾病</w:t>
      </w:r>
    </w:p>
    <w:p w:rsidR="003717A0" w:rsidRDefault="003717A0">
      <w:pPr>
        <w:rPr>
          <w:rFonts w:ascii="宋体"/>
          <w:sz w:val="24"/>
        </w:rPr>
      </w:pPr>
      <w:r>
        <w:rPr>
          <w:rFonts w:ascii="宋体" w:hAnsi="宋体"/>
          <w:sz w:val="24"/>
        </w:rPr>
        <w:t>C</w:t>
      </w:r>
      <w:r>
        <w:rPr>
          <w:rFonts w:ascii="宋体" w:hAnsi="宋体" w:hint="eastAsia"/>
          <w:sz w:val="24"/>
        </w:rPr>
        <w:t>、慢性疾病</w:t>
      </w:r>
    </w:p>
    <w:p w:rsidR="003717A0" w:rsidRDefault="003717A0">
      <w:pPr>
        <w:rPr>
          <w:rFonts w:ascii="宋体"/>
          <w:sz w:val="24"/>
        </w:rPr>
      </w:pPr>
      <w:r>
        <w:rPr>
          <w:rFonts w:ascii="宋体" w:hAnsi="宋体"/>
          <w:sz w:val="24"/>
        </w:rPr>
        <w:t>D</w:t>
      </w:r>
      <w:r>
        <w:rPr>
          <w:rFonts w:ascii="宋体" w:hAnsi="宋体" w:hint="eastAsia"/>
          <w:sz w:val="24"/>
        </w:rPr>
        <w:t>、恶性肿瘤</w:t>
      </w:r>
    </w:p>
    <w:p w:rsidR="003717A0" w:rsidRDefault="003717A0">
      <w:pPr>
        <w:rPr>
          <w:rFonts w:ascii="宋体"/>
          <w:sz w:val="24"/>
        </w:rPr>
      </w:pPr>
      <w:r>
        <w:rPr>
          <w:rFonts w:ascii="宋体" w:hAnsi="宋体"/>
          <w:sz w:val="24"/>
        </w:rPr>
        <w:t>E</w:t>
      </w:r>
      <w:r>
        <w:rPr>
          <w:rFonts w:ascii="宋体" w:hAnsi="宋体" w:hint="eastAsia"/>
          <w:sz w:val="24"/>
        </w:rPr>
        <w:t>、肢体瘫痪</w:t>
      </w:r>
    </w:p>
    <w:p w:rsidR="003717A0" w:rsidRDefault="003717A0">
      <w:pPr>
        <w:pStyle w:val="a9"/>
        <w:rPr>
          <w:rFonts w:hAnsi="宋体"/>
          <w:sz w:val="24"/>
        </w:rPr>
      </w:pPr>
    </w:p>
    <w:p w:rsidR="003717A0" w:rsidRDefault="003717A0">
      <w:pPr>
        <w:spacing w:line="400" w:lineRule="exact"/>
        <w:ind w:left="120"/>
        <w:rPr>
          <w:rFonts w:ascii="宋体"/>
          <w:sz w:val="24"/>
          <w:lang w:val="pt-BR"/>
        </w:rPr>
      </w:pPr>
      <w:r>
        <w:rPr>
          <w:rFonts w:ascii="宋体" w:hAnsi="宋体"/>
          <w:sz w:val="24"/>
          <w:lang w:val="pt-BR"/>
        </w:rPr>
        <w:t>5</w:t>
      </w:r>
      <w:r>
        <w:rPr>
          <w:rFonts w:ascii="宋体" w:hAnsi="宋体" w:hint="eastAsia"/>
          <w:sz w:val="24"/>
          <w:lang w:val="pt-BR"/>
        </w:rPr>
        <w:t>、超声波生物学作用（</w:t>
      </w:r>
      <w:r>
        <w:rPr>
          <w:rFonts w:ascii="宋体" w:hAnsi="宋体"/>
          <w:sz w:val="24"/>
          <w:lang w:val="pt-BR"/>
        </w:rPr>
        <w:t xml:space="preserve">        </w:t>
      </w:r>
      <w:r>
        <w:rPr>
          <w:rFonts w:ascii="宋体" w:hAnsi="宋体" w:hint="eastAsia"/>
          <w:sz w:val="24"/>
          <w:lang w:val="pt-BR"/>
        </w:rPr>
        <w:t>）</w:t>
      </w:r>
    </w:p>
    <w:p w:rsidR="003717A0" w:rsidRDefault="003717A0">
      <w:pPr>
        <w:spacing w:line="400" w:lineRule="exact"/>
        <w:ind w:left="120"/>
        <w:rPr>
          <w:rFonts w:ascii="宋体"/>
          <w:sz w:val="24"/>
          <w:lang w:val="pt-BR"/>
        </w:rPr>
      </w:pPr>
      <w:r>
        <w:rPr>
          <w:rFonts w:ascii="宋体" w:hAnsi="宋体"/>
          <w:sz w:val="24"/>
          <w:lang w:val="pt-BR"/>
        </w:rPr>
        <w:t>A</w:t>
      </w:r>
      <w:r>
        <w:rPr>
          <w:rFonts w:ascii="宋体" w:hAnsi="宋体" w:hint="eastAsia"/>
          <w:sz w:val="24"/>
          <w:lang w:val="pt-BR"/>
        </w:rPr>
        <w:t>、机械作用</w:t>
      </w:r>
      <w:r>
        <w:rPr>
          <w:rFonts w:ascii="宋体" w:hAnsi="宋体"/>
          <w:sz w:val="24"/>
          <w:lang w:val="pt-BR"/>
        </w:rPr>
        <w:t xml:space="preserve">                         B</w:t>
      </w:r>
      <w:r>
        <w:rPr>
          <w:rFonts w:ascii="宋体" w:hAnsi="宋体" w:hint="eastAsia"/>
          <w:sz w:val="24"/>
          <w:lang w:val="pt-BR"/>
        </w:rPr>
        <w:t>、冷作用</w:t>
      </w:r>
    </w:p>
    <w:p w:rsidR="003717A0" w:rsidRDefault="003717A0">
      <w:pPr>
        <w:spacing w:line="400" w:lineRule="exact"/>
        <w:ind w:left="120"/>
        <w:rPr>
          <w:rFonts w:ascii="宋体"/>
          <w:sz w:val="24"/>
          <w:lang w:val="pt-BR"/>
        </w:rPr>
      </w:pPr>
      <w:r>
        <w:rPr>
          <w:rFonts w:ascii="宋体" w:hAnsi="宋体"/>
          <w:sz w:val="24"/>
          <w:lang w:val="pt-BR"/>
        </w:rPr>
        <w:t>C</w:t>
      </w:r>
      <w:r>
        <w:rPr>
          <w:rFonts w:ascii="宋体" w:hAnsi="宋体" w:hint="eastAsia"/>
          <w:sz w:val="24"/>
          <w:lang w:val="pt-BR"/>
        </w:rPr>
        <w:t>、温热作用</w:t>
      </w:r>
      <w:r>
        <w:rPr>
          <w:rFonts w:ascii="宋体" w:hAnsi="宋体"/>
          <w:sz w:val="24"/>
          <w:lang w:val="pt-BR"/>
        </w:rPr>
        <w:t xml:space="preserve">                         D</w:t>
      </w:r>
      <w:r>
        <w:rPr>
          <w:rFonts w:ascii="宋体" w:hAnsi="宋体" w:hint="eastAsia"/>
          <w:sz w:val="24"/>
          <w:lang w:val="pt-BR"/>
        </w:rPr>
        <w:t>、低温作用</w:t>
      </w:r>
    </w:p>
    <w:p w:rsidR="003717A0" w:rsidRDefault="003717A0">
      <w:pPr>
        <w:spacing w:line="400" w:lineRule="exact"/>
        <w:ind w:left="120"/>
        <w:rPr>
          <w:rFonts w:ascii="宋体"/>
          <w:sz w:val="24"/>
          <w:lang w:val="pt-BR"/>
        </w:rPr>
      </w:pPr>
      <w:r>
        <w:rPr>
          <w:rFonts w:ascii="宋体" w:hAnsi="宋体"/>
          <w:sz w:val="24"/>
          <w:lang w:val="pt-BR"/>
        </w:rPr>
        <w:t>E</w:t>
      </w:r>
      <w:r>
        <w:rPr>
          <w:rFonts w:ascii="宋体" w:hAnsi="宋体" w:hint="eastAsia"/>
          <w:sz w:val="24"/>
          <w:lang w:val="pt-BR"/>
        </w:rPr>
        <w:t>、理化作用</w:t>
      </w:r>
    </w:p>
    <w:p w:rsidR="003717A0" w:rsidRDefault="003717A0">
      <w:pPr>
        <w:pStyle w:val="a9"/>
        <w:rPr>
          <w:rFonts w:hAnsi="宋体" w:cs="宋体"/>
        </w:rPr>
      </w:pPr>
    </w:p>
    <w:p w:rsidR="003717A0" w:rsidRDefault="003717A0">
      <w:pPr>
        <w:spacing w:line="400" w:lineRule="exact"/>
        <w:ind w:left="120"/>
        <w:rPr>
          <w:rFonts w:ascii="宋体"/>
          <w:sz w:val="24"/>
          <w:lang w:val="pt-BR"/>
        </w:rPr>
      </w:pPr>
      <w:r>
        <w:rPr>
          <w:rFonts w:ascii="宋体" w:hAnsi="宋体"/>
          <w:sz w:val="24"/>
          <w:lang w:val="pt-BR"/>
        </w:rPr>
        <w:t>6</w:t>
      </w:r>
      <w:r>
        <w:rPr>
          <w:rFonts w:ascii="宋体" w:hAnsi="宋体" w:hint="eastAsia"/>
          <w:sz w:val="24"/>
          <w:lang w:val="pt-BR"/>
        </w:rPr>
        <w:t>、超短波治疗禁用于（</w:t>
      </w:r>
      <w:r>
        <w:rPr>
          <w:rFonts w:ascii="宋体" w:hAnsi="宋体"/>
          <w:sz w:val="24"/>
          <w:lang w:val="pt-BR"/>
        </w:rPr>
        <w:t xml:space="preserve">         </w:t>
      </w:r>
      <w:r>
        <w:rPr>
          <w:rFonts w:ascii="宋体" w:hAnsi="宋体" w:hint="eastAsia"/>
          <w:sz w:val="24"/>
          <w:lang w:val="pt-BR"/>
        </w:rPr>
        <w:t>）</w:t>
      </w:r>
    </w:p>
    <w:p w:rsidR="003717A0" w:rsidRDefault="003717A0">
      <w:pPr>
        <w:spacing w:line="400" w:lineRule="exact"/>
        <w:ind w:left="120"/>
        <w:rPr>
          <w:rFonts w:ascii="宋体"/>
          <w:sz w:val="24"/>
          <w:lang w:val="pt-BR"/>
        </w:rPr>
      </w:pPr>
      <w:r>
        <w:rPr>
          <w:rFonts w:ascii="宋体" w:hAnsi="宋体"/>
          <w:sz w:val="24"/>
          <w:lang w:val="pt-BR"/>
        </w:rPr>
        <w:t>A</w:t>
      </w:r>
      <w:r>
        <w:rPr>
          <w:rFonts w:ascii="宋体" w:hAnsi="宋体" w:hint="eastAsia"/>
          <w:sz w:val="24"/>
          <w:lang w:val="pt-BR"/>
        </w:rPr>
        <w:t>、活动性出血</w:t>
      </w:r>
      <w:r>
        <w:rPr>
          <w:rFonts w:ascii="宋体" w:hAnsi="宋体"/>
          <w:sz w:val="24"/>
          <w:lang w:val="pt-BR"/>
        </w:rPr>
        <w:t xml:space="preserve">                       B</w:t>
      </w:r>
      <w:r>
        <w:rPr>
          <w:rFonts w:ascii="宋体" w:hAnsi="宋体" w:hint="eastAsia"/>
          <w:sz w:val="24"/>
          <w:lang w:val="pt-BR"/>
        </w:rPr>
        <w:t>、局部金属异物</w:t>
      </w:r>
    </w:p>
    <w:p w:rsidR="003717A0" w:rsidRDefault="003717A0">
      <w:pPr>
        <w:spacing w:line="400" w:lineRule="exact"/>
        <w:ind w:left="120"/>
        <w:rPr>
          <w:rFonts w:ascii="宋体"/>
          <w:sz w:val="24"/>
          <w:lang w:val="pt-BR"/>
        </w:rPr>
      </w:pPr>
      <w:r>
        <w:rPr>
          <w:rFonts w:ascii="宋体" w:hAnsi="宋体"/>
          <w:sz w:val="24"/>
          <w:lang w:val="pt-BR"/>
        </w:rPr>
        <w:t>C</w:t>
      </w:r>
      <w:r>
        <w:rPr>
          <w:rFonts w:ascii="宋体" w:hAnsi="宋体" w:hint="eastAsia"/>
          <w:sz w:val="24"/>
          <w:lang w:val="pt-BR"/>
        </w:rPr>
        <w:t>、骨关节的炎症感染</w:t>
      </w:r>
      <w:r>
        <w:rPr>
          <w:rFonts w:ascii="宋体" w:hAnsi="宋体"/>
          <w:sz w:val="24"/>
          <w:lang w:val="pt-BR"/>
        </w:rPr>
        <w:t xml:space="preserve">                     D</w:t>
      </w:r>
      <w:r>
        <w:rPr>
          <w:rFonts w:ascii="宋体" w:hAnsi="宋体" w:hint="eastAsia"/>
          <w:sz w:val="24"/>
          <w:lang w:val="pt-BR"/>
        </w:rPr>
        <w:t>、妊娠</w:t>
      </w:r>
    </w:p>
    <w:p w:rsidR="003717A0" w:rsidRDefault="003717A0">
      <w:pPr>
        <w:spacing w:line="420" w:lineRule="exact"/>
        <w:rPr>
          <w:rFonts w:ascii="宋体"/>
          <w:lang w:val="pt-BR"/>
        </w:rPr>
      </w:pPr>
    </w:p>
    <w:p w:rsidR="003717A0" w:rsidRDefault="003717A0">
      <w:pPr>
        <w:spacing w:line="400" w:lineRule="exact"/>
        <w:ind w:left="120"/>
        <w:rPr>
          <w:rFonts w:ascii="宋体"/>
          <w:sz w:val="24"/>
          <w:lang w:val="pt-BR"/>
        </w:rPr>
      </w:pPr>
      <w:r>
        <w:rPr>
          <w:rFonts w:ascii="宋体" w:hAnsi="宋体"/>
          <w:sz w:val="24"/>
          <w:lang w:val="pt-BR"/>
        </w:rPr>
        <w:t>7</w:t>
      </w:r>
      <w:r>
        <w:rPr>
          <w:rFonts w:ascii="宋体" w:hAnsi="宋体" w:hint="eastAsia"/>
          <w:sz w:val="24"/>
          <w:lang w:val="pt-BR"/>
        </w:rPr>
        <w:t>、水的物理特性有（</w:t>
      </w:r>
      <w:r>
        <w:rPr>
          <w:rFonts w:ascii="宋体" w:hAnsi="宋体"/>
          <w:sz w:val="24"/>
          <w:lang w:val="pt-BR"/>
        </w:rPr>
        <w:t xml:space="preserve">         </w:t>
      </w:r>
      <w:r>
        <w:rPr>
          <w:rFonts w:ascii="宋体" w:hAnsi="宋体" w:hint="eastAsia"/>
          <w:sz w:val="24"/>
          <w:lang w:val="pt-BR"/>
        </w:rPr>
        <w:t>）</w:t>
      </w:r>
    </w:p>
    <w:p w:rsidR="003717A0" w:rsidRDefault="003717A0">
      <w:pPr>
        <w:rPr>
          <w:rFonts w:ascii="宋体" w:cs="宋体"/>
          <w:sz w:val="24"/>
          <w:lang w:val="pt-BR"/>
        </w:rPr>
      </w:pPr>
      <w:r>
        <w:rPr>
          <w:rFonts w:ascii="宋体" w:hAnsi="宋体" w:cs="宋体"/>
          <w:sz w:val="24"/>
          <w:lang w:val="pt-BR"/>
        </w:rPr>
        <w:t>A</w:t>
      </w:r>
      <w:r>
        <w:rPr>
          <w:rFonts w:ascii="宋体" w:hAnsi="宋体" w:cs="宋体" w:hint="eastAsia"/>
          <w:sz w:val="24"/>
          <w:lang w:val="pt-BR"/>
        </w:rPr>
        <w:t>、储存和传递热能</w:t>
      </w:r>
    </w:p>
    <w:p w:rsidR="003717A0" w:rsidRDefault="003717A0">
      <w:pPr>
        <w:rPr>
          <w:rFonts w:ascii="宋体" w:cs="宋体"/>
          <w:sz w:val="24"/>
          <w:lang w:val="pt-BR"/>
        </w:rPr>
      </w:pPr>
      <w:r>
        <w:rPr>
          <w:rFonts w:ascii="宋体" w:hAnsi="宋体" w:cs="宋体"/>
          <w:sz w:val="24"/>
          <w:lang w:val="pt-BR"/>
        </w:rPr>
        <w:t>B</w:t>
      </w:r>
      <w:r>
        <w:rPr>
          <w:rFonts w:ascii="宋体" w:hAnsi="宋体" w:cs="宋体" w:hint="eastAsia"/>
          <w:sz w:val="24"/>
          <w:lang w:val="pt-BR"/>
        </w:rPr>
        <w:t>、溶解性与无毒性</w:t>
      </w:r>
    </w:p>
    <w:p w:rsidR="003717A0" w:rsidRDefault="003717A0">
      <w:pPr>
        <w:rPr>
          <w:rFonts w:ascii="宋体" w:cs="宋体"/>
          <w:sz w:val="24"/>
          <w:lang w:val="pt-BR"/>
        </w:rPr>
      </w:pPr>
      <w:r>
        <w:rPr>
          <w:rFonts w:ascii="宋体" w:hAnsi="宋体" w:cs="宋体"/>
          <w:sz w:val="24"/>
          <w:lang w:val="pt-BR"/>
        </w:rPr>
        <w:t>C</w:t>
      </w:r>
      <w:r>
        <w:rPr>
          <w:rFonts w:ascii="宋体" w:hAnsi="宋体" w:cs="宋体" w:hint="eastAsia"/>
          <w:sz w:val="24"/>
          <w:lang w:val="pt-BR"/>
        </w:rPr>
        <w:t>、物理性状的可变性</w:t>
      </w:r>
    </w:p>
    <w:p w:rsidR="003717A0" w:rsidRDefault="003717A0">
      <w:pPr>
        <w:rPr>
          <w:rFonts w:ascii="宋体" w:cs="宋体"/>
          <w:sz w:val="24"/>
          <w:lang w:val="pt-BR"/>
        </w:rPr>
      </w:pPr>
      <w:r>
        <w:rPr>
          <w:rFonts w:ascii="宋体" w:hAnsi="宋体" w:cs="宋体"/>
          <w:sz w:val="24"/>
          <w:lang w:val="pt-BR"/>
        </w:rPr>
        <w:t>D</w:t>
      </w:r>
      <w:r>
        <w:rPr>
          <w:rFonts w:ascii="宋体" w:hAnsi="宋体" w:cs="宋体" w:hint="eastAsia"/>
          <w:sz w:val="24"/>
          <w:lang w:val="pt-BR"/>
        </w:rPr>
        <w:t>、水的密度接近人体</w:t>
      </w:r>
    </w:p>
    <w:p w:rsidR="003717A0" w:rsidRDefault="003717A0">
      <w:pPr>
        <w:rPr>
          <w:rFonts w:ascii="宋体" w:cs="宋体"/>
          <w:sz w:val="24"/>
          <w:lang w:val="pt-BR"/>
        </w:rPr>
      </w:pPr>
      <w:r>
        <w:rPr>
          <w:rFonts w:ascii="宋体" w:hAnsi="宋体" w:cs="宋体"/>
          <w:sz w:val="24"/>
          <w:lang w:val="pt-BR"/>
        </w:rPr>
        <w:t>E</w:t>
      </w:r>
      <w:r>
        <w:rPr>
          <w:rFonts w:ascii="宋体" w:hAnsi="宋体" w:cs="宋体" w:hint="eastAsia"/>
          <w:sz w:val="24"/>
          <w:lang w:val="pt-BR"/>
        </w:rPr>
        <w:t>、以上都对</w:t>
      </w:r>
    </w:p>
    <w:p w:rsidR="003717A0" w:rsidRDefault="003717A0">
      <w:pPr>
        <w:rPr>
          <w:rFonts w:ascii="宋体"/>
          <w:sz w:val="24"/>
          <w:lang w:val="pt-BR"/>
        </w:rPr>
      </w:pPr>
    </w:p>
    <w:p w:rsidR="003717A0" w:rsidRDefault="003717A0">
      <w:pPr>
        <w:spacing w:line="400" w:lineRule="exact"/>
        <w:rPr>
          <w:rFonts w:ascii="宋体"/>
          <w:sz w:val="24"/>
          <w:lang w:val="pt-BR"/>
        </w:rPr>
      </w:pPr>
      <w:r>
        <w:rPr>
          <w:rFonts w:ascii="宋体" w:hAnsi="宋体"/>
          <w:sz w:val="24"/>
          <w:lang w:val="pt-BR"/>
        </w:rPr>
        <w:t>8</w:t>
      </w:r>
      <w:r>
        <w:rPr>
          <w:rFonts w:ascii="宋体" w:hAnsi="宋体" w:hint="eastAsia"/>
          <w:sz w:val="24"/>
          <w:lang w:val="pt-BR"/>
        </w:rPr>
        <w:t>、以下哪些是磁疗的适应症（</w:t>
      </w:r>
      <w:r>
        <w:rPr>
          <w:rFonts w:ascii="宋体" w:hAnsi="宋体"/>
          <w:sz w:val="24"/>
          <w:lang w:val="pt-BR"/>
        </w:rPr>
        <w:t xml:space="preserve">         </w:t>
      </w:r>
      <w:r>
        <w:rPr>
          <w:rFonts w:ascii="宋体" w:hAnsi="宋体" w:hint="eastAsia"/>
          <w:sz w:val="24"/>
          <w:lang w:val="pt-BR"/>
        </w:rPr>
        <w:t>）</w:t>
      </w:r>
    </w:p>
    <w:p w:rsidR="003717A0" w:rsidRDefault="003717A0">
      <w:pPr>
        <w:spacing w:line="400" w:lineRule="exact"/>
        <w:rPr>
          <w:rFonts w:ascii="宋体"/>
          <w:sz w:val="24"/>
          <w:lang w:val="pt-BR"/>
        </w:rPr>
      </w:pPr>
      <w:r>
        <w:rPr>
          <w:rFonts w:ascii="宋体" w:hAnsi="宋体"/>
          <w:sz w:val="24"/>
          <w:lang w:val="pt-BR"/>
        </w:rPr>
        <w:t>A</w:t>
      </w:r>
      <w:r>
        <w:rPr>
          <w:rFonts w:ascii="宋体" w:hAnsi="宋体" w:hint="eastAsia"/>
          <w:sz w:val="24"/>
          <w:lang w:val="pt-BR"/>
        </w:rPr>
        <w:t>、高热</w:t>
      </w:r>
      <w:r>
        <w:rPr>
          <w:rFonts w:ascii="宋体" w:hAnsi="宋体"/>
          <w:sz w:val="24"/>
          <w:lang w:val="pt-BR"/>
        </w:rPr>
        <w:t xml:space="preserve">                     B</w:t>
      </w:r>
      <w:r>
        <w:rPr>
          <w:rFonts w:ascii="宋体" w:hAnsi="宋体" w:hint="eastAsia"/>
          <w:sz w:val="24"/>
          <w:lang w:val="pt-BR"/>
        </w:rPr>
        <w:t>、高血压</w:t>
      </w:r>
      <w:r>
        <w:rPr>
          <w:rFonts w:ascii="宋体" w:hAnsi="宋体"/>
          <w:sz w:val="24"/>
          <w:lang w:val="pt-BR"/>
        </w:rPr>
        <w:t xml:space="preserve">            C</w:t>
      </w:r>
      <w:r>
        <w:rPr>
          <w:rFonts w:ascii="宋体" w:hAnsi="宋体" w:hint="eastAsia"/>
          <w:sz w:val="24"/>
          <w:lang w:val="pt-BR"/>
        </w:rPr>
        <w:t>、心力衰弱</w:t>
      </w:r>
    </w:p>
    <w:p w:rsidR="003717A0" w:rsidRDefault="003717A0">
      <w:pPr>
        <w:spacing w:line="400" w:lineRule="exact"/>
        <w:rPr>
          <w:rFonts w:ascii="宋体"/>
          <w:sz w:val="24"/>
          <w:lang w:val="pt-BR"/>
        </w:rPr>
      </w:pPr>
      <w:r>
        <w:rPr>
          <w:rFonts w:ascii="宋体" w:hAnsi="宋体"/>
          <w:sz w:val="24"/>
          <w:lang w:val="pt-BR"/>
        </w:rPr>
        <w:t>D</w:t>
      </w:r>
      <w:r>
        <w:rPr>
          <w:rFonts w:ascii="宋体" w:hAnsi="宋体" w:hint="eastAsia"/>
          <w:sz w:val="24"/>
          <w:lang w:val="pt-BR"/>
        </w:rPr>
        <w:t>、神经性头痛</w:t>
      </w:r>
      <w:r>
        <w:rPr>
          <w:rFonts w:ascii="宋体" w:hAnsi="宋体"/>
          <w:sz w:val="24"/>
          <w:lang w:val="pt-BR"/>
        </w:rPr>
        <w:t xml:space="preserve">               E</w:t>
      </w:r>
      <w:r>
        <w:rPr>
          <w:rFonts w:ascii="宋体" w:hAnsi="宋体" w:hint="eastAsia"/>
          <w:sz w:val="24"/>
          <w:lang w:val="pt-BR"/>
        </w:rPr>
        <w:t>、孕妇下腹部</w:t>
      </w:r>
    </w:p>
    <w:p w:rsidR="003717A0" w:rsidRDefault="003717A0">
      <w:pPr>
        <w:pStyle w:val="a9"/>
        <w:rPr>
          <w:rFonts w:hAnsi="宋体"/>
        </w:rPr>
      </w:pPr>
    </w:p>
    <w:p w:rsidR="003717A0" w:rsidRDefault="003717A0">
      <w:pPr>
        <w:rPr>
          <w:rFonts w:ascii="宋体"/>
          <w:sz w:val="24"/>
        </w:rPr>
      </w:pPr>
    </w:p>
    <w:tbl>
      <w:tblPr>
        <w:tblpPr w:leftFromText="180" w:rightFromText="180" w:vertAnchor="text" w:horzAnchor="margin" w:tblpY="-105"/>
        <w:tblOverlap w:val="neve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
        <w:gridCol w:w="1080"/>
      </w:tblGrid>
      <w:tr w:rsidR="003717A0">
        <w:trPr>
          <w:trHeight w:val="308"/>
        </w:trPr>
        <w:tc>
          <w:tcPr>
            <w:tcW w:w="648" w:type="dxa"/>
          </w:tcPr>
          <w:p w:rsidR="003717A0" w:rsidRDefault="003717A0">
            <w:pPr>
              <w:rPr>
                <w:rFonts w:ascii="宋体"/>
              </w:rPr>
            </w:pPr>
            <w:r>
              <w:rPr>
                <w:rFonts w:ascii="宋体" w:hAnsi="宋体" w:hint="eastAsia"/>
              </w:rPr>
              <w:t>得分</w:t>
            </w:r>
          </w:p>
        </w:tc>
        <w:tc>
          <w:tcPr>
            <w:tcW w:w="1080" w:type="dxa"/>
          </w:tcPr>
          <w:p w:rsidR="003717A0" w:rsidRDefault="003717A0">
            <w:pPr>
              <w:rPr>
                <w:rFonts w:ascii="宋体"/>
              </w:rPr>
            </w:pPr>
            <w:r>
              <w:rPr>
                <w:rFonts w:ascii="宋体" w:hAnsi="宋体" w:hint="eastAsia"/>
              </w:rPr>
              <w:t>评卷人</w:t>
            </w:r>
          </w:p>
        </w:tc>
      </w:tr>
      <w:tr w:rsidR="003717A0">
        <w:trPr>
          <w:trHeight w:val="308"/>
        </w:trPr>
        <w:tc>
          <w:tcPr>
            <w:tcW w:w="648" w:type="dxa"/>
          </w:tcPr>
          <w:p w:rsidR="003717A0" w:rsidRDefault="003717A0">
            <w:pPr>
              <w:rPr>
                <w:rFonts w:ascii="宋体"/>
              </w:rPr>
            </w:pPr>
          </w:p>
        </w:tc>
        <w:tc>
          <w:tcPr>
            <w:tcW w:w="1080" w:type="dxa"/>
          </w:tcPr>
          <w:p w:rsidR="003717A0" w:rsidRDefault="003717A0">
            <w:pPr>
              <w:rPr>
                <w:rFonts w:ascii="宋体"/>
              </w:rPr>
            </w:pPr>
          </w:p>
        </w:tc>
      </w:tr>
    </w:tbl>
    <w:p w:rsidR="003717A0" w:rsidRDefault="003717A0">
      <w:pPr>
        <w:ind w:firstLine="225"/>
        <w:rPr>
          <w:rFonts w:ascii="宋体"/>
          <w:b/>
          <w:sz w:val="24"/>
        </w:rPr>
      </w:pPr>
    </w:p>
    <w:p w:rsidR="003717A0" w:rsidRDefault="003717A0">
      <w:pPr>
        <w:ind w:firstLine="225"/>
        <w:rPr>
          <w:rFonts w:ascii="宋体"/>
          <w:b/>
          <w:sz w:val="24"/>
        </w:rPr>
      </w:pPr>
    </w:p>
    <w:p w:rsidR="003717A0" w:rsidRDefault="003717A0">
      <w:pPr>
        <w:rPr>
          <w:rFonts w:ascii="宋体"/>
          <w:b/>
          <w:sz w:val="24"/>
        </w:rPr>
      </w:pPr>
      <w:r>
        <w:rPr>
          <w:rFonts w:ascii="宋体" w:hAnsi="宋体" w:hint="eastAsia"/>
          <w:b/>
          <w:sz w:val="24"/>
        </w:rPr>
        <w:t>四、问答题：（共</w:t>
      </w:r>
      <w:r>
        <w:rPr>
          <w:rFonts w:ascii="宋体" w:hAnsi="宋体"/>
          <w:b/>
          <w:sz w:val="24"/>
        </w:rPr>
        <w:t>24</w:t>
      </w:r>
      <w:r>
        <w:rPr>
          <w:rFonts w:ascii="宋体" w:hAnsi="宋体" w:hint="eastAsia"/>
          <w:b/>
          <w:sz w:val="24"/>
        </w:rPr>
        <w:t>分）</w:t>
      </w:r>
    </w:p>
    <w:p w:rsidR="003717A0" w:rsidRPr="00EA5BFD" w:rsidRDefault="003717A0">
      <w:pPr>
        <w:rPr>
          <w:rFonts w:ascii="宋体"/>
          <w:bCs/>
          <w:sz w:val="24"/>
        </w:rPr>
      </w:pPr>
      <w:r w:rsidRPr="00EA5BFD">
        <w:rPr>
          <w:rFonts w:ascii="宋体" w:hAnsi="宋体"/>
          <w:bCs/>
          <w:sz w:val="24"/>
        </w:rPr>
        <w:t>1</w:t>
      </w:r>
      <w:r w:rsidRPr="00EA5BFD">
        <w:rPr>
          <w:rFonts w:ascii="宋体" w:hAnsi="宋体" w:hint="eastAsia"/>
          <w:bCs/>
          <w:sz w:val="24"/>
        </w:rPr>
        <w:t>、</w:t>
      </w:r>
      <w:r w:rsidRPr="00EA5BFD">
        <w:rPr>
          <w:rFonts w:ascii="宋体" w:hAnsi="宋体" w:hint="eastAsia"/>
          <w:bCs/>
          <w:sz w:val="24"/>
          <w:lang w:val="pt-BR"/>
        </w:rPr>
        <w:t>超声波疗法的注意事项</w:t>
      </w:r>
    </w:p>
    <w:p w:rsidR="003717A0" w:rsidRPr="00EA5BFD" w:rsidRDefault="003717A0">
      <w:pPr>
        <w:spacing w:line="400" w:lineRule="exact"/>
        <w:rPr>
          <w:rFonts w:ascii="宋体"/>
          <w:bCs/>
          <w:sz w:val="24"/>
          <w:lang w:val="pt-BR"/>
        </w:rPr>
      </w:pPr>
      <w:r w:rsidRPr="00EA5BFD">
        <w:rPr>
          <w:rFonts w:ascii="宋体" w:hAnsi="宋体"/>
          <w:bCs/>
          <w:sz w:val="24"/>
        </w:rPr>
        <w:t>2</w:t>
      </w:r>
      <w:r w:rsidRPr="00EA5BFD">
        <w:rPr>
          <w:rFonts w:ascii="宋体" w:hAnsi="宋体" w:hint="eastAsia"/>
          <w:bCs/>
          <w:sz w:val="24"/>
        </w:rPr>
        <w:t>、</w:t>
      </w:r>
      <w:r w:rsidRPr="00EA5BFD">
        <w:rPr>
          <w:rFonts w:ascii="宋体" w:hAnsi="宋体" w:hint="eastAsia"/>
          <w:bCs/>
          <w:sz w:val="24"/>
          <w:lang w:val="pt-BR"/>
        </w:rPr>
        <w:t>请叙述蓝紫色治疗核黄疸的作用原理</w:t>
      </w:r>
    </w:p>
    <w:p w:rsidR="003717A0" w:rsidRPr="00EA5BFD" w:rsidRDefault="003717A0">
      <w:pPr>
        <w:spacing w:line="400" w:lineRule="exact"/>
        <w:rPr>
          <w:rFonts w:ascii="宋体"/>
          <w:bCs/>
          <w:sz w:val="24"/>
          <w:lang w:val="pt-BR"/>
        </w:rPr>
      </w:pPr>
      <w:r w:rsidRPr="00EA5BFD">
        <w:rPr>
          <w:rFonts w:ascii="宋体" w:hAnsi="宋体"/>
          <w:bCs/>
          <w:sz w:val="24"/>
          <w:lang w:val="pt-BR"/>
        </w:rPr>
        <w:t>3</w:t>
      </w:r>
      <w:r w:rsidRPr="00EA5BFD">
        <w:rPr>
          <w:rFonts w:ascii="宋体" w:hAnsi="宋体" w:hint="eastAsia"/>
          <w:bCs/>
          <w:sz w:val="24"/>
          <w:lang w:val="pt-BR"/>
        </w:rPr>
        <w:t>、紫外线的治疗作用是什么</w:t>
      </w:r>
    </w:p>
    <w:p w:rsidR="003717A0" w:rsidRPr="00EA5BFD" w:rsidRDefault="003717A0">
      <w:pPr>
        <w:spacing w:line="400" w:lineRule="exact"/>
        <w:rPr>
          <w:rFonts w:ascii="宋体"/>
          <w:bCs/>
          <w:sz w:val="24"/>
          <w:lang w:val="pt-BR"/>
        </w:rPr>
      </w:pPr>
      <w:r w:rsidRPr="00EA5BFD">
        <w:rPr>
          <w:rFonts w:ascii="宋体" w:hAnsi="宋体"/>
          <w:bCs/>
          <w:sz w:val="24"/>
          <w:lang w:val="pt-BR"/>
        </w:rPr>
        <w:t>4</w:t>
      </w:r>
      <w:r w:rsidRPr="00EA5BFD">
        <w:rPr>
          <w:rFonts w:ascii="宋体" w:hAnsi="宋体" w:hint="eastAsia"/>
          <w:bCs/>
          <w:sz w:val="24"/>
          <w:lang w:val="pt-BR"/>
        </w:rPr>
        <w:t>、简述低频电流的作用特点</w:t>
      </w:r>
    </w:p>
    <w:p w:rsidR="003717A0" w:rsidRDefault="003717A0">
      <w:pPr>
        <w:rPr>
          <w:b/>
          <w:sz w:val="24"/>
          <w:lang w:val="pt-BR"/>
        </w:rPr>
      </w:pPr>
    </w:p>
    <w:p w:rsidR="003717A0" w:rsidRPr="00F5156D" w:rsidRDefault="003717A0" w:rsidP="005E20B5">
      <w:pPr>
        <w:shd w:val="clear" w:color="auto" w:fill="FFFFFF"/>
        <w:adjustRightInd w:val="0"/>
        <w:snapToGrid w:val="0"/>
        <w:spacing w:beforeLines="50" w:afterLines="50"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教</w:t>
            </w:r>
            <w:r>
              <w:rPr>
                <w:rFonts w:ascii="黑体" w:eastAsia="黑体"/>
                <w:b/>
                <w:sz w:val="24"/>
              </w:rPr>
              <w:t xml:space="preserve"> </w:t>
            </w:r>
            <w:r>
              <w:rPr>
                <w:rFonts w:ascii="黑体" w:eastAsia="黑体" w:hint="eastAsia"/>
                <w:b/>
                <w:sz w:val="24"/>
              </w:rPr>
              <w:t>学</w:t>
            </w:r>
            <w:r>
              <w:rPr>
                <w:rFonts w:ascii="黑体" w:eastAsia="黑体"/>
                <w:b/>
                <w:sz w:val="24"/>
              </w:rPr>
              <w:t xml:space="preserve"> </w:t>
            </w:r>
            <w:r>
              <w:rPr>
                <w:rFonts w:ascii="黑体" w:eastAsia="黑体" w:hint="eastAsia"/>
                <w:b/>
                <w:sz w:val="24"/>
              </w:rPr>
              <w:t>基</w:t>
            </w:r>
            <w:r>
              <w:rPr>
                <w:rFonts w:ascii="黑体" w:eastAsia="黑体"/>
                <w:b/>
                <w:sz w:val="24"/>
              </w:rPr>
              <w:t xml:space="preserve"> </w:t>
            </w:r>
            <w:r>
              <w:rPr>
                <w:rFonts w:ascii="黑体" w:eastAsia="黑体" w:hint="eastAsia"/>
                <w:b/>
                <w:sz w:val="24"/>
              </w:rPr>
              <w:t>本</w:t>
            </w:r>
            <w:r>
              <w:rPr>
                <w:rFonts w:ascii="黑体" w:eastAsia="黑体"/>
                <w:b/>
                <w:sz w:val="24"/>
              </w:rPr>
              <w:t xml:space="preserve"> </w:t>
            </w:r>
            <w:r>
              <w:rPr>
                <w:rFonts w:ascii="黑体" w:eastAsia="黑体" w:hint="eastAsia"/>
                <w:b/>
                <w:sz w:val="24"/>
              </w:rPr>
              <w:t>要</w:t>
            </w:r>
            <w:r>
              <w:rPr>
                <w:rFonts w:ascii="黑体" w:eastAsia="黑体"/>
                <w:b/>
                <w:sz w:val="24"/>
              </w:rPr>
              <w:t xml:space="preserve"> </w:t>
            </w:r>
            <w:r>
              <w:rPr>
                <w:rFonts w:ascii="黑体" w:eastAsia="黑体" w:hint="eastAsia"/>
                <w:b/>
                <w:sz w:val="24"/>
              </w:rPr>
              <w:t>求</w:t>
            </w:r>
          </w:p>
        </w:tc>
        <w:tc>
          <w:tcPr>
            <w:tcW w:w="9142" w:type="dxa"/>
            <w:vAlign w:val="center"/>
          </w:tcPr>
          <w:p w:rsidR="003717A0" w:rsidRDefault="003717A0">
            <w:pPr>
              <w:spacing w:before="100" w:beforeAutospacing="1" w:after="100" w:afterAutospacing="1"/>
              <w:ind w:firstLineChars="200" w:firstLine="420"/>
              <w:rPr>
                <w:rFonts w:ascii="宋体"/>
                <w:szCs w:val="21"/>
              </w:rPr>
            </w:pPr>
            <w:r>
              <w:rPr>
                <w:rFonts w:ascii="宋体" w:hAnsi="宋体" w:hint="eastAsia"/>
                <w:szCs w:val="21"/>
              </w:rPr>
              <w:t>要求学生通过基础理论与实验操作相结合掌握物理因子治疗基础理论、各类物理因子治疗技术的临床应用及操作方法为进一步学习各临床课程及以后的工作打下坚实基础。</w:t>
            </w:r>
            <w:r>
              <w:rPr>
                <w:rFonts w:ascii="宋体"/>
                <w:szCs w:val="21"/>
              </w:rPr>
              <w:t> </w:t>
            </w:r>
            <w:r>
              <w:rPr>
                <w:rFonts w:ascii="宋体" w:hAnsi="宋体" w:hint="eastAsia"/>
                <w:szCs w:val="21"/>
              </w:rPr>
              <w:t>掌握物理因子疗法的基本内容、物理因子疗法的治疗作用、物理因子疗法的适应症和禁忌症；熟悉物理因子疗法的作用机制；熟悉常用物理因子治疗仪器的种类。</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rPr>
              <w:t>备</w:t>
            </w:r>
            <w:r>
              <w:rPr>
                <w:rFonts w:ascii="黑体" w:eastAsia="黑体"/>
                <w:b/>
                <w:sz w:val="24"/>
              </w:rPr>
              <w:t xml:space="preserve">   </w:t>
            </w:r>
            <w:r>
              <w:rPr>
                <w:rFonts w:ascii="黑体" w:eastAsia="黑体" w:hint="eastAsia"/>
                <w:b/>
                <w:sz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hAnsi="宋体"/>
                <w:szCs w:val="21"/>
              </w:rPr>
            </w:pPr>
            <w:r>
              <w:rPr>
                <w:rFonts w:hAnsi="宋体" w:hint="eastAsia"/>
                <w:szCs w:val="21"/>
              </w:rPr>
              <w:t>掌握本课程教学大纲内容，严格按照教学大纲要求进行本课程教学内容的组织。</w:t>
            </w:r>
          </w:p>
          <w:p w:rsidR="003717A0" w:rsidRDefault="003717A0">
            <w:pPr>
              <w:numPr>
                <w:ilvl w:val="0"/>
                <w:numId w:val="354"/>
              </w:numPr>
              <w:autoSpaceDE w:val="0"/>
              <w:autoSpaceDN w:val="0"/>
              <w:adjustRightInd w:val="0"/>
              <w:snapToGrid w:val="0"/>
              <w:spacing w:line="360" w:lineRule="auto"/>
              <w:jc w:val="left"/>
              <w:rPr>
                <w:rFonts w:hAnsi="宋体"/>
                <w:szCs w:val="21"/>
              </w:rPr>
            </w:pPr>
            <w:r>
              <w:rPr>
                <w:rFonts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354"/>
              </w:numPr>
              <w:autoSpaceDE w:val="0"/>
              <w:autoSpaceDN w:val="0"/>
              <w:adjustRightInd w:val="0"/>
              <w:snapToGrid w:val="0"/>
              <w:spacing w:line="360" w:lineRule="auto"/>
              <w:jc w:val="left"/>
              <w:rPr>
                <w:rFonts w:hAnsi="宋体"/>
                <w:szCs w:val="21"/>
              </w:rPr>
            </w:pPr>
            <w:r>
              <w:rPr>
                <w:rFonts w:hAnsi="宋体" w:hint="eastAsia"/>
                <w:szCs w:val="21"/>
              </w:rPr>
              <w:t>结合课程特点，制作课件，运用多媒体教学手段讲授部分教学内容。</w:t>
            </w:r>
          </w:p>
          <w:p w:rsidR="003717A0" w:rsidRDefault="003717A0">
            <w:pPr>
              <w:numPr>
                <w:ilvl w:val="0"/>
                <w:numId w:val="354"/>
              </w:numPr>
              <w:autoSpaceDE w:val="0"/>
              <w:autoSpaceDN w:val="0"/>
              <w:adjustRightInd w:val="0"/>
              <w:snapToGrid w:val="0"/>
              <w:spacing w:line="360" w:lineRule="auto"/>
              <w:jc w:val="left"/>
            </w:pPr>
            <w:r>
              <w:rPr>
                <w:rFonts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rPr>
              <w:t>授</w:t>
            </w:r>
            <w:r>
              <w:rPr>
                <w:rFonts w:ascii="黑体" w:eastAsia="黑体"/>
                <w:b/>
                <w:sz w:val="24"/>
              </w:rPr>
              <w:t xml:space="preserve">   </w:t>
            </w:r>
            <w:r>
              <w:rPr>
                <w:rFonts w:ascii="黑体" w:eastAsia="黑体" w:hint="eastAsia"/>
                <w:b/>
                <w:sz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hAnsi="宋体"/>
                <w:szCs w:val="21"/>
              </w:rPr>
            </w:pPr>
            <w:r>
              <w:rPr>
                <w:rFonts w:hAnsi="宋体" w:hint="eastAsia"/>
                <w:szCs w:val="21"/>
              </w:rPr>
              <w:t>概念准确，推理正确，条理清晰，重点突出，理论联系实际。</w:t>
            </w:r>
          </w:p>
          <w:p w:rsidR="003717A0" w:rsidRDefault="003717A0">
            <w:pPr>
              <w:numPr>
                <w:ilvl w:val="0"/>
                <w:numId w:val="355"/>
              </w:numPr>
              <w:autoSpaceDE w:val="0"/>
              <w:autoSpaceDN w:val="0"/>
              <w:adjustRightInd w:val="0"/>
              <w:snapToGrid w:val="0"/>
              <w:spacing w:line="360" w:lineRule="auto"/>
              <w:jc w:val="left"/>
              <w:rPr>
                <w:rFonts w:hAnsi="宋体"/>
                <w:szCs w:val="21"/>
              </w:rPr>
            </w:pPr>
            <w:r>
              <w:rPr>
                <w:rFonts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355"/>
              </w:numPr>
              <w:autoSpaceDE w:val="0"/>
              <w:autoSpaceDN w:val="0"/>
              <w:adjustRightInd w:val="0"/>
              <w:snapToGrid w:val="0"/>
              <w:spacing w:line="360" w:lineRule="auto"/>
              <w:jc w:val="left"/>
              <w:rPr>
                <w:rFonts w:hAnsi="宋体"/>
                <w:szCs w:val="21"/>
              </w:rPr>
            </w:pPr>
            <w:r>
              <w:rPr>
                <w:rFonts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355"/>
              </w:numPr>
              <w:autoSpaceDE w:val="0"/>
              <w:autoSpaceDN w:val="0"/>
              <w:adjustRightInd w:val="0"/>
              <w:snapToGrid w:val="0"/>
              <w:spacing w:line="360" w:lineRule="auto"/>
              <w:jc w:val="left"/>
              <w:rPr>
                <w:rFonts w:hAnsi="宋体"/>
                <w:szCs w:val="21"/>
              </w:rPr>
            </w:pPr>
            <w:r>
              <w:rPr>
                <w:rFonts w:hAnsi="宋体" w:hint="eastAsia"/>
                <w:szCs w:val="21"/>
              </w:rPr>
              <w:t>多媒体教学手段、课堂实验、演示相结合，以培养学生实践动手的能力。</w:t>
            </w:r>
          </w:p>
          <w:p w:rsidR="003717A0" w:rsidRDefault="003717A0">
            <w:pPr>
              <w:numPr>
                <w:ilvl w:val="0"/>
                <w:numId w:val="355"/>
              </w:numPr>
              <w:autoSpaceDE w:val="0"/>
              <w:autoSpaceDN w:val="0"/>
              <w:adjustRightInd w:val="0"/>
              <w:snapToGrid w:val="0"/>
              <w:spacing w:line="360" w:lineRule="auto"/>
              <w:jc w:val="left"/>
              <w:rPr>
                <w:rFonts w:ascii="楷体_GB2312" w:eastAsia="楷体_GB2312"/>
                <w:sz w:val="24"/>
              </w:rPr>
            </w:pPr>
            <w:r>
              <w:rPr>
                <w:rFonts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rFonts w:hAnsi="宋体"/>
                <w:szCs w:val="21"/>
              </w:rPr>
            </w:pPr>
            <w:r>
              <w:rPr>
                <w:rFonts w:hint="eastAsia"/>
                <w:sz w:val="22"/>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rPr>
            </w:pP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rPr>
            </w:pP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356"/>
              </w:numPr>
              <w:autoSpaceDE w:val="0"/>
              <w:autoSpaceDN w:val="0"/>
              <w:adjustRightInd w:val="0"/>
              <w:snapToGrid w:val="0"/>
              <w:spacing w:line="360" w:lineRule="auto"/>
              <w:jc w:val="left"/>
              <w:rPr>
                <w:rFonts w:hAnsi="宋体"/>
                <w:szCs w:val="21"/>
              </w:rPr>
            </w:pPr>
            <w:r>
              <w:rPr>
                <w:rFonts w:hAnsi="宋体" w:hint="eastAsia"/>
                <w:szCs w:val="21"/>
              </w:rPr>
              <w:t>期末考试成绩占总评成绩的</w:t>
            </w:r>
            <w:r>
              <w:rPr>
                <w:rFonts w:hAnsi="宋体"/>
                <w:szCs w:val="21"/>
              </w:rPr>
              <w:t>100%</w:t>
            </w:r>
            <w:r>
              <w:rPr>
                <w:rFonts w:hAnsi="宋体" w:hint="eastAsia"/>
                <w:szCs w:val="21"/>
              </w:rPr>
              <w:t>；</w:t>
            </w:r>
          </w:p>
          <w:p w:rsidR="003717A0" w:rsidRDefault="003717A0">
            <w:pPr>
              <w:numPr>
                <w:ilvl w:val="0"/>
                <w:numId w:val="356"/>
              </w:numPr>
              <w:autoSpaceDE w:val="0"/>
              <w:autoSpaceDN w:val="0"/>
              <w:adjustRightInd w:val="0"/>
              <w:snapToGrid w:val="0"/>
              <w:spacing w:line="360" w:lineRule="auto"/>
              <w:jc w:val="left"/>
              <w:rPr>
                <w:rFonts w:hAnsi="宋体"/>
                <w:szCs w:val="21"/>
              </w:rPr>
            </w:pPr>
            <w:r>
              <w:rPr>
                <w:rFonts w:hAnsi="宋体" w:hint="eastAsia"/>
                <w:szCs w:val="21"/>
              </w:rPr>
              <w:t>有下列情况之一者，总评成绩为不及格：</w:t>
            </w:r>
          </w:p>
          <w:p w:rsidR="003717A0" w:rsidRDefault="003717A0">
            <w:pPr>
              <w:autoSpaceDE w:val="0"/>
              <w:autoSpaceDN w:val="0"/>
              <w:adjustRightInd w:val="0"/>
              <w:snapToGrid w:val="0"/>
              <w:spacing w:line="360" w:lineRule="auto"/>
              <w:jc w:val="left"/>
              <w:rPr>
                <w:szCs w:val="21"/>
              </w:rPr>
            </w:pPr>
            <w:r>
              <w:rPr>
                <w:rFonts w:hAnsi="宋体" w:hint="eastAsia"/>
                <w:szCs w:val="21"/>
              </w:rPr>
              <w:t>（</w:t>
            </w:r>
            <w:r>
              <w:rPr>
                <w:szCs w:val="21"/>
              </w:rPr>
              <w:t>1</w:t>
            </w:r>
            <w:r>
              <w:rPr>
                <w:rFonts w:hAnsi="宋体" w:hint="eastAsia"/>
                <w:szCs w:val="21"/>
              </w:rPr>
              <w:t>）缺交作业次数达</w:t>
            </w:r>
            <w:r>
              <w:rPr>
                <w:szCs w:val="21"/>
              </w:rPr>
              <w:t>1/3</w:t>
            </w:r>
            <w:r>
              <w:rPr>
                <w:rFonts w:hAnsi="宋体" w:hint="eastAsia"/>
                <w:szCs w:val="21"/>
              </w:rPr>
              <w:t>以上者；</w:t>
            </w:r>
          </w:p>
          <w:p w:rsidR="003717A0" w:rsidRDefault="003717A0">
            <w:pPr>
              <w:autoSpaceDE w:val="0"/>
              <w:autoSpaceDN w:val="0"/>
              <w:adjustRightInd w:val="0"/>
              <w:snapToGrid w:val="0"/>
              <w:spacing w:line="360" w:lineRule="auto"/>
              <w:jc w:val="left"/>
              <w:rPr>
                <w:rFonts w:hAnsi="宋体"/>
                <w:kern w:val="0"/>
                <w:sz w:val="22"/>
              </w:rPr>
            </w:pPr>
            <w:r>
              <w:rPr>
                <w:rFonts w:hAnsi="宋体" w:hint="eastAsia"/>
                <w:szCs w:val="21"/>
              </w:rPr>
              <w:t>（</w:t>
            </w:r>
            <w:r>
              <w:rPr>
                <w:szCs w:val="21"/>
              </w:rPr>
              <w:t>2</w:t>
            </w:r>
            <w:r>
              <w:rPr>
                <w:rFonts w:hAnsi="宋体" w:hint="eastAsia"/>
                <w:szCs w:val="21"/>
              </w:rPr>
              <w:t>）缺课次数达本学期总授课学时的</w:t>
            </w:r>
            <w:r>
              <w:rPr>
                <w:szCs w:val="21"/>
              </w:rPr>
              <w:t>1/3</w:t>
            </w:r>
            <w:r>
              <w:rPr>
                <w:rFonts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rPr>
            </w:pP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rPr>
              <w:t>备注</w:t>
            </w:r>
          </w:p>
        </w:tc>
        <w:tc>
          <w:tcPr>
            <w:tcW w:w="9142" w:type="dxa"/>
            <w:vAlign w:val="center"/>
          </w:tcPr>
          <w:p w:rsidR="003717A0" w:rsidRDefault="003717A0"/>
        </w:tc>
      </w:tr>
    </w:tbl>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Pr="00F5156D" w:rsidRDefault="003717A0">
      <w:pPr>
        <w:pStyle w:val="1"/>
        <w:rPr>
          <w:b/>
        </w:rPr>
      </w:pPr>
      <w:r>
        <w:br w:type="page"/>
      </w:r>
      <w:bookmarkStart w:id="83" w:name="_Toc469313003"/>
      <w:bookmarkStart w:id="84" w:name="_Toc471830715"/>
      <w:r w:rsidRPr="00F5156D">
        <w:rPr>
          <w:rFonts w:hint="eastAsia"/>
          <w:b/>
        </w:rPr>
        <w:lastRenderedPageBreak/>
        <w:t>《人体运动学》课程质量标准</w:t>
      </w:r>
      <w:bookmarkEnd w:id="83"/>
      <w:bookmarkEnd w:id="84"/>
    </w:p>
    <w:p w:rsidR="003717A0" w:rsidRPr="00F5156D" w:rsidRDefault="003717A0" w:rsidP="005E20B5">
      <w:pPr>
        <w:shd w:val="clear" w:color="auto" w:fill="FFFFFF"/>
        <w:adjustRightInd w:val="0"/>
        <w:snapToGrid w:val="0"/>
        <w:spacing w:beforeLines="50" w:afterLines="50" w:line="360" w:lineRule="auto"/>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人体运动学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rFonts w:ascii="Arial" w:hAnsi="Arial"/>
                <w:sz w:val="22"/>
              </w:rPr>
            </w:pPr>
            <w:r>
              <w:rPr>
                <w:rFonts w:ascii="Arial" w:hAnsi="Arial"/>
                <w:szCs w:val="21"/>
              </w:rPr>
              <w:t>Kinesiology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rFonts w:ascii="宋体" w:cs="宋体"/>
                <w:sz w:val="24"/>
                <w:szCs w:val="24"/>
              </w:rPr>
            </w:pPr>
            <w:r>
              <w:rPr>
                <w:sz w:val="22"/>
              </w:rPr>
              <w:t>170159</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ind w:firstLineChars="650" w:firstLine="1430"/>
              <w:rPr>
                <w:sz w:val="22"/>
              </w:rPr>
            </w:pPr>
            <w:r>
              <w:rPr>
                <w:rFonts w:hint="eastAsia"/>
                <w:sz w:val="22"/>
              </w:rPr>
              <w:t>三</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72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人体运动学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r>
              <w:rPr>
                <w:sz w:val="22"/>
              </w:rPr>
              <w:t>2014</w:t>
            </w:r>
            <w:r>
              <w:rPr>
                <w:rFonts w:hint="eastAsia"/>
                <w:sz w:val="22"/>
              </w:rPr>
              <w:t>年</w:t>
            </w:r>
            <w:r>
              <w:rPr>
                <w:sz w:val="22"/>
              </w:rPr>
              <w:t>5</w:t>
            </w:r>
            <w:r>
              <w:rPr>
                <w:rFonts w:hint="eastAsia"/>
                <w:sz w:val="22"/>
              </w:rPr>
              <w:t>月第</w:t>
            </w:r>
            <w:r>
              <w:rPr>
                <w:sz w:val="22"/>
              </w:rPr>
              <w:t>2</w:t>
            </w:r>
            <w:r>
              <w:rPr>
                <w:rFonts w:hint="eastAsia"/>
                <w:sz w:val="22"/>
              </w:rPr>
              <w:t>版，书号：</w:t>
            </w:r>
            <w:r>
              <w:rPr>
                <w:sz w:val="22"/>
              </w:rPr>
              <w:t>ISBN 978-7-117-17331-5/R.17332</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沈光宇</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1985</w:t>
            </w:r>
            <w:r>
              <w:rPr>
                <w:rFonts w:hint="eastAsia"/>
                <w:sz w:val="22"/>
              </w:rPr>
              <w:t>．</w:t>
            </w:r>
            <w:r>
              <w:rPr>
                <w:sz w:val="22"/>
              </w:rPr>
              <w:t>6</w:t>
            </w:r>
          </w:p>
        </w:tc>
      </w:tr>
      <w:tr w:rsidR="003717A0">
        <w:tc>
          <w:tcPr>
            <w:tcW w:w="1668" w:type="dxa"/>
          </w:tcPr>
          <w:p w:rsidR="003717A0" w:rsidRDefault="003717A0">
            <w:pPr>
              <w:adjustRightInd w:val="0"/>
              <w:snapToGrid w:val="0"/>
              <w:spacing w:line="500" w:lineRule="exact"/>
              <w:rPr>
                <w:sz w:val="22"/>
              </w:rPr>
            </w:pPr>
            <w:r>
              <w:rPr>
                <w:rFonts w:hint="eastAsia"/>
                <w:sz w:val="22"/>
              </w:rPr>
              <w:t>刘苏</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2006</w:t>
            </w:r>
            <w:r>
              <w:rPr>
                <w:rFonts w:hint="eastAsia"/>
                <w:sz w:val="22"/>
              </w:rPr>
              <w:t>．</w:t>
            </w:r>
            <w:r>
              <w:rPr>
                <w:sz w:val="22"/>
              </w:rPr>
              <w:t>9</w:t>
            </w:r>
          </w:p>
        </w:tc>
      </w:tr>
      <w:tr w:rsidR="003717A0">
        <w:tc>
          <w:tcPr>
            <w:tcW w:w="1668" w:type="dxa"/>
          </w:tcPr>
          <w:p w:rsidR="003717A0" w:rsidRDefault="003717A0">
            <w:pPr>
              <w:adjustRightInd w:val="0"/>
              <w:snapToGrid w:val="0"/>
              <w:spacing w:line="500" w:lineRule="exact"/>
              <w:rPr>
                <w:sz w:val="22"/>
              </w:rPr>
            </w:pPr>
            <w:r>
              <w:rPr>
                <w:rFonts w:hint="eastAsia"/>
                <w:sz w:val="22"/>
              </w:rPr>
              <w:t>蔡俊燕</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2003</w:t>
            </w:r>
            <w:r>
              <w:rPr>
                <w:rFonts w:hint="eastAsia"/>
                <w:sz w:val="22"/>
              </w:rPr>
              <w:t>．</w:t>
            </w:r>
            <w:r>
              <w:rPr>
                <w:sz w:val="22"/>
              </w:rPr>
              <w:t>9</w:t>
            </w:r>
          </w:p>
        </w:tc>
      </w:tr>
      <w:tr w:rsidR="003717A0">
        <w:tc>
          <w:tcPr>
            <w:tcW w:w="1668" w:type="dxa"/>
          </w:tcPr>
          <w:p w:rsidR="003717A0" w:rsidRDefault="003717A0">
            <w:pPr>
              <w:adjustRightInd w:val="0"/>
              <w:snapToGrid w:val="0"/>
              <w:spacing w:line="500" w:lineRule="exact"/>
              <w:rPr>
                <w:sz w:val="22"/>
              </w:rPr>
            </w:pPr>
            <w:r>
              <w:rPr>
                <w:rFonts w:hint="eastAsia"/>
                <w:sz w:val="22"/>
              </w:rPr>
              <w:t>吴勤峰</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2008</w:t>
            </w:r>
            <w:r>
              <w:rPr>
                <w:rFonts w:hint="eastAsia"/>
                <w:sz w:val="22"/>
              </w:rPr>
              <w:t>．</w:t>
            </w:r>
            <w:r>
              <w:rPr>
                <w:sz w:val="22"/>
              </w:rPr>
              <w:t>9</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widowControl/>
              <w:spacing w:line="480" w:lineRule="atLeast"/>
              <w:rPr>
                <w:sz w:val="22"/>
              </w:rPr>
            </w:pPr>
            <w:r>
              <w:rPr>
                <w:sz w:val="22"/>
              </w:rPr>
              <w:t xml:space="preserve">     </w:t>
            </w:r>
            <w:r>
              <w:rPr>
                <w:rFonts w:hint="eastAsia"/>
                <w:sz w:val="22"/>
              </w:rPr>
              <w:t>人体运动学是康复治疗学专业的基础课程。作为以恢复患者功能为己任的康复治疗师，必须熟练掌握人体运动学各个领域的知识，正确认识人体运动器官各部分的解剖特点和力学特性，才能更好地掌握各种康复临床治疗的理论和技能。</w:t>
            </w:r>
            <w:r>
              <w:rPr>
                <w:sz w:val="22"/>
              </w:rPr>
              <w:t xml:space="preserve"> </w:t>
            </w:r>
            <w:r>
              <w:rPr>
                <w:rFonts w:hint="eastAsia"/>
                <w:sz w:val="22"/>
              </w:rPr>
              <w:t>学习人体运动学，通过对人体结构和功能的力学研究和运动动作的生物力学分析，掌握熟悉运动器官的结构和功能相一致的关系，可以帮助治疗师更深入理解运动的实质，掌握各项运动治疗的禁忌症、技巧和手法，制定运动治疗方</w:t>
            </w:r>
            <w:r>
              <w:rPr>
                <w:rFonts w:hint="eastAsia"/>
                <w:sz w:val="22"/>
              </w:rPr>
              <w:lastRenderedPageBreak/>
              <w:t>案，选择恰当的训练手段，准确地实施运动治疗，省力又安全高效地进行训练。本课程教学的主要路径与方法：（</w:t>
            </w:r>
            <w:r>
              <w:rPr>
                <w:sz w:val="22"/>
              </w:rPr>
              <w:t>1</w:t>
            </w:r>
            <w:r>
              <w:rPr>
                <w:rFonts w:hint="eastAsia"/>
                <w:sz w:val="22"/>
              </w:rPr>
              <w:t>）通过理论课堂讲解人体运动学的主要知识点，使学生掌握本课程的基本概念和知识；（</w:t>
            </w:r>
            <w:r>
              <w:rPr>
                <w:sz w:val="22"/>
              </w:rPr>
              <w:t>2</w:t>
            </w:r>
            <w:r>
              <w:rPr>
                <w:rFonts w:hint="eastAsia"/>
                <w:sz w:val="22"/>
              </w:rPr>
              <w:t>）通过一些典型病例的视频讲解使学生掌握本学科的知识难点和重点；（</w:t>
            </w:r>
            <w:r>
              <w:rPr>
                <w:sz w:val="22"/>
              </w:rPr>
              <w:t>3</w:t>
            </w:r>
            <w:r>
              <w:rPr>
                <w:rFonts w:hint="eastAsia"/>
                <w:sz w:val="22"/>
              </w:rPr>
              <w:t>）利用参考书和网络平台，辅导学生逐步形成自主学习的能力。</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Default="003717A0" w:rsidP="005E20B5">
      <w:pPr>
        <w:shd w:val="clear" w:color="auto" w:fill="FFFFFF"/>
        <w:adjustRightInd w:val="0"/>
        <w:snapToGrid w:val="0"/>
        <w:spacing w:beforeLines="50" w:afterLines="50" w:line="360" w:lineRule="auto"/>
        <w:jc w:val="center"/>
        <w:rPr>
          <w:rFonts w:ascii="Times New Roman" w:eastAsia="黑体" w:hAnsi="Times New Roman"/>
          <w:kern w:val="0"/>
          <w:sz w:val="32"/>
          <w:szCs w:val="32"/>
        </w:rPr>
      </w:pPr>
      <w:r>
        <w:rPr>
          <w:rFonts w:ascii="Times New Roman" w:eastAsia="黑体" w:hAnsi="Times New Roman"/>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sz w:val="22"/>
        </w:rPr>
        <w:t>170159</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72</w:t>
      </w:r>
      <w:r>
        <w:rPr>
          <w:rFonts w:ascii="Times New Roman" w:hAnsi="Times New Roman" w:hint="eastAsia"/>
          <w:kern w:val="0"/>
          <w:szCs w:val="21"/>
        </w:rPr>
        <w:t>学时（理论学时</w:t>
      </w:r>
      <w:r>
        <w:rPr>
          <w:rFonts w:ascii="Times New Roman" w:hAnsi="Times New Roman"/>
          <w:kern w:val="0"/>
          <w:szCs w:val="21"/>
        </w:rPr>
        <w:t>54</w:t>
      </w:r>
      <w:r>
        <w:rPr>
          <w:rFonts w:ascii="Times New Roman" w:hAnsi="Times New Roman" w:hint="eastAsia"/>
          <w:kern w:val="0"/>
          <w:szCs w:val="21"/>
        </w:rPr>
        <w:t>，实验学时</w:t>
      </w:r>
      <w:r>
        <w:rPr>
          <w:rFonts w:ascii="Times New Roman" w:hAnsi="Times New Roman"/>
          <w:kern w:val="0"/>
          <w:szCs w:val="21"/>
        </w:rPr>
        <w:t>18</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3</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先修课程：人体解剖学；康复医学导论</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后续课程：康复评定学及后续的康复专业课程</w:t>
      </w:r>
      <w:r>
        <w:rPr>
          <w:rFonts w:ascii="Times New Roman" w:hAnsi="Times New Roman"/>
          <w:kern w:val="0"/>
          <w:szCs w:val="21"/>
        </w:rPr>
        <w:t xml:space="preserve"> </w:t>
      </w:r>
    </w:p>
    <w:p w:rsidR="003717A0" w:rsidRDefault="003717A0">
      <w:pPr>
        <w:autoSpaceDE w:val="0"/>
        <w:autoSpaceDN w:val="0"/>
        <w:adjustRightInd w:val="0"/>
        <w:snapToGrid w:val="0"/>
        <w:spacing w:line="42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20" w:lineRule="exact"/>
        <w:ind w:firstLineChars="193" w:firstLine="425"/>
        <w:jc w:val="left"/>
        <w:rPr>
          <w:sz w:val="22"/>
        </w:rPr>
      </w:pPr>
      <w:r>
        <w:rPr>
          <w:sz w:val="22"/>
        </w:rPr>
        <w:t xml:space="preserve"> </w:t>
      </w:r>
      <w:r>
        <w:rPr>
          <w:rFonts w:hint="eastAsia"/>
          <w:sz w:val="22"/>
        </w:rPr>
        <w:t>人体运动学研究人体活动的运动规律，如人体或人体特定部位的位置、速度和加速度等。而康复治疗的目的是使病伤残者的功能得到最大限度的恢复或保全，已达到让他们能够生活自理、回归主流社会、提高生存质量的目的。人体运动学是康复治疗专业学生必须学习的重要基础专业课程之一。所以作为以恢复患者功能为己任的康复治疗师，必须熟练掌握人体运动学各个领域的知识，正确认识人体运动器官各部分的解剖特点和力学特性，才能更好地掌握各种康复临床治疗的理论和技能。</w:t>
      </w:r>
      <w:r>
        <w:rPr>
          <w:sz w:val="22"/>
        </w:rPr>
        <w:t xml:space="preserve"> </w:t>
      </w:r>
      <w:r>
        <w:rPr>
          <w:rFonts w:hint="eastAsia"/>
          <w:sz w:val="22"/>
        </w:rPr>
        <w:t>学习人体运动学，通过对人体结构和功能的力学研究和运动动作的生物力学分析，掌握熟悉运动器官的结构和功能相一致的关系，最终服务于制定临床运动治疗方案，选择恰当的训练手段，准确地实施运动治疗，省力又安全高效地进行训练。</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sz w:val="22"/>
        </w:rPr>
      </w:pPr>
      <w:r>
        <w:rPr>
          <w:rFonts w:ascii="Times New Roman" w:hAnsi="Times New Roman" w:hint="eastAsia"/>
          <w:kern w:val="0"/>
          <w:szCs w:val="21"/>
        </w:rPr>
        <w:t>通过本课程的学习，要求学生达到较系统掌握人体的生理学特征和运动特征、基本生物力学规律和运动中人体和器械运动规律。根据理论课的知识</w:t>
      </w:r>
      <w:r>
        <w:rPr>
          <w:rFonts w:hint="eastAsia"/>
          <w:sz w:val="22"/>
        </w:rPr>
        <w:t>帮助学生更深入理解运动的实质，同时掌握心肺功能、运动控制与步态分析等，最终为临床康复治疗提供理论基础和基本治疗原理。同时</w:t>
      </w:r>
      <w:r>
        <w:rPr>
          <w:rFonts w:ascii="Times New Roman" w:hAnsi="Times New Roman" w:hint="eastAsia"/>
          <w:kern w:val="0"/>
          <w:szCs w:val="21"/>
        </w:rPr>
        <w:t>逐步培养学生收集资料和自主学习的能力、交流和辩论能力，注重培养学生分析问题和解决问题的能力。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center"/>
        <w:rPr>
          <w:rFonts w:ascii="宋体"/>
          <w:b/>
          <w:szCs w:val="21"/>
        </w:rPr>
      </w:pPr>
      <w:r>
        <w:rPr>
          <w:rFonts w:ascii="宋体" w:hAnsi="宋体" w:hint="eastAsia"/>
          <w:b/>
          <w:szCs w:val="21"/>
        </w:rPr>
        <w:t>第一章</w:t>
      </w:r>
      <w:r>
        <w:rPr>
          <w:rFonts w:ascii="宋体" w:hAnsi="宋体"/>
          <w:b/>
          <w:szCs w:val="21"/>
        </w:rPr>
        <w:t xml:space="preserve">  </w:t>
      </w:r>
      <w:r>
        <w:rPr>
          <w:rFonts w:ascii="宋体" w:hAnsi="宋体" w:hint="eastAsia"/>
          <w:b/>
          <w:szCs w:val="21"/>
        </w:rPr>
        <w:t>运动学总论</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jc w:val="left"/>
        <w:rPr>
          <w:rFonts w:ascii="宋体"/>
          <w:szCs w:val="21"/>
        </w:rPr>
      </w:pPr>
      <w:r>
        <w:rPr>
          <w:rFonts w:ascii="宋体" w:hAnsi="宋体"/>
          <w:szCs w:val="21"/>
        </w:rPr>
        <w:t xml:space="preserve">1.  </w:t>
      </w:r>
      <w:r>
        <w:rPr>
          <w:rFonts w:ascii="宋体" w:hAnsi="宋体" w:hint="eastAsia"/>
          <w:szCs w:val="21"/>
        </w:rPr>
        <w:t>人体运动学基础与概念。</w:t>
      </w:r>
    </w:p>
    <w:p w:rsidR="003717A0" w:rsidRDefault="003717A0">
      <w:pPr>
        <w:autoSpaceDE w:val="0"/>
        <w:autoSpaceDN w:val="0"/>
        <w:adjustRightInd w:val="0"/>
        <w:snapToGrid w:val="0"/>
        <w:spacing w:line="440" w:lineRule="exact"/>
        <w:jc w:val="left"/>
        <w:rPr>
          <w:rFonts w:ascii="宋体"/>
          <w:szCs w:val="21"/>
        </w:rPr>
      </w:pPr>
      <w:r>
        <w:rPr>
          <w:rFonts w:ascii="宋体" w:hAnsi="宋体"/>
          <w:szCs w:val="21"/>
        </w:rPr>
        <w:t xml:space="preserve">2.  </w:t>
      </w:r>
      <w:r>
        <w:rPr>
          <w:rFonts w:ascii="宋体" w:hAnsi="宋体" w:hint="eastAsia"/>
          <w:szCs w:val="21"/>
        </w:rPr>
        <w:t>运动学、动力学和静力学基础。</w:t>
      </w:r>
    </w:p>
    <w:p w:rsidR="003717A0" w:rsidRDefault="003717A0">
      <w:pPr>
        <w:autoSpaceDE w:val="0"/>
        <w:autoSpaceDN w:val="0"/>
        <w:adjustRightInd w:val="0"/>
        <w:snapToGrid w:val="0"/>
        <w:spacing w:line="440" w:lineRule="exact"/>
        <w:jc w:val="left"/>
        <w:rPr>
          <w:rFonts w:ascii="宋体"/>
          <w:szCs w:val="21"/>
        </w:rPr>
      </w:pPr>
      <w:r>
        <w:rPr>
          <w:rFonts w:ascii="宋体" w:hAnsi="宋体"/>
          <w:szCs w:val="21"/>
        </w:rPr>
        <w:t xml:space="preserve">3.  </w:t>
      </w:r>
      <w:r>
        <w:rPr>
          <w:rFonts w:ascii="宋体" w:hAnsi="宋体" w:hint="eastAsia"/>
          <w:szCs w:val="21"/>
        </w:rPr>
        <w:t>生物力学基础：应力与应变；弹性模量；粘弹性；运动生物力学基础。</w:t>
      </w:r>
    </w:p>
    <w:p w:rsidR="003717A0" w:rsidRDefault="003717A0">
      <w:pPr>
        <w:autoSpaceDE w:val="0"/>
        <w:autoSpaceDN w:val="0"/>
        <w:adjustRightInd w:val="0"/>
        <w:snapToGrid w:val="0"/>
        <w:spacing w:line="440" w:lineRule="exact"/>
        <w:jc w:val="left"/>
        <w:rPr>
          <w:rFonts w:ascii="宋体"/>
          <w:szCs w:val="21"/>
        </w:rPr>
      </w:pPr>
      <w:r>
        <w:rPr>
          <w:rFonts w:ascii="宋体" w:hAnsi="宋体"/>
          <w:szCs w:val="21"/>
        </w:rPr>
        <w:t xml:space="preserve">4.  </w:t>
      </w:r>
      <w:r>
        <w:rPr>
          <w:rFonts w:ascii="宋体" w:hAnsi="宋体" w:hint="eastAsia"/>
          <w:szCs w:val="21"/>
        </w:rPr>
        <w:t>人体运动的能量代谢。</w:t>
      </w:r>
    </w:p>
    <w:p w:rsidR="003717A0" w:rsidRDefault="003717A0">
      <w:pPr>
        <w:autoSpaceDE w:val="0"/>
        <w:autoSpaceDN w:val="0"/>
        <w:adjustRightInd w:val="0"/>
        <w:snapToGrid w:val="0"/>
        <w:spacing w:line="440" w:lineRule="exact"/>
        <w:jc w:val="left"/>
        <w:rPr>
          <w:rFonts w:ascii="宋体"/>
          <w:szCs w:val="21"/>
        </w:rPr>
      </w:pPr>
      <w:r>
        <w:rPr>
          <w:rFonts w:ascii="宋体" w:hAnsi="宋体"/>
          <w:szCs w:val="21"/>
        </w:rPr>
        <w:t xml:space="preserve">5.  </w:t>
      </w:r>
      <w:r>
        <w:rPr>
          <w:rFonts w:ascii="宋体" w:hAnsi="宋体" w:hint="eastAsia"/>
          <w:szCs w:val="21"/>
        </w:rPr>
        <w:t>人体运动的效果评价。</w:t>
      </w:r>
    </w:p>
    <w:p w:rsidR="003717A0" w:rsidRDefault="003717A0">
      <w:pPr>
        <w:autoSpaceDE w:val="0"/>
        <w:autoSpaceDN w:val="0"/>
        <w:adjustRightInd w:val="0"/>
        <w:snapToGrid w:val="0"/>
        <w:spacing w:line="400" w:lineRule="exact"/>
        <w:jc w:val="center"/>
        <w:rPr>
          <w:rFonts w:ascii="宋体"/>
          <w:b/>
          <w:szCs w:val="21"/>
        </w:rPr>
      </w:pPr>
      <w:r>
        <w:rPr>
          <w:rFonts w:ascii="宋体" w:hAnsi="宋体" w:hint="eastAsia"/>
          <w:b/>
          <w:szCs w:val="21"/>
        </w:rPr>
        <w:t>第二章</w:t>
      </w:r>
      <w:r>
        <w:rPr>
          <w:rFonts w:ascii="宋体" w:hAnsi="宋体"/>
          <w:b/>
          <w:szCs w:val="21"/>
        </w:rPr>
        <w:t xml:space="preserve">  </w:t>
      </w:r>
      <w:r>
        <w:rPr>
          <w:rFonts w:ascii="宋体" w:hAnsi="宋体" w:hint="eastAsia"/>
          <w:b/>
          <w:szCs w:val="21"/>
        </w:rPr>
        <w:t>骨骼肌肉系统运动学</w:t>
      </w:r>
    </w:p>
    <w:p w:rsidR="003717A0" w:rsidRDefault="003717A0">
      <w:pPr>
        <w:numPr>
          <w:ilvl w:val="1"/>
          <w:numId w:val="357"/>
        </w:numPr>
        <w:autoSpaceDE w:val="0"/>
        <w:autoSpaceDN w:val="0"/>
        <w:adjustRightInd w:val="0"/>
        <w:snapToGrid w:val="0"/>
        <w:spacing w:line="440" w:lineRule="exact"/>
        <w:jc w:val="center"/>
        <w:rPr>
          <w:rFonts w:ascii="宋体"/>
          <w:b/>
          <w:szCs w:val="21"/>
        </w:rPr>
      </w:pPr>
      <w:r>
        <w:rPr>
          <w:rFonts w:ascii="宋体" w:hAnsi="宋体" w:hint="eastAsia"/>
          <w:b/>
          <w:bCs/>
          <w:szCs w:val="21"/>
        </w:rPr>
        <w:lastRenderedPageBreak/>
        <w:t>骨运动学</w:t>
      </w:r>
    </w:p>
    <w:p w:rsidR="003717A0" w:rsidRDefault="003717A0">
      <w:pPr>
        <w:autoSpaceDE w:val="0"/>
        <w:autoSpaceDN w:val="0"/>
        <w:adjustRightInd w:val="0"/>
        <w:snapToGrid w:val="0"/>
        <w:spacing w:line="440" w:lineRule="exact"/>
        <w:ind w:left="420"/>
        <w:jc w:val="center"/>
        <w:rPr>
          <w:rFonts w:ascii="宋体"/>
          <w:b/>
          <w:szCs w:val="21"/>
        </w:rPr>
      </w:pPr>
      <w:r>
        <w:rPr>
          <w:rFonts w:ascii="宋体" w:hAnsi="宋体" w:hint="eastAsia"/>
          <w:b/>
          <w:bCs/>
          <w:szCs w:val="21"/>
        </w:rPr>
        <w:t>一</w:t>
      </w:r>
      <w:r>
        <w:rPr>
          <w:rFonts w:ascii="宋体" w:hAnsi="宋体"/>
          <w:b/>
          <w:bCs/>
          <w:szCs w:val="21"/>
        </w:rPr>
        <w:t xml:space="preserve">  </w:t>
      </w:r>
      <w:r>
        <w:rPr>
          <w:rFonts w:ascii="宋体" w:hAnsi="宋体" w:hint="eastAsia"/>
          <w:b/>
          <w:bCs/>
          <w:szCs w:val="21"/>
        </w:rPr>
        <w:t>骨的运动学基础</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骨的形状、结构与代谢：骨结构、长骨骨干密质骨的结构；</w:t>
      </w:r>
      <w:r>
        <w:rPr>
          <w:rFonts w:ascii="宋体" w:hAnsi="宋体"/>
          <w:bCs/>
          <w:szCs w:val="21"/>
        </w:rPr>
        <w:t xml:space="preserve"> </w:t>
      </w:r>
      <w:r>
        <w:rPr>
          <w:rFonts w:ascii="宋体" w:hAnsi="宋体" w:hint="eastAsia"/>
          <w:bCs/>
          <w:szCs w:val="21"/>
        </w:rPr>
        <w:t>骨塑形的概念；骨重建的概念和骨重建的过程；骨重建单位。</w:t>
      </w:r>
      <w:r>
        <w:rPr>
          <w:rFonts w:ascii="宋体" w:hAnsi="宋体"/>
          <w:bCs/>
          <w:szCs w:val="21"/>
        </w:rPr>
        <w:t xml:space="preserve">         </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骨的血管、淋巴与神经；</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骨的功能</w:t>
      </w:r>
    </w:p>
    <w:p w:rsidR="003717A0" w:rsidRDefault="003717A0">
      <w:pPr>
        <w:autoSpaceDE w:val="0"/>
        <w:autoSpaceDN w:val="0"/>
        <w:adjustRightInd w:val="0"/>
        <w:snapToGrid w:val="0"/>
        <w:spacing w:line="440" w:lineRule="exact"/>
        <w:jc w:val="center"/>
        <w:rPr>
          <w:rFonts w:ascii="宋体"/>
          <w:b/>
          <w:bCs/>
          <w:szCs w:val="21"/>
        </w:rPr>
      </w:pPr>
      <w:r>
        <w:rPr>
          <w:rFonts w:ascii="宋体" w:hAnsi="宋体" w:hint="eastAsia"/>
          <w:b/>
          <w:bCs/>
          <w:szCs w:val="21"/>
        </w:rPr>
        <w:t>二</w:t>
      </w:r>
      <w:r>
        <w:rPr>
          <w:rFonts w:ascii="宋体" w:hAnsi="宋体"/>
          <w:b/>
          <w:bCs/>
          <w:szCs w:val="21"/>
        </w:rPr>
        <w:t xml:space="preserve">  </w:t>
      </w:r>
      <w:r>
        <w:rPr>
          <w:rFonts w:ascii="宋体" w:hAnsi="宋体" w:hint="eastAsia"/>
          <w:b/>
          <w:bCs/>
          <w:szCs w:val="21"/>
        </w:rPr>
        <w:t>骨的运动适应性</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骨的生物力学特性：骨的应力、应变、应力</w:t>
      </w:r>
      <w:r>
        <w:rPr>
          <w:rFonts w:ascii="宋体"/>
          <w:bCs/>
          <w:szCs w:val="21"/>
        </w:rPr>
        <w:t>-</w:t>
      </w:r>
      <w:r>
        <w:rPr>
          <w:rFonts w:ascii="宋体" w:hAnsi="宋体" w:hint="eastAsia"/>
          <w:bCs/>
          <w:szCs w:val="21"/>
        </w:rPr>
        <w:t>应变曲线、弹性变形区和塑性变形区；骨的载荷；拉伸载荷、压缩载荷、剪切载荷、弯曲载荷和扭转载荷五种。骨的功能适应性原则。</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2.  </w:t>
      </w:r>
      <w:r>
        <w:rPr>
          <w:rFonts w:ascii="宋体" w:hAnsi="宋体" w:hint="eastAsia"/>
          <w:bCs/>
          <w:szCs w:val="21"/>
        </w:rPr>
        <w:t>骨的功能适应性：</w:t>
      </w:r>
      <w:r>
        <w:rPr>
          <w:rFonts w:ascii="宋体" w:hAnsi="宋体"/>
          <w:bCs/>
          <w:szCs w:val="21"/>
        </w:rPr>
        <w:t xml:space="preserve">Wolff </w:t>
      </w:r>
      <w:r>
        <w:rPr>
          <w:rFonts w:ascii="宋体" w:hAnsi="宋体" w:hint="eastAsia"/>
          <w:bCs/>
          <w:szCs w:val="21"/>
        </w:rPr>
        <w:t>定律。</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1.  </w:t>
      </w:r>
      <w:r>
        <w:rPr>
          <w:rFonts w:ascii="Times New Roman" w:hint="eastAsia"/>
        </w:rPr>
        <w:t>常见骨的形态、</w:t>
      </w:r>
      <w:r>
        <w:rPr>
          <w:rFonts w:ascii="Times New Roman" w:hint="eastAsia"/>
          <w:bCs/>
        </w:rPr>
        <w:t>常见的骨折类型与骨所受载荷形式的关系；拉伸骨折、压缩骨折、弯曲骨折、旋转。</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2.  </w:t>
      </w:r>
      <w:r>
        <w:rPr>
          <w:rFonts w:ascii="Times New Roman" w:hint="eastAsia"/>
          <w:bCs/>
        </w:rPr>
        <w:t>骨折和压力联合弯曲</w:t>
      </w:r>
      <w:r>
        <w:rPr>
          <w:rFonts w:ascii="Times New Roman"/>
          <w:bCs/>
        </w:rPr>
        <w:t>5</w:t>
      </w:r>
      <w:r>
        <w:rPr>
          <w:rFonts w:ascii="Times New Roman" w:hint="eastAsia"/>
          <w:bCs/>
        </w:rPr>
        <w:t>种基本形式的骨折。</w:t>
      </w:r>
    </w:p>
    <w:p w:rsidR="003717A0" w:rsidRDefault="003717A0">
      <w:pPr>
        <w:autoSpaceDE w:val="0"/>
        <w:autoSpaceDN w:val="0"/>
        <w:adjustRightInd w:val="0"/>
        <w:snapToGrid w:val="0"/>
        <w:spacing w:line="440" w:lineRule="exact"/>
        <w:rPr>
          <w:rFonts w:ascii="Times New Roman"/>
          <w:b/>
        </w:rPr>
      </w:pPr>
      <w:r>
        <w:rPr>
          <w:rFonts w:ascii="Times New Roman" w:hint="eastAsia"/>
          <w:b/>
        </w:rPr>
        <w:t>目的要求</w:t>
      </w:r>
      <w:r>
        <w:rPr>
          <w:rFonts w:ascii="Times New Roman"/>
          <w:b/>
        </w:rPr>
        <w:t xml:space="preserve"> </w:t>
      </w:r>
    </w:p>
    <w:p w:rsidR="003717A0" w:rsidRDefault="003717A0">
      <w:pPr>
        <w:autoSpaceDE w:val="0"/>
        <w:autoSpaceDN w:val="0"/>
        <w:adjustRightInd w:val="0"/>
        <w:snapToGrid w:val="0"/>
        <w:spacing w:line="440" w:lineRule="exact"/>
        <w:rPr>
          <w:rFonts w:ascii="Times New Roman"/>
        </w:rPr>
      </w:pPr>
      <w:r>
        <w:rPr>
          <w:rFonts w:ascii="宋体" w:hAnsi="宋体"/>
          <w:szCs w:val="21"/>
        </w:rPr>
        <w:t xml:space="preserve">1.  </w:t>
      </w:r>
      <w:r>
        <w:rPr>
          <w:rFonts w:ascii="Times New Roman" w:hint="eastAsia"/>
        </w:rPr>
        <w:t>掌握常见骨的特点。</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2.  </w:t>
      </w:r>
      <w:r>
        <w:rPr>
          <w:rFonts w:ascii="Times New Roman" w:hint="eastAsia"/>
        </w:rPr>
        <w:t>了解</w:t>
      </w:r>
      <w:r>
        <w:rPr>
          <w:rFonts w:ascii="Times New Roman" w:hint="eastAsia"/>
          <w:bCs/>
        </w:rPr>
        <w:t>常见的骨折类型。</w:t>
      </w:r>
    </w:p>
    <w:p w:rsidR="003717A0" w:rsidRDefault="003717A0">
      <w:pPr>
        <w:numPr>
          <w:ilvl w:val="1"/>
          <w:numId w:val="357"/>
        </w:numPr>
        <w:autoSpaceDE w:val="0"/>
        <w:autoSpaceDN w:val="0"/>
        <w:adjustRightInd w:val="0"/>
        <w:snapToGrid w:val="0"/>
        <w:spacing w:line="440" w:lineRule="exact"/>
        <w:jc w:val="center"/>
        <w:rPr>
          <w:rFonts w:ascii="Times New Roman"/>
          <w:b/>
          <w:bCs/>
        </w:rPr>
      </w:pPr>
      <w:r>
        <w:rPr>
          <w:rFonts w:ascii="Times New Roman" w:hint="eastAsia"/>
          <w:b/>
          <w:bCs/>
        </w:rPr>
        <w:t>肌肉运动学</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一</w:t>
      </w:r>
      <w:r>
        <w:rPr>
          <w:rFonts w:ascii="宋体" w:hAnsi="宋体"/>
          <w:b/>
          <w:bCs/>
          <w:szCs w:val="21"/>
        </w:rPr>
        <w:t xml:space="preserve">  </w:t>
      </w:r>
      <w:r>
        <w:rPr>
          <w:rFonts w:ascii="宋体" w:hAnsi="宋体" w:hint="eastAsia"/>
          <w:b/>
          <w:bCs/>
          <w:szCs w:val="21"/>
        </w:rPr>
        <w:t>肌肉的运动学基础</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
          <w:bCs/>
          <w:szCs w:val="21"/>
        </w:rPr>
      </w:pPr>
      <w:r>
        <w:rPr>
          <w:rFonts w:ascii="宋体" w:hAnsi="宋体"/>
          <w:szCs w:val="21"/>
        </w:rPr>
        <w:t xml:space="preserve">1.  </w:t>
      </w:r>
      <w:r>
        <w:rPr>
          <w:rFonts w:ascii="宋体" w:hAnsi="宋体" w:hint="eastAsia"/>
          <w:bCs/>
          <w:szCs w:val="21"/>
        </w:rPr>
        <w:t>肌肉的组成、类型及特性。</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肌肉的功能及功能状态指标</w:t>
      </w:r>
      <w:r>
        <w:rPr>
          <w:rFonts w:ascii="宋体" w:hAnsi="宋体"/>
          <w:bCs/>
          <w:szCs w:val="21"/>
        </w:rPr>
        <w:t xml:space="preserve"> </w:t>
      </w:r>
      <w:r>
        <w:rPr>
          <w:rFonts w:ascii="宋体" w:hAnsi="宋体" w:hint="eastAsia"/>
          <w:bCs/>
          <w:szCs w:val="21"/>
        </w:rPr>
        <w:t>：</w:t>
      </w:r>
      <w:r>
        <w:rPr>
          <w:rFonts w:ascii="宋体" w:hAnsi="宋体"/>
          <w:bCs/>
          <w:szCs w:val="21"/>
        </w:rPr>
        <w:t xml:space="preserve"> </w:t>
      </w:r>
      <w:r>
        <w:rPr>
          <w:rFonts w:ascii="宋体" w:hAnsi="宋体" w:hint="eastAsia"/>
          <w:bCs/>
          <w:szCs w:val="21"/>
        </w:rPr>
        <w:t>肌运动的两种基本形式。影响肌力的主要因素、爆发力的概念、肌耐力的概念。</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肌肉训练的结构基础。</w:t>
      </w:r>
    </w:p>
    <w:p w:rsidR="003717A0" w:rsidRDefault="003717A0">
      <w:pPr>
        <w:autoSpaceDE w:val="0"/>
        <w:autoSpaceDN w:val="0"/>
        <w:adjustRightInd w:val="0"/>
        <w:snapToGrid w:val="0"/>
        <w:spacing w:line="440" w:lineRule="exact"/>
        <w:jc w:val="center"/>
        <w:rPr>
          <w:rFonts w:ascii="宋体"/>
          <w:b/>
          <w:bCs/>
          <w:szCs w:val="21"/>
        </w:rPr>
      </w:pPr>
      <w:r>
        <w:rPr>
          <w:rFonts w:ascii="宋体" w:hAnsi="宋体"/>
          <w:b/>
          <w:bCs/>
          <w:szCs w:val="21"/>
        </w:rPr>
        <w:t xml:space="preserve">    </w:t>
      </w:r>
      <w:r>
        <w:rPr>
          <w:rFonts w:ascii="宋体" w:hAnsi="宋体" w:hint="eastAsia"/>
          <w:b/>
          <w:bCs/>
          <w:szCs w:val="21"/>
        </w:rPr>
        <w:t>二</w:t>
      </w:r>
      <w:r>
        <w:rPr>
          <w:rFonts w:ascii="宋体" w:hAnsi="宋体"/>
          <w:b/>
          <w:bCs/>
          <w:szCs w:val="21"/>
        </w:rPr>
        <w:t xml:space="preserve">  </w:t>
      </w:r>
      <w:r>
        <w:rPr>
          <w:rFonts w:ascii="宋体" w:hAnsi="宋体" w:hint="eastAsia"/>
          <w:b/>
          <w:bCs/>
          <w:szCs w:val="21"/>
        </w:rPr>
        <w:t>肌肉的运动适应性</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1.  </w:t>
      </w:r>
      <w:r>
        <w:rPr>
          <w:rFonts w:ascii="Times New Roman" w:hint="eastAsia"/>
          <w:bCs/>
        </w:rPr>
        <w:t>肌的急性适应</w:t>
      </w:r>
      <w:r>
        <w:rPr>
          <w:rFonts w:ascii="Times New Roman"/>
          <w:bCs/>
        </w:rPr>
        <w:t xml:space="preserve"> </w:t>
      </w:r>
      <w:r>
        <w:rPr>
          <w:rFonts w:ascii="Times New Roman" w:hint="eastAsia"/>
          <w:bCs/>
        </w:rPr>
        <w:t>。</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2.  </w:t>
      </w:r>
      <w:r>
        <w:rPr>
          <w:rFonts w:ascii="Times New Roman" w:hint="eastAsia"/>
          <w:bCs/>
        </w:rPr>
        <w:t>肌的慢性适应：超量恢复原理。</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3.  </w:t>
      </w:r>
      <w:r>
        <w:rPr>
          <w:rFonts w:ascii="Times New Roman" w:hint="eastAsia"/>
          <w:bCs/>
        </w:rPr>
        <w:t>牵拉</w:t>
      </w:r>
      <w:r>
        <w:rPr>
          <w:rFonts w:ascii="Times New Roman"/>
          <w:bCs/>
        </w:rPr>
        <w:t>-</w:t>
      </w:r>
      <w:r>
        <w:rPr>
          <w:rFonts w:ascii="Times New Roman" w:hint="eastAsia"/>
          <w:bCs/>
        </w:rPr>
        <w:t>缩短周期运动的训练适应。</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lastRenderedPageBreak/>
        <w:t xml:space="preserve">1.  </w:t>
      </w:r>
      <w:r>
        <w:rPr>
          <w:rFonts w:ascii="宋体" w:hAnsi="宋体" w:hint="eastAsia"/>
          <w:bCs/>
          <w:szCs w:val="21"/>
        </w:rPr>
        <w:t>肌运动的两种基本形式。影响肌力的主要因素、爆发力的概念、肌耐力的概念。</w:t>
      </w:r>
    </w:p>
    <w:p w:rsidR="003717A0" w:rsidRDefault="003717A0">
      <w:pPr>
        <w:autoSpaceDE w:val="0"/>
        <w:autoSpaceDN w:val="0"/>
        <w:adjustRightInd w:val="0"/>
        <w:snapToGrid w:val="0"/>
        <w:spacing w:line="440" w:lineRule="exact"/>
        <w:rPr>
          <w:rFonts w:ascii="Times New Roman"/>
        </w:rPr>
      </w:pPr>
      <w:r>
        <w:rPr>
          <w:rFonts w:ascii="Times New Roman" w:hint="eastAsia"/>
          <w:bCs/>
        </w:rPr>
        <w:t>协同动作的概念、姿势协同动作的三种运动模式。</w:t>
      </w:r>
    </w:p>
    <w:p w:rsidR="003717A0" w:rsidRDefault="003717A0">
      <w:pPr>
        <w:autoSpaceDE w:val="0"/>
        <w:autoSpaceDN w:val="0"/>
        <w:adjustRightInd w:val="0"/>
        <w:snapToGrid w:val="0"/>
        <w:spacing w:line="440" w:lineRule="exact"/>
        <w:rPr>
          <w:rFonts w:ascii="Times New Roman"/>
          <w:b/>
        </w:rPr>
      </w:pPr>
      <w:r>
        <w:rPr>
          <w:rFonts w:ascii="Times New Roman" w:hint="eastAsia"/>
          <w:b/>
        </w:rPr>
        <w:t>目的要求</w:t>
      </w:r>
      <w:r>
        <w:rPr>
          <w:rFonts w:ascii="Times New Roman"/>
          <w:b/>
        </w:rPr>
        <w:t xml:space="preserve"> </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Times New Roman" w:hint="eastAsia"/>
        </w:rPr>
        <w:t>掌握</w:t>
      </w:r>
      <w:r>
        <w:rPr>
          <w:rFonts w:ascii="宋体" w:hAnsi="宋体" w:hint="eastAsia"/>
          <w:bCs/>
          <w:szCs w:val="21"/>
        </w:rPr>
        <w:t>肌运动的两种基本形式。影响肌力的主要因素。</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掌握肌的急性适应和慢性适应表现。</w:t>
      </w:r>
    </w:p>
    <w:p w:rsidR="003717A0" w:rsidRDefault="003717A0">
      <w:pPr>
        <w:autoSpaceDE w:val="0"/>
        <w:autoSpaceDN w:val="0"/>
        <w:adjustRightInd w:val="0"/>
        <w:snapToGrid w:val="0"/>
        <w:spacing w:line="440" w:lineRule="exact"/>
        <w:rPr>
          <w:rFonts w:ascii="宋体"/>
          <w:bCs/>
          <w:szCs w:val="21"/>
        </w:rPr>
      </w:pPr>
      <w:r>
        <w:rPr>
          <w:rFonts w:ascii="宋体" w:hAnsi="宋体" w:hint="eastAsia"/>
          <w:bCs/>
          <w:szCs w:val="21"/>
        </w:rPr>
        <w:t>掌握多关节肌、单关节肌。</w:t>
      </w:r>
    </w:p>
    <w:p w:rsidR="003717A0" w:rsidRDefault="003717A0">
      <w:pPr>
        <w:numPr>
          <w:ilvl w:val="1"/>
          <w:numId w:val="357"/>
        </w:numPr>
        <w:autoSpaceDE w:val="0"/>
        <w:autoSpaceDN w:val="0"/>
        <w:adjustRightInd w:val="0"/>
        <w:snapToGrid w:val="0"/>
        <w:spacing w:line="440" w:lineRule="exact"/>
        <w:jc w:val="center"/>
        <w:rPr>
          <w:rFonts w:ascii="Times New Roman"/>
          <w:b/>
          <w:bCs/>
        </w:rPr>
      </w:pPr>
      <w:r>
        <w:rPr>
          <w:rFonts w:ascii="Times New Roman" w:hint="eastAsia"/>
          <w:b/>
          <w:bCs/>
        </w:rPr>
        <w:t>关节运动学</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一</w:t>
      </w:r>
      <w:r>
        <w:rPr>
          <w:rFonts w:ascii="宋体" w:hAnsi="宋体"/>
          <w:b/>
          <w:bCs/>
          <w:szCs w:val="21"/>
        </w:rPr>
        <w:t xml:space="preserve">  </w:t>
      </w:r>
      <w:r>
        <w:rPr>
          <w:rFonts w:ascii="宋体" w:hAnsi="宋体" w:hint="eastAsia"/>
          <w:b/>
          <w:bCs/>
          <w:szCs w:val="21"/>
        </w:rPr>
        <w:t>肩</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骨骼与韧带。</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关节的组成。</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肌肉和神经支配。</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4.  </w:t>
      </w:r>
      <w:r>
        <w:rPr>
          <w:rFonts w:ascii="宋体" w:hAnsi="宋体" w:hint="eastAsia"/>
          <w:bCs/>
          <w:szCs w:val="21"/>
        </w:rPr>
        <w:t>运动学特征：盂肱关节运动；胸锁关节运动；肩锁关节运动；肩胸关节运动。</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二</w:t>
      </w:r>
      <w:r>
        <w:rPr>
          <w:rFonts w:ascii="宋体" w:hAnsi="宋体"/>
          <w:b/>
          <w:bCs/>
          <w:szCs w:val="21"/>
        </w:rPr>
        <w:t xml:space="preserve"> </w:t>
      </w:r>
      <w:r>
        <w:rPr>
          <w:rFonts w:ascii="宋体" w:hAnsi="宋体" w:hint="eastAsia"/>
          <w:b/>
          <w:bCs/>
          <w:szCs w:val="21"/>
        </w:rPr>
        <w:t>肘关节</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骨骼与韧带。</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关节的组成。</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肌肉和神经支配。</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4.  </w:t>
      </w:r>
      <w:r>
        <w:rPr>
          <w:rFonts w:ascii="宋体" w:hAnsi="宋体" w:hint="eastAsia"/>
          <w:bCs/>
          <w:szCs w:val="21"/>
        </w:rPr>
        <w:t>运动学特征：肱桡关节、肱尺关节。</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三</w:t>
      </w:r>
      <w:r>
        <w:rPr>
          <w:rFonts w:ascii="宋体" w:hAnsi="宋体"/>
          <w:b/>
          <w:bCs/>
          <w:szCs w:val="21"/>
        </w:rPr>
        <w:t xml:space="preserve"> </w:t>
      </w:r>
      <w:r>
        <w:rPr>
          <w:rFonts w:ascii="宋体" w:hAnsi="宋体" w:hint="eastAsia"/>
          <w:b/>
          <w:bCs/>
          <w:szCs w:val="21"/>
        </w:rPr>
        <w:t>腕和手</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骨骼与韧带。</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关节的组成。</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肌肉和神经支配。</w:t>
      </w:r>
    </w:p>
    <w:p w:rsidR="003717A0" w:rsidRDefault="003717A0">
      <w:pPr>
        <w:autoSpaceDE w:val="0"/>
        <w:autoSpaceDN w:val="0"/>
        <w:adjustRightInd w:val="0"/>
        <w:snapToGrid w:val="0"/>
        <w:spacing w:line="440" w:lineRule="exact"/>
        <w:rPr>
          <w:rFonts w:ascii="Times New Roman"/>
          <w:bCs/>
        </w:rPr>
      </w:pPr>
      <w:r>
        <w:rPr>
          <w:rFonts w:ascii="宋体" w:hAnsi="宋体"/>
          <w:szCs w:val="21"/>
        </w:rPr>
        <w:t xml:space="preserve">4.  </w:t>
      </w:r>
      <w:r>
        <w:rPr>
          <w:rFonts w:ascii="宋体" w:hAnsi="宋体" w:hint="eastAsia"/>
          <w:bCs/>
          <w:szCs w:val="21"/>
        </w:rPr>
        <w:t>运动学特征：腕和手运动的相互影响</w:t>
      </w:r>
      <w:r>
        <w:rPr>
          <w:rFonts w:ascii="Times New Roman" w:hint="eastAsia"/>
          <w:bCs/>
        </w:rPr>
        <w:t>、手部各关节的活动范围、手的稳定性和控制及适于抓握功能的模式。</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numPr>
          <w:ilvl w:val="0"/>
          <w:numId w:val="358"/>
        </w:numPr>
        <w:autoSpaceDE w:val="0"/>
        <w:autoSpaceDN w:val="0"/>
        <w:adjustRightInd w:val="0"/>
        <w:snapToGrid w:val="0"/>
        <w:spacing w:line="440" w:lineRule="exact"/>
        <w:rPr>
          <w:rFonts w:ascii="Times New Roman"/>
        </w:rPr>
      </w:pPr>
      <w:r>
        <w:rPr>
          <w:rFonts w:ascii="Times New Roman" w:hint="eastAsia"/>
        </w:rPr>
        <w:t>肩关节的运动、肩关节周围肌肉的功能。</w:t>
      </w:r>
    </w:p>
    <w:p w:rsidR="003717A0" w:rsidRDefault="003717A0">
      <w:pPr>
        <w:numPr>
          <w:ilvl w:val="0"/>
          <w:numId w:val="358"/>
        </w:numPr>
        <w:autoSpaceDE w:val="0"/>
        <w:autoSpaceDN w:val="0"/>
        <w:adjustRightInd w:val="0"/>
        <w:snapToGrid w:val="0"/>
        <w:spacing w:line="440" w:lineRule="exact"/>
        <w:rPr>
          <w:rFonts w:ascii="Times New Roman"/>
          <w:bCs/>
        </w:rPr>
      </w:pPr>
      <w:r>
        <w:rPr>
          <w:rFonts w:ascii="Times New Roman" w:hint="eastAsia"/>
        </w:rPr>
        <w:t>肘关节组成和运动方向、周围肌肉的功能。</w:t>
      </w:r>
    </w:p>
    <w:p w:rsidR="003717A0" w:rsidRDefault="003717A0">
      <w:pPr>
        <w:numPr>
          <w:ilvl w:val="0"/>
          <w:numId w:val="358"/>
        </w:numPr>
        <w:autoSpaceDE w:val="0"/>
        <w:autoSpaceDN w:val="0"/>
        <w:adjustRightInd w:val="0"/>
        <w:snapToGrid w:val="0"/>
        <w:spacing w:line="440" w:lineRule="exact"/>
        <w:rPr>
          <w:rFonts w:ascii="Times New Roman"/>
          <w:bCs/>
        </w:rPr>
      </w:pPr>
      <w:r>
        <w:rPr>
          <w:rFonts w:ascii="Times New Roman" w:hint="eastAsia"/>
          <w:bCs/>
        </w:rPr>
        <w:t>腕骨、关节组成及活动。</w:t>
      </w:r>
    </w:p>
    <w:p w:rsidR="003717A0" w:rsidRDefault="003717A0">
      <w:pPr>
        <w:numPr>
          <w:ilvl w:val="0"/>
          <w:numId w:val="358"/>
        </w:numPr>
        <w:autoSpaceDE w:val="0"/>
        <w:autoSpaceDN w:val="0"/>
        <w:adjustRightInd w:val="0"/>
        <w:snapToGrid w:val="0"/>
        <w:spacing w:line="440" w:lineRule="exact"/>
        <w:rPr>
          <w:rFonts w:ascii="Times New Roman"/>
          <w:bCs/>
        </w:rPr>
      </w:pPr>
      <w:r>
        <w:rPr>
          <w:rFonts w:ascii="Times New Roman" w:hint="eastAsia"/>
          <w:bCs/>
        </w:rPr>
        <w:t>手指关节的功能解剖基础；手部神经支配、手部各关节的活动范围、手的稳定性和控制及适于抓握功能的模式。</w:t>
      </w:r>
    </w:p>
    <w:p w:rsidR="003717A0" w:rsidRDefault="003717A0">
      <w:pPr>
        <w:autoSpaceDE w:val="0"/>
        <w:autoSpaceDN w:val="0"/>
        <w:adjustRightInd w:val="0"/>
        <w:snapToGrid w:val="0"/>
        <w:spacing w:line="440" w:lineRule="exact"/>
        <w:rPr>
          <w:rFonts w:ascii="Times New Roman"/>
          <w:b/>
        </w:rPr>
      </w:pPr>
      <w:r>
        <w:rPr>
          <w:rFonts w:ascii="Times New Roman" w:hint="eastAsia"/>
          <w:b/>
        </w:rPr>
        <w:lastRenderedPageBreak/>
        <w:t>目的要求</w:t>
      </w:r>
      <w:r>
        <w:rPr>
          <w:rFonts w:ascii="Times New Roman"/>
          <w:b/>
        </w:rPr>
        <w:t xml:space="preserve"> </w:t>
      </w:r>
    </w:p>
    <w:p w:rsidR="003717A0" w:rsidRDefault="003717A0">
      <w:pPr>
        <w:autoSpaceDE w:val="0"/>
        <w:autoSpaceDN w:val="0"/>
        <w:adjustRightInd w:val="0"/>
        <w:snapToGrid w:val="0"/>
        <w:spacing w:line="440" w:lineRule="exact"/>
        <w:rPr>
          <w:rFonts w:ascii="Times New Roman"/>
        </w:rPr>
      </w:pPr>
      <w:r>
        <w:rPr>
          <w:rFonts w:ascii="Times New Roman"/>
        </w:rPr>
        <w:t>1</w:t>
      </w:r>
      <w:r>
        <w:rPr>
          <w:rFonts w:ascii="Times New Roman" w:hint="eastAsia"/>
        </w:rPr>
        <w:t>．掌握肩关节的运动类型、范围及运动特征、肩关节周围肌肉的功能及主要肌肉的神经支配。</w:t>
      </w:r>
    </w:p>
    <w:p w:rsidR="003717A0" w:rsidRDefault="003717A0">
      <w:pPr>
        <w:autoSpaceDE w:val="0"/>
        <w:autoSpaceDN w:val="0"/>
        <w:adjustRightInd w:val="0"/>
        <w:snapToGrid w:val="0"/>
        <w:spacing w:line="440" w:lineRule="exact"/>
        <w:rPr>
          <w:rFonts w:ascii="Times New Roman"/>
        </w:rPr>
      </w:pPr>
      <w:r>
        <w:rPr>
          <w:rFonts w:ascii="Times New Roman"/>
        </w:rPr>
        <w:t xml:space="preserve">2.  </w:t>
      </w:r>
      <w:r>
        <w:rPr>
          <w:rFonts w:ascii="Times New Roman" w:hint="eastAsia"/>
        </w:rPr>
        <w:t>掌握肱桡关节、肱尺关节的运动特征、肘关节的肌肉及神经支配。</w:t>
      </w:r>
    </w:p>
    <w:p w:rsidR="003717A0" w:rsidRDefault="003717A0">
      <w:pPr>
        <w:autoSpaceDE w:val="0"/>
        <w:autoSpaceDN w:val="0"/>
        <w:adjustRightInd w:val="0"/>
        <w:snapToGrid w:val="0"/>
        <w:spacing w:line="440" w:lineRule="exact"/>
        <w:rPr>
          <w:rFonts w:ascii="Times New Roman"/>
        </w:rPr>
      </w:pPr>
      <w:r>
        <w:rPr>
          <w:rFonts w:ascii="Times New Roman"/>
        </w:rPr>
        <w:t xml:space="preserve">3.  </w:t>
      </w:r>
      <w:r>
        <w:rPr>
          <w:rFonts w:ascii="Times New Roman" w:hint="eastAsia"/>
          <w:bCs/>
        </w:rPr>
        <w:t>掌握手指关节的功能解剖基础；手部神经支配、手部各关节的活动范围、手的稳定性和控制及适于抓握功能的模式。</w:t>
      </w:r>
    </w:p>
    <w:p w:rsidR="003717A0" w:rsidRDefault="003717A0">
      <w:pPr>
        <w:autoSpaceDE w:val="0"/>
        <w:autoSpaceDN w:val="0"/>
        <w:adjustRightInd w:val="0"/>
        <w:snapToGrid w:val="0"/>
        <w:spacing w:line="440" w:lineRule="exact"/>
        <w:rPr>
          <w:rFonts w:ascii="Times New Roman"/>
        </w:rPr>
      </w:pPr>
      <w:r>
        <w:rPr>
          <w:rFonts w:ascii="Times New Roman"/>
        </w:rPr>
        <w:t xml:space="preserve">4.  </w:t>
      </w:r>
      <w:r>
        <w:rPr>
          <w:rFonts w:ascii="Times New Roman" w:hint="eastAsia"/>
        </w:rPr>
        <w:t>熟悉肩关节的组成及功能解剖。</w:t>
      </w:r>
    </w:p>
    <w:p w:rsidR="003717A0" w:rsidRDefault="003717A0">
      <w:pPr>
        <w:autoSpaceDE w:val="0"/>
        <w:autoSpaceDN w:val="0"/>
        <w:adjustRightInd w:val="0"/>
        <w:snapToGrid w:val="0"/>
        <w:spacing w:line="440" w:lineRule="exact"/>
        <w:rPr>
          <w:rFonts w:ascii="Times New Roman"/>
          <w:bCs/>
        </w:rPr>
      </w:pPr>
      <w:r>
        <w:rPr>
          <w:rFonts w:ascii="Times New Roman"/>
        </w:rPr>
        <w:t xml:space="preserve">5.  </w:t>
      </w:r>
      <w:r>
        <w:rPr>
          <w:rFonts w:ascii="Times New Roman" w:hint="eastAsia"/>
        </w:rPr>
        <w:t>熟悉肘关节组成和运动方向、肘关节的内外侧副韧带。</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四</w:t>
      </w:r>
      <w:r>
        <w:rPr>
          <w:rFonts w:ascii="宋体" w:hAnsi="宋体"/>
          <w:b/>
          <w:bCs/>
          <w:szCs w:val="21"/>
        </w:rPr>
        <w:t xml:space="preserve"> </w:t>
      </w:r>
      <w:r>
        <w:rPr>
          <w:rFonts w:ascii="宋体" w:hAnsi="宋体" w:hint="eastAsia"/>
          <w:b/>
          <w:bCs/>
          <w:szCs w:val="21"/>
        </w:rPr>
        <w:t>脊柱</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right="6"/>
        <w:rPr>
          <w:rFonts w:ascii="Times New Roman" w:hAnsi="Times New Roman"/>
          <w:bCs/>
        </w:rPr>
      </w:pPr>
      <w:r>
        <w:rPr>
          <w:rFonts w:ascii="Times New Roman"/>
        </w:rPr>
        <w:t>1</w:t>
      </w:r>
      <w:r>
        <w:rPr>
          <w:rFonts w:ascii="Times New Roman" w:hint="eastAsia"/>
        </w:rPr>
        <w:t>．</w:t>
      </w:r>
      <w:r>
        <w:rPr>
          <w:rFonts w:ascii="Times New Roman" w:hAnsi="Times New Roman" w:hint="eastAsia"/>
          <w:bCs/>
        </w:rPr>
        <w:t>脊柱运动学概述：脊柱的肌肉；脊柱的稳定机制。</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right="6"/>
        <w:rPr>
          <w:rFonts w:ascii="Times New Roman" w:hAnsi="Times New Roman"/>
          <w:bCs/>
        </w:rPr>
      </w:pPr>
      <w:r>
        <w:rPr>
          <w:rFonts w:ascii="Times New Roman"/>
        </w:rPr>
        <w:t>1</w:t>
      </w:r>
      <w:r>
        <w:rPr>
          <w:rFonts w:ascii="Times New Roman" w:hint="eastAsia"/>
        </w:rPr>
        <w:t>．</w:t>
      </w:r>
      <w:r>
        <w:rPr>
          <w:rFonts w:ascii="Times New Roman" w:hAnsi="Times New Roman" w:hint="eastAsia"/>
          <w:bCs/>
        </w:rPr>
        <w:t>颈椎：解剖学基础；运动学特征；运动障碍。</w:t>
      </w:r>
    </w:p>
    <w:p w:rsidR="003717A0" w:rsidRDefault="003717A0">
      <w:pPr>
        <w:adjustRightInd w:val="0"/>
        <w:snapToGrid w:val="0"/>
        <w:spacing w:line="360" w:lineRule="auto"/>
        <w:ind w:right="6"/>
        <w:rPr>
          <w:rFonts w:ascii="Times New Roman" w:hAnsi="Times New Roman"/>
          <w:bCs/>
        </w:rPr>
      </w:pPr>
      <w:r>
        <w:rPr>
          <w:rFonts w:ascii="Times New Roman"/>
        </w:rPr>
        <w:t>2</w:t>
      </w:r>
      <w:r>
        <w:rPr>
          <w:rFonts w:ascii="Times New Roman" w:hint="eastAsia"/>
        </w:rPr>
        <w:t>．</w:t>
      </w:r>
      <w:r>
        <w:rPr>
          <w:rFonts w:ascii="Times New Roman" w:hAnsi="Times New Roman" w:hint="eastAsia"/>
          <w:bCs/>
        </w:rPr>
        <w:t>胸椎：解剖学基础；运动学特征；运动障碍。</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right="6"/>
        <w:rPr>
          <w:rFonts w:ascii="Times New Roman" w:hAnsi="Times New Roman"/>
        </w:rPr>
      </w:pPr>
    </w:p>
    <w:p w:rsidR="003717A0" w:rsidRDefault="003717A0">
      <w:pPr>
        <w:adjustRightInd w:val="0"/>
        <w:snapToGrid w:val="0"/>
        <w:spacing w:line="360" w:lineRule="auto"/>
        <w:ind w:right="6"/>
        <w:rPr>
          <w:rFonts w:ascii="Times New Roman" w:hAnsi="Times New Roman"/>
          <w:bCs/>
        </w:rPr>
      </w:pPr>
      <w:r>
        <w:rPr>
          <w:rFonts w:ascii="Times New Roman"/>
        </w:rPr>
        <w:t>1</w:t>
      </w:r>
      <w:r>
        <w:rPr>
          <w:rFonts w:ascii="Times New Roman" w:hint="eastAsia"/>
        </w:rPr>
        <w:t>．</w:t>
      </w:r>
      <w:r>
        <w:rPr>
          <w:rFonts w:ascii="Times New Roman" w:hAnsi="Times New Roman" w:hint="eastAsia"/>
          <w:bCs/>
        </w:rPr>
        <w:t>腰椎：解剖学基础；运动学特征；运动障碍。</w:t>
      </w:r>
    </w:p>
    <w:p w:rsidR="003717A0" w:rsidRDefault="003717A0">
      <w:pPr>
        <w:adjustRightInd w:val="0"/>
        <w:snapToGrid w:val="0"/>
        <w:spacing w:line="360" w:lineRule="auto"/>
        <w:ind w:right="6"/>
        <w:rPr>
          <w:rFonts w:ascii="Times New Roman" w:hAnsi="Times New Roman"/>
        </w:rPr>
      </w:pPr>
      <w:r>
        <w:rPr>
          <w:rFonts w:ascii="Times New Roman"/>
        </w:rPr>
        <w:t>2</w:t>
      </w:r>
      <w:r>
        <w:rPr>
          <w:rFonts w:ascii="Times New Roman" w:hint="eastAsia"/>
        </w:rPr>
        <w:t>．</w:t>
      </w:r>
      <w:r>
        <w:rPr>
          <w:rFonts w:ascii="Times New Roman" w:hAnsi="Times New Roman" w:hint="eastAsia"/>
          <w:bCs/>
        </w:rPr>
        <w:t>姿势与腰椎运动。</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Times New Roman"/>
        </w:rPr>
      </w:pPr>
      <w:r>
        <w:rPr>
          <w:rFonts w:ascii="Times New Roman"/>
        </w:rPr>
        <w:t>1</w:t>
      </w:r>
      <w:r>
        <w:rPr>
          <w:rFonts w:ascii="Times New Roman" w:hint="eastAsia"/>
        </w:rPr>
        <w:t>．</w:t>
      </w:r>
      <w:r>
        <w:rPr>
          <w:rFonts w:ascii="Times New Roman" w:hint="eastAsia"/>
          <w:bCs/>
        </w:rPr>
        <w:t>脊柱功能单位。</w:t>
      </w:r>
    </w:p>
    <w:p w:rsidR="003717A0" w:rsidRDefault="003717A0">
      <w:pPr>
        <w:autoSpaceDE w:val="0"/>
        <w:autoSpaceDN w:val="0"/>
        <w:adjustRightInd w:val="0"/>
        <w:snapToGrid w:val="0"/>
        <w:spacing w:line="440" w:lineRule="exact"/>
        <w:rPr>
          <w:rFonts w:ascii="Times New Roman"/>
          <w:bCs/>
        </w:rPr>
      </w:pPr>
      <w:r>
        <w:rPr>
          <w:rFonts w:ascii="Times New Roman"/>
        </w:rPr>
        <w:t>2</w:t>
      </w:r>
      <w:r>
        <w:rPr>
          <w:rFonts w:ascii="Times New Roman" w:hint="eastAsia"/>
        </w:rPr>
        <w:t>．</w:t>
      </w:r>
      <w:r>
        <w:rPr>
          <w:rFonts w:ascii="Times New Roman" w:hint="eastAsia"/>
          <w:bCs/>
        </w:rPr>
        <w:t>脊柱韧带、肌肉、节段运动、生物力学特征。</w:t>
      </w:r>
    </w:p>
    <w:p w:rsidR="003717A0" w:rsidRDefault="003717A0">
      <w:pPr>
        <w:autoSpaceDE w:val="0"/>
        <w:autoSpaceDN w:val="0"/>
        <w:adjustRightInd w:val="0"/>
        <w:snapToGrid w:val="0"/>
        <w:spacing w:line="440" w:lineRule="exac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rPr>
          <w:rFonts w:ascii="Times New Roman"/>
          <w:bCs/>
        </w:rPr>
      </w:pPr>
      <w:r>
        <w:rPr>
          <w:rFonts w:ascii="Times New Roman"/>
          <w:bCs/>
        </w:rPr>
        <w:t xml:space="preserve">1.  </w:t>
      </w:r>
      <w:r>
        <w:rPr>
          <w:rFonts w:ascii="Times New Roman" w:hint="eastAsia"/>
          <w:bCs/>
        </w:rPr>
        <w:t>掌握脊柱的运动、椎间盘的功能。</w:t>
      </w:r>
    </w:p>
    <w:p w:rsidR="003717A0" w:rsidRDefault="003717A0">
      <w:pPr>
        <w:autoSpaceDE w:val="0"/>
        <w:autoSpaceDN w:val="0"/>
        <w:adjustRightInd w:val="0"/>
        <w:snapToGrid w:val="0"/>
        <w:spacing w:line="440" w:lineRule="exact"/>
        <w:rPr>
          <w:rFonts w:ascii="Times New Roman"/>
          <w:bCs/>
        </w:rPr>
      </w:pPr>
      <w:r>
        <w:rPr>
          <w:rFonts w:ascii="Times New Roman"/>
          <w:bCs/>
        </w:rPr>
        <w:t xml:space="preserve">2.  </w:t>
      </w:r>
      <w:r>
        <w:rPr>
          <w:rFonts w:ascii="Times New Roman" w:hint="eastAsia"/>
          <w:bCs/>
        </w:rPr>
        <w:t>熟悉脊柱韧带，脊柱稳定系统组成和脊柱的不稳定性的主要表现，上颈椎的结构和运动特点，姿势对腰椎结构和功能的影响。</w:t>
      </w:r>
    </w:p>
    <w:p w:rsidR="003717A0" w:rsidRDefault="003717A0">
      <w:pPr>
        <w:autoSpaceDE w:val="0"/>
        <w:autoSpaceDN w:val="0"/>
        <w:adjustRightInd w:val="0"/>
        <w:snapToGrid w:val="0"/>
        <w:spacing w:line="440" w:lineRule="exact"/>
        <w:rPr>
          <w:rFonts w:ascii="Times New Roman"/>
        </w:rPr>
      </w:pPr>
      <w:r>
        <w:rPr>
          <w:rFonts w:ascii="Times New Roman"/>
          <w:bCs/>
        </w:rPr>
        <w:t xml:space="preserve">3.  </w:t>
      </w:r>
      <w:r>
        <w:rPr>
          <w:rFonts w:ascii="Times New Roman" w:hint="eastAsia"/>
          <w:bCs/>
        </w:rPr>
        <w:t>了解脊柱的结构和生物力学特征；了解颈椎、颈部韧带和颈部肌肉的运动功能作用；了解胸椎骨性结构和胸廓的运动特点。</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五</w:t>
      </w:r>
      <w:r>
        <w:rPr>
          <w:rFonts w:ascii="宋体" w:hAnsi="宋体"/>
          <w:b/>
          <w:bCs/>
          <w:szCs w:val="21"/>
        </w:rPr>
        <w:t xml:space="preserve"> </w:t>
      </w:r>
      <w:r>
        <w:rPr>
          <w:rFonts w:ascii="宋体" w:hAnsi="宋体" w:hint="eastAsia"/>
          <w:b/>
          <w:bCs/>
          <w:szCs w:val="21"/>
        </w:rPr>
        <w:t>髋与骨盆</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骨骼与韧带。</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关节的组成。</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肌肉和神经支配。</w:t>
      </w:r>
    </w:p>
    <w:p w:rsidR="003717A0" w:rsidRDefault="003717A0">
      <w:pPr>
        <w:autoSpaceDE w:val="0"/>
        <w:autoSpaceDN w:val="0"/>
        <w:adjustRightInd w:val="0"/>
        <w:snapToGrid w:val="0"/>
        <w:spacing w:line="440" w:lineRule="exact"/>
        <w:rPr>
          <w:rFonts w:ascii="宋体"/>
          <w:b/>
          <w:bCs/>
          <w:szCs w:val="21"/>
        </w:rPr>
      </w:pPr>
      <w:r>
        <w:rPr>
          <w:rFonts w:ascii="宋体" w:hAnsi="宋体"/>
          <w:szCs w:val="21"/>
        </w:rPr>
        <w:t xml:space="preserve">4.  </w:t>
      </w:r>
      <w:r>
        <w:rPr>
          <w:rFonts w:ascii="宋体" w:hAnsi="宋体" w:hint="eastAsia"/>
          <w:bCs/>
          <w:szCs w:val="21"/>
        </w:rPr>
        <w:t>运动学特征：髋关节；骶髂关节。</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lastRenderedPageBreak/>
        <w:t>六</w:t>
      </w:r>
      <w:r>
        <w:rPr>
          <w:rFonts w:ascii="宋体" w:hAnsi="宋体"/>
          <w:b/>
          <w:bCs/>
          <w:szCs w:val="21"/>
        </w:rPr>
        <w:t xml:space="preserve"> </w:t>
      </w:r>
      <w:r>
        <w:rPr>
          <w:rFonts w:ascii="宋体" w:hAnsi="宋体" w:hint="eastAsia"/>
          <w:b/>
          <w:bCs/>
          <w:szCs w:val="21"/>
        </w:rPr>
        <w:t>膝</w:t>
      </w:r>
    </w:p>
    <w:p w:rsidR="003717A0" w:rsidRDefault="003717A0">
      <w:pPr>
        <w:adjustRightInd w:val="0"/>
        <w:snapToGrid w:val="0"/>
        <w:spacing w:line="360" w:lineRule="auto"/>
        <w:ind w:right="6"/>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1.  </w:t>
      </w:r>
      <w:r>
        <w:rPr>
          <w:rFonts w:ascii="宋体" w:hAnsi="宋体" w:hint="eastAsia"/>
          <w:bCs/>
          <w:szCs w:val="21"/>
        </w:rPr>
        <w:t>骨骼与韧带：半月板、韧带。</w:t>
      </w:r>
      <w:r>
        <w:rPr>
          <w:rFonts w:ascii="宋体" w:hAnsi="宋体"/>
          <w:bCs/>
          <w:szCs w:val="21"/>
        </w:rPr>
        <w:t xml:space="preserve"> </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2.  </w:t>
      </w:r>
      <w:r>
        <w:rPr>
          <w:rFonts w:ascii="宋体" w:hAnsi="宋体" w:hint="eastAsia"/>
          <w:bCs/>
          <w:szCs w:val="21"/>
        </w:rPr>
        <w:t>关节的组成。</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3.  </w:t>
      </w:r>
      <w:r>
        <w:rPr>
          <w:rFonts w:ascii="宋体" w:hAnsi="宋体" w:hint="eastAsia"/>
          <w:bCs/>
          <w:szCs w:val="21"/>
        </w:rPr>
        <w:t>肌肉和神经支配。</w:t>
      </w:r>
    </w:p>
    <w:p w:rsidR="003717A0" w:rsidRDefault="003717A0">
      <w:pPr>
        <w:autoSpaceDE w:val="0"/>
        <w:autoSpaceDN w:val="0"/>
        <w:adjustRightInd w:val="0"/>
        <w:snapToGrid w:val="0"/>
        <w:spacing w:line="440" w:lineRule="exact"/>
        <w:rPr>
          <w:rFonts w:ascii="宋体"/>
          <w:bCs/>
          <w:szCs w:val="21"/>
        </w:rPr>
      </w:pPr>
      <w:r>
        <w:rPr>
          <w:rFonts w:ascii="宋体" w:hAnsi="宋体"/>
          <w:szCs w:val="21"/>
        </w:rPr>
        <w:t xml:space="preserve">4.  </w:t>
      </w:r>
      <w:r>
        <w:rPr>
          <w:rFonts w:ascii="宋体" w:hAnsi="宋体" w:hint="eastAsia"/>
          <w:bCs/>
          <w:szCs w:val="21"/>
        </w:rPr>
        <w:t>运动学特征：胫股关节；髌股关节。</w:t>
      </w:r>
    </w:p>
    <w:p w:rsidR="003717A0" w:rsidRDefault="003717A0">
      <w:pPr>
        <w:autoSpaceDE w:val="0"/>
        <w:autoSpaceDN w:val="0"/>
        <w:adjustRightInd w:val="0"/>
        <w:snapToGrid w:val="0"/>
        <w:spacing w:line="440" w:lineRule="exact"/>
        <w:ind w:left="420"/>
        <w:jc w:val="center"/>
        <w:rPr>
          <w:rFonts w:ascii="宋体"/>
          <w:b/>
          <w:bCs/>
          <w:szCs w:val="21"/>
        </w:rPr>
      </w:pPr>
      <w:r>
        <w:rPr>
          <w:rFonts w:ascii="宋体" w:hAnsi="宋体" w:hint="eastAsia"/>
          <w:b/>
          <w:bCs/>
          <w:szCs w:val="21"/>
        </w:rPr>
        <w:t>七</w:t>
      </w:r>
      <w:r>
        <w:rPr>
          <w:rFonts w:ascii="宋体" w:hAnsi="宋体"/>
          <w:b/>
          <w:bCs/>
          <w:szCs w:val="21"/>
        </w:rPr>
        <w:t xml:space="preserve"> </w:t>
      </w:r>
      <w:r>
        <w:rPr>
          <w:rFonts w:ascii="宋体" w:hAnsi="宋体" w:hint="eastAsia"/>
          <w:b/>
          <w:bCs/>
          <w:szCs w:val="21"/>
        </w:rPr>
        <w:t>踝、足、足弓</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00" w:lineRule="exact"/>
        <w:rPr>
          <w:rFonts w:ascii="宋体"/>
          <w:bCs/>
          <w:szCs w:val="21"/>
        </w:rPr>
      </w:pPr>
      <w:r>
        <w:rPr>
          <w:rFonts w:ascii="宋体" w:hAnsi="宋体"/>
          <w:szCs w:val="21"/>
        </w:rPr>
        <w:t xml:space="preserve">1.  </w:t>
      </w:r>
      <w:r>
        <w:rPr>
          <w:rFonts w:ascii="宋体" w:hAnsi="宋体" w:hint="eastAsia"/>
          <w:bCs/>
          <w:szCs w:val="21"/>
        </w:rPr>
        <w:t>骨骼与韧带。</w:t>
      </w:r>
      <w:r>
        <w:rPr>
          <w:rFonts w:ascii="宋体" w:hAnsi="宋体"/>
          <w:bCs/>
          <w:szCs w:val="21"/>
        </w:rPr>
        <w:t xml:space="preserve"> </w:t>
      </w:r>
    </w:p>
    <w:p w:rsidR="003717A0" w:rsidRDefault="003717A0">
      <w:pPr>
        <w:autoSpaceDE w:val="0"/>
        <w:autoSpaceDN w:val="0"/>
        <w:adjustRightInd w:val="0"/>
        <w:snapToGrid w:val="0"/>
        <w:spacing w:line="400" w:lineRule="exact"/>
        <w:rPr>
          <w:rFonts w:ascii="宋体"/>
          <w:bCs/>
          <w:szCs w:val="21"/>
        </w:rPr>
      </w:pPr>
      <w:r>
        <w:rPr>
          <w:rFonts w:ascii="宋体" w:hAnsi="宋体"/>
          <w:szCs w:val="21"/>
        </w:rPr>
        <w:t xml:space="preserve">2.  </w:t>
      </w:r>
      <w:r>
        <w:rPr>
          <w:rFonts w:ascii="宋体" w:hAnsi="宋体" w:hint="eastAsia"/>
          <w:bCs/>
          <w:szCs w:val="21"/>
        </w:rPr>
        <w:t>关节的组成。</w:t>
      </w:r>
    </w:p>
    <w:p w:rsidR="003717A0" w:rsidRDefault="003717A0">
      <w:pPr>
        <w:autoSpaceDE w:val="0"/>
        <w:autoSpaceDN w:val="0"/>
        <w:adjustRightInd w:val="0"/>
        <w:snapToGrid w:val="0"/>
        <w:spacing w:line="400" w:lineRule="exact"/>
        <w:rPr>
          <w:rFonts w:ascii="宋体"/>
          <w:bCs/>
          <w:szCs w:val="21"/>
        </w:rPr>
      </w:pPr>
      <w:r>
        <w:rPr>
          <w:rFonts w:ascii="宋体" w:hAnsi="宋体"/>
          <w:szCs w:val="21"/>
        </w:rPr>
        <w:t xml:space="preserve">3.  </w:t>
      </w:r>
      <w:r>
        <w:rPr>
          <w:rFonts w:ascii="宋体" w:hAnsi="宋体" w:hint="eastAsia"/>
          <w:bCs/>
          <w:szCs w:val="21"/>
        </w:rPr>
        <w:t>肌肉和神经支配。</w:t>
      </w:r>
    </w:p>
    <w:p w:rsidR="003717A0" w:rsidRDefault="003717A0">
      <w:pPr>
        <w:adjustRightInd w:val="0"/>
        <w:snapToGrid w:val="0"/>
        <w:spacing w:line="400" w:lineRule="exact"/>
        <w:ind w:right="6"/>
        <w:rPr>
          <w:rFonts w:ascii="宋体"/>
          <w:bCs/>
          <w:szCs w:val="21"/>
        </w:rPr>
      </w:pPr>
      <w:r>
        <w:rPr>
          <w:rFonts w:ascii="宋体" w:hAnsi="宋体"/>
          <w:szCs w:val="21"/>
        </w:rPr>
        <w:t xml:space="preserve">4.  </w:t>
      </w:r>
      <w:r>
        <w:rPr>
          <w:rFonts w:ascii="宋体" w:hAnsi="宋体" w:hint="eastAsia"/>
          <w:bCs/>
          <w:szCs w:val="21"/>
        </w:rPr>
        <w:t>运动学特征。</w:t>
      </w:r>
    </w:p>
    <w:p w:rsidR="003717A0" w:rsidRDefault="003717A0">
      <w:pPr>
        <w:adjustRightInd w:val="0"/>
        <w:snapToGrid w:val="0"/>
        <w:spacing w:line="400" w:lineRule="exact"/>
        <w:ind w:right="6"/>
        <w:rPr>
          <w:rFonts w:ascii="Times New Roman" w:hAnsi="Times New Roman"/>
          <w:b/>
        </w:rPr>
      </w:pPr>
      <w:r>
        <w:rPr>
          <w:rFonts w:ascii="宋体" w:hAnsi="宋体"/>
          <w:szCs w:val="21"/>
        </w:rPr>
        <w:t xml:space="preserve">5.  </w:t>
      </w:r>
      <w:r>
        <w:rPr>
          <w:rFonts w:ascii="宋体" w:hAnsi="宋体" w:hint="eastAsia"/>
          <w:szCs w:val="21"/>
        </w:rPr>
        <w:t>足弓。</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1.  </w:t>
      </w:r>
      <w:r>
        <w:rPr>
          <w:rFonts w:ascii="宋体" w:hAnsi="宋体" w:hint="eastAsia"/>
          <w:bCs/>
          <w:szCs w:val="21"/>
        </w:rPr>
        <w:t>髋关节的运动方向、范围及运动特征、髋关节周围肌肉的功能及不同体位下髋肌的作用。</w:t>
      </w:r>
      <w:r>
        <w:rPr>
          <w:rFonts w:ascii="宋体" w:hAnsi="宋体"/>
          <w:bCs/>
          <w:szCs w:val="21"/>
        </w:rPr>
        <w:t xml:space="preserve"> </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2.  </w:t>
      </w:r>
      <w:r>
        <w:rPr>
          <w:rFonts w:ascii="宋体" w:hAnsi="宋体" w:hint="eastAsia"/>
          <w:bCs/>
          <w:szCs w:val="21"/>
        </w:rPr>
        <w:t>胫股关节、髌股关节的运动特征、膝关节的肌。</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3.  </w:t>
      </w:r>
      <w:r>
        <w:rPr>
          <w:rFonts w:ascii="宋体" w:hAnsi="宋体" w:hint="eastAsia"/>
          <w:bCs/>
          <w:szCs w:val="21"/>
        </w:rPr>
        <w:t>踝关节、足部关节的组成结构；踝足部主要关节的运动方式、运动范围及其运动轴特</w:t>
      </w:r>
      <w:r>
        <w:rPr>
          <w:rFonts w:ascii="宋体" w:hAnsi="宋体"/>
          <w:bCs/>
          <w:szCs w:val="21"/>
        </w:rPr>
        <w:t xml:space="preserve"> </w:t>
      </w:r>
      <w:r>
        <w:rPr>
          <w:rFonts w:ascii="宋体" w:hAnsi="宋体" w:hint="eastAsia"/>
          <w:bCs/>
          <w:szCs w:val="21"/>
        </w:rPr>
        <w:t>征；掌握足弓的组成、分类与功能。</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4.  </w:t>
      </w:r>
      <w:r>
        <w:rPr>
          <w:rFonts w:ascii="宋体" w:hAnsi="宋体" w:hint="eastAsia"/>
          <w:bCs/>
          <w:szCs w:val="21"/>
        </w:rPr>
        <w:t>足弓的组成、分类与功能。</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5.  </w:t>
      </w:r>
      <w:r>
        <w:rPr>
          <w:rFonts w:ascii="宋体" w:hAnsi="宋体" w:hint="eastAsia"/>
          <w:bCs/>
          <w:szCs w:val="21"/>
        </w:rPr>
        <w:t>髋关节的组成及功能解剖、髋关节的轴。</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6</w:t>
      </w:r>
      <w:r>
        <w:rPr>
          <w:rFonts w:ascii="宋体"/>
          <w:bCs/>
          <w:szCs w:val="21"/>
        </w:rPr>
        <w:t>.</w:t>
      </w:r>
      <w:r>
        <w:rPr>
          <w:rFonts w:ascii="宋体" w:hAnsi="宋体"/>
          <w:bCs/>
          <w:szCs w:val="21"/>
        </w:rPr>
        <w:t xml:space="preserve">  </w:t>
      </w:r>
      <w:r>
        <w:rPr>
          <w:rFonts w:ascii="宋体" w:hAnsi="宋体" w:hint="eastAsia"/>
          <w:bCs/>
          <w:szCs w:val="21"/>
        </w:rPr>
        <w:t>膝关节组成和运动方向、膝关节的半月板、膝关节的韧带。</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7.  </w:t>
      </w:r>
      <w:r>
        <w:rPr>
          <w:rFonts w:ascii="宋体" w:hAnsi="宋体" w:hint="eastAsia"/>
          <w:bCs/>
          <w:szCs w:val="21"/>
        </w:rPr>
        <w:t>踝、足关节的主要韧带、运动肌肌群及重要肌腱和筋膜。</w:t>
      </w:r>
    </w:p>
    <w:p w:rsidR="003717A0" w:rsidRDefault="003717A0">
      <w:pPr>
        <w:autoSpaceDE w:val="0"/>
        <w:autoSpaceDN w:val="0"/>
        <w:adjustRightInd w:val="0"/>
        <w:snapToGrid w:val="0"/>
        <w:spacing w:line="440" w:lineRule="exac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1.  </w:t>
      </w:r>
      <w:r>
        <w:rPr>
          <w:rFonts w:ascii="宋体" w:hAnsi="宋体" w:hint="eastAsia"/>
          <w:bCs/>
          <w:szCs w:val="21"/>
        </w:rPr>
        <w:t>掌握髋关节的运动方向、范围及运动特征、髋关节周围肌肉的功能及不同体位下髋肌的作用。</w:t>
      </w:r>
      <w:r>
        <w:rPr>
          <w:rFonts w:ascii="宋体" w:hAnsi="宋体"/>
          <w:bCs/>
          <w:szCs w:val="21"/>
        </w:rPr>
        <w:t xml:space="preserve"> </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2.  </w:t>
      </w:r>
      <w:r>
        <w:rPr>
          <w:rFonts w:ascii="宋体" w:hAnsi="宋体" w:hint="eastAsia"/>
          <w:bCs/>
          <w:szCs w:val="21"/>
        </w:rPr>
        <w:t>掌握胫股关节、髌股关节的运动特征、膝关节的肌、膝的对线和畸形。</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3.  </w:t>
      </w:r>
      <w:r>
        <w:rPr>
          <w:rFonts w:ascii="宋体" w:hAnsi="宋体" w:hint="eastAsia"/>
          <w:bCs/>
          <w:szCs w:val="21"/>
        </w:rPr>
        <w:t>掌握踝关节、足部关节的组成结构；掌握踝部主要关节的运动方式、运动范围及其运动轴特征。</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4.  </w:t>
      </w:r>
      <w:r>
        <w:rPr>
          <w:rFonts w:ascii="宋体" w:hAnsi="宋体" w:hint="eastAsia"/>
          <w:bCs/>
          <w:szCs w:val="21"/>
        </w:rPr>
        <w:t>掌握足弓的组成、分类与功能。</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5.  </w:t>
      </w:r>
      <w:r>
        <w:rPr>
          <w:rFonts w:ascii="宋体" w:hAnsi="宋体" w:hint="eastAsia"/>
          <w:bCs/>
          <w:szCs w:val="21"/>
        </w:rPr>
        <w:t>熟悉髋关节的组成及功能解剖、髋关节的轴。</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6</w:t>
      </w:r>
      <w:r>
        <w:rPr>
          <w:rFonts w:ascii="宋体"/>
          <w:bCs/>
          <w:szCs w:val="21"/>
        </w:rPr>
        <w:t>.</w:t>
      </w:r>
      <w:r>
        <w:rPr>
          <w:rFonts w:ascii="宋体" w:hAnsi="宋体"/>
          <w:bCs/>
          <w:szCs w:val="21"/>
        </w:rPr>
        <w:t xml:space="preserve">  </w:t>
      </w:r>
      <w:r>
        <w:rPr>
          <w:rFonts w:ascii="宋体" w:hAnsi="宋体" w:hint="eastAsia"/>
          <w:bCs/>
          <w:szCs w:val="21"/>
        </w:rPr>
        <w:t>熟悉膝关节组成和运动方向、膝关节的半月板、膝关节的韧带。</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7.  </w:t>
      </w:r>
      <w:r>
        <w:rPr>
          <w:rFonts w:ascii="宋体" w:hAnsi="宋体" w:hint="eastAsia"/>
          <w:bCs/>
          <w:szCs w:val="21"/>
        </w:rPr>
        <w:t>熟悉踝、足关节的主要韧带、运动肌肌群及重要肌腱和筋膜。</w:t>
      </w:r>
    </w:p>
    <w:p w:rsidR="003717A0" w:rsidRDefault="003717A0">
      <w:pPr>
        <w:numPr>
          <w:ilvl w:val="0"/>
          <w:numId w:val="359"/>
        </w:numPr>
        <w:autoSpaceDE w:val="0"/>
        <w:autoSpaceDN w:val="0"/>
        <w:adjustRightInd w:val="0"/>
        <w:snapToGrid w:val="0"/>
        <w:spacing w:line="440" w:lineRule="exact"/>
        <w:jc w:val="center"/>
        <w:rPr>
          <w:rFonts w:ascii="宋体"/>
          <w:b/>
          <w:szCs w:val="21"/>
        </w:rPr>
      </w:pPr>
      <w:r>
        <w:rPr>
          <w:rFonts w:ascii="宋体" w:hAnsi="宋体" w:hint="eastAsia"/>
          <w:b/>
          <w:szCs w:val="21"/>
        </w:rPr>
        <w:t>运动与心肺功能</w:t>
      </w:r>
    </w:p>
    <w:p w:rsidR="003717A0" w:rsidRDefault="003717A0">
      <w:pPr>
        <w:numPr>
          <w:ilvl w:val="0"/>
          <w:numId w:val="360"/>
        </w:numPr>
        <w:autoSpaceDE w:val="0"/>
        <w:autoSpaceDN w:val="0"/>
        <w:adjustRightInd w:val="0"/>
        <w:snapToGrid w:val="0"/>
        <w:spacing w:line="440" w:lineRule="exact"/>
        <w:jc w:val="center"/>
        <w:rPr>
          <w:rFonts w:ascii="Times New Roman" w:hAnsi="Times New Roman"/>
          <w:b/>
          <w:bCs/>
        </w:rPr>
      </w:pPr>
      <w:r>
        <w:rPr>
          <w:rFonts w:ascii="Times New Roman" w:hAnsi="Times New Roman" w:hint="eastAsia"/>
          <w:b/>
          <w:bCs/>
        </w:rPr>
        <w:t>运动对心肺功能的影响</w:t>
      </w:r>
    </w:p>
    <w:p w:rsidR="003717A0" w:rsidRDefault="003717A0">
      <w:pPr>
        <w:adjustRightInd w:val="0"/>
        <w:snapToGrid w:val="0"/>
        <w:spacing w:line="400" w:lineRule="exact"/>
        <w:ind w:right="6"/>
        <w:rPr>
          <w:rFonts w:ascii="Times New Roman"/>
          <w:b/>
        </w:rPr>
      </w:pPr>
      <w:r>
        <w:rPr>
          <w:rFonts w:ascii="Times New Roman" w:hint="eastAsia"/>
          <w:b/>
        </w:rPr>
        <w:lastRenderedPageBreak/>
        <w:t>教学内容（</w:t>
      </w:r>
      <w:r>
        <w:rPr>
          <w:rFonts w:ascii="Times New Roman" w:hAnsi="Times New Roman"/>
          <w:b/>
        </w:rPr>
        <w:t>3</w:t>
      </w:r>
      <w:r>
        <w:rPr>
          <w:rFonts w:ascii="Times New Roman" w:hint="eastAsia"/>
          <w:b/>
        </w:rPr>
        <w:t>学时）</w:t>
      </w:r>
    </w:p>
    <w:p w:rsidR="003717A0" w:rsidRDefault="003717A0">
      <w:pPr>
        <w:adjustRightInd w:val="0"/>
        <w:snapToGrid w:val="0"/>
        <w:spacing w:line="400" w:lineRule="exact"/>
        <w:ind w:right="6"/>
        <w:rPr>
          <w:rFonts w:ascii="宋体"/>
          <w:bCs/>
          <w:szCs w:val="21"/>
        </w:rPr>
      </w:pPr>
      <w:r>
        <w:rPr>
          <w:rFonts w:ascii="宋体" w:hAnsi="宋体"/>
          <w:bCs/>
          <w:szCs w:val="21"/>
        </w:rPr>
        <w:t xml:space="preserve">1.  </w:t>
      </w:r>
      <w:r>
        <w:rPr>
          <w:rFonts w:ascii="宋体" w:hAnsi="宋体" w:hint="eastAsia"/>
          <w:bCs/>
          <w:szCs w:val="21"/>
        </w:rPr>
        <w:t>心血管系统对运动的反应和适应。</w:t>
      </w:r>
    </w:p>
    <w:p w:rsidR="003717A0" w:rsidRDefault="003717A0">
      <w:pPr>
        <w:adjustRightInd w:val="0"/>
        <w:snapToGrid w:val="0"/>
        <w:spacing w:line="400" w:lineRule="exact"/>
        <w:ind w:right="6"/>
        <w:rPr>
          <w:rFonts w:ascii="宋体"/>
          <w:bCs/>
          <w:szCs w:val="21"/>
        </w:rPr>
      </w:pPr>
      <w:r>
        <w:rPr>
          <w:rFonts w:ascii="宋体" w:hAnsi="宋体"/>
          <w:bCs/>
          <w:szCs w:val="21"/>
        </w:rPr>
        <w:t xml:space="preserve">2.  </w:t>
      </w:r>
      <w:r>
        <w:rPr>
          <w:rFonts w:ascii="宋体" w:hAnsi="宋体" w:hint="eastAsia"/>
          <w:bCs/>
          <w:szCs w:val="21"/>
        </w:rPr>
        <w:t>呼吸系统对运动的反应和适应。</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3.</w:t>
      </w:r>
      <w:r>
        <w:rPr>
          <w:rFonts w:ascii="宋体" w:hAnsi="Arial" w:cs="宋体"/>
          <w:bCs/>
          <w:kern w:val="0"/>
          <w:sz w:val="44"/>
          <w:szCs w:val="44"/>
        </w:rPr>
        <w:t xml:space="preserve"> </w:t>
      </w:r>
      <w:r>
        <w:rPr>
          <w:rFonts w:ascii="宋体" w:hAnsi="宋体" w:hint="eastAsia"/>
          <w:bCs/>
          <w:szCs w:val="21"/>
        </w:rPr>
        <w:t>有氧、无氧运动。</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4.  </w:t>
      </w:r>
      <w:r>
        <w:rPr>
          <w:rFonts w:ascii="宋体" w:hAnsi="宋体" w:hint="eastAsia"/>
          <w:bCs/>
          <w:szCs w:val="21"/>
        </w:rPr>
        <w:t>耐力运动处方。</w:t>
      </w:r>
    </w:p>
    <w:p w:rsidR="003717A0" w:rsidRDefault="003717A0">
      <w:pPr>
        <w:autoSpaceDE w:val="0"/>
        <w:autoSpaceDN w:val="0"/>
        <w:adjustRightInd w:val="0"/>
        <w:snapToGrid w:val="0"/>
        <w:spacing w:line="440" w:lineRule="exact"/>
        <w:jc w:val="center"/>
        <w:rPr>
          <w:rFonts w:ascii="宋体"/>
          <w:b/>
          <w:szCs w:val="21"/>
        </w:rPr>
      </w:pPr>
      <w:r>
        <w:rPr>
          <w:rFonts w:ascii="宋体" w:hAnsi="宋体" w:hint="eastAsia"/>
          <w:b/>
          <w:szCs w:val="21"/>
        </w:rPr>
        <w:t>第二节</w:t>
      </w:r>
      <w:r>
        <w:rPr>
          <w:rFonts w:ascii="宋体" w:hAnsi="宋体"/>
          <w:b/>
          <w:szCs w:val="21"/>
        </w:rPr>
        <w:t xml:space="preserve">  </w:t>
      </w:r>
      <w:r>
        <w:rPr>
          <w:rFonts w:ascii="Times New Roman" w:hAnsi="Times New Roman" w:hint="eastAsia"/>
          <w:b/>
          <w:bCs/>
        </w:rPr>
        <w:t>心肺功能评定基础</w:t>
      </w:r>
    </w:p>
    <w:p w:rsidR="003717A0" w:rsidRDefault="003717A0">
      <w:pPr>
        <w:adjustRightInd w:val="0"/>
        <w:snapToGrid w:val="0"/>
        <w:spacing w:line="400" w:lineRule="exact"/>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400" w:lineRule="exact"/>
        <w:ind w:right="6"/>
        <w:rPr>
          <w:rFonts w:ascii="宋体"/>
          <w:bCs/>
          <w:szCs w:val="21"/>
        </w:rPr>
      </w:pPr>
      <w:r>
        <w:rPr>
          <w:rFonts w:ascii="宋体" w:hAnsi="宋体"/>
          <w:bCs/>
          <w:szCs w:val="21"/>
        </w:rPr>
        <w:t xml:space="preserve">1.  </w:t>
      </w:r>
      <w:r>
        <w:rPr>
          <w:rFonts w:ascii="宋体" w:hAnsi="宋体" w:hint="eastAsia"/>
          <w:bCs/>
          <w:szCs w:val="21"/>
        </w:rPr>
        <w:t>运动试验。</w:t>
      </w:r>
    </w:p>
    <w:p w:rsidR="003717A0" w:rsidRDefault="003717A0">
      <w:pPr>
        <w:adjustRightInd w:val="0"/>
        <w:snapToGrid w:val="0"/>
        <w:spacing w:line="400" w:lineRule="exact"/>
        <w:ind w:right="6"/>
        <w:rPr>
          <w:rFonts w:ascii="宋体"/>
          <w:bCs/>
          <w:szCs w:val="21"/>
        </w:rPr>
      </w:pPr>
      <w:r>
        <w:rPr>
          <w:rFonts w:ascii="宋体" w:hAnsi="宋体"/>
          <w:bCs/>
          <w:szCs w:val="21"/>
        </w:rPr>
        <w:t xml:space="preserve">2.  </w:t>
      </w:r>
      <w:r>
        <w:rPr>
          <w:rFonts w:ascii="宋体" w:hAnsi="宋体" w:hint="eastAsia"/>
          <w:bCs/>
          <w:szCs w:val="21"/>
        </w:rPr>
        <w:t>呼吸系统评定。</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3.</w:t>
      </w:r>
      <w:r>
        <w:rPr>
          <w:rFonts w:ascii="宋体" w:hAnsi="Arial" w:cs="宋体"/>
          <w:bCs/>
          <w:kern w:val="0"/>
          <w:sz w:val="44"/>
          <w:szCs w:val="44"/>
        </w:rPr>
        <w:t xml:space="preserve"> </w:t>
      </w:r>
      <w:r>
        <w:rPr>
          <w:rFonts w:ascii="宋体" w:hAnsi="宋体" w:hint="eastAsia"/>
          <w:bCs/>
          <w:szCs w:val="21"/>
        </w:rPr>
        <w:t>最大摄氧量评定。</w:t>
      </w:r>
    </w:p>
    <w:p w:rsidR="003717A0" w:rsidRDefault="003717A0">
      <w:pPr>
        <w:autoSpaceDE w:val="0"/>
        <w:autoSpaceDN w:val="0"/>
        <w:adjustRightInd w:val="0"/>
        <w:snapToGrid w:val="0"/>
        <w:spacing w:line="440" w:lineRule="exact"/>
        <w:jc w:val="center"/>
        <w:rPr>
          <w:rFonts w:ascii="宋体"/>
          <w:b/>
          <w:szCs w:val="21"/>
        </w:rPr>
      </w:pPr>
      <w:r>
        <w:rPr>
          <w:rFonts w:ascii="宋体" w:hAnsi="宋体" w:hint="eastAsia"/>
          <w:b/>
          <w:szCs w:val="21"/>
        </w:rPr>
        <w:t>第三节</w:t>
      </w:r>
      <w:r>
        <w:rPr>
          <w:rFonts w:ascii="宋体" w:hAnsi="宋体"/>
          <w:b/>
          <w:szCs w:val="21"/>
        </w:rPr>
        <w:t xml:space="preserve">  </w:t>
      </w:r>
      <w:r>
        <w:rPr>
          <w:rFonts w:ascii="Times New Roman" w:hAnsi="Times New Roman" w:hint="eastAsia"/>
          <w:b/>
          <w:bCs/>
        </w:rPr>
        <w:t>心肺功能异常与运动</w:t>
      </w:r>
    </w:p>
    <w:p w:rsidR="003717A0" w:rsidRDefault="003717A0">
      <w:pPr>
        <w:adjustRightInd w:val="0"/>
        <w:snapToGrid w:val="0"/>
        <w:spacing w:line="400" w:lineRule="exact"/>
        <w:ind w:right="6"/>
        <w:rPr>
          <w:rFonts w:ascii="宋体"/>
          <w:bCs/>
          <w:szCs w:val="21"/>
        </w:rPr>
      </w:pPr>
      <w:r>
        <w:rPr>
          <w:rFonts w:ascii="Times New Roman" w:hint="eastAsia"/>
          <w:b/>
        </w:rPr>
        <w:t>教学内容（</w:t>
      </w:r>
      <w:r>
        <w:rPr>
          <w:rFonts w:ascii="Times New Roman" w:hAnsi="Times New Roman"/>
          <w:b/>
        </w:rPr>
        <w:t>3</w:t>
      </w:r>
      <w:r>
        <w:rPr>
          <w:rFonts w:ascii="Times New Roman" w:hint="eastAsia"/>
          <w:b/>
        </w:rPr>
        <w:t>学时）</w:t>
      </w:r>
      <w:r>
        <w:rPr>
          <w:rFonts w:ascii="宋体" w:hAnsi="宋体"/>
          <w:bCs/>
          <w:szCs w:val="21"/>
        </w:rPr>
        <w:t xml:space="preserve"> </w:t>
      </w:r>
    </w:p>
    <w:p w:rsidR="003717A0" w:rsidRDefault="003717A0">
      <w:pPr>
        <w:adjustRightInd w:val="0"/>
        <w:snapToGrid w:val="0"/>
        <w:spacing w:line="400" w:lineRule="exact"/>
        <w:ind w:right="6"/>
        <w:rPr>
          <w:rFonts w:ascii="宋体"/>
          <w:bCs/>
          <w:szCs w:val="21"/>
        </w:rPr>
      </w:pPr>
      <w:r>
        <w:rPr>
          <w:rFonts w:ascii="宋体" w:hAnsi="宋体"/>
          <w:bCs/>
          <w:szCs w:val="21"/>
        </w:rPr>
        <w:t xml:space="preserve">1.  </w:t>
      </w:r>
      <w:r>
        <w:rPr>
          <w:rFonts w:ascii="宋体" w:hAnsi="宋体" w:hint="eastAsia"/>
          <w:bCs/>
          <w:szCs w:val="21"/>
        </w:rPr>
        <w:t>高血压与运动。</w:t>
      </w:r>
    </w:p>
    <w:p w:rsidR="003717A0" w:rsidRDefault="003717A0">
      <w:pPr>
        <w:adjustRightInd w:val="0"/>
        <w:snapToGrid w:val="0"/>
        <w:spacing w:line="400" w:lineRule="exact"/>
        <w:ind w:right="6"/>
        <w:rPr>
          <w:rFonts w:ascii="宋体"/>
          <w:bCs/>
          <w:szCs w:val="21"/>
        </w:rPr>
      </w:pPr>
      <w:r>
        <w:rPr>
          <w:rFonts w:ascii="宋体" w:hAnsi="宋体"/>
          <w:bCs/>
          <w:szCs w:val="21"/>
        </w:rPr>
        <w:t xml:space="preserve">2.  </w:t>
      </w:r>
      <w:r>
        <w:rPr>
          <w:rFonts w:ascii="宋体" w:hAnsi="宋体" w:hint="eastAsia"/>
          <w:bCs/>
          <w:szCs w:val="21"/>
        </w:rPr>
        <w:t>冠心病与运动。</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3.</w:t>
      </w:r>
      <w:r>
        <w:rPr>
          <w:rFonts w:ascii="宋体" w:hAnsi="Arial" w:cs="宋体"/>
          <w:bCs/>
          <w:kern w:val="0"/>
          <w:sz w:val="44"/>
          <w:szCs w:val="44"/>
        </w:rPr>
        <w:t xml:space="preserve"> </w:t>
      </w:r>
      <w:r>
        <w:rPr>
          <w:rFonts w:ascii="宋体" w:hAnsi="宋体" w:hint="eastAsia"/>
          <w:bCs/>
          <w:szCs w:val="21"/>
        </w:rPr>
        <w:t>慢性阻塞性肺疾病与运动</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1.  </w:t>
      </w:r>
      <w:r>
        <w:rPr>
          <w:rFonts w:ascii="宋体" w:hAnsi="宋体" w:hint="eastAsia"/>
          <w:bCs/>
          <w:szCs w:val="21"/>
        </w:rPr>
        <w:t>慢性冠心病的运动处方，运动反应与适应。</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2.  </w:t>
      </w:r>
      <w:r>
        <w:rPr>
          <w:rFonts w:ascii="宋体" w:hAnsi="宋体" w:hint="eastAsia"/>
          <w:bCs/>
          <w:szCs w:val="21"/>
        </w:rPr>
        <w:t>运动频率与血压的关系。</w:t>
      </w:r>
    </w:p>
    <w:p w:rsidR="003717A0" w:rsidRDefault="003717A0">
      <w:pPr>
        <w:autoSpaceDE w:val="0"/>
        <w:autoSpaceDN w:val="0"/>
        <w:adjustRightInd w:val="0"/>
        <w:snapToGrid w:val="0"/>
        <w:spacing w:line="440" w:lineRule="exact"/>
        <w:rPr>
          <w:rFonts w:ascii="Times New Roman"/>
          <w:b/>
        </w:rPr>
      </w:pPr>
      <w:r>
        <w:rPr>
          <w:rFonts w:ascii="宋体" w:hAnsi="宋体"/>
          <w:bCs/>
          <w:szCs w:val="21"/>
        </w:rPr>
        <w:t xml:space="preserve">3.  </w:t>
      </w:r>
      <w:r>
        <w:rPr>
          <w:rFonts w:ascii="宋体" w:hAnsi="宋体" w:hint="eastAsia"/>
          <w:bCs/>
          <w:szCs w:val="21"/>
        </w:rPr>
        <w:t>慢性阻塞性肺病的运动训练方法。</w:t>
      </w:r>
    </w:p>
    <w:p w:rsidR="003717A0" w:rsidRDefault="003717A0">
      <w:pPr>
        <w:autoSpaceDE w:val="0"/>
        <w:autoSpaceDN w:val="0"/>
        <w:adjustRightInd w:val="0"/>
        <w:snapToGrid w:val="0"/>
        <w:spacing w:line="440" w:lineRule="exac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rPr>
          <w:rFonts w:ascii="宋体"/>
          <w:bCs/>
          <w:szCs w:val="21"/>
        </w:rPr>
      </w:pPr>
      <w:r>
        <w:rPr>
          <w:rFonts w:ascii="宋体" w:hAnsi="宋体"/>
          <w:bCs/>
          <w:szCs w:val="21"/>
        </w:rPr>
        <w:t xml:space="preserve">1.  </w:t>
      </w:r>
      <w:r>
        <w:rPr>
          <w:rFonts w:ascii="宋体" w:hAnsi="宋体" w:hint="eastAsia"/>
          <w:bCs/>
          <w:szCs w:val="21"/>
        </w:rPr>
        <w:t>掌握慢性冠心病的运动处方。</w:t>
      </w:r>
    </w:p>
    <w:p w:rsidR="003717A0" w:rsidRDefault="003717A0">
      <w:pPr>
        <w:autoSpaceDE w:val="0"/>
        <w:autoSpaceDN w:val="0"/>
        <w:adjustRightInd w:val="0"/>
        <w:snapToGrid w:val="0"/>
        <w:spacing w:line="440" w:lineRule="exact"/>
        <w:rPr>
          <w:rFonts w:ascii="宋体"/>
          <w:b/>
          <w:bCs/>
          <w:szCs w:val="21"/>
        </w:rPr>
      </w:pPr>
      <w:r>
        <w:rPr>
          <w:rFonts w:ascii="宋体" w:hAnsi="宋体"/>
          <w:bCs/>
          <w:szCs w:val="21"/>
        </w:rPr>
        <w:t xml:space="preserve">2.  </w:t>
      </w:r>
      <w:r>
        <w:rPr>
          <w:rFonts w:ascii="宋体" w:hAnsi="宋体" w:hint="eastAsia"/>
          <w:bCs/>
          <w:szCs w:val="21"/>
        </w:rPr>
        <w:t>了解慢性阻塞性肺病的运动训练方法</w:t>
      </w:r>
      <w:r>
        <w:rPr>
          <w:rFonts w:ascii="宋体" w:hAnsi="宋体" w:hint="eastAsia"/>
          <w:b/>
          <w:bCs/>
          <w:szCs w:val="21"/>
        </w:rPr>
        <w:t>。</w:t>
      </w:r>
    </w:p>
    <w:p w:rsidR="003717A0" w:rsidRDefault="003717A0">
      <w:pPr>
        <w:numPr>
          <w:ilvl w:val="0"/>
          <w:numId w:val="359"/>
        </w:numPr>
        <w:autoSpaceDE w:val="0"/>
        <w:autoSpaceDN w:val="0"/>
        <w:adjustRightInd w:val="0"/>
        <w:snapToGrid w:val="0"/>
        <w:spacing w:line="440" w:lineRule="exact"/>
        <w:jc w:val="center"/>
        <w:rPr>
          <w:rFonts w:ascii="宋体"/>
          <w:b/>
          <w:szCs w:val="21"/>
        </w:rPr>
      </w:pPr>
      <w:r>
        <w:rPr>
          <w:rFonts w:ascii="宋体" w:hAnsi="宋体" w:hint="eastAsia"/>
          <w:b/>
          <w:szCs w:val="21"/>
        </w:rPr>
        <w:t>运动控制与步态</w:t>
      </w:r>
    </w:p>
    <w:p w:rsidR="003717A0" w:rsidRDefault="003717A0">
      <w:pPr>
        <w:adjustRightInd w:val="0"/>
        <w:snapToGrid w:val="0"/>
        <w:spacing w:line="360" w:lineRule="auto"/>
        <w:ind w:right="6"/>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right="6"/>
        <w:rPr>
          <w:rFonts w:ascii="Times New Roman" w:hAnsi="Times New Roman"/>
          <w:bCs/>
        </w:rPr>
      </w:pPr>
      <w:r>
        <w:rPr>
          <w:rFonts w:ascii="宋体" w:hAnsi="宋体"/>
          <w:bCs/>
          <w:szCs w:val="21"/>
        </w:rPr>
        <w:t xml:space="preserve">1.  </w:t>
      </w:r>
      <w:r>
        <w:rPr>
          <w:rFonts w:ascii="Times New Roman" w:hAnsi="Times New Roman" w:hint="eastAsia"/>
          <w:bCs/>
        </w:rPr>
        <w:t>与运动相关的神经系统结构与反射：大脑皮质的主要运动区；运动传导通路；反射。</w:t>
      </w:r>
    </w:p>
    <w:p w:rsidR="003717A0" w:rsidRDefault="003717A0">
      <w:pPr>
        <w:adjustRightInd w:val="0"/>
        <w:snapToGrid w:val="0"/>
        <w:spacing w:line="360" w:lineRule="auto"/>
        <w:ind w:right="6"/>
        <w:rPr>
          <w:rFonts w:ascii="Times New Roman" w:hAnsi="Times New Roman"/>
          <w:bCs/>
        </w:rPr>
      </w:pPr>
      <w:r>
        <w:rPr>
          <w:rFonts w:ascii="宋体" w:hAnsi="宋体"/>
          <w:bCs/>
          <w:szCs w:val="21"/>
        </w:rPr>
        <w:t xml:space="preserve">2.  </w:t>
      </w:r>
      <w:r>
        <w:rPr>
          <w:rFonts w:ascii="Times New Roman" w:hAnsi="Times New Roman" w:hint="eastAsia"/>
          <w:bCs/>
        </w:rPr>
        <w:t>运动控制的调节：运动控制的调节；影响运动控制的因素。</w:t>
      </w:r>
    </w:p>
    <w:p w:rsidR="003717A0" w:rsidRDefault="003717A0">
      <w:pPr>
        <w:adjustRightInd w:val="0"/>
        <w:snapToGrid w:val="0"/>
        <w:spacing w:line="360" w:lineRule="auto"/>
        <w:ind w:right="6"/>
        <w:rPr>
          <w:rFonts w:ascii="Times New Roman" w:hAnsi="Times New Roman"/>
          <w:bCs/>
        </w:rPr>
      </w:pPr>
      <w:r>
        <w:rPr>
          <w:rFonts w:ascii="宋体" w:hAnsi="宋体"/>
          <w:bCs/>
          <w:szCs w:val="21"/>
        </w:rPr>
        <w:t xml:space="preserve">3. </w:t>
      </w:r>
      <w:r>
        <w:rPr>
          <w:rFonts w:ascii="Times New Roman" w:hAnsi="Times New Roman"/>
          <w:bCs/>
        </w:rPr>
        <w:t xml:space="preserve"> </w:t>
      </w:r>
      <w:r>
        <w:rPr>
          <w:rFonts w:ascii="Times New Roman" w:hAnsi="Times New Roman" w:hint="eastAsia"/>
          <w:bCs/>
        </w:rPr>
        <w:t>运动控制：姿势控制；上肢控制；行走运动控制。</w:t>
      </w:r>
    </w:p>
    <w:p w:rsidR="003717A0" w:rsidRDefault="003717A0">
      <w:pPr>
        <w:autoSpaceDE w:val="0"/>
        <w:autoSpaceDN w:val="0"/>
        <w:adjustRightInd w:val="0"/>
        <w:snapToGrid w:val="0"/>
        <w:spacing w:line="440" w:lineRule="exact"/>
        <w:rPr>
          <w:rFonts w:asci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utoSpaceDE w:val="0"/>
        <w:autoSpaceDN w:val="0"/>
        <w:adjustRightInd w:val="0"/>
        <w:snapToGrid w:val="0"/>
        <w:spacing w:line="440" w:lineRule="exact"/>
        <w:rPr>
          <w:rFonts w:ascii="Times New Roman"/>
          <w:b/>
        </w:rPr>
      </w:pPr>
      <w:r>
        <w:rPr>
          <w:rFonts w:ascii="宋体" w:hAnsi="宋体"/>
          <w:bCs/>
          <w:szCs w:val="21"/>
        </w:rPr>
        <w:t xml:space="preserve">1.  </w:t>
      </w:r>
      <w:r>
        <w:rPr>
          <w:rFonts w:ascii="宋体" w:hAnsi="宋体" w:hint="eastAsia"/>
          <w:bCs/>
          <w:szCs w:val="21"/>
        </w:rPr>
        <w:t>步态分析和异常步态。</w:t>
      </w:r>
    </w:p>
    <w:p w:rsidR="003717A0" w:rsidRDefault="003717A0">
      <w:pPr>
        <w:autoSpaceDE w:val="0"/>
        <w:autoSpaceDN w:val="0"/>
        <w:adjustRightInd w:val="0"/>
        <w:snapToGrid w:val="0"/>
        <w:spacing w:line="440" w:lineRule="exac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rPr>
          <w:rFonts w:ascii="宋体"/>
          <w:szCs w:val="21"/>
        </w:rPr>
      </w:pPr>
      <w:r>
        <w:rPr>
          <w:rFonts w:ascii="宋体" w:hAnsi="宋体"/>
          <w:bCs/>
          <w:szCs w:val="21"/>
        </w:rPr>
        <w:t xml:space="preserve">1.  </w:t>
      </w:r>
      <w:r>
        <w:rPr>
          <w:rFonts w:ascii="宋体" w:hAnsi="宋体" w:hint="eastAsia"/>
          <w:bCs/>
          <w:szCs w:val="21"/>
        </w:rPr>
        <w:t>掌握运动控制的概念及行走运动控制中步态的时空关系；行走过程中的关节运动学及肌运动学。</w:t>
      </w:r>
    </w:p>
    <w:p w:rsidR="003717A0" w:rsidRDefault="003717A0">
      <w:pPr>
        <w:adjustRightInd w:val="0"/>
        <w:snapToGrid w:val="0"/>
        <w:spacing w:line="360" w:lineRule="auto"/>
        <w:jc w:val="center"/>
        <w:rPr>
          <w:b/>
          <w:bCs/>
          <w:sz w:val="24"/>
          <w:szCs w:val="24"/>
        </w:rPr>
      </w:pPr>
    </w:p>
    <w:p w:rsidR="003717A0" w:rsidRDefault="003717A0">
      <w:pPr>
        <w:adjustRightInd w:val="0"/>
        <w:snapToGrid w:val="0"/>
        <w:spacing w:line="360" w:lineRule="auto"/>
        <w:jc w:val="center"/>
        <w:rPr>
          <w:b/>
          <w:bCs/>
          <w:sz w:val="24"/>
          <w:szCs w:val="24"/>
        </w:rPr>
      </w:pPr>
    </w:p>
    <w:p w:rsidR="003717A0" w:rsidRDefault="003717A0">
      <w:pPr>
        <w:adjustRightInd w:val="0"/>
        <w:snapToGrid w:val="0"/>
        <w:spacing w:line="360" w:lineRule="auto"/>
        <w:jc w:val="center"/>
        <w:rPr>
          <w:b/>
          <w:bCs/>
          <w:sz w:val="24"/>
          <w:szCs w:val="24"/>
        </w:rPr>
      </w:pPr>
      <w:r>
        <w:rPr>
          <w:rFonts w:hint="eastAsia"/>
          <w:b/>
          <w:bCs/>
          <w:sz w:val="24"/>
          <w:szCs w:val="24"/>
        </w:rPr>
        <w:lastRenderedPageBreak/>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119" w:type="dxa"/>
            <w:vAlign w:val="center"/>
          </w:tcPr>
          <w:p w:rsidR="003717A0" w:rsidRDefault="003717A0">
            <w:pPr>
              <w:adjustRightInd w:val="0"/>
              <w:snapToGrid w:val="0"/>
              <w:jc w:val="center"/>
              <w:rPr>
                <w:sz w:val="24"/>
              </w:rPr>
            </w:pPr>
            <w:r>
              <w:rPr>
                <w:rFonts w:hint="eastAsia"/>
                <w:sz w:val="24"/>
              </w:rPr>
              <w:t>讲课内容</w:t>
            </w:r>
          </w:p>
        </w:tc>
        <w:tc>
          <w:tcPr>
            <w:tcW w:w="850"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119" w:type="dxa"/>
          </w:tcPr>
          <w:p w:rsidR="003717A0" w:rsidRDefault="003717A0">
            <w:pPr>
              <w:ind w:firstLineChars="53" w:firstLine="111"/>
              <w:rPr>
                <w:rFonts w:ascii="Times New Roman" w:hAnsi="Times New Roman"/>
              </w:rPr>
            </w:pPr>
            <w:r>
              <w:rPr>
                <w:rFonts w:ascii="宋体" w:hAnsi="宋体" w:hint="eastAsia"/>
                <w:szCs w:val="21"/>
              </w:rPr>
              <w:t>运动学总论</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骨的运动学基础</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骨的运动适应性</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肌肉的运动学基础</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肌肉的运动适应性</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肩</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肘</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腕和手</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119" w:type="dxa"/>
          </w:tcPr>
          <w:p w:rsidR="003717A0" w:rsidRDefault="003717A0">
            <w:pPr>
              <w:ind w:firstLineChars="53" w:firstLine="111"/>
              <w:rPr>
                <w:rFonts w:ascii="Times New Roman" w:hAnsi="Times New Roman"/>
              </w:rPr>
            </w:pPr>
            <w:r>
              <w:rPr>
                <w:rFonts w:ascii="Times New Roman" w:hAnsi="Times New Roman" w:hint="eastAsia"/>
                <w:bCs/>
              </w:rPr>
              <w:t>脊柱运动学概述</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119" w:type="dxa"/>
          </w:tcPr>
          <w:p w:rsidR="003717A0" w:rsidRDefault="003717A0">
            <w:pPr>
              <w:ind w:firstLineChars="53" w:firstLine="111"/>
              <w:rPr>
                <w:rFonts w:ascii="Times New Roman" w:hAnsi="Times New Roman"/>
              </w:rPr>
            </w:pPr>
            <w:r>
              <w:rPr>
                <w:rFonts w:ascii="Times New Roman" w:hAnsi="Times New Roman" w:hint="eastAsia"/>
                <w:bCs/>
              </w:rPr>
              <w:t>颈椎、胸椎</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11</w:t>
            </w:r>
          </w:p>
        </w:tc>
        <w:tc>
          <w:tcPr>
            <w:tcW w:w="3119" w:type="dxa"/>
          </w:tcPr>
          <w:p w:rsidR="003717A0" w:rsidRDefault="003717A0">
            <w:pPr>
              <w:ind w:firstLineChars="53" w:firstLine="111"/>
              <w:rPr>
                <w:rFonts w:ascii="Times New Roman" w:hAnsi="Times New Roman"/>
              </w:rPr>
            </w:pPr>
            <w:r>
              <w:rPr>
                <w:rFonts w:ascii="Times New Roman" w:hAnsi="Times New Roman" w:hint="eastAsia"/>
                <w:bCs/>
              </w:rPr>
              <w:t>腰椎</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髋与骨盆</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膝</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119" w:type="dxa"/>
          </w:tcPr>
          <w:p w:rsidR="003717A0" w:rsidRDefault="003717A0">
            <w:pPr>
              <w:ind w:firstLineChars="53" w:firstLine="111"/>
              <w:rPr>
                <w:rFonts w:ascii="Times New Roman" w:hAnsi="Times New Roman"/>
              </w:rPr>
            </w:pPr>
            <w:r>
              <w:rPr>
                <w:rFonts w:ascii="宋体" w:hAnsi="宋体" w:hint="eastAsia"/>
                <w:bCs/>
                <w:szCs w:val="21"/>
              </w:rPr>
              <w:t>踝、足、足弓</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15</w:t>
            </w:r>
          </w:p>
        </w:tc>
        <w:tc>
          <w:tcPr>
            <w:tcW w:w="3119" w:type="dxa"/>
          </w:tcPr>
          <w:p w:rsidR="003717A0" w:rsidRDefault="003717A0">
            <w:pPr>
              <w:ind w:firstLineChars="53" w:firstLine="111"/>
              <w:rPr>
                <w:rFonts w:ascii="Times New Roman" w:hAnsi="Times New Roman"/>
              </w:rPr>
            </w:pPr>
            <w:r>
              <w:rPr>
                <w:rFonts w:ascii="Times New Roman" w:hAnsi="Times New Roman" w:hint="eastAsia"/>
                <w:bCs/>
              </w:rPr>
              <w:t>运动对心肺功能的影响</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119" w:type="dxa"/>
          </w:tcPr>
          <w:p w:rsidR="003717A0" w:rsidRDefault="003717A0">
            <w:pPr>
              <w:ind w:firstLineChars="53" w:firstLine="111"/>
              <w:rPr>
                <w:rFonts w:ascii="Times New Roman" w:hAnsi="Times New Roman"/>
              </w:rPr>
            </w:pPr>
            <w:r>
              <w:rPr>
                <w:rFonts w:ascii="Times New Roman" w:hAnsi="Times New Roman" w:hint="eastAsia"/>
                <w:bCs/>
              </w:rPr>
              <w:t>心肺功能评定基础</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119" w:type="dxa"/>
          </w:tcPr>
          <w:p w:rsidR="003717A0" w:rsidRDefault="003717A0">
            <w:pPr>
              <w:ind w:firstLineChars="53" w:firstLine="111"/>
              <w:rPr>
                <w:rFonts w:ascii="Times New Roman" w:hAnsi="Times New Roman"/>
              </w:rPr>
            </w:pPr>
            <w:r>
              <w:rPr>
                <w:rFonts w:ascii="Times New Roman" w:hAnsi="Times New Roman" w:hint="eastAsia"/>
                <w:bCs/>
              </w:rPr>
              <w:t>心肺功能异常与运动</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18</w:t>
            </w:r>
          </w:p>
        </w:tc>
        <w:tc>
          <w:tcPr>
            <w:tcW w:w="3119" w:type="dxa"/>
          </w:tcPr>
          <w:p w:rsidR="003717A0" w:rsidRDefault="003717A0">
            <w:pPr>
              <w:autoSpaceDE w:val="0"/>
              <w:autoSpaceDN w:val="0"/>
              <w:adjustRightInd w:val="0"/>
              <w:snapToGrid w:val="0"/>
              <w:spacing w:line="440" w:lineRule="exact"/>
              <w:rPr>
                <w:rFonts w:ascii="宋体"/>
                <w:szCs w:val="21"/>
              </w:rPr>
            </w:pPr>
            <w:r>
              <w:rPr>
                <w:rFonts w:ascii="宋体" w:hAnsi="宋体"/>
                <w:szCs w:val="21"/>
              </w:rPr>
              <w:t xml:space="preserve"> </w:t>
            </w:r>
            <w:r>
              <w:rPr>
                <w:rFonts w:ascii="宋体" w:hAnsi="宋体" w:hint="eastAsia"/>
                <w:szCs w:val="21"/>
              </w:rPr>
              <w:t>运动控制与步态</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119" w:type="dxa"/>
          </w:tcPr>
          <w:p w:rsidR="003717A0" w:rsidRDefault="003717A0">
            <w:pPr>
              <w:ind w:firstLineChars="53" w:firstLine="111"/>
              <w:rPr>
                <w:rFonts w:ascii="Times New Roman" w:hAnsi="Times New Roman"/>
              </w:rPr>
            </w:pPr>
            <w:r>
              <w:rPr>
                <w:rFonts w:ascii="Times New Roman" w:hint="eastAsia"/>
              </w:rPr>
              <w:t>合　计</w:t>
            </w:r>
          </w:p>
        </w:tc>
        <w:tc>
          <w:tcPr>
            <w:tcW w:w="850" w:type="dxa"/>
            <w:vAlign w:val="center"/>
          </w:tcPr>
          <w:p w:rsidR="003717A0" w:rsidRDefault="003717A0">
            <w:pPr>
              <w:jc w:val="center"/>
              <w:rPr>
                <w:rFonts w:ascii="Times New Roman" w:hAnsi="Times New Roman"/>
              </w:rPr>
            </w:pPr>
            <w:r>
              <w:rPr>
                <w:rFonts w:ascii="Times New Roman" w:hAnsi="Times New Roman"/>
              </w:rPr>
              <w:t>54</w:t>
            </w:r>
          </w:p>
        </w:tc>
        <w:tc>
          <w:tcPr>
            <w:tcW w:w="3260" w:type="dxa"/>
          </w:tcPr>
          <w:p w:rsidR="003717A0" w:rsidRDefault="003717A0"/>
        </w:tc>
        <w:tc>
          <w:tcPr>
            <w:tcW w:w="851" w:type="dxa"/>
          </w:tcPr>
          <w:p w:rsidR="003717A0" w:rsidRDefault="003717A0"/>
        </w:tc>
      </w:tr>
    </w:tbl>
    <w:p w:rsidR="003717A0" w:rsidRDefault="003717A0">
      <w:pPr>
        <w:adjustRightInd w:val="0"/>
        <w:snapToGrid w:val="0"/>
        <w:spacing w:line="400" w:lineRule="exact"/>
        <w:jc w:val="center"/>
        <w:rPr>
          <w:b/>
          <w:bCs/>
          <w:sz w:val="24"/>
          <w:szCs w:val="24"/>
        </w:rPr>
      </w:pPr>
    </w:p>
    <w:p w:rsidR="003717A0" w:rsidRDefault="003717A0">
      <w:pPr>
        <w:adjustRightInd w:val="0"/>
        <w:snapToGrid w:val="0"/>
        <w:spacing w:line="400" w:lineRule="exact"/>
        <w:jc w:val="center"/>
        <w:rPr>
          <w:b/>
          <w:bCs/>
          <w:sz w:val="24"/>
          <w:szCs w:val="24"/>
        </w:rPr>
      </w:pPr>
      <w:r>
        <w:rPr>
          <w:rFonts w:hint="eastAsia"/>
          <w:b/>
          <w:bCs/>
          <w:sz w:val="24"/>
          <w:szCs w:val="24"/>
        </w:rPr>
        <w:t>实验课学时分配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977"/>
        <w:gridCol w:w="709"/>
        <w:gridCol w:w="3543"/>
        <w:gridCol w:w="851"/>
      </w:tblGrid>
      <w:tr w:rsidR="003717A0">
        <w:tc>
          <w:tcPr>
            <w:tcW w:w="817" w:type="dxa"/>
            <w:vAlign w:val="center"/>
          </w:tcPr>
          <w:p w:rsidR="003717A0" w:rsidRDefault="003717A0">
            <w:pPr>
              <w:adjustRightInd w:val="0"/>
              <w:snapToGrid w:val="0"/>
              <w:jc w:val="center"/>
              <w:rPr>
                <w:sz w:val="24"/>
              </w:rPr>
            </w:pPr>
            <w:r>
              <w:rPr>
                <w:rFonts w:hint="eastAsia"/>
                <w:sz w:val="24"/>
              </w:rPr>
              <w:t>序号</w:t>
            </w:r>
          </w:p>
        </w:tc>
        <w:tc>
          <w:tcPr>
            <w:tcW w:w="2977" w:type="dxa"/>
            <w:vAlign w:val="center"/>
          </w:tcPr>
          <w:p w:rsidR="003717A0" w:rsidRDefault="003717A0">
            <w:pPr>
              <w:adjustRightInd w:val="0"/>
              <w:snapToGrid w:val="0"/>
              <w:jc w:val="center"/>
              <w:rPr>
                <w:sz w:val="24"/>
              </w:rPr>
            </w:pPr>
            <w:r>
              <w:rPr>
                <w:rFonts w:hint="eastAsia"/>
                <w:sz w:val="24"/>
              </w:rPr>
              <w:t>实验内容</w:t>
            </w:r>
          </w:p>
        </w:tc>
        <w:tc>
          <w:tcPr>
            <w:tcW w:w="709" w:type="dxa"/>
            <w:vAlign w:val="center"/>
          </w:tcPr>
          <w:p w:rsidR="003717A0" w:rsidRDefault="003717A0">
            <w:pPr>
              <w:adjustRightInd w:val="0"/>
              <w:snapToGrid w:val="0"/>
              <w:jc w:val="center"/>
              <w:rPr>
                <w:sz w:val="24"/>
              </w:rPr>
            </w:pPr>
            <w:r>
              <w:rPr>
                <w:rFonts w:hint="eastAsia"/>
                <w:sz w:val="24"/>
              </w:rPr>
              <w:t>学时</w:t>
            </w:r>
          </w:p>
        </w:tc>
        <w:tc>
          <w:tcPr>
            <w:tcW w:w="3543" w:type="dxa"/>
            <w:vAlign w:val="center"/>
          </w:tcPr>
          <w:p w:rsidR="003717A0" w:rsidRDefault="003717A0">
            <w:pPr>
              <w:adjustRightInd w:val="0"/>
              <w:snapToGrid w:val="0"/>
              <w:jc w:val="center"/>
              <w:rPr>
                <w:sz w:val="24"/>
              </w:rPr>
            </w:pPr>
            <w:r>
              <w:rPr>
                <w:rFonts w:hint="eastAsia"/>
                <w:sz w:val="24"/>
              </w:rPr>
              <w:t>作业</w:t>
            </w:r>
          </w:p>
          <w:p w:rsidR="003717A0" w:rsidRDefault="003717A0">
            <w:pPr>
              <w:adjustRightInd w:val="0"/>
              <w:snapToGrid w:val="0"/>
              <w:jc w:val="center"/>
              <w:rPr>
                <w:sz w:val="24"/>
              </w:rPr>
            </w:pPr>
          </w:p>
        </w:tc>
        <w:tc>
          <w:tcPr>
            <w:tcW w:w="851" w:type="dxa"/>
            <w:vAlign w:val="center"/>
          </w:tcPr>
          <w:p w:rsidR="003717A0" w:rsidRDefault="003717A0">
            <w:pPr>
              <w:adjustRightInd w:val="0"/>
              <w:snapToGrid w:val="0"/>
              <w:jc w:val="center"/>
              <w:rPr>
                <w:sz w:val="24"/>
              </w:rPr>
            </w:pPr>
            <w:r>
              <w:rPr>
                <w:rFonts w:hint="eastAsia"/>
                <w:sz w:val="24"/>
              </w:rPr>
              <w:t>备注</w:t>
            </w:r>
          </w:p>
        </w:tc>
      </w:tr>
      <w:tr w:rsidR="003717A0">
        <w:tc>
          <w:tcPr>
            <w:tcW w:w="817" w:type="dxa"/>
            <w:vAlign w:val="center"/>
          </w:tcPr>
          <w:p w:rsidR="003717A0" w:rsidRDefault="003717A0">
            <w:pPr>
              <w:jc w:val="center"/>
              <w:rPr>
                <w:rFonts w:ascii="Times New Roman" w:hAnsi="Times New Roman"/>
              </w:rPr>
            </w:pPr>
            <w:r>
              <w:rPr>
                <w:rFonts w:ascii="Times New Roman" w:hAnsi="Times New Roman"/>
              </w:rPr>
              <w:t>1</w:t>
            </w:r>
          </w:p>
        </w:tc>
        <w:tc>
          <w:tcPr>
            <w:tcW w:w="2977" w:type="dxa"/>
            <w:vAlign w:val="center"/>
          </w:tcPr>
          <w:p w:rsidR="003717A0" w:rsidRDefault="003717A0">
            <w:pPr>
              <w:ind w:firstLineChars="53" w:firstLine="111"/>
              <w:rPr>
                <w:rFonts w:ascii="Times New Roman" w:hAnsi="Times New Roman"/>
              </w:rPr>
            </w:pPr>
            <w:r>
              <w:rPr>
                <w:rFonts w:ascii="宋体" w:hAnsi="宋体" w:hint="eastAsia"/>
                <w:bCs/>
                <w:szCs w:val="21"/>
              </w:rPr>
              <w:t>骨、肌肉运动学</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543" w:type="dxa"/>
            <w:vAlign w:val="center"/>
          </w:tcPr>
          <w:p w:rsidR="003717A0" w:rsidRDefault="003717A0">
            <w:pPr>
              <w:rPr>
                <w:rFonts w:ascii="Times New Roman" w:hAnsi="Times New Roman"/>
              </w:rPr>
            </w:pPr>
            <w:r>
              <w:rPr>
                <w:rFonts w:ascii="Times New Roman" w:hAnsi="Times New Roman" w:hint="eastAsia"/>
              </w:rPr>
              <w:t>骨的体表标志</w:t>
            </w:r>
          </w:p>
        </w:tc>
        <w:tc>
          <w:tcPr>
            <w:tcW w:w="851" w:type="dxa"/>
          </w:tcPr>
          <w:p w:rsidR="003717A0" w:rsidRDefault="003717A0"/>
        </w:tc>
      </w:tr>
      <w:tr w:rsidR="003717A0">
        <w:tc>
          <w:tcPr>
            <w:tcW w:w="817" w:type="dxa"/>
            <w:vAlign w:val="center"/>
          </w:tcPr>
          <w:p w:rsidR="003717A0" w:rsidRDefault="003717A0">
            <w:pPr>
              <w:jc w:val="center"/>
              <w:rPr>
                <w:rFonts w:ascii="Times New Roman" w:hAnsi="Times New Roman"/>
              </w:rPr>
            </w:pPr>
            <w:r>
              <w:rPr>
                <w:rFonts w:ascii="Times New Roman" w:hAnsi="Times New Roman"/>
              </w:rPr>
              <w:t>2</w:t>
            </w:r>
          </w:p>
        </w:tc>
        <w:tc>
          <w:tcPr>
            <w:tcW w:w="2977" w:type="dxa"/>
            <w:vAlign w:val="center"/>
          </w:tcPr>
          <w:p w:rsidR="003717A0" w:rsidRDefault="003717A0">
            <w:pPr>
              <w:ind w:firstLineChars="53" w:firstLine="111"/>
              <w:rPr>
                <w:rFonts w:ascii="Times New Roman" w:hAnsi="Times New Roman"/>
              </w:rPr>
            </w:pPr>
            <w:r>
              <w:rPr>
                <w:rFonts w:ascii="Times New Roman" w:hint="eastAsia"/>
              </w:rPr>
              <w:t>上肢运动学</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543" w:type="dxa"/>
          </w:tcPr>
          <w:p w:rsidR="003717A0" w:rsidRDefault="003717A0">
            <w:pPr>
              <w:rPr>
                <w:rFonts w:ascii="Times New Roman" w:hAnsi="Times New Roman"/>
              </w:rPr>
            </w:pPr>
            <w:r>
              <w:rPr>
                <w:rFonts w:ascii="Times New Roman" w:hAnsi="Times New Roman" w:hint="eastAsia"/>
              </w:rPr>
              <w:t>肩、肘关节的主要肌肉及功能</w:t>
            </w: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2977" w:type="dxa"/>
          </w:tcPr>
          <w:p w:rsidR="003717A0" w:rsidRDefault="003717A0">
            <w:pPr>
              <w:rPr>
                <w:rFonts w:ascii="Times New Roman" w:hAnsi="Times New Roman"/>
              </w:rPr>
            </w:pPr>
            <w:r>
              <w:rPr>
                <w:rFonts w:ascii="Times New Roman"/>
              </w:rPr>
              <w:t xml:space="preserve"> </w:t>
            </w:r>
            <w:r>
              <w:rPr>
                <w:rFonts w:ascii="Times New Roman" w:hint="eastAsia"/>
              </w:rPr>
              <w:t>脊柱运动学</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543" w:type="dxa"/>
          </w:tcPr>
          <w:p w:rsidR="003717A0" w:rsidRDefault="003717A0">
            <w:pPr>
              <w:rPr>
                <w:rFonts w:ascii="Times New Roman" w:hAnsi="Times New Roman"/>
              </w:rPr>
            </w:pPr>
            <w:r>
              <w:rPr>
                <w:rFonts w:ascii="Times New Roman" w:hAnsi="Times New Roman" w:hint="eastAsia"/>
              </w:rPr>
              <w:t>脊柱常见病与脊柱运动的相关性</w:t>
            </w: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2977" w:type="dxa"/>
          </w:tcPr>
          <w:p w:rsidR="003717A0" w:rsidRDefault="003717A0">
            <w:pPr>
              <w:ind w:firstLineChars="53" w:firstLine="111"/>
              <w:rPr>
                <w:rFonts w:ascii="Times New Roman"/>
              </w:rPr>
            </w:pPr>
            <w:r>
              <w:rPr>
                <w:rFonts w:ascii="Times New Roman" w:hint="eastAsia"/>
              </w:rPr>
              <w:t>下肢运动学</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543" w:type="dxa"/>
          </w:tcPr>
          <w:p w:rsidR="003717A0" w:rsidRDefault="003717A0">
            <w:pPr>
              <w:rPr>
                <w:rFonts w:ascii="Times New Roman" w:hAnsi="Times New Roman"/>
              </w:rPr>
            </w:pPr>
            <w:r>
              <w:rPr>
                <w:rFonts w:ascii="Times New Roman" w:hAnsi="Times New Roman" w:hint="eastAsia"/>
              </w:rPr>
              <w:t>髋、膝关节的主要肌肉及功能</w:t>
            </w: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2977" w:type="dxa"/>
          </w:tcPr>
          <w:p w:rsidR="003717A0" w:rsidRDefault="003717A0">
            <w:pPr>
              <w:ind w:firstLineChars="53" w:firstLine="111"/>
              <w:rPr>
                <w:rFonts w:ascii="Times New Roman"/>
              </w:rPr>
            </w:pPr>
            <w:r>
              <w:rPr>
                <w:rFonts w:ascii="Times New Roman" w:hint="eastAsia"/>
              </w:rPr>
              <w:t>运动与心肺功能</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543" w:type="dxa"/>
          </w:tcPr>
          <w:p w:rsidR="003717A0" w:rsidRDefault="003717A0">
            <w:pPr>
              <w:rPr>
                <w:rFonts w:ascii="Times New Roman" w:hAnsi="Times New Roman"/>
              </w:rPr>
            </w:pPr>
            <w:r>
              <w:rPr>
                <w:rFonts w:ascii="Times New Roman" w:hint="eastAsia"/>
              </w:rPr>
              <w:t>探讨国内心脏康复开展现状</w:t>
            </w: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2977" w:type="dxa"/>
          </w:tcPr>
          <w:p w:rsidR="003717A0" w:rsidRDefault="003717A0">
            <w:pPr>
              <w:ind w:firstLineChars="53" w:firstLine="111"/>
              <w:rPr>
                <w:rFonts w:ascii="Times New Roman" w:hAnsi="Times New Roman"/>
              </w:rPr>
            </w:pPr>
            <w:r>
              <w:rPr>
                <w:rFonts w:ascii="宋体" w:hAnsi="宋体" w:hint="eastAsia"/>
                <w:szCs w:val="21"/>
              </w:rPr>
              <w:t>运动控制与步态</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543" w:type="dxa"/>
          </w:tcPr>
          <w:p w:rsidR="003717A0" w:rsidRDefault="003717A0">
            <w:pPr>
              <w:rPr>
                <w:rFonts w:ascii="Times New Roman" w:hAnsi="Times New Roman"/>
              </w:rPr>
            </w:pPr>
            <w:r>
              <w:rPr>
                <w:rFonts w:ascii="Times New Roman" w:hAnsi="Times New Roman" w:hint="eastAsia"/>
              </w:rPr>
              <w:t>正常步态的主要作用肌群</w:t>
            </w:r>
          </w:p>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2977"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18</w:t>
            </w:r>
          </w:p>
        </w:tc>
        <w:tc>
          <w:tcPr>
            <w:tcW w:w="3543" w:type="dxa"/>
          </w:tcPr>
          <w:p w:rsidR="003717A0" w:rsidRDefault="003717A0">
            <w:pPr>
              <w:rPr>
                <w:rFonts w:ascii="Times New Roman" w:hAnsi="Times New Roman"/>
              </w:rPr>
            </w:pPr>
          </w:p>
        </w:tc>
        <w:tc>
          <w:tcPr>
            <w:tcW w:w="851" w:type="dxa"/>
          </w:tcPr>
          <w:p w:rsidR="003717A0" w:rsidRDefault="003717A0"/>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440" w:lineRule="exact"/>
        <w:ind w:right="4" w:firstLineChars="200" w:firstLine="420"/>
        <w:rPr>
          <w:rFonts w:ascii="Times New Roman"/>
        </w:rPr>
      </w:pPr>
      <w:r>
        <w:rPr>
          <w:rFonts w:ascii="Times New Roman" w:hint="eastAsia"/>
        </w:rPr>
        <w:t>多媒体教室、人体解剖实验室、康复治疗病区等；</w:t>
      </w:r>
    </w:p>
    <w:p w:rsidR="003717A0" w:rsidRDefault="003717A0">
      <w:pPr>
        <w:adjustRightInd w:val="0"/>
        <w:snapToGrid w:val="0"/>
        <w:spacing w:line="440" w:lineRule="exact"/>
        <w:ind w:right="4" w:firstLineChars="200" w:firstLine="420"/>
        <w:rPr>
          <w:rFonts w:ascii="Times New Roman"/>
        </w:rPr>
      </w:pPr>
      <w:r>
        <w:rPr>
          <w:rFonts w:ascii="Times New Roman" w:hint="eastAsia"/>
        </w:rPr>
        <w:t>多媒体教学课件、模型教具等。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440" w:lineRule="exact"/>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440" w:lineRule="exact"/>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jc w:val="left"/>
        <w:rPr>
          <w:sz w:val="22"/>
        </w:rPr>
      </w:pPr>
      <w:r>
        <w:rPr>
          <w:sz w:val="22"/>
        </w:rPr>
        <w:lastRenderedPageBreak/>
        <w:t xml:space="preserve">1. </w:t>
      </w:r>
      <w:r>
        <w:rPr>
          <w:rFonts w:hint="eastAsia"/>
          <w:sz w:val="22"/>
        </w:rPr>
        <w:t>人体运动学，黄晓琳主编，人民卫生出版社，</w:t>
      </w:r>
      <w:r>
        <w:rPr>
          <w:sz w:val="22"/>
        </w:rPr>
        <w:t>2014</w:t>
      </w:r>
      <w:r>
        <w:rPr>
          <w:rFonts w:hint="eastAsia"/>
          <w:sz w:val="22"/>
        </w:rPr>
        <w:t>年；</w:t>
      </w:r>
    </w:p>
    <w:p w:rsidR="003717A0" w:rsidRDefault="003717A0">
      <w:pPr>
        <w:autoSpaceDE w:val="0"/>
        <w:autoSpaceDN w:val="0"/>
        <w:adjustRightInd w:val="0"/>
        <w:spacing w:line="360" w:lineRule="exact"/>
        <w:jc w:val="left"/>
        <w:rPr>
          <w:sz w:val="22"/>
        </w:rPr>
      </w:pPr>
      <w:r>
        <w:rPr>
          <w:sz w:val="22"/>
        </w:rPr>
        <w:t xml:space="preserve">2  </w:t>
      </w:r>
      <w:r>
        <w:rPr>
          <w:rFonts w:hint="eastAsia"/>
          <w:sz w:val="22"/>
        </w:rPr>
        <w:t>运动学，周士枋主编，科学出版社，</w:t>
      </w:r>
      <w:r>
        <w:rPr>
          <w:sz w:val="22"/>
        </w:rPr>
        <w:t>2005</w:t>
      </w:r>
      <w:r>
        <w:rPr>
          <w:rFonts w:hint="eastAsia"/>
          <w:sz w:val="22"/>
        </w:rPr>
        <w:t>；</w:t>
      </w:r>
    </w:p>
    <w:p w:rsidR="003717A0" w:rsidRDefault="003717A0">
      <w:pPr>
        <w:autoSpaceDE w:val="0"/>
        <w:autoSpaceDN w:val="0"/>
        <w:adjustRightInd w:val="0"/>
        <w:spacing w:line="360" w:lineRule="exact"/>
        <w:jc w:val="left"/>
        <w:rPr>
          <w:sz w:val="22"/>
        </w:rPr>
      </w:pPr>
      <w:r>
        <w:rPr>
          <w:sz w:val="22"/>
        </w:rPr>
        <w:t xml:space="preserve">3  </w:t>
      </w:r>
      <w:r>
        <w:rPr>
          <w:rFonts w:hint="eastAsia"/>
          <w:sz w:val="22"/>
        </w:rPr>
        <w:t>运动控制，毕胜等主编，人民卫生出版社，</w:t>
      </w:r>
      <w:r>
        <w:rPr>
          <w:sz w:val="22"/>
        </w:rPr>
        <w:t>2009</w:t>
      </w:r>
      <w:r>
        <w:rPr>
          <w:rFonts w:hint="eastAsia"/>
          <w:sz w:val="22"/>
        </w:rPr>
        <w:t>；</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F5156D" w:rsidRDefault="003717A0" w:rsidP="00F5156D">
      <w:pPr>
        <w:autoSpaceDE w:val="0"/>
        <w:autoSpaceDN w:val="0"/>
        <w:adjustRightInd w:val="0"/>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制定人：刘</w:t>
      </w:r>
      <w:r w:rsidRPr="00F5156D">
        <w:rPr>
          <w:rFonts w:ascii="黑体" w:eastAsia="黑体" w:cs="黑体"/>
          <w:kern w:val="0"/>
          <w:szCs w:val="21"/>
        </w:rPr>
        <w:t xml:space="preserve">  </w:t>
      </w:r>
      <w:r w:rsidRPr="00F5156D">
        <w:rPr>
          <w:rFonts w:ascii="黑体" w:eastAsia="黑体" w:cs="黑体" w:hint="eastAsia"/>
          <w:kern w:val="0"/>
          <w:szCs w:val="21"/>
        </w:rPr>
        <w:t>苏</w:t>
      </w:r>
    </w:p>
    <w:p w:rsidR="003717A0" w:rsidRPr="00F5156D" w:rsidRDefault="003717A0" w:rsidP="00F5156D">
      <w:pPr>
        <w:autoSpaceDE w:val="0"/>
        <w:autoSpaceDN w:val="0"/>
        <w:adjustRightInd w:val="0"/>
        <w:ind w:leftChars="2900" w:left="6090" w:firstLineChars="157" w:firstLine="330"/>
        <w:jc w:val="left"/>
        <w:rPr>
          <w:rFonts w:ascii="黑体" w:eastAsia="黑体" w:cs="黑体"/>
          <w:kern w:val="0"/>
          <w:szCs w:val="21"/>
        </w:rPr>
      </w:pPr>
      <w:r w:rsidRPr="00F5156D">
        <w:rPr>
          <w:rFonts w:ascii="黑体" w:eastAsia="黑体" w:cs="黑体" w:hint="eastAsia"/>
          <w:kern w:val="0"/>
          <w:szCs w:val="21"/>
        </w:rPr>
        <w:t>审核人：沈光宇</w:t>
      </w:r>
    </w:p>
    <w:p w:rsidR="003717A0" w:rsidRPr="00F5156D" w:rsidRDefault="003717A0" w:rsidP="005E20B5">
      <w:pPr>
        <w:shd w:val="clear" w:color="auto" w:fill="FFFFFF"/>
        <w:adjustRightInd w:val="0"/>
        <w:snapToGrid w:val="0"/>
        <w:spacing w:beforeLines="50" w:afterLines="50" w:line="360" w:lineRule="auto"/>
        <w:jc w:val="center"/>
        <w:rPr>
          <w:rFonts w:ascii="Times New Roman" w:eastAsia="黑体" w:hAnsi="Times New Roman" w:cs="Times New Roman"/>
          <w:b/>
          <w:bCs/>
          <w:kern w:val="0"/>
          <w:sz w:val="32"/>
          <w:szCs w:val="32"/>
        </w:rPr>
      </w:pPr>
      <w:r>
        <w:rPr>
          <w:rFonts w:ascii="黑体" w:eastAsia="黑体" w:cs="黑体"/>
          <w:kern w:val="0"/>
          <w:sz w:val="18"/>
          <w:szCs w:val="18"/>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420" w:lineRule="exact"/>
        <w:ind w:right="4"/>
        <w:rPr>
          <w:rFonts w:ascii="Times New Roman"/>
        </w:rPr>
      </w:pPr>
      <w:r>
        <w:rPr>
          <w:rFonts w:ascii="Times New Roman"/>
        </w:rPr>
        <w:t xml:space="preserve">    </w:t>
      </w:r>
      <w:r>
        <w:rPr>
          <w:rFonts w:ascii="Times New Roman" w:hint="eastAsia"/>
        </w:rPr>
        <w:t>修读完本课程规定内容的康复治疗专业的本科学生</w:t>
      </w:r>
    </w:p>
    <w:p w:rsidR="003717A0" w:rsidRDefault="003717A0">
      <w:pPr>
        <w:autoSpaceDE w:val="0"/>
        <w:autoSpaceDN w:val="0"/>
        <w:adjustRightInd w:val="0"/>
        <w:snapToGrid w:val="0"/>
        <w:spacing w:line="42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00" w:lineRule="exact"/>
        <w:ind w:firstLineChars="193" w:firstLine="405"/>
        <w:jc w:val="left"/>
        <w:rPr>
          <w:sz w:val="22"/>
        </w:rPr>
      </w:pPr>
      <w:r>
        <w:rPr>
          <w:rFonts w:ascii="宋体" w:hAnsi="宋体" w:hint="eastAsia"/>
          <w:szCs w:val="21"/>
        </w:rPr>
        <w:t>通过考核来检查和了解学生对本门课程内容的掌握程度，考核学生对正常人体运动和生物力学的特点、</w:t>
      </w:r>
      <w:r>
        <w:rPr>
          <w:rFonts w:hint="eastAsia"/>
          <w:sz w:val="22"/>
        </w:rPr>
        <w:t>心肺功能、运动控制与步态分析等知识重点的理解和掌握情况。</w:t>
      </w:r>
      <w:r>
        <w:rPr>
          <w:rFonts w:ascii="宋体" w:hAnsi="宋体" w:hint="eastAsia"/>
          <w:szCs w:val="21"/>
        </w:rPr>
        <w:t>通过本课程的学习，</w:t>
      </w:r>
      <w:r>
        <w:rPr>
          <w:rFonts w:hint="eastAsia"/>
          <w:sz w:val="22"/>
        </w:rPr>
        <w:t>掌握熟悉运动器官的结构和功能相一致的关系，最终服务临床运动治疗。同时</w:t>
      </w:r>
      <w:r>
        <w:rPr>
          <w:rFonts w:ascii="Times New Roman" w:hAnsi="Times New Roman" w:hint="eastAsia"/>
          <w:kern w:val="0"/>
          <w:szCs w:val="21"/>
        </w:rPr>
        <w:t>逐步培养学生收集资料和自主学习的能力、交流和辩论能力，注重培养学生分析问题和解决问题的能力。</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00" w:lineRule="exact"/>
        <w:ind w:firstLineChars="193" w:firstLine="405"/>
        <w:jc w:val="left"/>
        <w:rPr>
          <w:rFonts w:ascii="宋体"/>
          <w:szCs w:val="21"/>
        </w:rPr>
      </w:pPr>
      <w:r>
        <w:rPr>
          <w:rFonts w:ascii="宋体" w:hAnsi="宋体" w:hint="eastAsia"/>
          <w:szCs w:val="21"/>
        </w:rPr>
        <w:t>期末闭卷理论考试和实验作业考核。</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00" w:lineRule="exact"/>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100%</w:t>
      </w:r>
      <w:r>
        <w:rPr>
          <w:rFonts w:ascii="Times New Roman" w:hAnsi="Times New Roman" w:hint="eastAsia"/>
        </w:rPr>
        <w:t>。</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0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400" w:lineRule="exact"/>
        <w:ind w:firstLineChars="192" w:firstLine="403"/>
        <w:jc w:val="left"/>
        <w:rPr>
          <w:rFonts w:ascii="宋体"/>
          <w:b/>
          <w:kern w:val="0"/>
          <w:szCs w:val="21"/>
        </w:rPr>
      </w:pPr>
      <w:r>
        <w:rPr>
          <w:rFonts w:ascii="宋体" w:hAnsi="宋体" w:hint="eastAsia"/>
          <w:szCs w:val="21"/>
        </w:rPr>
        <w:t>人体运动学的基本概念；主要专业名词；</w:t>
      </w:r>
      <w:r>
        <w:rPr>
          <w:rFonts w:ascii="宋体" w:hAnsi="宋体" w:hint="eastAsia"/>
          <w:bCs/>
          <w:szCs w:val="21"/>
        </w:rPr>
        <w:t>肌肉的组成、类型及特性；肌肉的功能及功能状态指标；</w:t>
      </w:r>
      <w:r>
        <w:rPr>
          <w:rFonts w:ascii="Times New Roman" w:hint="eastAsia"/>
        </w:rPr>
        <w:t>关节的运动类型、范围及运动特征、关节周围肌肉的功能及主要肌肉的神经支配；</w:t>
      </w:r>
      <w:r>
        <w:rPr>
          <w:rFonts w:ascii="宋体" w:hAnsi="宋体" w:hint="eastAsia"/>
          <w:bCs/>
          <w:szCs w:val="21"/>
        </w:rPr>
        <w:t>运动处方；</w:t>
      </w:r>
      <w:r>
        <w:rPr>
          <w:rFonts w:ascii="Times New Roman" w:hAnsi="Times New Roman" w:hint="eastAsia"/>
          <w:bCs/>
        </w:rPr>
        <w:t>运动控制。</w:t>
      </w:r>
    </w:p>
    <w:p w:rsidR="003717A0" w:rsidRDefault="003717A0">
      <w:pPr>
        <w:autoSpaceDE w:val="0"/>
        <w:autoSpaceDN w:val="0"/>
        <w:adjustRightInd w:val="0"/>
        <w:spacing w:line="40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400" w:lineRule="exact"/>
        <w:ind w:firstLineChars="193" w:firstLine="405"/>
        <w:jc w:val="left"/>
        <w:rPr>
          <w:rFonts w:ascii="宋体"/>
          <w:szCs w:val="21"/>
        </w:rPr>
      </w:pPr>
      <w:r>
        <w:rPr>
          <w:rFonts w:ascii="宋体" w:hAnsi="宋体" w:hint="eastAsia"/>
          <w:szCs w:val="21"/>
        </w:rPr>
        <w:t>以正常人体运动和生物力学的特点、</w:t>
      </w:r>
      <w:r>
        <w:rPr>
          <w:rFonts w:ascii="Times New Roman" w:hint="eastAsia"/>
        </w:rPr>
        <w:t>关节的运动类型、范围及运动特征、关节周围肌肉的功能及主要肌肉的神经支配为</w:t>
      </w:r>
      <w:r>
        <w:rPr>
          <w:rFonts w:ascii="宋体" w:hAnsi="宋体" w:hint="eastAsia"/>
          <w:szCs w:val="21"/>
        </w:rPr>
        <w:t>考试重点，考核学生运用课程知识分析问题、解决问题的能力。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人体运动学课程考试试题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rPr>
          <w:rFonts w:ascii="宋体"/>
          <w:b/>
          <w:szCs w:val="21"/>
        </w:rPr>
      </w:pPr>
      <w:r>
        <w:rPr>
          <w:rFonts w:ascii="宋体" w:hAnsi="宋体" w:hint="eastAsia"/>
          <w:b/>
          <w:szCs w:val="21"/>
        </w:rPr>
        <w:t>一、名词解释（每题</w:t>
      </w:r>
      <w:r>
        <w:rPr>
          <w:rFonts w:ascii="宋体" w:hAnsi="宋体"/>
          <w:b/>
          <w:szCs w:val="21"/>
        </w:rPr>
        <w:t>3</w:t>
      </w:r>
      <w:r>
        <w:rPr>
          <w:rFonts w:ascii="宋体" w:hAnsi="宋体" w:hint="eastAsia"/>
          <w:b/>
          <w:szCs w:val="21"/>
        </w:rPr>
        <w:t>分，共</w:t>
      </w:r>
      <w:r>
        <w:rPr>
          <w:rFonts w:ascii="宋体" w:hAnsi="宋体"/>
          <w:b/>
          <w:szCs w:val="21"/>
        </w:rPr>
        <w:t>30</w:t>
      </w:r>
      <w:r>
        <w:rPr>
          <w:rFonts w:ascii="宋体" w:hAnsi="宋体" w:hint="eastAsia"/>
          <w:b/>
          <w:szCs w:val="21"/>
        </w:rPr>
        <w:t>分）</w:t>
      </w:r>
    </w:p>
    <w:p w:rsidR="003717A0" w:rsidRDefault="003717A0">
      <w:pPr>
        <w:rPr>
          <w:rFonts w:ascii="宋体"/>
          <w:szCs w:val="21"/>
        </w:rPr>
      </w:pPr>
      <w:r>
        <w:rPr>
          <w:rFonts w:ascii="宋体" w:hAnsi="宋体"/>
          <w:szCs w:val="21"/>
        </w:rPr>
        <w:t>1</w:t>
      </w:r>
      <w:r>
        <w:rPr>
          <w:rFonts w:ascii="宋体" w:hAnsi="宋体" w:hint="eastAsia"/>
          <w:szCs w:val="21"/>
        </w:rPr>
        <w:t>、骨的应力</w:t>
      </w:r>
    </w:p>
    <w:p w:rsidR="003717A0" w:rsidRDefault="003717A0">
      <w:pPr>
        <w:rPr>
          <w:rFonts w:ascii="宋体"/>
          <w:szCs w:val="21"/>
        </w:rPr>
      </w:pPr>
      <w:r>
        <w:rPr>
          <w:rFonts w:ascii="宋体" w:hAnsi="宋体"/>
          <w:szCs w:val="21"/>
        </w:rPr>
        <w:t>2</w:t>
      </w:r>
      <w:r>
        <w:rPr>
          <w:rFonts w:ascii="宋体" w:hAnsi="宋体" w:hint="eastAsia"/>
          <w:szCs w:val="21"/>
        </w:rPr>
        <w:t>、弹性模量</w:t>
      </w:r>
    </w:p>
    <w:p w:rsidR="003717A0" w:rsidRDefault="003717A0">
      <w:pPr>
        <w:rPr>
          <w:rFonts w:ascii="宋体"/>
          <w:szCs w:val="21"/>
        </w:rPr>
      </w:pPr>
      <w:r>
        <w:rPr>
          <w:rFonts w:ascii="宋体" w:hAnsi="宋体"/>
          <w:szCs w:val="21"/>
        </w:rPr>
        <w:t>3</w:t>
      </w:r>
      <w:r>
        <w:rPr>
          <w:rFonts w:ascii="宋体" w:hAnsi="宋体" w:hint="eastAsia"/>
          <w:szCs w:val="21"/>
        </w:rPr>
        <w:t>、随意运动</w:t>
      </w:r>
    </w:p>
    <w:p w:rsidR="003717A0" w:rsidRDefault="003717A0">
      <w:pPr>
        <w:rPr>
          <w:rFonts w:ascii="宋体"/>
          <w:szCs w:val="21"/>
        </w:rPr>
      </w:pPr>
      <w:r>
        <w:rPr>
          <w:rFonts w:ascii="宋体" w:hAnsi="宋体"/>
          <w:szCs w:val="21"/>
        </w:rPr>
        <w:t xml:space="preserve">4. </w:t>
      </w:r>
      <w:r>
        <w:rPr>
          <w:rFonts w:ascii="宋体" w:hAnsi="宋体" w:hint="eastAsia"/>
          <w:szCs w:val="21"/>
        </w:rPr>
        <w:t>股骨前倾角</w:t>
      </w:r>
    </w:p>
    <w:p w:rsidR="003717A0" w:rsidRDefault="003717A0">
      <w:pPr>
        <w:rPr>
          <w:rFonts w:ascii="宋体"/>
          <w:szCs w:val="21"/>
        </w:rPr>
      </w:pPr>
      <w:r>
        <w:rPr>
          <w:rFonts w:ascii="宋体" w:hAnsi="宋体"/>
          <w:szCs w:val="21"/>
        </w:rPr>
        <w:t xml:space="preserve">5. </w:t>
      </w:r>
      <w:r>
        <w:rPr>
          <w:rFonts w:ascii="宋体" w:hAnsi="宋体" w:hint="eastAsia"/>
          <w:szCs w:val="21"/>
        </w:rPr>
        <w:t>生物力学</w:t>
      </w:r>
    </w:p>
    <w:p w:rsidR="003717A0" w:rsidRDefault="003717A0">
      <w:pPr>
        <w:rPr>
          <w:rFonts w:ascii="宋体"/>
          <w:szCs w:val="21"/>
        </w:rPr>
      </w:pPr>
      <w:r>
        <w:t>6. Luschka</w:t>
      </w:r>
      <w:r>
        <w:rPr>
          <w:rFonts w:hint="eastAsia"/>
        </w:rPr>
        <w:t>关节</w:t>
      </w:r>
    </w:p>
    <w:p w:rsidR="003717A0" w:rsidRDefault="003717A0">
      <w:pPr>
        <w:pStyle w:val="a9"/>
        <w:rPr>
          <w:rFonts w:hAnsi="宋体" w:cs="Times New Roman"/>
        </w:rPr>
      </w:pPr>
      <w:r>
        <w:rPr>
          <w:rFonts w:hAnsi="宋体" w:cs="Times New Roman"/>
        </w:rPr>
        <w:t>7</w:t>
      </w:r>
      <w:r>
        <w:rPr>
          <w:rFonts w:hAnsi="宋体" w:cs="Times New Roman" w:hint="eastAsia"/>
        </w:rPr>
        <w:t>、前臂骨间膜</w:t>
      </w:r>
    </w:p>
    <w:p w:rsidR="003717A0" w:rsidRDefault="003717A0">
      <w:pPr>
        <w:rPr>
          <w:rFonts w:ascii="宋体"/>
          <w:szCs w:val="21"/>
        </w:rPr>
      </w:pPr>
      <w:r>
        <w:rPr>
          <w:rFonts w:ascii="宋体" w:hAnsi="宋体"/>
          <w:szCs w:val="21"/>
        </w:rPr>
        <w:t>8</w:t>
      </w:r>
      <w:r>
        <w:rPr>
          <w:rFonts w:ascii="宋体" w:hAnsi="宋体" w:hint="eastAsia"/>
          <w:szCs w:val="21"/>
        </w:rPr>
        <w:t>、慢性阻塞性肺疾病</w:t>
      </w:r>
    </w:p>
    <w:p w:rsidR="003717A0" w:rsidRDefault="003717A0">
      <w:pPr>
        <w:rPr>
          <w:rFonts w:ascii="宋体"/>
          <w:szCs w:val="21"/>
        </w:rPr>
      </w:pPr>
      <w:r>
        <w:rPr>
          <w:rFonts w:ascii="宋体" w:hAnsi="宋体"/>
          <w:szCs w:val="21"/>
        </w:rPr>
        <w:t>9</w:t>
      </w:r>
      <w:r>
        <w:rPr>
          <w:rFonts w:ascii="宋体" w:hAnsi="宋体" w:hint="eastAsia"/>
          <w:szCs w:val="21"/>
        </w:rPr>
        <w:t>、肌腱袖</w:t>
      </w:r>
      <w:r>
        <w:rPr>
          <w:rFonts w:ascii="宋体" w:hAnsi="宋体"/>
          <w:szCs w:val="21"/>
        </w:rPr>
        <w:t>(</w:t>
      </w:r>
      <w:r>
        <w:rPr>
          <w:rFonts w:ascii="宋体" w:hAnsi="宋体" w:hint="eastAsia"/>
          <w:szCs w:val="21"/>
        </w:rPr>
        <w:t>肩袖</w:t>
      </w:r>
      <w:r>
        <w:rPr>
          <w:rFonts w:ascii="宋体" w:hAnsi="宋体"/>
          <w:szCs w:val="21"/>
        </w:rPr>
        <w:t>)</w:t>
      </w:r>
    </w:p>
    <w:p w:rsidR="003717A0" w:rsidRDefault="003717A0">
      <w:pPr>
        <w:rPr>
          <w:rFonts w:ascii="宋体"/>
          <w:szCs w:val="21"/>
        </w:rPr>
      </w:pPr>
      <w:r>
        <w:rPr>
          <w:rFonts w:ascii="宋体" w:hAnsi="宋体"/>
          <w:szCs w:val="21"/>
        </w:rPr>
        <w:t>10</w:t>
      </w:r>
      <w:r>
        <w:rPr>
          <w:rFonts w:ascii="宋体" w:hAnsi="宋体" w:hint="eastAsia"/>
          <w:szCs w:val="21"/>
        </w:rPr>
        <w:t>、骨的钙化</w:t>
      </w:r>
    </w:p>
    <w:p w:rsidR="003717A0" w:rsidRDefault="003717A0">
      <w:pPr>
        <w:jc w:val="left"/>
        <w:rPr>
          <w:rFonts w:ascii="宋体"/>
          <w:b/>
          <w:szCs w:val="21"/>
        </w:rPr>
      </w:pPr>
      <w:r>
        <w:rPr>
          <w:rFonts w:ascii="宋体" w:hAnsi="宋体" w:hint="eastAsia"/>
          <w:b/>
          <w:szCs w:val="21"/>
        </w:rPr>
        <w:lastRenderedPageBreak/>
        <w:t>二、选择题</w:t>
      </w:r>
      <w:r>
        <w:rPr>
          <w:rFonts w:ascii="宋体" w:hAnsi="宋体"/>
          <w:b/>
          <w:szCs w:val="21"/>
        </w:rPr>
        <w:t xml:space="preserve"> </w:t>
      </w:r>
      <w:r>
        <w:rPr>
          <w:rFonts w:ascii="宋体" w:hAnsi="宋体" w:hint="eastAsia"/>
          <w:b/>
          <w:szCs w:val="21"/>
        </w:rPr>
        <w:t>（每空</w:t>
      </w:r>
      <w:r>
        <w:rPr>
          <w:rFonts w:ascii="宋体" w:hAnsi="宋体"/>
          <w:b/>
          <w:szCs w:val="21"/>
        </w:rPr>
        <w:t>2</w:t>
      </w:r>
      <w:r>
        <w:rPr>
          <w:rFonts w:ascii="宋体" w:hAnsi="宋体" w:hint="eastAsia"/>
          <w:b/>
          <w:szCs w:val="21"/>
        </w:rPr>
        <w:t>分，共</w:t>
      </w:r>
      <w:r>
        <w:rPr>
          <w:rFonts w:ascii="宋体" w:hAnsi="宋体"/>
          <w:b/>
          <w:szCs w:val="21"/>
        </w:rPr>
        <w:t>40</w:t>
      </w:r>
      <w:r>
        <w:rPr>
          <w:rFonts w:ascii="宋体" w:hAnsi="宋体" w:hint="eastAsia"/>
          <w:b/>
          <w:szCs w:val="21"/>
        </w:rPr>
        <w:t>分）</w:t>
      </w:r>
    </w:p>
    <w:p w:rsidR="003717A0" w:rsidRDefault="003717A0">
      <w:pPr>
        <w:rPr>
          <w:rFonts w:ascii="宋体"/>
          <w:szCs w:val="21"/>
        </w:rPr>
      </w:pPr>
      <w:r>
        <w:rPr>
          <w:rFonts w:ascii="宋体" w:hAnsi="宋体"/>
          <w:szCs w:val="21"/>
        </w:rPr>
        <w:t>1</w:t>
      </w:r>
      <w:r>
        <w:rPr>
          <w:rFonts w:ascii="宋体" w:hAnsi="宋体" w:hint="eastAsia"/>
          <w:szCs w:val="21"/>
        </w:rPr>
        <w:t>、甩鞭伤易损部位（</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w:t>
      </w:r>
      <w:r>
        <w:rPr>
          <w:rFonts w:ascii="宋体" w:hAnsi="宋体"/>
          <w:szCs w:val="21"/>
        </w:rPr>
        <w:t>C5-C7      B</w:t>
      </w:r>
      <w:r>
        <w:rPr>
          <w:rFonts w:ascii="宋体" w:hAnsi="宋体" w:hint="eastAsia"/>
          <w:szCs w:val="21"/>
        </w:rPr>
        <w:t>．</w:t>
      </w:r>
      <w:r>
        <w:rPr>
          <w:rFonts w:ascii="宋体" w:hAnsi="宋体"/>
          <w:szCs w:val="21"/>
        </w:rPr>
        <w:t>C2-C3       C</w:t>
      </w:r>
      <w:r>
        <w:rPr>
          <w:rFonts w:ascii="宋体" w:hAnsi="宋体" w:hint="eastAsia"/>
          <w:szCs w:val="21"/>
        </w:rPr>
        <w:t>．</w:t>
      </w:r>
      <w:r>
        <w:rPr>
          <w:rFonts w:ascii="宋体" w:hAnsi="宋体"/>
          <w:szCs w:val="21"/>
        </w:rPr>
        <w:t>C3-C4     D</w:t>
      </w:r>
      <w:r>
        <w:rPr>
          <w:rFonts w:ascii="宋体" w:hAnsi="宋体" w:hint="eastAsia"/>
          <w:szCs w:val="21"/>
        </w:rPr>
        <w:t>．</w:t>
      </w:r>
      <w:r>
        <w:rPr>
          <w:rFonts w:ascii="宋体" w:hAnsi="宋体"/>
          <w:szCs w:val="21"/>
        </w:rPr>
        <w:t>C4-C5</w:t>
      </w:r>
    </w:p>
    <w:p w:rsidR="003717A0" w:rsidRDefault="003717A0">
      <w:pPr>
        <w:rPr>
          <w:rFonts w:ascii="宋体"/>
          <w:szCs w:val="21"/>
        </w:rPr>
      </w:pPr>
      <w:r>
        <w:rPr>
          <w:rFonts w:ascii="宋体" w:hAnsi="宋体"/>
          <w:szCs w:val="21"/>
        </w:rPr>
        <w:t>2</w:t>
      </w:r>
      <w:r>
        <w:rPr>
          <w:rFonts w:ascii="宋体" w:hAnsi="宋体" w:hint="eastAsia"/>
          <w:szCs w:val="21"/>
        </w:rPr>
        <w:t>、在骨的两端受到一对大小相等、方向相反沿轴线的力的作用称为（</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A</w:t>
      </w:r>
      <w:r>
        <w:rPr>
          <w:rFonts w:ascii="宋体" w:hAnsi="宋体" w:hint="eastAsia"/>
          <w:szCs w:val="21"/>
        </w:rPr>
        <w:t>、拉伸载荷</w:t>
      </w:r>
    </w:p>
    <w:p w:rsidR="003717A0" w:rsidRDefault="003717A0">
      <w:pPr>
        <w:rPr>
          <w:rFonts w:ascii="宋体"/>
          <w:szCs w:val="21"/>
        </w:rPr>
      </w:pPr>
      <w:r>
        <w:rPr>
          <w:rFonts w:ascii="宋体" w:hAnsi="宋体"/>
          <w:szCs w:val="21"/>
        </w:rPr>
        <w:t>B</w:t>
      </w:r>
      <w:r>
        <w:rPr>
          <w:rFonts w:ascii="宋体" w:hAnsi="宋体" w:hint="eastAsia"/>
          <w:szCs w:val="21"/>
        </w:rPr>
        <w:t>、压缩载荷</w:t>
      </w:r>
    </w:p>
    <w:p w:rsidR="003717A0" w:rsidRDefault="003717A0">
      <w:pPr>
        <w:rPr>
          <w:rFonts w:ascii="宋体"/>
          <w:szCs w:val="21"/>
        </w:rPr>
      </w:pPr>
      <w:r>
        <w:rPr>
          <w:rFonts w:ascii="宋体" w:hAnsi="宋体"/>
          <w:szCs w:val="21"/>
        </w:rPr>
        <w:t>C</w:t>
      </w:r>
      <w:r>
        <w:rPr>
          <w:rFonts w:ascii="宋体" w:hAnsi="宋体" w:hint="eastAsia"/>
          <w:szCs w:val="21"/>
        </w:rPr>
        <w:t>、弯曲载荷</w:t>
      </w:r>
    </w:p>
    <w:p w:rsidR="003717A0" w:rsidRDefault="003717A0">
      <w:pPr>
        <w:rPr>
          <w:rFonts w:ascii="宋体"/>
          <w:szCs w:val="21"/>
        </w:rPr>
      </w:pPr>
      <w:r>
        <w:rPr>
          <w:rFonts w:ascii="宋体" w:hAnsi="宋体"/>
          <w:szCs w:val="21"/>
        </w:rPr>
        <w:t>D</w:t>
      </w:r>
      <w:r>
        <w:rPr>
          <w:rFonts w:ascii="宋体" w:hAnsi="宋体" w:hint="eastAsia"/>
          <w:szCs w:val="21"/>
        </w:rPr>
        <w:t>、剪切载荷</w:t>
      </w:r>
    </w:p>
    <w:p w:rsidR="003717A0" w:rsidRDefault="003717A0">
      <w:pPr>
        <w:rPr>
          <w:rFonts w:ascii="宋体"/>
          <w:szCs w:val="21"/>
        </w:rPr>
      </w:pPr>
      <w:r>
        <w:rPr>
          <w:rFonts w:ascii="宋体" w:hAnsi="宋体"/>
          <w:szCs w:val="21"/>
        </w:rPr>
        <w:t>3</w:t>
      </w:r>
      <w:r>
        <w:rPr>
          <w:rFonts w:ascii="宋体" w:hAnsi="宋体" w:hint="eastAsia"/>
          <w:szCs w:val="21"/>
        </w:rPr>
        <w:t>、脑卒中患者的典型步态</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．划圈步态</w:t>
      </w:r>
      <w:r>
        <w:rPr>
          <w:rFonts w:ascii="宋体" w:hAnsi="宋体"/>
          <w:szCs w:val="21"/>
        </w:rPr>
        <w:t xml:space="preserve">      B</w:t>
      </w:r>
      <w:r>
        <w:rPr>
          <w:rFonts w:ascii="宋体" w:hAnsi="宋体" w:hint="eastAsia"/>
          <w:szCs w:val="21"/>
        </w:rPr>
        <w:t>．前冲步态</w:t>
      </w:r>
      <w:r>
        <w:rPr>
          <w:rFonts w:ascii="宋体" w:hAnsi="宋体"/>
          <w:szCs w:val="21"/>
        </w:rPr>
        <w:t xml:space="preserve">       C</w:t>
      </w:r>
      <w:r>
        <w:rPr>
          <w:rFonts w:ascii="宋体" w:hAnsi="宋体" w:hint="eastAsia"/>
          <w:szCs w:val="21"/>
        </w:rPr>
        <w:t>．蹒跚步态</w:t>
      </w:r>
      <w:r>
        <w:rPr>
          <w:rFonts w:ascii="宋体" w:hAnsi="宋体"/>
          <w:szCs w:val="21"/>
        </w:rPr>
        <w:t xml:space="preserve">    D</w:t>
      </w:r>
      <w:r>
        <w:rPr>
          <w:rFonts w:ascii="宋体" w:hAnsi="宋体" w:hint="eastAsia"/>
          <w:szCs w:val="21"/>
        </w:rPr>
        <w:t>．剪刀步态</w:t>
      </w:r>
    </w:p>
    <w:p w:rsidR="003717A0" w:rsidRDefault="003717A0">
      <w:pPr>
        <w:rPr>
          <w:rFonts w:ascii="宋体"/>
          <w:szCs w:val="21"/>
        </w:rPr>
      </w:pPr>
      <w:r>
        <w:rPr>
          <w:rFonts w:ascii="宋体" w:hAnsi="宋体"/>
          <w:szCs w:val="21"/>
        </w:rPr>
        <w:t>4</w:t>
      </w:r>
      <w:r>
        <w:rPr>
          <w:rFonts w:ascii="宋体" w:hAnsi="宋体" w:hint="eastAsia"/>
          <w:szCs w:val="21"/>
        </w:rPr>
        <w:t>、</w:t>
      </w:r>
      <w:r>
        <w:rPr>
          <w:rFonts w:ascii="宋体" w:hAnsi="宋体"/>
          <w:szCs w:val="21"/>
        </w:rPr>
        <w:t>I</w:t>
      </w:r>
      <w:r>
        <w:rPr>
          <w:rFonts w:ascii="宋体" w:hAnsi="宋体" w:hint="eastAsia"/>
          <w:szCs w:val="21"/>
        </w:rPr>
        <w:t>型肌纤维是（</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A</w:t>
      </w:r>
      <w:r>
        <w:rPr>
          <w:rFonts w:ascii="宋体" w:hAnsi="宋体" w:hint="eastAsia"/>
          <w:szCs w:val="21"/>
        </w:rPr>
        <w:t>、快速氧化－糖原分解型肌纤维</w:t>
      </w:r>
    </w:p>
    <w:p w:rsidR="003717A0" w:rsidRDefault="003717A0">
      <w:pPr>
        <w:rPr>
          <w:rFonts w:ascii="宋体"/>
          <w:szCs w:val="21"/>
        </w:rPr>
      </w:pPr>
      <w:r>
        <w:rPr>
          <w:rFonts w:ascii="宋体" w:hAnsi="宋体"/>
          <w:szCs w:val="21"/>
        </w:rPr>
        <w:t>B</w:t>
      </w:r>
      <w:r>
        <w:rPr>
          <w:rFonts w:ascii="宋体" w:hAnsi="宋体" w:hint="eastAsia"/>
          <w:szCs w:val="21"/>
        </w:rPr>
        <w:t>、慢缩纤维</w:t>
      </w:r>
    </w:p>
    <w:p w:rsidR="003717A0" w:rsidRDefault="003717A0">
      <w:pPr>
        <w:rPr>
          <w:rFonts w:ascii="宋体"/>
          <w:szCs w:val="21"/>
        </w:rPr>
      </w:pPr>
      <w:r>
        <w:rPr>
          <w:rFonts w:ascii="宋体" w:hAnsi="宋体"/>
          <w:szCs w:val="21"/>
        </w:rPr>
        <w:t>C</w:t>
      </w:r>
      <w:r>
        <w:rPr>
          <w:rFonts w:ascii="宋体" w:hAnsi="宋体" w:hint="eastAsia"/>
          <w:szCs w:val="21"/>
        </w:rPr>
        <w:t>、快速－糖原分解型肌纤维</w:t>
      </w:r>
    </w:p>
    <w:p w:rsidR="003717A0" w:rsidRDefault="003717A0">
      <w:pPr>
        <w:rPr>
          <w:rFonts w:ascii="宋体"/>
          <w:szCs w:val="21"/>
        </w:rPr>
      </w:pPr>
      <w:r>
        <w:rPr>
          <w:rFonts w:ascii="宋体" w:hAnsi="宋体"/>
          <w:szCs w:val="21"/>
        </w:rPr>
        <w:t>D</w:t>
      </w:r>
      <w:r>
        <w:rPr>
          <w:rFonts w:ascii="宋体" w:hAnsi="宋体" w:hint="eastAsia"/>
          <w:szCs w:val="21"/>
        </w:rPr>
        <w:t>、快缩纤维</w:t>
      </w:r>
    </w:p>
    <w:p w:rsidR="003717A0" w:rsidRDefault="003717A0">
      <w:pPr>
        <w:rPr>
          <w:rFonts w:ascii="宋体"/>
          <w:szCs w:val="21"/>
        </w:rPr>
      </w:pPr>
      <w:r>
        <w:rPr>
          <w:rFonts w:ascii="宋体" w:hAnsi="宋体"/>
          <w:szCs w:val="21"/>
        </w:rPr>
        <w:t>5</w:t>
      </w:r>
      <w:r>
        <w:rPr>
          <w:rFonts w:ascii="宋体" w:hAnsi="宋体" w:hint="eastAsia"/>
          <w:szCs w:val="21"/>
        </w:rPr>
        <w:t>、向心性收缩的特点不包括（</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A</w:t>
      </w:r>
      <w:r>
        <w:rPr>
          <w:rFonts w:ascii="宋体" w:hAnsi="宋体" w:hint="eastAsia"/>
          <w:szCs w:val="21"/>
        </w:rPr>
        <w:t>、属于肌肉的等张收缩范畴</w:t>
      </w:r>
    </w:p>
    <w:p w:rsidR="003717A0" w:rsidRDefault="003717A0">
      <w:pPr>
        <w:rPr>
          <w:rFonts w:ascii="宋体"/>
          <w:szCs w:val="21"/>
        </w:rPr>
      </w:pPr>
      <w:r>
        <w:rPr>
          <w:rFonts w:ascii="宋体" w:hAnsi="宋体"/>
          <w:szCs w:val="21"/>
        </w:rPr>
        <w:t>B</w:t>
      </w:r>
      <w:r>
        <w:rPr>
          <w:rFonts w:ascii="宋体" w:hAnsi="宋体" w:hint="eastAsia"/>
          <w:szCs w:val="21"/>
        </w:rPr>
        <w:t>、肌肉收缩时，起止点彼此靠近，肌肉长度缩短</w:t>
      </w:r>
    </w:p>
    <w:p w:rsidR="003717A0" w:rsidRDefault="003717A0">
      <w:pPr>
        <w:rPr>
          <w:rFonts w:ascii="宋体"/>
          <w:szCs w:val="21"/>
        </w:rPr>
      </w:pPr>
      <w:r>
        <w:rPr>
          <w:rFonts w:ascii="宋体" w:hAnsi="宋体"/>
          <w:szCs w:val="21"/>
        </w:rPr>
        <w:t>C</w:t>
      </w:r>
      <w:r>
        <w:rPr>
          <w:rFonts w:ascii="宋体" w:hAnsi="宋体" w:hint="eastAsia"/>
          <w:szCs w:val="21"/>
        </w:rPr>
        <w:t>、主要是作用于关节产生运动的主动肌的收缩</w:t>
      </w:r>
    </w:p>
    <w:p w:rsidR="003717A0" w:rsidRDefault="003717A0">
      <w:pPr>
        <w:rPr>
          <w:rFonts w:ascii="宋体"/>
          <w:szCs w:val="21"/>
        </w:rPr>
      </w:pPr>
      <w:r>
        <w:rPr>
          <w:rFonts w:ascii="宋体" w:hAnsi="宋体"/>
          <w:szCs w:val="21"/>
        </w:rPr>
        <w:t>D</w:t>
      </w:r>
      <w:r>
        <w:rPr>
          <w:rFonts w:ascii="宋体" w:hAnsi="宋体" w:hint="eastAsia"/>
          <w:szCs w:val="21"/>
        </w:rPr>
        <w:t>、与关节运动的方向相反，可以控制运动的速度</w:t>
      </w:r>
      <w:r>
        <w:rPr>
          <w:rFonts w:ascii="宋体" w:hAnsi="宋体"/>
          <w:szCs w:val="21"/>
        </w:rPr>
        <w:t>6</w:t>
      </w:r>
      <w:r>
        <w:rPr>
          <w:rFonts w:ascii="宋体" w:hAnsi="宋体" w:hint="eastAsia"/>
          <w:szCs w:val="21"/>
        </w:rPr>
        <w:t>、中枢性瘫和周围性瘫的区别是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．中枢性瘫是“质”的变化，周围性瘫是“量”的变化</w:t>
      </w:r>
      <w:r>
        <w:rPr>
          <w:rFonts w:ascii="宋体" w:hAnsi="宋体"/>
          <w:szCs w:val="21"/>
        </w:rPr>
        <w:t xml:space="preserve">     </w:t>
      </w:r>
    </w:p>
    <w:p w:rsidR="003717A0" w:rsidRDefault="003717A0">
      <w:pPr>
        <w:rPr>
          <w:rFonts w:ascii="宋体"/>
          <w:szCs w:val="21"/>
        </w:rPr>
      </w:pPr>
      <w:r>
        <w:rPr>
          <w:rFonts w:ascii="宋体" w:hAnsi="宋体"/>
          <w:szCs w:val="21"/>
        </w:rPr>
        <w:t>B</w:t>
      </w:r>
      <w:r>
        <w:rPr>
          <w:rFonts w:ascii="宋体" w:hAnsi="宋体" w:hint="eastAsia"/>
          <w:szCs w:val="21"/>
        </w:rPr>
        <w:t>．中枢性瘫是“量”的变化，周围性瘫是“质”的变化</w:t>
      </w:r>
      <w:r>
        <w:rPr>
          <w:rFonts w:ascii="宋体" w:hAnsi="宋体"/>
          <w:szCs w:val="21"/>
        </w:rPr>
        <w:t xml:space="preserve">   </w:t>
      </w:r>
    </w:p>
    <w:p w:rsidR="003717A0" w:rsidRDefault="003717A0">
      <w:pPr>
        <w:rPr>
          <w:rFonts w:ascii="宋体"/>
          <w:szCs w:val="21"/>
        </w:rPr>
      </w:pPr>
      <w:r>
        <w:rPr>
          <w:rFonts w:ascii="宋体" w:hAnsi="宋体"/>
          <w:szCs w:val="21"/>
        </w:rPr>
        <w:t>7</w:t>
      </w:r>
      <w:r>
        <w:rPr>
          <w:rFonts w:ascii="宋体" w:hAnsi="宋体" w:hint="eastAsia"/>
          <w:szCs w:val="21"/>
        </w:rPr>
        <w:t>、半月板的特点不包括（</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A</w:t>
      </w:r>
      <w:r>
        <w:rPr>
          <w:rFonts w:ascii="宋体" w:hAnsi="宋体" w:hint="eastAsia"/>
          <w:szCs w:val="21"/>
        </w:rPr>
        <w:t>、不附于胫骨关节面，是可以动的</w:t>
      </w:r>
    </w:p>
    <w:p w:rsidR="003717A0" w:rsidRDefault="003717A0">
      <w:pPr>
        <w:rPr>
          <w:rFonts w:ascii="宋体"/>
          <w:szCs w:val="21"/>
        </w:rPr>
      </w:pPr>
      <w:r>
        <w:rPr>
          <w:rFonts w:ascii="宋体" w:hAnsi="宋体"/>
          <w:szCs w:val="21"/>
        </w:rPr>
        <w:t>B</w:t>
      </w:r>
      <w:r>
        <w:rPr>
          <w:rFonts w:ascii="宋体" w:hAnsi="宋体" w:hint="eastAsia"/>
          <w:szCs w:val="21"/>
        </w:rPr>
        <w:t>、伸膝时半月板退向后方，屈膝时动向前方</w:t>
      </w:r>
    </w:p>
    <w:p w:rsidR="003717A0" w:rsidRDefault="003717A0">
      <w:pPr>
        <w:rPr>
          <w:rFonts w:ascii="宋体"/>
          <w:szCs w:val="21"/>
        </w:rPr>
      </w:pPr>
      <w:r>
        <w:rPr>
          <w:rFonts w:ascii="宋体" w:hAnsi="宋体"/>
          <w:szCs w:val="21"/>
        </w:rPr>
        <w:t>C</w:t>
      </w:r>
      <w:r>
        <w:rPr>
          <w:rFonts w:ascii="宋体" w:hAnsi="宋体" w:hint="eastAsia"/>
          <w:szCs w:val="21"/>
        </w:rPr>
        <w:t>、它与关节囊、韧带、肌腱和肌肉有很多附着</w:t>
      </w:r>
    </w:p>
    <w:p w:rsidR="003717A0" w:rsidRDefault="003717A0">
      <w:pPr>
        <w:rPr>
          <w:rFonts w:ascii="宋体"/>
          <w:szCs w:val="21"/>
        </w:rPr>
      </w:pPr>
      <w:r>
        <w:rPr>
          <w:rFonts w:ascii="宋体" w:hAnsi="宋体"/>
          <w:szCs w:val="21"/>
        </w:rPr>
        <w:t>D</w:t>
      </w:r>
      <w:r>
        <w:rPr>
          <w:rFonts w:ascii="宋体" w:hAnsi="宋体" w:hint="eastAsia"/>
          <w:szCs w:val="21"/>
        </w:rPr>
        <w:t>、可减轻震荡，起到一定的缓冲作用，保证了膝关节长年负重运动而不致损伤</w:t>
      </w:r>
    </w:p>
    <w:p w:rsidR="003717A0" w:rsidRDefault="003717A0">
      <w:pPr>
        <w:rPr>
          <w:rFonts w:ascii="宋体"/>
          <w:szCs w:val="21"/>
        </w:rPr>
      </w:pPr>
      <w:r>
        <w:rPr>
          <w:rFonts w:ascii="宋体" w:hAnsi="宋体"/>
          <w:szCs w:val="21"/>
        </w:rPr>
        <w:t>8</w:t>
      </w:r>
      <w:r>
        <w:rPr>
          <w:rFonts w:ascii="宋体" w:hAnsi="宋体" w:hint="eastAsia"/>
          <w:szCs w:val="21"/>
        </w:rPr>
        <w:t>、第一类杠杆属于（</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．平衡杠杆</w:t>
      </w:r>
      <w:r>
        <w:rPr>
          <w:rFonts w:ascii="宋体" w:hAnsi="宋体"/>
          <w:szCs w:val="21"/>
        </w:rPr>
        <w:t xml:space="preserve">      B</w:t>
      </w:r>
      <w:r>
        <w:rPr>
          <w:rFonts w:ascii="宋体" w:hAnsi="宋体" w:hint="eastAsia"/>
          <w:szCs w:val="21"/>
        </w:rPr>
        <w:t>．省力杠杆</w:t>
      </w:r>
      <w:r>
        <w:rPr>
          <w:rFonts w:ascii="宋体" w:hAnsi="宋体"/>
          <w:szCs w:val="21"/>
        </w:rPr>
        <w:t xml:space="preserve">       C</w:t>
      </w:r>
      <w:r>
        <w:rPr>
          <w:rFonts w:ascii="宋体" w:hAnsi="宋体" w:hint="eastAsia"/>
          <w:szCs w:val="21"/>
        </w:rPr>
        <w:t>．速度杠杆</w:t>
      </w:r>
      <w:r>
        <w:rPr>
          <w:rFonts w:ascii="宋体" w:hAnsi="宋体"/>
          <w:szCs w:val="21"/>
        </w:rPr>
        <w:t xml:space="preserve">     D</w:t>
      </w:r>
      <w:r>
        <w:rPr>
          <w:rFonts w:ascii="宋体" w:hAnsi="宋体" w:hint="eastAsia"/>
          <w:szCs w:val="21"/>
        </w:rPr>
        <w:t>．省时杠杆</w:t>
      </w:r>
    </w:p>
    <w:p w:rsidR="003717A0" w:rsidRDefault="003717A0">
      <w:pPr>
        <w:rPr>
          <w:rFonts w:ascii="宋体"/>
          <w:szCs w:val="21"/>
        </w:rPr>
      </w:pPr>
      <w:r>
        <w:rPr>
          <w:rFonts w:ascii="宋体" w:hAnsi="宋体"/>
          <w:szCs w:val="21"/>
        </w:rPr>
        <w:t>9</w:t>
      </w:r>
      <w:r>
        <w:rPr>
          <w:rFonts w:ascii="宋体" w:hAnsi="宋体" w:hint="eastAsia"/>
          <w:szCs w:val="21"/>
        </w:rPr>
        <w:t>、腰椎间盘功能</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．联结上下椎体</w:t>
      </w:r>
      <w:r>
        <w:rPr>
          <w:rFonts w:ascii="宋体" w:hAnsi="宋体"/>
          <w:szCs w:val="21"/>
        </w:rPr>
        <w:t xml:space="preserve">      B</w:t>
      </w:r>
      <w:r>
        <w:rPr>
          <w:rFonts w:ascii="宋体" w:hAnsi="宋体" w:hint="eastAsia"/>
          <w:szCs w:val="21"/>
        </w:rPr>
        <w:t>．保持椎体间活动度</w:t>
      </w:r>
      <w:r>
        <w:rPr>
          <w:rFonts w:ascii="宋体" w:hAnsi="宋体"/>
          <w:szCs w:val="21"/>
        </w:rPr>
        <w:t xml:space="preserve">    C</w:t>
      </w:r>
      <w:r>
        <w:rPr>
          <w:rFonts w:ascii="宋体" w:hAnsi="宋体" w:hint="eastAsia"/>
          <w:szCs w:val="21"/>
        </w:rPr>
        <w:t>．吸收震荡</w:t>
      </w:r>
      <w:r>
        <w:rPr>
          <w:rFonts w:ascii="宋体" w:hAnsi="宋体"/>
          <w:szCs w:val="21"/>
        </w:rPr>
        <w:t xml:space="preserve">     D</w:t>
      </w:r>
      <w:r>
        <w:rPr>
          <w:rFonts w:ascii="宋体" w:hAnsi="宋体" w:hint="eastAsia"/>
          <w:szCs w:val="21"/>
        </w:rPr>
        <w:t>．以上都是</w:t>
      </w:r>
    </w:p>
    <w:p w:rsidR="003717A0" w:rsidRDefault="003717A0">
      <w:pPr>
        <w:rPr>
          <w:rFonts w:ascii="宋体"/>
          <w:szCs w:val="21"/>
        </w:rPr>
      </w:pPr>
      <w:r>
        <w:rPr>
          <w:rFonts w:ascii="宋体" w:hAnsi="宋体"/>
          <w:szCs w:val="21"/>
        </w:rPr>
        <w:t>10</w:t>
      </w:r>
      <w:r>
        <w:rPr>
          <w:rFonts w:ascii="宋体" w:hAnsi="宋体" w:hint="eastAsia"/>
          <w:szCs w:val="21"/>
        </w:rPr>
        <w:t>、下列哪项不是腰椎间盘突出特点</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．常见于低腰椎节段</w:t>
      </w:r>
      <w:r>
        <w:rPr>
          <w:rFonts w:ascii="宋体" w:hAnsi="宋体"/>
          <w:szCs w:val="21"/>
        </w:rPr>
        <w:t xml:space="preserve">        B</w:t>
      </w:r>
      <w:r>
        <w:rPr>
          <w:rFonts w:ascii="宋体" w:hAnsi="宋体" w:hint="eastAsia"/>
          <w:szCs w:val="21"/>
        </w:rPr>
        <w:t>．</w:t>
      </w:r>
      <w:r>
        <w:rPr>
          <w:rFonts w:ascii="宋体" w:hAnsi="宋体"/>
          <w:szCs w:val="21"/>
        </w:rPr>
        <w:t xml:space="preserve"> </w:t>
      </w:r>
      <w:r>
        <w:rPr>
          <w:rFonts w:ascii="宋体" w:hAnsi="宋体" w:hint="eastAsia"/>
          <w:szCs w:val="21"/>
        </w:rPr>
        <w:t>最易出现在严重老化椎间盘</w:t>
      </w:r>
      <w:r>
        <w:rPr>
          <w:rFonts w:ascii="宋体" w:hAnsi="宋体"/>
          <w:szCs w:val="21"/>
        </w:rPr>
        <w:t xml:space="preserve">      </w:t>
      </w:r>
    </w:p>
    <w:p w:rsidR="003717A0" w:rsidRDefault="003717A0">
      <w:pPr>
        <w:rPr>
          <w:rFonts w:ascii="宋体"/>
          <w:szCs w:val="21"/>
        </w:rPr>
      </w:pPr>
      <w:r>
        <w:rPr>
          <w:rFonts w:ascii="宋体" w:hAnsi="宋体"/>
          <w:szCs w:val="21"/>
        </w:rPr>
        <w:t>C</w:t>
      </w:r>
      <w:r>
        <w:rPr>
          <w:rFonts w:ascii="宋体" w:hAnsi="宋体" w:hint="eastAsia"/>
          <w:szCs w:val="21"/>
        </w:rPr>
        <w:t>．与应力集中有关</w:t>
      </w:r>
      <w:r>
        <w:rPr>
          <w:rFonts w:ascii="宋体" w:hAnsi="宋体"/>
          <w:szCs w:val="21"/>
        </w:rPr>
        <w:t xml:space="preserve">          D</w:t>
      </w:r>
      <w:r>
        <w:rPr>
          <w:rFonts w:ascii="宋体" w:hAnsi="宋体" w:hint="eastAsia"/>
          <w:szCs w:val="21"/>
        </w:rPr>
        <w:t>．可导致坐骨神经痛</w:t>
      </w:r>
    </w:p>
    <w:p w:rsidR="003717A0" w:rsidRDefault="003717A0">
      <w:pPr>
        <w:rPr>
          <w:rFonts w:ascii="宋体"/>
          <w:szCs w:val="21"/>
        </w:rPr>
      </w:pPr>
      <w:r>
        <w:rPr>
          <w:rFonts w:ascii="宋体" w:hAnsi="宋体"/>
          <w:szCs w:val="21"/>
        </w:rPr>
        <w:t>11</w:t>
      </w:r>
      <w:r>
        <w:rPr>
          <w:rFonts w:ascii="宋体" w:hAnsi="宋体" w:hint="eastAsia"/>
          <w:szCs w:val="21"/>
        </w:rPr>
        <w:t>、腕关节的组成结构不包括的是（</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．桡腕关节</w:t>
      </w:r>
      <w:r>
        <w:rPr>
          <w:rFonts w:ascii="宋体" w:hAnsi="宋体"/>
          <w:szCs w:val="21"/>
        </w:rPr>
        <w:t xml:space="preserve">      B</w:t>
      </w:r>
      <w:r>
        <w:rPr>
          <w:rFonts w:ascii="宋体" w:hAnsi="宋体" w:hint="eastAsia"/>
          <w:szCs w:val="21"/>
        </w:rPr>
        <w:t>．腕骨间关节</w:t>
      </w:r>
      <w:r>
        <w:rPr>
          <w:rFonts w:ascii="宋体" w:hAnsi="宋体"/>
          <w:szCs w:val="21"/>
        </w:rPr>
        <w:t xml:space="preserve">     C</w:t>
      </w:r>
      <w:r>
        <w:rPr>
          <w:rFonts w:ascii="宋体" w:hAnsi="宋体" w:hint="eastAsia"/>
          <w:szCs w:val="21"/>
        </w:rPr>
        <w:t>．掌指关节</w:t>
      </w:r>
      <w:r>
        <w:rPr>
          <w:rFonts w:ascii="宋体" w:hAnsi="宋体"/>
          <w:szCs w:val="21"/>
        </w:rPr>
        <w:t xml:space="preserve">      D</w:t>
      </w:r>
      <w:r>
        <w:rPr>
          <w:rFonts w:ascii="宋体" w:hAnsi="宋体" w:hint="eastAsia"/>
          <w:szCs w:val="21"/>
        </w:rPr>
        <w:t>．腕掌关节</w:t>
      </w:r>
    </w:p>
    <w:p w:rsidR="003717A0" w:rsidRDefault="003717A0">
      <w:pPr>
        <w:rPr>
          <w:rFonts w:ascii="宋体"/>
          <w:szCs w:val="21"/>
        </w:rPr>
      </w:pPr>
      <w:r>
        <w:rPr>
          <w:rFonts w:ascii="宋体" w:hAnsi="宋体"/>
          <w:szCs w:val="21"/>
        </w:rPr>
        <w:t>12</w:t>
      </w:r>
      <w:r>
        <w:rPr>
          <w:rFonts w:ascii="宋体" w:hAnsi="宋体" w:hint="eastAsia"/>
          <w:szCs w:val="21"/>
        </w:rPr>
        <w:t>、耐力运动主要目的是（</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．增强肌力</w:t>
      </w:r>
      <w:r>
        <w:rPr>
          <w:rFonts w:ascii="宋体" w:hAnsi="宋体"/>
          <w:szCs w:val="21"/>
        </w:rPr>
        <w:t xml:space="preserve">  B</w:t>
      </w:r>
      <w:r>
        <w:rPr>
          <w:rFonts w:ascii="宋体" w:hAnsi="宋体" w:hint="eastAsia"/>
          <w:szCs w:val="21"/>
        </w:rPr>
        <w:t>．增强关节活动度</w:t>
      </w:r>
      <w:r>
        <w:rPr>
          <w:rFonts w:ascii="宋体" w:hAnsi="宋体"/>
          <w:szCs w:val="21"/>
        </w:rPr>
        <w:t xml:space="preserve">   C</w:t>
      </w:r>
      <w:r>
        <w:rPr>
          <w:rFonts w:ascii="宋体" w:hAnsi="宋体" w:hint="eastAsia"/>
          <w:szCs w:val="21"/>
        </w:rPr>
        <w:t>．增强心肺功能</w:t>
      </w:r>
      <w:r>
        <w:rPr>
          <w:rFonts w:ascii="宋体" w:hAnsi="宋体"/>
          <w:szCs w:val="21"/>
        </w:rPr>
        <w:t xml:space="preserve">   D</w:t>
      </w:r>
      <w:r>
        <w:rPr>
          <w:rFonts w:ascii="宋体" w:hAnsi="宋体" w:hint="eastAsia"/>
          <w:szCs w:val="21"/>
        </w:rPr>
        <w:t>．增加柔韧性</w:t>
      </w:r>
    </w:p>
    <w:p w:rsidR="003717A0" w:rsidRDefault="003717A0">
      <w:pPr>
        <w:rPr>
          <w:rFonts w:ascii="宋体"/>
          <w:szCs w:val="21"/>
        </w:rPr>
      </w:pPr>
      <w:r>
        <w:rPr>
          <w:rFonts w:ascii="宋体" w:hAnsi="宋体"/>
          <w:szCs w:val="21"/>
        </w:rPr>
        <w:t>13</w:t>
      </w:r>
      <w:r>
        <w:rPr>
          <w:rFonts w:ascii="宋体" w:hAnsi="宋体" w:hint="eastAsia"/>
          <w:szCs w:val="21"/>
        </w:rPr>
        <w:t>、位于四肢的骨多为（</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．长骨</w:t>
      </w:r>
      <w:r>
        <w:rPr>
          <w:rFonts w:ascii="宋体" w:hAnsi="宋体"/>
          <w:szCs w:val="21"/>
        </w:rPr>
        <w:t xml:space="preserve">       B</w:t>
      </w:r>
      <w:r>
        <w:rPr>
          <w:rFonts w:ascii="宋体" w:hAnsi="宋体" w:hint="eastAsia"/>
          <w:szCs w:val="21"/>
        </w:rPr>
        <w:t>．</w:t>
      </w:r>
      <w:r>
        <w:rPr>
          <w:rFonts w:ascii="宋体" w:hAnsi="宋体"/>
          <w:szCs w:val="21"/>
        </w:rPr>
        <w:t xml:space="preserve"> </w:t>
      </w:r>
      <w:r>
        <w:rPr>
          <w:rFonts w:ascii="宋体" w:hAnsi="宋体" w:hint="eastAsia"/>
          <w:szCs w:val="21"/>
        </w:rPr>
        <w:t>短骨</w:t>
      </w:r>
      <w:r>
        <w:rPr>
          <w:rFonts w:ascii="宋体" w:hAnsi="宋体"/>
          <w:szCs w:val="21"/>
        </w:rPr>
        <w:t xml:space="preserve">       C</w:t>
      </w:r>
      <w:r>
        <w:rPr>
          <w:rFonts w:ascii="宋体" w:hAnsi="宋体" w:hint="eastAsia"/>
          <w:szCs w:val="21"/>
        </w:rPr>
        <w:t>．</w:t>
      </w:r>
      <w:r>
        <w:rPr>
          <w:rFonts w:ascii="宋体" w:hAnsi="宋体"/>
          <w:szCs w:val="21"/>
        </w:rPr>
        <w:t xml:space="preserve"> </w:t>
      </w:r>
      <w:r>
        <w:rPr>
          <w:rFonts w:ascii="宋体" w:hAnsi="宋体" w:hint="eastAsia"/>
          <w:szCs w:val="21"/>
        </w:rPr>
        <w:t>扁骨</w:t>
      </w:r>
      <w:r>
        <w:rPr>
          <w:rFonts w:ascii="宋体" w:hAnsi="宋体"/>
          <w:szCs w:val="21"/>
        </w:rPr>
        <w:t xml:space="preserve">       D</w:t>
      </w:r>
      <w:r>
        <w:rPr>
          <w:rFonts w:ascii="宋体" w:hAnsi="宋体" w:hint="eastAsia"/>
          <w:szCs w:val="21"/>
        </w:rPr>
        <w:t>．不规则骨</w:t>
      </w:r>
    </w:p>
    <w:p w:rsidR="003717A0" w:rsidRDefault="003717A0">
      <w:pPr>
        <w:rPr>
          <w:rFonts w:ascii="宋体"/>
          <w:szCs w:val="21"/>
        </w:rPr>
      </w:pPr>
      <w:r>
        <w:rPr>
          <w:rFonts w:ascii="宋体" w:hAnsi="宋体"/>
          <w:szCs w:val="21"/>
        </w:rPr>
        <w:t>14</w:t>
      </w:r>
      <w:r>
        <w:rPr>
          <w:rFonts w:ascii="宋体" w:hAnsi="宋体" w:hint="eastAsia"/>
          <w:szCs w:val="21"/>
        </w:rPr>
        <w:t>、肩关节脱位多发生在</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．前下方</w:t>
      </w:r>
      <w:r>
        <w:rPr>
          <w:rFonts w:ascii="宋体" w:hAnsi="宋体"/>
          <w:szCs w:val="21"/>
        </w:rPr>
        <w:t xml:space="preserve">       B</w:t>
      </w:r>
      <w:r>
        <w:rPr>
          <w:rFonts w:ascii="宋体" w:hAnsi="宋体" w:hint="eastAsia"/>
          <w:szCs w:val="21"/>
        </w:rPr>
        <w:t>．上方</w:t>
      </w:r>
      <w:r>
        <w:rPr>
          <w:rFonts w:ascii="宋体" w:hAnsi="宋体"/>
          <w:szCs w:val="21"/>
        </w:rPr>
        <w:t xml:space="preserve">       C</w:t>
      </w:r>
      <w:r>
        <w:rPr>
          <w:rFonts w:ascii="宋体" w:hAnsi="宋体" w:hint="eastAsia"/>
          <w:szCs w:val="21"/>
        </w:rPr>
        <w:t>．下方</w:t>
      </w:r>
      <w:r>
        <w:rPr>
          <w:rFonts w:ascii="宋体" w:hAnsi="宋体"/>
          <w:szCs w:val="21"/>
        </w:rPr>
        <w:t xml:space="preserve">       D</w:t>
      </w:r>
      <w:r>
        <w:rPr>
          <w:rFonts w:ascii="宋体" w:hAnsi="宋体" w:hint="eastAsia"/>
          <w:szCs w:val="21"/>
        </w:rPr>
        <w:t>．后下方</w:t>
      </w:r>
    </w:p>
    <w:p w:rsidR="003717A0" w:rsidRDefault="003717A0">
      <w:pPr>
        <w:rPr>
          <w:rFonts w:ascii="宋体"/>
          <w:szCs w:val="21"/>
        </w:rPr>
      </w:pPr>
      <w:r>
        <w:rPr>
          <w:rFonts w:ascii="宋体" w:hAnsi="宋体"/>
          <w:szCs w:val="21"/>
        </w:rPr>
        <w:t>15</w:t>
      </w:r>
      <w:r>
        <w:rPr>
          <w:rFonts w:ascii="宋体" w:hAnsi="宋体" w:hint="eastAsia"/>
          <w:szCs w:val="21"/>
        </w:rPr>
        <w:t>、患者主诉右手桡侧</w:t>
      </w:r>
      <w:r>
        <w:rPr>
          <w:rFonts w:ascii="宋体" w:hAnsi="宋体"/>
          <w:szCs w:val="21"/>
        </w:rPr>
        <w:t>3</w:t>
      </w:r>
      <w:r>
        <w:rPr>
          <w:rFonts w:ascii="宋体" w:hAnsi="宋体" w:hint="eastAsia"/>
          <w:szCs w:val="21"/>
        </w:rPr>
        <w:t>个半手指发麻，检查后诊断为腕骨骨折。受损神经为（</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．尺神经</w:t>
      </w:r>
      <w:r>
        <w:rPr>
          <w:rFonts w:ascii="宋体" w:hAnsi="宋体"/>
          <w:szCs w:val="21"/>
        </w:rPr>
        <w:t xml:space="preserve">    B</w:t>
      </w:r>
      <w:r>
        <w:rPr>
          <w:rFonts w:ascii="宋体" w:hAnsi="宋体" w:hint="eastAsia"/>
          <w:szCs w:val="21"/>
        </w:rPr>
        <w:t>．正中神经</w:t>
      </w:r>
      <w:r>
        <w:rPr>
          <w:rFonts w:ascii="宋体" w:hAnsi="宋体"/>
          <w:szCs w:val="21"/>
        </w:rPr>
        <w:t xml:space="preserve">       C</w:t>
      </w:r>
      <w:r>
        <w:rPr>
          <w:rFonts w:ascii="宋体" w:hAnsi="宋体" w:hint="eastAsia"/>
          <w:szCs w:val="21"/>
        </w:rPr>
        <w:t>．桡神经</w:t>
      </w:r>
      <w:r>
        <w:rPr>
          <w:rFonts w:ascii="宋体" w:hAnsi="宋体"/>
          <w:szCs w:val="21"/>
        </w:rPr>
        <w:t xml:space="preserve">       D</w:t>
      </w:r>
      <w:r>
        <w:rPr>
          <w:rFonts w:ascii="宋体" w:hAnsi="宋体" w:hint="eastAsia"/>
          <w:szCs w:val="21"/>
        </w:rPr>
        <w:t>．肌皮神经</w:t>
      </w:r>
    </w:p>
    <w:p w:rsidR="003717A0" w:rsidRDefault="003717A0">
      <w:pPr>
        <w:rPr>
          <w:rFonts w:ascii="宋体"/>
          <w:szCs w:val="21"/>
        </w:rPr>
      </w:pPr>
      <w:r>
        <w:rPr>
          <w:rFonts w:ascii="宋体" w:hAnsi="宋体"/>
          <w:szCs w:val="21"/>
        </w:rPr>
        <w:lastRenderedPageBreak/>
        <w:t>16</w:t>
      </w:r>
      <w:r>
        <w:rPr>
          <w:rFonts w:ascii="宋体" w:hAnsi="宋体" w:hint="eastAsia"/>
          <w:szCs w:val="21"/>
        </w:rPr>
        <w:t>、</w:t>
      </w:r>
      <w:r>
        <w:rPr>
          <w:rFonts w:ascii="宋体" w:hAnsi="宋体"/>
          <w:szCs w:val="21"/>
        </w:rPr>
        <w:t>(</w:t>
      </w:r>
      <w:r>
        <w:rPr>
          <w:rFonts w:ascii="宋体" w:hAnsi="宋体" w:hint="eastAsia"/>
          <w:szCs w:val="21"/>
        </w:rPr>
        <w:t>多选</w:t>
      </w:r>
      <w:r>
        <w:rPr>
          <w:rFonts w:ascii="宋体" w:hAnsi="宋体"/>
          <w:szCs w:val="21"/>
        </w:rPr>
        <w:t>)</w:t>
      </w:r>
      <w:r>
        <w:rPr>
          <w:rFonts w:ascii="宋体" w:hAnsi="宋体" w:hint="eastAsia"/>
          <w:szCs w:val="21"/>
        </w:rPr>
        <w:t>衡量骨承载能力的要素（</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 xml:space="preserve">A. </w:t>
      </w:r>
      <w:r>
        <w:rPr>
          <w:rFonts w:ascii="宋体" w:hAnsi="宋体" w:hint="eastAsia"/>
          <w:szCs w:val="21"/>
        </w:rPr>
        <w:t>骨的足够的强度</w:t>
      </w:r>
    </w:p>
    <w:p w:rsidR="003717A0" w:rsidRDefault="003717A0">
      <w:pPr>
        <w:rPr>
          <w:rFonts w:ascii="宋体"/>
          <w:szCs w:val="21"/>
        </w:rPr>
      </w:pPr>
      <w:r>
        <w:rPr>
          <w:rFonts w:ascii="宋体" w:hAnsi="宋体"/>
          <w:szCs w:val="21"/>
        </w:rPr>
        <w:t xml:space="preserve">B. </w:t>
      </w:r>
      <w:r>
        <w:rPr>
          <w:rFonts w:ascii="宋体" w:hAnsi="宋体" w:hint="eastAsia"/>
          <w:szCs w:val="21"/>
        </w:rPr>
        <w:t>骨的足够的刚度</w:t>
      </w:r>
    </w:p>
    <w:p w:rsidR="003717A0" w:rsidRDefault="003717A0">
      <w:pPr>
        <w:rPr>
          <w:rFonts w:ascii="宋体"/>
          <w:szCs w:val="21"/>
        </w:rPr>
      </w:pPr>
      <w:r>
        <w:rPr>
          <w:rFonts w:ascii="宋体" w:hAnsi="宋体"/>
          <w:szCs w:val="21"/>
        </w:rPr>
        <w:t xml:space="preserve">C. </w:t>
      </w:r>
      <w:r>
        <w:rPr>
          <w:rFonts w:ascii="宋体" w:hAnsi="宋体" w:hint="eastAsia"/>
          <w:szCs w:val="21"/>
        </w:rPr>
        <w:t>骨的足够的稳定性</w:t>
      </w:r>
    </w:p>
    <w:p w:rsidR="003717A0" w:rsidRDefault="003717A0">
      <w:pPr>
        <w:rPr>
          <w:rFonts w:ascii="宋体"/>
          <w:szCs w:val="21"/>
        </w:rPr>
      </w:pPr>
      <w:r>
        <w:rPr>
          <w:rFonts w:ascii="宋体" w:hAnsi="宋体"/>
          <w:szCs w:val="21"/>
        </w:rPr>
        <w:t xml:space="preserve">D. </w:t>
      </w:r>
      <w:r>
        <w:rPr>
          <w:rFonts w:ascii="宋体" w:hAnsi="宋体" w:hint="eastAsia"/>
          <w:szCs w:val="21"/>
        </w:rPr>
        <w:t>骨的足够的柔韧性</w:t>
      </w:r>
    </w:p>
    <w:p w:rsidR="003717A0" w:rsidRDefault="003717A0">
      <w:pPr>
        <w:rPr>
          <w:rFonts w:ascii="宋体"/>
          <w:szCs w:val="21"/>
        </w:rPr>
      </w:pPr>
      <w:r>
        <w:rPr>
          <w:rFonts w:ascii="宋体" w:hAnsi="宋体"/>
          <w:szCs w:val="21"/>
        </w:rPr>
        <w:t>17</w:t>
      </w:r>
      <w:r>
        <w:rPr>
          <w:rFonts w:ascii="宋体" w:hAnsi="宋体" w:hint="eastAsia"/>
          <w:szCs w:val="21"/>
        </w:rPr>
        <w:t>、（多选）腘绳肌的主要解剖学特点有（</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A</w:t>
      </w:r>
      <w:r>
        <w:rPr>
          <w:rFonts w:ascii="宋体" w:hAnsi="宋体" w:hint="eastAsia"/>
          <w:szCs w:val="21"/>
        </w:rPr>
        <w:t>、包括股二头肌、半腱肌、半膜肌</w:t>
      </w:r>
    </w:p>
    <w:p w:rsidR="003717A0" w:rsidRDefault="003717A0">
      <w:pPr>
        <w:rPr>
          <w:rFonts w:ascii="宋体"/>
          <w:szCs w:val="21"/>
        </w:rPr>
      </w:pPr>
      <w:r>
        <w:rPr>
          <w:rFonts w:ascii="宋体" w:hAnsi="宋体"/>
          <w:szCs w:val="21"/>
        </w:rPr>
        <w:t>B</w:t>
      </w:r>
      <w:r>
        <w:rPr>
          <w:rFonts w:ascii="宋体" w:hAnsi="宋体" w:hint="eastAsia"/>
          <w:szCs w:val="21"/>
        </w:rPr>
        <w:t>、由坐骨神经支配</w:t>
      </w:r>
    </w:p>
    <w:p w:rsidR="003717A0" w:rsidRDefault="003717A0">
      <w:pPr>
        <w:rPr>
          <w:rFonts w:ascii="宋体"/>
          <w:szCs w:val="21"/>
        </w:rPr>
      </w:pPr>
      <w:r>
        <w:rPr>
          <w:rFonts w:ascii="宋体" w:hAnsi="宋体"/>
          <w:szCs w:val="21"/>
        </w:rPr>
        <w:t>C</w:t>
      </w:r>
      <w:r>
        <w:rPr>
          <w:rFonts w:ascii="宋体" w:hAnsi="宋体" w:hint="eastAsia"/>
          <w:szCs w:val="21"/>
        </w:rPr>
        <w:t>、位于大腿的前群</w:t>
      </w:r>
    </w:p>
    <w:p w:rsidR="003717A0" w:rsidRDefault="003717A0">
      <w:pPr>
        <w:rPr>
          <w:rFonts w:ascii="宋体"/>
          <w:szCs w:val="21"/>
        </w:rPr>
      </w:pPr>
      <w:r>
        <w:rPr>
          <w:rFonts w:ascii="宋体" w:hAnsi="宋体"/>
          <w:szCs w:val="21"/>
        </w:rPr>
        <w:t>D</w:t>
      </w:r>
      <w:r>
        <w:rPr>
          <w:rFonts w:ascii="宋体" w:hAnsi="宋体" w:hint="eastAsia"/>
          <w:szCs w:val="21"/>
        </w:rPr>
        <w:t>、作用为伸髋屈膝</w:t>
      </w:r>
    </w:p>
    <w:p w:rsidR="003717A0" w:rsidRDefault="003717A0">
      <w:pPr>
        <w:rPr>
          <w:rFonts w:ascii="宋体"/>
          <w:szCs w:val="21"/>
        </w:rPr>
      </w:pPr>
      <w:r>
        <w:rPr>
          <w:rFonts w:ascii="宋体" w:hAnsi="宋体"/>
          <w:szCs w:val="21"/>
        </w:rPr>
        <w:t>18</w:t>
      </w:r>
      <w:r>
        <w:rPr>
          <w:rFonts w:ascii="宋体" w:hAnsi="宋体" w:hint="eastAsia"/>
          <w:szCs w:val="21"/>
        </w:rPr>
        <w:t>、（多选）疲劳性骨折的特点（</w:t>
      </w:r>
      <w:r>
        <w:rPr>
          <w:rFonts w:ascii="宋体" w:hAnsi="宋体"/>
          <w:szCs w:val="21"/>
        </w:rPr>
        <w:t xml:space="preserve">  </w:t>
      </w:r>
      <w:r>
        <w:rPr>
          <w:rFonts w:ascii="宋体" w:hAnsi="宋体" w:hint="eastAsia"/>
          <w:szCs w:val="21"/>
        </w:rPr>
        <w:t>）</w:t>
      </w:r>
    </w:p>
    <w:p w:rsidR="003717A0" w:rsidRDefault="003717A0">
      <w:pPr>
        <w:rPr>
          <w:rFonts w:ascii="宋体"/>
          <w:szCs w:val="21"/>
        </w:rPr>
      </w:pPr>
      <w:r>
        <w:rPr>
          <w:rFonts w:ascii="宋体" w:hAnsi="宋体"/>
          <w:szCs w:val="21"/>
        </w:rPr>
        <w:t>A</w:t>
      </w:r>
      <w:r>
        <w:rPr>
          <w:rFonts w:ascii="宋体" w:hAnsi="宋体" w:hint="eastAsia"/>
          <w:szCs w:val="21"/>
        </w:rPr>
        <w:t>、指骨长期承受反复负荷</w:t>
      </w:r>
      <w:r>
        <w:rPr>
          <w:rFonts w:ascii="宋体" w:hAnsi="宋体"/>
          <w:szCs w:val="21"/>
        </w:rPr>
        <w:t>(</w:t>
      </w:r>
      <w:r>
        <w:rPr>
          <w:rFonts w:ascii="宋体" w:hAnsi="宋体" w:hint="eastAsia"/>
          <w:szCs w:val="21"/>
        </w:rPr>
        <w:t>如长时间的行军、锻炼</w:t>
      </w:r>
      <w:r>
        <w:rPr>
          <w:rFonts w:ascii="宋体" w:hAnsi="宋体"/>
          <w:szCs w:val="21"/>
        </w:rPr>
        <w:t>)</w:t>
      </w:r>
      <w:r>
        <w:rPr>
          <w:rFonts w:ascii="宋体" w:hAnsi="宋体" w:hint="eastAsia"/>
          <w:szCs w:val="21"/>
        </w:rPr>
        <w:t>后发生微损伤而逐渐形成的骨折</w:t>
      </w:r>
    </w:p>
    <w:p w:rsidR="003717A0" w:rsidRDefault="003717A0">
      <w:pPr>
        <w:rPr>
          <w:rFonts w:ascii="宋体"/>
          <w:szCs w:val="21"/>
        </w:rPr>
      </w:pPr>
      <w:r>
        <w:rPr>
          <w:rFonts w:ascii="宋体" w:hAnsi="宋体"/>
          <w:szCs w:val="21"/>
        </w:rPr>
        <w:t>B</w:t>
      </w:r>
      <w:r>
        <w:rPr>
          <w:rFonts w:ascii="宋体" w:hAnsi="宋体" w:hint="eastAsia"/>
          <w:szCs w:val="21"/>
        </w:rPr>
        <w:t>、由于损伤的不断积聚，超过机体的修复能力，继而产生疲劳性骨折或应力性骨折</w:t>
      </w:r>
    </w:p>
    <w:p w:rsidR="003717A0" w:rsidRDefault="003717A0">
      <w:pPr>
        <w:rPr>
          <w:rFonts w:ascii="宋体"/>
          <w:szCs w:val="21"/>
        </w:rPr>
      </w:pPr>
      <w:r>
        <w:rPr>
          <w:rFonts w:ascii="宋体" w:hAnsi="宋体"/>
          <w:szCs w:val="21"/>
        </w:rPr>
        <w:t>C</w:t>
      </w:r>
      <w:r>
        <w:rPr>
          <w:rFonts w:ascii="宋体" w:hAnsi="宋体" w:hint="eastAsia"/>
          <w:szCs w:val="21"/>
        </w:rPr>
        <w:t>、特点是骨折和修复同时进行</w:t>
      </w:r>
    </w:p>
    <w:p w:rsidR="003717A0" w:rsidRDefault="003717A0">
      <w:pPr>
        <w:rPr>
          <w:rFonts w:ascii="宋体"/>
          <w:szCs w:val="21"/>
        </w:rPr>
      </w:pPr>
      <w:r>
        <w:rPr>
          <w:rFonts w:ascii="宋体" w:hAnsi="宋体"/>
          <w:szCs w:val="21"/>
        </w:rPr>
        <w:t>D</w:t>
      </w:r>
      <w:r>
        <w:rPr>
          <w:rFonts w:ascii="宋体" w:hAnsi="宋体" w:hint="eastAsia"/>
          <w:szCs w:val="21"/>
        </w:rPr>
        <w:t>、最常发生在下肢骨，其次是上肢骨和躯干骨。</w:t>
      </w:r>
    </w:p>
    <w:p w:rsidR="003717A0" w:rsidRDefault="003717A0">
      <w:pPr>
        <w:rPr>
          <w:rFonts w:ascii="宋体"/>
          <w:szCs w:val="21"/>
        </w:rPr>
      </w:pPr>
      <w:r>
        <w:rPr>
          <w:rFonts w:ascii="宋体" w:hAnsi="宋体"/>
          <w:szCs w:val="21"/>
        </w:rPr>
        <w:t>19</w:t>
      </w:r>
      <w:r>
        <w:rPr>
          <w:rFonts w:ascii="宋体" w:hAnsi="宋体" w:hint="eastAsia"/>
          <w:szCs w:val="21"/>
        </w:rPr>
        <w:t>、（多选题）运动降低冠心病的危险因素的机理是（</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rPr>
          <w:rFonts w:ascii="宋体"/>
          <w:szCs w:val="21"/>
        </w:rPr>
      </w:pPr>
      <w:r>
        <w:rPr>
          <w:rFonts w:ascii="宋体" w:hAnsi="宋体"/>
          <w:szCs w:val="21"/>
        </w:rPr>
        <w:t>A</w:t>
      </w:r>
      <w:r>
        <w:rPr>
          <w:rFonts w:ascii="宋体" w:hAnsi="宋体" w:hint="eastAsia"/>
          <w:szCs w:val="21"/>
        </w:rPr>
        <w:t>．降低血脂</w:t>
      </w:r>
      <w:r>
        <w:rPr>
          <w:rFonts w:ascii="宋体" w:hAnsi="宋体"/>
          <w:szCs w:val="21"/>
        </w:rPr>
        <w:t xml:space="preserve">      B</w:t>
      </w:r>
      <w:r>
        <w:rPr>
          <w:rFonts w:ascii="宋体" w:hAnsi="宋体" w:hint="eastAsia"/>
          <w:szCs w:val="21"/>
        </w:rPr>
        <w:t>．降低血压</w:t>
      </w:r>
      <w:r>
        <w:rPr>
          <w:rFonts w:ascii="宋体" w:hAnsi="宋体"/>
          <w:szCs w:val="21"/>
        </w:rPr>
        <w:t xml:space="preserve">    C</w:t>
      </w:r>
      <w:r>
        <w:rPr>
          <w:rFonts w:ascii="宋体" w:hAnsi="宋体" w:hint="eastAsia"/>
          <w:szCs w:val="21"/>
        </w:rPr>
        <w:t>．降低胰岛素的敏感性</w:t>
      </w:r>
      <w:r>
        <w:rPr>
          <w:rFonts w:ascii="宋体" w:hAnsi="宋体"/>
          <w:szCs w:val="21"/>
        </w:rPr>
        <w:t xml:space="preserve">    D</w:t>
      </w:r>
      <w:r>
        <w:rPr>
          <w:rFonts w:ascii="宋体" w:hAnsi="宋体" w:hint="eastAsia"/>
          <w:szCs w:val="21"/>
        </w:rPr>
        <w:t>．提高糖的利用率</w:t>
      </w:r>
    </w:p>
    <w:p w:rsidR="003717A0" w:rsidRDefault="003717A0">
      <w:pPr>
        <w:rPr>
          <w:rFonts w:ascii="宋体"/>
          <w:szCs w:val="21"/>
        </w:rPr>
      </w:pPr>
      <w:r>
        <w:rPr>
          <w:rFonts w:ascii="宋体" w:hAnsi="宋体"/>
          <w:szCs w:val="21"/>
        </w:rPr>
        <w:t>20</w:t>
      </w:r>
      <w:r>
        <w:rPr>
          <w:rFonts w:ascii="宋体" w:hAnsi="宋体" w:hint="eastAsia"/>
          <w:szCs w:val="21"/>
        </w:rPr>
        <w:t>、（多选题）拇指腕掌关节可做的运动是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pStyle w:val="a9"/>
        <w:spacing w:line="380" w:lineRule="exact"/>
        <w:rPr>
          <w:rFonts w:hAnsi="宋体" w:cs="Times New Roman"/>
        </w:rPr>
      </w:pPr>
      <w:r>
        <w:rPr>
          <w:rFonts w:hAnsi="宋体" w:cs="Times New Roman"/>
        </w:rPr>
        <w:t>A</w:t>
      </w:r>
      <w:r>
        <w:rPr>
          <w:rFonts w:hAnsi="宋体" w:cs="Times New Roman" w:hint="eastAsia"/>
        </w:rPr>
        <w:t>．对掌运动</w:t>
      </w:r>
      <w:r>
        <w:rPr>
          <w:rFonts w:hAnsi="宋体" w:cs="Times New Roman"/>
        </w:rPr>
        <w:t xml:space="preserve">      B</w:t>
      </w:r>
      <w:r>
        <w:rPr>
          <w:rFonts w:hAnsi="宋体" w:cs="Times New Roman" w:hint="eastAsia"/>
        </w:rPr>
        <w:t>．内收与外展</w:t>
      </w:r>
      <w:r>
        <w:rPr>
          <w:rFonts w:hAnsi="宋体" w:cs="Times New Roman"/>
        </w:rPr>
        <w:t xml:space="preserve">      C</w:t>
      </w:r>
      <w:r>
        <w:rPr>
          <w:rFonts w:hAnsi="宋体" w:cs="Times New Roman" w:hint="eastAsia"/>
        </w:rPr>
        <w:t>．环转</w:t>
      </w:r>
      <w:r>
        <w:rPr>
          <w:rFonts w:hAnsi="宋体" w:cs="Times New Roman"/>
        </w:rPr>
        <w:t xml:space="preserve">    D</w:t>
      </w:r>
      <w:r>
        <w:rPr>
          <w:rFonts w:hAnsi="宋体" w:cs="Times New Roman" w:hint="eastAsia"/>
        </w:rPr>
        <w:t>．屈与伸</w:t>
      </w:r>
    </w:p>
    <w:p w:rsidR="003717A0" w:rsidRDefault="003717A0">
      <w:pPr>
        <w:pStyle w:val="a9"/>
        <w:spacing w:line="380" w:lineRule="exact"/>
        <w:rPr>
          <w:rFonts w:hAnsi="宋体" w:cs="Times New Roman"/>
          <w:b/>
        </w:rPr>
      </w:pPr>
      <w:r>
        <w:rPr>
          <w:rFonts w:hAnsi="宋体" w:cs="Times New Roman" w:hint="eastAsia"/>
          <w:b/>
        </w:rPr>
        <w:t>三、简答题（每题</w:t>
      </w:r>
      <w:r>
        <w:rPr>
          <w:rFonts w:hAnsi="宋体" w:cs="Times New Roman"/>
          <w:b/>
        </w:rPr>
        <w:t>5</w:t>
      </w:r>
      <w:r>
        <w:rPr>
          <w:rFonts w:hAnsi="宋体" w:cs="Times New Roman" w:hint="eastAsia"/>
          <w:b/>
        </w:rPr>
        <w:t>分，</w:t>
      </w:r>
      <w:r>
        <w:rPr>
          <w:rFonts w:hAnsi="宋体" w:cs="Times New Roman"/>
          <w:b/>
        </w:rPr>
        <w:t>30</w:t>
      </w:r>
      <w:r>
        <w:rPr>
          <w:rFonts w:hAnsi="宋体" w:cs="Times New Roman" w:hint="eastAsia"/>
          <w:b/>
        </w:rPr>
        <w:t>分）</w:t>
      </w:r>
    </w:p>
    <w:p w:rsidR="003717A0" w:rsidRDefault="003717A0">
      <w:pPr>
        <w:pStyle w:val="a9"/>
        <w:spacing w:line="380" w:lineRule="exact"/>
        <w:rPr>
          <w:rFonts w:hAnsi="宋体" w:cs="Times New Roman"/>
        </w:rPr>
      </w:pPr>
      <w:r>
        <w:rPr>
          <w:rFonts w:hAnsi="宋体" w:cs="Times New Roman"/>
        </w:rPr>
        <w:t>1</w:t>
      </w:r>
      <w:r>
        <w:rPr>
          <w:rFonts w:hAnsi="宋体" w:cs="Times New Roman" w:hint="eastAsia"/>
        </w:rPr>
        <w:t>、膝关节的组成和运动方向运动范围</w:t>
      </w:r>
    </w:p>
    <w:p w:rsidR="003717A0" w:rsidRDefault="003717A0">
      <w:pPr>
        <w:rPr>
          <w:rFonts w:ascii="宋体"/>
          <w:szCs w:val="21"/>
        </w:rPr>
      </w:pPr>
      <w:r>
        <w:rPr>
          <w:rFonts w:ascii="宋体" w:hAnsi="宋体"/>
          <w:szCs w:val="21"/>
        </w:rPr>
        <w:t>2</w:t>
      </w:r>
      <w:r>
        <w:rPr>
          <w:rFonts w:ascii="宋体" w:hAnsi="宋体" w:hint="eastAsia"/>
          <w:szCs w:val="21"/>
        </w:rPr>
        <w:t>、肌的类型及特性。</w:t>
      </w:r>
    </w:p>
    <w:p w:rsidR="003717A0" w:rsidRDefault="003717A0">
      <w:pPr>
        <w:rPr>
          <w:rFonts w:ascii="宋体"/>
          <w:szCs w:val="21"/>
        </w:rPr>
      </w:pPr>
      <w:r>
        <w:rPr>
          <w:rFonts w:ascii="宋体" w:hAnsi="宋体"/>
          <w:szCs w:val="21"/>
        </w:rPr>
        <w:t>3</w:t>
      </w:r>
      <w:r>
        <w:rPr>
          <w:rFonts w:ascii="宋体" w:hAnsi="宋体" w:hint="eastAsia"/>
          <w:szCs w:val="21"/>
        </w:rPr>
        <w:t>、简述脊柱韧带。</w:t>
      </w:r>
    </w:p>
    <w:p w:rsidR="003717A0" w:rsidRDefault="003717A0">
      <w:pPr>
        <w:rPr>
          <w:rFonts w:ascii="宋体"/>
          <w:szCs w:val="21"/>
        </w:rPr>
      </w:pPr>
      <w:r>
        <w:rPr>
          <w:rFonts w:ascii="宋体" w:hAnsi="宋体"/>
          <w:szCs w:val="21"/>
        </w:rPr>
        <w:t xml:space="preserve">4. </w:t>
      </w:r>
      <w:r>
        <w:rPr>
          <w:rFonts w:ascii="宋体" w:hAnsi="宋体" w:hint="eastAsia"/>
          <w:szCs w:val="21"/>
        </w:rPr>
        <w:t>简述脊柱功能单位的结构。</w:t>
      </w:r>
    </w:p>
    <w:p w:rsidR="003717A0" w:rsidRDefault="003717A0">
      <w:pPr>
        <w:pStyle w:val="a9"/>
        <w:spacing w:line="380" w:lineRule="exact"/>
        <w:rPr>
          <w:rFonts w:hAnsi="宋体" w:cs="Times New Roman"/>
        </w:rPr>
      </w:pPr>
      <w:r>
        <w:rPr>
          <w:rFonts w:hAnsi="宋体" w:cs="Times New Roman"/>
        </w:rPr>
        <w:t>5</w:t>
      </w:r>
      <w:r>
        <w:rPr>
          <w:rFonts w:hAnsi="宋体" w:cs="Times New Roman" w:hint="eastAsia"/>
        </w:rPr>
        <w:t>、简述肘关节运动与参与的肌肉。</w:t>
      </w:r>
    </w:p>
    <w:p w:rsidR="003717A0" w:rsidRDefault="003717A0">
      <w:pPr>
        <w:rPr>
          <w:rFonts w:ascii="宋体"/>
          <w:szCs w:val="21"/>
        </w:rPr>
      </w:pPr>
      <w:r>
        <w:rPr>
          <w:rFonts w:ascii="宋体" w:hAnsi="宋体"/>
          <w:szCs w:val="21"/>
        </w:rPr>
        <w:t>6</w:t>
      </w:r>
      <w:r>
        <w:rPr>
          <w:rFonts w:ascii="宋体" w:hAnsi="宋体" w:hint="eastAsia"/>
          <w:szCs w:val="21"/>
        </w:rPr>
        <w:t>、有氧运动训练对心血管系统的作用。</w:t>
      </w:r>
    </w:p>
    <w:p w:rsidR="003717A0" w:rsidRPr="00F5156D" w:rsidRDefault="003717A0" w:rsidP="00F5156D">
      <w:pPr>
        <w:widowControl/>
        <w:jc w:val="center"/>
        <w:rPr>
          <w:rFonts w:ascii="宋体"/>
          <w:szCs w:val="21"/>
        </w:rPr>
      </w:pPr>
      <w:r>
        <w:rPr>
          <w:rFonts w:ascii="宋体"/>
          <w:szCs w:val="21"/>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形态的描述，可在实习课中让学生通过对标本、模型、录像等的观察来加强理解。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36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36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36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36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36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36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多媒体教学手段、课堂实验、病例观察相结合，以培养学生实践动手的能力。</w:t>
            </w:r>
          </w:p>
          <w:p w:rsidR="003717A0" w:rsidRDefault="003717A0">
            <w:pPr>
              <w:numPr>
                <w:ilvl w:val="0"/>
                <w:numId w:val="36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auto"/>
              <w:jc w:val="left"/>
              <w:rPr>
                <w:rFonts w:ascii="Times New Roman" w:hAnsi="宋体"/>
                <w:szCs w:val="21"/>
              </w:rPr>
            </w:pPr>
            <w:r>
              <w:rPr>
                <w:rFonts w:ascii="Times New Roman" w:hAnsi="宋体"/>
                <w:szCs w:val="21"/>
              </w:rPr>
              <w:t xml:space="preserve">1.  </w:t>
            </w:r>
            <w:r>
              <w:rPr>
                <w:rFonts w:ascii="Times New Roman" w:hAnsi="宋体" w:hint="eastAsia"/>
                <w:szCs w:val="21"/>
              </w:rPr>
              <w:t>每一见习实验课根据理论课确定一拓展问题，全课程共有</w:t>
            </w:r>
            <w:r>
              <w:rPr>
                <w:rFonts w:ascii="Times New Roman" w:hAnsi="宋体"/>
                <w:szCs w:val="21"/>
              </w:rPr>
              <w:t>6</w:t>
            </w:r>
            <w:r>
              <w:rPr>
                <w:rFonts w:ascii="Times New Roman" w:hAnsi="宋体" w:hint="eastAsia"/>
                <w:szCs w:val="21"/>
              </w:rPr>
              <w:t>个题目，学生分小组讨论并进行评分，部分题目通过查阅资料自学，然后针对题目撰写书面小结，在规定时间内提交。</w:t>
            </w:r>
          </w:p>
          <w:p w:rsidR="003717A0" w:rsidRDefault="003717A0">
            <w:pPr>
              <w:autoSpaceDE w:val="0"/>
              <w:autoSpaceDN w:val="0"/>
              <w:adjustRightInd w:val="0"/>
              <w:snapToGrid w:val="0"/>
              <w:spacing w:line="360" w:lineRule="auto"/>
              <w:jc w:val="left"/>
              <w:rPr>
                <w:rFonts w:ascii="Times New Roman" w:hAnsi="宋体"/>
                <w:szCs w:val="21"/>
              </w:rPr>
            </w:pPr>
            <w:r>
              <w:rPr>
                <w:rFonts w:ascii="Times New Roman" w:hAnsi="宋体"/>
                <w:szCs w:val="21"/>
              </w:rPr>
              <w:t xml:space="preserve">2.  </w:t>
            </w:r>
            <w:r>
              <w:rPr>
                <w:rFonts w:ascii="Times New Roman" w:hAnsi="宋体" w:hint="eastAsia"/>
                <w:szCs w:val="21"/>
              </w:rPr>
              <w:t>学生完成的作业必须达到以下基本要求：按时按量完成作业，不缺交，不抄袭；作业规范，书写清晰；答案正确。</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szCs w:val="21"/>
              </w:rPr>
              <w:t xml:space="preserve">3.  </w:t>
            </w:r>
            <w:r>
              <w:rPr>
                <w:rFonts w:ascii="Times New Roman" w:hAnsi="宋体" w:hint="eastAsia"/>
                <w:szCs w:val="21"/>
              </w:rPr>
              <w:t>教师批改或讲评作业的数量和次数要求如下：学生的作业要全批全改，并按时批改、讲评学生每次交来的作业；教师批改或讲评作业要认真、细致，并写明日期。</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宋体"/>
                <w:kern w:val="0"/>
                <w:sz w:val="22"/>
              </w:rPr>
            </w:pPr>
            <w:r>
              <w:rPr>
                <w:rFonts w:ascii="宋体" w:hAnsi="宋体" w:hint="eastAsia"/>
                <w:szCs w:val="21"/>
              </w:rPr>
              <w:t>在教室、医院、实验室内，多与学生进行面对面的交流互动，同时充分利用微信、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36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36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1739"/>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ind w:firstLineChars="200" w:firstLine="420"/>
              <w:jc w:val="left"/>
              <w:rPr>
                <w:rFonts w:ascii="Times New Roman" w:hAnsi="宋体"/>
                <w:kern w:val="0"/>
                <w:sz w:val="22"/>
              </w:rPr>
            </w:pPr>
            <w:r>
              <w:rPr>
                <w:rFonts w:ascii="宋体" w:hAnsi="宋体" w:hint="eastAsia"/>
                <w:szCs w:val="21"/>
              </w:rPr>
              <w:t>为了培养学生综合运用所学知识解决实际问题的能力和创新能力，本课程教师应鼓励和指导学生多参加临床病例见习，讨论基础理论的康复治疗应用；同时鼓励学生积极参加课外学术活动兴趣小组，参与教师的科学研究活动。</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85" w:name="_Toc469313004"/>
      <w:bookmarkStart w:id="86" w:name="_Toc471830716"/>
      <w:r w:rsidRPr="00F5156D">
        <w:rPr>
          <w:rFonts w:hint="eastAsia"/>
          <w:b/>
        </w:rPr>
        <w:lastRenderedPageBreak/>
        <w:t>《语言治疗学》课程质量标准</w:t>
      </w:r>
      <w:bookmarkEnd w:id="85"/>
      <w:bookmarkEnd w:id="86"/>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语言治疗学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Speech Therapy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170356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ind w:firstLineChars="1050" w:firstLine="2310"/>
              <w:rPr>
                <w:sz w:val="22"/>
              </w:rPr>
            </w:pPr>
            <w:r>
              <w:rPr>
                <w:rFonts w:hint="eastAsia"/>
                <w:sz w:val="22"/>
              </w:rPr>
              <w:t>语言治疗学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r>
              <w:rPr>
                <w:sz w:val="22"/>
              </w:rPr>
              <w:t>2008</w:t>
            </w:r>
            <w:r>
              <w:rPr>
                <w:rFonts w:hint="eastAsia"/>
                <w:sz w:val="22"/>
              </w:rPr>
              <w:t>年</w:t>
            </w:r>
            <w:r>
              <w:rPr>
                <w:sz w:val="22"/>
              </w:rPr>
              <w:t>1</w:t>
            </w:r>
            <w:r>
              <w:rPr>
                <w:rFonts w:hint="eastAsia"/>
                <w:sz w:val="22"/>
              </w:rPr>
              <w:t>月第</w:t>
            </w:r>
            <w:r>
              <w:rPr>
                <w:sz w:val="22"/>
              </w:rPr>
              <w:t>1</w:t>
            </w:r>
            <w:r>
              <w:rPr>
                <w:rFonts w:hint="eastAsia"/>
                <w:sz w:val="22"/>
              </w:rPr>
              <w:t>版，</w:t>
            </w:r>
            <w:r>
              <w:rPr>
                <w:sz w:val="22"/>
              </w:rPr>
              <w:t>ISBN 978-7-117-09702-4/R 9703</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沈光宇</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本科</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主任医师</w:t>
            </w:r>
          </w:p>
        </w:tc>
        <w:tc>
          <w:tcPr>
            <w:tcW w:w="1524" w:type="dxa"/>
          </w:tcPr>
          <w:p w:rsidR="003717A0" w:rsidRDefault="003717A0">
            <w:pPr>
              <w:adjustRightInd w:val="0"/>
              <w:snapToGrid w:val="0"/>
              <w:spacing w:line="500" w:lineRule="exact"/>
              <w:jc w:val="center"/>
              <w:rPr>
                <w:sz w:val="22"/>
              </w:rPr>
            </w:pPr>
            <w:r>
              <w:rPr>
                <w:sz w:val="22"/>
              </w:rPr>
              <w:t>1985</w:t>
            </w:r>
            <w:r>
              <w:rPr>
                <w:rFonts w:hint="eastAsia"/>
                <w:sz w:val="22"/>
              </w:rPr>
              <w:t>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胡玉明</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2003</w:t>
            </w:r>
            <w:r>
              <w:rPr>
                <w:rFonts w:hint="eastAsia"/>
                <w:sz w:val="22"/>
              </w:rPr>
              <w:t>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孙丽</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主治医师</w:t>
            </w:r>
          </w:p>
        </w:tc>
        <w:tc>
          <w:tcPr>
            <w:tcW w:w="1524" w:type="dxa"/>
          </w:tcPr>
          <w:p w:rsidR="003717A0" w:rsidRDefault="003717A0">
            <w:pPr>
              <w:adjustRightInd w:val="0"/>
              <w:snapToGrid w:val="0"/>
              <w:spacing w:line="500" w:lineRule="exact"/>
              <w:jc w:val="center"/>
              <w:rPr>
                <w:sz w:val="22"/>
              </w:rPr>
            </w:pPr>
            <w:r>
              <w:rPr>
                <w:sz w:val="22"/>
              </w:rPr>
              <w:t>2012</w:t>
            </w:r>
            <w:r>
              <w:rPr>
                <w:rFonts w:hint="eastAsia"/>
                <w:sz w:val="22"/>
              </w:rPr>
              <w:t>年</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ind w:firstLineChars="200" w:firstLine="440"/>
              <w:rPr>
                <w:sz w:val="22"/>
              </w:rPr>
            </w:pPr>
            <w:r>
              <w:rPr>
                <w:rFonts w:hint="eastAsia"/>
                <w:sz w:val="22"/>
              </w:rPr>
              <w:t>语言治疗学是康复医学的组成部分，是对各种语言障碍和交流障碍进行评定、诊断、治疗和研究的学科。在中国，语言治疗像康复医学的其他分支一样是一门新兴学科。本课程包括各种语言障碍的相关基础，在语言障碍的类型方面包括失语症、构音障碍、儿童语言发育迟缓、听力障碍所致的语言障碍、发声障碍、口吃、腭裂、言语失用等语言障碍。在评定方法上介绍的均是适合我国语言特点和文化特点的评定方法，如失语症检查法、构音障碍检查法、儿童语言发育迟缓检查等。在治疗方法上不仅介绍国外各种语言障碍的现代治疗技术，还介绍了我国</w:t>
            </w:r>
            <w:r>
              <w:rPr>
                <w:rFonts w:hint="eastAsia"/>
                <w:sz w:val="22"/>
              </w:rPr>
              <w:lastRenderedPageBreak/>
              <w:t>传统医学关于语言康复的技术，做到理论与实际密切结合。从而为学习其他基础医学及康复医学课程打下良好的基础。本课程教学的主要路径与方法：课堂教学以大班上课为主，讲课按教学大纲进行讲课时要做到目的明确，层次分明，讲究教学方法，充分利用图表、幻灯、录像、多媒体等教学工具。在实习中，利用各种检查仪器和治疗机示教，结合对病人治疗进行必要的重点讲解，以巩固和深化课堂所讲授的知识。</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Default="003717A0" w:rsidP="00F5156D">
      <w:pPr>
        <w:widowControl/>
        <w:jc w:val="center"/>
        <w:rPr>
          <w:rFonts w:ascii="Times New Roman" w:eastAsia="黑体" w:hAnsi="Times New Roman"/>
          <w:kern w:val="0"/>
          <w:sz w:val="32"/>
          <w:szCs w:val="32"/>
        </w:rPr>
      </w:pPr>
      <w:r>
        <w:rPr>
          <w:rFonts w:ascii="Times New Roman" w:eastAsia="黑体" w:hAnsi="Times New Roman"/>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170356</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36</w:t>
      </w:r>
      <w:r>
        <w:rPr>
          <w:rFonts w:ascii="Times New Roman" w:hAnsi="Times New Roman" w:hint="eastAsia"/>
          <w:kern w:val="0"/>
          <w:sz w:val="22"/>
        </w:rPr>
        <w:t>学时（理论课：</w:t>
      </w:r>
      <w:r>
        <w:rPr>
          <w:rFonts w:ascii="Times New Roman" w:hAnsi="Times New Roman"/>
          <w:kern w:val="0"/>
          <w:sz w:val="22"/>
        </w:rPr>
        <w:t>27</w:t>
      </w:r>
      <w:r>
        <w:rPr>
          <w:rFonts w:ascii="Times New Roman" w:hAnsi="Times New Roman" w:hint="eastAsia"/>
          <w:kern w:val="0"/>
          <w:sz w:val="22"/>
        </w:rPr>
        <w:t>学时，见习：</w:t>
      </w:r>
      <w:r>
        <w:rPr>
          <w:rFonts w:ascii="Times New Roman" w:hAnsi="Times New Roman"/>
          <w:kern w:val="0"/>
          <w:sz w:val="22"/>
        </w:rPr>
        <w:t>9</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2</w:t>
      </w:r>
      <w:r>
        <w:rPr>
          <w:rFonts w:ascii="Times New Roman" w:hAnsi="Times New Roman" w:hint="eastAsia"/>
          <w:kern w:val="0"/>
          <w:sz w:val="22"/>
        </w:rPr>
        <w:t>分</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先修课程：人体解剖学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无</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ind w:firstLineChars="150" w:firstLine="330"/>
        <w:jc w:val="left"/>
        <w:rPr>
          <w:rFonts w:ascii="Times New Roman" w:hAnsi="Times New Roman"/>
          <w:kern w:val="0"/>
          <w:sz w:val="22"/>
        </w:rPr>
      </w:pPr>
      <w:r>
        <w:rPr>
          <w:rFonts w:ascii="Times New Roman" w:hAnsi="Times New Roman" w:hint="eastAsia"/>
          <w:kern w:val="0"/>
          <w:sz w:val="22"/>
        </w:rPr>
        <w:t>言语治疗学是康复治疗学专业的一门必修课程，是康复医学的重要组成部分。对各种言语障碍和交往障碍进行评定、治疗和研究，即使发达国家也属于较新的邻域。使学生掌握失语症、构音障碍、语言发育迟缓、吞咽障碍、听力障碍等功能障碍的特点、评价及治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ind w:firstLineChars="150" w:firstLine="330"/>
        <w:jc w:val="left"/>
        <w:rPr>
          <w:rFonts w:ascii="Times New Roman" w:hAnsi="Times New Roman"/>
          <w:kern w:val="0"/>
          <w:sz w:val="22"/>
        </w:rPr>
      </w:pPr>
      <w:r>
        <w:rPr>
          <w:rFonts w:ascii="Times New Roman" w:hAnsi="Times New Roman" w:hint="eastAsia"/>
          <w:kern w:val="0"/>
          <w:sz w:val="22"/>
        </w:rPr>
        <w:t>通过本课程学习，使学生重点掌握失语症、构音障碍、语言发育迟缓的临床特点、分类、评价及其康复治疗方法，为今后从事康复治疗工作打下一定的基础。</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一、教学内容</w:t>
      </w:r>
    </w:p>
    <w:p w:rsidR="003717A0" w:rsidRDefault="003717A0">
      <w:pPr>
        <w:autoSpaceDE w:val="0"/>
        <w:autoSpaceDN w:val="0"/>
        <w:adjustRightInd w:val="0"/>
        <w:snapToGrid w:val="0"/>
        <w:spacing w:line="440" w:lineRule="exact"/>
        <w:ind w:firstLineChars="1800" w:firstLine="3795"/>
        <w:rPr>
          <w:rFonts w:ascii="Times New Roman"/>
          <w:b/>
        </w:rPr>
      </w:pPr>
      <w:r>
        <w:rPr>
          <w:rFonts w:ascii="Times New Roman" w:hint="eastAsia"/>
          <w:b/>
        </w:rPr>
        <w:t>第一章</w:t>
      </w:r>
      <w:r>
        <w:rPr>
          <w:rFonts w:ascii="Times New Roman"/>
          <w:b/>
        </w:rPr>
        <w:t xml:space="preserve"> </w:t>
      </w:r>
      <w:r>
        <w:rPr>
          <w:rFonts w:ascii="Times New Roman" w:hint="eastAsia"/>
          <w:b/>
        </w:rPr>
        <w:t>概述</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、掌握大脑功能侧化的概念和语言功能相关的脑区；语言的发生和构音机制；语言处理过程的发育；了解语言治疗的发展史。</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、熟悉大脑两半球的各自功能；大脑对语言产生的控制和调节；语言能力的发育。</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、掌握语言的理解和表达过程的机制；各种精神，心理障碍所出现的心理障碍的特点。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、了解认识功能障碍对语言交流的影响，各种精神、心理障碍的临床表现分型。</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、掌握辅音、元音的概念和发音区别；辅音的发音部位分类和发音方法分类；普通话声母的发音过程和方法。</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、大脑功能侧化的概念和语言功能相关的脑区；</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、语言的发生和构音机制；</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、语言处理过程的发育；</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、大脑两半球的各自功能；</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、大脑对语言产生的控制和调节；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lastRenderedPageBreak/>
        <w:t>6</w:t>
      </w:r>
      <w:r>
        <w:rPr>
          <w:rFonts w:ascii="Times New Roman" w:hAnsi="Times New Roman" w:hint="eastAsia"/>
          <w:kern w:val="0"/>
          <w:sz w:val="22"/>
        </w:rPr>
        <w:t>、语言能力的发育；</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、语言的理解和表达过程的机制；</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、各种精神、心理障碍所出现的心理障碍的特点；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、语言交流的解剖与生理基础。</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第二章</w:t>
      </w:r>
      <w:r>
        <w:rPr>
          <w:rFonts w:ascii="Times New Roman"/>
          <w:b/>
        </w:rPr>
        <w:t xml:space="preserve"> </w:t>
      </w:r>
      <w:r>
        <w:rPr>
          <w:rFonts w:ascii="Times New Roman" w:hint="eastAsia"/>
          <w:b/>
        </w:rPr>
        <w:t>语言治疗的方法</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、掌握语言与言语的定义与区别；熟悉语言与言语区别的意义；了解代表性语言障碍和言语障碍；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、掌握语言治疗中训练课题的设定和训练程序的制定；掌握语言治疗的途径；了解语言治疗的刺激与反应，强化与反馈，升级与降级；</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、掌握语言治疗的注意事项；熟悉语言治疗的场所选择；治疗形式及时间；</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、掌握语言障碍的辅助康复设备的种类及训练点；熟悉语言障碍的辅助诊断设备的筛查优点。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、了解语言障碍的相关药物治疗。</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、语言与言语的定义与区别；</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、语言与言语区别的意义；</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、代表性语言障碍和言语障碍；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、语言治疗中课题的设定和训练程序的制定；</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、语言治疗的途径；</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、语言治疗的刺激与反应，强化与反馈，升级与降级；</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、语言治疗的注意事项；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、语言治疗的场所选择，治疗形式及时间；</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、语言障碍的辅助康复设备的种类及训练点；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、语言障碍的辅助诊断设备的筛查优点；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11</w:t>
      </w:r>
      <w:r>
        <w:rPr>
          <w:rFonts w:ascii="Times New Roman" w:hAnsi="Times New Roman" w:hint="eastAsia"/>
          <w:kern w:val="0"/>
          <w:sz w:val="22"/>
        </w:rPr>
        <w:t>、语言障碍患者的辅助交流器具和电子媒介对语言的影响；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12</w:t>
      </w:r>
      <w:r>
        <w:rPr>
          <w:rFonts w:ascii="Times New Roman" w:hAnsi="Times New Roman" w:hint="eastAsia"/>
          <w:kern w:val="0"/>
          <w:sz w:val="22"/>
        </w:rPr>
        <w:t>、语言障碍的相关药物治疗</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第三章</w:t>
      </w:r>
      <w:r>
        <w:rPr>
          <w:rFonts w:ascii="Times New Roman"/>
          <w:b/>
        </w:rPr>
        <w:t xml:space="preserve"> </w:t>
      </w:r>
      <w:r>
        <w:rPr>
          <w:rFonts w:ascii="Times New Roman" w:hint="eastAsia"/>
          <w:b/>
        </w:rPr>
        <w:t>听力障碍</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、掌握听力障碍的定义、分级，听力检查中的基本概念，助听器的检测及佩戴原则、适应证；听力障碍对言语的影响及特点；对听力障碍儿童言语能力的评估，听力障碍儿童的言语功能训练（自学）；</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lastRenderedPageBreak/>
        <w:t>2</w:t>
      </w:r>
      <w:r>
        <w:rPr>
          <w:rFonts w:ascii="Times New Roman" w:hAnsi="Times New Roman" w:hint="eastAsia"/>
          <w:kern w:val="0"/>
          <w:sz w:val="22"/>
        </w:rPr>
        <w:t>、熟悉听力障碍的检查方法和评估方法，电子耳蜗植入的手术适应证和禁忌证；</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、了解常见的听力障碍的类型，导致听力障碍的病因、发病机制和临床表现；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、了解聋儿听觉训练的方法，聋儿语言训练实施中的注意点，聋儿的言语训练方法，聋儿聆听技能培建程序分几个阶段及个阶段培建目标（自学）；</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、了解耳蜗植入后聆听技能培建内容；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、了解聋儿语言训练计划概要（自学）。</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听力障碍</w:t>
      </w:r>
      <w:r>
        <w:rPr>
          <w:rFonts w:ascii="Times New Roman" w:hAnsi="Times New Roman"/>
          <w:kern w:val="0"/>
          <w:sz w:val="22"/>
        </w:rPr>
        <w:t>.</w:t>
      </w:r>
      <w:r>
        <w:rPr>
          <w:rFonts w:ascii="Times New Roman" w:hAnsi="Times New Roman" w:hint="eastAsia"/>
          <w:kern w:val="0"/>
          <w:sz w:val="22"/>
        </w:rPr>
        <w:t>常见分类及病因，听力检查中的基本概念；</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、助听器的检测及佩戴原则、适应证；</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、听力障碍对言语的影响及特点；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、熟悉听力障碍的检查方法和评估方法；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、电子耳蜗植入的手术适应证和禁忌证；</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、常见的听力障碍的类型，导致听力障碍的病因、发病机制和临床表现；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、听力障碍的预防。</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第四章</w:t>
      </w:r>
      <w:r>
        <w:rPr>
          <w:rFonts w:ascii="Times New Roman"/>
          <w:b/>
        </w:rPr>
        <w:t xml:space="preserve"> </w:t>
      </w:r>
      <w:r>
        <w:rPr>
          <w:rFonts w:ascii="Times New Roman" w:hint="eastAsia"/>
          <w:b/>
        </w:rPr>
        <w:t>失语症</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、掌握失语症的定义和原因；掌握失语症的听理解和口语表现，熟悉失语症的阅读和书写的表现；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、掌握汉语失语症的分类；熟悉各种失语症的临床表现以及病变的部位；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、掌握各种失读症的临床表现特征，熟悉失读症的临床分型及各种失读症的病变部位；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、掌握汉语标准失语症的检查原则；熟悉失语症评估报告的书写；</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、掌握失语症治疗的适应症和治疗时机；</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、熟悉失语症资料的训练程序；了解失语症治疗的主要机制；</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、掌握</w:t>
      </w:r>
      <w:r>
        <w:rPr>
          <w:rFonts w:ascii="Times New Roman" w:hAnsi="Times New Roman"/>
          <w:kern w:val="0"/>
          <w:sz w:val="22"/>
        </w:rPr>
        <w:t>Schuell</w:t>
      </w:r>
      <w:r>
        <w:rPr>
          <w:rFonts w:ascii="Times New Roman" w:hAnsi="Times New Roman" w:hint="eastAsia"/>
          <w:kern w:val="0"/>
          <w:sz w:val="22"/>
        </w:rPr>
        <w:t>刺激法的原则。</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、失语症的定义与病因；</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、失语症的语言症状：听觉理解障碍；口语表达障碍；阅读障碍；书写障碍；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、现代汉语失语症的分类：根据</w:t>
      </w:r>
      <w:r>
        <w:rPr>
          <w:rFonts w:ascii="Times New Roman" w:hAnsi="Times New Roman"/>
          <w:kern w:val="0"/>
          <w:sz w:val="22"/>
        </w:rPr>
        <w:t xml:space="preserve">Benson </w:t>
      </w:r>
      <w:r>
        <w:rPr>
          <w:rFonts w:ascii="Times New Roman" w:hAnsi="Times New Roman" w:hint="eastAsia"/>
          <w:kern w:val="0"/>
          <w:sz w:val="22"/>
        </w:rPr>
        <w:t>失语分类基础，结合我国具体情况制定；</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、各种类型失语症的临床特征；</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、失语症康复评定：国际上和国内常用的失语症检查法；失语症严重程度的评定；</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、失语症的鉴别诊断；失语症的评估报告及训练程序；</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lastRenderedPageBreak/>
        <w:t>7</w:t>
      </w:r>
      <w:r>
        <w:rPr>
          <w:rFonts w:ascii="Times New Roman" w:hAnsi="Times New Roman" w:hint="eastAsia"/>
          <w:kern w:val="0"/>
          <w:sz w:val="22"/>
        </w:rPr>
        <w:t>、失语症的治疗适应症、治疗时机；</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、失语症治疗方法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1) Schuell </w:t>
      </w:r>
      <w:r>
        <w:rPr>
          <w:rFonts w:ascii="Times New Roman" w:hAnsi="Times New Roman" w:hint="eastAsia"/>
          <w:kern w:val="0"/>
          <w:sz w:val="22"/>
        </w:rPr>
        <w:t>刺激法的原则、治疗程序的设定及注意事项；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2) </w:t>
      </w:r>
      <w:r>
        <w:rPr>
          <w:rFonts w:ascii="Times New Roman" w:hAnsi="Times New Roman" w:hint="eastAsia"/>
          <w:kern w:val="0"/>
          <w:sz w:val="22"/>
        </w:rPr>
        <w:t>促进实用交流能力的训练的原则；交流效果促进的治疗方法；治疗原则、具体的代</w:t>
      </w:r>
      <w:r>
        <w:rPr>
          <w:rFonts w:ascii="Times New Roman" w:hAnsi="Times New Roman"/>
          <w:kern w:val="0"/>
          <w:sz w:val="22"/>
        </w:rPr>
        <w:t xml:space="preserve"> </w:t>
      </w:r>
      <w:r>
        <w:rPr>
          <w:rFonts w:ascii="Times New Roman" w:hAnsi="Times New Roman" w:hint="eastAsia"/>
          <w:kern w:val="0"/>
          <w:sz w:val="22"/>
        </w:rPr>
        <w:t>偿手段、评分方法、停止训练的标准。</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3) </w:t>
      </w:r>
      <w:r>
        <w:rPr>
          <w:rFonts w:ascii="Times New Roman" w:hAnsi="Times New Roman" w:hint="eastAsia"/>
          <w:kern w:val="0"/>
          <w:sz w:val="22"/>
        </w:rPr>
        <w:t>阅读理解的训练方法、影响阅读理解的因素、了解阅读理解的思维过程。</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第五章</w:t>
      </w:r>
      <w:r>
        <w:rPr>
          <w:rFonts w:ascii="Times New Roman"/>
          <w:b/>
        </w:rPr>
        <w:t xml:space="preserve"> </w:t>
      </w:r>
      <w:r>
        <w:rPr>
          <w:rFonts w:ascii="Times New Roman" w:hint="eastAsia"/>
          <w:b/>
        </w:rPr>
        <w:t>构音障碍</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、掌握构音障碍的定义、分类；掌握运动性构音障碍分类、评定与治疗；掌握功能性构音障碍的治疗。</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、熟练运动性构音障碍的定义；熟悉构音障碍的语言表现；熟悉构音检查的方法；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、了解神经解剖和言语声学；了解构音障碍的语言表现；自习脑瘫儿童构音障碍治疗方法。</w:t>
      </w:r>
      <w:r>
        <w:rPr>
          <w:rFonts w:ascii="Times New Roman" w:hAnsi="Times New Roman"/>
          <w:kern w:val="0"/>
          <w:sz w:val="22"/>
        </w:rPr>
        <w:t xml:space="preserve"> </w:t>
      </w: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、构音障碍的分类、定义；</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、运动性构音障碍的定义、分类、评估方法；构音障碍的语言表现；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、成人构音障碍治疗的原则、构音器官运动训练的方法；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、功能性构音障碍定义、诊断、构音评估、训练原则、训练计划的制订、构音训练。</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第六章</w:t>
      </w:r>
      <w:r>
        <w:rPr>
          <w:rFonts w:ascii="Times New Roman"/>
          <w:b/>
        </w:rPr>
        <w:t xml:space="preserve"> </w:t>
      </w:r>
      <w:r>
        <w:rPr>
          <w:rFonts w:ascii="Times New Roman" w:hint="eastAsia"/>
          <w:b/>
        </w:rPr>
        <w:t>腭裂（自学）</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、了解腭裂腭咽功能的评估方法和描述方法；黏膜下腭裂、先天性腭咽闭合功能不全的检查以及腭裂康复治疗的原则及步骤；</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、熟悉腭裂的语言学特点和构音器官形态的康复评估；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、了解腭裂的病因、分类和发病机制以及临床表现；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、熟悉腭裂语言训练原则和注意事项；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、了解腭裂语言训练开始的时间。</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、腭裂的定义；腭咽功能的评估方法和描述方法、康复治疗的原则及步骤；</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、腭裂的语言学特点和构音器官形态的康复评估；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、腭裂的病因、分类和发病机制以及临床表现；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、腭裂语言训练原则和注意事项、训练开始的时间；</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、腭裂具体训练方法、训练原则和注意事项。</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lastRenderedPageBreak/>
        <w:t>第七章</w:t>
      </w:r>
      <w:r>
        <w:rPr>
          <w:rFonts w:ascii="Times New Roman"/>
          <w:b/>
        </w:rPr>
        <w:t xml:space="preserve"> </w:t>
      </w:r>
      <w:r>
        <w:rPr>
          <w:rFonts w:ascii="Times New Roman" w:hint="eastAsia"/>
          <w:b/>
        </w:rPr>
        <w:t>发声障碍</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、掌握发声障碍的概念，音调、音质、音量的概念；声质的评估及分类；音调和音量的评</w:t>
      </w:r>
      <w:r>
        <w:rPr>
          <w:rFonts w:ascii="Times New Roman" w:hAnsi="Times New Roman"/>
          <w:kern w:val="0"/>
          <w:sz w:val="22"/>
        </w:rPr>
        <w:t xml:space="preserve"> </w:t>
      </w:r>
      <w:r>
        <w:rPr>
          <w:rFonts w:ascii="Times New Roman" w:hAnsi="Times New Roman" w:hint="eastAsia"/>
          <w:kern w:val="0"/>
          <w:sz w:val="22"/>
        </w:rPr>
        <w:t>估；发声障碍的康复治疗要点；无喉者语音训练的方法。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、熟悉声带视诊的临床检查方法；声带振动的检查方法；肌电图的检查方法以及声带振动</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hint="eastAsia"/>
          <w:kern w:val="0"/>
          <w:sz w:val="22"/>
        </w:rPr>
        <w:t>的物理特点。</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、发声障碍的概念，音调、音质、音量的概念；声质的评估及分类；音调和音量的评估；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、发声障碍的康复治疗要点；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、无喉者语音训练的方法；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、声带视诊的临床检查方法；声带振动的检查方法；肌电图的检查方法；以及声带振动的物理特点；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、引起发声障碍的常见病变和临床表现，如声带小结，臆症性失音，痉挛性发声障碍等。</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第八章</w:t>
      </w:r>
      <w:r>
        <w:rPr>
          <w:rFonts w:ascii="Times New Roman"/>
          <w:b/>
        </w:rPr>
        <w:t xml:space="preserve"> </w:t>
      </w:r>
      <w:r>
        <w:rPr>
          <w:rFonts w:ascii="Times New Roman" w:hint="eastAsia"/>
          <w:b/>
        </w:rPr>
        <w:t>口吃</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、熟悉儿童和成人的口吃治疗；</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、熟悉儿童口吃及成人口吃的评估原则；</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、了解口吃的原因，口吃儿童父母指导以及专业流畅性技巧。</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、口吃的定义、原因和症状；</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、口吃症状和类型；</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、口吃的评估；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、口吃的治疗的标准；</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）言语不流利的数量在正常范围内；</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）流利程度在正常范围内持续至少</w:t>
      </w:r>
      <w:r>
        <w:rPr>
          <w:rFonts w:ascii="Times New Roman" w:hAnsi="Times New Roman"/>
          <w:kern w:val="0"/>
          <w:sz w:val="22"/>
        </w:rPr>
        <w:t xml:space="preserve">5 </w:t>
      </w:r>
      <w:r>
        <w:rPr>
          <w:rFonts w:ascii="Times New Roman" w:hAnsi="Times New Roman" w:hint="eastAsia"/>
          <w:kern w:val="0"/>
          <w:sz w:val="22"/>
        </w:rPr>
        <w:t>年；</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）不再认为他</w:t>
      </w:r>
      <w:r>
        <w:rPr>
          <w:rFonts w:ascii="Times New Roman" w:hAnsi="Times New Roman"/>
          <w:kern w:val="0"/>
          <w:sz w:val="22"/>
        </w:rPr>
        <w:t>/</w:t>
      </w:r>
      <w:r>
        <w:rPr>
          <w:rFonts w:ascii="Times New Roman" w:hAnsi="Times New Roman" w:hint="eastAsia"/>
          <w:kern w:val="0"/>
          <w:sz w:val="22"/>
        </w:rPr>
        <w:t>她有流利性障碍或再次发生此类问题。</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、口吃儿童父母指导。</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、成人口吃的治疗。</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第九章</w:t>
      </w:r>
      <w:r>
        <w:rPr>
          <w:rFonts w:ascii="Times New Roman"/>
          <w:b/>
        </w:rPr>
        <w:t xml:space="preserve"> </w:t>
      </w:r>
      <w:r>
        <w:rPr>
          <w:rFonts w:ascii="Times New Roman" w:hint="eastAsia"/>
          <w:b/>
        </w:rPr>
        <w:t>儿童语言发育迟缓</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、熟悉儿童语言发育迟缓的定义；熟悉语言发育迟缓原因、临床表现；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lastRenderedPageBreak/>
        <w:t>2</w:t>
      </w:r>
      <w:r>
        <w:rPr>
          <w:rFonts w:ascii="Times New Roman" w:hAnsi="Times New Roman" w:hint="eastAsia"/>
          <w:kern w:val="0"/>
          <w:sz w:val="22"/>
        </w:rPr>
        <w:t>、了解儿童语言发育迟缓评价目的及评价程序、内容；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、熟悉语言发育迟缓训练方式，熟悉训练原则；</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、熟悉语言发育迟缓训练方法。</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、儿童语言发育迟缓的定义及病因；</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、语言发育迟缓的表现；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、儿童语言发育迟缓的评价和诊断；</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、汉语儿童语言发育迟缓评价法；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、语言发育迟缓训练：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1) </w:t>
      </w:r>
      <w:r>
        <w:rPr>
          <w:rFonts w:ascii="Times New Roman" w:hAnsi="Times New Roman" w:hint="eastAsia"/>
          <w:kern w:val="0"/>
          <w:sz w:val="22"/>
        </w:rPr>
        <w:t>训练原则；</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2) </w:t>
      </w:r>
      <w:r>
        <w:rPr>
          <w:rFonts w:ascii="Times New Roman" w:hAnsi="Times New Roman" w:hint="eastAsia"/>
          <w:kern w:val="0"/>
          <w:sz w:val="22"/>
        </w:rPr>
        <w:t>训练目标；</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3) </w:t>
      </w:r>
      <w:r>
        <w:rPr>
          <w:rFonts w:ascii="Times New Roman" w:hAnsi="Times New Roman" w:hint="eastAsia"/>
          <w:kern w:val="0"/>
          <w:sz w:val="22"/>
        </w:rPr>
        <w:t>训练方式；</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、掌握语言发育迟缓训练方法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1) </w:t>
      </w:r>
      <w:r>
        <w:rPr>
          <w:rFonts w:ascii="Times New Roman" w:hAnsi="Times New Roman" w:hint="eastAsia"/>
          <w:kern w:val="0"/>
          <w:sz w:val="22"/>
        </w:rPr>
        <w:t>符号形式与指示内容关系的训练；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2) </w:t>
      </w:r>
      <w:r>
        <w:rPr>
          <w:rFonts w:ascii="Times New Roman" w:hAnsi="Times New Roman" w:hint="eastAsia"/>
          <w:kern w:val="0"/>
          <w:sz w:val="22"/>
        </w:rPr>
        <w:t>文字训练；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3) </w:t>
      </w:r>
      <w:r>
        <w:rPr>
          <w:rFonts w:ascii="Times New Roman" w:hAnsi="Times New Roman" w:hint="eastAsia"/>
          <w:kern w:val="0"/>
          <w:sz w:val="22"/>
        </w:rPr>
        <w:t>交流训练；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）家庭环境调整。</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第十章</w:t>
      </w:r>
      <w:r>
        <w:rPr>
          <w:rFonts w:ascii="Times New Roman"/>
          <w:b/>
        </w:rPr>
        <w:t xml:space="preserve"> </w:t>
      </w:r>
      <w:r>
        <w:rPr>
          <w:rFonts w:ascii="Times New Roman" w:hint="eastAsia"/>
          <w:b/>
        </w:rPr>
        <w:t>吞咽障碍</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、掌握正常吞咽过程的分期和不同时期的神经支配；熟悉与吞咽有关的解剖结构；</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、了解与吞咽有关的不同解剖结构的神经支配；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、掌握吞咽障碍的定义，吞咽障碍的病因；吞咽障碍的临床表现；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、熟悉真、假性延髓麻痹的区别，吞咽障碍的临床诊断；</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、掌握吞咽障碍的临床评估、摄食</w:t>
      </w:r>
      <w:r>
        <w:rPr>
          <w:rFonts w:ascii="Times New Roman" w:hAnsi="Times New Roman"/>
          <w:kern w:val="0"/>
          <w:sz w:val="22"/>
        </w:rPr>
        <w:t>-</w:t>
      </w:r>
      <w:r>
        <w:rPr>
          <w:rFonts w:ascii="Times New Roman" w:hAnsi="Times New Roman" w:hint="eastAsia"/>
          <w:kern w:val="0"/>
          <w:sz w:val="22"/>
        </w:rPr>
        <w:t>吞咽功能等级评估和吞咽障碍的评估流程；</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、了解吞咽障碍的电视荧光放射吞咽功能检查、电视内窥镜吞咽功能检查；</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、掌握吞咽器官运动训练、感觉促进综合训练、摄食直接训练等吞咽障碍训练方法；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、了解电刺激治疗、球囊扩张术治疗在吞咽障碍中应用。</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、正常人的吞咽运动分为五个阶段，有六对颅神经参与吞咽运动过程的支配；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、吞咽障碍的定义、病因、临床表现；</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、吞咽障碍临床功能检查及辅助检查；</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lastRenderedPageBreak/>
        <w:t>4</w:t>
      </w:r>
      <w:r>
        <w:rPr>
          <w:rFonts w:ascii="Times New Roman" w:hAnsi="Times New Roman" w:hint="eastAsia"/>
          <w:kern w:val="0"/>
          <w:sz w:val="22"/>
        </w:rPr>
        <w:t>、吞咽障碍的评估流程；</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、吞咽障碍的治疗：</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1) </w:t>
      </w:r>
      <w:r>
        <w:rPr>
          <w:rFonts w:ascii="Times New Roman" w:hAnsi="Times New Roman" w:hint="eastAsia"/>
          <w:kern w:val="0"/>
          <w:sz w:val="22"/>
        </w:rPr>
        <w:t>对吞咽障碍家属患者及其家属的指导；</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2) </w:t>
      </w:r>
      <w:r>
        <w:rPr>
          <w:rFonts w:ascii="Times New Roman" w:hAnsi="Times New Roman" w:hint="eastAsia"/>
          <w:kern w:val="0"/>
          <w:sz w:val="22"/>
        </w:rPr>
        <w:t>吞咽器官运动训练；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3) </w:t>
      </w:r>
      <w:r>
        <w:rPr>
          <w:rFonts w:ascii="Times New Roman" w:hAnsi="Times New Roman" w:hint="eastAsia"/>
          <w:kern w:val="0"/>
          <w:sz w:val="22"/>
        </w:rPr>
        <w:t>感觉促进综合训练；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4) </w:t>
      </w:r>
      <w:r>
        <w:rPr>
          <w:rFonts w:ascii="Times New Roman" w:hAnsi="Times New Roman" w:hint="eastAsia"/>
          <w:kern w:val="0"/>
          <w:sz w:val="22"/>
        </w:rPr>
        <w:t>摄食直接训练；</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5) </w:t>
      </w:r>
      <w:r>
        <w:rPr>
          <w:rFonts w:ascii="Times New Roman" w:hAnsi="Times New Roman" w:hint="eastAsia"/>
          <w:kern w:val="0"/>
          <w:sz w:val="22"/>
        </w:rPr>
        <w:t>电刺激；</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 xml:space="preserve">6) </w:t>
      </w:r>
      <w:r>
        <w:rPr>
          <w:rFonts w:ascii="Times New Roman" w:hAnsi="Times New Roman" w:hint="eastAsia"/>
          <w:kern w:val="0"/>
          <w:sz w:val="22"/>
        </w:rPr>
        <w:t>球囊扩张术。</w:t>
      </w:r>
    </w:p>
    <w:p w:rsidR="003717A0" w:rsidRDefault="003717A0">
      <w:pPr>
        <w:autoSpaceDE w:val="0"/>
        <w:autoSpaceDN w:val="0"/>
        <w:adjustRightInd w:val="0"/>
        <w:snapToGrid w:val="0"/>
        <w:spacing w:line="440" w:lineRule="exact"/>
        <w:ind w:firstLineChars="100" w:firstLine="211"/>
        <w:jc w:val="center"/>
        <w:rPr>
          <w:rFonts w:ascii="Times New Roman"/>
          <w:b/>
        </w:rPr>
      </w:pPr>
      <w:r>
        <w:rPr>
          <w:rFonts w:ascii="Times New Roman" w:hint="eastAsia"/>
          <w:b/>
        </w:rPr>
        <w:t>第十一章</w:t>
      </w:r>
      <w:r>
        <w:rPr>
          <w:rFonts w:ascii="Times New Roman"/>
          <w:b/>
        </w:rPr>
        <w:t xml:space="preserve"> </w:t>
      </w:r>
      <w:r>
        <w:rPr>
          <w:rFonts w:ascii="Times New Roman" w:hint="eastAsia"/>
          <w:b/>
        </w:rPr>
        <w:t>其他原因引起的语言障碍（自学）</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目的要求</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、熟悉认知的概念及轻度认知功能损害的临床表现，六种认知功能障碍致语言障碍的特点；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、熟悉认知障碍测验量表的分类和特点；认知障碍的常用行为观察；量表</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、了解流体智力和晶体智力的特点；认知障碍诊治仪初级认知康复的训练内容；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、熟悉焦虑、抑郁、精神分裂症的康复方法；</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、熟悉焦虑、抑郁、精神分裂症的临床表现、康复评定；</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、熟悉痴呆的定义；老年性痴呆的语言障碍特点；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、熟悉口颜面失用和言语失用的定义，言语失用的特征、评估和康复治疗；</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、熟悉孤独症的概念、临床表现、诊断标准；孤独症的筛查和评分量表。</w:t>
      </w:r>
    </w:p>
    <w:p w:rsidR="003717A0" w:rsidRDefault="003717A0">
      <w:pPr>
        <w:autoSpaceDE w:val="0"/>
        <w:autoSpaceDN w:val="0"/>
        <w:adjustRightInd w:val="0"/>
        <w:snapToGrid w:val="0"/>
        <w:spacing w:line="440" w:lineRule="exact"/>
        <w:ind w:firstLineChars="100" w:firstLine="211"/>
        <w:jc w:val="left"/>
        <w:rPr>
          <w:rFonts w:ascii="Times New Roman"/>
          <w:b/>
        </w:rPr>
      </w:pPr>
      <w:r>
        <w:rPr>
          <w:rFonts w:ascii="Times New Roman" w:hint="eastAsia"/>
          <w:b/>
        </w:rPr>
        <w:t>教学内容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、认知概念；</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、认知障碍与语言障碍；</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、焦虑、抑郁、精神分裂症的临床表现、康复评定；</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、痴呆的定义；老年性痴呆的语言障碍特点；</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、口颜面失用和言语失用的定义，言语失用的特征</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、口失用的检查和言语失用的评估，口失用和言语失用的治疗</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、言语失用的病因；</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8</w:t>
      </w:r>
      <w:r>
        <w:rPr>
          <w:rFonts w:ascii="Times New Roman" w:hAnsi="Times New Roman" w:hint="eastAsia"/>
          <w:kern w:val="0"/>
          <w:sz w:val="22"/>
        </w:rPr>
        <w:t>、孤独症的概念；孤独症的临床表现；以教育训练和语言交流为主的治疗方式；</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、孤独症的诊断标准；孤独症的筛查和评分量表的应用；</w:t>
      </w:r>
    </w:p>
    <w:p w:rsidR="003717A0" w:rsidRDefault="003717A0">
      <w:pPr>
        <w:autoSpaceDE w:val="0"/>
        <w:autoSpaceDN w:val="0"/>
        <w:adjustRightInd w:val="0"/>
        <w:snapToGrid w:val="0"/>
        <w:spacing w:line="440" w:lineRule="exact"/>
        <w:ind w:firstLineChars="100" w:firstLine="220"/>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、孤独症的治疗。</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教学安排</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3683"/>
        <w:gridCol w:w="1562"/>
        <w:gridCol w:w="1417"/>
      </w:tblGrid>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hint="eastAsia"/>
                <w:kern w:val="0"/>
                <w:sz w:val="22"/>
              </w:rPr>
              <w:t>序号</w:t>
            </w:r>
          </w:p>
        </w:tc>
        <w:tc>
          <w:tcPr>
            <w:tcW w:w="3683"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hint="eastAsia"/>
                <w:kern w:val="0"/>
                <w:sz w:val="22"/>
              </w:rPr>
              <w:t>内容</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hint="eastAsia"/>
                <w:kern w:val="0"/>
                <w:sz w:val="22"/>
              </w:rPr>
              <w:t>学时</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hint="eastAsia"/>
                <w:kern w:val="0"/>
                <w:sz w:val="22"/>
              </w:rPr>
              <w:t>实验学时</w:t>
            </w: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lastRenderedPageBreak/>
              <w:t>1</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概述，语言治疗的方法</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2</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听力障碍概念、评定、治疗</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失语症概述、分类、评定、治疗</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6</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4</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构音障碍定义、分类、评定、治疗</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6</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5</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发声障碍与口吃</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6</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儿童语言发育迟缓</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7</w:t>
            </w:r>
          </w:p>
        </w:tc>
        <w:tc>
          <w:tcPr>
            <w:tcW w:w="3683" w:type="dxa"/>
          </w:tcPr>
          <w:p w:rsidR="003717A0" w:rsidRDefault="003717A0">
            <w:pPr>
              <w:autoSpaceDE w:val="0"/>
              <w:autoSpaceDN w:val="0"/>
              <w:adjustRightInd w:val="0"/>
              <w:snapToGrid w:val="0"/>
              <w:spacing w:line="440" w:lineRule="exact"/>
              <w:jc w:val="left"/>
              <w:rPr>
                <w:rFonts w:ascii="Times New Roman" w:hAnsi="Times New Roman"/>
                <w:kern w:val="0"/>
                <w:sz w:val="22"/>
              </w:rPr>
            </w:pPr>
            <w:r>
              <w:rPr>
                <w:rFonts w:ascii="Times New Roman" w:hAnsi="Times New Roman" w:hint="eastAsia"/>
                <w:kern w:val="0"/>
                <w:sz w:val="22"/>
              </w:rPr>
              <w:t>吞咽障碍的康复</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w:t>
            </w:r>
          </w:p>
        </w:tc>
      </w:tr>
      <w:tr w:rsidR="003717A0">
        <w:trPr>
          <w:jc w:val="center"/>
        </w:trPr>
        <w:tc>
          <w:tcPr>
            <w:tcW w:w="959"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hint="eastAsia"/>
                <w:kern w:val="0"/>
                <w:sz w:val="22"/>
              </w:rPr>
              <w:t>合计</w:t>
            </w:r>
          </w:p>
        </w:tc>
        <w:tc>
          <w:tcPr>
            <w:tcW w:w="3683"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38</w:t>
            </w:r>
          </w:p>
        </w:tc>
        <w:tc>
          <w:tcPr>
            <w:tcW w:w="1562"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27</w:t>
            </w:r>
          </w:p>
        </w:tc>
        <w:tc>
          <w:tcPr>
            <w:tcW w:w="1417" w:type="dxa"/>
          </w:tcPr>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9</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rPr>
          <w:rFonts w:ascii="Times New Roman"/>
        </w:rPr>
      </w:pPr>
      <w:r>
        <w:rPr>
          <w:rFonts w:ascii="Times New Roman" w:hint="eastAsia"/>
        </w:rPr>
        <w:t>多媒体教室、</w:t>
      </w:r>
      <w:r>
        <w:rPr>
          <w:rFonts w:ascii="Times New Roman"/>
        </w:rPr>
        <w:t>blackboard</w:t>
      </w:r>
      <w:r>
        <w:rPr>
          <w:rFonts w:ascii="Times New Roman" w:hint="eastAsia"/>
        </w:rPr>
        <w:t>网络平台等；</w:t>
      </w:r>
    </w:p>
    <w:p w:rsidR="003717A0" w:rsidRDefault="003717A0">
      <w:pPr>
        <w:adjustRightInd w:val="0"/>
        <w:snapToGrid w:val="0"/>
        <w:spacing w:line="360" w:lineRule="auto"/>
        <w:ind w:right="4"/>
        <w:rPr>
          <w:rFonts w:ascii="Times New Roman"/>
        </w:rPr>
      </w:pPr>
      <w:r>
        <w:rPr>
          <w:rFonts w:ascii="Times New Roman" w:hint="eastAsia"/>
        </w:rPr>
        <w:t>多媒体教学课件、模型教具、医学形态学数字化教学平台等。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hint="eastAsia"/>
          <w:sz w:val="22"/>
        </w:rPr>
        <w:t>考核方式：期末考试</w:t>
      </w:r>
      <w:r>
        <w:rPr>
          <w:sz w:val="22"/>
        </w:rPr>
        <w:t>100%</w:t>
      </w:r>
      <w:r>
        <w:rPr>
          <w:rFonts w:hint="eastAsia"/>
          <w:sz w:val="22"/>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jc w:val="left"/>
        <w:rPr>
          <w:rFonts w:ascii="Times New Roman"/>
        </w:rPr>
      </w:pPr>
      <w:r>
        <w:rPr>
          <w:rFonts w:ascii="Times New Roman" w:hint="eastAsia"/>
        </w:rPr>
        <w:t>理论教材：李胜利主编，《语言治疗学》，人民卫生出版社，</w:t>
      </w:r>
      <w:r>
        <w:rPr>
          <w:rFonts w:ascii="Times New Roman"/>
        </w:rPr>
        <w:t>2008</w:t>
      </w:r>
      <w:r>
        <w:rPr>
          <w:rFonts w:ascii="Times New Roman" w:hint="eastAsia"/>
        </w:rPr>
        <w:t>年</w:t>
      </w:r>
      <w:r>
        <w:rPr>
          <w:rFonts w:ascii="Times New Roman"/>
        </w:rPr>
        <w:t>1</w:t>
      </w:r>
      <w:r>
        <w:rPr>
          <w:rFonts w:ascii="Times New Roman" w:hint="eastAsia"/>
        </w:rPr>
        <w:t>月</w:t>
      </w:r>
    </w:p>
    <w:p w:rsidR="003717A0" w:rsidRDefault="003717A0">
      <w:pPr>
        <w:autoSpaceDE w:val="0"/>
        <w:autoSpaceDN w:val="0"/>
        <w:adjustRightInd w:val="0"/>
        <w:spacing w:line="360" w:lineRule="exact"/>
        <w:jc w:val="left"/>
        <w:rPr>
          <w:rFonts w:ascii="Times New Roman"/>
        </w:rPr>
      </w:pPr>
      <w:r>
        <w:rPr>
          <w:rFonts w:ascii="Times New Roman" w:hint="eastAsia"/>
        </w:rPr>
        <w:t>主要参考书及网页</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王维治，罗祖明，神经病学，北京：人民卫生出版社，</w:t>
      </w:r>
      <w:r>
        <w:rPr>
          <w:rFonts w:ascii="Times New Roman"/>
        </w:rPr>
        <w:t>2002</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柏树令，应大君，系统解剖学，北京：人民卫生出版社，</w:t>
      </w:r>
      <w:r>
        <w:rPr>
          <w:rFonts w:ascii="Times New Roman"/>
        </w:rPr>
        <w:t>2004</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汤慈美，神经心理学，北京：人民军医出版社，</w:t>
      </w:r>
      <w:r>
        <w:rPr>
          <w:rFonts w:ascii="Times New Roman"/>
        </w:rPr>
        <w:t>2001</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李胜利，言语治疗学，北京：华夏出版社，</w:t>
      </w:r>
      <w:r>
        <w:rPr>
          <w:rFonts w:ascii="Times New Roman"/>
        </w:rPr>
        <w:t>2004</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黄东锋，卓大宏，陈卓铭，等，临床康复医学，汕头：汕头大学出版社，</w:t>
      </w:r>
      <w:r>
        <w:rPr>
          <w:rFonts w:ascii="Times New Roman"/>
        </w:rPr>
        <w:t>2004</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王祖乘，精神病学，北京：人民卫生出版社，</w:t>
      </w:r>
      <w:r>
        <w:rPr>
          <w:rFonts w:ascii="Times New Roman"/>
        </w:rPr>
        <w:t>2002</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郝伟，精神病学，北京：人民卫生出版社，</w:t>
      </w:r>
      <w:r>
        <w:rPr>
          <w:rFonts w:ascii="Times New Roman"/>
        </w:rPr>
        <w:t>2001</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贺丹军，康复心理学，北京：华夏出版社，</w:t>
      </w:r>
      <w:r>
        <w:rPr>
          <w:rFonts w:ascii="Times New Roman"/>
        </w:rPr>
        <w:t>2005:77-84</w:t>
      </w:r>
    </w:p>
    <w:p w:rsidR="003717A0" w:rsidRDefault="003717A0">
      <w:pPr>
        <w:numPr>
          <w:ilvl w:val="0"/>
          <w:numId w:val="364"/>
        </w:numPr>
        <w:autoSpaceDE w:val="0"/>
        <w:autoSpaceDN w:val="0"/>
        <w:adjustRightInd w:val="0"/>
        <w:spacing w:line="360" w:lineRule="exact"/>
        <w:jc w:val="left"/>
        <w:rPr>
          <w:rFonts w:ascii="Times New Roman"/>
        </w:rPr>
      </w:pPr>
      <w:r>
        <w:rPr>
          <w:rFonts w:ascii="Times New Roman" w:hint="eastAsia"/>
        </w:rPr>
        <w:t>韩太真，吴馥梅，学习与记忆的神经生物学，北京：北京医科大学中国协和医科大学联合出版社，</w:t>
      </w:r>
      <w:r>
        <w:rPr>
          <w:rFonts w:ascii="Times New Roman"/>
        </w:rPr>
        <w:t>1998</w:t>
      </w:r>
    </w:p>
    <w:p w:rsidR="003717A0" w:rsidRDefault="003717A0">
      <w:pPr>
        <w:autoSpaceDE w:val="0"/>
        <w:autoSpaceDN w:val="0"/>
        <w:adjustRightInd w:val="0"/>
        <w:spacing w:line="360" w:lineRule="exact"/>
        <w:jc w:val="left"/>
        <w:rPr>
          <w:rFonts w:ascii="Times New Roman"/>
        </w:rPr>
      </w:pPr>
      <w:r>
        <w:rPr>
          <w:rFonts w:ascii="Times New Roman"/>
        </w:rPr>
        <w:t>10</w:t>
      </w:r>
      <w:r>
        <w:rPr>
          <w:rFonts w:ascii="Times New Roman" w:hint="eastAsia"/>
        </w:rPr>
        <w:t>、姜泗长，临床听力学，北京：北京医科大学中国协和医科大学联合出版社，</w:t>
      </w:r>
      <w:r>
        <w:rPr>
          <w:rFonts w:ascii="Times New Roman"/>
        </w:rPr>
        <w:t>1999</w:t>
      </w:r>
    </w:p>
    <w:p w:rsidR="003717A0" w:rsidRDefault="003717A0">
      <w:pPr>
        <w:autoSpaceDE w:val="0"/>
        <w:autoSpaceDN w:val="0"/>
        <w:adjustRightInd w:val="0"/>
        <w:spacing w:line="360" w:lineRule="exact"/>
        <w:jc w:val="left"/>
        <w:rPr>
          <w:rFonts w:ascii="Times New Roman"/>
        </w:rPr>
      </w:pPr>
      <w:r>
        <w:rPr>
          <w:rFonts w:ascii="Times New Roman"/>
        </w:rPr>
        <w:t>11</w:t>
      </w:r>
      <w:r>
        <w:rPr>
          <w:rFonts w:ascii="Times New Roman" w:hint="eastAsia"/>
        </w:rPr>
        <w:t>、刘慕虞，耳聋诊断治疗学，福州：福建科学技术出版社，</w:t>
      </w:r>
      <w:r>
        <w:rPr>
          <w:rFonts w:ascii="Times New Roman"/>
        </w:rPr>
        <w:t>2005</w:t>
      </w:r>
    </w:p>
    <w:p w:rsidR="003717A0" w:rsidRDefault="003717A0">
      <w:pPr>
        <w:numPr>
          <w:ilvl w:val="0"/>
          <w:numId w:val="365"/>
        </w:numPr>
        <w:autoSpaceDE w:val="0"/>
        <w:autoSpaceDN w:val="0"/>
        <w:adjustRightInd w:val="0"/>
        <w:spacing w:line="360" w:lineRule="exact"/>
        <w:jc w:val="left"/>
        <w:rPr>
          <w:rFonts w:ascii="Times New Roman"/>
        </w:rPr>
      </w:pPr>
      <w:r>
        <w:rPr>
          <w:rFonts w:ascii="Times New Roman" w:hint="eastAsia"/>
        </w:rPr>
        <w:t>潘映辐，临床诱发电位学，第</w:t>
      </w:r>
      <w:r>
        <w:rPr>
          <w:rFonts w:ascii="Times New Roman"/>
        </w:rPr>
        <w:t>2</w:t>
      </w:r>
      <w:r>
        <w:rPr>
          <w:rFonts w:ascii="Times New Roman" w:hint="eastAsia"/>
        </w:rPr>
        <w:t>版，北京：人民卫生出版社，</w:t>
      </w:r>
      <w:r>
        <w:rPr>
          <w:rFonts w:ascii="Times New Roman"/>
        </w:rPr>
        <w:t>2002</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firstLineChars="157" w:firstLine="330"/>
        <w:jc w:val="left"/>
        <w:rPr>
          <w:rFonts w:ascii="黑体" w:eastAsia="黑体" w:cs="黑体"/>
          <w:kern w:val="0"/>
          <w:szCs w:val="21"/>
        </w:rPr>
      </w:pPr>
      <w:r>
        <w:rPr>
          <w:rFonts w:ascii="黑体" w:eastAsia="黑体" w:cs="黑体" w:hint="eastAsia"/>
          <w:kern w:val="0"/>
          <w:szCs w:val="21"/>
        </w:rPr>
        <w:t>制定人：孙</w:t>
      </w:r>
      <w:r>
        <w:rPr>
          <w:rFonts w:ascii="黑体" w:eastAsia="黑体" w:cs="黑体"/>
          <w:kern w:val="0"/>
          <w:szCs w:val="21"/>
        </w:rPr>
        <w:t xml:space="preserve">  </w:t>
      </w:r>
      <w:r>
        <w:rPr>
          <w:rFonts w:ascii="黑体" w:eastAsia="黑体" w:cs="黑体" w:hint="eastAsia"/>
          <w:kern w:val="0"/>
          <w:szCs w:val="21"/>
        </w:rPr>
        <w:t>丽</w:t>
      </w:r>
    </w:p>
    <w:p w:rsidR="003717A0" w:rsidRPr="00F5156D" w:rsidRDefault="00097A14" w:rsidP="00F5156D">
      <w:pPr>
        <w:autoSpaceDE w:val="0"/>
        <w:autoSpaceDN w:val="0"/>
        <w:adjustRightInd w:val="0"/>
        <w:spacing w:line="360" w:lineRule="exact"/>
        <w:jc w:val="center"/>
        <w:rPr>
          <w:rFonts w:ascii="黑体" w:eastAsia="黑体" w:cs="黑体"/>
          <w:kern w:val="0"/>
          <w:sz w:val="18"/>
          <w:szCs w:val="18"/>
        </w:rPr>
      </w:pPr>
      <w:r>
        <w:rPr>
          <w:rFonts w:ascii="黑体" w:eastAsia="黑体" w:cs="黑体" w:hint="eastAsia"/>
          <w:kern w:val="0"/>
          <w:szCs w:val="21"/>
        </w:rPr>
        <w:t xml:space="preserve">                                                </w:t>
      </w:r>
      <w:r w:rsidR="003717A0">
        <w:rPr>
          <w:rFonts w:ascii="黑体" w:eastAsia="黑体" w:cs="黑体" w:hint="eastAsia"/>
          <w:kern w:val="0"/>
          <w:szCs w:val="21"/>
        </w:rPr>
        <w:t>审核人：胡玉明</w:t>
      </w:r>
      <w:r w:rsidR="003717A0">
        <w:rPr>
          <w:rFonts w:ascii="黑体" w:eastAsia="黑体" w:cs="黑体"/>
          <w:kern w:val="0"/>
          <w:sz w:val="18"/>
          <w:szCs w:val="18"/>
        </w:rPr>
        <w:t xml:space="preserve"> </w:t>
      </w:r>
      <w:r w:rsidR="003717A0">
        <w:rPr>
          <w:rFonts w:ascii="黑体" w:eastAsia="黑体" w:cs="黑体"/>
          <w:kern w:val="0"/>
          <w:sz w:val="18"/>
          <w:szCs w:val="18"/>
        </w:rPr>
        <w:br w:type="page"/>
      </w:r>
      <w:r w:rsidR="003717A0"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rsidP="00097A14">
      <w:pPr>
        <w:numPr>
          <w:ilvl w:val="0"/>
          <w:numId w:val="366"/>
        </w:numPr>
        <w:adjustRightInd w:val="0"/>
        <w:snapToGrid w:val="0"/>
        <w:spacing w:line="360" w:lineRule="auto"/>
        <w:ind w:right="4" w:hanging="660"/>
        <w:rPr>
          <w:rFonts w:ascii="Times New Roman"/>
        </w:rPr>
      </w:pPr>
      <w:r>
        <w:rPr>
          <w:rFonts w:ascii="Times New Roman" w:hint="eastAsia"/>
        </w:rPr>
        <w:t>修读完本课程规定内容的康复治疗专业的本科学生；</w:t>
      </w:r>
    </w:p>
    <w:p w:rsidR="003717A0" w:rsidRDefault="003717A0">
      <w:pPr>
        <w:numPr>
          <w:ilvl w:val="0"/>
          <w:numId w:val="366"/>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失语症、构音障碍、发声障碍、听力障碍等功能障碍的理解和掌握情况，包括对其评定和治疗的能力。通过本课程的学习，学生应对语言功能障碍有一定的了解和掌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期末闭卷理论考核和实践操作考核。</w:t>
      </w:r>
    </w:p>
    <w:p w:rsidR="003717A0" w:rsidRDefault="003717A0">
      <w:pPr>
        <w:autoSpaceDE w:val="0"/>
        <w:autoSpaceDN w:val="0"/>
        <w:adjustRightInd w:val="0"/>
        <w:snapToGrid w:val="0"/>
        <w:spacing w:line="360" w:lineRule="auto"/>
        <w:jc w:val="left"/>
        <w:rPr>
          <w:rFonts w:ascii="宋体"/>
          <w:szCs w:val="21"/>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1</w:t>
      </w:r>
      <w:r>
        <w:rPr>
          <w:rFonts w:ascii="宋体"/>
          <w:szCs w:val="21"/>
        </w:rPr>
        <w:t>00</w:t>
      </w:r>
      <w:r>
        <w:rPr>
          <w:rFonts w:ascii="宋体" w:hAnsi="宋体"/>
          <w:szCs w:val="21"/>
        </w:rPr>
        <w:t>%</w:t>
      </w:r>
      <w:r>
        <w:rPr>
          <w:rFonts w:ascii="宋体"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szCs w:val="21"/>
        </w:rPr>
        <w:t>失语症、构音障碍和吞咽障碍的基本概念；主要专业名词；各功能障碍的定义、分类、评定和治疗方法的掌握</w:t>
      </w:r>
      <w:r>
        <w:rPr>
          <w:rFonts w:ascii="宋体" w:hAnsi="宋体"/>
          <w:b/>
          <w:kern w:val="0"/>
          <w:szCs w:val="21"/>
        </w:rPr>
        <w:t xml:space="preserve"> </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使学生掌握语言的发育阶段及其过程，失语症、构音障碍、吞咽障碍的评定方法和治疗技术，从而为患者的全面康复提供理论和实践基础，同时培养学生创新能力，自学能力、综合分析能力、临床实践技能。</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言语治疗学课程考试试题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康复医学ⅩⅩⅩ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napToGrid w:val="0"/>
        <w:spacing w:line="440" w:lineRule="exact"/>
        <w:jc w:val="left"/>
        <w:rPr>
          <w:rFonts w:eastAsia="楷体_GB2312"/>
          <w:sz w:val="24"/>
        </w:rPr>
      </w:pPr>
      <w:r>
        <w:rPr>
          <w:rFonts w:ascii="Times New Roman" w:eastAsia="黑体" w:hAnsi="Times New Roman" w:hint="eastAsia"/>
          <w:b/>
          <w:kern w:val="0"/>
          <w:sz w:val="24"/>
          <w:szCs w:val="24"/>
        </w:rPr>
        <w:t>一、名词解释</w:t>
      </w:r>
      <w:r>
        <w:rPr>
          <w:rFonts w:eastAsia="楷体_GB2312" w:hint="eastAsia"/>
          <w:sz w:val="24"/>
        </w:rPr>
        <w:t>（每题</w:t>
      </w:r>
      <w:r>
        <w:rPr>
          <w:rFonts w:eastAsia="楷体_GB2312"/>
          <w:sz w:val="24"/>
        </w:rPr>
        <w:t>3</w:t>
      </w:r>
      <w:r>
        <w:rPr>
          <w:rFonts w:eastAsia="楷体_GB2312" w:hint="eastAsia"/>
          <w:sz w:val="24"/>
        </w:rPr>
        <w:t>分，共</w:t>
      </w:r>
      <w:r>
        <w:rPr>
          <w:rFonts w:eastAsia="楷体_GB2312"/>
          <w:sz w:val="24"/>
        </w:rPr>
        <w:t>24</w:t>
      </w:r>
      <w:r>
        <w:rPr>
          <w:rFonts w:eastAsia="楷体_GB2312" w:hint="eastAsia"/>
          <w:sz w:val="24"/>
        </w:rPr>
        <w:t>分）</w:t>
      </w:r>
    </w:p>
    <w:p w:rsidR="003717A0" w:rsidRPr="00097A14" w:rsidRDefault="003717A0">
      <w:pPr>
        <w:rPr>
          <w:rFonts w:ascii="宋体" w:hAnsi="宋体"/>
          <w:szCs w:val="21"/>
        </w:rPr>
      </w:pPr>
      <w:r>
        <w:rPr>
          <w:rFonts w:ascii="宋体" w:hAnsi="宋体"/>
          <w:szCs w:val="21"/>
        </w:rPr>
        <w:t>1</w:t>
      </w:r>
      <w:r>
        <w:rPr>
          <w:rFonts w:ascii="宋体" w:hAnsi="宋体" w:hint="eastAsia"/>
          <w:szCs w:val="21"/>
        </w:rPr>
        <w:t>、纯词聋</w:t>
      </w:r>
    </w:p>
    <w:p w:rsidR="003717A0" w:rsidRPr="00097A14" w:rsidRDefault="003717A0">
      <w:pPr>
        <w:rPr>
          <w:rFonts w:ascii="宋体" w:hAnsi="宋体"/>
          <w:szCs w:val="21"/>
        </w:rPr>
      </w:pPr>
      <w:r>
        <w:rPr>
          <w:rFonts w:ascii="宋体" w:hAnsi="宋体"/>
          <w:szCs w:val="21"/>
        </w:rPr>
        <w:t>2</w:t>
      </w:r>
      <w:r>
        <w:rPr>
          <w:rFonts w:ascii="宋体" w:hAnsi="宋体" w:hint="eastAsia"/>
          <w:szCs w:val="21"/>
        </w:rPr>
        <w:t>、电报式言语</w:t>
      </w:r>
    </w:p>
    <w:p w:rsidR="003717A0" w:rsidRPr="00097A14" w:rsidRDefault="003717A0">
      <w:pPr>
        <w:rPr>
          <w:rFonts w:ascii="宋体" w:hAnsi="宋体"/>
          <w:szCs w:val="21"/>
        </w:rPr>
      </w:pPr>
      <w:r>
        <w:rPr>
          <w:rFonts w:ascii="宋体" w:hAnsi="宋体"/>
          <w:szCs w:val="21"/>
        </w:rPr>
        <w:t>3</w:t>
      </w:r>
      <w:r>
        <w:rPr>
          <w:rFonts w:ascii="宋体" w:hAnsi="宋体" w:hint="eastAsia"/>
          <w:szCs w:val="21"/>
        </w:rPr>
        <w:t>、费力音</w:t>
      </w:r>
    </w:p>
    <w:p w:rsidR="003717A0" w:rsidRPr="00097A14" w:rsidRDefault="003717A0">
      <w:pPr>
        <w:rPr>
          <w:rFonts w:ascii="宋体" w:hAnsi="宋体"/>
          <w:szCs w:val="21"/>
        </w:rPr>
      </w:pPr>
      <w:r>
        <w:rPr>
          <w:rFonts w:ascii="宋体" w:hAnsi="宋体"/>
          <w:szCs w:val="21"/>
        </w:rPr>
        <w:t>4</w:t>
      </w:r>
      <w:r>
        <w:rPr>
          <w:rFonts w:ascii="宋体" w:hAnsi="宋体" w:hint="eastAsia"/>
          <w:szCs w:val="21"/>
        </w:rPr>
        <w:t>、惰性书写</w:t>
      </w:r>
    </w:p>
    <w:p w:rsidR="003717A0" w:rsidRPr="00097A14" w:rsidRDefault="003717A0">
      <w:pPr>
        <w:rPr>
          <w:rFonts w:ascii="宋体" w:hAnsi="宋体"/>
          <w:szCs w:val="21"/>
        </w:rPr>
      </w:pPr>
      <w:r>
        <w:rPr>
          <w:rFonts w:ascii="宋体" w:hAnsi="宋体"/>
          <w:szCs w:val="21"/>
        </w:rPr>
        <w:t>5</w:t>
      </w:r>
      <w:r>
        <w:rPr>
          <w:rFonts w:ascii="宋体" w:hAnsi="宋体" w:hint="eastAsia"/>
          <w:szCs w:val="21"/>
        </w:rPr>
        <w:t>、点头吞咽</w:t>
      </w:r>
    </w:p>
    <w:p w:rsidR="003717A0" w:rsidRPr="00097A14" w:rsidRDefault="003717A0">
      <w:pPr>
        <w:rPr>
          <w:rFonts w:ascii="宋体" w:hAnsi="宋体"/>
          <w:szCs w:val="21"/>
        </w:rPr>
      </w:pPr>
      <w:r>
        <w:rPr>
          <w:rFonts w:ascii="宋体" w:hAnsi="宋体"/>
          <w:szCs w:val="21"/>
        </w:rPr>
        <w:t>6</w:t>
      </w:r>
      <w:r>
        <w:rPr>
          <w:rFonts w:ascii="宋体" w:hAnsi="宋体" w:hint="eastAsia"/>
          <w:szCs w:val="21"/>
        </w:rPr>
        <w:t>、失读症</w:t>
      </w:r>
    </w:p>
    <w:p w:rsidR="003717A0" w:rsidRPr="00097A14" w:rsidRDefault="003717A0" w:rsidP="00097A14">
      <w:pPr>
        <w:rPr>
          <w:rFonts w:ascii="宋体" w:hAnsi="宋体"/>
          <w:szCs w:val="21"/>
        </w:rPr>
      </w:pPr>
      <w:r>
        <w:rPr>
          <w:rFonts w:ascii="宋体" w:hAnsi="宋体"/>
          <w:szCs w:val="21"/>
        </w:rPr>
        <w:t>7</w:t>
      </w:r>
      <w:r>
        <w:rPr>
          <w:rFonts w:ascii="宋体" w:hAnsi="宋体" w:hint="eastAsia"/>
          <w:szCs w:val="21"/>
        </w:rPr>
        <w:t>、感觉神经性耳聋</w:t>
      </w:r>
    </w:p>
    <w:p w:rsidR="003717A0" w:rsidRPr="00097A14" w:rsidRDefault="003717A0">
      <w:pPr>
        <w:rPr>
          <w:rFonts w:ascii="宋体" w:hAnsi="宋体"/>
          <w:szCs w:val="21"/>
        </w:rPr>
      </w:pPr>
      <w:r>
        <w:rPr>
          <w:rFonts w:ascii="宋体" w:hAnsi="宋体"/>
          <w:szCs w:val="21"/>
        </w:rPr>
        <w:t>8</w:t>
      </w:r>
      <w:r>
        <w:rPr>
          <w:rFonts w:ascii="宋体" w:hAnsi="宋体" w:hint="eastAsia"/>
          <w:szCs w:val="21"/>
        </w:rPr>
        <w:t>、生理性音域</w:t>
      </w:r>
    </w:p>
    <w:p w:rsidR="003717A0" w:rsidRDefault="003717A0">
      <w:pPr>
        <w:autoSpaceDE w:val="0"/>
        <w:autoSpaceDN w:val="0"/>
        <w:adjustRightInd w:val="0"/>
        <w:snapToGrid w:val="0"/>
        <w:spacing w:line="440" w:lineRule="exact"/>
        <w:jc w:val="left"/>
        <w:rPr>
          <w:rFonts w:ascii="宋体"/>
          <w:szCs w:val="21"/>
        </w:rPr>
      </w:pPr>
      <w:r>
        <w:rPr>
          <w:rFonts w:ascii="Times New Roman" w:eastAsia="黑体" w:hAnsi="Times New Roman" w:hint="eastAsia"/>
          <w:b/>
          <w:kern w:val="0"/>
          <w:sz w:val="24"/>
          <w:szCs w:val="24"/>
        </w:rPr>
        <w:t>二、填空题</w:t>
      </w:r>
      <w:r>
        <w:rPr>
          <w:rFonts w:ascii="宋体" w:hAnsi="宋体" w:hint="eastAsia"/>
          <w:szCs w:val="21"/>
        </w:rPr>
        <w:t>（每格</w:t>
      </w:r>
      <w:r>
        <w:rPr>
          <w:rFonts w:ascii="宋体" w:hAnsi="宋体"/>
          <w:szCs w:val="21"/>
        </w:rPr>
        <w:t>1</w:t>
      </w:r>
      <w:r>
        <w:rPr>
          <w:rFonts w:ascii="宋体" w:hAnsi="宋体" w:hint="eastAsia"/>
          <w:szCs w:val="21"/>
        </w:rPr>
        <w:t>分，共</w:t>
      </w:r>
      <w:r>
        <w:rPr>
          <w:rFonts w:ascii="宋体" w:hAnsi="宋体"/>
          <w:szCs w:val="21"/>
        </w:rPr>
        <w:t>20</w:t>
      </w:r>
      <w:r>
        <w:rPr>
          <w:rFonts w:ascii="宋体" w:hAnsi="宋体" w:hint="eastAsia"/>
          <w:szCs w:val="21"/>
        </w:rPr>
        <w:t>分）</w: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、正常发声时声带呈</w:t>
      </w:r>
      <w:r>
        <w:rPr>
          <w:rFonts w:ascii="Times New Roman" w:hAnsi="Times New Roman"/>
          <w:kern w:val="0"/>
          <w:sz w:val="22"/>
        </w:rPr>
        <w:t xml:space="preserve">           </w:t>
      </w:r>
      <w:r>
        <w:rPr>
          <w:rFonts w:ascii="Times New Roman" w:hAnsi="Times New Roman" w:hint="eastAsia"/>
          <w:kern w:val="0"/>
          <w:sz w:val="22"/>
        </w:rPr>
        <w:t>位，平静呼吸时</w:t>
      </w:r>
      <w:r>
        <w:rPr>
          <w:rFonts w:ascii="Times New Roman" w:hAnsi="Times New Roman"/>
          <w:kern w:val="0"/>
          <w:sz w:val="22"/>
        </w:rPr>
        <w:t xml:space="preserve">           </w:t>
      </w:r>
      <w:r>
        <w:rPr>
          <w:rFonts w:ascii="Times New Roman" w:hAnsi="Times New Roman" w:hint="eastAsia"/>
          <w:kern w:val="0"/>
          <w:sz w:val="22"/>
        </w:rPr>
        <w:t>位。</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lastRenderedPageBreak/>
        <w:pict>
          <v:line id="_x0000_s1028" style="position:absolute;left:0;text-align:left;z-index:13" from="266.8pt,2.3pt" to="320.7pt,2.45pt"/>
        </w:pict>
      </w:r>
      <w:r w:rsidRPr="00514AB1">
        <w:rPr>
          <w:noProof/>
        </w:rPr>
        <w:pict>
          <v:line id="_x0000_s1029" style="position:absolute;left:0;text-align:left;z-index:11" from="113.8pt,2.3pt" to="176.7pt,2.45pt"/>
        </w:pic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0" style="position:absolute;left:0;text-align:left;flip:y;z-index:3" from="194.7pt,10.25pt" to="320.6pt,10.35pt"/>
        </w:pict>
      </w:r>
      <w:r w:rsidR="003717A0">
        <w:rPr>
          <w:rFonts w:ascii="Times New Roman" w:hAnsi="Times New Roman"/>
          <w:kern w:val="0"/>
          <w:sz w:val="22"/>
        </w:rPr>
        <w:t>2</w:t>
      </w:r>
      <w:r w:rsidR="003717A0">
        <w:rPr>
          <w:rFonts w:ascii="Times New Roman" w:hAnsi="Times New Roman" w:hint="eastAsia"/>
          <w:kern w:val="0"/>
          <w:sz w:val="22"/>
        </w:rPr>
        <w:t>、构音障碍的患者鼻音化是由于</w:t>
      </w:r>
      <w:r w:rsidR="003717A0">
        <w:rPr>
          <w:rFonts w:ascii="Times New Roman" w:hAnsi="Times New Roman"/>
          <w:kern w:val="0"/>
          <w:sz w:val="22"/>
        </w:rPr>
        <w:t xml:space="preserve">                          </w:t>
      </w:r>
      <w:r w:rsidR="003717A0">
        <w:rPr>
          <w:rFonts w:ascii="Times New Roman" w:hAnsi="Times New Roman" w:hint="eastAsia"/>
          <w:kern w:val="0"/>
          <w:sz w:val="22"/>
        </w:rPr>
        <w:t>造成，其治疗目的</w: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hint="eastAsia"/>
          <w:kern w:val="0"/>
          <w:sz w:val="22"/>
        </w:rPr>
        <w:t>是</w:t>
      </w:r>
      <w:r>
        <w:rPr>
          <w:rFonts w:ascii="Times New Roman" w:hAnsi="Times New Roman"/>
          <w:kern w:val="0"/>
          <w:sz w:val="22"/>
        </w:rPr>
        <w:t xml:space="preserve">                          </w:t>
      </w:r>
      <w:r>
        <w:rPr>
          <w:rFonts w:ascii="Times New Roman" w:hAnsi="Times New Roman" w:hint="eastAsia"/>
          <w:kern w:val="0"/>
          <w:sz w:val="22"/>
        </w:rPr>
        <w:t>。</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1" style="position:absolute;left:0;text-align:left;flip:y;z-index:4" from="32.8pt,2.45pt" to="185.7pt,2.65pt"/>
        </w:pic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、气息音的产生主要由</w:t>
      </w:r>
      <w:r>
        <w:rPr>
          <w:rFonts w:ascii="Times New Roman" w:hAnsi="Times New Roman"/>
          <w:kern w:val="0"/>
          <w:sz w:val="22"/>
        </w:rPr>
        <w:t xml:space="preserve">                 </w:t>
      </w:r>
      <w:r>
        <w:rPr>
          <w:rFonts w:ascii="Times New Roman" w:hAnsi="Times New Roman" w:hint="eastAsia"/>
          <w:kern w:val="0"/>
          <w:sz w:val="22"/>
        </w:rPr>
        <w:t>产生，主要克服途径是</w:t>
      </w:r>
      <w:r>
        <w:rPr>
          <w:rFonts w:ascii="Times New Roman" w:hAnsi="Times New Roman"/>
          <w:kern w:val="0"/>
          <w:sz w:val="22"/>
        </w:rPr>
        <w:t xml:space="preserve">               </w:t>
      </w:r>
      <w:r>
        <w:rPr>
          <w:rFonts w:ascii="Times New Roman" w:hAnsi="Times New Roman" w:hint="eastAsia"/>
          <w:kern w:val="0"/>
          <w:sz w:val="22"/>
        </w:rPr>
        <w:t>。</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2" style="position:absolute;left:0;text-align:left;flip:y;z-index:14" from="122.8pt,2.3pt" to="221.7pt,2.5pt"/>
        </w:pict>
      </w:r>
      <w:r w:rsidRPr="00514AB1">
        <w:rPr>
          <w:noProof/>
        </w:rPr>
        <w:pict>
          <v:line id="_x0000_s1033" style="position:absolute;left:0;text-align:left;flip:y;z-index:6" from="353.2pt,1.3pt" to="434.1pt,1.4pt"/>
        </w:pic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、中度耳聋的听力水平是</w:t>
      </w:r>
      <w:r>
        <w:rPr>
          <w:rFonts w:ascii="Times New Roman" w:hAnsi="Times New Roman"/>
          <w:kern w:val="0"/>
          <w:sz w:val="22"/>
        </w:rPr>
        <w:t xml:space="preserve">               </w:t>
      </w:r>
      <w:r>
        <w:rPr>
          <w:rFonts w:ascii="Times New Roman" w:hAnsi="Times New Roman" w:hint="eastAsia"/>
          <w:kern w:val="0"/>
          <w:sz w:val="22"/>
        </w:rPr>
        <w:t>分贝。</w:t>
      </w:r>
      <w:r>
        <w:rPr>
          <w:rFonts w:ascii="Times New Roman" w:hAnsi="Times New Roman"/>
          <w:kern w:val="0"/>
          <w:sz w:val="22"/>
        </w:rPr>
        <w:t xml:space="preserve">             </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4" style="position:absolute;left:0;text-align:left;z-index:7" from="149.7pt,2.45pt" to="221.7pt,2.45pt"/>
        </w:pic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w:t>
      </w:r>
      <w:r>
        <w:rPr>
          <w:rFonts w:ascii="Times New Roman" w:hAnsi="Times New Roman"/>
          <w:kern w:val="0"/>
          <w:sz w:val="22"/>
        </w:rPr>
        <w:t>Broca</w:t>
      </w:r>
      <w:r>
        <w:rPr>
          <w:rFonts w:ascii="Times New Roman" w:hAnsi="Times New Roman" w:hint="eastAsia"/>
          <w:kern w:val="0"/>
          <w:sz w:val="22"/>
        </w:rPr>
        <w:t>失语的训练重点是</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5" style="position:absolute;left:0;text-align:left;z-index:9" from="272.1pt,1.3pt" to="353.1pt,1.3pt"/>
        </w:pict>
      </w:r>
      <w:r w:rsidRPr="00514AB1">
        <w:rPr>
          <w:noProof/>
        </w:rPr>
        <w:pict>
          <v:line id="_x0000_s1036" style="position:absolute;left:0;text-align:left;z-index:10" from="155.1pt,1.3pt" to="245.1pt,1.3pt"/>
        </w:pic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7" style="position:absolute;left:0;text-align:left;flip:y;z-index:12" from="245.1pt,15.6pt" to="362pt,15.7pt"/>
        </w:pict>
      </w:r>
      <w:r w:rsidRPr="00514AB1">
        <w:rPr>
          <w:noProof/>
        </w:rPr>
        <w:pict>
          <v:line id="_x0000_s1038" style="position:absolute;left:0;text-align:left;flip:y;z-index:8" from="92.2pt,15.5pt" to="191.1pt,15.7pt"/>
        </w:pict>
      </w:r>
      <w:r w:rsidR="003717A0">
        <w:rPr>
          <w:rFonts w:ascii="Times New Roman" w:hAnsi="Times New Roman"/>
          <w:kern w:val="0"/>
          <w:sz w:val="22"/>
        </w:rPr>
        <w:t>6</w:t>
      </w:r>
      <w:r w:rsidR="003717A0">
        <w:rPr>
          <w:rFonts w:ascii="Times New Roman" w:hAnsi="Times New Roman" w:hint="eastAsia"/>
          <w:kern w:val="0"/>
          <w:sz w:val="22"/>
        </w:rPr>
        <w:t>、</w:t>
      </w:r>
      <w:r w:rsidR="003717A0">
        <w:rPr>
          <w:rFonts w:ascii="Times New Roman" w:hAnsi="Times New Roman"/>
          <w:kern w:val="0"/>
          <w:sz w:val="22"/>
        </w:rPr>
        <w:t>PACE</w:t>
      </w:r>
      <w:r w:rsidR="003717A0">
        <w:rPr>
          <w:rFonts w:ascii="Times New Roman" w:hAnsi="Times New Roman" w:hint="eastAsia"/>
          <w:kern w:val="0"/>
          <w:sz w:val="22"/>
        </w:rPr>
        <w:t>又称为</w:t>
      </w:r>
      <w:r w:rsidR="003717A0">
        <w:rPr>
          <w:rFonts w:ascii="Times New Roman" w:hAnsi="Times New Roman"/>
          <w:kern w:val="0"/>
          <w:sz w:val="22"/>
        </w:rPr>
        <w:t xml:space="preserve">                   </w:t>
      </w:r>
      <w:r w:rsidR="003717A0">
        <w:rPr>
          <w:rFonts w:ascii="Times New Roman" w:hAnsi="Times New Roman" w:hint="eastAsia"/>
          <w:kern w:val="0"/>
          <w:sz w:val="22"/>
        </w:rPr>
        <w:t>，是以</w:t>
      </w:r>
      <w:r w:rsidR="003717A0">
        <w:rPr>
          <w:rFonts w:ascii="Times New Roman" w:hAnsi="Times New Roman"/>
          <w:kern w:val="0"/>
          <w:sz w:val="22"/>
        </w:rPr>
        <w:t xml:space="preserve">                      </w:t>
      </w:r>
      <w:r w:rsidR="003717A0">
        <w:rPr>
          <w:rFonts w:ascii="Times New Roman" w:hAnsi="Times New Roman" w:hint="eastAsia"/>
          <w:kern w:val="0"/>
          <w:sz w:val="22"/>
        </w:rPr>
        <w:t>为目的的治疗</w: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hint="eastAsia"/>
          <w:kern w:val="0"/>
          <w:sz w:val="22"/>
        </w:rPr>
        <w:t>方法。</w:t>
      </w:r>
      <w:r>
        <w:rPr>
          <w:rFonts w:ascii="Times New Roman" w:hAnsi="Times New Roman"/>
          <w:kern w:val="0"/>
          <w:sz w:val="22"/>
        </w:rPr>
        <w:t xml:space="preserve">                                         </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39" style="position:absolute;left:0;text-align:left;z-index:5" from="158.8pt,18pt" to="293.7pt,18.05pt"/>
        </w:pict>
      </w:r>
      <w:r w:rsidR="003717A0">
        <w:rPr>
          <w:rFonts w:ascii="Times New Roman" w:hAnsi="Times New Roman"/>
          <w:kern w:val="0"/>
          <w:sz w:val="22"/>
        </w:rPr>
        <w:t>7</w:t>
      </w:r>
      <w:r w:rsidR="003717A0">
        <w:rPr>
          <w:rFonts w:ascii="Times New Roman" w:hAnsi="Times New Roman" w:hint="eastAsia"/>
          <w:kern w:val="0"/>
          <w:sz w:val="22"/>
        </w:rPr>
        <w:t>、吞咽障碍检查的金标准是</w:t>
      </w:r>
      <w:r w:rsidR="003717A0">
        <w:rPr>
          <w:rFonts w:ascii="Times New Roman" w:hAnsi="Times New Roman"/>
          <w:kern w:val="0"/>
          <w:sz w:val="22"/>
        </w:rPr>
        <w:t xml:space="preserve">                         </w:t>
      </w:r>
      <w:r w:rsidR="003717A0">
        <w:rPr>
          <w:rFonts w:ascii="Times New Roman" w:hAnsi="Times New Roman" w:hint="eastAsia"/>
          <w:kern w:val="0"/>
          <w:sz w:val="22"/>
        </w:rPr>
        <w:t>。</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40" style="position:absolute;left:0;text-align:left;flip:y;z-index:17" from="286.3pt,13.65pt" to="367.2pt,13.75pt"/>
        </w:pict>
      </w:r>
      <w:r w:rsidRPr="00514AB1">
        <w:rPr>
          <w:noProof/>
        </w:rPr>
        <w:pict>
          <v:line id="_x0000_s1041" style="position:absolute;left:0;text-align:left;z-index:19" from="196.2pt,13.65pt" to="259.2pt,13.65pt"/>
        </w:pict>
      </w:r>
      <w:r w:rsidRPr="00514AB1">
        <w:rPr>
          <w:noProof/>
        </w:rPr>
        <w:pict>
          <v:line id="_x0000_s1042" style="position:absolute;left:0;text-align:left;z-index:16" from="79.2pt,18.05pt" to="160.2pt,18.05pt"/>
        </w:pict>
      </w:r>
      <w:r w:rsidR="003717A0">
        <w:rPr>
          <w:rFonts w:ascii="Times New Roman" w:hAnsi="Times New Roman"/>
          <w:kern w:val="0"/>
          <w:sz w:val="22"/>
        </w:rPr>
        <w:t>8</w:t>
      </w:r>
      <w:r w:rsidR="003717A0">
        <w:rPr>
          <w:rFonts w:ascii="Times New Roman" w:hAnsi="Times New Roman" w:hint="eastAsia"/>
          <w:kern w:val="0"/>
          <w:sz w:val="22"/>
        </w:rPr>
        <w:t>、错语分为</w:t>
      </w:r>
      <w:r w:rsidR="003717A0">
        <w:rPr>
          <w:rFonts w:ascii="Times New Roman" w:hAnsi="Times New Roman"/>
          <w:kern w:val="0"/>
          <w:sz w:val="22"/>
        </w:rPr>
        <w:t xml:space="preserve">                 </w:t>
      </w:r>
      <w:r w:rsidR="003717A0">
        <w:rPr>
          <w:rFonts w:ascii="Times New Roman" w:hAnsi="Times New Roman" w:hint="eastAsia"/>
          <w:kern w:val="0"/>
          <w:sz w:val="22"/>
        </w:rPr>
        <w:t>、</w:t>
      </w:r>
      <w:r w:rsidR="003717A0">
        <w:rPr>
          <w:rFonts w:ascii="Times New Roman" w:hAnsi="Times New Roman"/>
          <w:kern w:val="0"/>
          <w:sz w:val="22"/>
        </w:rPr>
        <w:t xml:space="preserve">               </w:t>
      </w:r>
      <w:r w:rsidR="003717A0">
        <w:rPr>
          <w:rFonts w:ascii="Times New Roman" w:hAnsi="Times New Roman" w:hint="eastAsia"/>
          <w:kern w:val="0"/>
          <w:sz w:val="22"/>
        </w:rPr>
        <w:t>、</w:t>
      </w:r>
      <w:r w:rsidR="003717A0">
        <w:rPr>
          <w:rFonts w:ascii="Times New Roman" w:hAnsi="Times New Roman"/>
          <w:kern w:val="0"/>
          <w:sz w:val="22"/>
        </w:rPr>
        <w:t xml:space="preserve">               </w:t>
      </w:r>
      <w:r w:rsidR="003717A0">
        <w:rPr>
          <w:rFonts w:ascii="Times New Roman" w:hAnsi="Times New Roman" w:hint="eastAsia"/>
          <w:kern w:val="0"/>
          <w:sz w:val="22"/>
        </w:rPr>
        <w:t>。</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43" style="position:absolute;left:0;text-align:left;flip:y;z-index:18" from="187.3pt,20.45pt" to="277.2pt,20.55pt"/>
        </w:pict>
      </w:r>
      <w:r w:rsidR="003717A0">
        <w:rPr>
          <w:rFonts w:ascii="Times New Roman" w:hAnsi="Times New Roman"/>
          <w:kern w:val="0"/>
          <w:sz w:val="22"/>
        </w:rPr>
        <w:t>9</w:t>
      </w:r>
      <w:r w:rsidR="003717A0">
        <w:rPr>
          <w:rFonts w:ascii="Times New Roman" w:hAnsi="Times New Roman" w:hint="eastAsia"/>
          <w:kern w:val="0"/>
          <w:sz w:val="22"/>
        </w:rPr>
        <w:t>、言语治疗选择的课题正确率达到</w:t>
      </w:r>
      <w:r w:rsidR="003717A0">
        <w:rPr>
          <w:rFonts w:ascii="Times New Roman" w:hAnsi="Times New Roman"/>
          <w:kern w:val="0"/>
          <w:sz w:val="22"/>
        </w:rPr>
        <w:t xml:space="preserve">                 </w:t>
      </w:r>
      <w:r w:rsidR="003717A0">
        <w:rPr>
          <w:rFonts w:ascii="Times New Roman" w:hAnsi="Times New Roman" w:hint="eastAsia"/>
          <w:kern w:val="0"/>
          <w:sz w:val="22"/>
        </w:rPr>
        <w:t>时可考虑升级。</w:t>
      </w:r>
    </w:p>
    <w:p w:rsidR="003717A0" w:rsidRDefault="003717A0">
      <w:pPr>
        <w:widowControl/>
        <w:adjustRightInd w:val="0"/>
        <w:snapToGrid w:val="0"/>
        <w:spacing w:line="360" w:lineRule="auto"/>
        <w:ind w:leftChars="171" w:left="359"/>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、流畅性失语包括</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44" style="position:absolute;left:0;text-align:left;flip:y;z-index:15" from="322.3pt,1.85pt" to="394.2pt,2.05pt"/>
        </w:pict>
      </w:r>
      <w:r w:rsidRPr="00514AB1">
        <w:rPr>
          <w:noProof/>
        </w:rPr>
        <w:pict>
          <v:line id="_x0000_s1045" style="position:absolute;left:0;text-align:left;flip:y;z-index:20" from="214.3pt,1.95pt" to="304.2pt,2.05pt"/>
        </w:pict>
      </w:r>
      <w:r w:rsidRPr="00514AB1">
        <w:rPr>
          <w:noProof/>
        </w:rPr>
        <w:pict>
          <v:line id="_x0000_s1046" style="position:absolute;left:0;text-align:left;flip:y;z-index:21" from="115.3pt,1.85pt" to="196.2pt,2.05pt"/>
        </w:pict>
      </w:r>
      <w:r w:rsidR="003717A0">
        <w:rPr>
          <w:rFonts w:ascii="Times New Roman" w:hAnsi="Times New Roman"/>
          <w:kern w:val="0"/>
          <w:sz w:val="22"/>
        </w:rPr>
        <w:t xml:space="preserve">                        </w:t>
      </w:r>
    </w:p>
    <w:p w:rsidR="003717A0" w:rsidRDefault="00514AB1">
      <w:pPr>
        <w:widowControl/>
        <w:adjustRightInd w:val="0"/>
        <w:snapToGrid w:val="0"/>
        <w:spacing w:line="360" w:lineRule="auto"/>
        <w:ind w:leftChars="171" w:left="359"/>
        <w:rPr>
          <w:rFonts w:ascii="Times New Roman" w:hAnsi="Times New Roman"/>
          <w:kern w:val="0"/>
          <w:sz w:val="22"/>
        </w:rPr>
      </w:pPr>
      <w:r w:rsidRPr="00514AB1">
        <w:rPr>
          <w:noProof/>
        </w:rPr>
        <w:pict>
          <v:line id="_x0000_s1047" style="position:absolute;left:0;text-align:left;flip:y;z-index:22" from="25.3pt,10.5pt" to="142.2pt,10.6pt"/>
        </w:pict>
      </w:r>
      <w:r w:rsidR="003717A0">
        <w:rPr>
          <w:rFonts w:ascii="Times New Roman" w:hAnsi="Times New Roman"/>
          <w:kern w:val="0"/>
          <w:sz w:val="22"/>
        </w:rPr>
        <w:t xml:space="preserve">                        </w:t>
      </w:r>
      <w:r w:rsidR="003717A0">
        <w:rPr>
          <w:rFonts w:ascii="Times New Roman" w:hAnsi="Times New Roman" w:hint="eastAsia"/>
          <w:kern w:val="0"/>
          <w:sz w:val="22"/>
        </w:rPr>
        <w:t>。</w:t>
      </w:r>
    </w:p>
    <w:p w:rsidR="003717A0" w:rsidRDefault="003717A0">
      <w:pPr>
        <w:numPr>
          <w:ilvl w:val="0"/>
          <w:numId w:val="367"/>
        </w:numPr>
        <w:tabs>
          <w:tab w:val="clear" w:pos="480"/>
          <w:tab w:val="left" w:pos="142"/>
        </w:tabs>
        <w:spacing w:line="400" w:lineRule="exact"/>
        <w:rPr>
          <w:rFonts w:eastAsia="楷体_GB2312"/>
          <w:sz w:val="24"/>
        </w:rPr>
      </w:pPr>
      <w:r>
        <w:rPr>
          <w:rFonts w:ascii="Times New Roman" w:eastAsia="黑体" w:hAnsi="Times New Roman" w:hint="eastAsia"/>
          <w:b/>
          <w:kern w:val="0"/>
          <w:sz w:val="24"/>
          <w:szCs w:val="24"/>
        </w:rPr>
        <w:t>选择题</w:t>
      </w:r>
      <w:r>
        <w:rPr>
          <w:rFonts w:eastAsia="楷体_GB2312"/>
          <w:sz w:val="24"/>
        </w:rPr>
        <w:t xml:space="preserve"> </w:t>
      </w:r>
      <w:r>
        <w:rPr>
          <w:rFonts w:eastAsia="楷体_GB2312" w:hint="eastAsia"/>
          <w:sz w:val="24"/>
        </w:rPr>
        <w:t>（每题</w:t>
      </w:r>
      <w:r>
        <w:rPr>
          <w:rFonts w:eastAsia="楷体_GB2312"/>
          <w:sz w:val="24"/>
        </w:rPr>
        <w:t>2</w:t>
      </w:r>
      <w:r>
        <w:rPr>
          <w:rFonts w:eastAsia="楷体_GB2312" w:hint="eastAsia"/>
          <w:sz w:val="24"/>
        </w:rPr>
        <w:t>分，共</w:t>
      </w:r>
      <w:r>
        <w:rPr>
          <w:rFonts w:eastAsia="楷体_GB2312"/>
          <w:sz w:val="24"/>
        </w:rPr>
        <w:t>26</w:t>
      </w:r>
      <w:r>
        <w:rPr>
          <w:rFonts w:eastAsia="楷体_GB2312" w:hint="eastAsia"/>
          <w:sz w:val="24"/>
        </w:rPr>
        <w:t>分</w:t>
      </w:r>
      <w:r>
        <w:rPr>
          <w:rFonts w:eastAsia="楷体_GB2312"/>
          <w:sz w:val="24"/>
        </w:rPr>
        <w:t xml:space="preserve"> </w:t>
      </w:r>
      <w:r>
        <w:rPr>
          <w:rFonts w:eastAsia="楷体_GB2312" w:hint="eastAsia"/>
          <w:sz w:val="24"/>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、运动性失语的病灶部位在（</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、优势侧颞上回后部</w:t>
      </w:r>
      <w:r>
        <w:rPr>
          <w:rFonts w:ascii="Times New Roman" w:hAnsi="Times New Roman"/>
          <w:kern w:val="0"/>
          <w:sz w:val="22"/>
        </w:rPr>
        <w:t>1/3</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、优势侧颞枕顶叶结合区</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、优势侧额下回后部</w:t>
      </w:r>
      <w:r>
        <w:rPr>
          <w:rFonts w:ascii="Times New Roman" w:hAnsi="Times New Roman"/>
          <w:kern w:val="0"/>
          <w:sz w:val="22"/>
        </w:rPr>
        <w:t xml:space="preserve">1/3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、优势侧颞上回前</w:t>
      </w:r>
      <w:r>
        <w:rPr>
          <w:rFonts w:ascii="Times New Roman" w:hAnsi="Times New Roman"/>
          <w:kern w:val="0"/>
          <w:sz w:val="22"/>
        </w:rPr>
        <w:t xml:space="preserve">1/3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、优势侧额上回后</w:t>
      </w:r>
      <w:r>
        <w:rPr>
          <w:rFonts w:ascii="Times New Roman" w:hAnsi="Times New Roman"/>
          <w:kern w:val="0"/>
          <w:sz w:val="22"/>
        </w:rPr>
        <w:t xml:space="preserve">1/3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（多选题）</w:t>
      </w:r>
      <w:r>
        <w:rPr>
          <w:rFonts w:ascii="Times New Roman" w:hAnsi="Times New Roman"/>
          <w:kern w:val="0"/>
          <w:sz w:val="22"/>
        </w:rPr>
        <w:t>2</w:t>
      </w:r>
      <w:r>
        <w:rPr>
          <w:rFonts w:ascii="Times New Roman" w:hAnsi="Times New Roman" w:hint="eastAsia"/>
          <w:kern w:val="0"/>
          <w:sz w:val="22"/>
        </w:rPr>
        <w:t>、常见的言语障碍包括（</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、失语症</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、构音障碍</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、言语失用</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、失写</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、错语</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（多选题）</w:t>
      </w:r>
      <w:r>
        <w:rPr>
          <w:rFonts w:ascii="Times New Roman" w:hAnsi="Times New Roman"/>
          <w:kern w:val="0"/>
          <w:sz w:val="22"/>
        </w:rPr>
        <w:t>3</w:t>
      </w:r>
      <w:r>
        <w:rPr>
          <w:rFonts w:ascii="Times New Roman" w:hAnsi="Times New Roman" w:hint="eastAsia"/>
          <w:kern w:val="0"/>
          <w:sz w:val="22"/>
        </w:rPr>
        <w:t>、构音障碍的治疗方法包括（</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、发音训练</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B</w:t>
      </w:r>
      <w:r>
        <w:rPr>
          <w:rFonts w:ascii="Times New Roman" w:hAnsi="Times New Roman" w:hint="eastAsia"/>
          <w:kern w:val="0"/>
          <w:sz w:val="22"/>
        </w:rPr>
        <w:t>、记忆力训练</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、音量控制训练</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、克服鼻音化训练</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、听理解训练</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w:t>
      </w:r>
      <w:r>
        <w:rPr>
          <w:rFonts w:ascii="Times New Roman" w:hAnsi="Times New Roman"/>
          <w:kern w:val="0"/>
          <w:sz w:val="22"/>
        </w:rPr>
        <w:t xml:space="preserve">Wernicke </w:t>
      </w:r>
      <w:r>
        <w:rPr>
          <w:rFonts w:ascii="Times New Roman" w:hAnsi="Times New Roman" w:hint="eastAsia"/>
          <w:kern w:val="0"/>
          <w:sz w:val="22"/>
        </w:rPr>
        <w:t>失语的语言症状特点是（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、自发言语流畅性，听理解差，复述好</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、自发言语流畅性，听理解差，复述差</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、自发言语非流畅性，听理解好，复述差</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、自发言语非流畅性，听理解好，复述好</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、自发言语流畅性，听理解好，复述好</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（多选题）</w:t>
      </w:r>
      <w:r>
        <w:rPr>
          <w:rFonts w:ascii="Times New Roman" w:hAnsi="Times New Roman"/>
          <w:kern w:val="0"/>
          <w:sz w:val="22"/>
        </w:rPr>
        <w:t>5</w:t>
      </w:r>
      <w:r>
        <w:rPr>
          <w:rFonts w:ascii="Times New Roman" w:hAnsi="Times New Roman" w:hint="eastAsia"/>
          <w:kern w:val="0"/>
          <w:sz w:val="22"/>
        </w:rPr>
        <w:t>、言语治疗的原则（</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、早期开始</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、及时评定</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、循序渐进</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、及时给予反馈</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、患者主动参与</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、咀嚼肌由哪个神经支配</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、面神经</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、三叉神经</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、舌下神经</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、舌咽神经</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、迷走神经</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7</w:t>
      </w:r>
      <w:r>
        <w:rPr>
          <w:rFonts w:ascii="Times New Roman" w:hAnsi="Times New Roman" w:hint="eastAsia"/>
          <w:kern w:val="0"/>
          <w:sz w:val="22"/>
        </w:rPr>
        <w:t>、经皮质运动性失语的言语症状特征为（</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、自发言语流畅性，听理解差，复述好</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、自发言语流畅性，听理解差，复述差</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、自发言语非流畅性，听理解好，复述差</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、自发言语非流畅性，听理解好，复述好</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、自发言语流畅性，听理解好，复述好</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（多选题）</w:t>
      </w:r>
      <w:r>
        <w:rPr>
          <w:rFonts w:ascii="Times New Roman" w:hAnsi="Times New Roman"/>
          <w:kern w:val="0"/>
          <w:sz w:val="22"/>
        </w:rPr>
        <w:t xml:space="preserve"> 8</w:t>
      </w:r>
      <w:r>
        <w:rPr>
          <w:rFonts w:ascii="Times New Roman" w:hAnsi="Times New Roman" w:hint="eastAsia"/>
          <w:kern w:val="0"/>
          <w:sz w:val="22"/>
        </w:rPr>
        <w:t>、失语症的预后与下列因素有关（</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、年龄</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、性格</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、原发疾病</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、性别</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lastRenderedPageBreak/>
        <w:t>E</w:t>
      </w:r>
      <w:r>
        <w:rPr>
          <w:rFonts w:ascii="Times New Roman" w:hAnsi="Times New Roman" w:hint="eastAsia"/>
          <w:kern w:val="0"/>
          <w:sz w:val="22"/>
        </w:rPr>
        <w:t>、训练开始时间</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、下列哪项不是非言语交流方式的训练（</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、交流板</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、听觉认知</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、手势语</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、画图</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、电脑交流装置</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、目前国内常用的失语检查法为（</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 xml:space="preserve">  A</w:t>
      </w:r>
      <w:r>
        <w:rPr>
          <w:rFonts w:ascii="Times New Roman" w:hAnsi="Times New Roman" w:hint="eastAsia"/>
          <w:kern w:val="0"/>
          <w:sz w:val="22"/>
        </w:rPr>
        <w:t>、波士顿失语检查法</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、西方失语症检查套表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、汉语失语检查法</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、双语和多语失语检查</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w:t>
      </w:r>
      <w:r>
        <w:rPr>
          <w:rFonts w:ascii="Times New Roman" w:hAnsi="Times New Roman"/>
          <w:kern w:val="0"/>
          <w:sz w:val="22"/>
        </w:rPr>
        <w:t>Wechslre</w:t>
      </w:r>
      <w:r>
        <w:rPr>
          <w:rFonts w:ascii="Times New Roman" w:hAnsi="Times New Roman" w:hint="eastAsia"/>
          <w:kern w:val="0"/>
          <w:sz w:val="22"/>
        </w:rPr>
        <w:t>智力表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11</w:t>
      </w:r>
      <w:r>
        <w:rPr>
          <w:rFonts w:ascii="Times New Roman" w:hAnsi="Times New Roman" w:hint="eastAsia"/>
          <w:kern w:val="0"/>
          <w:sz w:val="22"/>
        </w:rPr>
        <w:t>、下列哪项不是失语症的常见原因（</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、脑血管病</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、脑外伤</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、感染</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、脑肿瘤</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、周围神经损伤</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（多选题）</w:t>
      </w:r>
      <w:r>
        <w:rPr>
          <w:rFonts w:ascii="Times New Roman" w:hAnsi="Times New Roman"/>
          <w:kern w:val="0"/>
          <w:sz w:val="22"/>
        </w:rPr>
        <w:t>12</w:t>
      </w:r>
      <w:r>
        <w:rPr>
          <w:rFonts w:ascii="Times New Roman" w:hAnsi="Times New Roman" w:hint="eastAsia"/>
          <w:kern w:val="0"/>
          <w:sz w:val="22"/>
        </w:rPr>
        <w:t>、言语功能评定的内容（</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、谈话</w:t>
      </w:r>
      <w:r>
        <w:rPr>
          <w:rFonts w:ascii="Times New Roman" w:hAnsi="Times New Roman"/>
          <w:kern w:val="0"/>
          <w:sz w:val="22"/>
        </w:rPr>
        <w:t xml:space="preserve"> </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、书写</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、复述</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、阅读</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、命名</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13</w:t>
      </w:r>
      <w:r>
        <w:rPr>
          <w:rFonts w:ascii="Times New Roman" w:hAnsi="Times New Roman" w:hint="eastAsia"/>
          <w:kern w:val="0"/>
          <w:sz w:val="22"/>
        </w:rPr>
        <w:t>、吞咽障碍摄食训练说法正确的是（</w:t>
      </w:r>
      <w:r>
        <w:rPr>
          <w:rFonts w:ascii="Times New Roman" w:hAnsi="Times New Roman"/>
          <w:kern w:val="0"/>
          <w:sz w:val="22"/>
        </w:rPr>
        <w:t xml:space="preserve">    </w:t>
      </w:r>
      <w:r>
        <w:rPr>
          <w:rFonts w:ascii="Times New Roman" w:hAnsi="Times New Roman" w:hint="eastAsia"/>
          <w:kern w:val="0"/>
          <w:sz w:val="22"/>
        </w:rPr>
        <w:t>）</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A</w:t>
      </w:r>
      <w:r>
        <w:rPr>
          <w:rFonts w:ascii="Times New Roman" w:hAnsi="Times New Roman" w:hint="eastAsia"/>
          <w:kern w:val="0"/>
          <w:sz w:val="22"/>
        </w:rPr>
        <w:t>、对于不能坐位患者，一般采取仰卧，颈部后伸。</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B</w:t>
      </w:r>
      <w:r>
        <w:rPr>
          <w:rFonts w:ascii="Times New Roman" w:hAnsi="Times New Roman" w:hint="eastAsia"/>
          <w:kern w:val="0"/>
          <w:sz w:val="22"/>
        </w:rPr>
        <w:t>、食物性状首选半流质</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C</w:t>
      </w:r>
      <w:r>
        <w:rPr>
          <w:rFonts w:ascii="Times New Roman" w:hAnsi="Times New Roman" w:hint="eastAsia"/>
          <w:kern w:val="0"/>
          <w:sz w:val="22"/>
        </w:rPr>
        <w:t>、门德尔松吞咽技术主要目的是为了减轻环咽肌痉挛。</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D</w:t>
      </w:r>
      <w:r>
        <w:rPr>
          <w:rFonts w:ascii="Times New Roman" w:hAnsi="Times New Roman" w:hint="eastAsia"/>
          <w:kern w:val="0"/>
          <w:sz w:val="22"/>
        </w:rPr>
        <w:t>、两次食物可以重叠入口</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r>
        <w:rPr>
          <w:rFonts w:ascii="Times New Roman" w:hAnsi="Times New Roman"/>
          <w:kern w:val="0"/>
          <w:sz w:val="22"/>
        </w:rPr>
        <w:t>E</w:t>
      </w:r>
      <w:r>
        <w:rPr>
          <w:rFonts w:ascii="Times New Roman" w:hAnsi="Times New Roman" w:hint="eastAsia"/>
          <w:kern w:val="0"/>
          <w:sz w:val="22"/>
        </w:rPr>
        <w:t>、一口进食量大约</w:t>
      </w:r>
      <w:r>
        <w:rPr>
          <w:rFonts w:ascii="Times New Roman" w:hAnsi="Times New Roman"/>
          <w:kern w:val="0"/>
          <w:sz w:val="22"/>
        </w:rPr>
        <w:t>2-3ml</w:t>
      </w:r>
      <w:r>
        <w:rPr>
          <w:rFonts w:ascii="Times New Roman" w:hAnsi="Times New Roman" w:hint="eastAsia"/>
          <w:kern w:val="0"/>
          <w:sz w:val="22"/>
        </w:rPr>
        <w:t>。</w:t>
      </w:r>
    </w:p>
    <w:p w:rsidR="00097A14" w:rsidRDefault="00097A14">
      <w:pPr>
        <w:autoSpaceDE w:val="0"/>
        <w:autoSpaceDN w:val="0"/>
        <w:adjustRightInd w:val="0"/>
        <w:snapToGrid w:val="0"/>
        <w:spacing w:line="360" w:lineRule="auto"/>
        <w:ind w:firstLineChars="193" w:firstLine="425"/>
        <w:jc w:val="left"/>
        <w:rPr>
          <w:rFonts w:ascii="Times New Roman" w:hAnsi="Times New Roman"/>
          <w:kern w:val="0"/>
          <w:sz w:val="22"/>
        </w:rPr>
      </w:pPr>
    </w:p>
    <w:p w:rsidR="003717A0" w:rsidRDefault="003717A0">
      <w:pPr>
        <w:numPr>
          <w:ilvl w:val="0"/>
          <w:numId w:val="367"/>
        </w:numPr>
        <w:spacing w:line="400" w:lineRule="exac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问答题</w:t>
      </w:r>
    </w:p>
    <w:p w:rsidR="003717A0" w:rsidRDefault="003717A0">
      <w:pPr>
        <w:numPr>
          <w:ilvl w:val="0"/>
          <w:numId w:val="368"/>
        </w:numPr>
        <w:spacing w:line="400" w:lineRule="exact"/>
        <w:rPr>
          <w:rFonts w:ascii="Times New Roman" w:hAnsi="Times New Roman"/>
          <w:kern w:val="0"/>
          <w:sz w:val="22"/>
        </w:rPr>
      </w:pPr>
      <w:r>
        <w:rPr>
          <w:rFonts w:ascii="Times New Roman" w:hAnsi="Times New Roman" w:hint="eastAsia"/>
          <w:kern w:val="0"/>
          <w:sz w:val="22"/>
        </w:rPr>
        <w:t>试述</w:t>
      </w:r>
      <w:r>
        <w:rPr>
          <w:rFonts w:ascii="Times New Roman" w:hAnsi="Times New Roman"/>
          <w:kern w:val="0"/>
          <w:sz w:val="22"/>
        </w:rPr>
        <w:t>Schuell</w:t>
      </w:r>
      <w:r>
        <w:rPr>
          <w:rFonts w:ascii="Times New Roman" w:hAnsi="Times New Roman" w:hint="eastAsia"/>
          <w:kern w:val="0"/>
          <w:sz w:val="22"/>
        </w:rPr>
        <w:t>刺激法的定义及原理（</w:t>
      </w:r>
      <w:r>
        <w:rPr>
          <w:rFonts w:ascii="Times New Roman" w:hAnsi="Times New Roman"/>
          <w:kern w:val="0"/>
          <w:sz w:val="22"/>
        </w:rPr>
        <w:t>7</w:t>
      </w:r>
      <w:r>
        <w:rPr>
          <w:rFonts w:ascii="Times New Roman" w:hAnsi="Times New Roman" w:hint="eastAsia"/>
          <w:kern w:val="0"/>
          <w:sz w:val="22"/>
        </w:rPr>
        <w:t>分）</w:t>
      </w:r>
    </w:p>
    <w:p w:rsidR="003717A0" w:rsidRDefault="003717A0">
      <w:pPr>
        <w:numPr>
          <w:ilvl w:val="0"/>
          <w:numId w:val="368"/>
        </w:numPr>
        <w:spacing w:line="400" w:lineRule="exact"/>
        <w:rPr>
          <w:rFonts w:ascii="Times New Roman" w:hAnsi="Times New Roman"/>
          <w:kern w:val="0"/>
          <w:sz w:val="22"/>
        </w:rPr>
      </w:pPr>
      <w:r>
        <w:rPr>
          <w:rFonts w:ascii="Times New Roman" w:hAnsi="Times New Roman" w:hint="eastAsia"/>
          <w:kern w:val="0"/>
          <w:sz w:val="22"/>
        </w:rPr>
        <w:t>简述非流畅性与流畅性言语的鉴别</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5</w:t>
      </w:r>
      <w:r>
        <w:rPr>
          <w:rFonts w:ascii="Times New Roman" w:hAnsi="Times New Roman" w:hint="eastAsia"/>
          <w:kern w:val="0"/>
          <w:sz w:val="22"/>
        </w:rPr>
        <w:t>分）</w:t>
      </w:r>
    </w:p>
    <w:p w:rsidR="003717A0" w:rsidRDefault="003717A0">
      <w:pPr>
        <w:numPr>
          <w:ilvl w:val="0"/>
          <w:numId w:val="368"/>
        </w:numPr>
        <w:spacing w:line="400" w:lineRule="exact"/>
        <w:rPr>
          <w:rFonts w:ascii="Times New Roman" w:hAnsi="Times New Roman"/>
          <w:kern w:val="0"/>
          <w:sz w:val="22"/>
        </w:rPr>
      </w:pPr>
      <w:r>
        <w:rPr>
          <w:rFonts w:ascii="Times New Roman" w:hAnsi="Times New Roman" w:hint="eastAsia"/>
          <w:kern w:val="0"/>
          <w:sz w:val="22"/>
        </w:rPr>
        <w:t>简述延髓麻痹和假性延髓麻痹的区别</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5</w:t>
      </w:r>
      <w:r>
        <w:rPr>
          <w:rFonts w:ascii="Times New Roman" w:hAnsi="Times New Roman" w:hint="eastAsia"/>
          <w:kern w:val="0"/>
          <w:sz w:val="22"/>
        </w:rPr>
        <w:t>分）</w:t>
      </w:r>
    </w:p>
    <w:p w:rsidR="003717A0" w:rsidRDefault="003717A0">
      <w:pPr>
        <w:numPr>
          <w:ilvl w:val="0"/>
          <w:numId w:val="368"/>
        </w:numPr>
        <w:spacing w:line="400" w:lineRule="exact"/>
        <w:rPr>
          <w:rFonts w:ascii="Times New Roman" w:hAnsi="Times New Roman"/>
          <w:kern w:val="0"/>
          <w:sz w:val="22"/>
        </w:rPr>
      </w:pPr>
      <w:r>
        <w:rPr>
          <w:rFonts w:ascii="Times New Roman" w:hAnsi="Times New Roman" w:hint="eastAsia"/>
          <w:kern w:val="0"/>
          <w:sz w:val="22"/>
        </w:rPr>
        <w:t>试述运动性构音障碍的定义、分类及其言语特征</w:t>
      </w:r>
      <w:r>
        <w:rPr>
          <w:rFonts w:ascii="Times New Roman" w:hAnsi="Times New Roman"/>
          <w:kern w:val="0"/>
          <w:sz w:val="22"/>
        </w:rPr>
        <w:t xml:space="preserve"> </w:t>
      </w:r>
      <w:r>
        <w:rPr>
          <w:rFonts w:ascii="Times New Roman" w:hAnsi="Times New Roman" w:hint="eastAsia"/>
          <w:kern w:val="0"/>
          <w:sz w:val="22"/>
        </w:rPr>
        <w:t>（</w:t>
      </w:r>
      <w:r>
        <w:rPr>
          <w:rFonts w:ascii="Times New Roman" w:hAnsi="Times New Roman"/>
          <w:kern w:val="0"/>
          <w:sz w:val="22"/>
        </w:rPr>
        <w:t>8</w:t>
      </w:r>
      <w:r>
        <w:rPr>
          <w:rFonts w:ascii="Times New Roman" w:hAnsi="Times New Roman" w:hint="eastAsia"/>
          <w:kern w:val="0"/>
          <w:sz w:val="22"/>
        </w:rPr>
        <w:t>分）</w:t>
      </w:r>
    </w:p>
    <w:p w:rsidR="003717A0" w:rsidRDefault="003717A0">
      <w:pPr>
        <w:spacing w:line="400" w:lineRule="exact"/>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、简述传导性失语的损伤部位、言语特征。（</w:t>
      </w:r>
      <w:r>
        <w:rPr>
          <w:rFonts w:ascii="Times New Roman" w:hAnsi="Times New Roman"/>
          <w:kern w:val="0"/>
          <w:sz w:val="22"/>
        </w:rPr>
        <w:t>5</w:t>
      </w:r>
      <w:r>
        <w:rPr>
          <w:rFonts w:ascii="Times New Roman" w:hAnsi="Times New Roman" w:hint="eastAsia"/>
          <w:kern w:val="0"/>
          <w:sz w:val="22"/>
        </w:rPr>
        <w:t>分）</w:t>
      </w:r>
    </w:p>
    <w:p w:rsidR="003717A0" w:rsidRDefault="003717A0">
      <w:pPr>
        <w:spacing w:line="400" w:lineRule="exact"/>
        <w:rPr>
          <w:rFonts w:eastAsia="楷体_GB2312"/>
          <w:sz w:val="24"/>
        </w:rPr>
      </w:pPr>
    </w:p>
    <w:p w:rsidR="003717A0" w:rsidRPr="00F5156D" w:rsidRDefault="003717A0" w:rsidP="00F5156D">
      <w:pPr>
        <w:widowControl/>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7"/>
              <w:jc w:val="left"/>
              <w:rPr>
                <w:rFonts w:ascii="Times New Roman" w:hAnsi="宋体"/>
                <w:kern w:val="0"/>
                <w:sz w:val="22"/>
              </w:rPr>
            </w:pPr>
            <w:r>
              <w:rPr>
                <w:rFonts w:ascii="宋体" w:hAnsi="宋体" w:hint="eastAsia"/>
                <w:szCs w:val="21"/>
              </w:rPr>
              <w:t>教师应充分研究本大纲所规定的各章内容，对重点和难点进行深入浅出的讲解。增加自学和拓展环节，注意培养学生的自学能力。部分语言功能障碍的描述，可在实习课中让学生通过对具体的病例的观察来加强理解。教师应关心语言治疗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36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36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37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37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37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多媒体教学手段、课堂实践、病例探讨相结合，以培养学生独立分析问题的能力。</w:t>
            </w:r>
          </w:p>
          <w:p w:rsidR="003717A0" w:rsidRDefault="003717A0">
            <w:pPr>
              <w:autoSpaceDE w:val="0"/>
              <w:autoSpaceDN w:val="0"/>
              <w:adjustRightInd w:val="0"/>
              <w:snapToGrid w:val="0"/>
              <w:spacing w:line="360" w:lineRule="exact"/>
              <w:jc w:val="left"/>
            </w:pP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宋体"/>
                <w:kern w:val="0"/>
                <w:sz w:val="22"/>
              </w:rPr>
            </w:pPr>
            <w:r>
              <w:rPr>
                <w:rFonts w:ascii="宋体" w:hAnsi="宋体" w:hint="eastAsia"/>
                <w:szCs w:val="21"/>
              </w:rPr>
              <w:t>在教室、实践课上，多与学生进行面对面的交流互动，同时充分利用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37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37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宋体" w:hAnsi="宋体" w:hint="eastAsia"/>
                <w:szCs w:val="21"/>
              </w:rPr>
              <w:t>为了培养学生综合运用所学知识解决实际问题的能力和创新能力，本课程教师应鼓励和指导学生积极参加各种学术活动兴趣小组，参与教师的科学研究活动，同时还鼓励学生选修语言功能障碍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87" w:name="_Toc469313005"/>
      <w:bookmarkStart w:id="88" w:name="_Toc471830717"/>
      <w:r w:rsidRPr="00F5156D">
        <w:rPr>
          <w:rFonts w:hint="eastAsia"/>
          <w:b/>
        </w:rPr>
        <w:lastRenderedPageBreak/>
        <w:t>《运动治疗技术》课程质量标准</w:t>
      </w:r>
      <w:bookmarkEnd w:id="87"/>
      <w:bookmarkEnd w:id="88"/>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运动治疗技术</w:t>
            </w:r>
            <w:r>
              <w:rPr>
                <w:sz w:val="22"/>
              </w:rPr>
              <w:t xml:space="preserve"> </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ind w:firstLineChars="1150" w:firstLine="2185"/>
              <w:rPr>
                <w:sz w:val="22"/>
              </w:rPr>
            </w:pPr>
            <w:r>
              <w:rPr>
                <w:rFonts w:ascii="Arial" w:hAnsi="Arial"/>
                <w:sz w:val="19"/>
                <w:szCs w:val="19"/>
              </w:rPr>
              <w:t>Exercise Therapy Technology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170352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rPr>
                <w:sz w:val="22"/>
              </w:rPr>
            </w:pPr>
            <w:r>
              <w:rPr>
                <w:sz w:val="22"/>
              </w:rPr>
              <w:t xml:space="preserve">           </w:t>
            </w:r>
            <w:r>
              <w:rPr>
                <w:rFonts w:hint="eastAsia"/>
                <w:sz w:val="22"/>
              </w:rPr>
              <w:t>四</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108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ind w:firstLineChars="550" w:firstLine="1210"/>
              <w:rPr>
                <w:sz w:val="22"/>
              </w:rPr>
            </w:pPr>
            <w:r>
              <w:rPr>
                <w:sz w:val="22"/>
              </w:rPr>
              <w:t>5</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物理治疗学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人民卫生出版社，</w:t>
            </w:r>
            <w:r>
              <w:rPr>
                <w:sz w:val="22"/>
              </w:rPr>
              <w:t>2013</w:t>
            </w:r>
            <w:r>
              <w:rPr>
                <w:rFonts w:hint="eastAsia"/>
                <w:sz w:val="22"/>
              </w:rPr>
              <w:t>年</w:t>
            </w:r>
            <w:r>
              <w:rPr>
                <w:sz w:val="22"/>
              </w:rPr>
              <w:t>8</w:t>
            </w:r>
            <w:r>
              <w:rPr>
                <w:rFonts w:hint="eastAsia"/>
                <w:sz w:val="22"/>
              </w:rPr>
              <w:t>月第</w:t>
            </w:r>
            <w:r>
              <w:rPr>
                <w:sz w:val="22"/>
              </w:rPr>
              <w:t>2</w:t>
            </w:r>
            <w:r>
              <w:rPr>
                <w:rFonts w:hint="eastAsia"/>
                <w:sz w:val="22"/>
              </w:rPr>
              <w:t>版，书号：</w:t>
            </w:r>
            <w:r>
              <w:rPr>
                <w:sz w:val="22"/>
              </w:rPr>
              <w:t>ISBN 978-7-117-17624-8/R.17625</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沈光宇</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本科生</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500" w:lineRule="exact"/>
              <w:jc w:val="center"/>
              <w:rPr>
                <w:sz w:val="22"/>
              </w:rPr>
            </w:pPr>
            <w:r>
              <w:rPr>
                <w:sz w:val="22"/>
              </w:rPr>
              <w:t>1982.1</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蔡俊燕</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2005.9</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吴勤峰</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2005.9</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刘苏</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2006.9</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F5156D">
        <w:trPr>
          <w:trHeight w:val="70"/>
        </w:trPr>
        <w:tc>
          <w:tcPr>
            <w:tcW w:w="9286" w:type="dxa"/>
            <w:gridSpan w:val="10"/>
          </w:tcPr>
          <w:p w:rsidR="003717A0" w:rsidRDefault="003717A0" w:rsidP="00F5156D">
            <w:pPr>
              <w:adjustRightInd w:val="0"/>
              <w:snapToGrid w:val="0"/>
              <w:spacing w:line="440" w:lineRule="exact"/>
              <w:ind w:firstLineChars="200" w:firstLine="440"/>
              <w:rPr>
                <w:sz w:val="22"/>
              </w:rPr>
            </w:pPr>
            <w:r>
              <w:rPr>
                <w:rFonts w:hint="eastAsia"/>
                <w:sz w:val="22"/>
              </w:rPr>
              <w:t>物理治疗学重点介绍在现代康复医学中较为实用的物理治疗方法，并介绍国内外物理治疗的新成果、新技术及临床应用。讲述物理疗法的定义和基本内容、治疗作用常用物理治疗技术包括关节活动技术、体位转移技术、肌肉牵伸技术、关节松动技术、肌力训练技术、牵引疗法、平衡与协调训练、步行功能训练、神经发育促进技术包括</w:t>
            </w:r>
            <w:r>
              <w:rPr>
                <w:sz w:val="22"/>
              </w:rPr>
              <w:t>Bobath</w:t>
            </w:r>
            <w:r>
              <w:rPr>
                <w:rFonts w:hint="eastAsia"/>
                <w:sz w:val="22"/>
              </w:rPr>
              <w:t>技术、</w:t>
            </w:r>
            <w:r>
              <w:rPr>
                <w:sz w:val="22"/>
              </w:rPr>
              <w:t>Brunnstrom</w:t>
            </w:r>
            <w:r>
              <w:rPr>
                <w:rFonts w:hint="eastAsia"/>
                <w:sz w:val="22"/>
              </w:rPr>
              <w:t>方法、</w:t>
            </w:r>
            <w:r>
              <w:rPr>
                <w:sz w:val="22"/>
              </w:rPr>
              <w:t>Rood</w:t>
            </w:r>
            <w:r>
              <w:rPr>
                <w:rFonts w:hint="eastAsia"/>
                <w:sz w:val="22"/>
              </w:rPr>
              <w:t>技术、</w:t>
            </w:r>
            <w:r>
              <w:rPr>
                <w:sz w:val="22"/>
              </w:rPr>
              <w:t>PNF</w:t>
            </w:r>
            <w:r>
              <w:rPr>
                <w:rFonts w:hint="eastAsia"/>
                <w:sz w:val="22"/>
              </w:rPr>
              <w:t>技术、运动再学习技术、强制使用运动疗法、心肺功能训练、声光电磁等各种物理因子治疗方法的基本理论、操作方法、临床应用等内容。</w:t>
            </w:r>
          </w:p>
          <w:p w:rsidR="003717A0" w:rsidRDefault="003717A0" w:rsidP="00F5156D">
            <w:pPr>
              <w:adjustRightInd w:val="0"/>
              <w:snapToGrid w:val="0"/>
              <w:spacing w:line="440" w:lineRule="exact"/>
              <w:ind w:firstLineChars="200" w:firstLine="440"/>
              <w:rPr>
                <w:sz w:val="22"/>
              </w:rPr>
            </w:pPr>
            <w:r>
              <w:rPr>
                <w:rFonts w:hint="eastAsia"/>
                <w:sz w:val="22"/>
              </w:rPr>
              <w:t>本课程是康复治疗专业最重要的专业课之一，是神经康复、肌肉骨骼康复等临床应用课程的基础。</w:t>
            </w:r>
          </w:p>
        </w:tc>
      </w:tr>
    </w:tbl>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适应对象：康复治疗学本科</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sz w:val="22"/>
        </w:rPr>
        <w:t>170352</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108</w:t>
      </w:r>
      <w:r>
        <w:rPr>
          <w:rFonts w:ascii="Times New Roman" w:hAnsi="Times New Roman" w:hint="eastAsia"/>
          <w:kern w:val="0"/>
          <w:szCs w:val="21"/>
        </w:rPr>
        <w:t>学时（理论学时</w:t>
      </w:r>
      <w:r>
        <w:rPr>
          <w:rFonts w:ascii="Times New Roman" w:hAnsi="Times New Roman"/>
          <w:kern w:val="0"/>
          <w:szCs w:val="21"/>
        </w:rPr>
        <w:t>54</w:t>
      </w:r>
      <w:r>
        <w:rPr>
          <w:rFonts w:ascii="Times New Roman" w:hAnsi="Times New Roman" w:hint="eastAsia"/>
          <w:kern w:val="0"/>
          <w:szCs w:val="21"/>
        </w:rPr>
        <w:t>，实验学时</w:t>
      </w:r>
      <w:r>
        <w:rPr>
          <w:rFonts w:ascii="Times New Roman" w:hAnsi="Times New Roman"/>
          <w:kern w:val="0"/>
          <w:szCs w:val="21"/>
        </w:rPr>
        <w:t>54</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5</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先修课程：康复功能评定学，人体运动学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后续课程：神经康复、肌肉骨骼康复</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物理治疗</w:t>
      </w:r>
      <w:r>
        <w:rPr>
          <w:rFonts w:ascii="Times New Roman" w:hAnsi="Times New Roman"/>
          <w:kern w:val="0"/>
          <w:szCs w:val="21"/>
        </w:rPr>
        <w:t>(Physiotherapy</w:t>
      </w:r>
      <w:r>
        <w:rPr>
          <w:rFonts w:ascii="Times New Roman" w:hAnsi="Times New Roman" w:hint="eastAsia"/>
          <w:kern w:val="0"/>
          <w:szCs w:val="21"/>
        </w:rPr>
        <w:t>或</w:t>
      </w:r>
      <w:r>
        <w:rPr>
          <w:rFonts w:ascii="Times New Roman" w:hAnsi="Times New Roman"/>
          <w:kern w:val="0"/>
          <w:szCs w:val="21"/>
        </w:rPr>
        <w:t>Physical Therapy)</w:t>
      </w:r>
      <w:r>
        <w:rPr>
          <w:rFonts w:ascii="Times New Roman" w:hAnsi="Times New Roman" w:hint="eastAsia"/>
          <w:kern w:val="0"/>
          <w:szCs w:val="21"/>
        </w:rPr>
        <w:t>是以一种预防、治疗、及处理因疾病或伤害所带来的动作问题的医疗专业。物理治疗是现代与传统医学中的非常重要的一份子。物理治疗师所擅长的包含：疼痛处理、肌力的训练、关节活动度的增进、心肺功能的训练强、小儿物理治疗等。因此物理治疗师会以适切的评估诊断然后运用对病人最适当之物理治疗手段与治疗方法</w:t>
      </w:r>
      <w:r>
        <w:rPr>
          <w:rFonts w:ascii="Times New Roman" w:hAnsi="Times New Roman"/>
          <w:kern w:val="0"/>
          <w:szCs w:val="21"/>
        </w:rPr>
        <w:t>,</w:t>
      </w:r>
      <w:r>
        <w:rPr>
          <w:rFonts w:ascii="Times New Roman" w:hAnsi="Times New Roman" w:hint="eastAsia"/>
          <w:kern w:val="0"/>
          <w:szCs w:val="21"/>
        </w:rPr>
        <w:t>有效地直接帮助或支援其他医疗专科，如神经内科、神经外科、骨科、心脏内科、心脏外科、牙科、妇产科、肿瘤学科等，给予病者最需要的预防医学教育与观念及治疗训练方法。</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物理治疗是康复治疗的主体，它使用包括声、光、冷、热、电、力（运动和压力）等物理因子进行治疗，针对人体局部或全身性的功能障碍或病变，采用非侵入性、非药物性的治疗来恢复身体原有的生理功能。物理治疗是现代与传统医学中的非常重要的一份子。物理治疗可以分为两大类，一类是以功能训练和手法治疗为主要手段，又称为运动治疗或运动疗法；另一类是以各种物理因子（声、光、冷、热、电、磁、水等）为主要手段，又称为理疗。</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要求学生通过基础理论与实验操作相结合掌握物理治疗基础理论、各类物理治疗技术的临床应用及操作方法为进一步学习各临床课程及以后的工作打下坚实基础。注重培养学生发现问题、分析问题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概论</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72"/>
        </w:numPr>
        <w:adjustRightInd w:val="0"/>
        <w:snapToGrid w:val="0"/>
        <w:spacing w:line="360" w:lineRule="auto"/>
        <w:ind w:left="0" w:right="4" w:firstLine="720"/>
        <w:rPr>
          <w:rFonts w:ascii="Times New Roman"/>
        </w:rPr>
      </w:pPr>
      <w:r>
        <w:rPr>
          <w:rFonts w:ascii="Times New Roman" w:hint="eastAsia"/>
        </w:rPr>
        <w:t>物理治疗学概念、运动治疗范畴、物理因子范畴、手法治疗</w:t>
      </w:r>
    </w:p>
    <w:p w:rsidR="003717A0" w:rsidRDefault="003717A0">
      <w:pPr>
        <w:numPr>
          <w:ilvl w:val="0"/>
          <w:numId w:val="372"/>
        </w:numPr>
        <w:adjustRightInd w:val="0"/>
        <w:snapToGrid w:val="0"/>
        <w:spacing w:line="360" w:lineRule="auto"/>
        <w:ind w:left="0" w:right="4" w:firstLine="720"/>
        <w:rPr>
          <w:rFonts w:ascii="Times New Roman"/>
        </w:rPr>
      </w:pPr>
      <w:r>
        <w:rPr>
          <w:rFonts w:ascii="Times New Roman" w:hint="eastAsia"/>
        </w:rPr>
        <w:t>物理治疗对人体的作用</w:t>
      </w:r>
    </w:p>
    <w:p w:rsidR="003717A0" w:rsidRDefault="003717A0">
      <w:pPr>
        <w:numPr>
          <w:ilvl w:val="0"/>
          <w:numId w:val="372"/>
        </w:numPr>
        <w:adjustRightInd w:val="0"/>
        <w:snapToGrid w:val="0"/>
        <w:spacing w:line="360" w:lineRule="auto"/>
        <w:ind w:left="0" w:right="4" w:firstLine="720"/>
        <w:rPr>
          <w:rFonts w:ascii="Times New Roman"/>
        </w:rPr>
      </w:pPr>
      <w:r>
        <w:rPr>
          <w:rFonts w:ascii="Times New Roman" w:hint="eastAsia"/>
        </w:rPr>
        <w:t>物理治疗方法的发展与展望</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adjustRightInd w:val="0"/>
        <w:snapToGrid w:val="0"/>
        <w:spacing w:line="360" w:lineRule="auto"/>
        <w:ind w:leftChars="343" w:left="720" w:right="4" w:firstLineChars="200" w:firstLine="420"/>
        <w:rPr>
          <w:rFonts w:ascii="Times New Roman"/>
        </w:rPr>
      </w:pPr>
      <w:r>
        <w:rPr>
          <w:rFonts w:ascii="Times New Roman" w:hint="eastAsia"/>
        </w:rPr>
        <w:t>本课程的实验见习，掌握物理治疗学的基本概念，掌握物理治疗学的基本内容。了解物理治疗学的现状及发展前景。</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lastRenderedPageBreak/>
        <w:t>目的要求</w:t>
      </w:r>
    </w:p>
    <w:p w:rsidR="003717A0" w:rsidRDefault="003717A0">
      <w:pPr>
        <w:numPr>
          <w:ilvl w:val="0"/>
          <w:numId w:val="373"/>
        </w:numPr>
        <w:adjustRightInd w:val="0"/>
        <w:snapToGrid w:val="0"/>
        <w:spacing w:line="360" w:lineRule="auto"/>
        <w:ind w:right="4"/>
        <w:rPr>
          <w:rFonts w:ascii="Times New Roman"/>
        </w:rPr>
      </w:pPr>
      <w:r>
        <w:rPr>
          <w:rFonts w:ascii="Times New Roman" w:hint="eastAsia"/>
        </w:rPr>
        <w:t>掌握物理治疗学的定义</w:t>
      </w:r>
    </w:p>
    <w:p w:rsidR="003717A0" w:rsidRDefault="003717A0">
      <w:pPr>
        <w:numPr>
          <w:ilvl w:val="0"/>
          <w:numId w:val="373"/>
        </w:numPr>
        <w:adjustRightInd w:val="0"/>
        <w:snapToGrid w:val="0"/>
        <w:spacing w:line="360" w:lineRule="auto"/>
        <w:ind w:right="4"/>
        <w:rPr>
          <w:rFonts w:ascii="Times New Roman"/>
        </w:rPr>
      </w:pPr>
      <w:r>
        <w:rPr>
          <w:rFonts w:ascii="Times New Roman" w:hint="eastAsia"/>
        </w:rPr>
        <w:t>熟悉物理治疗对人体的作用</w:t>
      </w:r>
    </w:p>
    <w:p w:rsidR="003717A0" w:rsidRDefault="003717A0">
      <w:pPr>
        <w:numPr>
          <w:ilvl w:val="0"/>
          <w:numId w:val="373"/>
        </w:numPr>
        <w:adjustRightInd w:val="0"/>
        <w:snapToGrid w:val="0"/>
        <w:spacing w:line="360" w:lineRule="auto"/>
        <w:ind w:right="4"/>
        <w:rPr>
          <w:rFonts w:ascii="Times New Roman"/>
        </w:rPr>
      </w:pPr>
      <w:r>
        <w:rPr>
          <w:rFonts w:ascii="Times New Roman" w:hint="eastAsia"/>
        </w:rPr>
        <w:t>了解物理治疗方法的发展与展望</w:t>
      </w:r>
    </w:p>
    <w:p w:rsidR="003717A0" w:rsidRDefault="003717A0" w:rsidP="005E20B5">
      <w:pPr>
        <w:adjustRightInd w:val="0"/>
        <w:snapToGrid w:val="0"/>
        <w:spacing w:beforeLines="50" w:line="360" w:lineRule="auto"/>
        <w:ind w:right="6"/>
        <w:jc w:val="center"/>
        <w:rPr>
          <w:b/>
          <w:sz w:val="22"/>
        </w:rPr>
      </w:pPr>
      <w:r>
        <w:rPr>
          <w:rFonts w:hint="eastAsia"/>
          <w:b/>
          <w:sz w:val="22"/>
        </w:rPr>
        <w:t>第二章</w:t>
      </w:r>
      <w:r>
        <w:rPr>
          <w:b/>
          <w:sz w:val="22"/>
        </w:rPr>
        <w:t xml:space="preserve">  </w:t>
      </w:r>
      <w:r>
        <w:rPr>
          <w:rFonts w:hint="eastAsia"/>
          <w:b/>
          <w:sz w:val="22"/>
        </w:rPr>
        <w:t>关节活动技术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74"/>
        </w:numPr>
        <w:tabs>
          <w:tab w:val="left" w:pos="1260"/>
        </w:tabs>
        <w:adjustRightInd w:val="0"/>
        <w:snapToGrid w:val="0"/>
        <w:spacing w:line="360" w:lineRule="auto"/>
        <w:ind w:left="0" w:right="4" w:firstLine="720"/>
        <w:rPr>
          <w:rFonts w:ascii="Times New Roman"/>
        </w:rPr>
      </w:pPr>
      <w:r>
        <w:rPr>
          <w:rFonts w:ascii="Times New Roman" w:hint="eastAsia"/>
        </w:rPr>
        <w:t>被动运动技术与主动活动技术</w:t>
      </w:r>
    </w:p>
    <w:p w:rsidR="003717A0" w:rsidRDefault="003717A0">
      <w:pPr>
        <w:numPr>
          <w:ilvl w:val="0"/>
          <w:numId w:val="374"/>
        </w:numPr>
        <w:tabs>
          <w:tab w:val="left" w:pos="1260"/>
        </w:tabs>
        <w:adjustRightInd w:val="0"/>
        <w:snapToGrid w:val="0"/>
        <w:spacing w:line="360" w:lineRule="auto"/>
        <w:ind w:left="0" w:right="4" w:firstLine="720"/>
        <w:rPr>
          <w:rFonts w:ascii="Times New Roman"/>
        </w:rPr>
      </w:pPr>
      <w:r>
        <w:rPr>
          <w:rFonts w:ascii="Times New Roman" w:hint="eastAsia"/>
        </w:rPr>
        <w:t>上肢关节活动技术</w:t>
      </w:r>
    </w:p>
    <w:p w:rsidR="003717A0" w:rsidRDefault="003717A0">
      <w:pPr>
        <w:numPr>
          <w:ilvl w:val="0"/>
          <w:numId w:val="374"/>
        </w:numPr>
        <w:tabs>
          <w:tab w:val="left" w:pos="1260"/>
        </w:tabs>
        <w:adjustRightInd w:val="0"/>
        <w:snapToGrid w:val="0"/>
        <w:spacing w:line="360" w:lineRule="auto"/>
        <w:ind w:left="0" w:right="4" w:firstLine="720"/>
        <w:rPr>
          <w:rFonts w:ascii="Times New Roman"/>
        </w:rPr>
      </w:pPr>
      <w:r>
        <w:rPr>
          <w:rFonts w:ascii="Times New Roman" w:hint="eastAsia"/>
        </w:rPr>
        <w:t>下肢关节活动技术</w:t>
      </w:r>
    </w:p>
    <w:p w:rsidR="003717A0" w:rsidRDefault="003717A0">
      <w:pPr>
        <w:numPr>
          <w:ilvl w:val="0"/>
          <w:numId w:val="374"/>
        </w:numPr>
        <w:tabs>
          <w:tab w:val="left" w:pos="1260"/>
        </w:tabs>
        <w:adjustRightInd w:val="0"/>
        <w:snapToGrid w:val="0"/>
        <w:spacing w:line="360" w:lineRule="auto"/>
        <w:ind w:left="0" w:right="4" w:firstLine="720"/>
        <w:rPr>
          <w:rFonts w:ascii="Times New Roman"/>
        </w:rPr>
      </w:pPr>
      <w:r>
        <w:rPr>
          <w:rFonts w:ascii="Times New Roman" w:hint="eastAsia"/>
        </w:rPr>
        <w:t>躯干活动技术</w:t>
      </w:r>
    </w:p>
    <w:p w:rsidR="003717A0" w:rsidRDefault="003717A0">
      <w:pPr>
        <w:numPr>
          <w:ilvl w:val="0"/>
          <w:numId w:val="374"/>
        </w:numPr>
        <w:tabs>
          <w:tab w:val="left" w:pos="1260"/>
        </w:tabs>
        <w:adjustRightInd w:val="0"/>
        <w:snapToGrid w:val="0"/>
        <w:spacing w:line="360" w:lineRule="auto"/>
        <w:ind w:left="0" w:right="4" w:firstLine="720"/>
        <w:rPr>
          <w:rFonts w:ascii="Times New Roman"/>
        </w:rPr>
      </w:pPr>
      <w:r>
        <w:rPr>
          <w:rFonts w:ascii="Times New Roman" w:hint="eastAsia"/>
        </w:rPr>
        <w:t>持续被动运动作用与方法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tabs>
          <w:tab w:val="left" w:pos="1260"/>
        </w:tabs>
        <w:adjustRightInd w:val="0"/>
        <w:snapToGrid w:val="0"/>
        <w:spacing w:line="360" w:lineRule="auto"/>
        <w:ind w:leftChars="343" w:left="720" w:right="4" w:firstLineChars="200" w:firstLine="420"/>
        <w:rPr>
          <w:rFonts w:ascii="Times New Roman" w:hAnsi="Times New Roman"/>
          <w:b/>
        </w:rPr>
      </w:pPr>
      <w:r>
        <w:rPr>
          <w:rFonts w:ascii="Times New Roman" w:hint="eastAsia"/>
        </w:rPr>
        <w:t>本课程的实验见习包括被动运动技术与主动活动技术；上肢关节活动技术；下肢关节活动技术；躯干活动技术；持续被动运动作用与方法。</w:t>
      </w:r>
    </w:p>
    <w:p w:rsidR="003717A0" w:rsidRDefault="003717A0">
      <w:pPr>
        <w:tabs>
          <w:tab w:val="left" w:pos="1260"/>
        </w:tabs>
        <w:adjustRightInd w:val="0"/>
        <w:snapToGrid w:val="0"/>
        <w:spacing w:line="360" w:lineRule="auto"/>
        <w:ind w:right="4" w:firstLineChars="196" w:firstLine="413"/>
        <w:rPr>
          <w:rFonts w:ascii="Times New Roman" w:hAnsi="Times New Roman"/>
          <w:b/>
        </w:rPr>
      </w:pPr>
      <w:r>
        <w:rPr>
          <w:rFonts w:ascii="Times New Roman" w:hint="eastAsia"/>
          <w:b/>
        </w:rPr>
        <w:t>目的要求</w:t>
      </w:r>
    </w:p>
    <w:p w:rsidR="003717A0" w:rsidRDefault="003717A0">
      <w:pPr>
        <w:numPr>
          <w:ilvl w:val="0"/>
          <w:numId w:val="375"/>
        </w:numPr>
        <w:tabs>
          <w:tab w:val="left" w:pos="1260"/>
        </w:tabs>
        <w:adjustRightInd w:val="0"/>
        <w:snapToGrid w:val="0"/>
        <w:spacing w:line="360" w:lineRule="auto"/>
        <w:ind w:right="4"/>
        <w:rPr>
          <w:rFonts w:ascii="Times New Roman"/>
        </w:rPr>
      </w:pPr>
      <w:r>
        <w:rPr>
          <w:rFonts w:ascii="Times New Roman" w:hint="eastAsia"/>
        </w:rPr>
        <w:t>掌握关节运动与正常关节活动度的维持</w:t>
      </w:r>
    </w:p>
    <w:p w:rsidR="003717A0" w:rsidRDefault="003717A0">
      <w:pPr>
        <w:numPr>
          <w:ilvl w:val="0"/>
          <w:numId w:val="375"/>
        </w:numPr>
        <w:tabs>
          <w:tab w:val="left" w:pos="1260"/>
        </w:tabs>
        <w:adjustRightInd w:val="0"/>
        <w:snapToGrid w:val="0"/>
        <w:spacing w:line="360" w:lineRule="auto"/>
        <w:ind w:right="4"/>
        <w:rPr>
          <w:rFonts w:ascii="Times New Roman"/>
        </w:rPr>
      </w:pPr>
      <w:r>
        <w:rPr>
          <w:rFonts w:ascii="Times New Roman" w:hint="eastAsia"/>
        </w:rPr>
        <w:t>掌握生理运动与附属运动</w:t>
      </w:r>
    </w:p>
    <w:p w:rsidR="003717A0" w:rsidRDefault="003717A0">
      <w:pPr>
        <w:numPr>
          <w:ilvl w:val="0"/>
          <w:numId w:val="375"/>
        </w:numPr>
        <w:tabs>
          <w:tab w:val="left" w:pos="1260"/>
        </w:tabs>
        <w:adjustRightInd w:val="0"/>
        <w:snapToGrid w:val="0"/>
        <w:spacing w:line="360" w:lineRule="auto"/>
        <w:ind w:right="4"/>
        <w:rPr>
          <w:rFonts w:ascii="Times New Roman"/>
        </w:rPr>
      </w:pPr>
      <w:r>
        <w:rPr>
          <w:rFonts w:ascii="Times New Roman" w:hint="eastAsia"/>
        </w:rPr>
        <w:t>掌握上下肢关节活动技术基本方法</w:t>
      </w: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体位转移技术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76"/>
        </w:numPr>
        <w:adjustRightInd w:val="0"/>
        <w:snapToGrid w:val="0"/>
        <w:spacing w:line="360" w:lineRule="auto"/>
        <w:ind w:left="0" w:right="4" w:firstLine="720"/>
        <w:rPr>
          <w:rFonts w:ascii="Times New Roman"/>
        </w:rPr>
      </w:pPr>
      <w:r>
        <w:rPr>
          <w:rFonts w:ascii="Times New Roman" w:hint="eastAsia"/>
        </w:rPr>
        <w:t>偏瘫患者体位转移技术</w:t>
      </w:r>
    </w:p>
    <w:p w:rsidR="003717A0" w:rsidRDefault="003717A0">
      <w:pPr>
        <w:numPr>
          <w:ilvl w:val="0"/>
          <w:numId w:val="376"/>
        </w:numPr>
        <w:adjustRightInd w:val="0"/>
        <w:snapToGrid w:val="0"/>
        <w:spacing w:line="360" w:lineRule="auto"/>
        <w:ind w:left="0" w:right="4" w:firstLine="720"/>
        <w:rPr>
          <w:rFonts w:ascii="Times New Roman"/>
        </w:rPr>
      </w:pPr>
      <w:r>
        <w:rPr>
          <w:rFonts w:ascii="Times New Roman" w:hint="eastAsia"/>
        </w:rPr>
        <w:t>截瘫和四肢瘫患者体位转移技术</w:t>
      </w:r>
    </w:p>
    <w:p w:rsidR="003717A0" w:rsidRDefault="003717A0">
      <w:pPr>
        <w:numPr>
          <w:ilvl w:val="0"/>
          <w:numId w:val="376"/>
        </w:numPr>
        <w:adjustRightInd w:val="0"/>
        <w:snapToGrid w:val="0"/>
        <w:spacing w:line="360" w:lineRule="auto"/>
        <w:ind w:left="0" w:right="4" w:firstLine="720"/>
        <w:rPr>
          <w:rFonts w:ascii="Times New Roman"/>
        </w:rPr>
      </w:pPr>
      <w:r>
        <w:rPr>
          <w:rFonts w:ascii="Times New Roman" w:hint="eastAsia"/>
        </w:rPr>
        <w:t>脑瘫患儿体位转移技术心功能分级</w:t>
      </w:r>
    </w:p>
    <w:p w:rsidR="003717A0" w:rsidRDefault="003717A0">
      <w:pPr>
        <w:adjustRightInd w:val="0"/>
        <w:snapToGrid w:val="0"/>
        <w:spacing w:line="360" w:lineRule="auto"/>
        <w:ind w:right="6" w:firstLineChars="200" w:firstLine="420"/>
        <w:rPr>
          <w:rFonts w:ascii="Times New Roman"/>
        </w:rPr>
      </w:pPr>
      <w:r>
        <w:rPr>
          <w:rFonts w:ascii="Times New Roman" w:hint="eastAsia"/>
        </w:rPr>
        <w:t>实习内容（</w:t>
      </w:r>
      <w:r>
        <w:rPr>
          <w:rFonts w:ascii="Times New Roman"/>
        </w:rPr>
        <w:t>3</w:t>
      </w:r>
      <w:r>
        <w:rPr>
          <w:rFonts w:ascii="Times New Roman" w:hint="eastAsia"/>
        </w:rPr>
        <w:t>学时）</w:t>
      </w:r>
    </w:p>
    <w:p w:rsidR="003717A0" w:rsidRDefault="003717A0">
      <w:pPr>
        <w:numPr>
          <w:ilvl w:val="0"/>
          <w:numId w:val="377"/>
        </w:numPr>
        <w:tabs>
          <w:tab w:val="clear" w:pos="780"/>
          <w:tab w:val="left" w:pos="0"/>
        </w:tabs>
        <w:adjustRightInd w:val="0"/>
        <w:snapToGrid w:val="0"/>
        <w:spacing w:line="360" w:lineRule="auto"/>
        <w:ind w:left="0" w:right="4" w:firstLine="720"/>
        <w:rPr>
          <w:rFonts w:ascii="Times New Roman"/>
        </w:rPr>
      </w:pPr>
      <w:r>
        <w:rPr>
          <w:rFonts w:ascii="Times New Roman" w:hint="eastAsia"/>
        </w:rPr>
        <w:t>偏瘫患者体位转移技术</w:t>
      </w:r>
    </w:p>
    <w:p w:rsidR="003717A0" w:rsidRDefault="003717A0">
      <w:pPr>
        <w:numPr>
          <w:ilvl w:val="0"/>
          <w:numId w:val="377"/>
        </w:numPr>
        <w:tabs>
          <w:tab w:val="clear" w:pos="780"/>
          <w:tab w:val="left" w:pos="0"/>
        </w:tabs>
        <w:adjustRightInd w:val="0"/>
        <w:snapToGrid w:val="0"/>
        <w:spacing w:line="360" w:lineRule="auto"/>
        <w:ind w:left="0" w:right="4" w:firstLine="720"/>
        <w:rPr>
          <w:rFonts w:ascii="Times New Roman"/>
        </w:rPr>
      </w:pPr>
      <w:r>
        <w:rPr>
          <w:rFonts w:ascii="Times New Roman" w:hint="eastAsia"/>
        </w:rPr>
        <w:t>截瘫和四肢瘫患者体位转移技术</w:t>
      </w:r>
    </w:p>
    <w:p w:rsidR="003717A0" w:rsidRDefault="003717A0">
      <w:pPr>
        <w:numPr>
          <w:ilvl w:val="0"/>
          <w:numId w:val="377"/>
        </w:numPr>
        <w:tabs>
          <w:tab w:val="clear" w:pos="780"/>
          <w:tab w:val="left" w:pos="0"/>
        </w:tabs>
        <w:adjustRightInd w:val="0"/>
        <w:snapToGrid w:val="0"/>
        <w:spacing w:line="360" w:lineRule="auto"/>
        <w:ind w:left="0" w:right="4" w:firstLine="720"/>
        <w:rPr>
          <w:rFonts w:ascii="Times New Roman"/>
        </w:rPr>
      </w:pPr>
      <w:r>
        <w:rPr>
          <w:rFonts w:ascii="Times New Roman" w:hint="eastAsia"/>
        </w:rPr>
        <w:t>脑瘫患儿体位转移技术心功能分级</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目的要求</w:t>
      </w:r>
    </w:p>
    <w:p w:rsidR="003717A0" w:rsidRDefault="003717A0" w:rsidP="005E20B5">
      <w:pPr>
        <w:numPr>
          <w:ilvl w:val="0"/>
          <w:numId w:val="378"/>
        </w:numPr>
        <w:adjustRightInd w:val="0"/>
        <w:snapToGrid w:val="0"/>
        <w:spacing w:beforeLines="50"/>
        <w:ind w:right="4"/>
        <w:rPr>
          <w:rFonts w:ascii="Times New Roman" w:hAnsi="Times New Roman"/>
        </w:rPr>
      </w:pPr>
      <w:r>
        <w:rPr>
          <w:rFonts w:ascii="Times New Roman" w:hAnsi="Times New Roman" w:hint="eastAsia"/>
        </w:rPr>
        <w:t>掌</w:t>
      </w:r>
      <w:r>
        <w:rPr>
          <w:rFonts w:ascii="Times New Roman" w:hint="eastAsia"/>
        </w:rPr>
        <w:t>握偏瘫、截瘫、脑瘫患者体位转移技</w:t>
      </w:r>
      <w:r>
        <w:rPr>
          <w:rFonts w:ascii="Times New Roman" w:hAnsi="Times New Roman" w:hint="eastAsia"/>
        </w:rPr>
        <w:t>术。</w:t>
      </w:r>
    </w:p>
    <w:p w:rsidR="003717A0" w:rsidRDefault="003717A0" w:rsidP="005E20B5">
      <w:pPr>
        <w:numPr>
          <w:ilvl w:val="0"/>
          <w:numId w:val="378"/>
        </w:numPr>
        <w:adjustRightInd w:val="0"/>
        <w:snapToGrid w:val="0"/>
        <w:spacing w:beforeLines="50"/>
        <w:ind w:right="4"/>
        <w:rPr>
          <w:rFonts w:ascii="Times New Roman" w:hAnsi="Times New Roman"/>
        </w:rPr>
      </w:pPr>
      <w:r>
        <w:rPr>
          <w:rFonts w:ascii="Times New Roman" w:hAnsi="Times New Roman" w:hint="eastAsia"/>
        </w:rPr>
        <w:t>了解体位转移技术临床应用和注意事项。</w:t>
      </w: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第四章</w:t>
      </w:r>
      <w:r>
        <w:rPr>
          <w:b/>
          <w:sz w:val="22"/>
        </w:rPr>
        <w:t xml:space="preserve">  </w:t>
      </w:r>
      <w:r>
        <w:rPr>
          <w:rFonts w:hint="eastAsia"/>
          <w:b/>
          <w:sz w:val="22"/>
        </w:rPr>
        <w:t>肌肉牵伸技术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79"/>
        </w:numPr>
        <w:tabs>
          <w:tab w:val="left" w:pos="1260"/>
        </w:tabs>
        <w:adjustRightInd w:val="0"/>
        <w:snapToGrid w:val="0"/>
        <w:spacing w:line="360" w:lineRule="auto"/>
        <w:ind w:left="0" w:rightChars="2" w:right="4" w:firstLine="720"/>
        <w:rPr>
          <w:rFonts w:ascii="Times New Roman"/>
        </w:rPr>
      </w:pPr>
      <w:r>
        <w:rPr>
          <w:rFonts w:ascii="Times New Roman" w:hint="eastAsia"/>
        </w:rPr>
        <w:t>软组织牵伸基础和作用</w:t>
      </w:r>
    </w:p>
    <w:p w:rsidR="003717A0" w:rsidRDefault="003717A0">
      <w:pPr>
        <w:numPr>
          <w:ilvl w:val="0"/>
          <w:numId w:val="379"/>
        </w:numPr>
        <w:tabs>
          <w:tab w:val="left" w:pos="1260"/>
        </w:tabs>
        <w:adjustRightInd w:val="0"/>
        <w:snapToGrid w:val="0"/>
        <w:spacing w:line="360" w:lineRule="auto"/>
        <w:ind w:left="0" w:rightChars="2" w:right="4" w:firstLine="720"/>
        <w:rPr>
          <w:rFonts w:ascii="Times New Roman"/>
        </w:rPr>
      </w:pPr>
      <w:r>
        <w:rPr>
          <w:rFonts w:ascii="Times New Roman" w:hint="eastAsia"/>
        </w:rPr>
        <w:lastRenderedPageBreak/>
        <w:t>肌肉被动和主动肌肉牵伸</w:t>
      </w:r>
    </w:p>
    <w:p w:rsidR="003717A0" w:rsidRDefault="003717A0">
      <w:pPr>
        <w:numPr>
          <w:ilvl w:val="0"/>
          <w:numId w:val="379"/>
        </w:numPr>
        <w:tabs>
          <w:tab w:val="left" w:pos="1260"/>
        </w:tabs>
        <w:adjustRightInd w:val="0"/>
        <w:snapToGrid w:val="0"/>
        <w:spacing w:line="360" w:lineRule="auto"/>
        <w:ind w:left="0" w:rightChars="2" w:right="4" w:firstLine="720"/>
        <w:rPr>
          <w:rFonts w:ascii="Times New Roman"/>
        </w:rPr>
      </w:pPr>
      <w:r>
        <w:rPr>
          <w:rFonts w:ascii="Times New Roman" w:hint="eastAsia"/>
        </w:rPr>
        <w:t>上肢肌肉牵伸方法和注意事项</w:t>
      </w:r>
    </w:p>
    <w:p w:rsidR="003717A0" w:rsidRDefault="003717A0">
      <w:pPr>
        <w:numPr>
          <w:ilvl w:val="0"/>
          <w:numId w:val="379"/>
        </w:numPr>
        <w:tabs>
          <w:tab w:val="left" w:pos="1260"/>
        </w:tabs>
        <w:adjustRightInd w:val="0"/>
        <w:snapToGrid w:val="0"/>
        <w:spacing w:line="360" w:lineRule="auto"/>
        <w:ind w:left="0" w:rightChars="2" w:right="4" w:firstLine="720"/>
        <w:rPr>
          <w:rFonts w:ascii="Times New Roman"/>
        </w:rPr>
      </w:pPr>
      <w:r>
        <w:rPr>
          <w:rFonts w:ascii="Times New Roman" w:hint="eastAsia"/>
        </w:rPr>
        <w:t>下肢肌肉牵伸方法和注意事项</w:t>
      </w:r>
    </w:p>
    <w:p w:rsidR="003717A0" w:rsidRDefault="003717A0">
      <w:pPr>
        <w:numPr>
          <w:ilvl w:val="0"/>
          <w:numId w:val="379"/>
        </w:numPr>
        <w:tabs>
          <w:tab w:val="left" w:pos="1260"/>
        </w:tabs>
        <w:adjustRightInd w:val="0"/>
        <w:snapToGrid w:val="0"/>
        <w:spacing w:line="360" w:lineRule="auto"/>
        <w:ind w:left="0" w:rightChars="2" w:right="4" w:firstLine="720"/>
        <w:rPr>
          <w:b/>
          <w:szCs w:val="21"/>
        </w:rPr>
      </w:pPr>
      <w:r>
        <w:rPr>
          <w:rFonts w:ascii="Times New Roman" w:hint="eastAsia"/>
        </w:rPr>
        <w:t>脊柱肌肉牵伸技术</w:t>
      </w:r>
    </w:p>
    <w:p w:rsidR="003717A0" w:rsidRDefault="003717A0">
      <w:pPr>
        <w:tabs>
          <w:tab w:val="left" w:pos="1260"/>
        </w:tabs>
        <w:adjustRightInd w:val="0"/>
        <w:snapToGrid w:val="0"/>
        <w:spacing w:line="360" w:lineRule="auto"/>
        <w:ind w:rightChars="2" w:right="4" w:firstLineChars="200" w:firstLine="422"/>
        <w:rPr>
          <w:b/>
          <w:szCs w:val="21"/>
        </w:rPr>
      </w:pPr>
      <w:r>
        <w:rPr>
          <w:rFonts w:hint="eastAsia"/>
          <w:b/>
          <w:szCs w:val="21"/>
        </w:rPr>
        <w:t>实习内容（</w:t>
      </w:r>
      <w:r>
        <w:rPr>
          <w:b/>
          <w:szCs w:val="21"/>
        </w:rPr>
        <w:t>3</w:t>
      </w:r>
      <w:r>
        <w:rPr>
          <w:rFonts w:hint="eastAsia"/>
          <w:b/>
          <w:szCs w:val="21"/>
        </w:rPr>
        <w:t>学时）</w:t>
      </w:r>
    </w:p>
    <w:p w:rsidR="003717A0" w:rsidRDefault="003717A0">
      <w:pPr>
        <w:pStyle w:val="a8"/>
        <w:numPr>
          <w:ilvl w:val="0"/>
          <w:numId w:val="380"/>
        </w:numPr>
        <w:adjustRightInd w:val="0"/>
        <w:snapToGrid w:val="0"/>
        <w:spacing w:line="360" w:lineRule="auto"/>
        <w:ind w:right="4" w:firstLine="300"/>
        <w:rPr>
          <w:rFonts w:hAnsi="Calibri"/>
          <w:sz w:val="21"/>
          <w:szCs w:val="22"/>
        </w:rPr>
      </w:pPr>
      <w:r>
        <w:rPr>
          <w:rFonts w:hAnsi="Calibri" w:hint="eastAsia"/>
          <w:sz w:val="21"/>
          <w:szCs w:val="22"/>
        </w:rPr>
        <w:t>上肢肌肉牵伸方法和注意事项</w:t>
      </w:r>
    </w:p>
    <w:p w:rsidR="003717A0" w:rsidRDefault="003717A0">
      <w:pPr>
        <w:pStyle w:val="a8"/>
        <w:numPr>
          <w:ilvl w:val="0"/>
          <w:numId w:val="380"/>
        </w:numPr>
        <w:adjustRightInd w:val="0"/>
        <w:snapToGrid w:val="0"/>
        <w:spacing w:line="360" w:lineRule="auto"/>
        <w:ind w:right="4" w:firstLine="300"/>
        <w:rPr>
          <w:rFonts w:hAnsi="Calibri"/>
          <w:sz w:val="21"/>
          <w:szCs w:val="22"/>
        </w:rPr>
      </w:pPr>
      <w:r>
        <w:rPr>
          <w:rFonts w:hAnsi="Calibri" w:hint="eastAsia"/>
          <w:sz w:val="21"/>
          <w:szCs w:val="22"/>
        </w:rPr>
        <w:t>下肢肌肉牵伸方法和注意事项</w:t>
      </w:r>
    </w:p>
    <w:p w:rsidR="003717A0" w:rsidRDefault="003717A0">
      <w:pPr>
        <w:pStyle w:val="a8"/>
        <w:numPr>
          <w:ilvl w:val="0"/>
          <w:numId w:val="380"/>
        </w:numPr>
        <w:adjustRightInd w:val="0"/>
        <w:snapToGrid w:val="0"/>
        <w:spacing w:line="360" w:lineRule="auto"/>
        <w:ind w:right="4" w:firstLine="300"/>
        <w:jc w:val="both"/>
        <w:rPr>
          <w:rFonts w:hAnsi="Calibri"/>
          <w:sz w:val="21"/>
          <w:szCs w:val="22"/>
        </w:rPr>
      </w:pPr>
      <w:r>
        <w:rPr>
          <w:rFonts w:hAnsi="Calibri" w:hint="eastAsia"/>
          <w:sz w:val="21"/>
          <w:szCs w:val="22"/>
        </w:rPr>
        <w:t>脊柱肌肉牵伸技术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81"/>
        </w:numPr>
        <w:adjustRightInd w:val="0"/>
        <w:snapToGrid w:val="0"/>
        <w:spacing w:line="360" w:lineRule="auto"/>
        <w:ind w:right="4" w:firstLine="300"/>
        <w:rPr>
          <w:rFonts w:hAnsi="Calibri"/>
          <w:sz w:val="21"/>
          <w:szCs w:val="22"/>
        </w:rPr>
      </w:pPr>
      <w:r>
        <w:rPr>
          <w:rFonts w:hAnsi="Calibri" w:hint="eastAsia"/>
          <w:sz w:val="21"/>
          <w:szCs w:val="22"/>
        </w:rPr>
        <w:t>熟悉肌肉牵伸技术的作用</w:t>
      </w:r>
    </w:p>
    <w:p w:rsidR="003717A0" w:rsidRDefault="003717A0">
      <w:pPr>
        <w:pStyle w:val="a8"/>
        <w:numPr>
          <w:ilvl w:val="0"/>
          <w:numId w:val="381"/>
        </w:numPr>
        <w:adjustRightInd w:val="0"/>
        <w:snapToGrid w:val="0"/>
        <w:spacing w:line="360" w:lineRule="auto"/>
        <w:ind w:right="4" w:firstLine="300"/>
        <w:rPr>
          <w:rFonts w:hAnsi="Calibri"/>
          <w:sz w:val="21"/>
          <w:szCs w:val="22"/>
        </w:rPr>
      </w:pPr>
      <w:r>
        <w:rPr>
          <w:rFonts w:hAnsi="Calibri" w:hint="eastAsia"/>
          <w:sz w:val="21"/>
          <w:szCs w:val="22"/>
        </w:rPr>
        <w:t>掌握上、下肢肌肉牵伸技术与临床应用</w:t>
      </w:r>
    </w:p>
    <w:p w:rsidR="003717A0" w:rsidRDefault="003717A0">
      <w:pPr>
        <w:pStyle w:val="a8"/>
        <w:numPr>
          <w:ilvl w:val="0"/>
          <w:numId w:val="381"/>
        </w:numPr>
        <w:adjustRightInd w:val="0"/>
        <w:snapToGrid w:val="0"/>
        <w:spacing w:line="360" w:lineRule="auto"/>
        <w:ind w:right="4" w:firstLine="300"/>
        <w:jc w:val="both"/>
        <w:rPr>
          <w:rFonts w:hAnsi="Calibri"/>
          <w:sz w:val="21"/>
          <w:szCs w:val="22"/>
        </w:rPr>
      </w:pPr>
      <w:r>
        <w:rPr>
          <w:rFonts w:hAnsi="Calibri" w:hint="eastAsia"/>
          <w:sz w:val="21"/>
          <w:szCs w:val="22"/>
        </w:rPr>
        <w:t>掌握肌肉牵伸的禁忌症与注意事项</w:t>
      </w:r>
    </w:p>
    <w:p w:rsidR="003717A0" w:rsidRDefault="003717A0" w:rsidP="005E20B5">
      <w:pPr>
        <w:adjustRightInd w:val="0"/>
        <w:snapToGrid w:val="0"/>
        <w:spacing w:beforeLines="50" w:line="360" w:lineRule="auto"/>
        <w:ind w:right="6"/>
        <w:jc w:val="center"/>
        <w:rPr>
          <w:b/>
          <w:sz w:val="22"/>
        </w:rPr>
      </w:pPr>
      <w:r>
        <w:rPr>
          <w:rFonts w:hint="eastAsia"/>
          <w:b/>
          <w:sz w:val="22"/>
        </w:rPr>
        <w:t>第五章</w:t>
      </w:r>
      <w:r>
        <w:rPr>
          <w:b/>
          <w:sz w:val="22"/>
        </w:rPr>
        <w:t xml:space="preserve">  </w:t>
      </w:r>
      <w:r>
        <w:rPr>
          <w:rFonts w:hint="eastAsia"/>
          <w:b/>
          <w:sz w:val="22"/>
        </w:rPr>
        <w:t>关节松动技术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82"/>
        </w:numPr>
        <w:tabs>
          <w:tab w:val="left" w:pos="1260"/>
        </w:tabs>
        <w:adjustRightInd w:val="0"/>
        <w:snapToGrid w:val="0"/>
        <w:spacing w:line="360" w:lineRule="auto"/>
        <w:ind w:rightChars="2" w:right="4"/>
        <w:rPr>
          <w:rFonts w:ascii="Times New Roman"/>
        </w:rPr>
      </w:pPr>
      <w:r>
        <w:rPr>
          <w:rFonts w:ascii="Times New Roman" w:hint="eastAsia"/>
        </w:rPr>
        <w:t>关节松动技术的作用</w:t>
      </w:r>
    </w:p>
    <w:p w:rsidR="003717A0" w:rsidRDefault="003717A0">
      <w:pPr>
        <w:numPr>
          <w:ilvl w:val="0"/>
          <w:numId w:val="382"/>
        </w:numPr>
        <w:tabs>
          <w:tab w:val="left" w:pos="1260"/>
        </w:tabs>
        <w:adjustRightInd w:val="0"/>
        <w:snapToGrid w:val="0"/>
        <w:spacing w:line="360" w:lineRule="auto"/>
        <w:ind w:left="0" w:rightChars="2" w:right="4" w:firstLine="720"/>
        <w:rPr>
          <w:rFonts w:ascii="Times New Roman"/>
        </w:rPr>
      </w:pPr>
      <w:r>
        <w:rPr>
          <w:rFonts w:ascii="Times New Roman" w:hint="eastAsia"/>
        </w:rPr>
        <w:t>关节的生理运动、附属运动的基本概念、关系</w:t>
      </w:r>
    </w:p>
    <w:p w:rsidR="003717A0" w:rsidRDefault="003717A0">
      <w:pPr>
        <w:numPr>
          <w:ilvl w:val="0"/>
          <w:numId w:val="382"/>
        </w:numPr>
        <w:tabs>
          <w:tab w:val="left" w:pos="1260"/>
        </w:tabs>
        <w:adjustRightInd w:val="0"/>
        <w:snapToGrid w:val="0"/>
        <w:spacing w:line="360" w:lineRule="auto"/>
        <w:ind w:left="0" w:rightChars="2" w:right="4" w:firstLine="720"/>
        <w:rPr>
          <w:rFonts w:ascii="Times New Roman"/>
        </w:rPr>
      </w:pPr>
      <w:r>
        <w:rPr>
          <w:rFonts w:ascii="Times New Roman" w:hint="eastAsia"/>
        </w:rPr>
        <w:t>上肢和下肢关节松动技术基本手法</w:t>
      </w:r>
    </w:p>
    <w:p w:rsidR="003717A0" w:rsidRDefault="003717A0">
      <w:pPr>
        <w:numPr>
          <w:ilvl w:val="0"/>
          <w:numId w:val="382"/>
        </w:numPr>
        <w:tabs>
          <w:tab w:val="left" w:pos="1260"/>
        </w:tabs>
        <w:adjustRightInd w:val="0"/>
        <w:snapToGrid w:val="0"/>
        <w:spacing w:line="360" w:lineRule="auto"/>
        <w:ind w:left="0" w:rightChars="2" w:right="4" w:firstLine="720"/>
        <w:rPr>
          <w:rFonts w:ascii="Times New Roman"/>
        </w:rPr>
      </w:pPr>
      <w:r>
        <w:rPr>
          <w:rFonts w:ascii="Times New Roman" w:hint="eastAsia"/>
        </w:rPr>
        <w:t>关节松动技术的适应症与禁忌症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numPr>
          <w:ilvl w:val="0"/>
          <w:numId w:val="383"/>
        </w:numPr>
        <w:adjustRightInd w:val="0"/>
        <w:snapToGrid w:val="0"/>
        <w:spacing w:line="360" w:lineRule="auto"/>
        <w:ind w:right="6"/>
        <w:rPr>
          <w:rFonts w:ascii="Times New Roman"/>
        </w:rPr>
      </w:pPr>
      <w:r>
        <w:rPr>
          <w:rFonts w:ascii="Times New Roman" w:hint="eastAsia"/>
        </w:rPr>
        <w:t>关节松动技术的作用</w:t>
      </w:r>
    </w:p>
    <w:p w:rsidR="003717A0" w:rsidRDefault="003717A0">
      <w:pPr>
        <w:numPr>
          <w:ilvl w:val="0"/>
          <w:numId w:val="383"/>
        </w:numPr>
        <w:adjustRightInd w:val="0"/>
        <w:snapToGrid w:val="0"/>
        <w:spacing w:line="360" w:lineRule="auto"/>
        <w:ind w:right="6"/>
        <w:rPr>
          <w:rFonts w:ascii="Times New Roman"/>
        </w:rPr>
      </w:pPr>
      <w:r>
        <w:rPr>
          <w:rFonts w:ascii="Times New Roman" w:hint="eastAsia"/>
        </w:rPr>
        <w:t>上肢和下肢关节松动技术基本手法</w:t>
      </w:r>
    </w:p>
    <w:p w:rsidR="003717A0" w:rsidRDefault="003717A0">
      <w:pPr>
        <w:numPr>
          <w:ilvl w:val="0"/>
          <w:numId w:val="383"/>
        </w:numPr>
        <w:adjustRightInd w:val="0"/>
        <w:snapToGrid w:val="0"/>
        <w:spacing w:line="360" w:lineRule="auto"/>
        <w:ind w:right="6"/>
        <w:rPr>
          <w:rFonts w:ascii="Times New Roman"/>
        </w:rPr>
      </w:pPr>
      <w:r>
        <w:rPr>
          <w:rFonts w:ascii="Times New Roman" w:hint="eastAsia"/>
        </w:rPr>
        <w:t>关节松动技术的适应症与禁忌症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84"/>
        </w:numPr>
        <w:adjustRightInd w:val="0"/>
        <w:snapToGrid w:val="0"/>
        <w:spacing w:line="360" w:lineRule="auto"/>
        <w:ind w:right="4" w:firstLine="300"/>
        <w:rPr>
          <w:rFonts w:hAnsi="Calibri"/>
          <w:sz w:val="21"/>
          <w:szCs w:val="22"/>
        </w:rPr>
      </w:pPr>
      <w:r>
        <w:rPr>
          <w:rFonts w:hAnsi="Calibri" w:hint="eastAsia"/>
          <w:sz w:val="21"/>
          <w:szCs w:val="22"/>
        </w:rPr>
        <w:t>掌握关节松动技术基本概念、适应症</w:t>
      </w:r>
    </w:p>
    <w:p w:rsidR="003717A0" w:rsidRDefault="003717A0">
      <w:pPr>
        <w:pStyle w:val="a8"/>
        <w:numPr>
          <w:ilvl w:val="0"/>
          <w:numId w:val="384"/>
        </w:numPr>
        <w:adjustRightInd w:val="0"/>
        <w:snapToGrid w:val="0"/>
        <w:spacing w:line="360" w:lineRule="auto"/>
        <w:ind w:right="4" w:firstLine="300"/>
        <w:rPr>
          <w:rFonts w:hAnsi="Calibri"/>
          <w:sz w:val="21"/>
          <w:szCs w:val="22"/>
        </w:rPr>
      </w:pPr>
      <w:r>
        <w:rPr>
          <w:rFonts w:hAnsi="Calibri" w:hint="eastAsia"/>
          <w:sz w:val="21"/>
          <w:szCs w:val="22"/>
        </w:rPr>
        <w:t>掌握关节的生理运动、附属运动的基本概念及其关系</w:t>
      </w:r>
    </w:p>
    <w:p w:rsidR="003717A0" w:rsidRDefault="003717A0">
      <w:pPr>
        <w:pStyle w:val="a8"/>
        <w:numPr>
          <w:ilvl w:val="0"/>
          <w:numId w:val="384"/>
        </w:numPr>
        <w:adjustRightInd w:val="0"/>
        <w:snapToGrid w:val="0"/>
        <w:spacing w:line="360" w:lineRule="auto"/>
        <w:ind w:right="4" w:firstLine="300"/>
        <w:rPr>
          <w:rFonts w:hAnsi="Calibri"/>
          <w:sz w:val="21"/>
          <w:szCs w:val="22"/>
        </w:rPr>
      </w:pPr>
      <w:r>
        <w:rPr>
          <w:rFonts w:hAnsi="Calibri" w:hint="eastAsia"/>
          <w:sz w:val="21"/>
          <w:szCs w:val="22"/>
        </w:rPr>
        <w:t>掌握关节松动技术基本手法</w:t>
      </w:r>
    </w:p>
    <w:p w:rsidR="003717A0" w:rsidRDefault="003717A0">
      <w:pPr>
        <w:pStyle w:val="a8"/>
        <w:numPr>
          <w:ilvl w:val="0"/>
          <w:numId w:val="384"/>
        </w:numPr>
        <w:adjustRightInd w:val="0"/>
        <w:snapToGrid w:val="0"/>
        <w:spacing w:line="360" w:lineRule="auto"/>
        <w:ind w:right="4" w:firstLine="300"/>
        <w:jc w:val="both"/>
        <w:rPr>
          <w:rFonts w:hAnsi="Calibri"/>
          <w:sz w:val="21"/>
          <w:szCs w:val="22"/>
        </w:rPr>
      </w:pPr>
      <w:r>
        <w:rPr>
          <w:rFonts w:hAnsi="Calibri" w:hint="eastAsia"/>
          <w:sz w:val="21"/>
          <w:szCs w:val="22"/>
        </w:rPr>
        <w:t>掌握关节松动技术的作用、适应症与禁忌症</w:t>
      </w:r>
    </w:p>
    <w:p w:rsidR="003717A0" w:rsidRDefault="003717A0" w:rsidP="005E20B5">
      <w:pPr>
        <w:adjustRightInd w:val="0"/>
        <w:snapToGrid w:val="0"/>
        <w:spacing w:beforeLines="50" w:line="360" w:lineRule="auto"/>
        <w:ind w:right="6"/>
        <w:jc w:val="center"/>
        <w:rPr>
          <w:b/>
          <w:sz w:val="22"/>
        </w:rPr>
      </w:pPr>
      <w:r>
        <w:rPr>
          <w:rFonts w:hint="eastAsia"/>
          <w:b/>
          <w:sz w:val="22"/>
        </w:rPr>
        <w:t>第六章</w:t>
      </w:r>
      <w:r>
        <w:rPr>
          <w:b/>
          <w:sz w:val="22"/>
        </w:rPr>
        <w:t xml:space="preserve">  </w:t>
      </w:r>
      <w:r>
        <w:rPr>
          <w:rFonts w:hint="eastAsia"/>
          <w:b/>
          <w:sz w:val="22"/>
        </w:rPr>
        <w:t>肌力训练技术</w:t>
      </w:r>
      <w:r>
        <w:rPr>
          <w:b/>
          <w:sz w:val="22"/>
        </w:rPr>
        <w:t xml:space="preserve"> </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85"/>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肌力训练基本技术：被动训练技术、主动训练技术、抗阻力训练技术</w:t>
      </w:r>
    </w:p>
    <w:p w:rsidR="003717A0" w:rsidRDefault="003717A0">
      <w:pPr>
        <w:numPr>
          <w:ilvl w:val="0"/>
          <w:numId w:val="385"/>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上肢肌群肌力训练技术</w:t>
      </w:r>
    </w:p>
    <w:p w:rsidR="003717A0" w:rsidRDefault="003717A0">
      <w:pPr>
        <w:numPr>
          <w:ilvl w:val="0"/>
          <w:numId w:val="385"/>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下肢肌群肌力训练技术</w:t>
      </w:r>
    </w:p>
    <w:p w:rsidR="003717A0" w:rsidRDefault="003717A0">
      <w:pPr>
        <w:numPr>
          <w:ilvl w:val="0"/>
          <w:numId w:val="385"/>
        </w:numPr>
        <w:tabs>
          <w:tab w:val="left" w:pos="0"/>
          <w:tab w:val="left" w:pos="1260"/>
        </w:tabs>
        <w:adjustRightInd w:val="0"/>
        <w:snapToGrid w:val="0"/>
        <w:spacing w:line="360" w:lineRule="auto"/>
        <w:ind w:left="0" w:rightChars="2" w:right="4" w:firstLine="720"/>
        <w:rPr>
          <w:rFonts w:ascii="Times New Roman"/>
        </w:rPr>
      </w:pPr>
      <w:r>
        <w:rPr>
          <w:rFonts w:ascii="Times New Roman" w:hint="eastAsia"/>
        </w:rPr>
        <w:t>头颈和躯干肌群肌力训练技术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lastRenderedPageBreak/>
        <w:t>实习内容（</w:t>
      </w:r>
      <w:r>
        <w:rPr>
          <w:rFonts w:ascii="Times New Roman" w:hAnsi="Times New Roman"/>
          <w:b/>
        </w:rPr>
        <w:t>3</w:t>
      </w:r>
      <w:r>
        <w:rPr>
          <w:rFonts w:ascii="Times New Roman" w:hint="eastAsia"/>
          <w:b/>
        </w:rPr>
        <w:t>学时）</w:t>
      </w:r>
    </w:p>
    <w:p w:rsidR="003717A0" w:rsidRDefault="003717A0">
      <w:pPr>
        <w:numPr>
          <w:ilvl w:val="0"/>
          <w:numId w:val="386"/>
        </w:numPr>
        <w:adjustRightInd w:val="0"/>
        <w:snapToGrid w:val="0"/>
        <w:spacing w:line="360" w:lineRule="auto"/>
        <w:ind w:right="6"/>
        <w:rPr>
          <w:rFonts w:ascii="Times New Roman"/>
        </w:rPr>
      </w:pPr>
      <w:r>
        <w:rPr>
          <w:rFonts w:ascii="Times New Roman" w:hint="eastAsia"/>
        </w:rPr>
        <w:t>肌力训练基本技术</w:t>
      </w:r>
      <w:r>
        <w:rPr>
          <w:rFonts w:ascii="Times New Roman"/>
        </w:rPr>
        <w:t xml:space="preserve"> </w:t>
      </w:r>
      <w:r>
        <w:rPr>
          <w:rFonts w:ascii="Times New Roman" w:hint="eastAsia"/>
        </w:rPr>
        <w:t>被动训练技术、主动训练技术、抗阻力训练技术</w:t>
      </w:r>
    </w:p>
    <w:p w:rsidR="003717A0" w:rsidRDefault="003717A0">
      <w:pPr>
        <w:numPr>
          <w:ilvl w:val="0"/>
          <w:numId w:val="386"/>
        </w:numPr>
        <w:adjustRightInd w:val="0"/>
        <w:snapToGrid w:val="0"/>
        <w:spacing w:line="360" w:lineRule="auto"/>
        <w:ind w:right="6"/>
        <w:rPr>
          <w:rFonts w:ascii="Times New Roman"/>
        </w:rPr>
      </w:pPr>
      <w:r>
        <w:rPr>
          <w:rFonts w:ascii="Times New Roman" w:hint="eastAsia"/>
        </w:rPr>
        <w:t>上肢肌群肌力训练技术</w:t>
      </w:r>
    </w:p>
    <w:p w:rsidR="003717A0" w:rsidRDefault="003717A0">
      <w:pPr>
        <w:numPr>
          <w:ilvl w:val="0"/>
          <w:numId w:val="386"/>
        </w:numPr>
        <w:adjustRightInd w:val="0"/>
        <w:snapToGrid w:val="0"/>
        <w:spacing w:line="360" w:lineRule="auto"/>
        <w:ind w:right="6"/>
        <w:rPr>
          <w:rFonts w:ascii="Times New Roman"/>
        </w:rPr>
      </w:pPr>
      <w:r>
        <w:rPr>
          <w:rFonts w:ascii="Times New Roman" w:hint="eastAsia"/>
        </w:rPr>
        <w:t>下肢肌群肌力训练技术</w:t>
      </w:r>
    </w:p>
    <w:p w:rsidR="003717A0" w:rsidRDefault="003717A0">
      <w:pPr>
        <w:numPr>
          <w:ilvl w:val="0"/>
          <w:numId w:val="386"/>
        </w:numPr>
        <w:adjustRightInd w:val="0"/>
        <w:snapToGrid w:val="0"/>
        <w:spacing w:line="360" w:lineRule="auto"/>
        <w:ind w:right="6"/>
        <w:rPr>
          <w:rFonts w:ascii="Times New Roman"/>
        </w:rPr>
      </w:pPr>
      <w:r>
        <w:rPr>
          <w:rFonts w:ascii="Times New Roman" w:hint="eastAsia"/>
        </w:rPr>
        <w:t>头颈和躯干肌群肌力训练技术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87"/>
        </w:numPr>
        <w:adjustRightInd w:val="0"/>
        <w:snapToGrid w:val="0"/>
        <w:spacing w:line="360" w:lineRule="auto"/>
        <w:ind w:right="4"/>
        <w:rPr>
          <w:rFonts w:hAnsi="Calibri"/>
          <w:sz w:val="21"/>
          <w:szCs w:val="22"/>
        </w:rPr>
      </w:pPr>
      <w:r>
        <w:rPr>
          <w:rFonts w:hAnsi="Calibri" w:hint="eastAsia"/>
          <w:sz w:val="21"/>
          <w:szCs w:val="22"/>
        </w:rPr>
        <w:t>掌握肌力训练技术的基本原则</w:t>
      </w:r>
    </w:p>
    <w:p w:rsidR="003717A0" w:rsidRDefault="003717A0">
      <w:pPr>
        <w:pStyle w:val="a8"/>
        <w:numPr>
          <w:ilvl w:val="0"/>
          <w:numId w:val="387"/>
        </w:numPr>
        <w:adjustRightInd w:val="0"/>
        <w:snapToGrid w:val="0"/>
        <w:spacing w:line="360" w:lineRule="auto"/>
        <w:ind w:right="4"/>
        <w:rPr>
          <w:rFonts w:hAnsi="Calibri"/>
          <w:sz w:val="21"/>
          <w:szCs w:val="22"/>
        </w:rPr>
      </w:pPr>
      <w:r>
        <w:rPr>
          <w:rFonts w:hAnsi="Calibri" w:hint="eastAsia"/>
          <w:sz w:val="21"/>
          <w:szCs w:val="22"/>
        </w:rPr>
        <w:t>掌握增强上、下肢肌群肌力训练基本技术</w:t>
      </w:r>
    </w:p>
    <w:p w:rsidR="003717A0" w:rsidRDefault="003717A0">
      <w:pPr>
        <w:pStyle w:val="a8"/>
        <w:numPr>
          <w:ilvl w:val="0"/>
          <w:numId w:val="387"/>
        </w:numPr>
        <w:adjustRightInd w:val="0"/>
        <w:snapToGrid w:val="0"/>
        <w:spacing w:line="360" w:lineRule="auto"/>
        <w:ind w:right="4"/>
        <w:rPr>
          <w:rFonts w:hAnsi="Calibri"/>
          <w:sz w:val="21"/>
          <w:szCs w:val="22"/>
        </w:rPr>
      </w:pPr>
      <w:r>
        <w:rPr>
          <w:rFonts w:hAnsi="Calibri" w:hint="eastAsia"/>
          <w:sz w:val="21"/>
          <w:szCs w:val="22"/>
        </w:rPr>
        <w:t>掌握肌力训练技术的临床应用</w:t>
      </w:r>
    </w:p>
    <w:p w:rsidR="003717A0" w:rsidRDefault="003717A0">
      <w:pPr>
        <w:pStyle w:val="a8"/>
        <w:numPr>
          <w:ilvl w:val="0"/>
          <w:numId w:val="387"/>
        </w:numPr>
        <w:adjustRightInd w:val="0"/>
        <w:snapToGrid w:val="0"/>
        <w:spacing w:line="360" w:lineRule="auto"/>
        <w:ind w:right="4"/>
        <w:jc w:val="both"/>
        <w:rPr>
          <w:rFonts w:hAnsi="Calibri"/>
          <w:sz w:val="21"/>
          <w:szCs w:val="22"/>
        </w:rPr>
      </w:pPr>
      <w:r>
        <w:rPr>
          <w:rFonts w:hAnsi="Calibri" w:hint="eastAsia"/>
          <w:sz w:val="21"/>
          <w:szCs w:val="22"/>
        </w:rPr>
        <w:t>掌握肌力训练技术的注意事项</w:t>
      </w:r>
    </w:p>
    <w:p w:rsidR="003717A0" w:rsidRDefault="003717A0" w:rsidP="005E20B5">
      <w:pPr>
        <w:adjustRightInd w:val="0"/>
        <w:snapToGrid w:val="0"/>
        <w:spacing w:beforeLines="50" w:line="360" w:lineRule="auto"/>
        <w:ind w:right="6"/>
        <w:jc w:val="center"/>
        <w:rPr>
          <w:b/>
          <w:sz w:val="22"/>
        </w:rPr>
      </w:pPr>
      <w:r>
        <w:rPr>
          <w:rFonts w:hint="eastAsia"/>
          <w:b/>
          <w:sz w:val="22"/>
        </w:rPr>
        <w:t>第七章</w:t>
      </w:r>
      <w:r>
        <w:rPr>
          <w:b/>
          <w:sz w:val="22"/>
        </w:rPr>
        <w:t xml:space="preserve">  </w:t>
      </w:r>
      <w:r>
        <w:rPr>
          <w:rFonts w:hint="eastAsia"/>
          <w:b/>
          <w:sz w:val="22"/>
        </w:rPr>
        <w:t>牵引疗法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88"/>
        </w:numPr>
        <w:adjustRightInd w:val="0"/>
        <w:snapToGrid w:val="0"/>
        <w:spacing w:line="360" w:lineRule="auto"/>
        <w:ind w:rightChars="2" w:right="4"/>
        <w:rPr>
          <w:rFonts w:ascii="Times New Roman"/>
        </w:rPr>
      </w:pPr>
      <w:r>
        <w:rPr>
          <w:rFonts w:ascii="Times New Roman" w:hint="eastAsia"/>
        </w:rPr>
        <w:t>颈椎牵引、腰椎牵引、四肢关节功能牵引的作用</w:t>
      </w:r>
    </w:p>
    <w:p w:rsidR="003717A0" w:rsidRDefault="003717A0">
      <w:pPr>
        <w:numPr>
          <w:ilvl w:val="0"/>
          <w:numId w:val="388"/>
        </w:numPr>
        <w:adjustRightInd w:val="0"/>
        <w:snapToGrid w:val="0"/>
        <w:spacing w:line="360" w:lineRule="auto"/>
        <w:ind w:rightChars="2" w:right="4"/>
        <w:rPr>
          <w:rFonts w:ascii="Times New Roman"/>
        </w:rPr>
      </w:pPr>
      <w:r>
        <w:rPr>
          <w:rFonts w:ascii="Times New Roman" w:hint="eastAsia"/>
        </w:rPr>
        <w:t>脊柱和四肢牵引技术的临床应用</w:t>
      </w:r>
    </w:p>
    <w:p w:rsidR="003717A0" w:rsidRDefault="003717A0">
      <w:pPr>
        <w:numPr>
          <w:ilvl w:val="0"/>
          <w:numId w:val="388"/>
        </w:numPr>
        <w:adjustRightInd w:val="0"/>
        <w:snapToGrid w:val="0"/>
        <w:spacing w:line="360" w:lineRule="auto"/>
        <w:ind w:rightChars="2" w:right="4"/>
        <w:rPr>
          <w:rFonts w:ascii="Times New Roman"/>
        </w:rPr>
      </w:pPr>
      <w:r>
        <w:rPr>
          <w:rFonts w:ascii="Times New Roman" w:hint="eastAsia"/>
        </w:rPr>
        <w:t>牵引技术的禁忌症</w:t>
      </w:r>
    </w:p>
    <w:p w:rsidR="003717A0" w:rsidRDefault="003717A0">
      <w:pPr>
        <w:tabs>
          <w:tab w:val="left" w:pos="1260"/>
        </w:tabs>
        <w:adjustRightInd w:val="0"/>
        <w:snapToGrid w:val="0"/>
        <w:spacing w:line="360" w:lineRule="auto"/>
        <w:ind w:rightChars="2" w:right="4" w:firstLineChars="196" w:firstLine="413"/>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89"/>
        </w:numPr>
        <w:adjustRightInd w:val="0"/>
        <w:snapToGrid w:val="0"/>
        <w:spacing w:line="360" w:lineRule="auto"/>
        <w:ind w:right="4" w:hanging="1140"/>
        <w:rPr>
          <w:sz w:val="21"/>
        </w:rPr>
      </w:pPr>
      <w:r>
        <w:rPr>
          <w:rFonts w:hint="eastAsia"/>
          <w:sz w:val="21"/>
        </w:rPr>
        <w:t>颈椎牵引、腰椎牵引、四肢关节功能牵引的操作</w:t>
      </w:r>
    </w:p>
    <w:p w:rsidR="003717A0" w:rsidRDefault="003717A0">
      <w:pPr>
        <w:pStyle w:val="a8"/>
        <w:numPr>
          <w:ilvl w:val="0"/>
          <w:numId w:val="389"/>
        </w:numPr>
        <w:adjustRightInd w:val="0"/>
        <w:snapToGrid w:val="0"/>
        <w:spacing w:line="360" w:lineRule="auto"/>
        <w:ind w:right="4" w:hanging="1140"/>
        <w:rPr>
          <w:sz w:val="21"/>
        </w:rPr>
      </w:pPr>
      <w:r>
        <w:rPr>
          <w:rFonts w:hint="eastAsia"/>
          <w:sz w:val="21"/>
        </w:rPr>
        <w:t>脊柱和四肢牵引技术的临床应用</w:t>
      </w:r>
    </w:p>
    <w:p w:rsidR="003717A0" w:rsidRDefault="003717A0">
      <w:pPr>
        <w:pStyle w:val="a8"/>
        <w:numPr>
          <w:ilvl w:val="0"/>
          <w:numId w:val="389"/>
        </w:numPr>
        <w:adjustRightInd w:val="0"/>
        <w:snapToGrid w:val="0"/>
        <w:spacing w:line="360" w:lineRule="auto"/>
        <w:ind w:right="4" w:hanging="1140"/>
        <w:jc w:val="both"/>
        <w:rPr>
          <w:sz w:val="21"/>
        </w:rPr>
      </w:pPr>
      <w:r>
        <w:rPr>
          <w:rFonts w:hint="eastAsia"/>
          <w:sz w:val="21"/>
        </w:rPr>
        <w:t>牵引技术的禁忌症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90"/>
        </w:numPr>
        <w:adjustRightInd w:val="0"/>
        <w:snapToGrid w:val="0"/>
        <w:spacing w:line="360" w:lineRule="auto"/>
        <w:ind w:right="4"/>
        <w:rPr>
          <w:sz w:val="21"/>
        </w:rPr>
      </w:pPr>
      <w:r>
        <w:rPr>
          <w:rFonts w:hint="eastAsia"/>
          <w:sz w:val="21"/>
        </w:rPr>
        <w:t>掌握脊柱牵引技术与临床应用</w:t>
      </w:r>
    </w:p>
    <w:p w:rsidR="003717A0" w:rsidRDefault="003717A0">
      <w:pPr>
        <w:pStyle w:val="a8"/>
        <w:numPr>
          <w:ilvl w:val="0"/>
          <w:numId w:val="390"/>
        </w:numPr>
        <w:adjustRightInd w:val="0"/>
        <w:snapToGrid w:val="0"/>
        <w:spacing w:line="360" w:lineRule="auto"/>
        <w:ind w:right="4"/>
        <w:rPr>
          <w:sz w:val="21"/>
        </w:rPr>
      </w:pPr>
      <w:r>
        <w:rPr>
          <w:rFonts w:hint="eastAsia"/>
          <w:sz w:val="21"/>
        </w:rPr>
        <w:t>掌握脊柱牵引技术的作用</w:t>
      </w:r>
    </w:p>
    <w:p w:rsidR="003717A0" w:rsidRDefault="003717A0">
      <w:pPr>
        <w:pStyle w:val="a8"/>
        <w:numPr>
          <w:ilvl w:val="0"/>
          <w:numId w:val="390"/>
        </w:numPr>
        <w:adjustRightInd w:val="0"/>
        <w:snapToGrid w:val="0"/>
        <w:spacing w:line="360" w:lineRule="auto"/>
        <w:ind w:right="4"/>
        <w:jc w:val="both"/>
        <w:rPr>
          <w:sz w:val="21"/>
        </w:rPr>
      </w:pPr>
      <w:r>
        <w:rPr>
          <w:rFonts w:hint="eastAsia"/>
          <w:sz w:val="21"/>
        </w:rPr>
        <w:t>掌握脊柱牵引技术的禁忌症</w:t>
      </w:r>
    </w:p>
    <w:p w:rsidR="003717A0" w:rsidRDefault="003717A0" w:rsidP="005E20B5">
      <w:pPr>
        <w:adjustRightInd w:val="0"/>
        <w:snapToGrid w:val="0"/>
        <w:spacing w:beforeLines="50" w:line="360" w:lineRule="auto"/>
        <w:ind w:right="6"/>
        <w:jc w:val="center"/>
        <w:rPr>
          <w:b/>
          <w:sz w:val="22"/>
        </w:rPr>
      </w:pPr>
      <w:r>
        <w:rPr>
          <w:rFonts w:hint="eastAsia"/>
          <w:b/>
          <w:sz w:val="22"/>
        </w:rPr>
        <w:t>第八章</w:t>
      </w:r>
      <w:r>
        <w:rPr>
          <w:b/>
          <w:sz w:val="22"/>
        </w:rPr>
        <w:t xml:space="preserve">  </w:t>
      </w:r>
      <w:r>
        <w:rPr>
          <w:rFonts w:hint="eastAsia"/>
          <w:b/>
          <w:sz w:val="22"/>
        </w:rPr>
        <w:t>平衡与协调训练</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391"/>
        </w:numPr>
        <w:adjustRightInd w:val="0"/>
        <w:snapToGrid w:val="0"/>
        <w:spacing w:line="360" w:lineRule="auto"/>
        <w:ind w:right="6"/>
        <w:rPr>
          <w:rFonts w:ascii="Times New Roman" w:hAnsi="Times New Roman"/>
          <w:szCs w:val="20"/>
        </w:rPr>
      </w:pPr>
      <w:r>
        <w:rPr>
          <w:rFonts w:ascii="Times New Roman" w:hAnsi="Times New Roman" w:hint="eastAsia"/>
          <w:szCs w:val="20"/>
        </w:rPr>
        <w:t>平衡功能训练技术与临床应用</w:t>
      </w:r>
    </w:p>
    <w:p w:rsidR="003717A0" w:rsidRDefault="003717A0">
      <w:pPr>
        <w:numPr>
          <w:ilvl w:val="0"/>
          <w:numId w:val="391"/>
        </w:numPr>
        <w:adjustRightInd w:val="0"/>
        <w:snapToGrid w:val="0"/>
        <w:spacing w:line="360" w:lineRule="auto"/>
        <w:ind w:right="6"/>
        <w:rPr>
          <w:rFonts w:ascii="Times New Roman" w:hAnsi="Times New Roman"/>
          <w:szCs w:val="20"/>
        </w:rPr>
      </w:pPr>
      <w:r>
        <w:rPr>
          <w:rFonts w:ascii="Times New Roman" w:hAnsi="Times New Roman" w:hint="eastAsia"/>
          <w:szCs w:val="20"/>
        </w:rPr>
        <w:t>协调功能训练技术与临床应用</w:t>
      </w:r>
    </w:p>
    <w:p w:rsidR="003717A0" w:rsidRDefault="003717A0">
      <w:pPr>
        <w:adjustRightInd w:val="0"/>
        <w:snapToGrid w:val="0"/>
        <w:spacing w:line="360" w:lineRule="auto"/>
        <w:ind w:left="420" w:right="6"/>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rsidP="004D1806">
      <w:pPr>
        <w:pStyle w:val="a8"/>
        <w:numPr>
          <w:ilvl w:val="0"/>
          <w:numId w:val="392"/>
        </w:numPr>
        <w:adjustRightInd w:val="0"/>
        <w:snapToGrid w:val="0"/>
        <w:spacing w:line="360" w:lineRule="auto"/>
        <w:ind w:right="4" w:hanging="340"/>
        <w:jc w:val="both"/>
        <w:rPr>
          <w:sz w:val="21"/>
        </w:rPr>
      </w:pPr>
      <w:r>
        <w:rPr>
          <w:rFonts w:hint="eastAsia"/>
          <w:sz w:val="21"/>
        </w:rPr>
        <w:t>平衡功能训练技术与临床应用</w:t>
      </w:r>
    </w:p>
    <w:p w:rsidR="003717A0" w:rsidRDefault="003717A0">
      <w:pPr>
        <w:pStyle w:val="a8"/>
        <w:numPr>
          <w:ilvl w:val="0"/>
          <w:numId w:val="392"/>
        </w:numPr>
        <w:adjustRightInd w:val="0"/>
        <w:snapToGrid w:val="0"/>
        <w:spacing w:line="360" w:lineRule="auto"/>
        <w:ind w:right="4" w:hanging="340"/>
        <w:jc w:val="both"/>
        <w:rPr>
          <w:sz w:val="21"/>
        </w:rPr>
      </w:pPr>
      <w:r>
        <w:rPr>
          <w:rFonts w:hint="eastAsia"/>
          <w:sz w:val="21"/>
        </w:rPr>
        <w:t>协调功能训练技术与临床应用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93"/>
        </w:numPr>
        <w:tabs>
          <w:tab w:val="clear" w:pos="1060"/>
          <w:tab w:val="left" w:pos="1260"/>
        </w:tabs>
        <w:adjustRightInd w:val="0"/>
        <w:snapToGrid w:val="0"/>
        <w:spacing w:line="360" w:lineRule="auto"/>
        <w:ind w:right="4" w:hanging="340"/>
        <w:rPr>
          <w:sz w:val="21"/>
        </w:rPr>
      </w:pPr>
      <w:r>
        <w:rPr>
          <w:rFonts w:hint="eastAsia"/>
          <w:sz w:val="21"/>
        </w:rPr>
        <w:t>熟悉控制人体平衡与协调基本理论</w:t>
      </w:r>
    </w:p>
    <w:p w:rsidR="003717A0" w:rsidRDefault="003717A0">
      <w:pPr>
        <w:pStyle w:val="a8"/>
        <w:numPr>
          <w:ilvl w:val="0"/>
          <w:numId w:val="393"/>
        </w:numPr>
        <w:tabs>
          <w:tab w:val="clear" w:pos="1060"/>
          <w:tab w:val="left" w:pos="1260"/>
        </w:tabs>
        <w:adjustRightInd w:val="0"/>
        <w:snapToGrid w:val="0"/>
        <w:spacing w:line="360" w:lineRule="auto"/>
        <w:ind w:right="4" w:hanging="340"/>
        <w:rPr>
          <w:sz w:val="21"/>
        </w:rPr>
      </w:pPr>
      <w:r>
        <w:rPr>
          <w:rFonts w:hint="eastAsia"/>
          <w:sz w:val="21"/>
        </w:rPr>
        <w:t>熟悉平衡与协调训练训练技术的作用</w:t>
      </w:r>
    </w:p>
    <w:p w:rsidR="003717A0" w:rsidRDefault="003717A0">
      <w:pPr>
        <w:pStyle w:val="a8"/>
        <w:numPr>
          <w:ilvl w:val="0"/>
          <w:numId w:val="393"/>
        </w:numPr>
        <w:tabs>
          <w:tab w:val="clear" w:pos="1060"/>
          <w:tab w:val="left" w:pos="1260"/>
        </w:tabs>
        <w:adjustRightInd w:val="0"/>
        <w:snapToGrid w:val="0"/>
        <w:spacing w:line="360" w:lineRule="auto"/>
        <w:ind w:right="4" w:hanging="340"/>
        <w:jc w:val="both"/>
        <w:rPr>
          <w:sz w:val="21"/>
        </w:rPr>
      </w:pPr>
      <w:r>
        <w:rPr>
          <w:rFonts w:hint="eastAsia"/>
          <w:sz w:val="21"/>
        </w:rPr>
        <w:lastRenderedPageBreak/>
        <w:t>掌握平衡与协调训练训练技术的临床应用</w:t>
      </w:r>
    </w:p>
    <w:p w:rsidR="003717A0" w:rsidRDefault="003717A0" w:rsidP="005E20B5">
      <w:pPr>
        <w:adjustRightInd w:val="0"/>
        <w:snapToGrid w:val="0"/>
        <w:spacing w:beforeLines="50" w:line="360" w:lineRule="auto"/>
        <w:ind w:right="6"/>
        <w:jc w:val="center"/>
        <w:rPr>
          <w:b/>
          <w:sz w:val="22"/>
        </w:rPr>
      </w:pPr>
      <w:r>
        <w:rPr>
          <w:rFonts w:hint="eastAsia"/>
          <w:b/>
          <w:sz w:val="22"/>
        </w:rPr>
        <w:t>第九章</w:t>
      </w:r>
      <w:r>
        <w:rPr>
          <w:b/>
          <w:sz w:val="22"/>
        </w:rPr>
        <w:t xml:space="preserve">  </w:t>
      </w:r>
      <w:r>
        <w:rPr>
          <w:rFonts w:hint="eastAsia"/>
          <w:b/>
          <w:sz w:val="22"/>
        </w:rPr>
        <w:t>步行功能训练</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94"/>
        </w:numPr>
        <w:adjustRightInd w:val="0"/>
        <w:snapToGrid w:val="0"/>
        <w:spacing w:line="360" w:lineRule="auto"/>
        <w:ind w:right="4"/>
        <w:rPr>
          <w:sz w:val="21"/>
        </w:rPr>
      </w:pPr>
      <w:r>
        <w:rPr>
          <w:rFonts w:hint="eastAsia"/>
          <w:sz w:val="21"/>
        </w:rPr>
        <w:t>步行功能训练基本条件</w:t>
      </w:r>
    </w:p>
    <w:p w:rsidR="003717A0" w:rsidRDefault="003717A0">
      <w:pPr>
        <w:pStyle w:val="a8"/>
        <w:numPr>
          <w:ilvl w:val="0"/>
          <w:numId w:val="394"/>
        </w:numPr>
        <w:adjustRightInd w:val="0"/>
        <w:snapToGrid w:val="0"/>
        <w:spacing w:line="360" w:lineRule="auto"/>
        <w:ind w:right="4"/>
        <w:rPr>
          <w:sz w:val="21"/>
        </w:rPr>
      </w:pPr>
      <w:r>
        <w:rPr>
          <w:rFonts w:hint="eastAsia"/>
          <w:sz w:val="21"/>
        </w:rPr>
        <w:t>步行训练临床应用</w:t>
      </w:r>
    </w:p>
    <w:p w:rsidR="003717A0" w:rsidRDefault="003717A0">
      <w:pPr>
        <w:pStyle w:val="a8"/>
        <w:numPr>
          <w:ilvl w:val="0"/>
          <w:numId w:val="394"/>
        </w:numPr>
        <w:adjustRightInd w:val="0"/>
        <w:snapToGrid w:val="0"/>
        <w:spacing w:line="360" w:lineRule="auto"/>
        <w:ind w:right="4"/>
        <w:rPr>
          <w:sz w:val="21"/>
        </w:rPr>
      </w:pPr>
      <w:r>
        <w:rPr>
          <w:rFonts w:hint="eastAsia"/>
          <w:sz w:val="21"/>
        </w:rPr>
        <w:t>步行训练注意事项</w:t>
      </w:r>
      <w:r>
        <w:rPr>
          <w:sz w:val="21"/>
        </w:rPr>
        <w:t xml:space="preserve"> </w:t>
      </w:r>
    </w:p>
    <w:p w:rsidR="003717A0" w:rsidRDefault="003717A0">
      <w:pPr>
        <w:pStyle w:val="a8"/>
        <w:numPr>
          <w:ilvl w:val="0"/>
          <w:numId w:val="394"/>
        </w:numPr>
        <w:adjustRightInd w:val="0"/>
        <w:snapToGrid w:val="0"/>
        <w:spacing w:line="360" w:lineRule="auto"/>
        <w:ind w:right="4"/>
        <w:jc w:val="both"/>
        <w:rPr>
          <w:sz w:val="21"/>
        </w:rPr>
      </w:pPr>
      <w:r>
        <w:rPr>
          <w:rFonts w:hint="eastAsia"/>
          <w:sz w:val="21"/>
        </w:rPr>
        <w:t>异常步态矫正训练方法</w:t>
      </w:r>
    </w:p>
    <w:p w:rsidR="003717A0" w:rsidRDefault="003717A0">
      <w:pPr>
        <w:adjustRightInd w:val="0"/>
        <w:snapToGrid w:val="0"/>
        <w:spacing w:line="360" w:lineRule="auto"/>
        <w:ind w:left="420" w:right="6"/>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95"/>
        </w:numPr>
        <w:adjustRightInd w:val="0"/>
        <w:snapToGrid w:val="0"/>
        <w:spacing w:line="360" w:lineRule="auto"/>
        <w:ind w:right="4"/>
        <w:rPr>
          <w:sz w:val="21"/>
        </w:rPr>
      </w:pPr>
      <w:r>
        <w:rPr>
          <w:rFonts w:hint="eastAsia"/>
          <w:sz w:val="21"/>
        </w:rPr>
        <w:t>步行训练临床应用</w:t>
      </w:r>
    </w:p>
    <w:p w:rsidR="003717A0" w:rsidRDefault="003717A0">
      <w:pPr>
        <w:pStyle w:val="a8"/>
        <w:numPr>
          <w:ilvl w:val="0"/>
          <w:numId w:val="395"/>
        </w:numPr>
        <w:adjustRightInd w:val="0"/>
        <w:snapToGrid w:val="0"/>
        <w:spacing w:line="360" w:lineRule="auto"/>
        <w:ind w:right="4"/>
        <w:rPr>
          <w:sz w:val="21"/>
        </w:rPr>
      </w:pPr>
      <w:r>
        <w:rPr>
          <w:rFonts w:hint="eastAsia"/>
          <w:sz w:val="21"/>
        </w:rPr>
        <w:t>步行训练注意事项</w:t>
      </w:r>
      <w:r>
        <w:rPr>
          <w:sz w:val="21"/>
        </w:rPr>
        <w:t xml:space="preserve"> </w:t>
      </w:r>
    </w:p>
    <w:p w:rsidR="003717A0" w:rsidRDefault="003717A0">
      <w:pPr>
        <w:pStyle w:val="a8"/>
        <w:numPr>
          <w:ilvl w:val="0"/>
          <w:numId w:val="395"/>
        </w:numPr>
        <w:adjustRightInd w:val="0"/>
        <w:snapToGrid w:val="0"/>
        <w:spacing w:line="360" w:lineRule="auto"/>
        <w:ind w:right="4"/>
        <w:jc w:val="both"/>
        <w:rPr>
          <w:sz w:val="21"/>
        </w:rPr>
      </w:pPr>
      <w:r>
        <w:rPr>
          <w:rFonts w:hint="eastAsia"/>
          <w:sz w:val="21"/>
        </w:rPr>
        <w:t>异常步态矫正训练方法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96"/>
        </w:numPr>
        <w:adjustRightInd w:val="0"/>
        <w:snapToGrid w:val="0"/>
        <w:spacing w:line="360" w:lineRule="auto"/>
        <w:ind w:right="4"/>
        <w:rPr>
          <w:sz w:val="21"/>
        </w:rPr>
      </w:pPr>
      <w:r>
        <w:rPr>
          <w:rFonts w:hint="eastAsia"/>
          <w:sz w:val="21"/>
        </w:rPr>
        <w:t>熟悉步行功能训练基本条件</w:t>
      </w:r>
    </w:p>
    <w:p w:rsidR="003717A0" w:rsidRDefault="003717A0">
      <w:pPr>
        <w:pStyle w:val="a8"/>
        <w:numPr>
          <w:ilvl w:val="0"/>
          <w:numId w:val="396"/>
        </w:numPr>
        <w:adjustRightInd w:val="0"/>
        <w:snapToGrid w:val="0"/>
        <w:spacing w:line="360" w:lineRule="auto"/>
        <w:ind w:right="4"/>
        <w:jc w:val="both"/>
        <w:rPr>
          <w:sz w:val="21"/>
        </w:rPr>
      </w:pPr>
      <w:r>
        <w:rPr>
          <w:rFonts w:hint="eastAsia"/>
          <w:sz w:val="21"/>
        </w:rPr>
        <w:t>熟悉步行功能训练方法</w:t>
      </w:r>
    </w:p>
    <w:p w:rsidR="003717A0" w:rsidRDefault="003717A0" w:rsidP="005E20B5">
      <w:pPr>
        <w:adjustRightInd w:val="0"/>
        <w:snapToGrid w:val="0"/>
        <w:spacing w:beforeLines="50" w:line="360" w:lineRule="auto"/>
        <w:ind w:right="6"/>
        <w:jc w:val="center"/>
        <w:rPr>
          <w:b/>
          <w:sz w:val="22"/>
        </w:rPr>
      </w:pPr>
      <w:r>
        <w:rPr>
          <w:rFonts w:hint="eastAsia"/>
          <w:b/>
          <w:sz w:val="22"/>
        </w:rPr>
        <w:t>第十章</w:t>
      </w:r>
      <w:r>
        <w:rPr>
          <w:b/>
          <w:sz w:val="22"/>
        </w:rPr>
        <w:t xml:space="preserve">  </w:t>
      </w:r>
      <w:r>
        <w:rPr>
          <w:rFonts w:hint="eastAsia"/>
          <w:b/>
          <w:sz w:val="22"/>
        </w:rPr>
        <w:t>神经发育疗法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397"/>
        </w:numPr>
        <w:tabs>
          <w:tab w:val="left" w:pos="1260"/>
        </w:tabs>
        <w:adjustRightInd w:val="0"/>
        <w:snapToGrid w:val="0"/>
        <w:spacing w:line="360" w:lineRule="auto"/>
        <w:ind w:left="0" w:rightChars="2" w:right="4" w:firstLine="720"/>
        <w:rPr>
          <w:sz w:val="21"/>
        </w:rPr>
      </w:pPr>
      <w:r>
        <w:rPr>
          <w:sz w:val="21"/>
        </w:rPr>
        <w:t>Bobath</w:t>
      </w:r>
      <w:r>
        <w:rPr>
          <w:rFonts w:hint="eastAsia"/>
          <w:sz w:val="21"/>
        </w:rPr>
        <w:t>技术概述、中枢损伤后的运动表现、</w:t>
      </w:r>
      <w:r>
        <w:rPr>
          <w:sz w:val="21"/>
        </w:rPr>
        <w:t>Bobath</w:t>
      </w:r>
      <w:r>
        <w:rPr>
          <w:rFonts w:hint="eastAsia"/>
          <w:sz w:val="21"/>
        </w:rPr>
        <w:t>疗法主要论点；</w:t>
      </w:r>
      <w:r>
        <w:rPr>
          <w:sz w:val="21"/>
        </w:rPr>
        <w:t xml:space="preserve"> Bobath</w:t>
      </w:r>
      <w:r>
        <w:rPr>
          <w:rFonts w:hint="eastAsia"/>
          <w:sz w:val="21"/>
        </w:rPr>
        <w:t>技术适应症和治疗原则；</w:t>
      </w:r>
      <w:r>
        <w:rPr>
          <w:sz w:val="21"/>
        </w:rPr>
        <w:t>Bobath</w:t>
      </w:r>
      <w:r>
        <w:rPr>
          <w:rFonts w:hint="eastAsia"/>
          <w:sz w:val="21"/>
        </w:rPr>
        <w:t>技术常用的治疗技术</w:t>
      </w:r>
    </w:p>
    <w:p w:rsidR="003717A0" w:rsidRDefault="003717A0">
      <w:pPr>
        <w:pStyle w:val="a8"/>
        <w:numPr>
          <w:ilvl w:val="0"/>
          <w:numId w:val="397"/>
        </w:numPr>
        <w:tabs>
          <w:tab w:val="left" w:pos="1260"/>
        </w:tabs>
        <w:adjustRightInd w:val="0"/>
        <w:snapToGrid w:val="0"/>
        <w:spacing w:line="360" w:lineRule="auto"/>
        <w:ind w:left="0" w:rightChars="2" w:right="4" w:firstLine="720"/>
        <w:rPr>
          <w:sz w:val="21"/>
        </w:rPr>
      </w:pPr>
      <w:r>
        <w:rPr>
          <w:sz w:val="21"/>
        </w:rPr>
        <w:t>Rood</w:t>
      </w:r>
      <w:r>
        <w:rPr>
          <w:rFonts w:hint="eastAsia"/>
          <w:sz w:val="21"/>
        </w:rPr>
        <w:t>疗法概念和</w:t>
      </w:r>
      <w:r>
        <w:rPr>
          <w:sz w:val="21"/>
        </w:rPr>
        <w:t>Rood</w:t>
      </w:r>
      <w:r>
        <w:rPr>
          <w:rFonts w:hint="eastAsia"/>
          <w:sz w:val="21"/>
        </w:rPr>
        <w:t>技术主要观点；</w:t>
      </w:r>
      <w:r>
        <w:rPr>
          <w:sz w:val="21"/>
        </w:rPr>
        <w:t xml:space="preserve">  Rood</w:t>
      </w:r>
      <w:r>
        <w:rPr>
          <w:rFonts w:hint="eastAsia"/>
          <w:sz w:val="21"/>
        </w:rPr>
        <w:t>技术的特点、适应症；</w:t>
      </w:r>
      <w:r>
        <w:rPr>
          <w:sz w:val="21"/>
        </w:rPr>
        <w:t xml:space="preserve"> Rood</w:t>
      </w:r>
      <w:r>
        <w:rPr>
          <w:rFonts w:hint="eastAsia"/>
          <w:sz w:val="21"/>
        </w:rPr>
        <w:t>技术基本理论；</w:t>
      </w:r>
      <w:r>
        <w:rPr>
          <w:sz w:val="21"/>
        </w:rPr>
        <w:t>Rood</w:t>
      </w:r>
      <w:r>
        <w:rPr>
          <w:rFonts w:hint="eastAsia"/>
          <w:sz w:val="21"/>
        </w:rPr>
        <w:t>疗法的操作方法和临床应用</w:t>
      </w:r>
    </w:p>
    <w:p w:rsidR="003717A0" w:rsidRDefault="003717A0">
      <w:pPr>
        <w:pStyle w:val="a8"/>
        <w:numPr>
          <w:ilvl w:val="0"/>
          <w:numId w:val="397"/>
        </w:numPr>
        <w:tabs>
          <w:tab w:val="left" w:pos="1260"/>
        </w:tabs>
        <w:adjustRightInd w:val="0"/>
        <w:snapToGrid w:val="0"/>
        <w:spacing w:line="360" w:lineRule="auto"/>
        <w:ind w:left="0" w:rightChars="2" w:right="4" w:firstLine="720"/>
        <w:jc w:val="both"/>
        <w:rPr>
          <w:sz w:val="21"/>
        </w:rPr>
      </w:pPr>
      <w:r>
        <w:rPr>
          <w:sz w:val="21"/>
        </w:rPr>
        <w:t>Brunnstrom</w:t>
      </w:r>
      <w:r>
        <w:rPr>
          <w:rFonts w:hint="eastAsia"/>
          <w:sz w:val="21"/>
        </w:rPr>
        <w:t>技术基本理论；</w:t>
      </w:r>
      <w:r>
        <w:rPr>
          <w:sz w:val="21"/>
        </w:rPr>
        <w:t xml:space="preserve"> </w:t>
      </w:r>
      <w:r>
        <w:rPr>
          <w:rFonts w:hint="eastAsia"/>
          <w:sz w:val="21"/>
        </w:rPr>
        <w:t>脑卒中后的异常运动模式和姿势反射、联合反应、共同运动。对称性紧张性颈反射、非对性紧张性颈反射、紧张性迷路反射、紧张性腰反射、同侧屈伸反射、交叉屈伸反射、阳性支撑反射；</w:t>
      </w:r>
      <w:r>
        <w:rPr>
          <w:sz w:val="21"/>
        </w:rPr>
        <w:t>Signe Brunnstrom</w:t>
      </w:r>
      <w:r>
        <w:rPr>
          <w:rFonts w:hint="eastAsia"/>
          <w:sz w:val="21"/>
        </w:rPr>
        <w:t>提出的偏瘫恢复六阶段理论；</w:t>
      </w:r>
      <w:r>
        <w:rPr>
          <w:sz w:val="21"/>
        </w:rPr>
        <w:t>Brunnstrom</w:t>
      </w:r>
      <w:r>
        <w:rPr>
          <w:rFonts w:hint="eastAsia"/>
          <w:sz w:val="21"/>
        </w:rPr>
        <w:t>方法在脑卒中偏瘫患者软瘫期、痉挛期、相对恢复期的应用和操作方法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398"/>
        </w:numPr>
        <w:tabs>
          <w:tab w:val="left" w:pos="1260"/>
        </w:tabs>
        <w:adjustRightInd w:val="0"/>
        <w:snapToGrid w:val="0"/>
        <w:spacing w:line="360" w:lineRule="auto"/>
        <w:ind w:right="4" w:firstLine="300"/>
        <w:rPr>
          <w:sz w:val="21"/>
        </w:rPr>
      </w:pPr>
      <w:r>
        <w:rPr>
          <w:rFonts w:hint="eastAsia"/>
          <w:sz w:val="21"/>
        </w:rPr>
        <w:t>中枢损伤后的运动表现、</w:t>
      </w:r>
      <w:r>
        <w:rPr>
          <w:sz w:val="21"/>
        </w:rPr>
        <w:t>Bobath</w:t>
      </w:r>
      <w:r>
        <w:rPr>
          <w:rFonts w:hint="eastAsia"/>
          <w:sz w:val="21"/>
        </w:rPr>
        <w:t>疗法主要论点；</w:t>
      </w:r>
      <w:r>
        <w:rPr>
          <w:sz w:val="21"/>
        </w:rPr>
        <w:t xml:space="preserve"> Bobath</w:t>
      </w:r>
      <w:r>
        <w:rPr>
          <w:rFonts w:hint="eastAsia"/>
          <w:sz w:val="21"/>
        </w:rPr>
        <w:t>技术适应症和治疗原则；</w:t>
      </w:r>
      <w:r>
        <w:rPr>
          <w:sz w:val="21"/>
        </w:rPr>
        <w:t>Bobath</w:t>
      </w:r>
      <w:r>
        <w:rPr>
          <w:rFonts w:hint="eastAsia"/>
          <w:sz w:val="21"/>
        </w:rPr>
        <w:t>技术常用的治疗技术</w:t>
      </w:r>
    </w:p>
    <w:p w:rsidR="003717A0" w:rsidRDefault="003717A0">
      <w:pPr>
        <w:pStyle w:val="a8"/>
        <w:numPr>
          <w:ilvl w:val="0"/>
          <w:numId w:val="398"/>
        </w:numPr>
        <w:tabs>
          <w:tab w:val="left" w:pos="1260"/>
        </w:tabs>
        <w:adjustRightInd w:val="0"/>
        <w:snapToGrid w:val="0"/>
        <w:spacing w:line="360" w:lineRule="auto"/>
        <w:ind w:right="4" w:firstLine="300"/>
        <w:rPr>
          <w:sz w:val="21"/>
        </w:rPr>
      </w:pPr>
      <w:r>
        <w:rPr>
          <w:sz w:val="21"/>
        </w:rPr>
        <w:t>Rood</w:t>
      </w:r>
      <w:r>
        <w:rPr>
          <w:rFonts w:hint="eastAsia"/>
          <w:sz w:val="21"/>
        </w:rPr>
        <w:t>技术的特点、适应症；</w:t>
      </w:r>
      <w:r>
        <w:rPr>
          <w:sz w:val="21"/>
        </w:rPr>
        <w:t xml:space="preserve"> Rood</w:t>
      </w:r>
      <w:r>
        <w:rPr>
          <w:rFonts w:hint="eastAsia"/>
          <w:sz w:val="21"/>
        </w:rPr>
        <w:t>技术基本理论；</w:t>
      </w:r>
      <w:r>
        <w:rPr>
          <w:sz w:val="21"/>
        </w:rPr>
        <w:t>Rood</w:t>
      </w:r>
      <w:r>
        <w:rPr>
          <w:rFonts w:hint="eastAsia"/>
          <w:sz w:val="21"/>
        </w:rPr>
        <w:t>疗法的操作方法和临床应用</w:t>
      </w:r>
    </w:p>
    <w:p w:rsidR="003717A0" w:rsidRDefault="003717A0">
      <w:pPr>
        <w:pStyle w:val="a8"/>
        <w:numPr>
          <w:ilvl w:val="0"/>
          <w:numId w:val="398"/>
        </w:numPr>
        <w:tabs>
          <w:tab w:val="left" w:pos="1260"/>
        </w:tabs>
        <w:adjustRightInd w:val="0"/>
        <w:snapToGrid w:val="0"/>
        <w:spacing w:line="360" w:lineRule="auto"/>
        <w:ind w:right="4" w:firstLine="300"/>
        <w:jc w:val="both"/>
        <w:rPr>
          <w:sz w:val="21"/>
        </w:rPr>
      </w:pPr>
      <w:r>
        <w:rPr>
          <w:rFonts w:hint="eastAsia"/>
          <w:sz w:val="21"/>
        </w:rPr>
        <w:t>脑卒中后的异常运动模式和姿势反射、联合反应、共同运动。对称性紧张性颈反射、非对性紧张性颈反射、紧张性迷路反射、紧张性腰反射、同侧屈伸反射、交叉屈伸反射、阳性支撑反射；</w:t>
      </w:r>
      <w:r>
        <w:rPr>
          <w:sz w:val="21"/>
        </w:rPr>
        <w:t>Signe Brunnstrom</w:t>
      </w:r>
      <w:r>
        <w:rPr>
          <w:rFonts w:hint="eastAsia"/>
          <w:sz w:val="21"/>
        </w:rPr>
        <w:t>提出的偏瘫恢复六阶段理论；</w:t>
      </w:r>
      <w:r>
        <w:rPr>
          <w:sz w:val="21"/>
        </w:rPr>
        <w:t>Brunnstrom</w:t>
      </w:r>
      <w:r>
        <w:rPr>
          <w:rFonts w:hint="eastAsia"/>
          <w:sz w:val="21"/>
        </w:rPr>
        <w:t>方法在脑卒中偏瘫患者软瘫期、痉挛期、相对恢复期的应用和操作方法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399"/>
        </w:numPr>
        <w:adjustRightInd w:val="0"/>
        <w:snapToGrid w:val="0"/>
        <w:spacing w:line="360" w:lineRule="auto"/>
        <w:ind w:right="4"/>
        <w:rPr>
          <w:sz w:val="21"/>
        </w:rPr>
      </w:pPr>
      <w:r>
        <w:rPr>
          <w:rFonts w:hint="eastAsia"/>
          <w:sz w:val="21"/>
        </w:rPr>
        <w:lastRenderedPageBreak/>
        <w:t>掌握</w:t>
      </w:r>
      <w:r>
        <w:rPr>
          <w:sz w:val="21"/>
        </w:rPr>
        <w:t>Bobath</w:t>
      </w:r>
      <w:r>
        <w:rPr>
          <w:rFonts w:hint="eastAsia"/>
          <w:sz w:val="21"/>
        </w:rPr>
        <w:t>技术的概念</w:t>
      </w:r>
    </w:p>
    <w:p w:rsidR="003717A0" w:rsidRDefault="003717A0">
      <w:pPr>
        <w:pStyle w:val="a8"/>
        <w:numPr>
          <w:ilvl w:val="0"/>
          <w:numId w:val="399"/>
        </w:numPr>
        <w:adjustRightInd w:val="0"/>
        <w:snapToGrid w:val="0"/>
        <w:spacing w:line="360" w:lineRule="auto"/>
        <w:ind w:right="4"/>
        <w:rPr>
          <w:sz w:val="21"/>
        </w:rPr>
      </w:pPr>
      <w:r>
        <w:rPr>
          <w:rFonts w:hint="eastAsia"/>
          <w:sz w:val="21"/>
        </w:rPr>
        <w:t>掌握</w:t>
      </w:r>
      <w:r>
        <w:rPr>
          <w:sz w:val="21"/>
        </w:rPr>
        <w:t>Bobath</w:t>
      </w:r>
      <w:r>
        <w:rPr>
          <w:rFonts w:hint="eastAsia"/>
          <w:sz w:val="21"/>
        </w:rPr>
        <w:t>技术基本操作方法</w:t>
      </w:r>
    </w:p>
    <w:p w:rsidR="003717A0" w:rsidRDefault="003717A0">
      <w:pPr>
        <w:pStyle w:val="a8"/>
        <w:numPr>
          <w:ilvl w:val="0"/>
          <w:numId w:val="399"/>
        </w:numPr>
        <w:adjustRightInd w:val="0"/>
        <w:snapToGrid w:val="0"/>
        <w:spacing w:line="360" w:lineRule="auto"/>
        <w:ind w:right="4"/>
        <w:rPr>
          <w:sz w:val="21"/>
        </w:rPr>
      </w:pPr>
      <w:r>
        <w:rPr>
          <w:rFonts w:hint="eastAsia"/>
          <w:sz w:val="21"/>
        </w:rPr>
        <w:t>掌握</w:t>
      </w:r>
      <w:r>
        <w:rPr>
          <w:sz w:val="21"/>
        </w:rPr>
        <w:t>Rood</w:t>
      </w:r>
      <w:r>
        <w:rPr>
          <w:rFonts w:hint="eastAsia"/>
          <w:sz w:val="21"/>
        </w:rPr>
        <w:t>技术的概念和技术特点</w:t>
      </w:r>
    </w:p>
    <w:p w:rsidR="003717A0" w:rsidRDefault="003717A0">
      <w:pPr>
        <w:pStyle w:val="a8"/>
        <w:numPr>
          <w:ilvl w:val="0"/>
          <w:numId w:val="399"/>
        </w:numPr>
        <w:adjustRightInd w:val="0"/>
        <w:snapToGrid w:val="0"/>
        <w:spacing w:line="360" w:lineRule="auto"/>
        <w:ind w:right="4"/>
        <w:rPr>
          <w:sz w:val="21"/>
        </w:rPr>
      </w:pPr>
      <w:r>
        <w:rPr>
          <w:rFonts w:hint="eastAsia"/>
          <w:sz w:val="21"/>
        </w:rPr>
        <w:t>掌握</w:t>
      </w:r>
      <w:r>
        <w:rPr>
          <w:sz w:val="21"/>
        </w:rPr>
        <w:t>Rood</w:t>
      </w:r>
      <w:r>
        <w:rPr>
          <w:rFonts w:hint="eastAsia"/>
          <w:sz w:val="21"/>
        </w:rPr>
        <w:t>技术基本操作方法</w:t>
      </w:r>
    </w:p>
    <w:p w:rsidR="003717A0" w:rsidRDefault="003717A0">
      <w:pPr>
        <w:pStyle w:val="a8"/>
        <w:numPr>
          <w:ilvl w:val="0"/>
          <w:numId w:val="399"/>
        </w:numPr>
        <w:adjustRightInd w:val="0"/>
        <w:snapToGrid w:val="0"/>
        <w:spacing w:line="360" w:lineRule="auto"/>
        <w:ind w:right="4"/>
        <w:rPr>
          <w:sz w:val="21"/>
        </w:rPr>
      </w:pPr>
      <w:r>
        <w:rPr>
          <w:rFonts w:hint="eastAsia"/>
          <w:sz w:val="21"/>
        </w:rPr>
        <w:t>掌握</w:t>
      </w:r>
      <w:r>
        <w:rPr>
          <w:sz w:val="21"/>
        </w:rPr>
        <w:t>Brunnstrom</w:t>
      </w:r>
      <w:r>
        <w:rPr>
          <w:rFonts w:hint="eastAsia"/>
          <w:sz w:val="21"/>
        </w:rPr>
        <w:t>技术的概念</w:t>
      </w:r>
    </w:p>
    <w:p w:rsidR="003717A0" w:rsidRDefault="003717A0">
      <w:pPr>
        <w:pStyle w:val="a8"/>
        <w:numPr>
          <w:ilvl w:val="0"/>
          <w:numId w:val="399"/>
        </w:numPr>
        <w:adjustRightInd w:val="0"/>
        <w:snapToGrid w:val="0"/>
        <w:spacing w:line="360" w:lineRule="auto"/>
        <w:ind w:right="4"/>
        <w:jc w:val="both"/>
        <w:rPr>
          <w:sz w:val="21"/>
        </w:rPr>
      </w:pPr>
      <w:r>
        <w:rPr>
          <w:rFonts w:hint="eastAsia"/>
          <w:sz w:val="21"/>
        </w:rPr>
        <w:t>掌握</w:t>
      </w:r>
      <w:r>
        <w:rPr>
          <w:sz w:val="21"/>
        </w:rPr>
        <w:t>Brunnstrom</w:t>
      </w:r>
      <w:r>
        <w:rPr>
          <w:rFonts w:hint="eastAsia"/>
          <w:sz w:val="21"/>
        </w:rPr>
        <w:t>技术基本操作方法</w:t>
      </w:r>
    </w:p>
    <w:p w:rsidR="003717A0" w:rsidRDefault="003717A0" w:rsidP="005E20B5">
      <w:pPr>
        <w:adjustRightInd w:val="0"/>
        <w:snapToGrid w:val="0"/>
        <w:spacing w:beforeLines="50" w:line="360" w:lineRule="auto"/>
        <w:ind w:right="6"/>
        <w:jc w:val="center"/>
        <w:rPr>
          <w:b/>
          <w:sz w:val="22"/>
        </w:rPr>
      </w:pPr>
      <w:r>
        <w:rPr>
          <w:rFonts w:hint="eastAsia"/>
          <w:b/>
          <w:sz w:val="22"/>
        </w:rPr>
        <w:t>第十一章</w:t>
      </w:r>
      <w:r>
        <w:rPr>
          <w:b/>
          <w:sz w:val="22"/>
        </w:rPr>
        <w:t xml:space="preserve">  </w:t>
      </w:r>
      <w:r>
        <w:rPr>
          <w:rFonts w:hint="eastAsia"/>
          <w:b/>
          <w:sz w:val="22"/>
        </w:rPr>
        <w:t>本体神经肌肉促进技术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00"/>
        </w:numPr>
        <w:adjustRightInd w:val="0"/>
        <w:snapToGrid w:val="0"/>
        <w:spacing w:line="360" w:lineRule="auto"/>
        <w:ind w:right="4"/>
        <w:rPr>
          <w:sz w:val="21"/>
        </w:rPr>
      </w:pPr>
      <w:r>
        <w:rPr>
          <w:sz w:val="21"/>
        </w:rPr>
        <w:t>PNF</w:t>
      </w:r>
      <w:r>
        <w:rPr>
          <w:rFonts w:hint="eastAsia"/>
          <w:sz w:val="21"/>
        </w:rPr>
        <w:t>技术基本理论和神经生理学基础</w:t>
      </w:r>
    </w:p>
    <w:p w:rsidR="003717A0" w:rsidRDefault="003717A0">
      <w:pPr>
        <w:pStyle w:val="a8"/>
        <w:numPr>
          <w:ilvl w:val="0"/>
          <w:numId w:val="400"/>
        </w:numPr>
        <w:adjustRightInd w:val="0"/>
        <w:snapToGrid w:val="0"/>
        <w:spacing w:line="360" w:lineRule="auto"/>
        <w:ind w:right="4" w:hanging="340"/>
        <w:rPr>
          <w:sz w:val="21"/>
        </w:rPr>
      </w:pPr>
      <w:r>
        <w:rPr>
          <w:sz w:val="21"/>
        </w:rPr>
        <w:t>PNF</w:t>
      </w:r>
      <w:r>
        <w:rPr>
          <w:rFonts w:hint="eastAsia"/>
          <w:sz w:val="21"/>
        </w:rPr>
        <w:t>技术的肢体基本运动模式与手法操作</w:t>
      </w:r>
    </w:p>
    <w:p w:rsidR="003717A0" w:rsidRDefault="003717A0">
      <w:pPr>
        <w:pStyle w:val="a8"/>
        <w:numPr>
          <w:ilvl w:val="0"/>
          <w:numId w:val="400"/>
        </w:numPr>
        <w:adjustRightInd w:val="0"/>
        <w:snapToGrid w:val="0"/>
        <w:spacing w:line="360" w:lineRule="auto"/>
        <w:ind w:right="4" w:hanging="340"/>
        <w:jc w:val="both"/>
        <w:rPr>
          <w:sz w:val="21"/>
        </w:rPr>
      </w:pPr>
      <w:r>
        <w:rPr>
          <w:sz w:val="21"/>
        </w:rPr>
        <w:t>PNF</w:t>
      </w:r>
      <w:r>
        <w:rPr>
          <w:rFonts w:hint="eastAsia"/>
          <w:sz w:val="21"/>
        </w:rPr>
        <w:t>技术的临床应用</w:t>
      </w:r>
    </w:p>
    <w:p w:rsidR="003717A0" w:rsidRDefault="003717A0">
      <w:pPr>
        <w:adjustRightInd w:val="0"/>
        <w:snapToGrid w:val="0"/>
        <w:spacing w:line="360" w:lineRule="auto"/>
        <w:ind w:right="6" w:firstLineChars="200" w:firstLine="422"/>
        <w:rPr>
          <w:rFonts w:ascii="Times New Roman" w:hAnsi="Times New Roman"/>
          <w:szCs w:val="20"/>
        </w:rPr>
      </w:pPr>
      <w:r>
        <w:rPr>
          <w:rFonts w:ascii="Times New Roman" w:hint="eastAsia"/>
          <w:b/>
        </w:rPr>
        <w:t>实习内容（</w:t>
      </w:r>
      <w:r>
        <w:rPr>
          <w:rFonts w:ascii="Times New Roman"/>
          <w:b/>
        </w:rPr>
        <w:t>3</w:t>
      </w:r>
      <w:r>
        <w:rPr>
          <w:rFonts w:ascii="Times New Roman" w:hint="eastAsia"/>
          <w:b/>
        </w:rPr>
        <w:t>学时）</w:t>
      </w:r>
    </w:p>
    <w:p w:rsidR="003717A0" w:rsidRDefault="003717A0">
      <w:pPr>
        <w:pStyle w:val="a8"/>
        <w:numPr>
          <w:ilvl w:val="0"/>
          <w:numId w:val="401"/>
        </w:numPr>
        <w:adjustRightInd w:val="0"/>
        <w:snapToGrid w:val="0"/>
        <w:spacing w:line="360" w:lineRule="auto"/>
        <w:ind w:right="4"/>
        <w:rPr>
          <w:sz w:val="21"/>
        </w:rPr>
      </w:pPr>
      <w:r>
        <w:rPr>
          <w:sz w:val="21"/>
        </w:rPr>
        <w:t>PNF</w:t>
      </w:r>
      <w:r>
        <w:rPr>
          <w:rFonts w:hint="eastAsia"/>
          <w:sz w:val="21"/>
        </w:rPr>
        <w:t>技术的肢体基本运动模式与手法操作</w:t>
      </w:r>
    </w:p>
    <w:p w:rsidR="003717A0" w:rsidRDefault="003717A0">
      <w:pPr>
        <w:pStyle w:val="a8"/>
        <w:numPr>
          <w:ilvl w:val="0"/>
          <w:numId w:val="401"/>
        </w:numPr>
        <w:adjustRightInd w:val="0"/>
        <w:snapToGrid w:val="0"/>
        <w:spacing w:line="360" w:lineRule="auto"/>
        <w:ind w:right="4" w:hanging="340"/>
        <w:jc w:val="both"/>
        <w:rPr>
          <w:sz w:val="21"/>
        </w:rPr>
      </w:pPr>
      <w:r>
        <w:rPr>
          <w:sz w:val="21"/>
        </w:rPr>
        <w:t>PNF</w:t>
      </w:r>
      <w:r>
        <w:rPr>
          <w:rFonts w:hint="eastAsia"/>
          <w:sz w:val="21"/>
        </w:rPr>
        <w:t>技术的临床应用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402"/>
        </w:numPr>
        <w:adjustRightInd w:val="0"/>
        <w:snapToGrid w:val="0"/>
        <w:spacing w:line="360" w:lineRule="auto"/>
        <w:ind w:right="4"/>
        <w:rPr>
          <w:sz w:val="21"/>
        </w:rPr>
      </w:pPr>
      <w:r>
        <w:rPr>
          <w:rFonts w:hint="eastAsia"/>
          <w:sz w:val="21"/>
        </w:rPr>
        <w:t>掌握</w:t>
      </w:r>
      <w:r>
        <w:rPr>
          <w:sz w:val="21"/>
        </w:rPr>
        <w:t>PNF</w:t>
      </w:r>
      <w:r>
        <w:rPr>
          <w:rFonts w:hint="eastAsia"/>
          <w:sz w:val="21"/>
        </w:rPr>
        <w:t>技术的概念和技术特点</w:t>
      </w:r>
    </w:p>
    <w:p w:rsidR="003717A0" w:rsidRDefault="003717A0">
      <w:pPr>
        <w:pStyle w:val="a8"/>
        <w:numPr>
          <w:ilvl w:val="0"/>
          <w:numId w:val="402"/>
        </w:numPr>
        <w:adjustRightInd w:val="0"/>
        <w:snapToGrid w:val="0"/>
        <w:spacing w:line="360" w:lineRule="auto"/>
        <w:ind w:right="4"/>
        <w:jc w:val="both"/>
        <w:rPr>
          <w:sz w:val="21"/>
        </w:rPr>
      </w:pPr>
      <w:r>
        <w:rPr>
          <w:rFonts w:hint="eastAsia"/>
          <w:sz w:val="21"/>
        </w:rPr>
        <w:t>掌握</w:t>
      </w:r>
      <w:r>
        <w:rPr>
          <w:sz w:val="21"/>
        </w:rPr>
        <w:t>PNF</w:t>
      </w:r>
      <w:r>
        <w:rPr>
          <w:rFonts w:hint="eastAsia"/>
          <w:sz w:val="21"/>
        </w:rPr>
        <w:t>技术的肢体基本运动模式与手法操作</w:t>
      </w:r>
    </w:p>
    <w:p w:rsidR="003717A0" w:rsidRDefault="003717A0" w:rsidP="005E20B5">
      <w:pPr>
        <w:adjustRightInd w:val="0"/>
        <w:snapToGrid w:val="0"/>
        <w:spacing w:beforeLines="50" w:line="360" w:lineRule="auto"/>
        <w:ind w:right="6"/>
        <w:jc w:val="center"/>
        <w:rPr>
          <w:b/>
          <w:sz w:val="22"/>
        </w:rPr>
      </w:pPr>
      <w:r>
        <w:rPr>
          <w:rFonts w:hint="eastAsia"/>
          <w:b/>
          <w:sz w:val="22"/>
        </w:rPr>
        <w:t>第十二章</w:t>
      </w:r>
      <w:r>
        <w:rPr>
          <w:b/>
          <w:sz w:val="22"/>
        </w:rPr>
        <w:t xml:space="preserve">  </w:t>
      </w:r>
      <w:r>
        <w:rPr>
          <w:rFonts w:hint="eastAsia"/>
          <w:b/>
          <w:sz w:val="22"/>
        </w:rPr>
        <w:t>运动再学习技术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03"/>
        </w:numPr>
        <w:adjustRightInd w:val="0"/>
        <w:snapToGrid w:val="0"/>
        <w:spacing w:line="360" w:lineRule="auto"/>
        <w:ind w:rightChars="2" w:right="4"/>
        <w:rPr>
          <w:sz w:val="21"/>
        </w:rPr>
      </w:pPr>
      <w:r>
        <w:rPr>
          <w:rFonts w:hint="eastAsia"/>
          <w:sz w:val="21"/>
        </w:rPr>
        <w:t>运动再学习方法基本原理</w:t>
      </w:r>
    </w:p>
    <w:p w:rsidR="003717A0" w:rsidRDefault="003717A0">
      <w:pPr>
        <w:pStyle w:val="a8"/>
        <w:numPr>
          <w:ilvl w:val="0"/>
          <w:numId w:val="403"/>
        </w:numPr>
        <w:adjustRightInd w:val="0"/>
        <w:snapToGrid w:val="0"/>
        <w:spacing w:line="360" w:lineRule="auto"/>
        <w:ind w:left="0" w:rightChars="2" w:right="4" w:firstLine="720"/>
        <w:rPr>
          <w:sz w:val="21"/>
        </w:rPr>
      </w:pPr>
      <w:r>
        <w:rPr>
          <w:rFonts w:hint="eastAsia"/>
          <w:sz w:val="21"/>
        </w:rPr>
        <w:t>运动再学习方法的方案特点、基本原则</w:t>
      </w:r>
    </w:p>
    <w:p w:rsidR="003717A0" w:rsidRDefault="003717A0">
      <w:pPr>
        <w:pStyle w:val="a8"/>
        <w:numPr>
          <w:ilvl w:val="0"/>
          <w:numId w:val="403"/>
        </w:numPr>
        <w:adjustRightInd w:val="0"/>
        <w:snapToGrid w:val="0"/>
        <w:spacing w:line="360" w:lineRule="auto"/>
        <w:ind w:left="0" w:rightChars="2" w:right="4" w:firstLine="720"/>
        <w:jc w:val="both"/>
        <w:rPr>
          <w:sz w:val="21"/>
        </w:rPr>
      </w:pPr>
      <w:r>
        <w:rPr>
          <w:rFonts w:hint="eastAsia"/>
          <w:sz w:val="21"/>
        </w:rPr>
        <w:t>脑卒中患者运动再学习方案由</w:t>
      </w:r>
      <w:r>
        <w:rPr>
          <w:sz w:val="21"/>
        </w:rPr>
        <w:t>7</w:t>
      </w:r>
      <w:r>
        <w:rPr>
          <w:rFonts w:hint="eastAsia"/>
          <w:sz w:val="21"/>
        </w:rPr>
        <w:t>个章节组成</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404"/>
        </w:numPr>
        <w:tabs>
          <w:tab w:val="left" w:pos="1740"/>
        </w:tabs>
        <w:adjustRightInd w:val="0"/>
        <w:snapToGrid w:val="0"/>
        <w:spacing w:line="360" w:lineRule="auto"/>
        <w:ind w:right="4"/>
        <w:rPr>
          <w:sz w:val="21"/>
        </w:rPr>
      </w:pPr>
      <w:r>
        <w:rPr>
          <w:rFonts w:hint="eastAsia"/>
          <w:sz w:val="21"/>
        </w:rPr>
        <w:t>运动再学习方法基本原理</w:t>
      </w:r>
    </w:p>
    <w:p w:rsidR="003717A0" w:rsidRDefault="003717A0">
      <w:pPr>
        <w:pStyle w:val="a8"/>
        <w:numPr>
          <w:ilvl w:val="0"/>
          <w:numId w:val="404"/>
        </w:numPr>
        <w:tabs>
          <w:tab w:val="left" w:pos="1740"/>
        </w:tabs>
        <w:adjustRightInd w:val="0"/>
        <w:snapToGrid w:val="0"/>
        <w:spacing w:line="360" w:lineRule="auto"/>
        <w:ind w:right="4" w:hanging="340"/>
        <w:rPr>
          <w:sz w:val="21"/>
        </w:rPr>
      </w:pPr>
      <w:r>
        <w:rPr>
          <w:rFonts w:hint="eastAsia"/>
          <w:sz w:val="21"/>
        </w:rPr>
        <w:t>运动再学习方法的方案特点、基本原则</w:t>
      </w:r>
    </w:p>
    <w:p w:rsidR="003717A0" w:rsidRDefault="003717A0">
      <w:pPr>
        <w:pStyle w:val="a8"/>
        <w:numPr>
          <w:ilvl w:val="0"/>
          <w:numId w:val="404"/>
        </w:numPr>
        <w:tabs>
          <w:tab w:val="left" w:pos="1740"/>
        </w:tabs>
        <w:adjustRightInd w:val="0"/>
        <w:snapToGrid w:val="0"/>
        <w:spacing w:line="360" w:lineRule="auto"/>
        <w:ind w:right="4" w:hanging="340"/>
        <w:jc w:val="both"/>
        <w:rPr>
          <w:sz w:val="21"/>
        </w:rPr>
      </w:pPr>
      <w:r>
        <w:rPr>
          <w:rFonts w:hint="eastAsia"/>
          <w:sz w:val="21"/>
        </w:rPr>
        <w:t>脑卒中患者运动再学习方案由</w:t>
      </w:r>
      <w:r>
        <w:rPr>
          <w:sz w:val="21"/>
        </w:rPr>
        <w:t>7</w:t>
      </w:r>
      <w:r>
        <w:rPr>
          <w:rFonts w:hint="eastAsia"/>
          <w:sz w:val="21"/>
        </w:rPr>
        <w:t>个章节组成</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405"/>
        </w:numPr>
        <w:adjustRightInd w:val="0"/>
        <w:snapToGrid w:val="0"/>
        <w:spacing w:line="360" w:lineRule="auto"/>
        <w:ind w:right="4"/>
        <w:rPr>
          <w:sz w:val="21"/>
        </w:rPr>
      </w:pPr>
      <w:r>
        <w:rPr>
          <w:rFonts w:hint="eastAsia"/>
          <w:sz w:val="21"/>
        </w:rPr>
        <w:t>掌握运动再学习方法基本概念</w:t>
      </w:r>
    </w:p>
    <w:p w:rsidR="003717A0" w:rsidRDefault="003717A0">
      <w:pPr>
        <w:pStyle w:val="a8"/>
        <w:numPr>
          <w:ilvl w:val="0"/>
          <w:numId w:val="405"/>
        </w:numPr>
        <w:adjustRightInd w:val="0"/>
        <w:snapToGrid w:val="0"/>
        <w:spacing w:line="360" w:lineRule="auto"/>
        <w:ind w:right="4"/>
        <w:rPr>
          <w:sz w:val="21"/>
        </w:rPr>
      </w:pPr>
      <w:r>
        <w:rPr>
          <w:rFonts w:hint="eastAsia"/>
          <w:sz w:val="21"/>
        </w:rPr>
        <w:t>掌握脑卒中患者运动再学习方案</w:t>
      </w:r>
    </w:p>
    <w:p w:rsidR="003717A0" w:rsidRDefault="003717A0" w:rsidP="005E20B5">
      <w:pPr>
        <w:adjustRightInd w:val="0"/>
        <w:snapToGrid w:val="0"/>
        <w:spacing w:beforeLines="50" w:line="360" w:lineRule="auto"/>
        <w:ind w:right="6"/>
        <w:jc w:val="center"/>
        <w:rPr>
          <w:b/>
          <w:sz w:val="22"/>
        </w:rPr>
      </w:pPr>
      <w:r>
        <w:rPr>
          <w:rFonts w:hint="eastAsia"/>
          <w:b/>
          <w:sz w:val="22"/>
        </w:rPr>
        <w:t>第十三章</w:t>
      </w:r>
      <w:r>
        <w:rPr>
          <w:b/>
          <w:sz w:val="22"/>
        </w:rPr>
        <w:t xml:space="preserve">  </w:t>
      </w:r>
      <w:r>
        <w:rPr>
          <w:rFonts w:hint="eastAsia"/>
          <w:b/>
          <w:sz w:val="22"/>
        </w:rPr>
        <w:t>强制性使用运动疗</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06"/>
        </w:numPr>
        <w:tabs>
          <w:tab w:val="left" w:pos="720"/>
        </w:tabs>
        <w:adjustRightInd w:val="0"/>
        <w:snapToGrid w:val="0"/>
        <w:spacing w:line="360" w:lineRule="auto"/>
        <w:ind w:rightChars="2" w:right="4"/>
        <w:rPr>
          <w:sz w:val="21"/>
        </w:rPr>
      </w:pPr>
      <w:r>
        <w:rPr>
          <w:rFonts w:hint="eastAsia"/>
          <w:sz w:val="21"/>
        </w:rPr>
        <w:t>强制性使用运动疗法基本概念、习得性废用的概念、形成原因</w:t>
      </w:r>
    </w:p>
    <w:p w:rsidR="003717A0" w:rsidRDefault="003717A0">
      <w:pPr>
        <w:pStyle w:val="a8"/>
        <w:numPr>
          <w:ilvl w:val="0"/>
          <w:numId w:val="406"/>
        </w:numPr>
        <w:tabs>
          <w:tab w:val="left" w:pos="720"/>
        </w:tabs>
        <w:adjustRightInd w:val="0"/>
        <w:snapToGrid w:val="0"/>
        <w:spacing w:line="360" w:lineRule="auto"/>
        <w:ind w:left="0" w:rightChars="2" w:right="4" w:firstLine="720"/>
        <w:rPr>
          <w:sz w:val="21"/>
        </w:rPr>
      </w:pPr>
      <w:r>
        <w:rPr>
          <w:rFonts w:hint="eastAsia"/>
          <w:sz w:val="21"/>
        </w:rPr>
        <w:t>强制性使用运动疗法方案特点、基本原则、患者入选标准</w:t>
      </w:r>
    </w:p>
    <w:p w:rsidR="003717A0" w:rsidRDefault="003717A0">
      <w:pPr>
        <w:pStyle w:val="a8"/>
        <w:numPr>
          <w:ilvl w:val="0"/>
          <w:numId w:val="406"/>
        </w:numPr>
        <w:tabs>
          <w:tab w:val="left" w:pos="720"/>
        </w:tabs>
        <w:adjustRightInd w:val="0"/>
        <w:snapToGrid w:val="0"/>
        <w:spacing w:line="360" w:lineRule="auto"/>
        <w:ind w:left="0" w:rightChars="2" w:right="4" w:firstLine="720"/>
        <w:rPr>
          <w:sz w:val="21"/>
        </w:rPr>
      </w:pPr>
      <w:r>
        <w:rPr>
          <w:rFonts w:hint="eastAsia"/>
          <w:sz w:val="21"/>
        </w:rPr>
        <w:lastRenderedPageBreak/>
        <w:t>强制性使用运动疗法实施方法包括</w:t>
      </w:r>
      <w:r>
        <w:rPr>
          <w:sz w:val="21"/>
        </w:rPr>
        <w:t>2</w:t>
      </w:r>
      <w:r>
        <w:rPr>
          <w:rFonts w:hint="eastAsia"/>
          <w:sz w:val="21"/>
        </w:rPr>
        <w:t>个方面限制使用健侧强制性使用患侧</w:t>
      </w:r>
    </w:p>
    <w:p w:rsidR="003717A0" w:rsidRDefault="003717A0">
      <w:pPr>
        <w:pStyle w:val="a8"/>
        <w:numPr>
          <w:ilvl w:val="0"/>
          <w:numId w:val="406"/>
        </w:numPr>
        <w:tabs>
          <w:tab w:val="left" w:pos="720"/>
        </w:tabs>
        <w:adjustRightInd w:val="0"/>
        <w:snapToGrid w:val="0"/>
        <w:spacing w:line="360" w:lineRule="auto"/>
        <w:ind w:left="0" w:rightChars="2" w:right="4" w:firstLine="720"/>
        <w:jc w:val="both"/>
        <w:rPr>
          <w:sz w:val="21"/>
        </w:rPr>
      </w:pPr>
      <w:r>
        <w:rPr>
          <w:rFonts w:hint="eastAsia"/>
          <w:sz w:val="21"/>
        </w:rPr>
        <w:t>强制性使用运动疗法训练技术</w:t>
      </w:r>
      <w:r>
        <w:rPr>
          <w:sz w:val="21"/>
        </w:rPr>
        <w:t>Shaping</w:t>
      </w:r>
      <w:r>
        <w:rPr>
          <w:rFonts w:hint="eastAsia"/>
          <w:sz w:val="21"/>
        </w:rPr>
        <w:t>塑型</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407"/>
        </w:numPr>
        <w:tabs>
          <w:tab w:val="left" w:pos="2160"/>
        </w:tabs>
        <w:adjustRightInd w:val="0"/>
        <w:snapToGrid w:val="0"/>
        <w:spacing w:line="360" w:lineRule="auto"/>
        <w:ind w:right="4"/>
        <w:rPr>
          <w:sz w:val="21"/>
        </w:rPr>
      </w:pPr>
      <w:r>
        <w:rPr>
          <w:rFonts w:hint="eastAsia"/>
          <w:sz w:val="21"/>
        </w:rPr>
        <w:t>强制性使用运动疗法基本概念、习得性废用的概念、形成原因</w:t>
      </w:r>
    </w:p>
    <w:p w:rsidR="003717A0" w:rsidRDefault="003717A0">
      <w:pPr>
        <w:pStyle w:val="a8"/>
        <w:numPr>
          <w:ilvl w:val="0"/>
          <w:numId w:val="407"/>
        </w:numPr>
        <w:tabs>
          <w:tab w:val="left" w:pos="2160"/>
        </w:tabs>
        <w:adjustRightInd w:val="0"/>
        <w:snapToGrid w:val="0"/>
        <w:spacing w:line="360" w:lineRule="auto"/>
        <w:ind w:right="4" w:hanging="340"/>
        <w:rPr>
          <w:sz w:val="21"/>
        </w:rPr>
      </w:pPr>
      <w:r>
        <w:rPr>
          <w:rFonts w:hint="eastAsia"/>
          <w:sz w:val="21"/>
        </w:rPr>
        <w:t>强制性使用运动疗法方案特点、基本原则、患者入选标准</w:t>
      </w:r>
    </w:p>
    <w:p w:rsidR="003717A0" w:rsidRDefault="003717A0">
      <w:pPr>
        <w:pStyle w:val="a8"/>
        <w:numPr>
          <w:ilvl w:val="0"/>
          <w:numId w:val="407"/>
        </w:numPr>
        <w:tabs>
          <w:tab w:val="left" w:pos="2160"/>
        </w:tabs>
        <w:adjustRightInd w:val="0"/>
        <w:snapToGrid w:val="0"/>
        <w:spacing w:line="360" w:lineRule="auto"/>
        <w:ind w:right="4" w:hanging="340"/>
        <w:rPr>
          <w:sz w:val="21"/>
        </w:rPr>
      </w:pPr>
      <w:r>
        <w:rPr>
          <w:rFonts w:hint="eastAsia"/>
          <w:sz w:val="21"/>
        </w:rPr>
        <w:t>强制性使用运动疗法实施方法包括</w:t>
      </w:r>
      <w:r>
        <w:rPr>
          <w:sz w:val="21"/>
        </w:rPr>
        <w:t>2</w:t>
      </w:r>
      <w:r>
        <w:rPr>
          <w:rFonts w:hint="eastAsia"/>
          <w:sz w:val="21"/>
        </w:rPr>
        <w:t>个方面限制使用健侧强制性使用患侧</w:t>
      </w:r>
    </w:p>
    <w:p w:rsidR="003717A0" w:rsidRDefault="003717A0">
      <w:pPr>
        <w:pStyle w:val="a8"/>
        <w:numPr>
          <w:ilvl w:val="0"/>
          <w:numId w:val="407"/>
        </w:numPr>
        <w:tabs>
          <w:tab w:val="left" w:pos="2160"/>
        </w:tabs>
        <w:adjustRightInd w:val="0"/>
        <w:snapToGrid w:val="0"/>
        <w:spacing w:line="360" w:lineRule="auto"/>
        <w:ind w:right="4" w:hanging="340"/>
        <w:jc w:val="both"/>
        <w:rPr>
          <w:sz w:val="21"/>
        </w:rPr>
      </w:pPr>
      <w:r>
        <w:rPr>
          <w:rFonts w:hint="eastAsia"/>
          <w:sz w:val="21"/>
        </w:rPr>
        <w:t>强制性使用运动疗法训练技术</w:t>
      </w:r>
      <w:r>
        <w:rPr>
          <w:sz w:val="21"/>
        </w:rPr>
        <w:t>Shaping</w:t>
      </w:r>
      <w:r>
        <w:rPr>
          <w:rFonts w:hint="eastAsia"/>
          <w:sz w:val="21"/>
        </w:rPr>
        <w:t>塑型</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rsidP="005E20B5">
      <w:pPr>
        <w:numPr>
          <w:ilvl w:val="0"/>
          <w:numId w:val="408"/>
        </w:numPr>
        <w:adjustRightInd w:val="0"/>
        <w:snapToGrid w:val="0"/>
        <w:spacing w:beforeLines="50"/>
        <w:ind w:right="6"/>
        <w:jc w:val="left"/>
        <w:rPr>
          <w:rFonts w:ascii="Times New Roman" w:hAnsi="Times New Roman"/>
          <w:szCs w:val="20"/>
        </w:rPr>
      </w:pPr>
      <w:r>
        <w:rPr>
          <w:rFonts w:ascii="Times New Roman" w:hAnsi="Times New Roman" w:hint="eastAsia"/>
          <w:szCs w:val="20"/>
        </w:rPr>
        <w:t>掌握强制性使用运动疗法基本概念</w:t>
      </w:r>
    </w:p>
    <w:p w:rsidR="003717A0" w:rsidRDefault="003717A0" w:rsidP="005E20B5">
      <w:pPr>
        <w:numPr>
          <w:ilvl w:val="0"/>
          <w:numId w:val="408"/>
        </w:numPr>
        <w:adjustRightInd w:val="0"/>
        <w:snapToGrid w:val="0"/>
        <w:spacing w:beforeLines="50"/>
        <w:ind w:right="6"/>
        <w:jc w:val="left"/>
        <w:rPr>
          <w:rFonts w:ascii="Times New Roman" w:hAnsi="Times New Roman"/>
          <w:szCs w:val="20"/>
        </w:rPr>
      </w:pPr>
      <w:r>
        <w:rPr>
          <w:rFonts w:ascii="Times New Roman" w:hAnsi="Times New Roman"/>
          <w:szCs w:val="20"/>
        </w:rPr>
        <w:t>CIMT</w:t>
      </w:r>
      <w:r>
        <w:rPr>
          <w:rFonts w:ascii="Times New Roman" w:hAnsi="Times New Roman" w:hint="eastAsia"/>
          <w:szCs w:val="20"/>
        </w:rPr>
        <w:t>治疗患者入选标准</w:t>
      </w:r>
    </w:p>
    <w:p w:rsidR="003717A0" w:rsidRDefault="003717A0" w:rsidP="005E20B5">
      <w:pPr>
        <w:adjustRightInd w:val="0"/>
        <w:snapToGrid w:val="0"/>
        <w:spacing w:beforeLines="50" w:line="360" w:lineRule="auto"/>
        <w:ind w:right="6"/>
        <w:jc w:val="center"/>
        <w:rPr>
          <w:b/>
          <w:sz w:val="22"/>
        </w:rPr>
      </w:pPr>
      <w:r>
        <w:rPr>
          <w:rFonts w:hint="eastAsia"/>
          <w:b/>
          <w:sz w:val="22"/>
        </w:rPr>
        <w:t>第十四章</w:t>
      </w:r>
      <w:r>
        <w:rPr>
          <w:b/>
          <w:sz w:val="22"/>
        </w:rPr>
        <w:t xml:space="preserve">  </w:t>
      </w:r>
      <w:r>
        <w:rPr>
          <w:rFonts w:hint="eastAsia"/>
          <w:b/>
          <w:sz w:val="22"/>
        </w:rPr>
        <w:t>心肺功能训练</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09"/>
        </w:numPr>
        <w:adjustRightInd w:val="0"/>
        <w:snapToGrid w:val="0"/>
        <w:spacing w:line="360" w:lineRule="auto"/>
        <w:ind w:rightChars="2" w:right="4"/>
        <w:rPr>
          <w:sz w:val="21"/>
        </w:rPr>
      </w:pPr>
      <w:r>
        <w:rPr>
          <w:rFonts w:hint="eastAsia"/>
          <w:sz w:val="21"/>
        </w:rPr>
        <w:t>呼吸功能训练</w:t>
      </w:r>
      <w:r>
        <w:rPr>
          <w:sz w:val="21"/>
        </w:rPr>
        <w:t xml:space="preserve"> </w:t>
      </w:r>
      <w:r>
        <w:rPr>
          <w:rFonts w:hint="eastAsia"/>
          <w:sz w:val="21"/>
        </w:rPr>
        <w:t>：</w:t>
      </w:r>
      <w:r>
        <w:rPr>
          <w:sz w:val="21"/>
        </w:rPr>
        <w:t xml:space="preserve"> </w:t>
      </w:r>
      <w:r>
        <w:rPr>
          <w:rFonts w:hint="eastAsia"/>
          <w:sz w:val="21"/>
        </w:rPr>
        <w:t>呼吸功能训练的作用；</w:t>
      </w:r>
      <w:r>
        <w:rPr>
          <w:sz w:val="21"/>
        </w:rPr>
        <w:t xml:space="preserve"> </w:t>
      </w:r>
      <w:r>
        <w:rPr>
          <w:rFonts w:hint="eastAsia"/>
          <w:sz w:val="21"/>
        </w:rPr>
        <w:t>呼吸功能训练技术与临床应用；呼吸功能训练注意事项</w:t>
      </w:r>
      <w:r>
        <w:rPr>
          <w:sz w:val="21"/>
        </w:rPr>
        <w:t xml:space="preserve"> </w:t>
      </w:r>
    </w:p>
    <w:p w:rsidR="003717A0" w:rsidRDefault="003717A0">
      <w:pPr>
        <w:pStyle w:val="a8"/>
        <w:numPr>
          <w:ilvl w:val="0"/>
          <w:numId w:val="409"/>
        </w:numPr>
        <w:adjustRightInd w:val="0"/>
        <w:snapToGrid w:val="0"/>
        <w:spacing w:line="360" w:lineRule="auto"/>
        <w:ind w:left="0" w:rightChars="2" w:right="4" w:firstLine="720"/>
        <w:rPr>
          <w:sz w:val="21"/>
        </w:rPr>
      </w:pPr>
      <w:r>
        <w:rPr>
          <w:rFonts w:hint="eastAsia"/>
          <w:sz w:val="21"/>
        </w:rPr>
        <w:t>心功能训练：</w:t>
      </w:r>
      <w:r>
        <w:rPr>
          <w:sz w:val="21"/>
        </w:rPr>
        <w:t xml:space="preserve"> </w:t>
      </w:r>
      <w:r>
        <w:rPr>
          <w:rFonts w:hint="eastAsia"/>
          <w:sz w:val="21"/>
        </w:rPr>
        <w:t>心功能训练的作用</w:t>
      </w:r>
      <w:r>
        <w:rPr>
          <w:sz w:val="21"/>
        </w:rPr>
        <w:t xml:space="preserve"> </w:t>
      </w:r>
      <w:r>
        <w:rPr>
          <w:rFonts w:hint="eastAsia"/>
          <w:sz w:val="21"/>
        </w:rPr>
        <w:t>；心功能训练技术与临床应用；心功能训练注意事项</w:t>
      </w:r>
      <w:r>
        <w:rPr>
          <w:sz w:val="21"/>
        </w:rPr>
        <w:t xml:space="preserve">  </w:t>
      </w:r>
    </w:p>
    <w:p w:rsidR="003717A0" w:rsidRDefault="003717A0">
      <w:pPr>
        <w:pStyle w:val="a8"/>
        <w:numPr>
          <w:ilvl w:val="0"/>
          <w:numId w:val="409"/>
        </w:numPr>
        <w:adjustRightInd w:val="0"/>
        <w:snapToGrid w:val="0"/>
        <w:spacing w:line="360" w:lineRule="auto"/>
        <w:ind w:left="0" w:rightChars="2" w:right="4" w:firstLine="720"/>
        <w:jc w:val="both"/>
        <w:rPr>
          <w:sz w:val="21"/>
        </w:rPr>
      </w:pPr>
      <w:r>
        <w:rPr>
          <w:rFonts w:hint="eastAsia"/>
          <w:sz w:val="21"/>
        </w:rPr>
        <w:t>有氧运动技术</w:t>
      </w:r>
      <w:r>
        <w:rPr>
          <w:sz w:val="21"/>
        </w:rPr>
        <w:t xml:space="preserve"> </w:t>
      </w:r>
      <w:r>
        <w:rPr>
          <w:rFonts w:hint="eastAsia"/>
          <w:sz w:val="21"/>
        </w:rPr>
        <w:t>：有氧运动运动疗法的作用和特点</w:t>
      </w:r>
      <w:r>
        <w:rPr>
          <w:sz w:val="21"/>
        </w:rPr>
        <w:t xml:space="preserve"> </w:t>
      </w:r>
      <w:r>
        <w:rPr>
          <w:rFonts w:hint="eastAsia"/>
          <w:sz w:val="21"/>
        </w:rPr>
        <w:t>；有氧运动治疗技术与临床应用；</w:t>
      </w:r>
      <w:r>
        <w:rPr>
          <w:sz w:val="21"/>
        </w:rPr>
        <w:t xml:space="preserve"> </w:t>
      </w:r>
      <w:r>
        <w:rPr>
          <w:rFonts w:hint="eastAsia"/>
          <w:sz w:val="21"/>
        </w:rPr>
        <w:t>有氧运动治疗技术注意事项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410"/>
        </w:numPr>
        <w:tabs>
          <w:tab w:val="left" w:pos="1740"/>
        </w:tabs>
        <w:adjustRightInd w:val="0"/>
        <w:snapToGrid w:val="0"/>
        <w:spacing w:line="360" w:lineRule="auto"/>
        <w:ind w:right="4"/>
        <w:rPr>
          <w:sz w:val="21"/>
        </w:rPr>
      </w:pPr>
      <w:r>
        <w:rPr>
          <w:rFonts w:hint="eastAsia"/>
          <w:sz w:val="21"/>
        </w:rPr>
        <w:t>呼吸功能训练的作用；</w:t>
      </w:r>
      <w:r>
        <w:rPr>
          <w:sz w:val="21"/>
        </w:rPr>
        <w:t xml:space="preserve"> </w:t>
      </w:r>
      <w:r>
        <w:rPr>
          <w:rFonts w:hint="eastAsia"/>
          <w:sz w:val="21"/>
        </w:rPr>
        <w:t>呼吸功能训练技术与临床应用；呼吸功能训练注意事项</w:t>
      </w:r>
      <w:r>
        <w:rPr>
          <w:sz w:val="21"/>
        </w:rPr>
        <w:t xml:space="preserve"> </w:t>
      </w:r>
    </w:p>
    <w:p w:rsidR="003717A0" w:rsidRDefault="003717A0">
      <w:pPr>
        <w:pStyle w:val="a8"/>
        <w:numPr>
          <w:ilvl w:val="0"/>
          <w:numId w:val="410"/>
        </w:numPr>
        <w:tabs>
          <w:tab w:val="left" w:pos="1740"/>
        </w:tabs>
        <w:adjustRightInd w:val="0"/>
        <w:snapToGrid w:val="0"/>
        <w:spacing w:line="360" w:lineRule="auto"/>
        <w:ind w:right="4" w:hanging="340"/>
        <w:rPr>
          <w:sz w:val="21"/>
        </w:rPr>
      </w:pPr>
      <w:r>
        <w:rPr>
          <w:rFonts w:hint="eastAsia"/>
          <w:sz w:val="21"/>
        </w:rPr>
        <w:t>心功能训练的作用</w:t>
      </w:r>
      <w:r>
        <w:rPr>
          <w:sz w:val="21"/>
        </w:rPr>
        <w:t xml:space="preserve"> </w:t>
      </w:r>
      <w:r>
        <w:rPr>
          <w:rFonts w:hint="eastAsia"/>
          <w:sz w:val="21"/>
        </w:rPr>
        <w:t>；心功能训练技术与临床应用；心功能训练注意事项</w:t>
      </w:r>
      <w:r>
        <w:rPr>
          <w:sz w:val="21"/>
        </w:rPr>
        <w:t xml:space="preserve">  </w:t>
      </w:r>
    </w:p>
    <w:p w:rsidR="003717A0" w:rsidRDefault="003717A0">
      <w:pPr>
        <w:pStyle w:val="a8"/>
        <w:numPr>
          <w:ilvl w:val="0"/>
          <w:numId w:val="410"/>
        </w:numPr>
        <w:tabs>
          <w:tab w:val="left" w:pos="1740"/>
        </w:tabs>
        <w:adjustRightInd w:val="0"/>
        <w:snapToGrid w:val="0"/>
        <w:spacing w:line="360" w:lineRule="auto"/>
        <w:ind w:right="4" w:hanging="340"/>
        <w:jc w:val="both"/>
        <w:rPr>
          <w:sz w:val="21"/>
        </w:rPr>
      </w:pPr>
      <w:r>
        <w:rPr>
          <w:rFonts w:hint="eastAsia"/>
          <w:sz w:val="21"/>
        </w:rPr>
        <w:t>有氧运动运动疗法的作用和特点</w:t>
      </w:r>
      <w:r>
        <w:rPr>
          <w:sz w:val="21"/>
        </w:rPr>
        <w:t xml:space="preserve"> </w:t>
      </w:r>
      <w:r>
        <w:rPr>
          <w:rFonts w:hint="eastAsia"/>
          <w:sz w:val="21"/>
        </w:rPr>
        <w:t>；有氧运动治疗技术与临床应用；</w:t>
      </w:r>
      <w:r>
        <w:rPr>
          <w:sz w:val="21"/>
        </w:rPr>
        <w:t xml:space="preserve"> </w:t>
      </w:r>
      <w:r>
        <w:rPr>
          <w:rFonts w:hint="eastAsia"/>
          <w:sz w:val="21"/>
        </w:rPr>
        <w:t>有氧运动治疗技术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411"/>
        </w:numPr>
        <w:adjustRightInd w:val="0"/>
        <w:snapToGrid w:val="0"/>
        <w:spacing w:line="360" w:lineRule="auto"/>
        <w:ind w:right="4"/>
        <w:rPr>
          <w:sz w:val="21"/>
        </w:rPr>
      </w:pPr>
      <w:r>
        <w:rPr>
          <w:rFonts w:hint="eastAsia"/>
          <w:sz w:val="21"/>
        </w:rPr>
        <w:t>掌握心、肺功能训练技术原理、方法</w:t>
      </w:r>
      <w:r>
        <w:rPr>
          <w:sz w:val="21"/>
        </w:rPr>
        <w:t xml:space="preserve"> </w:t>
      </w:r>
    </w:p>
    <w:p w:rsidR="003717A0" w:rsidRDefault="003717A0">
      <w:pPr>
        <w:pStyle w:val="a8"/>
        <w:numPr>
          <w:ilvl w:val="0"/>
          <w:numId w:val="411"/>
        </w:numPr>
        <w:adjustRightInd w:val="0"/>
        <w:snapToGrid w:val="0"/>
        <w:spacing w:line="360" w:lineRule="auto"/>
        <w:ind w:right="4"/>
        <w:rPr>
          <w:sz w:val="21"/>
        </w:rPr>
      </w:pPr>
      <w:r>
        <w:rPr>
          <w:rFonts w:hint="eastAsia"/>
          <w:sz w:val="21"/>
        </w:rPr>
        <w:t>熟悉有氧运动运动疗法的作用和特点</w:t>
      </w:r>
    </w:p>
    <w:p w:rsidR="003717A0" w:rsidRDefault="003717A0" w:rsidP="005E20B5">
      <w:pPr>
        <w:adjustRightInd w:val="0"/>
        <w:snapToGrid w:val="0"/>
        <w:spacing w:beforeLines="50" w:line="360" w:lineRule="auto"/>
        <w:ind w:right="6"/>
        <w:jc w:val="center"/>
        <w:rPr>
          <w:b/>
          <w:sz w:val="22"/>
        </w:rPr>
      </w:pPr>
      <w:r>
        <w:rPr>
          <w:rFonts w:hint="eastAsia"/>
          <w:b/>
          <w:sz w:val="22"/>
        </w:rPr>
        <w:t>第十五章</w:t>
      </w:r>
      <w:r>
        <w:rPr>
          <w:b/>
          <w:sz w:val="22"/>
        </w:rPr>
        <w:t xml:space="preserve">  </w:t>
      </w:r>
      <w:r>
        <w:rPr>
          <w:rFonts w:hint="eastAsia"/>
          <w:b/>
          <w:sz w:val="22"/>
        </w:rPr>
        <w:t>引导式教育</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12"/>
        </w:numPr>
        <w:adjustRightInd w:val="0"/>
        <w:snapToGrid w:val="0"/>
        <w:spacing w:line="360" w:lineRule="auto"/>
        <w:ind w:rightChars="2" w:right="4"/>
        <w:rPr>
          <w:sz w:val="21"/>
        </w:rPr>
      </w:pPr>
      <w:r>
        <w:rPr>
          <w:rFonts w:hint="eastAsia"/>
          <w:sz w:val="21"/>
        </w:rPr>
        <w:t>引导式教育的起源、理论体系</w:t>
      </w:r>
    </w:p>
    <w:p w:rsidR="003717A0" w:rsidRDefault="003717A0">
      <w:pPr>
        <w:pStyle w:val="a8"/>
        <w:numPr>
          <w:ilvl w:val="0"/>
          <w:numId w:val="412"/>
        </w:numPr>
        <w:adjustRightInd w:val="0"/>
        <w:snapToGrid w:val="0"/>
        <w:spacing w:line="360" w:lineRule="auto"/>
        <w:ind w:left="0" w:rightChars="2" w:right="4" w:firstLine="720"/>
        <w:rPr>
          <w:sz w:val="21"/>
        </w:rPr>
      </w:pPr>
      <w:r>
        <w:rPr>
          <w:rFonts w:hint="eastAsia"/>
          <w:sz w:val="21"/>
        </w:rPr>
        <w:t>引导式教育的疗育过程中需进行的几种基本动作模式</w:t>
      </w:r>
    </w:p>
    <w:p w:rsidR="003717A0" w:rsidRDefault="003717A0">
      <w:pPr>
        <w:pStyle w:val="a8"/>
        <w:numPr>
          <w:ilvl w:val="0"/>
          <w:numId w:val="412"/>
        </w:numPr>
        <w:adjustRightInd w:val="0"/>
        <w:snapToGrid w:val="0"/>
        <w:spacing w:line="360" w:lineRule="auto"/>
        <w:ind w:left="0" w:rightChars="2" w:right="4" w:firstLine="720"/>
        <w:rPr>
          <w:sz w:val="21"/>
        </w:rPr>
      </w:pPr>
      <w:r>
        <w:rPr>
          <w:rFonts w:hint="eastAsia"/>
          <w:sz w:val="21"/>
        </w:rPr>
        <w:t>引导式教育具体实施程序</w:t>
      </w:r>
    </w:p>
    <w:p w:rsidR="003717A0" w:rsidRDefault="003717A0">
      <w:pPr>
        <w:pStyle w:val="a8"/>
        <w:numPr>
          <w:ilvl w:val="0"/>
          <w:numId w:val="412"/>
        </w:numPr>
        <w:adjustRightInd w:val="0"/>
        <w:snapToGrid w:val="0"/>
        <w:spacing w:line="360" w:lineRule="auto"/>
        <w:ind w:left="0" w:rightChars="2" w:right="4" w:firstLine="720"/>
        <w:rPr>
          <w:sz w:val="21"/>
        </w:rPr>
      </w:pPr>
      <w:r>
        <w:rPr>
          <w:sz w:val="21"/>
        </w:rPr>
        <w:t xml:space="preserve"> </w:t>
      </w:r>
      <w:r>
        <w:rPr>
          <w:rFonts w:hint="eastAsia"/>
          <w:sz w:val="21"/>
        </w:rPr>
        <w:t>脑瘫患儿实施引导式教育训练方法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413"/>
        </w:numPr>
        <w:tabs>
          <w:tab w:val="left" w:pos="1740"/>
        </w:tabs>
        <w:adjustRightInd w:val="0"/>
        <w:snapToGrid w:val="0"/>
        <w:spacing w:line="360" w:lineRule="auto"/>
        <w:ind w:right="4"/>
        <w:rPr>
          <w:sz w:val="21"/>
        </w:rPr>
      </w:pPr>
      <w:r>
        <w:rPr>
          <w:rFonts w:hint="eastAsia"/>
          <w:sz w:val="21"/>
        </w:rPr>
        <w:t>引导式教育的起源、理论体系</w:t>
      </w:r>
    </w:p>
    <w:p w:rsidR="003717A0" w:rsidRDefault="003717A0">
      <w:pPr>
        <w:pStyle w:val="a8"/>
        <w:numPr>
          <w:ilvl w:val="0"/>
          <w:numId w:val="413"/>
        </w:numPr>
        <w:tabs>
          <w:tab w:val="left" w:pos="1740"/>
        </w:tabs>
        <w:adjustRightInd w:val="0"/>
        <w:snapToGrid w:val="0"/>
        <w:spacing w:line="360" w:lineRule="auto"/>
        <w:ind w:right="4" w:hanging="340"/>
        <w:rPr>
          <w:sz w:val="21"/>
        </w:rPr>
      </w:pPr>
      <w:r>
        <w:rPr>
          <w:rFonts w:hint="eastAsia"/>
          <w:sz w:val="21"/>
        </w:rPr>
        <w:t>引导式教育的疗育过程中需进行的几种基本动作模式</w:t>
      </w:r>
    </w:p>
    <w:p w:rsidR="003717A0" w:rsidRDefault="003717A0">
      <w:pPr>
        <w:pStyle w:val="a8"/>
        <w:numPr>
          <w:ilvl w:val="0"/>
          <w:numId w:val="413"/>
        </w:numPr>
        <w:tabs>
          <w:tab w:val="left" w:pos="1740"/>
        </w:tabs>
        <w:adjustRightInd w:val="0"/>
        <w:snapToGrid w:val="0"/>
        <w:spacing w:line="360" w:lineRule="auto"/>
        <w:ind w:right="4" w:hanging="340"/>
        <w:rPr>
          <w:sz w:val="21"/>
        </w:rPr>
      </w:pPr>
      <w:r>
        <w:rPr>
          <w:rFonts w:hint="eastAsia"/>
          <w:sz w:val="21"/>
        </w:rPr>
        <w:lastRenderedPageBreak/>
        <w:t>引导式教育具体实施程序</w:t>
      </w:r>
    </w:p>
    <w:p w:rsidR="003717A0" w:rsidRDefault="003717A0">
      <w:pPr>
        <w:pStyle w:val="a8"/>
        <w:numPr>
          <w:ilvl w:val="0"/>
          <w:numId w:val="413"/>
        </w:numPr>
        <w:tabs>
          <w:tab w:val="left" w:pos="1740"/>
        </w:tabs>
        <w:adjustRightInd w:val="0"/>
        <w:snapToGrid w:val="0"/>
        <w:spacing w:line="360" w:lineRule="auto"/>
        <w:ind w:right="4" w:hanging="340"/>
        <w:jc w:val="both"/>
        <w:rPr>
          <w:sz w:val="21"/>
        </w:rPr>
      </w:pPr>
      <w:r>
        <w:rPr>
          <w:sz w:val="21"/>
        </w:rPr>
        <w:t xml:space="preserve"> </w:t>
      </w:r>
      <w:r>
        <w:rPr>
          <w:rFonts w:hint="eastAsia"/>
          <w:sz w:val="21"/>
        </w:rPr>
        <w:t>脑瘫患儿实施引导式教育训练方法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adjustRightInd w:val="0"/>
        <w:snapToGrid w:val="0"/>
        <w:spacing w:line="360" w:lineRule="auto"/>
        <w:ind w:left="1060" w:rightChars="2" w:right="4"/>
        <w:rPr>
          <w:sz w:val="21"/>
        </w:rPr>
      </w:pPr>
      <w:r>
        <w:rPr>
          <w:rFonts w:hint="eastAsia"/>
          <w:sz w:val="21"/>
        </w:rPr>
        <w:t>掌握引导式教育实施方法</w:t>
      </w:r>
    </w:p>
    <w:p w:rsidR="003717A0" w:rsidRDefault="003717A0" w:rsidP="005E20B5">
      <w:pPr>
        <w:adjustRightInd w:val="0"/>
        <w:snapToGrid w:val="0"/>
        <w:spacing w:beforeLines="50" w:line="360" w:lineRule="auto"/>
        <w:ind w:right="6"/>
        <w:jc w:val="center"/>
        <w:rPr>
          <w:b/>
          <w:sz w:val="22"/>
        </w:rPr>
      </w:pPr>
      <w:r>
        <w:rPr>
          <w:rFonts w:hint="eastAsia"/>
          <w:b/>
          <w:sz w:val="22"/>
        </w:rPr>
        <w:t>第十六章</w:t>
      </w:r>
      <w:r>
        <w:rPr>
          <w:b/>
          <w:sz w:val="22"/>
        </w:rPr>
        <w:t xml:space="preserve"> </w:t>
      </w:r>
      <w:r>
        <w:rPr>
          <w:rFonts w:hint="eastAsia"/>
          <w:b/>
          <w:sz w:val="22"/>
        </w:rPr>
        <w:t>虚拟现实技术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14"/>
        </w:numPr>
        <w:adjustRightInd w:val="0"/>
        <w:snapToGrid w:val="0"/>
        <w:spacing w:line="360" w:lineRule="auto"/>
        <w:ind w:rightChars="2" w:right="4"/>
        <w:rPr>
          <w:sz w:val="21"/>
        </w:rPr>
      </w:pPr>
      <w:r>
        <w:rPr>
          <w:rFonts w:hint="eastAsia"/>
          <w:sz w:val="21"/>
        </w:rPr>
        <w:t>虚拟现实技术的概念</w:t>
      </w:r>
    </w:p>
    <w:p w:rsidR="003717A0" w:rsidRDefault="003717A0">
      <w:pPr>
        <w:pStyle w:val="a8"/>
        <w:numPr>
          <w:ilvl w:val="0"/>
          <w:numId w:val="414"/>
        </w:numPr>
        <w:adjustRightInd w:val="0"/>
        <w:snapToGrid w:val="0"/>
        <w:spacing w:line="360" w:lineRule="auto"/>
        <w:ind w:left="0" w:rightChars="2" w:right="4" w:firstLine="720"/>
        <w:rPr>
          <w:sz w:val="21"/>
        </w:rPr>
      </w:pPr>
      <w:r>
        <w:rPr>
          <w:rFonts w:hint="eastAsia"/>
          <w:sz w:val="21"/>
        </w:rPr>
        <w:t>虚拟现实技术在康复训练中的应用</w:t>
      </w:r>
    </w:p>
    <w:p w:rsidR="003717A0" w:rsidRDefault="003717A0">
      <w:pPr>
        <w:pStyle w:val="a8"/>
        <w:numPr>
          <w:ilvl w:val="0"/>
          <w:numId w:val="414"/>
        </w:numPr>
        <w:adjustRightInd w:val="0"/>
        <w:snapToGrid w:val="0"/>
        <w:spacing w:line="360" w:lineRule="auto"/>
        <w:ind w:left="0" w:rightChars="2" w:right="4" w:firstLine="720"/>
        <w:rPr>
          <w:sz w:val="21"/>
        </w:rPr>
      </w:pPr>
      <w:r>
        <w:rPr>
          <w:rFonts w:hint="eastAsia"/>
          <w:sz w:val="21"/>
        </w:rPr>
        <w:t>国内使用的几种</w:t>
      </w:r>
      <w:r>
        <w:rPr>
          <w:sz w:val="21"/>
        </w:rPr>
        <w:t>VR</w:t>
      </w:r>
      <w:r>
        <w:rPr>
          <w:rFonts w:hint="eastAsia"/>
          <w:sz w:val="21"/>
        </w:rPr>
        <w:t>仪器设备</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tabs>
          <w:tab w:val="left" w:pos="1740"/>
        </w:tabs>
        <w:adjustRightInd w:val="0"/>
        <w:snapToGrid w:val="0"/>
        <w:spacing w:line="360" w:lineRule="auto"/>
        <w:ind w:left="1060" w:right="4"/>
        <w:jc w:val="both"/>
        <w:rPr>
          <w:sz w:val="21"/>
        </w:rPr>
      </w:pPr>
      <w:r>
        <w:rPr>
          <w:rFonts w:hint="eastAsia"/>
          <w:sz w:val="21"/>
        </w:rPr>
        <w:t>虚拟现实技术在康复训练中的应用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415"/>
        </w:numPr>
        <w:adjustRightInd w:val="0"/>
        <w:snapToGrid w:val="0"/>
        <w:spacing w:line="360" w:lineRule="auto"/>
        <w:ind w:left="0" w:rightChars="2" w:right="4" w:firstLine="720"/>
        <w:rPr>
          <w:sz w:val="21"/>
        </w:rPr>
      </w:pPr>
      <w:r>
        <w:rPr>
          <w:rFonts w:hint="eastAsia"/>
          <w:sz w:val="21"/>
        </w:rPr>
        <w:t>了解虚拟现实技术的概念</w:t>
      </w:r>
    </w:p>
    <w:p w:rsidR="003717A0" w:rsidRDefault="003717A0">
      <w:pPr>
        <w:pStyle w:val="a8"/>
        <w:numPr>
          <w:ilvl w:val="0"/>
          <w:numId w:val="415"/>
        </w:numPr>
        <w:adjustRightInd w:val="0"/>
        <w:snapToGrid w:val="0"/>
        <w:spacing w:line="360" w:lineRule="auto"/>
        <w:ind w:left="0" w:rightChars="2" w:right="4" w:firstLine="720"/>
        <w:rPr>
          <w:sz w:val="21"/>
        </w:rPr>
      </w:pPr>
      <w:r>
        <w:rPr>
          <w:rFonts w:hint="eastAsia"/>
          <w:sz w:val="21"/>
        </w:rPr>
        <w:t>熟悉虚拟现实技术在康复训练中的应用</w:t>
      </w:r>
    </w:p>
    <w:p w:rsidR="003717A0" w:rsidRDefault="003717A0">
      <w:pPr>
        <w:pStyle w:val="a8"/>
        <w:numPr>
          <w:ilvl w:val="0"/>
          <w:numId w:val="415"/>
        </w:numPr>
        <w:adjustRightInd w:val="0"/>
        <w:snapToGrid w:val="0"/>
        <w:spacing w:line="360" w:lineRule="auto"/>
        <w:ind w:left="0" w:rightChars="2" w:right="4" w:firstLine="720"/>
        <w:rPr>
          <w:sz w:val="21"/>
        </w:rPr>
      </w:pPr>
      <w:r>
        <w:rPr>
          <w:rFonts w:hint="eastAsia"/>
          <w:sz w:val="21"/>
        </w:rPr>
        <w:t>熟悉国内使用的几种</w:t>
      </w:r>
      <w:r>
        <w:rPr>
          <w:sz w:val="21"/>
        </w:rPr>
        <w:t>VR</w:t>
      </w:r>
      <w:r>
        <w:rPr>
          <w:rFonts w:hint="eastAsia"/>
          <w:sz w:val="21"/>
        </w:rPr>
        <w:t>仪器设备</w:t>
      </w:r>
    </w:p>
    <w:p w:rsidR="003717A0" w:rsidRDefault="003717A0" w:rsidP="005E20B5">
      <w:pPr>
        <w:adjustRightInd w:val="0"/>
        <w:snapToGrid w:val="0"/>
        <w:spacing w:beforeLines="50" w:line="360" w:lineRule="auto"/>
        <w:ind w:right="6"/>
        <w:jc w:val="center"/>
        <w:rPr>
          <w:b/>
          <w:sz w:val="22"/>
        </w:rPr>
      </w:pPr>
      <w:r>
        <w:rPr>
          <w:rFonts w:hint="eastAsia"/>
          <w:b/>
          <w:sz w:val="22"/>
        </w:rPr>
        <w:t>第十七章</w:t>
      </w:r>
      <w:r>
        <w:rPr>
          <w:b/>
          <w:sz w:val="22"/>
        </w:rPr>
        <w:t xml:space="preserve">  </w:t>
      </w:r>
      <w:r>
        <w:rPr>
          <w:rFonts w:hint="eastAsia"/>
          <w:b/>
          <w:sz w:val="22"/>
        </w:rPr>
        <w:t>机器人辅助康复治疗技术</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pStyle w:val="a8"/>
        <w:numPr>
          <w:ilvl w:val="0"/>
          <w:numId w:val="416"/>
        </w:numPr>
        <w:adjustRightInd w:val="0"/>
        <w:snapToGrid w:val="0"/>
        <w:spacing w:line="360" w:lineRule="auto"/>
        <w:ind w:rightChars="2" w:right="4"/>
        <w:rPr>
          <w:sz w:val="21"/>
        </w:rPr>
      </w:pPr>
      <w:r>
        <w:rPr>
          <w:rFonts w:hint="eastAsia"/>
          <w:sz w:val="21"/>
        </w:rPr>
        <w:t>康复机器人的概念</w:t>
      </w:r>
    </w:p>
    <w:p w:rsidR="003717A0" w:rsidRDefault="003717A0">
      <w:pPr>
        <w:pStyle w:val="a8"/>
        <w:numPr>
          <w:ilvl w:val="0"/>
          <w:numId w:val="416"/>
        </w:numPr>
        <w:adjustRightInd w:val="0"/>
        <w:snapToGrid w:val="0"/>
        <w:spacing w:line="360" w:lineRule="auto"/>
        <w:ind w:left="0" w:rightChars="2" w:right="4" w:firstLine="720"/>
        <w:rPr>
          <w:sz w:val="21"/>
        </w:rPr>
      </w:pPr>
      <w:r>
        <w:rPr>
          <w:rFonts w:hint="eastAsia"/>
          <w:sz w:val="21"/>
        </w:rPr>
        <w:t>治疗型康复机器人的产品分类</w:t>
      </w:r>
    </w:p>
    <w:p w:rsidR="003717A0" w:rsidRDefault="003717A0">
      <w:pPr>
        <w:pStyle w:val="a8"/>
        <w:numPr>
          <w:ilvl w:val="0"/>
          <w:numId w:val="416"/>
        </w:numPr>
        <w:adjustRightInd w:val="0"/>
        <w:snapToGrid w:val="0"/>
        <w:spacing w:line="360" w:lineRule="auto"/>
        <w:ind w:left="0" w:rightChars="2" w:right="4" w:firstLine="720"/>
        <w:rPr>
          <w:sz w:val="21"/>
        </w:rPr>
      </w:pPr>
      <w:r>
        <w:rPr>
          <w:rFonts w:hint="eastAsia"/>
          <w:sz w:val="21"/>
        </w:rPr>
        <w:t>康复机器人的设计特征</w:t>
      </w:r>
    </w:p>
    <w:p w:rsidR="003717A0" w:rsidRDefault="003717A0">
      <w:pPr>
        <w:pStyle w:val="a8"/>
        <w:numPr>
          <w:ilvl w:val="0"/>
          <w:numId w:val="416"/>
        </w:numPr>
        <w:adjustRightInd w:val="0"/>
        <w:snapToGrid w:val="0"/>
        <w:spacing w:line="360" w:lineRule="auto"/>
        <w:ind w:left="0" w:rightChars="2" w:right="4" w:firstLine="720"/>
        <w:rPr>
          <w:sz w:val="21"/>
        </w:rPr>
      </w:pPr>
      <w:r>
        <w:rPr>
          <w:rFonts w:hint="eastAsia"/>
          <w:sz w:val="21"/>
        </w:rPr>
        <w:t>机器人辅助肢体功能训练</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pStyle w:val="a8"/>
        <w:numPr>
          <w:ilvl w:val="0"/>
          <w:numId w:val="417"/>
        </w:numPr>
        <w:adjustRightInd w:val="0"/>
        <w:snapToGrid w:val="0"/>
        <w:spacing w:line="360" w:lineRule="auto"/>
        <w:ind w:rightChars="2" w:right="4"/>
        <w:rPr>
          <w:sz w:val="21"/>
        </w:rPr>
      </w:pPr>
      <w:r>
        <w:rPr>
          <w:rFonts w:hint="eastAsia"/>
          <w:sz w:val="21"/>
        </w:rPr>
        <w:t>康复机器人的设计特征</w:t>
      </w:r>
    </w:p>
    <w:p w:rsidR="003717A0" w:rsidRDefault="003717A0">
      <w:pPr>
        <w:pStyle w:val="a8"/>
        <w:numPr>
          <w:ilvl w:val="0"/>
          <w:numId w:val="417"/>
        </w:numPr>
        <w:adjustRightInd w:val="0"/>
        <w:snapToGrid w:val="0"/>
        <w:spacing w:line="360" w:lineRule="auto"/>
        <w:ind w:rightChars="2" w:right="4"/>
        <w:rPr>
          <w:sz w:val="21"/>
        </w:rPr>
      </w:pPr>
      <w:r>
        <w:rPr>
          <w:rFonts w:hint="eastAsia"/>
          <w:sz w:val="21"/>
        </w:rPr>
        <w:t>机器人辅助上肢功能训练</w:t>
      </w:r>
    </w:p>
    <w:p w:rsidR="003717A0" w:rsidRDefault="003717A0">
      <w:pPr>
        <w:pStyle w:val="a8"/>
        <w:numPr>
          <w:ilvl w:val="0"/>
          <w:numId w:val="417"/>
        </w:numPr>
        <w:adjustRightInd w:val="0"/>
        <w:snapToGrid w:val="0"/>
        <w:spacing w:line="360" w:lineRule="auto"/>
        <w:ind w:rightChars="2" w:right="4"/>
        <w:rPr>
          <w:sz w:val="21"/>
        </w:rPr>
      </w:pPr>
      <w:r>
        <w:rPr>
          <w:rFonts w:hint="eastAsia"/>
          <w:sz w:val="21"/>
        </w:rPr>
        <w:t>机器人辅助下肢功能训练</w:t>
      </w:r>
    </w:p>
    <w:p w:rsidR="003717A0" w:rsidRDefault="003717A0">
      <w:pPr>
        <w:pStyle w:val="a8"/>
        <w:numPr>
          <w:ilvl w:val="0"/>
          <w:numId w:val="417"/>
        </w:numPr>
        <w:adjustRightInd w:val="0"/>
        <w:snapToGrid w:val="0"/>
        <w:spacing w:line="360" w:lineRule="auto"/>
        <w:ind w:rightChars="2" w:right="4"/>
        <w:rPr>
          <w:sz w:val="21"/>
        </w:rPr>
      </w:pPr>
      <w:r>
        <w:rPr>
          <w:rFonts w:hint="eastAsia"/>
          <w:sz w:val="21"/>
        </w:rPr>
        <w:t>机器人辅助跑台训练</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pStyle w:val="a8"/>
        <w:numPr>
          <w:ilvl w:val="0"/>
          <w:numId w:val="418"/>
        </w:numPr>
        <w:adjustRightInd w:val="0"/>
        <w:snapToGrid w:val="0"/>
        <w:spacing w:line="360" w:lineRule="auto"/>
        <w:ind w:rightChars="2" w:right="4"/>
        <w:rPr>
          <w:sz w:val="21"/>
        </w:rPr>
      </w:pPr>
      <w:r>
        <w:rPr>
          <w:rFonts w:hint="eastAsia"/>
          <w:sz w:val="21"/>
        </w:rPr>
        <w:t>了解康复机器人的概念</w:t>
      </w:r>
    </w:p>
    <w:p w:rsidR="003717A0" w:rsidRDefault="003717A0">
      <w:pPr>
        <w:pStyle w:val="a8"/>
        <w:numPr>
          <w:ilvl w:val="0"/>
          <w:numId w:val="418"/>
        </w:numPr>
        <w:adjustRightInd w:val="0"/>
        <w:snapToGrid w:val="0"/>
        <w:spacing w:line="360" w:lineRule="auto"/>
        <w:ind w:rightChars="2" w:right="4"/>
        <w:rPr>
          <w:sz w:val="21"/>
        </w:rPr>
      </w:pPr>
      <w:r>
        <w:rPr>
          <w:rFonts w:hint="eastAsia"/>
          <w:sz w:val="21"/>
        </w:rPr>
        <w:t>熟悉治疗型康复机器人的产品分类和康复机器人的设计特征</w:t>
      </w:r>
    </w:p>
    <w:p w:rsidR="003717A0" w:rsidRDefault="003717A0">
      <w:pPr>
        <w:pStyle w:val="a8"/>
        <w:numPr>
          <w:ilvl w:val="0"/>
          <w:numId w:val="418"/>
        </w:numPr>
        <w:adjustRightInd w:val="0"/>
        <w:snapToGrid w:val="0"/>
        <w:spacing w:line="360" w:lineRule="auto"/>
        <w:ind w:rightChars="2" w:right="4"/>
        <w:rPr>
          <w:sz w:val="21"/>
        </w:rPr>
      </w:pPr>
      <w:r>
        <w:rPr>
          <w:rFonts w:hint="eastAsia"/>
          <w:sz w:val="21"/>
        </w:rPr>
        <w:t>熟悉机器人辅助肢体功能训练</w:t>
      </w:r>
    </w:p>
    <w:p w:rsidR="003717A0" w:rsidRDefault="003717A0">
      <w:pPr>
        <w:adjustRightInd w:val="0"/>
        <w:snapToGrid w:val="0"/>
        <w:spacing w:line="360" w:lineRule="auto"/>
        <w:ind w:left="709" w:right="4"/>
      </w:pP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260"/>
        <w:gridCol w:w="709"/>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260"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lastRenderedPageBreak/>
              <w:t>（具体章节或实验）</w:t>
            </w:r>
          </w:p>
        </w:tc>
        <w:tc>
          <w:tcPr>
            <w:tcW w:w="709" w:type="dxa"/>
            <w:vAlign w:val="center"/>
          </w:tcPr>
          <w:p w:rsidR="003717A0" w:rsidRDefault="003717A0">
            <w:pPr>
              <w:jc w:val="center"/>
              <w:rPr>
                <w:sz w:val="24"/>
              </w:rPr>
            </w:pPr>
            <w:r>
              <w:rPr>
                <w:rFonts w:hint="eastAsia"/>
                <w:sz w:val="24"/>
              </w:rPr>
              <w:lastRenderedPageBreak/>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lastRenderedPageBreak/>
              <w:t>1</w:t>
            </w:r>
          </w:p>
        </w:tc>
        <w:tc>
          <w:tcPr>
            <w:tcW w:w="3260" w:type="dxa"/>
          </w:tcPr>
          <w:p w:rsidR="003717A0" w:rsidRDefault="003717A0">
            <w:pPr>
              <w:rPr>
                <w:rFonts w:ascii="Times New Roman" w:hAnsi="Times New Roman"/>
              </w:rPr>
            </w:pPr>
            <w:r>
              <w:rPr>
                <w:rFonts w:ascii="Arial" w:hAnsi="Arial" w:hint="eastAsia"/>
                <w:szCs w:val="21"/>
                <w:shd w:val="clear" w:color="auto" w:fill="FFFFFF"/>
              </w:rPr>
              <w:t>概述</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关节活动技术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体位转移技术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肌肉牵伸技术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关节松动技术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肌力训练技术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牵引疗法</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平衡与协调训练</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步行功能训练</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神经发育疗法</w:t>
            </w:r>
          </w:p>
        </w:tc>
        <w:tc>
          <w:tcPr>
            <w:tcW w:w="709" w:type="dxa"/>
            <w:vAlign w:val="center"/>
          </w:tcPr>
          <w:p w:rsidR="003717A0" w:rsidRDefault="003717A0">
            <w:pPr>
              <w:jc w:val="center"/>
              <w:rPr>
                <w:rFonts w:ascii="Times New Roman" w:hAnsi="Times New Roman"/>
              </w:rPr>
            </w:pPr>
            <w:r>
              <w:rPr>
                <w:rFonts w:ascii="Times New Roman" w:hAnsi="Times New Roman"/>
              </w:rPr>
              <w:t>6</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11</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本体神经肌肉促进技术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运动再学习技术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强制性使用运动疗法</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心肺功能训练</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引导式教育</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虚拟现实技术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机器人辅助康复治疗</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260"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54</w:t>
            </w:r>
          </w:p>
        </w:tc>
        <w:tc>
          <w:tcPr>
            <w:tcW w:w="3260"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rPr>
          <w:b/>
          <w:bCs/>
          <w:sz w:val="28"/>
          <w:szCs w:val="28"/>
        </w:rPr>
      </w:pPr>
    </w:p>
    <w:p w:rsidR="003717A0" w:rsidRDefault="003717A0">
      <w:pPr>
        <w:adjustRightInd w:val="0"/>
        <w:snapToGrid w:val="0"/>
        <w:spacing w:line="360" w:lineRule="auto"/>
        <w:jc w:val="center"/>
        <w:rPr>
          <w:b/>
          <w:bCs/>
          <w:sz w:val="28"/>
          <w:szCs w:val="28"/>
        </w:rPr>
      </w:pPr>
      <w:r>
        <w:rPr>
          <w:rFonts w:hint="eastAsia"/>
          <w:b/>
          <w:bCs/>
          <w:sz w:val="28"/>
          <w:szCs w:val="28"/>
        </w:rPr>
        <w:t>实验课学时分配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260"/>
        <w:gridCol w:w="709"/>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260" w:type="dxa"/>
            <w:vAlign w:val="center"/>
          </w:tcPr>
          <w:p w:rsidR="003717A0" w:rsidRDefault="003717A0">
            <w:pPr>
              <w:adjustRightInd w:val="0"/>
              <w:snapToGrid w:val="0"/>
              <w:jc w:val="center"/>
              <w:rPr>
                <w:sz w:val="24"/>
              </w:rPr>
            </w:pPr>
            <w:r>
              <w:rPr>
                <w:rFonts w:hint="eastAsia"/>
                <w:sz w:val="24"/>
              </w:rPr>
              <w:t>实验内容</w:t>
            </w:r>
          </w:p>
          <w:p w:rsidR="003717A0" w:rsidRDefault="003717A0">
            <w:pPr>
              <w:adjustRightInd w:val="0"/>
              <w:snapToGrid w:val="0"/>
              <w:jc w:val="center"/>
              <w:rPr>
                <w:sz w:val="24"/>
              </w:rPr>
            </w:pPr>
            <w:r>
              <w:rPr>
                <w:rFonts w:hint="eastAsia"/>
                <w:sz w:val="24"/>
              </w:rPr>
              <w:t>（具体章节或实验）</w:t>
            </w:r>
          </w:p>
        </w:tc>
        <w:tc>
          <w:tcPr>
            <w:tcW w:w="709"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260" w:type="dxa"/>
          </w:tcPr>
          <w:p w:rsidR="003717A0" w:rsidRDefault="003717A0">
            <w:pPr>
              <w:rPr>
                <w:rFonts w:ascii="Times New Roman" w:hAnsi="Times New Roman"/>
              </w:rPr>
            </w:pPr>
            <w:r>
              <w:rPr>
                <w:rFonts w:ascii="Arial" w:hAnsi="Arial" w:hint="eastAsia"/>
                <w:szCs w:val="21"/>
                <w:shd w:val="clear" w:color="auto" w:fill="FFFFFF"/>
              </w:rPr>
              <w:t>概述</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关节活动技术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体位转移技术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肌肉牵伸技术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关节松动技术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肌力训练技术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牵引疗法</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8</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平衡与协调训练</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9</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步行功能训练</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10</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神经发育疗法</w:t>
            </w:r>
          </w:p>
        </w:tc>
        <w:tc>
          <w:tcPr>
            <w:tcW w:w="709" w:type="dxa"/>
            <w:vAlign w:val="center"/>
          </w:tcPr>
          <w:p w:rsidR="003717A0" w:rsidRDefault="003717A0">
            <w:pPr>
              <w:jc w:val="center"/>
              <w:rPr>
                <w:rFonts w:ascii="Times New Roman" w:hAnsi="Times New Roman"/>
              </w:rPr>
            </w:pPr>
            <w:r>
              <w:rPr>
                <w:rFonts w:ascii="Times New Roman" w:hAnsi="Times New Roman"/>
              </w:rPr>
              <w:t>6</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11</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本体神经肌肉促进技术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12</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运动再学习技术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13</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强制性使用运动疗法</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14</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心肺功能训练</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15</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引导式教育</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16</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虚拟现实技术</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17</w:t>
            </w:r>
          </w:p>
        </w:tc>
        <w:tc>
          <w:tcPr>
            <w:tcW w:w="3260" w:type="dxa"/>
          </w:tcPr>
          <w:p w:rsidR="003717A0" w:rsidRDefault="003717A0">
            <w:pPr>
              <w:rPr>
                <w:rFonts w:ascii="Arial" w:hAnsi="Arial"/>
                <w:szCs w:val="21"/>
                <w:shd w:val="clear" w:color="auto" w:fill="FFFFFF"/>
              </w:rPr>
            </w:pPr>
            <w:r>
              <w:rPr>
                <w:rFonts w:ascii="Arial" w:hAnsi="Arial" w:hint="eastAsia"/>
                <w:szCs w:val="21"/>
                <w:shd w:val="clear" w:color="auto" w:fill="FFFFFF"/>
              </w:rPr>
              <w:t>机器人辅助康复治疗</w:t>
            </w:r>
          </w:p>
        </w:tc>
        <w:tc>
          <w:tcPr>
            <w:tcW w:w="709"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260" w:type="dxa"/>
          </w:tcPr>
          <w:p w:rsidR="003717A0" w:rsidRDefault="003717A0">
            <w:pPr>
              <w:ind w:firstLineChars="53" w:firstLine="111"/>
              <w:rPr>
                <w:rFonts w:ascii="Times New Roman" w:hAnsi="Times New Roman"/>
              </w:rPr>
            </w:pPr>
            <w:r>
              <w:rPr>
                <w:rFonts w:ascii="Times New Roman" w:hint="eastAsia"/>
              </w:rPr>
              <w:t>合　计</w:t>
            </w:r>
          </w:p>
        </w:tc>
        <w:tc>
          <w:tcPr>
            <w:tcW w:w="709" w:type="dxa"/>
            <w:vAlign w:val="center"/>
          </w:tcPr>
          <w:p w:rsidR="003717A0" w:rsidRDefault="003717A0">
            <w:pPr>
              <w:jc w:val="center"/>
              <w:rPr>
                <w:rFonts w:ascii="Times New Roman" w:hAnsi="Times New Roman"/>
              </w:rPr>
            </w:pPr>
            <w:r>
              <w:rPr>
                <w:rFonts w:ascii="Times New Roman" w:hAnsi="Times New Roman"/>
              </w:rPr>
              <w:t>54</w:t>
            </w:r>
          </w:p>
        </w:tc>
        <w:tc>
          <w:tcPr>
            <w:tcW w:w="3260"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多媒体教室、康复治疗实验室、附属医院康复治疗中心等；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多媒体教学课件、各种康复器械、各种评定工具等。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理论课教材：燕铁斌主编，《物理治疗学》，人民卫生出版社，</w:t>
      </w:r>
      <w:r>
        <w:rPr>
          <w:rFonts w:ascii="Times New Roman" w:hAnsi="Times New Roman"/>
        </w:rPr>
        <w:t>2013.8</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实验课教材：燕铁斌主编，《物理治疗学》，人民卫生出版社，</w:t>
      </w:r>
      <w:r>
        <w:rPr>
          <w:rFonts w:ascii="Times New Roman" w:hAnsi="Times New Roman"/>
        </w:rPr>
        <w:t>2013.8</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rsidP="004D1806">
      <w:pPr>
        <w:numPr>
          <w:ilvl w:val="0"/>
          <w:numId w:val="570"/>
        </w:numPr>
        <w:adjustRightInd w:val="0"/>
        <w:snapToGrid w:val="0"/>
        <w:spacing w:line="360" w:lineRule="auto"/>
        <w:ind w:left="0" w:right="4" w:firstLine="480"/>
        <w:rPr>
          <w:rFonts w:ascii="Times New Roman" w:hAnsi="Times New Roman"/>
        </w:rPr>
      </w:pPr>
      <w:r>
        <w:rPr>
          <w:rFonts w:ascii="Times New Roman" w:hAnsi="Times New Roman" w:hint="eastAsia"/>
        </w:rPr>
        <w:t>王玉龙主编，《康复功能评定学》，人民卫生出版社，</w:t>
      </w:r>
      <w:r>
        <w:rPr>
          <w:rFonts w:ascii="Times New Roman" w:hAnsi="Times New Roman"/>
        </w:rPr>
        <w:t xml:space="preserve">2013.3 </w:t>
      </w:r>
    </w:p>
    <w:p w:rsidR="003717A0" w:rsidRDefault="003717A0" w:rsidP="004D1806">
      <w:pPr>
        <w:numPr>
          <w:ilvl w:val="0"/>
          <w:numId w:val="570"/>
        </w:numPr>
        <w:adjustRightInd w:val="0"/>
        <w:snapToGrid w:val="0"/>
        <w:spacing w:line="360" w:lineRule="auto"/>
        <w:ind w:left="0" w:right="4" w:firstLine="480"/>
        <w:rPr>
          <w:rFonts w:ascii="Times New Roman" w:hAnsi="Times New Roman"/>
        </w:rPr>
      </w:pPr>
      <w:r>
        <w:rPr>
          <w:rFonts w:ascii="Times New Roman" w:hAnsi="Times New Roman" w:hint="eastAsia"/>
        </w:rPr>
        <w:t>国内外医学院校康复评定学专业及教研室的相关网站</w:t>
      </w: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制定人：蔡俊燕</w:t>
      </w:r>
    </w:p>
    <w:p w:rsidR="003717A0" w:rsidRDefault="00097A14" w:rsidP="005E20B5">
      <w:pPr>
        <w:adjustRightInd w:val="0"/>
        <w:snapToGrid w:val="0"/>
        <w:spacing w:beforeLines="50" w:afterLines="50" w:line="360" w:lineRule="auto"/>
        <w:jc w:val="center"/>
        <w:rPr>
          <w:rFonts w:ascii="黑体" w:eastAsia="黑体" w:cs="黑体"/>
          <w:kern w:val="0"/>
          <w:szCs w:val="21"/>
        </w:rPr>
      </w:pPr>
      <w:r>
        <w:rPr>
          <w:rFonts w:ascii="黑体" w:eastAsia="黑体" w:cs="黑体"/>
          <w:kern w:val="0"/>
          <w:szCs w:val="21"/>
        </w:rPr>
        <w:t xml:space="preserve">                       </w:t>
      </w:r>
      <w:r w:rsidR="004D1806">
        <w:rPr>
          <w:rFonts w:ascii="黑体" w:eastAsia="黑体" w:cs="黑体"/>
          <w:kern w:val="0"/>
          <w:szCs w:val="21"/>
        </w:rPr>
        <w:t xml:space="preserve">     </w:t>
      </w:r>
      <w:r w:rsidR="003717A0">
        <w:rPr>
          <w:rFonts w:ascii="黑体" w:eastAsia="黑体" w:cs="黑体"/>
          <w:kern w:val="0"/>
          <w:szCs w:val="21"/>
        </w:rPr>
        <w:t xml:space="preserve">      </w:t>
      </w:r>
      <w:r w:rsidR="003717A0">
        <w:rPr>
          <w:rFonts w:ascii="黑体" w:eastAsia="黑体" w:cs="黑体" w:hint="eastAsia"/>
          <w:kern w:val="0"/>
          <w:szCs w:val="21"/>
        </w:rPr>
        <w:t>审核人：沈光宇</w:t>
      </w:r>
    </w:p>
    <w:p w:rsidR="003717A0" w:rsidRPr="00F5156D" w:rsidRDefault="003717A0" w:rsidP="00F5156D">
      <w:pPr>
        <w:widowControl/>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360" w:lineRule="auto"/>
        <w:ind w:left="510"/>
        <w:jc w:val="left"/>
        <w:rPr>
          <w:rFonts w:ascii="Times New Roman" w:eastAsia="黑体" w:hAnsi="Times New Roman"/>
          <w:b/>
          <w:kern w:val="0"/>
          <w:sz w:val="24"/>
          <w:szCs w:val="24"/>
        </w:rPr>
      </w:pPr>
      <w:r>
        <w:rPr>
          <w:rFonts w:ascii="Times New Roman" w:hint="eastAsia"/>
        </w:rPr>
        <w:t>修读完本课程规定内容的康复治疗学专业的本科学生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各种评定方法的理解和掌握情况，包括关节活动技术、体位转移技术、肌肉牵伸技术、关节松动术、肌力训练技术、牵引疗法、平衡与协调训练、步行功能训练、神经发育疗法、本体神经肌肉促进技术、运动再学习技术、强制性使用运动疗法、心肺功能训练、引导式教育、虚拟现实技术等。通过本课程的学习，学生应对常见的物理治疗方法有一定的了解和掌握。</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期末闭卷理论考核和实验操作考核。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eastAsia="楷体_GB2312" w:hAnsi="Times New Roman"/>
          <w:sz w:val="24"/>
          <w:szCs w:val="24"/>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物理治疗对人体的作用。物理治疗方法的发展及展望。常见物理治疗方法的实施和注意事项。</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《物理治疗学》是康复治疗学专业教学计划中的一门重要的课程，它是每一个物理治疗师和作业治疗师必须掌握的基本技能，是康复治疗专业主要的专业必修课之一。</w:t>
      </w:r>
      <w:r>
        <w:rPr>
          <w:rFonts w:ascii="宋体" w:hAnsi="宋体"/>
          <w:szCs w:val="21"/>
        </w:rPr>
        <w:t xml:space="preserve">  </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本课程的考试，主要是考核学生对物理治疗学的基本概念、基本理论的理解程度；考核学生掌握物理疗法的操作技术及其熟练程度；考核学生综合运用所学知识分析问题和解决问题的能力。。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康复功能评定学课程考试试题</w:t>
      </w:r>
    </w:p>
    <w:p w:rsidR="003717A0" w:rsidRDefault="003717A0">
      <w:pPr>
        <w:autoSpaceDE w:val="0"/>
        <w:autoSpaceDN w:val="0"/>
        <w:adjustRightInd w:val="0"/>
        <w:snapToGrid w:val="0"/>
        <w:spacing w:line="440" w:lineRule="exact"/>
        <w:jc w:val="center"/>
        <w:rPr>
          <w:rFonts w:ascii="宋体"/>
          <w:sz w:val="22"/>
        </w:rPr>
      </w:pPr>
      <w:r>
        <w:rPr>
          <w:rFonts w:ascii="宋体" w:hAnsi="宋体"/>
          <w:sz w:val="22"/>
          <w:u w:val="single"/>
        </w:rPr>
        <w:t xml:space="preserve">X X X X --- X X X </w:t>
      </w:r>
      <w:r>
        <w:rPr>
          <w:rFonts w:ascii="宋体" w:hAnsi="宋体" w:hint="eastAsia"/>
          <w:sz w:val="22"/>
        </w:rPr>
        <w:t>学年</w:t>
      </w:r>
      <w:r>
        <w:rPr>
          <w:rFonts w:ascii="宋体" w:hAnsi="宋体"/>
          <w:sz w:val="22"/>
        </w:rPr>
        <w:t xml:space="preserve"> </w:t>
      </w:r>
      <w:r>
        <w:rPr>
          <w:rFonts w:ascii="宋体" w:hAnsi="宋体"/>
          <w:sz w:val="22"/>
          <w:u w:val="single"/>
        </w:rPr>
        <w:t xml:space="preserve">X X </w:t>
      </w:r>
      <w:r>
        <w:rPr>
          <w:rFonts w:ascii="宋体" w:hAnsi="宋体"/>
          <w:sz w:val="22"/>
        </w:rPr>
        <w:t xml:space="preserve"> </w:t>
      </w:r>
      <w:r>
        <w:rPr>
          <w:rFonts w:ascii="宋体" w:hAnsi="宋体" w:hint="eastAsia"/>
          <w:sz w:val="22"/>
        </w:rPr>
        <w:t>学期</w:t>
      </w:r>
      <w:r>
        <w:rPr>
          <w:rFonts w:ascii="宋体" w:hAnsi="宋体"/>
          <w:sz w:val="22"/>
        </w:rPr>
        <w:t xml:space="preserve"> </w:t>
      </w:r>
      <w:r>
        <w:rPr>
          <w:rFonts w:ascii="宋体" w:hAnsi="宋体" w:hint="eastAsia"/>
          <w:sz w:val="22"/>
          <w:u w:val="single"/>
        </w:rPr>
        <w:t>康复治疗学</w:t>
      </w:r>
      <w:r>
        <w:rPr>
          <w:rFonts w:ascii="宋体" w:hAnsi="宋体"/>
          <w:sz w:val="22"/>
          <w:u w:val="single"/>
        </w:rPr>
        <w:t xml:space="preserve">X X X </w:t>
      </w:r>
      <w:r>
        <w:rPr>
          <w:rFonts w:ascii="宋体" w:hAnsi="宋体"/>
          <w:sz w:val="22"/>
        </w:rPr>
        <w:t xml:space="preserve"> </w:t>
      </w:r>
      <w:r>
        <w:rPr>
          <w:rFonts w:ascii="宋体" w:hAnsi="宋体" w:hint="eastAsia"/>
          <w:sz w:val="22"/>
        </w:rPr>
        <w:t>班级</w:t>
      </w:r>
    </w:p>
    <w:p w:rsidR="003717A0" w:rsidRDefault="003717A0">
      <w:pPr>
        <w:autoSpaceDE w:val="0"/>
        <w:autoSpaceDN w:val="0"/>
        <w:adjustRightInd w:val="0"/>
        <w:snapToGrid w:val="0"/>
        <w:spacing w:line="440" w:lineRule="exact"/>
        <w:jc w:val="center"/>
        <w:rPr>
          <w:rFonts w:ascii="宋体"/>
          <w:b/>
          <w:sz w:val="22"/>
        </w:rPr>
      </w:pPr>
      <w:r>
        <w:rPr>
          <w:rFonts w:ascii="宋体" w:hAnsi="宋体"/>
          <w:b/>
          <w:sz w:val="22"/>
        </w:rPr>
        <w:t xml:space="preserve">                </w:t>
      </w:r>
      <w:r>
        <w:rPr>
          <w:rFonts w:ascii="宋体" w:hAnsi="宋体" w:hint="eastAsia"/>
          <w:b/>
          <w:sz w:val="22"/>
        </w:rPr>
        <w:t>时间：</w:t>
      </w:r>
      <w:r>
        <w:rPr>
          <w:rFonts w:ascii="宋体" w:hAnsi="宋体"/>
          <w:b/>
          <w:sz w:val="22"/>
        </w:rPr>
        <w:t>120</w:t>
      </w:r>
      <w:r>
        <w:rPr>
          <w:rFonts w:ascii="宋体" w:hAnsi="宋体" w:hint="eastAsia"/>
          <w:b/>
          <w:sz w:val="22"/>
        </w:rPr>
        <w:t>分钟</w:t>
      </w:r>
      <w:r>
        <w:rPr>
          <w:rFonts w:ascii="宋体" w:hAnsi="宋体"/>
          <w:b/>
          <w:sz w:val="22"/>
        </w:rPr>
        <w:t xml:space="preserve">   </w:t>
      </w:r>
      <w:r>
        <w:rPr>
          <w:rFonts w:ascii="宋体" w:hAnsi="宋体" w:hint="eastAsia"/>
          <w:b/>
          <w:sz w:val="22"/>
        </w:rPr>
        <w:t>总分：</w:t>
      </w:r>
      <w:r>
        <w:rPr>
          <w:rFonts w:ascii="宋体" w:hAnsi="宋体"/>
          <w:b/>
          <w:sz w:val="22"/>
        </w:rPr>
        <w:t>100</w:t>
      </w:r>
      <w:r>
        <w:rPr>
          <w:rFonts w:ascii="宋体" w:hAnsi="宋体" w:hint="eastAsia"/>
          <w:b/>
          <w:sz w:val="22"/>
        </w:rPr>
        <w:t>分</w:t>
      </w:r>
    </w:p>
    <w:p w:rsidR="003717A0" w:rsidRDefault="003717A0">
      <w:r>
        <w:rPr>
          <w:rFonts w:hint="eastAsia"/>
        </w:rPr>
        <w:t>一、名词解释</w:t>
      </w:r>
      <w:r>
        <w:t xml:space="preserve"> </w:t>
      </w:r>
      <w:r>
        <w:rPr>
          <w:rFonts w:hint="eastAsia"/>
        </w:rPr>
        <w:t>（每题</w:t>
      </w:r>
      <w:r>
        <w:t>3</w:t>
      </w:r>
      <w:r>
        <w:rPr>
          <w:rFonts w:hint="eastAsia"/>
        </w:rPr>
        <w:t>分，共</w:t>
      </w:r>
      <w:r>
        <w:t>18</w:t>
      </w:r>
      <w:r>
        <w:rPr>
          <w:rFonts w:hint="eastAsia"/>
        </w:rPr>
        <w:t>分）</w:t>
      </w:r>
    </w:p>
    <w:p w:rsidR="003717A0" w:rsidRDefault="003717A0">
      <w:r>
        <w:rPr>
          <w:szCs w:val="21"/>
        </w:rPr>
        <w:t>1</w:t>
      </w:r>
      <w:r>
        <w:rPr>
          <w:rFonts w:hint="eastAsia"/>
          <w:szCs w:val="21"/>
        </w:rPr>
        <w:t>、</w:t>
      </w:r>
      <w:r>
        <w:rPr>
          <w:rFonts w:hint="eastAsia"/>
        </w:rPr>
        <w:t>运动再学习方案</w:t>
      </w:r>
    </w:p>
    <w:p w:rsidR="003717A0" w:rsidRDefault="003717A0">
      <w:r>
        <w:rPr>
          <w:szCs w:val="21"/>
        </w:rPr>
        <w:t>2</w:t>
      </w:r>
      <w:r>
        <w:rPr>
          <w:rFonts w:hint="eastAsia"/>
          <w:szCs w:val="21"/>
        </w:rPr>
        <w:t>、</w:t>
      </w:r>
      <w:r>
        <w:rPr>
          <w:rFonts w:hint="eastAsia"/>
        </w:rPr>
        <w:t>关节活动技术</w:t>
      </w:r>
    </w:p>
    <w:p w:rsidR="003717A0" w:rsidRDefault="003717A0">
      <w:pPr>
        <w:spacing w:line="320" w:lineRule="exact"/>
        <w:rPr>
          <w:szCs w:val="21"/>
        </w:rPr>
      </w:pPr>
      <w:r>
        <w:rPr>
          <w:szCs w:val="21"/>
        </w:rPr>
        <w:t>3</w:t>
      </w:r>
      <w:r>
        <w:rPr>
          <w:rFonts w:hint="eastAsia"/>
          <w:szCs w:val="21"/>
        </w:rPr>
        <w:t>、牵引</w:t>
      </w:r>
    </w:p>
    <w:p w:rsidR="003717A0" w:rsidRDefault="003717A0">
      <w:pPr>
        <w:spacing w:line="320" w:lineRule="exact"/>
      </w:pPr>
      <w:r>
        <w:rPr>
          <w:szCs w:val="21"/>
        </w:rPr>
        <w:t>4</w:t>
      </w:r>
      <w:r>
        <w:rPr>
          <w:rFonts w:hint="eastAsia"/>
          <w:szCs w:val="21"/>
        </w:rPr>
        <w:t>、肌肉牵伸技术</w:t>
      </w:r>
    </w:p>
    <w:p w:rsidR="003717A0" w:rsidRDefault="003717A0">
      <w:r>
        <w:rPr>
          <w:szCs w:val="21"/>
        </w:rPr>
        <w:t>5</w:t>
      </w:r>
      <w:r>
        <w:rPr>
          <w:rFonts w:hint="eastAsia"/>
          <w:szCs w:val="21"/>
        </w:rPr>
        <w:t>、</w:t>
      </w:r>
      <w:r>
        <w:rPr>
          <w:rFonts w:hint="eastAsia"/>
        </w:rPr>
        <w:t>阻力原则</w:t>
      </w:r>
    </w:p>
    <w:p w:rsidR="003717A0" w:rsidRDefault="003717A0">
      <w:pPr>
        <w:widowControl/>
        <w:adjustRightInd w:val="0"/>
        <w:snapToGrid w:val="0"/>
        <w:spacing w:line="360" w:lineRule="auto"/>
      </w:pPr>
      <w:r>
        <w:rPr>
          <w:szCs w:val="21"/>
        </w:rPr>
        <w:t>6</w:t>
      </w:r>
      <w:r>
        <w:rPr>
          <w:rFonts w:hint="eastAsia"/>
          <w:szCs w:val="21"/>
        </w:rPr>
        <w:t>、</w:t>
      </w:r>
      <w:r>
        <w:rPr>
          <w:rFonts w:hint="eastAsia"/>
        </w:rPr>
        <w:t>联合反应</w:t>
      </w:r>
    </w:p>
    <w:p w:rsidR="003717A0" w:rsidRDefault="003717A0">
      <w:r>
        <w:rPr>
          <w:rFonts w:hint="eastAsia"/>
        </w:rPr>
        <w:t>二、选择题（每题</w:t>
      </w:r>
      <w:r>
        <w:t>2</w:t>
      </w:r>
      <w:r>
        <w:rPr>
          <w:rFonts w:hint="eastAsia"/>
        </w:rPr>
        <w:t>分，共</w:t>
      </w:r>
      <w:r>
        <w:t>30</w:t>
      </w:r>
      <w:r>
        <w:rPr>
          <w:rFonts w:hint="eastAsia"/>
        </w:rPr>
        <w:t>分）</w:t>
      </w:r>
    </w:p>
    <w:p w:rsidR="003717A0" w:rsidRDefault="003717A0">
      <w:r>
        <w:lastRenderedPageBreak/>
        <w:t>1</w:t>
      </w:r>
      <w:r>
        <w:rPr>
          <w:rFonts w:hint="eastAsia"/>
        </w:rPr>
        <w:t>、当患侧下肢支撑力小于</w:t>
      </w:r>
      <w:r>
        <w:t xml:space="preserve">       </w:t>
      </w:r>
      <w:r>
        <w:rPr>
          <w:rFonts w:hint="eastAsia"/>
        </w:rPr>
        <w:t>时，不宜使用单腋拐。</w:t>
      </w:r>
    </w:p>
    <w:p w:rsidR="003717A0" w:rsidRDefault="003717A0">
      <w:r>
        <w:t>A</w:t>
      </w:r>
      <w:r>
        <w:rPr>
          <w:rFonts w:hint="eastAsia"/>
        </w:rPr>
        <w:t>、体重的</w:t>
      </w:r>
      <w:r>
        <w:t>50%        B</w:t>
      </w:r>
      <w:r>
        <w:rPr>
          <w:rFonts w:hint="eastAsia"/>
        </w:rPr>
        <w:t>、体重的</w:t>
      </w:r>
      <w:r>
        <w:t>60%      C</w:t>
      </w:r>
      <w:r>
        <w:rPr>
          <w:rFonts w:hint="eastAsia"/>
        </w:rPr>
        <w:t>、体重的</w:t>
      </w:r>
      <w:r>
        <w:t>30%    D</w:t>
      </w:r>
      <w:r>
        <w:rPr>
          <w:rFonts w:hint="eastAsia"/>
        </w:rPr>
        <w:t>、体重的</w:t>
      </w:r>
      <w:r>
        <w:t>40%</w:t>
      </w:r>
    </w:p>
    <w:p w:rsidR="003717A0" w:rsidRDefault="003717A0">
      <w:r>
        <w:t>2</w:t>
      </w:r>
      <w:r>
        <w:rPr>
          <w:rFonts w:hint="eastAsia"/>
        </w:rPr>
        <w:t>、运动处方中核心因素是</w:t>
      </w:r>
      <w:r>
        <w:t xml:space="preserve">      </w:t>
      </w:r>
    </w:p>
    <w:p w:rsidR="003717A0" w:rsidRDefault="003717A0">
      <w:r>
        <w:t>A</w:t>
      </w:r>
      <w:r>
        <w:rPr>
          <w:rFonts w:hint="eastAsia"/>
        </w:rPr>
        <w:t>运动方式</w:t>
      </w:r>
      <w:r>
        <w:t xml:space="preserve">           B</w:t>
      </w:r>
      <w:r>
        <w:rPr>
          <w:rFonts w:hint="eastAsia"/>
        </w:rPr>
        <w:t>、运动强度</w:t>
      </w:r>
      <w:r>
        <w:t xml:space="preserve">         C</w:t>
      </w:r>
      <w:r>
        <w:rPr>
          <w:rFonts w:hint="eastAsia"/>
        </w:rPr>
        <w:t>、运动时间</w:t>
      </w:r>
      <w:r>
        <w:t xml:space="preserve">      D</w:t>
      </w:r>
      <w:r>
        <w:rPr>
          <w:rFonts w:hint="eastAsia"/>
        </w:rPr>
        <w:t>、运动注意事项</w:t>
      </w:r>
      <w:r>
        <w:t xml:space="preserve">   </w:t>
      </w:r>
    </w:p>
    <w:p w:rsidR="003717A0" w:rsidRDefault="003717A0">
      <w:r>
        <w:t>3</w:t>
      </w:r>
      <w:r>
        <w:rPr>
          <w:rFonts w:hint="eastAsia"/>
        </w:rPr>
        <w:t>、心功能Ⅲ级患者可做代谢当量</w:t>
      </w:r>
      <w:r>
        <w:t xml:space="preserve">      </w:t>
      </w:r>
      <w:r>
        <w:rPr>
          <w:rFonts w:hint="eastAsia"/>
        </w:rPr>
        <w:t>的运动。</w:t>
      </w:r>
    </w:p>
    <w:p w:rsidR="003717A0" w:rsidRDefault="003717A0">
      <w:r>
        <w:t>A</w:t>
      </w:r>
      <w:r>
        <w:rPr>
          <w:rFonts w:hint="eastAsia"/>
        </w:rPr>
        <w:t>、</w:t>
      </w:r>
      <w:r>
        <w:t xml:space="preserve"> 2METs</w:t>
      </w:r>
      <w:r>
        <w:rPr>
          <w:rFonts w:hint="eastAsia"/>
        </w:rPr>
        <w:t>～</w:t>
      </w:r>
      <w:r>
        <w:t>5METs                 B</w:t>
      </w:r>
      <w:r>
        <w:rPr>
          <w:rFonts w:hint="eastAsia"/>
        </w:rPr>
        <w:t>、</w:t>
      </w:r>
      <w:r>
        <w:t>5METs</w:t>
      </w:r>
      <w:r>
        <w:rPr>
          <w:rFonts w:hint="eastAsia"/>
        </w:rPr>
        <w:t>～</w:t>
      </w:r>
      <w:r>
        <w:t xml:space="preserve">7METs     </w:t>
      </w:r>
    </w:p>
    <w:p w:rsidR="003717A0" w:rsidRDefault="003717A0">
      <w:r>
        <w:t>C</w:t>
      </w:r>
      <w:r>
        <w:rPr>
          <w:rFonts w:hint="eastAsia"/>
        </w:rPr>
        <w:t>、</w:t>
      </w:r>
      <w:r>
        <w:t>7METs</w:t>
      </w:r>
      <w:r>
        <w:rPr>
          <w:rFonts w:hint="eastAsia"/>
        </w:rPr>
        <w:t>～</w:t>
      </w:r>
      <w:r>
        <w:t>9METs                  D</w:t>
      </w:r>
      <w:r>
        <w:rPr>
          <w:rFonts w:hint="eastAsia"/>
        </w:rPr>
        <w:t>、</w:t>
      </w:r>
      <w:r>
        <w:t>9METs</w:t>
      </w:r>
      <w:r>
        <w:rPr>
          <w:rFonts w:hint="eastAsia"/>
        </w:rPr>
        <w:t>～</w:t>
      </w:r>
      <w:r>
        <w:t xml:space="preserve">11METs      </w:t>
      </w:r>
    </w:p>
    <w:p w:rsidR="003717A0" w:rsidRDefault="003717A0">
      <w:r>
        <w:t>4</w:t>
      </w:r>
      <w:r>
        <w:rPr>
          <w:rFonts w:hint="eastAsia"/>
        </w:rPr>
        <w:t>、缩唇呼气的目的是（</w:t>
      </w:r>
      <w:r>
        <w:t xml:space="preserve"> </w:t>
      </w:r>
      <w:r>
        <w:rPr>
          <w:rFonts w:hint="eastAsia"/>
        </w:rPr>
        <w:t>）</w:t>
      </w:r>
    </w:p>
    <w:p w:rsidR="003717A0" w:rsidRDefault="003717A0">
      <w:r>
        <w:t>A</w:t>
      </w:r>
      <w:r>
        <w:rPr>
          <w:rFonts w:hint="eastAsia"/>
        </w:rPr>
        <w:t>、加速呼气</w:t>
      </w:r>
      <w:r>
        <w:t xml:space="preserve">  B</w:t>
      </w:r>
      <w:r>
        <w:rPr>
          <w:rFonts w:hint="eastAsia"/>
        </w:rPr>
        <w:t>、减少肺内残气量</w:t>
      </w:r>
      <w:r>
        <w:t xml:space="preserve">  C</w:t>
      </w:r>
      <w:r>
        <w:rPr>
          <w:rFonts w:hint="eastAsia"/>
        </w:rPr>
        <w:t>、减少支气管压力</w:t>
      </w:r>
      <w:r>
        <w:t xml:space="preserve">   D</w:t>
      </w:r>
      <w:r>
        <w:rPr>
          <w:rFonts w:hint="eastAsia"/>
        </w:rPr>
        <w:t>、促进痰液排出</w:t>
      </w:r>
    </w:p>
    <w:p w:rsidR="003717A0" w:rsidRDefault="003717A0">
      <w:r>
        <w:t>5</w:t>
      </w:r>
      <w:r>
        <w:rPr>
          <w:rFonts w:hint="eastAsia"/>
        </w:rPr>
        <w:t>、为达到制动与休息的效应，可采取的牵引方法为：（</w:t>
      </w:r>
      <w:r>
        <w:t xml:space="preserve"> </w:t>
      </w:r>
      <w:r>
        <w:rPr>
          <w:rFonts w:hint="eastAsia"/>
        </w:rPr>
        <w:t>）</w:t>
      </w:r>
    </w:p>
    <w:p w:rsidR="003717A0" w:rsidRDefault="003717A0">
      <w:r>
        <w:t>A</w:t>
      </w:r>
      <w:r>
        <w:rPr>
          <w:rFonts w:hint="eastAsia"/>
        </w:rPr>
        <w:t>、连续牵引</w:t>
      </w:r>
      <w:r>
        <w:t xml:space="preserve">                        B</w:t>
      </w:r>
      <w:r>
        <w:rPr>
          <w:rFonts w:hint="eastAsia"/>
        </w:rPr>
        <w:t>、间歇牵引</w:t>
      </w:r>
    </w:p>
    <w:p w:rsidR="003717A0" w:rsidRDefault="003717A0">
      <w:r>
        <w:t>C</w:t>
      </w:r>
      <w:r>
        <w:rPr>
          <w:rFonts w:hint="eastAsia"/>
        </w:rPr>
        <w:t>、摆位牵引</w:t>
      </w:r>
      <w:r>
        <w:t xml:space="preserve">                        D</w:t>
      </w:r>
      <w:r>
        <w:rPr>
          <w:rFonts w:hint="eastAsia"/>
        </w:rPr>
        <w:t>、重力牵引、</w:t>
      </w:r>
    </w:p>
    <w:p w:rsidR="003717A0" w:rsidRDefault="003717A0">
      <w:r>
        <w:t>6</w:t>
      </w:r>
      <w:r>
        <w:rPr>
          <w:rFonts w:hint="eastAsia"/>
        </w:rPr>
        <w:t>、步行的肌力条件：单侧下肢必须能够支撑体重的</w:t>
      </w:r>
      <w:r>
        <w:t xml:space="preserve">      </w:t>
      </w:r>
      <w:r>
        <w:rPr>
          <w:rFonts w:hint="eastAsia"/>
        </w:rPr>
        <w:t>以上或双下肢伸肌肌力达</w:t>
      </w:r>
      <w:r>
        <w:t xml:space="preserve">        </w:t>
      </w:r>
      <w:r>
        <w:rPr>
          <w:rFonts w:hint="eastAsia"/>
        </w:rPr>
        <w:t>以上。</w:t>
      </w:r>
    </w:p>
    <w:p w:rsidR="003717A0" w:rsidRDefault="003717A0">
      <w:r>
        <w:t>A</w:t>
      </w:r>
      <w:r>
        <w:rPr>
          <w:rFonts w:hint="eastAsia"/>
        </w:rPr>
        <w:t>、</w:t>
      </w:r>
      <w:r>
        <w:t>1/4  3</w:t>
      </w:r>
      <w:r>
        <w:rPr>
          <w:rFonts w:hint="eastAsia"/>
        </w:rPr>
        <w:t>级</w:t>
      </w:r>
      <w:r>
        <w:t xml:space="preserve">        B</w:t>
      </w:r>
      <w:r>
        <w:rPr>
          <w:rFonts w:hint="eastAsia"/>
        </w:rPr>
        <w:t>、</w:t>
      </w:r>
      <w:r>
        <w:t>3/4  2</w:t>
      </w:r>
      <w:r>
        <w:rPr>
          <w:rFonts w:hint="eastAsia"/>
        </w:rPr>
        <w:t>级</w:t>
      </w:r>
      <w:r>
        <w:t xml:space="preserve">          C</w:t>
      </w:r>
      <w:r>
        <w:rPr>
          <w:rFonts w:hint="eastAsia"/>
        </w:rPr>
        <w:t>、</w:t>
      </w:r>
      <w:r>
        <w:t>3/4  4</w:t>
      </w:r>
      <w:r>
        <w:rPr>
          <w:rFonts w:hint="eastAsia"/>
        </w:rPr>
        <w:t>级</w:t>
      </w:r>
      <w:r>
        <w:t xml:space="preserve">        D</w:t>
      </w:r>
      <w:r>
        <w:rPr>
          <w:rFonts w:hint="eastAsia"/>
        </w:rPr>
        <w:t>、</w:t>
      </w:r>
      <w:r>
        <w:t>3/4  3</w:t>
      </w:r>
      <w:r>
        <w:rPr>
          <w:rFonts w:hint="eastAsia"/>
        </w:rPr>
        <w:t>级</w:t>
      </w:r>
    </w:p>
    <w:p w:rsidR="003717A0" w:rsidRDefault="003717A0">
      <w:r>
        <w:t>7</w:t>
      </w:r>
      <w:r>
        <w:rPr>
          <w:rFonts w:hint="eastAsia"/>
        </w:rPr>
        <w:t>、神经根型颈椎病采用</w:t>
      </w:r>
      <w:r>
        <w:t xml:space="preserve">        </w:t>
      </w:r>
      <w:r>
        <w:rPr>
          <w:rFonts w:hint="eastAsia"/>
        </w:rPr>
        <w:t>牵引效果最好。</w:t>
      </w:r>
    </w:p>
    <w:p w:rsidR="003717A0" w:rsidRDefault="003717A0">
      <w:r>
        <w:t>A</w:t>
      </w:r>
      <w:r>
        <w:rPr>
          <w:rFonts w:hint="eastAsia"/>
        </w:rPr>
        <w:t>、前屈</w:t>
      </w:r>
      <w:r>
        <w:t>20</w:t>
      </w:r>
      <w:r>
        <w:rPr>
          <w:rFonts w:hint="eastAsia"/>
        </w:rPr>
        <w:t>°～</w:t>
      </w:r>
      <w:r>
        <w:t>30</w:t>
      </w:r>
      <w:r>
        <w:rPr>
          <w:rFonts w:hint="eastAsia"/>
        </w:rPr>
        <w:t>°</w:t>
      </w:r>
      <w:r>
        <w:t xml:space="preserve">                  B</w:t>
      </w:r>
      <w:r>
        <w:rPr>
          <w:rFonts w:hint="eastAsia"/>
        </w:rPr>
        <w:t>、前屈</w:t>
      </w:r>
      <w:r>
        <w:t>15</w:t>
      </w:r>
      <w:r>
        <w:rPr>
          <w:rFonts w:hint="eastAsia"/>
        </w:rPr>
        <w:t>°～</w:t>
      </w:r>
      <w:r>
        <w:t>20</w:t>
      </w:r>
      <w:r>
        <w:rPr>
          <w:rFonts w:hint="eastAsia"/>
        </w:rPr>
        <w:t>°</w:t>
      </w:r>
    </w:p>
    <w:p w:rsidR="003717A0" w:rsidRDefault="003717A0">
      <w:r>
        <w:t>C</w:t>
      </w:r>
      <w:r>
        <w:rPr>
          <w:rFonts w:hint="eastAsia"/>
        </w:rPr>
        <w:t>、中立位</w:t>
      </w:r>
      <w:r>
        <w:t xml:space="preserve">                           D</w:t>
      </w:r>
      <w:r>
        <w:rPr>
          <w:rFonts w:hint="eastAsia"/>
        </w:rPr>
        <w:t>、前屈</w:t>
      </w:r>
      <w:r>
        <w:t>0</w:t>
      </w:r>
      <w:r>
        <w:rPr>
          <w:rFonts w:hint="eastAsia"/>
        </w:rPr>
        <w:t>°～</w:t>
      </w:r>
      <w:r>
        <w:t>5</w:t>
      </w:r>
      <w:r>
        <w:rPr>
          <w:rFonts w:hint="eastAsia"/>
        </w:rPr>
        <w:t>°</w:t>
      </w:r>
    </w:p>
    <w:p w:rsidR="003717A0" w:rsidRDefault="003717A0">
      <w:r>
        <w:t>8</w:t>
      </w:r>
      <w:r>
        <w:rPr>
          <w:rFonts w:hint="eastAsia"/>
        </w:rPr>
        <w:t>、心率增加超过</w:t>
      </w:r>
      <w:r>
        <w:t xml:space="preserve">        </w:t>
      </w:r>
      <w:r>
        <w:rPr>
          <w:rFonts w:hint="eastAsia"/>
        </w:rPr>
        <w:t>，或出现任何不良反应，则应该退回到前一阶段运动。</w:t>
      </w:r>
    </w:p>
    <w:p w:rsidR="003717A0" w:rsidRDefault="003717A0">
      <w:r>
        <w:t>A</w:t>
      </w:r>
      <w:r>
        <w:rPr>
          <w:rFonts w:hint="eastAsia"/>
        </w:rPr>
        <w:t>、</w:t>
      </w:r>
      <w:r>
        <w:t>10</w:t>
      </w:r>
      <w:r>
        <w:rPr>
          <w:rFonts w:hint="eastAsia"/>
        </w:rPr>
        <w:t>次</w:t>
      </w:r>
      <w:r>
        <w:t>/</w:t>
      </w:r>
      <w:r>
        <w:rPr>
          <w:rFonts w:hint="eastAsia"/>
        </w:rPr>
        <w:t>分</w:t>
      </w:r>
      <w:r>
        <w:t xml:space="preserve">         B</w:t>
      </w:r>
      <w:r>
        <w:rPr>
          <w:rFonts w:hint="eastAsia"/>
        </w:rPr>
        <w:t>、</w:t>
      </w:r>
      <w:r>
        <w:t>20</w:t>
      </w:r>
      <w:r>
        <w:rPr>
          <w:rFonts w:hint="eastAsia"/>
        </w:rPr>
        <w:t>次</w:t>
      </w:r>
      <w:r>
        <w:t>/</w:t>
      </w:r>
      <w:r>
        <w:rPr>
          <w:rFonts w:hint="eastAsia"/>
        </w:rPr>
        <w:t>分</w:t>
      </w:r>
      <w:r>
        <w:t xml:space="preserve">           C</w:t>
      </w:r>
      <w:r>
        <w:rPr>
          <w:rFonts w:hint="eastAsia"/>
        </w:rPr>
        <w:t>、</w:t>
      </w:r>
      <w:r>
        <w:t>15</w:t>
      </w:r>
      <w:r>
        <w:rPr>
          <w:rFonts w:hint="eastAsia"/>
        </w:rPr>
        <w:t>次</w:t>
      </w:r>
      <w:r>
        <w:t>/</w:t>
      </w:r>
      <w:r>
        <w:rPr>
          <w:rFonts w:hint="eastAsia"/>
        </w:rPr>
        <w:t>分</w:t>
      </w:r>
      <w:r>
        <w:t xml:space="preserve">         D</w:t>
      </w:r>
      <w:r>
        <w:rPr>
          <w:rFonts w:hint="eastAsia"/>
        </w:rPr>
        <w:t>、</w:t>
      </w:r>
      <w:r>
        <w:t>30</w:t>
      </w:r>
      <w:r>
        <w:rPr>
          <w:rFonts w:hint="eastAsia"/>
        </w:rPr>
        <w:t>次</w:t>
      </w:r>
      <w:r>
        <w:t>/</w:t>
      </w:r>
      <w:r>
        <w:rPr>
          <w:rFonts w:hint="eastAsia"/>
        </w:rPr>
        <w:t>分、</w:t>
      </w:r>
    </w:p>
    <w:p w:rsidR="003717A0" w:rsidRDefault="003717A0">
      <w:r>
        <w:t>9</w:t>
      </w:r>
      <w:r>
        <w:rPr>
          <w:rFonts w:hint="eastAsia"/>
        </w:rPr>
        <w:t>、下列属于双轴关节的是</w:t>
      </w:r>
    </w:p>
    <w:p w:rsidR="003717A0" w:rsidRDefault="003717A0">
      <w:r>
        <w:t>A</w:t>
      </w:r>
      <w:r>
        <w:rPr>
          <w:rFonts w:hint="eastAsia"/>
        </w:rPr>
        <w:t>、腕关节</w:t>
      </w:r>
      <w:r>
        <w:t xml:space="preserve">         B</w:t>
      </w:r>
      <w:r>
        <w:rPr>
          <w:rFonts w:hint="eastAsia"/>
        </w:rPr>
        <w:t>、肩关节</w:t>
      </w:r>
      <w:r>
        <w:t xml:space="preserve">          C</w:t>
      </w:r>
      <w:r>
        <w:rPr>
          <w:rFonts w:hint="eastAsia"/>
        </w:rPr>
        <w:t>、髋关节</w:t>
      </w:r>
      <w:r>
        <w:t xml:space="preserve">         D</w:t>
      </w:r>
      <w:r>
        <w:rPr>
          <w:rFonts w:hint="eastAsia"/>
        </w:rPr>
        <w:t>、指间关节</w:t>
      </w:r>
    </w:p>
    <w:p w:rsidR="003717A0" w:rsidRDefault="003717A0">
      <w:r>
        <w:t>10</w:t>
      </w:r>
      <w:r>
        <w:rPr>
          <w:rFonts w:hint="eastAsia"/>
        </w:rPr>
        <w:t>、（</w:t>
      </w:r>
      <w:r>
        <w:t xml:space="preserve"> </w:t>
      </w:r>
      <w:r>
        <w:rPr>
          <w:rFonts w:hint="eastAsia"/>
        </w:rPr>
        <w:t>）训练是对偏瘫患者最有意义的活动，可刺激全身的反应和活动。</w:t>
      </w:r>
    </w:p>
    <w:p w:rsidR="003717A0" w:rsidRDefault="003717A0">
      <w:pPr>
        <w:ind w:left="120"/>
      </w:pPr>
      <w:r>
        <w:t>A</w:t>
      </w:r>
      <w:r>
        <w:rPr>
          <w:rFonts w:hint="eastAsia"/>
        </w:rPr>
        <w:t>、体位摆放</w:t>
      </w:r>
      <w:r>
        <w:t xml:space="preserve">                        B</w:t>
      </w:r>
      <w:r>
        <w:rPr>
          <w:rFonts w:hint="eastAsia"/>
        </w:rPr>
        <w:t>、翻身</w:t>
      </w:r>
    </w:p>
    <w:p w:rsidR="003717A0" w:rsidRDefault="003717A0">
      <w:pPr>
        <w:ind w:left="120"/>
      </w:pPr>
      <w:r>
        <w:t>C</w:t>
      </w:r>
      <w:r>
        <w:rPr>
          <w:rFonts w:hint="eastAsia"/>
        </w:rPr>
        <w:t>、坐起</w:t>
      </w:r>
      <w:r>
        <w:t xml:space="preserve">                            D</w:t>
      </w:r>
      <w:r>
        <w:rPr>
          <w:rFonts w:hint="eastAsia"/>
        </w:rPr>
        <w:t>、坐位平衡</w:t>
      </w:r>
    </w:p>
    <w:p w:rsidR="003717A0" w:rsidRDefault="003717A0">
      <w:r>
        <w:t>11</w:t>
      </w:r>
      <w:r>
        <w:rPr>
          <w:rFonts w:hint="eastAsia"/>
        </w:rPr>
        <w:t>、神经肌肉疾患的运动疗法中不属于易化技术的是：（</w:t>
      </w:r>
      <w:r>
        <w:t xml:space="preserve"> </w:t>
      </w:r>
      <w:r>
        <w:rPr>
          <w:rFonts w:hint="eastAsia"/>
        </w:rPr>
        <w:t>）</w:t>
      </w:r>
    </w:p>
    <w:p w:rsidR="003717A0" w:rsidRDefault="003717A0">
      <w:pPr>
        <w:ind w:left="120"/>
      </w:pPr>
      <w:r>
        <w:t>A</w:t>
      </w:r>
      <w:r>
        <w:rPr>
          <w:rFonts w:hint="eastAsia"/>
        </w:rPr>
        <w:t>、</w:t>
      </w:r>
      <w:r>
        <w:t>Bobath</w:t>
      </w:r>
      <w:r>
        <w:rPr>
          <w:rFonts w:hint="eastAsia"/>
        </w:rPr>
        <w:t>法</w:t>
      </w:r>
      <w:r>
        <w:t xml:space="preserve">                        B</w:t>
      </w:r>
      <w:r>
        <w:rPr>
          <w:rFonts w:hint="eastAsia"/>
        </w:rPr>
        <w:t>、运动再学习法</w:t>
      </w:r>
    </w:p>
    <w:p w:rsidR="003717A0" w:rsidRDefault="003717A0">
      <w:pPr>
        <w:ind w:left="120"/>
      </w:pPr>
      <w:r>
        <w:t>C</w:t>
      </w:r>
      <w:r>
        <w:rPr>
          <w:rFonts w:hint="eastAsia"/>
        </w:rPr>
        <w:t>、</w:t>
      </w:r>
      <w:r>
        <w:t>Rood</w:t>
      </w:r>
      <w:r>
        <w:rPr>
          <w:rFonts w:hint="eastAsia"/>
        </w:rPr>
        <w:t>法</w:t>
      </w:r>
      <w:r>
        <w:t xml:space="preserve">                         D</w:t>
      </w:r>
      <w:r>
        <w:rPr>
          <w:rFonts w:hint="eastAsia"/>
        </w:rPr>
        <w:t>、</w:t>
      </w:r>
      <w:r>
        <w:t>PNF</w:t>
      </w:r>
    </w:p>
    <w:p w:rsidR="003717A0" w:rsidRDefault="003717A0">
      <w:r>
        <w:t>12</w:t>
      </w:r>
      <w:r>
        <w:rPr>
          <w:rFonts w:hint="eastAsia"/>
        </w:rPr>
        <w:t>、</w:t>
      </w:r>
      <w:r>
        <w:t>Bobath</w:t>
      </w:r>
      <w:r>
        <w:rPr>
          <w:rFonts w:hint="eastAsia"/>
        </w:rPr>
        <w:t>神经发育疗法治疗脑卒中偏瘫的重点是：（</w:t>
      </w:r>
      <w:r>
        <w:t xml:space="preserve"> </w:t>
      </w:r>
      <w:r>
        <w:rPr>
          <w:rFonts w:hint="eastAsia"/>
        </w:rPr>
        <w:t>）</w:t>
      </w:r>
    </w:p>
    <w:p w:rsidR="003717A0" w:rsidRDefault="003717A0">
      <w:pPr>
        <w:ind w:left="120"/>
      </w:pPr>
      <w:r>
        <w:t>A</w:t>
      </w:r>
      <w:r>
        <w:rPr>
          <w:rFonts w:hint="eastAsia"/>
        </w:rPr>
        <w:t>、促进神经发育</w:t>
      </w:r>
      <w:r>
        <w:t xml:space="preserve">                    B</w:t>
      </w:r>
      <w:r>
        <w:rPr>
          <w:rFonts w:hint="eastAsia"/>
        </w:rPr>
        <w:t>、增加肌力和关节活动度</w:t>
      </w:r>
    </w:p>
    <w:p w:rsidR="003717A0" w:rsidRDefault="003717A0">
      <w:pPr>
        <w:ind w:left="120"/>
      </w:pPr>
      <w:r>
        <w:t>C</w:t>
      </w:r>
      <w:r>
        <w:rPr>
          <w:rFonts w:hint="eastAsia"/>
        </w:rPr>
        <w:t>、促进神经发育和功能恢复</w:t>
      </w:r>
      <w:r>
        <w:t xml:space="preserve">          D</w:t>
      </w:r>
      <w:r>
        <w:rPr>
          <w:rFonts w:hint="eastAsia"/>
        </w:rPr>
        <w:t>、纠正异常肌张力与反射模式，易化自主运动反应</w:t>
      </w:r>
    </w:p>
    <w:p w:rsidR="003717A0" w:rsidRDefault="003717A0">
      <w:r>
        <w:t>13</w:t>
      </w:r>
      <w:r>
        <w:rPr>
          <w:rFonts w:hint="eastAsia"/>
        </w:rPr>
        <w:t>、治疗肩关节挛缩运动疗法中的背手动作主要是训练：（</w:t>
      </w:r>
      <w:r>
        <w:t xml:space="preserve"> </w:t>
      </w:r>
      <w:r>
        <w:rPr>
          <w:rFonts w:hint="eastAsia"/>
        </w:rPr>
        <w:t>）</w:t>
      </w:r>
    </w:p>
    <w:p w:rsidR="003717A0" w:rsidRDefault="003717A0">
      <w:pPr>
        <w:ind w:left="120"/>
      </w:pPr>
      <w:r>
        <w:t>A</w:t>
      </w:r>
      <w:r>
        <w:rPr>
          <w:rFonts w:hint="eastAsia"/>
        </w:rPr>
        <w:t>、肩关节外旋</w:t>
      </w:r>
      <w:r>
        <w:t xml:space="preserve">                      B</w:t>
      </w:r>
      <w:r>
        <w:rPr>
          <w:rFonts w:hint="eastAsia"/>
        </w:rPr>
        <w:t>、肩关节内旋</w:t>
      </w:r>
    </w:p>
    <w:p w:rsidR="003717A0" w:rsidRDefault="003717A0">
      <w:pPr>
        <w:widowControl/>
        <w:adjustRightInd w:val="0"/>
        <w:snapToGrid w:val="0"/>
        <w:spacing w:line="360" w:lineRule="auto"/>
      </w:pPr>
      <w:r>
        <w:t>C</w:t>
      </w:r>
      <w:r>
        <w:rPr>
          <w:rFonts w:hint="eastAsia"/>
        </w:rPr>
        <w:t>、肩关节后伸</w:t>
      </w:r>
      <w:r>
        <w:t xml:space="preserve">                      D</w:t>
      </w:r>
      <w:r>
        <w:rPr>
          <w:rFonts w:hint="eastAsia"/>
        </w:rPr>
        <w:t>、肩关节外展</w:t>
      </w:r>
    </w:p>
    <w:p w:rsidR="003717A0" w:rsidRDefault="003717A0">
      <w:r>
        <w:t>14</w:t>
      </w:r>
      <w:r>
        <w:rPr>
          <w:rFonts w:hint="eastAsia"/>
        </w:rPr>
        <w:t>、上肢屈肌协同运动不包括：（</w:t>
      </w:r>
      <w:r>
        <w:t xml:space="preserve"> </w:t>
      </w:r>
      <w:r>
        <w:rPr>
          <w:rFonts w:hint="eastAsia"/>
        </w:rPr>
        <w:t>）</w:t>
      </w:r>
    </w:p>
    <w:p w:rsidR="003717A0" w:rsidRDefault="003717A0">
      <w:r>
        <w:t>A</w:t>
      </w:r>
      <w:r>
        <w:rPr>
          <w:rFonts w:hint="eastAsia"/>
        </w:rPr>
        <w:t>、肩胛骨后缩或抬高</w:t>
      </w:r>
    </w:p>
    <w:p w:rsidR="003717A0" w:rsidRDefault="003717A0">
      <w:r>
        <w:t>B</w:t>
      </w:r>
      <w:r>
        <w:rPr>
          <w:rFonts w:hint="eastAsia"/>
        </w:rPr>
        <w:t>、肩关节外展外旋</w:t>
      </w:r>
    </w:p>
    <w:p w:rsidR="003717A0" w:rsidRDefault="003717A0">
      <w:r>
        <w:t>C</w:t>
      </w:r>
      <w:r>
        <w:rPr>
          <w:rFonts w:hint="eastAsia"/>
        </w:rPr>
        <w:t>、前臂旋前</w:t>
      </w:r>
    </w:p>
    <w:p w:rsidR="003717A0" w:rsidRDefault="003717A0">
      <w:r>
        <w:t>D</w:t>
      </w:r>
      <w:r>
        <w:rPr>
          <w:rFonts w:hint="eastAsia"/>
        </w:rPr>
        <w:t>、肘屈曲</w:t>
      </w:r>
    </w:p>
    <w:p w:rsidR="003717A0" w:rsidRDefault="003717A0">
      <w:r>
        <w:t>15</w:t>
      </w:r>
      <w:r>
        <w:rPr>
          <w:rFonts w:hint="eastAsia"/>
        </w:rPr>
        <w:t>、为了防止股四头肌废用性萎缩，患者膝关节损伤后固定早期即可开始采取最有益的的运动是：（</w:t>
      </w:r>
      <w:r>
        <w:t xml:space="preserve"> </w:t>
      </w:r>
      <w:r>
        <w:rPr>
          <w:rFonts w:hint="eastAsia"/>
        </w:rPr>
        <w:t>）</w:t>
      </w:r>
    </w:p>
    <w:p w:rsidR="003717A0" w:rsidRDefault="003717A0">
      <w:r>
        <w:t>A</w:t>
      </w:r>
      <w:r>
        <w:rPr>
          <w:rFonts w:hint="eastAsia"/>
        </w:rPr>
        <w:t>、等长练习</w:t>
      </w:r>
    </w:p>
    <w:p w:rsidR="003717A0" w:rsidRDefault="003717A0">
      <w:r>
        <w:t>B</w:t>
      </w:r>
      <w:r>
        <w:rPr>
          <w:rFonts w:hint="eastAsia"/>
        </w:rPr>
        <w:t>、等张练习</w:t>
      </w:r>
    </w:p>
    <w:p w:rsidR="003717A0" w:rsidRDefault="003717A0">
      <w:r>
        <w:t>C</w:t>
      </w:r>
      <w:r>
        <w:rPr>
          <w:rFonts w:hint="eastAsia"/>
        </w:rPr>
        <w:t>、等速练习</w:t>
      </w:r>
    </w:p>
    <w:p w:rsidR="003717A0" w:rsidRDefault="003717A0">
      <w:pPr>
        <w:widowControl/>
        <w:adjustRightInd w:val="0"/>
        <w:snapToGrid w:val="0"/>
        <w:spacing w:line="360" w:lineRule="auto"/>
      </w:pPr>
      <w:r>
        <w:t>D</w:t>
      </w:r>
      <w:r>
        <w:rPr>
          <w:rFonts w:hint="eastAsia"/>
        </w:rPr>
        <w:t>、被动运动</w:t>
      </w:r>
    </w:p>
    <w:p w:rsidR="003717A0" w:rsidRDefault="003717A0">
      <w:r>
        <w:rPr>
          <w:rFonts w:hint="eastAsia"/>
        </w:rPr>
        <w:lastRenderedPageBreak/>
        <w:t>三、填空题（每空</w:t>
      </w:r>
      <w:r>
        <w:t>1</w:t>
      </w:r>
      <w:r>
        <w:rPr>
          <w:rFonts w:hint="eastAsia"/>
        </w:rPr>
        <w:t>分，共</w:t>
      </w:r>
      <w:r>
        <w:t>22</w:t>
      </w:r>
      <w:r>
        <w:rPr>
          <w:rFonts w:hint="eastAsia"/>
        </w:rPr>
        <w:t>分）</w:t>
      </w:r>
    </w:p>
    <w:p w:rsidR="003717A0" w:rsidRDefault="003717A0">
      <w:pPr>
        <w:rPr>
          <w:b/>
          <w:bCs/>
        </w:rPr>
      </w:pPr>
      <w:r>
        <w:t>1</w:t>
      </w:r>
      <w:r>
        <w:rPr>
          <w:rFonts w:hint="eastAsia"/>
        </w:rPr>
        <w:t>、引导式教育的疗育过程中需进行的几种基本动作模式</w:t>
      </w:r>
      <w:r>
        <w:rPr>
          <w:b/>
          <w:bCs/>
          <w:u w:val="single"/>
        </w:rPr>
        <w:t xml:space="preserve">        </w:t>
      </w:r>
      <w:r>
        <w:rPr>
          <w:rFonts w:hint="eastAsia"/>
          <w:b/>
          <w:bCs/>
        </w:rPr>
        <w:t>、</w:t>
      </w:r>
      <w:r>
        <w:rPr>
          <w:b/>
          <w:bCs/>
          <w:u w:val="single"/>
        </w:rPr>
        <w:t xml:space="preserve">        </w:t>
      </w:r>
      <w:r>
        <w:rPr>
          <w:rFonts w:hint="eastAsia"/>
          <w:b/>
          <w:bCs/>
        </w:rPr>
        <w:t>、</w:t>
      </w:r>
      <w:r>
        <w:rPr>
          <w:b/>
          <w:bCs/>
          <w:u w:val="single"/>
        </w:rPr>
        <w:t xml:space="preserve">         </w:t>
      </w:r>
      <w:r>
        <w:rPr>
          <w:rFonts w:hint="eastAsia"/>
          <w:b/>
          <w:bCs/>
        </w:rPr>
        <w:t>、</w:t>
      </w:r>
    </w:p>
    <w:p w:rsidR="003717A0" w:rsidRDefault="003717A0">
      <w:pPr>
        <w:rPr>
          <w:b/>
          <w:bCs/>
        </w:rPr>
      </w:pPr>
      <w:r>
        <w:rPr>
          <w:b/>
          <w:bCs/>
          <w:u w:val="single"/>
        </w:rPr>
        <w:t xml:space="preserve">       </w:t>
      </w:r>
      <w:r>
        <w:rPr>
          <w:rFonts w:hint="eastAsia"/>
          <w:b/>
          <w:bCs/>
        </w:rPr>
        <w:t>、</w:t>
      </w:r>
      <w:r>
        <w:rPr>
          <w:b/>
          <w:bCs/>
          <w:u w:val="single"/>
        </w:rPr>
        <w:t xml:space="preserve">        </w:t>
      </w:r>
      <w:r>
        <w:rPr>
          <w:rFonts w:hint="eastAsia"/>
          <w:b/>
          <w:bCs/>
        </w:rPr>
        <w:t>、</w:t>
      </w:r>
      <w:r>
        <w:rPr>
          <w:b/>
          <w:bCs/>
          <w:u w:val="single"/>
        </w:rPr>
        <w:t xml:space="preserve">       </w:t>
      </w:r>
      <w:r>
        <w:rPr>
          <w:b/>
          <w:bCs/>
        </w:rPr>
        <w:t xml:space="preserve"> </w:t>
      </w:r>
      <w:r>
        <w:rPr>
          <w:rFonts w:hint="eastAsia"/>
          <w:b/>
          <w:bCs/>
        </w:rPr>
        <w:t>、</w:t>
      </w:r>
      <w:r>
        <w:rPr>
          <w:b/>
          <w:bCs/>
          <w:u w:val="single"/>
        </w:rPr>
        <w:t xml:space="preserve">        </w:t>
      </w:r>
      <w:r>
        <w:rPr>
          <w:rFonts w:hint="eastAsia"/>
          <w:b/>
          <w:bCs/>
        </w:rPr>
        <w:t>、</w:t>
      </w:r>
      <w:r>
        <w:rPr>
          <w:b/>
          <w:bCs/>
          <w:u w:val="single"/>
        </w:rPr>
        <w:t xml:space="preserve">        </w:t>
      </w:r>
      <w:r>
        <w:rPr>
          <w:rFonts w:hint="eastAsia"/>
          <w:b/>
          <w:bCs/>
        </w:rPr>
        <w:t>、</w:t>
      </w:r>
      <w:r>
        <w:rPr>
          <w:b/>
          <w:bCs/>
          <w:u w:val="single"/>
        </w:rPr>
        <w:t xml:space="preserve">       </w:t>
      </w:r>
      <w:r>
        <w:t xml:space="preserve"> </w:t>
      </w:r>
      <w:r>
        <w:rPr>
          <w:rFonts w:hint="eastAsia"/>
        </w:rPr>
        <w:t>。</w:t>
      </w:r>
      <w:r>
        <w:rPr>
          <w:b/>
          <w:bCs/>
        </w:rPr>
        <w:t xml:space="preserve">   </w:t>
      </w:r>
    </w:p>
    <w:p w:rsidR="003717A0" w:rsidRDefault="003717A0">
      <w:r>
        <w:t>2</w:t>
      </w:r>
      <w:r>
        <w:rPr>
          <w:rFonts w:hint="eastAsia"/>
        </w:rPr>
        <w:t>、强迫性使用运动疗法使用</w:t>
      </w:r>
      <w:r>
        <w:rPr>
          <w:u w:val="single"/>
        </w:rPr>
        <w:t xml:space="preserve">      </w:t>
      </w:r>
      <w:r>
        <w:rPr>
          <w:rFonts w:hint="eastAsia"/>
        </w:rPr>
        <w:t>或</w:t>
      </w:r>
      <w:r>
        <w:t xml:space="preserve"> </w:t>
      </w:r>
      <w:r>
        <w:rPr>
          <w:u w:val="single"/>
        </w:rPr>
        <w:t xml:space="preserve">      </w:t>
      </w:r>
      <w:r>
        <w:rPr>
          <w:rFonts w:hint="eastAsia"/>
        </w:rPr>
        <w:t>限制健手使用，患侧每天进行</w:t>
      </w:r>
      <w:r>
        <w:rPr>
          <w:u w:val="single"/>
        </w:rPr>
        <w:t xml:space="preserve">       </w:t>
      </w:r>
      <w:r>
        <w:rPr>
          <w:rFonts w:hint="eastAsia"/>
        </w:rPr>
        <w:t>时间的塑型训练技术。</w:t>
      </w:r>
    </w:p>
    <w:p w:rsidR="003717A0" w:rsidRDefault="003717A0">
      <w:r>
        <w:t>3</w:t>
      </w:r>
      <w:r>
        <w:rPr>
          <w:rFonts w:hint="eastAsia"/>
        </w:rPr>
        <w:t>、手杖的三点步行训练顺序</w:t>
      </w:r>
      <w:r>
        <w:rPr>
          <w:b/>
          <w:bCs/>
          <w:u w:val="single"/>
        </w:rPr>
        <w:t xml:space="preserve">       </w:t>
      </w:r>
      <w:r>
        <w:rPr>
          <w:rFonts w:hint="eastAsia"/>
        </w:rPr>
        <w:t>、</w:t>
      </w:r>
      <w:r>
        <w:rPr>
          <w:b/>
          <w:bCs/>
          <w:u w:val="single"/>
        </w:rPr>
        <w:t xml:space="preserve">        </w:t>
      </w:r>
      <w:r>
        <w:rPr>
          <w:rFonts w:hint="eastAsia"/>
        </w:rPr>
        <w:t>、</w:t>
      </w:r>
      <w:r>
        <w:rPr>
          <w:b/>
          <w:bCs/>
          <w:u w:val="single"/>
        </w:rPr>
        <w:t xml:space="preserve">        </w:t>
      </w:r>
      <w:r>
        <w:rPr>
          <w:rFonts w:hint="eastAsia"/>
        </w:rPr>
        <w:t>。</w:t>
      </w:r>
    </w:p>
    <w:p w:rsidR="003717A0" w:rsidRDefault="003717A0">
      <w:r>
        <w:t>4</w:t>
      </w:r>
      <w:r>
        <w:rPr>
          <w:rFonts w:hint="eastAsia"/>
        </w:rPr>
        <w:t>、颈椎牵引参数三要素是指</w:t>
      </w:r>
      <w:r>
        <w:rPr>
          <w:u w:val="single"/>
        </w:rPr>
        <w:t xml:space="preserve">      </w:t>
      </w:r>
      <w:r>
        <w:rPr>
          <w:rFonts w:hint="eastAsia"/>
        </w:rPr>
        <w:t>、</w:t>
      </w:r>
      <w:r>
        <w:rPr>
          <w:u w:val="single"/>
        </w:rPr>
        <w:t xml:space="preserve">      </w:t>
      </w:r>
      <w:r>
        <w:rPr>
          <w:rFonts w:hint="eastAsia"/>
        </w:rPr>
        <w:t>、</w:t>
      </w:r>
      <w:r>
        <w:rPr>
          <w:u w:val="single"/>
        </w:rPr>
        <w:t xml:space="preserve">       </w:t>
      </w:r>
      <w:r>
        <w:rPr>
          <w:rFonts w:hint="eastAsia"/>
        </w:rPr>
        <w:t>。</w:t>
      </w:r>
      <w:r>
        <w:t xml:space="preserve"> </w:t>
      </w:r>
    </w:p>
    <w:p w:rsidR="003717A0" w:rsidRDefault="003717A0">
      <w:pPr>
        <w:ind w:left="735" w:hangingChars="350" w:hanging="735"/>
        <w:rPr>
          <w:b/>
          <w:bCs/>
        </w:rPr>
      </w:pPr>
      <w:r>
        <w:t>5</w:t>
      </w:r>
      <w:r>
        <w:rPr>
          <w:rFonts w:hint="eastAsia"/>
        </w:rPr>
        <w:t>、影响关节活动度和稳定性的主要因素</w:t>
      </w:r>
      <w:r>
        <w:rPr>
          <w:b/>
          <w:bCs/>
          <w:u w:val="single"/>
        </w:rPr>
        <w:t xml:space="preserve">              </w:t>
      </w:r>
      <w:r>
        <w:rPr>
          <w:rFonts w:hint="eastAsia"/>
          <w:b/>
          <w:bCs/>
        </w:rPr>
        <w:t>、</w:t>
      </w:r>
      <w:r>
        <w:rPr>
          <w:b/>
          <w:bCs/>
        </w:rPr>
        <w:t xml:space="preserve"> </w:t>
      </w:r>
      <w:r>
        <w:rPr>
          <w:b/>
          <w:bCs/>
          <w:u w:val="single"/>
        </w:rPr>
        <w:t xml:space="preserve">              </w:t>
      </w:r>
      <w:r>
        <w:rPr>
          <w:rFonts w:hint="eastAsia"/>
          <w:b/>
          <w:bCs/>
        </w:rPr>
        <w:t>、</w:t>
      </w:r>
      <w:r>
        <w:rPr>
          <w:b/>
          <w:bCs/>
          <w:u w:val="single"/>
        </w:rPr>
        <w:t xml:space="preserve">       </w:t>
      </w:r>
      <w:r>
        <w:rPr>
          <w:b/>
          <w:bCs/>
        </w:rPr>
        <w:t xml:space="preserve"> </w:t>
      </w:r>
      <w:r>
        <w:rPr>
          <w:rFonts w:hint="eastAsia"/>
          <w:b/>
          <w:bCs/>
        </w:rPr>
        <w:t>。</w:t>
      </w:r>
    </w:p>
    <w:p w:rsidR="003717A0" w:rsidRDefault="003717A0">
      <w:pPr>
        <w:pStyle w:val="a9"/>
        <w:spacing w:line="380" w:lineRule="exact"/>
      </w:pPr>
      <w:r>
        <w:rPr>
          <w:rFonts w:hint="eastAsia"/>
        </w:rPr>
        <w:t>四、问答题（共</w:t>
      </w:r>
      <w:r>
        <w:t>30</w:t>
      </w:r>
      <w:r>
        <w:rPr>
          <w:rFonts w:hint="eastAsia"/>
        </w:rPr>
        <w:t>分）</w:t>
      </w:r>
    </w:p>
    <w:p w:rsidR="003717A0" w:rsidRDefault="003717A0">
      <w:pPr>
        <w:spacing w:line="360" w:lineRule="auto"/>
      </w:pPr>
      <w:r>
        <w:t>1</w:t>
      </w:r>
      <w:r>
        <w:rPr>
          <w:rFonts w:hint="eastAsia"/>
        </w:rPr>
        <w:t>、关节松动技术的治疗作用（</w:t>
      </w:r>
      <w:r>
        <w:t>6</w:t>
      </w:r>
      <w:r>
        <w:rPr>
          <w:rFonts w:hint="eastAsia"/>
        </w:rPr>
        <w:t>）</w:t>
      </w:r>
    </w:p>
    <w:p w:rsidR="003717A0" w:rsidRDefault="003717A0">
      <w:pPr>
        <w:spacing w:line="360" w:lineRule="auto"/>
      </w:pPr>
      <w:r>
        <w:t>2</w:t>
      </w:r>
      <w:r>
        <w:rPr>
          <w:rFonts w:hint="eastAsia"/>
        </w:rPr>
        <w:t>、平衡训练的基本原则（</w:t>
      </w:r>
      <w:r>
        <w:t>7</w:t>
      </w:r>
      <w:r>
        <w:rPr>
          <w:rFonts w:hint="eastAsia"/>
        </w:rPr>
        <w:t>）</w:t>
      </w:r>
    </w:p>
    <w:p w:rsidR="003717A0" w:rsidRDefault="003717A0">
      <w:pPr>
        <w:spacing w:line="360" w:lineRule="auto"/>
      </w:pPr>
      <w:r>
        <w:t>3</w:t>
      </w:r>
      <w:r>
        <w:rPr>
          <w:rFonts w:hint="eastAsia"/>
        </w:rPr>
        <w:t>、</w:t>
      </w:r>
      <w:r>
        <w:rPr>
          <w:rFonts w:ascii="Times New Roman" w:hAnsi="Times New Roman" w:hint="eastAsia"/>
          <w:szCs w:val="24"/>
        </w:rPr>
        <w:t>持续被动运动的作用机制？</w:t>
      </w:r>
      <w:r>
        <w:rPr>
          <w:rFonts w:hint="eastAsia"/>
        </w:rPr>
        <w:t>（</w:t>
      </w:r>
      <w:r>
        <w:t>6</w:t>
      </w:r>
      <w:r>
        <w:rPr>
          <w:rFonts w:hint="eastAsia"/>
        </w:rPr>
        <w:t>）</w:t>
      </w:r>
    </w:p>
    <w:p w:rsidR="003717A0" w:rsidRDefault="003717A0">
      <w:pPr>
        <w:spacing w:line="360" w:lineRule="auto"/>
      </w:pPr>
      <w:r>
        <w:t>4</w:t>
      </w:r>
      <w:r>
        <w:rPr>
          <w:rFonts w:hint="eastAsia"/>
        </w:rPr>
        <w:t>、试述</w:t>
      </w:r>
      <w:r>
        <w:t>Bobath</w:t>
      </w:r>
      <w:r>
        <w:rPr>
          <w:rFonts w:hint="eastAsia"/>
        </w:rPr>
        <w:t>疗法的治疗原理和具体训练方法（</w:t>
      </w:r>
      <w:r>
        <w:t>6</w:t>
      </w:r>
      <w:r>
        <w:rPr>
          <w:rFonts w:hint="eastAsia"/>
        </w:rPr>
        <w:t>）</w:t>
      </w:r>
    </w:p>
    <w:p w:rsidR="003717A0" w:rsidRDefault="003717A0">
      <w:pPr>
        <w:spacing w:line="360" w:lineRule="auto"/>
      </w:pPr>
      <w:r>
        <w:t>5</w:t>
      </w:r>
      <w:r>
        <w:rPr>
          <w:rFonts w:hint="eastAsia"/>
        </w:rPr>
        <w:t>、偏瘫患者常见的痉挛模式（划圈步态的原因）（</w:t>
      </w:r>
      <w:r>
        <w:t>5</w:t>
      </w:r>
      <w:r>
        <w:rPr>
          <w:rFonts w:hint="eastAsia"/>
        </w:rPr>
        <w:t>）</w:t>
      </w:r>
    </w:p>
    <w:p w:rsidR="003717A0" w:rsidRDefault="003717A0">
      <w:pPr>
        <w:ind w:left="738" w:hangingChars="350" w:hanging="738"/>
        <w:rPr>
          <w:b/>
          <w:bCs/>
        </w:rPr>
      </w:pPr>
    </w:p>
    <w:p w:rsidR="003717A0" w:rsidRDefault="003717A0">
      <w:pPr>
        <w:widowControl/>
        <w:adjustRightInd w:val="0"/>
        <w:snapToGrid w:val="0"/>
        <w:spacing w:line="360" w:lineRule="auto"/>
        <w:rPr>
          <w:rFonts w:ascii="Times New Roman" w:eastAsia="黑体" w:hAnsi="Times New Roman"/>
          <w:kern w:val="0"/>
          <w:sz w:val="34"/>
          <w:szCs w:val="34"/>
        </w:rPr>
      </w:pPr>
    </w:p>
    <w:p w:rsidR="003717A0" w:rsidRDefault="003717A0">
      <w:pPr>
        <w:widowControl/>
        <w:adjustRightInd w:val="0"/>
        <w:snapToGrid w:val="0"/>
        <w:spacing w:line="360" w:lineRule="auto"/>
        <w:rPr>
          <w:rFonts w:ascii="Times New Roman" w:eastAsia="黑体" w:hAnsi="Times New Roman"/>
          <w:kern w:val="0"/>
          <w:sz w:val="34"/>
          <w:szCs w:val="34"/>
        </w:rPr>
      </w:pPr>
    </w:p>
    <w:p w:rsidR="003717A0" w:rsidRDefault="003717A0">
      <w:pPr>
        <w:widowControl/>
        <w:adjustRightInd w:val="0"/>
        <w:snapToGrid w:val="0"/>
        <w:spacing w:line="360" w:lineRule="auto"/>
        <w:rPr>
          <w:rFonts w:ascii="Times New Roman" w:eastAsia="黑体" w:hAnsi="Times New Roman"/>
          <w:kern w:val="0"/>
          <w:sz w:val="34"/>
          <w:szCs w:val="34"/>
        </w:rPr>
      </w:pPr>
    </w:p>
    <w:p w:rsidR="003717A0" w:rsidRDefault="003717A0">
      <w:pPr>
        <w:widowControl/>
        <w:adjustRightInd w:val="0"/>
        <w:snapToGrid w:val="0"/>
        <w:spacing w:line="360" w:lineRule="auto"/>
        <w:rPr>
          <w:rFonts w:ascii="Times New Roman" w:eastAsia="黑体" w:hAnsi="Times New Roman"/>
          <w:kern w:val="0"/>
          <w:sz w:val="34"/>
          <w:szCs w:val="34"/>
        </w:rPr>
      </w:pPr>
    </w:p>
    <w:p w:rsidR="003717A0" w:rsidRDefault="003717A0">
      <w:pPr>
        <w:widowControl/>
        <w:adjustRightInd w:val="0"/>
        <w:snapToGrid w:val="0"/>
        <w:spacing w:line="360" w:lineRule="auto"/>
        <w:rPr>
          <w:rFonts w:ascii="Times New Roman" w:eastAsia="黑体" w:hAnsi="Times New Roman"/>
          <w:kern w:val="0"/>
          <w:sz w:val="34"/>
          <w:szCs w:val="34"/>
        </w:rPr>
      </w:pPr>
    </w:p>
    <w:p w:rsidR="003717A0" w:rsidRPr="00F5156D" w:rsidRDefault="003717A0" w:rsidP="00F5156D">
      <w:pPr>
        <w:widowControl/>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形态的描述，可在实习课中让学生通过病案引入和康复评定工具来加强理解。教师应关心康复功能评定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41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1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419"/>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2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2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2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多媒体教学手段、课堂实验、病案引入相结合，以培养学生实践动手的能力。</w:t>
            </w:r>
          </w:p>
          <w:p w:rsidR="003717A0" w:rsidRDefault="003717A0">
            <w:pPr>
              <w:numPr>
                <w:ilvl w:val="0"/>
                <w:numId w:val="420"/>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Chars="54" w:left="113" w:right="113" w:firstLineChars="343" w:firstLine="826"/>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rFonts w:ascii="Times New Roman" w:hAnsi="宋体"/>
                <w:szCs w:val="21"/>
              </w:rPr>
            </w:pPr>
            <w:r>
              <w:rPr>
                <w:rFonts w:ascii="Times New Roman" w:hAnsi="宋体" w:hint="eastAsia"/>
                <w:szCs w:val="21"/>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42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42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89" w:name="_Toc469313006"/>
      <w:bookmarkStart w:id="90" w:name="_Toc471830718"/>
      <w:r w:rsidRPr="00566E4D">
        <w:rPr>
          <w:rFonts w:hint="eastAsia"/>
          <w:b/>
        </w:rPr>
        <w:lastRenderedPageBreak/>
        <w:t>《诊断学》课程质量标准</w:t>
      </w:r>
      <w:bookmarkEnd w:id="89"/>
      <w:bookmarkEnd w:id="90"/>
    </w:p>
    <w:p w:rsidR="003717A0" w:rsidRPr="00F5156D" w:rsidRDefault="003717A0" w:rsidP="00F5156D">
      <w:pPr>
        <w:widowControl/>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诊断学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diagnostics</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170178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三</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72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4</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诊断学教研室</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诊断学第八版</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人民卫生出版社，</w:t>
            </w:r>
            <w:r>
              <w:rPr>
                <w:sz w:val="22"/>
              </w:rPr>
              <w:t>2013</w:t>
            </w:r>
            <w:r>
              <w:rPr>
                <w:rFonts w:hint="eastAsia"/>
                <w:sz w:val="22"/>
              </w:rPr>
              <w:t>年</w:t>
            </w:r>
            <w:r>
              <w:rPr>
                <w:sz w:val="22"/>
              </w:rPr>
              <w:t>3</w:t>
            </w:r>
            <w:r>
              <w:rPr>
                <w:rFonts w:hint="eastAsia"/>
                <w:sz w:val="22"/>
              </w:rPr>
              <w:t>月第</w:t>
            </w:r>
            <w:r>
              <w:rPr>
                <w:sz w:val="22"/>
              </w:rPr>
              <w:t>8</w:t>
            </w:r>
            <w:r>
              <w:rPr>
                <w:rFonts w:hint="eastAsia"/>
                <w:sz w:val="22"/>
              </w:rPr>
              <w:t>版，书号：</w:t>
            </w:r>
            <w:r>
              <w:rPr>
                <w:sz w:val="22"/>
              </w:rPr>
              <w:t>ISBN 978-7-117-17077-2/R.17078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20%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80%</w:t>
            </w:r>
          </w:p>
        </w:tc>
      </w:tr>
      <w:tr w:rsidR="003717A0">
        <w:trPr>
          <w:trHeight w:val="386"/>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周国雄</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pPr>
              <w:adjustRightInd w:val="0"/>
              <w:snapToGrid w:val="0"/>
              <w:spacing w:line="500" w:lineRule="exact"/>
              <w:jc w:val="center"/>
              <w:rPr>
                <w:sz w:val="22"/>
              </w:rPr>
            </w:pPr>
            <w:r>
              <w:rPr>
                <w:sz w:val="22"/>
              </w:rPr>
              <w:t>1985.8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施辉</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1984.8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姜敏辉</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主任医师</w:t>
            </w:r>
          </w:p>
        </w:tc>
        <w:tc>
          <w:tcPr>
            <w:tcW w:w="1524" w:type="dxa"/>
          </w:tcPr>
          <w:p w:rsidR="003717A0" w:rsidRDefault="003717A0">
            <w:pPr>
              <w:adjustRightInd w:val="0"/>
              <w:snapToGrid w:val="0"/>
              <w:spacing w:line="500" w:lineRule="exact"/>
              <w:jc w:val="center"/>
              <w:rPr>
                <w:sz w:val="22"/>
              </w:rPr>
            </w:pPr>
            <w:r>
              <w:rPr>
                <w:sz w:val="22"/>
              </w:rPr>
              <w:t>1984.8</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徐瑞容</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主任医师</w:t>
            </w:r>
          </w:p>
        </w:tc>
        <w:tc>
          <w:tcPr>
            <w:tcW w:w="1524" w:type="dxa"/>
          </w:tcPr>
          <w:p w:rsidR="003717A0" w:rsidRDefault="003717A0">
            <w:pPr>
              <w:adjustRightInd w:val="0"/>
              <w:snapToGrid w:val="0"/>
              <w:spacing w:line="500" w:lineRule="exact"/>
              <w:jc w:val="center"/>
              <w:rPr>
                <w:sz w:val="22"/>
              </w:rPr>
            </w:pPr>
            <w:r>
              <w:rPr>
                <w:sz w:val="22"/>
              </w:rPr>
              <w:t>1980.2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潘闽</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1993.8</w:t>
            </w:r>
          </w:p>
        </w:tc>
      </w:tr>
      <w:tr w:rsidR="003717A0">
        <w:trPr>
          <w:trHeight w:val="247"/>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ind w:firstLineChars="200" w:firstLine="420"/>
              <w:rPr>
                <w:szCs w:val="21"/>
              </w:rPr>
            </w:pPr>
            <w:r>
              <w:rPr>
                <w:rFonts w:hint="eastAsia"/>
                <w:szCs w:val="21"/>
              </w:rPr>
              <w:t>诊断学是论述疾病诊断的基本理论和方法的一门课程。近年来随着医学的发展，诊断学发展也非常迅速，许多诊断技术已从诊断学中分离出去变成一门独立的课程，如，影像诊断学，因此，本课程着重讲解作为临床医师培养中最基本的诊断方法，如询问病史、体格检查、基本的实验检查等。</w:t>
            </w:r>
          </w:p>
          <w:p w:rsidR="003717A0" w:rsidRDefault="003717A0">
            <w:pPr>
              <w:adjustRightInd w:val="0"/>
              <w:snapToGrid w:val="0"/>
              <w:ind w:firstLineChars="200" w:firstLine="420"/>
              <w:rPr>
                <w:rFonts w:ascii="Times New Roman" w:hAnsi="Times New Roman"/>
                <w:sz w:val="22"/>
              </w:rPr>
            </w:pPr>
            <w:r>
              <w:rPr>
                <w:rFonts w:hint="eastAsia"/>
                <w:szCs w:val="21"/>
              </w:rPr>
              <w:t>诊断学的任务是通过课堂教授和临床实践教学使学生熟悉或掌握诊断疾病的基础理论、基本知识与基本技能，为学习临床各专业课程奠定基础。</w:t>
            </w:r>
          </w:p>
        </w:tc>
      </w:tr>
    </w:tbl>
    <w:p w:rsidR="003717A0" w:rsidRDefault="003717A0" w:rsidP="00F5156D">
      <w:pPr>
        <w:widowControl/>
        <w:jc w:val="center"/>
        <w:rPr>
          <w:rFonts w:ascii="Times New Roman" w:eastAsia="黑体" w:hAnsi="Times New Roman" w:cs="Times New Roman"/>
          <w:b/>
          <w:bCs/>
          <w:kern w:val="0"/>
          <w:sz w:val="32"/>
          <w:szCs w:val="32"/>
        </w:rPr>
      </w:pPr>
    </w:p>
    <w:p w:rsidR="003717A0" w:rsidRPr="00F5156D" w:rsidRDefault="003717A0" w:rsidP="00F5156D">
      <w:pPr>
        <w:widowControl/>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r>
        <w:rPr>
          <w:rFonts w:ascii="Times New Roman" w:hAnsi="Times New Roman" w:hint="eastAsia"/>
          <w:kern w:val="0"/>
          <w:szCs w:val="21"/>
        </w:rPr>
        <w:t>课程代码：</w:t>
      </w:r>
      <w:r>
        <w:rPr>
          <w:sz w:val="22"/>
        </w:rPr>
        <w:t>170178</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72</w:t>
      </w:r>
      <w:r>
        <w:rPr>
          <w:rFonts w:ascii="Times New Roman" w:hAnsi="Times New Roman" w:hint="eastAsia"/>
          <w:kern w:val="0"/>
          <w:szCs w:val="21"/>
        </w:rPr>
        <w:t>学时（理论学时</w:t>
      </w:r>
      <w:r>
        <w:rPr>
          <w:rFonts w:ascii="Times New Roman" w:hAnsi="Times New Roman"/>
          <w:kern w:val="0"/>
          <w:szCs w:val="21"/>
        </w:rPr>
        <w:t>54</w:t>
      </w:r>
      <w:r>
        <w:rPr>
          <w:rFonts w:ascii="Times New Roman" w:hAnsi="Times New Roman" w:hint="eastAsia"/>
          <w:kern w:val="0"/>
          <w:szCs w:val="21"/>
        </w:rPr>
        <w:t>，实验学时</w:t>
      </w:r>
      <w:r>
        <w:rPr>
          <w:rFonts w:ascii="Times New Roman" w:hAnsi="Times New Roman"/>
          <w:kern w:val="0"/>
          <w:szCs w:val="21"/>
        </w:rPr>
        <w:t>1</w:t>
      </w:r>
      <w:r>
        <w:rPr>
          <w:rFonts w:ascii="Times New Roman" w:hAnsi="Times New Roman" w:hint="eastAsia"/>
          <w:kern w:val="0"/>
          <w:szCs w:val="21"/>
        </w:rPr>
        <w:t>）</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4</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r>
        <w:rPr>
          <w:rFonts w:ascii="Times New Roman" w:hAnsi="Times New Roman" w:hint="eastAsia"/>
          <w:kern w:val="0"/>
          <w:szCs w:val="21"/>
        </w:rPr>
        <w:t>先修课程：诊断学</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r>
        <w:rPr>
          <w:rFonts w:ascii="Times New Roman" w:hAnsi="Times New Roman" w:hint="eastAsia"/>
          <w:kern w:val="0"/>
          <w:szCs w:val="21"/>
        </w:rPr>
        <w:t>后续课程：内外妇儿等临床课程</w:t>
      </w:r>
    </w:p>
    <w:p w:rsidR="003717A0" w:rsidRDefault="003717A0">
      <w:pPr>
        <w:autoSpaceDE w:val="0"/>
        <w:autoSpaceDN w:val="0"/>
        <w:adjustRightInd w:val="0"/>
        <w:snapToGrid w:val="0"/>
        <w:spacing w:line="460" w:lineRule="exact"/>
        <w:ind w:firstLineChars="193" w:firstLine="405"/>
        <w:jc w:val="left"/>
        <w:rPr>
          <w:rFonts w:ascii="Times New Roman" w:hAnsi="Times New Roman"/>
          <w:kern w:val="0"/>
          <w:szCs w:val="21"/>
        </w:rPr>
      </w:pPr>
    </w:p>
    <w:p w:rsidR="003717A0" w:rsidRDefault="003717A0">
      <w:pPr>
        <w:autoSpaceDE w:val="0"/>
        <w:autoSpaceDN w:val="0"/>
        <w:adjustRightInd w:val="0"/>
        <w:snapToGrid w:val="0"/>
        <w:spacing w:line="460" w:lineRule="exact"/>
        <w:jc w:val="left"/>
        <w:rPr>
          <w:rFonts w:ascii="Times New Roman" w:hAnsi="Times New Roman"/>
          <w:kern w:val="0"/>
          <w:szCs w:val="21"/>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60" w:lineRule="exact"/>
        <w:ind w:firstLineChars="196" w:firstLine="412"/>
        <w:jc w:val="left"/>
        <w:rPr>
          <w:rFonts w:ascii="Times New Roman" w:hAnsi="Times New Roman"/>
          <w:kern w:val="0"/>
          <w:szCs w:val="21"/>
        </w:rPr>
      </w:pPr>
      <w:r>
        <w:rPr>
          <w:rFonts w:ascii="Times New Roman" w:hAnsi="Times New Roman" w:hint="eastAsia"/>
          <w:kern w:val="0"/>
          <w:szCs w:val="21"/>
        </w:rPr>
        <w:t>诊断学是运用医学基本理论、基本知识和基本技能对疾病进行诊断的一门学科</w:t>
      </w:r>
      <w:r>
        <w:rPr>
          <w:rFonts w:ascii="Times New Roman" w:hAnsi="Times New Roman"/>
          <w:kern w:val="0"/>
          <w:szCs w:val="21"/>
        </w:rPr>
        <w:t xml:space="preserve">, </w:t>
      </w:r>
      <w:r>
        <w:rPr>
          <w:rFonts w:ascii="Times New Roman" w:hAnsi="Times New Roman" w:hint="eastAsia"/>
          <w:kern w:val="0"/>
          <w:szCs w:val="21"/>
        </w:rPr>
        <w:t>是临床医学各专业的入门和基础学科，是从基础医学过渡到临床医学的桥梁课程。该课程为一学期内讲授，基本内容包括：病史采集、常见症状和体征、体格检查、实验室检查、辅助检查（包括心电图）等。课程目标：使学生掌握基本的采集病史的技巧，体格检查的方法，了解临床常用的辅助检查的基本原理和应用范围，临床意义等，培养正确的临床思维方法，使学生具有初步和病人独立接触，独立采集和编写完整住院病历，提出初步诊断的能力。为进一步学习各临床课程打下基础。</w:t>
      </w:r>
    </w:p>
    <w:p w:rsidR="003717A0" w:rsidRDefault="003717A0">
      <w:pPr>
        <w:autoSpaceDE w:val="0"/>
        <w:autoSpaceDN w:val="0"/>
        <w:adjustRightInd w:val="0"/>
        <w:snapToGrid w:val="0"/>
        <w:spacing w:line="460" w:lineRule="exact"/>
        <w:ind w:firstLineChars="196" w:firstLine="412"/>
        <w:jc w:val="left"/>
        <w:rPr>
          <w:rFonts w:ascii="Times New Roman" w:hAnsi="Times New Roman"/>
          <w:kern w:val="0"/>
          <w:szCs w:val="21"/>
        </w:rPr>
      </w:pPr>
    </w:p>
    <w:p w:rsidR="003717A0" w:rsidRDefault="003717A0">
      <w:pPr>
        <w:autoSpaceDE w:val="0"/>
        <w:autoSpaceDN w:val="0"/>
        <w:adjustRightInd w:val="0"/>
        <w:snapToGrid w:val="0"/>
        <w:spacing w:line="4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60" w:lineRule="exact"/>
        <w:ind w:firstLine="435"/>
        <w:jc w:val="left"/>
        <w:rPr>
          <w:rFonts w:ascii="Times New Roman" w:hAnsi="Times New Roman"/>
          <w:kern w:val="0"/>
          <w:szCs w:val="21"/>
        </w:rPr>
      </w:pPr>
      <w:r>
        <w:rPr>
          <w:rFonts w:ascii="Times New Roman" w:hAnsi="Times New Roman" w:hint="eastAsia"/>
          <w:kern w:val="0"/>
          <w:szCs w:val="21"/>
        </w:rPr>
        <w:t>根据专业培养目标的要求，通过诊断学的学习，要求学生：⒈能独立进行系统的问诊和体格检查，了解病人的主诉、体征之间的内在联系和临床意义。</w:t>
      </w:r>
      <w:r>
        <w:rPr>
          <w:rFonts w:ascii="Times New Roman" w:hAnsi="Times New Roman"/>
          <w:kern w:val="0"/>
          <w:szCs w:val="21"/>
        </w:rPr>
        <w:t xml:space="preserve">  </w:t>
      </w:r>
      <w:r>
        <w:rPr>
          <w:rFonts w:ascii="Times New Roman" w:hAnsi="Times New Roman" w:hint="eastAsia"/>
          <w:kern w:val="0"/>
          <w:szCs w:val="21"/>
        </w:rPr>
        <w:t>⒉能使用规范的手法进行系统、全面、重点、有序地体格检查。</w:t>
      </w:r>
      <w:r>
        <w:rPr>
          <w:rFonts w:ascii="Times New Roman" w:hAnsi="Times New Roman"/>
          <w:kern w:val="0"/>
          <w:szCs w:val="21"/>
        </w:rPr>
        <w:t xml:space="preserve"> </w:t>
      </w:r>
      <w:r>
        <w:rPr>
          <w:rFonts w:ascii="Times New Roman" w:hAnsi="Times New Roman" w:hint="eastAsia"/>
          <w:kern w:val="0"/>
          <w:szCs w:val="21"/>
        </w:rPr>
        <w:t>⒊熟悉临床常用检验项目的目的和临床意义。</w:t>
      </w:r>
      <w:r>
        <w:rPr>
          <w:rFonts w:ascii="Times New Roman" w:hAnsi="Times New Roman"/>
          <w:kern w:val="0"/>
          <w:szCs w:val="21"/>
        </w:rPr>
        <w:t xml:space="preserve">  </w:t>
      </w:r>
      <w:r>
        <w:rPr>
          <w:rFonts w:ascii="Times New Roman" w:hAnsi="Times New Roman" w:hint="eastAsia"/>
          <w:kern w:val="0"/>
          <w:szCs w:val="21"/>
        </w:rPr>
        <w:t>⒋掌握心电图机的操作程序，熟悉正常心电图及异常心电图的图像分析。</w:t>
      </w:r>
      <w:r>
        <w:rPr>
          <w:rFonts w:ascii="Times New Roman" w:hAnsi="Times New Roman"/>
          <w:kern w:val="0"/>
          <w:szCs w:val="21"/>
        </w:rPr>
        <w:t xml:space="preserve"> </w:t>
      </w:r>
      <w:r>
        <w:rPr>
          <w:rFonts w:ascii="Times New Roman" w:hAnsi="Times New Roman" w:hint="eastAsia"/>
          <w:kern w:val="0"/>
          <w:szCs w:val="21"/>
        </w:rPr>
        <w:t>⒌了解实验室检查的指征及临床意义。</w:t>
      </w:r>
      <w:r>
        <w:rPr>
          <w:rFonts w:ascii="Times New Roman" w:hAnsi="Times New Roman"/>
          <w:kern w:val="0"/>
          <w:szCs w:val="21"/>
        </w:rPr>
        <w:t xml:space="preserve">  </w:t>
      </w:r>
      <w:r>
        <w:rPr>
          <w:rFonts w:ascii="Times New Roman" w:hAnsi="Times New Roman" w:hint="eastAsia"/>
          <w:kern w:val="0"/>
          <w:szCs w:val="21"/>
        </w:rPr>
        <w:t>⒍能将问诊和体格检查资料进行系统的整理，写出格式正确，符合要求的完整病历。</w:t>
      </w:r>
      <w:r>
        <w:rPr>
          <w:rFonts w:ascii="Times New Roman" w:hAnsi="Times New Roman"/>
          <w:kern w:val="0"/>
          <w:szCs w:val="21"/>
        </w:rPr>
        <w:t xml:space="preserve"> </w:t>
      </w:r>
      <w:r>
        <w:rPr>
          <w:rFonts w:ascii="Times New Roman" w:hAnsi="Times New Roman" w:hint="eastAsia"/>
          <w:kern w:val="0"/>
          <w:szCs w:val="21"/>
        </w:rPr>
        <w:t>⒎能根据病史、体格检查和辅助检查的资料进行分析提出初步诊断。</w:t>
      </w:r>
      <w:r>
        <w:rPr>
          <w:rFonts w:ascii="Times New Roman" w:hAnsi="Times New Roman"/>
          <w:kern w:val="0"/>
          <w:szCs w:val="21"/>
        </w:rPr>
        <w:t xml:space="preserve"> </w:t>
      </w:r>
      <w:r>
        <w:rPr>
          <w:rFonts w:ascii="Times New Roman" w:hAnsi="Times New Roman" w:hint="eastAsia"/>
          <w:kern w:val="0"/>
          <w:szCs w:val="21"/>
        </w:rPr>
        <w:t>⒏培养科学的思维方法和独立分析问题的能力。</w:t>
      </w:r>
      <w:r>
        <w:rPr>
          <w:rFonts w:ascii="Times New Roman" w:hAnsi="Times New Roman"/>
          <w:kern w:val="0"/>
          <w:szCs w:val="21"/>
        </w:rPr>
        <w:t xml:space="preserve">  </w:t>
      </w:r>
      <w:r>
        <w:rPr>
          <w:rFonts w:ascii="Times New Roman" w:hAnsi="Times New Roman" w:hint="eastAsia"/>
          <w:kern w:val="0"/>
          <w:szCs w:val="21"/>
        </w:rPr>
        <w:t>⒑培养细心、耐心、关心病人的职业素质，树立全心全意为病人服务的思想。</w:t>
      </w:r>
    </w:p>
    <w:p w:rsidR="003717A0" w:rsidRDefault="003717A0">
      <w:pPr>
        <w:autoSpaceDE w:val="0"/>
        <w:autoSpaceDN w:val="0"/>
        <w:adjustRightInd w:val="0"/>
        <w:snapToGrid w:val="0"/>
        <w:spacing w:line="360" w:lineRule="auto"/>
        <w:ind w:firstLine="435"/>
        <w:jc w:val="left"/>
        <w:rPr>
          <w:rFonts w:ascii="Times New Roman" w:hAnsi="Times New Roman"/>
          <w:kern w:val="0"/>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诊断学绪论，问诊</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p>
    <w:p w:rsidR="003717A0" w:rsidRDefault="003717A0">
      <w:pPr>
        <w:adjustRightInd w:val="0"/>
        <w:snapToGrid w:val="0"/>
        <w:spacing w:line="360" w:lineRule="auto"/>
        <w:ind w:right="6" w:firstLineChars="200" w:firstLine="420"/>
        <w:rPr>
          <w:rFonts w:ascii="Times New Roman"/>
        </w:rPr>
      </w:pPr>
      <w:r>
        <w:rPr>
          <w:rFonts w:ascii="Times New Roman"/>
        </w:rPr>
        <w:t>1</w:t>
      </w:r>
      <w:r>
        <w:rPr>
          <w:rFonts w:ascii="Times New Roman" w:hint="eastAsia"/>
        </w:rPr>
        <w:t>、学习诊断学的指导思想。</w:t>
      </w:r>
    </w:p>
    <w:p w:rsidR="003717A0" w:rsidRDefault="003717A0">
      <w:pPr>
        <w:adjustRightInd w:val="0"/>
        <w:snapToGrid w:val="0"/>
        <w:spacing w:line="360" w:lineRule="auto"/>
        <w:ind w:right="6" w:firstLineChars="200" w:firstLine="420"/>
        <w:rPr>
          <w:rFonts w:ascii="Times New Roman"/>
        </w:rPr>
      </w:pPr>
      <w:r>
        <w:rPr>
          <w:rFonts w:ascii="Times New Roman"/>
        </w:rPr>
        <w:lastRenderedPageBreak/>
        <w:t>2</w:t>
      </w:r>
      <w:r>
        <w:rPr>
          <w:rFonts w:ascii="Times New Roman" w:hint="eastAsia"/>
        </w:rPr>
        <w:t>、诊断学在临床医学中的地位与作用。</w:t>
      </w:r>
    </w:p>
    <w:p w:rsidR="003717A0" w:rsidRDefault="003717A0">
      <w:pPr>
        <w:adjustRightInd w:val="0"/>
        <w:snapToGrid w:val="0"/>
        <w:spacing w:line="360" w:lineRule="auto"/>
        <w:ind w:right="6" w:firstLineChars="200" w:firstLine="420"/>
        <w:rPr>
          <w:rFonts w:ascii="Times New Roman"/>
        </w:rPr>
      </w:pPr>
      <w:r>
        <w:rPr>
          <w:rFonts w:ascii="Times New Roman"/>
        </w:rPr>
        <w:t>3</w:t>
      </w:r>
      <w:r>
        <w:rPr>
          <w:rFonts w:ascii="Times New Roman" w:hint="eastAsia"/>
        </w:rPr>
        <w:t>、诊断学的基本内容：常见症状、问诊、体格检查，化验室检查，心电图检查，病历编写与诊断思维方法，并概要介绍诊断方法的新进展。</w:t>
      </w:r>
    </w:p>
    <w:p w:rsidR="003717A0" w:rsidRDefault="003717A0">
      <w:pPr>
        <w:adjustRightInd w:val="0"/>
        <w:snapToGrid w:val="0"/>
        <w:spacing w:line="360" w:lineRule="auto"/>
        <w:ind w:right="6" w:firstLineChars="200" w:firstLine="420"/>
        <w:rPr>
          <w:rFonts w:ascii="Times New Roman"/>
        </w:rPr>
      </w:pPr>
      <w:r>
        <w:rPr>
          <w:rFonts w:ascii="Times New Roman"/>
        </w:rPr>
        <w:t>4</w:t>
      </w:r>
      <w:r>
        <w:rPr>
          <w:rFonts w:ascii="Times New Roman" w:hint="eastAsia"/>
        </w:rPr>
        <w:t>、学习诊断学的方法和要求</w:t>
      </w:r>
    </w:p>
    <w:p w:rsidR="003717A0" w:rsidRDefault="003717A0">
      <w:pPr>
        <w:adjustRightInd w:val="0"/>
        <w:snapToGrid w:val="0"/>
        <w:spacing w:line="360" w:lineRule="auto"/>
        <w:ind w:right="6" w:firstLineChars="200" w:firstLine="420"/>
        <w:rPr>
          <w:rFonts w:ascii="Times New Roman"/>
        </w:rPr>
      </w:pPr>
      <w:r>
        <w:rPr>
          <w:rFonts w:ascii="Times New Roman"/>
        </w:rPr>
        <w:t>5</w:t>
      </w:r>
      <w:r>
        <w:rPr>
          <w:rFonts w:ascii="Times New Roman" w:hint="eastAsia"/>
        </w:rPr>
        <w:t>、问诊的重要性。</w:t>
      </w:r>
    </w:p>
    <w:p w:rsidR="003717A0" w:rsidRDefault="003717A0">
      <w:pPr>
        <w:adjustRightInd w:val="0"/>
        <w:snapToGrid w:val="0"/>
        <w:spacing w:line="360" w:lineRule="auto"/>
        <w:ind w:right="6" w:firstLineChars="200" w:firstLine="420"/>
        <w:rPr>
          <w:rFonts w:ascii="Times New Roman"/>
        </w:rPr>
      </w:pPr>
      <w:r>
        <w:rPr>
          <w:rFonts w:ascii="Times New Roman"/>
        </w:rPr>
        <w:t>6</w:t>
      </w:r>
      <w:r>
        <w:rPr>
          <w:rFonts w:ascii="Times New Roman" w:hint="eastAsia"/>
        </w:rPr>
        <w:t>、问诊的方法和注意事项。</w:t>
      </w:r>
    </w:p>
    <w:p w:rsidR="003717A0" w:rsidRDefault="003717A0">
      <w:pPr>
        <w:adjustRightInd w:val="0"/>
        <w:snapToGrid w:val="0"/>
        <w:spacing w:line="360" w:lineRule="auto"/>
        <w:ind w:right="6" w:firstLineChars="200" w:firstLine="420"/>
        <w:rPr>
          <w:rFonts w:ascii="Times New Roman"/>
        </w:rPr>
      </w:pPr>
      <w:r>
        <w:rPr>
          <w:rFonts w:ascii="Times New Roman"/>
        </w:rPr>
        <w:t>7</w:t>
      </w:r>
      <w:r>
        <w:rPr>
          <w:rFonts w:ascii="Times New Roman" w:hint="eastAsia"/>
        </w:rPr>
        <w:t>、问诊的内容。</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实习内容</w:t>
      </w:r>
    </w:p>
    <w:p w:rsidR="003717A0" w:rsidRDefault="003717A0">
      <w:pPr>
        <w:adjustRightInd w:val="0"/>
        <w:snapToGrid w:val="0"/>
        <w:spacing w:line="360" w:lineRule="auto"/>
        <w:ind w:right="6" w:firstLineChars="200" w:firstLine="420"/>
        <w:rPr>
          <w:rFonts w:ascii="Times New Roman"/>
        </w:rPr>
      </w:pPr>
      <w:r>
        <w:t>1</w:t>
      </w:r>
      <w:r>
        <w:rPr>
          <w:rFonts w:hint="eastAsia"/>
        </w:rPr>
        <w:t>、实习时在问诊或病房询问病人，并将问诊资料按要求整理后书写病历（病史部分），交教师审阅。</w:t>
      </w:r>
    </w:p>
    <w:p w:rsidR="003717A0" w:rsidRDefault="003717A0">
      <w:pPr>
        <w:adjustRightInd w:val="0"/>
        <w:snapToGrid w:val="0"/>
        <w:spacing w:line="360" w:lineRule="auto"/>
        <w:ind w:right="6" w:firstLineChars="200" w:firstLine="420"/>
        <w:rPr>
          <w:rFonts w:ascii="Times New Roman"/>
        </w:rPr>
      </w:pPr>
      <w:r>
        <w:rPr>
          <w:rFonts w:ascii="Times New Roman"/>
        </w:rPr>
        <w:t>2</w:t>
      </w:r>
      <w:r>
        <w:rPr>
          <w:rFonts w:ascii="Times New Roman" w:hint="eastAsia"/>
        </w:rPr>
        <w:t>、注意问诊的技巧，注意事项</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教学目的与要求</w:t>
      </w:r>
    </w:p>
    <w:p w:rsidR="003717A0" w:rsidRDefault="003717A0">
      <w:pPr>
        <w:adjustRightInd w:val="0"/>
        <w:snapToGrid w:val="0"/>
        <w:spacing w:line="360" w:lineRule="auto"/>
        <w:ind w:right="6" w:firstLineChars="200" w:firstLine="420"/>
        <w:rPr>
          <w:rFonts w:ascii="Times New Roman"/>
        </w:rPr>
      </w:pPr>
      <w:r>
        <w:rPr>
          <w:rFonts w:ascii="Times New Roman"/>
        </w:rPr>
        <w:t>1</w:t>
      </w:r>
      <w:r>
        <w:rPr>
          <w:rFonts w:ascii="Times New Roman" w:hint="eastAsia"/>
        </w:rPr>
        <w:t>、阐述诊断学是应用问诊、体格检查、化验室检查及器械检查等方法，进行调查研究，达到正确认识健康与疾病的一门课程。</w:t>
      </w:r>
    </w:p>
    <w:p w:rsidR="003717A0" w:rsidRDefault="003717A0">
      <w:pPr>
        <w:adjustRightInd w:val="0"/>
        <w:snapToGrid w:val="0"/>
        <w:spacing w:line="360" w:lineRule="auto"/>
        <w:ind w:right="6" w:firstLineChars="200" w:firstLine="420"/>
        <w:rPr>
          <w:rFonts w:ascii="Times New Roman"/>
        </w:rPr>
      </w:pPr>
      <w:r>
        <w:rPr>
          <w:rFonts w:ascii="Times New Roman"/>
        </w:rPr>
        <w:t>2</w:t>
      </w:r>
      <w:r>
        <w:rPr>
          <w:rFonts w:ascii="Times New Roman" w:hint="eastAsia"/>
        </w:rPr>
        <w:t>、熟悉问诊的重要性。</w:t>
      </w:r>
    </w:p>
    <w:p w:rsidR="003717A0" w:rsidRDefault="003717A0">
      <w:pPr>
        <w:adjustRightInd w:val="0"/>
        <w:snapToGrid w:val="0"/>
        <w:spacing w:line="360" w:lineRule="auto"/>
        <w:ind w:right="6" w:firstLineChars="200" w:firstLine="420"/>
        <w:rPr>
          <w:rFonts w:ascii="Times New Roman"/>
        </w:rPr>
      </w:pPr>
      <w:r>
        <w:rPr>
          <w:rFonts w:ascii="Times New Roman"/>
        </w:rPr>
        <w:t>3</w:t>
      </w:r>
      <w:r>
        <w:rPr>
          <w:rFonts w:ascii="Times New Roman" w:hint="eastAsia"/>
        </w:rPr>
        <w:t>、掌握问诊的主要内容和方法</w:t>
      </w:r>
    </w:p>
    <w:p w:rsidR="003717A0" w:rsidRDefault="003717A0">
      <w:pPr>
        <w:adjustRightInd w:val="0"/>
        <w:snapToGrid w:val="0"/>
        <w:spacing w:line="360" w:lineRule="auto"/>
        <w:ind w:right="6" w:firstLineChars="200" w:firstLine="420"/>
        <w:rPr>
          <w:rFonts w:ascii="Times New Roman"/>
        </w:rPr>
      </w:pPr>
    </w:p>
    <w:p w:rsidR="003717A0" w:rsidRDefault="003717A0" w:rsidP="005E20B5">
      <w:pPr>
        <w:adjustRightInd w:val="0"/>
        <w:snapToGrid w:val="0"/>
        <w:spacing w:beforeLines="50" w:line="360" w:lineRule="auto"/>
        <w:ind w:right="6"/>
        <w:jc w:val="center"/>
        <w:rPr>
          <w:b/>
          <w:sz w:val="22"/>
        </w:rPr>
      </w:pPr>
      <w:r>
        <w:rPr>
          <w:rFonts w:hint="eastAsia"/>
          <w:b/>
          <w:sz w:val="22"/>
        </w:rPr>
        <w:t>第二章</w:t>
      </w:r>
      <w:r>
        <w:rPr>
          <w:b/>
          <w:sz w:val="22"/>
        </w:rPr>
        <w:t xml:space="preserve">  </w:t>
      </w:r>
      <w:r>
        <w:rPr>
          <w:rFonts w:hint="eastAsia"/>
          <w:b/>
          <w:sz w:val="22"/>
        </w:rPr>
        <w:t>症状学</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水肿、呼吸困难、咳嗽、咳痰与咯血、呕血与便血等。</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一、水肿</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1. </w:t>
      </w:r>
      <w:r>
        <w:rPr>
          <w:rFonts w:ascii="Times New Roman" w:hAnsi="Times New Roman" w:hint="eastAsia"/>
        </w:rPr>
        <w:t>水肿的发生机制、病因、分类及特点</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2. </w:t>
      </w:r>
      <w:r>
        <w:rPr>
          <w:rFonts w:ascii="Times New Roman" w:hAnsi="Times New Roman" w:hint="eastAsia"/>
        </w:rPr>
        <w:t>心源性水肿与肾病性水肿的鉴别要点。</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二、呼吸困难：重点了解呼吸困难的病因、机理与临床表现。</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1. </w:t>
      </w:r>
      <w:r>
        <w:rPr>
          <w:rFonts w:ascii="Times New Roman" w:hAnsi="Times New Roman" w:hint="eastAsia"/>
        </w:rPr>
        <w:t>肺原性（呼气性、吸气性及混合性）；</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2. </w:t>
      </w:r>
      <w:r>
        <w:rPr>
          <w:rFonts w:ascii="Times New Roman" w:hAnsi="Times New Roman" w:hint="eastAsia"/>
        </w:rPr>
        <w:t>心源性（左心或右心功能不全）；</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3. </w:t>
      </w:r>
      <w:r>
        <w:rPr>
          <w:rFonts w:ascii="Times New Roman" w:hAnsi="Times New Roman" w:hint="eastAsia"/>
        </w:rPr>
        <w:t>其他原因（如中毒性、神经精神性等）。</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三、咳嗽、咳痰、咯血</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1. </w:t>
      </w:r>
      <w:r>
        <w:rPr>
          <w:rFonts w:ascii="Times New Roman" w:hAnsi="Times New Roman" w:hint="eastAsia"/>
        </w:rPr>
        <w:t>咳嗽的性质、时间及伴随症状；</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2. </w:t>
      </w:r>
      <w:r>
        <w:rPr>
          <w:rFonts w:ascii="Times New Roman" w:hAnsi="Times New Roman" w:hint="eastAsia"/>
        </w:rPr>
        <w:t>咳嗽与咳痰的原因及临床表现；</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 xml:space="preserve">3. </w:t>
      </w:r>
      <w:r>
        <w:rPr>
          <w:rFonts w:ascii="Times New Roman" w:hAnsi="Times New Roman" w:hint="eastAsia"/>
        </w:rPr>
        <w:t>咯血的原因及临床特点。</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四、其他</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了解皮肤粘膜出血、胸痛、发绀、心悸</w:t>
      </w:r>
      <w:r>
        <w:rPr>
          <w:rFonts w:ascii="Times New Roman" w:hAnsi="Times New Roman"/>
        </w:rPr>
        <w:t xml:space="preserve"> </w:t>
      </w:r>
      <w:r>
        <w:rPr>
          <w:rFonts w:ascii="Times New Roman" w:hAnsi="Times New Roman" w:hint="eastAsia"/>
        </w:rPr>
        <w:t>、恶心与呕吐、腹痛、腹泻、呕血与便血、便秘</w:t>
      </w:r>
      <w:r>
        <w:rPr>
          <w:rFonts w:ascii="Times New Roman" w:hAnsi="Times New Roman"/>
        </w:rPr>
        <w:t xml:space="preserve"> </w:t>
      </w:r>
      <w:r>
        <w:rPr>
          <w:rFonts w:ascii="Times New Roman" w:hAnsi="Times New Roman" w:hint="eastAsia"/>
        </w:rPr>
        <w:t>、腰背痛、关节痛、血尿、尿频、尿急、尿痛、少尿与与多尿、头痛、眩晕、晕厥、抽搐与惊厥的临床</w:t>
      </w:r>
      <w:r>
        <w:rPr>
          <w:rFonts w:ascii="Times New Roman" w:hAnsi="Times New Roman" w:hint="eastAsia"/>
        </w:rPr>
        <w:lastRenderedPageBreak/>
        <w:t>表现。</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实习内容</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分别在各系统教学中的穿插进行，课堂讲授与自学相结合，在心、肺、腹三系统中选择</w:t>
      </w:r>
      <w:r>
        <w:rPr>
          <w:rFonts w:ascii="Times New Roman" w:hAnsi="Times New Roman"/>
        </w:rPr>
        <w:t>6-7</w:t>
      </w:r>
      <w:r>
        <w:rPr>
          <w:rFonts w:ascii="Times New Roman" w:hAnsi="Times New Roman" w:hint="eastAsia"/>
        </w:rPr>
        <w:t>个症状进行课堂讲授，其余在床旁教学和以后各科学习中加深理解。</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目的要求：</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hint="eastAsia"/>
        </w:rPr>
        <w:t>阐明常见症状的原因、发生机制、临床表现及临床意义，使学生了解症状的临床表现及其与机体的病理生理或病理解剖学改变之间的联系，常见症状的特征，启发学生能做到举一反三，由此及彼，综合分析，并使学生充分了解症状分析对疾病诊断的重要作用，学习如何围绕有关的症状进行问诊。</w:t>
      </w:r>
    </w:p>
    <w:p w:rsidR="003717A0" w:rsidRDefault="003717A0" w:rsidP="005E20B5">
      <w:pPr>
        <w:adjustRightInd w:val="0"/>
        <w:snapToGrid w:val="0"/>
        <w:spacing w:beforeLines="50" w:line="360" w:lineRule="auto"/>
        <w:ind w:right="6"/>
        <w:jc w:val="center"/>
        <w:rPr>
          <w:b/>
          <w:sz w:val="22"/>
        </w:rPr>
      </w:pP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体格检查，头颈部，皮肤淋巴结检查</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p>
    <w:p w:rsidR="003717A0" w:rsidRDefault="003717A0">
      <w:pPr>
        <w:adjustRightInd w:val="0"/>
        <w:snapToGrid w:val="0"/>
        <w:spacing w:line="360" w:lineRule="auto"/>
        <w:ind w:right="6" w:firstLineChars="200" w:firstLine="420"/>
        <w:rPr>
          <w:rFonts w:ascii="Times New Roman"/>
        </w:rPr>
      </w:pPr>
      <w:r>
        <w:rPr>
          <w:rFonts w:ascii="Times New Roman"/>
        </w:rPr>
        <w:t>1</w:t>
      </w:r>
      <w:r>
        <w:rPr>
          <w:rFonts w:ascii="Times New Roman" w:hint="eastAsia"/>
        </w:rPr>
        <w:t>、系统、有序的体格检查方法与手法，常见阳性体征的临床表现特征及其临床意义；</w:t>
      </w:r>
      <w:r>
        <w:rPr>
          <w:rFonts w:ascii="Times New Roman"/>
        </w:rPr>
        <w:t xml:space="preserve"> </w:t>
      </w:r>
    </w:p>
    <w:p w:rsidR="003717A0" w:rsidRDefault="003717A0">
      <w:pPr>
        <w:adjustRightInd w:val="0"/>
        <w:snapToGrid w:val="0"/>
        <w:spacing w:line="360" w:lineRule="auto"/>
        <w:ind w:right="6" w:firstLineChars="200" w:firstLine="420"/>
        <w:rPr>
          <w:rFonts w:ascii="Times New Roman"/>
        </w:rPr>
      </w:pPr>
      <w:r>
        <w:rPr>
          <w:rFonts w:ascii="Times New Roman"/>
        </w:rPr>
        <w:t>2</w:t>
      </w:r>
      <w:r>
        <w:rPr>
          <w:rFonts w:ascii="Times New Roman" w:hint="eastAsia"/>
        </w:rPr>
        <w:t>、视、触、叩、听、嗅的基本检查方法，详细讲解触诊的方法、应用及注意事项，叩诊的手法、注意事项、叩诊音及其临床意义；</w:t>
      </w:r>
    </w:p>
    <w:p w:rsidR="003717A0" w:rsidRDefault="003717A0">
      <w:pPr>
        <w:adjustRightInd w:val="0"/>
        <w:snapToGrid w:val="0"/>
        <w:spacing w:line="360" w:lineRule="auto"/>
        <w:ind w:right="6" w:firstLineChars="200" w:firstLine="420"/>
        <w:rPr>
          <w:rFonts w:ascii="Times New Roman"/>
        </w:rPr>
      </w:pPr>
      <w:r>
        <w:rPr>
          <w:rFonts w:ascii="Times New Roman"/>
        </w:rPr>
        <w:t>3</w:t>
      </w:r>
      <w:r>
        <w:rPr>
          <w:rFonts w:ascii="Times New Roman" w:hint="eastAsia"/>
        </w:rPr>
        <w:t>、掌握生命征的概念及内容</w:t>
      </w:r>
      <w:r>
        <w:rPr>
          <w:rFonts w:ascii="Times New Roman"/>
        </w:rPr>
        <w:t xml:space="preserve">, </w:t>
      </w:r>
      <w:r>
        <w:rPr>
          <w:rFonts w:ascii="Times New Roman" w:hint="eastAsia"/>
        </w:rPr>
        <w:t>体温的正常范围；皮肤粘膜苍白、紫绀、黄染、出血、蜘蛛痣的辨认及临床意义；常见病容、体位、步态等与疾病的关系；浅表淋巴结的分布及触诊顺序，局部淋巴法肿大及全身淋巴结肿大的常见原因；</w:t>
      </w:r>
      <w:r>
        <w:rPr>
          <w:rFonts w:ascii="Times New Roman"/>
        </w:rPr>
        <w:t xml:space="preserve"> </w:t>
      </w:r>
      <w:r>
        <w:rPr>
          <w:rFonts w:ascii="Times New Roman" w:hint="eastAsia"/>
        </w:rPr>
        <w:t>熟悉体温的测量方法、临床应用及引起差错的原因；发育及营养的判断，营养不良的常见病因；意识障碍的概念及判断；语调、语态、姿势的改变；皮肤的检查内容，常见阳性体征及临床意义。</w:t>
      </w:r>
    </w:p>
    <w:p w:rsidR="003717A0" w:rsidRDefault="003717A0">
      <w:pPr>
        <w:adjustRightInd w:val="0"/>
        <w:snapToGrid w:val="0"/>
        <w:spacing w:line="360" w:lineRule="auto"/>
        <w:ind w:right="6" w:firstLineChars="200" w:firstLine="420"/>
        <w:rPr>
          <w:rFonts w:ascii="Times New Roman"/>
        </w:rPr>
      </w:pPr>
      <w:r>
        <w:rPr>
          <w:rFonts w:ascii="Times New Roman"/>
        </w:rPr>
        <w:t>4</w:t>
      </w:r>
      <w:r>
        <w:rPr>
          <w:rFonts w:ascii="Times New Roman" w:hint="eastAsia"/>
        </w:rPr>
        <w:t>、头颅外部一般检查。</w:t>
      </w:r>
    </w:p>
    <w:p w:rsidR="003717A0" w:rsidRDefault="003717A0">
      <w:pPr>
        <w:adjustRightInd w:val="0"/>
        <w:snapToGrid w:val="0"/>
        <w:spacing w:line="360" w:lineRule="auto"/>
        <w:ind w:right="6" w:firstLineChars="200" w:firstLine="420"/>
        <w:rPr>
          <w:rFonts w:ascii="Times New Roman"/>
        </w:rPr>
      </w:pPr>
      <w:r>
        <w:rPr>
          <w:rFonts w:ascii="Times New Roman"/>
        </w:rPr>
        <w:t>5</w:t>
      </w:r>
      <w:r>
        <w:rPr>
          <w:rFonts w:ascii="Times New Roman" w:hint="eastAsia"/>
        </w:rPr>
        <w:t>、眼：掌握眼功能检查的方法要点及顺序，并了解其临床意义；掌握外眼与内眼检查的方法及其要点；</w:t>
      </w:r>
    </w:p>
    <w:p w:rsidR="003717A0" w:rsidRDefault="003717A0">
      <w:pPr>
        <w:adjustRightInd w:val="0"/>
        <w:snapToGrid w:val="0"/>
        <w:spacing w:line="360" w:lineRule="auto"/>
        <w:ind w:right="6" w:firstLineChars="200" w:firstLine="420"/>
        <w:rPr>
          <w:rFonts w:ascii="Times New Roman"/>
        </w:rPr>
      </w:pPr>
      <w:r>
        <w:rPr>
          <w:rFonts w:ascii="Times New Roman"/>
        </w:rPr>
        <w:t>6</w:t>
      </w:r>
      <w:r>
        <w:rPr>
          <w:rFonts w:ascii="Times New Roman" w:hint="eastAsia"/>
        </w:rPr>
        <w:t>、</w:t>
      </w:r>
      <w:r>
        <w:rPr>
          <w:rFonts w:ascii="Times New Roman"/>
        </w:rPr>
        <w:t xml:space="preserve"> </w:t>
      </w:r>
      <w:r>
        <w:rPr>
          <w:rFonts w:ascii="Times New Roman" w:hint="eastAsia"/>
        </w:rPr>
        <w:t>耳鼻口咽：掌握耳、鼻、口咽常见的异常体征和临床意义。</w:t>
      </w:r>
    </w:p>
    <w:p w:rsidR="003717A0" w:rsidRDefault="003717A0">
      <w:pPr>
        <w:adjustRightInd w:val="0"/>
        <w:snapToGrid w:val="0"/>
        <w:spacing w:line="360" w:lineRule="auto"/>
        <w:ind w:right="6" w:firstLineChars="200" w:firstLine="420"/>
        <w:rPr>
          <w:rFonts w:ascii="Times New Roman"/>
        </w:rPr>
      </w:pPr>
      <w:r>
        <w:rPr>
          <w:rFonts w:ascii="Times New Roman"/>
        </w:rPr>
        <w:t>7</w:t>
      </w:r>
      <w:r>
        <w:rPr>
          <w:rFonts w:ascii="Times New Roman" w:hint="eastAsia"/>
        </w:rPr>
        <w:t>、</w:t>
      </w:r>
      <w:r>
        <w:rPr>
          <w:rFonts w:ascii="Times New Roman"/>
        </w:rPr>
        <w:t xml:space="preserve"> </w:t>
      </w:r>
      <w:r>
        <w:rPr>
          <w:rFonts w:ascii="Times New Roman" w:hint="eastAsia"/>
        </w:rPr>
        <w:t>口腔、包括唇、口腔粘膜、舌、牙及牙龈、口底的检查及临床意义。</w:t>
      </w:r>
    </w:p>
    <w:p w:rsidR="003717A0" w:rsidRDefault="003717A0">
      <w:pPr>
        <w:adjustRightInd w:val="0"/>
        <w:snapToGrid w:val="0"/>
        <w:spacing w:line="360" w:lineRule="auto"/>
        <w:ind w:right="6" w:firstLineChars="200" w:firstLine="420"/>
        <w:rPr>
          <w:rFonts w:ascii="Times New Roman"/>
        </w:rPr>
      </w:pPr>
      <w:r>
        <w:rPr>
          <w:rFonts w:ascii="Times New Roman"/>
        </w:rPr>
        <w:t>8</w:t>
      </w:r>
      <w:r>
        <w:rPr>
          <w:rFonts w:ascii="Times New Roman" w:hint="eastAsia"/>
        </w:rPr>
        <w:t>、颈部检查：颈部外形及活动情况检查方法，甲状腺检查方法，气管位置判定方法，颈静脉压初略测定方法，颈部血管检查法。头颈部异常体征发生机理及临床意义。</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实习内容</w:t>
      </w:r>
    </w:p>
    <w:p w:rsidR="003717A0" w:rsidRDefault="003717A0">
      <w:pPr>
        <w:adjustRightInd w:val="0"/>
        <w:snapToGrid w:val="0"/>
        <w:spacing w:line="360" w:lineRule="auto"/>
        <w:ind w:right="6" w:firstLineChars="200" w:firstLine="420"/>
        <w:rPr>
          <w:rFonts w:ascii="Times New Roman"/>
        </w:rPr>
      </w:pPr>
      <w:r>
        <w:rPr>
          <w:rFonts w:ascii="Times New Roman"/>
        </w:rPr>
        <w:t>1</w:t>
      </w:r>
      <w:r>
        <w:rPr>
          <w:rFonts w:ascii="Times New Roman" w:hint="eastAsia"/>
        </w:rPr>
        <w:t>、教师示教，讲授检查方法和临床意义。</w:t>
      </w:r>
    </w:p>
    <w:p w:rsidR="003717A0" w:rsidRDefault="003717A0">
      <w:pPr>
        <w:adjustRightInd w:val="0"/>
        <w:snapToGrid w:val="0"/>
        <w:spacing w:line="360" w:lineRule="auto"/>
        <w:ind w:right="6" w:firstLineChars="200" w:firstLine="420"/>
        <w:rPr>
          <w:rFonts w:ascii="Times New Roman"/>
        </w:rPr>
      </w:pPr>
      <w:r>
        <w:rPr>
          <w:rFonts w:ascii="Times New Roman"/>
        </w:rPr>
        <w:t>2</w:t>
      </w:r>
      <w:r>
        <w:rPr>
          <w:rFonts w:ascii="Times New Roman" w:hint="eastAsia"/>
        </w:rPr>
        <w:t>、在教师指导下，学生相互检查，反复练习检查内容和方法。</w:t>
      </w:r>
    </w:p>
    <w:p w:rsidR="003717A0" w:rsidRDefault="003717A0">
      <w:pPr>
        <w:adjustRightInd w:val="0"/>
        <w:snapToGrid w:val="0"/>
        <w:spacing w:line="360" w:lineRule="auto"/>
        <w:ind w:right="6" w:firstLineChars="200" w:firstLine="420"/>
        <w:rPr>
          <w:rFonts w:ascii="Times New Roman"/>
        </w:rPr>
      </w:pPr>
      <w:r>
        <w:rPr>
          <w:rFonts w:ascii="Times New Roman"/>
        </w:rPr>
        <w:t>3</w:t>
      </w:r>
      <w:r>
        <w:rPr>
          <w:rFonts w:ascii="Times New Roman" w:hint="eastAsia"/>
        </w:rPr>
        <w:t>、讨论、总结一般检查包括的内容和重要性。</w:t>
      </w:r>
    </w:p>
    <w:p w:rsidR="003717A0" w:rsidRDefault="003717A0">
      <w:pPr>
        <w:adjustRightInd w:val="0"/>
        <w:snapToGrid w:val="0"/>
        <w:spacing w:line="360" w:lineRule="auto"/>
        <w:ind w:right="6" w:firstLineChars="200" w:firstLine="420"/>
        <w:rPr>
          <w:rFonts w:ascii="Times New Roman"/>
        </w:rPr>
      </w:pPr>
      <w:r>
        <w:rPr>
          <w:rFonts w:ascii="Times New Roman"/>
        </w:rPr>
        <w:t>4</w:t>
      </w:r>
      <w:r>
        <w:rPr>
          <w:rFonts w:ascii="Times New Roman" w:hint="eastAsia"/>
        </w:rPr>
        <w:t>、床旁教学</w:t>
      </w:r>
      <w:r>
        <w:rPr>
          <w:rFonts w:ascii="Times New Roman"/>
        </w:rPr>
        <w:t xml:space="preserve"> </w:t>
      </w:r>
      <w:r>
        <w:rPr>
          <w:rFonts w:ascii="Times New Roman" w:hint="eastAsia"/>
        </w:rPr>
        <w:t>在教师指导下，学生检查病人和（或）模拟人，识别异常体征。</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目的要求</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lastRenderedPageBreak/>
        <w:t>1</w:t>
      </w:r>
      <w:r>
        <w:rPr>
          <w:rFonts w:ascii="Times New Roman" w:hAnsi="Times New Roman" w:hint="eastAsia"/>
        </w:rPr>
        <w:t>、通过大课讲授和课间见习，系统有序的讲授体格检查的方法，要求学生能熟悉和掌握系统体检的手法；</w:t>
      </w:r>
      <w:r>
        <w:rPr>
          <w:rFonts w:ascii="Times New Roman" w:hAnsi="Times New Roman"/>
        </w:rPr>
        <w:t> </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2</w:t>
      </w:r>
      <w:r>
        <w:rPr>
          <w:rFonts w:ascii="Times New Roman" w:hAnsi="Times New Roman" w:hint="eastAsia"/>
        </w:rPr>
        <w:t>、</w:t>
      </w:r>
      <w:r>
        <w:rPr>
          <w:rFonts w:ascii="Times New Roman" w:hAnsi="Times New Roman"/>
        </w:rPr>
        <w:t> </w:t>
      </w:r>
      <w:r>
        <w:rPr>
          <w:rFonts w:ascii="Times New Roman" w:hAnsi="Times New Roman" w:hint="eastAsia"/>
        </w:rPr>
        <w:t>详细阐明正常体征和常见异常体征的临床表现及临床意义，解释常用的概念；</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3</w:t>
      </w:r>
      <w:r>
        <w:rPr>
          <w:rFonts w:ascii="Times New Roman" w:hAnsi="Times New Roman" w:hint="eastAsia"/>
        </w:rPr>
        <w:t>、</w:t>
      </w:r>
      <w:r>
        <w:rPr>
          <w:rFonts w:ascii="Times New Roman" w:hAnsi="Times New Roman"/>
        </w:rPr>
        <w:t> </w:t>
      </w:r>
      <w:r>
        <w:rPr>
          <w:rFonts w:ascii="Times New Roman" w:hAnsi="Times New Roman" w:hint="eastAsia"/>
        </w:rPr>
        <w:t>在课间见习和临床见习中结合视听材料进行观察分析和手法练习，使学生们能正确进行系统全面体格检查，熟悉常见的异常体征及其临床意义。</w:t>
      </w:r>
    </w:p>
    <w:p w:rsidR="003717A0" w:rsidRDefault="003717A0">
      <w:pPr>
        <w:adjustRightInd w:val="0"/>
        <w:snapToGrid w:val="0"/>
        <w:spacing w:line="360" w:lineRule="auto"/>
        <w:ind w:right="6" w:firstLineChars="200" w:firstLine="420"/>
        <w:rPr>
          <w:rFonts w:ascii="Times New Roman" w:hAnsi="Times New Roman"/>
        </w:rPr>
      </w:pPr>
      <w:r>
        <w:rPr>
          <w:rFonts w:ascii="Times New Roman" w:hAnsi="Times New Roman"/>
        </w:rPr>
        <w:t>4</w:t>
      </w:r>
      <w:r>
        <w:rPr>
          <w:rFonts w:ascii="Times New Roman" w:hAnsi="Times New Roman" w:hint="eastAsia"/>
        </w:rPr>
        <w:t>、熟悉和掌握头部、颈部的检查顺序与方法，正常状态和常见异常改变及其临床意义。</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第四章</w:t>
      </w:r>
      <w:r>
        <w:rPr>
          <w:b/>
          <w:sz w:val="22"/>
        </w:rPr>
        <w:t xml:space="preserve"> </w:t>
      </w:r>
      <w:r>
        <w:rPr>
          <w:rFonts w:hint="eastAsia"/>
          <w:b/>
          <w:sz w:val="22"/>
        </w:rPr>
        <w:t>胸肺部检查、呼吸系统常见病变体征，胸膜腔穿刺术</w:t>
      </w:r>
    </w:p>
    <w:p w:rsidR="003717A0" w:rsidRDefault="003717A0">
      <w:pPr>
        <w:adjustRightInd w:val="0"/>
        <w:snapToGrid w:val="0"/>
        <w:spacing w:line="360" w:lineRule="auto"/>
        <w:ind w:leftChars="-200" w:right="6" w:hangingChars="190" w:hanging="420"/>
        <w:rPr>
          <w:b/>
          <w:sz w:val="22"/>
        </w:rPr>
      </w:pPr>
      <w:r>
        <w:rPr>
          <w:b/>
          <w:sz w:val="22"/>
        </w:rPr>
        <w:t xml:space="preserve">        </w:t>
      </w:r>
      <w:r>
        <w:rPr>
          <w:rFonts w:hint="eastAsia"/>
          <w:b/>
          <w:sz w:val="22"/>
        </w:rPr>
        <w:t>教学内容</w:t>
      </w:r>
    </w:p>
    <w:p w:rsidR="003717A0" w:rsidRDefault="003717A0">
      <w:pPr>
        <w:adjustRightInd w:val="0"/>
        <w:snapToGrid w:val="0"/>
        <w:spacing w:line="360" w:lineRule="auto"/>
        <w:ind w:leftChars="-200" w:right="6" w:hangingChars="190" w:hanging="420"/>
        <w:rPr>
          <w:sz w:val="22"/>
        </w:rPr>
      </w:pPr>
      <w:r>
        <w:rPr>
          <w:b/>
          <w:sz w:val="22"/>
        </w:rPr>
        <w:t xml:space="preserve">      </w:t>
      </w:r>
      <w:r>
        <w:rPr>
          <w:sz w:val="22"/>
        </w:rPr>
        <w:t xml:space="preserve">  1</w:t>
      </w:r>
      <w:r>
        <w:rPr>
          <w:rFonts w:hint="eastAsia"/>
          <w:sz w:val="22"/>
        </w:rPr>
        <w:t>、</w:t>
      </w:r>
      <w:r>
        <w:rPr>
          <w:b/>
          <w:sz w:val="22"/>
        </w:rPr>
        <w:t xml:space="preserve"> </w:t>
      </w:r>
      <w:r>
        <w:rPr>
          <w:rFonts w:hint="eastAsia"/>
          <w:sz w:val="22"/>
        </w:rPr>
        <w:t>视诊，触诊，叩诊，听诊四种基本方法在胸廓及肺部的应用，胸部和肺体格检查的步骤和主要内容</w:t>
      </w:r>
    </w:p>
    <w:p w:rsidR="003717A0" w:rsidRDefault="003717A0">
      <w:pPr>
        <w:adjustRightInd w:val="0"/>
        <w:snapToGrid w:val="0"/>
        <w:spacing w:line="360" w:lineRule="auto"/>
        <w:ind w:leftChars="-2" w:left="-4" w:right="6" w:firstLineChars="200" w:firstLine="440"/>
        <w:rPr>
          <w:sz w:val="22"/>
        </w:rPr>
      </w:pPr>
      <w:r>
        <w:rPr>
          <w:sz w:val="22"/>
        </w:rPr>
        <w:t>2</w:t>
      </w:r>
      <w:r>
        <w:rPr>
          <w:rFonts w:hint="eastAsia"/>
          <w:sz w:val="22"/>
        </w:rPr>
        <w:t>、胸部常用的骨骼标志、划线、分区；</w:t>
      </w:r>
    </w:p>
    <w:p w:rsidR="003717A0" w:rsidRDefault="003717A0">
      <w:pPr>
        <w:adjustRightInd w:val="0"/>
        <w:snapToGrid w:val="0"/>
        <w:spacing w:line="360" w:lineRule="auto"/>
        <w:ind w:leftChars="-200" w:left="-2" w:right="6" w:hangingChars="190" w:hanging="418"/>
        <w:rPr>
          <w:sz w:val="22"/>
        </w:rPr>
      </w:pPr>
      <w:r>
        <w:rPr>
          <w:sz w:val="22"/>
        </w:rPr>
        <w:t xml:space="preserve">        3</w:t>
      </w:r>
      <w:r>
        <w:rPr>
          <w:rFonts w:hint="eastAsia"/>
          <w:sz w:val="22"/>
        </w:rPr>
        <w:t>、胸廓的改变及临床意义；</w:t>
      </w:r>
    </w:p>
    <w:p w:rsidR="003717A0" w:rsidRDefault="003717A0">
      <w:pPr>
        <w:adjustRightInd w:val="0"/>
        <w:snapToGrid w:val="0"/>
        <w:spacing w:line="360" w:lineRule="auto"/>
        <w:ind w:leftChars="-2" w:left="-4" w:right="6" w:firstLineChars="150" w:firstLine="330"/>
        <w:rPr>
          <w:sz w:val="22"/>
        </w:rPr>
      </w:pPr>
      <w:r>
        <w:rPr>
          <w:sz w:val="22"/>
        </w:rPr>
        <w:t xml:space="preserve"> 4</w:t>
      </w:r>
      <w:r>
        <w:rPr>
          <w:rFonts w:hint="eastAsia"/>
          <w:sz w:val="22"/>
        </w:rPr>
        <w:t>、肺和胸膜检查：</w:t>
      </w:r>
      <w:r>
        <w:rPr>
          <w:sz w:val="22"/>
        </w:rPr>
        <w:t xml:space="preserve">  </w:t>
      </w:r>
      <w:r>
        <w:rPr>
          <w:rFonts w:hint="eastAsia"/>
          <w:sz w:val="22"/>
        </w:rPr>
        <w:t>呼吸的类型、频率、节律、深度的改变及其临床意义；</w:t>
      </w:r>
    </w:p>
    <w:p w:rsidR="003717A0" w:rsidRDefault="003717A0">
      <w:pPr>
        <w:adjustRightInd w:val="0"/>
        <w:snapToGrid w:val="0"/>
        <w:spacing w:line="360" w:lineRule="auto"/>
        <w:ind w:leftChars="-2" w:left="-4" w:right="6" w:firstLineChars="200" w:firstLine="440"/>
        <w:rPr>
          <w:sz w:val="22"/>
        </w:rPr>
      </w:pPr>
      <w:r>
        <w:rPr>
          <w:sz w:val="22"/>
        </w:rPr>
        <w:t>5</w:t>
      </w:r>
      <w:r>
        <w:rPr>
          <w:rFonts w:hint="eastAsia"/>
          <w:sz w:val="22"/>
        </w:rPr>
        <w:t>、语颤的检查方法、影响因素及常见病变；</w:t>
      </w:r>
      <w:r>
        <w:rPr>
          <w:sz w:val="22"/>
        </w:rPr>
        <w:t xml:space="preserve"> </w:t>
      </w:r>
      <w:r>
        <w:rPr>
          <w:rFonts w:hint="eastAsia"/>
          <w:sz w:val="22"/>
        </w:rPr>
        <w:t>胸膜摩擦感的检查方法及临床意义；</w:t>
      </w:r>
    </w:p>
    <w:p w:rsidR="003717A0" w:rsidRDefault="003717A0">
      <w:pPr>
        <w:adjustRightInd w:val="0"/>
        <w:snapToGrid w:val="0"/>
        <w:spacing w:line="360" w:lineRule="auto"/>
        <w:ind w:leftChars="-2" w:left="-4" w:right="6" w:firstLineChars="200" w:firstLine="440"/>
        <w:rPr>
          <w:sz w:val="22"/>
        </w:rPr>
      </w:pPr>
      <w:r>
        <w:rPr>
          <w:sz w:val="22"/>
        </w:rPr>
        <w:t>6</w:t>
      </w:r>
      <w:r>
        <w:rPr>
          <w:rFonts w:hint="eastAsia"/>
          <w:sz w:val="22"/>
        </w:rPr>
        <w:t>、正常肺下界及呼吸动度的叩诊，胸部异常叩诊音的临床意义；</w:t>
      </w:r>
    </w:p>
    <w:p w:rsidR="003717A0" w:rsidRDefault="003717A0">
      <w:pPr>
        <w:adjustRightInd w:val="0"/>
        <w:snapToGrid w:val="0"/>
        <w:spacing w:line="360" w:lineRule="auto"/>
        <w:ind w:leftChars="-2" w:left="-4" w:right="6" w:firstLineChars="200" w:firstLine="440"/>
        <w:rPr>
          <w:sz w:val="22"/>
        </w:rPr>
      </w:pPr>
      <w:r>
        <w:rPr>
          <w:sz w:val="22"/>
        </w:rPr>
        <w:t>7</w:t>
      </w:r>
      <w:r>
        <w:rPr>
          <w:rFonts w:hint="eastAsia"/>
          <w:sz w:val="22"/>
        </w:rPr>
        <w:t>、正常肺部呼吸音的种类、特点及分布；</w:t>
      </w:r>
    </w:p>
    <w:p w:rsidR="003717A0" w:rsidRDefault="003717A0">
      <w:pPr>
        <w:adjustRightInd w:val="0"/>
        <w:snapToGrid w:val="0"/>
        <w:spacing w:line="360" w:lineRule="auto"/>
        <w:ind w:leftChars="-2" w:left="-4" w:right="6" w:firstLineChars="200" w:firstLine="440"/>
        <w:rPr>
          <w:sz w:val="22"/>
        </w:rPr>
      </w:pPr>
      <w:r>
        <w:rPr>
          <w:sz w:val="22"/>
        </w:rPr>
        <w:t>8</w:t>
      </w:r>
      <w:r>
        <w:rPr>
          <w:rFonts w:hint="eastAsia"/>
          <w:sz w:val="22"/>
        </w:rPr>
        <w:t>、异常呼吸音的种类，异常肺泡呼吸音和异常支气管呼吸音特征及临床意义；</w:t>
      </w:r>
    </w:p>
    <w:p w:rsidR="003717A0" w:rsidRDefault="003717A0">
      <w:pPr>
        <w:adjustRightInd w:val="0"/>
        <w:snapToGrid w:val="0"/>
        <w:spacing w:line="360" w:lineRule="auto"/>
        <w:ind w:leftChars="-2" w:left="-4" w:right="6" w:firstLineChars="200" w:firstLine="440"/>
        <w:rPr>
          <w:sz w:val="22"/>
        </w:rPr>
      </w:pPr>
      <w:r>
        <w:rPr>
          <w:sz w:val="22"/>
        </w:rPr>
        <w:t>9</w:t>
      </w:r>
      <w:r>
        <w:rPr>
          <w:rFonts w:hint="eastAsia"/>
          <w:sz w:val="22"/>
        </w:rPr>
        <w:t>、干湿性罗音的特征及意义；</w:t>
      </w:r>
      <w:r>
        <w:rPr>
          <w:sz w:val="22"/>
        </w:rPr>
        <w:t> </w:t>
      </w:r>
    </w:p>
    <w:p w:rsidR="003717A0" w:rsidRDefault="003717A0">
      <w:pPr>
        <w:adjustRightInd w:val="0"/>
        <w:snapToGrid w:val="0"/>
        <w:spacing w:line="360" w:lineRule="auto"/>
        <w:ind w:leftChars="-2" w:left="-4" w:right="6" w:firstLineChars="200" w:firstLine="440"/>
        <w:rPr>
          <w:sz w:val="22"/>
        </w:rPr>
      </w:pPr>
      <w:r>
        <w:rPr>
          <w:sz w:val="22"/>
        </w:rPr>
        <w:t>10</w:t>
      </w:r>
      <w:r>
        <w:rPr>
          <w:rFonts w:hint="eastAsia"/>
          <w:sz w:val="22"/>
        </w:rPr>
        <w:t>、熟悉胸腔穿刺技术的项目和临床价值</w:t>
      </w:r>
      <w:r>
        <w:rPr>
          <w:sz w:val="22"/>
        </w:rPr>
        <w:t xml:space="preserve"> </w:t>
      </w:r>
    </w:p>
    <w:p w:rsidR="003717A0" w:rsidRDefault="003717A0">
      <w:pPr>
        <w:adjustRightInd w:val="0"/>
        <w:snapToGrid w:val="0"/>
        <w:spacing w:line="360" w:lineRule="auto"/>
        <w:ind w:leftChars="-2" w:left="-4" w:right="6" w:firstLineChars="200" w:firstLine="440"/>
        <w:rPr>
          <w:sz w:val="22"/>
        </w:rPr>
      </w:pPr>
      <w:r>
        <w:rPr>
          <w:sz w:val="22"/>
        </w:rPr>
        <w:t>11</w:t>
      </w:r>
      <w:r>
        <w:rPr>
          <w:rFonts w:hint="eastAsia"/>
          <w:sz w:val="22"/>
        </w:rPr>
        <w:t>、掌握胸腔穿刺的定位方法</w:t>
      </w:r>
      <w:r>
        <w:rPr>
          <w:sz w:val="22"/>
        </w:rPr>
        <w:t xml:space="preserve"> </w:t>
      </w:r>
    </w:p>
    <w:p w:rsidR="003717A0" w:rsidRDefault="003717A0">
      <w:pPr>
        <w:adjustRightInd w:val="0"/>
        <w:snapToGrid w:val="0"/>
        <w:spacing w:line="360" w:lineRule="auto"/>
        <w:ind w:leftChars="-2" w:left="-4" w:right="6" w:firstLineChars="200" w:firstLine="440"/>
        <w:rPr>
          <w:sz w:val="22"/>
        </w:rPr>
      </w:pPr>
      <w:r>
        <w:rPr>
          <w:sz w:val="22"/>
        </w:rPr>
        <w:t>12</w:t>
      </w:r>
      <w:r>
        <w:rPr>
          <w:rFonts w:hint="eastAsia"/>
          <w:sz w:val="22"/>
        </w:rPr>
        <w:t>、掌握临床主要穿刺技术的操作方法、步骤和注意事项。</w:t>
      </w:r>
      <w:r>
        <w:rPr>
          <w:sz w:val="22"/>
        </w:rPr>
        <w:t xml:space="preserve"> </w:t>
      </w:r>
    </w:p>
    <w:p w:rsidR="003717A0" w:rsidRDefault="003717A0">
      <w:pPr>
        <w:adjustRightInd w:val="0"/>
        <w:snapToGrid w:val="0"/>
        <w:spacing w:line="360" w:lineRule="auto"/>
        <w:ind w:leftChars="-200" w:right="6" w:hangingChars="190" w:hanging="420"/>
        <w:rPr>
          <w:b/>
          <w:sz w:val="22"/>
        </w:rPr>
      </w:pPr>
      <w:r>
        <w:rPr>
          <w:b/>
          <w:sz w:val="22"/>
        </w:rPr>
        <w:t xml:space="preserve">        </w:t>
      </w:r>
      <w:r>
        <w:rPr>
          <w:rFonts w:hint="eastAsia"/>
          <w:b/>
          <w:sz w:val="22"/>
        </w:rPr>
        <w:t>实习内容</w:t>
      </w:r>
    </w:p>
    <w:p w:rsidR="003717A0" w:rsidRDefault="003717A0">
      <w:pPr>
        <w:adjustRightInd w:val="0"/>
        <w:snapToGrid w:val="0"/>
        <w:spacing w:line="360" w:lineRule="auto"/>
        <w:ind w:leftChars="-200" w:right="6" w:hangingChars="190" w:hanging="420"/>
        <w:rPr>
          <w:sz w:val="22"/>
        </w:rPr>
      </w:pPr>
      <w:r>
        <w:rPr>
          <w:b/>
          <w:sz w:val="22"/>
        </w:rPr>
        <w:t xml:space="preserve">     </w:t>
      </w:r>
      <w:r>
        <w:rPr>
          <w:sz w:val="22"/>
        </w:rPr>
        <w:t xml:space="preserve">   1</w:t>
      </w:r>
      <w:r>
        <w:rPr>
          <w:rFonts w:hint="eastAsia"/>
          <w:sz w:val="22"/>
        </w:rPr>
        <w:t>、教师示教检查手法。</w:t>
      </w:r>
    </w:p>
    <w:p w:rsidR="003717A0" w:rsidRDefault="003717A0">
      <w:pPr>
        <w:adjustRightInd w:val="0"/>
        <w:snapToGrid w:val="0"/>
        <w:spacing w:line="360" w:lineRule="auto"/>
        <w:ind w:leftChars="-2" w:left="-4" w:right="6" w:firstLineChars="200" w:firstLine="440"/>
        <w:rPr>
          <w:sz w:val="22"/>
        </w:rPr>
      </w:pPr>
      <w:r>
        <w:rPr>
          <w:sz w:val="22"/>
        </w:rPr>
        <w:t>2</w:t>
      </w:r>
      <w:r>
        <w:rPr>
          <w:rFonts w:hint="eastAsia"/>
          <w:sz w:val="22"/>
        </w:rPr>
        <w:t>、学生在教师的指导下相互练习。</w:t>
      </w:r>
    </w:p>
    <w:p w:rsidR="003717A0" w:rsidRDefault="003717A0">
      <w:pPr>
        <w:adjustRightInd w:val="0"/>
        <w:snapToGrid w:val="0"/>
        <w:spacing w:line="360" w:lineRule="auto"/>
        <w:ind w:leftChars="-2" w:left="-4" w:right="6" w:firstLineChars="200" w:firstLine="440"/>
        <w:rPr>
          <w:sz w:val="22"/>
        </w:rPr>
      </w:pPr>
      <w:r>
        <w:rPr>
          <w:sz w:val="22"/>
        </w:rPr>
        <w:t>3</w:t>
      </w:r>
      <w:r>
        <w:rPr>
          <w:rFonts w:hint="eastAsia"/>
          <w:sz w:val="22"/>
        </w:rPr>
        <w:t>、学生正确记录检查中的发现。</w:t>
      </w:r>
    </w:p>
    <w:p w:rsidR="003717A0" w:rsidRDefault="003717A0">
      <w:pPr>
        <w:adjustRightInd w:val="0"/>
        <w:snapToGrid w:val="0"/>
        <w:spacing w:line="360" w:lineRule="auto"/>
        <w:ind w:leftChars="-2" w:left="-4" w:right="6" w:firstLineChars="200" w:firstLine="440"/>
        <w:rPr>
          <w:sz w:val="22"/>
        </w:rPr>
      </w:pPr>
      <w:r>
        <w:rPr>
          <w:sz w:val="22"/>
        </w:rPr>
        <w:t>4</w:t>
      </w:r>
      <w:r>
        <w:rPr>
          <w:rFonts w:hint="eastAsia"/>
          <w:sz w:val="22"/>
        </w:rPr>
        <w:t>、讨论和总结胸部检查的要点，并解答学生的提问。</w:t>
      </w:r>
    </w:p>
    <w:p w:rsidR="003717A0" w:rsidRDefault="003717A0">
      <w:pPr>
        <w:adjustRightInd w:val="0"/>
        <w:snapToGrid w:val="0"/>
        <w:spacing w:line="360" w:lineRule="auto"/>
        <w:ind w:leftChars="-2" w:left="-4" w:right="6" w:firstLineChars="200" w:firstLine="440"/>
        <w:rPr>
          <w:sz w:val="22"/>
        </w:rPr>
      </w:pPr>
      <w:r>
        <w:rPr>
          <w:sz w:val="22"/>
        </w:rPr>
        <w:t>5</w:t>
      </w:r>
      <w:r>
        <w:rPr>
          <w:rFonts w:hint="eastAsia"/>
          <w:sz w:val="22"/>
        </w:rPr>
        <w:t>、尽可能多地示教常见而重要的异常体征，并分析临床意义。</w:t>
      </w:r>
    </w:p>
    <w:p w:rsidR="003717A0" w:rsidRDefault="003717A0">
      <w:pPr>
        <w:adjustRightInd w:val="0"/>
        <w:snapToGrid w:val="0"/>
        <w:spacing w:line="360" w:lineRule="auto"/>
        <w:ind w:leftChars="-2" w:left="-4" w:right="6" w:firstLineChars="200" w:firstLine="440"/>
        <w:rPr>
          <w:sz w:val="22"/>
        </w:rPr>
      </w:pPr>
      <w:r>
        <w:rPr>
          <w:sz w:val="22"/>
        </w:rPr>
        <w:t>6</w:t>
      </w:r>
      <w:r>
        <w:rPr>
          <w:rFonts w:hint="eastAsia"/>
          <w:sz w:val="22"/>
        </w:rPr>
        <w:t>、学生检查有呼吸系统疾病的病人时，教师在旁观察，并给予指导。</w:t>
      </w:r>
    </w:p>
    <w:p w:rsidR="003717A0" w:rsidRDefault="003717A0">
      <w:pPr>
        <w:adjustRightInd w:val="0"/>
        <w:snapToGrid w:val="0"/>
        <w:spacing w:line="360" w:lineRule="auto"/>
        <w:ind w:leftChars="-2" w:left="-4" w:right="6" w:firstLineChars="200" w:firstLine="440"/>
        <w:rPr>
          <w:sz w:val="22"/>
        </w:rPr>
      </w:pPr>
      <w:r>
        <w:rPr>
          <w:sz w:val="22"/>
        </w:rPr>
        <w:t>7</w:t>
      </w:r>
      <w:r>
        <w:rPr>
          <w:rFonts w:hint="eastAsia"/>
          <w:sz w:val="22"/>
        </w:rPr>
        <w:t>、借助电子模拟人学习正常和病理状态下胸部听诊音的改变。</w:t>
      </w:r>
    </w:p>
    <w:p w:rsidR="003717A0" w:rsidRDefault="003717A0">
      <w:pPr>
        <w:adjustRightInd w:val="0"/>
        <w:snapToGrid w:val="0"/>
        <w:spacing w:line="360" w:lineRule="auto"/>
        <w:ind w:leftChars="-2" w:left="-4" w:right="6" w:firstLineChars="200" w:firstLine="440"/>
        <w:rPr>
          <w:sz w:val="22"/>
        </w:rPr>
      </w:pPr>
      <w:r>
        <w:rPr>
          <w:sz w:val="22"/>
        </w:rPr>
        <w:t>8</w:t>
      </w:r>
      <w:r>
        <w:rPr>
          <w:rFonts w:hint="eastAsia"/>
          <w:sz w:val="22"/>
        </w:rPr>
        <w:t>、利用穿刺模拟人，模拟病人胸部穿刺术，提示学生穿刺时注意事项。</w:t>
      </w:r>
    </w:p>
    <w:p w:rsidR="003717A0" w:rsidRDefault="003717A0">
      <w:pPr>
        <w:adjustRightInd w:val="0"/>
        <w:snapToGrid w:val="0"/>
        <w:spacing w:line="360" w:lineRule="auto"/>
        <w:ind w:leftChars="-200" w:right="6" w:hangingChars="190" w:hanging="420"/>
        <w:rPr>
          <w:b/>
          <w:sz w:val="22"/>
        </w:rPr>
      </w:pPr>
      <w:r>
        <w:rPr>
          <w:b/>
          <w:sz w:val="22"/>
        </w:rPr>
        <w:t xml:space="preserve">        </w:t>
      </w:r>
      <w:r>
        <w:rPr>
          <w:rFonts w:hint="eastAsia"/>
          <w:b/>
          <w:sz w:val="22"/>
        </w:rPr>
        <w:t>目的要求</w:t>
      </w:r>
    </w:p>
    <w:p w:rsidR="003717A0" w:rsidRDefault="00097A14" w:rsidP="00097A14">
      <w:pPr>
        <w:adjustRightInd w:val="0"/>
        <w:snapToGrid w:val="0"/>
        <w:spacing w:line="360" w:lineRule="auto"/>
        <w:ind w:leftChars="-200" w:left="-2" w:right="6" w:hangingChars="190" w:hanging="418"/>
        <w:rPr>
          <w:sz w:val="22"/>
        </w:rPr>
      </w:pPr>
      <w:r>
        <w:rPr>
          <w:sz w:val="22"/>
        </w:rPr>
        <w:lastRenderedPageBreak/>
        <w:t xml:space="preserve">    </w:t>
      </w:r>
      <w:r w:rsidR="003717A0">
        <w:rPr>
          <w:sz w:val="22"/>
        </w:rPr>
        <w:t>1</w:t>
      </w:r>
      <w:r w:rsidR="003717A0">
        <w:rPr>
          <w:rFonts w:hint="eastAsia"/>
          <w:sz w:val="22"/>
        </w:rPr>
        <w:t>、胸廓部体表标志和胸壁、胸廓及乳房的一般检查。</w:t>
      </w:r>
    </w:p>
    <w:p w:rsidR="003717A0" w:rsidRDefault="003717A0">
      <w:pPr>
        <w:adjustRightInd w:val="0"/>
        <w:snapToGrid w:val="0"/>
        <w:spacing w:line="360" w:lineRule="auto"/>
        <w:ind w:leftChars="-200" w:left="-2" w:right="6" w:hangingChars="190" w:hanging="418"/>
        <w:rPr>
          <w:sz w:val="22"/>
        </w:rPr>
      </w:pPr>
      <w:r>
        <w:rPr>
          <w:sz w:val="22"/>
        </w:rPr>
        <w:t xml:space="preserve">    2</w:t>
      </w:r>
      <w:r>
        <w:rPr>
          <w:rFonts w:hint="eastAsia"/>
          <w:sz w:val="22"/>
        </w:rPr>
        <w:t>、掌握视诊、触诊、叩诊、听诊四种基本检查方法在胸部及肺部检查中的应用及其规范查体手法。</w:t>
      </w:r>
    </w:p>
    <w:p w:rsidR="003717A0" w:rsidRDefault="003717A0">
      <w:pPr>
        <w:adjustRightInd w:val="0"/>
        <w:snapToGrid w:val="0"/>
        <w:spacing w:line="360" w:lineRule="auto"/>
        <w:ind w:leftChars="-200" w:left="-2" w:right="6" w:hangingChars="190" w:hanging="418"/>
        <w:rPr>
          <w:sz w:val="22"/>
        </w:rPr>
      </w:pPr>
      <w:r>
        <w:rPr>
          <w:sz w:val="22"/>
        </w:rPr>
        <w:t xml:space="preserve">    3</w:t>
      </w:r>
      <w:r>
        <w:rPr>
          <w:rFonts w:hint="eastAsia"/>
          <w:sz w:val="22"/>
        </w:rPr>
        <w:t>、掌握肺部的异常体征，并分析其临床意义。</w:t>
      </w:r>
    </w:p>
    <w:p w:rsidR="003717A0" w:rsidRDefault="003717A0">
      <w:pPr>
        <w:adjustRightInd w:val="0"/>
        <w:snapToGrid w:val="0"/>
        <w:spacing w:line="360" w:lineRule="auto"/>
        <w:ind w:leftChars="-200" w:left="-2" w:right="6" w:hangingChars="190" w:hanging="418"/>
        <w:rPr>
          <w:sz w:val="22"/>
        </w:rPr>
      </w:pPr>
      <w:r>
        <w:rPr>
          <w:sz w:val="22"/>
        </w:rPr>
        <w:t xml:space="preserve">    4</w:t>
      </w:r>
      <w:r>
        <w:rPr>
          <w:rFonts w:hint="eastAsia"/>
          <w:sz w:val="22"/>
        </w:rPr>
        <w:t>、熟悉呼吸系统常见疾病的主要症状和体征。</w:t>
      </w:r>
    </w:p>
    <w:p w:rsidR="003717A0" w:rsidRDefault="003717A0" w:rsidP="00097A14">
      <w:pPr>
        <w:adjustRightInd w:val="0"/>
        <w:snapToGrid w:val="0"/>
        <w:spacing w:line="360" w:lineRule="auto"/>
        <w:ind w:leftChars="-200" w:left="-2" w:right="6" w:hangingChars="190" w:hanging="418"/>
        <w:rPr>
          <w:sz w:val="22"/>
        </w:rPr>
      </w:pPr>
      <w:r>
        <w:rPr>
          <w:sz w:val="22"/>
        </w:rPr>
        <w:t xml:space="preserve">    5</w:t>
      </w:r>
      <w:r>
        <w:rPr>
          <w:rFonts w:hint="eastAsia"/>
          <w:sz w:val="22"/>
        </w:rPr>
        <w:t>、掌握胸腔穿刺术的方法，注意事项。</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第五章</w:t>
      </w:r>
      <w:r>
        <w:rPr>
          <w:b/>
          <w:sz w:val="22"/>
        </w:rPr>
        <w:t xml:space="preserve"> </w:t>
      </w:r>
      <w:r>
        <w:rPr>
          <w:rFonts w:hint="eastAsia"/>
          <w:b/>
          <w:sz w:val="22"/>
        </w:rPr>
        <w:t>心血管检查、循环系统常见病变体征</w:t>
      </w:r>
    </w:p>
    <w:p w:rsidR="003717A0" w:rsidRDefault="003717A0">
      <w:pPr>
        <w:adjustRightInd w:val="0"/>
        <w:snapToGrid w:val="0"/>
        <w:spacing w:line="360" w:lineRule="auto"/>
        <w:ind w:leftChars="-200" w:right="6" w:hangingChars="190" w:hanging="420"/>
        <w:rPr>
          <w:b/>
          <w:sz w:val="22"/>
        </w:rPr>
      </w:pPr>
      <w:r>
        <w:rPr>
          <w:b/>
          <w:sz w:val="22"/>
        </w:rPr>
        <w:t xml:space="preserve">        </w:t>
      </w:r>
      <w:r>
        <w:rPr>
          <w:rFonts w:hint="eastAsia"/>
          <w:b/>
          <w:sz w:val="22"/>
        </w:rPr>
        <w:t>教学内容</w:t>
      </w:r>
    </w:p>
    <w:p w:rsidR="003717A0" w:rsidRDefault="003717A0">
      <w:pPr>
        <w:adjustRightInd w:val="0"/>
        <w:snapToGrid w:val="0"/>
        <w:spacing w:line="360" w:lineRule="auto"/>
        <w:ind w:leftChars="-200" w:right="6" w:hangingChars="190" w:hanging="420"/>
        <w:rPr>
          <w:sz w:val="22"/>
        </w:rPr>
      </w:pPr>
      <w:r>
        <w:rPr>
          <w:b/>
          <w:sz w:val="22"/>
        </w:rPr>
        <w:t xml:space="preserve">        </w:t>
      </w:r>
      <w:r>
        <w:rPr>
          <w:sz w:val="22"/>
        </w:rPr>
        <w:t>1</w:t>
      </w:r>
      <w:r>
        <w:rPr>
          <w:rFonts w:hint="eastAsia"/>
          <w:sz w:val="22"/>
        </w:rPr>
        <w:t>、心脏视触叩听：（</w:t>
      </w:r>
      <w:r>
        <w:rPr>
          <w:sz w:val="22"/>
        </w:rPr>
        <w:t>1</w:t>
      </w:r>
      <w:r>
        <w:rPr>
          <w:rFonts w:hint="eastAsia"/>
          <w:sz w:val="22"/>
        </w:rPr>
        <w:t>）视诊：</w:t>
      </w:r>
      <w:r>
        <w:rPr>
          <w:sz w:val="22"/>
        </w:rPr>
        <w:t xml:space="preserve"> </w:t>
      </w:r>
      <w:r>
        <w:rPr>
          <w:rFonts w:hint="eastAsia"/>
          <w:sz w:val="22"/>
        </w:rPr>
        <w:t>心前区隆起；</w:t>
      </w:r>
      <w:r>
        <w:rPr>
          <w:sz w:val="22"/>
        </w:rPr>
        <w:t xml:space="preserve"> </w:t>
      </w:r>
      <w:r>
        <w:rPr>
          <w:rFonts w:hint="eastAsia"/>
          <w:sz w:val="22"/>
        </w:rPr>
        <w:t>心尖搏动：正常心尖搏动的位置、强度、范围及其改变的临床意义；心前区异常搏动的临床意义。（</w:t>
      </w:r>
      <w:r>
        <w:rPr>
          <w:sz w:val="22"/>
        </w:rPr>
        <w:t>2</w:t>
      </w:r>
      <w:r>
        <w:rPr>
          <w:rFonts w:hint="eastAsia"/>
          <w:sz w:val="22"/>
        </w:rPr>
        <w:t>）触诊：心尖搏动的位置、强度、范围、节律及其改变的临床意义；震颤发生机理及各种震颤（出现的时期和部位）的临床意义；</w:t>
      </w:r>
      <w:r>
        <w:rPr>
          <w:sz w:val="22"/>
        </w:rPr>
        <w:t xml:space="preserve"> </w:t>
      </w:r>
      <w:r>
        <w:rPr>
          <w:rFonts w:hint="eastAsia"/>
          <w:sz w:val="22"/>
        </w:rPr>
        <w:t>心包摩擦感发生的机理和临床意义。（</w:t>
      </w:r>
      <w:r>
        <w:rPr>
          <w:sz w:val="22"/>
        </w:rPr>
        <w:t>3</w:t>
      </w:r>
      <w:r>
        <w:rPr>
          <w:rFonts w:hint="eastAsia"/>
          <w:sz w:val="22"/>
        </w:rPr>
        <w:t>）叩诊：心浊音界叩诊方法；正常心浊音界及其各部分的组成；心浊音界改变的原因、特点及临床意义；胸部、腹部疾病对心浊音界的影响。（</w:t>
      </w:r>
      <w:r>
        <w:rPr>
          <w:sz w:val="22"/>
        </w:rPr>
        <w:t>4</w:t>
      </w:r>
      <w:r>
        <w:rPr>
          <w:rFonts w:hint="eastAsia"/>
          <w:sz w:val="22"/>
        </w:rPr>
        <w:t>）听诊：心脏瓣膜听诊区的部位，听诊内容；心动过速、心动过缓、过早搏动及心房颤动的听诊特点；正常心音及其产生机理，第一、第二心音的区别；心音的变化</w:t>
      </w:r>
    </w:p>
    <w:p w:rsidR="003717A0" w:rsidRDefault="003717A0" w:rsidP="00097A14">
      <w:pPr>
        <w:adjustRightInd w:val="0"/>
        <w:snapToGrid w:val="0"/>
        <w:spacing w:line="360" w:lineRule="auto"/>
        <w:ind w:leftChars="-200" w:left="-420" w:right="6" w:firstLineChars="200" w:firstLine="440"/>
        <w:rPr>
          <w:sz w:val="22"/>
        </w:rPr>
      </w:pPr>
      <w:r>
        <w:rPr>
          <w:sz w:val="22"/>
        </w:rPr>
        <w:t>2</w:t>
      </w:r>
      <w:r>
        <w:rPr>
          <w:rFonts w:hint="eastAsia"/>
          <w:sz w:val="22"/>
        </w:rPr>
        <w:t>、心脏杂音：（</w:t>
      </w:r>
      <w:r>
        <w:rPr>
          <w:sz w:val="22"/>
        </w:rPr>
        <w:t>1</w:t>
      </w:r>
      <w:r>
        <w:rPr>
          <w:rFonts w:hint="eastAsia"/>
          <w:sz w:val="22"/>
        </w:rPr>
        <w:t>）杂音的产生机理；（</w:t>
      </w:r>
      <w:r>
        <w:rPr>
          <w:sz w:val="22"/>
        </w:rPr>
        <w:t>2</w:t>
      </w:r>
      <w:r>
        <w:rPr>
          <w:rFonts w:hint="eastAsia"/>
          <w:sz w:val="22"/>
        </w:rPr>
        <w:t>）分析杂音时应注意的要点：部位、时期、性质、传导、与体位、呼吸和运动的关系；（</w:t>
      </w:r>
      <w:r>
        <w:rPr>
          <w:sz w:val="22"/>
        </w:rPr>
        <w:t>3</w:t>
      </w:r>
      <w:r>
        <w:rPr>
          <w:rFonts w:hint="eastAsia"/>
          <w:sz w:val="22"/>
        </w:rPr>
        <w:t>）各瓣膜区杂音的临床意义。</w:t>
      </w:r>
    </w:p>
    <w:p w:rsidR="003717A0" w:rsidRDefault="003717A0" w:rsidP="00097A14">
      <w:pPr>
        <w:adjustRightInd w:val="0"/>
        <w:snapToGrid w:val="0"/>
        <w:spacing w:line="360" w:lineRule="auto"/>
        <w:ind w:leftChars="-200" w:left="-420" w:right="6" w:firstLineChars="200" w:firstLine="440"/>
        <w:rPr>
          <w:sz w:val="22"/>
        </w:rPr>
      </w:pPr>
      <w:r>
        <w:rPr>
          <w:sz w:val="22"/>
        </w:rPr>
        <w:t>3</w:t>
      </w:r>
      <w:r>
        <w:rPr>
          <w:rFonts w:hint="eastAsia"/>
          <w:sz w:val="22"/>
        </w:rPr>
        <w:t>、心包摩擦音产生的原因、特点和临床意义，以及与胸膜摩擦音、胸膜心包摩擦音的鉴别。</w:t>
      </w:r>
    </w:p>
    <w:p w:rsidR="003717A0" w:rsidRDefault="003717A0">
      <w:pPr>
        <w:adjustRightInd w:val="0"/>
        <w:snapToGrid w:val="0"/>
        <w:spacing w:line="360" w:lineRule="auto"/>
        <w:ind w:leftChars="-200" w:left="-2" w:right="6" w:hangingChars="190" w:hanging="418"/>
        <w:rPr>
          <w:sz w:val="22"/>
        </w:rPr>
      </w:pPr>
      <w:r>
        <w:rPr>
          <w:sz w:val="22"/>
        </w:rPr>
        <w:t xml:space="preserve">    4</w:t>
      </w:r>
      <w:r>
        <w:rPr>
          <w:rFonts w:hint="eastAsia"/>
          <w:sz w:val="22"/>
        </w:rPr>
        <w:t>、血管：肝颈静脉回流征、毛细血管搏动征；动脉搏动、脉率、脉律、水冲脉、交替脉、奇脉等；射枪音、</w:t>
      </w:r>
      <w:r>
        <w:rPr>
          <w:sz w:val="22"/>
        </w:rPr>
        <w:t>Duroziez</w:t>
      </w:r>
      <w:r>
        <w:rPr>
          <w:rFonts w:hint="eastAsia"/>
          <w:sz w:val="22"/>
        </w:rPr>
        <w:t>双重杂音、病理性动脉杂音；血压测量方法及临床意义。</w:t>
      </w:r>
    </w:p>
    <w:p w:rsidR="003717A0" w:rsidRDefault="003717A0">
      <w:pPr>
        <w:adjustRightInd w:val="0"/>
        <w:snapToGrid w:val="0"/>
        <w:spacing w:line="360" w:lineRule="auto"/>
        <w:ind w:leftChars="-200" w:left="-2" w:right="6" w:hangingChars="190" w:hanging="418"/>
        <w:rPr>
          <w:sz w:val="22"/>
        </w:rPr>
      </w:pPr>
      <w:r>
        <w:rPr>
          <w:sz w:val="22"/>
        </w:rPr>
        <w:t xml:space="preserve">    5</w:t>
      </w:r>
      <w:r>
        <w:rPr>
          <w:rFonts w:hint="eastAsia"/>
          <w:sz w:val="22"/>
        </w:rPr>
        <w:t>、循环系统常见病变的主要症状和体征：二尖瓣狭窄；二尖瓣关闭不全；主动脉瓣关闭不全；主动脉瓣狭窄；心包积液。</w:t>
      </w:r>
    </w:p>
    <w:p w:rsidR="003717A0" w:rsidRDefault="003717A0">
      <w:pPr>
        <w:adjustRightInd w:val="0"/>
        <w:snapToGrid w:val="0"/>
        <w:spacing w:line="360" w:lineRule="auto"/>
        <w:ind w:leftChars="-200" w:right="6" w:hangingChars="190" w:hanging="420"/>
        <w:rPr>
          <w:b/>
          <w:sz w:val="22"/>
        </w:rPr>
      </w:pPr>
      <w:r>
        <w:rPr>
          <w:b/>
          <w:sz w:val="22"/>
        </w:rPr>
        <w:t xml:space="preserve">        </w:t>
      </w:r>
      <w:r>
        <w:rPr>
          <w:rFonts w:hint="eastAsia"/>
          <w:b/>
          <w:sz w:val="22"/>
        </w:rPr>
        <w:t>实习内容</w:t>
      </w:r>
    </w:p>
    <w:p w:rsidR="003717A0" w:rsidRDefault="003717A0" w:rsidP="00097A14">
      <w:pPr>
        <w:adjustRightInd w:val="0"/>
        <w:snapToGrid w:val="0"/>
        <w:spacing w:line="360" w:lineRule="auto"/>
        <w:ind w:leftChars="-200" w:left="-420" w:right="6" w:firstLineChars="200" w:firstLine="440"/>
        <w:rPr>
          <w:sz w:val="22"/>
        </w:rPr>
      </w:pPr>
      <w:r>
        <w:rPr>
          <w:sz w:val="22"/>
        </w:rPr>
        <w:t xml:space="preserve"> 1</w:t>
      </w:r>
      <w:r>
        <w:rPr>
          <w:rFonts w:hint="eastAsia"/>
          <w:sz w:val="22"/>
        </w:rPr>
        <w:t>、教师示教并指导学生相互检查，反复练习检查的顺序和规范手法，掌握正常体征。</w:t>
      </w:r>
      <w:r>
        <w:rPr>
          <w:sz w:val="22"/>
        </w:rPr>
        <w:t xml:space="preserve"> </w:t>
      </w:r>
    </w:p>
    <w:p w:rsidR="003717A0" w:rsidRDefault="003717A0" w:rsidP="00097A14">
      <w:pPr>
        <w:adjustRightInd w:val="0"/>
        <w:snapToGrid w:val="0"/>
        <w:spacing w:line="360" w:lineRule="auto"/>
        <w:ind w:leftChars="-200" w:left="-420" w:right="6" w:firstLineChars="200" w:firstLine="440"/>
        <w:rPr>
          <w:sz w:val="22"/>
        </w:rPr>
      </w:pPr>
      <w:r>
        <w:rPr>
          <w:sz w:val="22"/>
        </w:rPr>
        <w:t xml:space="preserve"> 2</w:t>
      </w:r>
      <w:r>
        <w:rPr>
          <w:rFonts w:hint="eastAsia"/>
          <w:sz w:val="22"/>
        </w:rPr>
        <w:t>、应用录音、录像等视听教材，并在临床实习中指导学生进行检查，逐步掌握心脏及血管的常见体征及其临床意义。</w:t>
      </w:r>
    </w:p>
    <w:p w:rsidR="003717A0" w:rsidRDefault="003717A0" w:rsidP="00097A14">
      <w:pPr>
        <w:adjustRightInd w:val="0"/>
        <w:snapToGrid w:val="0"/>
        <w:spacing w:line="360" w:lineRule="auto"/>
        <w:ind w:leftChars="-200" w:left="-420" w:right="6" w:firstLineChars="200" w:firstLine="440"/>
        <w:rPr>
          <w:sz w:val="22"/>
        </w:rPr>
      </w:pPr>
      <w:r>
        <w:rPr>
          <w:sz w:val="22"/>
        </w:rPr>
        <w:t xml:space="preserve"> 3</w:t>
      </w:r>
      <w:r>
        <w:rPr>
          <w:rFonts w:hint="eastAsia"/>
          <w:sz w:val="22"/>
        </w:rPr>
        <w:t>、通过实习达到能分析循环系统常见疾病的主要症状和体征，并能独立书写循环系统疾病的问诊及检查记录。</w:t>
      </w:r>
    </w:p>
    <w:p w:rsidR="003717A0" w:rsidRDefault="003717A0">
      <w:pPr>
        <w:adjustRightInd w:val="0"/>
        <w:snapToGrid w:val="0"/>
        <w:spacing w:line="360" w:lineRule="auto"/>
        <w:ind w:leftChars="-2" w:left="-4" w:right="6" w:firstLineChars="50" w:firstLine="110"/>
        <w:rPr>
          <w:sz w:val="22"/>
        </w:rPr>
      </w:pPr>
      <w:r>
        <w:rPr>
          <w:sz w:val="22"/>
        </w:rPr>
        <w:t>4</w:t>
      </w:r>
      <w:r>
        <w:rPr>
          <w:rFonts w:hint="eastAsia"/>
          <w:sz w:val="22"/>
        </w:rPr>
        <w:t>、利用心肺听诊模拟人掌握常见心脏疾病的杂音以及鉴别诊断。</w:t>
      </w:r>
    </w:p>
    <w:p w:rsidR="003717A0" w:rsidRDefault="003717A0">
      <w:pPr>
        <w:adjustRightInd w:val="0"/>
        <w:snapToGrid w:val="0"/>
        <w:spacing w:line="360" w:lineRule="auto"/>
        <w:ind w:leftChars="-200" w:right="6" w:hangingChars="190" w:hanging="420"/>
        <w:rPr>
          <w:b/>
          <w:sz w:val="22"/>
        </w:rPr>
      </w:pPr>
      <w:r>
        <w:rPr>
          <w:b/>
          <w:sz w:val="22"/>
        </w:rPr>
        <w:t xml:space="preserve">        </w:t>
      </w:r>
      <w:r>
        <w:rPr>
          <w:rFonts w:hint="eastAsia"/>
          <w:b/>
          <w:sz w:val="22"/>
        </w:rPr>
        <w:t>目的要求</w:t>
      </w:r>
    </w:p>
    <w:p w:rsidR="003717A0" w:rsidRDefault="003717A0">
      <w:pPr>
        <w:adjustRightInd w:val="0"/>
        <w:snapToGrid w:val="0"/>
        <w:spacing w:line="360" w:lineRule="auto"/>
        <w:ind w:leftChars="-200" w:left="108" w:right="6" w:hangingChars="239" w:hanging="528"/>
        <w:rPr>
          <w:sz w:val="22"/>
        </w:rPr>
      </w:pPr>
      <w:r>
        <w:rPr>
          <w:b/>
          <w:sz w:val="22"/>
        </w:rPr>
        <w:t xml:space="preserve">    </w:t>
      </w:r>
      <w:r>
        <w:rPr>
          <w:sz w:val="22"/>
        </w:rPr>
        <w:t xml:space="preserve"> 1</w:t>
      </w:r>
      <w:r>
        <w:rPr>
          <w:rFonts w:hint="eastAsia"/>
          <w:sz w:val="22"/>
        </w:rPr>
        <w:t>、掌握心脏视、触、叩、听诊检查顺序、内容和方法，能比较准确的叩出心界。</w:t>
      </w:r>
    </w:p>
    <w:p w:rsidR="003717A0" w:rsidRDefault="003717A0">
      <w:pPr>
        <w:adjustRightInd w:val="0"/>
        <w:snapToGrid w:val="0"/>
        <w:spacing w:line="360" w:lineRule="auto"/>
        <w:ind w:leftChars="50" w:left="105" w:right="6"/>
        <w:rPr>
          <w:sz w:val="22"/>
        </w:rPr>
      </w:pPr>
      <w:r>
        <w:rPr>
          <w:sz w:val="22"/>
        </w:rPr>
        <w:lastRenderedPageBreak/>
        <w:t>2</w:t>
      </w:r>
      <w:r>
        <w:rPr>
          <w:rFonts w:hint="eastAsia"/>
          <w:sz w:val="22"/>
        </w:rPr>
        <w:t>、熟悉第一与第二心音产生的机理、鉴别要点，了解其增强或减弱的临床意义。熟悉心音分裂、额外心音的听诊特点。</w:t>
      </w:r>
    </w:p>
    <w:p w:rsidR="003717A0" w:rsidRDefault="003717A0">
      <w:pPr>
        <w:adjustRightInd w:val="0"/>
        <w:snapToGrid w:val="0"/>
        <w:spacing w:line="360" w:lineRule="auto"/>
        <w:ind w:leftChars="50" w:left="105" w:right="6"/>
        <w:rPr>
          <w:sz w:val="22"/>
        </w:rPr>
      </w:pPr>
      <w:r>
        <w:rPr>
          <w:sz w:val="22"/>
        </w:rPr>
        <w:t>3</w:t>
      </w:r>
      <w:r>
        <w:rPr>
          <w:rFonts w:hint="eastAsia"/>
          <w:sz w:val="22"/>
        </w:rPr>
        <w:t>、熟悉心脏杂音产生的机理及临床意义，掌握其听诊要点并能辨别收缩期及舒张期杂音，并熟悉各瓣膜区杂音的意义。</w:t>
      </w:r>
    </w:p>
    <w:p w:rsidR="003717A0" w:rsidRDefault="003717A0">
      <w:pPr>
        <w:adjustRightInd w:val="0"/>
        <w:snapToGrid w:val="0"/>
        <w:spacing w:line="360" w:lineRule="auto"/>
        <w:ind w:leftChars="50" w:left="105" w:right="6"/>
        <w:rPr>
          <w:sz w:val="22"/>
        </w:rPr>
      </w:pPr>
      <w:r>
        <w:rPr>
          <w:sz w:val="22"/>
        </w:rPr>
        <w:t>4</w:t>
      </w:r>
      <w:r>
        <w:rPr>
          <w:rFonts w:hint="eastAsia"/>
          <w:sz w:val="22"/>
        </w:rPr>
        <w:t>、熟悉心动过速、心动过缓、过早搏动及心房颤动等常见心律失常的听诊特点。</w:t>
      </w:r>
    </w:p>
    <w:p w:rsidR="003717A0" w:rsidRDefault="003717A0">
      <w:pPr>
        <w:adjustRightInd w:val="0"/>
        <w:snapToGrid w:val="0"/>
        <w:spacing w:line="360" w:lineRule="auto"/>
        <w:ind w:leftChars="50" w:left="105" w:right="6"/>
        <w:rPr>
          <w:sz w:val="22"/>
        </w:rPr>
      </w:pPr>
      <w:r>
        <w:rPr>
          <w:sz w:val="22"/>
        </w:rPr>
        <w:t>5</w:t>
      </w:r>
      <w:r>
        <w:rPr>
          <w:rFonts w:hint="eastAsia"/>
          <w:sz w:val="22"/>
        </w:rPr>
        <w:t>、了解血管视、触、听诊检查方法。</w:t>
      </w:r>
    </w:p>
    <w:p w:rsidR="003717A0" w:rsidRDefault="003717A0">
      <w:pPr>
        <w:adjustRightInd w:val="0"/>
        <w:snapToGrid w:val="0"/>
        <w:spacing w:line="360" w:lineRule="auto"/>
        <w:ind w:leftChars="50" w:left="105" w:right="6"/>
        <w:rPr>
          <w:sz w:val="22"/>
        </w:rPr>
      </w:pPr>
      <w:r>
        <w:rPr>
          <w:sz w:val="22"/>
        </w:rPr>
        <w:t>6</w:t>
      </w:r>
      <w:r>
        <w:rPr>
          <w:rFonts w:hint="eastAsia"/>
          <w:sz w:val="22"/>
        </w:rPr>
        <w:t>、掌握血压测定方法，了解其改变的临床意义。</w:t>
      </w:r>
    </w:p>
    <w:p w:rsidR="003717A0" w:rsidRDefault="003717A0">
      <w:pPr>
        <w:adjustRightInd w:val="0"/>
        <w:snapToGrid w:val="0"/>
        <w:spacing w:line="360" w:lineRule="auto"/>
        <w:ind w:leftChars="50" w:left="105" w:right="6"/>
        <w:rPr>
          <w:sz w:val="22"/>
        </w:rPr>
      </w:pPr>
      <w:r>
        <w:rPr>
          <w:sz w:val="22"/>
        </w:rPr>
        <w:t>7</w:t>
      </w:r>
      <w:r>
        <w:rPr>
          <w:rFonts w:hint="eastAsia"/>
          <w:sz w:val="22"/>
        </w:rPr>
        <w:t>、熟悉循环系统常见病变的主要症状和体征。</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第六章</w:t>
      </w:r>
      <w:r>
        <w:rPr>
          <w:b/>
          <w:sz w:val="22"/>
        </w:rPr>
        <w:t xml:space="preserve"> </w:t>
      </w:r>
      <w:r>
        <w:rPr>
          <w:rFonts w:hint="eastAsia"/>
          <w:b/>
          <w:sz w:val="22"/>
        </w:rPr>
        <w:t>腹部检查、消化系统常见病变体征、腹部穿刺术</w:t>
      </w:r>
    </w:p>
    <w:p w:rsidR="003717A0" w:rsidRDefault="003717A0">
      <w:pPr>
        <w:adjustRightInd w:val="0"/>
        <w:snapToGrid w:val="0"/>
        <w:spacing w:line="360" w:lineRule="auto"/>
        <w:ind w:leftChars="-2" w:left="-4" w:right="6" w:firstLineChars="196" w:firstLine="433"/>
        <w:rPr>
          <w:b/>
          <w:sz w:val="22"/>
        </w:rPr>
      </w:pPr>
      <w:r>
        <w:rPr>
          <w:rFonts w:hint="eastAsia"/>
          <w:b/>
          <w:sz w:val="22"/>
        </w:rPr>
        <w:t>教学内容</w:t>
      </w:r>
    </w:p>
    <w:p w:rsidR="003717A0" w:rsidRDefault="003717A0">
      <w:pPr>
        <w:adjustRightInd w:val="0"/>
        <w:snapToGrid w:val="0"/>
        <w:spacing w:line="360" w:lineRule="auto"/>
        <w:ind w:leftChars="-2" w:left="-4" w:right="6" w:firstLineChars="196" w:firstLine="431"/>
        <w:rPr>
          <w:sz w:val="22"/>
        </w:rPr>
      </w:pPr>
      <w:r>
        <w:rPr>
          <w:sz w:val="22"/>
        </w:rPr>
        <w:t>1</w:t>
      </w:r>
      <w:r>
        <w:rPr>
          <w:rFonts w:hint="eastAsia"/>
          <w:sz w:val="22"/>
        </w:rPr>
        <w:t>、腹部的体表标志及分区</w:t>
      </w:r>
      <w:r>
        <w:rPr>
          <w:sz w:val="22"/>
        </w:rPr>
        <w:t xml:space="preserve"> </w:t>
      </w:r>
      <w:r>
        <w:rPr>
          <w:rFonts w:hint="eastAsia"/>
          <w:sz w:val="22"/>
        </w:rPr>
        <w:t>：</w:t>
      </w:r>
    </w:p>
    <w:p w:rsidR="003717A0" w:rsidRDefault="003717A0">
      <w:pPr>
        <w:adjustRightInd w:val="0"/>
        <w:snapToGrid w:val="0"/>
        <w:spacing w:line="360" w:lineRule="auto"/>
        <w:ind w:leftChars="-2" w:left="-4" w:right="6" w:firstLineChars="196" w:firstLine="431"/>
        <w:rPr>
          <w:sz w:val="22"/>
        </w:rPr>
      </w:pPr>
      <w:r>
        <w:rPr>
          <w:rFonts w:hint="eastAsia"/>
          <w:sz w:val="22"/>
        </w:rPr>
        <w:t>腹部检查</w:t>
      </w:r>
      <w:r>
        <w:rPr>
          <w:sz w:val="22"/>
        </w:rPr>
        <w:t>1</w:t>
      </w:r>
      <w:r>
        <w:rPr>
          <w:rFonts w:hint="eastAsia"/>
          <w:sz w:val="22"/>
        </w:rPr>
        <w:t>、视诊腹部外形；呼吸运动；腹壁皮肤和静脉曲张；胃肠蠕动波。</w:t>
      </w:r>
    </w:p>
    <w:p w:rsidR="003717A0" w:rsidRDefault="003717A0">
      <w:pPr>
        <w:adjustRightInd w:val="0"/>
        <w:snapToGrid w:val="0"/>
        <w:spacing w:line="360" w:lineRule="auto"/>
        <w:ind w:leftChars="-2" w:left="-4" w:right="6" w:firstLineChars="196" w:firstLine="431"/>
        <w:rPr>
          <w:sz w:val="22"/>
        </w:rPr>
      </w:pPr>
      <w:r>
        <w:rPr>
          <w:sz w:val="22"/>
        </w:rPr>
        <w:t>2</w:t>
      </w:r>
      <w:r>
        <w:rPr>
          <w:rFonts w:hint="eastAsia"/>
          <w:sz w:val="22"/>
        </w:rPr>
        <w:t>、触诊：触壁紧张度；压痛和反跳痛及其临床意义；腹部包块触诊时注意点（位置、大小、形态、硬度、质地、压痛搏动、移动度及与邻近组织的关系）；</w:t>
      </w:r>
      <w:r>
        <w:rPr>
          <w:sz w:val="22"/>
        </w:rPr>
        <w:t xml:space="preserve"> </w:t>
      </w:r>
      <w:r>
        <w:rPr>
          <w:rFonts w:hint="eastAsia"/>
          <w:sz w:val="22"/>
        </w:rPr>
        <w:t>液波震颤的检查方法及意义；振水音的检查方法及意义；肝脏触诊：单手触诊法和双手触诊法的方法，注意事项和触诊内容（大小、质地、表面、形态、边缘、压痛、搏动等）；胆囊触诊：</w:t>
      </w:r>
      <w:r>
        <w:rPr>
          <w:sz w:val="22"/>
        </w:rPr>
        <w:t>Murphy</w:t>
      </w:r>
      <w:r>
        <w:rPr>
          <w:rFonts w:hint="eastAsia"/>
          <w:sz w:val="22"/>
        </w:rPr>
        <w:t>征及胆囊触痛阳性的检查方法及临床意义；脾脏触诊：触诊方法、内容和脾肿大测量法；</w:t>
      </w:r>
      <w:r>
        <w:rPr>
          <w:sz w:val="22"/>
        </w:rPr>
        <w:t xml:space="preserve"> </w:t>
      </w:r>
      <w:r>
        <w:rPr>
          <w:rFonts w:hint="eastAsia"/>
          <w:sz w:val="22"/>
        </w:rPr>
        <w:t>肾脏触诊的方法及压痛点；正常腹部可触到的脏器。</w:t>
      </w:r>
    </w:p>
    <w:p w:rsidR="003717A0" w:rsidRDefault="003717A0">
      <w:pPr>
        <w:adjustRightInd w:val="0"/>
        <w:snapToGrid w:val="0"/>
        <w:spacing w:line="360" w:lineRule="auto"/>
        <w:ind w:leftChars="-2" w:left="-4" w:right="6" w:firstLineChars="196" w:firstLine="431"/>
        <w:rPr>
          <w:sz w:val="22"/>
        </w:rPr>
      </w:pPr>
      <w:r>
        <w:rPr>
          <w:sz w:val="22"/>
        </w:rPr>
        <w:t>3</w:t>
      </w:r>
      <w:r>
        <w:rPr>
          <w:rFonts w:hint="eastAsia"/>
          <w:sz w:val="22"/>
        </w:rPr>
        <w:t>、叩诊：肝脾音界：包括肝上界、肝下界；胃泡鼓音区及脾脏叩诊；移动性浊音；脊肋角叩痛。</w:t>
      </w:r>
    </w:p>
    <w:p w:rsidR="003717A0" w:rsidRDefault="003717A0">
      <w:pPr>
        <w:adjustRightInd w:val="0"/>
        <w:snapToGrid w:val="0"/>
        <w:spacing w:line="360" w:lineRule="auto"/>
        <w:ind w:leftChars="-2" w:left="-4" w:right="6" w:firstLineChars="196" w:firstLine="431"/>
        <w:rPr>
          <w:sz w:val="22"/>
        </w:rPr>
      </w:pPr>
      <w:r>
        <w:rPr>
          <w:sz w:val="22"/>
        </w:rPr>
        <w:t>4</w:t>
      </w:r>
      <w:r>
        <w:rPr>
          <w:rFonts w:hint="eastAsia"/>
          <w:sz w:val="22"/>
        </w:rPr>
        <w:t>、听诊：肠鸣音；振水音；血管杂音。</w:t>
      </w:r>
    </w:p>
    <w:p w:rsidR="003717A0" w:rsidRDefault="003717A0">
      <w:pPr>
        <w:adjustRightInd w:val="0"/>
        <w:snapToGrid w:val="0"/>
        <w:spacing w:line="360" w:lineRule="auto"/>
        <w:ind w:leftChars="-2" w:left="-4" w:right="6" w:firstLineChars="196" w:firstLine="431"/>
        <w:rPr>
          <w:b/>
          <w:sz w:val="22"/>
        </w:rPr>
      </w:pPr>
      <w:r>
        <w:rPr>
          <w:sz w:val="22"/>
        </w:rPr>
        <w:t>5</w:t>
      </w:r>
      <w:r>
        <w:rPr>
          <w:rFonts w:hint="eastAsia"/>
          <w:sz w:val="22"/>
        </w:rPr>
        <w:t>、腹部常见病变的主要症状和体征：胃、十二指肠溃疡；急性腹膜炎；</w:t>
      </w:r>
      <w:r>
        <w:rPr>
          <w:sz w:val="22"/>
        </w:rPr>
        <w:t xml:space="preserve"> </w:t>
      </w:r>
      <w:r>
        <w:rPr>
          <w:rFonts w:hint="eastAsia"/>
          <w:sz w:val="22"/>
        </w:rPr>
        <w:t>肝硬化；腹部包块。</w:t>
      </w:r>
    </w:p>
    <w:p w:rsidR="003717A0" w:rsidRDefault="003717A0">
      <w:pPr>
        <w:adjustRightInd w:val="0"/>
        <w:snapToGrid w:val="0"/>
        <w:spacing w:line="360" w:lineRule="auto"/>
        <w:ind w:right="6" w:firstLineChars="196" w:firstLine="433"/>
        <w:rPr>
          <w:b/>
          <w:sz w:val="22"/>
        </w:rPr>
      </w:pPr>
      <w:r>
        <w:rPr>
          <w:rFonts w:hint="eastAsia"/>
          <w:b/>
          <w:sz w:val="22"/>
        </w:rPr>
        <w:t>实习内容</w:t>
      </w:r>
    </w:p>
    <w:p w:rsidR="003717A0" w:rsidRDefault="003717A0">
      <w:pPr>
        <w:adjustRightInd w:val="0"/>
        <w:snapToGrid w:val="0"/>
        <w:spacing w:line="360" w:lineRule="auto"/>
        <w:ind w:right="6" w:firstLineChars="196" w:firstLine="431"/>
        <w:rPr>
          <w:sz w:val="22"/>
        </w:rPr>
      </w:pPr>
      <w:r>
        <w:rPr>
          <w:sz w:val="22"/>
        </w:rPr>
        <w:t xml:space="preserve"> 1</w:t>
      </w:r>
      <w:r>
        <w:rPr>
          <w:rFonts w:hint="eastAsia"/>
          <w:sz w:val="22"/>
        </w:rPr>
        <w:t>、教师示教并指导相互检查，反复练习，注意检查方法和规范化。</w:t>
      </w:r>
      <w:r>
        <w:rPr>
          <w:sz w:val="22"/>
        </w:rPr>
        <w:t xml:space="preserve"> </w:t>
      </w:r>
    </w:p>
    <w:p w:rsidR="003717A0" w:rsidRDefault="003717A0">
      <w:pPr>
        <w:adjustRightInd w:val="0"/>
        <w:snapToGrid w:val="0"/>
        <w:spacing w:line="360" w:lineRule="auto"/>
        <w:ind w:right="6" w:firstLineChars="245" w:firstLine="539"/>
        <w:rPr>
          <w:sz w:val="22"/>
        </w:rPr>
      </w:pPr>
      <w:r>
        <w:rPr>
          <w:sz w:val="22"/>
        </w:rPr>
        <w:t>2</w:t>
      </w:r>
      <w:r>
        <w:rPr>
          <w:rFonts w:hint="eastAsia"/>
          <w:sz w:val="22"/>
        </w:rPr>
        <w:t>、应用视听教材及通过临床实习，观察腹部异常体征的表现，掌握其临床意义。</w:t>
      </w:r>
    </w:p>
    <w:p w:rsidR="003717A0" w:rsidRDefault="003717A0">
      <w:pPr>
        <w:adjustRightInd w:val="0"/>
        <w:snapToGrid w:val="0"/>
        <w:spacing w:line="360" w:lineRule="auto"/>
        <w:ind w:right="6" w:firstLineChars="245" w:firstLine="539"/>
        <w:rPr>
          <w:sz w:val="22"/>
        </w:rPr>
      </w:pPr>
      <w:r>
        <w:rPr>
          <w:sz w:val="22"/>
        </w:rPr>
        <w:t>3</w:t>
      </w:r>
      <w:r>
        <w:rPr>
          <w:rFonts w:hint="eastAsia"/>
          <w:sz w:val="22"/>
        </w:rPr>
        <w:t>、通过实习达到能分析腹部常见病变的主要症状和体征，并能写出腹部疾病的病史及体格检查记录。</w:t>
      </w:r>
    </w:p>
    <w:p w:rsidR="003717A0" w:rsidRDefault="003717A0">
      <w:pPr>
        <w:adjustRightInd w:val="0"/>
        <w:snapToGrid w:val="0"/>
        <w:spacing w:line="360" w:lineRule="auto"/>
        <w:ind w:right="6" w:firstLineChars="245" w:firstLine="539"/>
        <w:rPr>
          <w:sz w:val="22"/>
        </w:rPr>
      </w:pPr>
      <w:r>
        <w:rPr>
          <w:sz w:val="22"/>
        </w:rPr>
        <w:t>4</w:t>
      </w:r>
      <w:r>
        <w:rPr>
          <w:rFonts w:hint="eastAsia"/>
          <w:sz w:val="22"/>
        </w:rPr>
        <w:t>、利用腹部触诊模拟人掌握常见腹部消化系统疾病的触诊，鉴别诊断。</w:t>
      </w:r>
    </w:p>
    <w:p w:rsidR="003717A0" w:rsidRDefault="003717A0">
      <w:pPr>
        <w:adjustRightInd w:val="0"/>
        <w:snapToGrid w:val="0"/>
        <w:spacing w:line="360" w:lineRule="auto"/>
        <w:ind w:right="6" w:firstLineChars="245" w:firstLine="539"/>
        <w:rPr>
          <w:sz w:val="22"/>
        </w:rPr>
      </w:pPr>
      <w:r>
        <w:rPr>
          <w:sz w:val="22"/>
        </w:rPr>
        <w:t>5</w:t>
      </w:r>
      <w:r>
        <w:rPr>
          <w:rFonts w:hint="eastAsia"/>
          <w:sz w:val="22"/>
        </w:rPr>
        <w:t>、利用腹腔穿刺模拟人模拟腹腔穿刺术操作。</w:t>
      </w:r>
    </w:p>
    <w:p w:rsidR="003717A0" w:rsidRDefault="003717A0">
      <w:pPr>
        <w:adjustRightInd w:val="0"/>
        <w:snapToGrid w:val="0"/>
        <w:spacing w:line="360" w:lineRule="auto"/>
        <w:ind w:right="6" w:firstLineChars="196" w:firstLine="433"/>
        <w:rPr>
          <w:b/>
          <w:sz w:val="22"/>
        </w:rPr>
      </w:pPr>
      <w:r>
        <w:rPr>
          <w:rFonts w:hint="eastAsia"/>
          <w:b/>
          <w:sz w:val="22"/>
        </w:rPr>
        <w:t>目的要求</w:t>
      </w:r>
    </w:p>
    <w:p w:rsidR="003717A0" w:rsidRDefault="003717A0" w:rsidP="00097A14">
      <w:pPr>
        <w:adjustRightInd w:val="0"/>
        <w:snapToGrid w:val="0"/>
        <w:spacing w:line="360" w:lineRule="auto"/>
        <w:ind w:right="6" w:firstLineChars="200" w:firstLine="420"/>
      </w:pPr>
      <w:r>
        <w:lastRenderedPageBreak/>
        <w:t>1</w:t>
      </w:r>
      <w:r>
        <w:rPr>
          <w:rFonts w:hint="eastAsia"/>
        </w:rPr>
        <w:t>、熟悉腹部体表划线、分区与腹腔内脏的对应关系。</w:t>
      </w:r>
      <w:r>
        <w:br/>
        <w:t>2</w:t>
      </w:r>
      <w:r>
        <w:rPr>
          <w:rFonts w:hint="eastAsia"/>
        </w:rPr>
        <w:t>、以肝、脾触诊为重点，掌握腹部视、触、叩、听诊的规范方法。</w:t>
      </w:r>
      <w:r>
        <w:br/>
        <w:t>3</w:t>
      </w:r>
      <w:r>
        <w:rPr>
          <w:rFonts w:hint="eastAsia"/>
        </w:rPr>
        <w:t>、熟悉腹部常见病变的主要症状和体征。</w:t>
      </w:r>
    </w:p>
    <w:p w:rsidR="003717A0" w:rsidRDefault="003717A0">
      <w:pPr>
        <w:adjustRightInd w:val="0"/>
        <w:snapToGrid w:val="0"/>
        <w:spacing w:line="360" w:lineRule="auto"/>
        <w:ind w:right="6" w:firstLineChars="196" w:firstLine="412"/>
        <w:rPr>
          <w:b/>
          <w:sz w:val="22"/>
        </w:rPr>
      </w:pPr>
      <w:r>
        <w:t>4</w:t>
      </w:r>
      <w:r>
        <w:rPr>
          <w:rFonts w:hint="eastAsia"/>
        </w:rPr>
        <w:t>、</w:t>
      </w:r>
      <w:r>
        <w:rPr>
          <w:rFonts w:hint="eastAsia"/>
          <w:sz w:val="22"/>
        </w:rPr>
        <w:t>掌握腹腔穿刺术的方法，注意事项。</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pPr>
        <w:adjustRightInd w:val="0"/>
        <w:snapToGrid w:val="0"/>
        <w:spacing w:line="360" w:lineRule="auto"/>
        <w:ind w:leftChars="-200" w:right="4" w:hangingChars="190" w:hanging="420"/>
        <w:jc w:val="center"/>
        <w:rPr>
          <w:b/>
          <w:sz w:val="22"/>
        </w:rPr>
      </w:pPr>
      <w:r>
        <w:rPr>
          <w:rFonts w:hint="eastAsia"/>
          <w:b/>
          <w:sz w:val="22"/>
        </w:rPr>
        <w:t>第七章</w:t>
      </w:r>
      <w:r>
        <w:rPr>
          <w:b/>
          <w:sz w:val="22"/>
        </w:rPr>
        <w:t xml:space="preserve"> </w:t>
      </w:r>
      <w:r>
        <w:rPr>
          <w:rFonts w:hint="eastAsia"/>
          <w:b/>
          <w:sz w:val="22"/>
        </w:rPr>
        <w:t>脊柱四肢，神经系统检查，腰椎穿刺术</w:t>
      </w:r>
    </w:p>
    <w:p w:rsidR="003717A0" w:rsidRDefault="003717A0">
      <w:pPr>
        <w:adjustRightInd w:val="0"/>
        <w:snapToGrid w:val="0"/>
        <w:spacing w:line="360" w:lineRule="auto"/>
        <w:ind w:leftChars="-2" w:left="-4" w:right="4" w:firstLineChars="196" w:firstLine="433"/>
        <w:rPr>
          <w:b/>
          <w:sz w:val="22"/>
        </w:rPr>
      </w:pPr>
      <w:r>
        <w:rPr>
          <w:rFonts w:hint="eastAsia"/>
          <w:b/>
          <w:sz w:val="22"/>
        </w:rPr>
        <w:t>教学内容</w:t>
      </w:r>
    </w:p>
    <w:p w:rsidR="003717A0" w:rsidRDefault="003717A0">
      <w:pPr>
        <w:adjustRightInd w:val="0"/>
        <w:snapToGrid w:val="0"/>
        <w:spacing w:line="360" w:lineRule="auto"/>
        <w:ind w:leftChars="-2" w:left="-4" w:right="4" w:firstLineChars="196" w:firstLine="431"/>
        <w:rPr>
          <w:sz w:val="22"/>
        </w:rPr>
      </w:pPr>
      <w:r>
        <w:rPr>
          <w:sz w:val="22"/>
        </w:rPr>
        <w:t>1</w:t>
      </w:r>
      <w:r>
        <w:rPr>
          <w:rFonts w:hint="eastAsia"/>
          <w:sz w:val="22"/>
        </w:rPr>
        <w:t>、脊柱：正常弯曲度、畸形与其临床意义；运动功能障碍、压痛和叩击痛的临床意义。</w:t>
      </w:r>
    </w:p>
    <w:p w:rsidR="003717A0" w:rsidRDefault="003717A0">
      <w:pPr>
        <w:adjustRightInd w:val="0"/>
        <w:snapToGrid w:val="0"/>
        <w:spacing w:line="360" w:lineRule="auto"/>
        <w:ind w:leftChars="-2" w:left="-4" w:right="4" w:firstLineChars="196" w:firstLine="431"/>
        <w:rPr>
          <w:sz w:val="22"/>
        </w:rPr>
      </w:pPr>
      <w:r>
        <w:rPr>
          <w:sz w:val="22"/>
        </w:rPr>
        <w:t>2</w:t>
      </w:r>
      <w:r>
        <w:rPr>
          <w:rFonts w:hint="eastAsia"/>
          <w:sz w:val="22"/>
        </w:rPr>
        <w:t>、四肢：形态异常；运动功能障碍。</w:t>
      </w:r>
    </w:p>
    <w:p w:rsidR="003717A0" w:rsidRDefault="003717A0">
      <w:pPr>
        <w:adjustRightInd w:val="0"/>
        <w:snapToGrid w:val="0"/>
        <w:spacing w:line="360" w:lineRule="auto"/>
        <w:ind w:leftChars="-2" w:left="-4" w:right="4" w:firstLineChars="196" w:firstLine="431"/>
        <w:rPr>
          <w:sz w:val="22"/>
        </w:rPr>
      </w:pPr>
      <w:r>
        <w:rPr>
          <w:sz w:val="22"/>
        </w:rPr>
        <w:t>3</w:t>
      </w:r>
      <w:r>
        <w:rPr>
          <w:rFonts w:hint="eastAsia"/>
          <w:sz w:val="22"/>
        </w:rPr>
        <w:t>、简要介绍感觉神经、运动神经、植物神经功能检查的临床意义。</w:t>
      </w:r>
    </w:p>
    <w:p w:rsidR="003717A0" w:rsidRDefault="003717A0">
      <w:pPr>
        <w:adjustRightInd w:val="0"/>
        <w:snapToGrid w:val="0"/>
        <w:spacing w:line="360" w:lineRule="auto"/>
        <w:ind w:leftChars="-2" w:left="-4" w:right="4" w:firstLineChars="196" w:firstLine="431"/>
        <w:rPr>
          <w:sz w:val="22"/>
        </w:rPr>
      </w:pPr>
      <w:r>
        <w:rPr>
          <w:sz w:val="22"/>
        </w:rPr>
        <w:t>4</w:t>
      </w:r>
      <w:r>
        <w:rPr>
          <w:rFonts w:hint="eastAsia"/>
          <w:sz w:val="22"/>
        </w:rPr>
        <w:t>、重点讲授神经反射的检查方法及病理反射的临床意义。浅反射：角膜反射、腹壁反射、提睾反射和跖及反射；深反射：肱二头肌反射、肱三头肌反射、桡骨骨膜反射、膝腱反射和跟腱反射；病理反射（锥体束征）：</w:t>
      </w:r>
      <w:r>
        <w:rPr>
          <w:sz w:val="22"/>
        </w:rPr>
        <w:t>Babinski</w:t>
      </w:r>
      <w:r>
        <w:rPr>
          <w:rFonts w:hint="eastAsia"/>
          <w:sz w:val="22"/>
        </w:rPr>
        <w:t>征及其临床意义相同的</w:t>
      </w:r>
      <w:r>
        <w:rPr>
          <w:sz w:val="22"/>
        </w:rPr>
        <w:t>Oppenheim</w:t>
      </w:r>
      <w:r>
        <w:rPr>
          <w:rFonts w:hint="eastAsia"/>
          <w:sz w:val="22"/>
        </w:rPr>
        <w:t>征、</w:t>
      </w:r>
      <w:r>
        <w:rPr>
          <w:sz w:val="22"/>
        </w:rPr>
        <w:t>Gordon</w:t>
      </w:r>
      <w:r>
        <w:rPr>
          <w:rFonts w:hint="eastAsia"/>
          <w:sz w:val="22"/>
        </w:rPr>
        <w:t>征、</w:t>
      </w:r>
      <w:r>
        <w:rPr>
          <w:sz w:val="22"/>
        </w:rPr>
        <w:t>Chaddock</w:t>
      </w:r>
      <w:r>
        <w:rPr>
          <w:rFonts w:hint="eastAsia"/>
          <w:sz w:val="22"/>
        </w:rPr>
        <w:t>征、</w:t>
      </w:r>
      <w:r>
        <w:rPr>
          <w:sz w:val="22"/>
        </w:rPr>
        <w:t>Gonda</w:t>
      </w:r>
      <w:r>
        <w:rPr>
          <w:rFonts w:hint="eastAsia"/>
          <w:sz w:val="22"/>
        </w:rPr>
        <w:t>征。</w:t>
      </w:r>
      <w:r>
        <w:rPr>
          <w:sz w:val="22"/>
        </w:rPr>
        <w:t>Hoffmann</w:t>
      </w:r>
      <w:r>
        <w:rPr>
          <w:rFonts w:hint="eastAsia"/>
          <w:sz w:val="22"/>
        </w:rPr>
        <w:t>征。阵挛：踝阵挛、膑阵挛。脑膜刺激征：颈项强直，</w:t>
      </w:r>
      <w:r>
        <w:rPr>
          <w:sz w:val="22"/>
        </w:rPr>
        <w:t>Kernig</w:t>
      </w:r>
      <w:r>
        <w:rPr>
          <w:rFonts w:hint="eastAsia"/>
          <w:sz w:val="22"/>
        </w:rPr>
        <w:t>征和</w:t>
      </w:r>
      <w:r>
        <w:rPr>
          <w:sz w:val="22"/>
        </w:rPr>
        <w:t>Brudzinski</w:t>
      </w:r>
      <w:r>
        <w:rPr>
          <w:rFonts w:hint="eastAsia"/>
          <w:sz w:val="22"/>
        </w:rPr>
        <w:t>征。</w:t>
      </w:r>
      <w:r>
        <w:rPr>
          <w:sz w:val="22"/>
        </w:rPr>
        <w:t>Lesegue</w:t>
      </w:r>
      <w:r>
        <w:rPr>
          <w:rFonts w:hint="eastAsia"/>
          <w:sz w:val="22"/>
        </w:rPr>
        <w:t>征。</w:t>
      </w:r>
    </w:p>
    <w:p w:rsidR="003717A0" w:rsidRDefault="003717A0">
      <w:pPr>
        <w:adjustRightInd w:val="0"/>
        <w:snapToGrid w:val="0"/>
        <w:spacing w:line="360" w:lineRule="auto"/>
        <w:ind w:leftChars="-2" w:left="-4" w:right="4" w:firstLineChars="196" w:firstLine="433"/>
        <w:rPr>
          <w:b/>
          <w:sz w:val="22"/>
        </w:rPr>
      </w:pPr>
      <w:r>
        <w:rPr>
          <w:rFonts w:hint="eastAsia"/>
          <w:b/>
          <w:sz w:val="22"/>
        </w:rPr>
        <w:t>实习内容</w:t>
      </w:r>
    </w:p>
    <w:p w:rsidR="003717A0" w:rsidRDefault="003717A0">
      <w:pPr>
        <w:numPr>
          <w:ilvl w:val="0"/>
          <w:numId w:val="422"/>
        </w:numPr>
        <w:adjustRightInd w:val="0"/>
        <w:snapToGrid w:val="0"/>
        <w:spacing w:line="360" w:lineRule="auto"/>
        <w:ind w:right="4"/>
        <w:rPr>
          <w:sz w:val="22"/>
        </w:rPr>
      </w:pPr>
      <w:r>
        <w:rPr>
          <w:rFonts w:hint="eastAsia"/>
          <w:sz w:val="22"/>
        </w:rPr>
        <w:t>学生互相练习，结合教学录像片，使学生掌握检查方法及其意义。</w:t>
      </w:r>
    </w:p>
    <w:p w:rsidR="003717A0" w:rsidRDefault="003717A0">
      <w:pPr>
        <w:numPr>
          <w:ilvl w:val="0"/>
          <w:numId w:val="422"/>
        </w:numPr>
        <w:adjustRightInd w:val="0"/>
        <w:snapToGrid w:val="0"/>
        <w:spacing w:line="360" w:lineRule="auto"/>
        <w:ind w:right="4"/>
        <w:rPr>
          <w:sz w:val="22"/>
        </w:rPr>
      </w:pPr>
      <w:r>
        <w:rPr>
          <w:rFonts w:hint="eastAsia"/>
          <w:sz w:val="22"/>
        </w:rPr>
        <w:t>示教并应用教学录像片，使学生熟悉病理状态下的神经系统表现，结合临床分析阳性体征的意义</w:t>
      </w:r>
    </w:p>
    <w:p w:rsidR="003717A0" w:rsidRDefault="003717A0">
      <w:pPr>
        <w:adjustRightInd w:val="0"/>
        <w:snapToGrid w:val="0"/>
        <w:spacing w:line="360" w:lineRule="auto"/>
        <w:ind w:right="6" w:firstLineChars="200" w:firstLine="440"/>
        <w:rPr>
          <w:sz w:val="22"/>
        </w:rPr>
      </w:pPr>
      <w:r>
        <w:rPr>
          <w:sz w:val="22"/>
        </w:rPr>
        <w:t>3</w:t>
      </w:r>
      <w:r>
        <w:rPr>
          <w:rFonts w:hint="eastAsia"/>
          <w:sz w:val="22"/>
        </w:rPr>
        <w:t>、利用腰椎穿刺模拟人模拟腹腔穿刺术操作。</w:t>
      </w:r>
    </w:p>
    <w:p w:rsidR="003717A0" w:rsidRDefault="003717A0">
      <w:pPr>
        <w:adjustRightInd w:val="0"/>
        <w:snapToGrid w:val="0"/>
        <w:spacing w:line="360" w:lineRule="auto"/>
        <w:ind w:left="440" w:right="4"/>
        <w:rPr>
          <w:sz w:val="22"/>
        </w:rPr>
      </w:pPr>
      <w:r>
        <w:rPr>
          <w:sz w:val="22"/>
        </w:rPr>
        <w:t>4</w:t>
      </w:r>
      <w:r>
        <w:rPr>
          <w:rFonts w:hint="eastAsia"/>
          <w:sz w:val="22"/>
        </w:rPr>
        <w:t>、教师示教有神经系统疾病的病人，学生观察并分析其临床意义（定位、定性）。</w:t>
      </w:r>
    </w:p>
    <w:p w:rsidR="003717A0" w:rsidRDefault="003717A0">
      <w:pPr>
        <w:adjustRightInd w:val="0"/>
        <w:snapToGrid w:val="0"/>
        <w:spacing w:line="360" w:lineRule="auto"/>
        <w:ind w:leftChars="-2" w:left="-4" w:right="4" w:firstLineChars="196" w:firstLine="433"/>
        <w:rPr>
          <w:b/>
          <w:sz w:val="22"/>
        </w:rPr>
      </w:pPr>
      <w:r>
        <w:rPr>
          <w:rFonts w:hint="eastAsia"/>
          <w:b/>
          <w:sz w:val="22"/>
        </w:rPr>
        <w:t>目的要求</w:t>
      </w:r>
    </w:p>
    <w:p w:rsidR="003717A0" w:rsidRDefault="003717A0">
      <w:pPr>
        <w:adjustRightInd w:val="0"/>
        <w:snapToGrid w:val="0"/>
        <w:spacing w:line="360" w:lineRule="auto"/>
        <w:ind w:leftChars="-2" w:left="-4" w:right="4" w:firstLineChars="196" w:firstLine="431"/>
        <w:rPr>
          <w:sz w:val="22"/>
        </w:rPr>
      </w:pPr>
      <w:r>
        <w:rPr>
          <w:sz w:val="22"/>
        </w:rPr>
        <w:t>1</w:t>
      </w:r>
      <w:r>
        <w:rPr>
          <w:rFonts w:hint="eastAsia"/>
          <w:sz w:val="22"/>
        </w:rPr>
        <w:t>、熟悉脊柱、四肢的检查方法。</w:t>
      </w:r>
    </w:p>
    <w:p w:rsidR="003717A0" w:rsidRDefault="003717A0">
      <w:pPr>
        <w:adjustRightInd w:val="0"/>
        <w:snapToGrid w:val="0"/>
        <w:spacing w:line="360" w:lineRule="auto"/>
        <w:ind w:leftChars="-2" w:left="-4" w:right="4" w:firstLineChars="196" w:firstLine="431"/>
        <w:rPr>
          <w:sz w:val="22"/>
        </w:rPr>
      </w:pPr>
      <w:r>
        <w:rPr>
          <w:sz w:val="22"/>
        </w:rPr>
        <w:t>2</w:t>
      </w:r>
      <w:r>
        <w:rPr>
          <w:rFonts w:hint="eastAsia"/>
          <w:sz w:val="22"/>
        </w:rPr>
        <w:t>、熟悉其病理改变的意义。</w:t>
      </w:r>
    </w:p>
    <w:p w:rsidR="003717A0" w:rsidRDefault="003717A0">
      <w:pPr>
        <w:adjustRightInd w:val="0"/>
        <w:snapToGrid w:val="0"/>
        <w:spacing w:line="360" w:lineRule="auto"/>
        <w:ind w:leftChars="-2" w:left="-4" w:right="4" w:firstLineChars="196" w:firstLine="431"/>
        <w:rPr>
          <w:sz w:val="22"/>
        </w:rPr>
      </w:pPr>
      <w:r>
        <w:rPr>
          <w:sz w:val="22"/>
        </w:rPr>
        <w:t>3</w:t>
      </w:r>
      <w:r>
        <w:rPr>
          <w:rFonts w:hint="eastAsia"/>
          <w:sz w:val="22"/>
        </w:rPr>
        <w:t>、了解经系统的检查内容和方法。</w:t>
      </w:r>
    </w:p>
    <w:p w:rsidR="003717A0" w:rsidRDefault="003717A0">
      <w:pPr>
        <w:adjustRightInd w:val="0"/>
        <w:snapToGrid w:val="0"/>
        <w:spacing w:line="360" w:lineRule="auto"/>
        <w:ind w:leftChars="-2" w:left="-4" w:right="4" w:firstLineChars="196" w:firstLine="431"/>
        <w:rPr>
          <w:sz w:val="22"/>
        </w:rPr>
      </w:pPr>
      <w:r>
        <w:rPr>
          <w:sz w:val="22"/>
        </w:rPr>
        <w:t>4</w:t>
      </w:r>
      <w:r>
        <w:rPr>
          <w:rFonts w:hint="eastAsia"/>
          <w:sz w:val="22"/>
        </w:rPr>
        <w:t>、掌握神经反射的检查方法及病理反射的临床意义。</w:t>
      </w:r>
    </w:p>
    <w:p w:rsidR="003717A0" w:rsidRDefault="003717A0">
      <w:pPr>
        <w:adjustRightInd w:val="0"/>
        <w:snapToGrid w:val="0"/>
        <w:spacing w:line="360" w:lineRule="auto"/>
        <w:ind w:leftChars="-2" w:left="-4" w:right="4" w:firstLineChars="196" w:firstLine="431"/>
        <w:rPr>
          <w:sz w:val="22"/>
        </w:rPr>
      </w:pPr>
      <w:r>
        <w:rPr>
          <w:sz w:val="22"/>
        </w:rPr>
        <w:t>5</w:t>
      </w:r>
      <w:r>
        <w:rPr>
          <w:rFonts w:hint="eastAsia"/>
          <w:sz w:val="22"/>
        </w:rPr>
        <w:t>、掌握腰椎穿刺术的方法，注意事项。</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pPr>
        <w:adjustRightInd w:val="0"/>
        <w:snapToGrid w:val="0"/>
        <w:spacing w:line="360" w:lineRule="auto"/>
        <w:ind w:leftChars="-200" w:right="6" w:hangingChars="190" w:hanging="420"/>
        <w:jc w:val="center"/>
        <w:rPr>
          <w:b/>
          <w:sz w:val="22"/>
        </w:rPr>
      </w:pPr>
      <w:r>
        <w:rPr>
          <w:rFonts w:hint="eastAsia"/>
          <w:b/>
          <w:sz w:val="22"/>
        </w:rPr>
        <w:t>第八章</w:t>
      </w:r>
      <w:r>
        <w:rPr>
          <w:b/>
          <w:sz w:val="22"/>
        </w:rPr>
        <w:t xml:space="preserve"> </w:t>
      </w:r>
      <w:r>
        <w:rPr>
          <w:rFonts w:hint="eastAsia"/>
          <w:b/>
          <w:sz w:val="22"/>
        </w:rPr>
        <w:t>心电图</w:t>
      </w:r>
    </w:p>
    <w:p w:rsidR="003717A0" w:rsidRDefault="003717A0">
      <w:pPr>
        <w:adjustRightInd w:val="0"/>
        <w:snapToGrid w:val="0"/>
        <w:spacing w:line="360" w:lineRule="auto"/>
        <w:ind w:leftChars="-2" w:left="-4" w:right="6" w:firstLineChars="196" w:firstLine="433"/>
        <w:rPr>
          <w:b/>
          <w:sz w:val="22"/>
        </w:rPr>
      </w:pPr>
      <w:r>
        <w:rPr>
          <w:rFonts w:hint="eastAsia"/>
          <w:b/>
          <w:sz w:val="22"/>
        </w:rPr>
        <w:t>教学内容</w:t>
      </w:r>
    </w:p>
    <w:p w:rsidR="003717A0" w:rsidRDefault="003717A0">
      <w:pPr>
        <w:adjustRightInd w:val="0"/>
        <w:snapToGrid w:val="0"/>
        <w:spacing w:line="360" w:lineRule="auto"/>
        <w:ind w:leftChars="-2" w:left="-4" w:right="6" w:firstLineChars="196" w:firstLine="431"/>
        <w:rPr>
          <w:sz w:val="22"/>
        </w:rPr>
      </w:pPr>
      <w:r>
        <w:rPr>
          <w:sz w:val="22"/>
        </w:rPr>
        <w:t>1</w:t>
      </w:r>
      <w:r>
        <w:rPr>
          <w:rFonts w:hint="eastAsia"/>
          <w:sz w:val="22"/>
        </w:rPr>
        <w:t>、心电图的基础知识，包括心电图发生原理、常用导联、心电轴的概念，心电图测量方法及临床意义。</w:t>
      </w:r>
    </w:p>
    <w:p w:rsidR="003717A0" w:rsidRDefault="003717A0">
      <w:pPr>
        <w:adjustRightInd w:val="0"/>
        <w:snapToGrid w:val="0"/>
        <w:spacing w:line="360" w:lineRule="auto"/>
        <w:ind w:leftChars="-2" w:left="-4" w:right="6" w:firstLineChars="196" w:firstLine="431"/>
        <w:rPr>
          <w:sz w:val="22"/>
        </w:rPr>
      </w:pPr>
      <w:r>
        <w:rPr>
          <w:sz w:val="22"/>
        </w:rPr>
        <w:lastRenderedPageBreak/>
        <w:t>2</w:t>
      </w:r>
      <w:r>
        <w:rPr>
          <w:rFonts w:hint="eastAsia"/>
          <w:sz w:val="22"/>
        </w:rPr>
        <w:t>、正常心电图波形特点与正常值。</w:t>
      </w:r>
    </w:p>
    <w:p w:rsidR="003717A0" w:rsidRDefault="003717A0">
      <w:pPr>
        <w:adjustRightInd w:val="0"/>
        <w:snapToGrid w:val="0"/>
        <w:spacing w:line="360" w:lineRule="auto"/>
        <w:ind w:leftChars="-2" w:left="-4" w:right="6" w:firstLineChars="196" w:firstLine="431"/>
        <w:rPr>
          <w:sz w:val="22"/>
        </w:rPr>
      </w:pPr>
      <w:r>
        <w:rPr>
          <w:sz w:val="22"/>
        </w:rPr>
        <w:t>3</w:t>
      </w:r>
      <w:r>
        <w:rPr>
          <w:rFonts w:hint="eastAsia"/>
          <w:sz w:val="22"/>
        </w:rPr>
        <w:t>、心电图的临床应用。</w:t>
      </w:r>
    </w:p>
    <w:p w:rsidR="003717A0" w:rsidRDefault="003717A0">
      <w:pPr>
        <w:adjustRightInd w:val="0"/>
        <w:snapToGrid w:val="0"/>
        <w:spacing w:line="360" w:lineRule="auto"/>
        <w:ind w:leftChars="-2" w:left="-4" w:right="6" w:firstLineChars="196" w:firstLine="431"/>
        <w:rPr>
          <w:sz w:val="22"/>
        </w:rPr>
      </w:pPr>
      <w:r>
        <w:rPr>
          <w:sz w:val="22"/>
        </w:rPr>
        <w:t>4</w:t>
      </w:r>
      <w:r>
        <w:rPr>
          <w:rFonts w:hint="eastAsia"/>
          <w:sz w:val="22"/>
        </w:rPr>
        <w:t>、几种常见心电图的特征。心房、心室肥大；心肌梗塞；常见心律失常（窦性心律失常、过早搏动、异位性心动过速、扑动与颤动、房室传导阻滞、束支传导阻滞、逸搏和逸搏心律）。</w:t>
      </w:r>
    </w:p>
    <w:p w:rsidR="003717A0" w:rsidRDefault="003717A0">
      <w:pPr>
        <w:adjustRightInd w:val="0"/>
        <w:snapToGrid w:val="0"/>
        <w:spacing w:line="360" w:lineRule="auto"/>
        <w:ind w:leftChars="-2" w:left="-4" w:right="6" w:firstLineChars="193" w:firstLine="426"/>
        <w:rPr>
          <w:b/>
          <w:sz w:val="22"/>
        </w:rPr>
      </w:pPr>
      <w:r>
        <w:rPr>
          <w:rFonts w:hint="eastAsia"/>
          <w:b/>
          <w:sz w:val="22"/>
        </w:rPr>
        <w:t>实习内容</w:t>
      </w:r>
    </w:p>
    <w:p w:rsidR="003717A0" w:rsidRDefault="003717A0">
      <w:pPr>
        <w:adjustRightInd w:val="0"/>
        <w:snapToGrid w:val="0"/>
        <w:spacing w:line="360" w:lineRule="auto"/>
        <w:ind w:leftChars="-2" w:left="-4" w:right="6" w:firstLineChars="196" w:firstLine="431"/>
        <w:rPr>
          <w:sz w:val="22"/>
        </w:rPr>
      </w:pPr>
      <w:r>
        <w:rPr>
          <w:sz w:val="22"/>
        </w:rPr>
        <w:t>1</w:t>
      </w:r>
      <w:r>
        <w:rPr>
          <w:rFonts w:hint="eastAsia"/>
          <w:sz w:val="22"/>
        </w:rPr>
        <w:t>、实习时采用看图、讨论和解答问题方式，使学生理论联系实际，逐步熟悉和掌握正常心电图和几种异常心电图的特征。</w:t>
      </w:r>
    </w:p>
    <w:p w:rsidR="003717A0" w:rsidRDefault="003717A0">
      <w:pPr>
        <w:adjustRightInd w:val="0"/>
        <w:snapToGrid w:val="0"/>
        <w:spacing w:line="360" w:lineRule="auto"/>
        <w:ind w:leftChars="-2" w:left="-4" w:right="6" w:firstLineChars="196" w:firstLine="431"/>
        <w:rPr>
          <w:sz w:val="22"/>
        </w:rPr>
      </w:pPr>
      <w:r>
        <w:rPr>
          <w:sz w:val="22"/>
        </w:rPr>
        <w:t>2</w:t>
      </w:r>
      <w:r>
        <w:rPr>
          <w:rFonts w:hint="eastAsia"/>
          <w:sz w:val="22"/>
        </w:rPr>
        <w:t>、以讲图形特点为主，采取边讲解，边看图，边讨论和解答问题的方式进行正常心电图的测量及几种异常心电图的教学。</w:t>
      </w:r>
    </w:p>
    <w:p w:rsidR="003717A0" w:rsidRDefault="003717A0">
      <w:pPr>
        <w:adjustRightInd w:val="0"/>
        <w:snapToGrid w:val="0"/>
        <w:spacing w:line="360" w:lineRule="auto"/>
        <w:ind w:leftChars="-2" w:left="-4" w:right="6" w:firstLineChars="196" w:firstLine="431"/>
        <w:rPr>
          <w:sz w:val="22"/>
        </w:rPr>
      </w:pPr>
      <w:r>
        <w:rPr>
          <w:sz w:val="22"/>
        </w:rPr>
        <w:t>3</w:t>
      </w:r>
      <w:r>
        <w:rPr>
          <w:rFonts w:hint="eastAsia"/>
          <w:sz w:val="22"/>
        </w:rPr>
        <w:t>、学生独立阅读及测量正常或异常心电图，并写出报告，交教师批阅。</w:t>
      </w:r>
    </w:p>
    <w:p w:rsidR="003717A0" w:rsidRDefault="003717A0">
      <w:pPr>
        <w:adjustRightInd w:val="0"/>
        <w:snapToGrid w:val="0"/>
        <w:spacing w:line="360" w:lineRule="auto"/>
        <w:ind w:leftChars="-2" w:left="-4" w:right="6" w:firstLineChars="196" w:firstLine="431"/>
        <w:rPr>
          <w:sz w:val="22"/>
        </w:rPr>
      </w:pPr>
      <w:r>
        <w:rPr>
          <w:sz w:val="22"/>
        </w:rPr>
        <w:t>4</w:t>
      </w:r>
      <w:r>
        <w:rPr>
          <w:rFonts w:hint="eastAsia"/>
          <w:sz w:val="22"/>
        </w:rPr>
        <w:t>、学习结束最后</w:t>
      </w:r>
      <w:r>
        <w:rPr>
          <w:sz w:val="22"/>
        </w:rPr>
        <w:t>20</w:t>
      </w:r>
      <w:r>
        <w:rPr>
          <w:rFonts w:hint="eastAsia"/>
          <w:sz w:val="22"/>
        </w:rPr>
        <w:t>分钟心电图考试，</w:t>
      </w:r>
      <w:r>
        <w:rPr>
          <w:sz w:val="22"/>
        </w:rPr>
        <w:t>10</w:t>
      </w:r>
      <w:r>
        <w:rPr>
          <w:rFonts w:hint="eastAsia"/>
          <w:sz w:val="22"/>
        </w:rPr>
        <w:t>张图纸，并交教师批阅，算平时成绩。</w:t>
      </w:r>
    </w:p>
    <w:p w:rsidR="003717A0" w:rsidRDefault="003717A0">
      <w:pPr>
        <w:adjustRightInd w:val="0"/>
        <w:snapToGrid w:val="0"/>
        <w:spacing w:line="360" w:lineRule="auto"/>
        <w:ind w:leftChars="-2" w:left="-4" w:right="6" w:firstLineChars="196" w:firstLine="433"/>
        <w:rPr>
          <w:b/>
          <w:sz w:val="22"/>
        </w:rPr>
      </w:pPr>
      <w:r>
        <w:rPr>
          <w:rFonts w:hint="eastAsia"/>
          <w:b/>
          <w:sz w:val="22"/>
        </w:rPr>
        <w:t>目的要求</w:t>
      </w:r>
    </w:p>
    <w:p w:rsidR="003717A0" w:rsidRDefault="003717A0">
      <w:pPr>
        <w:adjustRightInd w:val="0"/>
        <w:snapToGrid w:val="0"/>
        <w:spacing w:line="360" w:lineRule="auto"/>
        <w:ind w:leftChars="-2" w:left="-4" w:right="6" w:firstLineChars="196" w:firstLine="431"/>
        <w:rPr>
          <w:sz w:val="22"/>
        </w:rPr>
      </w:pPr>
      <w:r>
        <w:rPr>
          <w:sz w:val="22"/>
        </w:rPr>
        <w:t xml:space="preserve"> 1</w:t>
      </w:r>
      <w:r>
        <w:rPr>
          <w:rFonts w:hint="eastAsia"/>
          <w:sz w:val="22"/>
        </w:rPr>
        <w:t>、了解心电图产生的原理及常用导联。</w:t>
      </w:r>
    </w:p>
    <w:p w:rsidR="003717A0" w:rsidRDefault="003717A0">
      <w:pPr>
        <w:adjustRightInd w:val="0"/>
        <w:snapToGrid w:val="0"/>
        <w:spacing w:line="360" w:lineRule="auto"/>
        <w:ind w:leftChars="-2" w:left="-4" w:right="6" w:firstLineChars="245" w:firstLine="539"/>
        <w:rPr>
          <w:sz w:val="22"/>
        </w:rPr>
      </w:pPr>
      <w:r>
        <w:rPr>
          <w:sz w:val="22"/>
        </w:rPr>
        <w:t>2</w:t>
      </w:r>
      <w:r>
        <w:rPr>
          <w:rFonts w:hint="eastAsia"/>
          <w:sz w:val="22"/>
        </w:rPr>
        <w:t>、熟悉正常心电图各波的图象、正常值。</w:t>
      </w:r>
    </w:p>
    <w:p w:rsidR="003717A0" w:rsidRDefault="003717A0">
      <w:pPr>
        <w:adjustRightInd w:val="0"/>
        <w:snapToGrid w:val="0"/>
        <w:spacing w:line="360" w:lineRule="auto"/>
        <w:ind w:leftChars="-2" w:left="-4" w:right="6" w:firstLineChars="245" w:firstLine="539"/>
        <w:rPr>
          <w:sz w:val="22"/>
        </w:rPr>
      </w:pPr>
      <w:r>
        <w:rPr>
          <w:sz w:val="22"/>
        </w:rPr>
        <w:t>3</w:t>
      </w:r>
      <w:r>
        <w:rPr>
          <w:rFonts w:hint="eastAsia"/>
          <w:sz w:val="22"/>
        </w:rPr>
        <w:t>、熟悉心电图检查的临床应用范围、临床意义。</w:t>
      </w:r>
    </w:p>
    <w:p w:rsidR="003717A0" w:rsidRDefault="003717A0">
      <w:pPr>
        <w:adjustRightInd w:val="0"/>
        <w:snapToGrid w:val="0"/>
        <w:spacing w:line="360" w:lineRule="auto"/>
        <w:ind w:leftChars="-2" w:left="-4" w:right="6" w:firstLineChars="245" w:firstLine="539"/>
        <w:rPr>
          <w:sz w:val="22"/>
        </w:rPr>
      </w:pPr>
      <w:r>
        <w:rPr>
          <w:sz w:val="22"/>
        </w:rPr>
        <w:t>4</w:t>
      </w:r>
      <w:r>
        <w:rPr>
          <w:rFonts w:hint="eastAsia"/>
          <w:sz w:val="22"/>
        </w:rPr>
        <w:t>、熟悉各种常见异常心电图的特征。</w:t>
      </w:r>
    </w:p>
    <w:p w:rsidR="003717A0" w:rsidRDefault="003717A0">
      <w:pPr>
        <w:adjustRightInd w:val="0"/>
        <w:snapToGrid w:val="0"/>
        <w:spacing w:line="360" w:lineRule="auto"/>
        <w:ind w:leftChars="-2" w:left="-4" w:right="6" w:firstLineChars="245" w:firstLine="539"/>
        <w:rPr>
          <w:sz w:val="22"/>
        </w:rPr>
      </w:pPr>
      <w:r>
        <w:rPr>
          <w:sz w:val="22"/>
        </w:rPr>
        <w:t>5</w:t>
      </w:r>
      <w:r>
        <w:rPr>
          <w:rFonts w:hint="eastAsia"/>
          <w:sz w:val="22"/>
        </w:rPr>
        <w:t>、掌握心电图的正确操作。</w:t>
      </w:r>
    </w:p>
    <w:p w:rsidR="003717A0" w:rsidRDefault="003717A0">
      <w:pPr>
        <w:adjustRightInd w:val="0"/>
        <w:snapToGrid w:val="0"/>
        <w:spacing w:line="360" w:lineRule="auto"/>
        <w:ind w:leftChars="-200" w:right="6" w:hangingChars="190" w:hanging="420"/>
        <w:jc w:val="center"/>
        <w:rPr>
          <w:b/>
          <w:sz w:val="22"/>
        </w:rPr>
      </w:pPr>
    </w:p>
    <w:p w:rsidR="003717A0" w:rsidRDefault="003717A0">
      <w:pPr>
        <w:adjustRightInd w:val="0"/>
        <w:snapToGrid w:val="0"/>
        <w:spacing w:line="360" w:lineRule="auto"/>
        <w:ind w:leftChars="-200" w:right="6" w:hangingChars="190" w:hanging="420"/>
        <w:jc w:val="center"/>
        <w:rPr>
          <w:b/>
          <w:sz w:val="22"/>
        </w:rPr>
      </w:pPr>
      <w:r>
        <w:rPr>
          <w:rFonts w:hint="eastAsia"/>
          <w:b/>
          <w:sz w:val="22"/>
        </w:rPr>
        <w:t>第九章</w:t>
      </w:r>
      <w:r>
        <w:rPr>
          <w:b/>
          <w:sz w:val="22"/>
        </w:rPr>
        <w:t xml:space="preserve"> </w:t>
      </w:r>
      <w:r>
        <w:rPr>
          <w:rFonts w:hint="eastAsia"/>
          <w:b/>
          <w:sz w:val="22"/>
        </w:rPr>
        <w:t>临床血液学检查，骨髓穿刺术</w:t>
      </w:r>
    </w:p>
    <w:p w:rsidR="003717A0" w:rsidRDefault="003717A0">
      <w:pPr>
        <w:adjustRightInd w:val="0"/>
        <w:snapToGrid w:val="0"/>
        <w:spacing w:line="360" w:lineRule="auto"/>
        <w:ind w:leftChars="-2" w:left="-4" w:right="6" w:firstLineChars="245" w:firstLine="541"/>
        <w:rPr>
          <w:b/>
          <w:sz w:val="22"/>
        </w:rPr>
      </w:pPr>
      <w:r>
        <w:rPr>
          <w:rFonts w:hint="eastAsia"/>
          <w:b/>
          <w:sz w:val="22"/>
        </w:rPr>
        <w:t>教学内容</w:t>
      </w:r>
    </w:p>
    <w:p w:rsidR="003717A0" w:rsidRDefault="003717A0">
      <w:pPr>
        <w:adjustRightInd w:val="0"/>
        <w:snapToGrid w:val="0"/>
        <w:spacing w:line="360" w:lineRule="auto"/>
        <w:ind w:right="6" w:firstLineChars="250" w:firstLine="550"/>
        <w:rPr>
          <w:sz w:val="22"/>
        </w:rPr>
      </w:pPr>
      <w:r>
        <w:rPr>
          <w:sz w:val="22"/>
        </w:rPr>
        <w:t>1</w:t>
      </w:r>
      <w:r>
        <w:rPr>
          <w:rFonts w:hint="eastAsia"/>
          <w:sz w:val="22"/>
        </w:rPr>
        <w:t>、红细胞计数、血红蛋白测定</w:t>
      </w:r>
    </w:p>
    <w:p w:rsidR="003717A0" w:rsidRDefault="003717A0">
      <w:pPr>
        <w:adjustRightInd w:val="0"/>
        <w:snapToGrid w:val="0"/>
        <w:spacing w:line="360" w:lineRule="auto"/>
        <w:ind w:leftChars="-2" w:left="-4" w:right="6" w:firstLineChars="245" w:firstLine="539"/>
        <w:rPr>
          <w:sz w:val="22"/>
        </w:rPr>
      </w:pPr>
      <w:r>
        <w:rPr>
          <w:sz w:val="22"/>
        </w:rPr>
        <w:t>2</w:t>
      </w:r>
      <w:r>
        <w:rPr>
          <w:rFonts w:hint="eastAsia"/>
          <w:sz w:val="22"/>
        </w:rPr>
        <w:t>、白细胞计数和分类计数</w:t>
      </w:r>
    </w:p>
    <w:p w:rsidR="003717A0" w:rsidRDefault="003717A0">
      <w:pPr>
        <w:adjustRightInd w:val="0"/>
        <w:snapToGrid w:val="0"/>
        <w:spacing w:line="360" w:lineRule="auto"/>
        <w:ind w:right="6" w:firstLineChars="200" w:firstLine="440"/>
        <w:rPr>
          <w:sz w:val="22"/>
        </w:rPr>
      </w:pPr>
      <w:r>
        <w:rPr>
          <w:sz w:val="22"/>
        </w:rPr>
        <w:t xml:space="preserve"> 3</w:t>
      </w:r>
      <w:r>
        <w:rPr>
          <w:rFonts w:hint="eastAsia"/>
          <w:sz w:val="22"/>
        </w:rPr>
        <w:t>、红细胞比积测定、红细胞平均指数计算的方法、参考值及临床意义</w:t>
      </w:r>
    </w:p>
    <w:p w:rsidR="003717A0" w:rsidRDefault="003717A0">
      <w:pPr>
        <w:adjustRightInd w:val="0"/>
        <w:snapToGrid w:val="0"/>
        <w:spacing w:line="360" w:lineRule="auto"/>
        <w:ind w:leftChars="-2" w:left="-4" w:right="6" w:firstLineChars="200" w:firstLine="440"/>
        <w:rPr>
          <w:sz w:val="22"/>
        </w:rPr>
      </w:pPr>
      <w:r>
        <w:rPr>
          <w:sz w:val="22"/>
        </w:rPr>
        <w:t xml:space="preserve"> 4</w:t>
      </w:r>
      <w:r>
        <w:rPr>
          <w:rFonts w:hint="eastAsia"/>
          <w:sz w:val="22"/>
        </w:rPr>
        <w:t>、贫血的形态学分类：大细胞性贫血、正常细胞性贫血、小细胞性贫血及小细胞低色素性贫血。</w:t>
      </w:r>
    </w:p>
    <w:p w:rsidR="003717A0" w:rsidRDefault="003717A0">
      <w:pPr>
        <w:adjustRightInd w:val="0"/>
        <w:snapToGrid w:val="0"/>
        <w:spacing w:line="360" w:lineRule="auto"/>
        <w:ind w:right="6" w:firstLineChars="200" w:firstLine="440"/>
        <w:rPr>
          <w:sz w:val="22"/>
        </w:rPr>
      </w:pPr>
      <w:r>
        <w:rPr>
          <w:sz w:val="22"/>
        </w:rPr>
        <w:t xml:space="preserve"> 5</w:t>
      </w:r>
      <w:r>
        <w:rPr>
          <w:rFonts w:hint="eastAsia"/>
          <w:sz w:val="22"/>
        </w:rPr>
        <w:t>、网织红细胞计数：染色原理、方法、参考值及临床意义。</w:t>
      </w:r>
    </w:p>
    <w:p w:rsidR="003717A0" w:rsidRDefault="003717A0">
      <w:pPr>
        <w:adjustRightInd w:val="0"/>
        <w:snapToGrid w:val="0"/>
        <w:spacing w:line="360" w:lineRule="auto"/>
        <w:ind w:leftChars="-2" w:left="-4" w:right="6" w:firstLineChars="245" w:firstLine="539"/>
        <w:rPr>
          <w:sz w:val="22"/>
        </w:rPr>
      </w:pPr>
      <w:r>
        <w:rPr>
          <w:sz w:val="22"/>
        </w:rPr>
        <w:t>6</w:t>
      </w:r>
      <w:r>
        <w:rPr>
          <w:rFonts w:hint="eastAsia"/>
          <w:sz w:val="22"/>
        </w:rPr>
        <w:t>、溶血性贫血实验室检查原则、原理，常用检查方法的临床意义及其分析判断。</w:t>
      </w:r>
    </w:p>
    <w:p w:rsidR="003717A0" w:rsidRDefault="003717A0">
      <w:pPr>
        <w:adjustRightInd w:val="0"/>
        <w:snapToGrid w:val="0"/>
        <w:spacing w:line="360" w:lineRule="auto"/>
        <w:ind w:leftChars="-2" w:left="-4" w:right="6" w:firstLineChars="245" w:firstLine="539"/>
        <w:rPr>
          <w:sz w:val="22"/>
        </w:rPr>
      </w:pPr>
      <w:r>
        <w:rPr>
          <w:sz w:val="22"/>
        </w:rPr>
        <w:t>7</w:t>
      </w:r>
      <w:r>
        <w:rPr>
          <w:rFonts w:hint="eastAsia"/>
          <w:sz w:val="22"/>
        </w:rPr>
        <w:t>、红细胞沉降率测定</w:t>
      </w:r>
      <w:r>
        <w:rPr>
          <w:sz w:val="22"/>
        </w:rPr>
        <w:t xml:space="preserve"> </w:t>
      </w:r>
    </w:p>
    <w:p w:rsidR="003717A0" w:rsidRDefault="003717A0">
      <w:pPr>
        <w:adjustRightInd w:val="0"/>
        <w:snapToGrid w:val="0"/>
        <w:spacing w:line="360" w:lineRule="auto"/>
        <w:ind w:leftChars="-2" w:left="-4" w:right="6" w:firstLineChars="245" w:firstLine="539"/>
        <w:rPr>
          <w:sz w:val="22"/>
        </w:rPr>
      </w:pPr>
      <w:r>
        <w:rPr>
          <w:sz w:val="22"/>
        </w:rPr>
        <w:t>8</w:t>
      </w:r>
      <w:r>
        <w:rPr>
          <w:rFonts w:hint="eastAsia"/>
          <w:sz w:val="22"/>
        </w:rPr>
        <w:t>、细胞学检查的选择原则及临床意义。</w:t>
      </w:r>
    </w:p>
    <w:p w:rsidR="003717A0" w:rsidRDefault="003717A0">
      <w:pPr>
        <w:adjustRightInd w:val="0"/>
        <w:snapToGrid w:val="0"/>
        <w:spacing w:line="360" w:lineRule="auto"/>
        <w:ind w:leftChars="-2" w:left="-4" w:right="6" w:firstLineChars="245" w:firstLine="539"/>
        <w:rPr>
          <w:sz w:val="22"/>
        </w:rPr>
      </w:pPr>
      <w:r>
        <w:rPr>
          <w:sz w:val="22"/>
        </w:rPr>
        <w:t>9</w:t>
      </w:r>
      <w:r>
        <w:rPr>
          <w:rFonts w:hint="eastAsia"/>
          <w:sz w:val="22"/>
        </w:rPr>
        <w:t>、止血与凝血障碍的实验室检查（血小板计数、出血时间、凝血时间、束臂试验、血块退缩试验、血浆凝血酶原时间、活化部分凝血活酶时间、血浆凝血酶时间等）的检验原理、参考值及临床意义。</w:t>
      </w:r>
    </w:p>
    <w:p w:rsidR="003717A0" w:rsidRDefault="003717A0">
      <w:pPr>
        <w:adjustRightInd w:val="0"/>
        <w:snapToGrid w:val="0"/>
        <w:spacing w:line="360" w:lineRule="auto"/>
        <w:ind w:right="6" w:firstLineChars="250" w:firstLine="550"/>
        <w:rPr>
          <w:sz w:val="22"/>
        </w:rPr>
      </w:pPr>
      <w:r>
        <w:rPr>
          <w:sz w:val="22"/>
        </w:rPr>
        <w:t>10</w:t>
      </w:r>
      <w:r>
        <w:rPr>
          <w:rFonts w:hint="eastAsia"/>
          <w:sz w:val="22"/>
        </w:rPr>
        <w:t>、骨髓穿刺术方法，适应症，注意事项</w:t>
      </w:r>
    </w:p>
    <w:p w:rsidR="003717A0" w:rsidRDefault="003717A0">
      <w:pPr>
        <w:adjustRightInd w:val="0"/>
        <w:snapToGrid w:val="0"/>
        <w:spacing w:line="360" w:lineRule="auto"/>
        <w:ind w:leftChars="-2" w:left="-4" w:right="6" w:firstLineChars="245" w:firstLine="541"/>
        <w:rPr>
          <w:b/>
          <w:sz w:val="22"/>
        </w:rPr>
      </w:pPr>
      <w:r>
        <w:rPr>
          <w:rFonts w:hint="eastAsia"/>
          <w:b/>
          <w:sz w:val="22"/>
        </w:rPr>
        <w:lastRenderedPageBreak/>
        <w:t>实习内容</w:t>
      </w:r>
    </w:p>
    <w:p w:rsidR="003717A0" w:rsidRDefault="003717A0">
      <w:pPr>
        <w:adjustRightInd w:val="0"/>
        <w:snapToGrid w:val="0"/>
        <w:spacing w:line="360" w:lineRule="auto"/>
        <w:ind w:leftChars="-2" w:left="-4" w:right="6" w:firstLineChars="245" w:firstLine="539"/>
        <w:rPr>
          <w:sz w:val="22"/>
        </w:rPr>
      </w:pPr>
      <w:r>
        <w:rPr>
          <w:sz w:val="22"/>
        </w:rPr>
        <w:t>1</w:t>
      </w:r>
      <w:r>
        <w:rPr>
          <w:rFonts w:hint="eastAsia"/>
          <w:sz w:val="22"/>
        </w:rPr>
        <w:t>、并应用教学录像片，使学生骨髓穿刺术的方法，注意事项，适应症，操作细节。</w:t>
      </w:r>
    </w:p>
    <w:p w:rsidR="003717A0" w:rsidRDefault="003717A0">
      <w:pPr>
        <w:adjustRightInd w:val="0"/>
        <w:snapToGrid w:val="0"/>
        <w:spacing w:line="360" w:lineRule="auto"/>
        <w:ind w:leftChars="-2" w:left="-4" w:right="6" w:firstLineChars="245" w:firstLine="539"/>
        <w:rPr>
          <w:sz w:val="22"/>
        </w:rPr>
      </w:pPr>
      <w:r>
        <w:rPr>
          <w:sz w:val="22"/>
        </w:rPr>
        <w:t>2</w:t>
      </w:r>
      <w:r>
        <w:rPr>
          <w:rFonts w:hint="eastAsia"/>
          <w:sz w:val="22"/>
        </w:rPr>
        <w:t>、利用骨髓穿刺模拟人模拟腹腔穿刺术操作。</w:t>
      </w:r>
    </w:p>
    <w:p w:rsidR="003717A0" w:rsidRDefault="003717A0">
      <w:pPr>
        <w:adjustRightInd w:val="0"/>
        <w:snapToGrid w:val="0"/>
        <w:spacing w:line="360" w:lineRule="auto"/>
        <w:ind w:leftChars="-2" w:left="-4" w:right="6" w:firstLineChars="245" w:firstLine="541"/>
        <w:rPr>
          <w:b/>
          <w:sz w:val="22"/>
        </w:rPr>
      </w:pPr>
      <w:r>
        <w:rPr>
          <w:rFonts w:hint="eastAsia"/>
          <w:b/>
          <w:sz w:val="22"/>
        </w:rPr>
        <w:t>目的要求</w:t>
      </w:r>
    </w:p>
    <w:p w:rsidR="003717A0" w:rsidRDefault="003717A0">
      <w:pPr>
        <w:adjustRightInd w:val="0"/>
        <w:snapToGrid w:val="0"/>
        <w:spacing w:line="360" w:lineRule="auto"/>
        <w:ind w:leftChars="-2" w:left="-4" w:right="6" w:firstLineChars="245" w:firstLine="539"/>
        <w:rPr>
          <w:sz w:val="22"/>
        </w:rPr>
      </w:pPr>
      <w:r>
        <w:rPr>
          <w:sz w:val="22"/>
        </w:rPr>
        <w:t>1</w:t>
      </w:r>
      <w:r>
        <w:rPr>
          <w:rFonts w:hint="eastAsia"/>
          <w:sz w:val="22"/>
        </w:rPr>
        <w:t>、掌握红细胞计数、血红蛋白测定、白细胞计数和分类的参考值及其增减变化的临床意义。了解上述各项检验的检验方法。</w:t>
      </w:r>
    </w:p>
    <w:p w:rsidR="003717A0" w:rsidRDefault="003717A0">
      <w:pPr>
        <w:adjustRightInd w:val="0"/>
        <w:snapToGrid w:val="0"/>
        <w:spacing w:line="360" w:lineRule="auto"/>
        <w:ind w:leftChars="-2" w:left="-4" w:right="6" w:firstLineChars="245" w:firstLine="539"/>
        <w:rPr>
          <w:sz w:val="22"/>
        </w:rPr>
      </w:pPr>
      <w:r>
        <w:rPr>
          <w:sz w:val="22"/>
        </w:rPr>
        <w:t>2</w:t>
      </w:r>
      <w:r>
        <w:rPr>
          <w:rFonts w:hint="eastAsia"/>
          <w:sz w:val="22"/>
        </w:rPr>
        <w:t>、熟悉贫血的形态学分类，以及红细胞比积、红细胞各项平均指数的参考值及临床意义。</w:t>
      </w:r>
    </w:p>
    <w:p w:rsidR="003717A0" w:rsidRDefault="003717A0" w:rsidP="00097A14">
      <w:pPr>
        <w:adjustRightInd w:val="0"/>
        <w:snapToGrid w:val="0"/>
        <w:spacing w:line="360" w:lineRule="auto"/>
        <w:ind w:leftChars="-2" w:left="-4" w:right="6" w:firstLineChars="200" w:firstLine="440"/>
        <w:rPr>
          <w:sz w:val="22"/>
        </w:rPr>
      </w:pPr>
      <w:r>
        <w:rPr>
          <w:sz w:val="22"/>
        </w:rPr>
        <w:t>3</w:t>
      </w:r>
      <w:r>
        <w:rPr>
          <w:rFonts w:hint="eastAsia"/>
          <w:sz w:val="22"/>
        </w:rPr>
        <w:t>、熟悉骨髓细胞学检查的应用征、骨髓穿刺和骨髓活检的选择原则，以及送检要求。</w:t>
      </w:r>
      <w:r>
        <w:rPr>
          <w:sz w:val="22"/>
        </w:rPr>
        <w:br/>
        <w:t xml:space="preserve"> 4</w:t>
      </w:r>
      <w:r>
        <w:rPr>
          <w:rFonts w:hint="eastAsia"/>
          <w:sz w:val="22"/>
        </w:rPr>
        <w:t>、掌握止血与凝血障碍常用检验法的临床意义。</w:t>
      </w:r>
      <w:r>
        <w:rPr>
          <w:sz w:val="22"/>
        </w:rPr>
        <w:br/>
        <w:t xml:space="preserve"> 5</w:t>
      </w:r>
      <w:r>
        <w:rPr>
          <w:rFonts w:hint="eastAsia"/>
          <w:sz w:val="22"/>
        </w:rPr>
        <w:t>、熟悉止血与凝血障碍常用检验方法的原理。</w:t>
      </w:r>
      <w:r>
        <w:rPr>
          <w:sz w:val="22"/>
        </w:rPr>
        <w:br/>
        <w:t xml:space="preserve"> 6</w:t>
      </w:r>
      <w:r>
        <w:rPr>
          <w:rFonts w:hint="eastAsia"/>
          <w:sz w:val="22"/>
        </w:rPr>
        <w:t>、熟悉出血性疾病的实验室检查选用原则及实验室诊断的步骤。</w:t>
      </w:r>
    </w:p>
    <w:p w:rsidR="003717A0" w:rsidRDefault="003717A0">
      <w:pPr>
        <w:adjustRightInd w:val="0"/>
        <w:snapToGrid w:val="0"/>
        <w:spacing w:line="360" w:lineRule="auto"/>
        <w:ind w:leftChars="-2" w:left="-4" w:right="6" w:firstLineChars="245" w:firstLine="539"/>
        <w:rPr>
          <w:sz w:val="22"/>
        </w:rPr>
      </w:pPr>
      <w:r>
        <w:rPr>
          <w:sz w:val="22"/>
        </w:rPr>
        <w:t>7</w:t>
      </w:r>
      <w:r>
        <w:rPr>
          <w:rFonts w:hint="eastAsia"/>
          <w:sz w:val="22"/>
        </w:rPr>
        <w:t>、掌握骨髓穿刺术</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第十章</w:t>
      </w:r>
      <w:r>
        <w:rPr>
          <w:b/>
          <w:sz w:val="22"/>
        </w:rPr>
        <w:t xml:space="preserve">  </w:t>
      </w:r>
      <w:r>
        <w:rPr>
          <w:rFonts w:hint="eastAsia"/>
          <w:b/>
          <w:sz w:val="22"/>
        </w:rPr>
        <w:t>尿液检验及肾功能试验、脑脊液浆膜腔穿刺液检查</w:t>
      </w:r>
    </w:p>
    <w:p w:rsidR="003717A0" w:rsidRDefault="003717A0">
      <w:pPr>
        <w:adjustRightInd w:val="0"/>
        <w:snapToGrid w:val="0"/>
        <w:spacing w:line="360" w:lineRule="auto"/>
        <w:ind w:leftChars="-2" w:left="-4" w:right="6" w:firstLineChars="147" w:firstLine="325"/>
        <w:rPr>
          <w:b/>
          <w:sz w:val="22"/>
        </w:rPr>
      </w:pPr>
      <w:r>
        <w:rPr>
          <w:rFonts w:hint="eastAsia"/>
          <w:b/>
          <w:sz w:val="22"/>
        </w:rPr>
        <w:t>教学内容</w:t>
      </w:r>
    </w:p>
    <w:p w:rsidR="003717A0" w:rsidRDefault="003717A0">
      <w:pPr>
        <w:adjustRightInd w:val="0"/>
        <w:snapToGrid w:val="0"/>
        <w:spacing w:line="360" w:lineRule="auto"/>
        <w:ind w:leftChars="-2" w:left="-4" w:right="6" w:firstLineChars="147" w:firstLine="323"/>
        <w:rPr>
          <w:sz w:val="22"/>
        </w:rPr>
      </w:pPr>
      <w:r>
        <w:rPr>
          <w:sz w:val="22"/>
        </w:rPr>
        <w:t>1</w:t>
      </w:r>
      <w:r>
        <w:rPr>
          <w:rFonts w:hint="eastAsia"/>
          <w:sz w:val="22"/>
        </w:rPr>
        <w:t>、尿液检验</w:t>
      </w:r>
      <w:r>
        <w:rPr>
          <w:sz w:val="22"/>
        </w:rPr>
        <w:t xml:space="preserve"> </w:t>
      </w:r>
      <w:r>
        <w:rPr>
          <w:rFonts w:hint="eastAsia"/>
          <w:sz w:val="22"/>
        </w:rPr>
        <w:t>标本的收集与保存。</w:t>
      </w:r>
    </w:p>
    <w:p w:rsidR="003717A0" w:rsidRDefault="003717A0">
      <w:pPr>
        <w:adjustRightInd w:val="0"/>
        <w:snapToGrid w:val="0"/>
        <w:spacing w:line="360" w:lineRule="auto"/>
        <w:ind w:leftChars="-2" w:left="-4" w:right="6" w:firstLineChars="147" w:firstLine="323"/>
        <w:rPr>
          <w:sz w:val="22"/>
        </w:rPr>
      </w:pPr>
      <w:r>
        <w:rPr>
          <w:sz w:val="22"/>
        </w:rPr>
        <w:t>2</w:t>
      </w:r>
      <w:r>
        <w:rPr>
          <w:rFonts w:hint="eastAsia"/>
          <w:sz w:val="22"/>
        </w:rPr>
        <w:t>、液检查的内容和研究意义：一般性状：尿量、外观、气味、酸碱反应、比重。化学检查：蛋白质、糖、酮体。显微镜检查：红细胞、白细胞、上皮细胞、管型和结晶体。、</w:t>
      </w:r>
    </w:p>
    <w:p w:rsidR="003717A0" w:rsidRDefault="003717A0">
      <w:pPr>
        <w:adjustRightInd w:val="0"/>
        <w:snapToGrid w:val="0"/>
        <w:spacing w:line="360" w:lineRule="auto"/>
        <w:ind w:leftChars="-2" w:left="-4" w:right="6" w:firstLineChars="147" w:firstLine="323"/>
        <w:rPr>
          <w:sz w:val="22"/>
        </w:rPr>
      </w:pPr>
      <w:r>
        <w:rPr>
          <w:sz w:val="22"/>
        </w:rPr>
        <w:t>3</w:t>
      </w:r>
      <w:r>
        <w:rPr>
          <w:rFonts w:hint="eastAsia"/>
          <w:sz w:val="22"/>
        </w:rPr>
        <w:t>、肾功能试验常用的肾功能试验及其临床意义（</w:t>
      </w:r>
      <w:r>
        <w:rPr>
          <w:sz w:val="22"/>
        </w:rPr>
        <w:t>1</w:t>
      </w:r>
      <w:r>
        <w:rPr>
          <w:rFonts w:hint="eastAsia"/>
          <w:sz w:val="22"/>
        </w:rPr>
        <w:t>）内生肌酐清除率测定。（</w:t>
      </w:r>
      <w:r>
        <w:rPr>
          <w:sz w:val="22"/>
        </w:rPr>
        <w:t>2</w:t>
      </w:r>
      <w:r>
        <w:rPr>
          <w:rFonts w:hint="eastAsia"/>
          <w:sz w:val="22"/>
        </w:rPr>
        <w:t>）血清尿素氮和肌酐测定。（</w:t>
      </w:r>
      <w:r>
        <w:rPr>
          <w:sz w:val="22"/>
        </w:rPr>
        <w:t>3</w:t>
      </w:r>
      <w:r>
        <w:rPr>
          <w:rFonts w:hint="eastAsia"/>
          <w:sz w:val="22"/>
        </w:rPr>
        <w:t>）浓缩稀释试验。（</w:t>
      </w:r>
      <w:r>
        <w:rPr>
          <w:sz w:val="22"/>
        </w:rPr>
        <w:t>4</w:t>
      </w:r>
      <w:r>
        <w:rPr>
          <w:rFonts w:hint="eastAsia"/>
          <w:sz w:val="22"/>
        </w:rPr>
        <w:t>）血浆二氧化碳结合力测定。</w:t>
      </w:r>
      <w:r>
        <w:rPr>
          <w:sz w:val="22"/>
        </w:rPr>
        <w:t xml:space="preserve"> 2</w:t>
      </w:r>
      <w:r>
        <w:rPr>
          <w:rFonts w:hint="eastAsia"/>
          <w:sz w:val="22"/>
        </w:rPr>
        <w:t>．肾功能试验的选择和应用原则。</w:t>
      </w:r>
    </w:p>
    <w:p w:rsidR="003717A0" w:rsidRDefault="003717A0">
      <w:pPr>
        <w:adjustRightInd w:val="0"/>
        <w:snapToGrid w:val="0"/>
        <w:spacing w:line="360" w:lineRule="auto"/>
        <w:ind w:leftChars="-2" w:left="-4" w:right="6" w:firstLineChars="147" w:firstLine="323"/>
        <w:rPr>
          <w:sz w:val="22"/>
        </w:rPr>
      </w:pPr>
      <w:r>
        <w:rPr>
          <w:sz w:val="22"/>
        </w:rPr>
        <w:t>4</w:t>
      </w:r>
      <w:r>
        <w:rPr>
          <w:rFonts w:hint="eastAsia"/>
          <w:sz w:val="22"/>
        </w:rPr>
        <w:t>、浆膜腔积液分类及形成原因</w:t>
      </w:r>
    </w:p>
    <w:p w:rsidR="003717A0" w:rsidRDefault="003717A0">
      <w:pPr>
        <w:adjustRightInd w:val="0"/>
        <w:snapToGrid w:val="0"/>
        <w:spacing w:line="360" w:lineRule="auto"/>
        <w:ind w:leftChars="-2" w:left="-4" w:right="6" w:firstLineChars="147" w:firstLine="323"/>
        <w:rPr>
          <w:sz w:val="22"/>
        </w:rPr>
      </w:pPr>
      <w:r>
        <w:rPr>
          <w:sz w:val="22"/>
        </w:rPr>
        <w:t>5</w:t>
      </w:r>
      <w:r>
        <w:rPr>
          <w:rFonts w:hint="eastAsia"/>
          <w:sz w:val="22"/>
        </w:rPr>
        <w:t>、渗出液与漏出液的鉴别要点</w:t>
      </w:r>
    </w:p>
    <w:p w:rsidR="003717A0" w:rsidRDefault="003717A0">
      <w:pPr>
        <w:spacing w:line="360" w:lineRule="auto"/>
        <w:ind w:firstLineChars="150" w:firstLine="330"/>
        <w:rPr>
          <w:sz w:val="22"/>
        </w:rPr>
      </w:pPr>
      <w:r>
        <w:rPr>
          <w:sz w:val="22"/>
        </w:rPr>
        <w:t>6</w:t>
      </w:r>
      <w:r>
        <w:rPr>
          <w:rFonts w:hint="eastAsia"/>
          <w:sz w:val="22"/>
        </w:rPr>
        <w:t>、脑脊液检查的适应证、禁忌证</w:t>
      </w:r>
      <w:r>
        <w:rPr>
          <w:sz w:val="22"/>
        </w:rPr>
        <w:t xml:space="preserve"> </w:t>
      </w:r>
    </w:p>
    <w:p w:rsidR="003717A0" w:rsidRDefault="003717A0">
      <w:pPr>
        <w:spacing w:line="360" w:lineRule="auto"/>
        <w:ind w:firstLineChars="150" w:firstLine="330"/>
        <w:rPr>
          <w:sz w:val="22"/>
        </w:rPr>
      </w:pPr>
      <w:r>
        <w:rPr>
          <w:sz w:val="22"/>
        </w:rPr>
        <w:t>7</w:t>
      </w:r>
      <w:r>
        <w:rPr>
          <w:rFonts w:hint="eastAsia"/>
          <w:sz w:val="22"/>
        </w:rPr>
        <w:t>、常见中枢神经系统疾病的脑脊液特点</w:t>
      </w:r>
    </w:p>
    <w:p w:rsidR="003717A0" w:rsidRDefault="003717A0">
      <w:pPr>
        <w:adjustRightInd w:val="0"/>
        <w:snapToGrid w:val="0"/>
        <w:spacing w:line="360" w:lineRule="auto"/>
        <w:ind w:leftChars="-2" w:left="-4" w:right="6" w:firstLineChars="147" w:firstLine="323"/>
        <w:rPr>
          <w:sz w:val="22"/>
        </w:rPr>
      </w:pPr>
    </w:p>
    <w:p w:rsidR="003717A0" w:rsidRDefault="003717A0">
      <w:pPr>
        <w:adjustRightInd w:val="0"/>
        <w:snapToGrid w:val="0"/>
        <w:spacing w:line="360" w:lineRule="auto"/>
        <w:ind w:leftChars="-2" w:left="-4" w:right="6" w:firstLineChars="147" w:firstLine="325"/>
        <w:rPr>
          <w:b/>
          <w:sz w:val="22"/>
        </w:rPr>
      </w:pPr>
      <w:r>
        <w:rPr>
          <w:rFonts w:hint="eastAsia"/>
          <w:b/>
          <w:sz w:val="22"/>
        </w:rPr>
        <w:t>目的要求</w:t>
      </w:r>
    </w:p>
    <w:p w:rsidR="003717A0" w:rsidRDefault="003717A0">
      <w:pPr>
        <w:adjustRightInd w:val="0"/>
        <w:snapToGrid w:val="0"/>
        <w:spacing w:line="360" w:lineRule="auto"/>
        <w:ind w:leftChars="-2" w:left="-4" w:right="6" w:firstLineChars="147" w:firstLine="323"/>
        <w:rPr>
          <w:sz w:val="22"/>
        </w:rPr>
      </w:pPr>
      <w:r>
        <w:rPr>
          <w:sz w:val="22"/>
        </w:rPr>
        <w:t>1</w:t>
      </w:r>
      <w:r>
        <w:rPr>
          <w:rFonts w:hint="eastAsia"/>
          <w:sz w:val="22"/>
        </w:rPr>
        <w:t>、了解尿液检验方法，掌握其参考值及临床意义。</w:t>
      </w:r>
    </w:p>
    <w:p w:rsidR="003717A0" w:rsidRDefault="003717A0">
      <w:pPr>
        <w:adjustRightInd w:val="0"/>
        <w:snapToGrid w:val="0"/>
        <w:spacing w:line="360" w:lineRule="auto"/>
        <w:ind w:leftChars="-2" w:left="-4" w:right="6" w:firstLineChars="147" w:firstLine="323"/>
        <w:rPr>
          <w:b/>
          <w:sz w:val="22"/>
        </w:rPr>
      </w:pPr>
      <w:r>
        <w:rPr>
          <w:sz w:val="22"/>
        </w:rPr>
        <w:t>2</w:t>
      </w:r>
      <w:r>
        <w:rPr>
          <w:rFonts w:hint="eastAsia"/>
          <w:sz w:val="22"/>
        </w:rPr>
        <w:t>、熟悉常用肾功能试验的原理及其临床意义</w:t>
      </w:r>
      <w:r>
        <w:rPr>
          <w:rFonts w:hint="eastAsia"/>
          <w:b/>
          <w:sz w:val="22"/>
        </w:rPr>
        <w:t>。</w:t>
      </w:r>
    </w:p>
    <w:p w:rsidR="003717A0" w:rsidRDefault="003717A0">
      <w:pPr>
        <w:adjustRightInd w:val="0"/>
        <w:snapToGrid w:val="0"/>
        <w:spacing w:line="360" w:lineRule="auto"/>
        <w:ind w:leftChars="-2" w:left="-4" w:right="6" w:firstLineChars="147" w:firstLine="325"/>
        <w:rPr>
          <w:sz w:val="22"/>
        </w:rPr>
      </w:pPr>
      <w:r>
        <w:rPr>
          <w:b/>
          <w:sz w:val="22"/>
        </w:rPr>
        <w:t xml:space="preserve"> </w:t>
      </w:r>
      <w:r>
        <w:rPr>
          <w:sz w:val="22"/>
        </w:rPr>
        <w:t xml:space="preserve"> 3</w:t>
      </w:r>
      <w:r>
        <w:rPr>
          <w:rFonts w:hint="eastAsia"/>
          <w:sz w:val="22"/>
        </w:rPr>
        <w:t>、熟悉脑脊液检查，浆膜腔积液检查的适应症，禁忌症</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lastRenderedPageBreak/>
        <w:t>第十一章</w:t>
      </w:r>
      <w:r>
        <w:rPr>
          <w:b/>
          <w:sz w:val="22"/>
        </w:rPr>
        <w:t xml:space="preserve"> </w:t>
      </w:r>
      <w:r>
        <w:rPr>
          <w:rFonts w:hint="eastAsia"/>
          <w:b/>
          <w:sz w:val="22"/>
        </w:rPr>
        <w:t>实验室检查</w:t>
      </w:r>
    </w:p>
    <w:p w:rsidR="003717A0" w:rsidRDefault="003717A0">
      <w:pPr>
        <w:adjustRightInd w:val="0"/>
        <w:snapToGrid w:val="0"/>
        <w:spacing w:line="360" w:lineRule="auto"/>
        <w:ind w:leftChars="-2" w:left="-4" w:right="6" w:firstLineChars="147" w:firstLine="325"/>
        <w:rPr>
          <w:b/>
          <w:sz w:val="22"/>
        </w:rPr>
      </w:pPr>
      <w:r>
        <w:rPr>
          <w:rFonts w:hint="eastAsia"/>
          <w:b/>
          <w:sz w:val="22"/>
        </w:rPr>
        <w:t>教学内容</w:t>
      </w:r>
    </w:p>
    <w:p w:rsidR="003717A0" w:rsidRDefault="003717A0">
      <w:pPr>
        <w:adjustRightInd w:val="0"/>
        <w:snapToGrid w:val="0"/>
        <w:spacing w:line="360" w:lineRule="auto"/>
        <w:ind w:leftChars="-2" w:left="-4" w:right="6" w:firstLineChars="150" w:firstLine="330"/>
        <w:rPr>
          <w:sz w:val="22"/>
        </w:rPr>
      </w:pPr>
      <w:r>
        <w:rPr>
          <w:sz w:val="22"/>
        </w:rPr>
        <w:t>1</w:t>
      </w:r>
      <w:r>
        <w:rPr>
          <w:rFonts w:hint="eastAsia"/>
          <w:sz w:val="22"/>
        </w:rPr>
        <w:t>、粪便标本的采集。</w:t>
      </w:r>
    </w:p>
    <w:p w:rsidR="003717A0" w:rsidRDefault="003717A0">
      <w:pPr>
        <w:adjustRightInd w:val="0"/>
        <w:snapToGrid w:val="0"/>
        <w:spacing w:line="360" w:lineRule="auto"/>
        <w:ind w:leftChars="-200" w:left="-2" w:right="6" w:hangingChars="190" w:hanging="418"/>
        <w:rPr>
          <w:sz w:val="22"/>
        </w:rPr>
      </w:pPr>
      <w:r>
        <w:rPr>
          <w:sz w:val="22"/>
        </w:rPr>
        <w:t xml:space="preserve">   2</w:t>
      </w:r>
      <w:r>
        <w:rPr>
          <w:rFonts w:hint="eastAsia"/>
          <w:sz w:val="22"/>
        </w:rPr>
        <w:t>、粪便检验方法及临床意义。</w:t>
      </w:r>
      <w:r>
        <w:rPr>
          <w:sz w:val="22"/>
        </w:rPr>
        <w:t xml:space="preserve"> </w:t>
      </w:r>
      <w:r>
        <w:rPr>
          <w:rFonts w:hint="eastAsia"/>
          <w:sz w:val="22"/>
        </w:rPr>
        <w:t>一般性状检查：颜色、形状、性状、气味及肉眼所见。显微镜检查：细胞、寄生虫虫卵、原虫、脂肪滴及食物残渣等。隐血试验：方法及临床意义。</w:t>
      </w:r>
    </w:p>
    <w:p w:rsidR="003717A0" w:rsidRDefault="003717A0">
      <w:pPr>
        <w:adjustRightInd w:val="0"/>
        <w:snapToGrid w:val="0"/>
        <w:spacing w:line="360" w:lineRule="auto"/>
        <w:ind w:leftChars="-2" w:left="-4" w:right="6" w:firstLineChars="150" w:firstLine="330"/>
        <w:rPr>
          <w:sz w:val="22"/>
        </w:rPr>
      </w:pPr>
      <w:r>
        <w:rPr>
          <w:sz w:val="22"/>
        </w:rPr>
        <w:t>3</w:t>
      </w:r>
      <w:r>
        <w:rPr>
          <w:rFonts w:hint="eastAsia"/>
          <w:sz w:val="22"/>
        </w:rPr>
        <w:t>、肝功能检查：蛋白质代谢功能检查：血清总蛋白测定、白蛋白与球蛋白定量及比值、血清蛋白电泳，甲种胎儿蛋白测定。胆红素代谢功能检查：血清总胆红素及直接胆红素定量测定、尿胆红素及尿胆原检查。血清酶学系检查：血清转氨酶、磷性磷酸酶、</w:t>
      </w:r>
      <w:r>
        <w:rPr>
          <w:sz w:val="22"/>
        </w:rPr>
        <w:t>r-</w:t>
      </w:r>
      <w:r>
        <w:rPr>
          <w:rFonts w:hint="eastAsia"/>
          <w:sz w:val="22"/>
        </w:rPr>
        <w:t>谷氨酰转移酶、单胺氧化酶等。染料排泄功能检查：靛氰绿滞留试验。病毒性肝炎标志物检查。肝功能试验的选用原则。</w:t>
      </w:r>
    </w:p>
    <w:p w:rsidR="003717A0" w:rsidRDefault="003717A0">
      <w:pPr>
        <w:adjustRightInd w:val="0"/>
        <w:snapToGrid w:val="0"/>
        <w:spacing w:line="360" w:lineRule="auto"/>
        <w:ind w:leftChars="-2" w:left="-4" w:right="6" w:firstLineChars="150" w:firstLine="330"/>
        <w:rPr>
          <w:sz w:val="22"/>
        </w:rPr>
      </w:pPr>
      <w:r>
        <w:rPr>
          <w:sz w:val="22"/>
        </w:rPr>
        <w:t>4</w:t>
      </w:r>
      <w:r>
        <w:rPr>
          <w:rFonts w:hint="eastAsia"/>
          <w:sz w:val="22"/>
        </w:rPr>
        <w:t>、常用生化指标检查：血糖，血脂，电解质，血清铁，心肌酶，淀粉酶，</w:t>
      </w:r>
      <w:r>
        <w:rPr>
          <w:sz w:val="22"/>
        </w:rPr>
        <w:t>HCG</w:t>
      </w:r>
      <w:r>
        <w:rPr>
          <w:rFonts w:hint="eastAsia"/>
          <w:sz w:val="22"/>
        </w:rPr>
        <w:t>检查，掌握正常值范围，临床意义。</w:t>
      </w:r>
    </w:p>
    <w:p w:rsidR="003717A0" w:rsidRDefault="003717A0">
      <w:pPr>
        <w:adjustRightInd w:val="0"/>
        <w:snapToGrid w:val="0"/>
        <w:spacing w:line="360" w:lineRule="auto"/>
        <w:ind w:leftChars="-2" w:left="-4" w:right="6" w:firstLineChars="150" w:firstLine="330"/>
        <w:rPr>
          <w:sz w:val="22"/>
        </w:rPr>
      </w:pPr>
      <w:r>
        <w:rPr>
          <w:sz w:val="22"/>
        </w:rPr>
        <w:t>5</w:t>
      </w:r>
      <w:r>
        <w:rPr>
          <w:rFonts w:hint="eastAsia"/>
          <w:sz w:val="22"/>
        </w:rPr>
        <w:t>、常用肿瘤标志物检查，免疫学检查</w:t>
      </w:r>
    </w:p>
    <w:p w:rsidR="003717A0" w:rsidRDefault="003717A0">
      <w:pPr>
        <w:adjustRightInd w:val="0"/>
        <w:snapToGrid w:val="0"/>
        <w:spacing w:line="360" w:lineRule="auto"/>
        <w:ind w:leftChars="-2" w:left="-4" w:right="4" w:firstLineChars="98" w:firstLine="216"/>
        <w:rPr>
          <w:b/>
          <w:sz w:val="22"/>
        </w:rPr>
      </w:pPr>
      <w:r>
        <w:rPr>
          <w:rFonts w:hint="eastAsia"/>
          <w:b/>
          <w:sz w:val="22"/>
        </w:rPr>
        <w:t>实习内容</w:t>
      </w:r>
    </w:p>
    <w:p w:rsidR="003717A0" w:rsidRDefault="003717A0">
      <w:pPr>
        <w:adjustRightInd w:val="0"/>
        <w:snapToGrid w:val="0"/>
        <w:spacing w:line="360" w:lineRule="auto"/>
        <w:ind w:leftChars="-2" w:left="-4" w:right="4" w:firstLineChars="98" w:firstLine="216"/>
        <w:rPr>
          <w:sz w:val="22"/>
        </w:rPr>
      </w:pPr>
      <w:r>
        <w:rPr>
          <w:b/>
          <w:sz w:val="22"/>
        </w:rPr>
        <w:t xml:space="preserve">  </w:t>
      </w:r>
      <w:r>
        <w:rPr>
          <w:rFonts w:hint="eastAsia"/>
          <w:sz w:val="22"/>
        </w:rPr>
        <w:t>结合临床病历，分析报告结果。示教或观看录像显示的粪便外观、显微影下检查的内容。</w:t>
      </w:r>
    </w:p>
    <w:p w:rsidR="003717A0" w:rsidRDefault="003717A0">
      <w:pPr>
        <w:adjustRightInd w:val="0"/>
        <w:snapToGrid w:val="0"/>
        <w:spacing w:line="360" w:lineRule="auto"/>
        <w:ind w:leftChars="-2" w:left="-4" w:right="4" w:firstLineChars="98" w:firstLine="216"/>
        <w:rPr>
          <w:b/>
          <w:sz w:val="22"/>
        </w:rPr>
      </w:pPr>
      <w:r>
        <w:rPr>
          <w:rFonts w:hint="eastAsia"/>
          <w:b/>
          <w:sz w:val="22"/>
        </w:rPr>
        <w:t>目的要求</w:t>
      </w:r>
    </w:p>
    <w:p w:rsidR="003717A0" w:rsidRDefault="003717A0">
      <w:pPr>
        <w:adjustRightInd w:val="0"/>
        <w:snapToGrid w:val="0"/>
        <w:spacing w:line="360" w:lineRule="auto"/>
        <w:ind w:leftChars="-2" w:left="-4" w:right="4" w:firstLineChars="98" w:firstLine="216"/>
        <w:rPr>
          <w:sz w:val="22"/>
        </w:rPr>
      </w:pPr>
      <w:r>
        <w:rPr>
          <w:sz w:val="22"/>
        </w:rPr>
        <w:t>1</w:t>
      </w:r>
      <w:r>
        <w:rPr>
          <w:rFonts w:hint="eastAsia"/>
          <w:sz w:val="22"/>
        </w:rPr>
        <w:t>、熟悉粪便检验法，掌握其异常变化的临床意义。</w:t>
      </w:r>
    </w:p>
    <w:p w:rsidR="003717A0" w:rsidRDefault="003717A0">
      <w:pPr>
        <w:adjustRightInd w:val="0"/>
        <w:snapToGrid w:val="0"/>
        <w:spacing w:line="360" w:lineRule="auto"/>
        <w:ind w:leftChars="-2" w:left="-4" w:right="4" w:firstLineChars="98" w:firstLine="216"/>
        <w:rPr>
          <w:sz w:val="22"/>
        </w:rPr>
      </w:pPr>
      <w:r>
        <w:rPr>
          <w:sz w:val="22"/>
        </w:rPr>
        <w:t>2</w:t>
      </w:r>
      <w:r>
        <w:rPr>
          <w:rFonts w:hint="eastAsia"/>
          <w:sz w:val="22"/>
        </w:rPr>
        <w:t>、熟悉粪便隐血试验的方法，掌握其临床意义。</w:t>
      </w:r>
    </w:p>
    <w:p w:rsidR="003717A0" w:rsidRDefault="003717A0">
      <w:pPr>
        <w:adjustRightInd w:val="0"/>
        <w:snapToGrid w:val="0"/>
        <w:spacing w:line="360" w:lineRule="auto"/>
        <w:ind w:leftChars="-2" w:left="-4" w:right="4" w:firstLineChars="98" w:firstLine="216"/>
        <w:rPr>
          <w:sz w:val="22"/>
        </w:rPr>
      </w:pPr>
      <w:r>
        <w:rPr>
          <w:sz w:val="22"/>
        </w:rPr>
        <w:t>3</w:t>
      </w:r>
      <w:r>
        <w:rPr>
          <w:rFonts w:hint="eastAsia"/>
          <w:sz w:val="22"/>
        </w:rPr>
        <w:t>、熟悉常用肝功能试验及肝脏疾病实验室检查原理，掌握参考值、临床意义及选用原则。</w:t>
      </w:r>
    </w:p>
    <w:p w:rsidR="003717A0" w:rsidRDefault="003717A0">
      <w:pPr>
        <w:adjustRightInd w:val="0"/>
        <w:snapToGrid w:val="0"/>
        <w:spacing w:line="360" w:lineRule="auto"/>
        <w:ind w:leftChars="-2" w:left="-4" w:right="4" w:firstLineChars="98" w:firstLine="216"/>
        <w:rPr>
          <w:sz w:val="22"/>
        </w:rPr>
      </w:pPr>
      <w:r>
        <w:rPr>
          <w:sz w:val="22"/>
        </w:rPr>
        <w:t>4</w:t>
      </w:r>
      <w:r>
        <w:rPr>
          <w:rFonts w:hint="eastAsia"/>
          <w:sz w:val="22"/>
        </w:rPr>
        <w:t>、熟悉临床常用生化检查指标的参考值，临床意义，选用原则</w:t>
      </w:r>
    </w:p>
    <w:p w:rsidR="003717A0" w:rsidRDefault="003717A0">
      <w:pPr>
        <w:adjustRightInd w:val="0"/>
        <w:snapToGrid w:val="0"/>
        <w:spacing w:line="360" w:lineRule="auto"/>
        <w:ind w:leftChars="-2" w:left="-4" w:right="4" w:firstLineChars="98" w:firstLine="216"/>
        <w:rPr>
          <w:sz w:val="22"/>
        </w:rPr>
      </w:pPr>
      <w:r>
        <w:rPr>
          <w:sz w:val="22"/>
        </w:rPr>
        <w:t>5</w:t>
      </w:r>
      <w:r>
        <w:rPr>
          <w:rFonts w:hint="eastAsia"/>
          <w:sz w:val="22"/>
        </w:rPr>
        <w:t>、熟悉各肿瘤标志物的应用范围，临床意义</w:t>
      </w:r>
    </w:p>
    <w:p w:rsidR="003717A0" w:rsidRDefault="003717A0">
      <w:pPr>
        <w:adjustRightInd w:val="0"/>
        <w:snapToGrid w:val="0"/>
        <w:spacing w:line="360" w:lineRule="auto"/>
        <w:ind w:leftChars="-2" w:left="-4" w:right="4" w:firstLineChars="98" w:firstLine="216"/>
        <w:rPr>
          <w:sz w:val="22"/>
        </w:rPr>
      </w:pP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第十一章</w:t>
      </w:r>
      <w:r>
        <w:rPr>
          <w:b/>
          <w:sz w:val="22"/>
        </w:rPr>
        <w:t xml:space="preserve"> </w:t>
      </w:r>
      <w:r>
        <w:rPr>
          <w:rFonts w:hint="eastAsia"/>
          <w:b/>
          <w:sz w:val="22"/>
        </w:rPr>
        <w:t>肺功能检查，血气分析</w:t>
      </w:r>
    </w:p>
    <w:p w:rsidR="003717A0" w:rsidRDefault="003717A0">
      <w:pPr>
        <w:adjustRightInd w:val="0"/>
        <w:snapToGrid w:val="0"/>
        <w:spacing w:line="360" w:lineRule="auto"/>
        <w:ind w:leftChars="-2" w:left="-4" w:right="4" w:firstLineChars="98" w:firstLine="216"/>
        <w:rPr>
          <w:b/>
          <w:sz w:val="22"/>
        </w:rPr>
      </w:pPr>
      <w:r>
        <w:rPr>
          <w:rFonts w:hint="eastAsia"/>
          <w:b/>
          <w:sz w:val="22"/>
        </w:rPr>
        <w:t>教学内容</w:t>
      </w:r>
    </w:p>
    <w:p w:rsidR="003717A0" w:rsidRDefault="003717A0">
      <w:pPr>
        <w:adjustRightInd w:val="0"/>
        <w:snapToGrid w:val="0"/>
        <w:spacing w:line="360" w:lineRule="auto"/>
        <w:ind w:leftChars="-2" w:left="-4" w:right="6" w:firstLineChars="98" w:firstLine="216"/>
        <w:rPr>
          <w:sz w:val="22"/>
        </w:rPr>
      </w:pPr>
      <w:r>
        <w:rPr>
          <w:sz w:val="22"/>
        </w:rPr>
        <w:t>1</w:t>
      </w:r>
      <w:r>
        <w:rPr>
          <w:rFonts w:hint="eastAsia"/>
          <w:sz w:val="22"/>
        </w:rPr>
        <w:t>、肺功能检查的常用项目。（</w:t>
      </w:r>
      <w:r>
        <w:rPr>
          <w:sz w:val="22"/>
        </w:rPr>
        <w:t>1)</w:t>
      </w:r>
      <w:r>
        <w:rPr>
          <w:rFonts w:hint="eastAsia"/>
          <w:sz w:val="22"/>
        </w:rPr>
        <w:t>通气：肺容积。通气功能。（</w:t>
      </w:r>
      <w:r>
        <w:rPr>
          <w:sz w:val="22"/>
        </w:rPr>
        <w:t>2)</w:t>
      </w:r>
      <w:r>
        <w:rPr>
          <w:rFonts w:hint="eastAsia"/>
          <w:sz w:val="22"/>
        </w:rPr>
        <w:t>换气：</w:t>
      </w:r>
      <w:r>
        <w:rPr>
          <w:sz w:val="22"/>
        </w:rPr>
        <w:t xml:space="preserve"> </w:t>
      </w:r>
      <w:r>
        <w:rPr>
          <w:rFonts w:hint="eastAsia"/>
          <w:sz w:val="22"/>
        </w:rPr>
        <w:t>弥散功能。</w:t>
      </w:r>
      <w:r>
        <w:rPr>
          <w:sz w:val="22"/>
        </w:rPr>
        <w:t xml:space="preserve">  </w:t>
      </w:r>
      <w:r>
        <w:rPr>
          <w:rFonts w:hint="eastAsia"/>
          <w:sz w:val="22"/>
        </w:rPr>
        <w:t>通气与血流。（</w:t>
      </w:r>
      <w:r>
        <w:rPr>
          <w:sz w:val="22"/>
        </w:rPr>
        <w:t>3)</w:t>
      </w:r>
      <w:r>
        <w:rPr>
          <w:rFonts w:hint="eastAsia"/>
          <w:sz w:val="22"/>
        </w:rPr>
        <w:t>小气道功能（</w:t>
      </w:r>
      <w:r>
        <w:rPr>
          <w:sz w:val="22"/>
        </w:rPr>
        <w:t>4)</w:t>
      </w:r>
      <w:r>
        <w:rPr>
          <w:rFonts w:hint="eastAsia"/>
          <w:sz w:val="22"/>
        </w:rPr>
        <w:t>肺功能检验的临床估价。</w:t>
      </w:r>
    </w:p>
    <w:p w:rsidR="003717A0" w:rsidRDefault="003717A0">
      <w:pPr>
        <w:adjustRightInd w:val="0"/>
        <w:snapToGrid w:val="0"/>
        <w:spacing w:line="360" w:lineRule="auto"/>
        <w:ind w:leftChars="-2" w:left="-4" w:right="6" w:firstLineChars="98" w:firstLine="216"/>
        <w:rPr>
          <w:sz w:val="22"/>
        </w:rPr>
      </w:pPr>
      <w:r>
        <w:rPr>
          <w:sz w:val="22"/>
        </w:rPr>
        <w:t>2</w:t>
      </w:r>
      <w:r>
        <w:rPr>
          <w:rFonts w:hint="eastAsia"/>
          <w:sz w:val="22"/>
        </w:rPr>
        <w:t>、肺功能检查的临床意义。</w:t>
      </w:r>
    </w:p>
    <w:p w:rsidR="003717A0" w:rsidRDefault="003717A0">
      <w:pPr>
        <w:adjustRightInd w:val="0"/>
        <w:snapToGrid w:val="0"/>
        <w:spacing w:line="360" w:lineRule="auto"/>
        <w:ind w:leftChars="-2" w:left="-4" w:right="6" w:firstLineChars="98" w:firstLine="216"/>
        <w:rPr>
          <w:sz w:val="22"/>
        </w:rPr>
      </w:pPr>
      <w:r>
        <w:rPr>
          <w:sz w:val="22"/>
        </w:rPr>
        <w:t>3</w:t>
      </w:r>
      <w:r>
        <w:rPr>
          <w:rFonts w:hint="eastAsia"/>
          <w:sz w:val="22"/>
        </w:rPr>
        <w:t>、血液气体分析和酸碱测定及临床应用。</w:t>
      </w:r>
    </w:p>
    <w:p w:rsidR="003717A0" w:rsidRDefault="003717A0">
      <w:pPr>
        <w:adjustRightInd w:val="0"/>
        <w:snapToGrid w:val="0"/>
        <w:spacing w:line="360" w:lineRule="auto"/>
        <w:ind w:leftChars="-2" w:left="-4" w:right="4" w:firstLineChars="147" w:firstLine="325"/>
        <w:rPr>
          <w:b/>
          <w:sz w:val="22"/>
        </w:rPr>
      </w:pPr>
      <w:r>
        <w:rPr>
          <w:rFonts w:hint="eastAsia"/>
          <w:b/>
          <w:sz w:val="22"/>
        </w:rPr>
        <w:t>目的要求</w:t>
      </w:r>
    </w:p>
    <w:p w:rsidR="003717A0" w:rsidRDefault="003717A0">
      <w:pPr>
        <w:adjustRightInd w:val="0"/>
        <w:snapToGrid w:val="0"/>
        <w:spacing w:line="360" w:lineRule="auto"/>
        <w:ind w:leftChars="-2" w:left="-4" w:right="4" w:firstLineChars="147" w:firstLine="323"/>
        <w:rPr>
          <w:sz w:val="22"/>
        </w:rPr>
      </w:pPr>
      <w:r>
        <w:rPr>
          <w:sz w:val="22"/>
        </w:rPr>
        <w:t>1</w:t>
      </w:r>
      <w:r>
        <w:rPr>
          <w:rFonts w:hint="eastAsia"/>
          <w:sz w:val="22"/>
        </w:rPr>
        <w:t>、熟悉肺功能检查项目，临床意义，适应症</w:t>
      </w:r>
    </w:p>
    <w:p w:rsidR="003717A0" w:rsidRDefault="003717A0">
      <w:pPr>
        <w:adjustRightInd w:val="0"/>
        <w:snapToGrid w:val="0"/>
        <w:spacing w:line="360" w:lineRule="auto"/>
        <w:ind w:leftChars="-2" w:left="-4" w:right="4" w:firstLineChars="147" w:firstLine="323"/>
        <w:rPr>
          <w:sz w:val="22"/>
        </w:rPr>
      </w:pPr>
      <w:r>
        <w:rPr>
          <w:sz w:val="22"/>
        </w:rPr>
        <w:t>2</w:t>
      </w:r>
      <w:r>
        <w:rPr>
          <w:rFonts w:hint="eastAsia"/>
          <w:sz w:val="22"/>
        </w:rPr>
        <w:t>、了解临床常见呼吸衰竭及酸碱失衡的类型</w:t>
      </w:r>
    </w:p>
    <w:p w:rsidR="003717A0" w:rsidRDefault="003717A0" w:rsidP="005E20B5">
      <w:pPr>
        <w:adjustRightInd w:val="0"/>
        <w:snapToGrid w:val="0"/>
        <w:spacing w:beforeLines="50" w:line="360" w:lineRule="auto"/>
        <w:ind w:leftChars="-200" w:right="4" w:hangingChars="190" w:hanging="420"/>
        <w:jc w:val="center"/>
        <w:rPr>
          <w:b/>
          <w:sz w:val="22"/>
        </w:rPr>
      </w:pPr>
    </w:p>
    <w:p w:rsidR="003717A0" w:rsidRDefault="003717A0">
      <w:pPr>
        <w:adjustRightInd w:val="0"/>
        <w:snapToGrid w:val="0"/>
        <w:spacing w:line="360" w:lineRule="auto"/>
        <w:ind w:leftChars="-200" w:right="6" w:hangingChars="190" w:hanging="420"/>
        <w:jc w:val="center"/>
        <w:rPr>
          <w:b/>
          <w:sz w:val="22"/>
        </w:rPr>
      </w:pPr>
      <w:r>
        <w:rPr>
          <w:rFonts w:hint="eastAsia"/>
          <w:b/>
          <w:sz w:val="22"/>
        </w:rPr>
        <w:lastRenderedPageBreak/>
        <w:t>第十二章</w:t>
      </w:r>
      <w:r>
        <w:rPr>
          <w:b/>
          <w:sz w:val="22"/>
        </w:rPr>
        <w:t xml:space="preserve"> </w:t>
      </w:r>
      <w:r>
        <w:rPr>
          <w:rFonts w:hint="eastAsia"/>
          <w:b/>
          <w:sz w:val="22"/>
        </w:rPr>
        <w:t>诊断方法及病历书写</w:t>
      </w:r>
    </w:p>
    <w:p w:rsidR="003717A0" w:rsidRDefault="003717A0">
      <w:pPr>
        <w:adjustRightInd w:val="0"/>
        <w:snapToGrid w:val="0"/>
        <w:spacing w:line="360" w:lineRule="auto"/>
        <w:ind w:leftChars="-2" w:left="-4" w:right="6" w:firstLineChars="147" w:firstLine="325"/>
        <w:rPr>
          <w:b/>
          <w:sz w:val="22"/>
        </w:rPr>
      </w:pPr>
      <w:r>
        <w:rPr>
          <w:rFonts w:hint="eastAsia"/>
          <w:b/>
          <w:sz w:val="22"/>
        </w:rPr>
        <w:t>教学内容</w:t>
      </w:r>
    </w:p>
    <w:p w:rsidR="003717A0" w:rsidRDefault="003717A0">
      <w:pPr>
        <w:numPr>
          <w:ilvl w:val="0"/>
          <w:numId w:val="423"/>
        </w:numPr>
        <w:adjustRightInd w:val="0"/>
        <w:snapToGrid w:val="0"/>
        <w:spacing w:line="360" w:lineRule="auto"/>
        <w:ind w:right="6"/>
        <w:rPr>
          <w:sz w:val="22"/>
        </w:rPr>
      </w:pPr>
      <w:r>
        <w:rPr>
          <w:rFonts w:hint="eastAsia"/>
          <w:sz w:val="22"/>
        </w:rPr>
        <w:t>诊断步骤和思维方法。</w:t>
      </w:r>
    </w:p>
    <w:p w:rsidR="003717A0" w:rsidRDefault="003717A0">
      <w:pPr>
        <w:numPr>
          <w:ilvl w:val="0"/>
          <w:numId w:val="423"/>
        </w:numPr>
        <w:adjustRightInd w:val="0"/>
        <w:snapToGrid w:val="0"/>
        <w:spacing w:line="360" w:lineRule="auto"/>
        <w:ind w:right="6"/>
        <w:rPr>
          <w:sz w:val="22"/>
        </w:rPr>
      </w:pPr>
      <w:r>
        <w:rPr>
          <w:sz w:val="22"/>
        </w:rPr>
        <w:t xml:space="preserve"> </w:t>
      </w:r>
      <w:r>
        <w:rPr>
          <w:rFonts w:hint="eastAsia"/>
          <w:sz w:val="22"/>
        </w:rPr>
        <w:t>资料的收集、整理与分析。</w:t>
      </w:r>
      <w:r>
        <w:rPr>
          <w:sz w:val="22"/>
        </w:rPr>
        <w:t xml:space="preserve"> </w:t>
      </w:r>
    </w:p>
    <w:p w:rsidR="003717A0" w:rsidRDefault="003717A0">
      <w:pPr>
        <w:numPr>
          <w:ilvl w:val="0"/>
          <w:numId w:val="423"/>
        </w:numPr>
        <w:adjustRightInd w:val="0"/>
        <w:snapToGrid w:val="0"/>
        <w:spacing w:line="360" w:lineRule="auto"/>
        <w:ind w:right="6"/>
        <w:rPr>
          <w:sz w:val="22"/>
        </w:rPr>
      </w:pPr>
      <w:r>
        <w:rPr>
          <w:sz w:val="22"/>
        </w:rPr>
        <w:t xml:space="preserve"> </w:t>
      </w:r>
      <w:r>
        <w:rPr>
          <w:rFonts w:hint="eastAsia"/>
          <w:sz w:val="22"/>
        </w:rPr>
        <w:t>作出初步诊断。</w:t>
      </w:r>
      <w:r>
        <w:rPr>
          <w:sz w:val="22"/>
        </w:rPr>
        <w:t xml:space="preserve"> </w:t>
      </w:r>
      <w:r>
        <w:rPr>
          <w:rFonts w:hint="eastAsia"/>
          <w:sz w:val="22"/>
        </w:rPr>
        <w:t>病历编写。</w:t>
      </w:r>
    </w:p>
    <w:p w:rsidR="003717A0" w:rsidRDefault="003717A0">
      <w:pPr>
        <w:numPr>
          <w:ilvl w:val="0"/>
          <w:numId w:val="423"/>
        </w:numPr>
        <w:adjustRightInd w:val="0"/>
        <w:snapToGrid w:val="0"/>
        <w:spacing w:line="360" w:lineRule="auto"/>
        <w:ind w:right="6"/>
        <w:rPr>
          <w:sz w:val="22"/>
        </w:rPr>
      </w:pPr>
      <w:r>
        <w:rPr>
          <w:sz w:val="22"/>
        </w:rPr>
        <w:t xml:space="preserve"> </w:t>
      </w:r>
      <w:r>
        <w:rPr>
          <w:rFonts w:hint="eastAsia"/>
          <w:sz w:val="22"/>
        </w:rPr>
        <w:t>病历的重要性。</w:t>
      </w:r>
      <w:r>
        <w:rPr>
          <w:sz w:val="22"/>
        </w:rPr>
        <w:t xml:space="preserve">  </w:t>
      </w:r>
    </w:p>
    <w:p w:rsidR="003717A0" w:rsidRDefault="003717A0">
      <w:pPr>
        <w:numPr>
          <w:ilvl w:val="0"/>
          <w:numId w:val="423"/>
        </w:numPr>
        <w:adjustRightInd w:val="0"/>
        <w:snapToGrid w:val="0"/>
        <w:spacing w:line="360" w:lineRule="auto"/>
        <w:ind w:right="6"/>
        <w:rPr>
          <w:sz w:val="22"/>
        </w:rPr>
      </w:pPr>
      <w:r>
        <w:rPr>
          <w:rFonts w:hint="eastAsia"/>
          <w:sz w:val="22"/>
        </w:rPr>
        <w:t>病历编写中注意的事项。</w:t>
      </w:r>
      <w:r>
        <w:rPr>
          <w:sz w:val="22"/>
        </w:rPr>
        <w:t xml:space="preserve">  </w:t>
      </w:r>
    </w:p>
    <w:p w:rsidR="003717A0" w:rsidRDefault="003717A0">
      <w:pPr>
        <w:numPr>
          <w:ilvl w:val="0"/>
          <w:numId w:val="423"/>
        </w:numPr>
        <w:adjustRightInd w:val="0"/>
        <w:snapToGrid w:val="0"/>
        <w:spacing w:line="360" w:lineRule="auto"/>
        <w:ind w:right="6"/>
        <w:rPr>
          <w:sz w:val="22"/>
        </w:rPr>
      </w:pPr>
      <w:r>
        <w:rPr>
          <w:rFonts w:hint="eastAsia"/>
          <w:sz w:val="22"/>
        </w:rPr>
        <w:t>住院病历的格式及项目</w:t>
      </w:r>
    </w:p>
    <w:p w:rsidR="003717A0" w:rsidRDefault="003717A0">
      <w:pPr>
        <w:numPr>
          <w:ilvl w:val="0"/>
          <w:numId w:val="423"/>
        </w:numPr>
        <w:adjustRightInd w:val="0"/>
        <w:snapToGrid w:val="0"/>
        <w:spacing w:line="360" w:lineRule="auto"/>
        <w:ind w:right="6"/>
        <w:rPr>
          <w:sz w:val="22"/>
        </w:rPr>
      </w:pPr>
      <w:r>
        <w:rPr>
          <w:rFonts w:hint="eastAsia"/>
          <w:sz w:val="22"/>
        </w:rPr>
        <w:t>熟悉诊断疾病的三个步骤</w:t>
      </w:r>
    </w:p>
    <w:p w:rsidR="003717A0" w:rsidRDefault="003717A0">
      <w:pPr>
        <w:numPr>
          <w:ilvl w:val="0"/>
          <w:numId w:val="423"/>
        </w:numPr>
        <w:adjustRightInd w:val="0"/>
        <w:snapToGrid w:val="0"/>
        <w:spacing w:line="360" w:lineRule="auto"/>
        <w:ind w:right="6"/>
        <w:rPr>
          <w:sz w:val="22"/>
        </w:rPr>
      </w:pPr>
      <w:r>
        <w:rPr>
          <w:rFonts w:hint="eastAsia"/>
          <w:sz w:val="22"/>
        </w:rPr>
        <w:t>诊断思维的一元论原则</w:t>
      </w:r>
    </w:p>
    <w:p w:rsidR="003717A0" w:rsidRDefault="003717A0">
      <w:pPr>
        <w:adjustRightInd w:val="0"/>
        <w:snapToGrid w:val="0"/>
        <w:spacing w:line="360" w:lineRule="auto"/>
        <w:ind w:leftChars="-2" w:left="-4" w:right="6" w:firstLineChars="147" w:firstLine="325"/>
        <w:rPr>
          <w:b/>
          <w:sz w:val="22"/>
        </w:rPr>
      </w:pPr>
      <w:r>
        <w:rPr>
          <w:rFonts w:hint="eastAsia"/>
          <w:b/>
          <w:sz w:val="22"/>
        </w:rPr>
        <w:t>实习内容</w:t>
      </w:r>
    </w:p>
    <w:p w:rsidR="003717A0" w:rsidRDefault="003717A0">
      <w:pPr>
        <w:adjustRightInd w:val="0"/>
        <w:snapToGrid w:val="0"/>
        <w:spacing w:line="360" w:lineRule="auto"/>
        <w:ind w:leftChars="-2" w:left="-4" w:right="6" w:firstLineChars="147" w:firstLine="323"/>
        <w:rPr>
          <w:sz w:val="22"/>
        </w:rPr>
      </w:pPr>
      <w:r>
        <w:rPr>
          <w:rFonts w:hint="eastAsia"/>
          <w:sz w:val="22"/>
        </w:rPr>
        <w:t>教师指导下，完成一份病历的书写</w:t>
      </w:r>
    </w:p>
    <w:p w:rsidR="003717A0" w:rsidRDefault="003717A0">
      <w:pPr>
        <w:adjustRightInd w:val="0"/>
        <w:snapToGrid w:val="0"/>
        <w:spacing w:line="360" w:lineRule="auto"/>
        <w:ind w:leftChars="-2" w:left="-4" w:right="6" w:firstLineChars="146" w:firstLine="322"/>
        <w:rPr>
          <w:b/>
          <w:sz w:val="22"/>
        </w:rPr>
      </w:pPr>
      <w:r>
        <w:rPr>
          <w:rFonts w:hint="eastAsia"/>
          <w:b/>
          <w:sz w:val="22"/>
        </w:rPr>
        <w:t>目的要求</w:t>
      </w:r>
    </w:p>
    <w:p w:rsidR="003717A0" w:rsidRDefault="003717A0">
      <w:pPr>
        <w:adjustRightInd w:val="0"/>
        <w:snapToGrid w:val="0"/>
        <w:spacing w:line="360" w:lineRule="auto"/>
        <w:ind w:leftChars="-2" w:left="-4" w:right="6" w:firstLineChars="146" w:firstLine="321"/>
        <w:rPr>
          <w:sz w:val="22"/>
        </w:rPr>
      </w:pPr>
      <w:r>
        <w:rPr>
          <w:sz w:val="22"/>
        </w:rPr>
        <w:t>1</w:t>
      </w:r>
      <w:r>
        <w:rPr>
          <w:rFonts w:hint="eastAsia"/>
          <w:sz w:val="22"/>
        </w:rPr>
        <w:t>、使学生了解，病历具有临床诊治疾病、教学、科研、法律依据等方面的重要意义。要求学生必须以认真负责、实事求是的态度编写病历，能独立写出格式正确、文字通顺，字体清楚，符合实际的病历。</w:t>
      </w:r>
      <w:r>
        <w:rPr>
          <w:sz w:val="22"/>
        </w:rPr>
        <w:t xml:space="preserve"> </w:t>
      </w:r>
    </w:p>
    <w:p w:rsidR="003717A0" w:rsidRDefault="003717A0">
      <w:pPr>
        <w:adjustRightInd w:val="0"/>
        <w:snapToGrid w:val="0"/>
        <w:spacing w:line="360" w:lineRule="auto"/>
        <w:ind w:leftChars="-2" w:left="-4" w:right="6" w:firstLineChars="146" w:firstLine="321"/>
        <w:rPr>
          <w:sz w:val="22"/>
        </w:rPr>
      </w:pPr>
      <w:r>
        <w:rPr>
          <w:sz w:val="22"/>
        </w:rPr>
        <w:t xml:space="preserve"> 2</w:t>
      </w:r>
      <w:r>
        <w:rPr>
          <w:rFonts w:hint="eastAsia"/>
          <w:sz w:val="22"/>
        </w:rPr>
        <w:t>、结合临床实践，培养学生对诊断的综合分析能力，使学生熟悉症状、体征的现象与本质、共性与个性、局部与整体、主要矛盾与次要矛盾，形态与功能的关系。了解诊断步骤，逐步掌握诊断过程的思维方法。</w:t>
      </w: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5103"/>
        <w:gridCol w:w="2552"/>
      </w:tblGrid>
      <w:tr w:rsidR="003717A0" w:rsidTr="00F5156D">
        <w:trPr>
          <w:jc w:val="center"/>
        </w:trPr>
        <w:tc>
          <w:tcPr>
            <w:tcW w:w="817" w:type="dxa"/>
            <w:vAlign w:val="center"/>
          </w:tcPr>
          <w:p w:rsidR="003717A0" w:rsidRDefault="003717A0">
            <w:pPr>
              <w:jc w:val="center"/>
              <w:rPr>
                <w:sz w:val="24"/>
              </w:rPr>
            </w:pPr>
            <w:r>
              <w:rPr>
                <w:rFonts w:hint="eastAsia"/>
                <w:sz w:val="24"/>
              </w:rPr>
              <w:t>序号</w:t>
            </w:r>
          </w:p>
        </w:tc>
        <w:tc>
          <w:tcPr>
            <w:tcW w:w="5103"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2552" w:type="dxa"/>
            <w:vAlign w:val="center"/>
          </w:tcPr>
          <w:p w:rsidR="003717A0" w:rsidRDefault="003717A0">
            <w:pPr>
              <w:jc w:val="center"/>
              <w:rPr>
                <w:sz w:val="24"/>
              </w:rPr>
            </w:pPr>
            <w:r>
              <w:rPr>
                <w:rFonts w:hint="eastAsia"/>
                <w:sz w:val="24"/>
              </w:rPr>
              <w:t>学时</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w:t>
            </w:r>
          </w:p>
        </w:tc>
        <w:tc>
          <w:tcPr>
            <w:tcW w:w="5103" w:type="dxa"/>
            <w:vAlign w:val="center"/>
          </w:tcPr>
          <w:p w:rsidR="003717A0" w:rsidRDefault="003717A0">
            <w:pPr>
              <w:jc w:val="left"/>
              <w:rPr>
                <w:rFonts w:ascii="宋体" w:cs="宋体"/>
                <w:sz w:val="20"/>
                <w:szCs w:val="20"/>
              </w:rPr>
            </w:pPr>
            <w:r>
              <w:rPr>
                <w:rFonts w:hint="eastAsia"/>
                <w:sz w:val="20"/>
                <w:szCs w:val="20"/>
              </w:rPr>
              <w:t>绪论</w:t>
            </w:r>
            <w:r>
              <w:rPr>
                <w:sz w:val="20"/>
                <w:szCs w:val="20"/>
              </w:rPr>
              <w:t xml:space="preserve">  </w:t>
            </w:r>
            <w:r>
              <w:rPr>
                <w:rFonts w:hint="eastAsia"/>
                <w:sz w:val="20"/>
                <w:szCs w:val="20"/>
              </w:rPr>
              <w:t>问诊</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w:t>
            </w:r>
          </w:p>
        </w:tc>
        <w:tc>
          <w:tcPr>
            <w:tcW w:w="5103" w:type="dxa"/>
            <w:vAlign w:val="center"/>
          </w:tcPr>
          <w:p w:rsidR="003717A0" w:rsidRDefault="003717A0">
            <w:pPr>
              <w:jc w:val="left"/>
              <w:rPr>
                <w:rFonts w:ascii="宋体" w:cs="宋体"/>
                <w:sz w:val="20"/>
                <w:szCs w:val="20"/>
              </w:rPr>
            </w:pPr>
            <w:r>
              <w:rPr>
                <w:rFonts w:hint="eastAsia"/>
                <w:sz w:val="20"/>
                <w:szCs w:val="20"/>
              </w:rPr>
              <w:t>水肿、呼吸困难、心悸</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3</w:t>
            </w:r>
          </w:p>
        </w:tc>
        <w:tc>
          <w:tcPr>
            <w:tcW w:w="5103" w:type="dxa"/>
            <w:vAlign w:val="center"/>
          </w:tcPr>
          <w:p w:rsidR="003717A0" w:rsidRDefault="003717A0">
            <w:pPr>
              <w:jc w:val="left"/>
              <w:rPr>
                <w:rFonts w:ascii="宋体" w:cs="宋体"/>
                <w:sz w:val="20"/>
                <w:szCs w:val="20"/>
              </w:rPr>
            </w:pPr>
            <w:r>
              <w:rPr>
                <w:rFonts w:hint="eastAsia"/>
                <w:sz w:val="20"/>
                <w:szCs w:val="20"/>
              </w:rPr>
              <w:t>体检基本方法、一般检查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4</w:t>
            </w:r>
          </w:p>
        </w:tc>
        <w:tc>
          <w:tcPr>
            <w:tcW w:w="5103" w:type="dxa"/>
            <w:vAlign w:val="center"/>
          </w:tcPr>
          <w:p w:rsidR="003717A0" w:rsidRDefault="003717A0">
            <w:pPr>
              <w:jc w:val="left"/>
              <w:rPr>
                <w:rFonts w:ascii="宋体" w:cs="宋体"/>
                <w:sz w:val="20"/>
                <w:szCs w:val="20"/>
              </w:rPr>
            </w:pPr>
            <w:r>
              <w:rPr>
                <w:rFonts w:hint="eastAsia"/>
                <w:sz w:val="20"/>
                <w:szCs w:val="20"/>
              </w:rPr>
              <w:t>头颈部、皮肤</w:t>
            </w:r>
            <w:r>
              <w:rPr>
                <w:sz w:val="20"/>
                <w:szCs w:val="20"/>
              </w:rPr>
              <w:t xml:space="preserve"> </w:t>
            </w:r>
            <w:r>
              <w:rPr>
                <w:rFonts w:hint="eastAsia"/>
                <w:sz w:val="20"/>
                <w:szCs w:val="20"/>
              </w:rPr>
              <w:t>淋巴结检查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5</w:t>
            </w:r>
          </w:p>
        </w:tc>
        <w:tc>
          <w:tcPr>
            <w:tcW w:w="5103" w:type="dxa"/>
            <w:vAlign w:val="center"/>
          </w:tcPr>
          <w:p w:rsidR="003717A0" w:rsidRDefault="003717A0">
            <w:pPr>
              <w:jc w:val="left"/>
              <w:rPr>
                <w:rFonts w:ascii="宋体" w:cs="宋体"/>
                <w:sz w:val="20"/>
                <w:szCs w:val="20"/>
              </w:rPr>
            </w:pPr>
            <w:r>
              <w:rPr>
                <w:rFonts w:hint="eastAsia"/>
                <w:sz w:val="20"/>
                <w:szCs w:val="20"/>
              </w:rPr>
              <w:t>头痛、发热、（消瘦）</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6</w:t>
            </w:r>
          </w:p>
        </w:tc>
        <w:tc>
          <w:tcPr>
            <w:tcW w:w="5103" w:type="dxa"/>
            <w:vAlign w:val="center"/>
          </w:tcPr>
          <w:p w:rsidR="003717A0" w:rsidRDefault="003717A0">
            <w:pPr>
              <w:jc w:val="left"/>
              <w:rPr>
                <w:rFonts w:ascii="宋体" w:cs="宋体"/>
                <w:sz w:val="20"/>
                <w:szCs w:val="20"/>
              </w:rPr>
            </w:pPr>
            <w:r>
              <w:rPr>
                <w:rFonts w:hint="eastAsia"/>
                <w:sz w:val="20"/>
                <w:szCs w:val="20"/>
              </w:rPr>
              <w:t>咳嗽</w:t>
            </w:r>
            <w:r>
              <w:rPr>
                <w:sz w:val="20"/>
                <w:szCs w:val="20"/>
              </w:rPr>
              <w:t xml:space="preserve">  </w:t>
            </w:r>
            <w:r>
              <w:rPr>
                <w:rFonts w:hint="eastAsia"/>
                <w:sz w:val="20"/>
                <w:szCs w:val="20"/>
              </w:rPr>
              <w:t>咳痰</w:t>
            </w:r>
            <w:r>
              <w:rPr>
                <w:sz w:val="20"/>
                <w:szCs w:val="20"/>
              </w:rPr>
              <w:t xml:space="preserve">  </w:t>
            </w:r>
            <w:r>
              <w:rPr>
                <w:rFonts w:hint="eastAsia"/>
                <w:sz w:val="20"/>
                <w:szCs w:val="20"/>
              </w:rPr>
              <w:t>咯血、胸痛</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7</w:t>
            </w:r>
          </w:p>
        </w:tc>
        <w:tc>
          <w:tcPr>
            <w:tcW w:w="5103" w:type="dxa"/>
            <w:vAlign w:val="center"/>
          </w:tcPr>
          <w:p w:rsidR="003717A0" w:rsidRDefault="003717A0">
            <w:pPr>
              <w:jc w:val="left"/>
              <w:rPr>
                <w:rFonts w:ascii="宋体" w:cs="宋体"/>
                <w:sz w:val="20"/>
                <w:szCs w:val="20"/>
              </w:rPr>
            </w:pPr>
            <w:r>
              <w:rPr>
                <w:rFonts w:hint="eastAsia"/>
                <w:sz w:val="20"/>
                <w:szCs w:val="20"/>
              </w:rPr>
              <w:t>肺部检查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8</w:t>
            </w:r>
          </w:p>
        </w:tc>
        <w:tc>
          <w:tcPr>
            <w:tcW w:w="5103" w:type="dxa"/>
            <w:vAlign w:val="center"/>
          </w:tcPr>
          <w:p w:rsidR="003717A0" w:rsidRDefault="003717A0">
            <w:pPr>
              <w:jc w:val="left"/>
              <w:rPr>
                <w:rFonts w:ascii="宋体" w:cs="宋体"/>
                <w:sz w:val="20"/>
                <w:szCs w:val="20"/>
              </w:rPr>
            </w:pPr>
            <w:r>
              <w:rPr>
                <w:rFonts w:hint="eastAsia"/>
                <w:sz w:val="20"/>
                <w:szCs w:val="20"/>
              </w:rPr>
              <w:t>肺部检查</w:t>
            </w:r>
            <w:r>
              <w:rPr>
                <w:rFonts w:ascii="仿宋_GB2312" w:eastAsia="仿宋_GB2312"/>
                <w:sz w:val="20"/>
                <w:szCs w:val="20"/>
              </w:rPr>
              <w:t>(</w:t>
            </w:r>
            <w:r>
              <w:rPr>
                <w:rFonts w:hint="eastAsia"/>
                <w:sz w:val="20"/>
                <w:szCs w:val="20"/>
              </w:rPr>
              <w:t>续</w:t>
            </w:r>
            <w:r>
              <w:rPr>
                <w:rFonts w:ascii="仿宋_GB2312" w:eastAsia="仿宋_GB2312"/>
                <w:sz w:val="20"/>
                <w:szCs w:val="20"/>
              </w:rPr>
              <w:t xml:space="preserve">) </w:t>
            </w:r>
            <w:r>
              <w:rPr>
                <w:rFonts w:hint="eastAsia"/>
                <w:sz w:val="20"/>
                <w:szCs w:val="20"/>
              </w:rPr>
              <w:t>呼吸系统常见病变的主要症状及体征</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9</w:t>
            </w:r>
          </w:p>
        </w:tc>
        <w:tc>
          <w:tcPr>
            <w:tcW w:w="5103" w:type="dxa"/>
            <w:vAlign w:val="center"/>
          </w:tcPr>
          <w:p w:rsidR="003717A0" w:rsidRDefault="003717A0">
            <w:pPr>
              <w:jc w:val="left"/>
              <w:rPr>
                <w:rFonts w:ascii="宋体" w:cs="宋体"/>
                <w:sz w:val="20"/>
                <w:szCs w:val="20"/>
              </w:rPr>
            </w:pPr>
            <w:r>
              <w:rPr>
                <w:rFonts w:hint="eastAsia"/>
                <w:sz w:val="20"/>
                <w:szCs w:val="20"/>
              </w:rPr>
              <w:t>心血管检查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10</w:t>
            </w:r>
          </w:p>
        </w:tc>
        <w:tc>
          <w:tcPr>
            <w:tcW w:w="5103" w:type="dxa"/>
            <w:vAlign w:val="center"/>
          </w:tcPr>
          <w:p w:rsidR="003717A0" w:rsidRDefault="003717A0">
            <w:pPr>
              <w:jc w:val="left"/>
              <w:rPr>
                <w:rFonts w:ascii="宋体" w:cs="宋体"/>
                <w:sz w:val="20"/>
                <w:szCs w:val="20"/>
              </w:rPr>
            </w:pPr>
            <w:r>
              <w:rPr>
                <w:rFonts w:hint="eastAsia"/>
                <w:sz w:val="20"/>
                <w:szCs w:val="20"/>
              </w:rPr>
              <w:t>循环系统常见病变的主要症状及体征</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11</w:t>
            </w:r>
          </w:p>
        </w:tc>
        <w:tc>
          <w:tcPr>
            <w:tcW w:w="5103" w:type="dxa"/>
            <w:vAlign w:val="center"/>
          </w:tcPr>
          <w:p w:rsidR="003717A0" w:rsidRDefault="003717A0">
            <w:pPr>
              <w:jc w:val="left"/>
              <w:rPr>
                <w:rFonts w:ascii="宋体" w:cs="宋体"/>
                <w:sz w:val="20"/>
                <w:szCs w:val="20"/>
              </w:rPr>
            </w:pPr>
            <w:r>
              <w:rPr>
                <w:rFonts w:hint="eastAsia"/>
                <w:sz w:val="20"/>
                <w:szCs w:val="20"/>
              </w:rPr>
              <w:t>腹痛、腹泻</w:t>
            </w:r>
            <w:r>
              <w:rPr>
                <w:sz w:val="20"/>
                <w:szCs w:val="20"/>
              </w:rPr>
              <w:t xml:space="preserve">  </w:t>
            </w:r>
            <w:r>
              <w:rPr>
                <w:rFonts w:hint="eastAsia"/>
                <w:sz w:val="20"/>
                <w:szCs w:val="20"/>
              </w:rPr>
              <w:t>黄疸、便秘</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12</w:t>
            </w:r>
          </w:p>
        </w:tc>
        <w:tc>
          <w:tcPr>
            <w:tcW w:w="5103" w:type="dxa"/>
            <w:vAlign w:val="center"/>
          </w:tcPr>
          <w:p w:rsidR="003717A0" w:rsidRDefault="003717A0">
            <w:pPr>
              <w:jc w:val="left"/>
              <w:rPr>
                <w:rFonts w:ascii="宋体" w:cs="宋体"/>
                <w:sz w:val="20"/>
                <w:szCs w:val="20"/>
              </w:rPr>
            </w:pPr>
            <w:r>
              <w:rPr>
                <w:rFonts w:hint="eastAsia"/>
                <w:sz w:val="20"/>
                <w:szCs w:val="20"/>
              </w:rPr>
              <w:t>腹部检查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13</w:t>
            </w:r>
          </w:p>
        </w:tc>
        <w:tc>
          <w:tcPr>
            <w:tcW w:w="5103" w:type="dxa"/>
            <w:vAlign w:val="center"/>
          </w:tcPr>
          <w:p w:rsidR="003717A0" w:rsidRDefault="003717A0">
            <w:pPr>
              <w:jc w:val="left"/>
              <w:rPr>
                <w:rFonts w:ascii="宋体" w:cs="宋体"/>
                <w:sz w:val="20"/>
                <w:szCs w:val="20"/>
              </w:rPr>
            </w:pPr>
            <w:r>
              <w:rPr>
                <w:rFonts w:hint="eastAsia"/>
                <w:sz w:val="20"/>
                <w:szCs w:val="20"/>
              </w:rPr>
              <w:t>消化系统的常见病变的主要症状及体征</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14</w:t>
            </w:r>
          </w:p>
        </w:tc>
        <w:tc>
          <w:tcPr>
            <w:tcW w:w="5103" w:type="dxa"/>
            <w:vAlign w:val="center"/>
          </w:tcPr>
          <w:p w:rsidR="003717A0" w:rsidRDefault="003717A0">
            <w:pPr>
              <w:jc w:val="left"/>
              <w:rPr>
                <w:rFonts w:ascii="宋体" w:cs="宋体"/>
                <w:sz w:val="20"/>
                <w:szCs w:val="20"/>
              </w:rPr>
            </w:pPr>
            <w:r>
              <w:rPr>
                <w:rFonts w:hint="eastAsia"/>
                <w:sz w:val="20"/>
                <w:szCs w:val="20"/>
              </w:rPr>
              <w:t>关节痛、腰背痛、脊柱四肢检查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lastRenderedPageBreak/>
              <w:t>15</w:t>
            </w:r>
          </w:p>
        </w:tc>
        <w:tc>
          <w:tcPr>
            <w:tcW w:w="5103" w:type="dxa"/>
            <w:vAlign w:val="center"/>
          </w:tcPr>
          <w:p w:rsidR="003717A0" w:rsidRDefault="003717A0">
            <w:pPr>
              <w:jc w:val="left"/>
              <w:rPr>
                <w:rFonts w:ascii="宋体" w:cs="宋体"/>
                <w:sz w:val="20"/>
                <w:szCs w:val="20"/>
              </w:rPr>
            </w:pPr>
            <w:r>
              <w:rPr>
                <w:rFonts w:hint="eastAsia"/>
                <w:sz w:val="20"/>
                <w:szCs w:val="20"/>
              </w:rPr>
              <w:t>惊厥、意识障碍、神经系统检查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16</w:t>
            </w:r>
          </w:p>
        </w:tc>
        <w:tc>
          <w:tcPr>
            <w:tcW w:w="5103" w:type="dxa"/>
            <w:vAlign w:val="center"/>
          </w:tcPr>
          <w:p w:rsidR="003717A0" w:rsidRDefault="003717A0">
            <w:pPr>
              <w:jc w:val="left"/>
              <w:rPr>
                <w:rFonts w:ascii="宋体" w:cs="宋体"/>
                <w:sz w:val="20"/>
                <w:szCs w:val="20"/>
              </w:rPr>
            </w:pPr>
            <w:r>
              <w:rPr>
                <w:rFonts w:hint="eastAsia"/>
                <w:sz w:val="20"/>
                <w:szCs w:val="20"/>
              </w:rPr>
              <w:t>心电图</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17</w:t>
            </w:r>
          </w:p>
        </w:tc>
        <w:tc>
          <w:tcPr>
            <w:tcW w:w="5103" w:type="dxa"/>
            <w:vAlign w:val="center"/>
          </w:tcPr>
          <w:p w:rsidR="003717A0" w:rsidRDefault="003717A0">
            <w:pPr>
              <w:jc w:val="left"/>
              <w:rPr>
                <w:rFonts w:ascii="宋体" w:cs="宋体"/>
                <w:sz w:val="20"/>
                <w:szCs w:val="20"/>
              </w:rPr>
            </w:pPr>
            <w:r>
              <w:rPr>
                <w:rFonts w:hint="eastAsia"/>
                <w:sz w:val="20"/>
                <w:szCs w:val="20"/>
              </w:rPr>
              <w:t>心电图（续）</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18</w:t>
            </w:r>
          </w:p>
        </w:tc>
        <w:tc>
          <w:tcPr>
            <w:tcW w:w="5103" w:type="dxa"/>
            <w:vAlign w:val="center"/>
          </w:tcPr>
          <w:p w:rsidR="003717A0" w:rsidRDefault="003717A0">
            <w:pPr>
              <w:jc w:val="left"/>
              <w:rPr>
                <w:rFonts w:ascii="宋体" w:cs="宋体"/>
                <w:sz w:val="20"/>
                <w:szCs w:val="20"/>
              </w:rPr>
            </w:pPr>
            <w:r>
              <w:rPr>
                <w:rFonts w:hint="eastAsia"/>
                <w:sz w:val="20"/>
                <w:szCs w:val="20"/>
              </w:rPr>
              <w:t>心电图（续）</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19</w:t>
            </w:r>
          </w:p>
        </w:tc>
        <w:tc>
          <w:tcPr>
            <w:tcW w:w="5103" w:type="dxa"/>
            <w:vAlign w:val="center"/>
          </w:tcPr>
          <w:p w:rsidR="003717A0" w:rsidRDefault="003717A0">
            <w:pPr>
              <w:jc w:val="left"/>
              <w:rPr>
                <w:rFonts w:ascii="宋体" w:cs="宋体"/>
                <w:sz w:val="20"/>
                <w:szCs w:val="20"/>
              </w:rPr>
            </w:pPr>
            <w:r>
              <w:rPr>
                <w:rFonts w:hint="eastAsia"/>
                <w:sz w:val="20"/>
                <w:szCs w:val="20"/>
              </w:rPr>
              <w:t>临床血液学检测</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20</w:t>
            </w:r>
          </w:p>
        </w:tc>
        <w:tc>
          <w:tcPr>
            <w:tcW w:w="5103" w:type="dxa"/>
            <w:vAlign w:val="center"/>
          </w:tcPr>
          <w:p w:rsidR="003717A0" w:rsidRDefault="003717A0">
            <w:pPr>
              <w:jc w:val="left"/>
              <w:rPr>
                <w:rFonts w:ascii="宋体" w:cs="宋体"/>
                <w:sz w:val="20"/>
                <w:szCs w:val="20"/>
              </w:rPr>
            </w:pPr>
            <w:r>
              <w:rPr>
                <w:rFonts w:hint="eastAsia"/>
                <w:sz w:val="20"/>
                <w:szCs w:val="20"/>
              </w:rPr>
              <w:t>血栓与止血检测</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21</w:t>
            </w:r>
          </w:p>
        </w:tc>
        <w:tc>
          <w:tcPr>
            <w:tcW w:w="5103" w:type="dxa"/>
            <w:vAlign w:val="center"/>
          </w:tcPr>
          <w:p w:rsidR="003717A0" w:rsidRDefault="003717A0">
            <w:pPr>
              <w:jc w:val="left"/>
              <w:rPr>
                <w:rFonts w:ascii="宋体" w:cs="宋体"/>
                <w:sz w:val="20"/>
                <w:szCs w:val="20"/>
              </w:rPr>
            </w:pPr>
            <w:r>
              <w:rPr>
                <w:rFonts w:hint="eastAsia"/>
                <w:sz w:val="20"/>
                <w:szCs w:val="20"/>
              </w:rPr>
              <w:t>血尿、少尿、无尿与多尿；尿频、尿急与尿痛</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22</w:t>
            </w:r>
          </w:p>
        </w:tc>
        <w:tc>
          <w:tcPr>
            <w:tcW w:w="5103" w:type="dxa"/>
            <w:vAlign w:val="center"/>
          </w:tcPr>
          <w:p w:rsidR="003717A0" w:rsidRDefault="003717A0">
            <w:pPr>
              <w:jc w:val="left"/>
              <w:rPr>
                <w:rFonts w:ascii="宋体" w:cs="宋体"/>
                <w:sz w:val="20"/>
                <w:szCs w:val="20"/>
              </w:rPr>
            </w:pPr>
            <w:r>
              <w:rPr>
                <w:rFonts w:hint="eastAsia"/>
                <w:sz w:val="20"/>
                <w:szCs w:val="20"/>
              </w:rPr>
              <w:t>尿液检查</w:t>
            </w:r>
            <w:r>
              <w:rPr>
                <w:sz w:val="20"/>
                <w:szCs w:val="20"/>
              </w:rPr>
              <w:t xml:space="preserve"> </w:t>
            </w:r>
            <w:r>
              <w:rPr>
                <w:rFonts w:hint="eastAsia"/>
                <w:sz w:val="20"/>
                <w:szCs w:val="20"/>
              </w:rPr>
              <w:t>肾功能检查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23</w:t>
            </w:r>
          </w:p>
        </w:tc>
        <w:tc>
          <w:tcPr>
            <w:tcW w:w="5103" w:type="dxa"/>
            <w:vAlign w:val="center"/>
          </w:tcPr>
          <w:p w:rsidR="003717A0" w:rsidRDefault="003717A0">
            <w:pPr>
              <w:jc w:val="left"/>
              <w:rPr>
                <w:rFonts w:ascii="宋体" w:cs="宋体"/>
                <w:sz w:val="20"/>
                <w:szCs w:val="20"/>
              </w:rPr>
            </w:pPr>
            <w:r>
              <w:rPr>
                <w:rFonts w:hint="eastAsia"/>
                <w:sz w:val="20"/>
                <w:szCs w:val="20"/>
              </w:rPr>
              <w:t>脑脊液浆膜腔穿刺液检查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24</w:t>
            </w:r>
          </w:p>
        </w:tc>
        <w:tc>
          <w:tcPr>
            <w:tcW w:w="5103" w:type="dxa"/>
            <w:vAlign w:val="center"/>
          </w:tcPr>
          <w:p w:rsidR="003717A0" w:rsidRDefault="003717A0">
            <w:pPr>
              <w:jc w:val="left"/>
              <w:rPr>
                <w:rFonts w:ascii="宋体" w:cs="宋体"/>
                <w:sz w:val="20"/>
                <w:szCs w:val="20"/>
              </w:rPr>
            </w:pPr>
            <w:r>
              <w:rPr>
                <w:rFonts w:hint="eastAsia"/>
                <w:sz w:val="20"/>
                <w:szCs w:val="20"/>
              </w:rPr>
              <w:t>粪便检查</w:t>
            </w:r>
            <w:r>
              <w:rPr>
                <w:sz w:val="20"/>
                <w:szCs w:val="20"/>
              </w:rPr>
              <w:t xml:space="preserve">  </w:t>
            </w:r>
            <w:r>
              <w:rPr>
                <w:rFonts w:hint="eastAsia"/>
                <w:sz w:val="20"/>
                <w:szCs w:val="20"/>
              </w:rPr>
              <w:t>肝功能检查</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25</w:t>
            </w:r>
          </w:p>
        </w:tc>
        <w:tc>
          <w:tcPr>
            <w:tcW w:w="5103" w:type="dxa"/>
            <w:vAlign w:val="center"/>
          </w:tcPr>
          <w:p w:rsidR="003717A0" w:rsidRDefault="003717A0">
            <w:pPr>
              <w:jc w:val="left"/>
              <w:rPr>
                <w:rFonts w:ascii="宋体" w:cs="宋体"/>
                <w:sz w:val="20"/>
                <w:szCs w:val="20"/>
              </w:rPr>
            </w:pPr>
            <w:r>
              <w:rPr>
                <w:rFonts w:hint="eastAsia"/>
                <w:sz w:val="20"/>
                <w:szCs w:val="20"/>
              </w:rPr>
              <w:t>乙肝病毒免疫标志物、肿瘤标志物检测</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26</w:t>
            </w:r>
          </w:p>
        </w:tc>
        <w:tc>
          <w:tcPr>
            <w:tcW w:w="5103" w:type="dxa"/>
            <w:vAlign w:val="center"/>
          </w:tcPr>
          <w:p w:rsidR="003717A0" w:rsidRDefault="003717A0">
            <w:pPr>
              <w:jc w:val="left"/>
              <w:rPr>
                <w:rFonts w:ascii="宋体" w:cs="宋体"/>
                <w:sz w:val="20"/>
                <w:szCs w:val="20"/>
              </w:rPr>
            </w:pPr>
            <w:r>
              <w:rPr>
                <w:rFonts w:hint="eastAsia"/>
                <w:sz w:val="20"/>
                <w:szCs w:val="20"/>
              </w:rPr>
              <w:t>肺功能检查、血气分析</w:t>
            </w:r>
          </w:p>
        </w:tc>
        <w:tc>
          <w:tcPr>
            <w:tcW w:w="2552"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27</w:t>
            </w:r>
          </w:p>
        </w:tc>
        <w:tc>
          <w:tcPr>
            <w:tcW w:w="5103" w:type="dxa"/>
            <w:vAlign w:val="center"/>
          </w:tcPr>
          <w:p w:rsidR="003717A0" w:rsidRDefault="003717A0">
            <w:pPr>
              <w:jc w:val="left"/>
              <w:rPr>
                <w:rFonts w:ascii="宋体" w:cs="宋体"/>
                <w:sz w:val="20"/>
                <w:szCs w:val="20"/>
              </w:rPr>
            </w:pPr>
            <w:r>
              <w:rPr>
                <w:rFonts w:hint="eastAsia"/>
                <w:sz w:val="20"/>
                <w:szCs w:val="20"/>
              </w:rPr>
              <w:t>诊断方法及病历书写</w:t>
            </w:r>
          </w:p>
        </w:tc>
        <w:tc>
          <w:tcPr>
            <w:tcW w:w="2552" w:type="dxa"/>
          </w:tcPr>
          <w:p w:rsidR="003717A0" w:rsidRDefault="003717A0">
            <w:pPr>
              <w:jc w:val="center"/>
            </w:pPr>
            <w:r>
              <w:rPr>
                <w:rFonts w:ascii="Times New Roman" w:hAnsi="Times New Roman"/>
              </w:rPr>
              <w:t>2</w:t>
            </w:r>
          </w:p>
        </w:tc>
      </w:tr>
      <w:tr w:rsidR="003717A0" w:rsidTr="00F5156D">
        <w:trPr>
          <w:jc w:val="center"/>
        </w:trPr>
        <w:tc>
          <w:tcPr>
            <w:tcW w:w="5920" w:type="dxa"/>
            <w:gridSpan w:val="2"/>
          </w:tcPr>
          <w:p w:rsidR="003717A0" w:rsidRDefault="003717A0">
            <w:pPr>
              <w:ind w:firstLineChars="53" w:firstLine="111"/>
              <w:jc w:val="center"/>
              <w:rPr>
                <w:rFonts w:ascii="Times New Roman" w:hAnsi="Times New Roman"/>
              </w:rPr>
            </w:pPr>
            <w:r>
              <w:rPr>
                <w:rFonts w:ascii="Times New Roman" w:hAnsi="Times New Roman" w:hint="eastAsia"/>
              </w:rPr>
              <w:t>总计</w:t>
            </w:r>
          </w:p>
        </w:tc>
        <w:tc>
          <w:tcPr>
            <w:tcW w:w="2552" w:type="dxa"/>
            <w:vAlign w:val="center"/>
          </w:tcPr>
          <w:p w:rsidR="003717A0" w:rsidRDefault="003717A0">
            <w:pPr>
              <w:jc w:val="center"/>
              <w:rPr>
                <w:rFonts w:ascii="Times New Roman" w:hAnsi="Times New Roman"/>
              </w:rPr>
            </w:pPr>
            <w:r>
              <w:rPr>
                <w:rFonts w:ascii="Times New Roman" w:hAnsi="Times New Roman"/>
              </w:rPr>
              <w:t>54</w:t>
            </w:r>
          </w:p>
        </w:tc>
      </w:tr>
    </w:tbl>
    <w:p w:rsidR="003717A0" w:rsidRDefault="003717A0">
      <w:pPr>
        <w:adjustRightInd w:val="0"/>
        <w:snapToGrid w:val="0"/>
        <w:spacing w:line="360" w:lineRule="auto"/>
      </w:pPr>
    </w:p>
    <w:p w:rsidR="003717A0" w:rsidRDefault="003717A0">
      <w:pPr>
        <w:adjustRightInd w:val="0"/>
        <w:snapToGrid w:val="0"/>
        <w:spacing w:line="360" w:lineRule="auto"/>
        <w:jc w:val="center"/>
        <w:rPr>
          <w:b/>
          <w:bCs/>
          <w:sz w:val="28"/>
          <w:szCs w:val="28"/>
        </w:rPr>
      </w:pPr>
      <w:r>
        <w:rPr>
          <w:rFonts w:hint="eastAsia"/>
          <w:b/>
          <w:bCs/>
          <w:sz w:val="28"/>
          <w:szCs w:val="28"/>
        </w:rPr>
        <w:t>实验课学时分配</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4111"/>
        <w:gridCol w:w="3260"/>
      </w:tblGrid>
      <w:tr w:rsidR="003717A0" w:rsidTr="00F5156D">
        <w:trPr>
          <w:jc w:val="center"/>
        </w:trPr>
        <w:tc>
          <w:tcPr>
            <w:tcW w:w="817" w:type="dxa"/>
            <w:vAlign w:val="center"/>
          </w:tcPr>
          <w:p w:rsidR="003717A0" w:rsidRDefault="003717A0">
            <w:pPr>
              <w:adjustRightInd w:val="0"/>
              <w:snapToGrid w:val="0"/>
              <w:jc w:val="center"/>
              <w:rPr>
                <w:sz w:val="24"/>
              </w:rPr>
            </w:pPr>
            <w:r>
              <w:rPr>
                <w:rFonts w:hint="eastAsia"/>
                <w:sz w:val="24"/>
              </w:rPr>
              <w:t>序号</w:t>
            </w:r>
          </w:p>
        </w:tc>
        <w:tc>
          <w:tcPr>
            <w:tcW w:w="4111" w:type="dxa"/>
            <w:vAlign w:val="center"/>
          </w:tcPr>
          <w:p w:rsidR="003717A0" w:rsidRDefault="003717A0">
            <w:pPr>
              <w:adjustRightInd w:val="0"/>
              <w:snapToGrid w:val="0"/>
              <w:jc w:val="center"/>
              <w:rPr>
                <w:sz w:val="24"/>
              </w:rPr>
            </w:pPr>
            <w:r>
              <w:rPr>
                <w:rFonts w:hint="eastAsia"/>
                <w:sz w:val="24"/>
              </w:rPr>
              <w:t>实验内容</w:t>
            </w:r>
          </w:p>
          <w:p w:rsidR="003717A0" w:rsidRDefault="003717A0">
            <w:pPr>
              <w:adjustRightInd w:val="0"/>
              <w:snapToGrid w:val="0"/>
              <w:jc w:val="center"/>
              <w:rPr>
                <w:sz w:val="24"/>
              </w:rPr>
            </w:pPr>
            <w:r>
              <w:rPr>
                <w:rFonts w:hint="eastAsia"/>
                <w:sz w:val="24"/>
              </w:rPr>
              <w:t>（具体章节或实验）</w:t>
            </w:r>
          </w:p>
        </w:tc>
        <w:tc>
          <w:tcPr>
            <w:tcW w:w="3260" w:type="dxa"/>
            <w:vAlign w:val="center"/>
          </w:tcPr>
          <w:p w:rsidR="003717A0" w:rsidRDefault="003717A0">
            <w:pPr>
              <w:adjustRightInd w:val="0"/>
              <w:snapToGrid w:val="0"/>
              <w:jc w:val="center"/>
              <w:rPr>
                <w:sz w:val="24"/>
              </w:rPr>
            </w:pPr>
            <w:r>
              <w:rPr>
                <w:rFonts w:hint="eastAsia"/>
                <w:sz w:val="24"/>
              </w:rPr>
              <w:t>学时</w:t>
            </w:r>
          </w:p>
        </w:tc>
      </w:tr>
      <w:tr w:rsidR="003717A0" w:rsidTr="00F5156D">
        <w:trPr>
          <w:jc w:val="center"/>
        </w:trPr>
        <w:tc>
          <w:tcPr>
            <w:tcW w:w="817" w:type="dxa"/>
            <w:vAlign w:val="center"/>
          </w:tcPr>
          <w:p w:rsidR="003717A0" w:rsidRDefault="003717A0">
            <w:pPr>
              <w:jc w:val="center"/>
              <w:rPr>
                <w:rFonts w:ascii="Times New Roman" w:hAnsi="Times New Roman"/>
              </w:rPr>
            </w:pPr>
            <w:r>
              <w:rPr>
                <w:rFonts w:ascii="Times New Roman" w:hAnsi="Times New Roman"/>
              </w:rPr>
              <w:t>1</w:t>
            </w:r>
          </w:p>
        </w:tc>
        <w:tc>
          <w:tcPr>
            <w:tcW w:w="4111" w:type="dxa"/>
            <w:vAlign w:val="center"/>
          </w:tcPr>
          <w:p w:rsidR="003717A0" w:rsidRDefault="003717A0">
            <w:pPr>
              <w:rPr>
                <w:rFonts w:ascii="宋体" w:cs="宋体"/>
                <w:sz w:val="20"/>
                <w:szCs w:val="20"/>
              </w:rPr>
            </w:pPr>
            <w:r>
              <w:rPr>
                <w:rFonts w:hint="eastAsia"/>
                <w:sz w:val="20"/>
                <w:szCs w:val="20"/>
              </w:rPr>
              <w:t>问诊示范</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vAlign w:val="center"/>
          </w:tcPr>
          <w:p w:rsidR="003717A0" w:rsidRDefault="003717A0">
            <w:pPr>
              <w:jc w:val="center"/>
              <w:rPr>
                <w:rFonts w:ascii="Times New Roman" w:hAnsi="Times New Roman"/>
              </w:rPr>
            </w:pPr>
            <w:r>
              <w:rPr>
                <w:rFonts w:ascii="Times New Roman" w:hAnsi="Times New Roman"/>
              </w:rPr>
              <w:t>2</w:t>
            </w:r>
          </w:p>
        </w:tc>
        <w:tc>
          <w:tcPr>
            <w:tcW w:w="4111" w:type="dxa"/>
            <w:vAlign w:val="center"/>
          </w:tcPr>
          <w:p w:rsidR="003717A0" w:rsidRDefault="003717A0">
            <w:pPr>
              <w:rPr>
                <w:rFonts w:ascii="宋体" w:cs="宋体"/>
                <w:sz w:val="20"/>
                <w:szCs w:val="20"/>
              </w:rPr>
            </w:pPr>
            <w:r>
              <w:rPr>
                <w:rFonts w:hint="eastAsia"/>
                <w:sz w:val="20"/>
                <w:szCs w:val="20"/>
              </w:rPr>
              <w:t>一般检查、头颈部、皮肤、淋巴结互查</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3</w:t>
            </w:r>
          </w:p>
        </w:tc>
        <w:tc>
          <w:tcPr>
            <w:tcW w:w="4111" w:type="dxa"/>
            <w:vAlign w:val="center"/>
          </w:tcPr>
          <w:p w:rsidR="003717A0" w:rsidRDefault="003717A0">
            <w:pPr>
              <w:rPr>
                <w:rFonts w:ascii="宋体" w:cs="宋体"/>
                <w:sz w:val="20"/>
                <w:szCs w:val="20"/>
              </w:rPr>
            </w:pPr>
            <w:r>
              <w:rPr>
                <w:rFonts w:hint="eastAsia"/>
                <w:sz w:val="20"/>
                <w:szCs w:val="20"/>
              </w:rPr>
              <w:t>胸肺互查</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4</w:t>
            </w:r>
          </w:p>
        </w:tc>
        <w:tc>
          <w:tcPr>
            <w:tcW w:w="4111" w:type="dxa"/>
            <w:vAlign w:val="center"/>
          </w:tcPr>
          <w:p w:rsidR="003717A0" w:rsidRDefault="003717A0">
            <w:pPr>
              <w:rPr>
                <w:rFonts w:ascii="宋体" w:cs="宋体"/>
                <w:sz w:val="20"/>
                <w:szCs w:val="20"/>
              </w:rPr>
            </w:pPr>
            <w:r>
              <w:rPr>
                <w:rFonts w:hint="eastAsia"/>
                <w:sz w:val="20"/>
                <w:szCs w:val="20"/>
              </w:rPr>
              <w:t>胸肺部阳性体征</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5</w:t>
            </w:r>
          </w:p>
        </w:tc>
        <w:tc>
          <w:tcPr>
            <w:tcW w:w="4111" w:type="dxa"/>
            <w:vAlign w:val="center"/>
          </w:tcPr>
          <w:p w:rsidR="003717A0" w:rsidRDefault="003717A0">
            <w:pPr>
              <w:rPr>
                <w:rFonts w:ascii="宋体" w:cs="宋体"/>
                <w:sz w:val="20"/>
                <w:szCs w:val="20"/>
              </w:rPr>
            </w:pPr>
            <w:r>
              <w:rPr>
                <w:rFonts w:hint="eastAsia"/>
                <w:sz w:val="20"/>
                <w:szCs w:val="20"/>
              </w:rPr>
              <w:t>心血管系统互查</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6</w:t>
            </w:r>
          </w:p>
        </w:tc>
        <w:tc>
          <w:tcPr>
            <w:tcW w:w="4111" w:type="dxa"/>
            <w:vAlign w:val="center"/>
          </w:tcPr>
          <w:p w:rsidR="003717A0" w:rsidRDefault="003717A0">
            <w:pPr>
              <w:rPr>
                <w:rFonts w:ascii="宋体" w:cs="宋体"/>
                <w:sz w:val="20"/>
                <w:szCs w:val="20"/>
              </w:rPr>
            </w:pPr>
            <w:r>
              <w:rPr>
                <w:rFonts w:hint="eastAsia"/>
                <w:sz w:val="20"/>
                <w:szCs w:val="20"/>
              </w:rPr>
              <w:t>心血管阳性体征</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7</w:t>
            </w:r>
          </w:p>
        </w:tc>
        <w:tc>
          <w:tcPr>
            <w:tcW w:w="4111" w:type="dxa"/>
            <w:vAlign w:val="center"/>
          </w:tcPr>
          <w:p w:rsidR="003717A0" w:rsidRDefault="003717A0">
            <w:pPr>
              <w:rPr>
                <w:rFonts w:ascii="宋体" w:cs="宋体"/>
                <w:sz w:val="20"/>
                <w:szCs w:val="20"/>
              </w:rPr>
            </w:pPr>
            <w:r>
              <w:rPr>
                <w:rFonts w:hint="eastAsia"/>
                <w:sz w:val="20"/>
                <w:szCs w:val="20"/>
              </w:rPr>
              <w:t>腹部、脊柱四肢、神经系统检查互查</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8</w:t>
            </w:r>
          </w:p>
        </w:tc>
        <w:tc>
          <w:tcPr>
            <w:tcW w:w="4111" w:type="dxa"/>
            <w:vAlign w:val="center"/>
          </w:tcPr>
          <w:p w:rsidR="003717A0" w:rsidRDefault="003717A0">
            <w:pPr>
              <w:rPr>
                <w:rFonts w:ascii="宋体" w:cs="宋体"/>
                <w:sz w:val="20"/>
                <w:szCs w:val="20"/>
              </w:rPr>
            </w:pPr>
            <w:r>
              <w:rPr>
                <w:rFonts w:hint="eastAsia"/>
                <w:sz w:val="20"/>
                <w:szCs w:val="20"/>
              </w:rPr>
              <w:t>腹部阳性体征</w:t>
            </w:r>
          </w:p>
        </w:tc>
        <w:tc>
          <w:tcPr>
            <w:tcW w:w="3260" w:type="dxa"/>
          </w:tcPr>
          <w:p w:rsidR="003717A0" w:rsidRDefault="003717A0">
            <w:pPr>
              <w:jc w:val="center"/>
            </w:pPr>
            <w:r>
              <w:rPr>
                <w:rFonts w:ascii="Times New Roman" w:hAnsi="Times New Roman"/>
              </w:rPr>
              <w:t>2</w:t>
            </w:r>
          </w:p>
        </w:tc>
      </w:tr>
      <w:tr w:rsidR="003717A0" w:rsidTr="00F5156D">
        <w:trPr>
          <w:jc w:val="center"/>
        </w:trPr>
        <w:tc>
          <w:tcPr>
            <w:tcW w:w="817" w:type="dxa"/>
          </w:tcPr>
          <w:p w:rsidR="003717A0" w:rsidRDefault="003717A0">
            <w:pPr>
              <w:jc w:val="center"/>
              <w:rPr>
                <w:rFonts w:ascii="Times New Roman" w:hAnsi="Times New Roman"/>
              </w:rPr>
            </w:pPr>
            <w:r>
              <w:rPr>
                <w:rFonts w:ascii="Times New Roman" w:hAnsi="Times New Roman"/>
              </w:rPr>
              <w:t>9</w:t>
            </w:r>
          </w:p>
        </w:tc>
        <w:tc>
          <w:tcPr>
            <w:tcW w:w="4111" w:type="dxa"/>
            <w:vAlign w:val="center"/>
          </w:tcPr>
          <w:p w:rsidR="003717A0" w:rsidRDefault="003717A0">
            <w:pPr>
              <w:rPr>
                <w:rFonts w:ascii="宋体" w:cs="宋体"/>
                <w:sz w:val="20"/>
                <w:szCs w:val="20"/>
              </w:rPr>
            </w:pPr>
            <w:r>
              <w:rPr>
                <w:rFonts w:hint="eastAsia"/>
                <w:sz w:val="20"/>
                <w:szCs w:val="20"/>
              </w:rPr>
              <w:t>心电图</w:t>
            </w:r>
          </w:p>
        </w:tc>
        <w:tc>
          <w:tcPr>
            <w:tcW w:w="3260" w:type="dxa"/>
          </w:tcPr>
          <w:p w:rsidR="003717A0" w:rsidRDefault="003717A0">
            <w:pPr>
              <w:jc w:val="center"/>
            </w:pPr>
            <w:r>
              <w:rPr>
                <w:rFonts w:ascii="Times New Roman" w:hAnsi="Times New Roman"/>
              </w:rPr>
              <w:t>2</w:t>
            </w:r>
          </w:p>
        </w:tc>
      </w:tr>
      <w:tr w:rsidR="003717A0" w:rsidTr="00F5156D">
        <w:trPr>
          <w:jc w:val="center"/>
        </w:trPr>
        <w:tc>
          <w:tcPr>
            <w:tcW w:w="4928" w:type="dxa"/>
            <w:gridSpan w:val="2"/>
          </w:tcPr>
          <w:p w:rsidR="003717A0" w:rsidRDefault="003717A0">
            <w:pPr>
              <w:ind w:firstLineChars="53" w:firstLine="111"/>
              <w:jc w:val="center"/>
              <w:rPr>
                <w:rFonts w:ascii="Times New Roman" w:hAnsi="Times New Roman"/>
              </w:rPr>
            </w:pPr>
            <w:r>
              <w:rPr>
                <w:rFonts w:ascii="Times New Roman" w:hAnsi="Times New Roman" w:hint="eastAsia"/>
              </w:rPr>
              <w:t>合计</w:t>
            </w:r>
          </w:p>
        </w:tc>
        <w:tc>
          <w:tcPr>
            <w:tcW w:w="3260" w:type="dxa"/>
            <w:vAlign w:val="center"/>
          </w:tcPr>
          <w:p w:rsidR="003717A0" w:rsidRDefault="003717A0">
            <w:pPr>
              <w:jc w:val="center"/>
              <w:rPr>
                <w:rFonts w:ascii="Times New Roman" w:hAnsi="Times New Roman"/>
              </w:rPr>
            </w:pPr>
            <w:r>
              <w:rPr>
                <w:rFonts w:ascii="Times New Roman" w:hAnsi="Times New Roman"/>
              </w:rPr>
              <w:t>18</w:t>
            </w:r>
          </w:p>
        </w:tc>
      </w:tr>
    </w:tbl>
    <w:p w:rsidR="003717A0" w:rsidRDefault="003717A0">
      <w:pPr>
        <w:adjustRightInd w:val="0"/>
        <w:snapToGrid w:val="0"/>
        <w:jc w:val="center"/>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多媒体教室、心肺，腹部模拟人教室；</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多媒体教学课件、心肺，腹部模拟人，穿刺模拟人，心电图机。</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80%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平时成绩占总成绩的</w:t>
      </w:r>
      <w:r>
        <w:rPr>
          <w:rFonts w:ascii="Times New Roman"/>
        </w:rPr>
        <w:t>20%</w:t>
      </w:r>
      <w:r>
        <w:rPr>
          <w:rFonts w:ascii="Times New Roman" w:hint="eastAsia"/>
        </w:rPr>
        <w:t>，其中心电图报告、病历书写、实验室检查病例分析等实验报告成绩汇入平时成绩。</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w:t>
      </w:r>
      <w:r>
        <w:rPr>
          <w:rFonts w:ascii="Times New Roman" w:hint="eastAsia"/>
        </w:rPr>
        <w:lastRenderedPageBreak/>
        <w:t>纠正对知识的理解有所偏差的部分。</w:t>
      </w:r>
    </w:p>
    <w:p w:rsidR="003717A0" w:rsidRDefault="003717A0">
      <w:pPr>
        <w:adjustRightInd w:val="0"/>
        <w:snapToGrid w:val="0"/>
        <w:spacing w:line="360" w:lineRule="auto"/>
        <w:ind w:right="4" w:firstLineChars="2400" w:firstLine="5040"/>
        <w:rPr>
          <w:rFonts w:ascii="黑体" w:eastAsia="黑体" w:cs="黑体"/>
          <w:kern w:val="0"/>
          <w:szCs w:val="21"/>
        </w:rPr>
      </w:pPr>
    </w:p>
    <w:p w:rsidR="003717A0" w:rsidRDefault="003717A0" w:rsidP="00F5156D">
      <w:pPr>
        <w:adjustRightInd w:val="0"/>
        <w:snapToGrid w:val="0"/>
        <w:spacing w:line="360" w:lineRule="auto"/>
        <w:ind w:right="6" w:firstLineChars="2000" w:firstLine="4200"/>
        <w:rPr>
          <w:rFonts w:ascii="Times New Roman"/>
        </w:rPr>
      </w:pPr>
      <w:r>
        <w:rPr>
          <w:rFonts w:ascii="黑体" w:eastAsia="黑体" w:cs="黑体" w:hint="eastAsia"/>
          <w:kern w:val="0"/>
          <w:szCs w:val="21"/>
        </w:rPr>
        <w:t>制定人：董志珍，刘燕，各专业组老师</w:t>
      </w:r>
    </w:p>
    <w:p w:rsidR="003717A0" w:rsidRDefault="003717A0" w:rsidP="00F5156D">
      <w:pPr>
        <w:adjustRightInd w:val="0"/>
        <w:snapToGrid w:val="0"/>
        <w:spacing w:line="360" w:lineRule="auto"/>
        <w:ind w:right="6" w:firstLineChars="1950" w:firstLine="4095"/>
        <w:rPr>
          <w:rFonts w:ascii="黑体" w:eastAsia="黑体" w:cs="黑体"/>
          <w:kern w:val="0"/>
          <w:szCs w:val="21"/>
        </w:rPr>
      </w:pPr>
      <w:r>
        <w:rPr>
          <w:rFonts w:ascii="黑体" w:eastAsia="黑体" w:cs="黑体"/>
          <w:kern w:val="0"/>
          <w:szCs w:val="21"/>
        </w:rPr>
        <w:t xml:space="preserve"> </w:t>
      </w:r>
      <w:r>
        <w:rPr>
          <w:rFonts w:ascii="黑体" w:eastAsia="黑体" w:cs="黑体" w:hint="eastAsia"/>
          <w:kern w:val="0"/>
          <w:szCs w:val="21"/>
        </w:rPr>
        <w:t>审核人：周国雄</w:t>
      </w:r>
    </w:p>
    <w:p w:rsidR="003717A0" w:rsidRDefault="003717A0" w:rsidP="00F5156D">
      <w:pPr>
        <w:adjustRightInd w:val="0"/>
        <w:snapToGrid w:val="0"/>
        <w:spacing w:line="360" w:lineRule="auto"/>
        <w:jc w:val="center"/>
        <w:rPr>
          <w:rFonts w:ascii="黑体" w:eastAsia="黑体"/>
          <w:b/>
          <w:sz w:val="30"/>
          <w:szCs w:val="30"/>
        </w:rPr>
      </w:pPr>
      <w:r>
        <w:rPr>
          <w:rFonts w:ascii="黑体" w:eastAsia="黑体" w:cs="黑体"/>
          <w:kern w:val="0"/>
          <w:szCs w:val="21"/>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numPr>
          <w:ilvl w:val="0"/>
          <w:numId w:val="424"/>
        </w:numPr>
        <w:adjustRightInd w:val="0"/>
        <w:snapToGrid w:val="0"/>
        <w:spacing w:line="360" w:lineRule="auto"/>
        <w:ind w:right="4" w:hanging="660"/>
        <w:rPr>
          <w:rFonts w:ascii="Times New Roman"/>
        </w:rPr>
      </w:pPr>
      <w:r>
        <w:rPr>
          <w:rFonts w:ascii="Times New Roman" w:hint="eastAsia"/>
        </w:rPr>
        <w:t>修读完本课程规定内容的康复治疗学专业的本科学生；</w:t>
      </w:r>
    </w:p>
    <w:p w:rsidR="003717A0" w:rsidRDefault="003717A0">
      <w:pPr>
        <w:numPr>
          <w:ilvl w:val="0"/>
          <w:numId w:val="424"/>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通过考核来检查和了解学生对诊断学理论以及临床技能操作的掌握程度。</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（一）在校期间内科学诊断技能考核内容与方法</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w:t>
      </w:r>
      <w:r>
        <w:rPr>
          <w:rFonts w:ascii="宋体" w:hAnsi="宋体" w:hint="eastAsia"/>
          <w:szCs w:val="21"/>
        </w:rPr>
        <w:t>考核内容：症状评估和病史采集病历书写、实验室检查病例分析、心电图报告等。</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2</w:t>
      </w:r>
      <w:r>
        <w:rPr>
          <w:rFonts w:ascii="宋体"/>
          <w:szCs w:val="21"/>
        </w:rPr>
        <w:t>.</w:t>
      </w:r>
      <w:r>
        <w:rPr>
          <w:rFonts w:ascii="宋体" w:hAnsi="宋体" w:hint="eastAsia"/>
          <w:szCs w:val="21"/>
        </w:rPr>
        <w:t>成绩计算：占期末总成绩的</w:t>
      </w:r>
      <w:r>
        <w:rPr>
          <w:rFonts w:ascii="宋体" w:hAnsi="宋体"/>
          <w:szCs w:val="21"/>
        </w:rPr>
        <w:t>20%</w:t>
      </w:r>
      <w:r>
        <w:rPr>
          <w:rFonts w:ascii="宋体" w:hAnsi="宋体" w:hint="eastAsia"/>
          <w:szCs w:val="21"/>
        </w:rPr>
        <w:t>。</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（二）理论知识考试</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w:t>
      </w:r>
      <w:r>
        <w:rPr>
          <w:rFonts w:ascii="宋体" w:hAnsi="宋体" w:hint="eastAsia"/>
          <w:szCs w:val="21"/>
        </w:rPr>
        <w:t>考核内容：参照执业助理医生资格考试内容进行。</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2.</w:t>
      </w:r>
      <w:r>
        <w:rPr>
          <w:rFonts w:ascii="宋体" w:hAnsi="宋体" w:hint="eastAsia"/>
          <w:szCs w:val="21"/>
        </w:rPr>
        <w:t>考核方法：笔试</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80%</w:t>
      </w:r>
      <w:r>
        <w:rPr>
          <w:rFonts w:ascii="Times New Roman" w:hAnsi="宋体" w:hint="eastAsia"/>
          <w:szCs w:val="21"/>
        </w:rPr>
        <w:t>。</w:t>
      </w:r>
    </w:p>
    <w:p w:rsidR="003717A0" w:rsidRPr="00F5156D" w:rsidRDefault="003717A0" w:rsidP="00F5156D">
      <w:pPr>
        <w:autoSpaceDE w:val="0"/>
        <w:autoSpaceDN w:val="0"/>
        <w:adjustRightInd w:val="0"/>
        <w:snapToGrid w:val="0"/>
        <w:spacing w:line="360" w:lineRule="auto"/>
        <w:ind w:firstLineChars="193" w:firstLine="405"/>
        <w:jc w:val="left"/>
        <w:rPr>
          <w:rFonts w:ascii="Times New Roman" w:eastAsia="楷体_GB2312" w:hAnsi="Times New Roman"/>
          <w:sz w:val="24"/>
          <w:szCs w:val="24"/>
        </w:rPr>
      </w:pPr>
      <w:r>
        <w:rPr>
          <w:rFonts w:ascii="Times New Roman" w:hAnsi="宋体" w:hint="eastAsia"/>
          <w:szCs w:val="21"/>
        </w:rPr>
        <w:t>平时成绩占总成绩的</w:t>
      </w:r>
      <w:r>
        <w:rPr>
          <w:rFonts w:ascii="Times New Roman" w:hAnsi="Times New Roman"/>
          <w:szCs w:val="21"/>
        </w:rPr>
        <w:t>20%</w:t>
      </w:r>
      <w:r>
        <w:rPr>
          <w:rFonts w:ascii="Times New Roman"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诊断学课程考试试题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autoSpaceDE w:val="0"/>
        <w:autoSpaceDN w:val="0"/>
        <w:adjustRightInd w:val="0"/>
        <w:snapToGrid w:val="0"/>
        <w:spacing w:line="360" w:lineRule="auto"/>
        <w:jc w:val="left"/>
        <w:rPr>
          <w:rFonts w:ascii="Times New Roman" w:hAnsi="Times New Roman"/>
          <w:kern w:val="0"/>
          <w:sz w:val="22"/>
        </w:rPr>
      </w:pPr>
      <w:r>
        <w:rPr>
          <w:rFonts w:ascii="Times New Roman" w:hAnsi="Times New Roman" w:hint="eastAsia"/>
          <w:b/>
          <w:kern w:val="0"/>
          <w:sz w:val="22"/>
        </w:rPr>
        <w:t>一、选择题</w:t>
      </w:r>
      <w:r>
        <w:rPr>
          <w:rFonts w:ascii="宋体" w:hAnsi="宋体" w:hint="eastAsia"/>
          <w:szCs w:val="21"/>
        </w:rPr>
        <w:t>（每题</w:t>
      </w:r>
      <w:r>
        <w:rPr>
          <w:rFonts w:ascii="宋体" w:hAnsi="宋体"/>
          <w:szCs w:val="21"/>
        </w:rPr>
        <w:t>1</w:t>
      </w:r>
      <w:r>
        <w:rPr>
          <w:rFonts w:ascii="宋体" w:hAnsi="宋体" w:hint="eastAsia"/>
          <w:szCs w:val="21"/>
        </w:rPr>
        <w:t>分，共</w:t>
      </w:r>
      <w:r>
        <w:rPr>
          <w:rFonts w:ascii="宋体" w:hAnsi="宋体"/>
          <w:szCs w:val="21"/>
        </w:rPr>
        <w:t>20</w:t>
      </w:r>
      <w:r>
        <w:rPr>
          <w:rFonts w:ascii="宋体" w:hAnsi="宋体" w:hint="eastAsia"/>
          <w:szCs w:val="21"/>
        </w:rPr>
        <w:t>分</w:t>
      </w:r>
      <w:r>
        <w:rPr>
          <w:rFonts w:hAnsi="宋体" w:hint="eastAsia"/>
          <w:szCs w:val="21"/>
        </w:rPr>
        <w:t>）</w:t>
      </w:r>
      <w:r>
        <w:rPr>
          <w:rFonts w:ascii="Times New Roman" w:hAnsi="Times New Roman" w:hint="eastAsia"/>
          <w:kern w:val="0"/>
          <w:sz w:val="22"/>
        </w:rPr>
        <w:t>从被选答案中选出</w:t>
      </w:r>
      <w:r>
        <w:rPr>
          <w:rFonts w:ascii="Times New Roman" w:hAnsi="Times New Roman"/>
          <w:kern w:val="0"/>
          <w:sz w:val="22"/>
        </w:rPr>
        <w:t>1</w:t>
      </w:r>
      <w:r>
        <w:rPr>
          <w:rFonts w:ascii="Times New Roman" w:hAnsi="Times New Roman" w:hint="eastAsia"/>
          <w:kern w:val="0"/>
          <w:sz w:val="22"/>
        </w:rPr>
        <w:t>个最佳答案</w:t>
      </w:r>
    </w:p>
    <w:p w:rsidR="003717A0" w:rsidRDefault="003717A0">
      <w:pPr>
        <w:spacing w:line="360" w:lineRule="auto"/>
      </w:pPr>
      <w:r>
        <w:t>1.</w:t>
      </w:r>
      <w:r>
        <w:rPr>
          <w:rFonts w:hint="eastAsia"/>
        </w:rPr>
        <w:t>梨形心常见于</w:t>
      </w:r>
    </w:p>
    <w:p w:rsidR="003717A0" w:rsidRDefault="003717A0">
      <w:pPr>
        <w:spacing w:line="360" w:lineRule="auto"/>
        <w:ind w:firstLineChars="100" w:firstLine="210"/>
      </w:pPr>
      <w:r>
        <w:t>A</w:t>
      </w:r>
      <w:r>
        <w:rPr>
          <w:rFonts w:hint="eastAsia"/>
        </w:rPr>
        <w:t>．</w:t>
      </w:r>
      <w:r>
        <w:t xml:space="preserve"> </w:t>
      </w:r>
      <w:r>
        <w:rPr>
          <w:rFonts w:hint="eastAsia"/>
        </w:rPr>
        <w:t>三尖瓣狭窄</w:t>
      </w:r>
      <w:r>
        <w:t xml:space="preserve">     B. </w:t>
      </w:r>
      <w:r>
        <w:rPr>
          <w:rFonts w:hint="eastAsia"/>
        </w:rPr>
        <w:t>三尖瓣关闭不全</w:t>
      </w:r>
      <w:r>
        <w:t xml:space="preserve">     C. </w:t>
      </w:r>
      <w:r>
        <w:rPr>
          <w:rFonts w:hint="eastAsia"/>
        </w:rPr>
        <w:t>二尖瓣狭窄</w:t>
      </w:r>
      <w:r>
        <w:t xml:space="preserve">      D. </w:t>
      </w:r>
      <w:r>
        <w:rPr>
          <w:rFonts w:hint="eastAsia"/>
        </w:rPr>
        <w:t>主动脉瓣狭窄</w:t>
      </w:r>
    </w:p>
    <w:p w:rsidR="003717A0" w:rsidRDefault="003717A0">
      <w:pPr>
        <w:spacing w:line="360" w:lineRule="auto"/>
      </w:pPr>
      <w:r>
        <w:t>2.</w:t>
      </w:r>
      <w:r>
        <w:rPr>
          <w:rFonts w:hint="eastAsia"/>
        </w:rPr>
        <w:t>深吸气时，杂音增强见于那个疾病：</w:t>
      </w:r>
    </w:p>
    <w:p w:rsidR="003717A0" w:rsidRDefault="003717A0">
      <w:pPr>
        <w:spacing w:line="360" w:lineRule="auto"/>
        <w:ind w:firstLineChars="100" w:firstLine="210"/>
      </w:pPr>
      <w:r>
        <w:t xml:space="preserve">A </w:t>
      </w:r>
      <w:r>
        <w:rPr>
          <w:rFonts w:hint="eastAsia"/>
        </w:rPr>
        <w:t>二尖瓣关闭不全</w:t>
      </w:r>
      <w:r>
        <w:t xml:space="preserve">          B</w:t>
      </w:r>
      <w:r>
        <w:rPr>
          <w:rFonts w:hint="eastAsia"/>
        </w:rPr>
        <w:t>肺动脉瓣狭窄</w:t>
      </w:r>
    </w:p>
    <w:p w:rsidR="003717A0" w:rsidRDefault="003717A0">
      <w:pPr>
        <w:spacing w:line="360" w:lineRule="auto"/>
        <w:ind w:firstLineChars="100" w:firstLine="210"/>
      </w:pPr>
      <w:r>
        <w:t>C</w:t>
      </w:r>
      <w:r>
        <w:rPr>
          <w:rFonts w:hint="eastAsia"/>
        </w:rPr>
        <w:t>肺动脉瓣关闭不全</w:t>
      </w:r>
      <w:r>
        <w:t xml:space="preserve">        D</w:t>
      </w:r>
      <w:r>
        <w:rPr>
          <w:rFonts w:hint="eastAsia"/>
        </w:rPr>
        <w:t>肥厚梗阻型心脏病</w:t>
      </w:r>
    </w:p>
    <w:p w:rsidR="003717A0" w:rsidRDefault="003717A0">
      <w:pPr>
        <w:spacing w:line="360" w:lineRule="auto"/>
        <w:ind w:firstLineChars="100" w:firstLine="210"/>
      </w:pPr>
      <w:r>
        <w:t xml:space="preserve">E </w:t>
      </w:r>
      <w:r>
        <w:rPr>
          <w:rFonts w:hint="eastAsia"/>
        </w:rPr>
        <w:t>肺动脉瓣狭窄</w:t>
      </w:r>
    </w:p>
    <w:p w:rsidR="003717A0" w:rsidRDefault="003717A0">
      <w:pPr>
        <w:spacing w:line="360" w:lineRule="auto"/>
      </w:pPr>
      <w:r>
        <w:t>3.</w:t>
      </w:r>
      <w:r>
        <w:rPr>
          <w:rFonts w:hint="eastAsia"/>
        </w:rPr>
        <w:t>下列哪些疾病</w:t>
      </w:r>
      <w:r>
        <w:t>S1</w:t>
      </w:r>
      <w:r>
        <w:rPr>
          <w:rFonts w:hint="eastAsia"/>
        </w:rPr>
        <w:t>增强</w:t>
      </w:r>
      <w:r>
        <w:t xml:space="preserve"> </w:t>
      </w:r>
      <w:r>
        <w:rPr>
          <w:rFonts w:hint="eastAsia"/>
        </w:rPr>
        <w:t>：</w:t>
      </w:r>
    </w:p>
    <w:p w:rsidR="003717A0" w:rsidRDefault="003717A0">
      <w:pPr>
        <w:spacing w:line="360" w:lineRule="auto"/>
        <w:ind w:firstLineChars="100" w:firstLine="210"/>
      </w:pPr>
      <w:r>
        <w:t>A</w:t>
      </w:r>
      <w:r>
        <w:rPr>
          <w:rFonts w:hint="eastAsia"/>
        </w:rPr>
        <w:t>二尖瓣狭窄</w:t>
      </w:r>
      <w:r>
        <w:t xml:space="preserve">  B</w:t>
      </w:r>
      <w:r>
        <w:rPr>
          <w:rFonts w:hint="eastAsia"/>
        </w:rPr>
        <w:t>二尖瓣关闭不全</w:t>
      </w:r>
      <w:r>
        <w:t xml:space="preserve">    C</w:t>
      </w:r>
      <w:r>
        <w:rPr>
          <w:rFonts w:hint="eastAsia"/>
        </w:rPr>
        <w:t>心功能衰竭</w:t>
      </w:r>
      <w:r>
        <w:t xml:space="preserve">  D</w:t>
      </w:r>
      <w:r>
        <w:rPr>
          <w:rFonts w:hint="eastAsia"/>
        </w:rPr>
        <w:t>心肌梗塞</w:t>
      </w:r>
      <w:r>
        <w:t xml:space="preserve">    E</w:t>
      </w:r>
      <w:r>
        <w:rPr>
          <w:rFonts w:hint="eastAsia"/>
        </w:rPr>
        <w:t>肺动脉瓣狭窄</w:t>
      </w:r>
    </w:p>
    <w:p w:rsidR="003717A0" w:rsidRDefault="003717A0">
      <w:pPr>
        <w:adjustRightInd w:val="0"/>
        <w:snapToGrid w:val="0"/>
        <w:spacing w:line="360" w:lineRule="auto"/>
      </w:pPr>
      <w:r>
        <w:t xml:space="preserve">4. </w:t>
      </w:r>
      <w:r>
        <w:rPr>
          <w:rFonts w:hint="eastAsia"/>
        </w:rPr>
        <w:t>血尿伴水肿、蛋白尿、高血压见于</w:t>
      </w:r>
    </w:p>
    <w:p w:rsidR="003717A0" w:rsidRDefault="003717A0">
      <w:pPr>
        <w:adjustRightInd w:val="0"/>
        <w:snapToGrid w:val="0"/>
        <w:spacing w:line="360" w:lineRule="auto"/>
        <w:ind w:firstLineChars="100" w:firstLine="210"/>
      </w:pPr>
      <w:r>
        <w:t xml:space="preserve">A. </w:t>
      </w:r>
      <w:r>
        <w:rPr>
          <w:rFonts w:hint="eastAsia"/>
        </w:rPr>
        <w:t>肾或输尿管结石</w:t>
      </w:r>
      <w:r>
        <w:t xml:space="preserve">    B. </w:t>
      </w:r>
      <w:r>
        <w:rPr>
          <w:rFonts w:hint="eastAsia"/>
        </w:rPr>
        <w:t>膀胱炎</w:t>
      </w:r>
      <w:r>
        <w:t xml:space="preserve">  C. </w:t>
      </w:r>
      <w:r>
        <w:rPr>
          <w:rFonts w:hint="eastAsia"/>
        </w:rPr>
        <w:t>出血性疾病</w:t>
      </w:r>
      <w:r>
        <w:t xml:space="preserve">  D. </w:t>
      </w:r>
      <w:r>
        <w:rPr>
          <w:rFonts w:hint="eastAsia"/>
        </w:rPr>
        <w:t>肾小球肾炎</w:t>
      </w:r>
    </w:p>
    <w:p w:rsidR="003717A0" w:rsidRDefault="003717A0">
      <w:pPr>
        <w:adjustRightInd w:val="0"/>
        <w:snapToGrid w:val="0"/>
        <w:spacing w:line="360" w:lineRule="auto"/>
      </w:pPr>
      <w:r>
        <w:lastRenderedPageBreak/>
        <w:t>5</w:t>
      </w:r>
      <w:r>
        <w:rPr>
          <w:rFonts w:hint="eastAsia"/>
        </w:rPr>
        <w:t>下列那项检查不是漏出液特点</w:t>
      </w:r>
    </w:p>
    <w:p w:rsidR="003717A0" w:rsidRDefault="003717A0">
      <w:pPr>
        <w:adjustRightInd w:val="0"/>
        <w:snapToGrid w:val="0"/>
        <w:spacing w:line="360" w:lineRule="auto"/>
        <w:ind w:firstLineChars="100" w:firstLine="210"/>
      </w:pPr>
      <w:r>
        <w:t xml:space="preserve">A. </w:t>
      </w:r>
      <w:r>
        <w:rPr>
          <w:rFonts w:hint="eastAsia"/>
        </w:rPr>
        <w:t>比重＜</w:t>
      </w:r>
      <w:r>
        <w:t>1.018  B. Rivalta</w:t>
      </w:r>
      <w:r>
        <w:rPr>
          <w:rFonts w:hint="eastAsia"/>
        </w:rPr>
        <w:t>试验阴性</w:t>
      </w:r>
      <w:r>
        <w:t xml:space="preserve">  C. </w:t>
      </w:r>
      <w:r>
        <w:rPr>
          <w:rFonts w:hint="eastAsia"/>
        </w:rPr>
        <w:t>蛋白定量＞</w:t>
      </w:r>
      <w:r>
        <w:t xml:space="preserve">30g/L  D. </w:t>
      </w:r>
      <w:r>
        <w:rPr>
          <w:rFonts w:hint="eastAsia"/>
        </w:rPr>
        <w:t>不能自凝</w:t>
      </w:r>
    </w:p>
    <w:p w:rsidR="003717A0" w:rsidRDefault="003717A0">
      <w:pPr>
        <w:spacing w:line="360" w:lineRule="auto"/>
      </w:pPr>
      <w:r>
        <w:t xml:space="preserve">6 </w:t>
      </w:r>
      <w:r>
        <w:rPr>
          <w:rFonts w:hint="eastAsia"/>
        </w:rPr>
        <w:t>痰白粘稠且牵拉成丝难以咳出，提示：</w:t>
      </w:r>
    </w:p>
    <w:p w:rsidR="003717A0" w:rsidRDefault="003717A0">
      <w:pPr>
        <w:spacing w:line="360" w:lineRule="auto"/>
        <w:ind w:left="420"/>
      </w:pPr>
      <w:r>
        <w:t xml:space="preserve">A.  </w:t>
      </w:r>
      <w:r>
        <w:rPr>
          <w:rFonts w:hint="eastAsia"/>
        </w:rPr>
        <w:t>肺炎球菌肺炎</w:t>
      </w:r>
      <w:r>
        <w:t xml:space="preserve"> B. </w:t>
      </w:r>
      <w:r>
        <w:rPr>
          <w:rFonts w:hint="eastAsia"/>
        </w:rPr>
        <w:t>真菌感染</w:t>
      </w:r>
      <w:r>
        <w:t xml:space="preserve">  C. </w:t>
      </w:r>
      <w:r>
        <w:rPr>
          <w:rFonts w:hint="eastAsia"/>
        </w:rPr>
        <w:t>铜绿假单胞菌感染</w:t>
      </w:r>
      <w:r>
        <w:t xml:space="preserve">  D. </w:t>
      </w:r>
      <w:r>
        <w:rPr>
          <w:rFonts w:hint="eastAsia"/>
        </w:rPr>
        <w:t>肺水肿</w:t>
      </w:r>
      <w:r>
        <w:t xml:space="preserve">  E. </w:t>
      </w:r>
      <w:r>
        <w:rPr>
          <w:rFonts w:hint="eastAsia"/>
        </w:rPr>
        <w:t>肺泡细胞癌</w:t>
      </w:r>
    </w:p>
    <w:p w:rsidR="003717A0" w:rsidRDefault="003717A0">
      <w:pPr>
        <w:spacing w:line="360" w:lineRule="auto"/>
      </w:pPr>
      <w:r>
        <w:t>7</w:t>
      </w:r>
      <w:r>
        <w:rPr>
          <w:rFonts w:hint="eastAsia"/>
        </w:rPr>
        <w:t>判断呼吸衰竭的类型与程度的动脉血气指标是：</w:t>
      </w:r>
    </w:p>
    <w:p w:rsidR="003717A0" w:rsidRDefault="003717A0">
      <w:pPr>
        <w:spacing w:line="360" w:lineRule="auto"/>
        <w:ind w:left="1050" w:hanging="630"/>
      </w:pPr>
      <w:r>
        <w:t>A. PaCO2</w:t>
      </w:r>
      <w:r>
        <w:rPr>
          <w:rFonts w:hint="eastAsia"/>
        </w:rPr>
        <w:t>和</w:t>
      </w:r>
      <w:r>
        <w:t xml:space="preserve">PaO2                 B. PH </w:t>
      </w:r>
      <w:r>
        <w:rPr>
          <w:rFonts w:hint="eastAsia"/>
        </w:rPr>
        <w:t>﹑</w:t>
      </w:r>
      <w:r>
        <w:t xml:space="preserve">PaO2 </w:t>
      </w:r>
      <w:r>
        <w:rPr>
          <w:rFonts w:hint="eastAsia"/>
        </w:rPr>
        <w:t>和</w:t>
      </w:r>
      <w:r>
        <w:t xml:space="preserve">HCO3   </w:t>
      </w:r>
    </w:p>
    <w:p w:rsidR="003717A0" w:rsidRDefault="003717A0">
      <w:pPr>
        <w:spacing w:line="360" w:lineRule="auto"/>
        <w:ind w:left="420"/>
      </w:pPr>
      <w:r>
        <w:t xml:space="preserve">C.PH </w:t>
      </w:r>
      <w:r>
        <w:rPr>
          <w:rFonts w:hint="eastAsia"/>
        </w:rPr>
        <w:t>﹑</w:t>
      </w:r>
      <w:r>
        <w:t xml:space="preserve">PaCO2 </w:t>
      </w:r>
      <w:r>
        <w:rPr>
          <w:rFonts w:hint="eastAsia"/>
        </w:rPr>
        <w:t>和</w:t>
      </w:r>
      <w:r>
        <w:t>HCO3           D. SaO2</w:t>
      </w:r>
      <w:r>
        <w:rPr>
          <w:rFonts w:hint="eastAsia"/>
        </w:rPr>
        <w:t>和</w:t>
      </w:r>
      <w:r>
        <w:t xml:space="preserve">PaO2   </w:t>
      </w:r>
    </w:p>
    <w:p w:rsidR="003717A0" w:rsidRDefault="003717A0">
      <w:pPr>
        <w:spacing w:line="360" w:lineRule="auto"/>
        <w:ind w:firstLine="420"/>
      </w:pPr>
      <w:r>
        <w:t>E. SaO2</w:t>
      </w:r>
      <w:r>
        <w:rPr>
          <w:rFonts w:hint="eastAsia"/>
        </w:rPr>
        <w:t>和</w:t>
      </w:r>
      <w:r>
        <w:t>PaCO2</w:t>
      </w:r>
    </w:p>
    <w:p w:rsidR="003717A0" w:rsidRDefault="003717A0">
      <w:pPr>
        <w:spacing w:line="360" w:lineRule="auto"/>
      </w:pPr>
      <w:r>
        <w:t xml:space="preserve">8. </w:t>
      </w:r>
      <w:r>
        <w:rPr>
          <w:rFonts w:hint="eastAsia"/>
        </w:rPr>
        <w:t>通气功能是指单位时间内随呼吸运动出入肺的气量和流速，又称</w:t>
      </w:r>
      <w:r>
        <w:t xml:space="preserve">:  </w:t>
      </w:r>
    </w:p>
    <w:p w:rsidR="003717A0" w:rsidRDefault="003717A0">
      <w:pPr>
        <w:numPr>
          <w:ilvl w:val="0"/>
          <w:numId w:val="425"/>
        </w:numPr>
        <w:spacing w:line="360" w:lineRule="auto"/>
      </w:pPr>
      <w:r>
        <w:rPr>
          <w:rFonts w:hint="eastAsia"/>
        </w:rPr>
        <w:t>基础肺容积</w:t>
      </w:r>
      <w:r>
        <w:t xml:space="preserve">    B.</w:t>
      </w:r>
      <w:r>
        <w:rPr>
          <w:rFonts w:hint="eastAsia"/>
        </w:rPr>
        <w:t>基础肺容量</w:t>
      </w:r>
      <w:r>
        <w:t xml:space="preserve">    C. </w:t>
      </w:r>
      <w:r>
        <w:rPr>
          <w:rFonts w:hint="eastAsia"/>
        </w:rPr>
        <w:t>动态肺容积</w:t>
      </w:r>
      <w:r>
        <w:t xml:space="preserve"> </w:t>
      </w:r>
    </w:p>
    <w:p w:rsidR="003717A0" w:rsidRDefault="003717A0">
      <w:pPr>
        <w:spacing w:line="360" w:lineRule="auto"/>
        <w:ind w:firstLineChars="200" w:firstLine="420"/>
      </w:pPr>
      <w:r>
        <w:t xml:space="preserve">D. </w:t>
      </w:r>
      <w:r>
        <w:rPr>
          <w:rFonts w:hint="eastAsia"/>
        </w:rPr>
        <w:t>动态肺容量</w:t>
      </w:r>
      <w:r>
        <w:t xml:space="preserve">    E.</w:t>
      </w:r>
      <w:r>
        <w:rPr>
          <w:rFonts w:hint="eastAsia"/>
        </w:rPr>
        <w:t>用力肺活量</w:t>
      </w:r>
    </w:p>
    <w:p w:rsidR="003717A0" w:rsidRDefault="003717A0">
      <w:pPr>
        <w:spacing w:line="360" w:lineRule="auto"/>
      </w:pPr>
      <w:r>
        <w:t xml:space="preserve">9. </w:t>
      </w:r>
      <w:r>
        <w:rPr>
          <w:rFonts w:hint="eastAsia"/>
        </w:rPr>
        <w:t>扁平胸见于下列哪种患者：</w:t>
      </w:r>
    </w:p>
    <w:p w:rsidR="003717A0" w:rsidRDefault="003717A0">
      <w:pPr>
        <w:spacing w:line="360" w:lineRule="auto"/>
        <w:ind w:firstLineChars="150" w:firstLine="315"/>
      </w:pPr>
      <w:r>
        <w:t>A</w:t>
      </w:r>
      <w:r>
        <w:rPr>
          <w:rFonts w:hint="eastAsia"/>
        </w:rPr>
        <w:t>肺结核</w:t>
      </w:r>
      <w:r>
        <w:t xml:space="preserve">  B.</w:t>
      </w:r>
      <w:r>
        <w:rPr>
          <w:rFonts w:hint="eastAsia"/>
        </w:rPr>
        <w:t>严重肺气肿</w:t>
      </w:r>
      <w:r>
        <w:t xml:space="preserve"> C. </w:t>
      </w:r>
      <w:r>
        <w:rPr>
          <w:rFonts w:hint="eastAsia"/>
        </w:rPr>
        <w:t>佝偻病</w:t>
      </w:r>
      <w:r>
        <w:t xml:space="preserve"> D.</w:t>
      </w:r>
      <w:r>
        <w:rPr>
          <w:rFonts w:hint="eastAsia"/>
        </w:rPr>
        <w:t>大量胸腔积液</w:t>
      </w:r>
      <w:r>
        <w:t xml:space="preserve">  E.</w:t>
      </w:r>
      <w:r>
        <w:rPr>
          <w:rFonts w:hint="eastAsia"/>
        </w:rPr>
        <w:t>肺气肿</w:t>
      </w:r>
    </w:p>
    <w:p w:rsidR="003717A0" w:rsidRDefault="003717A0">
      <w:pPr>
        <w:autoSpaceDE w:val="0"/>
        <w:autoSpaceDN w:val="0"/>
        <w:adjustRightInd w:val="0"/>
        <w:snapToGrid w:val="0"/>
        <w:spacing w:line="360" w:lineRule="auto"/>
        <w:ind w:firstLineChars="193" w:firstLine="405"/>
        <w:jc w:val="left"/>
      </w:pPr>
      <w:r>
        <w:t>10.</w:t>
      </w:r>
      <w:r>
        <w:rPr>
          <w:rFonts w:hint="eastAsia"/>
        </w:rPr>
        <w:t>呕血最常见的原因是</w:t>
      </w:r>
      <w:r>
        <w:t>:</w:t>
      </w:r>
    </w:p>
    <w:p w:rsidR="003717A0" w:rsidRDefault="003717A0">
      <w:pPr>
        <w:spacing w:line="360" w:lineRule="auto"/>
        <w:ind w:firstLineChars="150" w:firstLine="315"/>
      </w:pPr>
      <w:r>
        <w:t>A.</w:t>
      </w:r>
      <w:r>
        <w:rPr>
          <w:rFonts w:hint="eastAsia"/>
        </w:rPr>
        <w:t>胃癌</w:t>
      </w:r>
      <w:r>
        <w:t xml:space="preserve">   B.</w:t>
      </w:r>
      <w:r>
        <w:rPr>
          <w:rFonts w:hint="eastAsia"/>
        </w:rPr>
        <w:t>急性胃黏膜病变</w:t>
      </w:r>
      <w:r>
        <w:t xml:space="preserve">   C.</w:t>
      </w:r>
      <w:r>
        <w:rPr>
          <w:rFonts w:hint="eastAsia"/>
        </w:rPr>
        <w:t>食管胃底静脉曲张破裂</w:t>
      </w:r>
      <w:r>
        <w:t xml:space="preserve">  </w:t>
      </w:r>
    </w:p>
    <w:p w:rsidR="003717A0" w:rsidRDefault="003717A0">
      <w:pPr>
        <w:spacing w:line="360" w:lineRule="auto"/>
        <w:ind w:firstLineChars="150" w:firstLine="315"/>
      </w:pPr>
      <w:r>
        <w:t>D.</w:t>
      </w:r>
      <w:r>
        <w:rPr>
          <w:rFonts w:hint="eastAsia"/>
        </w:rPr>
        <w:t>消化性溃疡</w:t>
      </w:r>
      <w:r>
        <w:t xml:space="preserve">      E.</w:t>
      </w:r>
      <w:r>
        <w:rPr>
          <w:rFonts w:hint="eastAsia"/>
        </w:rPr>
        <w:t>肝癌</w:t>
      </w:r>
    </w:p>
    <w:p w:rsidR="003717A0" w:rsidRDefault="003717A0">
      <w:pPr>
        <w:spacing w:line="360" w:lineRule="auto"/>
      </w:pPr>
      <w:r>
        <w:t>11</w:t>
      </w:r>
      <w:r>
        <w:rPr>
          <w:rFonts w:hint="eastAsia"/>
        </w:rPr>
        <w:t>肝浊音界消失见于下列哪种情况：</w:t>
      </w:r>
      <w:r>
        <w:t xml:space="preserve"> </w:t>
      </w:r>
    </w:p>
    <w:p w:rsidR="003717A0" w:rsidRDefault="003717A0">
      <w:pPr>
        <w:spacing w:line="360" w:lineRule="auto"/>
        <w:ind w:firstLineChars="150" w:firstLine="315"/>
      </w:pPr>
      <w:r>
        <w:t>A</w:t>
      </w:r>
      <w:r>
        <w:rPr>
          <w:rFonts w:hint="eastAsia"/>
        </w:rPr>
        <w:t>急性胃肠穿孔</w:t>
      </w:r>
      <w:r>
        <w:t xml:space="preserve">        B</w:t>
      </w:r>
      <w:r>
        <w:rPr>
          <w:rFonts w:hint="eastAsia"/>
        </w:rPr>
        <w:t>急性胰腺炎</w:t>
      </w:r>
    </w:p>
    <w:p w:rsidR="003717A0" w:rsidRDefault="003717A0">
      <w:pPr>
        <w:spacing w:line="360" w:lineRule="auto"/>
        <w:ind w:firstLineChars="150" w:firstLine="315"/>
      </w:pPr>
      <w:r>
        <w:t>C</w:t>
      </w:r>
      <w:r>
        <w:rPr>
          <w:rFonts w:hint="eastAsia"/>
        </w:rPr>
        <w:t>急性阑尾炎</w:t>
      </w:r>
      <w:r>
        <w:t xml:space="preserve">          D</w:t>
      </w:r>
      <w:r>
        <w:rPr>
          <w:rFonts w:hint="eastAsia"/>
        </w:rPr>
        <w:t>急性肠梗阻</w:t>
      </w:r>
    </w:p>
    <w:p w:rsidR="003717A0" w:rsidRDefault="003717A0">
      <w:pPr>
        <w:spacing w:line="360" w:lineRule="auto"/>
      </w:pPr>
      <w:r>
        <w:t>12</w:t>
      </w:r>
      <w:r>
        <w:rPr>
          <w:rFonts w:hint="eastAsia"/>
        </w:rPr>
        <w:t>患者王某，腹部体检见腹壁浅静脉曲张，脐以上血流方向由下至上，脐以下血流由下至上，该患者可能是下列哪种情况：</w:t>
      </w:r>
      <w:r>
        <w:t xml:space="preserve"> </w:t>
      </w:r>
    </w:p>
    <w:p w:rsidR="003717A0" w:rsidRDefault="003717A0">
      <w:pPr>
        <w:spacing w:line="360" w:lineRule="auto"/>
        <w:ind w:leftChars="50" w:left="105" w:firstLineChars="100" w:firstLine="210"/>
      </w:pPr>
      <w:r>
        <w:t>A</w:t>
      </w:r>
      <w:r>
        <w:rPr>
          <w:rFonts w:hint="eastAsia"/>
        </w:rPr>
        <w:t>上腔静脉阻塞</w:t>
      </w:r>
      <w:r>
        <w:t xml:space="preserve">         B</w:t>
      </w:r>
      <w:r>
        <w:rPr>
          <w:rFonts w:hint="eastAsia"/>
        </w:rPr>
        <w:t>下腔静脉阻塞</w:t>
      </w:r>
    </w:p>
    <w:p w:rsidR="003717A0" w:rsidRDefault="003717A0">
      <w:pPr>
        <w:spacing w:line="360" w:lineRule="auto"/>
        <w:ind w:leftChars="50" w:left="105" w:firstLineChars="100" w:firstLine="210"/>
      </w:pPr>
      <w:r>
        <w:t>C</w:t>
      </w:r>
      <w:r>
        <w:rPr>
          <w:rFonts w:hint="eastAsia"/>
        </w:rPr>
        <w:t>门脉高压</w:t>
      </w:r>
      <w:r>
        <w:t xml:space="preserve">             D</w:t>
      </w:r>
      <w:r>
        <w:rPr>
          <w:rFonts w:hint="eastAsia"/>
        </w:rPr>
        <w:t>髂内静脉阻塞</w:t>
      </w:r>
    </w:p>
    <w:p w:rsidR="003717A0" w:rsidRDefault="003717A0">
      <w:pPr>
        <w:spacing w:line="360" w:lineRule="auto"/>
        <w:ind w:leftChars="50" w:left="105" w:firstLineChars="100" w:firstLine="210"/>
      </w:pPr>
      <w:r>
        <w:t>E</w:t>
      </w:r>
      <w:r>
        <w:rPr>
          <w:rFonts w:hint="eastAsia"/>
        </w:rPr>
        <w:t>髂外静脉阻塞</w:t>
      </w:r>
    </w:p>
    <w:p w:rsidR="003717A0" w:rsidRDefault="003717A0">
      <w:pPr>
        <w:spacing w:line="360" w:lineRule="auto"/>
      </w:pPr>
      <w:r>
        <w:t>13</w:t>
      </w:r>
      <w:r>
        <w:rPr>
          <w:rFonts w:hint="eastAsia"/>
        </w:rPr>
        <w:t>．大量腹水患者肝、脾的触诊，最适宜用</w:t>
      </w:r>
    </w:p>
    <w:p w:rsidR="003717A0" w:rsidRDefault="003717A0">
      <w:pPr>
        <w:spacing w:line="360" w:lineRule="auto"/>
      </w:pPr>
      <w:r>
        <w:t xml:space="preserve">   A</w:t>
      </w:r>
      <w:r>
        <w:rPr>
          <w:rFonts w:hint="eastAsia"/>
        </w:rPr>
        <w:t>冲击触诊法</w:t>
      </w:r>
      <w:r>
        <w:t xml:space="preserve">   B </w:t>
      </w:r>
      <w:r>
        <w:rPr>
          <w:rFonts w:hint="eastAsia"/>
        </w:rPr>
        <w:t>深压触诊法</w:t>
      </w:r>
      <w:r>
        <w:t xml:space="preserve">  C </w:t>
      </w:r>
      <w:r>
        <w:rPr>
          <w:rFonts w:hint="eastAsia"/>
        </w:rPr>
        <w:t>深部滑行触诊法</w:t>
      </w:r>
      <w:r>
        <w:t xml:space="preserve">  D </w:t>
      </w:r>
      <w:r>
        <w:rPr>
          <w:rFonts w:hint="eastAsia"/>
        </w:rPr>
        <w:t>双手触诊法</w:t>
      </w:r>
      <w:r>
        <w:t xml:space="preserve">  E</w:t>
      </w:r>
      <w:r>
        <w:rPr>
          <w:rFonts w:hint="eastAsia"/>
        </w:rPr>
        <w:t>浅部触诊法</w:t>
      </w:r>
    </w:p>
    <w:p w:rsidR="003717A0" w:rsidRDefault="003717A0">
      <w:pPr>
        <w:spacing w:line="360" w:lineRule="auto"/>
      </w:pPr>
      <w:r>
        <w:t>14</w:t>
      </w:r>
      <w:r>
        <w:rPr>
          <w:rFonts w:hint="eastAsia"/>
        </w:rPr>
        <w:t>．口测法正常体温为</w:t>
      </w:r>
    </w:p>
    <w:p w:rsidR="003717A0" w:rsidRDefault="003717A0">
      <w:pPr>
        <w:spacing w:line="360" w:lineRule="auto"/>
      </w:pPr>
      <w:r>
        <w:t xml:space="preserve">   A 36</w:t>
      </w:r>
      <w:r>
        <w:rPr>
          <w:rFonts w:hint="eastAsia"/>
        </w:rPr>
        <w:t>℃</w:t>
      </w:r>
      <w:r>
        <w:t>--37</w:t>
      </w:r>
      <w:r>
        <w:rPr>
          <w:rFonts w:hint="eastAsia"/>
        </w:rPr>
        <w:t>℃</w:t>
      </w:r>
      <w:r>
        <w:t xml:space="preserve">  B 36.3</w:t>
      </w:r>
      <w:r>
        <w:rPr>
          <w:rFonts w:hint="eastAsia"/>
        </w:rPr>
        <w:t>℃</w:t>
      </w:r>
      <w:r>
        <w:t>--37.2</w:t>
      </w:r>
      <w:r>
        <w:rPr>
          <w:rFonts w:hint="eastAsia"/>
        </w:rPr>
        <w:t>℃</w:t>
      </w:r>
      <w:r>
        <w:t xml:space="preserve">   C 36.5</w:t>
      </w:r>
      <w:r>
        <w:rPr>
          <w:rFonts w:hint="eastAsia"/>
        </w:rPr>
        <w:t>℃</w:t>
      </w:r>
      <w:r>
        <w:t>--37.5</w:t>
      </w:r>
      <w:r>
        <w:rPr>
          <w:rFonts w:hint="eastAsia"/>
        </w:rPr>
        <w:t>℃</w:t>
      </w:r>
      <w:r>
        <w:t xml:space="preserve">   D 35</w:t>
      </w:r>
      <w:r>
        <w:rPr>
          <w:rFonts w:hint="eastAsia"/>
        </w:rPr>
        <w:t>℃</w:t>
      </w:r>
      <w:r>
        <w:t>--37.2</w:t>
      </w:r>
      <w:r>
        <w:rPr>
          <w:rFonts w:hint="eastAsia"/>
        </w:rPr>
        <w:t>℃</w:t>
      </w:r>
      <w:r>
        <w:t xml:space="preserve">   E35</w:t>
      </w:r>
      <w:r>
        <w:rPr>
          <w:rFonts w:hint="eastAsia"/>
        </w:rPr>
        <w:t>℃</w:t>
      </w:r>
      <w:r>
        <w:t>--36</w:t>
      </w:r>
      <w:r>
        <w:rPr>
          <w:rFonts w:hint="eastAsia"/>
        </w:rPr>
        <w:t>℃</w:t>
      </w:r>
    </w:p>
    <w:p w:rsidR="003717A0" w:rsidRDefault="003717A0">
      <w:pPr>
        <w:spacing w:line="360" w:lineRule="auto"/>
      </w:pPr>
      <w:r>
        <w:t>15</w:t>
      </w:r>
      <w:r>
        <w:rPr>
          <w:rFonts w:hint="eastAsia"/>
        </w:rPr>
        <w:t>、下壁心肌梗死出现特征性</w:t>
      </w:r>
      <w:r>
        <w:t>ECG</w:t>
      </w:r>
      <w:r>
        <w:rPr>
          <w:rFonts w:hint="eastAsia"/>
        </w:rPr>
        <w:t>改变的导联是：</w:t>
      </w:r>
      <w:r>
        <w:t xml:space="preserve">             </w:t>
      </w:r>
    </w:p>
    <w:p w:rsidR="003717A0" w:rsidRDefault="003717A0">
      <w:pPr>
        <w:spacing w:line="360" w:lineRule="auto"/>
        <w:ind w:left="420"/>
      </w:pPr>
      <w:r>
        <w:t xml:space="preserve">A </w:t>
      </w:r>
      <w:r>
        <w:rPr>
          <w:rFonts w:hint="eastAsia"/>
        </w:rPr>
        <w:t>Ⅰ、</w:t>
      </w:r>
      <w:r>
        <w:t>aVL</w:t>
      </w:r>
      <w:r>
        <w:rPr>
          <w:rFonts w:hint="eastAsia"/>
        </w:rPr>
        <w:t>、</w:t>
      </w:r>
      <w:r>
        <w:t>V5</w:t>
      </w:r>
    </w:p>
    <w:p w:rsidR="003717A0" w:rsidRDefault="003717A0">
      <w:pPr>
        <w:spacing w:line="360" w:lineRule="auto"/>
        <w:ind w:left="420"/>
      </w:pPr>
      <w:r>
        <w:lastRenderedPageBreak/>
        <w:t xml:space="preserve">B </w:t>
      </w:r>
      <w:r>
        <w:rPr>
          <w:rFonts w:hint="eastAsia"/>
        </w:rPr>
        <w:t>Ⅱ、Ⅲ、</w:t>
      </w:r>
      <w:r>
        <w:t>aVF</w:t>
      </w:r>
    </w:p>
    <w:p w:rsidR="003717A0" w:rsidRDefault="003717A0">
      <w:pPr>
        <w:spacing w:line="360" w:lineRule="auto"/>
        <w:ind w:left="420"/>
        <w:rPr>
          <w:lang w:val="pt-BR"/>
        </w:rPr>
      </w:pPr>
      <w:r>
        <w:rPr>
          <w:lang w:val="pt-BR"/>
        </w:rPr>
        <w:t>C V1</w:t>
      </w:r>
      <w:r>
        <w:rPr>
          <w:rFonts w:hint="eastAsia"/>
        </w:rPr>
        <w:t>、</w:t>
      </w:r>
      <w:r>
        <w:rPr>
          <w:lang w:val="pt-BR"/>
        </w:rPr>
        <w:t>V2</w:t>
      </w:r>
      <w:r>
        <w:rPr>
          <w:rFonts w:hint="eastAsia"/>
        </w:rPr>
        <w:t>、</w:t>
      </w:r>
      <w:r>
        <w:rPr>
          <w:lang w:val="pt-BR"/>
        </w:rPr>
        <w:t>V3</w:t>
      </w:r>
    </w:p>
    <w:p w:rsidR="003717A0" w:rsidRDefault="003717A0">
      <w:pPr>
        <w:spacing w:line="360" w:lineRule="auto"/>
        <w:ind w:left="420"/>
        <w:rPr>
          <w:lang w:val="pt-BR"/>
        </w:rPr>
      </w:pPr>
      <w:r>
        <w:rPr>
          <w:lang w:val="pt-BR"/>
        </w:rPr>
        <w:t>D V3R</w:t>
      </w:r>
      <w:r>
        <w:rPr>
          <w:rFonts w:hint="eastAsia"/>
        </w:rPr>
        <w:t>、</w:t>
      </w:r>
      <w:r>
        <w:rPr>
          <w:lang w:val="pt-BR"/>
        </w:rPr>
        <w:t>V4 R</w:t>
      </w:r>
      <w:r>
        <w:rPr>
          <w:rFonts w:hint="eastAsia"/>
        </w:rPr>
        <w:t>、</w:t>
      </w:r>
      <w:r>
        <w:rPr>
          <w:lang w:val="pt-BR"/>
        </w:rPr>
        <w:t>V5R</w:t>
      </w:r>
    </w:p>
    <w:p w:rsidR="003717A0" w:rsidRDefault="003717A0">
      <w:pPr>
        <w:spacing w:line="360" w:lineRule="auto"/>
      </w:pPr>
      <w:r>
        <w:t>16</w:t>
      </w:r>
      <w:r>
        <w:rPr>
          <w:rFonts w:hint="eastAsia"/>
        </w:rPr>
        <w:t>、某患者，女，</w:t>
      </w:r>
      <w:r>
        <w:t>42</w:t>
      </w:r>
      <w:r>
        <w:rPr>
          <w:rFonts w:hint="eastAsia"/>
        </w:rPr>
        <w:t>岁，突发性心慌</w:t>
      </w:r>
      <w:r>
        <w:t>1</w:t>
      </w:r>
      <w:r>
        <w:rPr>
          <w:rFonts w:hint="eastAsia"/>
        </w:rPr>
        <w:t>小时，查心电图：</w:t>
      </w:r>
      <w:r>
        <w:t>P</w:t>
      </w:r>
      <w:r>
        <w:rPr>
          <w:rFonts w:hint="eastAsia"/>
        </w:rPr>
        <w:t>波消失代之以连续的大锯齿状</w:t>
      </w:r>
      <w:r>
        <w:t>F</w:t>
      </w:r>
      <w:r>
        <w:rPr>
          <w:rFonts w:hint="eastAsia"/>
        </w:rPr>
        <w:t>波，频率</w:t>
      </w:r>
      <w:r>
        <w:t>300</w:t>
      </w:r>
      <w:r>
        <w:rPr>
          <w:rFonts w:hint="eastAsia"/>
        </w:rPr>
        <w:t>次</w:t>
      </w:r>
      <w:r>
        <w:t>/</w:t>
      </w:r>
      <w:r>
        <w:rPr>
          <w:rFonts w:hint="eastAsia"/>
        </w:rPr>
        <w:t>分，心室率</w:t>
      </w:r>
      <w:r>
        <w:t>150</w:t>
      </w:r>
      <w:r>
        <w:rPr>
          <w:rFonts w:hint="eastAsia"/>
        </w:rPr>
        <w:t>次</w:t>
      </w:r>
      <w:r>
        <w:t>/</w:t>
      </w:r>
      <w:r>
        <w:rPr>
          <w:rFonts w:hint="eastAsia"/>
        </w:rPr>
        <w:t>分。应考虑为：</w:t>
      </w:r>
      <w:r>
        <w:t xml:space="preserve">                  </w:t>
      </w:r>
    </w:p>
    <w:p w:rsidR="003717A0" w:rsidRDefault="003717A0">
      <w:pPr>
        <w:spacing w:line="360" w:lineRule="auto"/>
        <w:ind w:left="435"/>
      </w:pPr>
      <w:r>
        <w:t>A</w:t>
      </w:r>
      <w:r>
        <w:rPr>
          <w:rFonts w:hint="eastAsia"/>
        </w:rPr>
        <w:t>心房颤动</w:t>
      </w:r>
      <w:r>
        <w:t xml:space="preserve">                    B. </w:t>
      </w:r>
      <w:r>
        <w:rPr>
          <w:rFonts w:hint="eastAsia"/>
        </w:rPr>
        <w:t>心房扑动</w:t>
      </w:r>
    </w:p>
    <w:p w:rsidR="003717A0" w:rsidRDefault="003717A0">
      <w:pPr>
        <w:spacing w:line="360" w:lineRule="auto"/>
        <w:ind w:left="435"/>
      </w:pPr>
      <w:r>
        <w:t>C</w:t>
      </w:r>
      <w:r>
        <w:rPr>
          <w:rFonts w:hint="eastAsia"/>
        </w:rPr>
        <w:t>完全性房室传导阻滞</w:t>
      </w:r>
      <w:r>
        <w:t xml:space="preserve">          D</w:t>
      </w:r>
      <w:r>
        <w:rPr>
          <w:rFonts w:hint="eastAsia"/>
        </w:rPr>
        <w:t>早搏</w:t>
      </w:r>
    </w:p>
    <w:p w:rsidR="003717A0" w:rsidRDefault="003717A0">
      <w:pPr>
        <w:spacing w:line="360" w:lineRule="auto"/>
      </w:pPr>
      <w:r>
        <w:t xml:space="preserve">17 </w:t>
      </w:r>
      <w:r>
        <w:rPr>
          <w:rFonts w:hint="eastAsia"/>
        </w:rPr>
        <w:t>血清脂蛋白中哪一种被认为是抗动脉粥样硬化因子</w:t>
      </w:r>
      <w:r>
        <w:t>:</w:t>
      </w:r>
    </w:p>
    <w:p w:rsidR="003717A0" w:rsidRDefault="003717A0">
      <w:pPr>
        <w:spacing w:line="360" w:lineRule="auto"/>
      </w:pPr>
      <w:r>
        <w:t xml:space="preserve">    A. CM    B. VLDL    C. LDL    D. HDL    E. IDL</w:t>
      </w:r>
    </w:p>
    <w:p w:rsidR="003717A0" w:rsidRDefault="003717A0">
      <w:pPr>
        <w:spacing w:line="360" w:lineRule="auto"/>
      </w:pPr>
      <w:r>
        <w:t>18</w:t>
      </w:r>
      <w:r>
        <w:rPr>
          <w:rFonts w:hint="eastAsia"/>
        </w:rPr>
        <w:t>．</w:t>
      </w:r>
      <w:r>
        <w:t>Coombs</w:t>
      </w:r>
      <w:r>
        <w:rPr>
          <w:rFonts w:hint="eastAsia"/>
        </w:rPr>
        <w:t>试验阳性最常见于</w:t>
      </w:r>
    </w:p>
    <w:p w:rsidR="003717A0" w:rsidRDefault="003717A0">
      <w:pPr>
        <w:spacing w:line="360" w:lineRule="auto"/>
        <w:ind w:firstLine="360"/>
      </w:pPr>
      <w:r>
        <w:t>A</w:t>
      </w:r>
      <w:r>
        <w:rPr>
          <w:rFonts w:hint="eastAsia"/>
        </w:rPr>
        <w:t>．温抗体型自身免疫性溶血性贫血</w:t>
      </w:r>
    </w:p>
    <w:p w:rsidR="003717A0" w:rsidRDefault="003717A0">
      <w:pPr>
        <w:spacing w:line="360" w:lineRule="auto"/>
        <w:ind w:firstLine="360"/>
      </w:pPr>
      <w:r>
        <w:t>B</w:t>
      </w:r>
      <w:r>
        <w:rPr>
          <w:rFonts w:hint="eastAsia"/>
        </w:rPr>
        <w:t>．遗传性球形红细胞增多症</w:t>
      </w:r>
    </w:p>
    <w:p w:rsidR="003717A0" w:rsidRDefault="003717A0">
      <w:pPr>
        <w:spacing w:line="360" w:lineRule="auto"/>
        <w:ind w:firstLine="360"/>
      </w:pPr>
      <w:r>
        <w:t>C</w:t>
      </w:r>
      <w:r>
        <w:rPr>
          <w:rFonts w:hint="eastAsia"/>
        </w:rPr>
        <w:t>．海洋性贫血</w:t>
      </w:r>
    </w:p>
    <w:p w:rsidR="003717A0" w:rsidRDefault="003717A0">
      <w:pPr>
        <w:spacing w:line="360" w:lineRule="auto"/>
        <w:ind w:firstLine="360"/>
      </w:pPr>
      <w:r>
        <w:t>D</w:t>
      </w:r>
      <w:r>
        <w:rPr>
          <w:rFonts w:hint="eastAsia"/>
        </w:rPr>
        <w:t>．</w:t>
      </w:r>
      <w:r>
        <w:t>G-6-PD</w:t>
      </w:r>
      <w:r>
        <w:rPr>
          <w:rFonts w:hint="eastAsia"/>
        </w:rPr>
        <w:t>缺乏症</w:t>
      </w:r>
    </w:p>
    <w:p w:rsidR="003717A0" w:rsidRDefault="003717A0">
      <w:pPr>
        <w:spacing w:line="360" w:lineRule="auto"/>
        <w:ind w:firstLine="360"/>
      </w:pPr>
      <w:r>
        <w:t>E</w:t>
      </w:r>
      <w:r>
        <w:rPr>
          <w:rFonts w:hint="eastAsia"/>
        </w:rPr>
        <w:t>．</w:t>
      </w:r>
      <w:r>
        <w:t>PNH</w:t>
      </w:r>
    </w:p>
    <w:p w:rsidR="003717A0" w:rsidRDefault="003717A0">
      <w:pPr>
        <w:spacing w:line="360" w:lineRule="auto"/>
      </w:pPr>
      <w:r>
        <w:t>19</w:t>
      </w:r>
      <w:r>
        <w:rPr>
          <w:rFonts w:hint="eastAsia"/>
        </w:rPr>
        <w:t>．共济运动的检查包括以下几项，除外</w:t>
      </w:r>
    </w:p>
    <w:p w:rsidR="003717A0" w:rsidRDefault="003717A0">
      <w:pPr>
        <w:spacing w:line="360" w:lineRule="auto"/>
        <w:ind w:firstLineChars="100" w:firstLine="210"/>
      </w:pPr>
      <w:r>
        <w:t xml:space="preserve">  A </w:t>
      </w:r>
      <w:r>
        <w:rPr>
          <w:rFonts w:hint="eastAsia"/>
        </w:rPr>
        <w:t>指鼻试验</w:t>
      </w:r>
      <w:r>
        <w:t xml:space="preserve">    B </w:t>
      </w:r>
      <w:r>
        <w:rPr>
          <w:rFonts w:hint="eastAsia"/>
        </w:rPr>
        <w:t>闭目难立征</w:t>
      </w:r>
      <w:r>
        <w:t xml:space="preserve">    C </w:t>
      </w:r>
      <w:r>
        <w:rPr>
          <w:rFonts w:hint="eastAsia"/>
        </w:rPr>
        <w:t>跟膝胫试验</w:t>
      </w:r>
      <w:r>
        <w:t xml:space="preserve">    D </w:t>
      </w:r>
      <w:r>
        <w:rPr>
          <w:rFonts w:hint="eastAsia"/>
        </w:rPr>
        <w:t>慢速轮替动作</w:t>
      </w:r>
    </w:p>
    <w:p w:rsidR="003717A0" w:rsidRDefault="003717A0">
      <w:pPr>
        <w:spacing w:line="360" w:lineRule="auto"/>
      </w:pPr>
      <w:r>
        <w:t>20</w:t>
      </w:r>
      <w:r>
        <w:rPr>
          <w:rFonts w:hint="eastAsia"/>
        </w:rPr>
        <w:t>下列哪一种疾病是属于小细胞低色素性贫血</w:t>
      </w:r>
    </w:p>
    <w:p w:rsidR="003717A0" w:rsidRDefault="003717A0">
      <w:pPr>
        <w:spacing w:line="360" w:lineRule="auto"/>
        <w:ind w:firstLine="435"/>
      </w:pPr>
      <w:r>
        <w:t xml:space="preserve">A </w:t>
      </w:r>
      <w:r>
        <w:rPr>
          <w:rFonts w:hint="eastAsia"/>
        </w:rPr>
        <w:t>溶血性贫血</w:t>
      </w:r>
      <w:r>
        <w:t xml:space="preserve">    B </w:t>
      </w:r>
      <w:r>
        <w:rPr>
          <w:rFonts w:hint="eastAsia"/>
        </w:rPr>
        <w:t>再生障碍性贫血</w:t>
      </w:r>
      <w:r>
        <w:t xml:space="preserve">    C </w:t>
      </w:r>
      <w:r>
        <w:rPr>
          <w:rFonts w:hint="eastAsia"/>
        </w:rPr>
        <w:t>球形细胞增多症</w:t>
      </w:r>
      <w:r>
        <w:t xml:space="preserve">   </w:t>
      </w:r>
    </w:p>
    <w:p w:rsidR="003717A0" w:rsidRDefault="003717A0">
      <w:pPr>
        <w:spacing w:line="360" w:lineRule="auto"/>
        <w:ind w:firstLineChars="200" w:firstLine="420"/>
      </w:pPr>
      <w:r>
        <w:t>D</w:t>
      </w:r>
      <w:r>
        <w:rPr>
          <w:rFonts w:hint="eastAsia"/>
        </w:rPr>
        <w:t>缺铁性贫血</w:t>
      </w:r>
      <w:r>
        <w:t xml:space="preserve">     E </w:t>
      </w:r>
      <w:r>
        <w:rPr>
          <w:rFonts w:hint="eastAsia"/>
        </w:rPr>
        <w:t>叶酸缺乏性贫血</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 w:val="22"/>
        </w:rPr>
      </w:pPr>
    </w:p>
    <w:p w:rsidR="003717A0" w:rsidRDefault="003717A0" w:rsidP="005E20B5">
      <w:pPr>
        <w:widowControl/>
        <w:adjustRightInd w:val="0"/>
        <w:snapToGrid w:val="0"/>
        <w:spacing w:beforeLines="50" w:line="360" w:lineRule="auto"/>
        <w:rPr>
          <w:rFonts w:ascii="Times New Roman" w:hAnsi="Times New Roman"/>
          <w:kern w:val="0"/>
          <w:sz w:val="22"/>
        </w:rPr>
      </w:pPr>
      <w:r>
        <w:rPr>
          <w:rFonts w:ascii="Times New Roman" w:hAnsi="Times New Roman" w:hint="eastAsia"/>
          <w:b/>
          <w:kern w:val="0"/>
          <w:sz w:val="22"/>
        </w:rPr>
        <w:t>二、填空题：</w:t>
      </w:r>
      <w:r>
        <w:rPr>
          <w:rFonts w:ascii="Times New Roman" w:hAnsi="Times New Roman" w:hint="eastAsia"/>
          <w:kern w:val="0"/>
          <w:sz w:val="22"/>
        </w:rPr>
        <w:t>（每格</w:t>
      </w:r>
      <w:r>
        <w:rPr>
          <w:rFonts w:ascii="Times New Roman" w:hAnsi="Times New Roman"/>
          <w:kern w:val="0"/>
          <w:sz w:val="22"/>
        </w:rPr>
        <w:t>0.5</w:t>
      </w:r>
      <w:r>
        <w:rPr>
          <w:rFonts w:ascii="Times New Roman" w:hAnsi="Times New Roman" w:hint="eastAsia"/>
          <w:kern w:val="0"/>
          <w:sz w:val="22"/>
        </w:rPr>
        <w:t>分，共</w:t>
      </w:r>
      <w:r>
        <w:rPr>
          <w:rFonts w:ascii="Times New Roman" w:hAnsi="Times New Roman"/>
          <w:kern w:val="0"/>
          <w:sz w:val="22"/>
        </w:rPr>
        <w:t>20</w:t>
      </w:r>
      <w:r>
        <w:rPr>
          <w:rFonts w:ascii="Times New Roman" w:hAnsi="Times New Roman" w:hint="eastAsia"/>
          <w:kern w:val="0"/>
          <w:sz w:val="22"/>
        </w:rPr>
        <w:t>分）</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房颤的听诊特点主要有：</w:t>
      </w:r>
      <w:r>
        <w:rPr>
          <w:rFonts w:ascii="Times New Roman" w:hAnsi="Times New Roman"/>
          <w:kern w:val="0"/>
          <w:sz w:val="22"/>
        </w:rPr>
        <w:t>_________________</w:t>
      </w:r>
      <w:r>
        <w:rPr>
          <w:rFonts w:ascii="Times New Roman" w:hAnsi="Times New Roman" w:hint="eastAsia"/>
          <w:kern w:val="0"/>
          <w:sz w:val="22"/>
        </w:rPr>
        <w:t>，</w:t>
      </w:r>
      <w:r>
        <w:rPr>
          <w:rFonts w:ascii="Times New Roman" w:hAnsi="Times New Roman"/>
          <w:kern w:val="0"/>
          <w:sz w:val="22"/>
        </w:rPr>
        <w:t xml:space="preserve">_____________ </w:t>
      </w:r>
      <w:r>
        <w:rPr>
          <w:rFonts w:ascii="Times New Roman" w:hAnsi="Times New Roman" w:hint="eastAsia"/>
          <w:kern w:val="0"/>
          <w:sz w:val="22"/>
        </w:rPr>
        <w:t>，</w:t>
      </w:r>
      <w:r>
        <w:rPr>
          <w:rFonts w:ascii="Times New Roman" w:hAnsi="Times New Roman"/>
          <w:kern w:val="0"/>
          <w:sz w:val="22"/>
        </w:rPr>
        <w:t>________________</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水冲脉常见的病因是</w:t>
      </w:r>
      <w:r>
        <w:rPr>
          <w:rFonts w:ascii="Times New Roman" w:hAnsi="Times New Roman"/>
          <w:kern w:val="0"/>
          <w:sz w:val="22"/>
        </w:rPr>
        <w:t xml:space="preserve">   __________</w:t>
      </w:r>
      <w:r>
        <w:rPr>
          <w:rFonts w:ascii="Times New Roman" w:hAnsi="Times New Roman" w:hint="eastAsia"/>
          <w:kern w:val="0"/>
          <w:sz w:val="22"/>
        </w:rPr>
        <w:t>，</w:t>
      </w:r>
      <w:r>
        <w:rPr>
          <w:rFonts w:ascii="Times New Roman" w:hAnsi="Times New Roman"/>
          <w:kern w:val="0"/>
          <w:sz w:val="22"/>
        </w:rPr>
        <w:t xml:space="preserve">__________ </w:t>
      </w:r>
      <w:r>
        <w:rPr>
          <w:rFonts w:ascii="Times New Roman" w:hAnsi="Times New Roman" w:hint="eastAsia"/>
          <w:kern w:val="0"/>
          <w:sz w:val="22"/>
        </w:rPr>
        <w:t>，</w:t>
      </w:r>
      <w:r>
        <w:rPr>
          <w:rFonts w:ascii="Times New Roman" w:hAnsi="Times New Roman"/>
          <w:kern w:val="0"/>
          <w:sz w:val="22"/>
        </w:rPr>
        <w:t xml:space="preserve"> __________ </w:t>
      </w:r>
      <w:r>
        <w:rPr>
          <w:rFonts w:ascii="Times New Roman" w:hAnsi="Times New Roman" w:hint="eastAsia"/>
          <w:kern w:val="0"/>
          <w:sz w:val="22"/>
        </w:rPr>
        <w:t>，</w:t>
      </w:r>
      <w:r>
        <w:rPr>
          <w:rFonts w:ascii="Times New Roman" w:hAnsi="Times New Roman"/>
          <w:kern w:val="0"/>
          <w:sz w:val="22"/>
        </w:rPr>
        <w:t xml:space="preserve">__________ </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成人内生肌酐清除率参考值为</w:t>
      </w:r>
      <w:r>
        <w:rPr>
          <w:rFonts w:ascii="Times New Roman" w:hAnsi="Times New Roman"/>
          <w:kern w:val="0"/>
          <w:sz w:val="22"/>
        </w:rPr>
        <w:t>__________</w:t>
      </w:r>
      <w:r>
        <w:rPr>
          <w:rFonts w:ascii="Times New Roman" w:hAnsi="Times New Roman" w:hint="eastAsia"/>
          <w:kern w:val="0"/>
          <w:sz w:val="22"/>
        </w:rPr>
        <w:t>，全血肌酐参考值为</w:t>
      </w:r>
      <w:r>
        <w:rPr>
          <w:rFonts w:ascii="Times New Roman" w:hAnsi="Times New Roman"/>
          <w:kern w:val="0"/>
          <w:sz w:val="22"/>
        </w:rPr>
        <w:t xml:space="preserve">_________  </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慌张步态见于</w:t>
      </w:r>
      <w:r>
        <w:rPr>
          <w:rFonts w:ascii="Times New Roman" w:hAnsi="Times New Roman"/>
          <w:kern w:val="0"/>
          <w:sz w:val="22"/>
        </w:rPr>
        <w:t>__________</w:t>
      </w:r>
      <w:r>
        <w:rPr>
          <w:rFonts w:ascii="Times New Roman" w:hAnsi="Times New Roman" w:hint="eastAsia"/>
          <w:kern w:val="0"/>
          <w:sz w:val="22"/>
        </w:rPr>
        <w:t>，剪刀步态见于</w:t>
      </w:r>
      <w:r>
        <w:rPr>
          <w:rFonts w:ascii="Times New Roman" w:hAnsi="Times New Roman"/>
          <w:kern w:val="0"/>
          <w:sz w:val="22"/>
        </w:rPr>
        <w:t>__________</w:t>
      </w:r>
      <w:r>
        <w:rPr>
          <w:rFonts w:ascii="Times New Roman" w:hAnsi="Times New Roman" w:hint="eastAsia"/>
          <w:kern w:val="0"/>
          <w:sz w:val="22"/>
        </w:rPr>
        <w:t>，醉酒步态见于</w:t>
      </w:r>
      <w:r>
        <w:rPr>
          <w:rFonts w:ascii="Times New Roman" w:hAnsi="Times New Roman"/>
          <w:kern w:val="0"/>
          <w:sz w:val="22"/>
        </w:rPr>
        <w:t>__________</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5.</w:t>
      </w:r>
      <w:r>
        <w:rPr>
          <w:rFonts w:ascii="Times New Roman" w:hAnsi="Times New Roman" w:hint="eastAsia"/>
          <w:kern w:val="0"/>
          <w:sz w:val="22"/>
        </w:rPr>
        <w:t>支气管扩张患者，痰液多时静置后可出现分层现象：上层为</w:t>
      </w:r>
      <w:r>
        <w:rPr>
          <w:rFonts w:ascii="Times New Roman" w:hAnsi="Times New Roman"/>
          <w:kern w:val="0"/>
          <w:sz w:val="22"/>
        </w:rPr>
        <w:t xml:space="preserve"> __________, </w:t>
      </w:r>
      <w:r>
        <w:rPr>
          <w:rFonts w:ascii="Times New Roman" w:hAnsi="Times New Roman" w:hint="eastAsia"/>
          <w:kern w:val="0"/>
          <w:sz w:val="22"/>
        </w:rPr>
        <w:t>中层为浆液或</w:t>
      </w:r>
      <w:r>
        <w:rPr>
          <w:rFonts w:ascii="Times New Roman" w:hAnsi="Times New Roman"/>
          <w:kern w:val="0"/>
          <w:sz w:val="22"/>
        </w:rPr>
        <w:t xml:space="preserve">___________, </w:t>
      </w:r>
      <w:r>
        <w:rPr>
          <w:rFonts w:ascii="Times New Roman" w:hAnsi="Times New Roman" w:hint="eastAsia"/>
          <w:kern w:val="0"/>
          <w:sz w:val="22"/>
        </w:rPr>
        <w:t>下层为</w:t>
      </w:r>
      <w:r>
        <w:rPr>
          <w:rFonts w:ascii="Times New Roman" w:hAnsi="Times New Roman"/>
          <w:kern w:val="0"/>
          <w:sz w:val="22"/>
        </w:rPr>
        <w:t>__________</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6.</w:t>
      </w:r>
      <w:r>
        <w:rPr>
          <w:rFonts w:ascii="Times New Roman" w:hAnsi="Times New Roman" w:hint="eastAsia"/>
          <w:kern w:val="0"/>
          <w:sz w:val="22"/>
        </w:rPr>
        <w:t>脾肿大可分为轻，中，高三度，高度脾肿大是指</w:t>
      </w:r>
      <w:r>
        <w:rPr>
          <w:rFonts w:ascii="Times New Roman" w:hAnsi="Times New Roman"/>
          <w:kern w:val="0"/>
          <w:sz w:val="22"/>
        </w:rPr>
        <w:t xml:space="preserve"> ____________________</w:t>
      </w:r>
      <w:r>
        <w:rPr>
          <w:rFonts w:ascii="Times New Roman" w:hAnsi="Times New Roman" w:hint="eastAsia"/>
          <w:kern w:val="0"/>
          <w:sz w:val="22"/>
        </w:rPr>
        <w:t>。</w:t>
      </w:r>
      <w:r>
        <w:rPr>
          <w:rFonts w:ascii="Times New Roman" w:hAnsi="Times New Roman"/>
          <w:kern w:val="0"/>
          <w:sz w:val="22"/>
        </w:rPr>
        <w:t xml:space="preserve"> </w:t>
      </w:r>
      <w:r>
        <w:rPr>
          <w:rFonts w:ascii="Times New Roman" w:hAnsi="Times New Roman" w:hint="eastAsia"/>
          <w:kern w:val="0"/>
          <w:sz w:val="22"/>
        </w:rPr>
        <w:t>脾脏高度肿大，表面光滑者可见于</w:t>
      </w:r>
      <w:r>
        <w:rPr>
          <w:rFonts w:ascii="Times New Roman" w:hAnsi="Times New Roman"/>
          <w:kern w:val="0"/>
          <w:sz w:val="22"/>
        </w:rPr>
        <w:t>__________________</w:t>
      </w:r>
      <w:r>
        <w:rPr>
          <w:rFonts w:ascii="Times New Roman" w:hAnsi="Times New Roman" w:hint="eastAsia"/>
          <w:kern w:val="0"/>
          <w:sz w:val="22"/>
        </w:rPr>
        <w:t>，</w:t>
      </w:r>
      <w:r>
        <w:rPr>
          <w:rFonts w:ascii="Times New Roman" w:hAnsi="Times New Roman"/>
          <w:kern w:val="0"/>
          <w:sz w:val="22"/>
        </w:rPr>
        <w:t>_______________</w:t>
      </w:r>
      <w:r>
        <w:rPr>
          <w:rFonts w:ascii="Times New Roman" w:hAnsi="Times New Roman" w:hint="eastAsia"/>
          <w:kern w:val="0"/>
          <w:sz w:val="22"/>
        </w:rPr>
        <w:t>，</w:t>
      </w:r>
      <w:r>
        <w:rPr>
          <w:rFonts w:ascii="Times New Roman" w:hAnsi="Times New Roman"/>
          <w:kern w:val="0"/>
          <w:sz w:val="22"/>
        </w:rPr>
        <w:t xml:space="preserve">__________________  </w:t>
      </w:r>
      <w:r>
        <w:rPr>
          <w:rFonts w:ascii="Times New Roman" w:hAnsi="Times New Roman" w:hint="eastAsia"/>
          <w:kern w:val="0"/>
          <w:sz w:val="22"/>
        </w:rPr>
        <w:t>等。</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lastRenderedPageBreak/>
        <w:t>7.</w:t>
      </w:r>
      <w:r>
        <w:rPr>
          <w:rFonts w:ascii="Times New Roman" w:hAnsi="Times New Roman" w:hint="eastAsia"/>
          <w:kern w:val="0"/>
          <w:sz w:val="22"/>
        </w:rPr>
        <w:t>腹泻一般可分为如下几种：</w:t>
      </w:r>
      <w:r>
        <w:rPr>
          <w:rFonts w:ascii="Times New Roman" w:hAnsi="Times New Roman"/>
          <w:kern w:val="0"/>
          <w:sz w:val="22"/>
        </w:rPr>
        <w:t xml:space="preserve">____________________  </w:t>
      </w:r>
      <w:r>
        <w:rPr>
          <w:rFonts w:ascii="Times New Roman" w:hAnsi="Times New Roman" w:hint="eastAsia"/>
          <w:kern w:val="0"/>
          <w:sz w:val="22"/>
        </w:rPr>
        <w:t>，</w:t>
      </w:r>
      <w:r>
        <w:rPr>
          <w:rFonts w:ascii="Times New Roman" w:hAnsi="Times New Roman"/>
          <w:kern w:val="0"/>
          <w:sz w:val="22"/>
        </w:rPr>
        <w:t>____________________</w:t>
      </w:r>
      <w:r>
        <w:rPr>
          <w:rFonts w:ascii="Times New Roman" w:hAnsi="Times New Roman" w:hint="eastAsia"/>
          <w:kern w:val="0"/>
          <w:sz w:val="22"/>
        </w:rPr>
        <w:t>，</w:t>
      </w:r>
      <w:r>
        <w:rPr>
          <w:rFonts w:ascii="Times New Roman" w:hAnsi="Times New Roman"/>
          <w:kern w:val="0"/>
          <w:sz w:val="22"/>
        </w:rPr>
        <w:t xml:space="preserve">____________________  </w:t>
      </w:r>
      <w:r>
        <w:rPr>
          <w:rFonts w:ascii="Times New Roman" w:hAnsi="Times New Roman" w:hint="eastAsia"/>
          <w:kern w:val="0"/>
          <w:sz w:val="22"/>
        </w:rPr>
        <w:t>，</w:t>
      </w:r>
      <w:r>
        <w:rPr>
          <w:rFonts w:ascii="Times New Roman" w:hAnsi="Times New Roman"/>
          <w:kern w:val="0"/>
          <w:sz w:val="22"/>
        </w:rPr>
        <w:t xml:space="preserve">____________________ </w:t>
      </w:r>
      <w:r>
        <w:rPr>
          <w:rFonts w:ascii="Times New Roman" w:hAnsi="Times New Roman" w:hint="eastAsia"/>
          <w:kern w:val="0"/>
          <w:sz w:val="22"/>
        </w:rPr>
        <w:t>及动力性腹泻，其中霍乱引起的腹泻属于</w:t>
      </w:r>
      <w:r>
        <w:rPr>
          <w:rFonts w:ascii="Times New Roman" w:hAnsi="Times New Roman"/>
          <w:kern w:val="0"/>
          <w:sz w:val="22"/>
        </w:rPr>
        <w:t>____________________</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 xml:space="preserve">8  </w:t>
      </w:r>
      <w:r>
        <w:rPr>
          <w:rFonts w:ascii="Times New Roman" w:hAnsi="Times New Roman" w:hint="eastAsia"/>
          <w:kern w:val="0"/>
          <w:sz w:val="22"/>
        </w:rPr>
        <w:t>荨麻疹为稍隆起皮肤表面的</w:t>
      </w:r>
      <w:r>
        <w:rPr>
          <w:rFonts w:ascii="Times New Roman" w:hAnsi="Times New Roman"/>
          <w:kern w:val="0"/>
          <w:sz w:val="22"/>
        </w:rPr>
        <w:t>____</w:t>
      </w:r>
      <w:r>
        <w:rPr>
          <w:rFonts w:ascii="Times New Roman" w:hAnsi="Times New Roman" w:hint="eastAsia"/>
          <w:kern w:val="0"/>
          <w:sz w:val="22"/>
        </w:rPr>
        <w:t>色或</w:t>
      </w:r>
      <w:r>
        <w:rPr>
          <w:rFonts w:ascii="Times New Roman" w:hAnsi="Times New Roman"/>
          <w:kern w:val="0"/>
          <w:sz w:val="22"/>
        </w:rPr>
        <w:t>____</w:t>
      </w:r>
      <w:r>
        <w:rPr>
          <w:rFonts w:ascii="Times New Roman" w:hAnsi="Times New Roman" w:hint="eastAsia"/>
          <w:kern w:val="0"/>
          <w:sz w:val="22"/>
        </w:rPr>
        <w:t>色的局限性水肿，为</w:t>
      </w:r>
      <w:r>
        <w:rPr>
          <w:rFonts w:ascii="Times New Roman" w:hAnsi="Times New Roman"/>
          <w:kern w:val="0"/>
          <w:sz w:val="22"/>
        </w:rPr>
        <w:t>___________</w:t>
      </w:r>
      <w:r>
        <w:rPr>
          <w:rFonts w:ascii="Times New Roman" w:hAnsi="Times New Roman" w:hint="eastAsia"/>
          <w:kern w:val="0"/>
          <w:sz w:val="22"/>
        </w:rPr>
        <w:t>反应所致，见于各种</w:t>
      </w:r>
      <w:r>
        <w:rPr>
          <w:rFonts w:ascii="Times New Roman" w:hAnsi="Times New Roman"/>
          <w:kern w:val="0"/>
          <w:sz w:val="22"/>
        </w:rPr>
        <w:t>____________________</w:t>
      </w:r>
      <w:r>
        <w:rPr>
          <w:rFonts w:ascii="Times New Roman" w:hAnsi="Times New Roman" w:hint="eastAsia"/>
          <w:kern w:val="0"/>
          <w:sz w:val="22"/>
        </w:rPr>
        <w:t>反应。</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9</w:t>
      </w:r>
      <w:r>
        <w:rPr>
          <w:rFonts w:ascii="Times New Roman" w:hAnsi="Times New Roman" w:hint="eastAsia"/>
          <w:kern w:val="0"/>
          <w:sz w:val="22"/>
        </w:rPr>
        <w:t>、</w:t>
      </w:r>
      <w:r>
        <w:rPr>
          <w:rFonts w:ascii="Times New Roman" w:hAnsi="Times New Roman"/>
          <w:kern w:val="0"/>
          <w:sz w:val="22"/>
        </w:rPr>
        <w:t>P</w:t>
      </w:r>
      <w:r>
        <w:rPr>
          <w:rFonts w:ascii="Times New Roman" w:hAnsi="Times New Roman" w:hint="eastAsia"/>
          <w:kern w:val="0"/>
          <w:sz w:val="22"/>
        </w:rPr>
        <w:t>波代表</w:t>
      </w:r>
      <w:r>
        <w:rPr>
          <w:rFonts w:ascii="Times New Roman" w:hAnsi="Times New Roman"/>
          <w:kern w:val="0"/>
          <w:sz w:val="22"/>
        </w:rPr>
        <w:t>____________________</w:t>
      </w:r>
      <w:r>
        <w:rPr>
          <w:rFonts w:ascii="Times New Roman" w:hAnsi="Times New Roman" w:hint="eastAsia"/>
          <w:kern w:val="0"/>
          <w:sz w:val="22"/>
        </w:rPr>
        <w:t>。</w:t>
      </w:r>
      <w:r>
        <w:rPr>
          <w:rFonts w:ascii="Times New Roman" w:hAnsi="Times New Roman"/>
          <w:kern w:val="0"/>
          <w:sz w:val="22"/>
        </w:rPr>
        <w:t>QRS</w:t>
      </w:r>
      <w:r>
        <w:rPr>
          <w:rFonts w:ascii="Times New Roman" w:hAnsi="Times New Roman" w:hint="eastAsia"/>
          <w:kern w:val="0"/>
          <w:sz w:val="22"/>
        </w:rPr>
        <w:t>波表示</w:t>
      </w:r>
      <w:r>
        <w:rPr>
          <w:rFonts w:ascii="Times New Roman" w:hAnsi="Times New Roman"/>
          <w:kern w:val="0"/>
          <w:sz w:val="22"/>
        </w:rPr>
        <w:t>____________________</w:t>
      </w:r>
      <w:r>
        <w:rPr>
          <w:rFonts w:ascii="Times New Roman" w:hAnsi="Times New Roman" w:hint="eastAsia"/>
          <w:kern w:val="0"/>
          <w:sz w:val="22"/>
        </w:rPr>
        <w:t>，</w:t>
      </w:r>
      <w:r>
        <w:rPr>
          <w:rFonts w:ascii="Times New Roman" w:hAnsi="Times New Roman"/>
          <w:kern w:val="0"/>
          <w:sz w:val="22"/>
        </w:rPr>
        <w:t>P—R</w:t>
      </w:r>
      <w:r>
        <w:rPr>
          <w:rFonts w:ascii="Times New Roman" w:hAnsi="Times New Roman" w:hint="eastAsia"/>
          <w:kern w:val="0"/>
          <w:sz w:val="22"/>
        </w:rPr>
        <w:t>间期代表</w:t>
      </w:r>
      <w:r>
        <w:rPr>
          <w:rFonts w:ascii="Times New Roman" w:hAnsi="Times New Roman"/>
          <w:kern w:val="0"/>
          <w:sz w:val="22"/>
        </w:rPr>
        <w:t>____________________</w:t>
      </w:r>
      <w:r>
        <w:rPr>
          <w:rFonts w:ascii="Times New Roman" w:hAnsi="Times New Roman" w:hint="eastAsia"/>
          <w:kern w:val="0"/>
          <w:sz w:val="22"/>
        </w:rPr>
        <w:t>。</w:t>
      </w:r>
      <w:r>
        <w:rPr>
          <w:rFonts w:ascii="Times New Roman" w:hAnsi="Times New Roman"/>
          <w:kern w:val="0"/>
          <w:sz w:val="22"/>
        </w:rPr>
        <w:t>T</w:t>
      </w:r>
      <w:r>
        <w:rPr>
          <w:rFonts w:ascii="Times New Roman" w:hAnsi="Times New Roman" w:hint="eastAsia"/>
          <w:kern w:val="0"/>
          <w:sz w:val="22"/>
        </w:rPr>
        <w:t>波代表</w:t>
      </w:r>
      <w:r>
        <w:rPr>
          <w:rFonts w:ascii="Times New Roman" w:hAnsi="Times New Roman"/>
          <w:kern w:val="0"/>
          <w:sz w:val="22"/>
        </w:rPr>
        <w:t>____________________</w:t>
      </w:r>
      <w:r>
        <w:rPr>
          <w:rFonts w:ascii="Times New Roman" w:hAnsi="Times New Roman" w:hint="eastAsia"/>
          <w:kern w:val="0"/>
          <w:sz w:val="22"/>
        </w:rPr>
        <w:t>。</w:t>
      </w:r>
      <w:r>
        <w:rPr>
          <w:rFonts w:ascii="Times New Roman" w:hAnsi="Times New Roman"/>
          <w:kern w:val="0"/>
          <w:sz w:val="22"/>
        </w:rPr>
        <w:t>Q—T</w:t>
      </w:r>
      <w:r>
        <w:rPr>
          <w:rFonts w:ascii="Times New Roman" w:hAnsi="Times New Roman" w:hint="eastAsia"/>
          <w:kern w:val="0"/>
          <w:sz w:val="22"/>
        </w:rPr>
        <w:t>间期代表</w:t>
      </w:r>
      <w:r>
        <w:rPr>
          <w:rFonts w:ascii="Times New Roman" w:hAnsi="Times New Roman"/>
          <w:kern w:val="0"/>
          <w:sz w:val="22"/>
        </w:rPr>
        <w:t>____________________</w:t>
      </w:r>
      <w:r>
        <w:rPr>
          <w:rFonts w:ascii="Times New Roman" w:hAnsi="Times New Roman" w:hint="eastAsia"/>
          <w:kern w:val="0"/>
          <w:sz w:val="22"/>
        </w:rPr>
        <w:t>。</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10</w:t>
      </w:r>
      <w:r>
        <w:rPr>
          <w:rFonts w:ascii="Times New Roman" w:hAnsi="Times New Roman" w:hint="eastAsia"/>
          <w:kern w:val="0"/>
          <w:sz w:val="22"/>
        </w:rPr>
        <w:t>．临床上通过检测</w:t>
      </w:r>
      <w:r>
        <w:rPr>
          <w:rFonts w:ascii="Times New Roman" w:hAnsi="Times New Roman"/>
          <w:kern w:val="0"/>
          <w:sz w:val="22"/>
        </w:rPr>
        <w:t>________________</w:t>
      </w:r>
      <w:r>
        <w:rPr>
          <w:rFonts w:ascii="Times New Roman" w:hAnsi="Times New Roman" w:hint="eastAsia"/>
          <w:kern w:val="0"/>
          <w:sz w:val="22"/>
        </w:rPr>
        <w:t>、</w:t>
      </w:r>
      <w:r>
        <w:rPr>
          <w:rFonts w:ascii="Times New Roman" w:hAnsi="Times New Roman"/>
          <w:kern w:val="0"/>
          <w:sz w:val="22"/>
        </w:rPr>
        <w:t xml:space="preserve">_______________ </w:t>
      </w:r>
      <w:r>
        <w:rPr>
          <w:rFonts w:ascii="Times New Roman" w:hAnsi="Times New Roman" w:hint="eastAsia"/>
          <w:kern w:val="0"/>
          <w:sz w:val="22"/>
        </w:rPr>
        <w:t>、</w:t>
      </w:r>
      <w:r>
        <w:rPr>
          <w:rFonts w:ascii="Times New Roman" w:hAnsi="Times New Roman"/>
          <w:kern w:val="0"/>
          <w:sz w:val="22"/>
        </w:rPr>
        <w:t>_____________</w:t>
      </w:r>
      <w:r>
        <w:rPr>
          <w:rFonts w:ascii="Times New Roman" w:hAnsi="Times New Roman" w:hint="eastAsia"/>
          <w:kern w:val="0"/>
          <w:sz w:val="22"/>
        </w:rPr>
        <w:t>、</w:t>
      </w:r>
      <w:r>
        <w:rPr>
          <w:rFonts w:ascii="Times New Roman" w:hAnsi="Times New Roman"/>
          <w:kern w:val="0"/>
          <w:sz w:val="22"/>
        </w:rPr>
        <w:t xml:space="preserve">_______________  </w:t>
      </w:r>
      <w:r>
        <w:rPr>
          <w:rFonts w:ascii="Times New Roman" w:hAnsi="Times New Roman" w:hint="eastAsia"/>
          <w:kern w:val="0"/>
          <w:sz w:val="22"/>
        </w:rPr>
        <w:t>及</w:t>
      </w:r>
      <w:r>
        <w:rPr>
          <w:rFonts w:ascii="Times New Roman" w:hAnsi="Times New Roman"/>
          <w:kern w:val="0"/>
          <w:sz w:val="22"/>
        </w:rPr>
        <w:t xml:space="preserve">____________________ </w:t>
      </w:r>
      <w:r>
        <w:rPr>
          <w:rFonts w:ascii="Times New Roman" w:hAnsi="Times New Roman" w:hint="eastAsia"/>
          <w:kern w:val="0"/>
          <w:sz w:val="22"/>
        </w:rPr>
        <w:t>，借以诊断有无溶血及判断肝、胆系统在胆色素代谢中的功能状态。</w:t>
      </w:r>
    </w:p>
    <w:p w:rsidR="003717A0" w:rsidRDefault="003717A0">
      <w:pPr>
        <w:widowControl/>
        <w:adjustRightInd w:val="0"/>
        <w:snapToGrid w:val="0"/>
        <w:spacing w:line="360" w:lineRule="auto"/>
        <w:ind w:firstLineChars="162" w:firstLine="356"/>
        <w:rPr>
          <w:rFonts w:ascii="Times New Roman" w:hAnsi="Times New Roman"/>
          <w:kern w:val="0"/>
          <w:sz w:val="22"/>
        </w:rPr>
      </w:pPr>
      <w:r>
        <w:rPr>
          <w:rFonts w:ascii="Times New Roman" w:hAnsi="Times New Roman"/>
          <w:kern w:val="0"/>
          <w:sz w:val="22"/>
        </w:rPr>
        <w:t>11.FBG</w:t>
      </w:r>
      <w:r>
        <w:rPr>
          <w:rFonts w:ascii="Times New Roman" w:hAnsi="Times New Roman" w:hint="eastAsia"/>
          <w:kern w:val="0"/>
          <w:sz w:val="22"/>
        </w:rPr>
        <w:t>增高超过</w:t>
      </w:r>
      <w:r>
        <w:rPr>
          <w:rFonts w:ascii="Times New Roman" w:hAnsi="Times New Roman"/>
          <w:kern w:val="0"/>
          <w:sz w:val="22"/>
        </w:rPr>
        <w:t>____________________</w:t>
      </w:r>
      <w:r>
        <w:rPr>
          <w:rFonts w:ascii="Times New Roman" w:hAnsi="Times New Roman" w:hint="eastAsia"/>
          <w:kern w:val="0"/>
          <w:sz w:val="22"/>
        </w:rPr>
        <w:t>时称为高糖血症；当</w:t>
      </w:r>
      <w:r>
        <w:rPr>
          <w:rFonts w:ascii="Times New Roman" w:hAnsi="Times New Roman"/>
          <w:kern w:val="0"/>
          <w:sz w:val="22"/>
        </w:rPr>
        <w:t>FBG</w:t>
      </w:r>
      <w:r>
        <w:rPr>
          <w:rFonts w:ascii="Times New Roman" w:hAnsi="Times New Roman" w:hint="eastAsia"/>
          <w:kern w:val="0"/>
          <w:sz w:val="22"/>
        </w:rPr>
        <w:t>超过</w:t>
      </w:r>
      <w:r>
        <w:rPr>
          <w:rFonts w:ascii="Times New Roman" w:hAnsi="Times New Roman"/>
          <w:kern w:val="0"/>
          <w:sz w:val="22"/>
        </w:rPr>
        <w:t>____________________</w:t>
      </w:r>
      <w:r>
        <w:rPr>
          <w:rFonts w:ascii="Times New Roman" w:hAnsi="Times New Roman" w:hint="eastAsia"/>
          <w:kern w:val="0"/>
          <w:sz w:val="22"/>
        </w:rPr>
        <w:t>时尿糖即可呈阳性。</w:t>
      </w:r>
    </w:p>
    <w:p w:rsidR="003717A0" w:rsidRDefault="003717A0">
      <w:pPr>
        <w:widowControl/>
        <w:adjustRightInd w:val="0"/>
        <w:snapToGrid w:val="0"/>
        <w:spacing w:line="360" w:lineRule="auto"/>
        <w:ind w:firstLineChars="162" w:firstLine="356"/>
        <w:rPr>
          <w:rFonts w:ascii="Times New Roman" w:hAnsi="Times New Roman"/>
          <w:kern w:val="0"/>
          <w:sz w:val="22"/>
        </w:rPr>
      </w:pPr>
    </w:p>
    <w:p w:rsidR="003717A0" w:rsidRDefault="003717A0">
      <w:pPr>
        <w:widowControl/>
        <w:adjustRightInd w:val="0"/>
        <w:snapToGrid w:val="0"/>
        <w:spacing w:line="440" w:lineRule="exact"/>
      </w:pPr>
      <w:r>
        <w:rPr>
          <w:rFonts w:ascii="Times New Roman" w:hAnsi="Times New Roman" w:hint="eastAsia"/>
          <w:b/>
          <w:kern w:val="0"/>
          <w:sz w:val="22"/>
        </w:rPr>
        <w:t>三、名词解释：</w:t>
      </w:r>
      <w:r>
        <w:rPr>
          <w:rFonts w:hint="eastAsia"/>
        </w:rPr>
        <w:t>（每题</w:t>
      </w:r>
      <w:r>
        <w:t>3</w:t>
      </w:r>
      <w:r>
        <w:rPr>
          <w:rFonts w:hint="eastAsia"/>
        </w:rPr>
        <w:t>分，共</w:t>
      </w:r>
      <w:r>
        <w:t>30</w:t>
      </w:r>
      <w:r>
        <w:rPr>
          <w:rFonts w:hint="eastAsia"/>
        </w:rPr>
        <w:t>分）</w:t>
      </w:r>
    </w:p>
    <w:p w:rsidR="003717A0" w:rsidRDefault="003717A0">
      <w:pPr>
        <w:rPr>
          <w:szCs w:val="21"/>
        </w:rPr>
      </w:pPr>
      <w:r>
        <w:rPr>
          <w:szCs w:val="21"/>
        </w:rPr>
        <w:t>1</w:t>
      </w:r>
      <w:r>
        <w:rPr>
          <w:rFonts w:hint="eastAsia"/>
          <w:szCs w:val="21"/>
        </w:rPr>
        <w:t>．</w:t>
      </w:r>
      <w:r>
        <w:rPr>
          <w:rFonts w:ascii="宋体" w:hint="eastAsia"/>
        </w:rPr>
        <w:t>潮式呼吸</w:t>
      </w:r>
      <w:r>
        <w:rPr>
          <w:rFonts w:hint="eastAsia"/>
          <w:szCs w:val="21"/>
        </w:rPr>
        <w:t>：</w:t>
      </w:r>
    </w:p>
    <w:p w:rsidR="003717A0" w:rsidRDefault="003717A0">
      <w:pPr>
        <w:rPr>
          <w:szCs w:val="21"/>
        </w:rPr>
      </w:pPr>
    </w:p>
    <w:p w:rsidR="003717A0" w:rsidRDefault="003717A0">
      <w:r>
        <w:rPr>
          <w:szCs w:val="21"/>
        </w:rPr>
        <w:t>2</w:t>
      </w:r>
      <w:r>
        <w:rPr>
          <w:rFonts w:hint="eastAsia"/>
          <w:szCs w:val="21"/>
        </w:rPr>
        <w:t>．</w:t>
      </w:r>
      <w:r>
        <w:rPr>
          <w:rFonts w:hint="eastAsia"/>
        </w:rPr>
        <w:t>动脉血氧分压：</w:t>
      </w:r>
    </w:p>
    <w:p w:rsidR="003717A0" w:rsidRDefault="003717A0">
      <w:pPr>
        <w:rPr>
          <w:szCs w:val="21"/>
        </w:rPr>
      </w:pPr>
    </w:p>
    <w:p w:rsidR="003717A0" w:rsidRDefault="003717A0">
      <w:r>
        <w:t>3</w:t>
      </w:r>
      <w:r>
        <w:rPr>
          <w:rFonts w:ascii="宋体" w:hint="eastAsia"/>
        </w:rPr>
        <w:t>．</w:t>
      </w:r>
      <w:r>
        <w:rPr>
          <w:rFonts w:hint="eastAsia"/>
        </w:rPr>
        <w:t>负性心尖搏动</w:t>
      </w:r>
      <w:r>
        <w:t>:</w:t>
      </w:r>
    </w:p>
    <w:p w:rsidR="003717A0" w:rsidRDefault="003717A0">
      <w:pPr>
        <w:rPr>
          <w:rFonts w:ascii="宋体"/>
        </w:rPr>
      </w:pPr>
    </w:p>
    <w:p w:rsidR="003717A0" w:rsidRDefault="003717A0">
      <w:pPr>
        <w:rPr>
          <w:rFonts w:ascii="宋体"/>
        </w:rPr>
      </w:pPr>
      <w:r>
        <w:t>4</w:t>
      </w:r>
      <w:r>
        <w:rPr>
          <w:rFonts w:ascii="宋体"/>
        </w:rPr>
        <w:t xml:space="preserve">. </w:t>
      </w:r>
      <w:r>
        <w:rPr>
          <w:rFonts w:hint="eastAsia"/>
        </w:rPr>
        <w:t>脑膜刺激征</w:t>
      </w:r>
      <w:r>
        <w:rPr>
          <w:rFonts w:ascii="宋体"/>
        </w:rPr>
        <w:t>:</w:t>
      </w:r>
    </w:p>
    <w:p w:rsidR="003717A0" w:rsidRDefault="003717A0">
      <w:pPr>
        <w:rPr>
          <w:rFonts w:ascii="宋体"/>
        </w:rPr>
      </w:pPr>
    </w:p>
    <w:p w:rsidR="003717A0" w:rsidRDefault="003717A0">
      <w:pPr>
        <w:adjustRightInd w:val="0"/>
        <w:snapToGrid w:val="0"/>
        <w:spacing w:line="360" w:lineRule="auto"/>
      </w:pPr>
      <w:r>
        <w:rPr>
          <w:rFonts w:eastAsia="楷体_GB2312"/>
          <w:szCs w:val="21"/>
        </w:rPr>
        <w:t>5</w:t>
      </w:r>
      <w:r>
        <w:rPr>
          <w:rFonts w:eastAsia="楷体_GB2312" w:hint="eastAsia"/>
          <w:szCs w:val="21"/>
        </w:rPr>
        <w:t>．</w:t>
      </w:r>
      <w:r>
        <w:rPr>
          <w:rFonts w:hint="eastAsia"/>
        </w:rPr>
        <w:t>无尿</w:t>
      </w:r>
      <w:r>
        <w:t>:</w:t>
      </w:r>
    </w:p>
    <w:p w:rsidR="003717A0" w:rsidRDefault="003717A0">
      <w:pPr>
        <w:adjustRightInd w:val="0"/>
        <w:snapToGrid w:val="0"/>
        <w:spacing w:line="360" w:lineRule="auto"/>
      </w:pPr>
    </w:p>
    <w:p w:rsidR="003717A0" w:rsidRDefault="003717A0">
      <w:pPr>
        <w:adjustRightInd w:val="0"/>
        <w:snapToGrid w:val="0"/>
        <w:spacing w:line="360" w:lineRule="auto"/>
      </w:pPr>
      <w:r>
        <w:rPr>
          <w:rFonts w:eastAsia="楷体_GB2312"/>
          <w:szCs w:val="21"/>
        </w:rPr>
        <w:t>6</w:t>
      </w:r>
      <w:r>
        <w:rPr>
          <w:rFonts w:hint="eastAsia"/>
        </w:rPr>
        <w:t>．肝颈静脉回流征</w:t>
      </w:r>
      <w:r>
        <w:t>:</w:t>
      </w:r>
    </w:p>
    <w:p w:rsidR="003717A0" w:rsidRDefault="003717A0">
      <w:pPr>
        <w:adjustRightInd w:val="0"/>
        <w:snapToGrid w:val="0"/>
        <w:spacing w:line="360" w:lineRule="auto"/>
      </w:pPr>
    </w:p>
    <w:p w:rsidR="003717A0" w:rsidRDefault="003717A0">
      <w:pPr>
        <w:adjustRightInd w:val="0"/>
        <w:snapToGrid w:val="0"/>
        <w:spacing w:line="360" w:lineRule="auto"/>
      </w:pPr>
      <w:r>
        <w:rPr>
          <w:rFonts w:eastAsia="楷体_GB2312"/>
          <w:szCs w:val="21"/>
        </w:rPr>
        <w:t>7</w:t>
      </w:r>
      <w:r>
        <w:rPr>
          <w:rFonts w:eastAsia="楷体_GB2312" w:hint="eastAsia"/>
          <w:szCs w:val="21"/>
        </w:rPr>
        <w:t>．</w:t>
      </w:r>
      <w:r>
        <w:rPr>
          <w:rFonts w:hint="eastAsia"/>
        </w:rPr>
        <w:t>蜘蛛痣：</w:t>
      </w:r>
    </w:p>
    <w:p w:rsidR="003717A0" w:rsidRDefault="003717A0">
      <w:pPr>
        <w:adjustRightInd w:val="0"/>
        <w:snapToGrid w:val="0"/>
        <w:spacing w:line="360" w:lineRule="auto"/>
      </w:pPr>
    </w:p>
    <w:p w:rsidR="003717A0" w:rsidRDefault="003717A0">
      <w:pPr>
        <w:adjustRightInd w:val="0"/>
        <w:snapToGrid w:val="0"/>
        <w:spacing w:line="360" w:lineRule="auto"/>
      </w:pPr>
      <w:r>
        <w:rPr>
          <w:rFonts w:eastAsia="楷体_GB2312"/>
          <w:szCs w:val="21"/>
        </w:rPr>
        <w:t>8</w:t>
      </w:r>
      <w:r>
        <w:rPr>
          <w:rFonts w:eastAsia="楷体_GB2312" w:hint="eastAsia"/>
          <w:szCs w:val="21"/>
        </w:rPr>
        <w:t>．</w:t>
      </w:r>
      <w:r>
        <w:rPr>
          <w:rFonts w:hint="eastAsia"/>
        </w:rPr>
        <w:t>类白血病反应：</w:t>
      </w:r>
    </w:p>
    <w:p w:rsidR="003717A0" w:rsidRDefault="003717A0">
      <w:pPr>
        <w:adjustRightInd w:val="0"/>
        <w:snapToGrid w:val="0"/>
        <w:spacing w:line="360" w:lineRule="auto"/>
      </w:pPr>
    </w:p>
    <w:p w:rsidR="003717A0" w:rsidRDefault="003717A0">
      <w:pPr>
        <w:adjustRightInd w:val="0"/>
        <w:snapToGrid w:val="0"/>
        <w:spacing w:line="360" w:lineRule="auto"/>
      </w:pPr>
      <w:r>
        <w:rPr>
          <w:rFonts w:eastAsia="楷体_GB2312"/>
          <w:szCs w:val="21"/>
        </w:rPr>
        <w:t>9</w:t>
      </w:r>
      <w:r>
        <w:rPr>
          <w:rFonts w:eastAsia="楷体_GB2312" w:hint="eastAsia"/>
          <w:szCs w:val="21"/>
        </w:rPr>
        <w:t>．</w:t>
      </w:r>
      <w:r>
        <w:rPr>
          <w:rFonts w:hint="eastAsia"/>
        </w:rPr>
        <w:t>同工酶：</w:t>
      </w:r>
    </w:p>
    <w:p w:rsidR="003717A0" w:rsidRDefault="003717A0">
      <w:pPr>
        <w:adjustRightInd w:val="0"/>
        <w:snapToGrid w:val="0"/>
        <w:spacing w:line="360" w:lineRule="auto"/>
      </w:pPr>
    </w:p>
    <w:p w:rsidR="003717A0" w:rsidRDefault="003717A0">
      <w:pPr>
        <w:adjustRightInd w:val="0"/>
        <w:snapToGrid w:val="0"/>
        <w:spacing w:line="360" w:lineRule="auto"/>
      </w:pPr>
      <w:r>
        <w:rPr>
          <w:szCs w:val="21"/>
        </w:rPr>
        <w:t>10</w:t>
      </w:r>
      <w:r>
        <w:rPr>
          <w:rFonts w:hint="eastAsia"/>
        </w:rPr>
        <w:t>．二尖瓣</w:t>
      </w:r>
      <w:r>
        <w:t>P</w:t>
      </w:r>
      <w:r>
        <w:rPr>
          <w:rFonts w:hint="eastAsia"/>
        </w:rPr>
        <w:t>波：</w:t>
      </w:r>
    </w:p>
    <w:p w:rsidR="003717A0" w:rsidRDefault="003717A0">
      <w:pPr>
        <w:widowControl/>
        <w:adjustRightInd w:val="0"/>
        <w:snapToGrid w:val="0"/>
        <w:spacing w:line="440" w:lineRule="exact"/>
        <w:ind w:firstLineChars="162" w:firstLine="358"/>
        <w:rPr>
          <w:rFonts w:ascii="Times New Roman" w:hAnsi="Times New Roman"/>
          <w:b/>
          <w:kern w:val="0"/>
          <w:sz w:val="22"/>
        </w:rPr>
      </w:pPr>
    </w:p>
    <w:p w:rsidR="003717A0" w:rsidRDefault="003717A0">
      <w:pPr>
        <w:widowControl/>
        <w:jc w:val="left"/>
      </w:pPr>
      <w:r>
        <w:rPr>
          <w:rFonts w:ascii="Times New Roman" w:hAnsi="Times New Roman" w:hint="eastAsia"/>
          <w:b/>
          <w:kern w:val="0"/>
          <w:sz w:val="22"/>
        </w:rPr>
        <w:lastRenderedPageBreak/>
        <w:t>四、简答题：</w:t>
      </w:r>
      <w:r>
        <w:rPr>
          <w:szCs w:val="21"/>
        </w:rPr>
        <w:t xml:space="preserve"> </w:t>
      </w:r>
      <w:r>
        <w:rPr>
          <w:rFonts w:hint="eastAsia"/>
        </w:rPr>
        <w:t>（每题</w:t>
      </w:r>
      <w:r>
        <w:t>6</w:t>
      </w:r>
      <w:r>
        <w:rPr>
          <w:rFonts w:hint="eastAsia"/>
        </w:rPr>
        <w:t>分，共</w:t>
      </w:r>
      <w:r>
        <w:t>30</w:t>
      </w:r>
      <w:r>
        <w:rPr>
          <w:rFonts w:hint="eastAsia"/>
        </w:rPr>
        <w:t>分</w:t>
      </w:r>
      <w:r>
        <w:t xml:space="preserve"> </w:t>
      </w:r>
      <w:r>
        <w:rPr>
          <w:rFonts w:hint="eastAsia"/>
        </w:rPr>
        <w:t>）</w:t>
      </w:r>
    </w:p>
    <w:p w:rsidR="003717A0" w:rsidRDefault="003717A0">
      <w:pPr>
        <w:rPr>
          <w:szCs w:val="21"/>
        </w:rPr>
      </w:pPr>
      <w:r>
        <w:rPr>
          <w:szCs w:val="21"/>
        </w:rPr>
        <w:t>1</w:t>
      </w:r>
      <w:r>
        <w:rPr>
          <w:rFonts w:hint="eastAsia"/>
          <w:szCs w:val="21"/>
        </w:rPr>
        <w:t>．试述中至大量胸腔积液的主要症状和体征。</w:t>
      </w:r>
    </w:p>
    <w:p w:rsidR="003717A0" w:rsidRDefault="003717A0">
      <w:pPr>
        <w:rPr>
          <w:szCs w:val="21"/>
        </w:rPr>
      </w:pPr>
      <w:r>
        <w:rPr>
          <w:szCs w:val="21"/>
        </w:rPr>
        <w:t>2</w:t>
      </w:r>
      <w:r>
        <w:rPr>
          <w:rFonts w:hint="eastAsia"/>
          <w:szCs w:val="21"/>
        </w:rPr>
        <w:t>．如何鉴别生理性与器质性收缩期杂音？</w:t>
      </w:r>
    </w:p>
    <w:p w:rsidR="003717A0" w:rsidRDefault="003717A0">
      <w:pPr>
        <w:rPr>
          <w:szCs w:val="21"/>
        </w:rPr>
      </w:pPr>
      <w:r>
        <w:rPr>
          <w:szCs w:val="21"/>
        </w:rPr>
        <w:t>3</w:t>
      </w:r>
      <w:r>
        <w:rPr>
          <w:rFonts w:hint="eastAsia"/>
          <w:szCs w:val="21"/>
        </w:rPr>
        <w:t>．试述肾小球性蛋白尿的产生机制及特点。</w:t>
      </w:r>
    </w:p>
    <w:p w:rsidR="003717A0" w:rsidRDefault="003717A0">
      <w:pPr>
        <w:rPr>
          <w:szCs w:val="21"/>
        </w:rPr>
      </w:pPr>
      <w:r>
        <w:rPr>
          <w:szCs w:val="21"/>
        </w:rPr>
        <w:t>4</w:t>
      </w:r>
      <w:r>
        <w:rPr>
          <w:rFonts w:hint="eastAsia"/>
          <w:szCs w:val="21"/>
        </w:rPr>
        <w:t>．三种黄疸的鉴别诊断。</w:t>
      </w:r>
    </w:p>
    <w:p w:rsidR="003717A0" w:rsidRDefault="003717A0">
      <w:pPr>
        <w:rPr>
          <w:szCs w:val="21"/>
        </w:rPr>
      </w:pPr>
      <w:r>
        <w:rPr>
          <w:szCs w:val="21"/>
        </w:rPr>
        <w:t>5</w:t>
      </w:r>
      <w:r>
        <w:rPr>
          <w:rFonts w:hint="eastAsia"/>
          <w:szCs w:val="21"/>
        </w:rPr>
        <w:t>．完整的止血机制依赖于哪几个因素的作用。</w:t>
      </w:r>
    </w:p>
    <w:p w:rsidR="003717A0" w:rsidRDefault="003717A0">
      <w:pPr>
        <w:rPr>
          <w:szCs w:val="21"/>
        </w:rPr>
      </w:pPr>
    </w:p>
    <w:p w:rsidR="003717A0" w:rsidRDefault="003717A0">
      <w:pPr>
        <w:spacing w:line="300" w:lineRule="auto"/>
        <w:rPr>
          <w:szCs w:val="21"/>
        </w:rPr>
      </w:pPr>
    </w:p>
    <w:p w:rsidR="003717A0" w:rsidRDefault="003717A0">
      <w:pPr>
        <w:spacing w:line="300" w:lineRule="auto"/>
        <w:rPr>
          <w:szCs w:val="21"/>
        </w:rPr>
      </w:pPr>
    </w:p>
    <w:p w:rsidR="003717A0" w:rsidRDefault="003717A0" w:rsidP="00F5156D">
      <w:pPr>
        <w:adjustRightInd w:val="0"/>
        <w:snapToGrid w:val="0"/>
        <w:spacing w:line="360" w:lineRule="auto"/>
        <w:jc w:val="center"/>
        <w:rPr>
          <w:rFonts w:ascii="Times New Roman" w:eastAsia="黑体" w:hAnsi="Times New Roman"/>
          <w:kern w:val="0"/>
          <w:sz w:val="30"/>
          <w:szCs w:val="30"/>
        </w:rPr>
      </w:pPr>
      <w:r>
        <w:rPr>
          <w:rFonts w:ascii="Times New Roman" w:hAnsi="Times New Roman"/>
          <w:b/>
          <w:kern w:val="0"/>
          <w:sz w:val="22"/>
        </w:rPr>
        <w:br w:type="page"/>
      </w:r>
      <w:r w:rsidRPr="00F5156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338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形态的描述，可在实习课中让学生通过对标本、模型、录像等的观察来加强理解。教师应关心诊断学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3400"/>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42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2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426"/>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52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2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2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2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427"/>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bookmarkStart w:id="91" w:name="_Toc469313007"/>
      <w:bookmarkStart w:id="92" w:name="_Toc471830719"/>
      <w:r w:rsidRPr="00F5156D">
        <w:rPr>
          <w:rFonts w:hint="eastAsia"/>
          <w:b/>
        </w:rPr>
        <w:lastRenderedPageBreak/>
        <w:t>《作业治疗理论与技术》课程质量标准</w:t>
      </w:r>
      <w:bookmarkEnd w:id="91"/>
      <w:bookmarkEnd w:id="92"/>
    </w:p>
    <w:p w:rsidR="003717A0" w:rsidRPr="00F5156D" w:rsidRDefault="003717A0" w:rsidP="00F5156D">
      <w:pPr>
        <w:adjustRightInd w:val="0"/>
        <w:snapToGrid w:val="0"/>
        <w:spacing w:line="360" w:lineRule="auto"/>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作业治疗理论与技术</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Theory and Technology of Occupational Therapy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170690</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四</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72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康复医学教研室</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《作业治疗学》；《基础作业学》、《临床作业疗法学》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人民卫生出版社</w:t>
            </w:r>
            <w:r>
              <w:rPr>
                <w:rFonts w:ascii="宋体" w:hAnsi="宋体"/>
                <w:szCs w:val="21"/>
              </w:rPr>
              <w:t xml:space="preserve">  2008</w:t>
            </w:r>
            <w:r>
              <w:rPr>
                <w:rFonts w:ascii="宋体" w:hAnsi="宋体" w:hint="eastAsia"/>
                <w:szCs w:val="21"/>
              </w:rPr>
              <w:t>年；华夏出版社</w:t>
            </w:r>
            <w:r>
              <w:rPr>
                <w:rFonts w:ascii="宋体" w:hAnsi="宋体"/>
                <w:szCs w:val="21"/>
              </w:rPr>
              <w:t xml:space="preserve">  2003</w:t>
            </w:r>
            <w:r>
              <w:rPr>
                <w:rFonts w:ascii="宋体" w:hAnsi="宋体" w:hint="eastAsia"/>
                <w:szCs w:val="21"/>
              </w:rPr>
              <w:t>年</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沈光宇</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1985.06</w:t>
            </w:r>
          </w:p>
        </w:tc>
      </w:tr>
      <w:tr w:rsidR="003717A0">
        <w:tc>
          <w:tcPr>
            <w:tcW w:w="1668" w:type="dxa"/>
          </w:tcPr>
          <w:p w:rsidR="003717A0" w:rsidRDefault="003717A0">
            <w:pPr>
              <w:adjustRightInd w:val="0"/>
              <w:snapToGrid w:val="0"/>
              <w:spacing w:line="500" w:lineRule="exact"/>
              <w:rPr>
                <w:sz w:val="22"/>
              </w:rPr>
            </w:pPr>
            <w:r>
              <w:rPr>
                <w:rFonts w:hint="eastAsia"/>
                <w:sz w:val="22"/>
              </w:rPr>
              <w:t>胡玉明</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2003.08</w:t>
            </w:r>
          </w:p>
        </w:tc>
      </w:tr>
      <w:tr w:rsidR="003717A0">
        <w:tc>
          <w:tcPr>
            <w:tcW w:w="1668" w:type="dxa"/>
          </w:tcPr>
          <w:p w:rsidR="003717A0" w:rsidRDefault="003717A0">
            <w:pPr>
              <w:adjustRightInd w:val="0"/>
              <w:snapToGrid w:val="0"/>
              <w:spacing w:line="500" w:lineRule="exact"/>
              <w:rPr>
                <w:sz w:val="22"/>
              </w:rPr>
            </w:pPr>
            <w:r>
              <w:rPr>
                <w:rFonts w:hint="eastAsia"/>
                <w:sz w:val="22"/>
              </w:rPr>
              <w:t>鞠晶昀</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2005.08</w:t>
            </w:r>
          </w:p>
        </w:tc>
      </w:tr>
      <w:tr w:rsidR="003717A0">
        <w:tc>
          <w:tcPr>
            <w:tcW w:w="1668" w:type="dxa"/>
          </w:tcPr>
          <w:p w:rsidR="003717A0" w:rsidRDefault="003717A0">
            <w:pPr>
              <w:adjustRightInd w:val="0"/>
              <w:snapToGrid w:val="0"/>
              <w:spacing w:line="500" w:lineRule="exact"/>
              <w:rPr>
                <w:sz w:val="22"/>
              </w:rPr>
            </w:pPr>
            <w:r>
              <w:rPr>
                <w:rFonts w:hint="eastAsia"/>
                <w:sz w:val="22"/>
              </w:rPr>
              <w:t>顾琦</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2005.08</w:t>
            </w:r>
          </w:p>
        </w:tc>
      </w:tr>
      <w:tr w:rsidR="003717A0">
        <w:tc>
          <w:tcPr>
            <w:tcW w:w="1668" w:type="dxa"/>
          </w:tcPr>
          <w:p w:rsidR="003717A0" w:rsidRDefault="003717A0">
            <w:pPr>
              <w:adjustRightInd w:val="0"/>
              <w:snapToGrid w:val="0"/>
              <w:spacing w:line="500" w:lineRule="exact"/>
              <w:rPr>
                <w:sz w:val="22"/>
              </w:rPr>
            </w:pPr>
            <w:r>
              <w:rPr>
                <w:rFonts w:hint="eastAsia"/>
                <w:sz w:val="22"/>
              </w:rPr>
              <w:t>张芳芳</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助教</w:t>
            </w:r>
          </w:p>
        </w:tc>
        <w:tc>
          <w:tcPr>
            <w:tcW w:w="1524" w:type="dxa"/>
          </w:tcPr>
          <w:p w:rsidR="003717A0" w:rsidRDefault="003717A0">
            <w:pPr>
              <w:adjustRightInd w:val="0"/>
              <w:snapToGrid w:val="0"/>
              <w:spacing w:line="500" w:lineRule="exact"/>
              <w:rPr>
                <w:sz w:val="22"/>
              </w:rPr>
            </w:pPr>
            <w:r>
              <w:rPr>
                <w:sz w:val="22"/>
              </w:rPr>
              <w:t>2010.08</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spacing w:line="360" w:lineRule="auto"/>
              <w:ind w:firstLineChars="200" w:firstLine="440"/>
              <w:rPr>
                <w:sz w:val="22"/>
              </w:rPr>
            </w:pPr>
            <w:r>
              <w:rPr>
                <w:rFonts w:hint="eastAsia"/>
                <w:sz w:val="22"/>
              </w:rPr>
              <w:t>作业治疗理论与技术是作业治疗学专业的一门必修课程，是康复治疗学的重要组成部分。通过本课程学习，使学生重点掌握作业治疗的相关原理和理论、作业治疗的评估、临床推理与决策，同时熟悉压力治疗技术、感觉统合技术、矫形器、轮椅、环境改造等。本课程是康复治疗学专业分专业教学课程改革和课程建设的试点课程，在教学过程中尝试引入</w:t>
            </w:r>
            <w:r>
              <w:rPr>
                <w:sz w:val="22"/>
              </w:rPr>
              <w:t>WFOT</w:t>
            </w:r>
            <w:r>
              <w:rPr>
                <w:rFonts w:hint="eastAsia"/>
                <w:sz w:val="22"/>
              </w:rPr>
              <w:t>的教学标准和理念，根据我国作业治疗专业教学大纲（草）的要求</w:t>
            </w:r>
            <w:r>
              <w:rPr>
                <w:sz w:val="22"/>
              </w:rPr>
              <w:t>,</w:t>
            </w:r>
            <w:r>
              <w:rPr>
                <w:rFonts w:hint="eastAsia"/>
                <w:sz w:val="22"/>
              </w:rPr>
              <w:t>将融合《基础作业学》、《临床作业疗法学》、《神经康复学》等相关课程内容，初步编排了教学大纲，暂定名为《作业治疗理论与技</w:t>
            </w:r>
            <w:r>
              <w:rPr>
                <w:rFonts w:hint="eastAsia"/>
                <w:sz w:val="22"/>
              </w:rPr>
              <w:lastRenderedPageBreak/>
              <w:t>术》。本课程教学的主要路径与方法：（</w:t>
            </w:r>
            <w:r>
              <w:rPr>
                <w:sz w:val="22"/>
              </w:rPr>
              <w:t>1</w:t>
            </w:r>
            <w:r>
              <w:rPr>
                <w:rFonts w:hint="eastAsia"/>
                <w:sz w:val="22"/>
              </w:rPr>
              <w:t>）通过理论课堂讲解和手法演示主要知识点，使学生掌握本课程的基本概念和操作技能，同时利用参考书和</w:t>
            </w:r>
            <w:r>
              <w:rPr>
                <w:sz w:val="22"/>
              </w:rPr>
              <w:t>blackboard</w:t>
            </w:r>
            <w:r>
              <w:rPr>
                <w:rFonts w:hint="eastAsia"/>
                <w:sz w:val="22"/>
              </w:rPr>
              <w:t>等网络平台，辅导学生逐步形成自主学习的能力；（</w:t>
            </w:r>
            <w:r>
              <w:rPr>
                <w:sz w:val="22"/>
              </w:rPr>
              <w:t>2</w:t>
            </w:r>
            <w:r>
              <w:rPr>
                <w:rFonts w:hint="eastAsia"/>
                <w:sz w:val="22"/>
              </w:rPr>
              <w:t>）根据理论课中每个章节给出的学生论坛专题，由</w:t>
            </w:r>
            <w:r>
              <w:rPr>
                <w:sz w:val="22"/>
              </w:rPr>
              <w:t>5-6</w:t>
            </w:r>
            <w:r>
              <w:rPr>
                <w:rFonts w:hint="eastAsia"/>
                <w:sz w:val="22"/>
              </w:rPr>
              <w:t>人组成小组，收集资料，自学、整理、制作相关</w:t>
            </w:r>
            <w:r>
              <w:rPr>
                <w:sz w:val="22"/>
              </w:rPr>
              <w:t>PPT</w:t>
            </w:r>
            <w:r>
              <w:rPr>
                <w:rFonts w:hint="eastAsia"/>
                <w:sz w:val="22"/>
              </w:rPr>
              <w:t>，并进行全班交流和讨论，拓展与本课程相关的知识面。</w:t>
            </w:r>
          </w:p>
        </w:tc>
      </w:tr>
    </w:tbl>
    <w:p w:rsidR="003717A0" w:rsidRDefault="003717A0" w:rsidP="00F5156D">
      <w:pPr>
        <w:adjustRightInd w:val="0"/>
        <w:snapToGrid w:val="0"/>
        <w:spacing w:line="360" w:lineRule="auto"/>
        <w:jc w:val="center"/>
        <w:rPr>
          <w:rFonts w:ascii="Times New Roman" w:eastAsia="黑体" w:hAnsi="Times New Roman" w:cs="Times New Roman"/>
          <w:b/>
          <w:bCs/>
          <w:kern w:val="0"/>
          <w:sz w:val="32"/>
          <w:szCs w:val="32"/>
        </w:rPr>
      </w:pPr>
    </w:p>
    <w:p w:rsidR="003717A0" w:rsidRPr="00F5156D" w:rsidRDefault="003717A0" w:rsidP="00F5156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ind w:firstLineChars="193" w:firstLine="425"/>
        <w:jc w:val="left"/>
        <w:rPr>
          <w:sz w:val="22"/>
        </w:rPr>
      </w:pPr>
      <w:r>
        <w:rPr>
          <w:rFonts w:hint="eastAsia"/>
          <w:sz w:val="22"/>
        </w:rPr>
        <w:t>适应对象：（本科层次，康复治疗学）</w:t>
      </w:r>
    </w:p>
    <w:p w:rsidR="003717A0" w:rsidRDefault="003717A0">
      <w:pPr>
        <w:autoSpaceDE w:val="0"/>
        <w:autoSpaceDN w:val="0"/>
        <w:adjustRightInd w:val="0"/>
        <w:snapToGrid w:val="0"/>
        <w:ind w:firstLineChars="193" w:firstLine="425"/>
        <w:jc w:val="left"/>
        <w:rPr>
          <w:sz w:val="22"/>
        </w:rPr>
      </w:pPr>
      <w:r>
        <w:rPr>
          <w:rFonts w:hint="eastAsia"/>
          <w:sz w:val="22"/>
        </w:rPr>
        <w:t>课程代码：</w:t>
      </w:r>
      <w:r>
        <w:rPr>
          <w:sz w:val="22"/>
        </w:rPr>
        <w:t>170690</w:t>
      </w:r>
    </w:p>
    <w:p w:rsidR="003717A0" w:rsidRDefault="003717A0">
      <w:pPr>
        <w:autoSpaceDE w:val="0"/>
        <w:autoSpaceDN w:val="0"/>
        <w:adjustRightInd w:val="0"/>
        <w:snapToGrid w:val="0"/>
        <w:ind w:firstLineChars="193" w:firstLine="425"/>
        <w:jc w:val="left"/>
        <w:rPr>
          <w:sz w:val="22"/>
        </w:rPr>
      </w:pPr>
      <w:r>
        <w:rPr>
          <w:rFonts w:hint="eastAsia"/>
          <w:sz w:val="22"/>
        </w:rPr>
        <w:t>学时分配：</w:t>
      </w:r>
      <w:r>
        <w:rPr>
          <w:sz w:val="22"/>
        </w:rPr>
        <w:t xml:space="preserve">72 </w:t>
      </w:r>
      <w:r>
        <w:rPr>
          <w:rFonts w:hint="eastAsia"/>
          <w:sz w:val="22"/>
        </w:rPr>
        <w:t>（理论课：</w:t>
      </w:r>
      <w:r>
        <w:rPr>
          <w:sz w:val="22"/>
        </w:rPr>
        <w:t xml:space="preserve">42    </w:t>
      </w:r>
      <w:r>
        <w:rPr>
          <w:rFonts w:hint="eastAsia"/>
          <w:sz w:val="22"/>
        </w:rPr>
        <w:t>实践课：</w:t>
      </w:r>
      <w:r>
        <w:rPr>
          <w:sz w:val="22"/>
        </w:rPr>
        <w:t>30.</w:t>
      </w:r>
      <w:r>
        <w:rPr>
          <w:rFonts w:hint="eastAsia"/>
          <w:sz w:val="22"/>
        </w:rPr>
        <w:t>）</w:t>
      </w:r>
    </w:p>
    <w:p w:rsidR="003717A0" w:rsidRDefault="003717A0">
      <w:pPr>
        <w:autoSpaceDE w:val="0"/>
        <w:autoSpaceDN w:val="0"/>
        <w:adjustRightInd w:val="0"/>
        <w:ind w:firstLineChars="193" w:firstLine="425"/>
        <w:jc w:val="left"/>
        <w:rPr>
          <w:sz w:val="22"/>
        </w:rPr>
      </w:pPr>
      <w:r>
        <w:rPr>
          <w:rFonts w:hint="eastAsia"/>
          <w:sz w:val="22"/>
        </w:rPr>
        <w:t>赋予学分：</w:t>
      </w:r>
      <w:r>
        <w:rPr>
          <w:sz w:val="22"/>
        </w:rPr>
        <w:t>3</w:t>
      </w:r>
      <w:r w:rsidR="00DD2A93">
        <w:rPr>
          <w:rFonts w:hint="eastAsia"/>
          <w:sz w:val="22"/>
        </w:rPr>
        <w:t>分</w:t>
      </w:r>
    </w:p>
    <w:p w:rsidR="003717A0" w:rsidRDefault="003717A0">
      <w:pPr>
        <w:autoSpaceDE w:val="0"/>
        <w:autoSpaceDN w:val="0"/>
        <w:adjustRightInd w:val="0"/>
        <w:ind w:firstLineChars="193" w:firstLine="425"/>
        <w:jc w:val="left"/>
        <w:rPr>
          <w:sz w:val="22"/>
        </w:rPr>
      </w:pPr>
      <w:r>
        <w:rPr>
          <w:rFonts w:hint="eastAsia"/>
          <w:sz w:val="22"/>
        </w:rPr>
        <w:t>先修课程：康复功能评定学</w:t>
      </w:r>
    </w:p>
    <w:p w:rsidR="003717A0" w:rsidRDefault="003717A0">
      <w:pPr>
        <w:autoSpaceDE w:val="0"/>
        <w:autoSpaceDN w:val="0"/>
        <w:adjustRightInd w:val="0"/>
        <w:ind w:firstLineChars="193" w:firstLine="425"/>
        <w:jc w:val="left"/>
        <w:rPr>
          <w:sz w:val="22"/>
        </w:rPr>
      </w:pPr>
      <w:r>
        <w:rPr>
          <w:rFonts w:hint="eastAsia"/>
          <w:sz w:val="22"/>
        </w:rPr>
        <w:t>后续课程：</w:t>
      </w:r>
      <w:r>
        <w:rPr>
          <w:sz w:val="22"/>
        </w:rPr>
        <w:t xml:space="preserve"> </w:t>
      </w:r>
      <w:r>
        <w:rPr>
          <w:rFonts w:hint="eastAsia"/>
          <w:sz w:val="22"/>
        </w:rPr>
        <w:t>神经系统作业治疗、骨骼肌肉系统作业治疗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rsidP="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本课程是康复治疗学专业分专业教学课程改革和课程建设的试点课程，在教学过程中尝试引入</w:t>
      </w:r>
      <w:r>
        <w:rPr>
          <w:rFonts w:ascii="Times New Roman" w:hAnsi="Times New Roman"/>
          <w:kern w:val="0"/>
          <w:szCs w:val="21"/>
        </w:rPr>
        <w:t>WFOT</w:t>
      </w:r>
      <w:r>
        <w:rPr>
          <w:rFonts w:ascii="Times New Roman" w:hAnsi="Times New Roman" w:hint="eastAsia"/>
          <w:kern w:val="0"/>
          <w:szCs w:val="21"/>
        </w:rPr>
        <w:t>的教学标准和理念，根据我国作业治疗专业教学大纲（草）的要求</w:t>
      </w:r>
      <w:r>
        <w:rPr>
          <w:rFonts w:ascii="Times New Roman" w:hAnsi="Times New Roman"/>
          <w:kern w:val="0"/>
          <w:szCs w:val="21"/>
        </w:rPr>
        <w:t>,</w:t>
      </w:r>
      <w:r>
        <w:rPr>
          <w:rFonts w:ascii="Times New Roman" w:hAnsi="Times New Roman" w:hint="eastAsia"/>
          <w:kern w:val="0"/>
          <w:szCs w:val="21"/>
        </w:rPr>
        <w:t>将融合《基础作业学》、《临床作业疗法学》、《神经康复学》等相关课程内容，初步编排了教学大纲，暂定名为《作业治疗理论与技术》。</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rsidP="00097A14">
      <w:pPr>
        <w:autoSpaceDE w:val="0"/>
        <w:autoSpaceDN w:val="0"/>
        <w:adjustRightInd w:val="0"/>
        <w:spacing w:line="360" w:lineRule="exact"/>
        <w:ind w:firstLineChars="193" w:firstLine="405"/>
        <w:jc w:val="left"/>
      </w:pPr>
      <w:r>
        <w:rPr>
          <w:rFonts w:ascii="Times New Roman" w:hAnsi="Times New Roman" w:hint="eastAsia"/>
          <w:kern w:val="0"/>
          <w:szCs w:val="21"/>
        </w:rPr>
        <w:t>通过本课程学习，使学生重点掌握作业治疗的相关原理和理论、作业治疗的评估、临床推理与决策，同时熟悉压力治疗技术、感觉统合技术、矫形器、轮椅、环境改造等。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ind w:firstLineChars="200" w:firstLine="422"/>
        <w:rPr>
          <w:rFonts w:ascii="宋体"/>
          <w:b/>
          <w:szCs w:val="21"/>
        </w:rPr>
      </w:pPr>
      <w:r>
        <w:rPr>
          <w:rFonts w:ascii="宋体" w:hAnsi="宋体" w:hint="eastAsia"/>
          <w:b/>
          <w:szCs w:val="21"/>
        </w:rPr>
        <w:t>第一章</w:t>
      </w:r>
      <w:r>
        <w:rPr>
          <w:rFonts w:ascii="宋体" w:hAnsi="宋体"/>
          <w:b/>
          <w:szCs w:val="21"/>
        </w:rPr>
        <w:t xml:space="preserve">   </w:t>
      </w:r>
      <w:r>
        <w:rPr>
          <w:rFonts w:ascii="宋体" w:hAnsi="宋体" w:hint="eastAsia"/>
          <w:b/>
          <w:szCs w:val="21"/>
        </w:rPr>
        <w:t>作业治疗概论</w:t>
      </w:r>
      <w:r>
        <w:rPr>
          <w:rFonts w:ascii="宋体" w:hAnsi="宋体"/>
          <w:b/>
          <w:szCs w:val="21"/>
        </w:rPr>
        <w:t xml:space="preserve"> </w:t>
      </w:r>
      <w:r>
        <w:rPr>
          <w:rFonts w:ascii="宋体" w:hAnsi="宋体" w:hint="eastAsia"/>
          <w:b/>
          <w:szCs w:val="21"/>
        </w:rPr>
        <w:t>（一、二）</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宋体" w:hAnsi="宋体"/>
          <w:szCs w:val="21"/>
        </w:rPr>
        <w:t xml:space="preserve"> </w:t>
      </w:r>
      <w:r>
        <w:rPr>
          <w:rFonts w:ascii="Times New Roman" w:hAnsi="Times New Roman" w:hint="eastAsia"/>
          <w:kern w:val="0"/>
          <w:szCs w:val="21"/>
        </w:rPr>
        <w:t>目的要求：</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掌握作业的概念</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掌握作业活动的范围、层次及内容</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掌握作业治疗的定义及分类</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掌握作业与人生、生活、健康、环境和处境、文化素质的关系</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5</w:t>
      </w:r>
      <w:r>
        <w:rPr>
          <w:rFonts w:ascii="Times New Roman" w:hAnsi="Times New Roman" w:hint="eastAsia"/>
          <w:kern w:val="0"/>
          <w:szCs w:val="21"/>
        </w:rPr>
        <w:t>、</w:t>
      </w:r>
      <w:r w:rsidR="003717A0">
        <w:rPr>
          <w:rFonts w:ascii="Times New Roman" w:hAnsi="Times New Roman" w:hint="eastAsia"/>
          <w:kern w:val="0"/>
          <w:szCs w:val="21"/>
        </w:rPr>
        <w:t>掌握作业治疗的基本理论，包括作业治疗范例、实践模式、参考架构、及治疗方案的关系</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6</w:t>
      </w:r>
      <w:r>
        <w:rPr>
          <w:rFonts w:ascii="Times New Roman" w:hAnsi="Times New Roman" w:hint="eastAsia"/>
          <w:kern w:val="0"/>
          <w:szCs w:val="21"/>
        </w:rPr>
        <w:t>、</w:t>
      </w:r>
      <w:r w:rsidR="003717A0">
        <w:rPr>
          <w:rFonts w:ascii="Times New Roman" w:hAnsi="Times New Roman" w:hint="eastAsia"/>
          <w:kern w:val="0"/>
          <w:szCs w:val="21"/>
        </w:rPr>
        <w:t>掌握作业治疗的四种临床思维层面及两种思维过程，作业治疗过程的最基本六个步骤，和常用的六种干预手段</w:t>
      </w:r>
    </w:p>
    <w:p w:rsidR="003717A0" w:rsidRDefault="00DD2A93">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7</w:t>
      </w:r>
      <w:r>
        <w:rPr>
          <w:rFonts w:ascii="Times New Roman" w:hAnsi="Times New Roman" w:hint="eastAsia"/>
          <w:kern w:val="0"/>
          <w:szCs w:val="21"/>
        </w:rPr>
        <w:t>、</w:t>
      </w:r>
      <w:r w:rsidR="003717A0">
        <w:rPr>
          <w:rFonts w:ascii="Times New Roman" w:hAnsi="Times New Roman" w:hint="eastAsia"/>
          <w:kern w:val="0"/>
          <w:szCs w:val="21"/>
        </w:rPr>
        <w:t>熟悉作业模式及常用参考架构</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作业理论</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、作业</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、作业治疗</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、意义</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作业治疗基本理论</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、作业治疗范例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、作业治疗的实践模式</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第三节作业治疗临床思维方法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第四节专业人员及其组织</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lastRenderedPageBreak/>
        <w:t>第五节</w:t>
      </w:r>
      <w:r>
        <w:rPr>
          <w:rFonts w:ascii="Times New Roman" w:hAnsi="Times New Roman"/>
          <w:kern w:val="0"/>
          <w:szCs w:val="21"/>
        </w:rPr>
        <w:t xml:space="preserve"> </w:t>
      </w:r>
      <w:r>
        <w:rPr>
          <w:rFonts w:ascii="Times New Roman" w:hAnsi="Times New Roman" w:hint="eastAsia"/>
          <w:kern w:val="0"/>
          <w:szCs w:val="21"/>
        </w:rPr>
        <w:t>作业治疗发展简史</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第三章</w:t>
      </w:r>
      <w:r>
        <w:rPr>
          <w:rFonts w:ascii="Times New Roman" w:hAnsi="Times New Roman"/>
          <w:kern w:val="0"/>
          <w:szCs w:val="21"/>
        </w:rPr>
        <w:t xml:space="preserve">  </w:t>
      </w:r>
      <w:r>
        <w:rPr>
          <w:rFonts w:ascii="Times New Roman" w:hAnsi="Times New Roman" w:hint="eastAsia"/>
          <w:kern w:val="0"/>
          <w:szCs w:val="21"/>
        </w:rPr>
        <w:t>临床推理与决策</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目的要求：</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掌握作业治疗程序</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掌握各种类型的临床推理。</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概述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概念</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类型</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病例分析</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第四章</w:t>
      </w:r>
      <w:r>
        <w:rPr>
          <w:rFonts w:ascii="Times New Roman" w:hAnsi="Times New Roman"/>
          <w:kern w:val="0"/>
          <w:szCs w:val="21"/>
        </w:rPr>
        <w:t xml:space="preserve">  </w:t>
      </w:r>
      <w:r>
        <w:rPr>
          <w:rFonts w:ascii="Times New Roman" w:hAnsi="Times New Roman" w:hint="eastAsia"/>
          <w:kern w:val="0"/>
          <w:szCs w:val="21"/>
        </w:rPr>
        <w:t>作业治疗评估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、掌握作业治疗评估概念、评估步骤、目的。</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、掌握活动范畴、行为构成、行为场景概念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、掌握任务分析、活动分析概念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、掌握任务分析具体方法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、熟悉作业治疗评估分类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、熟悉活动分析方法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、熟悉加拿大作业活动行为评估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、目的</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、分类和步骤</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、评估方法的选择</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、评估的注意事项</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任务分析和活动分析</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、分析方法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、作业行为评定</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第三节作业活动行为评估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、量表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职业评定</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第五章</w:t>
      </w:r>
      <w:r>
        <w:rPr>
          <w:rFonts w:ascii="Times New Roman" w:hAnsi="Times New Roman"/>
          <w:kern w:val="0"/>
          <w:szCs w:val="21"/>
        </w:rPr>
        <w:t xml:space="preserve">  </w:t>
      </w:r>
      <w:r>
        <w:rPr>
          <w:rFonts w:ascii="Times New Roman" w:hAnsi="Times New Roman" w:hint="eastAsia"/>
          <w:kern w:val="0"/>
          <w:szCs w:val="21"/>
        </w:rPr>
        <w:t>治疗性作业活动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1</w:t>
      </w:r>
      <w:r>
        <w:rPr>
          <w:rFonts w:ascii="Times New Roman" w:hAnsi="Times New Roman" w:hint="eastAsia"/>
          <w:kern w:val="0"/>
          <w:szCs w:val="21"/>
        </w:rPr>
        <w:t>、掌握作业活动的治疗作用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、掌握作业活动的选择和训练原则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、掌握常用作业活动的治疗作用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、熟悉治疗性作业活动的概念及分类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、熟悉常用代表性活动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、熟悉常用作业活动的注意事项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、概念及特点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、治疗作用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、分类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、应用原则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生产性活动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木工作业</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金工作业</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制陶作业</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手工艺活动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手工编织</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剪纸</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豆贴画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第六章</w:t>
      </w:r>
      <w:r>
        <w:rPr>
          <w:rFonts w:ascii="Times New Roman" w:hAnsi="Times New Roman"/>
          <w:kern w:val="0"/>
          <w:szCs w:val="21"/>
        </w:rPr>
        <w:t xml:space="preserve">   ADL</w:t>
      </w:r>
      <w:r>
        <w:rPr>
          <w:rFonts w:ascii="Times New Roman" w:hAnsi="Times New Roman" w:hint="eastAsia"/>
          <w:kern w:val="0"/>
          <w:szCs w:val="21"/>
        </w:rPr>
        <w:t>训练活动分析方法的应用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w:t>
      </w:r>
      <w:r>
        <w:rPr>
          <w:rFonts w:ascii="Times New Roman" w:hAnsi="Times New Roman"/>
          <w:kern w:val="0"/>
          <w:szCs w:val="21"/>
        </w:rPr>
        <w:t xml:space="preserve">: </w:t>
      </w:r>
      <w:r>
        <w:rPr>
          <w:rFonts w:ascii="Times New Roman" w:hAnsi="Times New Roman" w:hint="eastAsia"/>
          <w:kern w:val="0"/>
          <w:szCs w:val="21"/>
        </w:rPr>
        <w:t>穿衣、洗脸、进食等活动成分、动作分析内容；</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掌握桥式运动、床上翻身等活动成分、动作分析内容。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、熟悉：</w:t>
      </w:r>
      <w:r>
        <w:rPr>
          <w:rFonts w:ascii="Times New Roman" w:hAnsi="Times New Roman"/>
          <w:kern w:val="0"/>
          <w:szCs w:val="21"/>
        </w:rPr>
        <w:t>ADL</w:t>
      </w:r>
      <w:r>
        <w:rPr>
          <w:rFonts w:ascii="Times New Roman" w:hAnsi="Times New Roman" w:hint="eastAsia"/>
          <w:kern w:val="0"/>
          <w:szCs w:val="21"/>
        </w:rPr>
        <w:t>简单分析与详细分析内容；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、熟悉滑动转移活动成分及动作分析内容。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概述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定义</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目的</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分类</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5</w:t>
      </w:r>
      <w:r>
        <w:rPr>
          <w:rFonts w:ascii="Times New Roman" w:hAnsi="Times New Roman" w:hint="eastAsia"/>
          <w:kern w:val="0"/>
          <w:szCs w:val="21"/>
        </w:rPr>
        <w:t>、</w:t>
      </w:r>
      <w:r w:rsidR="003717A0">
        <w:rPr>
          <w:rFonts w:ascii="Times New Roman" w:hAnsi="Times New Roman" w:hint="eastAsia"/>
          <w:kern w:val="0"/>
          <w:szCs w:val="21"/>
        </w:rPr>
        <w:t>内容</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6</w:t>
      </w:r>
      <w:r>
        <w:rPr>
          <w:rFonts w:ascii="Times New Roman" w:hAnsi="Times New Roman" w:hint="eastAsia"/>
          <w:kern w:val="0"/>
          <w:szCs w:val="21"/>
        </w:rPr>
        <w:t>、</w:t>
      </w:r>
      <w:r w:rsidR="003717A0">
        <w:rPr>
          <w:rFonts w:ascii="Times New Roman" w:hAnsi="Times New Roman" w:hint="eastAsia"/>
          <w:kern w:val="0"/>
          <w:szCs w:val="21"/>
        </w:rPr>
        <w:t>方法</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7</w:t>
      </w:r>
      <w:r>
        <w:rPr>
          <w:rFonts w:ascii="Times New Roman" w:hAnsi="Times New Roman" w:hint="eastAsia"/>
          <w:kern w:val="0"/>
          <w:szCs w:val="21"/>
        </w:rPr>
        <w:t>、</w:t>
      </w:r>
      <w:r w:rsidR="003717A0">
        <w:rPr>
          <w:rFonts w:ascii="Times New Roman" w:hAnsi="Times New Roman" w:hint="eastAsia"/>
          <w:kern w:val="0"/>
          <w:szCs w:val="21"/>
        </w:rPr>
        <w:t>活动分析应用原则</w:t>
      </w:r>
      <w:r w:rsidR="003717A0">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8</w:t>
      </w:r>
      <w:r>
        <w:rPr>
          <w:rFonts w:ascii="Times New Roman" w:hAnsi="Times New Roman" w:hint="eastAsia"/>
          <w:kern w:val="0"/>
          <w:szCs w:val="21"/>
        </w:rPr>
        <w:t>、</w:t>
      </w:r>
      <w:r w:rsidR="003717A0">
        <w:rPr>
          <w:rFonts w:ascii="Times New Roman" w:hAnsi="Times New Roman" w:hint="eastAsia"/>
          <w:kern w:val="0"/>
          <w:szCs w:val="21"/>
        </w:rPr>
        <w:t>活动分析注意事项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自我照顾性</w:t>
      </w:r>
      <w:r>
        <w:rPr>
          <w:rFonts w:ascii="Times New Roman" w:hAnsi="Times New Roman"/>
          <w:kern w:val="0"/>
          <w:szCs w:val="21"/>
        </w:rPr>
        <w:t>ADL</w:t>
      </w:r>
      <w:r>
        <w:rPr>
          <w:rFonts w:ascii="Times New Roman" w:hAnsi="Times New Roman" w:hint="eastAsia"/>
          <w:kern w:val="0"/>
          <w:szCs w:val="21"/>
        </w:rPr>
        <w:t>训练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床上活动训练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、床上运动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2</w:t>
      </w:r>
      <w:r>
        <w:rPr>
          <w:rFonts w:ascii="Times New Roman" w:hAnsi="Times New Roman" w:hint="eastAsia"/>
          <w:kern w:val="0"/>
          <w:szCs w:val="21"/>
        </w:rPr>
        <w:t>、床上翻身</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、卧坐转移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转移活动训练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、滑动转移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、床</w:t>
      </w:r>
      <w:r>
        <w:rPr>
          <w:rFonts w:ascii="Times New Roman" w:hAnsi="Times New Roman"/>
          <w:kern w:val="0"/>
          <w:szCs w:val="21"/>
        </w:rPr>
        <w:t>—</w:t>
      </w:r>
      <w:r>
        <w:rPr>
          <w:rFonts w:ascii="Times New Roman" w:hAnsi="Times New Roman" w:hint="eastAsia"/>
          <w:kern w:val="0"/>
          <w:szCs w:val="21"/>
        </w:rPr>
        <w:t>扶手椅转移</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、如厕</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、洗澡</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第七章</w:t>
      </w:r>
      <w:r>
        <w:rPr>
          <w:rFonts w:ascii="Times New Roman" w:hAnsi="Times New Roman"/>
          <w:kern w:val="0"/>
          <w:szCs w:val="21"/>
        </w:rPr>
        <w:t xml:space="preserve">  </w:t>
      </w:r>
      <w:r>
        <w:rPr>
          <w:rFonts w:ascii="Times New Roman" w:hAnsi="Times New Roman" w:hint="eastAsia"/>
          <w:kern w:val="0"/>
          <w:szCs w:val="21"/>
        </w:rPr>
        <w:t>认知知觉障碍的康复评价与训练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掌握认知及其障碍的概念；知觉障碍的基本概念；</w:t>
      </w:r>
      <w:r w:rsidR="003717A0">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掌握内在性及外在性认知训练方法；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、掌握常用的助记术。</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、熟悉认知康复治疗的策略；</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、熟悉注意障碍的训练方法；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、熟悉</w:t>
      </w:r>
      <w:r>
        <w:rPr>
          <w:rFonts w:ascii="Times New Roman" w:hAnsi="Times New Roman"/>
          <w:kern w:val="0"/>
          <w:szCs w:val="21"/>
        </w:rPr>
        <w:t>Rivermead</w:t>
      </w:r>
      <w:r>
        <w:rPr>
          <w:rFonts w:ascii="Times New Roman" w:hAnsi="Times New Roman" w:hint="eastAsia"/>
          <w:kern w:val="0"/>
          <w:szCs w:val="21"/>
        </w:rPr>
        <w:t>行为记忆能力测试方法；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、熟悉常见知觉障碍的类型、评价及治疗原则；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、熟悉远程康复的应用。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定义</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分类</w:t>
      </w:r>
      <w:r w:rsidR="003717A0">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认知康复理论</w:t>
      </w:r>
      <w:r w:rsidR="003717A0">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评估与训练原则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注意障碍</w:t>
      </w:r>
      <w:r>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评估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作业治疗</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记忆障碍</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评估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作业治疗</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知觉障碍</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失认证</w:t>
      </w:r>
      <w:r w:rsidR="003717A0">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kern w:val="0"/>
          <w:szCs w:val="21"/>
        </w:rPr>
        <w:t xml:space="preserve"> </w:t>
      </w:r>
      <w:r w:rsidR="003717A0">
        <w:rPr>
          <w:rFonts w:ascii="Times New Roman" w:hAnsi="Times New Roman" w:hint="eastAsia"/>
          <w:kern w:val="0"/>
          <w:szCs w:val="21"/>
        </w:rPr>
        <w:t>失用证</w:t>
      </w:r>
      <w:r w:rsidR="003717A0">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kern w:val="0"/>
          <w:szCs w:val="21"/>
        </w:rPr>
        <w:t xml:space="preserve"> </w:t>
      </w:r>
      <w:r w:rsidR="003717A0">
        <w:rPr>
          <w:rFonts w:ascii="Times New Roman" w:hAnsi="Times New Roman" w:hint="eastAsia"/>
          <w:kern w:val="0"/>
          <w:szCs w:val="21"/>
        </w:rPr>
        <w:t>躯体构图障碍</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sidR="00097A14">
        <w:rPr>
          <w:rFonts w:ascii="Times New Roman" w:hAnsi="Times New Roman" w:hint="eastAsia"/>
          <w:kern w:val="0"/>
          <w:szCs w:val="21"/>
        </w:rPr>
        <w:t>4</w:t>
      </w:r>
      <w:r w:rsidR="00097A14">
        <w:rPr>
          <w:rFonts w:ascii="Times New Roman" w:hAnsi="Times New Roman" w:hint="eastAsia"/>
          <w:kern w:val="0"/>
          <w:szCs w:val="21"/>
        </w:rPr>
        <w:t>、</w:t>
      </w:r>
      <w:r>
        <w:rPr>
          <w:rFonts w:ascii="Times New Roman" w:hAnsi="Times New Roman" w:hint="eastAsia"/>
          <w:kern w:val="0"/>
          <w:szCs w:val="21"/>
        </w:rPr>
        <w:t>视觉辨别功能障碍</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第五节</w:t>
      </w:r>
      <w:r>
        <w:rPr>
          <w:rFonts w:ascii="Times New Roman" w:hAnsi="Times New Roman"/>
          <w:kern w:val="0"/>
          <w:szCs w:val="21"/>
        </w:rPr>
        <w:t xml:space="preserve">  </w:t>
      </w:r>
      <w:r>
        <w:rPr>
          <w:rFonts w:ascii="Times New Roman" w:hAnsi="Times New Roman" w:hint="eastAsia"/>
          <w:kern w:val="0"/>
          <w:szCs w:val="21"/>
        </w:rPr>
        <w:t>行为障碍</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2</w:t>
      </w:r>
      <w:r>
        <w:rPr>
          <w:rFonts w:ascii="Times New Roman" w:hAnsi="Times New Roman" w:hint="eastAsia"/>
          <w:kern w:val="0"/>
          <w:szCs w:val="21"/>
        </w:rPr>
        <w:t>、治疗原则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第六节</w:t>
      </w:r>
      <w:r>
        <w:rPr>
          <w:rFonts w:ascii="Times New Roman" w:hAnsi="Times New Roman"/>
          <w:kern w:val="0"/>
          <w:szCs w:val="21"/>
        </w:rPr>
        <w:t xml:space="preserve"> </w:t>
      </w:r>
      <w:r>
        <w:rPr>
          <w:rFonts w:ascii="Times New Roman" w:hAnsi="Times New Roman" w:hint="eastAsia"/>
          <w:kern w:val="0"/>
          <w:szCs w:val="21"/>
        </w:rPr>
        <w:t>远程认知康复及其应用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、方式</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第八章</w:t>
      </w:r>
      <w:r>
        <w:rPr>
          <w:rFonts w:ascii="Times New Roman" w:hAnsi="Times New Roman"/>
          <w:kern w:val="0"/>
          <w:szCs w:val="21"/>
        </w:rPr>
        <w:t xml:space="preserve">  </w:t>
      </w:r>
      <w:r>
        <w:rPr>
          <w:rFonts w:ascii="Times New Roman" w:hAnsi="Times New Roman" w:hint="eastAsia"/>
          <w:kern w:val="0"/>
          <w:szCs w:val="21"/>
        </w:rPr>
        <w:t>感觉统合与感觉统合失调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、掌握感觉统合与感觉统合失调的概念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、掌握常见感觉统合失调类型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、掌握治疗原则</w:t>
      </w:r>
      <w:r>
        <w:rPr>
          <w:rFonts w:ascii="Times New Roman" w:hAnsi="Times New Roman"/>
          <w:kern w:val="0"/>
          <w:szCs w:val="21"/>
        </w:rPr>
        <w:t>\</w:t>
      </w:r>
      <w:r>
        <w:rPr>
          <w:rFonts w:ascii="Times New Roman" w:hAnsi="Times New Roman" w:hint="eastAsia"/>
          <w:kern w:val="0"/>
          <w:szCs w:val="21"/>
        </w:rPr>
        <w:t>治疗层次</w:t>
      </w:r>
      <w:r>
        <w:rPr>
          <w:rFonts w:ascii="Times New Roman" w:hAnsi="Times New Roman"/>
          <w:kern w:val="0"/>
          <w:szCs w:val="21"/>
        </w:rPr>
        <w:t>\</w:t>
      </w:r>
      <w:r>
        <w:rPr>
          <w:rFonts w:ascii="Times New Roman" w:hAnsi="Times New Roman" w:hint="eastAsia"/>
          <w:kern w:val="0"/>
          <w:szCs w:val="21"/>
        </w:rPr>
        <w:t>治疗流程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、熟悉五大感觉系统在感觉统合中的作用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、熟悉感觉统合失调可能出现的临床表现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、熟悉常用的感觉统合功能评估量表名称及各表的特点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、熟悉常用感觉统合活动</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概念</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理论</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适应性反应</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感觉统合治疗</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感觉系统及感觉统合失调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、触觉系统</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、前庭觉系统</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、本体觉系统</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、视知觉</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、听知觉</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、临床检查</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、量表测评</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活动性训练</w:t>
      </w:r>
      <w:r>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被动多感觉输入活动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触觉活动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前庭平衡觉活动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本体觉活动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5</w:t>
      </w:r>
      <w:r>
        <w:rPr>
          <w:rFonts w:ascii="Times New Roman" w:hAnsi="Times New Roman" w:hint="eastAsia"/>
          <w:kern w:val="0"/>
          <w:szCs w:val="21"/>
        </w:rPr>
        <w:t>、</w:t>
      </w:r>
      <w:r w:rsidR="003717A0">
        <w:rPr>
          <w:rFonts w:ascii="Times New Roman" w:hAnsi="Times New Roman" w:hint="eastAsia"/>
          <w:kern w:val="0"/>
          <w:szCs w:val="21"/>
        </w:rPr>
        <w:t>视觉及听觉活动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6</w:t>
      </w:r>
      <w:r>
        <w:rPr>
          <w:rFonts w:ascii="Times New Roman" w:hAnsi="Times New Roman" w:hint="eastAsia"/>
          <w:kern w:val="0"/>
          <w:szCs w:val="21"/>
        </w:rPr>
        <w:t>、</w:t>
      </w:r>
      <w:r w:rsidR="003717A0">
        <w:rPr>
          <w:rFonts w:ascii="Times New Roman" w:hAnsi="Times New Roman" w:hint="eastAsia"/>
          <w:kern w:val="0"/>
          <w:szCs w:val="21"/>
        </w:rPr>
        <w:t>动作计划活动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第九章</w:t>
      </w:r>
      <w:r>
        <w:rPr>
          <w:rFonts w:ascii="Times New Roman" w:hAnsi="Times New Roman"/>
          <w:kern w:val="0"/>
          <w:szCs w:val="21"/>
        </w:rPr>
        <w:t xml:space="preserve">  </w:t>
      </w:r>
      <w:r>
        <w:rPr>
          <w:rFonts w:ascii="Times New Roman" w:hAnsi="Times New Roman" w:hint="eastAsia"/>
          <w:kern w:val="0"/>
          <w:szCs w:val="21"/>
        </w:rPr>
        <w:t>压力治疗技术</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1</w:t>
      </w:r>
      <w:r>
        <w:rPr>
          <w:rFonts w:ascii="Times New Roman" w:hAnsi="Times New Roman" w:hint="eastAsia"/>
          <w:kern w:val="0"/>
          <w:szCs w:val="21"/>
        </w:rPr>
        <w:t>、掌握压力治疗应用原则，以及适应证与禁忌证</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、掌握压力治疗实施方法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、掌握压力衣应用注意事项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、掌握压力垫和支架的作用</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、熟悉增生性瘢痕的临床特点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、熟悉不同深度烧伤瘢痕增生情况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、熟悉压力治疗的作用及其机制</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、熟悉压力疗法的可能并发症及处理</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概述</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概念</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种类</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作用及其机制</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5</w:t>
      </w:r>
      <w:r>
        <w:rPr>
          <w:rFonts w:ascii="Times New Roman" w:hAnsi="Times New Roman" w:hint="eastAsia"/>
          <w:kern w:val="0"/>
          <w:szCs w:val="21"/>
        </w:rPr>
        <w:t>、</w:t>
      </w:r>
      <w:r w:rsidR="003717A0">
        <w:rPr>
          <w:rFonts w:ascii="Times New Roman" w:hAnsi="Times New Roman" w:hint="eastAsia"/>
          <w:kern w:val="0"/>
          <w:szCs w:val="21"/>
        </w:rPr>
        <w:t>不良反应及处理</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6</w:t>
      </w:r>
      <w:r>
        <w:rPr>
          <w:rFonts w:ascii="Times New Roman" w:hAnsi="Times New Roman" w:hint="eastAsia"/>
          <w:kern w:val="0"/>
          <w:szCs w:val="21"/>
        </w:rPr>
        <w:t>、</w:t>
      </w:r>
      <w:r w:rsidR="003717A0">
        <w:rPr>
          <w:rFonts w:ascii="Times New Roman" w:hAnsi="Times New Roman" w:hint="eastAsia"/>
          <w:kern w:val="0"/>
          <w:szCs w:val="21"/>
        </w:rPr>
        <w:t>适应证与禁忌证</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应用原则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压力衣制作</w:t>
      </w:r>
      <w:r>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常用工具与材料</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制作步骤</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常用压力衣</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压力垫</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、应用原理</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、制作材料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、制作步骤</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、常用压力垫</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第十章</w:t>
      </w:r>
      <w:r>
        <w:rPr>
          <w:rFonts w:ascii="Times New Roman" w:hAnsi="Times New Roman"/>
          <w:kern w:val="0"/>
          <w:szCs w:val="21"/>
        </w:rPr>
        <w:t xml:space="preserve">   </w:t>
      </w:r>
      <w:r>
        <w:rPr>
          <w:rFonts w:ascii="Times New Roman" w:hAnsi="Times New Roman" w:hint="eastAsia"/>
          <w:kern w:val="0"/>
          <w:szCs w:val="21"/>
        </w:rPr>
        <w:t>适应与辅助性技术</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掌握辅助器具的应用原则</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熟悉辅助器具应用流程</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熟悉常用辅助器具的应用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熟悉节省体能的原则</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5</w:t>
      </w:r>
      <w:r>
        <w:rPr>
          <w:rFonts w:ascii="Times New Roman" w:hAnsi="Times New Roman" w:hint="eastAsia"/>
          <w:kern w:val="0"/>
          <w:szCs w:val="21"/>
        </w:rPr>
        <w:t>、</w:t>
      </w:r>
      <w:r w:rsidR="003717A0">
        <w:rPr>
          <w:rFonts w:ascii="Times New Roman" w:hAnsi="Times New Roman" w:hint="eastAsia"/>
          <w:kern w:val="0"/>
          <w:szCs w:val="21"/>
        </w:rPr>
        <w:t>熟悉节省体能法的具体运用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6</w:t>
      </w:r>
      <w:r>
        <w:rPr>
          <w:rFonts w:ascii="Times New Roman" w:hAnsi="Times New Roman" w:hint="eastAsia"/>
          <w:kern w:val="0"/>
          <w:szCs w:val="21"/>
        </w:rPr>
        <w:t>、</w:t>
      </w:r>
      <w:r w:rsidR="003717A0">
        <w:rPr>
          <w:rFonts w:ascii="Times New Roman" w:hAnsi="Times New Roman" w:hint="eastAsia"/>
          <w:kern w:val="0"/>
          <w:szCs w:val="21"/>
        </w:rPr>
        <w:t>熟悉各功能障碍适应技术</w:t>
      </w:r>
      <w:r w:rsidR="003717A0">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、基本概念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2</w:t>
      </w:r>
      <w:r>
        <w:rPr>
          <w:rFonts w:ascii="Times New Roman" w:hAnsi="Times New Roman" w:hint="eastAsia"/>
          <w:kern w:val="0"/>
          <w:szCs w:val="21"/>
        </w:rPr>
        <w:t>、分类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、应用原则</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辅助器具应用流程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、配备前功能评定</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、辅助器具处方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、配备前训练</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、制作或选购</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、辅助器具使用训练</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、辅助器具使用评定</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、随访</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常用的辅助器具</w:t>
      </w:r>
      <w:r>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穿衣辅助器具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进食辅助器具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如厕辅助器具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洗浴辅助器具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5</w:t>
      </w:r>
      <w:r>
        <w:rPr>
          <w:rFonts w:ascii="Times New Roman" w:hAnsi="Times New Roman" w:hint="eastAsia"/>
          <w:kern w:val="0"/>
          <w:szCs w:val="21"/>
        </w:rPr>
        <w:t>、</w:t>
      </w:r>
      <w:r w:rsidR="003717A0">
        <w:rPr>
          <w:rFonts w:ascii="Times New Roman" w:hAnsi="Times New Roman" w:hint="eastAsia"/>
          <w:kern w:val="0"/>
          <w:szCs w:val="21"/>
        </w:rPr>
        <w:t>个人卫生辅助器具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6</w:t>
      </w:r>
      <w:r>
        <w:rPr>
          <w:rFonts w:ascii="Times New Roman" w:hAnsi="Times New Roman" w:hint="eastAsia"/>
          <w:kern w:val="0"/>
          <w:szCs w:val="21"/>
        </w:rPr>
        <w:t>、</w:t>
      </w:r>
      <w:r w:rsidR="003717A0">
        <w:rPr>
          <w:rFonts w:ascii="Times New Roman" w:hAnsi="Times New Roman" w:hint="eastAsia"/>
          <w:kern w:val="0"/>
          <w:szCs w:val="21"/>
        </w:rPr>
        <w:t>交流辅助器具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7</w:t>
      </w:r>
      <w:r>
        <w:rPr>
          <w:rFonts w:ascii="Times New Roman" w:hAnsi="Times New Roman" w:hint="eastAsia"/>
          <w:kern w:val="0"/>
          <w:szCs w:val="21"/>
        </w:rPr>
        <w:t>、</w:t>
      </w:r>
      <w:r w:rsidR="003717A0">
        <w:rPr>
          <w:rFonts w:ascii="Times New Roman" w:hAnsi="Times New Roman" w:hint="eastAsia"/>
          <w:kern w:val="0"/>
          <w:szCs w:val="21"/>
        </w:rPr>
        <w:t>转移辅助器具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8</w:t>
      </w:r>
      <w:r>
        <w:rPr>
          <w:rFonts w:ascii="Times New Roman" w:hAnsi="Times New Roman" w:hint="eastAsia"/>
          <w:kern w:val="0"/>
          <w:szCs w:val="21"/>
        </w:rPr>
        <w:t>、</w:t>
      </w:r>
      <w:r w:rsidR="003717A0">
        <w:rPr>
          <w:rFonts w:ascii="Times New Roman" w:hAnsi="Times New Roman" w:hint="eastAsia"/>
          <w:kern w:val="0"/>
          <w:szCs w:val="21"/>
        </w:rPr>
        <w:t>其它辅助器具</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9</w:t>
      </w:r>
      <w:r>
        <w:rPr>
          <w:rFonts w:ascii="Times New Roman" w:hAnsi="Times New Roman" w:hint="eastAsia"/>
          <w:kern w:val="0"/>
          <w:szCs w:val="21"/>
        </w:rPr>
        <w:t>、</w:t>
      </w:r>
      <w:r w:rsidR="003717A0">
        <w:rPr>
          <w:rFonts w:ascii="Times New Roman" w:hAnsi="Times New Roman" w:hint="eastAsia"/>
          <w:kern w:val="0"/>
          <w:szCs w:val="21"/>
        </w:rPr>
        <w:t>环境控制系统</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节省体能技术</w:t>
      </w:r>
      <w:r>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节省体能技术具体应用</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节省体能技术原则</w:t>
      </w:r>
      <w:r w:rsidR="003717A0">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第五节</w:t>
      </w:r>
      <w:r>
        <w:rPr>
          <w:rFonts w:ascii="Times New Roman" w:hAnsi="Times New Roman"/>
          <w:kern w:val="0"/>
          <w:szCs w:val="21"/>
        </w:rPr>
        <w:t xml:space="preserve"> </w:t>
      </w:r>
      <w:r>
        <w:rPr>
          <w:rFonts w:ascii="Times New Roman" w:hAnsi="Times New Roman" w:hint="eastAsia"/>
          <w:kern w:val="0"/>
          <w:szCs w:val="21"/>
        </w:rPr>
        <w:t>适应技术</w:t>
      </w:r>
      <w:r>
        <w:rPr>
          <w:rFonts w:ascii="Times New Roman" w:hAnsi="Times New Roman"/>
          <w:kern w:val="0"/>
          <w:szCs w:val="21"/>
        </w:rPr>
        <w:t xml:space="preserve"> </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w:t>
      </w:r>
      <w:r w:rsidR="003717A0">
        <w:rPr>
          <w:rFonts w:ascii="Times New Roman" w:hAnsi="Times New Roman" w:hint="eastAsia"/>
          <w:kern w:val="0"/>
          <w:szCs w:val="21"/>
        </w:rPr>
        <w:t>运动功能障碍者的适应技术</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sidR="003717A0">
        <w:rPr>
          <w:rFonts w:ascii="Times New Roman" w:hAnsi="Times New Roman" w:hint="eastAsia"/>
          <w:kern w:val="0"/>
          <w:szCs w:val="21"/>
        </w:rPr>
        <w:t>感觉功能障碍者的适应技术</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sidR="003717A0">
        <w:rPr>
          <w:rFonts w:ascii="Times New Roman" w:hAnsi="Times New Roman" w:hint="eastAsia"/>
          <w:kern w:val="0"/>
          <w:szCs w:val="21"/>
        </w:rPr>
        <w:t>认知功能障碍者的适应技术</w:t>
      </w:r>
    </w:p>
    <w:p w:rsidR="003717A0" w:rsidRDefault="00097A14">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4</w:t>
      </w:r>
      <w:r>
        <w:rPr>
          <w:rFonts w:ascii="Times New Roman" w:hAnsi="Times New Roman" w:hint="eastAsia"/>
          <w:kern w:val="0"/>
          <w:szCs w:val="21"/>
        </w:rPr>
        <w:t>、</w:t>
      </w:r>
      <w:r w:rsidR="003717A0">
        <w:rPr>
          <w:rFonts w:ascii="Times New Roman" w:hAnsi="Times New Roman" w:hint="eastAsia"/>
          <w:kern w:val="0"/>
          <w:szCs w:val="21"/>
        </w:rPr>
        <w:t>言语功能障碍者的适应技术</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第十一章</w:t>
      </w:r>
      <w:r>
        <w:rPr>
          <w:rFonts w:ascii="Times New Roman" w:hAnsi="Times New Roman"/>
          <w:kern w:val="0"/>
          <w:szCs w:val="21"/>
        </w:rPr>
        <w:t xml:space="preserve">   </w:t>
      </w:r>
      <w:r>
        <w:rPr>
          <w:rFonts w:ascii="Times New Roman" w:hAnsi="Times New Roman" w:hint="eastAsia"/>
          <w:kern w:val="0"/>
          <w:szCs w:val="21"/>
        </w:rPr>
        <w:t>矫形器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、掌握低温热塑矫形器在临床的应用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、熟悉低温热塑矫形器的制作</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、熟悉常用低温热塑矫形器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、熟悉悬吊带的制作及应用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、熟悉穿戴矫形器注意事项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 xml:space="preserve">    1</w:t>
      </w:r>
      <w:r>
        <w:rPr>
          <w:rFonts w:ascii="Times New Roman" w:hAnsi="Times New Roman" w:hint="eastAsia"/>
          <w:kern w:val="0"/>
          <w:szCs w:val="21"/>
        </w:rPr>
        <w:t>、矫形器基本概念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、低温热塑矫形器在临床中的应用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、低温热塑性塑料板性能</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低温热塑矫形器的制作</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、制作原则</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、免负荷部位</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、设备与工具</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4</w:t>
      </w:r>
      <w:r>
        <w:rPr>
          <w:rFonts w:ascii="Times New Roman" w:hAnsi="Times New Roman" w:hint="eastAsia"/>
          <w:kern w:val="0"/>
          <w:szCs w:val="21"/>
        </w:rPr>
        <w:t>、制作步骤</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常用低温热塑矫形器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、脊柱矫形器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、上肢矫形器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、下肢矫形器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悬吊带的制作及应用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、治疗作用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、悬吊带的制作</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、常用悬吊带</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第五节</w:t>
      </w:r>
      <w:r>
        <w:rPr>
          <w:rFonts w:ascii="Times New Roman" w:hAnsi="Times New Roman"/>
          <w:kern w:val="0"/>
          <w:szCs w:val="21"/>
        </w:rPr>
        <w:t xml:space="preserve"> </w:t>
      </w:r>
      <w:r>
        <w:rPr>
          <w:rFonts w:ascii="Times New Roman" w:hAnsi="Times New Roman" w:hint="eastAsia"/>
          <w:kern w:val="0"/>
          <w:szCs w:val="21"/>
        </w:rPr>
        <w:t>穿戴矫形器注意事项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、穿戴矫形器的要求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、矫形器不良作用的防治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、矫形器的维护与保养</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第十二章</w:t>
      </w:r>
      <w:r>
        <w:rPr>
          <w:rFonts w:ascii="Times New Roman" w:hAnsi="Times New Roman"/>
          <w:kern w:val="0"/>
          <w:szCs w:val="21"/>
        </w:rPr>
        <w:t xml:space="preserve">    </w:t>
      </w:r>
      <w:r>
        <w:rPr>
          <w:rFonts w:ascii="Times New Roman" w:hAnsi="Times New Roman" w:hint="eastAsia"/>
          <w:kern w:val="0"/>
          <w:szCs w:val="21"/>
        </w:rPr>
        <w:t>轮椅</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、掌握轮椅处方时的注意事项；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、掌握正确选择与使用轮椅的方法及使用轮椅的注意事项。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、熟悉轮椅的适应证；</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、熟悉轮椅处方的内容与身体测量方法；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、熟悉普通轮椅的结构、附件以及轮椅的验收与保养。</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第一节概述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、使用轮椅的种类及特征</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、轮椅应具备的条件</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轮椅的结构及附件</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、普通轮椅的结构</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、电动轮椅的结构</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、轮椅附件</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轮椅处方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、轮椅处方的内容与格式</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、轮椅处方的流程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3</w:t>
      </w:r>
      <w:r>
        <w:rPr>
          <w:rFonts w:ascii="Times New Roman" w:hAnsi="Times New Roman" w:hint="eastAsia"/>
          <w:kern w:val="0"/>
          <w:szCs w:val="21"/>
        </w:rPr>
        <w:t>、参数的测量与确定</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第四节</w:t>
      </w:r>
      <w:r>
        <w:rPr>
          <w:rFonts w:ascii="Times New Roman" w:hAnsi="Times New Roman"/>
          <w:kern w:val="0"/>
          <w:szCs w:val="21"/>
        </w:rPr>
        <w:t xml:space="preserve">  </w:t>
      </w:r>
      <w:r>
        <w:rPr>
          <w:rFonts w:ascii="Times New Roman" w:hAnsi="Times New Roman" w:hint="eastAsia"/>
          <w:kern w:val="0"/>
          <w:szCs w:val="21"/>
        </w:rPr>
        <w:t>轮椅的选择</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、轮椅的适应证</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、根据功能障碍选择轮椅</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、根据疾病及损伤选择轮椅</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第五节</w:t>
      </w:r>
      <w:r>
        <w:rPr>
          <w:rFonts w:ascii="Times New Roman" w:hAnsi="Times New Roman"/>
          <w:kern w:val="0"/>
          <w:szCs w:val="21"/>
        </w:rPr>
        <w:t xml:space="preserve">  </w:t>
      </w:r>
      <w:r>
        <w:rPr>
          <w:rFonts w:ascii="Times New Roman" w:hAnsi="Times New Roman" w:hint="eastAsia"/>
          <w:kern w:val="0"/>
          <w:szCs w:val="21"/>
        </w:rPr>
        <w:t>轮椅的使用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、坐姿的维持</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、减压训练</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、轮椅转移技术</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、轮椅操作技术</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、注意事项</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、轮椅的验收与保养</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第十三章</w:t>
      </w:r>
      <w:r>
        <w:rPr>
          <w:rFonts w:ascii="Times New Roman" w:hAnsi="Times New Roman"/>
          <w:kern w:val="0"/>
          <w:szCs w:val="21"/>
        </w:rPr>
        <w:t xml:space="preserve">      </w:t>
      </w:r>
      <w:r>
        <w:rPr>
          <w:rFonts w:ascii="Times New Roman" w:hAnsi="Times New Roman" w:hint="eastAsia"/>
          <w:kern w:val="0"/>
          <w:szCs w:val="21"/>
        </w:rPr>
        <w:t>社区作业治疗</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、掌握社区康复与社区作业治疗基本概念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、掌握社区作业治疗过程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、熟悉社区作业治疗的组织形式</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、熟悉社区作业治疗评估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、社区康复与社区作业治疗基本概念</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、社区作业治疗的组织形式</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、社区作业治疗基础理论</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、人员及其作用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、个人情况评估</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、环境评估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、活动能力评估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、再评估与转介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、注意事项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社区作业治疗实施</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、制定目标</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、内</w:t>
      </w:r>
      <w:r>
        <w:rPr>
          <w:rFonts w:ascii="Times New Roman" w:hAnsi="Times New Roman"/>
          <w:kern w:val="0"/>
          <w:szCs w:val="21"/>
        </w:rPr>
        <w:t xml:space="preserve"> </w:t>
      </w:r>
      <w:r>
        <w:rPr>
          <w:rFonts w:ascii="Times New Roman" w:hAnsi="Times New Roman" w:hint="eastAsia"/>
          <w:kern w:val="0"/>
          <w:szCs w:val="21"/>
        </w:rPr>
        <w:t>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、社区作业治疗过程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第十四章</w:t>
      </w:r>
      <w:r>
        <w:rPr>
          <w:rFonts w:ascii="Times New Roman" w:hAnsi="Times New Roman"/>
          <w:kern w:val="0"/>
          <w:szCs w:val="21"/>
        </w:rPr>
        <w:t xml:space="preserve">    </w:t>
      </w:r>
      <w:r>
        <w:rPr>
          <w:rFonts w:ascii="Times New Roman" w:hAnsi="Times New Roman" w:hint="eastAsia"/>
          <w:kern w:val="0"/>
          <w:szCs w:val="21"/>
        </w:rPr>
        <w:t>环境改造</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目的要求：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、掌握环境因素对残疾人的影响</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lastRenderedPageBreak/>
        <w:t>2</w:t>
      </w:r>
      <w:r>
        <w:rPr>
          <w:rFonts w:ascii="Times New Roman" w:hAnsi="Times New Roman" w:hint="eastAsia"/>
          <w:kern w:val="0"/>
          <w:szCs w:val="21"/>
        </w:rPr>
        <w:t>、掌握非标准化的环境评估方法</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、掌握环境改造的四个类型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、熟悉考虑家居环境改造的流程</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、熟悉环境因素对人类作业活动的影响</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教学内容：</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第一节</w:t>
      </w:r>
      <w:r>
        <w:rPr>
          <w:rFonts w:ascii="Times New Roman" w:hAnsi="Times New Roman"/>
          <w:kern w:val="0"/>
          <w:szCs w:val="21"/>
        </w:rPr>
        <w:t xml:space="preserve">  </w:t>
      </w:r>
      <w:r>
        <w:rPr>
          <w:rFonts w:ascii="Times New Roman" w:hAnsi="Times New Roman" w:hint="eastAsia"/>
          <w:kern w:val="0"/>
          <w:szCs w:val="21"/>
        </w:rPr>
        <w:t>概述</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、环境与人类作业活动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、环境因素对残疾人的影响</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第二节</w:t>
      </w:r>
      <w:r>
        <w:rPr>
          <w:rFonts w:ascii="Times New Roman" w:hAnsi="Times New Roman"/>
          <w:kern w:val="0"/>
          <w:szCs w:val="21"/>
        </w:rPr>
        <w:t xml:space="preserve">  </w:t>
      </w:r>
      <w:r>
        <w:rPr>
          <w:rFonts w:ascii="Times New Roman" w:hAnsi="Times New Roman" w:hint="eastAsia"/>
          <w:kern w:val="0"/>
          <w:szCs w:val="21"/>
        </w:rPr>
        <w:t>环境评估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、非标准化的评估</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、标准化的评估</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第三节</w:t>
      </w:r>
      <w:r>
        <w:rPr>
          <w:rFonts w:ascii="Times New Roman" w:hAnsi="Times New Roman"/>
          <w:kern w:val="0"/>
          <w:szCs w:val="21"/>
        </w:rPr>
        <w:t xml:space="preserve">  </w:t>
      </w:r>
      <w:r>
        <w:rPr>
          <w:rFonts w:ascii="Times New Roman" w:hAnsi="Times New Roman" w:hint="eastAsia"/>
          <w:kern w:val="0"/>
          <w:szCs w:val="21"/>
        </w:rPr>
        <w:t>环境改造</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、辅助器具的使用</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、物理结构的改造</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、物件的改造</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、作业活动的调整</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、改造方案</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、无障碍环境的标准和要求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、家访</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、其他社会资源的利用</w:t>
      </w:r>
    </w:p>
    <w:p w:rsidR="003717A0" w:rsidRDefault="003717A0">
      <w:pPr>
        <w:pStyle w:val="a7"/>
        <w:jc w:val="center"/>
        <w:rPr>
          <w:rFonts w:ascii="宋体"/>
          <w:szCs w:val="21"/>
        </w:rPr>
      </w:pPr>
    </w:p>
    <w:p w:rsidR="003717A0" w:rsidRDefault="003717A0">
      <w:pPr>
        <w:pStyle w:val="a7"/>
        <w:jc w:val="center"/>
        <w:rPr>
          <w:rFonts w:ascii="宋体"/>
          <w:szCs w:val="21"/>
        </w:rPr>
      </w:pPr>
      <w:r>
        <w:rPr>
          <w:rFonts w:ascii="宋体" w:hAnsi="宋体" w:hint="eastAsia"/>
          <w:szCs w:val="21"/>
        </w:rPr>
        <w:t>教学时数分配</w:t>
      </w:r>
    </w:p>
    <w:tbl>
      <w:tblPr>
        <w:tblW w:w="7596" w:type="dxa"/>
        <w:tblInd w:w="747" w:type="dxa"/>
        <w:tblBorders>
          <w:top w:val="single" w:sz="12" w:space="0" w:color="008000"/>
          <w:bottom w:val="single" w:sz="12" w:space="0" w:color="008000"/>
        </w:tblBorders>
        <w:tblLayout w:type="fixed"/>
        <w:tblLook w:val="00A0"/>
      </w:tblPr>
      <w:tblGrid>
        <w:gridCol w:w="1188"/>
        <w:gridCol w:w="3060"/>
        <w:gridCol w:w="1080"/>
        <w:gridCol w:w="1176"/>
        <w:gridCol w:w="1092"/>
      </w:tblGrid>
      <w:tr w:rsidR="003717A0">
        <w:tc>
          <w:tcPr>
            <w:tcW w:w="1188" w:type="dxa"/>
            <w:tcBorders>
              <w:top w:val="single" w:sz="12" w:space="0" w:color="008000"/>
              <w:left w:val="nil"/>
              <w:bottom w:val="single" w:sz="6" w:space="0" w:color="008000"/>
              <w:right w:val="nil"/>
            </w:tcBorders>
          </w:tcPr>
          <w:p w:rsidR="003717A0" w:rsidRDefault="003717A0">
            <w:pPr>
              <w:rPr>
                <w:rFonts w:ascii="宋体" w:cs="Arial Unicode MS"/>
                <w:szCs w:val="21"/>
              </w:rPr>
            </w:pPr>
            <w:r>
              <w:rPr>
                <w:rFonts w:ascii="宋体" w:hAnsi="宋体" w:hint="eastAsia"/>
                <w:szCs w:val="21"/>
              </w:rPr>
              <w:t>章节</w:t>
            </w:r>
          </w:p>
        </w:tc>
        <w:tc>
          <w:tcPr>
            <w:tcW w:w="3060" w:type="dxa"/>
            <w:tcBorders>
              <w:top w:val="single" w:sz="12" w:space="0" w:color="008000"/>
              <w:left w:val="nil"/>
              <w:bottom w:val="single" w:sz="6" w:space="0" w:color="008000"/>
              <w:right w:val="nil"/>
            </w:tcBorders>
          </w:tcPr>
          <w:p w:rsidR="003717A0" w:rsidRDefault="003717A0">
            <w:pPr>
              <w:ind w:firstLineChars="450" w:firstLine="945"/>
              <w:rPr>
                <w:rFonts w:ascii="宋体" w:cs="Arial Unicode MS"/>
                <w:szCs w:val="21"/>
              </w:rPr>
            </w:pPr>
            <w:r>
              <w:rPr>
                <w:rFonts w:ascii="宋体" w:hAnsi="宋体" w:hint="eastAsia"/>
                <w:szCs w:val="21"/>
              </w:rPr>
              <w:t>教学内容</w:t>
            </w:r>
          </w:p>
        </w:tc>
        <w:tc>
          <w:tcPr>
            <w:tcW w:w="1080" w:type="dxa"/>
            <w:tcBorders>
              <w:top w:val="single" w:sz="12" w:space="0" w:color="008000"/>
              <w:left w:val="nil"/>
              <w:bottom w:val="single" w:sz="6" w:space="0" w:color="008000"/>
              <w:right w:val="nil"/>
            </w:tcBorders>
          </w:tcPr>
          <w:p w:rsidR="003717A0" w:rsidRDefault="003717A0">
            <w:pPr>
              <w:rPr>
                <w:rFonts w:ascii="宋体" w:cs="Arial Unicode MS"/>
                <w:szCs w:val="21"/>
              </w:rPr>
            </w:pPr>
            <w:r>
              <w:rPr>
                <w:rFonts w:ascii="宋体" w:hAnsi="宋体" w:hint="eastAsia"/>
                <w:szCs w:val="21"/>
              </w:rPr>
              <w:t>主讲课</w:t>
            </w:r>
          </w:p>
        </w:tc>
        <w:tc>
          <w:tcPr>
            <w:tcW w:w="1176" w:type="dxa"/>
            <w:tcBorders>
              <w:top w:val="single" w:sz="12" w:space="0" w:color="008000"/>
              <w:left w:val="nil"/>
              <w:bottom w:val="single" w:sz="6" w:space="0" w:color="008000"/>
              <w:right w:val="nil"/>
            </w:tcBorders>
          </w:tcPr>
          <w:p w:rsidR="003717A0" w:rsidRDefault="003717A0">
            <w:pPr>
              <w:rPr>
                <w:rFonts w:ascii="宋体" w:cs="Arial Unicode MS"/>
                <w:szCs w:val="21"/>
              </w:rPr>
            </w:pPr>
            <w:r>
              <w:rPr>
                <w:rFonts w:ascii="宋体" w:hAnsi="宋体" w:hint="eastAsia"/>
                <w:szCs w:val="21"/>
              </w:rPr>
              <w:t>见习</w:t>
            </w:r>
          </w:p>
        </w:tc>
        <w:tc>
          <w:tcPr>
            <w:tcW w:w="1092" w:type="dxa"/>
            <w:tcBorders>
              <w:top w:val="single" w:sz="12" w:space="0" w:color="008000"/>
              <w:left w:val="nil"/>
              <w:bottom w:val="single" w:sz="6" w:space="0" w:color="008000"/>
              <w:right w:val="nil"/>
            </w:tcBorders>
          </w:tcPr>
          <w:p w:rsidR="003717A0" w:rsidRDefault="003717A0">
            <w:pPr>
              <w:rPr>
                <w:rFonts w:ascii="宋体" w:cs="Arial Unicode MS"/>
                <w:szCs w:val="21"/>
              </w:rPr>
            </w:pPr>
            <w:r>
              <w:rPr>
                <w:rFonts w:ascii="宋体" w:hAnsi="宋体" w:hint="eastAsia"/>
                <w:szCs w:val="21"/>
              </w:rPr>
              <w:t>合计</w:t>
            </w:r>
          </w:p>
        </w:tc>
      </w:tr>
      <w:tr w:rsidR="003717A0">
        <w:tc>
          <w:tcPr>
            <w:tcW w:w="1188" w:type="dxa"/>
            <w:tcBorders>
              <w:top w:val="nil"/>
              <w:left w:val="nil"/>
              <w:bottom w:val="nil"/>
              <w:right w:val="nil"/>
            </w:tcBorders>
          </w:tcPr>
          <w:p w:rsidR="003717A0" w:rsidRDefault="003717A0">
            <w:pPr>
              <w:rPr>
                <w:rFonts w:ascii="宋体" w:cs="Arial Unicode MS"/>
                <w:szCs w:val="21"/>
              </w:rPr>
            </w:pPr>
            <w:r>
              <w:rPr>
                <w:rFonts w:ascii="宋体" w:hAnsi="宋体" w:hint="eastAsia"/>
                <w:szCs w:val="21"/>
              </w:rPr>
              <w:t>第一章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作业治疗概论（一）</w:t>
            </w:r>
          </w:p>
        </w:tc>
        <w:tc>
          <w:tcPr>
            <w:tcW w:w="1080" w:type="dxa"/>
            <w:tcBorders>
              <w:top w:val="nil"/>
              <w:left w:val="nil"/>
              <w:bottom w:val="nil"/>
              <w:right w:val="nil"/>
            </w:tcBorders>
          </w:tcPr>
          <w:p w:rsidR="003717A0" w:rsidRDefault="003717A0">
            <w:pPr>
              <w:rPr>
                <w:rFonts w:ascii="宋体" w:cs="Arial Unicode MS"/>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cs="Arial Unicode MS"/>
                <w:szCs w:val="21"/>
              </w:rPr>
            </w:pPr>
          </w:p>
        </w:tc>
        <w:tc>
          <w:tcPr>
            <w:tcW w:w="1092" w:type="dxa"/>
            <w:tcBorders>
              <w:top w:val="nil"/>
              <w:left w:val="nil"/>
              <w:bottom w:val="nil"/>
              <w:right w:val="nil"/>
            </w:tcBorders>
          </w:tcPr>
          <w:p w:rsidR="003717A0" w:rsidRDefault="003717A0">
            <w:pPr>
              <w:rPr>
                <w:rFonts w:ascii="宋体" w:cs="Arial Unicode MS"/>
                <w:szCs w:val="21"/>
              </w:rPr>
            </w:pPr>
            <w:r>
              <w:rPr>
                <w:rFonts w:ascii="宋体" w:hAnsi="宋体"/>
                <w:szCs w:val="21"/>
              </w:rPr>
              <w:t>3</w:t>
            </w:r>
          </w:p>
        </w:tc>
      </w:tr>
      <w:tr w:rsidR="003717A0">
        <w:tc>
          <w:tcPr>
            <w:tcW w:w="1188" w:type="dxa"/>
            <w:tcBorders>
              <w:top w:val="nil"/>
              <w:left w:val="nil"/>
              <w:bottom w:val="nil"/>
              <w:right w:val="nil"/>
            </w:tcBorders>
          </w:tcPr>
          <w:p w:rsidR="003717A0" w:rsidRDefault="003717A0">
            <w:pPr>
              <w:rPr>
                <w:rFonts w:ascii="宋体" w:cs="Arial Unicode MS"/>
                <w:szCs w:val="21"/>
              </w:rPr>
            </w:pPr>
            <w:r>
              <w:rPr>
                <w:rFonts w:ascii="宋体" w:hAnsi="宋体" w:hint="eastAsia"/>
                <w:szCs w:val="21"/>
              </w:rPr>
              <w:t>第二章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作业治疗概论（二）</w:t>
            </w:r>
          </w:p>
        </w:tc>
        <w:tc>
          <w:tcPr>
            <w:tcW w:w="1080" w:type="dxa"/>
            <w:tcBorders>
              <w:top w:val="nil"/>
              <w:left w:val="nil"/>
              <w:bottom w:val="nil"/>
              <w:right w:val="nil"/>
            </w:tcBorders>
          </w:tcPr>
          <w:p w:rsidR="003717A0" w:rsidRDefault="003717A0">
            <w:pPr>
              <w:rPr>
                <w:rFonts w:ascii="宋体" w:cs="Arial Unicode MS"/>
                <w:szCs w:val="21"/>
              </w:rPr>
            </w:pPr>
            <w:r>
              <w:rPr>
                <w:rFonts w:ascii="宋体" w:hAnsi="宋体" w:cs="Arial Unicode MS"/>
                <w:szCs w:val="21"/>
              </w:rPr>
              <w:t>3</w:t>
            </w:r>
          </w:p>
        </w:tc>
        <w:tc>
          <w:tcPr>
            <w:tcW w:w="1176" w:type="dxa"/>
            <w:tcBorders>
              <w:top w:val="nil"/>
              <w:left w:val="nil"/>
              <w:bottom w:val="nil"/>
              <w:right w:val="nil"/>
            </w:tcBorders>
          </w:tcPr>
          <w:p w:rsidR="003717A0" w:rsidRDefault="003717A0">
            <w:pPr>
              <w:rPr>
                <w:rFonts w:ascii="宋体" w:cs="Arial Unicode MS"/>
                <w:szCs w:val="21"/>
              </w:rPr>
            </w:pPr>
          </w:p>
        </w:tc>
        <w:tc>
          <w:tcPr>
            <w:tcW w:w="1092" w:type="dxa"/>
            <w:tcBorders>
              <w:top w:val="nil"/>
              <w:left w:val="nil"/>
              <w:bottom w:val="nil"/>
              <w:right w:val="nil"/>
            </w:tcBorders>
          </w:tcPr>
          <w:p w:rsidR="003717A0" w:rsidRDefault="003717A0">
            <w:pPr>
              <w:rPr>
                <w:rFonts w:ascii="宋体" w:cs="Arial Unicode MS"/>
                <w:szCs w:val="21"/>
              </w:rPr>
            </w:pPr>
            <w:r>
              <w:rPr>
                <w:rFonts w:ascii="宋体" w:hAnsi="宋体" w:cs="Arial Unicode MS"/>
                <w:szCs w:val="21"/>
              </w:rPr>
              <w:t>3</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第三章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临床推理与决策</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3</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第四章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作业治疗评估</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3</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第五章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治疗性作业活动</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第六章</w:t>
            </w:r>
          </w:p>
        </w:tc>
        <w:tc>
          <w:tcPr>
            <w:tcW w:w="3060" w:type="dxa"/>
            <w:tcBorders>
              <w:top w:val="nil"/>
              <w:left w:val="nil"/>
              <w:bottom w:val="nil"/>
              <w:right w:val="nil"/>
            </w:tcBorders>
            <w:vAlign w:val="center"/>
          </w:tcPr>
          <w:p w:rsidR="003717A0" w:rsidRDefault="003717A0">
            <w:pPr>
              <w:ind w:leftChars="-50" w:left="-105" w:rightChars="-50" w:right="-105"/>
              <w:jc w:val="center"/>
            </w:pPr>
            <w:r>
              <w:t>ADL</w:t>
            </w:r>
            <w:r>
              <w:rPr>
                <w:rFonts w:hint="eastAsia"/>
              </w:rPr>
              <w:t>训练活动分析方法的应用</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第七章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认知知觉障碍的康复评价与训练</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cs="Arial Unicode MS"/>
                <w:szCs w:val="21"/>
              </w:rPr>
            </w:pPr>
            <w:r>
              <w:rPr>
                <w:rFonts w:ascii="宋体" w:hAnsi="宋体" w:hint="eastAsia"/>
                <w:szCs w:val="21"/>
              </w:rPr>
              <w:t>第八章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感觉统合与感觉统合失调</w:t>
            </w:r>
          </w:p>
        </w:tc>
        <w:tc>
          <w:tcPr>
            <w:tcW w:w="1080" w:type="dxa"/>
            <w:tcBorders>
              <w:top w:val="nil"/>
              <w:left w:val="nil"/>
              <w:bottom w:val="nil"/>
              <w:right w:val="nil"/>
            </w:tcBorders>
          </w:tcPr>
          <w:p w:rsidR="003717A0" w:rsidRDefault="003717A0">
            <w:pPr>
              <w:rPr>
                <w:rFonts w:ascii="宋体" w:cs="Arial Unicode MS"/>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cs="Arial Unicode MS"/>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cs="Arial Unicode MS"/>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cs="Arial Unicode MS"/>
                <w:szCs w:val="21"/>
              </w:rPr>
            </w:pPr>
            <w:r>
              <w:rPr>
                <w:rFonts w:ascii="宋体" w:hAnsi="宋体" w:hint="eastAsia"/>
                <w:szCs w:val="21"/>
              </w:rPr>
              <w:t>第九章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压力治疗技术</w:t>
            </w:r>
          </w:p>
        </w:tc>
        <w:tc>
          <w:tcPr>
            <w:tcW w:w="1080" w:type="dxa"/>
            <w:tcBorders>
              <w:top w:val="nil"/>
              <w:left w:val="nil"/>
              <w:bottom w:val="nil"/>
              <w:right w:val="nil"/>
            </w:tcBorders>
          </w:tcPr>
          <w:p w:rsidR="003717A0" w:rsidRDefault="003717A0">
            <w:pPr>
              <w:rPr>
                <w:rFonts w:ascii="宋体" w:cs="Arial Unicode MS"/>
                <w:szCs w:val="21"/>
              </w:rPr>
            </w:pPr>
            <w:r>
              <w:rPr>
                <w:rFonts w:ascii="宋体" w:hAnsi="宋体" w:cs="Arial Unicode MS"/>
                <w:szCs w:val="21"/>
              </w:rPr>
              <w:t>3</w:t>
            </w:r>
          </w:p>
        </w:tc>
        <w:tc>
          <w:tcPr>
            <w:tcW w:w="1176" w:type="dxa"/>
            <w:tcBorders>
              <w:top w:val="nil"/>
              <w:left w:val="nil"/>
              <w:bottom w:val="nil"/>
              <w:right w:val="nil"/>
            </w:tcBorders>
          </w:tcPr>
          <w:p w:rsidR="003717A0" w:rsidRDefault="003717A0">
            <w:pPr>
              <w:rPr>
                <w:rFonts w:ascii="宋体" w:cs="Arial Unicode MS"/>
                <w:szCs w:val="21"/>
              </w:rPr>
            </w:pPr>
            <w:r>
              <w:rPr>
                <w:rFonts w:ascii="宋体" w:hAnsi="宋体" w:cs="Arial Unicode MS"/>
                <w:szCs w:val="21"/>
              </w:rPr>
              <w:t>3</w:t>
            </w:r>
          </w:p>
        </w:tc>
        <w:tc>
          <w:tcPr>
            <w:tcW w:w="1092" w:type="dxa"/>
            <w:tcBorders>
              <w:top w:val="nil"/>
              <w:left w:val="nil"/>
              <w:bottom w:val="nil"/>
              <w:right w:val="nil"/>
            </w:tcBorders>
          </w:tcPr>
          <w:p w:rsidR="003717A0" w:rsidRDefault="003717A0">
            <w:pPr>
              <w:rPr>
                <w:rFonts w:ascii="宋体" w:cs="Arial Unicode MS"/>
                <w:szCs w:val="21"/>
              </w:rPr>
            </w:pPr>
            <w:r>
              <w:rPr>
                <w:rFonts w:ascii="宋体" w:hAnsi="宋体" w:cs="Arial Unicode MS"/>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第十章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适应与辅助性技术</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第十一章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矫形器</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第十二章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轮椅</w:t>
            </w:r>
            <w:r>
              <w:t>1</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第十三章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社区作业治疗</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nil"/>
              <w:right w:val="nil"/>
            </w:tcBorders>
          </w:tcPr>
          <w:p w:rsidR="003717A0" w:rsidRDefault="003717A0">
            <w:pPr>
              <w:rPr>
                <w:rFonts w:ascii="宋体"/>
                <w:szCs w:val="21"/>
              </w:rPr>
            </w:pPr>
            <w:r>
              <w:rPr>
                <w:rFonts w:ascii="宋体" w:hAnsi="宋体" w:hint="eastAsia"/>
                <w:szCs w:val="21"/>
              </w:rPr>
              <w:t>第十四章</w:t>
            </w:r>
          </w:p>
        </w:tc>
        <w:tc>
          <w:tcPr>
            <w:tcW w:w="3060" w:type="dxa"/>
            <w:tcBorders>
              <w:top w:val="nil"/>
              <w:left w:val="nil"/>
              <w:bottom w:val="nil"/>
              <w:right w:val="nil"/>
            </w:tcBorders>
            <w:vAlign w:val="center"/>
          </w:tcPr>
          <w:p w:rsidR="003717A0" w:rsidRDefault="003717A0">
            <w:pPr>
              <w:ind w:leftChars="-50" w:left="-105" w:rightChars="-50" w:right="-105"/>
              <w:jc w:val="center"/>
            </w:pPr>
            <w:r>
              <w:rPr>
                <w:rFonts w:hint="eastAsia"/>
              </w:rPr>
              <w:t>环境改造</w:t>
            </w:r>
          </w:p>
        </w:tc>
        <w:tc>
          <w:tcPr>
            <w:tcW w:w="1080"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176" w:type="dxa"/>
            <w:tcBorders>
              <w:top w:val="nil"/>
              <w:left w:val="nil"/>
              <w:bottom w:val="nil"/>
              <w:right w:val="nil"/>
            </w:tcBorders>
          </w:tcPr>
          <w:p w:rsidR="003717A0" w:rsidRDefault="003717A0">
            <w:pPr>
              <w:rPr>
                <w:rFonts w:ascii="宋体"/>
                <w:szCs w:val="21"/>
              </w:rPr>
            </w:pPr>
            <w:r>
              <w:rPr>
                <w:rFonts w:ascii="宋体" w:hAnsi="宋体"/>
                <w:szCs w:val="21"/>
              </w:rPr>
              <w:t>3</w:t>
            </w:r>
          </w:p>
        </w:tc>
        <w:tc>
          <w:tcPr>
            <w:tcW w:w="1092" w:type="dxa"/>
            <w:tcBorders>
              <w:top w:val="nil"/>
              <w:left w:val="nil"/>
              <w:bottom w:val="nil"/>
              <w:right w:val="nil"/>
            </w:tcBorders>
          </w:tcPr>
          <w:p w:rsidR="003717A0" w:rsidRDefault="003717A0">
            <w:pPr>
              <w:rPr>
                <w:rFonts w:ascii="宋体"/>
                <w:szCs w:val="21"/>
              </w:rPr>
            </w:pPr>
            <w:r>
              <w:rPr>
                <w:rFonts w:ascii="宋体" w:hAnsi="宋体"/>
                <w:szCs w:val="21"/>
              </w:rPr>
              <w:t>6</w:t>
            </w:r>
          </w:p>
        </w:tc>
      </w:tr>
      <w:tr w:rsidR="003717A0">
        <w:tc>
          <w:tcPr>
            <w:tcW w:w="1188" w:type="dxa"/>
            <w:tcBorders>
              <w:top w:val="nil"/>
              <w:left w:val="nil"/>
              <w:bottom w:val="single" w:sz="12" w:space="0" w:color="008000"/>
              <w:right w:val="nil"/>
            </w:tcBorders>
          </w:tcPr>
          <w:p w:rsidR="003717A0" w:rsidRDefault="003717A0">
            <w:pPr>
              <w:rPr>
                <w:rFonts w:ascii="宋体"/>
                <w:szCs w:val="21"/>
              </w:rPr>
            </w:pPr>
            <w:r>
              <w:rPr>
                <w:rFonts w:ascii="宋体" w:hAnsi="宋体" w:hint="eastAsia"/>
                <w:szCs w:val="21"/>
              </w:rPr>
              <w:t>合计</w:t>
            </w:r>
          </w:p>
        </w:tc>
        <w:tc>
          <w:tcPr>
            <w:tcW w:w="3060" w:type="dxa"/>
            <w:tcBorders>
              <w:top w:val="nil"/>
              <w:left w:val="nil"/>
              <w:bottom w:val="single" w:sz="12" w:space="0" w:color="008000"/>
              <w:right w:val="nil"/>
            </w:tcBorders>
            <w:vAlign w:val="center"/>
          </w:tcPr>
          <w:p w:rsidR="003717A0" w:rsidRDefault="003717A0">
            <w:pPr>
              <w:ind w:leftChars="-50" w:left="-105" w:rightChars="-50" w:right="-105"/>
              <w:jc w:val="center"/>
            </w:pPr>
          </w:p>
        </w:tc>
        <w:tc>
          <w:tcPr>
            <w:tcW w:w="1080" w:type="dxa"/>
            <w:tcBorders>
              <w:top w:val="nil"/>
              <w:left w:val="nil"/>
              <w:bottom w:val="single" w:sz="12" w:space="0" w:color="008000"/>
              <w:right w:val="nil"/>
            </w:tcBorders>
          </w:tcPr>
          <w:p w:rsidR="003717A0" w:rsidRDefault="003717A0">
            <w:pPr>
              <w:rPr>
                <w:rFonts w:ascii="宋体"/>
                <w:szCs w:val="21"/>
              </w:rPr>
            </w:pPr>
            <w:r>
              <w:rPr>
                <w:rFonts w:ascii="宋体" w:hAnsi="宋体"/>
                <w:szCs w:val="21"/>
              </w:rPr>
              <w:t>42</w:t>
            </w:r>
          </w:p>
        </w:tc>
        <w:tc>
          <w:tcPr>
            <w:tcW w:w="1176" w:type="dxa"/>
            <w:tcBorders>
              <w:top w:val="nil"/>
              <w:left w:val="nil"/>
              <w:bottom w:val="single" w:sz="12" w:space="0" w:color="008000"/>
              <w:right w:val="nil"/>
            </w:tcBorders>
          </w:tcPr>
          <w:p w:rsidR="003717A0" w:rsidRDefault="003717A0">
            <w:pPr>
              <w:rPr>
                <w:rFonts w:ascii="宋体"/>
                <w:szCs w:val="21"/>
              </w:rPr>
            </w:pPr>
            <w:r>
              <w:rPr>
                <w:rFonts w:ascii="宋体" w:hAnsi="宋体"/>
                <w:szCs w:val="21"/>
              </w:rPr>
              <w:t>30</w:t>
            </w:r>
          </w:p>
        </w:tc>
        <w:tc>
          <w:tcPr>
            <w:tcW w:w="1092" w:type="dxa"/>
            <w:tcBorders>
              <w:top w:val="nil"/>
              <w:left w:val="nil"/>
              <w:bottom w:val="single" w:sz="12" w:space="0" w:color="008000"/>
              <w:right w:val="nil"/>
            </w:tcBorders>
          </w:tcPr>
          <w:p w:rsidR="003717A0" w:rsidRDefault="003717A0">
            <w:pPr>
              <w:rPr>
                <w:rFonts w:ascii="宋体"/>
                <w:szCs w:val="21"/>
              </w:rPr>
            </w:pPr>
            <w:r>
              <w:rPr>
                <w:rFonts w:ascii="宋体" w:hAnsi="宋体"/>
                <w:szCs w:val="21"/>
              </w:rPr>
              <w:t>72</w:t>
            </w:r>
          </w:p>
        </w:tc>
      </w:tr>
    </w:tbl>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多媒体教室、多媒体教学课件、教学视频、模型教具等。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宋体" w:hAnsi="宋体"/>
          <w:szCs w:val="21"/>
        </w:rPr>
        <w:t>%</w:t>
      </w:r>
      <w:r>
        <w:rPr>
          <w:rFonts w:ascii="宋体" w:hAnsi="宋体" w:hint="eastAsia"/>
          <w:szCs w:val="21"/>
        </w:rPr>
        <w:t>，</w:t>
      </w: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Pr="00097A14" w:rsidRDefault="003717A0" w:rsidP="00097A14">
      <w:pPr>
        <w:pStyle w:val="a7"/>
        <w:rPr>
          <w:rFonts w:ascii="宋体" w:hAnsi="宋体"/>
          <w:szCs w:val="21"/>
        </w:rPr>
      </w:pPr>
      <w:r>
        <w:rPr>
          <w:rFonts w:ascii="宋体" w:hAnsi="宋体" w:hint="eastAsia"/>
          <w:szCs w:val="21"/>
        </w:rPr>
        <w:t>主要参考书：</w:t>
      </w:r>
    </w:p>
    <w:p w:rsidR="003717A0" w:rsidRPr="00097A14" w:rsidRDefault="003717A0" w:rsidP="00097A14">
      <w:pPr>
        <w:pStyle w:val="a7"/>
        <w:rPr>
          <w:rFonts w:ascii="宋体" w:hAnsi="宋体"/>
          <w:szCs w:val="21"/>
        </w:rPr>
      </w:pPr>
      <w:r>
        <w:rPr>
          <w:rFonts w:ascii="宋体" w:hAnsi="宋体" w:hint="eastAsia"/>
          <w:szCs w:val="21"/>
        </w:rPr>
        <w:t>窦祖林主编</w:t>
      </w:r>
      <w:r>
        <w:rPr>
          <w:rFonts w:ascii="宋体" w:hAnsi="宋体"/>
          <w:szCs w:val="21"/>
        </w:rPr>
        <w:t xml:space="preserve">  </w:t>
      </w:r>
      <w:r>
        <w:rPr>
          <w:rFonts w:ascii="宋体" w:hAnsi="宋体" w:hint="eastAsia"/>
          <w:szCs w:val="21"/>
        </w:rPr>
        <w:t>《作业治疗学》</w:t>
      </w:r>
      <w:r>
        <w:rPr>
          <w:rFonts w:ascii="宋体" w:hAnsi="宋体"/>
          <w:szCs w:val="21"/>
        </w:rPr>
        <w:t xml:space="preserve"> </w:t>
      </w:r>
      <w:r>
        <w:rPr>
          <w:rFonts w:ascii="宋体" w:hAnsi="宋体" w:hint="eastAsia"/>
          <w:szCs w:val="21"/>
        </w:rPr>
        <w:t>人民卫生出版社</w:t>
      </w:r>
      <w:r>
        <w:rPr>
          <w:rFonts w:ascii="宋体" w:hAnsi="宋体"/>
          <w:szCs w:val="21"/>
        </w:rPr>
        <w:t xml:space="preserve">  2008</w:t>
      </w:r>
      <w:r>
        <w:rPr>
          <w:rFonts w:ascii="宋体" w:hAnsi="宋体" w:hint="eastAsia"/>
          <w:szCs w:val="21"/>
        </w:rPr>
        <w:t>年</w:t>
      </w:r>
    </w:p>
    <w:p w:rsidR="003717A0" w:rsidRPr="00097A14" w:rsidRDefault="003717A0" w:rsidP="00097A14">
      <w:pPr>
        <w:pStyle w:val="a7"/>
        <w:rPr>
          <w:rFonts w:ascii="宋体" w:hAnsi="宋体"/>
          <w:szCs w:val="21"/>
        </w:rPr>
      </w:pPr>
      <w:r>
        <w:rPr>
          <w:rFonts w:ascii="宋体" w:hAnsi="宋体" w:hint="eastAsia"/>
          <w:szCs w:val="21"/>
        </w:rPr>
        <w:t>陈立嘉主编</w:t>
      </w:r>
      <w:r>
        <w:rPr>
          <w:rFonts w:ascii="宋体" w:hAnsi="宋体"/>
          <w:szCs w:val="21"/>
        </w:rPr>
        <w:t xml:space="preserve">   </w:t>
      </w:r>
      <w:r>
        <w:rPr>
          <w:rFonts w:ascii="宋体" w:hAnsi="宋体" w:hint="eastAsia"/>
          <w:szCs w:val="21"/>
        </w:rPr>
        <w:t>《基础作业学》</w:t>
      </w:r>
      <w:r>
        <w:rPr>
          <w:rFonts w:ascii="宋体" w:hAnsi="宋体"/>
          <w:szCs w:val="21"/>
        </w:rPr>
        <w:t xml:space="preserve">     </w:t>
      </w:r>
      <w:r>
        <w:rPr>
          <w:rFonts w:ascii="宋体" w:hAnsi="宋体" w:hint="eastAsia"/>
          <w:szCs w:val="21"/>
        </w:rPr>
        <w:t>华夏出版社</w:t>
      </w:r>
      <w:r>
        <w:rPr>
          <w:rFonts w:ascii="宋体" w:hAnsi="宋体"/>
          <w:szCs w:val="21"/>
        </w:rPr>
        <w:t xml:space="preserve">  2003</w:t>
      </w:r>
      <w:r>
        <w:rPr>
          <w:rFonts w:ascii="宋体" w:hAnsi="宋体" w:hint="eastAsia"/>
          <w:szCs w:val="21"/>
        </w:rPr>
        <w:t>年</w:t>
      </w:r>
    </w:p>
    <w:p w:rsidR="003717A0" w:rsidRDefault="003717A0">
      <w:pPr>
        <w:pStyle w:val="a7"/>
        <w:rPr>
          <w:rFonts w:ascii="宋体"/>
          <w:szCs w:val="21"/>
        </w:rPr>
      </w:pPr>
      <w:r>
        <w:rPr>
          <w:rFonts w:ascii="宋体" w:hAnsi="宋体" w:hint="eastAsia"/>
          <w:szCs w:val="21"/>
        </w:rPr>
        <w:t>王刚王彤主编</w:t>
      </w:r>
      <w:r>
        <w:rPr>
          <w:rFonts w:ascii="宋体" w:hAnsi="宋体"/>
          <w:szCs w:val="21"/>
        </w:rPr>
        <w:t xml:space="preserve"> </w:t>
      </w:r>
      <w:r>
        <w:rPr>
          <w:rFonts w:ascii="宋体" w:hAnsi="宋体" w:hint="eastAsia"/>
          <w:szCs w:val="21"/>
        </w:rPr>
        <w:t>《临床作业疗法学》</w:t>
      </w:r>
      <w:r>
        <w:rPr>
          <w:rFonts w:ascii="宋体" w:hAnsi="宋体"/>
          <w:szCs w:val="21"/>
        </w:rPr>
        <w:t xml:space="preserve"> </w:t>
      </w:r>
      <w:r>
        <w:rPr>
          <w:rFonts w:ascii="宋体" w:hAnsi="宋体" w:hint="eastAsia"/>
          <w:szCs w:val="21"/>
        </w:rPr>
        <w:t>华夏出版社</w:t>
      </w:r>
      <w:r>
        <w:rPr>
          <w:rFonts w:ascii="宋体" w:hAnsi="宋体"/>
          <w:szCs w:val="21"/>
        </w:rPr>
        <w:t xml:space="preserve">  2003</w:t>
      </w:r>
      <w:r>
        <w:rPr>
          <w:rFonts w:ascii="宋体" w:hAnsi="宋体" w:hint="eastAsia"/>
          <w:szCs w:val="21"/>
        </w:rPr>
        <w:t>年</w:t>
      </w:r>
      <w:r>
        <w:rPr>
          <w:rFonts w:ascii="宋体" w:hAnsi="宋体"/>
          <w:szCs w:val="21"/>
        </w:rPr>
        <w:t xml:space="preserve"> </w:t>
      </w:r>
    </w:p>
    <w:p w:rsidR="003717A0" w:rsidRPr="00DD2A93" w:rsidRDefault="003717A0" w:rsidP="00DD2A93">
      <w:pPr>
        <w:adjustRightInd w:val="0"/>
        <w:snapToGrid w:val="0"/>
        <w:spacing w:beforeLines="50" w:afterLines="50" w:line="400" w:lineRule="exact"/>
        <w:jc w:val="center"/>
        <w:rPr>
          <w:rFonts w:ascii="黑体" w:eastAsia="黑体" w:cs="黑体"/>
          <w:kern w:val="0"/>
          <w:szCs w:val="21"/>
        </w:rPr>
      </w:pPr>
      <w:r w:rsidRPr="00DD2A93">
        <w:rPr>
          <w:rFonts w:ascii="黑体" w:eastAsia="黑体" w:cs="黑体"/>
          <w:kern w:val="0"/>
          <w:szCs w:val="21"/>
        </w:rPr>
        <w:t xml:space="preserve">                  </w:t>
      </w:r>
      <w:r w:rsidR="00DD2A93">
        <w:rPr>
          <w:rFonts w:ascii="黑体" w:eastAsia="黑体" w:cs="黑体"/>
          <w:kern w:val="0"/>
          <w:szCs w:val="21"/>
        </w:rPr>
        <w:t xml:space="preserve">                           </w:t>
      </w:r>
      <w:r w:rsidRPr="00DD2A93">
        <w:rPr>
          <w:rFonts w:ascii="黑体" w:eastAsia="黑体" w:cs="黑体"/>
          <w:kern w:val="0"/>
          <w:szCs w:val="21"/>
        </w:rPr>
        <w:t xml:space="preserve"> </w:t>
      </w:r>
      <w:r w:rsidRPr="00DD2A93">
        <w:rPr>
          <w:rFonts w:ascii="黑体" w:eastAsia="黑体" w:cs="黑体" w:hint="eastAsia"/>
          <w:kern w:val="0"/>
          <w:szCs w:val="21"/>
        </w:rPr>
        <w:t>制定人：胡玉明</w:t>
      </w:r>
    </w:p>
    <w:p w:rsidR="003717A0" w:rsidRDefault="003717A0" w:rsidP="005E20B5">
      <w:pPr>
        <w:adjustRightInd w:val="0"/>
        <w:snapToGrid w:val="0"/>
        <w:spacing w:beforeLines="50" w:afterLines="50" w:line="400" w:lineRule="exact"/>
        <w:jc w:val="center"/>
        <w:rPr>
          <w:rFonts w:ascii="黑体" w:eastAsia="黑体" w:cs="黑体"/>
          <w:kern w:val="0"/>
          <w:szCs w:val="21"/>
        </w:rPr>
      </w:pPr>
      <w:r>
        <w:rPr>
          <w:rFonts w:ascii="黑体" w:eastAsia="黑体" w:cs="黑体"/>
          <w:kern w:val="0"/>
          <w:szCs w:val="21"/>
        </w:rPr>
        <w:t xml:space="preserve">                                              </w:t>
      </w:r>
      <w:r>
        <w:rPr>
          <w:rFonts w:ascii="黑体" w:eastAsia="黑体" w:cs="黑体" w:hint="eastAsia"/>
          <w:kern w:val="0"/>
          <w:szCs w:val="21"/>
        </w:rPr>
        <w:t>审核人：沈光宇</w:t>
      </w:r>
      <w:r>
        <w:rPr>
          <w:rFonts w:ascii="黑体" w:eastAsia="黑体" w:cs="黑体"/>
          <w:kern w:val="0"/>
          <w:szCs w:val="21"/>
        </w:rPr>
        <w:t xml:space="preserve"> </w:t>
      </w:r>
    </w:p>
    <w:p w:rsidR="003717A0" w:rsidRDefault="003717A0" w:rsidP="005E20B5">
      <w:pPr>
        <w:adjustRightInd w:val="0"/>
        <w:snapToGrid w:val="0"/>
        <w:spacing w:beforeLines="50" w:afterLines="50" w:line="400" w:lineRule="exact"/>
        <w:rPr>
          <w:rFonts w:ascii="Times New Roman" w:eastAsia="黑体" w:hAnsi="Times New Roman"/>
          <w:kern w:val="0"/>
          <w:sz w:val="34"/>
          <w:szCs w:val="34"/>
        </w:rPr>
      </w:pPr>
    </w:p>
    <w:p w:rsidR="003717A0" w:rsidRPr="00F5156D" w:rsidRDefault="003717A0" w:rsidP="00F5156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Times New Roman" w:hint="eastAsia"/>
        </w:rPr>
        <w:t>修读完本课程规定内容的康复治疗学专业的本科学生；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hAnsi="宋体" w:hint="eastAsia"/>
          <w:szCs w:val="21"/>
        </w:rPr>
        <w:t>通过考核来检查和了解学生对本门课程内容的掌握程度，考核学生</w:t>
      </w:r>
      <w:r>
        <w:rPr>
          <w:rFonts w:hint="eastAsia"/>
        </w:rPr>
        <w:t>对</w:t>
      </w:r>
      <w:r>
        <w:rPr>
          <w:rFonts w:ascii="宋体" w:hAnsi="宋体" w:hint="eastAsia"/>
          <w:szCs w:val="21"/>
        </w:rPr>
        <w:t>作业治疗</w:t>
      </w:r>
      <w:r>
        <w:rPr>
          <w:rFonts w:hint="eastAsia"/>
        </w:rPr>
        <w:t>的相关原理和理论、</w:t>
      </w:r>
      <w:r>
        <w:rPr>
          <w:rFonts w:ascii="宋体" w:hAnsi="宋体" w:hint="eastAsia"/>
          <w:szCs w:val="21"/>
        </w:rPr>
        <w:t>作业治疗的</w:t>
      </w:r>
      <w:r>
        <w:rPr>
          <w:rFonts w:hint="eastAsia"/>
        </w:rPr>
        <w:t>评估、临床推理与决策、</w:t>
      </w:r>
      <w:r>
        <w:t>ADL</w:t>
      </w:r>
      <w:r>
        <w:rPr>
          <w:rFonts w:hint="eastAsia"/>
        </w:rPr>
        <w:t>训练活动分析方法的应用等掌握水平，同时对压力治疗技术、感觉统合技术、矫形器、轮椅、环境改造等的熟悉情况。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hAnsi="宋体" w:hint="eastAsia"/>
          <w:szCs w:val="21"/>
        </w:rPr>
        <w:t>期末闭卷理论考核和实践技能考核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Times New Roman" w:hAnsi="宋体" w:hint="eastAsia"/>
          <w:szCs w:val="21"/>
        </w:rPr>
        <w:t>作业治疗模式、临床推理与决策、作业治疗评估、</w:t>
      </w:r>
      <w:r>
        <w:rPr>
          <w:rFonts w:ascii="Times New Roman" w:hAnsi="宋体"/>
          <w:szCs w:val="21"/>
        </w:rPr>
        <w:t>ADL</w:t>
      </w:r>
      <w:r>
        <w:rPr>
          <w:rFonts w:ascii="Times New Roman" w:hAnsi="宋体" w:hint="eastAsia"/>
          <w:szCs w:val="21"/>
        </w:rPr>
        <w:t>训练活动分析方法、认识障碍的治疗、感统训练、</w:t>
      </w:r>
      <w:r>
        <w:rPr>
          <w:rFonts w:ascii="宋体" w:hAnsi="宋体" w:hint="eastAsia"/>
          <w:szCs w:val="21"/>
        </w:rPr>
        <w:t>压力治疗、轮椅技巧、环境改造等。</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以掌握</w:t>
      </w:r>
      <w:r>
        <w:rPr>
          <w:rFonts w:ascii="Times New Roman" w:hAnsi="宋体" w:hint="eastAsia"/>
          <w:szCs w:val="21"/>
        </w:rPr>
        <w:t>作业治疗模式、临床推理与决策、作业治疗评估、</w:t>
      </w:r>
      <w:r>
        <w:rPr>
          <w:rFonts w:ascii="Times New Roman" w:hAnsi="宋体"/>
          <w:szCs w:val="21"/>
        </w:rPr>
        <w:t>ADL</w:t>
      </w:r>
      <w:r>
        <w:rPr>
          <w:rFonts w:ascii="Times New Roman" w:hAnsi="宋体" w:hint="eastAsia"/>
          <w:szCs w:val="21"/>
        </w:rPr>
        <w:t>训练活动分析方法的应用等理论知识为</w:t>
      </w:r>
      <w:r>
        <w:rPr>
          <w:rFonts w:ascii="宋体" w:hAnsi="宋体" w:hint="eastAsia"/>
          <w:szCs w:val="21"/>
        </w:rPr>
        <w:t>考试重点，考核学生运用课程知识分析问题、解决问题的能力，同时检查学生对压力治疗、轮椅技巧、环境改造等方面的实践能力。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ind w:firstLineChars="1395" w:firstLine="3361"/>
        <w:rPr>
          <w:rFonts w:ascii="Times New Roman" w:eastAsia="黑体" w:hAnsi="Times New Roman"/>
          <w:b/>
          <w:kern w:val="0"/>
          <w:sz w:val="24"/>
          <w:szCs w:val="24"/>
        </w:rPr>
      </w:pPr>
      <w:r>
        <w:rPr>
          <w:rFonts w:ascii="Times New Roman" w:eastAsia="黑体" w:hAnsi="Times New Roman" w:hint="eastAsia"/>
          <w:b/>
          <w:kern w:val="0"/>
          <w:sz w:val="24"/>
          <w:szCs w:val="24"/>
        </w:rPr>
        <w:t>作业治疗理论与技术考试试题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napToGrid w:val="0"/>
        <w:spacing w:line="360" w:lineRule="auto"/>
        <w:ind w:firstLineChars="1490" w:firstLine="3129"/>
        <w:jc w:val="left"/>
        <w:rPr>
          <w:rFonts w:ascii="宋体"/>
          <w:szCs w:val="21"/>
        </w:rPr>
      </w:pPr>
      <w:r>
        <w:rPr>
          <w:rFonts w:ascii="宋体" w:hAnsi="宋体" w:hint="eastAsia"/>
          <w:szCs w:val="21"/>
        </w:rPr>
        <w:t>时间：</w:t>
      </w:r>
      <w:r>
        <w:rPr>
          <w:rFonts w:ascii="宋体" w:hAnsi="宋体"/>
          <w:szCs w:val="21"/>
        </w:rPr>
        <w:t>120</w:t>
      </w:r>
      <w:r>
        <w:rPr>
          <w:rFonts w:ascii="宋体" w:hAnsi="宋体" w:hint="eastAsia"/>
          <w:szCs w:val="21"/>
        </w:rPr>
        <w:t>分钟</w:t>
      </w:r>
      <w:r>
        <w:rPr>
          <w:rFonts w:ascii="宋体" w:hAnsi="宋体"/>
          <w:szCs w:val="21"/>
        </w:rPr>
        <w:t xml:space="preserve">     </w:t>
      </w:r>
      <w:r>
        <w:rPr>
          <w:rFonts w:ascii="宋体" w:hAnsi="宋体" w:hint="eastAsia"/>
          <w:szCs w:val="21"/>
        </w:rPr>
        <w:t>总分：</w:t>
      </w:r>
      <w:r>
        <w:rPr>
          <w:rFonts w:ascii="宋体" w:hAnsi="宋体"/>
          <w:szCs w:val="21"/>
        </w:rPr>
        <w:t>100</w:t>
      </w:r>
      <w:r>
        <w:rPr>
          <w:rFonts w:ascii="宋体" w:hAnsi="宋体" w:hint="eastAsia"/>
          <w:szCs w:val="21"/>
        </w:rPr>
        <w:t>分</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一、名词解释：（每题</w:t>
      </w:r>
      <w:r>
        <w:rPr>
          <w:rFonts w:ascii="宋体" w:hAnsi="宋体"/>
          <w:szCs w:val="21"/>
        </w:rPr>
        <w:t>3</w:t>
      </w:r>
      <w:r>
        <w:rPr>
          <w:rFonts w:ascii="宋体" w:hAnsi="宋体" w:hint="eastAsia"/>
          <w:szCs w:val="21"/>
        </w:rPr>
        <w:t>分，共</w:t>
      </w:r>
      <w:r>
        <w:rPr>
          <w:rFonts w:ascii="宋体" w:hAnsi="宋体"/>
          <w:szCs w:val="21"/>
        </w:rPr>
        <w:t>15</w:t>
      </w:r>
      <w:r>
        <w:rPr>
          <w:rFonts w:ascii="宋体" w:hAnsi="宋体" w:hint="eastAsia"/>
          <w:szCs w:val="21"/>
        </w:rPr>
        <w:t>分）</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w:t>
      </w:r>
      <w:r>
        <w:rPr>
          <w:rFonts w:ascii="宋体" w:hAnsi="宋体" w:hint="eastAsia"/>
          <w:szCs w:val="21"/>
        </w:rPr>
        <w:t>、作业疗法</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2</w:t>
      </w:r>
      <w:r>
        <w:rPr>
          <w:rFonts w:ascii="宋体" w:hAnsi="宋体" w:hint="eastAsia"/>
          <w:szCs w:val="21"/>
        </w:rPr>
        <w:t>、作业活动分析</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3</w:t>
      </w:r>
      <w:r>
        <w:rPr>
          <w:rFonts w:ascii="宋体" w:hAnsi="宋体" w:hint="eastAsia"/>
          <w:szCs w:val="21"/>
        </w:rPr>
        <w:t>、矫形器</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4.</w:t>
      </w:r>
      <w:r>
        <w:rPr>
          <w:rFonts w:ascii="宋体" w:hAnsi="宋体" w:hint="eastAsia"/>
          <w:szCs w:val="21"/>
        </w:rPr>
        <w:t>作业疗法的实践模式</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 xml:space="preserve">5. </w:t>
      </w:r>
      <w:r>
        <w:rPr>
          <w:rFonts w:ascii="宋体" w:hAnsi="宋体" w:hint="eastAsia"/>
          <w:szCs w:val="21"/>
        </w:rPr>
        <w:t>失用症</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二、单项选择题：（每题</w:t>
      </w:r>
      <w:r>
        <w:rPr>
          <w:rFonts w:ascii="宋体" w:hAnsi="宋体"/>
          <w:szCs w:val="21"/>
        </w:rPr>
        <w:t>2</w:t>
      </w:r>
      <w:r>
        <w:rPr>
          <w:rFonts w:ascii="宋体" w:hAnsi="宋体" w:hint="eastAsia"/>
          <w:szCs w:val="21"/>
        </w:rPr>
        <w:t>分，共</w:t>
      </w:r>
      <w:r>
        <w:rPr>
          <w:rFonts w:ascii="宋体" w:hAnsi="宋体"/>
          <w:szCs w:val="21"/>
        </w:rPr>
        <w:t>24</w:t>
      </w:r>
      <w:r>
        <w:rPr>
          <w:rFonts w:ascii="宋体" w:hAnsi="宋体" w:hint="eastAsia"/>
          <w:szCs w:val="21"/>
        </w:rPr>
        <w:t>分）</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下列哪项活动不是作业活动的特点（</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、用于治疗的作业是经过选择的、有目的的活动。</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lastRenderedPageBreak/>
        <w:t>B</w:t>
      </w:r>
      <w:r>
        <w:rPr>
          <w:rFonts w:ascii="宋体" w:hAnsi="宋体" w:hint="eastAsia"/>
          <w:szCs w:val="21"/>
        </w:rPr>
        <w:t>、完成一项作业活动，常需协调的、综合地发挥躯体的、心理的、认知的等因素的作用。</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、作业治疗可帮助患者恢复日常生活活动能力。</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、作业治疗不能帮助患者恢复工作能力。</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E</w:t>
      </w:r>
      <w:r>
        <w:rPr>
          <w:rFonts w:ascii="宋体" w:hAnsi="宋体" w:hint="eastAsia"/>
          <w:szCs w:val="21"/>
        </w:rPr>
        <w:t>、作业治疗可为患者配制辅助具。</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2</w:t>
      </w:r>
      <w:r>
        <w:rPr>
          <w:rFonts w:ascii="宋体" w:hAnsi="宋体" w:hint="eastAsia"/>
          <w:szCs w:val="21"/>
        </w:rPr>
        <w:t>、</w:t>
      </w:r>
      <w:r>
        <w:rPr>
          <w:rFonts w:ascii="宋体" w:hAnsi="宋体"/>
          <w:szCs w:val="21"/>
        </w:rPr>
        <w:t xml:space="preserve"> </w:t>
      </w:r>
      <w:r>
        <w:rPr>
          <w:rFonts w:ascii="宋体" w:hAnsi="宋体" w:hint="eastAsia"/>
          <w:szCs w:val="21"/>
        </w:rPr>
        <w:t>训练上下肢协调的作业训练是（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、套圈</w:t>
      </w:r>
      <w:r>
        <w:rPr>
          <w:rFonts w:ascii="宋体" w:hAnsi="宋体"/>
          <w:szCs w:val="21"/>
        </w:rPr>
        <w:t xml:space="preserve">         B</w:t>
      </w:r>
      <w:r>
        <w:rPr>
          <w:rFonts w:ascii="宋体" w:hAnsi="宋体" w:hint="eastAsia"/>
          <w:szCs w:val="21"/>
        </w:rPr>
        <w:t>、缝纫</w:t>
      </w:r>
      <w:r>
        <w:rPr>
          <w:rFonts w:ascii="宋体" w:hAnsi="宋体"/>
          <w:szCs w:val="21"/>
        </w:rPr>
        <w:t xml:space="preserve">        C</w:t>
      </w:r>
      <w:r>
        <w:rPr>
          <w:rFonts w:ascii="宋体" w:hAnsi="宋体" w:hint="eastAsia"/>
          <w:szCs w:val="21"/>
        </w:rPr>
        <w:t>、砂磨板</w:t>
      </w:r>
      <w:r>
        <w:rPr>
          <w:rFonts w:ascii="宋体" w:hAnsi="宋体"/>
          <w:szCs w:val="21"/>
        </w:rPr>
        <w:t xml:space="preserve">      D</w:t>
      </w:r>
      <w:r>
        <w:rPr>
          <w:rFonts w:ascii="宋体" w:hAnsi="宋体" w:hint="eastAsia"/>
          <w:szCs w:val="21"/>
        </w:rPr>
        <w:t>、拉锯</w:t>
      </w:r>
      <w:r>
        <w:rPr>
          <w:rFonts w:ascii="宋体" w:hAnsi="宋体"/>
          <w:szCs w:val="21"/>
        </w:rPr>
        <w:t xml:space="preserve">    E</w:t>
      </w:r>
      <w:r>
        <w:rPr>
          <w:rFonts w:ascii="宋体" w:hAnsi="宋体" w:hint="eastAsia"/>
          <w:szCs w:val="21"/>
        </w:rPr>
        <w:t>、锤钉</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3</w:t>
      </w:r>
      <w:r>
        <w:rPr>
          <w:rFonts w:ascii="宋体" w:hAnsi="宋体" w:hint="eastAsia"/>
          <w:szCs w:val="21"/>
        </w:rPr>
        <w:t>、下列哪项不属于休闲活动</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．看电视</w:t>
      </w:r>
      <w:r>
        <w:rPr>
          <w:rFonts w:ascii="宋体" w:hAnsi="宋体"/>
          <w:szCs w:val="21"/>
        </w:rPr>
        <w:t xml:space="preserve">    B</w:t>
      </w:r>
      <w:r>
        <w:rPr>
          <w:rFonts w:ascii="宋体" w:hAnsi="宋体" w:hint="eastAsia"/>
          <w:szCs w:val="21"/>
        </w:rPr>
        <w:t>．打太极</w:t>
      </w:r>
      <w:r>
        <w:rPr>
          <w:rFonts w:ascii="宋体" w:hAnsi="宋体"/>
          <w:szCs w:val="21"/>
        </w:rPr>
        <w:t xml:space="preserve">    C</w:t>
      </w:r>
      <w:r>
        <w:rPr>
          <w:rFonts w:ascii="宋体" w:hAnsi="宋体" w:hint="eastAsia"/>
          <w:szCs w:val="21"/>
        </w:rPr>
        <w:t>．跑步</w:t>
      </w:r>
      <w:r>
        <w:rPr>
          <w:rFonts w:ascii="宋体" w:hAnsi="宋体"/>
          <w:szCs w:val="21"/>
        </w:rPr>
        <w:t xml:space="preserve">    D</w:t>
      </w:r>
      <w:r>
        <w:rPr>
          <w:rFonts w:ascii="宋体" w:hAnsi="宋体" w:hint="eastAsia"/>
          <w:szCs w:val="21"/>
        </w:rPr>
        <w:t>．修饰</w:t>
      </w:r>
      <w:r>
        <w:rPr>
          <w:rFonts w:ascii="宋体" w:hAnsi="宋体"/>
          <w:szCs w:val="21"/>
        </w:rPr>
        <w:t xml:space="preserve">    E</w:t>
      </w:r>
      <w:r>
        <w:rPr>
          <w:rFonts w:ascii="宋体" w:hAnsi="宋体" w:hint="eastAsia"/>
          <w:szCs w:val="21"/>
        </w:rPr>
        <w:t>．闲聊</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4</w:t>
      </w:r>
      <w:r>
        <w:rPr>
          <w:rFonts w:ascii="宋体" w:hAnsi="宋体" w:hint="eastAsia"/>
          <w:szCs w:val="21"/>
        </w:rPr>
        <w:t>、抛接气球游戏一般不用来改善（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、平衡能力</w:t>
      </w:r>
      <w:r>
        <w:rPr>
          <w:rFonts w:ascii="宋体" w:hAnsi="宋体"/>
          <w:szCs w:val="21"/>
        </w:rPr>
        <w:t xml:space="preserve">      B</w:t>
      </w:r>
      <w:r>
        <w:rPr>
          <w:rFonts w:ascii="宋体" w:hAnsi="宋体" w:hint="eastAsia"/>
          <w:szCs w:val="21"/>
        </w:rPr>
        <w:t>、手指灵活性</w:t>
      </w:r>
      <w:r>
        <w:rPr>
          <w:rFonts w:ascii="宋体" w:hAnsi="宋体"/>
          <w:szCs w:val="21"/>
        </w:rPr>
        <w:t xml:space="preserve">       C</w:t>
      </w:r>
      <w:r>
        <w:rPr>
          <w:rFonts w:ascii="宋体" w:hAnsi="宋体" w:hint="eastAsia"/>
          <w:szCs w:val="21"/>
        </w:rPr>
        <w:t>、肩关节活动度</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、肘关节活动度</w:t>
      </w:r>
      <w:r>
        <w:rPr>
          <w:rFonts w:ascii="宋体" w:hAnsi="宋体"/>
          <w:szCs w:val="21"/>
        </w:rPr>
        <w:t xml:space="preserve">       E</w:t>
      </w:r>
      <w:r>
        <w:rPr>
          <w:rFonts w:ascii="宋体" w:hAnsi="宋体" w:hint="eastAsia"/>
          <w:szCs w:val="21"/>
        </w:rPr>
        <w:t>、眼手协调性</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5</w:t>
      </w:r>
      <w:r>
        <w:rPr>
          <w:rFonts w:ascii="宋体" w:hAnsi="宋体" w:hint="eastAsia"/>
          <w:szCs w:val="21"/>
        </w:rPr>
        <w:t>、高血压患者可以做下列哪项运动（</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、跑步</w:t>
      </w:r>
      <w:r>
        <w:rPr>
          <w:rFonts w:ascii="宋体" w:hAnsi="宋体"/>
          <w:szCs w:val="21"/>
        </w:rPr>
        <w:t xml:space="preserve">       B</w:t>
      </w:r>
      <w:r>
        <w:rPr>
          <w:rFonts w:ascii="宋体" w:hAnsi="宋体" w:hint="eastAsia"/>
          <w:szCs w:val="21"/>
        </w:rPr>
        <w:t>、举重</w:t>
      </w:r>
      <w:r>
        <w:rPr>
          <w:rFonts w:ascii="宋体" w:hAnsi="宋体"/>
          <w:szCs w:val="21"/>
        </w:rPr>
        <w:t xml:space="preserve">       C</w:t>
      </w:r>
      <w:r>
        <w:rPr>
          <w:rFonts w:ascii="宋体" w:hAnsi="宋体" w:hint="eastAsia"/>
          <w:szCs w:val="21"/>
        </w:rPr>
        <w:t>、推力练习</w:t>
      </w:r>
      <w:r>
        <w:rPr>
          <w:rFonts w:ascii="宋体" w:hAnsi="宋体"/>
          <w:szCs w:val="21"/>
        </w:rPr>
        <w:t xml:space="preserve">       D</w:t>
      </w:r>
      <w:r>
        <w:rPr>
          <w:rFonts w:ascii="宋体" w:hAnsi="宋体" w:hint="eastAsia"/>
          <w:szCs w:val="21"/>
        </w:rPr>
        <w:t>、引身向上</w:t>
      </w:r>
      <w:r>
        <w:rPr>
          <w:rFonts w:ascii="宋体" w:hAnsi="宋体"/>
          <w:szCs w:val="21"/>
        </w:rPr>
        <w:t xml:space="preserve">       E</w:t>
      </w:r>
      <w:r>
        <w:rPr>
          <w:rFonts w:ascii="宋体" w:hAnsi="宋体" w:hint="eastAsia"/>
          <w:szCs w:val="21"/>
        </w:rPr>
        <w:t>、俯卧撑</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6</w:t>
      </w:r>
      <w:r>
        <w:rPr>
          <w:rFonts w:ascii="宋体" w:hAnsi="宋体" w:hint="eastAsia"/>
          <w:szCs w:val="21"/>
        </w:rPr>
        <w:t>、患者男性，</w:t>
      </w:r>
      <w:r>
        <w:rPr>
          <w:rFonts w:ascii="宋体" w:hAnsi="宋体"/>
          <w:szCs w:val="21"/>
        </w:rPr>
        <w:t>75</w:t>
      </w:r>
      <w:r>
        <w:rPr>
          <w:rFonts w:ascii="宋体" w:hAnsi="宋体" w:hint="eastAsia"/>
          <w:szCs w:val="21"/>
        </w:rPr>
        <w:t>岁，因走路不稳、跌倒人院，病隋平稳后转入康复科治疗。治疗师给予评估后发现：他是独居，每天还要靠拾旧报纸为生。作业治疗师评估后认为他出院后不能重返家中。请问治疗师对这位患者适合使用哪项临床思维方法</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 xml:space="preserve">A. </w:t>
      </w:r>
      <w:r>
        <w:rPr>
          <w:rFonts w:ascii="宋体" w:hAnsi="宋体" w:hint="eastAsia"/>
          <w:szCs w:val="21"/>
        </w:rPr>
        <w:t>科学性的思维</w:t>
      </w:r>
      <w:r>
        <w:rPr>
          <w:rFonts w:ascii="宋体" w:hAnsi="宋体"/>
          <w:szCs w:val="21"/>
        </w:rPr>
        <w:t xml:space="preserve">   B</w:t>
      </w:r>
      <w:r>
        <w:rPr>
          <w:rFonts w:ascii="宋体" w:hAnsi="宋体" w:hint="eastAsia"/>
          <w:szCs w:val="21"/>
        </w:rPr>
        <w:t>．叙述性的思维</w:t>
      </w:r>
      <w:r>
        <w:rPr>
          <w:rFonts w:ascii="宋体" w:hAnsi="宋体"/>
          <w:szCs w:val="21"/>
        </w:rPr>
        <w:t xml:space="preserve">    C</w:t>
      </w:r>
      <w:r>
        <w:rPr>
          <w:rFonts w:ascii="宋体" w:hAnsi="宋体" w:hint="eastAsia"/>
          <w:szCs w:val="21"/>
        </w:rPr>
        <w:t>．务实性的思维</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．道德伦理上的思维</w:t>
      </w:r>
      <w:r>
        <w:rPr>
          <w:rFonts w:ascii="宋体" w:hAnsi="宋体"/>
          <w:szCs w:val="21"/>
        </w:rPr>
        <w:t xml:space="preserve">    E</w:t>
      </w:r>
      <w:r>
        <w:rPr>
          <w:rFonts w:ascii="宋体" w:hAnsi="宋体" w:hint="eastAsia"/>
          <w:szCs w:val="21"/>
        </w:rPr>
        <w:t>．全部皆要</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7</w:t>
      </w:r>
      <w:r>
        <w:rPr>
          <w:rFonts w:ascii="宋体" w:hAnsi="宋体" w:hint="eastAsia"/>
          <w:szCs w:val="21"/>
        </w:rPr>
        <w:t>、作业疗法要求患者（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、自己选择作业治疗活动</w:t>
      </w:r>
      <w:r>
        <w:rPr>
          <w:rFonts w:ascii="宋体" w:hAnsi="宋体"/>
          <w:szCs w:val="21"/>
        </w:rPr>
        <w:t xml:space="preserve">       B</w:t>
      </w:r>
      <w:r>
        <w:rPr>
          <w:rFonts w:ascii="宋体" w:hAnsi="宋体" w:hint="eastAsia"/>
          <w:szCs w:val="21"/>
        </w:rPr>
        <w:t>、完全听从作业治疗师的安排</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、主动参加</w:t>
      </w:r>
      <w:r>
        <w:rPr>
          <w:rFonts w:ascii="宋体" w:hAnsi="宋体"/>
          <w:szCs w:val="21"/>
        </w:rPr>
        <w:t xml:space="preserve">           D</w:t>
      </w:r>
      <w:r>
        <w:rPr>
          <w:rFonts w:ascii="宋体" w:hAnsi="宋体" w:hint="eastAsia"/>
          <w:szCs w:val="21"/>
        </w:rPr>
        <w:t>、被动参加</w:t>
      </w:r>
      <w:r>
        <w:rPr>
          <w:rFonts w:ascii="宋体" w:hAnsi="宋体"/>
          <w:szCs w:val="21"/>
        </w:rPr>
        <w:t xml:space="preserve">        E</w:t>
      </w:r>
      <w:r>
        <w:rPr>
          <w:rFonts w:ascii="宋体" w:hAnsi="宋体" w:hint="eastAsia"/>
          <w:szCs w:val="21"/>
        </w:rPr>
        <w:t>、随便参加</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8</w:t>
      </w:r>
      <w:r>
        <w:rPr>
          <w:rFonts w:ascii="宋体" w:hAnsi="宋体" w:hint="eastAsia"/>
          <w:szCs w:val="21"/>
        </w:rPr>
        <w:t>、推擦作业主要训练（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、眼手协调性</w:t>
      </w:r>
      <w:r>
        <w:rPr>
          <w:rFonts w:ascii="宋体" w:hAnsi="宋体"/>
          <w:szCs w:val="21"/>
        </w:rPr>
        <w:t xml:space="preserve">          B</w:t>
      </w:r>
      <w:r>
        <w:rPr>
          <w:rFonts w:ascii="宋体" w:hAnsi="宋体" w:hint="eastAsia"/>
          <w:szCs w:val="21"/>
        </w:rPr>
        <w:t>、手的抓握能力</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、上肢的关节活动范围</w:t>
      </w:r>
      <w:r>
        <w:rPr>
          <w:rFonts w:ascii="宋体" w:hAnsi="宋体"/>
          <w:szCs w:val="21"/>
        </w:rPr>
        <w:t xml:space="preserve">       D</w:t>
      </w:r>
      <w:r>
        <w:rPr>
          <w:rFonts w:ascii="宋体" w:hAnsi="宋体" w:hint="eastAsia"/>
          <w:szCs w:val="21"/>
        </w:rPr>
        <w:t>、上肢的肌力</w:t>
      </w:r>
      <w:r>
        <w:rPr>
          <w:rFonts w:ascii="宋体" w:hAnsi="宋体"/>
          <w:szCs w:val="21"/>
        </w:rPr>
        <w:t xml:space="preserve">      E</w:t>
      </w:r>
      <w:r>
        <w:rPr>
          <w:rFonts w:ascii="宋体" w:hAnsi="宋体" w:hint="eastAsia"/>
          <w:szCs w:val="21"/>
        </w:rPr>
        <w:t>、下肢的肌力</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9</w:t>
      </w:r>
      <w:r>
        <w:rPr>
          <w:rFonts w:ascii="宋体" w:hAnsi="宋体" w:hint="eastAsia"/>
          <w:szCs w:val="21"/>
        </w:rPr>
        <w:t>、</w:t>
      </w:r>
      <w:r>
        <w:rPr>
          <w:rFonts w:ascii="宋体" w:hAnsi="宋体"/>
          <w:szCs w:val="21"/>
        </w:rPr>
        <w:t>Barthel</w:t>
      </w:r>
      <w:r>
        <w:rPr>
          <w:rFonts w:ascii="宋体" w:hAnsi="宋体" w:hint="eastAsia"/>
          <w:szCs w:val="21"/>
        </w:rPr>
        <w:t>指数评分</w:t>
      </w:r>
      <w:r>
        <w:rPr>
          <w:rFonts w:ascii="宋体" w:hAnsi="宋体"/>
          <w:szCs w:val="21"/>
        </w:rPr>
        <w:t>48</w:t>
      </w:r>
      <w:r>
        <w:rPr>
          <w:rFonts w:ascii="宋体" w:hAnsi="宋体" w:hint="eastAsia"/>
          <w:szCs w:val="21"/>
        </w:rPr>
        <w:t>分表明患者（</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、生活基本可以自理</w:t>
      </w:r>
      <w:r>
        <w:rPr>
          <w:rFonts w:ascii="宋体" w:hAnsi="宋体"/>
          <w:szCs w:val="21"/>
        </w:rPr>
        <w:t xml:space="preserve">          B</w:t>
      </w:r>
      <w:r>
        <w:rPr>
          <w:rFonts w:ascii="宋体" w:hAnsi="宋体" w:hint="eastAsia"/>
          <w:szCs w:val="21"/>
        </w:rPr>
        <w:t>、生活需要帮助</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、生活需要很大帮助</w:t>
      </w:r>
      <w:r>
        <w:rPr>
          <w:rFonts w:ascii="宋体" w:hAnsi="宋体"/>
          <w:szCs w:val="21"/>
        </w:rPr>
        <w:t xml:space="preserve">          D</w:t>
      </w:r>
      <w:r>
        <w:rPr>
          <w:rFonts w:ascii="宋体" w:hAnsi="宋体" w:hint="eastAsia"/>
          <w:szCs w:val="21"/>
        </w:rPr>
        <w:t>、生活安全需要帮助</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10</w:t>
      </w:r>
      <w:r>
        <w:rPr>
          <w:rFonts w:ascii="宋体" w:hAnsi="宋体" w:hint="eastAsia"/>
          <w:szCs w:val="21"/>
        </w:rPr>
        <w:t>、视空间关系障碍损伤定位是（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、左半球顶叶</w:t>
      </w:r>
      <w:r>
        <w:rPr>
          <w:rFonts w:ascii="宋体" w:hAnsi="宋体"/>
          <w:szCs w:val="21"/>
        </w:rPr>
        <w:t xml:space="preserve">        B</w:t>
      </w:r>
      <w:r>
        <w:rPr>
          <w:rFonts w:ascii="宋体" w:hAnsi="宋体" w:hint="eastAsia"/>
          <w:szCs w:val="21"/>
        </w:rPr>
        <w:t>、右半球顶叶</w:t>
      </w:r>
      <w:r>
        <w:rPr>
          <w:rFonts w:ascii="宋体" w:hAnsi="宋体"/>
          <w:szCs w:val="21"/>
        </w:rPr>
        <w:t xml:space="preserve">     C</w:t>
      </w:r>
      <w:r>
        <w:rPr>
          <w:rFonts w:ascii="宋体" w:hAnsi="宋体" w:hint="eastAsia"/>
          <w:szCs w:val="21"/>
        </w:rPr>
        <w:t>、左半球颞叶</w:t>
      </w:r>
      <w:r>
        <w:rPr>
          <w:rFonts w:ascii="宋体" w:hAnsi="宋体"/>
          <w:szCs w:val="21"/>
        </w:rPr>
        <w:t xml:space="preserve">        D</w:t>
      </w:r>
      <w:r>
        <w:rPr>
          <w:rFonts w:ascii="宋体" w:hAnsi="宋体" w:hint="eastAsia"/>
          <w:szCs w:val="21"/>
        </w:rPr>
        <w:t>、右半球颞叶</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11</w:t>
      </w:r>
      <w:r>
        <w:rPr>
          <w:rFonts w:ascii="宋体" w:hAnsi="宋体" w:hint="eastAsia"/>
          <w:szCs w:val="21"/>
        </w:rPr>
        <w:t>、失认症的临床表现不包括下列哪项（</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、视力正常但看不到东西</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B</w:t>
      </w:r>
      <w:r>
        <w:rPr>
          <w:rFonts w:ascii="宋体" w:hAnsi="宋体" w:hint="eastAsia"/>
          <w:szCs w:val="21"/>
        </w:rPr>
        <w:t>、对所见物品不能分辨但用手触摸后能回答</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、不能按指令表演刷牙动作</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、弄不清手指的名称</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lastRenderedPageBreak/>
        <w:t>12</w:t>
      </w:r>
      <w:r>
        <w:rPr>
          <w:rFonts w:ascii="宋体" w:hAnsi="宋体" w:hint="eastAsia"/>
          <w:szCs w:val="21"/>
        </w:rPr>
        <w:t>、下列哪项不是</w:t>
      </w:r>
      <w:r>
        <w:rPr>
          <w:rFonts w:ascii="宋体" w:hAnsi="宋体"/>
          <w:szCs w:val="21"/>
        </w:rPr>
        <w:t>BADL</w:t>
      </w:r>
      <w:r>
        <w:rPr>
          <w:rFonts w:ascii="宋体" w:hAnsi="宋体" w:hint="eastAsia"/>
          <w:szCs w:val="21"/>
        </w:rPr>
        <w:t>的评定方法（</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、功能独立评定（</w:t>
      </w:r>
      <w:r>
        <w:rPr>
          <w:rFonts w:ascii="宋体" w:hAnsi="宋体"/>
          <w:szCs w:val="21"/>
        </w:rPr>
        <w:t>FIM</w:t>
      </w:r>
      <w:r>
        <w:rPr>
          <w:rFonts w:ascii="宋体" w:hAnsi="宋体" w:hint="eastAsia"/>
          <w:szCs w:val="21"/>
        </w:rPr>
        <w:t>）</w:t>
      </w:r>
      <w:r>
        <w:rPr>
          <w:rFonts w:ascii="宋体" w:hAnsi="宋体"/>
          <w:szCs w:val="21"/>
        </w:rPr>
        <w:t xml:space="preserve">  B</w:t>
      </w:r>
      <w:r>
        <w:rPr>
          <w:rFonts w:ascii="宋体" w:hAnsi="宋体" w:hint="eastAsia"/>
          <w:szCs w:val="21"/>
        </w:rPr>
        <w:t>、</w:t>
      </w:r>
      <w:r>
        <w:rPr>
          <w:rFonts w:ascii="宋体" w:hAnsi="宋体"/>
          <w:szCs w:val="21"/>
        </w:rPr>
        <w:t>Barthel index   C</w:t>
      </w:r>
      <w:r>
        <w:rPr>
          <w:rFonts w:ascii="宋体" w:hAnsi="宋体" w:hint="eastAsia"/>
          <w:szCs w:val="21"/>
        </w:rPr>
        <w:t>、</w:t>
      </w:r>
      <w:r>
        <w:rPr>
          <w:rFonts w:ascii="宋体" w:hAnsi="宋体"/>
          <w:szCs w:val="21"/>
        </w:rPr>
        <w:t>Kenny</w:t>
      </w:r>
      <w:r>
        <w:rPr>
          <w:rFonts w:ascii="宋体" w:hAnsi="宋体" w:hint="eastAsia"/>
          <w:szCs w:val="21"/>
        </w:rPr>
        <w:t>自理评定</w:t>
      </w:r>
      <w:r>
        <w:rPr>
          <w:rFonts w:ascii="宋体" w:hAnsi="宋体"/>
          <w:szCs w:val="21"/>
        </w:rPr>
        <w:t xml:space="preserve">    D</w:t>
      </w:r>
      <w:r>
        <w:rPr>
          <w:rFonts w:ascii="宋体" w:hAnsi="宋体" w:hint="eastAsia"/>
          <w:szCs w:val="21"/>
        </w:rPr>
        <w:t>、</w:t>
      </w:r>
      <w:r>
        <w:rPr>
          <w:rFonts w:ascii="宋体" w:hAnsi="宋体"/>
          <w:szCs w:val="21"/>
        </w:rPr>
        <w:t>PULSES</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三、多选题（每题</w:t>
      </w:r>
      <w:r>
        <w:rPr>
          <w:rFonts w:ascii="宋体" w:hAnsi="宋体"/>
          <w:szCs w:val="21"/>
        </w:rPr>
        <w:t>3</w:t>
      </w:r>
      <w:r>
        <w:rPr>
          <w:rFonts w:ascii="宋体" w:hAnsi="宋体" w:hint="eastAsia"/>
          <w:szCs w:val="21"/>
        </w:rPr>
        <w:t>分</w:t>
      </w:r>
      <w:r>
        <w:rPr>
          <w:rFonts w:ascii="宋体"/>
          <w:szCs w:val="21"/>
        </w:rPr>
        <w:t>,</w:t>
      </w:r>
      <w:r>
        <w:rPr>
          <w:rFonts w:ascii="宋体" w:hAnsi="宋体" w:hint="eastAsia"/>
          <w:szCs w:val="21"/>
        </w:rPr>
        <w:t>共</w:t>
      </w:r>
      <w:r>
        <w:rPr>
          <w:rFonts w:ascii="宋体" w:hAnsi="宋体"/>
          <w:szCs w:val="21"/>
        </w:rPr>
        <w:t>15</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w:t>
      </w:r>
      <w:r>
        <w:rPr>
          <w:rFonts w:ascii="宋体" w:hAnsi="宋体" w:hint="eastAsia"/>
          <w:szCs w:val="21"/>
        </w:rPr>
        <w:t>、进行治疗性游戏时应注意的是</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．治疗时间的控制，避免久坐</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B</w:t>
      </w:r>
      <w:r>
        <w:rPr>
          <w:rFonts w:ascii="宋体" w:hAnsi="宋体" w:hint="eastAsia"/>
          <w:szCs w:val="21"/>
        </w:rPr>
        <w:t>．人数的控制，最好单人进行</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C</w:t>
      </w:r>
      <w:r>
        <w:rPr>
          <w:rFonts w:ascii="宋体" w:hAnsi="宋体" w:hint="eastAsia"/>
          <w:szCs w:val="21"/>
        </w:rPr>
        <w:t>．注意情绪的控制，避免过于激动</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D</w:t>
      </w:r>
      <w:r>
        <w:rPr>
          <w:rFonts w:ascii="宋体" w:hAnsi="宋体" w:hint="eastAsia"/>
          <w:szCs w:val="21"/>
        </w:rPr>
        <w:t>．不需考虑患者的个人爱好，按治疗师的安排进行</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E</w:t>
      </w:r>
      <w:r>
        <w:rPr>
          <w:rFonts w:ascii="宋体" w:hAnsi="宋体" w:hint="eastAsia"/>
          <w:szCs w:val="21"/>
        </w:rPr>
        <w:t>．注意保持正确的姿势，避免强化不良姿势</w:t>
      </w:r>
    </w:p>
    <w:p w:rsidR="003717A0" w:rsidRDefault="003717A0">
      <w:pPr>
        <w:autoSpaceDE w:val="0"/>
        <w:autoSpaceDN w:val="0"/>
        <w:adjustRightInd w:val="0"/>
        <w:snapToGrid w:val="0"/>
        <w:spacing w:line="360" w:lineRule="auto"/>
        <w:ind w:left="210" w:hangingChars="100" w:hanging="210"/>
        <w:jc w:val="left"/>
        <w:rPr>
          <w:rFonts w:ascii="宋体"/>
          <w:szCs w:val="21"/>
        </w:rPr>
      </w:pPr>
      <w:r>
        <w:rPr>
          <w:rFonts w:ascii="宋体" w:hAnsi="宋体"/>
          <w:szCs w:val="21"/>
        </w:rPr>
        <w:t>2</w:t>
      </w:r>
      <w:r>
        <w:rPr>
          <w:rFonts w:ascii="宋体" w:hAnsi="宋体" w:hint="eastAsia"/>
          <w:szCs w:val="21"/>
        </w:rPr>
        <w:t>、患者男性，</w:t>
      </w:r>
      <w:r>
        <w:rPr>
          <w:rFonts w:ascii="宋体" w:hAnsi="宋体"/>
          <w:szCs w:val="21"/>
        </w:rPr>
        <w:t>71</w:t>
      </w:r>
      <w:r>
        <w:rPr>
          <w:rFonts w:ascii="宋体" w:hAnsi="宋体" w:hint="eastAsia"/>
          <w:szCs w:val="21"/>
        </w:rPr>
        <w:t>岁，因左侧脑出血人院，病情平稳后转入康复科治疗。治疗师给予评估后发现：患者评估合作，发音欠清晰，记忆力稍减退；右侧肢体肌张力</w:t>
      </w:r>
      <w:r>
        <w:rPr>
          <w:rFonts w:ascii="宋体" w:hAnsi="宋体"/>
          <w:szCs w:val="21"/>
        </w:rPr>
        <w:t>Ashworth</w:t>
      </w:r>
      <w:r>
        <w:rPr>
          <w:rFonts w:ascii="宋体" w:hAnsi="宋体" w:hint="eastAsia"/>
          <w:szCs w:val="21"/>
        </w:rPr>
        <w:t>痉挛分级</w:t>
      </w:r>
      <w:r>
        <w:rPr>
          <w:rFonts w:ascii="宋体" w:hAnsi="宋体"/>
          <w:szCs w:val="21"/>
        </w:rPr>
        <w:t>1</w:t>
      </w:r>
      <w:r>
        <w:rPr>
          <w:rFonts w:ascii="宋体" w:hAnsi="宋体" w:hint="eastAsia"/>
          <w:szCs w:val="21"/>
        </w:rPr>
        <w:t>～</w:t>
      </w:r>
      <w:r>
        <w:rPr>
          <w:rFonts w:ascii="宋体" w:hAnsi="宋体"/>
          <w:szCs w:val="21"/>
        </w:rPr>
        <w:t>2</w:t>
      </w:r>
      <w:r>
        <w:rPr>
          <w:rFonts w:ascii="宋体" w:hAnsi="宋体" w:hint="eastAsia"/>
          <w:szCs w:val="21"/>
        </w:rPr>
        <w:t>级，肌力均为</w:t>
      </w:r>
      <w:r>
        <w:rPr>
          <w:rFonts w:ascii="宋体" w:hAnsi="宋体"/>
          <w:szCs w:val="21"/>
        </w:rPr>
        <w:t>3</w:t>
      </w:r>
      <w:r>
        <w:rPr>
          <w:rFonts w:ascii="宋体" w:hAnsi="宋体" w:hint="eastAsia"/>
          <w:szCs w:val="21"/>
        </w:rPr>
        <w:t>级；坐位下可自主平衡；不能站立及行走。现要求对该患者进行全面评估，请问这位患者还需给予哪项评估</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．失语症检查</w:t>
      </w:r>
      <w:r>
        <w:rPr>
          <w:rFonts w:ascii="宋体" w:hAnsi="宋体"/>
          <w:szCs w:val="21"/>
        </w:rPr>
        <w:t xml:space="preserve">    B</w:t>
      </w:r>
      <w:r>
        <w:rPr>
          <w:rFonts w:ascii="宋体" w:hAnsi="宋体" w:hint="eastAsia"/>
          <w:szCs w:val="21"/>
        </w:rPr>
        <w:t>．注意力评估</w:t>
      </w:r>
      <w:r>
        <w:rPr>
          <w:rFonts w:ascii="宋体" w:hAnsi="宋体"/>
          <w:szCs w:val="21"/>
        </w:rPr>
        <w:t xml:space="preserve">    C</w:t>
      </w:r>
      <w:r>
        <w:rPr>
          <w:rFonts w:ascii="宋体" w:hAnsi="宋体" w:hint="eastAsia"/>
          <w:szCs w:val="21"/>
        </w:rPr>
        <w:t>．</w:t>
      </w:r>
      <w:r>
        <w:rPr>
          <w:rFonts w:ascii="宋体" w:hAnsi="宋体"/>
          <w:szCs w:val="21"/>
        </w:rPr>
        <w:t>ADL</w:t>
      </w:r>
      <w:r>
        <w:rPr>
          <w:rFonts w:ascii="宋体" w:hAnsi="宋体" w:hint="eastAsia"/>
          <w:szCs w:val="21"/>
        </w:rPr>
        <w:t>评</w:t>
      </w:r>
      <w:r>
        <w:rPr>
          <w:rFonts w:ascii="宋体" w:hAnsi="宋体"/>
          <w:szCs w:val="21"/>
        </w:rPr>
        <w:t xml:space="preserve">    D</w:t>
      </w:r>
      <w:r>
        <w:rPr>
          <w:rFonts w:ascii="宋体" w:hAnsi="宋体" w:hint="eastAsia"/>
          <w:szCs w:val="21"/>
        </w:rPr>
        <w:t>．平衡能力检查</w:t>
      </w:r>
      <w:r>
        <w:rPr>
          <w:rFonts w:ascii="宋体" w:hAnsi="宋体"/>
          <w:szCs w:val="21"/>
        </w:rPr>
        <w:t xml:space="preserve">    E</w:t>
      </w:r>
      <w:r>
        <w:rPr>
          <w:rFonts w:ascii="宋体" w:hAnsi="宋体" w:hint="eastAsia"/>
          <w:szCs w:val="21"/>
        </w:rPr>
        <w:t>．语言理解能力检查</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3</w:t>
      </w:r>
      <w:r>
        <w:rPr>
          <w:rFonts w:ascii="宋体" w:hAnsi="宋体" w:hint="eastAsia"/>
          <w:szCs w:val="21"/>
        </w:rPr>
        <w:t>、压力治疗的禁忌症有（</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、治疗部位有感染性创面</w:t>
      </w:r>
      <w:r>
        <w:rPr>
          <w:rFonts w:ascii="宋体" w:hAnsi="宋体"/>
          <w:szCs w:val="21"/>
        </w:rPr>
        <w:t xml:space="preserve">       B</w:t>
      </w:r>
      <w:r>
        <w:rPr>
          <w:rFonts w:ascii="宋体" w:hAnsi="宋体" w:hint="eastAsia"/>
          <w:szCs w:val="21"/>
        </w:rPr>
        <w:t>、下肢静脉曲张</w:t>
      </w:r>
      <w:r>
        <w:rPr>
          <w:rFonts w:ascii="宋体" w:hAnsi="宋体"/>
          <w:szCs w:val="21"/>
        </w:rPr>
        <w:t xml:space="preserve">     C</w:t>
      </w:r>
      <w:r>
        <w:rPr>
          <w:rFonts w:ascii="宋体" w:hAnsi="宋体" w:hint="eastAsia"/>
          <w:szCs w:val="21"/>
        </w:rPr>
        <w:t>、下肢深静脉血栓</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 xml:space="preserve"> D</w:t>
      </w:r>
      <w:r>
        <w:rPr>
          <w:rFonts w:ascii="宋体" w:hAnsi="宋体" w:hint="eastAsia"/>
          <w:szCs w:val="21"/>
        </w:rPr>
        <w:t>、烧伤</w:t>
      </w:r>
      <w:r>
        <w:rPr>
          <w:rFonts w:ascii="宋体" w:hAnsi="宋体"/>
          <w:szCs w:val="21"/>
        </w:rPr>
        <w:t xml:space="preserve">        E</w:t>
      </w:r>
      <w:r>
        <w:rPr>
          <w:rFonts w:ascii="宋体" w:hAnsi="宋体" w:hint="eastAsia"/>
          <w:szCs w:val="21"/>
        </w:rPr>
        <w:t>、脉管炎急性发作</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4</w:t>
      </w:r>
      <w:r>
        <w:rPr>
          <w:rFonts w:ascii="宋体" w:hAnsi="宋体" w:hint="eastAsia"/>
          <w:szCs w:val="21"/>
        </w:rPr>
        <w:t>、作业活动简单分析的方法</w:t>
      </w:r>
      <w:r w:rsidR="004D1806">
        <w:rPr>
          <w:rFonts w:ascii="宋体" w:hAnsi="宋体" w:hint="eastAsia"/>
          <w:szCs w:val="21"/>
        </w:rPr>
        <w:t>包括（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、活动目的</w:t>
      </w:r>
      <w:r>
        <w:rPr>
          <w:rFonts w:ascii="宋体" w:hAnsi="宋体"/>
          <w:szCs w:val="21"/>
        </w:rPr>
        <w:t xml:space="preserve">           B</w:t>
      </w:r>
      <w:r>
        <w:rPr>
          <w:rFonts w:ascii="宋体" w:hAnsi="宋体" w:hint="eastAsia"/>
          <w:szCs w:val="21"/>
        </w:rPr>
        <w:t>、活动内容</w:t>
      </w:r>
      <w:r>
        <w:rPr>
          <w:rFonts w:ascii="宋体" w:hAnsi="宋体"/>
          <w:szCs w:val="21"/>
        </w:rPr>
        <w:t xml:space="preserve">      C</w:t>
      </w:r>
      <w:r>
        <w:rPr>
          <w:rFonts w:ascii="宋体" w:hAnsi="宋体" w:hint="eastAsia"/>
          <w:szCs w:val="21"/>
        </w:rPr>
        <w:t>、活动方式</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D</w:t>
      </w:r>
      <w:r>
        <w:rPr>
          <w:rFonts w:ascii="宋体" w:hAnsi="宋体" w:hint="eastAsia"/>
          <w:szCs w:val="21"/>
        </w:rPr>
        <w:t>、活动参与者</w:t>
      </w:r>
      <w:r>
        <w:rPr>
          <w:rFonts w:ascii="宋体" w:hAnsi="宋体"/>
          <w:szCs w:val="21"/>
        </w:rPr>
        <w:t xml:space="preserve">         E</w:t>
      </w:r>
      <w:r>
        <w:rPr>
          <w:rFonts w:ascii="宋体" w:hAnsi="宋体" w:hint="eastAsia"/>
          <w:szCs w:val="21"/>
        </w:rPr>
        <w:t>、活动时间</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5</w:t>
      </w:r>
      <w:r>
        <w:rPr>
          <w:rFonts w:ascii="宋体" w:hAnsi="宋体" w:hint="eastAsia"/>
          <w:szCs w:val="21"/>
        </w:rPr>
        <w:t>、作业疗法的治疗作用包括（</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、改善躯体功能</w:t>
      </w:r>
      <w:r>
        <w:rPr>
          <w:rFonts w:ascii="宋体" w:hAnsi="宋体"/>
          <w:szCs w:val="21"/>
        </w:rPr>
        <w:t xml:space="preserve">         B</w:t>
      </w:r>
      <w:r>
        <w:rPr>
          <w:rFonts w:ascii="宋体" w:hAnsi="宋体" w:hint="eastAsia"/>
          <w:szCs w:val="21"/>
        </w:rPr>
        <w:t>、改善心理状态</w:t>
      </w:r>
      <w:r>
        <w:rPr>
          <w:rFonts w:ascii="宋体" w:hAnsi="宋体"/>
          <w:szCs w:val="21"/>
        </w:rPr>
        <w:t xml:space="preserve">     C</w:t>
      </w:r>
      <w:r>
        <w:rPr>
          <w:rFonts w:ascii="宋体" w:hAnsi="宋体" w:hint="eastAsia"/>
          <w:szCs w:val="21"/>
        </w:rPr>
        <w:t>、提高日常生活活动能力和生活自理程度</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D</w:t>
      </w:r>
      <w:r>
        <w:rPr>
          <w:rFonts w:ascii="宋体" w:hAnsi="宋体" w:hint="eastAsia"/>
          <w:szCs w:val="21"/>
        </w:rPr>
        <w:t>、提高职业技能</w:t>
      </w:r>
      <w:r>
        <w:rPr>
          <w:rFonts w:ascii="宋体" w:hAnsi="宋体"/>
          <w:szCs w:val="21"/>
        </w:rPr>
        <w:t xml:space="preserve">         E</w:t>
      </w:r>
      <w:r>
        <w:rPr>
          <w:rFonts w:ascii="宋体" w:hAnsi="宋体" w:hint="eastAsia"/>
          <w:szCs w:val="21"/>
        </w:rPr>
        <w:t>、生活和工作环境改造，有利于恢复正常生活和工作</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四、简答题（共</w:t>
      </w:r>
      <w:r>
        <w:rPr>
          <w:rFonts w:ascii="宋体" w:hAnsi="宋体"/>
          <w:szCs w:val="21"/>
        </w:rPr>
        <w:t>46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w:t>
      </w:r>
      <w:r>
        <w:rPr>
          <w:rFonts w:ascii="宋体" w:hAnsi="宋体" w:hint="eastAsia"/>
          <w:szCs w:val="21"/>
        </w:rPr>
        <w:t>、试述作业疗法的治疗原则（</w:t>
      </w:r>
      <w:r>
        <w:rPr>
          <w:rFonts w:ascii="宋体" w:hAnsi="宋体"/>
          <w:szCs w:val="21"/>
        </w:rPr>
        <w:t>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2</w:t>
      </w:r>
      <w:r>
        <w:rPr>
          <w:rFonts w:ascii="宋体" w:hAnsi="宋体" w:hint="eastAsia"/>
          <w:szCs w:val="21"/>
        </w:rPr>
        <w:t>、简述认知障碍的康复治疗模式。（</w:t>
      </w:r>
      <w:r>
        <w:rPr>
          <w:rFonts w:ascii="宋体" w:hAnsi="宋体"/>
          <w:szCs w:val="21"/>
        </w:rPr>
        <w:t>8</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3</w:t>
      </w:r>
      <w:r>
        <w:rPr>
          <w:rFonts w:ascii="宋体" w:hAnsi="宋体" w:hint="eastAsia"/>
          <w:szCs w:val="21"/>
        </w:rPr>
        <w:t>、简述作业治疗过程的六个基本步骤。（</w:t>
      </w:r>
      <w:r>
        <w:rPr>
          <w:rFonts w:ascii="宋体" w:hAnsi="宋体"/>
          <w:szCs w:val="21"/>
        </w:rPr>
        <w:t>8</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4</w:t>
      </w:r>
      <w:r>
        <w:rPr>
          <w:rFonts w:ascii="宋体" w:hAnsi="宋体" w:hint="eastAsia"/>
          <w:szCs w:val="21"/>
        </w:rPr>
        <w:t>、为改善手的灵活性，可以选择哪些作业活动</w:t>
      </w:r>
      <w:r>
        <w:rPr>
          <w:rFonts w:ascii="宋体" w:hAnsi="宋体"/>
          <w:szCs w:val="21"/>
        </w:rPr>
        <w:t>?</w:t>
      </w:r>
      <w:r>
        <w:rPr>
          <w:rFonts w:ascii="宋体" w:hAnsi="宋体" w:hint="eastAsia"/>
          <w:szCs w:val="21"/>
        </w:rPr>
        <w:t>（</w:t>
      </w:r>
      <w:r>
        <w:rPr>
          <w:rFonts w:ascii="宋体" w:hAnsi="宋体"/>
          <w:szCs w:val="21"/>
        </w:rPr>
        <w:t>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5</w:t>
      </w:r>
      <w:r>
        <w:rPr>
          <w:rFonts w:ascii="宋体" w:hAnsi="宋体" w:hint="eastAsia"/>
          <w:szCs w:val="21"/>
        </w:rPr>
        <w:t>、为了使行走不便的患者无障碍通行，请你对门口、通道、楼梯、坐便器、洗手池、浴室、室内布置、环境条件进行特殊的布置。（</w:t>
      </w:r>
      <w:r>
        <w:rPr>
          <w:rFonts w:ascii="宋体" w:hAnsi="宋体"/>
          <w:szCs w:val="21"/>
        </w:rPr>
        <w:t>12</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6</w:t>
      </w:r>
      <w:r>
        <w:rPr>
          <w:rFonts w:ascii="宋体" w:hAnsi="宋体" w:hint="eastAsia"/>
          <w:szCs w:val="21"/>
        </w:rPr>
        <w:t>、对上肢关节活动受限，肌力肌张力异常不能抓握或动作不协调而不能正常摄食者怎样改造餐具使之送食入口。（</w:t>
      </w:r>
      <w:r>
        <w:rPr>
          <w:rFonts w:ascii="宋体" w:hAnsi="宋体"/>
          <w:szCs w:val="21"/>
        </w:rPr>
        <w:t>6</w:t>
      </w:r>
      <w:r>
        <w:rPr>
          <w:rFonts w:ascii="宋体" w:hAnsi="宋体" w:hint="eastAsia"/>
          <w:szCs w:val="21"/>
        </w:rPr>
        <w:t>分）</w:t>
      </w:r>
    </w:p>
    <w:p w:rsidR="003717A0" w:rsidRPr="00F5156D" w:rsidRDefault="003717A0" w:rsidP="00F5156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F5156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auto"/>
              <w:ind w:firstLineChars="8" w:firstLine="17"/>
              <w:jc w:val="left"/>
              <w:rPr>
                <w:rFonts w:ascii="Times New Roman" w:hAnsi="宋体"/>
                <w:kern w:val="0"/>
                <w:sz w:val="22"/>
              </w:rPr>
            </w:pPr>
            <w:r>
              <w:rPr>
                <w:rFonts w:ascii="宋体" w:hAnsi="宋体" w:hint="eastAsia"/>
                <w:szCs w:val="21"/>
              </w:rPr>
              <w:t>本课程在学校、临床医学院和附属医院统一领导下实施教学，设教学组长兼教学秘书，负责安排教学活动，定人、定时、定内容，课前要充分准备教具，充分备课，认真写好教案。教师应充分研究本大纲所规定的各章内容，对重点和难点进行深入浅出的讲解。增加自学和拓展环节，注意培养学生的自学能力。教师应关心本学科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spacing w:line="360" w:lineRule="auto"/>
              <w:ind w:firstLine="420"/>
              <w:rPr>
                <w:rFonts w:ascii="宋体"/>
                <w:szCs w:val="21"/>
              </w:rPr>
            </w:pPr>
            <w:r>
              <w:rPr>
                <w:rFonts w:ascii="Times New Roman" w:hAnsi="宋体" w:hint="eastAsia"/>
                <w:szCs w:val="21"/>
              </w:rPr>
              <w:t>掌握本课程教学大纲内容，严格按照教学大纲要求进行本课程教学内容的组织。</w:t>
            </w:r>
            <w:r>
              <w:rPr>
                <w:rFonts w:ascii="宋体"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结合课程特点，制作课件，运用多媒体教学手段讲授部分教学内容。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2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2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2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auto"/>
              <w:jc w:val="left"/>
            </w:pP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auto"/>
              <w:ind w:firstLineChars="193" w:firstLine="425"/>
              <w:jc w:val="left"/>
              <w:rPr>
                <w:rFonts w:ascii="Times New Roman" w:hAnsi="宋体"/>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Times New Roman" w:hAnsi="宋体"/>
                <w:kern w:val="0"/>
                <w:sz w:val="22"/>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429"/>
              </w:numPr>
              <w:autoSpaceDE w:val="0"/>
              <w:autoSpaceDN w:val="0"/>
              <w:adjustRightInd w:val="0"/>
              <w:snapToGrid w:val="0"/>
              <w:spacing w:line="360" w:lineRule="auto"/>
              <w:jc w:val="left"/>
              <w:rPr>
                <w:rFonts w:ascii="宋体"/>
                <w:szCs w:val="21"/>
              </w:rPr>
            </w:pPr>
            <w:r>
              <w:rPr>
                <w:rFonts w:ascii="宋体" w:hAnsi="宋体" w:hint="eastAsia"/>
                <w:szCs w:val="21"/>
              </w:rPr>
              <w:t>期末考试成绩占总评成绩的</w:t>
            </w:r>
            <w:r>
              <w:rPr>
                <w:rFonts w:ascii="宋体" w:hAnsi="宋体"/>
                <w:szCs w:val="21"/>
              </w:rPr>
              <w:t>100%</w:t>
            </w:r>
            <w:r>
              <w:rPr>
                <w:rFonts w:ascii="宋体" w:hAnsi="宋体" w:hint="eastAsia"/>
                <w:szCs w:val="21"/>
              </w:rPr>
              <w:t>；</w:t>
            </w:r>
          </w:p>
          <w:p w:rsidR="003717A0" w:rsidRDefault="003717A0">
            <w:pPr>
              <w:numPr>
                <w:ilvl w:val="0"/>
                <w:numId w:val="429"/>
              </w:numPr>
              <w:autoSpaceDE w:val="0"/>
              <w:autoSpaceDN w:val="0"/>
              <w:adjustRightInd w:val="0"/>
              <w:snapToGrid w:val="0"/>
              <w:spacing w:line="360" w:lineRule="auto"/>
              <w:jc w:val="left"/>
              <w:rPr>
                <w:rFonts w:ascii="宋体"/>
                <w:szCs w:val="21"/>
              </w:rPr>
            </w:pPr>
            <w:r>
              <w:rPr>
                <w:rFonts w:ascii="宋体"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）缺交作业次数达</w:t>
            </w:r>
            <w:r>
              <w:rPr>
                <w:rFonts w:ascii="宋体" w:hAnsi="宋体"/>
                <w:szCs w:val="21"/>
              </w:rPr>
              <w:t>1/3</w:t>
            </w:r>
            <w:r>
              <w:rPr>
                <w:rFonts w:ascii="宋体" w:hAnsi="宋体" w:hint="eastAsia"/>
                <w:szCs w:val="21"/>
              </w:rPr>
              <w:t>以上者；</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）缺课次数达本学期总授课学时的</w:t>
            </w:r>
            <w:r>
              <w:rPr>
                <w:rFonts w:ascii="宋体" w:hAnsi="宋体"/>
                <w:szCs w:val="21"/>
              </w:rPr>
              <w:t>1/3</w:t>
            </w:r>
            <w:r>
              <w:rPr>
                <w:rFonts w:ascii="宋体"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auto"/>
              <w:jc w:val="left"/>
              <w:rPr>
                <w:rFonts w:ascii="Times New Roman" w:hAnsi="宋体"/>
                <w:kern w:val="0"/>
                <w:sz w:val="22"/>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同时还鼓励学生到附属医院作业治疗室见习，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F5156D" w:rsidRDefault="003717A0">
      <w:pPr>
        <w:pStyle w:val="1"/>
        <w:rPr>
          <w:b/>
        </w:rPr>
      </w:pPr>
      <w:r>
        <w:br w:type="page"/>
      </w:r>
      <w:bookmarkStart w:id="93" w:name="_Toc469313008"/>
      <w:bookmarkStart w:id="94" w:name="_Toc471830720"/>
      <w:r w:rsidRPr="00F5156D">
        <w:rPr>
          <w:rFonts w:hint="eastAsia"/>
          <w:b/>
        </w:rPr>
        <w:lastRenderedPageBreak/>
        <w:t>《传统康复方法学》课程质量标准</w:t>
      </w:r>
      <w:bookmarkEnd w:id="93"/>
      <w:bookmarkEnd w:id="94"/>
    </w:p>
    <w:p w:rsidR="003717A0" w:rsidRPr="00F5156D" w:rsidRDefault="003717A0" w:rsidP="00F5156D">
      <w:pPr>
        <w:adjustRightInd w:val="0"/>
        <w:snapToGrid w:val="0"/>
        <w:spacing w:line="360" w:lineRule="auto"/>
        <w:jc w:val="center"/>
        <w:rPr>
          <w:rFonts w:ascii="Times New Roman" w:eastAsia="黑体" w:hAnsi="Times New Roman" w:cs="Times New Roman"/>
          <w:b/>
          <w:bCs/>
          <w:kern w:val="0"/>
          <w:sz w:val="32"/>
          <w:szCs w:val="32"/>
        </w:rPr>
      </w:pPr>
      <w:r w:rsidRPr="00F5156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传统康复方法学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Rehabilitation of Traditional Chinese Medicine</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170692</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五</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108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4</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康复医学系</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传统康复方法学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r>
              <w:rPr>
                <w:sz w:val="22"/>
              </w:rPr>
              <w:t>2013</w:t>
            </w:r>
            <w:r>
              <w:rPr>
                <w:rFonts w:hint="eastAsia"/>
                <w:sz w:val="22"/>
              </w:rPr>
              <w:t>年</w:t>
            </w:r>
            <w:r>
              <w:rPr>
                <w:sz w:val="22"/>
              </w:rPr>
              <w:t>3</w:t>
            </w:r>
            <w:r>
              <w:rPr>
                <w:rFonts w:hint="eastAsia"/>
                <w:sz w:val="22"/>
              </w:rPr>
              <w:t>月第二版，书号：</w:t>
            </w:r>
            <w:r>
              <w:rPr>
                <w:sz w:val="22"/>
              </w:rPr>
              <w:t>ISBN 978-7-117-17230-1/R</w:t>
            </w:r>
            <w:r>
              <w:rPr>
                <w:rFonts w:hint="eastAsia"/>
                <w:sz w:val="22"/>
              </w:rPr>
              <w:t>·</w:t>
            </w:r>
            <w:r>
              <w:rPr>
                <w:sz w:val="22"/>
              </w:rPr>
              <w:t>17231</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■考试□考查□开卷■闭卷□课程设计□学期论文□其他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郭爱松</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博士研究生</w:t>
            </w:r>
          </w:p>
        </w:tc>
        <w:tc>
          <w:tcPr>
            <w:tcW w:w="1523" w:type="dxa"/>
            <w:gridSpan w:val="3"/>
          </w:tcPr>
          <w:p w:rsidR="003717A0" w:rsidRDefault="003717A0">
            <w:pPr>
              <w:adjustRightInd w:val="0"/>
              <w:snapToGrid w:val="0"/>
              <w:spacing w:line="500" w:lineRule="exact"/>
              <w:rPr>
                <w:sz w:val="22"/>
              </w:rPr>
            </w:pPr>
            <w:r>
              <w:rPr>
                <w:rFonts w:hint="eastAsia"/>
                <w:sz w:val="22"/>
              </w:rPr>
              <w:t>博士学位</w:t>
            </w:r>
          </w:p>
        </w:tc>
        <w:tc>
          <w:tcPr>
            <w:tcW w:w="1524" w:type="dxa"/>
            <w:gridSpan w:val="2"/>
          </w:tcPr>
          <w:p w:rsidR="003717A0" w:rsidRDefault="003717A0">
            <w:pPr>
              <w:adjustRightInd w:val="0"/>
              <w:snapToGrid w:val="0"/>
              <w:spacing w:line="500" w:lineRule="exact"/>
              <w:rPr>
                <w:sz w:val="22"/>
              </w:rPr>
            </w:pPr>
            <w:r>
              <w:rPr>
                <w:rFonts w:hint="eastAsia"/>
                <w:sz w:val="22"/>
              </w:rPr>
              <w:t>副教授</w:t>
            </w:r>
          </w:p>
        </w:tc>
        <w:tc>
          <w:tcPr>
            <w:tcW w:w="1524" w:type="dxa"/>
          </w:tcPr>
          <w:p w:rsidR="003717A0" w:rsidRDefault="003717A0">
            <w:pPr>
              <w:adjustRightInd w:val="0"/>
              <w:snapToGrid w:val="0"/>
              <w:spacing w:line="500" w:lineRule="exact"/>
              <w:rPr>
                <w:sz w:val="22"/>
              </w:rPr>
            </w:pPr>
            <w:r>
              <w:rPr>
                <w:sz w:val="22"/>
              </w:rPr>
              <w:t>1993.08</w:t>
            </w:r>
          </w:p>
        </w:tc>
      </w:tr>
      <w:tr w:rsidR="003717A0">
        <w:tc>
          <w:tcPr>
            <w:tcW w:w="1668" w:type="dxa"/>
          </w:tcPr>
          <w:p w:rsidR="003717A0" w:rsidRDefault="003717A0">
            <w:pPr>
              <w:adjustRightInd w:val="0"/>
              <w:snapToGrid w:val="0"/>
              <w:spacing w:line="500" w:lineRule="exact"/>
              <w:rPr>
                <w:sz w:val="22"/>
              </w:rPr>
            </w:pPr>
            <w:r>
              <w:rPr>
                <w:rFonts w:hint="eastAsia"/>
                <w:sz w:val="22"/>
              </w:rPr>
              <w:t>司萍</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本科生</w:t>
            </w:r>
          </w:p>
        </w:tc>
        <w:tc>
          <w:tcPr>
            <w:tcW w:w="1523" w:type="dxa"/>
            <w:gridSpan w:val="3"/>
          </w:tcPr>
          <w:p w:rsidR="003717A0" w:rsidRDefault="003717A0">
            <w:pPr>
              <w:adjustRightInd w:val="0"/>
              <w:snapToGrid w:val="0"/>
              <w:spacing w:line="500" w:lineRule="exact"/>
              <w:rPr>
                <w:sz w:val="22"/>
              </w:rPr>
            </w:pPr>
            <w:r>
              <w:rPr>
                <w:rFonts w:hint="eastAsia"/>
                <w:sz w:val="22"/>
              </w:rPr>
              <w:t>学士学位</w:t>
            </w:r>
          </w:p>
        </w:tc>
        <w:tc>
          <w:tcPr>
            <w:tcW w:w="1524" w:type="dxa"/>
            <w:gridSpan w:val="2"/>
          </w:tcPr>
          <w:p w:rsidR="003717A0" w:rsidRDefault="003717A0">
            <w:pPr>
              <w:adjustRightInd w:val="0"/>
              <w:snapToGrid w:val="0"/>
              <w:spacing w:line="500" w:lineRule="exact"/>
              <w:rPr>
                <w:sz w:val="22"/>
              </w:rPr>
            </w:pPr>
            <w:r>
              <w:rPr>
                <w:rFonts w:hint="eastAsia"/>
                <w:sz w:val="22"/>
              </w:rPr>
              <w:t>主治医师</w:t>
            </w:r>
          </w:p>
        </w:tc>
        <w:tc>
          <w:tcPr>
            <w:tcW w:w="1524" w:type="dxa"/>
          </w:tcPr>
          <w:p w:rsidR="003717A0" w:rsidRDefault="003717A0">
            <w:pPr>
              <w:adjustRightInd w:val="0"/>
              <w:snapToGrid w:val="0"/>
              <w:spacing w:line="500" w:lineRule="exact"/>
              <w:rPr>
                <w:sz w:val="22"/>
              </w:rPr>
            </w:pPr>
            <w:r>
              <w:rPr>
                <w:sz w:val="22"/>
              </w:rPr>
              <w:t>1993.08</w:t>
            </w:r>
          </w:p>
        </w:tc>
      </w:tr>
      <w:tr w:rsidR="003717A0">
        <w:tc>
          <w:tcPr>
            <w:tcW w:w="1668" w:type="dxa"/>
          </w:tcPr>
          <w:p w:rsidR="003717A0" w:rsidRDefault="003717A0">
            <w:pPr>
              <w:adjustRightInd w:val="0"/>
              <w:snapToGrid w:val="0"/>
              <w:spacing w:line="500" w:lineRule="exact"/>
              <w:rPr>
                <w:sz w:val="22"/>
              </w:rPr>
            </w:pPr>
            <w:r>
              <w:rPr>
                <w:rFonts w:hint="eastAsia"/>
                <w:sz w:val="22"/>
              </w:rPr>
              <w:t>周小云</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硕士学位</w:t>
            </w:r>
          </w:p>
        </w:tc>
        <w:tc>
          <w:tcPr>
            <w:tcW w:w="1524" w:type="dxa"/>
            <w:gridSpan w:val="2"/>
          </w:tcPr>
          <w:p w:rsidR="003717A0" w:rsidRDefault="003717A0">
            <w:pPr>
              <w:adjustRightInd w:val="0"/>
              <w:snapToGrid w:val="0"/>
              <w:spacing w:line="500" w:lineRule="exact"/>
              <w:rPr>
                <w:sz w:val="22"/>
              </w:rPr>
            </w:pPr>
            <w:r>
              <w:rPr>
                <w:rFonts w:hint="eastAsia"/>
                <w:sz w:val="22"/>
              </w:rPr>
              <w:t>住院医师</w:t>
            </w:r>
          </w:p>
        </w:tc>
        <w:tc>
          <w:tcPr>
            <w:tcW w:w="1524" w:type="dxa"/>
          </w:tcPr>
          <w:p w:rsidR="003717A0" w:rsidRDefault="003717A0">
            <w:pPr>
              <w:adjustRightInd w:val="0"/>
              <w:snapToGrid w:val="0"/>
              <w:spacing w:line="500" w:lineRule="exact"/>
              <w:rPr>
                <w:sz w:val="22"/>
              </w:rPr>
            </w:pPr>
            <w:r>
              <w:rPr>
                <w:sz w:val="22"/>
              </w:rPr>
              <w:t>2013.08</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sz w:val="22"/>
              </w:rPr>
              <w:t>传统康复方法学是在中医理论指导下，于伤病早期介入，以保存、改善和恢复患者受伤病影响的身心功能，提高其生活质量为主要目的的一些传统治疗方法和措施，它包括针灸、推拿、中药内外治法及传统运动疗法等。该课程是康复治疗学专业学生的专业必修课，通过学习此课程主要让康复医学专业的学生除了能够现代康复的知识之外，还能够熟悉中国传统医学对于现代康复的意义和作用，同时掌握传统医学的基础理论和干预方法，以及中医康复方法在常见的疾病康复中的运用，让同学能够熟悉了解传统康复的发展历史、现状和发展趋势，为康复医学</w:t>
            </w:r>
            <w:r>
              <w:rPr>
                <w:rFonts w:hint="eastAsia"/>
                <w:sz w:val="22"/>
              </w:rPr>
              <w:lastRenderedPageBreak/>
              <w:t>专业的同学能够为以后的学习和工作打好坚实的基础。课程主要内容包括：传统康复方法学概述、传统康复方法的原则和评定、经络腧穴、推拿疗法、针灸疗法、传统运动疗法、中药疗法和临床常见功能障碍的传统康复治疗。教学的主要路径和方法：（</w:t>
            </w:r>
            <w:r>
              <w:rPr>
                <w:sz w:val="22"/>
              </w:rPr>
              <w:t>1</w:t>
            </w:r>
            <w:r>
              <w:rPr>
                <w:rFonts w:hint="eastAsia"/>
                <w:sz w:val="22"/>
              </w:rPr>
              <w:t>）通过理论课堂讲解传统康复方法学的主要知识点，使同学们掌握本课程的基本概念和知识，为实践打好理论基础。（</w:t>
            </w:r>
            <w:r>
              <w:rPr>
                <w:sz w:val="22"/>
              </w:rPr>
              <w:t>2</w:t>
            </w:r>
            <w:r>
              <w:rPr>
                <w:rFonts w:hint="eastAsia"/>
                <w:sz w:val="22"/>
              </w:rPr>
              <w:t>）利用附院实践基地，利用模型教具指导学生熟悉穴位，培训学生针刺、拔罐、艾灸的操作能力，让学生对该治疗方法有切身的体验。（</w:t>
            </w:r>
            <w:r>
              <w:rPr>
                <w:sz w:val="22"/>
              </w:rPr>
              <w:t>3</w:t>
            </w:r>
            <w:r>
              <w:rPr>
                <w:rFonts w:hint="eastAsia"/>
                <w:sz w:val="22"/>
              </w:rPr>
              <w:t>）根据临床需求，组织学生学习一些传统运动疗法，如太极拳、八段锦、五禽戏，倡导用运动来增强体质，预防疾病。</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Default="003717A0" w:rsidP="00566E4D">
      <w:pPr>
        <w:adjustRightInd w:val="0"/>
        <w:snapToGrid w:val="0"/>
        <w:spacing w:line="360" w:lineRule="auto"/>
        <w:jc w:val="center"/>
        <w:rPr>
          <w:rFonts w:ascii="Times New Roman" w:eastAsia="黑体" w:hAnsi="Times New Roman"/>
          <w:kern w:val="0"/>
          <w:sz w:val="32"/>
          <w:szCs w:val="32"/>
        </w:rPr>
      </w:pPr>
      <w:r>
        <w:rPr>
          <w:rFonts w:ascii="Times New Roman" w:eastAsia="黑体" w:hAnsi="Times New Roman"/>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适应对象：本科层次，康复医学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170692</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w:t>
      </w:r>
      <w:r>
        <w:rPr>
          <w:rFonts w:ascii="Times New Roman" w:hAnsi="Times New Roman" w:hint="eastAsia"/>
          <w:kern w:val="0"/>
          <w:sz w:val="22"/>
        </w:rPr>
        <w:t>总学时</w:t>
      </w:r>
      <w:r>
        <w:rPr>
          <w:rFonts w:ascii="Times New Roman" w:hAnsi="Times New Roman"/>
          <w:kern w:val="0"/>
          <w:sz w:val="22"/>
        </w:rPr>
        <w:t>108</w:t>
      </w:r>
      <w:r>
        <w:rPr>
          <w:rFonts w:ascii="Times New Roman" w:hAnsi="Times New Roman" w:hint="eastAsia"/>
          <w:kern w:val="0"/>
          <w:sz w:val="22"/>
        </w:rPr>
        <w:t>（理论课时</w:t>
      </w:r>
      <w:r>
        <w:rPr>
          <w:rFonts w:ascii="Times New Roman" w:hAnsi="Times New Roman"/>
          <w:kern w:val="0"/>
          <w:sz w:val="22"/>
        </w:rPr>
        <w:t>54</w:t>
      </w:r>
      <w:r>
        <w:rPr>
          <w:rFonts w:ascii="Times New Roman" w:hAnsi="Times New Roman" w:hint="eastAsia"/>
          <w:kern w:val="0"/>
          <w:sz w:val="22"/>
        </w:rPr>
        <w:t>，实践课时</w:t>
      </w:r>
      <w:r>
        <w:rPr>
          <w:rFonts w:ascii="Times New Roman" w:hAnsi="Times New Roman"/>
          <w:kern w:val="0"/>
          <w:sz w:val="22"/>
        </w:rPr>
        <w:t>54</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4</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先修课程：中医基础理论、中医诊断学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后续临床相关专业课程</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jc w:val="left"/>
        <w:rPr>
          <w:sz w:val="22"/>
        </w:rPr>
      </w:pPr>
      <w:r>
        <w:rPr>
          <w:sz w:val="22"/>
        </w:rPr>
        <w:t xml:space="preserve">    </w:t>
      </w:r>
      <w:r>
        <w:rPr>
          <w:rFonts w:hint="eastAsia"/>
          <w:sz w:val="22"/>
        </w:rPr>
        <w:t>传统康复方法学是中国传统康复医学体系中所应用的具体的康复手段和方法，主要包括中医学理论指导下的针灸、推拿、刮痧、传统运动等康复治疗技术。是康复治疗技术专业的核心课程。本课程定位于康复治疗师的培养，对应国家“康复医学治疗技术初级（士、师）大纲”中“中国传统治疗”的要求，在掌握有关中医学知识基础上，训练专科层次康复治疗技术专业学生应具备的中国传统康复技能，能在各级医疗卫生服务机构从事临床康复、社区康复、家庭康复及康复保健等工作。</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Cs w:val="21"/>
        </w:rPr>
      </w:pPr>
      <w:r>
        <w:rPr>
          <w:sz w:val="22"/>
        </w:rPr>
        <w:t xml:space="preserve">   </w:t>
      </w:r>
      <w:r>
        <w:rPr>
          <w:rFonts w:ascii="Times New Roman" w:hAnsi="Times New Roman" w:hint="eastAsia"/>
          <w:kern w:val="0"/>
          <w:szCs w:val="21"/>
        </w:rPr>
        <w:t>通过本课程的学习，培养学生良好的职业道德、过硬的操作技能以及分析问题和解决问题的能力，能够以中医药理论为指导，熟练运用传统康复治疗技术对患者实施康复治疗的专业能力；同时培养学生的团队意识、为患者服务的意识、与患者沟通等社会能力及独立学习和尝试传统康复领域新技术新方法的方法能力，对学生综合职业能力培养和职业素养养成起着重要支撑作用。</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center"/>
        <w:rPr>
          <w:rFonts w:ascii="Times New Roman" w:hAnsi="Times New Roman"/>
          <w:b/>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中医基础理论</w:t>
      </w:r>
    </w:p>
    <w:p w:rsidR="003717A0" w:rsidRDefault="003717A0">
      <w:pPr>
        <w:autoSpaceDE w:val="0"/>
        <w:autoSpaceDN w:val="0"/>
        <w:adjustRightInd w:val="0"/>
        <w:snapToGrid w:val="0"/>
        <w:spacing w:line="440" w:lineRule="exact"/>
        <w:jc w:val="lef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eastAsia="黑体" w:hAnsi="Times New Roman"/>
          <w:kern w:val="0"/>
          <w:sz w:val="24"/>
          <w:szCs w:val="24"/>
        </w:rPr>
        <w:t xml:space="preserve">  1</w:t>
      </w:r>
      <w:r>
        <w:rPr>
          <w:rFonts w:ascii="Times New Roman" w:eastAsia="黑体" w:hAnsi="Times New Roman" w:hint="eastAsia"/>
          <w:kern w:val="0"/>
          <w:sz w:val="24"/>
          <w:szCs w:val="24"/>
        </w:rPr>
        <w:t>、</w:t>
      </w:r>
      <w:r>
        <w:rPr>
          <w:rFonts w:ascii="Times New Roman" w:hAnsi="Times New Roman" w:hint="eastAsia"/>
          <w:kern w:val="0"/>
          <w:szCs w:val="21"/>
        </w:rPr>
        <w:t>阴阳学说理论、五行学说理论、脏象理论。</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、气、血、精、液。</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、病因的概念与分类，六淫、七情及内伤的组成与致病特点。</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4</w:t>
      </w:r>
      <w:r>
        <w:rPr>
          <w:rFonts w:ascii="Times New Roman" w:hAnsi="Times New Roman" w:hint="eastAsia"/>
          <w:kern w:val="0"/>
          <w:szCs w:val="21"/>
        </w:rPr>
        <w:t>、望、闻、问、切各种诊法的基本理论、基本知识、操作方法。</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5</w:t>
      </w:r>
      <w:r>
        <w:rPr>
          <w:rFonts w:ascii="Times New Roman" w:hAnsi="Times New Roman" w:hint="eastAsia"/>
          <w:kern w:val="0"/>
          <w:szCs w:val="21"/>
        </w:rPr>
        <w:t>、八纲辨证，病因辨证，气血精液辨证和脏腑辨证，临床典型病例分析。</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6</w:t>
      </w:r>
      <w:r>
        <w:rPr>
          <w:rFonts w:ascii="Times New Roman" w:hAnsi="Times New Roman" w:hint="eastAsia"/>
          <w:kern w:val="0"/>
          <w:szCs w:val="21"/>
        </w:rPr>
        <w:t>、六经辨证、卫气营血辨证、三焦辨证的基本理论和基本特点。</w:t>
      </w:r>
    </w:p>
    <w:p w:rsidR="003717A0" w:rsidRDefault="003717A0">
      <w:pPr>
        <w:autoSpaceDE w:val="0"/>
        <w:autoSpaceDN w:val="0"/>
        <w:adjustRightInd w:val="0"/>
        <w:snapToGrid w:val="0"/>
        <w:spacing w:line="440" w:lineRule="exact"/>
        <w:jc w:val="lef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、掌握阴阳五行的基本概念和主要内容；了解阴阳及五行之间的相互关系。</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lastRenderedPageBreak/>
        <w:t xml:space="preserve">  2</w:t>
      </w:r>
      <w:r>
        <w:rPr>
          <w:rFonts w:ascii="Times New Roman" w:hAnsi="Times New Roman" w:hint="eastAsia"/>
          <w:kern w:val="0"/>
          <w:szCs w:val="21"/>
        </w:rPr>
        <w:t>、掌握气血精液的基本概念、分类；了解生成来源，生理功能或病理变化。</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、掌握五脏六腑，奇恒之腑的组成及概念；了解五脏六腑的生理功能及相互关系。</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4</w:t>
      </w:r>
      <w:r>
        <w:rPr>
          <w:rFonts w:ascii="Times New Roman" w:hAnsi="Times New Roman" w:hint="eastAsia"/>
          <w:kern w:val="0"/>
          <w:szCs w:val="21"/>
        </w:rPr>
        <w:t>、熟悉病因的概念与分类，了解病因中的六淫致病特点；了解内伤的组成和七情的致病特点。</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5</w:t>
      </w:r>
      <w:r>
        <w:rPr>
          <w:rFonts w:ascii="Times New Roman" w:hAnsi="Times New Roman" w:hint="eastAsia"/>
          <w:kern w:val="0"/>
          <w:szCs w:val="21"/>
        </w:rPr>
        <w:t>、掌握望、闻、问、切各种诊法的基本理论、基本知识，了解其操作方法。</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6</w:t>
      </w:r>
      <w:r>
        <w:rPr>
          <w:rFonts w:ascii="Times New Roman" w:hAnsi="Times New Roman" w:hint="eastAsia"/>
          <w:kern w:val="0"/>
          <w:szCs w:val="21"/>
        </w:rPr>
        <w:t>、掌握八纲辨证，病因辨证，气血精液辨证和脏腑辨证的基本知识，了解其辨证思维方法，简单了解临床典型病例分析。</w:t>
      </w:r>
    </w:p>
    <w:p w:rsidR="003717A0" w:rsidRDefault="003717A0">
      <w:pPr>
        <w:autoSpaceDE w:val="0"/>
        <w:autoSpaceDN w:val="0"/>
        <w:adjustRightInd w:val="0"/>
        <w:snapToGrid w:val="0"/>
        <w:spacing w:line="440" w:lineRule="exact"/>
        <w:jc w:val="left"/>
        <w:rPr>
          <w:rFonts w:ascii="Times New Roman" w:hAnsi="Times New Roman"/>
          <w:kern w:val="0"/>
          <w:szCs w:val="21"/>
        </w:rPr>
      </w:pPr>
      <w:r>
        <w:rPr>
          <w:rFonts w:ascii="Times New Roman" w:hAnsi="Times New Roman"/>
          <w:kern w:val="0"/>
          <w:szCs w:val="21"/>
        </w:rPr>
        <w:t xml:space="preserve">  7</w:t>
      </w:r>
      <w:r>
        <w:rPr>
          <w:rFonts w:ascii="Times New Roman" w:hAnsi="Times New Roman" w:hint="eastAsia"/>
          <w:kern w:val="0"/>
          <w:szCs w:val="21"/>
        </w:rPr>
        <w:t>、了解六经辨证、卫气营血辨证、三焦辨证的基本理论和经络辨证的基本特点。</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第一章</w:t>
      </w:r>
      <w:r>
        <w:rPr>
          <w:rFonts w:ascii="Times New Roman" w:hAnsi="Times New Roman"/>
          <w:b/>
          <w:kern w:val="0"/>
          <w:szCs w:val="21"/>
        </w:rPr>
        <w:t xml:space="preserve">     </w:t>
      </w:r>
      <w:r>
        <w:rPr>
          <w:rFonts w:ascii="Times New Roman" w:hAnsi="Times New Roman" w:hint="eastAsia"/>
          <w:b/>
          <w:kern w:val="0"/>
          <w:szCs w:val="21"/>
        </w:rPr>
        <w:t>传统康复医学概论</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2</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、传统康复医学的基本概念</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、传统康复医学的起源与发展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、传统康复的基本观念：整体观、辩证观、功能观、正气为主、治未病及杂合而治的概念及内容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、传统康复方法在康复医学中的地位与作用</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、掌握传统康复医学基本概念及适应范围，了解传统康复医学的起源与发展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、熟悉传统康复学的基本理论基础</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、了解传统康复方法在康复医学中的地位与作用</w:t>
      </w:r>
    </w:p>
    <w:p w:rsidR="003717A0" w:rsidRDefault="003717A0">
      <w:pPr>
        <w:autoSpaceDE w:val="0"/>
        <w:autoSpaceDN w:val="0"/>
        <w:adjustRightInd w:val="0"/>
        <w:snapToGrid w:val="0"/>
        <w:spacing w:line="440" w:lineRule="exact"/>
        <w:jc w:val="center"/>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第二章</w:t>
      </w:r>
      <w:r>
        <w:rPr>
          <w:rFonts w:ascii="Times New Roman" w:hAnsi="Times New Roman"/>
          <w:b/>
          <w:kern w:val="0"/>
          <w:szCs w:val="21"/>
        </w:rPr>
        <w:t xml:space="preserve">    </w:t>
      </w:r>
      <w:r>
        <w:rPr>
          <w:rFonts w:ascii="Times New Roman" w:hAnsi="Times New Roman" w:hint="eastAsia"/>
          <w:b/>
          <w:kern w:val="0"/>
          <w:szCs w:val="21"/>
        </w:rPr>
        <w:t>传统康复方法的原则和评定</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内容与要求（</w:t>
      </w:r>
      <w:r>
        <w:rPr>
          <w:rFonts w:ascii="Times New Roman" w:hAnsi="Times New Roman"/>
          <w:b/>
          <w:kern w:val="0"/>
          <w:szCs w:val="21"/>
        </w:rPr>
        <w:t>1</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200" w:firstLine="420"/>
        <w:rPr>
          <w:rFonts w:ascii="Times New Roman" w:hAnsi="Times New Roman"/>
          <w:kern w:val="0"/>
          <w:szCs w:val="21"/>
        </w:rPr>
      </w:pPr>
      <w:r>
        <w:rPr>
          <w:rFonts w:ascii="Times New Roman" w:hAnsi="Times New Roman" w:hint="eastAsia"/>
          <w:kern w:val="0"/>
          <w:szCs w:val="21"/>
        </w:rPr>
        <w:t>了解传统康复评定的原则与基本概念</w:t>
      </w:r>
    </w:p>
    <w:p w:rsidR="003717A0" w:rsidRDefault="003717A0">
      <w:pPr>
        <w:autoSpaceDE w:val="0"/>
        <w:autoSpaceDN w:val="0"/>
        <w:adjustRightInd w:val="0"/>
        <w:snapToGrid w:val="0"/>
        <w:spacing w:line="440" w:lineRule="exact"/>
        <w:ind w:firstLineChars="200" w:firstLine="420"/>
        <w:rPr>
          <w:rFonts w:ascii="Times New Roman" w:hAnsi="Times New Roman"/>
          <w:kern w:val="0"/>
          <w:szCs w:val="21"/>
        </w:rPr>
      </w:pPr>
    </w:p>
    <w:p w:rsidR="003717A0" w:rsidRDefault="003717A0" w:rsidP="003B4CD1">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第三章</w:t>
      </w:r>
      <w:r>
        <w:rPr>
          <w:rFonts w:ascii="Times New Roman" w:hAnsi="Times New Roman"/>
          <w:b/>
          <w:kern w:val="0"/>
          <w:szCs w:val="21"/>
        </w:rPr>
        <w:t xml:space="preserve"> </w:t>
      </w:r>
      <w:r>
        <w:rPr>
          <w:rFonts w:ascii="Times New Roman" w:hAnsi="Times New Roman" w:hint="eastAsia"/>
          <w:b/>
          <w:kern w:val="0"/>
          <w:szCs w:val="21"/>
        </w:rPr>
        <w:t>经络腧穴</w:t>
      </w:r>
    </w:p>
    <w:p w:rsidR="003717A0" w:rsidRDefault="003717A0" w:rsidP="003B4CD1">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第一节</w:t>
      </w:r>
      <w:r>
        <w:rPr>
          <w:rFonts w:ascii="Times New Roman" w:hAnsi="Times New Roman"/>
          <w:b/>
          <w:kern w:val="0"/>
          <w:szCs w:val="21"/>
        </w:rPr>
        <w:t xml:space="preserve"> </w:t>
      </w:r>
      <w:r>
        <w:rPr>
          <w:rFonts w:ascii="Times New Roman" w:hAnsi="Times New Roman" w:hint="eastAsia"/>
          <w:b/>
          <w:kern w:val="0"/>
          <w:szCs w:val="21"/>
        </w:rPr>
        <w:t>经络腧穴总论</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、经络系统的组成：十二经脉、奇经八脉、络脉、经筋、皮部。</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、经络的作用。</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、腧穴的概念分类作用主治规律及定位方法。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、腧穴定位法：体表标志法、骨度分寸法、指寸定位法、简便取穴法。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、特定穴的概念及内容：五腧穴、原穴、络穴、郗穴、背俞穴、募穴、八会穴、八脉交会穴、下</w:t>
      </w:r>
      <w:r>
        <w:rPr>
          <w:rFonts w:ascii="Times New Roman" w:hAnsi="Times New Roman" w:hint="eastAsia"/>
          <w:kern w:val="0"/>
          <w:szCs w:val="21"/>
        </w:rPr>
        <w:lastRenderedPageBreak/>
        <w:t>合穴、交会穴。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b/>
          <w:kern w:val="0"/>
          <w:szCs w:val="21"/>
        </w:rPr>
        <w:t xml:space="preserve">  </w:t>
      </w:r>
      <w:r>
        <w:rPr>
          <w:rFonts w:ascii="Times New Roman" w:hAnsi="Times New Roman"/>
          <w:kern w:val="0"/>
          <w:szCs w:val="21"/>
        </w:rPr>
        <w:t>1</w:t>
      </w:r>
      <w:r>
        <w:rPr>
          <w:rFonts w:ascii="Times New Roman" w:hAnsi="Times New Roman" w:hint="eastAsia"/>
          <w:kern w:val="0"/>
          <w:szCs w:val="21"/>
        </w:rPr>
        <w:t>、经络系统的组成、作用。</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、腧穴的概念分类作用主治规律及定位方法。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、腧穴的定位法。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、特定穴的概念及内容。</w:t>
      </w:r>
    </w:p>
    <w:p w:rsidR="003717A0" w:rsidRDefault="003717A0">
      <w:pPr>
        <w:tabs>
          <w:tab w:val="left" w:pos="2775"/>
        </w:tabs>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r>
        <w:rPr>
          <w:rFonts w:ascii="Times New Roman" w:hAnsi="Times New Roman"/>
          <w:b/>
          <w:kern w:val="0"/>
          <w:szCs w:val="21"/>
        </w:rPr>
        <w:tab/>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、掌握经络的概念、组成，命名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、熟悉腧穴的概念及作用，熟悉腧穴的主治规律</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、掌握腧穴的定位方法和选穴法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、了解特定穴的概念及内容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第二节</w:t>
      </w:r>
      <w:r>
        <w:rPr>
          <w:rFonts w:ascii="Times New Roman" w:hAnsi="Times New Roman"/>
          <w:b/>
          <w:kern w:val="0"/>
          <w:szCs w:val="21"/>
        </w:rPr>
        <w:t xml:space="preserve"> </w:t>
      </w:r>
      <w:r>
        <w:rPr>
          <w:rFonts w:ascii="Times New Roman" w:hAnsi="Times New Roman" w:hint="eastAsia"/>
          <w:b/>
          <w:kern w:val="0"/>
          <w:szCs w:val="21"/>
        </w:rPr>
        <w:t>手三阴、手三阳经络与腧穴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、手太阴、手厥阴、手少阴，手阳明、手太阳、手少阳经脉。</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、手太阴、手厥阴、手少阴，手阳明、手太阳、手少阳腧穴。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、手太阴、手厥阴、手少阴经脉循行路线与腧穴定位。</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、手阳明、手太阳、手少阳经脉循行路线与腧穴定位。</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、掌握手太阴、手厥阴、手少阴经脉的循行；手阳明、手太阳、手少阳经脉的循行。</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、掌握手太阴经脉的中府、尺泽、孔最、列缺、太渊、鱼际、少商等</w:t>
      </w:r>
      <w:r>
        <w:rPr>
          <w:rFonts w:ascii="Times New Roman" w:hAnsi="Times New Roman"/>
          <w:kern w:val="0"/>
          <w:szCs w:val="21"/>
        </w:rPr>
        <w:t>8</w:t>
      </w:r>
      <w:r>
        <w:rPr>
          <w:rFonts w:ascii="Times New Roman" w:hAnsi="Times New Roman" w:hint="eastAsia"/>
          <w:kern w:val="0"/>
          <w:szCs w:val="21"/>
        </w:rPr>
        <w:t>个常用腧穴的定位，了解主治和操作。</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、掌握手厥阴经脉的曲泽、郗门、间使、内关、大陵、劳宫、中冲</w:t>
      </w:r>
      <w:r>
        <w:rPr>
          <w:rFonts w:ascii="Times New Roman" w:hAnsi="Times New Roman"/>
          <w:kern w:val="0"/>
          <w:szCs w:val="21"/>
        </w:rPr>
        <w:t>7</w:t>
      </w:r>
      <w:r>
        <w:rPr>
          <w:rFonts w:ascii="Times New Roman" w:hAnsi="Times New Roman" w:hint="eastAsia"/>
          <w:kern w:val="0"/>
          <w:szCs w:val="21"/>
        </w:rPr>
        <w:t>个常用腧穴的定位，了解主治和操作。</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、掌握手少阴经脉的少海、阴郗、神门、少府、少冲</w:t>
      </w:r>
      <w:r>
        <w:rPr>
          <w:rFonts w:ascii="Times New Roman" w:hAnsi="Times New Roman"/>
          <w:kern w:val="0"/>
          <w:szCs w:val="21"/>
        </w:rPr>
        <w:t>5</w:t>
      </w:r>
      <w:r>
        <w:rPr>
          <w:rFonts w:ascii="Times New Roman" w:hAnsi="Times New Roman" w:hint="eastAsia"/>
          <w:kern w:val="0"/>
          <w:szCs w:val="21"/>
        </w:rPr>
        <w:t>个常用腧穴的定位，了解主治和操作。</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、掌握手阳明经脉的商阳、合谷、阳溪、偏历、温溜、手三里、曲池、肩（骨禺）、臂臑、迎香</w:t>
      </w:r>
      <w:r>
        <w:rPr>
          <w:rFonts w:ascii="Times New Roman" w:hAnsi="Times New Roman"/>
          <w:kern w:val="0"/>
          <w:szCs w:val="21"/>
        </w:rPr>
        <w:t>10</w:t>
      </w:r>
      <w:r>
        <w:rPr>
          <w:rFonts w:ascii="Times New Roman" w:hAnsi="Times New Roman" w:hint="eastAsia"/>
          <w:kern w:val="0"/>
          <w:szCs w:val="21"/>
        </w:rPr>
        <w:t>个常用腧穴的定位，了解主治和操作；熟悉上廉、下廉、手五里、巨骨</w:t>
      </w:r>
      <w:r>
        <w:rPr>
          <w:rFonts w:ascii="Times New Roman" w:hAnsi="Times New Roman"/>
          <w:kern w:val="0"/>
          <w:szCs w:val="21"/>
        </w:rPr>
        <w:t>4</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、掌握手少阳经脉的关冲、液门、中渚、阳池、外关、支沟、天井、肩髎、翳风、角孙</w:t>
      </w:r>
      <w:r>
        <w:rPr>
          <w:rFonts w:ascii="Times New Roman" w:hAnsi="Times New Roman"/>
          <w:kern w:val="0"/>
          <w:szCs w:val="21"/>
        </w:rPr>
        <w:t>10</w:t>
      </w:r>
      <w:r>
        <w:rPr>
          <w:rFonts w:ascii="Times New Roman" w:hAnsi="Times New Roman" w:hint="eastAsia"/>
          <w:kern w:val="0"/>
          <w:szCs w:val="21"/>
        </w:rPr>
        <w:t>个常用腧穴的定位，了解主治和操作；熟悉会宗、三阳络、清冷渊、丝竹空</w:t>
      </w:r>
      <w:r>
        <w:rPr>
          <w:rFonts w:ascii="Times New Roman" w:hAnsi="Times New Roman"/>
          <w:kern w:val="0"/>
          <w:szCs w:val="21"/>
        </w:rPr>
        <w:t>5</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、掌握手太阳经脉的少泽、后溪、腕骨、养老、小海、颧髎、听宫等穴位的定位，了解他们的主</w:t>
      </w:r>
      <w:r>
        <w:rPr>
          <w:rFonts w:ascii="Times New Roman" w:hAnsi="Times New Roman" w:hint="eastAsia"/>
          <w:kern w:val="0"/>
          <w:szCs w:val="21"/>
        </w:rPr>
        <w:lastRenderedPageBreak/>
        <w:t>治和操作；熟悉前谷、阳谷、支正、肩贞、臑俞、秉风</w:t>
      </w:r>
      <w:r>
        <w:rPr>
          <w:rFonts w:ascii="Times New Roman" w:hAnsi="Times New Roman"/>
          <w:kern w:val="0"/>
          <w:szCs w:val="21"/>
        </w:rPr>
        <w:t>6</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第三节</w:t>
      </w:r>
      <w:r>
        <w:rPr>
          <w:rFonts w:ascii="Times New Roman" w:hAnsi="Times New Roman"/>
          <w:b/>
          <w:kern w:val="0"/>
          <w:szCs w:val="21"/>
        </w:rPr>
        <w:t xml:space="preserve">  </w:t>
      </w:r>
      <w:r>
        <w:rPr>
          <w:rFonts w:ascii="Times New Roman" w:hAnsi="Times New Roman" w:hint="eastAsia"/>
          <w:b/>
          <w:kern w:val="0"/>
          <w:szCs w:val="21"/>
        </w:rPr>
        <w:t>足三阳经络与腧穴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、足阳明、足少阳、足太阳经脉。</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、足阳明、足少阳、足太阳腧穴。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6</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b/>
          <w:kern w:val="0"/>
          <w:szCs w:val="21"/>
        </w:rPr>
        <w:t xml:space="preserve"> </w:t>
      </w:r>
      <w:r>
        <w:rPr>
          <w:rFonts w:ascii="Times New Roman" w:hAnsi="Times New Roman"/>
          <w:kern w:val="0"/>
          <w:szCs w:val="21"/>
        </w:rPr>
        <w:t xml:space="preserve"> 1</w:t>
      </w:r>
      <w:r>
        <w:rPr>
          <w:rFonts w:ascii="Times New Roman" w:hAnsi="Times New Roman" w:hint="eastAsia"/>
          <w:kern w:val="0"/>
          <w:szCs w:val="21"/>
        </w:rPr>
        <w:t>、足阳明、足少阳、足太阳经脉循行路线。</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、足阳明、足少阳、足太阳经腧穴定位。</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、掌握足阳明、足少阳、足太阳经脉循行。</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、掌握足阳明经脉的承泣、四白、地仓、颊车、下关、头维、人迎、梁门、天枢、水道、归来、气冲、髀关、伏兔、阴市、梁丘、犊鼻、足三里、上巨虚、下巨虚、丰隆、解溪、冲阳、内庭、厉兑</w:t>
      </w:r>
      <w:r>
        <w:rPr>
          <w:rFonts w:ascii="Times New Roman" w:hAnsi="Times New Roman"/>
          <w:kern w:val="0"/>
          <w:szCs w:val="21"/>
        </w:rPr>
        <w:t>25</w:t>
      </w:r>
      <w:r>
        <w:rPr>
          <w:rFonts w:ascii="Times New Roman" w:hAnsi="Times New Roman" w:hint="eastAsia"/>
          <w:kern w:val="0"/>
          <w:szCs w:val="21"/>
        </w:rPr>
        <w:t>个常用腧穴的定位，了解主治和操作；熟悉大迎、缺盆、气户、乳中、乳根、不容、条口、陷谷</w:t>
      </w:r>
      <w:r>
        <w:rPr>
          <w:rFonts w:ascii="Times New Roman" w:hAnsi="Times New Roman"/>
          <w:kern w:val="0"/>
          <w:szCs w:val="21"/>
        </w:rPr>
        <w:t>8</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、掌握足少阳经脉的听会、上关、完骨、阳白、风池、肩井、日月、环跳、风市、阳陵泉、阳辅、悬钟、邱墟、足临泣、足窍阴</w:t>
      </w:r>
      <w:r>
        <w:rPr>
          <w:rFonts w:ascii="Times New Roman" w:hAnsi="Times New Roman"/>
          <w:kern w:val="0"/>
          <w:szCs w:val="21"/>
        </w:rPr>
        <w:t>15</w:t>
      </w:r>
      <w:r>
        <w:rPr>
          <w:rFonts w:ascii="Times New Roman" w:hAnsi="Times New Roman" w:hint="eastAsia"/>
          <w:kern w:val="0"/>
          <w:szCs w:val="21"/>
        </w:rPr>
        <w:t>个常用腧穴的定位，了解主治和操作；熟悉其余</w:t>
      </w:r>
      <w:r>
        <w:rPr>
          <w:rFonts w:ascii="Times New Roman" w:hAnsi="Times New Roman"/>
          <w:kern w:val="0"/>
          <w:szCs w:val="21"/>
        </w:rPr>
        <w:t>6</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足太阳经脉的攒竹、天柱、风门、肺俞、厥阴俞、心俞、膈俞、肝俞、胆俞、脾俞、胃俞、三焦俞、肾俞、大肠俞、小肠俞、膀胱俞、委阳、委中、志室、秩边、承山、昆仑、申脉、金门、至阴等穴位的定位，了解主治和操作；熟悉其余</w:t>
      </w:r>
      <w:r>
        <w:rPr>
          <w:rFonts w:ascii="Times New Roman" w:hAnsi="Times New Roman"/>
          <w:kern w:val="0"/>
          <w:szCs w:val="21"/>
        </w:rPr>
        <w:t>9</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第四节</w:t>
      </w:r>
      <w:r>
        <w:rPr>
          <w:rFonts w:ascii="Times New Roman" w:hAnsi="Times New Roman"/>
          <w:b/>
          <w:kern w:val="0"/>
          <w:szCs w:val="21"/>
        </w:rPr>
        <w:t xml:space="preserve"> </w:t>
      </w:r>
      <w:r>
        <w:rPr>
          <w:rFonts w:ascii="Times New Roman" w:hAnsi="Times New Roman" w:hint="eastAsia"/>
          <w:b/>
          <w:kern w:val="0"/>
          <w:szCs w:val="21"/>
        </w:rPr>
        <w:t>足三阴经络与腧穴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、足太阴、足厥阴、足少阴经脉。</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、足太阴、足厥阴、足少阴腧穴。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1</w:t>
      </w:r>
      <w:r>
        <w:rPr>
          <w:rFonts w:ascii="Times New Roman" w:hAnsi="Times New Roman" w:hint="eastAsia"/>
          <w:kern w:val="0"/>
          <w:szCs w:val="21"/>
        </w:rPr>
        <w:t>、足太阴、足厥阴、足少阴经脉循行路线。</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2</w:t>
      </w:r>
      <w:r>
        <w:rPr>
          <w:rFonts w:ascii="Times New Roman" w:hAnsi="Times New Roman" w:hint="eastAsia"/>
          <w:kern w:val="0"/>
          <w:szCs w:val="21"/>
        </w:rPr>
        <w:t>、足太阴、足厥阴、足少阴经脉腧穴定位。</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、掌握足太阴、足厥阴、足少阴经脉循行。</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、掌握足太阴经脉的隐白、太白、公孙、三阴交、地机、阴陵泉、血海、大横</w:t>
      </w:r>
      <w:r>
        <w:rPr>
          <w:rFonts w:ascii="Times New Roman" w:hAnsi="Times New Roman"/>
          <w:kern w:val="0"/>
          <w:szCs w:val="21"/>
        </w:rPr>
        <w:t>8</w:t>
      </w:r>
      <w:r>
        <w:rPr>
          <w:rFonts w:ascii="Times New Roman" w:hAnsi="Times New Roman" w:hint="eastAsia"/>
          <w:kern w:val="0"/>
          <w:szCs w:val="21"/>
        </w:rPr>
        <w:t>个常用腧穴的定</w:t>
      </w:r>
      <w:r>
        <w:rPr>
          <w:rFonts w:ascii="Times New Roman" w:hAnsi="Times New Roman" w:hint="eastAsia"/>
          <w:kern w:val="0"/>
          <w:szCs w:val="21"/>
        </w:rPr>
        <w:lastRenderedPageBreak/>
        <w:t>位，了解主治和操作；熟悉大都、商丘、大包</w:t>
      </w:r>
      <w:r>
        <w:rPr>
          <w:rFonts w:ascii="Times New Roman" w:hAnsi="Times New Roman"/>
          <w:kern w:val="0"/>
          <w:szCs w:val="21"/>
        </w:rPr>
        <w:t>3</w:t>
      </w:r>
      <w:r>
        <w:rPr>
          <w:rFonts w:ascii="Times New Roman" w:hAnsi="Times New Roman" w:hint="eastAsia"/>
          <w:kern w:val="0"/>
          <w:szCs w:val="21"/>
        </w:rPr>
        <w:t>个穴位定位。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、掌握足厥阴经脉的大敦、行间、太冲、章门、期门等</w:t>
      </w:r>
      <w:r>
        <w:rPr>
          <w:rFonts w:ascii="Times New Roman" w:hAnsi="Times New Roman"/>
          <w:kern w:val="0"/>
          <w:szCs w:val="21"/>
        </w:rPr>
        <w:t>5</w:t>
      </w:r>
      <w:r>
        <w:rPr>
          <w:rFonts w:ascii="Times New Roman" w:hAnsi="Times New Roman" w:hint="eastAsia"/>
          <w:kern w:val="0"/>
          <w:szCs w:val="21"/>
        </w:rPr>
        <w:t>个常用腧穴的定位，了解主治和操作；熟悉中封、蠡沟、中都、曲泉</w:t>
      </w:r>
      <w:r>
        <w:rPr>
          <w:rFonts w:ascii="Times New Roman" w:hAnsi="Times New Roman"/>
          <w:kern w:val="0"/>
          <w:szCs w:val="21"/>
        </w:rPr>
        <w:t>4</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、掌握足少阴经脉的涌泉、太溪、照海、复溜、筑宾</w:t>
      </w:r>
      <w:r>
        <w:rPr>
          <w:rFonts w:ascii="Times New Roman" w:hAnsi="Times New Roman"/>
          <w:kern w:val="0"/>
          <w:szCs w:val="21"/>
        </w:rPr>
        <w:t>5</w:t>
      </w:r>
      <w:r>
        <w:rPr>
          <w:rFonts w:ascii="Times New Roman" w:hAnsi="Times New Roman" w:hint="eastAsia"/>
          <w:kern w:val="0"/>
          <w:szCs w:val="21"/>
        </w:rPr>
        <w:t>个常用腧穴的定位，了解主治和操作；熟悉然谷、大钟、水泉、阴谷</w:t>
      </w:r>
      <w:r>
        <w:rPr>
          <w:rFonts w:ascii="Times New Roman" w:hAnsi="Times New Roman"/>
          <w:kern w:val="0"/>
          <w:szCs w:val="21"/>
        </w:rPr>
        <w:t>5</w:t>
      </w:r>
      <w:r>
        <w:rPr>
          <w:rFonts w:ascii="Times New Roman" w:hAnsi="Times New Roman" w:hint="eastAsia"/>
          <w:kern w:val="0"/>
          <w:szCs w:val="21"/>
        </w:rPr>
        <w:t>个穴位的定位。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第五节</w:t>
      </w:r>
      <w:r>
        <w:rPr>
          <w:rFonts w:ascii="Times New Roman" w:hAnsi="Times New Roman"/>
          <w:b/>
          <w:kern w:val="0"/>
          <w:szCs w:val="21"/>
        </w:rPr>
        <w:t xml:space="preserve">  </w:t>
      </w:r>
      <w:r>
        <w:rPr>
          <w:rFonts w:ascii="Times New Roman" w:hAnsi="Times New Roman" w:hint="eastAsia"/>
          <w:b/>
          <w:kern w:val="0"/>
          <w:szCs w:val="21"/>
        </w:rPr>
        <w:t>奇经八脉与经外奇穴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、督脉循行及经穴。</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、任脉循行及经穴。</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、学习四神聪、印堂、鱼腰、太阳、金津玉液、翳明、颈百劳、安眠、定喘、夹脊、腰眼、肩前、二白、腰痛点、外劳宫、八邪、四缝、十宣、中平、鹤顶、膝眼、十二井穴</w:t>
      </w:r>
      <w:r>
        <w:rPr>
          <w:rFonts w:ascii="Times New Roman" w:hAnsi="Times New Roman"/>
          <w:kern w:val="0"/>
          <w:szCs w:val="21"/>
        </w:rPr>
        <w:t>22</w:t>
      </w:r>
      <w:r>
        <w:rPr>
          <w:rFonts w:ascii="Times New Roman" w:hAnsi="Times New Roman" w:hint="eastAsia"/>
          <w:kern w:val="0"/>
          <w:szCs w:val="21"/>
        </w:rPr>
        <w:t>组经外奇穴的定位、主治和操作。</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、督脉、任脉的循行路线。</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、督脉、任脉腧穴的定位。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、经外奇穴的定位。</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、熟悉任脉、督脉的循行。</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、掌握任脉的中极、关元、气海、神阙、中脘、巨阙、膻中、天突、廉泉、承浆</w:t>
      </w:r>
      <w:r>
        <w:rPr>
          <w:rFonts w:ascii="Times New Roman" w:hAnsi="Times New Roman"/>
          <w:kern w:val="0"/>
          <w:szCs w:val="21"/>
        </w:rPr>
        <w:t>10</w:t>
      </w:r>
      <w:r>
        <w:rPr>
          <w:rFonts w:ascii="Times New Roman" w:hAnsi="Times New Roman" w:hint="eastAsia"/>
          <w:kern w:val="0"/>
          <w:szCs w:val="21"/>
        </w:rPr>
        <w:t>个常用腧穴的定位与操作，了解主治。</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、掌握督脉的长强、腰俞、腰阳关、命门、大椎、哑门、风府、脑户、百</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hint="eastAsia"/>
          <w:kern w:val="0"/>
          <w:szCs w:val="21"/>
        </w:rPr>
        <w:t>会、神庭、素髎、水沟等</w:t>
      </w:r>
      <w:r>
        <w:rPr>
          <w:rFonts w:ascii="Times New Roman" w:hAnsi="Times New Roman"/>
          <w:kern w:val="0"/>
          <w:szCs w:val="21"/>
        </w:rPr>
        <w:t>11</w:t>
      </w:r>
      <w:r>
        <w:rPr>
          <w:rFonts w:ascii="Times New Roman" w:hAnsi="Times New Roman" w:hint="eastAsia"/>
          <w:kern w:val="0"/>
          <w:szCs w:val="21"/>
        </w:rPr>
        <w:t>个常用腧穴的定位与操作，了解主治。</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、掌握四神聪、印堂、太阳、金津玉液、翳明、颈百劳、夹脊、腰痛点、四缝、膝眼</w:t>
      </w:r>
      <w:r>
        <w:rPr>
          <w:rFonts w:ascii="Times New Roman" w:hAnsi="Times New Roman"/>
          <w:kern w:val="0"/>
          <w:szCs w:val="21"/>
        </w:rPr>
        <w:t>10</w:t>
      </w:r>
      <w:r>
        <w:rPr>
          <w:rFonts w:ascii="Times New Roman" w:hAnsi="Times New Roman" w:hint="eastAsia"/>
          <w:kern w:val="0"/>
          <w:szCs w:val="21"/>
        </w:rPr>
        <w:t>组常用腧穴的定位和操作，了解主治。熟悉其他常用经外奇穴的定位。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第四章</w:t>
      </w:r>
      <w:r>
        <w:rPr>
          <w:rFonts w:ascii="Times New Roman" w:hAnsi="Times New Roman"/>
          <w:b/>
          <w:kern w:val="0"/>
          <w:szCs w:val="21"/>
        </w:rPr>
        <w:t xml:space="preserve"> </w:t>
      </w:r>
      <w:r>
        <w:rPr>
          <w:rFonts w:ascii="Times New Roman" w:hAnsi="Times New Roman" w:hint="eastAsia"/>
          <w:b/>
          <w:kern w:val="0"/>
          <w:szCs w:val="21"/>
        </w:rPr>
        <w:t>推拿疗法</w:t>
      </w: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第一节</w:t>
      </w:r>
      <w:r>
        <w:rPr>
          <w:rFonts w:ascii="Times New Roman" w:hAnsi="Times New Roman"/>
          <w:b/>
          <w:kern w:val="0"/>
          <w:szCs w:val="21"/>
        </w:rPr>
        <w:t xml:space="preserve"> </w:t>
      </w:r>
      <w:r>
        <w:rPr>
          <w:rFonts w:ascii="Times New Roman" w:hAnsi="Times New Roman" w:hint="eastAsia"/>
          <w:b/>
          <w:kern w:val="0"/>
          <w:szCs w:val="21"/>
        </w:rPr>
        <w:t>推拿手法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、推拿疗法的历史源流，主要著作，基本治疗方法及适应症。</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、推拿的作用原理与现代医学作用机制及治疗原则。</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lastRenderedPageBreak/>
        <w:t>3</w:t>
      </w:r>
      <w:r>
        <w:rPr>
          <w:rFonts w:ascii="Times New Roman" w:hAnsi="Times New Roman" w:hint="eastAsia"/>
          <w:kern w:val="0"/>
          <w:szCs w:val="21"/>
        </w:rPr>
        <w:t>、推拿的禁忌症及异常情况的预防和处理。</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、抖法、摇法、揉法、擦法、搓法、滚法、拔伸法、拍法、捏法、拨法、推法、摩法、理法、按法、点法、抹法的概念、操作方法、动作要领、注意事项和临床应用。</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hint="eastAsia"/>
          <w:kern w:val="0"/>
          <w:szCs w:val="21"/>
        </w:rPr>
        <w:t>抖法、摇法、揉法、擦法、搓法、滚法、拔伸法、拍法、捏法、拨法、推法、摩法、理法、按法、点法、抹法的操作方法、动作要领、注意事项和临床应用。</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、了解推拿疗法的历史源流，主要著作，基本治疗方法，熟悉推拿疗法的适应症。</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、了解推拿的作用原理与现代医学作用机制。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、掌握推拿治疗原则。</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、熟悉推拿的禁忌症及异常情况的预防和处理。</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、了解推拿功法。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、掌握抖法、摇法、揉法、擦法、搓法、滚法、拔伸法的概念、操作方法、动作要领，熟悉注意事项和临床应用。</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、掌握拍法、捏法、拨法、推法的概念、操作方法、动作要领，了解注意事项和临床应用。</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、掌握摩法、理法、按法、点法、抹法的概念、操作方法、动作要领，了解注意事项和临床应用。</w:t>
      </w: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第二节</w:t>
      </w:r>
      <w:r>
        <w:rPr>
          <w:rFonts w:ascii="Times New Roman" w:hAnsi="Times New Roman"/>
          <w:b/>
          <w:kern w:val="0"/>
          <w:szCs w:val="21"/>
        </w:rPr>
        <w:t xml:space="preserve"> </w:t>
      </w:r>
      <w:r>
        <w:rPr>
          <w:rFonts w:ascii="Times New Roman" w:hAnsi="Times New Roman" w:hint="eastAsia"/>
          <w:b/>
          <w:kern w:val="0"/>
          <w:szCs w:val="21"/>
        </w:rPr>
        <w:t>临床康复中常见症状的推拿治疗</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、上肢部、下肢部、颈部、腰背部功能障碍的概念，推拿治疗的治疗原则、取穴与部位、主要手法与操作方法，熟悉特殊检查（上肢部重点搭肩试验，下肢部重点“</w:t>
      </w:r>
      <w:r>
        <w:rPr>
          <w:rFonts w:ascii="Times New Roman" w:hAnsi="Times New Roman"/>
          <w:kern w:val="0"/>
          <w:szCs w:val="21"/>
        </w:rPr>
        <w:t>4</w:t>
      </w:r>
      <w:r>
        <w:rPr>
          <w:rFonts w:ascii="Times New Roman" w:hAnsi="Times New Roman" w:hint="eastAsia"/>
          <w:kern w:val="0"/>
          <w:szCs w:val="21"/>
        </w:rPr>
        <w:t>”字试、侧方挤压试验，颈项部重点臂丛牵拉试验，腰背部重点直腿抬高试验、仰卧挺腹试验），康复评定。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、慢性疲劳综合征、失眠、胃肠功能紊乱的概念与推拿治疗。</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、上肢部、下肢部、颈部、腰背部功能障碍的主要手法、操作方法及各种特殊检查。</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、慢性疲劳综合征、失眠、胃肠功能紊乱的推拿治疗。</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、掌握上肢部、下肢部、颈项部、腰背部功能障碍的概念，推拿治疗的治疗原则、取穴与部位、主要手法与操作，熟悉特殊检查，了解康复评定。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、熟悉慢性疲劳综合征、失眠、胃肠功能紊乱的概念，推拿治疗的治疗原则、取穴与部位、主要手法与操作方法，了解特殊检查与康复评定。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lastRenderedPageBreak/>
        <w:t>第五章</w:t>
      </w:r>
      <w:r>
        <w:rPr>
          <w:rFonts w:ascii="Times New Roman" w:hAnsi="Times New Roman"/>
          <w:b/>
          <w:kern w:val="0"/>
          <w:szCs w:val="21"/>
        </w:rPr>
        <w:t xml:space="preserve"> </w:t>
      </w:r>
      <w:r>
        <w:rPr>
          <w:rFonts w:ascii="Times New Roman" w:hAnsi="Times New Roman" w:hint="eastAsia"/>
          <w:b/>
          <w:kern w:val="0"/>
          <w:szCs w:val="21"/>
        </w:rPr>
        <w:t>针灸疗法</w:t>
      </w: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第一节</w:t>
      </w:r>
      <w:r>
        <w:rPr>
          <w:rFonts w:ascii="Times New Roman" w:hAnsi="Times New Roman"/>
          <w:b/>
          <w:kern w:val="0"/>
          <w:szCs w:val="21"/>
        </w:rPr>
        <w:t xml:space="preserve"> </w:t>
      </w:r>
      <w:r>
        <w:rPr>
          <w:rFonts w:ascii="Times New Roman" w:hAnsi="Times New Roman" w:hint="eastAsia"/>
          <w:b/>
          <w:kern w:val="0"/>
          <w:szCs w:val="21"/>
        </w:rPr>
        <w:t>毫针刺法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6</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、针灸的历史发展，现代应用与学术研究。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、毫针：构造、规格、检查和保藏。</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、毫针刺法的练习：包括指力练习，手法练习和自身练习。毫针的选择应根据具体情况，选大小、长短适宜的针具。消毒包括针具、医者手指、针刺部位和治疗室的消毒等。</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、体位的选择：常用的体位有仰卧位、侧卧位、俯卧位、仰靠坐位、俯伏坐位、侧伏坐位。</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、毫针刺法：毫针进针法包括单手进针法、双手进针法（指切进针法、夹持进针法、舒张进针法、提捏进针法）和管针进针法。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、针刺的行针方法。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、得气的概念和表现。</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、针刺补泻手法：有单式补泻手法和复式补泻手法两类。</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9</w:t>
      </w:r>
      <w:r>
        <w:rPr>
          <w:rFonts w:ascii="Times New Roman" w:hAnsi="Times New Roman" w:hint="eastAsia"/>
          <w:kern w:val="0"/>
          <w:szCs w:val="21"/>
        </w:rPr>
        <w:t>、针刺的留针与出针。</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6</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、毫针：构造、规格、检查和保藏。</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、毫针刺法的练习：包括指力练习，手法练习和自身练习。</w:t>
      </w:r>
      <w:r>
        <w:rPr>
          <w:rFonts w:ascii="Times New Roman" w:hAnsi="Times New Roman"/>
          <w:kern w:val="0"/>
          <w:szCs w:val="21"/>
        </w:rPr>
        <w:t xml:space="preserve"> </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、毫针的选择以及针刺体位的选择。</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4</w:t>
      </w:r>
      <w:r>
        <w:rPr>
          <w:rFonts w:ascii="Times New Roman" w:hAnsi="Times New Roman" w:hint="eastAsia"/>
          <w:kern w:val="0"/>
          <w:szCs w:val="21"/>
        </w:rPr>
        <w:t>、毫针的刺法、行针方法、补泻方法以及留针与出针。</w:t>
      </w:r>
    </w:p>
    <w:p w:rsidR="003717A0" w:rsidRDefault="003717A0">
      <w:pPr>
        <w:autoSpaceDE w:val="0"/>
        <w:autoSpaceDN w:val="0"/>
        <w:adjustRightInd w:val="0"/>
        <w:snapToGrid w:val="0"/>
        <w:spacing w:line="440" w:lineRule="exact"/>
        <w:jc w:val="lef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、了解针灸疗法的历史发展。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、了解针灸疗法的现代应用与学术研究。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、了解毫针的构造、规格，熟悉毫针的检查和保藏。</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、熟悉毫针刺法的练习要领，熟悉毫针的选择和消毒。</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、熟悉体位的选择。</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6</w:t>
      </w:r>
      <w:r>
        <w:rPr>
          <w:rFonts w:ascii="Times New Roman" w:hAnsi="Times New Roman" w:hint="eastAsia"/>
          <w:kern w:val="0"/>
          <w:szCs w:val="21"/>
        </w:rPr>
        <w:t>、掌握毫针刺法的进针法，针刺角度与深度和行针基本手法，了解辅助手法。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、掌握得气的概念、表现和意义，了解候气、催气、守气的概念和意义。</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8</w:t>
      </w:r>
      <w:r>
        <w:rPr>
          <w:rFonts w:ascii="Times New Roman" w:hAnsi="Times New Roman" w:hint="eastAsia"/>
          <w:kern w:val="0"/>
          <w:szCs w:val="21"/>
        </w:rPr>
        <w:t>、掌握捻转、提插补泻和平补平泻手法，了解其他补泻手法，了解影响补泻效应的因素。</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第二节</w:t>
      </w:r>
      <w:r>
        <w:rPr>
          <w:rFonts w:ascii="Times New Roman" w:hAnsi="Times New Roman"/>
          <w:b/>
          <w:kern w:val="0"/>
          <w:szCs w:val="21"/>
        </w:rPr>
        <w:t xml:space="preserve"> </w:t>
      </w:r>
      <w:r>
        <w:rPr>
          <w:rFonts w:ascii="Times New Roman" w:hAnsi="Times New Roman" w:hint="eastAsia"/>
          <w:b/>
          <w:kern w:val="0"/>
          <w:szCs w:val="21"/>
        </w:rPr>
        <w:t>电针法、头皮针法等</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lastRenderedPageBreak/>
        <w:t>1</w:t>
      </w:r>
      <w:r>
        <w:rPr>
          <w:rFonts w:ascii="Times New Roman" w:hAnsi="Times New Roman" w:hint="eastAsia"/>
          <w:kern w:val="0"/>
          <w:szCs w:val="21"/>
        </w:rPr>
        <w:t>、电针的操作方法、电针作用和适应范围、电针的刺激参数及注意事项。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、头针的概念，理论基础，标准头穴线的定位，头针的操作方法以及头针的适应症和注意事项。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、腕踝针疗法的体表分区、适应症、操作方法和注意事项。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、三棱针的操作方法、适应范围、注意事项。</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、电针的操作方法、刺激参数及注意事项。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、头针的标准定位、操作方法和注意事项。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、腕踝针的体表分区、操作方法及注意事项。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、三棱针的操作方法及注意事项。</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目的和要求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、熟悉电针的操作方法、适应范围及注意事项。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、熟悉头针的理论依据，了解头针法的适应范围和注意事项；掌握头针的概念、标准头穴线的定位和操作方法。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、熟悉腕踝针疗法的体表分区、适应症、操作方法和注意事项。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、熟悉三棱针的操作方法，适应范围和注意事项。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第三节</w:t>
      </w:r>
      <w:r>
        <w:rPr>
          <w:rFonts w:ascii="Times New Roman" w:hAnsi="Times New Roman"/>
          <w:b/>
          <w:kern w:val="0"/>
          <w:szCs w:val="21"/>
        </w:rPr>
        <w:t xml:space="preserve"> </w:t>
      </w:r>
      <w:r>
        <w:rPr>
          <w:rFonts w:ascii="Times New Roman" w:hAnsi="Times New Roman" w:hint="eastAsia"/>
          <w:b/>
          <w:kern w:val="0"/>
          <w:szCs w:val="21"/>
        </w:rPr>
        <w:t>耳针、皮肤针等方法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、耳与经络脏腑的关系，耳廓表面解剖，常用耳穴部位和主治以及耳针适应症。</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、皮肤针法、皮内针法的操作方法、适应范围、注意事项。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、穴位注射法的操作方法、适应范围、常用药物及注意事项。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、晕针、滞针、弯针、断针、血肿、创伤性气胸、刺伤内脏、刺伤脊髓的原因、症状、处理、预防。</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、常用耳穴的定位及耳穴的操作。</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、皮肤针、皮内针、穴位注射的操作方法及注意事项。</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、了解耳与经络脏腑的关系、耳针的选穴原则和适应症；熟悉耳穴的分布规律、常用耳穴的定位、主治及耳针的操作方法。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、熟悉皮肤针、皮内针、穴位注射的操作方法，适应范围和注意事项。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、掌握晕针、滞针、弯针、断针的原因、症状、处理、预防；熟悉血肿、创伤性气胸、刺伤内脏、</w:t>
      </w:r>
      <w:r>
        <w:rPr>
          <w:rFonts w:ascii="Times New Roman" w:hAnsi="Times New Roman" w:hint="eastAsia"/>
          <w:kern w:val="0"/>
          <w:szCs w:val="21"/>
        </w:rPr>
        <w:lastRenderedPageBreak/>
        <w:t>刺伤脊髓的原因、症状、处理、预防。</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第四节</w:t>
      </w:r>
      <w:r>
        <w:rPr>
          <w:rFonts w:ascii="Times New Roman" w:hAnsi="Times New Roman"/>
          <w:b/>
          <w:kern w:val="0"/>
          <w:szCs w:val="21"/>
        </w:rPr>
        <w:t xml:space="preserve"> </w:t>
      </w:r>
      <w:r>
        <w:rPr>
          <w:rFonts w:ascii="Times New Roman" w:hAnsi="Times New Roman" w:hint="eastAsia"/>
          <w:b/>
          <w:kern w:val="0"/>
          <w:szCs w:val="21"/>
        </w:rPr>
        <w:t>灸法、拔罐法及针灸处方</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、火罐的种类，拔罐的方法，拔罐的作用，火罐法的禁忌症和注意事项。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、灸法的作用和种类，以及施灸时的顺序和注意事项。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、针灸处方原则，穴位的选择，刺灸法的选择。</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、火罐的种类、拔罐以及起罐的方法。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、灸法的种类以及各种灸法的操作方法。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、了解罐的种类；熟悉拔罐的作用；掌握罐的吸附方法、拔罐方法、起罐方法和注意事项。</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hint="eastAsia"/>
          <w:kern w:val="0"/>
          <w:szCs w:val="21"/>
        </w:rPr>
        <w:t>掌握灸法的概念，熟悉灸法的作用和种类。</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、熟悉各种灸法的操作、适应症和注意事项。</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3</w:t>
      </w:r>
      <w:r>
        <w:rPr>
          <w:rFonts w:ascii="Times New Roman" w:hAnsi="Times New Roman" w:hint="eastAsia"/>
          <w:kern w:val="0"/>
          <w:szCs w:val="21"/>
        </w:rPr>
        <w:t>、熟悉针灸处方原则，穴位的选择，刺灸法的选择</w:t>
      </w:r>
    </w:p>
    <w:p w:rsidR="003717A0" w:rsidRDefault="003717A0">
      <w:pPr>
        <w:autoSpaceDE w:val="0"/>
        <w:autoSpaceDN w:val="0"/>
        <w:adjustRightInd w:val="0"/>
        <w:snapToGrid w:val="0"/>
        <w:spacing w:line="440" w:lineRule="exact"/>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第五节</w:t>
      </w:r>
      <w:r>
        <w:rPr>
          <w:rFonts w:ascii="Times New Roman" w:hAnsi="Times New Roman"/>
          <w:b/>
          <w:kern w:val="0"/>
          <w:szCs w:val="21"/>
        </w:rPr>
        <w:t xml:space="preserve"> </w:t>
      </w:r>
      <w:r>
        <w:rPr>
          <w:rFonts w:ascii="Times New Roman" w:hAnsi="Times New Roman" w:hint="eastAsia"/>
          <w:b/>
          <w:kern w:val="0"/>
          <w:szCs w:val="21"/>
        </w:rPr>
        <w:t>临床康复中常见症状的针灸治疗</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6</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疼痛，肢体功能障碍，言语障碍，吞咽障碍，认知功能障碍，情绪、情感障碍，排便功能障碍，长期卧床及面瘫的概念、中医辨证、评定、针灸治疗。重点讲述疼痛、肢体功能障碍、面瘫。针灸治疗部分重点讲述主穴，配合介绍配穴。</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6</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、疼痛，肢体功能障碍，言语障碍，吞咽障碍，认知功能障碍，情绪、情感障碍，排便功能障碍，长期卧床及面瘫的针灸治疗。</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、掌握疼痛的概念、针灸处理，了解疼痛的中医辨证，熟悉疼痛的康复评定。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、熟悉中枢性与周围性运动功能障碍的康复评定。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、掌握言语障碍的概念、针灸处理，了解言语障碍的中医辨证，熟悉失语症的康复评定。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、掌握吞咽障碍的概念、针灸处理，了解吞咽障碍的中医辨证，熟悉吞咽的康复评定。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、掌握情绪、情感障碍的概念、针灸治疗，了解情绪、情感障碍的中医辨证，熟悉情绪、情感障碍的康复评定。</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lastRenderedPageBreak/>
        <w:t>6</w:t>
      </w:r>
      <w:r>
        <w:rPr>
          <w:rFonts w:ascii="Times New Roman" w:hAnsi="Times New Roman" w:hint="eastAsia"/>
          <w:kern w:val="0"/>
          <w:szCs w:val="21"/>
        </w:rPr>
        <w:t>、掌握排便功能障碍的概念、针灸处理、小便障碍的作用机制，了解排便功能的康复评定、中医辨证、大便功能障碍的作用机制。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7</w:t>
      </w:r>
      <w:r>
        <w:rPr>
          <w:rFonts w:ascii="Times New Roman" w:hAnsi="Times New Roman" w:hint="eastAsia"/>
          <w:kern w:val="0"/>
          <w:szCs w:val="21"/>
        </w:rPr>
        <w:t>、熟悉长期卧床的概念、分类、周围性与中枢性面瘫的鉴别、针灸处理、后遗症，熟悉面瘫的康复评定、中医辨证。</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第六章</w:t>
      </w:r>
      <w:r>
        <w:rPr>
          <w:rFonts w:ascii="Times New Roman" w:hAnsi="Times New Roman"/>
          <w:b/>
          <w:kern w:val="0"/>
          <w:szCs w:val="21"/>
        </w:rPr>
        <w:t xml:space="preserve"> </w:t>
      </w:r>
      <w:r>
        <w:rPr>
          <w:rFonts w:ascii="Times New Roman" w:hAnsi="Times New Roman" w:hint="eastAsia"/>
          <w:b/>
          <w:kern w:val="0"/>
          <w:szCs w:val="21"/>
        </w:rPr>
        <w:t>传统运动疗法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、传统运动疗法的基本理论（脏腑调和、精气流通、形神共养、动静结合）</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、八段锦的概念和练功方法。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、易筋经的概念和练功方法。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、五禽戏的概念、创始人和练功方法。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、太极拳的概念和练功方法。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实习内容（</w:t>
      </w:r>
      <w:r>
        <w:rPr>
          <w:rFonts w:ascii="Times New Roman" w:hAnsi="Times New Roman"/>
          <w:b/>
          <w:kern w:val="0"/>
          <w:szCs w:val="21"/>
        </w:rPr>
        <w:t>9</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rPr>
          <w:rFonts w:ascii="Times New Roman" w:hAnsi="Times New Roman"/>
          <w:kern w:val="0"/>
          <w:szCs w:val="21"/>
        </w:rPr>
      </w:pPr>
      <w:r>
        <w:rPr>
          <w:rFonts w:ascii="Times New Roman" w:hAnsi="Times New Roman"/>
          <w:kern w:val="0"/>
          <w:szCs w:val="21"/>
        </w:rPr>
        <w:t xml:space="preserve">  </w:t>
      </w:r>
      <w:r>
        <w:rPr>
          <w:rFonts w:ascii="Times New Roman" w:hAnsi="Times New Roman" w:hint="eastAsia"/>
          <w:kern w:val="0"/>
          <w:szCs w:val="21"/>
        </w:rPr>
        <w:t>观看各功法，实际操作练习八段锦功法。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、了解传统运动疗法的基本理论。</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、掌握八段锦的概念和练功方法。</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、熟悉易筋经、五禽戏、太极拳等传统体育疗法的概念和练功方法。</w:t>
      </w:r>
    </w:p>
    <w:p w:rsidR="003717A0" w:rsidRDefault="003717A0">
      <w:pPr>
        <w:autoSpaceDE w:val="0"/>
        <w:autoSpaceDN w:val="0"/>
        <w:adjustRightInd w:val="0"/>
        <w:snapToGrid w:val="0"/>
        <w:spacing w:line="440" w:lineRule="exact"/>
        <w:jc w:val="center"/>
        <w:rPr>
          <w:rFonts w:ascii="Times New Roman" w:hAnsi="Times New Roman"/>
          <w:b/>
          <w:kern w:val="0"/>
          <w:szCs w:val="21"/>
        </w:rPr>
      </w:pPr>
      <w:r>
        <w:rPr>
          <w:rFonts w:ascii="Times New Roman" w:hAnsi="Times New Roman" w:hint="eastAsia"/>
          <w:b/>
          <w:kern w:val="0"/>
          <w:szCs w:val="21"/>
        </w:rPr>
        <w:t>第七章</w:t>
      </w:r>
      <w:r>
        <w:rPr>
          <w:rFonts w:ascii="Times New Roman" w:hAnsi="Times New Roman"/>
          <w:b/>
          <w:kern w:val="0"/>
          <w:szCs w:val="21"/>
        </w:rPr>
        <w:t xml:space="preserve"> </w:t>
      </w:r>
      <w:r>
        <w:rPr>
          <w:rFonts w:ascii="Times New Roman" w:hAnsi="Times New Roman" w:hint="eastAsia"/>
          <w:b/>
          <w:kern w:val="0"/>
          <w:szCs w:val="21"/>
        </w:rPr>
        <w:t>中药疗法</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教学内容（</w:t>
      </w:r>
      <w:r>
        <w:rPr>
          <w:rFonts w:ascii="Times New Roman" w:hAnsi="Times New Roman"/>
          <w:b/>
          <w:kern w:val="0"/>
          <w:szCs w:val="21"/>
        </w:rPr>
        <w:t>3</w:t>
      </w:r>
      <w:r>
        <w:rPr>
          <w:rFonts w:ascii="Times New Roman" w:hAnsi="Times New Roman" w:hint="eastAsia"/>
          <w:b/>
          <w:kern w:val="0"/>
          <w:szCs w:val="21"/>
        </w:rPr>
        <w:t>学时）</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、中药外治法、内治法的基本概念。</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、中药外治的方法种类。</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、康复科常用外治方药及适应症。</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、八法的基本概念（汗、吐、下、泻、温、清、消、补）</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、康复科常用内治方剂、煎服方法、服药法及注意事项。</w:t>
      </w:r>
    </w:p>
    <w:p w:rsidR="003717A0" w:rsidRDefault="003717A0">
      <w:pPr>
        <w:autoSpaceDE w:val="0"/>
        <w:autoSpaceDN w:val="0"/>
        <w:adjustRightInd w:val="0"/>
        <w:snapToGrid w:val="0"/>
        <w:spacing w:line="440" w:lineRule="exact"/>
        <w:rPr>
          <w:rFonts w:ascii="Times New Roman" w:hAnsi="Times New Roman"/>
          <w:b/>
          <w:kern w:val="0"/>
          <w:szCs w:val="21"/>
        </w:rPr>
      </w:pPr>
      <w:r>
        <w:rPr>
          <w:rFonts w:ascii="Times New Roman" w:hAnsi="Times New Roman" w:hint="eastAsia"/>
          <w:b/>
          <w:kern w:val="0"/>
          <w:szCs w:val="21"/>
        </w:rPr>
        <w:t>目的要求</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1</w:t>
      </w:r>
      <w:r>
        <w:rPr>
          <w:rFonts w:ascii="Times New Roman" w:hAnsi="Times New Roman" w:hint="eastAsia"/>
          <w:kern w:val="0"/>
          <w:szCs w:val="21"/>
        </w:rPr>
        <w:t>、掌握中药外治法、内治法的基本概念。</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2</w:t>
      </w:r>
      <w:r>
        <w:rPr>
          <w:rFonts w:ascii="Times New Roman" w:hAnsi="Times New Roman" w:hint="eastAsia"/>
          <w:kern w:val="0"/>
          <w:szCs w:val="21"/>
        </w:rPr>
        <w:t>、熟悉中药外治的方法种类。</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3</w:t>
      </w:r>
      <w:r>
        <w:rPr>
          <w:rFonts w:ascii="Times New Roman" w:hAnsi="Times New Roman" w:hint="eastAsia"/>
          <w:kern w:val="0"/>
          <w:szCs w:val="21"/>
        </w:rPr>
        <w:t>、了解康复科常用外治方药及适应症。</w:t>
      </w:r>
    </w:p>
    <w:p w:rsidR="003717A0" w:rsidRDefault="003717A0">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4</w:t>
      </w:r>
      <w:r>
        <w:rPr>
          <w:rFonts w:ascii="Times New Roman" w:hAnsi="Times New Roman" w:hint="eastAsia"/>
          <w:kern w:val="0"/>
          <w:szCs w:val="21"/>
        </w:rPr>
        <w:t>、熟悉八法的基本概念。</w:t>
      </w:r>
    </w:p>
    <w:p w:rsidR="003717A0" w:rsidRPr="00566E4D" w:rsidRDefault="003717A0" w:rsidP="003B4CD1">
      <w:pPr>
        <w:autoSpaceDE w:val="0"/>
        <w:autoSpaceDN w:val="0"/>
        <w:adjustRightInd w:val="0"/>
        <w:snapToGrid w:val="0"/>
        <w:spacing w:line="440" w:lineRule="exact"/>
        <w:ind w:firstLineChars="100" w:firstLine="210"/>
        <w:rPr>
          <w:rFonts w:ascii="Times New Roman" w:hAnsi="Times New Roman"/>
          <w:kern w:val="0"/>
          <w:szCs w:val="21"/>
        </w:rPr>
      </w:pPr>
      <w:r>
        <w:rPr>
          <w:rFonts w:ascii="Times New Roman" w:hAnsi="Times New Roman"/>
          <w:kern w:val="0"/>
          <w:szCs w:val="21"/>
        </w:rPr>
        <w:t>5</w:t>
      </w:r>
      <w:r>
        <w:rPr>
          <w:rFonts w:ascii="Times New Roman" w:hAnsi="Times New Roman" w:hint="eastAsia"/>
          <w:kern w:val="0"/>
          <w:szCs w:val="21"/>
        </w:rPr>
        <w:t>、了解康复科常用内治方剂、煎服方法、服药法及注意事项。</w:t>
      </w:r>
    </w:p>
    <w:tbl>
      <w:tblPr>
        <w:tblpPr w:leftFromText="180" w:rightFromText="180" w:tblpXSpec="center" w:tblpY="735"/>
        <w:tblW w:w="9286" w:type="dxa"/>
        <w:tblLayout w:type="fixed"/>
        <w:tblLook w:val="00A0"/>
      </w:tblPr>
      <w:tblGrid>
        <w:gridCol w:w="1049"/>
        <w:gridCol w:w="3076"/>
        <w:gridCol w:w="1452"/>
        <w:gridCol w:w="2355"/>
        <w:gridCol w:w="1354"/>
      </w:tblGrid>
      <w:tr w:rsidR="003717A0" w:rsidTr="00566E4D">
        <w:trPr>
          <w:trHeight w:hRule="exact" w:val="340"/>
        </w:trPr>
        <w:tc>
          <w:tcPr>
            <w:tcW w:w="1049" w:type="dxa"/>
            <w:tcBorders>
              <w:top w:val="single" w:sz="4" w:space="0" w:color="auto"/>
              <w:left w:val="single" w:sz="4" w:space="0" w:color="auto"/>
              <w:bottom w:val="single" w:sz="4" w:space="0" w:color="auto"/>
              <w:right w:val="single" w:sz="4" w:space="0" w:color="auto"/>
            </w:tcBorders>
          </w:tcPr>
          <w:p w:rsidR="003717A0" w:rsidRDefault="003717A0">
            <w:pPr>
              <w:widowControl/>
              <w:jc w:val="center"/>
              <w:rPr>
                <w:rFonts w:ascii="宋体" w:cs="宋体"/>
                <w:kern w:val="0"/>
                <w:sz w:val="22"/>
              </w:rPr>
            </w:pPr>
          </w:p>
        </w:tc>
        <w:tc>
          <w:tcPr>
            <w:tcW w:w="3076" w:type="dxa"/>
            <w:tcBorders>
              <w:top w:val="single" w:sz="4" w:space="0" w:color="auto"/>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2"/>
              </w:rPr>
            </w:pPr>
            <w:r>
              <w:rPr>
                <w:rFonts w:ascii="宋体" w:hAnsi="宋体" w:cs="宋体" w:hint="eastAsia"/>
                <w:kern w:val="0"/>
                <w:sz w:val="22"/>
              </w:rPr>
              <w:t>授课内容</w:t>
            </w:r>
          </w:p>
        </w:tc>
        <w:tc>
          <w:tcPr>
            <w:tcW w:w="1452" w:type="dxa"/>
            <w:tcBorders>
              <w:top w:val="single" w:sz="4" w:space="0" w:color="auto"/>
              <w:left w:val="nil"/>
              <w:bottom w:val="single" w:sz="4" w:space="0" w:color="auto"/>
              <w:right w:val="single" w:sz="4" w:space="0" w:color="auto"/>
            </w:tcBorders>
            <w:vAlign w:val="center"/>
          </w:tcPr>
          <w:p w:rsidR="003717A0" w:rsidRDefault="003717A0">
            <w:pPr>
              <w:widowControl/>
              <w:jc w:val="center"/>
              <w:rPr>
                <w:rFonts w:ascii="宋体" w:cs="宋体"/>
                <w:kern w:val="0"/>
                <w:sz w:val="22"/>
              </w:rPr>
            </w:pPr>
            <w:r>
              <w:rPr>
                <w:rFonts w:ascii="宋体" w:hAnsi="宋体" w:cs="宋体" w:hint="eastAsia"/>
                <w:kern w:val="0"/>
                <w:sz w:val="22"/>
              </w:rPr>
              <w:t>学时</w:t>
            </w:r>
          </w:p>
        </w:tc>
        <w:tc>
          <w:tcPr>
            <w:tcW w:w="2355" w:type="dxa"/>
            <w:tcBorders>
              <w:top w:val="single" w:sz="4" w:space="0" w:color="auto"/>
              <w:left w:val="nil"/>
              <w:bottom w:val="single" w:sz="4" w:space="0" w:color="auto"/>
              <w:right w:val="single" w:sz="4" w:space="0" w:color="auto"/>
            </w:tcBorders>
            <w:vAlign w:val="center"/>
          </w:tcPr>
          <w:p w:rsidR="003717A0" w:rsidRDefault="003717A0">
            <w:pPr>
              <w:widowControl/>
              <w:jc w:val="center"/>
              <w:rPr>
                <w:rFonts w:ascii="宋体" w:cs="宋体"/>
                <w:kern w:val="0"/>
                <w:sz w:val="22"/>
              </w:rPr>
            </w:pPr>
            <w:r>
              <w:rPr>
                <w:rFonts w:ascii="宋体" w:hAnsi="宋体" w:cs="宋体" w:hint="eastAsia"/>
                <w:kern w:val="0"/>
                <w:sz w:val="22"/>
              </w:rPr>
              <w:t>实验（见习）课内容</w:t>
            </w:r>
          </w:p>
        </w:tc>
        <w:tc>
          <w:tcPr>
            <w:tcW w:w="1354" w:type="dxa"/>
            <w:tcBorders>
              <w:top w:val="single" w:sz="4" w:space="0" w:color="auto"/>
              <w:left w:val="nil"/>
              <w:bottom w:val="single" w:sz="4" w:space="0" w:color="auto"/>
              <w:right w:val="single" w:sz="4" w:space="0" w:color="auto"/>
            </w:tcBorders>
            <w:vAlign w:val="center"/>
          </w:tcPr>
          <w:p w:rsidR="003717A0" w:rsidRDefault="003717A0">
            <w:pPr>
              <w:widowControl/>
              <w:jc w:val="center"/>
              <w:rPr>
                <w:rFonts w:ascii="宋体" w:cs="宋体"/>
                <w:kern w:val="0"/>
                <w:sz w:val="22"/>
              </w:rPr>
            </w:pPr>
            <w:r>
              <w:rPr>
                <w:rFonts w:ascii="宋体" w:hAnsi="宋体" w:cs="宋体" w:hint="eastAsia"/>
                <w:kern w:val="0"/>
                <w:sz w:val="22"/>
              </w:rPr>
              <w:t>学时</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中医基础</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 xml:space="preserve">　</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 xml:space="preserve">　</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2</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传统康复概论</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 xml:space="preserve">　</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 xml:space="preserve">　</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 xml:space="preserve"> </w:t>
            </w:r>
            <w:r>
              <w:rPr>
                <w:rFonts w:ascii="宋体" w:hAnsi="宋体" w:cs="宋体" w:hint="eastAsia"/>
                <w:kern w:val="0"/>
                <w:sz w:val="20"/>
                <w:szCs w:val="20"/>
              </w:rPr>
              <w:t>经络腧穴总论</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 xml:space="preserve">　腧穴定位法</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r>
              <w:rPr>
                <w:rFonts w:ascii="宋体" w:hAnsi="宋体" w:cs="宋体" w:hint="eastAsia"/>
                <w:kern w:val="0"/>
                <w:sz w:val="20"/>
                <w:szCs w:val="20"/>
              </w:rPr>
              <w:t xml:space="preserve">　</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4</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 xml:space="preserve"> </w:t>
            </w:r>
            <w:r>
              <w:rPr>
                <w:rFonts w:ascii="宋体" w:hAnsi="宋体" w:cs="宋体" w:hint="eastAsia"/>
                <w:kern w:val="0"/>
                <w:sz w:val="20"/>
                <w:szCs w:val="20"/>
              </w:rPr>
              <w:t>手三阴、三阳经络及腧穴</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点穴</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5</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足三阳经络及腧穴</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点穴</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6</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6</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足三阴经络及腧穴</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点穴</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7</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奇经八脉经络及腧穴、奇穴</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点穴</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8</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推拿手法</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推拿手法</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9</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推拿临床</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推拿临床</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10</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毫针刺法</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练针</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6</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11</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电针、头皮针</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电针、头皮针</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12</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耳针、皮肤针等</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耳针、皮肤针</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13</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头针、耳针</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头针、耳针</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14</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灸法、拔罐疗法</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灸法、拔罐</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nil"/>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15</w:t>
            </w:r>
          </w:p>
        </w:tc>
        <w:tc>
          <w:tcPr>
            <w:tcW w:w="3076" w:type="dxa"/>
            <w:tcBorders>
              <w:top w:val="nil"/>
              <w:left w:val="single" w:sz="4" w:space="0" w:color="auto"/>
              <w:bottom w:val="nil"/>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针灸治疗</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临床</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single" w:sz="4" w:space="0" w:color="auto"/>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16</w:t>
            </w:r>
          </w:p>
        </w:tc>
        <w:tc>
          <w:tcPr>
            <w:tcW w:w="3076" w:type="dxa"/>
            <w:tcBorders>
              <w:top w:val="single" w:sz="4" w:space="0" w:color="auto"/>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针灸治疗</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临床</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r>
      <w:tr w:rsidR="003717A0" w:rsidTr="00566E4D">
        <w:trPr>
          <w:trHeight w:hRule="exact" w:val="340"/>
        </w:trPr>
        <w:tc>
          <w:tcPr>
            <w:tcW w:w="1049" w:type="dxa"/>
            <w:tcBorders>
              <w:top w:val="nil"/>
              <w:left w:val="single" w:sz="4" w:space="0" w:color="auto"/>
              <w:bottom w:val="single" w:sz="4" w:space="0" w:color="auto"/>
              <w:right w:val="single" w:sz="4" w:space="0" w:color="auto"/>
            </w:tcBorders>
          </w:tcPr>
          <w:p w:rsidR="003717A0" w:rsidRDefault="003717A0">
            <w:pPr>
              <w:widowControl/>
              <w:jc w:val="center"/>
              <w:rPr>
                <w:rFonts w:ascii="宋体" w:cs="宋体"/>
                <w:kern w:val="0"/>
                <w:sz w:val="20"/>
                <w:szCs w:val="20"/>
              </w:rPr>
            </w:pPr>
            <w:r>
              <w:rPr>
                <w:rFonts w:ascii="宋体" w:hAnsi="宋体" w:cs="宋体"/>
                <w:kern w:val="0"/>
                <w:sz w:val="20"/>
                <w:szCs w:val="20"/>
              </w:rPr>
              <w:t>17</w:t>
            </w:r>
          </w:p>
        </w:tc>
        <w:tc>
          <w:tcPr>
            <w:tcW w:w="3076" w:type="dxa"/>
            <w:tcBorders>
              <w:top w:val="nil"/>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 xml:space="preserve">  </w:t>
            </w:r>
            <w:r>
              <w:rPr>
                <w:rFonts w:ascii="宋体" w:hAnsi="宋体" w:cs="宋体" w:hint="eastAsia"/>
                <w:kern w:val="0"/>
                <w:sz w:val="20"/>
                <w:szCs w:val="20"/>
              </w:rPr>
              <w:t>传统运动疗法</w:t>
            </w:r>
          </w:p>
        </w:tc>
        <w:tc>
          <w:tcPr>
            <w:tcW w:w="1452"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练功</w:t>
            </w:r>
          </w:p>
        </w:tc>
        <w:tc>
          <w:tcPr>
            <w:tcW w:w="1354" w:type="dxa"/>
            <w:tcBorders>
              <w:top w:val="nil"/>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9</w:t>
            </w:r>
          </w:p>
        </w:tc>
      </w:tr>
      <w:tr w:rsidR="003717A0" w:rsidTr="00566E4D">
        <w:trPr>
          <w:trHeight w:hRule="exact" w:val="340"/>
        </w:trPr>
        <w:tc>
          <w:tcPr>
            <w:tcW w:w="1049" w:type="dxa"/>
            <w:tcBorders>
              <w:top w:val="single" w:sz="4" w:space="0" w:color="auto"/>
              <w:left w:val="single" w:sz="4" w:space="0" w:color="auto"/>
              <w:bottom w:val="single" w:sz="4" w:space="0" w:color="auto"/>
              <w:right w:val="single" w:sz="4" w:space="0" w:color="auto"/>
            </w:tcBorders>
          </w:tcPr>
          <w:p w:rsidR="003717A0" w:rsidRDefault="003717A0">
            <w:pPr>
              <w:jc w:val="center"/>
              <w:rPr>
                <w:rFonts w:ascii="宋体" w:cs="宋体"/>
                <w:kern w:val="0"/>
                <w:sz w:val="20"/>
                <w:szCs w:val="20"/>
              </w:rPr>
            </w:pPr>
            <w:r>
              <w:rPr>
                <w:rFonts w:ascii="宋体" w:hAnsi="宋体" w:cs="宋体"/>
                <w:kern w:val="0"/>
                <w:sz w:val="20"/>
                <w:szCs w:val="20"/>
              </w:rPr>
              <w:t>18</w:t>
            </w:r>
          </w:p>
        </w:tc>
        <w:tc>
          <w:tcPr>
            <w:tcW w:w="3076" w:type="dxa"/>
            <w:tcBorders>
              <w:top w:val="single" w:sz="4" w:space="0" w:color="auto"/>
              <w:left w:val="single" w:sz="4" w:space="0" w:color="auto"/>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hint="eastAsia"/>
                <w:kern w:val="0"/>
                <w:sz w:val="20"/>
                <w:szCs w:val="20"/>
              </w:rPr>
              <w:t>中医内治、外治等</w:t>
            </w:r>
          </w:p>
        </w:tc>
        <w:tc>
          <w:tcPr>
            <w:tcW w:w="1452" w:type="dxa"/>
            <w:tcBorders>
              <w:top w:val="single" w:sz="4" w:space="0" w:color="auto"/>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r>
              <w:rPr>
                <w:rFonts w:ascii="宋体" w:hAnsi="宋体" w:cs="宋体"/>
                <w:kern w:val="0"/>
                <w:sz w:val="20"/>
                <w:szCs w:val="20"/>
              </w:rPr>
              <w:t>3</w:t>
            </w:r>
          </w:p>
        </w:tc>
        <w:tc>
          <w:tcPr>
            <w:tcW w:w="2355" w:type="dxa"/>
            <w:tcBorders>
              <w:top w:val="single" w:sz="4" w:space="0" w:color="auto"/>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p>
        </w:tc>
        <w:tc>
          <w:tcPr>
            <w:tcW w:w="1354" w:type="dxa"/>
            <w:tcBorders>
              <w:top w:val="single" w:sz="4" w:space="0" w:color="auto"/>
              <w:left w:val="nil"/>
              <w:bottom w:val="single" w:sz="4" w:space="0" w:color="auto"/>
              <w:right w:val="single" w:sz="4" w:space="0" w:color="auto"/>
            </w:tcBorders>
            <w:vAlign w:val="center"/>
          </w:tcPr>
          <w:p w:rsidR="003717A0" w:rsidRDefault="003717A0">
            <w:pPr>
              <w:widowControl/>
              <w:jc w:val="center"/>
              <w:rPr>
                <w:rFonts w:ascii="宋体" w:cs="宋体"/>
                <w:kern w:val="0"/>
                <w:sz w:val="20"/>
                <w:szCs w:val="20"/>
              </w:rPr>
            </w:pPr>
          </w:p>
        </w:tc>
      </w:tr>
      <w:tr w:rsidR="003717A0" w:rsidTr="00566E4D">
        <w:trPr>
          <w:trHeight w:hRule="exact" w:val="340"/>
        </w:trPr>
        <w:tc>
          <w:tcPr>
            <w:tcW w:w="1049" w:type="dxa"/>
            <w:tcBorders>
              <w:top w:val="single" w:sz="4" w:space="0" w:color="auto"/>
              <w:left w:val="single" w:sz="4" w:space="0" w:color="auto"/>
              <w:bottom w:val="single" w:sz="4" w:space="0" w:color="auto"/>
              <w:right w:val="single" w:sz="4" w:space="0" w:color="auto"/>
            </w:tcBorders>
          </w:tcPr>
          <w:p w:rsidR="003717A0" w:rsidRDefault="003717A0">
            <w:pPr>
              <w:jc w:val="center"/>
              <w:rPr>
                <w:rFonts w:ascii="宋体" w:cs="宋体"/>
                <w:kern w:val="0"/>
                <w:sz w:val="20"/>
                <w:szCs w:val="20"/>
              </w:rPr>
            </w:pPr>
          </w:p>
        </w:tc>
        <w:tc>
          <w:tcPr>
            <w:tcW w:w="3076" w:type="dxa"/>
            <w:tcBorders>
              <w:top w:val="single" w:sz="4" w:space="0" w:color="auto"/>
              <w:left w:val="single" w:sz="4" w:space="0" w:color="auto"/>
              <w:bottom w:val="single" w:sz="4" w:space="0" w:color="auto"/>
              <w:right w:val="single" w:sz="4" w:space="0" w:color="auto"/>
            </w:tcBorders>
            <w:vAlign w:val="center"/>
          </w:tcPr>
          <w:p w:rsidR="003717A0" w:rsidRDefault="003717A0">
            <w:pPr>
              <w:jc w:val="center"/>
              <w:rPr>
                <w:rFonts w:ascii="宋体" w:cs="宋体"/>
                <w:kern w:val="0"/>
                <w:sz w:val="20"/>
                <w:szCs w:val="20"/>
              </w:rPr>
            </w:pPr>
            <w:r>
              <w:rPr>
                <w:rFonts w:ascii="宋体" w:hAnsi="宋体" w:cs="宋体" w:hint="eastAsia"/>
                <w:kern w:val="0"/>
                <w:sz w:val="20"/>
                <w:szCs w:val="20"/>
              </w:rPr>
              <w:t>合计</w:t>
            </w:r>
          </w:p>
        </w:tc>
        <w:tc>
          <w:tcPr>
            <w:tcW w:w="1452" w:type="dxa"/>
            <w:tcBorders>
              <w:top w:val="single" w:sz="4" w:space="0" w:color="auto"/>
              <w:left w:val="nil"/>
              <w:bottom w:val="single" w:sz="4" w:space="0" w:color="auto"/>
              <w:right w:val="single" w:sz="4" w:space="0" w:color="auto"/>
            </w:tcBorders>
            <w:vAlign w:val="center"/>
          </w:tcPr>
          <w:p w:rsidR="003717A0" w:rsidRDefault="003717A0">
            <w:pPr>
              <w:jc w:val="center"/>
              <w:rPr>
                <w:rFonts w:ascii="宋体" w:cs="宋体"/>
                <w:kern w:val="0"/>
                <w:sz w:val="20"/>
                <w:szCs w:val="20"/>
              </w:rPr>
            </w:pPr>
            <w:r>
              <w:rPr>
                <w:rFonts w:ascii="宋体" w:hAnsi="宋体" w:cs="宋体"/>
                <w:kern w:val="0"/>
                <w:sz w:val="20"/>
                <w:szCs w:val="20"/>
              </w:rPr>
              <w:t>54</w:t>
            </w:r>
          </w:p>
        </w:tc>
        <w:tc>
          <w:tcPr>
            <w:tcW w:w="2355" w:type="dxa"/>
            <w:tcBorders>
              <w:top w:val="single" w:sz="4" w:space="0" w:color="auto"/>
              <w:left w:val="nil"/>
              <w:bottom w:val="single" w:sz="4" w:space="0" w:color="auto"/>
              <w:right w:val="single" w:sz="4" w:space="0" w:color="auto"/>
            </w:tcBorders>
            <w:vAlign w:val="center"/>
          </w:tcPr>
          <w:p w:rsidR="003717A0" w:rsidRDefault="003717A0">
            <w:pPr>
              <w:jc w:val="center"/>
              <w:rPr>
                <w:rFonts w:ascii="宋体" w:cs="宋体"/>
                <w:kern w:val="0"/>
                <w:sz w:val="20"/>
                <w:szCs w:val="20"/>
              </w:rPr>
            </w:pPr>
          </w:p>
        </w:tc>
        <w:tc>
          <w:tcPr>
            <w:tcW w:w="1354" w:type="dxa"/>
            <w:tcBorders>
              <w:top w:val="single" w:sz="4" w:space="0" w:color="auto"/>
              <w:left w:val="nil"/>
              <w:bottom w:val="single" w:sz="4" w:space="0" w:color="auto"/>
              <w:right w:val="single" w:sz="4" w:space="0" w:color="auto"/>
            </w:tcBorders>
            <w:vAlign w:val="center"/>
          </w:tcPr>
          <w:p w:rsidR="003717A0" w:rsidRDefault="003717A0">
            <w:pPr>
              <w:jc w:val="center"/>
              <w:rPr>
                <w:rFonts w:ascii="宋体" w:cs="宋体"/>
                <w:kern w:val="0"/>
                <w:sz w:val="20"/>
                <w:szCs w:val="20"/>
              </w:rPr>
            </w:pPr>
            <w:r>
              <w:rPr>
                <w:rFonts w:ascii="宋体" w:hAnsi="宋体" w:cs="宋体"/>
                <w:kern w:val="0"/>
                <w:sz w:val="20"/>
                <w:szCs w:val="20"/>
              </w:rPr>
              <w:t>54</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hint="eastAsia"/>
          <w:sz w:val="22"/>
        </w:rPr>
        <w:t>多媒体教室；模型教具；治疗床、针灸针、火罐、艾条、止血钳、棉球、酒精等。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ind w:firstLineChars="200" w:firstLine="440"/>
        <w:jc w:val="left"/>
        <w:rPr>
          <w:rFonts w:ascii="Times New Roman" w:hAnsi="Times New Roman"/>
          <w:kern w:val="0"/>
          <w:sz w:val="22"/>
        </w:rPr>
      </w:pPr>
      <w:r>
        <w:rPr>
          <w:rFonts w:hint="eastAsia"/>
          <w:sz w:val="22"/>
        </w:rPr>
        <w:t>理论课教材：陈立典主编，《传统康复方法学》，人民卫生出版社，</w:t>
      </w:r>
      <w:r>
        <w:rPr>
          <w:sz w:val="22"/>
        </w:rPr>
        <w:t>2013.05</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566E4D" w:rsidRDefault="003717A0" w:rsidP="00566E4D">
      <w:pPr>
        <w:autoSpaceDE w:val="0"/>
        <w:autoSpaceDN w:val="0"/>
        <w:adjustRightInd w:val="0"/>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制定人：周小云</w:t>
      </w:r>
    </w:p>
    <w:p w:rsidR="003717A0" w:rsidRPr="00566E4D" w:rsidRDefault="003717A0" w:rsidP="00566E4D">
      <w:pPr>
        <w:autoSpaceDE w:val="0"/>
        <w:autoSpaceDN w:val="0"/>
        <w:adjustRightInd w:val="0"/>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审核人：沈光宇</w:t>
      </w: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right="4" w:firstLineChars="200" w:firstLine="420"/>
        <w:rPr>
          <w:rFonts w:ascii="Times New Roman"/>
          <w:szCs w:val="21"/>
        </w:rPr>
      </w:pPr>
      <w:r>
        <w:rPr>
          <w:rFonts w:ascii="Times New Roman" w:hint="eastAsia"/>
          <w:szCs w:val="21"/>
        </w:rPr>
        <w:t>修读完本课程规定内容的康复医学专业的本科学生；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通过考核来检查和了解学生对本门课程内容的掌握程度，考核学生对经络的理解，对临床常用穴位的理解和掌握情况以及对传统运动疗法的熟练程度。</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Cs w:val="21"/>
        </w:rPr>
      </w:pPr>
      <w:r>
        <w:rPr>
          <w:rFonts w:ascii="宋体" w:hAnsi="宋体" w:hint="eastAsia"/>
          <w:szCs w:val="21"/>
        </w:rPr>
        <w:t>期末闭卷理论考核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传统康复医学的概念；主要专业名词；常用穴位的定位；针刺的方法；针刺意外的处理；艾灸的方法；常见病针刺的方法。</w:t>
      </w:r>
    </w:p>
    <w:p w:rsidR="003717A0" w:rsidRDefault="003717A0">
      <w:pPr>
        <w:tabs>
          <w:tab w:val="left" w:pos="6855"/>
        </w:tabs>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r>
        <w:rPr>
          <w:rFonts w:ascii="Times New Roman" w:eastAsia="黑体" w:hAnsi="Times New Roman"/>
          <w:b/>
          <w:kern w:val="0"/>
          <w:sz w:val="22"/>
        </w:rPr>
        <w:tab/>
      </w:r>
    </w:p>
    <w:p w:rsidR="003717A0" w:rsidRDefault="003717A0">
      <w:pPr>
        <w:tabs>
          <w:tab w:val="left" w:pos="6855"/>
        </w:tabs>
        <w:autoSpaceDE w:val="0"/>
        <w:autoSpaceDN w:val="0"/>
        <w:adjustRightInd w:val="0"/>
        <w:spacing w:line="440" w:lineRule="exact"/>
        <w:ind w:firstLineChars="192" w:firstLine="403"/>
        <w:jc w:val="left"/>
        <w:rPr>
          <w:rFonts w:ascii="Times New Roman" w:eastAsia="黑体" w:hAnsi="Times New Roman"/>
          <w:b/>
          <w:kern w:val="0"/>
          <w:sz w:val="22"/>
        </w:rPr>
      </w:pPr>
      <w:r>
        <w:rPr>
          <w:rFonts w:ascii="Times New Roman" w:hAnsi="Times New Roman" w:hint="eastAsia"/>
          <w:kern w:val="0"/>
          <w:szCs w:val="21"/>
        </w:rPr>
        <w:t>要求学生达到较系统掌握人体十二正经和任督二脉的常用穴位以及部分经外奇穴；能够熟练的掌握针刺、拔罐、艾灸的操作方法；了解传统运动疗法的。</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spacing w:line="360" w:lineRule="auto"/>
        <w:rPr>
          <w:rFonts w:ascii="宋体"/>
          <w:b/>
          <w:szCs w:val="21"/>
        </w:rPr>
      </w:pPr>
      <w:r>
        <w:rPr>
          <w:rFonts w:ascii="宋体" w:hAnsi="宋体" w:hint="eastAsia"/>
          <w:b/>
          <w:szCs w:val="21"/>
        </w:rPr>
        <w:t>一、名词解释（</w:t>
      </w:r>
      <w:r>
        <w:rPr>
          <w:rFonts w:ascii="宋体" w:hAnsi="宋体"/>
          <w:b/>
          <w:szCs w:val="21"/>
        </w:rPr>
        <w:t>2</w:t>
      </w:r>
      <w:r>
        <w:rPr>
          <w:rFonts w:ascii="宋体" w:hAnsi="宋体" w:hint="eastAsia"/>
          <w:b/>
          <w:szCs w:val="21"/>
        </w:rPr>
        <w:t>分×</w:t>
      </w:r>
      <w:r>
        <w:rPr>
          <w:rFonts w:ascii="宋体" w:hAnsi="宋体"/>
          <w:b/>
          <w:szCs w:val="21"/>
        </w:rPr>
        <w:t>5</w:t>
      </w:r>
      <w:r>
        <w:rPr>
          <w:rFonts w:ascii="宋体" w:hAnsi="宋体" w:hint="eastAsia"/>
          <w:b/>
          <w:szCs w:val="21"/>
        </w:rPr>
        <w:t>，共</w:t>
      </w:r>
      <w:r>
        <w:rPr>
          <w:rFonts w:ascii="宋体" w:hAnsi="宋体"/>
          <w:b/>
          <w:szCs w:val="21"/>
        </w:rPr>
        <w:t>10</w:t>
      </w:r>
      <w:r>
        <w:rPr>
          <w:rFonts w:ascii="宋体" w:hAnsi="宋体" w:hint="eastAsia"/>
          <w:b/>
          <w:szCs w:val="21"/>
        </w:rPr>
        <w:t>分）</w:t>
      </w:r>
    </w:p>
    <w:p w:rsidR="003717A0" w:rsidRDefault="003717A0">
      <w:pPr>
        <w:spacing w:line="480" w:lineRule="auto"/>
        <w:rPr>
          <w:rFonts w:ascii="宋体"/>
          <w:szCs w:val="21"/>
        </w:rPr>
      </w:pPr>
      <w:r>
        <w:rPr>
          <w:rFonts w:ascii="宋体" w:hAnsi="宋体"/>
          <w:szCs w:val="21"/>
        </w:rPr>
        <w:t>1</w:t>
      </w:r>
      <w:r>
        <w:rPr>
          <w:rFonts w:ascii="宋体" w:hAnsi="宋体" w:hint="eastAsia"/>
          <w:szCs w:val="21"/>
        </w:rPr>
        <w:t>、传统康复方法学</w:t>
      </w:r>
    </w:p>
    <w:p w:rsidR="003717A0" w:rsidRDefault="003717A0">
      <w:pPr>
        <w:spacing w:line="480" w:lineRule="auto"/>
        <w:rPr>
          <w:rFonts w:ascii="宋体"/>
          <w:szCs w:val="21"/>
        </w:rPr>
      </w:pPr>
      <w:r>
        <w:rPr>
          <w:rFonts w:ascii="宋体" w:hAnsi="宋体"/>
          <w:szCs w:val="21"/>
        </w:rPr>
        <w:t>2</w:t>
      </w:r>
      <w:r>
        <w:rPr>
          <w:rFonts w:ascii="宋体" w:hAnsi="宋体" w:hint="eastAsia"/>
          <w:szCs w:val="21"/>
        </w:rPr>
        <w:t>、腧穴</w:t>
      </w:r>
    </w:p>
    <w:p w:rsidR="003717A0" w:rsidRDefault="003717A0">
      <w:pPr>
        <w:tabs>
          <w:tab w:val="left" w:pos="7665"/>
        </w:tabs>
        <w:spacing w:line="480" w:lineRule="auto"/>
        <w:rPr>
          <w:rFonts w:ascii="宋体"/>
          <w:szCs w:val="21"/>
        </w:rPr>
      </w:pPr>
      <w:r>
        <w:rPr>
          <w:rFonts w:ascii="宋体" w:hAnsi="宋体"/>
          <w:szCs w:val="21"/>
        </w:rPr>
        <w:t>3</w:t>
      </w:r>
      <w:r>
        <w:rPr>
          <w:rFonts w:ascii="宋体" w:hAnsi="宋体" w:hint="eastAsia"/>
          <w:szCs w:val="21"/>
        </w:rPr>
        <w:t>、经气</w:t>
      </w:r>
      <w:r>
        <w:rPr>
          <w:rFonts w:ascii="宋体"/>
          <w:szCs w:val="21"/>
        </w:rPr>
        <w:tab/>
      </w:r>
    </w:p>
    <w:p w:rsidR="003717A0" w:rsidRDefault="003717A0">
      <w:pPr>
        <w:spacing w:line="480" w:lineRule="auto"/>
        <w:rPr>
          <w:rFonts w:ascii="宋体"/>
          <w:szCs w:val="21"/>
        </w:rPr>
      </w:pPr>
      <w:r>
        <w:rPr>
          <w:rFonts w:ascii="宋体" w:hAnsi="宋体"/>
          <w:szCs w:val="21"/>
        </w:rPr>
        <w:t>4</w:t>
      </w:r>
      <w:r>
        <w:rPr>
          <w:rFonts w:ascii="宋体" w:hAnsi="宋体" w:hint="eastAsia"/>
          <w:szCs w:val="21"/>
        </w:rPr>
        <w:t>、行针</w:t>
      </w:r>
    </w:p>
    <w:p w:rsidR="003717A0" w:rsidRDefault="003717A0">
      <w:pPr>
        <w:spacing w:line="480" w:lineRule="auto"/>
        <w:rPr>
          <w:rFonts w:ascii="宋体"/>
          <w:szCs w:val="21"/>
        </w:rPr>
      </w:pPr>
      <w:r>
        <w:rPr>
          <w:rFonts w:ascii="宋体" w:hAnsi="宋体"/>
          <w:szCs w:val="21"/>
        </w:rPr>
        <w:t>5</w:t>
      </w:r>
      <w:r>
        <w:rPr>
          <w:rFonts w:ascii="宋体" w:hAnsi="宋体" w:hint="eastAsia"/>
          <w:szCs w:val="21"/>
        </w:rPr>
        <w:t>、疼痛</w:t>
      </w:r>
    </w:p>
    <w:p w:rsidR="003717A0" w:rsidRDefault="003717A0">
      <w:pPr>
        <w:spacing w:line="360" w:lineRule="auto"/>
        <w:rPr>
          <w:rFonts w:ascii="宋体"/>
          <w:b/>
          <w:szCs w:val="21"/>
        </w:rPr>
      </w:pPr>
      <w:r>
        <w:rPr>
          <w:rFonts w:ascii="宋体" w:hAnsi="宋体" w:hint="eastAsia"/>
          <w:b/>
          <w:szCs w:val="21"/>
        </w:rPr>
        <w:t>二、填空题（</w:t>
      </w:r>
      <w:r>
        <w:rPr>
          <w:rFonts w:ascii="宋体"/>
          <w:b/>
          <w:szCs w:val="21"/>
        </w:rPr>
        <w:t>0</w:t>
      </w:r>
      <w:r>
        <w:rPr>
          <w:rFonts w:ascii="宋体" w:hAnsi="宋体" w:hint="eastAsia"/>
          <w:b/>
          <w:szCs w:val="21"/>
        </w:rPr>
        <w:t>．</w:t>
      </w:r>
      <w:r>
        <w:rPr>
          <w:rFonts w:ascii="宋体" w:hAnsi="宋体"/>
          <w:b/>
          <w:szCs w:val="21"/>
        </w:rPr>
        <w:t>5</w:t>
      </w:r>
      <w:r>
        <w:rPr>
          <w:rFonts w:ascii="宋体" w:hAnsi="宋体" w:hint="eastAsia"/>
          <w:b/>
          <w:szCs w:val="21"/>
        </w:rPr>
        <w:t>分×</w:t>
      </w:r>
      <w:r>
        <w:rPr>
          <w:rFonts w:ascii="宋体" w:hAnsi="宋体"/>
          <w:b/>
          <w:szCs w:val="21"/>
        </w:rPr>
        <w:t>60</w:t>
      </w:r>
      <w:r>
        <w:rPr>
          <w:rFonts w:ascii="宋体" w:hAnsi="宋体" w:hint="eastAsia"/>
          <w:b/>
          <w:szCs w:val="21"/>
        </w:rPr>
        <w:t>，共</w:t>
      </w:r>
      <w:r>
        <w:rPr>
          <w:rFonts w:ascii="宋体" w:hAnsi="宋体"/>
          <w:b/>
          <w:szCs w:val="21"/>
        </w:rPr>
        <w:t>30</w:t>
      </w:r>
      <w:r>
        <w:rPr>
          <w:rFonts w:ascii="宋体" w:hAnsi="宋体" w:hint="eastAsia"/>
          <w:b/>
          <w:szCs w:val="21"/>
        </w:rPr>
        <w:t>分）</w:t>
      </w:r>
    </w:p>
    <w:p w:rsidR="003717A0" w:rsidRDefault="003717A0">
      <w:pPr>
        <w:spacing w:line="300" w:lineRule="auto"/>
        <w:rPr>
          <w:rFonts w:ascii="宋体"/>
          <w:szCs w:val="21"/>
        </w:rPr>
      </w:pPr>
      <w:r>
        <w:rPr>
          <w:rFonts w:ascii="宋体" w:hAnsi="宋体"/>
          <w:szCs w:val="21"/>
        </w:rPr>
        <w:t>1</w:t>
      </w:r>
      <w:r>
        <w:rPr>
          <w:rFonts w:ascii="宋体" w:hAnsi="宋体" w:hint="eastAsia"/>
          <w:szCs w:val="21"/>
        </w:rPr>
        <w:t>、</w:t>
      </w:r>
      <w:r>
        <w:rPr>
          <w:rFonts w:ascii="??" w:hAnsi="??" w:hint="eastAsia"/>
        </w:rPr>
        <w:t>经络由经脉和络脉</w:t>
      </w:r>
      <w:r>
        <w:rPr>
          <w:rFonts w:ascii="宋体" w:hAnsi="宋体" w:hint="eastAsia"/>
          <w:szCs w:val="21"/>
        </w:rPr>
        <w:t>组成，络脉有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之分。</w:t>
      </w:r>
    </w:p>
    <w:p w:rsidR="003717A0" w:rsidRDefault="003717A0">
      <w:pPr>
        <w:spacing w:line="300" w:lineRule="auto"/>
        <w:rPr>
          <w:rFonts w:ascii="宋体"/>
          <w:szCs w:val="21"/>
        </w:rPr>
      </w:pPr>
      <w:r>
        <w:rPr>
          <w:rFonts w:ascii="宋体" w:hAnsi="宋体"/>
          <w:szCs w:val="21"/>
        </w:rPr>
        <w:t>2</w:t>
      </w:r>
      <w:r>
        <w:rPr>
          <w:rFonts w:ascii="宋体" w:hAnsi="宋体" w:hint="eastAsia"/>
          <w:szCs w:val="21"/>
        </w:rPr>
        <w:t>、人体腧穴大体上可归纳为</w:t>
      </w:r>
      <w:r>
        <w:rPr>
          <w:rFonts w:ascii="宋体" w:hAnsi="宋体"/>
          <w:szCs w:val="21"/>
        </w:rPr>
        <w:t>_______</w:t>
      </w:r>
      <w:r>
        <w:rPr>
          <w:rFonts w:ascii="宋体" w:hAnsi="宋体" w:hint="eastAsia"/>
          <w:szCs w:val="21"/>
        </w:rPr>
        <w:t>，</w:t>
      </w:r>
      <w:r>
        <w:rPr>
          <w:rFonts w:ascii="宋体" w:hAnsi="宋体"/>
          <w:szCs w:val="21"/>
        </w:rPr>
        <w:t>________</w:t>
      </w:r>
      <w:r>
        <w:rPr>
          <w:rFonts w:ascii="宋体" w:hAnsi="宋体" w:hint="eastAsia"/>
          <w:szCs w:val="21"/>
        </w:rPr>
        <w:t>，</w:t>
      </w:r>
      <w:r>
        <w:rPr>
          <w:rFonts w:ascii="宋体" w:hAnsi="宋体"/>
          <w:szCs w:val="21"/>
        </w:rPr>
        <w:t>________</w:t>
      </w:r>
      <w:r>
        <w:rPr>
          <w:rFonts w:ascii="宋体" w:hAnsi="宋体" w:hint="eastAsia"/>
          <w:szCs w:val="21"/>
        </w:rPr>
        <w:t>三类。</w:t>
      </w:r>
      <w:r>
        <w:rPr>
          <w:rFonts w:ascii="??" w:hAnsi="??"/>
          <w:sz w:val="24"/>
        </w:rPr>
        <w:br/>
      </w:r>
      <w:r>
        <w:rPr>
          <w:rFonts w:ascii="宋体" w:hAnsi="宋体"/>
          <w:szCs w:val="21"/>
        </w:rPr>
        <w:t>3</w:t>
      </w:r>
      <w:r>
        <w:rPr>
          <w:rFonts w:ascii="宋体" w:hAnsi="宋体" w:hint="eastAsia"/>
          <w:szCs w:val="21"/>
        </w:rPr>
        <w:t>、“四总穴”即</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的总称。</w:t>
      </w:r>
    </w:p>
    <w:p w:rsidR="003717A0" w:rsidRDefault="003717A0">
      <w:pPr>
        <w:spacing w:line="300" w:lineRule="auto"/>
        <w:rPr>
          <w:rFonts w:ascii="宋体"/>
          <w:szCs w:val="21"/>
        </w:rPr>
      </w:pPr>
      <w:r>
        <w:rPr>
          <w:rFonts w:ascii="宋体" w:hAnsi="宋体"/>
          <w:szCs w:val="21"/>
        </w:rPr>
        <w:t>4</w:t>
      </w:r>
      <w:r>
        <w:rPr>
          <w:rFonts w:ascii="宋体" w:hAnsi="宋体" w:hint="eastAsia"/>
          <w:szCs w:val="21"/>
        </w:rPr>
        <w:t>、腧穴的主治规律主要有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5</w:t>
      </w:r>
      <w:r>
        <w:rPr>
          <w:rFonts w:ascii="宋体" w:hAnsi="宋体" w:hint="eastAsia"/>
          <w:szCs w:val="21"/>
        </w:rPr>
        <w:t>、毫针常用双手进针方法有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lastRenderedPageBreak/>
        <w:t>6</w:t>
      </w:r>
      <w:r>
        <w:rPr>
          <w:rFonts w:ascii="宋体" w:hAnsi="宋体" w:hint="eastAsia"/>
          <w:szCs w:val="21"/>
        </w:rPr>
        <w:t>、临床常用的行针基本手法有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，辅助手法有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7</w:t>
      </w:r>
      <w:r>
        <w:rPr>
          <w:rFonts w:ascii="宋体" w:hAnsi="宋体" w:hint="eastAsia"/>
          <w:szCs w:val="21"/>
        </w:rPr>
        <w:t>、传统康复的原则</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8</w:t>
      </w:r>
      <w:r>
        <w:rPr>
          <w:rFonts w:ascii="宋体" w:hAnsi="宋体" w:hint="eastAsia"/>
          <w:szCs w:val="21"/>
        </w:rPr>
        <w:t>、远部选穴体现了</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的规律。</w:t>
      </w:r>
    </w:p>
    <w:p w:rsidR="003717A0" w:rsidRDefault="003717A0">
      <w:pPr>
        <w:spacing w:line="300" w:lineRule="auto"/>
        <w:rPr>
          <w:rFonts w:ascii="宋体"/>
          <w:szCs w:val="21"/>
        </w:rPr>
      </w:pPr>
      <w:r>
        <w:rPr>
          <w:rFonts w:ascii="宋体" w:hAnsi="宋体"/>
          <w:szCs w:val="21"/>
        </w:rPr>
        <w:t>9</w:t>
      </w:r>
      <w:r>
        <w:rPr>
          <w:rFonts w:ascii="宋体" w:hAnsi="宋体" w:hint="eastAsia"/>
          <w:szCs w:val="21"/>
        </w:rPr>
        <w:t>、八脉交会穴是</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rPr>
        <w:t xml:space="preserve"> </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10</w:t>
      </w:r>
      <w:r>
        <w:rPr>
          <w:rFonts w:ascii="宋体" w:hAnsi="宋体" w:hint="eastAsia"/>
          <w:szCs w:val="21"/>
        </w:rPr>
        <w:t>、耳穴，与腹腔相应的穴位多集中在</w:t>
      </w:r>
      <w:r>
        <w:rPr>
          <w:rFonts w:ascii="宋体" w:hAnsi="宋体"/>
          <w:szCs w:val="21"/>
          <w:u w:val="single"/>
        </w:rPr>
        <w:t xml:space="preserve">          </w:t>
      </w:r>
      <w:r>
        <w:rPr>
          <w:rFonts w:ascii="宋体" w:hAnsi="宋体" w:hint="eastAsia"/>
          <w:szCs w:val="21"/>
        </w:rPr>
        <w:t>，与胸腔相应的穴位多分布在</w:t>
      </w:r>
      <w:r>
        <w:rPr>
          <w:rFonts w:ascii="宋体" w:hAnsi="宋体"/>
          <w:szCs w:val="21"/>
          <w:u w:val="single"/>
        </w:rPr>
        <w:t xml:space="preserve">         </w:t>
      </w:r>
      <w:r>
        <w:rPr>
          <w:rFonts w:ascii="宋体"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宋体" w:hAnsi="宋体"/>
          <w:szCs w:val="21"/>
        </w:rPr>
        <w:t>11</w:t>
      </w:r>
      <w:r>
        <w:rPr>
          <w:rFonts w:ascii="宋体" w:hAnsi="宋体" w:hint="eastAsia"/>
          <w:szCs w:val="21"/>
        </w:rPr>
        <w:t>、悬起灸可分为</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12</w:t>
      </w:r>
      <w:r>
        <w:rPr>
          <w:rFonts w:ascii="宋体" w:hAnsi="宋体" w:hint="eastAsia"/>
          <w:szCs w:val="21"/>
        </w:rPr>
        <w:t>、传统康复方法的理论基础</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p>
    <w:p w:rsidR="003717A0" w:rsidRDefault="003717A0">
      <w:pPr>
        <w:spacing w:line="300" w:lineRule="auto"/>
        <w:rPr>
          <w:rFonts w:ascii="宋体"/>
          <w:szCs w:val="21"/>
        </w:rPr>
      </w:pP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13</w:t>
      </w:r>
      <w:r>
        <w:rPr>
          <w:rFonts w:ascii="宋体" w:hAnsi="宋体" w:hint="eastAsia"/>
          <w:szCs w:val="21"/>
        </w:rPr>
        <w:t>、拔罐时，常用的火吸法有</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14</w:t>
      </w:r>
      <w:r>
        <w:rPr>
          <w:rFonts w:ascii="宋体" w:hAnsi="宋体" w:hint="eastAsia"/>
          <w:szCs w:val="21"/>
        </w:rPr>
        <w:t>、传统康复方法的特色和优势</w:t>
      </w:r>
      <w:r>
        <w:rPr>
          <w:rFonts w:ascii="宋体" w:hAnsi="宋体"/>
          <w:szCs w:val="21"/>
        </w:rPr>
        <w:t xml:space="preserve"> </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u w:val="single"/>
        </w:rPr>
        <w:t xml:space="preserve">                  </w:t>
      </w:r>
      <w:r>
        <w:rPr>
          <w:rFonts w:ascii="宋体" w:hAnsi="宋体" w:hint="eastAsia"/>
          <w:szCs w:val="21"/>
        </w:rPr>
        <w:t>、</w:t>
      </w:r>
      <w:r>
        <w:rPr>
          <w:rFonts w:ascii="宋体" w:hAnsi="宋体"/>
          <w:szCs w:val="21"/>
        </w:rPr>
        <w:t xml:space="preserve"> </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00" w:lineRule="auto"/>
        <w:rPr>
          <w:rFonts w:ascii="宋体"/>
          <w:szCs w:val="21"/>
        </w:rPr>
      </w:pPr>
      <w:r>
        <w:rPr>
          <w:rFonts w:ascii="宋体"/>
          <w:kern w:val="0"/>
          <w:szCs w:val="21"/>
        </w:rPr>
        <w:t>15</w:t>
      </w:r>
      <w:r>
        <w:rPr>
          <w:rFonts w:ascii="宋体" w:hint="eastAsia"/>
          <w:kern w:val="0"/>
          <w:szCs w:val="21"/>
          <w:lang w:val="zh-CN"/>
        </w:rPr>
        <w:t>刺灸法的选择包括</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60" w:lineRule="auto"/>
        <w:rPr>
          <w:rFonts w:ascii="宋体"/>
          <w:b/>
          <w:szCs w:val="21"/>
        </w:rPr>
      </w:pPr>
      <w:r>
        <w:rPr>
          <w:rFonts w:ascii="宋体" w:hAnsi="宋体" w:hint="eastAsia"/>
          <w:b/>
          <w:szCs w:val="21"/>
        </w:rPr>
        <w:t>三、单项选择题（</w:t>
      </w:r>
      <w:r>
        <w:rPr>
          <w:rFonts w:ascii="宋体" w:hAnsi="宋体"/>
          <w:b/>
          <w:szCs w:val="21"/>
        </w:rPr>
        <w:t>1</w:t>
      </w:r>
      <w:r>
        <w:rPr>
          <w:rFonts w:ascii="宋体" w:hAnsi="宋体" w:hint="eastAsia"/>
          <w:b/>
          <w:szCs w:val="21"/>
        </w:rPr>
        <w:t>分×</w:t>
      </w:r>
      <w:r>
        <w:rPr>
          <w:rFonts w:ascii="宋体" w:hAnsi="宋体"/>
          <w:b/>
          <w:szCs w:val="21"/>
        </w:rPr>
        <w:t>30</w:t>
      </w:r>
      <w:r>
        <w:rPr>
          <w:rFonts w:ascii="宋体" w:hAnsi="宋体" w:hint="eastAsia"/>
          <w:b/>
          <w:szCs w:val="21"/>
        </w:rPr>
        <w:t>，共</w:t>
      </w:r>
      <w:r>
        <w:rPr>
          <w:rFonts w:ascii="宋体" w:hAnsi="宋体"/>
          <w:b/>
          <w:szCs w:val="21"/>
        </w:rPr>
        <w:t>30</w:t>
      </w:r>
      <w:r>
        <w:rPr>
          <w:rFonts w:ascii="宋体" w:hAnsi="宋体" w:hint="eastAsia"/>
          <w:b/>
          <w:szCs w:val="21"/>
        </w:rPr>
        <w:t>分）</w:t>
      </w:r>
    </w:p>
    <w:p w:rsidR="003717A0" w:rsidRDefault="003717A0">
      <w:pPr>
        <w:spacing w:line="300" w:lineRule="auto"/>
        <w:ind w:left="420" w:hangingChars="200" w:hanging="420"/>
        <w:rPr>
          <w:rFonts w:ascii="宋体"/>
          <w:szCs w:val="21"/>
        </w:rPr>
      </w:pPr>
      <w:r>
        <w:rPr>
          <w:rFonts w:ascii="宋体" w:hAnsi="宋体"/>
          <w:szCs w:val="21"/>
        </w:rPr>
        <w:t>1</w:t>
      </w:r>
      <w:r>
        <w:rPr>
          <w:rFonts w:ascii="宋体" w:hAnsi="宋体" w:hint="eastAsia"/>
          <w:szCs w:val="21"/>
        </w:rPr>
        <w:t>、两穴之间距离是</w:t>
      </w:r>
      <w:r>
        <w:rPr>
          <w:rFonts w:ascii="宋体" w:hAnsi="宋体"/>
          <w:szCs w:val="21"/>
        </w:rPr>
        <w:t>8</w:t>
      </w:r>
      <w:r>
        <w:rPr>
          <w:rFonts w:ascii="宋体" w:hAnsi="宋体" w:hint="eastAsia"/>
          <w:szCs w:val="21"/>
        </w:rPr>
        <w:t>寸的穴位是：</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hint="eastAsia"/>
          <w:szCs w:val="21"/>
        </w:rPr>
        <w:t>）</w:t>
      </w:r>
      <w:r>
        <w:rPr>
          <w:sz w:val="28"/>
          <w:szCs w:val="28"/>
        </w:rPr>
        <w:br/>
      </w:r>
      <w:r>
        <w:rPr>
          <w:rFonts w:ascii="宋体" w:hAnsi="宋体"/>
          <w:szCs w:val="21"/>
        </w:rPr>
        <w:t>A.</w:t>
      </w:r>
      <w:r>
        <w:rPr>
          <w:rFonts w:ascii="宋体" w:hAnsi="宋体" w:hint="eastAsia"/>
          <w:szCs w:val="21"/>
        </w:rPr>
        <w:t>太渊至孔最</w:t>
      </w:r>
      <w:r>
        <w:rPr>
          <w:rFonts w:ascii="宋体"/>
          <w:szCs w:val="21"/>
        </w:rPr>
        <w:t> </w:t>
      </w:r>
      <w:r>
        <w:rPr>
          <w:rFonts w:ascii="宋体" w:hAnsi="宋体"/>
          <w:szCs w:val="21"/>
        </w:rPr>
        <w:t xml:space="preserve"> B.</w:t>
      </w:r>
      <w:r>
        <w:rPr>
          <w:rFonts w:ascii="宋体" w:hAnsi="宋体" w:hint="eastAsia"/>
          <w:szCs w:val="21"/>
        </w:rPr>
        <w:t>偏历至曲池</w:t>
      </w:r>
      <w:r>
        <w:rPr>
          <w:rFonts w:ascii="宋体" w:hAnsi="宋体"/>
          <w:szCs w:val="21"/>
        </w:rPr>
        <w:t xml:space="preserve"> C.</w:t>
      </w:r>
      <w:r>
        <w:rPr>
          <w:rFonts w:ascii="宋体" w:hAnsi="宋体" w:hint="eastAsia"/>
          <w:szCs w:val="21"/>
        </w:rPr>
        <w:t>足三里至丰隆</w:t>
      </w:r>
      <w:r>
        <w:rPr>
          <w:rFonts w:ascii="宋体"/>
          <w:szCs w:val="21"/>
        </w:rPr>
        <w:t> </w:t>
      </w:r>
      <w:r>
        <w:rPr>
          <w:rFonts w:ascii="宋体" w:hAnsi="宋体"/>
          <w:szCs w:val="21"/>
        </w:rPr>
        <w:t xml:space="preserve"> D.</w:t>
      </w:r>
      <w:r>
        <w:rPr>
          <w:rFonts w:ascii="宋体" w:hAnsi="宋体" w:hint="eastAsia"/>
          <w:szCs w:val="21"/>
        </w:rPr>
        <w:t>三阴交至阴陵泉</w:t>
      </w:r>
      <w:r>
        <w:rPr>
          <w:rFonts w:ascii="宋体" w:hAnsi="宋体"/>
          <w:szCs w:val="21"/>
        </w:rPr>
        <w:t xml:space="preserve"> </w:t>
      </w:r>
      <w:r>
        <w:rPr>
          <w:rFonts w:ascii="宋体" w:hAnsi="宋体" w:hint="eastAsia"/>
          <w:szCs w:val="21"/>
        </w:rPr>
        <w:t xml:space="preserve">　</w:t>
      </w:r>
      <w:r>
        <w:rPr>
          <w:rFonts w:ascii="宋体" w:hAnsi="宋体"/>
          <w:szCs w:val="21"/>
        </w:rPr>
        <w:t>E.</w:t>
      </w:r>
      <w:r>
        <w:rPr>
          <w:rFonts w:ascii="宋体" w:hAnsi="宋体" w:hint="eastAsia"/>
          <w:szCs w:val="21"/>
        </w:rPr>
        <w:t>中极至中脘</w:t>
      </w:r>
    </w:p>
    <w:p w:rsidR="003717A0" w:rsidRDefault="003717A0">
      <w:pPr>
        <w:spacing w:line="300" w:lineRule="auto"/>
        <w:rPr>
          <w:rFonts w:ascii="宋体"/>
          <w:szCs w:val="21"/>
        </w:rPr>
      </w:pPr>
      <w:r>
        <w:rPr>
          <w:rFonts w:ascii="宋体" w:hAnsi="宋体"/>
          <w:szCs w:val="21"/>
        </w:rPr>
        <w:t>2</w:t>
      </w:r>
      <w:r>
        <w:rPr>
          <w:rFonts w:ascii="宋体" w:hAnsi="宋体" w:hint="eastAsia"/>
          <w:szCs w:val="21"/>
        </w:rPr>
        <w:t>、下列经脉排列中没有按照十二经脉循行流注次序的是：（</w:t>
      </w:r>
      <w:r>
        <w:rPr>
          <w:rFonts w:ascii="宋体" w:hAnsi="宋体"/>
          <w:szCs w:val="21"/>
        </w:rPr>
        <w:t xml:space="preserve">  </w:t>
      </w:r>
      <w:r>
        <w:rPr>
          <w:rFonts w:ascii="宋体" w:hAnsi="宋体" w:hint="eastAsia"/>
          <w:szCs w:val="21"/>
        </w:rPr>
        <w:t>）</w:t>
      </w:r>
    </w:p>
    <w:p w:rsidR="003717A0" w:rsidRDefault="003717A0">
      <w:pPr>
        <w:spacing w:line="300" w:lineRule="auto"/>
        <w:rPr>
          <w:rFonts w:ascii="宋体"/>
          <w:szCs w:val="21"/>
        </w:rPr>
      </w:pPr>
      <w:r>
        <w:rPr>
          <w:rFonts w:ascii="宋体" w:hAnsi="宋体"/>
          <w:szCs w:val="21"/>
        </w:rPr>
        <w:t xml:space="preserve">    A</w:t>
      </w:r>
      <w:r>
        <w:rPr>
          <w:rFonts w:ascii="宋体" w:hAnsi="宋体" w:hint="eastAsia"/>
          <w:szCs w:val="21"/>
        </w:rPr>
        <w:t>．胆、肝、肺经</w:t>
      </w:r>
      <w:r>
        <w:rPr>
          <w:rFonts w:ascii="宋体" w:hAnsi="宋体"/>
          <w:szCs w:val="21"/>
        </w:rPr>
        <w:t xml:space="preserve">    B</w:t>
      </w:r>
      <w:r>
        <w:rPr>
          <w:rFonts w:ascii="宋体" w:hAnsi="宋体" w:hint="eastAsia"/>
          <w:szCs w:val="21"/>
        </w:rPr>
        <w:t>．大肠、胃、脾经</w:t>
      </w:r>
      <w:r>
        <w:rPr>
          <w:rFonts w:ascii="宋体" w:hAnsi="宋体"/>
          <w:szCs w:val="21"/>
        </w:rPr>
        <w:t xml:space="preserve">    C</w:t>
      </w:r>
      <w:r>
        <w:rPr>
          <w:rFonts w:ascii="宋体" w:hAnsi="宋体" w:hint="eastAsia"/>
          <w:szCs w:val="21"/>
        </w:rPr>
        <w:t>．心、小肠、肾经</w:t>
      </w:r>
    </w:p>
    <w:p w:rsidR="003717A0" w:rsidRDefault="003717A0">
      <w:pPr>
        <w:spacing w:line="300" w:lineRule="auto"/>
        <w:rPr>
          <w:rFonts w:ascii="宋体"/>
          <w:szCs w:val="21"/>
        </w:rPr>
      </w:pPr>
      <w:r>
        <w:rPr>
          <w:rFonts w:ascii="宋体" w:hAnsi="宋体"/>
          <w:szCs w:val="21"/>
        </w:rPr>
        <w:t xml:space="preserve">    D</w:t>
      </w:r>
      <w:r>
        <w:rPr>
          <w:rFonts w:ascii="宋体" w:hAnsi="宋体" w:hint="eastAsia"/>
          <w:szCs w:val="21"/>
        </w:rPr>
        <w:t>．肾、心包、三焦经</w:t>
      </w:r>
      <w:r>
        <w:rPr>
          <w:rFonts w:ascii="宋体" w:hAnsi="宋体"/>
          <w:szCs w:val="21"/>
        </w:rPr>
        <w:t xml:space="preserve">  E</w:t>
      </w:r>
      <w:r>
        <w:rPr>
          <w:rFonts w:ascii="宋体" w:hAnsi="宋体" w:hint="eastAsia"/>
          <w:szCs w:val="21"/>
        </w:rPr>
        <w:t>．三焦、胆、肝经</w:t>
      </w:r>
    </w:p>
    <w:p w:rsidR="003717A0" w:rsidRDefault="003717A0">
      <w:pPr>
        <w:spacing w:line="300" w:lineRule="auto"/>
        <w:ind w:left="420" w:hangingChars="200" w:hanging="420"/>
        <w:rPr>
          <w:rFonts w:ascii="宋体"/>
          <w:szCs w:val="21"/>
        </w:rPr>
      </w:pPr>
      <w:r>
        <w:rPr>
          <w:rFonts w:ascii="宋体" w:hAnsi="宋体"/>
          <w:szCs w:val="21"/>
        </w:rPr>
        <w:t>3</w:t>
      </w:r>
      <w:r>
        <w:rPr>
          <w:rFonts w:ascii="宋体" w:hAnsi="宋体" w:hint="eastAsia"/>
          <w:szCs w:val="21"/>
        </w:rPr>
        <w:t>、股骨大转子至腘横纹是：（</w:t>
      </w:r>
      <w:r>
        <w:rPr>
          <w:rFonts w:ascii="宋体"/>
          <w:szCs w:val="21"/>
        </w:rPr>
        <w:t>   </w:t>
      </w:r>
      <w:r>
        <w:rPr>
          <w:rFonts w:ascii="宋体" w:hAnsi="宋体"/>
          <w:szCs w:val="21"/>
        </w:rPr>
        <w:t xml:space="preserve"> </w:t>
      </w:r>
      <w:r>
        <w:rPr>
          <w:rFonts w:ascii="宋体" w:hAnsi="宋体" w:hint="eastAsia"/>
          <w:szCs w:val="21"/>
        </w:rPr>
        <w:t>）</w:t>
      </w:r>
      <w:r>
        <w:rPr>
          <w:rFonts w:ascii="宋体" w:cs="宋体"/>
          <w:kern w:val="0"/>
          <w:sz w:val="28"/>
          <w:szCs w:val="28"/>
        </w:rPr>
        <w:br/>
      </w:r>
      <w:r>
        <w:rPr>
          <w:rFonts w:ascii="宋体" w:hAnsi="宋体"/>
          <w:szCs w:val="21"/>
        </w:rPr>
        <w:t>A. 13</w:t>
      </w:r>
      <w:r>
        <w:rPr>
          <w:rFonts w:ascii="宋体" w:hAnsi="宋体" w:hint="eastAsia"/>
          <w:szCs w:val="21"/>
        </w:rPr>
        <w:t>寸</w:t>
      </w:r>
      <w:r>
        <w:rPr>
          <w:rFonts w:ascii="宋体"/>
          <w:szCs w:val="21"/>
        </w:rPr>
        <w:t> </w:t>
      </w:r>
      <w:r>
        <w:rPr>
          <w:rFonts w:ascii="宋体" w:hAnsi="宋体"/>
          <w:szCs w:val="21"/>
        </w:rPr>
        <w:t xml:space="preserve"> B.14</w:t>
      </w:r>
      <w:r>
        <w:rPr>
          <w:rFonts w:ascii="宋体" w:hAnsi="宋体" w:hint="eastAsia"/>
          <w:szCs w:val="21"/>
        </w:rPr>
        <w:t>寸</w:t>
      </w:r>
      <w:r>
        <w:rPr>
          <w:rFonts w:ascii="宋体"/>
          <w:szCs w:val="21"/>
        </w:rPr>
        <w:t> </w:t>
      </w:r>
      <w:r>
        <w:rPr>
          <w:rFonts w:ascii="宋体" w:hAnsi="宋体"/>
          <w:szCs w:val="21"/>
        </w:rPr>
        <w:t xml:space="preserve"> C.16</w:t>
      </w:r>
      <w:r>
        <w:rPr>
          <w:rFonts w:ascii="宋体" w:hAnsi="宋体" w:hint="eastAsia"/>
          <w:szCs w:val="21"/>
        </w:rPr>
        <w:t>寸</w:t>
      </w:r>
      <w:r>
        <w:rPr>
          <w:rFonts w:ascii="宋体"/>
          <w:szCs w:val="21"/>
        </w:rPr>
        <w:t> </w:t>
      </w:r>
      <w:r>
        <w:rPr>
          <w:rFonts w:ascii="宋体" w:hAnsi="宋体"/>
          <w:szCs w:val="21"/>
        </w:rPr>
        <w:t xml:space="preserve"> D.18</w:t>
      </w:r>
      <w:r>
        <w:rPr>
          <w:rFonts w:ascii="宋体" w:hAnsi="宋体" w:hint="eastAsia"/>
          <w:szCs w:val="21"/>
        </w:rPr>
        <w:t>寸</w:t>
      </w:r>
      <w:r>
        <w:rPr>
          <w:rFonts w:ascii="宋体"/>
          <w:szCs w:val="21"/>
        </w:rPr>
        <w:t> </w:t>
      </w:r>
      <w:r>
        <w:rPr>
          <w:rFonts w:ascii="宋体" w:hAnsi="宋体"/>
          <w:szCs w:val="21"/>
        </w:rPr>
        <w:t xml:space="preserve"> E.19</w:t>
      </w:r>
      <w:r>
        <w:rPr>
          <w:rFonts w:ascii="宋体" w:hAnsi="宋体" w:hint="eastAsia"/>
          <w:szCs w:val="21"/>
        </w:rPr>
        <w:t>寸</w:t>
      </w:r>
    </w:p>
    <w:p w:rsidR="003717A0" w:rsidRDefault="003717A0">
      <w:pPr>
        <w:spacing w:line="300" w:lineRule="auto"/>
        <w:rPr>
          <w:rFonts w:ascii="宋体"/>
          <w:szCs w:val="21"/>
        </w:rPr>
      </w:pPr>
      <w:r>
        <w:rPr>
          <w:rFonts w:ascii="宋体" w:hAnsi="宋体"/>
          <w:szCs w:val="21"/>
        </w:rPr>
        <w:t>4</w:t>
      </w:r>
      <w:r>
        <w:rPr>
          <w:rFonts w:ascii="宋体" w:hAnsi="宋体" w:hint="eastAsia"/>
          <w:szCs w:val="21"/>
        </w:rPr>
        <w:t>、奇经八脉与十二正经不同之处，下述哪一项是错误的？（</w:t>
      </w:r>
      <w:r>
        <w:rPr>
          <w:rFonts w:ascii="宋体" w:hAnsi="宋体"/>
          <w:szCs w:val="21"/>
        </w:rPr>
        <w:t xml:space="preserve">  </w:t>
      </w:r>
      <w:r>
        <w:rPr>
          <w:rFonts w:ascii="宋体" w:hAnsi="宋体" w:hint="eastAsia"/>
          <w:szCs w:val="21"/>
        </w:rPr>
        <w:t>）</w:t>
      </w:r>
    </w:p>
    <w:p w:rsidR="003717A0" w:rsidRDefault="003717A0">
      <w:pPr>
        <w:spacing w:line="300" w:lineRule="auto"/>
        <w:jc w:val="left"/>
        <w:rPr>
          <w:rFonts w:ascii="宋体"/>
          <w:szCs w:val="21"/>
        </w:rPr>
      </w:pPr>
      <w:r>
        <w:rPr>
          <w:rFonts w:ascii="宋体" w:hAnsi="宋体"/>
          <w:szCs w:val="21"/>
        </w:rPr>
        <w:t xml:space="preserve">    A</w:t>
      </w:r>
      <w:r>
        <w:rPr>
          <w:rFonts w:ascii="宋体" w:hAnsi="宋体" w:hint="eastAsia"/>
          <w:szCs w:val="21"/>
        </w:rPr>
        <w:t>．没有十二正经那样的循环流注关系</w:t>
      </w:r>
      <w:r>
        <w:rPr>
          <w:rFonts w:ascii="宋体" w:hAnsi="宋体"/>
          <w:szCs w:val="21"/>
        </w:rPr>
        <w:t xml:space="preserve">   B</w:t>
      </w:r>
      <w:r>
        <w:rPr>
          <w:rFonts w:ascii="宋体" w:hAnsi="宋体" w:hint="eastAsia"/>
          <w:szCs w:val="21"/>
        </w:rPr>
        <w:t>．没有专属的腧穴</w:t>
      </w:r>
      <w:r>
        <w:rPr>
          <w:rFonts w:ascii="宋体" w:hAnsi="宋体"/>
          <w:szCs w:val="21"/>
        </w:rPr>
        <w:t xml:space="preserve">   C</w:t>
      </w:r>
      <w:r>
        <w:rPr>
          <w:rFonts w:ascii="宋体" w:hAnsi="宋体" w:hint="eastAsia"/>
          <w:szCs w:val="21"/>
        </w:rPr>
        <w:t>．无表里配合</w:t>
      </w:r>
      <w:r>
        <w:rPr>
          <w:rFonts w:ascii="宋体" w:hAnsi="宋体"/>
          <w:szCs w:val="21"/>
        </w:rPr>
        <w:t xml:space="preserve">   </w:t>
      </w:r>
    </w:p>
    <w:p w:rsidR="003717A0" w:rsidRDefault="003717A0">
      <w:pPr>
        <w:spacing w:line="300" w:lineRule="auto"/>
        <w:jc w:val="left"/>
        <w:rPr>
          <w:rFonts w:ascii="宋体"/>
          <w:szCs w:val="21"/>
        </w:rPr>
      </w:pPr>
      <w:r>
        <w:rPr>
          <w:rFonts w:ascii="宋体" w:hAnsi="宋体"/>
          <w:szCs w:val="21"/>
        </w:rPr>
        <w:t xml:space="preserve">    D</w:t>
      </w:r>
      <w:r>
        <w:rPr>
          <w:rFonts w:ascii="宋体" w:hAnsi="宋体" w:hint="eastAsia"/>
          <w:szCs w:val="21"/>
        </w:rPr>
        <w:t>．其走向除带脉横行外，都是自下而上运行</w:t>
      </w:r>
      <w:r>
        <w:rPr>
          <w:rFonts w:ascii="宋体" w:hAnsi="宋体"/>
          <w:szCs w:val="21"/>
        </w:rPr>
        <w:t xml:space="preserve">  E</w:t>
      </w:r>
      <w:r>
        <w:rPr>
          <w:rFonts w:ascii="宋体" w:hAnsi="宋体" w:hint="eastAsia"/>
          <w:szCs w:val="21"/>
        </w:rPr>
        <w:t>．不直属脏腑</w:t>
      </w:r>
    </w:p>
    <w:p w:rsidR="003717A0" w:rsidRDefault="003717A0">
      <w:pPr>
        <w:spacing w:line="300" w:lineRule="auto"/>
        <w:rPr>
          <w:rFonts w:ascii="宋体"/>
          <w:szCs w:val="21"/>
        </w:rPr>
      </w:pPr>
      <w:r>
        <w:rPr>
          <w:rFonts w:ascii="宋体" w:hAnsi="宋体"/>
          <w:szCs w:val="21"/>
        </w:rPr>
        <w:t>5</w:t>
      </w:r>
      <w:r>
        <w:rPr>
          <w:rFonts w:ascii="宋体" w:hAnsi="宋体" w:hint="eastAsia"/>
          <w:szCs w:val="21"/>
        </w:rPr>
        <w:t>、治疗无脉症的腧穴是：（</w:t>
      </w:r>
      <w:r>
        <w:rPr>
          <w:rFonts w:ascii="宋体" w:hAnsi="宋体"/>
          <w:szCs w:val="21"/>
        </w:rPr>
        <w:t xml:space="preserve">   </w:t>
      </w:r>
      <w:r>
        <w:rPr>
          <w:rFonts w:ascii="宋体" w:hAnsi="宋体" w:hint="eastAsia"/>
          <w:szCs w:val="21"/>
        </w:rPr>
        <w:t>）</w:t>
      </w:r>
    </w:p>
    <w:p w:rsidR="003717A0" w:rsidRDefault="003717A0">
      <w:pPr>
        <w:spacing w:line="300" w:lineRule="auto"/>
        <w:ind w:firstLineChars="200" w:firstLine="420"/>
        <w:rPr>
          <w:rFonts w:ascii="宋体"/>
          <w:szCs w:val="21"/>
        </w:rPr>
      </w:pPr>
      <w:r>
        <w:rPr>
          <w:rFonts w:ascii="宋体" w:hAnsi="宋体"/>
          <w:szCs w:val="21"/>
        </w:rPr>
        <w:t xml:space="preserve">A. </w:t>
      </w:r>
      <w:r>
        <w:rPr>
          <w:rFonts w:ascii="宋体" w:hAnsi="宋体" w:hint="eastAsia"/>
          <w:szCs w:val="21"/>
        </w:rPr>
        <w:t>尺泽</w:t>
      </w:r>
      <w:r>
        <w:rPr>
          <w:rFonts w:ascii="宋体" w:hAnsi="宋体"/>
          <w:szCs w:val="21"/>
        </w:rPr>
        <w:t xml:space="preserve">  B.</w:t>
      </w:r>
      <w:r>
        <w:rPr>
          <w:rFonts w:ascii="宋体" w:hAnsi="宋体" w:hint="eastAsia"/>
          <w:szCs w:val="21"/>
        </w:rPr>
        <w:t>孔最</w:t>
      </w:r>
      <w:r>
        <w:rPr>
          <w:rFonts w:ascii="宋体" w:hAnsi="宋体"/>
          <w:szCs w:val="21"/>
        </w:rPr>
        <w:t xml:space="preserve">  C.</w:t>
      </w:r>
      <w:r>
        <w:rPr>
          <w:rFonts w:ascii="宋体" w:hAnsi="宋体" w:hint="eastAsia"/>
          <w:szCs w:val="21"/>
        </w:rPr>
        <w:t>列缺</w:t>
      </w:r>
      <w:r>
        <w:rPr>
          <w:rFonts w:ascii="宋体" w:hAnsi="宋体"/>
          <w:szCs w:val="21"/>
        </w:rPr>
        <w:t xml:space="preserve">  D.</w:t>
      </w:r>
      <w:r>
        <w:rPr>
          <w:rFonts w:ascii="宋体" w:hAnsi="宋体" w:hint="eastAsia"/>
          <w:szCs w:val="21"/>
        </w:rPr>
        <w:t>太渊</w:t>
      </w:r>
      <w:r>
        <w:rPr>
          <w:rFonts w:ascii="宋体" w:hAnsi="宋体"/>
          <w:szCs w:val="21"/>
        </w:rPr>
        <w:t xml:space="preserve">  E.</w:t>
      </w:r>
      <w:r>
        <w:rPr>
          <w:rFonts w:ascii="宋体" w:hAnsi="宋体" w:hint="eastAsia"/>
          <w:szCs w:val="21"/>
        </w:rPr>
        <w:t>太冲</w:t>
      </w:r>
    </w:p>
    <w:p w:rsidR="003717A0" w:rsidRDefault="003717A0">
      <w:pPr>
        <w:spacing w:line="300" w:lineRule="auto"/>
        <w:rPr>
          <w:rFonts w:ascii="宋体"/>
          <w:szCs w:val="21"/>
        </w:rPr>
      </w:pPr>
      <w:r>
        <w:rPr>
          <w:rFonts w:ascii="宋体" w:hAnsi="宋体"/>
          <w:szCs w:val="21"/>
        </w:rPr>
        <w:t>6</w:t>
      </w:r>
      <w:r>
        <w:rPr>
          <w:rFonts w:ascii="宋体" w:hAnsi="宋体" w:hint="eastAsia"/>
          <w:szCs w:val="21"/>
        </w:rPr>
        <w:t>、</w:t>
      </w:r>
      <w:r>
        <w:rPr>
          <w:rFonts w:ascii="宋体" w:hAnsi="宋体"/>
          <w:szCs w:val="21"/>
        </w:rPr>
        <w:t xml:space="preserve"> </w:t>
      </w:r>
      <w:r>
        <w:rPr>
          <w:rFonts w:ascii="宋体" w:hAnsi="宋体" w:hint="eastAsia"/>
          <w:szCs w:val="21"/>
        </w:rPr>
        <w:t>头皮针刺激标准头穴线共有：（</w:t>
      </w:r>
      <w:r>
        <w:rPr>
          <w:rFonts w:ascii="宋体" w:hAnsi="宋体"/>
          <w:szCs w:val="21"/>
        </w:rPr>
        <w:t xml:space="preserve">  </w:t>
      </w:r>
      <w:r>
        <w:rPr>
          <w:rFonts w:ascii="宋体" w:hAnsi="宋体" w:hint="eastAsia"/>
          <w:szCs w:val="21"/>
        </w:rPr>
        <w:t>）条</w:t>
      </w:r>
    </w:p>
    <w:p w:rsidR="003717A0" w:rsidRDefault="003717A0">
      <w:pPr>
        <w:spacing w:line="300" w:lineRule="auto"/>
        <w:ind w:firstLineChars="200" w:firstLine="420"/>
        <w:rPr>
          <w:rFonts w:ascii="宋体"/>
          <w:szCs w:val="21"/>
        </w:rPr>
      </w:pPr>
      <w:r>
        <w:rPr>
          <w:rFonts w:ascii="宋体" w:hAnsi="宋体"/>
          <w:szCs w:val="21"/>
        </w:rPr>
        <w:t>A. 4  B.14  C.15  D.16  E.20</w:t>
      </w:r>
    </w:p>
    <w:p w:rsidR="003717A0" w:rsidRDefault="003717A0">
      <w:pPr>
        <w:spacing w:line="300" w:lineRule="auto"/>
        <w:rPr>
          <w:rFonts w:ascii="宋体"/>
          <w:szCs w:val="21"/>
        </w:rPr>
      </w:pPr>
      <w:r>
        <w:rPr>
          <w:rFonts w:ascii="宋体" w:hAnsi="宋体"/>
          <w:szCs w:val="21"/>
        </w:rPr>
        <w:t>7</w:t>
      </w:r>
      <w:r>
        <w:rPr>
          <w:rFonts w:ascii="宋体" w:hAnsi="宋体" w:hint="eastAsia"/>
          <w:szCs w:val="21"/>
        </w:rPr>
        <w:t>、</w:t>
      </w:r>
      <w:r>
        <w:rPr>
          <w:rFonts w:ascii="宋体" w:hAnsi="宋体"/>
          <w:szCs w:val="21"/>
        </w:rPr>
        <w:t xml:space="preserve"> </w:t>
      </w:r>
      <w:r>
        <w:rPr>
          <w:rFonts w:ascii="宋体" w:hAnsi="宋体" w:hint="eastAsia"/>
          <w:szCs w:val="21"/>
        </w:rPr>
        <w:t>只灸不针的穴位是：（</w:t>
      </w:r>
      <w:r>
        <w:rPr>
          <w:rFonts w:ascii="宋体" w:hAnsi="宋体"/>
          <w:szCs w:val="21"/>
        </w:rPr>
        <w:t xml:space="preserve">  </w:t>
      </w:r>
      <w:r>
        <w:rPr>
          <w:rFonts w:ascii="宋体" w:hAnsi="宋体" w:hint="eastAsia"/>
          <w:szCs w:val="21"/>
        </w:rPr>
        <w:t>）</w:t>
      </w:r>
    </w:p>
    <w:p w:rsidR="003717A0" w:rsidRDefault="003717A0">
      <w:pPr>
        <w:spacing w:line="300" w:lineRule="auto"/>
        <w:ind w:firstLineChars="200" w:firstLine="420"/>
        <w:rPr>
          <w:rFonts w:ascii="宋体"/>
          <w:szCs w:val="21"/>
        </w:rPr>
      </w:pPr>
      <w:r>
        <w:rPr>
          <w:rFonts w:ascii="宋体" w:hAnsi="宋体"/>
          <w:szCs w:val="21"/>
        </w:rPr>
        <w:t xml:space="preserve">A. </w:t>
      </w:r>
      <w:r>
        <w:rPr>
          <w:rFonts w:ascii="宋体" w:hAnsi="宋体" w:hint="eastAsia"/>
          <w:szCs w:val="21"/>
        </w:rPr>
        <w:t>尺泽</w:t>
      </w:r>
      <w:r>
        <w:rPr>
          <w:rFonts w:ascii="宋体" w:hAnsi="宋体"/>
          <w:szCs w:val="21"/>
        </w:rPr>
        <w:t xml:space="preserve">   B.</w:t>
      </w:r>
      <w:r>
        <w:rPr>
          <w:rFonts w:ascii="宋体" w:hAnsi="宋体" w:hint="eastAsia"/>
          <w:szCs w:val="21"/>
        </w:rPr>
        <w:t>涌泉</w:t>
      </w:r>
      <w:r>
        <w:rPr>
          <w:rFonts w:ascii="宋体" w:hAnsi="宋体"/>
          <w:szCs w:val="21"/>
        </w:rPr>
        <w:t xml:space="preserve">   C.</w:t>
      </w:r>
      <w:r>
        <w:rPr>
          <w:rFonts w:ascii="宋体" w:hAnsi="宋体" w:hint="eastAsia"/>
          <w:szCs w:val="21"/>
        </w:rPr>
        <w:t>神阙</w:t>
      </w:r>
      <w:r>
        <w:rPr>
          <w:rFonts w:ascii="宋体" w:hAnsi="宋体"/>
          <w:szCs w:val="21"/>
        </w:rPr>
        <w:t xml:space="preserve">   D.</w:t>
      </w:r>
      <w:r>
        <w:rPr>
          <w:rFonts w:ascii="宋体" w:hAnsi="宋体" w:hint="eastAsia"/>
          <w:szCs w:val="21"/>
        </w:rPr>
        <w:t>百会</w:t>
      </w:r>
      <w:r>
        <w:rPr>
          <w:rFonts w:ascii="宋体" w:hAnsi="宋体"/>
          <w:szCs w:val="21"/>
        </w:rPr>
        <w:t xml:space="preserve">   E.</w:t>
      </w:r>
      <w:r>
        <w:rPr>
          <w:rFonts w:ascii="宋体" w:hAnsi="宋体" w:hint="eastAsia"/>
          <w:szCs w:val="21"/>
        </w:rPr>
        <w:t>乳中</w:t>
      </w:r>
    </w:p>
    <w:p w:rsidR="003717A0" w:rsidRDefault="003717A0">
      <w:pPr>
        <w:spacing w:line="300" w:lineRule="auto"/>
        <w:rPr>
          <w:rFonts w:ascii="宋体"/>
          <w:szCs w:val="21"/>
        </w:rPr>
      </w:pPr>
      <w:r>
        <w:rPr>
          <w:rFonts w:ascii="宋体" w:hAnsi="宋体"/>
          <w:szCs w:val="21"/>
        </w:rPr>
        <w:t>8</w:t>
      </w:r>
      <w:r>
        <w:rPr>
          <w:rFonts w:ascii="宋体" w:hAnsi="宋体" w:hint="eastAsia"/>
          <w:szCs w:val="21"/>
        </w:rPr>
        <w:t>、膝中至外踝尖的骨度分寸是：（</w:t>
      </w:r>
      <w:r>
        <w:rPr>
          <w:rFonts w:ascii="宋体" w:hAnsi="宋体"/>
          <w:szCs w:val="21"/>
        </w:rPr>
        <w:t xml:space="preserve">  </w:t>
      </w:r>
      <w:r>
        <w:rPr>
          <w:rFonts w:ascii="宋体" w:hAnsi="宋体" w:hint="eastAsia"/>
          <w:szCs w:val="21"/>
        </w:rPr>
        <w:t>）</w:t>
      </w:r>
    </w:p>
    <w:p w:rsidR="003717A0" w:rsidRDefault="003717A0">
      <w:pPr>
        <w:spacing w:line="300" w:lineRule="auto"/>
        <w:ind w:firstLine="420"/>
        <w:rPr>
          <w:rFonts w:ascii="宋体"/>
          <w:szCs w:val="21"/>
        </w:rPr>
      </w:pPr>
      <w:r>
        <w:rPr>
          <w:rFonts w:ascii="宋体" w:hAnsi="宋体"/>
          <w:szCs w:val="21"/>
        </w:rPr>
        <w:t>A</w:t>
      </w:r>
      <w:r>
        <w:rPr>
          <w:rFonts w:ascii="宋体" w:hAnsi="宋体" w:hint="eastAsia"/>
          <w:szCs w:val="21"/>
        </w:rPr>
        <w:t>．</w:t>
      </w:r>
      <w:r>
        <w:rPr>
          <w:rFonts w:ascii="宋体" w:hAnsi="宋体"/>
          <w:szCs w:val="21"/>
        </w:rPr>
        <w:t>12</w:t>
      </w:r>
      <w:r>
        <w:rPr>
          <w:rFonts w:ascii="宋体" w:hAnsi="宋体" w:hint="eastAsia"/>
          <w:szCs w:val="21"/>
        </w:rPr>
        <w:t>寸</w:t>
      </w:r>
      <w:r>
        <w:rPr>
          <w:rFonts w:ascii="宋体" w:hAnsi="宋体"/>
          <w:szCs w:val="21"/>
        </w:rPr>
        <w:t xml:space="preserve">  B</w:t>
      </w:r>
      <w:r>
        <w:rPr>
          <w:rFonts w:ascii="宋体" w:hAnsi="宋体" w:hint="eastAsia"/>
          <w:szCs w:val="21"/>
        </w:rPr>
        <w:t>．</w:t>
      </w:r>
      <w:r>
        <w:rPr>
          <w:rFonts w:ascii="宋体" w:hAnsi="宋体"/>
          <w:szCs w:val="21"/>
        </w:rPr>
        <w:t>13</w:t>
      </w:r>
      <w:r>
        <w:rPr>
          <w:rFonts w:ascii="宋体" w:hAnsi="宋体" w:hint="eastAsia"/>
          <w:szCs w:val="21"/>
        </w:rPr>
        <w:t>寸</w:t>
      </w:r>
      <w:r>
        <w:rPr>
          <w:rFonts w:ascii="宋体" w:hAnsi="宋体"/>
          <w:szCs w:val="21"/>
        </w:rPr>
        <w:t xml:space="preserve">  C</w:t>
      </w:r>
      <w:r>
        <w:rPr>
          <w:rFonts w:ascii="宋体" w:hAnsi="宋体" w:hint="eastAsia"/>
          <w:szCs w:val="21"/>
        </w:rPr>
        <w:t>．</w:t>
      </w:r>
      <w:r>
        <w:rPr>
          <w:rFonts w:ascii="宋体" w:hAnsi="宋体"/>
          <w:szCs w:val="21"/>
        </w:rPr>
        <w:t>16</w:t>
      </w:r>
      <w:r>
        <w:rPr>
          <w:rFonts w:ascii="宋体" w:hAnsi="宋体" w:hint="eastAsia"/>
          <w:szCs w:val="21"/>
        </w:rPr>
        <w:t>寸</w:t>
      </w:r>
      <w:r>
        <w:rPr>
          <w:rFonts w:ascii="宋体" w:hAnsi="宋体"/>
          <w:szCs w:val="21"/>
        </w:rPr>
        <w:t xml:space="preserve">  D</w:t>
      </w:r>
      <w:r>
        <w:rPr>
          <w:rFonts w:ascii="宋体" w:hAnsi="宋体" w:hint="eastAsia"/>
          <w:szCs w:val="21"/>
        </w:rPr>
        <w:t>．</w:t>
      </w:r>
      <w:r>
        <w:rPr>
          <w:rFonts w:ascii="宋体" w:hAnsi="宋体"/>
          <w:szCs w:val="21"/>
        </w:rPr>
        <w:t>18</w:t>
      </w:r>
      <w:r>
        <w:rPr>
          <w:rFonts w:ascii="宋体" w:hAnsi="宋体" w:hint="eastAsia"/>
          <w:szCs w:val="21"/>
        </w:rPr>
        <w:t>寸</w:t>
      </w:r>
      <w:r>
        <w:rPr>
          <w:rFonts w:ascii="宋体" w:hAnsi="宋体"/>
          <w:szCs w:val="21"/>
        </w:rPr>
        <w:t xml:space="preserve">  E</w:t>
      </w:r>
      <w:r>
        <w:rPr>
          <w:rFonts w:ascii="宋体" w:hAnsi="宋体" w:hint="eastAsia"/>
          <w:szCs w:val="21"/>
        </w:rPr>
        <w:t>．</w:t>
      </w:r>
      <w:r>
        <w:rPr>
          <w:rFonts w:ascii="宋体" w:hAnsi="宋体"/>
          <w:szCs w:val="21"/>
        </w:rPr>
        <w:t xml:space="preserve"> 9</w:t>
      </w:r>
      <w:r>
        <w:rPr>
          <w:rFonts w:ascii="宋体" w:hAnsi="宋体" w:hint="eastAsia"/>
          <w:szCs w:val="21"/>
        </w:rPr>
        <w:t>寸</w:t>
      </w:r>
    </w:p>
    <w:p w:rsidR="003717A0" w:rsidRDefault="003717A0">
      <w:pPr>
        <w:spacing w:line="300" w:lineRule="auto"/>
        <w:rPr>
          <w:rFonts w:ascii="宋体"/>
          <w:szCs w:val="21"/>
        </w:rPr>
      </w:pPr>
      <w:r>
        <w:rPr>
          <w:rFonts w:ascii="宋体" w:hAnsi="宋体"/>
          <w:szCs w:val="21"/>
        </w:rPr>
        <w:t>9</w:t>
      </w:r>
      <w:r>
        <w:rPr>
          <w:rFonts w:ascii="宋体" w:hAnsi="宋体" w:hint="eastAsia"/>
          <w:szCs w:val="21"/>
        </w:rPr>
        <w:t>、根据骨度分寸法，印堂穴（眉间）至百会穴为：（</w:t>
      </w:r>
      <w:r>
        <w:rPr>
          <w:rFonts w:ascii="宋体" w:hAnsi="宋体"/>
          <w:szCs w:val="21"/>
        </w:rPr>
        <w:t xml:space="preserve">  </w:t>
      </w:r>
      <w:r>
        <w:rPr>
          <w:rFonts w:ascii="宋体" w:hAnsi="宋体" w:hint="eastAsia"/>
          <w:szCs w:val="21"/>
        </w:rPr>
        <w:t>）</w:t>
      </w:r>
    </w:p>
    <w:p w:rsidR="003717A0" w:rsidRDefault="003717A0">
      <w:pPr>
        <w:spacing w:line="300" w:lineRule="auto"/>
        <w:ind w:firstLine="420"/>
        <w:rPr>
          <w:rFonts w:ascii="宋体"/>
          <w:szCs w:val="21"/>
        </w:rPr>
      </w:pPr>
      <w:r>
        <w:rPr>
          <w:rFonts w:ascii="宋体" w:hAnsi="宋体"/>
          <w:szCs w:val="21"/>
        </w:rPr>
        <w:t>A</w:t>
      </w:r>
      <w:r>
        <w:rPr>
          <w:rFonts w:ascii="宋体" w:hAnsi="宋体" w:hint="eastAsia"/>
          <w:szCs w:val="21"/>
        </w:rPr>
        <w:t>．</w:t>
      </w:r>
      <w:r>
        <w:rPr>
          <w:rFonts w:ascii="宋体" w:hAnsi="宋体"/>
          <w:szCs w:val="21"/>
        </w:rPr>
        <w:t>18</w:t>
      </w:r>
      <w:r>
        <w:rPr>
          <w:rFonts w:ascii="宋体" w:hAnsi="宋体" w:hint="eastAsia"/>
          <w:szCs w:val="21"/>
        </w:rPr>
        <w:t xml:space="preserve">寸　</w:t>
      </w:r>
      <w:r>
        <w:rPr>
          <w:rFonts w:ascii="宋体" w:hAnsi="宋体"/>
          <w:szCs w:val="21"/>
        </w:rPr>
        <w:t>B</w:t>
      </w:r>
      <w:r>
        <w:rPr>
          <w:rFonts w:ascii="宋体" w:hAnsi="宋体" w:hint="eastAsia"/>
          <w:szCs w:val="21"/>
        </w:rPr>
        <w:t>．</w:t>
      </w:r>
      <w:r>
        <w:rPr>
          <w:rFonts w:ascii="宋体" w:hAnsi="宋体"/>
          <w:szCs w:val="21"/>
        </w:rPr>
        <w:t>15</w:t>
      </w:r>
      <w:r>
        <w:rPr>
          <w:rFonts w:ascii="宋体" w:hAnsi="宋体" w:hint="eastAsia"/>
          <w:szCs w:val="21"/>
        </w:rPr>
        <w:t xml:space="preserve">寸　</w:t>
      </w:r>
      <w:r>
        <w:rPr>
          <w:rFonts w:ascii="宋体" w:hAnsi="宋体"/>
          <w:szCs w:val="21"/>
        </w:rPr>
        <w:t>C</w:t>
      </w:r>
      <w:r>
        <w:rPr>
          <w:rFonts w:ascii="宋体" w:hAnsi="宋体" w:hint="eastAsia"/>
          <w:szCs w:val="21"/>
        </w:rPr>
        <w:t>．</w:t>
      </w:r>
      <w:r>
        <w:rPr>
          <w:rFonts w:ascii="宋体" w:hAnsi="宋体"/>
          <w:szCs w:val="21"/>
        </w:rPr>
        <w:t>8</w:t>
      </w:r>
      <w:r>
        <w:rPr>
          <w:rFonts w:ascii="宋体" w:hAnsi="宋体" w:hint="eastAsia"/>
          <w:szCs w:val="21"/>
        </w:rPr>
        <w:t xml:space="preserve">寸　</w:t>
      </w:r>
      <w:r>
        <w:rPr>
          <w:rFonts w:ascii="宋体" w:hAnsi="宋体"/>
          <w:szCs w:val="21"/>
        </w:rPr>
        <w:t>D</w:t>
      </w:r>
      <w:r>
        <w:rPr>
          <w:rFonts w:ascii="宋体" w:hAnsi="宋体" w:hint="eastAsia"/>
          <w:szCs w:val="21"/>
        </w:rPr>
        <w:t>．</w:t>
      </w:r>
      <w:r>
        <w:rPr>
          <w:rFonts w:ascii="宋体" w:hAnsi="宋体"/>
          <w:szCs w:val="21"/>
        </w:rPr>
        <w:t>12</w:t>
      </w:r>
      <w:r>
        <w:rPr>
          <w:rFonts w:ascii="宋体" w:hAnsi="宋体" w:hint="eastAsia"/>
          <w:szCs w:val="21"/>
        </w:rPr>
        <w:t xml:space="preserve">寸　</w:t>
      </w:r>
      <w:r>
        <w:rPr>
          <w:rFonts w:ascii="宋体" w:hAnsi="宋体"/>
          <w:szCs w:val="21"/>
        </w:rPr>
        <w:t>E</w:t>
      </w:r>
      <w:r>
        <w:rPr>
          <w:rFonts w:ascii="宋体" w:hAnsi="宋体" w:hint="eastAsia"/>
          <w:szCs w:val="21"/>
        </w:rPr>
        <w:t>．</w:t>
      </w:r>
      <w:r>
        <w:rPr>
          <w:rFonts w:ascii="宋体" w:hAnsi="宋体"/>
          <w:szCs w:val="21"/>
        </w:rPr>
        <w:t>10</w:t>
      </w:r>
      <w:r>
        <w:rPr>
          <w:rFonts w:ascii="宋体" w:hAnsi="宋体" w:hint="eastAsia"/>
          <w:szCs w:val="21"/>
        </w:rPr>
        <w:t>寸</w:t>
      </w:r>
    </w:p>
    <w:p w:rsidR="003717A0" w:rsidRDefault="003717A0">
      <w:pPr>
        <w:spacing w:line="300" w:lineRule="auto"/>
        <w:ind w:left="420" w:hangingChars="200" w:hanging="420"/>
        <w:rPr>
          <w:rFonts w:ascii="宋体" w:cs="宋体"/>
          <w:kern w:val="0"/>
          <w:szCs w:val="21"/>
        </w:rPr>
      </w:pPr>
      <w:r>
        <w:rPr>
          <w:rFonts w:ascii="宋体" w:hAnsi="宋体" w:cs="宋体"/>
          <w:kern w:val="0"/>
          <w:szCs w:val="21"/>
        </w:rPr>
        <w:lastRenderedPageBreak/>
        <w:t>10</w:t>
      </w:r>
      <w:r>
        <w:rPr>
          <w:rFonts w:ascii="宋体" w:hAnsi="宋体" w:cs="宋体" w:hint="eastAsia"/>
          <w:kern w:val="0"/>
          <w:szCs w:val="21"/>
        </w:rPr>
        <w:t>、作为定取背部穴位的标志，肩胛下角约平</w:t>
      </w:r>
      <w:r>
        <w:rPr>
          <w:rFonts w:ascii="宋体" w:hAnsi="宋体" w:cs="宋体"/>
          <w:kern w:val="0"/>
          <w:szCs w:val="21"/>
        </w:rPr>
        <w:t>(   )</w:t>
      </w:r>
      <w:r>
        <w:rPr>
          <w:rFonts w:ascii="宋体" w:hAnsi="宋体" w:cs="宋体"/>
          <w:kern w:val="0"/>
          <w:szCs w:val="21"/>
        </w:rPr>
        <w:br/>
        <w:t>A.</w:t>
      </w:r>
      <w:r>
        <w:rPr>
          <w:rFonts w:ascii="宋体" w:hAnsi="宋体" w:cs="宋体" w:hint="eastAsia"/>
          <w:kern w:val="0"/>
          <w:szCs w:val="21"/>
        </w:rPr>
        <w:t>第</w:t>
      </w:r>
      <w:r>
        <w:rPr>
          <w:rFonts w:ascii="宋体" w:hAnsi="宋体" w:cs="宋体"/>
          <w:kern w:val="0"/>
          <w:szCs w:val="21"/>
        </w:rPr>
        <w:t>5</w:t>
      </w:r>
      <w:r>
        <w:rPr>
          <w:rFonts w:ascii="宋体" w:hAnsi="宋体" w:cs="宋体" w:hint="eastAsia"/>
          <w:kern w:val="0"/>
          <w:szCs w:val="21"/>
        </w:rPr>
        <w:t>胸椎</w:t>
      </w:r>
      <w:r>
        <w:rPr>
          <w:rFonts w:ascii="宋体" w:hAnsi="宋体" w:cs="宋体"/>
          <w:kern w:val="0"/>
          <w:szCs w:val="21"/>
        </w:rPr>
        <w:t xml:space="preserve">      B.</w:t>
      </w:r>
      <w:r>
        <w:rPr>
          <w:rFonts w:ascii="宋体" w:hAnsi="宋体" w:cs="宋体" w:hint="eastAsia"/>
          <w:kern w:val="0"/>
          <w:szCs w:val="21"/>
        </w:rPr>
        <w:t>第</w:t>
      </w:r>
      <w:r>
        <w:rPr>
          <w:rFonts w:ascii="宋体" w:hAnsi="宋体" w:cs="宋体"/>
          <w:kern w:val="0"/>
          <w:szCs w:val="21"/>
        </w:rPr>
        <w:t>6</w:t>
      </w:r>
      <w:r>
        <w:rPr>
          <w:rFonts w:ascii="宋体" w:hAnsi="宋体" w:cs="宋体" w:hint="eastAsia"/>
          <w:kern w:val="0"/>
          <w:szCs w:val="21"/>
        </w:rPr>
        <w:t>胸椎</w:t>
      </w:r>
      <w:r>
        <w:rPr>
          <w:rFonts w:ascii="宋体" w:hAnsi="宋体" w:cs="宋体"/>
          <w:kern w:val="0"/>
          <w:szCs w:val="21"/>
        </w:rPr>
        <w:t xml:space="preserve">    C.  </w:t>
      </w:r>
      <w:r>
        <w:rPr>
          <w:rFonts w:ascii="宋体" w:hAnsi="宋体" w:cs="宋体" w:hint="eastAsia"/>
          <w:kern w:val="0"/>
          <w:szCs w:val="21"/>
        </w:rPr>
        <w:t>第</w:t>
      </w:r>
      <w:r>
        <w:rPr>
          <w:rFonts w:ascii="宋体" w:hAnsi="宋体" w:cs="宋体"/>
          <w:kern w:val="0"/>
          <w:szCs w:val="21"/>
        </w:rPr>
        <w:t>7</w:t>
      </w:r>
      <w:r>
        <w:rPr>
          <w:rFonts w:ascii="宋体" w:hAnsi="宋体" w:cs="宋体" w:hint="eastAsia"/>
          <w:kern w:val="0"/>
          <w:szCs w:val="21"/>
        </w:rPr>
        <w:t>胸椎</w:t>
      </w:r>
      <w:r>
        <w:rPr>
          <w:rFonts w:ascii="宋体" w:cs="宋体"/>
          <w:kern w:val="0"/>
          <w:szCs w:val="21"/>
        </w:rPr>
        <w:br/>
      </w:r>
      <w:r>
        <w:rPr>
          <w:rFonts w:ascii="宋体" w:hAnsi="宋体" w:cs="宋体"/>
          <w:kern w:val="0"/>
          <w:szCs w:val="21"/>
        </w:rPr>
        <w:t>D</w:t>
      </w:r>
      <w:r>
        <w:rPr>
          <w:rFonts w:ascii="宋体" w:cs="宋体"/>
          <w:kern w:val="0"/>
          <w:szCs w:val="21"/>
        </w:rPr>
        <w:t>.</w:t>
      </w:r>
      <w:r>
        <w:rPr>
          <w:rFonts w:ascii="宋体" w:hAnsi="宋体" w:cs="宋体" w:hint="eastAsia"/>
          <w:kern w:val="0"/>
          <w:szCs w:val="21"/>
        </w:rPr>
        <w:t>第</w:t>
      </w:r>
      <w:r>
        <w:rPr>
          <w:rFonts w:ascii="宋体" w:hAnsi="宋体" w:cs="宋体"/>
          <w:kern w:val="0"/>
          <w:szCs w:val="21"/>
        </w:rPr>
        <w:t>8</w:t>
      </w:r>
      <w:r>
        <w:rPr>
          <w:rFonts w:ascii="宋体" w:hAnsi="宋体" w:cs="宋体" w:hint="eastAsia"/>
          <w:kern w:val="0"/>
          <w:szCs w:val="21"/>
        </w:rPr>
        <w:t>胸椎</w:t>
      </w:r>
      <w:r>
        <w:rPr>
          <w:rFonts w:ascii="宋体" w:hAnsi="宋体" w:cs="宋体"/>
          <w:kern w:val="0"/>
          <w:szCs w:val="21"/>
        </w:rPr>
        <w:t xml:space="preserve">      E</w:t>
      </w:r>
      <w:r>
        <w:rPr>
          <w:rFonts w:ascii="宋体" w:cs="宋体"/>
          <w:kern w:val="0"/>
          <w:szCs w:val="21"/>
        </w:rPr>
        <w:t>.</w:t>
      </w:r>
      <w:r>
        <w:rPr>
          <w:rFonts w:ascii="宋体" w:hAnsi="宋体" w:cs="宋体" w:hint="eastAsia"/>
          <w:kern w:val="0"/>
          <w:szCs w:val="21"/>
        </w:rPr>
        <w:t>第</w:t>
      </w:r>
      <w:r>
        <w:rPr>
          <w:rFonts w:ascii="宋体" w:hAnsi="宋体" w:cs="宋体"/>
          <w:kern w:val="0"/>
          <w:szCs w:val="21"/>
        </w:rPr>
        <w:t>9</w:t>
      </w:r>
      <w:r>
        <w:rPr>
          <w:rFonts w:ascii="宋体" w:hAnsi="宋体" w:cs="宋体" w:hint="eastAsia"/>
          <w:kern w:val="0"/>
          <w:szCs w:val="21"/>
        </w:rPr>
        <w:t>胸椎</w:t>
      </w:r>
    </w:p>
    <w:p w:rsidR="003717A0" w:rsidRDefault="003717A0">
      <w:pPr>
        <w:spacing w:line="300" w:lineRule="auto"/>
        <w:rPr>
          <w:rFonts w:ascii="宋体" w:cs="宋体"/>
          <w:kern w:val="0"/>
          <w:szCs w:val="21"/>
        </w:rPr>
      </w:pPr>
      <w:r>
        <w:rPr>
          <w:rFonts w:ascii="宋体" w:hAnsi="宋体" w:cs="宋体"/>
          <w:kern w:val="0"/>
          <w:szCs w:val="21"/>
        </w:rPr>
        <w:t>11</w:t>
      </w:r>
      <w:r>
        <w:rPr>
          <w:rFonts w:ascii="宋体" w:hAnsi="宋体" w:cs="宋体" w:hint="eastAsia"/>
          <w:kern w:val="0"/>
          <w:szCs w:val="21"/>
        </w:rPr>
        <w:t>、小指桡侧指甲根角旁</w:t>
      </w:r>
      <w:r>
        <w:rPr>
          <w:rFonts w:ascii="宋体" w:hAnsi="宋体" w:cs="宋体"/>
          <w:kern w:val="0"/>
          <w:szCs w:val="21"/>
        </w:rPr>
        <w:t>0.1</w:t>
      </w:r>
      <w:r>
        <w:rPr>
          <w:rFonts w:ascii="宋体" w:hAnsi="宋体" w:cs="宋体" w:hint="eastAsia"/>
          <w:kern w:val="0"/>
          <w:szCs w:val="21"/>
        </w:rPr>
        <w:t>寸的穴位是：（</w:t>
      </w:r>
      <w:r>
        <w:rPr>
          <w:rFonts w:ascii="宋体" w:hAnsi="宋体" w:cs="宋体"/>
          <w:kern w:val="0"/>
          <w:szCs w:val="21"/>
        </w:rPr>
        <w:t xml:space="preserve">  </w:t>
      </w:r>
      <w:r>
        <w:rPr>
          <w:rFonts w:ascii="宋体" w:hAnsi="宋体" w:cs="宋体" w:hint="eastAsia"/>
          <w:kern w:val="0"/>
          <w:szCs w:val="21"/>
        </w:rPr>
        <w:t>）</w:t>
      </w:r>
      <w:r>
        <w:rPr>
          <w:rFonts w:ascii="宋体" w:cs="宋体"/>
          <w:kern w:val="0"/>
          <w:szCs w:val="21"/>
        </w:rPr>
        <w:br/>
      </w:r>
      <w:r>
        <w:rPr>
          <w:rFonts w:ascii="宋体" w:hAnsi="宋体" w:cs="宋体"/>
          <w:kern w:val="0"/>
          <w:szCs w:val="21"/>
        </w:rPr>
        <w:t xml:space="preserve">    A</w:t>
      </w:r>
      <w:r>
        <w:rPr>
          <w:rFonts w:ascii="宋体" w:hAnsi="宋体" w:cs="宋体" w:hint="eastAsia"/>
          <w:kern w:val="0"/>
          <w:szCs w:val="21"/>
        </w:rPr>
        <w:t>．少府</w:t>
      </w:r>
      <w:r>
        <w:rPr>
          <w:rFonts w:ascii="宋体" w:hAnsi="宋体" w:cs="宋体"/>
          <w:kern w:val="0"/>
          <w:szCs w:val="21"/>
        </w:rPr>
        <w:t xml:space="preserve">  B</w:t>
      </w:r>
      <w:r>
        <w:rPr>
          <w:rFonts w:ascii="宋体" w:hAnsi="宋体" w:cs="宋体" w:hint="eastAsia"/>
          <w:kern w:val="0"/>
          <w:szCs w:val="21"/>
        </w:rPr>
        <w:t>．少泽</w:t>
      </w:r>
      <w:r>
        <w:rPr>
          <w:rFonts w:ascii="宋体" w:hAnsi="宋体" w:cs="宋体"/>
          <w:kern w:val="0"/>
          <w:szCs w:val="21"/>
        </w:rPr>
        <w:t xml:space="preserve">  C</w:t>
      </w:r>
      <w:r>
        <w:rPr>
          <w:rFonts w:ascii="宋体" w:hAnsi="宋体" w:cs="宋体" w:hint="eastAsia"/>
          <w:kern w:val="0"/>
          <w:szCs w:val="21"/>
        </w:rPr>
        <w:t>．少商</w:t>
      </w:r>
      <w:r>
        <w:rPr>
          <w:rFonts w:ascii="宋体" w:hAnsi="宋体" w:cs="宋体"/>
          <w:kern w:val="0"/>
          <w:szCs w:val="21"/>
        </w:rPr>
        <w:t xml:space="preserve">  D</w:t>
      </w:r>
      <w:r>
        <w:rPr>
          <w:rFonts w:ascii="宋体" w:hAnsi="宋体" w:cs="宋体" w:hint="eastAsia"/>
          <w:kern w:val="0"/>
          <w:szCs w:val="21"/>
        </w:rPr>
        <w:t>．历兑</w:t>
      </w:r>
      <w:r>
        <w:rPr>
          <w:rFonts w:ascii="宋体" w:hAnsi="宋体" w:cs="宋体"/>
          <w:kern w:val="0"/>
          <w:szCs w:val="21"/>
        </w:rPr>
        <w:t xml:space="preserve">  E</w:t>
      </w:r>
      <w:r>
        <w:rPr>
          <w:rFonts w:ascii="宋体" w:hAnsi="宋体" w:cs="宋体" w:hint="eastAsia"/>
          <w:kern w:val="0"/>
          <w:szCs w:val="21"/>
        </w:rPr>
        <w:t>．少冲</w:t>
      </w:r>
    </w:p>
    <w:p w:rsidR="003717A0" w:rsidRDefault="003717A0">
      <w:pPr>
        <w:pStyle w:val="af0"/>
        <w:spacing w:before="0" w:beforeAutospacing="0" w:after="0" w:afterAutospacing="0" w:line="300" w:lineRule="auto"/>
        <w:rPr>
          <w:sz w:val="21"/>
          <w:szCs w:val="21"/>
        </w:rPr>
      </w:pPr>
      <w:r>
        <w:rPr>
          <w:sz w:val="21"/>
          <w:szCs w:val="21"/>
        </w:rPr>
        <w:t>12</w:t>
      </w:r>
      <w:r>
        <w:rPr>
          <w:rFonts w:hint="eastAsia"/>
          <w:sz w:val="21"/>
          <w:szCs w:val="21"/>
        </w:rPr>
        <w:t>、迎香穴位于：（</w:t>
      </w:r>
      <w:r>
        <w:rPr>
          <w:sz w:val="21"/>
          <w:szCs w:val="21"/>
        </w:rPr>
        <w:t xml:space="preserve">  </w:t>
      </w:r>
      <w:r>
        <w:rPr>
          <w:rFonts w:hint="eastAsia"/>
          <w:sz w:val="21"/>
          <w:szCs w:val="21"/>
        </w:rPr>
        <w:t>）</w:t>
      </w:r>
      <w:r>
        <w:rPr>
          <w:sz w:val="21"/>
          <w:szCs w:val="21"/>
        </w:rPr>
        <w:br/>
        <w:t xml:space="preserve">    A</w:t>
      </w:r>
      <w:r>
        <w:rPr>
          <w:rFonts w:hint="eastAsia"/>
          <w:sz w:val="21"/>
          <w:szCs w:val="21"/>
        </w:rPr>
        <w:t>．鼻孔外缘，旁开</w:t>
      </w:r>
      <w:r>
        <w:rPr>
          <w:sz w:val="21"/>
          <w:szCs w:val="21"/>
        </w:rPr>
        <w:t>0</w:t>
      </w:r>
      <w:r>
        <w:rPr>
          <w:rFonts w:hint="eastAsia"/>
          <w:sz w:val="21"/>
          <w:szCs w:val="21"/>
        </w:rPr>
        <w:t>．</w:t>
      </w:r>
      <w:r>
        <w:rPr>
          <w:sz w:val="21"/>
          <w:szCs w:val="21"/>
        </w:rPr>
        <w:t>5</w:t>
      </w:r>
      <w:r>
        <w:rPr>
          <w:rFonts w:hint="eastAsia"/>
          <w:sz w:val="21"/>
          <w:szCs w:val="21"/>
        </w:rPr>
        <w:t>寸</w:t>
      </w:r>
      <w:r>
        <w:rPr>
          <w:sz w:val="21"/>
          <w:szCs w:val="21"/>
        </w:rPr>
        <w:t xml:space="preserve">       B</w:t>
      </w:r>
      <w:r>
        <w:rPr>
          <w:rFonts w:hint="eastAsia"/>
          <w:sz w:val="21"/>
          <w:szCs w:val="21"/>
        </w:rPr>
        <w:t>．鼻翼外缘，旁开</w:t>
      </w:r>
      <w:r>
        <w:rPr>
          <w:sz w:val="21"/>
          <w:szCs w:val="21"/>
        </w:rPr>
        <w:t>0</w:t>
      </w:r>
      <w:r>
        <w:rPr>
          <w:rFonts w:hint="eastAsia"/>
          <w:sz w:val="21"/>
          <w:szCs w:val="21"/>
        </w:rPr>
        <w:t>．</w:t>
      </w:r>
      <w:r>
        <w:rPr>
          <w:sz w:val="21"/>
          <w:szCs w:val="21"/>
        </w:rPr>
        <w:t>5</w:t>
      </w:r>
      <w:r>
        <w:rPr>
          <w:rFonts w:hint="eastAsia"/>
          <w:sz w:val="21"/>
          <w:szCs w:val="21"/>
        </w:rPr>
        <w:t>寸</w:t>
      </w:r>
    </w:p>
    <w:p w:rsidR="003717A0" w:rsidRDefault="003717A0">
      <w:pPr>
        <w:pStyle w:val="af0"/>
        <w:spacing w:before="0" w:beforeAutospacing="0" w:after="0" w:afterAutospacing="0" w:line="300" w:lineRule="auto"/>
        <w:rPr>
          <w:sz w:val="21"/>
          <w:szCs w:val="21"/>
        </w:rPr>
      </w:pPr>
      <w:r>
        <w:rPr>
          <w:sz w:val="21"/>
          <w:szCs w:val="21"/>
        </w:rPr>
        <w:t xml:space="preserve">    C</w:t>
      </w:r>
      <w:r>
        <w:rPr>
          <w:rFonts w:hint="eastAsia"/>
          <w:sz w:val="21"/>
          <w:szCs w:val="21"/>
        </w:rPr>
        <w:t>．鼻翼外缘中点，旁开</w:t>
      </w:r>
      <w:r>
        <w:rPr>
          <w:sz w:val="21"/>
          <w:szCs w:val="21"/>
        </w:rPr>
        <w:t>0</w:t>
      </w:r>
      <w:r>
        <w:rPr>
          <w:rFonts w:hint="eastAsia"/>
          <w:sz w:val="21"/>
          <w:szCs w:val="21"/>
        </w:rPr>
        <w:t>．</w:t>
      </w:r>
      <w:r>
        <w:rPr>
          <w:sz w:val="21"/>
          <w:szCs w:val="21"/>
        </w:rPr>
        <w:t>5</w:t>
      </w:r>
      <w:r>
        <w:rPr>
          <w:rFonts w:hint="eastAsia"/>
          <w:sz w:val="21"/>
          <w:szCs w:val="21"/>
        </w:rPr>
        <w:t>寸</w:t>
      </w:r>
      <w:r>
        <w:rPr>
          <w:sz w:val="21"/>
          <w:szCs w:val="21"/>
        </w:rPr>
        <w:t xml:space="preserve">   D</w:t>
      </w:r>
      <w:r>
        <w:rPr>
          <w:rFonts w:hint="eastAsia"/>
          <w:sz w:val="21"/>
          <w:szCs w:val="21"/>
        </w:rPr>
        <w:t>．鼻翼上缘中点，旁开</w:t>
      </w:r>
      <w:r>
        <w:rPr>
          <w:sz w:val="21"/>
          <w:szCs w:val="21"/>
        </w:rPr>
        <w:t>0</w:t>
      </w:r>
      <w:r>
        <w:rPr>
          <w:rFonts w:hint="eastAsia"/>
          <w:sz w:val="21"/>
          <w:szCs w:val="21"/>
        </w:rPr>
        <w:t>．</w:t>
      </w:r>
      <w:r>
        <w:rPr>
          <w:sz w:val="21"/>
          <w:szCs w:val="21"/>
        </w:rPr>
        <w:t>5</w:t>
      </w:r>
      <w:r>
        <w:rPr>
          <w:rFonts w:hint="eastAsia"/>
          <w:sz w:val="21"/>
          <w:szCs w:val="21"/>
        </w:rPr>
        <w:t>寸</w:t>
      </w:r>
    </w:p>
    <w:p w:rsidR="003717A0" w:rsidRDefault="003717A0">
      <w:pPr>
        <w:spacing w:line="300" w:lineRule="auto"/>
        <w:rPr>
          <w:rFonts w:ascii="宋体" w:cs="宋体"/>
          <w:kern w:val="0"/>
          <w:szCs w:val="21"/>
        </w:rPr>
      </w:pPr>
      <w:r>
        <w:rPr>
          <w:rFonts w:ascii="宋体" w:hAnsi="宋体" w:cs="宋体"/>
          <w:kern w:val="0"/>
          <w:szCs w:val="21"/>
        </w:rPr>
        <w:t xml:space="preserve">    E</w:t>
      </w:r>
      <w:r>
        <w:rPr>
          <w:rFonts w:ascii="宋体" w:hAnsi="宋体" w:cs="宋体" w:hint="eastAsia"/>
          <w:kern w:val="0"/>
          <w:szCs w:val="21"/>
        </w:rPr>
        <w:t>．平鼻孔，当鼻唇沟中</w:t>
      </w:r>
    </w:p>
    <w:p w:rsidR="003717A0" w:rsidRDefault="003717A0">
      <w:pPr>
        <w:spacing w:line="300" w:lineRule="auto"/>
        <w:ind w:left="420" w:hangingChars="200" w:hanging="420"/>
        <w:rPr>
          <w:rFonts w:ascii="宋体"/>
          <w:szCs w:val="21"/>
        </w:rPr>
      </w:pPr>
      <w:r>
        <w:rPr>
          <w:rFonts w:ascii="宋体" w:hAnsi="宋体" w:cs="宋体"/>
          <w:kern w:val="0"/>
          <w:szCs w:val="21"/>
        </w:rPr>
        <w:t>13</w:t>
      </w:r>
      <w:r>
        <w:rPr>
          <w:rFonts w:ascii="宋体" w:hAnsi="宋体" w:cs="宋体" w:hint="eastAsia"/>
          <w:kern w:val="0"/>
          <w:szCs w:val="21"/>
        </w:rPr>
        <w:t>、耳前三穴从上至下的排列顺序是：（</w:t>
      </w:r>
      <w:r>
        <w:rPr>
          <w:rFonts w:ascii="宋体" w:hAnsi="宋体" w:cs="宋体"/>
          <w:kern w:val="0"/>
          <w:szCs w:val="21"/>
        </w:rPr>
        <w:t xml:space="preserve">   </w:t>
      </w:r>
      <w:r>
        <w:rPr>
          <w:rFonts w:ascii="宋体" w:hAnsi="宋体" w:cs="宋体" w:hint="eastAsia"/>
          <w:kern w:val="0"/>
          <w:szCs w:val="21"/>
        </w:rPr>
        <w:t>）</w:t>
      </w:r>
      <w:r>
        <w:rPr>
          <w:rFonts w:ascii="宋体" w:cs="宋体"/>
          <w:kern w:val="0"/>
          <w:szCs w:val="21"/>
        </w:rPr>
        <w:br/>
      </w:r>
      <w:r>
        <w:rPr>
          <w:rFonts w:ascii="宋体" w:hAnsi="宋体"/>
          <w:szCs w:val="21"/>
        </w:rPr>
        <w:t>A</w:t>
      </w:r>
      <w:r>
        <w:rPr>
          <w:rFonts w:ascii="宋体"/>
          <w:szCs w:val="21"/>
        </w:rPr>
        <w:t>.</w:t>
      </w:r>
      <w:r>
        <w:rPr>
          <w:rFonts w:ascii="宋体" w:hAnsi="宋体" w:hint="eastAsia"/>
          <w:szCs w:val="21"/>
        </w:rPr>
        <w:t>耳门、听宫、听会</w:t>
      </w:r>
      <w:r>
        <w:rPr>
          <w:rFonts w:ascii="宋体" w:hAnsi="宋体"/>
          <w:szCs w:val="21"/>
        </w:rPr>
        <w:t xml:space="preserve">      B</w:t>
      </w:r>
      <w:r>
        <w:rPr>
          <w:rFonts w:ascii="宋体"/>
          <w:szCs w:val="21"/>
        </w:rPr>
        <w:t>.</w:t>
      </w:r>
      <w:r>
        <w:rPr>
          <w:rFonts w:ascii="宋体" w:hAnsi="宋体" w:hint="eastAsia"/>
          <w:szCs w:val="21"/>
        </w:rPr>
        <w:t>听宫、耳门、听会</w:t>
      </w:r>
      <w:r>
        <w:rPr>
          <w:rFonts w:ascii="宋体" w:hAnsi="宋体"/>
          <w:szCs w:val="21"/>
        </w:rPr>
        <w:t xml:space="preserve">     C</w:t>
      </w:r>
      <w:r>
        <w:rPr>
          <w:rFonts w:ascii="宋体"/>
          <w:szCs w:val="21"/>
        </w:rPr>
        <w:t>.</w:t>
      </w:r>
      <w:r>
        <w:rPr>
          <w:rFonts w:ascii="宋体" w:hAnsi="宋体" w:hint="eastAsia"/>
          <w:szCs w:val="21"/>
        </w:rPr>
        <w:t>听宫、听会、耳门</w:t>
      </w:r>
      <w:r>
        <w:rPr>
          <w:rFonts w:ascii="宋体" w:hAnsi="宋体"/>
          <w:szCs w:val="21"/>
        </w:rPr>
        <w:t xml:space="preserve"> </w:t>
      </w:r>
    </w:p>
    <w:p w:rsidR="003717A0" w:rsidRDefault="003717A0">
      <w:pPr>
        <w:spacing w:line="300" w:lineRule="auto"/>
        <w:ind w:firstLineChars="200" w:firstLine="420"/>
        <w:rPr>
          <w:rFonts w:ascii="宋体"/>
          <w:szCs w:val="21"/>
        </w:rPr>
      </w:pPr>
      <w:r>
        <w:rPr>
          <w:rFonts w:ascii="宋体" w:hAnsi="宋体"/>
          <w:szCs w:val="21"/>
        </w:rPr>
        <w:t>D</w:t>
      </w:r>
      <w:r>
        <w:rPr>
          <w:rFonts w:ascii="宋体"/>
          <w:szCs w:val="21"/>
        </w:rPr>
        <w:t>.</w:t>
      </w:r>
      <w:r>
        <w:rPr>
          <w:rFonts w:ascii="宋体" w:hAnsi="宋体" w:hint="eastAsia"/>
          <w:szCs w:val="21"/>
        </w:rPr>
        <w:t>耳门、听会、听宫</w:t>
      </w:r>
      <w:r>
        <w:rPr>
          <w:rFonts w:ascii="宋体" w:hAnsi="宋体"/>
          <w:szCs w:val="21"/>
        </w:rPr>
        <w:t xml:space="preserve">      E.</w:t>
      </w:r>
      <w:r>
        <w:rPr>
          <w:rFonts w:ascii="宋体" w:hAnsi="宋体" w:hint="eastAsia"/>
          <w:szCs w:val="21"/>
        </w:rPr>
        <w:t>以上均不是</w:t>
      </w:r>
    </w:p>
    <w:p w:rsidR="003717A0" w:rsidRDefault="003717A0">
      <w:pPr>
        <w:spacing w:line="300" w:lineRule="auto"/>
        <w:rPr>
          <w:rFonts w:ascii="宋体"/>
          <w:szCs w:val="21"/>
        </w:rPr>
      </w:pPr>
      <w:r>
        <w:rPr>
          <w:szCs w:val="21"/>
        </w:rPr>
        <w:t>14</w:t>
      </w:r>
      <w:r>
        <w:rPr>
          <w:rFonts w:hint="eastAsia"/>
          <w:szCs w:val="21"/>
        </w:rPr>
        <w:t>、</w:t>
      </w:r>
      <w:r>
        <w:rPr>
          <w:rFonts w:ascii="??" w:hAnsi="??" w:hint="eastAsia"/>
          <w:szCs w:val="21"/>
        </w:rPr>
        <w:t>曲泽穴的位置在：（</w:t>
      </w:r>
      <w:r>
        <w:rPr>
          <w:rFonts w:ascii="??" w:hAnsi="??"/>
          <w:szCs w:val="21"/>
        </w:rPr>
        <w:t xml:space="preserve">  </w:t>
      </w:r>
      <w:r>
        <w:rPr>
          <w:rFonts w:ascii="??" w:hAnsi="??" w:hint="eastAsia"/>
          <w:szCs w:val="21"/>
        </w:rPr>
        <w:t>）</w:t>
      </w:r>
      <w:r>
        <w:rPr>
          <w:rFonts w:ascii="??" w:hAnsi="??"/>
          <w:szCs w:val="21"/>
        </w:rPr>
        <w:br/>
      </w:r>
      <w:r>
        <w:rPr>
          <w:rFonts w:ascii="??" w:hAnsi="??" w:hint="eastAsia"/>
          <w:szCs w:val="21"/>
        </w:rPr>
        <w:t xml:space="preserve">　</w:t>
      </w:r>
      <w:r>
        <w:rPr>
          <w:rFonts w:ascii="??" w:hAnsi="??"/>
          <w:szCs w:val="21"/>
        </w:rPr>
        <w:t xml:space="preserve">  A</w:t>
      </w:r>
      <w:r>
        <w:rPr>
          <w:rFonts w:ascii="宋体"/>
          <w:szCs w:val="21"/>
        </w:rPr>
        <w:t>.</w:t>
      </w:r>
      <w:r>
        <w:rPr>
          <w:rFonts w:ascii="??" w:hAnsi="??" w:hint="eastAsia"/>
          <w:szCs w:val="21"/>
        </w:rPr>
        <w:t>肘横纹上，肱二头肌腱的尺侧缘</w:t>
      </w:r>
      <w:r>
        <w:rPr>
          <w:rFonts w:ascii="??" w:hAnsi="??"/>
          <w:szCs w:val="21"/>
        </w:rPr>
        <w:t xml:space="preserve">  </w:t>
      </w:r>
      <w:r>
        <w:rPr>
          <w:rFonts w:ascii="??" w:hAnsi="??" w:hint="eastAsia"/>
          <w:szCs w:val="21"/>
        </w:rPr>
        <w:t xml:space="preserve">　</w:t>
      </w:r>
      <w:r>
        <w:rPr>
          <w:rFonts w:ascii="??" w:hAnsi="??"/>
          <w:szCs w:val="21"/>
        </w:rPr>
        <w:t>B</w:t>
      </w:r>
      <w:r>
        <w:rPr>
          <w:rFonts w:ascii="宋体"/>
          <w:szCs w:val="21"/>
        </w:rPr>
        <w:t>.</w:t>
      </w:r>
      <w:r>
        <w:rPr>
          <w:rFonts w:ascii="??" w:hAnsi="??" w:hint="eastAsia"/>
          <w:szCs w:val="21"/>
        </w:rPr>
        <w:t>肘横纹上，肱二头肌腱桡侧缘</w:t>
      </w:r>
      <w:r>
        <w:rPr>
          <w:rFonts w:ascii="??" w:hAnsi="??"/>
          <w:szCs w:val="21"/>
        </w:rPr>
        <w:br/>
      </w:r>
      <w:r>
        <w:rPr>
          <w:rFonts w:ascii="??" w:hAnsi="??" w:hint="eastAsia"/>
          <w:szCs w:val="21"/>
        </w:rPr>
        <w:t xml:space="preserve">　</w:t>
      </w:r>
      <w:r>
        <w:rPr>
          <w:rFonts w:ascii="??" w:hAnsi="??"/>
          <w:szCs w:val="21"/>
        </w:rPr>
        <w:t xml:space="preserve">  C</w:t>
      </w:r>
      <w:r>
        <w:rPr>
          <w:rFonts w:ascii="宋体"/>
          <w:szCs w:val="21"/>
        </w:rPr>
        <w:t>.</w:t>
      </w:r>
      <w:r>
        <w:rPr>
          <w:rFonts w:ascii="??" w:hAnsi="??" w:hint="eastAsia"/>
          <w:szCs w:val="21"/>
        </w:rPr>
        <w:t>肘横纹上，尺侧腕屈肌腱的尺侧缘</w:t>
      </w:r>
      <w:r>
        <w:rPr>
          <w:rFonts w:ascii="??" w:hAnsi="??"/>
          <w:szCs w:val="21"/>
        </w:rPr>
        <w:t xml:space="preserve">  D</w:t>
      </w:r>
      <w:r>
        <w:rPr>
          <w:rFonts w:ascii="宋体"/>
          <w:szCs w:val="21"/>
        </w:rPr>
        <w:t>.</w:t>
      </w:r>
      <w:r>
        <w:rPr>
          <w:rFonts w:ascii="??" w:hAnsi="??" w:hint="eastAsia"/>
          <w:szCs w:val="21"/>
        </w:rPr>
        <w:t>肘横纹上，尺侧腕屈肌腱的桡侧缘</w:t>
      </w:r>
      <w:r>
        <w:rPr>
          <w:rFonts w:ascii="??" w:hAnsi="??"/>
          <w:szCs w:val="21"/>
        </w:rPr>
        <w:br/>
        <w:t xml:space="preserve">  </w:t>
      </w:r>
      <w:r>
        <w:rPr>
          <w:rFonts w:ascii="??" w:hAnsi="??" w:hint="eastAsia"/>
          <w:szCs w:val="21"/>
        </w:rPr>
        <w:t xml:space="preserve">　</w:t>
      </w:r>
      <w:r>
        <w:rPr>
          <w:rFonts w:ascii="??" w:hAnsi="??"/>
          <w:szCs w:val="21"/>
        </w:rPr>
        <w:t>E</w:t>
      </w:r>
      <w:r>
        <w:rPr>
          <w:rFonts w:ascii="宋体"/>
          <w:szCs w:val="21"/>
        </w:rPr>
        <w:t>.</w:t>
      </w:r>
      <w:r>
        <w:rPr>
          <w:rFonts w:ascii="??" w:hAnsi="??" w:hint="eastAsia"/>
          <w:szCs w:val="21"/>
        </w:rPr>
        <w:t>以上均不是</w:t>
      </w:r>
      <w:r>
        <w:rPr>
          <w:rFonts w:ascii="??" w:hAnsi="??"/>
          <w:szCs w:val="21"/>
        </w:rPr>
        <w:br/>
      </w:r>
      <w:r>
        <w:rPr>
          <w:rFonts w:ascii="宋体" w:hAnsi="宋体"/>
          <w:szCs w:val="21"/>
        </w:rPr>
        <w:t>15</w:t>
      </w:r>
      <w:r>
        <w:rPr>
          <w:rFonts w:ascii="宋体" w:hAnsi="宋体" w:hint="eastAsia"/>
          <w:szCs w:val="21"/>
        </w:rPr>
        <w:t>、手三阳经的走向是（</w:t>
      </w:r>
      <w:r>
        <w:rPr>
          <w:rFonts w:ascii="宋体"/>
          <w:szCs w:val="21"/>
        </w:rPr>
        <w:t>   </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szCs w:val="21"/>
        </w:rPr>
        <w:br/>
        <w:t xml:space="preserve">    A</w:t>
      </w:r>
      <w:r>
        <w:rPr>
          <w:rFonts w:ascii="宋体" w:hAnsi="宋体" w:hint="eastAsia"/>
          <w:szCs w:val="21"/>
        </w:rPr>
        <w:t>．从头走手</w:t>
      </w:r>
      <w:r>
        <w:rPr>
          <w:rFonts w:ascii="宋体" w:hAnsi="宋体"/>
          <w:szCs w:val="21"/>
        </w:rPr>
        <w:t xml:space="preserve">   B</w:t>
      </w:r>
      <w:r>
        <w:rPr>
          <w:rFonts w:ascii="宋体" w:hAnsi="宋体" w:hint="eastAsia"/>
          <w:szCs w:val="21"/>
        </w:rPr>
        <w:t>．从手走头</w:t>
      </w:r>
      <w:r>
        <w:rPr>
          <w:rFonts w:ascii="宋体" w:hAnsi="宋体"/>
          <w:szCs w:val="21"/>
        </w:rPr>
        <w:t xml:space="preserve">   C</w:t>
      </w:r>
      <w:r>
        <w:rPr>
          <w:rFonts w:ascii="宋体" w:hAnsi="宋体" w:hint="eastAsia"/>
          <w:szCs w:val="21"/>
        </w:rPr>
        <w:t>．从胸走手</w:t>
      </w:r>
      <w:r>
        <w:rPr>
          <w:rFonts w:ascii="宋体" w:hAnsi="宋体"/>
          <w:szCs w:val="21"/>
        </w:rPr>
        <w:t xml:space="preserve">  D</w:t>
      </w:r>
      <w:r>
        <w:rPr>
          <w:rFonts w:ascii="宋体" w:hAnsi="宋体" w:hint="eastAsia"/>
          <w:szCs w:val="21"/>
        </w:rPr>
        <w:t>．从手走胸</w:t>
      </w:r>
      <w:r>
        <w:rPr>
          <w:rFonts w:ascii="宋体" w:hAnsi="宋体"/>
          <w:szCs w:val="21"/>
        </w:rPr>
        <w:t xml:space="preserve">   E</w:t>
      </w:r>
      <w:r>
        <w:rPr>
          <w:rFonts w:ascii="宋体" w:hAnsi="宋体" w:hint="eastAsia"/>
          <w:szCs w:val="21"/>
        </w:rPr>
        <w:t>．以上均非</w:t>
      </w:r>
      <w:r>
        <w:rPr>
          <w:rFonts w:ascii="宋体" w:hAnsi="宋体"/>
          <w:szCs w:val="21"/>
        </w:rPr>
        <w:t xml:space="preserve"> </w:t>
      </w:r>
    </w:p>
    <w:p w:rsidR="003717A0" w:rsidRDefault="003717A0">
      <w:pPr>
        <w:spacing w:line="300" w:lineRule="auto"/>
        <w:rPr>
          <w:rFonts w:ascii="宋体"/>
          <w:szCs w:val="21"/>
        </w:rPr>
      </w:pPr>
      <w:r>
        <w:rPr>
          <w:rFonts w:ascii="宋体" w:hAnsi="宋体"/>
          <w:szCs w:val="21"/>
        </w:rPr>
        <w:t>16</w:t>
      </w:r>
      <w:r>
        <w:rPr>
          <w:rFonts w:ascii="宋体" w:hAnsi="宋体" w:hint="eastAsia"/>
          <w:szCs w:val="21"/>
        </w:rPr>
        <w:t>、悬钟穴位于：（</w:t>
      </w:r>
      <w:r>
        <w:rPr>
          <w:rFonts w:ascii="宋体" w:hAnsi="宋体"/>
          <w:szCs w:val="21"/>
        </w:rPr>
        <w:t xml:space="preserve">  </w:t>
      </w:r>
      <w:r>
        <w:rPr>
          <w:rFonts w:ascii="宋体" w:hAnsi="宋体" w:hint="eastAsia"/>
          <w:szCs w:val="21"/>
        </w:rPr>
        <w:t>）</w:t>
      </w:r>
      <w:r>
        <w:rPr>
          <w:rFonts w:ascii="宋体"/>
          <w:szCs w:val="21"/>
        </w:rPr>
        <w:br/>
      </w:r>
      <w:r>
        <w:rPr>
          <w:rFonts w:ascii="宋体" w:hAnsi="宋体"/>
          <w:szCs w:val="21"/>
        </w:rPr>
        <w:t xml:space="preserve">    A</w:t>
      </w:r>
      <w:r>
        <w:rPr>
          <w:rFonts w:ascii="宋体" w:hAnsi="宋体" w:hint="eastAsia"/>
          <w:szCs w:val="21"/>
        </w:rPr>
        <w:t>．外踝后缘中点上</w:t>
      </w:r>
      <w:r>
        <w:rPr>
          <w:rFonts w:ascii="宋体" w:hAnsi="宋体"/>
          <w:szCs w:val="21"/>
        </w:rPr>
        <w:t>3</w:t>
      </w:r>
      <w:r>
        <w:rPr>
          <w:rFonts w:ascii="宋体" w:hAnsi="宋体" w:hint="eastAsia"/>
          <w:szCs w:val="21"/>
        </w:rPr>
        <w:t>寸，腓骨后缘</w:t>
      </w:r>
      <w:r>
        <w:rPr>
          <w:rFonts w:ascii="宋体" w:hAnsi="宋体"/>
          <w:szCs w:val="21"/>
        </w:rPr>
        <w:t xml:space="preserve">    B</w:t>
      </w:r>
      <w:r>
        <w:rPr>
          <w:rFonts w:ascii="宋体" w:hAnsi="宋体" w:hint="eastAsia"/>
          <w:szCs w:val="21"/>
        </w:rPr>
        <w:t>．外踝前缘中点上</w:t>
      </w:r>
      <w:r>
        <w:rPr>
          <w:rFonts w:ascii="宋体" w:hAnsi="宋体"/>
          <w:szCs w:val="21"/>
        </w:rPr>
        <w:t>3</w:t>
      </w:r>
      <w:r>
        <w:rPr>
          <w:rFonts w:ascii="宋体" w:hAnsi="宋体" w:hint="eastAsia"/>
          <w:szCs w:val="21"/>
        </w:rPr>
        <w:t>寸，腓骨后缘</w:t>
      </w:r>
    </w:p>
    <w:p w:rsidR="003717A0" w:rsidRDefault="003717A0">
      <w:pPr>
        <w:spacing w:line="300" w:lineRule="auto"/>
        <w:rPr>
          <w:rFonts w:ascii="宋体"/>
          <w:szCs w:val="21"/>
        </w:rPr>
      </w:pPr>
      <w:r>
        <w:rPr>
          <w:rFonts w:ascii="宋体" w:hAnsi="宋体"/>
          <w:szCs w:val="21"/>
        </w:rPr>
        <w:t xml:space="preserve">    C</w:t>
      </w:r>
      <w:r>
        <w:rPr>
          <w:rFonts w:ascii="宋体" w:hAnsi="宋体" w:hint="eastAsia"/>
          <w:szCs w:val="21"/>
        </w:rPr>
        <w:t>．外踝下缘中点上</w:t>
      </w:r>
      <w:r>
        <w:rPr>
          <w:rFonts w:ascii="宋体" w:hAnsi="宋体"/>
          <w:szCs w:val="21"/>
        </w:rPr>
        <w:t>3</w:t>
      </w:r>
      <w:r>
        <w:rPr>
          <w:rFonts w:ascii="宋体" w:hAnsi="宋体" w:hint="eastAsia"/>
          <w:szCs w:val="21"/>
        </w:rPr>
        <w:t>寸，腓骨后缘</w:t>
      </w:r>
      <w:r>
        <w:rPr>
          <w:rFonts w:ascii="宋体" w:hAnsi="宋体"/>
          <w:szCs w:val="21"/>
        </w:rPr>
        <w:t xml:space="preserve">    D</w:t>
      </w:r>
      <w:r>
        <w:rPr>
          <w:rFonts w:ascii="宋体" w:hAnsi="宋体" w:hint="eastAsia"/>
          <w:szCs w:val="21"/>
        </w:rPr>
        <w:t>．外踝高点上</w:t>
      </w:r>
      <w:r>
        <w:rPr>
          <w:rFonts w:ascii="宋体" w:hAnsi="宋体"/>
          <w:szCs w:val="21"/>
        </w:rPr>
        <w:t>3</w:t>
      </w:r>
      <w:r>
        <w:rPr>
          <w:rFonts w:ascii="宋体" w:hAnsi="宋体" w:hint="eastAsia"/>
          <w:szCs w:val="21"/>
        </w:rPr>
        <w:t>寸，腓骨后缘</w:t>
      </w:r>
    </w:p>
    <w:p w:rsidR="003717A0" w:rsidRDefault="003717A0">
      <w:pPr>
        <w:spacing w:line="300" w:lineRule="auto"/>
        <w:rPr>
          <w:rFonts w:ascii="宋体"/>
          <w:szCs w:val="21"/>
        </w:rPr>
      </w:pPr>
      <w:r>
        <w:rPr>
          <w:rFonts w:ascii="宋体" w:hAnsi="宋体"/>
          <w:szCs w:val="21"/>
        </w:rPr>
        <w:t xml:space="preserve">    E</w:t>
      </w:r>
      <w:r>
        <w:rPr>
          <w:rFonts w:ascii="宋体" w:hAnsi="宋体" w:hint="eastAsia"/>
          <w:szCs w:val="21"/>
        </w:rPr>
        <w:t>．外踝上缘中点上</w:t>
      </w:r>
      <w:r>
        <w:rPr>
          <w:rFonts w:ascii="宋体" w:hAnsi="宋体"/>
          <w:szCs w:val="21"/>
        </w:rPr>
        <w:t>3</w:t>
      </w:r>
      <w:r>
        <w:rPr>
          <w:rFonts w:ascii="宋体" w:hAnsi="宋体" w:hint="eastAsia"/>
          <w:szCs w:val="21"/>
        </w:rPr>
        <w:t>寸，腓骨后缘</w:t>
      </w:r>
    </w:p>
    <w:p w:rsidR="003717A0" w:rsidRDefault="003717A0">
      <w:pPr>
        <w:spacing w:line="300" w:lineRule="auto"/>
        <w:rPr>
          <w:rFonts w:ascii="宋体"/>
          <w:szCs w:val="21"/>
        </w:rPr>
      </w:pPr>
      <w:r>
        <w:rPr>
          <w:rFonts w:ascii="宋体" w:hAnsi="宋体"/>
          <w:szCs w:val="21"/>
        </w:rPr>
        <w:t>17</w:t>
      </w:r>
      <w:r>
        <w:rPr>
          <w:rFonts w:ascii="宋体" w:hAnsi="宋体" w:hint="eastAsia"/>
          <w:szCs w:val="21"/>
        </w:rPr>
        <w:t>、张口取穴的腧穴有：（</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szCs w:val="21"/>
        </w:rPr>
        <w:br/>
        <w:t xml:space="preserve">    A</w:t>
      </w:r>
      <w:r>
        <w:rPr>
          <w:rFonts w:ascii="宋体" w:hAnsi="宋体" w:hint="eastAsia"/>
          <w:szCs w:val="21"/>
        </w:rPr>
        <w:t>．听会</w:t>
      </w:r>
      <w:r>
        <w:rPr>
          <w:rFonts w:ascii="宋体" w:hAnsi="宋体"/>
          <w:szCs w:val="21"/>
        </w:rPr>
        <w:t xml:space="preserve">  B</w:t>
      </w:r>
      <w:r>
        <w:rPr>
          <w:rFonts w:ascii="宋体" w:hAnsi="宋体" w:hint="eastAsia"/>
          <w:szCs w:val="21"/>
        </w:rPr>
        <w:t>．颧髎</w:t>
      </w:r>
      <w:r>
        <w:rPr>
          <w:rFonts w:ascii="宋体" w:hAnsi="宋体"/>
          <w:szCs w:val="21"/>
        </w:rPr>
        <w:t xml:space="preserve">   C</w:t>
      </w:r>
      <w:r>
        <w:rPr>
          <w:rFonts w:ascii="宋体" w:hAnsi="宋体" w:hint="eastAsia"/>
          <w:szCs w:val="21"/>
        </w:rPr>
        <w:t>．风池</w:t>
      </w:r>
      <w:r>
        <w:rPr>
          <w:rFonts w:ascii="宋体"/>
          <w:szCs w:val="21"/>
        </w:rPr>
        <w:t> </w:t>
      </w:r>
      <w:r>
        <w:rPr>
          <w:rFonts w:ascii="宋体" w:hAnsi="宋体"/>
          <w:szCs w:val="21"/>
        </w:rPr>
        <w:t xml:space="preserve">  D</w:t>
      </w:r>
      <w:r>
        <w:rPr>
          <w:rFonts w:ascii="宋体" w:hAnsi="宋体" w:hint="eastAsia"/>
          <w:szCs w:val="21"/>
        </w:rPr>
        <w:t>．完骨</w:t>
      </w:r>
      <w:r>
        <w:rPr>
          <w:rFonts w:ascii="宋体" w:hAnsi="宋体"/>
          <w:szCs w:val="21"/>
        </w:rPr>
        <w:t xml:space="preserve">   E</w:t>
      </w:r>
      <w:r>
        <w:rPr>
          <w:rFonts w:ascii="宋体" w:hAnsi="宋体" w:hint="eastAsia"/>
          <w:szCs w:val="21"/>
        </w:rPr>
        <w:t>．下关</w:t>
      </w:r>
    </w:p>
    <w:p w:rsidR="003717A0" w:rsidRDefault="003717A0">
      <w:pPr>
        <w:spacing w:line="300" w:lineRule="auto"/>
        <w:ind w:left="420" w:hangingChars="200" w:hanging="420"/>
        <w:rPr>
          <w:rFonts w:ascii="宋体"/>
          <w:szCs w:val="21"/>
        </w:rPr>
      </w:pPr>
      <w:r>
        <w:rPr>
          <w:rFonts w:ascii="宋体" w:hAnsi="宋体"/>
          <w:szCs w:val="21"/>
        </w:rPr>
        <w:t>18</w:t>
      </w:r>
      <w:r>
        <w:rPr>
          <w:rFonts w:ascii="宋体" w:hAnsi="宋体" w:hint="eastAsia"/>
          <w:szCs w:val="21"/>
        </w:rPr>
        <w:t>、两穴均与脐相平的是（</w:t>
      </w:r>
      <w:r>
        <w:rPr>
          <w:rFonts w:ascii="宋体" w:hAnsi="宋体"/>
          <w:szCs w:val="21"/>
        </w:rPr>
        <w:t xml:space="preserve">   </w:t>
      </w:r>
      <w:r>
        <w:rPr>
          <w:rFonts w:ascii="宋体" w:hAnsi="宋体" w:hint="eastAsia"/>
          <w:szCs w:val="21"/>
        </w:rPr>
        <w:t>）</w:t>
      </w:r>
      <w:r>
        <w:rPr>
          <w:rFonts w:ascii="宋体"/>
          <w:szCs w:val="21"/>
        </w:rPr>
        <w:br/>
      </w:r>
      <w:r>
        <w:rPr>
          <w:rFonts w:ascii="宋体" w:hAnsi="宋体"/>
          <w:szCs w:val="21"/>
        </w:rPr>
        <w:t>A</w:t>
      </w:r>
      <w:r>
        <w:rPr>
          <w:rFonts w:ascii="宋体" w:hAnsi="宋体" w:hint="eastAsia"/>
          <w:szCs w:val="21"/>
        </w:rPr>
        <w:t>．天枢、章门</w:t>
      </w:r>
      <w:r>
        <w:rPr>
          <w:rFonts w:ascii="宋体" w:hAnsi="宋体"/>
          <w:szCs w:val="21"/>
        </w:rPr>
        <w:t xml:space="preserve">  B</w:t>
      </w:r>
      <w:r>
        <w:rPr>
          <w:rFonts w:ascii="宋体" w:hAnsi="宋体" w:hint="eastAsia"/>
          <w:szCs w:val="21"/>
        </w:rPr>
        <w:t>．大横、带脉</w:t>
      </w:r>
      <w:r>
        <w:rPr>
          <w:rFonts w:ascii="宋体" w:hAnsi="宋体"/>
          <w:szCs w:val="21"/>
        </w:rPr>
        <w:t xml:space="preserve">  C</w:t>
      </w:r>
      <w:r>
        <w:rPr>
          <w:rFonts w:ascii="宋体" w:hAnsi="宋体" w:hint="eastAsia"/>
          <w:szCs w:val="21"/>
        </w:rPr>
        <w:t>．大都、肓俞</w:t>
      </w:r>
      <w:r>
        <w:rPr>
          <w:rFonts w:ascii="宋体" w:hAnsi="宋体"/>
          <w:szCs w:val="21"/>
        </w:rPr>
        <w:t xml:space="preserve">  </w:t>
      </w:r>
    </w:p>
    <w:p w:rsidR="003717A0" w:rsidRDefault="003717A0">
      <w:pPr>
        <w:spacing w:line="300" w:lineRule="auto"/>
        <w:ind w:leftChars="200" w:left="420"/>
        <w:rPr>
          <w:rFonts w:ascii="宋体"/>
          <w:szCs w:val="21"/>
        </w:rPr>
      </w:pPr>
      <w:r>
        <w:rPr>
          <w:rFonts w:ascii="宋体" w:hAnsi="宋体"/>
          <w:szCs w:val="21"/>
        </w:rPr>
        <w:t>D</w:t>
      </w:r>
      <w:r>
        <w:rPr>
          <w:rFonts w:ascii="宋体" w:hAnsi="宋体" w:hint="eastAsia"/>
          <w:szCs w:val="21"/>
        </w:rPr>
        <w:t>．天枢、期门</w:t>
      </w:r>
      <w:r>
        <w:rPr>
          <w:rFonts w:ascii="宋体" w:hAnsi="宋体"/>
          <w:szCs w:val="21"/>
        </w:rPr>
        <w:t xml:space="preserve">  E. </w:t>
      </w:r>
      <w:r>
        <w:rPr>
          <w:rFonts w:ascii="宋体" w:hAnsi="宋体" w:hint="eastAsia"/>
          <w:szCs w:val="21"/>
        </w:rPr>
        <w:t>带脉、日月</w:t>
      </w:r>
    </w:p>
    <w:p w:rsidR="003717A0" w:rsidRDefault="003717A0">
      <w:pPr>
        <w:spacing w:line="300" w:lineRule="auto"/>
        <w:rPr>
          <w:rFonts w:ascii="宋体"/>
          <w:szCs w:val="21"/>
        </w:rPr>
      </w:pPr>
      <w:r>
        <w:rPr>
          <w:rFonts w:ascii="宋体" w:hAnsi="宋体"/>
          <w:szCs w:val="21"/>
        </w:rPr>
        <w:t>19</w:t>
      </w:r>
      <w:r>
        <w:rPr>
          <w:rFonts w:ascii="宋体" w:hAnsi="宋体" w:hint="eastAsia"/>
          <w:szCs w:val="21"/>
        </w:rPr>
        <w:t>、劳宫穴在掌心横纹中，位于：</w:t>
      </w:r>
      <w:r>
        <w:rPr>
          <w:rFonts w:ascii="宋体" w:hAnsi="宋体"/>
          <w:szCs w:val="21"/>
        </w:rPr>
        <w:t>(  )</w:t>
      </w:r>
      <w:r>
        <w:rPr>
          <w:rFonts w:ascii="宋体" w:hAnsi="宋体"/>
          <w:szCs w:val="21"/>
        </w:rPr>
        <w:br/>
        <w:t xml:space="preserve">    A</w:t>
      </w:r>
      <w:r>
        <w:rPr>
          <w:rFonts w:ascii="宋体" w:hAnsi="宋体" w:hint="eastAsia"/>
          <w:szCs w:val="21"/>
        </w:rPr>
        <w:t>．第一、二掌骨间</w:t>
      </w:r>
      <w:r>
        <w:rPr>
          <w:rFonts w:ascii="宋体" w:hAnsi="宋体"/>
          <w:szCs w:val="21"/>
        </w:rPr>
        <w:t xml:space="preserve">   B</w:t>
      </w:r>
      <w:r>
        <w:rPr>
          <w:rFonts w:ascii="宋体" w:hAnsi="宋体" w:hint="eastAsia"/>
          <w:szCs w:val="21"/>
        </w:rPr>
        <w:t>．第二、三掌骨间</w:t>
      </w:r>
      <w:r>
        <w:rPr>
          <w:rFonts w:ascii="宋体" w:hAnsi="宋体"/>
          <w:szCs w:val="21"/>
        </w:rPr>
        <w:t xml:space="preserve">   C</w:t>
      </w:r>
      <w:r>
        <w:rPr>
          <w:rFonts w:ascii="宋体" w:hAnsi="宋体" w:hint="eastAsia"/>
          <w:szCs w:val="21"/>
        </w:rPr>
        <w:t>．第三、四掌骨间</w:t>
      </w:r>
      <w:r>
        <w:rPr>
          <w:rFonts w:ascii="宋体" w:hAnsi="宋体"/>
          <w:szCs w:val="21"/>
        </w:rPr>
        <w:t xml:space="preserve">   </w:t>
      </w:r>
    </w:p>
    <w:p w:rsidR="003717A0" w:rsidRDefault="003717A0">
      <w:pPr>
        <w:spacing w:line="300" w:lineRule="auto"/>
        <w:ind w:firstLine="420"/>
        <w:rPr>
          <w:rFonts w:ascii="宋体"/>
          <w:szCs w:val="21"/>
        </w:rPr>
      </w:pPr>
      <w:r>
        <w:rPr>
          <w:rFonts w:ascii="宋体" w:hAnsi="宋体"/>
          <w:szCs w:val="21"/>
        </w:rPr>
        <w:t>D</w:t>
      </w:r>
      <w:r>
        <w:rPr>
          <w:rFonts w:ascii="宋体" w:hAnsi="宋体" w:hint="eastAsia"/>
          <w:szCs w:val="21"/>
        </w:rPr>
        <w:t>．第四、五掌骨间</w:t>
      </w:r>
      <w:r>
        <w:rPr>
          <w:rFonts w:ascii="宋体" w:hAnsi="宋体"/>
          <w:szCs w:val="21"/>
        </w:rPr>
        <w:t xml:space="preserve">   E</w:t>
      </w:r>
      <w:r>
        <w:rPr>
          <w:rFonts w:ascii="宋体" w:hAnsi="宋体" w:hint="eastAsia"/>
          <w:szCs w:val="21"/>
        </w:rPr>
        <w:t>．以上都不是</w:t>
      </w:r>
      <w:r>
        <w:rPr>
          <w:rFonts w:ascii="宋体"/>
          <w:szCs w:val="21"/>
        </w:rPr>
        <w:br/>
      </w:r>
      <w:r>
        <w:rPr>
          <w:rFonts w:ascii="宋体" w:hAnsi="宋体"/>
          <w:szCs w:val="21"/>
        </w:rPr>
        <w:t>20</w:t>
      </w:r>
      <w:r>
        <w:rPr>
          <w:rFonts w:ascii="宋体" w:hAnsi="宋体" w:hint="eastAsia"/>
          <w:szCs w:val="21"/>
        </w:rPr>
        <w:t>、下列腧穴中，归经错误的是：（</w:t>
      </w:r>
      <w:r>
        <w:rPr>
          <w:rFonts w:ascii="宋体"/>
          <w:szCs w:val="21"/>
        </w:rPr>
        <w:t>   </w:t>
      </w:r>
      <w:r>
        <w:rPr>
          <w:rFonts w:ascii="宋体" w:hAnsi="宋体"/>
          <w:szCs w:val="21"/>
        </w:rPr>
        <w:t xml:space="preserve"> </w:t>
      </w:r>
      <w:r>
        <w:rPr>
          <w:rFonts w:ascii="宋体" w:hAnsi="宋体" w:hint="eastAsia"/>
          <w:szCs w:val="21"/>
        </w:rPr>
        <w:t>）</w:t>
      </w:r>
      <w:r>
        <w:rPr>
          <w:rFonts w:ascii="宋体" w:hAnsi="宋体"/>
          <w:szCs w:val="21"/>
        </w:rPr>
        <w:t xml:space="preserve"> </w:t>
      </w:r>
      <w:r>
        <w:rPr>
          <w:rFonts w:ascii="宋体" w:hAnsi="宋体"/>
          <w:szCs w:val="21"/>
        </w:rPr>
        <w:br/>
        <w:t xml:space="preserve">    A</w:t>
      </w:r>
      <w:r>
        <w:rPr>
          <w:rFonts w:ascii="宋体" w:hAnsi="宋体" w:hint="eastAsia"/>
          <w:szCs w:val="21"/>
        </w:rPr>
        <w:t>．合谷</w:t>
      </w:r>
      <w:r>
        <w:rPr>
          <w:rFonts w:ascii="宋体"/>
          <w:szCs w:val="21"/>
        </w:rPr>
        <w:t>-</w:t>
      </w:r>
      <w:r>
        <w:rPr>
          <w:rFonts w:ascii="宋体" w:hAnsi="宋体" w:hint="eastAsia"/>
          <w:szCs w:val="21"/>
        </w:rPr>
        <w:t>大肠经</w:t>
      </w:r>
      <w:r>
        <w:rPr>
          <w:rFonts w:ascii="宋体" w:hAnsi="宋体"/>
          <w:szCs w:val="21"/>
        </w:rPr>
        <w:t xml:space="preserve">    B</w:t>
      </w:r>
      <w:r>
        <w:rPr>
          <w:rFonts w:ascii="宋体" w:hAnsi="宋体" w:hint="eastAsia"/>
          <w:szCs w:val="21"/>
        </w:rPr>
        <w:t>．关冲</w:t>
      </w:r>
      <w:r>
        <w:rPr>
          <w:rFonts w:ascii="宋体"/>
          <w:szCs w:val="21"/>
        </w:rPr>
        <w:t>-</w:t>
      </w:r>
      <w:r>
        <w:rPr>
          <w:rFonts w:ascii="宋体" w:hAnsi="宋体" w:hint="eastAsia"/>
          <w:szCs w:val="21"/>
        </w:rPr>
        <w:t>心包经</w:t>
      </w:r>
      <w:r>
        <w:rPr>
          <w:rFonts w:ascii="宋体" w:hAnsi="宋体"/>
          <w:szCs w:val="21"/>
        </w:rPr>
        <w:t xml:space="preserve">    C</w:t>
      </w:r>
      <w:r>
        <w:rPr>
          <w:rFonts w:ascii="宋体" w:hAnsi="宋体" w:hint="eastAsia"/>
          <w:szCs w:val="21"/>
        </w:rPr>
        <w:t>．列缺</w:t>
      </w:r>
      <w:r>
        <w:rPr>
          <w:rFonts w:ascii="宋体"/>
          <w:szCs w:val="21"/>
        </w:rPr>
        <w:t>-</w:t>
      </w:r>
      <w:r>
        <w:rPr>
          <w:rFonts w:ascii="宋体" w:hAnsi="宋体" w:hint="eastAsia"/>
          <w:szCs w:val="21"/>
        </w:rPr>
        <w:t>肺经</w:t>
      </w:r>
      <w:r>
        <w:rPr>
          <w:rFonts w:ascii="宋体" w:hAnsi="宋体"/>
          <w:szCs w:val="21"/>
        </w:rPr>
        <w:t xml:space="preserve"> </w:t>
      </w:r>
    </w:p>
    <w:p w:rsidR="003717A0" w:rsidRDefault="003717A0">
      <w:pPr>
        <w:spacing w:line="300" w:lineRule="auto"/>
        <w:ind w:firstLine="420"/>
        <w:rPr>
          <w:rFonts w:ascii="宋体"/>
          <w:szCs w:val="21"/>
        </w:rPr>
      </w:pPr>
      <w:r>
        <w:rPr>
          <w:rFonts w:ascii="宋体" w:hAnsi="宋体"/>
          <w:szCs w:val="21"/>
        </w:rPr>
        <w:t>D</w:t>
      </w:r>
      <w:r>
        <w:rPr>
          <w:rFonts w:ascii="宋体" w:hAnsi="宋体" w:hint="eastAsia"/>
          <w:szCs w:val="21"/>
        </w:rPr>
        <w:t>．阳陵泉</w:t>
      </w:r>
      <w:r>
        <w:rPr>
          <w:rFonts w:ascii="宋体"/>
          <w:szCs w:val="21"/>
        </w:rPr>
        <w:t>-</w:t>
      </w:r>
      <w:r>
        <w:rPr>
          <w:rFonts w:ascii="宋体" w:hAnsi="宋体" w:hint="eastAsia"/>
          <w:szCs w:val="21"/>
        </w:rPr>
        <w:t>胆经</w:t>
      </w:r>
      <w:r>
        <w:rPr>
          <w:rFonts w:ascii="宋体" w:hAnsi="宋体"/>
          <w:szCs w:val="21"/>
        </w:rPr>
        <w:t xml:space="preserve">    E</w:t>
      </w:r>
      <w:r>
        <w:rPr>
          <w:rFonts w:ascii="宋体" w:hAnsi="宋体" w:hint="eastAsia"/>
          <w:szCs w:val="21"/>
        </w:rPr>
        <w:t>．地机</w:t>
      </w:r>
      <w:r>
        <w:rPr>
          <w:rFonts w:ascii="宋体"/>
          <w:szCs w:val="21"/>
        </w:rPr>
        <w:t>-</w:t>
      </w:r>
      <w:r>
        <w:rPr>
          <w:rFonts w:ascii="宋体" w:hAnsi="宋体" w:hint="eastAsia"/>
          <w:szCs w:val="21"/>
        </w:rPr>
        <w:t>脾经</w:t>
      </w:r>
    </w:p>
    <w:p w:rsidR="003717A0" w:rsidRDefault="003717A0">
      <w:pPr>
        <w:spacing w:line="300" w:lineRule="auto"/>
        <w:jc w:val="left"/>
        <w:rPr>
          <w:rFonts w:ascii="宋体"/>
          <w:szCs w:val="21"/>
        </w:rPr>
      </w:pPr>
      <w:r>
        <w:rPr>
          <w:rFonts w:ascii="宋体" w:hAnsi="宋体"/>
          <w:szCs w:val="21"/>
        </w:rPr>
        <w:t>21</w:t>
      </w:r>
      <w:r>
        <w:rPr>
          <w:rFonts w:ascii="宋体" w:hAnsi="宋体" w:hint="eastAsia"/>
          <w:szCs w:val="21"/>
        </w:rPr>
        <w:t>、足三阴经在小腿部下段正确的分布是：（</w:t>
      </w:r>
      <w:r>
        <w:rPr>
          <w:rFonts w:ascii="宋体" w:hAnsi="宋体"/>
          <w:szCs w:val="21"/>
        </w:rPr>
        <w:t xml:space="preserve">  </w:t>
      </w:r>
      <w:r>
        <w:rPr>
          <w:rFonts w:ascii="宋体" w:hAnsi="宋体" w:hint="eastAsia"/>
          <w:szCs w:val="21"/>
        </w:rPr>
        <w:t>）</w:t>
      </w:r>
      <w:r>
        <w:rPr>
          <w:rFonts w:ascii="宋体"/>
          <w:szCs w:val="21"/>
        </w:rPr>
        <w:br/>
      </w:r>
      <w:r>
        <w:rPr>
          <w:rFonts w:ascii="宋体" w:hAnsi="宋体"/>
          <w:szCs w:val="21"/>
        </w:rPr>
        <w:t xml:space="preserve">    A</w:t>
      </w:r>
      <w:r>
        <w:rPr>
          <w:rFonts w:ascii="宋体" w:hAnsi="宋体" w:hint="eastAsia"/>
          <w:szCs w:val="21"/>
        </w:rPr>
        <w:t>．太阴在前</w:t>
      </w:r>
      <w:r>
        <w:rPr>
          <w:rFonts w:ascii="宋体" w:hAnsi="宋体"/>
          <w:szCs w:val="21"/>
        </w:rPr>
        <w:t xml:space="preserve"> , </w:t>
      </w:r>
      <w:r>
        <w:rPr>
          <w:rFonts w:ascii="宋体" w:hAnsi="宋体" w:hint="eastAsia"/>
          <w:szCs w:val="21"/>
        </w:rPr>
        <w:t>厥阴在中</w:t>
      </w:r>
      <w:r>
        <w:rPr>
          <w:rFonts w:ascii="宋体" w:hAnsi="宋体"/>
          <w:szCs w:val="21"/>
        </w:rPr>
        <w:t xml:space="preserve"> , </w:t>
      </w:r>
      <w:r>
        <w:rPr>
          <w:rFonts w:ascii="宋体" w:hAnsi="宋体" w:hint="eastAsia"/>
          <w:szCs w:val="21"/>
        </w:rPr>
        <w:t>少阴在后</w:t>
      </w:r>
      <w:r>
        <w:rPr>
          <w:rFonts w:ascii="宋体" w:hAnsi="宋体"/>
          <w:szCs w:val="21"/>
        </w:rPr>
        <w:t xml:space="preserve">  B</w:t>
      </w:r>
      <w:r>
        <w:rPr>
          <w:rFonts w:ascii="宋体" w:hAnsi="宋体" w:hint="eastAsia"/>
          <w:szCs w:val="21"/>
        </w:rPr>
        <w:t>．厥阴在前</w:t>
      </w:r>
      <w:r>
        <w:rPr>
          <w:rFonts w:ascii="宋体" w:hAnsi="宋体"/>
          <w:szCs w:val="21"/>
        </w:rPr>
        <w:t xml:space="preserve"> , </w:t>
      </w:r>
      <w:r>
        <w:rPr>
          <w:rFonts w:ascii="宋体" w:hAnsi="宋体" w:hint="eastAsia"/>
          <w:szCs w:val="21"/>
        </w:rPr>
        <w:t>少阴在中</w:t>
      </w:r>
      <w:r>
        <w:rPr>
          <w:rFonts w:ascii="宋体" w:hAnsi="宋体"/>
          <w:szCs w:val="21"/>
        </w:rPr>
        <w:t xml:space="preserve"> , </w:t>
      </w:r>
      <w:r>
        <w:rPr>
          <w:rFonts w:ascii="宋体" w:hAnsi="宋体" w:hint="eastAsia"/>
          <w:szCs w:val="21"/>
        </w:rPr>
        <w:t>太阴在后</w:t>
      </w:r>
      <w:r>
        <w:rPr>
          <w:rFonts w:ascii="宋体" w:hAnsi="宋体"/>
          <w:szCs w:val="21"/>
        </w:rPr>
        <w:t xml:space="preserve"> </w:t>
      </w:r>
      <w:r>
        <w:rPr>
          <w:rFonts w:ascii="宋体" w:hAnsi="宋体"/>
          <w:szCs w:val="21"/>
        </w:rPr>
        <w:br/>
        <w:t xml:space="preserve">    C</w:t>
      </w:r>
      <w:r>
        <w:rPr>
          <w:rFonts w:ascii="宋体" w:hAnsi="宋体" w:hint="eastAsia"/>
          <w:szCs w:val="21"/>
        </w:rPr>
        <w:t>．太阴在前</w:t>
      </w:r>
      <w:r>
        <w:rPr>
          <w:rFonts w:ascii="宋体" w:hAnsi="宋体"/>
          <w:szCs w:val="21"/>
        </w:rPr>
        <w:t xml:space="preserve"> , </w:t>
      </w:r>
      <w:r>
        <w:rPr>
          <w:rFonts w:ascii="宋体" w:hAnsi="宋体" w:hint="eastAsia"/>
          <w:szCs w:val="21"/>
        </w:rPr>
        <w:t>少阴在中</w:t>
      </w:r>
      <w:r>
        <w:rPr>
          <w:rFonts w:ascii="宋体" w:hAnsi="宋体"/>
          <w:szCs w:val="21"/>
        </w:rPr>
        <w:t xml:space="preserve"> , </w:t>
      </w:r>
      <w:r>
        <w:rPr>
          <w:rFonts w:ascii="宋体" w:hAnsi="宋体" w:hint="eastAsia"/>
          <w:szCs w:val="21"/>
        </w:rPr>
        <w:t>厥阴在后</w:t>
      </w:r>
      <w:r>
        <w:rPr>
          <w:rFonts w:ascii="宋体" w:hAnsi="宋体"/>
          <w:szCs w:val="21"/>
        </w:rPr>
        <w:t xml:space="preserve">  D</w:t>
      </w:r>
      <w:r>
        <w:rPr>
          <w:rFonts w:ascii="宋体" w:hAnsi="宋体" w:hint="eastAsia"/>
          <w:szCs w:val="21"/>
        </w:rPr>
        <w:t>．厥阴在前</w:t>
      </w:r>
      <w:r>
        <w:rPr>
          <w:rFonts w:ascii="宋体" w:hAnsi="宋体"/>
          <w:szCs w:val="21"/>
        </w:rPr>
        <w:t xml:space="preserve"> , </w:t>
      </w:r>
      <w:r>
        <w:rPr>
          <w:rFonts w:ascii="宋体" w:hAnsi="宋体" w:hint="eastAsia"/>
          <w:szCs w:val="21"/>
        </w:rPr>
        <w:t>太阴在中</w:t>
      </w:r>
      <w:r>
        <w:rPr>
          <w:rFonts w:ascii="宋体" w:hAnsi="宋体"/>
          <w:szCs w:val="21"/>
        </w:rPr>
        <w:t xml:space="preserve"> , </w:t>
      </w:r>
      <w:r>
        <w:rPr>
          <w:rFonts w:ascii="宋体" w:hAnsi="宋体" w:hint="eastAsia"/>
          <w:szCs w:val="21"/>
        </w:rPr>
        <w:t>少阴在后</w:t>
      </w:r>
      <w:r>
        <w:rPr>
          <w:rFonts w:ascii="宋体" w:hAnsi="宋体"/>
          <w:szCs w:val="21"/>
        </w:rPr>
        <w:t xml:space="preserve"> </w:t>
      </w:r>
    </w:p>
    <w:p w:rsidR="003717A0" w:rsidRDefault="003717A0">
      <w:pPr>
        <w:spacing w:line="300" w:lineRule="auto"/>
        <w:ind w:firstLineChars="200" w:firstLine="420"/>
        <w:rPr>
          <w:rFonts w:ascii="宋体"/>
          <w:szCs w:val="21"/>
        </w:rPr>
      </w:pPr>
      <w:r>
        <w:rPr>
          <w:rFonts w:ascii="宋体" w:hAnsi="宋体"/>
          <w:szCs w:val="21"/>
        </w:rPr>
        <w:lastRenderedPageBreak/>
        <w:t>E</w:t>
      </w:r>
      <w:r>
        <w:rPr>
          <w:rFonts w:ascii="宋体" w:hAnsi="宋体" w:hint="eastAsia"/>
          <w:szCs w:val="21"/>
        </w:rPr>
        <w:t>．以上都不是</w:t>
      </w:r>
    </w:p>
    <w:p w:rsidR="003717A0" w:rsidRDefault="003717A0">
      <w:pPr>
        <w:spacing w:line="300" w:lineRule="auto"/>
        <w:rPr>
          <w:rFonts w:ascii="宋体"/>
          <w:szCs w:val="21"/>
        </w:rPr>
      </w:pPr>
      <w:r>
        <w:rPr>
          <w:rFonts w:ascii="宋体" w:hAnsi="宋体"/>
          <w:szCs w:val="21"/>
        </w:rPr>
        <w:t>22</w:t>
      </w:r>
      <w:r>
        <w:rPr>
          <w:rFonts w:ascii="宋体" w:hAnsi="宋体" w:hint="eastAsia"/>
          <w:szCs w:val="21"/>
        </w:rPr>
        <w:t>、下列哪一组穴位可用仰靠坐位</w:t>
      </w:r>
      <w:r>
        <w:rPr>
          <w:rFonts w:ascii="宋体" w:hAnsi="宋体"/>
          <w:szCs w:val="21"/>
        </w:rPr>
        <w:t>?</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szCs w:val="21"/>
        </w:rPr>
        <w:br/>
      </w:r>
      <w:r>
        <w:rPr>
          <w:rFonts w:ascii="宋体" w:hAnsi="宋体"/>
          <w:szCs w:val="21"/>
        </w:rPr>
        <w:t>A.</w:t>
      </w:r>
      <w:r>
        <w:rPr>
          <w:rFonts w:ascii="宋体" w:hAnsi="宋体" w:hint="eastAsia"/>
          <w:szCs w:val="21"/>
        </w:rPr>
        <w:t>大椎、风池、曲池、血海</w:t>
      </w:r>
      <w:r>
        <w:rPr>
          <w:rFonts w:ascii="宋体" w:hAnsi="宋体"/>
          <w:szCs w:val="21"/>
        </w:rPr>
        <w:t xml:space="preserve">  B.</w:t>
      </w:r>
      <w:r>
        <w:rPr>
          <w:rFonts w:ascii="宋体" w:hAnsi="宋体" w:hint="eastAsia"/>
          <w:szCs w:val="21"/>
        </w:rPr>
        <w:t>印堂、哑门、肺俞、足三里</w:t>
      </w:r>
      <w:r>
        <w:rPr>
          <w:rFonts w:ascii="宋体" w:hAnsi="宋体"/>
          <w:szCs w:val="21"/>
        </w:rPr>
        <w:t xml:space="preserve">  C.</w:t>
      </w:r>
      <w:r>
        <w:rPr>
          <w:rFonts w:ascii="宋体" w:hAnsi="宋体" w:hint="eastAsia"/>
          <w:szCs w:val="21"/>
        </w:rPr>
        <w:t>上星、迎香、膻中、照海</w:t>
      </w:r>
      <w:r>
        <w:rPr>
          <w:rFonts w:ascii="宋体"/>
          <w:szCs w:val="21"/>
        </w:rPr>
        <w:br/>
      </w:r>
      <w:r>
        <w:rPr>
          <w:rFonts w:ascii="宋体" w:hAnsi="宋体"/>
          <w:szCs w:val="21"/>
        </w:rPr>
        <w:t>D.</w:t>
      </w:r>
      <w:r>
        <w:rPr>
          <w:rFonts w:ascii="宋体" w:hAnsi="宋体" w:hint="eastAsia"/>
          <w:szCs w:val="21"/>
        </w:rPr>
        <w:t>人中、肾俞、委中、昆仑</w:t>
      </w:r>
      <w:r>
        <w:rPr>
          <w:rFonts w:ascii="宋体" w:hAnsi="宋体"/>
          <w:szCs w:val="21"/>
        </w:rPr>
        <w:t xml:space="preserve">  E.</w:t>
      </w:r>
      <w:r>
        <w:rPr>
          <w:rFonts w:ascii="宋体" w:hAnsi="宋体" w:hint="eastAsia"/>
          <w:szCs w:val="21"/>
        </w:rPr>
        <w:t>百会、腰阳关、环跳、阳陵泉</w:t>
      </w:r>
      <w:r>
        <w:rPr>
          <w:rFonts w:ascii="宋体"/>
          <w:szCs w:val="21"/>
        </w:rPr>
        <w:br/>
      </w:r>
      <w:r>
        <w:rPr>
          <w:rFonts w:ascii="宋体" w:hAnsi="宋体"/>
          <w:szCs w:val="21"/>
        </w:rPr>
        <w:t>23</w:t>
      </w:r>
      <w:r>
        <w:rPr>
          <w:rFonts w:ascii="宋体" w:hAnsi="宋体" w:hint="eastAsia"/>
          <w:szCs w:val="21"/>
        </w:rPr>
        <w:t>、</w:t>
      </w:r>
      <w:r>
        <w:rPr>
          <w:rFonts w:ascii="??" w:hAnsi="??" w:hint="eastAsia"/>
          <w:szCs w:val="21"/>
        </w:rPr>
        <w:t>治痰的要穴是：（</w:t>
      </w:r>
      <w:r>
        <w:rPr>
          <w:rFonts w:ascii="??" w:hAnsi="??"/>
          <w:szCs w:val="21"/>
        </w:rPr>
        <w:t xml:space="preserve">   </w:t>
      </w:r>
      <w:r>
        <w:rPr>
          <w:rFonts w:ascii="??" w:hAnsi="??" w:hint="eastAsia"/>
          <w:szCs w:val="21"/>
        </w:rPr>
        <w:t>）</w:t>
      </w:r>
      <w:r>
        <w:rPr>
          <w:rFonts w:ascii="??" w:hAnsi="??"/>
          <w:szCs w:val="21"/>
        </w:rPr>
        <w:br/>
      </w:r>
      <w:r>
        <w:rPr>
          <w:rFonts w:ascii="??" w:hAnsi="??" w:hint="eastAsia"/>
          <w:szCs w:val="21"/>
        </w:rPr>
        <w:t xml:space="preserve">　</w:t>
      </w:r>
      <w:r>
        <w:rPr>
          <w:rFonts w:ascii="??" w:hAnsi="??"/>
          <w:szCs w:val="21"/>
        </w:rPr>
        <w:t xml:space="preserve">  </w:t>
      </w:r>
      <w:r>
        <w:rPr>
          <w:rFonts w:ascii="宋体" w:hAnsi="宋体"/>
          <w:szCs w:val="21"/>
        </w:rPr>
        <w:t>A</w:t>
      </w:r>
      <w:r>
        <w:rPr>
          <w:rFonts w:ascii="宋体"/>
          <w:szCs w:val="21"/>
        </w:rPr>
        <w:t>.</w:t>
      </w:r>
      <w:r>
        <w:rPr>
          <w:rFonts w:ascii="宋体" w:hAnsi="宋体" w:hint="eastAsia"/>
          <w:szCs w:val="21"/>
        </w:rPr>
        <w:t>曲池</w:t>
      </w:r>
      <w:r>
        <w:rPr>
          <w:rFonts w:ascii="宋体" w:hAnsi="宋体"/>
          <w:szCs w:val="21"/>
        </w:rPr>
        <w:t xml:space="preserve">  B</w:t>
      </w:r>
      <w:r>
        <w:rPr>
          <w:rFonts w:ascii="宋体"/>
          <w:szCs w:val="21"/>
        </w:rPr>
        <w:t>.</w:t>
      </w:r>
      <w:r>
        <w:rPr>
          <w:rFonts w:ascii="宋体" w:hAnsi="宋体" w:hint="eastAsia"/>
          <w:szCs w:val="21"/>
        </w:rPr>
        <w:t>足三里</w:t>
      </w:r>
      <w:r>
        <w:rPr>
          <w:rFonts w:ascii="宋体" w:hAnsi="宋体"/>
          <w:szCs w:val="21"/>
        </w:rPr>
        <w:t xml:space="preserve">   C</w:t>
      </w:r>
      <w:r>
        <w:rPr>
          <w:rFonts w:ascii="宋体"/>
          <w:szCs w:val="21"/>
        </w:rPr>
        <w:t>.</w:t>
      </w:r>
      <w:r>
        <w:rPr>
          <w:rFonts w:ascii="宋体" w:hAnsi="宋体" w:hint="eastAsia"/>
          <w:szCs w:val="21"/>
        </w:rPr>
        <w:t>少商</w:t>
      </w:r>
      <w:r>
        <w:rPr>
          <w:rFonts w:ascii="宋体" w:hAnsi="宋体"/>
          <w:szCs w:val="21"/>
        </w:rPr>
        <w:t xml:space="preserve">   D</w:t>
      </w:r>
      <w:r>
        <w:rPr>
          <w:rFonts w:ascii="宋体"/>
          <w:szCs w:val="21"/>
        </w:rPr>
        <w:t>.</w:t>
      </w:r>
      <w:r>
        <w:rPr>
          <w:rFonts w:ascii="宋体" w:hAnsi="宋体" w:hint="eastAsia"/>
          <w:szCs w:val="21"/>
        </w:rPr>
        <w:t>脾俞</w:t>
      </w:r>
      <w:r>
        <w:rPr>
          <w:rFonts w:ascii="宋体" w:hAnsi="宋体"/>
          <w:szCs w:val="21"/>
        </w:rPr>
        <w:t xml:space="preserve">  E</w:t>
      </w:r>
      <w:r>
        <w:rPr>
          <w:rFonts w:ascii="宋体"/>
          <w:szCs w:val="21"/>
        </w:rPr>
        <w:t>.</w:t>
      </w:r>
      <w:r>
        <w:rPr>
          <w:rFonts w:ascii="宋体" w:hAnsi="宋体" w:hint="eastAsia"/>
          <w:szCs w:val="21"/>
        </w:rPr>
        <w:t>丰隆</w:t>
      </w:r>
    </w:p>
    <w:p w:rsidR="003717A0" w:rsidRDefault="003717A0">
      <w:pPr>
        <w:spacing w:line="300" w:lineRule="auto"/>
        <w:rPr>
          <w:rFonts w:ascii="??" w:hAnsi="??"/>
          <w:szCs w:val="21"/>
        </w:rPr>
      </w:pPr>
      <w:r>
        <w:rPr>
          <w:rFonts w:ascii="宋体" w:hAnsi="宋体"/>
          <w:szCs w:val="21"/>
        </w:rPr>
        <w:t>24</w:t>
      </w:r>
      <w:r>
        <w:rPr>
          <w:rFonts w:ascii="宋体" w:hAnsi="宋体" w:hint="eastAsia"/>
          <w:szCs w:val="21"/>
        </w:rPr>
        <w:t>、</w:t>
      </w:r>
      <w:r>
        <w:rPr>
          <w:rFonts w:ascii="??" w:hAnsi="??" w:hint="eastAsia"/>
          <w:szCs w:val="21"/>
        </w:rPr>
        <w:t>隔姜灸多用于治疗：（）</w:t>
      </w:r>
    </w:p>
    <w:p w:rsidR="003717A0" w:rsidRDefault="003717A0">
      <w:pPr>
        <w:spacing w:line="300" w:lineRule="auto"/>
        <w:ind w:firstLineChars="200" w:firstLine="420"/>
        <w:rPr>
          <w:rFonts w:ascii="宋体"/>
          <w:szCs w:val="21"/>
        </w:rPr>
      </w:pPr>
      <w:r>
        <w:rPr>
          <w:rFonts w:ascii="宋体" w:hAnsi="宋体"/>
          <w:szCs w:val="21"/>
        </w:rPr>
        <w:t>A</w:t>
      </w:r>
      <w:r>
        <w:rPr>
          <w:rFonts w:ascii="宋体" w:hAnsi="宋体" w:hint="eastAsia"/>
          <w:szCs w:val="21"/>
        </w:rPr>
        <w:t>．感冒、呕吐</w:t>
      </w:r>
      <w:r>
        <w:rPr>
          <w:rFonts w:ascii="宋体" w:hAnsi="宋体"/>
          <w:szCs w:val="21"/>
        </w:rPr>
        <w:t xml:space="preserve">  B</w:t>
      </w:r>
      <w:r>
        <w:rPr>
          <w:rFonts w:ascii="宋体" w:hAnsi="宋体" w:hint="eastAsia"/>
          <w:szCs w:val="21"/>
        </w:rPr>
        <w:t>．肺痨</w:t>
      </w:r>
      <w:r>
        <w:rPr>
          <w:rFonts w:ascii="宋体" w:hAnsi="宋体"/>
          <w:szCs w:val="21"/>
        </w:rPr>
        <w:t xml:space="preserve">  C</w:t>
      </w:r>
      <w:r>
        <w:rPr>
          <w:rFonts w:ascii="宋体" w:hAnsi="宋体" w:hint="eastAsia"/>
          <w:szCs w:val="21"/>
        </w:rPr>
        <w:t>．虚脱</w:t>
      </w:r>
      <w:r>
        <w:rPr>
          <w:rFonts w:ascii="宋体" w:hAnsi="宋体"/>
          <w:szCs w:val="21"/>
        </w:rPr>
        <w:t xml:space="preserve">  D</w:t>
      </w:r>
      <w:r>
        <w:rPr>
          <w:rFonts w:ascii="宋体" w:hAnsi="宋体" w:hint="eastAsia"/>
          <w:szCs w:val="21"/>
        </w:rPr>
        <w:t>．阳痿</w:t>
      </w:r>
      <w:r>
        <w:rPr>
          <w:rFonts w:ascii="宋体" w:hAnsi="宋体"/>
          <w:szCs w:val="21"/>
        </w:rPr>
        <w:t xml:space="preserve">  E</w:t>
      </w:r>
      <w:r>
        <w:rPr>
          <w:rFonts w:ascii="宋体" w:hAnsi="宋体" w:hint="eastAsia"/>
          <w:szCs w:val="21"/>
        </w:rPr>
        <w:t>．未溃疮疡</w:t>
      </w:r>
      <w:r>
        <w:rPr>
          <w:rFonts w:ascii="宋体"/>
          <w:szCs w:val="21"/>
        </w:rPr>
        <w:br/>
      </w:r>
      <w:r>
        <w:rPr>
          <w:rFonts w:ascii="宋体" w:hAnsi="宋体"/>
          <w:szCs w:val="21"/>
        </w:rPr>
        <w:t>25</w:t>
      </w:r>
      <w:r>
        <w:rPr>
          <w:rFonts w:ascii="宋体" w:hAnsi="宋体" w:hint="eastAsia"/>
          <w:szCs w:val="21"/>
        </w:rPr>
        <w:t>、治疗胎位不正最常用的腧穴是：（</w:t>
      </w:r>
      <w:r>
        <w:rPr>
          <w:rFonts w:ascii="宋体" w:hAnsi="宋体"/>
          <w:szCs w:val="21"/>
        </w:rPr>
        <w:t xml:space="preserve">  </w:t>
      </w:r>
      <w:r>
        <w:rPr>
          <w:rFonts w:ascii="宋体" w:hAnsi="宋体" w:hint="eastAsia"/>
          <w:szCs w:val="21"/>
        </w:rPr>
        <w:t>）</w:t>
      </w:r>
      <w:r>
        <w:rPr>
          <w:rFonts w:ascii="宋体"/>
          <w:szCs w:val="21"/>
        </w:rPr>
        <w:br/>
      </w:r>
      <w:r>
        <w:rPr>
          <w:rFonts w:ascii="宋体" w:hAnsi="宋体"/>
          <w:szCs w:val="21"/>
        </w:rPr>
        <w:t xml:space="preserve">    A</w:t>
      </w:r>
      <w:r>
        <w:rPr>
          <w:rFonts w:ascii="宋体" w:hAnsi="宋体" w:hint="eastAsia"/>
          <w:szCs w:val="21"/>
        </w:rPr>
        <w:t>．合谷</w:t>
      </w:r>
      <w:r>
        <w:rPr>
          <w:rFonts w:ascii="宋体" w:hAnsi="宋体"/>
          <w:szCs w:val="21"/>
        </w:rPr>
        <w:t xml:space="preserve">  B</w:t>
      </w:r>
      <w:r>
        <w:rPr>
          <w:rFonts w:ascii="宋体" w:hAnsi="宋体" w:hint="eastAsia"/>
          <w:szCs w:val="21"/>
        </w:rPr>
        <w:t>．至阴</w:t>
      </w:r>
      <w:r>
        <w:rPr>
          <w:rFonts w:ascii="宋体" w:hAnsi="宋体"/>
          <w:szCs w:val="21"/>
        </w:rPr>
        <w:t xml:space="preserve">  C</w:t>
      </w:r>
      <w:r>
        <w:rPr>
          <w:rFonts w:ascii="宋体" w:hAnsi="宋体" w:hint="eastAsia"/>
          <w:szCs w:val="21"/>
        </w:rPr>
        <w:t>．三阴交</w:t>
      </w:r>
      <w:r>
        <w:rPr>
          <w:rFonts w:ascii="宋体" w:hAnsi="宋体"/>
          <w:szCs w:val="21"/>
        </w:rPr>
        <w:t xml:space="preserve">  D</w:t>
      </w:r>
      <w:r>
        <w:rPr>
          <w:rFonts w:ascii="宋体" w:hAnsi="宋体" w:hint="eastAsia"/>
          <w:szCs w:val="21"/>
        </w:rPr>
        <w:t>．太冲</w:t>
      </w:r>
      <w:r>
        <w:rPr>
          <w:rFonts w:ascii="宋体" w:hAnsi="宋体"/>
          <w:szCs w:val="21"/>
        </w:rPr>
        <w:t xml:space="preserve">  E</w:t>
      </w:r>
      <w:r>
        <w:rPr>
          <w:rFonts w:ascii="宋体" w:hAnsi="宋体" w:hint="eastAsia"/>
          <w:szCs w:val="21"/>
        </w:rPr>
        <w:t>．足三里</w:t>
      </w:r>
      <w:r>
        <w:rPr>
          <w:rFonts w:ascii="宋体"/>
          <w:szCs w:val="21"/>
        </w:rPr>
        <w:br/>
      </w:r>
      <w:r>
        <w:rPr>
          <w:rFonts w:ascii="宋体" w:hAnsi="宋体"/>
          <w:szCs w:val="21"/>
        </w:rPr>
        <w:t>26</w:t>
      </w:r>
      <w:r>
        <w:rPr>
          <w:rFonts w:ascii="宋体" w:hAnsi="宋体" w:hint="eastAsia"/>
          <w:szCs w:val="21"/>
        </w:rPr>
        <w:t>、治疗妇女月经过多、崩漏常用的腧穴是：（</w:t>
      </w:r>
      <w:r>
        <w:rPr>
          <w:rFonts w:ascii="宋体" w:hAnsi="宋体"/>
          <w:szCs w:val="21"/>
        </w:rPr>
        <w:t xml:space="preserve">  </w:t>
      </w:r>
      <w:r>
        <w:rPr>
          <w:rFonts w:ascii="宋体" w:hAnsi="宋体" w:hint="eastAsia"/>
          <w:szCs w:val="21"/>
        </w:rPr>
        <w:t>）</w:t>
      </w:r>
    </w:p>
    <w:p w:rsidR="003717A0" w:rsidRDefault="003717A0">
      <w:pPr>
        <w:spacing w:line="300" w:lineRule="auto"/>
        <w:ind w:firstLineChars="200" w:firstLine="420"/>
        <w:rPr>
          <w:rFonts w:ascii="宋体"/>
          <w:szCs w:val="21"/>
        </w:rPr>
      </w:pPr>
      <w:r>
        <w:rPr>
          <w:rFonts w:ascii="宋体" w:hAnsi="宋体"/>
          <w:szCs w:val="21"/>
        </w:rPr>
        <w:t>A.</w:t>
      </w:r>
      <w:r>
        <w:rPr>
          <w:rFonts w:ascii="宋体" w:hAnsi="宋体" w:hint="eastAsia"/>
          <w:szCs w:val="21"/>
        </w:rPr>
        <w:t>大敦</w:t>
      </w:r>
      <w:r>
        <w:rPr>
          <w:rFonts w:ascii="宋体" w:hAnsi="宋体"/>
          <w:szCs w:val="21"/>
        </w:rPr>
        <w:t xml:space="preserve">  B.</w:t>
      </w:r>
      <w:r>
        <w:rPr>
          <w:rFonts w:ascii="宋体" w:hAnsi="宋体" w:hint="eastAsia"/>
          <w:szCs w:val="21"/>
        </w:rPr>
        <w:t>厉兑</w:t>
      </w:r>
      <w:r>
        <w:rPr>
          <w:rFonts w:ascii="宋体" w:hAnsi="宋体"/>
          <w:szCs w:val="21"/>
        </w:rPr>
        <w:t xml:space="preserve">  C.</w:t>
      </w:r>
      <w:r>
        <w:rPr>
          <w:rFonts w:ascii="宋体" w:hAnsi="宋体" w:hint="eastAsia"/>
          <w:szCs w:val="21"/>
        </w:rPr>
        <w:t>隐白</w:t>
      </w:r>
      <w:r>
        <w:rPr>
          <w:rFonts w:ascii="宋体" w:hAnsi="宋体"/>
          <w:szCs w:val="21"/>
        </w:rPr>
        <w:t xml:space="preserve">  D.</w:t>
      </w:r>
      <w:r>
        <w:rPr>
          <w:rFonts w:ascii="宋体" w:hAnsi="宋体" w:hint="eastAsia"/>
          <w:szCs w:val="21"/>
        </w:rPr>
        <w:t>至阴</w:t>
      </w:r>
      <w:r>
        <w:rPr>
          <w:rFonts w:ascii="宋体" w:hAnsi="宋体"/>
          <w:szCs w:val="21"/>
        </w:rPr>
        <w:t xml:space="preserve">  E.</w:t>
      </w:r>
      <w:r>
        <w:rPr>
          <w:rFonts w:ascii="宋体" w:hAnsi="宋体" w:hint="eastAsia"/>
          <w:szCs w:val="21"/>
        </w:rPr>
        <w:t>少府</w:t>
      </w:r>
    </w:p>
    <w:p w:rsidR="003717A0" w:rsidRDefault="003717A0">
      <w:pPr>
        <w:spacing w:line="300" w:lineRule="auto"/>
        <w:rPr>
          <w:rFonts w:ascii="宋体"/>
          <w:szCs w:val="21"/>
        </w:rPr>
      </w:pPr>
      <w:r>
        <w:rPr>
          <w:rFonts w:ascii="宋体" w:hAnsi="宋体"/>
          <w:szCs w:val="21"/>
        </w:rPr>
        <w:t>27</w:t>
      </w:r>
      <w:r>
        <w:rPr>
          <w:rFonts w:ascii="宋体" w:hAnsi="宋体" w:hint="eastAsia"/>
          <w:szCs w:val="21"/>
        </w:rPr>
        <w:t>、直接灸法可分为：（</w:t>
      </w:r>
      <w:r>
        <w:rPr>
          <w:rFonts w:ascii="宋体" w:hAnsi="宋体"/>
          <w:szCs w:val="21"/>
        </w:rPr>
        <w:t xml:space="preserve">   </w:t>
      </w:r>
      <w:r>
        <w:rPr>
          <w:rFonts w:ascii="宋体" w:hAnsi="宋体" w:hint="eastAsia"/>
          <w:szCs w:val="21"/>
        </w:rPr>
        <w:t>）</w:t>
      </w:r>
      <w:r>
        <w:rPr>
          <w:rFonts w:ascii="宋体"/>
          <w:szCs w:val="21"/>
        </w:rPr>
        <w:br/>
      </w:r>
      <w:r>
        <w:rPr>
          <w:rFonts w:ascii="宋体" w:hAnsi="宋体"/>
          <w:szCs w:val="21"/>
        </w:rPr>
        <w:t xml:space="preserve">    A</w:t>
      </w:r>
      <w:r>
        <w:rPr>
          <w:rFonts w:ascii="宋体" w:hAnsi="宋体" w:hint="eastAsia"/>
          <w:szCs w:val="21"/>
        </w:rPr>
        <w:t>．艾炷灸、艾条灸</w:t>
      </w:r>
      <w:r>
        <w:rPr>
          <w:rFonts w:ascii="宋体" w:hAnsi="宋体"/>
          <w:szCs w:val="21"/>
        </w:rPr>
        <w:t xml:space="preserve">      B</w:t>
      </w:r>
      <w:r>
        <w:rPr>
          <w:rFonts w:ascii="宋体" w:hAnsi="宋体" w:hint="eastAsia"/>
          <w:szCs w:val="21"/>
        </w:rPr>
        <w:t>．化脓灸、瘢痕灸</w:t>
      </w:r>
      <w:r>
        <w:rPr>
          <w:rFonts w:ascii="宋体" w:hAnsi="宋体"/>
          <w:szCs w:val="21"/>
        </w:rPr>
        <w:t xml:space="preserve">    C</w:t>
      </w:r>
      <w:r>
        <w:rPr>
          <w:rFonts w:ascii="宋体" w:hAnsi="宋体" w:hint="eastAsia"/>
          <w:szCs w:val="21"/>
        </w:rPr>
        <w:t>．化脓灸、非化脓灸</w:t>
      </w:r>
    </w:p>
    <w:p w:rsidR="003717A0" w:rsidRDefault="003717A0">
      <w:pPr>
        <w:spacing w:line="300" w:lineRule="auto"/>
        <w:ind w:firstLine="420"/>
        <w:rPr>
          <w:rFonts w:ascii="宋体"/>
          <w:szCs w:val="21"/>
        </w:rPr>
      </w:pPr>
      <w:r>
        <w:rPr>
          <w:rFonts w:ascii="宋体" w:hAnsi="宋体"/>
          <w:szCs w:val="21"/>
        </w:rPr>
        <w:t>D</w:t>
      </w:r>
      <w:r>
        <w:rPr>
          <w:rFonts w:ascii="宋体" w:hAnsi="宋体" w:hint="eastAsia"/>
          <w:szCs w:val="21"/>
        </w:rPr>
        <w:t>．非化脓灸、无瘢痕灸</w:t>
      </w:r>
      <w:r>
        <w:rPr>
          <w:rFonts w:ascii="宋体" w:hAnsi="宋体"/>
          <w:szCs w:val="21"/>
        </w:rPr>
        <w:t xml:space="preserve">  E</w:t>
      </w:r>
      <w:r>
        <w:rPr>
          <w:rFonts w:ascii="宋体" w:hAnsi="宋体" w:hint="eastAsia"/>
          <w:szCs w:val="21"/>
        </w:rPr>
        <w:t>．</w:t>
      </w:r>
      <w:r>
        <w:rPr>
          <w:rFonts w:ascii="宋体" w:hAnsi="宋体"/>
          <w:szCs w:val="21"/>
        </w:rPr>
        <w:t xml:space="preserve"> </w:t>
      </w:r>
      <w:r>
        <w:rPr>
          <w:rFonts w:ascii="宋体" w:hAnsi="宋体" w:hint="eastAsia"/>
          <w:szCs w:val="21"/>
        </w:rPr>
        <w:t>艾炷灸、温针灸</w:t>
      </w:r>
    </w:p>
    <w:p w:rsidR="003717A0" w:rsidRDefault="003717A0">
      <w:pPr>
        <w:spacing w:line="300" w:lineRule="auto"/>
        <w:rPr>
          <w:rFonts w:ascii="宋体"/>
          <w:szCs w:val="21"/>
        </w:rPr>
      </w:pPr>
      <w:r>
        <w:rPr>
          <w:rFonts w:ascii="宋体" w:hAnsi="宋体"/>
          <w:szCs w:val="21"/>
        </w:rPr>
        <w:t>28</w:t>
      </w:r>
      <w:r>
        <w:rPr>
          <w:rFonts w:ascii="宋体" w:hAnsi="宋体" w:hint="eastAsia"/>
          <w:szCs w:val="21"/>
        </w:rPr>
        <w:t>、孕妇禁针的穴位为：（</w:t>
      </w:r>
      <w:r>
        <w:rPr>
          <w:rFonts w:ascii="宋体" w:hAnsi="宋体"/>
          <w:szCs w:val="21"/>
        </w:rPr>
        <w:t xml:space="preserve">   </w:t>
      </w:r>
      <w:r>
        <w:rPr>
          <w:rFonts w:ascii="宋体" w:hAnsi="宋体" w:hint="eastAsia"/>
          <w:szCs w:val="21"/>
        </w:rPr>
        <w:t>）</w:t>
      </w:r>
    </w:p>
    <w:p w:rsidR="003717A0" w:rsidRDefault="003717A0">
      <w:pPr>
        <w:spacing w:line="300" w:lineRule="auto"/>
        <w:ind w:firstLine="420"/>
        <w:rPr>
          <w:rFonts w:ascii="宋体"/>
          <w:szCs w:val="21"/>
        </w:rPr>
      </w:pPr>
      <w:r>
        <w:rPr>
          <w:rFonts w:ascii="宋体" w:hAnsi="宋体"/>
          <w:szCs w:val="21"/>
        </w:rPr>
        <w:t>A.</w:t>
      </w:r>
      <w:r>
        <w:rPr>
          <w:rFonts w:ascii="宋体" w:hAnsi="宋体" w:hint="eastAsia"/>
          <w:szCs w:val="21"/>
        </w:rPr>
        <w:t>三阴交</w:t>
      </w:r>
      <w:r>
        <w:rPr>
          <w:rFonts w:ascii="宋体" w:hAnsi="宋体"/>
          <w:szCs w:val="21"/>
        </w:rPr>
        <w:t xml:space="preserve">   B.</w:t>
      </w:r>
      <w:r>
        <w:rPr>
          <w:rFonts w:ascii="宋体" w:hAnsi="宋体" w:hint="eastAsia"/>
          <w:szCs w:val="21"/>
        </w:rPr>
        <w:t>商丘</w:t>
      </w:r>
      <w:r>
        <w:rPr>
          <w:rFonts w:ascii="宋体" w:hAnsi="宋体"/>
          <w:szCs w:val="21"/>
        </w:rPr>
        <w:t xml:space="preserve">  C.</w:t>
      </w:r>
      <w:r>
        <w:rPr>
          <w:rFonts w:ascii="宋体" w:hAnsi="宋体" w:hint="eastAsia"/>
          <w:szCs w:val="21"/>
        </w:rPr>
        <w:t>阴陵泉</w:t>
      </w:r>
      <w:r>
        <w:rPr>
          <w:rFonts w:ascii="宋体" w:hAnsi="宋体"/>
          <w:szCs w:val="21"/>
        </w:rPr>
        <w:t xml:space="preserve">   D.</w:t>
      </w:r>
      <w:r>
        <w:rPr>
          <w:rFonts w:ascii="宋体" w:hAnsi="宋体" w:hint="eastAsia"/>
          <w:szCs w:val="21"/>
        </w:rPr>
        <w:t>太溪</w:t>
      </w:r>
      <w:r>
        <w:rPr>
          <w:rFonts w:ascii="宋体" w:hAnsi="宋体"/>
          <w:szCs w:val="21"/>
        </w:rPr>
        <w:t xml:space="preserve">   E.</w:t>
      </w:r>
      <w:r>
        <w:rPr>
          <w:rFonts w:ascii="宋体" w:hAnsi="宋体" w:hint="eastAsia"/>
          <w:szCs w:val="21"/>
        </w:rPr>
        <w:t>少府</w:t>
      </w:r>
      <w:r>
        <w:rPr>
          <w:rFonts w:ascii="宋体"/>
          <w:szCs w:val="21"/>
        </w:rPr>
        <w:br/>
      </w:r>
      <w:r>
        <w:rPr>
          <w:rFonts w:ascii="宋体" w:hAnsi="宋体"/>
          <w:szCs w:val="21"/>
        </w:rPr>
        <w:t>29</w:t>
      </w:r>
      <w:r>
        <w:rPr>
          <w:rFonts w:ascii="宋体" w:hAnsi="宋体" w:hint="eastAsia"/>
          <w:szCs w:val="21"/>
        </w:rPr>
        <w:t>、有催乳作用的经穴为：（</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spacing w:line="300" w:lineRule="auto"/>
        <w:ind w:firstLineChars="200" w:firstLine="420"/>
        <w:rPr>
          <w:rFonts w:ascii="宋体"/>
          <w:szCs w:val="21"/>
        </w:rPr>
      </w:pPr>
      <w:r>
        <w:rPr>
          <w:rFonts w:ascii="宋体" w:hAnsi="宋体"/>
          <w:szCs w:val="21"/>
        </w:rPr>
        <w:t xml:space="preserve"> A</w:t>
      </w:r>
      <w:r>
        <w:rPr>
          <w:rFonts w:ascii="宋体" w:hAnsi="宋体" w:hint="eastAsia"/>
          <w:szCs w:val="21"/>
        </w:rPr>
        <w:t>．少海</w:t>
      </w:r>
      <w:r>
        <w:rPr>
          <w:rFonts w:ascii="宋体" w:hAnsi="宋体"/>
          <w:szCs w:val="21"/>
        </w:rPr>
        <w:t xml:space="preserve">   B</w:t>
      </w:r>
      <w:r>
        <w:rPr>
          <w:rFonts w:ascii="宋体" w:hAnsi="宋体" w:hint="eastAsia"/>
          <w:szCs w:val="21"/>
        </w:rPr>
        <w:t>．少商</w:t>
      </w:r>
      <w:r>
        <w:rPr>
          <w:rFonts w:ascii="宋体" w:hAnsi="宋体"/>
          <w:szCs w:val="21"/>
        </w:rPr>
        <w:t xml:space="preserve">   C</w:t>
      </w:r>
      <w:r>
        <w:rPr>
          <w:rFonts w:ascii="宋体" w:hAnsi="宋体" w:hint="eastAsia"/>
          <w:szCs w:val="21"/>
        </w:rPr>
        <w:t>．少泽</w:t>
      </w:r>
      <w:r>
        <w:rPr>
          <w:rFonts w:ascii="宋体" w:hAnsi="宋体"/>
          <w:szCs w:val="21"/>
        </w:rPr>
        <w:t xml:space="preserve">   D</w:t>
      </w:r>
      <w:r>
        <w:rPr>
          <w:rFonts w:ascii="宋体" w:hAnsi="宋体" w:hint="eastAsia"/>
          <w:szCs w:val="21"/>
        </w:rPr>
        <w:t>．少冲</w:t>
      </w:r>
      <w:r>
        <w:rPr>
          <w:rFonts w:ascii="宋体" w:hAnsi="宋体"/>
          <w:szCs w:val="21"/>
        </w:rPr>
        <w:t xml:space="preserve">   E</w:t>
      </w:r>
      <w:r>
        <w:rPr>
          <w:rFonts w:ascii="宋体" w:hAnsi="宋体" w:hint="eastAsia"/>
          <w:szCs w:val="21"/>
        </w:rPr>
        <w:t>．少府</w:t>
      </w:r>
    </w:p>
    <w:p w:rsidR="003717A0" w:rsidRDefault="003717A0">
      <w:pPr>
        <w:spacing w:line="300" w:lineRule="auto"/>
        <w:rPr>
          <w:rFonts w:ascii="宋体"/>
          <w:szCs w:val="21"/>
        </w:rPr>
      </w:pPr>
      <w:r>
        <w:rPr>
          <w:rFonts w:ascii="宋体" w:hAnsi="宋体"/>
          <w:szCs w:val="21"/>
        </w:rPr>
        <w:t>30</w:t>
      </w:r>
      <w:r>
        <w:rPr>
          <w:rFonts w:ascii="宋体" w:hAnsi="宋体" w:hint="eastAsia"/>
          <w:szCs w:val="21"/>
        </w:rPr>
        <w:t>、</w:t>
      </w:r>
      <w:r>
        <w:rPr>
          <w:rFonts w:ascii="??" w:hAnsi="??" w:hint="eastAsia"/>
          <w:szCs w:val="21"/>
        </w:rPr>
        <w:t>位于脐中直上</w:t>
      </w:r>
      <w:r>
        <w:rPr>
          <w:rFonts w:ascii="??" w:hAnsi="??"/>
          <w:szCs w:val="21"/>
        </w:rPr>
        <w:t>4</w:t>
      </w:r>
      <w:r>
        <w:rPr>
          <w:rFonts w:ascii="??" w:hAnsi="??" w:hint="eastAsia"/>
          <w:szCs w:val="21"/>
        </w:rPr>
        <w:t>寸的腧穴是：</w:t>
      </w:r>
      <w:r>
        <w:rPr>
          <w:rFonts w:ascii="宋体" w:hAnsi="宋体" w:hint="eastAsia"/>
          <w:szCs w:val="21"/>
        </w:rPr>
        <w:t>（</w:t>
      </w:r>
      <w:r>
        <w:rPr>
          <w:rFonts w:ascii="宋体" w:hAnsi="宋体"/>
          <w:szCs w:val="21"/>
        </w:rPr>
        <w:t xml:space="preserve">   </w:t>
      </w:r>
      <w:r>
        <w:rPr>
          <w:rFonts w:ascii="宋体" w:hAnsi="宋体" w:hint="eastAsia"/>
          <w:szCs w:val="21"/>
        </w:rPr>
        <w:t>）</w:t>
      </w:r>
      <w:r>
        <w:rPr>
          <w:rFonts w:ascii="??" w:hAnsi="??"/>
          <w:szCs w:val="21"/>
        </w:rPr>
        <w:br/>
      </w:r>
      <w:r>
        <w:rPr>
          <w:rFonts w:ascii="??" w:hAnsi="??" w:hint="eastAsia"/>
          <w:szCs w:val="21"/>
        </w:rPr>
        <w:t xml:space="preserve">　</w:t>
      </w:r>
      <w:r>
        <w:rPr>
          <w:rFonts w:ascii="??" w:hAnsi="??"/>
          <w:szCs w:val="21"/>
        </w:rPr>
        <w:t xml:space="preserve">   </w:t>
      </w:r>
      <w:r>
        <w:rPr>
          <w:rFonts w:ascii="宋体" w:hAnsi="宋体"/>
          <w:szCs w:val="21"/>
        </w:rPr>
        <w:t>A</w:t>
      </w:r>
      <w:r>
        <w:rPr>
          <w:rFonts w:ascii="宋体" w:hAnsi="宋体" w:hint="eastAsia"/>
          <w:szCs w:val="21"/>
        </w:rPr>
        <w:t xml:space="preserve">．关元　　</w:t>
      </w:r>
      <w:r>
        <w:rPr>
          <w:rFonts w:ascii="宋体" w:hAnsi="宋体"/>
          <w:szCs w:val="21"/>
        </w:rPr>
        <w:t>B</w:t>
      </w:r>
      <w:r>
        <w:rPr>
          <w:rFonts w:ascii="宋体" w:hAnsi="宋体" w:hint="eastAsia"/>
          <w:szCs w:val="21"/>
        </w:rPr>
        <w:t xml:space="preserve">．梁门　　</w:t>
      </w:r>
      <w:r>
        <w:rPr>
          <w:rFonts w:ascii="宋体" w:hAnsi="宋体"/>
          <w:szCs w:val="21"/>
        </w:rPr>
        <w:t>C</w:t>
      </w:r>
      <w:r>
        <w:rPr>
          <w:rFonts w:ascii="宋体" w:hAnsi="宋体" w:hint="eastAsia"/>
          <w:szCs w:val="21"/>
        </w:rPr>
        <w:t>．中极</w:t>
      </w:r>
      <w:r>
        <w:rPr>
          <w:rFonts w:ascii="宋体" w:hAnsi="宋体"/>
          <w:szCs w:val="21"/>
        </w:rPr>
        <w:t xml:space="preserve">  </w:t>
      </w:r>
      <w:r>
        <w:rPr>
          <w:rFonts w:ascii="宋体" w:hAnsi="宋体" w:hint="eastAsia"/>
          <w:szCs w:val="21"/>
        </w:rPr>
        <w:t xml:space="preserve">　</w:t>
      </w:r>
      <w:r>
        <w:rPr>
          <w:rFonts w:ascii="宋体" w:hAnsi="宋体"/>
          <w:szCs w:val="21"/>
        </w:rPr>
        <w:t>D</w:t>
      </w:r>
      <w:r>
        <w:rPr>
          <w:rFonts w:ascii="宋体" w:hAnsi="宋体" w:hint="eastAsia"/>
          <w:szCs w:val="21"/>
        </w:rPr>
        <w:t xml:space="preserve">．中脘　　</w:t>
      </w:r>
      <w:r>
        <w:rPr>
          <w:rFonts w:ascii="宋体" w:hAnsi="宋体"/>
          <w:szCs w:val="21"/>
        </w:rPr>
        <w:t>E</w:t>
      </w:r>
      <w:r>
        <w:rPr>
          <w:rFonts w:ascii="宋体" w:hAnsi="宋体" w:hint="eastAsia"/>
          <w:szCs w:val="21"/>
        </w:rPr>
        <w:t>．以上均不是</w:t>
      </w:r>
      <w:r>
        <w:rPr>
          <w:rFonts w:ascii="宋体"/>
          <w:szCs w:val="21"/>
        </w:rPr>
        <w:br/>
      </w:r>
    </w:p>
    <w:p w:rsidR="003717A0" w:rsidRDefault="003717A0">
      <w:pPr>
        <w:spacing w:line="360" w:lineRule="auto"/>
        <w:rPr>
          <w:rFonts w:ascii="宋体"/>
          <w:b/>
          <w:szCs w:val="21"/>
        </w:rPr>
      </w:pPr>
      <w:r>
        <w:rPr>
          <w:rFonts w:ascii="宋体" w:hAnsi="宋体" w:hint="eastAsia"/>
          <w:b/>
          <w:szCs w:val="21"/>
        </w:rPr>
        <w:t>四、问答题（</w:t>
      </w:r>
      <w:r>
        <w:rPr>
          <w:rFonts w:ascii="宋体" w:hAnsi="宋体"/>
          <w:b/>
          <w:szCs w:val="21"/>
        </w:rPr>
        <w:t>6</w:t>
      </w:r>
      <w:r>
        <w:rPr>
          <w:rFonts w:ascii="宋体" w:hAnsi="宋体" w:hint="eastAsia"/>
          <w:b/>
          <w:szCs w:val="21"/>
        </w:rPr>
        <w:t>分×</w:t>
      </w:r>
      <w:r>
        <w:rPr>
          <w:rFonts w:ascii="宋体" w:hAnsi="宋体"/>
          <w:b/>
          <w:szCs w:val="21"/>
        </w:rPr>
        <w:t>5</w:t>
      </w:r>
      <w:r>
        <w:rPr>
          <w:rFonts w:ascii="宋体" w:hAnsi="宋体" w:hint="eastAsia"/>
          <w:b/>
          <w:szCs w:val="21"/>
        </w:rPr>
        <w:t>，共</w:t>
      </w:r>
      <w:r>
        <w:rPr>
          <w:rFonts w:ascii="宋体" w:hAnsi="宋体"/>
          <w:b/>
          <w:szCs w:val="21"/>
        </w:rPr>
        <w:t>30</w:t>
      </w:r>
      <w:r>
        <w:rPr>
          <w:rFonts w:ascii="宋体" w:hAnsi="宋体" w:hint="eastAsia"/>
          <w:b/>
          <w:szCs w:val="21"/>
        </w:rPr>
        <w:t>分）</w:t>
      </w:r>
    </w:p>
    <w:p w:rsidR="003717A0" w:rsidRDefault="003717A0">
      <w:pPr>
        <w:spacing w:line="300" w:lineRule="auto"/>
        <w:rPr>
          <w:rFonts w:ascii="宋体"/>
          <w:szCs w:val="21"/>
        </w:rPr>
      </w:pPr>
      <w:r>
        <w:rPr>
          <w:rFonts w:ascii="宋体" w:hAnsi="宋体"/>
          <w:szCs w:val="21"/>
        </w:rPr>
        <w:t xml:space="preserve">  1</w:t>
      </w:r>
      <w:r>
        <w:rPr>
          <w:rFonts w:ascii="宋体" w:hAnsi="宋体" w:hint="eastAsia"/>
          <w:szCs w:val="21"/>
        </w:rPr>
        <w:t>、传统康复方法与现代康复方法的联系和区别。</w:t>
      </w:r>
    </w:p>
    <w:p w:rsidR="003717A0" w:rsidRDefault="003717A0">
      <w:pPr>
        <w:spacing w:line="300" w:lineRule="auto"/>
        <w:rPr>
          <w:rFonts w:ascii="宋体"/>
          <w:szCs w:val="21"/>
        </w:rPr>
      </w:pPr>
      <w:r>
        <w:rPr>
          <w:rFonts w:ascii="宋体" w:hAnsi="宋体"/>
          <w:szCs w:val="21"/>
        </w:rPr>
        <w:t xml:space="preserve">  2</w:t>
      </w:r>
      <w:r>
        <w:rPr>
          <w:rFonts w:ascii="宋体" w:hAnsi="宋体" w:hint="eastAsia"/>
          <w:szCs w:val="21"/>
        </w:rPr>
        <w:t>、晕针的原因、症状、处理、预防。</w:t>
      </w:r>
    </w:p>
    <w:p w:rsidR="003717A0" w:rsidRDefault="003717A0">
      <w:pPr>
        <w:tabs>
          <w:tab w:val="center" w:pos="4482"/>
        </w:tabs>
        <w:spacing w:line="300" w:lineRule="auto"/>
        <w:rPr>
          <w:rFonts w:ascii="宋体"/>
          <w:szCs w:val="21"/>
        </w:rPr>
      </w:pPr>
      <w:r>
        <w:rPr>
          <w:rFonts w:ascii="宋体" w:hAnsi="宋体"/>
          <w:szCs w:val="21"/>
        </w:rPr>
        <w:t xml:space="preserve">  3</w:t>
      </w:r>
      <w:r>
        <w:rPr>
          <w:rFonts w:ascii="宋体" w:hAnsi="宋体" w:hint="eastAsia"/>
          <w:szCs w:val="21"/>
        </w:rPr>
        <w:t>、如何理解得气？有什么临床意义？</w:t>
      </w:r>
      <w:r>
        <w:rPr>
          <w:rFonts w:ascii="宋体"/>
          <w:szCs w:val="21"/>
        </w:rPr>
        <w:tab/>
      </w:r>
    </w:p>
    <w:p w:rsidR="003717A0" w:rsidRDefault="003717A0">
      <w:pPr>
        <w:spacing w:line="300" w:lineRule="auto"/>
        <w:ind w:firstLineChars="100" w:firstLine="210"/>
        <w:rPr>
          <w:rFonts w:ascii="宋体"/>
          <w:szCs w:val="21"/>
        </w:rPr>
      </w:pPr>
      <w:r>
        <w:rPr>
          <w:rFonts w:ascii="宋体" w:hAnsi="宋体"/>
          <w:szCs w:val="21"/>
        </w:rPr>
        <w:t>4</w:t>
      </w:r>
      <w:r>
        <w:rPr>
          <w:rFonts w:ascii="宋体" w:hAnsi="宋体" w:hint="eastAsia"/>
          <w:szCs w:val="21"/>
        </w:rPr>
        <w:t>、四关穴的归经、定位及主治概要。</w:t>
      </w:r>
    </w:p>
    <w:p w:rsidR="003717A0" w:rsidRDefault="003717A0">
      <w:pPr>
        <w:spacing w:line="300" w:lineRule="auto"/>
        <w:ind w:firstLineChars="100" w:firstLine="210"/>
        <w:rPr>
          <w:rFonts w:ascii="宋体"/>
          <w:szCs w:val="21"/>
        </w:rPr>
      </w:pPr>
      <w:r>
        <w:rPr>
          <w:rFonts w:ascii="宋体" w:hAnsi="宋体"/>
          <w:szCs w:val="21"/>
        </w:rPr>
        <w:t>5</w:t>
      </w:r>
      <w:r>
        <w:rPr>
          <w:rFonts w:ascii="宋体" w:hAnsi="宋体" w:hint="eastAsia"/>
          <w:szCs w:val="21"/>
        </w:rPr>
        <w:t>、风痰阻络型吞咽功能障碍的针灸处理（治则、穴位、操作、注意事项）。</w:t>
      </w:r>
    </w:p>
    <w:p w:rsidR="003717A0" w:rsidRDefault="003717A0">
      <w:pPr>
        <w:spacing w:line="300" w:lineRule="auto"/>
      </w:pPr>
    </w:p>
    <w:p w:rsidR="003717A0" w:rsidRDefault="003717A0"/>
    <w:p w:rsidR="003717A0" w:rsidRDefault="003717A0" w:rsidP="005E20B5">
      <w:pPr>
        <w:adjustRightInd w:val="0"/>
        <w:snapToGrid w:val="0"/>
        <w:spacing w:beforeLines="50" w:afterLines="50" w:line="400" w:lineRule="exact"/>
        <w:rPr>
          <w:sz w:val="22"/>
        </w:rPr>
      </w:pPr>
    </w:p>
    <w:p w:rsidR="003717A0" w:rsidRDefault="003717A0" w:rsidP="00566E4D">
      <w:pPr>
        <w:adjustRightInd w:val="0"/>
        <w:snapToGrid w:val="0"/>
        <w:spacing w:line="360" w:lineRule="auto"/>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566E4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经络循行的描述，可通过动画模型演示以加强理解。教师应多关心针灸推拿研究的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提问形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43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3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制作课件，将经络的循行多采用动画模型演示的方式讲授。</w:t>
            </w:r>
          </w:p>
          <w:p w:rsidR="003717A0" w:rsidRDefault="003717A0">
            <w:pPr>
              <w:numPr>
                <w:ilvl w:val="0"/>
                <w:numId w:val="430"/>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3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3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3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多媒体教学手段、动画演示、病案引入相结合，以培养学生实践动手的能力。</w:t>
            </w:r>
          </w:p>
          <w:p w:rsidR="003717A0" w:rsidRDefault="003717A0">
            <w:pPr>
              <w:numPr>
                <w:ilvl w:val="0"/>
                <w:numId w:val="431"/>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表达方式尽量便于学生理解、接受，力求形象生动，使学生能够形象的掌握知识，使中医课程不再枯燥。</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sz w:val="22"/>
              </w:rPr>
            </w:pPr>
            <w:r>
              <w:rPr>
                <w:rFonts w:ascii="Times New Roman" w:hAnsi="宋体" w:hint="eastAsia"/>
                <w:szCs w:val="21"/>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在教室、实验室内，多与学生进行面对面的交流互动，可以互相点穴、推拿，锻炼自己的操作能力，同时充分利用微信、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43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43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培养和提高实践操作能力和专业基本技能；参与教师的科学研究活动，了解学科的发展现状以及未来的前景。</w:t>
            </w:r>
            <w:r>
              <w:rPr>
                <w:rFonts w:ascii="宋体" w:hAnsi="宋体"/>
                <w:szCs w:val="21"/>
              </w:rPr>
              <w:t xml:space="preserve"> </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95" w:name="_Toc469313009"/>
      <w:bookmarkStart w:id="96" w:name="_Toc471830721"/>
      <w:r w:rsidRPr="00566E4D">
        <w:rPr>
          <w:rFonts w:hint="eastAsia"/>
          <w:b/>
        </w:rPr>
        <w:lastRenderedPageBreak/>
        <w:t>《儿科学》课程质量标准</w:t>
      </w:r>
      <w:bookmarkEnd w:id="95"/>
      <w:bookmarkEnd w:id="96"/>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课程名称</w:t>
            </w:r>
          </w:p>
        </w:tc>
        <w:tc>
          <w:tcPr>
            <w:tcW w:w="7618" w:type="dxa"/>
            <w:gridSpan w:val="9"/>
          </w:tcPr>
          <w:p w:rsidR="003717A0" w:rsidRDefault="003717A0" w:rsidP="00566E4D">
            <w:pPr>
              <w:adjustRightInd w:val="0"/>
              <w:snapToGrid w:val="0"/>
              <w:spacing w:line="440" w:lineRule="exact"/>
              <w:jc w:val="center"/>
              <w:rPr>
                <w:sz w:val="22"/>
              </w:rPr>
            </w:pPr>
            <w:r>
              <w:rPr>
                <w:rFonts w:hint="eastAsia"/>
                <w:sz w:val="22"/>
              </w:rPr>
              <w:t>儿科学</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英译名称</w:t>
            </w:r>
          </w:p>
        </w:tc>
        <w:tc>
          <w:tcPr>
            <w:tcW w:w="7618" w:type="dxa"/>
            <w:gridSpan w:val="9"/>
          </w:tcPr>
          <w:p w:rsidR="003717A0" w:rsidRDefault="003717A0" w:rsidP="00566E4D">
            <w:pPr>
              <w:adjustRightInd w:val="0"/>
              <w:snapToGrid w:val="0"/>
              <w:spacing w:line="440" w:lineRule="exact"/>
              <w:jc w:val="center"/>
              <w:rPr>
                <w:sz w:val="22"/>
              </w:rPr>
            </w:pPr>
            <w:r>
              <w:rPr>
                <w:sz w:val="22"/>
              </w:rPr>
              <w:t>Pediatrics</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课程代码</w:t>
            </w:r>
          </w:p>
        </w:tc>
        <w:tc>
          <w:tcPr>
            <w:tcW w:w="2350" w:type="dxa"/>
            <w:gridSpan w:val="2"/>
          </w:tcPr>
          <w:p w:rsidR="003717A0" w:rsidRDefault="003717A0" w:rsidP="00566E4D">
            <w:pPr>
              <w:adjustRightInd w:val="0"/>
              <w:snapToGrid w:val="0"/>
              <w:spacing w:line="440" w:lineRule="exact"/>
              <w:jc w:val="center"/>
              <w:rPr>
                <w:sz w:val="22"/>
              </w:rPr>
            </w:pPr>
            <w:r>
              <w:rPr>
                <w:sz w:val="22"/>
              </w:rPr>
              <w:t>170185</w:t>
            </w:r>
          </w:p>
        </w:tc>
        <w:tc>
          <w:tcPr>
            <w:tcW w:w="1902" w:type="dxa"/>
            <w:gridSpan w:val="3"/>
          </w:tcPr>
          <w:p w:rsidR="003717A0" w:rsidRDefault="003717A0" w:rsidP="00566E4D">
            <w:pPr>
              <w:adjustRightInd w:val="0"/>
              <w:snapToGrid w:val="0"/>
              <w:spacing w:line="440" w:lineRule="exact"/>
              <w:jc w:val="center"/>
              <w:rPr>
                <w:sz w:val="22"/>
              </w:rPr>
            </w:pPr>
            <w:r>
              <w:rPr>
                <w:rFonts w:hint="eastAsia"/>
                <w:sz w:val="22"/>
              </w:rPr>
              <w:t>课程开设学期</w:t>
            </w:r>
          </w:p>
        </w:tc>
        <w:tc>
          <w:tcPr>
            <w:tcW w:w="3366" w:type="dxa"/>
            <w:gridSpan w:val="4"/>
          </w:tcPr>
          <w:p w:rsidR="003717A0" w:rsidRDefault="003717A0" w:rsidP="00566E4D">
            <w:pPr>
              <w:adjustRightInd w:val="0"/>
              <w:snapToGrid w:val="0"/>
              <w:spacing w:line="440" w:lineRule="exact"/>
              <w:jc w:val="center"/>
              <w:rPr>
                <w:sz w:val="22"/>
              </w:rPr>
            </w:pPr>
            <w:r>
              <w:rPr>
                <w:rFonts w:hint="eastAsia"/>
                <w:sz w:val="22"/>
              </w:rPr>
              <w:t>四</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课程学时</w:t>
            </w:r>
          </w:p>
        </w:tc>
        <w:tc>
          <w:tcPr>
            <w:tcW w:w="2350" w:type="dxa"/>
            <w:gridSpan w:val="2"/>
          </w:tcPr>
          <w:p w:rsidR="003717A0" w:rsidRDefault="003717A0" w:rsidP="00566E4D">
            <w:pPr>
              <w:adjustRightInd w:val="0"/>
              <w:snapToGrid w:val="0"/>
              <w:spacing w:line="440" w:lineRule="exact"/>
              <w:ind w:firstLineChars="350" w:firstLine="770"/>
              <w:rPr>
                <w:sz w:val="22"/>
              </w:rPr>
            </w:pPr>
            <w:r>
              <w:rPr>
                <w:sz w:val="22"/>
              </w:rPr>
              <w:t>48</w:t>
            </w:r>
          </w:p>
        </w:tc>
        <w:tc>
          <w:tcPr>
            <w:tcW w:w="1902" w:type="dxa"/>
            <w:gridSpan w:val="3"/>
          </w:tcPr>
          <w:p w:rsidR="003717A0" w:rsidRDefault="003717A0" w:rsidP="00566E4D">
            <w:pPr>
              <w:adjustRightInd w:val="0"/>
              <w:snapToGrid w:val="0"/>
              <w:spacing w:line="440" w:lineRule="exact"/>
              <w:jc w:val="center"/>
              <w:rPr>
                <w:sz w:val="22"/>
              </w:rPr>
            </w:pPr>
            <w:r>
              <w:rPr>
                <w:rFonts w:hint="eastAsia"/>
                <w:sz w:val="22"/>
              </w:rPr>
              <w:t>课程学分</w:t>
            </w:r>
          </w:p>
        </w:tc>
        <w:tc>
          <w:tcPr>
            <w:tcW w:w="3366" w:type="dxa"/>
            <w:gridSpan w:val="4"/>
          </w:tcPr>
          <w:p w:rsidR="003717A0" w:rsidRDefault="003717A0" w:rsidP="00566E4D">
            <w:pPr>
              <w:adjustRightInd w:val="0"/>
              <w:snapToGrid w:val="0"/>
              <w:spacing w:line="440" w:lineRule="exact"/>
              <w:jc w:val="center"/>
              <w:rPr>
                <w:sz w:val="22"/>
              </w:rPr>
            </w:pPr>
            <w:r>
              <w:rPr>
                <w:sz w:val="22"/>
              </w:rPr>
              <w:t>2</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课程类型</w:t>
            </w:r>
          </w:p>
        </w:tc>
        <w:tc>
          <w:tcPr>
            <w:tcW w:w="7618" w:type="dxa"/>
            <w:gridSpan w:val="9"/>
          </w:tcPr>
          <w:p w:rsidR="003717A0" w:rsidRDefault="003717A0" w:rsidP="00566E4D">
            <w:pPr>
              <w:adjustRightInd w:val="0"/>
              <w:snapToGrid w:val="0"/>
              <w:spacing w:line="44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授课学院</w:t>
            </w:r>
          </w:p>
        </w:tc>
        <w:tc>
          <w:tcPr>
            <w:tcW w:w="2350" w:type="dxa"/>
            <w:gridSpan w:val="2"/>
          </w:tcPr>
          <w:p w:rsidR="003717A0" w:rsidRDefault="003717A0" w:rsidP="00566E4D">
            <w:pPr>
              <w:adjustRightInd w:val="0"/>
              <w:snapToGrid w:val="0"/>
              <w:spacing w:line="440" w:lineRule="exact"/>
              <w:jc w:val="center"/>
              <w:rPr>
                <w:sz w:val="22"/>
              </w:rPr>
            </w:pPr>
            <w:r>
              <w:rPr>
                <w:rFonts w:hint="eastAsia"/>
                <w:sz w:val="22"/>
              </w:rPr>
              <w:t>医学院</w:t>
            </w:r>
          </w:p>
        </w:tc>
        <w:tc>
          <w:tcPr>
            <w:tcW w:w="2634" w:type="dxa"/>
            <w:gridSpan w:val="5"/>
          </w:tcPr>
          <w:p w:rsidR="003717A0" w:rsidRDefault="003717A0" w:rsidP="00566E4D">
            <w:pPr>
              <w:adjustRightInd w:val="0"/>
              <w:snapToGrid w:val="0"/>
              <w:spacing w:line="44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566E4D">
            <w:pPr>
              <w:adjustRightInd w:val="0"/>
              <w:snapToGrid w:val="0"/>
              <w:spacing w:line="440" w:lineRule="exact"/>
              <w:jc w:val="center"/>
              <w:rPr>
                <w:sz w:val="22"/>
              </w:rPr>
            </w:pPr>
            <w:r>
              <w:rPr>
                <w:rFonts w:hint="eastAsia"/>
                <w:sz w:val="22"/>
              </w:rPr>
              <w:t>儿科学</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教材名称</w:t>
            </w:r>
          </w:p>
        </w:tc>
        <w:tc>
          <w:tcPr>
            <w:tcW w:w="7618" w:type="dxa"/>
            <w:gridSpan w:val="9"/>
          </w:tcPr>
          <w:p w:rsidR="003717A0" w:rsidRDefault="003717A0" w:rsidP="00566E4D">
            <w:pPr>
              <w:adjustRightInd w:val="0"/>
              <w:snapToGrid w:val="0"/>
              <w:spacing w:line="440" w:lineRule="exact"/>
              <w:jc w:val="center"/>
              <w:rPr>
                <w:sz w:val="22"/>
              </w:rPr>
            </w:pPr>
            <w:r>
              <w:rPr>
                <w:rFonts w:hint="eastAsia"/>
                <w:sz w:val="22"/>
              </w:rPr>
              <w:t>儿科学</w:t>
            </w:r>
          </w:p>
        </w:tc>
      </w:tr>
      <w:tr w:rsidR="003717A0" w:rsidTr="00566E4D">
        <w:trPr>
          <w:jc w:val="center"/>
        </w:trPr>
        <w:tc>
          <w:tcPr>
            <w:tcW w:w="1668" w:type="dxa"/>
          </w:tcPr>
          <w:p w:rsidR="003717A0" w:rsidRDefault="003717A0" w:rsidP="00566E4D">
            <w:pPr>
              <w:adjustRightInd w:val="0"/>
              <w:snapToGrid w:val="0"/>
              <w:spacing w:line="440" w:lineRule="exact"/>
              <w:rPr>
                <w:sz w:val="22"/>
              </w:rPr>
            </w:pPr>
            <w:r>
              <w:rPr>
                <w:rFonts w:hint="eastAsia"/>
                <w:sz w:val="22"/>
              </w:rPr>
              <w:t>教材出版信息</w:t>
            </w:r>
          </w:p>
        </w:tc>
        <w:tc>
          <w:tcPr>
            <w:tcW w:w="7618" w:type="dxa"/>
            <w:gridSpan w:val="9"/>
          </w:tcPr>
          <w:p w:rsidR="003717A0" w:rsidRDefault="003717A0" w:rsidP="00566E4D">
            <w:pPr>
              <w:adjustRightInd w:val="0"/>
              <w:snapToGrid w:val="0"/>
              <w:spacing w:line="440" w:lineRule="exact"/>
              <w:jc w:val="center"/>
              <w:rPr>
                <w:sz w:val="22"/>
              </w:rPr>
            </w:pPr>
            <w:r>
              <w:rPr>
                <w:rFonts w:ascii="宋体" w:hAnsi="宋体" w:hint="eastAsia"/>
                <w:bCs/>
              </w:rPr>
              <w:t>人民卫生出版社</w:t>
            </w:r>
            <w:r>
              <w:rPr>
                <w:rFonts w:hint="eastAsia"/>
                <w:sz w:val="22"/>
              </w:rPr>
              <w:t>，</w:t>
            </w:r>
            <w:r>
              <w:rPr>
                <w:sz w:val="22"/>
              </w:rPr>
              <w:t>2013</w:t>
            </w:r>
            <w:r>
              <w:rPr>
                <w:rFonts w:hint="eastAsia"/>
                <w:sz w:val="22"/>
              </w:rPr>
              <w:t>年</w:t>
            </w:r>
            <w:r>
              <w:rPr>
                <w:sz w:val="22"/>
              </w:rPr>
              <w:t>3</w:t>
            </w:r>
            <w:r>
              <w:rPr>
                <w:rFonts w:hint="eastAsia"/>
                <w:sz w:val="22"/>
              </w:rPr>
              <w:t>月第</w:t>
            </w:r>
            <w:r>
              <w:rPr>
                <w:sz w:val="22"/>
              </w:rPr>
              <w:t>8</w:t>
            </w:r>
            <w:r>
              <w:rPr>
                <w:rFonts w:hint="eastAsia"/>
                <w:sz w:val="22"/>
              </w:rPr>
              <w:t>版，书号：</w:t>
            </w:r>
            <w:r>
              <w:rPr>
                <w:sz w:val="22"/>
              </w:rPr>
              <w:t>ISBN 978-7-117-17136-6/R.17137</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教材性质</w:t>
            </w:r>
          </w:p>
        </w:tc>
        <w:tc>
          <w:tcPr>
            <w:tcW w:w="7618" w:type="dxa"/>
            <w:gridSpan w:val="9"/>
          </w:tcPr>
          <w:p w:rsidR="003717A0" w:rsidRDefault="003717A0" w:rsidP="00566E4D">
            <w:pPr>
              <w:adjustRightInd w:val="0"/>
              <w:snapToGrid w:val="0"/>
              <w:spacing w:line="440" w:lineRule="exact"/>
              <w:rPr>
                <w:sz w:val="22"/>
              </w:rPr>
            </w:pPr>
            <w:r>
              <w:rPr>
                <w:rFonts w:ascii="宋体" w:hAnsi="宋体" w:hint="eastAsia"/>
                <w:szCs w:val="21"/>
              </w:rPr>
              <w:t>■</w:t>
            </w:r>
            <w:r>
              <w:rPr>
                <w:rFonts w:ascii="宋体" w:hAnsi="宋体" w:hint="eastAsia"/>
                <w:sz w:val="22"/>
              </w:rPr>
              <w:t>国家□部级规划□省级规划□自编□其他</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考核方式</w:t>
            </w:r>
          </w:p>
        </w:tc>
        <w:tc>
          <w:tcPr>
            <w:tcW w:w="7618" w:type="dxa"/>
            <w:gridSpan w:val="9"/>
          </w:tcPr>
          <w:p w:rsidR="003717A0" w:rsidRDefault="003717A0" w:rsidP="00566E4D">
            <w:pPr>
              <w:adjustRightInd w:val="0"/>
              <w:snapToGrid w:val="0"/>
              <w:spacing w:line="44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课程成绩</w:t>
            </w:r>
          </w:p>
        </w:tc>
        <w:tc>
          <w:tcPr>
            <w:tcW w:w="3809" w:type="dxa"/>
            <w:gridSpan w:val="4"/>
          </w:tcPr>
          <w:p w:rsidR="003717A0" w:rsidRDefault="003717A0" w:rsidP="00566E4D">
            <w:pPr>
              <w:adjustRightInd w:val="0"/>
              <w:snapToGrid w:val="0"/>
              <w:spacing w:line="440" w:lineRule="exact"/>
              <w:jc w:val="left"/>
              <w:rPr>
                <w:sz w:val="22"/>
              </w:rPr>
            </w:pPr>
            <w:r>
              <w:rPr>
                <w:rFonts w:hint="eastAsia"/>
                <w:sz w:val="22"/>
              </w:rPr>
              <w:t>平时成绩</w:t>
            </w:r>
            <w:r>
              <w:rPr>
                <w:sz w:val="22"/>
              </w:rPr>
              <w:t>0%</w:t>
            </w:r>
          </w:p>
        </w:tc>
        <w:tc>
          <w:tcPr>
            <w:tcW w:w="3809" w:type="dxa"/>
            <w:gridSpan w:val="5"/>
          </w:tcPr>
          <w:p w:rsidR="003717A0" w:rsidRDefault="003717A0" w:rsidP="00566E4D">
            <w:pPr>
              <w:adjustRightInd w:val="0"/>
              <w:snapToGrid w:val="0"/>
              <w:spacing w:line="440" w:lineRule="exact"/>
              <w:jc w:val="left"/>
              <w:rPr>
                <w:sz w:val="22"/>
              </w:rPr>
            </w:pPr>
            <w:r>
              <w:rPr>
                <w:rFonts w:hint="eastAsia"/>
                <w:sz w:val="22"/>
              </w:rPr>
              <w:t>期末成绩</w:t>
            </w:r>
            <w:r>
              <w:rPr>
                <w:sz w:val="22"/>
              </w:rPr>
              <w:t>100%</w:t>
            </w:r>
          </w:p>
        </w:tc>
      </w:tr>
      <w:tr w:rsidR="003717A0" w:rsidTr="00566E4D">
        <w:trPr>
          <w:jc w:val="center"/>
        </w:trPr>
        <w:tc>
          <w:tcPr>
            <w:tcW w:w="9286" w:type="dxa"/>
            <w:gridSpan w:val="10"/>
          </w:tcPr>
          <w:p w:rsidR="003717A0" w:rsidRDefault="003717A0" w:rsidP="00566E4D">
            <w:pPr>
              <w:adjustRightInd w:val="0"/>
              <w:snapToGrid w:val="0"/>
              <w:spacing w:line="440" w:lineRule="exact"/>
              <w:rPr>
                <w:sz w:val="22"/>
              </w:rPr>
            </w:pPr>
            <w:r>
              <w:rPr>
                <w:rFonts w:hint="eastAsia"/>
                <w:sz w:val="22"/>
              </w:rPr>
              <w:t>课程负责人及团队骨干（五人以内）</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姓名</w:t>
            </w:r>
          </w:p>
        </w:tc>
        <w:tc>
          <w:tcPr>
            <w:tcW w:w="1523" w:type="dxa"/>
          </w:tcPr>
          <w:p w:rsidR="003717A0" w:rsidRDefault="003717A0" w:rsidP="00566E4D">
            <w:pPr>
              <w:adjustRightInd w:val="0"/>
              <w:snapToGrid w:val="0"/>
              <w:spacing w:line="440" w:lineRule="exact"/>
              <w:jc w:val="center"/>
              <w:rPr>
                <w:sz w:val="22"/>
              </w:rPr>
            </w:pPr>
            <w:r>
              <w:rPr>
                <w:rFonts w:hint="eastAsia"/>
                <w:sz w:val="22"/>
              </w:rPr>
              <w:t>性别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学历</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学位</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职称</w:t>
            </w:r>
          </w:p>
        </w:tc>
        <w:tc>
          <w:tcPr>
            <w:tcW w:w="1524" w:type="dxa"/>
          </w:tcPr>
          <w:p w:rsidR="003717A0" w:rsidRDefault="003717A0" w:rsidP="00566E4D">
            <w:pPr>
              <w:adjustRightInd w:val="0"/>
              <w:snapToGrid w:val="0"/>
              <w:spacing w:line="440" w:lineRule="exact"/>
              <w:jc w:val="center"/>
              <w:rPr>
                <w:sz w:val="22"/>
              </w:rPr>
            </w:pPr>
            <w:r>
              <w:rPr>
                <w:rFonts w:hint="eastAsia"/>
                <w:sz w:val="22"/>
              </w:rPr>
              <w:t>从教时间</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徐美玉</w:t>
            </w:r>
          </w:p>
        </w:tc>
        <w:tc>
          <w:tcPr>
            <w:tcW w:w="1523" w:type="dxa"/>
          </w:tcPr>
          <w:p w:rsidR="003717A0" w:rsidRDefault="003717A0" w:rsidP="00566E4D">
            <w:pPr>
              <w:adjustRightInd w:val="0"/>
              <w:snapToGrid w:val="0"/>
              <w:spacing w:line="440" w:lineRule="exact"/>
              <w:jc w:val="center"/>
              <w:rPr>
                <w:sz w:val="22"/>
              </w:rPr>
            </w:pPr>
            <w:r>
              <w:rPr>
                <w:rFonts w:hint="eastAsia"/>
                <w:sz w:val="22"/>
              </w:rPr>
              <w:t>女</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硕士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教</w:t>
            </w:r>
            <w:r>
              <w:rPr>
                <w:sz w:val="22"/>
              </w:rPr>
              <w:t xml:space="preserve">  </w:t>
            </w:r>
            <w:r>
              <w:rPr>
                <w:rFonts w:hint="eastAsia"/>
                <w:sz w:val="22"/>
              </w:rPr>
              <w:t>授</w:t>
            </w:r>
          </w:p>
        </w:tc>
        <w:tc>
          <w:tcPr>
            <w:tcW w:w="1524" w:type="dxa"/>
          </w:tcPr>
          <w:p w:rsidR="003717A0" w:rsidRDefault="003717A0" w:rsidP="00566E4D">
            <w:pPr>
              <w:adjustRightInd w:val="0"/>
              <w:snapToGrid w:val="0"/>
              <w:spacing w:line="440" w:lineRule="exact"/>
              <w:jc w:val="center"/>
              <w:rPr>
                <w:sz w:val="22"/>
              </w:rPr>
            </w:pPr>
            <w:r>
              <w:rPr>
                <w:sz w:val="22"/>
              </w:rPr>
              <w:t>1983.1</w:t>
            </w:r>
          </w:p>
        </w:tc>
      </w:tr>
      <w:tr w:rsidR="003717A0" w:rsidTr="00566E4D">
        <w:trPr>
          <w:jc w:val="center"/>
        </w:trPr>
        <w:tc>
          <w:tcPr>
            <w:tcW w:w="1668" w:type="dxa"/>
            <w:vAlign w:val="center"/>
          </w:tcPr>
          <w:p w:rsidR="003717A0" w:rsidRDefault="003717A0" w:rsidP="00566E4D">
            <w:pPr>
              <w:adjustRightInd w:val="0"/>
              <w:snapToGrid w:val="0"/>
              <w:spacing w:line="440" w:lineRule="exact"/>
              <w:jc w:val="center"/>
              <w:rPr>
                <w:sz w:val="22"/>
              </w:rPr>
            </w:pPr>
            <w:r>
              <w:rPr>
                <w:rFonts w:hint="eastAsia"/>
                <w:sz w:val="22"/>
              </w:rPr>
              <w:t>黄</w:t>
            </w:r>
            <w:r>
              <w:rPr>
                <w:sz w:val="22"/>
              </w:rPr>
              <w:t xml:space="preserve"> </w:t>
            </w:r>
            <w:r>
              <w:rPr>
                <w:rFonts w:hint="eastAsia"/>
                <w:sz w:val="22"/>
              </w:rPr>
              <w:t>锋</w:t>
            </w:r>
          </w:p>
        </w:tc>
        <w:tc>
          <w:tcPr>
            <w:tcW w:w="1523" w:type="dxa"/>
            <w:vAlign w:val="center"/>
          </w:tcPr>
          <w:p w:rsidR="003717A0" w:rsidRDefault="003717A0" w:rsidP="00566E4D">
            <w:pPr>
              <w:adjustRightInd w:val="0"/>
              <w:snapToGrid w:val="0"/>
              <w:spacing w:line="440" w:lineRule="exact"/>
              <w:ind w:firstLineChars="250" w:firstLine="550"/>
              <w:rPr>
                <w:sz w:val="22"/>
              </w:rPr>
            </w:pPr>
            <w:r>
              <w:rPr>
                <w:rFonts w:hint="eastAsia"/>
                <w:sz w:val="22"/>
              </w:rPr>
              <w:t>男</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本科</w:t>
            </w:r>
          </w:p>
        </w:tc>
        <w:tc>
          <w:tcPr>
            <w:tcW w:w="1523" w:type="dxa"/>
            <w:gridSpan w:val="3"/>
            <w:vAlign w:val="center"/>
          </w:tcPr>
          <w:p w:rsidR="003717A0" w:rsidRDefault="003717A0" w:rsidP="00566E4D">
            <w:pPr>
              <w:adjustRightInd w:val="0"/>
              <w:snapToGrid w:val="0"/>
              <w:spacing w:line="440" w:lineRule="exact"/>
              <w:ind w:firstLineChars="200" w:firstLine="440"/>
              <w:rPr>
                <w:sz w:val="22"/>
              </w:rPr>
            </w:pPr>
            <w:r>
              <w:rPr>
                <w:rFonts w:hint="eastAsia"/>
                <w:sz w:val="22"/>
              </w:rPr>
              <w:t>学士</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副教授</w:t>
            </w:r>
          </w:p>
        </w:tc>
        <w:tc>
          <w:tcPr>
            <w:tcW w:w="1524" w:type="dxa"/>
          </w:tcPr>
          <w:p w:rsidR="003717A0" w:rsidRDefault="003717A0" w:rsidP="00566E4D">
            <w:pPr>
              <w:adjustRightInd w:val="0"/>
              <w:snapToGrid w:val="0"/>
              <w:spacing w:line="440" w:lineRule="exact"/>
              <w:jc w:val="center"/>
              <w:rPr>
                <w:sz w:val="22"/>
              </w:rPr>
            </w:pPr>
            <w:r>
              <w:rPr>
                <w:sz w:val="22"/>
              </w:rPr>
              <w:t>1988.1</w:t>
            </w:r>
          </w:p>
        </w:tc>
      </w:tr>
      <w:tr w:rsidR="003717A0" w:rsidTr="00566E4D">
        <w:trPr>
          <w:jc w:val="center"/>
        </w:trPr>
        <w:tc>
          <w:tcPr>
            <w:tcW w:w="1668" w:type="dxa"/>
            <w:vAlign w:val="bottom"/>
          </w:tcPr>
          <w:p w:rsidR="003717A0" w:rsidRDefault="003717A0" w:rsidP="00566E4D">
            <w:pPr>
              <w:adjustRightInd w:val="0"/>
              <w:snapToGrid w:val="0"/>
              <w:spacing w:line="440" w:lineRule="exact"/>
              <w:jc w:val="center"/>
              <w:rPr>
                <w:sz w:val="22"/>
              </w:rPr>
            </w:pPr>
            <w:r>
              <w:rPr>
                <w:rFonts w:hint="eastAsia"/>
                <w:sz w:val="22"/>
              </w:rPr>
              <w:t>郭</w:t>
            </w:r>
            <w:r>
              <w:rPr>
                <w:sz w:val="22"/>
              </w:rPr>
              <w:t xml:space="preserve"> </w:t>
            </w:r>
            <w:r>
              <w:rPr>
                <w:rFonts w:hint="eastAsia"/>
                <w:sz w:val="22"/>
              </w:rPr>
              <w:t>飞</w:t>
            </w:r>
          </w:p>
        </w:tc>
        <w:tc>
          <w:tcPr>
            <w:tcW w:w="1523" w:type="dxa"/>
            <w:vAlign w:val="center"/>
          </w:tcPr>
          <w:p w:rsidR="003717A0" w:rsidRDefault="003717A0" w:rsidP="00566E4D">
            <w:pPr>
              <w:adjustRightInd w:val="0"/>
              <w:snapToGrid w:val="0"/>
              <w:spacing w:line="440" w:lineRule="exact"/>
              <w:jc w:val="center"/>
              <w:rPr>
                <w:sz w:val="22"/>
              </w:rPr>
            </w:pPr>
            <w:r>
              <w:rPr>
                <w:rFonts w:hint="eastAsia"/>
                <w:sz w:val="22"/>
              </w:rPr>
              <w:t>男</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本科</w:t>
            </w:r>
          </w:p>
        </w:tc>
        <w:tc>
          <w:tcPr>
            <w:tcW w:w="1523" w:type="dxa"/>
            <w:gridSpan w:val="3"/>
            <w:vAlign w:val="center"/>
          </w:tcPr>
          <w:p w:rsidR="003717A0" w:rsidRDefault="003717A0" w:rsidP="00566E4D">
            <w:pPr>
              <w:adjustRightInd w:val="0"/>
              <w:snapToGrid w:val="0"/>
              <w:spacing w:line="440" w:lineRule="exact"/>
              <w:jc w:val="center"/>
              <w:rPr>
                <w:sz w:val="22"/>
              </w:rPr>
            </w:pPr>
            <w:r>
              <w:rPr>
                <w:rFonts w:hint="eastAsia"/>
                <w:sz w:val="22"/>
              </w:rPr>
              <w:t>硕士</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副教授</w:t>
            </w:r>
          </w:p>
        </w:tc>
        <w:tc>
          <w:tcPr>
            <w:tcW w:w="1524" w:type="dxa"/>
          </w:tcPr>
          <w:p w:rsidR="003717A0" w:rsidRDefault="003717A0" w:rsidP="00566E4D">
            <w:pPr>
              <w:adjustRightInd w:val="0"/>
              <w:snapToGrid w:val="0"/>
              <w:spacing w:line="440" w:lineRule="exact"/>
              <w:jc w:val="center"/>
              <w:rPr>
                <w:sz w:val="22"/>
              </w:rPr>
            </w:pPr>
            <w:r>
              <w:rPr>
                <w:sz w:val="22"/>
              </w:rPr>
              <w:t>1984.1</w:t>
            </w:r>
          </w:p>
        </w:tc>
      </w:tr>
      <w:tr w:rsidR="003717A0" w:rsidTr="00566E4D">
        <w:trPr>
          <w:jc w:val="center"/>
        </w:trPr>
        <w:tc>
          <w:tcPr>
            <w:tcW w:w="1668" w:type="dxa"/>
            <w:vAlign w:val="bottom"/>
          </w:tcPr>
          <w:p w:rsidR="003717A0" w:rsidRDefault="003717A0" w:rsidP="00566E4D">
            <w:pPr>
              <w:adjustRightInd w:val="0"/>
              <w:snapToGrid w:val="0"/>
              <w:spacing w:line="440" w:lineRule="exact"/>
              <w:jc w:val="center"/>
              <w:rPr>
                <w:sz w:val="22"/>
              </w:rPr>
            </w:pPr>
            <w:r>
              <w:rPr>
                <w:rFonts w:hint="eastAsia"/>
                <w:sz w:val="22"/>
              </w:rPr>
              <w:t>顾健辉</w:t>
            </w:r>
          </w:p>
        </w:tc>
        <w:tc>
          <w:tcPr>
            <w:tcW w:w="1523" w:type="dxa"/>
            <w:vAlign w:val="center"/>
          </w:tcPr>
          <w:p w:rsidR="003717A0" w:rsidRDefault="003717A0" w:rsidP="00566E4D">
            <w:pPr>
              <w:adjustRightInd w:val="0"/>
              <w:snapToGrid w:val="0"/>
              <w:spacing w:line="440" w:lineRule="exact"/>
              <w:jc w:val="center"/>
              <w:rPr>
                <w:sz w:val="22"/>
              </w:rPr>
            </w:pPr>
            <w:r>
              <w:rPr>
                <w:rFonts w:hint="eastAsia"/>
                <w:sz w:val="22"/>
              </w:rPr>
              <w:t>男</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研究生</w:t>
            </w:r>
          </w:p>
        </w:tc>
        <w:tc>
          <w:tcPr>
            <w:tcW w:w="1523" w:type="dxa"/>
            <w:gridSpan w:val="3"/>
            <w:vAlign w:val="center"/>
          </w:tcPr>
          <w:p w:rsidR="003717A0" w:rsidRDefault="003717A0" w:rsidP="00566E4D">
            <w:pPr>
              <w:adjustRightInd w:val="0"/>
              <w:snapToGrid w:val="0"/>
              <w:spacing w:line="440" w:lineRule="exact"/>
              <w:jc w:val="center"/>
              <w:rPr>
                <w:sz w:val="22"/>
              </w:rPr>
            </w:pPr>
            <w:r>
              <w:rPr>
                <w:rFonts w:hint="eastAsia"/>
                <w:sz w:val="22"/>
              </w:rPr>
              <w:t>硕士</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副教授</w:t>
            </w:r>
          </w:p>
        </w:tc>
        <w:tc>
          <w:tcPr>
            <w:tcW w:w="1524" w:type="dxa"/>
          </w:tcPr>
          <w:p w:rsidR="003717A0" w:rsidRDefault="003717A0" w:rsidP="00566E4D">
            <w:pPr>
              <w:adjustRightInd w:val="0"/>
              <w:snapToGrid w:val="0"/>
              <w:spacing w:line="440" w:lineRule="exact"/>
              <w:jc w:val="center"/>
              <w:rPr>
                <w:sz w:val="22"/>
              </w:rPr>
            </w:pPr>
            <w:r>
              <w:rPr>
                <w:sz w:val="22"/>
              </w:rPr>
              <w:t>1998.9</w:t>
            </w:r>
          </w:p>
        </w:tc>
      </w:tr>
      <w:tr w:rsidR="003717A0" w:rsidTr="00566E4D">
        <w:trPr>
          <w:jc w:val="center"/>
        </w:trPr>
        <w:tc>
          <w:tcPr>
            <w:tcW w:w="1668" w:type="dxa"/>
            <w:vAlign w:val="bottom"/>
          </w:tcPr>
          <w:p w:rsidR="003717A0" w:rsidRDefault="003717A0" w:rsidP="00566E4D">
            <w:pPr>
              <w:adjustRightInd w:val="0"/>
              <w:snapToGrid w:val="0"/>
              <w:spacing w:line="440" w:lineRule="exact"/>
              <w:jc w:val="center"/>
              <w:rPr>
                <w:sz w:val="22"/>
              </w:rPr>
            </w:pPr>
            <w:r>
              <w:rPr>
                <w:rFonts w:hint="eastAsia"/>
                <w:sz w:val="22"/>
              </w:rPr>
              <w:t>龚红蕾</w:t>
            </w:r>
          </w:p>
        </w:tc>
        <w:tc>
          <w:tcPr>
            <w:tcW w:w="1523" w:type="dxa"/>
            <w:vAlign w:val="center"/>
          </w:tcPr>
          <w:p w:rsidR="003717A0" w:rsidRDefault="003717A0" w:rsidP="00566E4D">
            <w:pPr>
              <w:adjustRightInd w:val="0"/>
              <w:snapToGrid w:val="0"/>
              <w:spacing w:line="440" w:lineRule="exact"/>
              <w:jc w:val="center"/>
              <w:rPr>
                <w:sz w:val="22"/>
              </w:rPr>
            </w:pPr>
            <w:r>
              <w:rPr>
                <w:rFonts w:hint="eastAsia"/>
                <w:sz w:val="22"/>
              </w:rPr>
              <w:t>女</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本科</w:t>
            </w:r>
          </w:p>
        </w:tc>
        <w:tc>
          <w:tcPr>
            <w:tcW w:w="1523" w:type="dxa"/>
            <w:gridSpan w:val="3"/>
            <w:vAlign w:val="center"/>
          </w:tcPr>
          <w:p w:rsidR="003717A0" w:rsidRDefault="003717A0" w:rsidP="00566E4D">
            <w:pPr>
              <w:adjustRightInd w:val="0"/>
              <w:snapToGrid w:val="0"/>
              <w:spacing w:line="440" w:lineRule="exact"/>
              <w:jc w:val="center"/>
              <w:rPr>
                <w:sz w:val="22"/>
              </w:rPr>
            </w:pPr>
            <w:r>
              <w:rPr>
                <w:rFonts w:hint="eastAsia"/>
                <w:sz w:val="22"/>
              </w:rPr>
              <w:t>硕士</w:t>
            </w:r>
          </w:p>
        </w:tc>
        <w:tc>
          <w:tcPr>
            <w:tcW w:w="1524" w:type="dxa"/>
            <w:gridSpan w:val="2"/>
            <w:vAlign w:val="center"/>
          </w:tcPr>
          <w:p w:rsidR="003717A0" w:rsidRDefault="003717A0" w:rsidP="00566E4D">
            <w:pPr>
              <w:adjustRightInd w:val="0"/>
              <w:snapToGrid w:val="0"/>
              <w:spacing w:line="440" w:lineRule="exact"/>
              <w:jc w:val="center"/>
              <w:rPr>
                <w:sz w:val="22"/>
              </w:rPr>
            </w:pPr>
            <w:r>
              <w:rPr>
                <w:rFonts w:hint="eastAsia"/>
                <w:sz w:val="22"/>
              </w:rPr>
              <w:t>副教授</w:t>
            </w:r>
          </w:p>
        </w:tc>
        <w:tc>
          <w:tcPr>
            <w:tcW w:w="1524" w:type="dxa"/>
          </w:tcPr>
          <w:p w:rsidR="003717A0" w:rsidRDefault="003717A0" w:rsidP="00566E4D">
            <w:pPr>
              <w:adjustRightInd w:val="0"/>
              <w:snapToGrid w:val="0"/>
              <w:spacing w:line="440" w:lineRule="exact"/>
              <w:jc w:val="center"/>
              <w:rPr>
                <w:sz w:val="22"/>
              </w:rPr>
            </w:pPr>
            <w:r>
              <w:rPr>
                <w:sz w:val="22"/>
              </w:rPr>
              <w:t>1986.9</w:t>
            </w:r>
          </w:p>
        </w:tc>
      </w:tr>
      <w:tr w:rsidR="003717A0" w:rsidTr="00566E4D">
        <w:trPr>
          <w:jc w:val="center"/>
        </w:trPr>
        <w:tc>
          <w:tcPr>
            <w:tcW w:w="9286" w:type="dxa"/>
            <w:gridSpan w:val="10"/>
          </w:tcPr>
          <w:p w:rsidR="003717A0" w:rsidRDefault="003717A0" w:rsidP="00566E4D">
            <w:pPr>
              <w:adjustRightInd w:val="0"/>
              <w:snapToGrid w:val="0"/>
              <w:spacing w:line="440" w:lineRule="exact"/>
              <w:rPr>
                <w:sz w:val="22"/>
              </w:rPr>
            </w:pPr>
            <w:r>
              <w:rPr>
                <w:rFonts w:hint="eastAsia"/>
                <w:sz w:val="22"/>
              </w:rPr>
              <w:t>课程简介</w:t>
            </w:r>
          </w:p>
        </w:tc>
      </w:tr>
      <w:tr w:rsidR="003717A0" w:rsidTr="00566E4D">
        <w:trPr>
          <w:jc w:val="center"/>
        </w:trPr>
        <w:tc>
          <w:tcPr>
            <w:tcW w:w="9286" w:type="dxa"/>
            <w:gridSpan w:val="10"/>
          </w:tcPr>
          <w:p w:rsidR="003717A0" w:rsidRDefault="003717A0" w:rsidP="00566E4D">
            <w:pPr>
              <w:adjustRightInd w:val="0"/>
              <w:snapToGrid w:val="0"/>
              <w:spacing w:line="440" w:lineRule="exact"/>
              <w:ind w:firstLineChars="200" w:firstLine="440"/>
              <w:rPr>
                <w:rFonts w:ascii="Times New Roman" w:hAnsi="Times New Roman"/>
                <w:sz w:val="22"/>
              </w:rPr>
            </w:pPr>
            <w:r>
              <w:rPr>
                <w:rFonts w:hint="eastAsia"/>
                <w:sz w:val="22"/>
              </w:rPr>
              <w:t>儿科学是一门研究从胎儿至青少年时期生长发育、身心健康和疾病防治的生命科学。随着社会的不断进步、人民生活水平的迅速提高，儿科学在临床医学的作用越来越被人们重视。《儿科学》是一门专科性较强的临床学科，非常注重科学性、先进性和实用性；为满足儿科临床工作实际需要，需要经常引进涉及本专业的成熟的新成果、新理论和新方法，为培养合格的临床儿科医生服务。本课程通过教学使学生掌握儿科常见病的发生发展规律和诊断防治方法，掌握疑难病症的临床诊断思维方法、检查步骤及鉴别诊断，掌握危急重症的抢救程序和方法等，为学</w:t>
            </w:r>
            <w:r>
              <w:rPr>
                <w:rFonts w:hint="eastAsia"/>
              </w:rPr>
              <w:t>生今后从事儿科临床医疗及儿童保健工作奠定基础。</w:t>
            </w:r>
            <w:r>
              <w:rPr>
                <w:rFonts w:hint="eastAsia"/>
                <w:sz w:val="22"/>
              </w:rPr>
              <w:t>本课程教学的主要路径与方法：充分利用多媒体教学平台，全面开展多媒体教学，通过自制</w:t>
            </w:r>
            <w:r>
              <w:rPr>
                <w:sz w:val="22"/>
              </w:rPr>
              <w:t xml:space="preserve">PPT </w:t>
            </w:r>
            <w:r>
              <w:rPr>
                <w:rFonts w:hint="eastAsia"/>
                <w:sz w:val="22"/>
              </w:rPr>
              <w:t>教学课件，建设网络教学平台，较好地运用现代教育技术，全面提升课程教学的技术含量。</w:t>
            </w:r>
          </w:p>
        </w:tc>
      </w:tr>
    </w:tbl>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sidRPr="003B4CD1">
        <w:rPr>
          <w:rFonts w:ascii="Times New Roman" w:hAnsi="Times New Roman"/>
          <w:kern w:val="0"/>
          <w:szCs w:val="21"/>
        </w:rPr>
        <w:t>170185</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48</w:t>
      </w:r>
      <w:r>
        <w:rPr>
          <w:rFonts w:ascii="Times New Roman" w:hAnsi="Times New Roman" w:hint="eastAsia"/>
          <w:kern w:val="0"/>
          <w:szCs w:val="21"/>
        </w:rPr>
        <w:t>学时（理论学时</w:t>
      </w:r>
      <w:r>
        <w:rPr>
          <w:rFonts w:ascii="Times New Roman" w:hAnsi="Times New Roman"/>
          <w:kern w:val="0"/>
          <w:szCs w:val="21"/>
        </w:rPr>
        <w:t>32</w:t>
      </w:r>
      <w:r>
        <w:rPr>
          <w:rFonts w:ascii="Times New Roman" w:hAnsi="Times New Roman" w:hint="eastAsia"/>
          <w:kern w:val="0"/>
          <w:szCs w:val="21"/>
        </w:rPr>
        <w:t>，实验学时</w:t>
      </w:r>
      <w:r>
        <w:rPr>
          <w:rFonts w:ascii="Times New Roman" w:hAnsi="Times New Roman"/>
          <w:kern w:val="0"/>
          <w:szCs w:val="21"/>
        </w:rPr>
        <w:t>16</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2</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w:t>
      </w:r>
      <w:r>
        <w:rPr>
          <w:rFonts w:hint="eastAsia"/>
        </w:rPr>
        <w:t>《诊断学》《病理》《生理》</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后续课程：后续的临床专业课程</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spacing w:line="360" w:lineRule="auto"/>
        <w:ind w:firstLineChars="200" w:firstLine="420"/>
        <w:rPr>
          <w:rFonts w:ascii="Times New Roman" w:hAnsi="Times New Roman"/>
          <w:kern w:val="0"/>
          <w:szCs w:val="21"/>
        </w:rPr>
      </w:pPr>
      <w:r>
        <w:rPr>
          <w:rFonts w:ascii="Times New Roman" w:hAnsi="Times New Roman" w:hint="eastAsia"/>
          <w:kern w:val="0"/>
          <w:szCs w:val="21"/>
        </w:rPr>
        <w:t>儿科学是一门研究胎儿至青少年时期小儿生长发育、保健及疾病预防的临床医学学科，属临床医学的二级学科。</w:t>
      </w:r>
      <w:r>
        <w:rPr>
          <w:rFonts w:hint="eastAsia"/>
        </w:rPr>
        <w:t>本课程的任务是：通过教学使学生掌握小儿解剖生理特点、儿童预防保健措施及儿科常见病的发生发展规律和诊断防治方法，</w:t>
      </w:r>
      <w:r>
        <w:rPr>
          <w:rFonts w:hint="eastAsia"/>
          <w:szCs w:val="21"/>
        </w:rPr>
        <w:t>掌握疑难病症的临床诊断思维方法、检查步骤及鉴别诊断，掌握危急重症的抢救程序和方法，了解儿科的新知识和新技术。为</w:t>
      </w:r>
      <w:r>
        <w:rPr>
          <w:rFonts w:hint="eastAsia"/>
        </w:rPr>
        <w:t>学生今后从事儿科临床医疗及儿童保健工作奠定基础。</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使学生掌握儿科常见病的发生发展规律和诊断防治方法，掌握疑难病症的临床诊断思维方法、检查步骤及鉴别诊断，掌握危急重症的抢救，了解儿科的新知识和新技术。在注重培养学生分析问题和解决问题的能力的同时，注意加强理论与实践的结合。</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rPr>
          <w:b/>
          <w:sz w:val="24"/>
        </w:rPr>
      </w:pPr>
      <w:r>
        <w:rPr>
          <w:rFonts w:hint="eastAsia"/>
          <w:b/>
          <w:sz w:val="24"/>
        </w:rPr>
        <w:t>一、绪论</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教学内容及要求（</w:t>
      </w:r>
      <w:r>
        <w:rPr>
          <w:rFonts w:ascii="Times New Roman"/>
          <w:b/>
        </w:rPr>
        <w:t>1</w:t>
      </w:r>
      <w:r>
        <w:rPr>
          <w:rFonts w:ascii="Times New Roman" w:hint="eastAsia"/>
          <w:b/>
        </w:rPr>
        <w:t>学时）</w:t>
      </w:r>
    </w:p>
    <w:p w:rsidR="003717A0" w:rsidRDefault="003717A0">
      <w:pPr>
        <w:numPr>
          <w:ilvl w:val="0"/>
          <w:numId w:val="433"/>
        </w:numPr>
        <w:spacing w:line="360" w:lineRule="auto"/>
        <w:ind w:left="357" w:hanging="357"/>
      </w:pPr>
      <w:r>
        <w:rPr>
          <w:rFonts w:hint="eastAsia"/>
        </w:rPr>
        <w:t>了解我国儿科工作的成就。</w:t>
      </w:r>
    </w:p>
    <w:p w:rsidR="003717A0" w:rsidRDefault="003717A0">
      <w:pPr>
        <w:numPr>
          <w:ilvl w:val="0"/>
          <w:numId w:val="433"/>
        </w:numPr>
        <w:spacing w:line="360" w:lineRule="auto"/>
        <w:ind w:left="357" w:hanging="357"/>
      </w:pPr>
      <w:r>
        <w:rPr>
          <w:rFonts w:hint="eastAsia"/>
        </w:rPr>
        <w:t>熟悉儿科学的特点（分基础和临床）。</w:t>
      </w:r>
    </w:p>
    <w:p w:rsidR="003717A0" w:rsidRDefault="003717A0">
      <w:pPr>
        <w:numPr>
          <w:ilvl w:val="0"/>
          <w:numId w:val="433"/>
        </w:numPr>
        <w:spacing w:line="360" w:lineRule="auto"/>
        <w:ind w:left="357" w:hanging="357"/>
      </w:pPr>
      <w:r>
        <w:rPr>
          <w:rFonts w:hint="eastAsia"/>
        </w:rPr>
        <w:t>掌握小儿年龄分期及特点。</w:t>
      </w:r>
    </w:p>
    <w:p w:rsidR="003717A0" w:rsidRDefault="003717A0">
      <w:pPr>
        <w:ind w:firstLineChars="196" w:firstLine="413"/>
      </w:pPr>
      <w:r>
        <w:rPr>
          <w:rFonts w:ascii="Times New Roman" w:hint="eastAsia"/>
          <w:b/>
        </w:rPr>
        <w:t>实习内容（</w:t>
      </w:r>
      <w:r>
        <w:rPr>
          <w:rFonts w:ascii="Times New Roman" w:hAnsi="Times New Roman"/>
          <w:b/>
        </w:rPr>
        <w:t>4</w:t>
      </w:r>
      <w:r>
        <w:rPr>
          <w:rFonts w:ascii="Times New Roman" w:hint="eastAsia"/>
          <w:b/>
        </w:rPr>
        <w:t>学时）</w:t>
      </w:r>
    </w:p>
    <w:p w:rsidR="003717A0" w:rsidRDefault="003717A0">
      <w:r>
        <w:rPr>
          <w:rFonts w:hint="eastAsia"/>
        </w:rPr>
        <w:t>了解儿科门诊的设置要求、工作制度和方法，掌握儿科门诊病史的书写。</w:t>
      </w:r>
    </w:p>
    <w:p w:rsidR="003717A0" w:rsidRDefault="003717A0">
      <w:pPr>
        <w:rPr>
          <w:b/>
          <w:sz w:val="24"/>
        </w:rPr>
      </w:pPr>
      <w:r>
        <w:rPr>
          <w:rFonts w:hint="eastAsia"/>
          <w:b/>
          <w:sz w:val="24"/>
        </w:rPr>
        <w:t>二、生长发育</w:t>
      </w:r>
    </w:p>
    <w:p w:rsidR="003717A0" w:rsidRDefault="003717A0">
      <w:pPr>
        <w:adjustRightInd w:val="0"/>
        <w:snapToGrid w:val="0"/>
        <w:spacing w:line="360" w:lineRule="auto"/>
        <w:ind w:right="6" w:firstLineChars="200" w:firstLine="422"/>
        <w:rPr>
          <w:rFonts w:ascii="Times New Roman"/>
          <w:b/>
        </w:rPr>
      </w:pPr>
      <w:r>
        <w:rPr>
          <w:rFonts w:ascii="Times New Roman" w:hint="eastAsia"/>
          <w:b/>
        </w:rPr>
        <w:t>教学内容及要求（</w:t>
      </w:r>
      <w:r>
        <w:rPr>
          <w:rFonts w:ascii="Times New Roman" w:hAnsi="Times New Roman"/>
          <w:b/>
        </w:rPr>
        <w:t>1</w:t>
      </w:r>
      <w:r>
        <w:rPr>
          <w:rFonts w:ascii="Times New Roman" w:hint="eastAsia"/>
          <w:b/>
        </w:rPr>
        <w:t>学时）</w:t>
      </w:r>
    </w:p>
    <w:p w:rsidR="003717A0" w:rsidRDefault="003717A0">
      <w:pPr>
        <w:spacing w:line="360" w:lineRule="auto"/>
      </w:pPr>
      <w:r>
        <w:t>1.</w:t>
      </w:r>
      <w:r>
        <w:rPr>
          <w:rFonts w:hint="eastAsia"/>
        </w:rPr>
        <w:t>掌握出生至青春期前的生长发育规律。</w:t>
      </w:r>
    </w:p>
    <w:p w:rsidR="003717A0" w:rsidRDefault="003717A0">
      <w:pPr>
        <w:spacing w:line="360" w:lineRule="auto"/>
      </w:pPr>
      <w:r>
        <w:t>2.</w:t>
      </w:r>
      <w:r>
        <w:rPr>
          <w:rFonts w:hint="eastAsia"/>
        </w:rPr>
        <w:t>掌握体格测量常用指标。</w:t>
      </w:r>
    </w:p>
    <w:p w:rsidR="003717A0" w:rsidRDefault="003717A0">
      <w:pPr>
        <w:spacing w:line="360" w:lineRule="auto"/>
      </w:pPr>
      <w:r>
        <w:t>3.</w:t>
      </w:r>
      <w:r>
        <w:rPr>
          <w:rFonts w:hint="eastAsia"/>
        </w:rPr>
        <w:t>掌握小儿运动、语言、发育。</w:t>
      </w:r>
    </w:p>
    <w:p w:rsidR="003717A0" w:rsidRDefault="003717A0">
      <w:pPr>
        <w:numPr>
          <w:ilvl w:val="0"/>
          <w:numId w:val="433"/>
        </w:numPr>
        <w:spacing w:line="360" w:lineRule="auto"/>
        <w:ind w:left="357" w:hanging="357"/>
      </w:pPr>
      <w:r>
        <w:rPr>
          <w:rFonts w:hint="eastAsia"/>
        </w:rPr>
        <w:t>了解小儿神经系统的解剖生理特点。</w:t>
      </w:r>
    </w:p>
    <w:p w:rsidR="003717A0" w:rsidRDefault="003717A0">
      <w:pPr>
        <w:numPr>
          <w:ilvl w:val="0"/>
          <w:numId w:val="433"/>
        </w:numPr>
        <w:spacing w:line="360" w:lineRule="auto"/>
        <w:ind w:left="357" w:hanging="357"/>
      </w:pPr>
      <w:r>
        <w:rPr>
          <w:rFonts w:hint="eastAsia"/>
        </w:rPr>
        <w:lastRenderedPageBreak/>
        <w:t>了解影响小儿生长发育的因素。</w:t>
      </w:r>
    </w:p>
    <w:p w:rsidR="003717A0" w:rsidRDefault="003717A0">
      <w:pPr>
        <w:rPr>
          <w:rFonts w:ascii="Times New Roman"/>
          <w:b/>
        </w:rPr>
      </w:pPr>
      <w:r>
        <w:t xml:space="preserve">    </w:t>
      </w:r>
      <w:r>
        <w:rPr>
          <w:rFonts w:ascii="Times New Roman" w:hint="eastAsia"/>
          <w:b/>
        </w:rPr>
        <w:t>实习内容（</w:t>
      </w:r>
      <w:r>
        <w:rPr>
          <w:rFonts w:ascii="Times New Roman" w:hAnsi="Times New Roman"/>
          <w:b/>
        </w:rPr>
        <w:t>4</w:t>
      </w:r>
      <w:r>
        <w:rPr>
          <w:rFonts w:ascii="Times New Roman" w:hint="eastAsia"/>
          <w:b/>
        </w:rPr>
        <w:t>学时）</w:t>
      </w:r>
    </w:p>
    <w:p w:rsidR="003717A0" w:rsidRDefault="003717A0">
      <w:pPr>
        <w:rPr>
          <w:rFonts w:ascii="宋体"/>
        </w:rPr>
      </w:pPr>
      <w:r>
        <w:rPr>
          <w:rFonts w:ascii="宋体" w:hAnsi="宋体" w:hint="eastAsia"/>
        </w:rPr>
        <w:t>学会小儿体格测量方法，了解神经发育、感知发育、运动发育语言发育的规律。掌握体重、身长、头围、胸围、上臂围、骨骼、牙齿的生长规律。掌握小儿体格正常值计算方法及</w:t>
      </w:r>
      <w:r>
        <w:rPr>
          <w:rFonts w:ascii="宋体" w:hAnsi="宋体"/>
        </w:rPr>
        <w:t>1</w:t>
      </w:r>
      <w:r>
        <w:rPr>
          <w:rFonts w:ascii="宋体" w:hAnsi="宋体" w:hint="eastAsia"/>
        </w:rPr>
        <w:t>岁以内精神发育的几项主要指标。</w:t>
      </w:r>
    </w:p>
    <w:p w:rsidR="003717A0" w:rsidRDefault="003717A0">
      <w:pPr>
        <w:rPr>
          <w:b/>
          <w:sz w:val="24"/>
        </w:rPr>
      </w:pPr>
      <w:r>
        <w:rPr>
          <w:rFonts w:hint="eastAsia"/>
          <w:b/>
          <w:sz w:val="24"/>
        </w:rPr>
        <w:t>三、儿童保健</w:t>
      </w:r>
    </w:p>
    <w:p w:rsidR="003717A0" w:rsidRDefault="003717A0">
      <w:pPr>
        <w:rPr>
          <w:sz w:val="24"/>
        </w:rPr>
      </w:pPr>
      <w:r>
        <w:rPr>
          <w:rFonts w:ascii="Times New Roman" w:hint="eastAsia"/>
          <w:b/>
        </w:rPr>
        <w:t>教学内容及要求（</w:t>
      </w:r>
      <w:r>
        <w:rPr>
          <w:rFonts w:ascii="Times New Roman"/>
          <w:b/>
        </w:rPr>
        <w:t>1</w:t>
      </w:r>
      <w:r>
        <w:rPr>
          <w:rFonts w:ascii="Times New Roman" w:hint="eastAsia"/>
          <w:b/>
        </w:rPr>
        <w:t>学时）</w:t>
      </w:r>
    </w:p>
    <w:p w:rsidR="003717A0" w:rsidRDefault="003717A0">
      <w:pPr>
        <w:spacing w:line="360" w:lineRule="auto"/>
      </w:pPr>
      <w:r>
        <w:t>1.</w:t>
      </w:r>
      <w:r>
        <w:rPr>
          <w:rFonts w:hint="eastAsia"/>
        </w:rPr>
        <w:t>熟悉各年龄期儿童的保健重点。</w:t>
      </w:r>
    </w:p>
    <w:p w:rsidR="003717A0" w:rsidRDefault="003717A0">
      <w:pPr>
        <w:spacing w:line="360" w:lineRule="auto"/>
      </w:pPr>
      <w:r>
        <w:t>2.</w:t>
      </w:r>
      <w:r>
        <w:rPr>
          <w:rFonts w:hint="eastAsia"/>
        </w:rPr>
        <w:t>掌握儿童计划免疫程序和种类。</w:t>
      </w:r>
    </w:p>
    <w:p w:rsidR="003717A0" w:rsidRDefault="003717A0">
      <w:pPr>
        <w:spacing w:line="360" w:lineRule="auto"/>
      </w:pPr>
      <w:r>
        <w:t>3.</w:t>
      </w:r>
      <w:r>
        <w:rPr>
          <w:rFonts w:hint="eastAsia"/>
        </w:rPr>
        <w:t>了解儿童保健的一般原则。</w:t>
      </w:r>
    </w:p>
    <w:p w:rsidR="003717A0" w:rsidRDefault="003717A0">
      <w:pPr>
        <w:spacing w:line="360" w:lineRule="auto"/>
      </w:pPr>
      <w:r>
        <w:t>4.</w:t>
      </w:r>
      <w:r>
        <w:rPr>
          <w:rFonts w:hint="eastAsia"/>
        </w:rPr>
        <w:t>了解儿童保健组织结构，幼托机构管理及保健的具体措施。</w:t>
      </w:r>
    </w:p>
    <w:p w:rsidR="003717A0" w:rsidRDefault="003717A0">
      <w:pPr>
        <w:rPr>
          <w:b/>
          <w:sz w:val="24"/>
        </w:rPr>
      </w:pPr>
      <w:r>
        <w:rPr>
          <w:rFonts w:hint="eastAsia"/>
          <w:b/>
          <w:sz w:val="24"/>
        </w:rPr>
        <w:t>四、营养与喂养</w:t>
      </w:r>
    </w:p>
    <w:p w:rsidR="003717A0" w:rsidRDefault="003717A0">
      <w:pPr>
        <w:rPr>
          <w:rFonts w:ascii="Times New Roman"/>
          <w:b/>
        </w:rPr>
      </w:pPr>
      <w:r>
        <w:rPr>
          <w:rFonts w:ascii="Times New Roman" w:hint="eastAsia"/>
          <w:b/>
        </w:rPr>
        <w:t>教学内容及要求（</w:t>
      </w:r>
      <w:r>
        <w:rPr>
          <w:rFonts w:ascii="Times New Roman"/>
          <w:b/>
        </w:rPr>
        <w:t>3</w:t>
      </w:r>
      <w:r>
        <w:rPr>
          <w:rFonts w:ascii="Times New Roman" w:hint="eastAsia"/>
          <w:b/>
        </w:rPr>
        <w:t>学时）</w:t>
      </w:r>
    </w:p>
    <w:p w:rsidR="003717A0" w:rsidRDefault="003717A0">
      <w:pPr>
        <w:spacing w:line="360" w:lineRule="auto"/>
      </w:pPr>
      <w:r>
        <w:t>1.</w:t>
      </w:r>
      <w:r>
        <w:rPr>
          <w:rFonts w:hint="eastAsia"/>
        </w:rPr>
        <w:t>熟悉各期儿童的能量需要量，主要营养的供应量，以及三大产能特点占总能量的比例。</w:t>
      </w:r>
    </w:p>
    <w:p w:rsidR="003717A0" w:rsidRDefault="003717A0">
      <w:pPr>
        <w:spacing w:line="360" w:lineRule="auto"/>
      </w:pPr>
      <w:r>
        <w:t>2.</w:t>
      </w:r>
      <w:r>
        <w:rPr>
          <w:rFonts w:hint="eastAsia"/>
        </w:rPr>
        <w:t>熟悉小儿消化系统特点与临床关系，如酶发育特点（消化酶的成熟与三大营养素的消化与吸收）、胃肠运动、婴幼儿肠道菌群。</w:t>
      </w:r>
    </w:p>
    <w:p w:rsidR="003717A0" w:rsidRDefault="003717A0">
      <w:pPr>
        <w:spacing w:line="360" w:lineRule="auto"/>
      </w:pPr>
      <w:r>
        <w:t>3.</w:t>
      </w:r>
      <w:r>
        <w:rPr>
          <w:rFonts w:hint="eastAsia"/>
        </w:rPr>
        <w:t>掌握母乳的优点及正确的哺育方法。</w:t>
      </w:r>
    </w:p>
    <w:p w:rsidR="003717A0" w:rsidRDefault="003717A0">
      <w:pPr>
        <w:spacing w:line="360" w:lineRule="auto"/>
      </w:pPr>
      <w:r>
        <w:t>4.</w:t>
      </w:r>
      <w:r>
        <w:rPr>
          <w:rFonts w:hint="eastAsia"/>
        </w:rPr>
        <w:t>掌握婴儿食物转换的时间、食物种类和方法。</w:t>
      </w:r>
    </w:p>
    <w:p w:rsidR="003717A0" w:rsidRDefault="003717A0">
      <w:pPr>
        <w:spacing w:line="360" w:lineRule="auto"/>
      </w:pPr>
      <w:r>
        <w:t>5.</w:t>
      </w:r>
      <w:r>
        <w:rPr>
          <w:rFonts w:hint="eastAsia"/>
        </w:rPr>
        <w:t>掌握蛋白质――能量营养不良的病因、临床表现、诊断、治疗和预防原则。了解营养不良的常见并发症。</w:t>
      </w:r>
    </w:p>
    <w:p w:rsidR="003717A0" w:rsidRDefault="003717A0">
      <w:pPr>
        <w:spacing w:line="360" w:lineRule="auto"/>
      </w:pPr>
      <w:r>
        <w:t>6.</w:t>
      </w:r>
      <w:r>
        <w:rPr>
          <w:rFonts w:hint="eastAsia"/>
        </w:rPr>
        <w:t>了解维生素</w:t>
      </w:r>
      <w:r>
        <w:t>D</w:t>
      </w:r>
      <w:r>
        <w:rPr>
          <w:rFonts w:hint="eastAsia"/>
        </w:rPr>
        <w:t>的来源，代谢及生理作用。熟悉引起维生素</w:t>
      </w:r>
      <w:r>
        <w:t>D</w:t>
      </w:r>
      <w:r>
        <w:rPr>
          <w:rFonts w:hint="eastAsia"/>
        </w:rPr>
        <w:t>缺乏症的病因。掌握佝偻病与手足搐搦症的临床表现及其产生的机制。掌握佝偻病与手足搐搦症的诊断要点及防治方法。</w:t>
      </w:r>
    </w:p>
    <w:p w:rsidR="003717A0" w:rsidRDefault="003717A0">
      <w:pPr>
        <w:rPr>
          <w:b/>
          <w:sz w:val="24"/>
        </w:rPr>
      </w:pPr>
      <w:r>
        <w:rPr>
          <w:rFonts w:hint="eastAsia"/>
          <w:sz w:val="24"/>
        </w:rPr>
        <w:t>五、</w:t>
      </w:r>
      <w:r>
        <w:rPr>
          <w:rFonts w:hint="eastAsia"/>
          <w:b/>
          <w:sz w:val="24"/>
        </w:rPr>
        <w:t>心血管系统疾病</w:t>
      </w:r>
    </w:p>
    <w:p w:rsidR="003717A0" w:rsidRDefault="003717A0">
      <w:pPr>
        <w:ind w:firstLineChars="196" w:firstLine="413"/>
        <w:rPr>
          <w:sz w:val="24"/>
        </w:rPr>
      </w:pPr>
      <w:r>
        <w:rPr>
          <w:rFonts w:ascii="Times New Roman" w:hint="eastAsia"/>
          <w:b/>
        </w:rPr>
        <w:t>教学内容及要求（</w:t>
      </w:r>
      <w:r>
        <w:rPr>
          <w:rFonts w:ascii="Times New Roman"/>
          <w:b/>
        </w:rPr>
        <w:t>4</w:t>
      </w:r>
      <w:r>
        <w:rPr>
          <w:rFonts w:ascii="Times New Roman" w:hint="eastAsia"/>
          <w:b/>
        </w:rPr>
        <w:t>学时）</w:t>
      </w:r>
    </w:p>
    <w:p w:rsidR="003717A0" w:rsidRDefault="003717A0">
      <w:pPr>
        <w:spacing w:line="360" w:lineRule="auto"/>
        <w:ind w:left="-2"/>
      </w:pPr>
      <w:r>
        <w:t xml:space="preserve">1. </w:t>
      </w:r>
      <w:r>
        <w:rPr>
          <w:rFonts w:hint="eastAsia"/>
        </w:rPr>
        <w:t>掌握几种常见的先天性心脏病：房间隔缺损、室间隔缺损、动脉导管未闭、法洛四联症的血液动力学变化、临床表现以及常见的并发症的诊断。</w:t>
      </w:r>
    </w:p>
    <w:p w:rsidR="003717A0" w:rsidRDefault="003717A0">
      <w:pPr>
        <w:spacing w:line="360" w:lineRule="auto"/>
      </w:pPr>
      <w:r>
        <w:t>2.</w:t>
      </w:r>
      <w:r>
        <w:rPr>
          <w:rFonts w:hint="eastAsia"/>
        </w:rPr>
        <w:t>熟悉上述常见先天性心脏病的治疗原则。</w:t>
      </w:r>
    </w:p>
    <w:p w:rsidR="003717A0" w:rsidRDefault="003717A0">
      <w:pPr>
        <w:spacing w:line="360" w:lineRule="auto"/>
      </w:pPr>
      <w:r>
        <w:t>3.</w:t>
      </w:r>
      <w:r>
        <w:rPr>
          <w:rFonts w:hint="eastAsia"/>
        </w:rPr>
        <w:t>熟悉先天性心脏病的病因及分类。</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b/>
        </w:rPr>
        <w:t>1</w:t>
      </w:r>
      <w:r>
        <w:rPr>
          <w:rFonts w:ascii="Times New Roman" w:hint="eastAsia"/>
          <w:b/>
        </w:rPr>
        <w:t>学时）</w:t>
      </w:r>
    </w:p>
    <w:p w:rsidR="003717A0" w:rsidRDefault="003717A0">
      <w:r>
        <w:rPr>
          <w:rFonts w:hint="eastAsia"/>
        </w:rPr>
        <w:t>了解先天性心脏病的病因及分类，学会小儿循环系统检查方法及心杂音的听诊。</w:t>
      </w:r>
    </w:p>
    <w:p w:rsidR="003717A0" w:rsidRDefault="003717A0">
      <w:pPr>
        <w:rPr>
          <w:b/>
          <w:sz w:val="24"/>
        </w:rPr>
      </w:pPr>
      <w:r>
        <w:rPr>
          <w:rFonts w:hint="eastAsia"/>
          <w:b/>
          <w:sz w:val="24"/>
        </w:rPr>
        <w:t>六、小儿腹泻与液体疗法</w:t>
      </w:r>
    </w:p>
    <w:p w:rsidR="003717A0" w:rsidRDefault="003717A0">
      <w:pPr>
        <w:ind w:firstLineChars="196" w:firstLine="413"/>
        <w:rPr>
          <w:sz w:val="24"/>
        </w:rPr>
      </w:pPr>
      <w:r>
        <w:rPr>
          <w:rFonts w:ascii="Times New Roman" w:hint="eastAsia"/>
          <w:b/>
        </w:rPr>
        <w:t>教学内容及要求（</w:t>
      </w:r>
      <w:r>
        <w:rPr>
          <w:rFonts w:ascii="Times New Roman"/>
          <w:b/>
        </w:rPr>
        <w:t>4</w:t>
      </w:r>
      <w:r>
        <w:rPr>
          <w:rFonts w:ascii="Times New Roman" w:hint="eastAsia"/>
          <w:b/>
        </w:rPr>
        <w:t>学时）</w:t>
      </w:r>
    </w:p>
    <w:p w:rsidR="003717A0" w:rsidRDefault="003717A0">
      <w:pPr>
        <w:numPr>
          <w:ilvl w:val="0"/>
          <w:numId w:val="434"/>
        </w:numPr>
        <w:spacing w:line="360" w:lineRule="auto"/>
        <w:ind w:left="357" w:hanging="357"/>
      </w:pPr>
      <w:r>
        <w:rPr>
          <w:rFonts w:hint="eastAsia"/>
        </w:rPr>
        <w:t>掌握小儿腹泻的病因、发病机制、临床表现、诊断与治疗原则方法。熟悉其鉴别诊断，了解其预防。</w:t>
      </w:r>
    </w:p>
    <w:p w:rsidR="003717A0" w:rsidRDefault="003717A0">
      <w:pPr>
        <w:numPr>
          <w:ilvl w:val="0"/>
          <w:numId w:val="434"/>
        </w:numPr>
        <w:spacing w:line="360" w:lineRule="auto"/>
        <w:ind w:left="357" w:hanging="357"/>
      </w:pPr>
      <w:r>
        <w:rPr>
          <w:rFonts w:hint="eastAsia"/>
        </w:rPr>
        <w:lastRenderedPageBreak/>
        <w:t>掌握小儿水、电解质、酸碱平衡紊乱的临床表现，熟悉病理生理。熟悉液体疗法常用溶液的种类、成分与应用。了解小儿体液平衡特点。</w:t>
      </w:r>
    </w:p>
    <w:p w:rsidR="003717A0" w:rsidRDefault="003717A0"/>
    <w:p w:rsidR="003717A0" w:rsidRDefault="003717A0">
      <w:pPr>
        <w:rPr>
          <w:b/>
          <w:sz w:val="24"/>
        </w:rPr>
      </w:pPr>
      <w:r>
        <w:rPr>
          <w:rFonts w:hint="eastAsia"/>
          <w:b/>
          <w:sz w:val="24"/>
        </w:rPr>
        <w:t>七、造血系统疾病</w:t>
      </w:r>
    </w:p>
    <w:p w:rsidR="003717A0" w:rsidRDefault="003717A0">
      <w:pPr>
        <w:ind w:firstLineChars="196" w:firstLine="413"/>
        <w:rPr>
          <w:sz w:val="24"/>
        </w:rPr>
      </w:pPr>
      <w:r>
        <w:rPr>
          <w:rFonts w:ascii="Times New Roman" w:hint="eastAsia"/>
          <w:b/>
        </w:rPr>
        <w:t>教学内容及要求（</w:t>
      </w:r>
      <w:r>
        <w:rPr>
          <w:rFonts w:ascii="Times New Roman"/>
          <w:b/>
        </w:rPr>
        <w:t>2</w:t>
      </w:r>
      <w:r>
        <w:rPr>
          <w:rFonts w:ascii="Times New Roman" w:hint="eastAsia"/>
          <w:b/>
        </w:rPr>
        <w:t>学时）</w:t>
      </w:r>
    </w:p>
    <w:p w:rsidR="003717A0" w:rsidRDefault="003717A0">
      <w:pPr>
        <w:numPr>
          <w:ilvl w:val="0"/>
          <w:numId w:val="435"/>
        </w:numPr>
        <w:spacing w:line="360" w:lineRule="auto"/>
      </w:pPr>
      <w:r>
        <w:rPr>
          <w:rFonts w:hint="eastAsia"/>
        </w:rPr>
        <w:t>掌握缺铁性贫血及营养性巨幼细胞性贫血的病因、发病机制、诊断及防治方法。熟悉正常小儿造血和血象特点。</w:t>
      </w:r>
    </w:p>
    <w:p w:rsidR="003717A0" w:rsidRDefault="003717A0">
      <w:pPr>
        <w:numPr>
          <w:ilvl w:val="0"/>
          <w:numId w:val="435"/>
        </w:numPr>
        <w:spacing w:line="360" w:lineRule="auto"/>
      </w:pPr>
      <w:r>
        <w:rPr>
          <w:rFonts w:hint="eastAsia"/>
        </w:rPr>
        <w:t>熟悉小儿贫血的定义、程度与分类。熟悉贫血发生的原因、临床表现、诊断要点和治疗原则。</w:t>
      </w:r>
    </w:p>
    <w:p w:rsidR="003717A0" w:rsidRDefault="003717A0">
      <w:pPr>
        <w:spacing w:line="360" w:lineRule="auto"/>
      </w:pPr>
    </w:p>
    <w:p w:rsidR="003717A0" w:rsidRDefault="003717A0">
      <w:pPr>
        <w:rPr>
          <w:b/>
          <w:sz w:val="24"/>
        </w:rPr>
      </w:pPr>
      <w:r>
        <w:rPr>
          <w:rFonts w:hint="eastAsia"/>
          <w:b/>
          <w:sz w:val="24"/>
        </w:rPr>
        <w:t>八、神经系统疾病</w:t>
      </w:r>
    </w:p>
    <w:p w:rsidR="003717A0" w:rsidRDefault="003717A0">
      <w:pPr>
        <w:ind w:firstLineChars="196" w:firstLine="413"/>
        <w:rPr>
          <w:rFonts w:ascii="Times New Roman"/>
          <w:b/>
        </w:rPr>
      </w:pPr>
      <w:r>
        <w:rPr>
          <w:rFonts w:ascii="Times New Roman" w:hint="eastAsia"/>
          <w:b/>
        </w:rPr>
        <w:t>教学内容及要求（</w:t>
      </w:r>
      <w:r>
        <w:rPr>
          <w:rFonts w:ascii="Times New Roman"/>
          <w:b/>
        </w:rPr>
        <w:t>2</w:t>
      </w:r>
      <w:r>
        <w:rPr>
          <w:rFonts w:ascii="Times New Roman" w:hint="eastAsia"/>
          <w:b/>
        </w:rPr>
        <w:t>学时）</w:t>
      </w:r>
    </w:p>
    <w:p w:rsidR="003717A0" w:rsidRDefault="003717A0"/>
    <w:p w:rsidR="003717A0" w:rsidRDefault="003717A0">
      <w:pPr>
        <w:numPr>
          <w:ilvl w:val="0"/>
          <w:numId w:val="436"/>
        </w:numPr>
        <w:spacing w:line="360" w:lineRule="auto"/>
      </w:pPr>
      <w:r>
        <w:rPr>
          <w:rFonts w:hint="eastAsia"/>
        </w:rPr>
        <w:t>熟悉小儿惊厥的常见病因。熟悉小儿惊厥的病因诊断方法。</w:t>
      </w:r>
    </w:p>
    <w:p w:rsidR="003717A0" w:rsidRDefault="003717A0">
      <w:pPr>
        <w:spacing w:line="360" w:lineRule="auto"/>
      </w:pPr>
      <w:r>
        <w:t xml:space="preserve">2.  </w:t>
      </w:r>
      <w:r>
        <w:rPr>
          <w:rFonts w:hint="eastAsia"/>
        </w:rPr>
        <w:t>掌握小儿惊厥的急救处理方法。</w:t>
      </w:r>
    </w:p>
    <w:p w:rsidR="003717A0" w:rsidRDefault="003717A0">
      <w:pPr>
        <w:rPr>
          <w:b/>
          <w:sz w:val="24"/>
        </w:rPr>
      </w:pPr>
      <w:r>
        <w:rPr>
          <w:rFonts w:hint="eastAsia"/>
          <w:b/>
          <w:sz w:val="24"/>
        </w:rPr>
        <w:t>九、呼吸系统疾病</w:t>
      </w:r>
    </w:p>
    <w:p w:rsidR="003717A0" w:rsidRDefault="003717A0">
      <w:pPr>
        <w:ind w:firstLineChars="196" w:firstLine="413"/>
        <w:rPr>
          <w:sz w:val="24"/>
        </w:rPr>
      </w:pPr>
      <w:r>
        <w:rPr>
          <w:rFonts w:ascii="Times New Roman" w:hint="eastAsia"/>
          <w:b/>
        </w:rPr>
        <w:t>教学内容及要求（</w:t>
      </w:r>
      <w:r>
        <w:rPr>
          <w:rFonts w:ascii="Times New Roman"/>
          <w:b/>
        </w:rPr>
        <w:t>4</w:t>
      </w:r>
      <w:r>
        <w:rPr>
          <w:rFonts w:ascii="Times New Roman" w:hint="eastAsia"/>
          <w:b/>
        </w:rPr>
        <w:t>学时）</w:t>
      </w:r>
    </w:p>
    <w:p w:rsidR="003717A0" w:rsidRDefault="003717A0">
      <w:pPr>
        <w:numPr>
          <w:ilvl w:val="0"/>
          <w:numId w:val="437"/>
        </w:numPr>
        <w:tabs>
          <w:tab w:val="left" w:pos="600"/>
        </w:tabs>
        <w:spacing w:line="360" w:lineRule="auto"/>
        <w:ind w:leftChars="-1" w:left="-2" w:firstLine="0"/>
      </w:pPr>
      <w:r>
        <w:rPr>
          <w:rFonts w:hint="eastAsia"/>
        </w:rPr>
        <w:t>熟悉小儿呼吸系统的解剖生理特点。</w:t>
      </w:r>
    </w:p>
    <w:p w:rsidR="003717A0" w:rsidRDefault="003717A0">
      <w:pPr>
        <w:numPr>
          <w:ilvl w:val="0"/>
          <w:numId w:val="437"/>
        </w:numPr>
        <w:tabs>
          <w:tab w:val="left" w:pos="600"/>
        </w:tabs>
        <w:spacing w:line="360" w:lineRule="auto"/>
        <w:ind w:leftChars="-1" w:left="-2" w:firstLine="0"/>
      </w:pPr>
      <w:r>
        <w:rPr>
          <w:rFonts w:hint="eastAsia"/>
        </w:rPr>
        <w:t>掌握上呼吸道感染、急性支气管炎及肺炎的病因、临床表现、诊断、鉴别诊断及预防。</w:t>
      </w:r>
    </w:p>
    <w:p w:rsidR="003717A0" w:rsidRDefault="003717A0">
      <w:pPr>
        <w:numPr>
          <w:ilvl w:val="0"/>
          <w:numId w:val="437"/>
        </w:numPr>
        <w:tabs>
          <w:tab w:val="left" w:pos="600"/>
        </w:tabs>
        <w:spacing w:line="360" w:lineRule="auto"/>
        <w:ind w:leftChars="-1" w:left="-2" w:firstLine="0"/>
      </w:pPr>
      <w:r>
        <w:rPr>
          <w:rFonts w:hint="eastAsia"/>
        </w:rPr>
        <w:t>熟悉几种不同病原体所致支气管肺炎的临床特点。熟悉支气管肺炎的并发症。了解小儿肺炎的分类。</w:t>
      </w:r>
    </w:p>
    <w:p w:rsidR="003717A0" w:rsidRDefault="003717A0">
      <w:pPr>
        <w:adjustRightInd w:val="0"/>
        <w:snapToGrid w:val="0"/>
        <w:spacing w:line="360" w:lineRule="auto"/>
        <w:ind w:right="6" w:firstLineChars="298" w:firstLine="628"/>
        <w:rPr>
          <w:rFonts w:ascii="Times New Roman" w:hAnsi="Times New Roman"/>
          <w:b/>
        </w:rPr>
      </w:pPr>
      <w:r>
        <w:rPr>
          <w:rFonts w:ascii="Times New Roman" w:hint="eastAsia"/>
          <w:b/>
        </w:rPr>
        <w:t>实习内容（</w:t>
      </w:r>
      <w:r>
        <w:rPr>
          <w:rFonts w:ascii="Times New Roman" w:hAnsi="Times New Roman"/>
          <w:b/>
        </w:rPr>
        <w:t>1</w:t>
      </w:r>
      <w:r>
        <w:rPr>
          <w:rFonts w:ascii="Times New Roman" w:hint="eastAsia"/>
          <w:b/>
        </w:rPr>
        <w:t>学时）</w:t>
      </w:r>
    </w:p>
    <w:p w:rsidR="003717A0" w:rsidRDefault="003717A0">
      <w:pPr>
        <w:ind w:left="-2"/>
      </w:pPr>
      <w:r>
        <w:rPr>
          <w:rFonts w:hint="eastAsia"/>
        </w:rPr>
        <w:t>了解呼吸道感染是小儿常见病，学会小儿上呼吸道感染、支气管炎、肺炎的临床表现和诊治，进一步练习小儿呼吸系统检查方法，掌握粗中湿罗音、干罗音、哮鸣音的听诊。</w:t>
      </w:r>
    </w:p>
    <w:p w:rsidR="003717A0" w:rsidRDefault="003717A0"/>
    <w:p w:rsidR="003717A0" w:rsidRDefault="003717A0">
      <w:pPr>
        <w:rPr>
          <w:b/>
          <w:sz w:val="24"/>
        </w:rPr>
      </w:pPr>
      <w:r>
        <w:rPr>
          <w:rFonts w:hint="eastAsia"/>
          <w:b/>
          <w:sz w:val="24"/>
        </w:rPr>
        <w:t>十、泌尿系统疾病</w:t>
      </w:r>
    </w:p>
    <w:p w:rsidR="003717A0" w:rsidRDefault="003717A0">
      <w:pPr>
        <w:ind w:firstLineChars="196" w:firstLine="413"/>
        <w:rPr>
          <w:sz w:val="24"/>
        </w:rPr>
      </w:pPr>
      <w:r>
        <w:rPr>
          <w:rFonts w:ascii="Times New Roman" w:hint="eastAsia"/>
          <w:b/>
        </w:rPr>
        <w:t>教学内容及要求（</w:t>
      </w:r>
      <w:r>
        <w:rPr>
          <w:rFonts w:ascii="Times New Roman"/>
          <w:b/>
        </w:rPr>
        <w:t>4</w:t>
      </w:r>
      <w:r>
        <w:rPr>
          <w:rFonts w:ascii="Times New Roman" w:hint="eastAsia"/>
          <w:b/>
        </w:rPr>
        <w:t>学时）</w:t>
      </w:r>
    </w:p>
    <w:p w:rsidR="003717A0" w:rsidRDefault="003717A0">
      <w:pPr>
        <w:numPr>
          <w:ilvl w:val="0"/>
          <w:numId w:val="438"/>
        </w:numPr>
        <w:spacing w:line="360" w:lineRule="auto"/>
      </w:pPr>
      <w:r>
        <w:rPr>
          <w:rFonts w:hint="eastAsia"/>
        </w:rPr>
        <w:t>掌握急性肾小球肾炎典型病例、严重病例及非典型病例的诊断（含临床表现、实验室检查）。掌握急性肾炎典型病例及严重病例的处理。熟悉急性肾炎与泌尿道感染、慢性肾炎急性发作、急进性肾炎和病毒性肾炎的鉴别诊断。了解急性肾炎的病因及发病机制，了解病程及预后。</w:t>
      </w:r>
    </w:p>
    <w:p w:rsidR="003717A0" w:rsidRDefault="003717A0">
      <w:pPr>
        <w:numPr>
          <w:ilvl w:val="0"/>
          <w:numId w:val="439"/>
        </w:numPr>
        <w:spacing w:line="360" w:lineRule="auto"/>
      </w:pPr>
      <w:r>
        <w:rPr>
          <w:rFonts w:hint="eastAsia"/>
        </w:rPr>
        <w:t>掌握肾病综合征的临床表现及分类，治疗。熟悉肾病综合征的病理生理以及其常见并发症。了解肾病综合征的病因。</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b/>
        </w:rPr>
        <w:t>1</w:t>
      </w:r>
      <w:r>
        <w:rPr>
          <w:rFonts w:ascii="Times New Roman" w:hint="eastAsia"/>
          <w:b/>
        </w:rPr>
        <w:t>学时）</w:t>
      </w:r>
    </w:p>
    <w:p w:rsidR="003717A0" w:rsidRDefault="003717A0">
      <w:pPr>
        <w:tabs>
          <w:tab w:val="left" w:pos="480"/>
        </w:tabs>
        <w:ind w:left="-2"/>
      </w:pPr>
      <w:r>
        <w:rPr>
          <w:rFonts w:hint="eastAsia"/>
        </w:rPr>
        <w:t>了解急性链球菌感染后肾炎及肾病综合征的发病机制、病理生理、临床表现、诊断与治疗原则。</w:t>
      </w:r>
    </w:p>
    <w:p w:rsidR="003717A0" w:rsidRDefault="003717A0"/>
    <w:p w:rsidR="003717A0" w:rsidRDefault="003717A0">
      <w:pPr>
        <w:rPr>
          <w:b/>
          <w:sz w:val="24"/>
        </w:rPr>
      </w:pPr>
      <w:r>
        <w:rPr>
          <w:rFonts w:hint="eastAsia"/>
          <w:b/>
          <w:sz w:val="24"/>
        </w:rPr>
        <w:t>十一、新生儿与新生儿疾病</w:t>
      </w:r>
    </w:p>
    <w:p w:rsidR="003717A0" w:rsidRDefault="003717A0">
      <w:pPr>
        <w:ind w:firstLineChars="196" w:firstLine="413"/>
        <w:rPr>
          <w:sz w:val="24"/>
        </w:rPr>
      </w:pPr>
      <w:r>
        <w:rPr>
          <w:rFonts w:ascii="Times New Roman" w:hint="eastAsia"/>
          <w:b/>
        </w:rPr>
        <w:lastRenderedPageBreak/>
        <w:t>教学内容及要求（</w:t>
      </w:r>
      <w:r>
        <w:rPr>
          <w:rFonts w:ascii="Times New Roman"/>
          <w:b/>
        </w:rPr>
        <w:t>4</w:t>
      </w:r>
      <w:r>
        <w:rPr>
          <w:rFonts w:ascii="Times New Roman" w:hint="eastAsia"/>
          <w:b/>
        </w:rPr>
        <w:t>学时）</w:t>
      </w:r>
    </w:p>
    <w:p w:rsidR="003717A0" w:rsidRDefault="003717A0">
      <w:pPr>
        <w:numPr>
          <w:ilvl w:val="0"/>
          <w:numId w:val="440"/>
        </w:numPr>
        <w:spacing w:line="360" w:lineRule="auto"/>
        <w:ind w:left="357" w:hanging="357"/>
      </w:pPr>
      <w:r>
        <w:rPr>
          <w:rFonts w:hint="eastAsia"/>
        </w:rPr>
        <w:t>了解新生儿分类及各种新生儿的定义。</w:t>
      </w:r>
    </w:p>
    <w:p w:rsidR="003717A0" w:rsidRDefault="003717A0">
      <w:pPr>
        <w:numPr>
          <w:ilvl w:val="0"/>
          <w:numId w:val="440"/>
        </w:numPr>
        <w:spacing w:line="360" w:lineRule="auto"/>
        <w:ind w:left="357" w:hanging="357"/>
      </w:pPr>
      <w:r>
        <w:rPr>
          <w:rFonts w:hint="eastAsia"/>
        </w:rPr>
        <w:t>熟悉正常足月儿及早产儿的生理病理特点。</w:t>
      </w:r>
    </w:p>
    <w:p w:rsidR="003717A0" w:rsidRDefault="003717A0">
      <w:pPr>
        <w:numPr>
          <w:ilvl w:val="0"/>
          <w:numId w:val="440"/>
        </w:numPr>
        <w:spacing w:line="360" w:lineRule="auto"/>
        <w:ind w:left="357" w:hanging="357"/>
      </w:pPr>
      <w:r>
        <w:rPr>
          <w:rFonts w:hint="eastAsia"/>
        </w:rPr>
        <w:t>熟悉新生儿常见疾病的主要特点，包括：早产儿肺透明膜病、坏死性小肠结肠炎、新生儿窒息、新生儿缺氧缺血性脑病、新生儿溶血病等。</w:t>
      </w:r>
    </w:p>
    <w:p w:rsidR="003717A0" w:rsidRDefault="003717A0">
      <w:pPr>
        <w:numPr>
          <w:ilvl w:val="0"/>
          <w:numId w:val="440"/>
        </w:numPr>
        <w:spacing w:line="360" w:lineRule="auto"/>
        <w:ind w:left="357" w:hanging="357"/>
      </w:pPr>
      <w:r>
        <w:rPr>
          <w:rFonts w:hint="eastAsia"/>
        </w:rPr>
        <w:t>熟悉生理性黄疸与病理性黄疸的鉴别要点。熟悉病理性黄疸常见的几种病因及其特点。</w:t>
      </w:r>
    </w:p>
    <w:p w:rsidR="003717A0" w:rsidRDefault="003717A0">
      <w:pPr>
        <w:numPr>
          <w:ilvl w:val="0"/>
          <w:numId w:val="440"/>
        </w:numPr>
        <w:spacing w:line="360" w:lineRule="auto"/>
        <w:ind w:left="357" w:hanging="357"/>
      </w:pPr>
      <w:r>
        <w:rPr>
          <w:rFonts w:hint="eastAsia"/>
        </w:rPr>
        <w:t>了解新生儿胆红素代谢特点。了解胆红素脑病的有关因素和防治方法。</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1</w:t>
      </w:r>
      <w:r>
        <w:rPr>
          <w:rFonts w:ascii="Times New Roman" w:hint="eastAsia"/>
          <w:b/>
        </w:rPr>
        <w:t>学时）</w:t>
      </w:r>
    </w:p>
    <w:p w:rsidR="003717A0" w:rsidRDefault="003717A0" w:rsidP="005E20B5">
      <w:pPr>
        <w:adjustRightInd w:val="0"/>
        <w:snapToGrid w:val="0"/>
        <w:spacing w:beforeLines="50" w:line="360" w:lineRule="auto"/>
        <w:ind w:right="6"/>
        <w:rPr>
          <w:b/>
          <w:sz w:val="24"/>
        </w:rPr>
      </w:pPr>
      <w:r>
        <w:rPr>
          <w:rFonts w:hint="eastAsia"/>
        </w:rPr>
        <w:t>熟悉新生儿生理性及病理性黄疸的原因、发病机理和临床特点，了解光疗箱的使用。</w:t>
      </w:r>
    </w:p>
    <w:p w:rsidR="003717A0" w:rsidRDefault="003717A0">
      <w:pPr>
        <w:adjustRightInd w:val="0"/>
        <w:snapToGrid w:val="0"/>
        <w:spacing w:line="360" w:lineRule="auto"/>
        <w:ind w:right="4"/>
      </w:pP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9433" w:type="dxa"/>
        <w:jc w:val="center"/>
        <w:tblLayout w:type="fixed"/>
        <w:tblLook w:val="00A0"/>
      </w:tblPr>
      <w:tblGrid>
        <w:gridCol w:w="1080"/>
        <w:gridCol w:w="3624"/>
        <w:gridCol w:w="1440"/>
        <w:gridCol w:w="1592"/>
        <w:gridCol w:w="1697"/>
      </w:tblGrid>
      <w:tr w:rsidR="003717A0">
        <w:trPr>
          <w:trHeight w:val="340"/>
          <w:jc w:val="center"/>
        </w:trPr>
        <w:tc>
          <w:tcPr>
            <w:tcW w:w="1080" w:type="dxa"/>
            <w:tcBorders>
              <w:top w:val="single" w:sz="4" w:space="0" w:color="000000"/>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bCs/>
              </w:rPr>
            </w:pPr>
            <w:r>
              <w:rPr>
                <w:rFonts w:ascii="Times New Roman" w:hint="eastAsia"/>
                <w:bCs/>
              </w:rPr>
              <w:t>序号</w:t>
            </w:r>
          </w:p>
        </w:tc>
        <w:tc>
          <w:tcPr>
            <w:tcW w:w="3624" w:type="dxa"/>
            <w:tcBorders>
              <w:top w:val="single" w:sz="4" w:space="0" w:color="000000"/>
              <w:left w:val="nil"/>
              <w:bottom w:val="single" w:sz="4" w:space="0" w:color="auto"/>
              <w:right w:val="single" w:sz="4" w:space="0" w:color="000000"/>
            </w:tcBorders>
            <w:vAlign w:val="center"/>
          </w:tcPr>
          <w:p w:rsidR="003717A0" w:rsidRDefault="003717A0">
            <w:pPr>
              <w:widowControl/>
              <w:spacing w:line="240" w:lineRule="atLeast"/>
              <w:jc w:val="center"/>
              <w:rPr>
                <w:rFonts w:ascii="Times New Roman" w:hAnsi="Times New Roman"/>
                <w:kern w:val="0"/>
              </w:rPr>
            </w:pPr>
            <w:r>
              <w:rPr>
                <w:rFonts w:ascii="Times New Roman" w:hAnsi="宋体" w:hint="eastAsia"/>
                <w:kern w:val="0"/>
              </w:rPr>
              <w:t>内</w:t>
            </w:r>
            <w:r>
              <w:rPr>
                <w:rFonts w:ascii="Times New Roman" w:hAnsi="Times New Roman"/>
                <w:kern w:val="0"/>
              </w:rPr>
              <w:t xml:space="preserve">    </w:t>
            </w:r>
            <w:r>
              <w:rPr>
                <w:rFonts w:ascii="Times New Roman" w:hAnsi="宋体" w:hint="eastAsia"/>
                <w:kern w:val="0"/>
              </w:rPr>
              <w:t>容</w:t>
            </w:r>
          </w:p>
        </w:tc>
        <w:tc>
          <w:tcPr>
            <w:tcW w:w="1440" w:type="dxa"/>
            <w:tcBorders>
              <w:top w:val="single" w:sz="4" w:space="0" w:color="000000"/>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宋体" w:hint="eastAsia"/>
                <w:kern w:val="0"/>
              </w:rPr>
              <w:t>学时</w:t>
            </w:r>
          </w:p>
        </w:tc>
        <w:tc>
          <w:tcPr>
            <w:tcW w:w="1592" w:type="dxa"/>
            <w:tcBorders>
              <w:top w:val="single" w:sz="4" w:space="0" w:color="auto"/>
              <w:left w:val="nil"/>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bCs/>
              </w:rPr>
            </w:pPr>
            <w:r>
              <w:rPr>
                <w:rFonts w:ascii="Times New Roman" w:hAnsi="宋体" w:hint="eastAsia"/>
                <w:bCs/>
              </w:rPr>
              <w:t>实验学时</w:t>
            </w:r>
          </w:p>
        </w:tc>
        <w:tc>
          <w:tcPr>
            <w:tcW w:w="1697" w:type="dxa"/>
            <w:tcBorders>
              <w:top w:val="single" w:sz="4" w:space="0" w:color="auto"/>
              <w:left w:val="nil"/>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bCs/>
              </w:rPr>
            </w:pPr>
            <w:r>
              <w:rPr>
                <w:rFonts w:ascii="Times New Roman" w:hint="eastAsia"/>
                <w:bCs/>
              </w:rPr>
              <w:t>备注</w:t>
            </w: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1</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绪论、生长发育</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2</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小儿营养喂养、儿童保健</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3</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先天性心脏病</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1</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4</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小儿腹泻</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5</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液体疗法</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6</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小儿造血特点、营养性贫血</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7</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维生素</w:t>
            </w:r>
            <w:r>
              <w:rPr>
                <w:rFonts w:ascii="Times New Roman" w:hAnsi="Times New Roman"/>
                <w:sz w:val="20"/>
                <w:szCs w:val="20"/>
              </w:rPr>
              <w:t>D</w:t>
            </w:r>
            <w:r>
              <w:rPr>
                <w:rFonts w:ascii="Times New Roman" w:hint="eastAsia"/>
                <w:sz w:val="20"/>
                <w:szCs w:val="20"/>
              </w:rPr>
              <w:t>缺乏性佝偻病</w:t>
            </w:r>
            <w:r>
              <w:rPr>
                <w:rFonts w:ascii="Times New Roman" w:hAnsi="Times New Roman"/>
                <w:sz w:val="20"/>
                <w:szCs w:val="20"/>
              </w:rPr>
              <w:t xml:space="preserve"> </w:t>
            </w:r>
            <w:r>
              <w:rPr>
                <w:rFonts w:ascii="Times New Roman" w:hint="eastAsia"/>
                <w:sz w:val="20"/>
                <w:szCs w:val="20"/>
              </w:rPr>
              <w:t>维生素</w:t>
            </w:r>
            <w:r>
              <w:rPr>
                <w:rFonts w:ascii="Times New Roman" w:hAnsi="Times New Roman"/>
                <w:sz w:val="20"/>
                <w:szCs w:val="20"/>
              </w:rPr>
              <w:t>D</w:t>
            </w:r>
            <w:r>
              <w:rPr>
                <w:rFonts w:ascii="Times New Roman" w:hint="eastAsia"/>
                <w:sz w:val="20"/>
                <w:szCs w:val="20"/>
              </w:rPr>
              <w:t>缺乏性手足抽搐症</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8</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小儿神经系统疾病</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spacing w:line="240" w:lineRule="atLeast"/>
              <w:ind w:right="-105"/>
              <w:jc w:val="center"/>
              <w:rPr>
                <w:rFonts w:ascii="Times New Roman" w:hAnsi="Times New Roman"/>
              </w:rPr>
            </w:pPr>
            <w:r>
              <w:rPr>
                <w:rFonts w:ascii="Times New Roman" w:hAnsi="Times New Roman"/>
              </w:rPr>
              <w:t>9</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小儿呼吸系统特点、小儿肺炎</w:t>
            </w:r>
          </w:p>
        </w:tc>
        <w:tc>
          <w:tcPr>
            <w:tcW w:w="1440"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1</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tcPr>
          <w:p w:rsidR="003717A0" w:rsidRDefault="003717A0">
            <w:pPr>
              <w:spacing w:line="240" w:lineRule="atLeast"/>
              <w:ind w:right="-105"/>
              <w:jc w:val="center"/>
              <w:rPr>
                <w:rFonts w:ascii="Times New Roman" w:hAnsi="Times New Roman"/>
              </w:rPr>
            </w:pPr>
            <w:r>
              <w:rPr>
                <w:rFonts w:ascii="Times New Roman" w:hAnsi="Times New Roman"/>
              </w:rPr>
              <w:t>10</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小儿肾脏疾病</w:t>
            </w:r>
          </w:p>
        </w:tc>
        <w:tc>
          <w:tcPr>
            <w:tcW w:w="1440" w:type="dxa"/>
            <w:tcBorders>
              <w:top w:val="single" w:sz="4" w:space="0" w:color="auto"/>
              <w:left w:val="nil"/>
              <w:bottom w:val="single" w:sz="4" w:space="0" w:color="auto"/>
              <w:right w:val="single" w:sz="4" w:space="0" w:color="000000"/>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592" w:type="dxa"/>
            <w:tcBorders>
              <w:top w:val="single" w:sz="4" w:space="0" w:color="auto"/>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1</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trPr>
          <w:trHeight w:val="340"/>
          <w:jc w:val="center"/>
        </w:trPr>
        <w:tc>
          <w:tcPr>
            <w:tcW w:w="1080" w:type="dxa"/>
            <w:tcBorders>
              <w:top w:val="single" w:sz="4" w:space="0" w:color="auto"/>
              <w:left w:val="single" w:sz="4" w:space="0" w:color="000000"/>
              <w:bottom w:val="single" w:sz="4" w:space="0" w:color="auto"/>
              <w:right w:val="single" w:sz="4" w:space="0" w:color="auto"/>
            </w:tcBorders>
          </w:tcPr>
          <w:p w:rsidR="003717A0" w:rsidRDefault="003717A0">
            <w:pPr>
              <w:spacing w:line="240" w:lineRule="atLeast"/>
              <w:ind w:right="-105"/>
              <w:jc w:val="center"/>
              <w:rPr>
                <w:rFonts w:ascii="Times New Roman" w:hAnsi="Times New Roman"/>
              </w:rPr>
            </w:pPr>
            <w:r>
              <w:rPr>
                <w:rFonts w:ascii="Times New Roman" w:hAnsi="Times New Roman"/>
              </w:rPr>
              <w:t>11</w:t>
            </w:r>
          </w:p>
        </w:tc>
        <w:tc>
          <w:tcPr>
            <w:tcW w:w="3624" w:type="dxa"/>
            <w:tcBorders>
              <w:top w:val="single" w:sz="4" w:space="0" w:color="auto"/>
              <w:left w:val="nil"/>
              <w:bottom w:val="single" w:sz="4" w:space="0" w:color="auto"/>
              <w:right w:val="single" w:sz="4" w:space="0" w:color="auto"/>
            </w:tcBorders>
            <w:vAlign w:val="center"/>
          </w:tcPr>
          <w:p w:rsidR="003717A0" w:rsidRDefault="003717A0">
            <w:pPr>
              <w:rPr>
                <w:rFonts w:ascii="Times New Roman" w:hAnsi="Times New Roman"/>
                <w:sz w:val="20"/>
                <w:szCs w:val="20"/>
              </w:rPr>
            </w:pPr>
            <w:r>
              <w:rPr>
                <w:rFonts w:ascii="Times New Roman" w:hint="eastAsia"/>
                <w:sz w:val="20"/>
                <w:szCs w:val="20"/>
              </w:rPr>
              <w:t>新生儿总论及新生儿疾病</w:t>
            </w:r>
          </w:p>
        </w:tc>
        <w:tc>
          <w:tcPr>
            <w:tcW w:w="1440" w:type="dxa"/>
            <w:tcBorders>
              <w:top w:val="single" w:sz="4" w:space="0" w:color="auto"/>
              <w:left w:val="nil"/>
              <w:bottom w:val="single" w:sz="4" w:space="0" w:color="auto"/>
              <w:right w:val="single" w:sz="4" w:space="0" w:color="000000"/>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592" w:type="dxa"/>
            <w:tcBorders>
              <w:top w:val="single" w:sz="4" w:space="0" w:color="auto"/>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1</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rsidTr="003B4CD1">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sz w:val="20"/>
              </w:rPr>
            </w:pPr>
            <w:r>
              <w:rPr>
                <w:rFonts w:ascii="Times New Roman" w:hAnsi="Times New Roman"/>
                <w:kern w:val="0"/>
                <w:sz w:val="20"/>
              </w:rPr>
              <w:t>12</w:t>
            </w:r>
          </w:p>
        </w:tc>
        <w:tc>
          <w:tcPr>
            <w:tcW w:w="3624"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rPr>
                <w:rFonts w:ascii="Times New Roman" w:hAnsi="Times New Roman"/>
                <w:kern w:val="0"/>
              </w:rPr>
            </w:pPr>
            <w:r>
              <w:rPr>
                <w:rFonts w:ascii="Times New Roman" w:hAnsi="宋体" w:hint="eastAsia"/>
                <w:kern w:val="0"/>
              </w:rPr>
              <w:t>儿科门、急诊</w:t>
            </w:r>
          </w:p>
        </w:tc>
        <w:tc>
          <w:tcPr>
            <w:tcW w:w="1440" w:type="dxa"/>
            <w:tcBorders>
              <w:top w:val="single" w:sz="4" w:space="0" w:color="auto"/>
              <w:left w:val="nil"/>
              <w:bottom w:val="single" w:sz="4" w:space="0" w:color="auto"/>
              <w:right w:val="single" w:sz="4" w:space="0" w:color="000000"/>
            </w:tcBorders>
            <w:vAlign w:val="center"/>
          </w:tcPr>
          <w:p w:rsidR="003717A0" w:rsidRDefault="003717A0">
            <w:pPr>
              <w:widowControl/>
              <w:spacing w:line="240" w:lineRule="atLeast"/>
              <w:jc w:val="center"/>
              <w:rPr>
                <w:rFonts w:ascii="Times New Roman" w:hAnsi="Times New Roman"/>
                <w:kern w:val="0"/>
              </w:rPr>
            </w:pPr>
          </w:p>
        </w:tc>
        <w:tc>
          <w:tcPr>
            <w:tcW w:w="1592" w:type="dxa"/>
            <w:tcBorders>
              <w:top w:val="single" w:sz="4" w:space="0" w:color="auto"/>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4</w:t>
            </w:r>
          </w:p>
        </w:tc>
        <w:tc>
          <w:tcPr>
            <w:tcW w:w="1697"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jc w:val="center"/>
              <w:rPr>
                <w:rFonts w:ascii="Times New Roman" w:eastAsia="仿宋_GB2312" w:hAnsi="Times New Roman"/>
                <w:kern w:val="0"/>
                <w:sz w:val="20"/>
              </w:rPr>
            </w:pPr>
          </w:p>
        </w:tc>
      </w:tr>
      <w:tr w:rsidR="003717A0" w:rsidTr="003B4CD1">
        <w:trPr>
          <w:trHeight w:val="340"/>
          <w:jc w:val="center"/>
        </w:trPr>
        <w:tc>
          <w:tcPr>
            <w:tcW w:w="1080" w:type="dxa"/>
            <w:tcBorders>
              <w:top w:val="single" w:sz="4" w:space="0" w:color="auto"/>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sz w:val="20"/>
              </w:rPr>
            </w:pPr>
          </w:p>
        </w:tc>
        <w:tc>
          <w:tcPr>
            <w:tcW w:w="3624" w:type="dxa"/>
            <w:tcBorders>
              <w:top w:val="single" w:sz="4" w:space="0" w:color="auto"/>
              <w:left w:val="nil"/>
              <w:bottom w:val="single" w:sz="4" w:space="0" w:color="auto"/>
              <w:right w:val="single" w:sz="4" w:space="0" w:color="000000"/>
            </w:tcBorders>
            <w:vAlign w:val="center"/>
          </w:tcPr>
          <w:p w:rsidR="003717A0" w:rsidRDefault="003717A0">
            <w:pPr>
              <w:widowControl/>
              <w:spacing w:line="240" w:lineRule="atLeast"/>
              <w:jc w:val="center"/>
              <w:rPr>
                <w:rFonts w:ascii="Times New Roman" w:hAnsi="Times New Roman"/>
                <w:kern w:val="0"/>
              </w:rPr>
            </w:pPr>
            <w:r>
              <w:rPr>
                <w:rFonts w:ascii="Times New Roman" w:hAnsi="宋体" w:hint="eastAsia"/>
                <w:kern w:val="0"/>
              </w:rPr>
              <w:t>合计</w:t>
            </w:r>
          </w:p>
        </w:tc>
        <w:tc>
          <w:tcPr>
            <w:tcW w:w="1440" w:type="dxa"/>
            <w:tcBorders>
              <w:top w:val="single" w:sz="4" w:space="0" w:color="auto"/>
              <w:left w:val="single" w:sz="4" w:space="0" w:color="000000"/>
              <w:bottom w:val="single" w:sz="4" w:space="0" w:color="auto"/>
              <w:right w:val="single" w:sz="4" w:space="0" w:color="auto"/>
            </w:tcBorders>
            <w:vAlign w:val="center"/>
          </w:tcPr>
          <w:p w:rsidR="003717A0" w:rsidRDefault="003717A0">
            <w:pPr>
              <w:widowControl/>
              <w:spacing w:line="240" w:lineRule="atLeast"/>
              <w:jc w:val="center"/>
              <w:rPr>
                <w:rFonts w:ascii="Times New Roman" w:hAnsi="Times New Roman"/>
                <w:kern w:val="0"/>
              </w:rPr>
            </w:pPr>
            <w:r>
              <w:rPr>
                <w:rFonts w:ascii="Times New Roman" w:hAnsi="Times New Roman"/>
                <w:kern w:val="0"/>
              </w:rPr>
              <w:t>32</w:t>
            </w:r>
          </w:p>
        </w:tc>
        <w:tc>
          <w:tcPr>
            <w:tcW w:w="1592" w:type="dxa"/>
            <w:tcBorders>
              <w:top w:val="single" w:sz="4" w:space="0" w:color="auto"/>
              <w:left w:val="nil"/>
              <w:bottom w:val="single" w:sz="4" w:space="0" w:color="auto"/>
              <w:right w:val="single" w:sz="4" w:space="0" w:color="auto"/>
            </w:tcBorders>
            <w:vAlign w:val="center"/>
          </w:tcPr>
          <w:p w:rsidR="003717A0" w:rsidRDefault="003717A0">
            <w:pPr>
              <w:widowControl/>
              <w:spacing w:line="240" w:lineRule="atLeast"/>
              <w:rPr>
                <w:rFonts w:ascii="Times New Roman" w:eastAsia="仿宋_GB2312" w:hAnsi="Times New Roman"/>
                <w:kern w:val="0"/>
                <w:sz w:val="20"/>
              </w:rPr>
            </w:pPr>
            <w:r>
              <w:rPr>
                <w:rFonts w:ascii="Times New Roman" w:eastAsia="仿宋_GB2312" w:hAnsi="Times New Roman"/>
                <w:kern w:val="0"/>
                <w:sz w:val="20"/>
              </w:rPr>
              <w:t xml:space="preserve">      16</w:t>
            </w:r>
          </w:p>
        </w:tc>
        <w:tc>
          <w:tcPr>
            <w:tcW w:w="1697" w:type="dxa"/>
            <w:tcBorders>
              <w:top w:val="single" w:sz="4" w:space="0" w:color="auto"/>
              <w:bottom w:val="single" w:sz="4" w:space="0" w:color="auto"/>
              <w:right w:val="single" w:sz="4" w:space="0" w:color="auto"/>
            </w:tcBorders>
          </w:tcPr>
          <w:p w:rsidR="003717A0" w:rsidRDefault="003717A0">
            <w:pPr>
              <w:widowControl/>
              <w:spacing w:line="240" w:lineRule="atLeast"/>
              <w:jc w:val="center"/>
              <w:rPr>
                <w:rFonts w:ascii="Times New Roman" w:eastAsia="仿宋_GB2312" w:hAnsi="Times New Roman"/>
                <w:kern w:val="0"/>
                <w:sz w:val="20"/>
              </w:rPr>
            </w:pPr>
          </w:p>
        </w:tc>
      </w:tr>
    </w:tbl>
    <w:p w:rsidR="003717A0" w:rsidRDefault="003717A0">
      <w:pPr>
        <w:adjustRightInd w:val="0"/>
        <w:snapToGrid w:val="0"/>
        <w:spacing w:line="360" w:lineRule="auto"/>
        <w:jc w:val="cente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多媒体教室、教学录像、网络教学平台等；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多媒体教学课件，心肺复苏、骨穿等模型教具，听诊器，配方奶、方糖、水壶等配奶设备。</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w:t>
      </w:r>
      <w:r>
        <w:rPr>
          <w:rFonts w:ascii="Times New Roman" w:hint="eastAsia"/>
        </w:rPr>
        <w:lastRenderedPageBreak/>
        <w:t>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w:t>
      </w:r>
      <w:r>
        <w:rPr>
          <w:rFonts w:ascii="宋体" w:hAnsi="宋体" w:hint="eastAsia"/>
          <w:bCs/>
        </w:rPr>
        <w:t>王卫平等主编《儿科学》，人民卫生出版社，</w:t>
      </w:r>
      <w:r>
        <w:rPr>
          <w:rFonts w:ascii="宋体" w:hAnsi="宋体"/>
          <w:bCs/>
        </w:rPr>
        <w:t>2013</w:t>
      </w:r>
      <w:r>
        <w:rPr>
          <w:rFonts w:ascii="宋体" w:hAnsi="宋体" w:hint="eastAsia"/>
          <w:bCs/>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实验课教材：</w:t>
      </w:r>
      <w:r>
        <w:rPr>
          <w:rFonts w:ascii="宋体" w:hAnsi="宋体" w:hint="eastAsia"/>
          <w:bCs/>
        </w:rPr>
        <w:t>王卫平等主编《儿科学》，人民卫生出版社，</w:t>
      </w:r>
      <w:r>
        <w:rPr>
          <w:rFonts w:ascii="宋体" w:hAnsi="宋体"/>
          <w:bCs/>
        </w:rPr>
        <w:t>2013</w:t>
      </w:r>
      <w:r>
        <w:rPr>
          <w:rFonts w:ascii="宋体" w:hAnsi="宋体" w:hint="eastAsia"/>
          <w:bCs/>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rsidP="004D1806">
      <w:pPr>
        <w:numPr>
          <w:ilvl w:val="0"/>
          <w:numId w:val="570"/>
        </w:numPr>
        <w:adjustRightInd w:val="0"/>
        <w:snapToGrid w:val="0"/>
        <w:spacing w:line="360" w:lineRule="auto"/>
        <w:ind w:left="0" w:right="4" w:firstLine="480"/>
        <w:rPr>
          <w:rFonts w:ascii="Times New Roman"/>
        </w:rPr>
      </w:pPr>
      <w:r>
        <w:rPr>
          <w:rFonts w:ascii="宋体" w:hAnsi="宋体" w:hint="eastAsia"/>
          <w:bCs/>
        </w:rPr>
        <w:t>胡亚美，江载芳，诸福棠等主编《实用儿科学》第</w:t>
      </w:r>
      <w:r>
        <w:rPr>
          <w:rFonts w:ascii="宋体" w:hAnsi="宋体"/>
          <w:bCs/>
        </w:rPr>
        <w:t>7</w:t>
      </w:r>
      <w:r>
        <w:rPr>
          <w:rFonts w:ascii="宋体" w:hAnsi="宋体" w:hint="eastAsia"/>
          <w:bCs/>
        </w:rPr>
        <w:t>版，人民卫生出版社，</w:t>
      </w:r>
      <w:r>
        <w:rPr>
          <w:rFonts w:ascii="宋体" w:hAnsi="宋体"/>
          <w:bCs/>
        </w:rPr>
        <w:t>2002</w:t>
      </w:r>
      <w:r>
        <w:rPr>
          <w:rFonts w:ascii="宋体" w:hAnsi="宋体" w:hint="eastAsia"/>
          <w:bCs/>
        </w:rPr>
        <w:t>年</w:t>
      </w:r>
    </w:p>
    <w:p w:rsidR="003717A0" w:rsidRDefault="003717A0" w:rsidP="004D1806">
      <w:pPr>
        <w:numPr>
          <w:ilvl w:val="0"/>
          <w:numId w:val="570"/>
        </w:numPr>
        <w:adjustRightInd w:val="0"/>
        <w:snapToGrid w:val="0"/>
        <w:spacing w:line="360" w:lineRule="auto"/>
        <w:ind w:left="0" w:right="4" w:firstLine="480"/>
        <w:rPr>
          <w:rFonts w:ascii="Times New Roman"/>
        </w:rPr>
      </w:pPr>
      <w:r>
        <w:rPr>
          <w:rFonts w:hint="eastAsia"/>
        </w:rPr>
        <w:t>金汉珍等主编《实用新生儿学》第</w:t>
      </w:r>
      <w:r>
        <w:t>3</w:t>
      </w:r>
      <w:r>
        <w:rPr>
          <w:rFonts w:hint="eastAsia"/>
        </w:rPr>
        <w:t>版，</w:t>
      </w:r>
      <w:r>
        <w:rPr>
          <w:rFonts w:ascii="宋体" w:hAnsi="宋体" w:hint="eastAsia"/>
          <w:bCs/>
        </w:rPr>
        <w:t>人民卫生出版社，</w:t>
      </w:r>
      <w:r>
        <w:rPr>
          <w:rFonts w:ascii="宋体" w:hAnsi="宋体"/>
          <w:bCs/>
        </w:rPr>
        <w:t>2002</w:t>
      </w:r>
      <w:r>
        <w:rPr>
          <w:rFonts w:ascii="宋体" w:hAnsi="宋体" w:hint="eastAsia"/>
          <w:bCs/>
        </w:rPr>
        <w:t>年</w:t>
      </w:r>
    </w:p>
    <w:p w:rsidR="003717A0" w:rsidRDefault="003717A0" w:rsidP="004D1806">
      <w:pPr>
        <w:numPr>
          <w:ilvl w:val="0"/>
          <w:numId w:val="570"/>
        </w:numPr>
        <w:adjustRightInd w:val="0"/>
        <w:snapToGrid w:val="0"/>
        <w:spacing w:line="360" w:lineRule="auto"/>
        <w:ind w:left="0" w:right="4" w:firstLine="480"/>
        <w:rPr>
          <w:rFonts w:ascii="Times New Roman"/>
        </w:rPr>
      </w:pPr>
      <w:r>
        <w:rPr>
          <w:rFonts w:ascii="Times New Roman" w:hint="eastAsia"/>
        </w:rPr>
        <w:t>校园网医学形态学数字化教学平台</w:t>
      </w:r>
    </w:p>
    <w:p w:rsidR="003717A0" w:rsidRDefault="003717A0" w:rsidP="004D1806">
      <w:pPr>
        <w:numPr>
          <w:ilvl w:val="0"/>
          <w:numId w:val="570"/>
        </w:numPr>
        <w:adjustRightInd w:val="0"/>
        <w:snapToGrid w:val="0"/>
        <w:spacing w:line="360" w:lineRule="auto"/>
        <w:ind w:left="0" w:right="4" w:firstLine="480"/>
        <w:rPr>
          <w:rFonts w:ascii="Times New Roman"/>
        </w:rPr>
      </w:pPr>
      <w:r>
        <w:rPr>
          <w:rFonts w:ascii="Times New Roman" w:hint="eastAsia"/>
        </w:rPr>
        <w:t>国家、省精品课程的《儿科学》网页</w:t>
      </w:r>
    </w:p>
    <w:p w:rsidR="003717A0" w:rsidRDefault="003717A0" w:rsidP="004D1806">
      <w:pPr>
        <w:numPr>
          <w:ilvl w:val="0"/>
          <w:numId w:val="570"/>
        </w:numPr>
        <w:adjustRightInd w:val="0"/>
        <w:snapToGrid w:val="0"/>
        <w:spacing w:line="360" w:lineRule="auto"/>
        <w:ind w:left="0" w:right="4" w:firstLine="480"/>
        <w:rPr>
          <w:rFonts w:ascii="Times New Roman"/>
        </w:rPr>
      </w:pPr>
      <w:r>
        <w:rPr>
          <w:rFonts w:ascii="Times New Roman" w:hint="eastAsia"/>
        </w:rPr>
        <w:t>国内外医学院校儿科学专业及教研室的相关网站</w:t>
      </w:r>
    </w:p>
    <w:p w:rsidR="003717A0" w:rsidRDefault="003717A0" w:rsidP="00566E4D">
      <w:pPr>
        <w:adjustRightInd w:val="0"/>
        <w:snapToGrid w:val="0"/>
        <w:spacing w:line="360" w:lineRule="auto"/>
        <w:ind w:right="4"/>
        <w:rPr>
          <w:rFonts w:ascii="Times New Roman"/>
        </w:rPr>
      </w:pPr>
    </w:p>
    <w:p w:rsidR="003717A0" w:rsidRDefault="003717A0" w:rsidP="00566E4D">
      <w:pPr>
        <w:adjustRightInd w:val="0"/>
        <w:snapToGrid w:val="0"/>
        <w:spacing w:line="360" w:lineRule="auto"/>
        <w:ind w:right="4"/>
        <w:rPr>
          <w:rFonts w:ascii="Times New Roman"/>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制定人：邵志莉</w:t>
      </w:r>
      <w:r>
        <w:rPr>
          <w:rFonts w:ascii="黑体" w:eastAsia="黑体" w:cs="黑体"/>
          <w:kern w:val="0"/>
          <w:szCs w:val="21"/>
        </w:rPr>
        <w:t xml:space="preserve"> </w:t>
      </w:r>
    </w:p>
    <w:p w:rsidR="003717A0" w:rsidRDefault="003B4CD1" w:rsidP="005E20B5">
      <w:pPr>
        <w:adjustRightInd w:val="0"/>
        <w:snapToGrid w:val="0"/>
        <w:spacing w:beforeLines="50" w:afterLines="50" w:line="360" w:lineRule="auto"/>
        <w:jc w:val="center"/>
        <w:rPr>
          <w:rFonts w:ascii="黑体" w:eastAsia="黑体" w:cs="黑体"/>
          <w:kern w:val="0"/>
          <w:szCs w:val="21"/>
        </w:rPr>
      </w:pPr>
      <w:r>
        <w:rPr>
          <w:rFonts w:ascii="黑体" w:eastAsia="黑体" w:cs="黑体"/>
          <w:kern w:val="0"/>
          <w:szCs w:val="21"/>
        </w:rPr>
        <w:t xml:space="preserve">                            </w:t>
      </w:r>
      <w:r w:rsidR="003717A0">
        <w:rPr>
          <w:rFonts w:ascii="黑体" w:eastAsia="黑体" w:cs="黑体"/>
          <w:kern w:val="0"/>
          <w:szCs w:val="21"/>
        </w:rPr>
        <w:t xml:space="preserve">      </w:t>
      </w:r>
      <w:r w:rsidR="003717A0">
        <w:rPr>
          <w:rFonts w:ascii="黑体" w:eastAsia="黑体" w:cs="黑体" w:hint="eastAsia"/>
          <w:kern w:val="0"/>
          <w:szCs w:val="21"/>
        </w:rPr>
        <w:t>审核人：徐美玉</w:t>
      </w:r>
    </w:p>
    <w:p w:rsidR="003717A0" w:rsidRDefault="003717A0" w:rsidP="005E20B5">
      <w:pPr>
        <w:adjustRightInd w:val="0"/>
        <w:snapToGrid w:val="0"/>
        <w:spacing w:beforeLines="50" w:afterLines="50" w:line="360" w:lineRule="auto"/>
        <w:jc w:val="center"/>
        <w:rPr>
          <w:rFonts w:ascii="黑体" w:eastAsia="黑体" w:cs="黑体"/>
          <w:kern w:val="0"/>
          <w:szCs w:val="21"/>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numPr>
          <w:ilvl w:val="0"/>
          <w:numId w:val="441"/>
        </w:numPr>
        <w:adjustRightInd w:val="0"/>
        <w:snapToGrid w:val="0"/>
        <w:spacing w:line="360" w:lineRule="auto"/>
        <w:ind w:right="4" w:hanging="660"/>
        <w:rPr>
          <w:rFonts w:ascii="Times New Roman"/>
        </w:rPr>
      </w:pPr>
      <w:r>
        <w:rPr>
          <w:rFonts w:ascii="Times New Roman" w:hint="eastAsia"/>
        </w:rPr>
        <w:t>修读完本课程规定内容的康复治疗学专业本科学生；</w:t>
      </w:r>
    </w:p>
    <w:p w:rsidR="003717A0" w:rsidRDefault="003717A0">
      <w:pPr>
        <w:numPr>
          <w:ilvl w:val="0"/>
          <w:numId w:val="441"/>
        </w:numPr>
        <w:adjustRightInd w:val="0"/>
        <w:snapToGrid w:val="0"/>
        <w:spacing w:line="360" w:lineRule="auto"/>
        <w:ind w:right="4" w:hanging="660"/>
        <w:rPr>
          <w:rFonts w:ascii="Times New Roman"/>
        </w:rPr>
      </w:pPr>
      <w:r>
        <w:rPr>
          <w:rFonts w:ascii="Times New Roman" w:hint="eastAsia"/>
        </w:rPr>
        <w:t>提出并获准免修本课程、申请进行课程水平考核的</w:t>
      </w:r>
      <w:r>
        <w:rPr>
          <w:rFonts w:ascii="Times New Roman" w:hAnsi="Times New Roman" w:hint="eastAsia"/>
          <w:kern w:val="0"/>
          <w:szCs w:val="21"/>
        </w:rPr>
        <w:t>康复治疗学专业</w:t>
      </w:r>
      <w:r>
        <w:rPr>
          <w:rFonts w:ascii="Times New Roman" w:hint="eastAsia"/>
        </w:rPr>
        <w:t>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通过考核来检查和了解学生对本门课程内容的掌握程度，考核学生对儿童生长发育的了解，对</w:t>
      </w:r>
      <w:r>
        <w:rPr>
          <w:rFonts w:ascii="Times New Roman" w:hAnsi="Times New Roman" w:hint="eastAsia"/>
          <w:kern w:val="0"/>
          <w:szCs w:val="21"/>
        </w:rPr>
        <w:t>儿科常见病的发生发展规律和诊断防治方法的掌握。</w:t>
      </w:r>
      <w:r>
        <w:rPr>
          <w:rFonts w:ascii="宋体" w:hAnsi="宋体" w:hint="eastAsia"/>
          <w:szCs w:val="21"/>
        </w:rPr>
        <w:t>通过本课程的学习，学生应有一定的</w:t>
      </w:r>
      <w:r>
        <w:rPr>
          <w:rFonts w:ascii="Times New Roman" w:hAnsi="Times New Roman" w:hint="eastAsia"/>
          <w:kern w:val="0"/>
          <w:szCs w:val="21"/>
        </w:rPr>
        <w:t>分析问题和解决问题的能力</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儿童生长发育规律，儿童常见疾病的基本概念、发病机制、诊断和鉴别诊断、治疗原则。</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Pr="00566E4D" w:rsidRDefault="003717A0" w:rsidP="00566E4D">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考核学生运用课程知识分析问题、解决问题的能力。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儿科学课程考试试题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康复专业ⅩⅩⅩ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r>
        <w:rPr>
          <w:rFonts w:hint="eastAsia"/>
        </w:rPr>
        <w:t>一．名词解释（</w:t>
      </w:r>
      <w:r>
        <w:t>21’</w:t>
      </w:r>
      <w:r>
        <w:rPr>
          <w:rFonts w:hint="eastAsia"/>
        </w:rPr>
        <w:t>）</w:t>
      </w:r>
    </w:p>
    <w:p w:rsidR="003717A0" w:rsidRDefault="003717A0">
      <w:r>
        <w:t>1.</w:t>
      </w:r>
      <w:r>
        <w:rPr>
          <w:rFonts w:hint="eastAsia"/>
        </w:rPr>
        <w:t>艾森曼格综合征</w:t>
      </w:r>
    </w:p>
    <w:p w:rsidR="003717A0" w:rsidRDefault="003717A0">
      <w:r>
        <w:t>2.</w:t>
      </w:r>
      <w:r>
        <w:rPr>
          <w:rFonts w:hint="eastAsia"/>
        </w:rPr>
        <w:t>中性温度</w:t>
      </w:r>
    </w:p>
    <w:p w:rsidR="003717A0" w:rsidRDefault="003717A0">
      <w:r>
        <w:t>3.RDS</w:t>
      </w:r>
    </w:p>
    <w:p w:rsidR="003717A0" w:rsidRDefault="003717A0">
      <w:r>
        <w:t>4.</w:t>
      </w:r>
      <w:r>
        <w:rPr>
          <w:rFonts w:hint="eastAsia"/>
        </w:rPr>
        <w:t>生理性腹泻</w:t>
      </w:r>
    </w:p>
    <w:p w:rsidR="003717A0" w:rsidRDefault="003717A0">
      <w:r>
        <w:t>5.</w:t>
      </w:r>
      <w:r>
        <w:rPr>
          <w:rFonts w:hint="eastAsia"/>
        </w:rPr>
        <w:t>性早熟</w:t>
      </w:r>
    </w:p>
    <w:p w:rsidR="003717A0" w:rsidRDefault="003717A0">
      <w:r>
        <w:t>6.</w:t>
      </w:r>
      <w:r>
        <w:rPr>
          <w:rFonts w:hint="eastAsia"/>
        </w:rPr>
        <w:t>生理性体重下降</w:t>
      </w:r>
    </w:p>
    <w:p w:rsidR="003717A0" w:rsidRDefault="003717A0">
      <w:r>
        <w:t xml:space="preserve">7. </w:t>
      </w:r>
      <w:r>
        <w:rPr>
          <w:rFonts w:hint="eastAsia"/>
        </w:rPr>
        <w:t>呼吸暂停</w:t>
      </w:r>
    </w:p>
    <w:p w:rsidR="003717A0" w:rsidRDefault="003717A0"/>
    <w:p w:rsidR="003717A0" w:rsidRDefault="003717A0">
      <w:r>
        <w:rPr>
          <w:rFonts w:hint="eastAsia"/>
        </w:rPr>
        <w:t>二．选择题（</w:t>
      </w:r>
      <w:r>
        <w:t>25’</w:t>
      </w:r>
      <w:r>
        <w:rPr>
          <w:rFonts w:hint="eastAsia"/>
        </w:rPr>
        <w:t>）</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2"/>
        <w:gridCol w:w="852"/>
        <w:gridCol w:w="852"/>
        <w:gridCol w:w="852"/>
        <w:gridCol w:w="852"/>
        <w:gridCol w:w="852"/>
        <w:gridCol w:w="852"/>
        <w:gridCol w:w="852"/>
        <w:gridCol w:w="853"/>
        <w:gridCol w:w="853"/>
      </w:tblGrid>
      <w:tr w:rsidR="003717A0">
        <w:tc>
          <w:tcPr>
            <w:tcW w:w="852" w:type="dxa"/>
          </w:tcPr>
          <w:p w:rsidR="003717A0" w:rsidRDefault="003717A0">
            <w:pPr>
              <w:pStyle w:val="a9"/>
              <w:jc w:val="center"/>
            </w:pPr>
            <w:r>
              <w:t>1</w:t>
            </w:r>
          </w:p>
        </w:tc>
        <w:tc>
          <w:tcPr>
            <w:tcW w:w="852" w:type="dxa"/>
          </w:tcPr>
          <w:p w:rsidR="003717A0" w:rsidRDefault="003717A0">
            <w:pPr>
              <w:pStyle w:val="a9"/>
              <w:jc w:val="center"/>
            </w:pPr>
            <w:r>
              <w:t>2</w:t>
            </w:r>
          </w:p>
        </w:tc>
        <w:tc>
          <w:tcPr>
            <w:tcW w:w="852" w:type="dxa"/>
          </w:tcPr>
          <w:p w:rsidR="003717A0" w:rsidRDefault="003717A0">
            <w:pPr>
              <w:pStyle w:val="a9"/>
              <w:jc w:val="center"/>
            </w:pPr>
            <w:r>
              <w:t>3</w:t>
            </w:r>
          </w:p>
        </w:tc>
        <w:tc>
          <w:tcPr>
            <w:tcW w:w="852" w:type="dxa"/>
          </w:tcPr>
          <w:p w:rsidR="003717A0" w:rsidRDefault="003717A0">
            <w:pPr>
              <w:pStyle w:val="a9"/>
              <w:jc w:val="center"/>
            </w:pPr>
            <w:r>
              <w:t>4</w:t>
            </w:r>
          </w:p>
        </w:tc>
        <w:tc>
          <w:tcPr>
            <w:tcW w:w="852" w:type="dxa"/>
          </w:tcPr>
          <w:p w:rsidR="003717A0" w:rsidRDefault="003717A0">
            <w:pPr>
              <w:pStyle w:val="a9"/>
              <w:jc w:val="center"/>
            </w:pPr>
            <w:r>
              <w:t>5</w:t>
            </w:r>
          </w:p>
        </w:tc>
        <w:tc>
          <w:tcPr>
            <w:tcW w:w="852" w:type="dxa"/>
          </w:tcPr>
          <w:p w:rsidR="003717A0" w:rsidRDefault="003717A0">
            <w:pPr>
              <w:pStyle w:val="a9"/>
              <w:jc w:val="center"/>
            </w:pPr>
            <w:r>
              <w:t>6</w:t>
            </w:r>
          </w:p>
        </w:tc>
        <w:tc>
          <w:tcPr>
            <w:tcW w:w="852" w:type="dxa"/>
          </w:tcPr>
          <w:p w:rsidR="003717A0" w:rsidRDefault="003717A0">
            <w:pPr>
              <w:pStyle w:val="a9"/>
              <w:jc w:val="center"/>
            </w:pPr>
            <w:r>
              <w:t>7</w:t>
            </w:r>
          </w:p>
        </w:tc>
        <w:tc>
          <w:tcPr>
            <w:tcW w:w="852" w:type="dxa"/>
          </w:tcPr>
          <w:p w:rsidR="003717A0" w:rsidRDefault="003717A0">
            <w:pPr>
              <w:pStyle w:val="a9"/>
              <w:jc w:val="center"/>
            </w:pPr>
            <w:r>
              <w:t>8</w:t>
            </w:r>
          </w:p>
        </w:tc>
        <w:tc>
          <w:tcPr>
            <w:tcW w:w="853" w:type="dxa"/>
          </w:tcPr>
          <w:p w:rsidR="003717A0" w:rsidRDefault="003717A0">
            <w:pPr>
              <w:pStyle w:val="a9"/>
              <w:jc w:val="center"/>
            </w:pPr>
            <w:r>
              <w:t>9</w:t>
            </w:r>
          </w:p>
        </w:tc>
        <w:tc>
          <w:tcPr>
            <w:tcW w:w="853" w:type="dxa"/>
          </w:tcPr>
          <w:p w:rsidR="003717A0" w:rsidRDefault="003717A0">
            <w:pPr>
              <w:pStyle w:val="a9"/>
              <w:jc w:val="center"/>
            </w:pPr>
            <w:r>
              <w:t>10</w:t>
            </w:r>
          </w:p>
        </w:tc>
      </w:tr>
      <w:tr w:rsidR="003717A0">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3" w:type="dxa"/>
          </w:tcPr>
          <w:p w:rsidR="003717A0" w:rsidRDefault="003717A0">
            <w:pPr>
              <w:pStyle w:val="a9"/>
              <w:jc w:val="center"/>
            </w:pPr>
          </w:p>
        </w:tc>
        <w:tc>
          <w:tcPr>
            <w:tcW w:w="853" w:type="dxa"/>
          </w:tcPr>
          <w:p w:rsidR="003717A0" w:rsidRDefault="003717A0">
            <w:pPr>
              <w:pStyle w:val="a9"/>
              <w:jc w:val="center"/>
            </w:pPr>
          </w:p>
        </w:tc>
      </w:tr>
      <w:tr w:rsidR="003717A0">
        <w:tc>
          <w:tcPr>
            <w:tcW w:w="852" w:type="dxa"/>
          </w:tcPr>
          <w:p w:rsidR="003717A0" w:rsidRDefault="003717A0">
            <w:pPr>
              <w:pStyle w:val="a9"/>
              <w:jc w:val="center"/>
            </w:pPr>
            <w:r>
              <w:t>11</w:t>
            </w:r>
          </w:p>
        </w:tc>
        <w:tc>
          <w:tcPr>
            <w:tcW w:w="852" w:type="dxa"/>
          </w:tcPr>
          <w:p w:rsidR="003717A0" w:rsidRDefault="003717A0">
            <w:pPr>
              <w:pStyle w:val="a9"/>
              <w:jc w:val="center"/>
            </w:pPr>
            <w:r>
              <w:t>12</w:t>
            </w:r>
          </w:p>
        </w:tc>
        <w:tc>
          <w:tcPr>
            <w:tcW w:w="852" w:type="dxa"/>
          </w:tcPr>
          <w:p w:rsidR="003717A0" w:rsidRDefault="003717A0">
            <w:pPr>
              <w:pStyle w:val="a9"/>
              <w:jc w:val="center"/>
            </w:pPr>
            <w:r>
              <w:t>13</w:t>
            </w:r>
          </w:p>
        </w:tc>
        <w:tc>
          <w:tcPr>
            <w:tcW w:w="852" w:type="dxa"/>
          </w:tcPr>
          <w:p w:rsidR="003717A0" w:rsidRDefault="003717A0">
            <w:pPr>
              <w:pStyle w:val="a9"/>
              <w:jc w:val="center"/>
            </w:pPr>
            <w:r>
              <w:t>14</w:t>
            </w:r>
          </w:p>
        </w:tc>
        <w:tc>
          <w:tcPr>
            <w:tcW w:w="852" w:type="dxa"/>
          </w:tcPr>
          <w:p w:rsidR="003717A0" w:rsidRDefault="003717A0">
            <w:pPr>
              <w:pStyle w:val="a9"/>
              <w:jc w:val="center"/>
            </w:pPr>
            <w:r>
              <w:t>15</w:t>
            </w:r>
          </w:p>
        </w:tc>
        <w:tc>
          <w:tcPr>
            <w:tcW w:w="852" w:type="dxa"/>
          </w:tcPr>
          <w:p w:rsidR="003717A0" w:rsidRDefault="003717A0">
            <w:pPr>
              <w:pStyle w:val="a9"/>
              <w:jc w:val="center"/>
            </w:pPr>
            <w:r>
              <w:t>16</w:t>
            </w:r>
          </w:p>
        </w:tc>
        <w:tc>
          <w:tcPr>
            <w:tcW w:w="852" w:type="dxa"/>
          </w:tcPr>
          <w:p w:rsidR="003717A0" w:rsidRDefault="003717A0">
            <w:pPr>
              <w:pStyle w:val="a9"/>
              <w:jc w:val="center"/>
            </w:pPr>
            <w:r>
              <w:t>17</w:t>
            </w:r>
          </w:p>
        </w:tc>
        <w:tc>
          <w:tcPr>
            <w:tcW w:w="852" w:type="dxa"/>
          </w:tcPr>
          <w:p w:rsidR="003717A0" w:rsidRDefault="003717A0">
            <w:pPr>
              <w:pStyle w:val="a9"/>
              <w:jc w:val="center"/>
            </w:pPr>
            <w:r>
              <w:t>18</w:t>
            </w:r>
          </w:p>
        </w:tc>
        <w:tc>
          <w:tcPr>
            <w:tcW w:w="853" w:type="dxa"/>
          </w:tcPr>
          <w:p w:rsidR="003717A0" w:rsidRDefault="003717A0">
            <w:pPr>
              <w:pStyle w:val="a9"/>
              <w:jc w:val="center"/>
            </w:pPr>
            <w:r>
              <w:t>19</w:t>
            </w:r>
          </w:p>
        </w:tc>
        <w:tc>
          <w:tcPr>
            <w:tcW w:w="853" w:type="dxa"/>
          </w:tcPr>
          <w:p w:rsidR="003717A0" w:rsidRDefault="003717A0">
            <w:pPr>
              <w:pStyle w:val="a9"/>
              <w:jc w:val="center"/>
            </w:pPr>
            <w:r>
              <w:t>20</w:t>
            </w:r>
          </w:p>
        </w:tc>
      </w:tr>
      <w:tr w:rsidR="003717A0">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3" w:type="dxa"/>
          </w:tcPr>
          <w:p w:rsidR="003717A0" w:rsidRDefault="003717A0">
            <w:pPr>
              <w:pStyle w:val="a9"/>
              <w:jc w:val="center"/>
            </w:pPr>
          </w:p>
        </w:tc>
        <w:tc>
          <w:tcPr>
            <w:tcW w:w="853" w:type="dxa"/>
          </w:tcPr>
          <w:p w:rsidR="003717A0" w:rsidRDefault="003717A0">
            <w:pPr>
              <w:pStyle w:val="a9"/>
              <w:jc w:val="center"/>
            </w:pPr>
          </w:p>
        </w:tc>
      </w:tr>
      <w:tr w:rsidR="003717A0">
        <w:trPr>
          <w:gridAfter w:val="5"/>
          <w:wAfter w:w="4262" w:type="dxa"/>
        </w:trPr>
        <w:tc>
          <w:tcPr>
            <w:tcW w:w="852" w:type="dxa"/>
          </w:tcPr>
          <w:p w:rsidR="003717A0" w:rsidRDefault="003717A0">
            <w:pPr>
              <w:pStyle w:val="a9"/>
              <w:jc w:val="center"/>
            </w:pPr>
            <w:r>
              <w:lastRenderedPageBreak/>
              <w:t>21</w:t>
            </w:r>
          </w:p>
        </w:tc>
        <w:tc>
          <w:tcPr>
            <w:tcW w:w="852" w:type="dxa"/>
          </w:tcPr>
          <w:p w:rsidR="003717A0" w:rsidRDefault="003717A0">
            <w:pPr>
              <w:pStyle w:val="a9"/>
              <w:jc w:val="center"/>
            </w:pPr>
            <w:r>
              <w:t>22</w:t>
            </w:r>
          </w:p>
        </w:tc>
        <w:tc>
          <w:tcPr>
            <w:tcW w:w="852" w:type="dxa"/>
          </w:tcPr>
          <w:p w:rsidR="003717A0" w:rsidRDefault="003717A0">
            <w:pPr>
              <w:pStyle w:val="a9"/>
              <w:jc w:val="center"/>
            </w:pPr>
            <w:r>
              <w:t>23</w:t>
            </w:r>
          </w:p>
        </w:tc>
        <w:tc>
          <w:tcPr>
            <w:tcW w:w="852" w:type="dxa"/>
          </w:tcPr>
          <w:p w:rsidR="003717A0" w:rsidRDefault="003717A0">
            <w:pPr>
              <w:pStyle w:val="a9"/>
              <w:jc w:val="center"/>
            </w:pPr>
            <w:r>
              <w:t>24</w:t>
            </w:r>
          </w:p>
        </w:tc>
        <w:tc>
          <w:tcPr>
            <w:tcW w:w="852" w:type="dxa"/>
          </w:tcPr>
          <w:p w:rsidR="003717A0" w:rsidRDefault="003717A0">
            <w:pPr>
              <w:pStyle w:val="a9"/>
              <w:jc w:val="center"/>
            </w:pPr>
            <w:r>
              <w:t>25</w:t>
            </w:r>
          </w:p>
        </w:tc>
      </w:tr>
      <w:tr w:rsidR="003717A0">
        <w:trPr>
          <w:gridAfter w:val="5"/>
          <w:wAfter w:w="4262" w:type="dxa"/>
        </w:trPr>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c>
          <w:tcPr>
            <w:tcW w:w="852" w:type="dxa"/>
          </w:tcPr>
          <w:p w:rsidR="003717A0" w:rsidRDefault="003717A0">
            <w:pPr>
              <w:pStyle w:val="a9"/>
              <w:jc w:val="center"/>
            </w:pPr>
          </w:p>
        </w:tc>
      </w:tr>
    </w:tbl>
    <w:p w:rsidR="003717A0" w:rsidRDefault="003717A0"/>
    <w:p w:rsidR="003717A0" w:rsidRDefault="003717A0">
      <w:pPr>
        <w:pStyle w:val="a9"/>
        <w:rPr>
          <w:rFonts w:hAnsi="宋体" w:cs="宋体"/>
        </w:rPr>
      </w:pPr>
      <w:r>
        <w:rPr>
          <w:rFonts w:hAnsi="宋体" w:cs="宋体"/>
        </w:rPr>
        <w:t xml:space="preserve">1. </w:t>
      </w:r>
      <w:r>
        <w:rPr>
          <w:rFonts w:hAnsi="宋体" w:cs="宋体" w:hint="eastAsia"/>
        </w:rPr>
        <w:t>口服补液盐在下列哪种情况下应用是错误的：</w:t>
      </w:r>
      <w:r>
        <w:rPr>
          <w:rFonts w:hAnsi="宋体" w:cs="宋体"/>
        </w:rPr>
        <w:t xml:space="preserve">   </w:t>
      </w:r>
      <w:r>
        <w:rPr>
          <w:rFonts w:hint="eastAsia"/>
        </w:rPr>
        <w:t>（</w:t>
      </w:r>
      <w:r>
        <w:t xml:space="preserve">    </w:t>
      </w:r>
      <w:r>
        <w:rPr>
          <w:rFonts w:hint="eastAsia"/>
        </w:rPr>
        <w:t>）</w:t>
      </w:r>
    </w:p>
    <w:p w:rsidR="003717A0" w:rsidRDefault="003717A0">
      <w:pPr>
        <w:pStyle w:val="a9"/>
        <w:rPr>
          <w:rFonts w:hAnsi="宋体" w:cs="宋体"/>
        </w:rPr>
      </w:pPr>
      <w:r>
        <w:rPr>
          <w:rFonts w:hAnsi="宋体" w:cs="宋体"/>
        </w:rPr>
        <w:t>A</w:t>
      </w:r>
      <w:r>
        <w:rPr>
          <w:rFonts w:hAnsi="宋体" w:cs="宋体" w:hint="eastAsia"/>
        </w:rPr>
        <w:t>．交通不便经济落后的地区</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．婴儿腹泻伴轻度脱水</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．婴儿腹泻伴重度脱水</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．婴儿腹泻伴中度脱水</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．静脉补液纠正脱水后</w:t>
      </w:r>
    </w:p>
    <w:p w:rsidR="003717A0" w:rsidRDefault="003717A0">
      <w:pPr>
        <w:pStyle w:val="a9"/>
        <w:rPr>
          <w:rFonts w:hAnsi="宋体" w:cs="宋体"/>
        </w:rPr>
      </w:pPr>
      <w:r>
        <w:rPr>
          <w:rFonts w:hAnsi="宋体" w:cs="宋体"/>
        </w:rPr>
        <w:t xml:space="preserve">2. </w:t>
      </w:r>
      <w:r>
        <w:rPr>
          <w:rFonts w:hAnsi="宋体" w:cs="宋体" w:hint="eastAsia"/>
        </w:rPr>
        <w:t>静脉补钾的浓度以下哪种正确：</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pPr>
      <w:r>
        <w:t>A</w:t>
      </w:r>
      <w:r>
        <w:rPr>
          <w:rFonts w:hint="eastAsia"/>
        </w:rPr>
        <w:t>．</w:t>
      </w:r>
      <w:r>
        <w:t>0</w:t>
      </w:r>
      <w:r>
        <w:rPr>
          <w:rFonts w:hint="eastAsia"/>
        </w:rPr>
        <w:t>．</w:t>
      </w:r>
      <w:r>
        <w:t>3</w:t>
      </w:r>
      <w:r>
        <w:rPr>
          <w:rFonts w:hint="eastAsia"/>
        </w:rPr>
        <w:t>％</w:t>
      </w:r>
      <w:r>
        <w:t xml:space="preserve">   </w:t>
      </w:r>
    </w:p>
    <w:p w:rsidR="003717A0" w:rsidRDefault="003717A0">
      <w:pPr>
        <w:pStyle w:val="a9"/>
      </w:pPr>
      <w:r>
        <w:t>B</w:t>
      </w:r>
      <w:r>
        <w:rPr>
          <w:rFonts w:hint="eastAsia"/>
        </w:rPr>
        <w:t>．</w:t>
      </w:r>
      <w:r>
        <w:t>3</w:t>
      </w:r>
      <w:r>
        <w:rPr>
          <w:rFonts w:hint="eastAsia"/>
        </w:rPr>
        <w:t>％</w:t>
      </w:r>
      <w:r>
        <w:t xml:space="preserve">     </w:t>
      </w:r>
    </w:p>
    <w:p w:rsidR="003717A0" w:rsidRDefault="003717A0">
      <w:pPr>
        <w:pStyle w:val="a9"/>
      </w:pPr>
      <w:r>
        <w:t>C</w:t>
      </w:r>
      <w:r>
        <w:rPr>
          <w:rFonts w:hint="eastAsia"/>
        </w:rPr>
        <w:t>．</w:t>
      </w:r>
      <w:r>
        <w:t>0</w:t>
      </w:r>
      <w:r>
        <w:rPr>
          <w:rFonts w:hint="eastAsia"/>
        </w:rPr>
        <w:t>．</w:t>
      </w:r>
      <w:r>
        <w:t>5</w:t>
      </w:r>
      <w:r>
        <w:rPr>
          <w:rFonts w:hint="eastAsia"/>
        </w:rPr>
        <w:t>％</w:t>
      </w:r>
      <w:r>
        <w:t xml:space="preserve">   </w:t>
      </w:r>
    </w:p>
    <w:p w:rsidR="003717A0" w:rsidRDefault="003717A0">
      <w:pPr>
        <w:pStyle w:val="a9"/>
      </w:pPr>
      <w:r>
        <w:t>D</w:t>
      </w:r>
      <w:r>
        <w:rPr>
          <w:rFonts w:hint="eastAsia"/>
        </w:rPr>
        <w:t>．</w:t>
      </w:r>
      <w:r>
        <w:t>0</w:t>
      </w:r>
      <w:r>
        <w:rPr>
          <w:rFonts w:hint="eastAsia"/>
        </w:rPr>
        <w:t>．</w:t>
      </w:r>
      <w:r>
        <w:t>25</w:t>
      </w:r>
      <w:r>
        <w:rPr>
          <w:rFonts w:hint="eastAsia"/>
        </w:rPr>
        <w:t>％</w:t>
      </w:r>
      <w:r>
        <w:t xml:space="preserve">   </w:t>
      </w:r>
    </w:p>
    <w:p w:rsidR="003717A0" w:rsidRDefault="003717A0">
      <w:pPr>
        <w:pStyle w:val="a9"/>
      </w:pPr>
      <w:r>
        <w:t>E</w:t>
      </w:r>
      <w:r>
        <w:rPr>
          <w:rFonts w:hint="eastAsia"/>
        </w:rPr>
        <w:t>．</w:t>
      </w:r>
      <w:r>
        <w:t>0</w:t>
      </w:r>
      <w:r>
        <w:rPr>
          <w:rFonts w:hint="eastAsia"/>
        </w:rPr>
        <w:t>．</w:t>
      </w:r>
      <w:r>
        <w:t>4</w:t>
      </w:r>
      <w:r>
        <w:rPr>
          <w:rFonts w:hint="eastAsia"/>
        </w:rPr>
        <w:t>％</w:t>
      </w:r>
    </w:p>
    <w:p w:rsidR="003717A0" w:rsidRDefault="003717A0">
      <w:pPr>
        <w:pStyle w:val="a9"/>
        <w:rPr>
          <w:rFonts w:hAnsi="宋体" w:cs="宋体"/>
        </w:rPr>
      </w:pPr>
      <w:r>
        <w:rPr>
          <w:rFonts w:hAnsi="宋体" w:cs="宋体"/>
        </w:rPr>
        <w:t xml:space="preserve">3. </w:t>
      </w:r>
      <w:r>
        <w:rPr>
          <w:rFonts w:hAnsi="宋体" w:cs="宋体" w:hint="eastAsia"/>
        </w:rPr>
        <w:t>前囟的正确测量方法是：</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．对角顶点连线</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．邻角顶点连线</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．对边中点连线</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．周径长度</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．邻边中点连线</w:t>
      </w:r>
    </w:p>
    <w:p w:rsidR="003717A0" w:rsidRDefault="003717A0">
      <w:pPr>
        <w:pStyle w:val="a9"/>
        <w:rPr>
          <w:rFonts w:hAnsi="宋体" w:cs="宋体"/>
        </w:rPr>
      </w:pPr>
      <w:r>
        <w:rPr>
          <w:rFonts w:hAnsi="宋体" w:cs="宋体"/>
        </w:rPr>
        <w:t xml:space="preserve">4. </w:t>
      </w:r>
      <w:r>
        <w:rPr>
          <w:rFonts w:hAnsi="宋体" w:cs="宋体" w:hint="eastAsia"/>
        </w:rPr>
        <w:t>婴幼儿重症肺炎发生心力衰竭，主要临床表现中哪项不符</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pPr>
      <w:r>
        <w:t>A</w:t>
      </w:r>
      <w:r>
        <w:rPr>
          <w:rFonts w:hint="eastAsia"/>
        </w:rPr>
        <w:t>．呼吸困难突然加重，呼吸超过</w:t>
      </w:r>
      <w:r>
        <w:t>60</w:t>
      </w:r>
      <w:r>
        <w:rPr>
          <w:rFonts w:hint="eastAsia"/>
        </w:rPr>
        <w:t>次</w:t>
      </w:r>
      <w:r>
        <w:t>/</w:t>
      </w:r>
      <w:r>
        <w:rPr>
          <w:rFonts w:hint="eastAsia"/>
        </w:rPr>
        <w:t>分</w:t>
      </w:r>
      <w:r>
        <w:t xml:space="preserve">   </w:t>
      </w:r>
    </w:p>
    <w:p w:rsidR="003717A0" w:rsidRDefault="003717A0">
      <w:pPr>
        <w:pStyle w:val="a9"/>
      </w:pPr>
      <w:r>
        <w:t>B</w:t>
      </w:r>
      <w:r>
        <w:rPr>
          <w:rFonts w:hint="eastAsia"/>
        </w:rPr>
        <w:t>．心率超过</w:t>
      </w:r>
      <w:r>
        <w:t>180</w:t>
      </w:r>
      <w:r>
        <w:rPr>
          <w:rFonts w:hint="eastAsia"/>
        </w:rPr>
        <w:t>次</w:t>
      </w:r>
      <w:r>
        <w:t>/</w:t>
      </w:r>
      <w:r>
        <w:rPr>
          <w:rFonts w:hint="eastAsia"/>
        </w:rPr>
        <w:t>分</w:t>
      </w:r>
      <w:r>
        <w:t xml:space="preserve">     </w:t>
      </w:r>
    </w:p>
    <w:p w:rsidR="003717A0" w:rsidRDefault="003717A0">
      <w:pPr>
        <w:pStyle w:val="a9"/>
      </w:pPr>
      <w:r>
        <w:t>C</w:t>
      </w:r>
      <w:r>
        <w:rPr>
          <w:rFonts w:hint="eastAsia"/>
        </w:rPr>
        <w:t>．吐铁锈色痰</w:t>
      </w:r>
      <w:r>
        <w:t xml:space="preserve">   </w:t>
      </w:r>
    </w:p>
    <w:p w:rsidR="003717A0" w:rsidRDefault="003717A0">
      <w:pPr>
        <w:pStyle w:val="a9"/>
      </w:pPr>
      <w:r>
        <w:t>D</w:t>
      </w:r>
      <w:r>
        <w:rPr>
          <w:rFonts w:hint="eastAsia"/>
        </w:rPr>
        <w:t>．</w:t>
      </w:r>
      <w:r>
        <w:rPr>
          <w:rFonts w:hAnsi="宋体" w:cs="宋体" w:hint="eastAsia"/>
        </w:rPr>
        <w:t>突然极度烦燥不安</w:t>
      </w:r>
      <w:r>
        <w:rPr>
          <w:rFonts w:hint="eastAsia"/>
        </w:rPr>
        <w:t>，面色苍白或发紫</w:t>
      </w:r>
      <w:r>
        <w:t xml:space="preserve">      </w:t>
      </w:r>
    </w:p>
    <w:p w:rsidR="003717A0" w:rsidRDefault="003717A0">
      <w:pPr>
        <w:pStyle w:val="a9"/>
      </w:pPr>
      <w:r>
        <w:t>E</w:t>
      </w:r>
      <w:r>
        <w:rPr>
          <w:rFonts w:hint="eastAsia"/>
        </w:rPr>
        <w:t>．肝脏迅速增大</w:t>
      </w:r>
    </w:p>
    <w:p w:rsidR="003717A0" w:rsidRDefault="003717A0">
      <w:r>
        <w:rPr>
          <w:rFonts w:hAnsi="宋体" w:cs="宋体"/>
        </w:rPr>
        <w:t>5.</w:t>
      </w:r>
      <w:r>
        <w:t xml:space="preserve"> </w:t>
      </w:r>
      <w:r>
        <w:rPr>
          <w:rFonts w:hint="eastAsia"/>
        </w:rPr>
        <w:t>早产儿外观特点，正确的是：（</w:t>
      </w:r>
      <w:r>
        <w:t xml:space="preserve">    </w:t>
      </w:r>
      <w:r>
        <w:rPr>
          <w:rFonts w:hint="eastAsia"/>
        </w:rPr>
        <w:t>）</w:t>
      </w:r>
    </w:p>
    <w:p w:rsidR="003717A0" w:rsidRDefault="003717A0">
      <w:pPr>
        <w:pStyle w:val="a9"/>
        <w:rPr>
          <w:rFonts w:hAnsi="宋体" w:cs="宋体"/>
        </w:rPr>
      </w:pPr>
      <w:r>
        <w:rPr>
          <w:rFonts w:hAnsi="宋体" w:cs="宋体"/>
        </w:rPr>
        <w:t xml:space="preserve">A </w:t>
      </w:r>
      <w:r>
        <w:rPr>
          <w:rFonts w:hAnsi="宋体" w:cs="宋体" w:hint="eastAsia"/>
        </w:rPr>
        <w:t>肤色红润，毳毛少</w:t>
      </w:r>
      <w:r>
        <w:rPr>
          <w:rFonts w:hAnsi="宋体" w:cs="宋体"/>
        </w:rPr>
        <w:t xml:space="preserve">        </w:t>
      </w:r>
    </w:p>
    <w:p w:rsidR="003717A0" w:rsidRDefault="003717A0">
      <w:pPr>
        <w:pStyle w:val="a9"/>
        <w:rPr>
          <w:rFonts w:hAnsi="宋体" w:cs="宋体"/>
        </w:rPr>
      </w:pPr>
      <w:r>
        <w:rPr>
          <w:rFonts w:hAnsi="宋体" w:cs="宋体"/>
        </w:rPr>
        <w:t xml:space="preserve">B </w:t>
      </w:r>
      <w:r>
        <w:rPr>
          <w:rFonts w:hAnsi="宋体" w:cs="宋体" w:hint="eastAsia"/>
        </w:rPr>
        <w:t>耳周成形，直挺</w:t>
      </w:r>
      <w:r>
        <w:rPr>
          <w:rFonts w:hAnsi="宋体" w:cs="宋体"/>
        </w:rPr>
        <w:t xml:space="preserve">         </w:t>
      </w:r>
    </w:p>
    <w:p w:rsidR="003717A0" w:rsidRDefault="003717A0">
      <w:pPr>
        <w:pStyle w:val="a9"/>
        <w:rPr>
          <w:rFonts w:hAnsi="宋体" w:cs="宋体"/>
        </w:rPr>
      </w:pPr>
      <w:r>
        <w:rPr>
          <w:rFonts w:hAnsi="宋体" w:cs="宋体"/>
        </w:rPr>
        <w:t xml:space="preserve">C </w:t>
      </w:r>
      <w:r>
        <w:rPr>
          <w:rFonts w:hAnsi="宋体" w:cs="宋体" w:hint="eastAsia"/>
        </w:rPr>
        <w:t>乳腺结节</w:t>
      </w:r>
      <w:r>
        <w:rPr>
          <w:rFonts w:hAnsi="宋体" w:cs="宋体"/>
        </w:rPr>
        <w:t xml:space="preserve">&lt;4mm         </w:t>
      </w:r>
    </w:p>
    <w:p w:rsidR="003717A0" w:rsidRDefault="003717A0">
      <w:pPr>
        <w:pStyle w:val="a9"/>
        <w:rPr>
          <w:rFonts w:hAnsi="宋体" w:cs="宋体"/>
        </w:rPr>
      </w:pPr>
      <w:r>
        <w:rPr>
          <w:rFonts w:hAnsi="宋体" w:cs="宋体"/>
        </w:rPr>
        <w:t xml:space="preserve">D </w:t>
      </w:r>
      <w:r>
        <w:rPr>
          <w:rFonts w:hAnsi="宋体" w:cs="宋体" w:hint="eastAsia"/>
        </w:rPr>
        <w:t>头发分条清楚</w:t>
      </w:r>
      <w:r>
        <w:rPr>
          <w:rFonts w:hAnsi="宋体" w:cs="宋体"/>
        </w:rPr>
        <w:t xml:space="preserve">     </w:t>
      </w:r>
    </w:p>
    <w:p w:rsidR="003717A0" w:rsidRDefault="003717A0">
      <w:pPr>
        <w:pStyle w:val="a9"/>
        <w:rPr>
          <w:rFonts w:hAnsi="宋体" w:cs="宋体"/>
        </w:rPr>
      </w:pPr>
      <w:r>
        <w:rPr>
          <w:rFonts w:hAnsi="宋体" w:cs="宋体"/>
        </w:rPr>
        <w:t xml:space="preserve">E </w:t>
      </w:r>
      <w:r>
        <w:rPr>
          <w:rFonts w:hAnsi="宋体" w:cs="宋体" w:hint="eastAsia"/>
        </w:rPr>
        <w:t>指甲达到指尖</w:t>
      </w:r>
    </w:p>
    <w:p w:rsidR="003717A0" w:rsidRDefault="003717A0">
      <w:pPr>
        <w:pStyle w:val="a9"/>
        <w:rPr>
          <w:rFonts w:hAnsi="宋体" w:cs="宋体"/>
        </w:rPr>
      </w:pPr>
      <w:r>
        <w:t>6.</w:t>
      </w:r>
      <w:r>
        <w:rPr>
          <w:rFonts w:hAnsi="宋体" w:cs="宋体"/>
        </w:rPr>
        <w:t xml:space="preserve"> </w:t>
      </w:r>
      <w:r>
        <w:rPr>
          <w:rFonts w:hAnsi="宋体" w:cs="宋体" w:hint="eastAsia"/>
        </w:rPr>
        <w:t>目前治疗肾病综合征首选药物：（</w:t>
      </w:r>
      <w:r>
        <w:rPr>
          <w:rFonts w:hAnsi="宋体" w:cs="宋体"/>
        </w:rPr>
        <w:t xml:space="preserve">    </w:t>
      </w:r>
      <w:r>
        <w:rPr>
          <w:rFonts w:hAnsi="宋体" w:cs="宋体" w:hint="eastAsia"/>
        </w:rPr>
        <w:t>）</w:t>
      </w:r>
    </w:p>
    <w:p w:rsidR="003717A0" w:rsidRDefault="003717A0">
      <w:pPr>
        <w:pStyle w:val="a9"/>
        <w:rPr>
          <w:rFonts w:hAnsi="宋体" w:cs="宋体"/>
        </w:rPr>
      </w:pPr>
      <w:r>
        <w:rPr>
          <w:rFonts w:hAnsi="宋体" w:cs="宋体"/>
        </w:rPr>
        <w:t>A</w:t>
      </w:r>
      <w:r>
        <w:rPr>
          <w:rFonts w:hAnsi="宋体" w:cs="宋体" w:hint="eastAsia"/>
        </w:rPr>
        <w:t>．免疫抑制剂</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．肾上腺皮质激素</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．中药</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．辅助药物</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．抗生素</w:t>
      </w:r>
    </w:p>
    <w:p w:rsidR="003717A0" w:rsidRDefault="003717A0">
      <w:pPr>
        <w:rPr>
          <w:szCs w:val="21"/>
        </w:rPr>
      </w:pPr>
      <w:r>
        <w:t>7.</w:t>
      </w:r>
      <w:r>
        <w:rPr>
          <w:szCs w:val="21"/>
        </w:rPr>
        <w:t xml:space="preserve"> </w:t>
      </w:r>
      <w:r>
        <w:rPr>
          <w:rFonts w:hint="eastAsia"/>
          <w:szCs w:val="21"/>
        </w:rPr>
        <w:t>急性肾小球肾炎的常见致病菌是：（</w:t>
      </w:r>
      <w:r>
        <w:rPr>
          <w:szCs w:val="21"/>
        </w:rPr>
        <w:t xml:space="preserve">    </w:t>
      </w:r>
      <w:r>
        <w:rPr>
          <w:rFonts w:hint="eastAsia"/>
          <w:szCs w:val="21"/>
        </w:rPr>
        <w:t>）</w:t>
      </w:r>
    </w:p>
    <w:p w:rsidR="003717A0" w:rsidRDefault="003717A0">
      <w:pPr>
        <w:pStyle w:val="a9"/>
        <w:rPr>
          <w:rFonts w:hAnsi="宋体" w:cs="宋体"/>
        </w:rPr>
      </w:pPr>
      <w:r>
        <w:rPr>
          <w:rFonts w:hAnsi="宋体" w:cs="宋体"/>
        </w:rPr>
        <w:t>A</w:t>
      </w:r>
      <w:r>
        <w:rPr>
          <w:rFonts w:hAnsi="宋体" w:cs="宋体" w:hint="eastAsia"/>
        </w:rPr>
        <w:t>．溶血性链球菌</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．葡萄球菌</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．肺炎链球菌</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．柯萨奇病毒</w:t>
      </w:r>
      <w:r>
        <w:rPr>
          <w:rFonts w:hAnsi="宋体" w:cs="宋体"/>
        </w:rPr>
        <w:t xml:space="preserve">    </w:t>
      </w:r>
    </w:p>
    <w:p w:rsidR="003717A0" w:rsidRDefault="003717A0">
      <w:pPr>
        <w:pStyle w:val="a9"/>
        <w:rPr>
          <w:rFonts w:hAnsi="宋体" w:cs="宋体"/>
        </w:rPr>
      </w:pPr>
      <w:r>
        <w:rPr>
          <w:rFonts w:hAnsi="宋体" w:cs="宋体"/>
        </w:rPr>
        <w:lastRenderedPageBreak/>
        <w:t>E</w:t>
      </w:r>
      <w:r>
        <w:rPr>
          <w:rFonts w:hAnsi="宋体" w:cs="宋体" w:hint="eastAsia"/>
        </w:rPr>
        <w:t>．草绿色链球菌</w:t>
      </w:r>
    </w:p>
    <w:p w:rsidR="003717A0" w:rsidRDefault="003717A0">
      <w:r>
        <w:t xml:space="preserve">8. </w:t>
      </w:r>
      <w:r>
        <w:rPr>
          <w:rFonts w:hint="eastAsia"/>
        </w:rPr>
        <w:t>动脉导管未闭的特征性体征是：（</w:t>
      </w:r>
      <w:r>
        <w:t xml:space="preserve">     </w:t>
      </w:r>
      <w:r>
        <w:rPr>
          <w:rFonts w:hint="eastAsia"/>
        </w:rPr>
        <w:t>）</w:t>
      </w:r>
    </w:p>
    <w:p w:rsidR="003717A0" w:rsidRDefault="003717A0">
      <w:pPr>
        <w:pStyle w:val="a9"/>
        <w:rPr>
          <w:rFonts w:hAnsi="宋体" w:cs="宋体"/>
        </w:rPr>
      </w:pPr>
      <w:r>
        <w:rPr>
          <w:rFonts w:hAnsi="宋体" w:cs="宋体"/>
        </w:rPr>
        <w:t>A</w:t>
      </w:r>
      <w:r>
        <w:rPr>
          <w:rFonts w:hAnsi="宋体" w:cs="宋体" w:hint="eastAsia"/>
        </w:rPr>
        <w:t>．左心室大</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．脉压增宽</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．胸骨左缘第</w:t>
      </w:r>
      <w:r>
        <w:rPr>
          <w:rFonts w:hAnsi="宋体" w:cs="宋体"/>
        </w:rPr>
        <w:t>2</w:t>
      </w:r>
      <w:r>
        <w:rPr>
          <w:rFonts w:hAnsi="宋体" w:cs="宋体" w:hint="eastAsia"/>
        </w:rPr>
        <w:t>肋间连续性机器样杂音</w:t>
      </w:r>
    </w:p>
    <w:p w:rsidR="003717A0" w:rsidRDefault="003717A0">
      <w:pPr>
        <w:pStyle w:val="a9"/>
        <w:rPr>
          <w:rFonts w:hAnsi="宋体" w:cs="宋体"/>
        </w:rPr>
      </w:pPr>
      <w:r>
        <w:rPr>
          <w:rFonts w:hAnsi="宋体" w:cs="宋体"/>
        </w:rPr>
        <w:t>D</w:t>
      </w:r>
      <w:r>
        <w:rPr>
          <w:rFonts w:hAnsi="宋体" w:cs="宋体" w:hint="eastAsia"/>
        </w:rPr>
        <w:t>．肺动脉瓣区第二音亢进</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．股动脉枪击声</w:t>
      </w:r>
    </w:p>
    <w:p w:rsidR="003717A0" w:rsidRDefault="003717A0">
      <w:pPr>
        <w:rPr>
          <w:rFonts w:ascii="宋体" w:cs="宋体"/>
          <w:szCs w:val="21"/>
        </w:rPr>
      </w:pPr>
      <w:r>
        <w:t>9.</w:t>
      </w:r>
      <w:r>
        <w:rPr>
          <w:rFonts w:ascii="宋体" w:hAnsi="宋体" w:cs="宋体"/>
          <w:szCs w:val="21"/>
        </w:rPr>
        <w:t xml:space="preserve"> </w:t>
      </w:r>
      <w:r>
        <w:rPr>
          <w:rFonts w:ascii="宋体" w:hAnsi="宋体" w:cs="宋体" w:hint="eastAsia"/>
          <w:szCs w:val="21"/>
        </w:rPr>
        <w:t>中度脱水失水占体重：（</w:t>
      </w:r>
      <w:r>
        <w:rPr>
          <w:rFonts w:ascii="宋体" w:hAnsi="宋体" w:cs="宋体"/>
          <w:szCs w:val="21"/>
        </w:rPr>
        <w:t xml:space="preserve">   </w:t>
      </w:r>
      <w:r>
        <w:rPr>
          <w:rFonts w:ascii="宋体" w:hAnsi="宋体" w:cs="宋体" w:hint="eastAsia"/>
          <w:szCs w:val="21"/>
        </w:rPr>
        <w:t>）</w:t>
      </w:r>
    </w:p>
    <w:p w:rsidR="003717A0" w:rsidRDefault="003717A0">
      <w:pPr>
        <w:pStyle w:val="a9"/>
        <w:rPr>
          <w:rFonts w:hAnsi="宋体" w:cs="宋体"/>
        </w:rPr>
      </w:pPr>
      <w:r>
        <w:rPr>
          <w:rFonts w:hAnsi="宋体" w:cs="宋体"/>
        </w:rPr>
        <w:t>A</w:t>
      </w:r>
      <w:r>
        <w:rPr>
          <w:rFonts w:hAnsi="宋体" w:cs="宋体" w:hint="eastAsia"/>
        </w:rPr>
        <w:t>．</w:t>
      </w:r>
      <w:r>
        <w:rPr>
          <w:rFonts w:hAnsi="宋体" w:cs="宋体"/>
        </w:rPr>
        <w:t>5%</w:t>
      </w:r>
      <w:r>
        <w:rPr>
          <w:rFonts w:hAnsi="宋体" w:cs="宋体" w:hint="eastAsia"/>
        </w:rPr>
        <w:t>以下</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w:t>
      </w:r>
      <w:r>
        <w:rPr>
          <w:rFonts w:hAnsi="宋体" w:cs="宋体"/>
        </w:rPr>
        <w:t>5%</w:t>
      </w:r>
      <w:r>
        <w:rPr>
          <w:rFonts w:hAnsi="宋体" w:cs="宋体" w:hint="eastAsia"/>
        </w:rPr>
        <w:t>～</w:t>
      </w:r>
      <w:r>
        <w:rPr>
          <w:rFonts w:hAnsi="宋体" w:cs="宋体"/>
        </w:rPr>
        <w:t xml:space="preserve">10%   </w:t>
      </w:r>
    </w:p>
    <w:p w:rsidR="003717A0" w:rsidRDefault="003717A0">
      <w:pPr>
        <w:pStyle w:val="a9"/>
        <w:rPr>
          <w:rFonts w:hAnsi="宋体" w:cs="宋体"/>
        </w:rPr>
      </w:pPr>
      <w:r>
        <w:rPr>
          <w:rFonts w:hAnsi="宋体" w:cs="宋体"/>
        </w:rPr>
        <w:t>C</w:t>
      </w:r>
      <w:r>
        <w:rPr>
          <w:rFonts w:hAnsi="宋体" w:cs="宋体" w:hint="eastAsia"/>
        </w:rPr>
        <w:t>．</w:t>
      </w:r>
      <w:r>
        <w:rPr>
          <w:rFonts w:hAnsi="宋体" w:cs="宋体"/>
        </w:rPr>
        <w:t>10%</w:t>
      </w:r>
      <w:r>
        <w:rPr>
          <w:rFonts w:hAnsi="宋体" w:cs="宋体" w:hint="eastAsia"/>
        </w:rPr>
        <w:t>～</w:t>
      </w:r>
      <w:r>
        <w:rPr>
          <w:rFonts w:hAnsi="宋体" w:cs="宋体"/>
        </w:rPr>
        <w:t xml:space="preserve">15%   </w:t>
      </w:r>
    </w:p>
    <w:p w:rsidR="003717A0" w:rsidRDefault="003717A0">
      <w:pPr>
        <w:pStyle w:val="a9"/>
        <w:rPr>
          <w:rFonts w:hAnsi="宋体" w:cs="宋体"/>
        </w:rPr>
      </w:pPr>
      <w:r>
        <w:rPr>
          <w:rFonts w:hAnsi="宋体" w:cs="宋体"/>
        </w:rPr>
        <w:t>D</w:t>
      </w:r>
      <w:r>
        <w:rPr>
          <w:rFonts w:hAnsi="宋体" w:cs="宋体" w:hint="eastAsia"/>
        </w:rPr>
        <w:t>．</w:t>
      </w:r>
      <w:r>
        <w:rPr>
          <w:rFonts w:hAnsi="宋体" w:cs="宋体"/>
        </w:rPr>
        <w:t>15%</w:t>
      </w:r>
      <w:r>
        <w:rPr>
          <w:rFonts w:hAnsi="宋体" w:cs="宋体" w:hint="eastAsia"/>
        </w:rPr>
        <w:t>～</w:t>
      </w:r>
      <w:r>
        <w:rPr>
          <w:rFonts w:hAnsi="宋体" w:cs="宋体"/>
        </w:rPr>
        <w:t xml:space="preserve">20%   </w:t>
      </w:r>
    </w:p>
    <w:p w:rsidR="003717A0" w:rsidRDefault="003717A0">
      <w:pPr>
        <w:pStyle w:val="a9"/>
        <w:rPr>
          <w:rFonts w:hAnsi="宋体" w:cs="宋体"/>
        </w:rPr>
      </w:pPr>
      <w:r>
        <w:rPr>
          <w:rFonts w:hAnsi="宋体" w:cs="宋体"/>
        </w:rPr>
        <w:t>E</w:t>
      </w:r>
      <w:r>
        <w:rPr>
          <w:rFonts w:hAnsi="宋体" w:cs="宋体" w:hint="eastAsia"/>
        </w:rPr>
        <w:t>．</w:t>
      </w:r>
      <w:r>
        <w:rPr>
          <w:rFonts w:hAnsi="宋体" w:cs="宋体"/>
        </w:rPr>
        <w:t>&gt;20%</w:t>
      </w:r>
    </w:p>
    <w:p w:rsidR="003717A0" w:rsidRDefault="003717A0">
      <w:pPr>
        <w:pStyle w:val="a9"/>
        <w:rPr>
          <w:rFonts w:hAnsi="宋体" w:cs="宋体"/>
        </w:rPr>
      </w:pPr>
      <w:r>
        <w:t>10.</w:t>
      </w:r>
      <w:r>
        <w:rPr>
          <w:rFonts w:hAnsi="宋体" w:cs="宋体"/>
        </w:rPr>
        <w:t xml:space="preserve"> 5</w:t>
      </w:r>
      <w:r>
        <w:rPr>
          <w:rFonts w:hAnsi="宋体" w:cs="宋体" w:hint="eastAsia"/>
        </w:rPr>
        <w:t>个月婴儿，夜间烦躁不安，多汗，枕秃，有颅骨软化。血钙</w:t>
      </w:r>
      <w:r>
        <w:rPr>
          <w:rFonts w:hAnsi="宋体" w:cs="宋体"/>
        </w:rPr>
        <w:t xml:space="preserve"> 2mmol/L</w:t>
      </w:r>
      <w:r>
        <w:rPr>
          <w:rFonts w:hAnsi="宋体" w:cs="宋体" w:hint="eastAsia"/>
        </w:rPr>
        <w:t>（</w:t>
      </w:r>
      <w:r>
        <w:rPr>
          <w:rFonts w:hAnsi="宋体" w:cs="宋体"/>
        </w:rPr>
        <w:t>8mg</w:t>
      </w:r>
      <w:r>
        <w:rPr>
          <w:rFonts w:hAnsi="宋体" w:cs="宋体" w:hint="eastAsia"/>
        </w:rPr>
        <w:t>／</w:t>
      </w:r>
      <w:r>
        <w:rPr>
          <w:rFonts w:hAnsi="宋体" w:cs="宋体"/>
        </w:rPr>
        <w:t>dl</w:t>
      </w:r>
      <w:r>
        <w:rPr>
          <w:rFonts w:hAnsi="宋体" w:cs="宋体" w:hint="eastAsia"/>
        </w:rPr>
        <w:t>）、血磷</w:t>
      </w:r>
      <w:r>
        <w:rPr>
          <w:rFonts w:hAnsi="宋体" w:cs="宋体"/>
        </w:rPr>
        <w:t xml:space="preserve"> 1.0mmol/L</w:t>
      </w:r>
      <w:r>
        <w:rPr>
          <w:rFonts w:hAnsi="宋体" w:cs="宋体" w:hint="eastAsia"/>
        </w:rPr>
        <w:t>，碱性磷酸酶</w:t>
      </w:r>
      <w:r>
        <w:rPr>
          <w:rFonts w:hAnsi="宋体" w:cs="宋体"/>
        </w:rPr>
        <w:t xml:space="preserve"> 310U</w:t>
      </w:r>
      <w:r>
        <w:rPr>
          <w:rFonts w:hAnsi="宋体" w:cs="宋体" w:hint="eastAsia"/>
        </w:rPr>
        <w:t>／</w:t>
      </w:r>
      <w:r>
        <w:rPr>
          <w:rFonts w:hAnsi="宋体" w:cs="宋体"/>
        </w:rPr>
        <w:t>L</w:t>
      </w:r>
      <w:r>
        <w:rPr>
          <w:rFonts w:hAnsi="宋体" w:cs="宋体" w:hint="eastAsia"/>
        </w:rPr>
        <w:t>（金氏单位）。诊断及治疗应为下列哪组：</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．拘楼病活动早期，维生素</w:t>
      </w:r>
      <w:r>
        <w:rPr>
          <w:rFonts w:hAnsi="宋体" w:cs="宋体"/>
        </w:rPr>
        <w:t>D</w:t>
      </w:r>
      <w:r>
        <w:rPr>
          <w:rFonts w:hAnsi="宋体" w:cs="宋体" w:hint="eastAsia"/>
        </w:rPr>
        <w:t>治疗</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．佝偻病活动激期，维生素</w:t>
      </w:r>
      <w:r>
        <w:rPr>
          <w:rFonts w:hAnsi="宋体" w:cs="宋体"/>
        </w:rPr>
        <w:t>D</w:t>
      </w:r>
      <w:r>
        <w:rPr>
          <w:rFonts w:hAnsi="宋体" w:cs="宋体" w:hint="eastAsia"/>
        </w:rPr>
        <w:t>治疗</w:t>
      </w:r>
      <w:r>
        <w:rPr>
          <w:rFonts w:hAnsi="宋体" w:cs="宋体"/>
        </w:rPr>
        <w:t xml:space="preserve">   </w:t>
      </w:r>
    </w:p>
    <w:p w:rsidR="003717A0" w:rsidRDefault="003717A0">
      <w:pPr>
        <w:pStyle w:val="a9"/>
      </w:pPr>
      <w:r>
        <w:t>C</w:t>
      </w:r>
      <w:r>
        <w:rPr>
          <w:rFonts w:hint="eastAsia"/>
        </w:rPr>
        <w:t>．佝偻病恢复期，维生素</w:t>
      </w:r>
      <w:r>
        <w:t>D</w:t>
      </w:r>
      <w:r>
        <w:rPr>
          <w:rFonts w:hint="eastAsia"/>
        </w:rPr>
        <w:t>治疗</w:t>
      </w:r>
      <w:r>
        <w:t xml:space="preserve">         </w:t>
      </w:r>
    </w:p>
    <w:p w:rsidR="003717A0" w:rsidRDefault="003717A0">
      <w:pPr>
        <w:pStyle w:val="a9"/>
      </w:pPr>
      <w:r>
        <w:t>D</w:t>
      </w:r>
      <w:r>
        <w:rPr>
          <w:rFonts w:hint="eastAsia"/>
        </w:rPr>
        <w:t>．佝偻病恢复期，维生素</w:t>
      </w:r>
      <w:r>
        <w:t>D</w:t>
      </w:r>
      <w:r>
        <w:rPr>
          <w:rFonts w:hint="eastAsia"/>
        </w:rPr>
        <w:t>预防</w:t>
      </w:r>
      <w:r>
        <w:t xml:space="preserve"> </w:t>
      </w:r>
    </w:p>
    <w:p w:rsidR="003717A0" w:rsidRDefault="003717A0">
      <w:pPr>
        <w:pStyle w:val="a9"/>
      </w:pPr>
      <w:r>
        <w:t>E</w:t>
      </w:r>
      <w:r>
        <w:rPr>
          <w:rFonts w:hint="eastAsia"/>
        </w:rPr>
        <w:t>．佝偻病后遗症期，不需治疗</w:t>
      </w:r>
    </w:p>
    <w:p w:rsidR="003717A0" w:rsidRDefault="003717A0">
      <w:pPr>
        <w:pStyle w:val="a9"/>
        <w:rPr>
          <w:rFonts w:hAnsi="宋体" w:cs="宋体"/>
        </w:rPr>
      </w:pPr>
      <w:r>
        <w:rPr>
          <w:rFonts w:hAnsi="宋体" w:cs="宋体"/>
        </w:rPr>
        <w:t xml:space="preserve">11. </w:t>
      </w:r>
      <w:r>
        <w:rPr>
          <w:rFonts w:hAnsi="宋体" w:cs="宋体" w:hint="eastAsia"/>
        </w:rPr>
        <w:t>婴儿添加辅食应从：</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pPr>
      <w:r>
        <w:t>A</w:t>
      </w:r>
      <w:r>
        <w:rPr>
          <w:rFonts w:hint="eastAsia"/>
        </w:rPr>
        <w:t>．</w:t>
      </w:r>
      <w:r>
        <w:t>2</w:t>
      </w:r>
      <w:r>
        <w:rPr>
          <w:rFonts w:hint="eastAsia"/>
        </w:rPr>
        <w:t>～</w:t>
      </w:r>
      <w:r>
        <w:t>3</w:t>
      </w:r>
      <w:r>
        <w:rPr>
          <w:rFonts w:hint="eastAsia"/>
        </w:rPr>
        <w:t>个月开始</w:t>
      </w:r>
      <w:r>
        <w:t xml:space="preserve">   </w:t>
      </w:r>
    </w:p>
    <w:p w:rsidR="003717A0" w:rsidRDefault="003717A0">
      <w:pPr>
        <w:pStyle w:val="a9"/>
      </w:pPr>
      <w:r>
        <w:t>B</w:t>
      </w:r>
      <w:r>
        <w:rPr>
          <w:rFonts w:hint="eastAsia"/>
        </w:rPr>
        <w:t>．</w:t>
      </w:r>
      <w:r>
        <w:t>4</w:t>
      </w:r>
      <w:r>
        <w:rPr>
          <w:rFonts w:hint="eastAsia"/>
        </w:rPr>
        <w:t>～</w:t>
      </w:r>
      <w:r>
        <w:t>5</w:t>
      </w:r>
      <w:r>
        <w:rPr>
          <w:rFonts w:hint="eastAsia"/>
        </w:rPr>
        <w:t>个月开始</w:t>
      </w:r>
      <w:r>
        <w:t xml:space="preserve">     </w:t>
      </w:r>
    </w:p>
    <w:p w:rsidR="003717A0" w:rsidRDefault="003717A0">
      <w:pPr>
        <w:pStyle w:val="a9"/>
      </w:pPr>
      <w:r>
        <w:t>C</w:t>
      </w:r>
      <w:r>
        <w:rPr>
          <w:rFonts w:hint="eastAsia"/>
        </w:rPr>
        <w:t>．</w:t>
      </w:r>
      <w:r>
        <w:t>6</w:t>
      </w:r>
      <w:r>
        <w:rPr>
          <w:rFonts w:hint="eastAsia"/>
        </w:rPr>
        <w:t>～</w:t>
      </w:r>
      <w:r>
        <w:t>7</w:t>
      </w:r>
      <w:r>
        <w:rPr>
          <w:rFonts w:hint="eastAsia"/>
        </w:rPr>
        <w:t>个月开始</w:t>
      </w:r>
      <w:r>
        <w:t xml:space="preserve">   </w:t>
      </w:r>
    </w:p>
    <w:p w:rsidR="003717A0" w:rsidRDefault="003717A0">
      <w:pPr>
        <w:pStyle w:val="a9"/>
      </w:pPr>
      <w:r>
        <w:t>D</w:t>
      </w:r>
      <w:r>
        <w:rPr>
          <w:rFonts w:hint="eastAsia"/>
        </w:rPr>
        <w:t>．</w:t>
      </w:r>
      <w:r>
        <w:t>8</w:t>
      </w:r>
      <w:r>
        <w:rPr>
          <w:rFonts w:hint="eastAsia"/>
        </w:rPr>
        <w:t>～</w:t>
      </w:r>
      <w:r>
        <w:t>9</w:t>
      </w:r>
      <w:r>
        <w:rPr>
          <w:rFonts w:hint="eastAsia"/>
        </w:rPr>
        <w:t>个月开始</w:t>
      </w:r>
      <w:r>
        <w:t xml:space="preserve">   </w:t>
      </w:r>
    </w:p>
    <w:p w:rsidR="003717A0" w:rsidRDefault="003717A0">
      <w:pPr>
        <w:pStyle w:val="a9"/>
      </w:pPr>
      <w:r>
        <w:t>E</w:t>
      </w:r>
      <w:r>
        <w:rPr>
          <w:rFonts w:hint="eastAsia"/>
        </w:rPr>
        <w:t>．</w:t>
      </w:r>
      <w:r>
        <w:t>10</w:t>
      </w:r>
      <w:r>
        <w:rPr>
          <w:rFonts w:hint="eastAsia"/>
        </w:rPr>
        <w:t>个月以后开始</w:t>
      </w:r>
    </w:p>
    <w:p w:rsidR="003717A0" w:rsidRDefault="003717A0">
      <w:pPr>
        <w:pStyle w:val="a9"/>
        <w:rPr>
          <w:rFonts w:hAnsi="宋体" w:cs="宋体"/>
        </w:rPr>
      </w:pPr>
      <w:r>
        <w:rPr>
          <w:rFonts w:hAnsi="宋体" w:cs="宋体"/>
        </w:rPr>
        <w:t xml:space="preserve">12. </w:t>
      </w:r>
      <w:r>
        <w:rPr>
          <w:rFonts w:hAnsi="宋体" w:cs="宋体" w:hint="eastAsia"/>
        </w:rPr>
        <w:t>下列哪项是重度脱水的表现特点：</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．皮肤、口唇粘膜稍干燥</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．哭时泪少，尿量明显减少</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．心音低钝，血压下降，四肢厥冷</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．失水量为体重的</w:t>
      </w:r>
      <w:r>
        <w:rPr>
          <w:rFonts w:hAnsi="宋体" w:cs="宋体"/>
        </w:rPr>
        <w:t>5</w:t>
      </w:r>
      <w:r>
        <w:rPr>
          <w:rFonts w:hAnsi="宋体" w:cs="宋体" w:hint="eastAsia"/>
        </w:rPr>
        <w:t>％～</w:t>
      </w:r>
      <w:r>
        <w:rPr>
          <w:rFonts w:hAnsi="宋体" w:cs="宋体"/>
        </w:rPr>
        <w:t>10</w:t>
      </w:r>
      <w:r>
        <w:rPr>
          <w:rFonts w:hAnsi="宋体" w:cs="宋体" w:hint="eastAsia"/>
        </w:rPr>
        <w:t>％</w:t>
      </w:r>
      <w:r>
        <w:rPr>
          <w:rFonts w:hAnsi="宋体" w:cs="宋体"/>
        </w:rPr>
        <w:t xml:space="preserve">   </w:t>
      </w:r>
    </w:p>
    <w:p w:rsidR="003717A0" w:rsidRDefault="003717A0">
      <w:pPr>
        <w:pStyle w:val="a9"/>
      </w:pPr>
      <w:r>
        <w:rPr>
          <w:rFonts w:hAnsi="宋体" w:cs="宋体"/>
        </w:rPr>
        <w:t>E</w:t>
      </w:r>
      <w:r>
        <w:rPr>
          <w:rFonts w:hAnsi="宋体" w:cs="宋体" w:hint="eastAsia"/>
        </w:rPr>
        <w:t>．以上都不是</w:t>
      </w:r>
    </w:p>
    <w:p w:rsidR="003717A0" w:rsidRDefault="003717A0">
      <w:pPr>
        <w:pStyle w:val="a9"/>
        <w:rPr>
          <w:rFonts w:hAnsi="宋体" w:cs="宋体"/>
        </w:rPr>
      </w:pPr>
      <w:r>
        <w:rPr>
          <w:rFonts w:hAnsi="宋体" w:cs="宋体"/>
        </w:rPr>
        <w:t xml:space="preserve">13. </w:t>
      </w:r>
      <w:r>
        <w:rPr>
          <w:rFonts w:hAnsi="宋体" w:cs="宋体" w:hint="eastAsia"/>
        </w:rPr>
        <w:t>婴儿手足抽搐症惊厥发生时的紧急处理是：</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w:t>
      </w:r>
      <w:r>
        <w:rPr>
          <w:rFonts w:hAnsi="宋体" w:cs="宋体"/>
        </w:rPr>
        <w:t>10</w:t>
      </w:r>
      <w:r>
        <w:rPr>
          <w:rFonts w:hAnsi="宋体" w:cs="宋体" w:hint="eastAsia"/>
        </w:rPr>
        <w:t>％葡萄糖酸钙静注十维生素</w:t>
      </w:r>
      <w:r>
        <w:rPr>
          <w:rFonts w:hAnsi="宋体" w:cs="宋体"/>
        </w:rPr>
        <w:t>D3</w:t>
      </w:r>
      <w:r>
        <w:rPr>
          <w:rFonts w:hAnsi="宋体" w:cs="宋体" w:hint="eastAsia"/>
        </w:rPr>
        <w:t>肌注</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w:t>
      </w:r>
      <w:r>
        <w:rPr>
          <w:rFonts w:hAnsi="宋体" w:cs="宋体"/>
        </w:rPr>
        <w:t>10</w:t>
      </w:r>
      <w:r>
        <w:rPr>
          <w:rFonts w:hAnsi="宋体" w:cs="宋体" w:hint="eastAsia"/>
        </w:rPr>
        <w:t>％葡萄糖酸钙静注十脱水剂</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．静注</w:t>
      </w:r>
      <w:r>
        <w:rPr>
          <w:rFonts w:hAnsi="宋体" w:cs="宋体"/>
        </w:rPr>
        <w:t>10</w:t>
      </w:r>
      <w:r>
        <w:rPr>
          <w:rFonts w:hAnsi="宋体" w:cs="宋体" w:hint="eastAsia"/>
        </w:rPr>
        <w:t>％葡萄糖酸钙</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w:t>
      </w:r>
      <w:r>
        <w:rPr>
          <w:rFonts w:hAnsi="宋体" w:cs="宋体"/>
        </w:rPr>
        <w:t>10</w:t>
      </w:r>
      <w:r>
        <w:rPr>
          <w:rFonts w:hAnsi="宋体" w:cs="宋体" w:hint="eastAsia"/>
        </w:rPr>
        <w:t>％葡萄糖酸钙静注十吸氧</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．苯巴比妥</w:t>
      </w:r>
      <w:r>
        <w:rPr>
          <w:rFonts w:hAnsi="宋体" w:cs="宋体"/>
        </w:rPr>
        <w:t xml:space="preserve"> </w:t>
      </w:r>
      <w:r>
        <w:rPr>
          <w:rFonts w:hAnsi="宋体" w:cs="宋体" w:hint="eastAsia"/>
        </w:rPr>
        <w:t>十</w:t>
      </w:r>
      <w:r>
        <w:rPr>
          <w:rFonts w:hAnsi="宋体" w:cs="宋体"/>
        </w:rPr>
        <w:t xml:space="preserve"> 10</w:t>
      </w:r>
      <w:r>
        <w:rPr>
          <w:rFonts w:hAnsi="宋体" w:cs="宋体" w:hint="eastAsia"/>
        </w:rPr>
        <w:t>％葡萄糖酸钙静注</w:t>
      </w:r>
    </w:p>
    <w:p w:rsidR="003717A0" w:rsidRDefault="003717A0">
      <w:pPr>
        <w:pStyle w:val="a9"/>
        <w:rPr>
          <w:rFonts w:hAnsi="宋体" w:cs="宋体"/>
        </w:rPr>
      </w:pPr>
      <w:r>
        <w:t xml:space="preserve">14. </w:t>
      </w:r>
      <w:r>
        <w:rPr>
          <w:rFonts w:hAnsi="宋体" w:cs="宋体" w:hint="eastAsia"/>
        </w:rPr>
        <w:t>预防保健的内容包括：</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．增强体质，杜绝疾病的侵袭</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．及时于无症状期发现疾病</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．早期、彻底治疗疾病</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．促进健康、避免并发症及后遗症</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．以上都是</w:t>
      </w:r>
    </w:p>
    <w:p w:rsidR="003717A0" w:rsidRDefault="003717A0">
      <w:pPr>
        <w:pStyle w:val="a9"/>
      </w:pPr>
      <w:r>
        <w:lastRenderedPageBreak/>
        <w:t>15.</w:t>
      </w:r>
      <w:r>
        <w:rPr>
          <w:rFonts w:hAnsi="宋体" w:cs="宋体"/>
        </w:rPr>
        <w:t xml:space="preserve"> </w:t>
      </w:r>
      <w:r>
        <w:rPr>
          <w:rFonts w:hAnsi="宋体" w:cs="宋体" w:hint="eastAsia"/>
        </w:rPr>
        <w:t>先天性心脏畸形的形成主要在：</w:t>
      </w:r>
      <w:r>
        <w:rPr>
          <w:rFonts w:hAnsi="宋体" w:cs="宋体"/>
        </w:rPr>
        <w:t xml:space="preserve"> </w:t>
      </w:r>
      <w:r>
        <w:rPr>
          <w:rFonts w:hint="eastAsia"/>
        </w:rPr>
        <w:t>（</w:t>
      </w:r>
      <w:r>
        <w:t xml:space="preserve">    </w:t>
      </w:r>
      <w:r>
        <w:rPr>
          <w:rFonts w:hint="eastAsia"/>
        </w:rPr>
        <w:t>）</w:t>
      </w:r>
    </w:p>
    <w:p w:rsidR="003717A0" w:rsidRDefault="003717A0">
      <w:pPr>
        <w:pStyle w:val="a9"/>
        <w:rPr>
          <w:rFonts w:hAnsi="宋体" w:cs="宋体"/>
        </w:rPr>
      </w:pPr>
      <w:r>
        <w:rPr>
          <w:rFonts w:hAnsi="宋体" w:cs="宋体"/>
        </w:rPr>
        <w:t>A</w:t>
      </w:r>
      <w:r>
        <w:rPr>
          <w:rFonts w:hAnsi="宋体" w:cs="宋体" w:hint="eastAsia"/>
        </w:rPr>
        <w:t>．胚胎第</w:t>
      </w:r>
      <w:r>
        <w:rPr>
          <w:rFonts w:hAnsi="宋体" w:cs="宋体"/>
        </w:rPr>
        <w:t>2</w:t>
      </w:r>
      <w:r>
        <w:rPr>
          <w:rFonts w:hAnsi="宋体" w:cs="宋体" w:hint="eastAsia"/>
        </w:rPr>
        <w:t>～</w:t>
      </w:r>
      <w:r>
        <w:rPr>
          <w:rFonts w:hAnsi="宋体" w:cs="宋体"/>
        </w:rPr>
        <w:t>4</w:t>
      </w:r>
      <w:r>
        <w:rPr>
          <w:rFonts w:hAnsi="宋体" w:cs="宋体" w:hint="eastAsia"/>
        </w:rPr>
        <w:t>周</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．胚胎第</w:t>
      </w:r>
      <w:r>
        <w:rPr>
          <w:rFonts w:hAnsi="宋体" w:cs="宋体"/>
        </w:rPr>
        <w:t>4</w:t>
      </w:r>
      <w:r>
        <w:rPr>
          <w:rFonts w:hAnsi="宋体" w:cs="宋体" w:hint="eastAsia"/>
        </w:rPr>
        <w:t>～</w:t>
      </w:r>
      <w:r>
        <w:rPr>
          <w:rFonts w:hAnsi="宋体" w:cs="宋体"/>
        </w:rPr>
        <w:t>8</w:t>
      </w:r>
      <w:r>
        <w:rPr>
          <w:rFonts w:hAnsi="宋体" w:cs="宋体" w:hint="eastAsia"/>
        </w:rPr>
        <w:t>周</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．胚胎第</w:t>
      </w:r>
      <w:r>
        <w:rPr>
          <w:rFonts w:hAnsi="宋体" w:cs="宋体"/>
        </w:rPr>
        <w:t>3-8</w:t>
      </w:r>
      <w:r>
        <w:rPr>
          <w:rFonts w:hAnsi="宋体" w:cs="宋体" w:hint="eastAsia"/>
        </w:rPr>
        <w:t>周</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．胚胎第</w:t>
      </w:r>
      <w:r>
        <w:rPr>
          <w:rFonts w:hAnsi="宋体" w:cs="宋体"/>
        </w:rPr>
        <w:t>2</w:t>
      </w:r>
      <w:r>
        <w:rPr>
          <w:rFonts w:hAnsi="宋体" w:cs="宋体" w:hint="eastAsia"/>
        </w:rPr>
        <w:t>～</w:t>
      </w:r>
      <w:r>
        <w:rPr>
          <w:rFonts w:hAnsi="宋体" w:cs="宋体"/>
        </w:rPr>
        <w:t>8</w:t>
      </w:r>
      <w:r>
        <w:rPr>
          <w:rFonts w:hAnsi="宋体" w:cs="宋体" w:hint="eastAsia"/>
        </w:rPr>
        <w:t>周</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．胚胎第</w:t>
      </w:r>
      <w:r>
        <w:rPr>
          <w:rFonts w:hAnsi="宋体" w:cs="宋体"/>
        </w:rPr>
        <w:t>6</w:t>
      </w:r>
      <w:r>
        <w:rPr>
          <w:rFonts w:hAnsi="宋体" w:cs="宋体" w:hint="eastAsia"/>
        </w:rPr>
        <w:t>～</w:t>
      </w:r>
      <w:r>
        <w:rPr>
          <w:rFonts w:hAnsi="宋体" w:cs="宋体"/>
        </w:rPr>
        <w:t>8</w:t>
      </w:r>
      <w:r>
        <w:rPr>
          <w:rFonts w:hAnsi="宋体" w:cs="宋体" w:hint="eastAsia"/>
        </w:rPr>
        <w:t>周</w:t>
      </w:r>
    </w:p>
    <w:p w:rsidR="003717A0" w:rsidRDefault="003717A0">
      <w:pPr>
        <w:pStyle w:val="a9"/>
        <w:rPr>
          <w:rFonts w:hAnsi="宋体" w:cs="宋体"/>
        </w:rPr>
      </w:pPr>
      <w:r>
        <w:rPr>
          <w:rFonts w:hAnsi="宋体" w:cs="宋体"/>
        </w:rPr>
        <w:t xml:space="preserve">16. </w:t>
      </w:r>
      <w:r>
        <w:rPr>
          <w:rFonts w:hAnsi="宋体" w:cs="宋体" w:hint="eastAsia"/>
        </w:rPr>
        <w:t>儿童肾病综合征最常见的病理类型为：</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．微小病变</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．膜性肾病</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．系膜增生性肾小球肾炎</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．局灶性节段性肾小球肾炎</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．新月体性肾小球</w:t>
      </w:r>
      <w:r>
        <w:rPr>
          <w:rFonts w:hAnsi="宋体" w:cs="宋体"/>
        </w:rPr>
        <w:t>'</w:t>
      </w:r>
      <w:r>
        <w:rPr>
          <w:rFonts w:hAnsi="宋体" w:cs="宋体" w:hint="eastAsia"/>
        </w:rPr>
        <w:t>肾炎</w:t>
      </w:r>
    </w:p>
    <w:p w:rsidR="003717A0" w:rsidRDefault="003717A0">
      <w:pPr>
        <w:pStyle w:val="a9"/>
        <w:rPr>
          <w:rFonts w:hAnsi="宋体" w:cs="宋体"/>
        </w:rPr>
      </w:pPr>
      <w:r>
        <w:rPr>
          <w:rFonts w:hAnsi="宋体" w:cs="宋体"/>
        </w:rPr>
        <w:t xml:space="preserve">17. </w:t>
      </w:r>
      <w:r>
        <w:rPr>
          <w:rFonts w:hAnsi="宋体" w:cs="宋体" w:hint="eastAsia"/>
        </w:rPr>
        <w:t>急性肾炎水肿多由何处开始：</w:t>
      </w:r>
      <w:r>
        <w:rPr>
          <w:rFonts w:hAnsi="宋体" w:cs="宋体"/>
        </w:rPr>
        <w:t xml:space="preserve">  </w:t>
      </w:r>
      <w:r>
        <w:rPr>
          <w:rFonts w:hint="eastAsia"/>
        </w:rPr>
        <w:t>（</w:t>
      </w:r>
      <w:r>
        <w:t xml:space="preserve">    </w:t>
      </w:r>
      <w:r>
        <w:rPr>
          <w:rFonts w:hint="eastAsia"/>
        </w:rPr>
        <w:t>）</w:t>
      </w:r>
    </w:p>
    <w:p w:rsidR="003717A0" w:rsidRDefault="003717A0">
      <w:pPr>
        <w:pStyle w:val="a9"/>
      </w:pPr>
      <w:r>
        <w:t>A</w:t>
      </w:r>
      <w:r>
        <w:rPr>
          <w:rFonts w:hint="eastAsia"/>
        </w:rPr>
        <w:t>．眼睑</w:t>
      </w:r>
      <w:r>
        <w:t xml:space="preserve">   </w:t>
      </w:r>
    </w:p>
    <w:p w:rsidR="003717A0" w:rsidRDefault="003717A0">
      <w:pPr>
        <w:pStyle w:val="a9"/>
      </w:pPr>
      <w:r>
        <w:t>B</w:t>
      </w:r>
      <w:r>
        <w:rPr>
          <w:rFonts w:hint="eastAsia"/>
        </w:rPr>
        <w:t>．面部</w:t>
      </w:r>
      <w:r>
        <w:t xml:space="preserve">     </w:t>
      </w:r>
    </w:p>
    <w:p w:rsidR="003717A0" w:rsidRDefault="003717A0">
      <w:pPr>
        <w:pStyle w:val="a9"/>
      </w:pPr>
      <w:r>
        <w:t>C</w:t>
      </w:r>
      <w:r>
        <w:rPr>
          <w:rFonts w:hint="eastAsia"/>
        </w:rPr>
        <w:t>．踝部</w:t>
      </w:r>
      <w:r>
        <w:t xml:space="preserve">   </w:t>
      </w:r>
    </w:p>
    <w:p w:rsidR="003717A0" w:rsidRDefault="003717A0">
      <w:pPr>
        <w:pStyle w:val="a9"/>
      </w:pPr>
      <w:r>
        <w:t>D</w:t>
      </w:r>
      <w:r>
        <w:rPr>
          <w:rFonts w:hint="eastAsia"/>
        </w:rPr>
        <w:t>．腹部</w:t>
      </w:r>
      <w:r>
        <w:t xml:space="preserve">   </w:t>
      </w:r>
    </w:p>
    <w:p w:rsidR="003717A0" w:rsidRDefault="003717A0">
      <w:pPr>
        <w:pStyle w:val="a9"/>
      </w:pPr>
      <w:r>
        <w:t>E</w:t>
      </w:r>
      <w:r>
        <w:rPr>
          <w:rFonts w:hint="eastAsia"/>
        </w:rPr>
        <w:t>．下肢</w:t>
      </w:r>
    </w:p>
    <w:p w:rsidR="003717A0" w:rsidRDefault="003717A0">
      <w:pPr>
        <w:pStyle w:val="a9"/>
      </w:pPr>
      <w:r>
        <w:t>18. 5</w:t>
      </w:r>
      <w:r>
        <w:rPr>
          <w:rFonts w:hint="eastAsia"/>
        </w:rPr>
        <w:t>岁女孩，高热，咽痛，眼部刺痛。查体：咽部充血，一侧眼球结膜炎，可能的诊断是：（</w:t>
      </w:r>
      <w:r>
        <w:t xml:space="preserve">    </w:t>
      </w:r>
      <w:r>
        <w:rPr>
          <w:rFonts w:hint="eastAsia"/>
        </w:rPr>
        <w:t>）</w:t>
      </w:r>
      <w:r>
        <w:t xml:space="preserve">   </w:t>
      </w:r>
    </w:p>
    <w:p w:rsidR="003717A0" w:rsidRDefault="003717A0">
      <w:pPr>
        <w:pStyle w:val="a9"/>
      </w:pPr>
      <w:r>
        <w:t>A</w:t>
      </w:r>
      <w:r>
        <w:rPr>
          <w:rFonts w:hint="eastAsia"/>
        </w:rPr>
        <w:t>．咽结合膜热</w:t>
      </w:r>
      <w:r>
        <w:t xml:space="preserve">   B</w:t>
      </w:r>
      <w:r>
        <w:rPr>
          <w:rFonts w:hint="eastAsia"/>
        </w:rPr>
        <w:t>．红眼病</w:t>
      </w:r>
      <w:r>
        <w:t xml:space="preserve">     C</w:t>
      </w:r>
      <w:r>
        <w:rPr>
          <w:rFonts w:hint="eastAsia"/>
        </w:rPr>
        <w:t>．川崎病</w:t>
      </w:r>
      <w:r>
        <w:t xml:space="preserve">   D</w:t>
      </w:r>
      <w:r>
        <w:rPr>
          <w:rFonts w:hint="eastAsia"/>
        </w:rPr>
        <w:t>．流行性感冒</w:t>
      </w:r>
      <w:r>
        <w:t xml:space="preserve">   E</w:t>
      </w:r>
      <w:r>
        <w:rPr>
          <w:rFonts w:hint="eastAsia"/>
        </w:rPr>
        <w:t>．疱疹性咽炎</w:t>
      </w:r>
    </w:p>
    <w:p w:rsidR="003717A0" w:rsidRDefault="003717A0">
      <w:pPr>
        <w:pStyle w:val="a9"/>
        <w:rPr>
          <w:rFonts w:hAnsi="宋体" w:cs="宋体"/>
        </w:rPr>
      </w:pPr>
      <w:r>
        <w:rPr>
          <w:rFonts w:hAnsi="宋体" w:cs="宋体"/>
        </w:rPr>
        <w:t xml:space="preserve">19. </w:t>
      </w:r>
      <w:r>
        <w:rPr>
          <w:rFonts w:hAnsi="宋体" w:cs="宋体" w:hint="eastAsia"/>
        </w:rPr>
        <w:t>室间隔缺损的典型杂音是：</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．胸骨左缘第</w:t>
      </w:r>
      <w:r>
        <w:rPr>
          <w:rFonts w:hAnsi="宋体" w:cs="宋体"/>
        </w:rPr>
        <w:t>2</w:t>
      </w:r>
      <w:r>
        <w:rPr>
          <w:rFonts w:hAnsi="宋体" w:cs="宋体" w:hint="eastAsia"/>
        </w:rPr>
        <w:t>肋间收缩期杂音</w:t>
      </w:r>
      <w:r>
        <w:rPr>
          <w:rFonts w:hAnsi="宋体" w:cs="宋体"/>
        </w:rPr>
        <w:t>2</w:t>
      </w:r>
      <w:r>
        <w:rPr>
          <w:rFonts w:hAnsi="宋体" w:cs="宋体" w:hint="eastAsia"/>
        </w:rPr>
        <w:t>级</w:t>
      </w:r>
      <w:r>
        <w:rPr>
          <w:rFonts w:hAnsi="宋体" w:cs="宋体"/>
        </w:rPr>
        <w:t xml:space="preserve">    B</w:t>
      </w:r>
      <w:r>
        <w:rPr>
          <w:rFonts w:hAnsi="宋体" w:cs="宋体" w:hint="eastAsia"/>
        </w:rPr>
        <w:t>．胸骨左缘第</w:t>
      </w:r>
      <w:r>
        <w:rPr>
          <w:rFonts w:hAnsi="宋体" w:cs="宋体"/>
        </w:rPr>
        <w:t>2</w:t>
      </w:r>
      <w:r>
        <w:rPr>
          <w:rFonts w:hAnsi="宋体" w:cs="宋体" w:hint="eastAsia"/>
        </w:rPr>
        <w:t>肋间收缩期杂音</w:t>
      </w:r>
      <w:r>
        <w:rPr>
          <w:rFonts w:hAnsi="宋体" w:cs="宋体"/>
        </w:rPr>
        <w:t>3</w:t>
      </w:r>
      <w:r>
        <w:rPr>
          <w:rFonts w:hAnsi="宋体" w:cs="宋体" w:hint="eastAsia"/>
        </w:rPr>
        <w:t>级</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．胸骨左缘第</w:t>
      </w:r>
      <w:r>
        <w:rPr>
          <w:rFonts w:hAnsi="宋体" w:cs="宋体"/>
        </w:rPr>
        <w:t>3</w:t>
      </w:r>
      <w:r>
        <w:rPr>
          <w:rFonts w:hAnsi="宋体" w:cs="宋体" w:hint="eastAsia"/>
        </w:rPr>
        <w:t>～</w:t>
      </w:r>
      <w:r>
        <w:rPr>
          <w:rFonts w:hAnsi="宋体" w:cs="宋体"/>
        </w:rPr>
        <w:t>4</w:t>
      </w:r>
      <w:r>
        <w:rPr>
          <w:rFonts w:hAnsi="宋体" w:cs="宋体" w:hint="eastAsia"/>
        </w:rPr>
        <w:t>肋间收缩期杂音</w:t>
      </w:r>
      <w:r>
        <w:rPr>
          <w:rFonts w:hAnsi="宋体" w:cs="宋体"/>
        </w:rPr>
        <w:t>3</w:t>
      </w:r>
      <w:r>
        <w:rPr>
          <w:rFonts w:hAnsi="宋体" w:cs="宋体" w:hint="eastAsia"/>
        </w:rPr>
        <w:t>级以上</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．胸骨左缘第</w:t>
      </w:r>
      <w:r>
        <w:rPr>
          <w:rFonts w:hAnsi="宋体" w:cs="宋体"/>
        </w:rPr>
        <w:t>3</w:t>
      </w:r>
      <w:r>
        <w:rPr>
          <w:rFonts w:hAnsi="宋体" w:cs="宋体" w:hint="eastAsia"/>
        </w:rPr>
        <w:t>～</w:t>
      </w:r>
      <w:r>
        <w:rPr>
          <w:rFonts w:hAnsi="宋体" w:cs="宋体"/>
        </w:rPr>
        <w:t>4</w:t>
      </w:r>
      <w:r>
        <w:rPr>
          <w:rFonts w:hAnsi="宋体" w:cs="宋体" w:hint="eastAsia"/>
        </w:rPr>
        <w:t>肋间缩张期杂音</w:t>
      </w:r>
      <w:r>
        <w:rPr>
          <w:rFonts w:hAnsi="宋体" w:cs="宋体"/>
        </w:rPr>
        <w:t>3</w:t>
      </w:r>
      <w:r>
        <w:rPr>
          <w:rFonts w:hAnsi="宋体" w:cs="宋体" w:hint="eastAsia"/>
        </w:rPr>
        <w:t>级以上</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．胸骨左缘第</w:t>
      </w:r>
      <w:r>
        <w:rPr>
          <w:rFonts w:hAnsi="宋体" w:cs="宋体"/>
        </w:rPr>
        <w:t>3</w:t>
      </w:r>
      <w:r>
        <w:rPr>
          <w:rFonts w:hAnsi="宋体" w:cs="宋体" w:hint="eastAsia"/>
        </w:rPr>
        <w:t>～</w:t>
      </w:r>
      <w:r>
        <w:rPr>
          <w:rFonts w:hAnsi="宋体" w:cs="宋体"/>
        </w:rPr>
        <w:t>4</w:t>
      </w:r>
      <w:r>
        <w:rPr>
          <w:rFonts w:hAnsi="宋体" w:cs="宋体" w:hint="eastAsia"/>
        </w:rPr>
        <w:t>肋间全收缩期杂音</w:t>
      </w:r>
      <w:r>
        <w:rPr>
          <w:rFonts w:hAnsi="宋体" w:cs="宋体"/>
        </w:rPr>
        <w:t>2</w:t>
      </w:r>
      <w:r>
        <w:rPr>
          <w:rFonts w:hAnsi="宋体" w:cs="宋体" w:hint="eastAsia"/>
        </w:rPr>
        <w:t>级以上</w:t>
      </w:r>
    </w:p>
    <w:p w:rsidR="003717A0" w:rsidRDefault="003717A0">
      <w:r>
        <w:rPr>
          <w:rFonts w:hAnsi="宋体" w:cs="宋体"/>
        </w:rPr>
        <w:t>20.</w:t>
      </w:r>
      <w:r>
        <w:t xml:space="preserve"> </w:t>
      </w:r>
      <w:r>
        <w:rPr>
          <w:rFonts w:hint="eastAsia"/>
        </w:rPr>
        <w:t>小儿药物剂量的计算最常用的方法是</w:t>
      </w:r>
      <w:r>
        <w:t xml:space="preserve"> </w:t>
      </w:r>
      <w:r>
        <w:rPr>
          <w:rFonts w:hint="eastAsia"/>
        </w:rPr>
        <w:t>：（</w:t>
      </w:r>
      <w:r>
        <w:t xml:space="preserve">    </w:t>
      </w:r>
      <w:r>
        <w:rPr>
          <w:rFonts w:hint="eastAsia"/>
        </w:rPr>
        <w:t>）</w:t>
      </w:r>
      <w:r>
        <w:t xml:space="preserve">  </w:t>
      </w:r>
    </w:p>
    <w:p w:rsidR="003717A0" w:rsidRDefault="003717A0">
      <w:pPr>
        <w:pStyle w:val="a9"/>
        <w:rPr>
          <w:rFonts w:hAnsi="宋体" w:cs="宋体"/>
        </w:rPr>
      </w:pPr>
      <w:r>
        <w:t xml:space="preserve">A. </w:t>
      </w:r>
      <w:r>
        <w:rPr>
          <w:rFonts w:hAnsi="宋体" w:cs="宋体" w:hint="eastAsia"/>
        </w:rPr>
        <w:t>按体表面积计算</w:t>
      </w:r>
      <w:r>
        <w:rPr>
          <w:rFonts w:hAnsi="宋体" w:cs="宋体"/>
        </w:rPr>
        <w:t xml:space="preserve">     </w:t>
      </w:r>
    </w:p>
    <w:p w:rsidR="003717A0" w:rsidRDefault="003717A0">
      <w:pPr>
        <w:pStyle w:val="a9"/>
        <w:rPr>
          <w:rFonts w:hAnsi="宋体" w:cs="宋体"/>
        </w:rPr>
      </w:pPr>
      <w:r>
        <w:rPr>
          <w:rFonts w:hAnsi="宋体" w:cs="宋体"/>
        </w:rPr>
        <w:t xml:space="preserve">B. </w:t>
      </w:r>
      <w:r>
        <w:rPr>
          <w:rFonts w:hAnsi="宋体" w:cs="宋体" w:hint="eastAsia"/>
        </w:rPr>
        <w:t>按年龄计算</w:t>
      </w:r>
      <w:r>
        <w:rPr>
          <w:rFonts w:hAnsi="宋体" w:cs="宋体"/>
        </w:rPr>
        <w:t xml:space="preserve">     </w:t>
      </w:r>
    </w:p>
    <w:p w:rsidR="003717A0" w:rsidRDefault="003717A0">
      <w:pPr>
        <w:pStyle w:val="a9"/>
        <w:rPr>
          <w:rFonts w:hAnsi="宋体" w:cs="宋体"/>
        </w:rPr>
      </w:pPr>
      <w:r>
        <w:rPr>
          <w:rFonts w:hAnsi="宋体" w:cs="宋体"/>
        </w:rPr>
        <w:t xml:space="preserve">C. </w:t>
      </w:r>
      <w:r>
        <w:rPr>
          <w:rFonts w:hAnsi="宋体" w:cs="宋体" w:hint="eastAsia"/>
        </w:rPr>
        <w:t>根据成人剂量计算</w:t>
      </w:r>
      <w:r>
        <w:rPr>
          <w:rFonts w:hAnsi="宋体" w:cs="宋体"/>
        </w:rPr>
        <w:t xml:space="preserve">     </w:t>
      </w:r>
    </w:p>
    <w:p w:rsidR="003717A0" w:rsidRDefault="003717A0">
      <w:pPr>
        <w:pStyle w:val="a9"/>
        <w:rPr>
          <w:rFonts w:hAnsi="宋体" w:cs="宋体"/>
        </w:rPr>
      </w:pPr>
      <w:r>
        <w:rPr>
          <w:rFonts w:hAnsi="宋体" w:cs="宋体"/>
        </w:rPr>
        <w:t xml:space="preserve">D. </w:t>
      </w:r>
      <w:r>
        <w:rPr>
          <w:rFonts w:hAnsi="宋体" w:cs="宋体" w:hint="eastAsia"/>
        </w:rPr>
        <w:t>按体重计算</w:t>
      </w:r>
      <w:r>
        <w:rPr>
          <w:rFonts w:hAnsi="宋体" w:cs="宋体"/>
        </w:rPr>
        <w:t xml:space="preserve">     </w:t>
      </w:r>
    </w:p>
    <w:p w:rsidR="003717A0" w:rsidRDefault="003717A0">
      <w:pPr>
        <w:pStyle w:val="a9"/>
        <w:rPr>
          <w:rFonts w:hAnsi="宋体" w:cs="宋体"/>
        </w:rPr>
      </w:pPr>
      <w:r>
        <w:rPr>
          <w:rFonts w:hAnsi="宋体" w:cs="宋体"/>
        </w:rPr>
        <w:t xml:space="preserve">E. </w:t>
      </w:r>
      <w:r>
        <w:rPr>
          <w:rFonts w:hAnsi="宋体" w:cs="宋体" w:hint="eastAsia"/>
        </w:rPr>
        <w:t>采用成人的</w:t>
      </w:r>
      <w:r>
        <w:rPr>
          <w:rFonts w:hAnsi="宋体" w:cs="宋体"/>
        </w:rPr>
        <w:t>1/4</w:t>
      </w:r>
      <w:r>
        <w:rPr>
          <w:rFonts w:hAnsi="宋体" w:cs="宋体" w:hint="eastAsia"/>
        </w:rPr>
        <w:t>量</w:t>
      </w:r>
    </w:p>
    <w:p w:rsidR="003717A0" w:rsidRDefault="003717A0">
      <w:pPr>
        <w:pStyle w:val="a9"/>
        <w:rPr>
          <w:rFonts w:hAnsi="宋体" w:cs="宋体"/>
        </w:rPr>
      </w:pPr>
      <w:r>
        <w:t>21.</w:t>
      </w:r>
      <w:r>
        <w:rPr>
          <w:rFonts w:hAnsi="宋体" w:cs="宋体"/>
        </w:rPr>
        <w:t xml:space="preserve"> </w:t>
      </w:r>
      <w:r>
        <w:rPr>
          <w:rFonts w:hAnsi="宋体" w:cs="宋体" w:hint="eastAsia"/>
        </w:rPr>
        <w:t>青春期发育特点是：</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．体格生长加快</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．神经发育成熟</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．内分泌调节稳定</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．免疫功能进一步增强</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．生殖系统迅速发育，并趋向成熟</w:t>
      </w:r>
    </w:p>
    <w:p w:rsidR="003717A0" w:rsidRDefault="003717A0">
      <w:r>
        <w:rPr>
          <w:rFonts w:hAnsi="宋体" w:cs="宋体"/>
        </w:rPr>
        <w:t>22.</w:t>
      </w:r>
      <w:r>
        <w:t xml:space="preserve"> </w:t>
      </w:r>
      <w:r>
        <w:rPr>
          <w:rFonts w:hint="eastAsia"/>
        </w:rPr>
        <w:t>小儿体检顺序灵活，最后检查的部位是：（</w:t>
      </w:r>
      <w:r>
        <w:t xml:space="preserve">    </w:t>
      </w:r>
      <w:r>
        <w:rPr>
          <w:rFonts w:hint="eastAsia"/>
        </w:rPr>
        <w:t>）</w:t>
      </w:r>
      <w:r>
        <w:t xml:space="preserve">  </w:t>
      </w:r>
    </w:p>
    <w:p w:rsidR="003717A0" w:rsidRDefault="003717A0">
      <w:pPr>
        <w:pStyle w:val="a9"/>
        <w:rPr>
          <w:rFonts w:hAnsi="宋体" w:cs="宋体"/>
        </w:rPr>
      </w:pPr>
      <w:r>
        <w:t>A</w:t>
      </w:r>
      <w:r>
        <w:rPr>
          <w:rFonts w:hint="eastAsia"/>
        </w:rPr>
        <w:t>．</w:t>
      </w:r>
      <w:r>
        <w:rPr>
          <w:rFonts w:hAnsi="宋体" w:cs="宋体" w:hint="eastAsia"/>
        </w:rPr>
        <w:t>心</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．头部</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．口腔</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．神经系统</w:t>
      </w:r>
      <w:r>
        <w:rPr>
          <w:rFonts w:hAnsi="宋体" w:cs="宋体"/>
        </w:rPr>
        <w:t xml:space="preserve">   </w:t>
      </w:r>
    </w:p>
    <w:p w:rsidR="003717A0" w:rsidRDefault="003717A0">
      <w:pPr>
        <w:pStyle w:val="a9"/>
        <w:rPr>
          <w:rFonts w:hAnsi="宋体" w:cs="宋体"/>
        </w:rPr>
      </w:pPr>
      <w:r>
        <w:rPr>
          <w:rFonts w:hAnsi="宋体" w:cs="宋体"/>
        </w:rPr>
        <w:t>E</w:t>
      </w:r>
      <w:r>
        <w:rPr>
          <w:rFonts w:hAnsi="宋体" w:cs="宋体" w:hint="eastAsia"/>
        </w:rPr>
        <w:t>．腹部</w:t>
      </w:r>
    </w:p>
    <w:p w:rsidR="003717A0" w:rsidRDefault="003717A0">
      <w:r>
        <w:rPr>
          <w:rFonts w:hAnsi="宋体" w:cs="宋体"/>
        </w:rPr>
        <w:t>23.</w:t>
      </w:r>
      <w:r>
        <w:t xml:space="preserve"> </w:t>
      </w:r>
      <w:r>
        <w:rPr>
          <w:rFonts w:hint="eastAsia"/>
        </w:rPr>
        <w:t>一般来说头围等于胸围的年龄是</w:t>
      </w:r>
      <w:r>
        <w:t xml:space="preserve"> </w:t>
      </w:r>
      <w:r>
        <w:rPr>
          <w:rFonts w:hint="eastAsia"/>
        </w:rPr>
        <w:t>：</w:t>
      </w:r>
      <w:r>
        <w:t xml:space="preserve">  </w:t>
      </w:r>
    </w:p>
    <w:p w:rsidR="003717A0" w:rsidRDefault="003717A0">
      <w:pPr>
        <w:pStyle w:val="a9"/>
      </w:pPr>
      <w:r>
        <w:lastRenderedPageBreak/>
        <w:t>A. 6</w:t>
      </w:r>
      <w:r>
        <w:rPr>
          <w:rFonts w:hint="eastAsia"/>
        </w:rPr>
        <w:t>个月</w:t>
      </w:r>
      <w:r>
        <w:t xml:space="preserve">      </w:t>
      </w:r>
    </w:p>
    <w:p w:rsidR="003717A0" w:rsidRDefault="003717A0">
      <w:pPr>
        <w:pStyle w:val="a9"/>
      </w:pPr>
      <w:r>
        <w:t>B. 1</w:t>
      </w:r>
      <w:r>
        <w:rPr>
          <w:rFonts w:hint="eastAsia"/>
        </w:rPr>
        <w:t>岁</w:t>
      </w:r>
      <w:r>
        <w:t xml:space="preserve">      </w:t>
      </w:r>
    </w:p>
    <w:p w:rsidR="003717A0" w:rsidRDefault="003717A0">
      <w:pPr>
        <w:pStyle w:val="a9"/>
      </w:pPr>
      <w:r>
        <w:t>C. 1</w:t>
      </w:r>
      <w:r>
        <w:rPr>
          <w:rFonts w:hint="eastAsia"/>
        </w:rPr>
        <w:t>岁半</w:t>
      </w:r>
      <w:r>
        <w:t xml:space="preserve">      </w:t>
      </w:r>
    </w:p>
    <w:p w:rsidR="003717A0" w:rsidRDefault="003717A0">
      <w:pPr>
        <w:pStyle w:val="a9"/>
      </w:pPr>
      <w:r>
        <w:t>D. 2</w:t>
      </w:r>
      <w:r>
        <w:rPr>
          <w:rFonts w:hint="eastAsia"/>
        </w:rPr>
        <w:t>岁</w:t>
      </w:r>
      <w:r>
        <w:t xml:space="preserve">      </w:t>
      </w:r>
    </w:p>
    <w:p w:rsidR="003717A0" w:rsidRDefault="003717A0">
      <w:pPr>
        <w:pStyle w:val="a9"/>
      </w:pPr>
      <w:r>
        <w:t>E. 2</w:t>
      </w:r>
      <w:r>
        <w:rPr>
          <w:rFonts w:hint="eastAsia"/>
        </w:rPr>
        <w:t>岁半</w:t>
      </w:r>
    </w:p>
    <w:p w:rsidR="003717A0" w:rsidRDefault="003717A0">
      <w:pPr>
        <w:pStyle w:val="a9"/>
        <w:rPr>
          <w:rFonts w:hAnsi="宋体" w:cs="宋体"/>
        </w:rPr>
      </w:pPr>
      <w:r>
        <w:t>24.</w:t>
      </w:r>
      <w:r>
        <w:rPr>
          <w:rFonts w:hAnsi="宋体" w:cs="宋体"/>
        </w:rPr>
        <w:t xml:space="preserve"> </w:t>
      </w:r>
      <w:r>
        <w:rPr>
          <w:rFonts w:hAnsi="宋体" w:cs="宋体" w:hint="eastAsia"/>
        </w:rPr>
        <w:t>重症肺炎发生腹胀大多因为：</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pPr>
      <w:r>
        <w:t>A</w:t>
      </w:r>
      <w:r>
        <w:rPr>
          <w:rFonts w:hint="eastAsia"/>
        </w:rPr>
        <w:t>．低钠血症</w:t>
      </w:r>
      <w:r>
        <w:t xml:space="preserve">   </w:t>
      </w:r>
    </w:p>
    <w:p w:rsidR="003717A0" w:rsidRDefault="003717A0">
      <w:pPr>
        <w:pStyle w:val="a9"/>
      </w:pPr>
      <w:r>
        <w:t>B</w:t>
      </w:r>
      <w:r>
        <w:rPr>
          <w:rFonts w:hint="eastAsia"/>
        </w:rPr>
        <w:t>．低钾血症</w:t>
      </w:r>
      <w:r>
        <w:t xml:space="preserve">   </w:t>
      </w:r>
    </w:p>
    <w:p w:rsidR="003717A0" w:rsidRDefault="003717A0">
      <w:pPr>
        <w:pStyle w:val="a9"/>
      </w:pPr>
      <w:r>
        <w:t>C</w:t>
      </w:r>
      <w:r>
        <w:rPr>
          <w:rFonts w:hint="eastAsia"/>
        </w:rPr>
        <w:t>．消化不良</w:t>
      </w:r>
      <w:r>
        <w:t xml:space="preserve">   </w:t>
      </w:r>
    </w:p>
    <w:p w:rsidR="003717A0" w:rsidRDefault="003717A0">
      <w:pPr>
        <w:pStyle w:val="a9"/>
      </w:pPr>
      <w:r>
        <w:t>D</w:t>
      </w:r>
      <w:r>
        <w:rPr>
          <w:rFonts w:hint="eastAsia"/>
        </w:rPr>
        <w:t>．中毒性肠麻痹</w:t>
      </w:r>
      <w:r>
        <w:t xml:space="preserve">   </w:t>
      </w:r>
    </w:p>
    <w:p w:rsidR="003717A0" w:rsidRDefault="003717A0">
      <w:pPr>
        <w:pStyle w:val="a9"/>
      </w:pPr>
      <w:r>
        <w:t>E</w:t>
      </w:r>
      <w:r>
        <w:rPr>
          <w:rFonts w:hint="eastAsia"/>
        </w:rPr>
        <w:t>．坏死性小肠结肠炎</w:t>
      </w:r>
      <w:r>
        <w:t xml:space="preserve">  </w:t>
      </w:r>
    </w:p>
    <w:p w:rsidR="003717A0" w:rsidRDefault="003717A0">
      <w:pPr>
        <w:pStyle w:val="a9"/>
        <w:rPr>
          <w:rFonts w:hAnsi="宋体" w:cs="宋体"/>
        </w:rPr>
      </w:pPr>
      <w:r>
        <w:t>25.</w:t>
      </w:r>
      <w:r>
        <w:rPr>
          <w:rFonts w:hAnsi="宋体" w:cs="宋体"/>
        </w:rPr>
        <w:t xml:space="preserve"> 2</w:t>
      </w:r>
      <w:r>
        <w:rPr>
          <w:rFonts w:hAnsi="宋体" w:cs="宋体" w:hint="eastAsia"/>
        </w:rPr>
        <w:t>岁患儿，患单纯性肾病，激素敏感，强的松隔日治疗已</w:t>
      </w:r>
      <w:r>
        <w:rPr>
          <w:rFonts w:hAnsi="宋体" w:cs="宋体"/>
        </w:rPr>
        <w:t>3</w:t>
      </w:r>
      <w:r>
        <w:rPr>
          <w:rFonts w:hAnsi="宋体" w:cs="宋体" w:hint="eastAsia"/>
        </w:rPr>
        <w:t>个月，近半月夜间睡眠不安，多汗，今晨无诱因突然抽搐，既往无惊厥史，最大可能是：</w:t>
      </w:r>
      <w:r>
        <w:rPr>
          <w:rFonts w:hAnsi="宋体" w:cs="宋体"/>
        </w:rPr>
        <w:t xml:space="preserve"> </w:t>
      </w:r>
      <w:r>
        <w:rPr>
          <w:rFonts w:hint="eastAsia"/>
        </w:rPr>
        <w:t>（</w:t>
      </w:r>
      <w:r>
        <w:t xml:space="preserve">    </w:t>
      </w:r>
      <w:r>
        <w:rPr>
          <w:rFonts w:hint="eastAsia"/>
        </w:rPr>
        <w:t>）</w:t>
      </w:r>
      <w:r>
        <w:rPr>
          <w:rFonts w:hAnsi="宋体" w:cs="宋体"/>
        </w:rPr>
        <w:t xml:space="preserve">        </w:t>
      </w:r>
    </w:p>
    <w:p w:rsidR="003717A0" w:rsidRDefault="003717A0">
      <w:pPr>
        <w:pStyle w:val="a9"/>
        <w:rPr>
          <w:rFonts w:hAnsi="宋体" w:cs="宋体"/>
        </w:rPr>
      </w:pPr>
      <w:r>
        <w:rPr>
          <w:rFonts w:hAnsi="宋体" w:cs="宋体"/>
        </w:rPr>
        <w:t>A</w:t>
      </w:r>
      <w:r>
        <w:rPr>
          <w:rFonts w:hAnsi="宋体" w:cs="宋体" w:hint="eastAsia"/>
        </w:rPr>
        <w:t>．低钠血症</w:t>
      </w:r>
      <w:r>
        <w:rPr>
          <w:rFonts w:hAnsi="宋体" w:cs="宋体"/>
        </w:rPr>
        <w:t xml:space="preserve">   </w:t>
      </w:r>
    </w:p>
    <w:p w:rsidR="003717A0" w:rsidRDefault="003717A0">
      <w:pPr>
        <w:pStyle w:val="a9"/>
        <w:rPr>
          <w:rFonts w:hAnsi="宋体" w:cs="宋体"/>
        </w:rPr>
      </w:pPr>
      <w:r>
        <w:rPr>
          <w:rFonts w:hAnsi="宋体" w:cs="宋体"/>
        </w:rPr>
        <w:t>B</w:t>
      </w:r>
      <w:r>
        <w:rPr>
          <w:rFonts w:hAnsi="宋体" w:cs="宋体" w:hint="eastAsia"/>
        </w:rPr>
        <w:t>．低镁血症</w:t>
      </w:r>
      <w:r>
        <w:rPr>
          <w:rFonts w:hAnsi="宋体" w:cs="宋体"/>
        </w:rPr>
        <w:t xml:space="preserve">  </w:t>
      </w:r>
    </w:p>
    <w:p w:rsidR="003717A0" w:rsidRDefault="003717A0">
      <w:pPr>
        <w:pStyle w:val="a9"/>
        <w:rPr>
          <w:rFonts w:hAnsi="宋体" w:cs="宋体"/>
        </w:rPr>
      </w:pPr>
      <w:r>
        <w:rPr>
          <w:rFonts w:hAnsi="宋体" w:cs="宋体"/>
        </w:rPr>
        <w:t>C</w:t>
      </w:r>
      <w:r>
        <w:rPr>
          <w:rFonts w:hAnsi="宋体" w:cs="宋体" w:hint="eastAsia"/>
        </w:rPr>
        <w:t>．低钙血症</w:t>
      </w:r>
      <w:r>
        <w:rPr>
          <w:rFonts w:hAnsi="宋体" w:cs="宋体"/>
        </w:rPr>
        <w:t xml:space="preserve">   </w:t>
      </w:r>
    </w:p>
    <w:p w:rsidR="003717A0" w:rsidRDefault="003717A0">
      <w:pPr>
        <w:pStyle w:val="a9"/>
        <w:rPr>
          <w:rFonts w:hAnsi="宋体" w:cs="宋体"/>
        </w:rPr>
      </w:pPr>
      <w:r>
        <w:rPr>
          <w:rFonts w:hAnsi="宋体" w:cs="宋体"/>
        </w:rPr>
        <w:t>D</w:t>
      </w:r>
      <w:r>
        <w:rPr>
          <w:rFonts w:hAnsi="宋体" w:cs="宋体" w:hint="eastAsia"/>
        </w:rPr>
        <w:t>．低血糖</w:t>
      </w:r>
      <w:r>
        <w:rPr>
          <w:rFonts w:hAnsi="宋体" w:cs="宋体"/>
        </w:rPr>
        <w:t xml:space="preserve">      </w:t>
      </w:r>
    </w:p>
    <w:p w:rsidR="003717A0" w:rsidRDefault="003717A0">
      <w:pPr>
        <w:pStyle w:val="a9"/>
      </w:pPr>
      <w:r>
        <w:t>E</w:t>
      </w:r>
      <w:r>
        <w:rPr>
          <w:rFonts w:hint="eastAsia"/>
        </w:rPr>
        <w:t>．癫痫</w:t>
      </w:r>
      <w:r>
        <w:t xml:space="preserve">  </w:t>
      </w:r>
    </w:p>
    <w:p w:rsidR="003717A0" w:rsidRDefault="003717A0">
      <w:pPr>
        <w:pStyle w:val="a9"/>
        <w:rPr>
          <w:rFonts w:hAnsi="宋体" w:cs="宋体"/>
        </w:rPr>
      </w:pPr>
    </w:p>
    <w:p w:rsidR="003717A0" w:rsidRDefault="003717A0">
      <w:pPr>
        <w:numPr>
          <w:ilvl w:val="0"/>
          <w:numId w:val="442"/>
        </w:numPr>
      </w:pPr>
      <w:r>
        <w:rPr>
          <w:rFonts w:hint="eastAsia"/>
        </w:rPr>
        <w:t>填空（</w:t>
      </w:r>
      <w:r>
        <w:t>18’</w:t>
      </w:r>
      <w:r>
        <w:rPr>
          <w:rFonts w:hint="eastAsia"/>
        </w:rPr>
        <w:t>）</w:t>
      </w:r>
    </w:p>
    <w:p w:rsidR="003717A0" w:rsidRDefault="003717A0">
      <w:r>
        <w:rPr>
          <w:rFonts w:hAnsi="宋体" w:cs="宋体"/>
        </w:rPr>
        <w:t>1.</w:t>
      </w:r>
      <w:r>
        <w:t xml:space="preserve"> </w:t>
      </w:r>
      <w:r>
        <w:rPr>
          <w:rFonts w:hint="eastAsia"/>
        </w:rPr>
        <w:t>法洛四联症的</w:t>
      </w:r>
      <w:r>
        <w:t>4</w:t>
      </w:r>
      <w:r>
        <w:rPr>
          <w:rFonts w:hint="eastAsia"/>
        </w:rPr>
        <w:t>种表现为主动脉骑跨、</w:t>
      </w:r>
      <w:r>
        <w:t>______________________</w:t>
      </w:r>
      <w:r>
        <w:rPr>
          <w:rFonts w:hint="eastAsia"/>
        </w:rPr>
        <w:t>、</w:t>
      </w:r>
      <w:r>
        <w:t>_________________</w:t>
      </w:r>
      <w:r>
        <w:rPr>
          <w:rFonts w:hint="eastAsia"/>
        </w:rPr>
        <w:t>、</w:t>
      </w:r>
      <w:r>
        <w:t>__________________</w:t>
      </w:r>
      <w:r>
        <w:rPr>
          <w:rFonts w:hint="eastAsia"/>
        </w:rPr>
        <w:t>。</w:t>
      </w:r>
    </w:p>
    <w:p w:rsidR="003717A0" w:rsidRDefault="003717A0">
      <w:r>
        <w:rPr>
          <w:rFonts w:hAnsi="宋体" w:cs="宋体"/>
        </w:rPr>
        <w:t>2.</w:t>
      </w:r>
      <w:r>
        <w:rPr>
          <w:rFonts w:hAnsi="宋体" w:cs="宋体" w:hint="eastAsia"/>
        </w:rPr>
        <w:t>小儿出生时即具有一些先天性神经反射，如</w:t>
      </w:r>
      <w:r>
        <w:rPr>
          <w:rFonts w:hint="eastAsia"/>
        </w:rPr>
        <w:t>拥抱反射、</w:t>
      </w:r>
      <w:r>
        <w:t>______________</w:t>
      </w:r>
      <w:r>
        <w:rPr>
          <w:rFonts w:hint="eastAsia"/>
        </w:rPr>
        <w:t>、</w:t>
      </w:r>
      <w:r>
        <w:t>______________</w:t>
      </w:r>
      <w:r>
        <w:rPr>
          <w:rFonts w:hint="eastAsia"/>
        </w:rPr>
        <w:t>、</w:t>
      </w:r>
      <w:r>
        <w:t>___________________</w:t>
      </w:r>
      <w:r>
        <w:rPr>
          <w:rFonts w:hint="eastAsia"/>
        </w:rPr>
        <w:t>。</w:t>
      </w:r>
    </w:p>
    <w:p w:rsidR="003717A0" w:rsidRDefault="003717A0">
      <w:pPr>
        <w:rPr>
          <w:rFonts w:hAnsi="宋体" w:cs="宋体"/>
        </w:rPr>
      </w:pPr>
      <w:r>
        <w:t>3.</w:t>
      </w:r>
      <w:r>
        <w:rPr>
          <w:rFonts w:hAnsi="宋体" w:cs="宋体"/>
        </w:rPr>
        <w:t xml:space="preserve"> </w:t>
      </w:r>
      <w:r>
        <w:rPr>
          <w:rFonts w:hAnsi="宋体" w:cs="宋体" w:hint="eastAsia"/>
        </w:rPr>
        <w:t>小儿腹泻第</w:t>
      </w:r>
      <w:r>
        <w:rPr>
          <w:rFonts w:hAnsi="宋体" w:cs="宋体"/>
        </w:rPr>
        <w:t>1</w:t>
      </w:r>
      <w:r>
        <w:rPr>
          <w:rFonts w:hAnsi="宋体" w:cs="宋体" w:hint="eastAsia"/>
        </w:rPr>
        <w:t>天补液包括</w:t>
      </w:r>
      <w:r>
        <w:rPr>
          <w:rFonts w:hAnsi="宋体" w:cs="宋体"/>
        </w:rPr>
        <w:t>3</w:t>
      </w:r>
      <w:r>
        <w:rPr>
          <w:rFonts w:hAnsi="宋体" w:cs="宋体" w:hint="eastAsia"/>
        </w:rPr>
        <w:t>部分，即累积损失量、</w:t>
      </w:r>
      <w:r>
        <w:rPr>
          <w:rFonts w:hAnsi="宋体" w:cs="宋体"/>
        </w:rPr>
        <w:t>____________</w:t>
      </w:r>
      <w:r>
        <w:rPr>
          <w:rFonts w:hAnsi="宋体" w:cs="宋体" w:hint="eastAsia"/>
        </w:rPr>
        <w:t>和</w:t>
      </w:r>
      <w:r>
        <w:rPr>
          <w:rFonts w:hAnsi="宋体" w:cs="宋体"/>
        </w:rPr>
        <w:t>______________</w:t>
      </w:r>
      <w:r>
        <w:rPr>
          <w:rFonts w:hAnsi="宋体" w:cs="宋体" w:hint="eastAsia"/>
        </w:rPr>
        <w:t>。</w:t>
      </w:r>
    </w:p>
    <w:p w:rsidR="003717A0" w:rsidRDefault="003717A0">
      <w:pPr>
        <w:rPr>
          <w:rFonts w:hAnsi="宋体" w:cs="宋体"/>
        </w:rPr>
      </w:pPr>
      <w:r>
        <w:rPr>
          <w:rFonts w:hAnsi="宋体" w:cs="宋体"/>
        </w:rPr>
        <w:t xml:space="preserve">4. </w:t>
      </w:r>
      <w:r>
        <w:rPr>
          <w:rFonts w:hAnsi="宋体" w:cs="宋体" w:hint="eastAsia"/>
        </w:rPr>
        <w:t>低渗性脱水电解质的损失量大于水分损失量，血清钠</w:t>
      </w:r>
      <w:r>
        <w:rPr>
          <w:rFonts w:hAnsi="宋体" w:cs="宋体"/>
        </w:rPr>
        <w:t>&lt;_____ mmol</w:t>
      </w:r>
      <w:r>
        <w:rPr>
          <w:rFonts w:hAnsi="宋体" w:cs="宋体" w:hint="eastAsia"/>
        </w:rPr>
        <w:t>／</w:t>
      </w:r>
      <w:r>
        <w:rPr>
          <w:rFonts w:hAnsi="宋体" w:cs="宋体"/>
        </w:rPr>
        <w:t>L</w:t>
      </w:r>
      <w:r>
        <w:rPr>
          <w:rFonts w:hAnsi="宋体" w:cs="宋体" w:hint="eastAsia"/>
        </w:rPr>
        <w:t>，应选用</w:t>
      </w:r>
      <w:r>
        <w:rPr>
          <w:rFonts w:hAnsi="宋体" w:cs="宋体"/>
        </w:rPr>
        <w:t>______</w:t>
      </w:r>
      <w:r>
        <w:rPr>
          <w:rFonts w:hAnsi="宋体" w:cs="宋体" w:hint="eastAsia"/>
        </w:rPr>
        <w:t>张的含钠液补液。</w:t>
      </w:r>
    </w:p>
    <w:p w:rsidR="003717A0" w:rsidRDefault="003717A0">
      <w:r>
        <w:rPr>
          <w:rFonts w:hAnsi="宋体" w:cs="宋体"/>
        </w:rPr>
        <w:t>5.</w:t>
      </w:r>
      <w:r>
        <w:rPr>
          <w:rFonts w:hAnsi="宋体" w:cs="宋体" w:hint="eastAsia"/>
        </w:rPr>
        <w:t>急性肾炎严重病例可有</w:t>
      </w:r>
      <w:r>
        <w:rPr>
          <w:rFonts w:hAnsi="宋体" w:cs="宋体"/>
        </w:rPr>
        <w:t>____________</w:t>
      </w:r>
      <w:r>
        <w:rPr>
          <w:rFonts w:hAnsi="宋体" w:cs="宋体" w:hint="eastAsia"/>
        </w:rPr>
        <w:t>、高血压脑病、</w:t>
      </w:r>
      <w:r>
        <w:rPr>
          <w:rFonts w:hAnsi="宋体" w:cs="宋体"/>
        </w:rPr>
        <w:t>___________</w:t>
      </w:r>
      <w:r>
        <w:rPr>
          <w:rFonts w:hAnsi="宋体" w:cs="宋体" w:hint="eastAsia"/>
        </w:rPr>
        <w:t>。</w:t>
      </w:r>
    </w:p>
    <w:p w:rsidR="003717A0" w:rsidRDefault="003717A0">
      <w:pPr>
        <w:rPr>
          <w:rFonts w:hAnsi="宋体" w:cs="宋体"/>
        </w:rPr>
      </w:pPr>
      <w:r>
        <w:rPr>
          <w:rFonts w:hAnsi="宋体" w:cs="宋体"/>
        </w:rPr>
        <w:t>6.</w:t>
      </w:r>
      <w:r>
        <w:rPr>
          <w:rFonts w:hAnsi="宋体" w:cs="宋体" w:hint="eastAsia"/>
        </w:rPr>
        <w:t>儿童前囟最晚闭合时间</w:t>
      </w:r>
      <w:r>
        <w:rPr>
          <w:rFonts w:hAnsi="宋体" w:cs="宋体"/>
        </w:rPr>
        <w:t>__________</w:t>
      </w:r>
      <w:r>
        <w:rPr>
          <w:rFonts w:hAnsi="宋体" w:cs="宋体" w:hint="eastAsia"/>
        </w:rPr>
        <w:t>，乳牙共有</w:t>
      </w:r>
      <w:r>
        <w:rPr>
          <w:rFonts w:hAnsi="宋体" w:cs="宋体"/>
        </w:rPr>
        <w:t>__________</w:t>
      </w:r>
      <w:r>
        <w:rPr>
          <w:rFonts w:hAnsi="宋体" w:cs="宋体" w:hint="eastAsia"/>
        </w:rPr>
        <w:t>颗，</w:t>
      </w:r>
      <w:r>
        <w:rPr>
          <w:rFonts w:hAnsi="宋体" w:cs="宋体"/>
        </w:rPr>
        <w:t>__________</w:t>
      </w:r>
      <w:r>
        <w:rPr>
          <w:rFonts w:hAnsi="宋体" w:cs="宋体" w:hint="eastAsia"/>
        </w:rPr>
        <w:t>岁时开始有第一颗恒牙。</w:t>
      </w:r>
    </w:p>
    <w:p w:rsidR="003717A0" w:rsidRDefault="003717A0">
      <w:pPr>
        <w:pStyle w:val="a9"/>
      </w:pPr>
      <w:r>
        <w:t>7.</w:t>
      </w:r>
      <w:r>
        <w:rPr>
          <w:rFonts w:hint="eastAsia"/>
        </w:rPr>
        <w:t>小儿于生后</w:t>
      </w:r>
      <w:r>
        <w:t>____</w:t>
      </w:r>
      <w:r>
        <w:rPr>
          <w:rFonts w:hint="eastAsia"/>
        </w:rPr>
        <w:t>月口服脊髓灰质炎疫苗，</w:t>
      </w:r>
      <w:r>
        <w:t>_____</w:t>
      </w:r>
      <w:r>
        <w:rPr>
          <w:rFonts w:hint="eastAsia"/>
        </w:rPr>
        <w:t>月注射麻疹疫苗，</w:t>
      </w:r>
      <w:r>
        <w:t>______</w:t>
      </w:r>
      <w:r>
        <w:rPr>
          <w:rFonts w:hint="eastAsia"/>
        </w:rPr>
        <w:t>注射百白破疫苗。</w:t>
      </w:r>
    </w:p>
    <w:p w:rsidR="003717A0" w:rsidRDefault="003717A0">
      <w:r>
        <w:rPr>
          <w:rFonts w:hint="eastAsia"/>
        </w:rPr>
        <w:t>四．简答（</w:t>
      </w:r>
      <w:r>
        <w:t>36’</w:t>
      </w:r>
      <w:r>
        <w:rPr>
          <w:rFonts w:hint="eastAsia"/>
        </w:rPr>
        <w:t>）</w:t>
      </w:r>
    </w:p>
    <w:p w:rsidR="003717A0" w:rsidRDefault="003717A0">
      <w:pPr>
        <w:pStyle w:val="a9"/>
      </w:pPr>
      <w:r>
        <w:t>1.</w:t>
      </w:r>
      <w:r>
        <w:rPr>
          <w:rFonts w:hint="eastAsia"/>
        </w:rPr>
        <w:t>儿童时期的基本特点（</w:t>
      </w:r>
      <w:r>
        <w:t>4</w:t>
      </w:r>
      <w:r>
        <w:t>’</w:t>
      </w:r>
      <w:r>
        <w:rPr>
          <w:rFonts w:hint="eastAsia"/>
        </w:rPr>
        <w:t>）</w:t>
      </w:r>
    </w:p>
    <w:p w:rsidR="003717A0" w:rsidRDefault="003717A0">
      <w:r>
        <w:t>2.</w:t>
      </w:r>
      <w:r>
        <w:rPr>
          <w:rFonts w:hint="eastAsia"/>
        </w:rPr>
        <w:t>生长发育规律（</w:t>
      </w:r>
      <w:r>
        <w:t>4’</w:t>
      </w:r>
      <w:r>
        <w:rPr>
          <w:rFonts w:hint="eastAsia"/>
        </w:rPr>
        <w:t>）</w:t>
      </w:r>
    </w:p>
    <w:p w:rsidR="003717A0" w:rsidRDefault="003717A0">
      <w:r>
        <w:t>3.</w:t>
      </w:r>
      <w:r>
        <w:rPr>
          <w:rFonts w:hint="eastAsia"/>
        </w:rPr>
        <w:t>母乳喂养的优点（</w:t>
      </w:r>
      <w:r>
        <w:t>5’</w:t>
      </w:r>
      <w:r>
        <w:rPr>
          <w:rFonts w:hint="eastAsia"/>
        </w:rPr>
        <w:t>）</w:t>
      </w:r>
    </w:p>
    <w:p w:rsidR="003717A0" w:rsidRDefault="003717A0">
      <w:r>
        <w:t xml:space="preserve">4. </w:t>
      </w:r>
      <w:r>
        <w:rPr>
          <w:rFonts w:hint="eastAsia"/>
        </w:rPr>
        <w:t>生理性黄疸的特点（</w:t>
      </w:r>
      <w:r>
        <w:t>4’</w:t>
      </w:r>
      <w:r>
        <w:rPr>
          <w:rFonts w:hint="eastAsia"/>
        </w:rPr>
        <w:t>）</w:t>
      </w:r>
    </w:p>
    <w:p w:rsidR="003717A0" w:rsidRDefault="003717A0">
      <w:r>
        <w:t xml:space="preserve">5. </w:t>
      </w:r>
      <w:r>
        <w:rPr>
          <w:rFonts w:hint="eastAsia"/>
        </w:rPr>
        <w:t>先心的分类并举例（</w:t>
      </w:r>
      <w:r>
        <w:t>4’</w:t>
      </w:r>
      <w:r>
        <w:rPr>
          <w:rFonts w:hint="eastAsia"/>
        </w:rPr>
        <w:t>）</w:t>
      </w:r>
      <w:r>
        <w:t xml:space="preserve"> </w:t>
      </w:r>
    </w:p>
    <w:p w:rsidR="003717A0" w:rsidRDefault="003717A0">
      <w:r>
        <w:t>6.</w:t>
      </w:r>
      <w:r>
        <w:rPr>
          <w:rFonts w:hint="eastAsia"/>
        </w:rPr>
        <w:t>小儿腹泻病的易感因素（</w:t>
      </w:r>
      <w:r>
        <w:t>5’</w:t>
      </w:r>
      <w:r>
        <w:rPr>
          <w:rFonts w:hint="eastAsia"/>
        </w:rPr>
        <w:t>）</w:t>
      </w:r>
    </w:p>
    <w:p w:rsidR="003717A0" w:rsidRDefault="003717A0">
      <w:r>
        <w:t xml:space="preserve">7 </w:t>
      </w:r>
      <w:r>
        <w:rPr>
          <w:rFonts w:hint="eastAsia"/>
        </w:rPr>
        <w:t>维生素</w:t>
      </w:r>
      <w:r>
        <w:t>D</w:t>
      </w:r>
      <w:r>
        <w:rPr>
          <w:rFonts w:hint="eastAsia"/>
        </w:rPr>
        <w:t>缺乏性佝偻病的病因（</w:t>
      </w:r>
      <w:r>
        <w:t>5’</w:t>
      </w:r>
      <w:r>
        <w:rPr>
          <w:rFonts w:hint="eastAsia"/>
        </w:rPr>
        <w:t>）</w:t>
      </w:r>
    </w:p>
    <w:p w:rsidR="003717A0" w:rsidRDefault="003717A0">
      <w:r>
        <w:t>8</w:t>
      </w:r>
      <w:r>
        <w:rPr>
          <w:rFonts w:hint="eastAsia"/>
        </w:rPr>
        <w:t>高热惊厥的临床特点（</w:t>
      </w:r>
      <w:r>
        <w:t>5’</w:t>
      </w:r>
      <w:r>
        <w:rPr>
          <w:rFonts w:hint="eastAsia"/>
        </w:rPr>
        <w:t>）</w:t>
      </w:r>
    </w:p>
    <w:p w:rsidR="003717A0" w:rsidRDefault="003717A0">
      <w:pPr>
        <w:spacing w:line="300" w:lineRule="auto"/>
        <w:rPr>
          <w:szCs w:val="21"/>
        </w:rPr>
      </w:pPr>
    </w:p>
    <w:p w:rsidR="003717A0" w:rsidRDefault="003717A0" w:rsidP="00566E4D">
      <w:pPr>
        <w:adjustRightInd w:val="0"/>
        <w:snapToGrid w:val="0"/>
        <w:spacing w:line="360" w:lineRule="auto"/>
        <w:jc w:val="center"/>
        <w:rPr>
          <w:rFonts w:ascii="Times New Roman" w:eastAsia="黑体" w:hAnsi="Times New Roman"/>
          <w:kern w:val="0"/>
          <w:sz w:val="34"/>
          <w:szCs w:val="34"/>
        </w:rPr>
      </w:pPr>
      <w:r>
        <w:rPr>
          <w:rFonts w:ascii="Times New Roman" w:hAnsi="Times New Roman"/>
          <w:b/>
          <w:kern w:val="0"/>
          <w:sz w:val="22"/>
        </w:rPr>
        <w:br w:type="page"/>
      </w:r>
      <w:r w:rsidRPr="00566E4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
        <w:gridCol w:w="567"/>
        <w:gridCol w:w="8825"/>
      </w:tblGrid>
      <w:tr w:rsidR="003717A0">
        <w:trPr>
          <w:cantSplit/>
          <w:trHeight w:val="1137"/>
          <w:jc w:val="center"/>
        </w:trPr>
        <w:tc>
          <w:tcPr>
            <w:tcW w:w="1173"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825"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部分疾病，可在实习课中让学生通过对典型病例、录像等的观察来加强理解。教师应关心儿科学的研究进展，使教学内容能反映学科的发展趋势，但要避免在课堂上讲授过时、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606"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67"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825"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44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4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443"/>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606" w:type="dxa"/>
            <w:vMerge/>
            <w:vAlign w:val="center"/>
          </w:tcPr>
          <w:p w:rsidR="003717A0" w:rsidRDefault="003717A0">
            <w:pPr>
              <w:spacing w:line="340" w:lineRule="exact"/>
              <w:jc w:val="center"/>
            </w:pPr>
          </w:p>
        </w:tc>
        <w:tc>
          <w:tcPr>
            <w:tcW w:w="567"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825"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4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4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44"/>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444"/>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60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67"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825" w:type="dxa"/>
            <w:vAlign w:val="center"/>
          </w:tcPr>
          <w:p w:rsidR="003717A0" w:rsidRDefault="003717A0">
            <w:pPr>
              <w:autoSpaceDE w:val="0"/>
              <w:autoSpaceDN w:val="0"/>
              <w:adjustRightInd w:val="0"/>
              <w:snapToGrid w:val="0"/>
              <w:spacing w:line="360" w:lineRule="auto"/>
              <w:ind w:left="420"/>
              <w:jc w:val="left"/>
              <w:rPr>
                <w:sz w:val="22"/>
              </w:rPr>
            </w:pPr>
            <w:r>
              <w:rPr>
                <w:rFonts w:hint="eastAsia"/>
                <w:sz w:val="22"/>
              </w:rPr>
              <w:t>无作业</w:t>
            </w:r>
          </w:p>
        </w:tc>
      </w:tr>
      <w:tr w:rsidR="003717A0">
        <w:trPr>
          <w:cantSplit/>
          <w:trHeight w:val="1260"/>
          <w:jc w:val="center"/>
        </w:trPr>
        <w:tc>
          <w:tcPr>
            <w:tcW w:w="606" w:type="dxa"/>
            <w:vMerge/>
            <w:vAlign w:val="center"/>
          </w:tcPr>
          <w:p w:rsidR="003717A0" w:rsidRDefault="003717A0">
            <w:pPr>
              <w:spacing w:line="340" w:lineRule="exact"/>
              <w:ind w:left="113" w:right="113"/>
              <w:jc w:val="center"/>
              <w:rPr>
                <w:rFonts w:ascii="黑体" w:eastAsia="黑体"/>
                <w:b/>
                <w:sz w:val="24"/>
                <w:szCs w:val="24"/>
              </w:rPr>
            </w:pPr>
          </w:p>
        </w:tc>
        <w:tc>
          <w:tcPr>
            <w:tcW w:w="567"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825"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606" w:type="dxa"/>
            <w:vMerge/>
            <w:vAlign w:val="center"/>
          </w:tcPr>
          <w:p w:rsidR="003717A0" w:rsidRDefault="003717A0">
            <w:pPr>
              <w:spacing w:line="340" w:lineRule="exact"/>
              <w:ind w:left="113" w:right="113"/>
              <w:jc w:val="center"/>
              <w:rPr>
                <w:rFonts w:ascii="黑体" w:eastAsia="黑体"/>
                <w:b/>
                <w:sz w:val="24"/>
                <w:szCs w:val="24"/>
              </w:rPr>
            </w:pPr>
          </w:p>
        </w:tc>
        <w:tc>
          <w:tcPr>
            <w:tcW w:w="567"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825" w:type="dxa"/>
            <w:vAlign w:val="center"/>
          </w:tcPr>
          <w:p w:rsidR="003717A0" w:rsidRDefault="003717A0">
            <w:pPr>
              <w:numPr>
                <w:ilvl w:val="0"/>
                <w:numId w:val="445"/>
              </w:numPr>
              <w:autoSpaceDE w:val="0"/>
              <w:autoSpaceDN w:val="0"/>
              <w:adjustRightInd w:val="0"/>
              <w:snapToGrid w:val="0"/>
              <w:spacing w:line="360" w:lineRule="auto"/>
              <w:jc w:val="left"/>
              <w:rPr>
                <w:rFonts w:ascii="Times New Roman" w:hAnsi="宋体"/>
                <w:szCs w:val="21"/>
              </w:rPr>
            </w:pPr>
            <w:r>
              <w:rPr>
                <w:rFonts w:ascii="宋体" w:hAnsi="宋体" w:hint="eastAsia"/>
                <w:szCs w:val="21"/>
              </w:rPr>
              <w:t>本课程为学期课程，成绩考核的方式：考试。考试时实行同一专业统考，即统一命题，统一考试，统一阅卷。</w:t>
            </w:r>
          </w:p>
          <w:p w:rsidR="003717A0" w:rsidRDefault="003717A0">
            <w:pPr>
              <w:numPr>
                <w:ilvl w:val="0"/>
                <w:numId w:val="445"/>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szCs w:val="21"/>
              </w:rPr>
              <w:t xml:space="preserve">3.  </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以上者总评成绩为不及格。</w:t>
            </w:r>
          </w:p>
        </w:tc>
      </w:tr>
      <w:tr w:rsidR="003717A0">
        <w:trPr>
          <w:cantSplit/>
          <w:trHeight w:val="2098"/>
          <w:jc w:val="center"/>
        </w:trPr>
        <w:tc>
          <w:tcPr>
            <w:tcW w:w="606" w:type="dxa"/>
            <w:vMerge/>
            <w:vAlign w:val="center"/>
          </w:tcPr>
          <w:p w:rsidR="003717A0" w:rsidRDefault="003717A0">
            <w:pPr>
              <w:spacing w:line="340" w:lineRule="exact"/>
              <w:ind w:left="113" w:right="113"/>
              <w:jc w:val="center"/>
              <w:rPr>
                <w:rFonts w:ascii="黑体" w:eastAsia="黑体"/>
                <w:b/>
                <w:sz w:val="24"/>
                <w:szCs w:val="24"/>
              </w:rPr>
            </w:pPr>
          </w:p>
        </w:tc>
        <w:tc>
          <w:tcPr>
            <w:tcW w:w="567"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825"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1173"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8825"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97" w:name="_Toc469313010"/>
      <w:bookmarkStart w:id="98" w:name="_Toc471830722"/>
      <w:r w:rsidRPr="00566E4D">
        <w:rPr>
          <w:rFonts w:hint="eastAsia"/>
          <w:b/>
        </w:rPr>
        <w:lastRenderedPageBreak/>
        <w:t>《儿童老年疾患的物理治疗》课程质量标准</w:t>
      </w:r>
      <w:bookmarkEnd w:id="97"/>
      <w:bookmarkEnd w:id="98"/>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ascii="Arial" w:hAnsi="Arial" w:hint="eastAsia"/>
                <w:szCs w:val="21"/>
              </w:rPr>
              <w:t>儿童老年疾患的物理治疗</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rFonts w:ascii="Arial" w:hAnsi="Arial"/>
                <w:sz w:val="24"/>
              </w:rPr>
              <w:t>The physical therapy of children and geriatric diseases</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6E336D">
            <w:pPr>
              <w:adjustRightInd w:val="0"/>
              <w:snapToGrid w:val="0"/>
              <w:spacing w:line="500" w:lineRule="exact"/>
              <w:jc w:val="center"/>
              <w:rPr>
                <w:sz w:val="22"/>
              </w:rPr>
            </w:pPr>
            <w:r>
              <w:rPr>
                <w:rFonts w:hint="eastAsia"/>
                <w:sz w:val="22"/>
              </w:rPr>
              <w:t>170710</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sz w:val="22"/>
              </w:rPr>
              <w:t>6</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54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w:t>
            </w:r>
            <w:r>
              <w:rPr>
                <w:rFonts w:ascii="宋体" w:hint="eastAsia"/>
                <w:szCs w:val="21"/>
              </w:rPr>
              <w:t>■</w:t>
            </w:r>
            <w:r>
              <w:rPr>
                <w:rFonts w:ascii="宋体" w:hint="eastAsia"/>
                <w:sz w:val="22"/>
              </w:rPr>
              <w:t>专业课□专业选修课□公共选修课</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康复医学科</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暂未出版</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566E4D">
        <w:trPr>
          <w:jc w:val="center"/>
        </w:trPr>
        <w:tc>
          <w:tcPr>
            <w:tcW w:w="1668" w:type="dxa"/>
          </w:tcPr>
          <w:p w:rsidR="003717A0" w:rsidRDefault="003717A0">
            <w:pPr>
              <w:adjustRightInd w:val="0"/>
              <w:snapToGrid w:val="0"/>
              <w:spacing w:line="500" w:lineRule="exact"/>
              <w:ind w:firstLineChars="150" w:firstLine="330"/>
              <w:rPr>
                <w:sz w:val="22"/>
              </w:rPr>
            </w:pPr>
            <w:r>
              <w:rPr>
                <w:rFonts w:hint="eastAsia"/>
                <w:sz w:val="22"/>
              </w:rPr>
              <w:t>沈光宇</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本科</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学士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教授</w:t>
            </w:r>
          </w:p>
        </w:tc>
        <w:tc>
          <w:tcPr>
            <w:tcW w:w="1524" w:type="dxa"/>
          </w:tcPr>
          <w:p w:rsidR="003717A0" w:rsidRDefault="003717A0">
            <w:pPr>
              <w:adjustRightInd w:val="0"/>
              <w:snapToGrid w:val="0"/>
              <w:spacing w:line="500" w:lineRule="exact"/>
              <w:ind w:firstLineChars="100" w:firstLine="220"/>
              <w:rPr>
                <w:sz w:val="22"/>
              </w:rPr>
            </w:pPr>
            <w:r>
              <w:rPr>
                <w:sz w:val="22"/>
              </w:rPr>
              <w:t>1985.06</w:t>
            </w:r>
          </w:p>
        </w:tc>
      </w:tr>
      <w:tr w:rsidR="003717A0" w:rsidTr="00566E4D">
        <w:trPr>
          <w:jc w:val="center"/>
        </w:trPr>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顾琦</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2005.09</w:t>
            </w:r>
          </w:p>
        </w:tc>
      </w:tr>
      <w:tr w:rsidR="003717A0" w:rsidTr="00566E4D">
        <w:trPr>
          <w:jc w:val="center"/>
        </w:trPr>
        <w:tc>
          <w:tcPr>
            <w:tcW w:w="1668" w:type="dxa"/>
          </w:tcPr>
          <w:p w:rsidR="003717A0" w:rsidRDefault="003717A0">
            <w:pPr>
              <w:adjustRightInd w:val="0"/>
              <w:snapToGrid w:val="0"/>
              <w:spacing w:line="500" w:lineRule="exact"/>
              <w:ind w:firstLineChars="150" w:firstLine="330"/>
              <w:rPr>
                <w:sz w:val="22"/>
              </w:rPr>
            </w:pPr>
            <w:r>
              <w:rPr>
                <w:rFonts w:hint="eastAsia"/>
                <w:sz w:val="22"/>
              </w:rPr>
              <w:t>吴勤峰</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150" w:firstLine="330"/>
              <w:rPr>
                <w:sz w:val="22"/>
              </w:rPr>
            </w:pPr>
            <w:r>
              <w:rPr>
                <w:rFonts w:hint="eastAsia"/>
                <w:sz w:val="22"/>
              </w:rPr>
              <w:t>研究生</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博士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讲师</w:t>
            </w:r>
          </w:p>
        </w:tc>
        <w:tc>
          <w:tcPr>
            <w:tcW w:w="1524" w:type="dxa"/>
          </w:tcPr>
          <w:p w:rsidR="003717A0" w:rsidRDefault="003717A0">
            <w:pPr>
              <w:adjustRightInd w:val="0"/>
              <w:snapToGrid w:val="0"/>
              <w:spacing w:line="500" w:lineRule="exact"/>
              <w:ind w:firstLineChars="100" w:firstLine="220"/>
              <w:rPr>
                <w:sz w:val="22"/>
              </w:rPr>
            </w:pPr>
            <w:r>
              <w:rPr>
                <w:sz w:val="22"/>
              </w:rPr>
              <w:t>2008.9</w:t>
            </w:r>
          </w:p>
        </w:tc>
      </w:tr>
      <w:tr w:rsidR="003717A0" w:rsidTr="00566E4D">
        <w:trPr>
          <w:jc w:val="center"/>
        </w:trPr>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rsidTr="00566E4D">
        <w:trPr>
          <w:jc w:val="center"/>
        </w:trPr>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sz w:val="22"/>
              </w:rPr>
              <w:t xml:space="preserve">   </w:t>
            </w:r>
            <w:r>
              <w:rPr>
                <w:rFonts w:ascii="Arial" w:hAnsi="Arial" w:hint="eastAsia"/>
                <w:szCs w:val="21"/>
              </w:rPr>
              <w:t>儿童老年疾患的物理治疗</w:t>
            </w:r>
            <w:r>
              <w:rPr>
                <w:rFonts w:hint="eastAsia"/>
              </w:rPr>
              <w:t>是临床物理疗法中的一个重要组成部分。本课程比较详细地介绍了</w:t>
            </w:r>
            <w:r>
              <w:rPr>
                <w:rFonts w:ascii="Arial" w:hAnsi="Arial" w:hint="eastAsia"/>
                <w:szCs w:val="21"/>
              </w:rPr>
              <w:t>儿童老年疾患的物理治疗</w:t>
            </w:r>
            <w:r>
              <w:rPr>
                <w:rFonts w:hint="eastAsia"/>
              </w:rPr>
              <w:t>的理论框架，整体评估和康复途径，以及常见</w:t>
            </w:r>
            <w:r>
              <w:rPr>
                <w:rFonts w:ascii="Arial" w:hAnsi="Arial" w:hint="eastAsia"/>
                <w:szCs w:val="21"/>
              </w:rPr>
              <w:t>儿童老年疾患</w:t>
            </w:r>
            <w:r>
              <w:rPr>
                <w:rFonts w:hint="eastAsia"/>
              </w:rPr>
              <w:t>的一般临床知识和诊断、功能障碍的特点、评定方法、治疗目标和治疗技术。本课程的设计和编写，参考了国外物理疗法的大量资料和专著，并结合国内现状；参照了江苏省康复医学十二五规划的要求和</w:t>
            </w:r>
            <w:r>
              <w:t>WCPT</w:t>
            </w:r>
            <w:r>
              <w:rPr>
                <w:rFonts w:hint="eastAsia"/>
              </w:rPr>
              <w:t>的教学指南。旨在培养符合国际化的物理治疗师。</w:t>
            </w:r>
          </w:p>
        </w:tc>
      </w:tr>
    </w:tbl>
    <w:p w:rsidR="003717A0"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适应对象：本科层次，康复治疗学专业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sidR="006E336D">
        <w:rPr>
          <w:rFonts w:ascii="Times New Roman" w:hAnsi="Times New Roman" w:hint="eastAsia"/>
          <w:kern w:val="0"/>
          <w:sz w:val="22"/>
        </w:rPr>
        <w:t>170710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rPr>
          <w:rFonts w:ascii="Times New Roman" w:hAnsi="Times New Roman"/>
          <w:kern w:val="0"/>
          <w:sz w:val="22"/>
        </w:rPr>
        <w:t>54</w:t>
      </w:r>
      <w:r w:rsidR="006E336D">
        <w:rPr>
          <w:rFonts w:ascii="Times New Roman" w:hAnsi="Times New Roman" w:hint="eastAsia"/>
          <w:kern w:val="0"/>
          <w:sz w:val="22"/>
        </w:rPr>
        <w:t>学时</w:t>
      </w:r>
      <w:r>
        <w:rPr>
          <w:rFonts w:ascii="Times New Roman" w:hAnsi="Times New Roman" w:hint="eastAsia"/>
          <w:kern w:val="0"/>
          <w:sz w:val="22"/>
        </w:rPr>
        <w:t>（理论课：</w:t>
      </w:r>
      <w:r>
        <w:rPr>
          <w:rFonts w:ascii="Times New Roman" w:hAnsi="Times New Roman"/>
          <w:kern w:val="0"/>
          <w:sz w:val="22"/>
        </w:rPr>
        <w:t>27</w:t>
      </w:r>
      <w:r>
        <w:rPr>
          <w:rFonts w:ascii="Times New Roman" w:hAnsi="Times New Roman" w:hint="eastAsia"/>
          <w:kern w:val="0"/>
          <w:sz w:val="22"/>
        </w:rPr>
        <w:t>学时</w:t>
      </w:r>
      <w:r>
        <w:rPr>
          <w:rFonts w:ascii="Times New Roman" w:hAnsi="Times New Roman"/>
          <w:kern w:val="0"/>
          <w:sz w:val="22"/>
        </w:rPr>
        <w:t xml:space="preserve">  </w:t>
      </w:r>
      <w:r>
        <w:rPr>
          <w:rFonts w:ascii="Times New Roman" w:hAnsi="Times New Roman" w:hint="eastAsia"/>
          <w:kern w:val="0"/>
          <w:sz w:val="22"/>
        </w:rPr>
        <w:t>见习：</w:t>
      </w:r>
      <w:r>
        <w:rPr>
          <w:rFonts w:ascii="Times New Roman" w:hAnsi="Times New Roman"/>
          <w:kern w:val="0"/>
          <w:sz w:val="22"/>
        </w:rPr>
        <w:t>27</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3</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w:t>
      </w:r>
      <w:r>
        <w:rPr>
          <w:rFonts w:ascii="宋体" w:hint="eastAsia"/>
          <w:szCs w:val="21"/>
        </w:rPr>
        <w:t>运动疗法</w:t>
      </w:r>
      <w:r>
        <w:rPr>
          <w:rFonts w:ascii="宋体"/>
          <w:szCs w:val="21"/>
        </w:rPr>
        <w:t xml:space="preserve">  </w:t>
      </w:r>
      <w:r>
        <w:rPr>
          <w:rFonts w:ascii="宋体" w:hint="eastAsia"/>
          <w:szCs w:val="21"/>
        </w:rPr>
        <w:t>康复评定学</w:t>
      </w:r>
      <w:r>
        <w:rPr>
          <w:rFonts w:ascii="宋体"/>
          <w:szCs w:val="21"/>
        </w:rPr>
        <w:t xml:space="preserve"> </w:t>
      </w:r>
      <w:r>
        <w:rPr>
          <w:rFonts w:ascii="宋体" w:hint="eastAsia"/>
          <w:szCs w:val="21"/>
        </w:rPr>
        <w:t>物理治疗学概论</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本课程包括两部分：儿童疾病的物理治疗和老年疾病的物理治疗。</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儿童脑瘫、自闭症和孤独症的物理治疗，还包括怎样预防这些疾病的发生。</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老年人的健康缺乏、生理特点及成功老龄化，介绍老年人脑卒中后、慢性阻塞性肺病、糖尿病、骨质疏松、老年痴呆症等疾病后的物理治疗，还包括如何预防摔倒等内容。</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本课程注重学生的实际交流、操作和掌控能力，进行儿童疾病模拟练习，让学生学习不同儿童疾病的物理治疗方法；同时模拟体验老年人的生理、心理特点，以加强学生对老年人相关疾病的理解，并明白物理在老年人的生活中所起到的重要作用。</w:t>
      </w:r>
    </w:p>
    <w:p w:rsidR="003717A0" w:rsidRDefault="003717A0">
      <w:pPr>
        <w:autoSpaceDE w:val="0"/>
        <w:autoSpaceDN w:val="0"/>
        <w:adjustRightInd w:val="0"/>
        <w:spacing w:line="360" w:lineRule="exact"/>
        <w:jc w:val="left"/>
        <w:rPr>
          <w:rFonts w:ascii="Times New Roman" w:hAnsi="Times New Roman"/>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ind w:firstLineChars="245" w:firstLine="514"/>
        <w:jc w:val="left"/>
        <w:rPr>
          <w:rFonts w:ascii="Times New Roman" w:eastAsia="黑体" w:hAnsi="Times New Roman"/>
          <w:b/>
          <w:kern w:val="0"/>
          <w:sz w:val="24"/>
          <w:szCs w:val="24"/>
        </w:rPr>
      </w:pPr>
      <w:r>
        <w:rPr>
          <w:rFonts w:ascii="宋体" w:hint="eastAsia"/>
          <w:szCs w:val="21"/>
        </w:rPr>
        <w:t>通过本课程学习，使学生重点掌握</w:t>
      </w:r>
      <w:r>
        <w:rPr>
          <w:rFonts w:ascii="Arial" w:hAnsi="Arial" w:hint="eastAsia"/>
          <w:szCs w:val="21"/>
        </w:rPr>
        <w:t>儿童老年</w:t>
      </w:r>
      <w:r>
        <w:rPr>
          <w:rFonts w:ascii="宋体" w:hint="eastAsia"/>
          <w:szCs w:val="21"/>
        </w:rPr>
        <w:t>疾病物理治疗的相关原理和理论、</w:t>
      </w:r>
      <w:r>
        <w:rPr>
          <w:rFonts w:ascii="Arial" w:hAnsi="Arial" w:hint="eastAsia"/>
          <w:szCs w:val="21"/>
        </w:rPr>
        <w:t>儿童老年</w:t>
      </w:r>
      <w:r>
        <w:rPr>
          <w:rFonts w:ascii="宋体" w:hint="eastAsia"/>
          <w:szCs w:val="21"/>
        </w:rPr>
        <w:t>疾病物理治疗的功能评定、物理治疗技术，掌握儿童脑瘫、孤独症和自闭症以及老年人</w:t>
      </w:r>
      <w:r>
        <w:rPr>
          <w:rFonts w:ascii="Times New Roman" w:hAnsi="Times New Roman" w:hint="eastAsia"/>
          <w:kern w:val="0"/>
          <w:sz w:val="22"/>
        </w:rPr>
        <w:t>脑卒中后、慢性阻塞性肺病、糖尿病、骨质疏松、老年痴呆症等疾病</w:t>
      </w:r>
      <w:r>
        <w:rPr>
          <w:rFonts w:ascii="宋体" w:hint="eastAsia"/>
          <w:szCs w:val="21"/>
        </w:rPr>
        <w:t>的特点、分类、评价及其物理治疗方法。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spacing w:line="360" w:lineRule="auto"/>
        <w:rPr>
          <w:rFonts w:ascii="宋体"/>
          <w:b/>
          <w:szCs w:val="21"/>
        </w:rPr>
      </w:pPr>
      <w:r>
        <w:rPr>
          <w:rFonts w:ascii="宋体" w:hint="eastAsia"/>
          <w:b/>
          <w:szCs w:val="21"/>
        </w:rPr>
        <w:t>第一章</w:t>
      </w:r>
      <w:r>
        <w:rPr>
          <w:rFonts w:ascii="宋体"/>
          <w:b/>
          <w:szCs w:val="21"/>
        </w:rPr>
        <w:t xml:space="preserve">  </w:t>
      </w:r>
      <w:r>
        <w:rPr>
          <w:rFonts w:ascii="宋体" w:hint="eastAsia"/>
          <w:b/>
          <w:szCs w:val="21"/>
        </w:rPr>
        <w:t>儿童疾病的物理治疗</w:t>
      </w:r>
    </w:p>
    <w:p w:rsidR="003717A0" w:rsidRDefault="003717A0">
      <w:pPr>
        <w:ind w:left="210"/>
        <w:rPr>
          <w:rFonts w:ascii="宋体"/>
          <w:szCs w:val="21"/>
        </w:rPr>
      </w:pPr>
      <w:r>
        <w:rPr>
          <w:rFonts w:ascii="宋体" w:hint="eastAsia"/>
          <w:b/>
          <w:szCs w:val="21"/>
        </w:rPr>
        <w:t>目的要求</w:t>
      </w:r>
      <w:r>
        <w:rPr>
          <w:rFonts w:ascii="宋体" w:hint="eastAsia"/>
          <w:szCs w:val="21"/>
        </w:rPr>
        <w:t>：</w:t>
      </w:r>
    </w:p>
    <w:p w:rsidR="003717A0" w:rsidRDefault="003717A0">
      <w:pPr>
        <w:numPr>
          <w:ilvl w:val="0"/>
          <w:numId w:val="446"/>
        </w:numPr>
        <w:rPr>
          <w:rFonts w:ascii="宋体"/>
          <w:szCs w:val="21"/>
        </w:rPr>
      </w:pPr>
      <w:r>
        <w:rPr>
          <w:rFonts w:ascii="宋体" w:hint="eastAsia"/>
          <w:szCs w:val="21"/>
        </w:rPr>
        <w:t>了解儿童疾病的现状</w:t>
      </w:r>
    </w:p>
    <w:p w:rsidR="003717A0" w:rsidRDefault="003717A0">
      <w:pPr>
        <w:numPr>
          <w:ilvl w:val="0"/>
          <w:numId w:val="446"/>
        </w:numPr>
        <w:rPr>
          <w:rFonts w:ascii="宋体"/>
          <w:szCs w:val="21"/>
        </w:rPr>
      </w:pPr>
      <w:r>
        <w:rPr>
          <w:rFonts w:ascii="宋体" w:hint="eastAsia"/>
          <w:szCs w:val="21"/>
        </w:rPr>
        <w:t>熟悉物理治疗原理及理论</w:t>
      </w:r>
    </w:p>
    <w:p w:rsidR="003717A0" w:rsidRDefault="003717A0">
      <w:pPr>
        <w:numPr>
          <w:ilvl w:val="0"/>
          <w:numId w:val="446"/>
        </w:numPr>
        <w:rPr>
          <w:rFonts w:ascii="宋体"/>
          <w:szCs w:val="21"/>
        </w:rPr>
      </w:pPr>
      <w:r>
        <w:rPr>
          <w:rFonts w:ascii="宋体" w:hint="eastAsia"/>
          <w:szCs w:val="21"/>
        </w:rPr>
        <w:t>掌握儿童脑瘫的检查与评估、临床表现、功能障碍及物理治疗方法</w:t>
      </w:r>
    </w:p>
    <w:p w:rsidR="003717A0" w:rsidRDefault="003717A0">
      <w:pPr>
        <w:numPr>
          <w:ilvl w:val="0"/>
          <w:numId w:val="446"/>
        </w:numPr>
        <w:rPr>
          <w:rFonts w:ascii="宋体"/>
          <w:szCs w:val="21"/>
        </w:rPr>
      </w:pPr>
      <w:r>
        <w:rPr>
          <w:rFonts w:ascii="宋体" w:hint="eastAsia"/>
          <w:szCs w:val="21"/>
        </w:rPr>
        <w:t>掌握儿童自闭症的检查与评估、临床表现、功能障碍及物理治疗方法</w:t>
      </w:r>
    </w:p>
    <w:p w:rsidR="003717A0" w:rsidRDefault="003717A0">
      <w:pPr>
        <w:numPr>
          <w:ilvl w:val="0"/>
          <w:numId w:val="446"/>
        </w:numPr>
        <w:rPr>
          <w:rFonts w:ascii="宋体"/>
          <w:szCs w:val="21"/>
        </w:rPr>
      </w:pPr>
      <w:r>
        <w:rPr>
          <w:rFonts w:ascii="宋体" w:hint="eastAsia"/>
          <w:szCs w:val="21"/>
        </w:rPr>
        <w:t>掌握儿童孤独症的检查与评估、临床表现、功能障碍及物理治疗方法</w:t>
      </w:r>
    </w:p>
    <w:p w:rsidR="003717A0" w:rsidRDefault="003717A0">
      <w:pPr>
        <w:ind w:left="210"/>
        <w:rPr>
          <w:rFonts w:ascii="宋体"/>
          <w:b/>
          <w:szCs w:val="21"/>
        </w:rPr>
      </w:pPr>
      <w:r>
        <w:rPr>
          <w:rFonts w:ascii="宋体" w:hint="eastAsia"/>
          <w:b/>
          <w:szCs w:val="21"/>
        </w:rPr>
        <w:t>教学内容</w:t>
      </w:r>
    </w:p>
    <w:p w:rsidR="003717A0" w:rsidRDefault="003717A0">
      <w:pPr>
        <w:numPr>
          <w:ilvl w:val="0"/>
          <w:numId w:val="447"/>
        </w:numPr>
        <w:rPr>
          <w:rFonts w:ascii="宋体"/>
          <w:szCs w:val="21"/>
        </w:rPr>
      </w:pPr>
      <w:r>
        <w:rPr>
          <w:rFonts w:ascii="宋体" w:hint="eastAsia"/>
          <w:szCs w:val="21"/>
        </w:rPr>
        <w:t>儿童疾病的特点与现状</w:t>
      </w:r>
    </w:p>
    <w:p w:rsidR="003717A0" w:rsidRDefault="003717A0">
      <w:pPr>
        <w:numPr>
          <w:ilvl w:val="0"/>
          <w:numId w:val="447"/>
        </w:numPr>
        <w:rPr>
          <w:rFonts w:ascii="宋体"/>
          <w:szCs w:val="21"/>
        </w:rPr>
      </w:pPr>
      <w:r>
        <w:rPr>
          <w:rFonts w:ascii="宋体" w:hint="eastAsia"/>
          <w:szCs w:val="21"/>
        </w:rPr>
        <w:t>儿童脑瘫的物理治疗</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物理治疗方法</w:t>
      </w:r>
    </w:p>
    <w:p w:rsidR="003717A0" w:rsidRDefault="003717A0">
      <w:pPr>
        <w:rPr>
          <w:rFonts w:ascii="宋体"/>
          <w:szCs w:val="21"/>
        </w:rPr>
      </w:pPr>
    </w:p>
    <w:p w:rsidR="003717A0" w:rsidRDefault="003717A0">
      <w:pPr>
        <w:numPr>
          <w:ilvl w:val="0"/>
          <w:numId w:val="447"/>
        </w:numPr>
        <w:rPr>
          <w:rFonts w:ascii="宋体"/>
          <w:szCs w:val="21"/>
        </w:rPr>
      </w:pPr>
      <w:r>
        <w:rPr>
          <w:rFonts w:ascii="宋体" w:hint="eastAsia"/>
          <w:szCs w:val="21"/>
        </w:rPr>
        <w:t>儿童自闭症的物理治疗</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物理治疗方法</w:t>
      </w:r>
    </w:p>
    <w:p w:rsidR="003717A0" w:rsidRDefault="003717A0">
      <w:pPr>
        <w:rPr>
          <w:rFonts w:ascii="宋体"/>
          <w:szCs w:val="21"/>
        </w:rPr>
      </w:pPr>
    </w:p>
    <w:p w:rsidR="003717A0" w:rsidRDefault="003717A0">
      <w:pPr>
        <w:numPr>
          <w:ilvl w:val="0"/>
          <w:numId w:val="447"/>
        </w:numPr>
        <w:rPr>
          <w:rFonts w:ascii="宋体"/>
          <w:szCs w:val="21"/>
        </w:rPr>
      </w:pPr>
      <w:r>
        <w:rPr>
          <w:rFonts w:ascii="宋体" w:hint="eastAsia"/>
          <w:szCs w:val="21"/>
        </w:rPr>
        <w:t>儿童孤独症的物理治疗</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物理治疗方法</w:t>
      </w:r>
    </w:p>
    <w:p w:rsidR="003717A0" w:rsidRDefault="003717A0">
      <w:pPr>
        <w:ind w:left="210"/>
        <w:rPr>
          <w:rFonts w:ascii="宋体"/>
          <w:szCs w:val="21"/>
        </w:rPr>
      </w:pPr>
    </w:p>
    <w:p w:rsidR="003717A0" w:rsidRDefault="003717A0">
      <w:pPr>
        <w:numPr>
          <w:ilvl w:val="0"/>
          <w:numId w:val="448"/>
        </w:numPr>
        <w:rPr>
          <w:rFonts w:ascii="宋体"/>
          <w:b/>
          <w:szCs w:val="21"/>
        </w:rPr>
      </w:pPr>
      <w:r>
        <w:rPr>
          <w:rFonts w:ascii="宋体" w:hint="eastAsia"/>
          <w:b/>
          <w:szCs w:val="21"/>
        </w:rPr>
        <w:t>老年疾病的物理治疗</w:t>
      </w:r>
    </w:p>
    <w:p w:rsidR="003717A0" w:rsidRDefault="003717A0">
      <w:pPr>
        <w:ind w:left="210"/>
        <w:rPr>
          <w:rFonts w:ascii="宋体"/>
          <w:b/>
          <w:szCs w:val="21"/>
        </w:rPr>
      </w:pPr>
      <w:r>
        <w:rPr>
          <w:rFonts w:ascii="宋体" w:hint="eastAsia"/>
          <w:b/>
          <w:szCs w:val="21"/>
        </w:rPr>
        <w:t>目的要求</w:t>
      </w:r>
    </w:p>
    <w:p w:rsidR="003717A0" w:rsidRDefault="003717A0">
      <w:pPr>
        <w:autoSpaceDE w:val="0"/>
        <w:autoSpaceDN w:val="0"/>
        <w:adjustRightInd w:val="0"/>
        <w:snapToGrid w:val="0"/>
        <w:spacing w:line="440" w:lineRule="exact"/>
        <w:jc w:val="left"/>
        <w:rPr>
          <w:rFonts w:ascii="宋体"/>
          <w:szCs w:val="21"/>
        </w:rPr>
      </w:pPr>
      <w:r>
        <w:rPr>
          <w:rFonts w:ascii="宋体"/>
          <w:szCs w:val="21"/>
        </w:rPr>
        <w:t>1</w:t>
      </w:r>
      <w:r>
        <w:rPr>
          <w:rFonts w:ascii="宋体" w:hint="eastAsia"/>
          <w:szCs w:val="21"/>
        </w:rPr>
        <w:t>、了解我国老龄化的现状</w:t>
      </w:r>
    </w:p>
    <w:p w:rsidR="003717A0" w:rsidRDefault="003717A0">
      <w:pPr>
        <w:autoSpaceDE w:val="0"/>
        <w:autoSpaceDN w:val="0"/>
        <w:adjustRightInd w:val="0"/>
        <w:snapToGrid w:val="0"/>
        <w:spacing w:line="440" w:lineRule="exact"/>
        <w:jc w:val="left"/>
        <w:rPr>
          <w:rFonts w:ascii="宋体"/>
          <w:szCs w:val="21"/>
        </w:rPr>
      </w:pPr>
      <w:r>
        <w:rPr>
          <w:rFonts w:ascii="宋体"/>
          <w:szCs w:val="21"/>
        </w:rPr>
        <w:t>2</w:t>
      </w:r>
      <w:r>
        <w:rPr>
          <w:rFonts w:ascii="宋体" w:hint="eastAsia"/>
          <w:szCs w:val="21"/>
        </w:rPr>
        <w:t>、了解老年人健康的概念及生理、心理特点</w:t>
      </w:r>
    </w:p>
    <w:p w:rsidR="003717A0" w:rsidRDefault="003717A0">
      <w:pPr>
        <w:autoSpaceDE w:val="0"/>
        <w:autoSpaceDN w:val="0"/>
        <w:adjustRightInd w:val="0"/>
        <w:snapToGrid w:val="0"/>
        <w:spacing w:line="440" w:lineRule="exact"/>
        <w:jc w:val="left"/>
        <w:rPr>
          <w:rFonts w:ascii="宋体"/>
          <w:szCs w:val="21"/>
        </w:rPr>
      </w:pPr>
      <w:r>
        <w:rPr>
          <w:rFonts w:ascii="宋体"/>
          <w:szCs w:val="21"/>
        </w:rPr>
        <w:t>3</w:t>
      </w:r>
      <w:r>
        <w:rPr>
          <w:rFonts w:ascii="宋体" w:hint="eastAsia"/>
          <w:szCs w:val="21"/>
        </w:rPr>
        <w:t>、掌握老年人脑卒中后的检查与评估、临床表现、功能障碍及物理治疗方法</w:t>
      </w:r>
    </w:p>
    <w:p w:rsidR="003717A0" w:rsidRDefault="003717A0">
      <w:pPr>
        <w:autoSpaceDE w:val="0"/>
        <w:autoSpaceDN w:val="0"/>
        <w:adjustRightInd w:val="0"/>
        <w:snapToGrid w:val="0"/>
        <w:spacing w:line="440" w:lineRule="exact"/>
        <w:jc w:val="left"/>
        <w:rPr>
          <w:rFonts w:ascii="宋体"/>
          <w:szCs w:val="21"/>
        </w:rPr>
      </w:pPr>
      <w:r>
        <w:rPr>
          <w:rFonts w:ascii="宋体"/>
          <w:szCs w:val="21"/>
        </w:rPr>
        <w:t>4</w:t>
      </w:r>
      <w:r>
        <w:rPr>
          <w:rFonts w:ascii="宋体" w:hint="eastAsia"/>
          <w:szCs w:val="21"/>
        </w:rPr>
        <w:t>、掌握老年人常见的慢性阻塞性肺炎、糖尿病、骨质疏松、老年痴呆症等疾病的检查评估、临床表现、功能障碍及物理治疗方法</w:t>
      </w:r>
    </w:p>
    <w:p w:rsidR="003717A0" w:rsidRDefault="003717A0">
      <w:pPr>
        <w:rPr>
          <w:rFonts w:ascii="宋体"/>
          <w:szCs w:val="21"/>
        </w:rPr>
      </w:pPr>
    </w:p>
    <w:p w:rsidR="003717A0" w:rsidRDefault="003717A0">
      <w:pPr>
        <w:ind w:firstLineChars="98" w:firstLine="207"/>
        <w:rPr>
          <w:rFonts w:ascii="宋体"/>
          <w:b/>
          <w:szCs w:val="21"/>
        </w:rPr>
      </w:pPr>
      <w:r>
        <w:rPr>
          <w:rFonts w:ascii="宋体" w:hint="eastAsia"/>
          <w:b/>
          <w:szCs w:val="21"/>
        </w:rPr>
        <w:t>教学内容</w:t>
      </w:r>
    </w:p>
    <w:p w:rsidR="003717A0" w:rsidRDefault="003717A0">
      <w:pPr>
        <w:rPr>
          <w:rFonts w:ascii="宋体"/>
          <w:szCs w:val="21"/>
        </w:rPr>
      </w:pPr>
      <w:r>
        <w:rPr>
          <w:rFonts w:ascii="宋体" w:hint="eastAsia"/>
          <w:szCs w:val="21"/>
        </w:rPr>
        <w:t>第一节</w:t>
      </w:r>
      <w:r>
        <w:rPr>
          <w:rFonts w:ascii="宋体"/>
          <w:szCs w:val="21"/>
        </w:rPr>
        <w:t xml:space="preserve">  </w:t>
      </w:r>
      <w:r>
        <w:rPr>
          <w:rFonts w:ascii="宋体" w:hint="eastAsia"/>
          <w:szCs w:val="21"/>
        </w:rPr>
        <w:t>老年人健康与物理治疗</w:t>
      </w:r>
    </w:p>
    <w:p w:rsidR="003717A0" w:rsidRDefault="003717A0">
      <w:pPr>
        <w:ind w:leftChars="171" w:left="359" w:firstLineChars="200" w:firstLine="420"/>
        <w:rPr>
          <w:rFonts w:ascii="宋体"/>
          <w:szCs w:val="21"/>
        </w:rPr>
      </w:pPr>
      <w:r>
        <w:rPr>
          <w:rFonts w:ascii="宋体" w:hint="eastAsia"/>
          <w:szCs w:val="21"/>
        </w:rPr>
        <w:t>老年人健康及生理、心理特点特点</w:t>
      </w:r>
    </w:p>
    <w:p w:rsidR="003717A0" w:rsidRDefault="003717A0">
      <w:pPr>
        <w:ind w:leftChars="171" w:left="359" w:firstLineChars="200" w:firstLine="420"/>
        <w:rPr>
          <w:rFonts w:ascii="宋体"/>
          <w:szCs w:val="21"/>
        </w:rPr>
      </w:pPr>
      <w:r>
        <w:rPr>
          <w:rFonts w:ascii="宋体" w:hint="eastAsia"/>
          <w:szCs w:val="21"/>
        </w:rPr>
        <w:t>成功老年化概念</w:t>
      </w:r>
    </w:p>
    <w:p w:rsidR="003717A0" w:rsidRDefault="003717A0">
      <w:pPr>
        <w:ind w:leftChars="171" w:left="359" w:firstLineChars="200" w:firstLine="420"/>
        <w:rPr>
          <w:rFonts w:ascii="宋体"/>
          <w:szCs w:val="21"/>
        </w:rPr>
      </w:pPr>
      <w:r>
        <w:rPr>
          <w:rFonts w:ascii="宋体" w:hint="eastAsia"/>
          <w:szCs w:val="21"/>
        </w:rPr>
        <w:t>成功老龄化与物理治疗</w:t>
      </w:r>
    </w:p>
    <w:p w:rsidR="003717A0" w:rsidRDefault="003717A0">
      <w:pPr>
        <w:rPr>
          <w:rFonts w:ascii="宋体"/>
          <w:szCs w:val="21"/>
        </w:rPr>
      </w:pPr>
      <w:r>
        <w:rPr>
          <w:rFonts w:ascii="宋体" w:hint="eastAsia"/>
          <w:szCs w:val="21"/>
        </w:rPr>
        <w:t>第二节</w:t>
      </w:r>
      <w:r>
        <w:rPr>
          <w:rFonts w:ascii="宋体"/>
          <w:szCs w:val="21"/>
        </w:rPr>
        <w:t xml:space="preserve">  </w:t>
      </w:r>
      <w:r>
        <w:rPr>
          <w:rFonts w:ascii="宋体" w:hint="eastAsia"/>
          <w:szCs w:val="21"/>
        </w:rPr>
        <w:t>老年人脑卒中的物理治疗</w:t>
      </w:r>
    </w:p>
    <w:p w:rsidR="003717A0" w:rsidRDefault="003717A0">
      <w:pPr>
        <w:autoSpaceDE w:val="0"/>
        <w:autoSpaceDN w:val="0"/>
        <w:adjustRightInd w:val="0"/>
        <w:snapToGrid w:val="0"/>
        <w:spacing w:line="440" w:lineRule="exact"/>
        <w:ind w:firstLineChars="550" w:firstLine="1155"/>
        <w:jc w:val="left"/>
        <w:rPr>
          <w:rFonts w:ascii="宋体"/>
          <w:szCs w:val="21"/>
        </w:rPr>
      </w:pP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rPr>
          <w:rFonts w:ascii="宋体"/>
          <w:szCs w:val="21"/>
        </w:rPr>
      </w:pPr>
      <w:r>
        <w:rPr>
          <w:rFonts w:ascii="宋体"/>
          <w:szCs w:val="21"/>
        </w:rPr>
        <w:t xml:space="preserve">           </w:t>
      </w:r>
      <w:r>
        <w:rPr>
          <w:rFonts w:ascii="宋体" w:hint="eastAsia"/>
          <w:szCs w:val="21"/>
        </w:rPr>
        <w:t>物理治疗方法</w:t>
      </w:r>
    </w:p>
    <w:p w:rsidR="003717A0" w:rsidRDefault="003717A0">
      <w:pPr>
        <w:rPr>
          <w:rFonts w:ascii="宋体"/>
          <w:szCs w:val="21"/>
        </w:rPr>
      </w:pPr>
      <w:r>
        <w:rPr>
          <w:rFonts w:ascii="宋体" w:hint="eastAsia"/>
          <w:szCs w:val="21"/>
        </w:rPr>
        <w:t>第三节</w:t>
      </w:r>
      <w:r>
        <w:rPr>
          <w:rFonts w:ascii="宋体"/>
          <w:szCs w:val="21"/>
        </w:rPr>
        <w:t xml:space="preserve">  </w:t>
      </w:r>
      <w:r>
        <w:rPr>
          <w:rFonts w:ascii="宋体" w:hint="eastAsia"/>
          <w:szCs w:val="21"/>
        </w:rPr>
        <w:t>老年人慢性阻塞性肺病的物理治疗</w:t>
      </w:r>
    </w:p>
    <w:p w:rsidR="003717A0" w:rsidRDefault="003717A0">
      <w:pPr>
        <w:autoSpaceDE w:val="0"/>
        <w:autoSpaceDN w:val="0"/>
        <w:adjustRightInd w:val="0"/>
        <w:snapToGrid w:val="0"/>
        <w:spacing w:line="440" w:lineRule="exact"/>
        <w:ind w:firstLineChars="500" w:firstLine="1050"/>
        <w:jc w:val="left"/>
        <w:rPr>
          <w:rFonts w:ascii="宋体"/>
          <w:szCs w:val="21"/>
        </w:rPr>
      </w:pPr>
      <w:r>
        <w:rPr>
          <w:rFonts w:ascii="宋体"/>
          <w:szCs w:val="21"/>
        </w:rPr>
        <w:t xml:space="preserve"> </w:t>
      </w: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rPr>
          <w:rFonts w:ascii="宋体"/>
          <w:szCs w:val="21"/>
        </w:rPr>
      </w:pPr>
      <w:r>
        <w:rPr>
          <w:rFonts w:ascii="宋体"/>
          <w:szCs w:val="21"/>
        </w:rPr>
        <w:t xml:space="preserve">           </w:t>
      </w:r>
      <w:r>
        <w:rPr>
          <w:rFonts w:ascii="宋体" w:hint="eastAsia"/>
          <w:szCs w:val="21"/>
        </w:rPr>
        <w:t>物理治疗方法</w:t>
      </w:r>
    </w:p>
    <w:p w:rsidR="003717A0" w:rsidRDefault="003717A0">
      <w:pPr>
        <w:rPr>
          <w:rFonts w:ascii="宋体"/>
          <w:szCs w:val="21"/>
        </w:rPr>
      </w:pPr>
      <w:r>
        <w:rPr>
          <w:rFonts w:ascii="宋体" w:hint="eastAsia"/>
          <w:szCs w:val="21"/>
        </w:rPr>
        <w:t>第四节</w:t>
      </w:r>
      <w:r>
        <w:rPr>
          <w:rFonts w:ascii="宋体"/>
          <w:szCs w:val="21"/>
        </w:rPr>
        <w:t xml:space="preserve">  </w:t>
      </w:r>
      <w:r>
        <w:rPr>
          <w:rFonts w:ascii="宋体" w:hint="eastAsia"/>
          <w:szCs w:val="21"/>
        </w:rPr>
        <w:t>老年人糖尿病的物理治疗</w:t>
      </w:r>
    </w:p>
    <w:p w:rsidR="003717A0" w:rsidRDefault="003717A0">
      <w:pPr>
        <w:autoSpaceDE w:val="0"/>
        <w:autoSpaceDN w:val="0"/>
        <w:adjustRightInd w:val="0"/>
        <w:snapToGrid w:val="0"/>
        <w:spacing w:line="440" w:lineRule="exact"/>
        <w:ind w:firstLineChars="550" w:firstLine="1155"/>
        <w:jc w:val="left"/>
        <w:rPr>
          <w:rFonts w:ascii="宋体"/>
          <w:szCs w:val="21"/>
        </w:rPr>
      </w:pPr>
      <w:r>
        <w:rPr>
          <w:rFonts w:ascii="宋体" w:hint="eastAsia"/>
          <w:szCs w:val="21"/>
        </w:rPr>
        <w:lastRenderedPageBreak/>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rPr>
          <w:rFonts w:ascii="宋体"/>
          <w:szCs w:val="21"/>
        </w:rPr>
      </w:pPr>
      <w:r>
        <w:rPr>
          <w:rFonts w:ascii="宋体"/>
          <w:szCs w:val="21"/>
        </w:rPr>
        <w:t xml:space="preserve">           </w:t>
      </w:r>
      <w:r>
        <w:rPr>
          <w:rFonts w:ascii="宋体" w:hint="eastAsia"/>
          <w:szCs w:val="21"/>
        </w:rPr>
        <w:t>物理治疗方法</w:t>
      </w:r>
    </w:p>
    <w:p w:rsidR="003717A0" w:rsidRDefault="003717A0">
      <w:pPr>
        <w:rPr>
          <w:rFonts w:ascii="宋体"/>
          <w:szCs w:val="21"/>
        </w:rPr>
      </w:pPr>
      <w:r>
        <w:rPr>
          <w:rFonts w:ascii="宋体" w:hint="eastAsia"/>
          <w:szCs w:val="21"/>
        </w:rPr>
        <w:t>第五节</w:t>
      </w:r>
      <w:r>
        <w:rPr>
          <w:rFonts w:ascii="宋体"/>
          <w:szCs w:val="21"/>
        </w:rPr>
        <w:t xml:space="preserve">  </w:t>
      </w:r>
      <w:r>
        <w:rPr>
          <w:rFonts w:ascii="宋体" w:hint="eastAsia"/>
          <w:szCs w:val="21"/>
        </w:rPr>
        <w:t>老年人骨质疏松的物理治疗</w:t>
      </w:r>
    </w:p>
    <w:p w:rsidR="003717A0" w:rsidRDefault="003717A0">
      <w:pPr>
        <w:autoSpaceDE w:val="0"/>
        <w:autoSpaceDN w:val="0"/>
        <w:adjustRightInd w:val="0"/>
        <w:snapToGrid w:val="0"/>
        <w:spacing w:line="440" w:lineRule="exact"/>
        <w:ind w:firstLineChars="550" w:firstLine="1155"/>
        <w:jc w:val="left"/>
        <w:rPr>
          <w:rFonts w:ascii="宋体"/>
          <w:szCs w:val="21"/>
        </w:rPr>
      </w:pP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rPr>
          <w:rFonts w:ascii="宋体"/>
          <w:szCs w:val="21"/>
        </w:rPr>
      </w:pPr>
      <w:r>
        <w:rPr>
          <w:rFonts w:ascii="宋体"/>
          <w:szCs w:val="21"/>
        </w:rPr>
        <w:t xml:space="preserve">           </w:t>
      </w:r>
      <w:r>
        <w:rPr>
          <w:rFonts w:ascii="宋体" w:hint="eastAsia"/>
          <w:szCs w:val="21"/>
        </w:rPr>
        <w:t>物理治疗方法</w:t>
      </w:r>
    </w:p>
    <w:p w:rsidR="003717A0" w:rsidRDefault="003717A0">
      <w:pPr>
        <w:rPr>
          <w:rFonts w:ascii="宋体"/>
          <w:szCs w:val="21"/>
        </w:rPr>
      </w:pPr>
      <w:r>
        <w:rPr>
          <w:rFonts w:ascii="宋体" w:hint="eastAsia"/>
          <w:szCs w:val="21"/>
        </w:rPr>
        <w:t>第六节</w:t>
      </w:r>
      <w:r>
        <w:rPr>
          <w:rFonts w:ascii="宋体"/>
          <w:szCs w:val="21"/>
        </w:rPr>
        <w:t xml:space="preserve">  </w:t>
      </w:r>
      <w:r>
        <w:rPr>
          <w:rFonts w:ascii="宋体" w:hint="eastAsia"/>
          <w:szCs w:val="21"/>
        </w:rPr>
        <w:t>老年痴呆的物理治疗</w:t>
      </w:r>
    </w:p>
    <w:p w:rsidR="003717A0" w:rsidRDefault="003717A0">
      <w:pPr>
        <w:autoSpaceDE w:val="0"/>
        <w:autoSpaceDN w:val="0"/>
        <w:adjustRightInd w:val="0"/>
        <w:snapToGrid w:val="0"/>
        <w:spacing w:line="440" w:lineRule="exact"/>
        <w:ind w:firstLineChars="500" w:firstLine="1050"/>
        <w:jc w:val="left"/>
        <w:rPr>
          <w:rFonts w:ascii="宋体"/>
          <w:szCs w:val="21"/>
        </w:rPr>
      </w:pPr>
      <w:r>
        <w:rPr>
          <w:rFonts w:ascii="宋体"/>
          <w:szCs w:val="21"/>
        </w:rPr>
        <w:t xml:space="preserve"> </w:t>
      </w:r>
      <w:r>
        <w:rPr>
          <w:rFonts w:ascii="宋体" w:hint="eastAsia"/>
          <w:szCs w:val="21"/>
        </w:rPr>
        <w:t>检查评估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临床表现</w:t>
      </w:r>
    </w:p>
    <w:p w:rsidR="003717A0" w:rsidRDefault="003717A0">
      <w:pPr>
        <w:autoSpaceDE w:val="0"/>
        <w:autoSpaceDN w:val="0"/>
        <w:adjustRightInd w:val="0"/>
        <w:snapToGrid w:val="0"/>
        <w:spacing w:line="440" w:lineRule="exact"/>
        <w:jc w:val="left"/>
        <w:rPr>
          <w:rFonts w:ascii="宋体"/>
          <w:szCs w:val="21"/>
        </w:rPr>
      </w:pPr>
      <w:r>
        <w:rPr>
          <w:rFonts w:ascii="宋体"/>
          <w:szCs w:val="21"/>
        </w:rPr>
        <w:t xml:space="preserve">           </w:t>
      </w:r>
      <w:r>
        <w:rPr>
          <w:rFonts w:ascii="宋体" w:hint="eastAsia"/>
          <w:szCs w:val="21"/>
        </w:rPr>
        <w:t>功能障碍</w:t>
      </w:r>
    </w:p>
    <w:p w:rsidR="003717A0" w:rsidRDefault="003717A0">
      <w:pPr>
        <w:rPr>
          <w:rFonts w:ascii="宋体"/>
          <w:szCs w:val="21"/>
        </w:rPr>
      </w:pPr>
      <w:r>
        <w:rPr>
          <w:rFonts w:ascii="宋体"/>
          <w:szCs w:val="21"/>
        </w:rPr>
        <w:t xml:space="preserve">           </w:t>
      </w:r>
      <w:r>
        <w:rPr>
          <w:rFonts w:ascii="宋体" w:hint="eastAsia"/>
          <w:szCs w:val="21"/>
        </w:rPr>
        <w:t>物理治疗方法</w:t>
      </w:r>
    </w:p>
    <w:p w:rsidR="003717A0" w:rsidRDefault="003717A0">
      <w:pPr>
        <w:ind w:firstLineChars="50" w:firstLine="105"/>
        <w:jc w:val="left"/>
        <w:rPr>
          <w:b/>
        </w:rPr>
      </w:pPr>
      <w:r>
        <w:rPr>
          <w:rFonts w:hint="eastAsia"/>
          <w:b/>
        </w:rPr>
        <w:t>学时数分配</w:t>
      </w:r>
    </w:p>
    <w:tbl>
      <w:tblPr>
        <w:tblW w:w="7356" w:type="dxa"/>
        <w:tblInd w:w="93" w:type="dxa"/>
        <w:tblLayout w:type="fixed"/>
        <w:tblLook w:val="00A0"/>
      </w:tblPr>
      <w:tblGrid>
        <w:gridCol w:w="1291"/>
        <w:gridCol w:w="2949"/>
        <w:gridCol w:w="1220"/>
        <w:gridCol w:w="1020"/>
        <w:gridCol w:w="876"/>
      </w:tblGrid>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章节</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教学内容</w:t>
            </w:r>
          </w:p>
        </w:tc>
        <w:tc>
          <w:tcPr>
            <w:tcW w:w="1220"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主讲课</w:t>
            </w:r>
          </w:p>
        </w:tc>
        <w:tc>
          <w:tcPr>
            <w:tcW w:w="1020"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见习</w:t>
            </w:r>
          </w:p>
        </w:tc>
        <w:tc>
          <w:tcPr>
            <w:tcW w:w="876"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合计</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第一章</w:t>
            </w:r>
          </w:p>
        </w:tc>
        <w:tc>
          <w:tcPr>
            <w:tcW w:w="2949" w:type="dxa"/>
            <w:tcBorders>
              <w:top w:val="nil"/>
              <w:left w:val="nil"/>
              <w:bottom w:val="nil"/>
              <w:right w:val="nil"/>
            </w:tcBorders>
            <w:vAlign w:val="center"/>
          </w:tcPr>
          <w:p w:rsidR="003717A0" w:rsidRDefault="003717A0">
            <w:pPr>
              <w:rPr>
                <w:rFonts w:ascii="宋体"/>
                <w:szCs w:val="21"/>
              </w:rPr>
            </w:pPr>
            <w:r>
              <w:rPr>
                <w:rFonts w:ascii="宋体" w:hint="eastAsia"/>
                <w:szCs w:val="21"/>
              </w:rPr>
              <w:t>儿童疾病的特点与现状</w:t>
            </w:r>
          </w:p>
          <w:p w:rsidR="003717A0" w:rsidRDefault="003717A0">
            <w:pPr>
              <w:rPr>
                <w:rFonts w:ascii="宋体"/>
                <w:szCs w:val="21"/>
              </w:rPr>
            </w:pPr>
            <w:r>
              <w:rPr>
                <w:rFonts w:ascii="宋体" w:hint="eastAsia"/>
                <w:szCs w:val="21"/>
              </w:rPr>
              <w:t>儿童脑瘫的物理治疗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第一章</w:t>
            </w:r>
          </w:p>
        </w:tc>
        <w:tc>
          <w:tcPr>
            <w:tcW w:w="2949" w:type="dxa"/>
            <w:tcBorders>
              <w:top w:val="nil"/>
              <w:left w:val="nil"/>
              <w:bottom w:val="nil"/>
              <w:right w:val="nil"/>
            </w:tcBorders>
            <w:vAlign w:val="center"/>
          </w:tcPr>
          <w:p w:rsidR="003717A0" w:rsidRDefault="003717A0">
            <w:pPr>
              <w:rPr>
                <w:rFonts w:ascii="宋体"/>
                <w:szCs w:val="21"/>
              </w:rPr>
            </w:pPr>
            <w:r>
              <w:rPr>
                <w:rFonts w:ascii="宋体" w:hint="eastAsia"/>
                <w:szCs w:val="21"/>
              </w:rPr>
              <w:t>儿童自闭症的物理治疗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第一章</w:t>
            </w:r>
          </w:p>
        </w:tc>
        <w:tc>
          <w:tcPr>
            <w:tcW w:w="2949" w:type="dxa"/>
            <w:tcBorders>
              <w:top w:val="nil"/>
              <w:left w:val="nil"/>
              <w:bottom w:val="nil"/>
              <w:right w:val="nil"/>
            </w:tcBorders>
            <w:vAlign w:val="center"/>
          </w:tcPr>
          <w:p w:rsidR="003717A0" w:rsidRDefault="003717A0">
            <w:pPr>
              <w:rPr>
                <w:rFonts w:ascii="宋体"/>
                <w:szCs w:val="21"/>
              </w:rPr>
            </w:pPr>
            <w:r>
              <w:rPr>
                <w:rFonts w:ascii="宋体" w:hint="eastAsia"/>
                <w:szCs w:val="21"/>
              </w:rPr>
              <w:t>儿童孤独症的物理治疗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hint="eastAsia"/>
                <w:szCs w:val="21"/>
              </w:rPr>
              <w:t>老年人健康与物理治疗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hint="eastAsia"/>
                <w:szCs w:val="21"/>
              </w:rPr>
              <w:t>老年人脑卒中的物理治疗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hint="eastAsia"/>
                <w:szCs w:val="21"/>
              </w:rPr>
              <w:t>老年人慢性阻塞性肺病的物理治疗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hint="eastAsia"/>
                <w:szCs w:val="21"/>
              </w:rPr>
              <w:t>老年人糖尿病的物理治疗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hint="eastAsia"/>
                <w:szCs w:val="21"/>
              </w:rPr>
              <w:t>老年人骨质疏松的物理治疗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hint="eastAsia"/>
                <w:szCs w:val="21"/>
              </w:rPr>
              <w:t>老年痴呆的物理治疗</w:t>
            </w: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trPr>
          <w:trHeight w:val="285"/>
        </w:trPr>
        <w:tc>
          <w:tcPr>
            <w:tcW w:w="1291" w:type="dxa"/>
            <w:tcBorders>
              <w:top w:val="nil"/>
              <w:left w:val="nil"/>
              <w:bottom w:val="nil"/>
              <w:right w:val="nil"/>
            </w:tcBorders>
            <w:vAlign w:val="center"/>
          </w:tcPr>
          <w:p w:rsidR="003717A0" w:rsidRDefault="003717A0">
            <w:pPr>
              <w:widowControl/>
              <w:jc w:val="left"/>
              <w:rPr>
                <w:rFonts w:ascii="宋体" w:cs="宋体"/>
                <w:kern w:val="0"/>
                <w:sz w:val="24"/>
                <w:szCs w:val="24"/>
              </w:rPr>
            </w:pPr>
            <w:r>
              <w:rPr>
                <w:rFonts w:ascii="宋体" w:cs="宋体" w:hint="eastAsia"/>
                <w:kern w:val="0"/>
                <w:sz w:val="24"/>
                <w:szCs w:val="24"/>
              </w:rPr>
              <w:t>合计</w:t>
            </w:r>
          </w:p>
        </w:tc>
        <w:tc>
          <w:tcPr>
            <w:tcW w:w="2949" w:type="dxa"/>
            <w:tcBorders>
              <w:top w:val="nil"/>
              <w:left w:val="nil"/>
              <w:bottom w:val="nil"/>
              <w:right w:val="nil"/>
            </w:tcBorders>
            <w:vAlign w:val="center"/>
          </w:tcPr>
          <w:p w:rsidR="003717A0" w:rsidRDefault="003717A0">
            <w:pPr>
              <w:widowControl/>
              <w:jc w:val="left"/>
              <w:rPr>
                <w:rFonts w:ascii="宋体" w:cs="宋体"/>
                <w:kern w:val="0"/>
                <w:sz w:val="24"/>
                <w:szCs w:val="24"/>
              </w:rPr>
            </w:pPr>
          </w:p>
        </w:tc>
        <w:tc>
          <w:tcPr>
            <w:tcW w:w="12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27</w:t>
            </w:r>
          </w:p>
        </w:tc>
        <w:tc>
          <w:tcPr>
            <w:tcW w:w="1020"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27</w:t>
            </w:r>
          </w:p>
        </w:tc>
        <w:tc>
          <w:tcPr>
            <w:tcW w:w="876" w:type="dxa"/>
            <w:tcBorders>
              <w:top w:val="nil"/>
              <w:left w:val="nil"/>
              <w:bottom w:val="nil"/>
              <w:right w:val="nil"/>
            </w:tcBorders>
            <w:vAlign w:val="center"/>
          </w:tcPr>
          <w:p w:rsidR="003717A0" w:rsidRDefault="003717A0">
            <w:pPr>
              <w:widowControl/>
              <w:jc w:val="right"/>
              <w:rPr>
                <w:rFonts w:ascii="宋体" w:cs="宋体"/>
                <w:kern w:val="0"/>
                <w:sz w:val="24"/>
                <w:szCs w:val="24"/>
              </w:rPr>
            </w:pPr>
            <w:r>
              <w:rPr>
                <w:rFonts w:ascii="宋体" w:cs="宋体"/>
                <w:kern w:val="0"/>
                <w:sz w:val="24"/>
                <w:szCs w:val="24"/>
              </w:rPr>
              <w:t>54</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ind w:firstLineChars="150" w:firstLine="315"/>
        <w:rPr>
          <w:rFonts w:ascii="宋体"/>
          <w:szCs w:val="21"/>
        </w:rPr>
      </w:pPr>
      <w:r>
        <w:rPr>
          <w:rFonts w:ascii="宋体" w:hint="eastAsia"/>
          <w:szCs w:val="21"/>
        </w:rPr>
        <w:t>课堂教学以大班上课为主，讲课按教学大纲进行讲课时要做到目地明确，层次分明，讲究教学方法，充分利用图表、幻灯、录相、多媒体等教学工具。</w:t>
      </w:r>
    </w:p>
    <w:p w:rsidR="003717A0" w:rsidRDefault="003717A0">
      <w:pPr>
        <w:ind w:firstLineChars="150" w:firstLine="315"/>
        <w:rPr>
          <w:rFonts w:ascii="宋体"/>
          <w:szCs w:val="21"/>
        </w:rPr>
      </w:pPr>
      <w:r>
        <w:rPr>
          <w:rFonts w:ascii="宋体" w:hint="eastAsia"/>
          <w:szCs w:val="21"/>
        </w:rPr>
        <w:t>在实习中，利用各种检查仪器和治疗工具示教，小组带教互动以学生动手学习操作为主，结合对病人治疗进行必要的重点讲解，以巩固和深化课堂所讲授的知识。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ind w:firstLineChars="150" w:firstLine="315"/>
        <w:rPr>
          <w:rFonts w:ascii="宋体"/>
          <w:szCs w:val="21"/>
        </w:rPr>
      </w:pPr>
      <w:r>
        <w:rPr>
          <w:rFonts w:ascii="宋体" w:hint="eastAsia"/>
          <w:szCs w:val="21"/>
        </w:rPr>
        <w:t>本课程考试采用闭卷考核方法，时间为</w:t>
      </w:r>
      <w:r>
        <w:rPr>
          <w:rFonts w:ascii="宋体"/>
          <w:szCs w:val="21"/>
        </w:rPr>
        <w:t xml:space="preserve">2 </w:t>
      </w:r>
      <w:r>
        <w:rPr>
          <w:rFonts w:ascii="宋体" w:hint="eastAsia"/>
          <w:szCs w:val="21"/>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pStyle w:val="a7"/>
        <w:rPr>
          <w:rFonts w:ascii="宋体"/>
          <w:szCs w:val="21"/>
        </w:rPr>
      </w:pPr>
      <w:r>
        <w:rPr>
          <w:rFonts w:ascii="宋体" w:hint="eastAsia"/>
          <w:szCs w:val="21"/>
        </w:rPr>
        <w:t>教材：</w:t>
      </w:r>
      <w:r>
        <w:rPr>
          <w:rFonts w:ascii="宋体"/>
          <w:szCs w:val="21"/>
        </w:rPr>
        <w:t xml:space="preserve"> </w:t>
      </w:r>
      <w:r>
        <w:rPr>
          <w:rFonts w:ascii="宋体" w:hint="eastAsia"/>
          <w:szCs w:val="21"/>
        </w:rPr>
        <w:t>自编讲义《儿童老年疾患的物理治疗》</w:t>
      </w:r>
    </w:p>
    <w:p w:rsidR="003717A0" w:rsidRDefault="003717A0">
      <w:pPr>
        <w:pStyle w:val="a7"/>
        <w:rPr>
          <w:rFonts w:ascii="宋体"/>
          <w:szCs w:val="21"/>
        </w:rPr>
      </w:pPr>
      <w:r>
        <w:rPr>
          <w:rFonts w:ascii="宋体" w:hint="eastAsia"/>
          <w:szCs w:val="21"/>
        </w:rPr>
        <w:t>主要参考书：朱贞国主编《实用物理治疗学》</w:t>
      </w:r>
      <w:r>
        <w:rPr>
          <w:rFonts w:ascii="宋体"/>
          <w:szCs w:val="21"/>
        </w:rPr>
        <w:t xml:space="preserve"> </w:t>
      </w:r>
      <w:r>
        <w:rPr>
          <w:rFonts w:ascii="宋体" w:hint="eastAsia"/>
          <w:szCs w:val="21"/>
        </w:rPr>
        <w:t>南京出版社</w:t>
      </w:r>
      <w:r>
        <w:rPr>
          <w:rFonts w:ascii="宋体"/>
          <w:szCs w:val="21"/>
        </w:rPr>
        <w:t xml:space="preserve"> 1997</w:t>
      </w:r>
      <w:r>
        <w:rPr>
          <w:rFonts w:ascii="宋体" w:hint="eastAsia"/>
          <w:szCs w:val="21"/>
        </w:rPr>
        <w:t>年</w:t>
      </w:r>
    </w:p>
    <w:p w:rsidR="003717A0" w:rsidRDefault="003717A0">
      <w:pPr>
        <w:pStyle w:val="a7"/>
        <w:rPr>
          <w:rFonts w:ascii="宋体"/>
          <w:szCs w:val="21"/>
        </w:rPr>
      </w:pPr>
      <w:r>
        <w:rPr>
          <w:rFonts w:ascii="宋体" w:hint="eastAsia"/>
          <w:szCs w:val="21"/>
        </w:rPr>
        <w:lastRenderedPageBreak/>
        <w:t>乔志恒、华桂茹主编《理疗学》</w:t>
      </w:r>
      <w:r>
        <w:rPr>
          <w:rFonts w:ascii="宋体"/>
          <w:szCs w:val="21"/>
        </w:rPr>
        <w:t xml:space="preserve">  </w:t>
      </w:r>
      <w:r>
        <w:rPr>
          <w:rFonts w:ascii="宋体" w:hint="eastAsia"/>
          <w:szCs w:val="21"/>
        </w:rPr>
        <w:t>华夏出版社</w:t>
      </w:r>
      <w:r>
        <w:rPr>
          <w:rFonts w:ascii="宋体"/>
          <w:szCs w:val="21"/>
        </w:rPr>
        <w:t xml:space="preserve">  2005</w:t>
      </w:r>
      <w:r>
        <w:rPr>
          <w:rFonts w:ascii="宋体" w:hint="eastAsia"/>
          <w:szCs w:val="21"/>
        </w:rPr>
        <w:t>年</w:t>
      </w:r>
    </w:p>
    <w:p w:rsidR="003717A0" w:rsidRDefault="003717A0">
      <w:pPr>
        <w:pStyle w:val="a7"/>
        <w:rPr>
          <w:rFonts w:ascii="宋体"/>
          <w:szCs w:val="21"/>
        </w:rPr>
      </w:pPr>
      <w:r>
        <w:rPr>
          <w:rFonts w:ascii="宋体" w:hint="eastAsia"/>
          <w:szCs w:val="21"/>
        </w:rPr>
        <w:t>陈景藻主编《现代物理治疗学》</w:t>
      </w:r>
      <w:r>
        <w:rPr>
          <w:rFonts w:ascii="宋体"/>
          <w:szCs w:val="21"/>
        </w:rPr>
        <w:t xml:space="preserve">  </w:t>
      </w:r>
      <w:r>
        <w:rPr>
          <w:rFonts w:ascii="宋体" w:hint="eastAsia"/>
          <w:szCs w:val="21"/>
        </w:rPr>
        <w:t>人民军医出版社</w:t>
      </w:r>
      <w:r>
        <w:rPr>
          <w:rFonts w:ascii="宋体"/>
          <w:szCs w:val="21"/>
        </w:rPr>
        <w:t xml:space="preserve">  2001</w:t>
      </w:r>
      <w:r>
        <w:rPr>
          <w:rFonts w:ascii="宋体" w:hint="eastAsia"/>
          <w:szCs w:val="21"/>
        </w:rPr>
        <w:t>年</w:t>
      </w:r>
    </w:p>
    <w:p w:rsidR="003717A0" w:rsidRDefault="003717A0">
      <w:pPr>
        <w:pStyle w:val="a7"/>
        <w:rPr>
          <w:rFonts w:ascii="宋体"/>
          <w:szCs w:val="21"/>
        </w:rPr>
      </w:pPr>
      <w:r>
        <w:rPr>
          <w:rFonts w:ascii="宋体" w:hint="eastAsia"/>
          <w:szCs w:val="21"/>
        </w:rPr>
        <w:t>励建安主编《康复医学》</w:t>
      </w:r>
      <w:r>
        <w:rPr>
          <w:rFonts w:ascii="宋体"/>
          <w:szCs w:val="21"/>
        </w:rPr>
        <w:t xml:space="preserve">  </w:t>
      </w:r>
      <w:r>
        <w:rPr>
          <w:rFonts w:ascii="宋体" w:hint="eastAsia"/>
          <w:szCs w:val="21"/>
        </w:rPr>
        <w:t>科学出版社</w:t>
      </w:r>
      <w:r>
        <w:rPr>
          <w:rFonts w:ascii="宋体"/>
          <w:szCs w:val="21"/>
        </w:rPr>
        <w:t xml:space="preserve">  2005</w:t>
      </w:r>
      <w:r>
        <w:rPr>
          <w:rFonts w:ascii="宋体" w:hint="eastAsia"/>
          <w:szCs w:val="21"/>
        </w:rPr>
        <w:t>年</w:t>
      </w:r>
      <w:r>
        <w:rPr>
          <w:rFonts w:ascii="宋体"/>
          <w:szCs w:val="21"/>
        </w:rPr>
        <w:t xml:space="preserve"> </w:t>
      </w:r>
    </w:p>
    <w:p w:rsidR="003717A0" w:rsidRDefault="003717A0">
      <w:pPr>
        <w:pStyle w:val="a7"/>
        <w:rPr>
          <w:rFonts w:ascii="宋体"/>
          <w:szCs w:val="21"/>
        </w:rPr>
      </w:pPr>
    </w:p>
    <w:p w:rsidR="003717A0" w:rsidRDefault="003717A0">
      <w:pPr>
        <w:autoSpaceDE w:val="0"/>
        <w:autoSpaceDN w:val="0"/>
        <w:adjustRightInd w:val="0"/>
        <w:ind w:leftChars="2900" w:left="6090" w:firstLineChars="157" w:firstLine="283"/>
        <w:jc w:val="left"/>
        <w:rPr>
          <w:rFonts w:ascii="黑体" w:eastAsia="黑体" w:cs="黑体"/>
          <w:kern w:val="0"/>
          <w:sz w:val="18"/>
          <w:szCs w:val="18"/>
        </w:rPr>
      </w:pPr>
    </w:p>
    <w:p w:rsidR="003717A0" w:rsidRPr="00566E4D" w:rsidRDefault="003717A0" w:rsidP="00566E4D">
      <w:pPr>
        <w:autoSpaceDE w:val="0"/>
        <w:autoSpaceDN w:val="0"/>
        <w:adjustRightInd w:val="0"/>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制定人：沙磊磊</w:t>
      </w:r>
    </w:p>
    <w:p w:rsidR="003717A0" w:rsidRDefault="003717A0" w:rsidP="00566E4D">
      <w:pPr>
        <w:autoSpaceDE w:val="0"/>
        <w:autoSpaceDN w:val="0"/>
        <w:adjustRightInd w:val="0"/>
        <w:spacing w:line="360" w:lineRule="exact"/>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审核人：</w:t>
      </w:r>
      <w:r w:rsidRPr="00566E4D">
        <w:rPr>
          <w:rFonts w:ascii="黑体" w:eastAsia="黑体" w:cs="黑体"/>
          <w:kern w:val="0"/>
          <w:szCs w:val="21"/>
        </w:rPr>
        <w:t xml:space="preserve"> </w:t>
      </w:r>
      <w:r w:rsidRPr="00566E4D">
        <w:rPr>
          <w:rFonts w:ascii="黑体" w:eastAsia="黑体" w:cs="黑体" w:hint="eastAsia"/>
          <w:kern w:val="0"/>
          <w:szCs w:val="21"/>
        </w:rPr>
        <w:t>沈光宇</w:t>
      </w:r>
    </w:p>
    <w:p w:rsidR="003717A0" w:rsidRPr="00566E4D" w:rsidRDefault="003717A0" w:rsidP="00566E4D">
      <w:pPr>
        <w:adjustRightInd w:val="0"/>
        <w:snapToGrid w:val="0"/>
        <w:spacing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20"/>
        <w:jc w:val="left"/>
        <w:rPr>
          <w:rFonts w:ascii="Times New Roman" w:hAnsi="Times New Roman"/>
        </w:rPr>
      </w:pPr>
      <w:r>
        <w:rPr>
          <w:rFonts w:ascii="Times New Roman" w:hAnsi="Times New Roman" w:hint="eastAsia"/>
        </w:rPr>
        <w:t>修读完本课程规定内容的康复治疗专业的本科学生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通过考核来检查和了解学生对本门课程内容的掌握程度，考核学生对常见的</w:t>
      </w:r>
      <w:r>
        <w:rPr>
          <w:rFonts w:ascii="Arial" w:hAnsi="Arial" w:hint="eastAsia"/>
          <w:szCs w:val="21"/>
        </w:rPr>
        <w:t>儿童老年</w:t>
      </w:r>
      <w:r>
        <w:rPr>
          <w:rFonts w:ascii="宋体" w:hint="eastAsia"/>
          <w:szCs w:val="21"/>
        </w:rPr>
        <w:t>疾病的物理治疗理解和掌握情况，包括学生如何对患者进行案例分析和活动分析</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宋体" w:hint="eastAsia"/>
          <w:szCs w:val="21"/>
        </w:rPr>
        <w:t>期末闭卷理论考核和平时小组汇报形式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Times New Roman" w:hint="eastAsia"/>
          <w:szCs w:val="21"/>
        </w:rPr>
        <w:t>期末考试成绩占总成绩的</w:t>
      </w:r>
      <w:r>
        <w:rPr>
          <w:rFonts w:ascii="Times New Roman" w:hAnsi="Times New Roman"/>
          <w:szCs w:val="21"/>
        </w:rP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宋体"/>
          <w:szCs w:val="21"/>
        </w:rPr>
      </w:pPr>
      <w:r>
        <w:rPr>
          <w:rFonts w:hint="eastAsia"/>
          <w:sz w:val="22"/>
        </w:rPr>
        <w:t>儿童老年疾病常见的评估，</w:t>
      </w:r>
      <w:r>
        <w:rPr>
          <w:rFonts w:ascii="宋体" w:hint="eastAsia"/>
          <w:szCs w:val="21"/>
        </w:rPr>
        <w:t>儿童脑瘫、孤独症和自闭症以及老年人</w:t>
      </w:r>
      <w:r>
        <w:rPr>
          <w:rFonts w:ascii="Times New Roman" w:hAnsi="Times New Roman" w:hint="eastAsia"/>
          <w:kern w:val="0"/>
          <w:sz w:val="22"/>
        </w:rPr>
        <w:t>脑卒中后、慢性阻塞性肺病、糖尿病、骨质疏松、老年痴呆症等疾病</w:t>
      </w:r>
      <w:r>
        <w:rPr>
          <w:rFonts w:ascii="宋体" w:hint="eastAsia"/>
          <w:szCs w:val="21"/>
        </w:rPr>
        <w:t>的物理分析和治疗</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掌握儿童老年疾病的概念和评估过程及内容，掌握常见病症的物理治疗方案</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hint="eastAsia"/>
          <w:b/>
          <w:sz w:val="22"/>
        </w:rPr>
        <w:t>儿童老年疾患的物理治疗</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b/>
          <w:kern w:val="0"/>
          <w:sz w:val="22"/>
          <w:u w:val="single"/>
        </w:rPr>
        <w:t xml:space="preserve"> </w:t>
      </w: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90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50</w:t>
      </w:r>
      <w:r>
        <w:rPr>
          <w:rFonts w:ascii="Times New Roman" w:hAnsi="Times New Roman" w:hint="eastAsia"/>
          <w:b/>
          <w:kern w:val="0"/>
          <w:sz w:val="22"/>
        </w:rPr>
        <w:t>分</w:t>
      </w: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1</w:t>
      </w:r>
      <w:r>
        <w:rPr>
          <w:rFonts w:ascii="Times New Roman" w:hAnsi="Times New Roman" w:hint="eastAsia"/>
          <w:kern w:val="0"/>
          <w:sz w:val="22"/>
        </w:rPr>
        <w:t>、脑瘫</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kern w:val="0"/>
          <w:sz w:val="22"/>
        </w:rPr>
        <w:t xml:space="preserve">       2</w:t>
      </w:r>
      <w:r>
        <w:rPr>
          <w:rFonts w:ascii="Times New Roman" w:hAnsi="Times New Roman" w:hint="eastAsia"/>
          <w:kern w:val="0"/>
          <w:sz w:val="22"/>
        </w:rPr>
        <w:t>、</w:t>
      </w:r>
      <w:r>
        <w:rPr>
          <w:rFonts w:ascii="宋体" w:hint="eastAsia"/>
          <w:szCs w:val="21"/>
        </w:rPr>
        <w:t>自闭症</w:t>
      </w:r>
    </w:p>
    <w:p w:rsidR="003717A0" w:rsidRDefault="003717A0">
      <w:pPr>
        <w:autoSpaceDE w:val="0"/>
        <w:autoSpaceDN w:val="0"/>
        <w:adjustRightInd w:val="0"/>
        <w:spacing w:line="440" w:lineRule="exact"/>
        <w:rPr>
          <w:rFonts w:ascii="Times New Roman" w:hAnsi="Times New Roman"/>
          <w:b/>
          <w:kern w:val="0"/>
          <w:sz w:val="22"/>
        </w:rPr>
      </w:pPr>
      <w:r>
        <w:rPr>
          <w:rFonts w:ascii="Times New Roman" w:hAnsi="Times New Roman"/>
          <w:kern w:val="0"/>
          <w:sz w:val="22"/>
        </w:rPr>
        <w:t xml:space="preserve">       3</w:t>
      </w:r>
      <w:r>
        <w:rPr>
          <w:rFonts w:ascii="Times New Roman" w:hAnsi="Times New Roman" w:hint="eastAsia"/>
          <w:b/>
          <w:kern w:val="0"/>
          <w:sz w:val="22"/>
        </w:rPr>
        <w:t>、</w:t>
      </w:r>
      <w:r>
        <w:rPr>
          <w:rFonts w:ascii="宋体" w:hint="eastAsia"/>
          <w:szCs w:val="21"/>
        </w:rPr>
        <w:t>脑血管意外</w:t>
      </w:r>
    </w:p>
    <w:p w:rsidR="003717A0" w:rsidRDefault="003717A0">
      <w:pPr>
        <w:autoSpaceDE w:val="0"/>
        <w:autoSpaceDN w:val="0"/>
        <w:adjustRightInd w:val="0"/>
        <w:spacing w:line="440" w:lineRule="exact"/>
        <w:ind w:firstLineChars="350" w:firstLine="770"/>
        <w:rPr>
          <w:rFonts w:ascii="Times New Roman" w:hAnsi="Times New Roman"/>
          <w:b/>
          <w:kern w:val="0"/>
          <w:sz w:val="22"/>
        </w:rPr>
      </w:pPr>
      <w:r>
        <w:rPr>
          <w:rFonts w:ascii="Times New Roman" w:hAnsi="Times New Roman"/>
          <w:kern w:val="0"/>
          <w:sz w:val="22"/>
        </w:rPr>
        <w:t>4</w:t>
      </w:r>
      <w:r>
        <w:rPr>
          <w:rFonts w:ascii="Times New Roman" w:hAnsi="Times New Roman" w:hint="eastAsia"/>
          <w:kern w:val="0"/>
          <w:sz w:val="22"/>
        </w:rPr>
        <w:t>、</w:t>
      </w:r>
      <w:r>
        <w:rPr>
          <w:rFonts w:ascii="宋体" w:hint="eastAsia"/>
          <w:szCs w:val="21"/>
        </w:rPr>
        <w:t>痴呆</w:t>
      </w: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简答题：（每题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30</w:t>
      </w:r>
      <w:r>
        <w:rPr>
          <w:rFonts w:ascii="Times New Roman" w:hAnsi="Times New Roman" w:hint="eastAsia"/>
          <w:b/>
          <w:kern w:val="0"/>
          <w:sz w:val="22"/>
        </w:rPr>
        <w:t>分）</w:t>
      </w:r>
    </w:p>
    <w:p w:rsidR="003717A0" w:rsidRDefault="003717A0">
      <w:pPr>
        <w:autoSpaceDE w:val="0"/>
        <w:autoSpaceDN w:val="0"/>
        <w:adjustRightInd w:val="0"/>
        <w:spacing w:line="440" w:lineRule="exact"/>
        <w:ind w:left="420"/>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 xml:space="preserve">  1</w:t>
      </w:r>
      <w:r>
        <w:rPr>
          <w:rFonts w:ascii="Times New Roman" w:hAnsi="Times New Roman" w:hint="eastAsia"/>
          <w:kern w:val="0"/>
          <w:sz w:val="22"/>
        </w:rPr>
        <w:t>、</w:t>
      </w:r>
      <w:r>
        <w:rPr>
          <w:rFonts w:ascii="宋体" w:hint="eastAsia"/>
          <w:szCs w:val="21"/>
        </w:rPr>
        <w:t>儿童脑瘫需要哪些评定和物理治疗方法</w:t>
      </w:r>
    </w:p>
    <w:p w:rsidR="003717A0" w:rsidRDefault="003717A0">
      <w:pPr>
        <w:autoSpaceDE w:val="0"/>
        <w:autoSpaceDN w:val="0"/>
        <w:adjustRightInd w:val="0"/>
        <w:spacing w:line="440" w:lineRule="exact"/>
        <w:ind w:firstLineChars="350" w:firstLine="770"/>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、脑卒中常用评定表并简述</w:t>
      </w:r>
      <w:r>
        <w:rPr>
          <w:rFonts w:ascii="Times New Roman" w:hAnsi="Times New Roman"/>
          <w:kern w:val="0"/>
          <w:sz w:val="22"/>
        </w:rPr>
        <w:t>Brunnstrom</w:t>
      </w:r>
      <w:r>
        <w:rPr>
          <w:rFonts w:ascii="Times New Roman" w:hAnsi="Times New Roman" w:hint="eastAsia"/>
          <w:kern w:val="0"/>
          <w:sz w:val="22"/>
        </w:rPr>
        <w:t>的内容</w:t>
      </w:r>
    </w:p>
    <w:p w:rsidR="003717A0" w:rsidRDefault="003717A0">
      <w:pPr>
        <w:autoSpaceDE w:val="0"/>
        <w:autoSpaceDN w:val="0"/>
        <w:adjustRightInd w:val="0"/>
        <w:spacing w:line="440" w:lineRule="exact"/>
        <w:ind w:firstLineChars="350" w:firstLine="770"/>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w:t>
      </w:r>
      <w:r>
        <w:rPr>
          <w:rFonts w:ascii="宋体" w:hint="eastAsia"/>
          <w:szCs w:val="21"/>
        </w:rPr>
        <w:t>老年人慢性阻塞性肺病的评定和常用物理治疗方法</w:t>
      </w: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00" w:firstLine="420"/>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中让学生来加强理解。教师应关心儿童老年疾病物理疗法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本课程为学期课程，成绩考核的方式：考试。考试时实行同一专业统考，即统一命题，统一考试，统一阅卷。考试学期总评成绩的评定方法如下：</w:t>
            </w:r>
          </w:p>
          <w:p w:rsidR="003717A0" w:rsidRDefault="003717A0">
            <w:pPr>
              <w:autoSpaceDE w:val="0"/>
              <w:autoSpaceDN w:val="0"/>
              <w:adjustRightInd w:val="0"/>
              <w:snapToGrid w:val="0"/>
              <w:spacing w:line="360" w:lineRule="auto"/>
              <w:jc w:val="left"/>
              <w:rPr>
                <w:rFonts w:ascii="宋体"/>
                <w:szCs w:val="21"/>
              </w:rPr>
            </w:pPr>
            <w:r>
              <w:rPr>
                <w:rFonts w:ascii="Times New Roman" w:hAnsi="宋体"/>
                <w:szCs w:val="21"/>
              </w:rPr>
              <w:t xml:space="preserve">1. </w:t>
            </w: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 xml:space="preserve">2. </w:t>
            </w: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99" w:name="_Toc469313011"/>
      <w:bookmarkStart w:id="100" w:name="_Toc471830723"/>
      <w:r w:rsidRPr="00566E4D">
        <w:rPr>
          <w:rFonts w:hint="eastAsia"/>
          <w:b/>
        </w:rPr>
        <w:lastRenderedPageBreak/>
        <w:t>《骨骼肌肉系统疾病作业治疗》课程质量标准</w:t>
      </w:r>
      <w:bookmarkEnd w:id="99"/>
      <w:bookmarkEnd w:id="100"/>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骨骼肌肉系统疾病作业治疗</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rFonts w:ascii="Arial" w:hAnsi="Arial"/>
                <w:sz w:val="24"/>
              </w:rPr>
              <w:t>Skeletal muscle system disease occupational therapy course</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170694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54</w:t>
            </w:r>
            <w:r>
              <w:rPr>
                <w:rFonts w:hint="eastAsia"/>
                <w:sz w:val="22"/>
              </w:rPr>
              <w:t>学时</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r>
              <w:rPr>
                <w:rFonts w:hint="eastAsia"/>
                <w:sz w:val="22"/>
              </w:rPr>
              <w:t>学分</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w:t>
            </w:r>
            <w:r>
              <w:rPr>
                <w:rFonts w:ascii="宋体" w:hint="eastAsia"/>
                <w:szCs w:val="21"/>
              </w:rPr>
              <w:t>■</w:t>
            </w:r>
            <w:r>
              <w:rPr>
                <w:rFonts w:asci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康复医学科</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暂未出版</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ind w:firstLineChars="150" w:firstLine="330"/>
              <w:rPr>
                <w:sz w:val="22"/>
              </w:rPr>
            </w:pPr>
            <w:r>
              <w:rPr>
                <w:rFonts w:hint="eastAsia"/>
                <w:sz w:val="22"/>
              </w:rPr>
              <w:t>沈光宇</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本科</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学士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教授</w:t>
            </w:r>
          </w:p>
        </w:tc>
        <w:tc>
          <w:tcPr>
            <w:tcW w:w="1524" w:type="dxa"/>
          </w:tcPr>
          <w:p w:rsidR="003717A0" w:rsidRDefault="003717A0">
            <w:pPr>
              <w:adjustRightInd w:val="0"/>
              <w:snapToGrid w:val="0"/>
              <w:spacing w:line="500" w:lineRule="exact"/>
              <w:ind w:firstLineChars="100" w:firstLine="220"/>
              <w:rPr>
                <w:sz w:val="22"/>
              </w:rPr>
            </w:pPr>
            <w:r>
              <w:rPr>
                <w:sz w:val="22"/>
              </w:rPr>
              <w:t>1985.06</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胡玉明</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2003.09</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顾琦</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2005.09</w:t>
            </w:r>
          </w:p>
        </w:tc>
      </w:tr>
      <w:tr w:rsidR="003717A0">
        <w:tc>
          <w:tcPr>
            <w:tcW w:w="1668" w:type="dxa"/>
          </w:tcPr>
          <w:p w:rsidR="003717A0" w:rsidRDefault="003717A0">
            <w:pPr>
              <w:adjustRightInd w:val="0"/>
              <w:snapToGrid w:val="0"/>
              <w:spacing w:line="500" w:lineRule="exact"/>
              <w:rPr>
                <w:sz w:val="22"/>
              </w:rPr>
            </w:pPr>
            <w:r>
              <w:rPr>
                <w:sz w:val="22"/>
              </w:rPr>
              <w:t xml:space="preserve">   </w:t>
            </w: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rPr>
              <w:t>骨骼肌肉系统疾病的作业治疗是临床作业疗法中的一个重要组成部分。本课程比较详细地介绍了骨骼肌肉系统疾病作业治疗的理论框架，整体评估和康复途径，以及常见骨骼肌系统疾病的一般临床知识和诊断、功能障碍的特点、作业评定方法、治疗目标和治疗技术。本课程的设计和编写，参考了国外作业疗法的大量资料和专著，并结合国内现状；参照了江苏省康复医学十二五规划的要求和</w:t>
            </w:r>
            <w:r>
              <w:t>WFOT</w:t>
            </w:r>
            <w:r>
              <w:rPr>
                <w:rFonts w:hint="eastAsia"/>
              </w:rPr>
              <w:t>的教学指南。旨在培养符合国际化的作业治疗师。</w:t>
            </w:r>
          </w:p>
        </w:tc>
      </w:tr>
    </w:tbl>
    <w:p w:rsidR="003717A0"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适应对象：本科层次，作业治疗学专业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sz w:val="22"/>
        </w:rPr>
        <w:t>170694</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rPr>
          <w:rFonts w:ascii="Times New Roman" w:hAnsi="Times New Roman"/>
          <w:kern w:val="0"/>
          <w:sz w:val="22"/>
        </w:rPr>
        <w:t>54</w:t>
      </w:r>
      <w:r w:rsidR="006E336D">
        <w:rPr>
          <w:rFonts w:ascii="Times New Roman" w:hAnsi="Times New Roman" w:hint="eastAsia"/>
          <w:kern w:val="0"/>
          <w:sz w:val="22"/>
        </w:rPr>
        <w:t>学时</w:t>
      </w:r>
      <w:r>
        <w:rPr>
          <w:rFonts w:ascii="Times New Roman" w:hAnsi="Times New Roman" w:hint="eastAsia"/>
          <w:kern w:val="0"/>
          <w:sz w:val="22"/>
        </w:rPr>
        <w:t>（理论课：</w:t>
      </w:r>
      <w:r>
        <w:rPr>
          <w:rFonts w:ascii="Times New Roman" w:hAnsi="Times New Roman"/>
          <w:kern w:val="0"/>
          <w:sz w:val="22"/>
        </w:rPr>
        <w:t>27</w:t>
      </w:r>
      <w:r>
        <w:rPr>
          <w:rFonts w:ascii="Times New Roman" w:hAnsi="Times New Roman" w:hint="eastAsia"/>
          <w:kern w:val="0"/>
          <w:sz w:val="22"/>
        </w:rPr>
        <w:t>学时</w:t>
      </w:r>
      <w:r>
        <w:rPr>
          <w:rFonts w:ascii="Times New Roman" w:hAnsi="Times New Roman"/>
          <w:kern w:val="0"/>
          <w:sz w:val="22"/>
        </w:rPr>
        <w:t xml:space="preserve">  </w:t>
      </w:r>
      <w:r>
        <w:rPr>
          <w:rFonts w:ascii="Times New Roman" w:hAnsi="Times New Roman" w:hint="eastAsia"/>
          <w:kern w:val="0"/>
          <w:sz w:val="22"/>
        </w:rPr>
        <w:t>实习：</w:t>
      </w:r>
      <w:r>
        <w:rPr>
          <w:rFonts w:ascii="Times New Roman" w:hAnsi="Times New Roman"/>
          <w:kern w:val="0"/>
          <w:sz w:val="22"/>
        </w:rPr>
        <w:t>27</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 xml:space="preserve"> 3</w:t>
      </w:r>
      <w:r>
        <w:rPr>
          <w:rFonts w:ascii="Times New Roman" w:hAnsi="Times New Roman" w:hint="eastAsia"/>
          <w:kern w:val="0"/>
          <w:sz w:val="22"/>
        </w:rPr>
        <w:t>分</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w:t>
      </w:r>
      <w:r>
        <w:rPr>
          <w:rFonts w:ascii="宋体" w:hint="eastAsia"/>
          <w:szCs w:val="21"/>
        </w:rPr>
        <w:t>运动学</w:t>
      </w:r>
      <w:r>
        <w:rPr>
          <w:rFonts w:ascii="宋体"/>
          <w:szCs w:val="21"/>
        </w:rPr>
        <w:t xml:space="preserve">  </w:t>
      </w:r>
      <w:r>
        <w:rPr>
          <w:rFonts w:ascii="宋体" w:hint="eastAsia"/>
          <w:szCs w:val="21"/>
        </w:rPr>
        <w:t>康复评定学</w:t>
      </w:r>
      <w:r>
        <w:rPr>
          <w:rFonts w:ascii="宋体"/>
          <w:szCs w:val="21"/>
        </w:rPr>
        <w:t xml:space="preserve">  </w:t>
      </w:r>
      <w:r>
        <w:rPr>
          <w:rFonts w:ascii="宋体" w:hint="eastAsia"/>
          <w:szCs w:val="21"/>
        </w:rPr>
        <w:t>作业治疗学概论</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spacing w:line="360" w:lineRule="auto"/>
        <w:ind w:firstLineChars="200" w:firstLine="420"/>
        <w:rPr>
          <w:rFonts w:ascii="宋体"/>
          <w:szCs w:val="21"/>
        </w:rPr>
      </w:pPr>
      <w:r>
        <w:rPr>
          <w:rFonts w:ascii="宋体" w:hint="eastAsia"/>
          <w:szCs w:val="21"/>
        </w:rPr>
        <w:t>骨骼肌肉系统疾病作业治疗是作业治疗学专业的一门必修课程，是康复治疗学的重要组成部分。通过本课程学习，使学生重点掌握骨骼肌肉系统疾病作业治疗的相关原理和理论、骨骼肌肉系统疾病作业治疗的功能评定、作业治疗技术，掌握骨折、骨关节炎、手外伤、截肢等临床常见疾病的特点、分类、评价及其作业治疗方法。</w:t>
      </w:r>
    </w:p>
    <w:p w:rsidR="003717A0" w:rsidRDefault="003717A0">
      <w:pPr>
        <w:spacing w:line="360" w:lineRule="auto"/>
        <w:ind w:firstLineChars="200" w:firstLine="420"/>
        <w:rPr>
          <w:rFonts w:ascii="宋体"/>
          <w:szCs w:val="21"/>
        </w:rPr>
      </w:pPr>
      <w:r>
        <w:rPr>
          <w:rFonts w:ascii="宋体" w:hint="eastAsia"/>
          <w:szCs w:val="21"/>
        </w:rPr>
        <w:t>本课程是康复治疗学专业分专业教学课程改革和课程建设的试点课程，在教学过程中尝试引入</w:t>
      </w:r>
      <w:r>
        <w:rPr>
          <w:rFonts w:ascii="宋体"/>
          <w:szCs w:val="21"/>
        </w:rPr>
        <w:t>WFOT</w:t>
      </w:r>
      <w:r>
        <w:rPr>
          <w:rFonts w:ascii="宋体" w:hint="eastAsia"/>
          <w:szCs w:val="21"/>
        </w:rPr>
        <w:t>的教学标准和理念，根据我国作业治疗专业教学大纲（草）的要求</w:t>
      </w:r>
      <w:r>
        <w:rPr>
          <w:rFonts w:ascii="宋体"/>
          <w:szCs w:val="21"/>
        </w:rPr>
        <w:t>,</w:t>
      </w:r>
      <w:r>
        <w:rPr>
          <w:rFonts w:ascii="宋体" w:hint="eastAsia"/>
          <w:szCs w:val="21"/>
        </w:rPr>
        <w:t>将融合《基础作业学》、《临床作业疗法学》、《肌肉骨骼康复学》等相关课程内容，初步编排了教学大纲，暂定名为《骨骼肌肉系统疾病作业治疗》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ind w:firstLineChars="245" w:firstLine="514"/>
        <w:jc w:val="left"/>
        <w:rPr>
          <w:rFonts w:ascii="Times New Roman" w:eastAsia="黑体" w:hAnsi="Times New Roman"/>
          <w:b/>
          <w:kern w:val="0"/>
          <w:sz w:val="24"/>
          <w:szCs w:val="24"/>
        </w:rPr>
      </w:pPr>
      <w:r>
        <w:rPr>
          <w:rFonts w:ascii="宋体" w:hint="eastAsia"/>
          <w:szCs w:val="21"/>
        </w:rPr>
        <w:t>通过本课程学习，使学生重点掌握骨骼肌肉系统疾病作业治疗的相关原理和理论、骨骼肌肉系统疾病作业治疗的功能评定、作业治疗技术，掌握骨折、骨关节炎、手外伤、截肢等临床常见疾病的特点、分类、评价及其作业治疗方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spacing w:line="360" w:lineRule="auto"/>
        <w:rPr>
          <w:rFonts w:ascii="宋体"/>
          <w:b/>
          <w:szCs w:val="21"/>
        </w:rPr>
      </w:pPr>
      <w:r>
        <w:rPr>
          <w:rFonts w:ascii="宋体" w:hint="eastAsia"/>
          <w:b/>
          <w:szCs w:val="21"/>
        </w:rPr>
        <w:t>第一章</w:t>
      </w:r>
      <w:r>
        <w:rPr>
          <w:rFonts w:ascii="宋体"/>
          <w:b/>
          <w:szCs w:val="21"/>
        </w:rPr>
        <w:t xml:space="preserve">  </w:t>
      </w:r>
      <w:r>
        <w:rPr>
          <w:rFonts w:ascii="宋体" w:hint="eastAsia"/>
          <w:b/>
          <w:szCs w:val="21"/>
        </w:rPr>
        <w:t>骨骼肌肉系统疾病的作业治疗的理论基础</w:t>
      </w:r>
    </w:p>
    <w:p w:rsidR="003717A0" w:rsidRDefault="003717A0">
      <w:pPr>
        <w:ind w:left="210"/>
        <w:rPr>
          <w:rFonts w:ascii="宋体"/>
          <w:szCs w:val="21"/>
        </w:rPr>
      </w:pPr>
      <w:r>
        <w:rPr>
          <w:rFonts w:ascii="宋体" w:hint="eastAsia"/>
          <w:b/>
          <w:szCs w:val="21"/>
        </w:rPr>
        <w:t>目的要求</w:t>
      </w:r>
      <w:r>
        <w:rPr>
          <w:rFonts w:ascii="宋体" w:hint="eastAsia"/>
          <w:szCs w:val="21"/>
        </w:rPr>
        <w:t>：</w:t>
      </w:r>
    </w:p>
    <w:p w:rsidR="003717A0" w:rsidRDefault="003717A0" w:rsidP="006E336D">
      <w:pPr>
        <w:numPr>
          <w:ilvl w:val="0"/>
          <w:numId w:val="571"/>
        </w:numPr>
        <w:rPr>
          <w:rFonts w:ascii="宋体"/>
          <w:szCs w:val="21"/>
        </w:rPr>
      </w:pPr>
      <w:r>
        <w:rPr>
          <w:rFonts w:ascii="宋体" w:hint="eastAsia"/>
          <w:szCs w:val="21"/>
        </w:rPr>
        <w:t>进一步学习掌握作业表现模式的概念</w:t>
      </w:r>
    </w:p>
    <w:p w:rsidR="003717A0" w:rsidRDefault="003717A0" w:rsidP="006E336D">
      <w:pPr>
        <w:numPr>
          <w:ilvl w:val="0"/>
          <w:numId w:val="571"/>
        </w:numPr>
        <w:rPr>
          <w:rFonts w:ascii="宋体"/>
          <w:szCs w:val="21"/>
        </w:rPr>
      </w:pPr>
      <w:r>
        <w:rPr>
          <w:rFonts w:ascii="宋体" w:hint="eastAsia"/>
          <w:szCs w:val="21"/>
        </w:rPr>
        <w:t>熟悉作业治疗原理及理论</w:t>
      </w:r>
    </w:p>
    <w:p w:rsidR="003717A0" w:rsidRDefault="003717A0" w:rsidP="006E336D">
      <w:pPr>
        <w:numPr>
          <w:ilvl w:val="0"/>
          <w:numId w:val="571"/>
        </w:numPr>
        <w:rPr>
          <w:rFonts w:ascii="宋体"/>
          <w:szCs w:val="21"/>
        </w:rPr>
      </w:pPr>
      <w:r>
        <w:rPr>
          <w:rFonts w:ascii="宋体" w:hint="eastAsia"/>
          <w:szCs w:val="21"/>
        </w:rPr>
        <w:t>了解作业治疗实践模式的分类和实践中常用的一些模式。</w:t>
      </w:r>
    </w:p>
    <w:p w:rsidR="003717A0" w:rsidRDefault="003717A0" w:rsidP="006E336D">
      <w:pPr>
        <w:numPr>
          <w:ilvl w:val="0"/>
          <w:numId w:val="571"/>
        </w:numPr>
        <w:rPr>
          <w:rFonts w:ascii="宋体"/>
          <w:szCs w:val="21"/>
        </w:rPr>
      </w:pPr>
      <w:r>
        <w:rPr>
          <w:rFonts w:ascii="宋体" w:hint="eastAsia"/>
          <w:szCs w:val="21"/>
        </w:rPr>
        <w:t>熟悉与骨骼肌肉系统疾病作业治疗相关系的治疗模式</w:t>
      </w:r>
    </w:p>
    <w:p w:rsidR="003717A0" w:rsidRDefault="003717A0" w:rsidP="006E336D">
      <w:pPr>
        <w:numPr>
          <w:ilvl w:val="0"/>
          <w:numId w:val="571"/>
        </w:numPr>
        <w:rPr>
          <w:rFonts w:ascii="宋体"/>
          <w:szCs w:val="21"/>
        </w:rPr>
      </w:pPr>
      <w:r>
        <w:rPr>
          <w:rFonts w:ascii="宋体" w:hint="eastAsia"/>
          <w:szCs w:val="21"/>
        </w:rPr>
        <w:t>了解骨骼肌肉系统疾病作业治疗相关因素</w:t>
      </w:r>
    </w:p>
    <w:p w:rsidR="003717A0" w:rsidRDefault="003717A0">
      <w:pPr>
        <w:ind w:left="210"/>
        <w:rPr>
          <w:rFonts w:ascii="宋体"/>
          <w:b/>
          <w:szCs w:val="21"/>
        </w:rPr>
      </w:pPr>
      <w:r>
        <w:rPr>
          <w:rFonts w:ascii="宋体" w:hint="eastAsia"/>
          <w:b/>
          <w:szCs w:val="21"/>
        </w:rPr>
        <w:t>教学内容</w:t>
      </w:r>
    </w:p>
    <w:p w:rsidR="003717A0" w:rsidRDefault="003717A0">
      <w:pPr>
        <w:numPr>
          <w:ilvl w:val="0"/>
          <w:numId w:val="447"/>
        </w:numPr>
        <w:rPr>
          <w:rFonts w:ascii="宋体"/>
          <w:szCs w:val="21"/>
        </w:rPr>
      </w:pPr>
      <w:r>
        <w:rPr>
          <w:rFonts w:ascii="宋体" w:hint="eastAsia"/>
          <w:szCs w:val="21"/>
        </w:rPr>
        <w:t>作业表现的模式</w:t>
      </w:r>
    </w:p>
    <w:p w:rsidR="003717A0" w:rsidRDefault="003717A0">
      <w:pPr>
        <w:numPr>
          <w:ilvl w:val="0"/>
          <w:numId w:val="447"/>
        </w:numPr>
        <w:rPr>
          <w:rFonts w:ascii="宋体"/>
          <w:szCs w:val="21"/>
        </w:rPr>
      </w:pPr>
      <w:r>
        <w:rPr>
          <w:rFonts w:ascii="宋体" w:hint="eastAsia"/>
          <w:szCs w:val="21"/>
        </w:rPr>
        <w:t>人体功能及功能障碍在人类作业模式发展过程中的表现</w:t>
      </w:r>
    </w:p>
    <w:p w:rsidR="003717A0" w:rsidRDefault="003717A0">
      <w:pPr>
        <w:numPr>
          <w:ilvl w:val="0"/>
          <w:numId w:val="447"/>
        </w:numPr>
        <w:rPr>
          <w:rFonts w:ascii="宋体"/>
          <w:szCs w:val="21"/>
        </w:rPr>
      </w:pPr>
      <w:r>
        <w:rPr>
          <w:rFonts w:ascii="宋体" w:hint="eastAsia"/>
          <w:szCs w:val="21"/>
        </w:rPr>
        <w:t>生物力学模式等与作业治疗的关系</w:t>
      </w:r>
    </w:p>
    <w:p w:rsidR="003717A0" w:rsidRDefault="003717A0">
      <w:pPr>
        <w:numPr>
          <w:ilvl w:val="0"/>
          <w:numId w:val="447"/>
        </w:numPr>
        <w:rPr>
          <w:rFonts w:ascii="宋体"/>
          <w:szCs w:val="21"/>
        </w:rPr>
      </w:pPr>
      <w:r>
        <w:rPr>
          <w:rFonts w:ascii="宋体" w:hint="eastAsia"/>
          <w:szCs w:val="21"/>
        </w:rPr>
        <w:t>作业治疗实践模式的分类和实践中常用的一些模式</w:t>
      </w:r>
    </w:p>
    <w:p w:rsidR="003717A0" w:rsidRDefault="003717A0">
      <w:pPr>
        <w:ind w:left="210"/>
        <w:rPr>
          <w:rFonts w:ascii="宋体"/>
          <w:szCs w:val="21"/>
        </w:rPr>
      </w:pPr>
    </w:p>
    <w:p w:rsidR="003717A0" w:rsidRDefault="003717A0">
      <w:pPr>
        <w:numPr>
          <w:ilvl w:val="0"/>
          <w:numId w:val="448"/>
        </w:numPr>
        <w:rPr>
          <w:rFonts w:ascii="宋体"/>
          <w:b/>
          <w:szCs w:val="21"/>
        </w:rPr>
      </w:pPr>
      <w:r>
        <w:rPr>
          <w:rFonts w:ascii="宋体" w:hint="eastAsia"/>
          <w:b/>
          <w:szCs w:val="21"/>
        </w:rPr>
        <w:lastRenderedPageBreak/>
        <w:t>骨骼肌肉系统疾病的整体康复途径</w:t>
      </w:r>
    </w:p>
    <w:p w:rsidR="003717A0" w:rsidRDefault="003717A0">
      <w:pPr>
        <w:ind w:left="210"/>
        <w:rPr>
          <w:rFonts w:ascii="宋体"/>
          <w:b/>
          <w:szCs w:val="21"/>
        </w:rPr>
      </w:pPr>
      <w:r>
        <w:rPr>
          <w:rFonts w:ascii="宋体" w:hint="eastAsia"/>
          <w:b/>
          <w:szCs w:val="21"/>
        </w:rPr>
        <w:t>目的要求</w:t>
      </w:r>
    </w:p>
    <w:p w:rsidR="003717A0" w:rsidRDefault="003717A0">
      <w:pPr>
        <w:numPr>
          <w:ilvl w:val="0"/>
          <w:numId w:val="449"/>
        </w:numPr>
        <w:rPr>
          <w:rFonts w:ascii="宋体"/>
          <w:szCs w:val="21"/>
        </w:rPr>
      </w:pPr>
      <w:r>
        <w:rPr>
          <w:rFonts w:ascii="宋体" w:hint="eastAsia"/>
          <w:szCs w:val="21"/>
        </w:rPr>
        <w:t>掌握骨骼肌肉系统疾病康复学的一般定义与特点</w:t>
      </w:r>
    </w:p>
    <w:p w:rsidR="003717A0" w:rsidRDefault="003717A0">
      <w:pPr>
        <w:numPr>
          <w:ilvl w:val="0"/>
          <w:numId w:val="449"/>
        </w:numPr>
        <w:rPr>
          <w:rFonts w:ascii="宋体"/>
          <w:szCs w:val="21"/>
        </w:rPr>
      </w:pPr>
      <w:r>
        <w:rPr>
          <w:rFonts w:ascii="宋体" w:hint="eastAsia"/>
          <w:szCs w:val="21"/>
        </w:rPr>
        <w:t>熟悉骨骼肌肉系统疾病的基础评估和常用康复技术</w:t>
      </w:r>
    </w:p>
    <w:p w:rsidR="003717A0" w:rsidRDefault="003717A0">
      <w:pPr>
        <w:numPr>
          <w:ilvl w:val="0"/>
          <w:numId w:val="449"/>
        </w:numPr>
        <w:rPr>
          <w:rFonts w:ascii="宋体"/>
          <w:szCs w:val="21"/>
        </w:rPr>
      </w:pPr>
      <w:r>
        <w:rPr>
          <w:rFonts w:ascii="宋体" w:hint="eastAsia"/>
          <w:szCs w:val="21"/>
        </w:rPr>
        <w:t>掌握常用的作业治疗技术</w:t>
      </w:r>
    </w:p>
    <w:p w:rsidR="003717A0" w:rsidRDefault="003717A0">
      <w:pPr>
        <w:ind w:firstLineChars="98" w:firstLine="207"/>
        <w:rPr>
          <w:rFonts w:ascii="宋体"/>
          <w:b/>
          <w:szCs w:val="21"/>
        </w:rPr>
      </w:pPr>
      <w:r>
        <w:rPr>
          <w:rFonts w:ascii="宋体" w:hint="eastAsia"/>
          <w:b/>
          <w:szCs w:val="21"/>
        </w:rPr>
        <w:t>教学内容</w:t>
      </w:r>
    </w:p>
    <w:p w:rsidR="003717A0" w:rsidRDefault="003717A0">
      <w:pPr>
        <w:rPr>
          <w:rFonts w:ascii="宋体"/>
          <w:szCs w:val="21"/>
        </w:rPr>
      </w:pPr>
      <w:r>
        <w:rPr>
          <w:rFonts w:ascii="宋体" w:hint="eastAsia"/>
          <w:szCs w:val="21"/>
        </w:rPr>
        <w:t>第一节</w:t>
      </w:r>
      <w:r>
        <w:rPr>
          <w:rFonts w:ascii="宋体"/>
          <w:szCs w:val="21"/>
        </w:rPr>
        <w:t xml:space="preserve"> </w:t>
      </w:r>
      <w:r>
        <w:rPr>
          <w:rFonts w:ascii="宋体" w:hint="eastAsia"/>
          <w:szCs w:val="21"/>
        </w:rPr>
        <w:t>骨骼肌肉系统疾病康复学的定义与特点</w:t>
      </w:r>
    </w:p>
    <w:p w:rsidR="003717A0" w:rsidRDefault="003717A0" w:rsidP="006E336D">
      <w:pPr>
        <w:numPr>
          <w:ilvl w:val="1"/>
          <w:numId w:val="571"/>
        </w:numPr>
        <w:rPr>
          <w:rFonts w:ascii="宋体"/>
          <w:szCs w:val="21"/>
        </w:rPr>
      </w:pPr>
      <w:r>
        <w:rPr>
          <w:rFonts w:ascii="宋体" w:hint="eastAsia"/>
          <w:szCs w:val="21"/>
        </w:rPr>
        <w:t>定义</w:t>
      </w:r>
    </w:p>
    <w:p w:rsidR="003717A0" w:rsidRDefault="003717A0" w:rsidP="006E336D">
      <w:pPr>
        <w:numPr>
          <w:ilvl w:val="1"/>
          <w:numId w:val="571"/>
        </w:numPr>
        <w:rPr>
          <w:rFonts w:ascii="宋体"/>
          <w:szCs w:val="21"/>
        </w:rPr>
      </w:pPr>
      <w:r>
        <w:rPr>
          <w:rFonts w:ascii="宋体" w:hint="eastAsia"/>
          <w:szCs w:val="21"/>
        </w:rPr>
        <w:t>特点</w:t>
      </w:r>
      <w:r>
        <w:rPr>
          <w:rFonts w:ascii="宋体"/>
          <w:szCs w:val="21"/>
        </w:rPr>
        <w:t xml:space="preserve"> </w:t>
      </w:r>
    </w:p>
    <w:p w:rsidR="003717A0" w:rsidRDefault="003717A0">
      <w:pPr>
        <w:rPr>
          <w:rFonts w:ascii="宋体"/>
          <w:szCs w:val="21"/>
        </w:rPr>
      </w:pPr>
      <w:r>
        <w:rPr>
          <w:rFonts w:ascii="宋体" w:hint="eastAsia"/>
          <w:szCs w:val="21"/>
        </w:rPr>
        <w:t>第二节</w:t>
      </w:r>
      <w:r>
        <w:rPr>
          <w:rFonts w:ascii="宋体"/>
          <w:szCs w:val="21"/>
        </w:rPr>
        <w:t xml:space="preserve"> </w:t>
      </w:r>
      <w:r>
        <w:rPr>
          <w:rFonts w:ascii="宋体" w:hint="eastAsia"/>
          <w:szCs w:val="21"/>
        </w:rPr>
        <w:t>骨骼肌肉系统疾病的整体康复途径</w:t>
      </w:r>
    </w:p>
    <w:p w:rsidR="003717A0" w:rsidRDefault="003717A0">
      <w:pPr>
        <w:spacing w:line="200" w:lineRule="exact"/>
        <w:rPr>
          <w:rFonts w:ascii="宋体"/>
          <w:szCs w:val="21"/>
        </w:rPr>
      </w:pPr>
      <w:r>
        <w:rPr>
          <w:rFonts w:ascii="宋体"/>
          <w:szCs w:val="21"/>
        </w:rPr>
        <w:t>1</w:t>
      </w:r>
      <w:r>
        <w:rPr>
          <w:rFonts w:ascii="宋体" w:hint="eastAsia"/>
          <w:szCs w:val="21"/>
        </w:rPr>
        <w:t>、相关基础学科</w:t>
      </w:r>
      <w:r>
        <w:rPr>
          <w:rFonts w:ascii="宋体"/>
          <w:szCs w:val="21"/>
        </w:rPr>
        <w:t xml:space="preserve">  </w:t>
      </w:r>
    </w:p>
    <w:p w:rsidR="003717A0" w:rsidRDefault="003717A0">
      <w:pPr>
        <w:spacing w:line="200" w:lineRule="exact"/>
        <w:rPr>
          <w:rFonts w:ascii="宋体"/>
          <w:szCs w:val="21"/>
        </w:rPr>
      </w:pPr>
      <w:r>
        <w:rPr>
          <w:rFonts w:ascii="宋体"/>
          <w:szCs w:val="21"/>
        </w:rPr>
        <w:t>2</w:t>
      </w:r>
      <w:r>
        <w:rPr>
          <w:rFonts w:ascii="宋体" w:hint="eastAsia"/>
          <w:szCs w:val="21"/>
        </w:rPr>
        <w:t>、康复评定</w:t>
      </w:r>
    </w:p>
    <w:p w:rsidR="003717A0" w:rsidRDefault="003717A0">
      <w:pPr>
        <w:spacing w:line="200" w:lineRule="exact"/>
        <w:rPr>
          <w:rFonts w:ascii="宋体"/>
          <w:szCs w:val="21"/>
        </w:rPr>
      </w:pPr>
      <w:r>
        <w:rPr>
          <w:rFonts w:ascii="宋体"/>
          <w:szCs w:val="21"/>
        </w:rPr>
        <w:t>3</w:t>
      </w:r>
      <w:r>
        <w:rPr>
          <w:rFonts w:ascii="宋体" w:hint="eastAsia"/>
          <w:szCs w:val="21"/>
        </w:rPr>
        <w:t>、整体康复途径</w:t>
      </w:r>
    </w:p>
    <w:p w:rsidR="003717A0" w:rsidRDefault="003717A0">
      <w:pPr>
        <w:spacing w:line="200" w:lineRule="exact"/>
        <w:rPr>
          <w:rFonts w:ascii="宋体"/>
          <w:szCs w:val="21"/>
        </w:rPr>
      </w:pPr>
      <w:r>
        <w:rPr>
          <w:rFonts w:ascii="宋体"/>
          <w:szCs w:val="21"/>
        </w:rPr>
        <w:t>4</w:t>
      </w:r>
      <w:r>
        <w:rPr>
          <w:rFonts w:ascii="宋体" w:hint="eastAsia"/>
          <w:szCs w:val="21"/>
        </w:rPr>
        <w:t>、常用作业治疗技术</w:t>
      </w:r>
    </w:p>
    <w:p w:rsidR="003717A0" w:rsidRDefault="003717A0">
      <w:pPr>
        <w:rPr>
          <w:rFonts w:ascii="宋体"/>
          <w:szCs w:val="21"/>
        </w:rPr>
      </w:pPr>
    </w:p>
    <w:p w:rsidR="003717A0" w:rsidRDefault="003717A0">
      <w:pPr>
        <w:spacing w:line="360" w:lineRule="auto"/>
        <w:rPr>
          <w:rFonts w:ascii="宋体"/>
          <w:b/>
          <w:szCs w:val="21"/>
        </w:rPr>
      </w:pPr>
      <w:r>
        <w:rPr>
          <w:rFonts w:ascii="宋体" w:hint="eastAsia"/>
          <w:b/>
          <w:szCs w:val="21"/>
        </w:rPr>
        <w:t>第三章</w:t>
      </w:r>
      <w:r>
        <w:rPr>
          <w:rFonts w:ascii="宋体"/>
          <w:b/>
          <w:szCs w:val="21"/>
        </w:rPr>
        <w:t xml:space="preserve">  </w:t>
      </w:r>
      <w:r>
        <w:rPr>
          <w:rFonts w:ascii="宋体" w:hint="eastAsia"/>
          <w:b/>
          <w:szCs w:val="21"/>
        </w:rPr>
        <w:t>骨骼肌肉系统疾病作业治疗的整体评估</w:t>
      </w:r>
    </w:p>
    <w:p w:rsidR="003717A0" w:rsidRDefault="003717A0">
      <w:pPr>
        <w:rPr>
          <w:rFonts w:ascii="宋体"/>
          <w:b/>
          <w:szCs w:val="21"/>
        </w:rPr>
      </w:pPr>
      <w:r>
        <w:rPr>
          <w:rFonts w:ascii="宋体" w:hint="eastAsia"/>
          <w:b/>
          <w:szCs w:val="21"/>
        </w:rPr>
        <w:t>目的要求</w:t>
      </w:r>
    </w:p>
    <w:p w:rsidR="003717A0" w:rsidRDefault="003717A0">
      <w:pPr>
        <w:rPr>
          <w:rFonts w:ascii="宋体"/>
          <w:szCs w:val="21"/>
        </w:rPr>
      </w:pPr>
      <w:r>
        <w:rPr>
          <w:rFonts w:ascii="宋体"/>
          <w:szCs w:val="21"/>
        </w:rPr>
        <w:t>1</w:t>
      </w:r>
      <w:r>
        <w:rPr>
          <w:rFonts w:ascii="宋体" w:hint="eastAsia"/>
          <w:szCs w:val="21"/>
        </w:rPr>
        <w:t>、掌握骨骼肌肉系统疾病的通用的康复评定内容</w:t>
      </w:r>
    </w:p>
    <w:p w:rsidR="003717A0" w:rsidRDefault="003717A0">
      <w:pPr>
        <w:rPr>
          <w:rFonts w:ascii="宋体"/>
          <w:szCs w:val="21"/>
        </w:rPr>
      </w:pPr>
      <w:r>
        <w:rPr>
          <w:rFonts w:ascii="宋体"/>
          <w:szCs w:val="21"/>
        </w:rPr>
        <w:t>2</w:t>
      </w:r>
      <w:r>
        <w:rPr>
          <w:rFonts w:ascii="宋体" w:hint="eastAsia"/>
          <w:szCs w:val="21"/>
        </w:rPr>
        <w:t>、了解运动能力检查，包括关节活动范围测定、肌力测定、上下肢功能评定、步态分析等</w:t>
      </w:r>
    </w:p>
    <w:p w:rsidR="003717A0" w:rsidRDefault="003717A0">
      <w:pPr>
        <w:rPr>
          <w:rFonts w:ascii="宋体"/>
          <w:szCs w:val="21"/>
        </w:rPr>
      </w:pPr>
      <w:r>
        <w:rPr>
          <w:rFonts w:ascii="宋体"/>
          <w:szCs w:val="21"/>
        </w:rPr>
        <w:t>3</w:t>
      </w:r>
      <w:r>
        <w:rPr>
          <w:rFonts w:ascii="宋体" w:hint="eastAsia"/>
          <w:szCs w:val="21"/>
        </w:rPr>
        <w:t>、掌握</w:t>
      </w:r>
      <w:r>
        <w:rPr>
          <w:rFonts w:ascii="宋体"/>
          <w:szCs w:val="21"/>
        </w:rPr>
        <w:t>COPM</w:t>
      </w:r>
      <w:r>
        <w:rPr>
          <w:rFonts w:ascii="宋体" w:hint="eastAsia"/>
          <w:szCs w:val="21"/>
        </w:rPr>
        <w:t>、日常生活活动能力评估、社会生活能力评估、生活质量评定和职业能力评估</w:t>
      </w:r>
    </w:p>
    <w:p w:rsidR="003717A0" w:rsidRDefault="003717A0">
      <w:pPr>
        <w:rPr>
          <w:rFonts w:ascii="宋体"/>
          <w:b/>
          <w:szCs w:val="21"/>
        </w:rPr>
      </w:pPr>
      <w:r>
        <w:rPr>
          <w:rFonts w:ascii="宋体" w:hint="eastAsia"/>
          <w:b/>
          <w:szCs w:val="21"/>
        </w:rPr>
        <w:t>教学内容</w:t>
      </w:r>
    </w:p>
    <w:p w:rsidR="003717A0" w:rsidRDefault="003717A0" w:rsidP="006E336D">
      <w:pPr>
        <w:numPr>
          <w:ilvl w:val="1"/>
          <w:numId w:val="448"/>
        </w:numPr>
        <w:rPr>
          <w:rFonts w:ascii="宋体"/>
          <w:szCs w:val="21"/>
        </w:rPr>
      </w:pPr>
      <w:r>
        <w:rPr>
          <w:rFonts w:ascii="宋体" w:hint="eastAsia"/>
          <w:szCs w:val="21"/>
        </w:rPr>
        <w:t>运动能力方面的检查</w:t>
      </w:r>
      <w:r>
        <w:rPr>
          <w:rFonts w:ascii="宋体"/>
          <w:szCs w:val="21"/>
        </w:rPr>
        <w:t xml:space="preserve">  </w:t>
      </w:r>
    </w:p>
    <w:p w:rsidR="003717A0" w:rsidRDefault="003717A0" w:rsidP="006E336D">
      <w:pPr>
        <w:rPr>
          <w:rFonts w:ascii="宋体"/>
          <w:szCs w:val="21"/>
        </w:rPr>
      </w:pPr>
      <w:r>
        <w:rPr>
          <w:rFonts w:ascii="宋体" w:hint="eastAsia"/>
          <w:szCs w:val="21"/>
        </w:rPr>
        <w:t>常用的关节活动范围测定、肌力测定、上下肢功能评定、步态分析等技术在骨骼肌肉系统疾病中的运用；</w:t>
      </w:r>
    </w:p>
    <w:p w:rsidR="003717A0" w:rsidRDefault="003717A0" w:rsidP="006E336D">
      <w:pPr>
        <w:numPr>
          <w:ilvl w:val="1"/>
          <w:numId w:val="448"/>
        </w:numPr>
        <w:rPr>
          <w:rFonts w:ascii="宋体"/>
          <w:szCs w:val="21"/>
        </w:rPr>
      </w:pPr>
      <w:r>
        <w:rPr>
          <w:rFonts w:ascii="宋体" w:hint="eastAsia"/>
          <w:szCs w:val="21"/>
        </w:rPr>
        <w:t>日常生活活动能力评估</w:t>
      </w:r>
      <w:r>
        <w:rPr>
          <w:rFonts w:ascii="宋体"/>
          <w:szCs w:val="21"/>
        </w:rPr>
        <w:t xml:space="preserve">  </w:t>
      </w:r>
    </w:p>
    <w:p w:rsidR="003717A0" w:rsidRDefault="003717A0" w:rsidP="006E336D">
      <w:pPr>
        <w:rPr>
          <w:rFonts w:ascii="宋体"/>
          <w:szCs w:val="21"/>
        </w:rPr>
      </w:pPr>
      <w:r>
        <w:rPr>
          <w:rFonts w:ascii="宋体" w:hint="eastAsia"/>
          <w:szCs w:val="21"/>
        </w:rPr>
        <w:t>常用的</w:t>
      </w:r>
      <w:r>
        <w:rPr>
          <w:rFonts w:ascii="宋体"/>
          <w:szCs w:val="21"/>
        </w:rPr>
        <w:t>ADL</w:t>
      </w:r>
      <w:r>
        <w:rPr>
          <w:rFonts w:ascii="宋体" w:hint="eastAsia"/>
          <w:szCs w:val="21"/>
        </w:rPr>
        <w:t>评估工具（包括</w:t>
      </w:r>
      <w:r>
        <w:rPr>
          <w:rFonts w:ascii="宋体"/>
          <w:szCs w:val="21"/>
        </w:rPr>
        <w:t>BADL</w:t>
      </w:r>
      <w:r>
        <w:rPr>
          <w:rFonts w:ascii="宋体" w:hint="eastAsia"/>
          <w:szCs w:val="21"/>
        </w:rPr>
        <w:t>和</w:t>
      </w:r>
      <w:r>
        <w:rPr>
          <w:rFonts w:ascii="宋体"/>
          <w:szCs w:val="21"/>
        </w:rPr>
        <w:t>IADL</w:t>
      </w:r>
      <w:r>
        <w:rPr>
          <w:rFonts w:ascii="宋体" w:hint="eastAsia"/>
          <w:szCs w:val="21"/>
        </w:rPr>
        <w:t>）的使用；</w:t>
      </w:r>
    </w:p>
    <w:p w:rsidR="003717A0" w:rsidRDefault="003717A0" w:rsidP="006E336D">
      <w:pPr>
        <w:numPr>
          <w:ilvl w:val="1"/>
          <w:numId w:val="448"/>
        </w:numPr>
        <w:rPr>
          <w:rFonts w:ascii="宋体"/>
          <w:szCs w:val="21"/>
        </w:rPr>
      </w:pPr>
      <w:r>
        <w:rPr>
          <w:rFonts w:ascii="宋体" w:hint="eastAsia"/>
          <w:szCs w:val="21"/>
        </w:rPr>
        <w:t>社会生活能力评估</w:t>
      </w:r>
      <w:r>
        <w:rPr>
          <w:rFonts w:ascii="宋体"/>
          <w:szCs w:val="21"/>
        </w:rPr>
        <w:t xml:space="preserve">  </w:t>
      </w:r>
    </w:p>
    <w:p w:rsidR="003717A0" w:rsidRDefault="003717A0" w:rsidP="006E336D">
      <w:pPr>
        <w:rPr>
          <w:rFonts w:ascii="宋体"/>
          <w:szCs w:val="21"/>
        </w:rPr>
      </w:pPr>
      <w:r>
        <w:rPr>
          <w:rFonts w:ascii="宋体" w:hint="eastAsia"/>
          <w:szCs w:val="21"/>
        </w:rPr>
        <w:t>常用社会生活能力评估的量表；</w:t>
      </w:r>
    </w:p>
    <w:p w:rsidR="003717A0" w:rsidRDefault="003717A0" w:rsidP="006E336D">
      <w:pPr>
        <w:numPr>
          <w:ilvl w:val="1"/>
          <w:numId w:val="448"/>
        </w:numPr>
        <w:rPr>
          <w:rFonts w:ascii="宋体"/>
          <w:szCs w:val="21"/>
        </w:rPr>
      </w:pPr>
      <w:r>
        <w:rPr>
          <w:rFonts w:ascii="宋体" w:hint="eastAsia"/>
          <w:szCs w:val="21"/>
        </w:rPr>
        <w:t>生活质量评定</w:t>
      </w:r>
      <w:r>
        <w:rPr>
          <w:rFonts w:ascii="宋体"/>
          <w:szCs w:val="21"/>
        </w:rPr>
        <w:t xml:space="preserve">  </w:t>
      </w:r>
    </w:p>
    <w:p w:rsidR="003717A0" w:rsidRDefault="003717A0" w:rsidP="006E336D">
      <w:pPr>
        <w:rPr>
          <w:rFonts w:ascii="宋体"/>
          <w:szCs w:val="21"/>
        </w:rPr>
      </w:pPr>
      <w:r>
        <w:rPr>
          <w:rFonts w:ascii="宋体" w:hint="eastAsia"/>
          <w:szCs w:val="21"/>
        </w:rPr>
        <w:t>生活质量评估的内容和方法，注意事项及常用量表；</w:t>
      </w:r>
    </w:p>
    <w:p w:rsidR="003717A0" w:rsidRDefault="003717A0" w:rsidP="006E336D">
      <w:pPr>
        <w:numPr>
          <w:ilvl w:val="1"/>
          <w:numId w:val="448"/>
        </w:numPr>
        <w:rPr>
          <w:rFonts w:ascii="宋体"/>
          <w:szCs w:val="21"/>
        </w:rPr>
      </w:pPr>
      <w:r>
        <w:rPr>
          <w:rFonts w:ascii="宋体" w:hint="eastAsia"/>
          <w:szCs w:val="21"/>
        </w:rPr>
        <w:t>职业能力评估</w:t>
      </w:r>
      <w:r>
        <w:rPr>
          <w:rFonts w:ascii="宋体"/>
          <w:szCs w:val="21"/>
        </w:rPr>
        <w:t xml:space="preserve"> </w:t>
      </w:r>
    </w:p>
    <w:p w:rsidR="003717A0" w:rsidRDefault="003717A0" w:rsidP="006E336D">
      <w:pPr>
        <w:rPr>
          <w:rFonts w:ascii="宋体"/>
          <w:szCs w:val="21"/>
        </w:rPr>
      </w:pPr>
      <w:r>
        <w:rPr>
          <w:rFonts w:ascii="宋体" w:hint="eastAsia"/>
          <w:szCs w:val="21"/>
        </w:rPr>
        <w:t>工作分析的内容、方法和设备，</w:t>
      </w:r>
      <w:r>
        <w:rPr>
          <w:rFonts w:ascii="宋体"/>
          <w:szCs w:val="21"/>
        </w:rPr>
        <w:t xml:space="preserve">VALPAR </w:t>
      </w:r>
      <w:r>
        <w:rPr>
          <w:rFonts w:ascii="宋体" w:hint="eastAsia"/>
          <w:szCs w:val="21"/>
        </w:rPr>
        <w:t>系列评定工具</w:t>
      </w:r>
    </w:p>
    <w:p w:rsidR="003717A0" w:rsidRDefault="003717A0">
      <w:pPr>
        <w:rPr>
          <w:rFonts w:ascii="宋体"/>
          <w:szCs w:val="21"/>
        </w:rPr>
      </w:pPr>
    </w:p>
    <w:p w:rsidR="003717A0" w:rsidRDefault="003717A0">
      <w:pPr>
        <w:numPr>
          <w:ilvl w:val="0"/>
          <w:numId w:val="448"/>
        </w:numPr>
        <w:spacing w:before="100" w:beforeAutospacing="1" w:after="100" w:afterAutospacing="1" w:line="300" w:lineRule="exact"/>
        <w:rPr>
          <w:rFonts w:ascii="宋体"/>
          <w:b/>
          <w:szCs w:val="21"/>
        </w:rPr>
      </w:pPr>
      <w:r>
        <w:rPr>
          <w:rFonts w:ascii="宋体" w:hint="eastAsia"/>
          <w:b/>
          <w:szCs w:val="21"/>
        </w:rPr>
        <w:t>常见骨骼肌肉系统疾病患者的作业治疗</w:t>
      </w:r>
    </w:p>
    <w:p w:rsidR="003717A0" w:rsidRDefault="003717A0">
      <w:pPr>
        <w:rPr>
          <w:rFonts w:ascii="宋体"/>
          <w:b/>
          <w:szCs w:val="21"/>
        </w:rPr>
      </w:pPr>
    </w:p>
    <w:p w:rsidR="003717A0" w:rsidRDefault="003717A0">
      <w:pPr>
        <w:rPr>
          <w:rFonts w:ascii="宋体"/>
          <w:b/>
          <w:szCs w:val="21"/>
        </w:rPr>
      </w:pPr>
      <w:r>
        <w:rPr>
          <w:rFonts w:ascii="宋体" w:hint="eastAsia"/>
          <w:b/>
          <w:szCs w:val="21"/>
        </w:rPr>
        <w:t>第一节</w:t>
      </w:r>
      <w:r>
        <w:rPr>
          <w:rFonts w:ascii="宋体"/>
          <w:b/>
          <w:szCs w:val="21"/>
        </w:rPr>
        <w:t xml:space="preserve">  </w:t>
      </w:r>
      <w:r>
        <w:rPr>
          <w:rFonts w:ascii="宋体" w:hint="eastAsia"/>
          <w:b/>
          <w:szCs w:val="21"/>
        </w:rPr>
        <w:t>骨折的作业治疗</w:t>
      </w:r>
    </w:p>
    <w:p w:rsidR="003717A0" w:rsidRDefault="003717A0">
      <w:pPr>
        <w:rPr>
          <w:rFonts w:ascii="宋体"/>
          <w:b/>
          <w:szCs w:val="21"/>
        </w:rPr>
      </w:pPr>
      <w:r>
        <w:rPr>
          <w:rFonts w:ascii="宋体" w:hint="eastAsia"/>
          <w:b/>
          <w:szCs w:val="21"/>
        </w:rPr>
        <w:t>目的要求</w:t>
      </w:r>
    </w:p>
    <w:p w:rsidR="003717A0" w:rsidRDefault="003717A0">
      <w:pPr>
        <w:rPr>
          <w:rFonts w:ascii="宋体"/>
          <w:szCs w:val="21"/>
        </w:rPr>
      </w:pPr>
      <w:r>
        <w:rPr>
          <w:rFonts w:ascii="宋体"/>
          <w:szCs w:val="21"/>
        </w:rPr>
        <w:t>1</w:t>
      </w:r>
      <w:r>
        <w:rPr>
          <w:rFonts w:ascii="宋体" w:hint="eastAsia"/>
          <w:szCs w:val="21"/>
        </w:rPr>
        <w:t>、熟悉骨折的定义、成因和分类、临床表现、愈合过程及影响因素、并发症、临床治疗基本原则</w:t>
      </w:r>
    </w:p>
    <w:p w:rsidR="003717A0" w:rsidRDefault="003717A0">
      <w:pPr>
        <w:rPr>
          <w:rFonts w:ascii="宋体"/>
          <w:szCs w:val="21"/>
        </w:rPr>
      </w:pPr>
      <w:r>
        <w:rPr>
          <w:rFonts w:ascii="宋体"/>
          <w:szCs w:val="21"/>
        </w:rPr>
        <w:t>2</w:t>
      </w:r>
      <w:r>
        <w:rPr>
          <w:rFonts w:ascii="宋体" w:hint="eastAsia"/>
          <w:szCs w:val="21"/>
        </w:rPr>
        <w:t>、掌握骨折临床愈合的标准，功能障碍的特点。</w:t>
      </w:r>
    </w:p>
    <w:p w:rsidR="003717A0" w:rsidRDefault="003717A0">
      <w:pPr>
        <w:rPr>
          <w:rFonts w:ascii="宋体"/>
          <w:szCs w:val="21"/>
        </w:rPr>
      </w:pPr>
      <w:r>
        <w:rPr>
          <w:rFonts w:ascii="宋体"/>
          <w:szCs w:val="21"/>
        </w:rPr>
        <w:t>3</w:t>
      </w:r>
      <w:r>
        <w:rPr>
          <w:rFonts w:ascii="宋体" w:hint="eastAsia"/>
          <w:szCs w:val="21"/>
        </w:rPr>
        <w:t>、掌握骨折的康复评定内容和方法</w:t>
      </w:r>
    </w:p>
    <w:p w:rsidR="003717A0" w:rsidRDefault="003717A0">
      <w:pPr>
        <w:rPr>
          <w:rFonts w:ascii="宋体"/>
          <w:szCs w:val="21"/>
        </w:rPr>
      </w:pPr>
      <w:r>
        <w:rPr>
          <w:rFonts w:ascii="宋体"/>
          <w:szCs w:val="21"/>
        </w:rPr>
        <w:t>4</w:t>
      </w:r>
      <w:r>
        <w:rPr>
          <w:rFonts w:ascii="宋体" w:hint="eastAsia"/>
          <w:szCs w:val="21"/>
        </w:rPr>
        <w:t>、熟悉肱骨干骨折、肱骨髁上骨折、桡骨远端骨折等常见骨折的作业治疗原则和方法。</w:t>
      </w:r>
    </w:p>
    <w:p w:rsidR="003717A0" w:rsidRDefault="003717A0">
      <w:pPr>
        <w:rPr>
          <w:rFonts w:ascii="宋体"/>
          <w:b/>
          <w:szCs w:val="21"/>
        </w:rPr>
      </w:pPr>
      <w:r>
        <w:rPr>
          <w:rFonts w:ascii="宋体"/>
          <w:szCs w:val="21"/>
        </w:rPr>
        <w:t>5</w:t>
      </w:r>
      <w:r>
        <w:rPr>
          <w:rFonts w:ascii="宋体" w:hint="eastAsia"/>
          <w:szCs w:val="21"/>
        </w:rPr>
        <w:t>、相关矫形器的制作</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lastRenderedPageBreak/>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rPr>
          <w:rFonts w:ascii="宋体"/>
          <w:szCs w:val="21"/>
        </w:rPr>
      </w:pPr>
    </w:p>
    <w:p w:rsidR="003717A0" w:rsidRDefault="003717A0">
      <w:pPr>
        <w:rPr>
          <w:rFonts w:ascii="宋体"/>
          <w:b/>
          <w:szCs w:val="21"/>
        </w:rPr>
      </w:pPr>
      <w:r>
        <w:rPr>
          <w:rFonts w:ascii="宋体" w:hint="eastAsia"/>
          <w:b/>
          <w:szCs w:val="21"/>
        </w:rPr>
        <w:t>第二节</w:t>
      </w:r>
      <w:r>
        <w:rPr>
          <w:rFonts w:ascii="宋体"/>
          <w:b/>
          <w:szCs w:val="21"/>
        </w:rPr>
        <w:t xml:space="preserve"> </w:t>
      </w:r>
      <w:r>
        <w:rPr>
          <w:rFonts w:ascii="宋体" w:hint="eastAsia"/>
          <w:b/>
          <w:szCs w:val="21"/>
        </w:rPr>
        <w:t>骨关节炎的作业治疗</w:t>
      </w:r>
    </w:p>
    <w:p w:rsidR="003717A0" w:rsidRDefault="003717A0">
      <w:pPr>
        <w:rPr>
          <w:rFonts w:ascii="宋体"/>
          <w:b/>
          <w:szCs w:val="21"/>
        </w:rPr>
      </w:pPr>
      <w:r>
        <w:rPr>
          <w:rFonts w:ascii="宋体" w:hint="eastAsia"/>
          <w:b/>
          <w:szCs w:val="21"/>
        </w:rPr>
        <w:t>目的要求</w:t>
      </w:r>
    </w:p>
    <w:p w:rsidR="003717A0" w:rsidRDefault="003717A0">
      <w:pPr>
        <w:numPr>
          <w:ilvl w:val="0"/>
          <w:numId w:val="450"/>
        </w:numPr>
        <w:rPr>
          <w:rFonts w:ascii="宋体"/>
          <w:szCs w:val="21"/>
        </w:rPr>
      </w:pPr>
      <w:r>
        <w:rPr>
          <w:rFonts w:ascii="宋体" w:hint="eastAsia"/>
          <w:szCs w:val="21"/>
        </w:rPr>
        <w:t>了解骨关节炎的定义、成因和分类</w:t>
      </w:r>
    </w:p>
    <w:p w:rsidR="003717A0" w:rsidRDefault="003717A0">
      <w:pPr>
        <w:numPr>
          <w:ilvl w:val="0"/>
          <w:numId w:val="450"/>
        </w:numPr>
        <w:rPr>
          <w:rFonts w:ascii="宋体"/>
          <w:szCs w:val="21"/>
        </w:rPr>
      </w:pPr>
      <w:r>
        <w:rPr>
          <w:rFonts w:ascii="宋体" w:hint="eastAsia"/>
          <w:szCs w:val="21"/>
        </w:rPr>
        <w:t>熟悉骨关节炎的临床特点及诊断标准，功能障碍的特点</w:t>
      </w:r>
    </w:p>
    <w:p w:rsidR="003717A0" w:rsidRDefault="003717A0">
      <w:pPr>
        <w:numPr>
          <w:ilvl w:val="0"/>
          <w:numId w:val="450"/>
        </w:numPr>
        <w:rPr>
          <w:rFonts w:ascii="宋体"/>
          <w:szCs w:val="21"/>
        </w:rPr>
      </w:pPr>
      <w:r>
        <w:rPr>
          <w:rFonts w:ascii="宋体" w:hint="eastAsia"/>
          <w:szCs w:val="21"/>
        </w:rPr>
        <w:t>掌握骨关节炎的康复评定内容和方法及康复治疗措施</w:t>
      </w:r>
    </w:p>
    <w:p w:rsidR="003717A0" w:rsidRDefault="003717A0">
      <w:pPr>
        <w:rPr>
          <w:rFonts w:ascii="宋体"/>
          <w:b/>
          <w:szCs w:val="21"/>
        </w:rPr>
      </w:pPr>
      <w:r>
        <w:rPr>
          <w:rFonts w:ascii="宋体"/>
          <w:szCs w:val="21"/>
        </w:rPr>
        <w:t>4</w:t>
      </w:r>
      <w:r>
        <w:rPr>
          <w:rFonts w:ascii="宋体" w:hint="eastAsia"/>
          <w:szCs w:val="21"/>
        </w:rPr>
        <w:t>、掌握骨关节炎的作业治疗原则和方法</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rPr>
          <w:rFonts w:ascii="宋体"/>
          <w:szCs w:val="21"/>
        </w:rPr>
      </w:pPr>
    </w:p>
    <w:p w:rsidR="003717A0" w:rsidRDefault="003717A0">
      <w:pPr>
        <w:rPr>
          <w:rFonts w:ascii="宋体"/>
          <w:b/>
          <w:szCs w:val="21"/>
        </w:rPr>
      </w:pPr>
      <w:r>
        <w:rPr>
          <w:rFonts w:ascii="宋体" w:hint="eastAsia"/>
          <w:b/>
          <w:szCs w:val="21"/>
        </w:rPr>
        <w:t>第三节</w:t>
      </w:r>
      <w:r>
        <w:rPr>
          <w:rFonts w:ascii="宋体"/>
          <w:b/>
          <w:szCs w:val="21"/>
        </w:rPr>
        <w:t xml:space="preserve">  </w:t>
      </w:r>
      <w:r>
        <w:rPr>
          <w:rFonts w:ascii="宋体" w:hint="eastAsia"/>
          <w:b/>
          <w:szCs w:val="21"/>
        </w:rPr>
        <w:t>类风湿性关节炎的作业治疗</w:t>
      </w:r>
    </w:p>
    <w:p w:rsidR="003717A0" w:rsidRDefault="003717A0">
      <w:pPr>
        <w:rPr>
          <w:rFonts w:ascii="宋体"/>
          <w:b/>
          <w:szCs w:val="21"/>
        </w:rPr>
      </w:pPr>
      <w:r>
        <w:rPr>
          <w:rFonts w:ascii="宋体" w:hint="eastAsia"/>
          <w:b/>
          <w:szCs w:val="21"/>
        </w:rPr>
        <w:t>目的要求</w:t>
      </w:r>
    </w:p>
    <w:p w:rsidR="003717A0" w:rsidRDefault="003717A0">
      <w:pPr>
        <w:numPr>
          <w:ilvl w:val="0"/>
          <w:numId w:val="451"/>
        </w:numPr>
        <w:rPr>
          <w:rFonts w:ascii="宋体"/>
          <w:szCs w:val="21"/>
        </w:rPr>
      </w:pPr>
      <w:r>
        <w:rPr>
          <w:rFonts w:ascii="宋体" w:hint="eastAsia"/>
          <w:szCs w:val="21"/>
        </w:rPr>
        <w:t>了解类风湿性关节炎的定义、成因和分类</w:t>
      </w:r>
    </w:p>
    <w:p w:rsidR="003717A0" w:rsidRDefault="003717A0">
      <w:pPr>
        <w:numPr>
          <w:ilvl w:val="0"/>
          <w:numId w:val="451"/>
        </w:numPr>
        <w:rPr>
          <w:rFonts w:ascii="宋体"/>
          <w:szCs w:val="21"/>
        </w:rPr>
      </w:pPr>
      <w:r>
        <w:rPr>
          <w:rFonts w:ascii="宋体" w:hint="eastAsia"/>
          <w:szCs w:val="21"/>
        </w:rPr>
        <w:t>熟悉类风湿性的临床特点及诊断标准，功能障碍的特点</w:t>
      </w:r>
    </w:p>
    <w:p w:rsidR="003717A0" w:rsidRDefault="003717A0">
      <w:pPr>
        <w:numPr>
          <w:ilvl w:val="0"/>
          <w:numId w:val="451"/>
        </w:numPr>
        <w:rPr>
          <w:rFonts w:ascii="宋体"/>
          <w:szCs w:val="21"/>
        </w:rPr>
      </w:pPr>
      <w:r>
        <w:rPr>
          <w:rFonts w:ascii="宋体" w:hint="eastAsia"/>
          <w:szCs w:val="21"/>
        </w:rPr>
        <w:t>掌握类风湿性的康复评定内容和方法及康复治疗措施</w:t>
      </w:r>
    </w:p>
    <w:p w:rsidR="003717A0" w:rsidRDefault="003717A0">
      <w:pPr>
        <w:rPr>
          <w:rFonts w:ascii="宋体"/>
          <w:b/>
          <w:szCs w:val="21"/>
        </w:rPr>
      </w:pPr>
      <w:r>
        <w:rPr>
          <w:rFonts w:ascii="宋体"/>
          <w:szCs w:val="21"/>
        </w:rPr>
        <w:t>4</w:t>
      </w:r>
      <w:r>
        <w:rPr>
          <w:rFonts w:ascii="宋体" w:hint="eastAsia"/>
          <w:szCs w:val="21"/>
        </w:rPr>
        <w:t>、掌握类风湿性的作业治疗原则和方法</w:t>
      </w:r>
    </w:p>
    <w:p w:rsidR="003717A0" w:rsidRDefault="003717A0">
      <w:pPr>
        <w:rPr>
          <w:rFonts w:ascii="宋体"/>
          <w:szCs w:val="21"/>
        </w:rPr>
      </w:pPr>
      <w:r>
        <w:rPr>
          <w:rFonts w:ascii="宋体"/>
          <w:szCs w:val="21"/>
        </w:rPr>
        <w:t>5</w:t>
      </w:r>
      <w:r>
        <w:rPr>
          <w:rFonts w:ascii="宋体" w:hint="eastAsia"/>
          <w:szCs w:val="21"/>
        </w:rPr>
        <w:t>、掌握相关矫形器的制作</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rPr>
          <w:rFonts w:ascii="宋体"/>
          <w:szCs w:val="21"/>
        </w:rPr>
      </w:pPr>
    </w:p>
    <w:p w:rsidR="003717A0" w:rsidRDefault="003717A0">
      <w:pPr>
        <w:rPr>
          <w:rFonts w:ascii="宋体"/>
          <w:b/>
          <w:szCs w:val="21"/>
        </w:rPr>
      </w:pPr>
      <w:r>
        <w:rPr>
          <w:rFonts w:ascii="宋体" w:hint="eastAsia"/>
          <w:b/>
          <w:szCs w:val="21"/>
        </w:rPr>
        <w:t>第四节</w:t>
      </w:r>
      <w:r>
        <w:rPr>
          <w:rFonts w:ascii="宋体"/>
          <w:b/>
          <w:szCs w:val="21"/>
        </w:rPr>
        <w:t xml:space="preserve">  </w:t>
      </w:r>
      <w:r>
        <w:rPr>
          <w:rFonts w:ascii="宋体" w:hint="eastAsia"/>
          <w:b/>
          <w:szCs w:val="21"/>
        </w:rPr>
        <w:t>人工关节置换术后的作业治疗</w:t>
      </w:r>
    </w:p>
    <w:p w:rsidR="003717A0" w:rsidRDefault="003717A0">
      <w:pPr>
        <w:rPr>
          <w:rFonts w:ascii="宋体"/>
          <w:b/>
          <w:szCs w:val="21"/>
        </w:rPr>
      </w:pPr>
      <w:r>
        <w:rPr>
          <w:rFonts w:ascii="宋体" w:hint="eastAsia"/>
          <w:b/>
          <w:szCs w:val="21"/>
        </w:rPr>
        <w:t>目的要求：</w:t>
      </w:r>
    </w:p>
    <w:p w:rsidR="003717A0" w:rsidRDefault="003717A0">
      <w:pPr>
        <w:numPr>
          <w:ilvl w:val="0"/>
          <w:numId w:val="452"/>
        </w:numPr>
        <w:rPr>
          <w:rFonts w:ascii="宋体"/>
          <w:szCs w:val="21"/>
        </w:rPr>
      </w:pPr>
      <w:r>
        <w:rPr>
          <w:rFonts w:ascii="宋体" w:hint="eastAsia"/>
          <w:szCs w:val="21"/>
        </w:rPr>
        <w:t>掌握髋、膝关节的解剖生理</w:t>
      </w:r>
    </w:p>
    <w:p w:rsidR="003717A0" w:rsidRDefault="003717A0">
      <w:pPr>
        <w:numPr>
          <w:ilvl w:val="0"/>
          <w:numId w:val="452"/>
        </w:numPr>
        <w:rPr>
          <w:rFonts w:ascii="宋体"/>
          <w:szCs w:val="21"/>
        </w:rPr>
      </w:pPr>
      <w:r>
        <w:rPr>
          <w:rFonts w:ascii="宋体" w:hint="eastAsia"/>
          <w:szCs w:val="21"/>
        </w:rPr>
        <w:t>掌握关节置换术后的并发症及其处理方法</w:t>
      </w:r>
    </w:p>
    <w:p w:rsidR="003717A0" w:rsidRDefault="003717A0">
      <w:pPr>
        <w:numPr>
          <w:ilvl w:val="0"/>
          <w:numId w:val="452"/>
        </w:numPr>
        <w:rPr>
          <w:rFonts w:ascii="宋体"/>
          <w:szCs w:val="21"/>
        </w:rPr>
      </w:pPr>
      <w:r>
        <w:rPr>
          <w:rFonts w:ascii="宋体" w:hint="eastAsia"/>
          <w:szCs w:val="21"/>
        </w:rPr>
        <w:t>熟悉关节置换术后的康复评定内容和方法，及注意事项</w:t>
      </w:r>
    </w:p>
    <w:p w:rsidR="003717A0" w:rsidRDefault="003717A0">
      <w:pPr>
        <w:numPr>
          <w:ilvl w:val="0"/>
          <w:numId w:val="452"/>
        </w:numPr>
        <w:rPr>
          <w:rFonts w:ascii="宋体"/>
          <w:szCs w:val="21"/>
        </w:rPr>
      </w:pPr>
      <w:r>
        <w:rPr>
          <w:rFonts w:ascii="宋体" w:hint="eastAsia"/>
          <w:szCs w:val="21"/>
        </w:rPr>
        <w:t>掌握关节置换术后的康复治疗措施</w:t>
      </w:r>
    </w:p>
    <w:p w:rsidR="003717A0" w:rsidRDefault="003717A0">
      <w:pPr>
        <w:numPr>
          <w:ilvl w:val="0"/>
          <w:numId w:val="452"/>
        </w:numPr>
        <w:rPr>
          <w:rFonts w:ascii="宋体"/>
          <w:b/>
          <w:szCs w:val="21"/>
        </w:rPr>
      </w:pPr>
      <w:r>
        <w:rPr>
          <w:rFonts w:ascii="宋体" w:hint="eastAsia"/>
          <w:szCs w:val="21"/>
        </w:rPr>
        <w:t>掌握髋关节和膝关节置换术后的作业治疗原则和方法</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rPr>
          <w:rFonts w:ascii="宋体"/>
          <w:szCs w:val="21"/>
        </w:rPr>
      </w:pPr>
    </w:p>
    <w:p w:rsidR="003717A0" w:rsidRDefault="003717A0">
      <w:pPr>
        <w:rPr>
          <w:rFonts w:ascii="宋体"/>
          <w:b/>
          <w:szCs w:val="21"/>
        </w:rPr>
      </w:pPr>
      <w:r>
        <w:rPr>
          <w:rFonts w:ascii="宋体" w:hint="eastAsia"/>
          <w:b/>
          <w:szCs w:val="21"/>
        </w:rPr>
        <w:t>第五节</w:t>
      </w:r>
      <w:r>
        <w:rPr>
          <w:rFonts w:ascii="宋体"/>
          <w:b/>
          <w:szCs w:val="21"/>
        </w:rPr>
        <w:t xml:space="preserve">  </w:t>
      </w:r>
      <w:r>
        <w:rPr>
          <w:rFonts w:ascii="宋体" w:hint="eastAsia"/>
          <w:b/>
          <w:szCs w:val="21"/>
        </w:rPr>
        <w:t>手外伤的作业治疗</w:t>
      </w:r>
    </w:p>
    <w:p w:rsidR="003717A0" w:rsidRDefault="003717A0">
      <w:pPr>
        <w:rPr>
          <w:rFonts w:ascii="宋体"/>
          <w:b/>
          <w:szCs w:val="21"/>
        </w:rPr>
      </w:pPr>
      <w:r>
        <w:rPr>
          <w:rFonts w:ascii="宋体" w:hint="eastAsia"/>
          <w:b/>
          <w:szCs w:val="21"/>
        </w:rPr>
        <w:t>目的要求：</w:t>
      </w:r>
    </w:p>
    <w:p w:rsidR="003717A0" w:rsidRDefault="003717A0">
      <w:pPr>
        <w:numPr>
          <w:ilvl w:val="0"/>
          <w:numId w:val="453"/>
        </w:numPr>
        <w:rPr>
          <w:rFonts w:ascii="宋体"/>
          <w:szCs w:val="21"/>
        </w:rPr>
      </w:pPr>
      <w:r>
        <w:rPr>
          <w:rFonts w:ascii="宋体" w:hint="eastAsia"/>
          <w:szCs w:val="21"/>
        </w:rPr>
        <w:lastRenderedPageBreak/>
        <w:t>掌握手的解剖生理</w:t>
      </w:r>
    </w:p>
    <w:p w:rsidR="003717A0" w:rsidRDefault="003717A0">
      <w:pPr>
        <w:numPr>
          <w:ilvl w:val="0"/>
          <w:numId w:val="453"/>
        </w:numPr>
        <w:rPr>
          <w:rFonts w:ascii="宋体"/>
          <w:szCs w:val="21"/>
        </w:rPr>
      </w:pPr>
      <w:r>
        <w:rPr>
          <w:rFonts w:ascii="宋体" w:hint="eastAsia"/>
          <w:szCs w:val="21"/>
        </w:rPr>
        <w:t>熟悉手外伤的临床与功能障碍的特点</w:t>
      </w:r>
    </w:p>
    <w:p w:rsidR="003717A0" w:rsidRDefault="003717A0">
      <w:pPr>
        <w:numPr>
          <w:ilvl w:val="0"/>
          <w:numId w:val="453"/>
        </w:numPr>
        <w:rPr>
          <w:rFonts w:ascii="宋体"/>
          <w:szCs w:val="21"/>
        </w:rPr>
      </w:pPr>
      <w:r>
        <w:rPr>
          <w:rFonts w:ascii="宋体" w:hint="eastAsia"/>
          <w:szCs w:val="21"/>
        </w:rPr>
        <w:t>掌握手外伤的康复评定内容和方法</w:t>
      </w:r>
    </w:p>
    <w:p w:rsidR="003717A0" w:rsidRDefault="003717A0">
      <w:pPr>
        <w:rPr>
          <w:rFonts w:ascii="宋体"/>
          <w:szCs w:val="21"/>
        </w:rPr>
      </w:pPr>
      <w:r>
        <w:rPr>
          <w:rFonts w:ascii="宋体"/>
          <w:szCs w:val="21"/>
        </w:rPr>
        <w:t>3</w:t>
      </w:r>
      <w:r>
        <w:rPr>
          <w:rFonts w:ascii="宋体" w:hint="eastAsia"/>
          <w:szCs w:val="21"/>
        </w:rPr>
        <w:t>、掌握手外伤（肌腱术后、骨折、软组织损伤、断指再植后）的作业治疗原则和方法</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rPr>
          <w:rFonts w:ascii="宋体"/>
          <w:b/>
          <w:szCs w:val="21"/>
        </w:rPr>
      </w:pPr>
      <w:r>
        <w:rPr>
          <w:rFonts w:ascii="宋体" w:hint="eastAsia"/>
          <w:b/>
          <w:szCs w:val="21"/>
        </w:rPr>
        <w:t>第六节</w:t>
      </w:r>
      <w:r>
        <w:rPr>
          <w:rFonts w:ascii="宋体"/>
          <w:b/>
          <w:szCs w:val="21"/>
        </w:rPr>
        <w:t xml:space="preserve">  </w:t>
      </w:r>
      <w:r>
        <w:rPr>
          <w:rFonts w:ascii="宋体" w:hint="eastAsia"/>
          <w:b/>
          <w:szCs w:val="21"/>
        </w:rPr>
        <w:t>截肢的作业治疗</w:t>
      </w:r>
    </w:p>
    <w:p w:rsidR="003717A0" w:rsidRDefault="003717A0">
      <w:pPr>
        <w:rPr>
          <w:rFonts w:ascii="宋体"/>
          <w:b/>
          <w:szCs w:val="21"/>
        </w:rPr>
      </w:pPr>
      <w:r>
        <w:rPr>
          <w:rFonts w:ascii="宋体" w:hint="eastAsia"/>
          <w:b/>
          <w:szCs w:val="21"/>
        </w:rPr>
        <w:t>目的要求：</w:t>
      </w:r>
    </w:p>
    <w:p w:rsidR="003717A0" w:rsidRDefault="003717A0">
      <w:pPr>
        <w:numPr>
          <w:ilvl w:val="0"/>
          <w:numId w:val="454"/>
        </w:numPr>
        <w:rPr>
          <w:rFonts w:ascii="宋体"/>
          <w:szCs w:val="21"/>
        </w:rPr>
      </w:pPr>
      <w:r>
        <w:rPr>
          <w:rFonts w:ascii="宋体" w:hint="eastAsia"/>
          <w:szCs w:val="21"/>
        </w:rPr>
        <w:t>了解截肢和假肢的临床处置方法</w:t>
      </w:r>
    </w:p>
    <w:p w:rsidR="003717A0" w:rsidRDefault="003717A0">
      <w:pPr>
        <w:numPr>
          <w:ilvl w:val="0"/>
          <w:numId w:val="454"/>
        </w:numPr>
        <w:rPr>
          <w:rFonts w:ascii="宋体"/>
          <w:szCs w:val="21"/>
        </w:rPr>
      </w:pPr>
      <w:r>
        <w:rPr>
          <w:rFonts w:ascii="宋体" w:hint="eastAsia"/>
          <w:szCs w:val="21"/>
        </w:rPr>
        <w:t>熟悉假肢的制作工序</w:t>
      </w:r>
    </w:p>
    <w:p w:rsidR="003717A0" w:rsidRDefault="003717A0">
      <w:pPr>
        <w:rPr>
          <w:rFonts w:ascii="宋体"/>
          <w:szCs w:val="21"/>
        </w:rPr>
      </w:pPr>
      <w:r>
        <w:rPr>
          <w:rFonts w:ascii="宋体"/>
          <w:szCs w:val="21"/>
        </w:rPr>
        <w:t>3</w:t>
      </w:r>
      <w:r>
        <w:rPr>
          <w:rFonts w:ascii="宋体" w:hint="eastAsia"/>
          <w:szCs w:val="21"/>
        </w:rPr>
        <w:t>、掌握截肢和假肢患者的作业疗法</w:t>
      </w:r>
    </w:p>
    <w:p w:rsidR="003717A0" w:rsidRDefault="003717A0">
      <w:pPr>
        <w:rPr>
          <w:rFonts w:ascii="宋体"/>
          <w:szCs w:val="21"/>
        </w:rPr>
      </w:pPr>
      <w:r>
        <w:rPr>
          <w:rFonts w:ascii="宋体"/>
          <w:szCs w:val="21"/>
        </w:rPr>
        <w:t>4</w:t>
      </w:r>
      <w:r>
        <w:rPr>
          <w:rFonts w:ascii="宋体" w:hint="eastAsia"/>
          <w:szCs w:val="21"/>
        </w:rPr>
        <w:t>、熟悉残肢并发症及其处理</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rPr>
          <w:rFonts w:ascii="宋体"/>
          <w:szCs w:val="21"/>
        </w:rPr>
      </w:pPr>
    </w:p>
    <w:p w:rsidR="003717A0" w:rsidRDefault="003717A0">
      <w:pPr>
        <w:rPr>
          <w:rFonts w:ascii="宋体"/>
          <w:b/>
          <w:szCs w:val="21"/>
        </w:rPr>
      </w:pPr>
      <w:r>
        <w:rPr>
          <w:rFonts w:ascii="宋体" w:hint="eastAsia"/>
          <w:b/>
          <w:szCs w:val="21"/>
        </w:rPr>
        <w:t>第七节</w:t>
      </w:r>
      <w:r>
        <w:rPr>
          <w:rFonts w:ascii="宋体"/>
          <w:b/>
          <w:szCs w:val="21"/>
        </w:rPr>
        <w:t xml:space="preserve">  </w:t>
      </w:r>
      <w:r>
        <w:rPr>
          <w:rFonts w:ascii="宋体" w:hint="eastAsia"/>
          <w:b/>
          <w:szCs w:val="21"/>
        </w:rPr>
        <w:t>颈肩腰腿痛的作业治疗</w:t>
      </w:r>
    </w:p>
    <w:p w:rsidR="003717A0" w:rsidRDefault="003717A0">
      <w:pPr>
        <w:rPr>
          <w:rFonts w:ascii="宋体"/>
          <w:b/>
          <w:szCs w:val="21"/>
        </w:rPr>
      </w:pPr>
      <w:r>
        <w:rPr>
          <w:rFonts w:ascii="宋体" w:hint="eastAsia"/>
          <w:b/>
          <w:szCs w:val="21"/>
        </w:rPr>
        <w:t>目的要求：</w:t>
      </w:r>
    </w:p>
    <w:p w:rsidR="003717A0" w:rsidRDefault="003717A0">
      <w:pPr>
        <w:rPr>
          <w:rFonts w:ascii="宋体"/>
          <w:szCs w:val="21"/>
        </w:rPr>
      </w:pPr>
      <w:r>
        <w:rPr>
          <w:rFonts w:ascii="宋体"/>
          <w:szCs w:val="21"/>
        </w:rPr>
        <w:t>1</w:t>
      </w:r>
      <w:r>
        <w:rPr>
          <w:rFonts w:ascii="宋体" w:hint="eastAsia"/>
          <w:szCs w:val="21"/>
        </w:rPr>
        <w:t>、熟悉颈椎的解剖、生理定义和类型、</w:t>
      </w:r>
    </w:p>
    <w:p w:rsidR="003717A0" w:rsidRDefault="003717A0">
      <w:pPr>
        <w:rPr>
          <w:rFonts w:ascii="宋体"/>
          <w:szCs w:val="21"/>
        </w:rPr>
      </w:pPr>
      <w:r>
        <w:rPr>
          <w:rFonts w:ascii="宋体"/>
          <w:szCs w:val="21"/>
        </w:rPr>
        <w:t>2</w:t>
      </w:r>
      <w:r>
        <w:rPr>
          <w:rFonts w:ascii="宋体" w:hint="eastAsia"/>
          <w:szCs w:val="21"/>
        </w:rPr>
        <w:t>、掌握各型颈椎病的病因、诊断要点</w:t>
      </w:r>
      <w:r>
        <w:rPr>
          <w:rFonts w:ascii="宋体"/>
          <w:szCs w:val="21"/>
        </w:rPr>
        <w:t xml:space="preserve"> </w:t>
      </w:r>
      <w:r>
        <w:rPr>
          <w:rFonts w:ascii="宋体" w:hint="eastAsia"/>
          <w:szCs w:val="21"/>
        </w:rPr>
        <w:t>、功能评定、治疗方法和健康教育</w:t>
      </w:r>
    </w:p>
    <w:p w:rsidR="003717A0" w:rsidRDefault="003717A0">
      <w:pPr>
        <w:rPr>
          <w:rFonts w:ascii="宋体"/>
          <w:szCs w:val="21"/>
        </w:rPr>
      </w:pPr>
      <w:r>
        <w:rPr>
          <w:rFonts w:ascii="宋体"/>
          <w:szCs w:val="21"/>
        </w:rPr>
        <w:t>3</w:t>
      </w:r>
      <w:r>
        <w:rPr>
          <w:rFonts w:ascii="宋体" w:hint="eastAsia"/>
          <w:szCs w:val="21"/>
        </w:rPr>
        <w:t>、熟悉肩关节的解剖结构与生物力学、病因和病理、诊断和鉴别诊断、作业治疗</w:t>
      </w:r>
    </w:p>
    <w:p w:rsidR="003717A0" w:rsidRDefault="003717A0">
      <w:pPr>
        <w:rPr>
          <w:rFonts w:ascii="宋体"/>
          <w:szCs w:val="21"/>
        </w:rPr>
      </w:pPr>
      <w:r>
        <w:rPr>
          <w:rFonts w:ascii="宋体"/>
          <w:szCs w:val="21"/>
        </w:rPr>
        <w:t>4</w:t>
      </w:r>
      <w:r>
        <w:rPr>
          <w:rFonts w:ascii="宋体" w:hint="eastAsia"/>
          <w:szCs w:val="21"/>
        </w:rPr>
        <w:t>、掌握腰椎间盘的解剖生理、腰椎间盘病变的分型、诊断和鉴别诊断、功能评定、治疗方法</w:t>
      </w:r>
    </w:p>
    <w:p w:rsidR="003717A0" w:rsidRDefault="003717A0">
      <w:pPr>
        <w:rPr>
          <w:rFonts w:ascii="宋体"/>
          <w:szCs w:val="21"/>
        </w:rPr>
      </w:pPr>
      <w:r>
        <w:rPr>
          <w:rFonts w:ascii="宋体"/>
          <w:szCs w:val="21"/>
        </w:rPr>
        <w:t>5</w:t>
      </w:r>
      <w:r>
        <w:rPr>
          <w:rFonts w:ascii="宋体" w:hint="eastAsia"/>
          <w:szCs w:val="21"/>
        </w:rPr>
        <w:t>、熟悉腰椎间盘病变的健康教育</w:t>
      </w:r>
    </w:p>
    <w:p w:rsidR="003717A0" w:rsidRDefault="003717A0">
      <w:pPr>
        <w:rPr>
          <w:rFonts w:ascii="宋体"/>
          <w:b/>
          <w:szCs w:val="21"/>
        </w:rPr>
      </w:pPr>
      <w:r>
        <w:rPr>
          <w:rFonts w:ascii="宋体" w:hint="eastAsia"/>
          <w:b/>
          <w:szCs w:val="21"/>
        </w:rPr>
        <w:t>教学内容：</w:t>
      </w:r>
    </w:p>
    <w:p w:rsidR="003717A0" w:rsidRDefault="003717A0">
      <w:pPr>
        <w:rPr>
          <w:rFonts w:ascii="宋体"/>
          <w:szCs w:val="21"/>
        </w:rPr>
      </w:pPr>
      <w:r>
        <w:rPr>
          <w:rFonts w:ascii="宋体"/>
          <w:szCs w:val="21"/>
        </w:rPr>
        <w:t>1</w:t>
      </w:r>
      <w:r>
        <w:rPr>
          <w:rFonts w:ascii="宋体" w:hint="eastAsia"/>
          <w:szCs w:val="21"/>
        </w:rPr>
        <w:t>、概述</w:t>
      </w:r>
    </w:p>
    <w:p w:rsidR="003717A0" w:rsidRDefault="003717A0">
      <w:pPr>
        <w:rPr>
          <w:rFonts w:ascii="宋体"/>
          <w:szCs w:val="21"/>
        </w:rPr>
      </w:pPr>
      <w:r>
        <w:rPr>
          <w:rFonts w:ascii="宋体"/>
          <w:szCs w:val="21"/>
        </w:rPr>
        <w:t>2</w:t>
      </w:r>
      <w:r>
        <w:rPr>
          <w:rFonts w:ascii="宋体" w:hint="eastAsia"/>
          <w:szCs w:val="21"/>
        </w:rPr>
        <w:t>、功能障碍的特点</w:t>
      </w:r>
    </w:p>
    <w:p w:rsidR="003717A0" w:rsidRDefault="003717A0">
      <w:pPr>
        <w:rPr>
          <w:rFonts w:ascii="宋体"/>
          <w:szCs w:val="21"/>
        </w:rPr>
      </w:pPr>
      <w:r>
        <w:rPr>
          <w:rFonts w:ascii="宋体"/>
          <w:szCs w:val="21"/>
        </w:rPr>
        <w:t>3</w:t>
      </w:r>
      <w:r>
        <w:rPr>
          <w:rFonts w:ascii="宋体" w:hint="eastAsia"/>
          <w:szCs w:val="21"/>
        </w:rPr>
        <w:t>、功能评定</w:t>
      </w:r>
    </w:p>
    <w:p w:rsidR="003717A0" w:rsidRDefault="003717A0">
      <w:pPr>
        <w:rPr>
          <w:rFonts w:ascii="宋体"/>
          <w:szCs w:val="21"/>
        </w:rPr>
      </w:pPr>
      <w:r>
        <w:rPr>
          <w:rFonts w:ascii="宋体"/>
          <w:szCs w:val="21"/>
        </w:rPr>
        <w:t>4</w:t>
      </w:r>
      <w:r>
        <w:rPr>
          <w:rFonts w:ascii="宋体" w:hint="eastAsia"/>
          <w:szCs w:val="21"/>
        </w:rPr>
        <w:t>、作业治疗</w:t>
      </w:r>
    </w:p>
    <w:p w:rsidR="003717A0" w:rsidRDefault="003717A0">
      <w:pPr>
        <w:spacing w:line="360" w:lineRule="auto"/>
        <w:rPr>
          <w:rFonts w:ascii="宋体"/>
          <w:szCs w:val="21"/>
        </w:rPr>
      </w:pPr>
      <w:r>
        <w:rPr>
          <w:rFonts w:ascii="宋体" w:hint="eastAsia"/>
          <w:b/>
          <w:szCs w:val="21"/>
        </w:rPr>
        <w:t>实验见习：</w:t>
      </w:r>
      <w:r>
        <w:rPr>
          <w:rFonts w:ascii="宋体" w:hint="eastAsia"/>
          <w:szCs w:val="21"/>
        </w:rPr>
        <w:t>本课程安排</w:t>
      </w:r>
      <w:r>
        <w:rPr>
          <w:rFonts w:ascii="宋体"/>
          <w:szCs w:val="21"/>
        </w:rPr>
        <w:t>27</w:t>
      </w:r>
      <w:r>
        <w:rPr>
          <w:rFonts w:ascii="宋体" w:hint="eastAsia"/>
          <w:szCs w:val="21"/>
        </w:rPr>
        <w:t>学时的实验见习，具体内容见习场所如下：</w:t>
      </w:r>
    </w:p>
    <w:p w:rsidR="003717A0" w:rsidRDefault="003717A0">
      <w:pPr>
        <w:spacing w:line="360" w:lineRule="auto"/>
        <w:rPr>
          <w:rFonts w:ascii="宋体"/>
          <w:b/>
          <w:szCs w:val="21"/>
        </w:rPr>
      </w:pPr>
      <w:r>
        <w:rPr>
          <w:rFonts w:ascii="宋体" w:hint="eastAsia"/>
          <w:b/>
          <w:szCs w:val="21"/>
        </w:rPr>
        <w:t>基本要求：</w:t>
      </w:r>
      <w:r>
        <w:rPr>
          <w:rFonts w:ascii="宋体" w:hint="eastAsia"/>
          <w:szCs w:val="21"/>
        </w:rPr>
        <w:t>本课程的实验见习，在作业治疗实验室和附属医院康复中心进行，重点讲解评定和治疗过程，以增强学生的操作技能。</w:t>
      </w:r>
    </w:p>
    <w:p w:rsidR="003717A0" w:rsidRDefault="003717A0">
      <w:pPr>
        <w:numPr>
          <w:ilvl w:val="0"/>
          <w:numId w:val="455"/>
        </w:numPr>
        <w:spacing w:before="100" w:beforeAutospacing="1" w:after="100" w:afterAutospacing="1"/>
        <w:rPr>
          <w:rFonts w:ascii="宋体"/>
          <w:szCs w:val="21"/>
        </w:rPr>
      </w:pPr>
      <w:r>
        <w:rPr>
          <w:rFonts w:ascii="宋体" w:hint="eastAsia"/>
          <w:szCs w:val="21"/>
        </w:rPr>
        <w:t>骨骼肌肉系统疾病的作业治疗的理论框架</w:t>
      </w:r>
      <w:r>
        <w:rPr>
          <w:rFonts w:ascii="宋体" w:cs="宋体"/>
          <w:spacing w:val="12"/>
          <w:kern w:val="0"/>
          <w:szCs w:val="21"/>
        </w:rPr>
        <w:t xml:space="preserve">    3</w:t>
      </w:r>
      <w:r>
        <w:rPr>
          <w:rFonts w:ascii="宋体" w:hint="eastAsia"/>
          <w:szCs w:val="21"/>
        </w:rPr>
        <w:t>学时</w:t>
      </w:r>
      <w:r>
        <w:rPr>
          <w:rFonts w:ascii="宋体"/>
          <w:szCs w:val="21"/>
        </w:rPr>
        <w:t xml:space="preserve">   </w:t>
      </w:r>
      <w:r>
        <w:rPr>
          <w:rFonts w:ascii="宋体" w:hint="eastAsia"/>
          <w:szCs w:val="21"/>
        </w:rPr>
        <w:t>（在作业治疗实验室）</w:t>
      </w:r>
    </w:p>
    <w:p w:rsidR="003717A0" w:rsidRDefault="003717A0">
      <w:pPr>
        <w:ind w:firstLineChars="200" w:firstLine="420"/>
        <w:rPr>
          <w:rFonts w:ascii="宋体"/>
          <w:szCs w:val="21"/>
        </w:rPr>
      </w:pPr>
      <w:r>
        <w:rPr>
          <w:rFonts w:ascii="宋体"/>
          <w:szCs w:val="21"/>
        </w:rPr>
        <w:t>2</w:t>
      </w:r>
      <w:r>
        <w:rPr>
          <w:rFonts w:ascii="宋体" w:hint="eastAsia"/>
          <w:szCs w:val="21"/>
        </w:rPr>
        <w:t>、骨骼肌肉系统疾病的整体康复途径</w:t>
      </w:r>
      <w:r>
        <w:rPr>
          <w:rFonts w:ascii="宋体"/>
          <w:szCs w:val="21"/>
        </w:rPr>
        <w:t xml:space="preserve">           3</w:t>
      </w:r>
      <w:r>
        <w:rPr>
          <w:rFonts w:ascii="宋体" w:hint="eastAsia"/>
          <w:szCs w:val="21"/>
        </w:rPr>
        <w:t>学时</w:t>
      </w:r>
      <w:r>
        <w:rPr>
          <w:rFonts w:ascii="宋体"/>
          <w:szCs w:val="21"/>
        </w:rPr>
        <w:t xml:space="preserve">   </w:t>
      </w:r>
      <w:r>
        <w:rPr>
          <w:rFonts w:ascii="宋体" w:hint="eastAsia"/>
          <w:szCs w:val="21"/>
        </w:rPr>
        <w:t>（在作业治疗实验室）</w:t>
      </w:r>
    </w:p>
    <w:p w:rsidR="003717A0" w:rsidRDefault="003717A0">
      <w:pPr>
        <w:tabs>
          <w:tab w:val="left" w:pos="2840"/>
          <w:tab w:val="left" w:pos="5680"/>
        </w:tabs>
        <w:ind w:firstLineChars="200" w:firstLine="420"/>
        <w:jc w:val="left"/>
        <w:rPr>
          <w:rFonts w:ascii="宋体" w:cs="宋体"/>
          <w:spacing w:val="12"/>
          <w:kern w:val="0"/>
          <w:szCs w:val="21"/>
        </w:rPr>
      </w:pPr>
      <w:r>
        <w:rPr>
          <w:rFonts w:ascii="宋体"/>
          <w:szCs w:val="21"/>
        </w:rPr>
        <w:t>3</w:t>
      </w:r>
      <w:r>
        <w:rPr>
          <w:rFonts w:ascii="宋体" w:cs="宋体" w:hint="eastAsia"/>
          <w:spacing w:val="12"/>
          <w:kern w:val="0"/>
          <w:szCs w:val="21"/>
        </w:rPr>
        <w:t>、</w:t>
      </w:r>
      <w:r>
        <w:rPr>
          <w:rFonts w:ascii="宋体" w:hint="eastAsia"/>
          <w:szCs w:val="21"/>
        </w:rPr>
        <w:t>骨骼肌肉系统疾病作业治疗的整体评估</w:t>
      </w:r>
      <w:r>
        <w:rPr>
          <w:rFonts w:ascii="宋体" w:cs="宋体"/>
          <w:spacing w:val="12"/>
          <w:kern w:val="0"/>
          <w:szCs w:val="21"/>
        </w:rPr>
        <w:t xml:space="preserve">      3</w:t>
      </w:r>
      <w:r>
        <w:rPr>
          <w:rFonts w:ascii="宋体" w:cs="宋体" w:hint="eastAsia"/>
          <w:spacing w:val="12"/>
          <w:kern w:val="0"/>
          <w:szCs w:val="21"/>
        </w:rPr>
        <w:t>学时</w:t>
      </w:r>
      <w:r>
        <w:rPr>
          <w:rFonts w:ascii="宋体" w:cs="宋体"/>
          <w:spacing w:val="12"/>
          <w:kern w:val="0"/>
          <w:szCs w:val="21"/>
        </w:rPr>
        <w:t xml:space="preserve">  </w:t>
      </w:r>
      <w:r>
        <w:rPr>
          <w:rFonts w:ascii="宋体" w:cs="宋体" w:hint="eastAsia"/>
          <w:spacing w:val="12"/>
          <w:kern w:val="0"/>
          <w:szCs w:val="21"/>
        </w:rPr>
        <w:t>（</w:t>
      </w:r>
      <w:r>
        <w:rPr>
          <w:rFonts w:ascii="宋体" w:hint="eastAsia"/>
          <w:szCs w:val="21"/>
        </w:rPr>
        <w:t>在作业治疗实验室</w:t>
      </w:r>
      <w:r>
        <w:rPr>
          <w:rFonts w:ascii="宋体" w:cs="宋体" w:hint="eastAsia"/>
          <w:spacing w:val="12"/>
          <w:kern w:val="0"/>
          <w:szCs w:val="21"/>
        </w:rPr>
        <w:t>）</w:t>
      </w:r>
    </w:p>
    <w:p w:rsidR="003717A0" w:rsidRDefault="003717A0">
      <w:pPr>
        <w:tabs>
          <w:tab w:val="left" w:pos="2840"/>
          <w:tab w:val="left" w:pos="5680"/>
        </w:tabs>
        <w:ind w:firstLineChars="200" w:firstLine="420"/>
        <w:jc w:val="left"/>
        <w:rPr>
          <w:rFonts w:ascii="宋体" w:cs="宋体"/>
          <w:spacing w:val="12"/>
          <w:kern w:val="0"/>
          <w:szCs w:val="21"/>
        </w:rPr>
      </w:pPr>
      <w:r>
        <w:rPr>
          <w:rFonts w:ascii="宋体"/>
          <w:szCs w:val="21"/>
        </w:rPr>
        <w:t>4</w:t>
      </w:r>
      <w:r>
        <w:rPr>
          <w:rFonts w:ascii="宋体" w:hint="eastAsia"/>
          <w:szCs w:val="21"/>
        </w:rPr>
        <w:t>、骨折的作业治疗</w:t>
      </w:r>
      <w:r>
        <w:rPr>
          <w:rFonts w:ascii="宋体"/>
          <w:szCs w:val="21"/>
        </w:rPr>
        <w:t xml:space="preserve">                            </w:t>
      </w:r>
      <w:r>
        <w:rPr>
          <w:rFonts w:ascii="宋体" w:cs="宋体"/>
          <w:spacing w:val="12"/>
          <w:kern w:val="0"/>
          <w:szCs w:val="21"/>
        </w:rPr>
        <w:t>3</w:t>
      </w:r>
      <w:r>
        <w:rPr>
          <w:rFonts w:ascii="宋体" w:cs="宋体" w:hint="eastAsia"/>
          <w:spacing w:val="12"/>
          <w:kern w:val="0"/>
          <w:szCs w:val="21"/>
        </w:rPr>
        <w:t>学时</w:t>
      </w:r>
      <w:r>
        <w:rPr>
          <w:rFonts w:ascii="宋体" w:cs="宋体"/>
          <w:spacing w:val="12"/>
          <w:kern w:val="0"/>
          <w:szCs w:val="21"/>
        </w:rPr>
        <w:t xml:space="preserve">  </w:t>
      </w:r>
      <w:r>
        <w:rPr>
          <w:rFonts w:ascii="宋体" w:hint="eastAsia"/>
          <w:szCs w:val="21"/>
        </w:rPr>
        <w:t>（在附院康复中心）</w:t>
      </w:r>
    </w:p>
    <w:p w:rsidR="003717A0" w:rsidRDefault="003717A0">
      <w:pPr>
        <w:tabs>
          <w:tab w:val="left" w:pos="2840"/>
          <w:tab w:val="left" w:pos="5680"/>
        </w:tabs>
        <w:ind w:firstLineChars="200" w:firstLine="468"/>
        <w:jc w:val="left"/>
        <w:rPr>
          <w:rFonts w:ascii="宋体" w:cs="宋体"/>
          <w:spacing w:val="12"/>
          <w:kern w:val="0"/>
          <w:szCs w:val="21"/>
        </w:rPr>
      </w:pPr>
      <w:r>
        <w:rPr>
          <w:rFonts w:ascii="宋体" w:cs="宋体"/>
          <w:spacing w:val="12"/>
          <w:kern w:val="0"/>
          <w:szCs w:val="21"/>
        </w:rPr>
        <w:t>5</w:t>
      </w:r>
      <w:r>
        <w:rPr>
          <w:rFonts w:ascii="宋体" w:cs="宋体" w:hint="eastAsia"/>
          <w:spacing w:val="12"/>
          <w:kern w:val="0"/>
          <w:szCs w:val="21"/>
        </w:rPr>
        <w:t>、</w:t>
      </w:r>
      <w:r>
        <w:rPr>
          <w:rFonts w:ascii="宋体" w:hint="eastAsia"/>
          <w:szCs w:val="21"/>
        </w:rPr>
        <w:t>骨关节炎和类风湿性关节炎的作业治疗</w:t>
      </w:r>
      <w:r>
        <w:rPr>
          <w:rFonts w:ascii="宋体" w:cs="宋体"/>
          <w:spacing w:val="12"/>
          <w:kern w:val="0"/>
          <w:szCs w:val="21"/>
        </w:rPr>
        <w:t xml:space="preserve">     3</w:t>
      </w:r>
      <w:r>
        <w:rPr>
          <w:rFonts w:ascii="宋体" w:cs="宋体" w:hint="eastAsia"/>
          <w:spacing w:val="12"/>
          <w:kern w:val="0"/>
          <w:szCs w:val="21"/>
        </w:rPr>
        <w:t>学时</w:t>
      </w:r>
      <w:r>
        <w:rPr>
          <w:rFonts w:ascii="宋体" w:cs="宋体"/>
          <w:spacing w:val="12"/>
          <w:kern w:val="0"/>
          <w:szCs w:val="21"/>
        </w:rPr>
        <w:t xml:space="preserve">  </w:t>
      </w:r>
      <w:r>
        <w:rPr>
          <w:rFonts w:ascii="宋体" w:cs="宋体" w:hint="eastAsia"/>
          <w:spacing w:val="12"/>
          <w:kern w:val="0"/>
          <w:szCs w:val="21"/>
        </w:rPr>
        <w:t>（</w:t>
      </w:r>
      <w:r>
        <w:rPr>
          <w:rFonts w:ascii="宋体" w:hint="eastAsia"/>
          <w:szCs w:val="21"/>
        </w:rPr>
        <w:t>在附院康复中心</w:t>
      </w:r>
      <w:r>
        <w:rPr>
          <w:rFonts w:ascii="宋体" w:cs="宋体" w:hint="eastAsia"/>
          <w:spacing w:val="12"/>
          <w:kern w:val="0"/>
          <w:szCs w:val="21"/>
        </w:rPr>
        <w:t>）</w:t>
      </w:r>
    </w:p>
    <w:p w:rsidR="003717A0" w:rsidRDefault="003717A0">
      <w:pPr>
        <w:ind w:firstLineChars="200" w:firstLine="468"/>
        <w:rPr>
          <w:rFonts w:ascii="宋体"/>
          <w:szCs w:val="21"/>
        </w:rPr>
      </w:pPr>
      <w:r>
        <w:rPr>
          <w:rFonts w:ascii="宋体" w:cs="宋体"/>
          <w:spacing w:val="12"/>
          <w:kern w:val="0"/>
          <w:szCs w:val="21"/>
        </w:rPr>
        <w:lastRenderedPageBreak/>
        <w:t>6</w:t>
      </w:r>
      <w:r>
        <w:rPr>
          <w:rFonts w:ascii="宋体" w:cs="宋体" w:hint="eastAsia"/>
          <w:spacing w:val="12"/>
          <w:kern w:val="0"/>
          <w:szCs w:val="21"/>
        </w:rPr>
        <w:t>、</w:t>
      </w:r>
      <w:r>
        <w:rPr>
          <w:rFonts w:ascii="宋体" w:hint="eastAsia"/>
          <w:szCs w:val="21"/>
        </w:rPr>
        <w:t>人工关节置换术后的作业治疗</w:t>
      </w:r>
      <w:r>
        <w:rPr>
          <w:rFonts w:ascii="宋体"/>
          <w:szCs w:val="21"/>
        </w:rPr>
        <w:t xml:space="preserve">              3</w:t>
      </w:r>
      <w:r>
        <w:rPr>
          <w:rFonts w:ascii="宋体" w:hint="eastAsia"/>
          <w:szCs w:val="21"/>
        </w:rPr>
        <w:t>学时</w:t>
      </w:r>
      <w:r>
        <w:rPr>
          <w:rFonts w:ascii="宋体"/>
          <w:szCs w:val="21"/>
        </w:rPr>
        <w:t xml:space="preserve">  </w:t>
      </w:r>
      <w:r>
        <w:rPr>
          <w:rFonts w:ascii="宋体" w:hint="eastAsia"/>
          <w:szCs w:val="21"/>
        </w:rPr>
        <w:t>（在附院康复中心）</w:t>
      </w:r>
    </w:p>
    <w:p w:rsidR="003717A0" w:rsidRDefault="003717A0">
      <w:pPr>
        <w:ind w:firstLineChars="200" w:firstLine="420"/>
        <w:rPr>
          <w:rFonts w:ascii="宋体"/>
          <w:szCs w:val="21"/>
        </w:rPr>
      </w:pPr>
      <w:r>
        <w:rPr>
          <w:rFonts w:ascii="宋体"/>
          <w:szCs w:val="21"/>
        </w:rPr>
        <w:t>7</w:t>
      </w:r>
      <w:r>
        <w:rPr>
          <w:rFonts w:ascii="宋体" w:hint="eastAsia"/>
          <w:szCs w:val="21"/>
        </w:rPr>
        <w:t>、手外伤的作业治疗</w:t>
      </w:r>
      <w:r>
        <w:rPr>
          <w:rFonts w:ascii="宋体"/>
          <w:szCs w:val="21"/>
        </w:rPr>
        <w:t xml:space="preserve">                         3</w:t>
      </w:r>
      <w:r>
        <w:rPr>
          <w:rFonts w:ascii="宋体" w:hint="eastAsia"/>
          <w:szCs w:val="21"/>
        </w:rPr>
        <w:t>学时</w:t>
      </w:r>
      <w:r>
        <w:rPr>
          <w:rFonts w:ascii="宋体"/>
          <w:szCs w:val="21"/>
        </w:rPr>
        <w:t xml:space="preserve">  </w:t>
      </w:r>
      <w:r>
        <w:rPr>
          <w:rFonts w:ascii="宋体" w:hint="eastAsia"/>
          <w:szCs w:val="21"/>
        </w:rPr>
        <w:t>（在附院康复中心）</w:t>
      </w:r>
    </w:p>
    <w:p w:rsidR="003717A0" w:rsidRDefault="003717A0">
      <w:pPr>
        <w:ind w:firstLineChars="200" w:firstLine="420"/>
        <w:rPr>
          <w:rFonts w:ascii="宋体"/>
          <w:szCs w:val="21"/>
        </w:rPr>
      </w:pPr>
      <w:r>
        <w:rPr>
          <w:rFonts w:ascii="宋体"/>
          <w:szCs w:val="21"/>
        </w:rPr>
        <w:t>8</w:t>
      </w:r>
      <w:r>
        <w:rPr>
          <w:rFonts w:ascii="宋体" w:hint="eastAsia"/>
          <w:szCs w:val="21"/>
        </w:rPr>
        <w:t>、截肢的作业治疗</w:t>
      </w:r>
      <w:r>
        <w:rPr>
          <w:rFonts w:ascii="宋体"/>
          <w:szCs w:val="21"/>
        </w:rPr>
        <w:t xml:space="preserve">                           3</w:t>
      </w:r>
      <w:r>
        <w:rPr>
          <w:rFonts w:ascii="宋体" w:hint="eastAsia"/>
          <w:szCs w:val="21"/>
        </w:rPr>
        <w:t>学时</w:t>
      </w:r>
      <w:r>
        <w:rPr>
          <w:rFonts w:ascii="宋体"/>
          <w:szCs w:val="21"/>
        </w:rPr>
        <w:t xml:space="preserve">  </w:t>
      </w:r>
      <w:r>
        <w:rPr>
          <w:rFonts w:ascii="宋体" w:hint="eastAsia"/>
          <w:szCs w:val="21"/>
        </w:rPr>
        <w:t>（在附院康复中心）</w:t>
      </w:r>
    </w:p>
    <w:p w:rsidR="003717A0" w:rsidRDefault="003717A0">
      <w:pPr>
        <w:ind w:firstLineChars="200" w:firstLine="420"/>
        <w:rPr>
          <w:rFonts w:ascii="宋体"/>
          <w:b/>
          <w:szCs w:val="21"/>
        </w:rPr>
      </w:pPr>
      <w:r>
        <w:rPr>
          <w:rFonts w:ascii="宋体"/>
          <w:szCs w:val="21"/>
        </w:rPr>
        <w:t>9</w:t>
      </w:r>
      <w:r>
        <w:rPr>
          <w:rFonts w:ascii="宋体" w:hint="eastAsia"/>
          <w:szCs w:val="21"/>
        </w:rPr>
        <w:t>、颈肩腰腿痛的作业治疗</w:t>
      </w:r>
      <w:r>
        <w:rPr>
          <w:rFonts w:ascii="宋体"/>
          <w:b/>
          <w:szCs w:val="21"/>
        </w:rPr>
        <w:t xml:space="preserve">                     </w:t>
      </w:r>
      <w:r>
        <w:rPr>
          <w:rFonts w:ascii="宋体" w:cs="宋体"/>
          <w:spacing w:val="12"/>
          <w:kern w:val="0"/>
          <w:szCs w:val="21"/>
        </w:rPr>
        <w:t>3</w:t>
      </w:r>
      <w:r>
        <w:rPr>
          <w:rFonts w:ascii="宋体" w:cs="宋体" w:hint="eastAsia"/>
          <w:spacing w:val="12"/>
          <w:kern w:val="0"/>
          <w:szCs w:val="21"/>
        </w:rPr>
        <w:t>学时</w:t>
      </w:r>
      <w:r>
        <w:rPr>
          <w:rFonts w:ascii="宋体" w:cs="宋体"/>
          <w:spacing w:val="12"/>
          <w:kern w:val="0"/>
          <w:szCs w:val="21"/>
        </w:rPr>
        <w:t xml:space="preserve">  </w:t>
      </w:r>
      <w:r>
        <w:rPr>
          <w:rFonts w:ascii="宋体" w:cs="宋体" w:hint="eastAsia"/>
          <w:spacing w:val="12"/>
          <w:kern w:val="0"/>
          <w:szCs w:val="21"/>
        </w:rPr>
        <w:t>（</w:t>
      </w:r>
      <w:r>
        <w:rPr>
          <w:rFonts w:ascii="宋体" w:hint="eastAsia"/>
          <w:szCs w:val="21"/>
        </w:rPr>
        <w:t>在附院康复中心</w:t>
      </w:r>
      <w:r>
        <w:rPr>
          <w:rFonts w:ascii="宋体" w:cs="宋体" w:hint="eastAsia"/>
          <w:spacing w:val="12"/>
          <w:kern w:val="0"/>
          <w:szCs w:val="21"/>
        </w:rPr>
        <w:t>）</w:t>
      </w:r>
    </w:p>
    <w:p w:rsidR="003717A0" w:rsidRDefault="003717A0" w:rsidP="00566E4D">
      <w:pPr>
        <w:jc w:val="center"/>
        <w:rPr>
          <w:rFonts w:ascii="宋体"/>
          <w:b/>
          <w:szCs w:val="21"/>
        </w:rPr>
      </w:pPr>
      <w:r>
        <w:rPr>
          <w:rFonts w:ascii="宋体" w:hint="eastAsia"/>
          <w:b/>
          <w:szCs w:val="21"/>
        </w:rPr>
        <w:t>四、课程学时分配</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7"/>
        <w:gridCol w:w="5503"/>
        <w:gridCol w:w="1454"/>
        <w:gridCol w:w="1452"/>
      </w:tblGrid>
      <w:tr w:rsidR="003717A0">
        <w:tc>
          <w:tcPr>
            <w:tcW w:w="877" w:type="dxa"/>
            <w:vAlign w:val="center"/>
          </w:tcPr>
          <w:p w:rsidR="003717A0" w:rsidRDefault="003717A0">
            <w:pPr>
              <w:jc w:val="center"/>
              <w:rPr>
                <w:rFonts w:ascii="宋体"/>
                <w:szCs w:val="21"/>
              </w:rPr>
            </w:pPr>
            <w:r>
              <w:rPr>
                <w:rFonts w:ascii="宋体" w:hint="eastAsia"/>
                <w:szCs w:val="21"/>
              </w:rPr>
              <w:t>序号</w:t>
            </w:r>
          </w:p>
        </w:tc>
        <w:tc>
          <w:tcPr>
            <w:tcW w:w="5503" w:type="dxa"/>
            <w:vAlign w:val="center"/>
          </w:tcPr>
          <w:p w:rsidR="003717A0" w:rsidRDefault="003717A0">
            <w:pPr>
              <w:jc w:val="center"/>
              <w:rPr>
                <w:rFonts w:ascii="宋体"/>
                <w:szCs w:val="21"/>
              </w:rPr>
            </w:pPr>
            <w:r>
              <w:rPr>
                <w:rFonts w:ascii="宋体" w:hint="eastAsia"/>
                <w:szCs w:val="21"/>
              </w:rPr>
              <w:t>内容</w:t>
            </w:r>
          </w:p>
        </w:tc>
        <w:tc>
          <w:tcPr>
            <w:tcW w:w="1454" w:type="dxa"/>
            <w:vAlign w:val="center"/>
          </w:tcPr>
          <w:p w:rsidR="003717A0" w:rsidRDefault="003717A0">
            <w:pPr>
              <w:jc w:val="center"/>
              <w:rPr>
                <w:rFonts w:ascii="宋体"/>
                <w:szCs w:val="21"/>
              </w:rPr>
            </w:pPr>
            <w:r>
              <w:rPr>
                <w:rFonts w:ascii="宋体" w:hint="eastAsia"/>
                <w:szCs w:val="21"/>
              </w:rPr>
              <w:t>理论学时</w:t>
            </w:r>
          </w:p>
        </w:tc>
        <w:tc>
          <w:tcPr>
            <w:tcW w:w="1452" w:type="dxa"/>
            <w:vAlign w:val="center"/>
          </w:tcPr>
          <w:p w:rsidR="003717A0" w:rsidRDefault="003717A0">
            <w:pPr>
              <w:jc w:val="center"/>
              <w:rPr>
                <w:rFonts w:ascii="宋体"/>
                <w:szCs w:val="21"/>
              </w:rPr>
            </w:pPr>
            <w:r>
              <w:rPr>
                <w:rFonts w:ascii="宋体" w:hint="eastAsia"/>
                <w:szCs w:val="21"/>
              </w:rPr>
              <w:t>见习学时</w:t>
            </w:r>
          </w:p>
        </w:tc>
      </w:tr>
      <w:tr w:rsidR="003717A0">
        <w:tc>
          <w:tcPr>
            <w:tcW w:w="877" w:type="dxa"/>
          </w:tcPr>
          <w:p w:rsidR="003717A0" w:rsidRDefault="003717A0">
            <w:pPr>
              <w:rPr>
                <w:rFonts w:ascii="宋体"/>
                <w:szCs w:val="21"/>
              </w:rPr>
            </w:pPr>
            <w:r>
              <w:rPr>
                <w:rFonts w:ascii="宋体"/>
                <w:szCs w:val="21"/>
              </w:rPr>
              <w:t>1</w:t>
            </w:r>
          </w:p>
        </w:tc>
        <w:tc>
          <w:tcPr>
            <w:tcW w:w="5503" w:type="dxa"/>
          </w:tcPr>
          <w:p w:rsidR="003717A0" w:rsidRDefault="003717A0">
            <w:pPr>
              <w:rPr>
                <w:rFonts w:ascii="宋体"/>
                <w:szCs w:val="21"/>
              </w:rPr>
            </w:pPr>
            <w:r>
              <w:rPr>
                <w:rFonts w:ascii="宋体" w:hint="eastAsia"/>
                <w:szCs w:val="21"/>
              </w:rPr>
              <w:t>骨骼肌肉系统疾病的作业治疗的理论框架</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2</w:t>
            </w:r>
          </w:p>
        </w:tc>
        <w:tc>
          <w:tcPr>
            <w:tcW w:w="5503" w:type="dxa"/>
          </w:tcPr>
          <w:p w:rsidR="003717A0" w:rsidRDefault="003717A0">
            <w:pPr>
              <w:rPr>
                <w:rFonts w:ascii="宋体"/>
                <w:szCs w:val="21"/>
              </w:rPr>
            </w:pPr>
            <w:r>
              <w:rPr>
                <w:rFonts w:ascii="宋体" w:hint="eastAsia"/>
                <w:szCs w:val="21"/>
              </w:rPr>
              <w:t>骨骼肌肉系统疾病的整体康复途径</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3</w:t>
            </w:r>
          </w:p>
        </w:tc>
        <w:tc>
          <w:tcPr>
            <w:tcW w:w="5503" w:type="dxa"/>
          </w:tcPr>
          <w:p w:rsidR="003717A0" w:rsidRDefault="003717A0">
            <w:pPr>
              <w:rPr>
                <w:rFonts w:ascii="宋体"/>
                <w:szCs w:val="21"/>
              </w:rPr>
            </w:pPr>
            <w:r>
              <w:rPr>
                <w:rFonts w:ascii="宋体" w:hint="eastAsia"/>
                <w:szCs w:val="21"/>
              </w:rPr>
              <w:t>骨骼肌肉系统疾病作业治疗的整体评估</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4</w:t>
            </w:r>
          </w:p>
        </w:tc>
        <w:tc>
          <w:tcPr>
            <w:tcW w:w="5503" w:type="dxa"/>
          </w:tcPr>
          <w:p w:rsidR="003717A0" w:rsidRDefault="003717A0">
            <w:pPr>
              <w:rPr>
                <w:rFonts w:ascii="宋体"/>
                <w:szCs w:val="21"/>
              </w:rPr>
            </w:pPr>
            <w:r>
              <w:rPr>
                <w:rFonts w:ascii="宋体" w:hint="eastAsia"/>
                <w:szCs w:val="21"/>
              </w:rPr>
              <w:t>骨折的作业治疗</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5</w:t>
            </w:r>
          </w:p>
        </w:tc>
        <w:tc>
          <w:tcPr>
            <w:tcW w:w="5503" w:type="dxa"/>
          </w:tcPr>
          <w:p w:rsidR="003717A0" w:rsidRDefault="003717A0">
            <w:pPr>
              <w:rPr>
                <w:rFonts w:ascii="宋体"/>
                <w:szCs w:val="21"/>
              </w:rPr>
            </w:pPr>
            <w:r>
              <w:rPr>
                <w:rFonts w:ascii="宋体" w:hint="eastAsia"/>
                <w:szCs w:val="21"/>
              </w:rPr>
              <w:t>骨关节炎和类风湿性关节炎的作业治疗</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6</w:t>
            </w:r>
          </w:p>
        </w:tc>
        <w:tc>
          <w:tcPr>
            <w:tcW w:w="5503" w:type="dxa"/>
          </w:tcPr>
          <w:p w:rsidR="003717A0" w:rsidRDefault="003717A0">
            <w:pPr>
              <w:rPr>
                <w:rFonts w:ascii="宋体"/>
                <w:szCs w:val="21"/>
              </w:rPr>
            </w:pPr>
            <w:r>
              <w:rPr>
                <w:rFonts w:ascii="宋体" w:hint="eastAsia"/>
                <w:szCs w:val="21"/>
              </w:rPr>
              <w:t>人工关节置换术后的作业治疗</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7</w:t>
            </w:r>
          </w:p>
        </w:tc>
        <w:tc>
          <w:tcPr>
            <w:tcW w:w="5503" w:type="dxa"/>
          </w:tcPr>
          <w:p w:rsidR="003717A0" w:rsidRDefault="003717A0">
            <w:pPr>
              <w:rPr>
                <w:rFonts w:ascii="宋体"/>
                <w:szCs w:val="21"/>
              </w:rPr>
            </w:pPr>
            <w:r>
              <w:rPr>
                <w:rFonts w:ascii="宋体" w:hint="eastAsia"/>
                <w:szCs w:val="21"/>
              </w:rPr>
              <w:t>手外伤的作业治疗</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8</w:t>
            </w:r>
          </w:p>
        </w:tc>
        <w:tc>
          <w:tcPr>
            <w:tcW w:w="5503" w:type="dxa"/>
          </w:tcPr>
          <w:p w:rsidR="003717A0" w:rsidRDefault="003717A0">
            <w:pPr>
              <w:rPr>
                <w:rFonts w:ascii="宋体"/>
                <w:szCs w:val="21"/>
              </w:rPr>
            </w:pPr>
            <w:r>
              <w:rPr>
                <w:rFonts w:ascii="宋体" w:hint="eastAsia"/>
                <w:szCs w:val="21"/>
              </w:rPr>
              <w:t>截肢的作业治疗</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c>
          <w:tcPr>
            <w:tcW w:w="877" w:type="dxa"/>
          </w:tcPr>
          <w:p w:rsidR="003717A0" w:rsidRDefault="003717A0">
            <w:pPr>
              <w:rPr>
                <w:rFonts w:ascii="宋体"/>
                <w:szCs w:val="21"/>
              </w:rPr>
            </w:pPr>
            <w:r>
              <w:rPr>
                <w:rFonts w:ascii="宋体"/>
                <w:szCs w:val="21"/>
              </w:rPr>
              <w:t>9</w:t>
            </w:r>
          </w:p>
        </w:tc>
        <w:tc>
          <w:tcPr>
            <w:tcW w:w="5503" w:type="dxa"/>
          </w:tcPr>
          <w:p w:rsidR="003717A0" w:rsidRDefault="003717A0">
            <w:pPr>
              <w:rPr>
                <w:rFonts w:ascii="宋体"/>
                <w:szCs w:val="21"/>
              </w:rPr>
            </w:pPr>
            <w:r>
              <w:rPr>
                <w:rFonts w:ascii="宋体" w:hint="eastAsia"/>
                <w:szCs w:val="21"/>
              </w:rPr>
              <w:t>颈肩腰腿痛的作业治疗</w:t>
            </w:r>
          </w:p>
        </w:tc>
        <w:tc>
          <w:tcPr>
            <w:tcW w:w="1454" w:type="dxa"/>
          </w:tcPr>
          <w:p w:rsidR="003717A0" w:rsidRDefault="003717A0">
            <w:pPr>
              <w:rPr>
                <w:rFonts w:ascii="宋体"/>
                <w:szCs w:val="21"/>
              </w:rPr>
            </w:pPr>
            <w:r>
              <w:rPr>
                <w:rFonts w:ascii="宋体"/>
                <w:szCs w:val="21"/>
              </w:rPr>
              <w:t>3</w:t>
            </w:r>
          </w:p>
        </w:tc>
        <w:tc>
          <w:tcPr>
            <w:tcW w:w="1452" w:type="dxa"/>
          </w:tcPr>
          <w:p w:rsidR="003717A0" w:rsidRDefault="003717A0">
            <w:pPr>
              <w:rPr>
                <w:rFonts w:ascii="宋体"/>
                <w:szCs w:val="21"/>
              </w:rPr>
            </w:pPr>
            <w:r>
              <w:rPr>
                <w:rFonts w:ascii="宋体"/>
                <w:szCs w:val="21"/>
              </w:rPr>
              <w:t>3</w:t>
            </w:r>
          </w:p>
        </w:tc>
      </w:tr>
      <w:tr w:rsidR="003717A0">
        <w:trPr>
          <w:trHeight w:val="369"/>
        </w:trPr>
        <w:tc>
          <w:tcPr>
            <w:tcW w:w="6380" w:type="dxa"/>
            <w:gridSpan w:val="2"/>
          </w:tcPr>
          <w:p w:rsidR="003717A0" w:rsidRDefault="003717A0">
            <w:pPr>
              <w:ind w:firstLineChars="400" w:firstLine="840"/>
              <w:jc w:val="center"/>
              <w:rPr>
                <w:rFonts w:ascii="宋体"/>
                <w:szCs w:val="21"/>
              </w:rPr>
            </w:pPr>
            <w:r>
              <w:rPr>
                <w:rFonts w:ascii="宋体" w:hint="eastAsia"/>
                <w:szCs w:val="21"/>
              </w:rPr>
              <w:t>合计</w:t>
            </w:r>
          </w:p>
        </w:tc>
        <w:tc>
          <w:tcPr>
            <w:tcW w:w="1454" w:type="dxa"/>
          </w:tcPr>
          <w:p w:rsidR="003717A0" w:rsidRDefault="003717A0">
            <w:pPr>
              <w:rPr>
                <w:rFonts w:ascii="宋体"/>
                <w:szCs w:val="21"/>
              </w:rPr>
            </w:pPr>
            <w:r>
              <w:rPr>
                <w:rFonts w:ascii="宋体"/>
                <w:szCs w:val="21"/>
              </w:rPr>
              <w:t>27</w:t>
            </w:r>
          </w:p>
        </w:tc>
        <w:tc>
          <w:tcPr>
            <w:tcW w:w="1452" w:type="dxa"/>
          </w:tcPr>
          <w:p w:rsidR="003717A0" w:rsidRDefault="003717A0">
            <w:pPr>
              <w:rPr>
                <w:rFonts w:ascii="宋体"/>
                <w:szCs w:val="21"/>
              </w:rPr>
            </w:pPr>
            <w:r>
              <w:rPr>
                <w:rFonts w:ascii="宋体"/>
                <w:szCs w:val="21"/>
              </w:rPr>
              <w:t>27</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ind w:firstLineChars="150" w:firstLine="315"/>
        <w:rPr>
          <w:rFonts w:ascii="宋体"/>
          <w:szCs w:val="21"/>
        </w:rPr>
      </w:pPr>
      <w:r>
        <w:rPr>
          <w:rFonts w:ascii="宋体" w:hint="eastAsia"/>
          <w:szCs w:val="21"/>
        </w:rPr>
        <w:t>课堂教学以大班上课为主，讲课按教学大纲进行讲课时要做到目地明确，层次分明，讲究教学方法，充分利用图表、幻灯、录相、多媒体等教学工具。</w:t>
      </w:r>
    </w:p>
    <w:p w:rsidR="003717A0" w:rsidRDefault="003717A0">
      <w:pPr>
        <w:ind w:firstLineChars="150" w:firstLine="315"/>
        <w:rPr>
          <w:rFonts w:ascii="宋体"/>
          <w:szCs w:val="21"/>
        </w:rPr>
      </w:pPr>
      <w:r>
        <w:rPr>
          <w:rFonts w:ascii="宋体" w:hint="eastAsia"/>
          <w:szCs w:val="21"/>
        </w:rPr>
        <w:t>在实习中，利用各种检查仪器和治疗工具示教，小组带教互动以学生动手学习操作为主，结合对病人治疗进行必要的重点讲解，以巩固和深化课堂所讲授的知识。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本课程考试采用闭卷考核方法，时间为</w:t>
      </w:r>
      <w:r>
        <w:rPr>
          <w:rFonts w:ascii="Times New Roman" w:eastAsia="Times New Roman"/>
          <w:color w:val="auto"/>
        </w:rPr>
        <w:t xml:space="preserve">2 </w:t>
      </w:r>
      <w:r>
        <w:rPr>
          <w:rFonts w:ascii="宋体" w:hAnsi="宋体" w:cs="宋体" w:hint="eastAsia"/>
          <w:color w:val="auto"/>
        </w:rPr>
        <w:t>小时。</w:t>
      </w:r>
    </w:p>
    <w:p w:rsidR="003717A0" w:rsidRDefault="003717A0">
      <w:pPr>
        <w:pStyle w:val="Af9"/>
        <w:spacing w:before="0" w:after="0" w:line="360" w:lineRule="auto"/>
        <w:ind w:right="4" w:firstLine="420"/>
        <w:rPr>
          <w:rFonts w:ascii="Times New Roman" w:hAnsi="Times New Roman"/>
          <w:color w:val="auto"/>
        </w:rPr>
      </w:pPr>
      <w:r>
        <w:rPr>
          <w:rFonts w:ascii="宋体" w:hAnsi="宋体" w:cs="宋体" w:hint="eastAsia"/>
          <w:color w:val="auto"/>
        </w:rPr>
        <w:t>期末考试成绩占总成绩的</w:t>
      </w:r>
      <w:r>
        <w:rPr>
          <w:rFonts w:ascii="Times New Roman"/>
          <w:color w:val="auto"/>
        </w:rPr>
        <w:t>10</w:t>
      </w:r>
      <w:r>
        <w:rPr>
          <w:rFonts w:ascii="Times New Roman" w:eastAsia="Times New Roman"/>
          <w:color w:val="auto"/>
        </w:rPr>
        <w:t>0%</w:t>
      </w:r>
      <w:r>
        <w:rPr>
          <w:rFonts w:ascii="宋体" w:hAnsi="宋体" w:cs="宋体" w:hint="eastAsia"/>
          <w:color w:val="auto"/>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教材：</w:t>
      </w:r>
      <w:r>
        <w:rPr>
          <w:rFonts w:ascii="Times New Roman" w:hAnsi="Times New Roman"/>
        </w:rPr>
        <w:t xml:space="preserve"> </w:t>
      </w:r>
      <w:r>
        <w:rPr>
          <w:rFonts w:ascii="Times New Roman" w:hAnsi="Times New Roman" w:hint="eastAsia"/>
        </w:rPr>
        <w:t>自编讲义《骨骼肌肉系统疾病作业治疗》</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w:t>
      </w:r>
      <w:r>
        <w:rPr>
          <w:rFonts w:ascii="Times New Roman" w:hAnsi="Times New Roman"/>
        </w:rPr>
        <w:t xml:space="preserve">  </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1</w:t>
      </w:r>
      <w:r>
        <w:rPr>
          <w:rFonts w:ascii="Times New Roman" w:hAnsi="Times New Roman" w:hint="eastAsia"/>
        </w:rPr>
        <w:t>、窦祖林主编，《作业治疗学》，人民卫生出版社，</w:t>
      </w:r>
      <w:r>
        <w:rPr>
          <w:rFonts w:ascii="Times New Roman" w:hAnsi="Times New Roman"/>
        </w:rPr>
        <w:t>2008</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2</w:t>
      </w:r>
      <w:r>
        <w:rPr>
          <w:rFonts w:ascii="Times New Roman" w:hAnsi="Times New Roman" w:hint="eastAsia"/>
        </w:rPr>
        <w:t>、陈立嘉主编，《基础作业学》，华夏出版社，</w:t>
      </w:r>
      <w:r>
        <w:rPr>
          <w:rFonts w:ascii="Times New Roman" w:hAnsi="Times New Roman"/>
        </w:rPr>
        <w:t>2003</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3</w:t>
      </w:r>
      <w:r>
        <w:rPr>
          <w:rFonts w:ascii="Times New Roman" w:hAnsi="Times New Roman" w:hint="eastAsia"/>
        </w:rPr>
        <w:t>、王刚王彤主编，《临床作业疗法学》，华夏出版社，</w:t>
      </w:r>
      <w:r>
        <w:rPr>
          <w:rFonts w:ascii="Times New Roman" w:hAnsi="Times New Roman"/>
        </w:rPr>
        <w:t>2003</w:t>
      </w:r>
      <w:r>
        <w:rPr>
          <w:rFonts w:ascii="Times New Roman" w:hAnsi="Times New Roman" w:hint="eastAsia"/>
        </w:rPr>
        <w:t>年</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4</w:t>
      </w:r>
      <w:r>
        <w:rPr>
          <w:rFonts w:ascii="Times New Roman" w:hAnsi="Times New Roman" w:hint="eastAsia"/>
        </w:rPr>
        <w:t>、</w:t>
      </w:r>
      <w:r>
        <w:rPr>
          <w:rFonts w:ascii="Times New Roman" w:hAnsi="Times New Roman"/>
        </w:rPr>
        <w:t>Clivc Langman. Introduction to Vocational Rahabilitation Police,practices and Skill.Great Britain,2011.</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5</w:t>
      </w:r>
      <w:r>
        <w:rPr>
          <w:rFonts w:ascii="Times New Roman" w:hAnsi="Times New Roman" w:hint="eastAsia"/>
        </w:rPr>
        <w:t>、</w:t>
      </w:r>
      <w:r>
        <w:rPr>
          <w:rFonts w:ascii="Times New Roman" w:hAnsi="Times New Roman"/>
        </w:rPr>
        <w:t>Stanford E.Rubin,Foundations of the Vocational Rehabilitation Process. 6th ed.Pro-ed Inc,2008.</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rPr>
        <w:t>6</w:t>
      </w:r>
      <w:r>
        <w:rPr>
          <w:rFonts w:ascii="Times New Roman" w:hAnsi="Times New Roman" w:hint="eastAsia"/>
        </w:rPr>
        <w:t>、</w:t>
      </w:r>
      <w:r>
        <w:rPr>
          <w:rFonts w:ascii="Times New Roman" w:hAnsi="Times New Roman"/>
        </w:rPr>
        <w:t>U.S.Department of Labor.The revised Handbook for Analyzing Jobs.Washington.D.C:U.S.Department of Labor,Employment and Training Administration,1991.</w:t>
      </w:r>
    </w:p>
    <w:p w:rsidR="003717A0" w:rsidRDefault="003717A0">
      <w:pPr>
        <w:adjustRightInd w:val="0"/>
        <w:snapToGrid w:val="0"/>
        <w:spacing w:line="360" w:lineRule="auto"/>
        <w:ind w:right="4" w:firstLineChars="200" w:firstLine="420"/>
        <w:rPr>
          <w:rFonts w:ascii="Times New Roman" w:hAnsi="Times New Roman"/>
        </w:rPr>
      </w:pPr>
      <w:r>
        <w:t>7</w:t>
      </w:r>
      <w:r>
        <w:rPr>
          <w:rFonts w:hint="eastAsia"/>
        </w:rPr>
        <w:t>、</w:t>
      </w:r>
      <w:r>
        <w:t>U.S.Department of Labor.Dictionary of Occupational Title.4th ed.Washington.D.C.:U.S.Government printing Office,1991.</w:t>
      </w:r>
    </w:p>
    <w:p w:rsidR="003717A0" w:rsidRDefault="003717A0">
      <w:pPr>
        <w:autoSpaceDE w:val="0"/>
        <w:autoSpaceDN w:val="0"/>
        <w:adjustRightInd w:val="0"/>
        <w:ind w:firstLineChars="3350" w:firstLine="7035"/>
        <w:jc w:val="left"/>
        <w:rPr>
          <w:rFonts w:ascii="宋体" w:cs="黑体"/>
          <w:kern w:val="0"/>
          <w:szCs w:val="21"/>
        </w:rPr>
      </w:pPr>
    </w:p>
    <w:p w:rsidR="003717A0" w:rsidRDefault="003717A0" w:rsidP="00566E4D">
      <w:pPr>
        <w:autoSpaceDE w:val="0"/>
        <w:autoSpaceDN w:val="0"/>
        <w:adjustRightInd w:val="0"/>
        <w:spacing w:line="360" w:lineRule="exact"/>
        <w:jc w:val="right"/>
        <w:rPr>
          <w:rFonts w:ascii="宋体" w:cs="黑体"/>
          <w:kern w:val="0"/>
          <w:szCs w:val="21"/>
        </w:rPr>
      </w:pPr>
      <w:r>
        <w:rPr>
          <w:rFonts w:ascii="宋体" w:cs="黑体" w:hint="eastAsia"/>
          <w:kern w:val="0"/>
          <w:szCs w:val="21"/>
        </w:rPr>
        <w:t>制定人：顾琦</w:t>
      </w:r>
    </w:p>
    <w:p w:rsidR="003717A0" w:rsidRDefault="003717A0" w:rsidP="00566E4D">
      <w:pPr>
        <w:autoSpaceDE w:val="0"/>
        <w:autoSpaceDN w:val="0"/>
        <w:adjustRightInd w:val="0"/>
        <w:spacing w:line="360" w:lineRule="exact"/>
        <w:jc w:val="right"/>
        <w:rPr>
          <w:rFonts w:ascii="宋体" w:cs="黑体"/>
          <w:kern w:val="0"/>
          <w:szCs w:val="21"/>
        </w:rPr>
      </w:pPr>
      <w:r>
        <w:rPr>
          <w:rFonts w:ascii="宋体" w:cs="黑体" w:hint="eastAsia"/>
          <w:kern w:val="0"/>
          <w:szCs w:val="21"/>
        </w:rPr>
        <w:t>审核人：沈光宇</w:t>
      </w:r>
    </w:p>
    <w:p w:rsidR="003717A0" w:rsidRPr="00566E4D" w:rsidRDefault="003717A0" w:rsidP="00566E4D">
      <w:pPr>
        <w:adjustRightInd w:val="0"/>
        <w:snapToGrid w:val="0"/>
        <w:spacing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left="480" w:right="4"/>
        <w:rPr>
          <w:rFonts w:ascii="Times New Roman" w:hAnsi="Times New Roman"/>
        </w:rPr>
      </w:pPr>
      <w:r>
        <w:rPr>
          <w:rFonts w:ascii="Times New Roman" w:hAnsi="Times New Roman" w:hint="eastAsia"/>
        </w:rPr>
        <w:t>修读完本课程规定内容的康复治疗专业作业治疗方向的本科学生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通过考核来检查和了解学生对本门课程内容的掌握程度，考核学生对常见的骨骼肌肉系统疾病的作业治疗理解和掌握情况，包括在如何用</w:t>
      </w:r>
      <w:r>
        <w:rPr>
          <w:rFonts w:ascii="宋体"/>
          <w:szCs w:val="21"/>
        </w:rPr>
        <w:t>PEO</w:t>
      </w:r>
      <w:r>
        <w:rPr>
          <w:rFonts w:ascii="宋体" w:hint="eastAsia"/>
          <w:szCs w:val="21"/>
        </w:rPr>
        <w:t>、</w:t>
      </w:r>
      <w:r>
        <w:rPr>
          <w:rFonts w:ascii="宋体"/>
          <w:szCs w:val="21"/>
        </w:rPr>
        <w:t>MOHO</w:t>
      </w:r>
      <w:r>
        <w:rPr>
          <w:rFonts w:ascii="宋体" w:hint="eastAsia"/>
          <w:szCs w:val="21"/>
        </w:rPr>
        <w:t>等实践模式进行案例分析和活动分析。</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宋体" w:hint="eastAsia"/>
          <w:szCs w:val="21"/>
        </w:rPr>
        <w:t>期末闭卷理论考核和平时小组汇报形式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Times New Roman" w:hint="eastAsia"/>
          <w:szCs w:val="21"/>
        </w:rPr>
        <w:t>期末考试成绩占总成绩的</w:t>
      </w:r>
      <w:r>
        <w:rPr>
          <w:rFonts w:ascii="Times New Roman" w:hAnsi="Times New Roman"/>
          <w:szCs w:val="21"/>
        </w:rPr>
        <w:t>100%</w:t>
      </w:r>
      <w:r>
        <w:rPr>
          <w:rFonts w:ascii="Times New Roman" w:hAnsi="Times New Roman"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宋体"/>
          <w:szCs w:val="21"/>
        </w:rPr>
      </w:pPr>
      <w:r>
        <w:rPr>
          <w:rFonts w:hint="eastAsia"/>
          <w:sz w:val="22"/>
        </w:rPr>
        <w:t>骨骼肌肉系统疾病常见的评估，</w:t>
      </w:r>
      <w:r>
        <w:rPr>
          <w:rFonts w:ascii="宋体" w:hint="eastAsia"/>
          <w:szCs w:val="21"/>
        </w:rPr>
        <w:t>骨关节炎和类风湿性关节炎、人工关节置换术后、手外伤、截肢、颈肩腰腿痛的作业分析和治疗</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掌握骨骼肌肉系统疾病的概念和评估过程及内容，掌握常见病症的作业治疗方案</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sz w:val="22"/>
        </w:rPr>
        <w:t xml:space="preserve">                             </w:t>
      </w:r>
      <w:r>
        <w:rPr>
          <w:rFonts w:hint="eastAsia"/>
          <w:b/>
          <w:sz w:val="22"/>
        </w:rPr>
        <w:t>骨骼肌肉系统疾病作业治疗</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b/>
          <w:kern w:val="0"/>
          <w:sz w:val="22"/>
          <w:u w:val="single"/>
        </w:rPr>
        <w:t xml:space="preserve"> </w:t>
      </w: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90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50</w:t>
      </w:r>
      <w:r>
        <w:rPr>
          <w:rFonts w:ascii="Times New Roman" w:hAnsi="Times New Roman" w:hint="eastAsia"/>
          <w:b/>
          <w:kern w:val="0"/>
          <w:sz w:val="22"/>
        </w:rPr>
        <w:t>分</w:t>
      </w: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15</w:t>
      </w:r>
      <w:r>
        <w:rPr>
          <w:rFonts w:ascii="Times New Roman" w:hAnsi="Times New Roman" w:hint="eastAsia"/>
          <w:b/>
          <w:kern w:val="0"/>
          <w:sz w:val="22"/>
        </w:rPr>
        <w:t>分）</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1</w:t>
      </w:r>
      <w:r>
        <w:rPr>
          <w:rFonts w:ascii="Times New Roman" w:hAnsi="Times New Roman" w:hint="eastAsia"/>
          <w:kern w:val="0"/>
          <w:sz w:val="22"/>
        </w:rPr>
        <w:t>、日常生活活动</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kern w:val="0"/>
          <w:sz w:val="22"/>
        </w:rPr>
        <w:t xml:space="preserve">       2</w:t>
      </w:r>
      <w:r>
        <w:rPr>
          <w:rFonts w:ascii="Times New Roman" w:hAnsi="Times New Roman" w:hint="eastAsia"/>
          <w:kern w:val="0"/>
          <w:sz w:val="22"/>
        </w:rPr>
        <w:t>、骨关节炎</w:t>
      </w:r>
    </w:p>
    <w:p w:rsidR="003717A0" w:rsidRDefault="003717A0">
      <w:pPr>
        <w:autoSpaceDE w:val="0"/>
        <w:autoSpaceDN w:val="0"/>
        <w:adjustRightInd w:val="0"/>
        <w:spacing w:line="440" w:lineRule="exact"/>
        <w:rPr>
          <w:rFonts w:ascii="Times New Roman" w:hAnsi="Times New Roman"/>
          <w:b/>
          <w:kern w:val="0"/>
          <w:sz w:val="22"/>
        </w:rPr>
      </w:pPr>
      <w:r>
        <w:rPr>
          <w:rFonts w:ascii="Times New Roman" w:hAnsi="Times New Roman"/>
          <w:kern w:val="0"/>
          <w:sz w:val="22"/>
        </w:rPr>
        <w:t xml:space="preserve">       3</w:t>
      </w:r>
      <w:r>
        <w:rPr>
          <w:rFonts w:ascii="Times New Roman" w:hAnsi="Times New Roman" w:hint="eastAsia"/>
          <w:kern w:val="0"/>
          <w:sz w:val="22"/>
        </w:rPr>
        <w:t>、手的功能位</w:t>
      </w:r>
    </w:p>
    <w:p w:rsidR="003717A0" w:rsidRDefault="003717A0">
      <w:pPr>
        <w:autoSpaceDE w:val="0"/>
        <w:autoSpaceDN w:val="0"/>
        <w:adjustRightInd w:val="0"/>
        <w:spacing w:line="440" w:lineRule="exact"/>
        <w:rPr>
          <w:rFonts w:ascii="Times New Roman" w:hAnsi="Times New Roman"/>
          <w:b/>
          <w:kern w:val="0"/>
          <w:sz w:val="22"/>
        </w:rPr>
      </w:pP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简答题：（每题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utoSpaceDE w:val="0"/>
        <w:autoSpaceDN w:val="0"/>
        <w:adjustRightInd w:val="0"/>
        <w:spacing w:line="440" w:lineRule="exact"/>
        <w:ind w:left="420"/>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 xml:space="preserve">  1</w:t>
      </w:r>
      <w:r>
        <w:rPr>
          <w:rFonts w:ascii="Times New Roman" w:hAnsi="Times New Roman" w:hint="eastAsia"/>
          <w:kern w:val="0"/>
          <w:sz w:val="22"/>
        </w:rPr>
        <w:t>、髋关节置换术后的常见并发症</w:t>
      </w:r>
    </w:p>
    <w:p w:rsidR="003717A0" w:rsidRDefault="003717A0">
      <w:pPr>
        <w:autoSpaceDE w:val="0"/>
        <w:autoSpaceDN w:val="0"/>
        <w:adjustRightInd w:val="0"/>
        <w:spacing w:line="440" w:lineRule="exact"/>
        <w:ind w:firstLineChars="350" w:firstLine="770"/>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、手部屈肌腱损伤修复术后该如何进行康复治疗</w:t>
      </w: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案例分析（每题</w:t>
      </w:r>
      <w:r>
        <w:rPr>
          <w:rFonts w:ascii="Times New Roman" w:hAnsi="Times New Roman"/>
          <w:b/>
          <w:kern w:val="0"/>
          <w:sz w:val="22"/>
        </w:rPr>
        <w:t>15</w:t>
      </w:r>
      <w:r>
        <w:rPr>
          <w:rFonts w:ascii="Times New Roman" w:hAnsi="Times New Roman" w:hint="eastAsia"/>
          <w:b/>
          <w:kern w:val="0"/>
          <w:sz w:val="22"/>
        </w:rPr>
        <w:t>分，共</w:t>
      </w:r>
      <w:r>
        <w:rPr>
          <w:rFonts w:ascii="Times New Roman" w:hAnsi="Times New Roman"/>
          <w:b/>
          <w:kern w:val="0"/>
          <w:sz w:val="22"/>
        </w:rPr>
        <w:t>15</w:t>
      </w:r>
      <w:r>
        <w:rPr>
          <w:rFonts w:ascii="Times New Roman" w:hAnsi="Times New Roman" w:hint="eastAsia"/>
          <w:b/>
          <w:kern w:val="0"/>
          <w:sz w:val="22"/>
        </w:rPr>
        <w:t>分）</w:t>
      </w:r>
    </w:p>
    <w:p w:rsidR="003717A0" w:rsidRDefault="003717A0">
      <w:pPr>
        <w:autoSpaceDE w:val="0"/>
        <w:autoSpaceDN w:val="0"/>
        <w:adjustRightInd w:val="0"/>
        <w:spacing w:line="440" w:lineRule="exact"/>
        <w:ind w:leftChars="200" w:left="420" w:firstLineChars="200" w:firstLine="440"/>
        <w:rPr>
          <w:rFonts w:ascii="Times New Roman" w:hAnsi="Times New Roman"/>
          <w:kern w:val="0"/>
          <w:sz w:val="22"/>
        </w:rPr>
      </w:pPr>
      <w:r>
        <w:rPr>
          <w:rFonts w:ascii="Times New Roman" w:hAnsi="Times New Roman" w:hint="eastAsia"/>
          <w:kern w:val="0"/>
          <w:sz w:val="22"/>
        </w:rPr>
        <w:t>患者</w:t>
      </w:r>
      <w:r>
        <w:rPr>
          <w:rFonts w:ascii="Times New Roman" w:hAnsi="Times New Roman"/>
          <w:kern w:val="0"/>
          <w:sz w:val="22"/>
        </w:rPr>
        <w:t>xx</w:t>
      </w:r>
      <w:r>
        <w:rPr>
          <w:rFonts w:ascii="Times New Roman" w:hAnsi="Times New Roman" w:hint="eastAsia"/>
          <w:kern w:val="0"/>
          <w:sz w:val="22"/>
        </w:rPr>
        <w:t>女士，</w:t>
      </w:r>
      <w:r>
        <w:rPr>
          <w:rFonts w:ascii="Times New Roman" w:hAnsi="Times New Roman"/>
          <w:kern w:val="0"/>
          <w:sz w:val="22"/>
        </w:rPr>
        <w:t>35</w:t>
      </w:r>
      <w:r>
        <w:rPr>
          <w:rFonts w:ascii="Times New Roman" w:hAnsi="Times New Roman" w:hint="eastAsia"/>
          <w:kern w:val="0"/>
          <w:sz w:val="22"/>
        </w:rPr>
        <w:t>岁。外伤致</w:t>
      </w:r>
      <w:r>
        <w:rPr>
          <w:rFonts w:ascii="Times New Roman" w:hAnsi="Times New Roman"/>
          <w:kern w:val="0"/>
          <w:sz w:val="22"/>
        </w:rPr>
        <w:t>T12-L1</w:t>
      </w:r>
      <w:r>
        <w:rPr>
          <w:rFonts w:ascii="Times New Roman" w:hAnsi="Times New Roman" w:hint="eastAsia"/>
          <w:kern w:val="0"/>
          <w:sz w:val="22"/>
        </w:rPr>
        <w:t>压缩性骨折，内固定术后</w:t>
      </w:r>
      <w:r>
        <w:rPr>
          <w:rFonts w:ascii="Times New Roman" w:hAnsi="Times New Roman"/>
          <w:kern w:val="0"/>
          <w:sz w:val="22"/>
        </w:rPr>
        <w:t>5h</w:t>
      </w:r>
      <w:r>
        <w:rPr>
          <w:rFonts w:ascii="Times New Roman" w:hAnsi="Times New Roman" w:hint="eastAsia"/>
          <w:kern w:val="0"/>
          <w:sz w:val="22"/>
        </w:rPr>
        <w:t>转入普通病房后转介</w:t>
      </w:r>
      <w:r>
        <w:rPr>
          <w:rFonts w:ascii="Times New Roman" w:hAnsi="Times New Roman"/>
          <w:kern w:val="0"/>
          <w:sz w:val="22"/>
        </w:rPr>
        <w:t>OT</w:t>
      </w:r>
      <w:r>
        <w:rPr>
          <w:rFonts w:ascii="Times New Roman" w:hAnsi="Times New Roman" w:hint="eastAsia"/>
          <w:kern w:val="0"/>
          <w:sz w:val="22"/>
        </w:rPr>
        <w:t>。</w:t>
      </w:r>
      <w:r>
        <w:rPr>
          <w:rFonts w:ascii="Times New Roman" w:hAnsi="Times New Roman"/>
          <w:kern w:val="0"/>
          <w:sz w:val="22"/>
        </w:rPr>
        <w:lastRenderedPageBreak/>
        <w:t>xx</w:t>
      </w:r>
      <w:r>
        <w:rPr>
          <w:rFonts w:ascii="Times New Roman" w:hAnsi="Times New Roman" w:hint="eastAsia"/>
          <w:kern w:val="0"/>
          <w:sz w:val="22"/>
        </w:rPr>
        <w:t>女士术口疼痛，放射至双侧肩胛区。活动僵硬，不敢摆动双上肢，不敢翻身，不敢弯腰，不敢转移重心。不敢走稍有不平整的路面，不敢上下楼梯。活动空间在病房和医院内，家人来探望时一起在医院的会客室喝咖啡。</w:t>
      </w:r>
    </w:p>
    <w:p w:rsidR="003717A0" w:rsidRDefault="003717A0">
      <w:pPr>
        <w:autoSpaceDE w:val="0"/>
        <w:autoSpaceDN w:val="0"/>
        <w:adjustRightInd w:val="0"/>
        <w:spacing w:line="440" w:lineRule="exact"/>
        <w:ind w:leftChars="200" w:left="420" w:firstLineChars="200" w:firstLine="440"/>
        <w:rPr>
          <w:rFonts w:ascii="Times New Roman" w:hAnsi="Times New Roman"/>
          <w:kern w:val="0"/>
          <w:sz w:val="22"/>
        </w:rPr>
      </w:pPr>
      <w:r>
        <w:rPr>
          <w:rFonts w:ascii="Times New Roman" w:hAnsi="Times New Roman" w:hint="eastAsia"/>
          <w:kern w:val="0"/>
          <w:sz w:val="22"/>
        </w:rPr>
        <w:t>请通过</w:t>
      </w:r>
      <w:r>
        <w:rPr>
          <w:rFonts w:ascii="Times New Roman" w:hAnsi="Times New Roman"/>
          <w:kern w:val="0"/>
          <w:sz w:val="22"/>
        </w:rPr>
        <w:t>P-E-O</w:t>
      </w:r>
      <w:r>
        <w:rPr>
          <w:rFonts w:ascii="Times New Roman" w:hAnsi="Times New Roman" w:hint="eastAsia"/>
          <w:kern w:val="0"/>
          <w:sz w:val="22"/>
        </w:rPr>
        <w:t>模式分析患者目前存在的问题？</w:t>
      </w:r>
    </w:p>
    <w:p w:rsidR="003717A0" w:rsidRDefault="003717A0" w:rsidP="00566E4D">
      <w:pPr>
        <w:adjustRightInd w:val="0"/>
        <w:snapToGrid w:val="0"/>
        <w:spacing w:line="360" w:lineRule="auto"/>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00" w:firstLine="420"/>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中让学生来加强理解。教师应关心骨骼肌肉系统疾病作业疗法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hint="eastAsia"/>
                <w:sz w:val="22"/>
              </w:rPr>
              <w:t>无</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本课程为学期课程，成绩考核的方式：考试。考试时实行同一专业统考，即统一命题，统一考试，统一阅卷。考试学期总评成绩的评定方法如下：</w:t>
            </w:r>
          </w:p>
          <w:p w:rsidR="003717A0" w:rsidRDefault="003717A0">
            <w:pPr>
              <w:autoSpaceDE w:val="0"/>
              <w:autoSpaceDN w:val="0"/>
              <w:adjustRightInd w:val="0"/>
              <w:snapToGrid w:val="0"/>
              <w:spacing w:line="360" w:lineRule="auto"/>
              <w:jc w:val="left"/>
              <w:rPr>
                <w:rFonts w:ascii="Times New Roman" w:hAnsi="宋体"/>
                <w:szCs w:val="21"/>
              </w:rPr>
            </w:pPr>
            <w:r>
              <w:rPr>
                <w:rFonts w:ascii="Times New Roman" w:hAnsi="宋体"/>
                <w:szCs w:val="21"/>
              </w:rPr>
              <w:t xml:space="preserve">1. </w:t>
            </w: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ind w:firstLineChars="250" w:firstLine="525"/>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101" w:name="_Toc469313012"/>
      <w:bookmarkStart w:id="102" w:name="_Toc471830724"/>
      <w:r w:rsidRPr="00566E4D">
        <w:rPr>
          <w:rFonts w:hint="eastAsia"/>
          <w:b/>
        </w:rPr>
        <w:lastRenderedPageBreak/>
        <w:t>《老年病作业治疗》课程质量标准</w:t>
      </w:r>
      <w:bookmarkEnd w:id="101"/>
      <w:bookmarkEnd w:id="102"/>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rPr>
              <w:t>老年病作业治疗</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pPr>
            <w:r>
              <w:t>The occupational therapy of geriatrics</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6E336D">
            <w:pPr>
              <w:adjustRightInd w:val="0"/>
              <w:snapToGrid w:val="0"/>
              <w:spacing w:line="500" w:lineRule="exact"/>
              <w:jc w:val="center"/>
              <w:rPr>
                <w:sz w:val="22"/>
              </w:rPr>
            </w:pPr>
            <w:r>
              <w:rPr>
                <w:rFonts w:hint="eastAsia"/>
                <w:sz w:val="22"/>
              </w:rPr>
              <w:t>170698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sz w:val="22"/>
              </w:rPr>
              <w:t>6</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54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w:t>
            </w:r>
            <w:r>
              <w:rPr>
                <w:rFonts w:ascii="宋体" w:hint="eastAsia"/>
                <w:szCs w:val="21"/>
              </w:rPr>
              <w:t>■</w:t>
            </w:r>
            <w:r>
              <w:rPr>
                <w:rFonts w:asci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康复医学科</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暂未出版</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ind w:firstLineChars="150" w:firstLine="330"/>
              <w:rPr>
                <w:sz w:val="22"/>
              </w:rPr>
            </w:pPr>
            <w:r>
              <w:rPr>
                <w:rFonts w:hint="eastAsia"/>
                <w:sz w:val="22"/>
              </w:rPr>
              <w:t>沈光宇</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本科</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学士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教授</w:t>
            </w:r>
          </w:p>
        </w:tc>
        <w:tc>
          <w:tcPr>
            <w:tcW w:w="1524" w:type="dxa"/>
          </w:tcPr>
          <w:p w:rsidR="003717A0" w:rsidRDefault="003717A0">
            <w:pPr>
              <w:adjustRightInd w:val="0"/>
              <w:snapToGrid w:val="0"/>
              <w:spacing w:line="500" w:lineRule="exact"/>
              <w:ind w:firstLineChars="100" w:firstLine="220"/>
              <w:rPr>
                <w:sz w:val="22"/>
              </w:rPr>
            </w:pPr>
            <w:r>
              <w:rPr>
                <w:sz w:val="22"/>
              </w:rPr>
              <w:t>1985.06</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胡玉明</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2003.09</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顾琦</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2005.09</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rPr>
              <w:t>老年病作业治疗是临床作业疗法中的一个重要组成部分。本课程比较详细地介绍了老年人疾病作业治疗的理论框架，整体评估和康复途径，以及常见老年病的一般临床知识和诊断、功能障碍的特点、作业评定方法、治疗目标和治疗技术。本课程的设计和编写，参考了国外作业疗法的大量资料和专著，并结合国内现状；参照了江苏省康复医学十二五规划的要求和</w:t>
            </w:r>
            <w:r>
              <w:t>WFOT</w:t>
            </w:r>
            <w:r>
              <w:rPr>
                <w:rFonts w:hint="eastAsia"/>
              </w:rPr>
              <w:t>的教学指南。旨在培养符合国际化的作业治疗师。</w:t>
            </w:r>
          </w:p>
        </w:tc>
      </w:tr>
    </w:tbl>
    <w:p w:rsidR="003717A0"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rsidP="00566E4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适应对象：本科层次，康复治疗学专业</w:t>
      </w:r>
    </w:p>
    <w:p w:rsidR="003717A0" w:rsidRDefault="003717A0" w:rsidP="00566E4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课程代码：</w:t>
      </w:r>
      <w:r w:rsidR="006E336D">
        <w:rPr>
          <w:rFonts w:hint="eastAsia"/>
          <w:sz w:val="22"/>
        </w:rPr>
        <w:t>170698</w:t>
      </w:r>
    </w:p>
    <w:p w:rsidR="003717A0" w:rsidRDefault="003717A0" w:rsidP="00566E4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学时分配：</w:t>
      </w:r>
      <w:r>
        <w:t>54</w:t>
      </w:r>
      <w:r>
        <w:rPr>
          <w:rFonts w:hint="eastAsia"/>
        </w:rPr>
        <w:t>（理论课：</w:t>
      </w:r>
      <w:r>
        <w:t xml:space="preserve">27 </w:t>
      </w:r>
      <w:r>
        <w:rPr>
          <w:rFonts w:hint="eastAsia"/>
        </w:rPr>
        <w:t>实践课：</w:t>
      </w:r>
      <w:r>
        <w:t>27</w:t>
      </w:r>
      <w:r>
        <w:rPr>
          <w:rFonts w:hint="eastAsia"/>
        </w:rPr>
        <w:t>）</w:t>
      </w:r>
    </w:p>
    <w:p w:rsidR="003717A0" w:rsidRDefault="003717A0" w:rsidP="00566E4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3</w:t>
      </w:r>
    </w:p>
    <w:p w:rsidR="003717A0" w:rsidRDefault="003717A0" w:rsidP="00566E4D">
      <w:pPr>
        <w:autoSpaceDE w:val="0"/>
        <w:autoSpaceDN w:val="0"/>
        <w:adjustRightInd w:val="0"/>
        <w:spacing w:line="360" w:lineRule="auto"/>
        <w:ind w:firstLineChars="193" w:firstLine="405"/>
        <w:jc w:val="left"/>
        <w:rPr>
          <w:rFonts w:ascii="Times New Roman" w:hAnsi="Times New Roman"/>
          <w:kern w:val="0"/>
          <w:sz w:val="22"/>
        </w:rPr>
      </w:pPr>
      <w:r>
        <w:rPr>
          <w:rFonts w:ascii="Times New Roman" w:hAnsi="Times New Roman" w:hint="eastAsia"/>
          <w:kern w:val="0"/>
          <w:szCs w:val="21"/>
        </w:rPr>
        <w:t>先修课程：</w:t>
      </w:r>
      <w:r>
        <w:rPr>
          <w:rFonts w:ascii="宋体" w:hint="eastAsia"/>
          <w:szCs w:val="21"/>
        </w:rPr>
        <w:t>康复评定学</w:t>
      </w:r>
      <w:r>
        <w:rPr>
          <w:rFonts w:ascii="宋体"/>
          <w:szCs w:val="21"/>
        </w:rPr>
        <w:t xml:space="preserve">  </w:t>
      </w:r>
      <w:r>
        <w:rPr>
          <w:rFonts w:ascii="宋体" w:hint="eastAsia"/>
          <w:szCs w:val="21"/>
        </w:rPr>
        <w:t>作业治疗学概论</w:t>
      </w:r>
    </w:p>
    <w:p w:rsidR="003717A0" w:rsidRDefault="003717A0" w:rsidP="00566E4D">
      <w:pPr>
        <w:autoSpaceDE w:val="0"/>
        <w:autoSpaceDN w:val="0"/>
        <w:adjustRightInd w:val="0"/>
        <w:spacing w:line="360" w:lineRule="auto"/>
        <w:ind w:firstLineChars="193" w:firstLine="425"/>
        <w:jc w:val="left"/>
        <w:rPr>
          <w:rFonts w:ascii="Times New Roman" w:hAnsi="Times New Roman"/>
          <w:kern w:val="0"/>
          <w:sz w:val="22"/>
        </w:rPr>
      </w:pPr>
      <w:r>
        <w:rPr>
          <w:rFonts w:ascii="Times New Roman" w:hAnsi="Times New Roman" w:hint="eastAsia"/>
          <w:kern w:val="0"/>
          <w:sz w:val="22"/>
        </w:rPr>
        <w:t>后续课程：</w:t>
      </w:r>
      <w:r>
        <w:rPr>
          <w:rFonts w:ascii="Times New Roman" w:hAnsi="Times New Roman"/>
          <w:kern w:val="0"/>
          <w:sz w:val="22"/>
        </w:rPr>
        <w:t xml:space="preserve"> </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rsidP="00566E4D">
      <w:pPr>
        <w:autoSpaceDE w:val="0"/>
        <w:autoSpaceDN w:val="0"/>
        <w:adjustRightInd w:val="0"/>
        <w:snapToGrid w:val="0"/>
        <w:spacing w:line="360" w:lineRule="auto"/>
        <w:ind w:firstLineChars="245" w:firstLine="514"/>
        <w:jc w:val="left"/>
        <w:rPr>
          <w:rFonts w:ascii="Times New Roman" w:eastAsia="黑体" w:hAnsi="Times New Roman"/>
          <w:b/>
          <w:kern w:val="0"/>
          <w:sz w:val="24"/>
          <w:szCs w:val="24"/>
        </w:rPr>
      </w:pPr>
      <w:r>
        <w:rPr>
          <w:rFonts w:hint="eastAsia"/>
        </w:rPr>
        <w:t>本课程主要介绍老年人的健康缺乏、生理特点及成功老龄化，介绍老年人脑卒中后、骨折后以及罹患慢性阻塞性肺病、糖尿病、骨质疏松、老年痴呆症等疾病后的作业治疗，还包括如何预防摔倒等内容。本课程注重学生的实际交流、操作和掌控能力，同时模拟体验老年人的生理、心理特点，以加强学生对老年人相关疾病的理解，并明白作业治疗在老年人的生活中所起到的重要作用。</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sz w:val="22"/>
        </w:rPr>
        <w:t xml:space="preserve">   </w:t>
      </w:r>
      <w:r>
        <w:rPr>
          <w:rFonts w:ascii="宋体" w:hint="eastAsia"/>
          <w:szCs w:val="21"/>
        </w:rPr>
        <w:t>通过本课程学习，使学生重点掌握老年疾病作业治疗的相关原理和理论、老年疾病作业治疗的功能评定、作业治疗技术，掌握脑卒中、慢阻肺、糖尿病、痴呆等临床常见疾病的特点、分类、评价及其作业治疗方法。</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第一章</w:t>
      </w:r>
      <w:r>
        <w:rPr>
          <w:rFonts w:ascii="宋体"/>
          <w:szCs w:val="21"/>
        </w:rPr>
        <w:t xml:space="preserve">   </w:t>
      </w:r>
      <w:r>
        <w:rPr>
          <w:rFonts w:ascii="宋体" w:hint="eastAsia"/>
          <w:szCs w:val="21"/>
        </w:rPr>
        <w:t>老年人健康与作业治疗</w:t>
      </w:r>
    </w:p>
    <w:p w:rsidR="003717A0" w:rsidRDefault="003717A0" w:rsidP="00566E4D">
      <w:pPr>
        <w:autoSpaceDE w:val="0"/>
        <w:autoSpaceDN w:val="0"/>
        <w:adjustRightInd w:val="0"/>
        <w:snapToGrid w:val="0"/>
        <w:spacing w:line="360" w:lineRule="auto"/>
        <w:ind w:firstLineChars="200" w:firstLine="420"/>
        <w:jc w:val="left"/>
        <w:rPr>
          <w:rFonts w:ascii="宋体"/>
          <w:szCs w:val="21"/>
        </w:rPr>
      </w:pPr>
      <w:r>
        <w:rPr>
          <w:rFonts w:ascii="宋体" w:hint="eastAsia"/>
          <w:szCs w:val="21"/>
        </w:rPr>
        <w:t>目的要求：</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了解我国老龄化的现状</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了解老年人健康的概念及生理、心理特点</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理解成功老龄化的概念及成功老龄化与</w:t>
      </w:r>
      <w:r>
        <w:rPr>
          <w:rFonts w:ascii="宋体"/>
          <w:szCs w:val="21"/>
        </w:rPr>
        <w:t>ICF</w:t>
      </w:r>
      <w:r>
        <w:rPr>
          <w:rFonts w:ascii="宋体" w:hint="eastAsia"/>
          <w:szCs w:val="21"/>
        </w:rPr>
        <w:t>的关系</w:t>
      </w:r>
    </w:p>
    <w:p w:rsidR="003717A0" w:rsidRDefault="003717A0" w:rsidP="00566E4D">
      <w:pPr>
        <w:autoSpaceDE w:val="0"/>
        <w:autoSpaceDN w:val="0"/>
        <w:adjustRightInd w:val="0"/>
        <w:snapToGrid w:val="0"/>
        <w:spacing w:line="360" w:lineRule="auto"/>
        <w:ind w:firstLineChars="200" w:firstLine="420"/>
        <w:jc w:val="left"/>
        <w:rPr>
          <w:rFonts w:ascii="宋体"/>
          <w:szCs w:val="21"/>
        </w:rPr>
      </w:pPr>
      <w:r>
        <w:rPr>
          <w:rFonts w:ascii="宋体" w:hint="eastAsia"/>
          <w:szCs w:val="21"/>
        </w:rPr>
        <w:t>教学内容：</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第一节</w:t>
      </w:r>
      <w:r>
        <w:rPr>
          <w:rFonts w:ascii="宋体"/>
          <w:szCs w:val="21"/>
        </w:rPr>
        <w:t xml:space="preserve">  </w:t>
      </w:r>
      <w:r>
        <w:rPr>
          <w:rFonts w:ascii="宋体" w:hint="eastAsia"/>
          <w:szCs w:val="21"/>
        </w:rPr>
        <w:t>老年人健康及生理、心理特点</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概念</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生理特点</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心理特点</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第二节</w:t>
      </w:r>
      <w:r>
        <w:rPr>
          <w:rFonts w:ascii="宋体"/>
          <w:szCs w:val="21"/>
        </w:rPr>
        <w:t xml:space="preserve">  </w:t>
      </w:r>
      <w:r>
        <w:rPr>
          <w:rFonts w:ascii="宋体" w:hint="eastAsia"/>
          <w:szCs w:val="21"/>
        </w:rPr>
        <w:t>成功老年化概念</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第三节</w:t>
      </w:r>
      <w:r>
        <w:rPr>
          <w:rFonts w:ascii="宋体"/>
          <w:szCs w:val="21"/>
        </w:rPr>
        <w:t xml:space="preserve">  ICF</w:t>
      </w:r>
      <w:r>
        <w:rPr>
          <w:rFonts w:ascii="宋体" w:hint="eastAsia"/>
          <w:szCs w:val="21"/>
        </w:rPr>
        <w:t>与老龄化</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第四节</w:t>
      </w:r>
      <w:r>
        <w:rPr>
          <w:rFonts w:ascii="宋体"/>
          <w:szCs w:val="21"/>
        </w:rPr>
        <w:t xml:space="preserve">  </w:t>
      </w:r>
      <w:r>
        <w:rPr>
          <w:rFonts w:ascii="宋体" w:hint="eastAsia"/>
          <w:szCs w:val="21"/>
        </w:rPr>
        <w:t>成功老龄化与作业治疗</w:t>
      </w:r>
    </w:p>
    <w:p w:rsidR="003717A0" w:rsidRDefault="003717A0" w:rsidP="00566E4D">
      <w:pPr>
        <w:autoSpaceDE w:val="0"/>
        <w:autoSpaceDN w:val="0"/>
        <w:adjustRightInd w:val="0"/>
        <w:snapToGrid w:val="0"/>
        <w:spacing w:line="360" w:lineRule="auto"/>
        <w:jc w:val="left"/>
        <w:rPr>
          <w:rFonts w:ascii="宋体"/>
          <w:szCs w:val="21"/>
        </w:rPr>
      </w:pP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第二章</w:t>
      </w:r>
      <w:r>
        <w:rPr>
          <w:rFonts w:ascii="宋体"/>
          <w:szCs w:val="21"/>
        </w:rPr>
        <w:t xml:space="preserve">  </w:t>
      </w:r>
      <w:r>
        <w:rPr>
          <w:rFonts w:ascii="宋体" w:hint="eastAsia"/>
          <w:szCs w:val="21"/>
        </w:rPr>
        <w:t>老年相关疾病的评定及作业治疗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目的要求：</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掌握老年人脑卒中后及骨折后的检查与评估、临床表现、功能障碍及作业治疗方法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掌握老年人常见的慢性阻塞性肺炎、糖尿病、骨质疏松、老年痴呆症等疾病的检查评估、临床表现、功能障碍及作业治疗方法</w:t>
      </w:r>
    </w:p>
    <w:p w:rsidR="003717A0" w:rsidRDefault="003717A0" w:rsidP="00566E4D">
      <w:pPr>
        <w:autoSpaceDE w:val="0"/>
        <w:autoSpaceDN w:val="0"/>
        <w:adjustRightInd w:val="0"/>
        <w:snapToGrid w:val="0"/>
        <w:spacing w:line="360" w:lineRule="auto"/>
        <w:jc w:val="left"/>
        <w:rPr>
          <w:rFonts w:ascii="宋体"/>
          <w:szCs w:val="21"/>
        </w:rPr>
      </w:pP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教学内容</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老年人脑卒中的作业治疗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检查评估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临床表现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功能障碍</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老年人骨折的作业治疗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检查评估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临床表现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功能障碍</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第三节</w:t>
      </w:r>
      <w:r>
        <w:rPr>
          <w:rFonts w:ascii="宋体"/>
          <w:szCs w:val="21"/>
        </w:rPr>
        <w:t xml:space="preserve">  </w:t>
      </w:r>
      <w:r>
        <w:rPr>
          <w:rFonts w:ascii="宋体" w:hint="eastAsia"/>
          <w:szCs w:val="21"/>
        </w:rPr>
        <w:t>老年人慢性阻塞性肺病的作业治疗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检查评估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临床表现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功能障碍</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第四节</w:t>
      </w:r>
      <w:r>
        <w:rPr>
          <w:rFonts w:ascii="宋体"/>
          <w:szCs w:val="21"/>
        </w:rPr>
        <w:t xml:space="preserve">  </w:t>
      </w:r>
      <w:r>
        <w:rPr>
          <w:rFonts w:ascii="宋体" w:hint="eastAsia"/>
          <w:szCs w:val="21"/>
        </w:rPr>
        <w:t>老年人糖尿病的作业治疗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检查评估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临床表现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功能障碍</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第五节</w:t>
      </w:r>
      <w:r>
        <w:rPr>
          <w:rFonts w:ascii="宋体"/>
          <w:szCs w:val="21"/>
        </w:rPr>
        <w:t xml:space="preserve">  </w:t>
      </w:r>
      <w:r>
        <w:rPr>
          <w:rFonts w:ascii="宋体" w:hint="eastAsia"/>
          <w:szCs w:val="21"/>
        </w:rPr>
        <w:t>老年人骨质疏松的作业治疗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检查评估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临床表现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功能障碍</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第六节</w:t>
      </w:r>
      <w:r>
        <w:rPr>
          <w:rFonts w:ascii="宋体"/>
          <w:szCs w:val="21"/>
        </w:rPr>
        <w:t xml:space="preserve">  </w:t>
      </w:r>
      <w:r>
        <w:rPr>
          <w:rFonts w:ascii="宋体" w:hint="eastAsia"/>
          <w:szCs w:val="21"/>
        </w:rPr>
        <w:t>老年痴呆的作业治疗</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lastRenderedPageBreak/>
        <w:t xml:space="preserve">           </w:t>
      </w:r>
      <w:r>
        <w:rPr>
          <w:rFonts w:ascii="宋体" w:hint="eastAsia"/>
          <w:szCs w:val="21"/>
        </w:rPr>
        <w:t>检查评估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临床表现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功能障碍</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作业治疗方法</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第三章</w:t>
      </w:r>
      <w:r>
        <w:rPr>
          <w:rFonts w:ascii="宋体"/>
          <w:szCs w:val="21"/>
        </w:rPr>
        <w:t xml:space="preserve">  </w:t>
      </w:r>
      <w:r>
        <w:rPr>
          <w:rFonts w:ascii="宋体" w:hint="eastAsia"/>
          <w:szCs w:val="21"/>
        </w:rPr>
        <w:t>老年人相关疾病的预防</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目的要求：</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掌握老年人如何预防摔倒，包括导致摔倒的因素、处理方法及环境改造</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了解老年年痴呆的预防及相关的作业干预方案</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教学内容：</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第一节</w:t>
      </w:r>
      <w:r>
        <w:rPr>
          <w:rFonts w:ascii="宋体"/>
          <w:szCs w:val="21"/>
        </w:rPr>
        <w:t xml:space="preserve">  </w:t>
      </w:r>
      <w:r>
        <w:rPr>
          <w:rFonts w:ascii="宋体" w:hint="eastAsia"/>
          <w:szCs w:val="21"/>
        </w:rPr>
        <w:t>老年人预防摔倒的作业干预方案与实施</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因素</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处理方法</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干预方案</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实施</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第二节</w:t>
      </w:r>
      <w:r>
        <w:rPr>
          <w:rFonts w:ascii="宋体"/>
          <w:szCs w:val="21"/>
        </w:rPr>
        <w:t xml:space="preserve">  </w:t>
      </w:r>
      <w:r>
        <w:rPr>
          <w:rFonts w:ascii="宋体" w:hint="eastAsia"/>
          <w:szCs w:val="21"/>
        </w:rPr>
        <w:t>老年人预防老年痴呆的作业干预方案与实施</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因素</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处理方法</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干预方案</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实施</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第四章</w:t>
      </w:r>
      <w:r>
        <w:rPr>
          <w:rFonts w:ascii="宋体"/>
          <w:szCs w:val="21"/>
        </w:rPr>
        <w:t xml:space="preserve">   </w:t>
      </w:r>
      <w:r>
        <w:rPr>
          <w:rFonts w:ascii="宋体" w:hint="eastAsia"/>
          <w:szCs w:val="21"/>
        </w:rPr>
        <w:t>老年人相关疾病的作业治疗实践</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目的要求：</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通过模拟老年居住的环境了解对老年人进行作业治疗的意义</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了解我国目前常见老年疾病的发病率及康复治疗意义</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了解作业治疗师、老年人本身在老年健康促进及安全度过老年生活中各自所扮演的角色</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教学内容：</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第一节</w:t>
      </w:r>
      <w:r>
        <w:rPr>
          <w:rFonts w:ascii="宋体"/>
          <w:szCs w:val="21"/>
        </w:rPr>
        <w:t xml:space="preserve">  </w:t>
      </w:r>
      <w:r>
        <w:rPr>
          <w:rFonts w:ascii="宋体" w:hint="eastAsia"/>
          <w:szCs w:val="21"/>
        </w:rPr>
        <w:t>老年人生活状态模拟、评定及作业方案制订</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意义</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模拟评定</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制订方案</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第二节</w:t>
      </w:r>
      <w:r>
        <w:rPr>
          <w:rFonts w:ascii="宋体"/>
          <w:szCs w:val="21"/>
        </w:rPr>
        <w:t xml:space="preserve">   </w:t>
      </w:r>
      <w:r>
        <w:rPr>
          <w:rFonts w:ascii="宋体" w:hint="eastAsia"/>
          <w:szCs w:val="21"/>
        </w:rPr>
        <w:t>对社区老年疾病患者进行访问</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第三节</w:t>
      </w:r>
      <w:r>
        <w:rPr>
          <w:rFonts w:ascii="宋体"/>
          <w:szCs w:val="21"/>
        </w:rPr>
        <w:t xml:space="preserve">   </w:t>
      </w:r>
      <w:r>
        <w:rPr>
          <w:rFonts w:ascii="宋体" w:hint="eastAsia"/>
          <w:szCs w:val="21"/>
        </w:rPr>
        <w:t>老年人相关疾病预防方案实践</w:t>
      </w:r>
    </w:p>
    <w:p w:rsidR="003717A0" w:rsidRDefault="003717A0" w:rsidP="00566E4D">
      <w:pPr>
        <w:spacing w:line="360" w:lineRule="auto"/>
        <w:jc w:val="left"/>
        <w:rPr>
          <w:b/>
        </w:rPr>
      </w:pPr>
      <w:r>
        <w:rPr>
          <w:rFonts w:hint="eastAsia"/>
          <w:b/>
        </w:rPr>
        <w:t>教学方法</w:t>
      </w:r>
    </w:p>
    <w:p w:rsidR="003717A0" w:rsidRDefault="003717A0" w:rsidP="00566E4D">
      <w:pPr>
        <w:spacing w:line="360" w:lineRule="auto"/>
        <w:ind w:firstLineChars="300" w:firstLine="630"/>
        <w:jc w:val="left"/>
      </w:pPr>
      <w:r>
        <w:rPr>
          <w:rFonts w:hint="eastAsia"/>
        </w:rPr>
        <w:t>讲授</w:t>
      </w:r>
      <w:r>
        <w:t xml:space="preserve">  </w:t>
      </w:r>
      <w:r>
        <w:rPr>
          <w:rFonts w:hint="eastAsia"/>
        </w:rPr>
        <w:t>为学生讲解老年人生理、心理特点及成功老龄化和相关老年疾病的理论知识以及在作</w:t>
      </w:r>
      <w:r>
        <w:rPr>
          <w:rFonts w:hint="eastAsia"/>
        </w:rPr>
        <w:lastRenderedPageBreak/>
        <w:t>业治疗程序上的应用。</w:t>
      </w:r>
    </w:p>
    <w:p w:rsidR="003717A0" w:rsidRDefault="003717A0" w:rsidP="00566E4D">
      <w:pPr>
        <w:spacing w:line="360" w:lineRule="auto"/>
        <w:ind w:firstLineChars="300" w:firstLine="630"/>
        <w:jc w:val="left"/>
      </w:pPr>
      <w:r>
        <w:rPr>
          <w:rFonts w:hint="eastAsia"/>
        </w:rPr>
        <w:t>实践</w:t>
      </w:r>
      <w:r>
        <w:t xml:space="preserve">  </w:t>
      </w:r>
      <w:r>
        <w:rPr>
          <w:rFonts w:hint="eastAsia"/>
        </w:rPr>
        <w:t>学生实践老年患者的作业治疗，学生自己模拟老年人的生活状态或对需要进行作业治疗的老年人进行家访。</w:t>
      </w:r>
    </w:p>
    <w:p w:rsidR="003717A0" w:rsidRDefault="003717A0" w:rsidP="00566E4D">
      <w:pPr>
        <w:spacing w:line="360" w:lineRule="auto"/>
        <w:ind w:firstLineChars="50" w:firstLine="105"/>
        <w:jc w:val="left"/>
        <w:rPr>
          <w:b/>
        </w:rPr>
      </w:pPr>
      <w:r>
        <w:rPr>
          <w:rFonts w:hint="eastAsia"/>
          <w:b/>
        </w:rPr>
        <w:t>教学时数分配</w:t>
      </w:r>
    </w:p>
    <w:tbl>
      <w:tblPr>
        <w:tblW w:w="75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0"/>
        <w:gridCol w:w="3160"/>
        <w:gridCol w:w="1220"/>
        <w:gridCol w:w="1020"/>
        <w:gridCol w:w="1080"/>
      </w:tblGrid>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章节</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教学内容</w:t>
            </w:r>
          </w:p>
        </w:tc>
        <w:tc>
          <w:tcPr>
            <w:tcW w:w="122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主讲课</w:t>
            </w:r>
          </w:p>
        </w:tc>
        <w:tc>
          <w:tcPr>
            <w:tcW w:w="102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见习</w:t>
            </w:r>
          </w:p>
        </w:tc>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合计</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第一章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老年人健康与作业治疗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第二章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脑卒中评定和作业治疗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第二章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骨折的作业治疗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第二章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慢性阻塞性肺病的作业治疗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第二章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糖尿病的作业治疗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第二章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骨质疏松的作业治疗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第二章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老年痴呆的作业治疗</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第三章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老年人相关疾病的预防</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第四章</w:t>
            </w:r>
          </w:p>
        </w:tc>
        <w:tc>
          <w:tcPr>
            <w:tcW w:w="316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老年人相关疾病作业治疗实践</w:t>
            </w: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3</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6</w:t>
            </w:r>
          </w:p>
        </w:tc>
      </w:tr>
      <w:tr w:rsidR="003717A0" w:rsidTr="00913B56">
        <w:trPr>
          <w:trHeight w:val="285"/>
        </w:trPr>
        <w:tc>
          <w:tcPr>
            <w:tcW w:w="1080" w:type="dxa"/>
            <w:vAlign w:val="center"/>
          </w:tcPr>
          <w:p w:rsidR="003717A0" w:rsidRDefault="003717A0" w:rsidP="00566E4D">
            <w:pPr>
              <w:widowControl/>
              <w:spacing w:line="360" w:lineRule="auto"/>
              <w:jc w:val="left"/>
              <w:rPr>
                <w:rFonts w:ascii="宋体" w:cs="宋体"/>
                <w:kern w:val="0"/>
                <w:sz w:val="24"/>
                <w:szCs w:val="24"/>
              </w:rPr>
            </w:pPr>
            <w:r>
              <w:rPr>
                <w:rFonts w:ascii="宋体" w:cs="宋体" w:hint="eastAsia"/>
                <w:kern w:val="0"/>
                <w:sz w:val="24"/>
                <w:szCs w:val="24"/>
              </w:rPr>
              <w:t>合计</w:t>
            </w:r>
          </w:p>
        </w:tc>
        <w:tc>
          <w:tcPr>
            <w:tcW w:w="3160" w:type="dxa"/>
            <w:vAlign w:val="center"/>
          </w:tcPr>
          <w:p w:rsidR="003717A0" w:rsidRDefault="003717A0" w:rsidP="00566E4D">
            <w:pPr>
              <w:widowControl/>
              <w:spacing w:line="360" w:lineRule="auto"/>
              <w:jc w:val="left"/>
              <w:rPr>
                <w:rFonts w:ascii="宋体" w:cs="宋体"/>
                <w:kern w:val="0"/>
                <w:sz w:val="24"/>
                <w:szCs w:val="24"/>
              </w:rPr>
            </w:pPr>
          </w:p>
        </w:tc>
        <w:tc>
          <w:tcPr>
            <w:tcW w:w="12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27</w:t>
            </w:r>
          </w:p>
        </w:tc>
        <w:tc>
          <w:tcPr>
            <w:tcW w:w="102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27</w:t>
            </w:r>
          </w:p>
        </w:tc>
        <w:tc>
          <w:tcPr>
            <w:tcW w:w="1080" w:type="dxa"/>
            <w:vAlign w:val="center"/>
          </w:tcPr>
          <w:p w:rsidR="003717A0" w:rsidRPr="00913B56" w:rsidRDefault="003717A0" w:rsidP="00913B56">
            <w:pPr>
              <w:widowControl/>
              <w:spacing w:line="360" w:lineRule="auto"/>
              <w:jc w:val="center"/>
              <w:rPr>
                <w:rFonts w:asciiTheme="majorBidi" w:hAnsiTheme="majorBidi" w:cstheme="majorBidi"/>
                <w:kern w:val="0"/>
                <w:sz w:val="24"/>
                <w:szCs w:val="24"/>
              </w:rPr>
            </w:pPr>
            <w:r w:rsidRPr="00913B56">
              <w:rPr>
                <w:rFonts w:asciiTheme="majorBidi" w:hAnsiTheme="majorBidi" w:cstheme="majorBidi"/>
                <w:kern w:val="0"/>
                <w:sz w:val="24"/>
                <w:szCs w:val="24"/>
              </w:rPr>
              <w:t>54</w:t>
            </w:r>
          </w:p>
        </w:tc>
      </w:tr>
    </w:tbl>
    <w:p w:rsidR="003717A0" w:rsidRDefault="003717A0" w:rsidP="00566E4D">
      <w:pPr>
        <w:spacing w:line="360" w:lineRule="auto"/>
        <w:jc w:val="left"/>
      </w:pP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rsidP="00566E4D">
      <w:pPr>
        <w:spacing w:line="360" w:lineRule="auto"/>
        <w:ind w:firstLineChars="150" w:firstLine="315"/>
        <w:rPr>
          <w:rFonts w:ascii="宋体"/>
          <w:szCs w:val="21"/>
        </w:rPr>
      </w:pPr>
      <w:r>
        <w:rPr>
          <w:rFonts w:ascii="宋体" w:hint="eastAsia"/>
          <w:szCs w:val="21"/>
        </w:rPr>
        <w:t>课堂教学以大班上课为主，讲课按教学大纲进行讲课时要做到目地明确，层次分明，讲究教学方法，充分利用图表、幻灯、录相、多媒体等教学工具。</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在实习中，利用各种检查仪器和治疗工具示教，小组带教互动以学生动手学习操作为主，结合对病人治疗进行必要的重点讲解，以巩固和深化课堂所讲授的知识。</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1</w:t>
      </w:r>
      <w:r>
        <w:rPr>
          <w:rFonts w:ascii="宋体" w:hint="eastAsia"/>
          <w:szCs w:val="21"/>
        </w:rPr>
        <w:t>、目的和性质</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通过考查了解学生是否按教学大纲的目的和要求掌握本课程的基本内容，为今后的实践加深印象。</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2</w:t>
      </w:r>
      <w:r>
        <w:rPr>
          <w:rFonts w:ascii="宋体" w:hint="eastAsia"/>
          <w:szCs w:val="21"/>
        </w:rPr>
        <w:t>、内容比例</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考核方式：期末考试</w:t>
      </w:r>
      <w:r>
        <w:rPr>
          <w:rFonts w:ascii="宋体"/>
          <w:szCs w:val="21"/>
        </w:rPr>
        <w:t>100%</w:t>
      </w:r>
    </w:p>
    <w:p w:rsidR="003717A0" w:rsidRDefault="003717A0" w:rsidP="00566E4D">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rsidP="00566E4D">
      <w:pPr>
        <w:autoSpaceDE w:val="0"/>
        <w:autoSpaceDN w:val="0"/>
        <w:adjustRightInd w:val="0"/>
        <w:snapToGrid w:val="0"/>
        <w:spacing w:line="360" w:lineRule="auto"/>
        <w:jc w:val="left"/>
        <w:rPr>
          <w:rFonts w:ascii="宋体"/>
          <w:szCs w:val="21"/>
        </w:rPr>
      </w:pPr>
      <w:r>
        <w:rPr>
          <w:rFonts w:ascii="宋体" w:hint="eastAsia"/>
          <w:szCs w:val="21"/>
        </w:rPr>
        <w:t>主要参考书：</w:t>
      </w:r>
      <w:r>
        <w:rPr>
          <w:rFonts w:ascii="宋体"/>
          <w:szCs w:val="21"/>
        </w:rPr>
        <w:t xml:space="preserve">  </w:t>
      </w:r>
      <w:r>
        <w:rPr>
          <w:rFonts w:ascii="宋体" w:hint="eastAsia"/>
          <w:szCs w:val="21"/>
        </w:rPr>
        <w:t>窦祖林</w:t>
      </w:r>
      <w:r>
        <w:rPr>
          <w:rFonts w:ascii="宋体"/>
          <w:szCs w:val="21"/>
        </w:rPr>
        <w:t xml:space="preserve"> </w:t>
      </w:r>
      <w:r>
        <w:rPr>
          <w:rFonts w:ascii="宋体" w:hint="eastAsia"/>
          <w:szCs w:val="21"/>
        </w:rPr>
        <w:t>《作业治疗学》</w:t>
      </w:r>
      <w:r>
        <w:rPr>
          <w:rFonts w:ascii="宋体"/>
          <w:szCs w:val="21"/>
        </w:rPr>
        <w:t xml:space="preserve"> </w:t>
      </w:r>
      <w:r>
        <w:rPr>
          <w:rFonts w:ascii="宋体" w:hint="eastAsia"/>
          <w:szCs w:val="21"/>
        </w:rPr>
        <w:t>北京：人民卫生出版社，</w:t>
      </w:r>
      <w:r>
        <w:rPr>
          <w:rFonts w:ascii="宋体"/>
          <w:szCs w:val="21"/>
        </w:rPr>
        <w:t>2008</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t xml:space="preserve">              </w:t>
      </w:r>
      <w:r>
        <w:rPr>
          <w:rFonts w:ascii="宋体" w:hint="eastAsia"/>
          <w:szCs w:val="21"/>
        </w:rPr>
        <w:t>李奎成</w:t>
      </w:r>
      <w:r>
        <w:rPr>
          <w:rFonts w:ascii="宋体"/>
          <w:szCs w:val="21"/>
        </w:rPr>
        <w:t xml:space="preserve"> </w:t>
      </w:r>
      <w:r>
        <w:rPr>
          <w:rFonts w:ascii="宋体" w:hint="eastAsia"/>
          <w:szCs w:val="21"/>
        </w:rPr>
        <w:t>《作业疗法》</w:t>
      </w:r>
      <w:r>
        <w:rPr>
          <w:rFonts w:ascii="宋体"/>
          <w:szCs w:val="21"/>
        </w:rPr>
        <w:t xml:space="preserve">  </w:t>
      </w:r>
      <w:r>
        <w:rPr>
          <w:rFonts w:ascii="宋体" w:hint="eastAsia"/>
          <w:szCs w:val="21"/>
        </w:rPr>
        <w:t>广州：广东科技出版社，</w:t>
      </w:r>
      <w:r>
        <w:rPr>
          <w:rFonts w:ascii="宋体"/>
          <w:szCs w:val="21"/>
        </w:rPr>
        <w:t>2009</w:t>
      </w:r>
    </w:p>
    <w:p w:rsidR="003717A0" w:rsidRDefault="003717A0" w:rsidP="00566E4D">
      <w:pPr>
        <w:autoSpaceDE w:val="0"/>
        <w:autoSpaceDN w:val="0"/>
        <w:adjustRightInd w:val="0"/>
        <w:snapToGrid w:val="0"/>
        <w:spacing w:line="360" w:lineRule="auto"/>
        <w:jc w:val="left"/>
        <w:rPr>
          <w:rFonts w:ascii="宋体"/>
          <w:szCs w:val="21"/>
        </w:rPr>
      </w:pPr>
      <w:r>
        <w:rPr>
          <w:rFonts w:ascii="宋体"/>
          <w:szCs w:val="21"/>
        </w:rPr>
        <w:lastRenderedPageBreak/>
        <w:t xml:space="preserve">              </w:t>
      </w:r>
      <w:r>
        <w:rPr>
          <w:rFonts w:ascii="宋体" w:hint="eastAsia"/>
          <w:szCs w:val="21"/>
        </w:rPr>
        <w:t>王刚，王彤</w:t>
      </w:r>
      <w:r>
        <w:rPr>
          <w:rFonts w:ascii="宋体"/>
          <w:szCs w:val="21"/>
        </w:rPr>
        <w:t xml:space="preserve"> </w:t>
      </w:r>
      <w:r>
        <w:rPr>
          <w:rFonts w:ascii="宋体" w:hint="eastAsia"/>
          <w:szCs w:val="21"/>
        </w:rPr>
        <w:t>《临床作业治疗学》</w:t>
      </w:r>
      <w:r>
        <w:rPr>
          <w:rFonts w:ascii="宋体"/>
          <w:szCs w:val="21"/>
        </w:rPr>
        <w:t xml:space="preserve"> </w:t>
      </w:r>
      <w:r>
        <w:rPr>
          <w:rFonts w:ascii="宋体" w:hint="eastAsia"/>
          <w:szCs w:val="21"/>
        </w:rPr>
        <w:t>北京：华夏出版社，</w:t>
      </w:r>
      <w:r>
        <w:rPr>
          <w:rFonts w:ascii="宋体"/>
          <w:szCs w:val="21"/>
        </w:rPr>
        <w:t>2005.</w:t>
      </w:r>
    </w:p>
    <w:p w:rsidR="003717A0" w:rsidRDefault="003717A0" w:rsidP="00566E4D">
      <w:pPr>
        <w:autoSpaceDE w:val="0"/>
        <w:autoSpaceDN w:val="0"/>
        <w:adjustRightInd w:val="0"/>
        <w:spacing w:line="360" w:lineRule="auto"/>
        <w:ind w:leftChars="3509" w:left="7369" w:firstLineChars="157" w:firstLine="283"/>
        <w:jc w:val="left"/>
        <w:rPr>
          <w:rFonts w:ascii="黑体" w:eastAsia="黑体" w:cs="黑体"/>
          <w:kern w:val="0"/>
          <w:sz w:val="18"/>
          <w:szCs w:val="18"/>
        </w:rPr>
      </w:pPr>
    </w:p>
    <w:p w:rsidR="003717A0" w:rsidRDefault="003717A0" w:rsidP="00566E4D">
      <w:pPr>
        <w:autoSpaceDE w:val="0"/>
        <w:autoSpaceDN w:val="0"/>
        <w:adjustRightInd w:val="0"/>
        <w:spacing w:line="360" w:lineRule="auto"/>
        <w:ind w:leftChars="2900" w:left="6090" w:firstLineChars="157" w:firstLine="283"/>
        <w:jc w:val="left"/>
        <w:rPr>
          <w:rFonts w:ascii="黑体" w:eastAsia="黑体" w:cs="黑体"/>
          <w:kern w:val="0"/>
          <w:sz w:val="18"/>
          <w:szCs w:val="18"/>
        </w:rPr>
      </w:pPr>
    </w:p>
    <w:p w:rsidR="003717A0" w:rsidRPr="00566E4D" w:rsidRDefault="003717A0" w:rsidP="00566E4D">
      <w:pPr>
        <w:autoSpaceDE w:val="0"/>
        <w:autoSpaceDN w:val="0"/>
        <w:adjustRightInd w:val="0"/>
        <w:spacing w:line="360" w:lineRule="auto"/>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制定人：沙磊磊</w:t>
      </w:r>
    </w:p>
    <w:p w:rsidR="003717A0" w:rsidRPr="00566E4D" w:rsidRDefault="003717A0" w:rsidP="00566E4D">
      <w:pPr>
        <w:autoSpaceDE w:val="0"/>
        <w:autoSpaceDN w:val="0"/>
        <w:adjustRightInd w:val="0"/>
        <w:spacing w:line="360" w:lineRule="auto"/>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审核人：沈光宇</w:t>
      </w:r>
    </w:p>
    <w:p w:rsidR="003717A0" w:rsidRPr="00566E4D" w:rsidRDefault="003717A0" w:rsidP="00566E4D">
      <w:pPr>
        <w:adjustRightInd w:val="0"/>
        <w:snapToGrid w:val="0"/>
        <w:spacing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20"/>
        <w:jc w:val="left"/>
        <w:rPr>
          <w:rFonts w:ascii="Times New Roman" w:hAnsi="Times New Roman"/>
        </w:rPr>
      </w:pPr>
      <w:r>
        <w:rPr>
          <w:rFonts w:ascii="Times New Roman" w:hAnsi="Times New Roman" w:hint="eastAsia"/>
        </w:rPr>
        <w:t>修读完本课程规定内容的康复治疗专业的本科学生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通过考核来检查和了解学生对本门课程内容的掌握程度，考核学生对常见的老年疾病的作业治疗理解和掌握情况，包括在如何用</w:t>
      </w:r>
      <w:r>
        <w:rPr>
          <w:rFonts w:ascii="宋体"/>
          <w:szCs w:val="21"/>
        </w:rPr>
        <w:t>PEO</w:t>
      </w:r>
      <w:r>
        <w:rPr>
          <w:rFonts w:ascii="宋体" w:hint="eastAsia"/>
          <w:szCs w:val="21"/>
        </w:rPr>
        <w:t>、</w:t>
      </w:r>
      <w:r>
        <w:rPr>
          <w:rFonts w:ascii="宋体"/>
          <w:szCs w:val="21"/>
        </w:rPr>
        <w:t>MOHO</w:t>
      </w:r>
      <w:r>
        <w:rPr>
          <w:rFonts w:ascii="宋体" w:hint="eastAsia"/>
          <w:szCs w:val="21"/>
        </w:rPr>
        <w:t>等实践模式进行案例分析和活动分析</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宋体" w:hint="eastAsia"/>
          <w:szCs w:val="21"/>
        </w:rPr>
        <w:t>期末闭卷理论考核和平时小组汇报形式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eastAsia="黑体" w:hAnsi="Times New Roman"/>
          <w:b/>
          <w:kern w:val="0"/>
          <w:sz w:val="24"/>
          <w:szCs w:val="24"/>
        </w:rPr>
      </w:pPr>
      <w:r>
        <w:rPr>
          <w:rFonts w:ascii="宋体" w:hint="eastAsia"/>
          <w:szCs w:val="21"/>
        </w:rPr>
        <w:t>期末考试成绩占总成绩的</w:t>
      </w:r>
      <w:r>
        <w:rPr>
          <w:rFonts w:ascii="宋体"/>
          <w:szCs w:val="21"/>
        </w:rP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宋体"/>
          <w:szCs w:val="21"/>
        </w:rPr>
      </w:pPr>
      <w:r>
        <w:rPr>
          <w:rFonts w:hint="eastAsia"/>
          <w:sz w:val="22"/>
        </w:rPr>
        <w:t>老年疾病常见的评估，</w:t>
      </w:r>
      <w:r>
        <w:rPr>
          <w:rFonts w:ascii="宋体" w:hint="eastAsia"/>
          <w:szCs w:val="21"/>
        </w:rPr>
        <w:t>脑卒中、慢阻肺、糖尿病、痴呆等疾病的作业分析和治疗</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掌握老年疾病的概念和评估过程及内容，掌握常见病症的作业治疗方案</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rPr>
          <w:rFonts w:ascii="Times New Roman" w:eastAsia="黑体" w:hAnsi="Times New Roman"/>
          <w:b/>
          <w:kern w:val="0"/>
          <w:sz w:val="24"/>
          <w:szCs w:val="24"/>
        </w:rPr>
      </w:pPr>
      <w:r>
        <w:rPr>
          <w:sz w:val="22"/>
        </w:rPr>
        <w:t xml:space="preserve">                          </w:t>
      </w:r>
      <w:r>
        <w:rPr>
          <w:rFonts w:hint="eastAsia"/>
          <w:b/>
          <w:sz w:val="22"/>
        </w:rPr>
        <w:t>老年病作业治疗</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b/>
          <w:kern w:val="0"/>
          <w:sz w:val="22"/>
          <w:u w:val="single"/>
        </w:rPr>
        <w:t xml:space="preserve"> </w:t>
      </w: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90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50</w:t>
      </w:r>
      <w:r>
        <w:rPr>
          <w:rFonts w:ascii="Times New Roman" w:hAnsi="Times New Roman" w:hint="eastAsia"/>
          <w:b/>
          <w:kern w:val="0"/>
          <w:sz w:val="22"/>
        </w:rPr>
        <w:t>分</w:t>
      </w: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15</w:t>
      </w:r>
      <w:r>
        <w:rPr>
          <w:rFonts w:ascii="Times New Roman" w:hAnsi="Times New Roman" w:hint="eastAsia"/>
          <w:b/>
          <w:kern w:val="0"/>
          <w:sz w:val="22"/>
        </w:rPr>
        <w:t>分）</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1</w:t>
      </w:r>
      <w:r>
        <w:rPr>
          <w:rFonts w:ascii="Times New Roman" w:hAnsi="Times New Roman" w:hint="eastAsia"/>
          <w:kern w:val="0"/>
          <w:sz w:val="22"/>
        </w:rPr>
        <w:t>、</w:t>
      </w:r>
      <w:r>
        <w:rPr>
          <w:rFonts w:ascii="宋体" w:hint="eastAsia"/>
          <w:szCs w:val="21"/>
        </w:rPr>
        <w:t>成功老龄化</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kern w:val="0"/>
          <w:sz w:val="22"/>
        </w:rPr>
        <w:t xml:space="preserve">       2</w:t>
      </w:r>
      <w:r>
        <w:rPr>
          <w:rFonts w:ascii="Times New Roman" w:hAnsi="Times New Roman" w:hint="eastAsia"/>
          <w:kern w:val="0"/>
          <w:sz w:val="22"/>
        </w:rPr>
        <w:t>、</w:t>
      </w:r>
      <w:r>
        <w:rPr>
          <w:rFonts w:ascii="宋体"/>
          <w:szCs w:val="21"/>
        </w:rPr>
        <w:t>ICF</w:t>
      </w:r>
    </w:p>
    <w:p w:rsidR="003717A0" w:rsidRDefault="003717A0">
      <w:pPr>
        <w:autoSpaceDE w:val="0"/>
        <w:autoSpaceDN w:val="0"/>
        <w:adjustRightInd w:val="0"/>
        <w:spacing w:line="440" w:lineRule="exact"/>
        <w:rPr>
          <w:rFonts w:ascii="Times New Roman" w:hAnsi="Times New Roman"/>
          <w:b/>
          <w:kern w:val="0"/>
          <w:sz w:val="22"/>
        </w:rPr>
      </w:pPr>
      <w:r>
        <w:rPr>
          <w:rFonts w:ascii="Times New Roman" w:hAnsi="Times New Roman"/>
          <w:kern w:val="0"/>
          <w:sz w:val="22"/>
        </w:rPr>
        <w:t xml:space="preserve">       3</w:t>
      </w:r>
      <w:r>
        <w:rPr>
          <w:rFonts w:ascii="Times New Roman" w:hAnsi="Times New Roman" w:hint="eastAsia"/>
          <w:b/>
          <w:kern w:val="0"/>
          <w:sz w:val="22"/>
        </w:rPr>
        <w:t>、</w:t>
      </w:r>
      <w:r>
        <w:rPr>
          <w:rFonts w:ascii="宋体" w:hint="eastAsia"/>
          <w:szCs w:val="21"/>
        </w:rPr>
        <w:t>慢性阻塞性肺病</w:t>
      </w:r>
    </w:p>
    <w:p w:rsidR="003717A0" w:rsidRDefault="003717A0">
      <w:pPr>
        <w:autoSpaceDE w:val="0"/>
        <w:autoSpaceDN w:val="0"/>
        <w:adjustRightInd w:val="0"/>
        <w:spacing w:line="440" w:lineRule="exact"/>
        <w:rPr>
          <w:rFonts w:ascii="Times New Roman" w:hAnsi="Times New Roman"/>
          <w:b/>
          <w:kern w:val="0"/>
          <w:sz w:val="22"/>
        </w:rPr>
      </w:pP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简答题：（每题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utoSpaceDE w:val="0"/>
        <w:autoSpaceDN w:val="0"/>
        <w:adjustRightInd w:val="0"/>
        <w:spacing w:line="440" w:lineRule="exact"/>
        <w:ind w:left="420"/>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 xml:space="preserve">  1</w:t>
      </w:r>
      <w:r>
        <w:rPr>
          <w:rFonts w:ascii="Times New Roman" w:hAnsi="Times New Roman" w:hint="eastAsia"/>
          <w:kern w:val="0"/>
          <w:sz w:val="22"/>
        </w:rPr>
        <w:t>、</w:t>
      </w:r>
      <w:r>
        <w:rPr>
          <w:rFonts w:ascii="宋体" w:hint="eastAsia"/>
          <w:szCs w:val="21"/>
        </w:rPr>
        <w:t>老年人如何预防摔倒，导致摔倒的因素、处理方法及环境改造</w:t>
      </w:r>
    </w:p>
    <w:p w:rsidR="003717A0" w:rsidRDefault="003717A0">
      <w:pPr>
        <w:autoSpaceDE w:val="0"/>
        <w:autoSpaceDN w:val="0"/>
        <w:adjustRightInd w:val="0"/>
        <w:spacing w:line="440" w:lineRule="exact"/>
        <w:ind w:leftChars="200" w:left="420" w:firstLineChars="150" w:firstLine="330"/>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w:t>
      </w:r>
      <w:r>
        <w:rPr>
          <w:rFonts w:ascii="宋体" w:hint="eastAsia"/>
          <w:szCs w:val="21"/>
        </w:rPr>
        <w:t>老年痴呆处理方法和干预方案</w:t>
      </w:r>
    </w:p>
    <w:p w:rsidR="003717A0" w:rsidRDefault="003717A0">
      <w:pPr>
        <w:autoSpaceDE w:val="0"/>
        <w:autoSpaceDN w:val="0"/>
        <w:adjustRightInd w:val="0"/>
        <w:spacing w:line="440" w:lineRule="exact"/>
        <w:ind w:firstLineChars="350" w:firstLine="770"/>
        <w:rPr>
          <w:rFonts w:ascii="Times New Roman" w:hAnsi="Times New Roman"/>
          <w:kern w:val="0"/>
          <w:sz w:val="22"/>
        </w:rPr>
      </w:pPr>
    </w:p>
    <w:p w:rsidR="003717A0" w:rsidRDefault="003717A0">
      <w:pPr>
        <w:widowControl/>
        <w:numPr>
          <w:ilvl w:val="1"/>
          <w:numId w:val="447"/>
        </w:numPr>
        <w:tabs>
          <w:tab w:val="clear" w:pos="840"/>
          <w:tab w:val="left" w:pos="1260"/>
        </w:tabs>
        <w:spacing w:before="100" w:beforeAutospacing="1" w:after="100" w:afterAutospacing="1" w:line="300" w:lineRule="exact"/>
        <w:ind w:left="1260" w:hanging="840"/>
        <w:jc w:val="left"/>
        <w:rPr>
          <w:rFonts w:ascii="Times New Roman" w:hAnsi="Times New Roman"/>
          <w:b/>
          <w:kern w:val="0"/>
          <w:sz w:val="22"/>
        </w:rPr>
      </w:pPr>
      <w:r>
        <w:rPr>
          <w:rFonts w:ascii="Times New Roman" w:hAnsi="Times New Roman" w:hint="eastAsia"/>
          <w:b/>
          <w:kern w:val="0"/>
          <w:sz w:val="22"/>
        </w:rPr>
        <w:t>案例分析（每题</w:t>
      </w:r>
      <w:r>
        <w:rPr>
          <w:rFonts w:ascii="Times New Roman" w:hAnsi="Times New Roman"/>
          <w:b/>
          <w:kern w:val="0"/>
          <w:sz w:val="22"/>
        </w:rPr>
        <w:t>15</w:t>
      </w:r>
      <w:r>
        <w:rPr>
          <w:rFonts w:ascii="Times New Roman" w:hAnsi="Times New Roman" w:hint="eastAsia"/>
          <w:b/>
          <w:kern w:val="0"/>
          <w:sz w:val="22"/>
        </w:rPr>
        <w:t>分，共</w:t>
      </w:r>
      <w:r>
        <w:rPr>
          <w:rFonts w:ascii="Times New Roman" w:hAnsi="Times New Roman"/>
          <w:b/>
          <w:kern w:val="0"/>
          <w:sz w:val="22"/>
        </w:rPr>
        <w:t>15</w:t>
      </w:r>
      <w:r>
        <w:rPr>
          <w:rFonts w:ascii="Times New Roman" w:hAnsi="Times New Roman" w:hint="eastAsia"/>
          <w:b/>
          <w:kern w:val="0"/>
          <w:sz w:val="22"/>
        </w:rPr>
        <w:t>分）</w:t>
      </w:r>
    </w:p>
    <w:p w:rsidR="003717A0" w:rsidRDefault="003717A0">
      <w:pPr>
        <w:widowControl/>
        <w:ind w:left="420"/>
        <w:jc w:val="left"/>
      </w:pPr>
      <w:r>
        <w:rPr>
          <w:rFonts w:hint="eastAsia"/>
        </w:rPr>
        <w:lastRenderedPageBreak/>
        <w:t>罗某，女，</w:t>
      </w:r>
      <w:r>
        <w:t>65</w:t>
      </w:r>
      <w:r>
        <w:rPr>
          <w:rFonts w:hint="eastAsia"/>
        </w:rPr>
        <w:t>岁，一月前车祸，左侧桡骨远端骨折。现查体：左腕关节活动明显受限，腕背伸</w:t>
      </w:r>
      <w:r>
        <w:t>0</w:t>
      </w:r>
      <w:r>
        <w:rPr>
          <w:rFonts w:hint="eastAsia"/>
        </w:rPr>
        <w:t>度，掌屈</w:t>
      </w:r>
      <w:r>
        <w:t>50</w:t>
      </w:r>
      <w:r>
        <w:rPr>
          <w:rFonts w:hint="eastAsia"/>
        </w:rPr>
        <w:t>度，旋前</w:t>
      </w:r>
      <w:r>
        <w:t>35</w:t>
      </w:r>
      <w:r>
        <w:rPr>
          <w:rFonts w:hint="eastAsia"/>
        </w:rPr>
        <w:t>度，旋后</w:t>
      </w:r>
      <w:r>
        <w:t>15</w:t>
      </w:r>
      <w:r>
        <w:rPr>
          <w:rFonts w:hint="eastAsia"/>
        </w:rPr>
        <w:t>度。拇指远节指腹触觉减退，拇指屈伸，外展可。左侧腕关节失用性骨质疏松</w:t>
      </w:r>
      <w:r>
        <w:t xml:space="preserve"> </w:t>
      </w:r>
      <w:r>
        <w:rPr>
          <w:rFonts w:hint="eastAsia"/>
        </w:rPr>
        <w:t>试述该患者存在的主要问题并针对主要问题制定作业治疗目标和计划。</w:t>
      </w: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7"/>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中让学生来加强理解。教师应关心老年病作业疗法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本课程为学期课程，成绩考核的方式：考试。考试时实行同一专业统考，即统一命题，统一考试，统一阅卷。考试学期总评成绩的评定方法如下：</w:t>
            </w:r>
          </w:p>
          <w:p w:rsidR="003717A0" w:rsidRDefault="003717A0">
            <w:r>
              <w:t xml:space="preserve"> 1. </w:t>
            </w:r>
            <w:r>
              <w:rPr>
                <w:rFonts w:hint="eastAsia"/>
              </w:rPr>
              <w:t>笔试</w:t>
            </w:r>
            <w:r>
              <w:t>100%</w:t>
            </w:r>
          </w:p>
          <w:p w:rsidR="003717A0" w:rsidRDefault="003717A0">
            <w:pPr>
              <w:autoSpaceDE w:val="0"/>
              <w:autoSpaceDN w:val="0"/>
              <w:adjustRightInd w:val="0"/>
              <w:snapToGrid w:val="0"/>
              <w:spacing w:line="360" w:lineRule="auto"/>
              <w:ind w:firstLineChars="250" w:firstLine="525"/>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103" w:name="_Toc469313013"/>
      <w:bookmarkStart w:id="104" w:name="_Toc471830725"/>
      <w:r w:rsidRPr="00566E4D">
        <w:rPr>
          <w:rFonts w:hint="eastAsia"/>
          <w:b/>
        </w:rPr>
        <w:lastRenderedPageBreak/>
        <w:t>《内科学》课程质量标准</w:t>
      </w:r>
      <w:bookmarkEnd w:id="103"/>
      <w:bookmarkEnd w:id="104"/>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课程名称</w:t>
            </w:r>
          </w:p>
        </w:tc>
        <w:tc>
          <w:tcPr>
            <w:tcW w:w="7618" w:type="dxa"/>
            <w:gridSpan w:val="9"/>
          </w:tcPr>
          <w:p w:rsidR="003717A0" w:rsidRDefault="003717A0">
            <w:pPr>
              <w:adjustRightInd w:val="0"/>
              <w:snapToGrid w:val="0"/>
              <w:spacing w:line="500" w:lineRule="exact"/>
              <w:ind w:firstLineChars="1200" w:firstLine="2520"/>
              <w:rPr>
                <w:rFonts w:ascii="Times New Roman" w:hAnsi="Times New Roman"/>
                <w:szCs w:val="21"/>
              </w:rPr>
            </w:pPr>
            <w:r>
              <w:rPr>
                <w:rFonts w:ascii="Times New Roman" w:hAnsi="宋体" w:hint="eastAsia"/>
                <w:szCs w:val="21"/>
              </w:rPr>
              <w:t>内科学</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英译名称</w:t>
            </w:r>
          </w:p>
        </w:tc>
        <w:tc>
          <w:tcPr>
            <w:tcW w:w="7618" w:type="dxa"/>
            <w:gridSpan w:val="9"/>
          </w:tcPr>
          <w:p w:rsidR="003717A0" w:rsidRDefault="003717A0">
            <w:pPr>
              <w:adjustRightInd w:val="0"/>
              <w:snapToGrid w:val="0"/>
              <w:spacing w:line="500" w:lineRule="exact"/>
              <w:ind w:firstLineChars="1200" w:firstLine="2520"/>
              <w:rPr>
                <w:rFonts w:ascii="Times New Roman" w:hAnsi="Times New Roman"/>
                <w:szCs w:val="21"/>
              </w:rPr>
            </w:pPr>
            <w:r>
              <w:rPr>
                <w:rFonts w:ascii="Times New Roman" w:hAnsi="Times New Roman"/>
                <w:szCs w:val="21"/>
              </w:rPr>
              <w:t>Internal Medicine</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课程代码</w:t>
            </w:r>
          </w:p>
        </w:tc>
        <w:tc>
          <w:tcPr>
            <w:tcW w:w="2350"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170420</w:t>
            </w:r>
          </w:p>
        </w:tc>
        <w:tc>
          <w:tcPr>
            <w:tcW w:w="1902"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课程开设学期</w:t>
            </w:r>
          </w:p>
        </w:tc>
        <w:tc>
          <w:tcPr>
            <w:tcW w:w="3366" w:type="dxa"/>
            <w:gridSpan w:val="4"/>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hint="eastAsia"/>
                <w:szCs w:val="21"/>
              </w:rPr>
              <w:t>四</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课程学时</w:t>
            </w:r>
          </w:p>
        </w:tc>
        <w:tc>
          <w:tcPr>
            <w:tcW w:w="2350"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108</w:t>
            </w:r>
          </w:p>
        </w:tc>
        <w:tc>
          <w:tcPr>
            <w:tcW w:w="1902"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课程学分</w:t>
            </w:r>
          </w:p>
        </w:tc>
        <w:tc>
          <w:tcPr>
            <w:tcW w:w="3366" w:type="dxa"/>
            <w:gridSpan w:val="4"/>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4</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课程类型</w:t>
            </w:r>
          </w:p>
        </w:tc>
        <w:tc>
          <w:tcPr>
            <w:tcW w:w="7618" w:type="dxa"/>
            <w:gridSpan w:val="9"/>
          </w:tcPr>
          <w:p w:rsidR="003717A0" w:rsidRPr="00913B56" w:rsidRDefault="003717A0">
            <w:pPr>
              <w:adjustRightInd w:val="0"/>
              <w:snapToGrid w:val="0"/>
              <w:spacing w:line="500" w:lineRule="exact"/>
              <w:jc w:val="center"/>
              <w:rPr>
                <w:rFonts w:ascii="Times New Roman" w:hAnsi="Times New Roman"/>
                <w:szCs w:val="21"/>
              </w:rPr>
            </w:pPr>
            <w:r w:rsidRPr="00913B56">
              <w:rPr>
                <w:rFonts w:ascii="Times New Roman" w:hAnsi="Times New Roman"/>
                <w:szCs w:val="21"/>
              </w:rPr>
              <w:t>□</w:t>
            </w:r>
            <w:r w:rsidRPr="00913B56">
              <w:rPr>
                <w:rFonts w:ascii="Times New Roman" w:hAnsi="宋体" w:hint="eastAsia"/>
                <w:szCs w:val="21"/>
              </w:rPr>
              <w:t>公共基础课</w:t>
            </w:r>
            <w:r w:rsidRPr="00913B56">
              <w:rPr>
                <w:rFonts w:ascii="Times New Roman" w:hAnsi="Times New Roman"/>
                <w:szCs w:val="21"/>
              </w:rPr>
              <w:t>□</w:t>
            </w:r>
            <w:r w:rsidRPr="00913B56">
              <w:rPr>
                <w:rFonts w:ascii="Times New Roman" w:hAnsi="宋体" w:hint="eastAsia"/>
                <w:szCs w:val="21"/>
              </w:rPr>
              <w:t>专业基础课</w:t>
            </w:r>
            <w:r w:rsidRPr="00913B56">
              <w:rPr>
                <w:rFonts w:ascii="Times New Roman" w:hAnsi="Times New Roman"/>
                <w:szCs w:val="21"/>
              </w:rPr>
              <w:t>■</w:t>
            </w:r>
            <w:r w:rsidRPr="00913B56">
              <w:rPr>
                <w:rFonts w:ascii="Times New Roman" w:hAnsi="宋体" w:hint="eastAsia"/>
                <w:szCs w:val="21"/>
              </w:rPr>
              <w:t>专业课</w:t>
            </w:r>
            <w:r w:rsidRPr="00913B56">
              <w:rPr>
                <w:rFonts w:ascii="Times New Roman" w:hAnsi="Times New Roman"/>
                <w:szCs w:val="21"/>
              </w:rPr>
              <w:t>□</w:t>
            </w:r>
            <w:r w:rsidRPr="00913B56">
              <w:rPr>
                <w:rFonts w:ascii="Times New Roman" w:hAnsi="宋体" w:hint="eastAsia"/>
                <w:szCs w:val="21"/>
              </w:rPr>
              <w:t>专业选修课</w:t>
            </w:r>
            <w:r w:rsidRPr="00913B56">
              <w:rPr>
                <w:rFonts w:ascii="Times New Roman" w:hAnsi="Times New Roman"/>
                <w:szCs w:val="21"/>
              </w:rPr>
              <w:t>□</w:t>
            </w:r>
            <w:r w:rsidRPr="00913B56">
              <w:rPr>
                <w:rFonts w:ascii="Times New Roman" w:hAnsi="宋体" w:hint="eastAsia"/>
                <w:szCs w:val="21"/>
              </w:rPr>
              <w:t>公共选修课</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授课学院</w:t>
            </w:r>
          </w:p>
        </w:tc>
        <w:tc>
          <w:tcPr>
            <w:tcW w:w="2350"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医学院</w:t>
            </w:r>
          </w:p>
        </w:tc>
        <w:tc>
          <w:tcPr>
            <w:tcW w:w="2634" w:type="dxa"/>
            <w:gridSpan w:val="5"/>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教学研究室</w:t>
            </w:r>
            <w:r>
              <w:rPr>
                <w:rFonts w:ascii="Times New Roman" w:hAnsi="Times New Roman"/>
                <w:szCs w:val="21"/>
              </w:rPr>
              <w:t>/</w:t>
            </w:r>
            <w:r>
              <w:rPr>
                <w:rFonts w:ascii="Times New Roman" w:hAnsi="宋体" w:hint="eastAsia"/>
                <w:szCs w:val="21"/>
              </w:rPr>
              <w:t>系</w:t>
            </w:r>
          </w:p>
        </w:tc>
        <w:tc>
          <w:tcPr>
            <w:tcW w:w="263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内科学</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教材名称</w:t>
            </w:r>
          </w:p>
        </w:tc>
        <w:tc>
          <w:tcPr>
            <w:tcW w:w="7618" w:type="dxa"/>
            <w:gridSpan w:val="9"/>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内科学</w:t>
            </w:r>
          </w:p>
        </w:tc>
      </w:tr>
      <w:tr w:rsidR="003717A0">
        <w:tc>
          <w:tcPr>
            <w:tcW w:w="1668" w:type="dxa"/>
          </w:tcPr>
          <w:p w:rsidR="003717A0" w:rsidRDefault="003717A0">
            <w:pPr>
              <w:adjustRightInd w:val="0"/>
              <w:snapToGrid w:val="0"/>
              <w:spacing w:line="500" w:lineRule="exact"/>
              <w:rPr>
                <w:rFonts w:ascii="Times New Roman" w:hAnsi="Times New Roman"/>
                <w:szCs w:val="21"/>
              </w:rPr>
            </w:pPr>
            <w:r>
              <w:rPr>
                <w:rFonts w:ascii="Times New Roman" w:hAnsi="宋体" w:hint="eastAsia"/>
                <w:szCs w:val="21"/>
              </w:rPr>
              <w:t>教材出版信息</w:t>
            </w:r>
          </w:p>
        </w:tc>
        <w:tc>
          <w:tcPr>
            <w:tcW w:w="7618" w:type="dxa"/>
            <w:gridSpan w:val="9"/>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人民卫生出版社，</w:t>
            </w:r>
            <w:r>
              <w:rPr>
                <w:rFonts w:ascii="Times New Roman" w:hAnsi="Times New Roman"/>
                <w:szCs w:val="21"/>
              </w:rPr>
              <w:t>2013</w:t>
            </w:r>
            <w:r>
              <w:rPr>
                <w:rFonts w:ascii="Times New Roman" w:hAnsi="宋体" w:hint="eastAsia"/>
                <w:szCs w:val="21"/>
              </w:rPr>
              <w:t>年</w:t>
            </w:r>
            <w:r>
              <w:rPr>
                <w:rFonts w:ascii="Times New Roman" w:hAnsi="Times New Roman"/>
                <w:szCs w:val="21"/>
              </w:rPr>
              <w:t>3</w:t>
            </w:r>
            <w:r>
              <w:rPr>
                <w:rFonts w:ascii="Times New Roman" w:hAnsi="宋体" w:hint="eastAsia"/>
                <w:szCs w:val="21"/>
              </w:rPr>
              <w:t>月第</w:t>
            </w:r>
            <w:r>
              <w:rPr>
                <w:rFonts w:ascii="Times New Roman" w:hAnsi="Times New Roman"/>
                <w:szCs w:val="21"/>
              </w:rPr>
              <w:t>8</w:t>
            </w:r>
            <w:r>
              <w:rPr>
                <w:rFonts w:ascii="Times New Roman" w:hAnsi="宋体" w:hint="eastAsia"/>
                <w:szCs w:val="21"/>
              </w:rPr>
              <w:t>版，书号：</w:t>
            </w:r>
            <w:r>
              <w:rPr>
                <w:rFonts w:ascii="Times New Roman" w:hAnsi="Times New Roman"/>
                <w:szCs w:val="21"/>
              </w:rPr>
              <w:t>ISBN 978-7-117-17314-8/R-17315</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教材性质</w:t>
            </w:r>
          </w:p>
        </w:tc>
        <w:tc>
          <w:tcPr>
            <w:tcW w:w="7618" w:type="dxa"/>
            <w:gridSpan w:val="9"/>
          </w:tcPr>
          <w:p w:rsidR="003717A0" w:rsidRDefault="003717A0">
            <w:pPr>
              <w:adjustRightInd w:val="0"/>
              <w:snapToGrid w:val="0"/>
              <w:spacing w:line="500" w:lineRule="exact"/>
              <w:rPr>
                <w:rFonts w:ascii="Times New Roman" w:hAnsi="Times New Roman"/>
                <w:szCs w:val="21"/>
              </w:rPr>
            </w:pPr>
            <w:r>
              <w:rPr>
                <w:rFonts w:ascii="Times New Roman" w:hAnsi="Times New Roman"/>
                <w:szCs w:val="21"/>
              </w:rPr>
              <w:t>■</w:t>
            </w:r>
            <w:r>
              <w:rPr>
                <w:rFonts w:ascii="Times New Roman" w:hAnsi="宋体" w:hint="eastAsia"/>
                <w:szCs w:val="21"/>
              </w:rPr>
              <w:t>国家</w:t>
            </w:r>
            <w:r>
              <w:rPr>
                <w:rFonts w:ascii="Times New Roman" w:hAnsi="Times New Roman"/>
                <w:szCs w:val="21"/>
              </w:rPr>
              <w:t>□</w:t>
            </w:r>
            <w:r>
              <w:rPr>
                <w:rFonts w:ascii="Times New Roman" w:hAnsi="宋体" w:hint="eastAsia"/>
                <w:szCs w:val="21"/>
              </w:rPr>
              <w:t>部级规划</w:t>
            </w:r>
            <w:r>
              <w:rPr>
                <w:rFonts w:ascii="Times New Roman" w:hAnsi="Times New Roman"/>
                <w:szCs w:val="21"/>
              </w:rPr>
              <w:t>□</w:t>
            </w:r>
            <w:r>
              <w:rPr>
                <w:rFonts w:ascii="Times New Roman" w:hAnsi="宋体" w:hint="eastAsia"/>
                <w:szCs w:val="21"/>
              </w:rPr>
              <w:t>省级规划</w:t>
            </w:r>
            <w:r>
              <w:rPr>
                <w:rFonts w:ascii="Times New Roman" w:hAnsi="Times New Roman"/>
                <w:szCs w:val="21"/>
              </w:rPr>
              <w:t>□</w:t>
            </w:r>
            <w:r>
              <w:rPr>
                <w:rFonts w:ascii="Times New Roman" w:hAnsi="宋体" w:hint="eastAsia"/>
                <w:szCs w:val="21"/>
              </w:rPr>
              <w:t>自编</w:t>
            </w:r>
            <w:r>
              <w:rPr>
                <w:rFonts w:ascii="Times New Roman" w:hAnsi="Times New Roman"/>
                <w:szCs w:val="21"/>
              </w:rPr>
              <w:t>□</w:t>
            </w:r>
            <w:r>
              <w:rPr>
                <w:rFonts w:ascii="Times New Roman" w:hAnsi="宋体" w:hint="eastAsia"/>
                <w:szCs w:val="21"/>
              </w:rPr>
              <w:t>其他</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考核方式</w:t>
            </w:r>
          </w:p>
        </w:tc>
        <w:tc>
          <w:tcPr>
            <w:tcW w:w="7618" w:type="dxa"/>
            <w:gridSpan w:val="9"/>
          </w:tcPr>
          <w:p w:rsidR="003717A0" w:rsidRDefault="003717A0">
            <w:pPr>
              <w:adjustRightInd w:val="0"/>
              <w:snapToGrid w:val="0"/>
              <w:spacing w:line="500" w:lineRule="exact"/>
              <w:rPr>
                <w:rFonts w:ascii="Times New Roman" w:hAnsi="Times New Roman"/>
                <w:szCs w:val="21"/>
              </w:rPr>
            </w:pPr>
            <w:r>
              <w:rPr>
                <w:rFonts w:ascii="Times New Roman" w:hAnsi="Times New Roman"/>
                <w:szCs w:val="21"/>
              </w:rPr>
              <w:t>■</w:t>
            </w:r>
            <w:r>
              <w:rPr>
                <w:rFonts w:ascii="Times New Roman" w:hAnsi="宋体" w:hint="eastAsia"/>
                <w:szCs w:val="21"/>
              </w:rPr>
              <w:t>考试</w:t>
            </w:r>
            <w:r>
              <w:rPr>
                <w:rFonts w:ascii="Times New Roman" w:hAnsi="Times New Roman"/>
                <w:szCs w:val="21"/>
              </w:rPr>
              <w:t>□</w:t>
            </w:r>
            <w:r>
              <w:rPr>
                <w:rFonts w:ascii="Times New Roman" w:hAnsi="宋体" w:hint="eastAsia"/>
                <w:szCs w:val="21"/>
              </w:rPr>
              <w:t>考查</w:t>
            </w:r>
            <w:r>
              <w:rPr>
                <w:rFonts w:ascii="Times New Roman" w:hAnsi="Times New Roman"/>
                <w:szCs w:val="21"/>
              </w:rPr>
              <w:t>□</w:t>
            </w:r>
            <w:r>
              <w:rPr>
                <w:rFonts w:ascii="Times New Roman" w:hAnsi="宋体" w:hint="eastAsia"/>
                <w:szCs w:val="21"/>
              </w:rPr>
              <w:t>开卷</w:t>
            </w:r>
            <w:r>
              <w:rPr>
                <w:rFonts w:ascii="Times New Roman" w:hAnsi="Times New Roman"/>
                <w:szCs w:val="21"/>
              </w:rPr>
              <w:t>■</w:t>
            </w:r>
            <w:r>
              <w:rPr>
                <w:rFonts w:ascii="Times New Roman" w:hAnsi="宋体" w:hint="eastAsia"/>
                <w:szCs w:val="21"/>
              </w:rPr>
              <w:t>闭卷</w:t>
            </w:r>
            <w:r>
              <w:rPr>
                <w:rFonts w:ascii="Times New Roman" w:hAnsi="Times New Roman"/>
                <w:szCs w:val="21"/>
              </w:rPr>
              <w:t>□</w:t>
            </w:r>
            <w:r>
              <w:rPr>
                <w:rFonts w:ascii="Times New Roman" w:hAnsi="宋体" w:hint="eastAsia"/>
                <w:szCs w:val="21"/>
              </w:rPr>
              <w:t>课程设计</w:t>
            </w:r>
            <w:r>
              <w:rPr>
                <w:rFonts w:ascii="Times New Roman" w:hAnsi="Times New Roman"/>
                <w:szCs w:val="21"/>
              </w:rPr>
              <w:t>□</w:t>
            </w:r>
            <w:r>
              <w:rPr>
                <w:rFonts w:ascii="Times New Roman" w:hAnsi="宋体" w:hint="eastAsia"/>
                <w:szCs w:val="21"/>
              </w:rPr>
              <w:t>学期论文</w:t>
            </w:r>
            <w:r>
              <w:rPr>
                <w:rFonts w:ascii="Times New Roman" w:hAnsi="Times New Roman"/>
                <w:szCs w:val="21"/>
              </w:rPr>
              <w:t>□</w:t>
            </w:r>
            <w:r>
              <w:rPr>
                <w:rFonts w:ascii="Times New Roman" w:hAnsi="宋体" w:hint="eastAsia"/>
                <w:szCs w:val="21"/>
              </w:rPr>
              <w:t>其他</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课程成绩</w:t>
            </w:r>
          </w:p>
        </w:tc>
        <w:tc>
          <w:tcPr>
            <w:tcW w:w="3809" w:type="dxa"/>
            <w:gridSpan w:val="4"/>
          </w:tcPr>
          <w:p w:rsidR="003717A0" w:rsidRDefault="003717A0">
            <w:pPr>
              <w:adjustRightInd w:val="0"/>
              <w:snapToGrid w:val="0"/>
              <w:spacing w:line="500" w:lineRule="exact"/>
              <w:jc w:val="left"/>
              <w:rPr>
                <w:rFonts w:ascii="Times New Roman" w:hAnsi="Times New Roman"/>
                <w:szCs w:val="21"/>
              </w:rPr>
            </w:pPr>
            <w:r>
              <w:rPr>
                <w:rFonts w:ascii="Times New Roman" w:hAnsi="宋体" w:hint="eastAsia"/>
                <w:szCs w:val="21"/>
              </w:rPr>
              <w:t>平时成绩</w:t>
            </w:r>
            <w:r>
              <w:rPr>
                <w:rFonts w:ascii="Times New Roman" w:hAnsi="Times New Roman"/>
                <w:szCs w:val="21"/>
              </w:rPr>
              <w:t>0%</w:t>
            </w:r>
          </w:p>
        </w:tc>
        <w:tc>
          <w:tcPr>
            <w:tcW w:w="3809" w:type="dxa"/>
            <w:gridSpan w:val="5"/>
          </w:tcPr>
          <w:p w:rsidR="003717A0" w:rsidRDefault="003717A0">
            <w:pPr>
              <w:adjustRightInd w:val="0"/>
              <w:snapToGrid w:val="0"/>
              <w:spacing w:line="500" w:lineRule="exact"/>
              <w:jc w:val="left"/>
              <w:rPr>
                <w:rFonts w:ascii="Times New Roman" w:hAnsi="Times New Roman"/>
                <w:szCs w:val="21"/>
              </w:rPr>
            </w:pPr>
            <w:r>
              <w:rPr>
                <w:rFonts w:ascii="Times New Roman" w:hAnsi="宋体" w:hint="eastAsia"/>
                <w:szCs w:val="21"/>
              </w:rPr>
              <w:t>期末成绩</w:t>
            </w:r>
            <w:r>
              <w:rPr>
                <w:rFonts w:ascii="Times New Roman" w:hAnsi="Times New Roman"/>
                <w:szCs w:val="21"/>
              </w:rPr>
              <w:t>100%</w:t>
            </w:r>
          </w:p>
        </w:tc>
      </w:tr>
      <w:tr w:rsidR="003717A0">
        <w:tc>
          <w:tcPr>
            <w:tcW w:w="9286" w:type="dxa"/>
            <w:gridSpan w:val="10"/>
          </w:tcPr>
          <w:p w:rsidR="003717A0" w:rsidRDefault="003717A0">
            <w:pPr>
              <w:adjustRightInd w:val="0"/>
              <w:snapToGrid w:val="0"/>
              <w:spacing w:line="500" w:lineRule="exact"/>
              <w:rPr>
                <w:rFonts w:ascii="Times New Roman" w:hAnsi="Times New Roman"/>
                <w:szCs w:val="21"/>
              </w:rPr>
            </w:pPr>
            <w:r>
              <w:rPr>
                <w:rFonts w:ascii="Times New Roman" w:hAnsi="宋体" w:hint="eastAsia"/>
                <w:szCs w:val="21"/>
              </w:rPr>
              <w:t>课程负责人及团队骨干（五人以内）</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姓名</w:t>
            </w:r>
          </w:p>
        </w:tc>
        <w:tc>
          <w:tcPr>
            <w:tcW w:w="1523"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性别</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学历</w:t>
            </w:r>
          </w:p>
        </w:tc>
        <w:tc>
          <w:tcPr>
            <w:tcW w:w="1523"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学位</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职称</w:t>
            </w:r>
          </w:p>
        </w:tc>
        <w:tc>
          <w:tcPr>
            <w:tcW w:w="1524"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从教时间</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倪松石</w:t>
            </w:r>
          </w:p>
        </w:tc>
        <w:tc>
          <w:tcPr>
            <w:tcW w:w="1523"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男</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研究生</w:t>
            </w:r>
          </w:p>
        </w:tc>
        <w:tc>
          <w:tcPr>
            <w:tcW w:w="1523"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博</w:t>
            </w:r>
            <w:r>
              <w:rPr>
                <w:rFonts w:ascii="Times New Roman" w:hAnsi="Times New Roman"/>
                <w:szCs w:val="21"/>
              </w:rPr>
              <w:t xml:space="preserve"> </w:t>
            </w:r>
            <w:r>
              <w:rPr>
                <w:rFonts w:ascii="Times New Roman" w:hAnsi="宋体" w:hint="eastAsia"/>
                <w:szCs w:val="21"/>
              </w:rPr>
              <w:t>士</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w:t>
            </w:r>
            <w:r>
              <w:rPr>
                <w:rFonts w:ascii="Times New Roman" w:hAnsi="Times New Roman"/>
                <w:szCs w:val="21"/>
              </w:rPr>
              <w:t xml:space="preserve">  </w:t>
            </w:r>
            <w:r>
              <w:rPr>
                <w:rFonts w:ascii="Times New Roman" w:hAnsi="宋体" w:hint="eastAsia"/>
                <w:szCs w:val="21"/>
              </w:rPr>
              <w:t>授</w:t>
            </w:r>
          </w:p>
        </w:tc>
        <w:tc>
          <w:tcPr>
            <w:tcW w:w="1524" w:type="dxa"/>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1984.8</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吴</w:t>
            </w:r>
            <w:r>
              <w:rPr>
                <w:rFonts w:ascii="Times New Roman" w:hAnsi="Times New Roman"/>
                <w:szCs w:val="21"/>
              </w:rPr>
              <w:t xml:space="preserve">  </w:t>
            </w:r>
            <w:r>
              <w:rPr>
                <w:rFonts w:ascii="Times New Roman" w:hAnsi="宋体" w:hint="eastAsia"/>
                <w:szCs w:val="21"/>
              </w:rPr>
              <w:t>翔</w:t>
            </w:r>
          </w:p>
        </w:tc>
        <w:tc>
          <w:tcPr>
            <w:tcW w:w="1523"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男</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研究生</w:t>
            </w:r>
          </w:p>
        </w:tc>
        <w:tc>
          <w:tcPr>
            <w:tcW w:w="1523"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硕</w:t>
            </w:r>
            <w:r>
              <w:rPr>
                <w:rFonts w:ascii="Times New Roman" w:hAnsi="Times New Roman"/>
                <w:szCs w:val="21"/>
              </w:rPr>
              <w:t xml:space="preserve"> </w:t>
            </w:r>
            <w:r>
              <w:rPr>
                <w:rFonts w:ascii="Times New Roman" w:hAnsi="宋体" w:hint="eastAsia"/>
                <w:szCs w:val="21"/>
              </w:rPr>
              <w:t>士</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w:t>
            </w:r>
            <w:r>
              <w:rPr>
                <w:rFonts w:ascii="Times New Roman" w:hAnsi="Times New Roman"/>
                <w:szCs w:val="21"/>
              </w:rPr>
              <w:t xml:space="preserve">  </w:t>
            </w:r>
            <w:r>
              <w:rPr>
                <w:rFonts w:ascii="Times New Roman" w:hAnsi="宋体" w:hint="eastAsia"/>
                <w:szCs w:val="21"/>
              </w:rPr>
              <w:t>授</w:t>
            </w:r>
          </w:p>
        </w:tc>
        <w:tc>
          <w:tcPr>
            <w:tcW w:w="1524" w:type="dxa"/>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1983.8</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倪润洲</w:t>
            </w:r>
          </w:p>
        </w:tc>
        <w:tc>
          <w:tcPr>
            <w:tcW w:w="1523"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男</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研究生</w:t>
            </w:r>
          </w:p>
        </w:tc>
        <w:tc>
          <w:tcPr>
            <w:tcW w:w="1523"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博</w:t>
            </w:r>
            <w:r>
              <w:rPr>
                <w:rFonts w:ascii="Times New Roman" w:hAnsi="Times New Roman"/>
                <w:szCs w:val="21"/>
              </w:rPr>
              <w:t xml:space="preserve"> </w:t>
            </w:r>
            <w:r>
              <w:rPr>
                <w:rFonts w:ascii="Times New Roman" w:hAnsi="宋体" w:hint="eastAsia"/>
                <w:szCs w:val="21"/>
              </w:rPr>
              <w:t>士</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w:t>
            </w:r>
            <w:r>
              <w:rPr>
                <w:rFonts w:ascii="Times New Roman" w:hAnsi="Times New Roman"/>
                <w:szCs w:val="21"/>
              </w:rPr>
              <w:t xml:space="preserve">  </w:t>
            </w:r>
            <w:r>
              <w:rPr>
                <w:rFonts w:ascii="Times New Roman" w:hAnsi="宋体" w:hint="eastAsia"/>
                <w:szCs w:val="21"/>
              </w:rPr>
              <w:t>授</w:t>
            </w:r>
          </w:p>
        </w:tc>
        <w:tc>
          <w:tcPr>
            <w:tcW w:w="1524" w:type="dxa"/>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1983.8</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刘</w:t>
            </w:r>
            <w:r>
              <w:rPr>
                <w:rFonts w:ascii="Times New Roman" w:hAnsi="Times New Roman"/>
                <w:szCs w:val="21"/>
              </w:rPr>
              <w:t xml:space="preserve">  </w:t>
            </w:r>
            <w:r>
              <w:rPr>
                <w:rFonts w:ascii="Times New Roman" w:hAnsi="宋体" w:hint="eastAsia"/>
                <w:szCs w:val="21"/>
              </w:rPr>
              <w:t>红</w:t>
            </w:r>
          </w:p>
        </w:tc>
        <w:tc>
          <w:tcPr>
            <w:tcW w:w="1523"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女</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研究生</w:t>
            </w:r>
          </w:p>
        </w:tc>
        <w:tc>
          <w:tcPr>
            <w:tcW w:w="1523"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博</w:t>
            </w:r>
            <w:r>
              <w:rPr>
                <w:rFonts w:ascii="Times New Roman" w:hAnsi="Times New Roman"/>
                <w:szCs w:val="21"/>
              </w:rPr>
              <w:t xml:space="preserve"> </w:t>
            </w:r>
            <w:r>
              <w:rPr>
                <w:rFonts w:ascii="Times New Roman" w:hAnsi="宋体" w:hint="eastAsia"/>
                <w:szCs w:val="21"/>
              </w:rPr>
              <w:t>士</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w:t>
            </w:r>
            <w:r>
              <w:rPr>
                <w:rFonts w:ascii="Times New Roman" w:hAnsi="Times New Roman"/>
                <w:szCs w:val="21"/>
              </w:rPr>
              <w:t xml:space="preserve">  </w:t>
            </w:r>
            <w:r>
              <w:rPr>
                <w:rFonts w:ascii="Times New Roman" w:hAnsi="宋体" w:hint="eastAsia"/>
                <w:szCs w:val="21"/>
              </w:rPr>
              <w:t>授</w:t>
            </w:r>
          </w:p>
        </w:tc>
        <w:tc>
          <w:tcPr>
            <w:tcW w:w="1524" w:type="dxa"/>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1985.8</w:t>
            </w:r>
          </w:p>
        </w:tc>
      </w:tr>
      <w:tr w:rsidR="003717A0">
        <w:tc>
          <w:tcPr>
            <w:tcW w:w="1668"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范亚平</w:t>
            </w:r>
          </w:p>
        </w:tc>
        <w:tc>
          <w:tcPr>
            <w:tcW w:w="1523" w:type="dxa"/>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男</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研究生</w:t>
            </w:r>
          </w:p>
        </w:tc>
        <w:tc>
          <w:tcPr>
            <w:tcW w:w="1523" w:type="dxa"/>
            <w:gridSpan w:val="3"/>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硕</w:t>
            </w:r>
            <w:r>
              <w:rPr>
                <w:rFonts w:ascii="Times New Roman" w:hAnsi="Times New Roman"/>
                <w:szCs w:val="21"/>
              </w:rPr>
              <w:t xml:space="preserve"> </w:t>
            </w:r>
            <w:r>
              <w:rPr>
                <w:rFonts w:ascii="Times New Roman" w:hAnsi="宋体" w:hint="eastAsia"/>
                <w:szCs w:val="21"/>
              </w:rPr>
              <w:t>士</w:t>
            </w:r>
          </w:p>
        </w:tc>
        <w:tc>
          <w:tcPr>
            <w:tcW w:w="1524" w:type="dxa"/>
            <w:gridSpan w:val="2"/>
          </w:tcPr>
          <w:p w:rsidR="003717A0" w:rsidRDefault="003717A0">
            <w:pPr>
              <w:adjustRightInd w:val="0"/>
              <w:snapToGrid w:val="0"/>
              <w:spacing w:line="500" w:lineRule="exact"/>
              <w:jc w:val="center"/>
              <w:rPr>
                <w:rFonts w:ascii="Times New Roman" w:hAnsi="Times New Roman"/>
                <w:szCs w:val="21"/>
              </w:rPr>
            </w:pPr>
            <w:r>
              <w:rPr>
                <w:rFonts w:ascii="Times New Roman" w:hAnsi="宋体" w:hint="eastAsia"/>
                <w:szCs w:val="21"/>
              </w:rPr>
              <w:t>教</w:t>
            </w:r>
            <w:r>
              <w:rPr>
                <w:rFonts w:ascii="Times New Roman" w:hAnsi="Times New Roman"/>
                <w:szCs w:val="21"/>
              </w:rPr>
              <w:t xml:space="preserve">  </w:t>
            </w:r>
            <w:r>
              <w:rPr>
                <w:rFonts w:ascii="Times New Roman" w:hAnsi="宋体" w:hint="eastAsia"/>
                <w:szCs w:val="21"/>
              </w:rPr>
              <w:t>授</w:t>
            </w:r>
          </w:p>
        </w:tc>
        <w:tc>
          <w:tcPr>
            <w:tcW w:w="1524" w:type="dxa"/>
          </w:tcPr>
          <w:p w:rsidR="003717A0" w:rsidRDefault="003717A0">
            <w:pPr>
              <w:adjustRightInd w:val="0"/>
              <w:snapToGrid w:val="0"/>
              <w:spacing w:line="500" w:lineRule="exact"/>
              <w:jc w:val="center"/>
              <w:rPr>
                <w:rFonts w:ascii="Times New Roman" w:hAnsi="Times New Roman"/>
                <w:szCs w:val="21"/>
              </w:rPr>
            </w:pPr>
            <w:r>
              <w:rPr>
                <w:rFonts w:ascii="Times New Roman" w:hAnsi="Times New Roman"/>
                <w:szCs w:val="21"/>
              </w:rPr>
              <w:t>1083.8</w:t>
            </w:r>
          </w:p>
        </w:tc>
      </w:tr>
      <w:tr w:rsidR="003717A0">
        <w:tc>
          <w:tcPr>
            <w:tcW w:w="9286" w:type="dxa"/>
            <w:gridSpan w:val="10"/>
          </w:tcPr>
          <w:p w:rsidR="003717A0" w:rsidRDefault="003717A0">
            <w:pPr>
              <w:adjustRightInd w:val="0"/>
              <w:snapToGrid w:val="0"/>
              <w:spacing w:line="500" w:lineRule="exact"/>
              <w:rPr>
                <w:rFonts w:ascii="Times New Roman" w:hAnsi="Times New Roman"/>
                <w:szCs w:val="21"/>
              </w:rPr>
            </w:pPr>
            <w:r>
              <w:rPr>
                <w:rFonts w:ascii="Times New Roman" w:hAnsi="宋体" w:hint="eastAsia"/>
                <w:szCs w:val="21"/>
              </w:rPr>
              <w:t>课程简介</w:t>
            </w:r>
          </w:p>
        </w:tc>
      </w:tr>
      <w:tr w:rsidR="003717A0">
        <w:tc>
          <w:tcPr>
            <w:tcW w:w="9286" w:type="dxa"/>
            <w:gridSpan w:val="10"/>
          </w:tcPr>
          <w:p w:rsidR="003717A0" w:rsidRDefault="003717A0">
            <w:pPr>
              <w:adjustRightInd w:val="0"/>
              <w:snapToGrid w:val="0"/>
              <w:spacing w:line="500" w:lineRule="exact"/>
              <w:ind w:firstLineChars="250" w:firstLine="525"/>
              <w:rPr>
                <w:rFonts w:ascii="Times New Roman" w:hAnsi="宋体"/>
                <w:szCs w:val="21"/>
              </w:rPr>
            </w:pPr>
            <w:r>
              <w:rPr>
                <w:rFonts w:ascii="Times New Roman" w:hAnsi="宋体" w:hint="eastAsia"/>
                <w:szCs w:val="21"/>
              </w:rPr>
              <w:t>内科学是对医学科学发展产生重要影响的临床医学学科。它是一门涉及面广和整体性强的学科。它是临床各科的基础学科，所阐述的内容在临床的理论和实践中有其普遍意义，</w:t>
            </w:r>
            <w:r>
              <w:rPr>
                <w:rFonts w:ascii="Times New Roman" w:hAnsi="宋体"/>
                <w:szCs w:val="21"/>
              </w:rPr>
              <w:t xml:space="preserve"> </w:t>
            </w:r>
            <w:r>
              <w:rPr>
                <w:rFonts w:ascii="Times New Roman" w:hAnsi="宋体" w:hint="eastAsia"/>
                <w:szCs w:val="21"/>
              </w:rPr>
              <w:t>是学习和掌握其他临床学科的重要基础。这门课程包括呼吸病学、循环病学、消化病学、泌尿系统疾病学、血液病学、内分泌代谢病学、风湿免疫病学及中毒部分。内科学的内容包含了疾病的定义、病因、发病机制、流行病学、自然史、症状、体征、实验诊断、影像检查、鉴别诊断、诊断、治疗、预后。其任务是通过教学使学生掌握内科常见病、多发病的病因、</w:t>
            </w:r>
            <w:r>
              <w:rPr>
                <w:rFonts w:ascii="Times New Roman" w:hAnsi="宋体"/>
                <w:szCs w:val="21"/>
              </w:rPr>
              <w:t xml:space="preserve"> </w:t>
            </w:r>
            <w:r>
              <w:rPr>
                <w:rFonts w:ascii="Times New Roman" w:hAnsi="宋体" w:hint="eastAsia"/>
                <w:szCs w:val="21"/>
              </w:rPr>
              <w:t>发病机制、临床表现、诊断和防治的基本</w:t>
            </w:r>
            <w:r>
              <w:rPr>
                <w:rFonts w:ascii="Times New Roman" w:hAnsi="宋体" w:hint="eastAsia"/>
                <w:szCs w:val="21"/>
              </w:rPr>
              <w:lastRenderedPageBreak/>
              <w:t>知识、基本理论和实践技能。医科大学生的内科学课程，</w:t>
            </w:r>
            <w:r>
              <w:rPr>
                <w:rFonts w:ascii="Times New Roman" w:hAnsi="宋体"/>
                <w:szCs w:val="21"/>
              </w:rPr>
              <w:t xml:space="preserve"> </w:t>
            </w:r>
            <w:r>
              <w:rPr>
                <w:rFonts w:ascii="Times New Roman" w:hAnsi="宋体" w:hint="eastAsia"/>
                <w:szCs w:val="21"/>
              </w:rPr>
              <w:t>分为系统学习和毕业实习两个阶段。系统学习包括按照教学大纲所规定的课堂系统讲课和与其相结合的临床见习。</w:t>
            </w:r>
          </w:p>
          <w:p w:rsidR="003717A0" w:rsidRDefault="003717A0">
            <w:pPr>
              <w:adjustRightInd w:val="0"/>
              <w:snapToGrid w:val="0"/>
              <w:spacing w:line="500" w:lineRule="exact"/>
              <w:ind w:firstLineChars="250" w:firstLine="525"/>
              <w:rPr>
                <w:rFonts w:ascii="Times New Roman" w:hAnsi="宋体"/>
                <w:szCs w:val="21"/>
              </w:rPr>
            </w:pPr>
            <w:r>
              <w:rPr>
                <w:rFonts w:ascii="Times New Roman" w:hAnsi="宋体" w:hint="eastAsia"/>
                <w:szCs w:val="21"/>
              </w:rPr>
              <w:t>内科学课程，分为系统学习和毕业实习两个阶段。系统学习包括按照教学大纲所规定的课堂系统讲课和与其相结合的临床见习。毕业实习是在上级医师指导下，作临床诊疗实践，要将书本上学到的理论用于临床实践，来解决临床上的实际问题，并从临床实践中检验书本知识的正确性。</w:t>
            </w:r>
          </w:p>
        </w:tc>
      </w:tr>
    </w:tbl>
    <w:p w:rsidR="003717A0" w:rsidRDefault="003717A0">
      <w:pPr>
        <w:adjustRightInd w:val="0"/>
        <w:spacing w:line="360" w:lineRule="auto"/>
        <w:contextualSpacing/>
        <w:jc w:val="center"/>
        <w:rPr>
          <w:rFonts w:ascii="宋体"/>
          <w:b/>
          <w:szCs w:val="21"/>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宋体"/>
          <w:b/>
          <w:kern w:val="0"/>
          <w:szCs w:val="21"/>
        </w:rPr>
      </w:pPr>
      <w:r>
        <w:rPr>
          <w:rFonts w:ascii="宋体" w:hAnsi="宋体"/>
          <w:b/>
          <w:kern w:val="0"/>
          <w:szCs w:val="21"/>
        </w:rPr>
        <w:t>(</w:t>
      </w:r>
      <w:r>
        <w:rPr>
          <w:rFonts w:ascii="宋体" w:hAnsi="宋体" w:hint="eastAsia"/>
          <w:b/>
          <w:kern w:val="0"/>
          <w:szCs w:val="21"/>
        </w:rPr>
        <w:t>一</w:t>
      </w:r>
      <w:r>
        <w:rPr>
          <w:rFonts w:ascii="宋体" w:hAnsi="宋体"/>
          <w:b/>
          <w:kern w:val="0"/>
          <w:szCs w:val="21"/>
        </w:rPr>
        <w:t xml:space="preserve">) </w:t>
      </w:r>
      <w:r>
        <w:rPr>
          <w:rFonts w:ascii="宋体" w:hAnsi="宋体" w:hint="eastAsia"/>
          <w:b/>
          <w:kern w:val="0"/>
          <w:szCs w:val="21"/>
        </w:rPr>
        <w:t>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宋体" w:hint="eastAsia"/>
          <w:kern w:val="0"/>
          <w:szCs w:val="21"/>
        </w:rPr>
        <w:t>适应对象：本科层次，康复治疗学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宋体" w:hint="eastAsia"/>
          <w:kern w:val="0"/>
          <w:szCs w:val="21"/>
        </w:rPr>
        <w:t>课程代码：</w:t>
      </w:r>
      <w:r>
        <w:rPr>
          <w:rFonts w:ascii="Times New Roman" w:hAnsi="Times New Roman"/>
          <w:szCs w:val="21"/>
        </w:rPr>
        <w:t>170420</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宋体" w:hint="eastAsia"/>
          <w:kern w:val="0"/>
          <w:szCs w:val="21"/>
        </w:rPr>
        <w:t>学时分配：</w:t>
      </w:r>
      <w:r>
        <w:rPr>
          <w:rFonts w:ascii="Times New Roman" w:hAnsi="Times New Roman"/>
          <w:kern w:val="0"/>
          <w:szCs w:val="21"/>
        </w:rPr>
        <w:t>108</w:t>
      </w:r>
      <w:r>
        <w:rPr>
          <w:rFonts w:ascii="Times New Roman" w:hAnsi="宋体" w:hint="eastAsia"/>
          <w:kern w:val="0"/>
          <w:szCs w:val="21"/>
        </w:rPr>
        <w:t>学时（理论学时</w:t>
      </w:r>
      <w:r>
        <w:rPr>
          <w:rFonts w:ascii="Times New Roman" w:hAnsi="Times New Roman"/>
          <w:kern w:val="0"/>
          <w:szCs w:val="21"/>
        </w:rPr>
        <w:t>72</w:t>
      </w:r>
      <w:r>
        <w:rPr>
          <w:rFonts w:ascii="Times New Roman" w:hAnsi="宋体" w:hint="eastAsia"/>
          <w:kern w:val="0"/>
          <w:szCs w:val="21"/>
        </w:rPr>
        <w:t>，临床见习学时</w:t>
      </w:r>
      <w:r>
        <w:rPr>
          <w:rFonts w:ascii="Times New Roman" w:hAnsi="Times New Roman"/>
          <w:kern w:val="0"/>
          <w:szCs w:val="21"/>
        </w:rPr>
        <w:t>36</w:t>
      </w:r>
      <w:r>
        <w:rPr>
          <w:rFonts w:ascii="Times New Roman" w:hAnsi="宋体"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宋体" w:hint="eastAsia"/>
          <w:kern w:val="0"/>
          <w:szCs w:val="21"/>
        </w:rPr>
        <w:t>赋予学分：</w:t>
      </w:r>
      <w:r>
        <w:rPr>
          <w:rFonts w:ascii="Times New Roman" w:hAnsi="Times New Roman"/>
          <w:kern w:val="0"/>
          <w:szCs w:val="21"/>
        </w:rPr>
        <w:t>4</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（二）</w:t>
      </w:r>
      <w:r>
        <w:rPr>
          <w:rFonts w:ascii="宋体" w:hAnsi="宋体"/>
          <w:b/>
          <w:kern w:val="0"/>
          <w:szCs w:val="21"/>
        </w:rPr>
        <w:t xml:space="preserve"> </w:t>
      </w:r>
      <w:r>
        <w:rPr>
          <w:rFonts w:ascii="宋体" w:hAnsi="宋体" w:hint="eastAsia"/>
          <w:b/>
          <w:kern w:val="0"/>
          <w:szCs w:val="21"/>
        </w:rPr>
        <w:t>课程性质与任务：</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kern w:val="0"/>
          <w:szCs w:val="21"/>
        </w:rPr>
        <w:t>内科学在临床医学中占有极其重要的位置，它是临床各科的基础学科，所阐述的内容在临床的理论和实践中有其普遍意义，是学习和掌握其他临床学科的重要基础。它涉及面广，包括呼吸、循环、消化、泌尿、造血系统、内分泌及代谢、风湿等常见疾病以及理化因素所致的疾病。与外科学一起并称为临床医学的两大支柱学科，为临床各科从医者必须精读的专业。</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kern w:val="0"/>
          <w:szCs w:val="21"/>
        </w:rPr>
        <w:t>内科学的任务是在基础医学各课程的基础上，系统的讲授内科常见病、多发病的基本理论和基本知识，并加强基本技能训练，适当的介绍一些虽不常见但在理论和实践中有着重要意义的疾病。对于需要“掌握”、“熟悉”、“了解”的内容，分别进行重点讲解、一般讲解和扼要讲解。在教学过程中，要介绍国内外医学新进展，结合临床实践，进行启发式教学，鼓励自学和讨论，培养学生勤思考、多分析、独立解决问题的能力。</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（三）</w:t>
      </w:r>
      <w:r>
        <w:rPr>
          <w:rFonts w:ascii="宋体" w:hAnsi="宋体"/>
          <w:b/>
          <w:kern w:val="0"/>
          <w:szCs w:val="21"/>
        </w:rPr>
        <w:t xml:space="preserve"> </w:t>
      </w:r>
      <w:r>
        <w:rPr>
          <w:rFonts w:ascii="宋体" w:hAnsi="宋体" w:hint="eastAsia"/>
          <w:b/>
          <w:kern w:val="0"/>
          <w:szCs w:val="21"/>
        </w:rPr>
        <w:t>教学目的与要求</w:t>
      </w:r>
    </w:p>
    <w:p w:rsidR="003717A0" w:rsidRDefault="003717A0">
      <w:pPr>
        <w:autoSpaceDE w:val="0"/>
        <w:autoSpaceDN w:val="0"/>
        <w:adjustRightInd w:val="0"/>
        <w:snapToGrid w:val="0"/>
        <w:spacing w:line="360" w:lineRule="auto"/>
        <w:ind w:firstLineChars="291" w:firstLine="611"/>
        <w:jc w:val="left"/>
        <w:rPr>
          <w:rFonts w:ascii="宋体"/>
          <w:kern w:val="0"/>
          <w:szCs w:val="21"/>
        </w:rPr>
      </w:pPr>
      <w:r>
        <w:rPr>
          <w:rFonts w:ascii="宋体" w:hAnsi="宋体" w:hint="eastAsia"/>
          <w:kern w:val="0"/>
          <w:szCs w:val="21"/>
        </w:rPr>
        <w:t>在内科学教学过程中，通过课堂讲授、见习、毕业实习等不同阶段和环节，要求达到以下目标：</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kern w:val="0"/>
          <w:szCs w:val="21"/>
        </w:rPr>
        <w:t xml:space="preserve"> (</w:t>
      </w:r>
      <w:r>
        <w:rPr>
          <w:rFonts w:ascii="宋体" w:hAnsi="宋体" w:hint="eastAsia"/>
          <w:kern w:val="0"/>
          <w:szCs w:val="21"/>
        </w:rPr>
        <w:t>一</w:t>
      </w:r>
      <w:r>
        <w:rPr>
          <w:rFonts w:ascii="宋体" w:hAnsi="宋体"/>
          <w:kern w:val="0"/>
          <w:szCs w:val="21"/>
        </w:rPr>
        <w:t>)</w:t>
      </w:r>
      <w:r>
        <w:rPr>
          <w:rFonts w:ascii="宋体" w:hAnsi="宋体" w:hint="eastAsia"/>
          <w:kern w:val="0"/>
          <w:szCs w:val="21"/>
        </w:rPr>
        <w:t>掌握和熟悉或了解内科常见病、多发病的病因、发病机制、病理解剖、临床表现并发症、诊断和鉴别诊断、治疗、预后和预防，使能得到全面、系统的内科学基础知识，并在深入研讨病因、发病机制、病理解剖和病理生理，以及诊断和治疗等方面知识的基础上，进一步巩固和提高基础理论知识水平，使与临床相结合运用于医疗实践。</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kern w:val="0"/>
          <w:szCs w:val="21"/>
        </w:rPr>
        <w:t xml:space="preserve"> (</w:t>
      </w:r>
      <w:r>
        <w:rPr>
          <w:rFonts w:ascii="宋体" w:hAnsi="宋体" w:hint="eastAsia"/>
          <w:kern w:val="0"/>
          <w:szCs w:val="21"/>
        </w:rPr>
        <w:t>二</w:t>
      </w:r>
      <w:r>
        <w:rPr>
          <w:rFonts w:ascii="宋体" w:hAnsi="宋体"/>
          <w:kern w:val="0"/>
          <w:szCs w:val="21"/>
        </w:rPr>
        <w:t>)</w:t>
      </w:r>
      <w:r>
        <w:rPr>
          <w:rFonts w:ascii="宋体" w:hAnsi="宋体" w:hint="eastAsia"/>
          <w:kern w:val="0"/>
          <w:szCs w:val="21"/>
        </w:rPr>
        <w:t>在已学习诊断学的基础上，进一步巩固和提高病史采取、体格检查等知识、方法和技能，做到病历书写合乎要求，同时学会有目的采用现代实验室检查和诊断技术，结合内科学基础理论和基本知识，运用分析综合与逻辑推理的临床思想方法，作出全面诊断。</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kern w:val="0"/>
          <w:szCs w:val="21"/>
        </w:rPr>
        <w:t xml:space="preserve"> (</w:t>
      </w:r>
      <w:r>
        <w:rPr>
          <w:rFonts w:ascii="宋体" w:hAnsi="宋体" w:hint="eastAsia"/>
          <w:kern w:val="0"/>
          <w:szCs w:val="21"/>
        </w:rPr>
        <w:t>三</w:t>
      </w:r>
      <w:r>
        <w:rPr>
          <w:rFonts w:ascii="宋体" w:hAnsi="宋体"/>
          <w:kern w:val="0"/>
          <w:szCs w:val="21"/>
        </w:rPr>
        <w:t>)</w:t>
      </w:r>
      <w:r>
        <w:rPr>
          <w:rFonts w:ascii="宋体" w:hAnsi="宋体" w:hint="eastAsia"/>
          <w:kern w:val="0"/>
          <w:szCs w:val="21"/>
        </w:rPr>
        <w:t>在实习期间，通过临床实践提高对内科常见病、多发病的诊断和防治能力。要求做到理论联系实际，进一步运用基础学科与内科学知识来分析，解决诊断及防治上的实际问题，又从临床实践来检验认识的正确性，经过实践、认识、再实践、再认识，从而充实提高理论知识水平及发现问题、分析问题和解决问题的能力。</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kern w:val="0"/>
          <w:szCs w:val="21"/>
        </w:rPr>
        <w:t xml:space="preserve"> (</w:t>
      </w:r>
      <w:r>
        <w:rPr>
          <w:rFonts w:ascii="宋体" w:hAnsi="宋体" w:hint="eastAsia"/>
          <w:kern w:val="0"/>
          <w:szCs w:val="21"/>
        </w:rPr>
        <w:t>四</w:t>
      </w:r>
      <w:r>
        <w:rPr>
          <w:rFonts w:ascii="宋体" w:hAnsi="宋体"/>
          <w:kern w:val="0"/>
          <w:szCs w:val="21"/>
        </w:rPr>
        <w:t>)</w:t>
      </w:r>
      <w:r>
        <w:rPr>
          <w:rFonts w:ascii="宋体" w:hAnsi="宋体" w:hint="eastAsia"/>
          <w:kern w:val="0"/>
          <w:szCs w:val="21"/>
        </w:rPr>
        <w:t>掌握内科常用的诊疗技术</w:t>
      </w:r>
      <w:r>
        <w:rPr>
          <w:rFonts w:ascii="宋体"/>
          <w:kern w:val="0"/>
          <w:szCs w:val="21"/>
        </w:rPr>
        <w:t>,</w:t>
      </w:r>
      <w:r>
        <w:rPr>
          <w:rFonts w:ascii="宋体" w:hAnsi="宋体" w:hint="eastAsia"/>
          <w:kern w:val="0"/>
          <w:szCs w:val="21"/>
        </w:rPr>
        <w:t>结合本专业知识在临床实践中应用。</w:t>
      </w:r>
    </w:p>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kern w:val="0"/>
          <w:szCs w:val="21"/>
        </w:rPr>
        <w:t xml:space="preserve"> (</w:t>
      </w:r>
      <w:r>
        <w:rPr>
          <w:rFonts w:ascii="宋体" w:hAnsi="宋体" w:hint="eastAsia"/>
          <w:kern w:val="0"/>
          <w:szCs w:val="21"/>
        </w:rPr>
        <w:t>五</w:t>
      </w:r>
      <w:r>
        <w:rPr>
          <w:rFonts w:ascii="宋体" w:hAnsi="宋体"/>
          <w:kern w:val="0"/>
          <w:szCs w:val="21"/>
        </w:rPr>
        <w:t>)</w:t>
      </w:r>
      <w:r>
        <w:rPr>
          <w:rFonts w:ascii="宋体" w:hAnsi="宋体" w:hint="eastAsia"/>
          <w:kern w:val="0"/>
          <w:szCs w:val="21"/>
        </w:rPr>
        <w:t>对急、危、重病人有一定应急和解决问题的</w:t>
      </w:r>
    </w:p>
    <w:p w:rsidR="003717A0" w:rsidRDefault="003717A0">
      <w:pPr>
        <w:autoSpaceDE w:val="0"/>
        <w:autoSpaceDN w:val="0"/>
        <w:adjustRightInd w:val="0"/>
        <w:snapToGrid w:val="0"/>
        <w:spacing w:line="440" w:lineRule="exact"/>
        <w:ind w:firstLineChars="49" w:firstLine="103"/>
        <w:jc w:val="left"/>
        <w:rPr>
          <w:rFonts w:ascii="宋体"/>
          <w:b/>
          <w:kern w:val="0"/>
          <w:szCs w:val="21"/>
        </w:rPr>
      </w:pPr>
      <w:r>
        <w:rPr>
          <w:rFonts w:ascii="宋体" w:hAnsi="宋体" w:hint="eastAsia"/>
          <w:b/>
          <w:kern w:val="0"/>
          <w:szCs w:val="21"/>
        </w:rPr>
        <w:t>（四）教学内容与安排</w:t>
      </w:r>
    </w:p>
    <w:p w:rsidR="003717A0" w:rsidRDefault="003717A0">
      <w:pPr>
        <w:pStyle w:val="12"/>
        <w:jc w:val="center"/>
        <w:rPr>
          <w:rFonts w:ascii="宋体"/>
          <w:b/>
          <w:kern w:val="0"/>
          <w:szCs w:val="21"/>
        </w:rPr>
      </w:pPr>
      <w:r>
        <w:rPr>
          <w:rFonts w:ascii="宋体" w:hAnsi="宋体" w:hint="eastAsia"/>
          <w:b/>
          <w:kern w:val="0"/>
          <w:szCs w:val="21"/>
        </w:rPr>
        <w:lastRenderedPageBreak/>
        <w:t>理论部分</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第一篇内科学绪论（自学）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hint="eastAsia"/>
          <w:kern w:val="0"/>
          <w:szCs w:val="21"/>
        </w:rPr>
        <w:t>内科学的范围、内容、进展，内科疾病的诊断，学习内科学的要求和方法。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了解内科学是临床医学的基础，内科学的范围、内容、学习方法和发展，内科疾病的诊断与进展。</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第二篇呼吸系统疾病</w:t>
      </w:r>
    </w:p>
    <w:p w:rsidR="003717A0" w:rsidRDefault="003717A0">
      <w:pPr>
        <w:pStyle w:val="12"/>
        <w:numPr>
          <w:ilvl w:val="0"/>
          <w:numId w:val="456"/>
        </w:numPr>
        <w:jc w:val="center"/>
        <w:rPr>
          <w:rFonts w:ascii="宋体"/>
          <w:b/>
          <w:kern w:val="0"/>
          <w:szCs w:val="21"/>
        </w:rPr>
      </w:pPr>
      <w:r>
        <w:rPr>
          <w:rFonts w:ascii="宋体" w:hAnsi="宋体" w:hint="eastAsia"/>
          <w:b/>
          <w:kern w:val="0"/>
          <w:szCs w:val="21"/>
        </w:rPr>
        <w:t>总论（自学）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150" w:firstLine="315"/>
        <w:rPr>
          <w:rFonts w:ascii="宋体"/>
          <w:kern w:val="0"/>
          <w:szCs w:val="21"/>
        </w:rPr>
      </w:pPr>
      <w:r>
        <w:rPr>
          <w:rFonts w:ascii="宋体" w:hAnsi="宋体"/>
          <w:kern w:val="0"/>
          <w:szCs w:val="21"/>
        </w:rPr>
        <w:t>1</w:t>
      </w:r>
      <w:r>
        <w:rPr>
          <w:rFonts w:ascii="宋体" w:hAnsi="宋体" w:hint="eastAsia"/>
          <w:kern w:val="0"/>
          <w:szCs w:val="21"/>
        </w:rPr>
        <w:t>、概述呼吸系统疾病的发病率、病死率上升情况及主要原因。</w:t>
      </w:r>
    </w:p>
    <w:p w:rsidR="003717A0" w:rsidRDefault="003717A0">
      <w:pPr>
        <w:pStyle w:val="12"/>
        <w:ind w:firstLineChars="150" w:firstLine="315"/>
        <w:rPr>
          <w:rFonts w:ascii="宋体"/>
          <w:kern w:val="0"/>
          <w:szCs w:val="21"/>
        </w:rPr>
      </w:pPr>
      <w:r>
        <w:rPr>
          <w:rFonts w:ascii="宋体" w:hAnsi="宋体"/>
          <w:kern w:val="0"/>
          <w:szCs w:val="21"/>
        </w:rPr>
        <w:t>2</w:t>
      </w:r>
      <w:r>
        <w:rPr>
          <w:rFonts w:ascii="宋体" w:hAnsi="宋体" w:hint="eastAsia"/>
          <w:kern w:val="0"/>
          <w:szCs w:val="21"/>
        </w:rPr>
        <w:t>、讲述呼吸系统四大病谱：炎症、</w:t>
      </w:r>
      <w:r>
        <w:rPr>
          <w:rFonts w:ascii="宋体" w:hAnsi="宋体"/>
          <w:kern w:val="0"/>
          <w:szCs w:val="21"/>
        </w:rPr>
        <w:t>COPD</w:t>
      </w:r>
      <w:r>
        <w:rPr>
          <w:rFonts w:ascii="宋体" w:hAnsi="宋体" w:hint="eastAsia"/>
          <w:kern w:val="0"/>
          <w:szCs w:val="21"/>
        </w:rPr>
        <w:t>、肿瘤、间质疾病及其在内科疾病中的地位。</w:t>
      </w:r>
    </w:p>
    <w:p w:rsidR="003717A0" w:rsidRDefault="003717A0">
      <w:pPr>
        <w:pStyle w:val="12"/>
        <w:ind w:firstLineChars="150" w:firstLine="315"/>
        <w:rPr>
          <w:rFonts w:ascii="宋体"/>
          <w:kern w:val="0"/>
          <w:szCs w:val="21"/>
        </w:rPr>
      </w:pPr>
      <w:r>
        <w:rPr>
          <w:rFonts w:ascii="宋体" w:hAnsi="宋体"/>
          <w:kern w:val="0"/>
          <w:szCs w:val="21"/>
        </w:rPr>
        <w:t>3</w:t>
      </w:r>
      <w:r>
        <w:rPr>
          <w:rFonts w:ascii="宋体" w:hAnsi="宋体" w:hint="eastAsia"/>
          <w:kern w:val="0"/>
          <w:szCs w:val="21"/>
        </w:rPr>
        <w:t>、简述过去十年在防治呼吸系统疾病方面取得的重大成就和所面临严重的防治任务。</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150" w:firstLine="315"/>
        <w:rPr>
          <w:rFonts w:ascii="宋体"/>
          <w:kern w:val="0"/>
          <w:szCs w:val="21"/>
        </w:rPr>
      </w:pPr>
      <w:r>
        <w:rPr>
          <w:rFonts w:ascii="宋体" w:hAnsi="宋体"/>
          <w:kern w:val="0"/>
          <w:szCs w:val="21"/>
        </w:rPr>
        <w:t>1</w:t>
      </w:r>
      <w:r>
        <w:rPr>
          <w:rFonts w:ascii="宋体" w:hAnsi="宋体" w:hint="eastAsia"/>
          <w:kern w:val="0"/>
          <w:szCs w:val="21"/>
        </w:rPr>
        <w:t>、了解呼吸系统疾病常见病发病率和病死率有明显增加趋势及其原因。</w:t>
      </w:r>
    </w:p>
    <w:p w:rsidR="003717A0" w:rsidRDefault="003717A0">
      <w:pPr>
        <w:pStyle w:val="12"/>
        <w:ind w:firstLineChars="150" w:firstLine="315"/>
        <w:rPr>
          <w:rFonts w:ascii="宋体"/>
          <w:kern w:val="0"/>
          <w:szCs w:val="21"/>
        </w:rPr>
      </w:pPr>
      <w:r>
        <w:rPr>
          <w:rFonts w:ascii="宋体" w:hAnsi="宋体"/>
          <w:kern w:val="0"/>
          <w:szCs w:val="21"/>
        </w:rPr>
        <w:t>2</w:t>
      </w:r>
      <w:r>
        <w:rPr>
          <w:rFonts w:ascii="宋体" w:hAnsi="宋体" w:hint="eastAsia"/>
          <w:kern w:val="0"/>
          <w:szCs w:val="21"/>
        </w:rPr>
        <w:t>、熟悉呼吸系统的解剖和生理。</w:t>
      </w:r>
    </w:p>
    <w:p w:rsidR="003717A0" w:rsidRDefault="003717A0">
      <w:pPr>
        <w:pStyle w:val="12"/>
        <w:ind w:firstLineChars="150" w:firstLine="315"/>
        <w:rPr>
          <w:rFonts w:ascii="宋体"/>
          <w:kern w:val="0"/>
          <w:szCs w:val="21"/>
        </w:rPr>
      </w:pPr>
      <w:r>
        <w:rPr>
          <w:rFonts w:ascii="宋体" w:hAnsi="宋体"/>
          <w:kern w:val="0"/>
          <w:szCs w:val="21"/>
        </w:rPr>
        <w:t>3</w:t>
      </w:r>
      <w:r>
        <w:rPr>
          <w:rFonts w:ascii="宋体" w:hAnsi="宋体" w:hint="eastAsia"/>
          <w:kern w:val="0"/>
          <w:szCs w:val="21"/>
        </w:rPr>
        <w:t>、熟悉呼吸系统疾病的主要病因、临床表现和诊断方法。</w:t>
      </w:r>
    </w:p>
    <w:p w:rsidR="003717A0" w:rsidRDefault="003717A0">
      <w:pPr>
        <w:pStyle w:val="12"/>
        <w:ind w:firstLineChars="150" w:firstLine="315"/>
        <w:rPr>
          <w:rFonts w:ascii="宋体"/>
          <w:kern w:val="0"/>
          <w:szCs w:val="21"/>
        </w:rPr>
      </w:pPr>
      <w:r>
        <w:rPr>
          <w:rFonts w:ascii="宋体" w:hAnsi="宋体"/>
          <w:kern w:val="0"/>
          <w:szCs w:val="21"/>
        </w:rPr>
        <w:t>4</w:t>
      </w:r>
      <w:r>
        <w:rPr>
          <w:rFonts w:ascii="宋体" w:hAnsi="宋体" w:hint="eastAsia"/>
          <w:kern w:val="0"/>
          <w:szCs w:val="21"/>
        </w:rPr>
        <w:t>、了解肺功能检查的主要内容及其临床意义。</w:t>
      </w:r>
    </w:p>
    <w:p w:rsidR="003717A0" w:rsidRDefault="003717A0">
      <w:pPr>
        <w:pStyle w:val="12"/>
        <w:ind w:firstLineChars="150" w:firstLine="315"/>
        <w:rPr>
          <w:rFonts w:ascii="宋体"/>
          <w:kern w:val="0"/>
          <w:szCs w:val="21"/>
        </w:rPr>
      </w:pPr>
      <w:r>
        <w:rPr>
          <w:rFonts w:ascii="宋体" w:hAnsi="宋体"/>
          <w:kern w:val="0"/>
          <w:szCs w:val="21"/>
        </w:rPr>
        <w:t>5</w:t>
      </w:r>
      <w:r>
        <w:rPr>
          <w:rFonts w:ascii="宋体" w:hAnsi="宋体" w:hint="eastAsia"/>
          <w:kern w:val="0"/>
          <w:szCs w:val="21"/>
        </w:rPr>
        <w:t>、了解呼吸系统疾病的医疗、预防和科研进展。</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第二章急性上呼吸道感染和急性气管支气管炎（自学）</w:t>
      </w:r>
    </w:p>
    <w:p w:rsidR="003717A0" w:rsidRDefault="003717A0">
      <w:pPr>
        <w:pStyle w:val="12"/>
        <w:rPr>
          <w:rFonts w:ascii="宋体"/>
          <w:b/>
          <w:kern w:val="0"/>
          <w:szCs w:val="21"/>
        </w:rPr>
      </w:pPr>
      <w:r>
        <w:rPr>
          <w:rFonts w:ascii="宋体" w:hAnsi="宋体" w:hint="eastAsia"/>
          <w:b/>
          <w:kern w:val="0"/>
          <w:szCs w:val="21"/>
        </w:rPr>
        <w:t>第一节急性上呼吸道感染</w:t>
      </w:r>
    </w:p>
    <w:p w:rsidR="003717A0" w:rsidRDefault="003717A0">
      <w:pPr>
        <w:pStyle w:val="12"/>
        <w:rPr>
          <w:rFonts w:ascii="宋体"/>
          <w:b/>
          <w:kern w:val="0"/>
          <w:szCs w:val="21"/>
        </w:rPr>
      </w:pPr>
      <w:r>
        <w:rPr>
          <w:rFonts w:ascii="宋体" w:hAnsi="宋体" w:hint="eastAsia"/>
          <w:b/>
          <w:kern w:val="0"/>
          <w:szCs w:val="21"/>
        </w:rPr>
        <w:t>第二节急性气管</w:t>
      </w:r>
      <w:r>
        <w:rPr>
          <w:rFonts w:ascii="宋体"/>
          <w:b/>
          <w:kern w:val="0"/>
          <w:szCs w:val="21"/>
        </w:rPr>
        <w:t>-</w:t>
      </w:r>
      <w:r>
        <w:rPr>
          <w:rFonts w:ascii="宋体" w:hAnsi="宋体" w:hint="eastAsia"/>
          <w:b/>
          <w:kern w:val="0"/>
          <w:szCs w:val="21"/>
        </w:rPr>
        <w:t>支气管炎</w:t>
      </w:r>
    </w:p>
    <w:p w:rsidR="003717A0" w:rsidRDefault="003717A0">
      <w:pPr>
        <w:pStyle w:val="12"/>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第三章慢性支气管炎、慢性阻塞性肺疾病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、流行病学、病因及发病机制吸烟、职业性粉尘和化学物质、空气污染、感染、蛋白酶</w:t>
      </w:r>
      <w:r>
        <w:rPr>
          <w:rFonts w:ascii="宋体" w:hAnsi="宋体"/>
          <w:kern w:val="0"/>
          <w:szCs w:val="21"/>
        </w:rPr>
        <w:t>—</w:t>
      </w:r>
      <w:r>
        <w:rPr>
          <w:rFonts w:ascii="宋体" w:hAnsi="宋体" w:hint="eastAsia"/>
          <w:kern w:val="0"/>
          <w:szCs w:val="21"/>
        </w:rPr>
        <w:t>抗蛋白酶失衡。</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、病理及病理生理</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）症状：慢性咳嗽、咳痰，逐渐加重的呼吸困难。体征：肺气肿征。</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）实验室及特殊检查：肺功能检查，胸部</w:t>
      </w:r>
      <w:r>
        <w:rPr>
          <w:rFonts w:ascii="宋体" w:hAnsi="宋体"/>
          <w:kern w:val="0"/>
          <w:szCs w:val="21"/>
        </w:rPr>
        <w:t>X</w:t>
      </w:r>
      <w:r>
        <w:rPr>
          <w:rFonts w:ascii="宋体" w:hAnsi="宋体" w:hint="eastAsia"/>
          <w:kern w:val="0"/>
          <w:szCs w:val="21"/>
        </w:rPr>
        <w:t>线、</w:t>
      </w:r>
      <w:r>
        <w:rPr>
          <w:rFonts w:ascii="宋体" w:hAnsi="宋体"/>
          <w:kern w:val="0"/>
          <w:szCs w:val="21"/>
        </w:rPr>
        <w:t>CT</w:t>
      </w:r>
      <w:r>
        <w:rPr>
          <w:rFonts w:ascii="宋体" w:hAnsi="宋体" w:hint="eastAsia"/>
          <w:kern w:val="0"/>
          <w:szCs w:val="21"/>
        </w:rPr>
        <w:t>，血气分析及其他。</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、诊断根据高危因素、病史、症状、体征及肺功能检查，综合分析确定，分</w:t>
      </w:r>
      <w:r>
        <w:rPr>
          <w:rFonts w:ascii="宋体" w:hAnsi="宋体"/>
          <w:kern w:val="0"/>
          <w:szCs w:val="21"/>
        </w:rPr>
        <w:t>5</w:t>
      </w:r>
      <w:r>
        <w:rPr>
          <w:rFonts w:ascii="宋体" w:hAnsi="宋体" w:hint="eastAsia"/>
          <w:kern w:val="0"/>
          <w:szCs w:val="21"/>
        </w:rPr>
        <w:t>级。</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、鉴别诊断同支气管哮喘、支气管扩张、肺结核、肺癌的鉴别。</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、并发症呼吸衰竭、自发性气胸、慢性肺源性心脏病。</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、防治稳定期治疗，急性发作期治疗，治疗指南。</w:t>
      </w:r>
    </w:p>
    <w:p w:rsidR="003717A0" w:rsidRDefault="003717A0">
      <w:pPr>
        <w:pStyle w:val="12"/>
        <w:rPr>
          <w:rFonts w:ascii="宋体"/>
          <w:b/>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w:t>
      </w:r>
      <w:r>
        <w:rPr>
          <w:rFonts w:ascii="宋体" w:hAnsi="宋体" w:hint="eastAsia"/>
          <w:szCs w:val="21"/>
        </w:rPr>
        <w:t>选择</w:t>
      </w:r>
      <w:r>
        <w:rPr>
          <w:rFonts w:ascii="宋体" w:hAnsi="宋体"/>
          <w:szCs w:val="21"/>
        </w:rPr>
        <w:t>1</w:t>
      </w:r>
      <w:r>
        <w:rPr>
          <w:rFonts w:ascii="宋体" w:hAnsi="宋体" w:hint="eastAsia"/>
          <w:szCs w:val="21"/>
        </w:rPr>
        <w:t>－</w:t>
      </w:r>
      <w:r>
        <w:rPr>
          <w:rFonts w:ascii="宋体" w:hAnsi="宋体"/>
          <w:szCs w:val="21"/>
        </w:rPr>
        <w:t>2</w:t>
      </w:r>
      <w:r>
        <w:rPr>
          <w:rFonts w:ascii="宋体" w:hAnsi="宋体" w:hint="eastAsia"/>
          <w:szCs w:val="21"/>
        </w:rPr>
        <w:t>个典型</w:t>
      </w:r>
      <w:r>
        <w:rPr>
          <w:rFonts w:ascii="宋体" w:hAnsi="宋体" w:hint="eastAsia"/>
          <w:kern w:val="0"/>
          <w:szCs w:val="21"/>
        </w:rPr>
        <w:t>慢性支气管炎</w:t>
      </w:r>
      <w:r>
        <w:rPr>
          <w:rFonts w:ascii="宋体" w:hAnsi="宋体" w:hint="eastAsia"/>
          <w:szCs w:val="21"/>
        </w:rPr>
        <w:t>病例进行示教，以加强对课堂教学内容的认识。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、慢性阻塞性肺疾病的症状、体征、诊断及鉴别诊断。必要的辅助检查。</w:t>
      </w:r>
      <w:r>
        <w:rPr>
          <w:rFonts w:ascii="宋体" w:hAnsi="宋体" w:hint="eastAsia"/>
          <w:szCs w:val="21"/>
        </w:rPr>
        <w:t>典型病例示教，包括</w:t>
      </w:r>
      <w:r>
        <w:rPr>
          <w:rFonts w:ascii="宋体" w:hAnsi="宋体"/>
          <w:szCs w:val="21"/>
        </w:rPr>
        <w:t>X</w:t>
      </w:r>
      <w:r>
        <w:rPr>
          <w:rFonts w:ascii="宋体" w:hAnsi="宋体" w:hint="eastAsia"/>
          <w:szCs w:val="21"/>
        </w:rPr>
        <w:t>线胸片、肺功能等。</w:t>
      </w:r>
      <w:r>
        <w:rPr>
          <w:rFonts w:ascii="宋体" w:hAnsi="宋体" w:hint="eastAsia"/>
          <w:kern w:val="0"/>
          <w:szCs w:val="21"/>
        </w:rPr>
        <w:t>掌握治疗原则。</w:t>
      </w:r>
    </w:p>
    <w:p w:rsidR="003717A0" w:rsidRDefault="003717A0">
      <w:pPr>
        <w:pStyle w:val="12"/>
        <w:rPr>
          <w:rFonts w:ascii="宋体"/>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、掌握慢性阻塞性肺疾病的临床表现、分级、实验室及特殊检查、诊断、鉴别诊断、并发症及治疗。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、了解本病的概念、流行病学、病因、病理、病理生理、发病机制及预防</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第四章支气管哮喘</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、病因及发病机制免疫学机制、气道炎症、气道高反应性及神经机制。</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、临床表现发作性呼气性呼吸困难或咳嗽，胸部过度充气，广泛哮鸣音、呼气音延长。</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、实验室和其他检查痰液检查，呼吸功能检查，血气分析，胸部</w:t>
      </w:r>
      <w:r>
        <w:rPr>
          <w:rFonts w:ascii="宋体" w:hAnsi="宋体"/>
          <w:kern w:val="0"/>
          <w:szCs w:val="21"/>
        </w:rPr>
        <w:t>X</w:t>
      </w:r>
      <w:r>
        <w:rPr>
          <w:rFonts w:ascii="宋体" w:hAnsi="宋体" w:hint="eastAsia"/>
          <w:kern w:val="0"/>
          <w:szCs w:val="21"/>
        </w:rPr>
        <w:t>线，特异性变应原的测定。</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、诊断及鉴别诊断根据症状、体征、肺功能检查并排除其他疾病诊断，与心源性哮喘、喘息型慢性支气管炎鉴别。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、治疗脱离变应原，药物治疗，急性发作期的治疗，哮喘的长期治疗，免疫疗法，治疗指南。</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、预后及预防。</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、病例示教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、使学生掌握血液嗜酸粒细胞，痰液中尖棱晶体，粘液栓和透明珠在哮喘诊断中意义。</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、使学生熟悉哮喘的病情与血气变化的关系，即</w:t>
      </w:r>
      <w:r>
        <w:rPr>
          <w:rFonts w:ascii="宋体" w:hAnsi="宋体"/>
          <w:kern w:val="0"/>
          <w:szCs w:val="21"/>
        </w:rPr>
        <w:t>PH</w:t>
      </w:r>
      <w:r>
        <w:rPr>
          <w:rFonts w:ascii="宋体" w:hAnsi="宋体" w:hint="eastAsia"/>
          <w:kern w:val="0"/>
          <w:szCs w:val="21"/>
        </w:rPr>
        <w:t>增高，</w:t>
      </w:r>
      <w:r>
        <w:rPr>
          <w:rFonts w:ascii="宋体" w:hAnsi="宋体"/>
          <w:kern w:val="0"/>
          <w:szCs w:val="21"/>
        </w:rPr>
        <w:t>PaCO2</w:t>
      </w:r>
      <w:r>
        <w:rPr>
          <w:rFonts w:ascii="宋体" w:hAnsi="宋体" w:hint="eastAsia"/>
          <w:kern w:val="0"/>
          <w:szCs w:val="21"/>
        </w:rPr>
        <w:t>降低，</w:t>
      </w:r>
      <w:r>
        <w:rPr>
          <w:rFonts w:ascii="宋体" w:hAnsi="宋体"/>
          <w:kern w:val="0"/>
          <w:szCs w:val="21"/>
        </w:rPr>
        <w:t>PaO2</w:t>
      </w:r>
      <w:r>
        <w:rPr>
          <w:rFonts w:ascii="宋体" w:hAnsi="宋体" w:hint="eastAsia"/>
          <w:kern w:val="0"/>
          <w:szCs w:val="21"/>
        </w:rPr>
        <w:t>变化不明显，提示为轻度哮喘；</w:t>
      </w:r>
      <w:r>
        <w:rPr>
          <w:rFonts w:ascii="宋体" w:hAnsi="宋体"/>
          <w:kern w:val="0"/>
          <w:szCs w:val="21"/>
        </w:rPr>
        <w:t>pH</w:t>
      </w:r>
      <w:r>
        <w:rPr>
          <w:rFonts w:ascii="宋体" w:hAnsi="宋体" w:hint="eastAsia"/>
          <w:kern w:val="0"/>
          <w:szCs w:val="21"/>
        </w:rPr>
        <w:t>正常，</w:t>
      </w:r>
      <w:r>
        <w:rPr>
          <w:rFonts w:ascii="宋体" w:hAnsi="宋体"/>
          <w:kern w:val="0"/>
          <w:szCs w:val="21"/>
        </w:rPr>
        <w:t>PaCO2</w:t>
      </w:r>
      <w:r>
        <w:rPr>
          <w:rFonts w:ascii="宋体" w:hAnsi="宋体" w:hint="eastAsia"/>
          <w:kern w:val="0"/>
          <w:szCs w:val="21"/>
        </w:rPr>
        <w:t>正常、</w:t>
      </w:r>
      <w:r>
        <w:rPr>
          <w:rFonts w:ascii="宋体" w:hAnsi="宋体"/>
          <w:kern w:val="0"/>
          <w:szCs w:val="21"/>
        </w:rPr>
        <w:t>PaO2</w:t>
      </w:r>
      <w:r>
        <w:rPr>
          <w:rFonts w:ascii="宋体" w:hAnsi="宋体" w:hint="eastAsia"/>
          <w:kern w:val="0"/>
          <w:szCs w:val="21"/>
        </w:rPr>
        <w:t>降低，提示为中度哮喘；</w:t>
      </w:r>
      <w:r>
        <w:rPr>
          <w:rFonts w:ascii="宋体" w:hAnsi="宋体"/>
          <w:kern w:val="0"/>
          <w:szCs w:val="21"/>
        </w:rPr>
        <w:t>pH</w:t>
      </w:r>
      <w:r>
        <w:rPr>
          <w:rFonts w:ascii="宋体" w:hAnsi="宋体" w:hint="eastAsia"/>
          <w:kern w:val="0"/>
          <w:szCs w:val="21"/>
        </w:rPr>
        <w:t>降低，</w:t>
      </w:r>
      <w:r>
        <w:rPr>
          <w:rFonts w:ascii="宋体" w:hAnsi="宋体"/>
          <w:kern w:val="0"/>
          <w:szCs w:val="21"/>
        </w:rPr>
        <w:t>PaCO2</w:t>
      </w:r>
      <w:r>
        <w:rPr>
          <w:rFonts w:ascii="宋体" w:hAnsi="宋体" w:hint="eastAsia"/>
          <w:kern w:val="0"/>
          <w:szCs w:val="21"/>
        </w:rPr>
        <w:t>升高，</w:t>
      </w:r>
      <w:r>
        <w:rPr>
          <w:rFonts w:ascii="宋体" w:hAnsi="宋体"/>
          <w:kern w:val="0"/>
          <w:szCs w:val="21"/>
        </w:rPr>
        <w:t>PaO2</w:t>
      </w:r>
      <w:r>
        <w:rPr>
          <w:rFonts w:ascii="宋体" w:hAnsi="宋体" w:hint="eastAsia"/>
          <w:kern w:val="0"/>
          <w:szCs w:val="21"/>
        </w:rPr>
        <w:t>明显降低，提示为重度哮喘。</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、使学生掌握肺功能</w:t>
      </w:r>
      <w:r>
        <w:rPr>
          <w:rFonts w:ascii="宋体" w:hAnsi="宋体"/>
          <w:kern w:val="0"/>
          <w:szCs w:val="21"/>
        </w:rPr>
        <w:t>FEV1</w:t>
      </w:r>
      <w:r>
        <w:rPr>
          <w:rFonts w:ascii="宋体" w:hAnsi="宋体" w:hint="eastAsia"/>
          <w:kern w:val="0"/>
          <w:szCs w:val="21"/>
        </w:rPr>
        <w:t>、</w:t>
      </w:r>
      <w:r>
        <w:rPr>
          <w:rFonts w:ascii="宋体" w:hAnsi="宋体"/>
          <w:kern w:val="0"/>
          <w:szCs w:val="21"/>
        </w:rPr>
        <w:t>FEV1/FVC%</w:t>
      </w:r>
      <w:r>
        <w:rPr>
          <w:rFonts w:ascii="宋体" w:hAnsi="宋体" w:hint="eastAsia"/>
          <w:kern w:val="0"/>
          <w:szCs w:val="21"/>
        </w:rPr>
        <w:t>、</w:t>
      </w:r>
      <w:r>
        <w:rPr>
          <w:rFonts w:ascii="宋体" w:hAnsi="宋体"/>
          <w:kern w:val="0"/>
          <w:szCs w:val="21"/>
        </w:rPr>
        <w:t>PEF</w:t>
      </w:r>
      <w:r>
        <w:rPr>
          <w:rFonts w:ascii="宋体" w:hAnsi="宋体" w:hint="eastAsia"/>
          <w:kern w:val="0"/>
          <w:szCs w:val="21"/>
        </w:rPr>
        <w:t>、气道反应性变化等在哮喘诊断中的意义。</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、使学生了解皮肤过敏试验，特异性过敏原试验对哮喘的诊断和治疗的意义。</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、掌握支气管哮喘的临床表现、实验室检查及其他检查、诊断、鉴别诊断及治疗。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、了解本病的概念、流行病学、病因及发病机制、预后及预防。</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第五章支气管扩张症</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、病因及发病机制支气管</w:t>
      </w:r>
      <w:r>
        <w:rPr>
          <w:rFonts w:ascii="宋体" w:hAnsi="宋体"/>
          <w:kern w:val="0"/>
          <w:szCs w:val="21"/>
        </w:rPr>
        <w:t>—</w:t>
      </w:r>
      <w:r>
        <w:rPr>
          <w:rFonts w:ascii="宋体" w:hAnsi="宋体" w:hint="eastAsia"/>
          <w:kern w:val="0"/>
          <w:szCs w:val="21"/>
        </w:rPr>
        <w:t>肺感染、支气管阻塞、先天发育障碍和遗传因素、全身性疾病。</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、病理、病理生理</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、临床表现慢性咳嗽、大量脓痰、反复咯血，感染中毒症状，下胸部、背部湿啰音。</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、鉴别诊断与慢支、肺脓肿鉴别。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、治疗内科治疗：引流、抗感染；手术治疗；咯血的处理。</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、病例示教</w:t>
      </w:r>
    </w:p>
    <w:p w:rsidR="003717A0" w:rsidRDefault="003717A0">
      <w:pPr>
        <w:pStyle w:val="12"/>
        <w:ind w:firstLineChars="200" w:firstLine="420"/>
        <w:rPr>
          <w:rFonts w:ascii="宋体"/>
          <w:szCs w:val="21"/>
        </w:rPr>
      </w:pPr>
      <w:r>
        <w:rPr>
          <w:rFonts w:ascii="宋体" w:hAnsi="宋体"/>
          <w:szCs w:val="21"/>
        </w:rPr>
        <w:t>2</w:t>
      </w:r>
      <w:r>
        <w:rPr>
          <w:rFonts w:ascii="宋体" w:hAnsi="宋体" w:hint="eastAsia"/>
          <w:szCs w:val="21"/>
        </w:rPr>
        <w:t>、支气管扩张的临床表现、影像学表现、诊断。</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、掌握支气管扩张的临床表现、诊断和治疗。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、了解本病的概念、病因及发病机制、鉴别诊断和预防。</w:t>
      </w:r>
    </w:p>
    <w:p w:rsidR="003717A0" w:rsidRDefault="003717A0">
      <w:pPr>
        <w:pStyle w:val="12"/>
        <w:ind w:firstLineChars="200" w:firstLine="422"/>
        <w:rPr>
          <w:rFonts w:ascii="宋体"/>
          <w:b/>
          <w:kern w:val="0"/>
          <w:szCs w:val="21"/>
        </w:rPr>
      </w:pPr>
    </w:p>
    <w:p w:rsidR="003717A0" w:rsidRDefault="003717A0">
      <w:pPr>
        <w:pStyle w:val="12"/>
        <w:ind w:firstLineChars="49" w:firstLine="103"/>
        <w:jc w:val="center"/>
        <w:rPr>
          <w:rFonts w:ascii="宋体"/>
          <w:b/>
          <w:kern w:val="0"/>
          <w:szCs w:val="21"/>
        </w:rPr>
      </w:pPr>
      <w:r>
        <w:rPr>
          <w:rFonts w:ascii="宋体" w:hAnsi="宋体" w:hint="eastAsia"/>
          <w:b/>
          <w:kern w:val="0"/>
          <w:szCs w:val="21"/>
        </w:rPr>
        <w:t>第六章肺部感染性疾病</w:t>
      </w:r>
    </w:p>
    <w:p w:rsidR="003717A0" w:rsidRDefault="003717A0">
      <w:pPr>
        <w:pStyle w:val="12"/>
        <w:rPr>
          <w:rFonts w:ascii="宋体"/>
          <w:b/>
          <w:kern w:val="0"/>
          <w:szCs w:val="21"/>
        </w:rPr>
      </w:pPr>
      <w:r>
        <w:rPr>
          <w:rFonts w:ascii="宋体" w:hAnsi="宋体" w:hint="eastAsia"/>
          <w:b/>
          <w:kern w:val="0"/>
          <w:szCs w:val="21"/>
        </w:rPr>
        <w:t>第一节肺炎概述</w:t>
      </w:r>
    </w:p>
    <w:p w:rsidR="003717A0" w:rsidRDefault="003717A0">
      <w:pPr>
        <w:pStyle w:val="12"/>
        <w:rPr>
          <w:rFonts w:ascii="宋体"/>
          <w:b/>
          <w:kern w:val="0"/>
          <w:szCs w:val="21"/>
        </w:rPr>
      </w:pPr>
      <w:r>
        <w:rPr>
          <w:rFonts w:ascii="宋体" w:hAnsi="宋体" w:hint="eastAsia"/>
          <w:b/>
          <w:kern w:val="0"/>
          <w:szCs w:val="21"/>
        </w:rPr>
        <w:lastRenderedPageBreak/>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、病因、发病机制和病理。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、分类解剖分类、病因分类、环境分类。</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、临床表现发热、咳嗽、咳痰、胸痛。肺实变时有典型体征。</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、诊断与鉴别诊断确定肺炎、评估严重程度，确定病原体。与肺结核、肺癌、肺脓肿、肺栓塞等鉴别。</w:t>
      </w:r>
    </w:p>
    <w:p w:rsidR="003717A0" w:rsidRDefault="003717A0">
      <w:pPr>
        <w:pStyle w:val="12"/>
        <w:ind w:firstLineChars="200" w:firstLine="420"/>
        <w:rPr>
          <w:rFonts w:ascii="宋体"/>
          <w:b/>
          <w:kern w:val="0"/>
          <w:szCs w:val="21"/>
        </w:rPr>
      </w:pPr>
      <w:r>
        <w:rPr>
          <w:rFonts w:ascii="宋体" w:hAnsi="宋体"/>
          <w:kern w:val="0"/>
          <w:szCs w:val="21"/>
        </w:rPr>
        <w:t>5</w:t>
      </w:r>
      <w:r>
        <w:rPr>
          <w:rFonts w:ascii="宋体" w:hAnsi="宋体" w:hint="eastAsia"/>
          <w:kern w:val="0"/>
          <w:szCs w:val="21"/>
        </w:rPr>
        <w:t>、治疗选择抗菌药物，抗菌药物治疗，疗效评价。</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、病例示教。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、掌握收集痰液，各种分泌物及血液标本送检菌和培养的方法，能够在显微镜下分辨出真菌孢子和菌丝。</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、对肺炎球菌肺炎的大片实变</w:t>
      </w:r>
      <w:r>
        <w:rPr>
          <w:rFonts w:ascii="宋体" w:hAnsi="宋体"/>
          <w:kern w:val="0"/>
          <w:szCs w:val="21"/>
        </w:rPr>
        <w:t>X</w:t>
      </w:r>
      <w:r>
        <w:rPr>
          <w:rFonts w:ascii="宋体" w:hAnsi="宋体" w:hint="eastAsia"/>
          <w:kern w:val="0"/>
          <w:szCs w:val="21"/>
        </w:rPr>
        <w:t>线阴影、支气管肺炎的小片状阴影、间质肺炎的点状和网格状阴影，肺部</w:t>
      </w:r>
      <w:r>
        <w:rPr>
          <w:rFonts w:ascii="宋体" w:hAnsi="宋体"/>
          <w:kern w:val="0"/>
          <w:szCs w:val="21"/>
        </w:rPr>
        <w:t>X</w:t>
      </w:r>
      <w:r>
        <w:rPr>
          <w:rFonts w:ascii="宋体" w:hAnsi="宋体" w:hint="eastAsia"/>
          <w:kern w:val="0"/>
          <w:szCs w:val="21"/>
        </w:rPr>
        <w:t>线表现能作出诊断。</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、掌握肺炎的分类、临床表现、诊断、鉴别诊断及治疗。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、了解本病的病因、发病机制和病理。</w:t>
      </w:r>
    </w:p>
    <w:p w:rsidR="003717A0" w:rsidRDefault="003717A0">
      <w:pPr>
        <w:pStyle w:val="12"/>
        <w:ind w:firstLineChars="200" w:firstLine="420"/>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第二节细菌性肺炎（肺炎球菌肺炎）</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、病因和发病机制肺炎球菌，分充血期、红色肝样变期、灰色肝变期及消散期。</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、临床表现上感前驱症状，起病急骤，发热、寒战、咳嗽、咳铁锈色痰，病情发展出现肺实变体征。</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、肺炎球菌肺炎实验室检查</w:t>
      </w:r>
    </w:p>
    <w:p w:rsidR="003717A0" w:rsidRDefault="003717A0">
      <w:pPr>
        <w:pStyle w:val="12"/>
        <w:ind w:firstLineChars="200" w:firstLine="420"/>
        <w:rPr>
          <w:rFonts w:ascii="宋体"/>
          <w:kern w:val="0"/>
          <w:szCs w:val="21"/>
        </w:rPr>
      </w:pPr>
      <w:r>
        <w:rPr>
          <w:rFonts w:ascii="宋体" w:hAnsi="宋体" w:hint="eastAsia"/>
          <w:kern w:val="0"/>
          <w:szCs w:val="21"/>
        </w:rPr>
        <w:t>白细胞、中粒细胞增高，可有核左移；痰涂片；痰培养；</w:t>
      </w:r>
      <w:r>
        <w:rPr>
          <w:rFonts w:ascii="宋体" w:hAnsi="宋体"/>
          <w:kern w:val="0"/>
          <w:szCs w:val="21"/>
        </w:rPr>
        <w:t>PCR</w:t>
      </w:r>
      <w:r>
        <w:rPr>
          <w:rFonts w:ascii="宋体" w:hAnsi="宋体" w:hint="eastAsia"/>
          <w:kern w:val="0"/>
          <w:szCs w:val="21"/>
        </w:rPr>
        <w:t>及荧光标记抗体检查。</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w:t>
      </w:r>
      <w:r>
        <w:rPr>
          <w:rFonts w:ascii="宋体" w:hAnsi="宋体"/>
          <w:kern w:val="0"/>
          <w:szCs w:val="21"/>
        </w:rPr>
        <w:t>X</w:t>
      </w:r>
      <w:r>
        <w:rPr>
          <w:rFonts w:ascii="宋体" w:hAnsi="宋体" w:hint="eastAsia"/>
          <w:kern w:val="0"/>
          <w:szCs w:val="21"/>
        </w:rPr>
        <w:t>线肺纹理增粗、浸润影或实变影。</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、诊断和鉴别诊断典型症状与体征和胸部</w:t>
      </w:r>
      <w:r>
        <w:rPr>
          <w:rFonts w:ascii="宋体" w:hAnsi="宋体"/>
          <w:kern w:val="0"/>
          <w:szCs w:val="21"/>
        </w:rPr>
        <w:t>X</w:t>
      </w:r>
      <w:r>
        <w:rPr>
          <w:rFonts w:ascii="宋体" w:hAnsi="宋体" w:hint="eastAsia"/>
          <w:kern w:val="0"/>
          <w:szCs w:val="21"/>
        </w:rPr>
        <w:t>线确诊。与肺结核、其他细菌性肺炎、肺脓肿及肺癌进行鉴别。</w:t>
      </w:r>
      <w:r>
        <w:rPr>
          <w:rFonts w:ascii="宋体" w:hAnsi="宋体"/>
          <w:kern w:val="0"/>
          <w:szCs w:val="21"/>
        </w:rPr>
        <w:t>6</w:t>
      </w:r>
      <w:r>
        <w:rPr>
          <w:rFonts w:ascii="宋体" w:hAnsi="宋体" w:hint="eastAsia"/>
          <w:kern w:val="0"/>
          <w:szCs w:val="21"/>
        </w:rPr>
        <w:t>、治疗抗菌药物治疗，支持疗法，并发症的处理，治疗指南。</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、临床表现，包括休克性肺炎的临床表现。</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、实验室及</w:t>
      </w:r>
      <w:r>
        <w:rPr>
          <w:rFonts w:ascii="宋体" w:hAnsi="宋体"/>
          <w:kern w:val="0"/>
          <w:szCs w:val="21"/>
        </w:rPr>
        <w:t>X</w:t>
      </w:r>
      <w:r>
        <w:rPr>
          <w:rFonts w:ascii="宋体" w:hAnsi="宋体" w:hint="eastAsia"/>
          <w:kern w:val="0"/>
          <w:szCs w:val="21"/>
        </w:rPr>
        <w:t>线表现。</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、并发症。</w:t>
      </w:r>
    </w:p>
    <w:p w:rsidR="003717A0" w:rsidRDefault="00913B56">
      <w:pPr>
        <w:pStyle w:val="12"/>
        <w:ind w:firstLineChars="150" w:firstLine="315"/>
        <w:rPr>
          <w:rFonts w:ascii="宋体"/>
          <w:kern w:val="0"/>
          <w:szCs w:val="21"/>
        </w:rPr>
      </w:pPr>
      <w:r>
        <w:rPr>
          <w:rFonts w:ascii="宋体" w:hAnsi="宋体" w:hint="eastAsia"/>
          <w:kern w:val="0"/>
          <w:szCs w:val="21"/>
        </w:rPr>
        <w:t xml:space="preserve"> </w:t>
      </w:r>
      <w:r w:rsidR="003717A0">
        <w:rPr>
          <w:rFonts w:ascii="宋体" w:hAnsi="宋体"/>
          <w:kern w:val="0"/>
          <w:szCs w:val="21"/>
        </w:rPr>
        <w:t>6</w:t>
      </w:r>
      <w:r w:rsidR="003717A0">
        <w:rPr>
          <w:rFonts w:ascii="宋体" w:hAnsi="宋体" w:hint="eastAsia"/>
          <w:kern w:val="0"/>
          <w:szCs w:val="21"/>
        </w:rPr>
        <w:t>、诊断及鉴别诊断。</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numPr>
          <w:ilvl w:val="0"/>
          <w:numId w:val="457"/>
        </w:numPr>
        <w:rPr>
          <w:rFonts w:ascii="宋体"/>
          <w:szCs w:val="21"/>
        </w:rPr>
      </w:pPr>
      <w:r>
        <w:rPr>
          <w:rFonts w:ascii="宋体" w:hAnsi="宋体" w:hint="eastAsia"/>
          <w:szCs w:val="21"/>
        </w:rPr>
        <w:t>选择大叶性肺炎病人。</w:t>
      </w:r>
    </w:p>
    <w:p w:rsidR="003717A0" w:rsidRDefault="003717A0">
      <w:pPr>
        <w:pStyle w:val="12"/>
        <w:ind w:left="412"/>
        <w:rPr>
          <w:rFonts w:ascii="宋体"/>
          <w:kern w:val="0"/>
          <w:szCs w:val="21"/>
        </w:rPr>
      </w:pPr>
      <w:r>
        <w:rPr>
          <w:rFonts w:ascii="宋体" w:hAnsi="宋体"/>
          <w:kern w:val="0"/>
          <w:szCs w:val="21"/>
        </w:rPr>
        <w:t>2</w:t>
      </w:r>
      <w:r>
        <w:rPr>
          <w:rFonts w:ascii="宋体" w:hAnsi="宋体" w:hint="eastAsia"/>
          <w:kern w:val="0"/>
          <w:szCs w:val="21"/>
        </w:rPr>
        <w:t>、肺炎球菌肺炎的临床表现、并发症、实验室及</w:t>
      </w:r>
      <w:r>
        <w:rPr>
          <w:rFonts w:ascii="宋体" w:hAnsi="宋体"/>
          <w:kern w:val="0"/>
          <w:szCs w:val="21"/>
        </w:rPr>
        <w:t>X</w:t>
      </w:r>
      <w:r>
        <w:rPr>
          <w:rFonts w:ascii="宋体" w:hAnsi="宋体" w:hint="eastAsia"/>
          <w:kern w:val="0"/>
          <w:szCs w:val="21"/>
        </w:rPr>
        <w:t>线检查、诊断、鉴别诊断。</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、掌握肺炎球菌肺炎的临床表现、并发症、实验室及</w:t>
      </w:r>
      <w:r>
        <w:rPr>
          <w:rFonts w:ascii="宋体" w:hAnsi="宋体"/>
          <w:kern w:val="0"/>
          <w:szCs w:val="21"/>
        </w:rPr>
        <w:t>X</w:t>
      </w:r>
      <w:r>
        <w:rPr>
          <w:rFonts w:ascii="宋体" w:hAnsi="宋体" w:hint="eastAsia"/>
          <w:kern w:val="0"/>
          <w:szCs w:val="21"/>
        </w:rPr>
        <w:t>线检查、诊断、鉴别诊断及治疗。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、了解本病的病因、发病机制。</w:t>
      </w:r>
    </w:p>
    <w:p w:rsidR="003717A0" w:rsidRDefault="003717A0">
      <w:pPr>
        <w:pStyle w:val="12"/>
        <w:rPr>
          <w:rFonts w:ascii="宋体"/>
          <w:kern w:val="0"/>
          <w:szCs w:val="21"/>
        </w:rPr>
      </w:pPr>
    </w:p>
    <w:p w:rsidR="003717A0" w:rsidRDefault="003717A0">
      <w:pPr>
        <w:pStyle w:val="12"/>
        <w:rPr>
          <w:rFonts w:ascii="宋体"/>
          <w:kern w:val="0"/>
          <w:szCs w:val="21"/>
        </w:rPr>
      </w:pPr>
      <w:r>
        <w:rPr>
          <w:rFonts w:ascii="宋体" w:hAnsi="宋体" w:hint="eastAsia"/>
          <w:b/>
          <w:kern w:val="0"/>
          <w:szCs w:val="21"/>
        </w:rPr>
        <w:t>第三节其他病原体所致的肺炎（自学</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hint="eastAsia"/>
          <w:kern w:val="0"/>
          <w:szCs w:val="21"/>
        </w:rPr>
        <w:t>葡萄球菌肺炎、军团菌肺炎、厌氧菌肺炎、支原体肺炎、克雷白杆菌肺炎和传染性非典型肺炎等的临床特点和抗感染的主要药物；肺部真菌感染的主要治疗药物。</w:t>
      </w:r>
    </w:p>
    <w:p w:rsidR="003717A0" w:rsidRDefault="003717A0">
      <w:pPr>
        <w:pStyle w:val="12"/>
        <w:rPr>
          <w:rFonts w:ascii="宋体"/>
          <w:b/>
          <w:kern w:val="0"/>
          <w:szCs w:val="21"/>
        </w:rPr>
      </w:pPr>
      <w:r>
        <w:rPr>
          <w:rFonts w:ascii="宋体" w:hAnsi="宋体" w:hint="eastAsia"/>
          <w:b/>
          <w:kern w:val="0"/>
          <w:szCs w:val="21"/>
        </w:rPr>
        <w:t>第四节肺脓肿（自学）</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、病因、发病机制和病理吸入性、继发性、血源性肺脓肿。细支气管受阻。</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、临床表现咳嗽、咳粘脓痰、咯血，实变体征，白细胞、中粒细胞升高，核明显左移，</w:t>
      </w:r>
      <w:r>
        <w:rPr>
          <w:rFonts w:ascii="宋体" w:hAnsi="宋体"/>
          <w:kern w:val="0"/>
          <w:szCs w:val="21"/>
        </w:rPr>
        <w:t>X</w:t>
      </w:r>
      <w:r>
        <w:rPr>
          <w:rFonts w:ascii="宋体" w:hAnsi="宋体" w:hint="eastAsia"/>
          <w:kern w:val="0"/>
          <w:szCs w:val="21"/>
        </w:rPr>
        <w:t>线见脓腔。</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、诊断症状、实验室检查及</w:t>
      </w:r>
      <w:r>
        <w:rPr>
          <w:rFonts w:ascii="宋体" w:hAnsi="宋体"/>
          <w:kern w:val="0"/>
          <w:szCs w:val="21"/>
        </w:rPr>
        <w:t>X</w:t>
      </w:r>
      <w:r>
        <w:rPr>
          <w:rFonts w:ascii="宋体" w:hAnsi="宋体" w:hint="eastAsia"/>
          <w:kern w:val="0"/>
          <w:szCs w:val="21"/>
        </w:rPr>
        <w:t>线检查。</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、鉴别诊断细菌性肺炎、空洞性肺结核继发感染、支气管肺癌、肺囊肿继发感染。</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、治疗抗菌和痰液引流，少数患者手术治疗。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了解本病的病因、临床表现、实验室检查、诊断、鉴别诊断及治疗原则。</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第七章肺结核</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、病因和发病机理：结核杆菌、感染途径、人体反应性。</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、结核病演变过程及常见临床类型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、临床表现：典型症状</w:t>
      </w:r>
      <w:r>
        <w:rPr>
          <w:rFonts w:ascii="宋体" w:hAnsi="宋体"/>
          <w:kern w:val="0"/>
          <w:szCs w:val="21"/>
        </w:rPr>
        <w:t>(</w:t>
      </w:r>
      <w:r>
        <w:rPr>
          <w:rFonts w:ascii="宋体" w:hAnsi="宋体" w:hint="eastAsia"/>
          <w:kern w:val="0"/>
          <w:szCs w:val="21"/>
        </w:rPr>
        <w:t>全身及呼吸道</w:t>
      </w:r>
      <w:r>
        <w:rPr>
          <w:rFonts w:ascii="宋体" w:hAnsi="宋体"/>
          <w:kern w:val="0"/>
          <w:szCs w:val="21"/>
        </w:rPr>
        <w:t>)</w:t>
      </w:r>
      <w:r>
        <w:rPr>
          <w:rFonts w:ascii="宋体" w:hAnsi="宋体" w:hint="eastAsia"/>
          <w:kern w:val="0"/>
          <w:szCs w:val="21"/>
        </w:rPr>
        <w:t>及体征。并说明许多病例可无典型临床表现。</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、实验室检查：痰结核菌检查方法和意义，结素试验剂量、方法、反应结果之判断及临床意义，结核病灶在</w:t>
      </w:r>
      <w:r>
        <w:rPr>
          <w:rFonts w:ascii="宋体" w:hAnsi="宋体"/>
          <w:kern w:val="0"/>
          <w:szCs w:val="21"/>
        </w:rPr>
        <w:t>X</w:t>
      </w:r>
      <w:r>
        <w:rPr>
          <w:rFonts w:ascii="宋体" w:hAnsi="宋体" w:hint="eastAsia"/>
          <w:kern w:val="0"/>
          <w:szCs w:val="21"/>
        </w:rPr>
        <w:t>线上的特点，各种方法诊断的价值。</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、诊断：根据临床表现，病灶性质，范围，是否排菌，血沉快慢确定其活动性。</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、鉴别诊断：慢性支气管炎，肺炎，支气管扩张，肺脓肿，肺癌等。</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．治疗：抗结核药物、化疗原则</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、能够正确地搜集痰液及其它分泌物标本送检结核菌。</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、掌握</w:t>
      </w:r>
      <w:r>
        <w:rPr>
          <w:rFonts w:ascii="宋体" w:hAnsi="宋体"/>
          <w:kern w:val="0"/>
          <w:szCs w:val="21"/>
        </w:rPr>
        <w:t>OT</w:t>
      </w:r>
      <w:r>
        <w:rPr>
          <w:rFonts w:ascii="宋体" w:hAnsi="宋体" w:hint="eastAsia"/>
          <w:kern w:val="0"/>
          <w:szCs w:val="21"/>
        </w:rPr>
        <w:t>试验的方法及主要临床意义。</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、熟悉肺结核各种</w:t>
      </w:r>
      <w:r>
        <w:rPr>
          <w:rFonts w:ascii="宋体" w:hAnsi="宋体"/>
          <w:kern w:val="0"/>
          <w:szCs w:val="21"/>
        </w:rPr>
        <w:t>X</w:t>
      </w:r>
      <w:r>
        <w:rPr>
          <w:rFonts w:ascii="宋体" w:hAnsi="宋体" w:hint="eastAsia"/>
          <w:kern w:val="0"/>
          <w:szCs w:val="21"/>
        </w:rPr>
        <w:t>线表现。</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、掌握结核病在人体内发生发展过程，临床类型及鉴别诊断要点；抗结核病药物的正确应用；结核病预防原则和方法。</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、熟悉痰结核菌检查，结素检查，卡介苗接种、肺结核</w:t>
      </w:r>
      <w:r>
        <w:rPr>
          <w:rFonts w:ascii="宋体" w:hAnsi="宋体"/>
          <w:kern w:val="0"/>
          <w:szCs w:val="21"/>
        </w:rPr>
        <w:t>X</w:t>
      </w:r>
      <w:r>
        <w:rPr>
          <w:rFonts w:ascii="宋体" w:hAnsi="宋体" w:hint="eastAsia"/>
          <w:kern w:val="0"/>
          <w:szCs w:val="21"/>
        </w:rPr>
        <w:t>线诊断特点、咯血处理。</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、了解外科手术适应症及禁忌症。</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第八章原发性支气管肺癌</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、病因和发病机制吸烟、职业致癌因子、空气污染、电离辐射、饮食与营养。</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、分类按解剖学分类，按组织学分类。</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、临床表现原发肿瘤、局部扩散、远处转移引起的症状，癌作用于其他系统引起的肺外表现。</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、影像学及其他检查胸部</w:t>
      </w:r>
      <w:r>
        <w:rPr>
          <w:rFonts w:ascii="宋体" w:hAnsi="宋体"/>
          <w:kern w:val="0"/>
          <w:szCs w:val="21"/>
        </w:rPr>
        <w:t>X</w:t>
      </w:r>
      <w:r>
        <w:rPr>
          <w:rFonts w:ascii="宋体" w:hAnsi="宋体" w:hint="eastAsia"/>
          <w:kern w:val="0"/>
          <w:szCs w:val="21"/>
        </w:rPr>
        <w:t>线、</w:t>
      </w:r>
      <w:r>
        <w:rPr>
          <w:rFonts w:ascii="宋体" w:hAnsi="宋体"/>
          <w:kern w:val="0"/>
          <w:szCs w:val="21"/>
        </w:rPr>
        <w:t>CT</w:t>
      </w:r>
      <w:r>
        <w:rPr>
          <w:rFonts w:ascii="宋体" w:hAnsi="宋体" w:hint="eastAsia"/>
          <w:kern w:val="0"/>
          <w:szCs w:val="21"/>
        </w:rPr>
        <w:t>、</w:t>
      </w:r>
      <w:r>
        <w:rPr>
          <w:rFonts w:ascii="宋体" w:hAnsi="宋体"/>
          <w:kern w:val="0"/>
          <w:szCs w:val="21"/>
        </w:rPr>
        <w:t>MRI</w:t>
      </w:r>
      <w:r>
        <w:rPr>
          <w:rFonts w:ascii="宋体" w:hAnsi="宋体" w:hint="eastAsia"/>
          <w:kern w:val="0"/>
          <w:szCs w:val="21"/>
        </w:rPr>
        <w:t>、放射性核素扫描、痰脱落细胞、纤维支气管镜检查和开胸肺活检。</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、诊断、鉴别诊断及临床分期</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诊断：病史、体格检查及有关的辅助检查可确诊。</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鉴别诊断：肺结核、肺炎、肺脓肿。</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临床分期：</w:t>
      </w:r>
      <w:r>
        <w:rPr>
          <w:rFonts w:ascii="宋体"/>
          <w:kern w:val="0"/>
          <w:szCs w:val="21"/>
        </w:rPr>
        <w:t>0</w:t>
      </w:r>
      <w:r>
        <w:rPr>
          <w:rFonts w:ascii="宋体" w:hAnsi="宋体" w:hint="eastAsia"/>
          <w:kern w:val="0"/>
          <w:szCs w:val="21"/>
        </w:rPr>
        <w:t>期、Ⅰ期、Ⅱ期、Ⅲ</w:t>
      </w:r>
      <w:r>
        <w:rPr>
          <w:rFonts w:ascii="宋体" w:hAnsi="宋体"/>
          <w:kern w:val="0"/>
          <w:szCs w:val="21"/>
        </w:rPr>
        <w:t>a</w:t>
      </w:r>
      <w:r>
        <w:rPr>
          <w:rFonts w:ascii="宋体" w:hAnsi="宋体" w:hint="eastAsia"/>
          <w:kern w:val="0"/>
          <w:szCs w:val="21"/>
        </w:rPr>
        <w:t>期、Ⅲ</w:t>
      </w:r>
      <w:r>
        <w:rPr>
          <w:rFonts w:ascii="宋体" w:hAnsi="宋体"/>
          <w:kern w:val="0"/>
          <w:szCs w:val="21"/>
        </w:rPr>
        <w:t>b</w:t>
      </w:r>
      <w:r>
        <w:rPr>
          <w:rFonts w:ascii="宋体" w:hAnsi="宋体" w:hint="eastAsia"/>
          <w:kern w:val="0"/>
          <w:szCs w:val="21"/>
        </w:rPr>
        <w:t>期、Ⅳ期。</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、治疗手术治疗，化学药物治疗，放射治疗，其他局部治疗，生物缓解调解剂及中医药治疗。</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、预后早期发现及早治疗，隐性肺癌痊愈，鳞癌预后较好，腺癌次之，小细胞未分化癌差。</w:t>
      </w:r>
    </w:p>
    <w:p w:rsidR="003717A0" w:rsidRDefault="003717A0">
      <w:pPr>
        <w:pStyle w:val="12"/>
        <w:rPr>
          <w:rFonts w:ascii="宋体"/>
          <w:kern w:val="0"/>
          <w:szCs w:val="21"/>
        </w:rPr>
      </w:pPr>
      <w:r>
        <w:rPr>
          <w:rFonts w:ascii="宋体" w:hAnsi="宋体" w:hint="eastAsia"/>
          <w:b/>
          <w:kern w:val="0"/>
          <w:szCs w:val="21"/>
        </w:rPr>
        <w:t>见习内容</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、结合典型病例示教。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、示教典型</w:t>
      </w:r>
      <w:r>
        <w:rPr>
          <w:rFonts w:ascii="宋体" w:hAnsi="宋体"/>
          <w:kern w:val="0"/>
          <w:szCs w:val="21"/>
        </w:rPr>
        <w:t>X</w:t>
      </w:r>
      <w:r>
        <w:rPr>
          <w:rFonts w:ascii="宋体" w:hAnsi="宋体" w:hint="eastAsia"/>
          <w:kern w:val="0"/>
          <w:szCs w:val="21"/>
        </w:rPr>
        <w:t>线胸片和痰癌细胞阳性的涂片。</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、绘图示肺癌的转移途径。</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hint="eastAsia"/>
          <w:kern w:val="0"/>
          <w:szCs w:val="21"/>
        </w:rPr>
        <w:t>掌握肺癌的临床表现、诊断及治疗原则。</w:t>
      </w:r>
    </w:p>
    <w:p w:rsidR="003717A0" w:rsidRDefault="003717A0">
      <w:pPr>
        <w:pStyle w:val="12"/>
        <w:rPr>
          <w:rFonts w:ascii="宋体"/>
          <w:kern w:val="0"/>
          <w:szCs w:val="21"/>
        </w:rPr>
      </w:pPr>
      <w:r>
        <w:rPr>
          <w:rFonts w:ascii="宋体" w:hAnsi="宋体" w:hint="eastAsia"/>
          <w:kern w:val="0"/>
          <w:szCs w:val="21"/>
        </w:rPr>
        <w:t>了解本病的分类、病因、鉴别诊断、临床分期及预后。</w:t>
      </w:r>
    </w:p>
    <w:p w:rsidR="003717A0" w:rsidRDefault="003717A0">
      <w:pPr>
        <w:widowControl/>
        <w:spacing w:line="360" w:lineRule="auto"/>
        <w:ind w:firstLine="326"/>
        <w:jc w:val="center"/>
        <w:rPr>
          <w:rFonts w:ascii="宋体"/>
          <w:b/>
          <w:kern w:val="0"/>
          <w:szCs w:val="21"/>
        </w:rPr>
      </w:pPr>
      <w:r>
        <w:rPr>
          <w:rFonts w:ascii="宋体" w:hAnsi="宋体" w:hint="eastAsia"/>
          <w:b/>
          <w:kern w:val="0"/>
          <w:szCs w:val="21"/>
        </w:rPr>
        <w:t>第九章间质性肺疾病（自学）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、概述肺间质、间质性肺疾病。</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、重点讲授间质性肺疾病的分类、诊断程序及实验室检查。</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、概述特发性肺纤维化概念。</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、讲述特发性肺纤维化的诊断和治疗。</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、掌握间质性疾病的临床分类、临床特点、辅助检查要点。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、熟悉熟悉特发性肺纤维化的临床表现、诊断方法、主要治疗措施</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、了解肺间质、间质性肺疾病的概念、主要间质性肺疾病的鉴别要点。</w:t>
      </w:r>
    </w:p>
    <w:p w:rsidR="003717A0" w:rsidRDefault="003717A0">
      <w:pPr>
        <w:pStyle w:val="12"/>
        <w:rPr>
          <w:rFonts w:ascii="宋体"/>
          <w:kern w:val="0"/>
          <w:szCs w:val="21"/>
        </w:rPr>
      </w:pPr>
      <w:r>
        <w:rPr>
          <w:rFonts w:ascii="宋体" w:hAnsi="宋体" w:hint="eastAsia"/>
          <w:b/>
          <w:kern w:val="0"/>
          <w:szCs w:val="21"/>
        </w:rPr>
        <w:t>第一节间质性肺疾病的分类</w:t>
      </w:r>
    </w:p>
    <w:p w:rsidR="003717A0" w:rsidRDefault="003717A0">
      <w:pPr>
        <w:pStyle w:val="12"/>
        <w:rPr>
          <w:rFonts w:ascii="宋体"/>
          <w:b/>
          <w:kern w:val="0"/>
          <w:szCs w:val="21"/>
        </w:rPr>
      </w:pPr>
      <w:r>
        <w:rPr>
          <w:rFonts w:ascii="宋体" w:hAnsi="宋体" w:hint="eastAsia"/>
          <w:b/>
          <w:kern w:val="0"/>
          <w:szCs w:val="21"/>
        </w:rPr>
        <w:t>第二节特发性肺纤维化</w:t>
      </w:r>
    </w:p>
    <w:p w:rsidR="003717A0" w:rsidRDefault="003717A0">
      <w:pPr>
        <w:pStyle w:val="12"/>
        <w:rPr>
          <w:rFonts w:ascii="宋体"/>
          <w:b/>
          <w:kern w:val="0"/>
          <w:szCs w:val="21"/>
        </w:rPr>
      </w:pPr>
      <w:r>
        <w:rPr>
          <w:rFonts w:ascii="宋体" w:hAnsi="宋体" w:hint="eastAsia"/>
          <w:b/>
          <w:kern w:val="0"/>
          <w:szCs w:val="21"/>
        </w:rPr>
        <w:t>第三节结节病</w:t>
      </w:r>
    </w:p>
    <w:p w:rsidR="003717A0" w:rsidRDefault="003717A0">
      <w:pPr>
        <w:pStyle w:val="12"/>
        <w:rPr>
          <w:rFonts w:ascii="宋体"/>
          <w:b/>
          <w:kern w:val="0"/>
          <w:szCs w:val="21"/>
        </w:rPr>
      </w:pPr>
      <w:r>
        <w:rPr>
          <w:rFonts w:ascii="宋体" w:hAnsi="宋体" w:hint="eastAsia"/>
          <w:b/>
          <w:kern w:val="0"/>
          <w:szCs w:val="21"/>
        </w:rPr>
        <w:t>第四节其他间质性肺疾病</w:t>
      </w:r>
    </w:p>
    <w:p w:rsidR="003717A0" w:rsidRDefault="003717A0">
      <w:pPr>
        <w:pStyle w:val="12"/>
        <w:rPr>
          <w:rFonts w:ascii="宋体"/>
          <w:b/>
          <w:kern w:val="0"/>
          <w:szCs w:val="21"/>
        </w:rPr>
      </w:pP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第十章肺血栓栓塞症（自学）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、病理生理机械阻塞作用、神经体液因素。</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、临床表现呼吸困难、胸痛、晕厥、咯血、休克、下肢肿胀疼痛，呼吸循环系统体征，</w:t>
      </w:r>
      <w:r>
        <w:rPr>
          <w:rFonts w:ascii="宋体" w:hAnsi="宋体"/>
          <w:kern w:val="0"/>
          <w:szCs w:val="21"/>
        </w:rPr>
        <w:t>DVT</w:t>
      </w:r>
      <w:r>
        <w:rPr>
          <w:rFonts w:ascii="宋体" w:hAnsi="宋体" w:hint="eastAsia"/>
          <w:kern w:val="0"/>
          <w:szCs w:val="21"/>
        </w:rPr>
        <w:t>的症状与体征。</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、诊断步骤根据症状、体征及行常规检查</w:t>
      </w:r>
      <w:r>
        <w:rPr>
          <w:rFonts w:ascii="宋体"/>
          <w:kern w:val="0"/>
          <w:szCs w:val="21"/>
        </w:rPr>
        <w:t>,</w:t>
      </w:r>
      <w:r>
        <w:rPr>
          <w:rFonts w:ascii="宋体" w:hAnsi="宋体" w:hint="eastAsia"/>
          <w:kern w:val="0"/>
          <w:szCs w:val="21"/>
        </w:rPr>
        <w:t>对疑诊病人安排确诊检查。</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、鉴别诊断冠心病、肺炎、原发性肺动脉高压、主动脉夹层及胸腔积液。</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w:t>
      </w:r>
      <w:r>
        <w:rPr>
          <w:rFonts w:ascii="宋体" w:hAnsi="宋体"/>
          <w:kern w:val="0"/>
          <w:szCs w:val="21"/>
        </w:rPr>
        <w:t>PTE</w:t>
      </w:r>
      <w:r>
        <w:rPr>
          <w:rFonts w:ascii="宋体" w:hAnsi="宋体" w:hint="eastAsia"/>
          <w:kern w:val="0"/>
          <w:szCs w:val="21"/>
        </w:rPr>
        <w:t>临床分型大面积</w:t>
      </w:r>
      <w:r>
        <w:rPr>
          <w:rFonts w:ascii="宋体" w:hAnsi="宋体"/>
          <w:kern w:val="0"/>
          <w:szCs w:val="21"/>
        </w:rPr>
        <w:t>PTE</w:t>
      </w:r>
      <w:r>
        <w:rPr>
          <w:rFonts w:ascii="宋体" w:hAnsi="宋体" w:hint="eastAsia"/>
          <w:kern w:val="0"/>
          <w:szCs w:val="21"/>
        </w:rPr>
        <w:t>、非大面积</w:t>
      </w:r>
      <w:r>
        <w:rPr>
          <w:rFonts w:ascii="宋体" w:hAnsi="宋体"/>
          <w:kern w:val="0"/>
          <w:szCs w:val="21"/>
        </w:rPr>
        <w:t>PTE</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、治疗原则及方案</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）一般处理与呼吸循环支持。</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）溶栓治疗，肺动脉血栓摘除术，肺动脉导管碎解和抽吸血栓，放置静脉滤器。</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）慢性血栓栓塞性肺动脉高压的治疗，治疗指南。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、掌握肺栓塞的临床表现、分型、诊断、鉴别诊断及治疗原则。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、了解本病的危险因素、病理生理、预后及预防</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第十一章肺动脉高压与肺源性心脏病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、肺动脉高压的诊断标准、分类及分级。</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、肺心病的概念、病因支气管肺疾病，胸廓运动障碍性疾病，肺血管疾病，其他如</w:t>
      </w:r>
      <w:r>
        <w:rPr>
          <w:rFonts w:ascii="宋体" w:hAnsi="宋体"/>
          <w:kern w:val="0"/>
          <w:szCs w:val="21"/>
        </w:rPr>
        <w:t>OSAHS</w:t>
      </w:r>
      <w:r>
        <w:rPr>
          <w:rFonts w:ascii="宋体" w:hAnsi="宋体" w:hint="eastAsia"/>
          <w:kern w:val="0"/>
          <w:szCs w:val="21"/>
        </w:rPr>
        <w:t>等。</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、发病机制肺动脉高压的形成、心脏病变和心力衰竭、其他重要脏器的损害。</w:t>
      </w:r>
    </w:p>
    <w:p w:rsidR="003717A0" w:rsidRDefault="003717A0">
      <w:pPr>
        <w:pStyle w:val="12"/>
        <w:ind w:firstLineChars="200" w:firstLine="420"/>
        <w:rPr>
          <w:rFonts w:ascii="宋体"/>
          <w:kern w:val="0"/>
          <w:szCs w:val="21"/>
        </w:rPr>
      </w:pPr>
      <w:r>
        <w:rPr>
          <w:rFonts w:ascii="宋体" w:hAnsi="宋体"/>
          <w:kern w:val="0"/>
          <w:szCs w:val="21"/>
        </w:rPr>
        <w:lastRenderedPageBreak/>
        <w:t>4</w:t>
      </w:r>
      <w:r>
        <w:rPr>
          <w:rFonts w:ascii="宋体" w:hAnsi="宋体" w:hint="eastAsia"/>
          <w:kern w:val="0"/>
          <w:szCs w:val="21"/>
        </w:rPr>
        <w:t>、临床表现肺心功能代偿期，肺心功能失代偿期包括呼吸衰竭及心力衰竭。</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、实验室检查</w:t>
      </w:r>
      <w:r>
        <w:rPr>
          <w:rFonts w:ascii="宋体" w:hAnsi="宋体"/>
          <w:kern w:val="0"/>
          <w:szCs w:val="21"/>
        </w:rPr>
        <w:t>X</w:t>
      </w:r>
      <w:r>
        <w:rPr>
          <w:rFonts w:ascii="宋体" w:hAnsi="宋体" w:hint="eastAsia"/>
          <w:kern w:val="0"/>
          <w:szCs w:val="21"/>
        </w:rPr>
        <w:t>线、心电图、超声心动图、血液检查，血气分析。</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、诊断及鉴别诊断临床表现加辅助检查确诊，与冠心病鉴别。</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、治疗急性发作期：控制感染、氧疗、控制心力衰竭，缓解期。</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、并发症肺性脑病、酸碱失衡及电解质紊乱、心律失常、休克、消化道出血和</w:t>
      </w:r>
      <w:r>
        <w:rPr>
          <w:rFonts w:ascii="宋体" w:hAnsi="宋体"/>
          <w:kern w:val="0"/>
          <w:szCs w:val="21"/>
        </w:rPr>
        <w:t>DIC</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kern w:val="0"/>
          <w:szCs w:val="21"/>
        </w:rPr>
        <w:t>9</w:t>
      </w:r>
      <w:r>
        <w:rPr>
          <w:rFonts w:ascii="宋体" w:hAnsi="宋体" w:hint="eastAsia"/>
          <w:kern w:val="0"/>
          <w:szCs w:val="21"/>
        </w:rPr>
        <w:t>、预后及预防</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、通过典型病例示教，掌握肺心病诊断中的</w:t>
      </w:r>
      <w:r>
        <w:rPr>
          <w:rFonts w:ascii="宋体" w:hAnsi="宋体"/>
          <w:kern w:val="0"/>
          <w:szCs w:val="21"/>
        </w:rPr>
        <w:t>X</w:t>
      </w:r>
      <w:r>
        <w:rPr>
          <w:rFonts w:ascii="宋体" w:hAnsi="宋体" w:hint="eastAsia"/>
          <w:kern w:val="0"/>
          <w:szCs w:val="21"/>
        </w:rPr>
        <w:t>线胸片，心电图、超声心动图诊断条件。</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、熟悉血气和酸碱平衡常用参数的意义，能对肺心病并发单纯性酸碱失衡作出诊断。</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、课前找出肺心病诊断的</w:t>
      </w:r>
      <w:r>
        <w:rPr>
          <w:rFonts w:ascii="宋体" w:hAnsi="宋体"/>
          <w:kern w:val="0"/>
          <w:szCs w:val="21"/>
        </w:rPr>
        <w:t>X</w:t>
      </w:r>
      <w:r>
        <w:rPr>
          <w:rFonts w:ascii="宋体" w:hAnsi="宋体" w:hint="eastAsia"/>
          <w:kern w:val="0"/>
          <w:szCs w:val="21"/>
        </w:rPr>
        <w:t>线胸片和心电图，以达到讲授时学生容易理解和加深印象的目的。</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、掌握慢性肺源性心脏病的概念、机制、临床表现、实验室检查、诊断、治疗及并发症。</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、了解肺动脉高压的概念、分类及分级，慢性肺源性心脏病的病因、鉴别、预后及预防。</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第十二章胸膜疾病</w:t>
      </w:r>
    </w:p>
    <w:p w:rsidR="003717A0" w:rsidRDefault="003717A0">
      <w:pPr>
        <w:pStyle w:val="12"/>
        <w:rPr>
          <w:rFonts w:ascii="宋体"/>
          <w:b/>
          <w:kern w:val="0"/>
          <w:szCs w:val="21"/>
        </w:rPr>
      </w:pPr>
      <w:r>
        <w:rPr>
          <w:rFonts w:ascii="宋体" w:hAnsi="宋体" w:hint="eastAsia"/>
          <w:b/>
          <w:kern w:val="0"/>
          <w:szCs w:val="21"/>
        </w:rPr>
        <w:t>第一节胸腔积液</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、胸腔积液的循环机制</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、病因和发病机制</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、临床表现、实验室检查</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、诊断要点、鉴别诊断</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、通过典型病例示教，掌握临床问诊，了解病史，临床查体，了解体征，阅读胸片。</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、胸腔积液的临床表现、实验室检查、诊断、鉴别诊断及治疗原则。</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、掌握胸腔积液的诊断及鉴别诊断、治疗方法。</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、熟悉胸腔积液的临床表现。</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、了解胸腔积液的病因、发病原理，了解恶性胸腔积液、脓胸的治疗原则。</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、病例讨论</w:t>
      </w:r>
    </w:p>
    <w:p w:rsidR="003717A0" w:rsidRDefault="003717A0">
      <w:pPr>
        <w:pStyle w:val="12"/>
        <w:rPr>
          <w:rFonts w:ascii="宋体"/>
          <w:b/>
          <w:szCs w:val="21"/>
        </w:rPr>
      </w:pPr>
      <w:r>
        <w:rPr>
          <w:rFonts w:ascii="宋体" w:hAnsi="宋体" w:hint="eastAsia"/>
          <w:b/>
          <w:kern w:val="0"/>
          <w:szCs w:val="21"/>
        </w:rPr>
        <w:t>第二节气胸</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、病因和发病机理：多种疾病可引起气胸。</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、临床表现：三种类型。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、临床表现：典型的症状和体征。</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、诊断和鉴别诊断：应与支气管哮喘、阻塞性肺气肿，急性心肌梗塞、肺栓塞、肺大疱等鉴别。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）．排气方法：三种气胸排气治疗的原则；</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）其它治疗</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）并发症及其处理</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、通过典型病例示教，掌握临床问诊，了解病史，临床查体，了解体征，阅读胸片。</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、气胸的临床表现、诊断、鉴别诊断及治疗原则。</w:t>
      </w:r>
    </w:p>
    <w:p w:rsidR="003717A0" w:rsidRDefault="003717A0">
      <w:pPr>
        <w:pStyle w:val="12"/>
        <w:rPr>
          <w:rFonts w:ascii="宋体"/>
          <w:b/>
          <w:kern w:val="0"/>
          <w:szCs w:val="21"/>
        </w:rPr>
      </w:pPr>
      <w:r>
        <w:rPr>
          <w:rFonts w:ascii="宋体" w:hAnsi="宋体" w:hint="eastAsia"/>
          <w:b/>
          <w:kern w:val="0"/>
          <w:szCs w:val="21"/>
        </w:rPr>
        <w:lastRenderedPageBreak/>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、了解气胸的病因和发病机理。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、掌握气胸的临床表现：诊断、鉴别诊断及治疗原则。</w:t>
      </w:r>
    </w:p>
    <w:p w:rsidR="003717A0" w:rsidRDefault="003717A0">
      <w:pPr>
        <w:pStyle w:val="12"/>
        <w:ind w:firstLineChars="200" w:firstLine="420"/>
        <w:rPr>
          <w:rFonts w:ascii="宋体"/>
          <w:kern w:val="0"/>
          <w:szCs w:val="21"/>
        </w:rPr>
      </w:pPr>
    </w:p>
    <w:p w:rsidR="003717A0" w:rsidRDefault="003717A0">
      <w:pPr>
        <w:pStyle w:val="12"/>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第十三章睡眠呼吸暂停低通气综合征（自学）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第十四章急性呼吸窘迫综合征</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第十五章呼吸衰竭与呼吸支持技术</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、概述呼吸衰竭定义、分类、分型及诊断标准。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、阐述呼吸衰竭的发病机理；系统分述呼吸衰竭的病理生理，主要阐明缺氧、高碳酸血症、酸中毒对各系统的影响和对重要脏器的危害，从而理解各种临床表现和并发症。</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、理论与实践结合分述呼吸衰竭的治疗和抢救原则、要点和具体方法。</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、掌握各型呼吸衰竭的动脉血气诊断标准，熟悉动脉血气分析、酸碱平衡诊断常用的参数及其意义。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、掌握根据呼吸衰竭类型正确氧疗：熟悉呼吸机使用中潮气容积、频率与通气量的关系。了解通气不足、通气过度对机体的影响。</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196" w:firstLine="412"/>
        <w:rPr>
          <w:rFonts w:ascii="宋体"/>
          <w:b/>
          <w:kern w:val="0"/>
          <w:szCs w:val="21"/>
        </w:rPr>
      </w:pPr>
      <w:r>
        <w:rPr>
          <w:rFonts w:ascii="宋体" w:hAnsi="宋体"/>
          <w:kern w:val="0"/>
          <w:szCs w:val="21"/>
        </w:rPr>
        <w:t>1</w:t>
      </w:r>
      <w:r>
        <w:rPr>
          <w:rFonts w:ascii="宋体" w:hAnsi="宋体" w:hint="eastAsia"/>
          <w:kern w:val="0"/>
          <w:szCs w:val="21"/>
        </w:rPr>
        <w:t>、掌握呼衰的概念、分类、诊断和治疗原则，慢性呼衰临床表现、实验室检查、处理原则。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、了解本病的病因和机制。</w:t>
      </w:r>
    </w:p>
    <w:p w:rsidR="003717A0" w:rsidRDefault="003717A0">
      <w:pPr>
        <w:pStyle w:val="12"/>
        <w:rPr>
          <w:rFonts w:ascii="宋体"/>
          <w:b/>
          <w:kern w:val="0"/>
          <w:szCs w:val="21"/>
        </w:rPr>
      </w:pPr>
      <w:r>
        <w:rPr>
          <w:rFonts w:ascii="宋体" w:hAnsi="宋体" w:hint="eastAsia"/>
          <w:b/>
          <w:kern w:val="0"/>
          <w:szCs w:val="21"/>
        </w:rPr>
        <w:t>第一节急性呼吸衰竭</w:t>
      </w:r>
    </w:p>
    <w:p w:rsidR="003717A0" w:rsidRDefault="003717A0">
      <w:pPr>
        <w:pStyle w:val="12"/>
        <w:rPr>
          <w:rFonts w:ascii="宋体"/>
          <w:b/>
          <w:kern w:val="0"/>
          <w:szCs w:val="21"/>
        </w:rPr>
      </w:pPr>
      <w:r>
        <w:rPr>
          <w:rFonts w:ascii="宋体" w:hAnsi="宋体" w:hint="eastAsia"/>
          <w:b/>
          <w:kern w:val="0"/>
          <w:szCs w:val="21"/>
        </w:rPr>
        <w:t>第二节慢性呼吸衰竭</w:t>
      </w:r>
    </w:p>
    <w:p w:rsidR="003717A0" w:rsidRDefault="003717A0">
      <w:pPr>
        <w:pStyle w:val="12"/>
        <w:rPr>
          <w:rFonts w:ascii="宋体"/>
          <w:b/>
          <w:kern w:val="0"/>
          <w:szCs w:val="21"/>
        </w:rPr>
      </w:pPr>
      <w:r>
        <w:rPr>
          <w:rFonts w:ascii="宋体" w:hAnsi="宋体" w:hint="eastAsia"/>
          <w:b/>
          <w:kern w:val="0"/>
          <w:szCs w:val="21"/>
        </w:rPr>
        <w:t>第三节呼吸支持技术</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第三篇循环系统疾病</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第一章总论（自学）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第二章心力衰竭</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、病因基本病因，诱发因素。</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、病理生理心衰代偿机制，体液因素变化，舒张功能改变，心肌损害和心室重构。</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、临床类型急性和慢性，左心、右心和全心衰竭，收缩性和舒张性心力衰竭。心功能分四级。</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掌握心力衰竭的定义、病因、病理生理和临床类型。</w:t>
      </w:r>
    </w:p>
    <w:p w:rsidR="003717A0" w:rsidRDefault="003717A0">
      <w:pPr>
        <w:pStyle w:val="12"/>
        <w:rPr>
          <w:rFonts w:ascii="宋体"/>
          <w:b/>
          <w:kern w:val="0"/>
          <w:szCs w:val="21"/>
        </w:rPr>
      </w:pPr>
      <w:r>
        <w:rPr>
          <w:rFonts w:ascii="宋体" w:hAnsi="宋体" w:hint="eastAsia"/>
          <w:b/>
          <w:kern w:val="0"/>
          <w:szCs w:val="21"/>
        </w:rPr>
        <w:t>第一节慢性心力衰竭</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、流行病学</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、临床表现左心衰竭，右心衰竭，全心衰竭。</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、实验室等检查</w:t>
      </w:r>
      <w:r>
        <w:rPr>
          <w:rFonts w:ascii="宋体" w:hAnsi="宋体"/>
          <w:kern w:val="0"/>
          <w:szCs w:val="21"/>
        </w:rPr>
        <w:t>X</w:t>
      </w:r>
      <w:r>
        <w:rPr>
          <w:rFonts w:ascii="宋体" w:hAnsi="宋体" w:hint="eastAsia"/>
          <w:kern w:val="0"/>
          <w:szCs w:val="21"/>
        </w:rPr>
        <w:t>线检查，超声心动图，放射性核素检查，有创性血流动力学检查。</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、诊断及鉴别诊断</w:t>
      </w:r>
    </w:p>
    <w:p w:rsidR="003717A0" w:rsidRDefault="003717A0">
      <w:pPr>
        <w:pStyle w:val="12"/>
        <w:rPr>
          <w:rFonts w:ascii="宋体"/>
          <w:kern w:val="0"/>
          <w:szCs w:val="21"/>
        </w:rPr>
      </w:pPr>
      <w:r>
        <w:rPr>
          <w:rFonts w:ascii="宋体" w:hAnsi="宋体"/>
          <w:kern w:val="0"/>
          <w:szCs w:val="21"/>
        </w:rPr>
        <w:lastRenderedPageBreak/>
        <w:t>(1)</w:t>
      </w:r>
      <w:r>
        <w:rPr>
          <w:rFonts w:ascii="宋体" w:hAnsi="宋体" w:hint="eastAsia"/>
          <w:kern w:val="0"/>
          <w:szCs w:val="21"/>
        </w:rPr>
        <w:t>诊断依据：主要根据临床表现并做出心脏功能的分级诊断。</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鉴别诊断：左心衰与肺疾病、呼衰、支气管哮喘鉴别，右心衰与心包积液、肾炎、肝硬化鉴别。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治疗原则：提高运动耐量、改善生活质量，防止心肌损害进一步加重，降低死亡率。</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治疗方法：</w:t>
      </w:r>
    </w:p>
    <w:p w:rsidR="003717A0" w:rsidRDefault="003717A0">
      <w:pPr>
        <w:pStyle w:val="12"/>
        <w:rPr>
          <w:rFonts w:ascii="宋体"/>
          <w:kern w:val="0"/>
          <w:szCs w:val="21"/>
        </w:rPr>
      </w:pPr>
      <w:r>
        <w:rPr>
          <w:rFonts w:ascii="宋体" w:hAnsi="宋体" w:hint="eastAsia"/>
          <w:kern w:val="0"/>
          <w:szCs w:val="21"/>
        </w:rPr>
        <w:t>①、病因治疗，消除诱因。减轻心脏负荷、休息、限钠，利尿剂、血管扩张剂的应用。</w:t>
      </w:r>
    </w:p>
    <w:p w:rsidR="003717A0" w:rsidRDefault="003717A0">
      <w:pPr>
        <w:pStyle w:val="12"/>
        <w:rPr>
          <w:rFonts w:ascii="宋体"/>
          <w:kern w:val="0"/>
          <w:szCs w:val="21"/>
        </w:rPr>
      </w:pPr>
      <w:r>
        <w:rPr>
          <w:rFonts w:ascii="宋体" w:hAnsi="宋体" w:hint="eastAsia"/>
          <w:kern w:val="0"/>
          <w:szCs w:val="21"/>
        </w:rPr>
        <w:t>②、洋地黄制剂和非洋地黄类强心剂的应用。</w:t>
      </w:r>
    </w:p>
    <w:p w:rsidR="003717A0" w:rsidRDefault="003717A0">
      <w:pPr>
        <w:pStyle w:val="12"/>
        <w:rPr>
          <w:rFonts w:ascii="宋体"/>
          <w:kern w:val="0"/>
          <w:szCs w:val="21"/>
        </w:rPr>
      </w:pPr>
      <w:r>
        <w:rPr>
          <w:rFonts w:ascii="宋体" w:hAnsi="宋体" w:hint="eastAsia"/>
          <w:kern w:val="0"/>
          <w:szCs w:val="21"/>
        </w:rPr>
        <w:t>③、抗肾素</w:t>
      </w:r>
      <w:r>
        <w:rPr>
          <w:rFonts w:ascii="宋体" w:hAnsi="宋体"/>
          <w:kern w:val="0"/>
          <w:szCs w:val="21"/>
        </w:rPr>
        <w:t>—</w:t>
      </w:r>
      <w:r>
        <w:rPr>
          <w:rFonts w:ascii="宋体" w:hAnsi="宋体" w:hint="eastAsia"/>
          <w:kern w:val="0"/>
          <w:szCs w:val="21"/>
        </w:rPr>
        <w:t>血管紧张素系统相关药物的应用，β受体阻滞剂的应用。</w:t>
      </w:r>
    </w:p>
    <w:p w:rsidR="003717A0" w:rsidRDefault="003717A0">
      <w:pPr>
        <w:pStyle w:val="12"/>
        <w:rPr>
          <w:rFonts w:ascii="宋体"/>
          <w:kern w:val="0"/>
          <w:szCs w:val="21"/>
        </w:rPr>
      </w:pPr>
      <w:r>
        <w:rPr>
          <w:rFonts w:ascii="宋体" w:hAnsi="宋体" w:hint="eastAsia"/>
          <w:kern w:val="0"/>
          <w:szCs w:val="21"/>
        </w:rPr>
        <w:t>④、舒张期心力衰竭和顽固性心力衰竭的治疗。</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）慢性心力衰竭治疗指南。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、掌握慢性心力衰竭的概念、临床表现、诊断、鉴别诊断和判断心力衰竭程度的标准，慢性心衰的治疗原则，药物的合理应用。</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、了解本病的机制、并发症、非洋地黄类正性肌力药的应用及治疗指南。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150" w:firstLine="315"/>
        <w:rPr>
          <w:rFonts w:ascii="宋体"/>
          <w:kern w:val="0"/>
          <w:szCs w:val="21"/>
        </w:rPr>
      </w:pPr>
      <w:r>
        <w:rPr>
          <w:rFonts w:ascii="宋体" w:hAnsi="宋体"/>
          <w:kern w:val="0"/>
          <w:szCs w:val="21"/>
        </w:rPr>
        <w:t>1</w:t>
      </w:r>
      <w:r>
        <w:rPr>
          <w:rFonts w:ascii="宋体" w:hAnsi="宋体" w:hint="eastAsia"/>
          <w:kern w:val="0"/>
          <w:szCs w:val="21"/>
        </w:rPr>
        <w:t>、区分所诊患者的心力衰竭类型、</w:t>
      </w:r>
      <w:r>
        <w:rPr>
          <w:rFonts w:ascii="宋体" w:hAnsi="宋体"/>
          <w:kern w:val="0"/>
          <w:szCs w:val="21"/>
        </w:rPr>
        <w:t>NYHA</w:t>
      </w:r>
      <w:r>
        <w:rPr>
          <w:rFonts w:ascii="宋体" w:hAnsi="宋体" w:hint="eastAsia"/>
          <w:kern w:val="0"/>
          <w:szCs w:val="21"/>
        </w:rPr>
        <w:t>分级标准。</w:t>
      </w:r>
    </w:p>
    <w:p w:rsidR="003717A0" w:rsidRDefault="003717A0">
      <w:pPr>
        <w:pStyle w:val="12"/>
        <w:ind w:firstLineChars="150" w:firstLine="315"/>
        <w:rPr>
          <w:rFonts w:ascii="宋体"/>
          <w:kern w:val="0"/>
          <w:szCs w:val="21"/>
        </w:rPr>
      </w:pPr>
      <w:r>
        <w:rPr>
          <w:rFonts w:ascii="宋体" w:hAnsi="宋体"/>
          <w:kern w:val="0"/>
          <w:szCs w:val="21"/>
        </w:rPr>
        <w:t>2</w:t>
      </w:r>
      <w:r>
        <w:rPr>
          <w:rFonts w:ascii="宋体" w:hAnsi="宋体" w:hint="eastAsia"/>
          <w:kern w:val="0"/>
          <w:szCs w:val="21"/>
        </w:rPr>
        <w:t>、提出主要的治疗对策。</w:t>
      </w:r>
    </w:p>
    <w:p w:rsidR="003717A0" w:rsidRDefault="003717A0">
      <w:pPr>
        <w:pStyle w:val="12"/>
        <w:rPr>
          <w:rFonts w:ascii="宋体"/>
          <w:b/>
          <w:kern w:val="0"/>
          <w:szCs w:val="21"/>
        </w:rPr>
      </w:pPr>
      <w:r>
        <w:rPr>
          <w:rFonts w:ascii="宋体" w:hAnsi="宋体" w:hint="eastAsia"/>
          <w:b/>
          <w:kern w:val="0"/>
          <w:szCs w:val="21"/>
        </w:rPr>
        <w:t>第二节急性心力衰竭</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、病因和发病机制</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、临床表现急性肺水肿表现，呼吸困难、咳嗽伴咳粉红色泡沫浆液性痰、两肺满布湿啰音，休克、晕厥。</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、诊断及鉴别诊断根据临床表现作出诊断，与支气管哮喘和其它原因引起的休克、晕厥相鉴别。</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、治疗体位，湿化吸氧，快速利尿剂、镇静剂、血管扩张剂、强心剂、氨茶碱、激素等的应用。</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、掌握急性左心衰的概念、临床表现、抢救方法。</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、了解本病的病因和发病机制。</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第三章心律失常</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b/>
          <w:kern w:val="0"/>
          <w:szCs w:val="21"/>
        </w:rPr>
      </w:pPr>
      <w:r>
        <w:rPr>
          <w:rFonts w:ascii="宋体" w:hAnsi="宋体" w:hint="eastAsia"/>
          <w:b/>
          <w:kern w:val="0"/>
          <w:szCs w:val="21"/>
        </w:rPr>
        <w:t>第一节概述</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、与心律失常有关的心脏解剖及生理。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、心律失常的发生机制心脏冲动形成异常与传导障碍与心律失常的关系。</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、心律失常的分类按心脏冲动起源异常分为两类，按心率快慢分为快速性和缓慢性两类。</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、心律失常的诊断根据临床表现、心电图、动态及食管心电图、临床心电生理检查确诊。</w:t>
      </w:r>
    </w:p>
    <w:p w:rsidR="003717A0" w:rsidRDefault="003717A0">
      <w:pPr>
        <w:pStyle w:val="12"/>
        <w:rPr>
          <w:rFonts w:ascii="宋体"/>
          <w:b/>
          <w:kern w:val="0"/>
          <w:szCs w:val="21"/>
        </w:rPr>
      </w:pPr>
      <w:r>
        <w:rPr>
          <w:rFonts w:ascii="宋体" w:hAnsi="宋体" w:hint="eastAsia"/>
          <w:b/>
          <w:kern w:val="0"/>
          <w:szCs w:val="21"/>
        </w:rPr>
        <w:t>第二节窦性心律失常</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、病因生理性、病理性</w:t>
      </w:r>
      <w:r>
        <w:rPr>
          <w:rFonts w:ascii="宋体" w:hAnsi="宋体"/>
          <w:kern w:val="0"/>
          <w:szCs w:val="21"/>
        </w:rPr>
        <w:t>(</w:t>
      </w:r>
      <w:r>
        <w:rPr>
          <w:rFonts w:ascii="宋体" w:hAnsi="宋体" w:hint="eastAsia"/>
          <w:kern w:val="0"/>
          <w:szCs w:val="21"/>
        </w:rPr>
        <w:t>心脏性和心外性</w:t>
      </w:r>
      <w:r>
        <w:rPr>
          <w:rFonts w:ascii="宋体" w:hAnsi="宋体"/>
          <w:kern w:val="0"/>
          <w:szCs w:val="21"/>
        </w:rPr>
        <w:t>)</w:t>
      </w:r>
      <w:r>
        <w:rPr>
          <w:rFonts w:ascii="宋体" w:hAnsi="宋体" w:hint="eastAsia"/>
          <w:kern w:val="0"/>
          <w:szCs w:val="21"/>
        </w:rPr>
        <w:t>和药物性。</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、临床表现无症状或心脏排血量不足症状，发作或终止呈渐变，易受植物神经活动影响。</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、心电图除频率、节律改变外，必须具备窦性心律的心电图特征。</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、治疗病因治疗，辅以对症治疗。</w:t>
      </w:r>
    </w:p>
    <w:p w:rsidR="003717A0" w:rsidRDefault="003717A0">
      <w:pPr>
        <w:pStyle w:val="12"/>
        <w:rPr>
          <w:rFonts w:ascii="宋体"/>
          <w:kern w:val="0"/>
          <w:szCs w:val="21"/>
        </w:rPr>
      </w:pPr>
      <w:r>
        <w:rPr>
          <w:rFonts w:ascii="宋体" w:hAnsi="宋体" w:hint="eastAsia"/>
          <w:kern w:val="0"/>
          <w:szCs w:val="21"/>
        </w:rPr>
        <w:t>附：病态窦房结综合征。</w:t>
      </w:r>
    </w:p>
    <w:p w:rsidR="003717A0" w:rsidRDefault="003717A0">
      <w:pPr>
        <w:pStyle w:val="12"/>
        <w:rPr>
          <w:rFonts w:ascii="宋体"/>
          <w:b/>
          <w:kern w:val="0"/>
          <w:szCs w:val="21"/>
        </w:rPr>
      </w:pPr>
      <w:r>
        <w:rPr>
          <w:rFonts w:ascii="宋体" w:hAnsi="宋体" w:hint="eastAsia"/>
          <w:b/>
          <w:kern w:val="0"/>
          <w:szCs w:val="21"/>
        </w:rPr>
        <w:t>第三节房性心律失常</w:t>
      </w:r>
    </w:p>
    <w:p w:rsidR="003717A0" w:rsidRDefault="003717A0">
      <w:pPr>
        <w:pStyle w:val="12"/>
        <w:ind w:firstLineChars="200" w:firstLine="420"/>
        <w:rPr>
          <w:rFonts w:ascii="宋体"/>
          <w:kern w:val="0"/>
          <w:szCs w:val="21"/>
        </w:rPr>
      </w:pPr>
      <w:r>
        <w:rPr>
          <w:rFonts w:ascii="宋体" w:hAnsi="宋体" w:hint="eastAsia"/>
          <w:kern w:val="0"/>
          <w:szCs w:val="21"/>
        </w:rPr>
        <w:t>一、房性期前收缩</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、心电图异位</w:t>
      </w:r>
      <w:r>
        <w:rPr>
          <w:rFonts w:ascii="宋体" w:hAnsi="宋体"/>
          <w:kern w:val="0"/>
          <w:szCs w:val="21"/>
        </w:rPr>
        <w:t>P</w:t>
      </w:r>
      <w:r>
        <w:rPr>
          <w:rFonts w:ascii="宋体" w:hAnsi="宋体" w:hint="eastAsia"/>
          <w:kern w:val="0"/>
          <w:szCs w:val="21"/>
        </w:rPr>
        <w:t>波与</w:t>
      </w:r>
      <w:r>
        <w:rPr>
          <w:rFonts w:ascii="宋体" w:hAnsi="宋体"/>
          <w:kern w:val="0"/>
          <w:szCs w:val="21"/>
        </w:rPr>
        <w:t>QRS</w:t>
      </w:r>
      <w:r>
        <w:rPr>
          <w:rFonts w:ascii="宋体" w:hAnsi="宋体" w:hint="eastAsia"/>
          <w:kern w:val="0"/>
          <w:szCs w:val="21"/>
        </w:rPr>
        <w:t>波的关系，</w:t>
      </w:r>
      <w:r>
        <w:rPr>
          <w:rFonts w:ascii="宋体" w:hAnsi="宋体"/>
          <w:kern w:val="0"/>
          <w:szCs w:val="21"/>
        </w:rPr>
        <w:t>QRS</w:t>
      </w:r>
      <w:r>
        <w:rPr>
          <w:rFonts w:ascii="宋体" w:hAnsi="宋体" w:hint="eastAsia"/>
          <w:kern w:val="0"/>
          <w:szCs w:val="21"/>
        </w:rPr>
        <w:t>波的形态，代偿间歇。</w:t>
      </w:r>
    </w:p>
    <w:p w:rsidR="003717A0" w:rsidRDefault="003717A0">
      <w:pPr>
        <w:pStyle w:val="12"/>
        <w:ind w:firstLineChars="200" w:firstLine="420"/>
        <w:rPr>
          <w:rFonts w:ascii="宋体"/>
          <w:kern w:val="0"/>
          <w:szCs w:val="21"/>
        </w:rPr>
      </w:pPr>
      <w:r>
        <w:rPr>
          <w:rFonts w:ascii="宋体" w:hAnsi="宋体"/>
          <w:kern w:val="0"/>
          <w:szCs w:val="21"/>
        </w:rPr>
        <w:lastRenderedPageBreak/>
        <w:t>2</w:t>
      </w:r>
      <w:r>
        <w:rPr>
          <w:rFonts w:ascii="宋体" w:hAnsi="宋体" w:hint="eastAsia"/>
          <w:kern w:val="0"/>
          <w:szCs w:val="21"/>
        </w:rPr>
        <w:t>、治疗β阻滞剂和其他抗心律失常药物。</w:t>
      </w:r>
    </w:p>
    <w:p w:rsidR="003717A0" w:rsidRDefault="003717A0">
      <w:pPr>
        <w:pStyle w:val="12"/>
        <w:ind w:firstLineChars="200" w:firstLine="420"/>
        <w:rPr>
          <w:rFonts w:ascii="宋体"/>
          <w:kern w:val="0"/>
          <w:szCs w:val="21"/>
        </w:rPr>
      </w:pPr>
      <w:r>
        <w:rPr>
          <w:rFonts w:ascii="宋体" w:hAnsi="宋体" w:hint="eastAsia"/>
          <w:kern w:val="0"/>
          <w:szCs w:val="21"/>
        </w:rPr>
        <w:t>二、房性心动过速</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、病因及分类自律性房速，折返性房速，紊乱性房速。</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、临床表现心律、心音强度变化。</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、心电图及心电生理检查异位</w:t>
      </w:r>
      <w:r>
        <w:rPr>
          <w:rFonts w:ascii="宋体" w:hAnsi="宋体"/>
          <w:kern w:val="0"/>
          <w:szCs w:val="21"/>
        </w:rPr>
        <w:t>P</w:t>
      </w:r>
      <w:r>
        <w:rPr>
          <w:rFonts w:ascii="宋体" w:hAnsi="宋体" w:hint="eastAsia"/>
          <w:kern w:val="0"/>
          <w:szCs w:val="21"/>
        </w:rPr>
        <w:t>波的形态，房室传导比例，心电生理检查的特点。</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、治疗洋地黄中毒引起者的治疗，非洋地黄引起者的治疗。</w:t>
      </w:r>
    </w:p>
    <w:p w:rsidR="003717A0" w:rsidRDefault="003717A0">
      <w:pPr>
        <w:pStyle w:val="12"/>
        <w:ind w:firstLineChars="200" w:firstLine="420"/>
        <w:rPr>
          <w:rFonts w:ascii="宋体"/>
          <w:kern w:val="0"/>
          <w:szCs w:val="21"/>
        </w:rPr>
      </w:pPr>
      <w:r>
        <w:rPr>
          <w:rFonts w:ascii="宋体" w:hAnsi="宋体" w:hint="eastAsia"/>
          <w:kern w:val="0"/>
          <w:szCs w:val="21"/>
        </w:rPr>
        <w:t>三、心房扑动</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、病因阵发性房扑见于无器质性心脏病者，持续性房扑见于器质性心脏病。</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、临床表现可无症状或心力衰竭和心肌供血不足表现。</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、心电图检查锯齿状扑动波，房室传导比例。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、治疗原发病治疗，药物治疗，心导管消融。</w:t>
      </w:r>
    </w:p>
    <w:p w:rsidR="003717A0" w:rsidRDefault="003717A0">
      <w:pPr>
        <w:pStyle w:val="12"/>
        <w:ind w:firstLineChars="150" w:firstLine="315"/>
        <w:rPr>
          <w:rFonts w:ascii="宋体"/>
          <w:kern w:val="0"/>
          <w:szCs w:val="21"/>
        </w:rPr>
      </w:pPr>
      <w:r>
        <w:rPr>
          <w:rFonts w:ascii="宋体" w:hAnsi="宋体" w:hint="eastAsia"/>
          <w:kern w:val="0"/>
          <w:szCs w:val="21"/>
        </w:rPr>
        <w:t>四、心房颤动</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、病因器质性心脏病或正常人。分为阵发性或持续性，快速性或缓慢性。</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w:t>
      </w:r>
      <w:r>
        <w:rPr>
          <w:rFonts w:ascii="宋体" w:hAnsi="宋体"/>
          <w:kern w:val="0"/>
          <w:szCs w:val="21"/>
        </w:rPr>
        <w:t>3</w:t>
      </w:r>
      <w:r>
        <w:rPr>
          <w:rFonts w:ascii="宋体" w:hAnsi="宋体" w:hint="eastAsia"/>
          <w:kern w:val="0"/>
          <w:szCs w:val="21"/>
        </w:rPr>
        <w:t>个不</w:t>
      </w:r>
      <w:r>
        <w:rPr>
          <w:rFonts w:ascii="宋体" w:hAnsi="宋体"/>
          <w:kern w:val="0"/>
          <w:szCs w:val="21"/>
        </w:rPr>
        <w:t>1</w:t>
      </w:r>
      <w:r>
        <w:rPr>
          <w:rFonts w:ascii="宋体" w:hAnsi="宋体" w:hint="eastAsia"/>
          <w:kern w:val="0"/>
          <w:szCs w:val="21"/>
        </w:rPr>
        <w:t>致体征特点，可导致晕厥、心绞痛、心力衰竭和栓塞并发症。</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w:t>
      </w:r>
      <w:r>
        <w:rPr>
          <w:rFonts w:ascii="宋体" w:hAnsi="宋体"/>
          <w:kern w:val="0"/>
          <w:szCs w:val="21"/>
        </w:rPr>
        <w:t>P</w:t>
      </w:r>
      <w:r>
        <w:rPr>
          <w:rFonts w:ascii="宋体" w:hAnsi="宋体" w:hint="eastAsia"/>
          <w:kern w:val="0"/>
          <w:szCs w:val="21"/>
        </w:rPr>
        <w:t>波消失，代之以</w:t>
      </w:r>
      <w:r>
        <w:rPr>
          <w:rFonts w:ascii="宋体" w:hAnsi="宋体"/>
          <w:kern w:val="0"/>
          <w:szCs w:val="21"/>
        </w:rPr>
        <w:t>f</w:t>
      </w:r>
      <w:r>
        <w:rPr>
          <w:rFonts w:ascii="宋体" w:hAnsi="宋体" w:hint="eastAsia"/>
          <w:kern w:val="0"/>
          <w:szCs w:val="21"/>
        </w:rPr>
        <w:t>波，</w:t>
      </w:r>
      <w:r>
        <w:rPr>
          <w:rFonts w:ascii="宋体" w:hAnsi="宋体"/>
          <w:kern w:val="0"/>
          <w:szCs w:val="21"/>
        </w:rPr>
        <w:t>R—R</w:t>
      </w:r>
      <w:r>
        <w:rPr>
          <w:rFonts w:ascii="宋体" w:hAnsi="宋体" w:hint="eastAsia"/>
          <w:kern w:val="0"/>
          <w:szCs w:val="21"/>
        </w:rPr>
        <w:t>间距不等。</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、治疗急性房颤的治疗，慢性房颤的治疗特点，预防栓塞并发症。</w:t>
      </w:r>
    </w:p>
    <w:p w:rsidR="003717A0" w:rsidRDefault="003717A0">
      <w:pPr>
        <w:pStyle w:val="12"/>
        <w:rPr>
          <w:rFonts w:ascii="宋体"/>
          <w:b/>
          <w:kern w:val="0"/>
          <w:szCs w:val="21"/>
        </w:rPr>
      </w:pPr>
      <w:r>
        <w:rPr>
          <w:rFonts w:ascii="宋体" w:hAnsi="宋体" w:hint="eastAsia"/>
          <w:b/>
          <w:kern w:val="0"/>
          <w:szCs w:val="21"/>
        </w:rPr>
        <w:t>第四节房室交界区性心律失常</w:t>
      </w:r>
    </w:p>
    <w:p w:rsidR="003717A0" w:rsidRDefault="003717A0">
      <w:pPr>
        <w:pStyle w:val="12"/>
        <w:ind w:firstLineChars="200" w:firstLine="420"/>
        <w:rPr>
          <w:rFonts w:ascii="宋体"/>
          <w:kern w:val="0"/>
          <w:szCs w:val="21"/>
        </w:rPr>
      </w:pPr>
      <w:r>
        <w:rPr>
          <w:rFonts w:ascii="宋体" w:hAnsi="宋体" w:hint="eastAsia"/>
          <w:kern w:val="0"/>
          <w:szCs w:val="21"/>
        </w:rPr>
        <w:t>一、房室交界</w:t>
      </w:r>
      <w:r>
        <w:rPr>
          <w:rFonts w:ascii="宋体" w:hAnsi="宋体" w:hint="eastAsia"/>
          <w:b/>
          <w:kern w:val="0"/>
          <w:szCs w:val="21"/>
        </w:rPr>
        <w:t>区</w:t>
      </w:r>
      <w:r>
        <w:rPr>
          <w:rFonts w:ascii="宋体" w:hAnsi="宋体" w:hint="eastAsia"/>
          <w:kern w:val="0"/>
          <w:szCs w:val="21"/>
        </w:rPr>
        <w:t>性期前收缩</w:t>
      </w:r>
    </w:p>
    <w:p w:rsidR="003717A0" w:rsidRDefault="003717A0">
      <w:pPr>
        <w:pStyle w:val="12"/>
        <w:ind w:firstLineChars="200" w:firstLine="420"/>
        <w:rPr>
          <w:rFonts w:ascii="宋体"/>
          <w:kern w:val="0"/>
          <w:szCs w:val="21"/>
        </w:rPr>
      </w:pPr>
      <w:r>
        <w:rPr>
          <w:rFonts w:ascii="宋体" w:hAnsi="宋体" w:hint="eastAsia"/>
          <w:kern w:val="0"/>
          <w:szCs w:val="21"/>
        </w:rPr>
        <w:t>心电图特征</w:t>
      </w:r>
    </w:p>
    <w:p w:rsidR="003717A0" w:rsidRDefault="003717A0">
      <w:pPr>
        <w:pStyle w:val="12"/>
        <w:ind w:firstLineChars="200" w:firstLine="420"/>
        <w:rPr>
          <w:rFonts w:ascii="宋体"/>
          <w:kern w:val="0"/>
          <w:szCs w:val="21"/>
        </w:rPr>
      </w:pPr>
      <w:r>
        <w:rPr>
          <w:rFonts w:ascii="宋体" w:hAnsi="宋体" w:hint="eastAsia"/>
          <w:kern w:val="0"/>
          <w:szCs w:val="21"/>
        </w:rPr>
        <w:t>二、房室交界性逸搏与心律</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、心电图正常</w:t>
      </w:r>
      <w:r>
        <w:rPr>
          <w:rFonts w:ascii="宋体" w:hAnsi="宋体"/>
          <w:kern w:val="0"/>
          <w:szCs w:val="21"/>
        </w:rPr>
        <w:t>PP</w:t>
      </w:r>
      <w:r>
        <w:rPr>
          <w:rFonts w:ascii="宋体" w:hAnsi="宋体" w:hint="eastAsia"/>
          <w:kern w:val="0"/>
          <w:szCs w:val="21"/>
        </w:rPr>
        <w:t>间期长的间歇后出现一个正常的</w:t>
      </w:r>
      <w:r>
        <w:rPr>
          <w:rFonts w:ascii="宋体" w:hAnsi="宋体"/>
          <w:kern w:val="0"/>
          <w:szCs w:val="21"/>
        </w:rPr>
        <w:t>QRS</w:t>
      </w:r>
      <w:r>
        <w:rPr>
          <w:rFonts w:ascii="宋体" w:hAnsi="宋体" w:hint="eastAsia"/>
          <w:kern w:val="0"/>
          <w:szCs w:val="21"/>
        </w:rPr>
        <w:t>波群，</w:t>
      </w:r>
      <w:r>
        <w:rPr>
          <w:rFonts w:ascii="宋体" w:hAnsi="宋体"/>
          <w:kern w:val="0"/>
          <w:szCs w:val="21"/>
        </w:rPr>
        <w:t>P</w:t>
      </w:r>
      <w:r>
        <w:rPr>
          <w:rFonts w:ascii="宋体" w:hAnsi="宋体" w:hint="eastAsia"/>
          <w:kern w:val="0"/>
          <w:szCs w:val="21"/>
        </w:rPr>
        <w:t>波缺失或逆行，位于</w:t>
      </w:r>
      <w:r>
        <w:rPr>
          <w:rFonts w:ascii="宋体" w:hAnsi="宋体"/>
          <w:kern w:val="0"/>
          <w:szCs w:val="21"/>
        </w:rPr>
        <w:t>QRS</w:t>
      </w:r>
      <w:r>
        <w:rPr>
          <w:rFonts w:ascii="宋体" w:hAnsi="宋体" w:hint="eastAsia"/>
          <w:kern w:val="0"/>
          <w:szCs w:val="21"/>
        </w:rPr>
        <w:t>之前或后。</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、临床表现和治疗</w:t>
      </w:r>
    </w:p>
    <w:p w:rsidR="003717A0" w:rsidRDefault="003717A0">
      <w:pPr>
        <w:pStyle w:val="12"/>
        <w:rPr>
          <w:rFonts w:ascii="宋体"/>
          <w:kern w:val="0"/>
          <w:szCs w:val="21"/>
        </w:rPr>
      </w:pPr>
      <w:r>
        <w:rPr>
          <w:rFonts w:ascii="宋体" w:hAnsi="宋体" w:hint="eastAsia"/>
          <w:kern w:val="0"/>
          <w:szCs w:val="21"/>
        </w:rPr>
        <w:t>颈静脉搏动可见大</w:t>
      </w:r>
      <w:r>
        <w:rPr>
          <w:rFonts w:ascii="宋体" w:hAnsi="宋体"/>
          <w:kern w:val="0"/>
          <w:szCs w:val="21"/>
        </w:rPr>
        <w:t>a</w:t>
      </w:r>
      <w:r>
        <w:rPr>
          <w:rFonts w:ascii="宋体" w:hAnsi="宋体" w:hint="eastAsia"/>
          <w:kern w:val="0"/>
          <w:szCs w:val="21"/>
        </w:rPr>
        <w:t>波，第一心音强度变化不定。提高窦房结的冲动发放频率，改善房室传导。</w:t>
      </w:r>
    </w:p>
    <w:p w:rsidR="003717A0" w:rsidRDefault="003717A0">
      <w:pPr>
        <w:pStyle w:val="12"/>
        <w:ind w:firstLineChars="200" w:firstLine="420"/>
        <w:rPr>
          <w:rFonts w:ascii="宋体"/>
          <w:kern w:val="0"/>
          <w:szCs w:val="21"/>
        </w:rPr>
      </w:pPr>
      <w:r>
        <w:rPr>
          <w:rFonts w:ascii="宋体" w:hAnsi="宋体" w:hint="eastAsia"/>
          <w:kern w:val="0"/>
          <w:szCs w:val="21"/>
        </w:rPr>
        <w:t>三、非阵发性房室交界性心动过速</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、病因常见为洋地黄中毒及心肌病，儿茶酚胺分泌增加，心脏手术后，偶见于正常人。</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、临床表现心室律可不规则</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、心电图可出现房室分离</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、治疗针对基本病因，心房起搏，停用洋地黄药物。</w:t>
      </w:r>
    </w:p>
    <w:p w:rsidR="003717A0" w:rsidRDefault="003717A0">
      <w:pPr>
        <w:pStyle w:val="12"/>
        <w:ind w:firstLineChars="200" w:firstLine="420"/>
        <w:rPr>
          <w:rFonts w:ascii="宋体"/>
          <w:kern w:val="0"/>
          <w:szCs w:val="21"/>
        </w:rPr>
      </w:pPr>
      <w:r>
        <w:rPr>
          <w:rFonts w:ascii="宋体" w:hAnsi="宋体" w:hint="eastAsia"/>
          <w:kern w:val="0"/>
          <w:szCs w:val="21"/>
        </w:rPr>
        <w:t>四、与房室交界区相关的折返性心动过速</w:t>
      </w:r>
    </w:p>
    <w:p w:rsidR="003717A0" w:rsidRDefault="003717A0">
      <w:pPr>
        <w:pStyle w:val="12"/>
        <w:ind w:firstLineChars="150" w:firstLine="315"/>
        <w:rPr>
          <w:rFonts w:ascii="宋体"/>
          <w:kern w:val="0"/>
          <w:szCs w:val="21"/>
        </w:rPr>
      </w:pPr>
      <w:r>
        <w:rPr>
          <w:rFonts w:ascii="宋体" w:hAnsi="宋体" w:hint="eastAsia"/>
          <w:kern w:val="0"/>
          <w:szCs w:val="21"/>
        </w:rPr>
        <w:t>心电图表现</w:t>
      </w:r>
    </w:p>
    <w:p w:rsidR="003717A0" w:rsidRDefault="003717A0">
      <w:pPr>
        <w:pStyle w:val="12"/>
        <w:ind w:firstLineChars="150" w:firstLine="315"/>
        <w:rPr>
          <w:rFonts w:ascii="宋体"/>
          <w:kern w:val="0"/>
          <w:szCs w:val="21"/>
        </w:rPr>
      </w:pPr>
      <w:r>
        <w:rPr>
          <w:rFonts w:ascii="宋体" w:hAnsi="宋体" w:hint="eastAsia"/>
          <w:kern w:val="0"/>
          <w:szCs w:val="21"/>
        </w:rPr>
        <w:t>阵发性室上性心动过速</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、病因及分类绝大多数无器质性心脏病。分为房室结折返性心动过速、房室折返性心动过速。</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、临床表现突发突止，症状轻重与心室率快慢及持续时间有关，第一心音强度恒定。</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w:t>
      </w:r>
      <w:r>
        <w:rPr>
          <w:rFonts w:ascii="宋体" w:hAnsi="宋体"/>
          <w:kern w:val="0"/>
          <w:szCs w:val="21"/>
        </w:rPr>
        <w:t>P</w:t>
      </w:r>
      <w:r>
        <w:rPr>
          <w:rFonts w:ascii="宋体" w:hAnsi="宋体" w:hint="eastAsia"/>
          <w:kern w:val="0"/>
          <w:szCs w:val="21"/>
        </w:rPr>
        <w:t>波的形态，</w:t>
      </w:r>
      <w:r>
        <w:rPr>
          <w:rFonts w:ascii="宋体" w:hAnsi="宋体"/>
          <w:kern w:val="0"/>
          <w:szCs w:val="21"/>
        </w:rPr>
        <w:t>P</w:t>
      </w:r>
      <w:r>
        <w:rPr>
          <w:rFonts w:ascii="宋体" w:hAnsi="宋体" w:hint="eastAsia"/>
          <w:kern w:val="0"/>
          <w:szCs w:val="21"/>
        </w:rPr>
        <w:t>波与</w:t>
      </w:r>
      <w:r>
        <w:rPr>
          <w:rFonts w:ascii="宋体" w:hAnsi="宋体"/>
          <w:kern w:val="0"/>
          <w:szCs w:val="21"/>
        </w:rPr>
        <w:t>QRS</w:t>
      </w:r>
      <w:r>
        <w:rPr>
          <w:rFonts w:ascii="宋体" w:hAnsi="宋体" w:hint="eastAsia"/>
          <w:kern w:val="0"/>
          <w:szCs w:val="21"/>
        </w:rPr>
        <w:t>波的关系。</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、心电生理检查房室结双径路的特点。</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、治疗刺激迷走神经，药物治疗，同步直流电复律，导管消融术。</w:t>
      </w:r>
    </w:p>
    <w:p w:rsidR="003717A0" w:rsidRDefault="003717A0">
      <w:pPr>
        <w:pStyle w:val="12"/>
        <w:ind w:firstLineChars="150" w:firstLine="315"/>
        <w:rPr>
          <w:rFonts w:ascii="宋体"/>
          <w:kern w:val="0"/>
          <w:szCs w:val="21"/>
        </w:rPr>
      </w:pPr>
      <w:r>
        <w:rPr>
          <w:rFonts w:ascii="宋体" w:hAnsi="宋体" w:hint="eastAsia"/>
          <w:kern w:val="0"/>
          <w:szCs w:val="21"/>
        </w:rPr>
        <w:t>五、预激综合征</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、病因见于正常人及先天性、获得性心脏病均可出现。</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、临床表现预激出现心动过速时可导致充血性心力衰竭。</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w:t>
      </w:r>
      <w:r>
        <w:rPr>
          <w:rFonts w:ascii="宋体" w:hAnsi="宋体"/>
          <w:kern w:val="0"/>
          <w:szCs w:val="21"/>
        </w:rPr>
        <w:t>A</w:t>
      </w:r>
      <w:r>
        <w:rPr>
          <w:rFonts w:ascii="宋体" w:hAnsi="宋体" w:hint="eastAsia"/>
          <w:kern w:val="0"/>
          <w:szCs w:val="21"/>
        </w:rPr>
        <w:t>、</w:t>
      </w:r>
      <w:r>
        <w:rPr>
          <w:rFonts w:ascii="宋体" w:hAnsi="宋体"/>
          <w:kern w:val="0"/>
          <w:szCs w:val="21"/>
        </w:rPr>
        <w:t>B</w:t>
      </w:r>
      <w:r>
        <w:rPr>
          <w:rFonts w:ascii="宋体" w:hAnsi="宋体" w:hint="eastAsia"/>
          <w:kern w:val="0"/>
          <w:szCs w:val="21"/>
        </w:rPr>
        <w:t>型预激综合征的特点。</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、治疗药物、导管消融术、外科手术及电复律．</w:t>
      </w:r>
    </w:p>
    <w:p w:rsidR="003717A0" w:rsidRDefault="003717A0">
      <w:pPr>
        <w:pStyle w:val="12"/>
        <w:rPr>
          <w:rFonts w:ascii="宋体"/>
          <w:b/>
          <w:kern w:val="0"/>
          <w:szCs w:val="21"/>
        </w:rPr>
      </w:pPr>
      <w:r>
        <w:rPr>
          <w:rFonts w:ascii="宋体" w:hAnsi="宋体" w:hint="eastAsia"/>
          <w:b/>
          <w:kern w:val="0"/>
          <w:szCs w:val="21"/>
        </w:rPr>
        <w:t>第五节室性心律失常</w:t>
      </w:r>
    </w:p>
    <w:p w:rsidR="003717A0" w:rsidRDefault="003717A0">
      <w:pPr>
        <w:pStyle w:val="12"/>
        <w:ind w:firstLineChars="200" w:firstLine="420"/>
        <w:rPr>
          <w:rFonts w:ascii="宋体"/>
          <w:kern w:val="0"/>
          <w:szCs w:val="21"/>
        </w:rPr>
      </w:pPr>
      <w:r>
        <w:rPr>
          <w:rFonts w:ascii="宋体" w:hAnsi="宋体" w:hint="eastAsia"/>
          <w:kern w:val="0"/>
          <w:szCs w:val="21"/>
        </w:rPr>
        <w:t>一、室性期前收缩</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、病因正常人及各种心脏病。电、化学刺激，心脏机械刺激或手术，某些传染病和其他感染等。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、临床表现心悸，心排血量减少，晕厥、低血压及心绞痛。听诊特点。</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、心电图期前异位</w:t>
      </w:r>
      <w:r>
        <w:rPr>
          <w:rFonts w:ascii="宋体" w:hAnsi="宋体"/>
          <w:kern w:val="0"/>
          <w:szCs w:val="21"/>
        </w:rPr>
        <w:t>QRS</w:t>
      </w:r>
      <w:r>
        <w:rPr>
          <w:rFonts w:ascii="宋体" w:hAnsi="宋体" w:hint="eastAsia"/>
          <w:kern w:val="0"/>
          <w:szCs w:val="21"/>
        </w:rPr>
        <w:t>波群，其前无</w:t>
      </w:r>
      <w:r>
        <w:rPr>
          <w:rFonts w:ascii="宋体" w:hAnsi="宋体"/>
          <w:kern w:val="0"/>
          <w:szCs w:val="21"/>
        </w:rPr>
        <w:t>P</w:t>
      </w:r>
      <w:r>
        <w:rPr>
          <w:rFonts w:ascii="宋体" w:hAnsi="宋体" w:hint="eastAsia"/>
          <w:kern w:val="0"/>
          <w:szCs w:val="21"/>
        </w:rPr>
        <w:t>波，</w:t>
      </w:r>
      <w:r>
        <w:rPr>
          <w:rFonts w:ascii="宋体" w:hAnsi="宋体"/>
          <w:kern w:val="0"/>
          <w:szCs w:val="21"/>
        </w:rPr>
        <w:t>QRS</w:t>
      </w:r>
      <w:r>
        <w:rPr>
          <w:rFonts w:ascii="宋体" w:hAnsi="宋体" w:hint="eastAsia"/>
          <w:kern w:val="0"/>
          <w:szCs w:val="21"/>
        </w:rPr>
        <w:t>与</w:t>
      </w:r>
      <w:r>
        <w:rPr>
          <w:rFonts w:ascii="宋体" w:hAnsi="宋体"/>
          <w:kern w:val="0"/>
          <w:szCs w:val="21"/>
        </w:rPr>
        <w:t>T</w:t>
      </w:r>
      <w:r>
        <w:rPr>
          <w:rFonts w:ascii="宋体" w:hAnsi="宋体" w:hint="eastAsia"/>
          <w:kern w:val="0"/>
          <w:szCs w:val="21"/>
        </w:rPr>
        <w:t>波方向相反，代偿间期完全。</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、治疗治疗原发病，急性心肌缺血和慢性心脏病变并发室性期前收缩的治疗。</w:t>
      </w:r>
    </w:p>
    <w:p w:rsidR="003717A0" w:rsidRDefault="003717A0">
      <w:pPr>
        <w:pStyle w:val="12"/>
        <w:ind w:firstLineChars="200" w:firstLine="420"/>
        <w:rPr>
          <w:rFonts w:ascii="宋体"/>
          <w:kern w:val="0"/>
          <w:szCs w:val="21"/>
        </w:rPr>
      </w:pPr>
      <w:r>
        <w:rPr>
          <w:rFonts w:ascii="宋体" w:hAnsi="宋体" w:hint="eastAsia"/>
          <w:kern w:val="0"/>
          <w:szCs w:val="21"/>
        </w:rPr>
        <w:t>二、室性心动过速</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、病因各种器质性心脏病、代谢障碍、药物中毒及</w:t>
      </w:r>
      <w:r>
        <w:rPr>
          <w:rFonts w:ascii="宋体" w:hAnsi="宋体"/>
          <w:kern w:val="0"/>
          <w:szCs w:val="21"/>
        </w:rPr>
        <w:t>QT</w:t>
      </w:r>
      <w:r>
        <w:rPr>
          <w:rFonts w:ascii="宋体" w:hAnsi="宋体" w:hint="eastAsia"/>
          <w:kern w:val="0"/>
          <w:szCs w:val="21"/>
        </w:rPr>
        <w:t>间期延长综合征等。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、临床表现持续室速有明显血流动力学障碍症状。听诊特点：频率、节律、心音，颈动脉搏动。</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、心电图</w:t>
      </w:r>
      <w:r>
        <w:rPr>
          <w:rFonts w:ascii="宋体" w:hAnsi="宋体"/>
          <w:kern w:val="0"/>
          <w:szCs w:val="21"/>
        </w:rPr>
        <w:t>P</w:t>
      </w:r>
      <w:r>
        <w:rPr>
          <w:rFonts w:ascii="宋体" w:hAnsi="宋体" w:hint="eastAsia"/>
          <w:kern w:val="0"/>
          <w:szCs w:val="21"/>
        </w:rPr>
        <w:t>与</w:t>
      </w:r>
      <w:r>
        <w:rPr>
          <w:rFonts w:ascii="宋体" w:hAnsi="宋体"/>
          <w:kern w:val="0"/>
          <w:szCs w:val="21"/>
        </w:rPr>
        <w:t>QRS</w:t>
      </w:r>
      <w:r>
        <w:rPr>
          <w:rFonts w:ascii="宋体" w:hAnsi="宋体" w:hint="eastAsia"/>
          <w:kern w:val="0"/>
          <w:szCs w:val="21"/>
        </w:rPr>
        <w:t>无固定关系，心室夺获、室性融合波，</w:t>
      </w:r>
      <w:r>
        <w:rPr>
          <w:rFonts w:ascii="宋体" w:hAnsi="宋体"/>
          <w:kern w:val="0"/>
          <w:szCs w:val="21"/>
        </w:rPr>
        <w:t>QRS</w:t>
      </w:r>
      <w:r>
        <w:rPr>
          <w:rFonts w:ascii="宋体" w:hAnsi="宋体" w:hint="eastAsia"/>
          <w:kern w:val="0"/>
          <w:szCs w:val="21"/>
        </w:rPr>
        <w:t>宽大畸形。</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、治疗病因、药物治疗、电复律。</w:t>
      </w:r>
    </w:p>
    <w:p w:rsidR="003717A0" w:rsidRDefault="003717A0">
      <w:pPr>
        <w:pStyle w:val="12"/>
        <w:ind w:firstLineChars="200" w:firstLine="420"/>
        <w:rPr>
          <w:rFonts w:ascii="宋体"/>
          <w:kern w:val="0"/>
          <w:szCs w:val="21"/>
        </w:rPr>
      </w:pPr>
      <w:r>
        <w:rPr>
          <w:rFonts w:ascii="宋体" w:hAnsi="宋体" w:hint="eastAsia"/>
          <w:kern w:val="0"/>
          <w:szCs w:val="21"/>
        </w:rPr>
        <w:t>三、心室扑动与心室颤动</w:t>
      </w:r>
    </w:p>
    <w:p w:rsidR="003717A0" w:rsidRDefault="003717A0">
      <w:pPr>
        <w:pStyle w:val="12"/>
        <w:rPr>
          <w:rFonts w:ascii="宋体"/>
          <w:b/>
          <w:kern w:val="0"/>
          <w:szCs w:val="21"/>
        </w:rPr>
      </w:pPr>
      <w:r>
        <w:rPr>
          <w:rFonts w:ascii="宋体" w:hAnsi="宋体" w:hint="eastAsia"/>
          <w:b/>
          <w:kern w:val="0"/>
          <w:szCs w:val="21"/>
        </w:rPr>
        <w:t>第六节心脏传导阻滞</w:t>
      </w:r>
    </w:p>
    <w:p w:rsidR="003717A0" w:rsidRDefault="003717A0">
      <w:pPr>
        <w:pStyle w:val="12"/>
        <w:ind w:firstLineChars="200" w:firstLine="420"/>
        <w:rPr>
          <w:rFonts w:ascii="宋体"/>
          <w:kern w:val="0"/>
          <w:szCs w:val="21"/>
        </w:rPr>
      </w:pPr>
      <w:r>
        <w:rPr>
          <w:rFonts w:ascii="宋体" w:hAnsi="宋体" w:hint="eastAsia"/>
          <w:kern w:val="0"/>
          <w:szCs w:val="21"/>
        </w:rPr>
        <w:t>一、房室传导阻滞</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、病因正常人或运动员、器质性心脏病、药物、迷走神经张力增高、甲亢或甲减、心脏手术等。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、临床表现Ⅰ、Ⅱ、Ⅲ度房室传导阻滞的特点。</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、诊断根据心电图特点确诊。</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、治疗病因治疗、药物、起搏器。</w:t>
      </w:r>
    </w:p>
    <w:p w:rsidR="003717A0" w:rsidRDefault="003717A0">
      <w:pPr>
        <w:pStyle w:val="12"/>
        <w:ind w:firstLineChars="200" w:firstLine="420"/>
        <w:rPr>
          <w:rFonts w:ascii="宋体"/>
          <w:kern w:val="0"/>
          <w:szCs w:val="21"/>
        </w:rPr>
      </w:pPr>
      <w:r>
        <w:rPr>
          <w:rFonts w:ascii="宋体" w:hAnsi="宋体" w:hint="eastAsia"/>
          <w:kern w:val="0"/>
          <w:szCs w:val="21"/>
        </w:rPr>
        <w:t>二、室内传导阻滞</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、病因风心病、冠心病、肺心病及先心病等。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、心电图右束支、左束支、左前分支和左后分支传导阻滞特征。</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、治疗病因治疗，起搏器治疗。</w:t>
      </w:r>
    </w:p>
    <w:p w:rsidR="003717A0" w:rsidRDefault="003717A0">
      <w:pPr>
        <w:pStyle w:val="12"/>
        <w:rPr>
          <w:rFonts w:ascii="宋体"/>
          <w:b/>
          <w:kern w:val="0"/>
          <w:szCs w:val="21"/>
        </w:rPr>
      </w:pPr>
      <w:r>
        <w:rPr>
          <w:rFonts w:ascii="宋体" w:hAnsi="宋体" w:hint="eastAsia"/>
          <w:b/>
          <w:kern w:val="0"/>
          <w:szCs w:val="21"/>
        </w:rPr>
        <w:t>第七节抗心律失常药物的合理应用</w:t>
      </w:r>
    </w:p>
    <w:p w:rsidR="003717A0" w:rsidRDefault="003717A0">
      <w:pPr>
        <w:pStyle w:val="12"/>
        <w:rPr>
          <w:rFonts w:ascii="宋体"/>
          <w:b/>
          <w:kern w:val="0"/>
          <w:szCs w:val="21"/>
        </w:rPr>
      </w:pPr>
      <w:r>
        <w:rPr>
          <w:rFonts w:ascii="宋体" w:hAnsi="宋体" w:hint="eastAsia"/>
          <w:b/>
          <w:kern w:val="0"/>
          <w:szCs w:val="21"/>
        </w:rPr>
        <w:t>第八节心律失常的介入治疗和手术治疗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、常见心律失常的临床表现，结合病例讨论心律失常的病因、诊断、治疗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、利用多媒体复习常见心律失常心电图表现。</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、掌握常见心律失常的病因、临床表现、心电图特征和治疗原则。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、了解心律失常的发病机制、药物治疗和心电学治疗。</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第四章动脉粥样硬化和冠状动脉粥样硬化性心脏病</w:t>
      </w:r>
    </w:p>
    <w:p w:rsidR="003717A0" w:rsidRDefault="003717A0">
      <w:pPr>
        <w:pStyle w:val="12"/>
        <w:rPr>
          <w:rFonts w:ascii="宋体"/>
          <w:b/>
          <w:kern w:val="0"/>
          <w:szCs w:val="21"/>
        </w:rPr>
      </w:pPr>
      <w:r>
        <w:rPr>
          <w:rFonts w:ascii="宋体" w:hAnsi="宋体" w:hint="eastAsia"/>
          <w:b/>
          <w:kern w:val="0"/>
          <w:szCs w:val="21"/>
        </w:rPr>
        <w:t>第一节动脉粥样硬化</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、概念、病因和发病情况，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、发病机制、病理、病生分期和分类，</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、临床表现、诊断和鉴别诊断，</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、防治措施，冠心病的临床类型。</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、掌握动脉粥样硬化的病因、发病机制、分型及防治措施，各种类型冠心病的临床表现、诊断、鉴别诊断及防治措施。</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、了解本病的其他内容</w:t>
      </w:r>
    </w:p>
    <w:p w:rsidR="003717A0" w:rsidRDefault="003717A0">
      <w:pPr>
        <w:pStyle w:val="12"/>
        <w:rPr>
          <w:rFonts w:ascii="宋体"/>
          <w:b/>
          <w:kern w:val="0"/>
          <w:szCs w:val="21"/>
        </w:rPr>
      </w:pPr>
      <w:r>
        <w:rPr>
          <w:rFonts w:ascii="宋体" w:hAnsi="宋体" w:hint="eastAsia"/>
          <w:b/>
          <w:kern w:val="0"/>
          <w:szCs w:val="21"/>
        </w:rPr>
        <w:t>第二节冠状动脉粥样硬化性心脏病概述</w:t>
      </w:r>
    </w:p>
    <w:p w:rsidR="003717A0" w:rsidRDefault="003717A0">
      <w:pPr>
        <w:pStyle w:val="12"/>
        <w:rPr>
          <w:rFonts w:ascii="宋体"/>
          <w:kern w:val="0"/>
          <w:szCs w:val="21"/>
        </w:rPr>
      </w:pPr>
      <w:r>
        <w:rPr>
          <w:rFonts w:ascii="宋体" w:hAnsi="宋体"/>
          <w:kern w:val="0"/>
          <w:szCs w:val="21"/>
        </w:rPr>
        <w:t>WHO</w:t>
      </w:r>
      <w:r>
        <w:rPr>
          <w:rFonts w:ascii="宋体" w:hAnsi="宋体" w:hint="eastAsia"/>
          <w:kern w:val="0"/>
          <w:szCs w:val="21"/>
        </w:rPr>
        <w:t>冠心病分型：</w:t>
      </w:r>
      <w:r>
        <w:rPr>
          <w:rFonts w:ascii="宋体" w:hAnsi="宋体"/>
          <w:kern w:val="0"/>
          <w:szCs w:val="21"/>
        </w:rPr>
        <w:t>5</w:t>
      </w:r>
      <w:r>
        <w:rPr>
          <w:rFonts w:ascii="宋体" w:hAnsi="宋体" w:hint="eastAsia"/>
          <w:kern w:val="0"/>
          <w:szCs w:val="21"/>
        </w:rPr>
        <w:t>型。</w:t>
      </w:r>
    </w:p>
    <w:p w:rsidR="003717A0" w:rsidRDefault="003717A0">
      <w:pPr>
        <w:pStyle w:val="12"/>
        <w:rPr>
          <w:rFonts w:ascii="宋体"/>
          <w:kern w:val="0"/>
          <w:szCs w:val="21"/>
        </w:rPr>
      </w:pPr>
      <w:r>
        <w:rPr>
          <w:rFonts w:ascii="宋体" w:hAnsi="宋体" w:hint="eastAsia"/>
          <w:kern w:val="0"/>
          <w:szCs w:val="21"/>
        </w:rPr>
        <w:t>心绞痛</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b/>
          <w:kern w:val="0"/>
          <w:szCs w:val="21"/>
        </w:rPr>
      </w:pPr>
      <w:r>
        <w:rPr>
          <w:rFonts w:ascii="宋体" w:hAnsi="宋体" w:hint="eastAsia"/>
          <w:b/>
          <w:kern w:val="0"/>
          <w:szCs w:val="21"/>
        </w:rPr>
        <w:lastRenderedPageBreak/>
        <w:t>第三节稳定型心绞痛</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、概念与发病机制</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、病理和病生心绞痛发作前和发作时的病理生理变化。</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、临床表现发作性胸痛的部位、性质、诱因、时间、缓解，心率增快、血压增高、</w:t>
      </w:r>
      <w:r>
        <w:rPr>
          <w:rFonts w:ascii="宋体" w:hAnsi="宋体"/>
          <w:kern w:val="0"/>
          <w:szCs w:val="21"/>
        </w:rPr>
        <w:t>S</w:t>
      </w:r>
      <w:r>
        <w:rPr>
          <w:rFonts w:ascii="宋体" w:hAnsi="宋体"/>
          <w:kern w:val="0"/>
          <w:szCs w:val="21"/>
          <w:vertAlign w:val="subscript"/>
        </w:rPr>
        <w:t>3</w:t>
      </w:r>
      <w:r>
        <w:rPr>
          <w:rFonts w:ascii="宋体" w:hAnsi="宋体"/>
          <w:kern w:val="0"/>
          <w:szCs w:val="21"/>
        </w:rPr>
        <w:t>S</w:t>
      </w:r>
      <w:r>
        <w:rPr>
          <w:rFonts w:ascii="宋体" w:hAnsi="宋体"/>
          <w:kern w:val="0"/>
          <w:szCs w:val="21"/>
          <w:vertAlign w:val="subscript"/>
        </w:rPr>
        <w:t>4</w:t>
      </w:r>
      <w:r>
        <w:rPr>
          <w:rFonts w:ascii="宋体" w:hAnsi="宋体" w:hint="eastAsia"/>
          <w:kern w:val="0"/>
          <w:szCs w:val="21"/>
          <w:vertAlign w:val="subscript"/>
        </w:rPr>
        <w:t>，</w:t>
      </w:r>
      <w:r>
        <w:rPr>
          <w:rFonts w:ascii="宋体" w:hAnsi="宋体" w:hint="eastAsia"/>
          <w:kern w:val="0"/>
          <w:szCs w:val="21"/>
        </w:rPr>
        <w:t>奔马律。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、实验室和其他检查各项检查的适应证及临床意义。</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）心脏</w:t>
      </w:r>
      <w:r>
        <w:rPr>
          <w:rFonts w:ascii="宋体" w:hAnsi="宋体"/>
          <w:kern w:val="0"/>
          <w:szCs w:val="21"/>
        </w:rPr>
        <w:t>X</w:t>
      </w:r>
      <w:r>
        <w:rPr>
          <w:rFonts w:ascii="宋体" w:hAnsi="宋体" w:hint="eastAsia"/>
          <w:kern w:val="0"/>
          <w:szCs w:val="21"/>
        </w:rPr>
        <w:t>线检查。</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）心电图检查：心绞痛发作心电图，心电图负荷试验，心电图连续监测。</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）放射性核素检查，冠状动脉造影，三维超声心动图，心肌超声造影等。</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、诊断及鉴别诊断</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）诊断依据：病史，辅助检查，易患因素。</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）鉴别诊断：心梗、其他心绞痛、肋间神经痛、肋软骨炎、反流性食管疾病、肺癌、溃疡病。</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、防治</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）发作期的治疗：休息、硝酸甘油、硝酸异山梨酯等。</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）缓解期的治疗：药物、介入、手术等。</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、见习典型病例及心电图和运动试验。</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、作出临床分型诊断，提出治疗方案。</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、掌握典型心绞痛发作的临床表现、临床分型、心电图变化、诊断依据、鉴别诊断和治疗原则。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、了解本病的预后及预防。</w:t>
      </w:r>
    </w:p>
    <w:p w:rsidR="003717A0" w:rsidRDefault="003717A0">
      <w:pPr>
        <w:pStyle w:val="12"/>
        <w:rPr>
          <w:rFonts w:ascii="宋体"/>
          <w:b/>
          <w:kern w:val="0"/>
          <w:szCs w:val="21"/>
        </w:rPr>
      </w:pPr>
      <w:r>
        <w:rPr>
          <w:rFonts w:ascii="宋体" w:hAnsi="宋体" w:hint="eastAsia"/>
          <w:b/>
          <w:kern w:val="0"/>
          <w:szCs w:val="21"/>
        </w:rPr>
        <w:t>第四节急性冠状动脉综合征</w:t>
      </w:r>
    </w:p>
    <w:p w:rsidR="003717A0" w:rsidRDefault="003717A0">
      <w:pPr>
        <w:pStyle w:val="12"/>
        <w:ind w:firstLineChars="200" w:firstLine="420"/>
        <w:rPr>
          <w:rFonts w:ascii="宋体"/>
          <w:kern w:val="0"/>
          <w:szCs w:val="21"/>
        </w:rPr>
      </w:pPr>
      <w:r>
        <w:rPr>
          <w:rFonts w:ascii="宋体" w:hAnsi="宋体" w:hint="eastAsia"/>
          <w:kern w:val="0"/>
          <w:szCs w:val="21"/>
        </w:rPr>
        <w:t>一、不稳定心绞痛</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、概念、发病机制、临床表现</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、防治一般处理，缓解痉挛，抗栓（凝），有条件医院冠脉造影、介入治疗或外科手术治疗。</w:t>
      </w:r>
    </w:p>
    <w:p w:rsidR="003717A0" w:rsidRDefault="003717A0">
      <w:pPr>
        <w:pStyle w:val="12"/>
        <w:ind w:firstLineChars="200" w:firstLine="420"/>
        <w:rPr>
          <w:rFonts w:ascii="宋体"/>
          <w:kern w:val="0"/>
          <w:szCs w:val="21"/>
        </w:rPr>
      </w:pPr>
      <w:r>
        <w:rPr>
          <w:rFonts w:ascii="宋体" w:hAnsi="宋体" w:hint="eastAsia"/>
          <w:kern w:val="0"/>
          <w:szCs w:val="21"/>
        </w:rPr>
        <w:t>二、心肌梗死</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、概念及流行病学</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、病因发病机制</w:t>
      </w:r>
    </w:p>
    <w:p w:rsidR="003717A0" w:rsidRDefault="003717A0">
      <w:pPr>
        <w:pStyle w:val="12"/>
        <w:rPr>
          <w:rFonts w:ascii="宋体"/>
          <w:kern w:val="0"/>
          <w:szCs w:val="21"/>
        </w:rPr>
      </w:pPr>
      <w:r>
        <w:rPr>
          <w:rFonts w:ascii="宋体" w:hAnsi="宋体" w:hint="eastAsia"/>
          <w:kern w:val="0"/>
          <w:szCs w:val="21"/>
        </w:rPr>
        <w:t>冠脉硬化狭窄，血供中断，心肌急性缺血梗死。斑块破裂、出血及血栓为诱因。</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、病理及病理生理冠状动脉病变，心肌病变。</w:t>
      </w:r>
      <w:r>
        <w:rPr>
          <w:rFonts w:ascii="宋体" w:hAnsi="宋体"/>
          <w:kern w:val="0"/>
          <w:szCs w:val="21"/>
        </w:rPr>
        <w:t>Killip</w:t>
      </w:r>
      <w:r>
        <w:rPr>
          <w:rFonts w:ascii="宋体" w:hAnsi="宋体" w:hint="eastAsia"/>
          <w:kern w:val="0"/>
          <w:szCs w:val="21"/>
        </w:rPr>
        <w:t>分级法。</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）先兆与症状：胸痛、全身与胃肠道症状、心律失常、低血压、休克和心力衰竭。</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）体征：心脏稍大、心率增快，</w:t>
      </w:r>
      <w:r>
        <w:rPr>
          <w:rFonts w:ascii="宋体" w:hAnsi="宋体"/>
          <w:kern w:val="0"/>
          <w:szCs w:val="21"/>
        </w:rPr>
        <w:t>S</w:t>
      </w:r>
      <w:r>
        <w:rPr>
          <w:rFonts w:ascii="宋体" w:hAnsi="宋体"/>
          <w:kern w:val="0"/>
          <w:szCs w:val="21"/>
          <w:vertAlign w:val="subscript"/>
        </w:rPr>
        <w:t>1</w:t>
      </w:r>
      <w:r>
        <w:rPr>
          <w:rFonts w:ascii="宋体" w:hAnsi="宋体" w:hint="eastAsia"/>
          <w:kern w:val="0"/>
          <w:szCs w:val="21"/>
        </w:rPr>
        <w:t>减低，</w:t>
      </w:r>
      <w:r>
        <w:rPr>
          <w:rFonts w:ascii="宋体" w:hAnsi="宋体"/>
          <w:kern w:val="0"/>
          <w:szCs w:val="21"/>
        </w:rPr>
        <w:t>S</w:t>
      </w:r>
      <w:r>
        <w:rPr>
          <w:rFonts w:ascii="宋体" w:hAnsi="宋体"/>
          <w:kern w:val="0"/>
          <w:szCs w:val="21"/>
          <w:vertAlign w:val="subscript"/>
        </w:rPr>
        <w:t>4</w:t>
      </w:r>
      <w:r>
        <w:rPr>
          <w:rFonts w:ascii="宋体" w:hAnsi="宋体" w:hint="eastAsia"/>
          <w:kern w:val="0"/>
          <w:szCs w:val="21"/>
        </w:rPr>
        <w:t>、</w:t>
      </w:r>
      <w:r>
        <w:rPr>
          <w:rFonts w:ascii="宋体" w:hAnsi="宋体"/>
          <w:kern w:val="0"/>
          <w:szCs w:val="21"/>
        </w:rPr>
        <w:t>S</w:t>
      </w:r>
      <w:r>
        <w:rPr>
          <w:rFonts w:ascii="宋体" w:hAnsi="宋体"/>
          <w:kern w:val="0"/>
          <w:szCs w:val="21"/>
          <w:vertAlign w:val="subscript"/>
        </w:rPr>
        <w:t>3</w:t>
      </w:r>
      <w:r>
        <w:rPr>
          <w:rFonts w:ascii="宋体" w:hAnsi="宋体" w:hint="eastAsia"/>
          <w:kern w:val="0"/>
          <w:szCs w:val="21"/>
        </w:rPr>
        <w:t>，血压下降，心律失常、休克或心力衰竭。</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、实验室及其他检查</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）心电图：特征性改变、动态改变、定性和定范围。</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）放射性核素：超声心动图</w:t>
      </w:r>
      <w:r>
        <w:rPr>
          <w:rFonts w:ascii="宋体" w:hAnsi="宋体"/>
          <w:kern w:val="0"/>
          <w:szCs w:val="21"/>
        </w:rPr>
        <w:t>T1</w:t>
      </w:r>
      <w:r>
        <w:rPr>
          <w:rFonts w:ascii="宋体" w:hAnsi="宋体" w:hint="eastAsia"/>
          <w:kern w:val="0"/>
          <w:szCs w:val="21"/>
        </w:rPr>
        <w:t>冷点扫描梗死区缺损等。</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）实验室检查：心肌坏死标记物检查增高，白细胞数增高、</w:t>
      </w:r>
      <w:r>
        <w:rPr>
          <w:rFonts w:ascii="宋体" w:hAnsi="宋体"/>
          <w:kern w:val="0"/>
          <w:szCs w:val="21"/>
        </w:rPr>
        <w:t>ESR</w:t>
      </w:r>
      <w:r>
        <w:rPr>
          <w:rFonts w:ascii="宋体" w:hAnsi="宋体" w:hint="eastAsia"/>
          <w:kern w:val="0"/>
          <w:szCs w:val="21"/>
        </w:rPr>
        <w:t>增快、</w:t>
      </w:r>
      <w:r>
        <w:rPr>
          <w:rFonts w:ascii="宋体" w:hAnsi="宋体"/>
          <w:kern w:val="0"/>
          <w:szCs w:val="21"/>
        </w:rPr>
        <w:t>CRP</w:t>
      </w:r>
      <w:r>
        <w:rPr>
          <w:rFonts w:ascii="宋体" w:hAnsi="宋体" w:hint="eastAsia"/>
          <w:kern w:val="0"/>
          <w:szCs w:val="21"/>
        </w:rPr>
        <w:t>增高。</w:t>
      </w:r>
    </w:p>
    <w:p w:rsidR="003717A0" w:rsidRDefault="003717A0">
      <w:pPr>
        <w:pStyle w:val="12"/>
        <w:ind w:firstLineChars="150" w:firstLine="315"/>
        <w:rPr>
          <w:rFonts w:ascii="宋体"/>
          <w:kern w:val="0"/>
          <w:szCs w:val="21"/>
        </w:rPr>
      </w:pPr>
      <w:r>
        <w:rPr>
          <w:rFonts w:ascii="宋体" w:hAnsi="宋体"/>
          <w:kern w:val="0"/>
          <w:szCs w:val="21"/>
        </w:rPr>
        <w:t>6</w:t>
      </w:r>
      <w:r>
        <w:rPr>
          <w:rFonts w:ascii="宋体" w:hAnsi="宋体" w:hint="eastAsia"/>
          <w:kern w:val="0"/>
          <w:szCs w:val="21"/>
        </w:rPr>
        <w:t>、诊断和鉴别诊断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）诊断依据：症状、心电图、心肌坏死标记物。</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）鉴别：心绞痛、急性心包炎、急性肺动脉栓塞、急腹症及主动脉夹层。</w:t>
      </w:r>
    </w:p>
    <w:p w:rsidR="003717A0" w:rsidRDefault="003717A0">
      <w:pPr>
        <w:pStyle w:val="12"/>
        <w:ind w:firstLineChars="150" w:firstLine="315"/>
        <w:rPr>
          <w:rFonts w:ascii="宋体"/>
          <w:kern w:val="0"/>
          <w:szCs w:val="21"/>
        </w:rPr>
      </w:pPr>
      <w:r>
        <w:rPr>
          <w:rFonts w:ascii="宋体" w:hAnsi="宋体"/>
          <w:kern w:val="0"/>
          <w:szCs w:val="21"/>
        </w:rPr>
        <w:t>7</w:t>
      </w:r>
      <w:r>
        <w:rPr>
          <w:rFonts w:ascii="宋体" w:hAnsi="宋体" w:hint="eastAsia"/>
          <w:kern w:val="0"/>
          <w:szCs w:val="21"/>
        </w:rPr>
        <w:t>、并发症乳头肌功能失调和断裂、心脏破裂、栓塞、心室壁瘤及心肌梗死后综合征。</w:t>
      </w:r>
    </w:p>
    <w:p w:rsidR="003717A0" w:rsidRDefault="003717A0">
      <w:pPr>
        <w:pStyle w:val="12"/>
        <w:ind w:firstLineChars="150" w:firstLine="315"/>
        <w:rPr>
          <w:rFonts w:ascii="宋体"/>
          <w:kern w:val="0"/>
          <w:szCs w:val="21"/>
        </w:rPr>
      </w:pPr>
      <w:r>
        <w:rPr>
          <w:rFonts w:ascii="宋体" w:hAnsi="宋体"/>
          <w:kern w:val="0"/>
          <w:szCs w:val="21"/>
        </w:rPr>
        <w:t>8</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）治疗原则、监护和一般治疗，解除疼痛：吗啡、度冷丁。</w:t>
      </w:r>
    </w:p>
    <w:p w:rsidR="003717A0" w:rsidRDefault="003717A0">
      <w:pPr>
        <w:pStyle w:val="12"/>
        <w:ind w:firstLineChars="100" w:firstLine="210"/>
        <w:rPr>
          <w:rFonts w:ascii="宋体"/>
          <w:kern w:val="0"/>
          <w:szCs w:val="21"/>
        </w:rPr>
      </w:pPr>
      <w:r>
        <w:rPr>
          <w:rFonts w:ascii="宋体" w:hAnsi="宋体" w:hint="eastAsia"/>
          <w:kern w:val="0"/>
          <w:szCs w:val="21"/>
        </w:rPr>
        <w:lastRenderedPageBreak/>
        <w:t>（</w:t>
      </w:r>
      <w:r>
        <w:rPr>
          <w:rFonts w:ascii="宋体" w:hAnsi="宋体"/>
          <w:kern w:val="0"/>
          <w:szCs w:val="21"/>
        </w:rPr>
        <w:t>2</w:t>
      </w:r>
      <w:r>
        <w:rPr>
          <w:rFonts w:ascii="宋体" w:hAnsi="宋体" w:hint="eastAsia"/>
          <w:kern w:val="0"/>
          <w:szCs w:val="21"/>
        </w:rPr>
        <w:t>）再灌注心肌：介入治疗、溶解血栓疗法。</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）消除心律失常，控制休克，治疗心力衰竭。</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）恢复期的处理，并发症处理，右心室心肌梗死的处理，非</w:t>
      </w:r>
      <w:r>
        <w:rPr>
          <w:rFonts w:ascii="宋体" w:hAnsi="宋体"/>
          <w:kern w:val="0"/>
          <w:szCs w:val="21"/>
        </w:rPr>
        <w:t>ST</w:t>
      </w:r>
      <w:r>
        <w:rPr>
          <w:rFonts w:ascii="宋体" w:hAnsi="宋体" w:hint="eastAsia"/>
          <w:kern w:val="0"/>
          <w:szCs w:val="21"/>
        </w:rPr>
        <w:t>段抬高心肌梗死的处理。</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5</w:t>
      </w:r>
      <w:r>
        <w:rPr>
          <w:rFonts w:ascii="宋体" w:hAnsi="宋体" w:hint="eastAsia"/>
          <w:kern w:val="0"/>
          <w:szCs w:val="21"/>
        </w:rPr>
        <w:t>）治疗指南。</w:t>
      </w:r>
    </w:p>
    <w:p w:rsidR="003717A0" w:rsidRDefault="003717A0">
      <w:pPr>
        <w:pStyle w:val="12"/>
        <w:ind w:firstLineChars="150" w:firstLine="315"/>
        <w:rPr>
          <w:rFonts w:ascii="宋体"/>
          <w:kern w:val="0"/>
          <w:szCs w:val="21"/>
        </w:rPr>
      </w:pPr>
      <w:r>
        <w:rPr>
          <w:rFonts w:ascii="宋体" w:hAnsi="宋体"/>
          <w:kern w:val="0"/>
          <w:szCs w:val="21"/>
        </w:rPr>
        <w:t>9</w:t>
      </w:r>
      <w:r>
        <w:rPr>
          <w:rFonts w:ascii="宋体" w:hAnsi="宋体" w:hint="eastAsia"/>
          <w:kern w:val="0"/>
          <w:szCs w:val="21"/>
        </w:rPr>
        <w:t>、预后及预防</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、见习典型病例、心电图和心肌酶学演变过程，冠状动脉造影图片。</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、提出治疗方案。</w:t>
      </w:r>
    </w:p>
    <w:p w:rsidR="003717A0" w:rsidRDefault="003717A0">
      <w:pPr>
        <w:pStyle w:val="12"/>
        <w:rPr>
          <w:rFonts w:ascii="宋体"/>
          <w:b/>
          <w:kern w:val="0"/>
          <w:szCs w:val="21"/>
        </w:rPr>
      </w:pPr>
      <w:r>
        <w:rPr>
          <w:rFonts w:ascii="宋体" w:hAnsi="宋体" w:hint="eastAsia"/>
          <w:b/>
          <w:kern w:val="0"/>
          <w:szCs w:val="21"/>
        </w:rPr>
        <w:t>目标耍求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、掌握心肌梗死的临床表现、并发症、心电图、心肌坏死标记物变化、诊断、鉴别诊断和治疗措施。</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、了解本病的病因、发病机制、介入治疗、预后及预防．</w:t>
      </w:r>
    </w:p>
    <w:p w:rsidR="003717A0" w:rsidRDefault="003717A0">
      <w:pPr>
        <w:pStyle w:val="12"/>
        <w:rPr>
          <w:rFonts w:ascii="宋体"/>
          <w:b/>
          <w:kern w:val="0"/>
          <w:szCs w:val="21"/>
        </w:rPr>
      </w:pPr>
      <w:r>
        <w:rPr>
          <w:rFonts w:ascii="宋体" w:hAnsi="宋体" w:hint="eastAsia"/>
          <w:b/>
          <w:kern w:val="0"/>
          <w:szCs w:val="21"/>
        </w:rPr>
        <w:t>第五节冠状动脉疾病的其他表现形式</w:t>
      </w:r>
    </w:p>
    <w:p w:rsidR="003717A0" w:rsidRDefault="003717A0">
      <w:pPr>
        <w:pStyle w:val="12"/>
        <w:rPr>
          <w:rFonts w:ascii="宋体"/>
          <w:kern w:val="0"/>
          <w:szCs w:val="21"/>
        </w:rPr>
      </w:pPr>
      <w:r>
        <w:rPr>
          <w:rFonts w:ascii="宋体" w:hAnsi="宋体" w:hint="eastAsia"/>
          <w:kern w:val="0"/>
          <w:szCs w:val="21"/>
        </w:rPr>
        <w:t>无症状心肌缺血</w:t>
      </w:r>
    </w:p>
    <w:p w:rsidR="003717A0" w:rsidRDefault="003717A0">
      <w:pPr>
        <w:pStyle w:val="12"/>
        <w:rPr>
          <w:rFonts w:ascii="宋体"/>
          <w:kern w:val="0"/>
          <w:szCs w:val="21"/>
        </w:rPr>
      </w:pPr>
      <w:r>
        <w:rPr>
          <w:rFonts w:ascii="宋体" w:hAnsi="宋体" w:hint="eastAsia"/>
          <w:kern w:val="0"/>
          <w:szCs w:val="21"/>
        </w:rPr>
        <w:t>概述，临床表现，诊断和鉴别诊断，防治。</w:t>
      </w:r>
    </w:p>
    <w:p w:rsidR="003717A0" w:rsidRDefault="003717A0">
      <w:pPr>
        <w:pStyle w:val="12"/>
        <w:rPr>
          <w:rFonts w:ascii="宋体"/>
          <w:kern w:val="0"/>
          <w:szCs w:val="21"/>
        </w:rPr>
      </w:pPr>
      <w:r>
        <w:rPr>
          <w:rFonts w:ascii="宋体" w:hAnsi="宋体" w:hint="eastAsia"/>
          <w:kern w:val="0"/>
          <w:szCs w:val="21"/>
        </w:rPr>
        <w:t>缺血性心肌病</w:t>
      </w:r>
    </w:p>
    <w:p w:rsidR="003717A0" w:rsidRDefault="003717A0">
      <w:pPr>
        <w:pStyle w:val="12"/>
        <w:rPr>
          <w:rFonts w:ascii="宋体"/>
          <w:kern w:val="0"/>
          <w:szCs w:val="21"/>
        </w:rPr>
      </w:pPr>
      <w:r>
        <w:rPr>
          <w:rFonts w:ascii="宋体" w:hAnsi="宋体" w:hint="eastAsia"/>
          <w:kern w:val="0"/>
          <w:szCs w:val="21"/>
        </w:rPr>
        <w:t>概述，病理，临床表现，诊断和鉴别诊断，预后及防治。</w:t>
      </w:r>
    </w:p>
    <w:p w:rsidR="003717A0" w:rsidRDefault="003717A0">
      <w:pPr>
        <w:pStyle w:val="12"/>
        <w:rPr>
          <w:rFonts w:ascii="宋体"/>
          <w:kern w:val="0"/>
          <w:szCs w:val="21"/>
        </w:rPr>
      </w:pPr>
      <w:r>
        <w:rPr>
          <w:rFonts w:ascii="宋体" w:hAnsi="宋体" w:hint="eastAsia"/>
          <w:kern w:val="0"/>
          <w:szCs w:val="21"/>
        </w:rPr>
        <w:t>猝死</w:t>
      </w:r>
    </w:p>
    <w:p w:rsidR="003717A0" w:rsidRDefault="003717A0">
      <w:pPr>
        <w:pStyle w:val="12"/>
        <w:rPr>
          <w:rFonts w:ascii="宋体"/>
          <w:kern w:val="0"/>
          <w:szCs w:val="21"/>
        </w:rPr>
      </w:pPr>
      <w:r>
        <w:rPr>
          <w:rFonts w:ascii="宋体" w:hAnsi="宋体" w:hint="eastAsia"/>
          <w:kern w:val="0"/>
          <w:szCs w:val="21"/>
        </w:rPr>
        <w:t>概述，</w:t>
      </w:r>
    </w:p>
    <w:p w:rsidR="003717A0" w:rsidRDefault="003717A0">
      <w:pPr>
        <w:pStyle w:val="12"/>
        <w:rPr>
          <w:rFonts w:ascii="宋体"/>
          <w:kern w:val="0"/>
          <w:szCs w:val="21"/>
        </w:rPr>
      </w:pPr>
      <w:r>
        <w:rPr>
          <w:rFonts w:ascii="宋体" w:hAnsi="宋体" w:hint="eastAsia"/>
          <w:kern w:val="0"/>
          <w:szCs w:val="21"/>
        </w:rPr>
        <w:t>冠心病的介入诊断和治疗</w:t>
      </w:r>
    </w:p>
    <w:p w:rsidR="003717A0" w:rsidRDefault="003717A0">
      <w:pPr>
        <w:pStyle w:val="12"/>
        <w:rPr>
          <w:rFonts w:ascii="宋体"/>
          <w:kern w:val="0"/>
          <w:szCs w:val="21"/>
        </w:rPr>
      </w:pPr>
      <w:r>
        <w:rPr>
          <w:rFonts w:ascii="宋体" w:hAnsi="宋体" w:hint="eastAsia"/>
          <w:kern w:val="0"/>
          <w:szCs w:val="21"/>
        </w:rPr>
        <w:t>冠状动脉造影及冠心病的介入治疗。</w:t>
      </w:r>
    </w:p>
    <w:p w:rsidR="003717A0" w:rsidRDefault="003717A0">
      <w:pPr>
        <w:pStyle w:val="12"/>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第五章高血压</w:t>
      </w:r>
    </w:p>
    <w:p w:rsidR="003717A0" w:rsidRDefault="003717A0">
      <w:pPr>
        <w:pStyle w:val="12"/>
        <w:rPr>
          <w:rFonts w:ascii="宋体"/>
          <w:b/>
          <w:kern w:val="0"/>
          <w:szCs w:val="21"/>
        </w:rPr>
      </w:pPr>
      <w:r>
        <w:rPr>
          <w:rFonts w:ascii="宋体" w:hAnsi="宋体" w:hint="eastAsia"/>
          <w:b/>
          <w:kern w:val="0"/>
          <w:szCs w:val="21"/>
        </w:rPr>
        <w:t>第一节原发性高血压</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、血压分类和定义国际统一的高血压分类和标准，高血压的定义、分级。</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、流行病学我国高血压病的发病情况。</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、病因原发性高血压病因多因素，分遗传和环境因素。</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、发病机制交感神经系统活性亢进，肾脏水钠潴留，肾素</w:t>
      </w:r>
      <w:r>
        <w:rPr>
          <w:rFonts w:ascii="宋体" w:hAnsi="宋体"/>
          <w:kern w:val="0"/>
          <w:szCs w:val="21"/>
        </w:rPr>
        <w:t>—</w:t>
      </w:r>
      <w:r>
        <w:rPr>
          <w:rFonts w:ascii="宋体" w:hAnsi="宋体" w:hint="eastAsia"/>
          <w:kern w:val="0"/>
          <w:szCs w:val="21"/>
        </w:rPr>
        <w:t>血管紧张素</w:t>
      </w:r>
      <w:r>
        <w:rPr>
          <w:rFonts w:ascii="宋体" w:hAnsi="宋体"/>
          <w:kern w:val="0"/>
          <w:szCs w:val="21"/>
        </w:rPr>
        <w:t>—</w:t>
      </w:r>
      <w:r>
        <w:rPr>
          <w:rFonts w:ascii="宋体" w:hAnsi="宋体" w:hint="eastAsia"/>
          <w:kern w:val="0"/>
          <w:szCs w:val="21"/>
        </w:rPr>
        <w:t>醛固酮系统激活，细胞膜离子转运异常，胰岛素抵抗。</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、病理</w:t>
      </w:r>
    </w:p>
    <w:p w:rsidR="003717A0" w:rsidRDefault="003717A0">
      <w:pPr>
        <w:pStyle w:val="12"/>
        <w:rPr>
          <w:rFonts w:ascii="宋体"/>
          <w:kern w:val="0"/>
          <w:szCs w:val="21"/>
        </w:rPr>
      </w:pPr>
      <w:r>
        <w:rPr>
          <w:rFonts w:ascii="宋体" w:hAnsi="宋体" w:hint="eastAsia"/>
          <w:kern w:val="0"/>
          <w:szCs w:val="21"/>
        </w:rPr>
        <w:t>长期高血压引起全身小动脉痉挛，平滑肌细胞增殖和纤维化，管壁增厚和管腔狭窄，导致心、脑、肾组织缺血，可促进动脉粥样硬化的形成及发展，累及中、大动脉。</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、临床表现及并发症症状、体征，急性或急进性高血压及并发症。</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、诊断和鉴别诊断诊断标准，排除继发性高血压，高血压的危险分层标准。</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、实验室检查常规检查，特殊检查（包括</w:t>
      </w:r>
      <w:r>
        <w:rPr>
          <w:rFonts w:ascii="宋体" w:hAnsi="宋体"/>
          <w:kern w:val="0"/>
          <w:szCs w:val="21"/>
        </w:rPr>
        <w:t>24</w:t>
      </w:r>
      <w:r>
        <w:rPr>
          <w:rFonts w:ascii="宋体" w:hAnsi="宋体" w:hint="eastAsia"/>
          <w:kern w:val="0"/>
          <w:szCs w:val="21"/>
        </w:rPr>
        <w:t>小时动态血压监测等）。</w:t>
      </w:r>
    </w:p>
    <w:p w:rsidR="003717A0" w:rsidRDefault="003717A0">
      <w:pPr>
        <w:pStyle w:val="12"/>
        <w:ind w:firstLineChars="200" w:firstLine="420"/>
        <w:rPr>
          <w:rFonts w:ascii="宋体"/>
          <w:kern w:val="0"/>
          <w:szCs w:val="21"/>
        </w:rPr>
      </w:pPr>
      <w:r>
        <w:rPr>
          <w:rFonts w:ascii="宋体" w:hAnsi="宋体"/>
          <w:kern w:val="0"/>
          <w:szCs w:val="21"/>
        </w:rPr>
        <w:t>9</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）目的与原则：减少心血管病发生率和死亡率。改善生活行为，降压药治疗，血压控制目标值。</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）药物治疗：</w:t>
      </w:r>
      <w:r>
        <w:rPr>
          <w:rFonts w:ascii="宋体" w:hAnsi="宋体"/>
          <w:kern w:val="0"/>
          <w:szCs w:val="21"/>
        </w:rPr>
        <w:t>5</w:t>
      </w:r>
      <w:r>
        <w:rPr>
          <w:rFonts w:ascii="宋体" w:hAnsi="宋体" w:hint="eastAsia"/>
          <w:kern w:val="0"/>
          <w:szCs w:val="21"/>
        </w:rPr>
        <w:t>大类降压药及其它降压药治疗，降压药物作用特点，降压治疗方案。</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）有并发症和合并症的降压治疗，顽固性高血压的治疗，高血压治疗指南。</w:t>
      </w:r>
    </w:p>
    <w:p w:rsidR="003717A0" w:rsidRDefault="003717A0">
      <w:pPr>
        <w:pStyle w:val="12"/>
        <w:ind w:firstLineChars="200" w:firstLine="420"/>
        <w:rPr>
          <w:rFonts w:ascii="宋体"/>
          <w:kern w:val="0"/>
          <w:szCs w:val="21"/>
        </w:rPr>
      </w:pPr>
      <w:r>
        <w:rPr>
          <w:rFonts w:ascii="宋体" w:hAnsi="宋体"/>
          <w:kern w:val="0"/>
          <w:szCs w:val="21"/>
        </w:rPr>
        <w:t>10</w:t>
      </w:r>
      <w:r>
        <w:rPr>
          <w:rFonts w:ascii="宋体" w:hAnsi="宋体" w:hint="eastAsia"/>
          <w:kern w:val="0"/>
          <w:szCs w:val="21"/>
        </w:rPr>
        <w:t>、高血压急症概述，治疗原则，降压物选择与应用，几种常见高血压急症的处理原则。</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、掌握高血压的分类和定义，高血压的危险分层、临床表现、并发症、诊断、鉴别诊断、基本治疗方法和高血压急症的处理。</w:t>
      </w:r>
    </w:p>
    <w:p w:rsidR="003717A0" w:rsidRDefault="003717A0">
      <w:pPr>
        <w:pStyle w:val="12"/>
        <w:ind w:firstLineChars="200" w:firstLine="420"/>
        <w:rPr>
          <w:rFonts w:ascii="宋体"/>
          <w:kern w:val="0"/>
          <w:szCs w:val="21"/>
        </w:rPr>
      </w:pPr>
      <w:r>
        <w:rPr>
          <w:rFonts w:ascii="宋体" w:hAnsi="宋体"/>
          <w:kern w:val="0"/>
          <w:szCs w:val="21"/>
        </w:rPr>
        <w:lastRenderedPageBreak/>
        <w:t>2</w:t>
      </w:r>
      <w:r>
        <w:rPr>
          <w:rFonts w:ascii="宋体" w:hAnsi="宋体" w:hint="eastAsia"/>
          <w:kern w:val="0"/>
          <w:szCs w:val="21"/>
        </w:rPr>
        <w:t>、了解本病的流行病学、病因、发病机制、病理及治疗指南。</w:t>
      </w:r>
    </w:p>
    <w:p w:rsidR="003717A0" w:rsidRDefault="003717A0">
      <w:pPr>
        <w:pStyle w:val="12"/>
        <w:rPr>
          <w:rFonts w:ascii="宋体"/>
          <w:b/>
          <w:kern w:val="0"/>
          <w:szCs w:val="21"/>
        </w:rPr>
      </w:pPr>
      <w:r>
        <w:rPr>
          <w:rFonts w:ascii="宋体" w:hAnsi="宋体" w:hint="eastAsia"/>
          <w:b/>
          <w:kern w:val="0"/>
          <w:szCs w:val="21"/>
        </w:rPr>
        <w:t>第二节继发性高血压</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hint="eastAsia"/>
          <w:kern w:val="0"/>
          <w:szCs w:val="21"/>
        </w:rPr>
        <w:t>肾实质性高血压，肾血管性高血压，原发性醛固酮增多症，嗜铬细胞瘤，皮质醇增多症。</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、掌握肾实质性高血压、肾血管性高血压、原发性醛固酮增多症、嗜铬细胞瘤、皮质醇增多症的特点。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了解继发性高血压的主要临床表现和治疗。</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、见习病例，临床表现、高血压分级、鉴别诊断、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、对治疗原则和药物选择进行讨论。提出治疗方案。</w:t>
      </w:r>
    </w:p>
    <w:p w:rsidR="003717A0" w:rsidRDefault="003717A0">
      <w:pPr>
        <w:pStyle w:val="12"/>
        <w:ind w:firstLineChars="150" w:firstLine="315"/>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第六章心肌疾病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b/>
          <w:kern w:val="0"/>
          <w:szCs w:val="21"/>
        </w:rPr>
      </w:pPr>
      <w:r>
        <w:rPr>
          <w:rFonts w:ascii="宋体" w:hAnsi="宋体" w:hint="eastAsia"/>
          <w:b/>
          <w:kern w:val="0"/>
          <w:szCs w:val="21"/>
        </w:rPr>
        <w:t>第一节扩张型心肌病</w:t>
      </w:r>
    </w:p>
    <w:p w:rsidR="003717A0" w:rsidRDefault="003717A0">
      <w:pPr>
        <w:pStyle w:val="12"/>
        <w:rPr>
          <w:rFonts w:ascii="宋体"/>
          <w:kern w:val="0"/>
          <w:szCs w:val="21"/>
        </w:rPr>
      </w:pPr>
      <w:r>
        <w:rPr>
          <w:rFonts w:ascii="宋体" w:hAnsi="宋体" w:hint="eastAsia"/>
          <w:kern w:val="0"/>
          <w:szCs w:val="21"/>
        </w:rPr>
        <w:t>概述</w:t>
      </w:r>
    </w:p>
    <w:p w:rsidR="003717A0" w:rsidRDefault="003717A0">
      <w:pPr>
        <w:pStyle w:val="12"/>
        <w:rPr>
          <w:rFonts w:ascii="宋体"/>
          <w:kern w:val="0"/>
          <w:szCs w:val="21"/>
        </w:rPr>
      </w:pPr>
      <w:r>
        <w:rPr>
          <w:rFonts w:ascii="宋体" w:hAnsi="宋体" w:hint="eastAsia"/>
          <w:kern w:val="0"/>
          <w:szCs w:val="21"/>
        </w:rPr>
        <w:t>概念、临床分类和发病情况。</w:t>
      </w:r>
    </w:p>
    <w:p w:rsidR="003717A0" w:rsidRDefault="003717A0">
      <w:pPr>
        <w:pStyle w:val="12"/>
        <w:rPr>
          <w:rFonts w:ascii="宋体"/>
          <w:kern w:val="0"/>
          <w:szCs w:val="21"/>
        </w:rPr>
      </w:pP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、病因与病理与病毒性心肌炎有关。心腔扩大，室壁变薄。</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、临床表现与辅助检查充血性心力衰竭和心律失常，栓塞和猝死。</w:t>
      </w:r>
      <w:r>
        <w:rPr>
          <w:rFonts w:ascii="宋体" w:hAnsi="宋体"/>
          <w:kern w:val="0"/>
          <w:szCs w:val="21"/>
        </w:rPr>
        <w:t>X</w:t>
      </w:r>
      <w:r>
        <w:rPr>
          <w:rFonts w:ascii="宋体" w:hAnsi="宋体" w:hint="eastAsia"/>
          <w:kern w:val="0"/>
          <w:szCs w:val="21"/>
        </w:rPr>
        <w:t>线、超声心动图普大心。</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、诊断与鉴别诊断排除其他原因引起的心肌疾病。</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、治疗强心、利尿纠正心衰：β受体和钙通道阻滞剂、血管扩张剂，起搏器，抗心律失常。</w:t>
      </w:r>
    </w:p>
    <w:p w:rsidR="003717A0" w:rsidRDefault="003717A0">
      <w:pPr>
        <w:pStyle w:val="12"/>
        <w:rPr>
          <w:rFonts w:ascii="宋体"/>
          <w:b/>
          <w:kern w:val="0"/>
          <w:szCs w:val="21"/>
        </w:rPr>
      </w:pPr>
      <w:r>
        <w:rPr>
          <w:rFonts w:ascii="宋体" w:hAnsi="宋体" w:hint="eastAsia"/>
          <w:b/>
          <w:kern w:val="0"/>
          <w:szCs w:val="21"/>
        </w:rPr>
        <w:t>第二节肥厚型心肌病</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、病因和病理不明，可有家族史。非对称性心室间隔肥厚。</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、临床表现症状、体征，胸骨左缘</w:t>
      </w:r>
      <w:r>
        <w:rPr>
          <w:rFonts w:ascii="宋体" w:hAnsi="宋体"/>
          <w:kern w:val="0"/>
          <w:szCs w:val="21"/>
        </w:rPr>
        <w:t>3-4</w:t>
      </w:r>
      <w:r>
        <w:rPr>
          <w:rFonts w:ascii="宋体" w:hAnsi="宋体" w:hint="eastAsia"/>
          <w:kern w:val="0"/>
          <w:szCs w:val="21"/>
        </w:rPr>
        <w:t>肋间粗糙的喷射性收缩期杂音为特点。</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、辅助检查心导管检查和心血管造影，</w:t>
      </w:r>
      <w:r>
        <w:rPr>
          <w:rFonts w:ascii="宋体" w:hAnsi="宋体"/>
          <w:kern w:val="0"/>
          <w:szCs w:val="21"/>
        </w:rPr>
        <w:t>X</w:t>
      </w:r>
      <w:r>
        <w:rPr>
          <w:rFonts w:ascii="宋体" w:hAnsi="宋体" w:hint="eastAsia"/>
          <w:kern w:val="0"/>
          <w:szCs w:val="21"/>
        </w:rPr>
        <w:t>线、心电图、超声心动图。</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、诊断心脏杂音、超声心动图、心电图、心血管造影。</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、鉴别诊断高血压性心脏病、先心病、主动脉狭窄。</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、治疗药物、介入、外科手术。</w:t>
      </w:r>
    </w:p>
    <w:p w:rsidR="003717A0" w:rsidRDefault="003717A0">
      <w:pPr>
        <w:pStyle w:val="12"/>
        <w:rPr>
          <w:rFonts w:ascii="宋体"/>
          <w:b/>
          <w:kern w:val="0"/>
          <w:szCs w:val="21"/>
        </w:rPr>
      </w:pPr>
      <w:r>
        <w:rPr>
          <w:rFonts w:ascii="宋体" w:hAnsi="宋体" w:hint="eastAsia"/>
          <w:b/>
          <w:kern w:val="0"/>
          <w:szCs w:val="21"/>
        </w:rPr>
        <w:t>第三节限制型心肌病</w:t>
      </w:r>
    </w:p>
    <w:p w:rsidR="003717A0" w:rsidRDefault="003717A0">
      <w:pPr>
        <w:pStyle w:val="12"/>
        <w:rPr>
          <w:rFonts w:ascii="宋体"/>
          <w:kern w:val="0"/>
          <w:szCs w:val="21"/>
        </w:rPr>
      </w:pPr>
      <w:r>
        <w:rPr>
          <w:rFonts w:ascii="宋体" w:hAnsi="宋体" w:hint="eastAsia"/>
          <w:kern w:val="0"/>
          <w:szCs w:val="21"/>
        </w:rPr>
        <w:t>致心律失常型右室心肌病。</w:t>
      </w:r>
    </w:p>
    <w:p w:rsidR="003717A0" w:rsidRDefault="003717A0">
      <w:pPr>
        <w:pStyle w:val="12"/>
        <w:rPr>
          <w:rFonts w:ascii="宋体"/>
          <w:b/>
          <w:kern w:val="0"/>
          <w:szCs w:val="21"/>
        </w:rPr>
      </w:pPr>
      <w:r>
        <w:rPr>
          <w:rFonts w:ascii="宋体" w:hAnsi="宋体" w:hint="eastAsia"/>
          <w:b/>
          <w:kern w:val="0"/>
          <w:szCs w:val="21"/>
        </w:rPr>
        <w:t>第四节心肌炎</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、病因与病理病毒、细菌、药物等。心肌细胞融解，间质水肿，单核细胞浸润。</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、临床表现心悸、胸闷，心力衰竭，心源性休克。心音低钝、心律失常、</w:t>
      </w:r>
      <w:r>
        <w:rPr>
          <w:rFonts w:ascii="宋体" w:hAnsi="宋体"/>
          <w:kern w:val="0"/>
          <w:szCs w:val="21"/>
        </w:rPr>
        <w:t>S</w:t>
      </w:r>
      <w:r>
        <w:rPr>
          <w:rFonts w:ascii="宋体" w:hAnsi="宋体"/>
          <w:kern w:val="0"/>
          <w:szCs w:val="21"/>
          <w:vertAlign w:val="subscript"/>
        </w:rPr>
        <w:t>3</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、辅助检查</w:t>
      </w:r>
      <w:r>
        <w:rPr>
          <w:rFonts w:ascii="宋体" w:hAnsi="宋体"/>
          <w:kern w:val="0"/>
          <w:szCs w:val="21"/>
        </w:rPr>
        <w:t>ECG</w:t>
      </w:r>
      <w:r>
        <w:rPr>
          <w:rFonts w:ascii="宋体" w:hAnsi="宋体" w:hint="eastAsia"/>
          <w:kern w:val="0"/>
          <w:szCs w:val="21"/>
        </w:rPr>
        <w:t>出现</w:t>
      </w:r>
      <w:r>
        <w:rPr>
          <w:rFonts w:ascii="宋体" w:hAnsi="宋体"/>
          <w:kern w:val="0"/>
          <w:szCs w:val="21"/>
        </w:rPr>
        <w:t>ST-T</w:t>
      </w:r>
      <w:r>
        <w:rPr>
          <w:rFonts w:ascii="宋体" w:hAnsi="宋体" w:hint="eastAsia"/>
          <w:kern w:val="0"/>
          <w:szCs w:val="21"/>
        </w:rPr>
        <w:t>改变、多种心律失常，心肌坏死标志物增高，白细胞增高、血沉快、</w:t>
      </w:r>
      <w:r>
        <w:rPr>
          <w:rFonts w:ascii="宋体" w:hAnsi="宋体"/>
          <w:kern w:val="0"/>
          <w:szCs w:val="21"/>
        </w:rPr>
        <w:t>C</w:t>
      </w:r>
      <w:r>
        <w:rPr>
          <w:rFonts w:ascii="宋体" w:hAnsi="宋体" w:hint="eastAsia"/>
          <w:kern w:val="0"/>
          <w:szCs w:val="21"/>
        </w:rPr>
        <w:t>反应蛋白高，血清病毒中和抗体，补体结合反应等。</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、治疗休息、改善心肌代谢、对症。</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、预后发展为扩张型心肌病、恶化死亡。</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、扩张型、肥厚型心肌病的临床表现、诊断、鉴别诊断，做出治疗计划。。</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、典型心肌炎病例示教和讨论，加深对本病的了解。</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、掌握原发性心肌病的分类、临床表现、诊断要点和治疗原则，心肌炎的病因、诊断和治疗原则。</w:t>
      </w:r>
    </w:p>
    <w:p w:rsidR="003717A0" w:rsidRDefault="003717A0">
      <w:pPr>
        <w:pStyle w:val="12"/>
        <w:ind w:firstLineChars="200" w:firstLine="420"/>
        <w:rPr>
          <w:rFonts w:ascii="宋体"/>
          <w:kern w:val="0"/>
          <w:szCs w:val="21"/>
        </w:rPr>
      </w:pPr>
      <w:r>
        <w:rPr>
          <w:rFonts w:ascii="宋体" w:hAnsi="宋体"/>
          <w:kern w:val="0"/>
          <w:szCs w:val="21"/>
        </w:rPr>
        <w:lastRenderedPageBreak/>
        <w:t>2</w:t>
      </w:r>
      <w:r>
        <w:rPr>
          <w:rFonts w:ascii="宋体" w:hAnsi="宋体" w:hint="eastAsia"/>
          <w:kern w:val="0"/>
          <w:szCs w:val="21"/>
        </w:rPr>
        <w:t>、了解克山病的流行病学特点、诊断、预防要点及心肌炎的分类。</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第七章先天性心血管病（自学）</w:t>
      </w:r>
    </w:p>
    <w:p w:rsidR="003717A0" w:rsidRDefault="003717A0">
      <w:pPr>
        <w:pStyle w:val="12"/>
        <w:rPr>
          <w:rFonts w:ascii="宋体"/>
          <w:b/>
          <w:kern w:val="0"/>
          <w:szCs w:val="21"/>
        </w:rPr>
      </w:pPr>
      <w:r>
        <w:rPr>
          <w:rFonts w:ascii="宋体" w:hAnsi="宋体" w:hint="eastAsia"/>
          <w:b/>
          <w:kern w:val="0"/>
          <w:szCs w:val="21"/>
        </w:rPr>
        <w:t>第一节成人常见的先天性心血管病</w:t>
      </w:r>
    </w:p>
    <w:p w:rsidR="003717A0" w:rsidRDefault="003717A0">
      <w:pPr>
        <w:pStyle w:val="12"/>
        <w:rPr>
          <w:rFonts w:ascii="宋体"/>
          <w:b/>
          <w:kern w:val="0"/>
          <w:szCs w:val="21"/>
        </w:rPr>
      </w:pPr>
      <w:r>
        <w:rPr>
          <w:rFonts w:ascii="宋体" w:hAnsi="宋体" w:hint="eastAsia"/>
          <w:b/>
          <w:kern w:val="0"/>
          <w:szCs w:val="21"/>
        </w:rPr>
        <w:t>第二节成人先天性心脏病的介入治疗</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第八章心脏瓣膜病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b/>
          <w:kern w:val="0"/>
          <w:szCs w:val="21"/>
        </w:rPr>
      </w:pPr>
      <w:r>
        <w:rPr>
          <w:rFonts w:ascii="宋体" w:hAnsi="宋体" w:hint="eastAsia"/>
          <w:b/>
          <w:kern w:val="0"/>
          <w:szCs w:val="21"/>
        </w:rPr>
        <w:t>第一节二尖瓣狭窄</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、病因、病理、病理生理：风湿性，瓣膜粘连、增厚、僵硬。影响左房压、肺循环、右心室。</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2</w:t>
      </w:r>
      <w:r>
        <w:rPr>
          <w:rFonts w:ascii="宋体" w:hAnsi="宋体" w:hint="eastAsia"/>
          <w:kern w:val="0"/>
          <w:szCs w:val="21"/>
        </w:rPr>
        <w:t>、临床表现呼吸困难、咯血，体征、辅助检查（</w:t>
      </w:r>
      <w:r>
        <w:rPr>
          <w:rFonts w:ascii="宋体" w:hAnsi="宋体"/>
          <w:kern w:val="0"/>
          <w:szCs w:val="21"/>
        </w:rPr>
        <w:t>X</w:t>
      </w:r>
      <w:r>
        <w:rPr>
          <w:rFonts w:ascii="宋体" w:hAnsi="宋体" w:hint="eastAsia"/>
          <w:kern w:val="0"/>
          <w:szCs w:val="21"/>
        </w:rPr>
        <w:t>线，超声、心电图、二尖瓣型</w:t>
      </w:r>
      <w:r>
        <w:rPr>
          <w:rFonts w:ascii="宋体" w:hAnsi="宋体"/>
          <w:kern w:val="0"/>
          <w:szCs w:val="21"/>
        </w:rPr>
        <w:t>P</w:t>
      </w:r>
      <w:r>
        <w:rPr>
          <w:rFonts w:ascii="宋体" w:hAnsi="宋体" w:hint="eastAsia"/>
          <w:kern w:val="0"/>
          <w:szCs w:val="21"/>
        </w:rPr>
        <w:t>波）。</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3</w:t>
      </w:r>
      <w:r>
        <w:rPr>
          <w:rFonts w:ascii="宋体" w:hAnsi="宋体" w:hint="eastAsia"/>
          <w:kern w:val="0"/>
          <w:szCs w:val="21"/>
        </w:rPr>
        <w:t>、诊断二尖瓣区舒张期隆隆样杂音，超声心动图：城墙样改变。</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、鉴别诊断与心尖部杂音的鉴别，如左房粘液瘤、</w:t>
      </w:r>
      <w:r>
        <w:rPr>
          <w:rFonts w:ascii="宋体" w:hAnsi="宋体"/>
          <w:kern w:val="0"/>
          <w:szCs w:val="21"/>
        </w:rPr>
        <w:t>Austin-Flint</w:t>
      </w:r>
      <w:r>
        <w:rPr>
          <w:rFonts w:ascii="宋体" w:hAnsi="宋体" w:hint="eastAsia"/>
          <w:kern w:val="0"/>
          <w:szCs w:val="21"/>
        </w:rPr>
        <w:t>杂音。</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、治疗：一般治疗，介人：球囊扩张术，手术：闭式分离、换瓣。</w:t>
      </w:r>
    </w:p>
    <w:p w:rsidR="003717A0" w:rsidRDefault="003717A0">
      <w:pPr>
        <w:pStyle w:val="12"/>
        <w:rPr>
          <w:rFonts w:ascii="宋体"/>
          <w:b/>
          <w:kern w:val="0"/>
          <w:szCs w:val="21"/>
        </w:rPr>
      </w:pPr>
      <w:r>
        <w:rPr>
          <w:rFonts w:ascii="宋体" w:hAnsi="宋体" w:hint="eastAsia"/>
          <w:b/>
          <w:kern w:val="0"/>
          <w:szCs w:val="21"/>
        </w:rPr>
        <w:t>第二节二尖瓣关闭不全</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、病因、病理生理：风心病、二尖瓣脱垂、腱索断裂等引起。累及左心房、左心室、右心。</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、临床表现症状，收缩期吹风样粗糙杂音，辅助检查：</w:t>
      </w:r>
      <w:r>
        <w:rPr>
          <w:rFonts w:ascii="宋体" w:hAnsi="宋体"/>
          <w:kern w:val="0"/>
          <w:szCs w:val="21"/>
        </w:rPr>
        <w:t>X</w:t>
      </w:r>
      <w:r>
        <w:rPr>
          <w:rFonts w:ascii="宋体" w:hAnsi="宋体" w:hint="eastAsia"/>
          <w:kern w:val="0"/>
          <w:szCs w:val="21"/>
        </w:rPr>
        <w:t>线、超声、心电图。</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、诊断症状、体征，杂音特点，超声心动图特点。</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、鉴别三尖瓣关闭不全，室间隔缺损：胸骨左缘收缩期喷射状杂音。</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、治疗内科治疗，外科治疗：换瓣。</w:t>
      </w:r>
    </w:p>
    <w:p w:rsidR="003717A0" w:rsidRDefault="003717A0">
      <w:pPr>
        <w:pStyle w:val="12"/>
        <w:rPr>
          <w:rFonts w:ascii="宋体"/>
          <w:b/>
          <w:kern w:val="0"/>
          <w:szCs w:val="21"/>
        </w:rPr>
      </w:pPr>
      <w:r>
        <w:rPr>
          <w:rFonts w:ascii="宋体" w:hAnsi="宋体" w:hint="eastAsia"/>
          <w:b/>
          <w:kern w:val="0"/>
          <w:szCs w:val="21"/>
        </w:rPr>
        <w:t>第三节主动脉瓣狭窄</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、病因、病理生理：风湿性、先天性、老年退行性及结缔组织病。</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、临床表现：呼吸困难、心绞痛和晕厥，主动脉瓣区收缩期杂音，</w:t>
      </w:r>
      <w:r>
        <w:rPr>
          <w:rFonts w:ascii="宋体" w:hAnsi="宋体"/>
          <w:kern w:val="0"/>
          <w:szCs w:val="21"/>
        </w:rPr>
        <w:t>X</w:t>
      </w:r>
      <w:r>
        <w:rPr>
          <w:rFonts w:ascii="宋体" w:hAnsi="宋体" w:hint="eastAsia"/>
          <w:kern w:val="0"/>
          <w:szCs w:val="21"/>
        </w:rPr>
        <w:t>线、</w:t>
      </w:r>
      <w:r>
        <w:rPr>
          <w:rFonts w:ascii="宋体" w:hAnsi="宋体"/>
          <w:kern w:val="0"/>
          <w:szCs w:val="21"/>
        </w:rPr>
        <w:t>ECG</w:t>
      </w:r>
      <w:r>
        <w:rPr>
          <w:rFonts w:ascii="宋体" w:hAnsi="宋体" w:hint="eastAsia"/>
          <w:kern w:val="0"/>
          <w:szCs w:val="21"/>
        </w:rPr>
        <w:t>、超声及心导管。</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、诊断与鉴别诊断：典型的体征确诊，与左室流出道梗阻性疾病鉴别。</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、治疗：内科治疗，外科手术换瓣，经皮球囊主动脉瓣成形术。</w:t>
      </w:r>
    </w:p>
    <w:p w:rsidR="003717A0" w:rsidRDefault="003717A0">
      <w:pPr>
        <w:pStyle w:val="12"/>
        <w:rPr>
          <w:rFonts w:ascii="宋体"/>
          <w:b/>
          <w:kern w:val="0"/>
          <w:szCs w:val="21"/>
        </w:rPr>
      </w:pPr>
      <w:r>
        <w:rPr>
          <w:rFonts w:ascii="宋体" w:hAnsi="宋体" w:hint="eastAsia"/>
          <w:b/>
          <w:kern w:val="0"/>
          <w:szCs w:val="21"/>
        </w:rPr>
        <w:t>第四节主动脉瓣关闭不全</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、病因、病理生理：主动脉瓣、主动脉根部疾病所致。</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、临床表现：症状，主动脉瓣区舒张期杂音、周围血管征，</w:t>
      </w:r>
      <w:r>
        <w:rPr>
          <w:rFonts w:ascii="宋体" w:hAnsi="宋体"/>
          <w:kern w:val="0"/>
          <w:szCs w:val="21"/>
        </w:rPr>
        <w:t>X</w:t>
      </w:r>
      <w:r>
        <w:rPr>
          <w:rFonts w:ascii="宋体" w:hAnsi="宋体" w:hint="eastAsia"/>
          <w:kern w:val="0"/>
          <w:szCs w:val="21"/>
        </w:rPr>
        <w:t>线呈靴形心，超声，</w:t>
      </w:r>
      <w:r>
        <w:rPr>
          <w:rFonts w:ascii="宋体" w:hAnsi="宋体"/>
          <w:kern w:val="0"/>
          <w:szCs w:val="21"/>
        </w:rPr>
        <w:t>MRI</w:t>
      </w:r>
      <w:r>
        <w:rPr>
          <w:rFonts w:ascii="宋体" w:hAnsi="宋体" w:hint="eastAsia"/>
          <w:kern w:val="0"/>
          <w:szCs w:val="21"/>
        </w:rPr>
        <w:t>，造影。</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、诊断及鉴别诊断：依杂音、周围血管征确诊，与</w:t>
      </w:r>
      <w:r>
        <w:rPr>
          <w:rFonts w:ascii="宋体" w:hAnsi="宋体"/>
          <w:kern w:val="0"/>
          <w:szCs w:val="21"/>
        </w:rPr>
        <w:t>Graham–Steell</w:t>
      </w:r>
      <w:r>
        <w:rPr>
          <w:rFonts w:ascii="宋体" w:hAnsi="宋体" w:hint="eastAsia"/>
          <w:kern w:val="0"/>
          <w:szCs w:val="21"/>
        </w:rPr>
        <w:t>、</w:t>
      </w:r>
      <w:r>
        <w:rPr>
          <w:rFonts w:ascii="宋体" w:hAnsi="宋体"/>
          <w:kern w:val="0"/>
          <w:szCs w:val="21"/>
        </w:rPr>
        <w:t>Austin-Flint</w:t>
      </w:r>
      <w:r>
        <w:rPr>
          <w:rFonts w:ascii="宋体" w:hAnsi="宋体" w:hint="eastAsia"/>
          <w:kern w:val="0"/>
          <w:szCs w:val="21"/>
        </w:rPr>
        <w:t>杂音鉴别。</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、治疗：内科治疗</w:t>
      </w:r>
      <w:r>
        <w:rPr>
          <w:rFonts w:ascii="宋体"/>
          <w:kern w:val="0"/>
          <w:szCs w:val="21"/>
        </w:rPr>
        <w:t>,</w:t>
      </w:r>
      <w:r>
        <w:rPr>
          <w:rFonts w:ascii="宋体" w:hAnsi="宋体" w:hint="eastAsia"/>
          <w:kern w:val="0"/>
          <w:szCs w:val="21"/>
        </w:rPr>
        <w:t>外科手术。</w:t>
      </w:r>
    </w:p>
    <w:p w:rsidR="003717A0" w:rsidRDefault="003717A0">
      <w:pPr>
        <w:pStyle w:val="12"/>
        <w:rPr>
          <w:rFonts w:ascii="宋体"/>
          <w:b/>
          <w:kern w:val="0"/>
          <w:szCs w:val="21"/>
        </w:rPr>
      </w:pPr>
      <w:r>
        <w:rPr>
          <w:rFonts w:ascii="宋体" w:hAnsi="宋体" w:hint="eastAsia"/>
          <w:b/>
          <w:kern w:val="0"/>
          <w:szCs w:val="21"/>
        </w:rPr>
        <w:t>第五节多瓣膜病</w:t>
      </w:r>
    </w:p>
    <w:p w:rsidR="003717A0" w:rsidRDefault="003717A0">
      <w:pPr>
        <w:pStyle w:val="12"/>
        <w:ind w:firstLineChars="200" w:firstLine="420"/>
        <w:rPr>
          <w:rFonts w:ascii="宋体"/>
          <w:kern w:val="0"/>
          <w:szCs w:val="21"/>
        </w:rPr>
      </w:pPr>
      <w:r>
        <w:rPr>
          <w:rFonts w:ascii="宋体" w:hAnsi="宋体" w:hint="eastAsia"/>
          <w:kern w:val="0"/>
          <w:szCs w:val="21"/>
        </w:rPr>
        <w:t>心房颤动、室性心律失常、急性肺水肿、血栓栓塞、心力衰竭、感染性心内膜炎及肺部感染。</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、二尖瓣狭窄、主动脉瓣关闭不全的典型体征。</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、做出治疗计划。</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、掌握瓣膜病的临床表现、诊断依据、并发症和治疗原则。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、了解本病在我国的流行病学、病因及病理生理。</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第九章心包疾病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b/>
          <w:kern w:val="0"/>
          <w:szCs w:val="21"/>
        </w:rPr>
      </w:pPr>
      <w:r>
        <w:rPr>
          <w:rFonts w:ascii="宋体" w:hAnsi="宋体" w:hint="eastAsia"/>
          <w:b/>
          <w:kern w:val="0"/>
          <w:szCs w:val="21"/>
        </w:rPr>
        <w:t>第一节急性心包炎</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、病因和病理感染性、非感染性。急性纤维蛋白性、急性渗出性。</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、病理生理大量心包积液引起心脏压塞。</w:t>
      </w:r>
    </w:p>
    <w:p w:rsidR="003717A0" w:rsidRDefault="003717A0">
      <w:pPr>
        <w:pStyle w:val="12"/>
        <w:ind w:firstLineChars="200" w:firstLine="420"/>
        <w:rPr>
          <w:rFonts w:ascii="宋体"/>
          <w:kern w:val="0"/>
          <w:szCs w:val="21"/>
        </w:rPr>
      </w:pPr>
      <w:r>
        <w:rPr>
          <w:rFonts w:ascii="宋体" w:hAnsi="宋体"/>
          <w:kern w:val="0"/>
          <w:szCs w:val="21"/>
        </w:rPr>
        <w:lastRenderedPageBreak/>
        <w:t>3</w:t>
      </w:r>
      <w:r>
        <w:rPr>
          <w:rFonts w:ascii="宋体" w:hAnsi="宋体" w:hint="eastAsia"/>
          <w:kern w:val="0"/>
          <w:szCs w:val="21"/>
        </w:rPr>
        <w:t>、临床表现心前区疼痛、呼吸困难。心包摩擦音、心脏压塞征。</w:t>
      </w:r>
      <w:r>
        <w:rPr>
          <w:rFonts w:ascii="宋体" w:hAnsi="宋体"/>
          <w:kern w:val="0"/>
          <w:szCs w:val="21"/>
        </w:rPr>
        <w:t>X</w:t>
      </w:r>
      <w:r>
        <w:rPr>
          <w:rFonts w:ascii="宋体" w:hAnsi="宋体" w:hint="eastAsia"/>
          <w:kern w:val="0"/>
          <w:szCs w:val="21"/>
        </w:rPr>
        <w:t>线、心电图、心包穿刺。</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、诊断临床表现、</w:t>
      </w:r>
      <w:r>
        <w:rPr>
          <w:rFonts w:ascii="宋体" w:hAnsi="宋体"/>
          <w:kern w:val="0"/>
          <w:szCs w:val="21"/>
        </w:rPr>
        <w:t>X</w:t>
      </w:r>
      <w:r>
        <w:rPr>
          <w:rFonts w:ascii="宋体" w:hAnsi="宋体" w:hint="eastAsia"/>
          <w:kern w:val="0"/>
          <w:szCs w:val="21"/>
        </w:rPr>
        <w:t>线检查、超声心动图、心电图。</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、治疗病因治疗、对症治疗、穿刺、引流。</w:t>
      </w:r>
    </w:p>
    <w:p w:rsidR="003717A0" w:rsidRDefault="003717A0">
      <w:pPr>
        <w:pStyle w:val="12"/>
        <w:rPr>
          <w:rFonts w:ascii="宋体"/>
          <w:b/>
          <w:kern w:val="0"/>
          <w:szCs w:val="21"/>
        </w:rPr>
      </w:pPr>
      <w:r>
        <w:rPr>
          <w:rFonts w:ascii="宋体" w:hAnsi="宋体" w:hint="eastAsia"/>
          <w:b/>
          <w:kern w:val="0"/>
          <w:szCs w:val="21"/>
        </w:rPr>
        <w:t>第二节心包积液和心脏压塞</w:t>
      </w:r>
    </w:p>
    <w:p w:rsidR="003717A0" w:rsidRDefault="003717A0">
      <w:pPr>
        <w:pStyle w:val="12"/>
        <w:rPr>
          <w:rFonts w:ascii="宋体"/>
          <w:b/>
          <w:kern w:val="0"/>
          <w:szCs w:val="21"/>
        </w:rPr>
      </w:pPr>
      <w:r>
        <w:rPr>
          <w:rFonts w:ascii="宋体" w:hAnsi="宋体" w:hint="eastAsia"/>
          <w:b/>
          <w:kern w:val="0"/>
          <w:szCs w:val="21"/>
        </w:rPr>
        <w:t>第三节缩窄性心包炎</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、病因和病理生理多由急性演变而来，结核性多见。心包广泛粘连肥厚，心脏舒张活动所限。</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、临床表现呼吸困难、心脏受压、腔静脉回流受阻，心包叩击音。</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、辅助检查</w:t>
      </w:r>
      <w:r>
        <w:rPr>
          <w:rFonts w:ascii="宋体" w:hAnsi="宋体"/>
          <w:kern w:val="0"/>
          <w:szCs w:val="21"/>
        </w:rPr>
        <w:t>X</w:t>
      </w:r>
      <w:r>
        <w:rPr>
          <w:rFonts w:ascii="宋体" w:hAnsi="宋体" w:hint="eastAsia"/>
          <w:kern w:val="0"/>
          <w:szCs w:val="21"/>
        </w:rPr>
        <w:t>线左右心缘平直，心电图</w:t>
      </w:r>
      <w:r>
        <w:rPr>
          <w:rFonts w:ascii="宋体" w:hAnsi="宋体"/>
          <w:kern w:val="0"/>
          <w:szCs w:val="21"/>
        </w:rPr>
        <w:t>QRS</w:t>
      </w:r>
      <w:r>
        <w:rPr>
          <w:rFonts w:ascii="宋体" w:hAnsi="宋体" w:hint="eastAsia"/>
          <w:kern w:val="0"/>
          <w:szCs w:val="21"/>
        </w:rPr>
        <w:t>低电压、</w:t>
      </w:r>
      <w:r>
        <w:rPr>
          <w:rFonts w:ascii="宋体" w:hAnsi="宋体"/>
          <w:kern w:val="0"/>
          <w:szCs w:val="21"/>
        </w:rPr>
        <w:t>T</w:t>
      </w:r>
      <w:r>
        <w:rPr>
          <w:rFonts w:ascii="宋体" w:hAnsi="宋体" w:hint="eastAsia"/>
          <w:kern w:val="0"/>
          <w:szCs w:val="21"/>
        </w:rPr>
        <w:t>波低平倒置，超声心动图。</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、诊断与鉴别诊断症状、体征、辅助检查确诊。与充血性心衰、肝硬化及限制性心肌鉴别。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、治疗早期手术、对症治疗。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见习典型病例。</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、掌握心包炎的临床表现、诊断和洽疗。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、了解本病的类型、病因和病理。</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第十章感染性心内膜炎（自学）</w:t>
      </w:r>
    </w:p>
    <w:p w:rsidR="003717A0" w:rsidRDefault="003717A0">
      <w:pPr>
        <w:pStyle w:val="12"/>
        <w:rPr>
          <w:rFonts w:ascii="宋体"/>
          <w:b/>
          <w:kern w:val="0"/>
          <w:szCs w:val="21"/>
        </w:rPr>
      </w:pPr>
      <w:r>
        <w:rPr>
          <w:rFonts w:ascii="宋体" w:hAnsi="宋体" w:hint="eastAsia"/>
          <w:b/>
          <w:kern w:val="0"/>
          <w:szCs w:val="21"/>
        </w:rPr>
        <w:t>第一节自体瓣膜心内膜炎</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、病因球菌感染及其他细菌、真菌、立克次氏体、衣原体等病原微生物所致。</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、发病机制亚急性：非细菌性血栓性心内膜炎、菌血症。急性：正常瓣膜被细菌直接感染所致。</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、病理心内感染扩散，赘生物碎片脱落致栓塞，血源性播种、免疫系统激活所致。</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、临床表现症状，体征，并发症，辅助检查；血培养、超声心动图。</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、诊断及鉴别诊断症状、体征、阳性血培养确诊，与各种感染疾病、免疫系统疾病鉴别。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、治疗抗生素治疗：早期、大剂量、长疗程。外科治疗：换瓣、清除赘生物。</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、掌握感染性心内膜炎的病因、临床表现、并发症、辅助检查、诊断和治疗原则。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、了解本病的发病机制、病理，人工瓣膜和静脉药瘾者心内膜炎。</w:t>
      </w:r>
    </w:p>
    <w:p w:rsidR="003717A0" w:rsidRDefault="003717A0">
      <w:pPr>
        <w:pStyle w:val="12"/>
        <w:rPr>
          <w:rFonts w:ascii="宋体"/>
          <w:b/>
          <w:kern w:val="0"/>
          <w:szCs w:val="21"/>
        </w:rPr>
      </w:pPr>
      <w:r>
        <w:rPr>
          <w:rFonts w:ascii="宋体" w:hAnsi="宋体" w:hint="eastAsia"/>
          <w:b/>
          <w:kern w:val="0"/>
          <w:szCs w:val="21"/>
        </w:rPr>
        <w:t>第二节人工瓣膜和静脉药瘾隐者心内膜炎（自学）</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第十一章心脏骤停与心脏性猝死（自学）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第十二章主动脉和周围血管病（自学）</w:t>
      </w:r>
    </w:p>
    <w:p w:rsidR="003717A0" w:rsidRDefault="003717A0">
      <w:pPr>
        <w:pStyle w:val="12"/>
        <w:numPr>
          <w:ilvl w:val="0"/>
          <w:numId w:val="458"/>
        </w:numPr>
        <w:rPr>
          <w:rFonts w:ascii="宋体"/>
          <w:b/>
          <w:kern w:val="0"/>
          <w:szCs w:val="21"/>
        </w:rPr>
      </w:pPr>
      <w:r>
        <w:rPr>
          <w:rFonts w:ascii="宋体" w:hAnsi="宋体" w:hint="eastAsia"/>
          <w:b/>
          <w:kern w:val="0"/>
          <w:szCs w:val="21"/>
        </w:rPr>
        <w:t>主动脉夹层</w:t>
      </w:r>
    </w:p>
    <w:p w:rsidR="003717A0" w:rsidRDefault="003717A0">
      <w:pPr>
        <w:pStyle w:val="12"/>
        <w:numPr>
          <w:ilvl w:val="0"/>
          <w:numId w:val="458"/>
        </w:numPr>
        <w:rPr>
          <w:rFonts w:ascii="宋体"/>
          <w:b/>
          <w:kern w:val="0"/>
          <w:szCs w:val="21"/>
        </w:rPr>
      </w:pPr>
      <w:r>
        <w:rPr>
          <w:rFonts w:ascii="宋体" w:hAnsi="宋体" w:hint="eastAsia"/>
          <w:b/>
          <w:kern w:val="0"/>
          <w:szCs w:val="21"/>
        </w:rPr>
        <w:t>闭塞性周围动脉粥样硬化</w:t>
      </w:r>
    </w:p>
    <w:p w:rsidR="003717A0" w:rsidRDefault="003717A0">
      <w:pPr>
        <w:pStyle w:val="12"/>
        <w:numPr>
          <w:ilvl w:val="0"/>
          <w:numId w:val="458"/>
        </w:numPr>
        <w:rPr>
          <w:rFonts w:ascii="宋体"/>
          <w:b/>
          <w:kern w:val="0"/>
          <w:szCs w:val="21"/>
        </w:rPr>
      </w:pPr>
      <w:r>
        <w:rPr>
          <w:rFonts w:ascii="宋体" w:hAnsi="宋体" w:hint="eastAsia"/>
          <w:b/>
          <w:kern w:val="0"/>
          <w:szCs w:val="21"/>
        </w:rPr>
        <w:t>静脉血栓症</w:t>
      </w:r>
    </w:p>
    <w:p w:rsidR="003717A0" w:rsidRDefault="003717A0">
      <w:pPr>
        <w:pStyle w:val="12"/>
        <w:ind w:left="765"/>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第十三章心血管神经症（自学）</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第四篇消化系统疾病</w:t>
      </w:r>
    </w:p>
    <w:p w:rsidR="003717A0" w:rsidRDefault="003717A0">
      <w:pPr>
        <w:pStyle w:val="12"/>
        <w:numPr>
          <w:ilvl w:val="0"/>
          <w:numId w:val="459"/>
        </w:numPr>
        <w:jc w:val="center"/>
        <w:rPr>
          <w:rFonts w:ascii="宋体"/>
          <w:b/>
          <w:kern w:val="0"/>
          <w:szCs w:val="21"/>
        </w:rPr>
      </w:pPr>
      <w:r>
        <w:rPr>
          <w:rFonts w:ascii="宋体" w:hAnsi="宋体" w:hint="eastAsia"/>
          <w:b/>
          <w:kern w:val="0"/>
          <w:szCs w:val="21"/>
        </w:rPr>
        <w:t>总论</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numPr>
          <w:ilvl w:val="0"/>
          <w:numId w:val="460"/>
        </w:numPr>
        <w:rPr>
          <w:rFonts w:ascii="宋体"/>
          <w:b/>
          <w:kern w:val="0"/>
          <w:szCs w:val="21"/>
        </w:rPr>
      </w:pPr>
      <w:r>
        <w:rPr>
          <w:rFonts w:ascii="宋体" w:hAnsi="宋体" w:hint="eastAsia"/>
          <w:b/>
          <w:kern w:val="0"/>
          <w:szCs w:val="21"/>
        </w:rPr>
        <w:t>常见疾病相关的消化生理、生化功能</w:t>
      </w:r>
    </w:p>
    <w:p w:rsidR="003717A0" w:rsidRDefault="003717A0">
      <w:pPr>
        <w:pStyle w:val="12"/>
        <w:numPr>
          <w:ilvl w:val="0"/>
          <w:numId w:val="460"/>
        </w:numPr>
        <w:rPr>
          <w:rFonts w:ascii="宋体"/>
          <w:b/>
          <w:kern w:val="0"/>
          <w:szCs w:val="21"/>
        </w:rPr>
      </w:pPr>
      <w:r>
        <w:rPr>
          <w:rFonts w:ascii="宋体" w:hAnsi="宋体" w:hint="eastAsia"/>
          <w:b/>
          <w:kern w:val="0"/>
          <w:szCs w:val="21"/>
        </w:rPr>
        <w:t>消化系统重要的诊疗技术</w:t>
      </w:r>
    </w:p>
    <w:p w:rsidR="003717A0" w:rsidRDefault="003717A0">
      <w:pPr>
        <w:pStyle w:val="12"/>
        <w:ind w:left="1065"/>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lastRenderedPageBreak/>
        <w:t>第二章胃食管反流病（自学）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、概述、病因及发病机制</w:t>
      </w:r>
    </w:p>
    <w:p w:rsidR="003717A0" w:rsidRDefault="003717A0">
      <w:pPr>
        <w:pStyle w:val="12"/>
        <w:ind w:firstLineChars="150" w:firstLine="315"/>
        <w:rPr>
          <w:rFonts w:ascii="宋体"/>
          <w:kern w:val="0"/>
          <w:szCs w:val="21"/>
        </w:rPr>
      </w:pPr>
      <w:r>
        <w:rPr>
          <w:rFonts w:ascii="宋体" w:hAnsi="宋体"/>
          <w:kern w:val="0"/>
          <w:szCs w:val="21"/>
        </w:rPr>
        <w:t>2</w:t>
      </w:r>
      <w:r>
        <w:rPr>
          <w:rFonts w:ascii="宋体" w:hAnsi="宋体" w:hint="eastAsia"/>
          <w:kern w:val="0"/>
          <w:szCs w:val="21"/>
        </w:rPr>
        <w:t>、临床表现反流症状、反流物刺激食管引起的症状、食管以外的刺激症状、并发症。</w:t>
      </w:r>
    </w:p>
    <w:p w:rsidR="003717A0" w:rsidRDefault="003717A0">
      <w:pPr>
        <w:pStyle w:val="12"/>
        <w:ind w:firstLineChars="150" w:firstLine="315"/>
        <w:rPr>
          <w:rFonts w:ascii="宋体"/>
          <w:kern w:val="0"/>
          <w:szCs w:val="21"/>
        </w:rPr>
      </w:pPr>
      <w:r>
        <w:rPr>
          <w:rFonts w:ascii="宋体" w:hAnsi="宋体"/>
          <w:kern w:val="0"/>
          <w:szCs w:val="21"/>
        </w:rPr>
        <w:t>3</w:t>
      </w:r>
      <w:r>
        <w:rPr>
          <w:rFonts w:ascii="宋体" w:hAnsi="宋体" w:hint="eastAsia"/>
          <w:kern w:val="0"/>
          <w:szCs w:val="21"/>
        </w:rPr>
        <w:t>、实验室及其他检查内镜、</w:t>
      </w:r>
      <w:r>
        <w:rPr>
          <w:rFonts w:ascii="宋体" w:hAnsi="宋体"/>
          <w:kern w:val="0"/>
          <w:szCs w:val="21"/>
        </w:rPr>
        <w:t>24</w:t>
      </w:r>
      <w:r>
        <w:rPr>
          <w:rFonts w:ascii="宋体" w:hAnsi="宋体" w:hint="eastAsia"/>
          <w:kern w:val="0"/>
          <w:szCs w:val="21"/>
        </w:rPr>
        <w:t>小时食管</w:t>
      </w:r>
      <w:r>
        <w:rPr>
          <w:rFonts w:ascii="宋体" w:hAnsi="宋体"/>
          <w:kern w:val="0"/>
          <w:szCs w:val="21"/>
        </w:rPr>
        <w:t>PH</w:t>
      </w:r>
      <w:r>
        <w:rPr>
          <w:rFonts w:ascii="宋体" w:hAnsi="宋体" w:hint="eastAsia"/>
          <w:kern w:val="0"/>
          <w:szCs w:val="21"/>
        </w:rPr>
        <w:t>检测、食管吞钡</w:t>
      </w:r>
      <w:r>
        <w:rPr>
          <w:rFonts w:ascii="宋体" w:hAnsi="宋体"/>
          <w:kern w:val="0"/>
          <w:szCs w:val="21"/>
        </w:rPr>
        <w:t>X</w:t>
      </w:r>
      <w:r>
        <w:rPr>
          <w:rFonts w:ascii="宋体" w:hAnsi="宋体" w:hint="eastAsia"/>
          <w:kern w:val="0"/>
          <w:szCs w:val="21"/>
        </w:rPr>
        <w:t>线、食管滴酸试验及食管测压。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、诊断与鉴别诊断</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、治疗一般治疗，药物治疗，维持治疗，抗反流手术治疗，并发症的治疗。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了解胃食管反流病的病因、病机、临床表现、实验室及其他检查、诊断和治疗。</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第三章食管癌（自学）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第四章胃炎</w:t>
      </w:r>
    </w:p>
    <w:p w:rsidR="003717A0" w:rsidRDefault="003717A0">
      <w:pPr>
        <w:pStyle w:val="12"/>
        <w:rPr>
          <w:rFonts w:ascii="宋体"/>
          <w:b/>
          <w:kern w:val="0"/>
          <w:szCs w:val="21"/>
        </w:rPr>
      </w:pPr>
      <w:r>
        <w:rPr>
          <w:rFonts w:ascii="宋体" w:hAnsi="宋体" w:hint="eastAsia"/>
          <w:b/>
          <w:kern w:val="0"/>
          <w:szCs w:val="21"/>
        </w:rPr>
        <w:t>第一节急性胃炎（自学）</w:t>
      </w:r>
    </w:p>
    <w:p w:rsidR="003717A0" w:rsidRDefault="003717A0">
      <w:pPr>
        <w:pStyle w:val="12"/>
        <w:rPr>
          <w:rFonts w:ascii="宋体"/>
          <w:b/>
          <w:kern w:val="0"/>
          <w:szCs w:val="21"/>
        </w:rPr>
      </w:pPr>
      <w:r>
        <w:rPr>
          <w:rFonts w:ascii="宋体" w:hAnsi="宋体" w:hint="eastAsia"/>
          <w:b/>
          <w:kern w:val="0"/>
          <w:szCs w:val="21"/>
        </w:rPr>
        <w:t>第二节慢性胃炎</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、概述概念、分类、发病率。</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、病因及发病机制幽门螺杆菌感染、饮食环境因素、自身免疫和其他因素。</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、病理炎症、萎缩和肠化生、异型增生以及病理分型和分级。</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、临床表现缺乏特异性症状、不同胃炎有不同表现。</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、辅助检查胃镜及活检、幽门螺杆菌检测及免疫学检查。</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、诊断与鉴别诊断胃镜及活检、相关自身抗体及血清胃泌素等确诊，需与溃疡病、胃癌等鉴别。</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、治疗消除病因，对幽门螺杆菌感染应予以根除治疗，对症治疗。</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、预防除病因，注意饮食卫生。</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结合临床，熟悉慢性胃炎的表现，诊断及治疗方法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、掌握慢性胃炎的分类、临床表现、诊断、鉴别诊断和治疗。</w:t>
      </w:r>
    </w:p>
    <w:p w:rsidR="003717A0" w:rsidRDefault="003717A0">
      <w:pPr>
        <w:pStyle w:val="12"/>
        <w:ind w:firstLineChars="150" w:firstLine="315"/>
        <w:rPr>
          <w:rFonts w:ascii="宋体"/>
          <w:kern w:val="0"/>
          <w:szCs w:val="21"/>
        </w:rPr>
      </w:pPr>
      <w:r>
        <w:rPr>
          <w:rFonts w:ascii="宋体" w:hAnsi="宋体"/>
          <w:kern w:val="0"/>
          <w:szCs w:val="21"/>
        </w:rPr>
        <w:t>2</w:t>
      </w:r>
      <w:r>
        <w:rPr>
          <w:rFonts w:ascii="宋体" w:hAnsi="宋体" w:hint="eastAsia"/>
          <w:kern w:val="0"/>
          <w:szCs w:val="21"/>
        </w:rPr>
        <w:t>、了解本病的概念、病因、发病机制、病理、实验室及其他检查和预后。</w:t>
      </w:r>
    </w:p>
    <w:p w:rsidR="003717A0" w:rsidRDefault="003717A0">
      <w:pPr>
        <w:pStyle w:val="12"/>
        <w:rPr>
          <w:rFonts w:ascii="宋体"/>
          <w:b/>
          <w:kern w:val="0"/>
          <w:szCs w:val="21"/>
        </w:rPr>
      </w:pPr>
      <w:r>
        <w:rPr>
          <w:rFonts w:ascii="宋体" w:hAnsi="宋体" w:hint="eastAsia"/>
          <w:b/>
          <w:kern w:val="0"/>
          <w:szCs w:val="21"/>
        </w:rPr>
        <w:t>第三节特殊类型的胃炎或胃病（自学）</w:t>
      </w:r>
    </w:p>
    <w:p w:rsidR="003717A0" w:rsidRDefault="003717A0">
      <w:pPr>
        <w:pStyle w:val="12"/>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第五章消化性溃疡</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、概述概念、发病率、流行病学。</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、病因及发病机制粘膜损害和保护因素间平衡破坏，幽门螺杆菌感染，非甾体消炎药物。</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、病理好发部位、数目、大小、病理特征及演变过程。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）慢性、周期性、节律性上腹痛，全身和消化不良症状，疼痛的部位、性质、规律，上腹压痛。</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）特殊类型的溃疡：复合溃疡、幽门管溃疡、球后溃疡、巨大溃疡、老年人消化性溃疡、无症状性溃疡。</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、辅助检查胃镜检查及活检、</w:t>
      </w:r>
      <w:r>
        <w:rPr>
          <w:rFonts w:ascii="宋体" w:hAnsi="宋体"/>
          <w:kern w:val="0"/>
          <w:szCs w:val="21"/>
        </w:rPr>
        <w:t>X</w:t>
      </w:r>
      <w:r>
        <w:rPr>
          <w:rFonts w:ascii="宋体" w:hAnsi="宋体" w:hint="eastAsia"/>
          <w:kern w:val="0"/>
          <w:szCs w:val="21"/>
        </w:rPr>
        <w:t>线钡餐、幽门螺杆菌检测、胃液分析和血清胃泌素测定。</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、诊断与鉴别诊断确诊靠病史、胃镜、</w:t>
      </w:r>
      <w:r>
        <w:rPr>
          <w:rFonts w:ascii="宋体" w:hAnsi="宋体"/>
          <w:kern w:val="0"/>
          <w:szCs w:val="21"/>
        </w:rPr>
        <w:t>X</w:t>
      </w:r>
      <w:r>
        <w:rPr>
          <w:rFonts w:ascii="宋体" w:hAnsi="宋体" w:hint="eastAsia"/>
          <w:kern w:val="0"/>
          <w:szCs w:val="21"/>
        </w:rPr>
        <w:t>线检查，与胃炎、胃癌等鉴别。</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、并发症出血、穿孔、幽门梗阻、癌变。</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、治疗治疗目的：消除病因、缓解症状、愈合溃疡、防止复发和防治并发症。</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一般治疗：精神、饮食习惯、生活等。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药物：抑制胃酸，保护胃粘膜，根除幽门螺杆菌，防治溃疡复发，</w:t>
      </w:r>
      <w:r>
        <w:rPr>
          <w:rFonts w:ascii="宋体" w:hAnsi="宋体"/>
          <w:kern w:val="0"/>
          <w:szCs w:val="21"/>
        </w:rPr>
        <w:t>NSAID</w:t>
      </w:r>
      <w:r>
        <w:rPr>
          <w:rFonts w:ascii="宋体" w:hAnsi="宋体" w:hint="eastAsia"/>
          <w:kern w:val="0"/>
          <w:szCs w:val="21"/>
        </w:rPr>
        <w:t>溃疡的治疗。</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外科手术指征。</w:t>
      </w:r>
    </w:p>
    <w:p w:rsidR="003717A0" w:rsidRDefault="003717A0">
      <w:pPr>
        <w:pStyle w:val="12"/>
        <w:ind w:firstLineChars="200" w:firstLine="420"/>
        <w:rPr>
          <w:rFonts w:ascii="宋体"/>
          <w:kern w:val="0"/>
          <w:szCs w:val="21"/>
        </w:rPr>
      </w:pPr>
      <w:r>
        <w:rPr>
          <w:rFonts w:ascii="宋体" w:hAnsi="宋体"/>
          <w:kern w:val="0"/>
          <w:szCs w:val="21"/>
        </w:rPr>
        <w:t>9</w:t>
      </w:r>
      <w:r>
        <w:rPr>
          <w:rFonts w:ascii="宋体" w:hAnsi="宋体" w:hint="eastAsia"/>
          <w:kern w:val="0"/>
          <w:szCs w:val="21"/>
        </w:rPr>
        <w:t>、预后注意饮食、消除应激因素、防治并发症。</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rPr>
          <w:rFonts w:ascii="宋体"/>
          <w:kern w:val="0"/>
          <w:szCs w:val="21"/>
        </w:rPr>
      </w:pPr>
      <w:r>
        <w:rPr>
          <w:rFonts w:ascii="宋体" w:hAnsi="宋体" w:hint="eastAsia"/>
          <w:kern w:val="0"/>
          <w:szCs w:val="21"/>
        </w:rPr>
        <w:t>结合临床，熟悉消化性溃疡的表现，诊断及治疗方法。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、掌握消化性溃疡的病因、发病机制、临床表现、诊断、鉴别诊断和治疗。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、了解本病的病理、实验室及其他检查和预后。</w:t>
      </w:r>
    </w:p>
    <w:p w:rsidR="003717A0" w:rsidRDefault="003717A0">
      <w:pPr>
        <w:pStyle w:val="12"/>
        <w:rPr>
          <w:rFonts w:ascii="宋体"/>
          <w:kern w:val="0"/>
          <w:szCs w:val="21"/>
        </w:rPr>
      </w:pP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第六章胃癌（自学）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、概述、病因和发病机制与环境、饮食、幽门螺杆菌感染、遗传及胃部疾病恶变有关。</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、病理大体及组织学分型，转移途径。</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、临床表现进展期胃癌：全身症状，发生部位及范围不同，癌肿扩散转移的症状及体征。</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、辅助检查胃液分析、便潜血、胃镜、活检及</w:t>
      </w:r>
      <w:r>
        <w:rPr>
          <w:rFonts w:ascii="宋体" w:hAnsi="宋体"/>
          <w:kern w:val="0"/>
          <w:szCs w:val="21"/>
        </w:rPr>
        <w:t>X</w:t>
      </w:r>
      <w:r>
        <w:rPr>
          <w:rFonts w:ascii="宋体" w:hAnsi="宋体" w:hint="eastAsia"/>
          <w:kern w:val="0"/>
          <w:szCs w:val="21"/>
        </w:rPr>
        <w:t>线钡餐造影检查。</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、诊断及鉴别诊断诊断依赖于胃镜活检及</w:t>
      </w:r>
      <w:r>
        <w:rPr>
          <w:rFonts w:ascii="宋体" w:hAnsi="宋体"/>
          <w:kern w:val="0"/>
          <w:szCs w:val="21"/>
        </w:rPr>
        <w:t>X</w:t>
      </w:r>
      <w:r>
        <w:rPr>
          <w:rFonts w:ascii="宋体" w:hAnsi="宋体" w:hint="eastAsia"/>
          <w:kern w:val="0"/>
          <w:szCs w:val="21"/>
        </w:rPr>
        <w:t>线钡餐造影，早期诊断是根治的前提。与胃溃疡及胃良性肿瘤鉴别。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、并发症大出血、幽门、贲门梗阻及穿孔等。</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、治疗早期手术可根治，梗阻可造瘘。化疗、放疗及支持疗法等综合治疗。</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、预后及预防早期手术，预后良好。消除致癌因素，开展普筛。</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、掌握胃癌的临床表现、诊断、鉴别诊断及治疗。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、了解本病的病因及病理。</w:t>
      </w:r>
    </w:p>
    <w:p w:rsidR="003717A0" w:rsidRDefault="003717A0">
      <w:pPr>
        <w:pStyle w:val="12"/>
        <w:rPr>
          <w:rFonts w:ascii="宋体"/>
          <w:kern w:val="0"/>
          <w:szCs w:val="21"/>
        </w:rPr>
      </w:pP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第七章肠结核和结核性腹膜炎</w:t>
      </w:r>
    </w:p>
    <w:p w:rsidR="003717A0" w:rsidRDefault="003717A0">
      <w:pPr>
        <w:pStyle w:val="12"/>
        <w:rPr>
          <w:rFonts w:ascii="宋体"/>
          <w:b/>
          <w:kern w:val="0"/>
          <w:szCs w:val="21"/>
        </w:rPr>
      </w:pPr>
      <w:r>
        <w:rPr>
          <w:rFonts w:ascii="宋体" w:hAnsi="宋体" w:hint="eastAsia"/>
          <w:b/>
          <w:kern w:val="0"/>
          <w:szCs w:val="21"/>
        </w:rPr>
        <w:t>第一节肠结核</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、概述、病因、机制及病理分型（溃疡型肠结核、增生型肠结核、混合型肠结核）、原发病灶、感染途径。</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、临床表现腹痛、腹泻与便秘、腹部肿块、全身症状和肠外结核表现。</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、实验室和其他检查血</w:t>
      </w:r>
      <w:r>
        <w:rPr>
          <w:rFonts w:ascii="宋体" w:hAnsi="宋体"/>
          <w:kern w:val="0"/>
          <w:szCs w:val="21"/>
        </w:rPr>
        <w:t>Rt</w:t>
      </w:r>
      <w:r>
        <w:rPr>
          <w:rFonts w:ascii="宋体" w:hAnsi="宋体" w:hint="eastAsia"/>
          <w:kern w:val="0"/>
          <w:szCs w:val="21"/>
        </w:rPr>
        <w:t>、血沉、结核菌素试验、</w:t>
      </w:r>
      <w:r>
        <w:rPr>
          <w:rFonts w:ascii="宋体" w:hAnsi="宋体"/>
          <w:kern w:val="0"/>
          <w:szCs w:val="21"/>
        </w:rPr>
        <w:t>X</w:t>
      </w:r>
      <w:r>
        <w:rPr>
          <w:rFonts w:ascii="宋体" w:hAnsi="宋体" w:hint="eastAsia"/>
          <w:kern w:val="0"/>
          <w:szCs w:val="21"/>
        </w:rPr>
        <w:t>线检查及肠镜检查。</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、诊断和鉴别诊断依病史、症状、体征及相关检查可诊断。与克罗恩病、右侧结肠癌及阿米巴病鉴别。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、治疗休息与营养，抗结核治疗，对症治疗，手术治疗：适应证。</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、预后及预防早期诊断及时治疗，预后良好。</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50" w:firstLine="525"/>
        <w:rPr>
          <w:rFonts w:ascii="宋体"/>
          <w:kern w:val="0"/>
          <w:szCs w:val="21"/>
        </w:rPr>
      </w:pPr>
      <w:r>
        <w:rPr>
          <w:rFonts w:ascii="宋体" w:hAnsi="宋体" w:hint="eastAsia"/>
          <w:kern w:val="0"/>
          <w:szCs w:val="21"/>
        </w:rPr>
        <w:t>结合临床，熟悉肠结核的临床表现，诊断诊断、鉴别诊断及治疗方法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、掌握肠结核的临床表现、诊断、鉴别诊断及治疗。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、了解本病的病因及病理分型</w:t>
      </w:r>
    </w:p>
    <w:p w:rsidR="003717A0" w:rsidRDefault="003717A0">
      <w:pPr>
        <w:pStyle w:val="12"/>
        <w:rPr>
          <w:rFonts w:ascii="宋体"/>
          <w:b/>
          <w:kern w:val="0"/>
          <w:szCs w:val="21"/>
        </w:rPr>
      </w:pPr>
      <w:r>
        <w:rPr>
          <w:rFonts w:ascii="宋体" w:hAnsi="宋体" w:hint="eastAsia"/>
          <w:b/>
          <w:kern w:val="0"/>
          <w:szCs w:val="21"/>
        </w:rPr>
        <w:t>第二节结核性腹膜炎</w:t>
      </w:r>
    </w:p>
    <w:p w:rsidR="003717A0" w:rsidRDefault="003717A0">
      <w:pPr>
        <w:pStyle w:val="12"/>
        <w:rPr>
          <w:rFonts w:ascii="宋体"/>
          <w:b/>
          <w:kern w:val="0"/>
          <w:szCs w:val="21"/>
        </w:rPr>
      </w:pPr>
      <w:r>
        <w:rPr>
          <w:rFonts w:ascii="宋体" w:hAnsi="宋体" w:hint="eastAsia"/>
          <w:b/>
          <w:kern w:val="0"/>
          <w:szCs w:val="21"/>
        </w:rPr>
        <w:lastRenderedPageBreak/>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、概述病因和发病机制原发病灶、感染途径。</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、病理分型渗出型、粘连型、干酪型。</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、临床表现结核中毒症状，腹胀、腹痛、腹泻。腹壁揉面感、压痛、腹块、腹水。</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、辅助检查血常规、血沉、</w:t>
      </w:r>
      <w:r>
        <w:rPr>
          <w:rFonts w:ascii="宋体" w:hAnsi="宋体"/>
          <w:kern w:val="0"/>
          <w:szCs w:val="21"/>
        </w:rPr>
        <w:t>PPD</w:t>
      </w:r>
      <w:r>
        <w:rPr>
          <w:rFonts w:ascii="宋体" w:hAnsi="宋体" w:hint="eastAsia"/>
          <w:kern w:val="0"/>
          <w:szCs w:val="21"/>
        </w:rPr>
        <w:t>试验，腹水、</w:t>
      </w:r>
      <w:r>
        <w:rPr>
          <w:rFonts w:ascii="宋体" w:hAnsi="宋体"/>
          <w:kern w:val="0"/>
          <w:szCs w:val="21"/>
        </w:rPr>
        <w:t>B</w:t>
      </w:r>
      <w:r>
        <w:rPr>
          <w:rFonts w:ascii="宋体" w:hAnsi="宋体" w:hint="eastAsia"/>
          <w:kern w:val="0"/>
          <w:szCs w:val="21"/>
        </w:rPr>
        <w:t>超、腹腔镜及</w:t>
      </w:r>
      <w:r>
        <w:rPr>
          <w:rFonts w:ascii="宋体" w:hAnsi="宋体"/>
          <w:kern w:val="0"/>
          <w:szCs w:val="21"/>
        </w:rPr>
        <w:t>X</w:t>
      </w:r>
      <w:r>
        <w:rPr>
          <w:rFonts w:ascii="宋体" w:hAnsi="宋体" w:hint="eastAsia"/>
          <w:kern w:val="0"/>
          <w:szCs w:val="21"/>
        </w:rPr>
        <w:t>线检查。</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、诊断和鉴别诊断根据病史体征及辅助检查诊断。从长期发热、腹水、腹痛、腹块等方面鉴别。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、治疗一般治疗：营养、休息，抗结核治疗，腹水治疗，手术治疗适应症。</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、预防结核原发灶的彻底治疗。</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结合临床，熟悉结核性腹膜炎的临床表现，诊断诊断、鉴别诊断及治疗方法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、掌握结核性腹膜炎的临床表现、并发症、诊断、鉴别诊断和治疗。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、了解本病的病因和发病机制、病理分型、预后和预防。</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第八章炎症性肠病（自学）</w:t>
      </w:r>
    </w:p>
    <w:p w:rsidR="003717A0" w:rsidRDefault="003717A0">
      <w:pPr>
        <w:pStyle w:val="12"/>
        <w:rPr>
          <w:rFonts w:ascii="宋体"/>
          <w:b/>
          <w:kern w:val="0"/>
          <w:szCs w:val="21"/>
        </w:rPr>
      </w:pPr>
      <w:r>
        <w:rPr>
          <w:rFonts w:ascii="宋体" w:hAnsi="宋体" w:hint="eastAsia"/>
          <w:b/>
          <w:kern w:val="0"/>
          <w:szCs w:val="21"/>
        </w:rPr>
        <w:t>第一节溃疡性结肠炎</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、概述、病因、发病机制（环境、感染、遗传、免疫因素），病理、病变部位、病理改变。</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、临床表现消化系统表现、全身表现、肠外表现、临床分轻型、重型、暴发型。</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、并发症中毒性巨结肠、癌变出血、肠梗阻、瘘管、急性穿孔。</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、实验室和其他检查血</w:t>
      </w:r>
      <w:r>
        <w:rPr>
          <w:rFonts w:ascii="宋体" w:hAnsi="宋体"/>
          <w:kern w:val="0"/>
          <w:szCs w:val="21"/>
        </w:rPr>
        <w:t>Rt</w:t>
      </w:r>
      <w:r>
        <w:rPr>
          <w:rFonts w:ascii="宋体" w:hAnsi="宋体" w:hint="eastAsia"/>
          <w:kern w:val="0"/>
          <w:szCs w:val="21"/>
        </w:rPr>
        <w:t>、便</w:t>
      </w:r>
      <w:r>
        <w:rPr>
          <w:rFonts w:ascii="宋体" w:hAnsi="宋体"/>
          <w:kern w:val="0"/>
          <w:szCs w:val="21"/>
        </w:rPr>
        <w:t>Rt</w:t>
      </w:r>
      <w:r>
        <w:rPr>
          <w:rFonts w:ascii="宋体" w:hAnsi="宋体" w:hint="eastAsia"/>
          <w:kern w:val="0"/>
          <w:szCs w:val="21"/>
        </w:rPr>
        <w:t>及培养、自身抗体检测、结肠镜及钡灌肠。</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、诊断及鉴别诊断根据临床表现、结肠镜活组织检查诊断，与急性自限性结肠炎、血吸虫病、克罗恩病、肠结核、结肠癌、痢疾等鉴别。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、治疗一般治疗，药物治疗：激素、柳氮磺胺吡啶、免疫抑制剂及对症治疗，手术指征。</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、掌握溃疡性结肠炎的临床表现、诊断、鉴别诊断及治疗。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、了解本病的病理和发病机制。</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第二节克罗恩病（自学）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、概述、病因、发病机制及病理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、临床表现腹痛、腹泻、腹块表现，全身发热、营养障碍表现，肠外各系统损害表现。</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、并发症肠梗阻、腹腔脓肿、吸收不良综合征、穿孔、出血、癌变及胆肾结石等。</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、实验室和其他检查血</w:t>
      </w:r>
      <w:r>
        <w:rPr>
          <w:rFonts w:ascii="宋体" w:hAnsi="宋体"/>
          <w:kern w:val="0"/>
          <w:szCs w:val="21"/>
        </w:rPr>
        <w:t>Rt</w:t>
      </w:r>
      <w:r>
        <w:rPr>
          <w:rFonts w:ascii="宋体" w:hAnsi="宋体" w:hint="eastAsia"/>
          <w:kern w:val="0"/>
          <w:szCs w:val="21"/>
        </w:rPr>
        <w:t>、血沉、便</w:t>
      </w:r>
      <w:r>
        <w:rPr>
          <w:rFonts w:ascii="宋体" w:hAnsi="宋体"/>
          <w:kern w:val="0"/>
          <w:szCs w:val="21"/>
        </w:rPr>
        <w:t>Rt</w:t>
      </w:r>
      <w:r>
        <w:rPr>
          <w:rFonts w:ascii="宋体" w:hAnsi="宋体" w:hint="eastAsia"/>
          <w:kern w:val="0"/>
          <w:szCs w:val="21"/>
        </w:rPr>
        <w:t>、自身抗体检查、</w:t>
      </w:r>
      <w:r>
        <w:rPr>
          <w:rFonts w:ascii="宋体" w:hAnsi="宋体"/>
          <w:kern w:val="0"/>
          <w:szCs w:val="21"/>
        </w:rPr>
        <w:t>X</w:t>
      </w:r>
      <w:r>
        <w:rPr>
          <w:rFonts w:ascii="宋体" w:hAnsi="宋体" w:hint="eastAsia"/>
          <w:kern w:val="0"/>
          <w:szCs w:val="21"/>
        </w:rPr>
        <w:t>线及结肠镜检查。</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、诊断依临床表现、结肠镜、实验室及活组织检查确诊。</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、治疗一般治疗，药物治疗：水杨酸制剂、激素、免疫抑制剂、抗菌药，手术治疗。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了解本病的病因、发病机制、临床表现、诊断、鉴别诊断及治疗。</w:t>
      </w:r>
    </w:p>
    <w:p w:rsidR="003717A0" w:rsidRDefault="003717A0">
      <w:pPr>
        <w:pStyle w:val="12"/>
        <w:jc w:val="center"/>
        <w:rPr>
          <w:rFonts w:ascii="宋体"/>
          <w:b/>
          <w:kern w:val="0"/>
          <w:szCs w:val="21"/>
        </w:rPr>
      </w:pPr>
      <w:r>
        <w:rPr>
          <w:rFonts w:ascii="宋体" w:hAnsi="宋体" w:hint="eastAsia"/>
          <w:b/>
          <w:kern w:val="0"/>
          <w:szCs w:val="21"/>
        </w:rPr>
        <w:t>第九章结直肠癌（自学）</w:t>
      </w:r>
    </w:p>
    <w:p w:rsidR="003717A0" w:rsidRDefault="003717A0">
      <w:pPr>
        <w:pStyle w:val="12"/>
        <w:rPr>
          <w:rFonts w:ascii="宋体"/>
          <w:b/>
          <w:kern w:val="0"/>
          <w:szCs w:val="21"/>
        </w:rPr>
      </w:pP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、概述、病因及发病机制环境、遗传因素，大肠息肉、炎症性肠病等其他高危因素。</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、病理分类：腺癌、粘液癌、未分化癌，分期：</w:t>
      </w:r>
      <w:r>
        <w:rPr>
          <w:rFonts w:ascii="宋体" w:hAnsi="宋体"/>
          <w:kern w:val="0"/>
          <w:szCs w:val="21"/>
        </w:rPr>
        <w:t>ABCD</w:t>
      </w:r>
      <w:r>
        <w:rPr>
          <w:rFonts w:ascii="宋体" w:hAnsi="宋体" w:hint="eastAsia"/>
          <w:kern w:val="0"/>
          <w:szCs w:val="21"/>
        </w:rPr>
        <w:t>期，转移：直接蔓延，淋巴结、血行播散。</w:t>
      </w:r>
    </w:p>
    <w:p w:rsidR="003717A0" w:rsidRDefault="003717A0">
      <w:pPr>
        <w:pStyle w:val="12"/>
        <w:ind w:firstLineChars="200" w:firstLine="420"/>
        <w:rPr>
          <w:rFonts w:ascii="宋体"/>
          <w:kern w:val="0"/>
          <w:szCs w:val="21"/>
        </w:rPr>
      </w:pPr>
      <w:r>
        <w:rPr>
          <w:rFonts w:ascii="宋体" w:hAnsi="宋体"/>
          <w:kern w:val="0"/>
          <w:szCs w:val="21"/>
        </w:rPr>
        <w:lastRenderedPageBreak/>
        <w:t>3</w:t>
      </w:r>
      <w:r>
        <w:rPr>
          <w:rFonts w:ascii="宋体" w:hAnsi="宋体" w:hint="eastAsia"/>
          <w:kern w:val="0"/>
          <w:szCs w:val="21"/>
        </w:rPr>
        <w:t>、临床表现排便习惯及粪便性状改变，腹痛、腹块、直肠肿块，贫血、低热、恶病质、腹水。</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、实验室和其他检查粪隐血试验、癌胚抗原、结肠镜、钡剂灌肠及</w:t>
      </w:r>
      <w:r>
        <w:rPr>
          <w:rFonts w:ascii="宋体" w:hAnsi="宋体"/>
          <w:kern w:val="0"/>
          <w:szCs w:val="21"/>
        </w:rPr>
        <w:t>CT</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、诊断和鉴别诊断依临床表现、肠镜及病理确诊，与阿米巴病、肠结核、克罗恩病、痢疾鉴别。</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、治疗外科手术治疗，结肠镜治疗，化学药物</w:t>
      </w:r>
      <w:r>
        <w:rPr>
          <w:rFonts w:ascii="宋体" w:hAnsi="宋体"/>
          <w:kern w:val="0"/>
          <w:szCs w:val="21"/>
        </w:rPr>
        <w:t>5</w:t>
      </w:r>
      <w:r>
        <w:rPr>
          <w:rFonts w:ascii="宋体" w:hAnsi="宋体" w:hint="eastAsia"/>
          <w:kern w:val="0"/>
          <w:szCs w:val="21"/>
        </w:rPr>
        <w:t>－</w:t>
      </w:r>
      <w:r>
        <w:rPr>
          <w:rFonts w:ascii="宋体" w:hAnsi="宋体"/>
          <w:kern w:val="0"/>
          <w:szCs w:val="21"/>
        </w:rPr>
        <w:t>Fu</w:t>
      </w:r>
      <w:r>
        <w:rPr>
          <w:rFonts w:ascii="宋体" w:hAnsi="宋体" w:hint="eastAsia"/>
          <w:kern w:val="0"/>
          <w:szCs w:val="21"/>
        </w:rPr>
        <w:t>等治疗，放射治疗。</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、预后及预防取决于早期诊断及手术根治情况，应积极防治癌前病变。</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了解本病的病理、发病机制、临床表现、实验室、其他检查、诊断及治疗。</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第十章功能性胃肠病（自学）</w:t>
      </w:r>
    </w:p>
    <w:p w:rsidR="003717A0" w:rsidRDefault="003717A0">
      <w:pPr>
        <w:pStyle w:val="12"/>
        <w:rPr>
          <w:rFonts w:ascii="宋体"/>
          <w:b/>
          <w:kern w:val="0"/>
          <w:szCs w:val="21"/>
        </w:rPr>
      </w:pPr>
      <w:r>
        <w:rPr>
          <w:rFonts w:ascii="宋体" w:hAnsi="宋体" w:hint="eastAsia"/>
          <w:b/>
          <w:kern w:val="0"/>
          <w:szCs w:val="21"/>
        </w:rPr>
        <w:t>第一节功能性消化不良（自学）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、概述、病因及发病机制</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、临床表现腹痛胀、早饱、嗳气、食欲不振、恶心、呕吐。</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、诊断和鉴别诊断</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、治疗一般治疗，药物治疗：抑酸药，胃肠动力药，抗抑郁药，根除幽门螺杆菌治疗。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了解本病的病因、发病机制、临床表现、诊断、鉴别诊断及治疗。</w:t>
      </w:r>
    </w:p>
    <w:p w:rsidR="003717A0" w:rsidRDefault="003717A0">
      <w:pPr>
        <w:pStyle w:val="12"/>
        <w:rPr>
          <w:rFonts w:ascii="宋体"/>
          <w:b/>
          <w:kern w:val="0"/>
          <w:szCs w:val="21"/>
        </w:rPr>
      </w:pPr>
      <w:r>
        <w:rPr>
          <w:rFonts w:ascii="宋体" w:hAnsi="宋体" w:hint="eastAsia"/>
          <w:b/>
          <w:kern w:val="0"/>
          <w:szCs w:val="21"/>
        </w:rPr>
        <w:t>第二节肠易激综合征（自学）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、概述、病因及发病机制</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、临床表现腹痛、腹泻、便秘，全身症状及体征，分型：腹泻型、便秘型和腹泻便秘交替型。</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、诊断和鉴别诊断诊断标准，需与腹痛、腹泻为主的其他疾病鉴别。</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、治疗一般治疗，药物治疗：解痉、止泻、肠动力调节，心理治疗。</w:t>
      </w:r>
    </w:p>
    <w:p w:rsidR="003717A0" w:rsidRDefault="003717A0">
      <w:pPr>
        <w:pStyle w:val="12"/>
        <w:rPr>
          <w:rFonts w:ascii="宋体"/>
          <w:kern w:val="0"/>
          <w:szCs w:val="21"/>
        </w:rPr>
      </w:pPr>
      <w:r>
        <w:rPr>
          <w:rFonts w:ascii="宋体" w:hAnsi="宋体" w:hint="eastAsia"/>
          <w:kern w:val="0"/>
          <w:szCs w:val="21"/>
        </w:rPr>
        <w:t>目标要求</w:t>
      </w:r>
    </w:p>
    <w:p w:rsidR="003717A0" w:rsidRDefault="003717A0">
      <w:pPr>
        <w:pStyle w:val="12"/>
        <w:ind w:firstLineChars="200" w:firstLine="420"/>
        <w:rPr>
          <w:rFonts w:ascii="宋体"/>
          <w:kern w:val="0"/>
          <w:szCs w:val="21"/>
        </w:rPr>
      </w:pPr>
      <w:r>
        <w:rPr>
          <w:rFonts w:ascii="宋体" w:hAnsi="宋体" w:hint="eastAsia"/>
          <w:kern w:val="0"/>
          <w:szCs w:val="21"/>
        </w:rPr>
        <w:t>了解本病的病因、发病机制、临床表现、诊断及治疗。</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第十一章慢性腹泻和便秘（自学）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、概述、肠道水电解质生理。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、病理生理渗透性、分泌性、渗出性、运动功能异常性腹泻。</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、病因胃肠道疾病、肝胆胰疾病及全身性疾病。</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、诊断依据病史、症状、体征、实验室及</w:t>
      </w:r>
      <w:r>
        <w:rPr>
          <w:rFonts w:ascii="宋体" w:hAnsi="宋体"/>
          <w:kern w:val="0"/>
          <w:szCs w:val="21"/>
        </w:rPr>
        <w:t>X</w:t>
      </w:r>
      <w:r>
        <w:rPr>
          <w:rFonts w:ascii="宋体" w:hAnsi="宋体" w:hint="eastAsia"/>
          <w:kern w:val="0"/>
          <w:szCs w:val="21"/>
        </w:rPr>
        <w:t>线检查、</w:t>
      </w:r>
      <w:r>
        <w:rPr>
          <w:rFonts w:ascii="宋体" w:hAnsi="宋体"/>
          <w:kern w:val="0"/>
          <w:szCs w:val="21"/>
        </w:rPr>
        <w:t>B</w:t>
      </w:r>
      <w:r>
        <w:rPr>
          <w:rFonts w:ascii="宋体" w:hAnsi="宋体" w:hint="eastAsia"/>
          <w:kern w:val="0"/>
          <w:szCs w:val="21"/>
        </w:rPr>
        <w:t>超可诊断。</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、治疗病因治疗、对症治疗。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150" w:firstLine="315"/>
        <w:rPr>
          <w:rFonts w:ascii="宋体"/>
          <w:kern w:val="0"/>
          <w:szCs w:val="21"/>
        </w:rPr>
      </w:pPr>
      <w:r>
        <w:rPr>
          <w:rFonts w:ascii="宋体" w:hAnsi="宋体" w:hint="eastAsia"/>
          <w:kern w:val="0"/>
          <w:szCs w:val="21"/>
        </w:rPr>
        <w:t>了解胃肠道水电解质的生理学，腹泻的病理生理、病因、诊断及治疗。</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第一节慢性腹泻</w:t>
      </w:r>
    </w:p>
    <w:p w:rsidR="003717A0" w:rsidRDefault="003717A0">
      <w:pPr>
        <w:pStyle w:val="12"/>
        <w:numPr>
          <w:ilvl w:val="0"/>
          <w:numId w:val="460"/>
        </w:numPr>
        <w:rPr>
          <w:rFonts w:ascii="宋体"/>
          <w:b/>
          <w:kern w:val="0"/>
          <w:szCs w:val="21"/>
        </w:rPr>
      </w:pPr>
      <w:r>
        <w:rPr>
          <w:rFonts w:ascii="宋体" w:hAnsi="宋体" w:hint="eastAsia"/>
          <w:b/>
          <w:kern w:val="0"/>
          <w:szCs w:val="21"/>
        </w:rPr>
        <w:t>便秘</w:t>
      </w:r>
    </w:p>
    <w:p w:rsidR="003717A0" w:rsidRDefault="003717A0">
      <w:pPr>
        <w:pStyle w:val="12"/>
        <w:jc w:val="center"/>
        <w:rPr>
          <w:rFonts w:ascii="宋体"/>
          <w:b/>
          <w:kern w:val="0"/>
          <w:szCs w:val="21"/>
        </w:rPr>
      </w:pPr>
      <w:r>
        <w:rPr>
          <w:rFonts w:ascii="宋体" w:hAnsi="宋体" w:hint="eastAsia"/>
          <w:b/>
          <w:kern w:val="0"/>
          <w:szCs w:val="21"/>
        </w:rPr>
        <w:t>第十二章脂肪性肝病</w:t>
      </w:r>
    </w:p>
    <w:p w:rsidR="003717A0" w:rsidRDefault="003717A0">
      <w:pPr>
        <w:pStyle w:val="12"/>
        <w:numPr>
          <w:ilvl w:val="0"/>
          <w:numId w:val="461"/>
        </w:numPr>
        <w:rPr>
          <w:rFonts w:ascii="宋体"/>
          <w:b/>
          <w:kern w:val="0"/>
          <w:szCs w:val="21"/>
        </w:rPr>
      </w:pPr>
      <w:r>
        <w:rPr>
          <w:rFonts w:ascii="宋体" w:hAnsi="宋体" w:hint="eastAsia"/>
          <w:b/>
          <w:kern w:val="0"/>
          <w:szCs w:val="21"/>
        </w:rPr>
        <w:t>非酒精性脂肪性肝病</w:t>
      </w:r>
    </w:p>
    <w:p w:rsidR="003717A0" w:rsidRDefault="003717A0">
      <w:pPr>
        <w:pStyle w:val="12"/>
        <w:numPr>
          <w:ilvl w:val="0"/>
          <w:numId w:val="461"/>
        </w:numPr>
        <w:rPr>
          <w:rFonts w:ascii="宋体"/>
          <w:b/>
          <w:kern w:val="0"/>
          <w:szCs w:val="21"/>
        </w:rPr>
      </w:pPr>
      <w:r>
        <w:rPr>
          <w:rFonts w:ascii="宋体" w:hAnsi="宋体" w:hint="eastAsia"/>
          <w:b/>
          <w:kern w:val="0"/>
          <w:szCs w:val="21"/>
        </w:rPr>
        <w:t>酒精性肝病</w:t>
      </w:r>
    </w:p>
    <w:p w:rsidR="003717A0" w:rsidRDefault="003717A0">
      <w:pPr>
        <w:pStyle w:val="12"/>
        <w:jc w:val="center"/>
        <w:rPr>
          <w:rFonts w:ascii="宋体"/>
          <w:b/>
          <w:kern w:val="0"/>
          <w:szCs w:val="21"/>
        </w:rPr>
      </w:pPr>
      <w:r>
        <w:rPr>
          <w:rFonts w:ascii="宋体" w:hAnsi="宋体" w:hint="eastAsia"/>
          <w:b/>
          <w:kern w:val="0"/>
          <w:szCs w:val="21"/>
        </w:rPr>
        <w:t>第十三章自身免疫性肝病</w:t>
      </w:r>
    </w:p>
    <w:p w:rsidR="003717A0" w:rsidRDefault="003717A0">
      <w:pPr>
        <w:pStyle w:val="12"/>
        <w:numPr>
          <w:ilvl w:val="0"/>
          <w:numId w:val="462"/>
        </w:numPr>
        <w:rPr>
          <w:rFonts w:ascii="宋体"/>
          <w:b/>
          <w:kern w:val="0"/>
          <w:szCs w:val="21"/>
        </w:rPr>
      </w:pPr>
      <w:r>
        <w:rPr>
          <w:rFonts w:ascii="宋体" w:hAnsi="宋体" w:hint="eastAsia"/>
          <w:b/>
          <w:kern w:val="0"/>
          <w:szCs w:val="21"/>
        </w:rPr>
        <w:t>自身免疫性肝炎</w:t>
      </w:r>
    </w:p>
    <w:p w:rsidR="003717A0" w:rsidRDefault="003717A0">
      <w:pPr>
        <w:pStyle w:val="12"/>
        <w:numPr>
          <w:ilvl w:val="0"/>
          <w:numId w:val="462"/>
        </w:numPr>
        <w:rPr>
          <w:rFonts w:ascii="宋体"/>
          <w:b/>
          <w:kern w:val="0"/>
          <w:szCs w:val="21"/>
        </w:rPr>
      </w:pPr>
      <w:r>
        <w:rPr>
          <w:rFonts w:ascii="宋体" w:hAnsi="宋体" w:hint="eastAsia"/>
          <w:b/>
          <w:kern w:val="0"/>
          <w:szCs w:val="21"/>
        </w:rPr>
        <w:t>原发性胆汁性肝硬化</w:t>
      </w:r>
    </w:p>
    <w:p w:rsidR="003717A0" w:rsidRDefault="003717A0">
      <w:pPr>
        <w:pStyle w:val="12"/>
        <w:ind w:left="765"/>
        <w:jc w:val="center"/>
        <w:rPr>
          <w:rFonts w:ascii="宋体"/>
          <w:b/>
          <w:kern w:val="0"/>
          <w:szCs w:val="21"/>
        </w:rPr>
      </w:pPr>
      <w:r>
        <w:rPr>
          <w:rFonts w:ascii="宋体" w:hAnsi="宋体" w:hint="eastAsia"/>
          <w:b/>
          <w:kern w:val="0"/>
          <w:szCs w:val="21"/>
        </w:rPr>
        <w:lastRenderedPageBreak/>
        <w:t>第十四章药物性肝病</w:t>
      </w:r>
    </w:p>
    <w:p w:rsidR="003717A0" w:rsidRDefault="003717A0">
      <w:pPr>
        <w:pStyle w:val="12"/>
        <w:ind w:left="765"/>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第十五章肝硬化</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、概述、病因与分类。</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、病理生理肝细胞变性、坏死及再生，结缔组织增生、假小叶形成，门脉高压。</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、临床表现失代偿期肝功能减退：黄疸、出血及内分泌失调，门脉高压：腹水，脾大。</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、并发症上消化道出血、肝性脑病、感染、肝肾（肺）综合征、肝癌、电解质和酸碱平衡紊乱。</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、辅助检查血尿常规，肝功能、腹水试验，内窥镜、影像学、肝穿及腹腔镜检查、门脉压力测定。</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、诊断及鉴别诊断根据病史、肝功能减退及门脉高压表现、肝功能、超声波、胃镜、肝穿、腹腔镜确诊，与引起肝大、腹水、昏迷和上消化道出血的其他疾病鉴别。</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）一般治疗，药物治疗：多种维生素及保肝治疗。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）腹水治疗：限钠水，合理应用利尿剂，输白蛋白、鲜血及血浆，放腹水或回输。</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）门静脉高压症的手术治疗，并发症治疗肝移植手术，治疗指南。</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、预后预后不良，因病因、类型、肝功能代偿程度及有无并发症而不同。</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结合临床，熟悉肝硬化的临床表现，诊断及治疗方法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、掌握肝硬化的临床表现、并发症、诊断、鉴别诊断及治疗原则。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、了解本病的病因、发病机制及病理。</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第十六章原发性肝癌</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、概述、病因和发病机制与病毒性肝炎、肝硬化和某些致癌物质、遗传等多种因素的综合作用有关。</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2</w:t>
      </w:r>
      <w:r>
        <w:rPr>
          <w:rFonts w:ascii="宋体" w:hAnsi="宋体" w:hint="eastAsia"/>
          <w:kern w:val="0"/>
          <w:szCs w:val="21"/>
        </w:rPr>
        <w:t>、病理大体形态分型、细胞分型、转移途径。</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3</w:t>
      </w:r>
      <w:r>
        <w:rPr>
          <w:rFonts w:ascii="宋体" w:hAnsi="宋体" w:hint="eastAsia"/>
          <w:kern w:val="0"/>
          <w:szCs w:val="21"/>
        </w:rPr>
        <w:t>、临床表现早期症状不典型，晚期有肝区疼痛、肝进行性肿大、黄疸及癌转移症状。</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、并发症肝性脑病、上消化道出血、肝癌结节破裂出血及继发感染。</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、辅助检查</w:t>
      </w:r>
      <w:r>
        <w:rPr>
          <w:rFonts w:ascii="宋体" w:hAnsi="宋体"/>
          <w:kern w:val="0"/>
          <w:szCs w:val="21"/>
        </w:rPr>
        <w:t>AFP</w:t>
      </w:r>
      <w:r>
        <w:rPr>
          <w:rFonts w:ascii="宋体" w:hAnsi="宋体" w:hint="eastAsia"/>
          <w:kern w:val="0"/>
          <w:szCs w:val="21"/>
        </w:rPr>
        <w:t>检测，</w:t>
      </w:r>
      <w:r>
        <w:rPr>
          <w:rFonts w:ascii="宋体" w:hAnsi="宋体"/>
          <w:kern w:val="0"/>
          <w:szCs w:val="21"/>
        </w:rPr>
        <w:t>B</w:t>
      </w:r>
      <w:r>
        <w:rPr>
          <w:rFonts w:ascii="宋体" w:hAnsi="宋体" w:hint="eastAsia"/>
          <w:kern w:val="0"/>
          <w:szCs w:val="21"/>
        </w:rPr>
        <w:t>超、</w:t>
      </w:r>
      <w:r>
        <w:rPr>
          <w:rFonts w:ascii="宋体" w:hAnsi="宋体"/>
          <w:kern w:val="0"/>
          <w:szCs w:val="21"/>
        </w:rPr>
        <w:t>CT</w:t>
      </w:r>
      <w:r>
        <w:rPr>
          <w:rFonts w:ascii="宋体" w:hAnsi="宋体" w:hint="eastAsia"/>
          <w:kern w:val="0"/>
          <w:szCs w:val="21"/>
        </w:rPr>
        <w:t>、</w:t>
      </w:r>
      <w:r>
        <w:rPr>
          <w:rFonts w:ascii="宋体" w:hAnsi="宋体"/>
          <w:kern w:val="0"/>
          <w:szCs w:val="21"/>
        </w:rPr>
        <w:t>MRI</w:t>
      </w:r>
      <w:r>
        <w:rPr>
          <w:rFonts w:ascii="宋体" w:hAnsi="宋体" w:hint="eastAsia"/>
          <w:kern w:val="0"/>
          <w:szCs w:val="21"/>
        </w:rPr>
        <w:t>及放射性核素肝显像，肝血管造影及肝穿活检，剖腹探查。</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、诊断及鉴别诊断依临床表现、影像学及肿瘤标记物诊断，与继发性肝癌、肝硬化、活动性肝病及肝脓肿等鉴别。</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、治疗早期手术根治、放疗、化疗、局部治疗及生物免疫治疗，强调综合治疗。</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、预后及预防早期手术可根治，晚期预后差。防治病毒性肝炎、肝硬化，保护水源、防霉查毒。</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结合临床，熟悉原发性肝癌的临床表现，诊断及治疗方法。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、掌握原发性肝癌的临床表现、并发症、诊断及鉴别诊断。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、了解本病的病因、发病机制和分期。</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第十七章肝性脑病</w:t>
      </w:r>
    </w:p>
    <w:p w:rsidR="003717A0" w:rsidRDefault="003717A0">
      <w:pPr>
        <w:pStyle w:val="12"/>
        <w:ind w:firstLineChars="200" w:firstLine="420"/>
        <w:rPr>
          <w:rFonts w:ascii="宋体"/>
          <w:kern w:val="0"/>
          <w:szCs w:val="21"/>
        </w:rPr>
      </w:pPr>
    </w:p>
    <w:p w:rsidR="003717A0" w:rsidRDefault="003717A0">
      <w:pPr>
        <w:pStyle w:val="12"/>
        <w:rPr>
          <w:rFonts w:ascii="宋体"/>
          <w:b/>
          <w:kern w:val="0"/>
          <w:szCs w:val="21"/>
        </w:rPr>
      </w:pPr>
      <w:r>
        <w:rPr>
          <w:rFonts w:ascii="宋体" w:hAnsi="宋体" w:hint="eastAsia"/>
          <w:b/>
          <w:kern w:val="0"/>
          <w:szCs w:val="21"/>
        </w:rPr>
        <w:lastRenderedPageBreak/>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、概述、病因、发病机制和病理神经毒素、神经递质的变化。</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、临床表现前驱期、昏迷前期、昏睡期、昏迷期。</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、辅助检查血氨测定，脑电图、诱发电位，心理智能测验、影像学检查等。</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、诊断及鉴别诊断根据临床表现及辅助检查确诊，与中毒、中枢神经系统疾病、尿毒症、糖尿病等所致昏迷鉴别。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）根除病因，减少毒物的产生和吸收。以糖供热，禁蛋白质，清肠导泻，用抗生素和乳果糖。</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）促进毒物代谢清除，纠正氨基酸代谢紊乱。降血氨，护理、对症，血液灌流，肝移植等。</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、预防积极治疗原发性肝病，防治诱因，早期发现肝昏迷表现及时治疗。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结合临床，熟悉肝性脑病的临床表现，诊断及治疗方法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、掌握肝性脑病的病因、重点诱因、临床表现、诊断、鉴别诊断和治疗。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、了解本病的发病机制、病理。</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第十八章胰腺炎</w:t>
      </w:r>
    </w:p>
    <w:p w:rsidR="003717A0" w:rsidRDefault="003717A0">
      <w:pPr>
        <w:pStyle w:val="12"/>
        <w:rPr>
          <w:rFonts w:ascii="宋体"/>
          <w:b/>
          <w:kern w:val="0"/>
          <w:szCs w:val="21"/>
        </w:rPr>
      </w:pPr>
      <w:r>
        <w:rPr>
          <w:rFonts w:ascii="宋体" w:hAnsi="宋体" w:hint="eastAsia"/>
          <w:b/>
          <w:kern w:val="0"/>
          <w:szCs w:val="21"/>
        </w:rPr>
        <w:t>第一节急性胰腺炎</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、概述化学性炎症、自身消化。</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、病因及发病机制胆系疾病、暴饮暴食，胰管阻塞、手术与创伤、感染、内分泌与代谢障碍。</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、病理急性水肿型、急性坏死型。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）症状：腹痛、腹胀、恶心、呕吐，严重者休克，水、电解质、酸碱失衡。</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）体征：水肿型上腹压痛；坏死型上腹压痛、反跳痛、肌紧张、肠麻痹、胸腹水、抽搐及黄疸。</w:t>
      </w:r>
    </w:p>
    <w:p w:rsidR="003717A0" w:rsidRDefault="003717A0">
      <w:pPr>
        <w:pStyle w:val="12"/>
        <w:ind w:firstLineChars="150" w:firstLine="315"/>
        <w:rPr>
          <w:rFonts w:ascii="宋体"/>
          <w:kern w:val="0"/>
          <w:szCs w:val="21"/>
        </w:rPr>
      </w:pPr>
      <w:r>
        <w:rPr>
          <w:rFonts w:ascii="宋体" w:hAnsi="宋体"/>
          <w:kern w:val="0"/>
          <w:szCs w:val="21"/>
        </w:rPr>
        <w:t>5</w:t>
      </w:r>
      <w:r>
        <w:rPr>
          <w:rFonts w:ascii="宋体" w:hAnsi="宋体" w:hint="eastAsia"/>
          <w:kern w:val="0"/>
          <w:szCs w:val="21"/>
        </w:rPr>
        <w:t>、并发症局部并发症：胰腺脓肿、假性囊肿。全身并发症：多器官功能衰竭</w:t>
      </w:r>
      <w:r>
        <w:rPr>
          <w:rFonts w:ascii="宋体" w:hAnsi="宋体"/>
          <w:kern w:val="0"/>
          <w:szCs w:val="21"/>
        </w:rPr>
        <w:t>—</w:t>
      </w:r>
      <w:r>
        <w:rPr>
          <w:rFonts w:ascii="宋体" w:hAnsi="宋体" w:hint="eastAsia"/>
          <w:kern w:val="0"/>
          <w:szCs w:val="21"/>
        </w:rPr>
        <w:t>急性呼衰、肾衰、心衰，消化道出血、败血症。</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、实验室及其他检查血尿淀粉酶、血脂肪酶、生化检查、</w:t>
      </w:r>
      <w:r>
        <w:rPr>
          <w:rFonts w:ascii="宋体" w:hAnsi="宋体"/>
          <w:kern w:val="0"/>
          <w:szCs w:val="21"/>
        </w:rPr>
        <w:t>B</w:t>
      </w:r>
      <w:r>
        <w:rPr>
          <w:rFonts w:ascii="宋体" w:hAnsi="宋体" w:hint="eastAsia"/>
          <w:kern w:val="0"/>
          <w:szCs w:val="21"/>
        </w:rPr>
        <w:t>超及</w:t>
      </w:r>
      <w:r>
        <w:rPr>
          <w:rFonts w:ascii="宋体" w:hAnsi="宋体"/>
          <w:kern w:val="0"/>
          <w:szCs w:val="21"/>
        </w:rPr>
        <w:t>CT</w:t>
      </w:r>
      <w:r>
        <w:rPr>
          <w:rFonts w:ascii="宋体" w:hAnsi="宋体" w:hint="eastAsia"/>
          <w:kern w:val="0"/>
          <w:szCs w:val="21"/>
        </w:rPr>
        <w:t>、</w:t>
      </w:r>
      <w:r>
        <w:rPr>
          <w:rFonts w:ascii="宋体" w:hAnsi="宋体"/>
          <w:kern w:val="0"/>
          <w:szCs w:val="21"/>
        </w:rPr>
        <w:t>CRP</w:t>
      </w:r>
      <w:r>
        <w:rPr>
          <w:rFonts w:ascii="宋体" w:hAnsi="宋体" w:hint="eastAsia"/>
          <w:kern w:val="0"/>
          <w:szCs w:val="21"/>
        </w:rPr>
        <w:t>等。</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、诊断及鉴别诊断依临床表现、淀粉酶、影像学确诊，与溃疡病穿孔、胆石症、肠梗阻、心梗及异位妊娠鉴别。</w:t>
      </w:r>
    </w:p>
    <w:p w:rsidR="003717A0" w:rsidRDefault="003717A0">
      <w:pPr>
        <w:pStyle w:val="12"/>
        <w:ind w:firstLineChars="200" w:firstLine="420"/>
        <w:rPr>
          <w:rFonts w:ascii="宋体"/>
          <w:kern w:val="0"/>
          <w:szCs w:val="21"/>
        </w:rPr>
      </w:pPr>
      <w:r>
        <w:rPr>
          <w:rFonts w:ascii="宋体" w:hAnsi="宋体"/>
          <w:kern w:val="0"/>
          <w:szCs w:val="21"/>
        </w:rPr>
        <w:t>8</w:t>
      </w:r>
      <w:r>
        <w:rPr>
          <w:rFonts w:ascii="宋体" w:hAnsi="宋体" w:hint="eastAsia"/>
          <w:kern w:val="0"/>
          <w:szCs w:val="21"/>
        </w:rPr>
        <w:t>、治疗</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）减少胰腺外分泌：禁食，胃肠减压，抑制胃胰液、胰酶合成及分泌，抑肽酶抑制胰酶活力。</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）对症治疗：解痉止痛，纠正水电解酸碱失衡、抗休克、抗感染等。</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）内镜下</w:t>
      </w:r>
      <w:r>
        <w:rPr>
          <w:rFonts w:ascii="宋体" w:hAnsi="宋体"/>
          <w:kern w:val="0"/>
          <w:szCs w:val="21"/>
        </w:rPr>
        <w:t>oddi</w:t>
      </w:r>
      <w:r>
        <w:rPr>
          <w:rFonts w:ascii="宋体" w:hAnsi="宋体" w:hint="eastAsia"/>
          <w:kern w:val="0"/>
          <w:szCs w:val="21"/>
        </w:rPr>
        <w:t>括约肌切开术：胆源性胰腺炎胆道减压、引流和排除梗阻。</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）手术适应证，治疗指南。</w:t>
      </w:r>
    </w:p>
    <w:p w:rsidR="003717A0" w:rsidRDefault="003717A0">
      <w:pPr>
        <w:pStyle w:val="12"/>
        <w:ind w:firstLineChars="200" w:firstLine="420"/>
        <w:rPr>
          <w:rFonts w:ascii="宋体"/>
          <w:kern w:val="0"/>
          <w:szCs w:val="21"/>
        </w:rPr>
      </w:pPr>
      <w:r>
        <w:rPr>
          <w:rFonts w:ascii="宋体" w:hAnsi="宋体"/>
          <w:kern w:val="0"/>
          <w:szCs w:val="21"/>
        </w:rPr>
        <w:t>9</w:t>
      </w:r>
      <w:r>
        <w:rPr>
          <w:rFonts w:ascii="宋体" w:hAnsi="宋体" w:hint="eastAsia"/>
          <w:kern w:val="0"/>
          <w:szCs w:val="21"/>
        </w:rPr>
        <w:t>、预后及预防水肿型良好；出血坏死型差，病死率高。</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结合临床，熟悉急性胰腺炎的临床表现，诊断及治疗方法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、掌握急性胰腺炎的病因、临床表现、诊断、并发症和治疗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、了解本病的发病机制及病理分型。</w:t>
      </w:r>
    </w:p>
    <w:p w:rsidR="003717A0" w:rsidRDefault="003717A0">
      <w:pPr>
        <w:pStyle w:val="12"/>
        <w:rPr>
          <w:rFonts w:ascii="宋体"/>
          <w:b/>
          <w:kern w:val="0"/>
          <w:szCs w:val="21"/>
        </w:rPr>
      </w:pPr>
      <w:r>
        <w:rPr>
          <w:rFonts w:ascii="宋体" w:hAnsi="宋体" w:hint="eastAsia"/>
          <w:b/>
          <w:kern w:val="0"/>
          <w:szCs w:val="21"/>
        </w:rPr>
        <w:t>第二节慢性胰腺炎（自学）</w:t>
      </w:r>
    </w:p>
    <w:p w:rsidR="003717A0" w:rsidRDefault="003717A0">
      <w:pPr>
        <w:pStyle w:val="12"/>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第十九章胰腺癌（自学）</w:t>
      </w:r>
    </w:p>
    <w:p w:rsidR="003717A0" w:rsidRDefault="003717A0">
      <w:pPr>
        <w:pStyle w:val="12"/>
        <w:rPr>
          <w:rFonts w:ascii="宋体"/>
          <w:kern w:val="0"/>
          <w:szCs w:val="21"/>
        </w:rPr>
      </w:pPr>
      <w:r>
        <w:rPr>
          <w:rFonts w:ascii="宋体" w:hAnsi="宋体" w:hint="eastAsia"/>
          <w:kern w:val="0"/>
          <w:szCs w:val="21"/>
        </w:rPr>
        <w:lastRenderedPageBreak/>
        <w:t>目标要求</w:t>
      </w:r>
    </w:p>
    <w:p w:rsidR="003717A0" w:rsidRDefault="00913B56">
      <w:pPr>
        <w:pStyle w:val="12"/>
        <w:rPr>
          <w:rFonts w:ascii="宋体"/>
          <w:kern w:val="0"/>
          <w:szCs w:val="21"/>
        </w:rPr>
      </w:pPr>
      <w:r>
        <w:rPr>
          <w:rFonts w:ascii="宋体" w:hAnsi="宋体" w:hint="eastAsia"/>
          <w:kern w:val="0"/>
          <w:szCs w:val="21"/>
        </w:rPr>
        <w:t>1</w:t>
      </w:r>
      <w:r w:rsidR="003717A0">
        <w:rPr>
          <w:rFonts w:ascii="宋体" w:hAnsi="宋体" w:hint="eastAsia"/>
          <w:kern w:val="0"/>
          <w:szCs w:val="21"/>
        </w:rPr>
        <w:t>、了解本病的病因、病理、临床表现，实验室检查及其他检查，诊断及治疗。</w:t>
      </w:r>
    </w:p>
    <w:p w:rsidR="003717A0" w:rsidRDefault="003717A0">
      <w:pPr>
        <w:pStyle w:val="12"/>
        <w:rPr>
          <w:rFonts w:ascii="宋体"/>
          <w:kern w:val="0"/>
          <w:szCs w:val="21"/>
        </w:rPr>
      </w:pPr>
      <w:r>
        <w:rPr>
          <w:rFonts w:ascii="宋体" w:hAnsi="宋体" w:hint="eastAsia"/>
          <w:kern w:val="0"/>
          <w:szCs w:val="21"/>
        </w:rPr>
        <w:t>自学内容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、概述、病因、发病机制及病理。</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、临床表现腹痛、消瘦、黄疸及不同程度的消化道症状，晚期可有消瘦、上腹压痛及黄疸。</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、实验室及其他检查血尿粪、肿瘤标志物、影像学、组织病理学及细胞学检查。</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、诊断及鉴别诊断晚期依临床表现及有关检查确诊，与慢性胰腺炎、壶腹癌及胆总管癌鉴别。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、治疗及预后外科治疗，内科治疗，预后较差。</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第二十章消化道出血（自学）</w:t>
      </w:r>
    </w:p>
    <w:p w:rsidR="003717A0" w:rsidRDefault="003717A0">
      <w:pPr>
        <w:pStyle w:val="12"/>
        <w:rPr>
          <w:rFonts w:ascii="宋体"/>
          <w:b/>
          <w:kern w:val="0"/>
          <w:szCs w:val="21"/>
        </w:rPr>
      </w:pPr>
      <w:r>
        <w:rPr>
          <w:rFonts w:ascii="宋体" w:hAnsi="宋体" w:hint="eastAsia"/>
          <w:b/>
          <w:kern w:val="0"/>
          <w:szCs w:val="21"/>
        </w:rPr>
        <w:t>第一节上消化道出血</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、概述、病因胃肠道、肝胆胰、全身疾病，常见于消化性溃疡、急性胃粘膜病变、食管胃底静脉曲张和胃癌。</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、临床表现呕血、黑粪，失血性休克及失血征象，发热、氮质血症。</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）消化道出血的确定，出血严重程度的估计和周围循环状态的判断。</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）出血是否停止的判断，病因确定，预后估计。</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）一般治疗：监测、抗休克。</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）急诊止血措施：药物止血，三腔二囊管压迫，急诊内镜下止血。</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）补充血容量，原发病治疗，治疗指南。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、掌握上消化道出血的部位、量、出血是否停止、急诊处理和有关药物治疗。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、了解该病的病因及预后。</w:t>
      </w:r>
    </w:p>
    <w:p w:rsidR="003717A0" w:rsidRDefault="003717A0">
      <w:pPr>
        <w:pStyle w:val="12"/>
        <w:rPr>
          <w:rFonts w:ascii="宋体"/>
          <w:b/>
          <w:kern w:val="0"/>
          <w:szCs w:val="21"/>
        </w:rPr>
      </w:pPr>
      <w:r>
        <w:rPr>
          <w:rFonts w:ascii="宋体" w:hAnsi="宋体" w:hint="eastAsia"/>
          <w:b/>
          <w:kern w:val="0"/>
          <w:szCs w:val="21"/>
        </w:rPr>
        <w:t>第二节下消化道出血（自学）</w:t>
      </w:r>
    </w:p>
    <w:p w:rsidR="003717A0" w:rsidRDefault="003717A0">
      <w:pPr>
        <w:pStyle w:val="12"/>
        <w:jc w:val="center"/>
        <w:rPr>
          <w:rFonts w:ascii="宋体"/>
          <w:b/>
          <w:kern w:val="0"/>
          <w:szCs w:val="21"/>
        </w:rPr>
      </w:pPr>
      <w:r>
        <w:rPr>
          <w:rFonts w:ascii="宋体" w:hAnsi="宋体" w:hint="eastAsia"/>
          <w:b/>
          <w:kern w:val="0"/>
          <w:szCs w:val="21"/>
        </w:rPr>
        <w:t>第五篇泌尿系统疾病</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第一章总论（自学）</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、概述、肾脏的结构与生理功能肾小球滤过功能，肾小管重吸收和分泌，肾脏的内分泌功能。</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、肾脏疾病的评估病程、尿检查、肾小球滤过率、影像学检查、肾活检。</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、慢性肾衰竭综合征肾病综合征、肾炎综合征、无症状性尿异常、急性肾衰竭综合征、急进性肾衰竭综合征。</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、肾脏疾病的防治原则及进展</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）肾小球病理、免疫机制和慢性肾衰竭机制及病理生理研究。</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）降压、对症治疗，红细胞生成素、活性维生素</w:t>
      </w:r>
      <w:r>
        <w:rPr>
          <w:rFonts w:ascii="宋体" w:hAnsi="宋体"/>
          <w:kern w:val="0"/>
          <w:szCs w:val="21"/>
        </w:rPr>
        <w:t>D</w:t>
      </w:r>
      <w:r>
        <w:rPr>
          <w:rFonts w:ascii="宋体" w:hAnsi="宋体"/>
          <w:kern w:val="0"/>
          <w:szCs w:val="21"/>
          <w:vertAlign w:val="subscript"/>
        </w:rPr>
        <w:t>3</w:t>
      </w:r>
      <w:r>
        <w:rPr>
          <w:rFonts w:ascii="宋体" w:hAnsi="宋体" w:hint="eastAsia"/>
          <w:kern w:val="0"/>
          <w:szCs w:val="21"/>
        </w:rPr>
        <w:t>等应用。</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）肾衰竭的肾脏替代治疗，中西医结合治疗。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、掌握肾脏疾病的评估和常见综合征。</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、了解肾脏结构功能、肾脏疾病的防治原则和展望。</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第二章肾小球疾病概述（自学）</w:t>
      </w:r>
    </w:p>
    <w:p w:rsidR="003717A0" w:rsidRDefault="003717A0">
      <w:pPr>
        <w:pStyle w:val="12"/>
        <w:rPr>
          <w:rFonts w:ascii="宋体"/>
          <w:b/>
          <w:kern w:val="0"/>
          <w:szCs w:val="21"/>
        </w:rPr>
      </w:pPr>
      <w:r>
        <w:rPr>
          <w:rFonts w:ascii="宋体" w:hAnsi="宋体" w:hint="eastAsia"/>
          <w:b/>
          <w:kern w:val="0"/>
          <w:szCs w:val="21"/>
        </w:rPr>
        <w:lastRenderedPageBreak/>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、原发性肾小球病的分类临床分型、病理分型。</w:t>
      </w:r>
    </w:p>
    <w:p w:rsidR="003717A0" w:rsidRPr="00913B56" w:rsidRDefault="003717A0" w:rsidP="00913B56">
      <w:pPr>
        <w:pStyle w:val="12"/>
        <w:ind w:firstLineChars="200" w:firstLine="420"/>
        <w:rPr>
          <w:rFonts w:ascii="宋体" w:hAnsi="宋体"/>
          <w:kern w:val="0"/>
          <w:szCs w:val="21"/>
        </w:rPr>
      </w:pPr>
      <w:r>
        <w:rPr>
          <w:rFonts w:ascii="宋体" w:hAnsi="宋体"/>
          <w:kern w:val="0"/>
          <w:szCs w:val="21"/>
        </w:rPr>
        <w:t>2</w:t>
      </w:r>
      <w:r>
        <w:rPr>
          <w:rFonts w:ascii="宋体" w:hAnsi="宋体" w:hint="eastAsia"/>
          <w:kern w:val="0"/>
          <w:szCs w:val="21"/>
        </w:rPr>
        <w:t>、发病机制免疫反应、炎症反应、非免疫机制的作用。</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、临床表现水肿、肾性高血压、肾区疼痛及及绞痛、尿路刺激征、排尿异常（蛋白尿、血尿、白细胞尿、脓尿、菌尿）</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、掌握肾小球疾病的临床表现。</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、了解肾小球疾病的分类及发病机制。</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第三章肾小球肾炎</w:t>
      </w:r>
    </w:p>
    <w:p w:rsidR="003717A0" w:rsidRDefault="003717A0">
      <w:pPr>
        <w:pStyle w:val="12"/>
        <w:rPr>
          <w:rFonts w:ascii="宋体"/>
          <w:b/>
          <w:kern w:val="0"/>
          <w:szCs w:val="21"/>
        </w:rPr>
      </w:pPr>
      <w:r>
        <w:rPr>
          <w:rFonts w:ascii="宋体" w:hAnsi="宋体" w:hint="eastAsia"/>
          <w:b/>
          <w:kern w:val="0"/>
          <w:szCs w:val="21"/>
        </w:rPr>
        <w:t>第一节急性肾小球肾炎（自学）</w:t>
      </w:r>
    </w:p>
    <w:p w:rsidR="003717A0" w:rsidRDefault="003717A0">
      <w:pPr>
        <w:pStyle w:val="12"/>
        <w:numPr>
          <w:ilvl w:val="0"/>
          <w:numId w:val="462"/>
        </w:numPr>
        <w:rPr>
          <w:rFonts w:ascii="宋体"/>
          <w:b/>
          <w:kern w:val="0"/>
          <w:szCs w:val="21"/>
        </w:rPr>
      </w:pPr>
      <w:r>
        <w:rPr>
          <w:rFonts w:ascii="宋体" w:hAnsi="宋体" w:hint="eastAsia"/>
          <w:b/>
          <w:kern w:val="0"/>
          <w:szCs w:val="21"/>
        </w:rPr>
        <w:t>急进性肾小球肾炎</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、急进性肾炎的概念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、病因和发病机制：三种不同的病因，根据免疫病理分为的三种类型。</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、病理：主要特征为广泛的肾小球囊内有大新月体形成。</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、临床表现和实验室检查。</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、诊断和鉴别诊断：确诊需靠肾活检，与急性肾炎、急性肾小管坏死、梗阻性肾病、继发性急进性肾炎相鉴别。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）强化疗法：强化血浆置换疗法，甲强龙冲击伴环磷酰胺治疗。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）替代治疗：血液透析及肾移植。</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结合具体病例讨论</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、急进性肾炎的病理改变特点。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、急进性肾炎的临床特点及治疗对策。</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、掌握急进性肾炎的临床诊断和鉴别诊断要点及治疗。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、熟悉急进性肾炎的病理改变。</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、了解急进性肾炎的病因、发病机制和预后。</w:t>
      </w:r>
    </w:p>
    <w:p w:rsidR="003717A0" w:rsidRDefault="003717A0">
      <w:pPr>
        <w:pStyle w:val="12"/>
        <w:numPr>
          <w:ilvl w:val="0"/>
          <w:numId w:val="462"/>
        </w:numPr>
        <w:rPr>
          <w:rFonts w:ascii="宋体"/>
          <w:b/>
          <w:kern w:val="0"/>
          <w:szCs w:val="21"/>
        </w:rPr>
      </w:pPr>
      <w:r>
        <w:rPr>
          <w:rFonts w:ascii="宋体" w:hAnsi="宋体" w:hint="eastAsia"/>
          <w:b/>
          <w:kern w:val="0"/>
          <w:szCs w:val="21"/>
        </w:rPr>
        <w:t>慢性肾小球肾炎</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、概述、病因、发病机制和病理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、临床表现和实验室检查可发生于任何年龄，但以青中年为主，男性多见，起病缓慢，隐袭，临床呈多样性，以蛋白尿、血尿、水肿、高血压为基本临床表现，肾功能呈慢性进行性损害。</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、诊断和鉴别诊断</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）诊断：尿化验异常，水肿及高血压病史一年以上，除外继发性肾小球疾病及遗传性肾炎。</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）鉴别诊断：继发性肾炎、</w:t>
      </w:r>
      <w:r>
        <w:rPr>
          <w:rFonts w:ascii="宋体" w:hAnsi="宋体"/>
          <w:kern w:val="0"/>
          <w:szCs w:val="21"/>
        </w:rPr>
        <w:t>Alport</w:t>
      </w:r>
      <w:r>
        <w:rPr>
          <w:rFonts w:ascii="宋体" w:hAnsi="宋体" w:hint="eastAsia"/>
          <w:kern w:val="0"/>
          <w:szCs w:val="21"/>
        </w:rPr>
        <w:t>综合征、其他原发性肾小球疾病及原发性高血压肾损害。</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、治疗原则防止或延缓肾功能进行性恶化，改善和缓解临床症状。</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）积极控制高血压，限制食物中蛋白及磷入量，避免加重肾脏损害的因素。</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）应用血小板解聚药，糖皮质激素和细胞毒类药物。</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结合具体病例讨论</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、慢性肾炎的临床特点及诊断、鉴别诊断。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、慢性肾炎的主要治疗措施。</w:t>
      </w:r>
    </w:p>
    <w:p w:rsidR="003717A0" w:rsidRDefault="003717A0">
      <w:pPr>
        <w:pStyle w:val="12"/>
        <w:ind w:firstLineChars="50" w:firstLine="105"/>
        <w:rPr>
          <w:rFonts w:ascii="宋体"/>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、掌握慢性肾小球肾炎的病因、临床表现、实验室检查、诊断、鉴别诊断及治疗。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、了解本病的发病机制、病理和预后。</w:t>
      </w:r>
    </w:p>
    <w:p w:rsidR="003717A0" w:rsidRDefault="003717A0">
      <w:pPr>
        <w:pStyle w:val="12"/>
        <w:numPr>
          <w:ilvl w:val="0"/>
          <w:numId w:val="462"/>
        </w:numPr>
        <w:rPr>
          <w:rFonts w:ascii="宋体"/>
          <w:b/>
          <w:kern w:val="0"/>
          <w:szCs w:val="21"/>
        </w:rPr>
      </w:pPr>
      <w:r>
        <w:rPr>
          <w:rFonts w:ascii="宋体" w:hAnsi="宋体" w:hint="eastAsia"/>
          <w:b/>
          <w:kern w:val="0"/>
          <w:szCs w:val="21"/>
        </w:rPr>
        <w:t>无症状血尿或（和）蛋白尿</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、无症状血尿或（和）蛋白尿的概念及主要临床表现特点。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、对单纯性血尿及对无症状性蛋白尿患者所需采取的对策。</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、无症状血尿或（和）蛋白尿的治疗对策。</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100" w:firstLine="210"/>
        <w:rPr>
          <w:rFonts w:ascii="宋体"/>
          <w:kern w:val="0"/>
          <w:szCs w:val="21"/>
        </w:rPr>
      </w:pPr>
      <w:r>
        <w:rPr>
          <w:rFonts w:ascii="宋体" w:hAnsi="宋体" w:hint="eastAsia"/>
          <w:kern w:val="0"/>
          <w:szCs w:val="21"/>
        </w:rPr>
        <w:t>无症状血尿或（和）蛋白尿的临床特点及治疗对策。</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、了解无症状血尿或（和）蛋白尿的概念及临床表现特点。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、了解无症状血尿或（和）蛋白尿的治疗对策。</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第四章肾病综合征</w:t>
      </w:r>
    </w:p>
    <w:p w:rsidR="003717A0" w:rsidRDefault="003717A0">
      <w:pPr>
        <w:pStyle w:val="12"/>
        <w:rPr>
          <w:rFonts w:ascii="宋体"/>
          <w:kern w:val="0"/>
          <w:szCs w:val="21"/>
        </w:rPr>
      </w:pPr>
      <w:r>
        <w:rPr>
          <w:rFonts w:ascii="宋体" w:hAnsi="宋体" w:hint="eastAsia"/>
          <w:b/>
          <w:kern w:val="0"/>
          <w:szCs w:val="21"/>
        </w:rPr>
        <w:t>教学内容</w:t>
      </w:r>
      <w:r>
        <w:rPr>
          <w:rFonts w:ascii="宋体" w:hAnsi="宋体" w:hint="eastAsia"/>
          <w:kern w:val="0"/>
          <w:szCs w:val="21"/>
        </w:rPr>
        <w:t>：</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、病因与病理生理大量蛋白尿、血浆蛋白减少、水肿和高脂血症。</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、病理类型及临床表现微小病变肾病，系膜增生性肾炎，系膜毛细血管性肾炎，膜性肾病，局灶节段性肾小球硬化的病理及临床特点。</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、并发症感染，血栓、栓塞，急性肾衰竭，蛋白质、脂肪代谢紊乱。</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、诊断和鉴别诊断确诊肾病综合征、病因、并发症，必要时肾穿刺活检，与紫癜性肾炎、狼疮性肾炎、糖尿病肾病、肾淀粉样变性鉴别。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、治疗及预后</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）一般治疗，对症治疗。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）主要治疗：抑制免疫与炎症反应</w:t>
      </w:r>
    </w:p>
    <w:p w:rsidR="003717A0" w:rsidRDefault="003717A0">
      <w:pPr>
        <w:pStyle w:val="12"/>
        <w:rPr>
          <w:rFonts w:ascii="宋体"/>
          <w:kern w:val="0"/>
          <w:szCs w:val="21"/>
        </w:rPr>
      </w:pPr>
      <w:r>
        <w:rPr>
          <w:rFonts w:ascii="宋体" w:hAnsi="宋体" w:hint="eastAsia"/>
          <w:kern w:val="0"/>
          <w:szCs w:val="21"/>
        </w:rPr>
        <w:t>糖皮质激素：强的松要起始足量、缓慢减药、长期维持。细胞毒药物：环磷酰胺等。</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）中医药治疗，并发症的防治。</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典型病例示教，帮助学生认识和掌握肾病综合征的病理生理、临床表现、并发症、实验室检查，诊断和鉴别诊断。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挑选疗效良好的典型病理示教，帮助学生认识和掌握糖皮质激素和其它免疫抑制剂的使用原则、适应症、用药方法、注意事项以及并发症的防治。</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、掌握肾病综合征的病理类型、临床表现、并发症、诊断、鉴别诊断及治疗。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、了解本病的病因、病理生理及预后。</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第五章</w:t>
      </w:r>
      <w:r>
        <w:rPr>
          <w:rFonts w:ascii="宋体" w:hAnsi="宋体"/>
          <w:b/>
          <w:kern w:val="0"/>
          <w:szCs w:val="21"/>
        </w:rPr>
        <w:t>IgA</w:t>
      </w:r>
      <w:r>
        <w:rPr>
          <w:rFonts w:ascii="宋体" w:hAnsi="宋体" w:hint="eastAsia"/>
          <w:b/>
          <w:kern w:val="0"/>
          <w:szCs w:val="21"/>
        </w:rPr>
        <w:t>肾病（自学）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第六章继发性肾病</w:t>
      </w:r>
    </w:p>
    <w:p w:rsidR="003717A0" w:rsidRDefault="003717A0">
      <w:pPr>
        <w:pStyle w:val="12"/>
        <w:rPr>
          <w:rFonts w:ascii="宋体"/>
          <w:b/>
          <w:kern w:val="0"/>
          <w:szCs w:val="21"/>
        </w:rPr>
      </w:pPr>
      <w:r>
        <w:rPr>
          <w:rFonts w:ascii="宋体" w:hAnsi="宋体" w:hint="eastAsia"/>
          <w:b/>
          <w:kern w:val="0"/>
          <w:szCs w:val="21"/>
        </w:rPr>
        <w:t>第一节狼疮性肾炎</w:t>
      </w:r>
    </w:p>
    <w:p w:rsidR="003717A0" w:rsidRDefault="003717A0">
      <w:pPr>
        <w:pStyle w:val="12"/>
        <w:rPr>
          <w:rFonts w:ascii="宋体"/>
          <w:b/>
          <w:kern w:val="0"/>
          <w:szCs w:val="21"/>
        </w:rPr>
      </w:pPr>
      <w:r>
        <w:rPr>
          <w:rFonts w:ascii="宋体" w:hAnsi="宋体" w:hint="eastAsia"/>
          <w:b/>
          <w:kern w:val="0"/>
          <w:szCs w:val="21"/>
        </w:rPr>
        <w:t>第二节糖尿病肾病</w:t>
      </w:r>
    </w:p>
    <w:p w:rsidR="003717A0" w:rsidRDefault="003717A0">
      <w:pPr>
        <w:pStyle w:val="12"/>
        <w:jc w:val="center"/>
        <w:rPr>
          <w:rFonts w:ascii="宋体"/>
          <w:b/>
          <w:kern w:val="0"/>
          <w:szCs w:val="21"/>
        </w:rPr>
      </w:pPr>
      <w:r>
        <w:rPr>
          <w:rFonts w:ascii="宋体" w:hAnsi="宋体" w:hint="eastAsia"/>
          <w:b/>
          <w:kern w:val="0"/>
          <w:szCs w:val="21"/>
        </w:rPr>
        <w:t>第七章间质性肾炎（自学）</w:t>
      </w:r>
    </w:p>
    <w:p w:rsidR="003717A0" w:rsidRDefault="003717A0">
      <w:pPr>
        <w:pStyle w:val="12"/>
        <w:rPr>
          <w:rFonts w:ascii="宋体"/>
          <w:b/>
          <w:kern w:val="0"/>
          <w:szCs w:val="21"/>
        </w:rPr>
      </w:pPr>
      <w:r>
        <w:rPr>
          <w:rFonts w:ascii="宋体" w:hAnsi="宋体" w:hint="eastAsia"/>
          <w:b/>
          <w:kern w:val="0"/>
          <w:szCs w:val="21"/>
        </w:rPr>
        <w:lastRenderedPageBreak/>
        <w:t>第一节急性间质性肾炎</w:t>
      </w:r>
    </w:p>
    <w:p w:rsidR="003717A0" w:rsidRDefault="003717A0">
      <w:pPr>
        <w:pStyle w:val="12"/>
        <w:rPr>
          <w:rFonts w:ascii="宋体"/>
          <w:b/>
          <w:kern w:val="0"/>
          <w:szCs w:val="21"/>
        </w:rPr>
      </w:pPr>
      <w:r>
        <w:rPr>
          <w:rFonts w:ascii="宋体" w:hAnsi="宋体" w:hint="eastAsia"/>
          <w:b/>
          <w:kern w:val="0"/>
          <w:szCs w:val="21"/>
        </w:rPr>
        <w:t>第二节慢性间质性肾炎</w:t>
      </w:r>
    </w:p>
    <w:p w:rsidR="003717A0" w:rsidRDefault="003717A0">
      <w:pPr>
        <w:pStyle w:val="12"/>
        <w:jc w:val="center"/>
        <w:rPr>
          <w:rFonts w:ascii="宋体"/>
          <w:b/>
          <w:kern w:val="0"/>
          <w:szCs w:val="21"/>
        </w:rPr>
      </w:pPr>
      <w:r>
        <w:rPr>
          <w:rFonts w:ascii="宋体" w:hAnsi="宋体" w:hint="eastAsia"/>
          <w:b/>
          <w:kern w:val="0"/>
          <w:szCs w:val="21"/>
        </w:rPr>
        <w:t>第八章尿路感染</w:t>
      </w:r>
    </w:p>
    <w:p w:rsidR="003717A0" w:rsidRDefault="003717A0">
      <w:pPr>
        <w:pStyle w:val="12"/>
        <w:ind w:firstLineChars="200" w:firstLine="420"/>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、概述、病因和发病机制致病菌，感染途径、机体抵抗能力、易感因素和细菌的致病力。</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、流行病学、病理</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、临床表现</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）急性膀胱炎：尿频、尿急、尿痛。</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）急性肾盂肾炎：全身感染症状、肾脏和尿路局部表现及尿液变化。</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）无症状性菌尿：有菌尿而无任何尿路感染症状。</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、实验室和其他检查尿常规，细菌定量培养，尿涂片镜检细菌，化学性检查，影像学检查。</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、诊断、定位诊断和鉴别诊断慢性肾盂肾炎、肾结核、尿道综合征。</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、并发症肾乳头坏死、肾周围脓肿。</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）急性膀胱炎的治疗，急性肾盂肾炎的治疗。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）再发性尿路感染的处理，妊娠期尿路感染的处理，男性尿路感染的处理。</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）留置尿管的尿路感染的处理，无症状性菌尿的处理。</w:t>
      </w:r>
    </w:p>
    <w:p w:rsidR="003717A0" w:rsidRDefault="003717A0">
      <w:pPr>
        <w:pStyle w:val="12"/>
        <w:rPr>
          <w:rFonts w:ascii="宋体"/>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、掌握尿路感染的病因、发病机制、临床表现、实验室检查、诊断和鉴别诊断。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、了解本病的流行病学、病理特点、并发症、治疗、预后和预防。</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、急性膀胱炎的临床特点及治疗对策</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、急性膀胱炎和急性肾盂肾炎临床表现的异同点及治疗对策</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第九章肾小管疾病（自学）</w:t>
      </w:r>
    </w:p>
    <w:p w:rsidR="003717A0" w:rsidRDefault="003717A0">
      <w:pPr>
        <w:pStyle w:val="12"/>
        <w:rPr>
          <w:rFonts w:ascii="宋体"/>
          <w:b/>
          <w:kern w:val="0"/>
          <w:szCs w:val="21"/>
        </w:rPr>
      </w:pPr>
      <w:r>
        <w:rPr>
          <w:rFonts w:ascii="宋体" w:hAnsi="宋体" w:hint="eastAsia"/>
          <w:b/>
          <w:kern w:val="0"/>
          <w:szCs w:val="21"/>
        </w:rPr>
        <w:t>第一节肾小管性酸中毒</w:t>
      </w:r>
    </w:p>
    <w:p w:rsidR="003717A0" w:rsidRDefault="003717A0">
      <w:pPr>
        <w:pStyle w:val="12"/>
        <w:rPr>
          <w:rFonts w:ascii="宋体"/>
          <w:b/>
          <w:kern w:val="0"/>
          <w:szCs w:val="21"/>
        </w:rPr>
      </w:pPr>
      <w:r>
        <w:rPr>
          <w:rFonts w:ascii="宋体" w:hAnsi="宋体" w:hint="eastAsia"/>
          <w:b/>
          <w:kern w:val="0"/>
          <w:szCs w:val="21"/>
        </w:rPr>
        <w:t>第二节</w:t>
      </w:r>
      <w:r>
        <w:rPr>
          <w:rFonts w:ascii="宋体" w:hAnsi="宋体"/>
          <w:b/>
          <w:kern w:val="0"/>
          <w:szCs w:val="21"/>
        </w:rPr>
        <w:t>Fanconi</w:t>
      </w:r>
      <w:r>
        <w:rPr>
          <w:rFonts w:ascii="宋体" w:hAnsi="宋体" w:hint="eastAsia"/>
          <w:b/>
          <w:kern w:val="0"/>
          <w:szCs w:val="21"/>
        </w:rPr>
        <w:t>综合征</w:t>
      </w:r>
    </w:p>
    <w:p w:rsidR="003717A0" w:rsidRDefault="003717A0">
      <w:pPr>
        <w:pStyle w:val="12"/>
        <w:jc w:val="center"/>
        <w:rPr>
          <w:rFonts w:ascii="宋体"/>
          <w:b/>
          <w:kern w:val="0"/>
          <w:szCs w:val="21"/>
        </w:rPr>
      </w:pPr>
      <w:r>
        <w:rPr>
          <w:rFonts w:ascii="宋体" w:hAnsi="宋体" w:hint="eastAsia"/>
          <w:b/>
          <w:kern w:val="0"/>
          <w:szCs w:val="21"/>
        </w:rPr>
        <w:t>第十章肾血管疾病</w:t>
      </w:r>
    </w:p>
    <w:p w:rsidR="003717A0" w:rsidRDefault="003717A0">
      <w:pPr>
        <w:pStyle w:val="12"/>
        <w:rPr>
          <w:rFonts w:ascii="宋体"/>
          <w:b/>
          <w:kern w:val="0"/>
          <w:szCs w:val="21"/>
        </w:rPr>
      </w:pPr>
      <w:r>
        <w:rPr>
          <w:rFonts w:ascii="宋体" w:hAnsi="宋体" w:hint="eastAsia"/>
          <w:b/>
          <w:kern w:val="0"/>
          <w:szCs w:val="21"/>
        </w:rPr>
        <w:t>第一节肾动脉狭窄</w:t>
      </w:r>
    </w:p>
    <w:p w:rsidR="003717A0" w:rsidRDefault="003717A0">
      <w:pPr>
        <w:pStyle w:val="12"/>
        <w:rPr>
          <w:rFonts w:ascii="宋体"/>
          <w:b/>
          <w:kern w:val="0"/>
          <w:szCs w:val="21"/>
        </w:rPr>
      </w:pPr>
      <w:r>
        <w:rPr>
          <w:rFonts w:ascii="宋体" w:hAnsi="宋体" w:hint="eastAsia"/>
          <w:b/>
          <w:kern w:val="0"/>
          <w:szCs w:val="21"/>
        </w:rPr>
        <w:t>第二节肾动脉栓塞和血栓形成</w:t>
      </w:r>
    </w:p>
    <w:p w:rsidR="003717A0" w:rsidRDefault="003717A0">
      <w:pPr>
        <w:pStyle w:val="12"/>
        <w:numPr>
          <w:ilvl w:val="0"/>
          <w:numId w:val="461"/>
        </w:numPr>
        <w:rPr>
          <w:rFonts w:ascii="宋体"/>
          <w:b/>
          <w:kern w:val="0"/>
          <w:szCs w:val="21"/>
        </w:rPr>
      </w:pPr>
      <w:r>
        <w:rPr>
          <w:rFonts w:ascii="宋体" w:hAnsi="宋体" w:hint="eastAsia"/>
          <w:b/>
          <w:kern w:val="0"/>
          <w:szCs w:val="21"/>
        </w:rPr>
        <w:t>小动脉性肾硬化症</w:t>
      </w:r>
    </w:p>
    <w:p w:rsidR="003717A0" w:rsidRDefault="003717A0">
      <w:pPr>
        <w:pStyle w:val="12"/>
        <w:numPr>
          <w:ilvl w:val="0"/>
          <w:numId w:val="461"/>
        </w:numPr>
        <w:rPr>
          <w:rFonts w:ascii="宋体"/>
          <w:b/>
          <w:kern w:val="0"/>
          <w:szCs w:val="21"/>
        </w:rPr>
      </w:pPr>
      <w:r>
        <w:rPr>
          <w:rFonts w:ascii="宋体" w:hAnsi="宋体" w:hint="eastAsia"/>
          <w:b/>
          <w:kern w:val="0"/>
          <w:szCs w:val="21"/>
        </w:rPr>
        <w:t>肾静脉血栓形成</w:t>
      </w:r>
    </w:p>
    <w:p w:rsidR="003717A0" w:rsidRDefault="003717A0">
      <w:pPr>
        <w:pStyle w:val="12"/>
        <w:numPr>
          <w:ilvl w:val="0"/>
          <w:numId w:val="461"/>
        </w:numPr>
        <w:rPr>
          <w:rFonts w:ascii="宋体"/>
          <w:b/>
          <w:kern w:val="0"/>
          <w:szCs w:val="21"/>
        </w:rPr>
      </w:pPr>
      <w:r>
        <w:rPr>
          <w:rFonts w:ascii="宋体" w:hAnsi="宋体" w:hint="eastAsia"/>
          <w:b/>
          <w:kern w:val="0"/>
          <w:szCs w:val="21"/>
        </w:rPr>
        <w:t>介入肾脏病学</w:t>
      </w:r>
    </w:p>
    <w:p w:rsidR="003717A0" w:rsidRDefault="003717A0">
      <w:pPr>
        <w:pStyle w:val="12"/>
        <w:ind w:left="720"/>
        <w:rPr>
          <w:rFonts w:ascii="宋体"/>
          <w:b/>
          <w:kern w:val="0"/>
          <w:szCs w:val="21"/>
        </w:rPr>
      </w:pPr>
    </w:p>
    <w:p w:rsidR="003717A0" w:rsidRDefault="003717A0">
      <w:pPr>
        <w:pStyle w:val="12"/>
        <w:ind w:left="720"/>
        <w:jc w:val="center"/>
        <w:rPr>
          <w:rFonts w:ascii="宋体"/>
          <w:b/>
          <w:kern w:val="0"/>
          <w:szCs w:val="21"/>
        </w:rPr>
      </w:pPr>
      <w:r>
        <w:rPr>
          <w:rFonts w:ascii="宋体" w:hAnsi="宋体" w:hint="eastAsia"/>
          <w:b/>
          <w:kern w:val="0"/>
          <w:szCs w:val="21"/>
        </w:rPr>
        <w:t>第十一章遗传性肾脏疾病</w:t>
      </w:r>
    </w:p>
    <w:p w:rsidR="003717A0" w:rsidRDefault="003717A0">
      <w:pPr>
        <w:pStyle w:val="12"/>
        <w:numPr>
          <w:ilvl w:val="0"/>
          <w:numId w:val="463"/>
        </w:numPr>
        <w:rPr>
          <w:rFonts w:ascii="宋体"/>
          <w:b/>
          <w:kern w:val="0"/>
          <w:szCs w:val="21"/>
        </w:rPr>
      </w:pPr>
      <w:r>
        <w:rPr>
          <w:rFonts w:ascii="宋体" w:hAnsi="宋体" w:hint="eastAsia"/>
          <w:b/>
          <w:kern w:val="0"/>
          <w:szCs w:val="21"/>
        </w:rPr>
        <w:t>常染色体显性多囊肾病</w:t>
      </w:r>
    </w:p>
    <w:p w:rsidR="003717A0" w:rsidRDefault="003717A0">
      <w:pPr>
        <w:pStyle w:val="12"/>
        <w:numPr>
          <w:ilvl w:val="0"/>
          <w:numId w:val="463"/>
        </w:numPr>
        <w:rPr>
          <w:rFonts w:ascii="宋体"/>
          <w:b/>
          <w:kern w:val="0"/>
          <w:szCs w:val="21"/>
        </w:rPr>
      </w:pPr>
      <w:r>
        <w:rPr>
          <w:rFonts w:ascii="宋体" w:hAnsi="宋体"/>
          <w:b/>
          <w:kern w:val="0"/>
          <w:szCs w:val="21"/>
        </w:rPr>
        <w:t>Alport</w:t>
      </w:r>
      <w:r>
        <w:rPr>
          <w:rFonts w:ascii="宋体" w:hAnsi="宋体" w:hint="eastAsia"/>
          <w:b/>
          <w:kern w:val="0"/>
          <w:szCs w:val="21"/>
        </w:rPr>
        <w:t>综合征</w:t>
      </w:r>
    </w:p>
    <w:p w:rsidR="003717A0" w:rsidRDefault="003717A0">
      <w:pPr>
        <w:pStyle w:val="12"/>
        <w:ind w:leftChars="364" w:left="764" w:firstLineChars="1123" w:firstLine="2368"/>
        <w:rPr>
          <w:rFonts w:ascii="宋体"/>
          <w:b/>
          <w:kern w:val="0"/>
          <w:szCs w:val="21"/>
        </w:rPr>
      </w:pPr>
      <w:r>
        <w:rPr>
          <w:rFonts w:ascii="宋体" w:hAnsi="宋体" w:hint="eastAsia"/>
          <w:b/>
          <w:kern w:val="0"/>
          <w:szCs w:val="21"/>
        </w:rPr>
        <w:t>第十二章急性肾损伤</w:t>
      </w:r>
    </w:p>
    <w:p w:rsidR="003717A0" w:rsidRDefault="003717A0">
      <w:pPr>
        <w:pStyle w:val="12"/>
        <w:ind w:leftChars="364" w:left="764" w:firstLineChars="1123" w:firstLine="2368"/>
        <w:rPr>
          <w:rFonts w:ascii="宋体"/>
          <w:b/>
          <w:kern w:val="0"/>
          <w:szCs w:val="21"/>
        </w:rPr>
      </w:pPr>
    </w:p>
    <w:p w:rsidR="003717A0" w:rsidRDefault="003717A0">
      <w:pPr>
        <w:pStyle w:val="12"/>
        <w:ind w:firstLineChars="1508" w:firstLine="3179"/>
        <w:rPr>
          <w:rFonts w:ascii="宋体"/>
          <w:b/>
          <w:kern w:val="0"/>
          <w:szCs w:val="21"/>
        </w:rPr>
      </w:pPr>
      <w:r>
        <w:rPr>
          <w:rFonts w:ascii="宋体" w:hAnsi="宋体" w:hint="eastAsia"/>
          <w:b/>
          <w:kern w:val="0"/>
          <w:szCs w:val="21"/>
        </w:rPr>
        <w:t>第十三章慢性肾衰竭</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、概述、病因肾功能分期：肾储备能力下降期、氮质血症期、肾衰竭期、尿毒症期。</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、发病机制进行性恶化和尿毒症各种症状的发生机制。</w:t>
      </w:r>
    </w:p>
    <w:p w:rsidR="003717A0" w:rsidRDefault="003717A0">
      <w:pPr>
        <w:pStyle w:val="12"/>
        <w:ind w:firstLineChars="200" w:firstLine="420"/>
        <w:rPr>
          <w:rFonts w:ascii="宋体"/>
          <w:kern w:val="0"/>
          <w:szCs w:val="21"/>
        </w:rPr>
      </w:pPr>
      <w:r>
        <w:rPr>
          <w:rFonts w:ascii="宋体" w:hAnsi="宋体"/>
          <w:kern w:val="0"/>
          <w:szCs w:val="21"/>
        </w:rPr>
        <w:lastRenderedPageBreak/>
        <w:t>3</w:t>
      </w:r>
      <w:r>
        <w:rPr>
          <w:rFonts w:ascii="宋体" w:hAnsi="宋体" w:hint="eastAsia"/>
          <w:kern w:val="0"/>
          <w:szCs w:val="21"/>
        </w:rPr>
        <w:t>、临床表现</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）水电解质酸碱平衡失调：钠、水、钾、钙和磷平衡失调，代谢性酸中毒，高镁血症。</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）各系统症状：心血管、肺、血液、神经、肌肉，肾性骨营养不良症，内分泌代谢失调、感染。</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、诊断基础疾病的诊断并寻找促使肾衰竭恶化的因素。</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）治疗基础疾病和使肾衰竭恶化的因素。</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）延缓慢性肾衰竭的发展：饮食，必需氨基酸，控制全身性和肾小球内高压力。</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）并发症的治疗，替代治疗：血液透析、腹膜透析和肾移植。</w:t>
      </w:r>
    </w:p>
    <w:p w:rsidR="003717A0" w:rsidRDefault="003717A0">
      <w:pPr>
        <w:pStyle w:val="12"/>
        <w:rPr>
          <w:rFonts w:ascii="宋体"/>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kern w:val="0"/>
          <w:szCs w:val="21"/>
        </w:rPr>
        <w:t>.</w:t>
      </w:r>
      <w:r>
        <w:rPr>
          <w:rFonts w:ascii="宋体" w:hAnsi="宋体" w:hint="eastAsia"/>
          <w:kern w:val="0"/>
          <w:szCs w:val="21"/>
        </w:rPr>
        <w:t>各种类型的尿路感染病例的见习和讨论。</w:t>
      </w:r>
    </w:p>
    <w:p w:rsidR="003717A0" w:rsidRDefault="003717A0">
      <w:pPr>
        <w:pStyle w:val="12"/>
        <w:ind w:firstLineChars="200" w:firstLine="420"/>
        <w:rPr>
          <w:rFonts w:ascii="宋体"/>
          <w:kern w:val="0"/>
          <w:szCs w:val="21"/>
        </w:rPr>
      </w:pPr>
      <w:r>
        <w:rPr>
          <w:rFonts w:ascii="宋体" w:hAnsi="宋体"/>
          <w:kern w:val="0"/>
          <w:szCs w:val="21"/>
        </w:rPr>
        <w:t>2</w:t>
      </w:r>
      <w:r>
        <w:rPr>
          <w:rFonts w:ascii="宋体"/>
          <w:kern w:val="0"/>
          <w:szCs w:val="21"/>
        </w:rPr>
        <w:t>.</w:t>
      </w:r>
      <w:r>
        <w:rPr>
          <w:rFonts w:ascii="宋体" w:hAnsi="宋体" w:hint="eastAsia"/>
          <w:kern w:val="0"/>
          <w:szCs w:val="21"/>
        </w:rPr>
        <w:t>可结合典型病例，拟定病人的诊疗方案，并提出防止复发或再感染的措施。</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、掌握慢性肾衰竭的分期、病因、临床表现及诊断。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、了解本病的病因、发病机制及治疗原则。</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第十四章肾衰替代治疗</w:t>
      </w:r>
    </w:p>
    <w:p w:rsidR="003717A0" w:rsidRDefault="003717A0">
      <w:pPr>
        <w:pStyle w:val="12"/>
        <w:jc w:val="center"/>
        <w:rPr>
          <w:rFonts w:ascii="宋体"/>
          <w:b/>
          <w:kern w:val="0"/>
          <w:szCs w:val="21"/>
        </w:rPr>
      </w:pPr>
      <w:r>
        <w:rPr>
          <w:rFonts w:ascii="宋体" w:hAnsi="宋体" w:hint="eastAsia"/>
          <w:b/>
          <w:kern w:val="0"/>
          <w:szCs w:val="21"/>
        </w:rPr>
        <w:t>第六篇血液系统疾病</w:t>
      </w:r>
    </w:p>
    <w:p w:rsidR="003717A0" w:rsidRDefault="003717A0">
      <w:pPr>
        <w:pStyle w:val="12"/>
        <w:jc w:val="center"/>
        <w:rPr>
          <w:rFonts w:ascii="宋体"/>
          <w:b/>
          <w:kern w:val="0"/>
          <w:szCs w:val="21"/>
        </w:rPr>
      </w:pPr>
      <w:r>
        <w:rPr>
          <w:rFonts w:ascii="宋体" w:hAnsi="宋体" w:hint="eastAsia"/>
          <w:b/>
          <w:kern w:val="0"/>
          <w:szCs w:val="21"/>
        </w:rPr>
        <w:t>第一章总论（自学）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第二章贫血概述</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、概念、分类按细胞形态、进展速度、血红蛋白浓度及骨髓增生程度分类。</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、临床表现皮肤粘膜，神经、呼吸、循环、血液、消化、内分泌、免疫、泌尿、生殖系统。</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、诊断明确贫血类型，查找原因，病史、体格检查和实验室检查确诊。以血红蛋白浓度为标准。</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、治疗治疗原发病，纠正贫血。</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、掌握贫血的概念、形态学分类、临床表现和治疗原则。</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、了解本病的发病机制、诊断步骤。</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第三章缺铁性贫血</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、概念、铁的代谢铁的分布、来源和吸收、运输和贮存、再利用和排泄。</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、病因和发病机制</w:t>
      </w:r>
    </w:p>
    <w:p w:rsidR="003717A0" w:rsidRDefault="003717A0">
      <w:pPr>
        <w:pStyle w:val="12"/>
        <w:rPr>
          <w:rFonts w:ascii="宋体"/>
          <w:kern w:val="0"/>
          <w:szCs w:val="21"/>
        </w:rPr>
      </w:pPr>
      <w:r>
        <w:rPr>
          <w:rFonts w:ascii="宋体" w:hAnsi="宋体" w:hint="eastAsia"/>
          <w:kern w:val="0"/>
          <w:szCs w:val="21"/>
        </w:rPr>
        <w:t>需铁量增加而铁摄入不足或吸收障碍或丢失过多。缺铁引起血红蛋白合成降低而致贫血。</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、临床表现缺铁原发病表现。贫血表现，组织缺铁表现。</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、实验室检查血象、骨髓象、生化检查</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、诊断及鉴别诊断缺铁、红细胞内铁缺乏、缺铁性贫血，与其他低色素性贫血相鉴别。</w:t>
      </w:r>
    </w:p>
    <w:p w:rsidR="003717A0" w:rsidRDefault="003717A0">
      <w:pPr>
        <w:pStyle w:val="12"/>
        <w:ind w:firstLineChars="50" w:firstLine="105"/>
        <w:rPr>
          <w:rFonts w:ascii="宋体"/>
          <w:kern w:val="0"/>
          <w:szCs w:val="21"/>
        </w:rPr>
      </w:pPr>
      <w:r>
        <w:rPr>
          <w:rFonts w:ascii="宋体" w:hAnsi="宋体" w:hint="eastAsia"/>
          <w:kern w:val="0"/>
          <w:szCs w:val="21"/>
        </w:rPr>
        <w:t>治疗病因治疗，铁剂治疗。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、缺铁性贫血的临床表现、实验室检查、诊断及鉴别诊断</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、加深对缺铁贫血象、骨髓象特点的进一步认识</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、结合具体患者制定恰当的治疗措施。</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、掌握缺铁性贫血的病因、临床表现、实验室检查、诊断和治疗原则。</w:t>
      </w:r>
    </w:p>
    <w:p w:rsidR="003717A0" w:rsidRDefault="003717A0">
      <w:pPr>
        <w:pStyle w:val="12"/>
        <w:rPr>
          <w:rFonts w:ascii="宋体"/>
          <w:kern w:val="0"/>
          <w:szCs w:val="21"/>
        </w:rPr>
      </w:pPr>
      <w:r>
        <w:rPr>
          <w:rFonts w:ascii="宋体" w:hAnsi="宋体"/>
          <w:kern w:val="0"/>
          <w:szCs w:val="21"/>
        </w:rPr>
        <w:lastRenderedPageBreak/>
        <w:t>2</w:t>
      </w:r>
      <w:r>
        <w:rPr>
          <w:rFonts w:ascii="宋体" w:hAnsi="宋体" w:hint="eastAsia"/>
          <w:kern w:val="0"/>
          <w:szCs w:val="21"/>
        </w:rPr>
        <w:t>、了解铁的代谢，缺铁性贫血的鉴别诊断。</w:t>
      </w:r>
    </w:p>
    <w:p w:rsidR="003717A0" w:rsidRDefault="003717A0">
      <w:pPr>
        <w:pStyle w:val="12"/>
        <w:ind w:firstLineChars="50" w:firstLine="105"/>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第四章巨幼细胞贫血（自学）</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、掌握巨幼细胞贫血的临床表现、实验室检查和治疗原则。</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、了解叶酸与维生素</w:t>
      </w:r>
      <w:r>
        <w:rPr>
          <w:rFonts w:ascii="宋体" w:hAnsi="宋体"/>
          <w:kern w:val="0"/>
          <w:szCs w:val="21"/>
        </w:rPr>
        <w:t>B</w:t>
      </w:r>
      <w:r>
        <w:rPr>
          <w:rFonts w:ascii="宋体" w:hAnsi="宋体"/>
          <w:kern w:val="0"/>
          <w:szCs w:val="21"/>
          <w:vertAlign w:val="subscript"/>
        </w:rPr>
        <w:t>12</w:t>
      </w:r>
      <w:r>
        <w:rPr>
          <w:rFonts w:ascii="宋体" w:hAnsi="宋体" w:hint="eastAsia"/>
          <w:kern w:val="0"/>
          <w:szCs w:val="21"/>
        </w:rPr>
        <w:t>的代谢，巨幼细胞贫血的发病机制。</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、概念、叶酸和维生素</w:t>
      </w:r>
      <w:r>
        <w:rPr>
          <w:rFonts w:ascii="宋体" w:hAnsi="宋体"/>
          <w:kern w:val="0"/>
          <w:szCs w:val="21"/>
        </w:rPr>
        <w:t>B</w:t>
      </w:r>
      <w:r>
        <w:rPr>
          <w:rFonts w:ascii="宋体" w:hAnsi="宋体"/>
          <w:kern w:val="0"/>
          <w:szCs w:val="21"/>
          <w:vertAlign w:val="subscript"/>
        </w:rPr>
        <w:t>12</w:t>
      </w:r>
      <w:r>
        <w:rPr>
          <w:rFonts w:ascii="宋体" w:hAnsi="宋体" w:hint="eastAsia"/>
          <w:kern w:val="0"/>
          <w:szCs w:val="21"/>
        </w:rPr>
        <w:t>的代谢叶酸和维生素</w:t>
      </w:r>
      <w:r>
        <w:rPr>
          <w:rFonts w:ascii="宋体" w:hAnsi="宋体"/>
          <w:kern w:val="0"/>
          <w:szCs w:val="21"/>
        </w:rPr>
        <w:t>B</w:t>
      </w:r>
      <w:r>
        <w:rPr>
          <w:rFonts w:ascii="宋体" w:hAnsi="宋体"/>
          <w:kern w:val="0"/>
          <w:szCs w:val="21"/>
          <w:vertAlign w:val="subscript"/>
        </w:rPr>
        <w:t>12</w:t>
      </w:r>
      <w:r>
        <w:rPr>
          <w:rFonts w:ascii="宋体" w:hAnsi="宋体" w:hint="eastAsia"/>
          <w:kern w:val="0"/>
          <w:szCs w:val="21"/>
        </w:rPr>
        <w:t>的来源、吸收、贮存、排泄。</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、病因和发病机制摄入不足，需要量增加，吸收不良，利用障碍。</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、临床表现血液系统表现，神经系统表现和精神症状，消化系统表现。</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、实验室检查血象、骨髓象，血清维生素</w:t>
      </w:r>
      <w:r>
        <w:rPr>
          <w:rFonts w:ascii="宋体" w:hAnsi="宋体"/>
          <w:kern w:val="0"/>
          <w:szCs w:val="21"/>
        </w:rPr>
        <w:t>B</w:t>
      </w:r>
      <w:r>
        <w:rPr>
          <w:rFonts w:ascii="宋体" w:hAnsi="宋体"/>
          <w:kern w:val="0"/>
          <w:szCs w:val="21"/>
          <w:vertAlign w:val="subscript"/>
        </w:rPr>
        <w:t>12</w:t>
      </w:r>
      <w:r>
        <w:rPr>
          <w:rFonts w:ascii="宋体" w:hAnsi="宋体" w:hint="eastAsia"/>
          <w:kern w:val="0"/>
          <w:szCs w:val="21"/>
        </w:rPr>
        <w:t>、叶酸及红细胞叶酸含量测定，胃液分析等检查。</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、诊断和鉴别诊断</w:t>
      </w:r>
    </w:p>
    <w:p w:rsidR="003717A0" w:rsidRDefault="003717A0">
      <w:pPr>
        <w:pStyle w:val="12"/>
        <w:ind w:firstLine="420"/>
        <w:rPr>
          <w:rFonts w:ascii="宋体"/>
          <w:kern w:val="0"/>
          <w:szCs w:val="21"/>
        </w:rPr>
      </w:pPr>
      <w:r>
        <w:rPr>
          <w:rFonts w:ascii="宋体" w:hAnsi="宋体"/>
          <w:kern w:val="0"/>
          <w:szCs w:val="21"/>
        </w:rPr>
        <w:t>6</w:t>
      </w:r>
      <w:r>
        <w:rPr>
          <w:rFonts w:ascii="宋体" w:hAnsi="宋体" w:hint="eastAsia"/>
          <w:kern w:val="0"/>
          <w:szCs w:val="21"/>
        </w:rPr>
        <w:t>、治疗病因治疗，补充叶酸、维生素</w:t>
      </w:r>
      <w:r>
        <w:rPr>
          <w:rFonts w:ascii="宋体" w:hAnsi="宋体"/>
          <w:kern w:val="0"/>
          <w:szCs w:val="21"/>
        </w:rPr>
        <w:t>B</w:t>
      </w:r>
      <w:r>
        <w:rPr>
          <w:rFonts w:ascii="宋体" w:hAnsi="宋体"/>
          <w:kern w:val="0"/>
          <w:szCs w:val="21"/>
          <w:vertAlign w:val="subscript"/>
        </w:rPr>
        <w:t>12</w:t>
      </w:r>
      <w:r>
        <w:rPr>
          <w:rFonts w:ascii="宋体" w:hAnsi="宋体" w:hint="eastAsia"/>
          <w:kern w:val="0"/>
          <w:szCs w:val="21"/>
        </w:rPr>
        <w:t>。</w:t>
      </w:r>
    </w:p>
    <w:p w:rsidR="003717A0" w:rsidRDefault="003717A0">
      <w:pPr>
        <w:pStyle w:val="12"/>
        <w:ind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第五章再生障碍性贫血</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、概念、病因和发病机制造血干、祖细胞缺陷、造血微环境异常和免疫异常。</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、临床表现贫血、感染、出血，重型再生障碍性贫血，非重型再生障碍性贫血。</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、实验室检查血象，骨髓象，发病机制检查。</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、诊断及鉴别诊断再生障碍性贫血的诊断标准、分型诊断标准。</w:t>
      </w:r>
    </w:p>
    <w:p w:rsidR="003717A0" w:rsidRDefault="003717A0">
      <w:pPr>
        <w:pStyle w:val="12"/>
        <w:ind w:firstLine="420"/>
        <w:rPr>
          <w:rFonts w:ascii="宋体"/>
          <w:kern w:val="0"/>
          <w:szCs w:val="21"/>
        </w:rPr>
      </w:pPr>
      <w:r>
        <w:rPr>
          <w:rFonts w:ascii="宋体" w:hAnsi="宋体"/>
          <w:kern w:val="0"/>
          <w:szCs w:val="21"/>
        </w:rPr>
        <w:t>5</w:t>
      </w:r>
      <w:r>
        <w:rPr>
          <w:rFonts w:ascii="宋体" w:hAnsi="宋体" w:hint="eastAsia"/>
          <w:kern w:val="0"/>
          <w:szCs w:val="21"/>
        </w:rPr>
        <w:t>、治疗纠正贫血、控制出血、感染，免疫抑制、促造血、干细胞移植。</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50" w:firstLine="525"/>
        <w:rPr>
          <w:rFonts w:ascii="宋体"/>
          <w:kern w:val="0"/>
          <w:szCs w:val="21"/>
        </w:rPr>
      </w:pPr>
      <w:r>
        <w:rPr>
          <w:rFonts w:ascii="宋体" w:hAnsi="宋体" w:cs="Arial"/>
          <w:kern w:val="0"/>
          <w:szCs w:val="21"/>
        </w:rPr>
        <w:t>1</w:t>
      </w:r>
      <w:r>
        <w:rPr>
          <w:rFonts w:ascii="宋体" w:hAnsi="宋体" w:cs="Arial" w:hint="eastAsia"/>
          <w:kern w:val="0"/>
          <w:szCs w:val="21"/>
        </w:rPr>
        <w:t>、再</w:t>
      </w:r>
      <w:r>
        <w:rPr>
          <w:rFonts w:ascii="宋体" w:hAnsi="宋体" w:hint="eastAsia"/>
          <w:kern w:val="0"/>
          <w:szCs w:val="21"/>
        </w:rPr>
        <w:t>生障碍性贫血的临床表现。</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、再生障碍性贫血的血象和骨髓象特点。</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、结合实际病例进行再生障碍性贫血的诊断、分型与鉴别诊断。</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、雄激素和免疫抑制剂的使用原则及方法。</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、掌握再生障碍性贫血的临床表现、实验室检查、诊断和治疗。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、了解本病的发病机制、鉴别诊断。</w:t>
      </w:r>
    </w:p>
    <w:p w:rsidR="003717A0" w:rsidRDefault="003717A0">
      <w:pPr>
        <w:pStyle w:val="12"/>
        <w:ind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第六章溶血性贫血</w:t>
      </w:r>
    </w:p>
    <w:p w:rsidR="003717A0" w:rsidRDefault="003717A0">
      <w:pPr>
        <w:pStyle w:val="12"/>
        <w:rPr>
          <w:rFonts w:ascii="宋体"/>
          <w:b/>
          <w:kern w:val="0"/>
          <w:szCs w:val="21"/>
        </w:rPr>
      </w:pPr>
      <w:r>
        <w:rPr>
          <w:rFonts w:ascii="宋体" w:hAnsi="宋体" w:hint="eastAsia"/>
          <w:b/>
          <w:kern w:val="0"/>
          <w:szCs w:val="21"/>
        </w:rPr>
        <w:t>教学内容</w:t>
      </w:r>
    </w:p>
    <w:p w:rsidR="003717A0" w:rsidRPr="00913B56" w:rsidRDefault="003717A0" w:rsidP="00913B56">
      <w:pPr>
        <w:pStyle w:val="12"/>
        <w:ind w:firstLine="420"/>
        <w:rPr>
          <w:rFonts w:ascii="宋体" w:hAnsi="宋体"/>
          <w:kern w:val="0"/>
          <w:szCs w:val="21"/>
        </w:rPr>
      </w:pPr>
      <w:r>
        <w:rPr>
          <w:rFonts w:ascii="宋体" w:hAnsi="宋体"/>
          <w:kern w:val="0"/>
          <w:szCs w:val="21"/>
        </w:rPr>
        <w:t>1</w:t>
      </w:r>
      <w:r>
        <w:rPr>
          <w:rFonts w:ascii="宋体" w:hAnsi="宋体" w:hint="eastAsia"/>
          <w:kern w:val="0"/>
          <w:szCs w:val="21"/>
        </w:rPr>
        <w:t>、概念、分类与发病机制红细胞破坏寿命缩短，血红蛋白降解，骨髓中红系造血代偿性增生。</w:t>
      </w:r>
    </w:p>
    <w:p w:rsidR="003717A0" w:rsidRPr="00913B56" w:rsidRDefault="003717A0" w:rsidP="00913B56">
      <w:pPr>
        <w:pStyle w:val="12"/>
        <w:ind w:firstLine="420"/>
        <w:rPr>
          <w:rFonts w:ascii="宋体" w:hAnsi="宋体"/>
          <w:kern w:val="0"/>
          <w:szCs w:val="21"/>
        </w:rPr>
      </w:pPr>
      <w:r>
        <w:rPr>
          <w:rFonts w:ascii="宋体" w:hAnsi="宋体"/>
          <w:kern w:val="0"/>
          <w:szCs w:val="21"/>
        </w:rPr>
        <w:t>2</w:t>
      </w:r>
      <w:r>
        <w:rPr>
          <w:rFonts w:ascii="宋体" w:hAnsi="宋体" w:hint="eastAsia"/>
          <w:kern w:val="0"/>
          <w:szCs w:val="21"/>
        </w:rPr>
        <w:t>、临床表现溶血、疼痛、寒热、黄疸和肝脾大，周围循环衰竭、肾衰竭。</w:t>
      </w:r>
    </w:p>
    <w:p w:rsidR="003717A0" w:rsidRPr="00913B56" w:rsidRDefault="003717A0" w:rsidP="00913B56">
      <w:pPr>
        <w:pStyle w:val="12"/>
        <w:ind w:firstLine="420"/>
        <w:rPr>
          <w:rFonts w:ascii="宋体" w:hAnsi="宋体"/>
          <w:kern w:val="0"/>
          <w:szCs w:val="21"/>
        </w:rPr>
      </w:pPr>
      <w:r>
        <w:rPr>
          <w:rFonts w:ascii="宋体" w:hAnsi="宋体"/>
          <w:kern w:val="0"/>
          <w:szCs w:val="21"/>
        </w:rPr>
        <w:t>3</w:t>
      </w:r>
      <w:r>
        <w:rPr>
          <w:rFonts w:ascii="宋体" w:hAnsi="宋体" w:hint="eastAsia"/>
          <w:kern w:val="0"/>
          <w:szCs w:val="21"/>
        </w:rPr>
        <w:t>、实验室检查血管内溶血的检查，骨髓代偿增生的检查，红细胞缺陷、寿命缩短的检查。</w:t>
      </w:r>
    </w:p>
    <w:p w:rsidR="003717A0" w:rsidRPr="00913B56" w:rsidRDefault="003717A0" w:rsidP="00913B56">
      <w:pPr>
        <w:pStyle w:val="12"/>
        <w:ind w:firstLine="420"/>
        <w:rPr>
          <w:rFonts w:ascii="宋体" w:hAnsi="宋体"/>
          <w:kern w:val="0"/>
          <w:szCs w:val="21"/>
        </w:rPr>
      </w:pPr>
      <w:r>
        <w:rPr>
          <w:rFonts w:ascii="宋体" w:hAnsi="宋体"/>
          <w:kern w:val="0"/>
          <w:szCs w:val="21"/>
        </w:rPr>
        <w:t>4</w:t>
      </w:r>
      <w:r>
        <w:rPr>
          <w:rFonts w:ascii="宋体" w:hAnsi="宋体" w:hint="eastAsia"/>
          <w:kern w:val="0"/>
          <w:szCs w:val="21"/>
        </w:rPr>
        <w:t>、诊断和鉴别诊断</w:t>
      </w:r>
    </w:p>
    <w:p w:rsidR="003717A0" w:rsidRDefault="003717A0">
      <w:pPr>
        <w:pStyle w:val="12"/>
        <w:ind w:firstLine="420"/>
        <w:rPr>
          <w:rFonts w:ascii="宋体"/>
          <w:kern w:val="0"/>
          <w:szCs w:val="21"/>
        </w:rPr>
      </w:pPr>
      <w:r>
        <w:rPr>
          <w:rFonts w:ascii="宋体" w:hAnsi="宋体"/>
          <w:kern w:val="0"/>
          <w:szCs w:val="21"/>
        </w:rPr>
        <w:t>5</w:t>
      </w:r>
      <w:r>
        <w:rPr>
          <w:rFonts w:ascii="宋体" w:hAnsi="宋体" w:hint="eastAsia"/>
          <w:kern w:val="0"/>
          <w:szCs w:val="21"/>
        </w:rPr>
        <w:t>、治疗去除病因，对症治疗。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、溶血性贫血的临床表现、实验室检查。</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、溶血性贫血的诊断步骤。</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、急性溶血性贫血的处理原则。</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、糖皮质激素在溶血性贫血中的使用原则及方法。</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、结合实际病例</w:t>
      </w:r>
      <w:r>
        <w:rPr>
          <w:rFonts w:ascii="宋体" w:hAnsi="宋体"/>
          <w:kern w:val="0"/>
          <w:szCs w:val="21"/>
        </w:rPr>
        <w:t>/</w:t>
      </w:r>
      <w:r>
        <w:rPr>
          <w:rFonts w:ascii="宋体" w:hAnsi="宋体" w:hint="eastAsia"/>
          <w:kern w:val="0"/>
          <w:szCs w:val="21"/>
        </w:rPr>
        <w:t>病案对溶血性疾病进行诊断并制定相应治疗措施。</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lastRenderedPageBreak/>
        <w:t>1</w:t>
      </w:r>
      <w:r>
        <w:rPr>
          <w:rFonts w:ascii="宋体" w:hAnsi="宋体" w:hint="eastAsia"/>
          <w:kern w:val="0"/>
          <w:szCs w:val="21"/>
        </w:rPr>
        <w:t>、掌握溶血性贫血的分类、临床表现、实验室检查和治疗。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、了解本病的发病机制、鉴别诊断。</w:t>
      </w:r>
    </w:p>
    <w:p w:rsidR="003717A0" w:rsidRDefault="003717A0">
      <w:pPr>
        <w:pStyle w:val="12"/>
        <w:rPr>
          <w:rFonts w:ascii="宋体"/>
          <w:b/>
          <w:kern w:val="0"/>
          <w:szCs w:val="21"/>
        </w:rPr>
      </w:pPr>
      <w:r>
        <w:rPr>
          <w:rFonts w:ascii="宋体" w:hAnsi="宋体" w:hint="eastAsia"/>
          <w:b/>
          <w:kern w:val="0"/>
          <w:szCs w:val="21"/>
        </w:rPr>
        <w:t>第一节概述</w:t>
      </w:r>
    </w:p>
    <w:p w:rsidR="003717A0" w:rsidRDefault="003717A0">
      <w:pPr>
        <w:pStyle w:val="12"/>
        <w:rPr>
          <w:rFonts w:ascii="宋体"/>
          <w:b/>
          <w:kern w:val="0"/>
          <w:szCs w:val="21"/>
        </w:rPr>
      </w:pPr>
      <w:r>
        <w:rPr>
          <w:rFonts w:ascii="宋体" w:hAnsi="宋体" w:hint="eastAsia"/>
          <w:b/>
          <w:kern w:val="0"/>
          <w:szCs w:val="21"/>
        </w:rPr>
        <w:t>第二节遗传性球形红细胞增多症</w:t>
      </w:r>
    </w:p>
    <w:p w:rsidR="003717A0" w:rsidRDefault="003717A0">
      <w:pPr>
        <w:pStyle w:val="12"/>
        <w:numPr>
          <w:ilvl w:val="0"/>
          <w:numId w:val="463"/>
        </w:numPr>
        <w:rPr>
          <w:rFonts w:ascii="宋体"/>
          <w:b/>
          <w:kern w:val="0"/>
          <w:szCs w:val="21"/>
        </w:rPr>
      </w:pPr>
      <w:r>
        <w:rPr>
          <w:rFonts w:ascii="宋体" w:hAnsi="宋体" w:hint="eastAsia"/>
          <w:b/>
          <w:kern w:val="0"/>
          <w:szCs w:val="21"/>
        </w:rPr>
        <w:t>红细胞葡萄糖</w:t>
      </w:r>
      <w:r>
        <w:rPr>
          <w:rFonts w:ascii="宋体" w:hAnsi="宋体"/>
          <w:b/>
          <w:kern w:val="0"/>
          <w:szCs w:val="21"/>
        </w:rPr>
        <w:t>-6-</w:t>
      </w:r>
      <w:r>
        <w:rPr>
          <w:rFonts w:ascii="宋体" w:hAnsi="宋体" w:hint="eastAsia"/>
          <w:b/>
          <w:kern w:val="0"/>
          <w:szCs w:val="21"/>
        </w:rPr>
        <w:t>磷酸脱氢酶缺乏症</w:t>
      </w:r>
    </w:p>
    <w:p w:rsidR="003717A0" w:rsidRDefault="003717A0">
      <w:pPr>
        <w:pStyle w:val="12"/>
        <w:numPr>
          <w:ilvl w:val="0"/>
          <w:numId w:val="463"/>
        </w:numPr>
        <w:rPr>
          <w:rFonts w:ascii="宋体"/>
          <w:b/>
          <w:kern w:val="0"/>
          <w:szCs w:val="21"/>
        </w:rPr>
      </w:pPr>
      <w:r>
        <w:rPr>
          <w:rFonts w:ascii="宋体" w:hAnsi="宋体" w:hint="eastAsia"/>
          <w:b/>
          <w:kern w:val="0"/>
          <w:szCs w:val="21"/>
        </w:rPr>
        <w:t>血红蛋白病</w:t>
      </w:r>
    </w:p>
    <w:p w:rsidR="003717A0" w:rsidRDefault="003717A0">
      <w:pPr>
        <w:pStyle w:val="12"/>
        <w:numPr>
          <w:ilvl w:val="0"/>
          <w:numId w:val="463"/>
        </w:numPr>
        <w:rPr>
          <w:rFonts w:ascii="宋体"/>
          <w:b/>
          <w:kern w:val="0"/>
          <w:szCs w:val="21"/>
        </w:rPr>
      </w:pPr>
      <w:r>
        <w:rPr>
          <w:rFonts w:ascii="宋体" w:hAnsi="宋体" w:hint="eastAsia"/>
          <w:b/>
          <w:kern w:val="0"/>
          <w:szCs w:val="21"/>
        </w:rPr>
        <w:t>自身免疫性溶血性贫血</w:t>
      </w:r>
    </w:p>
    <w:p w:rsidR="003717A0" w:rsidRDefault="003717A0">
      <w:pPr>
        <w:pStyle w:val="12"/>
        <w:numPr>
          <w:ilvl w:val="0"/>
          <w:numId w:val="463"/>
        </w:numPr>
        <w:rPr>
          <w:rFonts w:ascii="宋体"/>
          <w:b/>
          <w:kern w:val="0"/>
          <w:szCs w:val="21"/>
        </w:rPr>
      </w:pPr>
      <w:r>
        <w:rPr>
          <w:rFonts w:ascii="宋体" w:hAnsi="宋体" w:hint="eastAsia"/>
          <w:b/>
          <w:kern w:val="0"/>
          <w:szCs w:val="21"/>
        </w:rPr>
        <w:t>阵发性睡眠性血红蛋白尿</w:t>
      </w:r>
    </w:p>
    <w:p w:rsidR="003717A0" w:rsidRDefault="003717A0">
      <w:pPr>
        <w:pStyle w:val="12"/>
        <w:jc w:val="center"/>
        <w:rPr>
          <w:rFonts w:ascii="宋体"/>
          <w:kern w:val="0"/>
          <w:szCs w:val="21"/>
        </w:rPr>
      </w:pPr>
      <w:r>
        <w:rPr>
          <w:rFonts w:ascii="宋体" w:hAnsi="宋体" w:hint="eastAsia"/>
          <w:b/>
          <w:kern w:val="0"/>
          <w:szCs w:val="21"/>
        </w:rPr>
        <w:t>第七章白细胞减少和粒细胞缺乏症（自学</w:t>
      </w:r>
      <w:r>
        <w:rPr>
          <w:rFonts w:ascii="宋体" w:hAnsi="宋体" w:hint="eastAsia"/>
          <w:kern w:val="0"/>
          <w:szCs w:val="21"/>
        </w:rPr>
        <w:t>）</w:t>
      </w:r>
    </w:p>
    <w:p w:rsidR="003717A0" w:rsidRDefault="003717A0">
      <w:pPr>
        <w:pStyle w:val="12"/>
        <w:jc w:val="center"/>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第八章骨髓增生异常综合征（自学）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第九章白血病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b/>
          <w:kern w:val="0"/>
          <w:szCs w:val="21"/>
        </w:rPr>
      </w:pPr>
      <w:r>
        <w:rPr>
          <w:rFonts w:ascii="宋体" w:hAnsi="宋体" w:hint="eastAsia"/>
          <w:b/>
          <w:kern w:val="0"/>
          <w:szCs w:val="21"/>
        </w:rPr>
        <w:t>第一节概述</w:t>
      </w:r>
    </w:p>
    <w:p w:rsidR="003717A0" w:rsidRDefault="003717A0">
      <w:pPr>
        <w:pStyle w:val="12"/>
        <w:rPr>
          <w:rFonts w:ascii="宋体"/>
          <w:kern w:val="0"/>
          <w:szCs w:val="21"/>
        </w:rPr>
      </w:pPr>
      <w:r>
        <w:rPr>
          <w:rFonts w:ascii="宋体" w:hAnsi="宋体" w:hint="eastAsia"/>
          <w:kern w:val="0"/>
          <w:szCs w:val="21"/>
        </w:rPr>
        <w:t>概念、分类、病因及发病机制病毒、电离辅射、化学因素、遗传因素及其他血液病。</w:t>
      </w:r>
    </w:p>
    <w:p w:rsidR="003717A0" w:rsidRDefault="003717A0">
      <w:pPr>
        <w:pStyle w:val="12"/>
        <w:rPr>
          <w:rFonts w:ascii="宋体"/>
          <w:b/>
          <w:kern w:val="0"/>
          <w:szCs w:val="21"/>
        </w:rPr>
      </w:pPr>
      <w:r>
        <w:rPr>
          <w:rFonts w:ascii="宋体" w:hAnsi="宋体" w:hint="eastAsia"/>
          <w:b/>
          <w:kern w:val="0"/>
          <w:szCs w:val="21"/>
        </w:rPr>
        <w:t>第二节急性白血病</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、概念与分类</w:t>
      </w:r>
    </w:p>
    <w:p w:rsidR="003717A0" w:rsidRDefault="003717A0">
      <w:pPr>
        <w:pStyle w:val="12"/>
        <w:rPr>
          <w:rFonts w:ascii="宋体"/>
          <w:kern w:val="0"/>
          <w:szCs w:val="21"/>
        </w:rPr>
      </w:pPr>
      <w:r>
        <w:rPr>
          <w:rFonts w:ascii="宋体" w:hAnsi="宋体" w:hint="eastAsia"/>
          <w:kern w:val="0"/>
          <w:szCs w:val="21"/>
        </w:rPr>
        <w:t>急性淋巴细胞白血病：</w:t>
      </w:r>
      <w:r>
        <w:rPr>
          <w:rFonts w:ascii="宋体" w:hAnsi="宋体"/>
          <w:kern w:val="0"/>
          <w:szCs w:val="21"/>
        </w:rPr>
        <w:t>L</w:t>
      </w:r>
      <w:r>
        <w:rPr>
          <w:rFonts w:ascii="宋体" w:hAnsi="宋体"/>
          <w:kern w:val="0"/>
          <w:szCs w:val="21"/>
          <w:vertAlign w:val="subscript"/>
        </w:rPr>
        <w:t>1</w:t>
      </w:r>
      <w:r>
        <w:rPr>
          <w:rFonts w:ascii="宋体" w:hAnsi="宋体" w:hint="eastAsia"/>
          <w:kern w:val="0"/>
          <w:szCs w:val="21"/>
        </w:rPr>
        <w:t>－</w:t>
      </w:r>
      <w:r>
        <w:rPr>
          <w:rFonts w:ascii="宋体" w:hAnsi="宋体"/>
          <w:kern w:val="0"/>
          <w:szCs w:val="21"/>
        </w:rPr>
        <w:t>L</w:t>
      </w:r>
      <w:r>
        <w:rPr>
          <w:rFonts w:ascii="宋体" w:hAnsi="宋体"/>
          <w:kern w:val="0"/>
          <w:szCs w:val="21"/>
          <w:vertAlign w:val="subscript"/>
        </w:rPr>
        <w:t>3</w:t>
      </w:r>
      <w:r>
        <w:rPr>
          <w:rFonts w:ascii="宋体" w:hAnsi="宋体" w:hint="eastAsia"/>
          <w:kern w:val="0"/>
          <w:szCs w:val="21"/>
        </w:rPr>
        <w:t>型。急性非淋巴细胞白血病：</w:t>
      </w:r>
      <w:r>
        <w:rPr>
          <w:rFonts w:ascii="宋体" w:hAnsi="宋体"/>
          <w:kern w:val="0"/>
          <w:szCs w:val="21"/>
        </w:rPr>
        <w:t>M</w:t>
      </w:r>
      <w:r>
        <w:rPr>
          <w:rFonts w:ascii="宋体"/>
          <w:kern w:val="0"/>
          <w:szCs w:val="21"/>
          <w:vertAlign w:val="subscript"/>
        </w:rPr>
        <w:t>0</w:t>
      </w:r>
      <w:r>
        <w:rPr>
          <w:rFonts w:ascii="宋体" w:hAnsi="宋体" w:hint="eastAsia"/>
          <w:kern w:val="0"/>
          <w:szCs w:val="21"/>
        </w:rPr>
        <w:t>－</w:t>
      </w:r>
      <w:r>
        <w:rPr>
          <w:rFonts w:ascii="宋体" w:hAnsi="宋体"/>
          <w:kern w:val="0"/>
          <w:szCs w:val="21"/>
        </w:rPr>
        <w:t>M</w:t>
      </w:r>
      <w:r>
        <w:rPr>
          <w:rFonts w:ascii="宋体" w:hAnsi="宋体"/>
          <w:kern w:val="0"/>
          <w:szCs w:val="21"/>
          <w:vertAlign w:val="subscript"/>
        </w:rPr>
        <w:t>7</w:t>
      </w:r>
      <w:r>
        <w:rPr>
          <w:rFonts w:ascii="宋体" w:hAnsi="宋体" w:hint="eastAsia"/>
          <w:kern w:val="0"/>
          <w:szCs w:val="21"/>
        </w:rPr>
        <w:t>型。</w:t>
      </w:r>
      <w:r>
        <w:rPr>
          <w:rFonts w:ascii="宋体" w:hAnsi="宋体"/>
          <w:kern w:val="0"/>
          <w:szCs w:val="21"/>
        </w:rPr>
        <w:t>MICM</w:t>
      </w:r>
      <w:r>
        <w:rPr>
          <w:rFonts w:ascii="宋体" w:hAnsi="宋体" w:hint="eastAsia"/>
          <w:kern w:val="0"/>
          <w:szCs w:val="21"/>
        </w:rPr>
        <w:t>分型。</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）起病急、高热、出血、贫血和衰竭，亦可缓慢。</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）骨髓造血功能受抑制表现：感染发热，进行性贫血，皮肤、粘膜、内脏出血。</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）白血病细胞增殖浸润表现：</w:t>
      </w:r>
    </w:p>
    <w:p w:rsidR="003717A0" w:rsidRDefault="003717A0">
      <w:pPr>
        <w:pStyle w:val="12"/>
        <w:rPr>
          <w:rFonts w:ascii="宋体"/>
          <w:kern w:val="0"/>
          <w:szCs w:val="21"/>
        </w:rPr>
      </w:pPr>
      <w:r>
        <w:rPr>
          <w:rFonts w:ascii="宋体" w:hAnsi="宋体" w:hint="eastAsia"/>
          <w:kern w:val="0"/>
          <w:szCs w:val="21"/>
        </w:rPr>
        <w:t>淋巴结、肝、脾肿大，眼、口、皮肤、粘膜浸润，中枢神经系统白血病及睾丸浸润。</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）血象：白细胞增多、正常或减少，血红蛋白、红细胞和血小板减少，可有原幼细胞。</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）骨髓象：增生极度活跃，白血病原始细胞占非红细胞</w:t>
      </w:r>
      <w:r>
        <w:rPr>
          <w:rFonts w:ascii="宋体" w:hAnsi="宋体"/>
          <w:kern w:val="0"/>
          <w:szCs w:val="21"/>
        </w:rPr>
        <w:t>30%</w:t>
      </w:r>
      <w:r>
        <w:rPr>
          <w:rFonts w:ascii="宋体" w:hAnsi="宋体" w:hint="eastAsia"/>
          <w:kern w:val="0"/>
          <w:szCs w:val="21"/>
        </w:rPr>
        <w:t>以上，红细胞和巨核细胞系受抑，白血病细胞可呈“裂孔”现象，并有形态异常。</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）细胞化学：过氧化物酶、苏丹黑、糖原和非特异性脂酶等染色。</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）免疫学检查：单克隆抗体白血病细胞免疫学标志，区别急淋、急非淋及急淋的</w:t>
      </w:r>
      <w:r>
        <w:rPr>
          <w:rFonts w:ascii="宋体" w:hAnsi="宋体"/>
          <w:kern w:val="0"/>
          <w:szCs w:val="21"/>
        </w:rPr>
        <w:t>T</w:t>
      </w:r>
      <w:r>
        <w:rPr>
          <w:rFonts w:ascii="宋体" w:hAnsi="宋体" w:hint="eastAsia"/>
          <w:kern w:val="0"/>
          <w:szCs w:val="21"/>
        </w:rPr>
        <w:t>、</w:t>
      </w:r>
      <w:r>
        <w:rPr>
          <w:rFonts w:ascii="宋体" w:hAnsi="宋体"/>
          <w:kern w:val="0"/>
          <w:szCs w:val="21"/>
        </w:rPr>
        <w:t>B</w:t>
      </w:r>
      <w:r>
        <w:rPr>
          <w:rFonts w:ascii="宋体" w:hAnsi="宋体" w:hint="eastAsia"/>
          <w:kern w:val="0"/>
          <w:szCs w:val="21"/>
        </w:rPr>
        <w:t>细胞类型。</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5</w:t>
      </w:r>
      <w:r>
        <w:rPr>
          <w:rFonts w:ascii="宋体" w:hAnsi="宋体" w:hint="eastAsia"/>
          <w:kern w:val="0"/>
          <w:szCs w:val="21"/>
        </w:rPr>
        <w:t>）其它：染色体检查，粒单祖细胞培养，血液生化如</w:t>
      </w:r>
      <w:r>
        <w:rPr>
          <w:rFonts w:ascii="宋体" w:hAnsi="宋体"/>
          <w:kern w:val="0"/>
          <w:szCs w:val="21"/>
        </w:rPr>
        <w:t>DIC</w:t>
      </w:r>
      <w:r>
        <w:rPr>
          <w:rFonts w:ascii="宋体" w:hAnsi="宋体" w:hint="eastAsia"/>
          <w:kern w:val="0"/>
          <w:szCs w:val="21"/>
        </w:rPr>
        <w:t>检查等。</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）根据临床表现、血髓象、化学染色和免疫学检查诊断，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）与骨髓增生异常综合征、传染性单核细胞增多症、重症细菌性感染等引起的白细胞异常、再生障碍性贫血、巨幼细胞性贫血鉴别。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）化学治疗：</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）、治疗策略：周期非特异药物和特异药物联合应用，诱导缓解和缓解后治疗两个阶段。</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）、化疗方案：急非淋白血病常用</w:t>
      </w:r>
      <w:r>
        <w:rPr>
          <w:rFonts w:ascii="宋体" w:hAnsi="宋体"/>
          <w:kern w:val="0"/>
          <w:szCs w:val="21"/>
        </w:rPr>
        <w:t>DA</w:t>
      </w:r>
      <w:r>
        <w:rPr>
          <w:rFonts w:ascii="宋体" w:hAnsi="宋体" w:hint="eastAsia"/>
          <w:kern w:val="0"/>
          <w:szCs w:val="21"/>
        </w:rPr>
        <w:t>方案和</w:t>
      </w:r>
      <w:r>
        <w:rPr>
          <w:rFonts w:ascii="宋体" w:hAnsi="宋体"/>
          <w:kern w:val="0"/>
          <w:szCs w:val="21"/>
        </w:rPr>
        <w:t>HA</w:t>
      </w:r>
      <w:r>
        <w:rPr>
          <w:rFonts w:ascii="宋体" w:hAnsi="宋体" w:hint="eastAsia"/>
          <w:kern w:val="0"/>
          <w:szCs w:val="21"/>
        </w:rPr>
        <w:t>方案，急淋白血病用</w:t>
      </w:r>
      <w:r>
        <w:rPr>
          <w:rFonts w:ascii="宋体" w:hAnsi="宋体"/>
          <w:kern w:val="0"/>
          <w:szCs w:val="21"/>
        </w:rPr>
        <w:t>VP</w:t>
      </w:r>
      <w:r>
        <w:rPr>
          <w:rFonts w:ascii="宋体" w:hAnsi="宋体" w:hint="eastAsia"/>
          <w:kern w:val="0"/>
          <w:szCs w:val="21"/>
        </w:rPr>
        <w:t>、</w:t>
      </w:r>
      <w:r>
        <w:rPr>
          <w:rFonts w:ascii="宋体" w:hAnsi="宋体"/>
          <w:kern w:val="0"/>
          <w:szCs w:val="21"/>
        </w:rPr>
        <w:t>VDP</w:t>
      </w:r>
      <w:r>
        <w:rPr>
          <w:rFonts w:ascii="宋体" w:hAnsi="宋体" w:hint="eastAsia"/>
          <w:kern w:val="0"/>
          <w:szCs w:val="21"/>
        </w:rPr>
        <w:t>或</w:t>
      </w:r>
      <w:r>
        <w:rPr>
          <w:rFonts w:ascii="宋体" w:hAnsi="宋体"/>
          <w:kern w:val="0"/>
          <w:szCs w:val="21"/>
        </w:rPr>
        <w:t>VLDP</w:t>
      </w:r>
      <w:r>
        <w:rPr>
          <w:rFonts w:ascii="宋体" w:hAnsi="宋体" w:hint="eastAsia"/>
          <w:kern w:val="0"/>
          <w:szCs w:val="21"/>
        </w:rPr>
        <w:t>方案。</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）支持治疗：感染、出血的防治，纠正贫血及尿酸性肾病的防治等。</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）骨髓移植：同种异基因骨髓移植，自身骨髓移植，外周血造血干细胞移植，脐血移植等。</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rPr>
          <w:rFonts w:ascii="宋体"/>
          <w:b/>
          <w:kern w:val="0"/>
          <w:szCs w:val="21"/>
        </w:rPr>
      </w:pPr>
      <w:r>
        <w:rPr>
          <w:rFonts w:ascii="宋体" w:hAnsi="宋体"/>
          <w:kern w:val="0"/>
          <w:szCs w:val="21"/>
        </w:rPr>
        <w:t>1.</w:t>
      </w:r>
      <w:r>
        <w:rPr>
          <w:rFonts w:ascii="宋体" w:hAnsi="宋体" w:hint="eastAsia"/>
          <w:kern w:val="0"/>
          <w:szCs w:val="21"/>
        </w:rPr>
        <w:t>结合典型病例掌握临床表现、诊断和治疗。</w:t>
      </w:r>
    </w:p>
    <w:p w:rsidR="003717A0" w:rsidRDefault="003717A0">
      <w:pPr>
        <w:pStyle w:val="12"/>
        <w:ind w:firstLineChars="147" w:firstLine="309"/>
        <w:rPr>
          <w:rFonts w:ascii="宋体"/>
          <w:kern w:val="0"/>
          <w:szCs w:val="21"/>
        </w:rPr>
      </w:pPr>
      <w:r>
        <w:rPr>
          <w:rFonts w:ascii="宋体" w:hAnsi="宋体" w:hint="eastAsia"/>
          <w:kern w:val="0"/>
          <w:szCs w:val="21"/>
        </w:rPr>
        <w:t>结合典型病例讨论：</w:t>
      </w:r>
    </w:p>
    <w:p w:rsidR="003717A0" w:rsidRDefault="003717A0">
      <w:pPr>
        <w:pStyle w:val="12"/>
        <w:ind w:firstLineChars="200" w:firstLine="420"/>
        <w:rPr>
          <w:rFonts w:ascii="宋体"/>
          <w:kern w:val="0"/>
          <w:szCs w:val="21"/>
        </w:rPr>
      </w:pPr>
      <w:r>
        <w:rPr>
          <w:rFonts w:ascii="宋体" w:hAnsi="宋体"/>
          <w:kern w:val="0"/>
          <w:szCs w:val="21"/>
        </w:rPr>
        <w:lastRenderedPageBreak/>
        <w:t>1</w:t>
      </w:r>
      <w:r>
        <w:rPr>
          <w:rFonts w:ascii="宋体" w:hAnsi="宋体" w:hint="eastAsia"/>
          <w:kern w:val="0"/>
          <w:szCs w:val="21"/>
        </w:rPr>
        <w:t>、急性白血病的临床表现。</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、急性白血病的实验室检查特点（血象、骨髓象、遗传学、分子生物学）。</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、急性白血病治疗方法的选择，化疗的策略。</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、联合化疗方案组成的原则。急淋、急非淋常用方案的使用方法及主要副作用。</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、急性白血病的分类、分型及临床特征。</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、掌握白血病的临床表现和实验室检查，急性白血病的分型、诊断及治疗。</w:t>
      </w:r>
    </w:p>
    <w:p w:rsidR="003717A0" w:rsidRDefault="003717A0">
      <w:pPr>
        <w:pStyle w:val="12"/>
        <w:ind w:firstLine="420"/>
        <w:rPr>
          <w:rFonts w:ascii="宋体"/>
          <w:kern w:val="0"/>
          <w:szCs w:val="21"/>
        </w:rPr>
      </w:pPr>
      <w:r>
        <w:rPr>
          <w:rFonts w:ascii="宋体" w:hAnsi="宋体"/>
          <w:kern w:val="0"/>
          <w:szCs w:val="21"/>
        </w:rPr>
        <w:t>2</w:t>
      </w:r>
      <w:r>
        <w:rPr>
          <w:rFonts w:ascii="宋体" w:hAnsi="宋体" w:hint="eastAsia"/>
          <w:kern w:val="0"/>
          <w:szCs w:val="21"/>
        </w:rPr>
        <w:t>、了解本病的病因、发病机制及免疫学、细胞形态学、分子生物学分型。</w:t>
      </w:r>
    </w:p>
    <w:p w:rsidR="003717A0" w:rsidRDefault="003717A0">
      <w:pPr>
        <w:pStyle w:val="12"/>
        <w:rPr>
          <w:rFonts w:ascii="宋体"/>
          <w:b/>
          <w:kern w:val="0"/>
          <w:szCs w:val="21"/>
        </w:rPr>
      </w:pPr>
      <w:r>
        <w:rPr>
          <w:rFonts w:ascii="宋体" w:hAnsi="宋体" w:hint="eastAsia"/>
          <w:b/>
          <w:kern w:val="0"/>
          <w:szCs w:val="21"/>
        </w:rPr>
        <w:t>第三节慢性髓系白血病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、临床表现代谢亢进、肝脾肿大、胸骨压痛和白细胞淤滞等，分慢性期、加速期、急性变。</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、实验室检查白细胞数增高、</w:t>
      </w:r>
      <w:r>
        <w:rPr>
          <w:rFonts w:ascii="宋体" w:hAnsi="宋体"/>
          <w:kern w:val="0"/>
          <w:szCs w:val="21"/>
        </w:rPr>
        <w:t>NAP</w:t>
      </w:r>
      <w:r>
        <w:rPr>
          <w:rFonts w:ascii="宋体" w:hAnsi="宋体" w:hint="eastAsia"/>
          <w:kern w:val="0"/>
          <w:szCs w:val="21"/>
        </w:rPr>
        <w:t>减低及骨髓增生极度活跃。</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w:t>
      </w:r>
    </w:p>
    <w:p w:rsidR="003717A0" w:rsidRDefault="003717A0">
      <w:pPr>
        <w:pStyle w:val="12"/>
        <w:rPr>
          <w:rFonts w:ascii="宋体"/>
          <w:kern w:val="0"/>
          <w:szCs w:val="21"/>
        </w:rPr>
      </w:pPr>
      <w:r>
        <w:rPr>
          <w:rFonts w:ascii="宋体" w:hAnsi="宋体" w:hint="eastAsia"/>
          <w:kern w:val="0"/>
          <w:szCs w:val="21"/>
        </w:rPr>
        <w:t>依病史、血象、骨髓象及</w:t>
      </w:r>
      <w:r>
        <w:rPr>
          <w:rFonts w:ascii="宋体" w:hAnsi="宋体"/>
          <w:kern w:val="0"/>
          <w:szCs w:val="21"/>
        </w:rPr>
        <w:t>Ph</w:t>
      </w:r>
      <w:r>
        <w:rPr>
          <w:rFonts w:ascii="宋体" w:hAnsi="宋体" w:hint="eastAsia"/>
          <w:kern w:val="0"/>
          <w:szCs w:val="21"/>
        </w:rPr>
        <w:t>染色体确诊，与其他原因脾大、类白细胞反应及骨髓纤维化鉴别。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、治疗支持治疗、化学治疗、慢粒急变的治疗。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、慢性髓系白血病的临床表现、血象及骨髓象特点、遗传学和分子生物学特征；</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、慢性髓系白血病与类白血病反应、骨髓纤维化的鉴别要点</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、慢性髓系白血病治疗方式的选择及注意事项。</w:t>
      </w:r>
    </w:p>
    <w:p w:rsidR="003717A0" w:rsidRDefault="003717A0">
      <w:pPr>
        <w:pStyle w:val="12"/>
        <w:rPr>
          <w:rFonts w:ascii="宋体"/>
          <w:b/>
          <w:kern w:val="0"/>
          <w:szCs w:val="21"/>
        </w:rPr>
      </w:pPr>
      <w:r>
        <w:rPr>
          <w:rFonts w:ascii="宋体" w:hAnsi="宋体" w:hint="eastAsia"/>
          <w:b/>
          <w:kern w:val="0"/>
          <w:szCs w:val="21"/>
        </w:rPr>
        <w:t>第四节慢性淋巴细胞白血病（自学）</w:t>
      </w:r>
    </w:p>
    <w:p w:rsidR="003717A0" w:rsidRDefault="003717A0">
      <w:pPr>
        <w:pStyle w:val="12"/>
        <w:ind w:firstLineChars="200"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第十章淋巴瘤（自学）</w:t>
      </w:r>
    </w:p>
    <w:p w:rsidR="003717A0" w:rsidRDefault="003717A0">
      <w:pPr>
        <w:pStyle w:val="12"/>
        <w:rPr>
          <w:rFonts w:ascii="宋体"/>
          <w:kern w:val="0"/>
          <w:szCs w:val="21"/>
        </w:rPr>
      </w:pPr>
      <w:r>
        <w:rPr>
          <w:rFonts w:ascii="宋体" w:hAnsi="宋体" w:hint="eastAsia"/>
          <w:b/>
          <w:kern w:val="0"/>
          <w:szCs w:val="21"/>
        </w:rPr>
        <w:t>自学内容</w:t>
      </w:r>
      <w:r>
        <w:rPr>
          <w:rFonts w:ascii="宋体" w:hAnsi="宋体"/>
          <w:kern w:val="0"/>
          <w:szCs w:val="21"/>
        </w:rPr>
        <w:t>1</w:t>
      </w:r>
      <w:r>
        <w:rPr>
          <w:rFonts w:ascii="宋体" w:hAnsi="宋体" w:hint="eastAsia"/>
          <w:kern w:val="0"/>
          <w:szCs w:val="21"/>
        </w:rPr>
        <w:t>、概念、病因和发病机制与病毒感染、免疫低下有关。</w:t>
      </w:r>
    </w:p>
    <w:p w:rsidR="003717A0" w:rsidRPr="00913B56" w:rsidRDefault="003717A0" w:rsidP="00913B56">
      <w:pPr>
        <w:pStyle w:val="12"/>
        <w:ind w:firstLine="420"/>
        <w:rPr>
          <w:rFonts w:ascii="宋体" w:hAnsi="宋体"/>
          <w:kern w:val="0"/>
          <w:szCs w:val="21"/>
        </w:rPr>
      </w:pPr>
      <w:r>
        <w:rPr>
          <w:rFonts w:ascii="宋体" w:hAnsi="宋体"/>
          <w:kern w:val="0"/>
          <w:szCs w:val="21"/>
        </w:rPr>
        <w:t>2</w:t>
      </w:r>
      <w:r>
        <w:rPr>
          <w:rFonts w:ascii="宋体" w:hAnsi="宋体" w:hint="eastAsia"/>
          <w:kern w:val="0"/>
          <w:szCs w:val="21"/>
        </w:rPr>
        <w:t>、病理及分类霍奇金淋巴瘤，非霍奇金淋巴瘤。</w:t>
      </w:r>
    </w:p>
    <w:p w:rsidR="003717A0" w:rsidRPr="00913B56" w:rsidRDefault="003717A0" w:rsidP="00913B56">
      <w:pPr>
        <w:pStyle w:val="12"/>
        <w:ind w:firstLine="420"/>
        <w:rPr>
          <w:rFonts w:ascii="宋体" w:hAnsi="宋体"/>
          <w:kern w:val="0"/>
          <w:szCs w:val="21"/>
        </w:rPr>
      </w:pPr>
      <w:r>
        <w:rPr>
          <w:rFonts w:ascii="宋体" w:hAnsi="宋体"/>
          <w:kern w:val="0"/>
          <w:szCs w:val="21"/>
        </w:rPr>
        <w:t>3</w:t>
      </w:r>
      <w:r>
        <w:rPr>
          <w:rFonts w:ascii="宋体" w:hAnsi="宋体" w:hint="eastAsia"/>
          <w:kern w:val="0"/>
          <w:szCs w:val="21"/>
        </w:rPr>
        <w:t>、临床表现霍奇金淋巴瘤：青少儿，慢性无痛淋巴结肿大，压迫症状，发热。非霍奇金淋巴瘤：年龄大，淋巴结肿大扩散快，发热明显首发。</w:t>
      </w:r>
    </w:p>
    <w:p w:rsidR="003717A0" w:rsidRPr="00913B56" w:rsidRDefault="003717A0" w:rsidP="00913B56">
      <w:pPr>
        <w:pStyle w:val="12"/>
        <w:ind w:firstLine="420"/>
        <w:rPr>
          <w:rFonts w:ascii="宋体" w:hAnsi="宋体"/>
          <w:kern w:val="0"/>
          <w:szCs w:val="21"/>
        </w:rPr>
      </w:pPr>
      <w:r>
        <w:rPr>
          <w:rFonts w:ascii="宋体" w:hAnsi="宋体"/>
          <w:kern w:val="0"/>
          <w:szCs w:val="21"/>
        </w:rPr>
        <w:t>4</w:t>
      </w:r>
      <w:r>
        <w:rPr>
          <w:rFonts w:ascii="宋体" w:hAnsi="宋体" w:hint="eastAsia"/>
          <w:kern w:val="0"/>
          <w:szCs w:val="21"/>
        </w:rPr>
        <w:t>、实验室检查血象、骨髓象、影像学、病理学检查。</w:t>
      </w:r>
    </w:p>
    <w:p w:rsidR="003717A0" w:rsidRPr="00913B56" w:rsidRDefault="003717A0" w:rsidP="00913B56">
      <w:pPr>
        <w:pStyle w:val="12"/>
        <w:ind w:firstLine="420"/>
        <w:rPr>
          <w:rFonts w:ascii="宋体" w:hAnsi="宋体"/>
          <w:kern w:val="0"/>
          <w:szCs w:val="21"/>
        </w:rPr>
      </w:pPr>
      <w:r>
        <w:rPr>
          <w:rFonts w:ascii="宋体" w:hAnsi="宋体"/>
          <w:kern w:val="0"/>
          <w:szCs w:val="21"/>
        </w:rPr>
        <w:t>5</w:t>
      </w:r>
      <w:r>
        <w:rPr>
          <w:rFonts w:ascii="宋体" w:hAnsi="宋体" w:hint="eastAsia"/>
          <w:kern w:val="0"/>
          <w:szCs w:val="21"/>
        </w:rPr>
        <w:t>、诊断及鉴别诊断临床表现加实验室检查，临床分为</w:t>
      </w:r>
      <w:r>
        <w:rPr>
          <w:rFonts w:ascii="宋体" w:hAnsi="宋体"/>
          <w:kern w:val="0"/>
          <w:szCs w:val="21"/>
        </w:rPr>
        <w:t>4</w:t>
      </w:r>
      <w:r>
        <w:rPr>
          <w:rFonts w:ascii="宋体" w:hAnsi="宋体" w:hint="eastAsia"/>
          <w:kern w:val="0"/>
          <w:szCs w:val="21"/>
        </w:rPr>
        <w:t>期。</w:t>
      </w:r>
    </w:p>
    <w:p w:rsidR="003717A0" w:rsidRDefault="003717A0">
      <w:pPr>
        <w:pStyle w:val="12"/>
        <w:ind w:firstLine="420"/>
        <w:rPr>
          <w:rFonts w:ascii="宋体"/>
          <w:kern w:val="0"/>
          <w:szCs w:val="21"/>
        </w:rPr>
      </w:pPr>
      <w:r>
        <w:rPr>
          <w:rFonts w:ascii="宋体" w:hAnsi="宋体"/>
          <w:kern w:val="0"/>
          <w:szCs w:val="21"/>
        </w:rPr>
        <w:t>6</w:t>
      </w:r>
      <w:r>
        <w:rPr>
          <w:rFonts w:ascii="宋体" w:hAnsi="宋体" w:hint="eastAsia"/>
          <w:kern w:val="0"/>
          <w:szCs w:val="21"/>
        </w:rPr>
        <w:t>、治疗化疗、放疗、免疫治疗、骨髓或造血干细胞移植。</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kern w:val="0"/>
          <w:szCs w:val="21"/>
        </w:rPr>
        <w:t>.</w:t>
      </w:r>
      <w:r>
        <w:rPr>
          <w:rFonts w:ascii="宋体" w:hAnsi="宋体" w:hint="eastAsia"/>
          <w:kern w:val="0"/>
          <w:szCs w:val="21"/>
        </w:rPr>
        <w:t>掌握常见临床表现，临床分型，诊断依据。</w:t>
      </w:r>
    </w:p>
    <w:p w:rsidR="003717A0" w:rsidRDefault="003717A0">
      <w:pPr>
        <w:pStyle w:val="12"/>
        <w:rPr>
          <w:rFonts w:ascii="宋体"/>
          <w:kern w:val="0"/>
          <w:szCs w:val="21"/>
        </w:rPr>
      </w:pPr>
      <w:r>
        <w:rPr>
          <w:rFonts w:ascii="宋体" w:hAnsi="宋体"/>
          <w:kern w:val="0"/>
          <w:szCs w:val="21"/>
        </w:rPr>
        <w:t>2</w:t>
      </w:r>
      <w:r>
        <w:rPr>
          <w:rFonts w:ascii="宋体"/>
          <w:kern w:val="0"/>
          <w:szCs w:val="21"/>
        </w:rPr>
        <w:t>.</w:t>
      </w:r>
      <w:r>
        <w:rPr>
          <w:rFonts w:ascii="宋体" w:hAnsi="宋体" w:hint="eastAsia"/>
          <w:kern w:val="0"/>
          <w:szCs w:val="21"/>
        </w:rPr>
        <w:t>熟悉分类和治疗原则。</w:t>
      </w:r>
    </w:p>
    <w:p w:rsidR="003717A0" w:rsidRDefault="003717A0">
      <w:pPr>
        <w:pStyle w:val="12"/>
        <w:rPr>
          <w:rFonts w:ascii="宋体"/>
          <w:kern w:val="0"/>
          <w:szCs w:val="21"/>
        </w:rPr>
      </w:pPr>
      <w:r>
        <w:rPr>
          <w:rFonts w:ascii="宋体" w:hAnsi="宋体"/>
          <w:kern w:val="0"/>
          <w:szCs w:val="21"/>
        </w:rPr>
        <w:t>3</w:t>
      </w:r>
      <w:r>
        <w:rPr>
          <w:rFonts w:ascii="宋体"/>
          <w:kern w:val="0"/>
          <w:szCs w:val="21"/>
        </w:rPr>
        <w:t>.</w:t>
      </w:r>
      <w:r>
        <w:rPr>
          <w:rFonts w:ascii="宋体" w:hAnsi="宋体" w:hint="eastAsia"/>
          <w:kern w:val="0"/>
          <w:szCs w:val="21"/>
        </w:rPr>
        <w:t>了解病因、发病机理和预后以及流行病学的新进展。</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第一节霍奇金淋巴瘤</w:t>
      </w:r>
    </w:p>
    <w:p w:rsidR="003717A0" w:rsidRDefault="003717A0">
      <w:pPr>
        <w:pStyle w:val="12"/>
        <w:rPr>
          <w:rFonts w:ascii="宋体"/>
          <w:b/>
          <w:kern w:val="0"/>
          <w:szCs w:val="21"/>
        </w:rPr>
      </w:pPr>
      <w:r>
        <w:rPr>
          <w:rFonts w:ascii="宋体" w:hAnsi="宋体" w:hint="eastAsia"/>
          <w:b/>
          <w:kern w:val="0"/>
          <w:szCs w:val="21"/>
        </w:rPr>
        <w:t>第二节非霍奇金淋巴瘤</w:t>
      </w:r>
    </w:p>
    <w:p w:rsidR="003717A0" w:rsidRDefault="003717A0">
      <w:pPr>
        <w:pStyle w:val="12"/>
        <w:ind w:left="420"/>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第十一章浆细胞病</w:t>
      </w:r>
    </w:p>
    <w:p w:rsidR="003717A0" w:rsidRDefault="003717A0">
      <w:pPr>
        <w:pStyle w:val="12"/>
        <w:numPr>
          <w:ilvl w:val="0"/>
          <w:numId w:val="464"/>
        </w:numPr>
        <w:rPr>
          <w:rFonts w:ascii="宋体"/>
          <w:b/>
          <w:kern w:val="0"/>
          <w:szCs w:val="21"/>
        </w:rPr>
      </w:pPr>
      <w:r>
        <w:rPr>
          <w:rFonts w:ascii="宋体" w:hAnsi="宋体" w:hint="eastAsia"/>
          <w:b/>
          <w:kern w:val="0"/>
          <w:szCs w:val="21"/>
        </w:rPr>
        <w:t>意义未明的单克隆免疫球蛋白血症</w:t>
      </w:r>
    </w:p>
    <w:p w:rsidR="003717A0" w:rsidRDefault="003717A0">
      <w:pPr>
        <w:pStyle w:val="12"/>
        <w:numPr>
          <w:ilvl w:val="0"/>
          <w:numId w:val="464"/>
        </w:numPr>
        <w:rPr>
          <w:rFonts w:ascii="宋体"/>
          <w:b/>
          <w:kern w:val="0"/>
          <w:szCs w:val="21"/>
        </w:rPr>
      </w:pPr>
      <w:r>
        <w:rPr>
          <w:rFonts w:ascii="宋体" w:hAnsi="宋体" w:hint="eastAsia"/>
          <w:b/>
          <w:kern w:val="0"/>
          <w:szCs w:val="21"/>
        </w:rPr>
        <w:t>多发性骨髓瘤（自学）</w:t>
      </w:r>
    </w:p>
    <w:p w:rsidR="003717A0" w:rsidRDefault="003717A0">
      <w:pPr>
        <w:pStyle w:val="12"/>
        <w:rPr>
          <w:rFonts w:ascii="宋体"/>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、概述一般概念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、病因和发病机制</w:t>
      </w:r>
    </w:p>
    <w:p w:rsidR="003717A0" w:rsidRDefault="003717A0">
      <w:pPr>
        <w:pStyle w:val="12"/>
        <w:ind w:firstLineChars="200" w:firstLine="420"/>
        <w:rPr>
          <w:rFonts w:ascii="宋体"/>
          <w:kern w:val="0"/>
          <w:szCs w:val="21"/>
        </w:rPr>
      </w:pPr>
      <w:r>
        <w:rPr>
          <w:rFonts w:ascii="宋体" w:hAnsi="宋体"/>
          <w:kern w:val="0"/>
          <w:szCs w:val="21"/>
        </w:rPr>
        <w:lastRenderedPageBreak/>
        <w:t>3</w:t>
      </w:r>
      <w:r>
        <w:rPr>
          <w:rFonts w:ascii="宋体" w:hAnsi="宋体" w:hint="eastAsia"/>
          <w:kern w:val="0"/>
          <w:szCs w:val="21"/>
        </w:rPr>
        <w:t>、病理生理与临床表现</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）骨髓瘤细胞对骨骼和其他组织的浸润破坏的临床表现</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）血浆蛋白异常引起的临床表现</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掌握多发性骨髓瘤的病理生理和临床表现，诊断依据。</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熟悉鉴别诊断与治疗原则。</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了解概念与免疫分型。</w:t>
      </w:r>
    </w:p>
    <w:p w:rsidR="003717A0" w:rsidRDefault="003717A0">
      <w:pPr>
        <w:pStyle w:val="12"/>
        <w:jc w:val="center"/>
        <w:rPr>
          <w:rFonts w:ascii="宋体"/>
          <w:b/>
          <w:kern w:val="0"/>
          <w:szCs w:val="21"/>
        </w:rPr>
      </w:pPr>
      <w:r>
        <w:rPr>
          <w:rFonts w:ascii="宋体" w:hAnsi="宋体" w:hint="eastAsia"/>
          <w:b/>
          <w:kern w:val="0"/>
          <w:szCs w:val="21"/>
        </w:rPr>
        <w:t>第十二章骨髓增生性疾病（自学）</w:t>
      </w:r>
    </w:p>
    <w:p w:rsidR="003717A0" w:rsidRDefault="003717A0">
      <w:pPr>
        <w:pStyle w:val="12"/>
        <w:numPr>
          <w:ilvl w:val="0"/>
          <w:numId w:val="465"/>
        </w:numPr>
        <w:rPr>
          <w:rFonts w:ascii="宋体"/>
          <w:b/>
          <w:kern w:val="0"/>
          <w:szCs w:val="21"/>
        </w:rPr>
      </w:pPr>
      <w:r>
        <w:rPr>
          <w:rFonts w:ascii="宋体" w:hAnsi="宋体" w:hint="eastAsia"/>
          <w:b/>
          <w:kern w:val="0"/>
          <w:szCs w:val="21"/>
        </w:rPr>
        <w:t>真性红细胞增多症</w:t>
      </w:r>
    </w:p>
    <w:p w:rsidR="003717A0" w:rsidRDefault="003717A0">
      <w:pPr>
        <w:pStyle w:val="12"/>
        <w:numPr>
          <w:ilvl w:val="0"/>
          <w:numId w:val="465"/>
        </w:numPr>
        <w:rPr>
          <w:rFonts w:ascii="宋体"/>
          <w:b/>
          <w:kern w:val="0"/>
          <w:szCs w:val="21"/>
        </w:rPr>
      </w:pPr>
      <w:r>
        <w:rPr>
          <w:rFonts w:ascii="宋体" w:hAnsi="宋体" w:hint="eastAsia"/>
          <w:b/>
          <w:kern w:val="0"/>
          <w:szCs w:val="21"/>
        </w:rPr>
        <w:t>原发性血小板增多症</w:t>
      </w:r>
    </w:p>
    <w:p w:rsidR="003717A0" w:rsidRDefault="003717A0">
      <w:pPr>
        <w:pStyle w:val="12"/>
        <w:numPr>
          <w:ilvl w:val="0"/>
          <w:numId w:val="465"/>
        </w:numPr>
        <w:rPr>
          <w:rFonts w:ascii="宋体"/>
          <w:b/>
          <w:kern w:val="0"/>
          <w:szCs w:val="21"/>
        </w:rPr>
      </w:pPr>
      <w:r>
        <w:rPr>
          <w:rFonts w:ascii="宋体" w:hAnsi="宋体" w:hint="eastAsia"/>
          <w:b/>
          <w:kern w:val="0"/>
          <w:szCs w:val="21"/>
        </w:rPr>
        <w:t>原发性骨髓纤维化</w:t>
      </w:r>
    </w:p>
    <w:p w:rsidR="003717A0" w:rsidRDefault="003717A0">
      <w:pPr>
        <w:pStyle w:val="12"/>
        <w:jc w:val="center"/>
        <w:rPr>
          <w:rFonts w:ascii="宋体"/>
          <w:b/>
          <w:kern w:val="0"/>
          <w:szCs w:val="21"/>
        </w:rPr>
      </w:pPr>
      <w:r>
        <w:rPr>
          <w:rFonts w:ascii="宋体" w:hAnsi="宋体" w:hint="eastAsia"/>
          <w:b/>
          <w:kern w:val="0"/>
          <w:szCs w:val="21"/>
        </w:rPr>
        <w:t>第十三章脾功能亢进（自学）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第十四章出血性疾病概述</w:t>
      </w:r>
    </w:p>
    <w:p w:rsidR="003717A0" w:rsidRDefault="003717A0">
      <w:pPr>
        <w:pStyle w:val="12"/>
        <w:rPr>
          <w:rFonts w:ascii="宋体"/>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、概述出血性疾病的定义、出血特点。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正常止血机制血管因素、血小板因素、凝血因素。</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凝血机制内源性及外源性凝血过程。</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抗凝及纤维蛋白溶解机制抗凝系统的组成及作用、纤维蛋白溶解系统组成与激活。</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分类（</w:t>
      </w:r>
      <w:r>
        <w:rPr>
          <w:rFonts w:ascii="宋体" w:hAnsi="宋体"/>
          <w:kern w:val="0"/>
          <w:szCs w:val="21"/>
        </w:rPr>
        <w:t>1</w:t>
      </w:r>
      <w:r>
        <w:rPr>
          <w:rFonts w:ascii="宋体" w:hAnsi="宋体" w:hint="eastAsia"/>
          <w:kern w:val="0"/>
          <w:szCs w:val="21"/>
        </w:rPr>
        <w:t>）、血管壁异常。（</w:t>
      </w:r>
      <w:r>
        <w:rPr>
          <w:rFonts w:ascii="宋体" w:hAnsi="宋体"/>
          <w:kern w:val="0"/>
          <w:szCs w:val="21"/>
        </w:rPr>
        <w:t>2</w:t>
      </w:r>
      <w:r>
        <w:rPr>
          <w:rFonts w:ascii="宋体" w:hAnsi="宋体" w:hint="eastAsia"/>
          <w:kern w:val="0"/>
          <w:szCs w:val="21"/>
        </w:rPr>
        <w:t>）血小板异常。（</w:t>
      </w:r>
      <w:r>
        <w:rPr>
          <w:rFonts w:ascii="宋体" w:hAnsi="宋体"/>
          <w:kern w:val="0"/>
          <w:szCs w:val="21"/>
        </w:rPr>
        <w:t>3</w:t>
      </w:r>
      <w:r>
        <w:rPr>
          <w:rFonts w:ascii="宋体" w:hAnsi="宋体" w:hint="eastAsia"/>
          <w:kern w:val="0"/>
          <w:szCs w:val="21"/>
        </w:rPr>
        <w:t>）凝血异常。（</w:t>
      </w:r>
      <w:r>
        <w:rPr>
          <w:rFonts w:ascii="宋体" w:hAnsi="宋体"/>
          <w:kern w:val="0"/>
          <w:szCs w:val="21"/>
        </w:rPr>
        <w:t>4</w:t>
      </w:r>
      <w:r>
        <w:rPr>
          <w:rFonts w:ascii="宋体" w:hAnsi="宋体" w:hint="eastAsia"/>
          <w:kern w:val="0"/>
          <w:szCs w:val="21"/>
        </w:rPr>
        <w:t>）抗凝及纤维蛋白溶解。</w:t>
      </w:r>
    </w:p>
    <w:p w:rsidR="003717A0" w:rsidRDefault="003717A0">
      <w:pPr>
        <w:pStyle w:val="12"/>
        <w:ind w:firstLineChars="450" w:firstLine="945"/>
        <w:rPr>
          <w:rFonts w:ascii="宋体"/>
          <w:kern w:val="0"/>
          <w:szCs w:val="21"/>
        </w:rPr>
      </w:pPr>
      <w:r>
        <w:rPr>
          <w:rFonts w:ascii="宋体" w:hAnsi="宋体" w:hint="eastAsia"/>
          <w:kern w:val="0"/>
          <w:szCs w:val="21"/>
        </w:rPr>
        <w:t>（</w:t>
      </w:r>
      <w:r>
        <w:rPr>
          <w:rFonts w:ascii="宋体" w:hAnsi="宋体"/>
          <w:kern w:val="0"/>
          <w:szCs w:val="21"/>
        </w:rPr>
        <w:t>5</w:t>
      </w:r>
      <w:r>
        <w:rPr>
          <w:rFonts w:ascii="宋体" w:hAnsi="宋体" w:hint="eastAsia"/>
          <w:kern w:val="0"/>
          <w:szCs w:val="21"/>
        </w:rPr>
        <w:t>）复合性止血机制异常。</w:t>
      </w:r>
    </w:p>
    <w:p w:rsidR="003717A0" w:rsidRDefault="003717A0">
      <w:pPr>
        <w:pStyle w:val="12"/>
        <w:ind w:firstLineChars="200" w:firstLine="420"/>
        <w:rPr>
          <w:rFonts w:ascii="宋体"/>
          <w:kern w:val="0"/>
          <w:szCs w:val="21"/>
        </w:rPr>
      </w:pPr>
      <w:r>
        <w:rPr>
          <w:rFonts w:ascii="宋体" w:hAnsi="宋体"/>
          <w:kern w:val="0"/>
          <w:szCs w:val="21"/>
        </w:rPr>
        <w:t>6</w:t>
      </w:r>
      <w:r>
        <w:rPr>
          <w:rFonts w:ascii="宋体" w:hAnsi="宋体" w:hint="eastAsia"/>
          <w:kern w:val="0"/>
          <w:szCs w:val="21"/>
        </w:rPr>
        <w:t>、诊断</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）病史：过去出血史、家族史、药物和化学品接触史、过敏史、外伤、原发疾病等。</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）体征：出血的特点、部位等。</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）实验室检查：</w:t>
      </w:r>
      <w:r>
        <w:rPr>
          <w:rFonts w:ascii="宋体" w:hAnsi="宋体"/>
          <w:kern w:val="0"/>
          <w:szCs w:val="21"/>
        </w:rPr>
        <w:t>1</w:t>
      </w:r>
      <w:r>
        <w:rPr>
          <w:rFonts w:ascii="宋体" w:hAnsi="宋体" w:hint="eastAsia"/>
          <w:kern w:val="0"/>
          <w:szCs w:val="21"/>
        </w:rPr>
        <w:t>）筛选实验：出血时间、毛细血管脆性试验、血小板计数、血块收缩试验、凝血时间、部分激活的凝血活酶时间，凝血酶原时间，凝血酶原消耗时间，凝血酶时间等。</w:t>
      </w:r>
      <w:r>
        <w:rPr>
          <w:rFonts w:ascii="宋体" w:hAnsi="宋体"/>
          <w:kern w:val="0"/>
          <w:szCs w:val="21"/>
        </w:rPr>
        <w:t>2</w:t>
      </w:r>
      <w:r>
        <w:rPr>
          <w:rFonts w:ascii="宋体" w:hAnsi="宋体" w:hint="eastAsia"/>
          <w:kern w:val="0"/>
          <w:szCs w:val="21"/>
        </w:rPr>
        <w:t>）确诊实验。</w:t>
      </w:r>
      <w:r>
        <w:rPr>
          <w:rFonts w:ascii="宋体" w:hAnsi="宋体"/>
          <w:kern w:val="0"/>
          <w:szCs w:val="21"/>
        </w:rPr>
        <w:t>3</w:t>
      </w:r>
      <w:r>
        <w:rPr>
          <w:rFonts w:ascii="宋体" w:hAnsi="宋体" w:hint="eastAsia"/>
          <w:kern w:val="0"/>
          <w:szCs w:val="21"/>
        </w:rPr>
        <w:t>）特殊试验</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）诊断步骤</w:t>
      </w:r>
    </w:p>
    <w:p w:rsidR="003717A0" w:rsidRDefault="003717A0">
      <w:pPr>
        <w:pStyle w:val="12"/>
        <w:ind w:firstLineChars="200" w:firstLine="420"/>
        <w:rPr>
          <w:rFonts w:ascii="宋体"/>
          <w:kern w:val="0"/>
          <w:szCs w:val="21"/>
        </w:rPr>
      </w:pPr>
      <w:r>
        <w:rPr>
          <w:rFonts w:ascii="宋体" w:hAnsi="宋体"/>
          <w:kern w:val="0"/>
          <w:szCs w:val="21"/>
        </w:rPr>
        <w:t>7</w:t>
      </w:r>
      <w:r>
        <w:rPr>
          <w:rFonts w:ascii="宋体" w:hAnsi="宋体" w:hint="eastAsia"/>
          <w:kern w:val="0"/>
          <w:szCs w:val="21"/>
        </w:rPr>
        <w:t>、治疗原则</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）、病因防治：防治基础疾病、避免接触、使用可加重出血的物质及药物。</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）、止血治疗：补充血小板和（或）相关凝血因子、止血药物</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w:t>
      </w:r>
      <w:r>
        <w:rPr>
          <w:rFonts w:ascii="宋体" w:hAnsi="宋体" w:hint="eastAsia"/>
          <w:szCs w:val="21"/>
        </w:rPr>
        <w:t>其他治疗</w:t>
      </w:r>
      <w:r>
        <w:rPr>
          <w:rFonts w:ascii="宋体" w:hAnsi="宋体" w:hint="eastAsia"/>
          <w:kern w:val="0"/>
          <w:szCs w:val="21"/>
        </w:rPr>
        <w:t>：</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选择出血性疾病的病例，结合病例讨分析、讨论临床表现、实验室检查、诊断。</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、掌握出血性疾病的分类。</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、熟悉本病的诊断及诊断步骤。</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、了解正常的止血、凝血机制和出血性疾病治疗原则。</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第十五章紫癜性疾病</w:t>
      </w:r>
    </w:p>
    <w:p w:rsidR="003717A0" w:rsidRDefault="003717A0">
      <w:pPr>
        <w:pStyle w:val="12"/>
        <w:rPr>
          <w:rFonts w:ascii="宋体"/>
          <w:b/>
          <w:kern w:val="0"/>
          <w:szCs w:val="21"/>
        </w:rPr>
      </w:pPr>
      <w:r>
        <w:rPr>
          <w:rFonts w:ascii="宋体" w:hAnsi="宋体" w:hint="eastAsia"/>
          <w:b/>
          <w:kern w:val="0"/>
          <w:szCs w:val="21"/>
        </w:rPr>
        <w:t>教学内容</w:t>
      </w:r>
    </w:p>
    <w:p w:rsidR="003717A0" w:rsidRPr="00913B56" w:rsidRDefault="003717A0" w:rsidP="00913B56">
      <w:pPr>
        <w:pStyle w:val="12"/>
        <w:ind w:firstLine="420"/>
        <w:rPr>
          <w:rFonts w:ascii="宋体" w:hAnsi="宋体"/>
          <w:kern w:val="0"/>
          <w:szCs w:val="21"/>
        </w:rPr>
      </w:pPr>
      <w:r>
        <w:rPr>
          <w:rFonts w:ascii="宋体" w:hAnsi="宋体"/>
          <w:kern w:val="0"/>
          <w:szCs w:val="21"/>
        </w:rPr>
        <w:t>1</w:t>
      </w:r>
      <w:r>
        <w:rPr>
          <w:rFonts w:ascii="宋体" w:hAnsi="宋体" w:hint="eastAsia"/>
          <w:kern w:val="0"/>
          <w:szCs w:val="21"/>
        </w:rPr>
        <w:t>、概念、病因感染、食物、药物、其他。</w:t>
      </w:r>
    </w:p>
    <w:p w:rsidR="003717A0" w:rsidRPr="00913B56" w:rsidRDefault="003717A0" w:rsidP="00913B56">
      <w:pPr>
        <w:pStyle w:val="12"/>
        <w:ind w:firstLine="420"/>
        <w:rPr>
          <w:rFonts w:ascii="宋体" w:hAnsi="宋体"/>
          <w:kern w:val="0"/>
          <w:szCs w:val="21"/>
        </w:rPr>
      </w:pPr>
      <w:r>
        <w:rPr>
          <w:rFonts w:ascii="宋体" w:hAnsi="宋体"/>
          <w:kern w:val="0"/>
          <w:szCs w:val="21"/>
        </w:rPr>
        <w:t>2</w:t>
      </w:r>
      <w:r>
        <w:rPr>
          <w:rFonts w:ascii="宋体" w:hAnsi="宋体" w:hint="eastAsia"/>
          <w:kern w:val="0"/>
          <w:szCs w:val="21"/>
        </w:rPr>
        <w:t>、临床表现单纯皮肤紫癜型、腹型、关节型、肾型、混合型。</w:t>
      </w:r>
    </w:p>
    <w:p w:rsidR="003717A0" w:rsidRPr="00913B56" w:rsidRDefault="003717A0" w:rsidP="00913B56">
      <w:pPr>
        <w:pStyle w:val="12"/>
        <w:ind w:firstLine="420"/>
        <w:rPr>
          <w:rFonts w:ascii="宋体" w:hAnsi="宋体"/>
          <w:kern w:val="0"/>
          <w:szCs w:val="21"/>
        </w:rPr>
      </w:pPr>
      <w:r>
        <w:rPr>
          <w:rFonts w:ascii="宋体" w:hAnsi="宋体"/>
          <w:kern w:val="0"/>
          <w:szCs w:val="21"/>
        </w:rPr>
        <w:t>3</w:t>
      </w:r>
      <w:r>
        <w:rPr>
          <w:rFonts w:ascii="宋体" w:hAnsi="宋体" w:hint="eastAsia"/>
          <w:kern w:val="0"/>
          <w:szCs w:val="21"/>
        </w:rPr>
        <w:t>、实验室检查血小板计数、功能及凝血相关检查正常。</w:t>
      </w:r>
    </w:p>
    <w:p w:rsidR="003717A0" w:rsidRPr="00913B56" w:rsidRDefault="003717A0" w:rsidP="00913B56">
      <w:pPr>
        <w:pStyle w:val="12"/>
        <w:ind w:firstLine="420"/>
        <w:rPr>
          <w:rFonts w:ascii="宋体" w:hAnsi="宋体"/>
          <w:kern w:val="0"/>
          <w:szCs w:val="21"/>
        </w:rPr>
      </w:pPr>
      <w:r>
        <w:rPr>
          <w:rFonts w:ascii="宋体" w:hAnsi="宋体"/>
          <w:kern w:val="0"/>
          <w:szCs w:val="21"/>
        </w:rPr>
        <w:lastRenderedPageBreak/>
        <w:t>4</w:t>
      </w:r>
      <w:r>
        <w:rPr>
          <w:rFonts w:ascii="宋体" w:hAnsi="宋体" w:hint="eastAsia"/>
          <w:kern w:val="0"/>
          <w:szCs w:val="21"/>
        </w:rPr>
        <w:t>、诊断及鉴别诊断上感史、临床表现、血化验、除外他因所致可确诊。皮肤型与血小板减少性紫癜，肾型与肾炎，关节型与风湿性关节炎鉴别。</w:t>
      </w:r>
    </w:p>
    <w:p w:rsidR="003717A0" w:rsidRDefault="003717A0">
      <w:pPr>
        <w:pStyle w:val="12"/>
        <w:ind w:firstLine="420"/>
        <w:rPr>
          <w:rFonts w:ascii="宋体"/>
          <w:kern w:val="0"/>
          <w:szCs w:val="21"/>
        </w:rPr>
      </w:pPr>
      <w:r>
        <w:rPr>
          <w:rFonts w:ascii="宋体" w:hAnsi="宋体"/>
          <w:kern w:val="0"/>
          <w:szCs w:val="21"/>
        </w:rPr>
        <w:t>5</w:t>
      </w:r>
      <w:r>
        <w:rPr>
          <w:rFonts w:ascii="宋体" w:hAnsi="宋体" w:hint="eastAsia"/>
          <w:kern w:val="0"/>
          <w:szCs w:val="21"/>
        </w:rPr>
        <w:t>、治疗抗组胺药物、肾上腺皮质激素、免疫抑制剂。</w:t>
      </w:r>
    </w:p>
    <w:p w:rsidR="003717A0" w:rsidRDefault="003717A0">
      <w:pPr>
        <w:pStyle w:val="12"/>
        <w:rPr>
          <w:rFonts w:ascii="宋体"/>
          <w:b/>
          <w:kern w:val="0"/>
          <w:szCs w:val="21"/>
        </w:rPr>
      </w:pPr>
      <w:r>
        <w:rPr>
          <w:rFonts w:ascii="宋体" w:hAnsi="宋体" w:hint="eastAsia"/>
          <w:b/>
          <w:kern w:val="0"/>
          <w:szCs w:val="21"/>
        </w:rPr>
        <w:t>目标要求</w:t>
      </w:r>
    </w:p>
    <w:p w:rsidR="003717A0" w:rsidRPr="00913B56" w:rsidRDefault="003717A0" w:rsidP="00913B56">
      <w:pPr>
        <w:pStyle w:val="12"/>
        <w:ind w:firstLine="420"/>
        <w:rPr>
          <w:rFonts w:ascii="宋体" w:hAnsi="宋体"/>
          <w:kern w:val="0"/>
          <w:szCs w:val="21"/>
        </w:rPr>
      </w:pPr>
      <w:r>
        <w:rPr>
          <w:rFonts w:ascii="宋体" w:hAnsi="宋体"/>
          <w:kern w:val="0"/>
          <w:szCs w:val="21"/>
        </w:rPr>
        <w:t>1</w:t>
      </w:r>
      <w:r>
        <w:rPr>
          <w:rFonts w:ascii="宋体" w:hAnsi="宋体" w:hint="eastAsia"/>
          <w:kern w:val="0"/>
          <w:szCs w:val="21"/>
        </w:rPr>
        <w:t>、掌握过敏性紫癜的临床表现、分型和治疗原则。</w:t>
      </w:r>
    </w:p>
    <w:p w:rsidR="003717A0" w:rsidRPr="00913B56" w:rsidRDefault="003717A0" w:rsidP="00913B56">
      <w:pPr>
        <w:pStyle w:val="12"/>
        <w:ind w:firstLine="420"/>
        <w:rPr>
          <w:rFonts w:ascii="宋体" w:hAnsi="宋体"/>
          <w:kern w:val="0"/>
          <w:szCs w:val="21"/>
        </w:rPr>
      </w:pPr>
      <w:r>
        <w:rPr>
          <w:rFonts w:ascii="宋体" w:hAnsi="宋体"/>
          <w:kern w:val="0"/>
          <w:szCs w:val="21"/>
        </w:rPr>
        <w:t>2</w:t>
      </w:r>
      <w:r>
        <w:rPr>
          <w:rFonts w:ascii="宋体" w:hAnsi="宋体" w:hint="eastAsia"/>
          <w:kern w:val="0"/>
          <w:szCs w:val="21"/>
        </w:rPr>
        <w:t>、了解本病的病因、实验室检查。</w:t>
      </w:r>
    </w:p>
    <w:p w:rsidR="003717A0" w:rsidRDefault="003717A0">
      <w:pPr>
        <w:pStyle w:val="12"/>
        <w:rPr>
          <w:rFonts w:ascii="宋体"/>
          <w:kern w:val="0"/>
          <w:szCs w:val="21"/>
        </w:rPr>
      </w:pPr>
    </w:p>
    <w:p w:rsidR="003717A0" w:rsidRDefault="003717A0">
      <w:pPr>
        <w:pStyle w:val="12"/>
        <w:numPr>
          <w:ilvl w:val="0"/>
          <w:numId w:val="466"/>
        </w:numPr>
        <w:rPr>
          <w:rFonts w:ascii="宋体"/>
          <w:b/>
          <w:kern w:val="0"/>
          <w:szCs w:val="21"/>
        </w:rPr>
      </w:pPr>
      <w:r>
        <w:rPr>
          <w:rFonts w:ascii="宋体" w:hAnsi="宋体" w:hint="eastAsia"/>
          <w:b/>
          <w:kern w:val="0"/>
          <w:szCs w:val="21"/>
        </w:rPr>
        <w:t>过敏性紫癜</w:t>
      </w:r>
    </w:p>
    <w:p w:rsidR="003717A0" w:rsidRDefault="003717A0">
      <w:pPr>
        <w:pStyle w:val="12"/>
        <w:numPr>
          <w:ilvl w:val="0"/>
          <w:numId w:val="466"/>
        </w:numPr>
        <w:rPr>
          <w:rFonts w:ascii="宋体"/>
          <w:b/>
          <w:kern w:val="0"/>
          <w:szCs w:val="21"/>
        </w:rPr>
      </w:pPr>
      <w:r>
        <w:rPr>
          <w:rFonts w:ascii="宋体" w:hAnsi="宋体" w:hint="eastAsia"/>
          <w:b/>
          <w:kern w:val="0"/>
          <w:szCs w:val="21"/>
        </w:rPr>
        <w:t>特发性血小板减少性紫癜</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、病因和发病机理病因未明。发病机理：（</w:t>
      </w:r>
      <w:r>
        <w:rPr>
          <w:rFonts w:ascii="宋体" w:hAnsi="宋体"/>
          <w:kern w:val="0"/>
          <w:szCs w:val="21"/>
        </w:rPr>
        <w:t>1</w:t>
      </w:r>
      <w:r>
        <w:rPr>
          <w:rFonts w:ascii="宋体" w:hAnsi="宋体" w:hint="eastAsia"/>
          <w:kern w:val="0"/>
          <w:szCs w:val="21"/>
        </w:rPr>
        <w:t>）感染；（</w:t>
      </w:r>
      <w:r>
        <w:rPr>
          <w:rFonts w:ascii="宋体" w:hAnsi="宋体"/>
          <w:kern w:val="0"/>
          <w:szCs w:val="21"/>
        </w:rPr>
        <w:t>2</w:t>
      </w:r>
      <w:r>
        <w:rPr>
          <w:rFonts w:ascii="宋体" w:hAnsi="宋体" w:hint="eastAsia"/>
          <w:kern w:val="0"/>
          <w:szCs w:val="21"/>
        </w:rPr>
        <w:t>）免疫因素；（</w:t>
      </w:r>
      <w:r>
        <w:rPr>
          <w:rFonts w:ascii="宋体" w:hAnsi="宋体"/>
          <w:kern w:val="0"/>
          <w:szCs w:val="21"/>
        </w:rPr>
        <w:t>3</w:t>
      </w:r>
      <w:r>
        <w:rPr>
          <w:rFonts w:ascii="宋体" w:hAnsi="宋体" w:hint="eastAsia"/>
          <w:kern w:val="0"/>
          <w:szCs w:val="21"/>
        </w:rPr>
        <w:t>）肝、脾的作用；（</w:t>
      </w:r>
      <w:r>
        <w:rPr>
          <w:rFonts w:ascii="宋体" w:hAnsi="宋体"/>
          <w:kern w:val="0"/>
          <w:szCs w:val="21"/>
        </w:rPr>
        <w:t>4</w:t>
      </w:r>
      <w:r>
        <w:rPr>
          <w:rFonts w:ascii="宋体" w:hAnsi="宋体" w:hint="eastAsia"/>
          <w:kern w:val="0"/>
          <w:szCs w:val="21"/>
        </w:rPr>
        <w:t>）遗传因素；（</w:t>
      </w:r>
      <w:r>
        <w:rPr>
          <w:rFonts w:ascii="宋体" w:hAnsi="宋体"/>
          <w:kern w:val="0"/>
          <w:szCs w:val="21"/>
        </w:rPr>
        <w:t>5</w:t>
      </w:r>
      <w:r>
        <w:rPr>
          <w:rFonts w:ascii="宋体" w:hAnsi="宋体" w:hint="eastAsia"/>
          <w:kern w:val="0"/>
          <w:szCs w:val="21"/>
        </w:rPr>
        <w:t>）其他</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、临床表现急性型，慢性型的表现，二者有何不同。</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、实验室检查血象、骨髓象、</w:t>
      </w:r>
      <w:r>
        <w:rPr>
          <w:rFonts w:ascii="宋体" w:hAnsi="宋体"/>
          <w:kern w:val="0"/>
          <w:szCs w:val="21"/>
        </w:rPr>
        <w:t>PAlg</w:t>
      </w:r>
      <w:r>
        <w:rPr>
          <w:rFonts w:ascii="宋体" w:hAnsi="宋体" w:hint="eastAsia"/>
          <w:kern w:val="0"/>
          <w:szCs w:val="21"/>
        </w:rPr>
        <w:t>和</w:t>
      </w:r>
      <w:r>
        <w:rPr>
          <w:rFonts w:ascii="宋体" w:hAnsi="宋体"/>
          <w:kern w:val="0"/>
          <w:szCs w:val="21"/>
        </w:rPr>
        <w:t>PAC3</w:t>
      </w:r>
      <w:r>
        <w:rPr>
          <w:rFonts w:ascii="宋体" w:hAnsi="宋体" w:hint="eastAsia"/>
          <w:kern w:val="0"/>
          <w:szCs w:val="21"/>
        </w:rPr>
        <w:t>、血小板生存时间。</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、诊断与鉴别诊断（</w:t>
      </w:r>
      <w:r>
        <w:rPr>
          <w:rFonts w:ascii="宋体" w:hAnsi="宋体"/>
          <w:kern w:val="0"/>
          <w:szCs w:val="21"/>
        </w:rPr>
        <w:t>1</w:t>
      </w:r>
      <w:r>
        <w:rPr>
          <w:rFonts w:ascii="宋体" w:hAnsi="宋体" w:hint="eastAsia"/>
          <w:kern w:val="0"/>
          <w:szCs w:val="21"/>
        </w:rPr>
        <w:t>）诊断要点。（</w:t>
      </w:r>
      <w:r>
        <w:rPr>
          <w:rFonts w:ascii="宋体" w:hAnsi="宋体"/>
          <w:kern w:val="0"/>
          <w:szCs w:val="21"/>
        </w:rPr>
        <w:t>2</w:t>
      </w:r>
      <w:r>
        <w:rPr>
          <w:rFonts w:ascii="宋体" w:hAnsi="宋体" w:hint="eastAsia"/>
          <w:kern w:val="0"/>
          <w:szCs w:val="21"/>
        </w:rPr>
        <w:t>）鉴别诊断：与继发性血小板减少性症鉴别。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）糖皮质激素：剂量、治疗时间、疗效。</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）脾切除：</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）免疫抑制剂：</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5</w:t>
      </w:r>
      <w:r>
        <w:rPr>
          <w:rFonts w:ascii="宋体" w:hAnsi="宋体" w:hint="eastAsia"/>
          <w:kern w:val="0"/>
          <w:szCs w:val="21"/>
        </w:rPr>
        <w:t>）其它：</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6</w:t>
      </w:r>
      <w:r>
        <w:rPr>
          <w:rFonts w:ascii="宋体" w:hAnsi="宋体" w:hint="eastAsia"/>
          <w:kern w:val="0"/>
          <w:szCs w:val="21"/>
        </w:rPr>
        <w:t>）急症处理：适应症、方法、疗效。</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示范典型病例，结合病例讨论病因、诊断、鉴别诊断和治疗方法。。</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、重症</w:t>
      </w:r>
      <w:r>
        <w:rPr>
          <w:rFonts w:ascii="宋体" w:hAnsi="宋体"/>
          <w:kern w:val="0"/>
          <w:szCs w:val="21"/>
        </w:rPr>
        <w:t>ITP</w:t>
      </w:r>
      <w:r>
        <w:rPr>
          <w:rFonts w:ascii="宋体" w:hAnsi="宋体" w:hint="eastAsia"/>
          <w:kern w:val="0"/>
          <w:szCs w:val="21"/>
        </w:rPr>
        <w:t>的治疗原则。</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、掌握本病的常见病因、临床表现、实验室检查、诊断、鉴别诊断和治疗。</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、熟习本病治疗原则。</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、了解发病机制。</w:t>
      </w:r>
    </w:p>
    <w:p w:rsidR="003717A0" w:rsidRDefault="003717A0">
      <w:pPr>
        <w:pStyle w:val="12"/>
        <w:ind w:firstLineChars="200" w:firstLine="420"/>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第三节血栓性血小板减少性紫癜</w:t>
      </w:r>
    </w:p>
    <w:p w:rsidR="003717A0" w:rsidRDefault="003717A0">
      <w:pPr>
        <w:pStyle w:val="12"/>
        <w:rPr>
          <w:rFonts w:ascii="宋体"/>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、概念、病因及发病机制感染、免疫、肝脾、遗传。</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、临床表现以出血为主，急性型和慢性型的不同表现。</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、实验室检查血小板计数减少、相关抗体阳性，骨髓象表现。</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w:t>
      </w:r>
    </w:p>
    <w:p w:rsidR="003717A0" w:rsidRDefault="003717A0">
      <w:pPr>
        <w:pStyle w:val="12"/>
        <w:rPr>
          <w:rFonts w:ascii="宋体"/>
          <w:kern w:val="0"/>
          <w:szCs w:val="21"/>
        </w:rPr>
      </w:pPr>
      <w:r>
        <w:rPr>
          <w:rFonts w:ascii="宋体" w:hAnsi="宋体" w:hint="eastAsia"/>
          <w:kern w:val="0"/>
          <w:szCs w:val="21"/>
        </w:rPr>
        <w:t>分急性型与慢性型。与过敏性紫癜、再障、</w:t>
      </w:r>
      <w:r>
        <w:rPr>
          <w:rFonts w:ascii="宋体" w:hAnsi="宋体"/>
          <w:kern w:val="0"/>
          <w:szCs w:val="21"/>
        </w:rPr>
        <w:t>MDS</w:t>
      </w:r>
      <w:r>
        <w:rPr>
          <w:rFonts w:ascii="宋体" w:hAnsi="宋体" w:hint="eastAsia"/>
          <w:kern w:val="0"/>
          <w:szCs w:val="21"/>
        </w:rPr>
        <w:t>、</w:t>
      </w:r>
      <w:r>
        <w:rPr>
          <w:rFonts w:ascii="宋体" w:hAnsi="宋体"/>
          <w:kern w:val="0"/>
          <w:szCs w:val="21"/>
        </w:rPr>
        <w:t>DIC</w:t>
      </w:r>
      <w:r>
        <w:rPr>
          <w:rFonts w:ascii="宋体" w:hAnsi="宋体" w:hint="eastAsia"/>
          <w:kern w:val="0"/>
          <w:szCs w:val="21"/>
        </w:rPr>
        <w:t>、脾亢、血栓性血小板减少性紫癜鉴别。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、治疗首选肾上腺皮质激素，脾切除，免疫抑制剂，联合化疗。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、掌握特发性血小板减少性紫癜的临床表现、实验室检查及治疗。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、了解本病病因和发病机制。</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第十六章凝血障碍性疾病（自学）</w:t>
      </w:r>
    </w:p>
    <w:p w:rsidR="003717A0" w:rsidRDefault="003717A0">
      <w:pPr>
        <w:pStyle w:val="12"/>
        <w:numPr>
          <w:ilvl w:val="0"/>
          <w:numId w:val="467"/>
        </w:numPr>
        <w:rPr>
          <w:rFonts w:ascii="宋体"/>
          <w:b/>
          <w:kern w:val="0"/>
          <w:szCs w:val="21"/>
        </w:rPr>
      </w:pPr>
      <w:r>
        <w:rPr>
          <w:rFonts w:ascii="宋体" w:hAnsi="宋体" w:hint="eastAsia"/>
          <w:b/>
          <w:kern w:val="0"/>
          <w:szCs w:val="21"/>
        </w:rPr>
        <w:t>血友病</w:t>
      </w:r>
    </w:p>
    <w:p w:rsidR="003717A0" w:rsidRDefault="003717A0">
      <w:pPr>
        <w:pStyle w:val="12"/>
        <w:numPr>
          <w:ilvl w:val="0"/>
          <w:numId w:val="467"/>
        </w:numPr>
        <w:rPr>
          <w:rFonts w:ascii="宋体"/>
          <w:b/>
          <w:kern w:val="0"/>
          <w:szCs w:val="21"/>
        </w:rPr>
      </w:pPr>
      <w:r>
        <w:rPr>
          <w:rFonts w:ascii="宋体" w:hAnsi="宋体" w:hint="eastAsia"/>
          <w:b/>
          <w:kern w:val="0"/>
          <w:szCs w:val="21"/>
        </w:rPr>
        <w:lastRenderedPageBreak/>
        <w:t>血管性血友病</w:t>
      </w:r>
    </w:p>
    <w:p w:rsidR="003717A0" w:rsidRDefault="003717A0">
      <w:pPr>
        <w:pStyle w:val="12"/>
        <w:ind w:left="765"/>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第十七章弥散性血管内凝血（自学）</w:t>
      </w:r>
    </w:p>
    <w:p w:rsidR="003717A0" w:rsidRDefault="003717A0">
      <w:pPr>
        <w:pStyle w:val="12"/>
        <w:rPr>
          <w:rFonts w:ascii="宋体"/>
          <w:b/>
          <w:kern w:val="0"/>
          <w:szCs w:val="21"/>
        </w:rPr>
      </w:pPr>
      <w:r>
        <w:rPr>
          <w:rFonts w:ascii="宋体" w:hAnsi="宋体" w:hint="eastAsia"/>
          <w:b/>
          <w:kern w:val="0"/>
          <w:szCs w:val="21"/>
        </w:rPr>
        <w:t>教学内容</w:t>
      </w:r>
    </w:p>
    <w:p w:rsidR="003717A0" w:rsidRPr="003000C6" w:rsidRDefault="003717A0" w:rsidP="003000C6">
      <w:pPr>
        <w:pStyle w:val="12"/>
        <w:rPr>
          <w:rFonts w:ascii="宋体" w:hAnsi="宋体"/>
          <w:kern w:val="0"/>
          <w:szCs w:val="21"/>
        </w:rPr>
      </w:pPr>
      <w:r>
        <w:rPr>
          <w:rFonts w:ascii="宋体" w:hAnsi="宋体"/>
          <w:kern w:val="0"/>
          <w:szCs w:val="21"/>
        </w:rPr>
        <w:t>1</w:t>
      </w:r>
      <w:r>
        <w:rPr>
          <w:rFonts w:ascii="宋体" w:hAnsi="宋体" w:hint="eastAsia"/>
          <w:kern w:val="0"/>
          <w:szCs w:val="21"/>
        </w:rPr>
        <w:t>、概述</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、病因感染性疾病、恶性肿瘤、病理产科、外科手术及创伤、全身各系统疾病在</w:t>
      </w:r>
      <w:r>
        <w:rPr>
          <w:rFonts w:ascii="宋体" w:hAnsi="宋体"/>
          <w:kern w:val="0"/>
          <w:szCs w:val="21"/>
        </w:rPr>
        <w:t>DIC</w:t>
      </w:r>
      <w:r>
        <w:rPr>
          <w:rFonts w:ascii="宋体" w:hAnsi="宋体" w:hint="eastAsia"/>
          <w:kern w:val="0"/>
          <w:szCs w:val="21"/>
        </w:rPr>
        <w:t>发病上的作用。</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、发病机理组织损伤，激活外源性凝血途径；血管内皮损伤，启动内源性凝血途径；血小板活化促进凝血反应；纤溶酶激活致凝血下纤溶进一步失调。</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、病理及病理生理微血栓形成，凝血功能异常，微循环障碍。</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、临床表现可因原发病、</w:t>
      </w:r>
      <w:r>
        <w:rPr>
          <w:rFonts w:ascii="宋体" w:hAnsi="宋体"/>
          <w:kern w:val="0"/>
          <w:szCs w:val="21"/>
        </w:rPr>
        <w:t>DIC</w:t>
      </w:r>
      <w:r>
        <w:rPr>
          <w:rFonts w:ascii="宋体" w:hAnsi="宋体" w:hint="eastAsia"/>
          <w:kern w:val="0"/>
          <w:szCs w:val="21"/>
        </w:rPr>
        <w:t>类型、分期不同而有较大差异。出血倾向、休克或微循环衰竭、微血管栓塞、微血管病性溶血以及原发病的临床表现。</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、实验室检查血小板计数，血浆纤维蛋白原含量，</w:t>
      </w:r>
      <w:r>
        <w:rPr>
          <w:rFonts w:ascii="宋体" w:hAnsi="宋体"/>
          <w:kern w:val="0"/>
          <w:szCs w:val="21"/>
        </w:rPr>
        <w:t>3P</w:t>
      </w:r>
      <w:r>
        <w:rPr>
          <w:rFonts w:ascii="宋体" w:hAnsi="宋体" w:hint="eastAsia"/>
          <w:kern w:val="0"/>
          <w:szCs w:val="21"/>
        </w:rPr>
        <w:t>试验或血浆</w:t>
      </w:r>
      <w:r>
        <w:rPr>
          <w:rFonts w:ascii="宋体" w:hAnsi="宋体"/>
          <w:kern w:val="0"/>
          <w:szCs w:val="21"/>
        </w:rPr>
        <w:t>FDP</w:t>
      </w:r>
      <w:r>
        <w:rPr>
          <w:rFonts w:ascii="宋体" w:hAnsi="宋体" w:hint="eastAsia"/>
          <w:kern w:val="0"/>
          <w:szCs w:val="21"/>
        </w:rPr>
        <w:t>或</w:t>
      </w:r>
      <w:r>
        <w:rPr>
          <w:rFonts w:ascii="宋体" w:hAnsi="宋体"/>
          <w:kern w:val="0"/>
          <w:szCs w:val="21"/>
        </w:rPr>
        <w:t>D</w:t>
      </w:r>
      <w:r>
        <w:rPr>
          <w:rFonts w:ascii="宋体" w:hAnsi="宋体" w:hint="eastAsia"/>
          <w:kern w:val="0"/>
          <w:szCs w:val="21"/>
        </w:rPr>
        <w:t>二聚体测定，血浆凝血酶原时间，纤溶酶原含量及活性测定，</w:t>
      </w:r>
      <w:r>
        <w:rPr>
          <w:rFonts w:ascii="宋体" w:hAnsi="宋体"/>
          <w:kern w:val="0"/>
          <w:szCs w:val="21"/>
        </w:rPr>
        <w:t>AT—</w:t>
      </w:r>
      <w:r>
        <w:rPr>
          <w:rFonts w:ascii="宋体" w:hAnsi="宋体" w:hint="eastAsia"/>
          <w:kern w:val="0"/>
          <w:szCs w:val="21"/>
        </w:rPr>
        <w:t>Ⅲ含量及活性测定，血浆</w:t>
      </w:r>
      <w:r>
        <w:rPr>
          <w:rFonts w:ascii="宋体" w:hAnsi="宋体"/>
          <w:kern w:val="0"/>
          <w:szCs w:val="21"/>
        </w:rPr>
        <w:t>F</w:t>
      </w:r>
      <w:r>
        <w:rPr>
          <w:rFonts w:ascii="宋体" w:hAnsi="宋体" w:hint="eastAsia"/>
          <w:kern w:val="0"/>
          <w:szCs w:val="21"/>
        </w:rPr>
        <w:t>Ⅷ：</w:t>
      </w:r>
      <w:r>
        <w:rPr>
          <w:rFonts w:ascii="宋体" w:hAnsi="宋体"/>
          <w:kern w:val="0"/>
          <w:szCs w:val="21"/>
        </w:rPr>
        <w:t>C</w:t>
      </w:r>
      <w:r>
        <w:rPr>
          <w:rFonts w:ascii="宋体" w:hAnsi="宋体" w:hint="eastAsia"/>
          <w:kern w:val="0"/>
          <w:szCs w:val="21"/>
        </w:rPr>
        <w:t>活性，末梢血破碎红细胞的比例等。</w:t>
      </w:r>
    </w:p>
    <w:p w:rsidR="003717A0" w:rsidRDefault="003717A0">
      <w:pPr>
        <w:pStyle w:val="12"/>
        <w:rPr>
          <w:rFonts w:ascii="宋体"/>
          <w:kern w:val="0"/>
          <w:szCs w:val="21"/>
        </w:rPr>
      </w:pPr>
      <w:r>
        <w:rPr>
          <w:rFonts w:ascii="宋体" w:hAnsi="宋体"/>
          <w:kern w:val="0"/>
          <w:szCs w:val="21"/>
        </w:rPr>
        <w:t>7</w:t>
      </w:r>
      <w:r>
        <w:rPr>
          <w:rFonts w:ascii="宋体" w:hAnsi="宋体" w:hint="eastAsia"/>
          <w:kern w:val="0"/>
          <w:szCs w:val="21"/>
        </w:rPr>
        <w:t>、诊断诊断标准：</w:t>
      </w:r>
      <w:r>
        <w:rPr>
          <w:rFonts w:ascii="宋体" w:hAnsi="宋体"/>
          <w:kern w:val="0"/>
          <w:szCs w:val="21"/>
        </w:rPr>
        <w:t>(1)</w:t>
      </w:r>
      <w:r>
        <w:rPr>
          <w:rFonts w:ascii="宋体" w:hAnsi="宋体" w:hint="eastAsia"/>
          <w:kern w:val="0"/>
          <w:szCs w:val="21"/>
        </w:rPr>
        <w:t>临床表现方面；</w:t>
      </w:r>
      <w:r>
        <w:rPr>
          <w:rFonts w:ascii="宋体" w:hAnsi="宋体"/>
          <w:kern w:val="0"/>
          <w:szCs w:val="21"/>
        </w:rPr>
        <w:t>(2)</w:t>
      </w:r>
      <w:r>
        <w:rPr>
          <w:rFonts w:ascii="宋体" w:hAnsi="宋体" w:hint="eastAsia"/>
          <w:kern w:val="0"/>
          <w:szCs w:val="21"/>
        </w:rPr>
        <w:t>实验室检查指标。</w:t>
      </w:r>
    </w:p>
    <w:p w:rsidR="003717A0" w:rsidRDefault="003717A0">
      <w:pPr>
        <w:pStyle w:val="12"/>
        <w:rPr>
          <w:rFonts w:ascii="宋体"/>
          <w:kern w:val="0"/>
          <w:szCs w:val="21"/>
        </w:rPr>
      </w:pPr>
      <w:r>
        <w:rPr>
          <w:rFonts w:ascii="宋体" w:hAnsi="宋体"/>
          <w:kern w:val="0"/>
          <w:szCs w:val="21"/>
        </w:rPr>
        <w:t>8</w:t>
      </w:r>
      <w:r>
        <w:rPr>
          <w:rFonts w:ascii="宋体" w:hAnsi="宋体" w:hint="eastAsia"/>
          <w:kern w:val="0"/>
          <w:szCs w:val="21"/>
        </w:rPr>
        <w:t>、鉴别诊断重症肝炎，血栓性血小板减少性紫癜</w:t>
      </w:r>
      <w:r>
        <w:rPr>
          <w:rFonts w:ascii="宋体" w:hAnsi="宋体"/>
          <w:kern w:val="0"/>
          <w:szCs w:val="21"/>
        </w:rPr>
        <w:t>(TTP)</w:t>
      </w:r>
      <w:r>
        <w:rPr>
          <w:rFonts w:ascii="宋体" w:hAnsi="宋体" w:hint="eastAsia"/>
          <w:kern w:val="0"/>
          <w:szCs w:val="21"/>
        </w:rPr>
        <w:t>。</w:t>
      </w:r>
    </w:p>
    <w:p w:rsidR="003717A0" w:rsidRPr="003000C6" w:rsidRDefault="003717A0" w:rsidP="003000C6">
      <w:pPr>
        <w:pStyle w:val="12"/>
        <w:rPr>
          <w:rFonts w:ascii="宋体" w:hAnsi="宋体"/>
          <w:kern w:val="0"/>
          <w:szCs w:val="21"/>
        </w:rPr>
      </w:pPr>
      <w:r>
        <w:rPr>
          <w:rFonts w:ascii="宋体" w:hAnsi="宋体"/>
          <w:kern w:val="0"/>
          <w:szCs w:val="21"/>
        </w:rPr>
        <w:t>9</w:t>
      </w:r>
      <w:r>
        <w:rPr>
          <w:rFonts w:ascii="宋体" w:hAnsi="宋体" w:hint="eastAsia"/>
          <w:kern w:val="0"/>
          <w:szCs w:val="21"/>
        </w:rPr>
        <w:t>、治疗</w:t>
      </w:r>
    </w:p>
    <w:p w:rsidR="003717A0" w:rsidRDefault="003717A0">
      <w:pPr>
        <w:pStyle w:val="12"/>
        <w:ind w:firstLineChars="250" w:firstLine="525"/>
        <w:rPr>
          <w:rFonts w:ascii="宋体"/>
          <w:kern w:val="0"/>
          <w:szCs w:val="21"/>
        </w:rPr>
      </w:pPr>
      <w:r>
        <w:rPr>
          <w:rFonts w:ascii="宋体" w:hAnsi="宋体"/>
          <w:kern w:val="0"/>
          <w:szCs w:val="21"/>
        </w:rPr>
        <w:t>(1)</w:t>
      </w:r>
      <w:r>
        <w:rPr>
          <w:rFonts w:ascii="宋体" w:hAnsi="宋体" w:hint="eastAsia"/>
          <w:kern w:val="0"/>
          <w:szCs w:val="21"/>
        </w:rPr>
        <w:t>基础疾病的治疗及诱因的消除。</w:t>
      </w:r>
    </w:p>
    <w:p w:rsidR="003717A0" w:rsidRDefault="003717A0">
      <w:pPr>
        <w:pStyle w:val="12"/>
        <w:ind w:firstLineChars="250" w:firstLine="525"/>
        <w:rPr>
          <w:rFonts w:ascii="宋体"/>
          <w:kern w:val="0"/>
          <w:szCs w:val="21"/>
        </w:rPr>
      </w:pPr>
      <w:r>
        <w:rPr>
          <w:rFonts w:ascii="宋体" w:hAnsi="宋体"/>
          <w:kern w:val="0"/>
          <w:szCs w:val="21"/>
        </w:rPr>
        <w:t>(2)</w:t>
      </w:r>
      <w:r>
        <w:rPr>
          <w:rFonts w:ascii="宋体" w:hAnsi="宋体" w:hint="eastAsia"/>
          <w:kern w:val="0"/>
          <w:szCs w:val="21"/>
        </w:rPr>
        <w:t>抗凝治疗。</w:t>
      </w:r>
      <w:r>
        <w:rPr>
          <w:rFonts w:ascii="宋体" w:hAnsi="宋体"/>
          <w:kern w:val="0"/>
          <w:szCs w:val="21"/>
        </w:rPr>
        <w:t>1)</w:t>
      </w:r>
      <w:r>
        <w:rPr>
          <w:rFonts w:ascii="宋体" w:hAnsi="宋体" w:hint="eastAsia"/>
          <w:kern w:val="0"/>
          <w:szCs w:val="21"/>
        </w:rPr>
        <w:t>肝素治疗：肝素的用法，肝素监护，肝素过量的处理。</w:t>
      </w:r>
      <w:r>
        <w:rPr>
          <w:rFonts w:ascii="宋体" w:hAnsi="宋体"/>
          <w:kern w:val="0"/>
          <w:szCs w:val="21"/>
        </w:rPr>
        <w:t>2)</w:t>
      </w:r>
      <w:r>
        <w:rPr>
          <w:rFonts w:ascii="宋体" w:hAnsi="宋体" w:hint="eastAsia"/>
          <w:kern w:val="0"/>
          <w:szCs w:val="21"/>
        </w:rPr>
        <w:t>其它抗凝及抗血小板药物。</w:t>
      </w:r>
    </w:p>
    <w:p w:rsidR="003717A0" w:rsidRPr="003000C6" w:rsidRDefault="003717A0" w:rsidP="003000C6">
      <w:pPr>
        <w:pStyle w:val="12"/>
        <w:ind w:firstLineChars="250" w:firstLine="525"/>
        <w:rPr>
          <w:rFonts w:ascii="宋体" w:hAnsi="宋体"/>
          <w:kern w:val="0"/>
          <w:szCs w:val="21"/>
        </w:rPr>
      </w:pPr>
      <w:r>
        <w:rPr>
          <w:rFonts w:ascii="宋体" w:hAnsi="宋体"/>
          <w:kern w:val="0"/>
          <w:szCs w:val="21"/>
        </w:rPr>
        <w:t>(3)</w:t>
      </w:r>
      <w:r>
        <w:rPr>
          <w:rFonts w:ascii="宋体" w:hAnsi="宋体" w:hint="eastAsia"/>
          <w:kern w:val="0"/>
          <w:szCs w:val="21"/>
        </w:rPr>
        <w:t>补充血小板及凝血因子：新鲜全血，新鲜血浆，血小板悬液，纤维蛋白原，</w:t>
      </w:r>
      <w:r>
        <w:rPr>
          <w:rFonts w:ascii="宋体" w:hAnsi="宋体"/>
          <w:kern w:val="0"/>
          <w:szCs w:val="21"/>
        </w:rPr>
        <w:t>FW</w:t>
      </w:r>
      <w:r>
        <w:rPr>
          <w:rFonts w:ascii="宋体" w:hAnsi="宋体" w:hint="eastAsia"/>
          <w:kern w:val="0"/>
          <w:szCs w:val="21"/>
        </w:rPr>
        <w:t>及凝血酶原复合物等。</w:t>
      </w:r>
    </w:p>
    <w:p w:rsidR="003717A0" w:rsidRPr="003000C6" w:rsidRDefault="003717A0" w:rsidP="003000C6">
      <w:pPr>
        <w:pStyle w:val="12"/>
        <w:ind w:firstLineChars="250" w:firstLine="525"/>
        <w:rPr>
          <w:rFonts w:ascii="宋体" w:hAnsi="宋体"/>
          <w:kern w:val="0"/>
          <w:szCs w:val="21"/>
        </w:rPr>
      </w:pPr>
      <w:r>
        <w:rPr>
          <w:rFonts w:ascii="宋体" w:hAnsi="宋体"/>
          <w:kern w:val="0"/>
          <w:szCs w:val="21"/>
        </w:rPr>
        <w:t>(4)</w:t>
      </w:r>
      <w:r>
        <w:rPr>
          <w:rFonts w:ascii="宋体" w:hAnsi="宋体" w:hint="eastAsia"/>
          <w:kern w:val="0"/>
          <w:szCs w:val="21"/>
        </w:rPr>
        <w:t>纤溶抑制药物。</w:t>
      </w:r>
    </w:p>
    <w:p w:rsidR="003717A0" w:rsidRDefault="003717A0">
      <w:pPr>
        <w:pStyle w:val="12"/>
        <w:ind w:firstLine="420"/>
        <w:rPr>
          <w:rFonts w:ascii="宋体"/>
          <w:kern w:val="0"/>
          <w:szCs w:val="21"/>
        </w:rPr>
      </w:pPr>
      <w:r>
        <w:rPr>
          <w:rFonts w:ascii="宋体" w:hAnsi="宋体"/>
          <w:kern w:val="0"/>
          <w:szCs w:val="21"/>
        </w:rPr>
        <w:t>(5)</w:t>
      </w:r>
      <w:r>
        <w:rPr>
          <w:rFonts w:ascii="宋体" w:hAnsi="宋体" w:hint="eastAsia"/>
          <w:kern w:val="0"/>
          <w:szCs w:val="21"/>
        </w:rPr>
        <w:t>其它治疗。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420"/>
        <w:rPr>
          <w:rFonts w:ascii="宋体"/>
          <w:kern w:val="0"/>
          <w:szCs w:val="21"/>
        </w:rPr>
      </w:pPr>
      <w:r>
        <w:rPr>
          <w:rFonts w:ascii="宋体" w:hAnsi="宋体" w:hint="eastAsia"/>
          <w:szCs w:val="21"/>
        </w:rPr>
        <w:t>临床见习示范典型病例，结合病例讨论病因、诊断和治疗原则。</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w:t>
      </w:r>
      <w:r>
        <w:rPr>
          <w:rFonts w:ascii="宋体" w:hAnsi="宋体"/>
          <w:kern w:val="0"/>
          <w:szCs w:val="21"/>
        </w:rPr>
        <w:t>DIC</w:t>
      </w:r>
      <w:r>
        <w:rPr>
          <w:rFonts w:ascii="宋体" w:hAnsi="宋体" w:hint="eastAsia"/>
          <w:kern w:val="0"/>
          <w:szCs w:val="21"/>
        </w:rPr>
        <w:t>的定义、常见病因、、临床特点、</w:t>
      </w:r>
      <w:r>
        <w:rPr>
          <w:rFonts w:ascii="宋体" w:hAnsi="宋体"/>
          <w:kern w:val="0"/>
          <w:szCs w:val="21"/>
        </w:rPr>
        <w:t>DIC</w:t>
      </w:r>
      <w:r>
        <w:rPr>
          <w:rFonts w:ascii="宋体" w:hAnsi="宋体" w:hint="eastAsia"/>
          <w:kern w:val="0"/>
          <w:szCs w:val="21"/>
        </w:rPr>
        <w:t>的诊断标准，实验室检查对</w:t>
      </w:r>
      <w:r>
        <w:rPr>
          <w:rFonts w:ascii="宋体" w:hAnsi="宋体"/>
          <w:kern w:val="0"/>
          <w:szCs w:val="21"/>
        </w:rPr>
        <w:t>DIC</w:t>
      </w:r>
      <w:r>
        <w:rPr>
          <w:rFonts w:ascii="宋体" w:hAnsi="宋体" w:hint="eastAsia"/>
          <w:kern w:val="0"/>
          <w:szCs w:val="21"/>
        </w:rPr>
        <w:t>诊断的意义和价值。</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w:t>
      </w:r>
      <w:r>
        <w:rPr>
          <w:rFonts w:ascii="宋体" w:hAnsi="宋体"/>
          <w:kern w:val="0"/>
          <w:szCs w:val="21"/>
        </w:rPr>
        <w:t>DIC</w:t>
      </w:r>
      <w:r>
        <w:rPr>
          <w:rFonts w:ascii="宋体" w:hAnsi="宋体" w:hint="eastAsia"/>
          <w:kern w:val="0"/>
          <w:szCs w:val="21"/>
        </w:rPr>
        <w:t>的治疗原则、、</w:t>
      </w:r>
      <w:r>
        <w:rPr>
          <w:rFonts w:ascii="宋体" w:hAnsi="宋体"/>
          <w:kern w:val="0"/>
          <w:szCs w:val="21"/>
        </w:rPr>
        <w:t>DIC</w:t>
      </w:r>
      <w:r>
        <w:rPr>
          <w:rFonts w:ascii="宋体" w:hAnsi="宋体" w:hint="eastAsia"/>
          <w:kern w:val="0"/>
          <w:szCs w:val="21"/>
        </w:rPr>
        <w:t>的鉴别诊断</w:t>
      </w:r>
    </w:p>
    <w:p w:rsidR="003717A0" w:rsidRDefault="003717A0">
      <w:pPr>
        <w:pStyle w:val="12"/>
        <w:ind w:firstLineChars="150" w:firstLine="315"/>
        <w:rPr>
          <w:rFonts w:ascii="宋体"/>
          <w:kern w:val="0"/>
          <w:szCs w:val="21"/>
        </w:rPr>
      </w:pPr>
      <w:r>
        <w:rPr>
          <w:rFonts w:ascii="宋体" w:hAnsi="宋体"/>
          <w:kern w:val="0"/>
          <w:szCs w:val="21"/>
        </w:rPr>
        <w:t>3</w:t>
      </w:r>
      <w:r>
        <w:rPr>
          <w:rFonts w:ascii="宋体" w:hAnsi="宋体" w:hint="eastAsia"/>
          <w:kern w:val="0"/>
          <w:szCs w:val="21"/>
        </w:rPr>
        <w:t>、了解不同疾病引发的</w:t>
      </w:r>
      <w:r>
        <w:rPr>
          <w:rFonts w:ascii="宋体" w:hAnsi="宋体"/>
          <w:kern w:val="0"/>
          <w:szCs w:val="21"/>
        </w:rPr>
        <w:t>DIC</w:t>
      </w:r>
      <w:r>
        <w:rPr>
          <w:rFonts w:ascii="宋体" w:hAnsi="宋体" w:hint="eastAsia"/>
          <w:kern w:val="0"/>
          <w:szCs w:val="21"/>
        </w:rPr>
        <w:t>诊断和治疗的特点。</w:t>
      </w:r>
      <w:r>
        <w:rPr>
          <w:rFonts w:ascii="宋体" w:hAnsi="宋体"/>
          <w:kern w:val="0"/>
          <w:szCs w:val="21"/>
        </w:rPr>
        <w:t>DIC</w:t>
      </w:r>
      <w:r>
        <w:rPr>
          <w:rFonts w:ascii="宋体" w:hAnsi="宋体" w:hint="eastAsia"/>
          <w:kern w:val="0"/>
          <w:szCs w:val="21"/>
        </w:rPr>
        <w:t>诊断和治疗的新进展</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第十八章血栓性疾病（自学）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第十九章输血及输血反应</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、输血种类：按血源分自体、异体输血，按血液成分分输全血、成分输血，按输血方式分加压、加氧、常规和置换输血。</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、输血程序申请输血、供血、核血、输血、输血后评估。</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、输血的适应证替代治疗，免疫治疗，置换治疗，移植治疗</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、输血的不良反应溶血性不良反应：急性、慢性，非溶血性不良反应：发热、过敏、传播疾病。</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、掌握成分输血，输血的适应证，输血程序和常见输血反应。</w:t>
      </w:r>
    </w:p>
    <w:p w:rsidR="003717A0" w:rsidRPr="003000C6" w:rsidRDefault="003717A0" w:rsidP="003000C6">
      <w:pPr>
        <w:pStyle w:val="12"/>
        <w:rPr>
          <w:rFonts w:ascii="宋体" w:hAnsi="宋体"/>
          <w:kern w:val="0"/>
          <w:szCs w:val="21"/>
        </w:rPr>
      </w:pPr>
      <w:r>
        <w:rPr>
          <w:rFonts w:ascii="宋体" w:hAnsi="宋体"/>
          <w:kern w:val="0"/>
          <w:szCs w:val="21"/>
        </w:rPr>
        <w:t>2</w:t>
      </w:r>
      <w:r>
        <w:rPr>
          <w:rFonts w:ascii="宋体" w:hAnsi="宋体" w:hint="eastAsia"/>
          <w:kern w:val="0"/>
          <w:szCs w:val="21"/>
        </w:rPr>
        <w:t>、了解血源分类和输血方式。</w:t>
      </w:r>
    </w:p>
    <w:p w:rsidR="003717A0" w:rsidRDefault="003717A0">
      <w:pPr>
        <w:pStyle w:val="12"/>
        <w:ind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第二十章造血干细胞移植</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、概念、造血干细胞移植分类异体、自体</w:t>
      </w:r>
      <w:r>
        <w:rPr>
          <w:rFonts w:ascii="宋体" w:hAnsi="宋体"/>
          <w:kern w:val="0"/>
          <w:szCs w:val="21"/>
        </w:rPr>
        <w:t>HSCT</w:t>
      </w:r>
      <w:r>
        <w:rPr>
          <w:rFonts w:ascii="宋体" w:hAnsi="宋体" w:hint="eastAsia"/>
          <w:kern w:val="0"/>
          <w:szCs w:val="21"/>
        </w:rPr>
        <w:t>，骨髓、外周和脐血移植。</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、人类白细胞抗原配型及供体选择</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、造血细胞的来源骨髓、外周、脐血。</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、预处理方案，植活证据及成分输血，主要适应证。</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、并发症化学治疗早期毒性、晚期并发症，移植后复发。</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、掌握造血干细胞的分类、来源与移植的主要适应证。</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、了解移植的配型、预处理方案、植活证据及并发症。</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第七篇内分泌系统和营养代谢性疾病</w:t>
      </w:r>
    </w:p>
    <w:p w:rsidR="003717A0" w:rsidRDefault="003717A0">
      <w:pPr>
        <w:pStyle w:val="12"/>
        <w:jc w:val="center"/>
        <w:rPr>
          <w:rFonts w:ascii="宋体"/>
          <w:b/>
          <w:kern w:val="0"/>
          <w:szCs w:val="21"/>
        </w:rPr>
      </w:pPr>
      <w:r>
        <w:rPr>
          <w:rFonts w:ascii="宋体" w:hAnsi="宋体" w:hint="eastAsia"/>
          <w:b/>
          <w:kern w:val="0"/>
          <w:szCs w:val="21"/>
        </w:rPr>
        <w:t>第一章总论（自学）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、概述：激素分类与生化</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、内分泌系统调节：神经系统和内分泌系统的相互调节，内分泌系统的反馈调节，免疫系统和内分泌功能。</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、诊断原则</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）完整诊断：功能诊断，病理诊断，病因诊断。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）诊断依据：临床表现，实验室检查，内分泌功能测定，影像学，放射性核素，病理检查。</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、防治原则功能亢进者应以手术、放疗和化疗等为主，功能减退者以激素替代治疗和病因治疗为主。</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、掌握内分泌系统疾病诊断原则和实验室资料。</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、了解本类疾病的概念和功能疾病的防治。</w:t>
      </w:r>
    </w:p>
    <w:p w:rsidR="003717A0" w:rsidRDefault="003717A0">
      <w:pPr>
        <w:pStyle w:val="12"/>
        <w:rPr>
          <w:rFonts w:ascii="宋体"/>
          <w:kern w:val="0"/>
          <w:szCs w:val="21"/>
        </w:rPr>
      </w:pPr>
    </w:p>
    <w:p w:rsidR="003717A0" w:rsidRDefault="003717A0">
      <w:pPr>
        <w:pStyle w:val="12"/>
        <w:numPr>
          <w:ilvl w:val="0"/>
          <w:numId w:val="468"/>
        </w:numPr>
        <w:rPr>
          <w:rFonts w:ascii="宋体"/>
          <w:b/>
          <w:kern w:val="0"/>
          <w:szCs w:val="21"/>
        </w:rPr>
      </w:pPr>
      <w:r>
        <w:rPr>
          <w:rFonts w:ascii="宋体" w:hAnsi="宋体" w:hint="eastAsia"/>
          <w:b/>
          <w:kern w:val="0"/>
          <w:szCs w:val="21"/>
        </w:rPr>
        <w:t>内分泌系统疾病</w:t>
      </w:r>
    </w:p>
    <w:p w:rsidR="003717A0" w:rsidRDefault="003717A0">
      <w:pPr>
        <w:pStyle w:val="12"/>
        <w:numPr>
          <w:ilvl w:val="0"/>
          <w:numId w:val="468"/>
        </w:numPr>
        <w:rPr>
          <w:rFonts w:ascii="宋体"/>
          <w:b/>
          <w:kern w:val="0"/>
          <w:szCs w:val="21"/>
        </w:rPr>
      </w:pPr>
      <w:r>
        <w:rPr>
          <w:rFonts w:ascii="宋体" w:hAnsi="宋体" w:hint="eastAsia"/>
          <w:b/>
          <w:kern w:val="0"/>
          <w:szCs w:val="21"/>
        </w:rPr>
        <w:t>营养、代谢性疾病</w:t>
      </w:r>
    </w:p>
    <w:p w:rsidR="003717A0" w:rsidRDefault="003717A0">
      <w:pPr>
        <w:pStyle w:val="12"/>
        <w:jc w:val="center"/>
        <w:rPr>
          <w:rFonts w:ascii="宋体"/>
          <w:b/>
          <w:kern w:val="0"/>
          <w:szCs w:val="21"/>
        </w:rPr>
      </w:pPr>
      <w:r>
        <w:rPr>
          <w:rFonts w:ascii="宋体" w:hAnsi="宋体" w:hint="eastAsia"/>
          <w:b/>
          <w:kern w:val="0"/>
          <w:szCs w:val="21"/>
        </w:rPr>
        <w:t>第二章垂体瘤（自学）</w:t>
      </w:r>
    </w:p>
    <w:p w:rsidR="003717A0" w:rsidRDefault="003717A0">
      <w:pPr>
        <w:pStyle w:val="12"/>
        <w:jc w:val="center"/>
        <w:rPr>
          <w:rFonts w:ascii="宋体"/>
          <w:b/>
          <w:kern w:val="0"/>
          <w:szCs w:val="21"/>
        </w:rPr>
      </w:pPr>
      <w:r>
        <w:rPr>
          <w:rFonts w:ascii="宋体" w:hAnsi="宋体" w:hint="eastAsia"/>
          <w:b/>
          <w:kern w:val="0"/>
          <w:szCs w:val="21"/>
        </w:rPr>
        <w:t>第三章巨人症和肢端肥大症（自学）</w:t>
      </w:r>
    </w:p>
    <w:p w:rsidR="003717A0" w:rsidRDefault="003717A0">
      <w:pPr>
        <w:pStyle w:val="12"/>
        <w:jc w:val="center"/>
        <w:rPr>
          <w:rFonts w:ascii="宋体"/>
          <w:b/>
          <w:kern w:val="0"/>
          <w:szCs w:val="21"/>
        </w:rPr>
      </w:pPr>
      <w:r>
        <w:rPr>
          <w:rFonts w:ascii="宋体" w:hAnsi="宋体" w:hint="eastAsia"/>
          <w:b/>
          <w:kern w:val="0"/>
          <w:szCs w:val="21"/>
        </w:rPr>
        <w:t>第四章腺垂体功能减退症（自学）</w:t>
      </w:r>
    </w:p>
    <w:p w:rsidR="003717A0" w:rsidRDefault="003717A0">
      <w:pPr>
        <w:pStyle w:val="12"/>
        <w:jc w:val="center"/>
        <w:rPr>
          <w:rFonts w:ascii="宋体"/>
          <w:b/>
          <w:kern w:val="0"/>
          <w:szCs w:val="21"/>
        </w:rPr>
      </w:pPr>
      <w:r>
        <w:rPr>
          <w:rFonts w:ascii="宋体" w:hAnsi="宋体" w:hint="eastAsia"/>
          <w:b/>
          <w:kern w:val="0"/>
          <w:szCs w:val="21"/>
        </w:rPr>
        <w:t>第五章生长激素缺乏性侏儒症（自学）</w:t>
      </w:r>
    </w:p>
    <w:p w:rsidR="003717A0" w:rsidRDefault="003717A0">
      <w:pPr>
        <w:pStyle w:val="12"/>
        <w:jc w:val="center"/>
        <w:rPr>
          <w:rFonts w:ascii="宋体"/>
          <w:b/>
          <w:kern w:val="0"/>
          <w:szCs w:val="21"/>
        </w:rPr>
      </w:pPr>
      <w:r>
        <w:rPr>
          <w:rFonts w:ascii="宋体" w:hAnsi="宋体" w:hint="eastAsia"/>
          <w:b/>
          <w:kern w:val="0"/>
          <w:szCs w:val="21"/>
        </w:rPr>
        <w:t>第六章尿崩症（自学）</w:t>
      </w:r>
    </w:p>
    <w:p w:rsidR="003717A0" w:rsidRDefault="003717A0">
      <w:pPr>
        <w:pStyle w:val="12"/>
        <w:jc w:val="center"/>
        <w:rPr>
          <w:rFonts w:ascii="宋体"/>
          <w:b/>
          <w:kern w:val="0"/>
          <w:szCs w:val="21"/>
        </w:rPr>
      </w:pPr>
      <w:r>
        <w:rPr>
          <w:rFonts w:ascii="宋体" w:hAnsi="宋体" w:hint="eastAsia"/>
          <w:b/>
          <w:kern w:val="0"/>
          <w:szCs w:val="21"/>
        </w:rPr>
        <w:t>第七章抗利尿激素分泌失调综合征（自学）</w:t>
      </w:r>
    </w:p>
    <w:p w:rsidR="003717A0" w:rsidRDefault="003717A0">
      <w:pPr>
        <w:pStyle w:val="12"/>
        <w:jc w:val="center"/>
        <w:rPr>
          <w:rFonts w:ascii="宋体"/>
          <w:b/>
          <w:kern w:val="0"/>
          <w:szCs w:val="21"/>
        </w:rPr>
      </w:pPr>
      <w:r>
        <w:rPr>
          <w:rFonts w:ascii="宋体" w:hAnsi="宋体" w:hint="eastAsia"/>
          <w:b/>
          <w:kern w:val="0"/>
          <w:szCs w:val="21"/>
        </w:rPr>
        <w:t>第八章甲状腺肿（自学）</w:t>
      </w:r>
    </w:p>
    <w:p w:rsidR="003717A0" w:rsidRDefault="003717A0">
      <w:pPr>
        <w:pStyle w:val="12"/>
        <w:jc w:val="center"/>
        <w:rPr>
          <w:rFonts w:ascii="宋体"/>
          <w:b/>
          <w:kern w:val="0"/>
          <w:szCs w:val="21"/>
        </w:rPr>
      </w:pPr>
      <w:r>
        <w:rPr>
          <w:rFonts w:ascii="宋体" w:hAnsi="宋体" w:hint="eastAsia"/>
          <w:b/>
          <w:kern w:val="0"/>
          <w:szCs w:val="21"/>
        </w:rPr>
        <w:t>第九章甲状腺功能亢进症</w:t>
      </w:r>
    </w:p>
    <w:p w:rsidR="003717A0" w:rsidRDefault="003717A0">
      <w:pPr>
        <w:pStyle w:val="12"/>
        <w:rPr>
          <w:rFonts w:ascii="宋体"/>
          <w:kern w:val="0"/>
          <w:szCs w:val="21"/>
        </w:rPr>
      </w:pPr>
      <w:r>
        <w:rPr>
          <w:rFonts w:ascii="宋体" w:hAnsi="宋体"/>
          <w:kern w:val="0"/>
          <w:szCs w:val="21"/>
        </w:rPr>
        <w:t>Graves</w:t>
      </w:r>
      <w:r>
        <w:rPr>
          <w:rFonts w:ascii="宋体" w:hAnsi="宋体" w:hint="eastAsia"/>
          <w:kern w:val="0"/>
          <w:szCs w:val="21"/>
        </w:rPr>
        <w:t>病</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w:t>
      </w:r>
      <w:r>
        <w:rPr>
          <w:rFonts w:ascii="宋体" w:hAnsi="宋体"/>
          <w:kern w:val="0"/>
          <w:szCs w:val="21"/>
        </w:rPr>
        <w:t>Graves</w:t>
      </w:r>
      <w:r>
        <w:rPr>
          <w:rFonts w:ascii="宋体" w:hAnsi="宋体" w:hint="eastAsia"/>
          <w:kern w:val="0"/>
          <w:szCs w:val="21"/>
        </w:rPr>
        <w:t>病的概念、病因、机制、病理。</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）甲状腺毒症表现：高代谢综合征，精神神经、心血管、消化、肌肉骨骼、生殖、内分泌及造血系统的表现。甲状腺肿。眼征的表现、单纯性与浸润性突眼比较。</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）特殊类型：甲状腺危象、甲亢性心脏病，淡漠型、亚临床型、妊娠期甲亢及胫前粘液性水肿、</w:t>
      </w:r>
      <w:r>
        <w:rPr>
          <w:rFonts w:ascii="宋体" w:hAnsi="宋体"/>
          <w:kern w:val="0"/>
          <w:szCs w:val="21"/>
        </w:rPr>
        <w:t>Graves</w:t>
      </w:r>
      <w:r>
        <w:rPr>
          <w:rFonts w:ascii="宋体" w:hAnsi="宋体" w:hint="eastAsia"/>
          <w:kern w:val="0"/>
          <w:szCs w:val="21"/>
        </w:rPr>
        <w:t>眼病、</w:t>
      </w:r>
      <w:r>
        <w:rPr>
          <w:rFonts w:ascii="宋体" w:hAnsi="宋体"/>
          <w:kern w:val="0"/>
          <w:szCs w:val="21"/>
        </w:rPr>
        <w:t>T3</w:t>
      </w:r>
      <w:r>
        <w:rPr>
          <w:rFonts w:ascii="宋体" w:hAnsi="宋体" w:hint="eastAsia"/>
          <w:kern w:val="0"/>
          <w:szCs w:val="21"/>
        </w:rPr>
        <w:t>型甲亢。</w:t>
      </w:r>
    </w:p>
    <w:p w:rsidR="003717A0" w:rsidRDefault="003717A0">
      <w:pPr>
        <w:pStyle w:val="12"/>
        <w:rPr>
          <w:rFonts w:ascii="宋体"/>
          <w:kern w:val="0"/>
          <w:szCs w:val="21"/>
        </w:rPr>
      </w:pPr>
      <w:r>
        <w:rPr>
          <w:rFonts w:ascii="宋体" w:hAnsi="宋体"/>
          <w:kern w:val="0"/>
          <w:szCs w:val="21"/>
        </w:rPr>
        <w:lastRenderedPageBreak/>
        <w:t>3</w:t>
      </w:r>
      <w:r>
        <w:rPr>
          <w:rFonts w:ascii="宋体" w:hAnsi="宋体" w:hint="eastAsia"/>
          <w:kern w:val="0"/>
          <w:szCs w:val="21"/>
        </w:rPr>
        <w:t>、实验室检查及其它检查</w:t>
      </w:r>
    </w:p>
    <w:p w:rsidR="003717A0" w:rsidRDefault="003717A0">
      <w:pPr>
        <w:pStyle w:val="12"/>
        <w:rPr>
          <w:rFonts w:ascii="宋体"/>
          <w:kern w:val="0"/>
          <w:szCs w:val="21"/>
        </w:rPr>
      </w:pPr>
      <w:r>
        <w:rPr>
          <w:rFonts w:ascii="宋体" w:hAnsi="宋体"/>
          <w:kern w:val="0"/>
          <w:szCs w:val="21"/>
        </w:rPr>
        <w:t>TT</w:t>
      </w:r>
      <w:r>
        <w:rPr>
          <w:rFonts w:ascii="宋体" w:hAnsi="宋体"/>
          <w:kern w:val="0"/>
          <w:szCs w:val="21"/>
          <w:vertAlign w:val="subscript"/>
        </w:rPr>
        <w:t>3</w:t>
      </w:r>
      <w:r>
        <w:rPr>
          <w:rFonts w:ascii="宋体" w:hAnsi="宋体" w:hint="eastAsia"/>
          <w:kern w:val="0"/>
          <w:szCs w:val="21"/>
        </w:rPr>
        <w:t>、</w:t>
      </w:r>
      <w:r>
        <w:rPr>
          <w:rFonts w:ascii="宋体" w:hAnsi="宋体"/>
          <w:kern w:val="0"/>
          <w:szCs w:val="21"/>
        </w:rPr>
        <w:t>TT</w:t>
      </w:r>
      <w:r>
        <w:rPr>
          <w:rFonts w:ascii="宋体" w:hAnsi="宋体"/>
          <w:kern w:val="0"/>
          <w:szCs w:val="21"/>
          <w:vertAlign w:val="subscript"/>
        </w:rPr>
        <w:t>4</w:t>
      </w:r>
      <w:r>
        <w:rPr>
          <w:rFonts w:ascii="宋体" w:hAnsi="宋体" w:hint="eastAsia"/>
          <w:kern w:val="0"/>
          <w:szCs w:val="21"/>
        </w:rPr>
        <w:t>、</w:t>
      </w:r>
      <w:r>
        <w:rPr>
          <w:rFonts w:ascii="宋体" w:hAnsi="宋体"/>
          <w:kern w:val="0"/>
          <w:szCs w:val="21"/>
        </w:rPr>
        <w:t>FT</w:t>
      </w:r>
      <w:r>
        <w:rPr>
          <w:rFonts w:ascii="宋体" w:hAnsi="宋体"/>
          <w:kern w:val="0"/>
          <w:szCs w:val="21"/>
          <w:vertAlign w:val="subscript"/>
        </w:rPr>
        <w:t>3</w:t>
      </w:r>
      <w:r>
        <w:rPr>
          <w:rFonts w:ascii="宋体" w:hAnsi="宋体" w:hint="eastAsia"/>
          <w:kern w:val="0"/>
          <w:szCs w:val="21"/>
        </w:rPr>
        <w:t>、</w:t>
      </w:r>
      <w:r>
        <w:rPr>
          <w:rFonts w:ascii="宋体" w:hAnsi="宋体"/>
          <w:kern w:val="0"/>
          <w:szCs w:val="21"/>
        </w:rPr>
        <w:t>FT</w:t>
      </w:r>
      <w:r>
        <w:rPr>
          <w:rFonts w:ascii="宋体" w:hAnsi="宋体"/>
          <w:kern w:val="0"/>
          <w:szCs w:val="21"/>
          <w:vertAlign w:val="subscript"/>
        </w:rPr>
        <w:t>4</w:t>
      </w:r>
      <w:r>
        <w:rPr>
          <w:rFonts w:ascii="宋体" w:hAnsi="宋体" w:hint="eastAsia"/>
          <w:kern w:val="0"/>
          <w:szCs w:val="21"/>
        </w:rPr>
        <w:t>和</w:t>
      </w:r>
      <w:r>
        <w:rPr>
          <w:rFonts w:ascii="宋体" w:hAnsi="宋体"/>
          <w:kern w:val="0"/>
          <w:szCs w:val="21"/>
        </w:rPr>
        <w:t>TSH</w:t>
      </w:r>
      <w:r>
        <w:rPr>
          <w:rFonts w:ascii="宋体" w:hAnsi="宋体" w:hint="eastAsia"/>
          <w:kern w:val="0"/>
          <w:szCs w:val="21"/>
        </w:rPr>
        <w:t>的测定，</w:t>
      </w:r>
      <w:r>
        <w:rPr>
          <w:rFonts w:ascii="宋体" w:hAnsi="宋体"/>
          <w:kern w:val="0"/>
          <w:szCs w:val="21"/>
        </w:rPr>
        <w:t>TRH</w:t>
      </w:r>
      <w:r>
        <w:rPr>
          <w:rFonts w:ascii="宋体" w:hAnsi="宋体" w:hint="eastAsia"/>
          <w:kern w:val="0"/>
          <w:szCs w:val="21"/>
        </w:rPr>
        <w:t>兴奋试验，甲状腺摄碘率测定、</w:t>
      </w:r>
      <w:r>
        <w:rPr>
          <w:rFonts w:ascii="宋体" w:hAnsi="宋体"/>
          <w:kern w:val="0"/>
          <w:szCs w:val="21"/>
        </w:rPr>
        <w:t>TSH</w:t>
      </w:r>
      <w:r>
        <w:rPr>
          <w:rFonts w:ascii="宋体" w:hAnsi="宋体" w:hint="eastAsia"/>
          <w:kern w:val="0"/>
          <w:szCs w:val="21"/>
        </w:rPr>
        <w:t>受体抗体、</w:t>
      </w:r>
      <w:r>
        <w:rPr>
          <w:rFonts w:ascii="宋体" w:hAnsi="宋体"/>
          <w:kern w:val="0"/>
          <w:szCs w:val="21"/>
        </w:rPr>
        <w:t>TSH</w:t>
      </w:r>
      <w:r>
        <w:rPr>
          <w:rFonts w:ascii="宋体" w:hAnsi="宋体" w:hint="eastAsia"/>
          <w:kern w:val="0"/>
          <w:szCs w:val="21"/>
        </w:rPr>
        <w:t>受体刺激抗体、影像学检查。</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、诊断诊断的程序，甲状腺功能亢进症的诊断，</w:t>
      </w:r>
      <w:r>
        <w:rPr>
          <w:rFonts w:ascii="宋体" w:hAnsi="宋体"/>
          <w:kern w:val="0"/>
          <w:szCs w:val="21"/>
        </w:rPr>
        <w:t>GD</w:t>
      </w:r>
      <w:r>
        <w:rPr>
          <w:rFonts w:ascii="宋体" w:hAnsi="宋体" w:hint="eastAsia"/>
          <w:kern w:val="0"/>
          <w:szCs w:val="21"/>
        </w:rPr>
        <w:t>的诊断。</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、鉴别诊断甲状腺毒症原因的鉴别、甲亢的病因鉴别。</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）一般治疗：药物（</w:t>
      </w:r>
      <w:r>
        <w:rPr>
          <w:rFonts w:ascii="宋体" w:hAnsi="宋体"/>
          <w:kern w:val="0"/>
          <w:szCs w:val="21"/>
        </w:rPr>
        <w:t>ATD</w:t>
      </w:r>
      <w:r>
        <w:rPr>
          <w:rFonts w:ascii="宋体" w:hAnsi="宋体" w:hint="eastAsia"/>
          <w:kern w:val="0"/>
          <w:szCs w:val="21"/>
        </w:rPr>
        <w:t>）、手术、放射性</w:t>
      </w:r>
      <w:r>
        <w:rPr>
          <w:rFonts w:ascii="宋体" w:hAnsi="宋体"/>
          <w:kern w:val="0"/>
          <w:szCs w:val="21"/>
          <w:vertAlign w:val="superscript"/>
        </w:rPr>
        <w:t>131</w:t>
      </w:r>
      <w:r>
        <w:rPr>
          <w:rFonts w:ascii="宋体" w:hAnsi="宋体"/>
          <w:kern w:val="0"/>
          <w:szCs w:val="21"/>
        </w:rPr>
        <w:t>I</w:t>
      </w:r>
      <w:r>
        <w:rPr>
          <w:rFonts w:ascii="宋体" w:hAnsi="宋体" w:hint="eastAsia"/>
          <w:kern w:val="0"/>
          <w:szCs w:val="21"/>
        </w:rPr>
        <w:t>治疗的适应证、禁忌证和并发症、不良反应。</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）甲状腺危象、甲亢性突眼、甲亢性心脏病和妊娠期甲亢的治疗。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示范典型病例</w:t>
      </w:r>
      <w:r>
        <w:rPr>
          <w:rFonts w:ascii="宋体" w:hAnsi="宋体" w:hint="eastAsia"/>
          <w:szCs w:val="21"/>
        </w:rPr>
        <w:t>病因、诊断和治疗原则</w:t>
      </w:r>
      <w:r>
        <w:rPr>
          <w:rFonts w:ascii="宋体" w:hAnsi="宋体" w:hint="eastAsia"/>
          <w:kern w:val="0"/>
          <w:szCs w:val="21"/>
        </w:rPr>
        <w:t>及特殊临床表现进行分析、讨论。</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、掌握弥漫性甲状腺肿伴甲亢的临床表现、特殊临床表现、各项甲状腺激素的意义，治疗。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w:t>
      </w:r>
      <w:r>
        <w:rPr>
          <w:rFonts w:ascii="宋体" w:hAnsi="宋体"/>
          <w:kern w:val="0"/>
          <w:szCs w:val="21"/>
        </w:rPr>
        <w:t>Graves</w:t>
      </w:r>
      <w:r>
        <w:rPr>
          <w:rFonts w:ascii="宋体" w:hAnsi="宋体" w:hint="eastAsia"/>
          <w:kern w:val="0"/>
          <w:szCs w:val="21"/>
        </w:rPr>
        <w:t>病的病因、机制、病理、鉴别、手术及放射治疗。</w:t>
      </w:r>
    </w:p>
    <w:p w:rsidR="003717A0" w:rsidRDefault="003717A0">
      <w:pPr>
        <w:pStyle w:val="12"/>
        <w:rPr>
          <w:rFonts w:ascii="宋体"/>
          <w:kern w:val="0"/>
          <w:szCs w:val="21"/>
        </w:rPr>
      </w:pPr>
    </w:p>
    <w:p w:rsidR="003717A0" w:rsidRDefault="003717A0">
      <w:pPr>
        <w:pStyle w:val="12"/>
        <w:numPr>
          <w:ilvl w:val="1"/>
          <w:numId w:val="461"/>
        </w:numPr>
        <w:jc w:val="center"/>
        <w:rPr>
          <w:rFonts w:ascii="宋体"/>
          <w:b/>
          <w:kern w:val="0"/>
          <w:szCs w:val="21"/>
        </w:rPr>
      </w:pPr>
      <w:r>
        <w:rPr>
          <w:rFonts w:ascii="宋体" w:hAnsi="宋体" w:hint="eastAsia"/>
          <w:b/>
          <w:kern w:val="0"/>
          <w:szCs w:val="21"/>
        </w:rPr>
        <w:t>甲状腺功能减退症（自学）</w:t>
      </w:r>
    </w:p>
    <w:p w:rsidR="003717A0" w:rsidRDefault="003717A0">
      <w:pPr>
        <w:pStyle w:val="12"/>
        <w:rPr>
          <w:rFonts w:ascii="宋体"/>
          <w:b/>
          <w:kern w:val="0"/>
          <w:szCs w:val="21"/>
        </w:rPr>
      </w:pPr>
      <w:r>
        <w:rPr>
          <w:rFonts w:ascii="宋体" w:hAnsi="宋体" w:hint="eastAsia"/>
          <w:b/>
          <w:kern w:val="0"/>
          <w:szCs w:val="21"/>
        </w:rPr>
        <w:t>自学内容</w:t>
      </w:r>
    </w:p>
    <w:p w:rsidR="003717A0" w:rsidRPr="003000C6" w:rsidRDefault="003717A0" w:rsidP="003000C6">
      <w:pPr>
        <w:pStyle w:val="12"/>
        <w:ind w:firstLineChars="200" w:firstLine="420"/>
        <w:rPr>
          <w:rFonts w:ascii="宋体" w:hAnsi="宋体"/>
          <w:kern w:val="0"/>
          <w:szCs w:val="21"/>
        </w:rPr>
      </w:pPr>
      <w:r>
        <w:rPr>
          <w:rFonts w:ascii="宋体" w:hAnsi="宋体"/>
          <w:kern w:val="0"/>
          <w:szCs w:val="21"/>
        </w:rPr>
        <w:t>1</w:t>
      </w:r>
      <w:r>
        <w:rPr>
          <w:rFonts w:ascii="宋体" w:hAnsi="宋体" w:hint="eastAsia"/>
          <w:kern w:val="0"/>
          <w:szCs w:val="21"/>
        </w:rPr>
        <w:t>、甲状腺功能减退症的定义及</w:t>
      </w:r>
      <w:r>
        <w:rPr>
          <w:rFonts w:ascii="宋体" w:hAnsi="宋体"/>
          <w:kern w:val="0"/>
          <w:szCs w:val="21"/>
        </w:rPr>
        <w:t>3</w:t>
      </w:r>
      <w:r>
        <w:rPr>
          <w:rFonts w:ascii="宋体" w:hAnsi="宋体" w:hint="eastAsia"/>
          <w:kern w:val="0"/>
          <w:szCs w:val="21"/>
        </w:rPr>
        <w:t>种分类方法。</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、不同类型的甲状腺功能减退症的临床表现。</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、诊断依据：临床表现、辅助检查，尤其是</w:t>
      </w:r>
      <w:r>
        <w:rPr>
          <w:rFonts w:ascii="宋体" w:hAnsi="宋体"/>
          <w:kern w:val="0"/>
          <w:szCs w:val="21"/>
        </w:rPr>
        <w:t>TSH</w:t>
      </w:r>
      <w:r>
        <w:rPr>
          <w:rFonts w:ascii="宋体" w:hAnsi="宋体" w:hint="eastAsia"/>
          <w:kern w:val="0"/>
          <w:szCs w:val="21"/>
        </w:rPr>
        <w:t>水平变化的意义、病因、诱因。</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、鉴别诊断：甲状腺功能减退症与贫血、特发性水肿、肾病综合征、慢性肾炎、冠心病、先天性愚型、弱智等鉴别。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、治疗原则：</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）、病因及诱因的治疗。</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）、甲状腺功能减退症的药物替代治疗的原则、意义方法和副作用。</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、掌握甲状腺功能减退症的临床诊断和鉴别要点。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、掌握甲状腺功能减退症的治疗基本原则及药物替代治疗的意义和方法。</w:t>
      </w:r>
    </w:p>
    <w:p w:rsidR="003717A0" w:rsidRDefault="003717A0">
      <w:pPr>
        <w:pStyle w:val="12"/>
        <w:ind w:firstLineChars="197" w:firstLine="414"/>
        <w:rPr>
          <w:rFonts w:ascii="宋体"/>
          <w:kern w:val="0"/>
          <w:szCs w:val="21"/>
        </w:rPr>
      </w:pPr>
      <w:r>
        <w:rPr>
          <w:rFonts w:ascii="宋体" w:hAnsi="宋体"/>
          <w:kern w:val="0"/>
          <w:szCs w:val="21"/>
        </w:rPr>
        <w:t>3</w:t>
      </w:r>
      <w:r>
        <w:rPr>
          <w:rFonts w:ascii="宋体" w:hAnsi="宋体" w:hint="eastAsia"/>
          <w:kern w:val="0"/>
          <w:szCs w:val="21"/>
        </w:rPr>
        <w:t>、了解甲状腺功能减退症的病因分类</w:t>
      </w:r>
    </w:p>
    <w:p w:rsidR="003717A0" w:rsidRDefault="003717A0">
      <w:pPr>
        <w:pStyle w:val="12"/>
        <w:ind w:firstLineChars="197" w:firstLine="414"/>
        <w:rPr>
          <w:rFonts w:ascii="宋体"/>
          <w:kern w:val="0"/>
          <w:szCs w:val="21"/>
        </w:rPr>
      </w:pPr>
    </w:p>
    <w:p w:rsidR="003717A0" w:rsidRDefault="003717A0">
      <w:pPr>
        <w:pStyle w:val="12"/>
        <w:ind w:firstLineChars="1316" w:firstLine="2774"/>
        <w:rPr>
          <w:rFonts w:ascii="宋体"/>
          <w:b/>
          <w:kern w:val="0"/>
          <w:szCs w:val="21"/>
        </w:rPr>
      </w:pPr>
      <w:r>
        <w:rPr>
          <w:rFonts w:ascii="宋体" w:hAnsi="宋体" w:hint="eastAsia"/>
          <w:b/>
          <w:kern w:val="0"/>
          <w:szCs w:val="21"/>
        </w:rPr>
        <w:t>第十一章甲状腺炎（自学）</w:t>
      </w:r>
    </w:p>
    <w:p w:rsidR="003717A0" w:rsidRDefault="003717A0">
      <w:pPr>
        <w:pStyle w:val="12"/>
        <w:rPr>
          <w:rFonts w:ascii="宋体"/>
          <w:b/>
          <w:kern w:val="0"/>
          <w:szCs w:val="21"/>
        </w:rPr>
      </w:pPr>
      <w:r>
        <w:rPr>
          <w:rFonts w:ascii="宋体" w:hAnsi="宋体" w:hint="eastAsia"/>
          <w:b/>
          <w:kern w:val="0"/>
          <w:szCs w:val="21"/>
        </w:rPr>
        <w:t>第一节亚急性甲状腺炎</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、概述、病因与病毒感染有关。</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、病理。</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、临床表现病毒感染症状，甲状腺区疼痛，全身症状。</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、实验室检查摄碘率与</w:t>
      </w:r>
      <w:r>
        <w:rPr>
          <w:rFonts w:ascii="宋体" w:hAnsi="宋体"/>
          <w:kern w:val="0"/>
          <w:szCs w:val="21"/>
        </w:rPr>
        <w:t>T</w:t>
      </w:r>
      <w:r>
        <w:rPr>
          <w:rFonts w:ascii="宋体" w:hAnsi="宋体"/>
          <w:kern w:val="0"/>
          <w:szCs w:val="21"/>
          <w:vertAlign w:val="subscript"/>
        </w:rPr>
        <w:t>3</w:t>
      </w:r>
      <w:r>
        <w:rPr>
          <w:rFonts w:ascii="宋体" w:hAnsi="宋体"/>
          <w:kern w:val="0"/>
          <w:szCs w:val="21"/>
        </w:rPr>
        <w:t>T</w:t>
      </w:r>
      <w:r>
        <w:rPr>
          <w:rFonts w:ascii="宋体" w:hAnsi="宋体"/>
          <w:kern w:val="0"/>
          <w:szCs w:val="21"/>
          <w:vertAlign w:val="subscript"/>
        </w:rPr>
        <w:t>4</w:t>
      </w:r>
      <w:r>
        <w:rPr>
          <w:rFonts w:ascii="宋体" w:hAnsi="宋体" w:hint="eastAsia"/>
          <w:kern w:val="0"/>
          <w:szCs w:val="21"/>
        </w:rPr>
        <w:t>分离。</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、诊断主要为临床表现和实验室检查。</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、鉴别诊断与桥本甲状腺炎、</w:t>
      </w:r>
      <w:r>
        <w:rPr>
          <w:rFonts w:ascii="宋体" w:hAnsi="宋体"/>
          <w:kern w:val="0"/>
          <w:szCs w:val="21"/>
        </w:rPr>
        <w:t>Graves</w:t>
      </w:r>
      <w:r>
        <w:rPr>
          <w:rFonts w:ascii="宋体" w:hAnsi="宋体" w:hint="eastAsia"/>
          <w:kern w:val="0"/>
          <w:szCs w:val="21"/>
        </w:rPr>
        <w:t>病鉴别。</w:t>
      </w:r>
    </w:p>
    <w:p w:rsidR="003717A0" w:rsidRPr="003000C6" w:rsidRDefault="003717A0" w:rsidP="003000C6">
      <w:pPr>
        <w:pStyle w:val="12"/>
        <w:rPr>
          <w:rFonts w:ascii="宋体" w:hAnsi="宋体"/>
          <w:kern w:val="0"/>
          <w:szCs w:val="21"/>
        </w:rPr>
      </w:pPr>
      <w:r>
        <w:rPr>
          <w:rFonts w:ascii="宋体" w:hAnsi="宋体"/>
          <w:kern w:val="0"/>
          <w:szCs w:val="21"/>
        </w:rPr>
        <w:t>7</w:t>
      </w:r>
      <w:r>
        <w:rPr>
          <w:rFonts w:ascii="宋体" w:hAnsi="宋体" w:hint="eastAsia"/>
          <w:kern w:val="0"/>
          <w:szCs w:val="21"/>
        </w:rPr>
        <w:t>、治疗口服非甾体抗炎药、糖皮质激素及普萘洛尔。</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、掌握亚急性甲状腺炎的临床表现、实验室检查、诊断、鉴别诊断和治疗。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、了解本病的病因、发病机制和病理。</w:t>
      </w:r>
    </w:p>
    <w:p w:rsidR="003717A0" w:rsidRDefault="003717A0">
      <w:pPr>
        <w:pStyle w:val="12"/>
        <w:rPr>
          <w:rFonts w:ascii="宋体"/>
          <w:b/>
          <w:kern w:val="0"/>
          <w:szCs w:val="21"/>
        </w:rPr>
      </w:pPr>
      <w:r>
        <w:rPr>
          <w:rFonts w:ascii="宋体" w:hAnsi="宋体" w:hint="eastAsia"/>
          <w:b/>
          <w:kern w:val="0"/>
          <w:szCs w:val="21"/>
        </w:rPr>
        <w:t>第二节自身免疫甲状腺炎</w:t>
      </w:r>
    </w:p>
    <w:p w:rsidR="003717A0" w:rsidRDefault="003717A0">
      <w:pPr>
        <w:pStyle w:val="12"/>
        <w:rPr>
          <w:rFonts w:ascii="宋体"/>
          <w:kern w:val="0"/>
          <w:szCs w:val="21"/>
        </w:rPr>
      </w:pPr>
      <w:r>
        <w:rPr>
          <w:rFonts w:ascii="宋体" w:hAnsi="宋体" w:hint="eastAsia"/>
          <w:b/>
          <w:kern w:val="0"/>
          <w:szCs w:val="21"/>
        </w:rPr>
        <w:lastRenderedPageBreak/>
        <w:t>自学内容</w:t>
      </w:r>
    </w:p>
    <w:p w:rsidR="003717A0" w:rsidRDefault="003717A0">
      <w:pPr>
        <w:pStyle w:val="12"/>
        <w:ind w:firstLineChars="100" w:firstLine="210"/>
        <w:rPr>
          <w:rFonts w:ascii="宋体"/>
          <w:kern w:val="0"/>
          <w:szCs w:val="21"/>
        </w:rPr>
      </w:pPr>
      <w:r>
        <w:rPr>
          <w:rFonts w:ascii="宋体" w:hAnsi="宋体"/>
          <w:kern w:val="0"/>
          <w:szCs w:val="21"/>
        </w:rPr>
        <w:t>1</w:t>
      </w:r>
      <w:r>
        <w:rPr>
          <w:rFonts w:ascii="宋体" w:hAnsi="宋体" w:hint="eastAsia"/>
          <w:kern w:val="0"/>
          <w:szCs w:val="21"/>
        </w:rPr>
        <w:t>、概述、病因机制与病理。与自身免疫有关。</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、临床表现甲状腺肿大，质较硬，伴有结节，多数伴甲减。</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w:t>
      </w:r>
      <w:r>
        <w:rPr>
          <w:rFonts w:ascii="宋体" w:hAnsi="宋体"/>
          <w:kern w:val="0"/>
          <w:szCs w:val="21"/>
        </w:rPr>
        <w:t>TGAb</w:t>
      </w:r>
      <w:r>
        <w:rPr>
          <w:rFonts w:ascii="宋体" w:hAnsi="宋体" w:hint="eastAsia"/>
          <w:kern w:val="0"/>
          <w:szCs w:val="21"/>
        </w:rPr>
        <w:t>、</w:t>
      </w:r>
      <w:r>
        <w:rPr>
          <w:rFonts w:ascii="宋体" w:hAnsi="宋体"/>
          <w:kern w:val="0"/>
          <w:szCs w:val="21"/>
        </w:rPr>
        <w:t>TPOAb</w:t>
      </w:r>
      <w:r>
        <w:rPr>
          <w:rFonts w:ascii="宋体" w:hAnsi="宋体" w:hint="eastAsia"/>
          <w:kern w:val="0"/>
          <w:szCs w:val="21"/>
        </w:rPr>
        <w:t>阳性，甲功为甲亢、甲减或正常，甲状腺细针穿刺细胞学检查。</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、诊断与鉴别诊断临床表现加实验室检查确诊。与亚急性甲状腺炎、甲状腺癌鉴别。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、治疗左甲状腺素、糖皮质激素、手术治疗。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、掌握自身免疫性甲状腺炎的临床表现、实验室检查、诊断、鉴别诊断和治疗。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、了解本病的病因、发病机制和病理。</w:t>
      </w:r>
    </w:p>
    <w:p w:rsidR="003717A0" w:rsidRDefault="003717A0">
      <w:pPr>
        <w:pStyle w:val="12"/>
        <w:jc w:val="center"/>
        <w:rPr>
          <w:rFonts w:ascii="宋体"/>
          <w:b/>
          <w:kern w:val="0"/>
          <w:szCs w:val="21"/>
        </w:rPr>
      </w:pPr>
      <w:r>
        <w:rPr>
          <w:rFonts w:ascii="宋体" w:hAnsi="宋体" w:hint="eastAsia"/>
          <w:b/>
          <w:kern w:val="0"/>
          <w:szCs w:val="21"/>
        </w:rPr>
        <w:t>第十二章甲状腺结节与分化型甲状腺癌</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第十三章</w:t>
      </w:r>
      <w:r>
        <w:rPr>
          <w:rFonts w:ascii="宋体" w:hAnsi="宋体"/>
          <w:b/>
          <w:kern w:val="0"/>
          <w:szCs w:val="21"/>
        </w:rPr>
        <w:t>Cushing</w:t>
      </w:r>
      <w:r>
        <w:rPr>
          <w:rFonts w:ascii="宋体" w:hAnsi="宋体" w:hint="eastAsia"/>
          <w:b/>
          <w:kern w:val="0"/>
          <w:szCs w:val="21"/>
        </w:rPr>
        <w:t>综合征（自学）</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、概念、病因。</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、临床表现向心性肥胖、满月脸、多血质，全身、神经、心血管表现、皮肤表现，代谢障碍，抗感染力降低、性功能障碍。</w:t>
      </w:r>
    </w:p>
    <w:p w:rsidR="003717A0" w:rsidRPr="003000C6" w:rsidRDefault="003717A0" w:rsidP="003000C6">
      <w:pPr>
        <w:pStyle w:val="12"/>
        <w:rPr>
          <w:rFonts w:ascii="宋体" w:hAnsi="宋体"/>
          <w:kern w:val="0"/>
          <w:szCs w:val="21"/>
        </w:rPr>
      </w:pPr>
      <w:r>
        <w:rPr>
          <w:rFonts w:ascii="宋体" w:hAnsi="宋体"/>
          <w:kern w:val="0"/>
          <w:szCs w:val="21"/>
        </w:rPr>
        <w:t>3</w:t>
      </w:r>
      <w:r>
        <w:rPr>
          <w:rFonts w:ascii="宋体" w:hAnsi="宋体" w:hint="eastAsia"/>
          <w:kern w:val="0"/>
          <w:szCs w:val="21"/>
        </w:rPr>
        <w:t>、各种类型的病因及临床特点。</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、诊断与鉴别诊断</w:t>
      </w:r>
    </w:p>
    <w:p w:rsidR="003717A0" w:rsidRDefault="003717A0">
      <w:pPr>
        <w:pStyle w:val="12"/>
        <w:rPr>
          <w:rFonts w:ascii="宋体"/>
          <w:kern w:val="0"/>
          <w:szCs w:val="21"/>
        </w:rPr>
      </w:pPr>
      <w:r>
        <w:rPr>
          <w:rFonts w:ascii="宋体" w:hAnsi="宋体" w:hint="eastAsia"/>
          <w:kern w:val="0"/>
          <w:szCs w:val="21"/>
        </w:rPr>
        <w:t>诊断依据：临床表现、实验室检查、病因诊断。不同病因</w:t>
      </w:r>
      <w:r>
        <w:rPr>
          <w:rFonts w:ascii="宋体" w:hAnsi="宋体"/>
          <w:kern w:val="0"/>
          <w:szCs w:val="21"/>
        </w:rPr>
        <w:t>Cushing</w:t>
      </w:r>
      <w:r>
        <w:rPr>
          <w:rFonts w:ascii="宋体" w:hAnsi="宋体" w:hint="eastAsia"/>
          <w:kern w:val="0"/>
          <w:szCs w:val="21"/>
        </w:rPr>
        <w:t>综合征的鉴别。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w:t>
      </w:r>
      <w:r>
        <w:rPr>
          <w:rFonts w:ascii="宋体" w:hAnsi="宋体"/>
          <w:kern w:val="0"/>
          <w:szCs w:val="21"/>
        </w:rPr>
        <w:t>Cushing</w:t>
      </w:r>
      <w:r>
        <w:rPr>
          <w:rFonts w:ascii="宋体" w:hAnsi="宋体" w:hint="eastAsia"/>
          <w:kern w:val="0"/>
          <w:szCs w:val="21"/>
        </w:rPr>
        <w:t>病：垂体瘤：经蝶窦手术切除、</w:t>
      </w:r>
      <w:r>
        <w:rPr>
          <w:rFonts w:ascii="宋体" w:hAnsi="宋体"/>
          <w:kern w:val="0"/>
          <w:szCs w:val="21"/>
        </w:rPr>
        <w:t>r-</w:t>
      </w:r>
      <w:r>
        <w:rPr>
          <w:rFonts w:ascii="宋体" w:hAnsi="宋体" w:hint="eastAsia"/>
          <w:kern w:val="0"/>
          <w:szCs w:val="21"/>
        </w:rPr>
        <w:t>刀治疗或开颅手术切除加放疗。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）肾上腺皮质增生：一侧全切，另一侧次全切。肾上腺瘤：手术。肾上腺腺癌：手术和化疗。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）异位性</w:t>
      </w:r>
      <w:r>
        <w:rPr>
          <w:rFonts w:ascii="宋体" w:hAnsi="宋体"/>
          <w:kern w:val="0"/>
          <w:szCs w:val="21"/>
        </w:rPr>
        <w:t>ACTH</w:t>
      </w:r>
      <w:r>
        <w:rPr>
          <w:rFonts w:ascii="宋体" w:hAnsi="宋体" w:hint="eastAsia"/>
          <w:kern w:val="0"/>
          <w:szCs w:val="21"/>
        </w:rPr>
        <w:t>综合征：治疗原发病。阻滞肾上腺皮质激素合成的药物。治疗指南。</w:t>
      </w:r>
    </w:p>
    <w:p w:rsidR="003717A0" w:rsidRDefault="003717A0">
      <w:pPr>
        <w:pStyle w:val="12"/>
        <w:ind w:firstLine="420"/>
        <w:rPr>
          <w:rFonts w:ascii="宋体"/>
          <w:kern w:val="0"/>
          <w:szCs w:val="21"/>
        </w:rPr>
      </w:pPr>
      <w:r>
        <w:rPr>
          <w:rFonts w:ascii="宋体" w:hAnsi="宋体"/>
          <w:kern w:val="0"/>
          <w:szCs w:val="21"/>
        </w:rPr>
        <w:t>6</w:t>
      </w:r>
      <w:r>
        <w:rPr>
          <w:rFonts w:ascii="宋体" w:hAnsi="宋体" w:hint="eastAsia"/>
          <w:kern w:val="0"/>
          <w:szCs w:val="21"/>
        </w:rPr>
        <w:t>、预后</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w:t>
      </w:r>
      <w:r>
        <w:rPr>
          <w:rFonts w:ascii="宋体" w:hAnsi="宋体"/>
          <w:kern w:val="0"/>
          <w:szCs w:val="21"/>
        </w:rPr>
        <w:t>Cushing</w:t>
      </w:r>
      <w:r>
        <w:rPr>
          <w:rFonts w:ascii="宋体" w:hAnsi="宋体" w:hint="eastAsia"/>
          <w:kern w:val="0"/>
          <w:szCs w:val="21"/>
        </w:rPr>
        <w:t>综合征的临床特征和治疗方法。</w:t>
      </w:r>
    </w:p>
    <w:p w:rsidR="003717A0" w:rsidRDefault="003717A0">
      <w:pPr>
        <w:pStyle w:val="12"/>
        <w:ind w:firstLineChars="150" w:firstLine="315"/>
        <w:rPr>
          <w:rFonts w:ascii="宋体"/>
          <w:kern w:val="0"/>
          <w:szCs w:val="21"/>
        </w:rPr>
      </w:pPr>
      <w:r>
        <w:rPr>
          <w:rFonts w:ascii="宋体" w:hAnsi="宋体"/>
          <w:kern w:val="0"/>
          <w:szCs w:val="21"/>
        </w:rPr>
        <w:t>2</w:t>
      </w:r>
      <w:r>
        <w:rPr>
          <w:rFonts w:ascii="宋体" w:hAnsi="宋体" w:hint="eastAsia"/>
          <w:kern w:val="0"/>
          <w:szCs w:val="21"/>
        </w:rPr>
        <w:t>、了解本病的概念、主要病因。</w:t>
      </w:r>
    </w:p>
    <w:p w:rsidR="003717A0" w:rsidRDefault="003717A0">
      <w:pPr>
        <w:pStyle w:val="12"/>
        <w:jc w:val="center"/>
        <w:rPr>
          <w:rFonts w:ascii="宋体"/>
          <w:b/>
          <w:kern w:val="0"/>
          <w:szCs w:val="21"/>
        </w:rPr>
      </w:pPr>
      <w:r>
        <w:rPr>
          <w:rFonts w:ascii="宋体" w:hAnsi="宋体" w:hint="eastAsia"/>
          <w:b/>
          <w:kern w:val="0"/>
          <w:szCs w:val="21"/>
        </w:rPr>
        <w:t>第十四章原发性醛固酮增多症（自学）</w:t>
      </w:r>
    </w:p>
    <w:p w:rsidR="003717A0" w:rsidRDefault="003717A0">
      <w:pPr>
        <w:pStyle w:val="12"/>
        <w:jc w:val="center"/>
        <w:rPr>
          <w:rFonts w:ascii="宋体"/>
          <w:b/>
          <w:kern w:val="0"/>
          <w:szCs w:val="21"/>
        </w:rPr>
      </w:pPr>
      <w:r>
        <w:rPr>
          <w:rFonts w:ascii="宋体" w:hAnsi="宋体" w:hint="eastAsia"/>
          <w:b/>
          <w:kern w:val="0"/>
          <w:szCs w:val="21"/>
        </w:rPr>
        <w:t>第十五章原发性慢性肾上腺皮质功能减退症（自学）</w:t>
      </w:r>
    </w:p>
    <w:p w:rsidR="003717A0" w:rsidRDefault="003717A0">
      <w:pPr>
        <w:pStyle w:val="12"/>
        <w:ind w:firstLineChars="1268" w:firstLine="2673"/>
        <w:rPr>
          <w:rFonts w:ascii="宋体"/>
          <w:b/>
          <w:kern w:val="0"/>
          <w:szCs w:val="21"/>
        </w:rPr>
      </w:pPr>
      <w:r>
        <w:rPr>
          <w:rFonts w:ascii="宋体" w:hAnsi="宋体" w:hint="eastAsia"/>
          <w:b/>
          <w:kern w:val="0"/>
          <w:szCs w:val="21"/>
        </w:rPr>
        <w:t>第十六章嗜铬细胞瘤（自学）</w:t>
      </w:r>
    </w:p>
    <w:p w:rsidR="003717A0" w:rsidRDefault="003717A0">
      <w:pPr>
        <w:pStyle w:val="12"/>
        <w:jc w:val="center"/>
        <w:rPr>
          <w:rFonts w:ascii="宋体"/>
          <w:b/>
          <w:kern w:val="0"/>
          <w:szCs w:val="21"/>
        </w:rPr>
      </w:pPr>
      <w:r>
        <w:rPr>
          <w:rFonts w:ascii="宋体" w:hAnsi="宋体" w:hint="eastAsia"/>
          <w:b/>
          <w:kern w:val="0"/>
          <w:szCs w:val="21"/>
        </w:rPr>
        <w:t>第十七章原发性甲状旁腺功能亢进症（自学）</w:t>
      </w:r>
    </w:p>
    <w:p w:rsidR="003717A0" w:rsidRDefault="003717A0">
      <w:pPr>
        <w:pStyle w:val="12"/>
        <w:jc w:val="center"/>
        <w:rPr>
          <w:rFonts w:ascii="宋体"/>
          <w:b/>
          <w:kern w:val="0"/>
          <w:szCs w:val="21"/>
        </w:rPr>
      </w:pPr>
      <w:r>
        <w:rPr>
          <w:rFonts w:ascii="宋体" w:hAnsi="宋体" w:hint="eastAsia"/>
          <w:b/>
          <w:kern w:val="0"/>
          <w:szCs w:val="21"/>
        </w:rPr>
        <w:t>第十八章甲状旁腺功能减退症（自学）</w:t>
      </w:r>
    </w:p>
    <w:p w:rsidR="003717A0" w:rsidRDefault="003717A0">
      <w:pPr>
        <w:pStyle w:val="12"/>
        <w:jc w:val="center"/>
        <w:rPr>
          <w:rFonts w:ascii="宋体"/>
          <w:b/>
          <w:kern w:val="0"/>
          <w:szCs w:val="21"/>
        </w:rPr>
      </w:pPr>
      <w:r>
        <w:rPr>
          <w:rFonts w:ascii="宋体" w:hAnsi="宋体" w:hint="eastAsia"/>
          <w:b/>
          <w:kern w:val="0"/>
          <w:szCs w:val="21"/>
        </w:rPr>
        <w:t>第十九章多发性内分泌腺瘤病（自学）</w:t>
      </w:r>
    </w:p>
    <w:p w:rsidR="003717A0" w:rsidRDefault="003717A0">
      <w:pPr>
        <w:pStyle w:val="12"/>
        <w:numPr>
          <w:ilvl w:val="0"/>
          <w:numId w:val="469"/>
        </w:numPr>
        <w:rPr>
          <w:rFonts w:ascii="宋体"/>
          <w:b/>
          <w:kern w:val="0"/>
          <w:szCs w:val="21"/>
        </w:rPr>
      </w:pPr>
      <w:r>
        <w:rPr>
          <w:rFonts w:ascii="宋体" w:hAnsi="宋体" w:hint="eastAsia"/>
          <w:b/>
          <w:kern w:val="0"/>
          <w:szCs w:val="21"/>
        </w:rPr>
        <w:t>多发性内分泌腺瘤病</w:t>
      </w:r>
      <w:r>
        <w:rPr>
          <w:rFonts w:ascii="宋体" w:hAnsi="宋体"/>
          <w:b/>
          <w:kern w:val="0"/>
          <w:szCs w:val="21"/>
        </w:rPr>
        <w:t>1</w:t>
      </w:r>
      <w:r>
        <w:rPr>
          <w:rFonts w:ascii="宋体" w:hAnsi="宋体" w:hint="eastAsia"/>
          <w:b/>
          <w:kern w:val="0"/>
          <w:szCs w:val="21"/>
        </w:rPr>
        <w:t>型</w:t>
      </w:r>
    </w:p>
    <w:p w:rsidR="003717A0" w:rsidRDefault="003717A0">
      <w:pPr>
        <w:pStyle w:val="12"/>
        <w:numPr>
          <w:ilvl w:val="0"/>
          <w:numId w:val="469"/>
        </w:numPr>
        <w:rPr>
          <w:rFonts w:ascii="宋体"/>
          <w:b/>
          <w:kern w:val="0"/>
          <w:szCs w:val="21"/>
        </w:rPr>
      </w:pPr>
      <w:r>
        <w:rPr>
          <w:rFonts w:ascii="宋体" w:hAnsi="宋体" w:hint="eastAsia"/>
          <w:b/>
          <w:kern w:val="0"/>
          <w:szCs w:val="21"/>
        </w:rPr>
        <w:t>多发性内分泌腺瘤病</w:t>
      </w:r>
      <w:r>
        <w:rPr>
          <w:rFonts w:ascii="宋体" w:hAnsi="宋体"/>
          <w:b/>
          <w:kern w:val="0"/>
          <w:szCs w:val="21"/>
        </w:rPr>
        <w:t>2</w:t>
      </w:r>
      <w:r>
        <w:rPr>
          <w:rFonts w:ascii="宋体" w:hAnsi="宋体" w:hint="eastAsia"/>
          <w:b/>
          <w:kern w:val="0"/>
          <w:szCs w:val="21"/>
        </w:rPr>
        <w:t>型</w:t>
      </w:r>
    </w:p>
    <w:p w:rsidR="003717A0" w:rsidRDefault="003717A0">
      <w:pPr>
        <w:pStyle w:val="12"/>
        <w:jc w:val="center"/>
        <w:rPr>
          <w:rFonts w:ascii="宋体"/>
          <w:b/>
          <w:kern w:val="0"/>
          <w:szCs w:val="21"/>
        </w:rPr>
      </w:pPr>
      <w:r>
        <w:rPr>
          <w:rFonts w:ascii="宋体" w:hAnsi="宋体" w:hint="eastAsia"/>
          <w:b/>
          <w:kern w:val="0"/>
          <w:szCs w:val="21"/>
        </w:rPr>
        <w:t>第二十章伴瘤内分泌综合征（自学）</w:t>
      </w:r>
    </w:p>
    <w:p w:rsidR="003717A0" w:rsidRDefault="003717A0">
      <w:pPr>
        <w:pStyle w:val="12"/>
        <w:jc w:val="center"/>
        <w:rPr>
          <w:rFonts w:ascii="宋体"/>
          <w:b/>
          <w:kern w:val="0"/>
          <w:szCs w:val="21"/>
        </w:rPr>
      </w:pPr>
      <w:r>
        <w:rPr>
          <w:rFonts w:ascii="宋体" w:hAnsi="宋体" w:hint="eastAsia"/>
          <w:b/>
          <w:kern w:val="0"/>
          <w:szCs w:val="21"/>
        </w:rPr>
        <w:t>第二十一章糖尿病</w:t>
      </w:r>
    </w:p>
    <w:p w:rsidR="003717A0" w:rsidRDefault="003717A0">
      <w:pPr>
        <w:pStyle w:val="12"/>
        <w:rPr>
          <w:rFonts w:ascii="宋体"/>
          <w:b/>
          <w:kern w:val="0"/>
          <w:szCs w:val="21"/>
        </w:rPr>
      </w:pPr>
      <w:r>
        <w:rPr>
          <w:rFonts w:ascii="宋体" w:hAnsi="宋体" w:hint="eastAsia"/>
          <w:b/>
          <w:kern w:val="0"/>
          <w:szCs w:val="21"/>
        </w:rPr>
        <w:t>第一节糖尿病</w:t>
      </w:r>
    </w:p>
    <w:p w:rsidR="003717A0" w:rsidRDefault="003717A0">
      <w:pPr>
        <w:pStyle w:val="12"/>
        <w:rPr>
          <w:rFonts w:ascii="宋体"/>
          <w:b/>
          <w:kern w:val="0"/>
          <w:szCs w:val="21"/>
        </w:rPr>
      </w:pPr>
      <w:r>
        <w:rPr>
          <w:rFonts w:ascii="宋体" w:hAnsi="宋体" w:hint="eastAsia"/>
          <w:b/>
          <w:kern w:val="0"/>
          <w:szCs w:val="21"/>
        </w:rPr>
        <w:t>教学内容</w:t>
      </w:r>
      <w:r>
        <w:rPr>
          <w:rFonts w:ascii="宋体" w:hAnsi="宋体" w:hint="eastAsia"/>
          <w:b/>
          <w:szCs w:val="21"/>
        </w:rPr>
        <w:t>（</w:t>
      </w:r>
      <w:r>
        <w:rPr>
          <w:rFonts w:ascii="宋体" w:hAnsi="宋体"/>
          <w:b/>
          <w:szCs w:val="21"/>
        </w:rPr>
        <w:t>4</w:t>
      </w:r>
      <w:r>
        <w:rPr>
          <w:rFonts w:ascii="宋体" w:hAnsi="宋体" w:hint="eastAsia"/>
          <w:b/>
          <w:szCs w:val="21"/>
        </w:rPr>
        <w:t>时）</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、概述及分型</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、病因、发病机制和自然史</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）基本临床表现：代谢紊乱征状群，并发症和伴发病。</w:t>
      </w:r>
    </w:p>
    <w:p w:rsidR="003717A0" w:rsidRDefault="003717A0">
      <w:pPr>
        <w:pStyle w:val="12"/>
        <w:rPr>
          <w:rFonts w:ascii="宋体"/>
          <w:kern w:val="0"/>
          <w:szCs w:val="21"/>
        </w:rPr>
      </w:pPr>
      <w:r>
        <w:rPr>
          <w:rFonts w:ascii="宋体" w:hAnsi="宋体" w:hint="eastAsia"/>
          <w:kern w:val="0"/>
          <w:szCs w:val="21"/>
        </w:rPr>
        <w:lastRenderedPageBreak/>
        <w:t>（</w:t>
      </w:r>
      <w:r>
        <w:rPr>
          <w:rFonts w:ascii="宋体" w:hAnsi="宋体"/>
          <w:kern w:val="0"/>
          <w:szCs w:val="21"/>
        </w:rPr>
        <w:t>2</w:t>
      </w:r>
      <w:r>
        <w:rPr>
          <w:rFonts w:ascii="宋体" w:hAnsi="宋体" w:hint="eastAsia"/>
          <w:kern w:val="0"/>
          <w:szCs w:val="21"/>
        </w:rPr>
        <w:t>）常见类型糖尿病的临床特点。</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）并发症：大血管病变，微血管病变，糖尿病肾病、糖尿病性视网膜病变，神经病变，足。</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、实验室检查空腹血糖、餐后</w:t>
      </w:r>
      <w:r>
        <w:rPr>
          <w:rFonts w:ascii="宋体" w:hAnsi="宋体"/>
          <w:kern w:val="0"/>
          <w:szCs w:val="21"/>
        </w:rPr>
        <w:t>2</w:t>
      </w:r>
      <w:r>
        <w:rPr>
          <w:rFonts w:ascii="宋体" w:hAnsi="宋体" w:hint="eastAsia"/>
          <w:kern w:val="0"/>
          <w:szCs w:val="21"/>
        </w:rPr>
        <w:t>小时血糖，糖化血红蛋白、血浆胰岛素和</w:t>
      </w:r>
      <w:r>
        <w:rPr>
          <w:rFonts w:ascii="宋体" w:hAnsi="宋体"/>
          <w:kern w:val="0"/>
          <w:szCs w:val="21"/>
        </w:rPr>
        <w:t>C</w:t>
      </w:r>
      <w:r>
        <w:rPr>
          <w:rFonts w:ascii="宋体" w:hAnsi="宋体" w:hint="eastAsia"/>
          <w:kern w:val="0"/>
          <w:szCs w:val="21"/>
        </w:rPr>
        <w:t>肽，尿常规，血脂、肝功、肾功、血电解质测定。</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w:t>
      </w:r>
      <w:r>
        <w:rPr>
          <w:rFonts w:ascii="宋体" w:hAnsi="宋体"/>
          <w:kern w:val="0"/>
          <w:szCs w:val="21"/>
        </w:rPr>
        <w:t>WHO</w:t>
      </w:r>
      <w:r>
        <w:rPr>
          <w:rFonts w:ascii="宋体" w:hAnsi="宋体" w:hint="eastAsia"/>
          <w:kern w:val="0"/>
          <w:szCs w:val="21"/>
        </w:rPr>
        <w:t>糖尿病诊断标准。</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、鉴别诊断尿糖阳性鉴别，高血糖的病因鉴别。</w:t>
      </w:r>
    </w:p>
    <w:p w:rsidR="003717A0" w:rsidRDefault="003717A0">
      <w:pPr>
        <w:pStyle w:val="12"/>
        <w:ind w:firstLineChars="150" w:firstLine="315"/>
        <w:rPr>
          <w:rFonts w:ascii="宋体"/>
          <w:kern w:val="0"/>
          <w:szCs w:val="21"/>
        </w:rPr>
      </w:pPr>
      <w:r>
        <w:rPr>
          <w:rFonts w:ascii="宋体" w:hAnsi="宋体"/>
          <w:kern w:val="0"/>
          <w:szCs w:val="21"/>
        </w:rPr>
        <w:t>7</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）健康教育、医学营养治疗、体育锻炼、监测、药物治疗。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）胰岛素的用法及适应证，胰岛移植治疗。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）慢性并发症的治疗。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196" w:firstLine="412"/>
        <w:rPr>
          <w:rFonts w:ascii="宋体"/>
          <w:b/>
          <w:kern w:val="0"/>
          <w:szCs w:val="21"/>
        </w:rPr>
      </w:pPr>
      <w:r>
        <w:rPr>
          <w:rFonts w:ascii="宋体" w:hAnsi="宋体" w:hint="eastAsia"/>
          <w:kern w:val="0"/>
          <w:szCs w:val="21"/>
        </w:rPr>
        <w:t>示教典型病例及各种慢性并发症。</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、区分所诊断糖尿病患者的类型，了解急慢性并发症及伴发病情况。</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、提出主要的治疗对策、饮食计算、降糖药的选择。</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、掌握糖尿病的概念、临床表现、实验室检查及急慢性并发症，诊断标准及药物治疗。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、了解本病的流行发病情况、病因、发病机制、分类和自然史。</w:t>
      </w:r>
    </w:p>
    <w:p w:rsidR="003717A0" w:rsidRDefault="003717A0">
      <w:pPr>
        <w:pStyle w:val="12"/>
        <w:rPr>
          <w:rFonts w:ascii="宋体"/>
          <w:b/>
          <w:kern w:val="0"/>
          <w:szCs w:val="21"/>
        </w:rPr>
      </w:pPr>
      <w:r>
        <w:rPr>
          <w:rFonts w:ascii="宋体" w:hAnsi="宋体" w:hint="eastAsia"/>
          <w:b/>
          <w:kern w:val="0"/>
          <w:szCs w:val="21"/>
        </w:rPr>
        <w:t>第二节糖尿病酮症酸中毒</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、概念、发病情况及诱因感染、手术及分娩等。</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、病理生理酸中毒，水电紊乱，呼吸、循环、肾、中枢神经功能障碍。</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、临床表现糖尿病症状，严重的呼吸、循环、肾、中枢神经症状。</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、实验室检查尿糖、血尿酮体、血糖明显增高，</w:t>
      </w:r>
      <w:r>
        <w:rPr>
          <w:rFonts w:ascii="宋体" w:hAnsi="宋体"/>
          <w:kern w:val="0"/>
          <w:szCs w:val="21"/>
        </w:rPr>
        <w:t>CO</w:t>
      </w:r>
      <w:r>
        <w:rPr>
          <w:rFonts w:ascii="宋体" w:hAnsi="宋体"/>
          <w:kern w:val="0"/>
          <w:szCs w:val="21"/>
          <w:vertAlign w:val="subscript"/>
        </w:rPr>
        <w:t>2</w:t>
      </w:r>
      <w:r>
        <w:rPr>
          <w:rFonts w:ascii="宋体" w:hAnsi="宋体" w:hint="eastAsia"/>
          <w:kern w:val="0"/>
          <w:szCs w:val="21"/>
        </w:rPr>
        <w:t>结合力降低，</w:t>
      </w:r>
      <w:r>
        <w:rPr>
          <w:rFonts w:ascii="宋体" w:hAnsi="宋体"/>
          <w:kern w:val="0"/>
          <w:szCs w:val="21"/>
        </w:rPr>
        <w:t>PH</w:t>
      </w:r>
      <w:r>
        <w:rPr>
          <w:rFonts w:ascii="宋体" w:hAnsi="宋体" w:hint="eastAsia"/>
          <w:kern w:val="0"/>
          <w:szCs w:val="21"/>
        </w:rPr>
        <w:t>低，碱剩余负值增大。</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、诊断糖尿病史、昏迷、酸中毒、失水、休克，实验室检查。</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、鉴别诊断低血糖昏迷、高渗性非酮症糖尿病昏迷及乳酸性酸中毒昏迷。</w:t>
      </w:r>
    </w:p>
    <w:p w:rsidR="003717A0" w:rsidRDefault="003717A0">
      <w:pPr>
        <w:pStyle w:val="12"/>
        <w:rPr>
          <w:rFonts w:ascii="宋体"/>
          <w:kern w:val="0"/>
          <w:szCs w:val="21"/>
        </w:rPr>
      </w:pPr>
      <w:r>
        <w:rPr>
          <w:rFonts w:ascii="宋体" w:hAnsi="宋体"/>
          <w:kern w:val="0"/>
          <w:szCs w:val="21"/>
        </w:rPr>
        <w:t>7</w:t>
      </w:r>
      <w:r>
        <w:rPr>
          <w:rFonts w:ascii="宋体" w:hAnsi="宋体" w:hint="eastAsia"/>
          <w:kern w:val="0"/>
          <w:szCs w:val="21"/>
        </w:rPr>
        <w:t>、治疗防治原则，重点为小剂量胰岛素的应用，补液、纠酸，处理诱发病，防治并发症。</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、掌握糖尿病酮症酸中毒诱因、临床表现、实验室检查、诊断及防治措施。</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、了解本病的病理生理。</w:t>
      </w:r>
    </w:p>
    <w:p w:rsidR="003717A0" w:rsidRDefault="003717A0">
      <w:pPr>
        <w:pStyle w:val="12"/>
        <w:ind w:firstLineChars="200" w:firstLine="420"/>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第三节高渗高血糖综合征</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、概念及发病情况</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、诱因及发病机制糖代谢紊乱、高血糖、高血浆渗透压导致组织脱水、神经细胞脱水。</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、临床表现以神经系统为主的各种表现，休克、谵妄、昏迷。</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、实验室检查血糖、血钠、血浆渗透压明显增高。</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、诊断与鉴别诊断临床表现加实验室检查确诊，与糖尿病酮症酸中毒、药物中毒昏迷相鉴别。</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、治疗补液疗法、胰岛素使用。</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hint="eastAsia"/>
          <w:kern w:val="0"/>
          <w:szCs w:val="21"/>
        </w:rPr>
        <w:t>了解高血糖高渗状态诱因、发病机制、临床表现、实验室检查、诊断、鉴别诊断及治疗。</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第二十二章低血糖症（自学）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第二十三章血脂异常和脂蛋白异常血症（自学）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第二十四章肥胖症（自学）</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第二十五章</w:t>
      </w:r>
    </w:p>
    <w:p w:rsidR="003717A0" w:rsidRDefault="003717A0">
      <w:pPr>
        <w:pStyle w:val="12"/>
        <w:numPr>
          <w:ilvl w:val="0"/>
          <w:numId w:val="470"/>
        </w:numPr>
        <w:rPr>
          <w:rFonts w:ascii="宋体"/>
          <w:b/>
          <w:kern w:val="0"/>
          <w:szCs w:val="21"/>
        </w:rPr>
      </w:pPr>
      <w:r>
        <w:rPr>
          <w:rFonts w:ascii="宋体" w:hAnsi="宋体" w:hint="eastAsia"/>
          <w:b/>
          <w:kern w:val="0"/>
          <w:szCs w:val="21"/>
        </w:rPr>
        <w:t>水、钠代谢失常</w:t>
      </w:r>
    </w:p>
    <w:p w:rsidR="003717A0" w:rsidRDefault="003717A0">
      <w:pPr>
        <w:pStyle w:val="12"/>
        <w:numPr>
          <w:ilvl w:val="0"/>
          <w:numId w:val="470"/>
        </w:numPr>
        <w:rPr>
          <w:rFonts w:ascii="宋体"/>
          <w:b/>
          <w:kern w:val="0"/>
          <w:szCs w:val="21"/>
        </w:rPr>
      </w:pPr>
      <w:r>
        <w:rPr>
          <w:rFonts w:ascii="宋体" w:hAnsi="宋体" w:hint="eastAsia"/>
          <w:b/>
          <w:kern w:val="0"/>
          <w:szCs w:val="21"/>
        </w:rPr>
        <w:t>钾代谢失常</w:t>
      </w:r>
    </w:p>
    <w:p w:rsidR="003717A0" w:rsidRDefault="003717A0">
      <w:pPr>
        <w:pStyle w:val="12"/>
        <w:numPr>
          <w:ilvl w:val="0"/>
          <w:numId w:val="470"/>
        </w:numPr>
        <w:rPr>
          <w:rFonts w:ascii="宋体"/>
          <w:b/>
          <w:kern w:val="0"/>
          <w:szCs w:val="21"/>
        </w:rPr>
      </w:pPr>
      <w:r>
        <w:rPr>
          <w:rFonts w:ascii="宋体" w:hAnsi="宋体" w:hint="eastAsia"/>
          <w:b/>
          <w:kern w:val="0"/>
          <w:szCs w:val="21"/>
        </w:rPr>
        <w:t>酸碱平衡失常</w:t>
      </w:r>
    </w:p>
    <w:p w:rsidR="003717A0" w:rsidRDefault="003717A0">
      <w:pPr>
        <w:pStyle w:val="12"/>
        <w:numPr>
          <w:ilvl w:val="0"/>
          <w:numId w:val="470"/>
        </w:numPr>
        <w:rPr>
          <w:rFonts w:ascii="宋体"/>
          <w:b/>
          <w:kern w:val="0"/>
          <w:szCs w:val="21"/>
        </w:rPr>
      </w:pPr>
      <w:r>
        <w:rPr>
          <w:rFonts w:ascii="宋体" w:hAnsi="宋体" w:hint="eastAsia"/>
          <w:b/>
          <w:kern w:val="0"/>
          <w:szCs w:val="21"/>
        </w:rPr>
        <w:t>水、电解质代谢和酸碱平衡失常的诊断与防治注意事项</w:t>
      </w:r>
    </w:p>
    <w:p w:rsidR="003717A0" w:rsidRDefault="003717A0">
      <w:pPr>
        <w:pStyle w:val="12"/>
        <w:jc w:val="center"/>
        <w:rPr>
          <w:rFonts w:ascii="宋体"/>
          <w:b/>
          <w:kern w:val="0"/>
          <w:szCs w:val="21"/>
        </w:rPr>
      </w:pPr>
      <w:r>
        <w:rPr>
          <w:rFonts w:ascii="宋体" w:hAnsi="宋体" w:hint="eastAsia"/>
          <w:b/>
          <w:kern w:val="0"/>
          <w:szCs w:val="21"/>
        </w:rPr>
        <w:t>第二十六章高尿酸血症</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第八篇风湿性疾病</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第一章总论</w:t>
      </w:r>
    </w:p>
    <w:p w:rsidR="003717A0" w:rsidRDefault="003717A0">
      <w:pPr>
        <w:pStyle w:val="12"/>
        <w:rPr>
          <w:rFonts w:ascii="宋体"/>
          <w:b/>
          <w:kern w:val="0"/>
          <w:szCs w:val="21"/>
        </w:rPr>
      </w:pPr>
      <w:r>
        <w:rPr>
          <w:rFonts w:ascii="宋体" w:hAnsi="宋体" w:hint="eastAsia"/>
          <w:b/>
          <w:kern w:val="0"/>
          <w:szCs w:val="21"/>
        </w:rPr>
        <w:t>教学内容</w:t>
      </w:r>
      <w:r>
        <w:rPr>
          <w:rFonts w:ascii="宋体" w:hAnsi="宋体" w:hint="eastAsia"/>
          <w:b/>
          <w:szCs w:val="21"/>
        </w:rPr>
        <w:t>（</w:t>
      </w:r>
      <w:r>
        <w:rPr>
          <w:rFonts w:ascii="宋体" w:hAnsi="宋体"/>
          <w:b/>
          <w:szCs w:val="21"/>
        </w:rPr>
        <w:t>2</w:t>
      </w:r>
      <w:r>
        <w:rPr>
          <w:rFonts w:ascii="宋体" w:hAnsi="宋体" w:hint="eastAsia"/>
          <w:b/>
          <w:szCs w:val="21"/>
        </w:rPr>
        <w:t>时）</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、概述弥漫性结缔组织病特点，风湿性疾病的分类。</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、病理炎症性和非炎症性。</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、病史采集和体格检查区别常见关节炎的特点。</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、实验室等检查：一般项目检查，特异性检查：关节液检查</w:t>
      </w:r>
      <w:r>
        <w:rPr>
          <w:rFonts w:ascii="宋体"/>
          <w:kern w:val="0"/>
          <w:szCs w:val="21"/>
        </w:rPr>
        <w:t>,</w:t>
      </w:r>
      <w:r>
        <w:rPr>
          <w:rFonts w:ascii="宋体" w:hAnsi="宋体" w:hint="eastAsia"/>
          <w:kern w:val="0"/>
          <w:szCs w:val="21"/>
        </w:rPr>
        <w:t>自身抗体的检测，</w:t>
      </w:r>
      <w:r>
        <w:rPr>
          <w:rFonts w:ascii="宋体" w:hAnsi="宋体"/>
          <w:kern w:val="0"/>
          <w:szCs w:val="21"/>
        </w:rPr>
        <w:t>X</w:t>
      </w:r>
      <w:r>
        <w:rPr>
          <w:rFonts w:ascii="宋体" w:hAnsi="宋体" w:hint="eastAsia"/>
          <w:kern w:val="0"/>
          <w:szCs w:val="21"/>
        </w:rPr>
        <w:t>线片及影象学。</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、掌握风湿性疾病的概念、特点、分类及治疗。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、了解风湿性疾病的病理、实验室检查、病史采集和体格检查。</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第二章风湿热</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第三章类风湿关节炎</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、概念、病因、发病机制感染因素，机体易感性。</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、病理滑膜炎、血管炎。</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）关节表现：包括晨僵、关节痛与压痛，关节肿胀、畸形及功能障碍。</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）关节外表现：血管炎，心包炎，肺、胃肠道、肾、神经、血液系统病变，干燥综合征。</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w:t>
      </w:r>
    </w:p>
    <w:p w:rsidR="003717A0" w:rsidRDefault="003717A0">
      <w:pPr>
        <w:pStyle w:val="12"/>
        <w:rPr>
          <w:rFonts w:ascii="宋体"/>
          <w:kern w:val="0"/>
          <w:szCs w:val="21"/>
        </w:rPr>
      </w:pPr>
      <w:r>
        <w:rPr>
          <w:rFonts w:ascii="宋体" w:hAnsi="宋体" w:hint="eastAsia"/>
          <w:kern w:val="0"/>
          <w:szCs w:val="21"/>
        </w:rPr>
        <w:t>血象、血沉、</w:t>
      </w:r>
      <w:r>
        <w:rPr>
          <w:rFonts w:ascii="宋体" w:hAnsi="宋体"/>
          <w:kern w:val="0"/>
          <w:szCs w:val="21"/>
        </w:rPr>
        <w:t>C</w:t>
      </w:r>
      <w:r>
        <w:rPr>
          <w:rFonts w:ascii="宋体" w:hAnsi="宋体" w:hint="eastAsia"/>
          <w:kern w:val="0"/>
          <w:szCs w:val="21"/>
        </w:rPr>
        <w:t>反应蛋白、自身抗体、类风湿因子、免疫复合物和补体、关节滑液、</w:t>
      </w:r>
      <w:r>
        <w:rPr>
          <w:rFonts w:ascii="宋体" w:hAnsi="宋体"/>
          <w:kern w:val="0"/>
          <w:szCs w:val="21"/>
        </w:rPr>
        <w:t>X</w:t>
      </w:r>
      <w:r>
        <w:rPr>
          <w:rFonts w:ascii="宋体" w:hAnsi="宋体" w:hint="eastAsia"/>
          <w:kern w:val="0"/>
          <w:szCs w:val="21"/>
        </w:rPr>
        <w:t>线、活检。</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、诊断和鉴别诊断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）美国风湿病学会（</w:t>
      </w:r>
      <w:r>
        <w:rPr>
          <w:rFonts w:ascii="宋体" w:hAnsi="宋体"/>
          <w:kern w:val="0"/>
          <w:szCs w:val="21"/>
        </w:rPr>
        <w:t>ACR</w:t>
      </w:r>
      <w:r>
        <w:rPr>
          <w:rFonts w:ascii="宋体" w:hAnsi="宋体" w:hint="eastAsia"/>
          <w:kern w:val="0"/>
          <w:szCs w:val="21"/>
        </w:rPr>
        <w:t>）</w:t>
      </w:r>
      <w:r>
        <w:rPr>
          <w:rFonts w:ascii="宋体" w:hAnsi="宋体"/>
          <w:kern w:val="0"/>
          <w:szCs w:val="21"/>
        </w:rPr>
        <w:t>1987</w:t>
      </w:r>
      <w:r>
        <w:rPr>
          <w:rFonts w:ascii="宋体" w:hAnsi="宋体" w:hint="eastAsia"/>
          <w:kern w:val="0"/>
          <w:szCs w:val="21"/>
        </w:rPr>
        <w:t>年分类标准中</w:t>
      </w:r>
      <w:r>
        <w:rPr>
          <w:rFonts w:ascii="宋体" w:hAnsi="宋体"/>
          <w:kern w:val="0"/>
          <w:szCs w:val="21"/>
        </w:rPr>
        <w:t>7</w:t>
      </w:r>
      <w:r>
        <w:rPr>
          <w:rFonts w:ascii="宋体" w:hAnsi="宋体" w:hint="eastAsia"/>
          <w:kern w:val="0"/>
          <w:szCs w:val="21"/>
        </w:rPr>
        <w:t>项具备其中</w:t>
      </w:r>
      <w:r>
        <w:rPr>
          <w:rFonts w:ascii="宋体" w:hAnsi="宋体"/>
          <w:kern w:val="0"/>
          <w:szCs w:val="21"/>
        </w:rPr>
        <w:t>4</w:t>
      </w:r>
      <w:r>
        <w:rPr>
          <w:rFonts w:ascii="宋体" w:hAnsi="宋体" w:hint="eastAsia"/>
          <w:kern w:val="0"/>
          <w:szCs w:val="21"/>
        </w:rPr>
        <w:t>项者既可诊断。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）与强直性脊柱炎、银屑病关节炎、骨性关节炎、系统性红斑狼疮、风湿性关节炎相鉴别。</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）一般治疗，药物治疗：</w:t>
      </w:r>
      <w:r>
        <w:rPr>
          <w:rFonts w:ascii="宋体" w:hAnsi="宋体"/>
          <w:kern w:val="0"/>
          <w:szCs w:val="21"/>
        </w:rPr>
        <w:t>NSAID</w:t>
      </w:r>
      <w:r>
        <w:rPr>
          <w:rFonts w:ascii="宋体" w:hAnsi="宋体" w:hint="eastAsia"/>
          <w:kern w:val="0"/>
          <w:szCs w:val="21"/>
        </w:rPr>
        <w:t>、</w:t>
      </w:r>
      <w:r>
        <w:rPr>
          <w:rFonts w:ascii="宋体" w:hAnsi="宋体"/>
          <w:kern w:val="0"/>
          <w:szCs w:val="21"/>
        </w:rPr>
        <w:t>DMARD</w:t>
      </w:r>
      <w:r>
        <w:rPr>
          <w:rFonts w:ascii="宋体" w:hAnsi="宋体" w:hint="eastAsia"/>
          <w:kern w:val="0"/>
          <w:szCs w:val="21"/>
        </w:rPr>
        <w:t>、糖皮质激素及实验性治疗。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）外科手术治疗：关节置换、切除滑膜。</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rPr>
          <w:rFonts w:ascii="宋体"/>
          <w:kern w:val="0"/>
          <w:szCs w:val="21"/>
        </w:rPr>
      </w:pPr>
      <w:r>
        <w:rPr>
          <w:rFonts w:ascii="宋体" w:hAnsi="宋体" w:hint="eastAsia"/>
          <w:kern w:val="0"/>
          <w:szCs w:val="21"/>
        </w:rPr>
        <w:t>通过典型病例示教</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、类风湿关节炎患者的关节病变特点与关节外表现。</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、类风湿关节炎的临床表现、实验室检查、关节</w:t>
      </w:r>
      <w:r>
        <w:rPr>
          <w:rFonts w:ascii="宋体" w:hAnsi="宋体"/>
          <w:kern w:val="0"/>
          <w:szCs w:val="21"/>
        </w:rPr>
        <w:t>X</w:t>
      </w:r>
      <w:r>
        <w:rPr>
          <w:rFonts w:ascii="宋体" w:hAnsi="宋体" w:hint="eastAsia"/>
          <w:kern w:val="0"/>
          <w:szCs w:val="21"/>
        </w:rPr>
        <w:t>线片及治疗对策。</w:t>
      </w:r>
    </w:p>
    <w:p w:rsidR="003717A0" w:rsidRDefault="003717A0">
      <w:pPr>
        <w:pStyle w:val="12"/>
        <w:rPr>
          <w:rFonts w:ascii="宋体"/>
          <w:b/>
          <w:kern w:val="0"/>
          <w:szCs w:val="21"/>
        </w:rPr>
      </w:pPr>
      <w:r>
        <w:rPr>
          <w:rFonts w:ascii="宋体" w:hAnsi="宋体" w:hint="eastAsia"/>
          <w:b/>
          <w:kern w:val="0"/>
          <w:szCs w:val="21"/>
        </w:rPr>
        <w:lastRenderedPageBreak/>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、掌握类风湿关节炎的临床表现、实验室检查、诊断及治疗。</w:t>
      </w:r>
    </w:p>
    <w:p w:rsidR="003717A0" w:rsidRPr="003000C6" w:rsidRDefault="003717A0" w:rsidP="003000C6">
      <w:pPr>
        <w:pStyle w:val="12"/>
        <w:rPr>
          <w:rFonts w:ascii="宋体" w:hAnsi="宋体"/>
          <w:kern w:val="0"/>
          <w:szCs w:val="21"/>
        </w:rPr>
      </w:pPr>
      <w:r>
        <w:rPr>
          <w:rFonts w:ascii="宋体" w:hAnsi="宋体"/>
          <w:kern w:val="0"/>
          <w:szCs w:val="21"/>
        </w:rPr>
        <w:t>2</w:t>
      </w:r>
      <w:r>
        <w:rPr>
          <w:rFonts w:ascii="宋体" w:hAnsi="宋体" w:hint="eastAsia"/>
          <w:kern w:val="0"/>
          <w:szCs w:val="21"/>
        </w:rPr>
        <w:t>、了解本病的病因、发病机制和鉴别诊断。</w:t>
      </w:r>
    </w:p>
    <w:p w:rsidR="003717A0" w:rsidRDefault="003717A0">
      <w:pPr>
        <w:pStyle w:val="12"/>
        <w:ind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第四章系统性红斑狼疮</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、概念、病因和发病机制</w:t>
      </w:r>
    </w:p>
    <w:p w:rsidR="003717A0" w:rsidRDefault="003717A0">
      <w:pPr>
        <w:pStyle w:val="12"/>
        <w:rPr>
          <w:rFonts w:ascii="宋体"/>
          <w:kern w:val="0"/>
          <w:szCs w:val="21"/>
        </w:rPr>
      </w:pPr>
      <w:r>
        <w:rPr>
          <w:rFonts w:ascii="宋体" w:hAnsi="宋体" w:hint="eastAsia"/>
          <w:kern w:val="0"/>
          <w:szCs w:val="21"/>
        </w:rPr>
        <w:t>与遗传、环境、性激素有关，免疫复合物形成及沉积、致病性自身抗体造成组织损伤。</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、病理</w:t>
      </w:r>
    </w:p>
    <w:p w:rsidR="003717A0" w:rsidRDefault="003717A0">
      <w:pPr>
        <w:pStyle w:val="12"/>
        <w:rPr>
          <w:rFonts w:ascii="宋体"/>
          <w:kern w:val="0"/>
          <w:szCs w:val="21"/>
        </w:rPr>
      </w:pPr>
      <w:r>
        <w:rPr>
          <w:rFonts w:ascii="宋体" w:hAnsi="宋体" w:hint="eastAsia"/>
          <w:kern w:val="0"/>
          <w:szCs w:val="21"/>
        </w:rPr>
        <w:t>结缔组织纤维蛋白变性、基质粘液水肿，血管炎，苏木紫小体、洋葱皮样改变，肾脏病变。</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多系统、脏器损害。全身症状，皮肤粘膜、骨关节肌肉、肾、心血管、肺、神经、消化、血液系统表现，抗磷脂抗体综合征，干燥综合征，眼症状。</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、实验室检查</w:t>
      </w:r>
    </w:p>
    <w:p w:rsidR="003717A0" w:rsidRDefault="003717A0">
      <w:pPr>
        <w:pStyle w:val="12"/>
        <w:rPr>
          <w:rFonts w:ascii="宋体"/>
          <w:kern w:val="0"/>
          <w:szCs w:val="21"/>
        </w:rPr>
      </w:pPr>
      <w:r>
        <w:rPr>
          <w:rFonts w:ascii="宋体" w:hAnsi="宋体" w:hint="eastAsia"/>
          <w:kern w:val="0"/>
          <w:szCs w:val="21"/>
        </w:rPr>
        <w:t>血尿常规、血沉、肾功、肝功及脑脊液常规生化，自身抗体、补体和狼疮带检查，免疫病理检查，肾活检病理检查。</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、诊断及鉴别诊断</w:t>
      </w:r>
    </w:p>
    <w:p w:rsidR="003717A0" w:rsidRDefault="003717A0">
      <w:pPr>
        <w:pStyle w:val="12"/>
        <w:rPr>
          <w:rFonts w:ascii="宋体"/>
          <w:kern w:val="0"/>
          <w:szCs w:val="21"/>
        </w:rPr>
      </w:pPr>
      <w:r>
        <w:rPr>
          <w:rFonts w:ascii="宋体" w:hAnsi="宋体" w:hint="eastAsia"/>
          <w:kern w:val="0"/>
          <w:szCs w:val="21"/>
        </w:rPr>
        <w:t>美国风湿病协会（</w:t>
      </w:r>
      <w:r>
        <w:rPr>
          <w:rFonts w:ascii="宋体" w:hAnsi="宋体"/>
          <w:kern w:val="0"/>
          <w:szCs w:val="21"/>
        </w:rPr>
        <w:t>ACR</w:t>
      </w:r>
      <w:r>
        <w:rPr>
          <w:rFonts w:ascii="宋体" w:hAnsi="宋体" w:hint="eastAsia"/>
          <w:kern w:val="0"/>
          <w:szCs w:val="21"/>
        </w:rPr>
        <w:t>）</w:t>
      </w:r>
      <w:r>
        <w:rPr>
          <w:rFonts w:ascii="宋体" w:hAnsi="宋体"/>
          <w:kern w:val="0"/>
          <w:szCs w:val="21"/>
        </w:rPr>
        <w:t>1997</w:t>
      </w:r>
      <w:r>
        <w:rPr>
          <w:rFonts w:ascii="宋体" w:hAnsi="宋体" w:hint="eastAsia"/>
          <w:kern w:val="0"/>
          <w:szCs w:val="21"/>
        </w:rPr>
        <w:t>年分类标准中</w:t>
      </w:r>
      <w:r>
        <w:rPr>
          <w:rFonts w:ascii="宋体" w:hAnsi="宋体"/>
          <w:kern w:val="0"/>
          <w:szCs w:val="21"/>
        </w:rPr>
        <w:t>11</w:t>
      </w:r>
      <w:r>
        <w:rPr>
          <w:rFonts w:ascii="宋体" w:hAnsi="宋体" w:hint="eastAsia"/>
          <w:kern w:val="0"/>
          <w:szCs w:val="21"/>
        </w:rPr>
        <w:t>项具备</w:t>
      </w:r>
      <w:r>
        <w:rPr>
          <w:rFonts w:ascii="宋体" w:hAnsi="宋体"/>
          <w:kern w:val="0"/>
          <w:szCs w:val="21"/>
        </w:rPr>
        <w:t>4</w:t>
      </w:r>
      <w:r>
        <w:rPr>
          <w:rFonts w:ascii="宋体" w:hAnsi="宋体" w:hint="eastAsia"/>
          <w:kern w:val="0"/>
          <w:szCs w:val="21"/>
        </w:rPr>
        <w:t>项或</w:t>
      </w:r>
      <w:r>
        <w:rPr>
          <w:rFonts w:ascii="宋体" w:hAnsi="宋体"/>
          <w:kern w:val="0"/>
          <w:szCs w:val="21"/>
        </w:rPr>
        <w:t>4</w:t>
      </w:r>
      <w:r>
        <w:rPr>
          <w:rFonts w:ascii="宋体" w:hAnsi="宋体" w:hint="eastAsia"/>
          <w:kern w:val="0"/>
          <w:szCs w:val="21"/>
        </w:rPr>
        <w:t>项以上即可诊断，判定活动的严重程度。与其他有多系统损害的结缔组织疾病、药物性狼疮等鉴别。</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）糖皮质激素：泼尼松、泼尼松龙、甲泼尼龙，免疫抑制剂：环磷酰胺、硫唑嘌呤、环孢素等。</w:t>
      </w:r>
    </w:p>
    <w:p w:rsidR="003717A0" w:rsidRDefault="003717A0">
      <w:pPr>
        <w:pStyle w:val="12"/>
        <w:ind w:firstLineChars="100" w:firstLine="21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）静注丙种球蛋白，控制合并症，系统性红斑狼疮妊娠处理，治疗原则。</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床边示教并结合病例讨论，</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、病例临床表现（包括特异性皮疹表现）、实验室异常、诊断标准。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、病例自身抗体检测的临床意义和治疗对策。</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、掌握系统性红斑狼疮的临床表现、实验室检查、诊断及治疗。</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、了解本病的病因、发病机制及病理特点。</w:t>
      </w:r>
    </w:p>
    <w:p w:rsidR="003717A0" w:rsidRDefault="003717A0">
      <w:pPr>
        <w:pStyle w:val="12"/>
        <w:ind w:firstLine="42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第五章脊柱关节炎（自学）</w:t>
      </w:r>
    </w:p>
    <w:p w:rsidR="003717A0" w:rsidRDefault="003717A0">
      <w:pPr>
        <w:pStyle w:val="12"/>
        <w:rPr>
          <w:rFonts w:ascii="宋体"/>
          <w:b/>
          <w:kern w:val="0"/>
          <w:szCs w:val="21"/>
        </w:rPr>
      </w:pPr>
      <w:r>
        <w:rPr>
          <w:rFonts w:ascii="宋体" w:hAnsi="宋体" w:hint="eastAsia"/>
          <w:b/>
          <w:kern w:val="0"/>
          <w:szCs w:val="21"/>
        </w:rPr>
        <w:t>第一节强直性脊柱炎</w:t>
      </w:r>
    </w:p>
    <w:p w:rsidR="003717A0" w:rsidRDefault="003717A0">
      <w:pPr>
        <w:pStyle w:val="12"/>
        <w:rPr>
          <w:rFonts w:ascii="宋体"/>
          <w:b/>
          <w:kern w:val="0"/>
          <w:szCs w:val="21"/>
        </w:rPr>
      </w:pPr>
      <w:r>
        <w:rPr>
          <w:rFonts w:ascii="宋体" w:hAnsi="宋体" w:hint="eastAsia"/>
          <w:b/>
          <w:kern w:val="0"/>
          <w:szCs w:val="21"/>
        </w:rPr>
        <w:t>自学内容</w:t>
      </w:r>
    </w:p>
    <w:p w:rsidR="003717A0" w:rsidRPr="003000C6" w:rsidRDefault="003717A0">
      <w:pPr>
        <w:pStyle w:val="12"/>
        <w:ind w:firstLineChars="196" w:firstLine="412"/>
        <w:rPr>
          <w:rFonts w:ascii="宋体" w:hAnsi="宋体"/>
          <w:kern w:val="0"/>
          <w:szCs w:val="21"/>
        </w:rPr>
      </w:pPr>
      <w:r>
        <w:rPr>
          <w:rFonts w:ascii="宋体" w:hAnsi="宋体"/>
          <w:kern w:val="0"/>
          <w:szCs w:val="21"/>
        </w:rPr>
        <w:t>1</w:t>
      </w:r>
      <w:r>
        <w:rPr>
          <w:rFonts w:ascii="宋体" w:hAnsi="宋体" w:hint="eastAsia"/>
          <w:kern w:val="0"/>
          <w:szCs w:val="21"/>
        </w:rPr>
        <w:t>、阐述血清阴性关节病的概述及其所包括的疾病。</w:t>
      </w:r>
    </w:p>
    <w:p w:rsidR="003717A0" w:rsidRPr="003000C6" w:rsidRDefault="003717A0" w:rsidP="003000C6">
      <w:pPr>
        <w:pStyle w:val="12"/>
        <w:ind w:firstLineChars="196" w:firstLine="412"/>
        <w:rPr>
          <w:rFonts w:ascii="宋体" w:hAnsi="宋体"/>
          <w:kern w:val="0"/>
          <w:szCs w:val="21"/>
        </w:rPr>
      </w:pPr>
      <w:r>
        <w:rPr>
          <w:rFonts w:ascii="宋体" w:hAnsi="宋体"/>
          <w:kern w:val="0"/>
          <w:szCs w:val="21"/>
        </w:rPr>
        <w:t>2</w:t>
      </w:r>
      <w:r>
        <w:rPr>
          <w:rFonts w:ascii="宋体" w:hAnsi="宋体" w:hint="eastAsia"/>
          <w:kern w:val="0"/>
          <w:szCs w:val="21"/>
        </w:rPr>
        <w:t>、强直性脊柱炎是血清阴性关节炎病中的一个代表性疾病，它是不同于类风湿关节炎</w:t>
      </w:r>
    </w:p>
    <w:p w:rsidR="003717A0" w:rsidRPr="003000C6" w:rsidRDefault="003717A0" w:rsidP="003000C6">
      <w:pPr>
        <w:pStyle w:val="12"/>
        <w:ind w:firstLineChars="196" w:firstLine="412"/>
        <w:rPr>
          <w:rFonts w:ascii="宋体" w:hAnsi="宋体"/>
          <w:kern w:val="0"/>
          <w:szCs w:val="21"/>
        </w:rPr>
      </w:pPr>
      <w:r>
        <w:rPr>
          <w:rFonts w:ascii="宋体" w:hAnsi="宋体" w:hint="eastAsia"/>
          <w:kern w:val="0"/>
          <w:szCs w:val="21"/>
        </w:rPr>
        <w:t>的一个独立的疾病。</w:t>
      </w:r>
    </w:p>
    <w:p w:rsidR="003717A0" w:rsidRPr="003000C6" w:rsidRDefault="003717A0" w:rsidP="003000C6">
      <w:pPr>
        <w:pStyle w:val="12"/>
        <w:ind w:firstLineChars="196" w:firstLine="412"/>
        <w:rPr>
          <w:rFonts w:ascii="宋体" w:hAnsi="宋体"/>
          <w:kern w:val="0"/>
          <w:szCs w:val="21"/>
        </w:rPr>
      </w:pPr>
      <w:r>
        <w:rPr>
          <w:rFonts w:ascii="宋体" w:hAnsi="宋体"/>
          <w:kern w:val="0"/>
          <w:szCs w:val="21"/>
        </w:rPr>
        <w:t>3</w:t>
      </w:r>
      <w:r>
        <w:rPr>
          <w:rFonts w:ascii="宋体" w:hAnsi="宋体" w:hint="eastAsia"/>
          <w:kern w:val="0"/>
          <w:szCs w:val="21"/>
        </w:rPr>
        <w:t>、强直性脊柱炎的病因和发病机理：感染和本病的关系。</w:t>
      </w:r>
    </w:p>
    <w:p w:rsidR="003717A0" w:rsidRPr="003000C6" w:rsidRDefault="003717A0" w:rsidP="003000C6">
      <w:pPr>
        <w:pStyle w:val="12"/>
        <w:ind w:firstLineChars="196" w:firstLine="412"/>
        <w:rPr>
          <w:rFonts w:ascii="宋体" w:hAnsi="宋体"/>
          <w:kern w:val="0"/>
          <w:szCs w:val="21"/>
        </w:rPr>
      </w:pPr>
      <w:r>
        <w:rPr>
          <w:rFonts w:ascii="宋体" w:hAnsi="宋体"/>
          <w:kern w:val="0"/>
          <w:szCs w:val="21"/>
        </w:rPr>
        <w:t>4</w:t>
      </w:r>
      <w:r>
        <w:rPr>
          <w:rFonts w:ascii="宋体" w:hAnsi="宋体" w:hint="eastAsia"/>
          <w:kern w:val="0"/>
          <w:szCs w:val="21"/>
        </w:rPr>
        <w:t>、临床表现：包括主要的症状、体征和</w:t>
      </w:r>
      <w:r>
        <w:rPr>
          <w:rFonts w:ascii="宋体" w:hAnsi="宋体"/>
          <w:kern w:val="0"/>
          <w:szCs w:val="21"/>
        </w:rPr>
        <w:t>X</w:t>
      </w:r>
      <w:r>
        <w:rPr>
          <w:rFonts w:ascii="宋体" w:hAnsi="宋体" w:hint="eastAsia"/>
          <w:kern w:val="0"/>
          <w:szCs w:val="21"/>
        </w:rPr>
        <w:t>线特点。</w:t>
      </w:r>
    </w:p>
    <w:p w:rsidR="003717A0" w:rsidRPr="003000C6" w:rsidRDefault="003717A0" w:rsidP="003000C6">
      <w:pPr>
        <w:pStyle w:val="12"/>
        <w:ind w:firstLineChars="196" w:firstLine="412"/>
        <w:rPr>
          <w:rFonts w:ascii="宋体" w:hAnsi="宋体"/>
          <w:kern w:val="0"/>
          <w:szCs w:val="21"/>
        </w:rPr>
      </w:pPr>
      <w:r>
        <w:rPr>
          <w:rFonts w:ascii="宋体" w:hAnsi="宋体"/>
          <w:kern w:val="0"/>
          <w:szCs w:val="21"/>
        </w:rPr>
        <w:t>5</w:t>
      </w:r>
      <w:r>
        <w:rPr>
          <w:rFonts w:ascii="宋体" w:hAnsi="宋体" w:hint="eastAsia"/>
          <w:kern w:val="0"/>
          <w:szCs w:val="21"/>
        </w:rPr>
        <w:t>、诊断标准和早期诊断的重要意义。</w:t>
      </w:r>
    </w:p>
    <w:p w:rsidR="003717A0" w:rsidRPr="003000C6" w:rsidRDefault="003717A0" w:rsidP="003000C6">
      <w:pPr>
        <w:pStyle w:val="12"/>
        <w:ind w:firstLineChars="196" w:firstLine="412"/>
        <w:rPr>
          <w:rFonts w:ascii="宋体" w:hAnsi="宋体"/>
          <w:kern w:val="0"/>
          <w:szCs w:val="21"/>
        </w:rPr>
      </w:pPr>
      <w:r>
        <w:rPr>
          <w:rFonts w:ascii="宋体" w:hAnsi="宋体"/>
          <w:kern w:val="0"/>
          <w:szCs w:val="21"/>
        </w:rPr>
        <w:t>6</w:t>
      </w:r>
      <w:r>
        <w:rPr>
          <w:rFonts w:ascii="宋体" w:hAnsi="宋体" w:hint="eastAsia"/>
          <w:kern w:val="0"/>
          <w:szCs w:val="21"/>
        </w:rPr>
        <w:t>、鉴别诊断：与类风湿关节炎及其它关节病的区别。</w:t>
      </w:r>
    </w:p>
    <w:p w:rsidR="003717A0" w:rsidRPr="003000C6" w:rsidRDefault="003717A0" w:rsidP="003000C6">
      <w:pPr>
        <w:pStyle w:val="12"/>
        <w:ind w:firstLineChars="196" w:firstLine="412"/>
        <w:rPr>
          <w:rFonts w:ascii="宋体" w:hAnsi="宋体"/>
          <w:kern w:val="0"/>
          <w:szCs w:val="21"/>
        </w:rPr>
      </w:pPr>
      <w:r>
        <w:rPr>
          <w:rFonts w:ascii="宋体" w:hAnsi="宋体"/>
          <w:kern w:val="0"/>
          <w:szCs w:val="21"/>
        </w:rPr>
        <w:t>7</w:t>
      </w:r>
      <w:r>
        <w:rPr>
          <w:rFonts w:ascii="宋体" w:hAnsi="宋体" w:hint="eastAsia"/>
          <w:kern w:val="0"/>
          <w:szCs w:val="21"/>
        </w:rPr>
        <w:t>、治疗方法：</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）生活治疗：活动锻炼，体位负重等应注意。</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）药物治疗：除非甾体类抗炎药作为对症的治疗后，可采用柳氮磺胺吡啶和雷公藤等。</w:t>
      </w:r>
    </w:p>
    <w:p w:rsidR="003717A0" w:rsidRDefault="003717A0">
      <w:pPr>
        <w:pStyle w:val="12"/>
        <w:ind w:firstLineChars="200" w:firstLine="420"/>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）手术治疗。</w:t>
      </w:r>
    </w:p>
    <w:p w:rsidR="003717A0" w:rsidRDefault="003717A0">
      <w:pPr>
        <w:pStyle w:val="12"/>
        <w:rPr>
          <w:rFonts w:ascii="宋体"/>
          <w:b/>
          <w:kern w:val="0"/>
          <w:szCs w:val="21"/>
        </w:rPr>
      </w:pPr>
      <w:r>
        <w:rPr>
          <w:rFonts w:ascii="宋体" w:hAnsi="宋体" w:hint="eastAsia"/>
          <w:b/>
          <w:kern w:val="0"/>
          <w:szCs w:val="21"/>
        </w:rPr>
        <w:lastRenderedPageBreak/>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、熟悉强直性脊柱炎的病因。发病机理。</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、熟悉本病的临床表现、诊断、鉴别诊断和治疗</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、了解血清阴性关节炎的概念，本病是其中一个代表。</w:t>
      </w:r>
    </w:p>
    <w:p w:rsidR="003717A0" w:rsidRDefault="003717A0">
      <w:pPr>
        <w:pStyle w:val="12"/>
        <w:rPr>
          <w:rFonts w:ascii="宋体"/>
          <w:b/>
          <w:kern w:val="0"/>
          <w:szCs w:val="21"/>
        </w:rPr>
      </w:pPr>
    </w:p>
    <w:p w:rsidR="003717A0" w:rsidRDefault="003717A0">
      <w:pPr>
        <w:pStyle w:val="12"/>
        <w:rPr>
          <w:rFonts w:ascii="宋体"/>
          <w:b/>
          <w:kern w:val="0"/>
          <w:szCs w:val="21"/>
        </w:rPr>
      </w:pPr>
      <w:r>
        <w:rPr>
          <w:rFonts w:ascii="宋体" w:hAnsi="宋体" w:hint="eastAsia"/>
          <w:b/>
          <w:kern w:val="0"/>
          <w:szCs w:val="21"/>
        </w:rPr>
        <w:t>第二节其他脊柱关节炎</w:t>
      </w:r>
    </w:p>
    <w:p w:rsidR="003717A0" w:rsidRDefault="003717A0">
      <w:pPr>
        <w:pStyle w:val="12"/>
        <w:jc w:val="center"/>
        <w:rPr>
          <w:rFonts w:ascii="宋体"/>
          <w:b/>
          <w:kern w:val="0"/>
          <w:szCs w:val="21"/>
        </w:rPr>
      </w:pPr>
      <w:r>
        <w:rPr>
          <w:rFonts w:ascii="宋体" w:hAnsi="宋体" w:hint="eastAsia"/>
          <w:b/>
          <w:kern w:val="0"/>
          <w:szCs w:val="21"/>
        </w:rPr>
        <w:t>第六章干燥综合征</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r>
        <w:rPr>
          <w:rFonts w:ascii="宋体" w:hAnsi="宋体" w:hint="eastAsia"/>
          <w:b/>
          <w:kern w:val="0"/>
          <w:szCs w:val="21"/>
        </w:rPr>
        <w:t>第七章原发性血管炎</w:t>
      </w:r>
    </w:p>
    <w:p w:rsidR="003717A0" w:rsidRDefault="003717A0">
      <w:pPr>
        <w:pStyle w:val="12"/>
        <w:rPr>
          <w:rFonts w:ascii="宋体"/>
          <w:b/>
          <w:kern w:val="0"/>
          <w:szCs w:val="21"/>
        </w:rPr>
      </w:pPr>
      <w:r>
        <w:rPr>
          <w:rFonts w:ascii="宋体" w:hAnsi="宋体" w:hint="eastAsia"/>
          <w:b/>
          <w:kern w:val="0"/>
          <w:szCs w:val="21"/>
        </w:rPr>
        <w:t>第一节概论</w:t>
      </w:r>
    </w:p>
    <w:p w:rsidR="003717A0" w:rsidRDefault="003717A0">
      <w:pPr>
        <w:pStyle w:val="12"/>
        <w:rPr>
          <w:rFonts w:ascii="宋体"/>
          <w:b/>
          <w:kern w:val="0"/>
          <w:szCs w:val="21"/>
        </w:rPr>
      </w:pPr>
      <w:r>
        <w:rPr>
          <w:rFonts w:ascii="宋体" w:hAnsi="宋体" w:hint="eastAsia"/>
          <w:b/>
          <w:kern w:val="0"/>
          <w:szCs w:val="21"/>
        </w:rPr>
        <w:t>第二节大动脉炎</w:t>
      </w:r>
    </w:p>
    <w:p w:rsidR="003717A0" w:rsidRDefault="003717A0">
      <w:pPr>
        <w:pStyle w:val="12"/>
        <w:numPr>
          <w:ilvl w:val="0"/>
          <w:numId w:val="469"/>
        </w:numPr>
        <w:rPr>
          <w:rFonts w:ascii="宋体"/>
          <w:b/>
          <w:kern w:val="0"/>
          <w:szCs w:val="21"/>
        </w:rPr>
      </w:pPr>
      <w:r>
        <w:rPr>
          <w:rFonts w:ascii="宋体" w:hAnsi="宋体" w:hint="eastAsia"/>
          <w:b/>
          <w:kern w:val="0"/>
          <w:szCs w:val="21"/>
        </w:rPr>
        <w:t>巨细胞动脉炎</w:t>
      </w:r>
    </w:p>
    <w:p w:rsidR="003717A0" w:rsidRDefault="003717A0">
      <w:pPr>
        <w:pStyle w:val="12"/>
        <w:numPr>
          <w:ilvl w:val="0"/>
          <w:numId w:val="469"/>
        </w:numPr>
        <w:rPr>
          <w:rFonts w:ascii="宋体"/>
          <w:b/>
          <w:kern w:val="0"/>
          <w:szCs w:val="21"/>
        </w:rPr>
      </w:pPr>
      <w:r>
        <w:rPr>
          <w:rFonts w:ascii="宋体" w:hAnsi="宋体" w:hint="eastAsia"/>
          <w:b/>
          <w:kern w:val="0"/>
          <w:szCs w:val="21"/>
        </w:rPr>
        <w:t>结节性多动脉炎</w:t>
      </w:r>
    </w:p>
    <w:p w:rsidR="003717A0" w:rsidRDefault="003717A0">
      <w:pPr>
        <w:pStyle w:val="12"/>
        <w:numPr>
          <w:ilvl w:val="0"/>
          <w:numId w:val="469"/>
        </w:numPr>
        <w:rPr>
          <w:rFonts w:ascii="宋体"/>
          <w:b/>
          <w:kern w:val="0"/>
          <w:szCs w:val="21"/>
        </w:rPr>
      </w:pPr>
      <w:r>
        <w:rPr>
          <w:rFonts w:ascii="宋体" w:hAnsi="宋体" w:hint="eastAsia"/>
          <w:b/>
          <w:kern w:val="0"/>
          <w:szCs w:val="21"/>
        </w:rPr>
        <w:t>显微镜下多动脉炎</w:t>
      </w:r>
    </w:p>
    <w:p w:rsidR="003717A0" w:rsidRDefault="003717A0">
      <w:pPr>
        <w:pStyle w:val="12"/>
        <w:numPr>
          <w:ilvl w:val="0"/>
          <w:numId w:val="469"/>
        </w:numPr>
        <w:rPr>
          <w:rFonts w:ascii="宋体"/>
          <w:b/>
          <w:kern w:val="0"/>
          <w:szCs w:val="21"/>
        </w:rPr>
      </w:pPr>
      <w:r>
        <w:rPr>
          <w:rFonts w:ascii="宋体" w:hAnsi="宋体" w:hint="eastAsia"/>
          <w:b/>
          <w:kern w:val="0"/>
          <w:szCs w:val="21"/>
        </w:rPr>
        <w:t>嗜酸性肉芽肿性多动脉炎</w:t>
      </w:r>
    </w:p>
    <w:p w:rsidR="003717A0" w:rsidRDefault="003717A0">
      <w:pPr>
        <w:pStyle w:val="12"/>
        <w:numPr>
          <w:ilvl w:val="0"/>
          <w:numId w:val="469"/>
        </w:numPr>
        <w:rPr>
          <w:rFonts w:ascii="宋体"/>
          <w:b/>
          <w:kern w:val="0"/>
          <w:szCs w:val="21"/>
        </w:rPr>
      </w:pPr>
      <w:r>
        <w:rPr>
          <w:rFonts w:ascii="宋体" w:hAnsi="宋体" w:hint="eastAsia"/>
          <w:b/>
          <w:kern w:val="0"/>
          <w:szCs w:val="21"/>
        </w:rPr>
        <w:t>肉芽肿性多动脉炎</w:t>
      </w:r>
    </w:p>
    <w:p w:rsidR="003717A0" w:rsidRDefault="003717A0">
      <w:pPr>
        <w:pStyle w:val="12"/>
        <w:numPr>
          <w:ilvl w:val="0"/>
          <w:numId w:val="469"/>
        </w:numPr>
        <w:rPr>
          <w:rFonts w:ascii="宋体"/>
          <w:b/>
          <w:kern w:val="0"/>
          <w:szCs w:val="21"/>
        </w:rPr>
      </w:pPr>
      <w:r>
        <w:rPr>
          <w:rFonts w:ascii="宋体" w:hAnsi="宋体" w:hint="eastAsia"/>
          <w:b/>
          <w:kern w:val="0"/>
          <w:szCs w:val="21"/>
        </w:rPr>
        <w:t>贝赫切特病</w:t>
      </w:r>
    </w:p>
    <w:p w:rsidR="003717A0" w:rsidRDefault="003717A0">
      <w:pPr>
        <w:pStyle w:val="12"/>
        <w:jc w:val="center"/>
        <w:rPr>
          <w:rFonts w:ascii="宋体"/>
          <w:b/>
          <w:kern w:val="0"/>
          <w:szCs w:val="21"/>
        </w:rPr>
      </w:pPr>
      <w:r>
        <w:rPr>
          <w:rFonts w:ascii="宋体" w:hAnsi="宋体" w:hint="eastAsia"/>
          <w:b/>
          <w:kern w:val="0"/>
          <w:szCs w:val="21"/>
        </w:rPr>
        <w:t>第八章特发性炎症性肌病</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第九章系统性硬化病</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第十章雷诺现象与雷诺病</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第十一章骨关节炎</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第十二章痛风（自学）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、痛风的定义</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、痛风的临床表现，高尿酸血症和代谢综合征的关系。</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、诊断依据：临床表现、辅助检查、病因、诱因。</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、鉴别诊断：痛风与类风湿性关节炎、风湿性关节炎、假性关节炎、骨肿瘤的鉴别。</w:t>
      </w:r>
    </w:p>
    <w:p w:rsidR="003717A0" w:rsidRDefault="003717A0">
      <w:pPr>
        <w:pStyle w:val="12"/>
        <w:ind w:firstLineChars="200" w:firstLine="420"/>
        <w:rPr>
          <w:rFonts w:ascii="宋体"/>
          <w:kern w:val="0"/>
          <w:szCs w:val="21"/>
        </w:rPr>
      </w:pPr>
      <w:r>
        <w:rPr>
          <w:rFonts w:ascii="宋体" w:hAnsi="宋体"/>
          <w:kern w:val="0"/>
          <w:szCs w:val="21"/>
        </w:rPr>
        <w:t>5</w:t>
      </w:r>
      <w:r>
        <w:rPr>
          <w:rFonts w:ascii="宋体" w:hAnsi="宋体" w:hint="eastAsia"/>
          <w:kern w:val="0"/>
          <w:szCs w:val="21"/>
        </w:rPr>
        <w:t>、治疗原则：</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）、一般治疗</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、病因及诱因治疗</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、痛风急性发作期、间歇期和慢性期的药物选择和应用。</w:t>
      </w:r>
    </w:p>
    <w:p w:rsidR="003717A0" w:rsidRDefault="003717A0">
      <w:pPr>
        <w:pStyle w:val="12"/>
        <w:ind w:firstLineChars="150" w:firstLine="315"/>
        <w:rPr>
          <w:rFonts w:ascii="宋体"/>
          <w:kern w:val="0"/>
          <w:szCs w:val="21"/>
        </w:rPr>
      </w:pPr>
      <w:r>
        <w:rPr>
          <w:rFonts w:ascii="宋体" w:hAnsi="宋体" w:hint="eastAsia"/>
          <w:kern w:val="0"/>
          <w:szCs w:val="21"/>
        </w:rPr>
        <w:t>（</w:t>
      </w:r>
      <w:r>
        <w:rPr>
          <w:rFonts w:ascii="宋体" w:hAnsi="宋体"/>
          <w:kern w:val="0"/>
          <w:szCs w:val="21"/>
        </w:rPr>
        <w:t>4)</w:t>
      </w:r>
      <w:r>
        <w:rPr>
          <w:rFonts w:ascii="宋体" w:hAnsi="宋体" w:hint="eastAsia"/>
          <w:kern w:val="0"/>
          <w:szCs w:val="21"/>
        </w:rPr>
        <w:t>、高尿酸血症和痛风的预防</w:t>
      </w:r>
    </w:p>
    <w:p w:rsidR="003717A0" w:rsidRDefault="003717A0">
      <w:pPr>
        <w:pStyle w:val="12"/>
        <w:rPr>
          <w:rFonts w:ascii="宋体"/>
          <w:b/>
          <w:kern w:val="0"/>
          <w:szCs w:val="21"/>
        </w:rPr>
      </w:pPr>
      <w:r>
        <w:rPr>
          <w:rFonts w:ascii="宋体" w:hAnsi="宋体" w:hint="eastAsia"/>
          <w:b/>
          <w:kern w:val="0"/>
          <w:szCs w:val="21"/>
        </w:rPr>
        <w:t>目的要求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、掌握痛风的临床表现、诊断和鉴别要点。</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、掌握痛风急性发作期，间歇期和慢性期治疗的基本原则及主要药物的应用。</w:t>
      </w:r>
    </w:p>
    <w:p w:rsidR="003717A0" w:rsidRDefault="003717A0">
      <w:pPr>
        <w:pStyle w:val="12"/>
        <w:ind w:firstLineChars="200" w:firstLine="420"/>
        <w:rPr>
          <w:rFonts w:ascii="宋体"/>
          <w:kern w:val="0"/>
          <w:szCs w:val="21"/>
        </w:rPr>
      </w:pPr>
      <w:r>
        <w:rPr>
          <w:rFonts w:ascii="宋体" w:hAnsi="宋体"/>
          <w:kern w:val="0"/>
          <w:szCs w:val="21"/>
        </w:rPr>
        <w:t>3</w:t>
      </w:r>
      <w:r>
        <w:rPr>
          <w:rFonts w:ascii="宋体" w:hAnsi="宋体" w:hint="eastAsia"/>
          <w:kern w:val="0"/>
          <w:szCs w:val="21"/>
        </w:rPr>
        <w:t>、熟悉高尿酸血症、痛风和代谢综合征的关系。</w:t>
      </w:r>
    </w:p>
    <w:p w:rsidR="003717A0" w:rsidRDefault="003717A0">
      <w:pPr>
        <w:pStyle w:val="12"/>
        <w:ind w:firstLineChars="200" w:firstLine="420"/>
        <w:rPr>
          <w:rFonts w:ascii="宋体"/>
          <w:kern w:val="0"/>
          <w:szCs w:val="21"/>
        </w:rPr>
      </w:pPr>
      <w:r>
        <w:rPr>
          <w:rFonts w:ascii="宋体" w:hAnsi="宋体"/>
          <w:kern w:val="0"/>
          <w:szCs w:val="21"/>
        </w:rPr>
        <w:t>4</w:t>
      </w:r>
      <w:r>
        <w:rPr>
          <w:rFonts w:ascii="宋体" w:hAnsi="宋体" w:hint="eastAsia"/>
          <w:kern w:val="0"/>
          <w:szCs w:val="21"/>
        </w:rPr>
        <w:t>、了解高尿酸血症及痛风的病因和分类</w:t>
      </w:r>
    </w:p>
    <w:p w:rsidR="003717A0" w:rsidRDefault="003717A0">
      <w:pPr>
        <w:pStyle w:val="12"/>
        <w:ind w:firstLineChars="100" w:firstLine="210"/>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第十三章骨质疏松症</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第十四章纤维肌痛综合征</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第九篇理化因素所致疾病</w:t>
      </w:r>
    </w:p>
    <w:p w:rsidR="003717A0" w:rsidRDefault="003717A0">
      <w:pPr>
        <w:pStyle w:val="12"/>
        <w:jc w:val="center"/>
        <w:rPr>
          <w:rFonts w:ascii="宋体"/>
          <w:b/>
          <w:kern w:val="0"/>
          <w:szCs w:val="21"/>
        </w:rPr>
      </w:pPr>
    </w:p>
    <w:p w:rsidR="003717A0" w:rsidRDefault="003717A0">
      <w:pPr>
        <w:pStyle w:val="12"/>
        <w:jc w:val="center"/>
        <w:rPr>
          <w:rFonts w:ascii="宋体"/>
          <w:b/>
          <w:kern w:val="0"/>
          <w:szCs w:val="21"/>
        </w:rPr>
      </w:pPr>
      <w:r>
        <w:rPr>
          <w:rFonts w:ascii="宋体" w:hAnsi="宋体" w:hint="eastAsia"/>
          <w:b/>
          <w:kern w:val="0"/>
          <w:szCs w:val="21"/>
        </w:rPr>
        <w:t>第一章总论（自学）</w:t>
      </w:r>
    </w:p>
    <w:p w:rsidR="003717A0" w:rsidRDefault="003717A0">
      <w:pPr>
        <w:pStyle w:val="12"/>
        <w:rPr>
          <w:rFonts w:ascii="宋体"/>
          <w:b/>
          <w:kern w:val="0"/>
          <w:szCs w:val="21"/>
        </w:rPr>
      </w:pPr>
      <w:r>
        <w:rPr>
          <w:rFonts w:ascii="宋体" w:hAnsi="宋体" w:hint="eastAsia"/>
          <w:b/>
          <w:kern w:val="0"/>
          <w:szCs w:val="21"/>
        </w:rPr>
        <w:t>自学内容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、概述、理化因素所致疾病的诊治原则。</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、病因及靶部位环境中多数理化因素都可测量，可辅助病因诊断。各种毒物都有其靶部位。</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、剂量</w:t>
      </w:r>
      <w:r>
        <w:rPr>
          <w:rFonts w:ascii="宋体" w:hAnsi="宋体"/>
          <w:kern w:val="0"/>
          <w:szCs w:val="21"/>
        </w:rPr>
        <w:t>—</w:t>
      </w:r>
      <w:r>
        <w:rPr>
          <w:rFonts w:ascii="宋体" w:hAnsi="宋体" w:hint="eastAsia"/>
          <w:kern w:val="0"/>
          <w:szCs w:val="21"/>
        </w:rPr>
        <w:t>效应关系</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、流行病学调查分析</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、防治原则脱离中毒环境，维持生命体征，针对病因和发病机制，对因、对症治疗。</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hint="eastAsia"/>
          <w:kern w:val="0"/>
          <w:szCs w:val="21"/>
        </w:rPr>
        <w:t>了解常见各种有害因素的理化性质，理化因素所致疾病的诊治原则。</w:t>
      </w:r>
    </w:p>
    <w:p w:rsidR="003717A0" w:rsidRDefault="003717A0">
      <w:pPr>
        <w:pStyle w:val="12"/>
        <w:rPr>
          <w:rFonts w:ascii="宋体"/>
          <w:kern w:val="0"/>
          <w:szCs w:val="21"/>
        </w:rPr>
      </w:pPr>
    </w:p>
    <w:p w:rsidR="003717A0" w:rsidRDefault="003717A0">
      <w:pPr>
        <w:pStyle w:val="12"/>
        <w:jc w:val="center"/>
        <w:rPr>
          <w:rFonts w:ascii="宋体"/>
          <w:b/>
          <w:kern w:val="0"/>
          <w:szCs w:val="21"/>
        </w:rPr>
      </w:pPr>
      <w:r>
        <w:rPr>
          <w:rFonts w:ascii="宋体" w:hAnsi="宋体" w:hint="eastAsia"/>
          <w:b/>
          <w:kern w:val="0"/>
          <w:szCs w:val="21"/>
        </w:rPr>
        <w:t>第二章中毒</w:t>
      </w:r>
    </w:p>
    <w:p w:rsidR="003717A0" w:rsidRDefault="003717A0">
      <w:pPr>
        <w:pStyle w:val="12"/>
        <w:rPr>
          <w:rFonts w:ascii="宋体"/>
          <w:b/>
          <w:kern w:val="0"/>
          <w:szCs w:val="21"/>
        </w:rPr>
      </w:pPr>
      <w:r>
        <w:rPr>
          <w:rFonts w:ascii="宋体" w:hAnsi="宋体" w:hint="eastAsia"/>
          <w:b/>
          <w:kern w:val="0"/>
          <w:szCs w:val="21"/>
        </w:rPr>
        <w:t>第一节概述</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、概述中毒概念，毒物分类，中毒病因和发病机制。</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、原因和中毒机制职业性与生活性中毒，毒物的吸收、代谢和排出途径及影响毒物作用的因素。</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）急性中毒：皮肤粘膜、眼、神经、呼吸循环、泌尿血液系统症状及发热。</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）慢性中毒：神经、消化、泌尿、血液及骨骼系统症状。</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、诊断依据接触史、临床表现和实验室检查作出诊断。</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）急性中毒：停止毒物接触，消除体内未吸收毒物：催吐、洗胃、导泻及灌肠，促进吸收毒物排出：利尿、供氧及血液净化，特殊解毒药，对症治疗。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）慢性中毒：解毒疗法和对症治疗。</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）治疗指南。</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通过录像，了解中毒的临床表现及处理原则。</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、掌握急性中毒的临床表现、诊断方法和治疗原则。</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、了解中毒原因和机制</w:t>
      </w:r>
    </w:p>
    <w:p w:rsidR="003717A0" w:rsidRDefault="003717A0">
      <w:pPr>
        <w:pStyle w:val="12"/>
        <w:rPr>
          <w:rFonts w:ascii="宋体"/>
          <w:b/>
          <w:kern w:val="0"/>
          <w:szCs w:val="21"/>
        </w:rPr>
      </w:pPr>
      <w:r>
        <w:rPr>
          <w:rFonts w:ascii="宋体" w:hAnsi="宋体" w:hint="eastAsia"/>
          <w:b/>
          <w:kern w:val="0"/>
          <w:szCs w:val="21"/>
        </w:rPr>
        <w:t>第二节农药中毒</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、概述有机磷杀虫药在农业生产上的意义及其理化特性、毒力和类别。</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、病因及发病机制生产生活性中毒，毒物吸收途径及在体内代谢过程，抑制胆碱酯酶而致。</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、临床表现毒蕈碱样、烟碱样及中枢神经系统症状，迟发多发性脑病，中间综合征，局部损害。</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、辅助检查血胆碱酯酶测定。</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、诊断及鉴别诊断依接触史、临床表现及胆碱酯酶可确诊，与中暑、急性胃肠炎、脑炎鉴别。</w:t>
      </w:r>
    </w:p>
    <w:p w:rsidR="003717A0" w:rsidRDefault="003717A0">
      <w:pPr>
        <w:pStyle w:val="12"/>
        <w:rPr>
          <w:rFonts w:ascii="宋体"/>
          <w:kern w:val="0"/>
          <w:szCs w:val="21"/>
        </w:rPr>
      </w:pPr>
      <w:r>
        <w:rPr>
          <w:rFonts w:ascii="宋体" w:hAnsi="宋体"/>
          <w:kern w:val="0"/>
          <w:szCs w:val="21"/>
        </w:rPr>
        <w:t>6</w:t>
      </w:r>
      <w:r>
        <w:rPr>
          <w:rFonts w:ascii="宋体" w:hAnsi="宋体" w:hint="eastAsia"/>
          <w:kern w:val="0"/>
          <w:szCs w:val="21"/>
        </w:rPr>
        <w:t>、治疗彻底清洗毒物，阿托品及胆碱酯酶复能剂的应用。</w:t>
      </w:r>
    </w:p>
    <w:p w:rsidR="003717A0" w:rsidRDefault="003717A0">
      <w:pPr>
        <w:pStyle w:val="12"/>
        <w:rPr>
          <w:rFonts w:ascii="宋体"/>
          <w:b/>
          <w:kern w:val="0"/>
          <w:szCs w:val="21"/>
        </w:rPr>
      </w:pPr>
      <w:r>
        <w:rPr>
          <w:rFonts w:ascii="宋体" w:hAnsi="宋体" w:hint="eastAsia"/>
          <w:b/>
          <w:kern w:val="0"/>
          <w:szCs w:val="21"/>
        </w:rPr>
        <w:t>见习内容</w:t>
      </w:r>
    </w:p>
    <w:p w:rsidR="003717A0" w:rsidRDefault="003717A0">
      <w:pPr>
        <w:pStyle w:val="12"/>
        <w:ind w:firstLineChars="200" w:firstLine="420"/>
        <w:rPr>
          <w:rFonts w:ascii="宋体"/>
          <w:kern w:val="0"/>
          <w:szCs w:val="21"/>
        </w:rPr>
      </w:pPr>
      <w:r>
        <w:rPr>
          <w:rFonts w:ascii="宋体" w:hAnsi="宋体" w:hint="eastAsia"/>
          <w:kern w:val="0"/>
          <w:szCs w:val="21"/>
        </w:rPr>
        <w:t>通过录像，熟悉有机磷杀虫剂中毒的的临床表现和处理原则。</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、掌握有机磷杀虫药中毒的临床表现、诊断、鉴别诊断、治疗及预防措施。</w:t>
      </w:r>
    </w:p>
    <w:p w:rsidR="003717A0" w:rsidRDefault="003717A0">
      <w:pPr>
        <w:pStyle w:val="12"/>
        <w:rPr>
          <w:rFonts w:ascii="宋体"/>
          <w:kern w:val="0"/>
          <w:szCs w:val="21"/>
        </w:rPr>
      </w:pPr>
      <w:r>
        <w:rPr>
          <w:rFonts w:ascii="宋体" w:hAnsi="宋体"/>
          <w:kern w:val="0"/>
          <w:szCs w:val="21"/>
        </w:rPr>
        <w:lastRenderedPageBreak/>
        <w:t>2</w:t>
      </w:r>
      <w:r>
        <w:rPr>
          <w:rFonts w:ascii="宋体" w:hAnsi="宋体" w:hint="eastAsia"/>
          <w:kern w:val="0"/>
          <w:szCs w:val="21"/>
        </w:rPr>
        <w:t>、了解有机磷杀虫药中毒的原理。</w:t>
      </w: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第三节急性毒品中毒</w:t>
      </w:r>
    </w:p>
    <w:p w:rsidR="003717A0" w:rsidRDefault="003717A0">
      <w:pPr>
        <w:pStyle w:val="12"/>
        <w:rPr>
          <w:rFonts w:ascii="宋体"/>
          <w:b/>
          <w:kern w:val="0"/>
          <w:szCs w:val="21"/>
        </w:rPr>
      </w:pPr>
      <w:r>
        <w:rPr>
          <w:rFonts w:ascii="宋体" w:hAnsi="宋体" w:hint="eastAsia"/>
          <w:b/>
          <w:kern w:val="0"/>
          <w:szCs w:val="21"/>
        </w:rPr>
        <w:t>第四节急性乙醇中毒</w:t>
      </w:r>
    </w:p>
    <w:p w:rsidR="003717A0" w:rsidRDefault="003717A0">
      <w:pPr>
        <w:pStyle w:val="12"/>
        <w:rPr>
          <w:rFonts w:ascii="宋体"/>
          <w:b/>
          <w:kern w:val="0"/>
          <w:szCs w:val="21"/>
        </w:rPr>
      </w:pPr>
      <w:r>
        <w:rPr>
          <w:rFonts w:ascii="宋体" w:hAnsi="宋体" w:hint="eastAsia"/>
          <w:b/>
          <w:kern w:val="0"/>
          <w:szCs w:val="21"/>
        </w:rPr>
        <w:t>第五节镇静催眠药中毒</w:t>
      </w: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、概述与发病机制概念、分类。药物作用于大脑引起镇静催眠、异常抑制和麻醉作用。</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、临床表现</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）急性中毒：意识障碍和呼吸抑制，分轻、中、重三度。</w:t>
      </w:r>
    </w:p>
    <w:p w:rsidR="003717A0" w:rsidRDefault="003717A0">
      <w:pPr>
        <w:pStyle w:val="12"/>
        <w:rPr>
          <w:rFonts w:asci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）慢性中毒：意识、智能、人格变化，药物依赖。戒断综合征。</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、实验室检查血药浓度测定。</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、诊断及鉴别诊断依病史、症状及排除法诊断，与脑血管意外、内源性中毒昏迷及精神病鉴别。</w:t>
      </w:r>
    </w:p>
    <w:p w:rsidR="003717A0" w:rsidRDefault="003717A0">
      <w:pPr>
        <w:pStyle w:val="12"/>
        <w:rPr>
          <w:rFonts w:ascii="宋体"/>
          <w:kern w:val="0"/>
          <w:szCs w:val="21"/>
        </w:rPr>
      </w:pPr>
      <w:r>
        <w:rPr>
          <w:rFonts w:ascii="宋体" w:hAnsi="宋体"/>
          <w:kern w:val="0"/>
          <w:szCs w:val="21"/>
        </w:rPr>
        <w:t>5</w:t>
      </w:r>
      <w:r>
        <w:rPr>
          <w:rFonts w:ascii="宋体" w:hAnsi="宋体" w:hint="eastAsia"/>
          <w:kern w:val="0"/>
          <w:szCs w:val="21"/>
        </w:rPr>
        <w:t>、治疗维持重要脏器功能，洗胃、导泻，治疗肺炎、肾衰，治疗慢性中毒和戒断综合征。</w:t>
      </w:r>
    </w:p>
    <w:p w:rsidR="003717A0" w:rsidRDefault="003717A0">
      <w:pPr>
        <w:pStyle w:val="12"/>
        <w:rPr>
          <w:rFonts w:ascii="宋体"/>
          <w:b/>
          <w:kern w:val="0"/>
          <w:szCs w:val="21"/>
        </w:rPr>
      </w:pPr>
      <w:r>
        <w:rPr>
          <w:rFonts w:ascii="宋体" w:hAnsi="宋体" w:hint="eastAsia"/>
          <w:b/>
          <w:kern w:val="0"/>
          <w:szCs w:val="21"/>
        </w:rPr>
        <w:t>目标要求</w:t>
      </w:r>
    </w:p>
    <w:p w:rsidR="003717A0" w:rsidRDefault="003717A0">
      <w:pPr>
        <w:pStyle w:val="12"/>
        <w:rPr>
          <w:rFonts w:ascii="宋体"/>
          <w:kern w:val="0"/>
          <w:szCs w:val="21"/>
        </w:rPr>
      </w:pPr>
      <w:r>
        <w:rPr>
          <w:rFonts w:ascii="宋体" w:hAnsi="宋体"/>
          <w:kern w:val="0"/>
          <w:szCs w:val="21"/>
        </w:rPr>
        <w:t>1</w:t>
      </w:r>
      <w:r>
        <w:rPr>
          <w:rFonts w:ascii="宋体" w:hAnsi="宋体" w:hint="eastAsia"/>
          <w:kern w:val="0"/>
          <w:szCs w:val="21"/>
        </w:rPr>
        <w:t>、掌握镇静催眠药中毒的临床表现、诊断要点和治疗方法。</w:t>
      </w:r>
    </w:p>
    <w:p w:rsidR="003717A0" w:rsidRDefault="003717A0">
      <w:pPr>
        <w:pStyle w:val="12"/>
        <w:rPr>
          <w:rFonts w:ascii="宋体"/>
          <w:kern w:val="0"/>
          <w:szCs w:val="21"/>
        </w:rPr>
      </w:pPr>
      <w:r>
        <w:rPr>
          <w:rFonts w:ascii="宋体" w:hAnsi="宋体"/>
          <w:kern w:val="0"/>
          <w:szCs w:val="21"/>
        </w:rPr>
        <w:t>2</w:t>
      </w:r>
      <w:r>
        <w:rPr>
          <w:rFonts w:ascii="宋体" w:hAnsi="宋体" w:hint="eastAsia"/>
          <w:kern w:val="0"/>
          <w:szCs w:val="21"/>
        </w:rPr>
        <w:t>、了解本病的的原理。</w:t>
      </w:r>
    </w:p>
    <w:p w:rsidR="003717A0" w:rsidRDefault="003717A0">
      <w:pPr>
        <w:pStyle w:val="12"/>
        <w:rPr>
          <w:rFonts w:ascii="宋体"/>
          <w:b/>
          <w:kern w:val="0"/>
          <w:szCs w:val="21"/>
        </w:rPr>
      </w:pPr>
      <w:r>
        <w:rPr>
          <w:rFonts w:ascii="宋体" w:hAnsi="宋体" w:hint="eastAsia"/>
          <w:b/>
          <w:kern w:val="0"/>
          <w:szCs w:val="21"/>
        </w:rPr>
        <w:t>第六节急性一氧化碳中毒</w:t>
      </w:r>
    </w:p>
    <w:p w:rsidR="003717A0" w:rsidRDefault="003717A0">
      <w:pPr>
        <w:pStyle w:val="12"/>
        <w:rPr>
          <w:rFonts w:ascii="宋体"/>
          <w:kern w:val="0"/>
          <w:szCs w:val="21"/>
        </w:rPr>
      </w:pPr>
    </w:p>
    <w:p w:rsidR="003717A0" w:rsidRDefault="003717A0">
      <w:pPr>
        <w:pStyle w:val="12"/>
        <w:rPr>
          <w:rFonts w:ascii="宋体"/>
          <w:kern w:val="0"/>
          <w:szCs w:val="21"/>
        </w:rPr>
      </w:pPr>
    </w:p>
    <w:p w:rsidR="003717A0" w:rsidRDefault="003717A0">
      <w:pPr>
        <w:pStyle w:val="12"/>
        <w:rPr>
          <w:rFonts w:ascii="宋体"/>
          <w:b/>
          <w:kern w:val="0"/>
          <w:szCs w:val="21"/>
        </w:rPr>
      </w:pPr>
      <w:r>
        <w:rPr>
          <w:rFonts w:ascii="宋体" w:hAnsi="宋体" w:hint="eastAsia"/>
          <w:b/>
          <w:kern w:val="0"/>
          <w:szCs w:val="21"/>
        </w:rPr>
        <w:t>教学内容</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、概述、发病机制抑制细胞色素氧化酶，引起组织缺氧，使氧合血红蛋白的解离曲线左移。</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、临床表现分轻、中、重三度，昏迷期间接并发症和迟发性脑病。</w:t>
      </w:r>
    </w:p>
    <w:p w:rsidR="003717A0" w:rsidRDefault="003717A0">
      <w:pPr>
        <w:pStyle w:val="12"/>
        <w:rPr>
          <w:rFonts w:ascii="宋体"/>
          <w:kern w:val="0"/>
          <w:szCs w:val="21"/>
        </w:rPr>
      </w:pPr>
      <w:r>
        <w:rPr>
          <w:rFonts w:ascii="宋体" w:hAnsi="宋体"/>
          <w:kern w:val="0"/>
          <w:szCs w:val="21"/>
        </w:rPr>
        <w:t>3</w:t>
      </w:r>
      <w:r>
        <w:rPr>
          <w:rFonts w:ascii="宋体" w:hAnsi="宋体" w:hint="eastAsia"/>
          <w:kern w:val="0"/>
          <w:szCs w:val="21"/>
        </w:rPr>
        <w:t>、实验室检查碳氧血红蛋白的测定。</w:t>
      </w:r>
    </w:p>
    <w:p w:rsidR="003717A0" w:rsidRDefault="003717A0">
      <w:pPr>
        <w:pStyle w:val="12"/>
        <w:rPr>
          <w:rFonts w:ascii="宋体"/>
          <w:kern w:val="0"/>
          <w:szCs w:val="21"/>
        </w:rPr>
      </w:pPr>
      <w:r>
        <w:rPr>
          <w:rFonts w:ascii="宋体" w:hAnsi="宋体"/>
          <w:kern w:val="0"/>
          <w:szCs w:val="21"/>
        </w:rPr>
        <w:t>4</w:t>
      </w:r>
      <w:r>
        <w:rPr>
          <w:rFonts w:ascii="宋体" w:hAnsi="宋体" w:hint="eastAsia"/>
          <w:kern w:val="0"/>
          <w:szCs w:val="21"/>
        </w:rPr>
        <w:t>、诊断及鉴别诊断</w:t>
      </w:r>
    </w:p>
    <w:p w:rsidR="003717A0" w:rsidRDefault="003717A0">
      <w:pPr>
        <w:pStyle w:val="12"/>
        <w:rPr>
          <w:rFonts w:ascii="宋体"/>
          <w:kern w:val="0"/>
          <w:szCs w:val="21"/>
        </w:rPr>
      </w:pPr>
      <w:r>
        <w:rPr>
          <w:rFonts w:ascii="宋体" w:hAnsi="宋体" w:hint="eastAsia"/>
          <w:kern w:val="0"/>
          <w:szCs w:val="21"/>
        </w:rPr>
        <w:t>依接触史、临床表现及碳氧血红蛋白测定可诊断，与脑血管意外、糖尿病酮症酸中毒昏迷鉴别。</w:t>
      </w:r>
    </w:p>
    <w:p w:rsidR="003717A0" w:rsidRDefault="003717A0">
      <w:pPr>
        <w:pStyle w:val="12"/>
        <w:rPr>
          <w:rFonts w:ascii="宋体"/>
          <w:b/>
          <w:kern w:val="0"/>
          <w:szCs w:val="21"/>
        </w:rPr>
      </w:pPr>
      <w:r>
        <w:rPr>
          <w:rFonts w:ascii="宋体" w:hAnsi="宋体"/>
          <w:kern w:val="0"/>
          <w:szCs w:val="21"/>
        </w:rPr>
        <w:t>5</w:t>
      </w:r>
      <w:r>
        <w:rPr>
          <w:rFonts w:ascii="宋体" w:hAnsi="宋体" w:hint="eastAsia"/>
          <w:kern w:val="0"/>
          <w:szCs w:val="21"/>
        </w:rPr>
        <w:t>、治疗脱离现场，高压氧，防治脑水肿，昏迷护理，促进脑功能恢复，防治并发症后发病。</w:t>
      </w:r>
      <w:r>
        <w:rPr>
          <w:rFonts w:ascii="宋体" w:hAnsi="宋体" w:hint="eastAsia"/>
          <w:b/>
          <w:kern w:val="0"/>
          <w:szCs w:val="21"/>
        </w:rPr>
        <w:t>目标要求</w:t>
      </w:r>
    </w:p>
    <w:p w:rsidR="003717A0" w:rsidRDefault="003717A0">
      <w:pPr>
        <w:pStyle w:val="12"/>
        <w:ind w:firstLineChars="200" w:firstLine="420"/>
        <w:rPr>
          <w:rFonts w:ascii="宋体"/>
          <w:kern w:val="0"/>
          <w:szCs w:val="21"/>
        </w:rPr>
      </w:pPr>
      <w:r>
        <w:rPr>
          <w:rFonts w:ascii="宋体" w:hAnsi="宋体"/>
          <w:kern w:val="0"/>
          <w:szCs w:val="21"/>
        </w:rPr>
        <w:t>1</w:t>
      </w:r>
      <w:r>
        <w:rPr>
          <w:rFonts w:ascii="宋体" w:hAnsi="宋体" w:hint="eastAsia"/>
          <w:kern w:val="0"/>
          <w:szCs w:val="21"/>
        </w:rPr>
        <w:t>、掌握急性一氧化碳中毒的临床表现、诊断要点和治疗方法。</w:t>
      </w:r>
    </w:p>
    <w:p w:rsidR="003717A0" w:rsidRDefault="003717A0">
      <w:pPr>
        <w:pStyle w:val="12"/>
        <w:ind w:firstLineChars="200" w:firstLine="420"/>
        <w:rPr>
          <w:rFonts w:ascii="宋体"/>
          <w:kern w:val="0"/>
          <w:szCs w:val="21"/>
        </w:rPr>
      </w:pPr>
      <w:r>
        <w:rPr>
          <w:rFonts w:ascii="宋体" w:hAnsi="宋体"/>
          <w:kern w:val="0"/>
          <w:szCs w:val="21"/>
        </w:rPr>
        <w:t>2</w:t>
      </w:r>
      <w:r>
        <w:rPr>
          <w:rFonts w:ascii="宋体" w:hAnsi="宋体" w:hint="eastAsia"/>
          <w:kern w:val="0"/>
          <w:szCs w:val="21"/>
        </w:rPr>
        <w:t>、了解本病的发病机制。</w:t>
      </w:r>
    </w:p>
    <w:p w:rsidR="003717A0" w:rsidRDefault="003717A0">
      <w:pPr>
        <w:pStyle w:val="12"/>
        <w:rPr>
          <w:rFonts w:ascii="宋体"/>
          <w:b/>
          <w:kern w:val="0"/>
          <w:szCs w:val="21"/>
        </w:rPr>
      </w:pPr>
      <w:r>
        <w:rPr>
          <w:rFonts w:ascii="宋体" w:hAnsi="宋体" w:hint="eastAsia"/>
          <w:b/>
          <w:kern w:val="0"/>
          <w:szCs w:val="21"/>
        </w:rPr>
        <w:t>第七节有机溶剂中毒（自学）</w:t>
      </w:r>
    </w:p>
    <w:p w:rsidR="003717A0" w:rsidRDefault="003717A0">
      <w:pPr>
        <w:pStyle w:val="12"/>
        <w:rPr>
          <w:rFonts w:ascii="宋体"/>
          <w:b/>
          <w:kern w:val="0"/>
          <w:szCs w:val="21"/>
        </w:rPr>
      </w:pPr>
      <w:r>
        <w:rPr>
          <w:rFonts w:ascii="宋体" w:hAnsi="宋体" w:hint="eastAsia"/>
          <w:b/>
          <w:kern w:val="0"/>
          <w:szCs w:val="21"/>
        </w:rPr>
        <w:t>第八节毒蛇咬伤中毒</w:t>
      </w:r>
    </w:p>
    <w:p w:rsidR="003717A0" w:rsidRDefault="003717A0">
      <w:pPr>
        <w:pStyle w:val="12"/>
        <w:jc w:val="center"/>
        <w:rPr>
          <w:rFonts w:ascii="宋体"/>
          <w:b/>
          <w:kern w:val="0"/>
          <w:szCs w:val="21"/>
        </w:rPr>
      </w:pPr>
      <w:r>
        <w:rPr>
          <w:rFonts w:ascii="宋体" w:hAnsi="宋体" w:hint="eastAsia"/>
          <w:b/>
          <w:kern w:val="0"/>
          <w:szCs w:val="21"/>
        </w:rPr>
        <w:t>第三章中暑</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r>
        <w:rPr>
          <w:rFonts w:ascii="宋体" w:hAnsi="宋体" w:hint="eastAsia"/>
          <w:b/>
          <w:kern w:val="0"/>
          <w:szCs w:val="21"/>
        </w:rPr>
        <w:t>第四章冻僵</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r>
        <w:rPr>
          <w:rFonts w:ascii="宋体" w:hAnsi="宋体" w:hint="eastAsia"/>
          <w:b/>
          <w:kern w:val="0"/>
          <w:szCs w:val="21"/>
        </w:rPr>
        <w:t>第五章高原病</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jc w:val="center"/>
        <w:rPr>
          <w:rFonts w:ascii="宋体"/>
          <w:b/>
          <w:kern w:val="0"/>
          <w:szCs w:val="21"/>
        </w:rPr>
      </w:pPr>
      <w:r>
        <w:rPr>
          <w:rFonts w:ascii="宋体" w:hAnsi="宋体" w:hint="eastAsia"/>
          <w:b/>
          <w:kern w:val="0"/>
          <w:szCs w:val="21"/>
        </w:rPr>
        <w:t>第六章淹溺（自学）</w:t>
      </w:r>
    </w:p>
    <w:p w:rsidR="003717A0" w:rsidRDefault="003717A0">
      <w:pPr>
        <w:pStyle w:val="12"/>
        <w:jc w:val="center"/>
        <w:rPr>
          <w:rFonts w:ascii="宋体"/>
          <w:b/>
          <w:kern w:val="0"/>
          <w:szCs w:val="21"/>
        </w:rPr>
      </w:pPr>
      <w:r>
        <w:rPr>
          <w:rFonts w:ascii="宋体" w:hAnsi="宋体" w:hint="eastAsia"/>
          <w:b/>
          <w:kern w:val="0"/>
          <w:szCs w:val="21"/>
        </w:rPr>
        <w:t>第七章电击</w:t>
      </w:r>
      <w:r>
        <w:rPr>
          <w:rFonts w:ascii="宋体" w:hAnsi="宋体"/>
          <w:b/>
          <w:kern w:val="0"/>
          <w:szCs w:val="21"/>
        </w:rPr>
        <w:t>(</w:t>
      </w:r>
      <w:r>
        <w:rPr>
          <w:rFonts w:ascii="宋体" w:hAnsi="宋体" w:hint="eastAsia"/>
          <w:b/>
          <w:kern w:val="0"/>
          <w:szCs w:val="21"/>
        </w:rPr>
        <w:t>自学</w:t>
      </w:r>
      <w:r>
        <w:rPr>
          <w:rFonts w:ascii="宋体" w:hAnsi="宋体"/>
          <w:b/>
          <w:kern w:val="0"/>
          <w:szCs w:val="21"/>
        </w:rPr>
        <w:t>)</w:t>
      </w:r>
    </w:p>
    <w:p w:rsidR="003717A0" w:rsidRDefault="003717A0">
      <w:pPr>
        <w:pStyle w:val="12"/>
        <w:rPr>
          <w:rFonts w:ascii="宋体"/>
          <w:kern w:val="0"/>
          <w:szCs w:val="21"/>
        </w:rPr>
      </w:pPr>
    </w:p>
    <w:p w:rsidR="003717A0" w:rsidRDefault="003717A0">
      <w:pPr>
        <w:pStyle w:val="12"/>
        <w:rPr>
          <w:rFonts w:ascii="宋体"/>
          <w:kern w:val="0"/>
          <w:szCs w:val="21"/>
        </w:rPr>
      </w:pPr>
      <w:r>
        <w:rPr>
          <w:rFonts w:ascii="宋体"/>
          <w:kern w:val="0"/>
          <w:szCs w:val="21"/>
        </w:rPr>
        <w:t> </w:t>
      </w:r>
    </w:p>
    <w:p w:rsidR="003717A0" w:rsidRDefault="003717A0">
      <w:pPr>
        <w:adjustRightInd w:val="0"/>
        <w:snapToGrid w:val="0"/>
        <w:spacing w:line="360" w:lineRule="auto"/>
        <w:jc w:val="center"/>
        <w:rPr>
          <w:rFonts w:ascii="宋体"/>
          <w:b/>
          <w:bCs/>
          <w:szCs w:val="21"/>
        </w:rPr>
      </w:pPr>
      <w:r>
        <w:rPr>
          <w:rFonts w:ascii="宋体" w:hAnsi="宋体" w:hint="eastAsia"/>
          <w:b/>
          <w:bCs/>
          <w:szCs w:val="21"/>
        </w:rPr>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jc w:val="center"/>
              <w:rPr>
                <w:rFonts w:ascii="宋体"/>
                <w:szCs w:val="21"/>
              </w:rPr>
            </w:pPr>
            <w:r>
              <w:rPr>
                <w:rFonts w:ascii="宋体" w:hAnsi="宋体" w:hint="eastAsia"/>
                <w:szCs w:val="21"/>
              </w:rPr>
              <w:t>序号</w:t>
            </w:r>
          </w:p>
        </w:tc>
        <w:tc>
          <w:tcPr>
            <w:tcW w:w="3119" w:type="dxa"/>
            <w:vAlign w:val="center"/>
          </w:tcPr>
          <w:p w:rsidR="003717A0" w:rsidRDefault="003717A0">
            <w:pPr>
              <w:adjustRightInd w:val="0"/>
              <w:snapToGrid w:val="0"/>
              <w:jc w:val="center"/>
              <w:rPr>
                <w:rFonts w:ascii="宋体"/>
                <w:szCs w:val="21"/>
              </w:rPr>
            </w:pPr>
            <w:r>
              <w:rPr>
                <w:rFonts w:ascii="宋体" w:hAnsi="宋体" w:hint="eastAsia"/>
                <w:szCs w:val="21"/>
              </w:rPr>
              <w:t>讲课内容</w:t>
            </w:r>
          </w:p>
          <w:p w:rsidR="003717A0" w:rsidRDefault="003717A0">
            <w:pPr>
              <w:adjustRightInd w:val="0"/>
              <w:snapToGrid w:val="0"/>
              <w:jc w:val="center"/>
              <w:rPr>
                <w:rFonts w:ascii="宋体"/>
                <w:szCs w:val="21"/>
              </w:rPr>
            </w:pPr>
            <w:r>
              <w:rPr>
                <w:rFonts w:ascii="宋体" w:hAnsi="宋体" w:hint="eastAsia"/>
                <w:szCs w:val="21"/>
              </w:rPr>
              <w:t>（具体章节）</w:t>
            </w:r>
          </w:p>
        </w:tc>
        <w:tc>
          <w:tcPr>
            <w:tcW w:w="850" w:type="dxa"/>
            <w:vAlign w:val="center"/>
          </w:tcPr>
          <w:p w:rsidR="003717A0" w:rsidRDefault="003717A0">
            <w:pPr>
              <w:jc w:val="center"/>
              <w:rPr>
                <w:rFonts w:ascii="宋体"/>
                <w:szCs w:val="21"/>
              </w:rPr>
            </w:pPr>
            <w:r>
              <w:rPr>
                <w:rFonts w:ascii="宋体" w:hAnsi="宋体" w:hint="eastAsia"/>
                <w:szCs w:val="21"/>
              </w:rPr>
              <w:t>学时</w:t>
            </w:r>
          </w:p>
        </w:tc>
        <w:tc>
          <w:tcPr>
            <w:tcW w:w="3260" w:type="dxa"/>
            <w:vAlign w:val="center"/>
          </w:tcPr>
          <w:p w:rsidR="003717A0" w:rsidRDefault="003717A0">
            <w:pPr>
              <w:jc w:val="center"/>
              <w:rPr>
                <w:rFonts w:ascii="宋体"/>
                <w:szCs w:val="21"/>
              </w:rPr>
            </w:pPr>
            <w:r>
              <w:rPr>
                <w:rFonts w:ascii="宋体" w:hAnsi="宋体" w:hint="eastAsia"/>
                <w:szCs w:val="21"/>
              </w:rPr>
              <w:t>见习内容</w:t>
            </w:r>
          </w:p>
        </w:tc>
        <w:tc>
          <w:tcPr>
            <w:tcW w:w="851" w:type="dxa"/>
            <w:vAlign w:val="center"/>
          </w:tcPr>
          <w:p w:rsidR="003717A0" w:rsidRDefault="003717A0">
            <w:pPr>
              <w:jc w:val="center"/>
              <w:rPr>
                <w:rFonts w:ascii="宋体"/>
                <w:szCs w:val="21"/>
              </w:rPr>
            </w:pPr>
            <w:r>
              <w:rPr>
                <w:rFonts w:ascii="宋体" w:hAnsi="宋体" w:hint="eastAsia"/>
                <w:szCs w:val="21"/>
              </w:rPr>
              <w:t>备注</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w:t>
            </w:r>
          </w:p>
        </w:tc>
        <w:tc>
          <w:tcPr>
            <w:tcW w:w="3119" w:type="dxa"/>
            <w:vAlign w:val="center"/>
          </w:tcPr>
          <w:p w:rsidR="003717A0" w:rsidRDefault="003717A0">
            <w:pPr>
              <w:jc w:val="left"/>
              <w:rPr>
                <w:rFonts w:ascii="宋体" w:cs="宋体"/>
                <w:sz w:val="20"/>
                <w:szCs w:val="20"/>
              </w:rPr>
            </w:pPr>
            <w:r>
              <w:rPr>
                <w:rFonts w:hint="eastAsia"/>
                <w:sz w:val="20"/>
                <w:szCs w:val="20"/>
              </w:rPr>
              <w:t>心功能不全</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心功能不全</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w:t>
            </w:r>
          </w:p>
        </w:tc>
        <w:tc>
          <w:tcPr>
            <w:tcW w:w="3119" w:type="dxa"/>
            <w:vAlign w:val="center"/>
          </w:tcPr>
          <w:p w:rsidR="003717A0" w:rsidRDefault="003717A0">
            <w:pPr>
              <w:jc w:val="left"/>
              <w:rPr>
                <w:rFonts w:ascii="宋体" w:cs="宋体"/>
                <w:sz w:val="24"/>
                <w:szCs w:val="24"/>
              </w:rPr>
            </w:pPr>
            <w:r>
              <w:rPr>
                <w:rFonts w:hint="eastAsia"/>
                <w:sz w:val="20"/>
                <w:szCs w:val="20"/>
              </w:rPr>
              <w:t>风心</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4"/>
                <w:szCs w:val="24"/>
              </w:rPr>
            </w:pPr>
            <w:r>
              <w:rPr>
                <w:rFonts w:hint="eastAsia"/>
                <w:sz w:val="20"/>
                <w:szCs w:val="20"/>
              </w:rPr>
              <w:t>风心</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w:t>
            </w:r>
          </w:p>
        </w:tc>
        <w:tc>
          <w:tcPr>
            <w:tcW w:w="3119" w:type="dxa"/>
            <w:vAlign w:val="center"/>
          </w:tcPr>
          <w:p w:rsidR="003717A0" w:rsidRDefault="003717A0">
            <w:pPr>
              <w:jc w:val="left"/>
              <w:rPr>
                <w:rFonts w:ascii="宋体" w:cs="宋体"/>
                <w:sz w:val="20"/>
                <w:szCs w:val="20"/>
              </w:rPr>
            </w:pPr>
            <w:r>
              <w:rPr>
                <w:rFonts w:hint="eastAsia"/>
                <w:sz w:val="20"/>
                <w:szCs w:val="20"/>
              </w:rPr>
              <w:t>心律失常</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心律失常</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lastRenderedPageBreak/>
              <w:t>4</w:t>
            </w:r>
          </w:p>
        </w:tc>
        <w:tc>
          <w:tcPr>
            <w:tcW w:w="3119" w:type="dxa"/>
            <w:vAlign w:val="center"/>
          </w:tcPr>
          <w:p w:rsidR="003717A0" w:rsidRDefault="003717A0">
            <w:pPr>
              <w:jc w:val="left"/>
              <w:rPr>
                <w:rFonts w:ascii="宋体" w:cs="宋体"/>
                <w:sz w:val="20"/>
                <w:szCs w:val="20"/>
              </w:rPr>
            </w:pPr>
            <w:r>
              <w:rPr>
                <w:rFonts w:hint="eastAsia"/>
                <w:sz w:val="20"/>
                <w:szCs w:val="20"/>
              </w:rPr>
              <w:t>感染性心内膜炎、心包炎</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感染性心内膜炎、心包炎</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5</w:t>
            </w:r>
          </w:p>
        </w:tc>
        <w:tc>
          <w:tcPr>
            <w:tcW w:w="3119" w:type="dxa"/>
            <w:vAlign w:val="center"/>
          </w:tcPr>
          <w:p w:rsidR="003717A0" w:rsidRDefault="003717A0">
            <w:pPr>
              <w:jc w:val="left"/>
              <w:rPr>
                <w:rFonts w:ascii="宋体" w:cs="宋体"/>
                <w:sz w:val="20"/>
                <w:szCs w:val="20"/>
              </w:rPr>
            </w:pPr>
            <w:r>
              <w:rPr>
                <w:rFonts w:hint="eastAsia"/>
                <w:sz w:val="20"/>
                <w:szCs w:val="20"/>
              </w:rPr>
              <w:t>冠心病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冠心病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6</w:t>
            </w:r>
          </w:p>
        </w:tc>
        <w:tc>
          <w:tcPr>
            <w:tcW w:w="3119" w:type="dxa"/>
            <w:vAlign w:val="center"/>
          </w:tcPr>
          <w:p w:rsidR="003717A0" w:rsidRDefault="003717A0">
            <w:pPr>
              <w:jc w:val="left"/>
              <w:rPr>
                <w:rFonts w:ascii="宋体" w:cs="宋体"/>
                <w:sz w:val="20"/>
                <w:szCs w:val="20"/>
              </w:rPr>
            </w:pPr>
            <w:r>
              <w:rPr>
                <w:rFonts w:hint="eastAsia"/>
                <w:sz w:val="20"/>
                <w:szCs w:val="20"/>
              </w:rPr>
              <w:t>冠心病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冠心病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7</w:t>
            </w:r>
          </w:p>
        </w:tc>
        <w:tc>
          <w:tcPr>
            <w:tcW w:w="3119" w:type="dxa"/>
            <w:vAlign w:val="center"/>
          </w:tcPr>
          <w:p w:rsidR="003717A0" w:rsidRDefault="003717A0">
            <w:pPr>
              <w:jc w:val="left"/>
              <w:rPr>
                <w:rFonts w:ascii="宋体" w:cs="宋体"/>
                <w:sz w:val="20"/>
                <w:szCs w:val="20"/>
              </w:rPr>
            </w:pPr>
            <w:r>
              <w:rPr>
                <w:rFonts w:hint="eastAsia"/>
                <w:sz w:val="20"/>
                <w:szCs w:val="20"/>
              </w:rPr>
              <w:t>高血压病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高血压病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8</w:t>
            </w:r>
          </w:p>
        </w:tc>
        <w:tc>
          <w:tcPr>
            <w:tcW w:w="3119" w:type="dxa"/>
            <w:vAlign w:val="center"/>
          </w:tcPr>
          <w:p w:rsidR="003717A0" w:rsidRDefault="003717A0">
            <w:pPr>
              <w:jc w:val="left"/>
              <w:rPr>
                <w:rFonts w:ascii="宋体" w:cs="宋体"/>
                <w:sz w:val="20"/>
                <w:szCs w:val="20"/>
              </w:rPr>
            </w:pPr>
            <w:r>
              <w:rPr>
                <w:rFonts w:hint="eastAsia"/>
                <w:sz w:val="20"/>
                <w:szCs w:val="20"/>
              </w:rPr>
              <w:t>心肌病、心肌炎</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心肌病、心肌炎</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9</w:t>
            </w:r>
          </w:p>
        </w:tc>
        <w:tc>
          <w:tcPr>
            <w:tcW w:w="3119" w:type="dxa"/>
            <w:vAlign w:val="center"/>
          </w:tcPr>
          <w:p w:rsidR="003717A0" w:rsidRDefault="003717A0">
            <w:pPr>
              <w:jc w:val="left"/>
              <w:rPr>
                <w:rFonts w:ascii="宋体" w:cs="宋体"/>
                <w:sz w:val="20"/>
                <w:szCs w:val="20"/>
              </w:rPr>
            </w:pPr>
            <w:r>
              <w:rPr>
                <w:rFonts w:hint="eastAsia"/>
                <w:sz w:val="20"/>
                <w:szCs w:val="20"/>
              </w:rPr>
              <w:t>慢性阻塞性肺病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慢性阻塞性肺病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10</w:t>
            </w:r>
          </w:p>
        </w:tc>
        <w:tc>
          <w:tcPr>
            <w:tcW w:w="3119" w:type="dxa"/>
            <w:vAlign w:val="center"/>
          </w:tcPr>
          <w:p w:rsidR="003717A0" w:rsidRDefault="003717A0">
            <w:pPr>
              <w:jc w:val="left"/>
              <w:rPr>
                <w:rFonts w:ascii="宋体" w:cs="宋体"/>
                <w:sz w:val="20"/>
                <w:szCs w:val="20"/>
              </w:rPr>
            </w:pPr>
            <w:r>
              <w:rPr>
                <w:rFonts w:hint="eastAsia"/>
                <w:sz w:val="20"/>
                <w:szCs w:val="20"/>
              </w:rPr>
              <w:t>肺心病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肺心病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11</w:t>
            </w:r>
          </w:p>
        </w:tc>
        <w:tc>
          <w:tcPr>
            <w:tcW w:w="3119" w:type="dxa"/>
            <w:vAlign w:val="center"/>
          </w:tcPr>
          <w:p w:rsidR="003717A0" w:rsidRDefault="003717A0">
            <w:pPr>
              <w:jc w:val="left"/>
              <w:rPr>
                <w:rFonts w:ascii="宋体" w:cs="宋体"/>
                <w:sz w:val="20"/>
                <w:szCs w:val="20"/>
              </w:rPr>
            </w:pPr>
            <w:r>
              <w:rPr>
                <w:rFonts w:hint="eastAsia"/>
                <w:sz w:val="20"/>
                <w:szCs w:val="20"/>
              </w:rPr>
              <w:t>呼吸衰竭</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呼吸衰竭</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12</w:t>
            </w:r>
          </w:p>
        </w:tc>
        <w:tc>
          <w:tcPr>
            <w:tcW w:w="3119" w:type="dxa"/>
            <w:vAlign w:val="center"/>
          </w:tcPr>
          <w:p w:rsidR="003717A0" w:rsidRDefault="003717A0">
            <w:pPr>
              <w:jc w:val="left"/>
              <w:rPr>
                <w:rFonts w:ascii="宋体" w:cs="宋体"/>
                <w:sz w:val="20"/>
                <w:szCs w:val="20"/>
              </w:rPr>
            </w:pPr>
            <w:r>
              <w:rPr>
                <w:rFonts w:hint="eastAsia"/>
                <w:sz w:val="20"/>
                <w:szCs w:val="20"/>
              </w:rPr>
              <w:t>支气管哮喘</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支气管哮喘</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13</w:t>
            </w:r>
          </w:p>
        </w:tc>
        <w:tc>
          <w:tcPr>
            <w:tcW w:w="3119" w:type="dxa"/>
            <w:vAlign w:val="center"/>
          </w:tcPr>
          <w:p w:rsidR="003717A0" w:rsidRDefault="003717A0">
            <w:pPr>
              <w:jc w:val="left"/>
              <w:rPr>
                <w:rFonts w:ascii="宋体" w:cs="宋体"/>
                <w:sz w:val="20"/>
                <w:szCs w:val="20"/>
              </w:rPr>
            </w:pPr>
            <w:r>
              <w:rPr>
                <w:rFonts w:hint="eastAsia"/>
                <w:sz w:val="20"/>
                <w:szCs w:val="20"/>
              </w:rPr>
              <w:t>肺炎</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肺炎</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14</w:t>
            </w:r>
          </w:p>
        </w:tc>
        <w:tc>
          <w:tcPr>
            <w:tcW w:w="3119" w:type="dxa"/>
            <w:vAlign w:val="center"/>
          </w:tcPr>
          <w:p w:rsidR="003717A0" w:rsidRDefault="003717A0">
            <w:pPr>
              <w:jc w:val="left"/>
              <w:rPr>
                <w:rFonts w:ascii="宋体" w:cs="宋体"/>
                <w:sz w:val="20"/>
                <w:szCs w:val="20"/>
              </w:rPr>
            </w:pPr>
            <w:r>
              <w:rPr>
                <w:rFonts w:hint="eastAsia"/>
                <w:sz w:val="20"/>
                <w:szCs w:val="20"/>
              </w:rPr>
              <w:t>肺结核</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肺结核</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15</w:t>
            </w:r>
          </w:p>
        </w:tc>
        <w:tc>
          <w:tcPr>
            <w:tcW w:w="3119" w:type="dxa"/>
            <w:vAlign w:val="center"/>
          </w:tcPr>
          <w:p w:rsidR="003717A0" w:rsidRDefault="003717A0">
            <w:pPr>
              <w:jc w:val="left"/>
              <w:rPr>
                <w:rFonts w:ascii="宋体" w:cs="宋体"/>
                <w:sz w:val="20"/>
                <w:szCs w:val="20"/>
              </w:rPr>
            </w:pPr>
            <w:r>
              <w:rPr>
                <w:rFonts w:hint="eastAsia"/>
                <w:sz w:val="20"/>
                <w:szCs w:val="20"/>
              </w:rPr>
              <w:t>肺癌</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肺癌</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16</w:t>
            </w:r>
          </w:p>
        </w:tc>
        <w:tc>
          <w:tcPr>
            <w:tcW w:w="3119" w:type="dxa"/>
            <w:vAlign w:val="center"/>
          </w:tcPr>
          <w:p w:rsidR="003717A0" w:rsidRDefault="003717A0">
            <w:pPr>
              <w:jc w:val="left"/>
              <w:rPr>
                <w:rFonts w:ascii="宋体" w:cs="宋体"/>
                <w:sz w:val="20"/>
                <w:szCs w:val="20"/>
              </w:rPr>
            </w:pPr>
            <w:r>
              <w:rPr>
                <w:rFonts w:hint="eastAsia"/>
                <w:sz w:val="20"/>
                <w:szCs w:val="20"/>
              </w:rPr>
              <w:t>肺血栓栓塞症</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肺血栓栓塞症</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17</w:t>
            </w:r>
          </w:p>
        </w:tc>
        <w:tc>
          <w:tcPr>
            <w:tcW w:w="3119" w:type="dxa"/>
            <w:vAlign w:val="center"/>
          </w:tcPr>
          <w:p w:rsidR="003717A0" w:rsidRDefault="003717A0">
            <w:pPr>
              <w:jc w:val="left"/>
              <w:rPr>
                <w:rFonts w:ascii="宋体" w:cs="宋体"/>
                <w:sz w:val="20"/>
                <w:szCs w:val="20"/>
              </w:rPr>
            </w:pPr>
            <w:r>
              <w:rPr>
                <w:rFonts w:hint="eastAsia"/>
                <w:sz w:val="20"/>
                <w:szCs w:val="20"/>
              </w:rPr>
              <w:t>慢性胃炎</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慢性胃炎</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18</w:t>
            </w:r>
          </w:p>
        </w:tc>
        <w:tc>
          <w:tcPr>
            <w:tcW w:w="3119" w:type="dxa"/>
            <w:vAlign w:val="center"/>
          </w:tcPr>
          <w:p w:rsidR="003717A0" w:rsidRDefault="003717A0">
            <w:pPr>
              <w:jc w:val="left"/>
              <w:rPr>
                <w:rFonts w:ascii="宋体" w:cs="宋体"/>
                <w:sz w:val="20"/>
                <w:szCs w:val="20"/>
              </w:rPr>
            </w:pPr>
            <w:r>
              <w:rPr>
                <w:rFonts w:hint="eastAsia"/>
                <w:sz w:val="20"/>
                <w:szCs w:val="20"/>
              </w:rPr>
              <w:t>消化性溃疡</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消化性溃疡</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19</w:t>
            </w:r>
          </w:p>
        </w:tc>
        <w:tc>
          <w:tcPr>
            <w:tcW w:w="3119" w:type="dxa"/>
            <w:vAlign w:val="center"/>
          </w:tcPr>
          <w:p w:rsidR="003717A0" w:rsidRDefault="003717A0">
            <w:pPr>
              <w:jc w:val="left"/>
              <w:rPr>
                <w:rFonts w:ascii="宋体" w:cs="宋体"/>
                <w:sz w:val="20"/>
                <w:szCs w:val="20"/>
              </w:rPr>
            </w:pPr>
            <w:r>
              <w:rPr>
                <w:rFonts w:hint="eastAsia"/>
                <w:sz w:val="20"/>
                <w:szCs w:val="20"/>
              </w:rPr>
              <w:t>炎症性肠病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炎症性肠病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20</w:t>
            </w:r>
          </w:p>
        </w:tc>
        <w:tc>
          <w:tcPr>
            <w:tcW w:w="3119" w:type="dxa"/>
            <w:vAlign w:val="center"/>
          </w:tcPr>
          <w:p w:rsidR="003717A0" w:rsidRDefault="003717A0">
            <w:pPr>
              <w:jc w:val="left"/>
              <w:rPr>
                <w:rFonts w:ascii="宋体" w:cs="宋体"/>
                <w:sz w:val="20"/>
                <w:szCs w:val="20"/>
              </w:rPr>
            </w:pPr>
            <w:r>
              <w:rPr>
                <w:rFonts w:hint="eastAsia"/>
                <w:sz w:val="20"/>
                <w:szCs w:val="20"/>
              </w:rPr>
              <w:t>急性胰腺炎</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急性胰腺炎</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21</w:t>
            </w:r>
          </w:p>
        </w:tc>
        <w:tc>
          <w:tcPr>
            <w:tcW w:w="3119" w:type="dxa"/>
            <w:vAlign w:val="center"/>
          </w:tcPr>
          <w:p w:rsidR="003717A0" w:rsidRDefault="003717A0">
            <w:pPr>
              <w:jc w:val="left"/>
              <w:rPr>
                <w:rFonts w:ascii="宋体" w:cs="宋体"/>
                <w:sz w:val="20"/>
                <w:szCs w:val="20"/>
              </w:rPr>
            </w:pPr>
            <w:r>
              <w:rPr>
                <w:rFonts w:hint="eastAsia"/>
                <w:sz w:val="20"/>
                <w:szCs w:val="20"/>
              </w:rPr>
              <w:t>肝硬化</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肝硬化</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22</w:t>
            </w:r>
          </w:p>
        </w:tc>
        <w:tc>
          <w:tcPr>
            <w:tcW w:w="3119" w:type="dxa"/>
            <w:vAlign w:val="center"/>
          </w:tcPr>
          <w:p w:rsidR="003717A0" w:rsidRDefault="003717A0">
            <w:pPr>
              <w:jc w:val="left"/>
              <w:rPr>
                <w:rFonts w:ascii="宋体" w:cs="宋体"/>
                <w:sz w:val="20"/>
                <w:szCs w:val="20"/>
              </w:rPr>
            </w:pPr>
            <w:r>
              <w:rPr>
                <w:rFonts w:hint="eastAsia"/>
                <w:sz w:val="20"/>
                <w:szCs w:val="20"/>
              </w:rPr>
              <w:t>原发性肝癌</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原发性肝癌</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23</w:t>
            </w:r>
          </w:p>
        </w:tc>
        <w:tc>
          <w:tcPr>
            <w:tcW w:w="3119" w:type="dxa"/>
            <w:vAlign w:val="center"/>
          </w:tcPr>
          <w:p w:rsidR="003717A0" w:rsidRDefault="003717A0">
            <w:pPr>
              <w:jc w:val="left"/>
              <w:rPr>
                <w:rFonts w:ascii="宋体" w:cs="宋体"/>
                <w:sz w:val="20"/>
                <w:szCs w:val="20"/>
              </w:rPr>
            </w:pPr>
            <w:r>
              <w:rPr>
                <w:rFonts w:hint="eastAsia"/>
                <w:sz w:val="20"/>
                <w:szCs w:val="20"/>
              </w:rPr>
              <w:t>肝性脑病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肝性脑病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24</w:t>
            </w:r>
          </w:p>
        </w:tc>
        <w:tc>
          <w:tcPr>
            <w:tcW w:w="3119" w:type="dxa"/>
            <w:vAlign w:val="center"/>
          </w:tcPr>
          <w:p w:rsidR="003717A0" w:rsidRDefault="003717A0">
            <w:pPr>
              <w:jc w:val="left"/>
              <w:rPr>
                <w:rFonts w:ascii="宋体" w:cs="宋体"/>
                <w:sz w:val="20"/>
                <w:szCs w:val="20"/>
              </w:rPr>
            </w:pPr>
            <w:r>
              <w:rPr>
                <w:rFonts w:hint="eastAsia"/>
                <w:sz w:val="20"/>
                <w:szCs w:val="20"/>
              </w:rPr>
              <w:t>肠结核、结核性腹膜炎</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肠结核、结核性腹膜炎</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25</w:t>
            </w:r>
          </w:p>
        </w:tc>
        <w:tc>
          <w:tcPr>
            <w:tcW w:w="3119" w:type="dxa"/>
            <w:vAlign w:val="center"/>
          </w:tcPr>
          <w:p w:rsidR="003717A0" w:rsidRDefault="003717A0">
            <w:pPr>
              <w:jc w:val="left"/>
              <w:rPr>
                <w:rFonts w:ascii="宋体" w:cs="宋体"/>
                <w:sz w:val="20"/>
                <w:szCs w:val="20"/>
              </w:rPr>
            </w:pPr>
            <w:r>
              <w:rPr>
                <w:rFonts w:hint="eastAsia"/>
                <w:sz w:val="20"/>
                <w:szCs w:val="20"/>
              </w:rPr>
              <w:t>缺铁性贫血、再障、溶贫</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缺铁性贫血、再障、溶贫</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26</w:t>
            </w:r>
          </w:p>
        </w:tc>
        <w:tc>
          <w:tcPr>
            <w:tcW w:w="3119" w:type="dxa"/>
            <w:vAlign w:val="center"/>
          </w:tcPr>
          <w:p w:rsidR="003717A0" w:rsidRDefault="003717A0">
            <w:pPr>
              <w:jc w:val="left"/>
              <w:rPr>
                <w:rFonts w:ascii="宋体" w:cs="宋体"/>
                <w:sz w:val="20"/>
                <w:szCs w:val="20"/>
              </w:rPr>
            </w:pPr>
            <w:r>
              <w:rPr>
                <w:rFonts w:hint="eastAsia"/>
                <w:sz w:val="20"/>
                <w:szCs w:val="20"/>
              </w:rPr>
              <w:t>白血病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白血病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27</w:t>
            </w:r>
          </w:p>
        </w:tc>
        <w:tc>
          <w:tcPr>
            <w:tcW w:w="3119" w:type="dxa"/>
            <w:vAlign w:val="center"/>
          </w:tcPr>
          <w:p w:rsidR="003717A0" w:rsidRDefault="003717A0">
            <w:pPr>
              <w:jc w:val="left"/>
              <w:rPr>
                <w:rFonts w:ascii="宋体" w:cs="宋体"/>
                <w:sz w:val="20"/>
                <w:szCs w:val="20"/>
              </w:rPr>
            </w:pPr>
            <w:r>
              <w:rPr>
                <w:rFonts w:hint="eastAsia"/>
                <w:sz w:val="20"/>
                <w:szCs w:val="20"/>
              </w:rPr>
              <w:t>过敏性紫癜、</w:t>
            </w:r>
            <w:r>
              <w:rPr>
                <w:sz w:val="20"/>
                <w:szCs w:val="20"/>
              </w:rPr>
              <w:t>ITP</w:t>
            </w:r>
            <w:r>
              <w:rPr>
                <w:rFonts w:hint="eastAsia"/>
                <w:sz w:val="20"/>
                <w:szCs w:val="20"/>
              </w:rPr>
              <w:t>、</w:t>
            </w:r>
            <w:r>
              <w:rPr>
                <w:sz w:val="20"/>
                <w:szCs w:val="20"/>
              </w:rPr>
              <w:t>DIC</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过敏性紫癜、</w:t>
            </w:r>
            <w:r>
              <w:rPr>
                <w:sz w:val="20"/>
                <w:szCs w:val="20"/>
              </w:rPr>
              <w:t>ITP</w:t>
            </w:r>
            <w:r>
              <w:rPr>
                <w:rFonts w:hint="eastAsia"/>
                <w:sz w:val="20"/>
                <w:szCs w:val="20"/>
              </w:rPr>
              <w:t>、</w:t>
            </w:r>
            <w:r>
              <w:rPr>
                <w:sz w:val="20"/>
                <w:szCs w:val="20"/>
              </w:rPr>
              <w:t>DIC</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28</w:t>
            </w:r>
          </w:p>
        </w:tc>
        <w:tc>
          <w:tcPr>
            <w:tcW w:w="3119" w:type="dxa"/>
            <w:vAlign w:val="center"/>
          </w:tcPr>
          <w:p w:rsidR="003717A0" w:rsidRDefault="003717A0">
            <w:pPr>
              <w:jc w:val="left"/>
              <w:rPr>
                <w:rFonts w:ascii="宋体" w:cs="宋体"/>
                <w:sz w:val="20"/>
                <w:szCs w:val="20"/>
              </w:rPr>
            </w:pPr>
            <w:r>
              <w:rPr>
                <w:rFonts w:hint="eastAsia"/>
                <w:sz w:val="20"/>
                <w:szCs w:val="20"/>
              </w:rPr>
              <w:t>淋巴瘤、多发性骨髓瘤</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淋巴瘤、多发性骨髓瘤</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29</w:t>
            </w:r>
          </w:p>
        </w:tc>
        <w:tc>
          <w:tcPr>
            <w:tcW w:w="3119" w:type="dxa"/>
            <w:vAlign w:val="center"/>
          </w:tcPr>
          <w:p w:rsidR="003717A0" w:rsidRDefault="003717A0">
            <w:pPr>
              <w:jc w:val="left"/>
              <w:rPr>
                <w:rFonts w:ascii="宋体" w:cs="宋体"/>
                <w:sz w:val="20"/>
                <w:szCs w:val="20"/>
              </w:rPr>
            </w:pPr>
            <w:r>
              <w:rPr>
                <w:rFonts w:hint="eastAsia"/>
                <w:sz w:val="20"/>
                <w:szCs w:val="20"/>
              </w:rPr>
              <w:t>甲亢</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甲亢</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30</w:t>
            </w:r>
          </w:p>
        </w:tc>
        <w:tc>
          <w:tcPr>
            <w:tcW w:w="3119" w:type="dxa"/>
            <w:vAlign w:val="center"/>
          </w:tcPr>
          <w:p w:rsidR="003717A0" w:rsidRDefault="003717A0">
            <w:pPr>
              <w:jc w:val="left"/>
              <w:rPr>
                <w:rFonts w:ascii="宋体" w:cs="宋体"/>
                <w:sz w:val="20"/>
                <w:szCs w:val="20"/>
              </w:rPr>
            </w:pPr>
            <w:r>
              <w:rPr>
                <w:rFonts w:hint="eastAsia"/>
                <w:sz w:val="20"/>
                <w:szCs w:val="20"/>
              </w:rPr>
              <w:t>糖尿病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糖尿病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31</w:t>
            </w:r>
          </w:p>
        </w:tc>
        <w:tc>
          <w:tcPr>
            <w:tcW w:w="3119" w:type="dxa"/>
            <w:vAlign w:val="center"/>
          </w:tcPr>
          <w:p w:rsidR="003717A0" w:rsidRDefault="003717A0">
            <w:pPr>
              <w:jc w:val="left"/>
              <w:rPr>
                <w:rFonts w:ascii="宋体" w:cs="宋体"/>
                <w:sz w:val="20"/>
                <w:szCs w:val="20"/>
              </w:rPr>
            </w:pPr>
            <w:r>
              <w:rPr>
                <w:rFonts w:hint="eastAsia"/>
                <w:sz w:val="20"/>
                <w:szCs w:val="20"/>
              </w:rPr>
              <w:t>类风关、</w:t>
            </w:r>
            <w:r>
              <w:rPr>
                <w:sz w:val="20"/>
                <w:szCs w:val="20"/>
              </w:rPr>
              <w:t>SLE</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类风关、</w:t>
            </w:r>
            <w:r>
              <w:rPr>
                <w:sz w:val="20"/>
                <w:szCs w:val="20"/>
              </w:rPr>
              <w:t>SLE</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32</w:t>
            </w:r>
          </w:p>
        </w:tc>
        <w:tc>
          <w:tcPr>
            <w:tcW w:w="3119" w:type="dxa"/>
            <w:vAlign w:val="center"/>
          </w:tcPr>
          <w:p w:rsidR="003717A0" w:rsidRDefault="003717A0">
            <w:pPr>
              <w:jc w:val="left"/>
              <w:rPr>
                <w:rFonts w:ascii="宋体" w:cs="宋体"/>
                <w:sz w:val="20"/>
                <w:szCs w:val="20"/>
              </w:rPr>
            </w:pPr>
            <w:r>
              <w:rPr>
                <w:rFonts w:hint="eastAsia"/>
                <w:sz w:val="20"/>
                <w:szCs w:val="20"/>
              </w:rPr>
              <w:t>中毒</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中毒</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33</w:t>
            </w:r>
          </w:p>
        </w:tc>
        <w:tc>
          <w:tcPr>
            <w:tcW w:w="3119" w:type="dxa"/>
            <w:vAlign w:val="center"/>
          </w:tcPr>
          <w:p w:rsidR="003717A0" w:rsidRDefault="003717A0">
            <w:pPr>
              <w:jc w:val="left"/>
              <w:rPr>
                <w:rFonts w:ascii="宋体" w:cs="宋体"/>
                <w:sz w:val="20"/>
                <w:szCs w:val="20"/>
              </w:rPr>
            </w:pPr>
            <w:r>
              <w:rPr>
                <w:rFonts w:hint="eastAsia"/>
                <w:sz w:val="20"/>
                <w:szCs w:val="20"/>
              </w:rPr>
              <w:t>肾脏病总论</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肾脏病总论</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34</w:t>
            </w:r>
          </w:p>
        </w:tc>
        <w:tc>
          <w:tcPr>
            <w:tcW w:w="3119" w:type="dxa"/>
            <w:vAlign w:val="center"/>
          </w:tcPr>
          <w:p w:rsidR="003717A0" w:rsidRDefault="003717A0">
            <w:pPr>
              <w:jc w:val="left"/>
              <w:rPr>
                <w:rFonts w:ascii="宋体" w:cs="宋体"/>
                <w:sz w:val="20"/>
                <w:szCs w:val="20"/>
              </w:rPr>
            </w:pPr>
            <w:r>
              <w:rPr>
                <w:rFonts w:hint="eastAsia"/>
                <w:sz w:val="20"/>
                <w:szCs w:val="20"/>
              </w:rPr>
              <w:t>肾小球疾病</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肾小球疾病</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35</w:t>
            </w:r>
          </w:p>
        </w:tc>
        <w:tc>
          <w:tcPr>
            <w:tcW w:w="3119" w:type="dxa"/>
            <w:vAlign w:val="center"/>
          </w:tcPr>
          <w:p w:rsidR="003717A0" w:rsidRDefault="003717A0">
            <w:pPr>
              <w:jc w:val="left"/>
              <w:rPr>
                <w:rFonts w:ascii="宋体" w:cs="宋体"/>
                <w:sz w:val="20"/>
                <w:szCs w:val="20"/>
              </w:rPr>
            </w:pPr>
            <w:r>
              <w:rPr>
                <w:rFonts w:hint="eastAsia"/>
                <w:sz w:val="20"/>
                <w:szCs w:val="20"/>
              </w:rPr>
              <w:t>泌尿系感染</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泌尿系感染</w:t>
            </w:r>
          </w:p>
        </w:tc>
        <w:tc>
          <w:tcPr>
            <w:tcW w:w="851" w:type="dxa"/>
          </w:tcPr>
          <w:p w:rsidR="003717A0" w:rsidRDefault="003717A0">
            <w:pPr>
              <w:jc w:val="center"/>
            </w:pPr>
            <w:r>
              <w:rPr>
                <w:rFonts w:ascii="Times New Roman" w:hAnsi="Times New Roman"/>
                <w:szCs w:val="21"/>
              </w:rPr>
              <w:t>1</w:t>
            </w:r>
          </w:p>
        </w:tc>
      </w:tr>
      <w:tr w:rsidR="003717A0">
        <w:tc>
          <w:tcPr>
            <w:tcW w:w="817" w:type="dxa"/>
            <w:vAlign w:val="center"/>
          </w:tcPr>
          <w:p w:rsidR="003717A0" w:rsidRDefault="003717A0">
            <w:pPr>
              <w:jc w:val="center"/>
              <w:rPr>
                <w:rFonts w:ascii="Times New Roman" w:hAnsi="Times New Roman"/>
                <w:sz w:val="24"/>
                <w:szCs w:val="24"/>
              </w:rPr>
            </w:pPr>
            <w:r>
              <w:rPr>
                <w:rFonts w:ascii="Times New Roman" w:hAnsi="Times New Roman"/>
              </w:rPr>
              <w:t>36</w:t>
            </w:r>
          </w:p>
        </w:tc>
        <w:tc>
          <w:tcPr>
            <w:tcW w:w="3119" w:type="dxa"/>
            <w:vAlign w:val="center"/>
          </w:tcPr>
          <w:p w:rsidR="003717A0" w:rsidRDefault="003717A0">
            <w:pPr>
              <w:jc w:val="left"/>
              <w:rPr>
                <w:rFonts w:ascii="宋体" w:cs="宋体"/>
                <w:sz w:val="20"/>
                <w:szCs w:val="20"/>
              </w:rPr>
            </w:pPr>
            <w:r>
              <w:rPr>
                <w:rFonts w:hint="eastAsia"/>
                <w:sz w:val="20"/>
                <w:szCs w:val="20"/>
              </w:rPr>
              <w:t>慢性肾衰</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2</w:t>
            </w:r>
          </w:p>
        </w:tc>
        <w:tc>
          <w:tcPr>
            <w:tcW w:w="3260" w:type="dxa"/>
            <w:vAlign w:val="center"/>
          </w:tcPr>
          <w:p w:rsidR="003717A0" w:rsidRDefault="003717A0">
            <w:pPr>
              <w:jc w:val="left"/>
              <w:rPr>
                <w:rFonts w:ascii="宋体" w:cs="宋体"/>
                <w:sz w:val="20"/>
                <w:szCs w:val="20"/>
              </w:rPr>
            </w:pPr>
            <w:r>
              <w:rPr>
                <w:rFonts w:hint="eastAsia"/>
                <w:sz w:val="20"/>
                <w:szCs w:val="20"/>
              </w:rPr>
              <w:t>慢性肾衰</w:t>
            </w:r>
          </w:p>
        </w:tc>
        <w:tc>
          <w:tcPr>
            <w:tcW w:w="851" w:type="dxa"/>
          </w:tcPr>
          <w:p w:rsidR="003717A0" w:rsidRDefault="003717A0">
            <w:pPr>
              <w:jc w:val="center"/>
            </w:pPr>
            <w:r>
              <w:rPr>
                <w:rFonts w:ascii="Times New Roman" w:hAnsi="Times New Roman"/>
                <w:szCs w:val="21"/>
              </w:rPr>
              <w:t>1</w:t>
            </w:r>
          </w:p>
        </w:tc>
      </w:tr>
      <w:tr w:rsidR="003717A0">
        <w:tc>
          <w:tcPr>
            <w:tcW w:w="817" w:type="dxa"/>
          </w:tcPr>
          <w:p w:rsidR="003717A0" w:rsidRDefault="003717A0">
            <w:pPr>
              <w:ind w:firstLineChars="100" w:firstLine="210"/>
              <w:rPr>
                <w:rFonts w:ascii="宋体"/>
                <w:szCs w:val="21"/>
              </w:rPr>
            </w:pPr>
          </w:p>
        </w:tc>
        <w:tc>
          <w:tcPr>
            <w:tcW w:w="3119" w:type="dxa"/>
          </w:tcPr>
          <w:p w:rsidR="003717A0" w:rsidRDefault="003717A0">
            <w:pPr>
              <w:ind w:firstLineChars="53" w:firstLine="111"/>
              <w:rPr>
                <w:rFonts w:ascii="宋体"/>
                <w:szCs w:val="21"/>
              </w:rPr>
            </w:pPr>
            <w:r>
              <w:rPr>
                <w:rFonts w:ascii="宋体" w:hAnsi="宋体" w:hint="eastAsia"/>
                <w:szCs w:val="21"/>
              </w:rPr>
              <w:t>合　计</w:t>
            </w:r>
          </w:p>
        </w:tc>
        <w:tc>
          <w:tcPr>
            <w:tcW w:w="850" w:type="dxa"/>
            <w:vAlign w:val="center"/>
          </w:tcPr>
          <w:p w:rsidR="003717A0" w:rsidRDefault="003717A0">
            <w:pPr>
              <w:jc w:val="center"/>
              <w:rPr>
                <w:rFonts w:ascii="Times New Roman" w:hAnsi="Times New Roman"/>
                <w:szCs w:val="21"/>
              </w:rPr>
            </w:pPr>
            <w:r>
              <w:rPr>
                <w:rFonts w:ascii="Times New Roman" w:hAnsi="Times New Roman"/>
                <w:szCs w:val="21"/>
              </w:rPr>
              <w:t>72</w:t>
            </w:r>
          </w:p>
        </w:tc>
        <w:tc>
          <w:tcPr>
            <w:tcW w:w="3260" w:type="dxa"/>
            <w:vAlign w:val="center"/>
          </w:tcPr>
          <w:p w:rsidR="003717A0" w:rsidRDefault="003717A0">
            <w:pPr>
              <w:jc w:val="center"/>
              <w:rPr>
                <w:rFonts w:ascii="宋体" w:cs="宋体"/>
                <w:sz w:val="20"/>
                <w:szCs w:val="20"/>
              </w:rPr>
            </w:pPr>
          </w:p>
        </w:tc>
        <w:tc>
          <w:tcPr>
            <w:tcW w:w="851" w:type="dxa"/>
          </w:tcPr>
          <w:p w:rsidR="003717A0" w:rsidRDefault="003717A0">
            <w:pPr>
              <w:jc w:val="center"/>
              <w:rPr>
                <w:rFonts w:ascii="Times New Roman" w:hAnsi="Times New Roman"/>
                <w:szCs w:val="21"/>
              </w:rPr>
            </w:pPr>
            <w:r>
              <w:rPr>
                <w:rFonts w:ascii="Times New Roman" w:hAnsi="Times New Roman"/>
                <w:szCs w:val="21"/>
              </w:rPr>
              <w:t>36</w:t>
            </w:r>
          </w:p>
        </w:tc>
      </w:tr>
    </w:tbl>
    <w:p w:rsidR="003717A0" w:rsidRDefault="003717A0">
      <w:pPr>
        <w:adjustRightInd w:val="0"/>
        <w:snapToGrid w:val="0"/>
        <w:jc w:val="center"/>
        <w:rPr>
          <w:rFonts w:ascii="宋体"/>
          <w:b/>
          <w:bCs/>
          <w:szCs w:val="21"/>
        </w:rPr>
      </w:pPr>
    </w:p>
    <w:p w:rsidR="003717A0" w:rsidRDefault="003717A0">
      <w:pPr>
        <w:adjustRightInd w:val="0"/>
        <w:snapToGrid w:val="0"/>
        <w:spacing w:line="360" w:lineRule="auto"/>
        <w:jc w:val="center"/>
        <w:rPr>
          <w:rFonts w:ascii="宋体"/>
          <w:b/>
          <w:bCs/>
          <w:szCs w:val="21"/>
        </w:rPr>
      </w:pP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（五）</w:t>
      </w:r>
      <w:r>
        <w:rPr>
          <w:rFonts w:ascii="宋体" w:hAnsi="宋体"/>
          <w:b/>
          <w:kern w:val="0"/>
          <w:szCs w:val="21"/>
        </w:rPr>
        <w:t xml:space="preserve"> </w:t>
      </w:r>
      <w:r>
        <w:rPr>
          <w:rFonts w:ascii="宋体" w:hAnsi="宋体" w:hint="eastAsia"/>
          <w:b/>
          <w:kern w:val="0"/>
          <w:szCs w:val="21"/>
        </w:rPr>
        <w:t>教学设备和设施</w:t>
      </w:r>
    </w:p>
    <w:p w:rsidR="003717A0" w:rsidRDefault="003717A0">
      <w:pPr>
        <w:adjustRightInd w:val="0"/>
        <w:snapToGrid w:val="0"/>
        <w:spacing w:line="360" w:lineRule="auto"/>
        <w:ind w:right="4" w:firstLineChars="200" w:firstLine="420"/>
        <w:rPr>
          <w:rFonts w:ascii="仿宋_GB2312" w:eastAsia="仿宋_GB2312" w:hAnsi="宋体"/>
          <w:szCs w:val="21"/>
        </w:rPr>
      </w:pPr>
      <w:r>
        <w:rPr>
          <w:rFonts w:ascii="宋体" w:hAnsi="宋体" w:hint="eastAsia"/>
          <w:szCs w:val="21"/>
        </w:rPr>
        <w:t>多媒体教室、多媒体教学课件。</w:t>
      </w:r>
    </w:p>
    <w:p w:rsidR="003717A0" w:rsidRDefault="003717A0">
      <w:pPr>
        <w:pStyle w:val="12"/>
        <w:rPr>
          <w:rFonts w:ascii="宋体"/>
          <w:kern w:val="0"/>
          <w:szCs w:val="21"/>
        </w:rPr>
      </w:pPr>
      <w:r>
        <w:rPr>
          <w:rFonts w:ascii="宋体" w:hAnsi="宋体" w:hint="eastAsia"/>
          <w:b/>
          <w:kern w:val="0"/>
          <w:szCs w:val="21"/>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w:t>
      </w:r>
      <w:r>
        <w:rPr>
          <w:rFonts w:ascii="Times New Roman" w:hint="eastAsia"/>
        </w:rPr>
        <w:lastRenderedPageBreak/>
        <w:t>学生反馈意见，掌握学生学习情况；同时让学生也对自己的知识掌握情况有所了解，并及时发现和纠正对知识的理解有所偏差的部分。</w:t>
      </w:r>
    </w:p>
    <w:p w:rsidR="003717A0" w:rsidRDefault="003717A0">
      <w:pPr>
        <w:pStyle w:val="12"/>
        <w:ind w:firstLineChars="200" w:firstLine="420"/>
        <w:rPr>
          <w:rFonts w:ascii="宋体"/>
          <w:kern w:val="0"/>
          <w:szCs w:val="21"/>
        </w:rPr>
      </w:pP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（七）</w:t>
      </w:r>
      <w:r>
        <w:rPr>
          <w:rFonts w:ascii="宋体" w:hAnsi="宋体"/>
          <w:b/>
          <w:kern w:val="0"/>
          <w:szCs w:val="21"/>
        </w:rPr>
        <w:t xml:space="preserve"> </w:t>
      </w:r>
      <w:r>
        <w:rPr>
          <w:rFonts w:ascii="宋体" w:hAnsi="宋体" w:hint="eastAsia"/>
          <w:b/>
          <w:kern w:val="0"/>
          <w:szCs w:val="21"/>
        </w:rPr>
        <w:t>附录</w:t>
      </w:r>
    </w:p>
    <w:p w:rsidR="003717A0" w:rsidRDefault="003717A0">
      <w:pPr>
        <w:adjustRightInd w:val="0"/>
        <w:snapToGrid w:val="0"/>
        <w:spacing w:line="360" w:lineRule="auto"/>
        <w:ind w:right="4" w:firstLineChars="200" w:firstLine="420"/>
        <w:rPr>
          <w:rFonts w:ascii="宋体"/>
          <w:szCs w:val="21"/>
        </w:rPr>
      </w:pPr>
      <w:r>
        <w:rPr>
          <w:rFonts w:ascii="宋体" w:hAnsi="宋体"/>
          <w:szCs w:val="21"/>
        </w:rPr>
        <w:t>1</w:t>
      </w:r>
      <w:r>
        <w:rPr>
          <w:rFonts w:ascii="宋体" w:hAnsi="宋体" w:hint="eastAsia"/>
          <w:szCs w:val="21"/>
        </w:rPr>
        <w:t>、主要教学参考书</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葛均波</w:t>
      </w:r>
      <w:r>
        <w:rPr>
          <w:rFonts w:ascii="宋体"/>
          <w:szCs w:val="21"/>
        </w:rPr>
        <w:t>,</w:t>
      </w:r>
      <w:r>
        <w:rPr>
          <w:rFonts w:ascii="宋体" w:hAnsi="宋体" w:hint="eastAsia"/>
          <w:szCs w:val="21"/>
        </w:rPr>
        <w:t>徐永健</w:t>
      </w:r>
      <w:r>
        <w:rPr>
          <w:rFonts w:ascii="宋体"/>
          <w:szCs w:val="21"/>
        </w:rPr>
        <w:t>.</w:t>
      </w:r>
      <w:r>
        <w:rPr>
          <w:rFonts w:ascii="宋体" w:hAnsi="宋体" w:hint="eastAsia"/>
          <w:szCs w:val="21"/>
        </w:rPr>
        <w:t>内科学</w:t>
      </w:r>
      <w:r>
        <w:rPr>
          <w:rFonts w:ascii="宋体"/>
          <w:szCs w:val="21"/>
        </w:rPr>
        <w:t>.</w:t>
      </w:r>
      <w:r>
        <w:rPr>
          <w:rFonts w:ascii="宋体" w:hAnsi="宋体" w:hint="eastAsia"/>
          <w:szCs w:val="21"/>
        </w:rPr>
        <w:t>第</w:t>
      </w:r>
      <w:r>
        <w:rPr>
          <w:rFonts w:ascii="宋体" w:hAnsi="宋体"/>
          <w:szCs w:val="21"/>
        </w:rPr>
        <w:t>8</w:t>
      </w:r>
      <w:r>
        <w:rPr>
          <w:rFonts w:ascii="宋体" w:hAnsi="宋体" w:hint="eastAsia"/>
          <w:szCs w:val="21"/>
        </w:rPr>
        <w:t>版</w:t>
      </w:r>
      <w:r>
        <w:rPr>
          <w:rFonts w:ascii="宋体"/>
          <w:szCs w:val="21"/>
        </w:rPr>
        <w:t>.</w:t>
      </w:r>
      <w:r>
        <w:rPr>
          <w:rFonts w:ascii="宋体" w:hAnsi="宋体" w:hint="eastAsia"/>
          <w:szCs w:val="21"/>
        </w:rPr>
        <w:t>北京</w:t>
      </w:r>
      <w:r>
        <w:rPr>
          <w:rFonts w:ascii="宋体" w:hAnsi="宋体"/>
          <w:szCs w:val="21"/>
        </w:rPr>
        <w:t>:</w:t>
      </w:r>
      <w:r>
        <w:rPr>
          <w:rFonts w:ascii="宋体" w:hAnsi="宋体" w:hint="eastAsia"/>
          <w:szCs w:val="21"/>
        </w:rPr>
        <w:t>人民卫生出版社，</w:t>
      </w:r>
      <w:r>
        <w:rPr>
          <w:rFonts w:ascii="宋体" w:hAnsi="宋体"/>
          <w:szCs w:val="21"/>
        </w:rPr>
        <w:t>2013</w:t>
      </w:r>
      <w:r>
        <w:rPr>
          <w:rFonts w:ascii="宋体" w:hAnsi="宋体" w:hint="eastAsia"/>
          <w:szCs w:val="21"/>
        </w:rPr>
        <w:t>年</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陈灏珠</w:t>
      </w:r>
      <w:r>
        <w:rPr>
          <w:rFonts w:ascii="宋体"/>
          <w:szCs w:val="21"/>
        </w:rPr>
        <w:t>,</w:t>
      </w:r>
      <w:r>
        <w:rPr>
          <w:rFonts w:ascii="宋体" w:hAnsi="宋体" w:hint="eastAsia"/>
          <w:szCs w:val="21"/>
        </w:rPr>
        <w:t>林果为</w:t>
      </w:r>
      <w:r>
        <w:rPr>
          <w:rFonts w:ascii="宋体"/>
          <w:szCs w:val="21"/>
        </w:rPr>
        <w:t>,</w:t>
      </w:r>
      <w:r>
        <w:rPr>
          <w:rFonts w:ascii="宋体" w:hAnsi="宋体" w:hint="eastAsia"/>
          <w:szCs w:val="21"/>
        </w:rPr>
        <w:t>王吉耀</w:t>
      </w:r>
      <w:r>
        <w:rPr>
          <w:rFonts w:ascii="宋体" w:hAnsi="宋体"/>
          <w:szCs w:val="21"/>
        </w:rPr>
        <w:t xml:space="preserve">. </w:t>
      </w:r>
      <w:r>
        <w:rPr>
          <w:rFonts w:ascii="宋体" w:hAnsi="宋体" w:hint="eastAsia"/>
          <w:szCs w:val="21"/>
        </w:rPr>
        <w:t>实用内科学</w:t>
      </w:r>
      <w:r>
        <w:rPr>
          <w:rFonts w:ascii="宋体" w:hAnsi="宋体"/>
          <w:szCs w:val="21"/>
        </w:rPr>
        <w:t xml:space="preserve">. </w:t>
      </w:r>
      <w:r>
        <w:rPr>
          <w:rFonts w:ascii="宋体" w:hAnsi="宋体" w:hint="eastAsia"/>
          <w:szCs w:val="21"/>
        </w:rPr>
        <w:t>第</w:t>
      </w:r>
      <w:r>
        <w:rPr>
          <w:rFonts w:ascii="宋体" w:hAnsi="宋体"/>
          <w:szCs w:val="21"/>
        </w:rPr>
        <w:t>14</w:t>
      </w:r>
      <w:r>
        <w:rPr>
          <w:rFonts w:ascii="宋体" w:hAnsi="宋体" w:hint="eastAsia"/>
          <w:szCs w:val="21"/>
        </w:rPr>
        <w:t>版</w:t>
      </w:r>
      <w:r>
        <w:rPr>
          <w:rFonts w:ascii="宋体" w:hAnsi="宋体"/>
          <w:szCs w:val="21"/>
        </w:rPr>
        <w:t xml:space="preserve">. </w:t>
      </w:r>
      <w:r>
        <w:rPr>
          <w:rFonts w:ascii="宋体" w:hAnsi="宋体" w:hint="eastAsia"/>
          <w:szCs w:val="21"/>
        </w:rPr>
        <w:t>北京</w:t>
      </w:r>
      <w:r>
        <w:rPr>
          <w:rFonts w:ascii="宋体" w:hAnsi="宋体"/>
          <w:szCs w:val="21"/>
        </w:rPr>
        <w:t xml:space="preserve">: </w:t>
      </w:r>
      <w:r>
        <w:rPr>
          <w:rFonts w:ascii="宋体" w:hAnsi="宋体" w:hint="eastAsia"/>
          <w:szCs w:val="21"/>
        </w:rPr>
        <w:t>人民出版社</w:t>
      </w:r>
      <w:r>
        <w:rPr>
          <w:rFonts w:ascii="宋体" w:hAnsi="宋体"/>
          <w:szCs w:val="21"/>
        </w:rPr>
        <w:t>,  2013</w:t>
      </w:r>
      <w:r>
        <w:rPr>
          <w:rFonts w:ascii="宋体" w:hAnsi="宋体" w:hint="eastAsia"/>
          <w:szCs w:val="21"/>
        </w:rPr>
        <w:t>年</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胡品津</w:t>
      </w:r>
      <w:r>
        <w:rPr>
          <w:rFonts w:ascii="宋体"/>
          <w:szCs w:val="21"/>
        </w:rPr>
        <w:t>,</w:t>
      </w:r>
      <w:r>
        <w:rPr>
          <w:rFonts w:ascii="宋体" w:hAnsi="宋体" w:hint="eastAsia"/>
          <w:szCs w:val="21"/>
        </w:rPr>
        <w:t>谢灿茂</w:t>
      </w:r>
      <w:r>
        <w:rPr>
          <w:rFonts w:ascii="宋体"/>
          <w:szCs w:val="21"/>
        </w:rPr>
        <w:t>.</w:t>
      </w:r>
      <w:r>
        <w:rPr>
          <w:rFonts w:ascii="宋体" w:hAnsi="宋体" w:hint="eastAsia"/>
          <w:szCs w:val="21"/>
        </w:rPr>
        <w:t>内科疾病鉴别诊断</w:t>
      </w:r>
      <w:r>
        <w:rPr>
          <w:rFonts w:ascii="宋体"/>
          <w:szCs w:val="21"/>
        </w:rPr>
        <w:t>.</w:t>
      </w:r>
      <w:r>
        <w:rPr>
          <w:rFonts w:ascii="宋体" w:hAnsi="宋体" w:hint="eastAsia"/>
          <w:szCs w:val="21"/>
        </w:rPr>
        <w:t>第</w:t>
      </w:r>
      <w:r>
        <w:rPr>
          <w:rFonts w:ascii="宋体" w:hAnsi="宋体"/>
          <w:szCs w:val="21"/>
        </w:rPr>
        <w:t>6</w:t>
      </w:r>
      <w:r>
        <w:rPr>
          <w:rFonts w:ascii="宋体" w:hAnsi="宋体" w:hint="eastAsia"/>
          <w:szCs w:val="21"/>
        </w:rPr>
        <w:t>版北京</w:t>
      </w:r>
      <w:r>
        <w:rPr>
          <w:rFonts w:ascii="宋体" w:hAnsi="宋体"/>
          <w:szCs w:val="21"/>
        </w:rPr>
        <w:t>:</w:t>
      </w:r>
      <w:r>
        <w:rPr>
          <w:rFonts w:ascii="宋体" w:hAnsi="宋体" w:hint="eastAsia"/>
          <w:szCs w:val="21"/>
        </w:rPr>
        <w:t>人民卫生出版社</w:t>
      </w:r>
      <w:r>
        <w:rPr>
          <w:rFonts w:ascii="宋体" w:hAnsi="宋体"/>
          <w:szCs w:val="21"/>
        </w:rPr>
        <w:t>,2014</w:t>
      </w:r>
      <w:r>
        <w:rPr>
          <w:rFonts w:ascii="宋体" w:hAnsi="宋体" w:hint="eastAsia"/>
          <w:szCs w:val="21"/>
        </w:rPr>
        <w:t>年</w:t>
      </w:r>
    </w:p>
    <w:p w:rsidR="003717A0" w:rsidRDefault="003717A0">
      <w:pPr>
        <w:adjustRightInd w:val="0"/>
        <w:snapToGrid w:val="0"/>
        <w:spacing w:line="360" w:lineRule="auto"/>
        <w:ind w:right="4" w:firstLineChars="200" w:firstLine="420"/>
        <w:rPr>
          <w:rFonts w:ascii="宋体"/>
          <w:szCs w:val="21"/>
        </w:rPr>
      </w:pPr>
      <w:r>
        <w:rPr>
          <w:rFonts w:ascii="宋体" w:hAnsi="宋体"/>
          <w:szCs w:val="21"/>
        </w:rPr>
        <w:t>2</w:t>
      </w:r>
      <w:r>
        <w:rPr>
          <w:rFonts w:ascii="宋体" w:hAnsi="宋体" w:hint="eastAsia"/>
          <w:szCs w:val="21"/>
        </w:rPr>
        <w:t>、推荐专业期刊</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w:t>
      </w:r>
      <w:r>
        <w:rPr>
          <w:rFonts w:ascii="宋体" w:hAnsi="宋体"/>
          <w:szCs w:val="21"/>
        </w:rPr>
        <w:t>1</w:t>
      </w:r>
      <w:r>
        <w:rPr>
          <w:rFonts w:ascii="宋体" w:hAnsi="宋体" w:hint="eastAsia"/>
          <w:szCs w:val="21"/>
        </w:rPr>
        <w:t>）《中华内科学杂志》，中华医学会主办。</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w:t>
      </w:r>
      <w:r>
        <w:rPr>
          <w:rFonts w:ascii="宋体" w:hAnsi="宋体"/>
          <w:szCs w:val="21"/>
        </w:rPr>
        <w:t>2</w:t>
      </w:r>
      <w:r>
        <w:rPr>
          <w:rFonts w:ascii="宋体" w:hAnsi="宋体" w:hint="eastAsia"/>
          <w:szCs w:val="21"/>
        </w:rPr>
        <w:t>）《中华医学杂志》，中华医学会主办。</w:t>
      </w:r>
    </w:p>
    <w:p w:rsidR="003717A0" w:rsidRDefault="003717A0">
      <w:pPr>
        <w:adjustRightInd w:val="0"/>
        <w:snapToGrid w:val="0"/>
        <w:spacing w:line="360" w:lineRule="auto"/>
        <w:ind w:right="4" w:firstLineChars="200" w:firstLine="420"/>
        <w:rPr>
          <w:rFonts w:ascii="宋体"/>
          <w:szCs w:val="21"/>
        </w:rPr>
      </w:pPr>
      <w:r>
        <w:rPr>
          <w:rFonts w:ascii="宋体" w:hAnsi="宋体"/>
          <w:szCs w:val="21"/>
        </w:rPr>
        <w:t>3</w:t>
      </w:r>
      <w:r>
        <w:rPr>
          <w:rFonts w:ascii="宋体" w:hAnsi="宋体" w:hint="eastAsia"/>
          <w:szCs w:val="21"/>
        </w:rPr>
        <w:t>、推荐优秀专业网站，提供学生浏览学习</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丁香园：</w:t>
      </w:r>
      <w:r>
        <w:rPr>
          <w:rFonts w:ascii="宋体"/>
          <w:szCs w:val="21"/>
        </w:rPr>
        <w:t>http://www.dxy.cn/cms/</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好大夫在线：</w:t>
      </w:r>
      <w:r>
        <w:rPr>
          <w:rFonts w:ascii="宋体"/>
          <w:szCs w:val="21"/>
        </w:rPr>
        <w:t>http://www.haodf.com/</w:t>
      </w:r>
    </w:p>
    <w:p w:rsidR="003717A0" w:rsidRDefault="003717A0">
      <w:pPr>
        <w:adjustRightInd w:val="0"/>
        <w:snapToGrid w:val="0"/>
        <w:spacing w:line="360" w:lineRule="auto"/>
        <w:ind w:right="4" w:firstLineChars="200" w:firstLine="420"/>
        <w:rPr>
          <w:rFonts w:ascii="宋体"/>
          <w:szCs w:val="21"/>
        </w:rPr>
      </w:pPr>
      <w:r>
        <w:rPr>
          <w:rFonts w:ascii="宋体" w:hAnsi="宋体" w:hint="eastAsia"/>
          <w:szCs w:val="21"/>
        </w:rPr>
        <w:t>用药安全网：</w:t>
      </w:r>
      <w:r>
        <w:rPr>
          <w:rFonts w:ascii="宋体"/>
          <w:szCs w:val="21"/>
        </w:rPr>
        <w:t>http://www.yongyao.net</w:t>
      </w:r>
    </w:p>
    <w:p w:rsidR="003717A0" w:rsidRDefault="003717A0">
      <w:pPr>
        <w:spacing w:line="400" w:lineRule="exact"/>
        <w:ind w:firstLineChars="200" w:firstLine="420"/>
        <w:rPr>
          <w:rFonts w:ascii="仿宋_GB2312" w:eastAsia="仿宋_GB2312"/>
          <w:szCs w:val="21"/>
        </w:rPr>
      </w:pPr>
      <w:r>
        <w:rPr>
          <w:rFonts w:ascii="仿宋_GB2312" w:eastAsia="仿宋_GB2312" w:hint="eastAsia"/>
          <w:szCs w:val="21"/>
        </w:rPr>
        <w:t>医学全在线</w:t>
      </w:r>
      <w:r>
        <w:rPr>
          <w:rFonts w:ascii="仿宋_GB2312" w:eastAsia="仿宋_GB2312"/>
          <w:szCs w:val="21"/>
        </w:rPr>
        <w:t>:</w:t>
      </w:r>
      <w:r>
        <w:rPr>
          <w:szCs w:val="21"/>
        </w:rPr>
        <w:t xml:space="preserve"> </w:t>
      </w:r>
      <w:r w:rsidRPr="001F0230">
        <w:rPr>
          <w:rFonts w:ascii="仿宋_GB2312" w:eastAsia="仿宋_GB2312"/>
          <w:szCs w:val="21"/>
        </w:rPr>
        <w:t>http://www.med126.com</w:t>
      </w:r>
    </w:p>
    <w:p w:rsidR="003717A0" w:rsidRDefault="003717A0">
      <w:pPr>
        <w:spacing w:line="400" w:lineRule="exact"/>
        <w:ind w:firstLineChars="200" w:firstLine="420"/>
        <w:rPr>
          <w:rFonts w:ascii="仿宋_GB2312" w:eastAsia="仿宋_GB2312" w:hAnsi="宋体"/>
          <w:szCs w:val="21"/>
        </w:rPr>
      </w:pPr>
      <w:r>
        <w:rPr>
          <w:rFonts w:ascii="仿宋_GB2312" w:eastAsia="仿宋_GB2312" w:hAnsi="宋体" w:hint="eastAsia"/>
          <w:szCs w:val="21"/>
        </w:rPr>
        <w:t>医学吧：</w:t>
      </w:r>
      <w:r w:rsidRPr="001F0230">
        <w:rPr>
          <w:rFonts w:ascii="仿宋_GB2312" w:eastAsia="仿宋_GB2312" w:hAnsi="宋体"/>
          <w:szCs w:val="21"/>
        </w:rPr>
        <w:t>http://bbs.yixueba.com/</w:t>
      </w:r>
      <w:r>
        <w:rPr>
          <w:rFonts w:ascii="仿宋_GB2312" w:eastAsia="仿宋_GB2312" w:hAnsi="宋体"/>
          <w:szCs w:val="21"/>
        </w:rPr>
        <w:t> </w:t>
      </w:r>
    </w:p>
    <w:p w:rsidR="003717A0" w:rsidRDefault="003717A0">
      <w:pPr>
        <w:spacing w:line="400" w:lineRule="exact"/>
        <w:ind w:firstLineChars="200" w:firstLine="420"/>
        <w:rPr>
          <w:rFonts w:ascii="仿宋_GB2312" w:eastAsia="仿宋_GB2312" w:hAnsi="宋体"/>
          <w:szCs w:val="21"/>
        </w:rPr>
      </w:pPr>
    </w:p>
    <w:p w:rsidR="003717A0" w:rsidRPr="00566E4D" w:rsidRDefault="003717A0">
      <w:pPr>
        <w:autoSpaceDE w:val="0"/>
        <w:autoSpaceDN w:val="0"/>
        <w:adjustRightInd w:val="0"/>
        <w:snapToGrid w:val="0"/>
        <w:spacing w:line="360" w:lineRule="auto"/>
        <w:ind w:firstLineChars="2750" w:firstLine="5775"/>
        <w:jc w:val="left"/>
        <w:rPr>
          <w:rFonts w:ascii="黑体" w:eastAsia="黑体" w:hAnsi="黑体" w:cs="黑体"/>
          <w:kern w:val="0"/>
          <w:szCs w:val="21"/>
        </w:rPr>
      </w:pPr>
      <w:r w:rsidRPr="00566E4D">
        <w:rPr>
          <w:rFonts w:ascii="黑体" w:eastAsia="黑体" w:hAnsi="黑体" w:cs="黑体" w:hint="eastAsia"/>
          <w:kern w:val="0"/>
          <w:szCs w:val="21"/>
        </w:rPr>
        <w:t>制定人：戴厚永</w:t>
      </w:r>
    </w:p>
    <w:p w:rsidR="003717A0" w:rsidRPr="00566E4D" w:rsidRDefault="003000C6" w:rsidP="005E20B5">
      <w:pPr>
        <w:adjustRightInd w:val="0"/>
        <w:snapToGrid w:val="0"/>
        <w:spacing w:beforeLines="50" w:afterLines="50" w:line="360" w:lineRule="auto"/>
        <w:jc w:val="center"/>
        <w:rPr>
          <w:rFonts w:ascii="黑体" w:eastAsia="黑体" w:hAnsi="黑体" w:cs="黑体"/>
          <w:kern w:val="0"/>
          <w:szCs w:val="21"/>
        </w:rPr>
      </w:pPr>
      <w:r>
        <w:rPr>
          <w:rFonts w:ascii="黑体" w:eastAsia="黑体" w:hAnsi="黑体" w:cs="黑体"/>
          <w:kern w:val="0"/>
          <w:szCs w:val="21"/>
        </w:rPr>
        <w:t xml:space="preserve">                            </w:t>
      </w:r>
      <w:r w:rsidR="003717A0" w:rsidRPr="00566E4D">
        <w:rPr>
          <w:rFonts w:ascii="黑体" w:eastAsia="黑体" w:hAnsi="黑体" w:cs="黑体"/>
          <w:kern w:val="0"/>
          <w:szCs w:val="21"/>
        </w:rPr>
        <w:t xml:space="preserve">      </w:t>
      </w:r>
      <w:r w:rsidR="003717A0" w:rsidRPr="00566E4D">
        <w:rPr>
          <w:rFonts w:ascii="黑体" w:eastAsia="黑体" w:hAnsi="黑体" w:cs="黑体" w:hint="eastAsia"/>
          <w:kern w:val="0"/>
          <w:szCs w:val="21"/>
        </w:rPr>
        <w:t>审核人：施辉</w:t>
      </w:r>
    </w:p>
    <w:p w:rsidR="003717A0" w:rsidRDefault="003717A0" w:rsidP="005E20B5">
      <w:pPr>
        <w:adjustRightInd w:val="0"/>
        <w:snapToGrid w:val="0"/>
        <w:spacing w:beforeLines="50" w:afterLines="50" w:line="360" w:lineRule="auto"/>
        <w:jc w:val="center"/>
        <w:rPr>
          <w:rFonts w:ascii="宋体" w:cs="黑体"/>
          <w:kern w:val="0"/>
          <w:szCs w:val="21"/>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（一）适应对象</w:t>
      </w:r>
    </w:p>
    <w:p w:rsidR="003717A0" w:rsidRDefault="003717A0">
      <w:pPr>
        <w:adjustRightInd w:val="0"/>
        <w:snapToGrid w:val="0"/>
        <w:spacing w:line="360" w:lineRule="auto"/>
        <w:ind w:leftChars="229" w:left="481" w:right="4" w:firstLineChars="50" w:firstLine="105"/>
        <w:rPr>
          <w:rFonts w:ascii="宋体"/>
          <w:szCs w:val="21"/>
        </w:rPr>
      </w:pPr>
      <w:r>
        <w:rPr>
          <w:rFonts w:ascii="宋体" w:hAnsi="宋体" w:hint="eastAsia"/>
          <w:szCs w:val="21"/>
        </w:rPr>
        <w:t>修读完本课程规定内容的康复治疗学专业的本科学生；</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（二）考核目的</w:t>
      </w:r>
    </w:p>
    <w:p w:rsidR="003717A0" w:rsidRDefault="003717A0">
      <w:pPr>
        <w:autoSpaceDE w:val="0"/>
        <w:autoSpaceDN w:val="0"/>
        <w:adjustRightInd w:val="0"/>
        <w:snapToGrid w:val="0"/>
        <w:spacing w:line="360" w:lineRule="auto"/>
        <w:ind w:firstLineChars="190" w:firstLine="399"/>
        <w:jc w:val="left"/>
        <w:rPr>
          <w:rFonts w:ascii="宋体"/>
          <w:szCs w:val="21"/>
        </w:rPr>
      </w:pPr>
      <w:r>
        <w:rPr>
          <w:rFonts w:ascii="宋体" w:hAnsi="宋体" w:hint="eastAsia"/>
          <w:szCs w:val="21"/>
        </w:rPr>
        <w:t>通过考核</w:t>
      </w:r>
      <w:r>
        <w:rPr>
          <w:rFonts w:hint="eastAsia"/>
          <w:szCs w:val="21"/>
        </w:rPr>
        <w:t>旨在考察在诊断学知识的基础上，注重考察学生对于各系统的常见病、多发病的基本概念的理解与掌握、较熟练运用所学的病理生理、药理和诊断学知识，分析疾病的病因、发病机制、临床表现、实验室检查，具有一定的程度的抽象思维和逻辑推理能力，从疾病的表现得出疾病的诊断，并能掌握危重疾病的抢救以及常见病、多发病的治疗</w:t>
      </w:r>
      <w:r>
        <w:rPr>
          <w:rFonts w:hint="eastAsia"/>
          <w:spacing w:val="-9"/>
          <w:szCs w:val="21"/>
        </w:rPr>
        <w:t>原则和常用措施，熟悉其预防措施。</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期末闭卷理论考核和平时成绩</w:t>
      </w:r>
      <w:r>
        <w:rPr>
          <w:rFonts w:ascii="宋体" w:hAnsi="宋体" w:hint="eastAsia"/>
          <w:kern w:val="0"/>
          <w:szCs w:val="21"/>
        </w:rPr>
        <w:t>主要以听课情况、发言、小组讨论情况等方式进行。</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期末考试成绩占总成绩的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宋体"/>
          <w:b/>
          <w:kern w:val="0"/>
          <w:szCs w:val="21"/>
        </w:rPr>
      </w:pPr>
      <w:r>
        <w:rPr>
          <w:rFonts w:ascii="宋体" w:hAnsi="宋体" w:hint="eastAsia"/>
          <w:b/>
          <w:kern w:val="0"/>
          <w:szCs w:val="21"/>
        </w:rPr>
        <w:t>（五）考核内容与要求</w:t>
      </w:r>
    </w:p>
    <w:p w:rsidR="003717A0" w:rsidRDefault="003717A0">
      <w:pPr>
        <w:autoSpaceDE w:val="0"/>
        <w:autoSpaceDN w:val="0"/>
        <w:adjustRightInd w:val="0"/>
        <w:snapToGrid w:val="0"/>
        <w:spacing w:line="360" w:lineRule="auto"/>
        <w:ind w:firstLineChars="192" w:firstLine="405"/>
        <w:jc w:val="left"/>
        <w:rPr>
          <w:rFonts w:ascii="宋体"/>
          <w:b/>
          <w:kern w:val="0"/>
          <w:szCs w:val="21"/>
        </w:rPr>
      </w:pPr>
      <w:r>
        <w:rPr>
          <w:rFonts w:ascii="宋体" w:hAnsi="宋体" w:hint="eastAsia"/>
          <w:b/>
          <w:kern w:val="0"/>
          <w:szCs w:val="21"/>
        </w:rPr>
        <w:t>考核内容</w:t>
      </w:r>
      <w:r>
        <w:rPr>
          <w:rFonts w:ascii="宋体" w:hAnsi="宋体"/>
          <w:b/>
          <w:kern w:val="0"/>
          <w:szCs w:val="21"/>
        </w:rPr>
        <w:t xml:space="preserve"> </w:t>
      </w:r>
    </w:p>
    <w:p w:rsidR="003717A0" w:rsidRDefault="003717A0">
      <w:pPr>
        <w:autoSpaceDE w:val="0"/>
        <w:autoSpaceDN w:val="0"/>
        <w:adjustRightInd w:val="0"/>
        <w:snapToGrid w:val="0"/>
        <w:spacing w:line="360" w:lineRule="auto"/>
        <w:ind w:firstLineChars="241" w:firstLine="506"/>
        <w:jc w:val="left"/>
        <w:rPr>
          <w:rFonts w:ascii="宋体"/>
          <w:b/>
          <w:kern w:val="0"/>
          <w:szCs w:val="21"/>
        </w:rPr>
      </w:pPr>
      <w:r>
        <w:rPr>
          <w:rFonts w:ascii="宋体" w:hAnsi="宋体" w:hint="eastAsia"/>
          <w:szCs w:val="21"/>
        </w:rPr>
        <w:t>内科常见病、多发病的病因、发病机制、病理解剖、临床表现、并发症、诊断和鉴别诊断、治疗、预后和预防。对内科常见病、多发病的诊断和防治能力，内科常用的诊疗技术。</w:t>
      </w:r>
    </w:p>
    <w:p w:rsidR="003717A0" w:rsidRDefault="003717A0">
      <w:pPr>
        <w:autoSpaceDE w:val="0"/>
        <w:autoSpaceDN w:val="0"/>
        <w:adjustRightInd w:val="0"/>
        <w:snapToGrid w:val="0"/>
        <w:spacing w:line="360" w:lineRule="auto"/>
        <w:ind w:firstLineChars="192" w:firstLine="405"/>
        <w:jc w:val="left"/>
        <w:rPr>
          <w:rFonts w:ascii="宋体"/>
          <w:b/>
          <w:kern w:val="0"/>
          <w:szCs w:val="21"/>
        </w:rPr>
      </w:pPr>
      <w:r>
        <w:rPr>
          <w:rFonts w:ascii="宋体" w:hAnsi="宋体" w:hint="eastAsia"/>
          <w:b/>
          <w:kern w:val="0"/>
          <w:szCs w:val="21"/>
        </w:rPr>
        <w:t>考核要求：</w:t>
      </w:r>
    </w:p>
    <w:p w:rsidR="003717A0" w:rsidRPr="00566E4D" w:rsidRDefault="003717A0" w:rsidP="00566E4D">
      <w:pPr>
        <w:autoSpaceDE w:val="0"/>
        <w:autoSpaceDN w:val="0"/>
        <w:adjustRightInd w:val="0"/>
        <w:snapToGrid w:val="0"/>
        <w:spacing w:line="360" w:lineRule="auto"/>
        <w:ind w:firstLineChars="192" w:firstLine="369"/>
        <w:jc w:val="left"/>
        <w:rPr>
          <w:spacing w:val="-9"/>
          <w:szCs w:val="21"/>
        </w:rPr>
      </w:pPr>
      <w:r>
        <w:rPr>
          <w:rFonts w:hint="eastAsia"/>
          <w:spacing w:val="-9"/>
          <w:szCs w:val="21"/>
        </w:rPr>
        <w:t>本门课程考核要求由低到高共分为“了解”、</w:t>
      </w:r>
      <w:r>
        <w:rPr>
          <w:spacing w:val="-9"/>
          <w:szCs w:val="21"/>
        </w:rPr>
        <w:t xml:space="preserve"> </w:t>
      </w:r>
      <w:r>
        <w:rPr>
          <w:rFonts w:hint="eastAsia"/>
          <w:spacing w:val="-9"/>
          <w:szCs w:val="21"/>
        </w:rPr>
        <w:t>“熟悉”、掌握</w:t>
      </w:r>
      <w:r>
        <w:rPr>
          <w:spacing w:val="-9"/>
          <w:szCs w:val="21"/>
        </w:rPr>
        <w:t xml:space="preserve"> </w:t>
      </w:r>
      <w:r>
        <w:rPr>
          <w:rFonts w:hint="eastAsia"/>
          <w:spacing w:val="-9"/>
          <w:szCs w:val="21"/>
        </w:rPr>
        <w:t>“三个层次。其含义为：了解，指学生能懂所学知识，能在有关问题中认识或再现它们，例如疾病的病因病理。掌握，指学生清楚地理解所学知识（例如疾病的临床表现、诊断标准、治疗原则等），并在各种临床见习以及病案分析中正确应用所学知识，得出较正确的诊断和治疗。熟练掌握，指学生能较为深刻理解所学知识（例如急危重病的临床表现和抢救措施），在此基础上能够准确、熟练地使用，分析解决较为实际的问题。</w:t>
      </w:r>
    </w:p>
    <w:p w:rsidR="003717A0" w:rsidRDefault="003717A0">
      <w:pPr>
        <w:autoSpaceDE w:val="0"/>
        <w:autoSpaceDN w:val="0"/>
        <w:adjustRightInd w:val="0"/>
        <w:snapToGrid w:val="0"/>
        <w:spacing w:line="440" w:lineRule="exact"/>
        <w:jc w:val="left"/>
        <w:rPr>
          <w:rFonts w:ascii="宋体"/>
          <w:b/>
          <w:kern w:val="0"/>
          <w:szCs w:val="21"/>
        </w:rPr>
      </w:pPr>
      <w:r>
        <w:rPr>
          <w:rFonts w:ascii="宋体" w:hAnsi="宋体" w:hint="eastAsia"/>
          <w:b/>
          <w:kern w:val="0"/>
          <w:szCs w:val="21"/>
        </w:rPr>
        <w:t>（六）样卷</w:t>
      </w:r>
    </w:p>
    <w:p w:rsidR="003717A0" w:rsidRDefault="003717A0">
      <w:pPr>
        <w:autoSpaceDE w:val="0"/>
        <w:autoSpaceDN w:val="0"/>
        <w:adjustRightInd w:val="0"/>
        <w:snapToGrid w:val="0"/>
        <w:spacing w:line="440" w:lineRule="exact"/>
        <w:jc w:val="center"/>
        <w:rPr>
          <w:rFonts w:ascii="宋体"/>
          <w:b/>
          <w:kern w:val="0"/>
          <w:szCs w:val="21"/>
        </w:rPr>
      </w:pPr>
      <w:r>
        <w:rPr>
          <w:rFonts w:ascii="宋体" w:hAnsi="宋体" w:hint="eastAsia"/>
          <w:b/>
          <w:kern w:val="0"/>
          <w:szCs w:val="21"/>
        </w:rPr>
        <w:t>内科学课程考试试题</w:t>
      </w:r>
    </w:p>
    <w:p w:rsidR="003717A0" w:rsidRDefault="003717A0">
      <w:pPr>
        <w:autoSpaceDE w:val="0"/>
        <w:autoSpaceDN w:val="0"/>
        <w:adjustRightInd w:val="0"/>
        <w:snapToGrid w:val="0"/>
        <w:spacing w:line="440" w:lineRule="exact"/>
        <w:jc w:val="center"/>
        <w:rPr>
          <w:rFonts w:ascii="宋体"/>
          <w:kern w:val="0"/>
          <w:szCs w:val="21"/>
        </w:rPr>
      </w:pPr>
      <w:r>
        <w:rPr>
          <w:rFonts w:ascii="宋体" w:hAnsi="宋体"/>
          <w:kern w:val="0"/>
          <w:szCs w:val="21"/>
          <w:u w:val="single"/>
        </w:rPr>
        <w:t xml:space="preserve">  </w:t>
      </w:r>
      <w:r>
        <w:rPr>
          <w:rFonts w:ascii="宋体" w:hAnsi="宋体" w:hint="eastAsia"/>
          <w:kern w:val="0"/>
          <w:szCs w:val="21"/>
          <w:u w:val="single"/>
        </w:rPr>
        <w:t>ⅩⅩⅩⅩⅩ</w:t>
      </w:r>
      <w:r>
        <w:rPr>
          <w:rFonts w:ascii="宋体"/>
          <w:kern w:val="0"/>
          <w:szCs w:val="21"/>
          <w:u w:val="single"/>
        </w:rPr>
        <w:t>---</w:t>
      </w:r>
      <w:r>
        <w:rPr>
          <w:rFonts w:ascii="宋体" w:hAnsi="宋体" w:hint="eastAsia"/>
          <w:kern w:val="0"/>
          <w:szCs w:val="21"/>
          <w:u w:val="single"/>
        </w:rPr>
        <w:t>ⅩⅩⅩ</w:t>
      </w:r>
      <w:r>
        <w:rPr>
          <w:rFonts w:ascii="宋体" w:hAnsi="宋体"/>
          <w:kern w:val="0"/>
          <w:szCs w:val="21"/>
          <w:u w:val="single"/>
        </w:rPr>
        <w:t xml:space="preserve"> </w:t>
      </w:r>
      <w:r>
        <w:rPr>
          <w:rFonts w:ascii="宋体" w:hAnsi="宋体" w:hint="eastAsia"/>
          <w:kern w:val="0"/>
          <w:szCs w:val="21"/>
        </w:rPr>
        <w:t>学年</w:t>
      </w:r>
      <w:r>
        <w:rPr>
          <w:rFonts w:ascii="宋体" w:hAnsi="宋体"/>
          <w:szCs w:val="21"/>
          <w:u w:val="single"/>
        </w:rPr>
        <w:t xml:space="preserve"> </w:t>
      </w:r>
      <w:r>
        <w:rPr>
          <w:rFonts w:ascii="宋体" w:hAnsi="宋体" w:hint="eastAsia"/>
          <w:kern w:val="0"/>
          <w:szCs w:val="21"/>
          <w:u w:val="single"/>
        </w:rPr>
        <w:t>ⅩⅩ</w:t>
      </w:r>
      <w:r>
        <w:rPr>
          <w:rFonts w:ascii="宋体" w:hAnsi="宋体"/>
          <w:kern w:val="0"/>
          <w:szCs w:val="21"/>
          <w:u w:val="single"/>
        </w:rPr>
        <w:t xml:space="preserve"> </w:t>
      </w:r>
      <w:r>
        <w:rPr>
          <w:rFonts w:ascii="宋体" w:hAnsi="宋体" w:hint="eastAsia"/>
          <w:kern w:val="0"/>
          <w:szCs w:val="21"/>
        </w:rPr>
        <w:t>学期</w:t>
      </w:r>
      <w:r>
        <w:rPr>
          <w:rFonts w:ascii="宋体" w:hAnsi="宋体"/>
          <w:szCs w:val="21"/>
          <w:u w:val="single"/>
        </w:rPr>
        <w:t xml:space="preserve">  </w:t>
      </w:r>
      <w:r>
        <w:rPr>
          <w:rFonts w:ascii="宋体" w:hAnsi="宋体" w:hint="eastAsia"/>
          <w:kern w:val="0"/>
          <w:szCs w:val="21"/>
          <w:u w:val="single"/>
        </w:rPr>
        <w:t>康复治疗学ⅩⅩⅩ</w:t>
      </w:r>
      <w:r>
        <w:rPr>
          <w:rFonts w:ascii="宋体" w:hAnsi="宋体"/>
          <w:kern w:val="0"/>
          <w:szCs w:val="21"/>
          <w:u w:val="single"/>
        </w:rPr>
        <w:t xml:space="preserve">  </w:t>
      </w:r>
      <w:r>
        <w:rPr>
          <w:rFonts w:ascii="宋体" w:hAnsi="宋体" w:hint="eastAsia"/>
          <w:kern w:val="0"/>
          <w:szCs w:val="21"/>
        </w:rPr>
        <w:t>班级</w:t>
      </w:r>
    </w:p>
    <w:p w:rsidR="003717A0" w:rsidRDefault="003717A0">
      <w:pPr>
        <w:autoSpaceDE w:val="0"/>
        <w:autoSpaceDN w:val="0"/>
        <w:adjustRightInd w:val="0"/>
        <w:spacing w:line="440" w:lineRule="exact"/>
        <w:ind w:firstLineChars="193" w:firstLine="407"/>
        <w:jc w:val="center"/>
        <w:rPr>
          <w:rFonts w:ascii="宋体"/>
          <w:b/>
          <w:kern w:val="0"/>
          <w:szCs w:val="21"/>
        </w:rPr>
      </w:pPr>
      <w:r>
        <w:rPr>
          <w:rFonts w:ascii="宋体" w:hAnsi="宋体" w:hint="eastAsia"/>
          <w:b/>
          <w:kern w:val="0"/>
          <w:szCs w:val="21"/>
        </w:rPr>
        <w:t>时间：</w:t>
      </w:r>
      <w:r>
        <w:rPr>
          <w:rFonts w:ascii="宋体" w:hAnsi="宋体"/>
          <w:b/>
          <w:kern w:val="0"/>
          <w:szCs w:val="21"/>
        </w:rPr>
        <w:t>120</w:t>
      </w:r>
      <w:r>
        <w:rPr>
          <w:rFonts w:ascii="宋体" w:hAnsi="宋体" w:hint="eastAsia"/>
          <w:b/>
          <w:kern w:val="0"/>
          <w:szCs w:val="21"/>
        </w:rPr>
        <w:t>分钟</w:t>
      </w:r>
      <w:r>
        <w:rPr>
          <w:rFonts w:ascii="宋体" w:hAnsi="宋体"/>
          <w:b/>
          <w:kern w:val="0"/>
          <w:szCs w:val="21"/>
        </w:rPr>
        <w:t xml:space="preserve">     </w:t>
      </w:r>
      <w:r>
        <w:rPr>
          <w:rFonts w:ascii="宋体" w:hAnsi="宋体" w:hint="eastAsia"/>
          <w:b/>
          <w:kern w:val="0"/>
          <w:szCs w:val="21"/>
        </w:rPr>
        <w:t>总分：</w:t>
      </w:r>
      <w:r>
        <w:rPr>
          <w:rFonts w:ascii="宋体" w:hAnsi="宋体"/>
          <w:b/>
          <w:kern w:val="0"/>
          <w:szCs w:val="21"/>
        </w:rPr>
        <w:t>100</w:t>
      </w:r>
      <w:r>
        <w:rPr>
          <w:rFonts w:ascii="宋体" w:hAnsi="宋体" w:hint="eastAsia"/>
          <w:b/>
          <w:kern w:val="0"/>
          <w:szCs w:val="21"/>
        </w:rPr>
        <w:t>分</w:t>
      </w:r>
    </w:p>
    <w:p w:rsidR="003717A0" w:rsidRDefault="003717A0">
      <w:pPr>
        <w:rPr>
          <w:b/>
        </w:rPr>
      </w:pPr>
      <w:r>
        <w:rPr>
          <w:rFonts w:hint="eastAsia"/>
          <w:b/>
        </w:rPr>
        <w:t>一、名词解释（每题</w:t>
      </w:r>
      <w:r>
        <w:rPr>
          <w:b/>
        </w:rPr>
        <w:t>3</w:t>
      </w:r>
      <w:r>
        <w:rPr>
          <w:rFonts w:hint="eastAsia"/>
          <w:b/>
        </w:rPr>
        <w:t>分，共</w:t>
      </w:r>
      <w:r>
        <w:rPr>
          <w:b/>
        </w:rPr>
        <w:t>30</w:t>
      </w:r>
      <w:r>
        <w:rPr>
          <w:rFonts w:hint="eastAsia"/>
          <w:b/>
        </w:rPr>
        <w:t>分）</w:t>
      </w:r>
    </w:p>
    <w:p w:rsidR="003717A0" w:rsidRDefault="003717A0">
      <w:pPr>
        <w:numPr>
          <w:ilvl w:val="0"/>
          <w:numId w:val="471"/>
        </w:numPr>
      </w:pPr>
      <w:r>
        <w:rPr>
          <w:rFonts w:hint="eastAsia"/>
        </w:rPr>
        <w:t>动脉血氧分压</w:t>
      </w:r>
    </w:p>
    <w:p w:rsidR="003717A0" w:rsidRDefault="003717A0">
      <w:pPr>
        <w:numPr>
          <w:ilvl w:val="0"/>
          <w:numId w:val="471"/>
        </w:numPr>
      </w:pPr>
      <w:r>
        <w:t>II</w:t>
      </w:r>
      <w:r>
        <w:rPr>
          <w:rFonts w:hint="eastAsia"/>
        </w:rPr>
        <w:t>型呼吸衰竭</w:t>
      </w:r>
    </w:p>
    <w:p w:rsidR="003717A0" w:rsidRDefault="003717A0">
      <w:pPr>
        <w:numPr>
          <w:ilvl w:val="0"/>
          <w:numId w:val="471"/>
        </w:numPr>
      </w:pPr>
      <w:r>
        <w:rPr>
          <w:rFonts w:hint="eastAsia"/>
        </w:rPr>
        <w:t>社区获得性肺炎</w:t>
      </w:r>
    </w:p>
    <w:p w:rsidR="003717A0" w:rsidRDefault="003717A0">
      <w:pPr>
        <w:numPr>
          <w:ilvl w:val="0"/>
          <w:numId w:val="471"/>
        </w:numPr>
      </w:pPr>
      <w:r>
        <w:rPr>
          <w:rFonts w:hint="eastAsia"/>
        </w:rPr>
        <w:t>肺性脑病</w:t>
      </w:r>
    </w:p>
    <w:p w:rsidR="003717A0" w:rsidRDefault="003717A0">
      <w:pPr>
        <w:numPr>
          <w:ilvl w:val="0"/>
          <w:numId w:val="471"/>
        </w:numPr>
      </w:pPr>
      <w:r>
        <w:rPr>
          <w:rFonts w:hint="eastAsia"/>
        </w:rPr>
        <w:t>小肝癌</w:t>
      </w:r>
    </w:p>
    <w:p w:rsidR="003717A0" w:rsidRDefault="003717A0">
      <w:pPr>
        <w:numPr>
          <w:ilvl w:val="0"/>
          <w:numId w:val="471"/>
        </w:numPr>
      </w:pPr>
      <w:r>
        <w:rPr>
          <w:rFonts w:hint="eastAsia"/>
        </w:rPr>
        <w:t>肝性脑病</w:t>
      </w:r>
    </w:p>
    <w:p w:rsidR="003717A0" w:rsidRDefault="003717A0">
      <w:pPr>
        <w:numPr>
          <w:ilvl w:val="0"/>
          <w:numId w:val="471"/>
        </w:numPr>
      </w:pPr>
      <w:r>
        <w:t>Barrett</w:t>
      </w:r>
      <w:r>
        <w:rPr>
          <w:rFonts w:hint="eastAsia"/>
        </w:rPr>
        <w:t>食管</w:t>
      </w:r>
    </w:p>
    <w:p w:rsidR="003717A0" w:rsidRDefault="003717A0">
      <w:pPr>
        <w:numPr>
          <w:ilvl w:val="0"/>
          <w:numId w:val="471"/>
        </w:numPr>
      </w:pPr>
      <w:r>
        <w:rPr>
          <w:rFonts w:hint="eastAsia"/>
        </w:rPr>
        <w:t>预激综合征</w:t>
      </w:r>
    </w:p>
    <w:p w:rsidR="003717A0" w:rsidRDefault="003717A0">
      <w:pPr>
        <w:numPr>
          <w:ilvl w:val="0"/>
          <w:numId w:val="471"/>
        </w:numPr>
      </w:pPr>
      <w:r>
        <w:rPr>
          <w:rFonts w:hint="eastAsia"/>
        </w:rPr>
        <w:lastRenderedPageBreak/>
        <w:t>高血压急症</w:t>
      </w:r>
    </w:p>
    <w:p w:rsidR="003717A0" w:rsidRDefault="003717A0">
      <w:pPr>
        <w:numPr>
          <w:ilvl w:val="0"/>
          <w:numId w:val="471"/>
        </w:numPr>
      </w:pPr>
      <w:r>
        <w:rPr>
          <w:rFonts w:hint="eastAsia"/>
        </w:rPr>
        <w:t>稳定型心绞痛</w:t>
      </w:r>
    </w:p>
    <w:p w:rsidR="003717A0" w:rsidRDefault="003717A0">
      <w:pPr>
        <w:jc w:val="left"/>
        <w:rPr>
          <w:rFonts w:ascii="宋体" w:cs="宋体"/>
          <w:kern w:val="0"/>
          <w:szCs w:val="21"/>
        </w:rPr>
      </w:pPr>
      <w:r>
        <w:rPr>
          <w:rFonts w:ascii="宋体" w:hAnsi="宋体" w:cs="宋体" w:hint="eastAsia"/>
          <w:b/>
          <w:kern w:val="0"/>
          <w:szCs w:val="21"/>
        </w:rPr>
        <w:t>二、填空题（</w:t>
      </w:r>
      <w:r>
        <w:rPr>
          <w:rFonts w:ascii="宋体" w:hAnsi="宋体" w:cs="宋体"/>
          <w:b/>
          <w:kern w:val="0"/>
          <w:szCs w:val="21"/>
        </w:rPr>
        <w:t xml:space="preserve"> </w:t>
      </w:r>
      <w:r>
        <w:rPr>
          <w:rFonts w:ascii="宋体" w:hAnsi="宋体" w:cs="宋体" w:hint="eastAsia"/>
          <w:b/>
          <w:kern w:val="0"/>
          <w:szCs w:val="21"/>
        </w:rPr>
        <w:t>每格</w:t>
      </w:r>
      <w:r>
        <w:rPr>
          <w:rFonts w:ascii="宋体" w:hAnsi="宋体" w:cs="宋体"/>
          <w:b/>
          <w:kern w:val="0"/>
          <w:szCs w:val="21"/>
        </w:rPr>
        <w:t>0.5</w:t>
      </w:r>
      <w:r>
        <w:rPr>
          <w:rFonts w:ascii="宋体" w:hAnsi="宋体" w:cs="宋体" w:hint="eastAsia"/>
          <w:b/>
          <w:kern w:val="0"/>
          <w:szCs w:val="21"/>
        </w:rPr>
        <w:t>分，共</w:t>
      </w:r>
      <w:r>
        <w:rPr>
          <w:rFonts w:ascii="宋体" w:hAnsi="宋体" w:cs="宋体"/>
          <w:b/>
          <w:kern w:val="0"/>
          <w:szCs w:val="21"/>
        </w:rPr>
        <w:t>15</w:t>
      </w:r>
      <w:r>
        <w:rPr>
          <w:rFonts w:ascii="宋体" w:hAnsi="宋体" w:cs="宋体" w:hint="eastAsia"/>
          <w:b/>
          <w:kern w:val="0"/>
          <w:szCs w:val="21"/>
        </w:rPr>
        <w:t>分</w:t>
      </w:r>
      <w:r>
        <w:rPr>
          <w:rFonts w:ascii="宋体" w:hAnsi="宋体" w:cs="宋体" w:hint="eastAsia"/>
          <w:kern w:val="0"/>
          <w:szCs w:val="21"/>
        </w:rPr>
        <w:t>）</w:t>
      </w:r>
    </w:p>
    <w:p w:rsidR="003717A0" w:rsidRDefault="003717A0">
      <w:pPr>
        <w:jc w:val="left"/>
        <w:rPr>
          <w:szCs w:val="21"/>
        </w:rPr>
      </w:pPr>
      <w:r>
        <w:t>1.</w:t>
      </w:r>
      <w:r>
        <w:rPr>
          <w:rFonts w:hint="eastAsia"/>
          <w:szCs w:val="21"/>
        </w:rPr>
        <w:t>呼吸衰竭的病因有</w:t>
      </w:r>
      <w:r>
        <w:rPr>
          <w:szCs w:val="21"/>
        </w:rPr>
        <w:t>_______________</w:t>
      </w:r>
      <w:r>
        <w:rPr>
          <w:rFonts w:hint="eastAsia"/>
          <w:szCs w:val="21"/>
        </w:rPr>
        <w:t>、</w:t>
      </w:r>
      <w:r>
        <w:rPr>
          <w:szCs w:val="21"/>
        </w:rPr>
        <w:t>_______________</w:t>
      </w:r>
      <w:r>
        <w:rPr>
          <w:rFonts w:hint="eastAsia"/>
          <w:szCs w:val="21"/>
        </w:rPr>
        <w:t>、</w:t>
      </w:r>
      <w:r>
        <w:rPr>
          <w:szCs w:val="21"/>
        </w:rPr>
        <w:t xml:space="preserve"> ___________</w:t>
      </w:r>
      <w:r>
        <w:rPr>
          <w:rFonts w:hint="eastAsia"/>
          <w:szCs w:val="21"/>
        </w:rPr>
        <w:t>、</w:t>
      </w:r>
      <w:r>
        <w:rPr>
          <w:szCs w:val="21"/>
        </w:rPr>
        <w:t>_________________</w:t>
      </w:r>
      <w:r>
        <w:rPr>
          <w:rFonts w:hint="eastAsia"/>
          <w:szCs w:val="21"/>
        </w:rPr>
        <w:t>、</w:t>
      </w:r>
      <w:r>
        <w:rPr>
          <w:szCs w:val="21"/>
        </w:rPr>
        <w:t xml:space="preserve"> _________________</w:t>
      </w:r>
      <w:r>
        <w:rPr>
          <w:rFonts w:hint="eastAsia"/>
          <w:szCs w:val="21"/>
        </w:rPr>
        <w:t>。</w:t>
      </w:r>
      <w:r>
        <w:rPr>
          <w:szCs w:val="21"/>
        </w:rPr>
        <w:t xml:space="preserve"> </w:t>
      </w:r>
    </w:p>
    <w:p w:rsidR="003717A0" w:rsidRDefault="003717A0">
      <w:pPr>
        <w:spacing w:line="380" w:lineRule="exact"/>
      </w:pPr>
      <w:r>
        <w:t>2.</w:t>
      </w:r>
      <w:r>
        <w:rPr>
          <w:rFonts w:hint="eastAsia"/>
        </w:rPr>
        <w:t>肺结核可分为</w:t>
      </w:r>
      <w:r>
        <w:rPr>
          <w:u w:val="single"/>
        </w:rPr>
        <w:t xml:space="preserve">            </w:t>
      </w:r>
      <w:r>
        <w:rPr>
          <w:rFonts w:hint="eastAsia"/>
        </w:rPr>
        <w:t>、</w:t>
      </w:r>
      <w:r>
        <w:rPr>
          <w:u w:val="single"/>
        </w:rPr>
        <w:t xml:space="preserve">            </w:t>
      </w:r>
      <w:r>
        <w:t xml:space="preserve"> </w:t>
      </w:r>
      <w:r>
        <w:rPr>
          <w:rFonts w:hint="eastAsia"/>
        </w:rPr>
        <w:t>、</w:t>
      </w:r>
      <w:r>
        <w:rPr>
          <w:u w:val="single"/>
        </w:rPr>
        <w:t xml:space="preserve">            </w:t>
      </w:r>
      <w:r>
        <w:t xml:space="preserve"> </w:t>
      </w:r>
      <w:r>
        <w:rPr>
          <w:rFonts w:hint="eastAsia"/>
        </w:rPr>
        <w:t>、</w:t>
      </w:r>
      <w:r>
        <w:rPr>
          <w:u w:val="single"/>
        </w:rPr>
        <w:t xml:space="preserve">            </w:t>
      </w:r>
      <w:r>
        <w:rPr>
          <w:rFonts w:hint="eastAsia"/>
        </w:rPr>
        <w:t>及肺外结核。</w:t>
      </w:r>
    </w:p>
    <w:p w:rsidR="003717A0" w:rsidRDefault="003717A0">
      <w:pPr>
        <w:spacing w:line="380" w:lineRule="exact"/>
      </w:pPr>
      <w:r>
        <w:t>3.</w:t>
      </w:r>
      <w:r>
        <w:rPr>
          <w:rFonts w:hint="eastAsia"/>
        </w:rPr>
        <w:t>医院获得性肺炎是指患者入院时不存在，</w:t>
      </w:r>
      <w:r>
        <w:rPr>
          <w:u w:val="single"/>
        </w:rPr>
        <w:t xml:space="preserve">         </w:t>
      </w:r>
      <w:r>
        <w:rPr>
          <w:rFonts w:hint="eastAsia"/>
        </w:rPr>
        <w:t>，而于</w:t>
      </w:r>
      <w:r>
        <w:rPr>
          <w:u w:val="single"/>
        </w:rPr>
        <w:t xml:space="preserve">         </w:t>
      </w:r>
      <w:r>
        <w:rPr>
          <w:rFonts w:hint="eastAsia"/>
        </w:rPr>
        <w:t>在医院内发生的肺炎。</w:t>
      </w:r>
    </w:p>
    <w:p w:rsidR="003717A0" w:rsidRDefault="003717A0">
      <w:pPr>
        <w:spacing w:line="380" w:lineRule="exact"/>
      </w:pPr>
      <w:r>
        <w:t>4.</w:t>
      </w:r>
      <w:r>
        <w:rPr>
          <w:rFonts w:hint="eastAsia"/>
        </w:rPr>
        <w:t>法络四联症包括</w:t>
      </w:r>
      <w:r>
        <w:t>__________</w:t>
      </w:r>
      <w:r>
        <w:rPr>
          <w:rFonts w:hint="eastAsia"/>
        </w:rPr>
        <w:t>，</w:t>
      </w:r>
      <w:r>
        <w:t>__________</w:t>
      </w:r>
      <w:r>
        <w:rPr>
          <w:rFonts w:hint="eastAsia"/>
        </w:rPr>
        <w:t>，</w:t>
      </w:r>
      <w:r>
        <w:t>__________</w:t>
      </w:r>
      <w:r>
        <w:rPr>
          <w:rFonts w:hint="eastAsia"/>
        </w:rPr>
        <w:t>，</w:t>
      </w:r>
      <w:r>
        <w:t>__________</w:t>
      </w:r>
      <w:r>
        <w:rPr>
          <w:rFonts w:hint="eastAsia"/>
        </w:rPr>
        <w:t>。</w:t>
      </w:r>
    </w:p>
    <w:p w:rsidR="003717A0" w:rsidRDefault="003717A0">
      <w:pPr>
        <w:jc w:val="left"/>
        <w:rPr>
          <w:rFonts w:ascii="宋体"/>
          <w:szCs w:val="21"/>
        </w:rPr>
      </w:pPr>
      <w:r>
        <w:rPr>
          <w:rFonts w:ascii="宋体" w:hAnsi="宋体"/>
          <w:szCs w:val="21"/>
        </w:rPr>
        <w:t>5.</w:t>
      </w:r>
      <w:r>
        <w:rPr>
          <w:rFonts w:ascii="宋体" w:hAnsi="宋体" w:hint="eastAsia"/>
          <w:szCs w:val="21"/>
        </w:rPr>
        <w:t>主动脉瓣狭窄三联征：</w:t>
      </w:r>
      <w:r>
        <w:rPr>
          <w:rFonts w:ascii="宋体" w:hAnsi="宋体"/>
          <w:szCs w:val="21"/>
        </w:rPr>
        <w:t>____________</w:t>
      </w:r>
      <w:r>
        <w:rPr>
          <w:rFonts w:ascii="宋体" w:hAnsi="宋体" w:hint="eastAsia"/>
          <w:szCs w:val="21"/>
        </w:rPr>
        <w:t>、</w:t>
      </w:r>
      <w:r>
        <w:rPr>
          <w:rFonts w:ascii="宋体" w:hAnsi="宋体"/>
          <w:szCs w:val="21"/>
        </w:rPr>
        <w:t xml:space="preserve"> _____________</w:t>
      </w:r>
      <w:r>
        <w:rPr>
          <w:rFonts w:ascii="宋体" w:hAnsi="宋体" w:hint="eastAsia"/>
          <w:szCs w:val="21"/>
        </w:rPr>
        <w:t>、</w:t>
      </w:r>
      <w:r>
        <w:rPr>
          <w:rFonts w:ascii="宋体" w:hAnsi="宋体"/>
          <w:szCs w:val="21"/>
        </w:rPr>
        <w:t xml:space="preserve"> ____________</w:t>
      </w:r>
      <w:r>
        <w:rPr>
          <w:rFonts w:ascii="宋体" w:hAnsi="宋体" w:hint="eastAsia"/>
          <w:szCs w:val="21"/>
        </w:rPr>
        <w:t>。</w:t>
      </w:r>
    </w:p>
    <w:p w:rsidR="003717A0" w:rsidRDefault="003717A0">
      <w:pPr>
        <w:jc w:val="left"/>
        <w:rPr>
          <w:rFonts w:ascii="宋体"/>
          <w:szCs w:val="21"/>
        </w:rPr>
      </w:pPr>
      <w:r>
        <w:rPr>
          <w:rFonts w:ascii="??" w:hAnsi="??"/>
        </w:rPr>
        <w:t>6.</w:t>
      </w:r>
      <w:r>
        <w:rPr>
          <w:rFonts w:ascii="??" w:hAnsi="??" w:hint="eastAsia"/>
        </w:rPr>
        <w:t>心律失常是指心脏冲动的</w:t>
      </w:r>
      <w:r>
        <w:rPr>
          <w:rFonts w:ascii="??" w:hAnsi="??"/>
          <w:u w:val="single"/>
        </w:rPr>
        <w:t xml:space="preserve">       </w:t>
      </w:r>
      <w:r>
        <w:rPr>
          <w:rFonts w:ascii="??" w:hAnsi="??" w:hint="eastAsia"/>
        </w:rPr>
        <w:t>、</w:t>
      </w:r>
      <w:r>
        <w:rPr>
          <w:rFonts w:ascii="??" w:hAnsi="??"/>
          <w:u w:val="single"/>
        </w:rPr>
        <w:t xml:space="preserve">      </w:t>
      </w:r>
      <w:r>
        <w:rPr>
          <w:rFonts w:ascii="??" w:hAnsi="??" w:hint="eastAsia"/>
        </w:rPr>
        <w:t>、</w:t>
      </w:r>
      <w:r>
        <w:rPr>
          <w:rFonts w:ascii="??" w:hAnsi="??"/>
          <w:u w:val="single"/>
        </w:rPr>
        <w:t xml:space="preserve">        </w:t>
      </w:r>
      <w:r>
        <w:rPr>
          <w:rFonts w:ascii="??" w:hAnsi="??" w:hint="eastAsia"/>
        </w:rPr>
        <w:t>、</w:t>
      </w:r>
      <w:r>
        <w:rPr>
          <w:rFonts w:ascii="??" w:hAnsi="??"/>
          <w:u w:val="single"/>
        </w:rPr>
        <w:t xml:space="preserve">               </w:t>
      </w:r>
      <w:r>
        <w:rPr>
          <w:rFonts w:ascii="??" w:hAnsi="??" w:hint="eastAsia"/>
        </w:rPr>
        <w:t>的异常。</w:t>
      </w:r>
    </w:p>
    <w:p w:rsidR="003717A0" w:rsidRDefault="003717A0">
      <w:pPr>
        <w:jc w:val="left"/>
        <w:rPr>
          <w:rFonts w:ascii="宋体"/>
          <w:szCs w:val="21"/>
        </w:rPr>
      </w:pPr>
      <w:r>
        <w:rPr>
          <w:rFonts w:ascii="宋体" w:hAnsi="宋体"/>
          <w:szCs w:val="21"/>
        </w:rPr>
        <w:t>7.</w:t>
      </w:r>
      <w:r>
        <w:rPr>
          <w:rFonts w:hint="eastAsia"/>
        </w:rPr>
        <w:t>肝硬化最常见的并发症是</w:t>
      </w:r>
      <w:r>
        <w:t>__________</w:t>
      </w:r>
      <w:r>
        <w:rPr>
          <w:rFonts w:hint="eastAsia"/>
        </w:rPr>
        <w:t>，最严重的并发症是</w:t>
      </w:r>
      <w:r>
        <w:t>__________</w:t>
      </w:r>
      <w:r>
        <w:rPr>
          <w:rFonts w:hint="eastAsia"/>
        </w:rPr>
        <w:t>。</w:t>
      </w:r>
    </w:p>
    <w:p w:rsidR="003717A0" w:rsidRDefault="003717A0">
      <w:pPr>
        <w:jc w:val="left"/>
        <w:rPr>
          <w:rFonts w:ascii="宋体"/>
          <w:szCs w:val="21"/>
        </w:rPr>
      </w:pPr>
      <w:r>
        <w:t>8.</w:t>
      </w:r>
      <w:r>
        <w:rPr>
          <w:rFonts w:ascii="宋体" w:hAnsi="宋体" w:hint="eastAsia"/>
          <w:szCs w:val="21"/>
        </w:rPr>
        <w:t>治疗炎症性肠病时控制炎症反应的三大类药物有</w:t>
      </w:r>
      <w:r>
        <w:rPr>
          <w:rFonts w:ascii="宋体" w:hAnsi="宋体"/>
          <w:szCs w:val="21"/>
        </w:rPr>
        <w:t>___________</w:t>
      </w:r>
      <w:r>
        <w:rPr>
          <w:rFonts w:ascii="宋体" w:hAnsi="宋体" w:hint="eastAsia"/>
          <w:szCs w:val="21"/>
        </w:rPr>
        <w:t>、</w:t>
      </w:r>
      <w:r>
        <w:rPr>
          <w:rFonts w:ascii="宋体" w:hAnsi="宋体"/>
          <w:szCs w:val="21"/>
        </w:rPr>
        <w:t xml:space="preserve"> ____________</w:t>
      </w:r>
      <w:r>
        <w:rPr>
          <w:rFonts w:ascii="宋体" w:hAnsi="宋体" w:hint="eastAsia"/>
          <w:szCs w:val="21"/>
        </w:rPr>
        <w:t>、</w:t>
      </w:r>
      <w:r>
        <w:rPr>
          <w:rFonts w:ascii="宋体" w:hAnsi="宋体"/>
          <w:szCs w:val="21"/>
        </w:rPr>
        <w:t xml:space="preserve"> ___________</w:t>
      </w:r>
      <w:r>
        <w:rPr>
          <w:rFonts w:ascii="宋体" w:hAnsi="宋体" w:hint="eastAsia"/>
          <w:szCs w:val="21"/>
        </w:rPr>
        <w:t>。</w:t>
      </w:r>
    </w:p>
    <w:p w:rsidR="003717A0" w:rsidRDefault="003717A0">
      <w:r>
        <w:t>9.</w:t>
      </w:r>
      <w:r>
        <w:rPr>
          <w:rFonts w:hint="eastAsia"/>
        </w:rPr>
        <w:t>肠易激综合征根据临床特点可分为</w:t>
      </w:r>
      <w:r>
        <w:t>_______</w:t>
      </w:r>
      <w:r>
        <w:rPr>
          <w:rFonts w:hint="eastAsia"/>
        </w:rPr>
        <w:t>、</w:t>
      </w:r>
      <w:r>
        <w:t>______</w:t>
      </w:r>
      <w:r>
        <w:rPr>
          <w:rFonts w:hint="eastAsia"/>
        </w:rPr>
        <w:t>、</w:t>
      </w:r>
      <w:r>
        <w:t xml:space="preserve">__________ </w:t>
      </w:r>
      <w:r>
        <w:rPr>
          <w:rFonts w:hint="eastAsia"/>
        </w:rPr>
        <w:t>。</w:t>
      </w:r>
    </w:p>
    <w:p w:rsidR="003717A0" w:rsidRDefault="003717A0">
      <w:pPr>
        <w:ind w:left="1265" w:hangingChars="600" w:hanging="1265"/>
        <w:rPr>
          <w:b/>
        </w:rPr>
      </w:pPr>
      <w:r>
        <w:rPr>
          <w:rFonts w:hint="eastAsia"/>
          <w:b/>
        </w:rPr>
        <w:t>三、选择题</w:t>
      </w:r>
      <w:r>
        <w:rPr>
          <w:b/>
        </w:rPr>
        <w:t xml:space="preserve"> </w:t>
      </w:r>
      <w:r>
        <w:rPr>
          <w:rFonts w:hint="eastAsia"/>
          <w:b/>
        </w:rPr>
        <w:t>（每题</w:t>
      </w:r>
      <w:r>
        <w:rPr>
          <w:b/>
        </w:rPr>
        <w:t>1</w:t>
      </w:r>
      <w:r>
        <w:rPr>
          <w:rFonts w:hint="eastAsia"/>
          <w:b/>
        </w:rPr>
        <w:t>分，共</w:t>
      </w:r>
      <w:r>
        <w:rPr>
          <w:b/>
        </w:rPr>
        <w:t>25</w:t>
      </w:r>
      <w:r>
        <w:rPr>
          <w:rFonts w:hint="eastAsia"/>
          <w:b/>
        </w:rPr>
        <w:t>分）将正确答案填入方框内。</w:t>
      </w: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6"/>
        <w:gridCol w:w="666"/>
        <w:gridCol w:w="666"/>
        <w:gridCol w:w="666"/>
        <w:gridCol w:w="666"/>
        <w:gridCol w:w="666"/>
        <w:gridCol w:w="666"/>
        <w:gridCol w:w="666"/>
        <w:gridCol w:w="666"/>
        <w:gridCol w:w="666"/>
        <w:gridCol w:w="667"/>
        <w:gridCol w:w="667"/>
        <w:gridCol w:w="667"/>
      </w:tblGrid>
      <w:tr w:rsidR="003717A0">
        <w:tc>
          <w:tcPr>
            <w:tcW w:w="666" w:type="dxa"/>
          </w:tcPr>
          <w:p w:rsidR="003717A0" w:rsidRDefault="003717A0">
            <w:pPr>
              <w:rPr>
                <w:rFonts w:ascii="Times New Roman" w:hAnsi="Times New Roman"/>
              </w:rPr>
            </w:pPr>
            <w:r>
              <w:rPr>
                <w:rFonts w:ascii="Times New Roman" w:hAnsi="Times New Roman"/>
              </w:rPr>
              <w:t>1</w:t>
            </w:r>
          </w:p>
        </w:tc>
        <w:tc>
          <w:tcPr>
            <w:tcW w:w="666" w:type="dxa"/>
          </w:tcPr>
          <w:p w:rsidR="003717A0" w:rsidRDefault="003717A0">
            <w:pPr>
              <w:rPr>
                <w:rFonts w:ascii="Times New Roman" w:hAnsi="Times New Roman"/>
              </w:rPr>
            </w:pPr>
            <w:r>
              <w:rPr>
                <w:rFonts w:ascii="Times New Roman" w:hAnsi="Times New Roman"/>
              </w:rPr>
              <w:t>2</w:t>
            </w:r>
          </w:p>
        </w:tc>
        <w:tc>
          <w:tcPr>
            <w:tcW w:w="666" w:type="dxa"/>
          </w:tcPr>
          <w:p w:rsidR="003717A0" w:rsidRDefault="003717A0">
            <w:pPr>
              <w:rPr>
                <w:rFonts w:ascii="Times New Roman" w:hAnsi="Times New Roman"/>
              </w:rPr>
            </w:pPr>
            <w:r>
              <w:rPr>
                <w:rFonts w:ascii="Times New Roman" w:hAnsi="Times New Roman"/>
              </w:rPr>
              <w:t>3</w:t>
            </w:r>
          </w:p>
        </w:tc>
        <w:tc>
          <w:tcPr>
            <w:tcW w:w="666" w:type="dxa"/>
          </w:tcPr>
          <w:p w:rsidR="003717A0" w:rsidRDefault="003717A0">
            <w:pPr>
              <w:rPr>
                <w:rFonts w:ascii="Times New Roman" w:hAnsi="Times New Roman"/>
              </w:rPr>
            </w:pPr>
            <w:r>
              <w:rPr>
                <w:rFonts w:ascii="Times New Roman" w:hAnsi="Times New Roman"/>
              </w:rPr>
              <w:t>4</w:t>
            </w:r>
          </w:p>
        </w:tc>
        <w:tc>
          <w:tcPr>
            <w:tcW w:w="666" w:type="dxa"/>
          </w:tcPr>
          <w:p w:rsidR="003717A0" w:rsidRDefault="003717A0">
            <w:pPr>
              <w:rPr>
                <w:rFonts w:ascii="Times New Roman" w:hAnsi="Times New Roman"/>
              </w:rPr>
            </w:pPr>
            <w:r>
              <w:rPr>
                <w:rFonts w:ascii="Times New Roman" w:hAnsi="Times New Roman"/>
              </w:rPr>
              <w:t>5</w:t>
            </w:r>
          </w:p>
        </w:tc>
        <w:tc>
          <w:tcPr>
            <w:tcW w:w="666" w:type="dxa"/>
          </w:tcPr>
          <w:p w:rsidR="003717A0" w:rsidRDefault="003717A0">
            <w:pPr>
              <w:rPr>
                <w:rFonts w:ascii="Times New Roman" w:hAnsi="Times New Roman"/>
              </w:rPr>
            </w:pPr>
            <w:r>
              <w:rPr>
                <w:rFonts w:ascii="Times New Roman" w:hAnsi="Times New Roman"/>
              </w:rPr>
              <w:t>6</w:t>
            </w:r>
          </w:p>
        </w:tc>
        <w:tc>
          <w:tcPr>
            <w:tcW w:w="666" w:type="dxa"/>
          </w:tcPr>
          <w:p w:rsidR="003717A0" w:rsidRDefault="003717A0">
            <w:pPr>
              <w:rPr>
                <w:rFonts w:ascii="Times New Roman" w:hAnsi="Times New Roman"/>
              </w:rPr>
            </w:pPr>
            <w:r>
              <w:rPr>
                <w:rFonts w:ascii="Times New Roman" w:hAnsi="Times New Roman"/>
              </w:rPr>
              <w:t>7</w:t>
            </w:r>
          </w:p>
        </w:tc>
        <w:tc>
          <w:tcPr>
            <w:tcW w:w="666" w:type="dxa"/>
          </w:tcPr>
          <w:p w:rsidR="003717A0" w:rsidRDefault="003717A0">
            <w:pPr>
              <w:rPr>
                <w:rFonts w:ascii="Times New Roman" w:hAnsi="Times New Roman"/>
              </w:rPr>
            </w:pPr>
            <w:r>
              <w:rPr>
                <w:rFonts w:ascii="Times New Roman" w:hAnsi="Times New Roman"/>
              </w:rPr>
              <w:t>8</w:t>
            </w:r>
          </w:p>
        </w:tc>
        <w:tc>
          <w:tcPr>
            <w:tcW w:w="666" w:type="dxa"/>
          </w:tcPr>
          <w:p w:rsidR="003717A0" w:rsidRDefault="003717A0">
            <w:pPr>
              <w:rPr>
                <w:rFonts w:ascii="Times New Roman" w:hAnsi="Times New Roman"/>
              </w:rPr>
            </w:pPr>
            <w:r>
              <w:rPr>
                <w:rFonts w:ascii="Times New Roman" w:hAnsi="Times New Roman"/>
              </w:rPr>
              <w:t>9</w:t>
            </w:r>
          </w:p>
        </w:tc>
        <w:tc>
          <w:tcPr>
            <w:tcW w:w="666" w:type="dxa"/>
          </w:tcPr>
          <w:p w:rsidR="003717A0" w:rsidRDefault="003717A0">
            <w:pPr>
              <w:rPr>
                <w:rFonts w:ascii="Times New Roman" w:hAnsi="Times New Roman"/>
              </w:rPr>
            </w:pPr>
            <w:r>
              <w:rPr>
                <w:rFonts w:ascii="Times New Roman" w:hAnsi="Times New Roman"/>
              </w:rPr>
              <w:t>10</w:t>
            </w:r>
          </w:p>
        </w:tc>
        <w:tc>
          <w:tcPr>
            <w:tcW w:w="667" w:type="dxa"/>
          </w:tcPr>
          <w:p w:rsidR="003717A0" w:rsidRDefault="003717A0">
            <w:pPr>
              <w:rPr>
                <w:rFonts w:ascii="Times New Roman" w:hAnsi="Times New Roman"/>
              </w:rPr>
            </w:pPr>
            <w:r>
              <w:rPr>
                <w:rFonts w:ascii="Times New Roman" w:hAnsi="Times New Roman"/>
              </w:rPr>
              <w:t>11</w:t>
            </w:r>
          </w:p>
        </w:tc>
        <w:tc>
          <w:tcPr>
            <w:tcW w:w="667" w:type="dxa"/>
          </w:tcPr>
          <w:p w:rsidR="003717A0" w:rsidRDefault="003717A0">
            <w:pPr>
              <w:rPr>
                <w:rFonts w:ascii="Times New Roman" w:hAnsi="Times New Roman"/>
              </w:rPr>
            </w:pPr>
            <w:r>
              <w:rPr>
                <w:rFonts w:ascii="Times New Roman" w:hAnsi="Times New Roman"/>
              </w:rPr>
              <w:t>12</w:t>
            </w:r>
          </w:p>
        </w:tc>
        <w:tc>
          <w:tcPr>
            <w:tcW w:w="667" w:type="dxa"/>
          </w:tcPr>
          <w:p w:rsidR="003717A0" w:rsidRDefault="003717A0">
            <w:pPr>
              <w:rPr>
                <w:rFonts w:ascii="Times New Roman" w:hAnsi="Times New Roman"/>
              </w:rPr>
            </w:pPr>
            <w:r>
              <w:rPr>
                <w:rFonts w:ascii="Times New Roman" w:hAnsi="Times New Roman"/>
              </w:rPr>
              <w:t>13</w:t>
            </w:r>
          </w:p>
        </w:tc>
      </w:tr>
      <w:tr w:rsidR="003717A0">
        <w:trPr>
          <w:trHeight w:val="483"/>
        </w:trPr>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7" w:type="dxa"/>
          </w:tcPr>
          <w:p w:rsidR="003717A0" w:rsidRDefault="003717A0">
            <w:pPr>
              <w:rPr>
                <w:rFonts w:ascii="Times New Roman" w:hAnsi="Times New Roman"/>
              </w:rPr>
            </w:pPr>
          </w:p>
        </w:tc>
        <w:tc>
          <w:tcPr>
            <w:tcW w:w="667" w:type="dxa"/>
          </w:tcPr>
          <w:p w:rsidR="003717A0" w:rsidRDefault="003717A0">
            <w:pPr>
              <w:rPr>
                <w:rFonts w:ascii="Times New Roman" w:hAnsi="Times New Roman"/>
              </w:rPr>
            </w:pPr>
          </w:p>
        </w:tc>
        <w:tc>
          <w:tcPr>
            <w:tcW w:w="667" w:type="dxa"/>
          </w:tcPr>
          <w:p w:rsidR="003717A0" w:rsidRDefault="003717A0">
            <w:pPr>
              <w:rPr>
                <w:rFonts w:ascii="Times New Roman" w:hAnsi="Times New Roman"/>
              </w:rPr>
            </w:pPr>
          </w:p>
        </w:tc>
      </w:tr>
      <w:tr w:rsidR="003717A0">
        <w:tc>
          <w:tcPr>
            <w:tcW w:w="666" w:type="dxa"/>
          </w:tcPr>
          <w:p w:rsidR="003717A0" w:rsidRDefault="003717A0">
            <w:pPr>
              <w:rPr>
                <w:rFonts w:ascii="Times New Roman" w:hAnsi="Times New Roman"/>
              </w:rPr>
            </w:pPr>
            <w:r>
              <w:rPr>
                <w:rFonts w:ascii="Times New Roman" w:hAnsi="Times New Roman"/>
              </w:rPr>
              <w:t>14</w:t>
            </w:r>
          </w:p>
        </w:tc>
        <w:tc>
          <w:tcPr>
            <w:tcW w:w="666" w:type="dxa"/>
          </w:tcPr>
          <w:p w:rsidR="003717A0" w:rsidRDefault="003717A0">
            <w:pPr>
              <w:rPr>
                <w:rFonts w:ascii="Times New Roman" w:hAnsi="Times New Roman"/>
              </w:rPr>
            </w:pPr>
            <w:r>
              <w:rPr>
                <w:rFonts w:ascii="Times New Roman" w:hAnsi="Times New Roman"/>
              </w:rPr>
              <w:t>15</w:t>
            </w:r>
          </w:p>
        </w:tc>
        <w:tc>
          <w:tcPr>
            <w:tcW w:w="666" w:type="dxa"/>
          </w:tcPr>
          <w:p w:rsidR="003717A0" w:rsidRDefault="003717A0">
            <w:pPr>
              <w:rPr>
                <w:rFonts w:ascii="Times New Roman" w:hAnsi="Times New Roman"/>
              </w:rPr>
            </w:pPr>
            <w:r>
              <w:rPr>
                <w:rFonts w:ascii="Times New Roman" w:hAnsi="Times New Roman"/>
              </w:rPr>
              <w:t>16</w:t>
            </w:r>
          </w:p>
        </w:tc>
        <w:tc>
          <w:tcPr>
            <w:tcW w:w="666" w:type="dxa"/>
          </w:tcPr>
          <w:p w:rsidR="003717A0" w:rsidRDefault="003717A0">
            <w:pPr>
              <w:rPr>
                <w:rFonts w:ascii="Times New Roman" w:hAnsi="Times New Roman"/>
              </w:rPr>
            </w:pPr>
            <w:r>
              <w:rPr>
                <w:rFonts w:ascii="Times New Roman" w:hAnsi="Times New Roman"/>
              </w:rPr>
              <w:t>17</w:t>
            </w:r>
          </w:p>
        </w:tc>
        <w:tc>
          <w:tcPr>
            <w:tcW w:w="666" w:type="dxa"/>
          </w:tcPr>
          <w:p w:rsidR="003717A0" w:rsidRDefault="003717A0">
            <w:pPr>
              <w:rPr>
                <w:rFonts w:ascii="Times New Roman" w:hAnsi="Times New Roman"/>
              </w:rPr>
            </w:pPr>
            <w:r>
              <w:rPr>
                <w:rFonts w:ascii="Times New Roman" w:hAnsi="Times New Roman"/>
              </w:rPr>
              <w:t>18</w:t>
            </w:r>
          </w:p>
        </w:tc>
        <w:tc>
          <w:tcPr>
            <w:tcW w:w="666" w:type="dxa"/>
          </w:tcPr>
          <w:p w:rsidR="003717A0" w:rsidRDefault="003717A0">
            <w:pPr>
              <w:rPr>
                <w:rFonts w:ascii="Times New Roman" w:hAnsi="Times New Roman"/>
              </w:rPr>
            </w:pPr>
            <w:r>
              <w:rPr>
                <w:rFonts w:ascii="Times New Roman" w:hAnsi="Times New Roman"/>
              </w:rPr>
              <w:t>19</w:t>
            </w:r>
          </w:p>
        </w:tc>
        <w:tc>
          <w:tcPr>
            <w:tcW w:w="666" w:type="dxa"/>
          </w:tcPr>
          <w:p w:rsidR="003717A0" w:rsidRDefault="003717A0">
            <w:pPr>
              <w:rPr>
                <w:rFonts w:ascii="Times New Roman" w:hAnsi="Times New Roman"/>
              </w:rPr>
            </w:pPr>
            <w:r>
              <w:rPr>
                <w:rFonts w:ascii="Times New Roman" w:hAnsi="Times New Roman"/>
              </w:rPr>
              <w:t>20</w:t>
            </w:r>
          </w:p>
        </w:tc>
        <w:tc>
          <w:tcPr>
            <w:tcW w:w="666" w:type="dxa"/>
          </w:tcPr>
          <w:p w:rsidR="003717A0" w:rsidRDefault="003717A0">
            <w:pPr>
              <w:rPr>
                <w:rFonts w:ascii="Times New Roman" w:hAnsi="Times New Roman"/>
              </w:rPr>
            </w:pPr>
            <w:r>
              <w:rPr>
                <w:rFonts w:ascii="Times New Roman" w:hAnsi="Times New Roman"/>
              </w:rPr>
              <w:t>21</w:t>
            </w:r>
          </w:p>
        </w:tc>
        <w:tc>
          <w:tcPr>
            <w:tcW w:w="666" w:type="dxa"/>
          </w:tcPr>
          <w:p w:rsidR="003717A0" w:rsidRDefault="003717A0">
            <w:pPr>
              <w:rPr>
                <w:rFonts w:ascii="Times New Roman" w:hAnsi="Times New Roman"/>
              </w:rPr>
            </w:pPr>
            <w:r>
              <w:rPr>
                <w:rFonts w:ascii="Times New Roman" w:hAnsi="Times New Roman"/>
              </w:rPr>
              <w:t>22</w:t>
            </w:r>
          </w:p>
        </w:tc>
        <w:tc>
          <w:tcPr>
            <w:tcW w:w="666" w:type="dxa"/>
          </w:tcPr>
          <w:p w:rsidR="003717A0" w:rsidRDefault="003717A0">
            <w:pPr>
              <w:rPr>
                <w:rFonts w:ascii="Times New Roman" w:hAnsi="Times New Roman"/>
              </w:rPr>
            </w:pPr>
            <w:r>
              <w:rPr>
                <w:rFonts w:ascii="Times New Roman" w:hAnsi="Times New Roman"/>
              </w:rPr>
              <w:t>23</w:t>
            </w:r>
          </w:p>
        </w:tc>
        <w:tc>
          <w:tcPr>
            <w:tcW w:w="667" w:type="dxa"/>
          </w:tcPr>
          <w:p w:rsidR="003717A0" w:rsidRDefault="003717A0">
            <w:pPr>
              <w:rPr>
                <w:rFonts w:ascii="Times New Roman" w:hAnsi="Times New Roman"/>
              </w:rPr>
            </w:pPr>
            <w:r>
              <w:rPr>
                <w:rFonts w:ascii="Times New Roman" w:hAnsi="Times New Roman"/>
              </w:rPr>
              <w:t>24</w:t>
            </w:r>
          </w:p>
        </w:tc>
        <w:tc>
          <w:tcPr>
            <w:tcW w:w="667" w:type="dxa"/>
          </w:tcPr>
          <w:p w:rsidR="003717A0" w:rsidRDefault="003717A0">
            <w:pPr>
              <w:rPr>
                <w:rFonts w:ascii="Times New Roman" w:hAnsi="Times New Roman"/>
              </w:rPr>
            </w:pPr>
            <w:r>
              <w:rPr>
                <w:rFonts w:ascii="Times New Roman" w:hAnsi="Times New Roman"/>
              </w:rPr>
              <w:t>25</w:t>
            </w:r>
          </w:p>
        </w:tc>
        <w:tc>
          <w:tcPr>
            <w:tcW w:w="667" w:type="dxa"/>
          </w:tcPr>
          <w:p w:rsidR="003717A0" w:rsidRDefault="003717A0">
            <w:pPr>
              <w:rPr>
                <w:rFonts w:ascii="Times New Roman" w:hAnsi="Times New Roman"/>
              </w:rPr>
            </w:pPr>
          </w:p>
        </w:tc>
      </w:tr>
      <w:tr w:rsidR="003717A0">
        <w:trPr>
          <w:trHeight w:val="437"/>
        </w:trPr>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6" w:type="dxa"/>
          </w:tcPr>
          <w:p w:rsidR="003717A0" w:rsidRDefault="003717A0">
            <w:pPr>
              <w:rPr>
                <w:rFonts w:ascii="Times New Roman" w:hAnsi="Times New Roman"/>
              </w:rPr>
            </w:pPr>
          </w:p>
        </w:tc>
        <w:tc>
          <w:tcPr>
            <w:tcW w:w="667" w:type="dxa"/>
          </w:tcPr>
          <w:p w:rsidR="003717A0" w:rsidRDefault="003717A0">
            <w:pPr>
              <w:rPr>
                <w:rFonts w:ascii="Times New Roman" w:hAnsi="Times New Roman"/>
              </w:rPr>
            </w:pPr>
          </w:p>
        </w:tc>
        <w:tc>
          <w:tcPr>
            <w:tcW w:w="667" w:type="dxa"/>
          </w:tcPr>
          <w:p w:rsidR="003717A0" w:rsidRDefault="003717A0">
            <w:pPr>
              <w:rPr>
                <w:rFonts w:ascii="Times New Roman" w:hAnsi="Times New Roman"/>
              </w:rPr>
            </w:pPr>
          </w:p>
        </w:tc>
        <w:tc>
          <w:tcPr>
            <w:tcW w:w="667" w:type="dxa"/>
          </w:tcPr>
          <w:p w:rsidR="003717A0" w:rsidRDefault="003717A0">
            <w:pPr>
              <w:rPr>
                <w:rFonts w:ascii="Times New Roman" w:hAnsi="Times New Roman"/>
              </w:rPr>
            </w:pPr>
          </w:p>
        </w:tc>
      </w:tr>
    </w:tbl>
    <w:p w:rsidR="003717A0" w:rsidRDefault="003717A0">
      <w:r>
        <w:t>1</w:t>
      </w:r>
      <w:r>
        <w:rPr>
          <w:rFonts w:hint="eastAsia"/>
        </w:rPr>
        <w:t>、男性，</w:t>
      </w:r>
      <w:r>
        <w:t>19</w:t>
      </w:r>
      <w:r>
        <w:rPr>
          <w:rFonts w:hint="eastAsia"/>
        </w:rPr>
        <w:t>岁，受凉后突起寒战、高热（体温</w:t>
      </w:r>
      <w:r>
        <w:t>39.9</w:t>
      </w:r>
      <w:r>
        <w:rPr>
          <w:rFonts w:hint="eastAsia"/>
        </w:rPr>
        <w:t>℃），伴咳嗽、咳铁锈色痰和胸痛</w:t>
      </w:r>
      <w:r>
        <w:t>2</w:t>
      </w:r>
      <w:r>
        <w:rPr>
          <w:rFonts w:hint="eastAsia"/>
        </w:rPr>
        <w:t>天，</w:t>
      </w:r>
      <w:r>
        <w:t>2</w:t>
      </w:r>
      <w:r>
        <w:rPr>
          <w:rFonts w:hint="eastAsia"/>
        </w:rPr>
        <w:t>小时前自服巴米尔后出现全身大汗，热退，但感周身虚弱无力和心悸，并逐渐出现神志模糊，遂收入院进一步诊疗。体格检查：</w:t>
      </w:r>
      <w:r>
        <w:t>BP75</w:t>
      </w:r>
      <w:r>
        <w:rPr>
          <w:rFonts w:hint="eastAsia"/>
        </w:rPr>
        <w:t>／</w:t>
      </w:r>
      <w:r>
        <w:t>55mmHg</w:t>
      </w:r>
      <w:r>
        <w:rPr>
          <w:rFonts w:hint="eastAsia"/>
        </w:rPr>
        <w:t>，心率</w:t>
      </w:r>
      <w:r>
        <w:t>128</w:t>
      </w:r>
      <w:r>
        <w:rPr>
          <w:rFonts w:hint="eastAsia"/>
        </w:rPr>
        <w:t>次／分，肢体湿凉，肤色苍白，左胸叩诊呈浊音，左肺呼吸音弱，心音低钝，各瓣膜听诊区未闻病理性杂音。医生对该患者接诊后立即采取的措施应是</w:t>
      </w:r>
      <w:r>
        <w:t>(       )</w:t>
      </w:r>
    </w:p>
    <w:p w:rsidR="003717A0" w:rsidRDefault="003717A0">
      <w:r>
        <w:t xml:space="preserve">   A</w:t>
      </w:r>
      <w:r>
        <w:rPr>
          <w:rFonts w:hint="eastAsia"/>
        </w:rPr>
        <w:t>．胸部摄片明确病因</w:t>
      </w:r>
      <w:r>
        <w:tab/>
        <w:t xml:space="preserve">  B</w:t>
      </w:r>
      <w:r>
        <w:rPr>
          <w:rFonts w:hint="eastAsia"/>
        </w:rPr>
        <w:t>．腰穿，送检脑脊液</w:t>
      </w:r>
    </w:p>
    <w:p w:rsidR="003717A0" w:rsidRDefault="003717A0">
      <w:pPr>
        <w:ind w:firstLineChars="150" w:firstLine="315"/>
      </w:pPr>
      <w:r>
        <w:t>C</w:t>
      </w:r>
      <w:r>
        <w:rPr>
          <w:rFonts w:hint="eastAsia"/>
        </w:rPr>
        <w:t>．补液，增加有效血容量</w:t>
      </w:r>
      <w:r>
        <w:tab/>
        <w:t xml:space="preserve">  D</w:t>
      </w:r>
      <w:r>
        <w:rPr>
          <w:rFonts w:hint="eastAsia"/>
        </w:rPr>
        <w:t>．给予多巴胺静</w:t>
      </w:r>
      <w:r>
        <w:t xml:space="preserve">  E</w:t>
      </w:r>
      <w:r>
        <w:rPr>
          <w:rFonts w:hint="eastAsia"/>
        </w:rPr>
        <w:t>．静注毛花苷</w:t>
      </w:r>
      <w:r>
        <w:t>C</w:t>
      </w:r>
      <w:r>
        <w:rPr>
          <w:rFonts w:hint="eastAsia"/>
        </w:rPr>
        <w:t>（西地兰）</w:t>
      </w:r>
    </w:p>
    <w:p w:rsidR="003717A0" w:rsidRDefault="003717A0">
      <w:r>
        <w:t>2</w:t>
      </w:r>
      <w:r>
        <w:rPr>
          <w:rFonts w:hint="eastAsia"/>
        </w:rPr>
        <w:t>、在慢性气道阻塞的患者中最常见的肺气肿病理类型为</w:t>
      </w:r>
      <w:r>
        <w:t>(       )</w:t>
      </w:r>
    </w:p>
    <w:p w:rsidR="003717A0" w:rsidRDefault="003717A0">
      <w:r>
        <w:t xml:space="preserve">   A</w:t>
      </w:r>
      <w:r>
        <w:rPr>
          <w:rFonts w:hint="eastAsia"/>
        </w:rPr>
        <w:t>．全小叶型</w:t>
      </w:r>
      <w:r>
        <w:tab/>
        <w:t xml:space="preserve">  B</w:t>
      </w:r>
      <w:r>
        <w:rPr>
          <w:rFonts w:hint="eastAsia"/>
        </w:rPr>
        <w:t>．小叶中央型</w:t>
      </w:r>
      <w:r>
        <w:t>C</w:t>
      </w:r>
      <w:r>
        <w:rPr>
          <w:rFonts w:hint="eastAsia"/>
        </w:rPr>
        <w:t>．混合型</w:t>
      </w:r>
      <w:r>
        <w:tab/>
        <w:t xml:space="preserve">  D</w:t>
      </w:r>
      <w:r>
        <w:rPr>
          <w:rFonts w:hint="eastAsia"/>
        </w:rPr>
        <w:t>．旁间隔型</w:t>
      </w:r>
      <w:r>
        <w:t xml:space="preserve"> E</w:t>
      </w:r>
      <w:r>
        <w:rPr>
          <w:rFonts w:hint="eastAsia"/>
        </w:rPr>
        <w:t>．间质型</w:t>
      </w:r>
    </w:p>
    <w:p w:rsidR="003717A0" w:rsidRDefault="003717A0">
      <w:r>
        <w:t>3</w:t>
      </w:r>
      <w:r>
        <w:rPr>
          <w:rFonts w:hint="eastAsia"/>
        </w:rPr>
        <w:t>、男性，</w:t>
      </w:r>
      <w:r>
        <w:t>50</w:t>
      </w:r>
      <w:r>
        <w:rPr>
          <w:rFonts w:hint="eastAsia"/>
        </w:rPr>
        <w:t>岁，干咳</w:t>
      </w:r>
      <w:r>
        <w:t>2</w:t>
      </w:r>
      <w:r>
        <w:rPr>
          <w:rFonts w:hint="eastAsia"/>
        </w:rPr>
        <w:t>个月，痰中带血</w:t>
      </w:r>
      <w:r>
        <w:t>7</w:t>
      </w:r>
      <w:r>
        <w:rPr>
          <w:rFonts w:hint="eastAsia"/>
        </w:rPr>
        <w:t>天。无发热及咳痰。吸烟史</w:t>
      </w:r>
      <w:r>
        <w:t>20</w:t>
      </w:r>
      <w:r>
        <w:rPr>
          <w:rFonts w:hint="eastAsia"/>
        </w:rPr>
        <w:t>年。查体：双肺呼吸音清，杵状指（</w:t>
      </w:r>
      <w:r>
        <w:t>+</w:t>
      </w:r>
      <w:r>
        <w:rPr>
          <w:rFonts w:hint="eastAsia"/>
        </w:rPr>
        <w:t>）。最可能的诊断是</w:t>
      </w:r>
      <w:r>
        <w:t>(       )</w:t>
      </w:r>
    </w:p>
    <w:p w:rsidR="003717A0" w:rsidRDefault="003717A0">
      <w:r>
        <w:t>A</w:t>
      </w:r>
      <w:r>
        <w:rPr>
          <w:rFonts w:hint="eastAsia"/>
        </w:rPr>
        <w:t>．支气管扩张症</w:t>
      </w:r>
      <w:r>
        <w:tab/>
        <w:t>B</w:t>
      </w:r>
      <w:r>
        <w:rPr>
          <w:rFonts w:hint="eastAsia"/>
        </w:rPr>
        <w:t>．肺间质纤维化</w:t>
      </w:r>
      <w:r>
        <w:t>C</w:t>
      </w:r>
      <w:r>
        <w:rPr>
          <w:rFonts w:hint="eastAsia"/>
        </w:rPr>
        <w:t>．支气管肺癌</w:t>
      </w:r>
      <w:r>
        <w:t>D</w:t>
      </w:r>
      <w:r>
        <w:rPr>
          <w:rFonts w:hint="eastAsia"/>
        </w:rPr>
        <w:t>．浸润型肺结核</w:t>
      </w:r>
      <w:r>
        <w:t>E</w:t>
      </w:r>
      <w:r>
        <w:rPr>
          <w:rFonts w:hint="eastAsia"/>
        </w:rPr>
        <w:t>．慢性支气管炎</w:t>
      </w:r>
    </w:p>
    <w:p w:rsidR="003717A0" w:rsidRDefault="003717A0">
      <w:pPr>
        <w:rPr>
          <w:szCs w:val="21"/>
        </w:rPr>
      </w:pPr>
      <w:r>
        <w:rPr>
          <w:rFonts w:eastAsia="楷体_GB2312"/>
          <w:szCs w:val="21"/>
        </w:rPr>
        <w:t>4</w:t>
      </w:r>
      <w:r>
        <w:rPr>
          <w:rFonts w:eastAsia="楷体_GB2312" w:hint="eastAsia"/>
          <w:szCs w:val="21"/>
        </w:rPr>
        <w:t>、</w:t>
      </w:r>
      <w:r>
        <w:rPr>
          <w:rFonts w:eastAsia="楷体_GB2312"/>
          <w:szCs w:val="21"/>
        </w:rPr>
        <w:t xml:space="preserve"> </w:t>
      </w:r>
      <w:r>
        <w:rPr>
          <w:rFonts w:hint="eastAsia"/>
          <w:szCs w:val="21"/>
        </w:rPr>
        <w:t>肺心病急性加重期的抢救，下列选项中最重要的是：</w:t>
      </w:r>
      <w:r>
        <w:rPr>
          <w:szCs w:val="21"/>
        </w:rPr>
        <w:t xml:space="preserve"> (     )</w:t>
      </w:r>
    </w:p>
    <w:p w:rsidR="003717A0" w:rsidRDefault="003717A0">
      <w:pPr>
        <w:ind w:firstLineChars="100" w:firstLine="210"/>
        <w:rPr>
          <w:szCs w:val="21"/>
        </w:rPr>
      </w:pPr>
      <w:r>
        <w:rPr>
          <w:szCs w:val="21"/>
        </w:rPr>
        <w:t>A</w:t>
      </w:r>
      <w:r>
        <w:rPr>
          <w:rFonts w:hint="eastAsia"/>
          <w:szCs w:val="21"/>
        </w:rPr>
        <w:t>．强心剂</w:t>
      </w:r>
      <w:r>
        <w:rPr>
          <w:szCs w:val="21"/>
        </w:rPr>
        <w:t xml:space="preserve"> B</w:t>
      </w:r>
      <w:r>
        <w:rPr>
          <w:rFonts w:hint="eastAsia"/>
          <w:szCs w:val="21"/>
        </w:rPr>
        <w:t>．利尿剂</w:t>
      </w:r>
      <w:r>
        <w:rPr>
          <w:szCs w:val="21"/>
        </w:rPr>
        <w:t>C</w:t>
      </w:r>
      <w:r>
        <w:rPr>
          <w:rFonts w:hint="eastAsia"/>
          <w:szCs w:val="21"/>
        </w:rPr>
        <w:t>．抗生素</w:t>
      </w:r>
      <w:r>
        <w:rPr>
          <w:szCs w:val="21"/>
        </w:rPr>
        <w:t>D</w:t>
      </w:r>
      <w:r>
        <w:rPr>
          <w:rFonts w:hint="eastAsia"/>
          <w:szCs w:val="21"/>
        </w:rPr>
        <w:t>．尽量改善呼吸功能</w:t>
      </w:r>
      <w:r>
        <w:rPr>
          <w:szCs w:val="21"/>
        </w:rPr>
        <w:t xml:space="preserve"> E</w:t>
      </w:r>
      <w:r>
        <w:rPr>
          <w:rFonts w:hint="eastAsia"/>
          <w:szCs w:val="21"/>
        </w:rPr>
        <w:t>．营养支持</w:t>
      </w:r>
    </w:p>
    <w:p w:rsidR="003717A0" w:rsidRDefault="003717A0">
      <w:pPr>
        <w:rPr>
          <w:szCs w:val="21"/>
        </w:rPr>
      </w:pPr>
      <w:r>
        <w:t>5.</w:t>
      </w:r>
      <w:r>
        <w:rPr>
          <w:rFonts w:hint="eastAsia"/>
          <w:sz w:val="24"/>
        </w:rPr>
        <w:t>、</w:t>
      </w:r>
      <w:r>
        <w:rPr>
          <w:rFonts w:hint="eastAsia"/>
          <w:szCs w:val="21"/>
        </w:rPr>
        <w:t>对于诊断肺炎球菌性肺炎，下列症状中价值最大的是：</w:t>
      </w:r>
      <w:r>
        <w:rPr>
          <w:szCs w:val="21"/>
        </w:rPr>
        <w:t xml:space="preserve"> (      )</w:t>
      </w:r>
    </w:p>
    <w:p w:rsidR="003717A0" w:rsidRDefault="003717A0">
      <w:pPr>
        <w:ind w:firstLineChars="100" w:firstLine="210"/>
        <w:rPr>
          <w:szCs w:val="21"/>
        </w:rPr>
      </w:pPr>
      <w:r>
        <w:rPr>
          <w:szCs w:val="21"/>
        </w:rPr>
        <w:t>A</w:t>
      </w:r>
      <w:r>
        <w:rPr>
          <w:rFonts w:hint="eastAsia"/>
          <w:szCs w:val="21"/>
        </w:rPr>
        <w:t>．寒战</w:t>
      </w:r>
      <w:r>
        <w:rPr>
          <w:szCs w:val="21"/>
        </w:rPr>
        <w:t xml:space="preserve"> B</w:t>
      </w:r>
      <w:r>
        <w:rPr>
          <w:rFonts w:hint="eastAsia"/>
          <w:szCs w:val="21"/>
        </w:rPr>
        <w:t>．持续高热</w:t>
      </w:r>
      <w:r>
        <w:rPr>
          <w:szCs w:val="21"/>
        </w:rPr>
        <w:t xml:space="preserve"> C</w:t>
      </w:r>
      <w:r>
        <w:rPr>
          <w:rFonts w:hint="eastAsia"/>
          <w:szCs w:val="21"/>
        </w:rPr>
        <w:t>．咳嗽、呼吸困难</w:t>
      </w:r>
      <w:r>
        <w:rPr>
          <w:szCs w:val="21"/>
        </w:rPr>
        <w:t>D</w:t>
      </w:r>
      <w:r>
        <w:rPr>
          <w:rFonts w:hint="eastAsia"/>
          <w:szCs w:val="21"/>
        </w:rPr>
        <w:t>．咯铁锈色痰</w:t>
      </w:r>
      <w:r>
        <w:rPr>
          <w:szCs w:val="21"/>
        </w:rPr>
        <w:t xml:space="preserve"> E</w:t>
      </w:r>
      <w:r>
        <w:rPr>
          <w:rFonts w:hint="eastAsia"/>
          <w:szCs w:val="21"/>
        </w:rPr>
        <w:t>．胸痛</w:t>
      </w:r>
    </w:p>
    <w:p w:rsidR="003717A0" w:rsidRDefault="003717A0">
      <w:pPr>
        <w:rPr>
          <w:szCs w:val="21"/>
        </w:rPr>
      </w:pPr>
      <w:r>
        <w:t>6</w:t>
      </w:r>
      <w:r>
        <w:rPr>
          <w:rFonts w:hint="eastAsia"/>
        </w:rPr>
        <w:t>、</w:t>
      </w:r>
      <w:r>
        <w:rPr>
          <w:rFonts w:hint="eastAsia"/>
          <w:szCs w:val="21"/>
        </w:rPr>
        <w:t>结核性空洞与肺脓肿最重要的鉴别是：</w:t>
      </w:r>
      <w:r>
        <w:rPr>
          <w:szCs w:val="21"/>
        </w:rPr>
        <w:t xml:space="preserve"> (     )</w:t>
      </w:r>
    </w:p>
    <w:p w:rsidR="003717A0" w:rsidRDefault="003717A0">
      <w:pPr>
        <w:ind w:firstLineChars="100" w:firstLine="210"/>
        <w:rPr>
          <w:szCs w:val="21"/>
        </w:rPr>
      </w:pPr>
      <w:r>
        <w:rPr>
          <w:szCs w:val="21"/>
        </w:rPr>
        <w:t>A</w:t>
      </w:r>
      <w:r>
        <w:rPr>
          <w:rFonts w:hint="eastAsia"/>
          <w:szCs w:val="21"/>
        </w:rPr>
        <w:t>．有无结核接触史</w:t>
      </w:r>
      <w:r>
        <w:rPr>
          <w:szCs w:val="21"/>
        </w:rPr>
        <w:t xml:space="preserve"> B</w:t>
      </w:r>
      <w:r>
        <w:rPr>
          <w:rFonts w:hint="eastAsia"/>
          <w:szCs w:val="21"/>
        </w:rPr>
        <w:t>．临床症状</w:t>
      </w:r>
      <w:r>
        <w:rPr>
          <w:szCs w:val="21"/>
        </w:rPr>
        <w:t xml:space="preserve"> C</w:t>
      </w:r>
      <w:r>
        <w:rPr>
          <w:rFonts w:hint="eastAsia"/>
          <w:szCs w:val="21"/>
        </w:rPr>
        <w:t>．胸部</w:t>
      </w:r>
      <w:r>
        <w:rPr>
          <w:szCs w:val="21"/>
        </w:rPr>
        <w:t>X</w:t>
      </w:r>
      <w:r>
        <w:rPr>
          <w:rFonts w:hint="eastAsia"/>
          <w:szCs w:val="21"/>
        </w:rPr>
        <w:t>线特征</w:t>
      </w:r>
      <w:r>
        <w:rPr>
          <w:szCs w:val="21"/>
        </w:rPr>
        <w:t>D</w:t>
      </w:r>
      <w:r>
        <w:rPr>
          <w:rFonts w:hint="eastAsia"/>
          <w:szCs w:val="21"/>
        </w:rPr>
        <w:t>．痰细菌学检查</w:t>
      </w:r>
      <w:r>
        <w:rPr>
          <w:szCs w:val="21"/>
        </w:rPr>
        <w:t xml:space="preserve"> E</w:t>
      </w:r>
      <w:r>
        <w:rPr>
          <w:rFonts w:hint="eastAsia"/>
          <w:szCs w:val="21"/>
        </w:rPr>
        <w:t>．</w:t>
      </w:r>
      <w:r>
        <w:rPr>
          <w:szCs w:val="21"/>
        </w:rPr>
        <w:t>CT</w:t>
      </w:r>
      <w:r>
        <w:rPr>
          <w:rFonts w:hint="eastAsia"/>
          <w:szCs w:val="21"/>
        </w:rPr>
        <w:t>检查</w:t>
      </w:r>
    </w:p>
    <w:p w:rsidR="003717A0" w:rsidRDefault="003717A0">
      <w:pPr>
        <w:rPr>
          <w:szCs w:val="21"/>
        </w:rPr>
      </w:pPr>
      <w:r>
        <w:t xml:space="preserve">7. </w:t>
      </w:r>
      <w:r>
        <w:rPr>
          <w:rFonts w:hint="eastAsia"/>
        </w:rPr>
        <w:t>哮喘严重发作的早期，常表现的酸碱失常类型是：</w:t>
      </w:r>
      <w:r>
        <w:rPr>
          <w:szCs w:val="21"/>
        </w:rPr>
        <w:t>(     )</w:t>
      </w:r>
    </w:p>
    <w:p w:rsidR="003717A0" w:rsidRDefault="003717A0">
      <w:pPr>
        <w:ind w:firstLineChars="100" w:firstLine="210"/>
      </w:pPr>
      <w:r>
        <w:t>A.</w:t>
      </w:r>
      <w:r>
        <w:rPr>
          <w:rFonts w:hint="eastAsia"/>
        </w:rPr>
        <w:t>代谢性酸中毒</w:t>
      </w:r>
      <w:r>
        <w:t xml:space="preserve"> B.</w:t>
      </w:r>
      <w:r>
        <w:rPr>
          <w:rFonts w:hint="eastAsia"/>
        </w:rPr>
        <w:t>代谢性碱中毒</w:t>
      </w:r>
      <w:r>
        <w:t xml:space="preserve">  C.</w:t>
      </w:r>
      <w:r>
        <w:rPr>
          <w:rFonts w:hint="eastAsia"/>
        </w:rPr>
        <w:t>呼吸性酸中毒</w:t>
      </w:r>
      <w:r>
        <w:t xml:space="preserve">  D.</w:t>
      </w:r>
      <w:r>
        <w:rPr>
          <w:rFonts w:hint="eastAsia"/>
        </w:rPr>
        <w:t>呼吸性碱中毒</w:t>
      </w:r>
    </w:p>
    <w:p w:rsidR="003717A0" w:rsidRDefault="003717A0">
      <w:pPr>
        <w:rPr>
          <w:szCs w:val="21"/>
        </w:rPr>
      </w:pPr>
      <w:r>
        <w:t>8</w:t>
      </w:r>
      <w:r>
        <w:rPr>
          <w:rFonts w:hint="eastAsia"/>
        </w:rPr>
        <w:t>、军团菌肺炎抗菌治疗首选：</w:t>
      </w:r>
      <w:r>
        <w:rPr>
          <w:szCs w:val="21"/>
        </w:rPr>
        <w:t>(     )</w:t>
      </w:r>
    </w:p>
    <w:p w:rsidR="003717A0" w:rsidRDefault="003717A0">
      <w:pPr>
        <w:ind w:firstLineChars="50" w:firstLine="105"/>
      </w:pPr>
      <w:r>
        <w:t xml:space="preserve"> A.</w:t>
      </w:r>
      <w:r>
        <w:rPr>
          <w:rFonts w:hint="eastAsia"/>
        </w:rPr>
        <w:t>红霉素</w:t>
      </w:r>
      <w:r>
        <w:t xml:space="preserve">  B.</w:t>
      </w:r>
      <w:r>
        <w:rPr>
          <w:rFonts w:hint="eastAsia"/>
        </w:rPr>
        <w:t>氯霉素</w:t>
      </w:r>
      <w:r>
        <w:t xml:space="preserve">  C.</w:t>
      </w:r>
      <w:r>
        <w:rPr>
          <w:rFonts w:hint="eastAsia"/>
        </w:rPr>
        <w:t>青霉素</w:t>
      </w:r>
      <w:r>
        <w:t xml:space="preserve">  D.</w:t>
      </w:r>
      <w:r>
        <w:rPr>
          <w:rFonts w:hint="eastAsia"/>
        </w:rPr>
        <w:t>先锋霉素</w:t>
      </w:r>
    </w:p>
    <w:p w:rsidR="003717A0" w:rsidRDefault="003717A0">
      <w:pPr>
        <w:rPr>
          <w:szCs w:val="21"/>
        </w:rPr>
      </w:pPr>
      <w:r>
        <w:t>9</w:t>
      </w:r>
      <w:r>
        <w:rPr>
          <w:rFonts w:hint="eastAsia"/>
        </w:rPr>
        <w:t>、</w:t>
      </w:r>
      <w:r>
        <w:rPr>
          <w:rFonts w:hint="eastAsia"/>
          <w:szCs w:val="21"/>
        </w:rPr>
        <w:t>慢性呼吸衰竭缺氧明显伴二氧化碳潴留时，采用氧疗的给氧浓度，下列选项正确的是：</w:t>
      </w:r>
      <w:r>
        <w:rPr>
          <w:szCs w:val="21"/>
        </w:rPr>
        <w:t xml:space="preserve"> (     )</w:t>
      </w:r>
    </w:p>
    <w:p w:rsidR="003717A0" w:rsidRDefault="003717A0">
      <w:pPr>
        <w:ind w:firstLineChars="100" w:firstLine="210"/>
        <w:rPr>
          <w:szCs w:val="21"/>
        </w:rPr>
      </w:pPr>
      <w:r>
        <w:rPr>
          <w:szCs w:val="21"/>
        </w:rPr>
        <w:t>A</w:t>
      </w:r>
      <w:r>
        <w:rPr>
          <w:rFonts w:hint="eastAsia"/>
          <w:szCs w:val="21"/>
        </w:rPr>
        <w:t>．</w:t>
      </w:r>
      <w:r>
        <w:rPr>
          <w:szCs w:val="21"/>
        </w:rPr>
        <w:t>&lt;25</w:t>
      </w:r>
      <w:r>
        <w:rPr>
          <w:rFonts w:hint="eastAsia"/>
          <w:szCs w:val="21"/>
        </w:rPr>
        <w:t>％</w:t>
      </w:r>
      <w:r>
        <w:rPr>
          <w:szCs w:val="21"/>
        </w:rPr>
        <w:t xml:space="preserve">  B</w:t>
      </w:r>
      <w:r>
        <w:rPr>
          <w:rFonts w:hint="eastAsia"/>
          <w:szCs w:val="21"/>
        </w:rPr>
        <w:t>．</w:t>
      </w:r>
      <w:r>
        <w:rPr>
          <w:szCs w:val="21"/>
        </w:rPr>
        <w:t>&lt;35</w:t>
      </w:r>
      <w:r>
        <w:rPr>
          <w:rFonts w:hint="eastAsia"/>
          <w:szCs w:val="21"/>
        </w:rPr>
        <w:t>％</w:t>
      </w:r>
      <w:r>
        <w:rPr>
          <w:szCs w:val="21"/>
        </w:rPr>
        <w:t xml:space="preserve"> C</w:t>
      </w:r>
      <w:r>
        <w:rPr>
          <w:rFonts w:hint="eastAsia"/>
          <w:szCs w:val="21"/>
        </w:rPr>
        <w:t>．</w:t>
      </w:r>
      <w:r>
        <w:rPr>
          <w:szCs w:val="21"/>
        </w:rPr>
        <w:t>&lt;45</w:t>
      </w:r>
      <w:r>
        <w:rPr>
          <w:rFonts w:hint="eastAsia"/>
          <w:szCs w:val="21"/>
        </w:rPr>
        <w:t>％</w:t>
      </w:r>
      <w:r>
        <w:rPr>
          <w:szCs w:val="21"/>
        </w:rPr>
        <w:t xml:space="preserve"> D</w:t>
      </w:r>
      <w:r>
        <w:rPr>
          <w:rFonts w:hint="eastAsia"/>
          <w:szCs w:val="21"/>
        </w:rPr>
        <w:t>．</w:t>
      </w:r>
      <w:r>
        <w:rPr>
          <w:szCs w:val="21"/>
        </w:rPr>
        <w:t>&lt;55</w:t>
      </w:r>
      <w:r>
        <w:rPr>
          <w:rFonts w:hint="eastAsia"/>
          <w:szCs w:val="21"/>
        </w:rPr>
        <w:t>％</w:t>
      </w:r>
      <w:r>
        <w:rPr>
          <w:szCs w:val="21"/>
        </w:rPr>
        <w:t xml:space="preserve">  E</w:t>
      </w:r>
      <w:r>
        <w:rPr>
          <w:rFonts w:hint="eastAsia"/>
          <w:szCs w:val="21"/>
        </w:rPr>
        <w:t>．</w:t>
      </w:r>
      <w:r>
        <w:rPr>
          <w:szCs w:val="21"/>
        </w:rPr>
        <w:t>&lt;65</w:t>
      </w:r>
      <w:r>
        <w:rPr>
          <w:rFonts w:hint="eastAsia"/>
          <w:szCs w:val="21"/>
        </w:rPr>
        <w:t>％</w:t>
      </w:r>
    </w:p>
    <w:p w:rsidR="003717A0" w:rsidRDefault="003717A0">
      <w:r>
        <w:t>10</w:t>
      </w:r>
      <w:r>
        <w:rPr>
          <w:rFonts w:hint="eastAsia"/>
        </w:rPr>
        <w:t>、男性，</w:t>
      </w:r>
      <w:r>
        <w:t>55</w:t>
      </w:r>
      <w:r>
        <w:rPr>
          <w:rFonts w:hint="eastAsia"/>
        </w:rPr>
        <w:t>岁，冠心病，发生急性剧烈胸骨后疼痛，血</w:t>
      </w:r>
      <w:r>
        <w:t>CPK</w:t>
      </w:r>
      <w:r>
        <w:rPr>
          <w:rFonts w:hint="eastAsia"/>
        </w:rPr>
        <w:t>明显升高，颈静脉充盈，肝大，血压</w:t>
      </w:r>
      <w:r>
        <w:rPr>
          <w:rFonts w:hint="eastAsia"/>
        </w:rPr>
        <w:lastRenderedPageBreak/>
        <w:t>下降至</w:t>
      </w:r>
      <w:r>
        <w:t>80</w:t>
      </w:r>
      <w:r>
        <w:rPr>
          <w:rFonts w:hint="eastAsia"/>
        </w:rPr>
        <w:t>／</w:t>
      </w:r>
      <w:r>
        <w:t>40mmHg</w:t>
      </w:r>
      <w:r>
        <w:rPr>
          <w:rFonts w:hint="eastAsia"/>
        </w:rPr>
        <w:t>，应谚断为</w:t>
      </w:r>
      <w:r>
        <w:t>(       )</w:t>
      </w:r>
    </w:p>
    <w:p w:rsidR="003717A0" w:rsidRDefault="003717A0">
      <w:r>
        <w:t xml:space="preserve">   A</w:t>
      </w:r>
      <w:r>
        <w:rPr>
          <w:rFonts w:hint="eastAsia"/>
        </w:rPr>
        <w:t>．冠心病心力衰竭型</w:t>
      </w:r>
      <w:r>
        <w:tab/>
        <w:t xml:space="preserve">  B</w:t>
      </w:r>
      <w:r>
        <w:rPr>
          <w:rFonts w:hint="eastAsia"/>
        </w:rPr>
        <w:t>．急性右心梗死</w:t>
      </w:r>
      <w:r>
        <w:t xml:space="preserve">  C</w:t>
      </w:r>
      <w:r>
        <w:rPr>
          <w:rFonts w:hint="eastAsia"/>
        </w:rPr>
        <w:t>．冠心病合并急性心脏压塞</w:t>
      </w:r>
      <w:r>
        <w:tab/>
        <w:t xml:space="preserve">  </w:t>
      </w:r>
    </w:p>
    <w:p w:rsidR="003717A0" w:rsidRDefault="003717A0">
      <w:pPr>
        <w:ind w:firstLineChars="150" w:firstLine="315"/>
      </w:pPr>
      <w:r>
        <w:t>D</w:t>
      </w:r>
      <w:r>
        <w:rPr>
          <w:rFonts w:hint="eastAsia"/>
        </w:rPr>
        <w:t>．急性前壁心肌梗死伴泵衰竭</w:t>
      </w:r>
      <w:r>
        <w:t xml:space="preserve"> E</w:t>
      </w:r>
      <w:r>
        <w:rPr>
          <w:rFonts w:hint="eastAsia"/>
        </w:rPr>
        <w:t>．急性心肌梗死并室间隔破裂</w:t>
      </w:r>
    </w:p>
    <w:p w:rsidR="003717A0" w:rsidRDefault="003717A0">
      <w:r>
        <w:t>11</w:t>
      </w:r>
      <w:r>
        <w:rPr>
          <w:rFonts w:hint="eastAsia"/>
        </w:rPr>
        <w:t>、女性，</w:t>
      </w:r>
      <w:r>
        <w:t>23</w:t>
      </w:r>
      <w:r>
        <w:rPr>
          <w:rFonts w:hint="eastAsia"/>
        </w:rPr>
        <w:t>岁，诉发热伴心前区隐痛数日，吸气时疼痛，体检：体温</w:t>
      </w:r>
      <w:r>
        <w:t>39.2</w:t>
      </w:r>
      <w:r>
        <w:rPr>
          <w:rFonts w:hint="eastAsia"/>
        </w:rPr>
        <w:t>℃，血压</w:t>
      </w:r>
      <w:r>
        <w:t>107</w:t>
      </w:r>
      <w:r>
        <w:rPr>
          <w:rFonts w:hint="eastAsia"/>
        </w:rPr>
        <w:t>／</w:t>
      </w:r>
      <w:r>
        <w:t>78mmHg</w:t>
      </w:r>
      <w:r>
        <w:rPr>
          <w:rFonts w:hint="eastAsia"/>
        </w:rPr>
        <w:t>。心率</w:t>
      </w:r>
      <w:r>
        <w:t>110</w:t>
      </w:r>
      <w:r>
        <w:rPr>
          <w:rFonts w:hint="eastAsia"/>
        </w:rPr>
        <w:t>次／分，心电图示：</w:t>
      </w:r>
      <w:r>
        <w:t>ST</w:t>
      </w:r>
      <w:r>
        <w:rPr>
          <w:rFonts w:hint="eastAsia"/>
        </w:rPr>
        <w:t>段抬高，八院后第</w:t>
      </w:r>
      <w:r>
        <w:t>3</w:t>
      </w:r>
      <w:r>
        <w:rPr>
          <w:rFonts w:hint="eastAsia"/>
        </w:rPr>
        <w:t>天测静脉压</w:t>
      </w:r>
      <w:r>
        <w:t>28cmH</w:t>
      </w:r>
      <w:r>
        <w:rPr>
          <w:vertAlign w:val="subscript"/>
        </w:rPr>
        <w:t>2</w:t>
      </w:r>
      <w:r>
        <w:t>O</w:t>
      </w:r>
      <w:r>
        <w:rPr>
          <w:rFonts w:hint="eastAsia"/>
        </w:rPr>
        <w:t>，最可能的诊断是</w:t>
      </w:r>
      <w:r>
        <w:t>(      )</w:t>
      </w:r>
    </w:p>
    <w:p w:rsidR="003717A0" w:rsidRDefault="003717A0">
      <w:r>
        <w:t xml:space="preserve">   A</w:t>
      </w:r>
      <w:r>
        <w:rPr>
          <w:rFonts w:hint="eastAsia"/>
        </w:rPr>
        <w:t>．肺炎</w:t>
      </w:r>
      <w:r>
        <w:tab/>
        <w:t xml:space="preserve">  B</w:t>
      </w:r>
      <w:r>
        <w:rPr>
          <w:rFonts w:hint="eastAsia"/>
        </w:rPr>
        <w:t>．急性心肌梗死</w:t>
      </w:r>
      <w:r>
        <w:t xml:space="preserve">  C</w:t>
      </w:r>
      <w:r>
        <w:rPr>
          <w:rFonts w:hint="eastAsia"/>
        </w:rPr>
        <w:t>．肺梗死</w:t>
      </w:r>
      <w:r>
        <w:tab/>
        <w:t xml:space="preserve">  D</w:t>
      </w:r>
      <w:r>
        <w:rPr>
          <w:rFonts w:hint="eastAsia"/>
        </w:rPr>
        <w:t>．急性心包炎</w:t>
      </w:r>
      <w:r>
        <w:t xml:space="preserve"> E</w:t>
      </w:r>
      <w:r>
        <w:rPr>
          <w:rFonts w:hint="eastAsia"/>
        </w:rPr>
        <w:t>．急性胸膜炎</w:t>
      </w:r>
      <w:r>
        <w:t xml:space="preserve"> </w:t>
      </w:r>
    </w:p>
    <w:p w:rsidR="003717A0" w:rsidRDefault="003717A0">
      <w:r>
        <w:t>12</w:t>
      </w:r>
      <w:r>
        <w:rPr>
          <w:rFonts w:hint="eastAsia"/>
        </w:rPr>
        <w:t>、持续性房颤是指难以自动转复为窦性心律的房颤发作持续</w:t>
      </w:r>
      <w:r>
        <w:t>(       )</w:t>
      </w:r>
    </w:p>
    <w:p w:rsidR="003717A0" w:rsidRDefault="003717A0">
      <w:r>
        <w:t xml:space="preserve">   A</w:t>
      </w:r>
      <w:r>
        <w:rPr>
          <w:rFonts w:hint="eastAsia"/>
        </w:rPr>
        <w:t>．</w:t>
      </w:r>
      <w:r>
        <w:t>48</w:t>
      </w:r>
      <w:r>
        <w:rPr>
          <w:rFonts w:hint="eastAsia"/>
        </w:rPr>
        <w:t>小时以上</w:t>
      </w:r>
      <w:r>
        <w:t xml:space="preserve">  B</w:t>
      </w:r>
      <w:r>
        <w:rPr>
          <w:rFonts w:hint="eastAsia"/>
        </w:rPr>
        <w:t>．</w:t>
      </w:r>
      <w:r>
        <w:t>72</w:t>
      </w:r>
      <w:r>
        <w:rPr>
          <w:rFonts w:hint="eastAsia"/>
        </w:rPr>
        <w:t>小时以上</w:t>
      </w:r>
      <w:r>
        <w:t xml:space="preserve">   C</w:t>
      </w:r>
      <w:r>
        <w:rPr>
          <w:rFonts w:hint="eastAsia"/>
        </w:rPr>
        <w:t>．</w:t>
      </w:r>
      <w:r>
        <w:t>1</w:t>
      </w:r>
      <w:r>
        <w:rPr>
          <w:rFonts w:hint="eastAsia"/>
        </w:rPr>
        <w:t>个月以上</w:t>
      </w:r>
      <w:r>
        <w:t xml:space="preserve">  D</w:t>
      </w:r>
      <w:r>
        <w:rPr>
          <w:rFonts w:hint="eastAsia"/>
        </w:rPr>
        <w:t>．</w:t>
      </w:r>
      <w:r>
        <w:t>3</w:t>
      </w:r>
      <w:r>
        <w:rPr>
          <w:rFonts w:hint="eastAsia"/>
        </w:rPr>
        <w:t>个月以上</w:t>
      </w:r>
      <w:r>
        <w:t xml:space="preserve"> E</w:t>
      </w:r>
      <w:r>
        <w:rPr>
          <w:rFonts w:hint="eastAsia"/>
        </w:rPr>
        <w:t>．</w:t>
      </w:r>
      <w:r>
        <w:t>6</w:t>
      </w:r>
      <w:r>
        <w:rPr>
          <w:rFonts w:hint="eastAsia"/>
        </w:rPr>
        <w:t>个月以上</w:t>
      </w:r>
      <w:r>
        <w:t xml:space="preserve"> </w:t>
      </w:r>
    </w:p>
    <w:p w:rsidR="003717A0" w:rsidRDefault="003717A0">
      <w:pPr>
        <w:rPr>
          <w:szCs w:val="21"/>
        </w:rPr>
      </w:pPr>
      <w:r>
        <w:rPr>
          <w:szCs w:val="21"/>
        </w:rPr>
        <w:t>13</w:t>
      </w:r>
      <w:r>
        <w:rPr>
          <w:rFonts w:hint="eastAsia"/>
          <w:szCs w:val="21"/>
        </w:rPr>
        <w:t>、扩张型心肌病的主要表现是：</w:t>
      </w:r>
      <w:r>
        <w:rPr>
          <w:szCs w:val="21"/>
        </w:rPr>
        <w:t xml:space="preserve"> (        )</w:t>
      </w:r>
    </w:p>
    <w:p w:rsidR="003717A0" w:rsidRDefault="003717A0">
      <w:pPr>
        <w:ind w:firstLineChars="150" w:firstLine="315"/>
        <w:rPr>
          <w:szCs w:val="21"/>
        </w:rPr>
      </w:pPr>
      <w:r>
        <w:rPr>
          <w:szCs w:val="21"/>
        </w:rPr>
        <w:t>A</w:t>
      </w:r>
      <w:r>
        <w:rPr>
          <w:rFonts w:hint="eastAsia"/>
          <w:szCs w:val="21"/>
        </w:rPr>
        <w:t>．心尖部收缩期杂音</w:t>
      </w:r>
      <w:r>
        <w:rPr>
          <w:szCs w:val="21"/>
        </w:rPr>
        <w:t xml:space="preserve"> B</w:t>
      </w:r>
      <w:r>
        <w:rPr>
          <w:rFonts w:hint="eastAsia"/>
          <w:szCs w:val="21"/>
        </w:rPr>
        <w:t>．心脏扩大，搏动弥漫性减弱</w:t>
      </w:r>
      <w:r>
        <w:rPr>
          <w:szCs w:val="21"/>
        </w:rPr>
        <w:t xml:space="preserve"> C</w:t>
      </w:r>
      <w:r>
        <w:rPr>
          <w:rFonts w:hint="eastAsia"/>
          <w:szCs w:val="21"/>
        </w:rPr>
        <w:t>．第三心音或第四心音</w:t>
      </w:r>
    </w:p>
    <w:p w:rsidR="003717A0" w:rsidRDefault="003717A0">
      <w:pPr>
        <w:ind w:firstLineChars="150" w:firstLine="315"/>
        <w:rPr>
          <w:szCs w:val="21"/>
        </w:rPr>
      </w:pPr>
      <w:r>
        <w:rPr>
          <w:szCs w:val="21"/>
        </w:rPr>
        <w:t>D</w:t>
      </w:r>
      <w:r>
        <w:rPr>
          <w:rFonts w:hint="eastAsia"/>
          <w:szCs w:val="21"/>
        </w:rPr>
        <w:t>．心音减弱</w:t>
      </w:r>
      <w:r>
        <w:rPr>
          <w:szCs w:val="21"/>
        </w:rPr>
        <w:t>E</w:t>
      </w:r>
      <w:r>
        <w:rPr>
          <w:rFonts w:hint="eastAsia"/>
          <w:szCs w:val="21"/>
        </w:rPr>
        <w:t>．下肢浮肿</w:t>
      </w:r>
    </w:p>
    <w:p w:rsidR="003717A0" w:rsidRDefault="003717A0">
      <w:pPr>
        <w:rPr>
          <w:szCs w:val="21"/>
        </w:rPr>
      </w:pPr>
      <w:r>
        <w:rPr>
          <w:szCs w:val="21"/>
        </w:rPr>
        <w:t>14</w:t>
      </w:r>
      <w:r>
        <w:rPr>
          <w:rFonts w:hint="eastAsia"/>
          <w:szCs w:val="21"/>
        </w:rPr>
        <w:t>、对于急性心包压塞的处理关键在于：</w:t>
      </w:r>
      <w:r>
        <w:rPr>
          <w:szCs w:val="21"/>
        </w:rPr>
        <w:t xml:space="preserve"> (      )</w:t>
      </w:r>
    </w:p>
    <w:p w:rsidR="003717A0" w:rsidRDefault="003717A0">
      <w:pPr>
        <w:ind w:firstLineChars="100" w:firstLine="210"/>
        <w:rPr>
          <w:szCs w:val="21"/>
        </w:rPr>
      </w:pPr>
      <w:r>
        <w:rPr>
          <w:szCs w:val="21"/>
        </w:rPr>
        <w:t>A</w:t>
      </w:r>
      <w:r>
        <w:rPr>
          <w:rFonts w:hint="eastAsia"/>
          <w:szCs w:val="21"/>
        </w:rPr>
        <w:t>．病因治疗</w:t>
      </w:r>
      <w:r>
        <w:rPr>
          <w:szCs w:val="21"/>
        </w:rPr>
        <w:t xml:space="preserve"> B</w:t>
      </w:r>
      <w:r>
        <w:rPr>
          <w:rFonts w:hint="eastAsia"/>
          <w:szCs w:val="21"/>
        </w:rPr>
        <w:t>．对症治疗</w:t>
      </w:r>
      <w:r>
        <w:rPr>
          <w:szCs w:val="21"/>
        </w:rPr>
        <w:t>C</w:t>
      </w:r>
      <w:r>
        <w:rPr>
          <w:rFonts w:hint="eastAsia"/>
          <w:szCs w:val="21"/>
        </w:rPr>
        <w:t>．心包穿刺</w:t>
      </w:r>
      <w:r>
        <w:rPr>
          <w:szCs w:val="21"/>
        </w:rPr>
        <w:t>D</w:t>
      </w:r>
      <w:r>
        <w:rPr>
          <w:rFonts w:hint="eastAsia"/>
          <w:szCs w:val="21"/>
        </w:rPr>
        <w:t>．外科手术</w:t>
      </w:r>
      <w:r>
        <w:rPr>
          <w:szCs w:val="21"/>
        </w:rPr>
        <w:t>E</w:t>
      </w:r>
      <w:r>
        <w:rPr>
          <w:rFonts w:hint="eastAsia"/>
          <w:szCs w:val="21"/>
        </w:rPr>
        <w:t>．以上都不对</w:t>
      </w:r>
    </w:p>
    <w:p w:rsidR="003717A0" w:rsidRDefault="003717A0">
      <w:pPr>
        <w:rPr>
          <w:szCs w:val="21"/>
        </w:rPr>
      </w:pPr>
      <w:r>
        <w:rPr>
          <w:szCs w:val="21"/>
        </w:rPr>
        <w:t>15</w:t>
      </w:r>
      <w:r>
        <w:rPr>
          <w:rFonts w:hint="eastAsia"/>
          <w:szCs w:val="21"/>
        </w:rPr>
        <w:t>、亚急性感染性心内膜炎的病原微生物，最常见的是：</w:t>
      </w:r>
      <w:r>
        <w:rPr>
          <w:szCs w:val="21"/>
        </w:rPr>
        <w:t xml:space="preserve"> (      )</w:t>
      </w:r>
    </w:p>
    <w:p w:rsidR="003717A0" w:rsidRDefault="003717A0">
      <w:pPr>
        <w:ind w:firstLineChars="100" w:firstLine="210"/>
        <w:rPr>
          <w:szCs w:val="21"/>
        </w:rPr>
      </w:pPr>
      <w:r>
        <w:rPr>
          <w:szCs w:val="21"/>
        </w:rPr>
        <w:t>A</w:t>
      </w:r>
      <w:r>
        <w:rPr>
          <w:rFonts w:hint="eastAsia"/>
          <w:szCs w:val="21"/>
        </w:rPr>
        <w:t>．金黄色葡萄球菌</w:t>
      </w:r>
      <w:r>
        <w:rPr>
          <w:szCs w:val="21"/>
        </w:rPr>
        <w:t xml:space="preserve"> B</w:t>
      </w:r>
      <w:r>
        <w:rPr>
          <w:rFonts w:hint="eastAsia"/>
          <w:szCs w:val="21"/>
        </w:rPr>
        <w:t>．肺炎球菌</w:t>
      </w:r>
      <w:r>
        <w:rPr>
          <w:szCs w:val="21"/>
        </w:rPr>
        <w:t xml:space="preserve"> C</w:t>
      </w:r>
      <w:r>
        <w:rPr>
          <w:rFonts w:hint="eastAsia"/>
          <w:szCs w:val="21"/>
        </w:rPr>
        <w:t>．肠球菌</w:t>
      </w:r>
      <w:r>
        <w:rPr>
          <w:szCs w:val="21"/>
        </w:rPr>
        <w:t>D</w:t>
      </w:r>
      <w:r>
        <w:rPr>
          <w:rFonts w:hint="eastAsia"/>
          <w:szCs w:val="21"/>
        </w:rPr>
        <w:t>．草绿色链球菌</w:t>
      </w:r>
      <w:r>
        <w:rPr>
          <w:szCs w:val="21"/>
        </w:rPr>
        <w:t xml:space="preserve"> E</w:t>
      </w:r>
      <w:r>
        <w:rPr>
          <w:rFonts w:hint="eastAsia"/>
          <w:szCs w:val="21"/>
        </w:rPr>
        <w:t>．</w:t>
      </w:r>
      <w:r>
        <w:rPr>
          <w:szCs w:val="21"/>
        </w:rPr>
        <w:t>A</w:t>
      </w:r>
      <w:r>
        <w:rPr>
          <w:rFonts w:hint="eastAsia"/>
          <w:szCs w:val="21"/>
        </w:rPr>
        <w:t>族链球菌</w:t>
      </w:r>
    </w:p>
    <w:p w:rsidR="003717A0" w:rsidRDefault="003717A0">
      <w:pPr>
        <w:rPr>
          <w:szCs w:val="21"/>
        </w:rPr>
      </w:pPr>
      <w:r>
        <w:rPr>
          <w:szCs w:val="21"/>
        </w:rPr>
        <w:t>16</w:t>
      </w:r>
      <w:r>
        <w:rPr>
          <w:rFonts w:hint="eastAsia"/>
          <w:szCs w:val="21"/>
        </w:rPr>
        <w:t>、某高血压病患者，病程</w:t>
      </w:r>
      <w:r>
        <w:rPr>
          <w:szCs w:val="21"/>
        </w:rPr>
        <w:t>10</w:t>
      </w:r>
      <w:r>
        <w:rPr>
          <w:rFonts w:hint="eastAsia"/>
          <w:szCs w:val="21"/>
        </w:rPr>
        <w:t>年，血压水平为</w:t>
      </w:r>
      <w:r>
        <w:rPr>
          <w:szCs w:val="21"/>
        </w:rPr>
        <w:t>165</w:t>
      </w:r>
      <w:r>
        <w:rPr>
          <w:rFonts w:hint="eastAsia"/>
          <w:szCs w:val="21"/>
        </w:rPr>
        <w:t>／</w:t>
      </w:r>
      <w:r>
        <w:rPr>
          <w:szCs w:val="21"/>
        </w:rPr>
        <w:t>105 mmHg</w:t>
      </w:r>
      <w:r>
        <w:rPr>
          <w:rFonts w:hint="eastAsia"/>
          <w:szCs w:val="21"/>
        </w:rPr>
        <w:t>，伴有左室肥大，心功能Ⅲ级，曾有过短暂性脑缺血发作，属于：</w:t>
      </w:r>
      <w:r>
        <w:rPr>
          <w:szCs w:val="21"/>
        </w:rPr>
        <w:t xml:space="preserve"> (      )</w:t>
      </w:r>
    </w:p>
    <w:p w:rsidR="003717A0" w:rsidRDefault="003717A0">
      <w:pPr>
        <w:ind w:firstLineChars="100" w:firstLine="210"/>
        <w:rPr>
          <w:szCs w:val="21"/>
        </w:rPr>
      </w:pPr>
      <w:r>
        <w:rPr>
          <w:szCs w:val="21"/>
        </w:rPr>
        <w:t>A</w:t>
      </w:r>
      <w:r>
        <w:rPr>
          <w:rFonts w:hint="eastAsia"/>
          <w:szCs w:val="21"/>
        </w:rPr>
        <w:t>．高血压</w:t>
      </w:r>
      <w:r>
        <w:rPr>
          <w:szCs w:val="21"/>
        </w:rPr>
        <w:t>2</w:t>
      </w:r>
      <w:r>
        <w:rPr>
          <w:rFonts w:hint="eastAsia"/>
          <w:szCs w:val="21"/>
        </w:rPr>
        <w:t>级，中度危险</w:t>
      </w:r>
      <w:r>
        <w:rPr>
          <w:szCs w:val="21"/>
        </w:rPr>
        <w:t xml:space="preserve"> B</w:t>
      </w:r>
      <w:r>
        <w:rPr>
          <w:rFonts w:hint="eastAsia"/>
          <w:szCs w:val="21"/>
        </w:rPr>
        <w:t>．高血压</w:t>
      </w:r>
      <w:r>
        <w:rPr>
          <w:szCs w:val="21"/>
        </w:rPr>
        <w:t>2</w:t>
      </w:r>
      <w:r>
        <w:rPr>
          <w:rFonts w:hint="eastAsia"/>
          <w:szCs w:val="21"/>
        </w:rPr>
        <w:t>级，高度危险</w:t>
      </w:r>
    </w:p>
    <w:p w:rsidR="003717A0" w:rsidRDefault="003717A0">
      <w:pPr>
        <w:ind w:firstLineChars="100" w:firstLine="210"/>
        <w:rPr>
          <w:szCs w:val="21"/>
        </w:rPr>
      </w:pPr>
      <w:r>
        <w:rPr>
          <w:szCs w:val="21"/>
        </w:rPr>
        <w:t>C</w:t>
      </w:r>
      <w:r>
        <w:rPr>
          <w:rFonts w:hint="eastAsia"/>
          <w:szCs w:val="21"/>
        </w:rPr>
        <w:t>．高血压</w:t>
      </w:r>
      <w:r>
        <w:rPr>
          <w:szCs w:val="21"/>
        </w:rPr>
        <w:t>3</w:t>
      </w:r>
      <w:r>
        <w:rPr>
          <w:rFonts w:hint="eastAsia"/>
          <w:szCs w:val="21"/>
        </w:rPr>
        <w:t>级，高度危险</w:t>
      </w:r>
      <w:r>
        <w:rPr>
          <w:szCs w:val="21"/>
        </w:rPr>
        <w:t xml:space="preserve">  D</w:t>
      </w:r>
      <w:r>
        <w:rPr>
          <w:rFonts w:hint="eastAsia"/>
          <w:szCs w:val="21"/>
        </w:rPr>
        <w:t>．高血压</w:t>
      </w:r>
      <w:r>
        <w:rPr>
          <w:szCs w:val="21"/>
        </w:rPr>
        <w:t>3</w:t>
      </w:r>
      <w:r>
        <w:rPr>
          <w:rFonts w:hint="eastAsia"/>
          <w:szCs w:val="21"/>
        </w:rPr>
        <w:t>级，中度危险</w:t>
      </w:r>
    </w:p>
    <w:p w:rsidR="003717A0" w:rsidRDefault="003717A0">
      <w:pPr>
        <w:ind w:firstLineChars="100" w:firstLine="210"/>
        <w:rPr>
          <w:szCs w:val="21"/>
        </w:rPr>
      </w:pPr>
      <w:r>
        <w:rPr>
          <w:szCs w:val="21"/>
        </w:rPr>
        <w:t>E</w:t>
      </w:r>
      <w:r>
        <w:rPr>
          <w:rFonts w:hint="eastAsia"/>
          <w:szCs w:val="21"/>
        </w:rPr>
        <w:t>．高血压</w:t>
      </w:r>
      <w:r>
        <w:rPr>
          <w:szCs w:val="21"/>
        </w:rPr>
        <w:t>2</w:t>
      </w:r>
      <w:r>
        <w:rPr>
          <w:rFonts w:hint="eastAsia"/>
          <w:szCs w:val="21"/>
        </w:rPr>
        <w:t>级，极高危险</w:t>
      </w:r>
    </w:p>
    <w:p w:rsidR="003717A0" w:rsidRDefault="003717A0">
      <w:r>
        <w:t>17</w:t>
      </w:r>
      <w:r>
        <w:rPr>
          <w:rFonts w:hint="eastAsia"/>
        </w:rPr>
        <w:t>、早期胃癌是指</w:t>
      </w:r>
      <w:r>
        <w:t>(       )</w:t>
      </w:r>
    </w:p>
    <w:p w:rsidR="003717A0" w:rsidRDefault="003717A0">
      <w:r>
        <w:t xml:space="preserve">   A</w:t>
      </w:r>
      <w:r>
        <w:rPr>
          <w:rFonts w:hint="eastAsia"/>
        </w:rPr>
        <w:t>．局限于黏膜或黏膜下层</w:t>
      </w:r>
      <w:r>
        <w:tab/>
        <w:t xml:space="preserve">  B</w:t>
      </w:r>
      <w:r>
        <w:rPr>
          <w:rFonts w:hint="eastAsia"/>
        </w:rPr>
        <w:t>．未穿破浆膜层</w:t>
      </w:r>
    </w:p>
    <w:p w:rsidR="003717A0" w:rsidRDefault="003717A0">
      <w:r>
        <w:t xml:space="preserve">   C</w:t>
      </w:r>
      <w:r>
        <w:rPr>
          <w:rFonts w:hint="eastAsia"/>
        </w:rPr>
        <w:t>．直径小于</w:t>
      </w:r>
      <w:r>
        <w:t>2.5cm</w:t>
      </w:r>
      <w:r>
        <w:tab/>
        <w:t xml:space="preserve">  D</w:t>
      </w:r>
      <w:r>
        <w:rPr>
          <w:rFonts w:hint="eastAsia"/>
        </w:rPr>
        <w:t>．累及胃壁肌层</w:t>
      </w:r>
      <w:r>
        <w:t xml:space="preserve"> E</w:t>
      </w:r>
      <w:r>
        <w:rPr>
          <w:rFonts w:hint="eastAsia"/>
        </w:rPr>
        <w:t>．无淋巴结转移</w:t>
      </w:r>
    </w:p>
    <w:p w:rsidR="003717A0" w:rsidRDefault="003717A0">
      <w:r>
        <w:t>18.</w:t>
      </w:r>
      <w:r>
        <w:rPr>
          <w:rFonts w:hint="eastAsia"/>
        </w:rPr>
        <w:t>、克罗恩病的最常见并发症是</w:t>
      </w:r>
      <w:r>
        <w:t>(       )</w:t>
      </w:r>
    </w:p>
    <w:p w:rsidR="003717A0" w:rsidRDefault="003717A0">
      <w:r>
        <w:t xml:space="preserve">   A</w:t>
      </w:r>
      <w:r>
        <w:rPr>
          <w:rFonts w:hint="eastAsia"/>
        </w:rPr>
        <w:t>．中毒性休克</w:t>
      </w:r>
      <w:r>
        <w:t xml:space="preserve"> B</w:t>
      </w:r>
      <w:r>
        <w:rPr>
          <w:rFonts w:hint="eastAsia"/>
        </w:rPr>
        <w:t>．结肠大出血</w:t>
      </w:r>
      <w:r>
        <w:t xml:space="preserve">  C</w:t>
      </w:r>
      <w:r>
        <w:rPr>
          <w:rFonts w:hint="eastAsia"/>
        </w:rPr>
        <w:t>．肠梗阻</w:t>
      </w:r>
      <w:r>
        <w:tab/>
        <w:t xml:space="preserve">  D</w:t>
      </w:r>
      <w:r>
        <w:rPr>
          <w:rFonts w:hint="eastAsia"/>
        </w:rPr>
        <w:t>．急性肠穿孔</w:t>
      </w:r>
      <w:r>
        <w:t xml:space="preserve">  E</w:t>
      </w:r>
      <w:r>
        <w:rPr>
          <w:rFonts w:hint="eastAsia"/>
        </w:rPr>
        <w:t>．癌变</w:t>
      </w:r>
    </w:p>
    <w:p w:rsidR="003717A0" w:rsidRDefault="003717A0">
      <w:r>
        <w:t>19</w:t>
      </w:r>
      <w:r>
        <w:rPr>
          <w:rFonts w:hint="eastAsia"/>
        </w:rPr>
        <w:t>、男性，</w:t>
      </w:r>
      <w:r>
        <w:t>45</w:t>
      </w:r>
      <w:r>
        <w:rPr>
          <w:rFonts w:hint="eastAsia"/>
        </w:rPr>
        <w:t>岁，有慢性肝炎病史，近日呕血</w:t>
      </w:r>
      <w:r>
        <w:t>3</w:t>
      </w:r>
      <w:r>
        <w:rPr>
          <w:rFonts w:hint="eastAsia"/>
        </w:rPr>
        <w:t>次，约在</w:t>
      </w:r>
      <w:r>
        <w:t>1500ml</w:t>
      </w:r>
      <w:r>
        <w:rPr>
          <w:rFonts w:hint="eastAsia"/>
        </w:rPr>
        <w:t>以上，查体：脉快，巩膜黄染，腹腔积液征</w:t>
      </w:r>
      <w:r>
        <w:t>(+)</w:t>
      </w:r>
      <w:r>
        <w:rPr>
          <w:rFonts w:hint="eastAsia"/>
        </w:rPr>
        <w:t>，下列哪项治疗是不正确的</w:t>
      </w:r>
      <w:r>
        <w:t>(       )</w:t>
      </w:r>
    </w:p>
    <w:p w:rsidR="003717A0" w:rsidRDefault="003717A0">
      <w:pPr>
        <w:rPr>
          <w:szCs w:val="21"/>
        </w:rPr>
      </w:pPr>
      <w:r>
        <w:t xml:space="preserve">   A</w:t>
      </w:r>
      <w:r>
        <w:rPr>
          <w:rFonts w:hint="eastAsia"/>
        </w:rPr>
        <w:t>．输血</w:t>
      </w:r>
      <w:r>
        <w:tab/>
        <w:t xml:space="preserve">  B</w:t>
      </w:r>
      <w:r>
        <w:rPr>
          <w:rFonts w:hint="eastAsia"/>
        </w:rPr>
        <w:t>．贲门周围血管离断术</w:t>
      </w:r>
      <w:r>
        <w:t xml:space="preserve"> C</w:t>
      </w:r>
      <w:r>
        <w:rPr>
          <w:rFonts w:hint="eastAsia"/>
        </w:rPr>
        <w:t>．补液</w:t>
      </w:r>
      <w:r>
        <w:tab/>
        <w:t xml:space="preserve">  D</w:t>
      </w:r>
      <w:r>
        <w:rPr>
          <w:rFonts w:hint="eastAsia"/>
        </w:rPr>
        <w:t>．止血药物</w:t>
      </w:r>
      <w:r>
        <w:t xml:space="preserve"> E</w:t>
      </w:r>
      <w:r>
        <w:rPr>
          <w:rFonts w:hint="eastAsia"/>
        </w:rPr>
        <w:t>．护肝药物</w:t>
      </w:r>
    </w:p>
    <w:p w:rsidR="003717A0" w:rsidRDefault="003717A0">
      <w:pPr>
        <w:rPr>
          <w:szCs w:val="21"/>
        </w:rPr>
      </w:pPr>
      <w:r>
        <w:rPr>
          <w:szCs w:val="21"/>
        </w:rPr>
        <w:t>20</w:t>
      </w:r>
      <w:r>
        <w:rPr>
          <w:rFonts w:hint="eastAsia"/>
          <w:szCs w:val="21"/>
        </w:rPr>
        <w:t>、消化性溃疡最常见的并发症是：</w:t>
      </w:r>
      <w:r>
        <w:rPr>
          <w:szCs w:val="21"/>
        </w:rPr>
        <w:t xml:space="preserve"> (      )</w:t>
      </w:r>
    </w:p>
    <w:p w:rsidR="003717A0" w:rsidRDefault="003717A0">
      <w:pPr>
        <w:ind w:firstLineChars="100" w:firstLine="210"/>
        <w:rPr>
          <w:szCs w:val="21"/>
        </w:rPr>
      </w:pPr>
      <w:r>
        <w:rPr>
          <w:szCs w:val="21"/>
        </w:rPr>
        <w:t>A</w:t>
      </w:r>
      <w:r>
        <w:rPr>
          <w:rFonts w:hint="eastAsia"/>
          <w:szCs w:val="21"/>
        </w:rPr>
        <w:t>．穿孔</w:t>
      </w:r>
      <w:r>
        <w:rPr>
          <w:szCs w:val="21"/>
        </w:rPr>
        <w:t>B</w:t>
      </w:r>
      <w:r>
        <w:rPr>
          <w:rFonts w:hint="eastAsia"/>
          <w:szCs w:val="21"/>
        </w:rPr>
        <w:t>．幽门梗阻</w:t>
      </w:r>
      <w:r>
        <w:rPr>
          <w:szCs w:val="21"/>
        </w:rPr>
        <w:t>C</w:t>
      </w:r>
      <w:r>
        <w:rPr>
          <w:rFonts w:hint="eastAsia"/>
          <w:szCs w:val="21"/>
        </w:rPr>
        <w:t>．癌变</w:t>
      </w:r>
      <w:r>
        <w:rPr>
          <w:szCs w:val="21"/>
        </w:rPr>
        <w:t>D</w:t>
      </w:r>
      <w:r>
        <w:rPr>
          <w:rFonts w:hint="eastAsia"/>
          <w:szCs w:val="21"/>
        </w:rPr>
        <w:t>．上消化道出血</w:t>
      </w:r>
      <w:r>
        <w:rPr>
          <w:szCs w:val="21"/>
        </w:rPr>
        <w:t>E</w:t>
      </w:r>
      <w:r>
        <w:rPr>
          <w:rFonts w:hint="eastAsia"/>
          <w:szCs w:val="21"/>
        </w:rPr>
        <w:t>．水、电解质紊乱</w:t>
      </w:r>
    </w:p>
    <w:p w:rsidR="003717A0" w:rsidRDefault="003717A0">
      <w:pPr>
        <w:rPr>
          <w:szCs w:val="21"/>
        </w:rPr>
      </w:pPr>
      <w:r>
        <w:rPr>
          <w:szCs w:val="21"/>
        </w:rPr>
        <w:t>21</w:t>
      </w:r>
      <w:r>
        <w:rPr>
          <w:rFonts w:hint="eastAsia"/>
          <w:szCs w:val="21"/>
        </w:rPr>
        <w:t>、急性胰腺炎患者发热超过</w:t>
      </w:r>
      <w:r>
        <w:rPr>
          <w:szCs w:val="21"/>
        </w:rPr>
        <w:t>39</w:t>
      </w:r>
      <w:r>
        <w:rPr>
          <w:rFonts w:hint="eastAsia"/>
          <w:szCs w:val="21"/>
        </w:rPr>
        <w:t>℃，且持续不退者提示：</w:t>
      </w:r>
      <w:r>
        <w:rPr>
          <w:szCs w:val="21"/>
        </w:rPr>
        <w:t xml:space="preserve"> (      )</w:t>
      </w:r>
    </w:p>
    <w:p w:rsidR="003717A0" w:rsidRDefault="003717A0">
      <w:pPr>
        <w:ind w:firstLineChars="100" w:firstLine="210"/>
        <w:rPr>
          <w:szCs w:val="21"/>
        </w:rPr>
      </w:pPr>
      <w:r>
        <w:rPr>
          <w:szCs w:val="21"/>
        </w:rPr>
        <w:t>A</w:t>
      </w:r>
      <w:r>
        <w:rPr>
          <w:rFonts w:hint="eastAsia"/>
          <w:szCs w:val="21"/>
        </w:rPr>
        <w:t>．出血坏死型</w:t>
      </w:r>
      <w:r>
        <w:rPr>
          <w:szCs w:val="21"/>
        </w:rPr>
        <w:t xml:space="preserve"> B</w:t>
      </w:r>
      <w:r>
        <w:rPr>
          <w:rFonts w:hint="eastAsia"/>
          <w:szCs w:val="21"/>
        </w:rPr>
        <w:t>．继发性腹膜炎</w:t>
      </w:r>
      <w:r>
        <w:rPr>
          <w:szCs w:val="21"/>
        </w:rPr>
        <w:t xml:space="preserve"> C</w:t>
      </w:r>
      <w:r>
        <w:rPr>
          <w:rFonts w:hint="eastAsia"/>
          <w:szCs w:val="21"/>
        </w:rPr>
        <w:t>．并发胰腺脓肿</w:t>
      </w:r>
    </w:p>
    <w:p w:rsidR="003717A0" w:rsidRDefault="003717A0">
      <w:pPr>
        <w:ind w:firstLineChars="100" w:firstLine="210"/>
        <w:rPr>
          <w:szCs w:val="21"/>
        </w:rPr>
      </w:pPr>
      <w:r>
        <w:rPr>
          <w:szCs w:val="21"/>
        </w:rPr>
        <w:t>D</w:t>
      </w:r>
      <w:r>
        <w:rPr>
          <w:rFonts w:hint="eastAsia"/>
          <w:szCs w:val="21"/>
        </w:rPr>
        <w:t>．并发胰腺蜂窝织炎</w:t>
      </w:r>
      <w:r>
        <w:rPr>
          <w:szCs w:val="21"/>
        </w:rPr>
        <w:t xml:space="preserve">  E</w:t>
      </w:r>
      <w:r>
        <w:rPr>
          <w:rFonts w:hint="eastAsia"/>
          <w:szCs w:val="21"/>
        </w:rPr>
        <w:t>．以上均有可能</w:t>
      </w:r>
    </w:p>
    <w:p w:rsidR="003717A0" w:rsidRDefault="003717A0">
      <w:r>
        <w:rPr>
          <w:szCs w:val="21"/>
        </w:rPr>
        <w:t>22</w:t>
      </w:r>
      <w:r>
        <w:rPr>
          <w:rFonts w:hint="eastAsia"/>
          <w:szCs w:val="21"/>
        </w:rPr>
        <w:t>、</w:t>
      </w:r>
      <w:r>
        <w:rPr>
          <w:rFonts w:hint="eastAsia"/>
        </w:rPr>
        <w:t>关于慢性胃体萎缩性胃炎哪项不正确</w:t>
      </w:r>
    </w:p>
    <w:p w:rsidR="003717A0" w:rsidRDefault="003717A0">
      <w:r>
        <w:t>A.</w:t>
      </w:r>
      <w:r>
        <w:rPr>
          <w:rFonts w:hint="eastAsia"/>
        </w:rPr>
        <w:t>血清壁细胞抗体阳性</w:t>
      </w:r>
      <w:r>
        <w:t xml:space="preserve">  B.</w:t>
      </w:r>
      <w:r>
        <w:rPr>
          <w:rFonts w:hint="eastAsia"/>
        </w:rPr>
        <w:t>血清内因子抗体阳性</w:t>
      </w:r>
    </w:p>
    <w:p w:rsidR="003717A0" w:rsidRDefault="003717A0">
      <w:pPr>
        <w:ind w:firstLine="420"/>
      </w:pPr>
      <w:r>
        <w:t>C.</w:t>
      </w:r>
      <w:r>
        <w:rPr>
          <w:rFonts w:hint="eastAsia"/>
        </w:rPr>
        <w:t>维生素</w:t>
      </w:r>
      <w:r>
        <w:t>B12</w:t>
      </w:r>
      <w:r>
        <w:rPr>
          <w:rFonts w:hint="eastAsia"/>
        </w:rPr>
        <w:t>吸收试验阳性</w:t>
      </w:r>
      <w:r>
        <w:t xml:space="preserve">  D.</w:t>
      </w:r>
      <w:r>
        <w:rPr>
          <w:rFonts w:hint="eastAsia"/>
        </w:rPr>
        <w:t>血清促胃液素水平下降</w:t>
      </w:r>
      <w:r>
        <w:t xml:space="preserve">  E.</w:t>
      </w:r>
      <w:r>
        <w:rPr>
          <w:rFonts w:hint="eastAsia"/>
        </w:rPr>
        <w:t>固有腺体减少</w:t>
      </w:r>
    </w:p>
    <w:p w:rsidR="003717A0" w:rsidRDefault="003717A0">
      <w:r>
        <w:t>23</w:t>
      </w:r>
      <w:r>
        <w:rPr>
          <w:rFonts w:hint="eastAsia"/>
        </w:rPr>
        <w:t>、</w:t>
      </w:r>
      <w:r>
        <w:t xml:space="preserve"> </w:t>
      </w:r>
      <w:r>
        <w:rPr>
          <w:rFonts w:hint="eastAsia"/>
        </w:rPr>
        <w:t>肠结核的好发部位为</w:t>
      </w:r>
    </w:p>
    <w:p w:rsidR="003717A0" w:rsidRDefault="003717A0">
      <w:r>
        <w:t>A.</w:t>
      </w:r>
      <w:r>
        <w:rPr>
          <w:rFonts w:hint="eastAsia"/>
        </w:rPr>
        <w:t>十二指肠</w:t>
      </w:r>
      <w:r>
        <w:t xml:space="preserve">  B.</w:t>
      </w:r>
      <w:r>
        <w:rPr>
          <w:rFonts w:hint="eastAsia"/>
        </w:rPr>
        <w:t>空肠</w:t>
      </w:r>
      <w:r>
        <w:t xml:space="preserve">   C.</w:t>
      </w:r>
      <w:r>
        <w:rPr>
          <w:rFonts w:hint="eastAsia"/>
        </w:rPr>
        <w:t>回肠</w:t>
      </w:r>
      <w:r>
        <w:t xml:space="preserve">    D.</w:t>
      </w:r>
      <w:r>
        <w:rPr>
          <w:rFonts w:hint="eastAsia"/>
        </w:rPr>
        <w:t>升结</w:t>
      </w:r>
      <w:r>
        <w:t xml:space="preserve">    E.</w:t>
      </w:r>
      <w:r>
        <w:rPr>
          <w:rFonts w:hint="eastAsia"/>
        </w:rPr>
        <w:t>回盲部</w:t>
      </w:r>
    </w:p>
    <w:p w:rsidR="003717A0" w:rsidRDefault="003717A0">
      <w:r>
        <w:t>24</w:t>
      </w:r>
      <w:r>
        <w:rPr>
          <w:rFonts w:hint="eastAsia"/>
        </w:rPr>
        <w:t>、质子泵抑制剂对消化性溃疡最主要的药理作用是</w:t>
      </w:r>
      <w:r>
        <w:t xml:space="preserve"> </w:t>
      </w:r>
    </w:p>
    <w:p w:rsidR="003717A0" w:rsidRDefault="003717A0">
      <w:pPr>
        <w:ind w:firstLineChars="200" w:firstLine="420"/>
      </w:pPr>
      <w:r>
        <w:t>A</w:t>
      </w:r>
      <w:r>
        <w:rPr>
          <w:rFonts w:hint="eastAsia"/>
        </w:rPr>
        <w:t>．抑制壁细胞生成</w:t>
      </w:r>
      <w:r>
        <w:t xml:space="preserve">cAMP         </w:t>
      </w:r>
    </w:p>
    <w:p w:rsidR="003717A0" w:rsidRDefault="003717A0">
      <w:pPr>
        <w:ind w:firstLineChars="200" w:firstLine="420"/>
      </w:pPr>
      <w:r>
        <w:t>B</w:t>
      </w:r>
      <w:r>
        <w:rPr>
          <w:rFonts w:hint="eastAsia"/>
        </w:rPr>
        <w:t>．既抑制胃酸的分泌，又有保护胃十二指肠粘膜的功能</w:t>
      </w:r>
      <w:r>
        <w:t xml:space="preserve"> </w:t>
      </w:r>
    </w:p>
    <w:p w:rsidR="003717A0" w:rsidRDefault="003717A0">
      <w:pPr>
        <w:ind w:firstLineChars="200" w:firstLine="420"/>
      </w:pPr>
      <w:r>
        <w:t>C</w:t>
      </w:r>
      <w:r>
        <w:rPr>
          <w:rFonts w:hint="eastAsia"/>
        </w:rPr>
        <w:t>．对壁细胞</w:t>
      </w:r>
      <w:r>
        <w:t>H2</w:t>
      </w:r>
      <w:r>
        <w:rPr>
          <w:rFonts w:hint="eastAsia"/>
        </w:rPr>
        <w:t>受体和胃泌素受体均有拮抗作用，因而使胃酸分泌量明显减少</w:t>
      </w:r>
      <w:r>
        <w:t xml:space="preserve"> </w:t>
      </w:r>
    </w:p>
    <w:p w:rsidR="003717A0" w:rsidRDefault="003717A0">
      <w:pPr>
        <w:ind w:firstLineChars="200" w:firstLine="420"/>
      </w:pPr>
      <w:r>
        <w:t>D</w:t>
      </w:r>
      <w:r>
        <w:rPr>
          <w:rFonts w:hint="eastAsia"/>
        </w:rPr>
        <w:t>．促进胃十二指肠粘膜分泌重碳酸盐并能杀灭幽门螺旋杆菌</w:t>
      </w:r>
      <w:r>
        <w:t xml:space="preserve"> </w:t>
      </w:r>
    </w:p>
    <w:p w:rsidR="003717A0" w:rsidRDefault="003717A0">
      <w:pPr>
        <w:ind w:firstLineChars="250" w:firstLine="525"/>
      </w:pPr>
      <w:r>
        <w:t>E</w:t>
      </w:r>
      <w:r>
        <w:rPr>
          <w:rFonts w:hint="eastAsia"/>
        </w:rPr>
        <w:t>．抑制壁细胞内的</w:t>
      </w:r>
      <w:r>
        <w:t>H</w:t>
      </w:r>
      <w:r>
        <w:rPr>
          <w:rFonts w:cs="宋体"/>
        </w:rPr>
        <w:t>-K-ATP</w:t>
      </w:r>
      <w:r>
        <w:rPr>
          <w:rFonts w:hint="eastAsia"/>
        </w:rPr>
        <w:t>酶</w:t>
      </w:r>
    </w:p>
    <w:p w:rsidR="003717A0" w:rsidRDefault="003717A0">
      <w:r>
        <w:lastRenderedPageBreak/>
        <w:t>25</w:t>
      </w:r>
      <w:r>
        <w:rPr>
          <w:rFonts w:hint="eastAsia"/>
        </w:rPr>
        <w:t>、便潜血试验呈持续阳性常提示</w:t>
      </w:r>
    </w:p>
    <w:p w:rsidR="003717A0" w:rsidRDefault="003717A0">
      <w:r>
        <w:t>A.</w:t>
      </w:r>
      <w:r>
        <w:rPr>
          <w:rFonts w:hint="eastAsia"/>
        </w:rPr>
        <w:t>急性胃粘膜病变</w:t>
      </w:r>
      <w:r>
        <w:t xml:space="preserve">  B.</w:t>
      </w:r>
      <w:r>
        <w:rPr>
          <w:rFonts w:hint="eastAsia"/>
        </w:rPr>
        <w:t>慢性浅表性胃炎</w:t>
      </w:r>
    </w:p>
    <w:p w:rsidR="003717A0" w:rsidRDefault="003717A0">
      <w:r>
        <w:t>C.</w:t>
      </w:r>
      <w:r>
        <w:rPr>
          <w:rFonts w:hint="eastAsia"/>
        </w:rPr>
        <w:t>十二指肠球炎</w:t>
      </w:r>
      <w:r>
        <w:t xml:space="preserve"> D.</w:t>
      </w:r>
      <w:r>
        <w:rPr>
          <w:rFonts w:hint="eastAsia"/>
        </w:rPr>
        <w:t>慢性萎缩性胃炎</w:t>
      </w:r>
      <w:r>
        <w:t xml:space="preserve"> E.</w:t>
      </w:r>
      <w:r>
        <w:rPr>
          <w:rFonts w:hint="eastAsia"/>
        </w:rPr>
        <w:t>胃癌</w:t>
      </w:r>
    </w:p>
    <w:p w:rsidR="003717A0" w:rsidRDefault="003717A0">
      <w:pPr>
        <w:rPr>
          <w:b/>
        </w:rPr>
      </w:pPr>
      <w:r>
        <w:rPr>
          <w:rFonts w:hint="eastAsia"/>
          <w:b/>
        </w:rPr>
        <w:t>四</w:t>
      </w:r>
      <w:r>
        <w:rPr>
          <w:b/>
        </w:rPr>
        <w:t xml:space="preserve"> </w:t>
      </w:r>
      <w:r>
        <w:rPr>
          <w:rFonts w:hint="eastAsia"/>
          <w:b/>
        </w:rPr>
        <w:t>简答题</w:t>
      </w:r>
      <w:r>
        <w:rPr>
          <w:b/>
        </w:rPr>
        <w:t xml:space="preserve"> </w:t>
      </w:r>
      <w:r>
        <w:rPr>
          <w:rFonts w:hint="eastAsia"/>
          <w:b/>
        </w:rPr>
        <w:t>（每题</w:t>
      </w:r>
      <w:r>
        <w:rPr>
          <w:b/>
        </w:rPr>
        <w:t>5</w:t>
      </w:r>
      <w:r>
        <w:rPr>
          <w:rFonts w:hint="eastAsia"/>
          <w:b/>
        </w:rPr>
        <w:t>分，共</w:t>
      </w:r>
      <w:r>
        <w:rPr>
          <w:b/>
        </w:rPr>
        <w:t>30</w:t>
      </w:r>
      <w:r>
        <w:rPr>
          <w:rFonts w:hint="eastAsia"/>
          <w:b/>
        </w:rPr>
        <w:t>分）</w:t>
      </w:r>
    </w:p>
    <w:p w:rsidR="003717A0" w:rsidRDefault="003717A0">
      <w:r>
        <w:t>1.</w:t>
      </w:r>
      <w:r>
        <w:rPr>
          <w:rFonts w:hint="eastAsia"/>
        </w:rPr>
        <w:t>慢性支气管炎的诊断标准。</w:t>
      </w:r>
    </w:p>
    <w:p w:rsidR="003717A0" w:rsidRDefault="003717A0">
      <w:r>
        <w:t>2.</w:t>
      </w:r>
      <w:r>
        <w:rPr>
          <w:rFonts w:hint="eastAsia"/>
        </w:rPr>
        <w:t>试述重症哮喘的处理原则。</w:t>
      </w:r>
    </w:p>
    <w:p w:rsidR="003717A0" w:rsidRDefault="003717A0">
      <w:r>
        <w:t>3.</w:t>
      </w:r>
      <w:r>
        <w:rPr>
          <w:rFonts w:hint="eastAsia"/>
        </w:rPr>
        <w:t>降压药物的治疗原则及降压药的分类。</w:t>
      </w:r>
    </w:p>
    <w:p w:rsidR="003717A0" w:rsidRDefault="003717A0">
      <w:r>
        <w:t xml:space="preserve">4. </w:t>
      </w:r>
      <w:r>
        <w:rPr>
          <w:rFonts w:hint="eastAsia"/>
        </w:rPr>
        <w:t>试述急性心肌梗死的临床症状，及鉴别诊断。</w:t>
      </w:r>
    </w:p>
    <w:p w:rsidR="003717A0" w:rsidRDefault="003717A0">
      <w:r>
        <w:t>5.</w:t>
      </w:r>
      <w:r>
        <w:rPr>
          <w:rFonts w:hint="eastAsia"/>
        </w:rPr>
        <w:t>上消化道出血经内科正规治疗后出现何种情况应考虑有继续出血或再出血。</w:t>
      </w:r>
    </w:p>
    <w:p w:rsidR="003717A0" w:rsidRDefault="003717A0">
      <w:r>
        <w:rPr>
          <w:sz w:val="24"/>
        </w:rPr>
        <w:t>6.</w:t>
      </w:r>
      <w:r>
        <w:rPr>
          <w:rFonts w:hint="eastAsia"/>
          <w:szCs w:val="21"/>
        </w:rPr>
        <w:t>简述肝硬化腹水的治疗原则。</w:t>
      </w:r>
    </w:p>
    <w:p w:rsidR="003717A0" w:rsidRDefault="003717A0">
      <w:pPr>
        <w:ind w:firstLineChars="100" w:firstLine="211"/>
        <w:jc w:val="center"/>
        <w:rPr>
          <w:rFonts w:ascii="宋体"/>
          <w:b/>
          <w:kern w:val="0"/>
          <w:szCs w:val="21"/>
        </w:rPr>
      </w:pPr>
    </w:p>
    <w:p w:rsidR="003717A0" w:rsidRDefault="003717A0">
      <w:pPr>
        <w:ind w:firstLineChars="100" w:firstLine="211"/>
        <w:jc w:val="center"/>
        <w:rPr>
          <w:rFonts w:ascii="宋体"/>
          <w:b/>
          <w:kern w:val="0"/>
          <w:szCs w:val="21"/>
        </w:rPr>
      </w:pPr>
    </w:p>
    <w:p w:rsidR="003717A0" w:rsidRDefault="003717A0">
      <w:pPr>
        <w:ind w:firstLineChars="100" w:firstLine="211"/>
        <w:jc w:val="center"/>
        <w:rPr>
          <w:rFonts w:ascii="宋体"/>
          <w:b/>
          <w:kern w:val="0"/>
          <w:szCs w:val="21"/>
        </w:rPr>
      </w:pPr>
    </w:p>
    <w:p w:rsidR="003717A0" w:rsidRDefault="003717A0">
      <w:pPr>
        <w:ind w:firstLineChars="100" w:firstLine="211"/>
        <w:jc w:val="center"/>
        <w:rPr>
          <w:rFonts w:ascii="宋体"/>
          <w:b/>
          <w:kern w:val="0"/>
          <w:szCs w:val="21"/>
        </w:rPr>
      </w:pPr>
    </w:p>
    <w:p w:rsidR="003717A0" w:rsidRDefault="003717A0">
      <w:pPr>
        <w:ind w:firstLineChars="100" w:firstLine="211"/>
        <w:jc w:val="center"/>
        <w:rPr>
          <w:rFonts w:ascii="宋体"/>
          <w:b/>
          <w:kern w:val="0"/>
          <w:szCs w:val="21"/>
        </w:rPr>
      </w:pPr>
    </w:p>
    <w:p w:rsidR="003717A0" w:rsidRDefault="003717A0">
      <w:pPr>
        <w:ind w:firstLineChars="100" w:firstLine="211"/>
        <w:jc w:val="center"/>
        <w:rPr>
          <w:rFonts w:ascii="宋体"/>
          <w:b/>
          <w:kern w:val="0"/>
          <w:szCs w:val="21"/>
        </w:rPr>
      </w:pPr>
    </w:p>
    <w:p w:rsidR="003717A0" w:rsidRDefault="003717A0">
      <w:pPr>
        <w:ind w:firstLineChars="100" w:firstLine="211"/>
        <w:jc w:val="center"/>
        <w:rPr>
          <w:rFonts w:ascii="宋体"/>
          <w:b/>
          <w:kern w:val="0"/>
          <w:szCs w:val="21"/>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宋体"/>
                <w:b/>
                <w:szCs w:val="21"/>
              </w:rPr>
            </w:pPr>
            <w:r>
              <w:rPr>
                <w:rFonts w:ascii="宋体" w:hAnsi="宋体" w:hint="eastAsia"/>
                <w:b/>
                <w:szCs w:val="21"/>
              </w:rPr>
              <w:t>教</w:t>
            </w:r>
            <w:r>
              <w:rPr>
                <w:rFonts w:ascii="宋体" w:hAnsi="宋体"/>
                <w:b/>
                <w:szCs w:val="21"/>
              </w:rPr>
              <w:t xml:space="preserve"> </w:t>
            </w:r>
            <w:r>
              <w:rPr>
                <w:rFonts w:ascii="宋体" w:hAnsi="宋体" w:hint="eastAsia"/>
                <w:b/>
                <w:szCs w:val="21"/>
              </w:rPr>
              <w:t>学</w:t>
            </w:r>
            <w:r>
              <w:rPr>
                <w:rFonts w:ascii="宋体" w:hAnsi="宋体"/>
                <w:b/>
                <w:szCs w:val="21"/>
              </w:rPr>
              <w:t xml:space="preserve"> </w:t>
            </w:r>
            <w:r>
              <w:rPr>
                <w:rFonts w:ascii="宋体" w:hAnsi="宋体" w:hint="eastAsia"/>
                <w:b/>
                <w:szCs w:val="21"/>
              </w:rPr>
              <w:t>基</w:t>
            </w:r>
            <w:r>
              <w:rPr>
                <w:rFonts w:ascii="宋体" w:hAnsi="宋体"/>
                <w:b/>
                <w:szCs w:val="21"/>
              </w:rPr>
              <w:t xml:space="preserve"> </w:t>
            </w:r>
            <w:r>
              <w:rPr>
                <w:rFonts w:ascii="宋体" w:hAnsi="宋体" w:hint="eastAsia"/>
                <w:b/>
                <w:szCs w:val="21"/>
              </w:rPr>
              <w:t>本</w:t>
            </w:r>
            <w:r>
              <w:rPr>
                <w:rFonts w:ascii="宋体" w:hAnsi="宋体"/>
                <w:b/>
                <w:szCs w:val="21"/>
              </w:rPr>
              <w:t xml:space="preserve"> </w:t>
            </w:r>
            <w:r>
              <w:rPr>
                <w:rFonts w:ascii="宋体" w:hAnsi="宋体" w:hint="eastAsia"/>
                <w:b/>
                <w:szCs w:val="21"/>
              </w:rPr>
              <w:t>要</w:t>
            </w:r>
            <w:r>
              <w:rPr>
                <w:rFonts w:ascii="宋体" w:hAnsi="宋体"/>
                <w:b/>
                <w:szCs w:val="21"/>
              </w:rPr>
              <w:t xml:space="preserve"> </w:t>
            </w:r>
            <w:r>
              <w:rPr>
                <w:rFonts w:ascii="宋体" w:hAnsi="宋体" w:hint="eastAsia"/>
                <w:b/>
                <w:szCs w:val="21"/>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内科学临床实习在各科室病区病床前进行，通过直观教学，增强学生对所学知识的感性认识，培养学生临床思维能力，使学生能将课堂习得的理论知识与临床实际相结合，培养临床</w:t>
            </w:r>
            <w:r>
              <w:rPr>
                <w:rFonts w:ascii="仿宋_GB2312" w:eastAsia="仿宋_GB2312" w:hAnsi="宋体" w:hint="eastAsia"/>
                <w:szCs w:val="21"/>
              </w:rPr>
              <w:t>实践能力。</w:t>
            </w:r>
            <w:r>
              <w:rPr>
                <w:rFonts w:ascii="宋体" w:hAnsi="宋体" w:hint="eastAsia"/>
                <w:szCs w:val="21"/>
              </w:rPr>
              <w:t>教师应关心内科学的进展，使教学内容能反映学科的发展趋势。教师在平时教学过程中要注意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rPr>
                <w:rFonts w:ascii="宋体"/>
                <w:szCs w:val="21"/>
              </w:rPr>
            </w:pPr>
            <w:r>
              <w:rPr>
                <w:rFonts w:ascii="宋体" w:hAnsi="宋体" w:hint="eastAsia"/>
                <w:b/>
                <w:szCs w:val="21"/>
              </w:rPr>
              <w:t>主要教学环节的质量标准</w:t>
            </w:r>
          </w:p>
        </w:tc>
        <w:tc>
          <w:tcPr>
            <w:tcW w:w="425" w:type="dxa"/>
            <w:textDirection w:val="tbRlV"/>
            <w:vAlign w:val="center"/>
          </w:tcPr>
          <w:p w:rsidR="003717A0" w:rsidRDefault="003717A0">
            <w:pPr>
              <w:spacing w:line="340" w:lineRule="exact"/>
              <w:ind w:left="113" w:right="113"/>
              <w:jc w:val="center"/>
              <w:rPr>
                <w:rFonts w:ascii="宋体"/>
                <w:szCs w:val="21"/>
              </w:rPr>
            </w:pPr>
            <w:r>
              <w:rPr>
                <w:rFonts w:ascii="宋体" w:hAnsi="宋体" w:hint="eastAsia"/>
                <w:b/>
                <w:szCs w:val="21"/>
              </w:rPr>
              <w:t>备</w:t>
            </w:r>
            <w:r>
              <w:rPr>
                <w:rFonts w:ascii="宋体" w:hAnsi="宋体"/>
                <w:b/>
                <w:szCs w:val="21"/>
              </w:rPr>
              <w:t xml:space="preserve">   </w:t>
            </w:r>
            <w:r>
              <w:rPr>
                <w:rFonts w:ascii="宋体" w:hAnsi="宋体" w:hint="eastAsia"/>
                <w:b/>
                <w:szCs w:val="21"/>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hint="eastAsia"/>
                <w:szCs w:val="21"/>
              </w:rPr>
              <w:t>掌握本课程教学大纲内容，严格按照教学大纲要求进行本课程教学内容的组织。</w:t>
            </w:r>
          </w:p>
          <w:p w:rsidR="003717A0" w:rsidRDefault="003717A0">
            <w:pPr>
              <w:numPr>
                <w:ilvl w:val="0"/>
                <w:numId w:val="472"/>
              </w:numPr>
              <w:autoSpaceDE w:val="0"/>
              <w:autoSpaceDN w:val="0"/>
              <w:adjustRightInd w:val="0"/>
              <w:snapToGrid w:val="0"/>
              <w:spacing w:line="360" w:lineRule="auto"/>
              <w:jc w:val="left"/>
              <w:rPr>
                <w:rFonts w:ascii="宋体"/>
                <w:szCs w:val="21"/>
              </w:rPr>
            </w:pPr>
            <w:r>
              <w:rPr>
                <w:rFonts w:ascii="宋体"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72"/>
              </w:numPr>
              <w:autoSpaceDE w:val="0"/>
              <w:autoSpaceDN w:val="0"/>
              <w:adjustRightInd w:val="0"/>
              <w:snapToGrid w:val="0"/>
              <w:spacing w:line="360" w:lineRule="auto"/>
              <w:jc w:val="left"/>
              <w:rPr>
                <w:rFonts w:ascii="宋体"/>
                <w:szCs w:val="21"/>
              </w:rPr>
            </w:pPr>
            <w:r>
              <w:rPr>
                <w:rFonts w:ascii="宋体" w:hAnsi="宋体" w:hint="eastAsia"/>
                <w:szCs w:val="21"/>
              </w:rPr>
              <w:t>结合课程特点，制作课件，运用多媒体教学手段讲授部分教学内容。</w:t>
            </w:r>
          </w:p>
          <w:p w:rsidR="003717A0" w:rsidRDefault="003717A0">
            <w:pPr>
              <w:numPr>
                <w:ilvl w:val="0"/>
                <w:numId w:val="472"/>
              </w:numPr>
              <w:autoSpaceDE w:val="0"/>
              <w:autoSpaceDN w:val="0"/>
              <w:adjustRightInd w:val="0"/>
              <w:snapToGrid w:val="0"/>
              <w:spacing w:line="360" w:lineRule="auto"/>
              <w:jc w:val="left"/>
              <w:rPr>
                <w:rFonts w:ascii="宋体"/>
                <w:szCs w:val="21"/>
              </w:rPr>
            </w:pPr>
            <w:r>
              <w:rPr>
                <w:rFonts w:ascii="宋体"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rPr>
                <w:rFonts w:ascii="宋体"/>
                <w:szCs w:val="21"/>
              </w:rPr>
            </w:pPr>
          </w:p>
        </w:tc>
        <w:tc>
          <w:tcPr>
            <w:tcW w:w="425" w:type="dxa"/>
            <w:textDirection w:val="tbRlV"/>
            <w:vAlign w:val="center"/>
          </w:tcPr>
          <w:p w:rsidR="003717A0" w:rsidRDefault="003717A0">
            <w:pPr>
              <w:spacing w:line="340" w:lineRule="exact"/>
              <w:ind w:left="113" w:right="113"/>
              <w:jc w:val="center"/>
              <w:rPr>
                <w:rFonts w:ascii="宋体"/>
                <w:szCs w:val="21"/>
              </w:rPr>
            </w:pPr>
            <w:r>
              <w:rPr>
                <w:rFonts w:ascii="宋体" w:hAnsi="宋体" w:hint="eastAsia"/>
                <w:b/>
                <w:szCs w:val="21"/>
              </w:rPr>
              <w:t>授</w:t>
            </w:r>
            <w:r>
              <w:rPr>
                <w:rFonts w:ascii="宋体" w:hAnsi="宋体"/>
                <w:b/>
                <w:szCs w:val="21"/>
              </w:rPr>
              <w:t xml:space="preserve">   </w:t>
            </w:r>
            <w:r>
              <w:rPr>
                <w:rFonts w:ascii="宋体" w:hAnsi="宋体" w:hint="eastAsia"/>
                <w:b/>
                <w:szCs w:val="21"/>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hint="eastAsia"/>
                <w:szCs w:val="21"/>
              </w:rPr>
              <w:t>概念准确，推理正确，条理清晰，重点突出，理论联系实际。</w:t>
            </w:r>
          </w:p>
          <w:p w:rsidR="003717A0" w:rsidRDefault="003717A0">
            <w:pPr>
              <w:numPr>
                <w:ilvl w:val="0"/>
                <w:numId w:val="473"/>
              </w:numPr>
              <w:autoSpaceDE w:val="0"/>
              <w:autoSpaceDN w:val="0"/>
              <w:adjustRightInd w:val="0"/>
              <w:snapToGrid w:val="0"/>
              <w:spacing w:line="360" w:lineRule="auto"/>
              <w:jc w:val="left"/>
              <w:rPr>
                <w:rFonts w:ascii="宋体"/>
                <w:szCs w:val="21"/>
              </w:rPr>
            </w:pPr>
            <w:r>
              <w:rPr>
                <w:rFonts w:ascii="宋体"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73"/>
              </w:numPr>
              <w:autoSpaceDE w:val="0"/>
              <w:autoSpaceDN w:val="0"/>
              <w:adjustRightInd w:val="0"/>
              <w:snapToGrid w:val="0"/>
              <w:spacing w:line="360" w:lineRule="auto"/>
              <w:jc w:val="left"/>
              <w:rPr>
                <w:rFonts w:ascii="宋体"/>
                <w:szCs w:val="21"/>
              </w:rPr>
            </w:pPr>
            <w:r>
              <w:rPr>
                <w:rFonts w:ascii="宋体"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73"/>
              </w:numPr>
              <w:autoSpaceDE w:val="0"/>
              <w:autoSpaceDN w:val="0"/>
              <w:adjustRightInd w:val="0"/>
              <w:snapToGrid w:val="0"/>
              <w:spacing w:line="360" w:lineRule="auto"/>
              <w:jc w:val="left"/>
              <w:rPr>
                <w:rFonts w:ascii="宋体"/>
                <w:szCs w:val="21"/>
              </w:rPr>
            </w:pPr>
            <w:r>
              <w:rPr>
                <w:rFonts w:ascii="宋体" w:hAnsi="宋体" w:hint="eastAsia"/>
                <w:szCs w:val="21"/>
              </w:rPr>
              <w:t>多媒体教学手段、</w:t>
            </w:r>
            <w:r>
              <w:rPr>
                <w:rFonts w:ascii="仿宋_GB2312" w:eastAsia="仿宋_GB2312" w:hAnsi="宋体" w:hint="eastAsia"/>
                <w:szCs w:val="21"/>
              </w:rPr>
              <w:t>临床实习</w:t>
            </w:r>
            <w:r>
              <w:rPr>
                <w:rFonts w:ascii="宋体" w:hAnsi="宋体" w:hint="eastAsia"/>
                <w:szCs w:val="21"/>
              </w:rPr>
              <w:t>通过直观教学，以培养学生实践动手的能力。</w:t>
            </w:r>
          </w:p>
          <w:p w:rsidR="003717A0" w:rsidRDefault="003717A0">
            <w:pPr>
              <w:numPr>
                <w:ilvl w:val="0"/>
                <w:numId w:val="473"/>
              </w:numPr>
              <w:autoSpaceDE w:val="0"/>
              <w:autoSpaceDN w:val="0"/>
              <w:adjustRightInd w:val="0"/>
              <w:snapToGrid w:val="0"/>
              <w:spacing w:line="360" w:lineRule="auto"/>
              <w:jc w:val="left"/>
              <w:rPr>
                <w:rFonts w:ascii="宋体"/>
                <w:szCs w:val="21"/>
              </w:rPr>
            </w:pPr>
            <w:r>
              <w:rPr>
                <w:rFonts w:ascii="宋体" w:hAnsi="宋体" w:hint="eastAsia"/>
                <w:szCs w:val="21"/>
              </w:rPr>
              <w:t>表达方式尽量便于学生理解、接受，力求形象生动，使学生在掌握知识的过程中，保持较为浓厚的兴趣。</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宋体"/>
                <w:b/>
                <w:szCs w:val="21"/>
              </w:rPr>
            </w:pPr>
          </w:p>
        </w:tc>
        <w:tc>
          <w:tcPr>
            <w:tcW w:w="425" w:type="dxa"/>
            <w:textDirection w:val="tbRlV"/>
            <w:vAlign w:val="center"/>
          </w:tcPr>
          <w:p w:rsidR="003717A0" w:rsidRDefault="003717A0">
            <w:pPr>
              <w:spacing w:line="340" w:lineRule="exact"/>
              <w:ind w:left="113" w:right="113"/>
              <w:jc w:val="center"/>
              <w:rPr>
                <w:rFonts w:ascii="宋体"/>
                <w:b/>
                <w:szCs w:val="21"/>
              </w:rPr>
            </w:pPr>
            <w:r>
              <w:rPr>
                <w:rFonts w:ascii="宋体" w:hAnsi="宋体" w:hint="eastAsia"/>
                <w:b/>
                <w:szCs w:val="21"/>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宋体"/>
                <w:b/>
                <w:szCs w:val="21"/>
              </w:rPr>
            </w:pPr>
          </w:p>
        </w:tc>
        <w:tc>
          <w:tcPr>
            <w:tcW w:w="425" w:type="dxa"/>
            <w:textDirection w:val="tbRlV"/>
            <w:vAlign w:val="center"/>
          </w:tcPr>
          <w:p w:rsidR="003717A0" w:rsidRDefault="003717A0">
            <w:pPr>
              <w:spacing w:line="340" w:lineRule="exact"/>
              <w:ind w:left="113" w:right="113"/>
              <w:jc w:val="center"/>
              <w:rPr>
                <w:rFonts w:ascii="宋体"/>
                <w:b/>
                <w:szCs w:val="21"/>
              </w:rPr>
            </w:pPr>
            <w:r>
              <w:rPr>
                <w:rFonts w:ascii="宋体" w:hAnsi="宋体" w:hint="eastAsia"/>
                <w:b/>
                <w:szCs w:val="21"/>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Times New Roman" w:hAnsi="Times New Roman"/>
                <w:szCs w:val="21"/>
              </w:rPr>
            </w:pPr>
            <w:r>
              <w:rPr>
                <w:rFonts w:ascii="Times New Roman"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474"/>
              </w:num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期末考试成绩占总评成绩的</w:t>
            </w:r>
            <w:r>
              <w:rPr>
                <w:rFonts w:ascii="Times New Roman" w:hAnsi="Times New Roman"/>
                <w:szCs w:val="21"/>
              </w:rPr>
              <w:t>100%</w:t>
            </w:r>
            <w:r>
              <w:rPr>
                <w:rFonts w:ascii="Times New Roman" w:hAnsi="宋体" w:hint="eastAsia"/>
                <w:szCs w:val="21"/>
              </w:rPr>
              <w:t>；</w:t>
            </w:r>
          </w:p>
          <w:p w:rsidR="003717A0" w:rsidRDefault="003717A0">
            <w:pPr>
              <w:autoSpaceDE w:val="0"/>
              <w:autoSpaceDN w:val="0"/>
              <w:adjustRightInd w:val="0"/>
              <w:snapToGrid w:val="0"/>
              <w:spacing w:line="360" w:lineRule="auto"/>
              <w:jc w:val="left"/>
              <w:rPr>
                <w:rFonts w:ascii="Times New Roman" w:hAnsi="Times New Roman"/>
                <w:kern w:val="0"/>
                <w:szCs w:val="21"/>
              </w:rPr>
            </w:pPr>
            <w:r>
              <w:rPr>
                <w:rFonts w:ascii="Times New Roman" w:hAnsi="Times New Roman"/>
                <w:szCs w:val="21"/>
              </w:rPr>
              <w:t xml:space="preserve">2.  </w:t>
            </w:r>
            <w:r>
              <w:rPr>
                <w:rFonts w:ascii="Times New Roman" w:hAnsi="宋体" w:hint="eastAsia"/>
                <w:szCs w:val="21"/>
              </w:rPr>
              <w:t>有下列情况者，总评成绩为不及格：理论课和临床见习课学时缺课次数达本学期总授课学时的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宋体"/>
                <w:b/>
                <w:szCs w:val="21"/>
              </w:rPr>
            </w:pPr>
          </w:p>
        </w:tc>
        <w:tc>
          <w:tcPr>
            <w:tcW w:w="425" w:type="dxa"/>
            <w:textDirection w:val="tbRlV"/>
            <w:vAlign w:val="center"/>
          </w:tcPr>
          <w:p w:rsidR="003717A0" w:rsidRDefault="003717A0">
            <w:pPr>
              <w:spacing w:line="340" w:lineRule="exact"/>
              <w:ind w:left="113" w:right="113"/>
              <w:jc w:val="center"/>
              <w:rPr>
                <w:rFonts w:ascii="宋体"/>
                <w:b/>
                <w:szCs w:val="21"/>
              </w:rPr>
            </w:pPr>
            <w:r>
              <w:rPr>
                <w:rFonts w:ascii="宋体" w:hAnsi="宋体" w:hint="eastAsia"/>
                <w:b/>
                <w:szCs w:val="21"/>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我院与附属医院有丰富的纸质、电子和网络教学资源库，有数万册的临床医学专业期刊杂志、教材、图书等供师生借阅，学校有大型电子阅览室两个，通过校园网站可直接登录期刊数据库查阅或下载资料。本课程教师应鼓励和指导学生积极参加课外学术活动兴趣小组，参与教师的科学研究活动，完成相关作品并参加各级竞赛；同时还鼓励学生选修“形态学技术”课程，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rPr>
                <w:rFonts w:ascii="宋体"/>
                <w:szCs w:val="21"/>
              </w:rPr>
            </w:pPr>
            <w:r>
              <w:rPr>
                <w:rFonts w:ascii="宋体" w:hAnsi="宋体" w:hint="eastAsia"/>
                <w:b/>
                <w:szCs w:val="21"/>
              </w:rPr>
              <w:t>备注</w:t>
            </w:r>
          </w:p>
        </w:tc>
        <w:tc>
          <w:tcPr>
            <w:tcW w:w="9142" w:type="dxa"/>
            <w:vAlign w:val="center"/>
          </w:tcPr>
          <w:p w:rsidR="003717A0" w:rsidRDefault="003717A0">
            <w:pPr>
              <w:rPr>
                <w:rFonts w:ascii="宋体"/>
                <w:szCs w:val="21"/>
              </w:rPr>
            </w:pPr>
          </w:p>
        </w:tc>
      </w:tr>
    </w:tbl>
    <w:p w:rsidR="003717A0" w:rsidRDefault="003717A0" w:rsidP="005E20B5">
      <w:pPr>
        <w:adjustRightInd w:val="0"/>
        <w:snapToGrid w:val="0"/>
        <w:spacing w:beforeLines="50" w:afterLines="50" w:line="400" w:lineRule="exact"/>
        <w:rPr>
          <w:rFonts w:ascii="宋体"/>
          <w:szCs w:val="21"/>
        </w:rPr>
      </w:pPr>
    </w:p>
    <w:p w:rsidR="003717A0" w:rsidRDefault="003717A0" w:rsidP="005E20B5">
      <w:pPr>
        <w:adjustRightInd w:val="0"/>
        <w:snapToGrid w:val="0"/>
        <w:spacing w:beforeLines="50" w:afterLines="50" w:line="400" w:lineRule="exact"/>
        <w:rPr>
          <w:rFonts w:ascii="宋体"/>
          <w:szCs w:val="21"/>
        </w:rPr>
      </w:pPr>
    </w:p>
    <w:p w:rsidR="003717A0" w:rsidRPr="00566E4D" w:rsidRDefault="003717A0">
      <w:pPr>
        <w:pStyle w:val="1"/>
        <w:rPr>
          <w:b/>
        </w:rPr>
      </w:pPr>
      <w:r>
        <w:br w:type="page"/>
      </w:r>
      <w:bookmarkStart w:id="105" w:name="_Toc469313014"/>
      <w:bookmarkStart w:id="106" w:name="_Toc471830726"/>
      <w:r w:rsidRPr="00566E4D">
        <w:rPr>
          <w:rFonts w:hint="eastAsia"/>
          <w:b/>
        </w:rPr>
        <w:lastRenderedPageBreak/>
        <w:t>《神经病学》课程质量标准</w:t>
      </w:r>
      <w:bookmarkEnd w:id="105"/>
      <w:bookmarkEnd w:id="106"/>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神经病学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Neurology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170048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四</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36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神经病学</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神经病学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r>
              <w:rPr>
                <w:sz w:val="22"/>
              </w:rPr>
              <w:t>2014</w:t>
            </w:r>
            <w:r>
              <w:rPr>
                <w:rFonts w:hint="eastAsia"/>
                <w:sz w:val="22"/>
              </w:rPr>
              <w:t>年</w:t>
            </w:r>
            <w:r>
              <w:rPr>
                <w:sz w:val="22"/>
              </w:rPr>
              <w:t>5</w:t>
            </w:r>
            <w:r>
              <w:rPr>
                <w:rFonts w:hint="eastAsia"/>
                <w:sz w:val="22"/>
              </w:rPr>
              <w:t>月第</w:t>
            </w:r>
            <w:r>
              <w:rPr>
                <w:sz w:val="22"/>
              </w:rPr>
              <w:t>7</w:t>
            </w:r>
            <w:r>
              <w:rPr>
                <w:rFonts w:hint="eastAsia"/>
                <w:sz w:val="22"/>
              </w:rPr>
              <w:t>版，书号</w:t>
            </w:r>
            <w:r>
              <w:rPr>
                <w:sz w:val="22"/>
              </w:rPr>
              <w:t>ISBN 978-7-117-17126-7/R.17127</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柯开富</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博士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1984.8</w:t>
            </w:r>
          </w:p>
        </w:tc>
      </w:tr>
      <w:tr w:rsidR="003717A0">
        <w:tc>
          <w:tcPr>
            <w:tcW w:w="1668" w:type="dxa"/>
          </w:tcPr>
          <w:p w:rsidR="003717A0" w:rsidRDefault="003717A0">
            <w:pPr>
              <w:adjustRightInd w:val="0"/>
              <w:snapToGrid w:val="0"/>
              <w:spacing w:line="500" w:lineRule="exact"/>
              <w:rPr>
                <w:sz w:val="22"/>
              </w:rPr>
            </w:pPr>
            <w:r>
              <w:rPr>
                <w:rFonts w:hint="eastAsia"/>
                <w:sz w:val="22"/>
              </w:rPr>
              <w:t>曹茂红</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1998.8</w:t>
            </w:r>
          </w:p>
        </w:tc>
      </w:tr>
      <w:tr w:rsidR="003717A0">
        <w:tc>
          <w:tcPr>
            <w:tcW w:w="1668" w:type="dxa"/>
          </w:tcPr>
          <w:p w:rsidR="003717A0" w:rsidRDefault="003717A0">
            <w:pPr>
              <w:adjustRightInd w:val="0"/>
              <w:snapToGrid w:val="0"/>
              <w:spacing w:line="500" w:lineRule="exact"/>
              <w:rPr>
                <w:sz w:val="22"/>
              </w:rPr>
            </w:pPr>
            <w:r>
              <w:rPr>
                <w:rFonts w:hint="eastAsia"/>
                <w:sz w:val="22"/>
              </w:rPr>
              <w:t>高志伟</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1984.8</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Cs w:val="21"/>
              </w:rPr>
            </w:pPr>
            <w:r>
              <w:rPr>
                <w:sz w:val="22"/>
              </w:rPr>
              <w:t xml:space="preserve">    </w:t>
            </w:r>
            <w:r>
              <w:rPr>
                <w:rFonts w:hint="eastAsia"/>
                <w:szCs w:val="21"/>
              </w:rPr>
              <w:t>神经病学是一门临床二级学科，也是神经科学中的一门临床分支。它涉及的疾病包括两部分：神经系统疾病和肌肉疾病。讲述这两类疾病的症状、发病机制、病因和病理、诊断和鉴别诊断、预防和治疗是神经病学的主要内容。通过本课程的教学，要求学生能达到：掌握病史采集和实际系统检查方法，联系临床实际熟悉诊断神经系统疾病的原则与方法，掌握防治神经系统常见病、多发病、危重病的原则与措施，了解辅助检查的方法和意义，熟悉定位和定性诊断，打下良好的临床实践基础。本课程教学的主要路径与方法：（</w:t>
            </w:r>
            <w:r>
              <w:rPr>
                <w:szCs w:val="21"/>
              </w:rPr>
              <w:t>1</w:t>
            </w:r>
            <w:r>
              <w:rPr>
                <w:rFonts w:hint="eastAsia"/>
                <w:szCs w:val="21"/>
              </w:rPr>
              <w:t>）通过理论课堂讲解神经病学的主要知识点，使学生掌握本</w:t>
            </w:r>
            <w:r>
              <w:rPr>
                <w:rFonts w:hint="eastAsia"/>
                <w:szCs w:val="21"/>
              </w:rPr>
              <w:lastRenderedPageBreak/>
              <w:t>课程的基本理论知识，同时利用参考书和网络平台，辅导学生逐步形成自主学习的能力；（</w:t>
            </w:r>
            <w:r>
              <w:rPr>
                <w:szCs w:val="21"/>
              </w:rPr>
              <w:t>2</w:t>
            </w:r>
            <w:r>
              <w:rPr>
                <w:rFonts w:hint="eastAsia"/>
                <w:szCs w:val="21"/>
              </w:rPr>
              <w:t>）结合见习机会，挑选临床典型病例，结合临床实践，进一步复习和巩固理论知识，并启发用于解决临床问题。（</w:t>
            </w:r>
            <w:r>
              <w:rPr>
                <w:szCs w:val="21"/>
              </w:rPr>
              <w:t>3</w:t>
            </w:r>
            <w:r>
              <w:rPr>
                <w:rFonts w:hint="eastAsia"/>
                <w:szCs w:val="21"/>
              </w:rPr>
              <w:t>）见习时，床边教学，要求学生完成神经系统体格检查和病史采集。（</w:t>
            </w:r>
            <w:r>
              <w:rPr>
                <w:szCs w:val="21"/>
              </w:rPr>
              <w:t>4</w:t>
            </w:r>
            <w:r>
              <w:rPr>
                <w:rFonts w:hint="eastAsia"/>
                <w:szCs w:val="21"/>
              </w:rPr>
              <w:t>）小组讨论模式，给予设定病例资料，自行查找补充资料、整理，并进行全班交流和讨论，从而初步熟悉神经病学定位、定性诊断，掌握常见疾病的诊治原则，了解新的进展。</w:t>
            </w:r>
          </w:p>
        </w:tc>
      </w:tr>
    </w:tbl>
    <w:p w:rsidR="003717A0"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170048</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36</w:t>
      </w:r>
      <w:r>
        <w:rPr>
          <w:rFonts w:ascii="Times New Roman" w:hAnsi="Times New Roman" w:hint="eastAsia"/>
          <w:kern w:val="0"/>
          <w:sz w:val="22"/>
        </w:rPr>
        <w:t>学时（理论</w:t>
      </w:r>
      <w:r>
        <w:rPr>
          <w:rFonts w:ascii="Times New Roman" w:hAnsi="Times New Roman"/>
          <w:kern w:val="0"/>
          <w:sz w:val="22"/>
        </w:rPr>
        <w:t>24</w:t>
      </w:r>
      <w:r>
        <w:rPr>
          <w:rFonts w:ascii="Times New Roman" w:hAnsi="Times New Roman" w:hint="eastAsia"/>
          <w:kern w:val="0"/>
          <w:sz w:val="22"/>
        </w:rPr>
        <w:t>学时，临床见习</w:t>
      </w:r>
      <w:r>
        <w:rPr>
          <w:rFonts w:ascii="Times New Roman" w:hAnsi="Times New Roman"/>
          <w:kern w:val="0"/>
          <w:sz w:val="22"/>
        </w:rPr>
        <w:t>12</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2</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先修课程：系统解剖学、病理学等基础医学课程</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kern w:val="0"/>
          <w:sz w:val="22"/>
        </w:rPr>
        <w:t xml:space="preserve"> </w:t>
      </w:r>
      <w:r>
        <w:rPr>
          <w:rFonts w:ascii="Times New Roman" w:hAnsi="Times New Roman" w:hint="eastAsia"/>
          <w:kern w:val="0"/>
          <w:sz w:val="22"/>
        </w:rPr>
        <w:t>无</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spacing w:line="360" w:lineRule="auto"/>
        <w:rPr>
          <w:szCs w:val="21"/>
        </w:rPr>
      </w:pPr>
      <w:r>
        <w:rPr>
          <w:sz w:val="22"/>
        </w:rPr>
        <w:t xml:space="preserve">    </w:t>
      </w:r>
      <w:r>
        <w:rPr>
          <w:rFonts w:hint="eastAsia"/>
          <w:szCs w:val="21"/>
        </w:rPr>
        <w:t>神经病学的教学在重点复习神经解剖、生理、病理等有关的基础知识的基础上，系统地阐明本学科的基础理论、基本知识和基本技能，以及神经系统常见病与多发病的诊断和防治知识。教学时应尽量结合国内外学术动态，并以理论联系实际的方法，循序渐进，由浅入深地进行讲课与示教，以培养学生的独立思考和独立工作的能力。在介绍不同学派和不同学说时既要实事求是，又要避免过多罗列。使医学生了解神经病学在各学科中的地位与联系，学习这一学科的重要意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sz w:val="22"/>
        </w:rPr>
        <w:t xml:space="preserve">   </w:t>
      </w:r>
      <w:r>
        <w:rPr>
          <w:rFonts w:hint="eastAsia"/>
          <w:szCs w:val="21"/>
        </w:rPr>
        <w:t>学习神经病学的要求是：掌握病史采集和实际系统检查方法，联系临床实际熟悉诊断神经系统疾病的原则与方法，掌握防治神经系统常见病、多发病、危重病的原则与措施</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hint="eastAsia"/>
          <w:b/>
          <w:sz w:val="28"/>
        </w:rPr>
        <w:t>第一章</w:t>
      </w:r>
      <w:r>
        <w:rPr>
          <w:b/>
          <w:sz w:val="28"/>
        </w:rPr>
        <w:t xml:space="preserve"> </w:t>
      </w:r>
      <w:r>
        <w:rPr>
          <w:rFonts w:hint="eastAsia"/>
          <w:b/>
          <w:sz w:val="28"/>
        </w:rPr>
        <w:t>总</w:t>
      </w:r>
      <w:r>
        <w:rPr>
          <w:b/>
          <w:sz w:val="28"/>
        </w:rPr>
        <w:t xml:space="preserve">    </w:t>
      </w:r>
      <w:r>
        <w:rPr>
          <w:rFonts w:hint="eastAsia"/>
          <w:b/>
          <w:sz w:val="28"/>
        </w:rPr>
        <w:t>论</w:t>
      </w:r>
    </w:p>
    <w:p w:rsidR="003717A0" w:rsidRDefault="003717A0">
      <w:pPr>
        <w:spacing w:line="240" w:lineRule="atLeast"/>
        <w:ind w:firstLineChars="200" w:firstLine="420"/>
        <w:rPr>
          <w:szCs w:val="21"/>
        </w:rPr>
      </w:pPr>
      <w:r>
        <w:rPr>
          <w:rFonts w:hAnsi="宋体" w:hint="eastAsia"/>
          <w:szCs w:val="21"/>
        </w:rPr>
        <w:t>一、学习目的要求</w:t>
      </w:r>
    </w:p>
    <w:p w:rsidR="003717A0" w:rsidRDefault="003717A0">
      <w:pPr>
        <w:spacing w:line="240" w:lineRule="atLeast"/>
        <w:ind w:firstLineChars="200" w:firstLine="420"/>
        <w:rPr>
          <w:szCs w:val="21"/>
        </w:rPr>
      </w:pPr>
      <w:r>
        <w:rPr>
          <w:szCs w:val="21"/>
        </w:rPr>
        <w:t>1</w:t>
      </w:r>
      <w:r>
        <w:rPr>
          <w:rFonts w:hAnsi="宋体" w:hint="eastAsia"/>
          <w:szCs w:val="21"/>
        </w:rPr>
        <w:t>、掌握神经系统疾病的病史采集和临床常规检查方法；</w:t>
      </w:r>
    </w:p>
    <w:p w:rsidR="003717A0" w:rsidRDefault="003717A0">
      <w:pPr>
        <w:spacing w:line="240" w:lineRule="atLeast"/>
        <w:ind w:firstLineChars="200" w:firstLine="420"/>
        <w:rPr>
          <w:szCs w:val="21"/>
        </w:rPr>
      </w:pPr>
      <w:r>
        <w:rPr>
          <w:szCs w:val="21"/>
        </w:rPr>
        <w:t>2</w:t>
      </w:r>
      <w:r>
        <w:rPr>
          <w:rFonts w:hAnsi="宋体" w:hint="eastAsia"/>
          <w:szCs w:val="21"/>
        </w:rPr>
        <w:t>、熟悉神经系统损害的主要症状与体征；</w:t>
      </w:r>
    </w:p>
    <w:p w:rsidR="003717A0" w:rsidRDefault="003717A0">
      <w:pPr>
        <w:spacing w:line="240" w:lineRule="atLeast"/>
        <w:ind w:firstLineChars="200" w:firstLine="420"/>
        <w:rPr>
          <w:szCs w:val="21"/>
        </w:rPr>
      </w:pPr>
      <w:r>
        <w:rPr>
          <w:szCs w:val="21"/>
        </w:rPr>
        <w:t>3</w:t>
      </w:r>
      <w:r>
        <w:rPr>
          <w:rFonts w:hAnsi="宋体" w:hint="eastAsia"/>
          <w:szCs w:val="21"/>
        </w:rPr>
        <w:t>、了解神经系统定位与定性诊断的原则。</w:t>
      </w:r>
    </w:p>
    <w:p w:rsidR="003717A0" w:rsidRDefault="003717A0">
      <w:pPr>
        <w:spacing w:line="240" w:lineRule="atLeast"/>
        <w:ind w:firstLineChars="200" w:firstLine="420"/>
        <w:rPr>
          <w:szCs w:val="21"/>
        </w:rPr>
      </w:pPr>
      <w:r>
        <w:rPr>
          <w:rFonts w:hAnsi="宋体" w:hint="eastAsia"/>
          <w:szCs w:val="21"/>
        </w:rPr>
        <w:t>二、教学内容</w:t>
      </w:r>
    </w:p>
    <w:p w:rsidR="003717A0" w:rsidRDefault="003717A0">
      <w:pPr>
        <w:spacing w:line="240" w:lineRule="atLeast"/>
        <w:ind w:firstLineChars="200" w:firstLine="420"/>
        <w:rPr>
          <w:szCs w:val="21"/>
        </w:rPr>
      </w:pPr>
      <w:r>
        <w:rPr>
          <w:rFonts w:hAnsi="宋体" w:hint="eastAsia"/>
          <w:szCs w:val="21"/>
        </w:rPr>
        <w:t>神经系统症状与体征</w:t>
      </w:r>
    </w:p>
    <w:p w:rsidR="003717A0" w:rsidRDefault="003717A0">
      <w:pPr>
        <w:spacing w:line="240" w:lineRule="atLeast"/>
        <w:ind w:firstLineChars="200" w:firstLine="420"/>
        <w:rPr>
          <w:szCs w:val="21"/>
        </w:rPr>
      </w:pPr>
      <w:r>
        <w:rPr>
          <w:szCs w:val="21"/>
        </w:rPr>
        <w:t>1</w:t>
      </w:r>
      <w:r>
        <w:rPr>
          <w:rFonts w:hAnsi="宋体" w:hint="eastAsia"/>
          <w:szCs w:val="21"/>
        </w:rPr>
        <w:t>、脑神经：十二对脑神经的应用解剖及临床症状。</w:t>
      </w:r>
    </w:p>
    <w:p w:rsidR="003717A0" w:rsidRDefault="003717A0">
      <w:pPr>
        <w:spacing w:line="240" w:lineRule="atLeast"/>
        <w:ind w:firstLineChars="200" w:firstLine="420"/>
        <w:rPr>
          <w:szCs w:val="21"/>
        </w:rPr>
      </w:pPr>
      <w:r>
        <w:rPr>
          <w:szCs w:val="21"/>
        </w:rPr>
        <w:t>2</w:t>
      </w:r>
      <w:r>
        <w:rPr>
          <w:rFonts w:hAnsi="宋体" w:hint="eastAsia"/>
          <w:szCs w:val="21"/>
        </w:rPr>
        <w:t>、运动系统</w:t>
      </w:r>
    </w:p>
    <w:p w:rsidR="003717A0" w:rsidRDefault="003717A0">
      <w:pPr>
        <w:spacing w:line="240" w:lineRule="atLeast"/>
        <w:ind w:firstLineChars="200" w:firstLine="420"/>
        <w:rPr>
          <w:szCs w:val="21"/>
        </w:rPr>
      </w:pPr>
      <w:r>
        <w:rPr>
          <w:rFonts w:hAnsi="宋体" w:hint="eastAsia"/>
          <w:szCs w:val="21"/>
        </w:rPr>
        <w:t>（</w:t>
      </w:r>
      <w:r>
        <w:rPr>
          <w:szCs w:val="21"/>
        </w:rPr>
        <w:t>1</w:t>
      </w:r>
      <w:r>
        <w:rPr>
          <w:rFonts w:hAnsi="宋体" w:hint="eastAsia"/>
          <w:szCs w:val="21"/>
        </w:rPr>
        <w:t>）运动系统的组成：锥体系与锥体外系，自主运动的传导；</w:t>
      </w:r>
    </w:p>
    <w:p w:rsidR="003717A0" w:rsidRDefault="003717A0">
      <w:pPr>
        <w:spacing w:line="240" w:lineRule="atLeast"/>
        <w:ind w:firstLineChars="200" w:firstLine="420"/>
        <w:rPr>
          <w:szCs w:val="21"/>
        </w:rPr>
      </w:pPr>
      <w:r>
        <w:rPr>
          <w:rFonts w:hAnsi="宋体" w:hint="eastAsia"/>
          <w:szCs w:val="21"/>
        </w:rPr>
        <w:t>（</w:t>
      </w:r>
      <w:r>
        <w:rPr>
          <w:szCs w:val="21"/>
        </w:rPr>
        <w:t>2</w:t>
      </w:r>
      <w:r>
        <w:rPr>
          <w:rFonts w:hAnsi="宋体" w:hint="eastAsia"/>
          <w:szCs w:val="21"/>
        </w:rPr>
        <w:t>）上运动神经元瘫痪的解剖生理、临床表现、定位诊断；</w:t>
      </w:r>
    </w:p>
    <w:p w:rsidR="003717A0" w:rsidRDefault="003717A0">
      <w:pPr>
        <w:spacing w:line="240" w:lineRule="atLeast"/>
        <w:ind w:firstLineChars="200" w:firstLine="420"/>
        <w:rPr>
          <w:szCs w:val="21"/>
        </w:rPr>
      </w:pPr>
      <w:r>
        <w:rPr>
          <w:rFonts w:hAnsi="宋体" w:hint="eastAsia"/>
          <w:szCs w:val="21"/>
        </w:rPr>
        <w:t>（</w:t>
      </w:r>
      <w:r>
        <w:rPr>
          <w:szCs w:val="21"/>
        </w:rPr>
        <w:t>3</w:t>
      </w:r>
      <w:r>
        <w:rPr>
          <w:rFonts w:hAnsi="宋体" w:hint="eastAsia"/>
          <w:szCs w:val="21"/>
        </w:rPr>
        <w:t>）下运动神经元瘫痪的解剖生理、临床表现、定位诊断；</w:t>
      </w:r>
    </w:p>
    <w:p w:rsidR="003717A0" w:rsidRDefault="003717A0">
      <w:pPr>
        <w:spacing w:line="240" w:lineRule="atLeast"/>
        <w:ind w:firstLineChars="200" w:firstLine="420"/>
        <w:rPr>
          <w:szCs w:val="21"/>
        </w:rPr>
      </w:pPr>
      <w:r>
        <w:rPr>
          <w:rFonts w:hAnsi="宋体" w:hint="eastAsia"/>
          <w:szCs w:val="21"/>
        </w:rPr>
        <w:t>（</w:t>
      </w:r>
      <w:r>
        <w:rPr>
          <w:szCs w:val="21"/>
        </w:rPr>
        <w:t>4</w:t>
      </w:r>
      <w:r>
        <w:rPr>
          <w:rFonts w:hAnsi="宋体" w:hint="eastAsia"/>
          <w:szCs w:val="21"/>
        </w:rPr>
        <w:t>）锥体外系损害的临床表现；</w:t>
      </w:r>
    </w:p>
    <w:p w:rsidR="003717A0" w:rsidRDefault="003717A0">
      <w:pPr>
        <w:spacing w:line="240" w:lineRule="atLeast"/>
        <w:ind w:firstLineChars="200" w:firstLine="420"/>
        <w:rPr>
          <w:szCs w:val="21"/>
        </w:rPr>
      </w:pPr>
      <w:r>
        <w:rPr>
          <w:rFonts w:hAnsi="宋体" w:hint="eastAsia"/>
          <w:szCs w:val="21"/>
        </w:rPr>
        <w:t>（</w:t>
      </w:r>
      <w:r>
        <w:rPr>
          <w:szCs w:val="21"/>
        </w:rPr>
        <w:t>5</w:t>
      </w:r>
      <w:r>
        <w:rPr>
          <w:rFonts w:hAnsi="宋体" w:hint="eastAsia"/>
          <w:szCs w:val="21"/>
        </w:rPr>
        <w:t>）小脑损害的临床表现。</w:t>
      </w:r>
    </w:p>
    <w:p w:rsidR="003717A0" w:rsidRDefault="003717A0">
      <w:pPr>
        <w:spacing w:line="240" w:lineRule="atLeast"/>
        <w:ind w:firstLineChars="200" w:firstLine="420"/>
        <w:rPr>
          <w:szCs w:val="21"/>
        </w:rPr>
      </w:pPr>
      <w:r>
        <w:rPr>
          <w:szCs w:val="21"/>
        </w:rPr>
        <w:t>3</w:t>
      </w:r>
      <w:r>
        <w:rPr>
          <w:rFonts w:hAnsi="宋体" w:hint="eastAsia"/>
          <w:szCs w:val="21"/>
        </w:rPr>
        <w:t>、感觉系统</w:t>
      </w:r>
    </w:p>
    <w:p w:rsidR="003717A0" w:rsidRDefault="003717A0">
      <w:pPr>
        <w:spacing w:line="240" w:lineRule="atLeast"/>
        <w:ind w:firstLineChars="200" w:firstLine="420"/>
        <w:rPr>
          <w:szCs w:val="21"/>
        </w:rPr>
      </w:pPr>
      <w:r>
        <w:rPr>
          <w:rFonts w:hAnsi="宋体" w:hint="eastAsia"/>
          <w:szCs w:val="21"/>
        </w:rPr>
        <w:t>（</w:t>
      </w:r>
      <w:r>
        <w:rPr>
          <w:szCs w:val="21"/>
        </w:rPr>
        <w:t>1</w:t>
      </w:r>
      <w:r>
        <w:rPr>
          <w:rFonts w:hAnsi="宋体" w:hint="eastAsia"/>
          <w:szCs w:val="21"/>
        </w:rPr>
        <w:t>）感觉系统解剖生理、临床表现、定位诊断；</w:t>
      </w:r>
    </w:p>
    <w:p w:rsidR="003717A0" w:rsidRDefault="003717A0">
      <w:pPr>
        <w:spacing w:line="240" w:lineRule="atLeast"/>
        <w:ind w:firstLineChars="200" w:firstLine="420"/>
        <w:rPr>
          <w:szCs w:val="21"/>
        </w:rPr>
      </w:pPr>
      <w:r>
        <w:rPr>
          <w:rFonts w:hAnsi="宋体" w:hint="eastAsia"/>
          <w:szCs w:val="21"/>
        </w:rPr>
        <w:t>（</w:t>
      </w:r>
      <w:r>
        <w:rPr>
          <w:szCs w:val="21"/>
        </w:rPr>
        <w:t>2</w:t>
      </w:r>
      <w:r>
        <w:rPr>
          <w:rFonts w:hAnsi="宋体" w:hint="eastAsia"/>
          <w:szCs w:val="21"/>
        </w:rPr>
        <w:t>）感觉的分类；</w:t>
      </w:r>
    </w:p>
    <w:p w:rsidR="003717A0" w:rsidRDefault="003717A0">
      <w:pPr>
        <w:spacing w:line="240" w:lineRule="atLeast"/>
        <w:ind w:firstLineChars="200" w:firstLine="420"/>
        <w:rPr>
          <w:szCs w:val="21"/>
        </w:rPr>
      </w:pPr>
      <w:r>
        <w:rPr>
          <w:rFonts w:hAnsi="宋体" w:hint="eastAsia"/>
          <w:szCs w:val="21"/>
        </w:rPr>
        <w:t>（</w:t>
      </w:r>
      <w:r>
        <w:rPr>
          <w:szCs w:val="21"/>
        </w:rPr>
        <w:t>3</w:t>
      </w:r>
      <w:r>
        <w:rPr>
          <w:rFonts w:hAnsi="宋体" w:hint="eastAsia"/>
          <w:szCs w:val="21"/>
        </w:rPr>
        <w:t>）感觉系统的传导通路；</w:t>
      </w:r>
    </w:p>
    <w:p w:rsidR="003717A0" w:rsidRDefault="003717A0">
      <w:pPr>
        <w:spacing w:line="240" w:lineRule="atLeast"/>
        <w:ind w:firstLineChars="200" w:firstLine="420"/>
        <w:rPr>
          <w:szCs w:val="21"/>
        </w:rPr>
      </w:pPr>
      <w:r>
        <w:rPr>
          <w:rFonts w:hAnsi="宋体" w:hint="eastAsia"/>
          <w:szCs w:val="21"/>
        </w:rPr>
        <w:t>（</w:t>
      </w:r>
      <w:r>
        <w:rPr>
          <w:szCs w:val="21"/>
        </w:rPr>
        <w:t>4</w:t>
      </w:r>
      <w:r>
        <w:rPr>
          <w:rFonts w:hAnsi="宋体" w:hint="eastAsia"/>
          <w:szCs w:val="21"/>
        </w:rPr>
        <w:t>）感觉障碍的性质和定位诊断。</w:t>
      </w:r>
    </w:p>
    <w:p w:rsidR="003717A0" w:rsidRDefault="003717A0">
      <w:pPr>
        <w:spacing w:line="240" w:lineRule="atLeast"/>
        <w:ind w:firstLineChars="200" w:firstLine="420"/>
        <w:rPr>
          <w:szCs w:val="21"/>
        </w:rPr>
      </w:pPr>
      <w:r>
        <w:rPr>
          <w:szCs w:val="21"/>
        </w:rPr>
        <w:lastRenderedPageBreak/>
        <w:t>4</w:t>
      </w:r>
      <w:r>
        <w:rPr>
          <w:rFonts w:hAnsi="宋体" w:hint="eastAsia"/>
          <w:szCs w:val="21"/>
        </w:rPr>
        <w:t>、不自主运动：肌纤维颤动、肌束颤动、痉挛、抽搐、震颤、舞蹈样动作、扭转痉挛等。</w:t>
      </w:r>
    </w:p>
    <w:p w:rsidR="003717A0" w:rsidRDefault="003717A0">
      <w:pPr>
        <w:spacing w:line="240" w:lineRule="atLeast"/>
        <w:ind w:firstLineChars="200" w:firstLine="420"/>
        <w:rPr>
          <w:szCs w:val="21"/>
        </w:rPr>
      </w:pPr>
      <w:r>
        <w:rPr>
          <w:szCs w:val="21"/>
        </w:rPr>
        <w:t>5</w:t>
      </w:r>
      <w:r>
        <w:rPr>
          <w:rFonts w:hAnsi="宋体" w:hint="eastAsia"/>
          <w:szCs w:val="21"/>
        </w:rPr>
        <w:t>、反射</w:t>
      </w:r>
    </w:p>
    <w:p w:rsidR="003717A0" w:rsidRDefault="003717A0">
      <w:pPr>
        <w:spacing w:line="240" w:lineRule="atLeast"/>
        <w:ind w:firstLineChars="200" w:firstLine="420"/>
        <w:rPr>
          <w:szCs w:val="21"/>
        </w:rPr>
      </w:pPr>
      <w:r>
        <w:rPr>
          <w:rFonts w:hAnsi="宋体" w:hint="eastAsia"/>
          <w:szCs w:val="21"/>
        </w:rPr>
        <w:t>（</w:t>
      </w:r>
      <w:r>
        <w:rPr>
          <w:szCs w:val="21"/>
        </w:rPr>
        <w:t>1</w:t>
      </w:r>
      <w:r>
        <w:rPr>
          <w:rFonts w:hAnsi="宋体" w:hint="eastAsia"/>
          <w:szCs w:val="21"/>
        </w:rPr>
        <w:t>）反射的组成；</w:t>
      </w:r>
    </w:p>
    <w:p w:rsidR="003717A0" w:rsidRDefault="003717A0">
      <w:pPr>
        <w:spacing w:line="240" w:lineRule="atLeast"/>
        <w:ind w:firstLineChars="200" w:firstLine="420"/>
        <w:rPr>
          <w:szCs w:val="21"/>
        </w:rPr>
      </w:pPr>
      <w:r>
        <w:rPr>
          <w:rFonts w:hAnsi="宋体" w:hint="eastAsia"/>
          <w:szCs w:val="21"/>
        </w:rPr>
        <w:t>（</w:t>
      </w:r>
      <w:r>
        <w:rPr>
          <w:szCs w:val="21"/>
        </w:rPr>
        <w:t>2</w:t>
      </w:r>
      <w:r>
        <w:rPr>
          <w:rFonts w:hAnsi="宋体" w:hint="eastAsia"/>
          <w:szCs w:val="21"/>
        </w:rPr>
        <w:t>）反射的种类；</w:t>
      </w:r>
    </w:p>
    <w:p w:rsidR="003717A0" w:rsidRDefault="003717A0">
      <w:pPr>
        <w:spacing w:line="240" w:lineRule="atLeast"/>
        <w:ind w:firstLineChars="200" w:firstLine="420"/>
        <w:rPr>
          <w:szCs w:val="21"/>
        </w:rPr>
      </w:pPr>
      <w:r>
        <w:rPr>
          <w:rFonts w:hAnsi="宋体" w:hint="eastAsia"/>
          <w:szCs w:val="21"/>
        </w:rPr>
        <w:t>（</w:t>
      </w:r>
      <w:r>
        <w:rPr>
          <w:szCs w:val="21"/>
        </w:rPr>
        <w:t>3</w:t>
      </w:r>
      <w:r>
        <w:rPr>
          <w:rFonts w:hAnsi="宋体" w:hint="eastAsia"/>
          <w:szCs w:val="21"/>
        </w:rPr>
        <w:t>）反射障碍：深、浅反射障碍及病理反射的临床意义。</w:t>
      </w:r>
    </w:p>
    <w:p w:rsidR="003717A0" w:rsidRDefault="003717A0">
      <w:pPr>
        <w:spacing w:line="240" w:lineRule="atLeast"/>
        <w:ind w:firstLineChars="200" w:firstLine="420"/>
        <w:rPr>
          <w:szCs w:val="21"/>
        </w:rPr>
      </w:pPr>
      <w:r>
        <w:rPr>
          <w:szCs w:val="21"/>
        </w:rPr>
        <w:t>6</w:t>
      </w:r>
      <w:r>
        <w:rPr>
          <w:rFonts w:hAnsi="宋体" w:hint="eastAsia"/>
          <w:szCs w:val="21"/>
        </w:rPr>
        <w:t>、脑膜刺激征：检查方法和意义。</w:t>
      </w:r>
    </w:p>
    <w:p w:rsidR="003717A0" w:rsidRDefault="003717A0">
      <w:pPr>
        <w:spacing w:line="240" w:lineRule="atLeast"/>
        <w:ind w:firstLineChars="200" w:firstLine="420"/>
        <w:rPr>
          <w:szCs w:val="21"/>
        </w:rPr>
      </w:pPr>
      <w:r>
        <w:rPr>
          <w:szCs w:val="21"/>
        </w:rPr>
        <w:t>7</w:t>
      </w:r>
      <w:r>
        <w:rPr>
          <w:rFonts w:hAnsi="宋体" w:hint="eastAsia"/>
          <w:szCs w:val="21"/>
        </w:rPr>
        <w:t>、神经系统疾病诊断原则。</w:t>
      </w:r>
    </w:p>
    <w:p w:rsidR="003717A0" w:rsidRDefault="003717A0">
      <w:pPr>
        <w:spacing w:line="240" w:lineRule="atLeast"/>
        <w:jc w:val="center"/>
        <w:rPr>
          <w:b/>
          <w:sz w:val="28"/>
        </w:rPr>
      </w:pPr>
      <w:r>
        <w:rPr>
          <w:rFonts w:hint="eastAsia"/>
          <w:b/>
          <w:sz w:val="28"/>
        </w:rPr>
        <w:t>第二章</w:t>
      </w:r>
      <w:r>
        <w:rPr>
          <w:b/>
          <w:sz w:val="28"/>
        </w:rPr>
        <w:t xml:space="preserve"> </w:t>
      </w:r>
      <w:r>
        <w:rPr>
          <w:rFonts w:hint="eastAsia"/>
          <w:b/>
          <w:sz w:val="28"/>
        </w:rPr>
        <w:t>周围神经病</w:t>
      </w:r>
    </w:p>
    <w:p w:rsidR="003717A0" w:rsidRDefault="003717A0">
      <w:pPr>
        <w:spacing w:line="240" w:lineRule="atLeast"/>
        <w:rPr>
          <w:b/>
          <w:sz w:val="24"/>
          <w:szCs w:val="24"/>
        </w:rPr>
      </w:pPr>
      <w:r>
        <w:rPr>
          <w:b/>
          <w:sz w:val="24"/>
          <w:szCs w:val="24"/>
        </w:rPr>
        <w:t xml:space="preserve"> </w:t>
      </w:r>
      <w:r>
        <w:rPr>
          <w:rFonts w:hAnsi="宋体" w:hint="eastAsia"/>
          <w:b/>
          <w:sz w:val="24"/>
          <w:szCs w:val="24"/>
        </w:rPr>
        <w:t>概述</w:t>
      </w:r>
    </w:p>
    <w:p w:rsidR="003717A0" w:rsidRDefault="003717A0">
      <w:pPr>
        <w:spacing w:line="240" w:lineRule="atLeast"/>
        <w:ind w:firstLineChars="200" w:firstLine="420"/>
        <w:rPr>
          <w:szCs w:val="21"/>
        </w:rPr>
      </w:pPr>
      <w:r>
        <w:rPr>
          <w:szCs w:val="21"/>
        </w:rPr>
        <w:t xml:space="preserve"> 1</w:t>
      </w:r>
      <w:r>
        <w:rPr>
          <w:rFonts w:hAnsi="宋体" w:hint="eastAsia"/>
          <w:szCs w:val="21"/>
        </w:rPr>
        <w:t>、周围神经的应用解剖与生理；</w:t>
      </w:r>
    </w:p>
    <w:p w:rsidR="003717A0" w:rsidRDefault="003717A0">
      <w:pPr>
        <w:spacing w:line="240" w:lineRule="atLeast"/>
        <w:ind w:firstLineChars="200" w:firstLine="420"/>
        <w:rPr>
          <w:szCs w:val="21"/>
        </w:rPr>
      </w:pPr>
      <w:r>
        <w:rPr>
          <w:szCs w:val="21"/>
        </w:rPr>
        <w:t xml:space="preserve"> 2</w:t>
      </w:r>
      <w:r>
        <w:rPr>
          <w:rFonts w:hAnsi="宋体" w:hint="eastAsia"/>
          <w:szCs w:val="21"/>
        </w:rPr>
        <w:t>、神经元变性与再生；</w:t>
      </w:r>
    </w:p>
    <w:p w:rsidR="003717A0" w:rsidRDefault="003717A0">
      <w:pPr>
        <w:spacing w:line="240" w:lineRule="atLeast"/>
        <w:ind w:firstLineChars="200" w:firstLine="420"/>
        <w:rPr>
          <w:szCs w:val="21"/>
        </w:rPr>
      </w:pPr>
      <w:r>
        <w:rPr>
          <w:szCs w:val="21"/>
        </w:rPr>
        <w:t xml:space="preserve"> 3</w:t>
      </w:r>
      <w:r>
        <w:rPr>
          <w:rFonts w:hAnsi="宋体" w:hint="eastAsia"/>
          <w:szCs w:val="21"/>
        </w:rPr>
        <w:t>、周围神经病的临床分类和表现。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rPr>
      </w:pPr>
      <w:r>
        <w:rPr>
          <w:rFonts w:hint="eastAsia"/>
          <w:b/>
          <w:sz w:val="24"/>
        </w:rPr>
        <w:t>三叉神经痛</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一、学习目的要求：掌握三叉神经痛的临床表现及其治疗方法。</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、病因：原发性三叉神经痛的病因尚未完全明确；</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、临床表现：多见于中年以后，表现为三叉神经分布区内一支或二支短暂、反复发作性剧痛</w:t>
      </w:r>
      <w:r>
        <w:rPr>
          <w:szCs w:val="21"/>
        </w:rPr>
        <w:t>,</w:t>
      </w:r>
      <w:r>
        <w:rPr>
          <w:rFonts w:hint="eastAsia"/>
          <w:szCs w:val="21"/>
        </w:rPr>
        <w:t>而无三叉神经损害的阳性体征；</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、诊断：与症状性三叉神经痛相鉴别；</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、治疗：药物治疗首选酰胺咪嗪，次选苯妥因钠、氯丙嗪等。还可行封闭治疗或手术治疗。</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szCs w:val="24"/>
        </w:rPr>
      </w:pPr>
      <w:r>
        <w:rPr>
          <w:rFonts w:hint="eastAsia"/>
          <w:b/>
          <w:sz w:val="24"/>
          <w:szCs w:val="24"/>
        </w:rPr>
        <w:t>特发性面神经麻痹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一、学习目的要求：掌握特发性面神经麻痹的临床表现及其治疗方法。</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、病因：尚未完全阐明。面神经管内及茎乳孔处面神经的急性非化脓性炎症，可能与受凉、急性病毒感染有关；</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、临床表现：急性起病。呈单侧面神经周围性麻痹的症状和体征；</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、诊断与鉴别诊断：与继发性面神经麻痹、中枢性面瘫鉴别；</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、治疗：急性期短期用皮质类固醇、</w:t>
      </w:r>
      <w:r>
        <w:rPr>
          <w:szCs w:val="21"/>
        </w:rPr>
        <w:t>B</w:t>
      </w:r>
      <w:r>
        <w:rPr>
          <w:rFonts w:hint="eastAsia"/>
          <w:szCs w:val="21"/>
        </w:rPr>
        <w:t>族维生素、针灸、理疗以及神经营养药治疗。恢复期针灸、加强面肌训练等。</w:t>
      </w:r>
    </w:p>
    <w:p w:rsidR="003717A0" w:rsidRDefault="003717A0">
      <w:pPr>
        <w:spacing w:line="240" w:lineRule="atLeast"/>
        <w:rPr>
          <w:b/>
          <w:sz w:val="24"/>
          <w:szCs w:val="24"/>
        </w:rPr>
      </w:pPr>
      <w:r>
        <w:rPr>
          <w:rFonts w:hAnsi="宋体" w:hint="eastAsia"/>
          <w:b/>
          <w:sz w:val="24"/>
          <w:szCs w:val="24"/>
        </w:rPr>
        <w:t>急性炎症性脱髓鞘多发性神经病</w:t>
      </w:r>
    </w:p>
    <w:p w:rsidR="003717A0" w:rsidRDefault="003717A0">
      <w:pPr>
        <w:spacing w:line="240" w:lineRule="atLeast"/>
        <w:ind w:firstLineChars="200" w:firstLine="420"/>
        <w:rPr>
          <w:szCs w:val="21"/>
        </w:rPr>
      </w:pPr>
      <w:r>
        <w:rPr>
          <w:rFonts w:hAnsi="宋体" w:hint="eastAsia"/>
          <w:szCs w:val="21"/>
        </w:rPr>
        <w:t>一、学习目的要求</w:t>
      </w:r>
    </w:p>
    <w:p w:rsidR="003717A0" w:rsidRDefault="003717A0">
      <w:pPr>
        <w:spacing w:line="240" w:lineRule="atLeast"/>
        <w:ind w:firstLineChars="200" w:firstLine="420"/>
        <w:rPr>
          <w:szCs w:val="21"/>
        </w:rPr>
      </w:pPr>
      <w:r>
        <w:rPr>
          <w:szCs w:val="21"/>
        </w:rPr>
        <w:t>1</w:t>
      </w:r>
      <w:r>
        <w:rPr>
          <w:rFonts w:hAnsi="宋体" w:hint="eastAsia"/>
          <w:szCs w:val="21"/>
        </w:rPr>
        <w:t>、掌握急性炎症性脱髓鞘性多发性神经病的临床表现、诊断和鉴别诊断。</w:t>
      </w:r>
    </w:p>
    <w:p w:rsidR="003717A0" w:rsidRDefault="003717A0">
      <w:pPr>
        <w:spacing w:line="240" w:lineRule="atLeast"/>
        <w:ind w:firstLineChars="200" w:firstLine="420"/>
        <w:rPr>
          <w:szCs w:val="21"/>
        </w:rPr>
      </w:pPr>
      <w:r>
        <w:rPr>
          <w:szCs w:val="21"/>
        </w:rPr>
        <w:t>2</w:t>
      </w:r>
      <w:r>
        <w:rPr>
          <w:rFonts w:hAnsi="宋体" w:hint="eastAsia"/>
          <w:szCs w:val="21"/>
        </w:rPr>
        <w:t>、了解急性炎症性脱髓鞘性多发性神经病的病因。</w:t>
      </w:r>
    </w:p>
    <w:p w:rsidR="003717A0" w:rsidRDefault="003717A0">
      <w:pPr>
        <w:spacing w:line="240" w:lineRule="atLeast"/>
        <w:ind w:firstLineChars="200" w:firstLine="420"/>
        <w:rPr>
          <w:szCs w:val="21"/>
        </w:rPr>
      </w:pPr>
      <w:r>
        <w:rPr>
          <w:rFonts w:hAnsi="宋体" w:hint="eastAsia"/>
          <w:szCs w:val="21"/>
        </w:rPr>
        <w:t>二、教学内容</w:t>
      </w:r>
    </w:p>
    <w:p w:rsidR="003717A0" w:rsidRDefault="003717A0">
      <w:pPr>
        <w:spacing w:line="240" w:lineRule="atLeast"/>
        <w:ind w:firstLineChars="200" w:firstLine="420"/>
        <w:rPr>
          <w:szCs w:val="21"/>
        </w:rPr>
      </w:pPr>
      <w:r>
        <w:rPr>
          <w:szCs w:val="21"/>
        </w:rPr>
        <w:t>1</w:t>
      </w:r>
      <w:r>
        <w:rPr>
          <w:rFonts w:hAnsi="宋体" w:hint="eastAsia"/>
          <w:szCs w:val="21"/>
        </w:rPr>
        <w:t>、讲解急性炎症性脱髓鞘性多发性神经病，又称吉兰</w:t>
      </w:r>
      <w:r>
        <w:rPr>
          <w:szCs w:val="21"/>
        </w:rPr>
        <w:t>――</w:t>
      </w:r>
      <w:r>
        <w:rPr>
          <w:rFonts w:hAnsi="宋体" w:hint="eastAsia"/>
          <w:szCs w:val="21"/>
        </w:rPr>
        <w:t>巴雷综合症（</w:t>
      </w:r>
      <w:r>
        <w:rPr>
          <w:szCs w:val="21"/>
        </w:rPr>
        <w:t>Gillain—Barre  syndrome</w:t>
      </w:r>
      <w:r>
        <w:rPr>
          <w:rFonts w:hAnsi="宋体" w:hint="eastAsia"/>
          <w:szCs w:val="21"/>
        </w:rPr>
        <w:t>）</w:t>
      </w:r>
      <w:r>
        <w:rPr>
          <w:rFonts w:hint="eastAsia"/>
          <w:szCs w:val="21"/>
        </w:rPr>
        <w:t>；</w:t>
      </w:r>
    </w:p>
    <w:p w:rsidR="003717A0" w:rsidRDefault="003717A0">
      <w:pPr>
        <w:spacing w:line="240" w:lineRule="atLeast"/>
        <w:ind w:firstLineChars="200" w:firstLine="420"/>
        <w:rPr>
          <w:szCs w:val="21"/>
        </w:rPr>
      </w:pPr>
      <w:r>
        <w:rPr>
          <w:szCs w:val="21"/>
        </w:rPr>
        <w:t>2</w:t>
      </w:r>
      <w:r>
        <w:rPr>
          <w:rFonts w:hAnsi="宋体" w:hint="eastAsia"/>
          <w:szCs w:val="21"/>
        </w:rPr>
        <w:t>、病因：未明。部分与空肠弯曲杆菌有关，大多为自身免疫性疾病</w:t>
      </w:r>
      <w:r>
        <w:rPr>
          <w:rFonts w:hint="eastAsia"/>
          <w:szCs w:val="21"/>
        </w:rPr>
        <w:t>；</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Ansi="宋体" w:hint="eastAsia"/>
          <w:szCs w:val="21"/>
        </w:rPr>
        <w:t>、临床表现：急性或亚急性起病；四肢对称性、迟缓性瘫痪，末梢型感觉障碍，可有双侧面瘫或</w:t>
      </w:r>
      <w:r>
        <w:rPr>
          <w:szCs w:val="21"/>
        </w:rPr>
        <w:t>/</w:t>
      </w:r>
      <w:r>
        <w:rPr>
          <w:rFonts w:hAnsi="宋体" w:hint="eastAsia"/>
          <w:szCs w:val="21"/>
        </w:rPr>
        <w:t>和球麻痹。脑脊液蛋白</w:t>
      </w:r>
      <w:r>
        <w:rPr>
          <w:szCs w:val="21"/>
        </w:rPr>
        <w:t>-</w:t>
      </w:r>
      <w:r>
        <w:rPr>
          <w:rFonts w:hAnsi="宋体" w:hint="eastAsia"/>
          <w:szCs w:val="21"/>
        </w:rPr>
        <w:t>细胞分离现象，肌电图早期</w:t>
      </w:r>
      <w:r>
        <w:rPr>
          <w:szCs w:val="21"/>
        </w:rPr>
        <w:t>F</w:t>
      </w:r>
      <w:r>
        <w:rPr>
          <w:rFonts w:hAnsi="宋体" w:hint="eastAsia"/>
          <w:szCs w:val="21"/>
        </w:rPr>
        <w:t>波或</w:t>
      </w:r>
      <w:r>
        <w:rPr>
          <w:szCs w:val="21"/>
        </w:rPr>
        <w:t>H</w:t>
      </w:r>
      <w:r>
        <w:rPr>
          <w:rFonts w:hAnsi="宋体" w:hint="eastAsia"/>
          <w:szCs w:val="21"/>
        </w:rPr>
        <w:t>反射延迟</w:t>
      </w:r>
      <w:r>
        <w:rPr>
          <w:rFonts w:hint="eastAsia"/>
          <w:szCs w:val="21"/>
        </w:rPr>
        <w:t>；</w:t>
      </w:r>
      <w:r>
        <w:rPr>
          <w:szCs w:val="21"/>
        </w:rPr>
        <w:t xml:space="preserve"> </w:t>
      </w:r>
    </w:p>
    <w:p w:rsidR="003717A0" w:rsidRDefault="003717A0">
      <w:pPr>
        <w:spacing w:line="240" w:lineRule="atLeast"/>
        <w:ind w:firstLineChars="200" w:firstLine="420"/>
        <w:rPr>
          <w:szCs w:val="21"/>
        </w:rPr>
      </w:pPr>
      <w:r>
        <w:rPr>
          <w:szCs w:val="21"/>
        </w:rPr>
        <w:t>4</w:t>
      </w:r>
      <w:r>
        <w:rPr>
          <w:rFonts w:hAnsi="宋体" w:hint="eastAsia"/>
          <w:szCs w:val="21"/>
        </w:rPr>
        <w:t>、诊断和鉴别诊断：主要与急性脊髓炎、急性脊髓灰质炎、重症肌无力、周期性麻痹等鉴别</w:t>
      </w:r>
      <w:r>
        <w:rPr>
          <w:rFonts w:hint="eastAsia"/>
          <w:szCs w:val="21"/>
        </w:rPr>
        <w:t>；</w:t>
      </w:r>
    </w:p>
    <w:p w:rsidR="003717A0" w:rsidRDefault="003717A0">
      <w:pPr>
        <w:spacing w:line="240" w:lineRule="atLeast"/>
        <w:ind w:firstLineChars="200" w:firstLine="420"/>
        <w:rPr>
          <w:szCs w:val="21"/>
        </w:rPr>
      </w:pPr>
      <w:r>
        <w:rPr>
          <w:szCs w:val="21"/>
        </w:rPr>
        <w:t>5</w:t>
      </w:r>
      <w:r>
        <w:rPr>
          <w:rFonts w:hAnsi="宋体" w:hint="eastAsia"/>
          <w:szCs w:val="21"/>
        </w:rPr>
        <w:t>、治疗：免疫球蛋白和</w:t>
      </w:r>
      <w:r>
        <w:rPr>
          <w:szCs w:val="21"/>
        </w:rPr>
        <w:t>/</w:t>
      </w:r>
      <w:r>
        <w:rPr>
          <w:rFonts w:hAnsi="宋体" w:hint="eastAsia"/>
          <w:szCs w:val="21"/>
        </w:rPr>
        <w:t>或血浆置换等治疗、瘫痪（包括球麻痹和呼吸肌麻痹）治疗。</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562"/>
        <w:jc w:val="center"/>
        <w:rPr>
          <w:b/>
          <w:sz w:val="28"/>
        </w:rPr>
      </w:pPr>
      <w:r>
        <w:rPr>
          <w:rFonts w:hint="eastAsia"/>
          <w:b/>
          <w:sz w:val="28"/>
        </w:rPr>
        <w:t>第三章</w:t>
      </w:r>
      <w:r>
        <w:rPr>
          <w:b/>
          <w:sz w:val="28"/>
        </w:rPr>
        <w:t xml:space="preserve"> </w:t>
      </w:r>
      <w:r>
        <w:rPr>
          <w:rFonts w:hint="eastAsia"/>
          <w:b/>
          <w:sz w:val="28"/>
        </w:rPr>
        <w:t>脊髓疾病</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szCs w:val="24"/>
        </w:rPr>
      </w:pPr>
      <w:r>
        <w:rPr>
          <w:rFonts w:hint="eastAsia"/>
          <w:b/>
          <w:sz w:val="24"/>
          <w:szCs w:val="24"/>
        </w:rPr>
        <w:lastRenderedPageBreak/>
        <w:t>概述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、脊髓的应用解剖生理；</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、脊髓损害的临床表现。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rPr>
      </w:pPr>
      <w:r>
        <w:rPr>
          <w:rFonts w:hint="eastAsia"/>
          <w:b/>
          <w:sz w:val="24"/>
        </w:rPr>
        <w:t>急性脊髓炎</w:t>
      </w:r>
      <w:r>
        <w:rPr>
          <w:b/>
          <w:sz w:val="24"/>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一、学习目的与要求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leftChars="-240" w:left="-504" w:firstLineChars="450" w:firstLine="945"/>
        <w:rPr>
          <w:szCs w:val="21"/>
        </w:rPr>
      </w:pPr>
      <w:r>
        <w:rPr>
          <w:szCs w:val="21"/>
        </w:rPr>
        <w:t>1</w:t>
      </w:r>
      <w:r>
        <w:rPr>
          <w:rFonts w:hint="eastAsia"/>
          <w:szCs w:val="21"/>
        </w:rPr>
        <w:t>、掌握急性脊髓炎的病因、临床表现、诊断和鉴别诊断；</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、了解急性脊髓炎的治疗及护理。</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、病因和病理：简述非细菌性急性脊髓炎的病因及病理改变；</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、临床表现：重点讲述横贯性脊髓炎的临床表现（包括急性休克期、恢复期）及脑脊液的特点；</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、诊断和鉴别诊断：与急性炎症性脱髓鞘性多发性神经病、急性脊髓压迫症、急性硬膜外脓肿等进行鉴别。</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三、治疗及护理</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、急性期治疗应用皮质类固醇，并处理排尿障碍和呼吸肌麻痹；</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leftChars="-300" w:left="-630" w:firstLineChars="200" w:firstLine="420"/>
        <w:rPr>
          <w:szCs w:val="21"/>
        </w:rPr>
      </w:pPr>
      <w:r>
        <w:rPr>
          <w:szCs w:val="21"/>
        </w:rPr>
        <w:t xml:space="preserve">      2</w:t>
      </w:r>
      <w:r>
        <w:rPr>
          <w:rFonts w:hint="eastAsia"/>
          <w:szCs w:val="21"/>
        </w:rPr>
        <w:t>、防治各种并发症：泌尿道感染、呼吸道感染、褥疮等；</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leftChars="-240" w:left="-504" w:firstLineChars="200" w:firstLine="420"/>
      </w:pPr>
      <w:r>
        <w:rPr>
          <w:szCs w:val="21"/>
        </w:rPr>
        <w:t xml:space="preserve">     3</w:t>
      </w:r>
      <w:r>
        <w:rPr>
          <w:rFonts w:hint="eastAsia"/>
          <w:szCs w:val="21"/>
        </w:rPr>
        <w:t>、恢复期处理：痉挛状态的处理以及功能锻炼。</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rPr>
      </w:pPr>
      <w:r>
        <w:rPr>
          <w:rFonts w:hint="eastAsia"/>
          <w:b/>
          <w:sz w:val="24"/>
        </w:rPr>
        <w:t>脊髓压迫症</w:t>
      </w:r>
      <w:r>
        <w:rPr>
          <w:b/>
          <w:sz w:val="24"/>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一、学习目的要求：掌握脊髓压迫症的常见病因、临床表现、诊断和鉴别诊断。</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、病因：各种脊髓肿瘤、椎管内硬膜外脓肿、椎体疾病和脊柱外伤等；</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、临床表现：神经根损害、传导束型感觉障碍、运动障碍、植物神经障碍</w:t>
      </w:r>
      <w:r>
        <w:rPr>
          <w:szCs w:val="21"/>
        </w:rPr>
        <w:t>,</w:t>
      </w:r>
      <w:r>
        <w:rPr>
          <w:rFonts w:hint="eastAsia"/>
          <w:szCs w:val="21"/>
        </w:rPr>
        <w:t>可伴有脊椎改变；</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判断脊髓损害是否为压迫性，注意脑脊液动力学改变；</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判断受压的节段以及病灶在髓内或髓外；</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判断脊髓受压的病因或病变性质。</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、诊断和鉴别诊断</w:t>
      </w:r>
      <w:r>
        <w:rPr>
          <w:szCs w:val="21"/>
        </w:rPr>
        <w:t>:</w:t>
      </w:r>
      <w:r>
        <w:rPr>
          <w:rFonts w:hint="eastAsia"/>
          <w:szCs w:val="21"/>
        </w:rPr>
        <w:t>主要与急性脊髓炎、脊髓空洞症、亚急性联合变性等鉴别；</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、治疗：手术治疗、对症治疗、瘫痪肢体的康复治疗。</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jc w:val="center"/>
        <w:rPr>
          <w:b/>
          <w:sz w:val="28"/>
        </w:rPr>
      </w:pPr>
      <w:r>
        <w:rPr>
          <w:rFonts w:hint="eastAsia"/>
          <w:b/>
          <w:sz w:val="28"/>
        </w:rPr>
        <w:t>第四章</w:t>
      </w:r>
      <w:r>
        <w:rPr>
          <w:b/>
          <w:sz w:val="28"/>
        </w:rPr>
        <w:t xml:space="preserve"> </w:t>
      </w:r>
      <w:r>
        <w:rPr>
          <w:rFonts w:hint="eastAsia"/>
          <w:b/>
          <w:sz w:val="28"/>
        </w:rPr>
        <w:t>脑血管疾病</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、熟悉急性脑血管病的分类、脑血管危险因素及预防；</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、掌握短暂脑缺血发作、脑血栓形成、脑出血、脑栓塞和蛛网膜下腔出血的概念、临床表现、诊断及鉴别诊断、治疗原则。</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、脑的血液供应和主要血管闭塞后的症状；</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、短暂性脑缺血发作的概念、病因、发病机制、临床表现、诊断和鉴别诊断、治疗</w:t>
      </w:r>
      <w:r>
        <w:rPr>
          <w:szCs w:val="21"/>
        </w:rPr>
        <w:t>(</w:t>
      </w:r>
      <w:r>
        <w:rPr>
          <w:rFonts w:hint="eastAsia"/>
          <w:szCs w:val="21"/>
        </w:rPr>
        <w:t>抗血小板聚集药和手术治疗</w:t>
      </w:r>
      <w:r>
        <w:rPr>
          <w:szCs w:val="21"/>
        </w:rPr>
        <w:t>)</w:t>
      </w:r>
      <w:r>
        <w:rPr>
          <w:rFonts w:hint="eastAsia"/>
          <w:szCs w:val="21"/>
        </w:rPr>
        <w:t>；</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、脑血栓形成的病因</w:t>
      </w:r>
      <w:r>
        <w:rPr>
          <w:szCs w:val="21"/>
        </w:rPr>
        <w:t>(</w:t>
      </w:r>
      <w:r>
        <w:rPr>
          <w:rFonts w:hint="eastAsia"/>
          <w:szCs w:val="21"/>
        </w:rPr>
        <w:t>动脉管壁病变</w:t>
      </w:r>
      <w:r>
        <w:rPr>
          <w:szCs w:val="21"/>
        </w:rPr>
        <w:t>,</w:t>
      </w:r>
      <w:r>
        <w:rPr>
          <w:rFonts w:hint="eastAsia"/>
          <w:szCs w:val="21"/>
        </w:rPr>
        <w:t>强调动脉粥样硬化</w:t>
      </w:r>
      <w:r>
        <w:rPr>
          <w:szCs w:val="21"/>
        </w:rPr>
        <w:t>)</w:t>
      </w:r>
      <w:r>
        <w:rPr>
          <w:rFonts w:hint="eastAsia"/>
          <w:szCs w:val="21"/>
        </w:rPr>
        <w:t>、发病机制</w:t>
      </w:r>
      <w:r>
        <w:rPr>
          <w:szCs w:val="21"/>
        </w:rPr>
        <w:t>(</w:t>
      </w:r>
      <w:r>
        <w:rPr>
          <w:rFonts w:hint="eastAsia"/>
          <w:szCs w:val="21"/>
        </w:rPr>
        <w:t>动脉管壁病变和附加因素</w:t>
      </w:r>
      <w:r>
        <w:rPr>
          <w:szCs w:val="21"/>
        </w:rPr>
        <w:t>)</w:t>
      </w:r>
      <w:r>
        <w:rPr>
          <w:rFonts w:hint="eastAsia"/>
          <w:szCs w:val="21"/>
        </w:rPr>
        <w:t>、病理</w:t>
      </w:r>
      <w:r>
        <w:rPr>
          <w:szCs w:val="21"/>
        </w:rPr>
        <w:t>(</w:t>
      </w:r>
      <w:r>
        <w:rPr>
          <w:rFonts w:hint="eastAsia"/>
          <w:szCs w:val="21"/>
        </w:rPr>
        <w:t>血栓形成的好发部位</w:t>
      </w:r>
      <w:r>
        <w:rPr>
          <w:szCs w:val="21"/>
        </w:rPr>
        <w:t>)</w:t>
      </w:r>
      <w:r>
        <w:rPr>
          <w:rFonts w:hint="eastAsia"/>
          <w:szCs w:val="21"/>
        </w:rPr>
        <w:t>、临床表现</w:t>
      </w:r>
      <w:r>
        <w:rPr>
          <w:szCs w:val="21"/>
        </w:rPr>
        <w:t>(</w:t>
      </w:r>
      <w:r>
        <w:rPr>
          <w:rFonts w:hint="eastAsia"/>
          <w:szCs w:val="21"/>
        </w:rPr>
        <w:t>发病情况、症状和体征、影像学变化</w:t>
      </w:r>
      <w:r>
        <w:rPr>
          <w:szCs w:val="21"/>
        </w:rPr>
        <w:t>)</w:t>
      </w:r>
      <w:r>
        <w:rPr>
          <w:rFonts w:hint="eastAsia"/>
          <w:szCs w:val="21"/>
        </w:rPr>
        <w:t>、诊断和鉴别诊断、治疗</w:t>
      </w:r>
      <w:r>
        <w:rPr>
          <w:szCs w:val="21"/>
        </w:rPr>
        <w:t>(</w:t>
      </w:r>
      <w:r>
        <w:rPr>
          <w:rFonts w:hint="eastAsia"/>
          <w:szCs w:val="21"/>
        </w:rPr>
        <w:t>早期溶栓，药物治疗改善脑缺血区血液循环及偏瘫和失语的治疗、外科治疗</w:t>
      </w:r>
      <w:r>
        <w:rPr>
          <w:szCs w:val="21"/>
        </w:rPr>
        <w:t>)</w:t>
      </w:r>
      <w:r>
        <w:rPr>
          <w:rFonts w:hint="eastAsia"/>
          <w:szCs w:val="21"/>
        </w:rPr>
        <w:t>、预防；</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、脑栓塞的病因：栓子来源</w:t>
      </w:r>
      <w:r>
        <w:rPr>
          <w:szCs w:val="21"/>
        </w:rPr>
        <w:t xml:space="preserve"> (</w:t>
      </w:r>
      <w:r>
        <w:rPr>
          <w:rFonts w:hint="eastAsia"/>
          <w:szCs w:val="21"/>
        </w:rPr>
        <w:t>风湿性心脏瓣膜病、房颤血栓块和动脉硬化斑块脱落</w:t>
      </w:r>
      <w:r>
        <w:rPr>
          <w:szCs w:val="21"/>
        </w:rPr>
        <w:t>)</w:t>
      </w:r>
      <w:r>
        <w:rPr>
          <w:rFonts w:hint="eastAsia"/>
          <w:szCs w:val="21"/>
        </w:rPr>
        <w:t>、发病机制、临床表现及影像学变化。诊断和鉴别诊断、治疗；</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5</w:t>
      </w:r>
      <w:r>
        <w:rPr>
          <w:rFonts w:hint="eastAsia"/>
          <w:szCs w:val="21"/>
        </w:rPr>
        <w:t>、脑出血的病因</w:t>
      </w:r>
      <w:r>
        <w:rPr>
          <w:szCs w:val="21"/>
        </w:rPr>
        <w:t>(</w:t>
      </w:r>
      <w:r>
        <w:rPr>
          <w:rFonts w:hint="eastAsia"/>
          <w:szCs w:val="21"/>
        </w:rPr>
        <w:t>高血压、动脉硬化</w:t>
      </w:r>
      <w:r>
        <w:rPr>
          <w:szCs w:val="21"/>
        </w:rPr>
        <w:t>)</w:t>
      </w:r>
      <w:r>
        <w:rPr>
          <w:rFonts w:hint="eastAsia"/>
          <w:szCs w:val="21"/>
        </w:rPr>
        <w:t>、发病机制</w:t>
      </w:r>
      <w:r>
        <w:rPr>
          <w:szCs w:val="21"/>
        </w:rPr>
        <w:t>(</w:t>
      </w:r>
      <w:r>
        <w:rPr>
          <w:rFonts w:hint="eastAsia"/>
          <w:szCs w:val="21"/>
        </w:rPr>
        <w:t>高血压、动脉硬化伴微动脉瘤破裂</w:t>
      </w:r>
      <w:r>
        <w:rPr>
          <w:szCs w:val="21"/>
        </w:rPr>
        <w:t>)</w:t>
      </w:r>
      <w:r>
        <w:rPr>
          <w:rFonts w:hint="eastAsia"/>
          <w:szCs w:val="21"/>
        </w:rPr>
        <w:t>、病理</w:t>
      </w:r>
      <w:r>
        <w:rPr>
          <w:szCs w:val="21"/>
        </w:rPr>
        <w:t>(</w:t>
      </w:r>
      <w:r>
        <w:rPr>
          <w:rFonts w:hint="eastAsia"/>
          <w:szCs w:val="21"/>
        </w:rPr>
        <w:t>脑实质出血及其好发病部位</w:t>
      </w:r>
      <w:r>
        <w:rPr>
          <w:szCs w:val="21"/>
        </w:rPr>
        <w:t>)</w:t>
      </w:r>
      <w:r>
        <w:rPr>
          <w:rFonts w:hint="eastAsia"/>
          <w:szCs w:val="21"/>
        </w:rPr>
        <w:t>、临床表现</w:t>
      </w:r>
      <w:r>
        <w:rPr>
          <w:szCs w:val="21"/>
        </w:rPr>
        <w:t>(</w:t>
      </w:r>
      <w:r>
        <w:rPr>
          <w:rFonts w:hint="eastAsia"/>
          <w:szCs w:val="21"/>
        </w:rPr>
        <w:t>发病情况、症状和体征，影像学变化</w:t>
      </w:r>
      <w:r>
        <w:rPr>
          <w:szCs w:val="21"/>
        </w:rPr>
        <w:t>)</w:t>
      </w:r>
      <w:r>
        <w:rPr>
          <w:rFonts w:hint="eastAsia"/>
          <w:szCs w:val="21"/>
        </w:rPr>
        <w:t>、诊断和鉴别诊断、治</w:t>
      </w:r>
      <w:r>
        <w:rPr>
          <w:rFonts w:hint="eastAsia"/>
          <w:szCs w:val="21"/>
        </w:rPr>
        <w:lastRenderedPageBreak/>
        <w:t>疗</w:t>
      </w:r>
      <w:r>
        <w:rPr>
          <w:szCs w:val="21"/>
        </w:rPr>
        <w:t>(</w:t>
      </w:r>
      <w:r>
        <w:rPr>
          <w:rFonts w:hint="eastAsia"/>
          <w:szCs w:val="21"/>
        </w:rPr>
        <w:t>调整血压、脱水剂、外科治疗、昏迷护理和防治并发症</w:t>
      </w:r>
      <w:r>
        <w:rPr>
          <w:szCs w:val="21"/>
        </w:rPr>
        <w:t xml:space="preserve">) </w:t>
      </w:r>
      <w:r>
        <w:rPr>
          <w:rFonts w:hint="eastAsia"/>
          <w:szCs w:val="21"/>
        </w:rPr>
        <w:t>；</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6</w:t>
      </w:r>
      <w:r>
        <w:rPr>
          <w:rFonts w:hint="eastAsia"/>
          <w:szCs w:val="21"/>
        </w:rPr>
        <w:t>、蛛网膜下腔出血的病因</w:t>
      </w:r>
      <w:r>
        <w:rPr>
          <w:szCs w:val="21"/>
        </w:rPr>
        <w:t>(</w:t>
      </w:r>
      <w:r>
        <w:rPr>
          <w:rFonts w:hint="eastAsia"/>
          <w:szCs w:val="21"/>
        </w:rPr>
        <w:t>动脉硬化、颅内先天性动脉瘤、脑血管畸形</w:t>
      </w:r>
      <w:r>
        <w:rPr>
          <w:szCs w:val="21"/>
        </w:rPr>
        <w:t>)</w:t>
      </w:r>
      <w:r>
        <w:rPr>
          <w:rFonts w:hint="eastAsia"/>
          <w:szCs w:val="21"/>
        </w:rPr>
        <w:t>、发病原理</w:t>
      </w:r>
      <w:r>
        <w:rPr>
          <w:szCs w:val="21"/>
        </w:rPr>
        <w:t>(</w:t>
      </w:r>
      <w:r>
        <w:rPr>
          <w:rFonts w:hint="eastAsia"/>
          <w:szCs w:val="21"/>
        </w:rPr>
        <w:t>动脉易破裂性、出血与血管痉挛</w:t>
      </w:r>
      <w:r>
        <w:rPr>
          <w:szCs w:val="21"/>
        </w:rPr>
        <w:t>)</w:t>
      </w:r>
      <w:r>
        <w:rPr>
          <w:rFonts w:hint="eastAsia"/>
          <w:szCs w:val="21"/>
        </w:rPr>
        <w:t>、病理</w:t>
      </w:r>
      <w:r>
        <w:rPr>
          <w:szCs w:val="21"/>
        </w:rPr>
        <w:t>(</w:t>
      </w:r>
      <w:r>
        <w:rPr>
          <w:rFonts w:hint="eastAsia"/>
          <w:szCs w:val="21"/>
        </w:rPr>
        <w:t>脑表面出血及动脉瘤好发部位</w:t>
      </w:r>
      <w:r>
        <w:rPr>
          <w:szCs w:val="21"/>
        </w:rPr>
        <w:t>)</w:t>
      </w:r>
      <w:r>
        <w:rPr>
          <w:rFonts w:hint="eastAsia"/>
          <w:szCs w:val="21"/>
        </w:rPr>
        <w:t>、临床表现</w:t>
      </w:r>
      <w:r>
        <w:rPr>
          <w:szCs w:val="21"/>
        </w:rPr>
        <w:t>(</w:t>
      </w:r>
      <w:r>
        <w:rPr>
          <w:rFonts w:hint="eastAsia"/>
          <w:szCs w:val="21"/>
        </w:rPr>
        <w:t>发病情况、脑膜剌激征、局限性体征较少、影像学变化</w:t>
      </w:r>
      <w:r>
        <w:rPr>
          <w:szCs w:val="21"/>
        </w:rPr>
        <w:t>)</w:t>
      </w:r>
      <w:r>
        <w:rPr>
          <w:rFonts w:hint="eastAsia"/>
          <w:szCs w:val="21"/>
        </w:rPr>
        <w:t>、诊断和鉴别诊断、治疗</w:t>
      </w:r>
      <w:r>
        <w:rPr>
          <w:szCs w:val="21"/>
        </w:rPr>
        <w:t>(</w:t>
      </w:r>
      <w:r>
        <w:rPr>
          <w:rFonts w:hint="eastAsia"/>
          <w:szCs w:val="21"/>
        </w:rPr>
        <w:t>对症治疗、脱水剂的应用</w:t>
      </w:r>
      <w:r>
        <w:rPr>
          <w:szCs w:val="21"/>
        </w:rPr>
        <w:t>)</w:t>
      </w:r>
      <w:r>
        <w:rPr>
          <w:rFonts w:hint="eastAsia"/>
          <w:szCs w:val="21"/>
        </w:rPr>
        <w:t>，预防复发。</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jc w:val="center"/>
        <w:rPr>
          <w:b/>
          <w:sz w:val="28"/>
        </w:rPr>
      </w:pPr>
      <w:r>
        <w:rPr>
          <w:rFonts w:hint="eastAsia"/>
          <w:b/>
          <w:sz w:val="28"/>
        </w:rPr>
        <w:t>第五章</w:t>
      </w:r>
      <w:r>
        <w:rPr>
          <w:b/>
          <w:sz w:val="28"/>
        </w:rPr>
        <w:t xml:space="preserve"> </w:t>
      </w:r>
      <w:r>
        <w:rPr>
          <w:rFonts w:hint="eastAsia"/>
          <w:b/>
          <w:sz w:val="28"/>
        </w:rPr>
        <w:t>单纯疱疹病毒性脑炎</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、熟悉单纯疱疹病毒性脑炎的病因和机制；</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、掌握临床表现、诊断和治疗。</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、病因与发病机制：单纯疱疹病毒感染及其分类；</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、病理：脑实质出血性坏死和细胞核内包涵体是最特征的病理表现；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、临床表现：单纯疱疹病毒性脑炎的临床表现，脑脊液及脑电图变化；</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、诊断与鉴别诊断：单纯疱疹病毒性脑炎的诊断依据。强调排除各种引起弥散性及局限性脑病的各种可能病因；</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5</w:t>
      </w:r>
      <w:r>
        <w:rPr>
          <w:rFonts w:hint="eastAsia"/>
          <w:szCs w:val="21"/>
        </w:rPr>
        <w:t>、治疗：抗病毒药治疗，支持治疗和对症治疗，加强护理。</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jc w:val="center"/>
        <w:rPr>
          <w:b/>
          <w:sz w:val="28"/>
        </w:rPr>
      </w:pPr>
      <w:r>
        <w:rPr>
          <w:rFonts w:hint="eastAsia"/>
          <w:b/>
          <w:sz w:val="28"/>
        </w:rPr>
        <w:t>第六章</w:t>
      </w:r>
      <w:r>
        <w:rPr>
          <w:b/>
          <w:sz w:val="28"/>
        </w:rPr>
        <w:t xml:space="preserve"> </w:t>
      </w:r>
      <w:r>
        <w:rPr>
          <w:rFonts w:hint="eastAsia"/>
          <w:b/>
          <w:sz w:val="28"/>
        </w:rPr>
        <w:t>偏头痛</w:t>
      </w:r>
      <w:r>
        <w:rPr>
          <w:b/>
          <w:sz w:val="28"/>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、熟悉偏头痛的病因和发病机制；</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、掌握偏头痛的临床表现、诊断及治疗。</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、病因与发病机制；病因未明。介绍主要的发病学说；</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、临床表现：详述偏头痛的发作过程、发作特点；</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、诊断与鉴别诊断：诊断偏头痛的依据，与其他原发性头痛及继发性头痛鉴别；</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、治疗与预防：偏头痛发作时的药物治疗</w:t>
      </w:r>
      <w:r>
        <w:rPr>
          <w:szCs w:val="21"/>
        </w:rPr>
        <w:t>(</w:t>
      </w:r>
      <w:r>
        <w:rPr>
          <w:rFonts w:hint="eastAsia"/>
          <w:szCs w:val="21"/>
        </w:rPr>
        <w:t>非特异性止痛药和特异性止痛药</w:t>
      </w:r>
      <w:r>
        <w:rPr>
          <w:szCs w:val="21"/>
        </w:rPr>
        <w:t>)</w:t>
      </w:r>
      <w:r>
        <w:rPr>
          <w:rFonts w:hint="eastAsia"/>
          <w:szCs w:val="21"/>
        </w:rPr>
        <w:t>，预防发作的药物治疗</w:t>
      </w:r>
      <w:r>
        <w:rPr>
          <w:szCs w:val="21"/>
        </w:rPr>
        <w:t>(</w:t>
      </w:r>
      <w:r>
        <w:rPr>
          <w:rFonts w:hint="eastAsia"/>
          <w:szCs w:val="21"/>
        </w:rPr>
        <w:t>抗</w:t>
      </w:r>
      <w:r>
        <w:rPr>
          <w:szCs w:val="21"/>
        </w:rPr>
        <w:t>5</w:t>
      </w:r>
      <w:r>
        <w:rPr>
          <w:rFonts w:hint="eastAsia"/>
          <w:szCs w:val="21"/>
        </w:rPr>
        <w:t>一羟色胺、抗组织胺、</w:t>
      </w:r>
      <w:r>
        <w:rPr>
          <w:szCs w:val="21"/>
        </w:rPr>
        <w:t>β</w:t>
      </w:r>
      <w:r>
        <w:rPr>
          <w:rFonts w:hint="eastAsia"/>
          <w:szCs w:val="21"/>
        </w:rPr>
        <w:t>一肾上腺素能阻滞药物</w:t>
      </w:r>
      <w:r>
        <w:rPr>
          <w:szCs w:val="21"/>
        </w:rPr>
        <w:t>)</w:t>
      </w:r>
      <w:r>
        <w:rPr>
          <w:rFonts w:hint="eastAsia"/>
          <w:szCs w:val="21"/>
        </w:rPr>
        <w:t>。</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jc w:val="center"/>
        <w:rPr>
          <w:b/>
          <w:sz w:val="28"/>
        </w:rPr>
      </w:pPr>
      <w:r>
        <w:rPr>
          <w:rFonts w:hint="eastAsia"/>
          <w:b/>
          <w:sz w:val="28"/>
        </w:rPr>
        <w:t>第七章</w:t>
      </w:r>
      <w:r>
        <w:rPr>
          <w:b/>
          <w:sz w:val="28"/>
        </w:rPr>
        <w:t xml:space="preserve"> </w:t>
      </w:r>
      <w:r>
        <w:rPr>
          <w:rFonts w:hint="eastAsia"/>
          <w:b/>
          <w:sz w:val="28"/>
        </w:rPr>
        <w:t>运动障碍性疾病</w:t>
      </w:r>
      <w:r>
        <w:rPr>
          <w:b/>
          <w:sz w:val="28"/>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、了解锥体外系统的主要组成部分、病变时出现的症状；</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、熟悉震颤麻痹的生化改变。临床表现、诊断与鉴别诊断。</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、概述：运动障碍性疾病的概念、病变部位、锥体外系统主要组成核团及通路、病变时症状（出现肌张力改变与不自主运动）；</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、震颤麻痹</w:t>
      </w:r>
      <w:r>
        <w:rPr>
          <w:szCs w:val="21"/>
        </w:rPr>
        <w:t>(</w:t>
      </w:r>
      <w:r>
        <w:rPr>
          <w:rFonts w:hint="eastAsia"/>
          <w:szCs w:val="21"/>
        </w:rPr>
        <w:t>帕金森病</w:t>
      </w:r>
      <w:r>
        <w:rPr>
          <w:szCs w:val="21"/>
        </w:rPr>
        <w:t>)</w:t>
      </w:r>
      <w:r>
        <w:rPr>
          <w:rFonts w:hint="eastAsia"/>
          <w:szCs w:val="21"/>
        </w:rPr>
        <w:t>的病因和病理</w:t>
      </w:r>
      <w:r>
        <w:rPr>
          <w:szCs w:val="21"/>
        </w:rPr>
        <w:t>(</w:t>
      </w:r>
      <w:r>
        <w:rPr>
          <w:rFonts w:hint="eastAsia"/>
          <w:szCs w:val="21"/>
        </w:rPr>
        <w:t>简述病理改变、介绍黑质纹状体中多巴胺缺乏的生化与病理</w:t>
      </w:r>
      <w:r>
        <w:rPr>
          <w:szCs w:val="21"/>
        </w:rPr>
        <w:t>)</w:t>
      </w:r>
      <w:r>
        <w:rPr>
          <w:rFonts w:hint="eastAsia"/>
          <w:szCs w:val="21"/>
        </w:rPr>
        <w:t>、临床表现</w:t>
      </w:r>
      <w:r>
        <w:rPr>
          <w:szCs w:val="21"/>
        </w:rPr>
        <w:t>(</w:t>
      </w:r>
      <w:r>
        <w:rPr>
          <w:rFonts w:hint="eastAsia"/>
          <w:szCs w:val="21"/>
        </w:rPr>
        <w:t>静止性震颤、肌强直及运动迟缓、姿势步态障碍等</w:t>
      </w:r>
      <w:r>
        <w:rPr>
          <w:szCs w:val="21"/>
        </w:rPr>
        <w:t>)</w:t>
      </w:r>
      <w:r>
        <w:rPr>
          <w:rFonts w:hint="eastAsia"/>
          <w:szCs w:val="21"/>
        </w:rPr>
        <w:t>、诊断</w:t>
      </w:r>
      <w:r>
        <w:rPr>
          <w:szCs w:val="21"/>
        </w:rPr>
        <w:t>(</w:t>
      </w:r>
      <w:r>
        <w:rPr>
          <w:rFonts w:hint="eastAsia"/>
          <w:szCs w:val="21"/>
        </w:rPr>
        <w:t>典型病例诊断不难，但必须与由各种原因引起的的帕金森综合征鉴别</w:t>
      </w:r>
      <w:r>
        <w:rPr>
          <w:szCs w:val="21"/>
        </w:rPr>
        <w:t>)</w:t>
      </w:r>
      <w:r>
        <w:rPr>
          <w:rFonts w:hint="eastAsia"/>
          <w:szCs w:val="21"/>
        </w:rPr>
        <w:t>、治疗</w:t>
      </w:r>
      <w:r>
        <w:rPr>
          <w:szCs w:val="21"/>
        </w:rPr>
        <w:t>(</w:t>
      </w:r>
      <w:r>
        <w:rPr>
          <w:rFonts w:hint="eastAsia"/>
          <w:szCs w:val="21"/>
        </w:rPr>
        <w:t>包括抗胆硷能药物、左旋多巴和多巴胺能受体激动剂等</w:t>
      </w:r>
      <w:r>
        <w:rPr>
          <w:szCs w:val="21"/>
        </w:rPr>
        <w:t>)</w:t>
      </w:r>
      <w:r>
        <w:rPr>
          <w:rFonts w:hint="eastAsia"/>
          <w:szCs w:val="21"/>
        </w:rPr>
        <w:t>及治疗原则；</w:t>
      </w:r>
    </w:p>
    <w:p w:rsidR="003717A0" w:rsidRDefault="003717A0">
      <w:pPr>
        <w:tabs>
          <w:tab w:val="left" w:pos="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、小舞蹈病的病因</w:t>
      </w:r>
      <w:r>
        <w:rPr>
          <w:szCs w:val="21"/>
        </w:rPr>
        <w:t>(</w:t>
      </w:r>
      <w:r>
        <w:rPr>
          <w:rFonts w:hint="eastAsia"/>
          <w:szCs w:val="21"/>
        </w:rPr>
        <w:t>风湿病侵及中枢神经系统的一个主要表现</w:t>
      </w:r>
      <w:r>
        <w:rPr>
          <w:szCs w:val="21"/>
        </w:rPr>
        <w:t>)</w:t>
      </w:r>
      <w:r>
        <w:rPr>
          <w:rFonts w:hint="eastAsia"/>
          <w:szCs w:val="21"/>
        </w:rPr>
        <w:t>、临床表现</w:t>
      </w:r>
      <w:r>
        <w:rPr>
          <w:szCs w:val="21"/>
        </w:rPr>
        <w:t>(</w:t>
      </w:r>
      <w:r>
        <w:rPr>
          <w:rFonts w:hint="eastAsia"/>
          <w:szCs w:val="21"/>
        </w:rPr>
        <w:t>舞蹈样运动特点、风湿热的一般症状</w:t>
      </w:r>
      <w:r>
        <w:rPr>
          <w:szCs w:val="21"/>
        </w:rPr>
        <w:t>)</w:t>
      </w:r>
      <w:r>
        <w:rPr>
          <w:rFonts w:hint="eastAsia"/>
          <w:szCs w:val="21"/>
        </w:rPr>
        <w:t>、治疗</w:t>
      </w:r>
      <w:r>
        <w:rPr>
          <w:szCs w:val="21"/>
        </w:rPr>
        <w:t>(</w:t>
      </w:r>
      <w:r>
        <w:rPr>
          <w:rFonts w:hint="eastAsia"/>
          <w:szCs w:val="21"/>
        </w:rPr>
        <w:t>抗风湿治疗、激素治疗及对症治疗</w:t>
      </w:r>
      <w:r>
        <w:rPr>
          <w:szCs w:val="21"/>
        </w:rPr>
        <w:t>)</w:t>
      </w:r>
      <w:r>
        <w:rPr>
          <w:rFonts w:hint="eastAsia"/>
          <w:szCs w:val="21"/>
        </w:rPr>
        <w:t>。</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jc w:val="center"/>
        <w:rPr>
          <w:b/>
          <w:sz w:val="28"/>
        </w:rPr>
      </w:pPr>
      <w:r>
        <w:rPr>
          <w:rFonts w:hint="eastAsia"/>
          <w:b/>
          <w:sz w:val="28"/>
        </w:rPr>
        <w:t>第八章</w:t>
      </w:r>
      <w:r>
        <w:rPr>
          <w:b/>
          <w:sz w:val="28"/>
        </w:rPr>
        <w:t xml:space="preserve"> </w:t>
      </w:r>
      <w:r>
        <w:rPr>
          <w:rFonts w:hint="eastAsia"/>
          <w:b/>
          <w:sz w:val="28"/>
        </w:rPr>
        <w:t>癫</w:t>
      </w:r>
      <w:r>
        <w:rPr>
          <w:b/>
          <w:sz w:val="28"/>
        </w:rPr>
        <w:t xml:space="preserve">  </w:t>
      </w:r>
      <w:r>
        <w:rPr>
          <w:rFonts w:hint="eastAsia"/>
          <w:b/>
          <w:sz w:val="28"/>
        </w:rPr>
        <w:t>痫</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lastRenderedPageBreak/>
        <w:t>1</w:t>
      </w:r>
      <w:r>
        <w:rPr>
          <w:rFonts w:hint="eastAsia"/>
          <w:szCs w:val="21"/>
        </w:rPr>
        <w:t>、熟悉影响癫痫发作的因素、病理、分类与机制；</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、掌握癫痫的概念、病因、临床表现、诊断与鉴别诊断、治疗；</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、掌握癫痫癫痫持续状态的概念和治疗原则。</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、概述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w:t>
      </w:r>
      <w:r>
        <w:rPr>
          <w:szCs w:val="21"/>
        </w:rPr>
        <w:t>1</w:t>
      </w:r>
      <w:r>
        <w:rPr>
          <w:rFonts w:hint="eastAsia"/>
          <w:szCs w:val="21"/>
        </w:rPr>
        <w:t>）流行病学、病因、影响发作的因素；</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w:t>
      </w:r>
      <w:r>
        <w:rPr>
          <w:szCs w:val="21"/>
        </w:rPr>
        <w:t>2</w:t>
      </w:r>
      <w:r>
        <w:rPr>
          <w:rFonts w:hint="eastAsia"/>
          <w:szCs w:val="21"/>
        </w:rPr>
        <w:t>）发病机制、病理。</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癫痫的分类：癫痫发作的分类（部分性发作、全面性发作）；癫痫或癫痫综合征分类（与部位相关的癫痫、全面性癫痫和癫痫综合征、不能确定为部分性或全面性的癫痫综合征、特殊综合征）及各类癫痫的表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、癫痫的诊断与鉴别诊断：病史、体检、辅助检查（</w:t>
      </w:r>
      <w:r>
        <w:rPr>
          <w:szCs w:val="21"/>
        </w:rPr>
        <w:t>EEG</w:t>
      </w:r>
      <w:r>
        <w:rPr>
          <w:rFonts w:hint="eastAsia"/>
          <w:szCs w:val="21"/>
        </w:rPr>
        <w:t>及其诊断价值、神经影响学检查）、与癔病、晕厥、偏头痛等相鉴别。疑为继发性癫痫者应寻找病因；</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、癫痫的治疗：药物治疗的一般原则、常用的抗癫痫药物、手术治疗；</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5</w:t>
      </w:r>
      <w:r>
        <w:rPr>
          <w:rFonts w:hint="eastAsia"/>
          <w:szCs w:val="21"/>
        </w:rPr>
        <w:t>、癫痫持续状态及治疗：癫痫持续状态的定义、分类与临床表现。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20"/>
        <w:jc w:val="center"/>
        <w:rPr>
          <w:b/>
          <w:sz w:val="28"/>
        </w:rPr>
      </w:pPr>
      <w:r>
        <w:rPr>
          <w:rFonts w:hint="eastAsia"/>
          <w:b/>
          <w:sz w:val="28"/>
        </w:rPr>
        <w:t>第九章</w:t>
      </w:r>
      <w:r>
        <w:rPr>
          <w:b/>
          <w:sz w:val="28"/>
        </w:rPr>
        <w:t xml:space="preserve"> </w:t>
      </w:r>
      <w:r>
        <w:rPr>
          <w:rFonts w:hint="eastAsia"/>
          <w:b/>
          <w:sz w:val="28"/>
        </w:rPr>
        <w:t>多发性硬化</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szCs w:val="21"/>
        </w:rPr>
      </w:pPr>
      <w:r>
        <w:rPr>
          <w:szCs w:val="21"/>
        </w:rPr>
        <w:t xml:space="preserve">    1</w:t>
      </w:r>
      <w:r>
        <w:rPr>
          <w:rFonts w:hint="eastAsia"/>
          <w:szCs w:val="21"/>
        </w:rPr>
        <w:t>、了解脱髓鞘疾病的概念、分类；</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、熟悉多发性硬化的病因、发病机制、临床表现、诊断与鉴别诊断；</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、掌握多发性硬化的急性发作期和预防复发的药物治疗临床表现、诊断和治疗。</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、病因和发病机制：尚不明确。目前认为是自身免疫性疾病，可能与病毒感染、环境因素、遗传因素有关；</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、临床表现：多为亚急性起病，年龄与性别的分布特征，重点介绍临床表现中枢神经系统的时间与空间多发性，影像学特征表现、脑脊液及脑电诱发电位等辅助检查的变化；</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3</w:t>
      </w:r>
      <w:r>
        <w:rPr>
          <w:rFonts w:hint="eastAsia"/>
          <w:szCs w:val="21"/>
        </w:rPr>
        <w:t>、诊断与鉴别诊断：</w:t>
      </w:r>
      <w:r>
        <w:rPr>
          <w:szCs w:val="21"/>
        </w:rPr>
        <w:t>McDonald</w:t>
      </w:r>
      <w:r>
        <w:rPr>
          <w:rFonts w:hint="eastAsia"/>
          <w:szCs w:val="21"/>
        </w:rPr>
        <w:t>诊断标准。与急性脑脊髓炎、脊髓压迫症等鉴别；</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4</w:t>
      </w:r>
      <w:r>
        <w:rPr>
          <w:rFonts w:hint="eastAsia"/>
          <w:szCs w:val="21"/>
        </w:rPr>
        <w:t>、治疗：急性发作期皮质类固醇和其他免疫治疗。</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jc w:val="center"/>
        <w:rPr>
          <w:b/>
          <w:sz w:val="28"/>
          <w:szCs w:val="28"/>
        </w:rPr>
      </w:pPr>
      <w:r>
        <w:rPr>
          <w:rFonts w:hint="eastAsia"/>
          <w:b/>
          <w:sz w:val="28"/>
          <w:szCs w:val="28"/>
        </w:rPr>
        <w:t>第十章</w:t>
      </w:r>
      <w:r>
        <w:rPr>
          <w:b/>
          <w:sz w:val="28"/>
          <w:szCs w:val="28"/>
        </w:rPr>
        <w:t xml:space="preserve"> </w:t>
      </w:r>
      <w:r>
        <w:rPr>
          <w:rFonts w:hint="eastAsia"/>
          <w:b/>
          <w:sz w:val="28"/>
          <w:szCs w:val="28"/>
        </w:rPr>
        <w:t>神经</w:t>
      </w:r>
      <w:r>
        <w:rPr>
          <w:b/>
          <w:sz w:val="28"/>
          <w:szCs w:val="28"/>
        </w:rPr>
        <w:t>-</w:t>
      </w:r>
      <w:r>
        <w:rPr>
          <w:rFonts w:hint="eastAsia"/>
          <w:b/>
          <w:sz w:val="28"/>
          <w:szCs w:val="28"/>
        </w:rPr>
        <w:t>肌肉接头及肌肉疾病</w:t>
      </w:r>
      <w:r>
        <w:rPr>
          <w:b/>
          <w:sz w:val="28"/>
          <w:szCs w:val="28"/>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szCs w:val="24"/>
        </w:rPr>
      </w:pPr>
      <w:r>
        <w:rPr>
          <w:rFonts w:hint="eastAsia"/>
          <w:b/>
          <w:sz w:val="24"/>
          <w:szCs w:val="24"/>
        </w:rPr>
        <w:t>概述</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szCs w:val="21"/>
        </w:rPr>
      </w:pPr>
      <w:r>
        <w:rPr>
          <w:szCs w:val="21"/>
        </w:rPr>
        <w:t xml:space="preserve">    </w:t>
      </w:r>
      <w:r>
        <w:rPr>
          <w:rFonts w:hint="eastAsia"/>
          <w:szCs w:val="21"/>
        </w:rPr>
        <w:t>复习肌肉的组织结构和收缩生理。乙酰胆碱在肌收缩中的作用。</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szCs w:val="24"/>
        </w:rPr>
      </w:pPr>
      <w:r>
        <w:rPr>
          <w:rFonts w:hint="eastAsia"/>
          <w:b/>
          <w:sz w:val="24"/>
          <w:szCs w:val="24"/>
        </w:rPr>
        <w:t>重症肌无力</w:t>
      </w:r>
      <w:r>
        <w:rPr>
          <w:b/>
          <w:sz w:val="24"/>
          <w:szCs w:val="24"/>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05"/>
        <w:rPr>
          <w:szCs w:val="21"/>
        </w:rPr>
      </w:pPr>
      <w:r>
        <w:rPr>
          <w:szCs w:val="21"/>
        </w:rPr>
        <w:t>1</w:t>
      </w:r>
      <w:r>
        <w:rPr>
          <w:rFonts w:hint="eastAsia"/>
          <w:szCs w:val="21"/>
        </w:rPr>
        <w:t>、熟悉重症肌无力的病因及发病机制；</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05"/>
        <w:rPr>
          <w:szCs w:val="21"/>
        </w:rPr>
      </w:pPr>
      <w:r>
        <w:rPr>
          <w:szCs w:val="21"/>
        </w:rPr>
        <w:t>2</w:t>
      </w:r>
      <w:r>
        <w:rPr>
          <w:rFonts w:hint="eastAsia"/>
          <w:szCs w:val="21"/>
        </w:rPr>
        <w:t>、掌握重症肌无力的概念、临床表现与分型、诊断与治疗。</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05"/>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szCs w:val="21"/>
        </w:rPr>
      </w:pPr>
      <w:r>
        <w:rPr>
          <w:szCs w:val="21"/>
        </w:rPr>
        <w:t xml:space="preserve">    1</w:t>
      </w:r>
      <w:r>
        <w:rPr>
          <w:rFonts w:hint="eastAsia"/>
          <w:szCs w:val="21"/>
        </w:rPr>
        <w:t>、病因与发病机制：简要介绍重症肌无力的发病原理与运动神经末梢突触后膜的乙酰胆碱受体减数有关，而后者是相应抗体免疫反应的结果；</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szCs w:val="21"/>
        </w:rPr>
      </w:pPr>
      <w:r>
        <w:rPr>
          <w:szCs w:val="21"/>
        </w:rPr>
        <w:t xml:space="preserve">    2</w:t>
      </w:r>
      <w:r>
        <w:rPr>
          <w:rFonts w:hint="eastAsia"/>
          <w:szCs w:val="21"/>
        </w:rPr>
        <w:t>、临床表现：结合本病病肌特别是眼外肌易疲劳性的特征</w:t>
      </w:r>
      <w:r>
        <w:rPr>
          <w:szCs w:val="21"/>
        </w:rPr>
        <w:t>,</w:t>
      </w:r>
      <w:r>
        <w:rPr>
          <w:rFonts w:hint="eastAsia"/>
          <w:szCs w:val="21"/>
        </w:rPr>
        <w:t>介绍各型的临床表现，说明何谓危象</w:t>
      </w:r>
      <w:r>
        <w:rPr>
          <w:szCs w:val="21"/>
        </w:rPr>
        <w:t xml:space="preserve">, </w:t>
      </w:r>
      <w:r>
        <w:rPr>
          <w:rFonts w:hint="eastAsia"/>
          <w:szCs w:val="21"/>
        </w:rPr>
        <w:t>介绍危象的原因与鉴别点；</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szCs w:val="21"/>
        </w:rPr>
      </w:pPr>
      <w:r>
        <w:rPr>
          <w:szCs w:val="21"/>
        </w:rPr>
        <w:t xml:space="preserve">    3</w:t>
      </w:r>
      <w:r>
        <w:rPr>
          <w:rFonts w:hint="eastAsia"/>
          <w:szCs w:val="21"/>
        </w:rPr>
        <w:t>、诊断与鉴别诊断：诊断的主要依据是包括疲劳试验在内的临床表现</w:t>
      </w:r>
      <w:r>
        <w:rPr>
          <w:szCs w:val="21"/>
        </w:rPr>
        <w:t>,</w:t>
      </w:r>
      <w:r>
        <w:rPr>
          <w:rFonts w:hint="eastAsia"/>
          <w:szCs w:val="21"/>
        </w:rPr>
        <w:t>必要时进行药物试验与电刺激试验。须注意有无胸腺肿瘤，与甲状腺功能肿瘤、肌无力综合症相鉴别；</w:t>
      </w:r>
      <w:r>
        <w:rPr>
          <w:szCs w:val="21"/>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20"/>
        <w:rPr>
          <w:szCs w:val="21"/>
        </w:rPr>
      </w:pPr>
      <w:r>
        <w:rPr>
          <w:szCs w:val="21"/>
        </w:rPr>
        <w:t>4</w:t>
      </w:r>
      <w:r>
        <w:rPr>
          <w:rFonts w:hint="eastAsia"/>
          <w:szCs w:val="21"/>
        </w:rPr>
        <w:t>、治疗：抗胆碱酯酶药物、肾上腺皮质激素等治疗</w:t>
      </w:r>
      <w:r>
        <w:rPr>
          <w:szCs w:val="21"/>
        </w:rPr>
        <w:t xml:space="preserve">, </w:t>
      </w:r>
      <w:r>
        <w:rPr>
          <w:rFonts w:hint="eastAsia"/>
          <w:szCs w:val="21"/>
        </w:rPr>
        <w:t>以及胸腺手术，危象处理。</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rPr>
          <w:b/>
          <w:sz w:val="24"/>
          <w:szCs w:val="24"/>
        </w:rPr>
      </w:pPr>
      <w:r>
        <w:rPr>
          <w:rFonts w:hint="eastAsia"/>
          <w:b/>
          <w:sz w:val="24"/>
          <w:szCs w:val="24"/>
        </w:rPr>
        <w:t>周期性麻痹</w:t>
      </w:r>
      <w:r>
        <w:rPr>
          <w:b/>
          <w:sz w:val="24"/>
          <w:szCs w:val="24"/>
        </w:rPr>
        <w:t xml:space="preserve"> </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lastRenderedPageBreak/>
        <w:t>一、学习目的要求</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1</w:t>
      </w:r>
      <w:r>
        <w:rPr>
          <w:rFonts w:hint="eastAsia"/>
          <w:szCs w:val="21"/>
        </w:rPr>
        <w:t>、熟悉周期性麻痹的病因和发病机制；</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szCs w:val="21"/>
        </w:rPr>
        <w:t>2</w:t>
      </w:r>
      <w:r>
        <w:rPr>
          <w:rFonts w:hint="eastAsia"/>
          <w:szCs w:val="21"/>
        </w:rPr>
        <w:t>、掌握周期性麻痹的临床表现与诊断、鉴别诊断。</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Chars="200" w:firstLine="420"/>
        <w:rPr>
          <w:szCs w:val="21"/>
        </w:rPr>
      </w:pPr>
      <w:r>
        <w:rPr>
          <w:rFonts w:hint="eastAsia"/>
          <w:szCs w:val="21"/>
        </w:rPr>
        <w:t>二、教学内容</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20"/>
        <w:rPr>
          <w:szCs w:val="21"/>
        </w:rPr>
      </w:pPr>
      <w:r>
        <w:rPr>
          <w:szCs w:val="21"/>
        </w:rPr>
        <w:t>1</w:t>
      </w:r>
      <w:r>
        <w:rPr>
          <w:rFonts w:hint="eastAsia"/>
          <w:szCs w:val="21"/>
        </w:rPr>
        <w:t>、病因与发病机制：低钾性周期性麻痹属于常染色体显性遗传疾病，钾、碳水化合物代谢异常，肌肉细胞动作电位异常；</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20"/>
        <w:rPr>
          <w:szCs w:val="21"/>
        </w:rPr>
      </w:pPr>
      <w:r>
        <w:rPr>
          <w:szCs w:val="21"/>
        </w:rPr>
        <w:t>2</w:t>
      </w:r>
      <w:r>
        <w:rPr>
          <w:rFonts w:hint="eastAsia"/>
          <w:szCs w:val="21"/>
        </w:rPr>
        <w:t>、临床表现：反复发作的全身无力，常有某种诱因。临床常见低血钾型，另有高血钾和正常血钾型；</w:t>
      </w:r>
    </w:p>
    <w:p w:rsidR="003717A0" w:rsidRDefault="003717A0">
      <w:pPr>
        <w:tabs>
          <w:tab w:val="left" w:pos="0"/>
          <w:tab w:val="left" w:pos="720"/>
          <w:tab w:val="left" w:pos="1440"/>
          <w:tab w:val="left" w:pos="2160"/>
          <w:tab w:val="left" w:pos="2880"/>
          <w:tab w:val="left" w:pos="3600"/>
          <w:tab w:val="left" w:pos="4320"/>
        </w:tabs>
        <w:autoSpaceDE w:val="0"/>
        <w:autoSpaceDN w:val="0"/>
        <w:spacing w:line="240" w:lineRule="atLeast"/>
        <w:ind w:firstLine="420"/>
        <w:rPr>
          <w:szCs w:val="21"/>
        </w:rPr>
      </w:pPr>
      <w:r>
        <w:rPr>
          <w:szCs w:val="21"/>
        </w:rPr>
        <w:t>3</w:t>
      </w:r>
      <w:r>
        <w:rPr>
          <w:rFonts w:hint="eastAsia"/>
          <w:szCs w:val="21"/>
        </w:rPr>
        <w:t>、诊断与鉴别诊断：诊断依据发作过程、血钾改变和心电图变化。注意合并甲状腺机能亢进。与引起低钾的其他全身性疾病、多发性神经根神经炎、癔病性瘫痪鉴别；</w:t>
      </w:r>
    </w:p>
    <w:p w:rsidR="003717A0" w:rsidRDefault="003717A0">
      <w:pPr>
        <w:spacing w:line="240" w:lineRule="atLeast"/>
        <w:rPr>
          <w:sz w:val="24"/>
        </w:rPr>
      </w:pPr>
      <w:r>
        <w:rPr>
          <w:szCs w:val="21"/>
        </w:rPr>
        <w:t xml:space="preserve">   4</w:t>
      </w:r>
      <w:r>
        <w:rPr>
          <w:rFonts w:hint="eastAsia"/>
          <w:szCs w:val="21"/>
        </w:rPr>
        <w:t>、治疗：补钾，治疗甲亢，注意预防发作诱因。</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hint="eastAsia"/>
          <w:b/>
          <w:sz w:val="28"/>
          <w:szCs w:val="28"/>
        </w:rPr>
        <w:t>课程学时分配</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3969"/>
        <w:gridCol w:w="1134"/>
        <w:gridCol w:w="1276"/>
        <w:gridCol w:w="1276"/>
      </w:tblGrid>
      <w:tr w:rsidR="003717A0">
        <w:tc>
          <w:tcPr>
            <w:tcW w:w="708" w:type="dxa"/>
            <w:vAlign w:val="center"/>
          </w:tcPr>
          <w:p w:rsidR="003717A0" w:rsidRDefault="003717A0">
            <w:pPr>
              <w:spacing w:line="360" w:lineRule="auto"/>
              <w:jc w:val="center"/>
              <w:rPr>
                <w:rFonts w:ascii="Times New Roman" w:hAnsi="Times New Roman"/>
                <w:szCs w:val="21"/>
              </w:rPr>
            </w:pPr>
            <w:r>
              <w:rPr>
                <w:rFonts w:ascii="Times New Roman" w:hAnsi="宋体" w:hint="eastAsia"/>
                <w:szCs w:val="21"/>
              </w:rPr>
              <w:t>序号</w:t>
            </w:r>
          </w:p>
        </w:tc>
        <w:tc>
          <w:tcPr>
            <w:tcW w:w="3969" w:type="dxa"/>
            <w:vAlign w:val="center"/>
          </w:tcPr>
          <w:p w:rsidR="003717A0" w:rsidRDefault="003717A0">
            <w:pPr>
              <w:spacing w:line="360" w:lineRule="auto"/>
              <w:jc w:val="center"/>
              <w:rPr>
                <w:rFonts w:ascii="Times New Roman" w:hAnsi="Times New Roman"/>
                <w:szCs w:val="21"/>
              </w:rPr>
            </w:pPr>
            <w:r>
              <w:rPr>
                <w:rFonts w:ascii="Times New Roman" w:hAnsi="宋体" w:hint="eastAsia"/>
                <w:szCs w:val="21"/>
              </w:rPr>
              <w:t>理论内容</w:t>
            </w:r>
          </w:p>
        </w:tc>
        <w:tc>
          <w:tcPr>
            <w:tcW w:w="1134" w:type="dxa"/>
            <w:vAlign w:val="center"/>
          </w:tcPr>
          <w:p w:rsidR="003717A0" w:rsidRDefault="003717A0">
            <w:pPr>
              <w:spacing w:line="360" w:lineRule="auto"/>
              <w:jc w:val="center"/>
              <w:rPr>
                <w:rFonts w:ascii="Times New Roman" w:hAnsi="Times New Roman"/>
                <w:szCs w:val="21"/>
              </w:rPr>
            </w:pPr>
            <w:r>
              <w:rPr>
                <w:rFonts w:ascii="Times New Roman" w:hAnsi="宋体" w:hint="eastAsia"/>
                <w:szCs w:val="21"/>
              </w:rPr>
              <w:t>理论学时</w:t>
            </w:r>
          </w:p>
        </w:tc>
        <w:tc>
          <w:tcPr>
            <w:tcW w:w="1276" w:type="dxa"/>
          </w:tcPr>
          <w:p w:rsidR="003717A0" w:rsidRDefault="003717A0">
            <w:pPr>
              <w:spacing w:line="360" w:lineRule="auto"/>
              <w:jc w:val="center"/>
              <w:rPr>
                <w:rFonts w:ascii="Times New Roman" w:hAnsi="宋体"/>
                <w:szCs w:val="21"/>
              </w:rPr>
            </w:pPr>
            <w:r>
              <w:rPr>
                <w:rFonts w:ascii="Times New Roman" w:hAnsi="宋体" w:hint="eastAsia"/>
                <w:szCs w:val="21"/>
              </w:rPr>
              <w:t>见习内容</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宋体" w:hint="eastAsia"/>
                <w:szCs w:val="21"/>
              </w:rPr>
              <w:t>见习学时</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1</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总论</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vAlign w:val="center"/>
          </w:tcPr>
          <w:p w:rsidR="003717A0" w:rsidRDefault="003717A0">
            <w:pPr>
              <w:rPr>
                <w:rFonts w:ascii="宋体" w:cs="宋体"/>
                <w:sz w:val="20"/>
                <w:szCs w:val="20"/>
              </w:rPr>
            </w:pPr>
            <w:r>
              <w:rPr>
                <w:rFonts w:ascii="Times New Roman" w:hAnsi="Times New Roman" w:hint="eastAsia"/>
                <w:sz w:val="20"/>
                <w:szCs w:val="20"/>
              </w:rPr>
              <w:t>神经学体格检查（一）</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2</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总论</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vAlign w:val="center"/>
          </w:tcPr>
          <w:p w:rsidR="003717A0" w:rsidRDefault="003717A0">
            <w:pPr>
              <w:rPr>
                <w:rFonts w:ascii="宋体" w:cs="宋体"/>
                <w:sz w:val="20"/>
                <w:szCs w:val="20"/>
              </w:rPr>
            </w:pPr>
            <w:r>
              <w:rPr>
                <w:rFonts w:ascii="Times New Roman" w:hAnsi="Times New Roman" w:hint="eastAsia"/>
                <w:sz w:val="20"/>
                <w:szCs w:val="20"/>
              </w:rPr>
              <w:t>神经学体格检查（二）</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3</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脑血管疾病（</w:t>
            </w:r>
            <w:r>
              <w:rPr>
                <w:rFonts w:ascii="Times New Roman" w:hAnsi="Times New Roman"/>
                <w:sz w:val="20"/>
                <w:szCs w:val="20"/>
              </w:rPr>
              <w:t>1</w:t>
            </w:r>
            <w:r>
              <w:rPr>
                <w:rFonts w:ascii="Times New Roman" w:hAnsi="Times New Roman" w:hint="eastAsia"/>
                <w:sz w:val="20"/>
                <w:szCs w:val="20"/>
              </w:rPr>
              <w:t>）</w:t>
            </w:r>
            <w:r>
              <w:rPr>
                <w:rFonts w:ascii="Times New Roman" w:hAnsi="Times New Roman"/>
                <w:sz w:val="20"/>
                <w:szCs w:val="20"/>
              </w:rPr>
              <w:t>TIA</w:t>
            </w:r>
            <w:r>
              <w:rPr>
                <w:rFonts w:ascii="Times New Roman" w:hAnsi="Times New Roman" w:hint="eastAsia"/>
                <w:sz w:val="20"/>
                <w:szCs w:val="20"/>
              </w:rPr>
              <w:t>（</w:t>
            </w:r>
            <w:r>
              <w:rPr>
                <w:rFonts w:ascii="Times New Roman" w:hAnsi="Times New Roman"/>
                <w:sz w:val="20"/>
                <w:szCs w:val="20"/>
              </w:rPr>
              <w:t>2</w:t>
            </w:r>
            <w:r>
              <w:rPr>
                <w:rFonts w:ascii="Times New Roman" w:hAnsi="Times New Roman" w:hint="eastAsia"/>
                <w:sz w:val="20"/>
                <w:szCs w:val="20"/>
              </w:rPr>
              <w:t>）脑梗死（</w:t>
            </w:r>
            <w:r>
              <w:rPr>
                <w:rFonts w:ascii="Times New Roman" w:hAnsi="Times New Roman"/>
                <w:sz w:val="20"/>
                <w:szCs w:val="20"/>
              </w:rPr>
              <w:t>3</w:t>
            </w:r>
            <w:r>
              <w:rPr>
                <w:rFonts w:ascii="Times New Roman" w:hAnsi="Times New Roman" w:hint="eastAsia"/>
                <w:sz w:val="20"/>
                <w:szCs w:val="20"/>
              </w:rPr>
              <w:t>）脑出血（</w:t>
            </w:r>
            <w:r>
              <w:rPr>
                <w:rFonts w:ascii="Times New Roman" w:hAnsi="Times New Roman"/>
                <w:sz w:val="20"/>
                <w:szCs w:val="20"/>
              </w:rPr>
              <w:t>4</w:t>
            </w:r>
            <w:r>
              <w:rPr>
                <w:rFonts w:ascii="Times New Roman" w:hAnsi="Times New Roman" w:hint="eastAsia"/>
                <w:sz w:val="20"/>
                <w:szCs w:val="20"/>
              </w:rPr>
              <w:t>）蛛网膜下腔出血</w:t>
            </w:r>
          </w:p>
        </w:tc>
        <w:tc>
          <w:tcPr>
            <w:tcW w:w="1134" w:type="dxa"/>
            <w:vAlign w:val="center"/>
          </w:tcPr>
          <w:p w:rsidR="003717A0" w:rsidRDefault="003717A0">
            <w:pPr>
              <w:jc w:val="center"/>
              <w:rPr>
                <w:rFonts w:ascii="宋体" w:cs="宋体"/>
                <w:sz w:val="24"/>
                <w:szCs w:val="24"/>
              </w:rPr>
            </w:pPr>
            <w:r>
              <w:rPr>
                <w:rFonts w:ascii="Times New Roman" w:hAnsi="Times New Roman"/>
              </w:rPr>
              <w:t>4</w:t>
            </w:r>
          </w:p>
        </w:tc>
        <w:tc>
          <w:tcPr>
            <w:tcW w:w="1276" w:type="dxa"/>
            <w:vAlign w:val="center"/>
          </w:tcPr>
          <w:p w:rsidR="003717A0" w:rsidRDefault="003717A0">
            <w:pPr>
              <w:rPr>
                <w:rFonts w:ascii="宋体" w:cs="宋体"/>
                <w:sz w:val="20"/>
                <w:szCs w:val="20"/>
              </w:rPr>
            </w:pPr>
            <w:r>
              <w:rPr>
                <w:rFonts w:ascii="Times New Roman" w:hAnsi="Times New Roman" w:hint="eastAsia"/>
                <w:sz w:val="20"/>
                <w:szCs w:val="20"/>
              </w:rPr>
              <w:t>脑血管疾病</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4</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周围神经病（</w:t>
            </w:r>
            <w:r>
              <w:rPr>
                <w:rFonts w:ascii="Times New Roman" w:hAnsi="Times New Roman"/>
                <w:sz w:val="20"/>
                <w:szCs w:val="20"/>
              </w:rPr>
              <w:t>1</w:t>
            </w:r>
            <w:r>
              <w:rPr>
                <w:rFonts w:ascii="Times New Roman" w:hAnsi="Times New Roman" w:hint="eastAsia"/>
                <w:sz w:val="20"/>
                <w:szCs w:val="20"/>
              </w:rPr>
              <w:t>）急性炎症性脱髓鞘性多发性神经病（</w:t>
            </w:r>
            <w:r>
              <w:rPr>
                <w:rFonts w:ascii="Times New Roman" w:hAnsi="Times New Roman"/>
                <w:sz w:val="20"/>
                <w:szCs w:val="20"/>
              </w:rPr>
              <w:t>2</w:t>
            </w:r>
            <w:r>
              <w:rPr>
                <w:rFonts w:ascii="Times New Roman" w:hAnsi="Times New Roman" w:hint="eastAsia"/>
                <w:sz w:val="20"/>
                <w:szCs w:val="20"/>
              </w:rPr>
              <w:t>）面神经炎（</w:t>
            </w:r>
            <w:r>
              <w:rPr>
                <w:rFonts w:ascii="Times New Roman" w:hAnsi="Times New Roman"/>
                <w:sz w:val="20"/>
                <w:szCs w:val="20"/>
              </w:rPr>
              <w:t>3</w:t>
            </w:r>
            <w:r>
              <w:rPr>
                <w:rFonts w:ascii="Times New Roman" w:hAnsi="Times New Roman" w:hint="eastAsia"/>
                <w:sz w:val="20"/>
                <w:szCs w:val="20"/>
              </w:rPr>
              <w:t>）三叉神经痛</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vAlign w:val="center"/>
          </w:tcPr>
          <w:p w:rsidR="003717A0" w:rsidRDefault="003717A0">
            <w:pPr>
              <w:rPr>
                <w:rFonts w:ascii="宋体" w:cs="宋体"/>
                <w:sz w:val="20"/>
                <w:szCs w:val="20"/>
              </w:rPr>
            </w:pPr>
            <w:r>
              <w:rPr>
                <w:rFonts w:ascii="Times New Roman" w:hAnsi="Times New Roman" w:hint="eastAsia"/>
                <w:sz w:val="20"/>
                <w:szCs w:val="20"/>
              </w:rPr>
              <w:t>周围神经病</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5</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偏头痛</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vAlign w:val="center"/>
          </w:tcPr>
          <w:p w:rsidR="003717A0" w:rsidRDefault="003717A0">
            <w:pPr>
              <w:rPr>
                <w:rFonts w:ascii="宋体" w:cs="宋体"/>
                <w:sz w:val="20"/>
                <w:szCs w:val="20"/>
              </w:rPr>
            </w:pPr>
            <w:r>
              <w:rPr>
                <w:rFonts w:ascii="Times New Roman" w:hAnsi="Times New Roman" w:hint="eastAsia"/>
                <w:sz w:val="20"/>
                <w:szCs w:val="20"/>
              </w:rPr>
              <w:t>脊髓病变</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6</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脊髓病变（</w:t>
            </w:r>
            <w:r>
              <w:rPr>
                <w:rFonts w:ascii="Times New Roman" w:hAnsi="Times New Roman"/>
                <w:sz w:val="20"/>
                <w:szCs w:val="20"/>
              </w:rPr>
              <w:t>1</w:t>
            </w:r>
            <w:r>
              <w:rPr>
                <w:rFonts w:ascii="Times New Roman" w:hAnsi="Times New Roman" w:hint="eastAsia"/>
                <w:sz w:val="20"/>
                <w:szCs w:val="20"/>
              </w:rPr>
              <w:t>）脊髓炎（</w:t>
            </w:r>
            <w:r>
              <w:rPr>
                <w:rFonts w:ascii="Times New Roman" w:hAnsi="Times New Roman"/>
                <w:sz w:val="20"/>
                <w:szCs w:val="20"/>
              </w:rPr>
              <w:t>2</w:t>
            </w:r>
            <w:r>
              <w:rPr>
                <w:rFonts w:ascii="Times New Roman" w:hAnsi="Times New Roman" w:hint="eastAsia"/>
                <w:sz w:val="20"/>
                <w:szCs w:val="20"/>
              </w:rPr>
              <w:t>）脊髓压迫症</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vAlign w:val="center"/>
          </w:tcPr>
          <w:p w:rsidR="003717A0" w:rsidRDefault="003717A0">
            <w:pPr>
              <w:rPr>
                <w:rFonts w:ascii="宋体" w:cs="宋体"/>
                <w:sz w:val="20"/>
                <w:szCs w:val="20"/>
              </w:rPr>
            </w:pPr>
            <w:r>
              <w:rPr>
                <w:rFonts w:ascii="Times New Roman" w:hAnsi="Times New Roman" w:hint="eastAsia"/>
                <w:sz w:val="20"/>
                <w:szCs w:val="20"/>
              </w:rPr>
              <w:t>电化教学</w:t>
            </w: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w:t>
            </w: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7</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重症肌无力、低钾性麻痹</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tcPr>
          <w:p w:rsidR="003717A0" w:rsidRDefault="003717A0">
            <w:pPr>
              <w:spacing w:line="360" w:lineRule="auto"/>
              <w:jc w:val="center"/>
              <w:rPr>
                <w:rFonts w:ascii="Times New Roman" w:hAnsi="Times New Roman"/>
                <w:szCs w:val="21"/>
              </w:rPr>
            </w:pPr>
          </w:p>
        </w:tc>
        <w:tc>
          <w:tcPr>
            <w:tcW w:w="1276" w:type="dxa"/>
            <w:vAlign w:val="center"/>
          </w:tcPr>
          <w:p w:rsidR="003717A0" w:rsidRDefault="003717A0">
            <w:pPr>
              <w:spacing w:line="360" w:lineRule="auto"/>
              <w:jc w:val="center"/>
              <w:rPr>
                <w:rFonts w:ascii="Times New Roman" w:hAnsi="Times New Roman"/>
                <w:szCs w:val="21"/>
              </w:rPr>
            </w:pP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8</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癫痫</w:t>
            </w:r>
          </w:p>
        </w:tc>
        <w:tc>
          <w:tcPr>
            <w:tcW w:w="1134" w:type="dxa"/>
            <w:vAlign w:val="center"/>
          </w:tcPr>
          <w:p w:rsidR="003717A0" w:rsidRDefault="003717A0">
            <w:pPr>
              <w:jc w:val="center"/>
              <w:rPr>
                <w:rFonts w:ascii="宋体" w:cs="宋体"/>
                <w:sz w:val="24"/>
                <w:szCs w:val="24"/>
              </w:rPr>
            </w:pPr>
            <w:r>
              <w:rPr>
                <w:rFonts w:ascii="Times New Roman" w:hAnsi="Times New Roman"/>
              </w:rPr>
              <w:t>4</w:t>
            </w:r>
          </w:p>
        </w:tc>
        <w:tc>
          <w:tcPr>
            <w:tcW w:w="1276" w:type="dxa"/>
          </w:tcPr>
          <w:p w:rsidR="003717A0" w:rsidRDefault="003717A0">
            <w:pPr>
              <w:spacing w:line="360" w:lineRule="auto"/>
              <w:jc w:val="center"/>
              <w:rPr>
                <w:rFonts w:ascii="Times New Roman" w:hAnsi="Times New Roman"/>
                <w:szCs w:val="21"/>
              </w:rPr>
            </w:pPr>
          </w:p>
        </w:tc>
        <w:tc>
          <w:tcPr>
            <w:tcW w:w="1276" w:type="dxa"/>
            <w:vAlign w:val="center"/>
          </w:tcPr>
          <w:p w:rsidR="003717A0" w:rsidRDefault="003717A0">
            <w:pPr>
              <w:spacing w:line="360" w:lineRule="auto"/>
              <w:jc w:val="center"/>
              <w:rPr>
                <w:rFonts w:ascii="Times New Roman" w:hAnsi="Times New Roman"/>
                <w:szCs w:val="21"/>
              </w:rPr>
            </w:pP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9</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病毒性脑炎</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tcPr>
          <w:p w:rsidR="003717A0" w:rsidRDefault="003717A0">
            <w:pPr>
              <w:spacing w:line="360" w:lineRule="auto"/>
              <w:jc w:val="center"/>
              <w:rPr>
                <w:rFonts w:ascii="Times New Roman" w:hAnsi="Times New Roman"/>
                <w:szCs w:val="21"/>
              </w:rPr>
            </w:pPr>
          </w:p>
        </w:tc>
        <w:tc>
          <w:tcPr>
            <w:tcW w:w="1276" w:type="dxa"/>
            <w:vAlign w:val="center"/>
          </w:tcPr>
          <w:p w:rsidR="003717A0" w:rsidRDefault="003717A0">
            <w:pPr>
              <w:spacing w:line="360" w:lineRule="auto"/>
              <w:jc w:val="center"/>
              <w:rPr>
                <w:rFonts w:ascii="Times New Roman" w:hAnsi="Times New Roman"/>
                <w:szCs w:val="21"/>
              </w:rPr>
            </w:pPr>
          </w:p>
        </w:tc>
      </w:tr>
      <w:tr w:rsidR="003717A0">
        <w:tc>
          <w:tcPr>
            <w:tcW w:w="708" w:type="dxa"/>
            <w:vAlign w:val="center"/>
          </w:tcPr>
          <w:p w:rsidR="003717A0" w:rsidRDefault="003717A0">
            <w:pPr>
              <w:jc w:val="center"/>
              <w:rPr>
                <w:rFonts w:ascii="宋体" w:cs="宋体"/>
                <w:sz w:val="24"/>
                <w:szCs w:val="24"/>
              </w:rPr>
            </w:pPr>
            <w:r>
              <w:rPr>
                <w:rFonts w:ascii="Times New Roman" w:hAnsi="Times New Roman"/>
              </w:rPr>
              <w:t>10</w:t>
            </w:r>
          </w:p>
        </w:tc>
        <w:tc>
          <w:tcPr>
            <w:tcW w:w="3969" w:type="dxa"/>
            <w:vAlign w:val="center"/>
          </w:tcPr>
          <w:p w:rsidR="003717A0" w:rsidRDefault="003717A0">
            <w:pPr>
              <w:rPr>
                <w:rFonts w:ascii="宋体" w:cs="宋体"/>
                <w:sz w:val="20"/>
                <w:szCs w:val="20"/>
              </w:rPr>
            </w:pPr>
            <w:r>
              <w:rPr>
                <w:rFonts w:ascii="Times New Roman" w:hAnsi="Times New Roman" w:hint="eastAsia"/>
                <w:sz w:val="20"/>
                <w:szCs w:val="20"/>
              </w:rPr>
              <w:t>震颤麻痹</w:t>
            </w:r>
          </w:p>
        </w:tc>
        <w:tc>
          <w:tcPr>
            <w:tcW w:w="1134" w:type="dxa"/>
            <w:vAlign w:val="center"/>
          </w:tcPr>
          <w:p w:rsidR="003717A0" w:rsidRDefault="003717A0">
            <w:pPr>
              <w:jc w:val="center"/>
              <w:rPr>
                <w:rFonts w:ascii="宋体" w:cs="宋体"/>
                <w:sz w:val="24"/>
                <w:szCs w:val="24"/>
              </w:rPr>
            </w:pPr>
            <w:r>
              <w:rPr>
                <w:rFonts w:ascii="Times New Roman" w:hAnsi="Times New Roman"/>
              </w:rPr>
              <w:t>2</w:t>
            </w:r>
          </w:p>
        </w:tc>
        <w:tc>
          <w:tcPr>
            <w:tcW w:w="1276" w:type="dxa"/>
          </w:tcPr>
          <w:p w:rsidR="003717A0" w:rsidRDefault="003717A0">
            <w:pPr>
              <w:spacing w:line="360" w:lineRule="auto"/>
              <w:jc w:val="center"/>
              <w:rPr>
                <w:rFonts w:ascii="Times New Roman" w:hAnsi="Times New Roman"/>
                <w:szCs w:val="21"/>
              </w:rPr>
            </w:pPr>
          </w:p>
        </w:tc>
        <w:tc>
          <w:tcPr>
            <w:tcW w:w="1276" w:type="dxa"/>
            <w:vAlign w:val="center"/>
          </w:tcPr>
          <w:p w:rsidR="003717A0" w:rsidRDefault="003717A0">
            <w:pPr>
              <w:spacing w:line="360" w:lineRule="auto"/>
              <w:jc w:val="center"/>
              <w:rPr>
                <w:rFonts w:ascii="Times New Roman" w:hAnsi="Times New Roman"/>
                <w:szCs w:val="21"/>
              </w:rPr>
            </w:pPr>
          </w:p>
        </w:tc>
      </w:tr>
      <w:tr w:rsidR="003717A0">
        <w:tc>
          <w:tcPr>
            <w:tcW w:w="708" w:type="dxa"/>
            <w:vAlign w:val="center"/>
          </w:tcPr>
          <w:p w:rsidR="003717A0" w:rsidRDefault="003717A0">
            <w:pPr>
              <w:spacing w:line="360" w:lineRule="auto"/>
              <w:jc w:val="center"/>
              <w:rPr>
                <w:rFonts w:ascii="Times New Roman" w:hAnsi="Times New Roman"/>
                <w:szCs w:val="21"/>
              </w:rPr>
            </w:pPr>
          </w:p>
        </w:tc>
        <w:tc>
          <w:tcPr>
            <w:tcW w:w="3969" w:type="dxa"/>
            <w:vAlign w:val="center"/>
          </w:tcPr>
          <w:p w:rsidR="003717A0" w:rsidRDefault="003717A0">
            <w:pPr>
              <w:spacing w:line="360" w:lineRule="auto"/>
              <w:jc w:val="center"/>
              <w:rPr>
                <w:rFonts w:ascii="Times New Roman" w:hAnsi="Times New Roman"/>
                <w:szCs w:val="21"/>
              </w:rPr>
            </w:pPr>
            <w:r>
              <w:rPr>
                <w:rFonts w:ascii="Times New Roman" w:hAnsi="宋体" w:hint="eastAsia"/>
                <w:szCs w:val="21"/>
              </w:rPr>
              <w:t>合</w:t>
            </w:r>
            <w:r>
              <w:rPr>
                <w:rFonts w:ascii="Times New Roman" w:hAnsi="Times New Roman"/>
                <w:szCs w:val="21"/>
              </w:rPr>
              <w:t xml:space="preserve">  </w:t>
            </w:r>
            <w:r>
              <w:rPr>
                <w:rFonts w:ascii="Times New Roman" w:hAnsi="宋体" w:hint="eastAsia"/>
                <w:szCs w:val="21"/>
              </w:rPr>
              <w:t>计</w:t>
            </w:r>
          </w:p>
        </w:tc>
        <w:tc>
          <w:tcPr>
            <w:tcW w:w="1134"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24</w:t>
            </w:r>
          </w:p>
        </w:tc>
        <w:tc>
          <w:tcPr>
            <w:tcW w:w="1276" w:type="dxa"/>
          </w:tcPr>
          <w:p w:rsidR="003717A0" w:rsidRDefault="003717A0">
            <w:pPr>
              <w:spacing w:line="360" w:lineRule="auto"/>
              <w:jc w:val="center"/>
              <w:rPr>
                <w:rFonts w:ascii="Times New Roman" w:hAnsi="Times New Roman"/>
                <w:szCs w:val="21"/>
              </w:rPr>
            </w:pPr>
          </w:p>
        </w:tc>
        <w:tc>
          <w:tcPr>
            <w:tcW w:w="1276" w:type="dxa"/>
            <w:vAlign w:val="center"/>
          </w:tcPr>
          <w:p w:rsidR="003717A0" w:rsidRDefault="003717A0">
            <w:pPr>
              <w:spacing w:line="360" w:lineRule="auto"/>
              <w:jc w:val="center"/>
              <w:rPr>
                <w:rFonts w:ascii="Times New Roman" w:hAnsi="Times New Roman"/>
                <w:szCs w:val="21"/>
              </w:rPr>
            </w:pPr>
            <w:r>
              <w:rPr>
                <w:rFonts w:ascii="Times New Roman" w:hAnsi="Times New Roman"/>
                <w:szCs w:val="21"/>
              </w:rPr>
              <w:t>12</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jc w:val="left"/>
        <w:rPr>
          <w:rFonts w:ascii="Times New Roman" w:eastAsia="黑体" w:hAnsi="Times New Roman"/>
          <w:kern w:val="0"/>
          <w:sz w:val="24"/>
          <w:szCs w:val="24"/>
        </w:rPr>
      </w:pPr>
      <w:r>
        <w:rPr>
          <w:rFonts w:hint="eastAsia"/>
          <w:sz w:val="22"/>
        </w:rPr>
        <w:t>多媒体教室、示教室、神经解剖模型、</w:t>
      </w:r>
      <w:r>
        <w:rPr>
          <w:sz w:val="22"/>
        </w:rPr>
        <w:t>X</w:t>
      </w:r>
      <w:r>
        <w:rPr>
          <w:rFonts w:hint="eastAsia"/>
          <w:sz w:val="22"/>
        </w:rPr>
        <w:t>片阅片灯等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此外平时采用课堂提问、见习病例讨论并及时讲解等多种形成性评价方法，结合临床实际引导学生掌握基本知识和基本理论，鼓励学生课外时间查阅资料了解最新进展。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理论课教材：贾建平、陈生弟主编，《神经病学》，人民卫生出版社，</w:t>
      </w:r>
      <w:r>
        <w:rPr>
          <w:rFonts w:ascii="Times New Roman" w:hAnsi="Times New Roman"/>
        </w:rPr>
        <w:t>2014.5</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w:t>
      </w:r>
    </w:p>
    <w:p w:rsidR="003717A0" w:rsidRDefault="003717A0">
      <w:pPr>
        <w:adjustRightInd w:val="0"/>
        <w:snapToGrid w:val="0"/>
        <w:spacing w:line="360" w:lineRule="auto"/>
        <w:ind w:right="4" w:firstLineChars="200" w:firstLine="420"/>
        <w:rPr>
          <w:szCs w:val="21"/>
        </w:rPr>
      </w:pPr>
      <w:r>
        <w:rPr>
          <w:rFonts w:hAnsi="宋体" w:hint="eastAsia"/>
          <w:szCs w:val="21"/>
        </w:rPr>
        <w:t>（</w:t>
      </w:r>
      <w:r>
        <w:rPr>
          <w:szCs w:val="21"/>
        </w:rPr>
        <w:t>1</w:t>
      </w:r>
      <w:r>
        <w:rPr>
          <w:rFonts w:hAnsi="宋体" w:hint="eastAsia"/>
          <w:szCs w:val="21"/>
        </w:rPr>
        <w:t>）史玉泉主编：《实用神经病学》，上海科学技术出版社，</w:t>
      </w:r>
      <w:r>
        <w:rPr>
          <w:szCs w:val="21"/>
        </w:rPr>
        <w:t>2004</w:t>
      </w:r>
      <w:r>
        <w:rPr>
          <w:rFonts w:hAnsi="宋体" w:hint="eastAsia"/>
          <w:szCs w:val="21"/>
        </w:rPr>
        <w:t>年。</w:t>
      </w:r>
    </w:p>
    <w:p w:rsidR="003717A0" w:rsidRDefault="003717A0">
      <w:pPr>
        <w:spacing w:line="360" w:lineRule="auto"/>
        <w:ind w:firstLineChars="200" w:firstLine="420"/>
        <w:rPr>
          <w:szCs w:val="21"/>
        </w:rPr>
      </w:pPr>
      <w:r>
        <w:rPr>
          <w:rFonts w:hAnsi="宋体" w:hint="eastAsia"/>
          <w:szCs w:val="21"/>
        </w:rPr>
        <w:t>（</w:t>
      </w:r>
      <w:r>
        <w:rPr>
          <w:szCs w:val="21"/>
        </w:rPr>
        <w:t>2</w:t>
      </w:r>
      <w:r>
        <w:rPr>
          <w:rFonts w:hAnsi="宋体" w:hint="eastAsia"/>
          <w:szCs w:val="21"/>
        </w:rPr>
        <w:t>）</w:t>
      </w:r>
      <w:r>
        <w:rPr>
          <w:szCs w:val="21"/>
        </w:rPr>
        <w:t>Lewis P. Rowland</w:t>
      </w:r>
      <w:r>
        <w:rPr>
          <w:rFonts w:hAnsi="宋体" w:hint="eastAsia"/>
          <w:szCs w:val="21"/>
        </w:rPr>
        <w:t>，</w:t>
      </w:r>
      <w:r>
        <w:rPr>
          <w:szCs w:val="21"/>
        </w:rPr>
        <w:t>M.D. Merritt’s Neurology. Tenth Edition</w:t>
      </w:r>
    </w:p>
    <w:p w:rsidR="003717A0" w:rsidRDefault="003717A0">
      <w:pPr>
        <w:spacing w:line="360" w:lineRule="auto"/>
        <w:ind w:firstLineChars="200" w:firstLine="420"/>
        <w:rPr>
          <w:szCs w:val="21"/>
        </w:rPr>
      </w:pPr>
    </w:p>
    <w:p w:rsidR="003717A0" w:rsidRDefault="003717A0">
      <w:pPr>
        <w:spacing w:line="360" w:lineRule="auto"/>
        <w:ind w:firstLineChars="200" w:firstLine="420"/>
        <w:rPr>
          <w:szCs w:val="21"/>
        </w:rPr>
      </w:pPr>
    </w:p>
    <w:p w:rsidR="003717A0" w:rsidRDefault="003717A0">
      <w:pPr>
        <w:autoSpaceDE w:val="0"/>
        <w:autoSpaceDN w:val="0"/>
        <w:adjustRightInd w:val="0"/>
        <w:ind w:leftChars="2900" w:left="6090" w:firstLineChars="157" w:firstLine="330"/>
        <w:jc w:val="left"/>
        <w:rPr>
          <w:rFonts w:ascii="黑体" w:eastAsia="黑体" w:cs="黑体"/>
          <w:kern w:val="0"/>
          <w:szCs w:val="21"/>
        </w:rPr>
      </w:pPr>
      <w:r>
        <w:rPr>
          <w:rFonts w:ascii="黑体" w:eastAsia="黑体" w:cs="黑体" w:hint="eastAsia"/>
          <w:kern w:val="0"/>
          <w:szCs w:val="21"/>
        </w:rPr>
        <w:t>制定人：汪跃春</w:t>
      </w:r>
    </w:p>
    <w:p w:rsidR="003717A0" w:rsidRDefault="003717A0" w:rsidP="00566E4D">
      <w:pPr>
        <w:autoSpaceDE w:val="0"/>
        <w:autoSpaceDN w:val="0"/>
        <w:adjustRightInd w:val="0"/>
        <w:spacing w:line="360" w:lineRule="exact"/>
        <w:ind w:leftChars="2900" w:left="6090" w:firstLineChars="150" w:firstLine="315"/>
        <w:jc w:val="left"/>
        <w:rPr>
          <w:rFonts w:ascii="黑体" w:eastAsia="黑体" w:cs="黑体"/>
          <w:kern w:val="0"/>
          <w:szCs w:val="21"/>
        </w:rPr>
      </w:pPr>
      <w:r>
        <w:rPr>
          <w:rFonts w:ascii="黑体" w:eastAsia="黑体" w:cs="黑体" w:hint="eastAsia"/>
          <w:kern w:val="0"/>
          <w:szCs w:val="21"/>
        </w:rPr>
        <w:t>审核人：柯开富</w:t>
      </w:r>
    </w:p>
    <w:p w:rsidR="003717A0" w:rsidRPr="00566E4D" w:rsidRDefault="003717A0" w:rsidP="00566E4D">
      <w:pPr>
        <w:adjustRightInd w:val="0"/>
        <w:snapToGrid w:val="0"/>
        <w:spacing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numPr>
          <w:ilvl w:val="0"/>
          <w:numId w:val="475"/>
        </w:numPr>
        <w:adjustRightInd w:val="0"/>
        <w:snapToGrid w:val="0"/>
        <w:spacing w:line="360" w:lineRule="auto"/>
        <w:ind w:right="4" w:hanging="660"/>
        <w:rPr>
          <w:rFonts w:ascii="Times New Roman"/>
        </w:rPr>
      </w:pPr>
      <w:r>
        <w:rPr>
          <w:rFonts w:ascii="Times New Roman" w:hint="eastAsia"/>
        </w:rPr>
        <w:t>修读完本课程规定内容的康复治疗学专业本科学生；</w:t>
      </w:r>
    </w:p>
    <w:p w:rsidR="003717A0" w:rsidRDefault="003717A0">
      <w:pPr>
        <w:numPr>
          <w:ilvl w:val="0"/>
          <w:numId w:val="475"/>
        </w:numPr>
        <w:adjustRightInd w:val="0"/>
        <w:snapToGrid w:val="0"/>
        <w:spacing w:line="360" w:lineRule="auto"/>
        <w:ind w:right="4" w:hanging="660"/>
        <w:rPr>
          <w:rFonts w:ascii="Times New Roman"/>
        </w:rPr>
      </w:pPr>
      <w:r>
        <w:rPr>
          <w:rFonts w:ascii="Times New Roman" w:hint="eastAsia"/>
        </w:rPr>
        <w:t>提出并获准免修本课程、申请进行课程水平考核的康复治疗学专业本科学生。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hAnsi="宋体" w:hint="eastAsia"/>
          <w:szCs w:val="21"/>
        </w:rPr>
        <w:t>通过考核来检查和了解学生对本门课程内容的掌握程度，考核学生对神经系统解剖、生理及病损的定位诊断的掌握，考核学生是否能够运用相关知识进行神经系统疾病定位及定性诊断，考核学生对神经病学常见病、危重病的治疗原则。</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jc w:val="left"/>
        <w:rPr>
          <w:rFonts w:ascii="宋体"/>
          <w:szCs w:val="21"/>
        </w:rPr>
      </w:pPr>
      <w:r>
        <w:rPr>
          <w:rFonts w:ascii="宋体" w:hAnsi="宋体" w:hint="eastAsia"/>
          <w:szCs w:val="21"/>
        </w:rPr>
        <w:t>期末闭卷理论考核。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hAnsi="宋体" w:hint="eastAsia"/>
          <w:szCs w:val="21"/>
        </w:rPr>
        <w:t>神经系统的解剖、生理及病损的定位诊断，神经系统疾病的常见症状，辅助检查的意义和选择，诊断原则。神经系统常见病的病因、发病机制、临床表现、诊断及治疗。</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hAnsi="宋体" w:hint="eastAsia"/>
          <w:szCs w:val="21"/>
        </w:rPr>
        <w:t>考核学生对神经病学基本解剖、生理知识的掌握，对定位及定性诊断原则的运用，对常见病的病因、发病机制、临床表现的了解，对治疗原则的掌握。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神经病学考试试题</w:t>
      </w:r>
    </w:p>
    <w:p w:rsidR="003717A0" w:rsidRDefault="003717A0">
      <w:pPr>
        <w:autoSpaceDE w:val="0"/>
        <w:autoSpaceDN w:val="0"/>
        <w:adjustRightInd w:val="0"/>
        <w:snapToGrid w:val="0"/>
        <w:spacing w:line="440" w:lineRule="exact"/>
        <w:rPr>
          <w:rFonts w:ascii="Times New Roman" w:hAnsi="Times New Roman"/>
          <w:kern w:val="0"/>
          <w:sz w:val="22"/>
        </w:rPr>
      </w:pPr>
      <w:r>
        <w:rPr>
          <w:rFonts w:ascii="Times New Roman" w:hAnsi="Times New Roman"/>
          <w:kern w:val="0"/>
          <w:sz w:val="22"/>
        </w:rPr>
        <w:t xml:space="preserve">                           </w:t>
      </w:r>
      <w:r>
        <w:rPr>
          <w:sz w:val="32"/>
          <w:u w:val="single"/>
        </w:rPr>
        <w:t xml:space="preserve">        </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left"/>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 xml:space="preserve">  120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p>
    <w:p w:rsidR="003717A0" w:rsidRDefault="003717A0">
      <w:pPr>
        <w:rPr>
          <w:b/>
          <w:szCs w:val="21"/>
        </w:rPr>
      </w:pPr>
      <w:r>
        <w:rPr>
          <w:rFonts w:hint="eastAsia"/>
          <w:b/>
          <w:szCs w:val="21"/>
        </w:rPr>
        <w:t>一、名词解释（每题</w:t>
      </w:r>
      <w:r>
        <w:rPr>
          <w:b/>
          <w:szCs w:val="21"/>
        </w:rPr>
        <w:t>3</w:t>
      </w:r>
      <w:r>
        <w:rPr>
          <w:rFonts w:hint="eastAsia"/>
          <w:b/>
          <w:szCs w:val="21"/>
        </w:rPr>
        <w:t>分，共</w:t>
      </w:r>
      <w:r>
        <w:rPr>
          <w:b/>
          <w:szCs w:val="21"/>
        </w:rPr>
        <w:t>21</w:t>
      </w:r>
      <w:r>
        <w:rPr>
          <w:rFonts w:hint="eastAsia"/>
          <w:b/>
          <w:szCs w:val="21"/>
        </w:rPr>
        <w:t>分）</w:t>
      </w:r>
    </w:p>
    <w:p w:rsidR="003717A0" w:rsidRDefault="003717A0">
      <w:pPr>
        <w:rPr>
          <w:szCs w:val="21"/>
        </w:rPr>
      </w:pPr>
      <w:r>
        <w:rPr>
          <w:szCs w:val="21"/>
        </w:rPr>
        <w:t>1</w:t>
      </w:r>
      <w:r>
        <w:rPr>
          <w:rFonts w:hint="eastAsia"/>
          <w:szCs w:val="21"/>
        </w:rPr>
        <w:t>、癫痫持续状态</w:t>
      </w:r>
    </w:p>
    <w:p w:rsidR="003717A0" w:rsidRDefault="003717A0">
      <w:pPr>
        <w:rPr>
          <w:szCs w:val="21"/>
        </w:rPr>
      </w:pPr>
      <w:r>
        <w:rPr>
          <w:szCs w:val="21"/>
        </w:rPr>
        <w:t>2</w:t>
      </w:r>
      <w:r>
        <w:rPr>
          <w:rFonts w:hint="eastAsia"/>
          <w:szCs w:val="21"/>
        </w:rPr>
        <w:t>、</w:t>
      </w:r>
      <w:r>
        <w:rPr>
          <w:szCs w:val="21"/>
        </w:rPr>
        <w:t>jackson</w:t>
      </w:r>
      <w:r>
        <w:rPr>
          <w:rFonts w:hint="eastAsia"/>
          <w:szCs w:val="21"/>
        </w:rPr>
        <w:t>发作</w:t>
      </w:r>
    </w:p>
    <w:p w:rsidR="003717A0" w:rsidRDefault="003717A0">
      <w:pPr>
        <w:rPr>
          <w:szCs w:val="21"/>
        </w:rPr>
      </w:pPr>
      <w:r>
        <w:rPr>
          <w:szCs w:val="21"/>
        </w:rPr>
        <w:t xml:space="preserve">3 </w:t>
      </w:r>
      <w:r>
        <w:rPr>
          <w:rFonts w:hint="eastAsia"/>
          <w:szCs w:val="21"/>
        </w:rPr>
        <w:t>、蛋白细胞分离</w:t>
      </w:r>
    </w:p>
    <w:p w:rsidR="003717A0" w:rsidRDefault="003717A0">
      <w:pPr>
        <w:rPr>
          <w:szCs w:val="21"/>
        </w:rPr>
      </w:pPr>
      <w:r>
        <w:rPr>
          <w:szCs w:val="21"/>
        </w:rPr>
        <w:t>4</w:t>
      </w:r>
      <w:r>
        <w:rPr>
          <w:rFonts w:hint="eastAsia"/>
          <w:szCs w:val="21"/>
        </w:rPr>
        <w:t>、脑血管病二级预防</w:t>
      </w:r>
    </w:p>
    <w:p w:rsidR="003717A0" w:rsidRDefault="003717A0">
      <w:pPr>
        <w:rPr>
          <w:szCs w:val="21"/>
        </w:rPr>
      </w:pPr>
      <w:r>
        <w:rPr>
          <w:szCs w:val="21"/>
        </w:rPr>
        <w:t xml:space="preserve">5 </w:t>
      </w:r>
      <w:r>
        <w:rPr>
          <w:rFonts w:hint="eastAsia"/>
          <w:szCs w:val="21"/>
        </w:rPr>
        <w:t>、</w:t>
      </w:r>
      <w:r>
        <w:rPr>
          <w:rFonts w:hint="eastAsia"/>
          <w:sz w:val="24"/>
        </w:rPr>
        <w:t>脊髓半切综合征</w:t>
      </w:r>
    </w:p>
    <w:p w:rsidR="003717A0" w:rsidRDefault="003717A0">
      <w:pPr>
        <w:rPr>
          <w:szCs w:val="21"/>
        </w:rPr>
      </w:pPr>
      <w:r>
        <w:rPr>
          <w:szCs w:val="21"/>
        </w:rPr>
        <w:t>6</w:t>
      </w:r>
      <w:r>
        <w:rPr>
          <w:rFonts w:hint="eastAsia"/>
          <w:szCs w:val="21"/>
        </w:rPr>
        <w:t>、</w:t>
      </w:r>
      <w:r>
        <w:rPr>
          <w:szCs w:val="21"/>
        </w:rPr>
        <w:t>TIA</w:t>
      </w:r>
    </w:p>
    <w:p w:rsidR="003717A0" w:rsidRDefault="003717A0">
      <w:pPr>
        <w:rPr>
          <w:szCs w:val="21"/>
        </w:rPr>
      </w:pPr>
      <w:r>
        <w:rPr>
          <w:szCs w:val="21"/>
        </w:rPr>
        <w:t>7</w:t>
      </w:r>
      <w:r>
        <w:rPr>
          <w:rFonts w:hint="eastAsia"/>
          <w:szCs w:val="21"/>
        </w:rPr>
        <w:t>、</w:t>
      </w:r>
      <w:r>
        <w:rPr>
          <w:szCs w:val="21"/>
        </w:rPr>
        <w:t>Horner</w:t>
      </w:r>
      <w:r>
        <w:rPr>
          <w:rFonts w:hint="eastAsia"/>
          <w:szCs w:val="21"/>
        </w:rPr>
        <w:t>征</w:t>
      </w:r>
    </w:p>
    <w:p w:rsidR="003717A0" w:rsidRDefault="003717A0">
      <w:pPr>
        <w:rPr>
          <w:b/>
          <w:szCs w:val="21"/>
        </w:rPr>
      </w:pPr>
      <w:r>
        <w:rPr>
          <w:rFonts w:hint="eastAsia"/>
          <w:b/>
          <w:szCs w:val="21"/>
        </w:rPr>
        <w:t>二、单项选择题（每题</w:t>
      </w:r>
      <w:r>
        <w:rPr>
          <w:b/>
          <w:szCs w:val="21"/>
        </w:rPr>
        <w:t>2</w:t>
      </w:r>
      <w:r>
        <w:rPr>
          <w:rFonts w:hint="eastAsia"/>
          <w:b/>
          <w:szCs w:val="21"/>
        </w:rPr>
        <w:t>分，共</w:t>
      </w:r>
      <w:r>
        <w:rPr>
          <w:b/>
          <w:szCs w:val="21"/>
        </w:rPr>
        <w:t>40</w:t>
      </w:r>
      <w:r>
        <w:rPr>
          <w:rFonts w:hint="eastAsia"/>
          <w:b/>
          <w:szCs w:val="21"/>
        </w:rPr>
        <w:t>分）</w:t>
      </w:r>
    </w:p>
    <w:p w:rsidR="003717A0" w:rsidRDefault="003717A0">
      <w:pPr>
        <w:rPr>
          <w:szCs w:val="21"/>
        </w:rPr>
      </w:pPr>
      <w:r>
        <w:rPr>
          <w:szCs w:val="21"/>
        </w:rPr>
        <w:t>1</w:t>
      </w:r>
      <w:r>
        <w:rPr>
          <w:rFonts w:hint="eastAsia"/>
          <w:szCs w:val="21"/>
        </w:rPr>
        <w:t>、脑梗死急性期治疗原则以下哪一条不妥当：（</w:t>
      </w:r>
      <w:r>
        <w:rPr>
          <w:szCs w:val="21"/>
        </w:rPr>
        <w:t xml:space="preserve">  </w:t>
      </w:r>
      <w:r>
        <w:rPr>
          <w:rFonts w:hint="eastAsia"/>
          <w:szCs w:val="21"/>
        </w:rPr>
        <w:t>）</w:t>
      </w:r>
    </w:p>
    <w:p w:rsidR="003717A0" w:rsidRDefault="003717A0">
      <w:pPr>
        <w:rPr>
          <w:szCs w:val="21"/>
        </w:rPr>
      </w:pPr>
      <w:r>
        <w:rPr>
          <w:szCs w:val="21"/>
        </w:rPr>
        <w:t>A</w:t>
      </w:r>
      <w:r>
        <w:rPr>
          <w:rFonts w:hint="eastAsia"/>
          <w:szCs w:val="21"/>
        </w:rPr>
        <w:t>立即降低高血压</w:t>
      </w:r>
      <w:r>
        <w:rPr>
          <w:szCs w:val="21"/>
        </w:rPr>
        <w:t xml:space="preserve">      B</w:t>
      </w:r>
      <w:r>
        <w:rPr>
          <w:rFonts w:hint="eastAsia"/>
          <w:szCs w:val="21"/>
        </w:rPr>
        <w:t>积极控制高血糖</w:t>
      </w:r>
      <w:r>
        <w:rPr>
          <w:szCs w:val="21"/>
        </w:rPr>
        <w:t xml:space="preserve">        C</w:t>
      </w:r>
      <w:r>
        <w:rPr>
          <w:rFonts w:hint="eastAsia"/>
          <w:szCs w:val="21"/>
        </w:rPr>
        <w:t>个体化选择抗栓治疗</w:t>
      </w:r>
      <w:r>
        <w:rPr>
          <w:szCs w:val="21"/>
        </w:rPr>
        <w:t xml:space="preserve">     </w:t>
      </w:r>
    </w:p>
    <w:p w:rsidR="003717A0" w:rsidRDefault="003717A0">
      <w:pPr>
        <w:rPr>
          <w:szCs w:val="21"/>
        </w:rPr>
      </w:pPr>
      <w:r>
        <w:rPr>
          <w:szCs w:val="21"/>
        </w:rPr>
        <w:t>D</w:t>
      </w:r>
      <w:r>
        <w:rPr>
          <w:rFonts w:hint="eastAsia"/>
          <w:szCs w:val="21"/>
        </w:rPr>
        <w:t>支持和对症治疗</w:t>
      </w:r>
      <w:r>
        <w:rPr>
          <w:szCs w:val="21"/>
        </w:rPr>
        <w:t xml:space="preserve">       E</w:t>
      </w:r>
      <w:r>
        <w:rPr>
          <w:rFonts w:hint="eastAsia"/>
          <w:szCs w:val="21"/>
        </w:rPr>
        <w:t>脑保护</w:t>
      </w:r>
    </w:p>
    <w:p w:rsidR="003717A0" w:rsidRDefault="003717A0">
      <w:r>
        <w:rPr>
          <w:szCs w:val="21"/>
        </w:rPr>
        <w:lastRenderedPageBreak/>
        <w:t>2</w:t>
      </w:r>
      <w:r>
        <w:rPr>
          <w:rFonts w:hint="eastAsia"/>
          <w:szCs w:val="21"/>
        </w:rPr>
        <w:t>、</w:t>
      </w:r>
      <w:r>
        <w:rPr>
          <w:rFonts w:hint="eastAsia"/>
        </w:rPr>
        <w:t>颈膨大是指脊髓哪个部位（</w:t>
      </w:r>
      <w:r>
        <w:t xml:space="preserve">   </w:t>
      </w:r>
      <w:r>
        <w:rPr>
          <w:rFonts w:hint="eastAsia"/>
        </w:rPr>
        <w:t>）：</w:t>
      </w:r>
    </w:p>
    <w:p w:rsidR="003717A0" w:rsidRDefault="003717A0">
      <w:pPr>
        <w:rPr>
          <w:lang w:val="fr-FR"/>
        </w:rPr>
      </w:pPr>
      <w:r>
        <w:rPr>
          <w:lang w:val="fr-FR"/>
        </w:rPr>
        <w:t>A  C1--4       B  C5-T2     C  L1-S2       D  C6-T3</w:t>
      </w:r>
    </w:p>
    <w:p w:rsidR="003717A0" w:rsidRDefault="003717A0">
      <w:pPr>
        <w:rPr>
          <w:szCs w:val="21"/>
        </w:rPr>
      </w:pPr>
      <w:r>
        <w:rPr>
          <w:szCs w:val="21"/>
        </w:rPr>
        <w:t>3</w:t>
      </w:r>
      <w:r>
        <w:rPr>
          <w:rFonts w:hint="eastAsia"/>
          <w:szCs w:val="21"/>
        </w:rPr>
        <w:t>、为明确诊断，脑出血患者首选的检查是（</w:t>
      </w:r>
      <w:r>
        <w:rPr>
          <w:szCs w:val="21"/>
        </w:rPr>
        <w:t xml:space="preserve">   </w:t>
      </w:r>
      <w:r>
        <w:rPr>
          <w:rFonts w:hint="eastAsia"/>
          <w:szCs w:val="21"/>
        </w:rPr>
        <w:t>）：</w:t>
      </w:r>
    </w:p>
    <w:p w:rsidR="003717A0" w:rsidRDefault="003717A0">
      <w:r>
        <w:t>A</w:t>
      </w:r>
      <w:r>
        <w:rPr>
          <w:rFonts w:hint="eastAsia"/>
        </w:rPr>
        <w:t>头颅</w:t>
      </w:r>
      <w:r>
        <w:t>CT     B</w:t>
      </w:r>
      <w:r>
        <w:rPr>
          <w:rFonts w:hint="eastAsia"/>
        </w:rPr>
        <w:t>脑电图</w:t>
      </w:r>
      <w:r>
        <w:t xml:space="preserve">     C</w:t>
      </w:r>
      <w:r>
        <w:rPr>
          <w:rFonts w:hint="eastAsia"/>
        </w:rPr>
        <w:t>腰穿</w:t>
      </w:r>
      <w:r>
        <w:t xml:space="preserve">      D </w:t>
      </w:r>
      <w:r>
        <w:rPr>
          <w:rFonts w:hint="eastAsia"/>
        </w:rPr>
        <w:t>头颅</w:t>
      </w:r>
      <w:r>
        <w:t>MRI</w:t>
      </w:r>
    </w:p>
    <w:p w:rsidR="003717A0" w:rsidRDefault="003717A0">
      <w:r>
        <w:t>4</w:t>
      </w:r>
      <w:r>
        <w:rPr>
          <w:rFonts w:hint="eastAsia"/>
        </w:rPr>
        <w:t>、脑血栓形成最常见的病因是：（</w:t>
      </w:r>
      <w:r>
        <w:t xml:space="preserve">  </w:t>
      </w:r>
      <w:r>
        <w:rPr>
          <w:rFonts w:hint="eastAsia"/>
        </w:rPr>
        <w:t>）</w:t>
      </w:r>
    </w:p>
    <w:p w:rsidR="003717A0" w:rsidRDefault="003717A0">
      <w:pPr>
        <w:rPr>
          <w:szCs w:val="21"/>
        </w:rPr>
      </w:pPr>
      <w:r>
        <w:t xml:space="preserve">A. </w:t>
      </w:r>
      <w:r>
        <w:rPr>
          <w:rFonts w:hint="eastAsia"/>
        </w:rPr>
        <w:t>红细胞增多症</w:t>
      </w:r>
      <w:r>
        <w:t xml:space="preserve">B. </w:t>
      </w:r>
      <w:r>
        <w:rPr>
          <w:rFonts w:hint="eastAsia"/>
        </w:rPr>
        <w:t>脑动脉粥样硬化</w:t>
      </w:r>
      <w:r>
        <w:t xml:space="preserve">C. </w:t>
      </w:r>
      <w:r>
        <w:rPr>
          <w:rFonts w:hint="eastAsia"/>
        </w:rPr>
        <w:t>各种脑动脉炎</w:t>
      </w:r>
      <w:r>
        <w:t xml:space="preserve">D. </w:t>
      </w:r>
      <w:r>
        <w:rPr>
          <w:rFonts w:hint="eastAsia"/>
        </w:rPr>
        <w:t>血压偏低</w:t>
      </w:r>
    </w:p>
    <w:p w:rsidR="003717A0" w:rsidRDefault="003717A0">
      <w:pPr>
        <w:rPr>
          <w:szCs w:val="21"/>
        </w:rPr>
      </w:pPr>
      <w:r>
        <w:rPr>
          <w:szCs w:val="21"/>
        </w:rPr>
        <w:t>5</w:t>
      </w:r>
      <w:r>
        <w:rPr>
          <w:rFonts w:hint="eastAsia"/>
          <w:szCs w:val="21"/>
        </w:rPr>
        <w:t>、腰膨大横贯性损害时会出现（</w:t>
      </w:r>
      <w:r>
        <w:rPr>
          <w:szCs w:val="21"/>
        </w:rPr>
        <w:t xml:space="preserve">   </w:t>
      </w:r>
      <w:r>
        <w:rPr>
          <w:rFonts w:hint="eastAsia"/>
          <w:szCs w:val="21"/>
        </w:rPr>
        <w:t>）：</w:t>
      </w:r>
    </w:p>
    <w:p w:rsidR="003717A0" w:rsidRDefault="003717A0">
      <w:pPr>
        <w:rPr>
          <w:szCs w:val="21"/>
        </w:rPr>
      </w:pPr>
      <w:r>
        <w:rPr>
          <w:szCs w:val="21"/>
        </w:rPr>
        <w:t xml:space="preserve">A </w:t>
      </w:r>
      <w:r>
        <w:rPr>
          <w:rFonts w:hint="eastAsia"/>
          <w:szCs w:val="21"/>
        </w:rPr>
        <w:t>四肢上运动神经元瘫痪</w:t>
      </w:r>
      <w:r>
        <w:rPr>
          <w:szCs w:val="21"/>
        </w:rPr>
        <w:t xml:space="preserve">      B </w:t>
      </w:r>
      <w:r>
        <w:rPr>
          <w:rFonts w:hint="eastAsia"/>
          <w:szCs w:val="21"/>
        </w:rPr>
        <w:t>双上肢下运动神经元瘫痪，双下肢上运动神经元瘫痪</w:t>
      </w:r>
      <w:r>
        <w:rPr>
          <w:szCs w:val="21"/>
        </w:rPr>
        <w:t xml:space="preserve">  </w:t>
      </w:r>
    </w:p>
    <w:p w:rsidR="003717A0" w:rsidRDefault="003717A0">
      <w:pPr>
        <w:rPr>
          <w:szCs w:val="21"/>
        </w:rPr>
      </w:pPr>
      <w:r>
        <w:rPr>
          <w:szCs w:val="21"/>
        </w:rPr>
        <w:t xml:space="preserve">C  </w:t>
      </w:r>
      <w:r>
        <w:rPr>
          <w:rFonts w:hint="eastAsia"/>
          <w:szCs w:val="21"/>
        </w:rPr>
        <w:t>双下肢下运动神经元瘫痪，双上肢正常</w:t>
      </w:r>
      <w:r>
        <w:rPr>
          <w:szCs w:val="21"/>
        </w:rPr>
        <w:t xml:space="preserve">      D </w:t>
      </w:r>
      <w:r>
        <w:rPr>
          <w:rFonts w:hint="eastAsia"/>
          <w:szCs w:val="21"/>
        </w:rPr>
        <w:t>双下肢上运动神经元瘫痪，双上肢正常</w:t>
      </w:r>
    </w:p>
    <w:p w:rsidR="003717A0" w:rsidRDefault="003717A0">
      <w:pPr>
        <w:widowControl/>
        <w:jc w:val="left"/>
        <w:rPr>
          <w:rFonts w:ascii="宋体" w:cs="宋体"/>
          <w:kern w:val="0"/>
          <w:szCs w:val="21"/>
        </w:rPr>
      </w:pPr>
      <w:r>
        <w:rPr>
          <w:rFonts w:ascii="宋体" w:hAnsi="宋体" w:cs="宋体"/>
          <w:bCs/>
          <w:kern w:val="0"/>
          <w:szCs w:val="21"/>
        </w:rPr>
        <w:t>6</w:t>
      </w:r>
      <w:r>
        <w:rPr>
          <w:rFonts w:ascii="宋体" w:hAnsi="宋体" w:cs="宋体" w:hint="eastAsia"/>
          <w:bCs/>
          <w:kern w:val="0"/>
          <w:szCs w:val="21"/>
        </w:rPr>
        <w:t>、癫痫的诊断主要依靠（</w:t>
      </w:r>
      <w:r>
        <w:rPr>
          <w:rFonts w:ascii="宋体" w:hAnsi="宋体" w:cs="宋体"/>
          <w:bCs/>
          <w:kern w:val="0"/>
          <w:szCs w:val="21"/>
        </w:rPr>
        <w:t xml:space="preserve">  </w:t>
      </w:r>
      <w:r>
        <w:rPr>
          <w:rFonts w:ascii="宋体" w:hAnsi="宋体" w:cs="宋体" w:hint="eastAsia"/>
          <w:bCs/>
          <w:kern w:val="0"/>
          <w:szCs w:val="21"/>
        </w:rPr>
        <w:t>）</w:t>
      </w:r>
    </w:p>
    <w:p w:rsidR="003717A0" w:rsidRDefault="003717A0">
      <w:pPr>
        <w:widowControl/>
        <w:jc w:val="left"/>
        <w:rPr>
          <w:rFonts w:ascii="宋体" w:cs="宋体"/>
          <w:kern w:val="0"/>
          <w:szCs w:val="21"/>
        </w:rPr>
      </w:pPr>
      <w:r>
        <w:rPr>
          <w:rFonts w:ascii="宋体" w:hAnsi="宋体" w:cs="宋体"/>
          <w:bCs/>
          <w:kern w:val="0"/>
          <w:szCs w:val="21"/>
        </w:rPr>
        <w:t>A</w:t>
      </w:r>
      <w:r>
        <w:rPr>
          <w:rFonts w:ascii="宋体" w:hAnsi="宋体" w:cs="宋体" w:hint="eastAsia"/>
          <w:bCs/>
          <w:kern w:val="0"/>
          <w:szCs w:val="21"/>
        </w:rPr>
        <w:t>详细的病史</w:t>
      </w:r>
      <w:r>
        <w:rPr>
          <w:rFonts w:ascii="宋体" w:hAnsi="宋体" w:cs="宋体"/>
          <w:kern w:val="0"/>
          <w:szCs w:val="21"/>
        </w:rPr>
        <w:t xml:space="preserve">  </w:t>
      </w:r>
      <w:r>
        <w:rPr>
          <w:rFonts w:ascii="宋体" w:hAnsi="宋体" w:cs="宋体"/>
          <w:bCs/>
          <w:kern w:val="0"/>
          <w:szCs w:val="21"/>
        </w:rPr>
        <w:t>B</w:t>
      </w:r>
      <w:r>
        <w:rPr>
          <w:rFonts w:ascii="宋体" w:hAnsi="宋体" w:cs="宋体" w:hint="eastAsia"/>
          <w:bCs/>
          <w:kern w:val="0"/>
          <w:szCs w:val="21"/>
        </w:rPr>
        <w:t>脑电图</w:t>
      </w:r>
      <w:r>
        <w:rPr>
          <w:rFonts w:ascii="宋体" w:hAnsi="宋体" w:cs="宋体"/>
          <w:bCs/>
          <w:kern w:val="0"/>
          <w:szCs w:val="21"/>
        </w:rPr>
        <w:t xml:space="preserve">   C</w:t>
      </w:r>
      <w:r>
        <w:rPr>
          <w:rFonts w:ascii="宋体" w:hAnsi="宋体" w:cs="宋体" w:hint="eastAsia"/>
          <w:bCs/>
          <w:kern w:val="0"/>
          <w:szCs w:val="21"/>
        </w:rPr>
        <w:t>头颅</w:t>
      </w:r>
      <w:r>
        <w:rPr>
          <w:rFonts w:ascii="宋体" w:hAnsi="宋体" w:cs="宋体"/>
          <w:bCs/>
          <w:kern w:val="0"/>
          <w:szCs w:val="21"/>
        </w:rPr>
        <w:t>CT   D</w:t>
      </w:r>
      <w:r>
        <w:rPr>
          <w:rFonts w:ascii="宋体" w:hAnsi="宋体" w:cs="宋体" w:hint="eastAsia"/>
          <w:bCs/>
          <w:kern w:val="0"/>
          <w:szCs w:val="21"/>
        </w:rPr>
        <w:t>头颅</w:t>
      </w:r>
      <w:r>
        <w:rPr>
          <w:rFonts w:ascii="宋体" w:hAnsi="宋体" w:cs="宋体"/>
          <w:bCs/>
          <w:kern w:val="0"/>
          <w:szCs w:val="21"/>
        </w:rPr>
        <w:t xml:space="preserve">MRI   </w:t>
      </w:r>
      <w:r>
        <w:rPr>
          <w:rFonts w:ascii="宋体" w:hAnsi="宋体" w:cs="宋体"/>
          <w:kern w:val="0"/>
          <w:szCs w:val="21"/>
        </w:rPr>
        <w:t>E</w:t>
      </w:r>
      <w:r>
        <w:rPr>
          <w:rFonts w:ascii="宋体" w:hAnsi="宋体" w:cs="宋体" w:hint="eastAsia"/>
          <w:kern w:val="0"/>
          <w:szCs w:val="21"/>
        </w:rPr>
        <w:t>腰穿</w:t>
      </w:r>
    </w:p>
    <w:p w:rsidR="003717A0" w:rsidRDefault="003717A0">
      <w:pPr>
        <w:widowControl/>
        <w:jc w:val="left"/>
        <w:rPr>
          <w:rFonts w:ascii="宋体" w:cs="宋体"/>
          <w:kern w:val="0"/>
          <w:szCs w:val="21"/>
        </w:rPr>
      </w:pPr>
      <w:r>
        <w:rPr>
          <w:rFonts w:ascii="宋体" w:hAnsi="宋体" w:cs="宋体"/>
          <w:kern w:val="0"/>
          <w:szCs w:val="21"/>
        </w:rPr>
        <w:t>7</w:t>
      </w:r>
      <w:r>
        <w:rPr>
          <w:rFonts w:ascii="宋体" w:hAnsi="宋体" w:cs="宋体" w:hint="eastAsia"/>
          <w:kern w:val="0"/>
          <w:szCs w:val="21"/>
        </w:rPr>
        <w:t>、最有效、最基本的治疗</w:t>
      </w:r>
      <w:r>
        <w:rPr>
          <w:rFonts w:ascii="宋体" w:hAnsi="宋体" w:cs="宋体" w:hint="eastAsia"/>
          <w:bCs/>
          <w:kern w:val="0"/>
          <w:szCs w:val="21"/>
        </w:rPr>
        <w:t>帕金森病的药物是</w:t>
      </w:r>
      <w:r>
        <w:rPr>
          <w:rFonts w:ascii="宋体" w:hAnsi="宋体" w:cs="宋体"/>
          <w:bCs/>
          <w:kern w:val="0"/>
          <w:szCs w:val="21"/>
        </w:rPr>
        <w:t>(   )</w:t>
      </w:r>
    </w:p>
    <w:p w:rsidR="003717A0" w:rsidRDefault="003717A0">
      <w:pPr>
        <w:widowControl/>
        <w:jc w:val="left"/>
        <w:rPr>
          <w:rFonts w:ascii="宋体" w:cs="宋体"/>
          <w:kern w:val="0"/>
          <w:szCs w:val="21"/>
        </w:rPr>
      </w:pPr>
      <w:r>
        <w:rPr>
          <w:rFonts w:ascii="宋体" w:hAnsi="宋体" w:cs="宋体"/>
          <w:bCs/>
          <w:kern w:val="0"/>
          <w:szCs w:val="21"/>
        </w:rPr>
        <w:t>A</w:t>
      </w:r>
      <w:r>
        <w:rPr>
          <w:rFonts w:ascii="宋体" w:hAnsi="宋体" w:cs="宋体" w:hint="eastAsia"/>
          <w:bCs/>
          <w:kern w:val="0"/>
          <w:szCs w:val="21"/>
        </w:rPr>
        <w:t>复方左旋多巴</w:t>
      </w:r>
      <w:r>
        <w:rPr>
          <w:rFonts w:ascii="宋体" w:hAnsi="宋体" w:cs="宋体"/>
          <w:bCs/>
          <w:kern w:val="0"/>
          <w:szCs w:val="21"/>
        </w:rPr>
        <w:t xml:space="preserve">     B</w:t>
      </w:r>
      <w:r>
        <w:rPr>
          <w:rFonts w:ascii="宋体" w:hAnsi="宋体" w:cs="宋体" w:hint="eastAsia"/>
          <w:bCs/>
          <w:kern w:val="0"/>
          <w:szCs w:val="21"/>
        </w:rPr>
        <w:t>金刚烷胺</w:t>
      </w:r>
      <w:r>
        <w:rPr>
          <w:rFonts w:ascii="宋体" w:hAnsi="宋体" w:cs="宋体"/>
          <w:bCs/>
          <w:kern w:val="0"/>
          <w:szCs w:val="21"/>
        </w:rPr>
        <w:t xml:space="preserve">     C</w:t>
      </w:r>
      <w:r>
        <w:rPr>
          <w:rFonts w:ascii="宋体" w:hAnsi="宋体" w:cs="宋体" w:hint="eastAsia"/>
          <w:bCs/>
          <w:kern w:val="0"/>
          <w:szCs w:val="21"/>
        </w:rPr>
        <w:t>安坦</w:t>
      </w:r>
      <w:r>
        <w:rPr>
          <w:rFonts w:ascii="宋体" w:hAnsi="宋体" w:cs="宋体"/>
          <w:bCs/>
          <w:kern w:val="0"/>
          <w:szCs w:val="21"/>
        </w:rPr>
        <w:t xml:space="preserve">     D</w:t>
      </w:r>
      <w:r>
        <w:rPr>
          <w:rFonts w:ascii="宋体" w:hAnsi="宋体" w:cs="宋体" w:hint="eastAsia"/>
          <w:bCs/>
          <w:kern w:val="0"/>
          <w:szCs w:val="21"/>
        </w:rPr>
        <w:t>司来吉兰</w:t>
      </w:r>
      <w:r>
        <w:rPr>
          <w:rFonts w:ascii="宋体" w:hAnsi="宋体" w:cs="宋体"/>
          <w:bCs/>
          <w:kern w:val="0"/>
          <w:szCs w:val="21"/>
        </w:rPr>
        <w:t xml:space="preserve">       E</w:t>
      </w:r>
      <w:r>
        <w:rPr>
          <w:rFonts w:ascii="宋体" w:hAnsi="宋体" w:cs="宋体" w:hint="eastAsia"/>
          <w:bCs/>
          <w:kern w:val="0"/>
          <w:szCs w:val="21"/>
        </w:rPr>
        <w:t>普拉克索</w:t>
      </w:r>
    </w:p>
    <w:p w:rsidR="003717A0" w:rsidRDefault="003717A0">
      <w:pPr>
        <w:widowControl/>
        <w:jc w:val="left"/>
        <w:rPr>
          <w:rFonts w:ascii="宋体" w:cs="宋体"/>
          <w:kern w:val="0"/>
          <w:szCs w:val="21"/>
        </w:rPr>
      </w:pPr>
      <w:r>
        <w:rPr>
          <w:rFonts w:ascii="宋体" w:hAnsi="宋体" w:cs="宋体"/>
          <w:bCs/>
          <w:kern w:val="0"/>
          <w:szCs w:val="21"/>
        </w:rPr>
        <w:t>8</w:t>
      </w:r>
      <w:r>
        <w:rPr>
          <w:rFonts w:ascii="宋体" w:hAnsi="宋体" w:cs="宋体" w:hint="eastAsia"/>
          <w:bCs/>
          <w:kern w:val="0"/>
          <w:szCs w:val="21"/>
        </w:rPr>
        <w:t>、帕金森病步态属</w:t>
      </w:r>
      <w:r>
        <w:rPr>
          <w:rFonts w:ascii="宋体" w:hAnsi="宋体" w:cs="宋体"/>
          <w:bCs/>
          <w:kern w:val="0"/>
          <w:szCs w:val="21"/>
        </w:rPr>
        <w:t>(   )</w:t>
      </w:r>
    </w:p>
    <w:p w:rsidR="003717A0" w:rsidRDefault="003717A0">
      <w:pPr>
        <w:rPr>
          <w:rFonts w:ascii="宋体" w:cs="宋体"/>
          <w:bCs/>
          <w:kern w:val="0"/>
          <w:szCs w:val="21"/>
        </w:rPr>
      </w:pPr>
      <w:r>
        <w:rPr>
          <w:rFonts w:ascii="宋体" w:hAnsi="宋体" w:cs="宋体"/>
          <w:bCs/>
          <w:kern w:val="0"/>
          <w:szCs w:val="21"/>
        </w:rPr>
        <w:t xml:space="preserve">A. </w:t>
      </w:r>
      <w:r>
        <w:rPr>
          <w:rFonts w:ascii="宋体" w:hAnsi="宋体" w:cs="宋体" w:hint="eastAsia"/>
          <w:bCs/>
          <w:kern w:val="0"/>
          <w:szCs w:val="21"/>
        </w:rPr>
        <w:t>跨阈步态</w:t>
      </w:r>
      <w:r>
        <w:rPr>
          <w:rFonts w:ascii="宋体" w:hAnsi="宋体" w:cs="宋体"/>
          <w:bCs/>
          <w:kern w:val="0"/>
          <w:szCs w:val="21"/>
        </w:rPr>
        <w:t xml:space="preserve">     B. </w:t>
      </w:r>
      <w:r>
        <w:rPr>
          <w:rFonts w:ascii="宋体" w:hAnsi="宋体" w:cs="宋体" w:hint="eastAsia"/>
          <w:bCs/>
          <w:kern w:val="0"/>
          <w:szCs w:val="21"/>
        </w:rPr>
        <w:t>醉酒步态</w:t>
      </w:r>
      <w:r>
        <w:rPr>
          <w:rFonts w:ascii="宋体" w:hAnsi="宋体" w:cs="宋体"/>
          <w:bCs/>
          <w:kern w:val="0"/>
          <w:szCs w:val="21"/>
        </w:rPr>
        <w:t xml:space="preserve">    C</w:t>
      </w:r>
      <w:r>
        <w:rPr>
          <w:rFonts w:ascii="宋体" w:hAnsi="宋体" w:cs="宋体" w:hint="eastAsia"/>
          <w:bCs/>
          <w:kern w:val="0"/>
          <w:szCs w:val="21"/>
        </w:rPr>
        <w:t>慌张步态</w:t>
      </w:r>
      <w:r>
        <w:rPr>
          <w:rFonts w:ascii="宋体" w:hAnsi="宋体" w:cs="宋体"/>
          <w:bCs/>
          <w:kern w:val="0"/>
          <w:szCs w:val="21"/>
        </w:rPr>
        <w:t xml:space="preserve">     D</w:t>
      </w:r>
      <w:r>
        <w:rPr>
          <w:rFonts w:ascii="宋体" w:hAnsi="宋体" w:cs="宋体" w:hint="eastAsia"/>
          <w:bCs/>
          <w:kern w:val="0"/>
          <w:szCs w:val="21"/>
        </w:rPr>
        <w:t>痉挛性偏瘫步态</w:t>
      </w:r>
      <w:r>
        <w:rPr>
          <w:rFonts w:ascii="宋体" w:hAnsi="宋体" w:cs="宋体"/>
          <w:kern w:val="0"/>
          <w:szCs w:val="21"/>
        </w:rPr>
        <w:t xml:space="preserve">    </w:t>
      </w:r>
      <w:r>
        <w:rPr>
          <w:rFonts w:ascii="宋体" w:hAnsi="宋体" w:cs="宋体"/>
          <w:bCs/>
          <w:kern w:val="0"/>
          <w:szCs w:val="21"/>
        </w:rPr>
        <w:t>E</w:t>
      </w:r>
      <w:r>
        <w:rPr>
          <w:rFonts w:ascii="宋体" w:hAnsi="宋体" w:cs="宋体" w:hint="eastAsia"/>
          <w:bCs/>
          <w:kern w:val="0"/>
          <w:szCs w:val="21"/>
        </w:rPr>
        <w:t>鸭步</w:t>
      </w:r>
    </w:p>
    <w:p w:rsidR="003717A0" w:rsidRDefault="003717A0">
      <w:pPr>
        <w:widowControl/>
        <w:jc w:val="left"/>
        <w:rPr>
          <w:rFonts w:ascii="宋体" w:cs="宋体"/>
          <w:kern w:val="0"/>
          <w:szCs w:val="21"/>
        </w:rPr>
      </w:pPr>
      <w:r>
        <w:rPr>
          <w:rFonts w:ascii="宋体" w:hAnsi="宋体" w:cs="宋体"/>
          <w:kern w:val="0"/>
          <w:szCs w:val="21"/>
        </w:rPr>
        <w:t>9</w:t>
      </w:r>
      <w:r>
        <w:rPr>
          <w:rFonts w:ascii="宋体" w:hAnsi="宋体" w:cs="宋体" w:hint="eastAsia"/>
          <w:kern w:val="0"/>
          <w:szCs w:val="21"/>
        </w:rPr>
        <w:t>、三叉神经痛治疗首选（</w:t>
      </w:r>
      <w:r>
        <w:rPr>
          <w:rFonts w:ascii="宋体" w:hAnsi="宋体" w:cs="宋体"/>
          <w:kern w:val="0"/>
          <w:szCs w:val="21"/>
        </w:rPr>
        <w:t xml:space="preserve">  </w:t>
      </w:r>
      <w:r>
        <w:rPr>
          <w:rFonts w:ascii="宋体" w:hAnsi="宋体" w:cs="宋体" w:hint="eastAsia"/>
          <w:kern w:val="0"/>
          <w:szCs w:val="21"/>
        </w:rPr>
        <w:t>）</w:t>
      </w:r>
    </w:p>
    <w:p w:rsidR="003717A0" w:rsidRDefault="003717A0">
      <w:pPr>
        <w:widowControl/>
        <w:jc w:val="left"/>
        <w:rPr>
          <w:rFonts w:ascii="宋体" w:cs="宋体"/>
          <w:kern w:val="0"/>
          <w:szCs w:val="21"/>
        </w:rPr>
      </w:pPr>
      <w:r>
        <w:rPr>
          <w:rFonts w:ascii="宋体" w:hAnsi="宋体" w:cs="宋体"/>
          <w:kern w:val="0"/>
          <w:szCs w:val="21"/>
        </w:rPr>
        <w:t xml:space="preserve">A </w:t>
      </w:r>
      <w:r>
        <w:rPr>
          <w:rFonts w:ascii="宋体" w:hAnsi="宋体" w:cs="宋体" w:hint="eastAsia"/>
          <w:kern w:val="0"/>
          <w:szCs w:val="21"/>
        </w:rPr>
        <w:t>氯硝安定</w:t>
      </w:r>
      <w:r>
        <w:rPr>
          <w:rFonts w:ascii="宋体" w:hAnsi="宋体" w:cs="宋体"/>
          <w:kern w:val="0"/>
          <w:szCs w:val="21"/>
        </w:rPr>
        <w:t xml:space="preserve">     B  ACTH</w:t>
      </w:r>
      <w:r>
        <w:rPr>
          <w:rFonts w:ascii="宋体" w:hAnsi="宋体" w:cs="宋体" w:hint="eastAsia"/>
          <w:kern w:val="0"/>
          <w:szCs w:val="21"/>
        </w:rPr>
        <w:t>或强的松</w:t>
      </w:r>
      <w:r>
        <w:rPr>
          <w:rFonts w:ascii="宋体" w:hAnsi="宋体" w:cs="宋体"/>
          <w:kern w:val="0"/>
          <w:szCs w:val="21"/>
        </w:rPr>
        <w:t xml:space="preserve">     C </w:t>
      </w:r>
      <w:r>
        <w:rPr>
          <w:rFonts w:ascii="宋体" w:hAnsi="宋体" w:cs="宋体" w:hint="eastAsia"/>
          <w:kern w:val="0"/>
          <w:szCs w:val="21"/>
        </w:rPr>
        <w:t>丙戊酸钠</w:t>
      </w:r>
      <w:r>
        <w:rPr>
          <w:rFonts w:ascii="宋体" w:hAnsi="宋体" w:cs="宋体"/>
          <w:kern w:val="0"/>
          <w:szCs w:val="21"/>
        </w:rPr>
        <w:t xml:space="preserve">     D </w:t>
      </w:r>
      <w:r>
        <w:rPr>
          <w:rFonts w:ascii="宋体" w:hAnsi="宋体" w:cs="宋体" w:hint="eastAsia"/>
          <w:kern w:val="0"/>
          <w:szCs w:val="21"/>
        </w:rPr>
        <w:t>苯妥英钠</w:t>
      </w:r>
      <w:r>
        <w:rPr>
          <w:rFonts w:ascii="宋体" w:hAnsi="宋体" w:cs="宋体"/>
          <w:kern w:val="0"/>
          <w:szCs w:val="21"/>
        </w:rPr>
        <w:t xml:space="preserve">   E</w:t>
      </w:r>
      <w:r>
        <w:rPr>
          <w:rFonts w:ascii="宋体" w:hAnsi="宋体" w:cs="宋体" w:hint="eastAsia"/>
          <w:kern w:val="0"/>
          <w:szCs w:val="21"/>
        </w:rPr>
        <w:t>卡马西平</w:t>
      </w:r>
    </w:p>
    <w:p w:rsidR="003717A0" w:rsidRDefault="003717A0">
      <w:pPr>
        <w:widowControl/>
        <w:jc w:val="left"/>
        <w:rPr>
          <w:rFonts w:ascii="宋体" w:cs="宋体"/>
          <w:kern w:val="0"/>
          <w:szCs w:val="21"/>
        </w:rPr>
      </w:pPr>
      <w:r>
        <w:rPr>
          <w:rFonts w:ascii="宋体" w:hAnsi="宋体" w:cs="宋体"/>
          <w:kern w:val="0"/>
          <w:szCs w:val="21"/>
        </w:rPr>
        <w:t>10</w:t>
      </w:r>
      <w:r>
        <w:rPr>
          <w:rFonts w:ascii="宋体" w:hAnsi="宋体" w:cs="宋体" w:hint="eastAsia"/>
          <w:kern w:val="0"/>
          <w:szCs w:val="21"/>
        </w:rPr>
        <w:t>、特发性面神经麻痹急性期治疗首选（</w:t>
      </w:r>
      <w:r>
        <w:rPr>
          <w:rFonts w:ascii="宋体" w:hAnsi="宋体" w:cs="宋体"/>
          <w:kern w:val="0"/>
          <w:szCs w:val="21"/>
        </w:rPr>
        <w:t xml:space="preserve">  </w:t>
      </w:r>
      <w:r>
        <w:rPr>
          <w:rFonts w:ascii="宋体" w:hAnsi="宋体" w:cs="宋体" w:hint="eastAsia"/>
          <w:kern w:val="0"/>
          <w:szCs w:val="21"/>
        </w:rPr>
        <w:t>）</w:t>
      </w:r>
    </w:p>
    <w:p w:rsidR="003717A0" w:rsidRDefault="003717A0">
      <w:pPr>
        <w:widowControl/>
        <w:jc w:val="left"/>
        <w:rPr>
          <w:rFonts w:ascii="宋体" w:cs="宋体"/>
          <w:kern w:val="0"/>
          <w:szCs w:val="21"/>
        </w:rPr>
      </w:pPr>
      <w:r>
        <w:rPr>
          <w:rFonts w:ascii="宋体" w:hAnsi="宋体" w:cs="宋体"/>
          <w:kern w:val="0"/>
          <w:szCs w:val="21"/>
        </w:rPr>
        <w:t xml:space="preserve">A </w:t>
      </w:r>
      <w:r>
        <w:rPr>
          <w:rFonts w:ascii="宋体" w:hAnsi="宋体" w:cs="宋体" w:hint="eastAsia"/>
          <w:kern w:val="0"/>
          <w:szCs w:val="21"/>
        </w:rPr>
        <w:t>氯硝安定</w:t>
      </w:r>
      <w:r>
        <w:rPr>
          <w:rFonts w:ascii="宋体" w:hAnsi="宋体" w:cs="宋体"/>
          <w:kern w:val="0"/>
          <w:szCs w:val="21"/>
        </w:rPr>
        <w:t xml:space="preserve">     B  </w:t>
      </w:r>
      <w:r>
        <w:rPr>
          <w:rFonts w:ascii="宋体" w:hAnsi="宋体" w:cs="宋体" w:hint="eastAsia"/>
          <w:kern w:val="0"/>
          <w:szCs w:val="21"/>
        </w:rPr>
        <w:t>强的松</w:t>
      </w:r>
      <w:r>
        <w:rPr>
          <w:rFonts w:ascii="宋体" w:hAnsi="宋体" w:cs="宋体"/>
          <w:kern w:val="0"/>
          <w:szCs w:val="21"/>
        </w:rPr>
        <w:t xml:space="preserve">    C </w:t>
      </w:r>
      <w:r>
        <w:rPr>
          <w:rFonts w:ascii="宋体" w:hAnsi="宋体" w:cs="宋体" w:hint="eastAsia"/>
          <w:kern w:val="0"/>
          <w:szCs w:val="21"/>
        </w:rPr>
        <w:t>丙戊酸钠</w:t>
      </w:r>
      <w:r>
        <w:rPr>
          <w:rFonts w:ascii="宋体" w:hAnsi="宋体" w:cs="宋体"/>
          <w:kern w:val="0"/>
          <w:szCs w:val="21"/>
        </w:rPr>
        <w:t xml:space="preserve">     D </w:t>
      </w:r>
      <w:r>
        <w:rPr>
          <w:rFonts w:ascii="宋体" w:hAnsi="宋体" w:cs="宋体" w:hint="eastAsia"/>
          <w:kern w:val="0"/>
          <w:szCs w:val="21"/>
        </w:rPr>
        <w:t>苯妥英钠</w:t>
      </w:r>
      <w:r>
        <w:rPr>
          <w:rFonts w:ascii="宋体" w:hAnsi="宋体" w:cs="宋体"/>
          <w:kern w:val="0"/>
          <w:szCs w:val="21"/>
        </w:rPr>
        <w:t xml:space="preserve">     E</w:t>
      </w:r>
      <w:r>
        <w:rPr>
          <w:rFonts w:ascii="宋体" w:hAnsi="宋体" w:cs="宋体" w:hint="eastAsia"/>
          <w:kern w:val="0"/>
          <w:szCs w:val="21"/>
        </w:rPr>
        <w:t>卡马西平</w:t>
      </w:r>
    </w:p>
    <w:p w:rsidR="003717A0" w:rsidRDefault="003717A0">
      <w:pPr>
        <w:widowControl/>
        <w:ind w:left="315" w:hangingChars="150" w:hanging="315"/>
        <w:jc w:val="left"/>
        <w:rPr>
          <w:rFonts w:ascii="宋体" w:cs="宋体"/>
          <w:kern w:val="0"/>
          <w:szCs w:val="21"/>
        </w:rPr>
      </w:pPr>
      <w:r>
        <w:rPr>
          <w:rFonts w:ascii="宋体" w:hAnsi="宋体" w:cs="宋体"/>
          <w:kern w:val="0"/>
          <w:szCs w:val="21"/>
        </w:rPr>
        <w:t>11</w:t>
      </w:r>
      <w:r>
        <w:rPr>
          <w:rFonts w:ascii="宋体" w:hAnsi="宋体" w:cs="宋体" w:hint="eastAsia"/>
          <w:kern w:val="0"/>
          <w:szCs w:val="21"/>
        </w:rPr>
        <w:t>、偏头痛临床最常见的类型是（</w:t>
      </w:r>
      <w:r>
        <w:rPr>
          <w:rFonts w:ascii="宋体" w:hAnsi="宋体" w:cs="宋体"/>
          <w:kern w:val="0"/>
          <w:szCs w:val="21"/>
        </w:rPr>
        <w:t xml:space="preserve">  </w:t>
      </w:r>
      <w:r>
        <w:rPr>
          <w:rFonts w:ascii="宋体" w:hAnsi="宋体" w:cs="宋体" w:hint="eastAsia"/>
          <w:kern w:val="0"/>
          <w:szCs w:val="21"/>
        </w:rPr>
        <w:t>）</w:t>
      </w:r>
    </w:p>
    <w:p w:rsidR="003717A0" w:rsidRDefault="003717A0">
      <w:pPr>
        <w:widowControl/>
        <w:jc w:val="left"/>
        <w:rPr>
          <w:rFonts w:ascii="宋体" w:cs="宋体"/>
          <w:kern w:val="0"/>
          <w:szCs w:val="21"/>
        </w:rPr>
      </w:pPr>
      <w:r>
        <w:rPr>
          <w:rFonts w:ascii="宋体" w:hAnsi="宋体" w:cs="宋体"/>
          <w:kern w:val="0"/>
          <w:szCs w:val="21"/>
        </w:rPr>
        <w:t>A</w:t>
      </w:r>
      <w:r>
        <w:rPr>
          <w:rFonts w:ascii="宋体" w:hAnsi="宋体" w:cs="宋体" w:hint="eastAsia"/>
          <w:kern w:val="0"/>
          <w:szCs w:val="21"/>
        </w:rPr>
        <w:t>典型偏头痛</w:t>
      </w:r>
      <w:r>
        <w:rPr>
          <w:rFonts w:ascii="宋体" w:hAnsi="宋体" w:cs="宋体"/>
          <w:kern w:val="0"/>
          <w:szCs w:val="21"/>
        </w:rPr>
        <w:t xml:space="preserve">      B</w:t>
      </w:r>
      <w:r>
        <w:rPr>
          <w:rFonts w:ascii="宋体" w:hAnsi="宋体" w:cs="宋体" w:hint="eastAsia"/>
          <w:kern w:val="0"/>
          <w:szCs w:val="21"/>
        </w:rPr>
        <w:t>复杂型偏头痛</w:t>
      </w:r>
      <w:r>
        <w:rPr>
          <w:rFonts w:ascii="宋体" w:hAnsi="宋体" w:cs="宋体"/>
          <w:kern w:val="0"/>
          <w:szCs w:val="21"/>
        </w:rPr>
        <w:t xml:space="preserve">        C</w:t>
      </w:r>
      <w:r>
        <w:rPr>
          <w:rFonts w:ascii="宋体" w:hAnsi="宋体" w:cs="宋体" w:hint="eastAsia"/>
          <w:kern w:val="0"/>
          <w:szCs w:val="21"/>
        </w:rPr>
        <w:t>基底动脉偏头痛</w:t>
      </w:r>
      <w:r>
        <w:rPr>
          <w:rFonts w:ascii="宋体" w:hAnsi="宋体" w:cs="宋体"/>
          <w:kern w:val="0"/>
          <w:szCs w:val="21"/>
        </w:rPr>
        <w:t xml:space="preserve">  </w:t>
      </w:r>
    </w:p>
    <w:p w:rsidR="003717A0" w:rsidRDefault="003717A0">
      <w:pPr>
        <w:widowControl/>
        <w:jc w:val="left"/>
        <w:rPr>
          <w:rFonts w:ascii="宋体" w:cs="宋体"/>
          <w:kern w:val="0"/>
          <w:szCs w:val="21"/>
        </w:rPr>
      </w:pPr>
      <w:r>
        <w:rPr>
          <w:rFonts w:ascii="宋体" w:hAnsi="宋体" w:cs="宋体"/>
          <w:kern w:val="0"/>
          <w:szCs w:val="21"/>
        </w:rPr>
        <w:t>D</w:t>
      </w:r>
      <w:r>
        <w:rPr>
          <w:rFonts w:ascii="宋体" w:hAnsi="宋体" w:cs="宋体" w:hint="eastAsia"/>
          <w:kern w:val="0"/>
          <w:szCs w:val="21"/>
        </w:rPr>
        <w:t>偏瘫型偏头痛</w:t>
      </w:r>
      <w:r>
        <w:rPr>
          <w:rFonts w:ascii="宋体" w:hAnsi="宋体" w:cs="宋体"/>
          <w:kern w:val="0"/>
          <w:szCs w:val="21"/>
        </w:rPr>
        <w:t xml:space="preserve">     E</w:t>
      </w:r>
      <w:r>
        <w:rPr>
          <w:rFonts w:ascii="宋体" w:hAnsi="宋体" w:cs="宋体" w:hint="eastAsia"/>
          <w:kern w:val="0"/>
          <w:szCs w:val="21"/>
        </w:rPr>
        <w:t>无先兆偏头痛</w:t>
      </w:r>
    </w:p>
    <w:p w:rsidR="003717A0" w:rsidRDefault="003717A0">
      <w:pPr>
        <w:widowControl/>
        <w:jc w:val="left"/>
        <w:rPr>
          <w:rFonts w:ascii="宋体" w:cs="宋体"/>
          <w:kern w:val="0"/>
          <w:szCs w:val="21"/>
        </w:rPr>
      </w:pPr>
      <w:r>
        <w:rPr>
          <w:rFonts w:ascii="宋体" w:hAnsi="宋体" w:cs="宋体"/>
          <w:kern w:val="0"/>
          <w:szCs w:val="21"/>
        </w:rPr>
        <w:t>12</w:t>
      </w:r>
      <w:r>
        <w:rPr>
          <w:rFonts w:ascii="宋体" w:hAnsi="宋体" w:cs="宋体" w:hint="eastAsia"/>
          <w:kern w:val="0"/>
          <w:szCs w:val="21"/>
        </w:rPr>
        <w:t>、</w:t>
      </w:r>
      <w:r>
        <w:rPr>
          <w:rFonts w:ascii="宋体" w:hAnsi="宋体" w:cs="宋体"/>
          <w:kern w:val="0"/>
          <w:szCs w:val="21"/>
        </w:rPr>
        <w:t xml:space="preserve"> </w:t>
      </w:r>
      <w:r>
        <w:rPr>
          <w:rFonts w:ascii="宋体" w:hAnsi="宋体" w:cs="宋体" w:hint="eastAsia"/>
          <w:kern w:val="0"/>
          <w:szCs w:val="21"/>
        </w:rPr>
        <w:t>偏头痛发作最常见先兆是（</w:t>
      </w:r>
      <w:r>
        <w:rPr>
          <w:rFonts w:ascii="宋体" w:hAnsi="宋体" w:cs="宋体"/>
          <w:kern w:val="0"/>
          <w:szCs w:val="21"/>
        </w:rPr>
        <w:t xml:space="preserve"> </w:t>
      </w:r>
      <w:r>
        <w:rPr>
          <w:rFonts w:ascii="宋体" w:hAnsi="宋体" w:cs="宋体" w:hint="eastAsia"/>
          <w:kern w:val="0"/>
          <w:szCs w:val="21"/>
        </w:rPr>
        <w:t>）</w:t>
      </w:r>
    </w:p>
    <w:p w:rsidR="003717A0" w:rsidRDefault="003717A0">
      <w:pPr>
        <w:rPr>
          <w:rFonts w:ascii="宋体" w:cs="宋体"/>
          <w:kern w:val="0"/>
          <w:szCs w:val="21"/>
        </w:rPr>
      </w:pPr>
      <w:r>
        <w:rPr>
          <w:rFonts w:ascii="宋体" w:hAnsi="宋体" w:cs="宋体"/>
          <w:kern w:val="0"/>
          <w:szCs w:val="21"/>
        </w:rPr>
        <w:t>A</w:t>
      </w:r>
      <w:r>
        <w:rPr>
          <w:rFonts w:ascii="宋体" w:hAnsi="宋体" w:cs="宋体" w:hint="eastAsia"/>
          <w:kern w:val="0"/>
          <w:szCs w:val="21"/>
        </w:rPr>
        <w:t>躯体感觉先兆</w:t>
      </w:r>
      <w:r>
        <w:rPr>
          <w:rFonts w:ascii="宋体" w:hAnsi="宋体" w:cs="宋体"/>
          <w:kern w:val="0"/>
          <w:szCs w:val="21"/>
        </w:rPr>
        <w:t xml:space="preserve">     B</w:t>
      </w:r>
      <w:r>
        <w:rPr>
          <w:rFonts w:ascii="宋体" w:hAnsi="宋体" w:cs="宋体" w:hint="eastAsia"/>
          <w:kern w:val="0"/>
          <w:szCs w:val="21"/>
        </w:rPr>
        <w:t>运动先兆</w:t>
      </w:r>
      <w:r>
        <w:rPr>
          <w:rFonts w:ascii="宋体" w:hAnsi="宋体" w:cs="宋体"/>
          <w:kern w:val="0"/>
          <w:szCs w:val="21"/>
        </w:rPr>
        <w:t xml:space="preserve">     C</w:t>
      </w:r>
      <w:r>
        <w:rPr>
          <w:rFonts w:ascii="宋体" w:hAnsi="宋体" w:cs="宋体" w:hint="eastAsia"/>
          <w:kern w:val="0"/>
          <w:szCs w:val="21"/>
        </w:rPr>
        <w:t>视觉先兆</w:t>
      </w:r>
      <w:r>
        <w:rPr>
          <w:rFonts w:ascii="宋体" w:hAnsi="宋体" w:cs="宋体"/>
          <w:kern w:val="0"/>
          <w:szCs w:val="21"/>
        </w:rPr>
        <w:t xml:space="preserve">    D</w:t>
      </w:r>
      <w:r>
        <w:rPr>
          <w:rFonts w:ascii="宋体" w:hAnsi="宋体" w:cs="宋体" w:hint="eastAsia"/>
          <w:kern w:val="0"/>
          <w:szCs w:val="21"/>
        </w:rPr>
        <w:t>眩晕呕吐</w:t>
      </w:r>
      <w:r>
        <w:rPr>
          <w:rFonts w:ascii="宋体" w:hAnsi="宋体" w:cs="宋体"/>
          <w:kern w:val="0"/>
          <w:szCs w:val="21"/>
        </w:rPr>
        <w:t xml:space="preserve">     E</w:t>
      </w:r>
      <w:r>
        <w:rPr>
          <w:rFonts w:ascii="宋体" w:hAnsi="宋体" w:cs="宋体" w:hint="eastAsia"/>
          <w:kern w:val="0"/>
          <w:szCs w:val="21"/>
        </w:rPr>
        <w:t>腹痛腹泻</w:t>
      </w:r>
    </w:p>
    <w:p w:rsidR="003717A0" w:rsidRDefault="003717A0">
      <w:pPr>
        <w:rPr>
          <w:szCs w:val="21"/>
        </w:rPr>
      </w:pPr>
      <w:r>
        <w:rPr>
          <w:szCs w:val="21"/>
        </w:rPr>
        <w:t>13</w:t>
      </w:r>
      <w:r>
        <w:rPr>
          <w:rFonts w:hint="eastAsia"/>
          <w:szCs w:val="21"/>
        </w:rPr>
        <w:t>、脑梗死较之脑出血主要有以下特点</w:t>
      </w:r>
      <w:r>
        <w:rPr>
          <w:szCs w:val="21"/>
        </w:rPr>
        <w:t>:</w:t>
      </w:r>
      <w:r>
        <w:rPr>
          <w:rFonts w:hint="eastAsia"/>
          <w:szCs w:val="21"/>
        </w:rPr>
        <w:t>（</w:t>
      </w:r>
      <w:r>
        <w:rPr>
          <w:szCs w:val="21"/>
        </w:rPr>
        <w:t xml:space="preserve"> </w:t>
      </w:r>
      <w:r>
        <w:rPr>
          <w:rFonts w:hint="eastAsia"/>
          <w:szCs w:val="21"/>
        </w:rPr>
        <w:t>）</w:t>
      </w:r>
    </w:p>
    <w:p w:rsidR="003717A0" w:rsidRDefault="003717A0">
      <w:pPr>
        <w:rPr>
          <w:szCs w:val="21"/>
        </w:rPr>
      </w:pPr>
      <w:r>
        <w:rPr>
          <w:szCs w:val="21"/>
        </w:rPr>
        <w:t>A</w:t>
      </w:r>
      <w:r>
        <w:rPr>
          <w:rFonts w:hint="eastAsia"/>
          <w:szCs w:val="21"/>
        </w:rPr>
        <w:t>起病时的状态大多在安静时</w:t>
      </w:r>
      <w:r>
        <w:rPr>
          <w:szCs w:val="21"/>
        </w:rPr>
        <w:t xml:space="preserve">      B</w:t>
      </w:r>
      <w:r>
        <w:rPr>
          <w:rFonts w:hint="eastAsia"/>
          <w:szCs w:val="21"/>
        </w:rPr>
        <w:t>无头痛</w:t>
      </w:r>
      <w:r>
        <w:rPr>
          <w:szCs w:val="21"/>
        </w:rPr>
        <w:t>,</w:t>
      </w:r>
      <w:r>
        <w:rPr>
          <w:rFonts w:hint="eastAsia"/>
          <w:szCs w:val="21"/>
        </w:rPr>
        <w:t>呕吐等全脑症状</w:t>
      </w:r>
      <w:r>
        <w:rPr>
          <w:szCs w:val="21"/>
        </w:rPr>
        <w:t xml:space="preserve">    C</w:t>
      </w:r>
      <w:r>
        <w:rPr>
          <w:rFonts w:hint="eastAsia"/>
          <w:szCs w:val="21"/>
        </w:rPr>
        <w:t>意识障碍通常轻或无</w:t>
      </w:r>
      <w:r>
        <w:rPr>
          <w:szCs w:val="21"/>
        </w:rPr>
        <w:t xml:space="preserve">       D CT</w:t>
      </w:r>
      <w:r>
        <w:rPr>
          <w:rFonts w:hint="eastAsia"/>
          <w:szCs w:val="21"/>
        </w:rPr>
        <w:t>检查无高密度灶</w:t>
      </w:r>
      <w:r>
        <w:rPr>
          <w:szCs w:val="21"/>
        </w:rPr>
        <w:t xml:space="preserve">      E</w:t>
      </w:r>
      <w:r>
        <w:rPr>
          <w:rFonts w:hint="eastAsia"/>
          <w:szCs w:val="21"/>
        </w:rPr>
        <w:t>以上都是</w:t>
      </w:r>
    </w:p>
    <w:p w:rsidR="003717A0" w:rsidRDefault="003717A0">
      <w:pPr>
        <w:rPr>
          <w:szCs w:val="21"/>
        </w:rPr>
      </w:pPr>
      <w:r>
        <w:rPr>
          <w:szCs w:val="21"/>
        </w:rPr>
        <w:t>14</w:t>
      </w:r>
      <w:r>
        <w:rPr>
          <w:rFonts w:hint="eastAsia"/>
          <w:szCs w:val="21"/>
        </w:rPr>
        <w:t>、蛛网膜下腔出血最常见的病因是（）</w:t>
      </w:r>
    </w:p>
    <w:p w:rsidR="003717A0" w:rsidRDefault="003717A0">
      <w:pPr>
        <w:rPr>
          <w:rFonts w:ascii="宋体" w:cs="宋体"/>
          <w:kern w:val="0"/>
          <w:szCs w:val="21"/>
        </w:rPr>
      </w:pPr>
      <w:r>
        <w:rPr>
          <w:rFonts w:ascii="宋体" w:hAnsi="宋体" w:cs="宋体"/>
          <w:kern w:val="0"/>
          <w:szCs w:val="21"/>
        </w:rPr>
        <w:t>A</w:t>
      </w:r>
      <w:r>
        <w:rPr>
          <w:rFonts w:ascii="宋体" w:hAnsi="宋体" w:cs="宋体" w:hint="eastAsia"/>
          <w:kern w:val="0"/>
          <w:szCs w:val="21"/>
        </w:rPr>
        <w:t>颅内动脉瘤</w:t>
      </w:r>
      <w:r>
        <w:rPr>
          <w:rFonts w:ascii="宋体" w:hAnsi="宋体" w:cs="宋体"/>
          <w:kern w:val="0"/>
          <w:szCs w:val="21"/>
        </w:rPr>
        <w:t xml:space="preserve">     B</w:t>
      </w:r>
      <w:r>
        <w:rPr>
          <w:rFonts w:ascii="宋体" w:hAnsi="宋体" w:cs="宋体" w:hint="eastAsia"/>
          <w:kern w:val="0"/>
          <w:szCs w:val="21"/>
        </w:rPr>
        <w:t>血管畸形</w:t>
      </w:r>
      <w:r>
        <w:rPr>
          <w:rFonts w:ascii="宋体" w:hAnsi="宋体" w:cs="宋体"/>
          <w:kern w:val="0"/>
          <w:szCs w:val="21"/>
        </w:rPr>
        <w:t xml:space="preserve">     C</w:t>
      </w:r>
      <w:r>
        <w:rPr>
          <w:rFonts w:ascii="宋体" w:hAnsi="宋体" w:cs="宋体" w:hint="eastAsia"/>
          <w:kern w:val="0"/>
          <w:szCs w:val="21"/>
        </w:rPr>
        <w:t>外伤</w:t>
      </w:r>
      <w:r>
        <w:rPr>
          <w:rFonts w:ascii="宋体" w:hAnsi="宋体" w:cs="宋体"/>
          <w:kern w:val="0"/>
          <w:szCs w:val="21"/>
        </w:rPr>
        <w:t xml:space="preserve">    D</w:t>
      </w:r>
      <w:r>
        <w:rPr>
          <w:rFonts w:ascii="宋体" w:hAnsi="宋体" w:cs="宋体" w:hint="eastAsia"/>
          <w:kern w:val="0"/>
          <w:szCs w:val="21"/>
        </w:rPr>
        <w:t>肿瘤</w:t>
      </w:r>
      <w:r>
        <w:rPr>
          <w:rFonts w:ascii="宋体" w:hAnsi="宋体" w:cs="宋体"/>
          <w:kern w:val="0"/>
          <w:szCs w:val="21"/>
        </w:rPr>
        <w:t xml:space="preserve">     E</w:t>
      </w:r>
      <w:r>
        <w:rPr>
          <w:rFonts w:ascii="宋体" w:hAnsi="宋体" w:cs="宋体" w:hint="eastAsia"/>
          <w:kern w:val="0"/>
          <w:szCs w:val="21"/>
        </w:rPr>
        <w:t>其它</w:t>
      </w:r>
    </w:p>
    <w:p w:rsidR="003717A0" w:rsidRDefault="003717A0">
      <w:pPr>
        <w:rPr>
          <w:szCs w:val="21"/>
        </w:rPr>
      </w:pPr>
      <w:r>
        <w:rPr>
          <w:szCs w:val="21"/>
        </w:rPr>
        <w:t>15</w:t>
      </w:r>
      <w:r>
        <w:rPr>
          <w:rFonts w:hint="eastAsia"/>
          <w:szCs w:val="21"/>
        </w:rPr>
        <w:t>、下列哪种药物是重症肌无力患者禁用和慎用的（</w:t>
      </w:r>
      <w:r>
        <w:rPr>
          <w:szCs w:val="21"/>
        </w:rPr>
        <w:t xml:space="preserve">  </w:t>
      </w:r>
      <w:r>
        <w:rPr>
          <w:rFonts w:hint="eastAsia"/>
          <w:szCs w:val="21"/>
        </w:rPr>
        <w:t>）</w:t>
      </w:r>
    </w:p>
    <w:p w:rsidR="003717A0" w:rsidRDefault="003717A0">
      <w:pPr>
        <w:rPr>
          <w:rFonts w:ascii="宋体" w:cs="宋体"/>
          <w:kern w:val="0"/>
          <w:szCs w:val="21"/>
        </w:rPr>
      </w:pPr>
      <w:r>
        <w:rPr>
          <w:rFonts w:ascii="宋体" w:hAnsi="宋体" w:cs="宋体"/>
          <w:kern w:val="0"/>
          <w:szCs w:val="21"/>
        </w:rPr>
        <w:t>A</w:t>
      </w:r>
      <w:r>
        <w:rPr>
          <w:rFonts w:ascii="宋体" w:hAnsi="宋体" w:cs="宋体" w:hint="eastAsia"/>
          <w:kern w:val="0"/>
          <w:szCs w:val="21"/>
        </w:rPr>
        <w:t>庆大霉素</w:t>
      </w:r>
      <w:r>
        <w:rPr>
          <w:rFonts w:ascii="宋体" w:hAnsi="宋体" w:cs="宋体"/>
          <w:kern w:val="0"/>
          <w:szCs w:val="21"/>
        </w:rPr>
        <w:t xml:space="preserve">     B</w:t>
      </w:r>
      <w:r>
        <w:rPr>
          <w:rFonts w:ascii="宋体" w:hAnsi="宋体" w:cs="宋体" w:hint="eastAsia"/>
          <w:kern w:val="0"/>
          <w:szCs w:val="21"/>
        </w:rPr>
        <w:t>青霉素</w:t>
      </w:r>
      <w:r>
        <w:rPr>
          <w:rFonts w:ascii="宋体" w:hAnsi="宋体" w:cs="宋体"/>
          <w:kern w:val="0"/>
          <w:szCs w:val="21"/>
        </w:rPr>
        <w:t xml:space="preserve">     C</w:t>
      </w:r>
      <w:r>
        <w:rPr>
          <w:rFonts w:ascii="宋体" w:hAnsi="宋体" w:cs="宋体" w:hint="eastAsia"/>
          <w:kern w:val="0"/>
          <w:szCs w:val="21"/>
        </w:rPr>
        <w:t>头孢菌素</w:t>
      </w:r>
      <w:r>
        <w:rPr>
          <w:rFonts w:ascii="宋体" w:hAnsi="宋体" w:cs="宋体"/>
          <w:kern w:val="0"/>
          <w:szCs w:val="21"/>
        </w:rPr>
        <w:t xml:space="preserve">    D</w:t>
      </w:r>
      <w:r>
        <w:rPr>
          <w:rFonts w:ascii="宋体" w:hAnsi="宋体" w:cs="宋体" w:hint="eastAsia"/>
          <w:kern w:val="0"/>
          <w:szCs w:val="21"/>
        </w:rPr>
        <w:t>氯化钾</w:t>
      </w:r>
      <w:r>
        <w:rPr>
          <w:rFonts w:ascii="宋体" w:hAnsi="宋体" w:cs="宋体"/>
          <w:kern w:val="0"/>
          <w:szCs w:val="21"/>
        </w:rPr>
        <w:t xml:space="preserve">     E</w:t>
      </w:r>
      <w:r>
        <w:rPr>
          <w:rFonts w:ascii="宋体" w:hAnsi="宋体" w:cs="宋体" w:hint="eastAsia"/>
          <w:kern w:val="0"/>
          <w:szCs w:val="21"/>
        </w:rPr>
        <w:t>阿托品</w:t>
      </w:r>
    </w:p>
    <w:p w:rsidR="003717A0" w:rsidRDefault="003717A0">
      <w:pPr>
        <w:rPr>
          <w:rFonts w:ascii="宋体" w:cs="宋体"/>
          <w:kern w:val="0"/>
        </w:rPr>
      </w:pPr>
      <w:r>
        <w:rPr>
          <w:rFonts w:ascii="宋体" w:hAnsi="宋体" w:cs="宋体"/>
          <w:kern w:val="0"/>
        </w:rPr>
        <w:t>16</w:t>
      </w:r>
      <w:r>
        <w:rPr>
          <w:rFonts w:ascii="宋体" w:hAnsi="宋体" w:cs="宋体" w:hint="eastAsia"/>
          <w:kern w:val="0"/>
        </w:rPr>
        <w:t>、共同管理眼球活动的神经不包括（</w:t>
      </w:r>
      <w:r>
        <w:rPr>
          <w:rFonts w:ascii="宋体" w:hAnsi="宋体" w:cs="宋体"/>
          <w:kern w:val="0"/>
        </w:rPr>
        <w:t xml:space="preserve">  </w:t>
      </w:r>
      <w:r>
        <w:rPr>
          <w:rFonts w:ascii="宋体" w:hAnsi="宋体" w:cs="宋体" w:hint="eastAsia"/>
          <w:kern w:val="0"/>
        </w:rPr>
        <w:t>）</w:t>
      </w:r>
    </w:p>
    <w:p w:rsidR="003717A0" w:rsidRDefault="003717A0">
      <w:pPr>
        <w:rPr>
          <w:rFonts w:ascii="宋体" w:cs="宋体"/>
          <w:kern w:val="0"/>
          <w:szCs w:val="21"/>
        </w:rPr>
      </w:pPr>
      <w:r>
        <w:t>A</w:t>
      </w:r>
      <w:r>
        <w:rPr>
          <w:rFonts w:hint="eastAsia"/>
        </w:rPr>
        <w:t>动眼神经</w:t>
      </w:r>
      <w:r>
        <w:t xml:space="preserve">    B</w:t>
      </w:r>
      <w:r>
        <w:rPr>
          <w:rFonts w:hint="eastAsia"/>
        </w:rPr>
        <w:t>视神经</w:t>
      </w:r>
      <w:r>
        <w:t xml:space="preserve">     C</w:t>
      </w:r>
      <w:r>
        <w:rPr>
          <w:rFonts w:hint="eastAsia"/>
        </w:rPr>
        <w:t>滑车神经</w:t>
      </w:r>
      <w:r>
        <w:t xml:space="preserve">    D</w:t>
      </w:r>
      <w:r>
        <w:rPr>
          <w:rFonts w:hint="eastAsia"/>
        </w:rPr>
        <w:t>展神经</w:t>
      </w:r>
    </w:p>
    <w:p w:rsidR="003717A0" w:rsidRDefault="003717A0">
      <w:pPr>
        <w:rPr>
          <w:rFonts w:ascii="宋体"/>
          <w:szCs w:val="21"/>
        </w:rPr>
      </w:pPr>
      <w:r>
        <w:rPr>
          <w:rFonts w:ascii="宋体" w:hAnsi="宋体"/>
          <w:szCs w:val="21"/>
          <w:shd w:val="clear" w:color="auto" w:fill="FFFFFF"/>
        </w:rPr>
        <w:t>17</w:t>
      </w:r>
      <w:r>
        <w:rPr>
          <w:rFonts w:ascii="宋体" w:hAnsi="宋体" w:hint="eastAsia"/>
          <w:szCs w:val="21"/>
          <w:shd w:val="clear" w:color="auto" w:fill="FFFFFF"/>
        </w:rPr>
        <w:t>、下列哪项不是上运动神经瘫痪的特点</w:t>
      </w:r>
      <w:r>
        <w:rPr>
          <w:rFonts w:ascii="宋体" w:hAnsi="宋体"/>
          <w:szCs w:val="21"/>
          <w:shd w:val="clear" w:color="auto" w:fill="FFFFFF"/>
        </w:rPr>
        <w:t>?</w:t>
      </w:r>
      <w:r>
        <w:rPr>
          <w:rFonts w:ascii="宋体" w:hAnsi="宋体" w:hint="eastAsia"/>
          <w:szCs w:val="21"/>
          <w:shd w:val="clear" w:color="auto" w:fill="FFFFFF"/>
        </w:rPr>
        <w:t>（）</w:t>
      </w:r>
    </w:p>
    <w:p w:rsidR="003717A0" w:rsidRDefault="003717A0">
      <w:pPr>
        <w:rPr>
          <w:rFonts w:ascii="宋体"/>
          <w:szCs w:val="21"/>
          <w:shd w:val="clear" w:color="auto" w:fill="FFFFFF"/>
        </w:rPr>
      </w:pPr>
      <w:r>
        <w:rPr>
          <w:rFonts w:ascii="宋体" w:hAnsi="宋体"/>
          <w:szCs w:val="21"/>
          <w:shd w:val="clear" w:color="auto" w:fill="FFFFFF"/>
        </w:rPr>
        <w:t xml:space="preserve"> A</w:t>
      </w:r>
      <w:r>
        <w:rPr>
          <w:rFonts w:ascii="宋体" w:hAnsi="宋体" w:hint="eastAsia"/>
          <w:szCs w:val="21"/>
          <w:shd w:val="clear" w:color="auto" w:fill="FFFFFF"/>
        </w:rPr>
        <w:t>．肌张力增高</w:t>
      </w:r>
      <w:r>
        <w:rPr>
          <w:rFonts w:ascii="宋体" w:hAnsi="宋体"/>
          <w:szCs w:val="21"/>
          <w:shd w:val="clear" w:color="auto" w:fill="FFFFFF"/>
        </w:rPr>
        <w:t xml:space="preserve"> B</w:t>
      </w:r>
      <w:r>
        <w:rPr>
          <w:rFonts w:ascii="宋体" w:hAnsi="宋体" w:hint="eastAsia"/>
          <w:szCs w:val="21"/>
          <w:shd w:val="clear" w:color="auto" w:fill="FFFFFF"/>
        </w:rPr>
        <w:t>．腱反射增强</w:t>
      </w:r>
      <w:r>
        <w:rPr>
          <w:rFonts w:ascii="宋体" w:hAnsi="宋体"/>
          <w:szCs w:val="21"/>
          <w:shd w:val="clear" w:color="auto" w:fill="FFFFFF"/>
        </w:rPr>
        <w:t xml:space="preserve"> C</w:t>
      </w:r>
      <w:r>
        <w:rPr>
          <w:rFonts w:ascii="宋体" w:hAnsi="宋体" w:hint="eastAsia"/>
          <w:szCs w:val="21"/>
          <w:shd w:val="clear" w:color="auto" w:fill="FFFFFF"/>
        </w:rPr>
        <w:t>．肌萎缩明显</w:t>
      </w:r>
      <w:r>
        <w:rPr>
          <w:rFonts w:ascii="宋体" w:hAnsi="宋体"/>
          <w:szCs w:val="21"/>
          <w:shd w:val="clear" w:color="auto" w:fill="FFFFFF"/>
        </w:rPr>
        <w:t xml:space="preserve"> D</w:t>
      </w:r>
      <w:r>
        <w:rPr>
          <w:rFonts w:ascii="宋体" w:hAnsi="宋体" w:hint="eastAsia"/>
          <w:szCs w:val="21"/>
          <w:shd w:val="clear" w:color="auto" w:fill="FFFFFF"/>
        </w:rPr>
        <w:t>．有病理反射</w:t>
      </w:r>
      <w:r>
        <w:rPr>
          <w:rFonts w:ascii="宋体" w:hAnsi="宋体"/>
          <w:szCs w:val="21"/>
          <w:shd w:val="clear" w:color="auto" w:fill="FFFFFF"/>
        </w:rPr>
        <w:t xml:space="preserve"> E. </w:t>
      </w:r>
      <w:r>
        <w:rPr>
          <w:rFonts w:ascii="宋体" w:hAnsi="宋体" w:hint="eastAsia"/>
          <w:szCs w:val="21"/>
          <w:shd w:val="clear" w:color="auto" w:fill="FFFFFF"/>
        </w:rPr>
        <w:t>瘫痪以整个肢体为主</w:t>
      </w:r>
    </w:p>
    <w:p w:rsidR="003717A0" w:rsidRDefault="003717A0">
      <w:pPr>
        <w:rPr>
          <w:rFonts w:ascii="宋体"/>
          <w:szCs w:val="21"/>
          <w:shd w:val="clear" w:color="auto" w:fill="FFFFFF"/>
        </w:rPr>
      </w:pPr>
      <w:r>
        <w:rPr>
          <w:rFonts w:ascii="宋体" w:hAnsi="宋体"/>
          <w:szCs w:val="21"/>
          <w:shd w:val="clear" w:color="auto" w:fill="FFFFFF"/>
        </w:rPr>
        <w:t>18</w:t>
      </w:r>
      <w:r>
        <w:rPr>
          <w:rFonts w:ascii="宋体" w:hAnsi="宋体" w:hint="eastAsia"/>
          <w:szCs w:val="21"/>
          <w:shd w:val="clear" w:color="auto" w:fill="FFFFFF"/>
        </w:rPr>
        <w:t>、高血压病脑出血时，最常见的出血部位是</w:t>
      </w:r>
      <w:r>
        <w:rPr>
          <w:rFonts w:ascii="宋体" w:hAnsi="宋体"/>
          <w:szCs w:val="21"/>
          <w:shd w:val="clear" w:color="auto" w:fill="FFFFFF"/>
        </w:rPr>
        <w:t xml:space="preserve">(   )     </w:t>
      </w:r>
    </w:p>
    <w:p w:rsidR="003717A0" w:rsidRDefault="003717A0">
      <w:pPr>
        <w:rPr>
          <w:rFonts w:ascii="宋体"/>
          <w:szCs w:val="21"/>
          <w:shd w:val="clear" w:color="auto" w:fill="FFFFFF"/>
        </w:rPr>
      </w:pPr>
      <w:r>
        <w:rPr>
          <w:rFonts w:ascii="宋体"/>
          <w:szCs w:val="21"/>
          <w:shd w:val="clear" w:color="auto" w:fill="FFFFFF"/>
        </w:rPr>
        <w:t> </w:t>
      </w:r>
      <w:r>
        <w:rPr>
          <w:rFonts w:ascii="宋体" w:hAnsi="宋体"/>
          <w:szCs w:val="21"/>
          <w:shd w:val="clear" w:color="auto" w:fill="FFFFFF"/>
        </w:rPr>
        <w:t>A</w:t>
      </w:r>
      <w:r>
        <w:rPr>
          <w:rFonts w:ascii="宋体" w:hAnsi="宋体" w:hint="eastAsia"/>
          <w:szCs w:val="21"/>
          <w:shd w:val="clear" w:color="auto" w:fill="FFFFFF"/>
        </w:rPr>
        <w:t>．小脑齿状核</w:t>
      </w:r>
      <w:r>
        <w:rPr>
          <w:rFonts w:ascii="宋体"/>
          <w:szCs w:val="21"/>
          <w:shd w:val="clear" w:color="auto" w:fill="FFFFFF"/>
        </w:rPr>
        <w:t> </w:t>
      </w:r>
      <w:r>
        <w:rPr>
          <w:rFonts w:ascii="宋体" w:hAnsi="宋体"/>
          <w:szCs w:val="21"/>
          <w:shd w:val="clear" w:color="auto" w:fill="FFFFFF"/>
        </w:rPr>
        <w:t xml:space="preserve">     B</w:t>
      </w:r>
      <w:r>
        <w:rPr>
          <w:rFonts w:ascii="宋体" w:hAnsi="宋体" w:hint="eastAsia"/>
          <w:szCs w:val="21"/>
          <w:shd w:val="clear" w:color="auto" w:fill="FFFFFF"/>
        </w:rPr>
        <w:t>．小脑皮质</w:t>
      </w:r>
      <w:r>
        <w:rPr>
          <w:rFonts w:ascii="宋体"/>
          <w:szCs w:val="21"/>
          <w:shd w:val="clear" w:color="auto" w:fill="FFFFFF"/>
        </w:rPr>
        <w:t> </w:t>
      </w:r>
      <w:r>
        <w:rPr>
          <w:rFonts w:ascii="宋体" w:hAnsi="宋体"/>
          <w:szCs w:val="21"/>
          <w:shd w:val="clear" w:color="auto" w:fill="FFFFFF"/>
        </w:rPr>
        <w:t xml:space="preserve">     C</w:t>
      </w:r>
      <w:r>
        <w:rPr>
          <w:rFonts w:ascii="宋体" w:hAnsi="宋体" w:hint="eastAsia"/>
          <w:szCs w:val="21"/>
          <w:shd w:val="clear" w:color="auto" w:fill="FFFFFF"/>
        </w:rPr>
        <w:t>．桥脑</w:t>
      </w:r>
      <w:r>
        <w:rPr>
          <w:rFonts w:ascii="宋体"/>
          <w:szCs w:val="21"/>
          <w:shd w:val="clear" w:color="auto" w:fill="FFFFFF"/>
        </w:rPr>
        <w:t> </w:t>
      </w:r>
      <w:r>
        <w:rPr>
          <w:rFonts w:ascii="宋体" w:hAnsi="宋体"/>
          <w:szCs w:val="21"/>
          <w:shd w:val="clear" w:color="auto" w:fill="FFFFFF"/>
        </w:rPr>
        <w:t xml:space="preserve">     D</w:t>
      </w:r>
      <w:r>
        <w:rPr>
          <w:rFonts w:ascii="宋体" w:hAnsi="宋体" w:hint="eastAsia"/>
          <w:szCs w:val="21"/>
          <w:shd w:val="clear" w:color="auto" w:fill="FFFFFF"/>
        </w:rPr>
        <w:t>．基底节</w:t>
      </w:r>
      <w:r>
        <w:rPr>
          <w:rFonts w:ascii="宋体"/>
          <w:szCs w:val="21"/>
          <w:shd w:val="clear" w:color="auto" w:fill="FFFFFF"/>
        </w:rPr>
        <w:t> </w:t>
      </w:r>
      <w:r>
        <w:rPr>
          <w:rFonts w:ascii="宋体" w:hAnsi="宋体"/>
          <w:szCs w:val="21"/>
          <w:shd w:val="clear" w:color="auto" w:fill="FFFFFF"/>
        </w:rPr>
        <w:t xml:space="preserve">     E</w:t>
      </w:r>
      <w:r>
        <w:rPr>
          <w:rFonts w:ascii="宋体" w:hAnsi="宋体" w:hint="eastAsia"/>
          <w:szCs w:val="21"/>
          <w:shd w:val="clear" w:color="auto" w:fill="FFFFFF"/>
        </w:rPr>
        <w:t>．延髓</w:t>
      </w:r>
    </w:p>
    <w:p w:rsidR="003717A0" w:rsidRDefault="003717A0">
      <w:pPr>
        <w:rPr>
          <w:rFonts w:ascii="宋体"/>
          <w:szCs w:val="21"/>
          <w:shd w:val="clear" w:color="auto" w:fill="FFFFFF"/>
        </w:rPr>
      </w:pPr>
      <w:r>
        <w:rPr>
          <w:rFonts w:ascii="宋体" w:hAnsi="宋体"/>
          <w:szCs w:val="21"/>
          <w:shd w:val="clear" w:color="auto" w:fill="FFFFFF"/>
        </w:rPr>
        <w:t>19</w:t>
      </w:r>
      <w:r>
        <w:rPr>
          <w:rFonts w:ascii="宋体" w:hAnsi="宋体" w:hint="eastAsia"/>
          <w:szCs w:val="21"/>
          <w:shd w:val="clear" w:color="auto" w:fill="FFFFFF"/>
        </w:rPr>
        <w:t>、男，</w:t>
      </w:r>
      <w:r>
        <w:rPr>
          <w:rFonts w:ascii="宋体" w:hAnsi="宋体"/>
          <w:szCs w:val="21"/>
          <w:shd w:val="clear" w:color="auto" w:fill="FFFFFF"/>
        </w:rPr>
        <w:t>65</w:t>
      </w:r>
      <w:r>
        <w:rPr>
          <w:rFonts w:ascii="宋体" w:hAnsi="宋体" w:hint="eastAsia"/>
          <w:szCs w:val="21"/>
          <w:shd w:val="clear" w:color="auto" w:fill="FFFFFF"/>
        </w:rPr>
        <w:t>岁，有高血压、糖尿病多年。一天前发现左侧上、下肢活动受限，吐字不清，神志清楚。无明显头痛、呕吐，检查发现左侧上、下肢肌力</w:t>
      </w:r>
      <w:r>
        <w:rPr>
          <w:rFonts w:ascii="宋体" w:hAnsi="宋体"/>
          <w:szCs w:val="21"/>
          <w:shd w:val="clear" w:color="auto" w:fill="FFFFFF"/>
        </w:rPr>
        <w:t>3</w:t>
      </w:r>
      <w:r>
        <w:rPr>
          <w:rFonts w:ascii="宋体" w:hAnsi="宋体" w:hint="eastAsia"/>
          <w:szCs w:val="21"/>
          <w:shd w:val="clear" w:color="auto" w:fill="FFFFFF"/>
        </w:rPr>
        <w:t>级，左半身痛觉减退，头颅</w:t>
      </w:r>
      <w:r>
        <w:rPr>
          <w:rFonts w:ascii="宋体" w:hAnsi="宋体"/>
          <w:szCs w:val="21"/>
          <w:shd w:val="clear" w:color="auto" w:fill="FFFFFF"/>
        </w:rPr>
        <w:t>CT</w:t>
      </w:r>
      <w:r>
        <w:rPr>
          <w:rFonts w:ascii="宋体" w:hAnsi="宋体" w:hint="eastAsia"/>
          <w:szCs w:val="21"/>
          <w:shd w:val="clear" w:color="auto" w:fill="FFFFFF"/>
        </w:rPr>
        <w:t>未见异常，临床上考虑可能性最大的疾病是（）</w:t>
      </w:r>
    </w:p>
    <w:p w:rsidR="003717A0" w:rsidRDefault="003717A0">
      <w:pPr>
        <w:rPr>
          <w:rFonts w:ascii="宋体"/>
          <w:szCs w:val="21"/>
          <w:shd w:val="clear" w:color="auto" w:fill="FFFFFF"/>
        </w:rPr>
      </w:pPr>
      <w:r>
        <w:rPr>
          <w:rFonts w:ascii="宋体"/>
          <w:szCs w:val="21"/>
          <w:shd w:val="clear" w:color="auto" w:fill="FFFFFF"/>
        </w:rPr>
        <w:t> </w:t>
      </w:r>
      <w:r>
        <w:rPr>
          <w:rFonts w:ascii="宋体" w:hAnsi="宋体"/>
          <w:szCs w:val="21"/>
          <w:shd w:val="clear" w:color="auto" w:fill="FFFFFF"/>
        </w:rPr>
        <w:t xml:space="preserve">    A</w:t>
      </w:r>
      <w:r>
        <w:rPr>
          <w:rFonts w:ascii="宋体" w:hAnsi="宋体" w:hint="eastAsia"/>
          <w:szCs w:val="21"/>
          <w:shd w:val="clear" w:color="auto" w:fill="FFFFFF"/>
        </w:rPr>
        <w:t>．脑出血</w:t>
      </w:r>
      <w:r>
        <w:rPr>
          <w:rFonts w:ascii="宋体"/>
          <w:szCs w:val="21"/>
          <w:shd w:val="clear" w:color="auto" w:fill="FFFFFF"/>
        </w:rPr>
        <w:t> </w:t>
      </w:r>
      <w:r>
        <w:rPr>
          <w:rFonts w:ascii="宋体" w:hAnsi="宋体"/>
          <w:szCs w:val="21"/>
          <w:shd w:val="clear" w:color="auto" w:fill="FFFFFF"/>
        </w:rPr>
        <w:t xml:space="preserve">     B</w:t>
      </w:r>
      <w:r>
        <w:rPr>
          <w:rFonts w:ascii="宋体" w:hAnsi="宋体" w:hint="eastAsia"/>
          <w:szCs w:val="21"/>
          <w:shd w:val="clear" w:color="auto" w:fill="FFFFFF"/>
        </w:rPr>
        <w:t>．脑血栓形成</w:t>
      </w:r>
      <w:r>
        <w:rPr>
          <w:rFonts w:ascii="宋体"/>
          <w:szCs w:val="21"/>
          <w:shd w:val="clear" w:color="auto" w:fill="FFFFFF"/>
        </w:rPr>
        <w:t> </w:t>
      </w:r>
      <w:r>
        <w:rPr>
          <w:rFonts w:ascii="宋体" w:hAnsi="宋体"/>
          <w:szCs w:val="21"/>
          <w:shd w:val="clear" w:color="auto" w:fill="FFFFFF"/>
        </w:rPr>
        <w:t xml:space="preserve">     C</w:t>
      </w:r>
      <w:r>
        <w:rPr>
          <w:rFonts w:ascii="宋体" w:hAnsi="宋体" w:hint="eastAsia"/>
          <w:szCs w:val="21"/>
          <w:shd w:val="clear" w:color="auto" w:fill="FFFFFF"/>
        </w:rPr>
        <w:t>．短暂性脑缺血发作</w:t>
      </w:r>
      <w:r>
        <w:rPr>
          <w:rFonts w:ascii="宋体"/>
          <w:szCs w:val="21"/>
          <w:shd w:val="clear" w:color="auto" w:fill="FFFFFF"/>
        </w:rPr>
        <w:t> </w:t>
      </w:r>
      <w:r>
        <w:rPr>
          <w:rFonts w:ascii="宋体" w:hAnsi="宋体"/>
          <w:szCs w:val="21"/>
          <w:shd w:val="clear" w:color="auto" w:fill="FFFFFF"/>
        </w:rPr>
        <w:t xml:space="preserve">     D</w:t>
      </w:r>
      <w:r>
        <w:rPr>
          <w:rFonts w:ascii="宋体" w:hAnsi="宋体" w:hint="eastAsia"/>
          <w:szCs w:val="21"/>
          <w:shd w:val="clear" w:color="auto" w:fill="FFFFFF"/>
        </w:rPr>
        <w:t>．蛛网膜下腔出血</w:t>
      </w:r>
    </w:p>
    <w:p w:rsidR="003717A0" w:rsidRDefault="003717A0">
      <w:pPr>
        <w:rPr>
          <w:rFonts w:ascii="宋体"/>
          <w:szCs w:val="21"/>
          <w:shd w:val="clear" w:color="auto" w:fill="FFFFFF"/>
        </w:rPr>
      </w:pPr>
      <w:r>
        <w:rPr>
          <w:rFonts w:ascii="宋体" w:hAnsi="宋体"/>
          <w:szCs w:val="21"/>
          <w:shd w:val="clear" w:color="auto" w:fill="FFFFFF"/>
        </w:rPr>
        <w:t>20</w:t>
      </w:r>
      <w:r>
        <w:rPr>
          <w:rFonts w:ascii="宋体" w:hAnsi="宋体" w:hint="eastAsia"/>
          <w:szCs w:val="21"/>
          <w:shd w:val="clear" w:color="auto" w:fill="FFFFFF"/>
        </w:rPr>
        <w:t>、对重症肌无力诊断没有帮助的检查项目是（）</w:t>
      </w:r>
    </w:p>
    <w:p w:rsidR="003717A0" w:rsidRDefault="003717A0">
      <w:pPr>
        <w:rPr>
          <w:rFonts w:ascii="宋体"/>
          <w:szCs w:val="21"/>
          <w:shd w:val="clear" w:color="auto" w:fill="FFFFFF"/>
        </w:rPr>
      </w:pPr>
      <w:r>
        <w:rPr>
          <w:rFonts w:ascii="宋体"/>
          <w:szCs w:val="21"/>
          <w:shd w:val="clear" w:color="auto" w:fill="FFFFFF"/>
        </w:rPr>
        <w:t> </w:t>
      </w:r>
      <w:r>
        <w:rPr>
          <w:rFonts w:ascii="宋体" w:hAnsi="宋体"/>
          <w:szCs w:val="21"/>
          <w:shd w:val="clear" w:color="auto" w:fill="FFFFFF"/>
        </w:rPr>
        <w:t>A</w:t>
      </w:r>
      <w:r>
        <w:rPr>
          <w:rFonts w:ascii="宋体" w:hAnsi="宋体" w:hint="eastAsia"/>
          <w:szCs w:val="21"/>
          <w:shd w:val="clear" w:color="auto" w:fill="FFFFFF"/>
        </w:rPr>
        <w:t>．疲劳试验</w:t>
      </w:r>
      <w:r>
        <w:rPr>
          <w:rFonts w:ascii="宋体"/>
          <w:szCs w:val="21"/>
          <w:shd w:val="clear" w:color="auto" w:fill="FFFFFF"/>
        </w:rPr>
        <w:t> </w:t>
      </w:r>
      <w:r>
        <w:rPr>
          <w:rFonts w:ascii="宋体" w:hAnsi="宋体"/>
          <w:szCs w:val="21"/>
          <w:shd w:val="clear" w:color="auto" w:fill="FFFFFF"/>
        </w:rPr>
        <w:t xml:space="preserve">     B</w:t>
      </w:r>
      <w:r>
        <w:rPr>
          <w:rFonts w:ascii="宋体" w:hAnsi="宋体" w:hint="eastAsia"/>
          <w:szCs w:val="21"/>
          <w:shd w:val="clear" w:color="auto" w:fill="FFFFFF"/>
        </w:rPr>
        <w:t>．腾喜龙试验</w:t>
      </w:r>
      <w:r>
        <w:rPr>
          <w:rFonts w:ascii="宋体"/>
          <w:szCs w:val="21"/>
          <w:shd w:val="clear" w:color="auto" w:fill="FFFFFF"/>
        </w:rPr>
        <w:t> </w:t>
      </w:r>
      <w:r>
        <w:rPr>
          <w:rFonts w:ascii="宋体" w:hAnsi="宋体"/>
          <w:szCs w:val="21"/>
          <w:shd w:val="clear" w:color="auto" w:fill="FFFFFF"/>
        </w:rPr>
        <w:t xml:space="preserve">     C</w:t>
      </w:r>
      <w:r>
        <w:rPr>
          <w:rFonts w:ascii="宋体" w:hAnsi="宋体" w:hint="eastAsia"/>
          <w:szCs w:val="21"/>
          <w:shd w:val="clear" w:color="auto" w:fill="FFFFFF"/>
        </w:rPr>
        <w:t>．新斯的明试验</w:t>
      </w:r>
      <w:r>
        <w:rPr>
          <w:rFonts w:ascii="宋体"/>
          <w:szCs w:val="21"/>
          <w:shd w:val="clear" w:color="auto" w:fill="FFFFFF"/>
        </w:rPr>
        <w:t> </w:t>
      </w:r>
      <w:r>
        <w:rPr>
          <w:rFonts w:ascii="宋体" w:hAnsi="宋体"/>
          <w:szCs w:val="21"/>
          <w:shd w:val="clear" w:color="auto" w:fill="FFFFFF"/>
        </w:rPr>
        <w:t xml:space="preserve">     D</w:t>
      </w:r>
      <w:r>
        <w:rPr>
          <w:rFonts w:ascii="宋体" w:hAnsi="宋体" w:hint="eastAsia"/>
          <w:szCs w:val="21"/>
          <w:shd w:val="clear" w:color="auto" w:fill="FFFFFF"/>
        </w:rPr>
        <w:t>．神经重复频率刺激检</w:t>
      </w:r>
      <w:r>
        <w:rPr>
          <w:rFonts w:ascii="宋体" w:hAnsi="宋体" w:hint="eastAsia"/>
          <w:szCs w:val="21"/>
          <w:shd w:val="clear" w:color="auto" w:fill="FFFFFF"/>
        </w:rPr>
        <w:lastRenderedPageBreak/>
        <w:t>查</w:t>
      </w:r>
      <w:r>
        <w:rPr>
          <w:rFonts w:ascii="宋体"/>
          <w:szCs w:val="21"/>
          <w:shd w:val="clear" w:color="auto" w:fill="FFFFFF"/>
        </w:rPr>
        <w:t> </w:t>
      </w:r>
      <w:r>
        <w:rPr>
          <w:rFonts w:ascii="宋体" w:hAnsi="宋体"/>
          <w:szCs w:val="21"/>
          <w:shd w:val="clear" w:color="auto" w:fill="FFFFFF"/>
        </w:rPr>
        <w:t xml:space="preserve">     E</w:t>
      </w:r>
      <w:r>
        <w:rPr>
          <w:rFonts w:ascii="宋体" w:hAnsi="宋体" w:hint="eastAsia"/>
          <w:szCs w:val="21"/>
          <w:shd w:val="clear" w:color="auto" w:fill="FFFFFF"/>
        </w:rPr>
        <w:t>．脑脊液检查</w:t>
      </w:r>
    </w:p>
    <w:p w:rsidR="003717A0" w:rsidRDefault="003717A0">
      <w:pPr>
        <w:rPr>
          <w:rFonts w:ascii="宋体"/>
          <w:szCs w:val="21"/>
          <w:shd w:val="clear" w:color="auto" w:fill="FFFFFF"/>
        </w:rPr>
      </w:pPr>
      <w:r>
        <w:rPr>
          <w:rFonts w:ascii="宋体" w:hAnsi="宋体" w:hint="eastAsia"/>
          <w:szCs w:val="21"/>
          <w:shd w:val="clear" w:color="auto" w:fill="FFFFFF"/>
        </w:rPr>
        <w:t>三、问答题（每题</w:t>
      </w:r>
      <w:r>
        <w:rPr>
          <w:rFonts w:ascii="宋体" w:hAnsi="宋体"/>
          <w:szCs w:val="21"/>
          <w:shd w:val="clear" w:color="auto" w:fill="FFFFFF"/>
        </w:rPr>
        <w:t>6</w:t>
      </w:r>
      <w:r>
        <w:rPr>
          <w:rFonts w:ascii="宋体" w:hAnsi="宋体" w:hint="eastAsia"/>
          <w:szCs w:val="21"/>
          <w:shd w:val="clear" w:color="auto" w:fill="FFFFFF"/>
        </w:rPr>
        <w:t>分，共</w:t>
      </w:r>
      <w:r>
        <w:rPr>
          <w:rFonts w:ascii="宋体" w:hAnsi="宋体"/>
          <w:szCs w:val="21"/>
          <w:shd w:val="clear" w:color="auto" w:fill="FFFFFF"/>
        </w:rPr>
        <w:t>30</w:t>
      </w:r>
      <w:r>
        <w:rPr>
          <w:rFonts w:ascii="宋体" w:hAnsi="宋体" w:hint="eastAsia"/>
          <w:szCs w:val="21"/>
          <w:shd w:val="clear" w:color="auto" w:fill="FFFFFF"/>
        </w:rPr>
        <w:t>分）</w:t>
      </w:r>
    </w:p>
    <w:p w:rsidR="003717A0" w:rsidRDefault="003717A0">
      <w:pPr>
        <w:rPr>
          <w:szCs w:val="21"/>
        </w:rPr>
      </w:pPr>
      <w:r>
        <w:rPr>
          <w:szCs w:val="21"/>
        </w:rPr>
        <w:t>1</w:t>
      </w:r>
      <w:r>
        <w:rPr>
          <w:rFonts w:hint="eastAsia"/>
          <w:szCs w:val="21"/>
        </w:rPr>
        <w:t>试述癫痫持续状态的处理。</w:t>
      </w:r>
    </w:p>
    <w:p w:rsidR="003717A0" w:rsidRDefault="003717A0">
      <w:pPr>
        <w:rPr>
          <w:szCs w:val="21"/>
        </w:rPr>
      </w:pPr>
      <w:r>
        <w:rPr>
          <w:szCs w:val="21"/>
        </w:rPr>
        <w:t>2</w:t>
      </w:r>
      <w:r>
        <w:rPr>
          <w:rFonts w:ascii="宋体" w:hint="eastAsia"/>
          <w:sz w:val="24"/>
          <w:lang w:val="zh-CN"/>
        </w:rPr>
        <w:t>试述上运动神经元性瘫痪与下运动神经元性瘫痪的鉴别</w:t>
      </w:r>
      <w:r>
        <w:rPr>
          <w:rFonts w:hint="eastAsia"/>
          <w:szCs w:val="21"/>
        </w:rPr>
        <w:t>。</w:t>
      </w:r>
    </w:p>
    <w:p w:rsidR="003717A0" w:rsidRDefault="003717A0">
      <w:pPr>
        <w:rPr>
          <w:szCs w:val="21"/>
        </w:rPr>
      </w:pPr>
      <w:r>
        <w:rPr>
          <w:szCs w:val="21"/>
        </w:rPr>
        <w:t>3</w:t>
      </w:r>
      <w:r>
        <w:rPr>
          <w:rFonts w:ascii="宋体" w:hAnsi="宋体" w:cs="宋体" w:hint="eastAsia"/>
          <w:bCs/>
          <w:kern w:val="0"/>
          <w:szCs w:val="21"/>
        </w:rPr>
        <w:t>试述重症肌无力危象的分类和鉴别。</w:t>
      </w:r>
    </w:p>
    <w:p w:rsidR="003717A0" w:rsidRDefault="003717A0">
      <w:pPr>
        <w:rPr>
          <w:szCs w:val="21"/>
        </w:rPr>
      </w:pPr>
      <w:r>
        <w:rPr>
          <w:szCs w:val="21"/>
        </w:rPr>
        <w:t>4</w:t>
      </w:r>
      <w:r>
        <w:rPr>
          <w:rFonts w:hint="eastAsia"/>
          <w:szCs w:val="21"/>
        </w:rPr>
        <w:t>试述蛛网膜下腔出血的并发症。</w:t>
      </w:r>
    </w:p>
    <w:p w:rsidR="003717A0" w:rsidRDefault="003717A0">
      <w:pPr>
        <w:rPr>
          <w:szCs w:val="21"/>
        </w:rPr>
      </w:pPr>
      <w:r>
        <w:rPr>
          <w:szCs w:val="21"/>
        </w:rPr>
        <w:t>5</w:t>
      </w:r>
      <w:r>
        <w:rPr>
          <w:rFonts w:ascii="宋体" w:hint="eastAsia"/>
          <w:sz w:val="24"/>
          <w:lang w:val="zh-CN"/>
        </w:rPr>
        <w:t>试述真性与假性球麻痹的鉴别。</w:t>
      </w:r>
    </w:p>
    <w:p w:rsidR="003717A0" w:rsidRDefault="003717A0">
      <w:pPr>
        <w:rPr>
          <w:b/>
          <w:szCs w:val="21"/>
        </w:rPr>
      </w:pPr>
      <w:r>
        <w:rPr>
          <w:rFonts w:hint="eastAsia"/>
          <w:b/>
          <w:szCs w:val="21"/>
        </w:rPr>
        <w:t>四、病例分析题（共</w:t>
      </w:r>
      <w:r>
        <w:rPr>
          <w:b/>
          <w:szCs w:val="21"/>
        </w:rPr>
        <w:t>9</w:t>
      </w:r>
      <w:r>
        <w:rPr>
          <w:rFonts w:hint="eastAsia"/>
          <w:b/>
          <w:szCs w:val="21"/>
        </w:rPr>
        <w:t>分）</w:t>
      </w:r>
    </w:p>
    <w:p w:rsidR="003717A0" w:rsidRDefault="003717A0">
      <w:pPr>
        <w:rPr>
          <w:szCs w:val="21"/>
        </w:rPr>
      </w:pPr>
      <w:r>
        <w:rPr>
          <w:rFonts w:hint="eastAsia"/>
          <w:szCs w:val="21"/>
        </w:rPr>
        <w:t>患者张某，男，</w:t>
      </w:r>
      <w:r>
        <w:rPr>
          <w:szCs w:val="21"/>
        </w:rPr>
        <w:t>42</w:t>
      </w:r>
      <w:r>
        <w:rPr>
          <w:rFonts w:hint="eastAsia"/>
          <w:szCs w:val="21"/>
        </w:rPr>
        <w:t>岁，农民，近一周感四肢无力，近</w:t>
      </w:r>
      <w:r>
        <w:rPr>
          <w:szCs w:val="21"/>
        </w:rPr>
        <w:t>2</w:t>
      </w:r>
      <w:r>
        <w:rPr>
          <w:rFonts w:hint="eastAsia"/>
          <w:szCs w:val="21"/>
        </w:rPr>
        <w:t>天加重致不能下地行走，并出现呼吸费力，症状持续无波动性，起病前一周有腹泻史，查体：神志清，双侧额纹消失，双眼闭合无力，不能鼓腮，其余颅神经正常，四肢肌力</w:t>
      </w:r>
      <w:r>
        <w:rPr>
          <w:szCs w:val="21"/>
        </w:rPr>
        <w:t>3</w:t>
      </w:r>
      <w:r>
        <w:rPr>
          <w:rFonts w:hint="eastAsia"/>
          <w:szCs w:val="21"/>
        </w:rPr>
        <w:t>级，四肢腱反射消失，双侧病理征阴性，四肢手套袜套样感觉减退。脑脊液检查提示细胞数正常，蛋白增高至</w:t>
      </w:r>
      <w:r>
        <w:rPr>
          <w:szCs w:val="21"/>
        </w:rPr>
        <w:t>1.1g/L</w:t>
      </w:r>
      <w:r>
        <w:rPr>
          <w:rFonts w:hint="eastAsia"/>
          <w:szCs w:val="21"/>
        </w:rPr>
        <w:t>（蛋白细胞分离）。</w:t>
      </w:r>
    </w:p>
    <w:p w:rsidR="003717A0" w:rsidRDefault="003717A0">
      <w:pPr>
        <w:rPr>
          <w:szCs w:val="21"/>
        </w:rPr>
      </w:pPr>
      <w:r>
        <w:rPr>
          <w:rFonts w:hint="eastAsia"/>
          <w:szCs w:val="21"/>
        </w:rPr>
        <w:t>问题：</w:t>
      </w:r>
      <w:r>
        <w:rPr>
          <w:szCs w:val="21"/>
        </w:rPr>
        <w:t>1</w:t>
      </w:r>
      <w:r>
        <w:rPr>
          <w:rFonts w:hint="eastAsia"/>
          <w:szCs w:val="21"/>
        </w:rPr>
        <w:t>、该患者最可能诊断什么病？</w:t>
      </w:r>
    </w:p>
    <w:p w:rsidR="003717A0" w:rsidRDefault="003717A0">
      <w:pPr>
        <w:rPr>
          <w:szCs w:val="21"/>
        </w:rPr>
      </w:pPr>
      <w:r>
        <w:rPr>
          <w:szCs w:val="21"/>
        </w:rPr>
        <w:t xml:space="preserve">      2</w:t>
      </w:r>
      <w:r>
        <w:rPr>
          <w:rFonts w:hint="eastAsia"/>
          <w:szCs w:val="21"/>
        </w:rPr>
        <w:t>、为明确诊断需进行哪些辅助检查？</w:t>
      </w:r>
    </w:p>
    <w:p w:rsidR="003717A0" w:rsidRDefault="003717A0">
      <w:pPr>
        <w:autoSpaceDE w:val="0"/>
        <w:autoSpaceDN w:val="0"/>
        <w:adjustRightInd w:val="0"/>
        <w:spacing w:line="440" w:lineRule="exact"/>
        <w:ind w:firstLineChars="193" w:firstLine="405"/>
        <w:jc w:val="left"/>
        <w:rPr>
          <w:rFonts w:ascii="Times New Roman" w:hAnsi="Times New Roman"/>
          <w:b/>
          <w:kern w:val="0"/>
          <w:sz w:val="22"/>
        </w:rPr>
      </w:pPr>
      <w:r>
        <w:rPr>
          <w:szCs w:val="21"/>
        </w:rPr>
        <w:t xml:space="preserve">  3</w:t>
      </w:r>
      <w:r>
        <w:rPr>
          <w:rFonts w:hint="eastAsia"/>
          <w:szCs w:val="21"/>
        </w:rPr>
        <w:t>、试述如何治疗。</w:t>
      </w:r>
    </w:p>
    <w:p w:rsidR="003717A0" w:rsidRDefault="003717A0">
      <w:pPr>
        <w:widowControl/>
        <w:jc w:val="left"/>
        <w:rPr>
          <w:rFonts w:ascii="Times New Roman" w:eastAsia="黑体" w:hAnsi="Times New Roman"/>
          <w:kern w:val="0"/>
          <w:sz w:val="34"/>
          <w:szCs w:val="34"/>
        </w:rPr>
      </w:pPr>
      <w:r>
        <w:rPr>
          <w:rFonts w:ascii="Times New Roman" w:eastAsia="黑体" w:hAnsi="Times New Roman"/>
          <w:kern w:val="0"/>
          <w:sz w:val="34"/>
          <w:szCs w:val="34"/>
        </w:rPr>
        <w:br w:type="page"/>
      </w: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00" w:firstLine="420"/>
              <w:jc w:val="left"/>
              <w:rPr>
                <w:rFonts w:ascii="Times New Roman" w:hAnsi="宋体"/>
                <w:kern w:val="0"/>
                <w:sz w:val="22"/>
              </w:rPr>
            </w:pPr>
            <w:r>
              <w:rPr>
                <w:rFonts w:ascii="宋体" w:hAnsi="宋体" w:hint="eastAsia"/>
                <w:szCs w:val="21"/>
              </w:rPr>
              <w:t>教师应充分研究本大纲所规定的各章内容，对重点和难点进行深入浅出的讲解。在有限的课时内完成神经病学大纲要求的内容教授，重点讲授基本知识，培养运用基本知识进行定位定性诊断的能力，掌握常见病的诊疗。</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47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76"/>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7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7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7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可在每节课后留下相关内容的一个病例分析题，要求根据内容完善病史，补充相关辅助检查，进行定位及定性诊断，提出鉴别诊断及治疗方案。</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宋体"/>
                <w:kern w:val="0"/>
                <w:sz w:val="22"/>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课程为学期课程，成绩考核的方式：考试。考试时实行同一专业统考，即统一命题，统一考试，统一阅卷。考试学期总评成绩的评定方法如下：</w:t>
            </w:r>
          </w:p>
          <w:p w:rsidR="003717A0" w:rsidRDefault="003717A0">
            <w:pPr>
              <w:numPr>
                <w:ilvl w:val="0"/>
                <w:numId w:val="47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numPr>
                <w:ilvl w:val="0"/>
                <w:numId w:val="47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）缺见习课</w:t>
            </w:r>
            <w:r>
              <w:rPr>
                <w:rFonts w:ascii="Times New Roman" w:hAnsi="宋体"/>
                <w:szCs w:val="21"/>
              </w:rPr>
              <w:t>2</w:t>
            </w:r>
            <w:r>
              <w:rPr>
                <w:rFonts w:ascii="Times New Roman" w:hAnsi="宋体" w:hint="eastAsia"/>
                <w:szCs w:val="21"/>
              </w:rPr>
              <w:t>次以上者；</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鼓励和指导学生积极参加科室临床病例讨论，参加教学查房。</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107" w:name="_Toc469313015"/>
      <w:bookmarkStart w:id="108" w:name="_Toc471830727"/>
      <w:r w:rsidRPr="00566E4D">
        <w:rPr>
          <w:rFonts w:hint="eastAsia"/>
          <w:b/>
        </w:rPr>
        <w:lastRenderedPageBreak/>
        <w:t>《神经系统疾病物理治疗》课程质量标准</w:t>
      </w:r>
      <w:bookmarkEnd w:id="107"/>
      <w:bookmarkEnd w:id="108"/>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神经系统疾病物理治疗</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Physiotherapy For Nervous system Disease</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bCs/>
              </w:rPr>
            </w:pPr>
            <w:r>
              <w:rPr>
                <w:bCs/>
              </w:rPr>
              <w:t>170706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108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5</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Cs w:val="21"/>
              </w:rPr>
              <w:t>□</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康复医学系</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教材名称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神经康复学</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jc w:val="center"/>
              <w:rPr>
                <w:sz w:val="22"/>
              </w:rPr>
            </w:pPr>
            <w:r>
              <w:rPr>
                <w:rFonts w:hint="eastAsia"/>
                <w:sz w:val="22"/>
              </w:rPr>
              <w:t>人民卫生出版社，</w:t>
            </w:r>
            <w:r>
              <w:rPr>
                <w:sz w:val="22"/>
              </w:rPr>
              <w:t>2013</w:t>
            </w:r>
            <w:r>
              <w:rPr>
                <w:rFonts w:hint="eastAsia"/>
                <w:sz w:val="22"/>
              </w:rPr>
              <w:t>年</w:t>
            </w:r>
            <w:r>
              <w:rPr>
                <w:sz w:val="22"/>
              </w:rPr>
              <w:t>8</w:t>
            </w:r>
            <w:r>
              <w:rPr>
                <w:rFonts w:hint="eastAsia"/>
                <w:sz w:val="22"/>
              </w:rPr>
              <w:t>月第</w:t>
            </w:r>
            <w:r>
              <w:rPr>
                <w:sz w:val="22"/>
              </w:rPr>
              <w:t>2</w:t>
            </w:r>
            <w:r>
              <w:rPr>
                <w:rFonts w:hint="eastAsia"/>
                <w:sz w:val="22"/>
              </w:rPr>
              <w:t>版，书号：</w:t>
            </w:r>
            <w:r>
              <w:rPr>
                <w:sz w:val="22"/>
              </w:rPr>
              <w:t>ISBN 978-7-117-17009-3/R</w:t>
            </w:r>
            <w:r>
              <w:rPr>
                <w:rFonts w:hint="eastAsia"/>
                <w:sz w:val="22"/>
              </w:rPr>
              <w:t>·</w:t>
            </w:r>
            <w:r>
              <w:rPr>
                <w:sz w:val="22"/>
              </w:rPr>
              <w:t>17010</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w:t>
            </w:r>
            <w:r>
              <w:rPr>
                <w:rFonts w:ascii="宋体" w:hAnsi="宋体" w:hint="eastAsia"/>
                <w:szCs w:val="21"/>
              </w:rPr>
              <w:t>■</w:t>
            </w:r>
            <w:r>
              <w:rPr>
                <w:rFonts w:ascii="宋体" w:hAnsi="宋体" w:hint="eastAsia"/>
                <w:sz w:val="22"/>
              </w:rPr>
              <w:t>部级规划□省级规划□自编□其他</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课程成绩</w:t>
            </w:r>
          </w:p>
        </w:tc>
        <w:tc>
          <w:tcPr>
            <w:tcW w:w="3809" w:type="dxa"/>
            <w:gridSpan w:val="4"/>
          </w:tcPr>
          <w:p w:rsidR="003717A0" w:rsidRDefault="003717A0">
            <w:pPr>
              <w:adjustRightInd w:val="0"/>
              <w:snapToGrid w:val="0"/>
              <w:spacing w:line="500" w:lineRule="exact"/>
              <w:jc w:val="left"/>
              <w:rPr>
                <w:sz w:val="22"/>
              </w:rPr>
            </w:pPr>
            <w:r>
              <w:rPr>
                <w:rFonts w:hint="eastAsia"/>
                <w:sz w:val="22"/>
              </w:rPr>
              <w:t>平时成绩</w:t>
            </w:r>
            <w:r>
              <w:rPr>
                <w:sz w:val="22"/>
              </w:rPr>
              <w:t>0%</w:t>
            </w:r>
          </w:p>
        </w:tc>
        <w:tc>
          <w:tcPr>
            <w:tcW w:w="3809" w:type="dxa"/>
            <w:gridSpan w:val="5"/>
          </w:tcPr>
          <w:p w:rsidR="003717A0" w:rsidRDefault="003717A0">
            <w:pPr>
              <w:adjustRightInd w:val="0"/>
              <w:snapToGrid w:val="0"/>
              <w:spacing w:line="500" w:lineRule="exact"/>
              <w:jc w:val="left"/>
              <w:rPr>
                <w:sz w:val="22"/>
              </w:rPr>
            </w:pPr>
            <w:r>
              <w:rPr>
                <w:rFonts w:hint="eastAsia"/>
                <w:sz w:val="22"/>
              </w:rPr>
              <w:t>期末成绩</w:t>
            </w:r>
            <w:r>
              <w:rPr>
                <w:sz w:val="22"/>
              </w:rPr>
              <w:t>100%</w:t>
            </w: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朱振杰</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w:t>
            </w:r>
            <w:r>
              <w:rPr>
                <w:sz w:val="22"/>
              </w:rPr>
              <w:t xml:space="preserve"> </w:t>
            </w:r>
            <w:r>
              <w:rPr>
                <w:rFonts w:hint="eastAsia"/>
                <w:sz w:val="22"/>
              </w:rPr>
              <w:t>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2006.9</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沈光宇</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本科生</w:t>
            </w:r>
          </w:p>
        </w:tc>
        <w:tc>
          <w:tcPr>
            <w:tcW w:w="1523" w:type="dxa"/>
            <w:gridSpan w:val="3"/>
          </w:tcPr>
          <w:p w:rsidR="003717A0" w:rsidRDefault="003717A0">
            <w:pPr>
              <w:adjustRightInd w:val="0"/>
              <w:snapToGrid w:val="0"/>
              <w:spacing w:line="500" w:lineRule="exact"/>
              <w:jc w:val="center"/>
              <w:rPr>
                <w:sz w:val="22"/>
              </w:rPr>
            </w:pPr>
            <w:r>
              <w:rPr>
                <w:rFonts w:hint="eastAsia"/>
                <w:sz w:val="22"/>
              </w:rPr>
              <w:t>学士</w:t>
            </w:r>
          </w:p>
        </w:tc>
        <w:tc>
          <w:tcPr>
            <w:tcW w:w="1524" w:type="dxa"/>
            <w:gridSpan w:val="2"/>
          </w:tcPr>
          <w:p w:rsidR="003717A0" w:rsidRDefault="003717A0">
            <w:pPr>
              <w:adjustRightInd w:val="0"/>
              <w:snapToGrid w:val="0"/>
              <w:spacing w:line="500" w:lineRule="exact"/>
              <w:jc w:val="center"/>
              <w:rPr>
                <w:sz w:val="22"/>
              </w:rPr>
            </w:pPr>
            <w:r>
              <w:rPr>
                <w:rFonts w:hint="eastAsia"/>
                <w:sz w:val="22"/>
              </w:rPr>
              <w:t>教授</w:t>
            </w:r>
          </w:p>
        </w:tc>
        <w:tc>
          <w:tcPr>
            <w:tcW w:w="1524" w:type="dxa"/>
          </w:tcPr>
          <w:p w:rsidR="003717A0" w:rsidRDefault="003717A0">
            <w:pPr>
              <w:adjustRightInd w:val="0"/>
              <w:snapToGrid w:val="0"/>
              <w:spacing w:line="500" w:lineRule="exact"/>
              <w:jc w:val="center"/>
              <w:rPr>
                <w:sz w:val="22"/>
              </w:rPr>
            </w:pPr>
            <w:r>
              <w:rPr>
                <w:sz w:val="22"/>
              </w:rPr>
              <w:t>1982.1</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顾琦</w:t>
            </w:r>
          </w:p>
        </w:tc>
        <w:tc>
          <w:tcPr>
            <w:tcW w:w="1523" w:type="dxa"/>
          </w:tcPr>
          <w:p w:rsidR="003717A0" w:rsidRDefault="003717A0">
            <w:pPr>
              <w:adjustRightInd w:val="0"/>
              <w:snapToGrid w:val="0"/>
              <w:spacing w:line="500" w:lineRule="exact"/>
              <w:jc w:val="center"/>
              <w:rPr>
                <w:sz w:val="22"/>
              </w:rPr>
            </w:pPr>
            <w:r>
              <w:rPr>
                <w:rFonts w:hint="eastAsia"/>
                <w:sz w:val="22"/>
              </w:rPr>
              <w:t>女</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2005.8</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陈伟观</w:t>
            </w:r>
            <w:r>
              <w:rPr>
                <w:sz w:val="22"/>
              </w:rPr>
              <w:t xml:space="preserve"> </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hint="eastAsia"/>
                <w:sz w:val="22"/>
              </w:rPr>
              <w:t>讲师</w:t>
            </w:r>
          </w:p>
        </w:tc>
        <w:tc>
          <w:tcPr>
            <w:tcW w:w="1524" w:type="dxa"/>
          </w:tcPr>
          <w:p w:rsidR="003717A0" w:rsidRDefault="003717A0">
            <w:pPr>
              <w:adjustRightInd w:val="0"/>
              <w:snapToGrid w:val="0"/>
              <w:spacing w:line="500" w:lineRule="exact"/>
              <w:jc w:val="center"/>
              <w:rPr>
                <w:sz w:val="22"/>
              </w:rPr>
            </w:pPr>
            <w:r>
              <w:rPr>
                <w:sz w:val="22"/>
              </w:rPr>
              <w:t>2009.08</w:t>
            </w:r>
          </w:p>
        </w:tc>
      </w:tr>
      <w:tr w:rsidR="003717A0" w:rsidTr="00566E4D">
        <w:trPr>
          <w:jc w:val="center"/>
        </w:trPr>
        <w:tc>
          <w:tcPr>
            <w:tcW w:w="1668" w:type="dxa"/>
          </w:tcPr>
          <w:p w:rsidR="003717A0" w:rsidRDefault="003717A0">
            <w:pPr>
              <w:adjustRightInd w:val="0"/>
              <w:snapToGrid w:val="0"/>
              <w:spacing w:line="500" w:lineRule="exact"/>
              <w:jc w:val="center"/>
              <w:rPr>
                <w:sz w:val="22"/>
              </w:rPr>
            </w:pPr>
          </w:p>
        </w:tc>
        <w:tc>
          <w:tcPr>
            <w:tcW w:w="1523" w:type="dxa"/>
          </w:tcPr>
          <w:p w:rsidR="003717A0" w:rsidRDefault="003717A0">
            <w:pPr>
              <w:adjustRightInd w:val="0"/>
              <w:snapToGrid w:val="0"/>
              <w:spacing w:line="500" w:lineRule="exact"/>
              <w:jc w:val="center"/>
              <w:rPr>
                <w:sz w:val="22"/>
              </w:rPr>
            </w:pPr>
          </w:p>
        </w:tc>
        <w:tc>
          <w:tcPr>
            <w:tcW w:w="1524" w:type="dxa"/>
            <w:gridSpan w:val="2"/>
          </w:tcPr>
          <w:p w:rsidR="003717A0" w:rsidRDefault="003717A0">
            <w:pPr>
              <w:adjustRightInd w:val="0"/>
              <w:snapToGrid w:val="0"/>
              <w:spacing w:line="500" w:lineRule="exact"/>
              <w:jc w:val="center"/>
              <w:rPr>
                <w:sz w:val="22"/>
              </w:rPr>
            </w:pPr>
          </w:p>
        </w:tc>
        <w:tc>
          <w:tcPr>
            <w:tcW w:w="1523" w:type="dxa"/>
            <w:gridSpan w:val="3"/>
          </w:tcPr>
          <w:p w:rsidR="003717A0" w:rsidRDefault="003717A0">
            <w:pPr>
              <w:adjustRightInd w:val="0"/>
              <w:snapToGrid w:val="0"/>
              <w:spacing w:line="500" w:lineRule="exact"/>
              <w:jc w:val="center"/>
              <w:rPr>
                <w:sz w:val="22"/>
              </w:rPr>
            </w:pPr>
          </w:p>
        </w:tc>
        <w:tc>
          <w:tcPr>
            <w:tcW w:w="1524" w:type="dxa"/>
            <w:gridSpan w:val="2"/>
          </w:tcPr>
          <w:p w:rsidR="003717A0" w:rsidRDefault="003717A0">
            <w:pPr>
              <w:adjustRightInd w:val="0"/>
              <w:snapToGrid w:val="0"/>
              <w:spacing w:line="500" w:lineRule="exact"/>
              <w:jc w:val="center"/>
              <w:rPr>
                <w:sz w:val="22"/>
              </w:rPr>
            </w:pPr>
          </w:p>
        </w:tc>
        <w:tc>
          <w:tcPr>
            <w:tcW w:w="1524" w:type="dxa"/>
          </w:tcPr>
          <w:p w:rsidR="003717A0" w:rsidRDefault="003717A0">
            <w:pPr>
              <w:adjustRightInd w:val="0"/>
              <w:snapToGrid w:val="0"/>
              <w:spacing w:line="500" w:lineRule="exact"/>
              <w:jc w:val="center"/>
              <w:rPr>
                <w:sz w:val="22"/>
              </w:rPr>
            </w:pP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566E4D">
        <w:trPr>
          <w:jc w:val="center"/>
        </w:trPr>
        <w:tc>
          <w:tcPr>
            <w:tcW w:w="9286" w:type="dxa"/>
            <w:gridSpan w:val="10"/>
          </w:tcPr>
          <w:p w:rsidR="003717A0" w:rsidRDefault="003717A0">
            <w:pPr>
              <w:adjustRightInd w:val="0"/>
              <w:snapToGrid w:val="0"/>
              <w:spacing w:line="500" w:lineRule="exact"/>
              <w:ind w:firstLineChars="250" w:firstLine="550"/>
              <w:rPr>
                <w:sz w:val="22"/>
              </w:rPr>
            </w:pPr>
            <w:r>
              <w:rPr>
                <w:rFonts w:hint="eastAsia"/>
                <w:sz w:val="22"/>
              </w:rPr>
              <w:t>《神经系统疾病物理治疗》是研究神经系统疾患所致的功能障碍，并进行相关的康复预防、康复评定和物理治疗的一门学科。本课程主要介绍神经康复的基本理论，中枢神经和周围神经常见疾病的临床特点，相关功能障碍的康复评定和物理治疗。神经系统疾患是临床上导致残疾的主要疾病，主要有肢体残疾、语言残疾、智力残疾等，涉及各年龄段的人群，同样也是康复的主要对象。神经康复主要是针对神经系统疾患所致的残疾进行康复预防、康复评定和物理治疗。</w:t>
            </w:r>
          </w:p>
          <w:p w:rsidR="003717A0" w:rsidRDefault="003717A0">
            <w:pPr>
              <w:adjustRightInd w:val="0"/>
              <w:snapToGrid w:val="0"/>
              <w:spacing w:line="500" w:lineRule="exact"/>
              <w:ind w:firstLineChars="250" w:firstLine="550"/>
              <w:rPr>
                <w:sz w:val="22"/>
              </w:rPr>
            </w:pPr>
            <w:r>
              <w:rPr>
                <w:rFonts w:hint="eastAsia"/>
                <w:sz w:val="22"/>
              </w:rPr>
              <w:lastRenderedPageBreak/>
              <w:t>随着康复医学知识的大力宣传和普及，广大医务工作者和人民群众对康复的认识不断提高，积极开展社区康复，可以使更多神经疾患的残疾人受益，提高其生活质量。神经系统疾病物理治疗的主要目标是采用以功能训练为主的多种有效措施加快神经功能的恢复进程，减轻神经系统病损后导致的功能残疾和残障程度</w:t>
            </w:r>
          </w:p>
        </w:tc>
      </w:tr>
    </w:tbl>
    <w:p w:rsidR="003717A0" w:rsidRDefault="003717A0">
      <w:pPr>
        <w:adjustRightInd w:val="0"/>
        <w:spacing w:line="360" w:lineRule="auto"/>
        <w:contextualSpacing/>
        <w:jc w:val="center"/>
        <w:rPr>
          <w:rFonts w:ascii="黑体" w:eastAsia="黑体"/>
          <w:b/>
          <w:sz w:val="30"/>
          <w:szCs w:val="30"/>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rPr>
          <w:b/>
          <w:sz w:val="30"/>
          <w:szCs w:val="30"/>
        </w:rPr>
      </w:pPr>
      <w:r>
        <w:rPr>
          <w:rFonts w:hint="eastAsia"/>
          <w:b/>
          <w:sz w:val="30"/>
          <w:szCs w:val="30"/>
        </w:rPr>
        <w:t>一、课程的基本信息</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适应对象：</w:t>
      </w:r>
      <w:r w:rsidR="003000C6">
        <w:rPr>
          <w:rFonts w:hint="eastAsia"/>
          <w:kern w:val="0"/>
          <w:szCs w:val="21"/>
        </w:rPr>
        <w:t>本科层次，</w:t>
      </w:r>
      <w:r>
        <w:rPr>
          <w:rFonts w:hint="eastAsia"/>
          <w:kern w:val="0"/>
          <w:szCs w:val="21"/>
        </w:rPr>
        <w:t>康复治疗专业</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课程代码：</w:t>
      </w:r>
      <w:r>
        <w:rPr>
          <w:bCs/>
        </w:rPr>
        <w:t>170706</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学时分配：</w:t>
      </w:r>
      <w:r>
        <w:rPr>
          <w:kern w:val="0"/>
          <w:szCs w:val="21"/>
        </w:rPr>
        <w:t>108</w:t>
      </w:r>
      <w:r>
        <w:rPr>
          <w:rFonts w:hint="eastAsia"/>
          <w:kern w:val="0"/>
          <w:szCs w:val="21"/>
        </w:rPr>
        <w:t>学时（理论学时</w:t>
      </w:r>
      <w:r>
        <w:rPr>
          <w:kern w:val="0"/>
          <w:szCs w:val="21"/>
        </w:rPr>
        <w:t>54</w:t>
      </w:r>
      <w:r>
        <w:rPr>
          <w:rFonts w:hint="eastAsia"/>
          <w:kern w:val="0"/>
          <w:szCs w:val="21"/>
        </w:rPr>
        <w:t>，实验学时</w:t>
      </w:r>
      <w:r>
        <w:rPr>
          <w:kern w:val="0"/>
          <w:szCs w:val="21"/>
        </w:rPr>
        <w:t>545</w:t>
      </w:r>
      <w:r>
        <w:rPr>
          <w:rFonts w:hint="eastAsia"/>
          <w:kern w:val="0"/>
          <w:szCs w:val="21"/>
        </w:rPr>
        <w:t>）</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赋予学分：</w:t>
      </w:r>
      <w:r>
        <w:rPr>
          <w:kern w:val="0"/>
          <w:szCs w:val="21"/>
        </w:rPr>
        <w:t>5</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先修课程：康复医学概论、物理治疗学</w:t>
      </w:r>
    </w:p>
    <w:p w:rsidR="003717A0" w:rsidRDefault="003717A0">
      <w:pPr>
        <w:autoSpaceDE w:val="0"/>
        <w:autoSpaceDN w:val="0"/>
        <w:adjustRightInd w:val="0"/>
        <w:snapToGrid w:val="0"/>
        <w:spacing w:line="360" w:lineRule="auto"/>
        <w:ind w:firstLineChars="193" w:firstLine="405"/>
        <w:jc w:val="left"/>
        <w:rPr>
          <w:kern w:val="0"/>
          <w:szCs w:val="21"/>
        </w:rPr>
      </w:pPr>
      <w:r>
        <w:rPr>
          <w:rFonts w:hint="eastAsia"/>
          <w:kern w:val="0"/>
          <w:szCs w:val="21"/>
        </w:rPr>
        <w:t>后续课程：临床康复学</w:t>
      </w:r>
    </w:p>
    <w:p w:rsidR="003717A0" w:rsidRDefault="003717A0">
      <w:pPr>
        <w:rPr>
          <w:b/>
          <w:sz w:val="30"/>
          <w:szCs w:val="30"/>
        </w:rPr>
      </w:pPr>
      <w:r>
        <w:rPr>
          <w:rFonts w:hint="eastAsia"/>
          <w:b/>
          <w:sz w:val="30"/>
          <w:szCs w:val="30"/>
        </w:rPr>
        <w:t>二、本课程的性质和任务</w:t>
      </w:r>
    </w:p>
    <w:p w:rsidR="003717A0" w:rsidRDefault="003717A0">
      <w:pPr>
        <w:spacing w:before="100" w:beforeAutospacing="1" w:after="100" w:afterAutospacing="1"/>
        <w:ind w:firstLineChars="200" w:firstLine="420"/>
        <w:jc w:val="left"/>
        <w:rPr>
          <w:rFonts w:ascii="宋体"/>
          <w:szCs w:val="21"/>
        </w:rPr>
      </w:pPr>
      <w:r>
        <w:rPr>
          <w:rFonts w:ascii="宋体" w:hAnsi="宋体" w:hint="eastAsia"/>
          <w:szCs w:val="21"/>
        </w:rPr>
        <w:t>神经康复学是研究神经系统疾患所致的功能障碍，并进行相关的康复预防、康复评定和康复治疗的一门学科。本课程主要介绍神经康复的基本理论，中枢神经和周围神经常见疾病的临床特点，相关功能障碍的康复评定和康复治疗。神经系统疾患是临床上导致残疾的主要疾病，主要有肢体残疾、语言残疾、智力残疾等，涉及各年龄段的人群，同样也是康复的主要对象。神经康复主要是针对神经系统疾患所致的残疾进行康复预防、康复评定和康复治疗。</w:t>
      </w:r>
    </w:p>
    <w:p w:rsidR="003717A0" w:rsidRDefault="003717A0">
      <w:pPr>
        <w:spacing w:before="100" w:beforeAutospacing="1" w:after="100" w:afterAutospacing="1"/>
        <w:ind w:firstLineChars="200" w:firstLine="420"/>
        <w:jc w:val="left"/>
        <w:rPr>
          <w:rFonts w:ascii="宋体"/>
          <w:szCs w:val="21"/>
        </w:rPr>
      </w:pPr>
      <w:r>
        <w:rPr>
          <w:rFonts w:ascii="宋体" w:hAnsi="宋体" w:hint="eastAsia"/>
          <w:szCs w:val="21"/>
        </w:rPr>
        <w:t>随着康复医学知识的大力宣传和普及，广大医务工作者和人民群众对康复的认识不断提高，积极开展社区康复，可以使更多神经疾患的残疾人受益，提高其生活质量。神经康复的主要目标是采用以功能训练为主的多种有效措施加快神经功能的恢复进程，减轻神经系统病损后导致的功能残疾和残障程度。</w:t>
      </w:r>
      <w:r>
        <w:rPr>
          <w:rFonts w:ascii="宋体"/>
          <w:szCs w:val="21"/>
        </w:rPr>
        <w:t> </w:t>
      </w:r>
    </w:p>
    <w:p w:rsidR="003717A0" w:rsidRDefault="003717A0">
      <w:pPr>
        <w:rPr>
          <w:b/>
          <w:sz w:val="30"/>
          <w:szCs w:val="30"/>
        </w:rPr>
      </w:pPr>
      <w:r>
        <w:rPr>
          <w:rFonts w:hint="eastAsia"/>
          <w:b/>
          <w:sz w:val="30"/>
          <w:szCs w:val="30"/>
        </w:rPr>
        <w:t>三、本课程的教学目的与要求</w:t>
      </w:r>
    </w:p>
    <w:p w:rsidR="003717A0" w:rsidRDefault="003717A0">
      <w:pPr>
        <w:spacing w:before="100" w:beforeAutospacing="1" w:after="100" w:afterAutospacing="1"/>
        <w:ind w:leftChars="202" w:left="424" w:firstLineChars="200" w:firstLine="420"/>
        <w:rPr>
          <w:rFonts w:ascii="宋体"/>
          <w:szCs w:val="21"/>
        </w:rPr>
      </w:pPr>
      <w:r>
        <w:rPr>
          <w:rFonts w:ascii="宋体" w:hAnsi="宋体" w:hint="eastAsia"/>
          <w:szCs w:val="21"/>
        </w:rPr>
        <w:t>学习神经康复学的主要目的是要掌握各类神经系统疾患的临床特点、康复评定、康复治疗、康复结局和健康教育。如能运用常见神经系统疾病基本知识开展神经系统疾患所致的残疾进行康复预防、康复评定和康复治疗。</w:t>
      </w:r>
    </w:p>
    <w:p w:rsidR="003717A0" w:rsidRDefault="003717A0">
      <w:pPr>
        <w:rPr>
          <w:b/>
          <w:sz w:val="30"/>
          <w:szCs w:val="30"/>
        </w:rPr>
      </w:pPr>
      <w:r>
        <w:rPr>
          <w:rFonts w:hint="eastAsia"/>
          <w:b/>
          <w:sz w:val="30"/>
          <w:szCs w:val="30"/>
        </w:rPr>
        <w:t>四、教学内容与安排</w:t>
      </w:r>
    </w:p>
    <w:p w:rsidR="003717A0" w:rsidRDefault="003717A0">
      <w:pPr>
        <w:spacing w:before="100" w:beforeAutospacing="1" w:after="100" w:afterAutospacing="1"/>
        <w:ind w:left="540"/>
        <w:jc w:val="center"/>
        <w:rPr>
          <w:rFonts w:ascii="宋体"/>
          <w:b/>
          <w:bCs/>
          <w:szCs w:val="21"/>
        </w:rPr>
      </w:pPr>
      <w:r>
        <w:rPr>
          <w:rFonts w:ascii="宋体" w:hAnsi="宋体" w:hint="eastAsia"/>
          <w:b/>
          <w:bCs/>
          <w:szCs w:val="21"/>
        </w:rPr>
        <w:t>第一章、神经康复学概论</w:t>
      </w:r>
    </w:p>
    <w:p w:rsidR="003717A0" w:rsidRDefault="003717A0">
      <w:pPr>
        <w:spacing w:before="100" w:beforeAutospacing="1" w:after="100" w:afterAutospacing="1"/>
        <w:ind w:left="425"/>
        <w:rPr>
          <w:b/>
        </w:rPr>
      </w:pPr>
    </w:p>
    <w:p w:rsidR="003717A0" w:rsidRDefault="003717A0">
      <w:pPr>
        <w:spacing w:before="100" w:beforeAutospacing="1" w:after="100" w:afterAutospacing="1"/>
        <w:ind w:left="425"/>
        <w:rPr>
          <w:b/>
        </w:rPr>
      </w:pPr>
      <w:r>
        <w:rPr>
          <w:rFonts w:hint="eastAsia"/>
          <w:b/>
        </w:rPr>
        <w:t>教学内容（</w:t>
      </w:r>
      <w:r>
        <w:rPr>
          <w:b/>
        </w:rPr>
        <w:t>3</w:t>
      </w:r>
      <w:r>
        <w:rPr>
          <w:rFonts w:hint="eastAsia"/>
          <w:b/>
        </w:rPr>
        <w:t>学时）</w:t>
      </w:r>
    </w:p>
    <w:p w:rsidR="003717A0" w:rsidRDefault="003717A0">
      <w:pPr>
        <w:numPr>
          <w:ilvl w:val="0"/>
          <w:numId w:val="479"/>
        </w:numPr>
        <w:spacing w:before="100" w:beforeAutospacing="1" w:after="100" w:afterAutospacing="1"/>
      </w:pPr>
      <w:r>
        <w:rPr>
          <w:rFonts w:hint="eastAsia"/>
        </w:rPr>
        <w:t>神经康复中理论基础</w:t>
      </w:r>
    </w:p>
    <w:p w:rsidR="003717A0" w:rsidRDefault="003717A0">
      <w:pPr>
        <w:numPr>
          <w:ilvl w:val="0"/>
          <w:numId w:val="479"/>
        </w:numPr>
        <w:spacing w:before="100" w:beforeAutospacing="1" w:after="100" w:afterAutospacing="1"/>
      </w:pPr>
      <w:r>
        <w:rPr>
          <w:rFonts w:hint="eastAsia"/>
        </w:rPr>
        <w:t>神经系统病史与体检、影像学检查</w:t>
      </w:r>
    </w:p>
    <w:p w:rsidR="003717A0" w:rsidRDefault="003717A0">
      <w:pPr>
        <w:numPr>
          <w:ilvl w:val="0"/>
          <w:numId w:val="479"/>
        </w:numPr>
        <w:spacing w:before="100" w:beforeAutospacing="1" w:after="100" w:afterAutospacing="1"/>
      </w:pPr>
      <w:r>
        <w:rPr>
          <w:rFonts w:hint="eastAsia"/>
        </w:rPr>
        <w:t>神经电生理检查和放射性核素检查</w:t>
      </w:r>
      <w:r>
        <w:t> </w:t>
      </w:r>
      <w:r>
        <w:rPr>
          <w:rFonts w:hint="eastAsia"/>
        </w:rPr>
        <w:t>。</w:t>
      </w:r>
    </w:p>
    <w:p w:rsidR="003717A0" w:rsidRDefault="003717A0">
      <w:pPr>
        <w:spacing w:before="100" w:beforeAutospacing="1" w:after="100" w:afterAutospacing="1"/>
        <w:ind w:left="425"/>
        <w:rPr>
          <w:b/>
        </w:rPr>
      </w:pPr>
      <w:r>
        <w:rPr>
          <w:rFonts w:hint="eastAsia"/>
          <w:b/>
        </w:rPr>
        <w:lastRenderedPageBreak/>
        <w:t>实习内容（</w:t>
      </w:r>
      <w:r>
        <w:rPr>
          <w:b/>
        </w:rPr>
        <w:t>3</w:t>
      </w:r>
      <w:r>
        <w:rPr>
          <w:rFonts w:hint="eastAsia"/>
          <w:b/>
        </w:rPr>
        <w:t>学时）</w:t>
      </w:r>
    </w:p>
    <w:p w:rsidR="003717A0" w:rsidRDefault="003717A0">
      <w:pPr>
        <w:spacing w:before="100" w:beforeAutospacing="1" w:after="100" w:afterAutospacing="1"/>
        <w:ind w:left="425"/>
      </w:pPr>
      <w:r>
        <w:t>1.</w:t>
      </w:r>
      <w:r>
        <w:rPr>
          <w:rFonts w:hint="eastAsia"/>
        </w:rPr>
        <w:t>参观物理治疗大厅及常用运动治疗仪器</w:t>
      </w:r>
    </w:p>
    <w:p w:rsidR="003717A0" w:rsidRDefault="003717A0">
      <w:pPr>
        <w:spacing w:before="100" w:beforeAutospacing="1" w:after="100" w:afterAutospacing="1"/>
        <w:ind w:left="425"/>
      </w:pPr>
      <w:r>
        <w:t>2.</w:t>
      </w:r>
      <w:r>
        <w:rPr>
          <w:rFonts w:hint="eastAsia"/>
        </w:rPr>
        <w:t>参观常用神经系统体格检查常用设备</w:t>
      </w:r>
    </w:p>
    <w:p w:rsidR="003717A0" w:rsidRDefault="003717A0">
      <w:pPr>
        <w:spacing w:before="100" w:beforeAutospacing="1" w:after="100" w:afterAutospacing="1"/>
        <w:ind w:left="425"/>
      </w:pPr>
      <w:r>
        <w:t>3</w:t>
      </w:r>
      <w:r>
        <w:rPr>
          <w:rFonts w:hint="eastAsia"/>
        </w:rPr>
        <w:t>、学习神经系统体格检查</w:t>
      </w:r>
    </w:p>
    <w:p w:rsidR="003717A0" w:rsidRDefault="003717A0">
      <w:pPr>
        <w:spacing w:before="100" w:beforeAutospacing="1" w:after="100" w:afterAutospacing="1"/>
        <w:ind w:left="425"/>
        <w:rPr>
          <w:b/>
        </w:rPr>
      </w:pPr>
      <w:r>
        <w:rPr>
          <w:rFonts w:hint="eastAsia"/>
          <w:b/>
        </w:rPr>
        <w:t>目的与要求：</w:t>
      </w:r>
      <w:r>
        <w:rPr>
          <w:b/>
        </w:rPr>
        <w:t>  </w:t>
      </w:r>
    </w:p>
    <w:p w:rsidR="003717A0" w:rsidRDefault="003717A0">
      <w:pPr>
        <w:numPr>
          <w:ilvl w:val="0"/>
          <w:numId w:val="480"/>
        </w:numPr>
        <w:spacing w:before="100" w:beforeAutospacing="1" w:after="100" w:afterAutospacing="1"/>
      </w:pPr>
      <w:r>
        <w:rPr>
          <w:rFonts w:hint="eastAsia"/>
        </w:rPr>
        <w:t>掌握神经康复中理论基础及病史与体检、影像学检查、神经电生理检查和放射性核素检查的诊断内容及检查方法。</w:t>
      </w:r>
    </w:p>
    <w:p w:rsidR="003717A0" w:rsidRDefault="003717A0">
      <w:pPr>
        <w:numPr>
          <w:ilvl w:val="0"/>
          <w:numId w:val="480"/>
        </w:numPr>
        <w:spacing w:before="100" w:beforeAutospacing="1" w:after="100" w:afterAutospacing="1"/>
      </w:pPr>
      <w:r>
        <w:rPr>
          <w:rFonts w:hint="eastAsia"/>
        </w:rPr>
        <w:t>熟悉神经康复学的概念和神经系统的基本结构和功能。</w:t>
      </w:r>
      <w:r>
        <w:t> </w:t>
      </w:r>
    </w:p>
    <w:p w:rsidR="003717A0" w:rsidRDefault="003717A0">
      <w:pPr>
        <w:numPr>
          <w:ilvl w:val="0"/>
          <w:numId w:val="480"/>
        </w:numPr>
        <w:spacing w:before="100" w:beforeAutospacing="1" w:after="100" w:afterAutospacing="1"/>
      </w:pPr>
      <w:r>
        <w:rPr>
          <w:rFonts w:hint="eastAsia"/>
        </w:rPr>
        <w:t>了解神经康复在康复治疗技术中的地位。</w:t>
      </w:r>
      <w:r>
        <w:t>  </w:t>
      </w:r>
      <w:r>
        <w:rPr>
          <w:rFonts w:hint="eastAsia"/>
        </w:rPr>
        <w:t>讲授内容</w:t>
      </w:r>
      <w:r>
        <w:t>  </w:t>
      </w:r>
    </w:p>
    <w:p w:rsidR="003717A0" w:rsidRDefault="003717A0">
      <w:pPr>
        <w:spacing w:before="100" w:beforeAutospacing="1" w:after="100" w:afterAutospacing="1"/>
        <w:ind w:left="540"/>
        <w:jc w:val="center"/>
        <w:rPr>
          <w:rFonts w:ascii="宋体"/>
          <w:b/>
          <w:bCs/>
          <w:szCs w:val="21"/>
        </w:rPr>
      </w:pPr>
      <w:r>
        <w:rPr>
          <w:rFonts w:ascii="宋体" w:hAnsi="宋体" w:hint="eastAsia"/>
          <w:b/>
          <w:bCs/>
          <w:szCs w:val="21"/>
        </w:rPr>
        <w:t>第二章、脑卒中的康复</w:t>
      </w:r>
    </w:p>
    <w:p w:rsidR="003717A0" w:rsidRDefault="003717A0">
      <w:pPr>
        <w:spacing w:before="100" w:beforeAutospacing="1" w:after="100" w:afterAutospacing="1"/>
        <w:ind w:left="425"/>
        <w:rPr>
          <w:b/>
        </w:rPr>
      </w:pPr>
      <w:r>
        <w:rPr>
          <w:rFonts w:hint="eastAsia"/>
          <w:b/>
        </w:rPr>
        <w:t>教学内容（</w:t>
      </w:r>
      <w:r>
        <w:rPr>
          <w:b/>
        </w:rPr>
        <w:t>6</w:t>
      </w:r>
      <w:r>
        <w:rPr>
          <w:rFonts w:hint="eastAsia"/>
          <w:b/>
        </w:rPr>
        <w:t>学时）</w:t>
      </w:r>
    </w:p>
    <w:p w:rsidR="003717A0" w:rsidRPr="003000C6" w:rsidRDefault="003717A0">
      <w:pPr>
        <w:numPr>
          <w:ilvl w:val="0"/>
          <w:numId w:val="481"/>
        </w:numPr>
        <w:spacing w:before="100" w:beforeAutospacing="1" w:after="100" w:afterAutospacing="1"/>
        <w:rPr>
          <w:rFonts w:ascii="宋体" w:hAnsi="宋体"/>
          <w:bCs/>
          <w:szCs w:val="21"/>
        </w:rPr>
      </w:pPr>
      <w:r>
        <w:rPr>
          <w:rFonts w:ascii="宋体" w:hAnsi="宋体" w:hint="eastAsia"/>
          <w:bCs/>
          <w:szCs w:val="21"/>
        </w:rPr>
        <w:t>脑卒中的康复评定、康复治疗和康复结局。</w:t>
      </w:r>
    </w:p>
    <w:p w:rsidR="003717A0" w:rsidRPr="003000C6" w:rsidRDefault="003717A0">
      <w:pPr>
        <w:numPr>
          <w:ilvl w:val="0"/>
          <w:numId w:val="481"/>
        </w:numPr>
        <w:spacing w:before="100" w:beforeAutospacing="1" w:after="100" w:afterAutospacing="1"/>
        <w:rPr>
          <w:rFonts w:ascii="宋体" w:hAnsi="宋体"/>
          <w:bCs/>
          <w:szCs w:val="21"/>
        </w:rPr>
      </w:pPr>
      <w:r>
        <w:rPr>
          <w:rFonts w:ascii="宋体" w:hAnsi="宋体" w:hint="eastAsia"/>
          <w:bCs/>
          <w:szCs w:val="21"/>
        </w:rPr>
        <w:t>脑卒中的概念、流行病学、常见病因和病理学特征及临床表现特点</w:t>
      </w:r>
    </w:p>
    <w:p w:rsidR="003717A0" w:rsidRPr="003000C6" w:rsidRDefault="003717A0">
      <w:pPr>
        <w:numPr>
          <w:ilvl w:val="0"/>
          <w:numId w:val="481"/>
        </w:numPr>
        <w:spacing w:before="100" w:beforeAutospacing="1" w:after="100" w:afterAutospacing="1"/>
        <w:rPr>
          <w:rFonts w:ascii="宋体" w:hAnsi="宋体"/>
          <w:bCs/>
          <w:szCs w:val="21"/>
        </w:rPr>
      </w:pPr>
      <w:r>
        <w:rPr>
          <w:rFonts w:ascii="宋体" w:hAnsi="宋体" w:hint="eastAsia"/>
          <w:bCs/>
          <w:szCs w:val="21"/>
        </w:rPr>
        <w:t>脑卒中诊断与鉴别</w:t>
      </w:r>
    </w:p>
    <w:p w:rsidR="003717A0" w:rsidRPr="003000C6" w:rsidRDefault="003717A0">
      <w:pPr>
        <w:numPr>
          <w:ilvl w:val="0"/>
          <w:numId w:val="481"/>
        </w:numPr>
        <w:spacing w:before="100" w:beforeAutospacing="1" w:after="100" w:afterAutospacing="1"/>
        <w:rPr>
          <w:rFonts w:ascii="宋体" w:hAnsi="宋体"/>
          <w:bCs/>
          <w:szCs w:val="21"/>
        </w:rPr>
      </w:pPr>
      <w:r>
        <w:rPr>
          <w:rFonts w:ascii="宋体" w:hAnsi="宋体" w:hint="eastAsia"/>
          <w:bCs/>
          <w:szCs w:val="21"/>
        </w:rPr>
        <w:t>脑卒中的主要功能障碍和脑卒中的健康教育</w:t>
      </w:r>
    </w:p>
    <w:p w:rsidR="003717A0" w:rsidRPr="003000C6" w:rsidRDefault="003717A0">
      <w:pPr>
        <w:numPr>
          <w:ilvl w:val="0"/>
          <w:numId w:val="481"/>
        </w:numPr>
        <w:spacing w:before="100" w:beforeAutospacing="1" w:after="100" w:afterAutospacing="1"/>
        <w:rPr>
          <w:rFonts w:ascii="宋体" w:hAnsi="宋体"/>
          <w:bCs/>
          <w:szCs w:val="21"/>
        </w:rPr>
      </w:pPr>
      <w:r>
        <w:rPr>
          <w:rFonts w:ascii="宋体" w:hAnsi="宋体" w:hint="eastAsia"/>
          <w:bCs/>
          <w:szCs w:val="21"/>
        </w:rPr>
        <w:t>自学与拓展：脑卒中三级预防治疗</w:t>
      </w:r>
    </w:p>
    <w:p w:rsidR="003717A0" w:rsidRDefault="003717A0">
      <w:pPr>
        <w:spacing w:before="100" w:beforeAutospacing="1" w:after="100" w:afterAutospacing="1"/>
        <w:ind w:left="425"/>
        <w:rPr>
          <w:b/>
        </w:rPr>
      </w:pPr>
      <w:r>
        <w:rPr>
          <w:rFonts w:hint="eastAsia"/>
          <w:b/>
        </w:rPr>
        <w:t>实习内容（</w:t>
      </w:r>
      <w:r>
        <w:rPr>
          <w:b/>
        </w:rPr>
        <w:t>6</w:t>
      </w:r>
      <w:r>
        <w:rPr>
          <w:rFonts w:hint="eastAsia"/>
          <w:b/>
        </w:rPr>
        <w:t>学时）</w:t>
      </w:r>
    </w:p>
    <w:p w:rsidR="003717A0" w:rsidRDefault="003717A0">
      <w:pPr>
        <w:numPr>
          <w:ilvl w:val="0"/>
          <w:numId w:val="482"/>
        </w:numPr>
        <w:rPr>
          <w:rFonts w:ascii="宋体"/>
          <w:bCs/>
          <w:szCs w:val="21"/>
        </w:rPr>
      </w:pPr>
      <w:r>
        <w:rPr>
          <w:rFonts w:ascii="宋体" w:hAnsi="宋体" w:hint="eastAsia"/>
          <w:bCs/>
          <w:szCs w:val="21"/>
        </w:rPr>
        <w:t>脑卒中的主要功能障碍的评定</w:t>
      </w:r>
    </w:p>
    <w:p w:rsidR="003717A0" w:rsidRDefault="003717A0">
      <w:pPr>
        <w:numPr>
          <w:ilvl w:val="0"/>
          <w:numId w:val="482"/>
        </w:numPr>
        <w:ind w:left="1260"/>
        <w:rPr>
          <w:rFonts w:ascii="宋体"/>
          <w:bCs/>
          <w:szCs w:val="21"/>
        </w:rPr>
      </w:pPr>
      <w:r>
        <w:rPr>
          <w:rFonts w:ascii="宋体" w:hAnsi="宋体" w:hint="eastAsia"/>
          <w:bCs/>
          <w:szCs w:val="21"/>
        </w:rPr>
        <w:t>脑卒中运动治疗操作技术</w:t>
      </w:r>
    </w:p>
    <w:p w:rsidR="003717A0" w:rsidRDefault="003717A0">
      <w:pPr>
        <w:numPr>
          <w:ilvl w:val="0"/>
          <w:numId w:val="482"/>
        </w:numPr>
        <w:ind w:left="1260"/>
        <w:rPr>
          <w:rFonts w:ascii="宋体"/>
          <w:bCs/>
          <w:szCs w:val="21"/>
        </w:rPr>
      </w:pPr>
      <w:r>
        <w:rPr>
          <w:rFonts w:ascii="宋体" w:hAnsi="宋体" w:hint="eastAsia"/>
          <w:bCs/>
          <w:szCs w:val="21"/>
        </w:rPr>
        <w:t>脑卒中物理因子治疗的选择及操作技术</w:t>
      </w:r>
    </w:p>
    <w:p w:rsidR="003717A0" w:rsidRDefault="003717A0">
      <w:pPr>
        <w:numPr>
          <w:ilvl w:val="0"/>
          <w:numId w:val="482"/>
        </w:numPr>
        <w:ind w:left="1260"/>
        <w:rPr>
          <w:rFonts w:ascii="宋体"/>
          <w:bCs/>
          <w:szCs w:val="21"/>
        </w:rPr>
      </w:pPr>
      <w:r>
        <w:rPr>
          <w:rFonts w:ascii="宋体" w:hAnsi="宋体" w:hint="eastAsia"/>
          <w:bCs/>
          <w:szCs w:val="21"/>
        </w:rPr>
        <w:t>其他康复措施</w:t>
      </w:r>
    </w:p>
    <w:p w:rsidR="003717A0" w:rsidRDefault="003717A0">
      <w:pPr>
        <w:ind w:left="855"/>
        <w:rPr>
          <w:rFonts w:ascii="宋体"/>
          <w:bCs/>
          <w:szCs w:val="21"/>
        </w:rPr>
      </w:pPr>
      <w:r>
        <w:rPr>
          <w:rFonts w:hint="eastAsia"/>
          <w:b/>
        </w:rPr>
        <w:t>目的与要求：</w:t>
      </w:r>
    </w:p>
    <w:p w:rsidR="003717A0" w:rsidRDefault="003717A0">
      <w:pPr>
        <w:ind w:left="855"/>
        <w:rPr>
          <w:rFonts w:ascii="宋体"/>
          <w:bCs/>
          <w:szCs w:val="21"/>
        </w:rPr>
      </w:pPr>
      <w:r>
        <w:rPr>
          <w:rFonts w:ascii="宋体" w:hAnsi="宋体"/>
          <w:bCs/>
          <w:szCs w:val="21"/>
        </w:rPr>
        <w:t>1</w:t>
      </w:r>
      <w:r>
        <w:rPr>
          <w:rFonts w:ascii="宋体" w:hAnsi="宋体" w:hint="eastAsia"/>
          <w:bCs/>
          <w:szCs w:val="21"/>
        </w:rPr>
        <w:t>、掌握脑卒中的临床表现、康复评定、康复治疗。</w:t>
      </w:r>
      <w:r>
        <w:rPr>
          <w:rFonts w:ascii="宋体"/>
          <w:bCs/>
          <w:szCs w:val="21"/>
        </w:rPr>
        <w:t> </w:t>
      </w:r>
    </w:p>
    <w:p w:rsidR="003717A0" w:rsidRDefault="003717A0">
      <w:pPr>
        <w:ind w:left="855"/>
        <w:rPr>
          <w:rFonts w:ascii="宋体"/>
          <w:bCs/>
          <w:szCs w:val="21"/>
        </w:rPr>
      </w:pPr>
      <w:r>
        <w:rPr>
          <w:rFonts w:ascii="宋体" w:hAnsi="宋体"/>
          <w:bCs/>
          <w:szCs w:val="21"/>
        </w:rPr>
        <w:t>2</w:t>
      </w:r>
      <w:r>
        <w:rPr>
          <w:rFonts w:ascii="宋体" w:hAnsi="宋体" w:hint="eastAsia"/>
          <w:bCs/>
          <w:szCs w:val="21"/>
        </w:rPr>
        <w:t>、熟悉脑卒中的概念、流行病学、常见病因和病理学特征、诊断与鉴别、主要功能障碍和康复结局。</w:t>
      </w:r>
      <w:r>
        <w:rPr>
          <w:rFonts w:ascii="宋体"/>
          <w:bCs/>
          <w:szCs w:val="21"/>
        </w:rPr>
        <w:t> </w:t>
      </w:r>
    </w:p>
    <w:p w:rsidR="003717A0" w:rsidRDefault="003717A0">
      <w:pPr>
        <w:ind w:left="855"/>
      </w:pPr>
      <w:r>
        <w:rPr>
          <w:rFonts w:ascii="宋体" w:hAnsi="宋体"/>
          <w:bCs/>
          <w:szCs w:val="21"/>
        </w:rPr>
        <w:t>3</w:t>
      </w:r>
      <w:r>
        <w:rPr>
          <w:rFonts w:ascii="宋体" w:hAnsi="宋体" w:hint="eastAsia"/>
          <w:bCs/>
          <w:szCs w:val="21"/>
        </w:rPr>
        <w:t>、了解脑卒中的健康教育</w:t>
      </w:r>
    </w:p>
    <w:p w:rsidR="003717A0" w:rsidRDefault="003717A0">
      <w:pPr>
        <w:spacing w:before="100" w:beforeAutospacing="1" w:after="100" w:afterAutospacing="1"/>
        <w:ind w:left="540"/>
        <w:jc w:val="center"/>
        <w:rPr>
          <w:rFonts w:ascii="宋体"/>
          <w:b/>
          <w:bCs/>
          <w:szCs w:val="21"/>
        </w:rPr>
      </w:pPr>
      <w:r>
        <w:rPr>
          <w:rFonts w:ascii="宋体" w:hAnsi="宋体" w:hint="eastAsia"/>
          <w:b/>
          <w:bCs/>
          <w:szCs w:val="21"/>
        </w:rPr>
        <w:t>第三章、颅脑损伤康复</w:t>
      </w:r>
    </w:p>
    <w:p w:rsidR="003717A0" w:rsidRDefault="003717A0">
      <w:pPr>
        <w:spacing w:before="100" w:beforeAutospacing="1" w:after="100" w:afterAutospacing="1"/>
        <w:ind w:left="425"/>
        <w:rPr>
          <w:b/>
        </w:rPr>
      </w:pPr>
      <w:r>
        <w:rPr>
          <w:rFonts w:hint="eastAsia"/>
          <w:b/>
        </w:rPr>
        <w:t>教学内容（</w:t>
      </w:r>
      <w:r>
        <w:rPr>
          <w:b/>
        </w:rPr>
        <w:t>6</w:t>
      </w:r>
      <w:r>
        <w:rPr>
          <w:rFonts w:hint="eastAsia"/>
          <w:b/>
        </w:rPr>
        <w:t>学时）</w:t>
      </w:r>
    </w:p>
    <w:p w:rsidR="003717A0" w:rsidRPr="003000C6" w:rsidRDefault="003717A0">
      <w:pPr>
        <w:numPr>
          <w:ilvl w:val="0"/>
          <w:numId w:val="483"/>
        </w:numPr>
        <w:spacing w:before="100" w:beforeAutospacing="1" w:after="100" w:afterAutospacing="1"/>
        <w:rPr>
          <w:rFonts w:ascii="宋体" w:hAnsi="宋体"/>
          <w:bCs/>
          <w:szCs w:val="21"/>
        </w:rPr>
      </w:pPr>
      <w:r>
        <w:rPr>
          <w:rFonts w:ascii="宋体" w:hAnsi="宋体" w:hint="eastAsia"/>
          <w:bCs/>
          <w:szCs w:val="21"/>
        </w:rPr>
        <w:t>脑外伤的康复评定、康复治疗和康复结局。</w:t>
      </w:r>
    </w:p>
    <w:p w:rsidR="003717A0" w:rsidRPr="003000C6" w:rsidRDefault="003717A0">
      <w:pPr>
        <w:numPr>
          <w:ilvl w:val="0"/>
          <w:numId w:val="483"/>
        </w:numPr>
        <w:spacing w:before="100" w:beforeAutospacing="1" w:after="100" w:afterAutospacing="1"/>
        <w:rPr>
          <w:rFonts w:ascii="宋体" w:hAnsi="宋体"/>
          <w:bCs/>
          <w:szCs w:val="21"/>
        </w:rPr>
      </w:pPr>
      <w:r>
        <w:rPr>
          <w:rFonts w:ascii="宋体" w:hAnsi="宋体" w:hint="eastAsia"/>
          <w:bCs/>
          <w:szCs w:val="21"/>
        </w:rPr>
        <w:t>脑外伤的概念、流行病学、常见病因和病理学特征及临床表现特点及主要类型、诊断与鉴别。</w:t>
      </w:r>
    </w:p>
    <w:p w:rsidR="003717A0" w:rsidRPr="003000C6" w:rsidRDefault="003717A0">
      <w:pPr>
        <w:numPr>
          <w:ilvl w:val="0"/>
          <w:numId w:val="483"/>
        </w:numPr>
        <w:spacing w:before="100" w:beforeAutospacing="1" w:after="100" w:afterAutospacing="1"/>
        <w:rPr>
          <w:rFonts w:ascii="宋体" w:hAnsi="宋体"/>
          <w:bCs/>
          <w:szCs w:val="21"/>
        </w:rPr>
      </w:pPr>
      <w:r>
        <w:rPr>
          <w:rFonts w:ascii="宋体" w:hAnsi="宋体" w:hint="eastAsia"/>
          <w:bCs/>
          <w:szCs w:val="21"/>
        </w:rPr>
        <w:t>脑外伤主要功能障碍和脑外伤的健康教育。</w:t>
      </w:r>
    </w:p>
    <w:p w:rsidR="003717A0" w:rsidRPr="003000C6" w:rsidRDefault="003717A0">
      <w:pPr>
        <w:numPr>
          <w:ilvl w:val="0"/>
          <w:numId w:val="483"/>
        </w:numPr>
        <w:spacing w:before="100" w:beforeAutospacing="1" w:after="100" w:afterAutospacing="1"/>
        <w:rPr>
          <w:rFonts w:ascii="宋体" w:hAnsi="宋体"/>
          <w:bCs/>
          <w:szCs w:val="21"/>
        </w:rPr>
      </w:pPr>
      <w:r>
        <w:rPr>
          <w:rFonts w:ascii="宋体" w:hAnsi="宋体" w:hint="eastAsia"/>
          <w:bCs/>
          <w:szCs w:val="21"/>
        </w:rPr>
        <w:t>自学与拓展：脑外伤的急救</w:t>
      </w:r>
    </w:p>
    <w:p w:rsidR="003717A0" w:rsidRDefault="003717A0">
      <w:pPr>
        <w:spacing w:before="100" w:beforeAutospacing="1" w:after="100" w:afterAutospacing="1"/>
        <w:ind w:left="425"/>
        <w:rPr>
          <w:b/>
        </w:rPr>
      </w:pPr>
      <w:r>
        <w:rPr>
          <w:rFonts w:hint="eastAsia"/>
          <w:b/>
        </w:rPr>
        <w:lastRenderedPageBreak/>
        <w:t>实习内容（</w:t>
      </w:r>
      <w:r>
        <w:rPr>
          <w:b/>
        </w:rPr>
        <w:t>6</w:t>
      </w:r>
      <w:r>
        <w:rPr>
          <w:rFonts w:hint="eastAsia"/>
          <w:b/>
        </w:rPr>
        <w:t>学时）</w:t>
      </w:r>
    </w:p>
    <w:p w:rsidR="003717A0" w:rsidRDefault="003717A0">
      <w:pPr>
        <w:numPr>
          <w:ilvl w:val="1"/>
          <w:numId w:val="483"/>
        </w:numPr>
        <w:rPr>
          <w:rFonts w:ascii="宋体"/>
          <w:bCs/>
          <w:szCs w:val="21"/>
        </w:rPr>
      </w:pPr>
      <w:r>
        <w:rPr>
          <w:rFonts w:ascii="宋体" w:hAnsi="宋体" w:hint="eastAsia"/>
          <w:bCs/>
          <w:szCs w:val="21"/>
        </w:rPr>
        <w:t>脑外伤主要功能障碍的评定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脑外伤运动治疗操作技术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脑外伤物理因子治疗的选择及操作技术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其他康复措施</w:t>
      </w:r>
    </w:p>
    <w:p w:rsidR="003717A0" w:rsidRDefault="003717A0">
      <w:pPr>
        <w:ind w:firstLineChars="147" w:firstLine="310"/>
        <w:rPr>
          <w:rFonts w:ascii="宋体"/>
          <w:bCs/>
          <w:szCs w:val="21"/>
        </w:rPr>
      </w:pPr>
      <w:r>
        <w:rPr>
          <w:rFonts w:hint="eastAsia"/>
          <w:b/>
        </w:rPr>
        <w:t>目的与要求：</w:t>
      </w:r>
    </w:p>
    <w:p w:rsidR="003717A0" w:rsidRDefault="003717A0">
      <w:pPr>
        <w:rPr>
          <w:rFonts w:ascii="宋体"/>
          <w:b/>
          <w:bCs/>
          <w:szCs w:val="21"/>
        </w:rPr>
      </w:pPr>
    </w:p>
    <w:p w:rsidR="003717A0" w:rsidRDefault="003717A0">
      <w:pPr>
        <w:ind w:firstLineChars="392" w:firstLine="823"/>
        <w:rPr>
          <w:rFonts w:ascii="宋体"/>
          <w:bCs/>
          <w:szCs w:val="21"/>
        </w:rPr>
      </w:pPr>
      <w:r>
        <w:rPr>
          <w:rFonts w:ascii="宋体" w:hAnsi="宋体"/>
          <w:bCs/>
          <w:szCs w:val="21"/>
        </w:rPr>
        <w:t>1</w:t>
      </w:r>
      <w:r>
        <w:rPr>
          <w:rFonts w:ascii="宋体" w:hAnsi="宋体" w:hint="eastAsia"/>
          <w:bCs/>
          <w:szCs w:val="21"/>
        </w:rPr>
        <w:t>掌握脑外伤的临床表现、康复评定、康复治疗。</w:t>
      </w:r>
      <w:r>
        <w:rPr>
          <w:rFonts w:ascii="宋体"/>
          <w:bCs/>
          <w:szCs w:val="21"/>
        </w:rPr>
        <w:t> </w:t>
      </w:r>
    </w:p>
    <w:p w:rsidR="003717A0" w:rsidRDefault="003717A0">
      <w:pPr>
        <w:ind w:firstLineChars="392" w:firstLine="823"/>
        <w:rPr>
          <w:rFonts w:ascii="宋体"/>
          <w:bCs/>
          <w:szCs w:val="21"/>
        </w:rPr>
      </w:pPr>
      <w:r>
        <w:rPr>
          <w:rFonts w:ascii="宋体" w:hAnsi="宋体"/>
          <w:bCs/>
          <w:szCs w:val="21"/>
        </w:rPr>
        <w:t>2</w:t>
      </w:r>
      <w:r>
        <w:rPr>
          <w:rFonts w:ascii="宋体" w:hAnsi="宋体" w:hint="eastAsia"/>
          <w:bCs/>
          <w:szCs w:val="21"/>
        </w:rPr>
        <w:t>、熟悉脑外伤的概念、流行病学、常见病因和病理学特征及主要类型、诊断与鉴别、主要功能障碍和康复结局。</w:t>
      </w:r>
      <w:r>
        <w:rPr>
          <w:rFonts w:ascii="宋体"/>
          <w:bCs/>
          <w:szCs w:val="21"/>
        </w:rPr>
        <w:t> </w:t>
      </w:r>
    </w:p>
    <w:p w:rsidR="003717A0" w:rsidRDefault="003717A0">
      <w:pPr>
        <w:ind w:firstLineChars="392" w:firstLine="823"/>
        <w:rPr>
          <w:rFonts w:ascii="宋体"/>
          <w:bCs/>
          <w:szCs w:val="21"/>
        </w:rPr>
      </w:pPr>
      <w:r>
        <w:rPr>
          <w:rFonts w:ascii="宋体" w:hAnsi="宋体"/>
          <w:bCs/>
          <w:szCs w:val="21"/>
        </w:rPr>
        <w:t>3</w:t>
      </w:r>
      <w:r>
        <w:rPr>
          <w:rFonts w:ascii="宋体" w:hAnsi="宋体" w:hint="eastAsia"/>
          <w:bCs/>
          <w:szCs w:val="21"/>
        </w:rPr>
        <w:t>、了解脑外伤的健康教育。</w:t>
      </w:r>
    </w:p>
    <w:p w:rsidR="003717A0" w:rsidRDefault="003717A0">
      <w:pPr>
        <w:ind w:leftChars="407" w:left="855" w:firstLineChars="200" w:firstLine="422"/>
        <w:jc w:val="center"/>
        <w:rPr>
          <w:rFonts w:ascii="宋体"/>
          <w:b/>
          <w:bCs/>
          <w:szCs w:val="21"/>
        </w:rPr>
      </w:pPr>
      <w:r>
        <w:rPr>
          <w:rFonts w:ascii="宋体" w:hAnsi="宋体" w:hint="eastAsia"/>
          <w:b/>
          <w:bCs/>
          <w:szCs w:val="21"/>
        </w:rPr>
        <w:t>第四章、脑性瘫痪康复</w:t>
      </w:r>
    </w:p>
    <w:p w:rsidR="003717A0" w:rsidRDefault="003717A0">
      <w:pPr>
        <w:tabs>
          <w:tab w:val="left" w:pos="720"/>
        </w:tabs>
        <w:ind w:leftChars="407" w:left="855" w:firstLineChars="200" w:firstLine="420"/>
        <w:rPr>
          <w:rFonts w:ascii="宋体"/>
          <w:bCs/>
          <w:szCs w:val="21"/>
        </w:rPr>
      </w:pPr>
    </w:p>
    <w:p w:rsidR="003717A0" w:rsidRDefault="003717A0">
      <w:pPr>
        <w:spacing w:before="100" w:beforeAutospacing="1" w:after="100" w:afterAutospacing="1"/>
        <w:ind w:left="425"/>
        <w:rPr>
          <w:b/>
        </w:rPr>
      </w:pPr>
      <w:r>
        <w:rPr>
          <w:rFonts w:hint="eastAsia"/>
          <w:b/>
        </w:rPr>
        <w:t>教学内容（</w:t>
      </w:r>
      <w:r>
        <w:rPr>
          <w:b/>
        </w:rPr>
        <w:t>6</w:t>
      </w:r>
      <w:r>
        <w:rPr>
          <w:rFonts w:hint="eastAsia"/>
          <w:b/>
        </w:rPr>
        <w:t>学时）</w:t>
      </w:r>
    </w:p>
    <w:p w:rsidR="003717A0" w:rsidRDefault="003717A0">
      <w:pPr>
        <w:numPr>
          <w:ilvl w:val="1"/>
          <w:numId w:val="481"/>
        </w:numPr>
        <w:rPr>
          <w:rFonts w:ascii="宋体"/>
          <w:bCs/>
          <w:szCs w:val="21"/>
        </w:rPr>
      </w:pPr>
      <w:r>
        <w:rPr>
          <w:rFonts w:ascii="宋体" w:hAnsi="宋体" w:hint="eastAsia"/>
          <w:bCs/>
          <w:szCs w:val="21"/>
        </w:rPr>
        <w:t>脑性瘫痪的康复评定、康复治疗和康复结局。</w:t>
      </w:r>
    </w:p>
    <w:p w:rsidR="003717A0" w:rsidRDefault="003717A0">
      <w:pPr>
        <w:numPr>
          <w:ilvl w:val="1"/>
          <w:numId w:val="481"/>
        </w:numPr>
        <w:rPr>
          <w:rFonts w:ascii="宋体"/>
          <w:bCs/>
          <w:szCs w:val="21"/>
        </w:rPr>
      </w:pPr>
      <w:r>
        <w:rPr>
          <w:rFonts w:ascii="宋体" w:hAnsi="宋体" w:hint="eastAsia"/>
          <w:bCs/>
          <w:szCs w:val="21"/>
        </w:rPr>
        <w:t>脑性瘫痪的概念、分类</w:t>
      </w:r>
    </w:p>
    <w:p w:rsidR="003717A0" w:rsidRDefault="003717A0">
      <w:pPr>
        <w:numPr>
          <w:ilvl w:val="1"/>
          <w:numId w:val="481"/>
        </w:numPr>
        <w:rPr>
          <w:rFonts w:ascii="宋体"/>
          <w:bCs/>
          <w:szCs w:val="21"/>
        </w:rPr>
      </w:pPr>
      <w:r>
        <w:rPr>
          <w:rFonts w:ascii="宋体" w:hAnsi="宋体" w:hint="eastAsia"/>
          <w:bCs/>
          <w:szCs w:val="21"/>
        </w:rPr>
        <w:t>常见病因和病理学特征及临床表现特点及主要类型、诊断与鉴别、主要功能障碍。</w:t>
      </w:r>
    </w:p>
    <w:p w:rsidR="003717A0" w:rsidRDefault="003717A0">
      <w:pPr>
        <w:numPr>
          <w:ilvl w:val="1"/>
          <w:numId w:val="481"/>
        </w:numPr>
        <w:rPr>
          <w:rFonts w:ascii="宋体"/>
          <w:bCs/>
          <w:szCs w:val="21"/>
        </w:rPr>
      </w:pPr>
      <w:r>
        <w:rPr>
          <w:rFonts w:ascii="宋体" w:hAnsi="宋体" w:hint="eastAsia"/>
          <w:bCs/>
          <w:szCs w:val="21"/>
        </w:rPr>
        <w:t>脑性瘫痪的健康教育</w:t>
      </w:r>
    </w:p>
    <w:p w:rsidR="003717A0" w:rsidRDefault="003717A0">
      <w:pPr>
        <w:numPr>
          <w:ilvl w:val="1"/>
          <w:numId w:val="481"/>
        </w:numPr>
        <w:rPr>
          <w:rFonts w:ascii="宋体"/>
          <w:bCs/>
          <w:szCs w:val="21"/>
        </w:rPr>
      </w:pPr>
      <w:r>
        <w:rPr>
          <w:rFonts w:ascii="宋体" w:hAnsi="宋体" w:hint="eastAsia"/>
          <w:bCs/>
          <w:szCs w:val="21"/>
        </w:rPr>
        <w:t>自学与拓展：脑性瘫痪的治疗进展</w:t>
      </w:r>
    </w:p>
    <w:p w:rsidR="003717A0" w:rsidRDefault="003717A0">
      <w:pPr>
        <w:spacing w:before="100" w:beforeAutospacing="1" w:after="100" w:afterAutospacing="1"/>
        <w:ind w:left="425"/>
        <w:rPr>
          <w:b/>
        </w:rPr>
      </w:pPr>
      <w:r>
        <w:rPr>
          <w:rFonts w:hint="eastAsia"/>
          <w:b/>
        </w:rPr>
        <w:t>实习内容（</w:t>
      </w:r>
      <w:r>
        <w:rPr>
          <w:b/>
        </w:rPr>
        <w:t>6</w:t>
      </w:r>
      <w:r>
        <w:rPr>
          <w:rFonts w:hint="eastAsia"/>
          <w:b/>
        </w:rPr>
        <w:t>学时）</w:t>
      </w:r>
    </w:p>
    <w:p w:rsidR="003717A0" w:rsidRDefault="003717A0">
      <w:pPr>
        <w:numPr>
          <w:ilvl w:val="0"/>
          <w:numId w:val="484"/>
        </w:numPr>
        <w:rPr>
          <w:rFonts w:ascii="宋体"/>
          <w:bCs/>
          <w:szCs w:val="21"/>
        </w:rPr>
      </w:pPr>
      <w:r>
        <w:rPr>
          <w:rFonts w:ascii="宋体" w:hAnsi="宋体" w:hint="eastAsia"/>
          <w:bCs/>
          <w:szCs w:val="21"/>
        </w:rPr>
        <w:t>脑瘫的主要功能障碍的评定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脑瘫运动治疗操作技术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脑瘫物理因子治疗的选择及操作技术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脑瘫其他康复措施</w:t>
      </w:r>
    </w:p>
    <w:p w:rsidR="003717A0" w:rsidRDefault="003717A0">
      <w:pPr>
        <w:ind w:firstLineChars="147" w:firstLine="310"/>
        <w:rPr>
          <w:rFonts w:ascii="宋体"/>
          <w:bCs/>
          <w:szCs w:val="21"/>
        </w:rPr>
      </w:pPr>
      <w:r>
        <w:rPr>
          <w:rFonts w:hint="eastAsia"/>
          <w:b/>
        </w:rPr>
        <w:t>目的与要求：</w:t>
      </w:r>
    </w:p>
    <w:p w:rsidR="003717A0" w:rsidRDefault="003717A0">
      <w:pPr>
        <w:spacing w:before="100" w:beforeAutospacing="1" w:after="100" w:afterAutospacing="1"/>
        <w:ind w:leftChars="171" w:left="359" w:firstLineChars="200" w:firstLine="420"/>
        <w:rPr>
          <w:rFonts w:ascii="宋体"/>
          <w:bCs/>
          <w:szCs w:val="21"/>
        </w:rPr>
      </w:pPr>
      <w:r>
        <w:rPr>
          <w:rFonts w:ascii="宋体" w:hAnsi="宋体"/>
          <w:bCs/>
          <w:szCs w:val="21"/>
        </w:rPr>
        <w:t>1</w:t>
      </w:r>
      <w:r>
        <w:rPr>
          <w:rFonts w:ascii="宋体" w:hAnsi="宋体" w:hint="eastAsia"/>
          <w:bCs/>
          <w:szCs w:val="21"/>
        </w:rPr>
        <w:t>、掌握脑性瘫痪的临床表现、康复评定、康复治疗。</w:t>
      </w:r>
      <w:r>
        <w:rPr>
          <w:rFonts w:ascii="宋体"/>
          <w:bCs/>
          <w:szCs w:val="21"/>
        </w:rPr>
        <w:t> </w:t>
      </w:r>
    </w:p>
    <w:p w:rsidR="003717A0" w:rsidRDefault="003717A0">
      <w:pPr>
        <w:spacing w:before="100" w:beforeAutospacing="1" w:after="100" w:afterAutospacing="1"/>
        <w:ind w:leftChars="171" w:left="359" w:firstLineChars="200" w:firstLine="420"/>
        <w:rPr>
          <w:rFonts w:ascii="宋体"/>
          <w:bCs/>
          <w:szCs w:val="21"/>
        </w:rPr>
      </w:pPr>
      <w:r>
        <w:rPr>
          <w:rFonts w:ascii="宋体" w:hAnsi="宋体"/>
          <w:bCs/>
          <w:szCs w:val="21"/>
        </w:rPr>
        <w:t>2</w:t>
      </w:r>
      <w:r>
        <w:rPr>
          <w:rFonts w:ascii="宋体" w:hAnsi="宋体" w:hint="eastAsia"/>
          <w:bCs/>
          <w:szCs w:val="21"/>
        </w:rPr>
        <w:t>、熟悉脑性瘫痪的概念、分类、常见病因和病理学特征及主要类型、诊断与鉴别、主要功能障碍和康复结局。</w:t>
      </w:r>
      <w:r>
        <w:rPr>
          <w:rFonts w:ascii="宋体"/>
          <w:bCs/>
          <w:szCs w:val="21"/>
        </w:rPr>
        <w:t> </w:t>
      </w:r>
    </w:p>
    <w:p w:rsidR="003717A0" w:rsidRDefault="003717A0">
      <w:pPr>
        <w:spacing w:before="100" w:beforeAutospacing="1" w:after="100" w:afterAutospacing="1"/>
        <w:ind w:leftChars="171" w:left="359" w:firstLineChars="200" w:firstLine="420"/>
        <w:rPr>
          <w:rFonts w:ascii="宋体"/>
          <w:bCs/>
          <w:szCs w:val="21"/>
        </w:rPr>
      </w:pPr>
      <w:r>
        <w:rPr>
          <w:rFonts w:ascii="宋体" w:hAnsi="宋体"/>
          <w:bCs/>
          <w:szCs w:val="21"/>
        </w:rPr>
        <w:t>3</w:t>
      </w:r>
      <w:r>
        <w:rPr>
          <w:rFonts w:ascii="宋体" w:hAnsi="宋体" w:hint="eastAsia"/>
          <w:bCs/>
          <w:szCs w:val="21"/>
        </w:rPr>
        <w:t>、了解脑性瘫痪的健康教育。</w:t>
      </w:r>
    </w:p>
    <w:p w:rsidR="003717A0" w:rsidRDefault="003717A0">
      <w:pPr>
        <w:spacing w:before="100" w:beforeAutospacing="1" w:after="100" w:afterAutospacing="1"/>
        <w:ind w:left="420"/>
        <w:jc w:val="center"/>
        <w:rPr>
          <w:rFonts w:ascii="宋体"/>
          <w:b/>
          <w:bCs/>
          <w:szCs w:val="21"/>
        </w:rPr>
      </w:pPr>
      <w:r>
        <w:rPr>
          <w:rFonts w:ascii="宋体" w:hAnsi="宋体" w:hint="eastAsia"/>
          <w:b/>
          <w:bCs/>
          <w:szCs w:val="21"/>
        </w:rPr>
        <w:t>第五章、帕金森病康复</w:t>
      </w:r>
    </w:p>
    <w:p w:rsidR="003717A0" w:rsidRDefault="003717A0">
      <w:pPr>
        <w:spacing w:before="100" w:beforeAutospacing="1" w:after="100" w:afterAutospacing="1"/>
        <w:ind w:left="420"/>
        <w:rPr>
          <w:rFonts w:ascii="宋体"/>
          <w:szCs w:val="21"/>
        </w:rPr>
      </w:pPr>
      <w:r>
        <w:rPr>
          <w:rFonts w:hint="eastAsia"/>
          <w:b/>
        </w:rPr>
        <w:t>教学内容（</w:t>
      </w:r>
      <w:r>
        <w:rPr>
          <w:b/>
        </w:rPr>
        <w:t>3</w:t>
      </w:r>
      <w:r>
        <w:rPr>
          <w:rFonts w:hint="eastAsia"/>
          <w:b/>
        </w:rPr>
        <w:t>学时）</w:t>
      </w:r>
    </w:p>
    <w:p w:rsidR="003717A0" w:rsidRDefault="003717A0">
      <w:pPr>
        <w:spacing w:before="100" w:beforeAutospacing="1" w:after="100" w:afterAutospacing="1"/>
        <w:ind w:left="420"/>
        <w:rPr>
          <w:rFonts w:ascii="宋体"/>
          <w:bCs/>
          <w:szCs w:val="21"/>
        </w:rPr>
      </w:pPr>
      <w:r>
        <w:rPr>
          <w:rFonts w:ascii="宋体" w:hAnsi="宋体"/>
          <w:bCs/>
          <w:szCs w:val="21"/>
        </w:rPr>
        <w:t>1</w:t>
      </w:r>
      <w:r>
        <w:rPr>
          <w:rFonts w:ascii="宋体" w:hAnsi="宋体" w:hint="eastAsia"/>
          <w:bCs/>
          <w:szCs w:val="21"/>
        </w:rPr>
        <w:t>、帕金森病的康复评定、康复治疗和康复结局。</w:t>
      </w:r>
    </w:p>
    <w:p w:rsidR="003717A0" w:rsidRDefault="003717A0">
      <w:pPr>
        <w:spacing w:before="100" w:beforeAutospacing="1" w:after="100" w:afterAutospacing="1"/>
        <w:ind w:left="420"/>
        <w:rPr>
          <w:rFonts w:ascii="宋体"/>
          <w:bCs/>
          <w:szCs w:val="21"/>
        </w:rPr>
      </w:pPr>
      <w:r>
        <w:rPr>
          <w:rFonts w:ascii="宋体" w:hAnsi="宋体"/>
          <w:bCs/>
          <w:szCs w:val="21"/>
        </w:rPr>
        <w:t>2</w:t>
      </w:r>
      <w:r>
        <w:rPr>
          <w:rFonts w:ascii="宋体" w:hAnsi="宋体" w:hint="eastAsia"/>
          <w:bCs/>
          <w:szCs w:val="21"/>
        </w:rPr>
        <w:t>、帕金森病的概念、分类、流行病学、常见病因和病理学特征及临床表现特点。</w:t>
      </w:r>
    </w:p>
    <w:p w:rsidR="003717A0" w:rsidRDefault="003717A0">
      <w:pPr>
        <w:spacing w:before="100" w:beforeAutospacing="1" w:after="100" w:afterAutospacing="1"/>
        <w:ind w:left="420"/>
        <w:rPr>
          <w:rFonts w:ascii="宋体"/>
          <w:bCs/>
          <w:szCs w:val="21"/>
        </w:rPr>
      </w:pPr>
      <w:r>
        <w:rPr>
          <w:rFonts w:ascii="宋体" w:hAnsi="宋体"/>
          <w:bCs/>
          <w:szCs w:val="21"/>
        </w:rPr>
        <w:lastRenderedPageBreak/>
        <w:t>3</w:t>
      </w:r>
      <w:r>
        <w:rPr>
          <w:rFonts w:ascii="宋体" w:hAnsi="宋体" w:hint="eastAsia"/>
          <w:bCs/>
          <w:szCs w:val="21"/>
        </w:rPr>
        <w:t>、主要类型、诊断与鉴别、主要功能障碍</w:t>
      </w:r>
    </w:p>
    <w:p w:rsidR="003717A0" w:rsidRDefault="003717A0">
      <w:pPr>
        <w:spacing w:before="100" w:beforeAutospacing="1" w:after="100" w:afterAutospacing="1"/>
        <w:ind w:left="420"/>
        <w:rPr>
          <w:rFonts w:ascii="宋体"/>
          <w:bCs/>
          <w:szCs w:val="21"/>
        </w:rPr>
      </w:pPr>
      <w:r>
        <w:rPr>
          <w:rFonts w:ascii="宋体" w:hAnsi="宋体"/>
          <w:bCs/>
          <w:szCs w:val="21"/>
        </w:rPr>
        <w:t>4</w:t>
      </w:r>
      <w:r>
        <w:rPr>
          <w:rFonts w:ascii="宋体" w:hAnsi="宋体" w:hint="eastAsia"/>
          <w:bCs/>
          <w:szCs w:val="21"/>
        </w:rPr>
        <w:t>、帕金森病的健康教育</w:t>
      </w:r>
    </w:p>
    <w:p w:rsidR="003717A0" w:rsidRDefault="003717A0">
      <w:pPr>
        <w:spacing w:before="100" w:beforeAutospacing="1" w:after="100" w:afterAutospacing="1"/>
        <w:ind w:left="420"/>
        <w:rPr>
          <w:rFonts w:ascii="宋体"/>
          <w:bCs/>
          <w:szCs w:val="21"/>
        </w:rPr>
      </w:pPr>
      <w:r>
        <w:rPr>
          <w:rFonts w:ascii="宋体" w:hAnsi="宋体"/>
          <w:bCs/>
          <w:szCs w:val="21"/>
        </w:rPr>
        <w:t>5</w:t>
      </w:r>
      <w:r>
        <w:rPr>
          <w:rFonts w:ascii="宋体" w:hAnsi="宋体" w:hint="eastAsia"/>
          <w:bCs/>
          <w:szCs w:val="21"/>
        </w:rPr>
        <w:t>、自学与拓展：帕金森临床治疗进展</w:t>
      </w:r>
    </w:p>
    <w:p w:rsidR="003717A0" w:rsidRDefault="003717A0">
      <w:pPr>
        <w:spacing w:before="100" w:beforeAutospacing="1" w:after="100" w:afterAutospacing="1"/>
        <w:ind w:left="42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帕金森的主要功能障碍的评定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帕金森运动治疗操作技术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帕金森物理因子治疗的选择及操作技术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帕金森其他康复措施</w:t>
      </w:r>
    </w:p>
    <w:p w:rsidR="003717A0" w:rsidRDefault="003717A0">
      <w:pPr>
        <w:ind w:firstLineChars="147" w:firstLine="310"/>
        <w:rPr>
          <w:rFonts w:ascii="宋体"/>
          <w:bCs/>
          <w:szCs w:val="21"/>
        </w:rPr>
      </w:pPr>
      <w:r>
        <w:rPr>
          <w:rFonts w:hint="eastAsia"/>
          <w:b/>
        </w:rPr>
        <w:t>目的与要求：</w:t>
      </w:r>
    </w:p>
    <w:p w:rsidR="003717A0" w:rsidRDefault="003717A0">
      <w:pPr>
        <w:ind w:firstLineChars="392" w:firstLine="823"/>
        <w:rPr>
          <w:rFonts w:ascii="宋体"/>
          <w:bCs/>
          <w:szCs w:val="21"/>
        </w:rPr>
      </w:pPr>
      <w:r>
        <w:rPr>
          <w:rFonts w:ascii="宋体" w:hAnsi="宋体"/>
          <w:bCs/>
          <w:szCs w:val="21"/>
        </w:rPr>
        <w:t>1</w:t>
      </w:r>
      <w:r>
        <w:rPr>
          <w:rFonts w:ascii="宋体" w:hAnsi="宋体" w:hint="eastAsia"/>
          <w:bCs/>
          <w:szCs w:val="21"/>
        </w:rPr>
        <w:t>、掌握帕金森病的临床表现、康复评定、康复治疗。</w:t>
      </w:r>
      <w:r>
        <w:rPr>
          <w:rFonts w:ascii="宋体"/>
          <w:bCs/>
          <w:szCs w:val="21"/>
        </w:rPr>
        <w:t> </w:t>
      </w:r>
    </w:p>
    <w:p w:rsidR="003717A0" w:rsidRDefault="003717A0">
      <w:pPr>
        <w:ind w:firstLineChars="392" w:firstLine="823"/>
        <w:rPr>
          <w:rFonts w:ascii="宋体"/>
          <w:bCs/>
          <w:szCs w:val="21"/>
        </w:rPr>
      </w:pPr>
      <w:r>
        <w:rPr>
          <w:rFonts w:ascii="宋体" w:hAnsi="宋体"/>
          <w:bCs/>
          <w:szCs w:val="21"/>
        </w:rPr>
        <w:t>2</w:t>
      </w:r>
      <w:r>
        <w:rPr>
          <w:rFonts w:ascii="宋体" w:hAnsi="宋体" w:hint="eastAsia"/>
          <w:bCs/>
          <w:szCs w:val="21"/>
        </w:rPr>
        <w:t>、熟悉帕金森病的概念、分类、流行病学、常见病因和病理学特征及主要类型、诊断与鉴别、主要功能障碍和康复结局。</w:t>
      </w:r>
      <w:r>
        <w:rPr>
          <w:rFonts w:ascii="宋体"/>
          <w:bCs/>
          <w:szCs w:val="21"/>
        </w:rPr>
        <w:t> </w:t>
      </w:r>
    </w:p>
    <w:p w:rsidR="003717A0" w:rsidRDefault="003717A0">
      <w:pPr>
        <w:ind w:firstLineChars="392" w:firstLine="823"/>
        <w:rPr>
          <w:rFonts w:ascii="宋体"/>
          <w:bCs/>
          <w:szCs w:val="21"/>
        </w:rPr>
      </w:pPr>
      <w:r>
        <w:rPr>
          <w:rFonts w:ascii="宋体" w:hAnsi="宋体"/>
          <w:bCs/>
          <w:szCs w:val="21"/>
        </w:rPr>
        <w:t>3</w:t>
      </w:r>
      <w:r>
        <w:rPr>
          <w:rFonts w:ascii="宋体" w:hAnsi="宋体" w:hint="eastAsia"/>
          <w:bCs/>
          <w:szCs w:val="21"/>
        </w:rPr>
        <w:t>、了解帕金森病的健康教育。</w:t>
      </w:r>
      <w:r>
        <w:rPr>
          <w:rFonts w:ascii="宋体"/>
          <w:bCs/>
          <w:szCs w:val="21"/>
        </w:rPr>
        <w:t>  </w:t>
      </w:r>
    </w:p>
    <w:p w:rsidR="003717A0" w:rsidRDefault="003717A0">
      <w:pPr>
        <w:spacing w:before="100" w:beforeAutospacing="1" w:after="100" w:afterAutospacing="1"/>
        <w:ind w:left="420"/>
        <w:rPr>
          <w:rFonts w:ascii="宋体"/>
          <w:szCs w:val="21"/>
        </w:rPr>
      </w:pPr>
    </w:p>
    <w:p w:rsidR="003717A0" w:rsidRDefault="003717A0">
      <w:pPr>
        <w:jc w:val="center"/>
        <w:rPr>
          <w:b/>
        </w:rPr>
      </w:pPr>
      <w:r>
        <w:rPr>
          <w:rFonts w:hint="eastAsia"/>
          <w:b/>
        </w:rPr>
        <w:t>第六章、老年期痴呆康复</w:t>
      </w:r>
    </w:p>
    <w:p w:rsidR="003717A0" w:rsidRDefault="003717A0">
      <w:pPr>
        <w:spacing w:before="100" w:beforeAutospacing="1" w:after="100" w:afterAutospacing="1"/>
        <w:ind w:left="420"/>
        <w:rPr>
          <w:rFonts w:ascii="宋体"/>
          <w:szCs w:val="21"/>
        </w:rPr>
      </w:pPr>
      <w:r>
        <w:rPr>
          <w:rFonts w:hint="eastAsia"/>
          <w:b/>
        </w:rPr>
        <w:t>教学内容（</w:t>
      </w:r>
      <w:r>
        <w:rPr>
          <w:b/>
        </w:rPr>
        <w:t>6</w:t>
      </w:r>
      <w:r>
        <w:rPr>
          <w:rFonts w:hint="eastAsia"/>
          <w:b/>
        </w:rPr>
        <w:t>学时）</w:t>
      </w:r>
    </w:p>
    <w:p w:rsidR="003717A0" w:rsidRDefault="003717A0">
      <w:pPr>
        <w:rPr>
          <w:rFonts w:ascii="宋体"/>
          <w:bCs/>
          <w:szCs w:val="21"/>
        </w:rPr>
      </w:pPr>
      <w:r>
        <w:rPr>
          <w:rFonts w:ascii="宋体" w:hAnsi="宋体"/>
          <w:bCs/>
          <w:szCs w:val="21"/>
        </w:rPr>
        <w:t>1</w:t>
      </w:r>
      <w:r>
        <w:rPr>
          <w:rFonts w:ascii="宋体" w:hAnsi="宋体" w:hint="eastAsia"/>
          <w:bCs/>
          <w:szCs w:val="21"/>
        </w:rPr>
        <w:t>、握老年期痴呆的临床表现、康复评定、康复治疗。</w:t>
      </w:r>
      <w:r>
        <w:rPr>
          <w:rFonts w:ascii="宋体"/>
          <w:bCs/>
          <w:szCs w:val="21"/>
        </w:rPr>
        <w:t> </w:t>
      </w:r>
    </w:p>
    <w:p w:rsidR="003717A0" w:rsidRDefault="003717A0">
      <w:pPr>
        <w:rPr>
          <w:rFonts w:ascii="宋体"/>
          <w:bCs/>
          <w:szCs w:val="21"/>
        </w:rPr>
      </w:pPr>
      <w:r>
        <w:rPr>
          <w:rFonts w:ascii="宋体" w:hAnsi="宋体"/>
          <w:bCs/>
          <w:szCs w:val="21"/>
        </w:rPr>
        <w:t>2</w:t>
      </w:r>
      <w:r>
        <w:rPr>
          <w:rFonts w:ascii="宋体" w:hAnsi="宋体" w:hint="eastAsia"/>
          <w:bCs/>
          <w:szCs w:val="21"/>
        </w:rPr>
        <w:t>、熟悉老年期痴呆的概念、分类、流行病学、常见病因和病理学特征及主要类型、诊断与鉴别、主要功能障碍和康复结局。</w:t>
      </w:r>
      <w:r>
        <w:rPr>
          <w:rFonts w:ascii="宋体"/>
          <w:bCs/>
          <w:szCs w:val="21"/>
        </w:rPr>
        <w:t> </w:t>
      </w:r>
    </w:p>
    <w:p w:rsidR="003717A0" w:rsidRDefault="003717A0">
      <w:pPr>
        <w:rPr>
          <w:rFonts w:ascii="宋体"/>
          <w:bCs/>
          <w:szCs w:val="21"/>
        </w:rPr>
      </w:pPr>
      <w:r>
        <w:rPr>
          <w:rFonts w:ascii="宋体" w:hAnsi="宋体"/>
          <w:bCs/>
          <w:szCs w:val="21"/>
        </w:rPr>
        <w:t>3</w:t>
      </w:r>
      <w:r>
        <w:rPr>
          <w:rFonts w:ascii="宋体" w:hAnsi="宋体" w:hint="eastAsia"/>
          <w:bCs/>
          <w:szCs w:val="21"/>
        </w:rPr>
        <w:t>、了解老年期痴呆的健康教育。</w:t>
      </w:r>
    </w:p>
    <w:p w:rsidR="003717A0" w:rsidRDefault="003717A0">
      <w:pPr>
        <w:rPr>
          <w:rFonts w:ascii="宋体"/>
          <w:b/>
          <w:bCs/>
          <w:szCs w:val="21"/>
        </w:rPr>
      </w:pPr>
      <w:r>
        <w:rPr>
          <w:rFonts w:ascii="宋体" w:hAnsi="宋体"/>
          <w:bCs/>
          <w:szCs w:val="21"/>
        </w:rPr>
        <w:t>4</w:t>
      </w:r>
      <w:r>
        <w:rPr>
          <w:rFonts w:ascii="宋体" w:hAnsi="宋体" w:hint="eastAsia"/>
          <w:bCs/>
          <w:szCs w:val="21"/>
        </w:rPr>
        <w:t>、自学与拓展：老年痴呆的早期治疗</w:t>
      </w:r>
      <w:r>
        <w:rPr>
          <w:rFonts w:ascii="宋体"/>
          <w:bCs/>
          <w:szCs w:val="21"/>
        </w:rPr>
        <w:t> </w:t>
      </w:r>
    </w:p>
    <w:p w:rsidR="003717A0" w:rsidRDefault="003717A0">
      <w:pPr>
        <w:rPr>
          <w:rFonts w:ascii="宋体"/>
          <w:bCs/>
          <w:szCs w:val="21"/>
        </w:rPr>
      </w:pPr>
      <w:r>
        <w:rPr>
          <w:rFonts w:hint="eastAsia"/>
          <w:b/>
        </w:rPr>
        <w:t>实习内容（</w:t>
      </w:r>
      <w:r>
        <w:rPr>
          <w:b/>
        </w:rPr>
        <w:t>6</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老年痴呆的主要功能障碍的评定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老年痴呆运动治疗操作技术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老年痴呆物理因子治疗的选择及操作技术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老年痴呆其他康复措施</w:t>
      </w:r>
    </w:p>
    <w:p w:rsidR="003717A0" w:rsidRDefault="003717A0">
      <w:pPr>
        <w:ind w:firstLineChars="147" w:firstLine="310"/>
        <w:rPr>
          <w:rFonts w:ascii="宋体"/>
          <w:bCs/>
          <w:szCs w:val="21"/>
        </w:rPr>
      </w:pPr>
      <w:r>
        <w:rPr>
          <w:rFonts w:hint="eastAsia"/>
          <w:b/>
        </w:rPr>
        <w:t>目的与要求：</w:t>
      </w:r>
    </w:p>
    <w:p w:rsidR="003717A0" w:rsidRDefault="003717A0">
      <w:pPr>
        <w:ind w:left="435"/>
      </w:pPr>
      <w:r>
        <w:t>1</w:t>
      </w:r>
      <w:r>
        <w:rPr>
          <w:rFonts w:hint="eastAsia"/>
        </w:rPr>
        <w:t>、掌握老年期痴呆的临床表现、康复评定、康复治疗。</w:t>
      </w:r>
      <w:r>
        <w:t> </w:t>
      </w:r>
    </w:p>
    <w:p w:rsidR="003717A0" w:rsidRDefault="003717A0">
      <w:pPr>
        <w:ind w:left="435"/>
      </w:pPr>
      <w:r>
        <w:t>2</w:t>
      </w:r>
      <w:r>
        <w:rPr>
          <w:rFonts w:hint="eastAsia"/>
        </w:rPr>
        <w:t>、熟悉老年期痴呆的概念、分类、流行病学、常见病因和病理学特征及主要类型、诊断与鉴别、主要功能障碍和康复结局。</w:t>
      </w:r>
      <w:r>
        <w:t> </w:t>
      </w:r>
    </w:p>
    <w:p w:rsidR="003717A0" w:rsidRDefault="003717A0">
      <w:pPr>
        <w:ind w:left="435"/>
      </w:pPr>
      <w:r>
        <w:t>3</w:t>
      </w:r>
      <w:r>
        <w:rPr>
          <w:rFonts w:hint="eastAsia"/>
        </w:rPr>
        <w:t>、了解老年期痴呆的健康教育</w:t>
      </w:r>
      <w:r>
        <w:t> </w:t>
      </w:r>
    </w:p>
    <w:p w:rsidR="003717A0" w:rsidRDefault="003717A0">
      <w:pPr>
        <w:ind w:left="435"/>
      </w:pPr>
    </w:p>
    <w:p w:rsidR="003717A0" w:rsidRDefault="003717A0">
      <w:pPr>
        <w:ind w:left="435"/>
      </w:pPr>
    </w:p>
    <w:p w:rsidR="003717A0" w:rsidRDefault="003717A0">
      <w:pPr>
        <w:ind w:left="435"/>
        <w:jc w:val="center"/>
        <w:rPr>
          <w:b/>
        </w:rPr>
      </w:pPr>
      <w:r>
        <w:rPr>
          <w:rFonts w:hint="eastAsia"/>
          <w:b/>
        </w:rPr>
        <w:t>第七章、多发性硬化康复</w:t>
      </w:r>
    </w:p>
    <w:p w:rsidR="003717A0" w:rsidRDefault="003717A0">
      <w:pPr>
        <w:spacing w:before="100" w:beforeAutospacing="1" w:after="100" w:afterAutospacing="1"/>
        <w:ind w:left="420"/>
        <w:rPr>
          <w:rFonts w:ascii="宋体"/>
          <w:szCs w:val="21"/>
        </w:rPr>
      </w:pPr>
      <w:r>
        <w:rPr>
          <w:rFonts w:hint="eastAsia"/>
          <w:b/>
        </w:rPr>
        <w:t>教学内容（</w:t>
      </w:r>
      <w:r>
        <w:rPr>
          <w:b/>
        </w:rPr>
        <w:t>3</w:t>
      </w:r>
      <w:r>
        <w:rPr>
          <w:rFonts w:hint="eastAsia"/>
          <w:b/>
        </w:rPr>
        <w:t>学时）</w:t>
      </w:r>
    </w:p>
    <w:p w:rsidR="003717A0" w:rsidRDefault="003717A0">
      <w:pPr>
        <w:numPr>
          <w:ilvl w:val="0"/>
          <w:numId w:val="485"/>
        </w:numPr>
      </w:pPr>
      <w:r>
        <w:rPr>
          <w:rFonts w:hint="eastAsia"/>
        </w:rPr>
        <w:lastRenderedPageBreak/>
        <w:t>发性硬化的康复评定、康复治疗和康复结局。</w:t>
      </w:r>
    </w:p>
    <w:p w:rsidR="003717A0" w:rsidRDefault="003717A0">
      <w:pPr>
        <w:numPr>
          <w:ilvl w:val="0"/>
          <w:numId w:val="485"/>
        </w:numPr>
      </w:pPr>
      <w:r>
        <w:rPr>
          <w:rFonts w:hint="eastAsia"/>
        </w:rPr>
        <w:t>多发性硬化的概念、分类、常见病因和病理学特征及临床表现特点</w:t>
      </w:r>
    </w:p>
    <w:p w:rsidR="003717A0" w:rsidRDefault="003717A0">
      <w:pPr>
        <w:ind w:left="435"/>
      </w:pPr>
      <w:r>
        <w:t>3</w:t>
      </w:r>
      <w:r>
        <w:rPr>
          <w:rFonts w:hint="eastAsia"/>
        </w:rPr>
        <w:t>、主要类型、诊断与鉴别、主要功能障碍和多发性硬化的健康教育</w:t>
      </w:r>
    </w:p>
    <w:p w:rsidR="003717A0" w:rsidRDefault="003717A0">
      <w:pPr>
        <w:ind w:left="435"/>
      </w:pPr>
      <w:r>
        <w:t>4</w:t>
      </w:r>
      <w:r>
        <w:rPr>
          <w:rFonts w:hint="eastAsia"/>
        </w:rPr>
        <w:t>、自学与拓展：多发性硬化的早期诊断</w:t>
      </w:r>
    </w:p>
    <w:p w:rsidR="003717A0" w:rsidRDefault="003717A0">
      <w:pPr>
        <w:spacing w:before="100" w:beforeAutospacing="1" w:after="100" w:afterAutospacing="1"/>
        <w:ind w:left="42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多发性硬化主要功能障碍的评定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多发性硬化运动治疗操作技术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多发性硬化物理因子治疗的选择及操作技术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多发性硬化其他康复措施</w:t>
      </w:r>
    </w:p>
    <w:p w:rsidR="003717A0" w:rsidRDefault="003717A0">
      <w:pPr>
        <w:ind w:firstLineChars="147" w:firstLine="310"/>
        <w:rPr>
          <w:rFonts w:ascii="宋体"/>
          <w:bCs/>
          <w:szCs w:val="21"/>
        </w:rPr>
      </w:pPr>
      <w:r>
        <w:rPr>
          <w:rFonts w:hint="eastAsia"/>
          <w:b/>
        </w:rPr>
        <w:t>目的与要求：</w:t>
      </w:r>
    </w:p>
    <w:p w:rsidR="003717A0" w:rsidRDefault="003717A0">
      <w:pPr>
        <w:ind w:left="435"/>
      </w:pPr>
      <w:r>
        <w:t>1</w:t>
      </w:r>
      <w:r>
        <w:rPr>
          <w:rFonts w:hint="eastAsia"/>
        </w:rPr>
        <w:t>、</w:t>
      </w:r>
      <w:r>
        <w:t> </w:t>
      </w:r>
      <w:r>
        <w:rPr>
          <w:rFonts w:hint="eastAsia"/>
        </w:rPr>
        <w:t>掌握多发性硬化的临床表现、康复评定、康复治疗。</w:t>
      </w:r>
      <w:r>
        <w:t> </w:t>
      </w:r>
    </w:p>
    <w:p w:rsidR="003717A0" w:rsidRDefault="003717A0">
      <w:pPr>
        <w:ind w:left="435"/>
      </w:pPr>
      <w:r>
        <w:t>2</w:t>
      </w:r>
      <w:r>
        <w:rPr>
          <w:rFonts w:hint="eastAsia"/>
        </w:rPr>
        <w:t>、熟悉多发性硬化的概念、分类、常见病因和病理学特征及及主要类型、诊断与鉴别、主要功能障碍和康复结局。</w:t>
      </w:r>
      <w:r>
        <w:t> </w:t>
      </w:r>
    </w:p>
    <w:p w:rsidR="003717A0" w:rsidRDefault="003717A0">
      <w:pPr>
        <w:ind w:left="435"/>
      </w:pPr>
      <w:r>
        <w:t>3</w:t>
      </w:r>
      <w:r>
        <w:rPr>
          <w:rFonts w:hint="eastAsia"/>
        </w:rPr>
        <w:t>、了解多发性硬化的健康教育。</w:t>
      </w:r>
    </w:p>
    <w:p w:rsidR="003717A0" w:rsidRDefault="003717A0">
      <w:pPr>
        <w:ind w:left="435"/>
      </w:pPr>
    </w:p>
    <w:p w:rsidR="003717A0" w:rsidRDefault="003717A0">
      <w:pPr>
        <w:ind w:left="435"/>
        <w:jc w:val="center"/>
        <w:rPr>
          <w:b/>
        </w:rPr>
      </w:pPr>
      <w:r>
        <w:rPr>
          <w:rFonts w:hint="eastAsia"/>
          <w:b/>
        </w:rPr>
        <w:t>第八章、脊髓炎康复</w:t>
      </w:r>
    </w:p>
    <w:p w:rsidR="003717A0" w:rsidRDefault="003717A0">
      <w:pPr>
        <w:ind w:left="360"/>
        <w:rPr>
          <w:b/>
        </w:rPr>
      </w:pPr>
      <w:r>
        <w:rPr>
          <w:rFonts w:hint="eastAsia"/>
          <w:b/>
        </w:rPr>
        <w:t>教学内容（</w:t>
      </w:r>
      <w:r>
        <w:rPr>
          <w:b/>
        </w:rPr>
        <w:t>3</w:t>
      </w:r>
      <w:r>
        <w:rPr>
          <w:rFonts w:hint="eastAsia"/>
          <w:b/>
        </w:rPr>
        <w:t>学时）</w:t>
      </w:r>
    </w:p>
    <w:p w:rsidR="003717A0" w:rsidRDefault="003717A0"/>
    <w:p w:rsidR="003717A0" w:rsidRDefault="003717A0">
      <w:pPr>
        <w:numPr>
          <w:ilvl w:val="0"/>
          <w:numId w:val="486"/>
        </w:numPr>
      </w:pPr>
      <w:r>
        <w:rPr>
          <w:rFonts w:hint="eastAsia"/>
        </w:rPr>
        <w:t>脊髓炎的康复评定、康复治疗和康复结局。</w:t>
      </w:r>
    </w:p>
    <w:p w:rsidR="003717A0" w:rsidRDefault="003717A0">
      <w:pPr>
        <w:numPr>
          <w:ilvl w:val="0"/>
          <w:numId w:val="486"/>
        </w:numPr>
      </w:pPr>
      <w:r>
        <w:rPr>
          <w:rFonts w:hint="eastAsia"/>
        </w:rPr>
        <w:t>脊髓炎的概念、分类、流行病学、常见病因和病理学特征及临床表现特点及主要类型、诊断与鉴别、主要功能障碍</w:t>
      </w:r>
    </w:p>
    <w:p w:rsidR="003717A0" w:rsidRDefault="003717A0">
      <w:pPr>
        <w:numPr>
          <w:ilvl w:val="0"/>
          <w:numId w:val="486"/>
        </w:numPr>
      </w:pPr>
      <w:r>
        <w:rPr>
          <w:rFonts w:hint="eastAsia"/>
        </w:rPr>
        <w:t>脊髓炎的健康教育。</w:t>
      </w:r>
    </w:p>
    <w:p w:rsidR="003717A0" w:rsidRDefault="003717A0">
      <w:pPr>
        <w:numPr>
          <w:ilvl w:val="0"/>
          <w:numId w:val="486"/>
        </w:numPr>
      </w:pPr>
      <w:r>
        <w:rPr>
          <w:rFonts w:hint="eastAsia"/>
        </w:rPr>
        <w:t>自学与拓展：脊髓炎患者康复治疗国内外现状</w:t>
      </w:r>
    </w:p>
    <w:p w:rsidR="003717A0" w:rsidRDefault="003717A0">
      <w:pPr>
        <w:ind w:left="36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脊髓炎主要功能障碍的评定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脊髓炎运动治疗操作技术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脊髓炎物理因子治疗的选择及操作技术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脊髓炎患者的医疗康复</w:t>
      </w:r>
    </w:p>
    <w:p w:rsidR="003717A0" w:rsidRDefault="003717A0">
      <w:pPr>
        <w:ind w:left="360"/>
        <w:rPr>
          <w:b/>
        </w:rPr>
      </w:pPr>
      <w:r>
        <w:rPr>
          <w:rFonts w:hint="eastAsia"/>
          <w:b/>
        </w:rPr>
        <w:t>目的与要求</w:t>
      </w:r>
    </w:p>
    <w:p w:rsidR="003717A0" w:rsidRDefault="003717A0">
      <w:pPr>
        <w:ind w:left="360"/>
      </w:pPr>
      <w:r>
        <w:t>1</w:t>
      </w:r>
      <w:r>
        <w:rPr>
          <w:rFonts w:hint="eastAsia"/>
        </w:rPr>
        <w:t>、掌握脊髓炎的临床表现、康复评定、康复治疗。</w:t>
      </w:r>
      <w:r>
        <w:t> </w:t>
      </w:r>
    </w:p>
    <w:p w:rsidR="003717A0" w:rsidRDefault="003717A0">
      <w:pPr>
        <w:ind w:left="360"/>
      </w:pPr>
      <w:r>
        <w:t>2</w:t>
      </w:r>
      <w:r>
        <w:rPr>
          <w:rFonts w:hint="eastAsia"/>
        </w:rPr>
        <w:t>、熟悉脊髓炎的概念、分类、流行病学、常见病因和病理学特征及主要类型、诊断与鉴别、主要功能障碍和康复结局。</w:t>
      </w:r>
      <w:r>
        <w:t> </w:t>
      </w:r>
    </w:p>
    <w:p w:rsidR="003717A0" w:rsidRDefault="003717A0">
      <w:pPr>
        <w:ind w:left="360"/>
      </w:pPr>
      <w:r>
        <w:t>3</w:t>
      </w:r>
      <w:r>
        <w:rPr>
          <w:rFonts w:hint="eastAsia"/>
        </w:rPr>
        <w:t>、了解脊髓炎的健康教育。</w:t>
      </w:r>
      <w:r>
        <w:t> </w:t>
      </w:r>
    </w:p>
    <w:p w:rsidR="003717A0" w:rsidRDefault="003717A0">
      <w:pPr>
        <w:ind w:left="360"/>
      </w:pPr>
    </w:p>
    <w:p w:rsidR="003717A0" w:rsidRDefault="003717A0">
      <w:pPr>
        <w:ind w:left="435"/>
      </w:pPr>
    </w:p>
    <w:p w:rsidR="003717A0" w:rsidRDefault="003717A0">
      <w:pPr>
        <w:ind w:left="435"/>
        <w:jc w:val="center"/>
        <w:rPr>
          <w:b/>
        </w:rPr>
      </w:pPr>
      <w:r>
        <w:rPr>
          <w:rFonts w:hint="eastAsia"/>
          <w:b/>
        </w:rPr>
        <w:t>第九章、急性炎症性脱髓鞘性多发性神经病康复</w:t>
      </w:r>
    </w:p>
    <w:p w:rsidR="003717A0" w:rsidRDefault="003717A0">
      <w:pPr>
        <w:ind w:left="435"/>
      </w:pPr>
    </w:p>
    <w:p w:rsidR="003717A0" w:rsidRDefault="003717A0">
      <w:pPr>
        <w:ind w:left="435"/>
      </w:pPr>
    </w:p>
    <w:p w:rsidR="003717A0" w:rsidRDefault="003717A0">
      <w:pPr>
        <w:ind w:left="360"/>
        <w:rPr>
          <w:b/>
        </w:rPr>
      </w:pPr>
      <w:r>
        <w:rPr>
          <w:rFonts w:hint="eastAsia"/>
          <w:b/>
        </w:rPr>
        <w:t>教学内容（</w:t>
      </w:r>
      <w:r>
        <w:rPr>
          <w:b/>
        </w:rPr>
        <w:t>6</w:t>
      </w:r>
      <w:r>
        <w:rPr>
          <w:rFonts w:hint="eastAsia"/>
          <w:b/>
        </w:rPr>
        <w:t>学时）</w:t>
      </w:r>
    </w:p>
    <w:p w:rsidR="003717A0" w:rsidRDefault="003717A0">
      <w:pPr>
        <w:numPr>
          <w:ilvl w:val="0"/>
          <w:numId w:val="487"/>
        </w:numPr>
      </w:pPr>
      <w:r>
        <w:rPr>
          <w:rFonts w:hint="eastAsia"/>
        </w:rPr>
        <w:t>急性炎症性脱髓鞘性多发性神经病综合症的康复评定、康复治疗和康复结局。</w:t>
      </w:r>
    </w:p>
    <w:p w:rsidR="003717A0" w:rsidRDefault="003717A0">
      <w:pPr>
        <w:numPr>
          <w:ilvl w:val="0"/>
          <w:numId w:val="487"/>
        </w:numPr>
      </w:pPr>
      <w:r>
        <w:rPr>
          <w:rFonts w:hint="eastAsia"/>
        </w:rPr>
        <w:t>急性炎症性脱髓鞘性多发性神经病综合症的概念、分类、流行病学、常见病因和病理学特征及临床表现特点及主要类型、诊断与鉴别、主要功能障碍。</w:t>
      </w:r>
    </w:p>
    <w:p w:rsidR="003717A0" w:rsidRDefault="003717A0">
      <w:pPr>
        <w:numPr>
          <w:ilvl w:val="0"/>
          <w:numId w:val="487"/>
        </w:numPr>
      </w:pPr>
      <w:r>
        <w:rPr>
          <w:rFonts w:hint="eastAsia"/>
        </w:rPr>
        <w:t>急性炎症性脱髓鞘性多发性神经病综合症的健康教育。</w:t>
      </w:r>
    </w:p>
    <w:p w:rsidR="003717A0" w:rsidRDefault="003717A0">
      <w:pPr>
        <w:numPr>
          <w:ilvl w:val="0"/>
          <w:numId w:val="487"/>
        </w:numPr>
      </w:pPr>
      <w:r>
        <w:rPr>
          <w:rFonts w:hint="eastAsia"/>
        </w:rPr>
        <w:lastRenderedPageBreak/>
        <w:t>自学与拓展：早期康复介入时机选择</w:t>
      </w:r>
    </w:p>
    <w:p w:rsidR="003717A0" w:rsidRDefault="003717A0">
      <w:pPr>
        <w:ind w:left="360"/>
        <w:rPr>
          <w:b/>
        </w:rPr>
      </w:pPr>
      <w:r>
        <w:rPr>
          <w:rFonts w:hint="eastAsia"/>
          <w:b/>
        </w:rPr>
        <w:t>实习内容（</w:t>
      </w:r>
      <w:r>
        <w:rPr>
          <w:b/>
        </w:rPr>
        <w:t>6</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w:t>
      </w:r>
      <w:r>
        <w:rPr>
          <w:rFonts w:hint="eastAsia"/>
        </w:rPr>
        <w:t>急性炎症性脱髓鞘性多发性神经病</w:t>
      </w:r>
      <w:r>
        <w:rPr>
          <w:rFonts w:ascii="宋体" w:hAnsi="宋体" w:hint="eastAsia"/>
          <w:bCs/>
          <w:szCs w:val="21"/>
        </w:rPr>
        <w:t>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w:t>
      </w:r>
      <w:r>
        <w:rPr>
          <w:rFonts w:hint="eastAsia"/>
        </w:rPr>
        <w:t>急性炎症性脱髓鞘性多发性神经病</w:t>
      </w:r>
      <w:r>
        <w:rPr>
          <w:rFonts w:ascii="宋体" w:hAnsi="宋体" w:hint="eastAsia"/>
          <w:bCs/>
          <w:szCs w:val="21"/>
        </w:rPr>
        <w:t>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w:t>
      </w:r>
      <w:r>
        <w:rPr>
          <w:rFonts w:hint="eastAsia"/>
        </w:rPr>
        <w:t>急性炎症性脱髓鞘性多发性神经病</w:t>
      </w:r>
      <w:r>
        <w:rPr>
          <w:rFonts w:ascii="宋体" w:hAnsi="宋体" w:hint="eastAsia"/>
          <w:bCs/>
          <w:szCs w:val="21"/>
        </w:rPr>
        <w:t>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、综合康复治疗</w:t>
      </w:r>
    </w:p>
    <w:p w:rsidR="003717A0" w:rsidRDefault="003717A0">
      <w:pPr>
        <w:ind w:left="900"/>
        <w:rPr>
          <w:b/>
        </w:rPr>
      </w:pPr>
      <w:r>
        <w:rPr>
          <w:rFonts w:hint="eastAsia"/>
          <w:b/>
        </w:rPr>
        <w:t>目的与要求</w:t>
      </w:r>
    </w:p>
    <w:p w:rsidR="003717A0" w:rsidRDefault="003717A0">
      <w:pPr>
        <w:ind w:left="435"/>
      </w:pPr>
      <w:r>
        <w:t>1</w:t>
      </w:r>
      <w:r>
        <w:rPr>
          <w:rFonts w:hint="eastAsia"/>
        </w:rPr>
        <w:t>、掌握急性炎症性脱髓鞘性多发性神经病综合症的临床表现、康复评定、康复治疗。</w:t>
      </w:r>
      <w:r>
        <w:t> </w:t>
      </w:r>
    </w:p>
    <w:p w:rsidR="003717A0" w:rsidRDefault="003717A0">
      <w:pPr>
        <w:ind w:left="435"/>
      </w:pPr>
      <w:r>
        <w:t>2</w:t>
      </w:r>
      <w:r>
        <w:rPr>
          <w:rFonts w:hint="eastAsia"/>
        </w:rPr>
        <w:t>、熟悉急性炎症性脱髓鞘性多发性神经病综合症的概念、分类、流行病学、常见病因和病理学特征及主要类型、诊断与鉴别、主要功能障碍和康复结局。</w:t>
      </w:r>
      <w:r>
        <w:t> </w:t>
      </w:r>
    </w:p>
    <w:p w:rsidR="003717A0" w:rsidRDefault="003717A0">
      <w:pPr>
        <w:ind w:left="435"/>
      </w:pPr>
      <w:r>
        <w:t>3</w:t>
      </w:r>
      <w:r>
        <w:rPr>
          <w:rFonts w:hint="eastAsia"/>
        </w:rPr>
        <w:t>、了解急性炎症性脱髓鞘性多发性神经病综合症的健康教育</w:t>
      </w:r>
    </w:p>
    <w:p w:rsidR="003717A0" w:rsidRDefault="003717A0">
      <w:pPr>
        <w:ind w:left="435"/>
        <w:jc w:val="center"/>
        <w:rPr>
          <w:b/>
        </w:rPr>
      </w:pPr>
    </w:p>
    <w:p w:rsidR="003717A0" w:rsidRDefault="003717A0">
      <w:pPr>
        <w:ind w:left="435"/>
        <w:jc w:val="center"/>
        <w:rPr>
          <w:b/>
        </w:rPr>
      </w:pPr>
      <w:r>
        <w:rPr>
          <w:rFonts w:hint="eastAsia"/>
          <w:b/>
        </w:rPr>
        <w:t>第十章、面神经炎康复</w:t>
      </w:r>
    </w:p>
    <w:p w:rsidR="003717A0" w:rsidRDefault="003717A0">
      <w:pPr>
        <w:ind w:left="435"/>
      </w:pPr>
    </w:p>
    <w:p w:rsidR="003717A0" w:rsidRDefault="003717A0">
      <w:pPr>
        <w:ind w:left="435"/>
      </w:pPr>
    </w:p>
    <w:p w:rsidR="003717A0" w:rsidRDefault="003717A0">
      <w:pPr>
        <w:ind w:left="360"/>
        <w:rPr>
          <w:b/>
        </w:rPr>
      </w:pPr>
      <w:r>
        <w:rPr>
          <w:rFonts w:hint="eastAsia"/>
          <w:b/>
        </w:rPr>
        <w:t>教学内容（</w:t>
      </w:r>
      <w:r>
        <w:rPr>
          <w:b/>
        </w:rPr>
        <w:t>3</w:t>
      </w:r>
      <w:r>
        <w:rPr>
          <w:rFonts w:hint="eastAsia"/>
          <w:b/>
        </w:rPr>
        <w:t>学时）</w:t>
      </w:r>
    </w:p>
    <w:p w:rsidR="003717A0" w:rsidRDefault="003717A0">
      <w:pPr>
        <w:numPr>
          <w:ilvl w:val="0"/>
          <w:numId w:val="488"/>
        </w:numPr>
      </w:pPr>
      <w:r>
        <w:rPr>
          <w:rFonts w:hint="eastAsia"/>
        </w:rPr>
        <w:t>面神经炎的康复评定、康复治疗和康复结局。</w:t>
      </w:r>
    </w:p>
    <w:p w:rsidR="003717A0" w:rsidRPr="003000C6" w:rsidRDefault="003717A0">
      <w:pPr>
        <w:numPr>
          <w:ilvl w:val="0"/>
          <w:numId w:val="488"/>
        </w:numPr>
      </w:pPr>
      <w:r>
        <w:rPr>
          <w:rFonts w:hint="eastAsia"/>
        </w:rPr>
        <w:t>面神经炎的概念、分类、流行病学、常见病因和病理学特征及临床表现特点及主要类型</w:t>
      </w:r>
    </w:p>
    <w:p w:rsidR="003717A0" w:rsidRPr="003000C6" w:rsidRDefault="003717A0">
      <w:pPr>
        <w:numPr>
          <w:ilvl w:val="0"/>
          <w:numId w:val="488"/>
        </w:numPr>
      </w:pPr>
      <w:r>
        <w:rPr>
          <w:rFonts w:hint="eastAsia"/>
        </w:rPr>
        <w:t>面神经炎的诊断与鉴别、主要功能障碍。</w:t>
      </w:r>
    </w:p>
    <w:p w:rsidR="003717A0" w:rsidRPr="003000C6" w:rsidRDefault="003717A0">
      <w:pPr>
        <w:numPr>
          <w:ilvl w:val="0"/>
          <w:numId w:val="488"/>
        </w:numPr>
      </w:pPr>
      <w:r>
        <w:rPr>
          <w:rFonts w:hint="eastAsia"/>
        </w:rPr>
        <w:t>面神经炎的健康教育</w:t>
      </w:r>
    </w:p>
    <w:p w:rsidR="003717A0" w:rsidRDefault="003717A0">
      <w:pPr>
        <w:numPr>
          <w:ilvl w:val="0"/>
          <w:numId w:val="488"/>
        </w:numPr>
      </w:pPr>
      <w:r>
        <w:rPr>
          <w:rFonts w:hint="eastAsia"/>
        </w:rPr>
        <w:t>自学与拓展：面神经炎的传统康复治疗</w:t>
      </w:r>
    </w:p>
    <w:p w:rsidR="003717A0" w:rsidRDefault="003717A0">
      <w:pPr>
        <w:ind w:left="360"/>
        <w:rPr>
          <w:b/>
        </w:rPr>
      </w:pPr>
    </w:p>
    <w:p w:rsidR="003717A0" w:rsidRDefault="003717A0">
      <w:pPr>
        <w:ind w:left="36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w:t>
      </w:r>
      <w:r>
        <w:rPr>
          <w:rFonts w:hint="eastAsia"/>
        </w:rPr>
        <w:t>面神经炎</w:t>
      </w:r>
      <w:r>
        <w:rPr>
          <w:rFonts w:ascii="宋体" w:hAnsi="宋体" w:hint="eastAsia"/>
          <w:bCs/>
          <w:szCs w:val="21"/>
        </w:rPr>
        <w:t>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w:t>
      </w:r>
      <w:r>
        <w:rPr>
          <w:rFonts w:hint="eastAsia"/>
        </w:rPr>
        <w:t>面神经炎</w:t>
      </w:r>
      <w:r>
        <w:rPr>
          <w:rFonts w:ascii="宋体" w:hAnsi="宋体" w:hint="eastAsia"/>
          <w:bCs/>
          <w:szCs w:val="21"/>
        </w:rPr>
        <w:t>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w:t>
      </w:r>
      <w:r>
        <w:rPr>
          <w:rFonts w:hint="eastAsia"/>
        </w:rPr>
        <w:t>面神经炎</w:t>
      </w:r>
      <w:r>
        <w:rPr>
          <w:rFonts w:ascii="宋体" w:hAnsi="宋体" w:hint="eastAsia"/>
          <w:bCs/>
          <w:szCs w:val="21"/>
        </w:rPr>
        <w:t>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、面神经炎综合康复治疗</w:t>
      </w:r>
    </w:p>
    <w:p w:rsidR="003717A0" w:rsidRDefault="003717A0">
      <w:pPr>
        <w:ind w:left="360"/>
        <w:rPr>
          <w:b/>
        </w:rPr>
      </w:pPr>
      <w:r>
        <w:rPr>
          <w:rFonts w:hint="eastAsia"/>
          <w:b/>
        </w:rPr>
        <w:t>目的与要求</w:t>
      </w:r>
    </w:p>
    <w:p w:rsidR="003717A0" w:rsidRDefault="003717A0">
      <w:pPr>
        <w:ind w:left="435"/>
      </w:pPr>
    </w:p>
    <w:p w:rsidR="003717A0" w:rsidRDefault="003717A0">
      <w:pPr>
        <w:ind w:left="435"/>
      </w:pPr>
      <w:r>
        <w:t>1</w:t>
      </w:r>
      <w:r>
        <w:rPr>
          <w:rFonts w:hint="eastAsia"/>
        </w:rPr>
        <w:t>、掌握面神经炎的临床表现、康复评定、康复治疗。</w:t>
      </w:r>
      <w:r>
        <w:t> </w:t>
      </w:r>
    </w:p>
    <w:p w:rsidR="003717A0" w:rsidRDefault="003717A0">
      <w:pPr>
        <w:ind w:left="435"/>
      </w:pPr>
      <w:r>
        <w:t>2</w:t>
      </w:r>
      <w:r>
        <w:rPr>
          <w:rFonts w:hint="eastAsia"/>
        </w:rPr>
        <w:t>、熟悉面神经炎的概念、分类、流行病学、常见病因和病理学特征及主要类型、诊断与鉴别、主要功能障碍和康复结局。</w:t>
      </w:r>
      <w:r>
        <w:t> </w:t>
      </w:r>
    </w:p>
    <w:p w:rsidR="003717A0" w:rsidRDefault="003717A0">
      <w:pPr>
        <w:ind w:left="435"/>
      </w:pPr>
      <w:r>
        <w:t>3</w:t>
      </w:r>
      <w:r>
        <w:rPr>
          <w:rFonts w:hint="eastAsia"/>
        </w:rPr>
        <w:t>、了解面神经炎的健康教育。</w:t>
      </w:r>
      <w:r>
        <w:t> </w:t>
      </w:r>
    </w:p>
    <w:p w:rsidR="003717A0" w:rsidRDefault="003717A0">
      <w:pPr>
        <w:ind w:left="435"/>
      </w:pPr>
    </w:p>
    <w:p w:rsidR="003717A0" w:rsidRDefault="003717A0">
      <w:pPr>
        <w:ind w:left="435"/>
        <w:rPr>
          <w:b/>
        </w:rPr>
      </w:pPr>
    </w:p>
    <w:p w:rsidR="003717A0" w:rsidRDefault="003717A0">
      <w:pPr>
        <w:ind w:left="435"/>
        <w:jc w:val="center"/>
        <w:rPr>
          <w:b/>
        </w:rPr>
      </w:pPr>
      <w:r>
        <w:rPr>
          <w:rFonts w:hint="eastAsia"/>
          <w:b/>
        </w:rPr>
        <w:t>第十一章、癫痫康复</w:t>
      </w:r>
    </w:p>
    <w:p w:rsidR="003717A0" w:rsidRDefault="003717A0">
      <w:pPr>
        <w:ind w:left="435"/>
      </w:pPr>
      <w:r>
        <w:t xml:space="preserve">    </w:t>
      </w:r>
    </w:p>
    <w:p w:rsidR="003717A0" w:rsidRDefault="003717A0">
      <w:pPr>
        <w:ind w:left="435"/>
      </w:pPr>
    </w:p>
    <w:p w:rsidR="003717A0" w:rsidRDefault="003717A0">
      <w:pPr>
        <w:ind w:left="435"/>
      </w:pPr>
    </w:p>
    <w:p w:rsidR="003717A0" w:rsidRDefault="003717A0">
      <w:pPr>
        <w:ind w:left="360"/>
        <w:rPr>
          <w:b/>
        </w:rPr>
      </w:pPr>
      <w:r>
        <w:rPr>
          <w:rFonts w:hint="eastAsia"/>
          <w:b/>
        </w:rPr>
        <w:t>教学内容（</w:t>
      </w:r>
      <w:r>
        <w:rPr>
          <w:b/>
        </w:rPr>
        <w:t>3</w:t>
      </w:r>
      <w:r>
        <w:rPr>
          <w:rFonts w:hint="eastAsia"/>
          <w:b/>
        </w:rPr>
        <w:t>学时）</w:t>
      </w:r>
    </w:p>
    <w:p w:rsidR="003717A0" w:rsidRDefault="003717A0">
      <w:pPr>
        <w:numPr>
          <w:ilvl w:val="0"/>
          <w:numId w:val="489"/>
        </w:numPr>
      </w:pPr>
      <w:r>
        <w:rPr>
          <w:rFonts w:hint="eastAsia"/>
        </w:rPr>
        <w:t>癫痫的康复评定、康复治疗和康复结局。</w:t>
      </w:r>
    </w:p>
    <w:p w:rsidR="003717A0" w:rsidRDefault="003717A0">
      <w:pPr>
        <w:numPr>
          <w:ilvl w:val="0"/>
          <w:numId w:val="489"/>
        </w:numPr>
      </w:pPr>
      <w:r>
        <w:rPr>
          <w:rFonts w:hint="eastAsia"/>
        </w:rPr>
        <w:t>癫痫的概念、分类、流行病学、常见病因和病理学特征及临床表现特点及主要类型、诊断与鉴别。</w:t>
      </w:r>
    </w:p>
    <w:p w:rsidR="003717A0" w:rsidRDefault="003717A0">
      <w:pPr>
        <w:numPr>
          <w:ilvl w:val="0"/>
          <w:numId w:val="489"/>
        </w:numPr>
      </w:pPr>
      <w:r>
        <w:rPr>
          <w:rFonts w:hint="eastAsia"/>
        </w:rPr>
        <w:t>主要功能障碍和癫痫的健康教育。</w:t>
      </w:r>
    </w:p>
    <w:p w:rsidR="003717A0" w:rsidRDefault="003717A0">
      <w:pPr>
        <w:numPr>
          <w:ilvl w:val="0"/>
          <w:numId w:val="489"/>
        </w:numPr>
      </w:pPr>
      <w:r>
        <w:rPr>
          <w:rFonts w:hint="eastAsia"/>
        </w:rPr>
        <w:lastRenderedPageBreak/>
        <w:t>自学与拓展：癫痫治疗指南</w:t>
      </w:r>
    </w:p>
    <w:p w:rsidR="003717A0" w:rsidRDefault="003717A0">
      <w:pPr>
        <w:ind w:left="36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w:t>
      </w:r>
      <w:r>
        <w:rPr>
          <w:rFonts w:hint="eastAsia"/>
        </w:rPr>
        <w:t>癫痫</w:t>
      </w:r>
      <w:r>
        <w:rPr>
          <w:rFonts w:ascii="宋体" w:hAnsi="宋体" w:hint="eastAsia"/>
          <w:bCs/>
          <w:szCs w:val="21"/>
        </w:rPr>
        <w:t>主要功能障碍的评定</w:t>
      </w:r>
    </w:p>
    <w:p w:rsidR="003717A0" w:rsidRDefault="003717A0">
      <w:pPr>
        <w:ind w:left="900"/>
        <w:rPr>
          <w:rFonts w:ascii="宋体"/>
          <w:bCs/>
          <w:szCs w:val="21"/>
        </w:rPr>
      </w:pPr>
      <w:r>
        <w:rPr>
          <w:rFonts w:ascii="宋体" w:hAnsi="宋体"/>
          <w:bCs/>
          <w:szCs w:val="21"/>
        </w:rPr>
        <w:t>2</w:t>
      </w:r>
      <w:r>
        <w:rPr>
          <w:rFonts w:ascii="宋体" w:hAnsi="宋体" w:hint="eastAsia"/>
          <w:bCs/>
          <w:szCs w:val="21"/>
        </w:rPr>
        <w:t>、</w:t>
      </w:r>
      <w:r>
        <w:rPr>
          <w:rFonts w:hint="eastAsia"/>
        </w:rPr>
        <w:t>癫痫</w:t>
      </w:r>
      <w:r>
        <w:rPr>
          <w:rFonts w:ascii="宋体" w:hAnsi="宋体" w:hint="eastAsia"/>
          <w:bCs/>
          <w:szCs w:val="21"/>
        </w:rPr>
        <w:t>综合康复治疗</w:t>
      </w:r>
    </w:p>
    <w:p w:rsidR="003717A0" w:rsidRDefault="003717A0">
      <w:pPr>
        <w:ind w:left="900"/>
        <w:rPr>
          <w:rFonts w:ascii="宋体"/>
          <w:bCs/>
          <w:szCs w:val="21"/>
        </w:rPr>
      </w:pPr>
      <w:r>
        <w:rPr>
          <w:rFonts w:ascii="宋体" w:hAnsi="宋体"/>
          <w:bCs/>
          <w:szCs w:val="21"/>
        </w:rPr>
        <w:t>3</w:t>
      </w:r>
      <w:r>
        <w:rPr>
          <w:rFonts w:ascii="宋体" w:hAnsi="宋体" w:hint="eastAsia"/>
          <w:bCs/>
          <w:szCs w:val="21"/>
        </w:rPr>
        <w:t>、癫痫急救治疗</w:t>
      </w:r>
    </w:p>
    <w:p w:rsidR="003717A0" w:rsidRDefault="003717A0">
      <w:pPr>
        <w:ind w:left="360"/>
        <w:rPr>
          <w:b/>
        </w:rPr>
      </w:pPr>
      <w:r>
        <w:rPr>
          <w:rFonts w:hint="eastAsia"/>
          <w:b/>
        </w:rPr>
        <w:t>目的与要求</w:t>
      </w:r>
    </w:p>
    <w:p w:rsidR="003717A0" w:rsidRDefault="003717A0">
      <w:pPr>
        <w:ind w:left="435" w:firstLineChars="200" w:firstLine="420"/>
      </w:pPr>
    </w:p>
    <w:p w:rsidR="003717A0" w:rsidRDefault="003717A0">
      <w:pPr>
        <w:ind w:left="435"/>
      </w:pPr>
      <w:r>
        <w:t>1</w:t>
      </w:r>
      <w:r>
        <w:rPr>
          <w:rFonts w:hint="eastAsia"/>
        </w:rPr>
        <w:t>、掌握癫痫的临床表现、康复评定、康复治疗。</w:t>
      </w:r>
      <w:r>
        <w:t> </w:t>
      </w:r>
    </w:p>
    <w:p w:rsidR="003717A0" w:rsidRDefault="003717A0">
      <w:pPr>
        <w:ind w:left="435"/>
      </w:pPr>
      <w:r>
        <w:t>2</w:t>
      </w:r>
      <w:r>
        <w:rPr>
          <w:rFonts w:hint="eastAsia"/>
        </w:rPr>
        <w:t>、熟悉癫痫的概念、分类、流行病学、常见病因和病理学特征及主要类型、诊断与鉴别、主要功能障碍和康复结局。</w:t>
      </w:r>
      <w:r>
        <w:t> </w:t>
      </w:r>
    </w:p>
    <w:p w:rsidR="003717A0" w:rsidRDefault="003717A0">
      <w:pPr>
        <w:ind w:left="435"/>
      </w:pPr>
      <w:r>
        <w:t>3</w:t>
      </w:r>
      <w:r>
        <w:rPr>
          <w:rFonts w:hint="eastAsia"/>
        </w:rPr>
        <w:t>、了解癫痫的健康教育</w:t>
      </w:r>
    </w:p>
    <w:p w:rsidR="003717A0" w:rsidRDefault="003717A0">
      <w:pPr>
        <w:ind w:left="435"/>
      </w:pPr>
    </w:p>
    <w:p w:rsidR="003717A0" w:rsidRDefault="003717A0">
      <w:pPr>
        <w:ind w:left="435"/>
        <w:jc w:val="center"/>
        <w:rPr>
          <w:b/>
        </w:rPr>
      </w:pPr>
      <w:r>
        <w:rPr>
          <w:rFonts w:hint="eastAsia"/>
          <w:b/>
        </w:rPr>
        <w:t>第十二章、脑炎和脑膜炎康复</w:t>
      </w:r>
    </w:p>
    <w:p w:rsidR="003717A0" w:rsidRDefault="003717A0"/>
    <w:p w:rsidR="003717A0" w:rsidRDefault="003717A0"/>
    <w:p w:rsidR="003717A0" w:rsidRDefault="003717A0"/>
    <w:p w:rsidR="003717A0" w:rsidRDefault="003717A0">
      <w:pPr>
        <w:ind w:left="360"/>
        <w:rPr>
          <w:b/>
        </w:rPr>
      </w:pPr>
      <w:r>
        <w:rPr>
          <w:rFonts w:hint="eastAsia"/>
          <w:b/>
        </w:rPr>
        <w:t>教学内容（</w:t>
      </w:r>
      <w:r>
        <w:rPr>
          <w:b/>
        </w:rPr>
        <w:t>3</w:t>
      </w:r>
      <w:r>
        <w:rPr>
          <w:rFonts w:hint="eastAsia"/>
          <w:b/>
        </w:rPr>
        <w:t>学时）</w:t>
      </w:r>
    </w:p>
    <w:p w:rsidR="003717A0" w:rsidRDefault="003717A0">
      <w:pPr>
        <w:numPr>
          <w:ilvl w:val="0"/>
          <w:numId w:val="490"/>
        </w:numPr>
      </w:pPr>
      <w:r>
        <w:rPr>
          <w:rFonts w:hint="eastAsia"/>
        </w:rPr>
        <w:t>脑炎和脑膜炎的康复评定、康复治疗和康复结局。</w:t>
      </w:r>
    </w:p>
    <w:p w:rsidR="003717A0" w:rsidRDefault="003717A0">
      <w:pPr>
        <w:numPr>
          <w:ilvl w:val="0"/>
          <w:numId w:val="490"/>
        </w:numPr>
      </w:pPr>
      <w:r>
        <w:rPr>
          <w:rFonts w:hint="eastAsia"/>
        </w:rPr>
        <w:t>脑炎和脑膜炎的概念、分类、流行病学、常见病因和病理学特征及临床表现特点及主要类型、诊断与鉴别、主要功能障碍和脑炎</w:t>
      </w:r>
    </w:p>
    <w:p w:rsidR="003717A0" w:rsidRDefault="003717A0">
      <w:pPr>
        <w:numPr>
          <w:ilvl w:val="0"/>
          <w:numId w:val="490"/>
        </w:numPr>
      </w:pPr>
      <w:r>
        <w:rPr>
          <w:rFonts w:hint="eastAsia"/>
        </w:rPr>
        <w:t>脑膜炎的健康教育</w:t>
      </w:r>
    </w:p>
    <w:p w:rsidR="003717A0" w:rsidRDefault="003717A0">
      <w:pPr>
        <w:numPr>
          <w:ilvl w:val="0"/>
          <w:numId w:val="490"/>
        </w:numPr>
      </w:pPr>
      <w:r>
        <w:rPr>
          <w:rFonts w:hint="eastAsia"/>
        </w:rPr>
        <w:t>自学与拓展：脑炎和脑膜炎康复结局</w:t>
      </w:r>
    </w:p>
    <w:p w:rsidR="003717A0" w:rsidRDefault="003717A0">
      <w:pPr>
        <w:ind w:left="36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w:t>
      </w:r>
      <w:r>
        <w:rPr>
          <w:rFonts w:hint="eastAsia"/>
        </w:rPr>
        <w:t>脑炎和脑膜炎</w:t>
      </w:r>
      <w:r>
        <w:rPr>
          <w:rFonts w:ascii="宋体" w:hAnsi="宋体" w:hint="eastAsia"/>
          <w:bCs/>
          <w:szCs w:val="21"/>
        </w:rPr>
        <w:t>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w:t>
      </w:r>
      <w:r>
        <w:rPr>
          <w:rFonts w:hint="eastAsia"/>
        </w:rPr>
        <w:t>脑炎和脑膜炎</w:t>
      </w:r>
      <w:r>
        <w:rPr>
          <w:rFonts w:ascii="宋体" w:hAnsi="宋体" w:hint="eastAsia"/>
          <w:bCs/>
          <w:szCs w:val="21"/>
        </w:rPr>
        <w:t>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w:t>
      </w:r>
      <w:r>
        <w:rPr>
          <w:rFonts w:hint="eastAsia"/>
        </w:rPr>
        <w:t>脑炎和脑膜炎</w:t>
      </w:r>
      <w:r>
        <w:rPr>
          <w:rFonts w:ascii="宋体" w:hAnsi="宋体" w:hint="eastAsia"/>
          <w:bCs/>
          <w:szCs w:val="21"/>
        </w:rPr>
        <w:t>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w:t>
      </w:r>
      <w:r>
        <w:rPr>
          <w:rFonts w:hint="eastAsia"/>
        </w:rPr>
        <w:t>脑炎和脑膜炎</w:t>
      </w:r>
      <w:r>
        <w:rPr>
          <w:rFonts w:ascii="宋体" w:hAnsi="宋体" w:hint="eastAsia"/>
          <w:bCs/>
          <w:szCs w:val="21"/>
        </w:rPr>
        <w:t>综合康复治疗</w:t>
      </w:r>
    </w:p>
    <w:p w:rsidR="003717A0" w:rsidRDefault="003717A0">
      <w:pPr>
        <w:ind w:left="360"/>
        <w:rPr>
          <w:b/>
        </w:rPr>
      </w:pPr>
    </w:p>
    <w:p w:rsidR="003717A0" w:rsidRDefault="003717A0">
      <w:pPr>
        <w:ind w:left="360"/>
        <w:rPr>
          <w:b/>
        </w:rPr>
      </w:pPr>
      <w:r>
        <w:rPr>
          <w:rFonts w:hint="eastAsia"/>
          <w:b/>
        </w:rPr>
        <w:t>目的与要求</w:t>
      </w:r>
    </w:p>
    <w:p w:rsidR="003717A0" w:rsidRDefault="003717A0">
      <w:pPr>
        <w:ind w:left="435"/>
        <w:rPr>
          <w:rFonts w:ascii="宋体"/>
          <w:bCs/>
          <w:szCs w:val="21"/>
        </w:rPr>
      </w:pPr>
      <w:r>
        <w:rPr>
          <w:rFonts w:ascii="宋体" w:hAnsi="宋体"/>
          <w:bCs/>
          <w:szCs w:val="21"/>
        </w:rPr>
        <w:t>1</w:t>
      </w:r>
      <w:r>
        <w:rPr>
          <w:rFonts w:ascii="宋体" w:hAnsi="宋体" w:hint="eastAsia"/>
          <w:bCs/>
          <w:szCs w:val="21"/>
        </w:rPr>
        <w:t>、掌握脑炎和脑膜炎的临床表现、康复评定、康复治疗。</w:t>
      </w:r>
      <w:r>
        <w:rPr>
          <w:rFonts w:ascii="宋体"/>
          <w:bCs/>
          <w:szCs w:val="21"/>
        </w:rPr>
        <w:t> </w:t>
      </w:r>
    </w:p>
    <w:p w:rsidR="003717A0" w:rsidRDefault="003717A0">
      <w:pPr>
        <w:ind w:left="435"/>
        <w:rPr>
          <w:rFonts w:ascii="宋体"/>
          <w:bCs/>
          <w:szCs w:val="21"/>
        </w:rPr>
      </w:pPr>
      <w:r>
        <w:rPr>
          <w:rFonts w:ascii="宋体" w:hAnsi="宋体"/>
          <w:bCs/>
          <w:szCs w:val="21"/>
        </w:rPr>
        <w:t>2</w:t>
      </w:r>
      <w:r>
        <w:rPr>
          <w:rFonts w:ascii="宋体" w:hAnsi="宋体" w:hint="eastAsia"/>
          <w:bCs/>
          <w:szCs w:val="21"/>
        </w:rPr>
        <w:t>、熟悉脑炎和脑膜炎的概念、分类、流行病学、常见病因和病理学特征及主要类型、诊断与鉴别、主要功能障碍和康复结局。</w:t>
      </w:r>
      <w:r>
        <w:rPr>
          <w:rFonts w:ascii="宋体"/>
          <w:bCs/>
          <w:szCs w:val="21"/>
        </w:rPr>
        <w:t> </w:t>
      </w:r>
    </w:p>
    <w:p w:rsidR="003717A0" w:rsidRDefault="003717A0">
      <w:pPr>
        <w:ind w:left="435"/>
        <w:rPr>
          <w:rFonts w:ascii="宋体"/>
          <w:bCs/>
          <w:szCs w:val="21"/>
        </w:rPr>
      </w:pPr>
      <w:r>
        <w:rPr>
          <w:rFonts w:ascii="宋体" w:hAnsi="宋体"/>
          <w:bCs/>
          <w:szCs w:val="21"/>
        </w:rPr>
        <w:t>3</w:t>
      </w:r>
      <w:r>
        <w:rPr>
          <w:rFonts w:ascii="宋体" w:hAnsi="宋体" w:hint="eastAsia"/>
          <w:bCs/>
          <w:szCs w:val="21"/>
        </w:rPr>
        <w:t>、了解脑炎和脑膜炎的健康教育</w:t>
      </w:r>
    </w:p>
    <w:p w:rsidR="003717A0" w:rsidRDefault="003717A0">
      <w:pPr>
        <w:ind w:left="435"/>
      </w:pPr>
    </w:p>
    <w:p w:rsidR="003717A0" w:rsidRDefault="003717A0">
      <w:pPr>
        <w:ind w:left="435"/>
        <w:jc w:val="center"/>
        <w:rPr>
          <w:b/>
        </w:rPr>
      </w:pPr>
      <w:r>
        <w:rPr>
          <w:rFonts w:hint="eastAsia"/>
          <w:b/>
        </w:rPr>
        <w:t>第十二章、胶质瘤和脑膜瘤康复</w:t>
      </w:r>
    </w:p>
    <w:p w:rsidR="003717A0" w:rsidRDefault="003717A0"/>
    <w:p w:rsidR="003717A0" w:rsidRDefault="003717A0">
      <w:pPr>
        <w:ind w:left="360"/>
        <w:rPr>
          <w:b/>
        </w:rPr>
      </w:pPr>
      <w:r>
        <w:rPr>
          <w:rFonts w:hint="eastAsia"/>
          <w:b/>
        </w:rPr>
        <w:t>教学内容（</w:t>
      </w:r>
      <w:r>
        <w:rPr>
          <w:b/>
        </w:rPr>
        <w:t>3</w:t>
      </w:r>
      <w:r>
        <w:rPr>
          <w:rFonts w:hint="eastAsia"/>
          <w:b/>
        </w:rPr>
        <w:t>学时）</w:t>
      </w:r>
    </w:p>
    <w:p w:rsidR="003717A0" w:rsidRDefault="003717A0">
      <w:pPr>
        <w:numPr>
          <w:ilvl w:val="0"/>
          <w:numId w:val="491"/>
        </w:numPr>
      </w:pPr>
      <w:r>
        <w:rPr>
          <w:rFonts w:hint="eastAsia"/>
        </w:rPr>
        <w:t>胶质瘤和脑膜瘤的康复评定、康复治疗和康复结局。</w:t>
      </w:r>
    </w:p>
    <w:p w:rsidR="003717A0" w:rsidRPr="003000C6" w:rsidRDefault="003717A0">
      <w:pPr>
        <w:numPr>
          <w:ilvl w:val="0"/>
          <w:numId w:val="491"/>
        </w:numPr>
      </w:pPr>
      <w:r>
        <w:rPr>
          <w:rFonts w:hint="eastAsia"/>
        </w:rPr>
        <w:t>胶质瘤和脑膜瘤的概念、分类、流行病学、常见病因和病理学特征及临床表现特点及主要类型、诊断与鉴别、主要功能障碍和胶质瘤</w:t>
      </w:r>
    </w:p>
    <w:p w:rsidR="003717A0" w:rsidRPr="003000C6" w:rsidRDefault="003717A0">
      <w:pPr>
        <w:numPr>
          <w:ilvl w:val="0"/>
          <w:numId w:val="491"/>
        </w:numPr>
      </w:pPr>
      <w:r>
        <w:rPr>
          <w:rFonts w:hint="eastAsia"/>
        </w:rPr>
        <w:t>脑膜瘤的健康教育。</w:t>
      </w:r>
    </w:p>
    <w:p w:rsidR="003717A0" w:rsidRPr="003000C6" w:rsidRDefault="003717A0">
      <w:pPr>
        <w:numPr>
          <w:ilvl w:val="0"/>
          <w:numId w:val="491"/>
        </w:numPr>
      </w:pPr>
      <w:r>
        <w:rPr>
          <w:rFonts w:hint="eastAsia"/>
        </w:rPr>
        <w:t>自学与拓展：手术治疗方法</w:t>
      </w:r>
    </w:p>
    <w:p w:rsidR="003717A0" w:rsidRDefault="003717A0">
      <w:pPr>
        <w:ind w:left="36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w:t>
      </w:r>
      <w:r>
        <w:rPr>
          <w:rFonts w:hint="eastAsia"/>
        </w:rPr>
        <w:t>胶质瘤和脑膜瘤</w:t>
      </w:r>
      <w:r>
        <w:rPr>
          <w:rFonts w:ascii="宋体" w:hAnsi="宋体" w:hint="eastAsia"/>
          <w:bCs/>
          <w:szCs w:val="21"/>
        </w:rPr>
        <w:t>主要功能障碍的评定</w:t>
      </w:r>
    </w:p>
    <w:p w:rsidR="003717A0" w:rsidRDefault="003717A0">
      <w:pPr>
        <w:ind w:left="855"/>
        <w:rPr>
          <w:rFonts w:ascii="宋体"/>
          <w:bCs/>
          <w:szCs w:val="21"/>
        </w:rPr>
      </w:pPr>
      <w:r>
        <w:rPr>
          <w:rFonts w:ascii="宋体" w:hAnsi="宋体"/>
          <w:bCs/>
          <w:szCs w:val="21"/>
        </w:rPr>
        <w:lastRenderedPageBreak/>
        <w:t>2</w:t>
      </w:r>
      <w:r>
        <w:rPr>
          <w:rFonts w:ascii="宋体" w:hAnsi="宋体" w:hint="eastAsia"/>
          <w:bCs/>
          <w:szCs w:val="21"/>
        </w:rPr>
        <w:t>、</w:t>
      </w:r>
      <w:r>
        <w:rPr>
          <w:rFonts w:hint="eastAsia"/>
        </w:rPr>
        <w:t>胶质瘤和脑膜瘤</w:t>
      </w:r>
      <w:r>
        <w:rPr>
          <w:rFonts w:ascii="宋体" w:hAnsi="宋体" w:hint="eastAsia"/>
          <w:bCs/>
          <w:szCs w:val="21"/>
        </w:rPr>
        <w:t>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w:t>
      </w:r>
      <w:r>
        <w:rPr>
          <w:rFonts w:hint="eastAsia"/>
        </w:rPr>
        <w:t>胶质瘤和脑膜瘤</w:t>
      </w:r>
      <w:r>
        <w:rPr>
          <w:rFonts w:ascii="宋体" w:hAnsi="宋体" w:hint="eastAsia"/>
          <w:bCs/>
          <w:szCs w:val="21"/>
        </w:rPr>
        <w:t>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w:t>
      </w:r>
      <w:r>
        <w:rPr>
          <w:rFonts w:hint="eastAsia"/>
        </w:rPr>
        <w:t>胶质瘤和脑膜瘤</w:t>
      </w:r>
      <w:r>
        <w:rPr>
          <w:rFonts w:ascii="宋体" w:hAnsi="宋体" w:hint="eastAsia"/>
          <w:bCs/>
          <w:szCs w:val="21"/>
        </w:rPr>
        <w:t>综合康复治疗</w:t>
      </w:r>
    </w:p>
    <w:p w:rsidR="003717A0" w:rsidRDefault="003717A0">
      <w:pPr>
        <w:ind w:left="360"/>
        <w:rPr>
          <w:b/>
        </w:rPr>
      </w:pPr>
      <w:r>
        <w:rPr>
          <w:rFonts w:hint="eastAsia"/>
          <w:b/>
        </w:rPr>
        <w:t>目的与要求</w:t>
      </w:r>
    </w:p>
    <w:p w:rsidR="003717A0" w:rsidRDefault="003717A0">
      <w:pPr>
        <w:ind w:leftChars="171" w:left="359" w:firstLineChars="150" w:firstLine="315"/>
      </w:pPr>
      <w:r>
        <w:t>1</w:t>
      </w:r>
      <w:r>
        <w:rPr>
          <w:rFonts w:hint="eastAsia"/>
        </w:rPr>
        <w:t>、掌握胶质瘤和脑膜瘤的临床表现、康复评定、康复治疗。</w:t>
      </w:r>
      <w:r>
        <w:t> </w:t>
      </w:r>
    </w:p>
    <w:p w:rsidR="003717A0" w:rsidRDefault="003717A0">
      <w:pPr>
        <w:ind w:leftChars="171" w:left="359" w:firstLineChars="150" w:firstLine="315"/>
      </w:pPr>
      <w:r>
        <w:t>2</w:t>
      </w:r>
      <w:r>
        <w:rPr>
          <w:rFonts w:hint="eastAsia"/>
        </w:rPr>
        <w:t>、熟悉胶质瘤和脑膜瘤的概念、分类、流行病学、常见病因和病理学特征及主要类型、诊断与鉴别、主要功能障碍和康复结局。</w:t>
      </w:r>
      <w:r>
        <w:t> </w:t>
      </w:r>
    </w:p>
    <w:p w:rsidR="003717A0" w:rsidRDefault="003717A0" w:rsidP="003000C6">
      <w:pPr>
        <w:ind w:leftChars="171" w:left="359" w:firstLineChars="150" w:firstLine="315"/>
      </w:pPr>
      <w:r>
        <w:t>3</w:t>
      </w:r>
      <w:r>
        <w:rPr>
          <w:rFonts w:hint="eastAsia"/>
        </w:rPr>
        <w:t>、了解胶质瘤和脑膜瘤的健康教育。</w:t>
      </w:r>
    </w:p>
    <w:p w:rsidR="003717A0" w:rsidRDefault="003717A0">
      <w:pPr>
        <w:ind w:left="435"/>
      </w:pPr>
    </w:p>
    <w:p w:rsidR="003717A0" w:rsidRDefault="003717A0">
      <w:pPr>
        <w:ind w:left="435"/>
        <w:jc w:val="center"/>
        <w:rPr>
          <w:b/>
        </w:rPr>
      </w:pPr>
      <w:r>
        <w:rPr>
          <w:rFonts w:hint="eastAsia"/>
          <w:b/>
        </w:rPr>
        <w:t>第十四章、神经系统常见病症康复</w:t>
      </w:r>
    </w:p>
    <w:p w:rsidR="003717A0" w:rsidRDefault="003717A0">
      <w:pPr>
        <w:ind w:left="435"/>
      </w:pPr>
    </w:p>
    <w:p w:rsidR="003717A0" w:rsidRDefault="003717A0">
      <w:pPr>
        <w:ind w:left="435"/>
      </w:pPr>
    </w:p>
    <w:p w:rsidR="003717A0" w:rsidRDefault="003717A0">
      <w:pPr>
        <w:ind w:left="360"/>
        <w:rPr>
          <w:b/>
        </w:rPr>
      </w:pPr>
      <w:r>
        <w:rPr>
          <w:rFonts w:hint="eastAsia"/>
          <w:b/>
        </w:rPr>
        <w:t>教学内容（</w:t>
      </w:r>
      <w:r>
        <w:rPr>
          <w:b/>
        </w:rPr>
        <w:t>3</w:t>
      </w:r>
      <w:r>
        <w:rPr>
          <w:rFonts w:hint="eastAsia"/>
          <w:b/>
        </w:rPr>
        <w:t>学时）</w:t>
      </w:r>
    </w:p>
    <w:p w:rsidR="003717A0" w:rsidRDefault="003717A0">
      <w:pPr>
        <w:numPr>
          <w:ilvl w:val="0"/>
          <w:numId w:val="492"/>
        </w:numPr>
      </w:pPr>
      <w:r>
        <w:rPr>
          <w:rFonts w:hint="eastAsia"/>
        </w:rPr>
        <w:t>眩晕、睡眠障碍、手足徐动、共济失调、痉挛、植物状态的评估诊断、康复治疗和康复结局。</w:t>
      </w:r>
    </w:p>
    <w:p w:rsidR="003717A0" w:rsidRDefault="003717A0">
      <w:pPr>
        <w:numPr>
          <w:ilvl w:val="0"/>
          <w:numId w:val="492"/>
        </w:numPr>
      </w:pPr>
      <w:r>
        <w:rPr>
          <w:rFonts w:hint="eastAsia"/>
        </w:rPr>
        <w:t>眩晕、睡眠障碍、手足徐动、共济失调、痉挛、植物状态的概念、分类、流行病学、常见病因和病理学特征及临床表现特点及主要类型、诊断与鉴别、主要功能障碍</w:t>
      </w:r>
    </w:p>
    <w:p w:rsidR="003717A0" w:rsidRDefault="003717A0">
      <w:pPr>
        <w:numPr>
          <w:ilvl w:val="0"/>
          <w:numId w:val="492"/>
        </w:numPr>
      </w:pPr>
      <w:r>
        <w:rPr>
          <w:rFonts w:hint="eastAsia"/>
        </w:rPr>
        <w:t>眩晕、睡眠障碍、手足徐动、共济失调、痉挛、植物状态的健康教育。</w:t>
      </w:r>
    </w:p>
    <w:p w:rsidR="003717A0" w:rsidRDefault="003717A0">
      <w:pPr>
        <w:ind w:left="360"/>
        <w:rPr>
          <w:b/>
        </w:rPr>
      </w:pPr>
    </w:p>
    <w:p w:rsidR="003717A0" w:rsidRDefault="003717A0">
      <w:pPr>
        <w:ind w:left="360"/>
        <w:rPr>
          <w:b/>
        </w:rPr>
      </w:pPr>
      <w:r>
        <w:rPr>
          <w:rFonts w:hint="eastAsia"/>
          <w:b/>
        </w:rPr>
        <w:t>实习内容（</w:t>
      </w:r>
      <w:r>
        <w:rPr>
          <w:b/>
        </w:rPr>
        <w:t>3</w:t>
      </w:r>
      <w:r>
        <w:rPr>
          <w:rFonts w:hint="eastAsia"/>
          <w:b/>
        </w:rPr>
        <w:t>学时）</w:t>
      </w:r>
    </w:p>
    <w:p w:rsidR="003717A0" w:rsidRDefault="003717A0">
      <w:pPr>
        <w:ind w:left="900"/>
        <w:rPr>
          <w:rFonts w:ascii="宋体"/>
          <w:bCs/>
          <w:szCs w:val="21"/>
        </w:rPr>
      </w:pPr>
      <w:r>
        <w:rPr>
          <w:rFonts w:ascii="宋体" w:hAnsi="宋体"/>
          <w:bCs/>
          <w:szCs w:val="21"/>
        </w:rPr>
        <w:t>1</w:t>
      </w:r>
      <w:r>
        <w:rPr>
          <w:rFonts w:ascii="宋体" w:hAnsi="宋体" w:hint="eastAsia"/>
          <w:bCs/>
          <w:szCs w:val="21"/>
        </w:rPr>
        <w:t>、</w:t>
      </w:r>
      <w:r>
        <w:rPr>
          <w:rFonts w:hint="eastAsia"/>
        </w:rPr>
        <w:t>经系统常见病症</w:t>
      </w:r>
      <w:r>
        <w:rPr>
          <w:rFonts w:ascii="宋体" w:hAnsi="宋体" w:hint="eastAsia"/>
          <w:bCs/>
          <w:szCs w:val="21"/>
        </w:rPr>
        <w:t>主要功能障碍的评定</w:t>
      </w:r>
    </w:p>
    <w:p w:rsidR="003717A0" w:rsidRDefault="003717A0">
      <w:pPr>
        <w:ind w:left="855"/>
        <w:rPr>
          <w:rFonts w:ascii="宋体"/>
          <w:bCs/>
          <w:szCs w:val="21"/>
        </w:rPr>
      </w:pPr>
      <w:r>
        <w:rPr>
          <w:rFonts w:ascii="宋体" w:hAnsi="宋体"/>
          <w:bCs/>
          <w:szCs w:val="21"/>
        </w:rPr>
        <w:t>2</w:t>
      </w:r>
      <w:r>
        <w:rPr>
          <w:rFonts w:ascii="宋体" w:hAnsi="宋体" w:hint="eastAsia"/>
          <w:bCs/>
          <w:szCs w:val="21"/>
        </w:rPr>
        <w:t>、</w:t>
      </w:r>
      <w:r>
        <w:rPr>
          <w:rFonts w:hint="eastAsia"/>
        </w:rPr>
        <w:t>经系统常见病症</w:t>
      </w:r>
      <w:r>
        <w:rPr>
          <w:rFonts w:ascii="宋体" w:hAnsi="宋体" w:hint="eastAsia"/>
          <w:bCs/>
          <w:szCs w:val="21"/>
        </w:rPr>
        <w:t>运动治疗操作技术</w:t>
      </w:r>
    </w:p>
    <w:p w:rsidR="003717A0" w:rsidRDefault="003717A0">
      <w:pPr>
        <w:ind w:left="900"/>
        <w:rPr>
          <w:rFonts w:ascii="宋体"/>
          <w:bCs/>
          <w:szCs w:val="21"/>
        </w:rPr>
      </w:pPr>
      <w:r>
        <w:rPr>
          <w:rFonts w:ascii="宋体" w:hAnsi="宋体"/>
          <w:bCs/>
          <w:szCs w:val="21"/>
        </w:rPr>
        <w:t>3</w:t>
      </w:r>
      <w:r>
        <w:rPr>
          <w:rFonts w:ascii="宋体" w:hAnsi="宋体" w:hint="eastAsia"/>
          <w:bCs/>
          <w:szCs w:val="21"/>
        </w:rPr>
        <w:t>、</w:t>
      </w:r>
      <w:r>
        <w:rPr>
          <w:rFonts w:hint="eastAsia"/>
        </w:rPr>
        <w:t>经系统常见病症</w:t>
      </w:r>
      <w:r>
        <w:rPr>
          <w:rFonts w:ascii="宋体" w:hAnsi="宋体" w:hint="eastAsia"/>
          <w:bCs/>
          <w:szCs w:val="21"/>
        </w:rPr>
        <w:t>物理因子治疗的选择及操作技术</w:t>
      </w:r>
    </w:p>
    <w:p w:rsidR="003717A0" w:rsidRDefault="003717A0">
      <w:pPr>
        <w:ind w:left="900"/>
        <w:rPr>
          <w:rFonts w:ascii="宋体"/>
          <w:bCs/>
          <w:szCs w:val="21"/>
        </w:rPr>
      </w:pPr>
      <w:r>
        <w:rPr>
          <w:rFonts w:ascii="宋体" w:hAnsi="宋体"/>
          <w:bCs/>
          <w:szCs w:val="21"/>
        </w:rPr>
        <w:t>4</w:t>
      </w:r>
      <w:r>
        <w:rPr>
          <w:rFonts w:ascii="宋体" w:hAnsi="宋体" w:hint="eastAsia"/>
          <w:bCs/>
          <w:szCs w:val="21"/>
        </w:rPr>
        <w:t>、</w:t>
      </w:r>
      <w:r>
        <w:rPr>
          <w:rFonts w:hint="eastAsia"/>
        </w:rPr>
        <w:t>经系统常见病症</w:t>
      </w:r>
      <w:r>
        <w:rPr>
          <w:rFonts w:ascii="宋体" w:hAnsi="宋体" w:hint="eastAsia"/>
          <w:bCs/>
          <w:szCs w:val="21"/>
        </w:rPr>
        <w:t>综合康复治疗</w:t>
      </w:r>
    </w:p>
    <w:p w:rsidR="003717A0" w:rsidRDefault="003717A0">
      <w:pPr>
        <w:ind w:left="360"/>
        <w:rPr>
          <w:b/>
        </w:rPr>
      </w:pPr>
      <w:r>
        <w:rPr>
          <w:rFonts w:hint="eastAsia"/>
          <w:b/>
        </w:rPr>
        <w:t>目的与要求</w:t>
      </w:r>
    </w:p>
    <w:p w:rsidR="003717A0" w:rsidRDefault="003717A0">
      <w:pPr>
        <w:ind w:left="435"/>
      </w:pPr>
      <w:r>
        <w:t>1</w:t>
      </w:r>
      <w:r>
        <w:rPr>
          <w:rFonts w:hint="eastAsia"/>
        </w:rPr>
        <w:t>、掌握眩晕、睡眠障碍、手足徐动、共济失调、痉挛、植物状态的临床表现、评估诊断、康复治疗。</w:t>
      </w:r>
      <w:r>
        <w:t> </w:t>
      </w:r>
    </w:p>
    <w:p w:rsidR="003717A0" w:rsidRDefault="003717A0">
      <w:pPr>
        <w:ind w:left="435"/>
      </w:pPr>
      <w:r>
        <w:t>2</w:t>
      </w:r>
      <w:r>
        <w:rPr>
          <w:rFonts w:hint="eastAsia"/>
        </w:rPr>
        <w:t>、熟悉眩晕、睡眠障碍、手足徐动、共济失调、痉挛、植物状态的概念、分类、流行病学、常见病因和病理学特征及主要类型、诊断与鉴别、主要功能障碍。</w:t>
      </w:r>
      <w:r>
        <w:t> </w:t>
      </w:r>
    </w:p>
    <w:p w:rsidR="003717A0" w:rsidRDefault="003717A0">
      <w:pPr>
        <w:ind w:left="435"/>
      </w:pPr>
      <w:r>
        <w:t>3</w:t>
      </w:r>
      <w:r>
        <w:rPr>
          <w:rFonts w:hint="eastAsia"/>
        </w:rPr>
        <w:t>、了解胶质眩晕、睡眠障碍、手足徐动、共济失调、痉挛、植物状态的健康教育</w:t>
      </w:r>
      <w:r>
        <w:rPr>
          <w:rFonts w:hint="eastAsia"/>
          <w:b/>
        </w:rPr>
        <w:t>第十</w:t>
      </w:r>
    </w:p>
    <w:p w:rsidR="003717A0" w:rsidRDefault="003717A0">
      <w:pPr>
        <w:spacing w:before="100" w:beforeAutospacing="1" w:after="100" w:afterAutospacing="1"/>
        <w:ind w:left="1807"/>
        <w:rPr>
          <w:b/>
          <w:sz w:val="30"/>
          <w:szCs w:val="30"/>
        </w:rPr>
      </w:pPr>
      <w:r>
        <w:rPr>
          <w:rFonts w:hint="eastAsia"/>
          <w:b/>
          <w:sz w:val="30"/>
          <w:szCs w:val="30"/>
        </w:rPr>
        <w:t>教学时数分配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119"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850"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pPr>
            <w:r>
              <w:t>1</w:t>
            </w:r>
          </w:p>
        </w:tc>
        <w:tc>
          <w:tcPr>
            <w:tcW w:w="3119" w:type="dxa"/>
          </w:tcPr>
          <w:p w:rsidR="003717A0" w:rsidRDefault="003717A0">
            <w:pPr>
              <w:ind w:firstLineChars="53" w:firstLine="111"/>
            </w:pPr>
            <w:r>
              <w:rPr>
                <w:rFonts w:hint="eastAsia"/>
              </w:rPr>
              <w:t>神经康复学概述</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pPr>
            <w:r>
              <w:t>2</w:t>
            </w:r>
          </w:p>
        </w:tc>
        <w:tc>
          <w:tcPr>
            <w:tcW w:w="3119" w:type="dxa"/>
          </w:tcPr>
          <w:p w:rsidR="003717A0" w:rsidRDefault="003717A0">
            <w:pPr>
              <w:ind w:firstLineChars="53" w:firstLine="111"/>
            </w:pPr>
            <w:r>
              <w:rPr>
                <w:rFonts w:hint="eastAsia"/>
              </w:rPr>
              <w:t>脑卒中康复</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pPr>
            <w:r>
              <w:t>3</w:t>
            </w:r>
          </w:p>
        </w:tc>
        <w:tc>
          <w:tcPr>
            <w:tcW w:w="3119" w:type="dxa"/>
          </w:tcPr>
          <w:p w:rsidR="003717A0" w:rsidRDefault="003717A0">
            <w:pPr>
              <w:ind w:firstLineChars="53" w:firstLine="111"/>
            </w:pPr>
            <w:r>
              <w:rPr>
                <w:rFonts w:hint="eastAsia"/>
              </w:rPr>
              <w:t>脑卒中康复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4</w:t>
            </w:r>
          </w:p>
        </w:tc>
        <w:tc>
          <w:tcPr>
            <w:tcW w:w="3119" w:type="dxa"/>
          </w:tcPr>
          <w:p w:rsidR="003717A0" w:rsidRDefault="003717A0">
            <w:pPr>
              <w:ind w:firstLineChars="53" w:firstLine="111"/>
            </w:pPr>
            <w:r>
              <w:rPr>
                <w:rFonts w:hint="eastAsia"/>
              </w:rPr>
              <w:t>脑外伤康复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5</w:t>
            </w:r>
          </w:p>
        </w:tc>
        <w:tc>
          <w:tcPr>
            <w:tcW w:w="3119" w:type="dxa"/>
          </w:tcPr>
          <w:p w:rsidR="003717A0" w:rsidRDefault="003717A0">
            <w:pPr>
              <w:ind w:firstLineChars="53" w:firstLine="111"/>
            </w:pPr>
            <w:r>
              <w:rPr>
                <w:rFonts w:hint="eastAsia"/>
              </w:rPr>
              <w:t>脑外伤康复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6</w:t>
            </w:r>
          </w:p>
        </w:tc>
        <w:tc>
          <w:tcPr>
            <w:tcW w:w="3119" w:type="dxa"/>
          </w:tcPr>
          <w:p w:rsidR="003717A0" w:rsidRDefault="003717A0">
            <w:pPr>
              <w:ind w:firstLineChars="53" w:firstLine="111"/>
            </w:pPr>
            <w:r>
              <w:rPr>
                <w:rFonts w:hint="eastAsia"/>
              </w:rPr>
              <w:t>脑性瘫痪康复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7</w:t>
            </w:r>
          </w:p>
        </w:tc>
        <w:tc>
          <w:tcPr>
            <w:tcW w:w="3119" w:type="dxa"/>
          </w:tcPr>
          <w:p w:rsidR="003717A0" w:rsidRDefault="003717A0">
            <w:pPr>
              <w:ind w:firstLineChars="53" w:firstLine="111"/>
            </w:pPr>
            <w:r>
              <w:rPr>
                <w:rFonts w:hint="eastAsia"/>
              </w:rPr>
              <w:t>脑性瘫痪康复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8</w:t>
            </w:r>
          </w:p>
        </w:tc>
        <w:tc>
          <w:tcPr>
            <w:tcW w:w="3119" w:type="dxa"/>
          </w:tcPr>
          <w:p w:rsidR="003717A0" w:rsidRDefault="003717A0">
            <w:pPr>
              <w:ind w:firstLineChars="53" w:firstLine="111"/>
            </w:pPr>
            <w:r>
              <w:rPr>
                <w:rFonts w:hint="eastAsia"/>
              </w:rPr>
              <w:t>帕金森康复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9</w:t>
            </w:r>
          </w:p>
        </w:tc>
        <w:tc>
          <w:tcPr>
            <w:tcW w:w="3119" w:type="dxa"/>
          </w:tcPr>
          <w:p w:rsidR="003717A0" w:rsidRDefault="003717A0">
            <w:pPr>
              <w:ind w:firstLineChars="53" w:firstLine="111"/>
            </w:pPr>
            <w:r>
              <w:rPr>
                <w:rFonts w:hint="eastAsia"/>
              </w:rPr>
              <w:t>老年性痴呆康复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lastRenderedPageBreak/>
              <w:t>10</w:t>
            </w:r>
          </w:p>
        </w:tc>
        <w:tc>
          <w:tcPr>
            <w:tcW w:w="3119" w:type="dxa"/>
          </w:tcPr>
          <w:p w:rsidR="003717A0" w:rsidRDefault="003717A0">
            <w:pPr>
              <w:ind w:firstLineChars="53" w:firstLine="111"/>
            </w:pPr>
            <w:r>
              <w:rPr>
                <w:rFonts w:hint="eastAsia"/>
              </w:rPr>
              <w:t>多发性硬化康复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11</w:t>
            </w:r>
          </w:p>
        </w:tc>
        <w:tc>
          <w:tcPr>
            <w:tcW w:w="3119" w:type="dxa"/>
          </w:tcPr>
          <w:p w:rsidR="003717A0" w:rsidRDefault="003717A0">
            <w:pPr>
              <w:ind w:firstLineChars="53" w:firstLine="111"/>
            </w:pPr>
            <w:r>
              <w:rPr>
                <w:rFonts w:hint="eastAsia"/>
              </w:rPr>
              <w:t>脊髓炎康复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12</w:t>
            </w:r>
          </w:p>
        </w:tc>
        <w:tc>
          <w:tcPr>
            <w:tcW w:w="3119" w:type="dxa"/>
          </w:tcPr>
          <w:p w:rsidR="003717A0" w:rsidRDefault="003717A0">
            <w:pPr>
              <w:ind w:firstLineChars="53" w:firstLine="111"/>
            </w:pPr>
            <w:r>
              <w:rPr>
                <w:rFonts w:hint="eastAsia"/>
              </w:rPr>
              <w:t>急性炎症性脱髓鞘性多发性神经病康复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13</w:t>
            </w:r>
          </w:p>
        </w:tc>
        <w:tc>
          <w:tcPr>
            <w:tcW w:w="3119" w:type="dxa"/>
          </w:tcPr>
          <w:p w:rsidR="003717A0" w:rsidRDefault="003717A0">
            <w:pPr>
              <w:ind w:firstLineChars="53" w:firstLine="111"/>
            </w:pPr>
            <w:r>
              <w:rPr>
                <w:rFonts w:hint="eastAsia"/>
              </w:rPr>
              <w:t>急性炎症性脱髓鞘性多发性神经病康复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14</w:t>
            </w:r>
          </w:p>
        </w:tc>
        <w:tc>
          <w:tcPr>
            <w:tcW w:w="3119" w:type="dxa"/>
          </w:tcPr>
          <w:p w:rsidR="003717A0" w:rsidRDefault="003717A0">
            <w:pPr>
              <w:ind w:firstLineChars="53" w:firstLine="111"/>
            </w:pPr>
            <w:r>
              <w:rPr>
                <w:rFonts w:hint="eastAsia"/>
              </w:rPr>
              <w:t>面神经炎康复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15</w:t>
            </w:r>
          </w:p>
        </w:tc>
        <w:tc>
          <w:tcPr>
            <w:tcW w:w="3119" w:type="dxa"/>
          </w:tcPr>
          <w:p w:rsidR="003717A0" w:rsidRDefault="003717A0">
            <w:pPr>
              <w:ind w:firstLineChars="53" w:firstLine="111"/>
            </w:pPr>
            <w:r>
              <w:rPr>
                <w:rFonts w:hint="eastAsia"/>
              </w:rPr>
              <w:t>癫痫康复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16</w:t>
            </w:r>
          </w:p>
        </w:tc>
        <w:tc>
          <w:tcPr>
            <w:tcW w:w="3119" w:type="dxa"/>
          </w:tcPr>
          <w:p w:rsidR="003717A0" w:rsidRDefault="003717A0">
            <w:pPr>
              <w:ind w:firstLineChars="53" w:firstLine="111"/>
            </w:pPr>
            <w:r>
              <w:rPr>
                <w:rFonts w:hint="eastAsia"/>
              </w:rPr>
              <w:t>脑炎和脑膜炎康复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17</w:t>
            </w:r>
          </w:p>
        </w:tc>
        <w:tc>
          <w:tcPr>
            <w:tcW w:w="3119" w:type="dxa"/>
          </w:tcPr>
          <w:p w:rsidR="003717A0" w:rsidRDefault="003717A0">
            <w:pPr>
              <w:ind w:firstLineChars="53" w:firstLine="111"/>
            </w:pPr>
            <w:r>
              <w:rPr>
                <w:rFonts w:hint="eastAsia"/>
              </w:rPr>
              <w:t>胶质瘤和脑膜瘤康复</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pPr>
            <w:r>
              <w:t>18</w:t>
            </w:r>
          </w:p>
        </w:tc>
        <w:tc>
          <w:tcPr>
            <w:tcW w:w="3119" w:type="dxa"/>
          </w:tcPr>
          <w:p w:rsidR="003717A0" w:rsidRDefault="003717A0">
            <w:pPr>
              <w:ind w:firstLineChars="53" w:firstLine="111"/>
            </w:pPr>
            <w:r>
              <w:rPr>
                <w:rFonts w:hint="eastAsia"/>
              </w:rPr>
              <w:t>神经系统常见疾病康复</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tc>
        <w:tc>
          <w:tcPr>
            <w:tcW w:w="3119" w:type="dxa"/>
          </w:tcPr>
          <w:p w:rsidR="003717A0" w:rsidRDefault="003717A0">
            <w:pPr>
              <w:ind w:firstLineChars="53" w:firstLine="111"/>
            </w:pPr>
            <w:r>
              <w:rPr>
                <w:rFonts w:hint="eastAsia"/>
              </w:rPr>
              <w:t>合计</w:t>
            </w:r>
          </w:p>
        </w:tc>
        <w:tc>
          <w:tcPr>
            <w:tcW w:w="850" w:type="dxa"/>
            <w:vAlign w:val="center"/>
          </w:tcPr>
          <w:p w:rsidR="003717A0" w:rsidRDefault="003717A0">
            <w:pPr>
              <w:jc w:val="center"/>
            </w:pPr>
            <w:r>
              <w:t>54</w:t>
            </w:r>
          </w:p>
        </w:tc>
        <w:tc>
          <w:tcPr>
            <w:tcW w:w="3260" w:type="dxa"/>
          </w:tcPr>
          <w:p w:rsidR="003717A0" w:rsidRDefault="003717A0"/>
        </w:tc>
        <w:tc>
          <w:tcPr>
            <w:tcW w:w="851" w:type="dxa"/>
          </w:tcPr>
          <w:p w:rsidR="003717A0" w:rsidRDefault="003717A0"/>
        </w:tc>
      </w:tr>
    </w:tbl>
    <w:p w:rsidR="003717A0" w:rsidRDefault="003717A0">
      <w:pPr>
        <w:spacing w:before="100" w:beforeAutospacing="1" w:after="100" w:afterAutospacing="1"/>
        <w:ind w:left="420"/>
        <w:jc w:val="center"/>
        <w:rPr>
          <w:rFonts w:ascii="宋体"/>
          <w:b/>
          <w:szCs w:val="21"/>
        </w:rPr>
      </w:pPr>
      <w:r>
        <w:rPr>
          <w:rFonts w:ascii="宋体" w:hAnsi="宋体" w:hint="eastAsia"/>
          <w:b/>
          <w:szCs w:val="21"/>
        </w:rPr>
        <w:t>实验课时分配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119"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850"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pPr>
            <w:r>
              <w:t>1</w:t>
            </w:r>
          </w:p>
        </w:tc>
        <w:tc>
          <w:tcPr>
            <w:tcW w:w="3119" w:type="dxa"/>
          </w:tcPr>
          <w:p w:rsidR="003717A0" w:rsidRDefault="003717A0">
            <w:pPr>
              <w:ind w:firstLineChars="53" w:firstLine="111"/>
            </w:pPr>
            <w:r>
              <w:rPr>
                <w:rFonts w:hint="eastAsia"/>
              </w:rPr>
              <w:t>神经康复学概述</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pPr>
            <w:r>
              <w:t>2</w:t>
            </w:r>
          </w:p>
        </w:tc>
        <w:tc>
          <w:tcPr>
            <w:tcW w:w="3119" w:type="dxa"/>
          </w:tcPr>
          <w:p w:rsidR="003717A0" w:rsidRDefault="003717A0">
            <w:pPr>
              <w:ind w:firstLineChars="53" w:firstLine="111"/>
            </w:pPr>
            <w:r>
              <w:rPr>
                <w:rFonts w:hint="eastAsia"/>
              </w:rPr>
              <w:t>脑卒中康复</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pPr>
            <w:r>
              <w:t>3</w:t>
            </w:r>
          </w:p>
        </w:tc>
        <w:tc>
          <w:tcPr>
            <w:tcW w:w="3119" w:type="dxa"/>
          </w:tcPr>
          <w:p w:rsidR="003717A0" w:rsidRDefault="003717A0">
            <w:pPr>
              <w:ind w:firstLineChars="53" w:firstLine="111"/>
            </w:pPr>
            <w:r>
              <w:rPr>
                <w:rFonts w:hint="eastAsia"/>
              </w:rPr>
              <w:t>脑卒中康复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4</w:t>
            </w:r>
          </w:p>
        </w:tc>
        <w:tc>
          <w:tcPr>
            <w:tcW w:w="3119" w:type="dxa"/>
          </w:tcPr>
          <w:p w:rsidR="003717A0" w:rsidRDefault="003717A0">
            <w:pPr>
              <w:ind w:firstLineChars="53" w:firstLine="111"/>
            </w:pPr>
            <w:r>
              <w:rPr>
                <w:rFonts w:hint="eastAsia"/>
              </w:rPr>
              <w:t>脑外伤康复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5</w:t>
            </w:r>
          </w:p>
        </w:tc>
        <w:tc>
          <w:tcPr>
            <w:tcW w:w="3119" w:type="dxa"/>
          </w:tcPr>
          <w:p w:rsidR="003717A0" w:rsidRDefault="003717A0">
            <w:pPr>
              <w:ind w:firstLineChars="53" w:firstLine="111"/>
            </w:pPr>
            <w:r>
              <w:rPr>
                <w:rFonts w:hint="eastAsia"/>
              </w:rPr>
              <w:t>脑外伤康复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6</w:t>
            </w:r>
          </w:p>
        </w:tc>
        <w:tc>
          <w:tcPr>
            <w:tcW w:w="3119" w:type="dxa"/>
          </w:tcPr>
          <w:p w:rsidR="003717A0" w:rsidRDefault="003717A0">
            <w:pPr>
              <w:ind w:firstLineChars="53" w:firstLine="111"/>
            </w:pPr>
            <w:r>
              <w:rPr>
                <w:rFonts w:hint="eastAsia"/>
              </w:rPr>
              <w:t>脑性瘫痪康复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7</w:t>
            </w:r>
          </w:p>
        </w:tc>
        <w:tc>
          <w:tcPr>
            <w:tcW w:w="3119" w:type="dxa"/>
          </w:tcPr>
          <w:p w:rsidR="003717A0" w:rsidRDefault="003717A0">
            <w:pPr>
              <w:ind w:firstLineChars="53" w:firstLine="111"/>
            </w:pPr>
            <w:r>
              <w:rPr>
                <w:rFonts w:hint="eastAsia"/>
              </w:rPr>
              <w:t>脑性瘫痪康复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8</w:t>
            </w:r>
          </w:p>
        </w:tc>
        <w:tc>
          <w:tcPr>
            <w:tcW w:w="3119" w:type="dxa"/>
          </w:tcPr>
          <w:p w:rsidR="003717A0" w:rsidRDefault="003717A0">
            <w:pPr>
              <w:ind w:firstLineChars="53" w:firstLine="111"/>
            </w:pPr>
            <w:r>
              <w:rPr>
                <w:rFonts w:hint="eastAsia"/>
              </w:rPr>
              <w:t>帕金森康复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9</w:t>
            </w:r>
          </w:p>
        </w:tc>
        <w:tc>
          <w:tcPr>
            <w:tcW w:w="3119" w:type="dxa"/>
          </w:tcPr>
          <w:p w:rsidR="003717A0" w:rsidRDefault="003717A0">
            <w:pPr>
              <w:ind w:firstLineChars="53" w:firstLine="111"/>
            </w:pPr>
            <w:r>
              <w:rPr>
                <w:rFonts w:hint="eastAsia"/>
              </w:rPr>
              <w:t>老年性痴呆康复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10</w:t>
            </w:r>
          </w:p>
        </w:tc>
        <w:tc>
          <w:tcPr>
            <w:tcW w:w="3119" w:type="dxa"/>
          </w:tcPr>
          <w:p w:rsidR="003717A0" w:rsidRDefault="003717A0">
            <w:pPr>
              <w:ind w:firstLineChars="53" w:firstLine="111"/>
            </w:pPr>
            <w:r>
              <w:rPr>
                <w:rFonts w:hint="eastAsia"/>
              </w:rPr>
              <w:t>多发性硬化康复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11</w:t>
            </w:r>
          </w:p>
        </w:tc>
        <w:tc>
          <w:tcPr>
            <w:tcW w:w="3119" w:type="dxa"/>
          </w:tcPr>
          <w:p w:rsidR="003717A0" w:rsidRDefault="003717A0">
            <w:pPr>
              <w:ind w:firstLineChars="53" w:firstLine="111"/>
            </w:pPr>
            <w:r>
              <w:rPr>
                <w:rFonts w:hint="eastAsia"/>
              </w:rPr>
              <w:t>脊髓炎康复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12</w:t>
            </w:r>
          </w:p>
        </w:tc>
        <w:tc>
          <w:tcPr>
            <w:tcW w:w="3119" w:type="dxa"/>
          </w:tcPr>
          <w:p w:rsidR="003717A0" w:rsidRDefault="003717A0">
            <w:pPr>
              <w:ind w:firstLineChars="53" w:firstLine="111"/>
            </w:pPr>
            <w:r>
              <w:rPr>
                <w:rFonts w:hint="eastAsia"/>
              </w:rPr>
              <w:t>急性炎症性脱髓鞘性多发性神经病康复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13</w:t>
            </w:r>
          </w:p>
        </w:tc>
        <w:tc>
          <w:tcPr>
            <w:tcW w:w="3119" w:type="dxa"/>
          </w:tcPr>
          <w:p w:rsidR="003717A0" w:rsidRDefault="003717A0">
            <w:pPr>
              <w:ind w:firstLineChars="53" w:firstLine="111"/>
            </w:pPr>
            <w:r>
              <w:rPr>
                <w:rFonts w:hint="eastAsia"/>
              </w:rPr>
              <w:t>急性炎症性脱髓鞘性多发性神经病康复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14</w:t>
            </w:r>
          </w:p>
        </w:tc>
        <w:tc>
          <w:tcPr>
            <w:tcW w:w="3119" w:type="dxa"/>
          </w:tcPr>
          <w:p w:rsidR="003717A0" w:rsidRDefault="003717A0">
            <w:pPr>
              <w:ind w:firstLineChars="53" w:firstLine="111"/>
            </w:pPr>
            <w:r>
              <w:rPr>
                <w:rFonts w:hint="eastAsia"/>
              </w:rPr>
              <w:t>面神经炎康复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15</w:t>
            </w:r>
          </w:p>
        </w:tc>
        <w:tc>
          <w:tcPr>
            <w:tcW w:w="3119" w:type="dxa"/>
          </w:tcPr>
          <w:p w:rsidR="003717A0" w:rsidRDefault="003717A0">
            <w:pPr>
              <w:ind w:firstLineChars="53" w:firstLine="111"/>
            </w:pPr>
            <w:r>
              <w:rPr>
                <w:rFonts w:hint="eastAsia"/>
              </w:rPr>
              <w:t>癫痫康复</w:t>
            </w:r>
          </w:p>
        </w:tc>
        <w:tc>
          <w:tcPr>
            <w:tcW w:w="850" w:type="dxa"/>
            <w:vAlign w:val="center"/>
          </w:tcPr>
          <w:p w:rsidR="003717A0" w:rsidRDefault="003717A0">
            <w:pPr>
              <w:jc w:val="center"/>
            </w:pPr>
            <w:r>
              <w:t>3</w:t>
            </w:r>
          </w:p>
        </w:tc>
        <w:tc>
          <w:tcPr>
            <w:tcW w:w="3260" w:type="dxa"/>
          </w:tcPr>
          <w:p w:rsidR="003717A0" w:rsidRDefault="003717A0">
            <w:pPr>
              <w:jc w:val="left"/>
            </w:pPr>
          </w:p>
        </w:tc>
        <w:tc>
          <w:tcPr>
            <w:tcW w:w="851" w:type="dxa"/>
          </w:tcPr>
          <w:p w:rsidR="003717A0" w:rsidRDefault="003717A0"/>
        </w:tc>
      </w:tr>
      <w:tr w:rsidR="003717A0">
        <w:tc>
          <w:tcPr>
            <w:tcW w:w="817" w:type="dxa"/>
          </w:tcPr>
          <w:p w:rsidR="003717A0" w:rsidRDefault="003717A0">
            <w:pPr>
              <w:jc w:val="center"/>
            </w:pPr>
            <w:r>
              <w:t>16</w:t>
            </w:r>
          </w:p>
        </w:tc>
        <w:tc>
          <w:tcPr>
            <w:tcW w:w="3119" w:type="dxa"/>
          </w:tcPr>
          <w:p w:rsidR="003717A0" w:rsidRDefault="003717A0">
            <w:pPr>
              <w:ind w:firstLineChars="53" w:firstLine="111"/>
            </w:pPr>
            <w:r>
              <w:rPr>
                <w:rFonts w:hint="eastAsia"/>
              </w:rPr>
              <w:t>脑炎和脑膜炎康复</w:t>
            </w:r>
          </w:p>
        </w:tc>
        <w:tc>
          <w:tcPr>
            <w:tcW w:w="850" w:type="dxa"/>
            <w:vAlign w:val="center"/>
          </w:tcPr>
          <w:p w:rsidR="003717A0" w:rsidRDefault="003717A0">
            <w:pPr>
              <w:jc w:val="center"/>
            </w:pPr>
            <w: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pPr>
            <w:r>
              <w:t>17</w:t>
            </w:r>
          </w:p>
        </w:tc>
        <w:tc>
          <w:tcPr>
            <w:tcW w:w="3119" w:type="dxa"/>
          </w:tcPr>
          <w:p w:rsidR="003717A0" w:rsidRDefault="003717A0">
            <w:pPr>
              <w:ind w:firstLineChars="53" w:firstLine="111"/>
            </w:pPr>
            <w:r>
              <w:rPr>
                <w:rFonts w:hint="eastAsia"/>
              </w:rPr>
              <w:t>胶质瘤和脑膜瘤康复</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pPr>
            <w:r>
              <w:t>18</w:t>
            </w:r>
          </w:p>
        </w:tc>
        <w:tc>
          <w:tcPr>
            <w:tcW w:w="3119" w:type="dxa"/>
          </w:tcPr>
          <w:p w:rsidR="003717A0" w:rsidRDefault="003717A0">
            <w:pPr>
              <w:ind w:firstLineChars="53" w:firstLine="111"/>
            </w:pPr>
            <w:r>
              <w:rPr>
                <w:rFonts w:hint="eastAsia"/>
              </w:rPr>
              <w:t>神经系统常见疾病康复</w:t>
            </w:r>
          </w:p>
        </w:tc>
        <w:tc>
          <w:tcPr>
            <w:tcW w:w="850" w:type="dxa"/>
            <w:vAlign w:val="center"/>
          </w:tcPr>
          <w:p w:rsidR="003717A0" w:rsidRDefault="003717A0">
            <w:pPr>
              <w:jc w:val="center"/>
            </w:pPr>
            <w:r>
              <w:t>3</w:t>
            </w:r>
          </w:p>
        </w:tc>
        <w:tc>
          <w:tcPr>
            <w:tcW w:w="3260" w:type="dxa"/>
          </w:tcPr>
          <w:p w:rsidR="003717A0" w:rsidRDefault="003717A0"/>
        </w:tc>
        <w:tc>
          <w:tcPr>
            <w:tcW w:w="851" w:type="dxa"/>
          </w:tcPr>
          <w:p w:rsidR="003717A0" w:rsidRDefault="003717A0"/>
        </w:tc>
      </w:tr>
      <w:tr w:rsidR="003717A0">
        <w:tc>
          <w:tcPr>
            <w:tcW w:w="817" w:type="dxa"/>
          </w:tcPr>
          <w:p w:rsidR="003717A0" w:rsidRDefault="003717A0"/>
        </w:tc>
        <w:tc>
          <w:tcPr>
            <w:tcW w:w="3119" w:type="dxa"/>
          </w:tcPr>
          <w:p w:rsidR="003717A0" w:rsidRDefault="003717A0">
            <w:pPr>
              <w:ind w:firstLineChars="53" w:firstLine="111"/>
            </w:pPr>
            <w:r>
              <w:rPr>
                <w:rFonts w:hint="eastAsia"/>
              </w:rPr>
              <w:t>合计</w:t>
            </w:r>
          </w:p>
        </w:tc>
        <w:tc>
          <w:tcPr>
            <w:tcW w:w="850" w:type="dxa"/>
            <w:vAlign w:val="center"/>
          </w:tcPr>
          <w:p w:rsidR="003717A0" w:rsidRDefault="003717A0">
            <w:pPr>
              <w:jc w:val="center"/>
            </w:pPr>
            <w:r>
              <w:t>54</w:t>
            </w:r>
          </w:p>
        </w:tc>
        <w:tc>
          <w:tcPr>
            <w:tcW w:w="3260" w:type="dxa"/>
          </w:tcPr>
          <w:p w:rsidR="003717A0" w:rsidRDefault="003717A0"/>
        </w:tc>
        <w:tc>
          <w:tcPr>
            <w:tcW w:w="851" w:type="dxa"/>
          </w:tcPr>
          <w:p w:rsidR="003717A0" w:rsidRDefault="003717A0"/>
        </w:tc>
      </w:tr>
    </w:tbl>
    <w:p w:rsidR="003717A0" w:rsidRDefault="003717A0">
      <w:pPr>
        <w:spacing w:before="100" w:beforeAutospacing="1" w:after="100" w:afterAutospacing="1"/>
        <w:ind w:left="420"/>
        <w:rPr>
          <w:rFonts w:ascii="宋体"/>
          <w:szCs w:val="21"/>
        </w:rPr>
      </w:pPr>
    </w:p>
    <w:p w:rsidR="003000C6" w:rsidRDefault="003000C6">
      <w:pPr>
        <w:spacing w:before="100" w:beforeAutospacing="1" w:after="100" w:afterAutospacing="1"/>
        <w:ind w:left="420"/>
        <w:rPr>
          <w:rFonts w:ascii="宋体"/>
          <w:szCs w:val="21"/>
        </w:rPr>
      </w:pPr>
    </w:p>
    <w:p w:rsidR="003000C6" w:rsidRDefault="003000C6">
      <w:pPr>
        <w:spacing w:before="100" w:beforeAutospacing="1" w:after="100" w:afterAutospacing="1"/>
        <w:ind w:left="420"/>
        <w:rPr>
          <w:rFonts w:ascii="宋体"/>
          <w:szCs w:val="21"/>
        </w:rPr>
      </w:pP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lastRenderedPageBreak/>
        <w:t>五、教学设备和设施</w:t>
      </w:r>
    </w:p>
    <w:p w:rsidR="003717A0" w:rsidRDefault="003717A0">
      <w:pPr>
        <w:spacing w:before="100" w:beforeAutospacing="1" w:after="100" w:afterAutospacing="1"/>
        <w:ind w:firstLineChars="200" w:firstLine="420"/>
        <w:rPr>
          <w:rFonts w:ascii="宋体"/>
          <w:szCs w:val="21"/>
        </w:rPr>
      </w:pPr>
      <w:r>
        <w:rPr>
          <w:rFonts w:ascii="宋体" w:hAnsi="宋体" w:hint="eastAsia"/>
          <w:szCs w:val="21"/>
        </w:rPr>
        <w:t>课堂教学以大班上课为主，讲课按教学大纲进行讲课时要做到目地明确，层次分明，讲究教学方法，充分利用图表、幻灯、录相、多媒体等教学工具。</w:t>
      </w:r>
    </w:p>
    <w:p w:rsidR="003717A0" w:rsidRDefault="003717A0">
      <w:pPr>
        <w:adjustRightInd w:val="0"/>
        <w:snapToGrid w:val="0"/>
        <w:spacing w:line="360" w:lineRule="auto"/>
        <w:ind w:right="4" w:firstLineChars="200" w:firstLine="420"/>
      </w:pPr>
      <w:r>
        <w:rPr>
          <w:rFonts w:ascii="宋体" w:hAnsi="宋体" w:hint="eastAsia"/>
          <w:szCs w:val="21"/>
        </w:rPr>
        <w:t>在实习中，利用各种检查仪器和治疗工具示教，小组带教互动以学生动手学习操作为主，结合对病人治疗进行必要的重点讲解，以巩固和深化课堂所讲授的知识。</w:t>
      </w:r>
      <w:r>
        <w:rPr>
          <w:rFonts w:hint="eastAsia"/>
        </w:rPr>
        <w:t>本课程考试采用闭卷考核方法，时间为</w:t>
      </w:r>
      <w:r>
        <w:t xml:space="preserve">2 </w:t>
      </w:r>
      <w:r>
        <w:rPr>
          <w:rFonts w:hint="eastAsia"/>
        </w:rPr>
        <w:t>小时。</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六、课程考核与评估</w:t>
      </w:r>
    </w:p>
    <w:p w:rsidR="003717A0" w:rsidRDefault="003717A0">
      <w:pPr>
        <w:adjustRightInd w:val="0"/>
        <w:snapToGrid w:val="0"/>
        <w:spacing w:line="360" w:lineRule="auto"/>
        <w:ind w:right="4" w:firstLineChars="200" w:firstLine="420"/>
      </w:pPr>
      <w:r>
        <w:rPr>
          <w:rFonts w:hint="eastAsia"/>
        </w:rPr>
        <w:t>期末考试成绩占总成绩的</w:t>
      </w:r>
      <w:r>
        <w:t>100%</w:t>
      </w:r>
      <w:r>
        <w:rPr>
          <w:rFonts w:hint="eastAsia"/>
        </w:rPr>
        <w:t>。</w:t>
      </w:r>
    </w:p>
    <w:p w:rsidR="003717A0" w:rsidRDefault="003717A0">
      <w:pPr>
        <w:adjustRightInd w:val="0"/>
        <w:snapToGrid w:val="0"/>
        <w:spacing w:line="360" w:lineRule="auto"/>
        <w:ind w:right="4" w:firstLineChars="200" w:firstLine="420"/>
      </w:pPr>
      <w:r>
        <w:rPr>
          <w:rFonts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pStyle w:val="a7"/>
        <w:rPr>
          <w:rFonts w:ascii="宋体"/>
          <w:szCs w:val="21"/>
        </w:rPr>
      </w:pP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七、附录</w:t>
      </w:r>
    </w:p>
    <w:p w:rsidR="003717A0" w:rsidRDefault="003717A0">
      <w:pPr>
        <w:pStyle w:val="a7"/>
        <w:rPr>
          <w:rFonts w:ascii="宋体"/>
          <w:szCs w:val="21"/>
        </w:rPr>
      </w:pPr>
      <w:r>
        <w:rPr>
          <w:rFonts w:ascii="宋体" w:hAnsi="宋体" w:hint="eastAsia"/>
          <w:szCs w:val="21"/>
        </w:rPr>
        <w:t>理论教材：《神经康复学》人民卫士出版社</w:t>
      </w:r>
      <w:r>
        <w:rPr>
          <w:rFonts w:ascii="宋体" w:hAnsi="宋体"/>
          <w:szCs w:val="21"/>
        </w:rPr>
        <w:t xml:space="preserve"> </w:t>
      </w:r>
      <w:r>
        <w:rPr>
          <w:rFonts w:ascii="宋体" w:hAnsi="宋体" w:hint="eastAsia"/>
          <w:szCs w:val="21"/>
        </w:rPr>
        <w:t>第二版</w:t>
      </w:r>
      <w:r>
        <w:rPr>
          <w:rFonts w:ascii="宋体" w:hAnsi="宋体"/>
          <w:szCs w:val="21"/>
        </w:rPr>
        <w:t xml:space="preserve"> </w:t>
      </w:r>
      <w:r>
        <w:rPr>
          <w:rFonts w:ascii="宋体" w:hAnsi="宋体" w:hint="eastAsia"/>
          <w:szCs w:val="21"/>
        </w:rPr>
        <w:t>主编</w:t>
      </w:r>
      <w:r>
        <w:rPr>
          <w:rFonts w:ascii="宋体" w:hAnsi="宋体"/>
          <w:szCs w:val="21"/>
        </w:rPr>
        <w:t>:</w:t>
      </w:r>
      <w:r>
        <w:rPr>
          <w:rFonts w:ascii="宋体" w:hAnsi="宋体" w:hint="eastAsia"/>
          <w:szCs w:val="21"/>
        </w:rPr>
        <w:t>倪朝明</w:t>
      </w:r>
      <w:r>
        <w:rPr>
          <w:rFonts w:ascii="宋体" w:hAnsi="宋体"/>
          <w:szCs w:val="21"/>
        </w:rPr>
        <w:t xml:space="preserve"> </w:t>
      </w:r>
    </w:p>
    <w:p w:rsidR="003717A0" w:rsidRDefault="003717A0">
      <w:pPr>
        <w:pStyle w:val="a7"/>
        <w:rPr>
          <w:rFonts w:ascii="宋体"/>
          <w:szCs w:val="21"/>
        </w:rPr>
      </w:pPr>
      <w:r>
        <w:rPr>
          <w:rFonts w:ascii="宋体" w:hAnsi="宋体" w:hint="eastAsia"/>
          <w:szCs w:val="21"/>
        </w:rPr>
        <w:t>实验教材：《神经康复学》人民卫士出版社</w:t>
      </w:r>
      <w:r>
        <w:rPr>
          <w:rFonts w:ascii="宋体" w:hAnsi="宋体"/>
          <w:szCs w:val="21"/>
        </w:rPr>
        <w:t xml:space="preserve"> </w:t>
      </w:r>
      <w:r>
        <w:rPr>
          <w:rFonts w:ascii="宋体" w:hAnsi="宋体" w:hint="eastAsia"/>
          <w:szCs w:val="21"/>
        </w:rPr>
        <w:t>第二版</w:t>
      </w:r>
      <w:r>
        <w:rPr>
          <w:rFonts w:ascii="宋体" w:hAnsi="宋体"/>
          <w:szCs w:val="21"/>
        </w:rPr>
        <w:t xml:space="preserve"> </w:t>
      </w:r>
      <w:r>
        <w:rPr>
          <w:rFonts w:ascii="宋体" w:hAnsi="宋体" w:hint="eastAsia"/>
          <w:szCs w:val="21"/>
        </w:rPr>
        <w:t>主编</w:t>
      </w:r>
      <w:r>
        <w:rPr>
          <w:rFonts w:ascii="宋体" w:hAnsi="宋体"/>
          <w:szCs w:val="21"/>
        </w:rPr>
        <w:t xml:space="preserve">: </w:t>
      </w:r>
      <w:r>
        <w:rPr>
          <w:rFonts w:ascii="宋体" w:hAnsi="宋体" w:hint="eastAsia"/>
          <w:szCs w:val="21"/>
        </w:rPr>
        <w:t>倪朝明</w:t>
      </w:r>
    </w:p>
    <w:p w:rsidR="003717A0" w:rsidRDefault="003717A0">
      <w:pPr>
        <w:pStyle w:val="a7"/>
        <w:rPr>
          <w:rFonts w:ascii="宋体"/>
          <w:szCs w:val="21"/>
        </w:rPr>
      </w:pPr>
      <w:r>
        <w:rPr>
          <w:rFonts w:ascii="宋体" w:hAnsi="宋体" w:hint="eastAsia"/>
          <w:szCs w:val="21"/>
        </w:rPr>
        <w:t>主要参考书：</w:t>
      </w:r>
      <w:r>
        <w:rPr>
          <w:rFonts w:ascii="宋体" w:hAnsi="宋体"/>
          <w:szCs w:val="21"/>
        </w:rPr>
        <w:t xml:space="preserve">   </w:t>
      </w:r>
      <w:r>
        <w:rPr>
          <w:rFonts w:ascii="宋体" w:hAnsi="宋体" w:hint="eastAsia"/>
          <w:szCs w:val="21"/>
        </w:rPr>
        <w:t>王茂斌主编</w:t>
      </w:r>
      <w:r>
        <w:rPr>
          <w:rFonts w:ascii="宋体" w:hAnsi="宋体"/>
          <w:szCs w:val="21"/>
        </w:rPr>
        <w:t xml:space="preserve">  </w:t>
      </w:r>
      <w:r>
        <w:rPr>
          <w:rFonts w:ascii="宋体" w:hAnsi="宋体" w:hint="eastAsia"/>
          <w:szCs w:val="21"/>
        </w:rPr>
        <w:t>《神经康复学》</w:t>
      </w:r>
      <w:r>
        <w:rPr>
          <w:rFonts w:ascii="宋体" w:hAnsi="宋体"/>
          <w:szCs w:val="21"/>
        </w:rPr>
        <w:t xml:space="preserve"> </w:t>
      </w:r>
      <w:r>
        <w:rPr>
          <w:rFonts w:ascii="宋体" w:hAnsi="宋体" w:hint="eastAsia"/>
          <w:szCs w:val="21"/>
        </w:rPr>
        <w:t>人民卫生出版社</w:t>
      </w:r>
      <w:r>
        <w:rPr>
          <w:rFonts w:ascii="宋体" w:hAnsi="宋体"/>
          <w:szCs w:val="21"/>
        </w:rPr>
        <w:t xml:space="preserve"> 2009</w:t>
      </w:r>
      <w:r>
        <w:rPr>
          <w:rFonts w:ascii="宋体" w:hAnsi="宋体" w:hint="eastAsia"/>
          <w:szCs w:val="21"/>
        </w:rPr>
        <w:t>年</w:t>
      </w:r>
    </w:p>
    <w:p w:rsidR="003717A0" w:rsidRDefault="003717A0">
      <w:pPr>
        <w:pStyle w:val="a7"/>
        <w:ind w:left="359" w:firstLineChars="750" w:firstLine="1575"/>
        <w:rPr>
          <w:rFonts w:ascii="宋体"/>
          <w:szCs w:val="21"/>
        </w:rPr>
      </w:pPr>
      <w:r>
        <w:rPr>
          <w:rFonts w:ascii="宋体" w:hAnsi="宋体" w:hint="eastAsia"/>
          <w:szCs w:val="21"/>
        </w:rPr>
        <w:t>（美）迪利萨（</w:t>
      </w:r>
      <w:r>
        <w:rPr>
          <w:rFonts w:ascii="宋体" w:hAnsi="宋体"/>
          <w:szCs w:val="21"/>
        </w:rPr>
        <w:t>Delisa,J.A.</w:t>
      </w:r>
      <w:r>
        <w:rPr>
          <w:rFonts w:ascii="宋体" w:hAnsi="宋体" w:hint="eastAsia"/>
          <w:szCs w:val="21"/>
        </w:rPr>
        <w:t>）著，南登昆，郭正成主译《康复医学：理论与实践》</w:t>
      </w:r>
      <w:r>
        <w:rPr>
          <w:rFonts w:ascii="宋体" w:hAnsi="宋体"/>
          <w:szCs w:val="21"/>
        </w:rPr>
        <w:t xml:space="preserve">    </w:t>
      </w:r>
      <w:r>
        <w:rPr>
          <w:rFonts w:ascii="宋体" w:hAnsi="宋体" w:hint="eastAsia"/>
          <w:szCs w:val="21"/>
        </w:rPr>
        <w:t>世界图书出版公司</w:t>
      </w:r>
      <w:r>
        <w:rPr>
          <w:rFonts w:ascii="宋体" w:hAnsi="宋体"/>
          <w:szCs w:val="21"/>
        </w:rPr>
        <w:t xml:space="preserve">  2004</w:t>
      </w:r>
      <w:r>
        <w:rPr>
          <w:rFonts w:ascii="宋体" w:hAnsi="宋体" w:hint="eastAsia"/>
          <w:szCs w:val="21"/>
        </w:rPr>
        <w:t>年</w:t>
      </w:r>
    </w:p>
    <w:p w:rsidR="003717A0" w:rsidRDefault="003717A0">
      <w:pPr>
        <w:pStyle w:val="a7"/>
      </w:pPr>
      <w:r>
        <w:t xml:space="preserve">           </w:t>
      </w:r>
    </w:p>
    <w:p w:rsidR="003717A0" w:rsidRDefault="003717A0">
      <w:pPr>
        <w:pStyle w:val="a7"/>
      </w:pPr>
    </w:p>
    <w:p w:rsidR="003717A0" w:rsidRPr="00566E4D" w:rsidRDefault="003717A0">
      <w:pPr>
        <w:ind w:firstLineChars="1700" w:firstLine="3570"/>
        <w:jc w:val="right"/>
        <w:rPr>
          <w:rFonts w:ascii="黑体" w:eastAsia="黑体" w:hAnsi="黑体" w:cs="Arial Unicode MS"/>
          <w:kern w:val="0"/>
          <w:szCs w:val="21"/>
        </w:rPr>
      </w:pPr>
      <w:r w:rsidRPr="00566E4D">
        <w:rPr>
          <w:rFonts w:ascii="黑体" w:eastAsia="黑体" w:hAnsi="黑体" w:cs="Arial Unicode MS" w:hint="eastAsia"/>
          <w:kern w:val="0"/>
          <w:szCs w:val="21"/>
        </w:rPr>
        <w:t>制定者：朱振杰</w:t>
      </w:r>
    </w:p>
    <w:p w:rsidR="003717A0" w:rsidRPr="00566E4D" w:rsidRDefault="003717A0">
      <w:pPr>
        <w:ind w:firstLineChars="1700" w:firstLine="3570"/>
        <w:jc w:val="right"/>
        <w:rPr>
          <w:rFonts w:ascii="黑体" w:eastAsia="黑体" w:hAnsi="黑体" w:cs="Arial Unicode MS"/>
          <w:kern w:val="0"/>
          <w:szCs w:val="21"/>
        </w:rPr>
      </w:pPr>
      <w:r w:rsidRPr="00566E4D">
        <w:rPr>
          <w:rFonts w:ascii="黑体" w:eastAsia="黑体" w:hAnsi="黑体" w:cs="Arial Unicode MS" w:hint="eastAsia"/>
          <w:kern w:val="0"/>
          <w:szCs w:val="21"/>
        </w:rPr>
        <w:t>审核者：沈光宇</w:t>
      </w:r>
    </w:p>
    <w:p w:rsidR="003717A0" w:rsidRPr="00566E4D" w:rsidRDefault="003717A0">
      <w:pPr>
        <w:rPr>
          <w:rFonts w:ascii="黑体" w:eastAsia="黑体" w:hAnsi="黑体"/>
          <w:bCs/>
          <w:szCs w:val="21"/>
        </w:rPr>
      </w:pPr>
      <w:r w:rsidRPr="00566E4D">
        <w:rPr>
          <w:rFonts w:ascii="黑体" w:eastAsia="黑体" w:hAnsi="黑体" w:cs="Arial Unicode MS"/>
          <w:kern w:val="0"/>
          <w:szCs w:val="21"/>
        </w:rPr>
        <w:t xml:space="preserve"> </w:t>
      </w: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一、适应对象</w:t>
      </w:r>
    </w:p>
    <w:p w:rsidR="003717A0" w:rsidRDefault="003717A0">
      <w:pPr>
        <w:numPr>
          <w:ilvl w:val="0"/>
          <w:numId w:val="493"/>
        </w:numPr>
        <w:adjustRightInd w:val="0"/>
        <w:snapToGrid w:val="0"/>
        <w:spacing w:line="360" w:lineRule="auto"/>
        <w:ind w:right="4" w:hanging="660"/>
      </w:pPr>
      <w:r>
        <w:rPr>
          <w:rFonts w:hint="eastAsia"/>
        </w:rPr>
        <w:t>修读完本课程规定内容的康复治疗专业的本科学生；</w:t>
      </w:r>
    </w:p>
    <w:p w:rsidR="003717A0" w:rsidRDefault="003717A0">
      <w:pPr>
        <w:numPr>
          <w:ilvl w:val="0"/>
          <w:numId w:val="493"/>
        </w:numPr>
        <w:adjustRightInd w:val="0"/>
        <w:snapToGrid w:val="0"/>
        <w:spacing w:line="360" w:lineRule="auto"/>
        <w:ind w:right="4" w:hanging="660"/>
      </w:pPr>
      <w:r>
        <w:rPr>
          <w:rFonts w:hint="eastAsia"/>
        </w:rPr>
        <w:t>提出并获准免修本课程、申请进行课程水平考核的康复治疗专业的本科学生。</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二、考核目的</w:t>
      </w:r>
    </w:p>
    <w:p w:rsidR="003717A0" w:rsidRDefault="003717A0">
      <w:pPr>
        <w:spacing w:before="100" w:beforeAutospacing="1" w:after="100" w:afterAutospacing="1"/>
        <w:ind w:leftChars="202" w:left="424" w:firstLineChars="200" w:firstLine="420"/>
        <w:rPr>
          <w:rFonts w:ascii="宋体"/>
          <w:szCs w:val="21"/>
        </w:rPr>
      </w:pPr>
      <w:r>
        <w:rPr>
          <w:rFonts w:ascii="宋体" w:hAnsi="宋体" w:hint="eastAsia"/>
          <w:szCs w:val="21"/>
        </w:rPr>
        <w:t>学习神经康复学的主要目的是要掌握各类神经系统疾患的临床特点、康复评定、康复治疗、康复结局和健康教育。如能运用常见神经系统疾病基本知识开展神经系统疾患所致的残疾进行康复预防、康复评定和康复治疗。</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期末闭卷理论考核和实验操作（神经系统常见病物理治疗）考核。</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四、课程考核成绩构成</w:t>
      </w:r>
    </w:p>
    <w:p w:rsidR="003717A0" w:rsidRDefault="003717A0">
      <w:pPr>
        <w:autoSpaceDE w:val="0"/>
        <w:autoSpaceDN w:val="0"/>
        <w:adjustRightInd w:val="0"/>
        <w:snapToGrid w:val="0"/>
        <w:spacing w:line="360" w:lineRule="auto"/>
        <w:ind w:firstLineChars="193" w:firstLine="405"/>
        <w:jc w:val="left"/>
        <w:rPr>
          <w:rFonts w:ascii="楷体_GB2312" w:eastAsia="楷体_GB2312"/>
          <w:sz w:val="24"/>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360" w:lineRule="auto"/>
        <w:jc w:val="left"/>
        <w:rPr>
          <w:rFonts w:eastAsia="黑体"/>
          <w:b/>
          <w:kern w:val="0"/>
          <w:sz w:val="24"/>
        </w:rPr>
      </w:pPr>
      <w:r>
        <w:rPr>
          <w:rFonts w:eastAsia="黑体" w:hint="eastAsia"/>
          <w:b/>
          <w:kern w:val="0"/>
          <w:sz w:val="24"/>
        </w:rPr>
        <w:t>五、考核内容与要求</w:t>
      </w:r>
    </w:p>
    <w:p w:rsidR="003717A0" w:rsidRDefault="003717A0">
      <w:pPr>
        <w:autoSpaceDE w:val="0"/>
        <w:autoSpaceDN w:val="0"/>
        <w:adjustRightInd w:val="0"/>
        <w:snapToGrid w:val="0"/>
        <w:spacing w:line="360" w:lineRule="auto"/>
        <w:ind w:firstLineChars="192" w:firstLine="424"/>
        <w:jc w:val="left"/>
        <w:rPr>
          <w:rFonts w:eastAsia="黑体"/>
          <w:b/>
          <w:kern w:val="0"/>
          <w:sz w:val="22"/>
        </w:rPr>
      </w:pPr>
      <w:r>
        <w:rPr>
          <w:rFonts w:eastAsia="黑体" w:hint="eastAsia"/>
          <w:b/>
          <w:kern w:val="0"/>
          <w:sz w:val="22"/>
        </w:rPr>
        <w:t>考核内容：</w:t>
      </w:r>
    </w:p>
    <w:p w:rsidR="003717A0" w:rsidRDefault="003717A0">
      <w:pPr>
        <w:adjustRightInd w:val="0"/>
        <w:snapToGrid w:val="0"/>
        <w:spacing w:line="500" w:lineRule="exact"/>
        <w:ind w:firstLineChars="250" w:firstLine="550"/>
        <w:rPr>
          <w:sz w:val="22"/>
        </w:rPr>
      </w:pPr>
      <w:r>
        <w:rPr>
          <w:rFonts w:hint="eastAsia"/>
          <w:sz w:val="22"/>
        </w:rPr>
        <w:t>神经康复的基本理论，中枢神经和周围神经常见疾病的临床特点，相关功能障碍的康复评定，以及神经系统疾患所致的残疾进行康复预防和康复治疗。</w:t>
      </w:r>
    </w:p>
    <w:p w:rsidR="003717A0" w:rsidRDefault="003717A0">
      <w:pPr>
        <w:autoSpaceDE w:val="0"/>
        <w:autoSpaceDN w:val="0"/>
        <w:adjustRightInd w:val="0"/>
        <w:snapToGrid w:val="0"/>
        <w:spacing w:line="360" w:lineRule="auto"/>
        <w:ind w:firstLineChars="192" w:firstLine="422"/>
        <w:jc w:val="left"/>
        <w:rPr>
          <w:rFonts w:ascii="宋体"/>
          <w:b/>
          <w:kern w:val="0"/>
          <w:szCs w:val="21"/>
        </w:rPr>
      </w:pPr>
      <w:r>
        <w:rPr>
          <w:sz w:val="22"/>
        </w:rPr>
        <w:t> 1. </w:t>
      </w:r>
    </w:p>
    <w:p w:rsidR="003717A0" w:rsidRDefault="003717A0">
      <w:pPr>
        <w:autoSpaceDE w:val="0"/>
        <w:autoSpaceDN w:val="0"/>
        <w:adjustRightInd w:val="0"/>
        <w:snapToGrid w:val="0"/>
        <w:spacing w:line="360" w:lineRule="auto"/>
        <w:ind w:firstLineChars="192" w:firstLine="424"/>
        <w:jc w:val="left"/>
        <w:rPr>
          <w:rFonts w:eastAsia="黑体"/>
          <w:b/>
          <w:kern w:val="0"/>
          <w:sz w:val="22"/>
        </w:rPr>
      </w:pPr>
      <w:r>
        <w:rPr>
          <w:rFonts w:eastAsia="黑体" w:hint="eastAsia"/>
          <w:b/>
          <w:kern w:val="0"/>
          <w:sz w:val="22"/>
        </w:rPr>
        <w:t>考核要求：</w:t>
      </w:r>
    </w:p>
    <w:p w:rsidR="003717A0" w:rsidRPr="00566E4D" w:rsidRDefault="003717A0" w:rsidP="00566E4D">
      <w:pPr>
        <w:spacing w:before="100" w:beforeAutospacing="1" w:after="100" w:afterAutospacing="1"/>
        <w:ind w:leftChars="202" w:left="424" w:firstLineChars="200" w:firstLine="420"/>
        <w:rPr>
          <w:rFonts w:ascii="宋体"/>
          <w:szCs w:val="21"/>
        </w:rPr>
      </w:pPr>
      <w:r>
        <w:rPr>
          <w:rFonts w:ascii="宋体" w:hAnsi="宋体" w:hint="eastAsia"/>
          <w:szCs w:val="21"/>
        </w:rPr>
        <w:t>学习神经康复学的主要目的是要掌握各类神经系统疾患的临床特点、康复评定、康复治疗、康复结局和健康教育。如能运用常见神经系统疾病基本知识开展神经系统疾患所致的残疾进行康复预防、康复评定和康复治疗。</w:t>
      </w:r>
    </w:p>
    <w:p w:rsidR="003717A0" w:rsidRDefault="003717A0">
      <w:pPr>
        <w:autoSpaceDE w:val="0"/>
        <w:autoSpaceDN w:val="0"/>
        <w:adjustRightInd w:val="0"/>
        <w:snapToGrid w:val="0"/>
        <w:spacing w:line="440" w:lineRule="exact"/>
        <w:jc w:val="left"/>
        <w:rPr>
          <w:rFonts w:eastAsia="黑体"/>
          <w:b/>
          <w:kern w:val="0"/>
          <w:sz w:val="24"/>
        </w:rPr>
      </w:pPr>
      <w:r>
        <w:rPr>
          <w:rFonts w:eastAsia="黑体" w:hint="eastAsia"/>
          <w:b/>
          <w:kern w:val="0"/>
          <w:sz w:val="24"/>
        </w:rPr>
        <w:t>六、样卷</w:t>
      </w:r>
    </w:p>
    <w:p w:rsidR="003717A0" w:rsidRDefault="003717A0">
      <w:pPr>
        <w:autoSpaceDE w:val="0"/>
        <w:autoSpaceDN w:val="0"/>
        <w:adjustRightInd w:val="0"/>
        <w:snapToGrid w:val="0"/>
        <w:spacing w:line="440" w:lineRule="exact"/>
        <w:jc w:val="center"/>
        <w:rPr>
          <w:rFonts w:eastAsia="黑体"/>
          <w:b/>
          <w:kern w:val="0"/>
          <w:sz w:val="24"/>
        </w:rPr>
      </w:pPr>
      <w:r>
        <w:rPr>
          <w:rFonts w:eastAsia="黑体" w:hint="eastAsia"/>
          <w:b/>
          <w:kern w:val="0"/>
          <w:sz w:val="24"/>
        </w:rPr>
        <w:t>神经康复学课程考试试题</w:t>
      </w:r>
    </w:p>
    <w:p w:rsidR="003717A0" w:rsidRDefault="003717A0">
      <w:pPr>
        <w:autoSpaceDE w:val="0"/>
        <w:autoSpaceDN w:val="0"/>
        <w:adjustRightInd w:val="0"/>
        <w:snapToGrid w:val="0"/>
        <w:spacing w:line="440" w:lineRule="exact"/>
        <w:jc w:val="center"/>
        <w:rPr>
          <w:kern w:val="0"/>
          <w:sz w:val="22"/>
        </w:rPr>
      </w:pPr>
      <w:r>
        <w:rPr>
          <w:kern w:val="0"/>
          <w:sz w:val="22"/>
          <w:u w:val="single"/>
        </w:rPr>
        <w:t xml:space="preserve">  </w:t>
      </w:r>
      <w:r>
        <w:rPr>
          <w:rFonts w:hint="eastAsia"/>
          <w:kern w:val="0"/>
          <w:sz w:val="22"/>
          <w:u w:val="single"/>
        </w:rPr>
        <w:t>ⅩⅩⅩⅩⅩ</w:t>
      </w:r>
      <w:r>
        <w:rPr>
          <w:kern w:val="0"/>
          <w:sz w:val="22"/>
          <w:u w:val="single"/>
        </w:rPr>
        <w:t>---</w:t>
      </w:r>
      <w:r>
        <w:rPr>
          <w:rFonts w:hint="eastAsia"/>
          <w:kern w:val="0"/>
          <w:sz w:val="22"/>
          <w:u w:val="single"/>
        </w:rPr>
        <w:t>ⅩⅩⅩ</w:t>
      </w:r>
      <w:r>
        <w:rPr>
          <w:kern w:val="0"/>
          <w:sz w:val="22"/>
          <w:u w:val="single"/>
        </w:rPr>
        <w:t xml:space="preserve"> </w:t>
      </w:r>
      <w:r>
        <w:rPr>
          <w:rFonts w:hint="eastAsia"/>
          <w:kern w:val="0"/>
          <w:sz w:val="22"/>
        </w:rPr>
        <w:t>学年</w:t>
      </w:r>
      <w:r>
        <w:rPr>
          <w:sz w:val="32"/>
          <w:u w:val="single"/>
        </w:rPr>
        <w:t xml:space="preserve"> </w:t>
      </w:r>
      <w:r>
        <w:rPr>
          <w:rFonts w:hint="eastAsia"/>
          <w:kern w:val="0"/>
          <w:sz w:val="22"/>
          <w:u w:val="single"/>
        </w:rPr>
        <w:t>ⅩⅩ</w:t>
      </w:r>
      <w:r>
        <w:rPr>
          <w:kern w:val="0"/>
          <w:sz w:val="22"/>
          <w:u w:val="single"/>
        </w:rPr>
        <w:t xml:space="preserve"> </w:t>
      </w:r>
      <w:r>
        <w:rPr>
          <w:rFonts w:hint="eastAsia"/>
          <w:kern w:val="0"/>
          <w:sz w:val="22"/>
        </w:rPr>
        <w:t>学期</w:t>
      </w:r>
      <w:r>
        <w:rPr>
          <w:sz w:val="32"/>
          <w:u w:val="single"/>
        </w:rPr>
        <w:t xml:space="preserve">  </w:t>
      </w:r>
      <w:r>
        <w:rPr>
          <w:rFonts w:hint="eastAsia"/>
          <w:kern w:val="0"/>
          <w:sz w:val="22"/>
          <w:u w:val="single"/>
        </w:rPr>
        <w:t>康复治疗学ⅩⅩⅩ</w:t>
      </w:r>
      <w:r>
        <w:rPr>
          <w:kern w:val="0"/>
          <w:sz w:val="22"/>
          <w:u w:val="single"/>
        </w:rPr>
        <w:t xml:space="preserve">  </w:t>
      </w:r>
      <w:r>
        <w:rPr>
          <w:rFonts w:hint="eastAsia"/>
          <w:kern w:val="0"/>
          <w:sz w:val="22"/>
        </w:rPr>
        <w:t>班级</w:t>
      </w:r>
    </w:p>
    <w:p w:rsidR="003717A0" w:rsidRDefault="003717A0">
      <w:pPr>
        <w:autoSpaceDE w:val="0"/>
        <w:autoSpaceDN w:val="0"/>
        <w:adjustRightInd w:val="0"/>
        <w:spacing w:line="440" w:lineRule="exact"/>
        <w:ind w:firstLineChars="193" w:firstLine="426"/>
        <w:jc w:val="center"/>
        <w:rPr>
          <w:b/>
          <w:kern w:val="0"/>
          <w:sz w:val="22"/>
        </w:rPr>
      </w:pPr>
      <w:r>
        <w:rPr>
          <w:rFonts w:hint="eastAsia"/>
          <w:b/>
          <w:kern w:val="0"/>
          <w:sz w:val="22"/>
        </w:rPr>
        <w:t>时间：</w:t>
      </w:r>
      <w:r>
        <w:rPr>
          <w:b/>
          <w:kern w:val="0"/>
          <w:sz w:val="22"/>
        </w:rPr>
        <w:t>120</w:t>
      </w:r>
      <w:r>
        <w:rPr>
          <w:rFonts w:hint="eastAsia"/>
          <w:b/>
          <w:kern w:val="0"/>
          <w:sz w:val="22"/>
        </w:rPr>
        <w:t>分钟</w:t>
      </w:r>
      <w:r>
        <w:rPr>
          <w:b/>
          <w:kern w:val="0"/>
          <w:sz w:val="22"/>
        </w:rPr>
        <w:t xml:space="preserve">     </w:t>
      </w:r>
      <w:r>
        <w:rPr>
          <w:rFonts w:hint="eastAsia"/>
          <w:b/>
          <w:kern w:val="0"/>
          <w:sz w:val="22"/>
        </w:rPr>
        <w:t>总分：</w:t>
      </w:r>
      <w:r>
        <w:rPr>
          <w:b/>
          <w:kern w:val="0"/>
          <w:sz w:val="22"/>
        </w:rPr>
        <w:t>100</w:t>
      </w:r>
      <w:r>
        <w:rPr>
          <w:rFonts w:hint="eastAsia"/>
          <w:b/>
          <w:kern w:val="0"/>
          <w:sz w:val="22"/>
        </w:rPr>
        <w:t>分</w:t>
      </w:r>
    </w:p>
    <w:p w:rsidR="003717A0" w:rsidRDefault="003717A0">
      <w:pPr>
        <w:spacing w:line="360" w:lineRule="exact"/>
        <w:rPr>
          <w:rFonts w:eastAsia="楷体_GB2312"/>
          <w:sz w:val="24"/>
        </w:rPr>
      </w:pPr>
      <w:r>
        <w:rPr>
          <w:rFonts w:eastAsia="楷体_GB2312" w:hint="eastAsia"/>
          <w:sz w:val="24"/>
        </w:rPr>
        <w:t>一、名词解释：（每题</w:t>
      </w:r>
      <w:r>
        <w:rPr>
          <w:rFonts w:eastAsia="楷体_GB2312"/>
          <w:sz w:val="24"/>
        </w:rPr>
        <w:t>3</w:t>
      </w:r>
      <w:r>
        <w:rPr>
          <w:rFonts w:eastAsia="楷体_GB2312" w:hint="eastAsia"/>
          <w:sz w:val="24"/>
        </w:rPr>
        <w:t>分，共</w:t>
      </w:r>
      <w:r>
        <w:rPr>
          <w:rFonts w:eastAsia="楷体_GB2312"/>
          <w:sz w:val="24"/>
        </w:rPr>
        <w:t>30</w:t>
      </w:r>
      <w:r>
        <w:rPr>
          <w:rFonts w:eastAsia="楷体_GB2312" w:hint="eastAsia"/>
          <w:sz w:val="24"/>
        </w:rPr>
        <w:t>分）</w:t>
      </w:r>
    </w:p>
    <w:p w:rsidR="003717A0" w:rsidRDefault="003717A0">
      <w:pPr>
        <w:spacing w:line="360" w:lineRule="exact"/>
        <w:rPr>
          <w:rFonts w:ascii="宋体"/>
          <w:szCs w:val="21"/>
        </w:rPr>
      </w:pPr>
      <w:r>
        <w:rPr>
          <w:rFonts w:eastAsia="楷体_GB2312"/>
          <w:sz w:val="24"/>
        </w:rPr>
        <w:t>1</w:t>
      </w:r>
      <w:r>
        <w:rPr>
          <w:rFonts w:eastAsia="楷体_GB2312" w:hint="eastAsia"/>
          <w:sz w:val="24"/>
        </w:rPr>
        <w:t>、</w:t>
      </w:r>
      <w:r>
        <w:rPr>
          <w:rFonts w:ascii="宋体" w:hAnsi="宋体" w:hint="eastAsia"/>
          <w:szCs w:val="21"/>
        </w:rPr>
        <w:t>桥式运动</w:t>
      </w:r>
    </w:p>
    <w:p w:rsidR="003717A0" w:rsidRDefault="003717A0">
      <w:pPr>
        <w:rPr>
          <w:rFonts w:ascii="宋体"/>
          <w:szCs w:val="21"/>
        </w:rPr>
      </w:pPr>
    </w:p>
    <w:p w:rsidR="003717A0" w:rsidRDefault="003717A0">
      <w:pPr>
        <w:rPr>
          <w:rFonts w:ascii="宋体"/>
          <w:szCs w:val="21"/>
        </w:rPr>
      </w:pPr>
    </w:p>
    <w:p w:rsidR="003717A0" w:rsidRDefault="003717A0">
      <w:pPr>
        <w:rPr>
          <w:rFonts w:ascii="宋体"/>
          <w:szCs w:val="21"/>
        </w:rPr>
      </w:pPr>
      <w:r>
        <w:rPr>
          <w:rFonts w:ascii="宋体" w:hAnsi="宋体"/>
          <w:szCs w:val="21"/>
        </w:rPr>
        <w:t>2</w:t>
      </w:r>
      <w:r>
        <w:rPr>
          <w:rFonts w:ascii="宋体" w:hAnsi="宋体" w:hint="eastAsia"/>
          <w:szCs w:val="21"/>
        </w:rPr>
        <w:t>、脑卒中</w:t>
      </w:r>
    </w:p>
    <w:p w:rsidR="003717A0" w:rsidRDefault="003717A0">
      <w:pPr>
        <w:rPr>
          <w:rFonts w:ascii="宋体"/>
          <w:szCs w:val="21"/>
        </w:rPr>
      </w:pPr>
    </w:p>
    <w:p w:rsidR="003717A0" w:rsidRDefault="003717A0">
      <w:pPr>
        <w:rPr>
          <w:rFonts w:ascii="宋体"/>
          <w:szCs w:val="21"/>
        </w:rPr>
      </w:pPr>
    </w:p>
    <w:p w:rsidR="003717A0" w:rsidRDefault="003717A0">
      <w:pPr>
        <w:rPr>
          <w:rFonts w:ascii="宋体"/>
          <w:szCs w:val="21"/>
        </w:rPr>
      </w:pPr>
      <w:r>
        <w:rPr>
          <w:rFonts w:ascii="宋体" w:hAnsi="宋体"/>
          <w:szCs w:val="21"/>
        </w:rPr>
        <w:lastRenderedPageBreak/>
        <w:t>3</w:t>
      </w:r>
      <w:r>
        <w:rPr>
          <w:rFonts w:ascii="宋体" w:hAnsi="宋体" w:hint="eastAsia"/>
          <w:szCs w:val="21"/>
        </w:rPr>
        <w:t>、联合反应</w:t>
      </w:r>
    </w:p>
    <w:p w:rsidR="003717A0" w:rsidRDefault="003717A0">
      <w:pPr>
        <w:rPr>
          <w:rFonts w:ascii="宋体"/>
          <w:szCs w:val="21"/>
        </w:rPr>
      </w:pPr>
    </w:p>
    <w:p w:rsidR="003717A0" w:rsidRDefault="003717A0">
      <w:pPr>
        <w:rPr>
          <w:rFonts w:ascii="宋体"/>
          <w:szCs w:val="21"/>
        </w:rPr>
      </w:pPr>
    </w:p>
    <w:p w:rsidR="003717A0" w:rsidRDefault="003717A0">
      <w:pPr>
        <w:rPr>
          <w:rFonts w:ascii="宋体"/>
          <w:szCs w:val="21"/>
        </w:rPr>
      </w:pPr>
      <w:r>
        <w:rPr>
          <w:rFonts w:ascii="宋体" w:hAnsi="宋体"/>
          <w:szCs w:val="21"/>
        </w:rPr>
        <w:t>4</w:t>
      </w:r>
      <w:r>
        <w:rPr>
          <w:rFonts w:ascii="宋体" w:hAnsi="宋体" w:hint="eastAsia"/>
          <w:szCs w:val="21"/>
        </w:rPr>
        <w:t>、肩</w:t>
      </w:r>
      <w:r>
        <w:rPr>
          <w:rFonts w:ascii="宋体"/>
          <w:szCs w:val="21"/>
        </w:rPr>
        <w:t>-</w:t>
      </w:r>
      <w:r>
        <w:rPr>
          <w:rFonts w:ascii="宋体" w:hAnsi="宋体" w:hint="eastAsia"/>
          <w:szCs w:val="21"/>
        </w:rPr>
        <w:t>手综合征</w:t>
      </w:r>
    </w:p>
    <w:p w:rsidR="003717A0" w:rsidRDefault="003717A0">
      <w:pPr>
        <w:rPr>
          <w:rFonts w:ascii="宋体"/>
          <w:szCs w:val="21"/>
        </w:rPr>
      </w:pPr>
    </w:p>
    <w:p w:rsidR="003717A0" w:rsidRDefault="003717A0">
      <w:pPr>
        <w:rPr>
          <w:rFonts w:ascii="宋体"/>
          <w:szCs w:val="21"/>
        </w:rPr>
      </w:pPr>
    </w:p>
    <w:p w:rsidR="003717A0" w:rsidRDefault="003717A0">
      <w:pPr>
        <w:spacing w:line="320" w:lineRule="exact"/>
        <w:rPr>
          <w:rFonts w:ascii="宋体"/>
          <w:szCs w:val="21"/>
        </w:rPr>
      </w:pPr>
      <w:r>
        <w:rPr>
          <w:rFonts w:ascii="宋体" w:hAnsi="宋体"/>
          <w:szCs w:val="21"/>
        </w:rPr>
        <w:t>5</w:t>
      </w:r>
      <w:r>
        <w:rPr>
          <w:rFonts w:ascii="宋体" w:hAnsi="宋体" w:hint="eastAsia"/>
          <w:szCs w:val="21"/>
        </w:rPr>
        <w:t>、闭合性脑外伤</w:t>
      </w:r>
    </w:p>
    <w:p w:rsidR="003717A0" w:rsidRDefault="003717A0">
      <w:pPr>
        <w:spacing w:line="320" w:lineRule="exact"/>
        <w:rPr>
          <w:rFonts w:ascii="宋体"/>
          <w:szCs w:val="21"/>
        </w:rPr>
      </w:pPr>
    </w:p>
    <w:p w:rsidR="003717A0" w:rsidRDefault="003717A0">
      <w:pPr>
        <w:spacing w:line="320" w:lineRule="exact"/>
        <w:rPr>
          <w:rFonts w:ascii="宋体"/>
          <w:szCs w:val="21"/>
        </w:rPr>
      </w:pPr>
    </w:p>
    <w:p w:rsidR="003717A0" w:rsidRDefault="003717A0">
      <w:pPr>
        <w:spacing w:line="320" w:lineRule="exact"/>
        <w:rPr>
          <w:rFonts w:ascii="宋体"/>
          <w:szCs w:val="21"/>
        </w:rPr>
      </w:pPr>
      <w:r>
        <w:rPr>
          <w:rFonts w:ascii="宋体" w:hAnsi="宋体"/>
          <w:szCs w:val="21"/>
        </w:rPr>
        <w:t>6</w:t>
      </w:r>
      <w:r>
        <w:rPr>
          <w:rFonts w:ascii="宋体" w:hAnsi="宋体" w:hint="eastAsia"/>
          <w:szCs w:val="21"/>
        </w:rPr>
        <w:t>、</w:t>
      </w:r>
      <w:r>
        <w:rPr>
          <w:rFonts w:ascii="宋体" w:hAnsi="宋体"/>
          <w:szCs w:val="21"/>
        </w:rPr>
        <w:t>Gerstmann</w:t>
      </w:r>
      <w:r>
        <w:rPr>
          <w:rFonts w:ascii="宋体" w:hAnsi="宋体" w:hint="eastAsia"/>
          <w:szCs w:val="21"/>
        </w:rPr>
        <w:t>综合征</w:t>
      </w:r>
    </w:p>
    <w:p w:rsidR="003717A0" w:rsidRDefault="003717A0">
      <w:pPr>
        <w:spacing w:line="320" w:lineRule="exact"/>
        <w:rPr>
          <w:rFonts w:ascii="宋体"/>
          <w:szCs w:val="21"/>
        </w:rPr>
      </w:pPr>
    </w:p>
    <w:p w:rsidR="003717A0" w:rsidRDefault="003717A0">
      <w:pPr>
        <w:spacing w:line="320" w:lineRule="exact"/>
        <w:rPr>
          <w:rFonts w:ascii="宋体"/>
          <w:szCs w:val="21"/>
        </w:rPr>
      </w:pPr>
    </w:p>
    <w:p w:rsidR="003717A0" w:rsidRDefault="003717A0">
      <w:pPr>
        <w:spacing w:line="320" w:lineRule="exact"/>
        <w:rPr>
          <w:rFonts w:ascii="宋体"/>
          <w:szCs w:val="21"/>
        </w:rPr>
      </w:pPr>
      <w:r>
        <w:rPr>
          <w:rFonts w:ascii="宋体" w:hAnsi="宋体"/>
          <w:szCs w:val="21"/>
        </w:rPr>
        <w:t>7</w:t>
      </w:r>
      <w:r>
        <w:rPr>
          <w:rFonts w:ascii="宋体" w:hAnsi="宋体" w:hint="eastAsia"/>
          <w:szCs w:val="21"/>
        </w:rPr>
        <w:t>、脑瘫</w:t>
      </w:r>
    </w:p>
    <w:p w:rsidR="003717A0" w:rsidRDefault="003717A0">
      <w:pPr>
        <w:rPr>
          <w:rFonts w:ascii="宋体"/>
          <w:szCs w:val="21"/>
        </w:rPr>
      </w:pPr>
    </w:p>
    <w:p w:rsidR="003717A0" w:rsidRDefault="003717A0">
      <w:pPr>
        <w:rPr>
          <w:rFonts w:ascii="宋体"/>
          <w:szCs w:val="21"/>
        </w:rPr>
      </w:pPr>
    </w:p>
    <w:p w:rsidR="003717A0" w:rsidRDefault="003717A0">
      <w:pPr>
        <w:rPr>
          <w:rFonts w:ascii="宋体"/>
          <w:szCs w:val="21"/>
        </w:rPr>
      </w:pPr>
      <w:r>
        <w:rPr>
          <w:rFonts w:ascii="宋体" w:hAnsi="宋体" w:cs="宋体"/>
          <w:szCs w:val="21"/>
        </w:rPr>
        <w:t>8</w:t>
      </w:r>
      <w:r>
        <w:rPr>
          <w:rFonts w:ascii="宋体" w:hAnsi="宋体" w:cs="宋体" w:hint="eastAsia"/>
          <w:szCs w:val="21"/>
        </w:rPr>
        <w:t>、</w:t>
      </w:r>
      <w:r>
        <w:rPr>
          <w:rFonts w:ascii="宋体" w:hAnsi="宋体" w:hint="eastAsia"/>
          <w:szCs w:val="21"/>
        </w:rPr>
        <w:t>关键点</w:t>
      </w:r>
    </w:p>
    <w:p w:rsidR="003717A0" w:rsidRDefault="003717A0">
      <w:pPr>
        <w:rPr>
          <w:rFonts w:ascii="宋体" w:cs="宋体"/>
          <w:szCs w:val="21"/>
        </w:rPr>
      </w:pPr>
    </w:p>
    <w:p w:rsidR="003717A0" w:rsidRDefault="003717A0">
      <w:pPr>
        <w:rPr>
          <w:rFonts w:ascii="宋体" w:cs="宋体"/>
          <w:szCs w:val="21"/>
        </w:rPr>
      </w:pPr>
    </w:p>
    <w:p w:rsidR="003717A0" w:rsidRDefault="003717A0">
      <w:pPr>
        <w:rPr>
          <w:rFonts w:ascii="宋体" w:cs="宋体"/>
          <w:szCs w:val="21"/>
        </w:rPr>
      </w:pPr>
      <w:r>
        <w:rPr>
          <w:rFonts w:ascii="宋体" w:hAnsi="宋体" w:cs="宋体"/>
          <w:szCs w:val="21"/>
        </w:rPr>
        <w:t>9</w:t>
      </w:r>
      <w:r>
        <w:rPr>
          <w:rFonts w:ascii="宋体" w:hAnsi="宋体" w:cs="宋体" w:hint="eastAsia"/>
          <w:szCs w:val="21"/>
        </w:rPr>
        <w:t>、</w:t>
      </w:r>
      <w:r>
        <w:rPr>
          <w:rFonts w:ascii="宋体" w:hAnsi="宋体"/>
          <w:szCs w:val="21"/>
        </w:rPr>
        <w:t>Vojta</w:t>
      </w:r>
      <w:r>
        <w:rPr>
          <w:rFonts w:ascii="宋体" w:hAnsi="宋体" w:hint="eastAsia"/>
          <w:szCs w:val="21"/>
        </w:rPr>
        <w:t>疗法</w:t>
      </w:r>
    </w:p>
    <w:p w:rsidR="003717A0" w:rsidRDefault="003717A0">
      <w:pPr>
        <w:rPr>
          <w:rFonts w:ascii="宋体" w:cs="宋体"/>
          <w:szCs w:val="21"/>
        </w:rPr>
      </w:pPr>
    </w:p>
    <w:p w:rsidR="003717A0" w:rsidRDefault="003717A0">
      <w:pPr>
        <w:rPr>
          <w:rFonts w:ascii="宋体" w:cs="宋体"/>
          <w:szCs w:val="21"/>
        </w:rPr>
      </w:pPr>
    </w:p>
    <w:p w:rsidR="003717A0" w:rsidRDefault="003717A0">
      <w:pPr>
        <w:rPr>
          <w:rFonts w:ascii="宋体"/>
          <w:szCs w:val="21"/>
        </w:rPr>
      </w:pPr>
      <w:r>
        <w:rPr>
          <w:rFonts w:ascii="宋体" w:hAnsi="宋体" w:cs="宋体"/>
          <w:szCs w:val="21"/>
        </w:rPr>
        <w:t>10</w:t>
      </w:r>
      <w:r>
        <w:rPr>
          <w:rFonts w:ascii="宋体" w:hAnsi="宋体" w:cs="宋体" w:hint="eastAsia"/>
          <w:szCs w:val="21"/>
        </w:rPr>
        <w:t>、</w:t>
      </w:r>
      <w:r>
        <w:rPr>
          <w:rFonts w:ascii="宋体" w:hAnsi="宋体"/>
          <w:szCs w:val="21"/>
        </w:rPr>
        <w:t>Hunt</w:t>
      </w:r>
      <w:r>
        <w:rPr>
          <w:rFonts w:ascii="宋体" w:hAnsi="宋体" w:hint="eastAsia"/>
          <w:szCs w:val="21"/>
        </w:rPr>
        <w:t>综合征</w:t>
      </w:r>
    </w:p>
    <w:p w:rsidR="003717A0" w:rsidRDefault="003717A0">
      <w:pPr>
        <w:spacing w:line="380" w:lineRule="exact"/>
        <w:rPr>
          <w:rFonts w:eastAsia="楷体_GB2312"/>
          <w:sz w:val="24"/>
        </w:rPr>
      </w:pPr>
      <w:r>
        <w:rPr>
          <w:rFonts w:eastAsia="楷体_GB2312" w:hint="eastAsia"/>
          <w:b/>
          <w:sz w:val="24"/>
        </w:rPr>
        <w:t>二</w:t>
      </w:r>
      <w:r>
        <w:rPr>
          <w:rFonts w:hint="eastAsia"/>
          <w:b/>
          <w:sz w:val="24"/>
        </w:rPr>
        <w:t>、</w:t>
      </w:r>
      <w:r>
        <w:rPr>
          <w:rFonts w:eastAsia="楷体_GB2312" w:hint="eastAsia"/>
          <w:sz w:val="24"/>
        </w:rPr>
        <w:t>选择题：（</w:t>
      </w:r>
      <w:r>
        <w:rPr>
          <w:rFonts w:eastAsia="楷体_GB2312"/>
          <w:b/>
          <w:sz w:val="24"/>
        </w:rPr>
        <w:t>1-11</w:t>
      </w:r>
      <w:r>
        <w:rPr>
          <w:rFonts w:eastAsia="楷体_GB2312" w:hint="eastAsia"/>
          <w:b/>
          <w:sz w:val="24"/>
        </w:rPr>
        <w:t>题单选每题</w:t>
      </w:r>
      <w:r>
        <w:rPr>
          <w:rFonts w:eastAsia="楷体_GB2312"/>
          <w:b/>
          <w:sz w:val="24"/>
        </w:rPr>
        <w:t>1</w:t>
      </w:r>
      <w:r>
        <w:rPr>
          <w:rFonts w:eastAsia="楷体_GB2312" w:hint="eastAsia"/>
          <w:b/>
          <w:sz w:val="24"/>
        </w:rPr>
        <w:t>分，</w:t>
      </w:r>
      <w:r>
        <w:rPr>
          <w:rFonts w:eastAsia="楷体_GB2312"/>
          <w:b/>
          <w:sz w:val="24"/>
        </w:rPr>
        <w:t>12-17</w:t>
      </w:r>
      <w:r>
        <w:rPr>
          <w:rFonts w:eastAsia="楷体_GB2312" w:hint="eastAsia"/>
          <w:b/>
          <w:sz w:val="24"/>
        </w:rPr>
        <w:t>题多选每题</w:t>
      </w:r>
      <w:r>
        <w:rPr>
          <w:rFonts w:eastAsia="楷体_GB2312"/>
          <w:b/>
          <w:sz w:val="24"/>
        </w:rPr>
        <w:t>2</w:t>
      </w:r>
      <w:r>
        <w:rPr>
          <w:rFonts w:eastAsia="楷体_GB2312" w:hint="eastAsia"/>
          <w:b/>
          <w:sz w:val="24"/>
        </w:rPr>
        <w:t>分（错答、漏答、多答、不答均不得分</w:t>
      </w:r>
      <w:r>
        <w:rPr>
          <w:rFonts w:eastAsia="楷体_GB2312" w:hint="eastAsia"/>
          <w:sz w:val="24"/>
        </w:rPr>
        <w:t>），共</w:t>
      </w:r>
      <w:r>
        <w:rPr>
          <w:rFonts w:eastAsia="楷体_GB2312"/>
          <w:sz w:val="24"/>
        </w:rPr>
        <w:t>23</w:t>
      </w:r>
      <w:r>
        <w:rPr>
          <w:rFonts w:eastAsia="楷体_GB2312" w:hint="eastAsia"/>
          <w:sz w:val="24"/>
        </w:rPr>
        <w:t>分）</w:t>
      </w:r>
    </w:p>
    <w:p w:rsidR="003717A0" w:rsidRDefault="003717A0">
      <w:pPr>
        <w:spacing w:line="380" w:lineRule="exact"/>
        <w:rPr>
          <w:rFonts w:ascii="宋体"/>
          <w:szCs w:val="21"/>
        </w:rPr>
      </w:pPr>
      <w:r>
        <w:rPr>
          <w:rFonts w:ascii="宋体" w:hAnsi="宋体"/>
          <w:szCs w:val="21"/>
        </w:rPr>
        <w:t>1</w:t>
      </w:r>
      <w:r>
        <w:rPr>
          <w:rFonts w:ascii="宋体" w:hAnsi="宋体" w:hint="eastAsia"/>
          <w:szCs w:val="21"/>
        </w:rPr>
        <w:t>、下列关于神经康复学叙述正确的是：（</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．遵从纯生物医学模式</w:t>
      </w:r>
    </w:p>
    <w:p w:rsidR="003717A0" w:rsidRDefault="003717A0">
      <w:pPr>
        <w:spacing w:line="380" w:lineRule="exact"/>
        <w:rPr>
          <w:rFonts w:ascii="宋体"/>
          <w:szCs w:val="21"/>
        </w:rPr>
      </w:pPr>
      <w:r>
        <w:rPr>
          <w:rFonts w:ascii="宋体" w:hAnsi="宋体"/>
          <w:szCs w:val="21"/>
        </w:rPr>
        <w:t>B</w:t>
      </w:r>
      <w:r>
        <w:rPr>
          <w:rFonts w:ascii="宋体" w:hAnsi="宋体" w:hint="eastAsia"/>
          <w:szCs w:val="21"/>
        </w:rPr>
        <w:t>．以人体疾病为中心采取相应的药物或手术治疗措施</w:t>
      </w:r>
    </w:p>
    <w:p w:rsidR="003717A0" w:rsidRDefault="003717A0">
      <w:pPr>
        <w:spacing w:line="380" w:lineRule="exact"/>
        <w:rPr>
          <w:rFonts w:ascii="宋体"/>
          <w:szCs w:val="21"/>
        </w:rPr>
      </w:pPr>
      <w:r>
        <w:rPr>
          <w:rFonts w:ascii="宋体" w:hAnsi="宋体"/>
          <w:szCs w:val="21"/>
        </w:rPr>
        <w:t>C</w:t>
      </w:r>
      <w:r>
        <w:rPr>
          <w:rFonts w:ascii="宋体" w:hAnsi="宋体" w:hint="eastAsia"/>
          <w:szCs w:val="21"/>
        </w:rPr>
        <w:t>．以人体功能障碍为中心主要采取功能训练措施</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．治疗的目的主要是为了逆转疾病的病理学过程</w:t>
      </w:r>
    </w:p>
    <w:p w:rsidR="003717A0" w:rsidRDefault="003717A0">
      <w:pPr>
        <w:spacing w:line="380" w:lineRule="exact"/>
        <w:rPr>
          <w:rFonts w:ascii="宋体"/>
          <w:szCs w:val="21"/>
        </w:rPr>
      </w:pPr>
      <w:r>
        <w:rPr>
          <w:rFonts w:ascii="宋体" w:hAnsi="宋体"/>
          <w:szCs w:val="21"/>
        </w:rPr>
        <w:t>E</w:t>
      </w:r>
      <w:r>
        <w:rPr>
          <w:rFonts w:ascii="宋体" w:hAnsi="宋体" w:hint="eastAsia"/>
          <w:szCs w:val="21"/>
        </w:rPr>
        <w:t>．与神经生理学和神经发育学联系不甚紧密</w:t>
      </w:r>
    </w:p>
    <w:p w:rsidR="003717A0" w:rsidRDefault="003717A0">
      <w:pPr>
        <w:spacing w:line="380" w:lineRule="exact"/>
        <w:rPr>
          <w:rFonts w:ascii="宋体"/>
          <w:szCs w:val="21"/>
        </w:rPr>
      </w:pPr>
      <w:r>
        <w:rPr>
          <w:rFonts w:ascii="宋体" w:hAnsi="宋体" w:cs="宋体"/>
          <w:szCs w:val="21"/>
        </w:rPr>
        <w:t>2</w:t>
      </w:r>
      <w:r>
        <w:rPr>
          <w:rFonts w:ascii="宋体" w:hAnsi="宋体" w:cs="宋体" w:hint="eastAsia"/>
          <w:szCs w:val="21"/>
        </w:rPr>
        <w:t>、</w:t>
      </w:r>
      <w:r>
        <w:rPr>
          <w:rFonts w:ascii="宋体" w:hAnsi="宋体" w:hint="eastAsia"/>
          <w:szCs w:val="21"/>
        </w:rPr>
        <w:t>下列哪项不是</w:t>
      </w:r>
      <w:r>
        <w:rPr>
          <w:rFonts w:ascii="宋体" w:hAnsi="宋体"/>
          <w:szCs w:val="21"/>
        </w:rPr>
        <w:t>Rood</w:t>
      </w:r>
      <w:r>
        <w:rPr>
          <w:rFonts w:ascii="宋体" w:hAnsi="宋体" w:hint="eastAsia"/>
          <w:szCs w:val="21"/>
        </w:rPr>
        <w:t>技术的四个理论原则：（</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．正确使用某种感觉刺激，可以使张力正常化和引出可取的肌肉反应，强调控制性的感觉输入</w:t>
      </w:r>
    </w:p>
    <w:p w:rsidR="003717A0" w:rsidRDefault="003717A0">
      <w:pPr>
        <w:spacing w:line="380" w:lineRule="exact"/>
        <w:rPr>
          <w:rFonts w:ascii="宋体"/>
          <w:szCs w:val="21"/>
        </w:rPr>
      </w:pPr>
      <w:r>
        <w:rPr>
          <w:rFonts w:ascii="宋体" w:hAnsi="宋体"/>
          <w:szCs w:val="21"/>
        </w:rPr>
        <w:t>B</w:t>
      </w:r>
      <w:r>
        <w:rPr>
          <w:rFonts w:ascii="宋体" w:hAnsi="宋体" w:hint="eastAsia"/>
          <w:szCs w:val="21"/>
        </w:rPr>
        <w:t>．运动能力的提高有待于运动学习</w:t>
      </w:r>
    </w:p>
    <w:p w:rsidR="003717A0" w:rsidRDefault="003717A0">
      <w:pPr>
        <w:spacing w:line="380" w:lineRule="exact"/>
        <w:rPr>
          <w:rFonts w:ascii="宋体"/>
          <w:szCs w:val="21"/>
        </w:rPr>
      </w:pPr>
      <w:r>
        <w:rPr>
          <w:rFonts w:ascii="宋体" w:hAnsi="宋体"/>
          <w:szCs w:val="21"/>
        </w:rPr>
        <w:t>C</w:t>
      </w:r>
      <w:r>
        <w:rPr>
          <w:rFonts w:ascii="宋体" w:hAnsi="宋体" w:hint="eastAsia"/>
          <w:szCs w:val="21"/>
        </w:rPr>
        <w:t>．感觉运动控制是以发育为基础的，治疗必须根据患者目前所处的发育水平，逐渐地到更高一级的水平</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．运动是有目的的活动，通过有目的性的活动引出无意识的、希望出现的活动</w:t>
      </w:r>
    </w:p>
    <w:p w:rsidR="003717A0" w:rsidRDefault="003717A0">
      <w:pPr>
        <w:spacing w:line="380" w:lineRule="exact"/>
        <w:rPr>
          <w:rFonts w:ascii="宋体"/>
          <w:szCs w:val="21"/>
        </w:rPr>
      </w:pPr>
      <w:r>
        <w:rPr>
          <w:rFonts w:ascii="宋体" w:hAnsi="宋体"/>
          <w:szCs w:val="21"/>
        </w:rPr>
        <w:t>E</w:t>
      </w:r>
      <w:r>
        <w:rPr>
          <w:rFonts w:ascii="宋体" w:hAnsi="宋体" w:hint="eastAsia"/>
          <w:szCs w:val="21"/>
        </w:rPr>
        <w:t>．重复，即练习是运动学习所必需的</w:t>
      </w:r>
    </w:p>
    <w:p w:rsidR="003717A0" w:rsidRDefault="003717A0">
      <w:pPr>
        <w:spacing w:line="380" w:lineRule="exact"/>
        <w:rPr>
          <w:rFonts w:ascii="宋体" w:cs="宋体"/>
          <w:szCs w:val="21"/>
        </w:rPr>
      </w:pPr>
      <w:r>
        <w:rPr>
          <w:rFonts w:ascii="宋体" w:hAnsi="宋体" w:cs="宋体"/>
          <w:szCs w:val="21"/>
        </w:rPr>
        <w:t>3</w:t>
      </w:r>
      <w:r>
        <w:rPr>
          <w:rFonts w:ascii="宋体" w:hAnsi="宋体" w:cs="宋体" w:hint="eastAsia"/>
          <w:szCs w:val="21"/>
        </w:rPr>
        <w:t>、查体发现患者对别人和自己讲的话均不理解，发音清晰，语调正常，但错词较多，难以理解。最可能的失语类型是：（</w:t>
      </w:r>
      <w:r>
        <w:rPr>
          <w:rFonts w:ascii="宋体" w:hAnsi="宋体" w:cs="宋体"/>
          <w:szCs w:val="21"/>
        </w:rPr>
        <w:t xml:space="preserve">       </w:t>
      </w:r>
      <w:r>
        <w:rPr>
          <w:rFonts w:ascii="宋体" w:hAnsi="宋体" w:cs="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w:t>
      </w:r>
      <w:r>
        <w:rPr>
          <w:rFonts w:ascii="宋体" w:hAnsi="宋体"/>
          <w:szCs w:val="21"/>
        </w:rPr>
        <w:t xml:space="preserve">Broca </w:t>
      </w:r>
      <w:r>
        <w:rPr>
          <w:rFonts w:ascii="宋体" w:hAnsi="宋体" w:hint="eastAsia"/>
          <w:szCs w:val="21"/>
        </w:rPr>
        <w:t>失语</w:t>
      </w:r>
      <w:r>
        <w:rPr>
          <w:rFonts w:ascii="宋体" w:hAnsi="宋体"/>
          <w:szCs w:val="21"/>
        </w:rPr>
        <w:t xml:space="preserve">       B</w:t>
      </w:r>
      <w:r>
        <w:rPr>
          <w:rFonts w:ascii="宋体" w:hAnsi="宋体" w:hint="eastAsia"/>
          <w:szCs w:val="21"/>
        </w:rPr>
        <w:t>．</w:t>
      </w:r>
      <w:r>
        <w:rPr>
          <w:rFonts w:ascii="宋体" w:hAnsi="宋体"/>
          <w:szCs w:val="21"/>
        </w:rPr>
        <w:t>Wernicke</w:t>
      </w:r>
      <w:r>
        <w:rPr>
          <w:rFonts w:ascii="宋体" w:hAnsi="宋体" w:hint="eastAsia"/>
          <w:szCs w:val="21"/>
        </w:rPr>
        <w:t>失语</w:t>
      </w:r>
      <w:r>
        <w:rPr>
          <w:rFonts w:ascii="宋体" w:hAnsi="宋体"/>
          <w:szCs w:val="21"/>
        </w:rPr>
        <w:t xml:space="preserve">       C</w:t>
      </w:r>
      <w:r>
        <w:rPr>
          <w:rFonts w:ascii="宋体" w:hAnsi="宋体" w:hint="eastAsia"/>
          <w:szCs w:val="21"/>
        </w:rPr>
        <w:t>．命名性失语</w:t>
      </w:r>
    </w:p>
    <w:p w:rsidR="003717A0" w:rsidRDefault="003717A0">
      <w:pPr>
        <w:spacing w:line="380" w:lineRule="exact"/>
        <w:rPr>
          <w:rFonts w:ascii="宋体"/>
          <w:szCs w:val="21"/>
        </w:rPr>
      </w:pPr>
      <w:r>
        <w:rPr>
          <w:rFonts w:ascii="宋体" w:hAnsi="宋体"/>
          <w:szCs w:val="21"/>
        </w:rPr>
        <w:lastRenderedPageBreak/>
        <w:t>D</w:t>
      </w:r>
      <w:r>
        <w:rPr>
          <w:rFonts w:ascii="宋体" w:hAnsi="宋体" w:hint="eastAsia"/>
          <w:szCs w:val="21"/>
        </w:rPr>
        <w:t>．传导性失语</w:t>
      </w:r>
      <w:r>
        <w:rPr>
          <w:rFonts w:ascii="宋体" w:hAnsi="宋体"/>
          <w:szCs w:val="21"/>
        </w:rPr>
        <w:t xml:space="preserve">       E</w:t>
      </w:r>
      <w:r>
        <w:rPr>
          <w:rFonts w:ascii="宋体" w:hAnsi="宋体" w:hint="eastAsia"/>
          <w:szCs w:val="21"/>
        </w:rPr>
        <w:t>．失读</w:t>
      </w:r>
    </w:p>
    <w:p w:rsidR="003717A0" w:rsidRDefault="003717A0">
      <w:pPr>
        <w:spacing w:line="380" w:lineRule="exact"/>
        <w:rPr>
          <w:rFonts w:ascii="宋体"/>
          <w:szCs w:val="21"/>
        </w:rPr>
      </w:pPr>
      <w:r>
        <w:rPr>
          <w:rFonts w:ascii="宋体" w:hAnsi="宋体"/>
          <w:szCs w:val="21"/>
        </w:rPr>
        <w:t>4</w:t>
      </w:r>
      <w:r>
        <w:rPr>
          <w:rFonts w:ascii="宋体" w:hAnsi="宋体" w:hint="eastAsia"/>
          <w:szCs w:val="21"/>
        </w:rPr>
        <w:t>、失用症是指：（</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．偏瘫肢体运动功能障碍</w:t>
      </w:r>
      <w:r>
        <w:rPr>
          <w:rFonts w:ascii="宋体" w:hAnsi="宋体"/>
          <w:szCs w:val="21"/>
        </w:rPr>
        <w:t xml:space="preserve">           B</w:t>
      </w:r>
      <w:r>
        <w:rPr>
          <w:rFonts w:ascii="宋体" w:hAnsi="宋体" w:hint="eastAsia"/>
          <w:szCs w:val="21"/>
        </w:rPr>
        <w:t>．偏瘫肢体感觉功能障碍</w:t>
      </w:r>
    </w:p>
    <w:p w:rsidR="003717A0" w:rsidRDefault="003717A0">
      <w:pPr>
        <w:spacing w:line="380" w:lineRule="exact"/>
        <w:ind w:left="420" w:hangingChars="200" w:hanging="420"/>
        <w:rPr>
          <w:rFonts w:ascii="宋体"/>
          <w:szCs w:val="21"/>
        </w:rPr>
      </w:pPr>
      <w:r>
        <w:rPr>
          <w:rFonts w:ascii="宋体" w:hAnsi="宋体"/>
          <w:szCs w:val="21"/>
        </w:rPr>
        <w:t>C</w:t>
      </w:r>
      <w:r>
        <w:rPr>
          <w:rFonts w:ascii="宋体" w:hAnsi="宋体" w:hint="eastAsia"/>
          <w:szCs w:val="21"/>
        </w:rPr>
        <w:t>．偏瘫患者的视觉忽略</w:t>
      </w:r>
      <w:r>
        <w:rPr>
          <w:rFonts w:ascii="宋体" w:hAnsi="宋体"/>
          <w:szCs w:val="21"/>
        </w:rPr>
        <w:t xml:space="preserve">             D</w:t>
      </w:r>
      <w:r>
        <w:rPr>
          <w:rFonts w:ascii="宋体" w:hAnsi="宋体" w:hint="eastAsia"/>
          <w:szCs w:val="21"/>
        </w:rPr>
        <w:t>．偏瘫患者的触觉障碍</w:t>
      </w:r>
    </w:p>
    <w:p w:rsidR="003717A0" w:rsidRDefault="003717A0">
      <w:pPr>
        <w:spacing w:line="380" w:lineRule="exact"/>
        <w:rPr>
          <w:rFonts w:ascii="宋体"/>
          <w:szCs w:val="21"/>
        </w:rPr>
      </w:pPr>
      <w:r>
        <w:rPr>
          <w:rFonts w:ascii="宋体" w:hAnsi="宋体"/>
          <w:szCs w:val="21"/>
        </w:rPr>
        <w:t>E</w:t>
      </w:r>
      <w:r>
        <w:rPr>
          <w:rFonts w:ascii="宋体" w:hAnsi="宋体" w:hint="eastAsia"/>
          <w:szCs w:val="21"/>
        </w:rPr>
        <w:t>．偏瘫患者认知障碍，不能计划、组织和执行随意运动</w:t>
      </w:r>
    </w:p>
    <w:p w:rsidR="003717A0" w:rsidRDefault="003717A0">
      <w:pPr>
        <w:spacing w:line="380" w:lineRule="exact"/>
        <w:rPr>
          <w:rFonts w:ascii="宋体"/>
          <w:szCs w:val="21"/>
        </w:rPr>
      </w:pPr>
      <w:r>
        <w:rPr>
          <w:rFonts w:ascii="宋体" w:hAnsi="宋体"/>
          <w:szCs w:val="21"/>
        </w:rPr>
        <w:t>5</w:t>
      </w:r>
      <w:r>
        <w:rPr>
          <w:rFonts w:ascii="宋体" w:hAnsi="宋体" w:hint="eastAsia"/>
          <w:szCs w:val="21"/>
        </w:rPr>
        <w:t>、</w:t>
      </w:r>
      <w:r>
        <w:rPr>
          <w:rFonts w:ascii="宋体" w:hAnsi="宋体"/>
          <w:szCs w:val="21"/>
        </w:rPr>
        <w:t>PQRST</w:t>
      </w:r>
      <w:r>
        <w:rPr>
          <w:rFonts w:ascii="宋体" w:hAnsi="宋体" w:hint="eastAsia"/>
          <w:szCs w:val="21"/>
        </w:rPr>
        <w:t>法是记忆障碍训练时常用的训练方法，以下叙述正确的是</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w:t>
      </w:r>
      <w:r>
        <w:rPr>
          <w:rFonts w:ascii="宋体" w:hAnsi="宋体"/>
          <w:szCs w:val="21"/>
        </w:rPr>
        <w:t>Q</w:t>
      </w:r>
      <w:r>
        <w:rPr>
          <w:rFonts w:ascii="宋体" w:hAnsi="宋体" w:hint="eastAsia"/>
          <w:szCs w:val="21"/>
        </w:rPr>
        <w:t>”是指预习要记住的内容</w:t>
      </w:r>
      <w:r>
        <w:rPr>
          <w:rFonts w:ascii="宋体" w:hAnsi="宋体"/>
          <w:szCs w:val="21"/>
        </w:rPr>
        <w:t xml:space="preserve">        B</w:t>
      </w:r>
      <w:r>
        <w:rPr>
          <w:rFonts w:ascii="宋体" w:hAnsi="宋体" w:hint="eastAsia"/>
          <w:szCs w:val="21"/>
        </w:rPr>
        <w:t>．“</w:t>
      </w:r>
      <w:r>
        <w:rPr>
          <w:rFonts w:ascii="宋体" w:hAnsi="宋体"/>
          <w:szCs w:val="21"/>
        </w:rPr>
        <w:t>P</w:t>
      </w:r>
      <w:r>
        <w:rPr>
          <w:rFonts w:ascii="宋体" w:hAnsi="宋体" w:hint="eastAsia"/>
          <w:szCs w:val="21"/>
        </w:rPr>
        <w:t>”是指为了回答问题而仔细阅读资料</w:t>
      </w:r>
    </w:p>
    <w:p w:rsidR="003717A0" w:rsidRDefault="003717A0">
      <w:pPr>
        <w:spacing w:line="380" w:lineRule="exact"/>
        <w:rPr>
          <w:rFonts w:ascii="宋体"/>
          <w:szCs w:val="21"/>
        </w:rPr>
      </w:pPr>
      <w:r>
        <w:rPr>
          <w:rFonts w:ascii="宋体" w:hAnsi="宋体"/>
          <w:szCs w:val="21"/>
        </w:rPr>
        <w:t>C</w:t>
      </w:r>
      <w:r>
        <w:rPr>
          <w:rFonts w:ascii="宋体" w:hAnsi="宋体" w:hint="eastAsia"/>
          <w:szCs w:val="21"/>
        </w:rPr>
        <w:t>．“</w:t>
      </w:r>
      <w:r>
        <w:rPr>
          <w:rFonts w:ascii="宋体" w:hAnsi="宋体"/>
          <w:szCs w:val="21"/>
        </w:rPr>
        <w:t>S</w:t>
      </w:r>
      <w:r>
        <w:rPr>
          <w:rFonts w:ascii="宋体" w:hAnsi="宋体" w:hint="eastAsia"/>
          <w:szCs w:val="21"/>
        </w:rPr>
        <w:t>”是指反复陈述阅读过的资料</w:t>
      </w:r>
      <w:r>
        <w:rPr>
          <w:rFonts w:ascii="宋体" w:hAnsi="宋体"/>
          <w:szCs w:val="21"/>
        </w:rPr>
        <w:t xml:space="preserve">      D</w:t>
      </w:r>
      <w:r>
        <w:rPr>
          <w:rFonts w:ascii="宋体" w:hAnsi="宋体" w:hint="eastAsia"/>
          <w:szCs w:val="21"/>
        </w:rPr>
        <w:t>．对于信息量较小的内容可采用此法</w:t>
      </w:r>
    </w:p>
    <w:p w:rsidR="003717A0" w:rsidRDefault="003717A0">
      <w:pPr>
        <w:spacing w:line="420" w:lineRule="exact"/>
        <w:rPr>
          <w:rFonts w:ascii="宋体"/>
          <w:szCs w:val="21"/>
        </w:rPr>
      </w:pPr>
      <w:r>
        <w:rPr>
          <w:rFonts w:ascii="宋体" w:hAnsi="宋体"/>
          <w:szCs w:val="21"/>
        </w:rPr>
        <w:t>E</w:t>
      </w:r>
      <w:r>
        <w:rPr>
          <w:rFonts w:ascii="宋体" w:hAnsi="宋体" w:hint="eastAsia"/>
          <w:szCs w:val="21"/>
        </w:rPr>
        <w:t>．“</w:t>
      </w:r>
      <w:r>
        <w:rPr>
          <w:rFonts w:ascii="宋体" w:hAnsi="宋体"/>
          <w:szCs w:val="21"/>
        </w:rPr>
        <w:t>R</w:t>
      </w:r>
      <w:r>
        <w:rPr>
          <w:rFonts w:ascii="宋体" w:hAnsi="宋体" w:hint="eastAsia"/>
          <w:szCs w:val="21"/>
        </w:rPr>
        <w:t>”是指用回答问题的方法来检验自己的记忆</w:t>
      </w:r>
    </w:p>
    <w:p w:rsidR="003717A0" w:rsidRDefault="003717A0">
      <w:pPr>
        <w:spacing w:line="380" w:lineRule="exact"/>
        <w:rPr>
          <w:rFonts w:ascii="宋体"/>
          <w:szCs w:val="21"/>
        </w:rPr>
      </w:pPr>
      <w:r>
        <w:rPr>
          <w:rFonts w:ascii="宋体" w:hAnsi="宋体"/>
          <w:szCs w:val="21"/>
        </w:rPr>
        <w:t>6</w:t>
      </w:r>
      <w:r>
        <w:rPr>
          <w:rFonts w:ascii="宋体" w:hAnsi="宋体" w:hint="eastAsia"/>
          <w:szCs w:val="21"/>
        </w:rPr>
        <w:t>、肩关节的保护措施，以下错误的是：（</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．仰卧位时，肩后垫一软枕</w:t>
      </w:r>
      <w:r>
        <w:rPr>
          <w:rFonts w:ascii="宋体" w:hAnsi="宋体"/>
          <w:szCs w:val="21"/>
        </w:rPr>
        <w:t xml:space="preserve">        B</w:t>
      </w:r>
      <w:r>
        <w:rPr>
          <w:rFonts w:ascii="宋体" w:hAnsi="宋体" w:hint="eastAsia"/>
          <w:szCs w:val="21"/>
        </w:rPr>
        <w:t>．患侧卧位时，患侧上肢充分前伸</w:t>
      </w:r>
    </w:p>
    <w:p w:rsidR="003717A0" w:rsidRDefault="003717A0">
      <w:pPr>
        <w:spacing w:line="380" w:lineRule="exact"/>
        <w:ind w:left="420" w:hangingChars="200" w:hanging="420"/>
        <w:rPr>
          <w:rFonts w:ascii="宋体"/>
          <w:szCs w:val="21"/>
        </w:rPr>
      </w:pPr>
      <w:r>
        <w:rPr>
          <w:rFonts w:ascii="宋体" w:hAnsi="宋体"/>
          <w:szCs w:val="21"/>
        </w:rPr>
        <w:t>C</w:t>
      </w:r>
      <w:r>
        <w:rPr>
          <w:rFonts w:ascii="宋体" w:hAnsi="宋体" w:hint="eastAsia"/>
          <w:szCs w:val="21"/>
        </w:rPr>
        <w:t>．翻身时，要</w:t>
      </w:r>
      <w:r>
        <w:rPr>
          <w:rFonts w:ascii="宋体" w:hAnsi="宋体"/>
          <w:szCs w:val="21"/>
        </w:rPr>
        <w:t>Bobath</w:t>
      </w:r>
      <w:r>
        <w:rPr>
          <w:rFonts w:ascii="宋体" w:hAnsi="宋体" w:hint="eastAsia"/>
          <w:szCs w:val="21"/>
        </w:rPr>
        <w:t>握手</w:t>
      </w:r>
      <w:r>
        <w:rPr>
          <w:rFonts w:ascii="宋体" w:hAnsi="宋体"/>
          <w:szCs w:val="21"/>
        </w:rPr>
        <w:t xml:space="preserve">         D</w:t>
      </w:r>
      <w:r>
        <w:rPr>
          <w:rFonts w:ascii="宋体" w:hAnsi="宋体" w:hint="eastAsia"/>
          <w:szCs w:val="21"/>
        </w:rPr>
        <w:t>．坐位时，要给肩部支持</w:t>
      </w:r>
    </w:p>
    <w:p w:rsidR="003717A0" w:rsidRDefault="003717A0">
      <w:pPr>
        <w:spacing w:line="380" w:lineRule="exact"/>
        <w:rPr>
          <w:rFonts w:ascii="宋体"/>
          <w:szCs w:val="21"/>
        </w:rPr>
      </w:pPr>
      <w:r>
        <w:rPr>
          <w:rFonts w:ascii="宋体" w:hAnsi="宋体"/>
          <w:szCs w:val="21"/>
        </w:rPr>
        <w:t>E</w:t>
      </w:r>
      <w:r>
        <w:rPr>
          <w:rFonts w:ascii="宋体" w:hAnsi="宋体" w:hint="eastAsia"/>
          <w:szCs w:val="21"/>
        </w:rPr>
        <w:t>．移动患者时，牵拉患者双侧上肢</w:t>
      </w:r>
    </w:p>
    <w:p w:rsidR="003717A0" w:rsidRDefault="003717A0">
      <w:pPr>
        <w:spacing w:line="380" w:lineRule="exact"/>
        <w:rPr>
          <w:rFonts w:ascii="宋体"/>
          <w:szCs w:val="21"/>
        </w:rPr>
      </w:pPr>
      <w:r>
        <w:rPr>
          <w:rFonts w:ascii="宋体" w:hAnsi="宋体"/>
          <w:szCs w:val="21"/>
        </w:rPr>
        <w:t>7</w:t>
      </w:r>
      <w:r>
        <w:rPr>
          <w:rFonts w:ascii="宋体" w:hAnsi="宋体" w:hint="eastAsia"/>
          <w:szCs w:val="21"/>
        </w:rPr>
        <w:t>、脑外伤患者的预后影响因素中，最重要的是：（</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．脑损伤的性质与部位</w:t>
      </w:r>
      <w:r>
        <w:rPr>
          <w:rFonts w:ascii="宋体" w:hAnsi="宋体"/>
          <w:szCs w:val="21"/>
        </w:rPr>
        <w:t xml:space="preserve">          B</w:t>
      </w:r>
      <w:r>
        <w:rPr>
          <w:rFonts w:ascii="宋体" w:hAnsi="宋体" w:hint="eastAsia"/>
          <w:szCs w:val="21"/>
        </w:rPr>
        <w:t>．损伤至接受治疗的时间</w:t>
      </w:r>
    </w:p>
    <w:p w:rsidR="003717A0" w:rsidRDefault="003717A0">
      <w:pPr>
        <w:spacing w:line="380" w:lineRule="exact"/>
        <w:rPr>
          <w:rFonts w:ascii="宋体"/>
          <w:szCs w:val="21"/>
        </w:rPr>
      </w:pPr>
      <w:r>
        <w:rPr>
          <w:rFonts w:ascii="宋体" w:hAnsi="宋体"/>
          <w:szCs w:val="21"/>
        </w:rPr>
        <w:t>C</w:t>
      </w:r>
      <w:r>
        <w:rPr>
          <w:rFonts w:ascii="宋体" w:hAnsi="宋体" w:hint="eastAsia"/>
          <w:szCs w:val="21"/>
        </w:rPr>
        <w:t>．脑损伤的严重程度</w:t>
      </w:r>
      <w:r>
        <w:rPr>
          <w:rFonts w:ascii="宋体" w:hAnsi="宋体"/>
          <w:szCs w:val="21"/>
        </w:rPr>
        <w:t xml:space="preserve">            D</w:t>
      </w:r>
      <w:r>
        <w:rPr>
          <w:rFonts w:ascii="宋体" w:hAnsi="宋体" w:hint="eastAsia"/>
          <w:szCs w:val="21"/>
        </w:rPr>
        <w:t>．康复治疗的技术水平</w:t>
      </w:r>
    </w:p>
    <w:p w:rsidR="003717A0" w:rsidRDefault="003717A0">
      <w:pPr>
        <w:pStyle w:val="a9"/>
        <w:spacing w:line="380" w:lineRule="exact"/>
        <w:rPr>
          <w:rFonts w:hAnsi="宋体"/>
        </w:rPr>
      </w:pPr>
      <w:r>
        <w:rPr>
          <w:rFonts w:hAnsi="宋体"/>
        </w:rPr>
        <w:t>E</w:t>
      </w:r>
      <w:r>
        <w:rPr>
          <w:rFonts w:hAnsi="宋体" w:hint="eastAsia"/>
        </w:rPr>
        <w:t>、患者的年龄、体质与配合程度</w:t>
      </w:r>
    </w:p>
    <w:p w:rsidR="003717A0" w:rsidRDefault="003717A0">
      <w:pPr>
        <w:spacing w:line="380" w:lineRule="exact"/>
        <w:rPr>
          <w:rFonts w:ascii="宋体"/>
          <w:szCs w:val="21"/>
        </w:rPr>
      </w:pPr>
      <w:r>
        <w:rPr>
          <w:rFonts w:ascii="宋体" w:hAnsi="宋体"/>
          <w:szCs w:val="21"/>
        </w:rPr>
        <w:t>8</w:t>
      </w:r>
      <w:r>
        <w:rPr>
          <w:rFonts w:ascii="宋体" w:hAnsi="宋体" w:hint="eastAsia"/>
          <w:szCs w:val="21"/>
        </w:rPr>
        <w:t>、脑瘫的主要表现为：（</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．中枢性运动障碍和姿势异常</w:t>
      </w:r>
      <w:r>
        <w:rPr>
          <w:rFonts w:ascii="宋体" w:hAnsi="宋体"/>
          <w:szCs w:val="21"/>
        </w:rPr>
        <w:t xml:space="preserve">    B</w:t>
      </w:r>
      <w:r>
        <w:rPr>
          <w:rFonts w:ascii="宋体" w:hAnsi="宋体" w:hint="eastAsia"/>
          <w:szCs w:val="21"/>
        </w:rPr>
        <w:t>．智力低下</w:t>
      </w:r>
    </w:p>
    <w:p w:rsidR="003717A0" w:rsidRDefault="003717A0">
      <w:pPr>
        <w:spacing w:line="380" w:lineRule="exact"/>
        <w:rPr>
          <w:rFonts w:ascii="宋体" w:cs="宋体"/>
          <w:szCs w:val="21"/>
        </w:rPr>
      </w:pPr>
      <w:r>
        <w:rPr>
          <w:rFonts w:ascii="宋体" w:hAnsi="宋体"/>
          <w:szCs w:val="21"/>
        </w:rPr>
        <w:t>C</w:t>
      </w:r>
      <w:r>
        <w:rPr>
          <w:rFonts w:ascii="宋体" w:hAnsi="宋体" w:hint="eastAsia"/>
          <w:szCs w:val="21"/>
        </w:rPr>
        <w:t>．惊厥</w:t>
      </w:r>
      <w:r>
        <w:rPr>
          <w:rFonts w:ascii="宋体" w:hAnsi="宋体"/>
          <w:szCs w:val="21"/>
        </w:rPr>
        <w:t xml:space="preserve">                        D</w:t>
      </w:r>
      <w:r>
        <w:rPr>
          <w:rFonts w:ascii="宋体" w:hAnsi="宋体" w:hint="eastAsia"/>
          <w:szCs w:val="21"/>
        </w:rPr>
        <w:t>．心理行为异常</w:t>
      </w:r>
      <w:r>
        <w:rPr>
          <w:rFonts w:ascii="宋体" w:hAnsi="宋体"/>
          <w:szCs w:val="21"/>
        </w:rPr>
        <w:t xml:space="preserve">        </w:t>
      </w:r>
      <w:r>
        <w:rPr>
          <w:rFonts w:ascii="宋体" w:hAnsi="宋体" w:cs="宋体"/>
          <w:szCs w:val="21"/>
        </w:rPr>
        <w:t>E</w:t>
      </w:r>
      <w:r>
        <w:rPr>
          <w:rFonts w:ascii="宋体" w:hAnsi="宋体" w:cs="宋体" w:hint="eastAsia"/>
          <w:szCs w:val="21"/>
        </w:rPr>
        <w:t>．</w:t>
      </w:r>
      <w:r>
        <w:rPr>
          <w:rFonts w:ascii="宋体" w:hAnsi="宋体" w:cs="宋体"/>
          <w:szCs w:val="21"/>
        </w:rPr>
        <w:t xml:space="preserve"> </w:t>
      </w:r>
      <w:r>
        <w:rPr>
          <w:rFonts w:ascii="宋体" w:hAnsi="宋体" w:cs="宋体" w:hint="eastAsia"/>
          <w:szCs w:val="21"/>
        </w:rPr>
        <w:t>感知觉障碍</w:t>
      </w:r>
    </w:p>
    <w:p w:rsidR="003717A0" w:rsidRDefault="003717A0">
      <w:pPr>
        <w:spacing w:line="380" w:lineRule="exact"/>
        <w:rPr>
          <w:rFonts w:ascii="宋体"/>
          <w:szCs w:val="21"/>
        </w:rPr>
      </w:pPr>
      <w:r>
        <w:rPr>
          <w:rFonts w:ascii="宋体" w:hAnsi="宋体"/>
          <w:szCs w:val="21"/>
        </w:rPr>
        <w:t>9</w:t>
      </w:r>
      <w:r>
        <w:rPr>
          <w:rFonts w:ascii="宋体" w:hAnsi="宋体" w:hint="eastAsia"/>
          <w:szCs w:val="21"/>
        </w:rPr>
        <w:t>、下列哪项不是痉挛型脑瘫的临床表现：（</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．肌张力增高</w:t>
      </w:r>
      <w:r>
        <w:rPr>
          <w:rFonts w:ascii="宋体" w:hAnsi="宋体"/>
          <w:szCs w:val="21"/>
        </w:rPr>
        <w:t xml:space="preserve">      B</w:t>
      </w:r>
      <w:r>
        <w:rPr>
          <w:rFonts w:ascii="宋体" w:hAnsi="宋体" w:hint="eastAsia"/>
          <w:szCs w:val="21"/>
        </w:rPr>
        <w:t>．可见折刀征</w:t>
      </w:r>
      <w:r>
        <w:rPr>
          <w:rFonts w:ascii="宋体" w:hAnsi="宋体"/>
          <w:szCs w:val="21"/>
        </w:rPr>
        <w:t xml:space="preserve">      C</w:t>
      </w:r>
      <w:r>
        <w:rPr>
          <w:rFonts w:ascii="宋体" w:hAnsi="宋体" w:hint="eastAsia"/>
          <w:szCs w:val="21"/>
        </w:rPr>
        <w:t>．膝腱反射亢进</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．醉酒步态</w:t>
      </w:r>
      <w:r>
        <w:rPr>
          <w:rFonts w:ascii="宋体" w:hAnsi="宋体"/>
          <w:szCs w:val="21"/>
        </w:rPr>
        <w:t xml:space="preserve">        E</w:t>
      </w:r>
      <w:r>
        <w:rPr>
          <w:rFonts w:ascii="宋体" w:hAnsi="宋体" w:hint="eastAsia"/>
          <w:szCs w:val="21"/>
        </w:rPr>
        <w:t>．踝阵挛</w:t>
      </w:r>
    </w:p>
    <w:p w:rsidR="003717A0" w:rsidRDefault="003717A0">
      <w:pPr>
        <w:spacing w:line="380" w:lineRule="exact"/>
        <w:rPr>
          <w:rFonts w:ascii="宋体"/>
          <w:szCs w:val="21"/>
        </w:rPr>
      </w:pPr>
      <w:r>
        <w:rPr>
          <w:rFonts w:ascii="宋体" w:hAnsi="宋体"/>
          <w:szCs w:val="21"/>
        </w:rPr>
        <w:t>10</w:t>
      </w:r>
      <w:r>
        <w:rPr>
          <w:rFonts w:ascii="宋体" w:hAnsi="宋体" w:hint="eastAsia"/>
          <w:szCs w:val="21"/>
        </w:rPr>
        <w:t>、下列哪项不是反射性腹爬（</w:t>
      </w:r>
      <w:r>
        <w:rPr>
          <w:rFonts w:ascii="宋体" w:hAnsi="宋体"/>
          <w:szCs w:val="21"/>
        </w:rPr>
        <w:t>P-K</w:t>
      </w:r>
      <w:r>
        <w:rPr>
          <w:rFonts w:ascii="宋体" w:hAnsi="宋体" w:hint="eastAsia"/>
          <w:szCs w:val="21"/>
        </w:rPr>
        <w:t>）的主诱发带（</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．颜面侧上肢肱骨内侧髁</w:t>
      </w:r>
      <w:r>
        <w:rPr>
          <w:rFonts w:ascii="宋体" w:hAnsi="宋体"/>
          <w:szCs w:val="21"/>
        </w:rPr>
        <w:t xml:space="preserve">      B</w:t>
      </w:r>
      <w:r>
        <w:rPr>
          <w:rFonts w:ascii="宋体" w:hAnsi="宋体" w:hint="eastAsia"/>
          <w:szCs w:val="21"/>
        </w:rPr>
        <w:t>．后头侧上肢桡骨的远位端</w:t>
      </w:r>
      <w:r>
        <w:rPr>
          <w:rFonts w:ascii="宋体" w:hAnsi="宋体"/>
          <w:szCs w:val="21"/>
        </w:rPr>
        <w:t xml:space="preserve">  </w:t>
      </w:r>
    </w:p>
    <w:p w:rsidR="003717A0" w:rsidRDefault="003717A0">
      <w:pPr>
        <w:spacing w:line="380" w:lineRule="exact"/>
        <w:rPr>
          <w:rFonts w:ascii="宋体"/>
          <w:szCs w:val="21"/>
        </w:rPr>
      </w:pPr>
      <w:r>
        <w:rPr>
          <w:rFonts w:ascii="宋体" w:hAnsi="宋体"/>
          <w:szCs w:val="21"/>
        </w:rPr>
        <w:t>C</w:t>
      </w:r>
      <w:r>
        <w:rPr>
          <w:rFonts w:ascii="宋体" w:hAnsi="宋体" w:hint="eastAsia"/>
          <w:szCs w:val="21"/>
        </w:rPr>
        <w:t>．颜面侧下肢股骨内侧髁</w:t>
      </w:r>
      <w:r>
        <w:rPr>
          <w:rFonts w:ascii="宋体" w:hAnsi="宋体"/>
          <w:szCs w:val="21"/>
        </w:rPr>
        <w:t xml:space="preserve">      D</w:t>
      </w:r>
      <w:r>
        <w:rPr>
          <w:rFonts w:ascii="宋体" w:hAnsi="宋体" w:hint="eastAsia"/>
          <w:szCs w:val="21"/>
        </w:rPr>
        <w:t>．后头侧下肢跟骨</w:t>
      </w:r>
      <w:r>
        <w:rPr>
          <w:rFonts w:ascii="宋体" w:hAnsi="宋体"/>
          <w:szCs w:val="21"/>
        </w:rPr>
        <w:t xml:space="preserve">      </w:t>
      </w:r>
    </w:p>
    <w:p w:rsidR="003717A0" w:rsidRDefault="003717A0">
      <w:pPr>
        <w:spacing w:line="380" w:lineRule="exact"/>
        <w:rPr>
          <w:rFonts w:ascii="宋体"/>
          <w:szCs w:val="21"/>
        </w:rPr>
      </w:pPr>
      <w:r>
        <w:rPr>
          <w:rFonts w:ascii="宋体" w:hAnsi="宋体"/>
          <w:szCs w:val="21"/>
        </w:rPr>
        <w:t>E</w:t>
      </w:r>
      <w:r>
        <w:rPr>
          <w:rFonts w:ascii="宋体" w:hAnsi="宋体" w:hint="eastAsia"/>
          <w:szCs w:val="21"/>
        </w:rPr>
        <w:t>．颜面侧肩胛骨内侧缘下</w:t>
      </w:r>
      <w:r>
        <w:rPr>
          <w:rFonts w:ascii="宋体" w:hAnsi="宋体"/>
          <w:szCs w:val="21"/>
        </w:rPr>
        <w:t>1/3</w:t>
      </w:r>
      <w:r>
        <w:rPr>
          <w:rFonts w:ascii="宋体" w:hAnsi="宋体" w:hint="eastAsia"/>
          <w:szCs w:val="21"/>
        </w:rPr>
        <w:t>处或下角</w:t>
      </w:r>
    </w:p>
    <w:p w:rsidR="003717A0" w:rsidRDefault="003717A0">
      <w:pPr>
        <w:spacing w:line="380" w:lineRule="exact"/>
        <w:rPr>
          <w:rFonts w:ascii="宋体"/>
          <w:szCs w:val="21"/>
        </w:rPr>
      </w:pPr>
      <w:r>
        <w:rPr>
          <w:rFonts w:ascii="宋体" w:hAnsi="宋体"/>
          <w:szCs w:val="21"/>
        </w:rPr>
        <w:t>11</w:t>
      </w:r>
      <w:r>
        <w:rPr>
          <w:rFonts w:ascii="宋体" w:hAnsi="宋体" w:hint="eastAsia"/>
          <w:szCs w:val="21"/>
        </w:rPr>
        <w:t>、脑卒中偏瘫早期偏瘫侧肩关节只能作无痛范围内的活动，其目的是：（</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．减轻患者痛苦</w:t>
      </w:r>
      <w:r>
        <w:rPr>
          <w:rFonts w:ascii="宋体" w:hAnsi="宋体"/>
          <w:szCs w:val="21"/>
        </w:rPr>
        <w:t xml:space="preserve">    B</w:t>
      </w:r>
      <w:r>
        <w:rPr>
          <w:rFonts w:ascii="宋体" w:hAnsi="宋体" w:hint="eastAsia"/>
          <w:szCs w:val="21"/>
        </w:rPr>
        <w:t>．防止发生骨折</w:t>
      </w:r>
      <w:r>
        <w:rPr>
          <w:rFonts w:ascii="宋体" w:hAnsi="宋体"/>
          <w:szCs w:val="21"/>
        </w:rPr>
        <w:t xml:space="preserve">    C</w:t>
      </w:r>
      <w:r>
        <w:rPr>
          <w:rFonts w:ascii="宋体" w:hAnsi="宋体" w:hint="eastAsia"/>
          <w:szCs w:val="21"/>
        </w:rPr>
        <w:t>．防止发生肩关节半脱位</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．改善血液循环</w:t>
      </w:r>
      <w:r>
        <w:rPr>
          <w:rFonts w:ascii="宋体" w:hAnsi="宋体"/>
          <w:szCs w:val="21"/>
        </w:rPr>
        <w:t xml:space="preserve">    E</w:t>
      </w:r>
      <w:r>
        <w:rPr>
          <w:rFonts w:ascii="宋体" w:hAnsi="宋体" w:hint="eastAsia"/>
          <w:szCs w:val="21"/>
        </w:rPr>
        <w:t>．增强肌力</w:t>
      </w:r>
    </w:p>
    <w:p w:rsidR="003717A0" w:rsidRDefault="003717A0">
      <w:pPr>
        <w:spacing w:line="380" w:lineRule="exact"/>
        <w:rPr>
          <w:rFonts w:ascii="宋体"/>
          <w:szCs w:val="21"/>
        </w:rPr>
      </w:pPr>
      <w:r>
        <w:rPr>
          <w:rFonts w:ascii="宋体" w:hAnsi="宋体"/>
          <w:szCs w:val="21"/>
        </w:rPr>
        <w:t>12</w:t>
      </w:r>
      <w:r>
        <w:rPr>
          <w:rFonts w:ascii="宋体" w:hAnsi="宋体" w:hint="eastAsia"/>
          <w:szCs w:val="21"/>
        </w:rPr>
        <w:t>、脑卒中包括：（</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．脑血栓形成</w:t>
      </w:r>
      <w:r>
        <w:rPr>
          <w:rFonts w:ascii="宋体" w:hAnsi="宋体"/>
          <w:szCs w:val="21"/>
        </w:rPr>
        <w:t xml:space="preserve">      B</w:t>
      </w:r>
      <w:r>
        <w:rPr>
          <w:rFonts w:ascii="宋体" w:hAnsi="宋体" w:hint="eastAsia"/>
          <w:szCs w:val="21"/>
        </w:rPr>
        <w:t>．脑栓塞</w:t>
      </w:r>
      <w:r>
        <w:rPr>
          <w:rFonts w:ascii="宋体" w:hAnsi="宋体"/>
          <w:szCs w:val="21"/>
        </w:rPr>
        <w:t xml:space="preserve">      C</w:t>
      </w:r>
      <w:r>
        <w:rPr>
          <w:rFonts w:ascii="宋体" w:hAnsi="宋体" w:hint="eastAsia"/>
          <w:szCs w:val="21"/>
        </w:rPr>
        <w:t>．脑出血</w:t>
      </w:r>
      <w:r>
        <w:rPr>
          <w:rFonts w:ascii="宋体" w:hAnsi="宋体"/>
          <w:szCs w:val="21"/>
        </w:rPr>
        <w:t xml:space="preserve">    </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．蛛网膜下腔出血</w:t>
      </w:r>
      <w:r>
        <w:rPr>
          <w:rFonts w:ascii="宋体" w:hAnsi="宋体"/>
          <w:szCs w:val="21"/>
        </w:rPr>
        <w:t xml:space="preserve">      E</w:t>
      </w:r>
      <w:r>
        <w:rPr>
          <w:rFonts w:ascii="宋体" w:hAnsi="宋体" w:hint="eastAsia"/>
          <w:szCs w:val="21"/>
        </w:rPr>
        <w:t>．腔隙性脑梗死</w:t>
      </w:r>
    </w:p>
    <w:p w:rsidR="003717A0" w:rsidRDefault="003717A0">
      <w:pPr>
        <w:spacing w:line="380" w:lineRule="exact"/>
        <w:rPr>
          <w:rFonts w:ascii="宋体"/>
          <w:szCs w:val="21"/>
        </w:rPr>
      </w:pPr>
      <w:r>
        <w:rPr>
          <w:rFonts w:ascii="宋体" w:hAnsi="宋体"/>
          <w:szCs w:val="21"/>
        </w:rPr>
        <w:t>13</w:t>
      </w:r>
      <w:r>
        <w:rPr>
          <w:rFonts w:ascii="宋体" w:hAnsi="宋体" w:hint="eastAsia"/>
          <w:szCs w:val="21"/>
        </w:rPr>
        <w:t>、脑外伤后记忆障碍的康复治疗方法中，属于外部策略的是：（</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t>A</w:t>
      </w:r>
      <w:r>
        <w:rPr>
          <w:rFonts w:hint="eastAsia"/>
        </w:rPr>
        <w:t>．时间表</w:t>
      </w:r>
      <w:r>
        <w:t xml:space="preserve">   B</w:t>
      </w:r>
      <w:r>
        <w:rPr>
          <w:rFonts w:hint="eastAsia"/>
        </w:rPr>
        <w:t>．首词记忆</w:t>
      </w:r>
      <w:r>
        <w:t xml:space="preserve">   C</w:t>
      </w:r>
      <w:r>
        <w:rPr>
          <w:rFonts w:hint="eastAsia"/>
        </w:rPr>
        <w:t>．视觉提示</w:t>
      </w:r>
      <w:r>
        <w:t xml:space="preserve">   D</w:t>
      </w:r>
      <w:r>
        <w:rPr>
          <w:rFonts w:hint="eastAsia"/>
        </w:rPr>
        <w:t>．视意象</w:t>
      </w:r>
      <w:r>
        <w:t xml:space="preserve">   E</w:t>
      </w:r>
      <w:r>
        <w:rPr>
          <w:rFonts w:hint="eastAsia"/>
        </w:rPr>
        <w:t>．环境简化</w:t>
      </w:r>
    </w:p>
    <w:p w:rsidR="003717A0" w:rsidRDefault="003717A0">
      <w:pPr>
        <w:spacing w:line="380" w:lineRule="exact"/>
        <w:rPr>
          <w:rFonts w:ascii="宋体"/>
          <w:szCs w:val="21"/>
        </w:rPr>
      </w:pPr>
      <w:r>
        <w:rPr>
          <w:rFonts w:ascii="宋体" w:hAnsi="宋体"/>
          <w:szCs w:val="21"/>
        </w:rPr>
        <w:t>14</w:t>
      </w:r>
      <w:r>
        <w:rPr>
          <w:rFonts w:ascii="宋体" w:hAnsi="宋体" w:hint="eastAsia"/>
          <w:szCs w:val="21"/>
        </w:rPr>
        <w:t>、评定脑外伤患者的治疗结局，临床上常使用以下哪些量表：（</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lastRenderedPageBreak/>
        <w:t>A</w:t>
      </w:r>
      <w:r>
        <w:rPr>
          <w:rFonts w:ascii="宋体" w:hAnsi="宋体" w:hint="eastAsia"/>
          <w:szCs w:val="21"/>
        </w:rPr>
        <w:t>．脑外伤综合评定量表</w:t>
      </w:r>
      <w:r>
        <w:rPr>
          <w:rFonts w:ascii="宋体" w:hAnsi="宋体"/>
          <w:szCs w:val="21"/>
        </w:rPr>
        <w:t xml:space="preserve">     B</w:t>
      </w:r>
      <w:r>
        <w:rPr>
          <w:rFonts w:ascii="宋体" w:hAnsi="宋体" w:hint="eastAsia"/>
          <w:szCs w:val="21"/>
        </w:rPr>
        <w:t>．格拉斯哥结局量表</w:t>
      </w:r>
      <w:r>
        <w:rPr>
          <w:rFonts w:ascii="宋体" w:hAnsi="宋体"/>
          <w:szCs w:val="21"/>
        </w:rPr>
        <w:t xml:space="preserve">      C</w:t>
      </w:r>
      <w:r>
        <w:rPr>
          <w:rFonts w:ascii="宋体" w:hAnsi="宋体" w:hint="eastAsia"/>
          <w:szCs w:val="21"/>
        </w:rPr>
        <w:t>．</w:t>
      </w:r>
      <w:r>
        <w:rPr>
          <w:rFonts w:ascii="宋体" w:hAnsi="宋体"/>
          <w:szCs w:val="21"/>
        </w:rPr>
        <w:t>Barthel</w:t>
      </w:r>
      <w:r>
        <w:rPr>
          <w:rFonts w:ascii="宋体" w:hAnsi="宋体" w:hint="eastAsia"/>
          <w:szCs w:val="21"/>
        </w:rPr>
        <w:t>指数</w:t>
      </w:r>
      <w:r>
        <w:rPr>
          <w:rFonts w:ascii="宋体" w:hAnsi="宋体"/>
          <w:szCs w:val="21"/>
        </w:rPr>
        <w:t xml:space="preserve">   </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．残疾分级量表</w:t>
      </w:r>
      <w:r>
        <w:rPr>
          <w:rFonts w:ascii="宋体" w:hAnsi="宋体"/>
          <w:szCs w:val="21"/>
        </w:rPr>
        <w:t xml:space="preserve">         E</w:t>
      </w:r>
      <w:r>
        <w:rPr>
          <w:rFonts w:ascii="宋体" w:hAnsi="宋体" w:hint="eastAsia"/>
          <w:szCs w:val="21"/>
        </w:rPr>
        <w:t>．社会功能活动问卷</w:t>
      </w:r>
    </w:p>
    <w:p w:rsidR="003717A0" w:rsidRDefault="003717A0">
      <w:pPr>
        <w:spacing w:line="380" w:lineRule="exact"/>
        <w:rPr>
          <w:rFonts w:ascii="宋体"/>
          <w:szCs w:val="21"/>
        </w:rPr>
      </w:pPr>
      <w:r>
        <w:rPr>
          <w:rFonts w:ascii="宋体" w:hAnsi="宋体"/>
          <w:szCs w:val="21"/>
        </w:rPr>
        <w:t>15</w:t>
      </w:r>
      <w:r>
        <w:rPr>
          <w:rFonts w:ascii="宋体" w:hAnsi="宋体" w:hint="eastAsia"/>
          <w:szCs w:val="21"/>
        </w:rPr>
        <w:t>、废用综合征的表现有：（</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．肌肉萎缩与无力</w:t>
      </w:r>
      <w:r>
        <w:rPr>
          <w:rFonts w:ascii="宋体" w:hAnsi="宋体"/>
          <w:szCs w:val="21"/>
        </w:rPr>
        <w:t xml:space="preserve">     B</w:t>
      </w:r>
      <w:r>
        <w:rPr>
          <w:rFonts w:ascii="宋体" w:hAnsi="宋体" w:hint="eastAsia"/>
          <w:szCs w:val="21"/>
        </w:rPr>
        <w:t>．关节挛缩</w:t>
      </w:r>
      <w:r>
        <w:rPr>
          <w:rFonts w:ascii="宋体" w:hAnsi="宋体"/>
          <w:szCs w:val="21"/>
        </w:rPr>
        <w:t xml:space="preserve">       C</w:t>
      </w:r>
      <w:r>
        <w:rPr>
          <w:rFonts w:ascii="宋体" w:hAnsi="宋体" w:hint="eastAsia"/>
          <w:szCs w:val="21"/>
        </w:rPr>
        <w:t>．直立位低血压</w:t>
      </w:r>
    </w:p>
    <w:p w:rsidR="003717A0" w:rsidRDefault="003717A0">
      <w:pPr>
        <w:spacing w:line="420" w:lineRule="exact"/>
        <w:rPr>
          <w:rFonts w:ascii="宋体"/>
          <w:szCs w:val="21"/>
        </w:rPr>
      </w:pPr>
      <w:r>
        <w:rPr>
          <w:rFonts w:ascii="宋体" w:hAnsi="宋体"/>
          <w:szCs w:val="21"/>
        </w:rPr>
        <w:t>D</w:t>
      </w:r>
      <w:r>
        <w:rPr>
          <w:rFonts w:ascii="宋体" w:hAnsi="宋体" w:hint="eastAsia"/>
          <w:szCs w:val="21"/>
        </w:rPr>
        <w:t>．压疮</w:t>
      </w:r>
      <w:r>
        <w:rPr>
          <w:rFonts w:ascii="宋体" w:hAnsi="宋体"/>
          <w:szCs w:val="21"/>
        </w:rPr>
        <w:t xml:space="preserve">               E</w:t>
      </w:r>
      <w:r>
        <w:rPr>
          <w:rFonts w:ascii="宋体" w:hAnsi="宋体" w:hint="eastAsia"/>
          <w:szCs w:val="21"/>
        </w:rPr>
        <w:t>．足内翻下垂</w:t>
      </w:r>
    </w:p>
    <w:p w:rsidR="003717A0" w:rsidRDefault="003717A0">
      <w:pPr>
        <w:spacing w:line="380" w:lineRule="exact"/>
        <w:rPr>
          <w:rFonts w:ascii="宋体"/>
          <w:szCs w:val="21"/>
        </w:rPr>
      </w:pPr>
      <w:r>
        <w:rPr>
          <w:rFonts w:ascii="宋体" w:hAnsi="宋体"/>
          <w:szCs w:val="21"/>
        </w:rPr>
        <w:t>16</w:t>
      </w:r>
      <w:r>
        <w:rPr>
          <w:rFonts w:ascii="宋体" w:hAnsi="宋体" w:hint="eastAsia"/>
          <w:szCs w:val="21"/>
        </w:rPr>
        <w:t>、下列关于脑瘫运动功能训练原则正确的是：（</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．由头向尾、由近位端向远位端等儿童运动发育的规律</w:t>
      </w:r>
    </w:p>
    <w:p w:rsidR="003717A0" w:rsidRDefault="003717A0">
      <w:pPr>
        <w:spacing w:line="380" w:lineRule="exact"/>
        <w:rPr>
          <w:rFonts w:ascii="宋体"/>
          <w:szCs w:val="21"/>
        </w:rPr>
      </w:pPr>
      <w:r>
        <w:rPr>
          <w:rFonts w:ascii="宋体" w:hAnsi="宋体"/>
          <w:szCs w:val="21"/>
        </w:rPr>
        <w:t>B</w:t>
      </w:r>
      <w:r>
        <w:rPr>
          <w:rFonts w:ascii="宋体" w:hAnsi="宋体" w:hint="eastAsia"/>
          <w:szCs w:val="21"/>
        </w:rPr>
        <w:t>．在抑制异常运动模式的同时，进行正常运动模式的诱导</w:t>
      </w:r>
    </w:p>
    <w:p w:rsidR="003717A0" w:rsidRDefault="003717A0">
      <w:pPr>
        <w:spacing w:line="380" w:lineRule="exact"/>
        <w:rPr>
          <w:rFonts w:ascii="宋体"/>
          <w:szCs w:val="21"/>
        </w:rPr>
      </w:pPr>
      <w:r>
        <w:rPr>
          <w:rFonts w:ascii="宋体" w:hAnsi="宋体"/>
          <w:szCs w:val="21"/>
        </w:rPr>
        <w:t>C</w:t>
      </w:r>
      <w:r>
        <w:rPr>
          <w:rFonts w:ascii="宋体" w:hAnsi="宋体" w:hint="eastAsia"/>
          <w:szCs w:val="21"/>
        </w:rPr>
        <w:t>．促进左右对称的姿势和运动</w:t>
      </w:r>
    </w:p>
    <w:p w:rsidR="003717A0" w:rsidRDefault="003717A0">
      <w:pPr>
        <w:pStyle w:val="a9"/>
        <w:spacing w:line="380" w:lineRule="exact"/>
        <w:ind w:left="315" w:hangingChars="150" w:hanging="315"/>
        <w:rPr>
          <w:rFonts w:hAnsi="宋体"/>
        </w:rPr>
      </w:pPr>
      <w:r>
        <w:rPr>
          <w:rFonts w:hAnsi="宋体" w:cs="Times New Roman"/>
        </w:rPr>
        <w:t>D</w:t>
      </w:r>
      <w:r>
        <w:rPr>
          <w:rFonts w:hAnsi="宋体" w:hint="eastAsia"/>
        </w:rPr>
        <w:t>．诱发和强化所希望的固定运动模式，逐步完成由单个运动向多个运动的协调运动</w:t>
      </w:r>
    </w:p>
    <w:p w:rsidR="003717A0" w:rsidRDefault="003717A0">
      <w:pPr>
        <w:pStyle w:val="a9"/>
        <w:spacing w:line="380" w:lineRule="exact"/>
        <w:rPr>
          <w:rFonts w:hAnsi="宋体"/>
        </w:rPr>
      </w:pPr>
      <w:r>
        <w:rPr>
          <w:rFonts w:cs="Times New Roman"/>
        </w:rPr>
        <w:t>E</w:t>
      </w:r>
      <w:r>
        <w:rPr>
          <w:rFonts w:hint="eastAsia"/>
        </w:rPr>
        <w:t>．康复训练的方式方法要因人而异，不能以偏概全</w:t>
      </w:r>
    </w:p>
    <w:p w:rsidR="003717A0" w:rsidRDefault="003717A0">
      <w:pPr>
        <w:spacing w:line="380" w:lineRule="exact"/>
        <w:rPr>
          <w:rFonts w:ascii="宋体"/>
          <w:szCs w:val="21"/>
        </w:rPr>
      </w:pPr>
      <w:r>
        <w:rPr>
          <w:rFonts w:ascii="宋体" w:hAnsi="宋体"/>
          <w:szCs w:val="21"/>
        </w:rPr>
        <w:t>17</w:t>
      </w:r>
      <w:r>
        <w:rPr>
          <w:rFonts w:ascii="宋体" w:hAnsi="宋体" w:hint="eastAsia"/>
          <w:szCs w:val="21"/>
        </w:rPr>
        <w:t>、帕金森病的三个主要体征包括：（</w:t>
      </w:r>
      <w:r>
        <w:rPr>
          <w:rFonts w:ascii="宋体" w:hAnsi="宋体"/>
          <w:szCs w:val="21"/>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A</w:t>
      </w:r>
      <w:r>
        <w:rPr>
          <w:rFonts w:ascii="宋体" w:hAnsi="宋体" w:hint="eastAsia"/>
          <w:szCs w:val="21"/>
        </w:rPr>
        <w:t>．静止性震颤</w:t>
      </w:r>
      <w:r>
        <w:rPr>
          <w:rFonts w:ascii="宋体" w:hAnsi="宋体"/>
          <w:szCs w:val="21"/>
        </w:rPr>
        <w:t xml:space="preserve">        B</w:t>
      </w:r>
      <w:r>
        <w:rPr>
          <w:rFonts w:ascii="宋体" w:hAnsi="宋体" w:hint="eastAsia"/>
          <w:szCs w:val="21"/>
        </w:rPr>
        <w:t>．搓丸样动作</w:t>
      </w:r>
      <w:r>
        <w:rPr>
          <w:rFonts w:ascii="宋体" w:hAnsi="宋体"/>
          <w:szCs w:val="21"/>
        </w:rPr>
        <w:t xml:space="preserve">        C</w:t>
      </w:r>
      <w:r>
        <w:rPr>
          <w:rFonts w:ascii="宋体" w:hAnsi="宋体" w:hint="eastAsia"/>
          <w:szCs w:val="21"/>
        </w:rPr>
        <w:t>．肌张力增高</w:t>
      </w:r>
      <w:r>
        <w:rPr>
          <w:rFonts w:ascii="宋体" w:hAnsi="宋体"/>
          <w:szCs w:val="21"/>
        </w:rPr>
        <w:t xml:space="preserve"> </w:t>
      </w:r>
    </w:p>
    <w:p w:rsidR="003717A0" w:rsidRDefault="003717A0">
      <w:pPr>
        <w:spacing w:line="380" w:lineRule="exact"/>
        <w:rPr>
          <w:rFonts w:ascii="宋体"/>
          <w:szCs w:val="21"/>
        </w:rPr>
      </w:pPr>
      <w:r>
        <w:rPr>
          <w:rFonts w:ascii="宋体" w:hAnsi="宋体"/>
          <w:szCs w:val="21"/>
        </w:rPr>
        <w:t>D</w:t>
      </w:r>
      <w:r>
        <w:rPr>
          <w:rFonts w:ascii="宋体" w:hAnsi="宋体" w:hint="eastAsia"/>
          <w:szCs w:val="21"/>
        </w:rPr>
        <w:t>．运动减少</w:t>
      </w:r>
      <w:r>
        <w:rPr>
          <w:rFonts w:ascii="宋体" w:hAnsi="宋体"/>
          <w:szCs w:val="21"/>
        </w:rPr>
        <w:t xml:space="preserve">          E</w:t>
      </w:r>
      <w:r>
        <w:rPr>
          <w:rFonts w:ascii="宋体" w:hAnsi="宋体" w:hint="eastAsia"/>
          <w:szCs w:val="21"/>
        </w:rPr>
        <w:t>．剪刀步态</w:t>
      </w:r>
    </w:p>
    <w:p w:rsidR="003717A0" w:rsidRDefault="003717A0">
      <w:pPr>
        <w:rPr>
          <w:sz w:val="24"/>
        </w:rPr>
      </w:pPr>
    </w:p>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7"/>
        <w:gridCol w:w="1080"/>
      </w:tblGrid>
      <w:tr w:rsidR="003717A0">
        <w:trPr>
          <w:trHeight w:val="495"/>
        </w:trPr>
        <w:tc>
          <w:tcPr>
            <w:tcW w:w="967" w:type="dxa"/>
          </w:tcPr>
          <w:p w:rsidR="003717A0" w:rsidRDefault="003717A0">
            <w:pPr>
              <w:spacing w:line="360" w:lineRule="exact"/>
              <w:rPr>
                <w:rFonts w:eastAsia="楷体_GB2312"/>
                <w:szCs w:val="21"/>
              </w:rPr>
            </w:pPr>
            <w:r>
              <w:rPr>
                <w:rFonts w:eastAsia="楷体_GB2312" w:hint="eastAsia"/>
                <w:szCs w:val="21"/>
              </w:rPr>
              <w:t>得分</w:t>
            </w:r>
          </w:p>
        </w:tc>
        <w:tc>
          <w:tcPr>
            <w:tcW w:w="1080" w:type="dxa"/>
          </w:tcPr>
          <w:p w:rsidR="003717A0" w:rsidRDefault="003717A0">
            <w:pPr>
              <w:spacing w:line="360" w:lineRule="exact"/>
              <w:rPr>
                <w:rFonts w:eastAsia="楷体_GB2312"/>
                <w:szCs w:val="21"/>
              </w:rPr>
            </w:pPr>
            <w:r>
              <w:rPr>
                <w:rFonts w:eastAsia="楷体_GB2312" w:hint="eastAsia"/>
                <w:szCs w:val="21"/>
              </w:rPr>
              <w:t>评卷人</w:t>
            </w:r>
          </w:p>
        </w:tc>
      </w:tr>
      <w:tr w:rsidR="003717A0">
        <w:trPr>
          <w:trHeight w:val="495"/>
        </w:trPr>
        <w:tc>
          <w:tcPr>
            <w:tcW w:w="967" w:type="dxa"/>
          </w:tcPr>
          <w:p w:rsidR="003717A0" w:rsidRDefault="003717A0">
            <w:pPr>
              <w:spacing w:line="360" w:lineRule="exact"/>
              <w:rPr>
                <w:rFonts w:eastAsia="楷体_GB2312"/>
                <w:szCs w:val="21"/>
              </w:rPr>
            </w:pPr>
          </w:p>
        </w:tc>
        <w:tc>
          <w:tcPr>
            <w:tcW w:w="1080" w:type="dxa"/>
          </w:tcPr>
          <w:p w:rsidR="003717A0" w:rsidRDefault="003717A0">
            <w:pPr>
              <w:spacing w:line="360" w:lineRule="exact"/>
              <w:rPr>
                <w:rFonts w:eastAsia="楷体_GB2312"/>
                <w:szCs w:val="21"/>
              </w:rPr>
            </w:pPr>
          </w:p>
        </w:tc>
      </w:tr>
    </w:tbl>
    <w:p w:rsidR="003717A0" w:rsidRDefault="003717A0">
      <w:pPr>
        <w:pStyle w:val="a9"/>
        <w:spacing w:line="380" w:lineRule="exact"/>
        <w:rPr>
          <w:rFonts w:hAnsi="宋体"/>
        </w:rPr>
      </w:pPr>
      <w:r>
        <w:rPr>
          <w:rFonts w:hAnsi="宋体" w:hint="eastAsia"/>
        </w:rPr>
        <w:t>三、填空题：（每空</w:t>
      </w:r>
      <w:r>
        <w:rPr>
          <w:rFonts w:hAnsi="宋体"/>
        </w:rPr>
        <w:t>1</w:t>
      </w:r>
      <w:r>
        <w:rPr>
          <w:rFonts w:hAnsi="宋体" w:hint="eastAsia"/>
        </w:rPr>
        <w:t>分，共</w:t>
      </w:r>
      <w:r>
        <w:rPr>
          <w:rFonts w:hAnsi="宋体"/>
        </w:rPr>
        <w:t>17</w:t>
      </w:r>
      <w:r>
        <w:rPr>
          <w:rFonts w:hAnsi="宋体" w:hint="eastAsia"/>
        </w:rPr>
        <w:t>分）</w:t>
      </w:r>
    </w:p>
    <w:p w:rsidR="003717A0" w:rsidRDefault="003717A0">
      <w:pPr>
        <w:spacing w:line="380" w:lineRule="exact"/>
        <w:rPr>
          <w:rFonts w:ascii="宋体"/>
          <w:szCs w:val="21"/>
        </w:rPr>
      </w:pPr>
      <w:r>
        <w:rPr>
          <w:rFonts w:ascii="宋体" w:hAnsi="宋体"/>
          <w:szCs w:val="21"/>
        </w:rPr>
        <w:t>1</w:t>
      </w:r>
      <w:r>
        <w:rPr>
          <w:rFonts w:ascii="宋体" w:hAnsi="宋体" w:hint="eastAsia"/>
          <w:szCs w:val="21"/>
        </w:rPr>
        <w:t>、脑外伤的康复原则：</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r>
        <w:rPr>
          <w:rFonts w:ascii="宋体" w:hAnsi="宋体"/>
          <w:szCs w:val="21"/>
          <w:u w:val="single"/>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rPr>
        <w:t>2</w:t>
      </w:r>
      <w:r>
        <w:rPr>
          <w:rFonts w:ascii="宋体" w:hAnsi="宋体" w:hint="eastAsia"/>
          <w:szCs w:val="21"/>
        </w:rPr>
        <w:t>、脑卒中发生的危险因素：</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、和</w:t>
      </w:r>
    </w:p>
    <w:p w:rsidR="003717A0" w:rsidRDefault="003717A0">
      <w:pPr>
        <w:spacing w:line="380" w:lineRule="exact"/>
        <w:rPr>
          <w:rFonts w:ascii="宋体"/>
          <w:szCs w:val="21"/>
        </w:rPr>
      </w:pPr>
      <w:r>
        <w:rPr>
          <w:rFonts w:ascii="宋体" w:hAnsi="宋体"/>
          <w:szCs w:val="21"/>
          <w:u w:val="single"/>
        </w:rPr>
        <w:t xml:space="preserve">          </w:t>
      </w:r>
      <w:r>
        <w:rPr>
          <w:rFonts w:ascii="宋体" w:hAnsi="宋体" w:hint="eastAsia"/>
          <w:szCs w:val="21"/>
        </w:rPr>
        <w:t>等。</w:t>
      </w:r>
    </w:p>
    <w:p w:rsidR="003717A0" w:rsidRDefault="003717A0">
      <w:pPr>
        <w:spacing w:line="380" w:lineRule="exact"/>
        <w:rPr>
          <w:rFonts w:ascii="宋体"/>
          <w:szCs w:val="21"/>
        </w:rPr>
      </w:pPr>
      <w:r>
        <w:rPr>
          <w:rFonts w:ascii="宋体" w:hAnsi="宋体"/>
          <w:szCs w:val="21"/>
        </w:rPr>
        <w:t>3</w:t>
      </w:r>
      <w:r>
        <w:rPr>
          <w:rFonts w:ascii="宋体" w:hAnsi="宋体" w:hint="eastAsia"/>
          <w:szCs w:val="21"/>
        </w:rPr>
        <w:t>、老年期痴呆从发病机制方面可分为：</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380" w:lineRule="exact"/>
        <w:rPr>
          <w:rFonts w:ascii="宋体"/>
          <w:szCs w:val="21"/>
        </w:rPr>
      </w:pP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420" w:lineRule="exact"/>
        <w:rPr>
          <w:sz w:val="24"/>
        </w:rPr>
      </w:pPr>
      <w:r>
        <w:rPr>
          <w:rFonts w:ascii="宋体" w:hAnsi="宋体"/>
          <w:szCs w:val="21"/>
        </w:rPr>
        <w:t>4</w:t>
      </w:r>
      <w:r>
        <w:rPr>
          <w:rFonts w:ascii="宋体" w:hAnsi="宋体" w:hint="eastAsia"/>
          <w:szCs w:val="21"/>
        </w:rPr>
        <w:t>、</w:t>
      </w:r>
      <w:r>
        <w:rPr>
          <w:rFonts w:ascii="宋体" w:hAnsi="宋体"/>
          <w:szCs w:val="21"/>
        </w:rPr>
        <w:t>Bobath</w:t>
      </w:r>
      <w:r>
        <w:rPr>
          <w:rFonts w:ascii="宋体" w:hAnsi="宋体" w:hint="eastAsia"/>
          <w:szCs w:val="21"/>
        </w:rPr>
        <w:t>法的基本手法</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p>
    <w:p w:rsidR="003717A0" w:rsidRDefault="003717A0">
      <w:pPr>
        <w:spacing w:line="420" w:lineRule="exact"/>
        <w:rPr>
          <w:sz w:val="24"/>
        </w:rPr>
      </w:pPr>
    </w:p>
    <w:tbl>
      <w:tblPr>
        <w:tblW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7"/>
        <w:gridCol w:w="1080"/>
      </w:tblGrid>
      <w:tr w:rsidR="003717A0">
        <w:trPr>
          <w:trHeight w:val="495"/>
        </w:trPr>
        <w:tc>
          <w:tcPr>
            <w:tcW w:w="967" w:type="dxa"/>
          </w:tcPr>
          <w:p w:rsidR="003717A0" w:rsidRDefault="003717A0">
            <w:pPr>
              <w:spacing w:line="360" w:lineRule="exact"/>
              <w:rPr>
                <w:rFonts w:eastAsia="楷体_GB2312"/>
                <w:szCs w:val="21"/>
              </w:rPr>
            </w:pPr>
            <w:r>
              <w:rPr>
                <w:rFonts w:eastAsia="楷体_GB2312" w:hint="eastAsia"/>
                <w:szCs w:val="21"/>
              </w:rPr>
              <w:t>得分</w:t>
            </w:r>
          </w:p>
        </w:tc>
        <w:tc>
          <w:tcPr>
            <w:tcW w:w="1080" w:type="dxa"/>
          </w:tcPr>
          <w:p w:rsidR="003717A0" w:rsidRDefault="003717A0">
            <w:pPr>
              <w:spacing w:line="360" w:lineRule="exact"/>
              <w:rPr>
                <w:rFonts w:eastAsia="楷体_GB2312"/>
                <w:szCs w:val="21"/>
              </w:rPr>
            </w:pPr>
            <w:r>
              <w:rPr>
                <w:rFonts w:eastAsia="楷体_GB2312" w:hint="eastAsia"/>
                <w:szCs w:val="21"/>
              </w:rPr>
              <w:t>评卷人</w:t>
            </w:r>
          </w:p>
        </w:tc>
      </w:tr>
      <w:tr w:rsidR="003717A0">
        <w:trPr>
          <w:trHeight w:val="495"/>
        </w:trPr>
        <w:tc>
          <w:tcPr>
            <w:tcW w:w="967" w:type="dxa"/>
          </w:tcPr>
          <w:p w:rsidR="003717A0" w:rsidRDefault="003717A0">
            <w:pPr>
              <w:spacing w:line="360" w:lineRule="exact"/>
              <w:rPr>
                <w:rFonts w:eastAsia="楷体_GB2312"/>
                <w:szCs w:val="21"/>
              </w:rPr>
            </w:pPr>
          </w:p>
        </w:tc>
        <w:tc>
          <w:tcPr>
            <w:tcW w:w="1080" w:type="dxa"/>
          </w:tcPr>
          <w:p w:rsidR="003717A0" w:rsidRDefault="003717A0">
            <w:pPr>
              <w:spacing w:line="360" w:lineRule="exact"/>
              <w:rPr>
                <w:rFonts w:eastAsia="楷体_GB2312"/>
                <w:szCs w:val="21"/>
              </w:rPr>
            </w:pPr>
          </w:p>
        </w:tc>
      </w:tr>
    </w:tbl>
    <w:p w:rsidR="003717A0" w:rsidRDefault="003717A0">
      <w:pPr>
        <w:spacing w:line="400" w:lineRule="exact"/>
        <w:rPr>
          <w:rFonts w:eastAsia="楷体_GB2312"/>
          <w:sz w:val="24"/>
        </w:rPr>
      </w:pPr>
      <w:r>
        <w:rPr>
          <w:rFonts w:eastAsia="楷体_GB2312" w:hint="eastAsia"/>
          <w:sz w:val="24"/>
        </w:rPr>
        <w:t>四、问答题：（每题</w:t>
      </w:r>
      <w:r>
        <w:rPr>
          <w:rFonts w:eastAsia="楷体_GB2312"/>
          <w:sz w:val="24"/>
        </w:rPr>
        <w:t>6</w:t>
      </w:r>
      <w:r>
        <w:rPr>
          <w:rFonts w:eastAsia="楷体_GB2312" w:hint="eastAsia"/>
          <w:sz w:val="24"/>
        </w:rPr>
        <w:t>分，共</w:t>
      </w:r>
      <w:r>
        <w:rPr>
          <w:rFonts w:eastAsia="楷体_GB2312"/>
          <w:sz w:val="24"/>
        </w:rPr>
        <w:t>30</w:t>
      </w:r>
      <w:r>
        <w:rPr>
          <w:rFonts w:eastAsia="楷体_GB2312" w:hint="eastAsia"/>
          <w:sz w:val="24"/>
        </w:rPr>
        <w:t>分）</w:t>
      </w:r>
    </w:p>
    <w:p w:rsidR="003717A0" w:rsidRDefault="003717A0" w:rsidP="003000C6">
      <w:pPr>
        <w:numPr>
          <w:ilvl w:val="0"/>
          <w:numId w:val="572"/>
        </w:numPr>
        <w:spacing w:line="380" w:lineRule="exact"/>
        <w:rPr>
          <w:rFonts w:ascii="宋体"/>
          <w:szCs w:val="21"/>
        </w:rPr>
      </w:pPr>
      <w:r>
        <w:rPr>
          <w:rFonts w:ascii="宋体" w:hAnsi="宋体" w:hint="eastAsia"/>
          <w:szCs w:val="21"/>
        </w:rPr>
        <w:t>如何根据</w:t>
      </w:r>
      <w:r>
        <w:rPr>
          <w:rFonts w:ascii="宋体" w:hAnsi="宋体"/>
          <w:szCs w:val="21"/>
        </w:rPr>
        <w:t>Brunnstrom</w:t>
      </w:r>
      <w:r>
        <w:rPr>
          <w:rFonts w:ascii="宋体" w:hAnsi="宋体" w:hint="eastAsia"/>
          <w:szCs w:val="21"/>
        </w:rPr>
        <w:t>评定指导偏瘫的康复治疗？</w:t>
      </w:r>
    </w:p>
    <w:p w:rsidR="003717A0" w:rsidRDefault="003717A0" w:rsidP="003000C6">
      <w:pPr>
        <w:numPr>
          <w:ilvl w:val="0"/>
          <w:numId w:val="572"/>
        </w:numPr>
        <w:spacing w:line="380" w:lineRule="exact"/>
        <w:rPr>
          <w:rFonts w:ascii="宋体"/>
          <w:szCs w:val="21"/>
        </w:rPr>
      </w:pPr>
      <w:r>
        <w:rPr>
          <w:rFonts w:ascii="宋体" w:hAnsi="宋体" w:hint="eastAsia"/>
          <w:szCs w:val="21"/>
        </w:rPr>
        <w:t>颅脑外伤的患者如何进行促醒治疗？</w:t>
      </w:r>
    </w:p>
    <w:p w:rsidR="003717A0" w:rsidRDefault="003717A0" w:rsidP="003000C6">
      <w:pPr>
        <w:numPr>
          <w:ilvl w:val="0"/>
          <w:numId w:val="572"/>
        </w:numPr>
        <w:spacing w:line="380" w:lineRule="exact"/>
        <w:rPr>
          <w:rFonts w:ascii="宋体"/>
          <w:szCs w:val="21"/>
        </w:rPr>
      </w:pPr>
      <w:r>
        <w:rPr>
          <w:rFonts w:ascii="宋体" w:hAnsi="宋体" w:hint="eastAsia"/>
          <w:szCs w:val="21"/>
        </w:rPr>
        <w:t>如何根据格拉斯哥昏迷量表（</w:t>
      </w:r>
      <w:r>
        <w:rPr>
          <w:rFonts w:ascii="宋体" w:hAnsi="宋体"/>
          <w:szCs w:val="21"/>
        </w:rPr>
        <w:t>GCS</w:t>
      </w:r>
      <w:r>
        <w:rPr>
          <w:rFonts w:ascii="宋体" w:hAnsi="宋体" w:hint="eastAsia"/>
          <w:szCs w:val="21"/>
        </w:rPr>
        <w:t>）得分及昏迷时间长短将脑外伤分型</w:t>
      </w:r>
      <w:r>
        <w:rPr>
          <w:rFonts w:ascii="宋体" w:hAnsi="宋体"/>
          <w:szCs w:val="21"/>
        </w:rPr>
        <w:t>?</w:t>
      </w:r>
    </w:p>
    <w:p w:rsidR="003717A0" w:rsidRDefault="003717A0" w:rsidP="003000C6">
      <w:pPr>
        <w:numPr>
          <w:ilvl w:val="0"/>
          <w:numId w:val="572"/>
        </w:numPr>
        <w:spacing w:line="380" w:lineRule="exact"/>
        <w:rPr>
          <w:rFonts w:ascii="宋体"/>
          <w:szCs w:val="21"/>
        </w:rPr>
      </w:pPr>
      <w:r>
        <w:rPr>
          <w:rFonts w:ascii="宋体" w:hAnsi="宋体" w:hint="eastAsia"/>
          <w:szCs w:val="21"/>
        </w:rPr>
        <w:t>根据运动障碍的性质，脑瘫可以分为哪几类？并简述各类脑瘫的典型临床表现。</w:t>
      </w:r>
    </w:p>
    <w:p w:rsidR="003717A0" w:rsidRDefault="003717A0">
      <w:pPr>
        <w:spacing w:line="380" w:lineRule="exact"/>
        <w:rPr>
          <w:rFonts w:ascii="宋体"/>
          <w:szCs w:val="21"/>
        </w:rPr>
      </w:pPr>
      <w:r>
        <w:rPr>
          <w:rFonts w:ascii="宋体" w:hAnsi="宋体"/>
          <w:szCs w:val="21"/>
        </w:rPr>
        <w:t>5</w:t>
      </w:r>
      <w:r>
        <w:rPr>
          <w:rFonts w:ascii="宋体" w:hAnsi="宋体" w:hint="eastAsia"/>
          <w:szCs w:val="21"/>
        </w:rPr>
        <w:t>、面对康复治疗过程中患者突发的癫痫大发作应如何采取急救措施？</w:t>
      </w:r>
    </w:p>
    <w:p w:rsidR="003717A0" w:rsidRDefault="003717A0">
      <w:pPr>
        <w:spacing w:line="420" w:lineRule="exact"/>
      </w:pPr>
    </w:p>
    <w:p w:rsidR="003717A0" w:rsidRDefault="003717A0">
      <w:pPr>
        <w:spacing w:line="420" w:lineRule="exact"/>
        <w:rPr>
          <w:rFonts w:eastAsia="黑体"/>
          <w:kern w:val="0"/>
          <w:sz w:val="34"/>
          <w:szCs w:val="34"/>
        </w:rPr>
      </w:pPr>
    </w:p>
    <w:p w:rsidR="003717A0" w:rsidRPr="003000C6" w:rsidRDefault="003717A0" w:rsidP="003000C6">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教</w:t>
            </w:r>
            <w:r>
              <w:rPr>
                <w:rFonts w:ascii="黑体" w:eastAsia="黑体"/>
                <w:b/>
                <w:sz w:val="24"/>
              </w:rPr>
              <w:t xml:space="preserve"> </w:t>
            </w:r>
            <w:r>
              <w:rPr>
                <w:rFonts w:ascii="黑体" w:eastAsia="黑体" w:hint="eastAsia"/>
                <w:b/>
                <w:sz w:val="24"/>
              </w:rPr>
              <w:t>学</w:t>
            </w:r>
            <w:r>
              <w:rPr>
                <w:rFonts w:ascii="黑体" w:eastAsia="黑体"/>
                <w:b/>
                <w:sz w:val="24"/>
              </w:rPr>
              <w:t xml:space="preserve"> </w:t>
            </w:r>
            <w:r>
              <w:rPr>
                <w:rFonts w:ascii="黑体" w:eastAsia="黑体" w:hint="eastAsia"/>
                <w:b/>
                <w:sz w:val="24"/>
              </w:rPr>
              <w:t>基</w:t>
            </w:r>
            <w:r>
              <w:rPr>
                <w:rFonts w:ascii="黑体" w:eastAsia="黑体"/>
                <w:b/>
                <w:sz w:val="24"/>
              </w:rPr>
              <w:t xml:space="preserve"> </w:t>
            </w:r>
            <w:r>
              <w:rPr>
                <w:rFonts w:ascii="黑体" w:eastAsia="黑体" w:hint="eastAsia"/>
                <w:b/>
                <w:sz w:val="24"/>
              </w:rPr>
              <w:t>本</w:t>
            </w:r>
            <w:r>
              <w:rPr>
                <w:rFonts w:ascii="黑体" w:eastAsia="黑体"/>
                <w:b/>
                <w:sz w:val="24"/>
              </w:rPr>
              <w:t xml:space="preserve"> </w:t>
            </w:r>
            <w:r>
              <w:rPr>
                <w:rFonts w:ascii="黑体" w:eastAsia="黑体" w:hint="eastAsia"/>
                <w:b/>
                <w:sz w:val="24"/>
              </w:rPr>
              <w:t>要</w:t>
            </w:r>
            <w:r>
              <w:rPr>
                <w:rFonts w:ascii="黑体" w:eastAsia="黑体"/>
                <w:b/>
                <w:sz w:val="24"/>
              </w:rPr>
              <w:t xml:space="preserve"> </w:t>
            </w:r>
            <w:r>
              <w:rPr>
                <w:rFonts w:ascii="黑体" w:eastAsia="黑体" w:hint="eastAsia"/>
                <w:b/>
                <w:sz w:val="24"/>
              </w:rPr>
              <w:t>求</w:t>
            </w:r>
          </w:p>
        </w:tc>
        <w:tc>
          <w:tcPr>
            <w:tcW w:w="9142" w:type="dxa"/>
            <w:vAlign w:val="center"/>
          </w:tcPr>
          <w:p w:rsidR="003717A0" w:rsidRDefault="003717A0">
            <w:pPr>
              <w:spacing w:before="100" w:beforeAutospacing="1" w:after="100" w:afterAutospacing="1"/>
              <w:ind w:leftChars="202" w:left="424" w:firstLineChars="200" w:firstLine="420"/>
              <w:rPr>
                <w:rFonts w:ascii="宋体"/>
                <w:szCs w:val="21"/>
              </w:rPr>
            </w:pPr>
            <w:r>
              <w:rPr>
                <w:rFonts w:ascii="宋体" w:hAnsi="宋体" w:hint="eastAsia"/>
                <w:szCs w:val="21"/>
              </w:rPr>
              <w:t>学习神经康复学的主要目的是要掌握各类神经系统疾患的临床特点、康复评定、康复治疗、康复结局和健康教育。如能运用常见神经系统疾病基本知识开展神经系统疾患所致的残疾进行康复预防、康复评定和康复治疗。</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rPr>
              <w:t>备</w:t>
            </w:r>
            <w:r>
              <w:rPr>
                <w:rFonts w:ascii="黑体" w:eastAsia="黑体"/>
                <w:b/>
                <w:sz w:val="24"/>
              </w:rPr>
              <w:t xml:space="preserve">   </w:t>
            </w:r>
            <w:r>
              <w:rPr>
                <w:rFonts w:ascii="黑体" w:eastAsia="黑体" w:hint="eastAsia"/>
                <w:b/>
                <w:sz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hAnsi="宋体"/>
                <w:szCs w:val="21"/>
              </w:rPr>
            </w:pPr>
            <w:r>
              <w:rPr>
                <w:rFonts w:hAnsi="宋体" w:hint="eastAsia"/>
                <w:szCs w:val="21"/>
              </w:rPr>
              <w:t>掌握本课程教学大纲内容，严格按照教学大纲要求进行本课程教学内容的组织。</w:t>
            </w:r>
          </w:p>
          <w:p w:rsidR="003717A0" w:rsidRDefault="003717A0">
            <w:pPr>
              <w:numPr>
                <w:ilvl w:val="0"/>
                <w:numId w:val="494"/>
              </w:numPr>
              <w:autoSpaceDE w:val="0"/>
              <w:autoSpaceDN w:val="0"/>
              <w:adjustRightInd w:val="0"/>
              <w:snapToGrid w:val="0"/>
              <w:spacing w:line="360" w:lineRule="auto"/>
              <w:jc w:val="left"/>
              <w:rPr>
                <w:rFonts w:hAnsi="宋体"/>
                <w:szCs w:val="21"/>
              </w:rPr>
            </w:pPr>
            <w:r>
              <w:rPr>
                <w:rFonts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494"/>
              </w:numPr>
              <w:autoSpaceDE w:val="0"/>
              <w:autoSpaceDN w:val="0"/>
              <w:adjustRightInd w:val="0"/>
              <w:snapToGrid w:val="0"/>
              <w:spacing w:line="360" w:lineRule="auto"/>
              <w:jc w:val="left"/>
              <w:rPr>
                <w:rFonts w:hAnsi="宋体"/>
                <w:szCs w:val="21"/>
              </w:rPr>
            </w:pPr>
            <w:r>
              <w:rPr>
                <w:rFonts w:hAnsi="宋体" w:hint="eastAsia"/>
                <w:szCs w:val="21"/>
              </w:rPr>
              <w:t>结合课程特点，制作课件，运用多媒体教学手段讲授部分教学内容。</w:t>
            </w:r>
          </w:p>
          <w:p w:rsidR="003717A0" w:rsidRDefault="003717A0">
            <w:pPr>
              <w:numPr>
                <w:ilvl w:val="0"/>
                <w:numId w:val="494"/>
              </w:numPr>
              <w:autoSpaceDE w:val="0"/>
              <w:autoSpaceDN w:val="0"/>
              <w:adjustRightInd w:val="0"/>
              <w:snapToGrid w:val="0"/>
              <w:spacing w:line="360" w:lineRule="auto"/>
              <w:jc w:val="left"/>
            </w:pPr>
            <w:r>
              <w:rPr>
                <w:rFonts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rPr>
              <w:t>授</w:t>
            </w:r>
            <w:r>
              <w:rPr>
                <w:rFonts w:ascii="黑体" w:eastAsia="黑体"/>
                <w:b/>
                <w:sz w:val="24"/>
              </w:rPr>
              <w:t xml:space="preserve">   </w:t>
            </w:r>
            <w:r>
              <w:rPr>
                <w:rFonts w:ascii="黑体" w:eastAsia="黑体" w:hint="eastAsia"/>
                <w:b/>
                <w:sz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hAnsi="宋体"/>
                <w:szCs w:val="21"/>
              </w:rPr>
            </w:pPr>
            <w:r>
              <w:rPr>
                <w:rFonts w:hAnsi="宋体" w:hint="eastAsia"/>
                <w:szCs w:val="21"/>
              </w:rPr>
              <w:t>概念准确，推理正确，条理清晰，重点突出，理论联系实际。</w:t>
            </w:r>
          </w:p>
          <w:p w:rsidR="003717A0" w:rsidRDefault="003717A0">
            <w:pPr>
              <w:numPr>
                <w:ilvl w:val="0"/>
                <w:numId w:val="495"/>
              </w:numPr>
              <w:autoSpaceDE w:val="0"/>
              <w:autoSpaceDN w:val="0"/>
              <w:adjustRightInd w:val="0"/>
              <w:snapToGrid w:val="0"/>
              <w:spacing w:line="360" w:lineRule="auto"/>
              <w:jc w:val="left"/>
              <w:rPr>
                <w:rFonts w:hAnsi="宋体"/>
                <w:szCs w:val="21"/>
              </w:rPr>
            </w:pPr>
            <w:r>
              <w:rPr>
                <w:rFonts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95"/>
              </w:numPr>
              <w:autoSpaceDE w:val="0"/>
              <w:autoSpaceDN w:val="0"/>
              <w:adjustRightInd w:val="0"/>
              <w:snapToGrid w:val="0"/>
              <w:spacing w:line="360" w:lineRule="auto"/>
              <w:jc w:val="left"/>
              <w:rPr>
                <w:rFonts w:hAnsi="宋体"/>
                <w:szCs w:val="21"/>
              </w:rPr>
            </w:pPr>
            <w:r>
              <w:rPr>
                <w:rFonts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95"/>
              </w:numPr>
              <w:autoSpaceDE w:val="0"/>
              <w:autoSpaceDN w:val="0"/>
              <w:adjustRightInd w:val="0"/>
              <w:snapToGrid w:val="0"/>
              <w:spacing w:line="360" w:lineRule="auto"/>
              <w:jc w:val="left"/>
              <w:rPr>
                <w:rFonts w:hAnsi="宋体"/>
                <w:szCs w:val="21"/>
              </w:rPr>
            </w:pPr>
            <w:r>
              <w:rPr>
                <w:rFonts w:hAnsi="宋体" w:hint="eastAsia"/>
                <w:szCs w:val="21"/>
              </w:rPr>
              <w:t>多媒体教学手段、课堂实验、演示相结合，以培养学生实践动手的能力。</w:t>
            </w:r>
          </w:p>
          <w:p w:rsidR="003717A0" w:rsidRDefault="003717A0">
            <w:pPr>
              <w:numPr>
                <w:ilvl w:val="0"/>
                <w:numId w:val="495"/>
              </w:numPr>
              <w:autoSpaceDE w:val="0"/>
              <w:autoSpaceDN w:val="0"/>
              <w:adjustRightInd w:val="0"/>
              <w:snapToGrid w:val="0"/>
              <w:spacing w:line="360" w:lineRule="auto"/>
              <w:jc w:val="left"/>
              <w:rPr>
                <w:rFonts w:ascii="楷体_GB2312" w:eastAsia="楷体_GB2312"/>
                <w:sz w:val="24"/>
              </w:rPr>
            </w:pPr>
            <w:r>
              <w:rPr>
                <w:rFonts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作业布置与批改</w:t>
            </w:r>
          </w:p>
        </w:tc>
        <w:tc>
          <w:tcPr>
            <w:tcW w:w="9142" w:type="dxa"/>
            <w:vAlign w:val="center"/>
          </w:tcPr>
          <w:p w:rsidR="003717A0" w:rsidRDefault="003717A0">
            <w:pPr>
              <w:autoSpaceDE w:val="0"/>
              <w:autoSpaceDN w:val="0"/>
              <w:adjustRightInd w:val="0"/>
              <w:snapToGrid w:val="0"/>
              <w:spacing w:line="360" w:lineRule="auto"/>
              <w:ind w:left="420"/>
              <w:jc w:val="left"/>
              <w:rPr>
                <w:sz w:val="22"/>
              </w:rPr>
            </w:pPr>
            <w:r>
              <w:rPr>
                <w:rFonts w:hint="eastAsia"/>
                <w:sz w:val="22"/>
              </w:rPr>
              <w:t>无作业</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rPr>
            </w:pP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rPr>
            </w:pP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496"/>
              </w:numPr>
              <w:autoSpaceDE w:val="0"/>
              <w:autoSpaceDN w:val="0"/>
              <w:adjustRightInd w:val="0"/>
              <w:snapToGrid w:val="0"/>
              <w:spacing w:line="360" w:lineRule="auto"/>
              <w:jc w:val="left"/>
              <w:rPr>
                <w:rFonts w:hAnsi="宋体"/>
                <w:szCs w:val="21"/>
              </w:rPr>
            </w:pPr>
            <w:r>
              <w:rPr>
                <w:rFonts w:hAnsi="宋体" w:hint="eastAsia"/>
                <w:szCs w:val="21"/>
              </w:rPr>
              <w:t>期末考试成绩占总评成绩的</w:t>
            </w:r>
            <w:r>
              <w:rPr>
                <w:rFonts w:hAnsi="宋体"/>
                <w:szCs w:val="21"/>
              </w:rPr>
              <w:t>100%</w:t>
            </w:r>
            <w:r>
              <w:rPr>
                <w:rFonts w:hAnsi="宋体" w:hint="eastAsia"/>
                <w:szCs w:val="21"/>
              </w:rPr>
              <w:t>；</w:t>
            </w:r>
          </w:p>
          <w:p w:rsidR="003717A0" w:rsidRDefault="003717A0">
            <w:pPr>
              <w:numPr>
                <w:ilvl w:val="0"/>
                <w:numId w:val="496"/>
              </w:numPr>
              <w:autoSpaceDE w:val="0"/>
              <w:autoSpaceDN w:val="0"/>
              <w:adjustRightInd w:val="0"/>
              <w:snapToGrid w:val="0"/>
              <w:spacing w:line="360" w:lineRule="auto"/>
              <w:jc w:val="left"/>
              <w:rPr>
                <w:rFonts w:hAnsi="宋体"/>
                <w:szCs w:val="21"/>
              </w:rPr>
            </w:pPr>
            <w:r>
              <w:rPr>
                <w:rFonts w:hAnsi="宋体" w:hint="eastAsia"/>
                <w:szCs w:val="21"/>
              </w:rPr>
              <w:t>有下列情况之一者，总评成绩为不及格：</w:t>
            </w:r>
          </w:p>
          <w:p w:rsidR="003717A0" w:rsidRDefault="003717A0">
            <w:pPr>
              <w:autoSpaceDE w:val="0"/>
              <w:autoSpaceDN w:val="0"/>
              <w:adjustRightInd w:val="0"/>
              <w:snapToGrid w:val="0"/>
              <w:spacing w:line="360" w:lineRule="auto"/>
              <w:jc w:val="left"/>
              <w:rPr>
                <w:szCs w:val="21"/>
              </w:rPr>
            </w:pPr>
            <w:r>
              <w:rPr>
                <w:rFonts w:hAnsi="宋体" w:hint="eastAsia"/>
                <w:szCs w:val="21"/>
              </w:rPr>
              <w:t>（</w:t>
            </w:r>
            <w:r>
              <w:rPr>
                <w:szCs w:val="21"/>
              </w:rPr>
              <w:t>1</w:t>
            </w:r>
            <w:r>
              <w:rPr>
                <w:rFonts w:hAnsi="宋体" w:hint="eastAsia"/>
                <w:szCs w:val="21"/>
              </w:rPr>
              <w:t>）缺交作业次数达</w:t>
            </w:r>
            <w:r>
              <w:rPr>
                <w:szCs w:val="21"/>
              </w:rPr>
              <w:t>1/3</w:t>
            </w:r>
            <w:r>
              <w:rPr>
                <w:rFonts w:hAnsi="宋体" w:hint="eastAsia"/>
                <w:szCs w:val="21"/>
              </w:rPr>
              <w:t>以上者；</w:t>
            </w:r>
          </w:p>
          <w:p w:rsidR="003717A0" w:rsidRDefault="003717A0">
            <w:pPr>
              <w:autoSpaceDE w:val="0"/>
              <w:autoSpaceDN w:val="0"/>
              <w:adjustRightInd w:val="0"/>
              <w:snapToGrid w:val="0"/>
              <w:spacing w:line="360" w:lineRule="auto"/>
              <w:jc w:val="left"/>
              <w:rPr>
                <w:rFonts w:hAnsi="宋体"/>
                <w:kern w:val="0"/>
                <w:sz w:val="22"/>
              </w:rPr>
            </w:pPr>
            <w:r>
              <w:rPr>
                <w:rFonts w:hAnsi="宋体" w:hint="eastAsia"/>
                <w:szCs w:val="21"/>
              </w:rPr>
              <w:t>（</w:t>
            </w:r>
            <w:r>
              <w:rPr>
                <w:szCs w:val="21"/>
              </w:rPr>
              <w:t>2</w:t>
            </w:r>
            <w:r>
              <w:rPr>
                <w:rFonts w:hAnsi="宋体" w:hint="eastAsia"/>
                <w:szCs w:val="21"/>
              </w:rPr>
              <w:t>）缺课次数达本学期总授课学时的</w:t>
            </w:r>
            <w:r>
              <w:rPr>
                <w:szCs w:val="21"/>
              </w:rPr>
              <w:t>1/3</w:t>
            </w:r>
            <w:r>
              <w:rPr>
                <w:rFonts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rPr>
            </w:pPr>
          </w:p>
        </w:tc>
        <w:tc>
          <w:tcPr>
            <w:tcW w:w="425" w:type="dxa"/>
            <w:textDirection w:val="tbRlV"/>
            <w:vAlign w:val="center"/>
          </w:tcPr>
          <w:p w:rsidR="003717A0" w:rsidRDefault="003717A0">
            <w:pPr>
              <w:spacing w:line="340" w:lineRule="exact"/>
              <w:ind w:left="113" w:right="113"/>
              <w:jc w:val="center"/>
              <w:rPr>
                <w:rFonts w:ascii="黑体" w:eastAsia="黑体"/>
                <w:b/>
                <w:sz w:val="24"/>
              </w:rPr>
            </w:pPr>
            <w:r>
              <w:rPr>
                <w:rFonts w:ascii="黑体" w:eastAsia="黑体" w:hint="eastAsia"/>
                <w:b/>
                <w:sz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并参加各级竞赛，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rPr>
              <w:t>备注</w:t>
            </w:r>
          </w:p>
        </w:tc>
        <w:tc>
          <w:tcPr>
            <w:tcW w:w="9142" w:type="dxa"/>
            <w:vAlign w:val="center"/>
          </w:tcPr>
          <w:p w:rsidR="003717A0" w:rsidRDefault="003717A0"/>
        </w:tc>
      </w:tr>
    </w:tbl>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Default="003717A0">
      <w:pPr>
        <w:spacing w:line="420" w:lineRule="exact"/>
      </w:pPr>
    </w:p>
    <w:p w:rsidR="003717A0" w:rsidRPr="00566E4D" w:rsidRDefault="003717A0">
      <w:pPr>
        <w:pStyle w:val="1"/>
        <w:rPr>
          <w:b/>
        </w:rPr>
      </w:pPr>
      <w:r>
        <w:br w:type="page"/>
      </w:r>
      <w:bookmarkStart w:id="109" w:name="_Toc469313016"/>
      <w:bookmarkStart w:id="110" w:name="_Toc471830728"/>
      <w:r w:rsidRPr="00566E4D">
        <w:rPr>
          <w:rFonts w:hint="eastAsia"/>
          <w:b/>
        </w:rPr>
        <w:lastRenderedPageBreak/>
        <w:t>《神经系统疾病作业治疗》课程质量标准</w:t>
      </w:r>
      <w:bookmarkEnd w:id="109"/>
      <w:bookmarkEnd w:id="110"/>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神经系统疾病作业治疗</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Occupational Therapy For Nervous system Disease</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170696</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54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3</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康复医学教研室</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《作业治疗学》；《基础作业学》、《临床作业疗法学》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人民卫生出版社</w:t>
            </w:r>
            <w:r>
              <w:rPr>
                <w:rFonts w:ascii="宋体" w:hAnsi="宋体"/>
                <w:szCs w:val="21"/>
              </w:rPr>
              <w:t xml:space="preserve"> 2008</w:t>
            </w:r>
            <w:r>
              <w:rPr>
                <w:rFonts w:ascii="宋体" w:hAnsi="宋体" w:hint="eastAsia"/>
                <w:szCs w:val="21"/>
              </w:rPr>
              <w:t>年；华夏出版社</w:t>
            </w:r>
            <w:r>
              <w:rPr>
                <w:rFonts w:ascii="宋体" w:hAnsi="宋体"/>
                <w:szCs w:val="21"/>
              </w:rPr>
              <w:t xml:space="preserve">  2003</w:t>
            </w:r>
            <w:r>
              <w:rPr>
                <w:rFonts w:ascii="宋体" w:hAnsi="宋体" w:hint="eastAsia"/>
                <w:szCs w:val="21"/>
              </w:rPr>
              <w:t>年</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 w:val="22"/>
              </w:rPr>
              <w:t>□国家□部级规划</w:t>
            </w:r>
            <w:r>
              <w:rPr>
                <w:rFonts w:ascii="宋体" w:hAnsi="宋体" w:hint="eastAsia"/>
                <w:szCs w:val="21"/>
              </w:rPr>
              <w:t>■</w:t>
            </w:r>
            <w:r>
              <w:rPr>
                <w:rFonts w:ascii="宋体" w:hAnsi="宋体" w:hint="eastAsia"/>
                <w:sz w:val="22"/>
              </w:rPr>
              <w:t>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w:t>
            </w:r>
            <w:r>
              <w:rPr>
                <w:rFonts w:ascii="宋体" w:hAnsi="宋体" w:hint="eastAsia"/>
                <w:szCs w:val="21"/>
              </w:rPr>
              <w:t>■</w:t>
            </w:r>
            <w:r>
              <w:rPr>
                <w:rFonts w:ascii="宋体" w:hAnsi="宋体" w:hint="eastAsia"/>
                <w:sz w:val="22"/>
              </w:rPr>
              <w:t>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rFonts w:hint="eastAsia"/>
                <w:sz w:val="22"/>
              </w:rPr>
              <w:t>沈光宇</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1980.01</w:t>
            </w:r>
          </w:p>
        </w:tc>
      </w:tr>
      <w:tr w:rsidR="003717A0">
        <w:tc>
          <w:tcPr>
            <w:tcW w:w="1668" w:type="dxa"/>
          </w:tcPr>
          <w:p w:rsidR="003717A0" w:rsidRDefault="003717A0">
            <w:pPr>
              <w:adjustRightInd w:val="0"/>
              <w:snapToGrid w:val="0"/>
              <w:spacing w:line="500" w:lineRule="exact"/>
              <w:rPr>
                <w:sz w:val="22"/>
              </w:rPr>
            </w:pPr>
            <w:r>
              <w:rPr>
                <w:rFonts w:hint="eastAsia"/>
                <w:sz w:val="22"/>
              </w:rPr>
              <w:t>胡玉明</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2003.08</w:t>
            </w:r>
          </w:p>
        </w:tc>
      </w:tr>
      <w:tr w:rsidR="003717A0">
        <w:tc>
          <w:tcPr>
            <w:tcW w:w="1668" w:type="dxa"/>
          </w:tcPr>
          <w:p w:rsidR="003717A0" w:rsidRDefault="003717A0">
            <w:pPr>
              <w:adjustRightInd w:val="0"/>
              <w:snapToGrid w:val="0"/>
              <w:spacing w:line="500" w:lineRule="exact"/>
              <w:rPr>
                <w:sz w:val="22"/>
              </w:rPr>
            </w:pPr>
            <w:r>
              <w:rPr>
                <w:rFonts w:hint="eastAsia"/>
                <w:sz w:val="22"/>
              </w:rPr>
              <w:t>鞠晶昀</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2005.08</w:t>
            </w:r>
          </w:p>
        </w:tc>
      </w:tr>
      <w:tr w:rsidR="003717A0">
        <w:tc>
          <w:tcPr>
            <w:tcW w:w="1668" w:type="dxa"/>
          </w:tcPr>
          <w:p w:rsidR="003717A0" w:rsidRDefault="003717A0">
            <w:pPr>
              <w:adjustRightInd w:val="0"/>
              <w:snapToGrid w:val="0"/>
              <w:spacing w:line="500" w:lineRule="exact"/>
              <w:rPr>
                <w:sz w:val="22"/>
              </w:rPr>
            </w:pPr>
            <w:r>
              <w:rPr>
                <w:rFonts w:hint="eastAsia"/>
                <w:sz w:val="22"/>
              </w:rPr>
              <w:t>顾琦</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2005.08</w:t>
            </w:r>
          </w:p>
        </w:tc>
      </w:tr>
      <w:tr w:rsidR="003717A0">
        <w:tc>
          <w:tcPr>
            <w:tcW w:w="1668" w:type="dxa"/>
          </w:tcPr>
          <w:p w:rsidR="003717A0" w:rsidRDefault="003717A0">
            <w:pPr>
              <w:adjustRightInd w:val="0"/>
              <w:snapToGrid w:val="0"/>
              <w:spacing w:line="500" w:lineRule="exact"/>
              <w:rPr>
                <w:sz w:val="22"/>
              </w:rPr>
            </w:pPr>
            <w:r>
              <w:rPr>
                <w:rFonts w:hint="eastAsia"/>
                <w:sz w:val="22"/>
              </w:rPr>
              <w:t>张芳芳</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助教</w:t>
            </w:r>
          </w:p>
        </w:tc>
        <w:tc>
          <w:tcPr>
            <w:tcW w:w="1524" w:type="dxa"/>
          </w:tcPr>
          <w:p w:rsidR="003717A0" w:rsidRDefault="003717A0">
            <w:pPr>
              <w:adjustRightInd w:val="0"/>
              <w:snapToGrid w:val="0"/>
              <w:spacing w:line="500" w:lineRule="exact"/>
              <w:rPr>
                <w:sz w:val="22"/>
              </w:rPr>
            </w:pPr>
            <w:r>
              <w:rPr>
                <w:sz w:val="22"/>
              </w:rPr>
              <w:t>2010.08</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spacing w:line="360" w:lineRule="auto"/>
              <w:ind w:firstLineChars="200" w:firstLine="440"/>
              <w:rPr>
                <w:sz w:val="22"/>
              </w:rPr>
            </w:pPr>
            <w:r>
              <w:rPr>
                <w:rFonts w:hint="eastAsia"/>
                <w:sz w:val="22"/>
              </w:rPr>
              <w:t>神经系统疾病作业治疗是作业治疗学专业的一门必修课程，是康复治疗学的重要组成部分。通过本课程学习，使学生重点掌握神经系统疾病作业治疗的相关原理和理论、神经系统疾病作业治疗的功能评定、作业治疗技术，掌握脑卒中、脊髓损伤、周围神经损伤等临床常见疾病的特点、分类、评价及其作业治疗方法。</w:t>
            </w:r>
          </w:p>
          <w:p w:rsidR="003717A0" w:rsidRDefault="003717A0">
            <w:pPr>
              <w:spacing w:line="360" w:lineRule="auto"/>
              <w:ind w:firstLineChars="200" w:firstLine="440"/>
              <w:rPr>
                <w:sz w:val="22"/>
              </w:rPr>
            </w:pPr>
            <w:r>
              <w:rPr>
                <w:rFonts w:hint="eastAsia"/>
                <w:sz w:val="22"/>
              </w:rPr>
              <w:t>本课程是康复治疗学专业分专业教学课程改革和课程建设的试点课程，在教学过程中尝试引入</w:t>
            </w:r>
            <w:r>
              <w:rPr>
                <w:sz w:val="22"/>
              </w:rPr>
              <w:t>WFOT</w:t>
            </w:r>
            <w:r>
              <w:rPr>
                <w:rFonts w:hint="eastAsia"/>
                <w:sz w:val="22"/>
              </w:rPr>
              <w:t>的教学标准和理念，根据我国作业治疗专业教学大纲（草）的要求</w:t>
            </w:r>
            <w:r>
              <w:rPr>
                <w:sz w:val="22"/>
              </w:rPr>
              <w:t>,</w:t>
            </w:r>
            <w:r>
              <w:rPr>
                <w:rFonts w:hint="eastAsia"/>
                <w:sz w:val="22"/>
              </w:rPr>
              <w:t>将融合《基础作</w:t>
            </w:r>
            <w:r>
              <w:rPr>
                <w:rFonts w:hint="eastAsia"/>
                <w:sz w:val="22"/>
              </w:rPr>
              <w:lastRenderedPageBreak/>
              <w:t>业学》、《临床作业疗法学》、《神经康复学》等相关课程内容，初步编排了教学大纲，暂定名为《神经系统疾病作业治疗》。本课程教学的主要路径与方法：（</w:t>
            </w:r>
            <w:r>
              <w:rPr>
                <w:sz w:val="22"/>
              </w:rPr>
              <w:t>1</w:t>
            </w:r>
            <w:r>
              <w:rPr>
                <w:rFonts w:hint="eastAsia"/>
                <w:sz w:val="22"/>
              </w:rPr>
              <w:t>）通过理论课堂讲解和手法演示主要知识点，使学生掌握本课程的基本概念和操作技能，同时利用参考书和</w:t>
            </w:r>
            <w:r>
              <w:rPr>
                <w:sz w:val="22"/>
              </w:rPr>
              <w:t>blackboard</w:t>
            </w:r>
            <w:r>
              <w:rPr>
                <w:rFonts w:hint="eastAsia"/>
                <w:sz w:val="22"/>
              </w:rPr>
              <w:t>等网络平台，辅导学生逐步形成自主学习的能力；（</w:t>
            </w:r>
            <w:r>
              <w:rPr>
                <w:sz w:val="22"/>
              </w:rPr>
              <w:t>2</w:t>
            </w:r>
            <w:r>
              <w:rPr>
                <w:rFonts w:hint="eastAsia"/>
                <w:sz w:val="22"/>
              </w:rPr>
              <w:t>）根据理论课中每个章节给出的学生论坛专题，由</w:t>
            </w:r>
            <w:r>
              <w:rPr>
                <w:sz w:val="22"/>
              </w:rPr>
              <w:t>5-6</w:t>
            </w:r>
            <w:r>
              <w:rPr>
                <w:rFonts w:hint="eastAsia"/>
                <w:sz w:val="22"/>
              </w:rPr>
              <w:t>人组成小组，收集资料，自学、整理、制作相关</w:t>
            </w:r>
            <w:r>
              <w:rPr>
                <w:sz w:val="22"/>
              </w:rPr>
              <w:t>PPT</w:t>
            </w:r>
            <w:r>
              <w:rPr>
                <w:rFonts w:hint="eastAsia"/>
                <w:sz w:val="22"/>
              </w:rPr>
              <w:t>，并进行全班交流和讨论，拓展与本课程相关的知识面。</w:t>
            </w:r>
          </w:p>
        </w:tc>
      </w:tr>
    </w:tbl>
    <w:p w:rsidR="003717A0"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ind w:firstLineChars="193" w:firstLine="425"/>
        <w:jc w:val="left"/>
        <w:rPr>
          <w:sz w:val="22"/>
        </w:rPr>
      </w:pPr>
      <w:r>
        <w:rPr>
          <w:rFonts w:hint="eastAsia"/>
          <w:sz w:val="22"/>
        </w:rPr>
        <w:t>适应对象：本科层次，作业治疗学</w:t>
      </w:r>
    </w:p>
    <w:p w:rsidR="003717A0" w:rsidRDefault="003717A0">
      <w:pPr>
        <w:autoSpaceDE w:val="0"/>
        <w:autoSpaceDN w:val="0"/>
        <w:adjustRightInd w:val="0"/>
        <w:snapToGrid w:val="0"/>
        <w:ind w:firstLineChars="193" w:firstLine="425"/>
        <w:jc w:val="left"/>
        <w:rPr>
          <w:sz w:val="22"/>
        </w:rPr>
      </w:pPr>
      <w:r>
        <w:rPr>
          <w:rFonts w:hint="eastAsia"/>
          <w:sz w:val="22"/>
        </w:rPr>
        <w:t>课程代码：</w:t>
      </w:r>
      <w:r>
        <w:rPr>
          <w:sz w:val="22"/>
        </w:rPr>
        <w:t>170696</w:t>
      </w:r>
    </w:p>
    <w:p w:rsidR="003717A0" w:rsidRDefault="003717A0">
      <w:pPr>
        <w:autoSpaceDE w:val="0"/>
        <w:autoSpaceDN w:val="0"/>
        <w:adjustRightInd w:val="0"/>
        <w:snapToGrid w:val="0"/>
        <w:ind w:firstLineChars="193" w:firstLine="425"/>
        <w:jc w:val="left"/>
        <w:rPr>
          <w:sz w:val="22"/>
        </w:rPr>
      </w:pPr>
      <w:r>
        <w:rPr>
          <w:rFonts w:hint="eastAsia"/>
          <w:sz w:val="22"/>
        </w:rPr>
        <w:t>学时分配：</w:t>
      </w:r>
      <w:r>
        <w:rPr>
          <w:sz w:val="22"/>
        </w:rPr>
        <w:t>54</w:t>
      </w:r>
      <w:r>
        <w:rPr>
          <w:rFonts w:hint="eastAsia"/>
          <w:sz w:val="22"/>
        </w:rPr>
        <w:t>（理论课：</w:t>
      </w:r>
      <w:r>
        <w:rPr>
          <w:sz w:val="22"/>
        </w:rPr>
        <w:t xml:space="preserve">27    </w:t>
      </w:r>
      <w:r>
        <w:rPr>
          <w:rFonts w:hint="eastAsia"/>
          <w:sz w:val="22"/>
        </w:rPr>
        <w:t>实践课：</w:t>
      </w:r>
      <w:r>
        <w:rPr>
          <w:sz w:val="22"/>
        </w:rPr>
        <w:t>27.</w:t>
      </w:r>
      <w:r>
        <w:rPr>
          <w:rFonts w:hint="eastAsia"/>
          <w:sz w:val="22"/>
        </w:rPr>
        <w:t>）</w:t>
      </w:r>
    </w:p>
    <w:p w:rsidR="003717A0" w:rsidRDefault="003717A0">
      <w:pPr>
        <w:autoSpaceDE w:val="0"/>
        <w:autoSpaceDN w:val="0"/>
        <w:adjustRightInd w:val="0"/>
        <w:ind w:firstLineChars="193" w:firstLine="425"/>
        <w:jc w:val="left"/>
        <w:rPr>
          <w:sz w:val="22"/>
        </w:rPr>
      </w:pPr>
      <w:r>
        <w:rPr>
          <w:rFonts w:hint="eastAsia"/>
          <w:sz w:val="22"/>
        </w:rPr>
        <w:t>赋予学分：</w:t>
      </w:r>
      <w:r>
        <w:rPr>
          <w:sz w:val="22"/>
        </w:rPr>
        <w:t>3</w:t>
      </w:r>
      <w:r>
        <w:rPr>
          <w:rFonts w:hint="eastAsia"/>
          <w:sz w:val="22"/>
        </w:rPr>
        <w:t>分。</w:t>
      </w:r>
    </w:p>
    <w:p w:rsidR="003717A0" w:rsidRDefault="003717A0">
      <w:pPr>
        <w:autoSpaceDE w:val="0"/>
        <w:autoSpaceDN w:val="0"/>
        <w:adjustRightInd w:val="0"/>
        <w:ind w:firstLineChars="193" w:firstLine="425"/>
        <w:jc w:val="left"/>
        <w:rPr>
          <w:sz w:val="22"/>
        </w:rPr>
      </w:pPr>
      <w:r>
        <w:rPr>
          <w:rFonts w:hint="eastAsia"/>
          <w:sz w:val="22"/>
        </w:rPr>
        <w:t>先修课程：康复功能评定学、作业治疗理论与技术</w:t>
      </w:r>
    </w:p>
    <w:p w:rsidR="003717A0" w:rsidRDefault="003717A0">
      <w:pPr>
        <w:autoSpaceDE w:val="0"/>
        <w:autoSpaceDN w:val="0"/>
        <w:adjustRightInd w:val="0"/>
        <w:ind w:firstLineChars="193" w:firstLine="425"/>
        <w:jc w:val="left"/>
        <w:rPr>
          <w:sz w:val="22"/>
        </w:rPr>
      </w:pPr>
      <w:r>
        <w:rPr>
          <w:rFonts w:hint="eastAsia"/>
          <w:sz w:val="22"/>
        </w:rPr>
        <w:t>后续课程：</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25"/>
        <w:jc w:val="left"/>
        <w:rPr>
          <w:sz w:val="22"/>
        </w:rPr>
      </w:pPr>
      <w:r>
        <w:rPr>
          <w:sz w:val="22"/>
        </w:rPr>
        <w:t xml:space="preserve">    </w:t>
      </w:r>
      <w:r>
        <w:rPr>
          <w:rFonts w:hint="eastAsia"/>
          <w:sz w:val="22"/>
        </w:rPr>
        <w:t>本课程是康复治疗学专业分专业教学课程改革和课程建设的试点课程，在教学过程中尝试引入</w:t>
      </w:r>
      <w:r>
        <w:rPr>
          <w:sz w:val="22"/>
        </w:rPr>
        <w:t>WFOT</w:t>
      </w:r>
      <w:r>
        <w:rPr>
          <w:rFonts w:hint="eastAsia"/>
          <w:sz w:val="22"/>
        </w:rPr>
        <w:t>的教学标准和理念，根据我国作业治疗专业教学大纲（草）的要求</w:t>
      </w:r>
      <w:r>
        <w:rPr>
          <w:sz w:val="22"/>
        </w:rPr>
        <w:t>,</w:t>
      </w:r>
      <w:r>
        <w:rPr>
          <w:rFonts w:hint="eastAsia"/>
          <w:sz w:val="22"/>
        </w:rPr>
        <w:t>将融合《基础作业学》、《临床作业疗法学》、《神经康复学》等相关课程内容，初步编排了教学大纲，暂定名为《神经系统疾病作业治疗》。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pacing w:line="360" w:lineRule="exact"/>
        <w:ind w:firstLineChars="193" w:firstLine="425"/>
        <w:jc w:val="left"/>
        <w:rPr>
          <w:sz w:val="22"/>
        </w:rPr>
      </w:pPr>
      <w:r>
        <w:rPr>
          <w:sz w:val="22"/>
        </w:rPr>
        <w:t xml:space="preserve">   </w:t>
      </w:r>
      <w:r>
        <w:rPr>
          <w:rFonts w:hint="eastAsia"/>
          <w:sz w:val="22"/>
        </w:rPr>
        <w:t>通过本课程学习，使学生重点掌握神经系统疾病作业治疗的相关原理和理论、神经系统疾病作业治疗的功能评定、作业治疗技术，掌握脑卒中、脊髓损伤、周围神经损伤等临床常见疾病的特点、分类、评价及其作业治疗方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pacing w:line="360" w:lineRule="exact"/>
        <w:ind w:firstLineChars="193" w:firstLine="465"/>
        <w:jc w:val="left"/>
        <w:rPr>
          <w:rFonts w:ascii="Times New Roman" w:eastAsia="黑体" w:hAnsi="Times New Roman"/>
          <w:b/>
          <w:kern w:val="0"/>
          <w:sz w:val="24"/>
          <w:szCs w:val="24"/>
        </w:rPr>
      </w:pPr>
      <w:r>
        <w:rPr>
          <w:rFonts w:ascii="Times New Roman" w:eastAsia="黑体" w:hAnsi="Times New Roman" w:hint="eastAsia"/>
          <w:b/>
          <w:kern w:val="0"/>
          <w:sz w:val="24"/>
          <w:szCs w:val="24"/>
        </w:rPr>
        <w:t>第一章</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神经系统疾病作业治疗的相关原理和理论</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、进一步学习掌握作业表现模式的概念</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、熟悉神经发育学、运动再学习理论与神经系统疾病作业治疗的关系</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、了解神经系统疾病作业治疗相关因素</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rFonts w:hint="eastAsia"/>
          <w:sz w:val="22"/>
        </w:rPr>
        <w:t>第一节</w:t>
      </w:r>
      <w:r>
        <w:rPr>
          <w:sz w:val="22"/>
        </w:rPr>
        <w:t xml:space="preserve">   </w:t>
      </w:r>
      <w:r>
        <w:rPr>
          <w:rFonts w:hint="eastAsia"/>
          <w:sz w:val="22"/>
        </w:rPr>
        <w:t>作业治疗的模式</w:t>
      </w:r>
    </w:p>
    <w:p w:rsidR="003717A0" w:rsidRDefault="003717A0">
      <w:pPr>
        <w:autoSpaceDE w:val="0"/>
        <w:autoSpaceDN w:val="0"/>
        <w:adjustRightInd w:val="0"/>
        <w:spacing w:line="360" w:lineRule="exact"/>
        <w:ind w:firstLineChars="193" w:firstLine="425"/>
        <w:jc w:val="left"/>
        <w:rPr>
          <w:sz w:val="22"/>
        </w:rPr>
      </w:pPr>
      <w:r>
        <w:rPr>
          <w:rFonts w:hint="eastAsia"/>
          <w:sz w:val="22"/>
        </w:rPr>
        <w:t>第二节</w:t>
      </w:r>
      <w:r>
        <w:rPr>
          <w:sz w:val="22"/>
        </w:rPr>
        <w:t xml:space="preserve">   </w:t>
      </w:r>
      <w:r>
        <w:rPr>
          <w:rFonts w:hint="eastAsia"/>
          <w:sz w:val="22"/>
        </w:rPr>
        <w:t>神经发育学，运动再学习理论与作业治疗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第三节</w:t>
      </w:r>
      <w:r>
        <w:rPr>
          <w:sz w:val="22"/>
        </w:rPr>
        <w:t xml:space="preserve">   </w:t>
      </w:r>
      <w:r>
        <w:rPr>
          <w:rFonts w:hint="eastAsia"/>
          <w:sz w:val="22"/>
        </w:rPr>
        <w:t>生物力学的理论与作业治疗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第四节</w:t>
      </w:r>
      <w:r>
        <w:rPr>
          <w:sz w:val="22"/>
        </w:rPr>
        <w:t xml:space="preserve">   </w:t>
      </w:r>
      <w:r>
        <w:rPr>
          <w:rFonts w:hint="eastAsia"/>
          <w:sz w:val="22"/>
        </w:rPr>
        <w:t>认知学习、行为学习理论与作业治疗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第五节</w:t>
      </w:r>
      <w:r>
        <w:rPr>
          <w:sz w:val="22"/>
        </w:rPr>
        <w:t xml:space="preserve">   </w:t>
      </w:r>
      <w:r>
        <w:rPr>
          <w:rFonts w:hint="eastAsia"/>
          <w:sz w:val="22"/>
        </w:rPr>
        <w:t>作业治疗的相关因素</w:t>
      </w:r>
    </w:p>
    <w:p w:rsidR="003717A0" w:rsidRDefault="003717A0">
      <w:pPr>
        <w:autoSpaceDE w:val="0"/>
        <w:autoSpaceDN w:val="0"/>
        <w:adjustRightInd w:val="0"/>
        <w:spacing w:line="360" w:lineRule="exact"/>
        <w:ind w:firstLineChars="193" w:firstLine="465"/>
        <w:jc w:val="left"/>
        <w:rPr>
          <w:rFonts w:ascii="Times New Roman" w:eastAsia="黑体" w:hAnsi="Times New Roman"/>
          <w:b/>
          <w:kern w:val="0"/>
          <w:sz w:val="24"/>
          <w:szCs w:val="24"/>
        </w:rPr>
      </w:pPr>
      <w:r>
        <w:rPr>
          <w:rFonts w:ascii="Times New Roman" w:eastAsia="黑体" w:hAnsi="Times New Roman" w:hint="eastAsia"/>
          <w:b/>
          <w:kern w:val="0"/>
          <w:sz w:val="24"/>
          <w:szCs w:val="24"/>
        </w:rPr>
        <w:t>第二章、神经系统疾病作业治疗的评估和分析</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、掌握作业技能相关评定中感知觉、认知、注意能力的评定方法</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、掌握</w:t>
      </w:r>
      <w:r>
        <w:rPr>
          <w:sz w:val="22"/>
        </w:rPr>
        <w:t>ADL</w:t>
      </w:r>
      <w:r>
        <w:rPr>
          <w:rFonts w:hint="eastAsia"/>
          <w:sz w:val="22"/>
        </w:rPr>
        <w:t>评定方法、评定标准及注意事项。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、掌握作业活动分析方法</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、熟悉生活质量评定、职业能力评定的方法</w:t>
      </w:r>
    </w:p>
    <w:p w:rsidR="003717A0" w:rsidRDefault="003717A0">
      <w:pPr>
        <w:autoSpaceDE w:val="0"/>
        <w:autoSpaceDN w:val="0"/>
        <w:adjustRightInd w:val="0"/>
        <w:spacing w:line="360" w:lineRule="exact"/>
        <w:ind w:firstLineChars="193" w:firstLine="425"/>
        <w:jc w:val="left"/>
        <w:rPr>
          <w:sz w:val="22"/>
        </w:rPr>
      </w:pPr>
      <w:r>
        <w:rPr>
          <w:sz w:val="22"/>
        </w:rPr>
        <w:t>5</w:t>
      </w:r>
      <w:r>
        <w:rPr>
          <w:rFonts w:hint="eastAsia"/>
          <w:sz w:val="22"/>
        </w:rPr>
        <w:t>、熟悉家庭环境的评定内容</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rFonts w:hint="eastAsia"/>
          <w:sz w:val="22"/>
        </w:rPr>
        <w:t>第一节</w:t>
      </w:r>
      <w:r>
        <w:rPr>
          <w:sz w:val="22"/>
        </w:rPr>
        <w:t xml:space="preserve">  </w:t>
      </w:r>
      <w:r>
        <w:rPr>
          <w:rFonts w:hint="eastAsia"/>
          <w:sz w:val="22"/>
        </w:rPr>
        <w:t>作业技能的相关评定</w:t>
      </w:r>
    </w:p>
    <w:p w:rsidR="003717A0" w:rsidRDefault="003717A0">
      <w:pPr>
        <w:autoSpaceDE w:val="0"/>
        <w:autoSpaceDN w:val="0"/>
        <w:adjustRightInd w:val="0"/>
        <w:spacing w:line="360" w:lineRule="exact"/>
        <w:ind w:firstLineChars="193" w:firstLine="425"/>
        <w:jc w:val="left"/>
        <w:rPr>
          <w:sz w:val="22"/>
        </w:rPr>
      </w:pPr>
      <w:r>
        <w:rPr>
          <w:sz w:val="22"/>
        </w:rPr>
        <w:lastRenderedPageBreak/>
        <w:t>1</w:t>
      </w:r>
      <w:r>
        <w:rPr>
          <w:rFonts w:hint="eastAsia"/>
          <w:sz w:val="22"/>
        </w:rPr>
        <w:t>、感觉评定</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、认知功能的评估</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、注意能力的评定</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、记忆功能的评定</w:t>
      </w:r>
    </w:p>
    <w:p w:rsidR="003717A0" w:rsidRDefault="003717A0">
      <w:pPr>
        <w:autoSpaceDE w:val="0"/>
        <w:autoSpaceDN w:val="0"/>
        <w:adjustRightInd w:val="0"/>
        <w:spacing w:line="360" w:lineRule="exact"/>
        <w:ind w:firstLineChars="193" w:firstLine="425"/>
        <w:jc w:val="left"/>
        <w:rPr>
          <w:sz w:val="22"/>
        </w:rPr>
      </w:pPr>
      <w:r>
        <w:rPr>
          <w:sz w:val="22"/>
        </w:rPr>
        <w:t>5</w:t>
      </w:r>
      <w:r>
        <w:rPr>
          <w:rFonts w:hint="eastAsia"/>
          <w:sz w:val="22"/>
        </w:rPr>
        <w:t>、神经心理测验</w:t>
      </w:r>
    </w:p>
    <w:p w:rsidR="003717A0" w:rsidRDefault="003717A0">
      <w:pPr>
        <w:autoSpaceDE w:val="0"/>
        <w:autoSpaceDN w:val="0"/>
        <w:adjustRightInd w:val="0"/>
        <w:spacing w:line="360" w:lineRule="exact"/>
        <w:ind w:firstLineChars="193" w:firstLine="425"/>
        <w:jc w:val="left"/>
        <w:rPr>
          <w:sz w:val="22"/>
        </w:rPr>
      </w:pPr>
      <w:r>
        <w:rPr>
          <w:sz w:val="22"/>
        </w:rPr>
        <w:t>6</w:t>
      </w:r>
      <w:r>
        <w:rPr>
          <w:rFonts w:hint="eastAsia"/>
          <w:sz w:val="22"/>
        </w:rPr>
        <w:t>、知觉功能评定</w:t>
      </w:r>
    </w:p>
    <w:p w:rsidR="003717A0" w:rsidRDefault="003717A0">
      <w:pPr>
        <w:autoSpaceDE w:val="0"/>
        <w:autoSpaceDN w:val="0"/>
        <w:adjustRightInd w:val="0"/>
        <w:spacing w:line="360" w:lineRule="exact"/>
        <w:ind w:firstLineChars="193" w:firstLine="425"/>
        <w:jc w:val="left"/>
        <w:rPr>
          <w:sz w:val="22"/>
        </w:rPr>
      </w:pPr>
      <w:r>
        <w:rPr>
          <w:rFonts w:hint="eastAsia"/>
          <w:sz w:val="22"/>
        </w:rPr>
        <w:t>第二节</w:t>
      </w:r>
      <w:r>
        <w:rPr>
          <w:sz w:val="22"/>
        </w:rPr>
        <w:t xml:space="preserve">  </w:t>
      </w:r>
      <w:r>
        <w:rPr>
          <w:rFonts w:hint="eastAsia"/>
          <w:sz w:val="22"/>
        </w:rPr>
        <w:t>作业业能力的评定</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、日常生活活动能力评定</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、生活质量评定</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、职业能力评定</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t>第三节</w:t>
      </w:r>
      <w:r>
        <w:rPr>
          <w:sz w:val="22"/>
        </w:rPr>
        <w:t xml:space="preserve">  </w:t>
      </w:r>
      <w:r>
        <w:rPr>
          <w:rFonts w:hint="eastAsia"/>
          <w:sz w:val="22"/>
        </w:rPr>
        <w:t>环境评定</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、家庭环境评定</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、社区环境评定</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、社会环境评定</w:t>
      </w:r>
    </w:p>
    <w:p w:rsidR="003717A0" w:rsidRDefault="003717A0">
      <w:pPr>
        <w:autoSpaceDE w:val="0"/>
        <w:autoSpaceDN w:val="0"/>
        <w:adjustRightInd w:val="0"/>
        <w:spacing w:line="360" w:lineRule="exact"/>
        <w:ind w:firstLineChars="193" w:firstLine="425"/>
        <w:jc w:val="left"/>
        <w:rPr>
          <w:sz w:val="22"/>
        </w:rPr>
      </w:pPr>
      <w:r>
        <w:rPr>
          <w:rFonts w:hint="eastAsia"/>
          <w:sz w:val="22"/>
        </w:rPr>
        <w:t>第四节</w:t>
      </w:r>
      <w:r>
        <w:rPr>
          <w:sz w:val="22"/>
        </w:rPr>
        <w:t xml:space="preserve">  </w:t>
      </w:r>
      <w:r>
        <w:rPr>
          <w:rFonts w:hint="eastAsia"/>
          <w:sz w:val="22"/>
        </w:rPr>
        <w:t>与神经系统疾病相关的电诊断技术</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、时间强度曲线</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、神经传导速度及诱发电位</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、临床肌电图检查</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、运用指征、适应症与禁忌症</w:t>
      </w:r>
    </w:p>
    <w:p w:rsidR="003717A0" w:rsidRDefault="003717A0">
      <w:pPr>
        <w:autoSpaceDE w:val="0"/>
        <w:autoSpaceDN w:val="0"/>
        <w:adjustRightInd w:val="0"/>
        <w:spacing w:line="360" w:lineRule="exact"/>
        <w:ind w:firstLineChars="193" w:firstLine="425"/>
        <w:jc w:val="left"/>
        <w:rPr>
          <w:sz w:val="22"/>
        </w:rPr>
      </w:pPr>
      <w:r>
        <w:rPr>
          <w:rFonts w:hint="eastAsia"/>
          <w:sz w:val="22"/>
        </w:rPr>
        <w:t>第五节、作业活动分析方法</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、概述</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、全面性作业分析方法</w:t>
      </w:r>
      <w:r>
        <w:rPr>
          <w:sz w:val="22"/>
        </w:rPr>
        <w:t xml:space="preserve">  Filder</w:t>
      </w:r>
      <w:r>
        <w:rPr>
          <w:rFonts w:hint="eastAsia"/>
          <w:sz w:val="22"/>
        </w:rPr>
        <w:t>、</w:t>
      </w:r>
      <w:r>
        <w:rPr>
          <w:sz w:val="22"/>
        </w:rPr>
        <w:t>Pedretti</w:t>
      </w:r>
      <w:r>
        <w:rPr>
          <w:rFonts w:hint="eastAsia"/>
          <w:sz w:val="22"/>
        </w:rPr>
        <w:t>、山根、以人为本的作业分析方法</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、部分性作业分析方法</w:t>
      </w:r>
      <w:r>
        <w:rPr>
          <w:sz w:val="22"/>
        </w:rPr>
        <w:t xml:space="preserve">  </w:t>
      </w:r>
      <w:r>
        <w:rPr>
          <w:rFonts w:hint="eastAsia"/>
          <w:sz w:val="22"/>
        </w:rPr>
        <w:t>生物力学、神经发育、感觉整合、精神、人的作业模式分析方法</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、病案分析方法</w:t>
      </w:r>
      <w:r>
        <w:rPr>
          <w:sz w:val="22"/>
        </w:rPr>
        <w:t xml:space="preserve">  </w:t>
      </w:r>
      <w:r>
        <w:rPr>
          <w:rFonts w:hint="eastAsia"/>
          <w:sz w:val="22"/>
        </w:rPr>
        <w:t>临床思维、临床知识和临床推理能力的综合。</w:t>
      </w:r>
    </w:p>
    <w:p w:rsidR="003717A0" w:rsidRDefault="003717A0">
      <w:pPr>
        <w:autoSpaceDE w:val="0"/>
        <w:autoSpaceDN w:val="0"/>
        <w:adjustRightInd w:val="0"/>
        <w:spacing w:line="360" w:lineRule="exact"/>
        <w:ind w:firstLineChars="193" w:firstLine="465"/>
        <w:jc w:val="left"/>
        <w:rPr>
          <w:rFonts w:ascii="Times New Roman" w:eastAsia="黑体" w:hAnsi="Times New Roman"/>
          <w:b/>
          <w:kern w:val="0"/>
          <w:sz w:val="24"/>
          <w:szCs w:val="24"/>
        </w:rPr>
      </w:pPr>
      <w:r>
        <w:rPr>
          <w:rFonts w:ascii="Times New Roman" w:eastAsia="黑体" w:hAnsi="Times New Roman" w:hint="eastAsia"/>
          <w:b/>
          <w:kern w:val="0"/>
          <w:sz w:val="24"/>
          <w:szCs w:val="24"/>
        </w:rPr>
        <w:t>第三章</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神经系统疾病作业治疗的方法和技术</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、掌握神经系统疾病作业治疗的治疗原则</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、熟悉神经系统疾病作业治疗相关的物理治疗技术</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、掌握感觉训练、肌张力训练、</w:t>
      </w:r>
      <w:r>
        <w:rPr>
          <w:sz w:val="22"/>
        </w:rPr>
        <w:t>ADL</w:t>
      </w:r>
      <w:r>
        <w:rPr>
          <w:rFonts w:hint="eastAsia"/>
          <w:sz w:val="22"/>
        </w:rPr>
        <w:t>训练、认知训练、代偿和适应训练的方法</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、熟悉自助具的种类和适用范围、训练方法</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rFonts w:hint="eastAsia"/>
          <w:sz w:val="22"/>
        </w:rPr>
        <w:t>感觉训练</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t>通过提供合适的感觉刺激活动增加对环境刺激的反应水平；</w:t>
      </w:r>
    </w:p>
    <w:p w:rsidR="003717A0" w:rsidRDefault="003717A0">
      <w:pPr>
        <w:autoSpaceDE w:val="0"/>
        <w:autoSpaceDN w:val="0"/>
        <w:adjustRightInd w:val="0"/>
        <w:spacing w:line="360" w:lineRule="exact"/>
        <w:ind w:firstLineChars="193" w:firstLine="425"/>
        <w:jc w:val="left"/>
        <w:rPr>
          <w:sz w:val="22"/>
        </w:rPr>
      </w:pPr>
      <w:r>
        <w:rPr>
          <w:rFonts w:hint="eastAsia"/>
          <w:sz w:val="22"/>
        </w:rPr>
        <w:t>肌力和肌张力的训练</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t>提高肌张力异常的患者的姿势反射和位置控制能力；</w:t>
      </w:r>
    </w:p>
    <w:p w:rsidR="003717A0" w:rsidRDefault="003717A0">
      <w:pPr>
        <w:autoSpaceDE w:val="0"/>
        <w:autoSpaceDN w:val="0"/>
        <w:adjustRightInd w:val="0"/>
        <w:spacing w:line="360" w:lineRule="exact"/>
        <w:ind w:firstLineChars="193" w:firstLine="425"/>
        <w:jc w:val="left"/>
        <w:rPr>
          <w:sz w:val="22"/>
        </w:rPr>
      </w:pPr>
      <w:r>
        <w:rPr>
          <w:sz w:val="22"/>
        </w:rPr>
        <w:t>ADL</w:t>
      </w:r>
      <w:r>
        <w:rPr>
          <w:rFonts w:hint="eastAsia"/>
          <w:sz w:val="22"/>
        </w:rPr>
        <w:t>训练</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t>通过自我照顾基本能力训练，提高日常生活活动的功能型独立能力；</w:t>
      </w:r>
    </w:p>
    <w:p w:rsidR="003717A0" w:rsidRDefault="003717A0">
      <w:pPr>
        <w:autoSpaceDE w:val="0"/>
        <w:autoSpaceDN w:val="0"/>
        <w:adjustRightInd w:val="0"/>
        <w:spacing w:line="360" w:lineRule="exact"/>
        <w:ind w:firstLineChars="193" w:firstLine="425"/>
        <w:jc w:val="left"/>
        <w:rPr>
          <w:sz w:val="22"/>
        </w:rPr>
      </w:pPr>
      <w:r>
        <w:rPr>
          <w:rFonts w:hint="eastAsia"/>
          <w:sz w:val="22"/>
        </w:rPr>
        <w:t>代偿和适应训练</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lastRenderedPageBreak/>
        <w:t>增强日常生活活动的独立性；</w:t>
      </w:r>
    </w:p>
    <w:p w:rsidR="003717A0" w:rsidRDefault="003717A0">
      <w:pPr>
        <w:autoSpaceDE w:val="0"/>
        <w:autoSpaceDN w:val="0"/>
        <w:adjustRightInd w:val="0"/>
        <w:spacing w:line="360" w:lineRule="exact"/>
        <w:ind w:firstLineChars="193" w:firstLine="425"/>
        <w:jc w:val="left"/>
        <w:rPr>
          <w:sz w:val="22"/>
        </w:rPr>
      </w:pPr>
      <w:r>
        <w:rPr>
          <w:rFonts w:hint="eastAsia"/>
          <w:sz w:val="22"/>
        </w:rPr>
        <w:t>认知训练</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t>通过各种认知代偿，训练和康复方法改善认知功能。</w:t>
      </w:r>
    </w:p>
    <w:p w:rsidR="003717A0" w:rsidRDefault="003717A0">
      <w:pPr>
        <w:autoSpaceDE w:val="0"/>
        <w:autoSpaceDN w:val="0"/>
        <w:adjustRightInd w:val="0"/>
        <w:spacing w:line="360" w:lineRule="exact"/>
        <w:ind w:firstLineChars="193" w:firstLine="425"/>
        <w:jc w:val="left"/>
        <w:rPr>
          <w:sz w:val="22"/>
        </w:rPr>
      </w:pPr>
      <w:r>
        <w:rPr>
          <w:rFonts w:hint="eastAsia"/>
          <w:sz w:val="22"/>
        </w:rPr>
        <w:t>第六节</w:t>
      </w:r>
      <w:r>
        <w:rPr>
          <w:sz w:val="22"/>
        </w:rPr>
        <w:t xml:space="preserve">  </w:t>
      </w:r>
      <w:r>
        <w:rPr>
          <w:rFonts w:hint="eastAsia"/>
          <w:sz w:val="22"/>
        </w:rPr>
        <w:t>与神经系统疾病作业治疗相关的物理因子治疗</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w:t>
      </w:r>
      <w:r>
        <w:rPr>
          <w:sz w:val="22"/>
        </w:rPr>
        <w:t>NMES(</w:t>
      </w:r>
      <w:r>
        <w:rPr>
          <w:rFonts w:hint="eastAsia"/>
          <w:sz w:val="22"/>
        </w:rPr>
        <w:t>神经肌肉电刺激</w:t>
      </w:r>
      <w:r>
        <w:rPr>
          <w:sz w:val="22"/>
        </w:rPr>
        <w:t>)</w:t>
      </w:r>
      <w:r>
        <w:rPr>
          <w:rFonts w:hint="eastAsia"/>
          <w:sz w:val="22"/>
        </w:rPr>
        <w:t>的应用</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、生物反馈疗法的原理与应用</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、其他：激光疗法、蜡疗等</w:t>
      </w:r>
    </w:p>
    <w:p w:rsidR="003717A0" w:rsidRDefault="003717A0">
      <w:pPr>
        <w:autoSpaceDE w:val="0"/>
        <w:autoSpaceDN w:val="0"/>
        <w:adjustRightInd w:val="0"/>
        <w:spacing w:line="360" w:lineRule="exact"/>
        <w:ind w:firstLineChars="193" w:firstLine="425"/>
        <w:jc w:val="left"/>
        <w:rPr>
          <w:sz w:val="22"/>
        </w:rPr>
      </w:pPr>
      <w:r>
        <w:rPr>
          <w:rFonts w:hint="eastAsia"/>
          <w:sz w:val="22"/>
        </w:rPr>
        <w:t>第七节</w:t>
      </w:r>
      <w:r>
        <w:rPr>
          <w:sz w:val="22"/>
        </w:rPr>
        <w:t xml:space="preserve">  </w:t>
      </w:r>
      <w:r>
        <w:rPr>
          <w:rFonts w:hint="eastAsia"/>
          <w:sz w:val="22"/>
        </w:rPr>
        <w:t>常用自助具的佩戴和训练</w:t>
      </w:r>
      <w:r>
        <w:rPr>
          <w:sz w:val="22"/>
        </w:rPr>
        <w:t xml:space="preserve">  </w:t>
      </w:r>
    </w:p>
    <w:p w:rsidR="003717A0" w:rsidRDefault="003717A0">
      <w:pPr>
        <w:autoSpaceDE w:val="0"/>
        <w:autoSpaceDN w:val="0"/>
        <w:adjustRightInd w:val="0"/>
        <w:spacing w:line="360" w:lineRule="exact"/>
        <w:ind w:firstLineChars="193" w:firstLine="425"/>
        <w:jc w:val="left"/>
        <w:rPr>
          <w:sz w:val="22"/>
        </w:rPr>
      </w:pPr>
      <w:r>
        <w:rPr>
          <w:rFonts w:hint="eastAsia"/>
          <w:sz w:val="22"/>
        </w:rPr>
        <w:t>各种自助具的适用范围、</w:t>
      </w:r>
    </w:p>
    <w:p w:rsidR="003717A0" w:rsidRDefault="003717A0">
      <w:pPr>
        <w:autoSpaceDE w:val="0"/>
        <w:autoSpaceDN w:val="0"/>
        <w:adjustRightInd w:val="0"/>
        <w:spacing w:line="360" w:lineRule="exact"/>
        <w:ind w:firstLineChars="193" w:firstLine="465"/>
        <w:jc w:val="left"/>
        <w:rPr>
          <w:rFonts w:ascii="Times New Roman" w:eastAsia="黑体" w:hAnsi="Times New Roman"/>
          <w:b/>
          <w:kern w:val="0"/>
          <w:sz w:val="24"/>
          <w:szCs w:val="24"/>
        </w:rPr>
      </w:pPr>
      <w:r>
        <w:rPr>
          <w:rFonts w:ascii="Times New Roman" w:eastAsia="黑体" w:hAnsi="Times New Roman" w:hint="eastAsia"/>
          <w:b/>
          <w:kern w:val="0"/>
          <w:sz w:val="24"/>
          <w:szCs w:val="24"/>
        </w:rPr>
        <w:t>第四章</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常见神经系统疾病患者的作业治疗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第一节</w:t>
      </w:r>
      <w:r>
        <w:rPr>
          <w:sz w:val="22"/>
        </w:rPr>
        <w:t xml:space="preserve">  </w:t>
      </w:r>
      <w:r>
        <w:rPr>
          <w:rFonts w:hint="eastAsia"/>
          <w:sz w:val="22"/>
        </w:rPr>
        <w:t>脑卒中的作业治疗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、了解脑卒中的概念、分类、危险因素、临床诊治</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、掌握脑卒中后的功能障碍特点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、掌握脑卒中康复评定的内容及方法</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、熟悉脑卒中康复治疗的原则</w:t>
      </w:r>
    </w:p>
    <w:p w:rsidR="003717A0" w:rsidRDefault="003717A0">
      <w:pPr>
        <w:autoSpaceDE w:val="0"/>
        <w:autoSpaceDN w:val="0"/>
        <w:adjustRightInd w:val="0"/>
        <w:spacing w:line="360" w:lineRule="exact"/>
        <w:ind w:firstLineChars="193" w:firstLine="425"/>
        <w:jc w:val="left"/>
        <w:rPr>
          <w:sz w:val="22"/>
        </w:rPr>
      </w:pPr>
      <w:r>
        <w:rPr>
          <w:sz w:val="22"/>
        </w:rPr>
        <w:t>5</w:t>
      </w:r>
      <w:r>
        <w:rPr>
          <w:rFonts w:hint="eastAsia"/>
          <w:sz w:val="22"/>
        </w:rPr>
        <w:t>、掌握脑卒中具体的作业治疗方法</w:t>
      </w:r>
    </w:p>
    <w:p w:rsidR="003717A0" w:rsidRDefault="003717A0">
      <w:pPr>
        <w:autoSpaceDE w:val="0"/>
        <w:autoSpaceDN w:val="0"/>
        <w:adjustRightInd w:val="0"/>
        <w:spacing w:line="360" w:lineRule="exact"/>
        <w:ind w:firstLineChars="193" w:firstLine="425"/>
        <w:jc w:val="left"/>
        <w:rPr>
          <w:sz w:val="22"/>
        </w:rPr>
      </w:pPr>
      <w:r>
        <w:rPr>
          <w:sz w:val="22"/>
        </w:rPr>
        <w:t>6</w:t>
      </w:r>
      <w:r>
        <w:rPr>
          <w:rFonts w:hint="eastAsia"/>
          <w:sz w:val="22"/>
        </w:rPr>
        <w:t>、熟悉脑卒中的并发症及治疗方法</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、概述</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、功能障碍的特点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、功能评定</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第二节</w:t>
      </w:r>
      <w:r>
        <w:rPr>
          <w:sz w:val="22"/>
        </w:rPr>
        <w:t xml:space="preserve"> </w:t>
      </w:r>
      <w:r>
        <w:rPr>
          <w:rFonts w:hint="eastAsia"/>
          <w:sz w:val="22"/>
        </w:rPr>
        <w:t>颅脑损伤的作业治疗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、了解颅脑损伤的概念、病因、分类、临床诊治</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、掌握颅脑损伤后的功能障碍特点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、掌握颅脑损伤康复评定的内容及方法</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、熟悉颅脑损伤的康复治疗原则</w:t>
      </w:r>
    </w:p>
    <w:p w:rsidR="003717A0" w:rsidRDefault="003717A0">
      <w:pPr>
        <w:autoSpaceDE w:val="0"/>
        <w:autoSpaceDN w:val="0"/>
        <w:adjustRightInd w:val="0"/>
        <w:spacing w:line="360" w:lineRule="exact"/>
        <w:ind w:firstLineChars="193" w:firstLine="425"/>
        <w:jc w:val="left"/>
        <w:rPr>
          <w:sz w:val="22"/>
        </w:rPr>
      </w:pPr>
      <w:r>
        <w:rPr>
          <w:sz w:val="22"/>
        </w:rPr>
        <w:t>5</w:t>
      </w:r>
      <w:r>
        <w:rPr>
          <w:rFonts w:hint="eastAsia"/>
          <w:sz w:val="22"/>
        </w:rPr>
        <w:t>、掌握颅脑损伤具体的作业治疗方法</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、概述</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、功能障碍的特点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、功能评定</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第三节</w:t>
      </w:r>
      <w:r>
        <w:rPr>
          <w:sz w:val="22"/>
        </w:rPr>
        <w:t xml:space="preserve">  </w:t>
      </w:r>
      <w:r>
        <w:rPr>
          <w:rFonts w:hint="eastAsia"/>
          <w:sz w:val="22"/>
        </w:rPr>
        <w:t>脊髓损伤的作业治疗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、了解概念、病因、临床表现、临床诊治、并发症及处理</w:t>
      </w:r>
    </w:p>
    <w:p w:rsidR="003717A0" w:rsidRDefault="003717A0">
      <w:pPr>
        <w:autoSpaceDE w:val="0"/>
        <w:autoSpaceDN w:val="0"/>
        <w:adjustRightInd w:val="0"/>
        <w:spacing w:line="360" w:lineRule="exact"/>
        <w:ind w:firstLineChars="193" w:firstLine="425"/>
        <w:jc w:val="left"/>
        <w:rPr>
          <w:sz w:val="22"/>
        </w:rPr>
      </w:pPr>
      <w:r>
        <w:rPr>
          <w:sz w:val="22"/>
        </w:rPr>
        <w:lastRenderedPageBreak/>
        <w:t>2</w:t>
      </w:r>
      <w:r>
        <w:rPr>
          <w:rFonts w:hint="eastAsia"/>
          <w:sz w:val="22"/>
        </w:rPr>
        <w:t>、掌握康复评定的内容及方法</w:t>
      </w:r>
      <w:r>
        <w:rPr>
          <w:sz w:val="22"/>
        </w:rPr>
        <w:t xml:space="preserve"> 10</w:t>
      </w:r>
      <w:r>
        <w:rPr>
          <w:rFonts w:hint="eastAsia"/>
          <w:sz w:val="22"/>
        </w:rPr>
        <w:t>组关键肌、</w:t>
      </w:r>
      <w:r>
        <w:rPr>
          <w:sz w:val="22"/>
        </w:rPr>
        <w:t>28</w:t>
      </w:r>
      <w:r>
        <w:rPr>
          <w:rFonts w:hint="eastAsia"/>
          <w:sz w:val="22"/>
        </w:rPr>
        <w:t>个感觉位点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、了解</w:t>
      </w:r>
      <w:r>
        <w:rPr>
          <w:sz w:val="22"/>
        </w:rPr>
        <w:t>ASIA</w:t>
      </w:r>
      <w:r>
        <w:rPr>
          <w:rFonts w:hint="eastAsia"/>
          <w:sz w:val="22"/>
        </w:rPr>
        <w:t>残损指数、球</w:t>
      </w:r>
      <w:r>
        <w:rPr>
          <w:sz w:val="22"/>
        </w:rPr>
        <w:t>-</w:t>
      </w:r>
      <w:r>
        <w:rPr>
          <w:rFonts w:hint="eastAsia"/>
          <w:sz w:val="22"/>
        </w:rPr>
        <w:t>肛反射、肛门指检等</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、掌握排尿训练、排便训练技术方法</w:t>
      </w:r>
    </w:p>
    <w:p w:rsidR="003717A0" w:rsidRDefault="003717A0">
      <w:pPr>
        <w:autoSpaceDE w:val="0"/>
        <w:autoSpaceDN w:val="0"/>
        <w:adjustRightInd w:val="0"/>
        <w:spacing w:line="360" w:lineRule="exact"/>
        <w:ind w:firstLineChars="193" w:firstLine="425"/>
        <w:jc w:val="left"/>
        <w:rPr>
          <w:sz w:val="22"/>
        </w:rPr>
      </w:pPr>
      <w:r>
        <w:rPr>
          <w:sz w:val="22"/>
        </w:rPr>
        <w:t>5</w:t>
      </w:r>
      <w:r>
        <w:rPr>
          <w:rFonts w:hint="eastAsia"/>
          <w:sz w:val="22"/>
        </w:rPr>
        <w:t>、了解脊髓损伤的新进展，康复训练的原则、方法及分期、各节段损伤的康复治疗</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、概述</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、功能障碍的特点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、功能评定</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第四节</w:t>
      </w:r>
      <w:r>
        <w:rPr>
          <w:sz w:val="22"/>
        </w:rPr>
        <w:t xml:space="preserve">  </w:t>
      </w:r>
      <w:r>
        <w:rPr>
          <w:rFonts w:hint="eastAsia"/>
          <w:sz w:val="22"/>
        </w:rPr>
        <w:t>周围神经损伤的作业治疗</w:t>
      </w:r>
    </w:p>
    <w:p w:rsidR="003717A0" w:rsidRDefault="003717A0">
      <w:pPr>
        <w:autoSpaceDE w:val="0"/>
        <w:autoSpaceDN w:val="0"/>
        <w:adjustRightInd w:val="0"/>
        <w:spacing w:line="360" w:lineRule="exact"/>
        <w:ind w:firstLineChars="193" w:firstLine="425"/>
        <w:jc w:val="left"/>
        <w:rPr>
          <w:sz w:val="22"/>
        </w:rPr>
      </w:pPr>
      <w:r>
        <w:rPr>
          <w:rFonts w:hint="eastAsia"/>
          <w:sz w:val="22"/>
        </w:rPr>
        <w:t>目的要求：</w:t>
      </w:r>
    </w:p>
    <w:p w:rsidR="003717A0" w:rsidRDefault="003717A0">
      <w:pPr>
        <w:autoSpaceDE w:val="0"/>
        <w:autoSpaceDN w:val="0"/>
        <w:adjustRightInd w:val="0"/>
        <w:spacing w:line="360" w:lineRule="exact"/>
        <w:ind w:firstLineChars="193" w:firstLine="425"/>
        <w:jc w:val="left"/>
        <w:rPr>
          <w:sz w:val="22"/>
        </w:rPr>
      </w:pPr>
      <w:r>
        <w:rPr>
          <w:rFonts w:hint="eastAsia"/>
          <w:sz w:val="22"/>
        </w:rPr>
        <w:t>熟悉周围神经组成</w:t>
      </w:r>
    </w:p>
    <w:p w:rsidR="003717A0" w:rsidRDefault="003717A0">
      <w:pPr>
        <w:autoSpaceDE w:val="0"/>
        <w:autoSpaceDN w:val="0"/>
        <w:adjustRightInd w:val="0"/>
        <w:spacing w:line="360" w:lineRule="exact"/>
        <w:ind w:firstLineChars="193" w:firstLine="425"/>
        <w:jc w:val="left"/>
        <w:rPr>
          <w:sz w:val="22"/>
        </w:rPr>
      </w:pPr>
      <w:r>
        <w:rPr>
          <w:rFonts w:hint="eastAsia"/>
          <w:sz w:val="22"/>
        </w:rPr>
        <w:t>了解周围神经损伤的分类</w:t>
      </w:r>
    </w:p>
    <w:p w:rsidR="003717A0" w:rsidRDefault="003717A0">
      <w:pPr>
        <w:autoSpaceDE w:val="0"/>
        <w:autoSpaceDN w:val="0"/>
        <w:adjustRightInd w:val="0"/>
        <w:spacing w:line="360" w:lineRule="exact"/>
        <w:ind w:firstLineChars="193" w:firstLine="425"/>
        <w:jc w:val="left"/>
        <w:rPr>
          <w:sz w:val="22"/>
        </w:rPr>
      </w:pPr>
      <w:r>
        <w:rPr>
          <w:rFonts w:hint="eastAsia"/>
          <w:sz w:val="22"/>
        </w:rPr>
        <w:t>了解常见功能障碍</w:t>
      </w:r>
    </w:p>
    <w:p w:rsidR="003717A0" w:rsidRDefault="003717A0">
      <w:pPr>
        <w:autoSpaceDE w:val="0"/>
        <w:autoSpaceDN w:val="0"/>
        <w:adjustRightInd w:val="0"/>
        <w:spacing w:line="360" w:lineRule="exact"/>
        <w:ind w:firstLineChars="193" w:firstLine="425"/>
        <w:jc w:val="left"/>
        <w:rPr>
          <w:sz w:val="22"/>
        </w:rPr>
      </w:pPr>
      <w:r>
        <w:rPr>
          <w:rFonts w:hint="eastAsia"/>
          <w:sz w:val="22"/>
        </w:rPr>
        <w:t>了解康复评定内容及方法</w:t>
      </w:r>
    </w:p>
    <w:p w:rsidR="003717A0" w:rsidRDefault="003717A0">
      <w:pPr>
        <w:autoSpaceDE w:val="0"/>
        <w:autoSpaceDN w:val="0"/>
        <w:adjustRightInd w:val="0"/>
        <w:spacing w:line="360" w:lineRule="exact"/>
        <w:ind w:firstLineChars="193" w:firstLine="425"/>
        <w:jc w:val="left"/>
        <w:rPr>
          <w:sz w:val="22"/>
        </w:rPr>
      </w:pPr>
      <w:r>
        <w:rPr>
          <w:rFonts w:hint="eastAsia"/>
          <w:sz w:val="22"/>
        </w:rPr>
        <w:t>掌握</w:t>
      </w:r>
      <w:r>
        <w:rPr>
          <w:sz w:val="22"/>
        </w:rPr>
        <w:t>Tinal</w:t>
      </w:r>
      <w:r>
        <w:rPr>
          <w:rFonts w:hint="eastAsia"/>
          <w:sz w:val="22"/>
        </w:rPr>
        <w:t>征</w:t>
      </w:r>
    </w:p>
    <w:p w:rsidR="003717A0" w:rsidRDefault="003717A0">
      <w:pPr>
        <w:autoSpaceDE w:val="0"/>
        <w:autoSpaceDN w:val="0"/>
        <w:adjustRightInd w:val="0"/>
        <w:spacing w:line="360" w:lineRule="exact"/>
        <w:ind w:firstLineChars="193" w:firstLine="425"/>
        <w:jc w:val="left"/>
        <w:rPr>
          <w:sz w:val="22"/>
        </w:rPr>
      </w:pPr>
      <w:r>
        <w:rPr>
          <w:rFonts w:hint="eastAsia"/>
          <w:sz w:val="22"/>
        </w:rPr>
        <w:t>了解常见周围神经损伤的表现及治疗</w:t>
      </w:r>
    </w:p>
    <w:p w:rsidR="003717A0" w:rsidRDefault="003717A0">
      <w:pPr>
        <w:autoSpaceDE w:val="0"/>
        <w:autoSpaceDN w:val="0"/>
        <w:adjustRightInd w:val="0"/>
        <w:spacing w:line="360" w:lineRule="exact"/>
        <w:ind w:firstLineChars="193" w:firstLine="425"/>
        <w:jc w:val="left"/>
        <w:rPr>
          <w:sz w:val="22"/>
        </w:rPr>
      </w:pPr>
      <w:r>
        <w:rPr>
          <w:rFonts w:hint="eastAsia"/>
          <w:sz w:val="22"/>
        </w:rPr>
        <w:t>教学内容：</w:t>
      </w:r>
    </w:p>
    <w:p w:rsidR="003717A0" w:rsidRDefault="003717A0">
      <w:pPr>
        <w:autoSpaceDE w:val="0"/>
        <w:autoSpaceDN w:val="0"/>
        <w:adjustRightInd w:val="0"/>
        <w:spacing w:line="360" w:lineRule="exact"/>
        <w:ind w:firstLineChars="193" w:firstLine="425"/>
        <w:jc w:val="left"/>
        <w:rPr>
          <w:sz w:val="22"/>
        </w:rPr>
      </w:pPr>
      <w:r>
        <w:rPr>
          <w:sz w:val="22"/>
        </w:rPr>
        <w:t>1</w:t>
      </w:r>
      <w:r>
        <w:rPr>
          <w:rFonts w:hint="eastAsia"/>
          <w:sz w:val="22"/>
        </w:rPr>
        <w:t>、概述</w:t>
      </w:r>
    </w:p>
    <w:p w:rsidR="003717A0" w:rsidRDefault="003717A0">
      <w:pPr>
        <w:autoSpaceDE w:val="0"/>
        <w:autoSpaceDN w:val="0"/>
        <w:adjustRightInd w:val="0"/>
        <w:spacing w:line="360" w:lineRule="exact"/>
        <w:ind w:firstLineChars="193" w:firstLine="425"/>
        <w:jc w:val="left"/>
        <w:rPr>
          <w:sz w:val="22"/>
        </w:rPr>
      </w:pPr>
      <w:r>
        <w:rPr>
          <w:sz w:val="22"/>
        </w:rPr>
        <w:t>2</w:t>
      </w:r>
      <w:r>
        <w:rPr>
          <w:rFonts w:hint="eastAsia"/>
          <w:sz w:val="22"/>
        </w:rPr>
        <w:t>、功能障碍的特点</w:t>
      </w:r>
    </w:p>
    <w:p w:rsidR="003717A0" w:rsidRDefault="003717A0">
      <w:pPr>
        <w:autoSpaceDE w:val="0"/>
        <w:autoSpaceDN w:val="0"/>
        <w:adjustRightInd w:val="0"/>
        <w:spacing w:line="360" w:lineRule="exact"/>
        <w:ind w:firstLineChars="193" w:firstLine="425"/>
        <w:jc w:val="left"/>
        <w:rPr>
          <w:sz w:val="22"/>
        </w:rPr>
      </w:pPr>
      <w:r>
        <w:rPr>
          <w:sz w:val="22"/>
        </w:rPr>
        <w:t>3</w:t>
      </w:r>
      <w:r>
        <w:rPr>
          <w:rFonts w:hint="eastAsia"/>
          <w:sz w:val="22"/>
        </w:rPr>
        <w:t>、功能评定</w:t>
      </w:r>
    </w:p>
    <w:p w:rsidR="003717A0" w:rsidRDefault="003717A0">
      <w:pPr>
        <w:autoSpaceDE w:val="0"/>
        <w:autoSpaceDN w:val="0"/>
        <w:adjustRightInd w:val="0"/>
        <w:spacing w:line="360" w:lineRule="exact"/>
        <w:ind w:firstLineChars="193" w:firstLine="425"/>
        <w:jc w:val="left"/>
        <w:rPr>
          <w:sz w:val="22"/>
        </w:rPr>
      </w:pPr>
      <w:r>
        <w:rPr>
          <w:sz w:val="22"/>
        </w:rPr>
        <w:t>4</w:t>
      </w:r>
      <w:r>
        <w:rPr>
          <w:rFonts w:hint="eastAsia"/>
          <w:sz w:val="22"/>
        </w:rPr>
        <w:t>、作业治疗</w:t>
      </w:r>
    </w:p>
    <w:p w:rsidR="003717A0" w:rsidRDefault="003717A0" w:rsidP="00566E4D">
      <w:pPr>
        <w:pStyle w:val="a7"/>
        <w:ind w:leftChars="0" w:left="0" w:firstLine="0"/>
        <w:rPr>
          <w:rFonts w:ascii="宋体"/>
          <w:b/>
          <w:szCs w:val="21"/>
        </w:rPr>
      </w:pPr>
    </w:p>
    <w:p w:rsidR="003717A0" w:rsidRDefault="003717A0">
      <w:pPr>
        <w:pStyle w:val="a7"/>
        <w:jc w:val="center"/>
        <w:rPr>
          <w:rFonts w:ascii="宋体"/>
          <w:b/>
          <w:szCs w:val="21"/>
        </w:rPr>
      </w:pPr>
      <w:r>
        <w:rPr>
          <w:rFonts w:ascii="宋体" w:hAnsi="宋体" w:hint="eastAsia"/>
          <w:b/>
          <w:szCs w:val="21"/>
        </w:rPr>
        <w:t>教学学时分配</w:t>
      </w:r>
    </w:p>
    <w:p w:rsidR="003717A0" w:rsidRDefault="003717A0">
      <w:pPr>
        <w:pStyle w:val="a7"/>
        <w:jc w:val="center"/>
        <w:rPr>
          <w:rFonts w:ascii="宋体"/>
          <w:szCs w:val="21"/>
        </w:rPr>
      </w:pPr>
    </w:p>
    <w:tbl>
      <w:tblPr>
        <w:tblW w:w="852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3072"/>
        <w:gridCol w:w="2131"/>
        <w:gridCol w:w="2131"/>
      </w:tblGrid>
      <w:tr w:rsidR="003717A0">
        <w:tc>
          <w:tcPr>
            <w:tcW w:w="1188" w:type="dxa"/>
          </w:tcPr>
          <w:p w:rsidR="003717A0" w:rsidRDefault="003717A0">
            <w:pPr>
              <w:rPr>
                <w:szCs w:val="21"/>
              </w:rPr>
            </w:pPr>
            <w:r>
              <w:rPr>
                <w:rFonts w:hint="eastAsia"/>
                <w:szCs w:val="21"/>
              </w:rPr>
              <w:t>序号</w:t>
            </w:r>
          </w:p>
        </w:tc>
        <w:tc>
          <w:tcPr>
            <w:tcW w:w="3072" w:type="dxa"/>
          </w:tcPr>
          <w:p w:rsidR="003717A0" w:rsidRDefault="003717A0">
            <w:pPr>
              <w:rPr>
                <w:szCs w:val="21"/>
              </w:rPr>
            </w:pPr>
            <w:r>
              <w:rPr>
                <w:rFonts w:hint="eastAsia"/>
                <w:szCs w:val="21"/>
              </w:rPr>
              <w:t>内容</w:t>
            </w:r>
          </w:p>
        </w:tc>
        <w:tc>
          <w:tcPr>
            <w:tcW w:w="2131" w:type="dxa"/>
          </w:tcPr>
          <w:p w:rsidR="003717A0" w:rsidRDefault="003717A0">
            <w:pPr>
              <w:rPr>
                <w:szCs w:val="21"/>
              </w:rPr>
            </w:pPr>
            <w:r>
              <w:rPr>
                <w:rFonts w:hint="eastAsia"/>
                <w:szCs w:val="21"/>
              </w:rPr>
              <w:t>理论课学时</w:t>
            </w:r>
          </w:p>
        </w:tc>
        <w:tc>
          <w:tcPr>
            <w:tcW w:w="2131" w:type="dxa"/>
          </w:tcPr>
          <w:p w:rsidR="003717A0" w:rsidRDefault="003717A0">
            <w:pPr>
              <w:rPr>
                <w:szCs w:val="21"/>
              </w:rPr>
            </w:pPr>
            <w:r>
              <w:rPr>
                <w:rFonts w:hint="eastAsia"/>
                <w:szCs w:val="21"/>
              </w:rPr>
              <w:t>实验见习学时</w:t>
            </w:r>
          </w:p>
        </w:tc>
      </w:tr>
      <w:tr w:rsidR="003717A0">
        <w:tc>
          <w:tcPr>
            <w:tcW w:w="1188" w:type="dxa"/>
          </w:tcPr>
          <w:p w:rsidR="003717A0" w:rsidRDefault="003717A0">
            <w:pPr>
              <w:rPr>
                <w:szCs w:val="21"/>
              </w:rPr>
            </w:pPr>
            <w:r>
              <w:rPr>
                <w:szCs w:val="21"/>
              </w:rPr>
              <w:t>1</w:t>
            </w:r>
          </w:p>
        </w:tc>
        <w:tc>
          <w:tcPr>
            <w:tcW w:w="3072" w:type="dxa"/>
          </w:tcPr>
          <w:p w:rsidR="003717A0" w:rsidRDefault="003717A0">
            <w:pPr>
              <w:rPr>
                <w:szCs w:val="21"/>
              </w:rPr>
            </w:pPr>
            <w:r>
              <w:rPr>
                <w:rFonts w:hint="eastAsia"/>
                <w:szCs w:val="21"/>
              </w:rPr>
              <w:t>神经系统疾病作业治疗的相关原理和理论</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2</w:t>
            </w:r>
          </w:p>
        </w:tc>
        <w:tc>
          <w:tcPr>
            <w:tcW w:w="3072" w:type="dxa"/>
          </w:tcPr>
          <w:p w:rsidR="003717A0" w:rsidRDefault="003717A0">
            <w:pPr>
              <w:rPr>
                <w:szCs w:val="21"/>
              </w:rPr>
            </w:pPr>
            <w:r>
              <w:rPr>
                <w:rFonts w:hint="eastAsia"/>
                <w:szCs w:val="21"/>
              </w:rPr>
              <w:t>神经系统疾病作业治疗的评估和分析（</w:t>
            </w:r>
            <w:r>
              <w:rPr>
                <w:szCs w:val="21"/>
              </w:rPr>
              <w:t>1</w:t>
            </w:r>
            <w:r>
              <w:rPr>
                <w:rFonts w:hint="eastAsia"/>
                <w:szCs w:val="21"/>
              </w:rPr>
              <w:t>）</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3</w:t>
            </w:r>
          </w:p>
        </w:tc>
        <w:tc>
          <w:tcPr>
            <w:tcW w:w="3072" w:type="dxa"/>
          </w:tcPr>
          <w:p w:rsidR="003717A0" w:rsidRDefault="003717A0">
            <w:pPr>
              <w:rPr>
                <w:szCs w:val="21"/>
              </w:rPr>
            </w:pPr>
            <w:r>
              <w:rPr>
                <w:rFonts w:hint="eastAsia"/>
                <w:szCs w:val="21"/>
              </w:rPr>
              <w:t>神经系统疾病作业治疗的评估和分析（</w:t>
            </w:r>
            <w:r>
              <w:rPr>
                <w:szCs w:val="21"/>
              </w:rPr>
              <w:t>2</w:t>
            </w:r>
            <w:r>
              <w:rPr>
                <w:rFonts w:hint="eastAsia"/>
                <w:szCs w:val="21"/>
              </w:rPr>
              <w:t>）</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4</w:t>
            </w:r>
          </w:p>
        </w:tc>
        <w:tc>
          <w:tcPr>
            <w:tcW w:w="3072" w:type="dxa"/>
          </w:tcPr>
          <w:p w:rsidR="003717A0" w:rsidRDefault="003717A0">
            <w:pPr>
              <w:rPr>
                <w:szCs w:val="21"/>
              </w:rPr>
            </w:pPr>
            <w:r>
              <w:rPr>
                <w:rFonts w:hint="eastAsia"/>
                <w:szCs w:val="21"/>
              </w:rPr>
              <w:t>神经系统疾病作业治疗的方法和技术（</w:t>
            </w:r>
            <w:r>
              <w:rPr>
                <w:szCs w:val="21"/>
              </w:rPr>
              <w:t>1</w:t>
            </w:r>
            <w:r>
              <w:rPr>
                <w:rFonts w:hint="eastAsia"/>
                <w:szCs w:val="21"/>
              </w:rPr>
              <w:t>）</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5</w:t>
            </w:r>
          </w:p>
        </w:tc>
        <w:tc>
          <w:tcPr>
            <w:tcW w:w="3072" w:type="dxa"/>
          </w:tcPr>
          <w:p w:rsidR="003717A0" w:rsidRDefault="003717A0">
            <w:pPr>
              <w:rPr>
                <w:szCs w:val="21"/>
              </w:rPr>
            </w:pPr>
            <w:r>
              <w:rPr>
                <w:rFonts w:hint="eastAsia"/>
                <w:szCs w:val="21"/>
              </w:rPr>
              <w:t>神经系统疾病作业治疗的方法和技术（</w:t>
            </w:r>
            <w:r>
              <w:rPr>
                <w:szCs w:val="21"/>
              </w:rPr>
              <w:t>2</w:t>
            </w:r>
            <w:r>
              <w:rPr>
                <w:rFonts w:hint="eastAsia"/>
                <w:szCs w:val="21"/>
              </w:rPr>
              <w:t>）</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6</w:t>
            </w:r>
          </w:p>
        </w:tc>
        <w:tc>
          <w:tcPr>
            <w:tcW w:w="3072" w:type="dxa"/>
          </w:tcPr>
          <w:p w:rsidR="003717A0" w:rsidRDefault="003717A0">
            <w:pPr>
              <w:rPr>
                <w:szCs w:val="21"/>
              </w:rPr>
            </w:pPr>
            <w:r>
              <w:rPr>
                <w:rFonts w:hint="eastAsia"/>
                <w:szCs w:val="21"/>
              </w:rPr>
              <w:t>脑卒中的作业治疗</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7</w:t>
            </w:r>
          </w:p>
        </w:tc>
        <w:tc>
          <w:tcPr>
            <w:tcW w:w="3072" w:type="dxa"/>
          </w:tcPr>
          <w:p w:rsidR="003717A0" w:rsidRDefault="003717A0">
            <w:pPr>
              <w:rPr>
                <w:szCs w:val="21"/>
              </w:rPr>
            </w:pPr>
            <w:r>
              <w:rPr>
                <w:rFonts w:hint="eastAsia"/>
                <w:szCs w:val="21"/>
              </w:rPr>
              <w:t>脊髓损伤的作业治疗</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8</w:t>
            </w:r>
          </w:p>
        </w:tc>
        <w:tc>
          <w:tcPr>
            <w:tcW w:w="3072" w:type="dxa"/>
          </w:tcPr>
          <w:p w:rsidR="003717A0" w:rsidRDefault="003717A0">
            <w:pPr>
              <w:rPr>
                <w:szCs w:val="21"/>
              </w:rPr>
            </w:pPr>
            <w:r>
              <w:rPr>
                <w:rFonts w:hint="eastAsia"/>
                <w:szCs w:val="21"/>
              </w:rPr>
              <w:t>颅脑损伤的作业治疗</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1188" w:type="dxa"/>
          </w:tcPr>
          <w:p w:rsidR="003717A0" w:rsidRDefault="003717A0">
            <w:pPr>
              <w:rPr>
                <w:szCs w:val="21"/>
              </w:rPr>
            </w:pPr>
            <w:r>
              <w:rPr>
                <w:szCs w:val="21"/>
              </w:rPr>
              <w:t>9</w:t>
            </w:r>
          </w:p>
        </w:tc>
        <w:tc>
          <w:tcPr>
            <w:tcW w:w="3072" w:type="dxa"/>
          </w:tcPr>
          <w:p w:rsidR="003717A0" w:rsidRDefault="003717A0">
            <w:pPr>
              <w:rPr>
                <w:szCs w:val="21"/>
              </w:rPr>
            </w:pPr>
            <w:r>
              <w:rPr>
                <w:rFonts w:hint="eastAsia"/>
                <w:szCs w:val="21"/>
              </w:rPr>
              <w:t>周围神经损伤的作业治疗</w:t>
            </w:r>
          </w:p>
        </w:tc>
        <w:tc>
          <w:tcPr>
            <w:tcW w:w="2131" w:type="dxa"/>
          </w:tcPr>
          <w:p w:rsidR="003717A0" w:rsidRDefault="003717A0">
            <w:pPr>
              <w:rPr>
                <w:szCs w:val="21"/>
              </w:rPr>
            </w:pPr>
            <w:r>
              <w:rPr>
                <w:szCs w:val="21"/>
              </w:rPr>
              <w:t>3</w:t>
            </w:r>
          </w:p>
        </w:tc>
        <w:tc>
          <w:tcPr>
            <w:tcW w:w="2131" w:type="dxa"/>
          </w:tcPr>
          <w:p w:rsidR="003717A0" w:rsidRDefault="003717A0">
            <w:pPr>
              <w:rPr>
                <w:szCs w:val="21"/>
              </w:rPr>
            </w:pPr>
            <w:r>
              <w:rPr>
                <w:szCs w:val="21"/>
              </w:rPr>
              <w:t>3</w:t>
            </w:r>
          </w:p>
        </w:tc>
      </w:tr>
      <w:tr w:rsidR="003717A0">
        <w:tc>
          <w:tcPr>
            <w:tcW w:w="4260" w:type="dxa"/>
            <w:gridSpan w:val="2"/>
          </w:tcPr>
          <w:p w:rsidR="003717A0" w:rsidRDefault="003717A0">
            <w:pPr>
              <w:ind w:firstLineChars="400" w:firstLine="840"/>
              <w:rPr>
                <w:szCs w:val="21"/>
              </w:rPr>
            </w:pPr>
            <w:r>
              <w:rPr>
                <w:rFonts w:hint="eastAsia"/>
                <w:szCs w:val="21"/>
              </w:rPr>
              <w:t>合计</w:t>
            </w:r>
            <w:r>
              <w:rPr>
                <w:szCs w:val="21"/>
              </w:rPr>
              <w:t xml:space="preserve">  </w:t>
            </w:r>
          </w:p>
        </w:tc>
        <w:tc>
          <w:tcPr>
            <w:tcW w:w="2131" w:type="dxa"/>
          </w:tcPr>
          <w:p w:rsidR="003717A0" w:rsidRDefault="003717A0">
            <w:pPr>
              <w:rPr>
                <w:szCs w:val="21"/>
              </w:rPr>
            </w:pPr>
            <w:r>
              <w:rPr>
                <w:szCs w:val="21"/>
              </w:rPr>
              <w:t>27</w:t>
            </w:r>
          </w:p>
        </w:tc>
        <w:tc>
          <w:tcPr>
            <w:tcW w:w="2131" w:type="dxa"/>
          </w:tcPr>
          <w:p w:rsidR="003717A0" w:rsidRDefault="003717A0">
            <w:pPr>
              <w:rPr>
                <w:szCs w:val="21"/>
              </w:rPr>
            </w:pPr>
            <w:r>
              <w:rPr>
                <w:szCs w:val="21"/>
              </w:rPr>
              <w:t>27</w:t>
            </w:r>
          </w:p>
        </w:tc>
      </w:tr>
    </w:tbl>
    <w:p w:rsidR="003717A0" w:rsidRDefault="003717A0">
      <w:pPr>
        <w:pStyle w:val="a7"/>
        <w:jc w:val="center"/>
        <w:rPr>
          <w:rFonts w:ascii="宋体"/>
          <w:szCs w:val="21"/>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多媒体教室、多媒体教学课件、教学视频、模型教具等。</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auto"/>
        <w:ind w:right="4" w:firstLineChars="200" w:firstLine="420"/>
        <w:rPr>
          <w:rFonts w:ascii="宋体"/>
          <w:szCs w:val="21"/>
        </w:rPr>
      </w:pPr>
      <w:r>
        <w:rPr>
          <w:rFonts w:ascii="Times New Roman" w:hint="eastAsia"/>
        </w:rPr>
        <w:t>期末考试成绩占总成绩的</w:t>
      </w:r>
      <w:r>
        <w:rPr>
          <w:rFonts w:ascii="Times New Roman"/>
        </w:rPr>
        <w:t>100</w:t>
      </w:r>
      <w:r>
        <w:rPr>
          <w:rFonts w:ascii="宋体" w:hAnsi="宋体"/>
          <w:szCs w:val="21"/>
        </w:rPr>
        <w:t>%</w:t>
      </w:r>
      <w:r>
        <w:rPr>
          <w:rFonts w:ascii="宋体" w:hAnsi="宋体" w:hint="eastAsia"/>
          <w:szCs w:val="21"/>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pStyle w:val="a7"/>
        <w:ind w:left="359" w:firstLineChars="750" w:firstLine="1575"/>
        <w:rPr>
          <w:rFonts w:ascii="宋体"/>
          <w:szCs w:val="21"/>
        </w:rPr>
      </w:pPr>
      <w:r>
        <w:rPr>
          <w:rFonts w:ascii="宋体" w:hAnsi="宋体" w:hint="eastAsia"/>
          <w:szCs w:val="21"/>
        </w:rPr>
        <w:t>主要参考书：</w:t>
      </w:r>
      <w:r>
        <w:rPr>
          <w:rFonts w:ascii="宋体" w:hAnsi="宋体"/>
          <w:szCs w:val="21"/>
        </w:rPr>
        <w:t xml:space="preserve">   </w:t>
      </w:r>
    </w:p>
    <w:p w:rsidR="003717A0" w:rsidRDefault="003717A0">
      <w:pPr>
        <w:pStyle w:val="a7"/>
        <w:ind w:left="359" w:firstLineChars="750" w:firstLine="1575"/>
        <w:rPr>
          <w:rFonts w:ascii="宋体"/>
          <w:szCs w:val="21"/>
        </w:rPr>
      </w:pPr>
      <w:r>
        <w:rPr>
          <w:rFonts w:ascii="宋体" w:hAnsi="宋体" w:hint="eastAsia"/>
          <w:szCs w:val="21"/>
        </w:rPr>
        <w:t>窦祖林主编</w:t>
      </w:r>
      <w:r>
        <w:rPr>
          <w:rFonts w:ascii="宋体" w:hAnsi="宋体"/>
          <w:szCs w:val="21"/>
        </w:rPr>
        <w:t xml:space="preserve">  </w:t>
      </w:r>
      <w:r>
        <w:rPr>
          <w:rFonts w:ascii="宋体" w:hAnsi="宋体" w:hint="eastAsia"/>
          <w:szCs w:val="21"/>
        </w:rPr>
        <w:t>《作业治疗学》</w:t>
      </w:r>
      <w:r>
        <w:rPr>
          <w:rFonts w:ascii="宋体" w:hAnsi="宋体"/>
          <w:szCs w:val="21"/>
        </w:rPr>
        <w:t xml:space="preserve"> </w:t>
      </w:r>
      <w:r>
        <w:rPr>
          <w:rFonts w:ascii="宋体" w:hAnsi="宋体" w:hint="eastAsia"/>
          <w:szCs w:val="21"/>
        </w:rPr>
        <w:t>人民卫生出版社</w:t>
      </w:r>
      <w:r>
        <w:rPr>
          <w:rFonts w:ascii="宋体" w:hAnsi="宋体"/>
          <w:szCs w:val="21"/>
        </w:rPr>
        <w:t xml:space="preserve">  2008</w:t>
      </w:r>
      <w:r>
        <w:rPr>
          <w:rFonts w:ascii="宋体" w:hAnsi="宋体" w:hint="eastAsia"/>
          <w:szCs w:val="21"/>
        </w:rPr>
        <w:t>年</w:t>
      </w:r>
    </w:p>
    <w:p w:rsidR="003717A0" w:rsidRDefault="003717A0">
      <w:pPr>
        <w:pStyle w:val="a7"/>
        <w:ind w:left="359" w:firstLineChars="750" w:firstLine="1575"/>
        <w:rPr>
          <w:rFonts w:ascii="宋体"/>
          <w:szCs w:val="21"/>
        </w:rPr>
      </w:pPr>
      <w:r>
        <w:rPr>
          <w:rFonts w:ascii="宋体" w:hAnsi="宋体" w:hint="eastAsia"/>
          <w:szCs w:val="21"/>
        </w:rPr>
        <w:t>陈立嘉主编</w:t>
      </w:r>
      <w:r>
        <w:rPr>
          <w:rFonts w:ascii="宋体" w:hAnsi="宋体"/>
          <w:szCs w:val="21"/>
        </w:rPr>
        <w:t xml:space="preserve">   </w:t>
      </w:r>
      <w:r>
        <w:rPr>
          <w:rFonts w:ascii="宋体" w:hAnsi="宋体" w:hint="eastAsia"/>
          <w:szCs w:val="21"/>
        </w:rPr>
        <w:t>《基础作业学》</w:t>
      </w:r>
      <w:r>
        <w:rPr>
          <w:rFonts w:ascii="宋体" w:hAnsi="宋体"/>
          <w:szCs w:val="21"/>
        </w:rPr>
        <w:t xml:space="preserve">     </w:t>
      </w:r>
      <w:r>
        <w:rPr>
          <w:rFonts w:ascii="宋体" w:hAnsi="宋体" w:hint="eastAsia"/>
          <w:szCs w:val="21"/>
        </w:rPr>
        <w:t>华夏出版社</w:t>
      </w:r>
      <w:r>
        <w:rPr>
          <w:rFonts w:ascii="宋体" w:hAnsi="宋体"/>
          <w:szCs w:val="21"/>
        </w:rPr>
        <w:t xml:space="preserve">  2003</w:t>
      </w:r>
      <w:r>
        <w:rPr>
          <w:rFonts w:ascii="宋体" w:hAnsi="宋体" w:hint="eastAsia"/>
          <w:szCs w:val="21"/>
        </w:rPr>
        <w:t>年</w:t>
      </w:r>
    </w:p>
    <w:p w:rsidR="003717A0" w:rsidRDefault="003717A0">
      <w:pPr>
        <w:pStyle w:val="a7"/>
        <w:rPr>
          <w:rFonts w:ascii="宋体"/>
          <w:szCs w:val="21"/>
        </w:rPr>
      </w:pPr>
      <w:r>
        <w:rPr>
          <w:rFonts w:ascii="宋体" w:hAnsi="宋体"/>
          <w:szCs w:val="21"/>
        </w:rPr>
        <w:t xml:space="preserve">           </w:t>
      </w:r>
      <w:r>
        <w:rPr>
          <w:rFonts w:ascii="宋体" w:hAnsi="宋体" w:hint="eastAsia"/>
          <w:szCs w:val="21"/>
        </w:rPr>
        <w:t>王刚王彤主编</w:t>
      </w:r>
      <w:r>
        <w:rPr>
          <w:rFonts w:ascii="宋体" w:hAnsi="宋体"/>
          <w:szCs w:val="21"/>
        </w:rPr>
        <w:t xml:space="preserve"> </w:t>
      </w:r>
      <w:r>
        <w:rPr>
          <w:rFonts w:ascii="宋体" w:hAnsi="宋体" w:hint="eastAsia"/>
          <w:szCs w:val="21"/>
        </w:rPr>
        <w:t>《临床作业疗法学》</w:t>
      </w:r>
      <w:r>
        <w:rPr>
          <w:rFonts w:ascii="宋体" w:hAnsi="宋体"/>
          <w:szCs w:val="21"/>
        </w:rPr>
        <w:t xml:space="preserve"> </w:t>
      </w:r>
      <w:r>
        <w:rPr>
          <w:rFonts w:ascii="宋体" w:hAnsi="宋体" w:hint="eastAsia"/>
          <w:szCs w:val="21"/>
        </w:rPr>
        <w:t>华夏出版社</w:t>
      </w:r>
      <w:r>
        <w:rPr>
          <w:rFonts w:ascii="宋体" w:hAnsi="宋体"/>
          <w:szCs w:val="21"/>
        </w:rPr>
        <w:t xml:space="preserve">  2003</w:t>
      </w:r>
      <w:r>
        <w:rPr>
          <w:rFonts w:ascii="宋体" w:hAnsi="宋体" w:hint="eastAsia"/>
          <w:szCs w:val="21"/>
        </w:rPr>
        <w:t>年</w:t>
      </w:r>
      <w:r>
        <w:rPr>
          <w:rFonts w:ascii="宋体" w:hAnsi="宋体"/>
          <w:szCs w:val="21"/>
        </w:rPr>
        <w:t xml:space="preserve"> </w:t>
      </w:r>
    </w:p>
    <w:p w:rsidR="003717A0" w:rsidRDefault="003717A0">
      <w:pPr>
        <w:pStyle w:val="a7"/>
        <w:rPr>
          <w:rFonts w:ascii="宋体"/>
          <w:szCs w:val="21"/>
        </w:rPr>
      </w:pPr>
    </w:p>
    <w:p w:rsidR="003717A0" w:rsidRDefault="003717A0">
      <w:pPr>
        <w:pStyle w:val="a7"/>
        <w:rPr>
          <w:rFonts w:ascii="宋体"/>
          <w:szCs w:val="21"/>
        </w:rPr>
      </w:pPr>
    </w:p>
    <w:p w:rsidR="003717A0" w:rsidRPr="00566E4D" w:rsidRDefault="003717A0" w:rsidP="00566E4D">
      <w:pPr>
        <w:ind w:firstLineChars="600" w:firstLine="1260"/>
        <w:rPr>
          <w:rFonts w:ascii="黑体" w:eastAsia="黑体" w:hAnsi="黑体"/>
          <w:szCs w:val="21"/>
        </w:rPr>
      </w:pPr>
      <w:r w:rsidRPr="00566E4D">
        <w:rPr>
          <w:rFonts w:ascii="黑体" w:eastAsia="黑体" w:hAnsi="黑体"/>
          <w:szCs w:val="21"/>
        </w:rPr>
        <w:t xml:space="preserve">                                              </w:t>
      </w:r>
      <w:r w:rsidRPr="00566E4D">
        <w:rPr>
          <w:rFonts w:ascii="黑体" w:eastAsia="黑体" w:hAnsi="黑体" w:cs="黑体" w:hint="eastAsia"/>
          <w:kern w:val="0"/>
          <w:szCs w:val="21"/>
        </w:rPr>
        <w:t>制定人：</w:t>
      </w:r>
      <w:r w:rsidRPr="00566E4D">
        <w:rPr>
          <w:rFonts w:ascii="黑体" w:eastAsia="黑体" w:hAnsi="黑体" w:hint="eastAsia"/>
          <w:szCs w:val="21"/>
        </w:rPr>
        <w:t>胡玉明</w:t>
      </w:r>
    </w:p>
    <w:p w:rsidR="003717A0" w:rsidRPr="00566E4D" w:rsidRDefault="003717A0">
      <w:pPr>
        <w:ind w:firstLineChars="600" w:firstLine="1260"/>
        <w:rPr>
          <w:rFonts w:ascii="黑体" w:eastAsia="黑体" w:hAnsi="黑体" w:cs="黑体"/>
          <w:kern w:val="0"/>
          <w:szCs w:val="21"/>
        </w:rPr>
      </w:pPr>
      <w:r w:rsidRPr="00566E4D">
        <w:rPr>
          <w:rFonts w:ascii="黑体" w:eastAsia="黑体" w:hAnsi="黑体" w:cs="黑体"/>
          <w:kern w:val="0"/>
          <w:szCs w:val="21"/>
        </w:rPr>
        <w:t xml:space="preserve">                                  </w:t>
      </w:r>
      <w:r w:rsidRPr="00566E4D">
        <w:rPr>
          <w:rFonts w:ascii="黑体" w:eastAsia="黑体" w:hAnsi="黑体"/>
          <w:szCs w:val="21"/>
        </w:rPr>
        <w:t xml:space="preserve">            </w:t>
      </w:r>
      <w:r w:rsidRPr="00566E4D">
        <w:rPr>
          <w:rFonts w:ascii="黑体" w:eastAsia="黑体" w:hAnsi="黑体" w:hint="eastAsia"/>
          <w:szCs w:val="21"/>
        </w:rPr>
        <w:t>审核人：沈光宇</w:t>
      </w:r>
      <w:r w:rsidRPr="00566E4D">
        <w:rPr>
          <w:rFonts w:ascii="黑体" w:eastAsia="黑体" w:hAnsi="黑体"/>
          <w:szCs w:val="21"/>
        </w:rPr>
        <w:t xml:space="preserve"> </w:t>
      </w:r>
    </w:p>
    <w:p w:rsidR="003717A0" w:rsidRDefault="003717A0" w:rsidP="005E20B5">
      <w:pPr>
        <w:adjustRightInd w:val="0"/>
        <w:snapToGrid w:val="0"/>
        <w:spacing w:beforeLines="50" w:afterLines="50" w:line="400" w:lineRule="exact"/>
        <w:ind w:firstLineChars="1100" w:firstLine="3740"/>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ind w:firstLineChars="1100" w:firstLine="3740"/>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ind w:firstLineChars="1100" w:firstLine="3740"/>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ind w:firstLineChars="1100" w:firstLine="3740"/>
        <w:rPr>
          <w:rFonts w:ascii="Times New Roman" w:eastAsia="黑体" w:hAnsi="Times New Roman"/>
          <w:kern w:val="0"/>
          <w:sz w:val="34"/>
          <w:szCs w:val="34"/>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Times New Roman" w:hint="eastAsia"/>
        </w:rPr>
        <w:t>修读完本课程规定内容的康复治疗学专业的本科学生；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spacing w:line="360" w:lineRule="auto"/>
        <w:ind w:firstLineChars="200" w:firstLine="420"/>
        <w:rPr>
          <w:sz w:val="22"/>
        </w:rPr>
      </w:pPr>
      <w:r>
        <w:rPr>
          <w:rFonts w:ascii="宋体" w:hAnsi="宋体" w:hint="eastAsia"/>
          <w:szCs w:val="21"/>
        </w:rPr>
        <w:t>通过考核来检查和了解学生对本门课程内容的掌握程度，对</w:t>
      </w:r>
      <w:r>
        <w:rPr>
          <w:rFonts w:hint="eastAsia"/>
          <w:sz w:val="22"/>
        </w:rPr>
        <w:t>神经系统疾病作业治疗的相关原理和理论、神经系统疾病作业治疗的功能评定、作业治疗技术，以及脑卒中、脊髓损伤、周围神经损伤等临床常见疾病的特点、分类、评价及其作业治疗方法等掌握水平。</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hAnsi="宋体" w:hint="eastAsia"/>
          <w:szCs w:val="21"/>
        </w:rPr>
        <w:t>期末闭卷理论考核和实践技能考核</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100%</w:t>
      </w:r>
      <w:r>
        <w:rPr>
          <w:rFonts w:ascii="宋体"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sz w:val="22"/>
        </w:rPr>
      </w:pPr>
      <w:r>
        <w:rPr>
          <w:rFonts w:hint="eastAsia"/>
          <w:sz w:val="22"/>
        </w:rPr>
        <w:t>神经系统疾病作业治疗的相关原理和理论、神经系统疾病作业治疗的功能评定、作业治疗技术，以及脑卒中、脊髓损伤、周围神经损伤等临床常见疾病的特点、分类、评价及其作业治疗方法等。</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以掌握</w:t>
      </w:r>
      <w:r>
        <w:rPr>
          <w:rFonts w:hint="eastAsia"/>
          <w:sz w:val="22"/>
        </w:rPr>
        <w:t>神经系统疾病作业治疗的相关原理和理论、神经系统疾病作业治疗的功能评定、作业治疗技术</w:t>
      </w:r>
      <w:r>
        <w:rPr>
          <w:rFonts w:ascii="Times New Roman" w:hAnsi="宋体" w:hint="eastAsia"/>
          <w:szCs w:val="21"/>
        </w:rPr>
        <w:t>等理论知识为</w:t>
      </w:r>
      <w:r>
        <w:rPr>
          <w:rFonts w:ascii="宋体" w:hAnsi="宋体" w:hint="eastAsia"/>
          <w:szCs w:val="21"/>
        </w:rPr>
        <w:t>考试重点，考核学生运用课程知识分析问题、解决问题的能力，同时检查学生对</w:t>
      </w:r>
      <w:r>
        <w:rPr>
          <w:rFonts w:hint="eastAsia"/>
          <w:sz w:val="22"/>
        </w:rPr>
        <w:t>脑卒中、脊髓损伤、周围神经损伤等临床常见疾病的</w:t>
      </w:r>
      <w:r>
        <w:rPr>
          <w:rFonts w:ascii="宋体" w:hAnsi="宋体" w:hint="eastAsia"/>
          <w:szCs w:val="21"/>
        </w:rPr>
        <w:t>实践能力。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ind w:firstLineChars="1395" w:firstLine="3361"/>
        <w:rPr>
          <w:rFonts w:ascii="Times New Roman" w:eastAsia="黑体" w:hAnsi="Times New Roman"/>
          <w:b/>
          <w:kern w:val="0"/>
          <w:sz w:val="24"/>
          <w:szCs w:val="24"/>
        </w:rPr>
      </w:pPr>
      <w:r>
        <w:rPr>
          <w:rFonts w:ascii="Times New Roman" w:eastAsia="黑体" w:hAnsi="Times New Roman" w:hint="eastAsia"/>
          <w:b/>
          <w:kern w:val="0"/>
          <w:sz w:val="24"/>
          <w:szCs w:val="24"/>
        </w:rPr>
        <w:t>神经系统疾病作业治疗考试试题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rFonts w:ascii="Times New Roman" w:hAnsi="Times New Roman" w:hint="eastAsia"/>
          <w:kern w:val="0"/>
          <w:sz w:val="22"/>
          <w:u w:val="single"/>
        </w:rPr>
        <w:t>康复治疗学ⅩⅩⅩ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napToGrid w:val="0"/>
        <w:spacing w:line="360" w:lineRule="auto"/>
        <w:ind w:firstLineChars="1490" w:firstLine="3129"/>
        <w:jc w:val="left"/>
        <w:rPr>
          <w:rFonts w:ascii="宋体"/>
          <w:szCs w:val="21"/>
        </w:rPr>
      </w:pPr>
      <w:r>
        <w:rPr>
          <w:rFonts w:ascii="宋体" w:hAnsi="宋体" w:hint="eastAsia"/>
          <w:szCs w:val="21"/>
        </w:rPr>
        <w:t>时间：</w:t>
      </w:r>
      <w:r>
        <w:rPr>
          <w:rFonts w:ascii="宋体" w:hAnsi="宋体"/>
          <w:szCs w:val="21"/>
        </w:rPr>
        <w:t>120</w:t>
      </w:r>
      <w:r>
        <w:rPr>
          <w:rFonts w:ascii="宋体" w:hAnsi="宋体" w:hint="eastAsia"/>
          <w:szCs w:val="21"/>
        </w:rPr>
        <w:t>分钟</w:t>
      </w:r>
      <w:r>
        <w:rPr>
          <w:rFonts w:ascii="宋体" w:hAnsi="宋体"/>
          <w:szCs w:val="21"/>
        </w:rPr>
        <w:t xml:space="preserve">     </w:t>
      </w:r>
      <w:r>
        <w:rPr>
          <w:rFonts w:ascii="宋体" w:hAnsi="宋体" w:hint="eastAsia"/>
          <w:szCs w:val="21"/>
        </w:rPr>
        <w:t>总分：</w:t>
      </w:r>
      <w:r>
        <w:rPr>
          <w:rFonts w:ascii="宋体" w:hAnsi="宋体"/>
          <w:szCs w:val="21"/>
        </w:rPr>
        <w:t>100</w:t>
      </w:r>
      <w:r>
        <w:rPr>
          <w:rFonts w:ascii="宋体" w:hAnsi="宋体" w:hint="eastAsia"/>
          <w:szCs w:val="21"/>
        </w:rPr>
        <w:t>分</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一、名词解释：（每题</w:t>
      </w:r>
      <w:r>
        <w:rPr>
          <w:rFonts w:ascii="宋体" w:hAnsi="宋体"/>
          <w:szCs w:val="21"/>
        </w:rPr>
        <w:t>3</w:t>
      </w:r>
      <w:r>
        <w:rPr>
          <w:rFonts w:ascii="宋体" w:hAnsi="宋体" w:hint="eastAsia"/>
          <w:szCs w:val="21"/>
        </w:rPr>
        <w:t>分，共</w:t>
      </w:r>
      <w:r>
        <w:rPr>
          <w:rFonts w:ascii="宋体" w:hAnsi="宋体"/>
          <w:szCs w:val="21"/>
        </w:rPr>
        <w:t>15</w:t>
      </w:r>
      <w:r>
        <w:rPr>
          <w:rFonts w:ascii="宋体" w:hAnsi="宋体" w:hint="eastAsia"/>
          <w:szCs w:val="21"/>
        </w:rPr>
        <w:t>分）</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w:t>
      </w:r>
      <w:r>
        <w:rPr>
          <w:rFonts w:ascii="宋体" w:hAnsi="宋体" w:hint="eastAsia"/>
          <w:szCs w:val="21"/>
        </w:rPr>
        <w:t>、中央索综合征</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2</w:t>
      </w:r>
      <w:r>
        <w:rPr>
          <w:rFonts w:ascii="宋体" w:hAnsi="宋体" w:hint="eastAsia"/>
          <w:szCs w:val="21"/>
        </w:rPr>
        <w:t>、纤颤电位</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3</w:t>
      </w:r>
      <w:r>
        <w:rPr>
          <w:rFonts w:ascii="宋体" w:hAnsi="宋体" w:hint="eastAsia"/>
          <w:szCs w:val="21"/>
        </w:rPr>
        <w:t>、肩手综合征</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4.</w:t>
      </w:r>
      <w:r>
        <w:rPr>
          <w:szCs w:val="21"/>
        </w:rPr>
        <w:t xml:space="preserve"> </w:t>
      </w:r>
      <w:r>
        <w:rPr>
          <w:rFonts w:hint="eastAsia"/>
          <w:szCs w:val="21"/>
        </w:rPr>
        <w:t>球</w:t>
      </w:r>
      <w:r>
        <w:rPr>
          <w:szCs w:val="21"/>
        </w:rPr>
        <w:t>-</w:t>
      </w:r>
      <w:r>
        <w:rPr>
          <w:rFonts w:hint="eastAsia"/>
          <w:szCs w:val="21"/>
        </w:rPr>
        <w:t>肛反射</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 xml:space="preserve">5. </w:t>
      </w:r>
      <w:r>
        <w:rPr>
          <w:szCs w:val="21"/>
        </w:rPr>
        <w:t>Tinal</w:t>
      </w:r>
      <w:r>
        <w:rPr>
          <w:rFonts w:hint="eastAsia"/>
          <w:szCs w:val="21"/>
        </w:rPr>
        <w:t>征</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二、单项选择题：（每题</w:t>
      </w:r>
      <w:r>
        <w:rPr>
          <w:rFonts w:ascii="宋体" w:hAnsi="宋体"/>
          <w:szCs w:val="21"/>
        </w:rPr>
        <w:t>2</w:t>
      </w:r>
      <w:r>
        <w:rPr>
          <w:rFonts w:ascii="宋体" w:hAnsi="宋体" w:hint="eastAsia"/>
          <w:szCs w:val="21"/>
        </w:rPr>
        <w:t>分，共</w:t>
      </w:r>
      <w:r>
        <w:rPr>
          <w:rFonts w:ascii="宋体" w:hAnsi="宋体"/>
          <w:szCs w:val="21"/>
        </w:rPr>
        <w:t>24</w:t>
      </w:r>
      <w:r>
        <w:rPr>
          <w:rFonts w:ascii="宋体" w:hAnsi="宋体" w:hint="eastAsia"/>
          <w:szCs w:val="21"/>
        </w:rPr>
        <w:t>分）</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w:t>
      </w:r>
      <w:r>
        <w:rPr>
          <w:rFonts w:ascii="宋体" w:hAnsi="宋体" w:hint="eastAsia"/>
          <w:szCs w:val="21"/>
        </w:rPr>
        <w:t>、关于完全性脊髓损伤的判定标准，下列说法正确的是（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lastRenderedPageBreak/>
        <w:t>A.</w:t>
      </w:r>
      <w:r>
        <w:rPr>
          <w:rFonts w:ascii="宋体" w:hAnsi="宋体" w:hint="eastAsia"/>
          <w:szCs w:val="21"/>
        </w:rPr>
        <w:t>四肢肌肉肌力均为</w:t>
      </w:r>
      <w:r>
        <w:rPr>
          <w:rFonts w:ascii="宋体"/>
          <w:szCs w:val="21"/>
        </w:rPr>
        <w:t>0</w:t>
      </w:r>
      <w:r>
        <w:rPr>
          <w:rFonts w:ascii="宋体" w:hAnsi="宋体" w:hint="eastAsia"/>
          <w:szCs w:val="21"/>
        </w:rPr>
        <w:t>级。</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B</w:t>
      </w:r>
      <w:r>
        <w:rPr>
          <w:rFonts w:ascii="宋体" w:hAnsi="宋体" w:hint="eastAsia"/>
          <w:szCs w:val="21"/>
        </w:rPr>
        <w:t>、四肢浅感觉完全消失。</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、四肢深感觉完全消失。</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、躯干浅感觉完全消失。</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E</w:t>
      </w:r>
      <w:r>
        <w:rPr>
          <w:rFonts w:ascii="宋体" w:hAnsi="宋体" w:hint="eastAsia"/>
          <w:szCs w:val="21"/>
        </w:rPr>
        <w:t>、肛门外括约肌随意收缩功能完全消失。</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2</w:t>
      </w:r>
      <w:r>
        <w:rPr>
          <w:rFonts w:ascii="宋体" w:hAnsi="宋体" w:hint="eastAsia"/>
          <w:szCs w:val="21"/>
        </w:rPr>
        <w:t>、作业活动分析课分为简单分析和详细分析，下面不属于简单分析的是（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、明确活动的方式</w:t>
      </w:r>
      <w:r>
        <w:rPr>
          <w:rFonts w:ascii="宋体" w:hAnsi="宋体"/>
          <w:szCs w:val="21"/>
        </w:rPr>
        <w:t xml:space="preserve">        B</w:t>
      </w:r>
      <w:r>
        <w:rPr>
          <w:rFonts w:ascii="宋体" w:hAnsi="宋体" w:hint="eastAsia"/>
          <w:szCs w:val="21"/>
        </w:rPr>
        <w:t>、选择活动类型</w:t>
      </w:r>
      <w:r>
        <w:rPr>
          <w:rFonts w:ascii="宋体" w:hAnsi="宋体"/>
          <w:szCs w:val="21"/>
        </w:rPr>
        <w:t xml:space="preserve">        C</w:t>
      </w:r>
      <w:r>
        <w:rPr>
          <w:rFonts w:ascii="宋体" w:hAnsi="宋体" w:hint="eastAsia"/>
          <w:szCs w:val="21"/>
        </w:rPr>
        <w:t>、分析选择活动的理由</w:t>
      </w:r>
    </w:p>
    <w:p w:rsidR="003717A0" w:rsidRDefault="003717A0">
      <w:pPr>
        <w:autoSpaceDE w:val="0"/>
        <w:autoSpaceDN w:val="0"/>
        <w:adjustRightInd w:val="0"/>
        <w:snapToGrid w:val="0"/>
        <w:spacing w:line="360" w:lineRule="auto"/>
        <w:ind w:firstLineChars="300" w:firstLine="630"/>
        <w:jc w:val="left"/>
        <w:rPr>
          <w:rFonts w:ascii="宋体"/>
          <w:szCs w:val="21"/>
        </w:rPr>
      </w:pPr>
      <w:r>
        <w:rPr>
          <w:rFonts w:ascii="宋体" w:hAnsi="宋体"/>
          <w:szCs w:val="21"/>
        </w:rPr>
        <w:t xml:space="preserve"> D</w:t>
      </w:r>
      <w:r>
        <w:rPr>
          <w:rFonts w:ascii="宋体" w:hAnsi="宋体" w:hint="eastAsia"/>
          <w:szCs w:val="21"/>
        </w:rPr>
        <w:t>、对文化程度进行分析</w:t>
      </w:r>
      <w:r>
        <w:rPr>
          <w:rFonts w:ascii="宋体" w:hAnsi="宋体"/>
          <w:szCs w:val="21"/>
        </w:rPr>
        <w:t xml:space="preserve">    E</w:t>
      </w:r>
      <w:r>
        <w:rPr>
          <w:rFonts w:ascii="宋体" w:hAnsi="宋体" w:hint="eastAsia"/>
          <w:szCs w:val="21"/>
        </w:rPr>
        <w:t>、确定活动场地</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3</w:t>
      </w:r>
      <w:r>
        <w:rPr>
          <w:rFonts w:ascii="宋体" w:hAnsi="宋体" w:hint="eastAsia"/>
          <w:szCs w:val="21"/>
        </w:rPr>
        <w:t>、长期卧床患者易造成（</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．高钙血症，高钙尿症</w:t>
      </w:r>
      <w:r>
        <w:rPr>
          <w:rFonts w:ascii="宋体" w:hAnsi="宋体"/>
          <w:szCs w:val="21"/>
        </w:rPr>
        <w:t xml:space="preserve">              B</w:t>
      </w:r>
      <w:r>
        <w:rPr>
          <w:rFonts w:ascii="宋体" w:hAnsi="宋体" w:hint="eastAsia"/>
          <w:szCs w:val="21"/>
        </w:rPr>
        <w:t>．高钙血症，低钙尿症</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．低钙血症，高钙尿症</w:t>
      </w:r>
      <w:r>
        <w:rPr>
          <w:rFonts w:ascii="宋体" w:hAnsi="宋体"/>
          <w:szCs w:val="21"/>
        </w:rPr>
        <w:t xml:space="preserve">              D</w:t>
      </w:r>
      <w:r>
        <w:rPr>
          <w:rFonts w:ascii="宋体" w:hAnsi="宋体" w:hint="eastAsia"/>
          <w:szCs w:val="21"/>
        </w:rPr>
        <w:t>．低钙血症，低钾血症</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E</w:t>
      </w:r>
      <w:r>
        <w:rPr>
          <w:rFonts w:ascii="宋体" w:hAnsi="宋体" w:hint="eastAsia"/>
          <w:szCs w:val="21"/>
        </w:rPr>
        <w:t>．高钙血症，高钾血症</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4</w:t>
      </w:r>
      <w:r>
        <w:rPr>
          <w:rFonts w:ascii="宋体" w:hAnsi="宋体" w:hint="eastAsia"/>
          <w:szCs w:val="21"/>
        </w:rPr>
        <w:t>、整个瓦勒变性过程，大约需要（</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w:t>
      </w:r>
      <w:r>
        <w:rPr>
          <w:rFonts w:ascii="宋体" w:hAnsi="宋体"/>
          <w:szCs w:val="21"/>
        </w:rPr>
        <w:t>1</w:t>
      </w:r>
      <w:r>
        <w:rPr>
          <w:rFonts w:ascii="宋体" w:hAnsi="宋体" w:hint="eastAsia"/>
          <w:szCs w:val="21"/>
        </w:rPr>
        <w:t>周左右</w:t>
      </w:r>
      <w:r>
        <w:rPr>
          <w:rFonts w:ascii="宋体" w:hAnsi="宋体"/>
          <w:szCs w:val="21"/>
        </w:rPr>
        <w:t xml:space="preserve">                   B</w:t>
      </w:r>
      <w:r>
        <w:rPr>
          <w:rFonts w:ascii="宋体" w:hAnsi="宋体" w:hint="eastAsia"/>
          <w:szCs w:val="21"/>
        </w:rPr>
        <w:t>、</w:t>
      </w:r>
      <w:r>
        <w:rPr>
          <w:rFonts w:ascii="宋体" w:hAnsi="宋体"/>
          <w:szCs w:val="21"/>
        </w:rPr>
        <w:t>2</w:t>
      </w:r>
      <w:r>
        <w:rPr>
          <w:rFonts w:ascii="宋体" w:hAnsi="宋体" w:hint="eastAsia"/>
          <w:szCs w:val="21"/>
        </w:rPr>
        <w:t>周左右</w:t>
      </w:r>
      <w:r>
        <w:rPr>
          <w:rFonts w:ascii="宋体" w:hAnsi="宋体"/>
          <w:szCs w:val="21"/>
        </w:rPr>
        <w:t xml:space="preserve">             C</w:t>
      </w:r>
      <w:r>
        <w:rPr>
          <w:rFonts w:ascii="宋体" w:hAnsi="宋体" w:hint="eastAsia"/>
          <w:szCs w:val="21"/>
        </w:rPr>
        <w:t>、</w:t>
      </w:r>
      <w:r>
        <w:rPr>
          <w:rFonts w:ascii="宋体" w:hAnsi="宋体"/>
          <w:szCs w:val="21"/>
        </w:rPr>
        <w:t>3</w:t>
      </w:r>
      <w:r>
        <w:rPr>
          <w:rFonts w:ascii="宋体" w:hAnsi="宋体" w:hint="eastAsia"/>
          <w:szCs w:val="21"/>
        </w:rPr>
        <w:t>周左右</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w:t>
      </w:r>
      <w:r>
        <w:rPr>
          <w:rFonts w:ascii="宋体" w:hAnsi="宋体"/>
          <w:szCs w:val="21"/>
        </w:rPr>
        <w:t>4</w:t>
      </w:r>
      <w:r>
        <w:rPr>
          <w:rFonts w:ascii="宋体" w:hAnsi="宋体" w:hint="eastAsia"/>
          <w:szCs w:val="21"/>
        </w:rPr>
        <w:t>周左右</w:t>
      </w:r>
      <w:r>
        <w:rPr>
          <w:rFonts w:ascii="宋体" w:hAnsi="宋体"/>
          <w:szCs w:val="21"/>
        </w:rPr>
        <w:t xml:space="preserve">                   E</w:t>
      </w:r>
      <w:r>
        <w:rPr>
          <w:rFonts w:ascii="宋体" w:hAnsi="宋体" w:hint="eastAsia"/>
          <w:szCs w:val="21"/>
        </w:rPr>
        <w:t>、</w:t>
      </w:r>
      <w:r>
        <w:rPr>
          <w:rFonts w:ascii="宋体" w:hAnsi="宋体"/>
          <w:szCs w:val="21"/>
        </w:rPr>
        <w:t>5</w:t>
      </w:r>
      <w:r>
        <w:rPr>
          <w:rFonts w:ascii="宋体" w:hAnsi="宋体" w:hint="eastAsia"/>
          <w:szCs w:val="21"/>
        </w:rPr>
        <w:t>周左右</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5</w:t>
      </w:r>
      <w:r>
        <w:rPr>
          <w:rFonts w:ascii="宋体" w:hAnsi="宋体" w:hint="eastAsia"/>
          <w:szCs w:val="21"/>
        </w:rPr>
        <w:t>、高血压患者可以做下列哪项运动（</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、跑步</w:t>
      </w:r>
      <w:r>
        <w:rPr>
          <w:rFonts w:ascii="宋体" w:hAnsi="宋体"/>
          <w:szCs w:val="21"/>
        </w:rPr>
        <w:t xml:space="preserve">       B</w:t>
      </w:r>
      <w:r>
        <w:rPr>
          <w:rFonts w:ascii="宋体" w:hAnsi="宋体" w:hint="eastAsia"/>
          <w:szCs w:val="21"/>
        </w:rPr>
        <w:t>、举重</w:t>
      </w:r>
      <w:r>
        <w:rPr>
          <w:rFonts w:ascii="宋体" w:hAnsi="宋体"/>
          <w:szCs w:val="21"/>
        </w:rPr>
        <w:t xml:space="preserve">       C</w:t>
      </w:r>
      <w:r>
        <w:rPr>
          <w:rFonts w:ascii="宋体" w:hAnsi="宋体" w:hint="eastAsia"/>
          <w:szCs w:val="21"/>
        </w:rPr>
        <w:t>、推力练习</w:t>
      </w:r>
      <w:r>
        <w:rPr>
          <w:rFonts w:ascii="宋体" w:hAnsi="宋体"/>
          <w:szCs w:val="21"/>
        </w:rPr>
        <w:t xml:space="preserve">       D</w:t>
      </w:r>
      <w:r>
        <w:rPr>
          <w:rFonts w:ascii="宋体" w:hAnsi="宋体" w:hint="eastAsia"/>
          <w:szCs w:val="21"/>
        </w:rPr>
        <w:t>、引身向上</w:t>
      </w:r>
      <w:r>
        <w:rPr>
          <w:rFonts w:ascii="宋体" w:hAnsi="宋体"/>
          <w:szCs w:val="21"/>
        </w:rPr>
        <w:t xml:space="preserve">       E</w:t>
      </w:r>
      <w:r>
        <w:rPr>
          <w:rFonts w:ascii="宋体" w:hAnsi="宋体" w:hint="eastAsia"/>
          <w:szCs w:val="21"/>
        </w:rPr>
        <w:t>、俯卧撑</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6</w:t>
      </w:r>
      <w:r>
        <w:rPr>
          <w:rFonts w:ascii="宋体" w:hAnsi="宋体" w:hint="eastAsia"/>
          <w:szCs w:val="21"/>
        </w:rPr>
        <w:t>、患者男性，</w:t>
      </w:r>
      <w:r>
        <w:rPr>
          <w:rFonts w:ascii="宋体" w:hAnsi="宋体"/>
          <w:szCs w:val="21"/>
        </w:rPr>
        <w:t>75</w:t>
      </w:r>
      <w:r>
        <w:rPr>
          <w:rFonts w:ascii="宋体" w:hAnsi="宋体" w:hint="eastAsia"/>
          <w:szCs w:val="21"/>
        </w:rPr>
        <w:t>岁，因走路不稳、跌倒人院，病隋平稳后转入康复科治疗。治疗师给予评估后发现：他是独居，每天还要靠拾旧报纸为生。作业治疗师评估后认为他出院后不能重返家中。请问治疗师对这位患者适合使用哪项临床思维方法</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 xml:space="preserve">A. </w:t>
      </w:r>
      <w:r>
        <w:rPr>
          <w:rFonts w:ascii="宋体" w:hAnsi="宋体" w:hint="eastAsia"/>
          <w:szCs w:val="21"/>
        </w:rPr>
        <w:t>科学性的思维</w:t>
      </w:r>
      <w:r>
        <w:rPr>
          <w:rFonts w:ascii="宋体" w:hAnsi="宋体"/>
          <w:szCs w:val="21"/>
        </w:rPr>
        <w:t xml:space="preserve">   B</w:t>
      </w:r>
      <w:r>
        <w:rPr>
          <w:rFonts w:ascii="宋体" w:hAnsi="宋体" w:hint="eastAsia"/>
          <w:szCs w:val="21"/>
        </w:rPr>
        <w:t>．叙述性的思维</w:t>
      </w:r>
      <w:r>
        <w:rPr>
          <w:rFonts w:ascii="宋体" w:hAnsi="宋体"/>
          <w:szCs w:val="21"/>
        </w:rPr>
        <w:t xml:space="preserve">    C</w:t>
      </w:r>
      <w:r>
        <w:rPr>
          <w:rFonts w:ascii="宋体" w:hAnsi="宋体" w:hint="eastAsia"/>
          <w:szCs w:val="21"/>
        </w:rPr>
        <w:t>．务实性的思维</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．道德伦理上的思维</w:t>
      </w:r>
      <w:r>
        <w:rPr>
          <w:rFonts w:ascii="宋体" w:hAnsi="宋体"/>
          <w:szCs w:val="21"/>
        </w:rPr>
        <w:t xml:space="preserve">    E</w:t>
      </w:r>
      <w:r>
        <w:rPr>
          <w:rFonts w:ascii="宋体" w:hAnsi="宋体" w:hint="eastAsia"/>
          <w:szCs w:val="21"/>
        </w:rPr>
        <w:t>．全部皆要</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7</w:t>
      </w:r>
      <w:r>
        <w:rPr>
          <w:rFonts w:ascii="宋体" w:hAnsi="宋体" w:hint="eastAsia"/>
          <w:szCs w:val="21"/>
        </w:rPr>
        <w:t>、作业疗法要求患者（）</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、自己选择作业治疗活动</w:t>
      </w:r>
      <w:r>
        <w:rPr>
          <w:rFonts w:ascii="宋体" w:hAnsi="宋体"/>
          <w:szCs w:val="21"/>
        </w:rPr>
        <w:t xml:space="preserve">       B</w:t>
      </w:r>
      <w:r>
        <w:rPr>
          <w:rFonts w:ascii="宋体" w:hAnsi="宋体" w:hint="eastAsia"/>
          <w:szCs w:val="21"/>
        </w:rPr>
        <w:t>、完全听从作业治疗师的安排</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C</w:t>
      </w:r>
      <w:r>
        <w:rPr>
          <w:rFonts w:ascii="宋体" w:hAnsi="宋体" w:hint="eastAsia"/>
          <w:szCs w:val="21"/>
        </w:rPr>
        <w:t>、主动参加</w:t>
      </w:r>
      <w:r>
        <w:rPr>
          <w:rFonts w:ascii="宋体" w:hAnsi="宋体"/>
          <w:szCs w:val="21"/>
        </w:rPr>
        <w:t xml:space="preserve">           D</w:t>
      </w:r>
      <w:r>
        <w:rPr>
          <w:rFonts w:ascii="宋体" w:hAnsi="宋体" w:hint="eastAsia"/>
          <w:szCs w:val="21"/>
        </w:rPr>
        <w:t>、被动参加</w:t>
      </w:r>
      <w:r>
        <w:rPr>
          <w:rFonts w:ascii="宋体" w:hAnsi="宋体"/>
          <w:szCs w:val="21"/>
        </w:rPr>
        <w:t xml:space="preserve">        E</w:t>
      </w:r>
      <w:r>
        <w:rPr>
          <w:rFonts w:ascii="宋体" w:hAnsi="宋体" w:hint="eastAsia"/>
          <w:szCs w:val="21"/>
        </w:rPr>
        <w:t>、随便参加</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8</w:t>
      </w:r>
      <w:r>
        <w:rPr>
          <w:rFonts w:ascii="宋体" w:hAnsi="宋体" w:hint="eastAsia"/>
          <w:szCs w:val="21"/>
        </w:rPr>
        <w:t>、腓总神经损伤后没有（）</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、足下垂</w:t>
      </w:r>
      <w:r>
        <w:rPr>
          <w:rFonts w:ascii="宋体" w:hAnsi="宋体"/>
          <w:szCs w:val="21"/>
        </w:rPr>
        <w:t xml:space="preserve">            B</w:t>
      </w:r>
      <w:r>
        <w:rPr>
          <w:rFonts w:ascii="宋体" w:hAnsi="宋体" w:hint="eastAsia"/>
          <w:szCs w:val="21"/>
        </w:rPr>
        <w:t>、内翻畸形</w:t>
      </w:r>
      <w:r>
        <w:rPr>
          <w:rFonts w:ascii="宋体" w:hAnsi="宋体"/>
          <w:szCs w:val="21"/>
        </w:rPr>
        <w:t xml:space="preserve">        C</w:t>
      </w:r>
      <w:r>
        <w:rPr>
          <w:rFonts w:ascii="宋体" w:hAnsi="宋体" w:hint="eastAsia"/>
          <w:szCs w:val="21"/>
        </w:rPr>
        <w:t>、外翻畸形</w:t>
      </w:r>
      <w:r>
        <w:rPr>
          <w:rFonts w:ascii="宋体" w:hAnsi="宋体"/>
          <w:szCs w:val="21"/>
        </w:rPr>
        <w:t xml:space="preserve">      </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、小腿外侧皮肤感觉减退或消失</w:t>
      </w:r>
      <w:r>
        <w:rPr>
          <w:rFonts w:ascii="宋体" w:hAnsi="宋体"/>
          <w:szCs w:val="21"/>
        </w:rPr>
        <w:t xml:space="preserve">       E</w:t>
      </w:r>
      <w:r>
        <w:rPr>
          <w:rFonts w:ascii="宋体" w:hAnsi="宋体" w:hint="eastAsia"/>
          <w:szCs w:val="21"/>
        </w:rPr>
        <w:t>、足背皮肤感觉减退或消失</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9</w:t>
      </w:r>
      <w:r>
        <w:rPr>
          <w:rFonts w:ascii="宋体" w:hAnsi="宋体" w:hint="eastAsia"/>
          <w:szCs w:val="21"/>
        </w:rPr>
        <w:t>、脑外伤患者康复治疗最佳方案（</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、认知障碍康复训练</w:t>
      </w:r>
      <w:r>
        <w:rPr>
          <w:rFonts w:ascii="宋体" w:hAnsi="宋体"/>
          <w:szCs w:val="21"/>
        </w:rPr>
        <w:t xml:space="preserve">          B</w:t>
      </w:r>
      <w:r>
        <w:rPr>
          <w:rFonts w:ascii="宋体" w:hAnsi="宋体" w:hint="eastAsia"/>
          <w:szCs w:val="21"/>
        </w:rPr>
        <w:t>、神经肌肉促进技术</w:t>
      </w:r>
      <w:r>
        <w:rPr>
          <w:rFonts w:ascii="宋体" w:hAnsi="宋体"/>
          <w:szCs w:val="21"/>
        </w:rPr>
        <w:t xml:space="preserve">    C</w:t>
      </w:r>
      <w:r>
        <w:rPr>
          <w:rFonts w:ascii="宋体" w:hAnsi="宋体" w:hint="eastAsia"/>
          <w:szCs w:val="21"/>
        </w:rPr>
        <w:t>、综合康复训练</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、物理因子对症治疗、轮椅训练、辅助具应用</w:t>
      </w:r>
      <w:r>
        <w:rPr>
          <w:rFonts w:ascii="宋体" w:hAnsi="宋体"/>
          <w:szCs w:val="21"/>
        </w:rPr>
        <w:t xml:space="preserve">          E</w:t>
      </w:r>
      <w:r>
        <w:rPr>
          <w:rFonts w:ascii="宋体" w:hAnsi="宋体" w:hint="eastAsia"/>
          <w:szCs w:val="21"/>
        </w:rPr>
        <w:t>、言语、吞咽功能训练</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10</w:t>
      </w:r>
      <w:r>
        <w:rPr>
          <w:rFonts w:ascii="宋体" w:hAnsi="宋体" w:hint="eastAsia"/>
          <w:szCs w:val="21"/>
        </w:rPr>
        <w:t>、视空间关系障碍损伤定位是（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、左半球顶叶</w:t>
      </w:r>
      <w:r>
        <w:rPr>
          <w:rFonts w:ascii="宋体" w:hAnsi="宋体"/>
          <w:szCs w:val="21"/>
        </w:rPr>
        <w:t xml:space="preserve">        B</w:t>
      </w:r>
      <w:r>
        <w:rPr>
          <w:rFonts w:ascii="宋体" w:hAnsi="宋体" w:hint="eastAsia"/>
          <w:szCs w:val="21"/>
        </w:rPr>
        <w:t>、右半球顶叶</w:t>
      </w:r>
      <w:r>
        <w:rPr>
          <w:rFonts w:ascii="宋体" w:hAnsi="宋体"/>
          <w:szCs w:val="21"/>
        </w:rPr>
        <w:t xml:space="preserve">     C</w:t>
      </w:r>
      <w:r>
        <w:rPr>
          <w:rFonts w:ascii="宋体" w:hAnsi="宋体" w:hint="eastAsia"/>
          <w:szCs w:val="21"/>
        </w:rPr>
        <w:t>、左半球颞叶</w:t>
      </w:r>
      <w:r>
        <w:rPr>
          <w:rFonts w:ascii="宋体" w:hAnsi="宋体"/>
          <w:szCs w:val="21"/>
        </w:rPr>
        <w:t xml:space="preserve">        D</w:t>
      </w:r>
      <w:r>
        <w:rPr>
          <w:rFonts w:ascii="宋体" w:hAnsi="宋体" w:hint="eastAsia"/>
          <w:szCs w:val="21"/>
        </w:rPr>
        <w:t>、右半球颞叶</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11</w:t>
      </w:r>
      <w:r>
        <w:rPr>
          <w:rFonts w:ascii="宋体" w:hAnsi="宋体" w:hint="eastAsia"/>
          <w:szCs w:val="21"/>
        </w:rPr>
        <w:t>、患者因上运动神经元损伤而出现膀胱功能障碍，下列哪一项不是常用的膀胱控制训练内</w:t>
      </w:r>
      <w:r>
        <w:rPr>
          <w:rFonts w:ascii="宋体" w:hAnsi="宋体" w:hint="eastAsia"/>
          <w:szCs w:val="21"/>
        </w:rPr>
        <w:lastRenderedPageBreak/>
        <w:t>容（</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A</w:t>
      </w:r>
      <w:r>
        <w:rPr>
          <w:rFonts w:ascii="宋体" w:hAnsi="宋体" w:hint="eastAsia"/>
          <w:szCs w:val="21"/>
        </w:rPr>
        <w:t>、括约肌控制训练</w:t>
      </w:r>
      <w:r>
        <w:rPr>
          <w:rFonts w:ascii="宋体" w:hAnsi="宋体"/>
          <w:szCs w:val="21"/>
        </w:rPr>
        <w:t xml:space="preserve">         B</w:t>
      </w:r>
      <w:r>
        <w:rPr>
          <w:rFonts w:ascii="宋体" w:hAnsi="宋体" w:hint="eastAsia"/>
          <w:szCs w:val="21"/>
        </w:rPr>
        <w:t>、排尿反射训练</w:t>
      </w:r>
      <w:r>
        <w:rPr>
          <w:rFonts w:ascii="宋体" w:hAnsi="宋体"/>
          <w:szCs w:val="21"/>
        </w:rPr>
        <w:t xml:space="preserve">      C</w:t>
      </w:r>
      <w:r>
        <w:rPr>
          <w:rFonts w:ascii="宋体" w:hAnsi="宋体" w:hint="eastAsia"/>
          <w:szCs w:val="21"/>
        </w:rPr>
        <w:t>、手法排尿训练</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szCs w:val="21"/>
        </w:rPr>
        <w:t>D</w:t>
      </w:r>
      <w:r>
        <w:rPr>
          <w:rFonts w:ascii="宋体" w:hAnsi="宋体" w:hint="eastAsia"/>
          <w:szCs w:val="21"/>
        </w:rPr>
        <w:t>、水出入管理</w:t>
      </w:r>
      <w:r>
        <w:rPr>
          <w:rFonts w:ascii="宋体" w:hAnsi="宋体"/>
          <w:szCs w:val="21"/>
        </w:rPr>
        <w:t xml:space="preserve">             E</w:t>
      </w:r>
      <w:r>
        <w:rPr>
          <w:rFonts w:ascii="宋体" w:hAnsi="宋体" w:hint="eastAsia"/>
          <w:szCs w:val="21"/>
        </w:rPr>
        <w:t>、长期留置尿管</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12</w:t>
      </w:r>
      <w:r>
        <w:rPr>
          <w:rFonts w:ascii="宋体" w:hAnsi="宋体" w:hint="eastAsia"/>
          <w:szCs w:val="21"/>
        </w:rPr>
        <w:t>、处于软瘫期的脑卒中患者为了促进肌张力和主动活动出现，不宜采用的是（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szCs w:val="21"/>
        </w:rPr>
        <w:t>A</w:t>
      </w:r>
      <w:r>
        <w:rPr>
          <w:rFonts w:ascii="宋体" w:hAnsi="宋体" w:hint="eastAsia"/>
          <w:szCs w:val="21"/>
        </w:rPr>
        <w:t>、关节被动活动</w:t>
      </w:r>
      <w:r>
        <w:rPr>
          <w:rFonts w:ascii="宋体" w:hAnsi="宋体"/>
          <w:szCs w:val="21"/>
        </w:rPr>
        <w:t xml:space="preserve">         B</w:t>
      </w:r>
      <w:r>
        <w:rPr>
          <w:rFonts w:ascii="宋体" w:hAnsi="宋体" w:hint="eastAsia"/>
          <w:szCs w:val="21"/>
        </w:rPr>
        <w:t>、患者肢体按摩</w:t>
      </w:r>
      <w:r>
        <w:rPr>
          <w:rFonts w:ascii="宋体" w:hAnsi="宋体"/>
          <w:szCs w:val="21"/>
        </w:rPr>
        <w:t xml:space="preserve">       C</w:t>
      </w:r>
      <w:r>
        <w:rPr>
          <w:rFonts w:ascii="宋体" w:hAnsi="宋体" w:hint="eastAsia"/>
          <w:szCs w:val="21"/>
        </w:rPr>
        <w:t>、神经肌肉电刺激</w:t>
      </w:r>
      <w:r>
        <w:rPr>
          <w:rFonts w:ascii="宋体" w:hAnsi="宋体"/>
          <w:szCs w:val="21"/>
        </w:rPr>
        <w:t xml:space="preserve">   </w:t>
      </w:r>
    </w:p>
    <w:p w:rsidR="003717A0" w:rsidRDefault="003717A0">
      <w:pPr>
        <w:autoSpaceDE w:val="0"/>
        <w:autoSpaceDN w:val="0"/>
        <w:adjustRightInd w:val="0"/>
        <w:snapToGrid w:val="0"/>
        <w:spacing w:line="360" w:lineRule="auto"/>
        <w:ind w:firstLineChars="200" w:firstLine="420"/>
        <w:jc w:val="left"/>
        <w:rPr>
          <w:rFonts w:ascii="宋体"/>
          <w:szCs w:val="21"/>
        </w:rPr>
      </w:pPr>
      <w:r>
        <w:rPr>
          <w:rFonts w:ascii="宋体" w:hAnsi="宋体"/>
          <w:szCs w:val="21"/>
        </w:rPr>
        <w:t>D</w:t>
      </w:r>
      <w:r>
        <w:rPr>
          <w:rFonts w:ascii="宋体" w:hAnsi="宋体" w:hint="eastAsia"/>
          <w:szCs w:val="21"/>
        </w:rPr>
        <w:t>、缓慢持续牵拉瘫痪肌肉</w:t>
      </w:r>
      <w:r>
        <w:rPr>
          <w:rFonts w:ascii="宋体" w:hAnsi="宋体"/>
          <w:szCs w:val="21"/>
        </w:rPr>
        <w:t xml:space="preserve">      E</w:t>
      </w:r>
      <w:r>
        <w:rPr>
          <w:rFonts w:ascii="宋体" w:hAnsi="宋体" w:hint="eastAsia"/>
          <w:szCs w:val="21"/>
        </w:rPr>
        <w:t>快速轻拍和刷擦肌肉</w:t>
      </w:r>
    </w:p>
    <w:p w:rsidR="003717A0" w:rsidRDefault="003717A0">
      <w:pPr>
        <w:autoSpaceDE w:val="0"/>
        <w:autoSpaceDN w:val="0"/>
        <w:adjustRightInd w:val="0"/>
        <w:snapToGrid w:val="0"/>
        <w:spacing w:line="360" w:lineRule="auto"/>
        <w:ind w:firstLineChars="292" w:firstLine="613"/>
        <w:jc w:val="left"/>
        <w:rPr>
          <w:rFonts w:ascii="宋体"/>
          <w:szCs w:val="21"/>
        </w:rPr>
      </w:pPr>
      <w:r>
        <w:rPr>
          <w:rFonts w:ascii="宋体" w:hAnsi="宋体" w:hint="eastAsia"/>
          <w:szCs w:val="21"/>
        </w:rPr>
        <w:t>三、多选题（每题</w:t>
      </w:r>
      <w:r>
        <w:rPr>
          <w:rFonts w:ascii="宋体" w:hAnsi="宋体"/>
          <w:szCs w:val="21"/>
        </w:rPr>
        <w:t>3</w:t>
      </w:r>
      <w:r>
        <w:rPr>
          <w:rFonts w:ascii="宋体" w:hAnsi="宋体" w:hint="eastAsia"/>
          <w:szCs w:val="21"/>
        </w:rPr>
        <w:t>分</w:t>
      </w:r>
      <w:r>
        <w:rPr>
          <w:rFonts w:ascii="宋体"/>
          <w:szCs w:val="21"/>
        </w:rPr>
        <w:t>,</w:t>
      </w:r>
      <w:r>
        <w:rPr>
          <w:rFonts w:ascii="宋体" w:hAnsi="宋体" w:hint="eastAsia"/>
          <w:szCs w:val="21"/>
        </w:rPr>
        <w:t>共</w:t>
      </w:r>
      <w:r>
        <w:rPr>
          <w:rFonts w:ascii="宋体" w:hAnsi="宋体"/>
          <w:szCs w:val="21"/>
        </w:rPr>
        <w:t>15</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w:t>
      </w:r>
      <w:r>
        <w:rPr>
          <w:rFonts w:ascii="宋体" w:hAnsi="宋体" w:hint="eastAsia"/>
          <w:szCs w:val="21"/>
        </w:rPr>
        <w:t>、膀胱控制训练的适应症包括（</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．不完全性脊髓损伤合并膀胱控制障碍</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B</w:t>
      </w:r>
      <w:r>
        <w:rPr>
          <w:rFonts w:ascii="宋体" w:hAnsi="宋体" w:hint="eastAsia"/>
          <w:szCs w:val="21"/>
        </w:rPr>
        <w:t>．脑卒中合并膀胱控制障碍</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C</w:t>
      </w:r>
      <w:r>
        <w:rPr>
          <w:rFonts w:ascii="宋体" w:hAnsi="宋体" w:hint="eastAsia"/>
          <w:szCs w:val="21"/>
        </w:rPr>
        <w:t>．脑外伤合并严重前列腺肥大</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D</w:t>
      </w:r>
      <w:r>
        <w:rPr>
          <w:rFonts w:ascii="宋体" w:hAnsi="宋体" w:hint="eastAsia"/>
          <w:szCs w:val="21"/>
        </w:rPr>
        <w:t>．脑外伤合并尿失禁</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E</w:t>
      </w:r>
      <w:r>
        <w:rPr>
          <w:rFonts w:ascii="宋体" w:hAnsi="宋体" w:hint="eastAsia"/>
          <w:szCs w:val="21"/>
        </w:rPr>
        <w:t>．完全性脊髓损伤合并膀胱结石</w:t>
      </w:r>
    </w:p>
    <w:p w:rsidR="003717A0" w:rsidRDefault="003717A0">
      <w:pPr>
        <w:autoSpaceDE w:val="0"/>
        <w:autoSpaceDN w:val="0"/>
        <w:adjustRightInd w:val="0"/>
        <w:snapToGrid w:val="0"/>
        <w:spacing w:line="360" w:lineRule="auto"/>
        <w:ind w:left="210" w:hangingChars="100" w:hanging="210"/>
        <w:jc w:val="left"/>
        <w:rPr>
          <w:rFonts w:ascii="宋体"/>
          <w:szCs w:val="21"/>
        </w:rPr>
      </w:pPr>
      <w:r>
        <w:rPr>
          <w:rFonts w:ascii="宋体" w:hAnsi="宋体"/>
          <w:szCs w:val="21"/>
        </w:rPr>
        <w:t>2</w:t>
      </w:r>
      <w:r>
        <w:rPr>
          <w:rFonts w:ascii="宋体" w:hAnsi="宋体" w:hint="eastAsia"/>
          <w:szCs w:val="21"/>
        </w:rPr>
        <w:t>、患者男性，</w:t>
      </w:r>
      <w:r>
        <w:rPr>
          <w:rFonts w:ascii="宋体" w:hAnsi="宋体"/>
          <w:szCs w:val="21"/>
        </w:rPr>
        <w:t>71</w:t>
      </w:r>
      <w:r>
        <w:rPr>
          <w:rFonts w:ascii="宋体" w:hAnsi="宋体" w:hint="eastAsia"/>
          <w:szCs w:val="21"/>
        </w:rPr>
        <w:t>岁，因左侧脑出血人院，病情平稳后转入康复科治疗。治疗师给予评估后发现：患者评估合作，发音欠清晰，记忆力稍减退；右侧肢体肌张力</w:t>
      </w:r>
      <w:r>
        <w:rPr>
          <w:rFonts w:ascii="宋体" w:hAnsi="宋体"/>
          <w:szCs w:val="21"/>
        </w:rPr>
        <w:t>Ashworth</w:t>
      </w:r>
      <w:r>
        <w:rPr>
          <w:rFonts w:ascii="宋体" w:hAnsi="宋体" w:hint="eastAsia"/>
          <w:szCs w:val="21"/>
        </w:rPr>
        <w:t>痉挛分级</w:t>
      </w:r>
      <w:r>
        <w:rPr>
          <w:rFonts w:ascii="宋体" w:hAnsi="宋体"/>
          <w:szCs w:val="21"/>
        </w:rPr>
        <w:t>1</w:t>
      </w:r>
      <w:r>
        <w:rPr>
          <w:rFonts w:ascii="宋体" w:hAnsi="宋体" w:hint="eastAsia"/>
          <w:szCs w:val="21"/>
        </w:rPr>
        <w:t>～</w:t>
      </w:r>
      <w:r>
        <w:rPr>
          <w:rFonts w:ascii="宋体" w:hAnsi="宋体"/>
          <w:szCs w:val="21"/>
        </w:rPr>
        <w:t>2</w:t>
      </w:r>
      <w:r>
        <w:rPr>
          <w:rFonts w:ascii="宋体" w:hAnsi="宋体" w:hint="eastAsia"/>
          <w:szCs w:val="21"/>
        </w:rPr>
        <w:t>级，肌力均为</w:t>
      </w:r>
      <w:r>
        <w:rPr>
          <w:rFonts w:ascii="宋体" w:hAnsi="宋体"/>
          <w:szCs w:val="21"/>
        </w:rPr>
        <w:t>3</w:t>
      </w:r>
      <w:r>
        <w:rPr>
          <w:rFonts w:ascii="宋体" w:hAnsi="宋体" w:hint="eastAsia"/>
          <w:szCs w:val="21"/>
        </w:rPr>
        <w:t>级；坐位下可自主平衡；不能站立及行走。现要求对该患者进行全面评估，请问这位患者还需给予哪项评估</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．失语症检查</w:t>
      </w:r>
      <w:r>
        <w:rPr>
          <w:rFonts w:ascii="宋体" w:hAnsi="宋体"/>
          <w:szCs w:val="21"/>
        </w:rPr>
        <w:t xml:space="preserve">    B</w:t>
      </w:r>
      <w:r>
        <w:rPr>
          <w:rFonts w:ascii="宋体" w:hAnsi="宋体" w:hint="eastAsia"/>
          <w:szCs w:val="21"/>
        </w:rPr>
        <w:t>．注意力评估</w:t>
      </w:r>
      <w:r>
        <w:rPr>
          <w:rFonts w:ascii="宋体" w:hAnsi="宋体"/>
          <w:szCs w:val="21"/>
        </w:rPr>
        <w:t xml:space="preserve">    C</w:t>
      </w:r>
      <w:r>
        <w:rPr>
          <w:rFonts w:ascii="宋体" w:hAnsi="宋体" w:hint="eastAsia"/>
          <w:szCs w:val="21"/>
        </w:rPr>
        <w:t>．</w:t>
      </w:r>
      <w:r>
        <w:rPr>
          <w:rFonts w:ascii="宋体" w:hAnsi="宋体"/>
          <w:szCs w:val="21"/>
        </w:rPr>
        <w:t>ADL</w:t>
      </w:r>
      <w:r>
        <w:rPr>
          <w:rFonts w:ascii="宋体" w:hAnsi="宋体" w:hint="eastAsia"/>
          <w:szCs w:val="21"/>
        </w:rPr>
        <w:t>评</w:t>
      </w:r>
      <w:r>
        <w:rPr>
          <w:rFonts w:ascii="宋体" w:hAnsi="宋体"/>
          <w:szCs w:val="21"/>
        </w:rPr>
        <w:t xml:space="preserve">    D</w:t>
      </w:r>
      <w:r>
        <w:rPr>
          <w:rFonts w:ascii="宋体" w:hAnsi="宋体" w:hint="eastAsia"/>
          <w:szCs w:val="21"/>
        </w:rPr>
        <w:t>．平衡能力检查</w:t>
      </w:r>
      <w:r>
        <w:rPr>
          <w:rFonts w:ascii="宋体" w:hAnsi="宋体"/>
          <w:szCs w:val="21"/>
        </w:rPr>
        <w:t xml:space="preserve">    E</w:t>
      </w:r>
      <w:r>
        <w:rPr>
          <w:rFonts w:ascii="宋体" w:hAnsi="宋体" w:hint="eastAsia"/>
          <w:szCs w:val="21"/>
        </w:rPr>
        <w:t>．语言理解能力检查</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3</w:t>
      </w:r>
      <w:r>
        <w:rPr>
          <w:rFonts w:ascii="宋体" w:hAnsi="宋体" w:hint="eastAsia"/>
          <w:szCs w:val="21"/>
        </w:rPr>
        <w:t>、关于臂丛神经麻痹，下列说法正确的是（</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、产伤是病因之一</w:t>
      </w:r>
      <w:r>
        <w:rPr>
          <w:rFonts w:ascii="宋体" w:hAnsi="宋体"/>
          <w:szCs w:val="21"/>
        </w:rPr>
        <w:t xml:space="preserve">        B</w:t>
      </w:r>
      <w:r>
        <w:rPr>
          <w:rFonts w:ascii="宋体" w:hAnsi="宋体" w:hint="eastAsia"/>
          <w:szCs w:val="21"/>
        </w:rPr>
        <w:t>、患侧上臂呈外展外旋</w:t>
      </w:r>
      <w:r>
        <w:rPr>
          <w:rFonts w:ascii="宋体" w:hAnsi="宋体"/>
          <w:szCs w:val="21"/>
        </w:rPr>
        <w:t xml:space="preserve">     C</w:t>
      </w:r>
      <w:r>
        <w:rPr>
          <w:rFonts w:ascii="宋体" w:hAnsi="宋体" w:hint="eastAsia"/>
          <w:szCs w:val="21"/>
        </w:rPr>
        <w:t>、下臂丛神经麻痹，常伴有霍纳综合症</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D</w:t>
      </w:r>
      <w:r>
        <w:rPr>
          <w:rFonts w:ascii="宋体" w:hAnsi="宋体" w:hint="eastAsia"/>
          <w:szCs w:val="21"/>
        </w:rPr>
        <w:t>、可有患侧手完全不能活动</w:t>
      </w:r>
      <w:r>
        <w:rPr>
          <w:rFonts w:ascii="宋体" w:hAnsi="宋体"/>
          <w:szCs w:val="21"/>
        </w:rPr>
        <w:t xml:space="preserve">        E</w:t>
      </w:r>
      <w:r>
        <w:rPr>
          <w:rFonts w:ascii="宋体" w:hAnsi="宋体" w:hint="eastAsia"/>
          <w:szCs w:val="21"/>
        </w:rPr>
        <w:t>、完全性麻痹、近端远端肌肉均无活动</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4</w:t>
      </w:r>
      <w:r>
        <w:rPr>
          <w:rFonts w:ascii="宋体" w:hAnsi="宋体" w:hint="eastAsia"/>
          <w:szCs w:val="21"/>
        </w:rPr>
        <w:t>、脊髓休克的概念中正确的是（</w:t>
      </w:r>
      <w:r>
        <w:rPr>
          <w:rFonts w:ascii="宋体" w:hAnsi="宋体"/>
          <w:szCs w:val="21"/>
        </w:rPr>
        <w:t xml:space="preserve">     </w:t>
      </w:r>
      <w:r>
        <w:rPr>
          <w:rFonts w:ascii="宋体" w:hAnsi="宋体" w:hint="eastAsia"/>
          <w:szCs w:val="21"/>
        </w:rPr>
        <w:t>）</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、脊髓受伤后运动功能完全丧失</w:t>
      </w:r>
      <w:r>
        <w:rPr>
          <w:rFonts w:ascii="宋体" w:hAnsi="宋体"/>
          <w:szCs w:val="21"/>
        </w:rPr>
        <w:t xml:space="preserve">           B</w:t>
      </w:r>
      <w:r>
        <w:rPr>
          <w:rFonts w:ascii="宋体" w:hAnsi="宋体" w:hint="eastAsia"/>
          <w:szCs w:val="21"/>
        </w:rPr>
        <w:t>、神经反射全部丧失</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C</w:t>
      </w:r>
      <w:r>
        <w:rPr>
          <w:rFonts w:ascii="宋体" w:hAnsi="宋体" w:hint="eastAsia"/>
          <w:szCs w:val="21"/>
        </w:rPr>
        <w:t>、有球</w:t>
      </w:r>
      <w:r>
        <w:rPr>
          <w:rFonts w:ascii="宋体"/>
          <w:szCs w:val="21"/>
        </w:rPr>
        <w:t>-</w:t>
      </w:r>
      <w:r>
        <w:rPr>
          <w:rFonts w:ascii="宋体" w:hAnsi="宋体" w:hint="eastAsia"/>
          <w:szCs w:val="21"/>
        </w:rPr>
        <w:t>肛门反射</w:t>
      </w:r>
      <w:r>
        <w:rPr>
          <w:rFonts w:ascii="宋体" w:hAnsi="宋体"/>
          <w:szCs w:val="21"/>
        </w:rPr>
        <w:t xml:space="preserve">                        D</w:t>
      </w:r>
      <w:r>
        <w:rPr>
          <w:rFonts w:ascii="宋体" w:hAnsi="宋体" w:hint="eastAsia"/>
          <w:szCs w:val="21"/>
        </w:rPr>
        <w:t>、损伤平面之下感觉全部丧失</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E</w:t>
      </w:r>
      <w:r>
        <w:rPr>
          <w:rFonts w:ascii="宋体" w:hAnsi="宋体" w:hint="eastAsia"/>
          <w:szCs w:val="21"/>
        </w:rPr>
        <w:t>、脊髓休克之后感觉和运动功能可能有显著恢复。</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5</w:t>
      </w:r>
      <w:r>
        <w:rPr>
          <w:rFonts w:ascii="宋体" w:hAnsi="宋体" w:hint="eastAsia"/>
          <w:szCs w:val="21"/>
        </w:rPr>
        <w:t>、某中年脑卒中患者右上肢屈肘痉挛，可以采用的治疗包括（</w:t>
      </w:r>
      <w:r>
        <w:rPr>
          <w:rFonts w:ascii="宋体" w:hAnsi="宋体"/>
          <w:szCs w:val="21"/>
        </w:rPr>
        <w:t xml:space="preserve">       </w:t>
      </w:r>
      <w:r>
        <w:rPr>
          <w:rFonts w:ascii="宋体" w:hAnsi="宋体" w:hint="eastAsia"/>
          <w:szCs w:val="21"/>
        </w:rPr>
        <w:t>）</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A</w:t>
      </w:r>
      <w:r>
        <w:rPr>
          <w:rFonts w:ascii="宋体" w:hAnsi="宋体" w:hint="eastAsia"/>
          <w:szCs w:val="21"/>
        </w:rPr>
        <w:t>、训练肱三头肌的主动和抗阻收缩</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B</w:t>
      </w:r>
      <w:r>
        <w:rPr>
          <w:rFonts w:ascii="宋体" w:hAnsi="宋体" w:hint="eastAsia"/>
          <w:szCs w:val="21"/>
        </w:rPr>
        <w:t>、被动牵张肱三头肌</w:t>
      </w:r>
      <w:r>
        <w:rPr>
          <w:rFonts w:ascii="宋体" w:hAnsi="宋体"/>
          <w:szCs w:val="21"/>
        </w:rPr>
        <w:t xml:space="preserve">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C</w:t>
      </w:r>
      <w:r>
        <w:rPr>
          <w:rFonts w:ascii="宋体" w:hAnsi="宋体" w:hint="eastAsia"/>
          <w:szCs w:val="21"/>
        </w:rPr>
        <w:t>、上肢矫形器</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D</w:t>
      </w:r>
      <w:r>
        <w:rPr>
          <w:rFonts w:ascii="宋体" w:hAnsi="宋体" w:hint="eastAsia"/>
          <w:szCs w:val="21"/>
        </w:rPr>
        <w:t>、</w:t>
      </w:r>
      <w:r>
        <w:rPr>
          <w:rFonts w:ascii="宋体" w:hAnsi="宋体"/>
          <w:szCs w:val="21"/>
        </w:rPr>
        <w:t xml:space="preserve">Baclofen        </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E</w:t>
      </w:r>
      <w:r>
        <w:rPr>
          <w:rFonts w:ascii="宋体" w:hAnsi="宋体" w:hint="eastAsia"/>
          <w:szCs w:val="21"/>
        </w:rPr>
        <w:t>、温热疗法</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四、简答题（共</w:t>
      </w:r>
      <w:r>
        <w:rPr>
          <w:rFonts w:ascii="宋体" w:hAnsi="宋体"/>
          <w:szCs w:val="21"/>
        </w:rPr>
        <w:t>46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1</w:t>
      </w:r>
      <w:r>
        <w:rPr>
          <w:rFonts w:ascii="宋体" w:hAnsi="宋体" w:hint="eastAsia"/>
          <w:szCs w:val="21"/>
        </w:rPr>
        <w:t>、试述如何对脑卒中患者进行生物力学作业模式分析（</w:t>
      </w:r>
      <w:r>
        <w:rPr>
          <w:rFonts w:ascii="宋体" w:hAnsi="宋体"/>
          <w:szCs w:val="21"/>
        </w:rPr>
        <w:t>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2</w:t>
      </w:r>
      <w:r>
        <w:rPr>
          <w:rFonts w:ascii="宋体" w:hAnsi="宋体" w:hint="eastAsia"/>
          <w:szCs w:val="21"/>
        </w:rPr>
        <w:t>、简述全面性作业活动方法内容及注意事项。（</w:t>
      </w:r>
      <w:r>
        <w:rPr>
          <w:rFonts w:ascii="宋体" w:hAnsi="宋体"/>
          <w:szCs w:val="21"/>
        </w:rPr>
        <w:t>8</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lastRenderedPageBreak/>
        <w:t>3</w:t>
      </w:r>
      <w:r>
        <w:rPr>
          <w:rFonts w:ascii="宋体" w:hAnsi="宋体" w:hint="eastAsia"/>
          <w:szCs w:val="21"/>
        </w:rPr>
        <w:t>、简述脑外伤术后昏迷患者需做哪些方面的评估。（</w:t>
      </w:r>
      <w:r>
        <w:rPr>
          <w:rFonts w:ascii="宋体" w:hAnsi="宋体"/>
          <w:szCs w:val="21"/>
        </w:rPr>
        <w:t>8</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4</w:t>
      </w:r>
      <w:r>
        <w:rPr>
          <w:rFonts w:ascii="宋体" w:hAnsi="宋体" w:hint="eastAsia"/>
          <w:szCs w:val="21"/>
        </w:rPr>
        <w:t>、为改善手的灵活性，可以选择哪些作业活动</w:t>
      </w:r>
      <w:r>
        <w:rPr>
          <w:rFonts w:ascii="宋体" w:hAnsi="宋体"/>
          <w:szCs w:val="21"/>
        </w:rPr>
        <w:t>?</w:t>
      </w:r>
      <w:r>
        <w:rPr>
          <w:rFonts w:ascii="宋体" w:hAnsi="宋体" w:hint="eastAsia"/>
          <w:szCs w:val="21"/>
        </w:rPr>
        <w:t>（</w:t>
      </w:r>
      <w:r>
        <w:rPr>
          <w:rFonts w:ascii="宋体" w:hAnsi="宋体"/>
          <w:szCs w:val="21"/>
        </w:rPr>
        <w:t>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5</w:t>
      </w:r>
      <w:r>
        <w:rPr>
          <w:rFonts w:ascii="宋体" w:hAnsi="宋体" w:hint="eastAsia"/>
          <w:szCs w:val="21"/>
        </w:rPr>
        <w:t>、试述尺神经损伤后早期的康复治疗方案（</w:t>
      </w:r>
      <w:r>
        <w:rPr>
          <w:rFonts w:ascii="宋体" w:hAnsi="宋体"/>
          <w:szCs w:val="21"/>
        </w:rPr>
        <w:t>12</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r>
        <w:rPr>
          <w:rFonts w:ascii="宋体" w:hAnsi="宋体"/>
          <w:szCs w:val="21"/>
        </w:rPr>
        <w:t>6</w:t>
      </w:r>
      <w:r>
        <w:rPr>
          <w:rFonts w:ascii="宋体" w:hAnsi="宋体" w:hint="eastAsia"/>
          <w:szCs w:val="21"/>
        </w:rPr>
        <w:t>、对脑卒中后上肢关节活动受限，肌力肌张力异常不能抓握或动作不协调而不能正常摄食者怎样改造餐具使之送食入口。（</w:t>
      </w:r>
      <w:r>
        <w:rPr>
          <w:rFonts w:ascii="宋体" w:hAnsi="宋体"/>
          <w:szCs w:val="21"/>
        </w:rPr>
        <w:t>6</w:t>
      </w:r>
      <w:r>
        <w:rPr>
          <w:rFonts w:ascii="宋体" w:hAnsi="宋体" w:hint="eastAsia"/>
          <w:szCs w:val="21"/>
        </w:rPr>
        <w:t>分）</w:t>
      </w:r>
    </w:p>
    <w:p w:rsidR="003717A0" w:rsidRDefault="003717A0">
      <w:pPr>
        <w:autoSpaceDE w:val="0"/>
        <w:autoSpaceDN w:val="0"/>
        <w:adjustRightInd w:val="0"/>
        <w:snapToGrid w:val="0"/>
        <w:spacing w:line="360" w:lineRule="auto"/>
        <w:jc w:val="left"/>
        <w:rPr>
          <w:rFonts w:ascii="宋体"/>
          <w:szCs w:val="21"/>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kern w:val="0"/>
                <w:sz w:val="22"/>
              </w:rPr>
            </w:pPr>
            <w:r>
              <w:rPr>
                <w:rFonts w:ascii="宋体" w:hAnsi="宋体" w:hint="eastAsia"/>
                <w:szCs w:val="21"/>
              </w:rPr>
              <w:t>本课程在学校、临床医学院和附属医院统一领导下实施教学，设教学组长兼教学秘书，负责安排教学活动，定人、定时、定内容，课前要充分准备教具，充分备课，认真写好教案。教师应充分研究本大纲所规定的各章内容，对重点和难点进行深入浅出的讲解。增加自学和拓展环节，注意培养学生的自学能力。教师应关心本学科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spacing w:line="360" w:lineRule="auto"/>
              <w:ind w:firstLine="420"/>
              <w:rPr>
                <w:rFonts w:ascii="宋体"/>
                <w:szCs w:val="21"/>
              </w:rPr>
            </w:pPr>
            <w:r>
              <w:rPr>
                <w:rFonts w:ascii="Times New Roman" w:hAnsi="宋体" w:hint="eastAsia"/>
                <w:szCs w:val="21"/>
              </w:rPr>
              <w:t>掌握本课程教学大纲内容，严格按照教学大纲要求进行本课程教学内容的组织。</w:t>
            </w:r>
            <w:r>
              <w:rPr>
                <w:rFonts w:ascii="宋体"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结合课程特点，制作课件，运用多媒体教学手段讲授部分教学内容。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49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49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497"/>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auto"/>
              <w:jc w:val="left"/>
            </w:pP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Times New Roman" w:hAnsi="宋体"/>
                <w:kern w:val="0"/>
                <w:sz w:val="22"/>
              </w:rPr>
            </w:pPr>
            <w:r>
              <w:rPr>
                <w:rFonts w:hint="eastAsia"/>
                <w:szCs w:val="21"/>
              </w:rPr>
              <w:t>无作业</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Times New Roman" w:hAnsi="宋体"/>
                <w:kern w:val="0"/>
                <w:sz w:val="22"/>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498"/>
              </w:numPr>
              <w:autoSpaceDE w:val="0"/>
              <w:autoSpaceDN w:val="0"/>
              <w:adjustRightInd w:val="0"/>
              <w:snapToGrid w:val="0"/>
              <w:spacing w:line="360" w:lineRule="auto"/>
              <w:jc w:val="left"/>
              <w:rPr>
                <w:rFonts w:ascii="宋体"/>
                <w:szCs w:val="21"/>
              </w:rPr>
            </w:pPr>
            <w:r>
              <w:rPr>
                <w:rFonts w:ascii="宋体" w:hAnsi="宋体" w:hint="eastAsia"/>
                <w:szCs w:val="21"/>
              </w:rPr>
              <w:t>期末考试成绩占总评成绩的</w:t>
            </w:r>
            <w:r>
              <w:rPr>
                <w:rFonts w:ascii="宋体" w:hAnsi="宋体"/>
                <w:szCs w:val="21"/>
              </w:rPr>
              <w:t>100%</w:t>
            </w:r>
            <w:r>
              <w:rPr>
                <w:rFonts w:ascii="宋体" w:hAnsi="宋体" w:hint="eastAsia"/>
                <w:szCs w:val="21"/>
              </w:rPr>
              <w:t>；</w:t>
            </w:r>
          </w:p>
          <w:p w:rsidR="003717A0" w:rsidRDefault="003717A0">
            <w:pPr>
              <w:numPr>
                <w:ilvl w:val="0"/>
                <w:numId w:val="498"/>
              </w:numPr>
              <w:autoSpaceDE w:val="0"/>
              <w:autoSpaceDN w:val="0"/>
              <w:adjustRightInd w:val="0"/>
              <w:snapToGrid w:val="0"/>
              <w:spacing w:line="360" w:lineRule="auto"/>
              <w:jc w:val="left"/>
              <w:rPr>
                <w:rFonts w:ascii="宋体"/>
                <w:szCs w:val="21"/>
              </w:rPr>
            </w:pPr>
            <w:r>
              <w:rPr>
                <w:rFonts w:ascii="宋体"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w:t>
            </w:r>
            <w:r>
              <w:rPr>
                <w:rFonts w:ascii="宋体" w:hAnsi="宋体"/>
                <w:szCs w:val="21"/>
              </w:rPr>
              <w:t>1</w:t>
            </w:r>
            <w:r>
              <w:rPr>
                <w:rFonts w:ascii="宋体" w:hAnsi="宋体" w:hint="eastAsia"/>
                <w:szCs w:val="21"/>
              </w:rPr>
              <w:t>）缺交作业次数达</w:t>
            </w:r>
            <w:r>
              <w:rPr>
                <w:rFonts w:ascii="宋体" w:hAnsi="宋体"/>
                <w:szCs w:val="21"/>
              </w:rPr>
              <w:t>1/3</w:t>
            </w:r>
            <w:r>
              <w:rPr>
                <w:rFonts w:ascii="宋体" w:hAnsi="宋体" w:hint="eastAsia"/>
                <w:szCs w:val="21"/>
              </w:rPr>
              <w:t>以上者；</w:t>
            </w:r>
          </w:p>
          <w:p w:rsidR="003717A0" w:rsidRDefault="003717A0">
            <w:pPr>
              <w:autoSpaceDE w:val="0"/>
              <w:autoSpaceDN w:val="0"/>
              <w:adjustRightInd w:val="0"/>
              <w:snapToGrid w:val="0"/>
              <w:spacing w:line="360" w:lineRule="auto"/>
              <w:jc w:val="left"/>
              <w:rPr>
                <w:rFonts w:ascii="宋体"/>
                <w:szCs w:val="21"/>
              </w:rPr>
            </w:pPr>
            <w:r>
              <w:rPr>
                <w:rFonts w:ascii="宋体" w:hAnsi="宋体" w:hint="eastAsia"/>
                <w:szCs w:val="21"/>
              </w:rPr>
              <w:t>（</w:t>
            </w:r>
            <w:r>
              <w:rPr>
                <w:rFonts w:ascii="宋体" w:hAnsi="宋体"/>
                <w:szCs w:val="21"/>
              </w:rPr>
              <w:t>2</w:t>
            </w:r>
            <w:r>
              <w:rPr>
                <w:rFonts w:ascii="宋体" w:hAnsi="宋体" w:hint="eastAsia"/>
                <w:szCs w:val="21"/>
              </w:rPr>
              <w:t>）缺课次数达本学期总授课学时的</w:t>
            </w:r>
            <w:r>
              <w:rPr>
                <w:rFonts w:ascii="宋体" w:hAnsi="宋体"/>
                <w:szCs w:val="21"/>
              </w:rPr>
              <w:t>1/3</w:t>
            </w:r>
            <w:r>
              <w:rPr>
                <w:rFonts w:ascii="宋体"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完成相关作品；同时还鼓励学生到附属医院作业治疗室见习，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111" w:name="_Toc469313017"/>
      <w:bookmarkStart w:id="112" w:name="_Toc471830729"/>
      <w:r w:rsidRPr="00566E4D">
        <w:rPr>
          <w:rFonts w:hint="eastAsia"/>
          <w:b/>
        </w:rPr>
        <w:lastRenderedPageBreak/>
        <w:t>《外科学》课程质量标准</w:t>
      </w:r>
      <w:bookmarkEnd w:id="111"/>
      <w:bookmarkEnd w:id="112"/>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vAlign w:val="center"/>
          </w:tcPr>
          <w:p w:rsidR="003717A0" w:rsidRDefault="003717A0">
            <w:pPr>
              <w:adjustRightInd w:val="0"/>
              <w:snapToGrid w:val="0"/>
              <w:spacing w:line="500" w:lineRule="exact"/>
              <w:jc w:val="center"/>
              <w:rPr>
                <w:sz w:val="22"/>
              </w:rPr>
            </w:pPr>
            <w:r>
              <w:rPr>
                <w:rFonts w:hint="eastAsia"/>
                <w:sz w:val="22"/>
              </w:rPr>
              <w:t>外科学</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rPr>
                <w:sz w:val="22"/>
              </w:rPr>
            </w:pPr>
            <w:r>
              <w:rPr>
                <w:sz w:val="22"/>
              </w:rPr>
              <w:t xml:space="preserve">        Surgery</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170243</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四</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90</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4</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w:t>
            </w:r>
            <w:r>
              <w:rPr>
                <w:rFonts w:ascii="宋体" w:hAnsi="宋体" w:hint="eastAsia"/>
                <w:szCs w:val="21"/>
              </w:rPr>
              <w:t>■</w:t>
            </w:r>
            <w:r>
              <w:rPr>
                <w:rFonts w:ascii="宋体" w:hAnsi="宋体" w:hint="eastAsia"/>
                <w:sz w:val="22"/>
              </w:rPr>
              <w:t>专业课□专业选修课□公共选修课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外科学</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sz w:val="22"/>
              </w:rPr>
              <w:t xml:space="preserve">        </w:t>
            </w:r>
            <w:r>
              <w:rPr>
                <w:rFonts w:hint="eastAsia"/>
                <w:sz w:val="22"/>
              </w:rPr>
              <w:t>外科学</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人民卫生出版社，</w:t>
            </w:r>
            <w:r>
              <w:rPr>
                <w:sz w:val="22"/>
              </w:rPr>
              <w:t>2013</w:t>
            </w:r>
            <w:r>
              <w:rPr>
                <w:rFonts w:hint="eastAsia"/>
                <w:sz w:val="22"/>
              </w:rPr>
              <w:t>年</w:t>
            </w:r>
            <w:r>
              <w:rPr>
                <w:sz w:val="22"/>
              </w:rPr>
              <w:t>3</w:t>
            </w:r>
            <w:r>
              <w:rPr>
                <w:rFonts w:hint="eastAsia"/>
                <w:sz w:val="22"/>
              </w:rPr>
              <w:t>月第</w:t>
            </w:r>
            <w:r>
              <w:rPr>
                <w:sz w:val="22"/>
              </w:rPr>
              <w:t>8</w:t>
            </w:r>
            <w:r>
              <w:rPr>
                <w:rFonts w:hint="eastAsia"/>
                <w:sz w:val="22"/>
              </w:rPr>
              <w:t>版，书号：</w:t>
            </w:r>
            <w:r>
              <w:rPr>
                <w:sz w:val="22"/>
              </w:rPr>
              <w:t>ISBN 978-7-117-17022-2/R.17023</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国家□部级规划□省级规划□自编□其他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Ansi="宋体" w:hint="eastAsia"/>
                <w:szCs w:val="21"/>
              </w:rPr>
              <w:t>■</w:t>
            </w:r>
            <w:r>
              <w:rPr>
                <w:rFonts w:ascii="宋体" w:hAnsi="宋体" w:hint="eastAsia"/>
                <w:sz w:val="22"/>
              </w:rPr>
              <w:t>考试□考查□开卷□闭卷□课程设计□学期论文□其他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王志伟</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ascii="Times New Roman" w:hint="eastAsia"/>
                <w:sz w:val="22"/>
              </w:rPr>
              <w:t>教授</w:t>
            </w:r>
          </w:p>
        </w:tc>
        <w:tc>
          <w:tcPr>
            <w:tcW w:w="1524" w:type="dxa"/>
          </w:tcPr>
          <w:p w:rsidR="003717A0" w:rsidRDefault="003717A0">
            <w:pPr>
              <w:adjustRightInd w:val="0"/>
              <w:snapToGrid w:val="0"/>
              <w:spacing w:line="500" w:lineRule="exact"/>
              <w:jc w:val="center"/>
              <w:rPr>
                <w:sz w:val="22"/>
              </w:rPr>
            </w:pPr>
            <w:r>
              <w:rPr>
                <w:rFonts w:ascii="Times New Roman" w:hAnsi="Times New Roman"/>
                <w:sz w:val="22"/>
              </w:rPr>
              <w:t>1982</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王</w:t>
            </w:r>
            <w:r>
              <w:rPr>
                <w:sz w:val="22"/>
              </w:rPr>
              <w:t xml:space="preserve">  </w:t>
            </w:r>
            <w:r>
              <w:rPr>
                <w:rFonts w:hint="eastAsia"/>
                <w:sz w:val="22"/>
              </w:rPr>
              <w:t>华</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ascii="Times New Roman" w:hint="eastAsia"/>
                <w:sz w:val="22"/>
              </w:rPr>
              <w:t>教授</w:t>
            </w:r>
          </w:p>
        </w:tc>
        <w:tc>
          <w:tcPr>
            <w:tcW w:w="1524" w:type="dxa"/>
          </w:tcPr>
          <w:p w:rsidR="003717A0" w:rsidRDefault="003717A0">
            <w:pPr>
              <w:adjustRightInd w:val="0"/>
              <w:snapToGrid w:val="0"/>
              <w:spacing w:line="500" w:lineRule="exact"/>
              <w:jc w:val="center"/>
              <w:rPr>
                <w:sz w:val="22"/>
              </w:rPr>
            </w:pPr>
            <w:r>
              <w:rPr>
                <w:rFonts w:ascii="Times New Roman" w:hAnsi="Times New Roman"/>
                <w:sz w:val="22"/>
              </w:rPr>
              <w:t>1986</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王庆庆</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ascii="Times New Roman" w:hint="eastAsia"/>
                <w:sz w:val="22"/>
              </w:rPr>
              <w:t>副主任医师</w:t>
            </w:r>
          </w:p>
        </w:tc>
        <w:tc>
          <w:tcPr>
            <w:tcW w:w="1524" w:type="dxa"/>
          </w:tcPr>
          <w:p w:rsidR="003717A0" w:rsidRDefault="003717A0">
            <w:pPr>
              <w:adjustRightInd w:val="0"/>
              <w:snapToGrid w:val="0"/>
              <w:spacing w:line="500" w:lineRule="exact"/>
              <w:jc w:val="center"/>
              <w:rPr>
                <w:sz w:val="22"/>
              </w:rPr>
            </w:pPr>
            <w:r>
              <w:rPr>
                <w:rFonts w:ascii="Times New Roman" w:hAnsi="Times New Roman"/>
                <w:sz w:val="22"/>
              </w:rPr>
              <w:t>1995</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顾长江</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硕士</w:t>
            </w:r>
          </w:p>
        </w:tc>
        <w:tc>
          <w:tcPr>
            <w:tcW w:w="1524" w:type="dxa"/>
            <w:gridSpan w:val="2"/>
          </w:tcPr>
          <w:p w:rsidR="003717A0" w:rsidRDefault="003717A0">
            <w:pPr>
              <w:adjustRightInd w:val="0"/>
              <w:snapToGrid w:val="0"/>
              <w:spacing w:line="500" w:lineRule="exact"/>
              <w:jc w:val="center"/>
              <w:rPr>
                <w:sz w:val="22"/>
              </w:rPr>
            </w:pPr>
            <w:r>
              <w:rPr>
                <w:rFonts w:ascii="Times New Roman" w:hint="eastAsia"/>
                <w:sz w:val="22"/>
              </w:rPr>
              <w:t>副主任医师</w:t>
            </w:r>
          </w:p>
        </w:tc>
        <w:tc>
          <w:tcPr>
            <w:tcW w:w="1524" w:type="dxa"/>
          </w:tcPr>
          <w:p w:rsidR="003717A0" w:rsidRDefault="003717A0">
            <w:pPr>
              <w:adjustRightInd w:val="0"/>
              <w:snapToGrid w:val="0"/>
              <w:spacing w:line="500" w:lineRule="exact"/>
              <w:jc w:val="center"/>
              <w:rPr>
                <w:sz w:val="22"/>
              </w:rPr>
            </w:pPr>
            <w:r>
              <w:rPr>
                <w:rFonts w:ascii="Times New Roman" w:hAnsi="Times New Roman"/>
                <w:sz w:val="22"/>
              </w:rPr>
              <w:t>2001</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陈</w:t>
            </w:r>
            <w:r>
              <w:rPr>
                <w:sz w:val="22"/>
              </w:rPr>
              <w:t xml:space="preserve">  </w:t>
            </w:r>
            <w:r>
              <w:rPr>
                <w:rFonts w:hint="eastAsia"/>
                <w:sz w:val="22"/>
              </w:rPr>
              <w:t>建</w:t>
            </w:r>
          </w:p>
        </w:tc>
        <w:tc>
          <w:tcPr>
            <w:tcW w:w="1523" w:type="dxa"/>
          </w:tcPr>
          <w:p w:rsidR="003717A0" w:rsidRDefault="003717A0">
            <w:pPr>
              <w:adjustRightInd w:val="0"/>
              <w:snapToGrid w:val="0"/>
              <w:spacing w:line="500" w:lineRule="exact"/>
              <w:jc w:val="center"/>
              <w:rPr>
                <w:sz w:val="22"/>
              </w:rPr>
            </w:pPr>
            <w:r>
              <w:rPr>
                <w:rFonts w:hint="eastAsia"/>
                <w:sz w:val="22"/>
              </w:rPr>
              <w:t>男</w:t>
            </w:r>
          </w:p>
        </w:tc>
        <w:tc>
          <w:tcPr>
            <w:tcW w:w="1524" w:type="dxa"/>
            <w:gridSpan w:val="2"/>
          </w:tcPr>
          <w:p w:rsidR="003717A0" w:rsidRDefault="003717A0">
            <w:pPr>
              <w:adjustRightInd w:val="0"/>
              <w:snapToGrid w:val="0"/>
              <w:spacing w:line="500" w:lineRule="exact"/>
              <w:jc w:val="center"/>
              <w:rPr>
                <w:sz w:val="22"/>
              </w:rPr>
            </w:pPr>
            <w:r>
              <w:rPr>
                <w:rFonts w:hint="eastAsia"/>
                <w:sz w:val="22"/>
              </w:rPr>
              <w:t>研究生</w:t>
            </w:r>
          </w:p>
        </w:tc>
        <w:tc>
          <w:tcPr>
            <w:tcW w:w="1523" w:type="dxa"/>
            <w:gridSpan w:val="3"/>
          </w:tcPr>
          <w:p w:rsidR="003717A0" w:rsidRDefault="003717A0">
            <w:pPr>
              <w:adjustRightInd w:val="0"/>
              <w:snapToGrid w:val="0"/>
              <w:spacing w:line="500" w:lineRule="exact"/>
              <w:jc w:val="center"/>
              <w:rPr>
                <w:sz w:val="22"/>
              </w:rPr>
            </w:pPr>
            <w:r>
              <w:rPr>
                <w:rFonts w:hint="eastAsia"/>
                <w:sz w:val="22"/>
              </w:rPr>
              <w:t>博士</w:t>
            </w:r>
          </w:p>
        </w:tc>
        <w:tc>
          <w:tcPr>
            <w:tcW w:w="1524" w:type="dxa"/>
            <w:gridSpan w:val="2"/>
          </w:tcPr>
          <w:p w:rsidR="003717A0" w:rsidRDefault="003717A0">
            <w:pPr>
              <w:adjustRightInd w:val="0"/>
              <w:snapToGrid w:val="0"/>
              <w:spacing w:line="500" w:lineRule="exact"/>
              <w:jc w:val="center"/>
              <w:rPr>
                <w:sz w:val="22"/>
              </w:rPr>
            </w:pPr>
            <w:r>
              <w:rPr>
                <w:rFonts w:ascii="Times New Roman" w:hint="eastAsia"/>
                <w:sz w:val="22"/>
              </w:rPr>
              <w:t>教授</w:t>
            </w:r>
          </w:p>
        </w:tc>
        <w:tc>
          <w:tcPr>
            <w:tcW w:w="1524" w:type="dxa"/>
          </w:tcPr>
          <w:p w:rsidR="003717A0" w:rsidRDefault="003717A0">
            <w:pPr>
              <w:adjustRightInd w:val="0"/>
              <w:snapToGrid w:val="0"/>
              <w:spacing w:line="500" w:lineRule="exact"/>
              <w:jc w:val="center"/>
              <w:rPr>
                <w:sz w:val="22"/>
              </w:rPr>
            </w:pPr>
            <w:r>
              <w:rPr>
                <w:rFonts w:ascii="Times New Roman" w:hAnsi="Times New Roman"/>
                <w:sz w:val="22"/>
              </w:rPr>
              <w:t>1982</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spacing w:line="360" w:lineRule="exact"/>
              <w:ind w:firstLine="437"/>
            </w:pPr>
            <w:r>
              <w:rPr>
                <w:rFonts w:hint="eastAsia"/>
              </w:rPr>
              <w:t>现代外科学的范畴包括许多疾病，它涉及这些疾病的病因、发生、发展、病理、诊断、预防和治疗等的知识。通过外科学的教学，学生最终掌握常见外科疾病的临床诊疗知识和临床技能，学会外科无菌技术、一些外科疾病外科治疗方法。</w:t>
            </w:r>
          </w:p>
          <w:p w:rsidR="003717A0" w:rsidRDefault="003717A0">
            <w:pPr>
              <w:spacing w:line="360" w:lineRule="exact"/>
              <w:ind w:firstLine="437"/>
            </w:pPr>
            <w:r>
              <w:rPr>
                <w:rFonts w:hint="eastAsia"/>
              </w:rPr>
              <w:t>学习外科学必须以人为本，树立为人民服务的信念，刻苦钻研技术，精益求精。学习外科学还必须重视外科学的基本知识、基本理论和基本技能。</w:t>
            </w:r>
          </w:p>
          <w:p w:rsidR="003717A0" w:rsidRDefault="003717A0">
            <w:pPr>
              <w:spacing w:line="360" w:lineRule="exact"/>
              <w:ind w:firstLine="437"/>
            </w:pPr>
            <w:r>
              <w:rPr>
                <w:rFonts w:hint="eastAsia"/>
              </w:rPr>
              <w:t>外科疾病按病因大致分五类：（</w:t>
            </w:r>
            <w:r>
              <w:t>1</w:t>
            </w:r>
            <w:r>
              <w:rPr>
                <w:rFonts w:hint="eastAsia"/>
              </w:rPr>
              <w:t>）损伤；（</w:t>
            </w:r>
            <w:r>
              <w:t>2</w:t>
            </w:r>
            <w:r>
              <w:rPr>
                <w:rFonts w:hint="eastAsia"/>
              </w:rPr>
              <w:t>）感染；（</w:t>
            </w:r>
            <w:r>
              <w:t>3</w:t>
            </w:r>
            <w:r>
              <w:rPr>
                <w:rFonts w:hint="eastAsia"/>
              </w:rPr>
              <w:t>）肿瘤；（</w:t>
            </w:r>
            <w:r>
              <w:t>4</w:t>
            </w:r>
            <w:r>
              <w:rPr>
                <w:rFonts w:hint="eastAsia"/>
              </w:rPr>
              <w:t>）先天性和后天性畸形；（</w:t>
            </w:r>
            <w:r>
              <w:t>5</w:t>
            </w:r>
            <w:r>
              <w:rPr>
                <w:rFonts w:hint="eastAsia"/>
              </w:rPr>
              <w:t>）其他性质的疾病。</w:t>
            </w:r>
          </w:p>
          <w:p w:rsidR="003717A0" w:rsidRDefault="003717A0">
            <w:pPr>
              <w:spacing w:line="360" w:lineRule="exact"/>
              <w:ind w:firstLine="437"/>
            </w:pPr>
            <w:r>
              <w:rPr>
                <w:rFonts w:hint="eastAsia"/>
              </w:rPr>
              <w:t>外科学的具体内容包括以下部分：外科学基础、常见疾病外科诊断和外科治疗。外科基础，论</w:t>
            </w:r>
            <w:r>
              <w:rPr>
                <w:rFonts w:hint="eastAsia"/>
              </w:rPr>
              <w:lastRenderedPageBreak/>
              <w:t>述外科的基本知识基本理论和基本技能。外科常见疾病介绍其病因、发展规律、病理、临床表现、系统检查、诊断要点、鉴别诊断、预防和治疗原则、手术适应证等。手术学的学习主要是培养学生严格的无菌观念和进行基本手术操作的训练。</w:t>
            </w:r>
          </w:p>
          <w:p w:rsidR="003717A0" w:rsidRDefault="003717A0">
            <w:pPr>
              <w:spacing w:line="360" w:lineRule="exact"/>
              <w:ind w:firstLine="437"/>
            </w:pPr>
            <w:r>
              <w:rPr>
                <w:rFonts w:hint="eastAsia"/>
              </w:rPr>
              <w:t>外科学的教学过程，包括课堂讲授、见习和实习，但也不应忽视学生自学能力的培养。因此，对有些章节可以安排为自学内容，并定出完成的时间，而不再予以讲授。讲授内容要理论联系实际，以常见病、多发病为重点，贯彻预防为主的方针，适当介绍国内外医学的新成就，以反映现代科学水平，并重视基础和临床的结合。对要“掌握”的内容，教师应讲深、讲透，学生应深入领会其基本知识或基本理论，以便运用临床实践。对要“熟悉”的内容，教师应重点地讲解，学生应在全面理解其内容的基本上抓住重点。对要“了解”的内容，教师可作概括的讲解，学生则对此有一般的认识。对要求熟悉或了解的自学内容，学生也应在自学时，根据不同的要求认真学习。</w:t>
            </w:r>
          </w:p>
          <w:p w:rsidR="003717A0" w:rsidRDefault="003717A0">
            <w:pPr>
              <w:spacing w:line="360" w:lineRule="exact"/>
              <w:ind w:firstLine="437"/>
            </w:pPr>
            <w:r>
              <w:rPr>
                <w:rFonts w:hint="eastAsia"/>
              </w:rPr>
              <w:t>教学方法方面要重视外科学与医学其他各科的内在联系，要注意启发式和循序渐进，培养学生分析问题和解决问题的能力，充分发挥学生在学习上的主动性和创造性。在教学过程中，要充分利用病例讨论、动物手术实验、参观及参加手术、临床实习与见习、观察大体标本，阅读</w:t>
            </w:r>
            <w:r>
              <w:t>X</w:t>
            </w:r>
            <w:r>
              <w:rPr>
                <w:rFonts w:hint="eastAsia"/>
              </w:rPr>
              <w:t>线片、观看幻灯片、录像和电影等各种教学手段，以提高教学质理。</w:t>
            </w:r>
          </w:p>
        </w:tc>
      </w:tr>
    </w:tbl>
    <w:p w:rsidR="003717A0" w:rsidRDefault="003717A0" w:rsidP="005E20B5">
      <w:pPr>
        <w:adjustRightInd w:val="0"/>
        <w:snapToGrid w:val="0"/>
        <w:spacing w:beforeLines="50" w:afterLines="50" w:line="400" w:lineRule="exact"/>
        <w:jc w:val="center"/>
        <w:rPr>
          <w:rFonts w:ascii="Times New Roman" w:eastAsia="黑体" w:hAnsi="Times New Roman"/>
          <w:kern w:val="0"/>
          <w:sz w:val="32"/>
          <w:szCs w:val="32"/>
        </w:rPr>
      </w:pPr>
    </w:p>
    <w:p w:rsidR="003717A0" w:rsidRDefault="003717A0" w:rsidP="00566E4D">
      <w:pPr>
        <w:adjustRightInd w:val="0"/>
        <w:snapToGrid w:val="0"/>
        <w:spacing w:line="360" w:lineRule="auto"/>
        <w:jc w:val="center"/>
        <w:rPr>
          <w:rFonts w:ascii="Times New Roman" w:eastAsia="黑体" w:hAnsi="Times New Roman"/>
          <w:kern w:val="0"/>
          <w:sz w:val="32"/>
          <w:szCs w:val="32"/>
        </w:rPr>
      </w:pPr>
      <w:r>
        <w:rPr>
          <w:rFonts w:ascii="Times New Roman" w:eastAsia="黑体" w:hAnsi="Times New Roman"/>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Cs w:val="21"/>
        </w:rPr>
      </w:pPr>
      <w:r>
        <w:rPr>
          <w:rFonts w:ascii="Times New Roman" w:hAnsi="宋体" w:hint="eastAsia"/>
          <w:kern w:val="0"/>
          <w:sz w:val="22"/>
        </w:rPr>
        <w:t>适应对象：</w:t>
      </w:r>
      <w:r>
        <w:rPr>
          <w:rFonts w:ascii="Times New Roman" w:hAnsi="Times New Roman" w:hint="eastAsia"/>
          <w:kern w:val="0"/>
          <w:szCs w:val="21"/>
        </w:rPr>
        <w:t>本科层次，康复治疗学专业</w:t>
      </w:r>
    </w:p>
    <w:p w:rsidR="003717A0" w:rsidRDefault="003717A0">
      <w:pPr>
        <w:autoSpaceDE w:val="0"/>
        <w:autoSpaceDN w:val="0"/>
        <w:adjustRightInd w:val="0"/>
        <w:snapToGrid w:val="0"/>
        <w:spacing w:line="360" w:lineRule="exact"/>
        <w:ind w:firstLineChars="193" w:firstLine="425"/>
        <w:jc w:val="left"/>
        <w:rPr>
          <w:rFonts w:ascii="Times New Roman" w:hAnsi="宋体"/>
          <w:kern w:val="0"/>
          <w:sz w:val="22"/>
        </w:rPr>
      </w:pPr>
      <w:r>
        <w:rPr>
          <w:rFonts w:ascii="Times New Roman" w:hAnsi="宋体" w:hint="eastAsia"/>
          <w:kern w:val="0"/>
          <w:sz w:val="22"/>
        </w:rPr>
        <w:t>课程代码：</w:t>
      </w:r>
      <w:r>
        <w:rPr>
          <w:sz w:val="22"/>
        </w:rPr>
        <w:t>170243</w:t>
      </w:r>
    </w:p>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hint="eastAsia"/>
          <w:kern w:val="0"/>
          <w:szCs w:val="21"/>
        </w:rPr>
        <w:t>理论学时：</w:t>
      </w:r>
      <w:r>
        <w:rPr>
          <w:rFonts w:ascii="Times New Roman" w:hAnsi="Times New Roman"/>
          <w:kern w:val="0"/>
          <w:szCs w:val="21"/>
        </w:rPr>
        <w:t>60</w:t>
      </w:r>
      <w:r>
        <w:rPr>
          <w:rFonts w:ascii="Times New Roman" w:hAnsi="Times New Roman" w:hint="eastAsia"/>
          <w:kern w:val="0"/>
          <w:szCs w:val="21"/>
        </w:rPr>
        <w:t>，实验学时：</w:t>
      </w:r>
      <w:r>
        <w:rPr>
          <w:rFonts w:ascii="Times New Roman" w:hAnsi="Times New Roman"/>
          <w:kern w:val="0"/>
          <w:szCs w:val="21"/>
        </w:rPr>
        <w:t>30</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宋体"/>
          <w:kern w:val="0"/>
          <w:sz w:val="22"/>
        </w:rPr>
        <w:t>4</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先修课程：系统解剖学，局部解剖学，病理学，病理生理学，诊断学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w:t>
      </w:r>
      <w:r>
        <w:rPr>
          <w:rFonts w:ascii="Times New Roman" w:hAnsi="Times New Roman" w:hint="eastAsia"/>
          <w:kern w:val="0"/>
          <w:sz w:val="22"/>
        </w:rPr>
        <w:t>临床医学其他课程</w:t>
      </w: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exact"/>
        <w:ind w:firstLineChars="196" w:firstLine="412"/>
        <w:jc w:val="left"/>
        <w:rPr>
          <w:rFonts w:ascii="Times New Roman" w:eastAsia="黑体" w:hAnsi="Times New Roman"/>
          <w:b/>
          <w:kern w:val="0"/>
          <w:sz w:val="24"/>
          <w:szCs w:val="24"/>
        </w:rPr>
      </w:pPr>
      <w:r>
        <w:rPr>
          <w:rFonts w:hint="eastAsia"/>
        </w:rPr>
        <w:t>现代外科学的范畴包括许多疾病，它涉及这些疾病的病因、发生、发展、病理、诊断、预防和治疗等的知识。通过外科学的教学，学生最终掌握常见外科疾病的临床诊疗知识和临床技能，学会外科无菌技术、一些外科疾病外科治疗方法。</w:t>
      </w: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spacing w:line="360" w:lineRule="exact"/>
        <w:ind w:firstLine="435"/>
      </w:pPr>
      <w:r>
        <w:rPr>
          <w:rFonts w:hint="eastAsia"/>
        </w:rPr>
        <w:t>外科学的具体内容包括以下部分：外科学基础、常见疾病外科诊断和外科治疗。外科基础，论述外科的基本知识基本理论和基本技能。外科常见疾病介绍其病因、发展规律、病理、临床表现、系统检查、诊断要点、鉴别诊断、预防和治疗原则、手术适应证等。手术学的学习主要是培养学生严格的无菌观念和进行基本手术操作的训练。</w:t>
      </w:r>
    </w:p>
    <w:p w:rsidR="003717A0" w:rsidRDefault="003717A0">
      <w:pPr>
        <w:spacing w:line="360" w:lineRule="exact"/>
        <w:ind w:firstLine="435"/>
      </w:pPr>
      <w:r>
        <w:rPr>
          <w:rFonts w:hint="eastAsia"/>
        </w:rPr>
        <w:t>外科学的教学过程，包括课堂讲授、见习和实习，但也不应忽视学生自学能力的培养。因此，对有些章节可以安排为自学内容，并定出完成的时间，而不再予以讲授。讲授内容要理论联系实际，以常见病、多发病为重点，贯彻预防为主的方针，适当介绍国内外医学的新成就，以反映现代科学水平，并重视基础和临床的结合。对要“掌握”的内容，教师应讲深、讲透，学生应深入领会其基本知识或基本理论，以便运用临床实践。对要“熟悉”的内容，教师应重点地讲解，学生应在全面理解其内容的基本上抓住重点。对要“了解”的内容，教师可作概括的讲解，学生则对此有一般的认识。对要求熟悉或了解的自学内容，学生也应在自学时，根据不同的要求认真学习。</w:t>
      </w:r>
    </w:p>
    <w:p w:rsidR="003717A0" w:rsidRDefault="003717A0">
      <w:pPr>
        <w:autoSpaceDE w:val="0"/>
        <w:autoSpaceDN w:val="0"/>
        <w:adjustRightInd w:val="0"/>
        <w:snapToGrid w:val="0"/>
        <w:spacing w:line="360" w:lineRule="exact"/>
        <w:jc w:val="left"/>
      </w:pPr>
      <w:r>
        <w:rPr>
          <w:rFonts w:hint="eastAsia"/>
        </w:rPr>
        <w:t>教学方法方面要重视外科学与医学其他各科的内在联系，要注意启发式和循序渐进，培养学生分析问题和解决问题的能力，充分发挥学生在学习上的主动性和创造性。在教学过程中，要充分利用病例讨论、动物手术实验、参观及参加手术、临床实习与见习、观察大体标本，阅读</w:t>
      </w:r>
      <w:r>
        <w:t>X</w:t>
      </w:r>
      <w:r>
        <w:rPr>
          <w:rFonts w:hint="eastAsia"/>
        </w:rPr>
        <w:t>线片、观看幻灯片、录像和电影等各种教学手段，以提高教学质理。</w:t>
      </w: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spacing w:line="360" w:lineRule="exact"/>
        <w:ind w:firstLineChars="1300" w:firstLine="3120"/>
        <w:rPr>
          <w:sz w:val="24"/>
        </w:rPr>
      </w:pPr>
      <w:r>
        <w:rPr>
          <w:rFonts w:hint="eastAsia"/>
          <w:sz w:val="24"/>
        </w:rPr>
        <w:t>颅内压增高和脑疝</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了解引起颅内压增高的机理和病因。</w:t>
      </w:r>
    </w:p>
    <w:p w:rsidR="003717A0" w:rsidRDefault="003717A0">
      <w:pPr>
        <w:spacing w:line="360" w:lineRule="exact"/>
        <w:ind w:firstLine="435"/>
        <w:rPr>
          <w:szCs w:val="21"/>
        </w:rPr>
      </w:pPr>
      <w:r>
        <w:rPr>
          <w:szCs w:val="21"/>
        </w:rPr>
        <w:t>2.</w:t>
      </w:r>
      <w:r>
        <w:rPr>
          <w:rFonts w:hint="eastAsia"/>
          <w:szCs w:val="21"/>
        </w:rPr>
        <w:t>熟悉颅内压增高的病理、病理生理和脑疝形成机理。</w:t>
      </w:r>
    </w:p>
    <w:p w:rsidR="003717A0" w:rsidRDefault="003717A0">
      <w:pPr>
        <w:spacing w:line="360" w:lineRule="exact"/>
        <w:ind w:firstLine="435"/>
        <w:rPr>
          <w:szCs w:val="21"/>
        </w:rPr>
      </w:pPr>
      <w:r>
        <w:rPr>
          <w:szCs w:val="21"/>
        </w:rPr>
        <w:t>3.</w:t>
      </w:r>
      <w:r>
        <w:rPr>
          <w:rFonts w:hint="eastAsia"/>
          <w:szCs w:val="21"/>
        </w:rPr>
        <w:t>掌握颅内压增高的临床表现。</w:t>
      </w:r>
    </w:p>
    <w:p w:rsidR="003717A0" w:rsidRDefault="003717A0">
      <w:pPr>
        <w:spacing w:line="360" w:lineRule="exact"/>
        <w:ind w:firstLine="435"/>
        <w:rPr>
          <w:szCs w:val="21"/>
        </w:rPr>
      </w:pPr>
      <w:r>
        <w:rPr>
          <w:szCs w:val="21"/>
        </w:rPr>
        <w:t>4.</w:t>
      </w:r>
      <w:r>
        <w:rPr>
          <w:rFonts w:hint="eastAsia"/>
          <w:szCs w:val="21"/>
        </w:rPr>
        <w:t>了解颅内压增高的诊断和治疗原则。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颅内压增高的机理、病因、病理和病理生理。颅内压增高的临床表现；一般症状、局灶症状和脑疝症状，诊断方法，治疗原则。</w:t>
      </w:r>
    </w:p>
    <w:p w:rsidR="003717A0" w:rsidRDefault="003717A0" w:rsidP="00566E4D">
      <w:pPr>
        <w:spacing w:line="360" w:lineRule="exact"/>
        <w:jc w:val="center"/>
        <w:rPr>
          <w:sz w:val="24"/>
        </w:rPr>
      </w:pPr>
      <w:r>
        <w:rPr>
          <w:rFonts w:hint="eastAsia"/>
          <w:sz w:val="24"/>
        </w:rPr>
        <w:lastRenderedPageBreak/>
        <w:t>第十八章</w:t>
      </w:r>
      <w:r>
        <w:rPr>
          <w:sz w:val="24"/>
        </w:rPr>
        <w:t xml:space="preserve">  </w:t>
      </w:r>
      <w:r>
        <w:rPr>
          <w:rFonts w:hint="eastAsia"/>
          <w:sz w:val="24"/>
        </w:rPr>
        <w:t>颅脑损伤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熟悉颅骨骨折的临床表现、诊断和治疗原则。</w:t>
      </w:r>
    </w:p>
    <w:p w:rsidR="003717A0" w:rsidRDefault="003717A0">
      <w:pPr>
        <w:spacing w:line="360" w:lineRule="exact"/>
        <w:ind w:firstLine="435"/>
        <w:rPr>
          <w:szCs w:val="21"/>
        </w:rPr>
      </w:pPr>
      <w:r>
        <w:rPr>
          <w:szCs w:val="21"/>
        </w:rPr>
        <w:t>2.</w:t>
      </w:r>
      <w:r>
        <w:rPr>
          <w:rFonts w:hint="eastAsia"/>
          <w:szCs w:val="21"/>
        </w:rPr>
        <w:t>了解原发性脑损伤的发病机理、临床表现、鉴别诊断和诊断方法，和颅内血肿的治疗原则。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颅骨骨折的类型、诊断和治疗、原发性脑损伤的发病机理，病理类型，和临床表现。重点讲述继发性病变的类型和表现，颅内血肿（特别是硬膜外血肿）的鉴别诊断和治疗，脑损伤的处理原则（包括开放性损伤）。</w:t>
      </w:r>
    </w:p>
    <w:p w:rsidR="003717A0" w:rsidRDefault="003717A0">
      <w:pPr>
        <w:spacing w:line="360" w:lineRule="exact"/>
        <w:rPr>
          <w:szCs w:val="21"/>
        </w:rPr>
      </w:pPr>
      <w:r>
        <w:rPr>
          <w:rFonts w:hint="eastAsia"/>
          <w:szCs w:val="21"/>
        </w:rPr>
        <w:t>【自学内容】</w:t>
      </w:r>
    </w:p>
    <w:p w:rsidR="003717A0" w:rsidRDefault="003717A0">
      <w:pPr>
        <w:spacing w:line="360" w:lineRule="exact"/>
        <w:rPr>
          <w:szCs w:val="21"/>
        </w:rPr>
      </w:pPr>
      <w:r>
        <w:rPr>
          <w:szCs w:val="21"/>
        </w:rPr>
        <w:t xml:space="preserve">    </w:t>
      </w:r>
      <w:r>
        <w:rPr>
          <w:rFonts w:hint="eastAsia"/>
          <w:szCs w:val="21"/>
        </w:rPr>
        <w:t>头皮损伤，颅脑损伤的后遗症。</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病例示范：选择几个不同类型颅脑损伤病例，讨论诊断和治疗问题。</w:t>
      </w:r>
    </w:p>
    <w:p w:rsidR="003717A0" w:rsidRDefault="003717A0">
      <w:pPr>
        <w:spacing w:line="360" w:lineRule="exact"/>
        <w:ind w:firstLine="435"/>
        <w:rPr>
          <w:szCs w:val="21"/>
        </w:rPr>
      </w:pPr>
    </w:p>
    <w:p w:rsidR="003717A0" w:rsidRDefault="003717A0">
      <w:pPr>
        <w:spacing w:line="360" w:lineRule="exact"/>
        <w:jc w:val="center"/>
        <w:rPr>
          <w:sz w:val="24"/>
        </w:rPr>
      </w:pPr>
      <w:r>
        <w:rPr>
          <w:rFonts w:hint="eastAsia"/>
          <w:sz w:val="24"/>
        </w:rPr>
        <w:t>第十九章</w:t>
      </w:r>
      <w:r>
        <w:rPr>
          <w:sz w:val="24"/>
        </w:rPr>
        <w:t xml:space="preserve">  </w:t>
      </w:r>
      <w:r>
        <w:rPr>
          <w:rFonts w:hint="eastAsia"/>
          <w:sz w:val="24"/>
        </w:rPr>
        <w:t>颅内及椎管肿瘤</w:t>
      </w:r>
    </w:p>
    <w:p w:rsidR="003717A0" w:rsidRDefault="003717A0">
      <w:pPr>
        <w:spacing w:line="360" w:lineRule="exact"/>
        <w:rPr>
          <w:szCs w:val="21"/>
        </w:rPr>
      </w:pPr>
      <w:r>
        <w:rPr>
          <w:rFonts w:hint="eastAsia"/>
          <w:szCs w:val="21"/>
        </w:rPr>
        <w:t>【目的与要求】</w:t>
      </w:r>
    </w:p>
    <w:p w:rsidR="003717A0" w:rsidRDefault="003717A0">
      <w:pPr>
        <w:tabs>
          <w:tab w:val="left" w:pos="780"/>
        </w:tabs>
        <w:spacing w:line="360" w:lineRule="exact"/>
        <w:ind w:left="780" w:hanging="360"/>
        <w:rPr>
          <w:szCs w:val="21"/>
        </w:rPr>
      </w:pPr>
      <w:r>
        <w:rPr>
          <w:rFonts w:hint="eastAsia"/>
          <w:szCs w:val="21"/>
        </w:rPr>
        <w:t>了解颅内肿瘤的类型。</w:t>
      </w:r>
    </w:p>
    <w:p w:rsidR="003717A0" w:rsidRDefault="003717A0">
      <w:pPr>
        <w:tabs>
          <w:tab w:val="left" w:pos="780"/>
        </w:tabs>
        <w:spacing w:line="360" w:lineRule="exact"/>
        <w:ind w:left="780" w:hanging="360"/>
        <w:rPr>
          <w:szCs w:val="21"/>
        </w:rPr>
      </w:pPr>
      <w:r>
        <w:rPr>
          <w:rFonts w:hint="eastAsia"/>
          <w:szCs w:val="21"/>
        </w:rPr>
        <w:t>掌握常见颅内及椎管内肿瘤的临床表现，诊断方法及治疗原则。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颅内中瘤的类型，发病部位，临床表现，诊断和鉴别诊断，治疗原则，介绍胶质瘤，脑膜瘤，垂体瘤及听神经瘤的特点，椎管内肿瘤的分类，诊断和治疗。</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第二十章</w:t>
      </w:r>
      <w:r>
        <w:rPr>
          <w:sz w:val="24"/>
        </w:rPr>
        <w:t xml:space="preserve">  </w:t>
      </w:r>
      <w:r>
        <w:rPr>
          <w:rFonts w:hint="eastAsia"/>
          <w:sz w:val="24"/>
        </w:rPr>
        <w:t>颅内和椎管内血管性疾病</w:t>
      </w:r>
    </w:p>
    <w:p w:rsidR="003717A0" w:rsidRDefault="003717A0">
      <w:pPr>
        <w:spacing w:line="360" w:lineRule="exact"/>
        <w:rPr>
          <w:szCs w:val="21"/>
        </w:rPr>
      </w:pPr>
      <w:r>
        <w:rPr>
          <w:rFonts w:hint="eastAsia"/>
          <w:szCs w:val="21"/>
        </w:rPr>
        <w:t>【目的与要求】</w:t>
      </w:r>
    </w:p>
    <w:p w:rsidR="003717A0" w:rsidRDefault="003717A0">
      <w:pPr>
        <w:spacing w:line="360" w:lineRule="exact"/>
        <w:rPr>
          <w:szCs w:val="21"/>
        </w:rPr>
      </w:pPr>
      <w:r>
        <w:rPr>
          <w:szCs w:val="21"/>
        </w:rPr>
        <w:t xml:space="preserve">    </w:t>
      </w:r>
      <w:r>
        <w:rPr>
          <w:rFonts w:hint="eastAsia"/>
          <w:szCs w:val="21"/>
        </w:rPr>
        <w:t>熟悉自发性蛛网膜下腔的病因，临床表现，诊断及治疗原则和出血性脑卒中的外科治疗原则。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自发性蛛网膜下腔出血的病因、临床表现、诊断、治疗；颅内动脉瘤的病因、分类、临床表现、诊断、治疗；颅内血管畸形的临床表现、诊断、治疗、出血性脑卒中的外科治疗。</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第二十一章</w:t>
      </w:r>
      <w:r>
        <w:rPr>
          <w:sz w:val="24"/>
        </w:rPr>
        <w:t xml:space="preserve">  </w:t>
      </w:r>
      <w:r>
        <w:rPr>
          <w:rFonts w:hint="eastAsia"/>
          <w:sz w:val="24"/>
        </w:rPr>
        <w:t>颅脑和脊髓先天畸形</w:t>
      </w:r>
    </w:p>
    <w:p w:rsidR="003717A0" w:rsidRDefault="003717A0">
      <w:pPr>
        <w:spacing w:line="360" w:lineRule="exact"/>
        <w:rPr>
          <w:szCs w:val="21"/>
        </w:rPr>
      </w:pPr>
      <w:r>
        <w:rPr>
          <w:rFonts w:hint="eastAsia"/>
          <w:szCs w:val="21"/>
        </w:rPr>
        <w:t>【目的与要求】</w:t>
      </w:r>
    </w:p>
    <w:p w:rsidR="003717A0" w:rsidRDefault="003717A0">
      <w:pPr>
        <w:spacing w:line="360" w:lineRule="exact"/>
        <w:rPr>
          <w:szCs w:val="21"/>
        </w:rPr>
      </w:pPr>
      <w:r>
        <w:rPr>
          <w:szCs w:val="21"/>
        </w:rPr>
        <w:t xml:space="preserve">    </w:t>
      </w:r>
      <w:r>
        <w:rPr>
          <w:rFonts w:hint="eastAsia"/>
          <w:szCs w:val="21"/>
        </w:rPr>
        <w:t>了解先天性脑积水的分类、病因，临床表现，诊断及治疗原则。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先天性脑积水的分类、病因、临床表现、诊断、外科治疗。</w:t>
      </w:r>
    </w:p>
    <w:p w:rsidR="003717A0" w:rsidRDefault="003717A0">
      <w:pPr>
        <w:spacing w:line="360" w:lineRule="exact"/>
        <w:ind w:firstLine="435"/>
        <w:rPr>
          <w:szCs w:val="21"/>
        </w:rPr>
      </w:pPr>
    </w:p>
    <w:p w:rsidR="003717A0" w:rsidRDefault="003717A0">
      <w:pPr>
        <w:spacing w:line="360" w:lineRule="exact"/>
        <w:jc w:val="center"/>
        <w:rPr>
          <w:sz w:val="24"/>
        </w:rPr>
      </w:pPr>
      <w:r>
        <w:rPr>
          <w:rFonts w:hint="eastAsia"/>
          <w:sz w:val="24"/>
        </w:rPr>
        <w:t>第二十二章</w:t>
      </w:r>
      <w:r>
        <w:rPr>
          <w:sz w:val="24"/>
        </w:rPr>
        <w:t xml:space="preserve">  </w:t>
      </w:r>
      <w:r>
        <w:rPr>
          <w:rFonts w:hint="eastAsia"/>
          <w:sz w:val="24"/>
        </w:rPr>
        <w:t>颈部疾病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了解颈部不同部位肿块的性质。</w:t>
      </w:r>
    </w:p>
    <w:p w:rsidR="003717A0" w:rsidRDefault="003717A0">
      <w:pPr>
        <w:spacing w:line="360" w:lineRule="exact"/>
        <w:ind w:firstLine="435"/>
        <w:rPr>
          <w:szCs w:val="21"/>
        </w:rPr>
      </w:pPr>
      <w:r>
        <w:rPr>
          <w:szCs w:val="21"/>
        </w:rPr>
        <w:t>2.</w:t>
      </w:r>
      <w:r>
        <w:rPr>
          <w:rFonts w:hint="eastAsia"/>
          <w:szCs w:val="21"/>
        </w:rPr>
        <w:t>掌握如何检查颈部肿块并作出诊断。</w:t>
      </w:r>
    </w:p>
    <w:p w:rsidR="003717A0" w:rsidRDefault="003717A0">
      <w:pPr>
        <w:spacing w:line="360" w:lineRule="exact"/>
        <w:ind w:firstLine="435"/>
        <w:rPr>
          <w:szCs w:val="21"/>
        </w:rPr>
      </w:pPr>
      <w:r>
        <w:rPr>
          <w:szCs w:val="21"/>
        </w:rPr>
        <w:lastRenderedPageBreak/>
        <w:t>3.</w:t>
      </w:r>
      <w:r>
        <w:rPr>
          <w:rFonts w:hint="eastAsia"/>
          <w:szCs w:val="21"/>
        </w:rPr>
        <w:t>熟悉颈淋巴结核的处理原则。</w:t>
      </w:r>
    </w:p>
    <w:p w:rsidR="003717A0" w:rsidRDefault="003717A0">
      <w:pPr>
        <w:spacing w:line="360" w:lineRule="exact"/>
        <w:ind w:firstLine="435"/>
        <w:rPr>
          <w:szCs w:val="21"/>
        </w:rPr>
      </w:pPr>
      <w:r>
        <w:rPr>
          <w:szCs w:val="21"/>
        </w:rPr>
        <w:t>4.</w:t>
      </w:r>
      <w:r>
        <w:rPr>
          <w:rFonts w:hint="eastAsia"/>
          <w:szCs w:val="21"/>
        </w:rPr>
        <w:t>熟悉甲状腺结节的诊断和处理原则。</w:t>
      </w:r>
    </w:p>
    <w:p w:rsidR="003717A0" w:rsidRDefault="003717A0">
      <w:pPr>
        <w:spacing w:line="360" w:lineRule="exact"/>
        <w:ind w:firstLine="435"/>
        <w:rPr>
          <w:szCs w:val="21"/>
        </w:rPr>
      </w:pPr>
      <w:r>
        <w:rPr>
          <w:szCs w:val="21"/>
        </w:rPr>
        <w:t>5.</w:t>
      </w:r>
      <w:r>
        <w:rPr>
          <w:rFonts w:hint="eastAsia"/>
          <w:szCs w:val="21"/>
        </w:rPr>
        <w:t>熟悉甲状腺功能亢进的外科治疗原则。</w:t>
      </w:r>
    </w:p>
    <w:p w:rsidR="003717A0" w:rsidRDefault="003717A0">
      <w:pPr>
        <w:spacing w:line="360" w:lineRule="exact"/>
        <w:ind w:firstLine="435"/>
        <w:rPr>
          <w:szCs w:val="21"/>
        </w:rPr>
      </w:pPr>
      <w:r>
        <w:rPr>
          <w:szCs w:val="21"/>
        </w:rPr>
        <w:t>6.</w:t>
      </w:r>
      <w:r>
        <w:rPr>
          <w:rFonts w:hint="eastAsia"/>
          <w:szCs w:val="21"/>
        </w:rPr>
        <w:t>熟悉甲状腺癌的治疗原则。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甲状腺的局部解剖。单纯性甲状腺肿的病因和临床表现。甲状腺功能亢进的临床表现、特殊检查以及术前准备。甲状腺手术的原则和术后并发症。</w:t>
      </w:r>
    </w:p>
    <w:p w:rsidR="003717A0" w:rsidRDefault="003717A0">
      <w:pPr>
        <w:spacing w:line="360" w:lineRule="exact"/>
        <w:ind w:firstLine="435"/>
        <w:rPr>
          <w:szCs w:val="21"/>
        </w:rPr>
      </w:pPr>
      <w:r>
        <w:rPr>
          <w:rFonts w:hint="eastAsia"/>
          <w:szCs w:val="21"/>
        </w:rPr>
        <w:t>甲状腺癌的病理和诊断，甲状腺结节的在诊断和处理原则。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病例示范：单纯性甲状腺肿、甲状腺功能亢进和甲状腺癌的临床表现。颈部肿块病例的临床分析。</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第二十三章</w:t>
      </w:r>
      <w:r>
        <w:rPr>
          <w:sz w:val="24"/>
        </w:rPr>
        <w:t xml:space="preserve">  </w:t>
      </w:r>
      <w:r>
        <w:rPr>
          <w:rFonts w:hint="eastAsia"/>
          <w:sz w:val="24"/>
        </w:rPr>
        <w:t>乳房疾病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了解乳房的淋巴引流途径。</w:t>
      </w:r>
    </w:p>
    <w:p w:rsidR="003717A0" w:rsidRDefault="003717A0">
      <w:pPr>
        <w:spacing w:line="360" w:lineRule="exact"/>
        <w:ind w:firstLine="435"/>
        <w:rPr>
          <w:szCs w:val="21"/>
        </w:rPr>
      </w:pPr>
      <w:r>
        <w:rPr>
          <w:szCs w:val="21"/>
        </w:rPr>
        <w:t>2.</w:t>
      </w:r>
      <w:r>
        <w:rPr>
          <w:rFonts w:hint="eastAsia"/>
          <w:szCs w:val="21"/>
        </w:rPr>
        <w:t>掌握乳房的正确检查方法。</w:t>
      </w:r>
    </w:p>
    <w:p w:rsidR="003717A0" w:rsidRDefault="003717A0">
      <w:pPr>
        <w:spacing w:line="360" w:lineRule="exact"/>
        <w:ind w:firstLine="435"/>
        <w:rPr>
          <w:szCs w:val="21"/>
        </w:rPr>
      </w:pPr>
      <w:r>
        <w:rPr>
          <w:szCs w:val="21"/>
        </w:rPr>
        <w:t>3.</w:t>
      </w:r>
      <w:r>
        <w:rPr>
          <w:rFonts w:hint="eastAsia"/>
          <w:szCs w:val="21"/>
        </w:rPr>
        <w:t>熟悉乳房肿块的鉴别诊断要点。</w:t>
      </w:r>
    </w:p>
    <w:p w:rsidR="003717A0" w:rsidRDefault="003717A0">
      <w:pPr>
        <w:spacing w:line="360" w:lineRule="exact"/>
        <w:ind w:firstLine="435"/>
        <w:rPr>
          <w:szCs w:val="21"/>
        </w:rPr>
      </w:pPr>
      <w:r>
        <w:rPr>
          <w:szCs w:val="21"/>
        </w:rPr>
        <w:t>4.</w:t>
      </w:r>
      <w:r>
        <w:rPr>
          <w:rFonts w:hint="eastAsia"/>
          <w:szCs w:val="21"/>
        </w:rPr>
        <w:t>熟悉急性乳房炎的诊断、预防和治疗要求。</w:t>
      </w:r>
    </w:p>
    <w:p w:rsidR="003717A0" w:rsidRDefault="003717A0">
      <w:pPr>
        <w:spacing w:line="360" w:lineRule="exact"/>
        <w:ind w:firstLine="435"/>
        <w:rPr>
          <w:szCs w:val="21"/>
        </w:rPr>
      </w:pPr>
      <w:r>
        <w:rPr>
          <w:szCs w:val="21"/>
        </w:rPr>
        <w:t>5.</w:t>
      </w:r>
      <w:r>
        <w:rPr>
          <w:rFonts w:hint="eastAsia"/>
          <w:szCs w:val="21"/>
        </w:rPr>
        <w:t>熟悉乳癌的外科治疗原则。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急性乳房炎的临床表现和治疗。乳房囊性增生病的诊断和处理。</w:t>
      </w:r>
    </w:p>
    <w:p w:rsidR="003717A0" w:rsidRDefault="003717A0">
      <w:pPr>
        <w:spacing w:line="360" w:lineRule="exact"/>
        <w:ind w:firstLine="435"/>
        <w:rPr>
          <w:szCs w:val="21"/>
        </w:rPr>
      </w:pPr>
      <w:r>
        <w:rPr>
          <w:rFonts w:hint="eastAsia"/>
          <w:szCs w:val="21"/>
        </w:rPr>
        <w:t>乳癌的临床表现、转移途径、检查方法、早期诊断要点和外科治疗原则。</w:t>
      </w:r>
    </w:p>
    <w:p w:rsidR="003717A0" w:rsidRDefault="003717A0">
      <w:pPr>
        <w:spacing w:line="360" w:lineRule="exact"/>
        <w:rPr>
          <w:szCs w:val="21"/>
        </w:rPr>
      </w:pPr>
      <w:r>
        <w:rPr>
          <w:rFonts w:hint="eastAsia"/>
          <w:szCs w:val="21"/>
        </w:rPr>
        <w:t>【见习】</w:t>
      </w:r>
      <w:r>
        <w:rPr>
          <w:szCs w:val="21"/>
        </w:rPr>
        <w:t xml:space="preserve"> </w:t>
      </w:r>
    </w:p>
    <w:p w:rsidR="003717A0" w:rsidRDefault="003717A0">
      <w:pPr>
        <w:spacing w:line="360" w:lineRule="exact"/>
        <w:ind w:firstLine="435"/>
        <w:rPr>
          <w:szCs w:val="21"/>
        </w:rPr>
      </w:pPr>
      <w:r>
        <w:rPr>
          <w:rFonts w:hint="eastAsia"/>
          <w:szCs w:val="21"/>
        </w:rPr>
        <w:t>病例示范：乳房肿块，结合检查结果，进行临床分析。</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第二十四章</w:t>
      </w:r>
      <w:r>
        <w:rPr>
          <w:sz w:val="24"/>
        </w:rPr>
        <w:t xml:space="preserve">  </w:t>
      </w:r>
      <w:r>
        <w:rPr>
          <w:rFonts w:hint="eastAsia"/>
          <w:sz w:val="24"/>
        </w:rPr>
        <w:t>胸部损伤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掌握胸部损伤的病理生理和急救处理原则。</w:t>
      </w:r>
    </w:p>
    <w:p w:rsidR="003717A0" w:rsidRDefault="003717A0">
      <w:pPr>
        <w:spacing w:line="360" w:lineRule="exact"/>
        <w:ind w:firstLine="435"/>
        <w:rPr>
          <w:szCs w:val="21"/>
        </w:rPr>
      </w:pPr>
      <w:r>
        <w:rPr>
          <w:szCs w:val="21"/>
        </w:rPr>
        <w:t>2.</w:t>
      </w:r>
      <w:r>
        <w:rPr>
          <w:rFonts w:hint="eastAsia"/>
          <w:szCs w:val="21"/>
        </w:rPr>
        <w:t>掌握肋骨骨折、气胸血胸的临床表现、诊断、急救和治疗。</w:t>
      </w:r>
    </w:p>
    <w:p w:rsidR="003717A0" w:rsidRDefault="003717A0">
      <w:pPr>
        <w:spacing w:line="360" w:lineRule="exact"/>
        <w:ind w:firstLine="435"/>
        <w:rPr>
          <w:szCs w:val="21"/>
        </w:rPr>
      </w:pPr>
      <w:r>
        <w:rPr>
          <w:szCs w:val="21"/>
        </w:rPr>
        <w:t>3.</w:t>
      </w:r>
      <w:r>
        <w:rPr>
          <w:rFonts w:hint="eastAsia"/>
          <w:szCs w:val="21"/>
        </w:rPr>
        <w:t>学会单纯肋骨骨折的处理和胸膜腔闭式引流的装置和使用。</w:t>
      </w:r>
    </w:p>
    <w:p w:rsidR="003717A0" w:rsidRDefault="003717A0">
      <w:pPr>
        <w:spacing w:line="360" w:lineRule="exact"/>
        <w:ind w:firstLine="435"/>
        <w:rPr>
          <w:szCs w:val="21"/>
        </w:rPr>
      </w:pPr>
      <w:r>
        <w:rPr>
          <w:szCs w:val="21"/>
        </w:rPr>
        <w:t>4.</w:t>
      </w:r>
      <w:r>
        <w:rPr>
          <w:rFonts w:hint="eastAsia"/>
          <w:szCs w:val="21"/>
        </w:rPr>
        <w:t>了解心脏损伤的概念，诊断和处理原则。</w:t>
      </w:r>
    </w:p>
    <w:p w:rsidR="003717A0" w:rsidRDefault="003717A0">
      <w:pPr>
        <w:spacing w:line="360" w:lineRule="exact"/>
        <w:ind w:firstLine="435"/>
        <w:rPr>
          <w:szCs w:val="21"/>
        </w:rPr>
      </w:pPr>
      <w:r>
        <w:rPr>
          <w:szCs w:val="21"/>
        </w:rPr>
        <w:t>5.</w:t>
      </w:r>
      <w:r>
        <w:rPr>
          <w:rFonts w:hint="eastAsia"/>
          <w:szCs w:val="21"/>
        </w:rPr>
        <w:t>了解胸膜联合伤的概念，诊断和处理原则。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胸部损伤概论，肋骨骨折、气胸、血胸的病因、病理生理、临床表现、诊断和治疗。</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病例示范或病案讨论，配备挂图、</w:t>
      </w:r>
      <w:r>
        <w:rPr>
          <w:szCs w:val="21"/>
        </w:rPr>
        <w:t>X</w:t>
      </w:r>
      <w:r>
        <w:rPr>
          <w:rFonts w:hint="eastAsia"/>
          <w:szCs w:val="21"/>
        </w:rPr>
        <w:t>线胸片、幻灯片、胸膜腔闭式引流装置法等。</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第二十六章</w:t>
      </w:r>
      <w:r>
        <w:rPr>
          <w:sz w:val="24"/>
        </w:rPr>
        <w:t xml:space="preserve">  </w:t>
      </w:r>
      <w:r>
        <w:rPr>
          <w:rFonts w:hint="eastAsia"/>
          <w:sz w:val="24"/>
        </w:rPr>
        <w:t>胸壁、胸膜疾病</w:t>
      </w:r>
    </w:p>
    <w:p w:rsidR="003717A0" w:rsidRDefault="003717A0">
      <w:pPr>
        <w:spacing w:line="360" w:lineRule="exact"/>
        <w:rPr>
          <w:szCs w:val="21"/>
        </w:rPr>
      </w:pPr>
      <w:r>
        <w:rPr>
          <w:rFonts w:hint="eastAsia"/>
          <w:szCs w:val="21"/>
        </w:rPr>
        <w:lastRenderedPageBreak/>
        <w:t>【目的与要求】</w:t>
      </w:r>
    </w:p>
    <w:p w:rsidR="003717A0" w:rsidRDefault="003717A0">
      <w:pPr>
        <w:spacing w:line="360" w:lineRule="exact"/>
        <w:rPr>
          <w:szCs w:val="21"/>
        </w:rPr>
      </w:pPr>
      <w:r>
        <w:rPr>
          <w:szCs w:val="21"/>
        </w:rPr>
        <w:t xml:space="preserve">   </w:t>
      </w:r>
      <w:r>
        <w:rPr>
          <w:rFonts w:hint="eastAsia"/>
          <w:szCs w:val="21"/>
        </w:rPr>
        <w:t>了解软骨炎、胸壁结核和胸壁肿瘤漏斗胸的临床表现、诊断和治疗原则；熟悉脓胸的病因、诊断和治疗原则。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了解肋软骨炎、胸壁结核和胸壁肿瘤漏斗胸的临床表现、诊断和治疗原则；慢性脓胸的病因、病理、诊断和治疗原则。</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第二十六章</w:t>
      </w:r>
      <w:r>
        <w:rPr>
          <w:sz w:val="24"/>
        </w:rPr>
        <w:t xml:space="preserve">  </w:t>
      </w:r>
      <w:r>
        <w:rPr>
          <w:rFonts w:hint="eastAsia"/>
          <w:sz w:val="24"/>
        </w:rPr>
        <w:t>肺部疾病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学会肺大疱、支扩、肺结核、外科治疗的手术适应症和手术基本原则；掌握肺癌的病因、病理、临床表现、预防和治疗原则；</w:t>
      </w:r>
      <w:r>
        <w:rPr>
          <w:szCs w:val="21"/>
        </w:rPr>
        <w:t>.</w:t>
      </w:r>
      <w:r>
        <w:rPr>
          <w:rFonts w:hint="eastAsia"/>
          <w:szCs w:val="21"/>
        </w:rPr>
        <w:t>熟悉肺癌早期诊断的方法及其重要意义。</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支扩和肺大疱的诊断和治疗原则；肺癌的病因、病理分类、临床表现、鉴别诊断和治疗要点。</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良性肿瘤的病理分类、诊断方法、鉴别诊断和治疗要点。</w:t>
      </w:r>
    </w:p>
    <w:p w:rsidR="003717A0" w:rsidRDefault="003717A0">
      <w:pPr>
        <w:spacing w:line="360" w:lineRule="exact"/>
        <w:rPr>
          <w:szCs w:val="21"/>
        </w:rPr>
      </w:pPr>
      <w:r>
        <w:rPr>
          <w:rFonts w:hint="eastAsia"/>
          <w:szCs w:val="21"/>
        </w:rPr>
        <w:t>【见习】</w:t>
      </w:r>
    </w:p>
    <w:p w:rsidR="003717A0" w:rsidRDefault="003717A0">
      <w:pPr>
        <w:spacing w:line="360" w:lineRule="exact"/>
        <w:ind w:firstLineChars="200" w:firstLine="420"/>
        <w:rPr>
          <w:szCs w:val="21"/>
        </w:rPr>
      </w:pPr>
      <w:r>
        <w:rPr>
          <w:rFonts w:hint="eastAsia"/>
          <w:szCs w:val="21"/>
        </w:rPr>
        <w:t>病例示范或病案讨论，</w:t>
      </w:r>
      <w:r>
        <w:rPr>
          <w:szCs w:val="21"/>
        </w:rPr>
        <w:t>X</w:t>
      </w:r>
      <w:r>
        <w:rPr>
          <w:rFonts w:hint="eastAsia"/>
          <w:szCs w:val="21"/>
        </w:rPr>
        <w:t>线胸片、</w:t>
      </w:r>
      <w:r>
        <w:rPr>
          <w:szCs w:val="21"/>
        </w:rPr>
        <w:t>CT</w:t>
      </w:r>
      <w:r>
        <w:rPr>
          <w:rFonts w:hint="eastAsia"/>
          <w:szCs w:val="21"/>
        </w:rPr>
        <w:t>、病理标本、幻灯片等。</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第二十七章</w:t>
      </w:r>
      <w:r>
        <w:rPr>
          <w:sz w:val="24"/>
        </w:rPr>
        <w:t xml:space="preserve">   </w:t>
      </w:r>
      <w:r>
        <w:rPr>
          <w:rFonts w:hint="eastAsia"/>
          <w:sz w:val="24"/>
        </w:rPr>
        <w:t>食管疾病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掌握食管癌的病理、临床表现、诊断方法和治疗原则。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食管癌的病理、临床表现、早期诊断和早期治疗的重要意义。</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腐蚀性食管狭窄、贲门失弛缓症和食管憩室等的诊断和治疗原则。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Chars="200" w:firstLine="420"/>
        <w:rPr>
          <w:szCs w:val="21"/>
        </w:rPr>
      </w:pPr>
      <w:r>
        <w:rPr>
          <w:rFonts w:hint="eastAsia"/>
          <w:szCs w:val="21"/>
        </w:rPr>
        <w:t>食管癌病例示范或病案讨论，</w:t>
      </w:r>
      <w:r>
        <w:rPr>
          <w:szCs w:val="21"/>
        </w:rPr>
        <w:t>X</w:t>
      </w:r>
      <w:r>
        <w:rPr>
          <w:rFonts w:hint="eastAsia"/>
          <w:szCs w:val="21"/>
        </w:rPr>
        <w:t>线食管造影片、食管镜、带网气囊、病理标本、幻灯片、手术前后处理等。</w:t>
      </w:r>
    </w:p>
    <w:p w:rsidR="003717A0" w:rsidRDefault="003717A0">
      <w:pPr>
        <w:spacing w:line="360" w:lineRule="exact"/>
        <w:ind w:firstLineChars="200" w:firstLine="420"/>
        <w:rPr>
          <w:szCs w:val="21"/>
        </w:rPr>
      </w:pPr>
    </w:p>
    <w:p w:rsidR="003717A0" w:rsidRDefault="003717A0">
      <w:pPr>
        <w:spacing w:line="360" w:lineRule="exact"/>
        <w:jc w:val="center"/>
        <w:rPr>
          <w:sz w:val="24"/>
        </w:rPr>
      </w:pPr>
      <w:r>
        <w:rPr>
          <w:rFonts w:hint="eastAsia"/>
          <w:sz w:val="24"/>
        </w:rPr>
        <w:t>第二十八章</w:t>
      </w:r>
      <w:r>
        <w:rPr>
          <w:sz w:val="24"/>
        </w:rPr>
        <w:t xml:space="preserve">  </w:t>
      </w:r>
      <w:r>
        <w:rPr>
          <w:rFonts w:hint="eastAsia"/>
          <w:sz w:val="24"/>
        </w:rPr>
        <w:t>原发性纵隔肿瘤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了解纵隔不同部位常见的肿瘤临床特征。</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常见纵隔肿瘤的临床表现和诊断。</w:t>
      </w:r>
    </w:p>
    <w:p w:rsidR="003717A0" w:rsidRDefault="003717A0">
      <w:pPr>
        <w:spacing w:line="360" w:lineRule="exact"/>
        <w:rPr>
          <w:szCs w:val="21"/>
        </w:rPr>
      </w:pPr>
      <w:r>
        <w:rPr>
          <w:rFonts w:hint="eastAsia"/>
          <w:szCs w:val="21"/>
        </w:rPr>
        <w:t>【自学内容】</w:t>
      </w:r>
    </w:p>
    <w:p w:rsidR="003717A0" w:rsidRDefault="003717A0">
      <w:pPr>
        <w:spacing w:line="360" w:lineRule="exact"/>
        <w:rPr>
          <w:szCs w:val="21"/>
        </w:rPr>
      </w:pPr>
      <w:r>
        <w:rPr>
          <w:szCs w:val="21"/>
        </w:rPr>
        <w:t xml:space="preserve">    </w:t>
      </w:r>
      <w:r>
        <w:rPr>
          <w:rFonts w:hint="eastAsia"/>
          <w:szCs w:val="21"/>
        </w:rPr>
        <w:t>复习纵隔解剖与肿瘤好发部位和病理。</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第二十九、三十章</w:t>
      </w:r>
      <w:r>
        <w:rPr>
          <w:sz w:val="24"/>
        </w:rPr>
        <w:t xml:space="preserve">  </w:t>
      </w:r>
      <w:r>
        <w:rPr>
          <w:rFonts w:hint="eastAsia"/>
          <w:sz w:val="24"/>
        </w:rPr>
        <w:t>心脏疾病和胸主动脉疾病</w:t>
      </w:r>
    </w:p>
    <w:p w:rsidR="003717A0" w:rsidRDefault="003717A0">
      <w:pPr>
        <w:spacing w:line="360" w:lineRule="exact"/>
        <w:rPr>
          <w:szCs w:val="21"/>
        </w:rPr>
      </w:pPr>
      <w:r>
        <w:rPr>
          <w:rFonts w:hint="eastAsia"/>
          <w:szCs w:val="21"/>
        </w:rPr>
        <w:lastRenderedPageBreak/>
        <w:t>【目的与要求】</w:t>
      </w:r>
    </w:p>
    <w:p w:rsidR="003717A0" w:rsidRDefault="003717A0">
      <w:pPr>
        <w:spacing w:line="360" w:lineRule="exact"/>
        <w:ind w:firstLine="435"/>
        <w:rPr>
          <w:szCs w:val="21"/>
        </w:rPr>
      </w:pPr>
      <w:r>
        <w:rPr>
          <w:szCs w:val="21"/>
        </w:rPr>
        <w:t>1.</w:t>
      </w:r>
      <w:r>
        <w:rPr>
          <w:rFonts w:hint="eastAsia"/>
          <w:szCs w:val="21"/>
        </w:rPr>
        <w:t>了解心脏外科发展概况。</w:t>
      </w:r>
    </w:p>
    <w:p w:rsidR="003717A0" w:rsidRDefault="003717A0">
      <w:pPr>
        <w:spacing w:line="360" w:lineRule="exact"/>
        <w:ind w:firstLine="435"/>
        <w:rPr>
          <w:szCs w:val="21"/>
        </w:rPr>
      </w:pPr>
      <w:r>
        <w:rPr>
          <w:szCs w:val="21"/>
        </w:rPr>
        <w:t>2.</w:t>
      </w:r>
      <w:r>
        <w:rPr>
          <w:rFonts w:hint="eastAsia"/>
          <w:szCs w:val="21"/>
        </w:rPr>
        <w:t>了解常见先天性心脏病的外科治疗原则。</w:t>
      </w:r>
    </w:p>
    <w:p w:rsidR="003717A0" w:rsidRDefault="003717A0">
      <w:pPr>
        <w:spacing w:line="360" w:lineRule="exact"/>
        <w:ind w:firstLine="435"/>
        <w:rPr>
          <w:szCs w:val="21"/>
        </w:rPr>
      </w:pPr>
      <w:r>
        <w:rPr>
          <w:szCs w:val="21"/>
        </w:rPr>
        <w:t>3.</w:t>
      </w:r>
      <w:r>
        <w:rPr>
          <w:rFonts w:hint="eastAsia"/>
          <w:szCs w:val="21"/>
        </w:rPr>
        <w:t>了解常见后天性心脏病的外科治疗原则。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ascii="宋体" w:hAnsi="宋体"/>
          <w:szCs w:val="21"/>
        </w:rPr>
        <w:t>1.</w:t>
      </w:r>
      <w:r>
        <w:rPr>
          <w:rFonts w:hint="eastAsia"/>
          <w:szCs w:val="21"/>
        </w:rPr>
        <w:t>心脏病外科治疗发展的概况。体外循环和心肌保护的概念和原理。冠心病、大血管病变和心脏肿瘤。</w:t>
      </w:r>
    </w:p>
    <w:p w:rsidR="003717A0" w:rsidRDefault="003717A0">
      <w:pPr>
        <w:spacing w:line="360" w:lineRule="exact"/>
        <w:ind w:firstLine="435"/>
        <w:rPr>
          <w:szCs w:val="21"/>
        </w:rPr>
      </w:pPr>
      <w:r>
        <w:rPr>
          <w:rFonts w:ascii="宋体" w:hAnsi="宋体"/>
          <w:szCs w:val="21"/>
        </w:rPr>
        <w:t>2.</w:t>
      </w:r>
      <w:r>
        <w:rPr>
          <w:rFonts w:hint="eastAsia"/>
          <w:szCs w:val="21"/>
        </w:rPr>
        <w:t>常见的先天性如动脉管未闭、房缺、室缺、法洛氏联征。</w:t>
      </w:r>
    </w:p>
    <w:p w:rsidR="003717A0" w:rsidRDefault="003717A0">
      <w:pPr>
        <w:spacing w:line="360" w:lineRule="exact"/>
        <w:ind w:firstLine="435"/>
        <w:rPr>
          <w:szCs w:val="21"/>
        </w:rPr>
      </w:pPr>
      <w:r>
        <w:rPr>
          <w:rFonts w:ascii="宋体" w:hAnsi="宋体"/>
          <w:szCs w:val="21"/>
        </w:rPr>
        <w:t>3.</w:t>
      </w:r>
      <w:r>
        <w:rPr>
          <w:rFonts w:hint="eastAsia"/>
          <w:szCs w:val="21"/>
        </w:rPr>
        <w:t>常见后天性心脏病的手术适应症和治疗原则。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常见胸主动脉病的病理生理特点、临床表现和诊断。</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病例示范或病案讨论，</w:t>
      </w:r>
      <w:r>
        <w:rPr>
          <w:szCs w:val="21"/>
        </w:rPr>
        <w:t>X</w:t>
      </w:r>
      <w:r>
        <w:rPr>
          <w:rFonts w:hint="eastAsia"/>
          <w:szCs w:val="21"/>
        </w:rPr>
        <w:t>线胸片、心电图、挂图、幻灯片，手术录像等。</w:t>
      </w:r>
    </w:p>
    <w:p w:rsidR="003717A0" w:rsidRDefault="003717A0" w:rsidP="00566E4D">
      <w:pPr>
        <w:spacing w:line="360" w:lineRule="exact"/>
        <w:rPr>
          <w:szCs w:val="21"/>
        </w:rPr>
      </w:pPr>
    </w:p>
    <w:p w:rsidR="003717A0" w:rsidRDefault="003717A0">
      <w:pPr>
        <w:spacing w:line="360" w:lineRule="exact"/>
        <w:jc w:val="center"/>
        <w:rPr>
          <w:sz w:val="24"/>
        </w:rPr>
      </w:pPr>
      <w:r>
        <w:rPr>
          <w:rFonts w:hint="eastAsia"/>
          <w:sz w:val="24"/>
        </w:rPr>
        <w:t>第三十一章</w:t>
      </w:r>
      <w:r>
        <w:rPr>
          <w:sz w:val="24"/>
        </w:rPr>
        <w:t xml:space="preserve">  </w:t>
      </w:r>
      <w:r>
        <w:rPr>
          <w:rFonts w:hint="eastAsia"/>
          <w:sz w:val="24"/>
        </w:rPr>
        <w:t>腹外疝</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了解腹外疝的概念、病因、病理和类型。</w:t>
      </w:r>
    </w:p>
    <w:p w:rsidR="003717A0" w:rsidRDefault="003717A0">
      <w:pPr>
        <w:spacing w:line="360" w:lineRule="exact"/>
        <w:ind w:firstLine="435"/>
        <w:rPr>
          <w:szCs w:val="21"/>
        </w:rPr>
      </w:pPr>
      <w:r>
        <w:rPr>
          <w:szCs w:val="21"/>
        </w:rPr>
        <w:t>2.</w:t>
      </w:r>
      <w:r>
        <w:rPr>
          <w:rFonts w:hint="eastAsia"/>
          <w:szCs w:val="21"/>
        </w:rPr>
        <w:t>熟悉腹股沟区的解剖，包括腹股沟管、直疝三角和股管等部位。</w:t>
      </w:r>
    </w:p>
    <w:p w:rsidR="003717A0" w:rsidRDefault="003717A0">
      <w:pPr>
        <w:spacing w:line="360" w:lineRule="exact"/>
        <w:ind w:firstLine="435"/>
        <w:rPr>
          <w:szCs w:val="21"/>
        </w:rPr>
      </w:pPr>
      <w:r>
        <w:rPr>
          <w:szCs w:val="21"/>
        </w:rPr>
        <w:t>3.</w:t>
      </w:r>
      <w:r>
        <w:rPr>
          <w:rFonts w:hint="eastAsia"/>
          <w:szCs w:val="21"/>
        </w:rPr>
        <w:t>掌握腹股沟斜疝与直疝的鉴别要点。</w:t>
      </w:r>
    </w:p>
    <w:p w:rsidR="003717A0" w:rsidRDefault="003717A0">
      <w:pPr>
        <w:spacing w:line="360" w:lineRule="exact"/>
        <w:ind w:firstLine="435"/>
        <w:rPr>
          <w:szCs w:val="21"/>
        </w:rPr>
      </w:pPr>
      <w:r>
        <w:rPr>
          <w:szCs w:val="21"/>
        </w:rPr>
        <w:t>4.</w:t>
      </w:r>
      <w:r>
        <w:rPr>
          <w:rFonts w:hint="eastAsia"/>
          <w:szCs w:val="21"/>
        </w:rPr>
        <w:t>熟悉腹股沟疝手术修补的基本原则。</w:t>
      </w:r>
    </w:p>
    <w:p w:rsidR="003717A0" w:rsidRDefault="003717A0">
      <w:pPr>
        <w:spacing w:line="360" w:lineRule="exact"/>
        <w:ind w:firstLine="435"/>
        <w:rPr>
          <w:szCs w:val="21"/>
        </w:rPr>
      </w:pPr>
      <w:r>
        <w:rPr>
          <w:szCs w:val="21"/>
        </w:rPr>
        <w:t>5.</w:t>
      </w:r>
      <w:r>
        <w:rPr>
          <w:rFonts w:hint="eastAsia"/>
          <w:szCs w:val="21"/>
        </w:rPr>
        <w:t>了解股疝的概念、鉴别诊断及手术修补原则。</w:t>
      </w:r>
    </w:p>
    <w:p w:rsidR="003717A0" w:rsidRDefault="003717A0">
      <w:pPr>
        <w:spacing w:line="360" w:lineRule="exact"/>
        <w:ind w:firstLine="435"/>
        <w:rPr>
          <w:szCs w:val="21"/>
        </w:rPr>
      </w:pPr>
      <w:r>
        <w:rPr>
          <w:szCs w:val="21"/>
        </w:rPr>
        <w:t>6.</w:t>
      </w:r>
      <w:r>
        <w:rPr>
          <w:rFonts w:hint="eastAsia"/>
          <w:szCs w:val="21"/>
        </w:rPr>
        <w:t>熟悉嵌顿性疝和绞窄性疝的手术处理原则。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腹外疝的病因、病理解剖和病理类型。腹股沟区的局部解剖。腹股沟斜疝和直疝的临床表现、鉴别要点。腹股沟疝手术修补的基本原则，各种修补法的适应症。股疝的鉴别诊断及手术修补原则。嵌顿性疝和绞窄性疝的手术处理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切口疝、脐疝、白线疝。</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腹股沟疝的症状及典型体征。</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第三十二章</w:t>
      </w:r>
      <w:r>
        <w:rPr>
          <w:sz w:val="24"/>
        </w:rPr>
        <w:t xml:space="preserve">   </w:t>
      </w:r>
      <w:r>
        <w:rPr>
          <w:rFonts w:hint="eastAsia"/>
          <w:sz w:val="24"/>
        </w:rPr>
        <w:t>腹部损伤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了解腹部闭合性损伤的诊断步骤。</w:t>
      </w:r>
    </w:p>
    <w:p w:rsidR="003717A0" w:rsidRDefault="003717A0">
      <w:pPr>
        <w:spacing w:line="360" w:lineRule="exact"/>
        <w:ind w:firstLine="435"/>
        <w:rPr>
          <w:szCs w:val="21"/>
        </w:rPr>
      </w:pPr>
      <w:r>
        <w:rPr>
          <w:szCs w:val="21"/>
        </w:rPr>
        <w:t>2.</w:t>
      </w:r>
      <w:r>
        <w:rPr>
          <w:rFonts w:hint="eastAsia"/>
          <w:szCs w:val="21"/>
        </w:rPr>
        <w:t>掌握腹部闭合性损伤的急救、早期诊断和治疗原则。</w:t>
      </w:r>
    </w:p>
    <w:p w:rsidR="003717A0" w:rsidRDefault="003717A0">
      <w:pPr>
        <w:spacing w:line="360" w:lineRule="exact"/>
        <w:ind w:firstLine="435"/>
        <w:rPr>
          <w:szCs w:val="21"/>
        </w:rPr>
      </w:pPr>
      <w:r>
        <w:rPr>
          <w:szCs w:val="21"/>
        </w:rPr>
        <w:t>3.</w:t>
      </w:r>
      <w:r>
        <w:rPr>
          <w:rFonts w:hint="eastAsia"/>
          <w:szCs w:val="21"/>
        </w:rPr>
        <w:t>熟悉外伤性肝、脾和肠破裂的鉴别诊断。</w:t>
      </w:r>
    </w:p>
    <w:p w:rsidR="003717A0" w:rsidRDefault="003717A0">
      <w:pPr>
        <w:spacing w:line="360" w:lineRule="exact"/>
        <w:rPr>
          <w:szCs w:val="21"/>
        </w:rPr>
      </w:pPr>
      <w:r>
        <w:rPr>
          <w:rFonts w:hint="eastAsia"/>
          <w:szCs w:val="21"/>
        </w:rPr>
        <w:t>【讲授内容】</w:t>
      </w:r>
    </w:p>
    <w:p w:rsidR="003717A0" w:rsidRDefault="003717A0">
      <w:pPr>
        <w:spacing w:line="360" w:lineRule="exact"/>
        <w:rPr>
          <w:szCs w:val="21"/>
        </w:rPr>
      </w:pPr>
      <w:r>
        <w:rPr>
          <w:szCs w:val="21"/>
        </w:rPr>
        <w:t xml:space="preserve">    </w:t>
      </w:r>
      <w:r>
        <w:rPr>
          <w:rFonts w:hint="eastAsia"/>
          <w:szCs w:val="21"/>
        </w:rPr>
        <w:t>腹部闭合性损伤的病因。单纯腹壁损伤的临床表现及特征，早期诊断方法，腹腔诊断性穿刺和</w:t>
      </w:r>
      <w:r>
        <w:rPr>
          <w:rFonts w:hint="eastAsia"/>
          <w:szCs w:val="21"/>
        </w:rPr>
        <w:lastRenderedPageBreak/>
        <w:t>诊断性冲洗。</w:t>
      </w:r>
    </w:p>
    <w:p w:rsidR="003717A0" w:rsidRDefault="003717A0">
      <w:pPr>
        <w:spacing w:line="360" w:lineRule="exact"/>
        <w:ind w:firstLine="435"/>
        <w:rPr>
          <w:szCs w:val="21"/>
        </w:rPr>
      </w:pPr>
      <w:r>
        <w:rPr>
          <w:rFonts w:hint="eastAsia"/>
          <w:szCs w:val="21"/>
        </w:rPr>
        <w:t>腹部闭合性损伤的急救和治疗原则，手术适应症及手术时机的选择。肝、脾、胰腺、空腔脏器损伤的处理方法。</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第三十三章</w:t>
      </w:r>
      <w:r>
        <w:rPr>
          <w:sz w:val="24"/>
        </w:rPr>
        <w:t xml:space="preserve">  </w:t>
      </w:r>
      <w:r>
        <w:rPr>
          <w:rFonts w:hint="eastAsia"/>
          <w:sz w:val="24"/>
        </w:rPr>
        <w:t>急性化脓性腹膜炎</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熟悉急性弥漫性腹膜炎的病因及临床表现。</w:t>
      </w:r>
    </w:p>
    <w:p w:rsidR="003717A0" w:rsidRDefault="003717A0">
      <w:pPr>
        <w:spacing w:line="360" w:lineRule="exact"/>
        <w:ind w:firstLine="435"/>
        <w:rPr>
          <w:szCs w:val="21"/>
        </w:rPr>
      </w:pPr>
      <w:r>
        <w:rPr>
          <w:szCs w:val="21"/>
        </w:rPr>
        <w:t>2.</w:t>
      </w:r>
      <w:r>
        <w:rPr>
          <w:rFonts w:hint="eastAsia"/>
          <w:szCs w:val="21"/>
        </w:rPr>
        <w:t>掌握急性弥漫性腹膜炎的诊断方法。</w:t>
      </w:r>
    </w:p>
    <w:p w:rsidR="003717A0" w:rsidRDefault="003717A0">
      <w:pPr>
        <w:spacing w:line="360" w:lineRule="exact"/>
        <w:ind w:firstLine="435"/>
        <w:rPr>
          <w:szCs w:val="21"/>
        </w:rPr>
      </w:pPr>
      <w:r>
        <w:rPr>
          <w:szCs w:val="21"/>
        </w:rPr>
        <w:t>3.</w:t>
      </w:r>
      <w:r>
        <w:rPr>
          <w:rFonts w:hint="eastAsia"/>
          <w:szCs w:val="21"/>
        </w:rPr>
        <w:t>熟悉急性弥漫性腹膜炎的病程演变和治疗原则。</w:t>
      </w:r>
    </w:p>
    <w:p w:rsidR="003717A0" w:rsidRDefault="003717A0">
      <w:pPr>
        <w:spacing w:line="360" w:lineRule="exact"/>
        <w:ind w:firstLine="435"/>
        <w:rPr>
          <w:szCs w:val="21"/>
        </w:rPr>
      </w:pPr>
      <w:r>
        <w:rPr>
          <w:szCs w:val="21"/>
        </w:rPr>
        <w:t>4.</w:t>
      </w:r>
      <w:r>
        <w:rPr>
          <w:rFonts w:hint="eastAsia"/>
          <w:szCs w:val="21"/>
        </w:rPr>
        <w:t>了解腹腔脓肿的临床表现及诊断。</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腹膜的解剖和生理。急性弥漫性腹膜炎的病车、病理、临床表现和诊断、鉴别诊断，治疗方法的选择（非手术疗法手术的原则和处理方法）。腹腔脓肿的治疗。</w:t>
      </w:r>
    </w:p>
    <w:p w:rsidR="003717A0" w:rsidRDefault="003717A0">
      <w:pPr>
        <w:spacing w:line="360" w:lineRule="exact"/>
        <w:jc w:val="center"/>
        <w:rPr>
          <w:sz w:val="24"/>
        </w:rPr>
      </w:pPr>
      <w:r>
        <w:rPr>
          <w:rFonts w:hint="eastAsia"/>
          <w:sz w:val="24"/>
        </w:rPr>
        <w:t>第三十四章</w:t>
      </w:r>
      <w:r>
        <w:rPr>
          <w:sz w:val="24"/>
        </w:rPr>
        <w:t xml:space="preserve">  </w:t>
      </w:r>
      <w:r>
        <w:rPr>
          <w:rFonts w:hint="eastAsia"/>
          <w:sz w:val="24"/>
        </w:rPr>
        <w:t>胃十二指肠疾病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了解胃溃疡和十二指肠溃疡的发病机理。</w:t>
      </w:r>
    </w:p>
    <w:p w:rsidR="003717A0" w:rsidRDefault="003717A0">
      <w:pPr>
        <w:spacing w:line="360" w:lineRule="exact"/>
        <w:ind w:firstLine="435"/>
        <w:rPr>
          <w:szCs w:val="21"/>
        </w:rPr>
      </w:pPr>
      <w:r>
        <w:rPr>
          <w:szCs w:val="21"/>
        </w:rPr>
        <w:t>2.</w:t>
      </w:r>
      <w:r>
        <w:rPr>
          <w:rFonts w:hint="eastAsia"/>
          <w:szCs w:val="21"/>
        </w:rPr>
        <w:t>熟悉胃溃疡和十二指肠溃疡的临床表现特点。</w:t>
      </w:r>
    </w:p>
    <w:p w:rsidR="003717A0" w:rsidRDefault="003717A0">
      <w:pPr>
        <w:spacing w:line="360" w:lineRule="exact"/>
        <w:ind w:firstLine="435"/>
        <w:rPr>
          <w:szCs w:val="21"/>
        </w:rPr>
      </w:pPr>
      <w:r>
        <w:rPr>
          <w:szCs w:val="21"/>
        </w:rPr>
        <w:t>3.</w:t>
      </w:r>
      <w:r>
        <w:rPr>
          <w:rFonts w:hint="eastAsia"/>
          <w:szCs w:val="21"/>
        </w:rPr>
        <w:t>掌握胃溃疡和十二指肠溃疡的手术适应症和手术并发症；了解手术方法，及其选择。</w:t>
      </w:r>
    </w:p>
    <w:p w:rsidR="003717A0" w:rsidRDefault="003717A0">
      <w:pPr>
        <w:spacing w:line="360" w:lineRule="exact"/>
        <w:ind w:firstLine="435"/>
        <w:rPr>
          <w:szCs w:val="21"/>
        </w:rPr>
      </w:pPr>
      <w:r>
        <w:rPr>
          <w:szCs w:val="21"/>
        </w:rPr>
        <w:t>4.</w:t>
      </w:r>
      <w:r>
        <w:rPr>
          <w:rFonts w:hint="eastAsia"/>
          <w:szCs w:val="21"/>
        </w:rPr>
        <w:t>掌握胃、十二指肠溃疡急性穿孔、急性大出血、瘢痕性幽门梗阻的临床表现、诊断和治疗原则。</w:t>
      </w:r>
    </w:p>
    <w:p w:rsidR="003717A0" w:rsidRDefault="003717A0">
      <w:pPr>
        <w:spacing w:line="360" w:lineRule="exact"/>
        <w:ind w:firstLine="435"/>
        <w:rPr>
          <w:szCs w:val="21"/>
        </w:rPr>
      </w:pPr>
      <w:r>
        <w:rPr>
          <w:szCs w:val="21"/>
        </w:rPr>
        <w:t>5.</w:t>
      </w:r>
      <w:r>
        <w:rPr>
          <w:rFonts w:hint="eastAsia"/>
          <w:szCs w:val="21"/>
        </w:rPr>
        <w:t>掌握胃癌的临床表现、诊断和治疗原则。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胃溃疡和十二指肠溃疡的手术适应症（胃溃疡、顽固性十二指肠溃疡急性穿孔、急性大出血、瘢痕性幽门梗阻、胃溃疡恶变）手术原则，术后主要并发症的防治。</w:t>
      </w:r>
    </w:p>
    <w:p w:rsidR="003717A0" w:rsidRDefault="003717A0">
      <w:pPr>
        <w:spacing w:line="360" w:lineRule="exact"/>
        <w:ind w:firstLine="435"/>
        <w:rPr>
          <w:szCs w:val="21"/>
        </w:rPr>
      </w:pPr>
      <w:r>
        <w:rPr>
          <w:rFonts w:hint="eastAsia"/>
          <w:szCs w:val="21"/>
        </w:rPr>
        <w:t>胃癌的临床表现、早期诊断、鉴别诊断及治疗原则。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rPr>
          <w:szCs w:val="21"/>
        </w:rPr>
      </w:pPr>
      <w:r>
        <w:rPr>
          <w:szCs w:val="21"/>
        </w:rPr>
        <w:t xml:space="preserve">   </w:t>
      </w:r>
      <w:r>
        <w:rPr>
          <w:rFonts w:hint="eastAsia"/>
          <w:szCs w:val="21"/>
        </w:rPr>
        <w:t>胃、十二指肠的解剖生理概要。胃溃疡和十二指肠溃疡的发病机理。</w:t>
      </w:r>
    </w:p>
    <w:p w:rsidR="003717A0" w:rsidRDefault="003717A0">
      <w:pPr>
        <w:tabs>
          <w:tab w:val="left" w:pos="540"/>
        </w:tabs>
        <w:spacing w:line="360" w:lineRule="exact"/>
        <w:ind w:firstLine="435"/>
        <w:rPr>
          <w:szCs w:val="21"/>
        </w:rPr>
      </w:pPr>
    </w:p>
    <w:p w:rsidR="003717A0" w:rsidRDefault="003717A0">
      <w:pPr>
        <w:spacing w:line="360" w:lineRule="exact"/>
        <w:jc w:val="center"/>
        <w:rPr>
          <w:sz w:val="24"/>
        </w:rPr>
      </w:pPr>
      <w:r>
        <w:rPr>
          <w:rFonts w:hint="eastAsia"/>
          <w:sz w:val="24"/>
        </w:rPr>
        <w:t>第三十五章</w:t>
      </w:r>
      <w:r>
        <w:rPr>
          <w:sz w:val="24"/>
        </w:rPr>
        <w:t xml:space="preserve">  </w:t>
      </w:r>
      <w:r>
        <w:rPr>
          <w:rFonts w:hint="eastAsia"/>
          <w:sz w:val="24"/>
        </w:rPr>
        <w:t>小肠疾病</w:t>
      </w:r>
    </w:p>
    <w:p w:rsidR="003717A0" w:rsidRDefault="003717A0">
      <w:pPr>
        <w:tabs>
          <w:tab w:val="left" w:pos="540"/>
        </w:tabs>
        <w:spacing w:line="360" w:lineRule="exact"/>
        <w:rPr>
          <w:szCs w:val="21"/>
        </w:rPr>
      </w:pPr>
      <w:r>
        <w:rPr>
          <w:rFonts w:hint="eastAsia"/>
          <w:szCs w:val="21"/>
        </w:rPr>
        <w:t>【目的与要求】</w:t>
      </w:r>
    </w:p>
    <w:p w:rsidR="003717A0" w:rsidRDefault="003717A0">
      <w:pPr>
        <w:tabs>
          <w:tab w:val="left" w:pos="540"/>
        </w:tabs>
        <w:spacing w:line="360" w:lineRule="exact"/>
        <w:ind w:firstLine="435"/>
        <w:rPr>
          <w:szCs w:val="21"/>
        </w:rPr>
      </w:pPr>
      <w:r>
        <w:rPr>
          <w:szCs w:val="21"/>
        </w:rPr>
        <w:t>1.</w:t>
      </w:r>
      <w:r>
        <w:rPr>
          <w:rFonts w:hint="eastAsia"/>
          <w:szCs w:val="21"/>
        </w:rPr>
        <w:t>熟悉肠梗阻的病因、分类、病理和病理生理，掌握其临床表现、诊断和治疗原则。</w:t>
      </w:r>
    </w:p>
    <w:p w:rsidR="003717A0" w:rsidRDefault="003717A0">
      <w:pPr>
        <w:tabs>
          <w:tab w:val="left" w:pos="540"/>
        </w:tabs>
        <w:spacing w:line="360" w:lineRule="exact"/>
        <w:ind w:firstLine="435"/>
        <w:rPr>
          <w:szCs w:val="21"/>
        </w:rPr>
      </w:pPr>
      <w:r>
        <w:rPr>
          <w:szCs w:val="21"/>
        </w:rPr>
        <w:t>2.</w:t>
      </w:r>
      <w:r>
        <w:rPr>
          <w:rFonts w:hint="eastAsia"/>
          <w:szCs w:val="21"/>
        </w:rPr>
        <w:t>了解肠道炎性疾病的外科治疗。</w:t>
      </w:r>
    </w:p>
    <w:p w:rsidR="003717A0" w:rsidRDefault="003717A0">
      <w:pPr>
        <w:tabs>
          <w:tab w:val="left" w:pos="540"/>
        </w:tabs>
        <w:spacing w:line="360" w:lineRule="exact"/>
        <w:ind w:firstLine="435"/>
        <w:rPr>
          <w:szCs w:val="21"/>
        </w:rPr>
      </w:pPr>
      <w:r>
        <w:rPr>
          <w:szCs w:val="21"/>
        </w:rPr>
        <w:t>3.</w:t>
      </w:r>
      <w:r>
        <w:rPr>
          <w:rFonts w:hint="eastAsia"/>
          <w:szCs w:val="21"/>
        </w:rPr>
        <w:t>了解小肠肿瘤、肠息肉和息肉的诊断和治疗。</w:t>
      </w:r>
    </w:p>
    <w:p w:rsidR="003717A0" w:rsidRDefault="003717A0">
      <w:pPr>
        <w:tabs>
          <w:tab w:val="left" w:pos="540"/>
        </w:tabs>
        <w:spacing w:line="360" w:lineRule="exact"/>
        <w:rPr>
          <w:szCs w:val="21"/>
        </w:rPr>
      </w:pPr>
      <w:r>
        <w:rPr>
          <w:rFonts w:hint="eastAsia"/>
          <w:szCs w:val="21"/>
        </w:rPr>
        <w:t>【讲授内容】</w:t>
      </w:r>
    </w:p>
    <w:p w:rsidR="003717A0" w:rsidRDefault="003717A0">
      <w:pPr>
        <w:tabs>
          <w:tab w:val="left" w:pos="540"/>
        </w:tabs>
        <w:spacing w:line="360" w:lineRule="exact"/>
        <w:ind w:firstLine="435"/>
        <w:rPr>
          <w:szCs w:val="21"/>
        </w:rPr>
      </w:pPr>
      <w:r>
        <w:rPr>
          <w:rFonts w:hint="eastAsia"/>
          <w:szCs w:val="21"/>
        </w:rPr>
        <w:t>肠梗阻的病因、分类、病理和生理，诊断和治疗。</w:t>
      </w:r>
    </w:p>
    <w:p w:rsidR="003717A0" w:rsidRDefault="003717A0">
      <w:pPr>
        <w:tabs>
          <w:tab w:val="left" w:pos="540"/>
        </w:tabs>
        <w:spacing w:line="360" w:lineRule="exact"/>
        <w:ind w:firstLine="435"/>
        <w:rPr>
          <w:szCs w:val="21"/>
        </w:rPr>
      </w:pPr>
      <w:r>
        <w:rPr>
          <w:rFonts w:hint="eastAsia"/>
          <w:szCs w:val="21"/>
        </w:rPr>
        <w:t>小肠肿瘤、肠息肉和息肉病的病理，临床表现、诊断和治疗。</w:t>
      </w:r>
    </w:p>
    <w:p w:rsidR="003717A0" w:rsidRDefault="003717A0">
      <w:pPr>
        <w:tabs>
          <w:tab w:val="left" w:pos="540"/>
        </w:tabs>
        <w:spacing w:line="360" w:lineRule="exact"/>
        <w:rPr>
          <w:szCs w:val="21"/>
        </w:rPr>
      </w:pPr>
      <w:r>
        <w:rPr>
          <w:rFonts w:hint="eastAsia"/>
          <w:szCs w:val="21"/>
        </w:rPr>
        <w:t>【自学内容】</w:t>
      </w:r>
    </w:p>
    <w:p w:rsidR="003717A0" w:rsidRDefault="003717A0">
      <w:pPr>
        <w:tabs>
          <w:tab w:val="left" w:pos="540"/>
        </w:tabs>
        <w:spacing w:line="360" w:lineRule="exact"/>
        <w:rPr>
          <w:szCs w:val="21"/>
        </w:rPr>
      </w:pPr>
      <w:r>
        <w:rPr>
          <w:szCs w:val="21"/>
        </w:rPr>
        <w:t xml:space="preserve">     </w:t>
      </w:r>
      <w:r>
        <w:rPr>
          <w:rFonts w:hint="eastAsia"/>
          <w:szCs w:val="21"/>
        </w:rPr>
        <w:t>肠道的解剖生理概要。肠道炎性疾病的病因、病理、临床表现、诊断和外科治疗。结肠癌的病</w:t>
      </w:r>
      <w:r>
        <w:rPr>
          <w:rFonts w:hint="eastAsia"/>
          <w:szCs w:val="21"/>
        </w:rPr>
        <w:lastRenderedPageBreak/>
        <w:t>因、病理。</w:t>
      </w:r>
    </w:p>
    <w:p w:rsidR="003717A0" w:rsidRDefault="003717A0">
      <w:pPr>
        <w:tabs>
          <w:tab w:val="left" w:pos="540"/>
        </w:tabs>
        <w:spacing w:line="360" w:lineRule="exact"/>
        <w:rPr>
          <w:szCs w:val="21"/>
        </w:rPr>
      </w:pPr>
    </w:p>
    <w:p w:rsidR="003717A0" w:rsidRDefault="003717A0">
      <w:pPr>
        <w:spacing w:line="360" w:lineRule="exact"/>
        <w:jc w:val="center"/>
        <w:rPr>
          <w:sz w:val="24"/>
        </w:rPr>
      </w:pPr>
      <w:r>
        <w:rPr>
          <w:rFonts w:hint="eastAsia"/>
          <w:sz w:val="24"/>
        </w:rPr>
        <w:t>第三十六章</w:t>
      </w:r>
      <w:r>
        <w:rPr>
          <w:sz w:val="24"/>
        </w:rPr>
        <w:t xml:space="preserve">  </w:t>
      </w:r>
      <w:r>
        <w:rPr>
          <w:rFonts w:hint="eastAsia"/>
          <w:sz w:val="24"/>
        </w:rPr>
        <w:t>阑尾疾病</w:t>
      </w:r>
    </w:p>
    <w:p w:rsidR="003717A0" w:rsidRDefault="003717A0">
      <w:pPr>
        <w:tabs>
          <w:tab w:val="left" w:pos="540"/>
        </w:tabs>
        <w:spacing w:line="360" w:lineRule="exact"/>
        <w:rPr>
          <w:szCs w:val="21"/>
        </w:rPr>
      </w:pPr>
      <w:r>
        <w:rPr>
          <w:rFonts w:hint="eastAsia"/>
          <w:szCs w:val="21"/>
        </w:rPr>
        <w:t>【目的与要求】</w:t>
      </w:r>
    </w:p>
    <w:p w:rsidR="003717A0" w:rsidRDefault="003717A0">
      <w:pPr>
        <w:tabs>
          <w:tab w:val="left" w:pos="540"/>
        </w:tabs>
        <w:spacing w:line="360" w:lineRule="exact"/>
        <w:ind w:firstLine="435"/>
        <w:rPr>
          <w:szCs w:val="21"/>
        </w:rPr>
      </w:pPr>
      <w:r>
        <w:rPr>
          <w:szCs w:val="21"/>
        </w:rPr>
        <w:t>1.</w:t>
      </w:r>
      <w:r>
        <w:rPr>
          <w:rFonts w:hint="eastAsia"/>
          <w:szCs w:val="21"/>
        </w:rPr>
        <w:t>了解急性阑尾炎的病理和临床分类。</w:t>
      </w:r>
    </w:p>
    <w:p w:rsidR="003717A0" w:rsidRDefault="003717A0">
      <w:pPr>
        <w:tabs>
          <w:tab w:val="left" w:pos="540"/>
        </w:tabs>
        <w:spacing w:line="360" w:lineRule="exact"/>
        <w:ind w:firstLine="435"/>
        <w:rPr>
          <w:szCs w:val="21"/>
        </w:rPr>
      </w:pPr>
      <w:r>
        <w:rPr>
          <w:szCs w:val="21"/>
        </w:rPr>
        <w:t>2.</w:t>
      </w:r>
      <w:r>
        <w:rPr>
          <w:rFonts w:hint="eastAsia"/>
          <w:szCs w:val="21"/>
        </w:rPr>
        <w:t>掌握急性阑尾炎的诊断、鉴别诊断和治疗。</w:t>
      </w:r>
    </w:p>
    <w:p w:rsidR="003717A0" w:rsidRDefault="003717A0">
      <w:pPr>
        <w:tabs>
          <w:tab w:val="left" w:pos="540"/>
        </w:tabs>
        <w:spacing w:line="360" w:lineRule="exact"/>
        <w:ind w:firstLine="435"/>
        <w:rPr>
          <w:szCs w:val="21"/>
        </w:rPr>
      </w:pPr>
      <w:r>
        <w:rPr>
          <w:szCs w:val="21"/>
        </w:rPr>
        <w:t>3.</w:t>
      </w:r>
      <w:r>
        <w:rPr>
          <w:rFonts w:hint="eastAsia"/>
          <w:szCs w:val="21"/>
        </w:rPr>
        <w:t>了解特殊类型急性阑尾炎的临床特点和处理原则。</w:t>
      </w:r>
    </w:p>
    <w:p w:rsidR="003717A0" w:rsidRDefault="003717A0">
      <w:pPr>
        <w:tabs>
          <w:tab w:val="left" w:pos="540"/>
        </w:tabs>
        <w:spacing w:line="360" w:lineRule="exact"/>
        <w:ind w:firstLine="435"/>
        <w:rPr>
          <w:szCs w:val="21"/>
        </w:rPr>
      </w:pPr>
      <w:r>
        <w:rPr>
          <w:szCs w:val="21"/>
        </w:rPr>
        <w:t>4.</w:t>
      </w:r>
      <w:r>
        <w:rPr>
          <w:rFonts w:hint="eastAsia"/>
          <w:szCs w:val="21"/>
        </w:rPr>
        <w:t>了解慢性阑尾炎的诊断和治疗。</w:t>
      </w:r>
    </w:p>
    <w:p w:rsidR="003717A0" w:rsidRDefault="003717A0">
      <w:pPr>
        <w:tabs>
          <w:tab w:val="left" w:pos="540"/>
        </w:tabs>
        <w:spacing w:line="360" w:lineRule="exact"/>
        <w:rPr>
          <w:szCs w:val="21"/>
        </w:rPr>
      </w:pPr>
      <w:r>
        <w:rPr>
          <w:rFonts w:hint="eastAsia"/>
          <w:szCs w:val="21"/>
        </w:rPr>
        <w:t>【讲授内容】</w:t>
      </w:r>
    </w:p>
    <w:p w:rsidR="003717A0" w:rsidRDefault="003717A0">
      <w:pPr>
        <w:tabs>
          <w:tab w:val="left" w:pos="540"/>
        </w:tabs>
        <w:spacing w:line="360" w:lineRule="exact"/>
        <w:ind w:firstLine="435"/>
        <w:rPr>
          <w:szCs w:val="21"/>
        </w:rPr>
      </w:pPr>
      <w:r>
        <w:rPr>
          <w:rFonts w:hint="eastAsia"/>
          <w:szCs w:val="21"/>
        </w:rPr>
        <w:t>急性阑尾炎的病理、临床分类、临床表现、诊断、鉴别诊断和治疗。小儿急性阑尾炎、老年急性阑尾炎、妊娠期急性阑尾炎的临床特点和处理原则。慢性阑尾炎的临床表现、诊断与治疗。</w:t>
      </w:r>
    </w:p>
    <w:p w:rsidR="003717A0" w:rsidRDefault="003717A0">
      <w:pPr>
        <w:tabs>
          <w:tab w:val="left" w:pos="540"/>
        </w:tabs>
        <w:spacing w:line="360" w:lineRule="exact"/>
        <w:rPr>
          <w:szCs w:val="21"/>
        </w:rPr>
      </w:pPr>
      <w:r>
        <w:rPr>
          <w:rFonts w:hint="eastAsia"/>
          <w:szCs w:val="21"/>
        </w:rPr>
        <w:t>【自学内容】</w:t>
      </w:r>
    </w:p>
    <w:p w:rsidR="003717A0" w:rsidRDefault="003717A0">
      <w:pPr>
        <w:tabs>
          <w:tab w:val="left" w:pos="540"/>
        </w:tabs>
        <w:spacing w:line="360" w:lineRule="exact"/>
        <w:ind w:firstLine="435"/>
        <w:rPr>
          <w:szCs w:val="21"/>
        </w:rPr>
      </w:pPr>
      <w:r>
        <w:rPr>
          <w:rFonts w:hint="eastAsia"/>
          <w:szCs w:val="21"/>
        </w:rPr>
        <w:t>阑尾炎解剖生理概要，异位阑尾炎。</w:t>
      </w:r>
    </w:p>
    <w:p w:rsidR="003717A0" w:rsidRDefault="003717A0">
      <w:pPr>
        <w:tabs>
          <w:tab w:val="left" w:pos="540"/>
        </w:tabs>
        <w:spacing w:line="360" w:lineRule="exact"/>
        <w:rPr>
          <w:szCs w:val="21"/>
        </w:rPr>
      </w:pPr>
      <w:r>
        <w:rPr>
          <w:rFonts w:hint="eastAsia"/>
          <w:szCs w:val="21"/>
        </w:rPr>
        <w:t>【见习】</w:t>
      </w:r>
    </w:p>
    <w:p w:rsidR="003717A0" w:rsidRDefault="003717A0">
      <w:pPr>
        <w:tabs>
          <w:tab w:val="left" w:pos="540"/>
        </w:tabs>
        <w:spacing w:line="360" w:lineRule="exact"/>
        <w:ind w:firstLine="435"/>
        <w:rPr>
          <w:szCs w:val="21"/>
        </w:rPr>
      </w:pPr>
      <w:r>
        <w:rPr>
          <w:szCs w:val="21"/>
        </w:rPr>
        <w:t>1.</w:t>
      </w:r>
      <w:r>
        <w:rPr>
          <w:rFonts w:hint="eastAsia"/>
          <w:szCs w:val="21"/>
        </w:rPr>
        <w:t>病例示范：结合病史、体检等，讨论急性阑尾炎的诊断和鉴别诊断。</w:t>
      </w:r>
    </w:p>
    <w:p w:rsidR="003717A0" w:rsidRDefault="003717A0">
      <w:pPr>
        <w:tabs>
          <w:tab w:val="left" w:pos="540"/>
        </w:tabs>
        <w:spacing w:line="360" w:lineRule="exact"/>
        <w:ind w:firstLine="435"/>
        <w:rPr>
          <w:szCs w:val="21"/>
        </w:rPr>
      </w:pPr>
      <w:r>
        <w:rPr>
          <w:szCs w:val="21"/>
        </w:rPr>
        <w:t>2.</w:t>
      </w:r>
      <w:r>
        <w:rPr>
          <w:rFonts w:hint="eastAsia"/>
          <w:szCs w:val="21"/>
        </w:rPr>
        <w:t>见习阑尾切除的操作步骤。</w:t>
      </w:r>
    </w:p>
    <w:p w:rsidR="003717A0" w:rsidRDefault="003717A0">
      <w:pPr>
        <w:tabs>
          <w:tab w:val="left" w:pos="540"/>
        </w:tabs>
        <w:spacing w:line="360" w:lineRule="exact"/>
        <w:rPr>
          <w:szCs w:val="21"/>
        </w:rPr>
      </w:pPr>
    </w:p>
    <w:p w:rsidR="003717A0" w:rsidRDefault="003717A0">
      <w:pPr>
        <w:spacing w:line="360" w:lineRule="exact"/>
        <w:jc w:val="center"/>
        <w:rPr>
          <w:sz w:val="24"/>
        </w:rPr>
      </w:pPr>
      <w:r>
        <w:rPr>
          <w:rFonts w:hint="eastAsia"/>
          <w:sz w:val="24"/>
        </w:rPr>
        <w:t>第三十七章</w:t>
      </w:r>
      <w:r>
        <w:rPr>
          <w:sz w:val="24"/>
        </w:rPr>
        <w:t xml:space="preserve">  </w:t>
      </w:r>
      <w:r>
        <w:rPr>
          <w:rFonts w:hint="eastAsia"/>
          <w:sz w:val="24"/>
        </w:rPr>
        <w:t>结、直肠与肛管疾病</w:t>
      </w:r>
    </w:p>
    <w:p w:rsidR="003717A0" w:rsidRDefault="003717A0">
      <w:pPr>
        <w:tabs>
          <w:tab w:val="left" w:pos="540"/>
        </w:tabs>
        <w:spacing w:line="360" w:lineRule="exact"/>
        <w:rPr>
          <w:szCs w:val="21"/>
        </w:rPr>
      </w:pPr>
      <w:r>
        <w:rPr>
          <w:rFonts w:hint="eastAsia"/>
          <w:szCs w:val="21"/>
        </w:rPr>
        <w:t>【目的与要求】</w:t>
      </w:r>
    </w:p>
    <w:p w:rsidR="003717A0" w:rsidRDefault="003717A0">
      <w:pPr>
        <w:tabs>
          <w:tab w:val="left" w:pos="540"/>
        </w:tabs>
        <w:spacing w:line="360" w:lineRule="exact"/>
        <w:ind w:firstLine="435"/>
        <w:rPr>
          <w:szCs w:val="21"/>
        </w:rPr>
      </w:pPr>
      <w:r>
        <w:rPr>
          <w:szCs w:val="21"/>
        </w:rPr>
        <w:t>1.</w:t>
      </w:r>
      <w:r>
        <w:rPr>
          <w:rFonts w:hint="eastAsia"/>
          <w:szCs w:val="21"/>
        </w:rPr>
        <w:t>了解直肠、肛管的解剖和检查方法。</w:t>
      </w:r>
    </w:p>
    <w:p w:rsidR="003717A0" w:rsidRDefault="003717A0">
      <w:pPr>
        <w:tabs>
          <w:tab w:val="left" w:pos="540"/>
        </w:tabs>
        <w:spacing w:line="360" w:lineRule="exact"/>
        <w:ind w:firstLine="435"/>
        <w:rPr>
          <w:szCs w:val="21"/>
        </w:rPr>
      </w:pPr>
      <w:r>
        <w:rPr>
          <w:szCs w:val="21"/>
        </w:rPr>
        <w:t>2.</w:t>
      </w:r>
      <w:r>
        <w:rPr>
          <w:rFonts w:hint="eastAsia"/>
          <w:szCs w:val="21"/>
        </w:rPr>
        <w:t>熟悉肛裂、直肠周围脓肿、肛瘘、痔、直肠脱垂、直肠息肉的诊断和治疗。</w:t>
      </w:r>
    </w:p>
    <w:p w:rsidR="003717A0" w:rsidRDefault="003717A0">
      <w:pPr>
        <w:tabs>
          <w:tab w:val="left" w:pos="540"/>
        </w:tabs>
        <w:spacing w:line="360" w:lineRule="exact"/>
        <w:ind w:firstLine="435"/>
        <w:rPr>
          <w:szCs w:val="21"/>
        </w:rPr>
      </w:pPr>
      <w:r>
        <w:rPr>
          <w:szCs w:val="21"/>
        </w:rPr>
        <w:t>3.</w:t>
      </w:r>
      <w:r>
        <w:rPr>
          <w:rFonts w:hint="eastAsia"/>
          <w:szCs w:val="21"/>
        </w:rPr>
        <w:t>掌握直肠癌的临床表现、诊断、治疗和手术原则。</w:t>
      </w:r>
    </w:p>
    <w:p w:rsidR="003717A0" w:rsidRDefault="003717A0">
      <w:pPr>
        <w:tabs>
          <w:tab w:val="left" w:pos="540"/>
        </w:tabs>
        <w:spacing w:line="360" w:lineRule="exact"/>
        <w:rPr>
          <w:szCs w:val="21"/>
        </w:rPr>
      </w:pPr>
      <w:r>
        <w:rPr>
          <w:rFonts w:hint="eastAsia"/>
          <w:szCs w:val="21"/>
        </w:rPr>
        <w:t>【讲授内容】</w:t>
      </w:r>
    </w:p>
    <w:p w:rsidR="003717A0" w:rsidRDefault="003717A0">
      <w:pPr>
        <w:tabs>
          <w:tab w:val="left" w:pos="540"/>
        </w:tabs>
        <w:spacing w:line="360" w:lineRule="exact"/>
        <w:ind w:firstLine="435"/>
        <w:rPr>
          <w:szCs w:val="21"/>
        </w:rPr>
      </w:pPr>
      <w:r>
        <w:rPr>
          <w:rFonts w:hint="eastAsia"/>
          <w:szCs w:val="21"/>
        </w:rPr>
        <w:t>直肠、肛管的检查方法。直肠、肛门周围脓肿的病因、诊断和治疗方法。肛瘘的形成、分类和治疗方法。</w:t>
      </w:r>
    </w:p>
    <w:p w:rsidR="003717A0" w:rsidRDefault="003717A0">
      <w:pPr>
        <w:tabs>
          <w:tab w:val="left" w:pos="540"/>
        </w:tabs>
        <w:spacing w:line="360" w:lineRule="exact"/>
        <w:ind w:firstLine="435"/>
        <w:rPr>
          <w:szCs w:val="21"/>
        </w:rPr>
      </w:pPr>
      <w:r>
        <w:rPr>
          <w:rFonts w:hint="eastAsia"/>
          <w:szCs w:val="21"/>
        </w:rPr>
        <w:t>肛裂、痔的病因、分类、临床表现、诊断和治疗。直肠脱垂和直肠息肉的临床表现、诊断和治疗。</w:t>
      </w:r>
    </w:p>
    <w:p w:rsidR="003717A0" w:rsidRDefault="003717A0">
      <w:pPr>
        <w:tabs>
          <w:tab w:val="left" w:pos="540"/>
        </w:tabs>
        <w:spacing w:line="360" w:lineRule="exact"/>
        <w:ind w:firstLine="435"/>
        <w:rPr>
          <w:szCs w:val="21"/>
        </w:rPr>
      </w:pPr>
      <w:r>
        <w:rPr>
          <w:rFonts w:hint="eastAsia"/>
          <w:szCs w:val="21"/>
        </w:rPr>
        <w:t>结直肠癌的病理、临床表现、诊断、治疗和手术原则。</w:t>
      </w:r>
    </w:p>
    <w:p w:rsidR="003717A0" w:rsidRDefault="003717A0">
      <w:pPr>
        <w:tabs>
          <w:tab w:val="left" w:pos="540"/>
        </w:tabs>
        <w:spacing w:line="360" w:lineRule="exact"/>
        <w:rPr>
          <w:szCs w:val="21"/>
        </w:rPr>
      </w:pPr>
      <w:r>
        <w:rPr>
          <w:rFonts w:hint="eastAsia"/>
          <w:szCs w:val="21"/>
        </w:rPr>
        <w:t>【自学内容】</w:t>
      </w:r>
    </w:p>
    <w:p w:rsidR="003717A0" w:rsidRDefault="003717A0">
      <w:pPr>
        <w:tabs>
          <w:tab w:val="left" w:pos="540"/>
        </w:tabs>
        <w:spacing w:line="360" w:lineRule="exact"/>
        <w:rPr>
          <w:szCs w:val="21"/>
        </w:rPr>
      </w:pPr>
      <w:r>
        <w:rPr>
          <w:szCs w:val="21"/>
        </w:rPr>
        <w:t xml:space="preserve">    </w:t>
      </w:r>
      <w:r>
        <w:rPr>
          <w:rFonts w:hint="eastAsia"/>
          <w:szCs w:val="21"/>
        </w:rPr>
        <w:t>直肠、肛管解剖。</w:t>
      </w:r>
    </w:p>
    <w:p w:rsidR="003717A0" w:rsidRDefault="003717A0">
      <w:pPr>
        <w:tabs>
          <w:tab w:val="left" w:pos="540"/>
        </w:tabs>
        <w:spacing w:line="360" w:lineRule="exact"/>
        <w:rPr>
          <w:szCs w:val="21"/>
        </w:rPr>
      </w:pPr>
      <w:r>
        <w:rPr>
          <w:rFonts w:hint="eastAsia"/>
          <w:szCs w:val="21"/>
        </w:rPr>
        <w:t>【见习】</w:t>
      </w:r>
    </w:p>
    <w:p w:rsidR="003717A0" w:rsidRDefault="003717A0">
      <w:pPr>
        <w:tabs>
          <w:tab w:val="left" w:pos="540"/>
        </w:tabs>
        <w:spacing w:line="360" w:lineRule="exact"/>
        <w:rPr>
          <w:szCs w:val="21"/>
        </w:rPr>
      </w:pPr>
      <w:r>
        <w:rPr>
          <w:szCs w:val="21"/>
        </w:rPr>
        <w:t xml:space="preserve">    </w:t>
      </w:r>
      <w:r>
        <w:rPr>
          <w:rFonts w:hint="eastAsia"/>
          <w:szCs w:val="21"/>
        </w:rPr>
        <w:t>病历示范：直肠、肛管周围脓肿、肛瘘、痔及直肠癌。学习直肠指检方法，学习上述疾</w:t>
      </w:r>
    </w:p>
    <w:p w:rsidR="003717A0" w:rsidRDefault="003717A0">
      <w:pPr>
        <w:tabs>
          <w:tab w:val="left" w:pos="540"/>
        </w:tabs>
        <w:spacing w:line="360" w:lineRule="exact"/>
        <w:rPr>
          <w:szCs w:val="21"/>
        </w:rPr>
      </w:pPr>
      <w:r>
        <w:rPr>
          <w:rFonts w:hint="eastAsia"/>
          <w:szCs w:val="21"/>
        </w:rPr>
        <w:t>病的诊断和治疗方法。</w:t>
      </w:r>
    </w:p>
    <w:p w:rsidR="003717A0" w:rsidRDefault="003717A0">
      <w:pPr>
        <w:tabs>
          <w:tab w:val="left" w:pos="540"/>
        </w:tabs>
        <w:spacing w:line="360" w:lineRule="exact"/>
        <w:rPr>
          <w:szCs w:val="21"/>
        </w:rPr>
      </w:pPr>
    </w:p>
    <w:p w:rsidR="003717A0" w:rsidRDefault="003717A0">
      <w:pPr>
        <w:spacing w:line="360" w:lineRule="exact"/>
        <w:jc w:val="center"/>
        <w:rPr>
          <w:sz w:val="24"/>
        </w:rPr>
      </w:pPr>
      <w:r>
        <w:rPr>
          <w:rFonts w:hint="eastAsia"/>
          <w:sz w:val="24"/>
        </w:rPr>
        <w:t>第三十八章</w:t>
      </w:r>
      <w:r>
        <w:rPr>
          <w:sz w:val="24"/>
        </w:rPr>
        <w:t xml:space="preserve">  </w:t>
      </w:r>
      <w:r>
        <w:rPr>
          <w:rFonts w:hint="eastAsia"/>
          <w:sz w:val="24"/>
        </w:rPr>
        <w:t>肝脏病</w:t>
      </w:r>
    </w:p>
    <w:p w:rsidR="003717A0" w:rsidRDefault="003717A0">
      <w:pPr>
        <w:tabs>
          <w:tab w:val="left" w:pos="540"/>
        </w:tabs>
        <w:spacing w:line="360" w:lineRule="exact"/>
        <w:rPr>
          <w:szCs w:val="21"/>
        </w:rPr>
      </w:pPr>
      <w:r>
        <w:rPr>
          <w:rFonts w:hint="eastAsia"/>
          <w:szCs w:val="21"/>
        </w:rPr>
        <w:t>【目的与要求】</w:t>
      </w:r>
    </w:p>
    <w:p w:rsidR="003717A0" w:rsidRDefault="003717A0">
      <w:pPr>
        <w:tabs>
          <w:tab w:val="left" w:pos="540"/>
        </w:tabs>
        <w:spacing w:line="360" w:lineRule="exact"/>
        <w:ind w:firstLine="435"/>
        <w:rPr>
          <w:szCs w:val="21"/>
        </w:rPr>
      </w:pPr>
      <w:r>
        <w:rPr>
          <w:szCs w:val="21"/>
        </w:rPr>
        <w:t>1.</w:t>
      </w:r>
      <w:r>
        <w:rPr>
          <w:rFonts w:hint="eastAsia"/>
          <w:szCs w:val="21"/>
        </w:rPr>
        <w:t>了解肝脓肿的病因，熟悉其诊断、鉴别诊断和治疗。</w:t>
      </w:r>
    </w:p>
    <w:p w:rsidR="003717A0" w:rsidRDefault="003717A0">
      <w:pPr>
        <w:tabs>
          <w:tab w:val="left" w:pos="540"/>
        </w:tabs>
        <w:spacing w:line="360" w:lineRule="exact"/>
        <w:ind w:firstLine="435"/>
        <w:rPr>
          <w:szCs w:val="21"/>
        </w:rPr>
      </w:pPr>
      <w:r>
        <w:rPr>
          <w:szCs w:val="21"/>
        </w:rPr>
        <w:t>2.</w:t>
      </w:r>
      <w:r>
        <w:rPr>
          <w:rFonts w:hint="eastAsia"/>
          <w:szCs w:val="21"/>
        </w:rPr>
        <w:t>掌握原发性肝癌的诊断、鉴别诊断和治疗。</w:t>
      </w:r>
    </w:p>
    <w:p w:rsidR="003717A0" w:rsidRDefault="003717A0">
      <w:pPr>
        <w:tabs>
          <w:tab w:val="left" w:pos="540"/>
        </w:tabs>
        <w:spacing w:line="360" w:lineRule="exact"/>
        <w:rPr>
          <w:szCs w:val="21"/>
        </w:rPr>
      </w:pPr>
      <w:r>
        <w:rPr>
          <w:rFonts w:hint="eastAsia"/>
          <w:szCs w:val="21"/>
        </w:rPr>
        <w:lastRenderedPageBreak/>
        <w:t>【自学内容】</w:t>
      </w:r>
    </w:p>
    <w:p w:rsidR="003717A0" w:rsidRDefault="003717A0">
      <w:pPr>
        <w:tabs>
          <w:tab w:val="left" w:pos="540"/>
        </w:tabs>
        <w:spacing w:line="360" w:lineRule="exact"/>
        <w:rPr>
          <w:szCs w:val="21"/>
        </w:rPr>
      </w:pPr>
      <w:r>
        <w:rPr>
          <w:szCs w:val="21"/>
        </w:rPr>
        <w:t xml:space="preserve">    </w:t>
      </w:r>
      <w:r>
        <w:rPr>
          <w:rFonts w:hint="eastAsia"/>
          <w:szCs w:val="21"/>
        </w:rPr>
        <w:t>肝脏的生理解剖概要，原发性肝癌的病因、病理继发性肝癌、肝脏良性肿瘤，肝包虫病的临床表现和诊断。</w:t>
      </w:r>
    </w:p>
    <w:p w:rsidR="003717A0" w:rsidRDefault="003717A0">
      <w:pPr>
        <w:tabs>
          <w:tab w:val="left" w:pos="540"/>
        </w:tabs>
        <w:spacing w:line="360" w:lineRule="exact"/>
        <w:rPr>
          <w:szCs w:val="21"/>
        </w:rPr>
      </w:pPr>
      <w:r>
        <w:rPr>
          <w:rFonts w:hint="eastAsia"/>
          <w:szCs w:val="21"/>
        </w:rPr>
        <w:t>【见习】</w:t>
      </w:r>
    </w:p>
    <w:p w:rsidR="003717A0" w:rsidRDefault="003717A0">
      <w:pPr>
        <w:tabs>
          <w:tab w:val="left" w:pos="540"/>
        </w:tabs>
        <w:spacing w:line="360" w:lineRule="exact"/>
        <w:ind w:firstLine="435"/>
        <w:rPr>
          <w:szCs w:val="21"/>
        </w:rPr>
      </w:pPr>
      <w:r>
        <w:rPr>
          <w:rFonts w:hint="eastAsia"/>
          <w:szCs w:val="21"/>
        </w:rPr>
        <w:t>病例示范或病案讨论：原发性肝癌，结合病史、体征和肝</w:t>
      </w:r>
      <w:r>
        <w:rPr>
          <w:szCs w:val="21"/>
        </w:rPr>
        <w:t>CT</w:t>
      </w:r>
      <w:r>
        <w:rPr>
          <w:rFonts w:hint="eastAsia"/>
          <w:szCs w:val="21"/>
        </w:rPr>
        <w:t>片检查图像，配使病理标本或幻灯片，讨论其诊断、鉴别诊断和治疗方法。</w:t>
      </w:r>
    </w:p>
    <w:p w:rsidR="003717A0" w:rsidRDefault="003717A0">
      <w:pPr>
        <w:tabs>
          <w:tab w:val="left" w:pos="540"/>
        </w:tabs>
        <w:spacing w:line="360" w:lineRule="exact"/>
        <w:rPr>
          <w:szCs w:val="21"/>
        </w:rPr>
      </w:pPr>
    </w:p>
    <w:p w:rsidR="003717A0" w:rsidRDefault="003717A0">
      <w:pPr>
        <w:spacing w:line="360" w:lineRule="exact"/>
        <w:jc w:val="center"/>
        <w:rPr>
          <w:sz w:val="24"/>
        </w:rPr>
      </w:pPr>
      <w:r>
        <w:rPr>
          <w:rFonts w:hint="eastAsia"/>
          <w:sz w:val="24"/>
        </w:rPr>
        <w:t>第三十九章</w:t>
      </w:r>
      <w:r>
        <w:rPr>
          <w:sz w:val="24"/>
        </w:rPr>
        <w:t xml:space="preserve">  </w:t>
      </w:r>
      <w:r>
        <w:rPr>
          <w:rFonts w:hint="eastAsia"/>
          <w:sz w:val="24"/>
        </w:rPr>
        <w:t>门静脉高压症</w:t>
      </w:r>
    </w:p>
    <w:p w:rsidR="003717A0" w:rsidRDefault="003717A0">
      <w:pPr>
        <w:tabs>
          <w:tab w:val="left" w:pos="540"/>
        </w:tabs>
        <w:spacing w:line="360" w:lineRule="exact"/>
        <w:rPr>
          <w:szCs w:val="21"/>
        </w:rPr>
      </w:pPr>
      <w:r>
        <w:rPr>
          <w:rFonts w:hint="eastAsia"/>
          <w:szCs w:val="21"/>
        </w:rPr>
        <w:t>【目的与要求】</w:t>
      </w:r>
    </w:p>
    <w:p w:rsidR="003717A0" w:rsidRDefault="003717A0">
      <w:pPr>
        <w:tabs>
          <w:tab w:val="left" w:pos="540"/>
        </w:tabs>
        <w:spacing w:line="360" w:lineRule="exact"/>
        <w:ind w:firstLine="435"/>
        <w:rPr>
          <w:szCs w:val="21"/>
        </w:rPr>
      </w:pPr>
      <w:r>
        <w:rPr>
          <w:szCs w:val="21"/>
        </w:rPr>
        <w:t>1.</w:t>
      </w:r>
      <w:r>
        <w:rPr>
          <w:rFonts w:hint="eastAsia"/>
          <w:szCs w:val="21"/>
        </w:rPr>
        <w:t>熟悉门静脉高压症的病因、病理和临床表现。</w:t>
      </w:r>
    </w:p>
    <w:p w:rsidR="003717A0" w:rsidRDefault="003717A0">
      <w:pPr>
        <w:tabs>
          <w:tab w:val="left" w:pos="540"/>
        </w:tabs>
        <w:spacing w:line="360" w:lineRule="exact"/>
        <w:ind w:firstLine="435"/>
        <w:rPr>
          <w:szCs w:val="21"/>
        </w:rPr>
      </w:pPr>
      <w:r>
        <w:rPr>
          <w:szCs w:val="21"/>
        </w:rPr>
        <w:t>2.</w:t>
      </w:r>
      <w:r>
        <w:rPr>
          <w:rFonts w:hint="eastAsia"/>
          <w:szCs w:val="21"/>
        </w:rPr>
        <w:t>掌握门静脉高压症的诊断和治疗原则。</w:t>
      </w:r>
    </w:p>
    <w:p w:rsidR="003717A0" w:rsidRDefault="003717A0">
      <w:pPr>
        <w:tabs>
          <w:tab w:val="left" w:pos="540"/>
        </w:tabs>
        <w:spacing w:line="360" w:lineRule="exact"/>
        <w:rPr>
          <w:szCs w:val="21"/>
        </w:rPr>
      </w:pPr>
      <w:r>
        <w:rPr>
          <w:rFonts w:hint="eastAsia"/>
          <w:szCs w:val="21"/>
        </w:rPr>
        <w:t>【讲授内容】</w:t>
      </w:r>
    </w:p>
    <w:p w:rsidR="003717A0" w:rsidRDefault="003717A0">
      <w:pPr>
        <w:tabs>
          <w:tab w:val="left" w:pos="540"/>
        </w:tabs>
        <w:spacing w:line="360" w:lineRule="exact"/>
        <w:ind w:firstLine="435"/>
        <w:rPr>
          <w:szCs w:val="21"/>
        </w:rPr>
      </w:pPr>
      <w:r>
        <w:rPr>
          <w:rFonts w:hint="eastAsia"/>
          <w:szCs w:val="21"/>
        </w:rPr>
        <w:t>门静脉的解剖概要，门静脉高压症的病因、病理、临床表现、诊断和治疗（急性食管胃底曲张破裂大出血的治疗，手术适应症及手术治疗。</w:t>
      </w:r>
    </w:p>
    <w:p w:rsidR="003717A0" w:rsidRDefault="003717A0">
      <w:pPr>
        <w:tabs>
          <w:tab w:val="left" w:pos="540"/>
        </w:tabs>
        <w:spacing w:line="360" w:lineRule="exact"/>
        <w:rPr>
          <w:szCs w:val="21"/>
        </w:rPr>
      </w:pPr>
      <w:r>
        <w:rPr>
          <w:rFonts w:hint="eastAsia"/>
          <w:szCs w:val="21"/>
        </w:rPr>
        <w:t>【见习】</w:t>
      </w:r>
    </w:p>
    <w:p w:rsidR="003717A0" w:rsidRDefault="003717A0">
      <w:pPr>
        <w:tabs>
          <w:tab w:val="left" w:pos="540"/>
        </w:tabs>
        <w:spacing w:line="360" w:lineRule="exact"/>
        <w:rPr>
          <w:szCs w:val="21"/>
        </w:rPr>
      </w:pPr>
      <w:r>
        <w:rPr>
          <w:szCs w:val="21"/>
        </w:rPr>
        <w:t xml:space="preserve">    </w:t>
      </w:r>
      <w:r>
        <w:rPr>
          <w:rFonts w:hint="eastAsia"/>
          <w:szCs w:val="21"/>
        </w:rPr>
        <w:t>病例示范：门静脉高压症，结合病史、体征、典型食道</w:t>
      </w:r>
      <w:r>
        <w:rPr>
          <w:szCs w:val="21"/>
        </w:rPr>
        <w:t>X</w:t>
      </w:r>
      <w:r>
        <w:rPr>
          <w:rFonts w:hint="eastAsia"/>
          <w:szCs w:val="21"/>
        </w:rPr>
        <w:t>线点片、</w:t>
      </w:r>
      <w:r>
        <w:rPr>
          <w:szCs w:val="21"/>
        </w:rPr>
        <w:t>CT</w:t>
      </w:r>
      <w:r>
        <w:rPr>
          <w:rFonts w:hint="eastAsia"/>
          <w:szCs w:val="21"/>
        </w:rPr>
        <w:t>片、实验室检查等，讨论其诊断、鉴别诊断和治疗，示范三腔管的使用及注意事项。</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第四十章</w:t>
      </w:r>
      <w:r>
        <w:rPr>
          <w:sz w:val="24"/>
        </w:rPr>
        <w:t xml:space="preserve">  </w:t>
      </w:r>
      <w:r>
        <w:rPr>
          <w:rFonts w:hint="eastAsia"/>
          <w:sz w:val="24"/>
        </w:rPr>
        <w:t>胆道疾病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熟悉胆石症的胆囊炎、胆管炎的病因、病理。</w:t>
      </w:r>
    </w:p>
    <w:p w:rsidR="003717A0" w:rsidRDefault="003717A0">
      <w:pPr>
        <w:spacing w:line="360" w:lineRule="exact"/>
        <w:ind w:firstLine="435"/>
        <w:rPr>
          <w:szCs w:val="21"/>
        </w:rPr>
      </w:pPr>
      <w:r>
        <w:rPr>
          <w:szCs w:val="21"/>
        </w:rPr>
        <w:t>2.</w:t>
      </w:r>
      <w:r>
        <w:rPr>
          <w:rFonts w:hint="eastAsia"/>
          <w:szCs w:val="21"/>
        </w:rPr>
        <w:t>掌握急性胆囊炎、胆囊结石、胆管结石、急性化脓性胆管炎的典型临床表现、诊断、鉴别诊断和治疗原则。</w:t>
      </w:r>
    </w:p>
    <w:p w:rsidR="003717A0" w:rsidRDefault="003717A0">
      <w:pPr>
        <w:spacing w:line="360" w:lineRule="exact"/>
        <w:ind w:firstLine="435"/>
        <w:rPr>
          <w:szCs w:val="21"/>
        </w:rPr>
      </w:pPr>
      <w:r>
        <w:rPr>
          <w:szCs w:val="21"/>
        </w:rPr>
        <w:t>3.</w:t>
      </w:r>
      <w:r>
        <w:rPr>
          <w:rFonts w:hint="eastAsia"/>
          <w:szCs w:val="21"/>
        </w:rPr>
        <w:t>了解胆道蛔虫病的诊断和正确处理。</w:t>
      </w:r>
    </w:p>
    <w:p w:rsidR="003717A0" w:rsidRDefault="003717A0">
      <w:pPr>
        <w:spacing w:line="360" w:lineRule="exact"/>
        <w:ind w:firstLine="435"/>
        <w:rPr>
          <w:szCs w:val="21"/>
        </w:rPr>
      </w:pPr>
      <w:r>
        <w:rPr>
          <w:szCs w:val="21"/>
        </w:rPr>
        <w:t>4.</w:t>
      </w:r>
      <w:r>
        <w:rPr>
          <w:rFonts w:hint="eastAsia"/>
          <w:szCs w:val="21"/>
        </w:rPr>
        <w:t>了解慢性胆囊炎的临床表现、诊断和治疗原则。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Chars="200" w:firstLine="420"/>
        <w:rPr>
          <w:szCs w:val="21"/>
        </w:rPr>
      </w:pPr>
      <w:r>
        <w:rPr>
          <w:rFonts w:hint="eastAsia"/>
          <w:szCs w:val="21"/>
        </w:rPr>
        <w:t>胆道疾病的特性检查。</w:t>
      </w:r>
    </w:p>
    <w:p w:rsidR="003717A0" w:rsidRDefault="003717A0">
      <w:pPr>
        <w:spacing w:line="360" w:lineRule="exact"/>
        <w:ind w:firstLine="435"/>
        <w:rPr>
          <w:szCs w:val="21"/>
        </w:rPr>
      </w:pPr>
      <w:r>
        <w:rPr>
          <w:rFonts w:hint="eastAsia"/>
          <w:szCs w:val="21"/>
        </w:rPr>
        <w:t>胆石症和胆道系统感染的病因、病理。急性胆囊炎、慢性胆囊炎、胆囊结石、胆管结石、化脓性胆管炎的临床表现、诊断、鉴别诊断和治疗。胆道肿病的病因、病理、临床表现和治疗原则。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胆道的解剖生理概要，胆道肿瘤。</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病例示范：胆石症或急性胆囊炎，结合病史、体检、典型</w:t>
      </w:r>
      <w:r>
        <w:rPr>
          <w:szCs w:val="21"/>
        </w:rPr>
        <w:t>X</w:t>
      </w:r>
      <w:r>
        <w:rPr>
          <w:rFonts w:hint="eastAsia"/>
          <w:szCs w:val="21"/>
        </w:rPr>
        <w:t>线片等，讨论其诊断，鉴别诊断和治疗方法。</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第四十一章</w:t>
      </w:r>
      <w:r>
        <w:rPr>
          <w:sz w:val="24"/>
        </w:rPr>
        <w:t xml:space="preserve">  </w:t>
      </w:r>
      <w:r>
        <w:rPr>
          <w:rFonts w:hint="eastAsia"/>
          <w:sz w:val="24"/>
        </w:rPr>
        <w:t>上消化道大出血的鉴别诊断</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熟悉上消化道大出血的常见原因。</w:t>
      </w:r>
    </w:p>
    <w:p w:rsidR="003717A0" w:rsidRDefault="003717A0">
      <w:pPr>
        <w:spacing w:line="360" w:lineRule="exact"/>
        <w:ind w:firstLine="435"/>
        <w:rPr>
          <w:szCs w:val="21"/>
        </w:rPr>
      </w:pPr>
      <w:r>
        <w:rPr>
          <w:szCs w:val="21"/>
        </w:rPr>
        <w:lastRenderedPageBreak/>
        <w:t>2.</w:t>
      </w:r>
      <w:r>
        <w:rPr>
          <w:rFonts w:hint="eastAsia"/>
          <w:szCs w:val="21"/>
        </w:rPr>
        <w:t>熟悉三个不同部位大出血的不同特点。</w:t>
      </w:r>
    </w:p>
    <w:p w:rsidR="003717A0" w:rsidRDefault="003717A0">
      <w:pPr>
        <w:spacing w:line="360" w:lineRule="exact"/>
        <w:ind w:firstLine="435"/>
        <w:rPr>
          <w:szCs w:val="21"/>
        </w:rPr>
      </w:pPr>
      <w:r>
        <w:rPr>
          <w:szCs w:val="21"/>
        </w:rPr>
        <w:t>3.</w:t>
      </w:r>
      <w:r>
        <w:rPr>
          <w:rFonts w:hint="eastAsia"/>
          <w:szCs w:val="21"/>
        </w:rPr>
        <w:t>了解手术探查的指征和步骤。</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学习胃十二指肠溃疡、出血性胃炎、门静脉高压症以及胆道出血的一般规律和不同特点以及其处理原则、手信探查的指征和步骤。</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第四十二章</w:t>
      </w:r>
      <w:r>
        <w:rPr>
          <w:sz w:val="24"/>
        </w:rPr>
        <w:t xml:space="preserve">  </w:t>
      </w:r>
      <w:r>
        <w:rPr>
          <w:rFonts w:hint="eastAsia"/>
          <w:sz w:val="24"/>
        </w:rPr>
        <w:t>急腹症的诊断与鉴别</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熟悉急腹症的定义。</w:t>
      </w:r>
    </w:p>
    <w:p w:rsidR="003717A0" w:rsidRDefault="003717A0">
      <w:pPr>
        <w:spacing w:line="360" w:lineRule="exact"/>
        <w:ind w:firstLine="435"/>
        <w:rPr>
          <w:szCs w:val="21"/>
        </w:rPr>
      </w:pPr>
      <w:r>
        <w:rPr>
          <w:szCs w:val="21"/>
        </w:rPr>
        <w:t>2.</w:t>
      </w:r>
      <w:r>
        <w:rPr>
          <w:rFonts w:hint="eastAsia"/>
          <w:szCs w:val="21"/>
        </w:rPr>
        <w:t>了解急腹症的病史、体格检查和辅助检查。</w:t>
      </w:r>
    </w:p>
    <w:p w:rsidR="003717A0" w:rsidRDefault="003717A0">
      <w:pPr>
        <w:spacing w:line="360" w:lineRule="exact"/>
        <w:ind w:firstLine="435"/>
        <w:rPr>
          <w:szCs w:val="21"/>
        </w:rPr>
      </w:pPr>
      <w:r>
        <w:rPr>
          <w:szCs w:val="21"/>
        </w:rPr>
        <w:t>3.</w:t>
      </w:r>
      <w:r>
        <w:rPr>
          <w:rFonts w:hint="eastAsia"/>
          <w:szCs w:val="21"/>
        </w:rPr>
        <w:t>掌握常见急腹症的诊断与鉴别诊断要点。</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急腹症的定义，临床诊断与分析和常见急腹症的诊断与鉴别诊断要点。</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第四十三章</w:t>
      </w:r>
      <w:r>
        <w:rPr>
          <w:sz w:val="24"/>
        </w:rPr>
        <w:t xml:space="preserve">  </w:t>
      </w:r>
      <w:r>
        <w:rPr>
          <w:rFonts w:hint="eastAsia"/>
          <w:sz w:val="24"/>
        </w:rPr>
        <w:t>胰腺疾病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熟悉急性胰腺炎的病理、临床表现。掌握其诊断和治疗。</w:t>
      </w:r>
    </w:p>
    <w:p w:rsidR="003717A0" w:rsidRDefault="003717A0">
      <w:pPr>
        <w:spacing w:line="360" w:lineRule="exact"/>
        <w:ind w:firstLine="435"/>
        <w:rPr>
          <w:szCs w:val="21"/>
        </w:rPr>
      </w:pPr>
      <w:r>
        <w:rPr>
          <w:szCs w:val="21"/>
        </w:rPr>
        <w:t>2.</w:t>
      </w:r>
      <w:r>
        <w:rPr>
          <w:rFonts w:hint="eastAsia"/>
          <w:szCs w:val="21"/>
        </w:rPr>
        <w:t>了解慢性胰腺炎的病理、临床表现、诊断和治疗。</w:t>
      </w:r>
    </w:p>
    <w:p w:rsidR="003717A0" w:rsidRDefault="003717A0">
      <w:pPr>
        <w:spacing w:line="360" w:lineRule="exact"/>
        <w:ind w:firstLine="435"/>
        <w:rPr>
          <w:szCs w:val="21"/>
        </w:rPr>
      </w:pPr>
      <w:r>
        <w:rPr>
          <w:szCs w:val="21"/>
        </w:rPr>
        <w:t>3.</w:t>
      </w:r>
      <w:r>
        <w:rPr>
          <w:rFonts w:hint="eastAsia"/>
          <w:szCs w:val="21"/>
        </w:rPr>
        <w:t>了解胰腺囊肿的病理、临床表现、诊断和治疗。</w:t>
      </w:r>
    </w:p>
    <w:p w:rsidR="003717A0" w:rsidRDefault="003717A0">
      <w:pPr>
        <w:spacing w:line="360" w:lineRule="exact"/>
        <w:ind w:firstLine="435"/>
        <w:rPr>
          <w:szCs w:val="21"/>
        </w:rPr>
      </w:pPr>
      <w:r>
        <w:rPr>
          <w:szCs w:val="21"/>
        </w:rPr>
        <w:t>4.</w:t>
      </w:r>
      <w:r>
        <w:rPr>
          <w:rFonts w:hint="eastAsia"/>
          <w:szCs w:val="21"/>
        </w:rPr>
        <w:t>掌握壶腹周围恶性肿瘤的临床表现和诊断。</w:t>
      </w:r>
    </w:p>
    <w:p w:rsidR="003717A0" w:rsidRDefault="003717A0">
      <w:pPr>
        <w:spacing w:line="360" w:lineRule="exact"/>
        <w:ind w:firstLine="435"/>
        <w:rPr>
          <w:szCs w:val="21"/>
        </w:rPr>
      </w:pPr>
      <w:r>
        <w:rPr>
          <w:szCs w:val="21"/>
        </w:rPr>
        <w:t>5.</w:t>
      </w:r>
      <w:r>
        <w:rPr>
          <w:rFonts w:hint="eastAsia"/>
          <w:szCs w:val="21"/>
        </w:rPr>
        <w:t>了解胰腺内分泌肿瘤的临床表现和诊断。</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急性胰腺炎的鉴别诊断和外科治疗。胰腺癌和其它壶腹周围恶性肿瘤的病理、临床表现、诊断和鉴别诊断、治疗原则。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胰腺的解剖生理概要。慢性胰腺炎的病因、病理、临床表现、诊断和鉴别诊断、治疗原则。胰腺囊肿的病理、临床表现、诊断和治疗原则。胰腺内分泌肿瘤的病理，临床表现、诊断和治疗原则。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病例示教和病案讨论：外科梗阻性黄疸，结合病史，体征、化验检查、</w:t>
      </w:r>
      <w:r>
        <w:rPr>
          <w:szCs w:val="21"/>
        </w:rPr>
        <w:t>X</w:t>
      </w:r>
      <w:r>
        <w:rPr>
          <w:rFonts w:hint="eastAsia"/>
          <w:szCs w:val="21"/>
        </w:rPr>
        <w:t>线片及其他特殊检查，讨论其诊断、鉴别诊断，并提出治疗方法。</w:t>
      </w:r>
    </w:p>
    <w:p w:rsidR="003717A0" w:rsidRDefault="003717A0">
      <w:pPr>
        <w:spacing w:line="360" w:lineRule="exact"/>
        <w:rPr>
          <w:szCs w:val="21"/>
        </w:rPr>
      </w:pPr>
    </w:p>
    <w:p w:rsidR="003717A0" w:rsidRDefault="003717A0">
      <w:pPr>
        <w:spacing w:line="360" w:lineRule="exact"/>
        <w:jc w:val="center"/>
        <w:rPr>
          <w:sz w:val="24"/>
        </w:rPr>
      </w:pPr>
      <w:r>
        <w:rPr>
          <w:rFonts w:hint="eastAsia"/>
          <w:sz w:val="24"/>
        </w:rPr>
        <w:t>第四十四章</w:t>
      </w:r>
      <w:r>
        <w:rPr>
          <w:sz w:val="24"/>
        </w:rPr>
        <w:t xml:space="preserve">  </w:t>
      </w:r>
      <w:r>
        <w:rPr>
          <w:rFonts w:hint="eastAsia"/>
          <w:sz w:val="24"/>
        </w:rPr>
        <w:t>脾疾病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了解脾切除的适应症和脾切除术后常见并发症。</w:t>
      </w:r>
    </w:p>
    <w:p w:rsidR="003717A0" w:rsidRDefault="003717A0">
      <w:pPr>
        <w:spacing w:line="360" w:lineRule="exact"/>
        <w:rPr>
          <w:szCs w:val="21"/>
        </w:rPr>
      </w:pPr>
      <w:r>
        <w:rPr>
          <w:rFonts w:hint="eastAsia"/>
          <w:szCs w:val="21"/>
        </w:rPr>
        <w:t>【自学内容】</w:t>
      </w:r>
    </w:p>
    <w:p w:rsidR="003717A0" w:rsidRDefault="003717A0">
      <w:pPr>
        <w:spacing w:line="360" w:lineRule="exact"/>
        <w:ind w:firstLineChars="200" w:firstLine="420"/>
        <w:rPr>
          <w:szCs w:val="21"/>
        </w:rPr>
      </w:pPr>
      <w:r>
        <w:rPr>
          <w:rFonts w:hint="eastAsia"/>
          <w:szCs w:val="21"/>
        </w:rPr>
        <w:t>脾的解剖概要，脾切除的适应症和脾切除术后常见并发症</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第四十五章</w:t>
      </w:r>
      <w:r>
        <w:rPr>
          <w:bCs/>
          <w:sz w:val="24"/>
        </w:rPr>
        <w:t xml:space="preserve">  </w:t>
      </w:r>
      <w:r>
        <w:rPr>
          <w:rFonts w:hint="eastAsia"/>
          <w:bCs/>
          <w:sz w:val="24"/>
        </w:rPr>
        <w:t>周围血管和淋巴管疾病</w:t>
      </w:r>
    </w:p>
    <w:p w:rsidR="003717A0" w:rsidRDefault="003717A0">
      <w:pPr>
        <w:spacing w:line="360" w:lineRule="exact"/>
        <w:rPr>
          <w:szCs w:val="21"/>
        </w:rPr>
      </w:pPr>
      <w:r>
        <w:rPr>
          <w:rFonts w:hint="eastAsia"/>
          <w:szCs w:val="21"/>
        </w:rPr>
        <w:lastRenderedPageBreak/>
        <w:t>【目的与要求】</w:t>
      </w:r>
    </w:p>
    <w:p w:rsidR="003717A0" w:rsidRDefault="003717A0">
      <w:pPr>
        <w:spacing w:line="360" w:lineRule="exact"/>
        <w:ind w:firstLine="435"/>
        <w:rPr>
          <w:szCs w:val="21"/>
        </w:rPr>
      </w:pPr>
      <w:r>
        <w:rPr>
          <w:szCs w:val="21"/>
        </w:rPr>
        <w:t>1.</w:t>
      </w:r>
      <w:r>
        <w:rPr>
          <w:rFonts w:hint="eastAsia"/>
          <w:szCs w:val="21"/>
        </w:rPr>
        <w:t>了解下肢缺血性郁血性疾病的病因、诊断和鉴别诊断。</w:t>
      </w:r>
    </w:p>
    <w:p w:rsidR="003717A0" w:rsidRDefault="003717A0">
      <w:pPr>
        <w:spacing w:line="360" w:lineRule="exact"/>
        <w:ind w:firstLine="435"/>
        <w:rPr>
          <w:szCs w:val="21"/>
        </w:rPr>
      </w:pPr>
      <w:r>
        <w:rPr>
          <w:szCs w:val="21"/>
        </w:rPr>
        <w:t>2.</w:t>
      </w:r>
      <w:r>
        <w:rPr>
          <w:rFonts w:hint="eastAsia"/>
          <w:szCs w:val="21"/>
        </w:rPr>
        <w:t>掌握下肢静脉曲张的临床表现、诊断和治疗。</w:t>
      </w:r>
    </w:p>
    <w:p w:rsidR="003717A0" w:rsidRDefault="003717A0">
      <w:pPr>
        <w:spacing w:line="360" w:lineRule="exact"/>
        <w:ind w:firstLine="435"/>
        <w:rPr>
          <w:szCs w:val="21"/>
        </w:rPr>
      </w:pPr>
      <w:r>
        <w:rPr>
          <w:szCs w:val="21"/>
        </w:rPr>
        <w:t>3.</w:t>
      </w:r>
      <w:r>
        <w:rPr>
          <w:rFonts w:hint="eastAsia"/>
          <w:szCs w:val="21"/>
        </w:rPr>
        <w:t>学会诊断下肢静脉曲张的各种方法。</w:t>
      </w:r>
    </w:p>
    <w:p w:rsidR="003717A0" w:rsidRDefault="003717A0">
      <w:pPr>
        <w:spacing w:line="360" w:lineRule="exact"/>
        <w:ind w:firstLine="435"/>
        <w:rPr>
          <w:szCs w:val="21"/>
        </w:rPr>
      </w:pPr>
      <w:r>
        <w:rPr>
          <w:szCs w:val="21"/>
        </w:rPr>
        <w:t>4.</w:t>
      </w:r>
      <w:r>
        <w:rPr>
          <w:rFonts w:hint="eastAsia"/>
          <w:szCs w:val="21"/>
        </w:rPr>
        <w:t>熟悉血栓闭塞性脉管炎的临床表现、诊断和治疗。</w:t>
      </w:r>
    </w:p>
    <w:p w:rsidR="003717A0" w:rsidRDefault="003717A0">
      <w:pPr>
        <w:spacing w:line="360" w:lineRule="exact"/>
        <w:ind w:firstLine="435"/>
        <w:rPr>
          <w:szCs w:val="21"/>
        </w:rPr>
      </w:pPr>
      <w:r>
        <w:rPr>
          <w:szCs w:val="21"/>
        </w:rPr>
        <w:t>5.</w:t>
      </w:r>
      <w:r>
        <w:rPr>
          <w:rFonts w:hint="eastAsia"/>
          <w:szCs w:val="21"/>
        </w:rPr>
        <w:t>了解急性动脉栓塞的诊断的治疗原则。</w:t>
      </w:r>
    </w:p>
    <w:p w:rsidR="003717A0" w:rsidRDefault="003717A0">
      <w:pPr>
        <w:spacing w:line="360" w:lineRule="exact"/>
        <w:ind w:firstLine="435"/>
        <w:rPr>
          <w:szCs w:val="21"/>
        </w:rPr>
      </w:pPr>
      <w:r>
        <w:rPr>
          <w:szCs w:val="21"/>
        </w:rPr>
        <w:t>6.</w:t>
      </w:r>
      <w:r>
        <w:rPr>
          <w:rFonts w:hint="eastAsia"/>
          <w:szCs w:val="21"/>
        </w:rPr>
        <w:t>了解动脉深静脉血栓形成的诊断和治疗原则。</w:t>
      </w:r>
    </w:p>
    <w:p w:rsidR="003717A0" w:rsidRDefault="003717A0">
      <w:pPr>
        <w:spacing w:line="360" w:lineRule="exact"/>
        <w:ind w:firstLine="435"/>
        <w:rPr>
          <w:szCs w:val="21"/>
        </w:rPr>
      </w:pPr>
      <w:r>
        <w:rPr>
          <w:szCs w:val="21"/>
        </w:rPr>
        <w:t>7.</w:t>
      </w:r>
      <w:r>
        <w:rPr>
          <w:rFonts w:hint="eastAsia"/>
          <w:szCs w:val="21"/>
        </w:rPr>
        <w:t>了解动脉瘤的损伤性动静脉瘘的临床表现和治疗原则。</w:t>
      </w:r>
    </w:p>
    <w:p w:rsidR="003717A0" w:rsidRDefault="003717A0">
      <w:pPr>
        <w:spacing w:line="360" w:lineRule="exact"/>
        <w:ind w:firstLine="435"/>
        <w:rPr>
          <w:szCs w:val="21"/>
        </w:rPr>
      </w:pPr>
      <w:r>
        <w:rPr>
          <w:szCs w:val="21"/>
        </w:rPr>
        <w:t>8.</w:t>
      </w:r>
      <w:r>
        <w:rPr>
          <w:rFonts w:hint="eastAsia"/>
          <w:szCs w:val="21"/>
        </w:rPr>
        <w:t>了解大腿象皮肿的诊断要点和治疗原则。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下肢静脉系统的解剖。下肢静脉曲张的病因、临床表现、检查和诊断，并发症的防治，非手术和手术疗法的适应症，以及物术的基本要求。</w:t>
      </w:r>
    </w:p>
    <w:p w:rsidR="003717A0" w:rsidRDefault="003717A0">
      <w:pPr>
        <w:spacing w:line="360" w:lineRule="exact"/>
        <w:ind w:firstLine="435"/>
        <w:rPr>
          <w:szCs w:val="21"/>
        </w:rPr>
      </w:pPr>
      <w:r>
        <w:rPr>
          <w:rFonts w:hint="eastAsia"/>
          <w:szCs w:val="21"/>
        </w:rPr>
        <w:t>血检闭塞性脉管炎的病因、病理，不同时期的临床表现，中西医结合的治疗的原则。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周围血管病的分类、病理基础、诊断和鉴别诊断要点。</w:t>
      </w:r>
    </w:p>
    <w:p w:rsidR="003717A0" w:rsidRDefault="003717A0">
      <w:pPr>
        <w:spacing w:line="360" w:lineRule="exact"/>
        <w:ind w:firstLine="435"/>
        <w:rPr>
          <w:szCs w:val="21"/>
        </w:rPr>
      </w:pPr>
      <w:r>
        <w:rPr>
          <w:rFonts w:hint="eastAsia"/>
          <w:szCs w:val="21"/>
        </w:rPr>
        <w:t>急性动脉栓塞的临床表现、诊断和治疗原则。</w:t>
      </w:r>
    </w:p>
    <w:p w:rsidR="003717A0" w:rsidRDefault="003717A0">
      <w:pPr>
        <w:spacing w:line="360" w:lineRule="exact"/>
        <w:ind w:firstLine="435"/>
        <w:rPr>
          <w:szCs w:val="21"/>
        </w:rPr>
      </w:pPr>
      <w:r>
        <w:rPr>
          <w:rFonts w:hint="eastAsia"/>
          <w:szCs w:val="21"/>
        </w:rPr>
        <w:t>急性深静脉血栓形成的临床表现、诊断和治疗原则。</w:t>
      </w:r>
    </w:p>
    <w:p w:rsidR="003717A0" w:rsidRDefault="003717A0">
      <w:pPr>
        <w:spacing w:line="360" w:lineRule="exact"/>
        <w:ind w:firstLine="435"/>
        <w:rPr>
          <w:szCs w:val="21"/>
        </w:rPr>
      </w:pPr>
      <w:r>
        <w:rPr>
          <w:rFonts w:hint="eastAsia"/>
          <w:szCs w:val="21"/>
        </w:rPr>
        <w:t>动脉瘤和损伤性动静脉瘘的临床表现、诊断和治疗原则。</w:t>
      </w:r>
    </w:p>
    <w:p w:rsidR="003717A0" w:rsidRDefault="003717A0">
      <w:pPr>
        <w:spacing w:line="360" w:lineRule="exact"/>
        <w:ind w:firstLine="435"/>
        <w:rPr>
          <w:szCs w:val="21"/>
        </w:rPr>
      </w:pPr>
      <w:r>
        <w:rPr>
          <w:rFonts w:hint="eastAsia"/>
          <w:szCs w:val="21"/>
        </w:rPr>
        <w:t>下肢象皮肿的病因、诊断和治疗原则。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病例示范：下肢静脉曲张、血栓闭塞性脉管炎的临床表现，探讨其治疗原则。</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第四十六章</w:t>
      </w:r>
      <w:r>
        <w:rPr>
          <w:bCs/>
          <w:sz w:val="24"/>
        </w:rPr>
        <w:t xml:space="preserve">  </w:t>
      </w:r>
      <w:r>
        <w:rPr>
          <w:rFonts w:hint="eastAsia"/>
          <w:bCs/>
          <w:sz w:val="24"/>
        </w:rPr>
        <w:t>泌尿、男性生殖系统外科检查和诊断</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了解泌尿、男生殖系统外科疾病的各项症状和特点。</w:t>
      </w:r>
    </w:p>
    <w:p w:rsidR="003717A0" w:rsidRDefault="003717A0">
      <w:pPr>
        <w:spacing w:line="360" w:lineRule="exact"/>
        <w:ind w:firstLine="435"/>
        <w:rPr>
          <w:szCs w:val="21"/>
        </w:rPr>
      </w:pPr>
      <w:r>
        <w:rPr>
          <w:szCs w:val="21"/>
        </w:rPr>
        <w:t>2.</w:t>
      </w:r>
      <w:r>
        <w:rPr>
          <w:rFonts w:hint="eastAsia"/>
          <w:szCs w:val="21"/>
        </w:rPr>
        <w:t>了解尿频、血尿的原因和血尿的定位。</w:t>
      </w:r>
    </w:p>
    <w:p w:rsidR="003717A0" w:rsidRDefault="003717A0">
      <w:pPr>
        <w:spacing w:line="360" w:lineRule="exact"/>
        <w:ind w:firstLine="435"/>
        <w:rPr>
          <w:szCs w:val="21"/>
        </w:rPr>
      </w:pPr>
      <w:r>
        <w:rPr>
          <w:szCs w:val="21"/>
        </w:rPr>
        <w:t>3.</w:t>
      </w:r>
      <w:r>
        <w:rPr>
          <w:rFonts w:hint="eastAsia"/>
          <w:szCs w:val="21"/>
        </w:rPr>
        <w:t>熟悉各种不同症状与泌尿、男生殖系各种疾病的关系。</w:t>
      </w:r>
    </w:p>
    <w:p w:rsidR="003717A0" w:rsidRDefault="003717A0">
      <w:pPr>
        <w:spacing w:line="360" w:lineRule="exact"/>
        <w:ind w:firstLine="435"/>
        <w:rPr>
          <w:szCs w:val="21"/>
        </w:rPr>
      </w:pPr>
      <w:r>
        <w:rPr>
          <w:szCs w:val="21"/>
        </w:rPr>
        <w:t>4.</w:t>
      </w:r>
      <w:r>
        <w:rPr>
          <w:rFonts w:hint="eastAsia"/>
          <w:szCs w:val="21"/>
        </w:rPr>
        <w:t>熟悉泌尿外科器械检查和造影检查的适应症以及注意事项。</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病例示范：询问病史，进行泌尿、男生殖系检查。介绍沁尿外科常用器械、读片方法。</w:t>
      </w:r>
    </w:p>
    <w:p w:rsidR="003717A0" w:rsidRDefault="003717A0">
      <w:pPr>
        <w:spacing w:line="360" w:lineRule="exact"/>
        <w:ind w:firstLine="435"/>
        <w:rPr>
          <w:szCs w:val="21"/>
        </w:rPr>
      </w:pPr>
    </w:p>
    <w:p w:rsidR="003717A0" w:rsidRDefault="003717A0">
      <w:pPr>
        <w:spacing w:line="360" w:lineRule="exact"/>
        <w:jc w:val="center"/>
        <w:rPr>
          <w:bCs/>
          <w:sz w:val="24"/>
        </w:rPr>
      </w:pPr>
      <w:r>
        <w:rPr>
          <w:rFonts w:hint="eastAsia"/>
          <w:bCs/>
          <w:sz w:val="24"/>
        </w:rPr>
        <w:t>第四十七章</w:t>
      </w:r>
      <w:r>
        <w:rPr>
          <w:bCs/>
          <w:sz w:val="24"/>
        </w:rPr>
        <w:t xml:space="preserve">  </w:t>
      </w:r>
      <w:r>
        <w:rPr>
          <w:rFonts w:hint="eastAsia"/>
          <w:bCs/>
          <w:sz w:val="24"/>
        </w:rPr>
        <w:t>泌尿、男性生殖系统先天畸形</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了解各种先天性畸形的成因。</w:t>
      </w:r>
    </w:p>
    <w:p w:rsidR="003717A0" w:rsidRDefault="003717A0">
      <w:pPr>
        <w:spacing w:line="360" w:lineRule="exact"/>
        <w:ind w:firstLine="435"/>
        <w:rPr>
          <w:szCs w:val="21"/>
        </w:rPr>
      </w:pPr>
      <w:r>
        <w:rPr>
          <w:szCs w:val="21"/>
        </w:rPr>
        <w:t>2.</w:t>
      </w:r>
      <w:r>
        <w:rPr>
          <w:rFonts w:hint="eastAsia"/>
          <w:szCs w:val="21"/>
        </w:rPr>
        <w:t>了解多囊肾、异位肾、尿道下裂、输尿管异位开口等疾病的症状，诊断和处理原则。</w:t>
      </w:r>
    </w:p>
    <w:p w:rsidR="003717A0" w:rsidRDefault="003717A0">
      <w:pPr>
        <w:spacing w:line="360" w:lineRule="exact"/>
        <w:ind w:firstLine="435"/>
        <w:rPr>
          <w:szCs w:val="21"/>
        </w:rPr>
      </w:pPr>
      <w:r>
        <w:rPr>
          <w:szCs w:val="21"/>
        </w:rPr>
        <w:t>3.</w:t>
      </w:r>
      <w:r>
        <w:rPr>
          <w:rFonts w:hint="eastAsia"/>
          <w:szCs w:val="21"/>
        </w:rPr>
        <w:t>了解隐睾复位固定术的适应症，以及嵌顿包茎的包皮背侧切开术和手法复位技术。</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胚胎期泌尿男生殖系器官的正常发育。各种先天性畸形的发生过程、症状和治疗原则：孤立肾、</w:t>
      </w:r>
      <w:r>
        <w:rPr>
          <w:rFonts w:hint="eastAsia"/>
          <w:szCs w:val="21"/>
        </w:rPr>
        <w:lastRenderedPageBreak/>
        <w:t>蹄铁形肾、肾发育不全、重复肾盂或输血管、输血管囊肿、膀胱外翻、尿道上裂、尿道下裂、隐睾、包茎和包皮过长。</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第四十八章</w:t>
      </w:r>
      <w:r>
        <w:rPr>
          <w:bCs/>
          <w:sz w:val="24"/>
        </w:rPr>
        <w:t xml:space="preserve">  </w:t>
      </w:r>
      <w:r>
        <w:rPr>
          <w:rFonts w:hint="eastAsia"/>
          <w:bCs/>
          <w:sz w:val="24"/>
        </w:rPr>
        <w:t>泌尿系损伤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了解泌尿系各部位损伤的病因。</w:t>
      </w:r>
    </w:p>
    <w:p w:rsidR="003717A0" w:rsidRDefault="003717A0">
      <w:pPr>
        <w:spacing w:line="360" w:lineRule="exact"/>
        <w:ind w:firstLine="435"/>
        <w:rPr>
          <w:szCs w:val="21"/>
        </w:rPr>
      </w:pPr>
      <w:r>
        <w:rPr>
          <w:szCs w:val="21"/>
        </w:rPr>
        <w:t>2.</w:t>
      </w:r>
      <w:r>
        <w:rPr>
          <w:rFonts w:hint="eastAsia"/>
          <w:szCs w:val="21"/>
        </w:rPr>
        <w:t>熟悉肾、膀胱损伤的症状、诊断、鉴别诊断及治疗原则。</w:t>
      </w:r>
    </w:p>
    <w:p w:rsidR="003717A0" w:rsidRDefault="003717A0">
      <w:pPr>
        <w:spacing w:line="360" w:lineRule="exact"/>
        <w:ind w:firstLine="435"/>
        <w:rPr>
          <w:szCs w:val="21"/>
        </w:rPr>
      </w:pPr>
      <w:r>
        <w:rPr>
          <w:szCs w:val="21"/>
        </w:rPr>
        <w:t>3.</w:t>
      </w:r>
      <w:r>
        <w:rPr>
          <w:rFonts w:hint="eastAsia"/>
          <w:szCs w:val="21"/>
        </w:rPr>
        <w:t>掌握肾损伤的病理、诊断及急诊处理原则。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泌尿系损伤的概况和类型。肾、膀胱损伤的病理、症状、诊断、非手术疗法与手术适应症。从局部解剖说明尿道损伤与尿外渗出的关系。尿道损伤的诊断及治疗原则；尿道狭窄的预防。</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病例示范：介绍病史、体征、</w:t>
      </w:r>
      <w:r>
        <w:rPr>
          <w:szCs w:val="21"/>
        </w:rPr>
        <w:t>X</w:t>
      </w:r>
      <w:r>
        <w:rPr>
          <w:rFonts w:hint="eastAsia"/>
          <w:szCs w:val="21"/>
        </w:rPr>
        <w:t>线片讨论治疗经过。</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第四十九章</w:t>
      </w:r>
      <w:r>
        <w:rPr>
          <w:bCs/>
          <w:sz w:val="24"/>
        </w:rPr>
        <w:t xml:space="preserve">  </w:t>
      </w:r>
      <w:r>
        <w:rPr>
          <w:rFonts w:hint="eastAsia"/>
          <w:bCs/>
          <w:sz w:val="24"/>
        </w:rPr>
        <w:t>泌尿、男生殖系感染</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了解泌尿、男生殖系感染的发病概况。</w:t>
      </w:r>
    </w:p>
    <w:p w:rsidR="003717A0" w:rsidRDefault="003717A0">
      <w:pPr>
        <w:spacing w:line="360" w:lineRule="exact"/>
        <w:ind w:firstLine="435"/>
        <w:rPr>
          <w:szCs w:val="21"/>
        </w:rPr>
      </w:pPr>
      <w:r>
        <w:rPr>
          <w:szCs w:val="21"/>
        </w:rPr>
        <w:t>2.</w:t>
      </w:r>
      <w:r>
        <w:rPr>
          <w:rFonts w:hint="eastAsia"/>
          <w:szCs w:val="21"/>
        </w:rPr>
        <w:t>了解肾、前列腺、附睾感染的类型、症状、诊断与治疗原则。</w:t>
      </w:r>
    </w:p>
    <w:p w:rsidR="003717A0" w:rsidRDefault="003717A0">
      <w:pPr>
        <w:spacing w:line="360" w:lineRule="exact"/>
        <w:ind w:firstLine="435"/>
        <w:rPr>
          <w:szCs w:val="21"/>
        </w:rPr>
      </w:pPr>
      <w:r>
        <w:rPr>
          <w:szCs w:val="21"/>
        </w:rPr>
        <w:t>3.</w:t>
      </w:r>
      <w:r>
        <w:rPr>
          <w:rFonts w:hint="eastAsia"/>
          <w:szCs w:val="21"/>
        </w:rPr>
        <w:t>了解慢性前列腺炎的综合治疗方法。</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肾感染的病因、途径、症状、诊断、慢性前列腺炎的症状、诊断及综合治疗方法。急、慢性附睾炎的诊断与治疗。</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第五十章</w:t>
      </w:r>
      <w:r>
        <w:rPr>
          <w:bCs/>
          <w:sz w:val="24"/>
        </w:rPr>
        <w:t xml:space="preserve">  </w:t>
      </w:r>
      <w:r>
        <w:rPr>
          <w:rFonts w:hint="eastAsia"/>
          <w:bCs/>
          <w:sz w:val="24"/>
        </w:rPr>
        <w:t>泌尿、男生殖系结核</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熟悉肾结核在泌尿、男生殖系结核中的重要性。</w:t>
      </w:r>
    </w:p>
    <w:p w:rsidR="003717A0" w:rsidRDefault="003717A0">
      <w:pPr>
        <w:spacing w:line="360" w:lineRule="exact"/>
        <w:ind w:firstLine="435"/>
        <w:rPr>
          <w:szCs w:val="21"/>
        </w:rPr>
      </w:pPr>
      <w:r>
        <w:rPr>
          <w:szCs w:val="21"/>
        </w:rPr>
        <w:t>2.</w:t>
      </w:r>
      <w:r>
        <w:rPr>
          <w:rFonts w:hint="eastAsia"/>
          <w:szCs w:val="21"/>
        </w:rPr>
        <w:t>掌握肾结核的临床表现、诊断方法、全身和局部治疗。熟悉泌尿结核与感染鉴别诊断。</w:t>
      </w:r>
    </w:p>
    <w:p w:rsidR="003717A0" w:rsidRDefault="003717A0">
      <w:pPr>
        <w:spacing w:line="360" w:lineRule="exact"/>
        <w:ind w:firstLine="435"/>
        <w:rPr>
          <w:szCs w:val="21"/>
        </w:rPr>
      </w:pPr>
      <w:r>
        <w:rPr>
          <w:szCs w:val="21"/>
        </w:rPr>
        <w:t>3.</w:t>
      </w:r>
      <w:r>
        <w:rPr>
          <w:rFonts w:hint="eastAsia"/>
          <w:szCs w:val="21"/>
        </w:rPr>
        <w:t>熟悉泌尿系结核开发症的处理原则。</w:t>
      </w:r>
    </w:p>
    <w:p w:rsidR="003717A0" w:rsidRDefault="003717A0">
      <w:pPr>
        <w:spacing w:line="360" w:lineRule="exact"/>
        <w:ind w:firstLine="435"/>
        <w:rPr>
          <w:szCs w:val="21"/>
        </w:rPr>
      </w:pPr>
      <w:r>
        <w:rPr>
          <w:szCs w:val="21"/>
        </w:rPr>
        <w:t>4.</w:t>
      </w:r>
      <w:r>
        <w:rPr>
          <w:rFonts w:hint="eastAsia"/>
          <w:szCs w:val="21"/>
        </w:rPr>
        <w:t>了解前列腺及附睾硬结的鉴别诊断。</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泌尿系结核的原发灶，感染途径、病理、临床表现、诊断、鉴别诊断和治疗。</w:t>
      </w:r>
    </w:p>
    <w:p w:rsidR="003717A0" w:rsidRDefault="003717A0">
      <w:pPr>
        <w:spacing w:line="360" w:lineRule="exact"/>
        <w:ind w:firstLine="435"/>
        <w:rPr>
          <w:szCs w:val="21"/>
        </w:rPr>
      </w:pPr>
      <w:r>
        <w:rPr>
          <w:rFonts w:hint="eastAsia"/>
          <w:szCs w:val="21"/>
        </w:rPr>
        <w:t>肾结核并发症的手术治疗。男性生殖系结核的病理、临床表现、诊断和治疗。</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病例示范：介绍病史、检难，包括</w:t>
      </w:r>
      <w:r>
        <w:rPr>
          <w:szCs w:val="21"/>
        </w:rPr>
        <w:t>X</w:t>
      </w:r>
      <w:r>
        <w:rPr>
          <w:rFonts w:hint="eastAsia"/>
          <w:szCs w:val="21"/>
        </w:rPr>
        <w:t>线检查和治疗情况。</w:t>
      </w:r>
    </w:p>
    <w:p w:rsidR="003717A0" w:rsidRDefault="003717A0">
      <w:pPr>
        <w:spacing w:line="360" w:lineRule="exact"/>
        <w:rPr>
          <w:bCs/>
          <w:sz w:val="24"/>
        </w:rPr>
      </w:pPr>
    </w:p>
    <w:p w:rsidR="003717A0" w:rsidRDefault="003717A0">
      <w:pPr>
        <w:spacing w:line="360" w:lineRule="exact"/>
        <w:jc w:val="center"/>
        <w:rPr>
          <w:bCs/>
          <w:sz w:val="24"/>
        </w:rPr>
      </w:pPr>
      <w:r>
        <w:rPr>
          <w:rFonts w:hint="eastAsia"/>
          <w:bCs/>
          <w:sz w:val="24"/>
        </w:rPr>
        <w:t>第五十一章</w:t>
      </w:r>
      <w:r>
        <w:rPr>
          <w:bCs/>
          <w:sz w:val="24"/>
        </w:rPr>
        <w:t xml:space="preserve">  </w:t>
      </w:r>
      <w:r>
        <w:rPr>
          <w:rFonts w:hint="eastAsia"/>
          <w:bCs/>
          <w:sz w:val="24"/>
        </w:rPr>
        <w:t>泌尿系梗阻</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了解梗阻引起的泌尿系的病理生理改变。</w:t>
      </w:r>
    </w:p>
    <w:p w:rsidR="003717A0" w:rsidRDefault="003717A0">
      <w:pPr>
        <w:spacing w:line="360" w:lineRule="exact"/>
        <w:ind w:firstLine="435"/>
        <w:rPr>
          <w:szCs w:val="21"/>
        </w:rPr>
      </w:pPr>
      <w:r>
        <w:rPr>
          <w:szCs w:val="21"/>
        </w:rPr>
        <w:lastRenderedPageBreak/>
        <w:t>2.</w:t>
      </w:r>
      <w:r>
        <w:rPr>
          <w:rFonts w:hint="eastAsia"/>
          <w:szCs w:val="21"/>
        </w:rPr>
        <w:t>了解常见梗阻原因和处理原则。</w:t>
      </w:r>
    </w:p>
    <w:p w:rsidR="003717A0" w:rsidRDefault="003717A0">
      <w:pPr>
        <w:spacing w:line="360" w:lineRule="exact"/>
        <w:ind w:firstLine="435"/>
        <w:rPr>
          <w:szCs w:val="21"/>
        </w:rPr>
      </w:pPr>
      <w:r>
        <w:rPr>
          <w:szCs w:val="21"/>
        </w:rPr>
        <w:t>3.</w:t>
      </w:r>
      <w:r>
        <w:rPr>
          <w:rFonts w:hint="eastAsia"/>
          <w:szCs w:val="21"/>
        </w:rPr>
        <w:t>熟悉感染、结石等与梗阻的相互关系。</w:t>
      </w:r>
    </w:p>
    <w:p w:rsidR="003717A0" w:rsidRDefault="003717A0">
      <w:pPr>
        <w:spacing w:line="360" w:lineRule="exact"/>
        <w:ind w:firstLine="435"/>
        <w:rPr>
          <w:szCs w:val="21"/>
        </w:rPr>
      </w:pPr>
      <w:r>
        <w:rPr>
          <w:szCs w:val="21"/>
        </w:rPr>
        <w:t>4.</w:t>
      </w:r>
      <w:r>
        <w:rPr>
          <w:rFonts w:hint="eastAsia"/>
          <w:szCs w:val="21"/>
        </w:rPr>
        <w:t>熟悉肾积水的概念常见原因。</w:t>
      </w:r>
    </w:p>
    <w:p w:rsidR="003717A0" w:rsidRDefault="003717A0">
      <w:pPr>
        <w:spacing w:line="360" w:lineRule="exact"/>
        <w:ind w:firstLine="435"/>
        <w:rPr>
          <w:szCs w:val="21"/>
        </w:rPr>
      </w:pPr>
      <w:r>
        <w:rPr>
          <w:szCs w:val="21"/>
        </w:rPr>
        <w:t>5.</w:t>
      </w:r>
      <w:r>
        <w:rPr>
          <w:rFonts w:hint="eastAsia"/>
          <w:szCs w:val="21"/>
        </w:rPr>
        <w:t>掌握前列腺增生症的诊断和处理原则。</w:t>
      </w:r>
    </w:p>
    <w:p w:rsidR="003717A0" w:rsidRDefault="003717A0">
      <w:pPr>
        <w:spacing w:line="360" w:lineRule="exact"/>
        <w:ind w:firstLine="435"/>
        <w:rPr>
          <w:szCs w:val="21"/>
        </w:rPr>
      </w:pPr>
      <w:r>
        <w:rPr>
          <w:szCs w:val="21"/>
        </w:rPr>
        <w:t>6.</w:t>
      </w:r>
      <w:r>
        <w:rPr>
          <w:rFonts w:hint="eastAsia"/>
          <w:szCs w:val="21"/>
        </w:rPr>
        <w:t>了解急性尿潴留的病因鉴别。</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肾、输尿管和膀胱、尿道梗阻的病因、病例生理、临床表现、诊断方法和治疗原则。肾积水概念、临床表现、处理原则。</w:t>
      </w:r>
    </w:p>
    <w:p w:rsidR="003717A0" w:rsidRDefault="003717A0">
      <w:pPr>
        <w:spacing w:line="360" w:lineRule="exact"/>
        <w:ind w:firstLine="435"/>
        <w:rPr>
          <w:szCs w:val="21"/>
        </w:rPr>
      </w:pPr>
      <w:r>
        <w:rPr>
          <w:rFonts w:hint="eastAsia"/>
          <w:szCs w:val="21"/>
        </w:rPr>
        <w:t>前列腺增生症的病因、病理、临床表现、鉴别诊断和手术适应症。急性尿潴留的病因和治疗。</w:t>
      </w:r>
    </w:p>
    <w:p w:rsidR="003717A0" w:rsidRDefault="003717A0">
      <w:pPr>
        <w:spacing w:line="360" w:lineRule="exact"/>
        <w:rPr>
          <w:szCs w:val="21"/>
        </w:rPr>
      </w:pPr>
      <w:r>
        <w:rPr>
          <w:rFonts w:hint="eastAsia"/>
          <w:szCs w:val="21"/>
        </w:rPr>
        <w:t>【见习】</w:t>
      </w:r>
    </w:p>
    <w:p w:rsidR="003717A0" w:rsidRDefault="003717A0">
      <w:pPr>
        <w:spacing w:line="360" w:lineRule="exact"/>
        <w:ind w:firstLineChars="200" w:firstLine="420"/>
        <w:rPr>
          <w:szCs w:val="21"/>
        </w:rPr>
      </w:pPr>
      <w:r>
        <w:rPr>
          <w:rFonts w:hint="eastAsia"/>
          <w:szCs w:val="21"/>
        </w:rPr>
        <w:t>前列腺增生症病例示范，讨论其临床表现与治疗原则。</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第五十二章</w:t>
      </w:r>
      <w:r>
        <w:rPr>
          <w:bCs/>
          <w:sz w:val="24"/>
        </w:rPr>
        <w:t xml:space="preserve">  </w:t>
      </w:r>
      <w:r>
        <w:rPr>
          <w:rFonts w:hint="eastAsia"/>
          <w:bCs/>
          <w:sz w:val="24"/>
        </w:rPr>
        <w:t>尿石症</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了解泌尿系结石形成的原因、病因及常见结石的成分。</w:t>
      </w:r>
    </w:p>
    <w:p w:rsidR="003717A0" w:rsidRDefault="003717A0">
      <w:pPr>
        <w:spacing w:line="360" w:lineRule="exact"/>
        <w:ind w:firstLine="435"/>
        <w:rPr>
          <w:szCs w:val="21"/>
        </w:rPr>
      </w:pPr>
      <w:r>
        <w:rPr>
          <w:szCs w:val="21"/>
        </w:rPr>
        <w:t>2.</w:t>
      </w:r>
      <w:r>
        <w:rPr>
          <w:rFonts w:hint="eastAsia"/>
          <w:szCs w:val="21"/>
        </w:rPr>
        <w:t>了解尿结石症所引起的病理变化。</w:t>
      </w:r>
    </w:p>
    <w:p w:rsidR="003717A0" w:rsidRDefault="003717A0">
      <w:pPr>
        <w:spacing w:line="360" w:lineRule="exact"/>
        <w:ind w:firstLine="435"/>
        <w:rPr>
          <w:szCs w:val="21"/>
        </w:rPr>
      </w:pPr>
      <w:r>
        <w:rPr>
          <w:szCs w:val="21"/>
        </w:rPr>
        <w:t>3.</w:t>
      </w:r>
      <w:r>
        <w:rPr>
          <w:rFonts w:hint="eastAsia"/>
          <w:szCs w:val="21"/>
        </w:rPr>
        <w:t>掌握泌尿系统各器官结石的主要症状、诊断、治疗原则和预防。</w:t>
      </w:r>
    </w:p>
    <w:p w:rsidR="003717A0" w:rsidRDefault="003717A0">
      <w:pPr>
        <w:spacing w:line="360" w:lineRule="exact"/>
        <w:ind w:firstLine="435"/>
        <w:rPr>
          <w:szCs w:val="21"/>
        </w:rPr>
      </w:pPr>
      <w:r>
        <w:rPr>
          <w:szCs w:val="21"/>
        </w:rPr>
        <w:t>4.</w:t>
      </w:r>
      <w:r>
        <w:rPr>
          <w:rFonts w:hint="eastAsia"/>
          <w:szCs w:val="21"/>
        </w:rPr>
        <w:t>了解结石微创治疗的方法。</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尿石症的病因（成年人和小儿结石成因的特点），尿石的成分和性质，尿石引起的病理变化，尿石症的预防。</w:t>
      </w:r>
    </w:p>
    <w:p w:rsidR="003717A0" w:rsidRDefault="003717A0">
      <w:pPr>
        <w:spacing w:line="360" w:lineRule="exact"/>
        <w:ind w:firstLine="435"/>
        <w:rPr>
          <w:szCs w:val="21"/>
        </w:rPr>
      </w:pPr>
      <w:r>
        <w:rPr>
          <w:rFonts w:hint="eastAsia"/>
          <w:szCs w:val="21"/>
        </w:rPr>
        <w:t>肾、输血管结石的临床表现、诊断、鉴别诊断、治疗、手术适应症及手术方式、膀胱、尿道结石的临床表现、诊断和手术方式。</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病例示范：阅读各部位尿路结石的</w:t>
      </w:r>
      <w:r>
        <w:rPr>
          <w:szCs w:val="21"/>
        </w:rPr>
        <w:t>X</w:t>
      </w:r>
      <w:r>
        <w:rPr>
          <w:rFonts w:hint="eastAsia"/>
          <w:szCs w:val="21"/>
        </w:rPr>
        <w:t>线片。</w:t>
      </w:r>
    </w:p>
    <w:p w:rsidR="003717A0" w:rsidRDefault="003717A0">
      <w:pPr>
        <w:spacing w:line="360" w:lineRule="exact"/>
        <w:rPr>
          <w:bCs/>
          <w:sz w:val="24"/>
        </w:rPr>
      </w:pPr>
    </w:p>
    <w:p w:rsidR="003717A0" w:rsidRDefault="003717A0">
      <w:pPr>
        <w:spacing w:line="360" w:lineRule="exact"/>
        <w:jc w:val="center"/>
        <w:rPr>
          <w:bCs/>
          <w:sz w:val="24"/>
        </w:rPr>
      </w:pPr>
      <w:r>
        <w:rPr>
          <w:rFonts w:hint="eastAsia"/>
          <w:bCs/>
          <w:sz w:val="24"/>
        </w:rPr>
        <w:t>第五十三章</w:t>
      </w:r>
      <w:r>
        <w:rPr>
          <w:bCs/>
          <w:sz w:val="24"/>
        </w:rPr>
        <w:t xml:space="preserve">  </w:t>
      </w:r>
      <w:r>
        <w:rPr>
          <w:rFonts w:hint="eastAsia"/>
          <w:bCs/>
          <w:sz w:val="24"/>
        </w:rPr>
        <w:t>泌尿、男生殖系统肿瘤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了解泌尿、男生殖系肿瘤的概况。</w:t>
      </w:r>
    </w:p>
    <w:p w:rsidR="003717A0" w:rsidRDefault="003717A0">
      <w:pPr>
        <w:spacing w:line="360" w:lineRule="exact"/>
        <w:ind w:firstLine="435"/>
        <w:rPr>
          <w:szCs w:val="21"/>
        </w:rPr>
      </w:pPr>
      <w:r>
        <w:rPr>
          <w:szCs w:val="21"/>
        </w:rPr>
        <w:t>2.</w:t>
      </w:r>
      <w:r>
        <w:rPr>
          <w:rFonts w:hint="eastAsia"/>
          <w:szCs w:val="21"/>
        </w:rPr>
        <w:t>掌握膀胱瘤的临床表现、诊断和治疗原则。</w:t>
      </w:r>
    </w:p>
    <w:p w:rsidR="003717A0" w:rsidRDefault="003717A0">
      <w:pPr>
        <w:spacing w:line="360" w:lineRule="exact"/>
        <w:ind w:firstLine="435"/>
        <w:rPr>
          <w:szCs w:val="21"/>
        </w:rPr>
      </w:pPr>
      <w:r>
        <w:rPr>
          <w:szCs w:val="21"/>
        </w:rPr>
        <w:t>3.</w:t>
      </w:r>
      <w:r>
        <w:rPr>
          <w:rFonts w:hint="eastAsia"/>
          <w:szCs w:val="21"/>
        </w:rPr>
        <w:t>掌握肾癌和前列腺癌的临床表现、诊断和治疗。</w:t>
      </w:r>
    </w:p>
    <w:p w:rsidR="003717A0" w:rsidRDefault="003717A0">
      <w:pPr>
        <w:spacing w:line="360" w:lineRule="exact"/>
        <w:ind w:firstLine="435"/>
        <w:rPr>
          <w:szCs w:val="21"/>
        </w:rPr>
      </w:pPr>
      <w:r>
        <w:rPr>
          <w:szCs w:val="21"/>
        </w:rPr>
        <w:t>4.</w:t>
      </w:r>
      <w:r>
        <w:rPr>
          <w:rFonts w:hint="eastAsia"/>
          <w:szCs w:val="21"/>
        </w:rPr>
        <w:t>了解睾丸、阴茎癌的诊断鉴别诊断原则。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szCs w:val="21"/>
        </w:rPr>
        <w:t>1.</w:t>
      </w:r>
      <w:r>
        <w:rPr>
          <w:rFonts w:hint="eastAsia"/>
          <w:szCs w:val="21"/>
        </w:rPr>
        <w:t>泌尿、男生殖系肿瘤的概述。肾癌、肾母细胞瘤的盂肿瘤的病理特点、转移途径、临床表现、</w:t>
      </w:r>
      <w:r>
        <w:rPr>
          <w:szCs w:val="21"/>
        </w:rPr>
        <w:t>X</w:t>
      </w:r>
      <w:r>
        <w:rPr>
          <w:rFonts w:hint="eastAsia"/>
          <w:szCs w:val="21"/>
        </w:rPr>
        <w:t>线检查、鉴别诊断、手术治疗原则以及放射与化学治疗的评价。膀胱肿瘤的病因和病理，膀胱肿瘤的诊断</w:t>
      </w:r>
      <w:r>
        <w:rPr>
          <w:szCs w:val="21"/>
        </w:rPr>
        <w:t>——</w:t>
      </w:r>
      <w:r>
        <w:rPr>
          <w:rFonts w:hint="eastAsia"/>
          <w:szCs w:val="21"/>
        </w:rPr>
        <w:t>尿脱落细胞检查、膀胱镜检查、和组织检查、膀胱双合诊及泌尿系造影。各期膀胱肿瘤的治疗原则。</w:t>
      </w:r>
    </w:p>
    <w:p w:rsidR="003717A0" w:rsidRDefault="003717A0">
      <w:pPr>
        <w:spacing w:line="360" w:lineRule="exact"/>
        <w:ind w:firstLine="435"/>
        <w:rPr>
          <w:szCs w:val="21"/>
        </w:rPr>
      </w:pPr>
      <w:r>
        <w:rPr>
          <w:rFonts w:hint="eastAsia"/>
          <w:szCs w:val="21"/>
        </w:rPr>
        <w:t>睾丸肿瘤、阴茎癌、前列腺癌病因、病例、诊断及治疗。</w:t>
      </w:r>
    </w:p>
    <w:p w:rsidR="003717A0" w:rsidRDefault="003717A0">
      <w:pPr>
        <w:spacing w:line="360" w:lineRule="exact"/>
        <w:rPr>
          <w:szCs w:val="21"/>
        </w:rPr>
      </w:pPr>
      <w:r>
        <w:rPr>
          <w:rFonts w:hint="eastAsia"/>
          <w:szCs w:val="21"/>
        </w:rPr>
        <w:lastRenderedPageBreak/>
        <w:t>【见习】</w:t>
      </w:r>
    </w:p>
    <w:p w:rsidR="003717A0" w:rsidRDefault="003717A0">
      <w:pPr>
        <w:spacing w:line="360" w:lineRule="exact"/>
        <w:ind w:firstLine="435"/>
        <w:rPr>
          <w:szCs w:val="21"/>
        </w:rPr>
      </w:pPr>
      <w:r>
        <w:rPr>
          <w:rFonts w:hint="eastAsia"/>
          <w:szCs w:val="21"/>
        </w:rPr>
        <w:t>示范膀胱肿瘤病例。</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第五十四章</w:t>
      </w:r>
      <w:r>
        <w:rPr>
          <w:bCs/>
          <w:sz w:val="24"/>
        </w:rPr>
        <w:t xml:space="preserve">   </w:t>
      </w:r>
      <w:r>
        <w:rPr>
          <w:rFonts w:hint="eastAsia"/>
          <w:bCs/>
          <w:sz w:val="24"/>
        </w:rPr>
        <w:t>泌尿、男性生殖系统的其他疾病</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熟悉睾丸鞘膜积液和精索静脉曲张的病因、临床表现、诊断及治疗方法。</w:t>
      </w:r>
    </w:p>
    <w:p w:rsidR="003717A0" w:rsidRDefault="003717A0">
      <w:pPr>
        <w:spacing w:line="360" w:lineRule="exact"/>
        <w:ind w:firstLine="435"/>
        <w:rPr>
          <w:szCs w:val="21"/>
        </w:rPr>
      </w:pPr>
      <w:r>
        <w:rPr>
          <w:szCs w:val="21"/>
        </w:rPr>
        <w:t>2.</w:t>
      </w:r>
      <w:r>
        <w:rPr>
          <w:rFonts w:hint="eastAsia"/>
          <w:szCs w:val="21"/>
        </w:rPr>
        <w:t>了解肾下垂的病因、治疗方法。</w:t>
      </w:r>
    </w:p>
    <w:p w:rsidR="003717A0" w:rsidRDefault="003717A0">
      <w:pPr>
        <w:spacing w:line="360" w:lineRule="exact"/>
        <w:rPr>
          <w:szCs w:val="21"/>
        </w:rPr>
      </w:pPr>
      <w:r>
        <w:rPr>
          <w:rFonts w:hint="eastAsia"/>
          <w:szCs w:val="21"/>
        </w:rPr>
        <w:t>【自学内容】</w:t>
      </w:r>
    </w:p>
    <w:p w:rsidR="003717A0" w:rsidRDefault="003717A0">
      <w:pPr>
        <w:spacing w:line="360" w:lineRule="exact"/>
        <w:rPr>
          <w:szCs w:val="21"/>
        </w:rPr>
      </w:pPr>
      <w:r>
        <w:rPr>
          <w:szCs w:val="21"/>
        </w:rPr>
        <w:t xml:space="preserve">    </w:t>
      </w:r>
      <w:r>
        <w:rPr>
          <w:rFonts w:hint="eastAsia"/>
          <w:szCs w:val="21"/>
        </w:rPr>
        <w:t>肾下垂、鞘膜积液、精索静脉曲张的病因、临床表现、诊断和治疗。</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第五十五章</w:t>
      </w:r>
      <w:r>
        <w:rPr>
          <w:bCs/>
          <w:sz w:val="24"/>
        </w:rPr>
        <w:t xml:space="preserve">   </w:t>
      </w:r>
      <w:r>
        <w:rPr>
          <w:rFonts w:hint="eastAsia"/>
          <w:bCs/>
          <w:sz w:val="24"/>
        </w:rPr>
        <w:t>肾上腺疾病的外科治疗</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熟悉原发性醛固酮增多症的病因、临床表现、诊断和治疗。</w:t>
      </w:r>
    </w:p>
    <w:p w:rsidR="003717A0" w:rsidRDefault="003717A0">
      <w:pPr>
        <w:spacing w:line="360" w:lineRule="exact"/>
        <w:ind w:firstLine="435"/>
        <w:rPr>
          <w:szCs w:val="21"/>
        </w:rPr>
      </w:pPr>
      <w:r>
        <w:rPr>
          <w:szCs w:val="21"/>
        </w:rPr>
        <w:t>2.</w:t>
      </w:r>
      <w:r>
        <w:rPr>
          <w:rFonts w:hint="eastAsia"/>
          <w:szCs w:val="21"/>
        </w:rPr>
        <w:t>了解嗜铬细胞瘤的病因、临床表现、诊断和治疗。</w:t>
      </w:r>
    </w:p>
    <w:p w:rsidR="003717A0" w:rsidRDefault="003717A0">
      <w:pPr>
        <w:spacing w:line="360" w:lineRule="exact"/>
        <w:rPr>
          <w:szCs w:val="21"/>
        </w:rPr>
      </w:pPr>
      <w:r>
        <w:rPr>
          <w:rFonts w:hint="eastAsia"/>
          <w:szCs w:val="21"/>
        </w:rPr>
        <w:t>【自学内容】</w:t>
      </w:r>
    </w:p>
    <w:p w:rsidR="003717A0" w:rsidRDefault="003717A0">
      <w:pPr>
        <w:spacing w:line="360" w:lineRule="exact"/>
        <w:rPr>
          <w:szCs w:val="21"/>
        </w:rPr>
      </w:pPr>
      <w:r>
        <w:rPr>
          <w:szCs w:val="21"/>
        </w:rPr>
        <w:t xml:space="preserve">    </w:t>
      </w:r>
      <w:r>
        <w:rPr>
          <w:rFonts w:hint="eastAsia"/>
          <w:szCs w:val="21"/>
        </w:rPr>
        <w:t>原发性醛固酮增多症、嗜铬细胞瘤的病因、临床表现、诊断和外科治疗。</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第五十六章</w:t>
      </w:r>
      <w:r>
        <w:rPr>
          <w:bCs/>
          <w:sz w:val="24"/>
        </w:rPr>
        <w:t xml:space="preserve">    </w:t>
      </w:r>
      <w:r>
        <w:rPr>
          <w:rFonts w:hint="eastAsia"/>
          <w:bCs/>
          <w:sz w:val="24"/>
        </w:rPr>
        <w:t>男性性功能障碍、不育和节育</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了解男性性功能障碍的分类。</w:t>
      </w:r>
    </w:p>
    <w:p w:rsidR="003717A0" w:rsidRDefault="003717A0">
      <w:pPr>
        <w:spacing w:line="360" w:lineRule="exact"/>
        <w:ind w:firstLine="435"/>
        <w:rPr>
          <w:szCs w:val="21"/>
        </w:rPr>
      </w:pPr>
      <w:r>
        <w:rPr>
          <w:szCs w:val="21"/>
        </w:rPr>
        <w:t>2.</w:t>
      </w:r>
      <w:r>
        <w:rPr>
          <w:rFonts w:hint="eastAsia"/>
          <w:szCs w:val="21"/>
        </w:rPr>
        <w:t>了解男性不育症的病因及治疗。</w:t>
      </w:r>
    </w:p>
    <w:p w:rsidR="003717A0" w:rsidRDefault="003717A0">
      <w:pPr>
        <w:spacing w:line="360" w:lineRule="exact"/>
        <w:ind w:firstLine="435"/>
        <w:rPr>
          <w:szCs w:val="21"/>
        </w:rPr>
      </w:pPr>
      <w:r>
        <w:rPr>
          <w:szCs w:val="21"/>
        </w:rPr>
        <w:t>3.</w:t>
      </w:r>
      <w:r>
        <w:rPr>
          <w:rFonts w:hint="eastAsia"/>
          <w:szCs w:val="21"/>
        </w:rPr>
        <w:t>了解男性节育的方发。</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男性生殖生理和基本概念。</w:t>
      </w:r>
    </w:p>
    <w:p w:rsidR="003717A0" w:rsidRDefault="003717A0">
      <w:pPr>
        <w:spacing w:line="360" w:lineRule="exact"/>
        <w:ind w:firstLine="435"/>
        <w:rPr>
          <w:szCs w:val="21"/>
        </w:rPr>
      </w:pPr>
      <w:r>
        <w:rPr>
          <w:rFonts w:hint="eastAsia"/>
          <w:szCs w:val="21"/>
        </w:rPr>
        <w:t>男性性功能障碍的分类；男性不育症的病因及治疗；男性节育的方法。</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第五十七章</w:t>
      </w:r>
      <w:r>
        <w:rPr>
          <w:bCs/>
          <w:sz w:val="24"/>
        </w:rPr>
        <w:t xml:space="preserve">   </w:t>
      </w:r>
      <w:r>
        <w:rPr>
          <w:rFonts w:hint="eastAsia"/>
          <w:bCs/>
          <w:sz w:val="24"/>
        </w:rPr>
        <w:t>运动系统畸形</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了解先天性运动系统畸形的诊断及治疗原则。</w:t>
      </w:r>
    </w:p>
    <w:p w:rsidR="003717A0" w:rsidRDefault="003717A0">
      <w:pPr>
        <w:spacing w:line="360" w:lineRule="exact"/>
        <w:ind w:firstLine="435"/>
        <w:rPr>
          <w:szCs w:val="21"/>
        </w:rPr>
      </w:pPr>
      <w:r>
        <w:rPr>
          <w:szCs w:val="21"/>
        </w:rPr>
        <w:t>2.</w:t>
      </w:r>
      <w:r>
        <w:rPr>
          <w:rFonts w:hint="eastAsia"/>
          <w:szCs w:val="21"/>
        </w:rPr>
        <w:t>了解姿态畸形的临床表现及防治原则。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先天性马蹄内翻足及先天性髋脱位的病因、病理、临床表现、诊断及治疗方法的选择。先天性斜颈、脊柱侧弯、平足症、外藩等的病因、临床表现及防止原则。</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第五十八章</w:t>
      </w:r>
      <w:r>
        <w:rPr>
          <w:bCs/>
          <w:sz w:val="24"/>
        </w:rPr>
        <w:t xml:space="preserve">   </w:t>
      </w:r>
      <w:r>
        <w:rPr>
          <w:rFonts w:hint="eastAsia"/>
          <w:bCs/>
          <w:sz w:val="24"/>
        </w:rPr>
        <w:t>骨折概论</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掌握骨折的移位机理、临床表现、常见合并症和影响骨折愈合的因素。</w:t>
      </w:r>
    </w:p>
    <w:p w:rsidR="003717A0" w:rsidRDefault="003717A0">
      <w:pPr>
        <w:spacing w:line="360" w:lineRule="exact"/>
        <w:ind w:firstLine="435"/>
        <w:rPr>
          <w:szCs w:val="21"/>
        </w:rPr>
      </w:pPr>
      <w:r>
        <w:rPr>
          <w:szCs w:val="21"/>
        </w:rPr>
        <w:t>2.</w:t>
      </w:r>
      <w:r>
        <w:rPr>
          <w:rFonts w:hint="eastAsia"/>
          <w:szCs w:val="21"/>
        </w:rPr>
        <w:t>熟悉骨折的急救及治疗骨折的原则，了解开放性骨折的处理特点：了解骨折延迟愈合、不愈</w:t>
      </w:r>
      <w:r>
        <w:rPr>
          <w:rFonts w:hint="eastAsia"/>
          <w:szCs w:val="21"/>
        </w:rPr>
        <w:lastRenderedPageBreak/>
        <w:t>合及畸形愈合的防治原则。</w:t>
      </w:r>
    </w:p>
    <w:p w:rsidR="003717A0" w:rsidRDefault="003717A0">
      <w:pPr>
        <w:spacing w:line="360" w:lineRule="exact"/>
        <w:ind w:firstLine="435"/>
        <w:rPr>
          <w:szCs w:val="21"/>
        </w:rPr>
      </w:pPr>
      <w:r>
        <w:rPr>
          <w:szCs w:val="21"/>
        </w:rPr>
        <w:t>3.</w:t>
      </w:r>
      <w:r>
        <w:rPr>
          <w:rFonts w:hint="eastAsia"/>
          <w:szCs w:val="21"/>
        </w:rPr>
        <w:t>了解手法得位的基本要求及固定的操作方法官（小夹板、牵引术及右膏绷带）。</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骨折的定义、病因、分类和骨折移位的机理。骨折的临床表现及诊断，常见合并症。骨折愈合过程及影响骨折愈合的因素。骨折的延迟愈合、不愈合及畸形愈合的防治原则。骨折的急救及治疗原则，开放性骨折的处理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 w:val="28"/>
          <w:szCs w:val="28"/>
        </w:rPr>
      </w:pPr>
      <w:r>
        <w:rPr>
          <w:rFonts w:hint="eastAsia"/>
          <w:szCs w:val="21"/>
        </w:rPr>
        <w:t>典型病例及</w:t>
      </w:r>
      <w:r>
        <w:rPr>
          <w:szCs w:val="21"/>
        </w:rPr>
        <w:t>X</w:t>
      </w:r>
      <w:r>
        <w:rPr>
          <w:rFonts w:hint="eastAsia"/>
          <w:szCs w:val="21"/>
        </w:rPr>
        <w:t>线片示范，结合幻灯、电影等，介绍典型骨折的临床表现及诊断。常见治疗方法如牵引、小夹板、石膏绷带包括等操作示范。</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第五十九章</w:t>
      </w:r>
      <w:r>
        <w:rPr>
          <w:bCs/>
          <w:sz w:val="24"/>
        </w:rPr>
        <w:t xml:space="preserve">  </w:t>
      </w:r>
      <w:r>
        <w:rPr>
          <w:rFonts w:hint="eastAsia"/>
          <w:bCs/>
          <w:sz w:val="24"/>
        </w:rPr>
        <w:t>上肢骨、关节损伤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熟悉肱骨干骨折、桡骨下端骨折的移位特点、诊断和治疗原则。</w:t>
      </w:r>
    </w:p>
    <w:p w:rsidR="003717A0" w:rsidRDefault="003717A0">
      <w:pPr>
        <w:spacing w:line="360" w:lineRule="exact"/>
        <w:ind w:firstLine="435"/>
        <w:rPr>
          <w:szCs w:val="21"/>
        </w:rPr>
      </w:pPr>
      <w:r>
        <w:rPr>
          <w:szCs w:val="21"/>
        </w:rPr>
        <w:t>2.</w:t>
      </w:r>
      <w:r>
        <w:rPr>
          <w:rFonts w:hint="eastAsia"/>
          <w:szCs w:val="21"/>
        </w:rPr>
        <w:t>了解锁骨骨折、肱骨髁上骨折和前臂又骨折的移位特点、诊断和治疗原则。</w:t>
      </w:r>
    </w:p>
    <w:p w:rsidR="003717A0" w:rsidRDefault="003717A0">
      <w:pPr>
        <w:spacing w:line="360" w:lineRule="exact"/>
        <w:ind w:firstLine="435"/>
        <w:rPr>
          <w:szCs w:val="21"/>
        </w:rPr>
      </w:pPr>
      <w:r>
        <w:rPr>
          <w:szCs w:val="21"/>
        </w:rPr>
        <w:t>3.</w:t>
      </w:r>
      <w:r>
        <w:rPr>
          <w:rFonts w:hint="eastAsia"/>
          <w:szCs w:val="21"/>
        </w:rPr>
        <w:t>了解肩关节脱位的诊断及复位方法。</w:t>
      </w:r>
    </w:p>
    <w:p w:rsidR="003717A0" w:rsidRDefault="003717A0">
      <w:pPr>
        <w:spacing w:line="360" w:lineRule="exact"/>
        <w:ind w:firstLine="435"/>
        <w:rPr>
          <w:szCs w:val="21"/>
        </w:rPr>
      </w:pPr>
      <w:r>
        <w:rPr>
          <w:szCs w:val="21"/>
        </w:rPr>
        <w:t>4.</w:t>
      </w:r>
      <w:r>
        <w:rPr>
          <w:rFonts w:hint="eastAsia"/>
          <w:szCs w:val="21"/>
        </w:rPr>
        <w:t>熟悉肘关节脱位及小儿桡骨头半脱位的诊断及复位方法。</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锁骨骨折的临床表现和治疗原则。肱骨干骨折的移位特点、临床表现和治疗原则。前臂双骨折的临床表现和治疗原则。桡骨下端骨折的病因分类、移位特点、临床表现和治疗原则。肩关节脱位的分类、临床表现、诊断及治疗原则。肘关节及小儿桡骨头半脱位的诊断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肱骨外科颈骨折的病因、分类、诊断及治疗原则。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结合</w:t>
      </w:r>
      <w:r>
        <w:rPr>
          <w:szCs w:val="21"/>
        </w:rPr>
        <w:t>X</w:t>
      </w:r>
      <w:r>
        <w:rPr>
          <w:rFonts w:hint="eastAsia"/>
          <w:szCs w:val="21"/>
        </w:rPr>
        <w:t>线片进行典型病例示范，配合幻灯或电影，示范一些具体治疗操作。</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第六十章</w:t>
      </w:r>
      <w:r>
        <w:rPr>
          <w:bCs/>
          <w:sz w:val="24"/>
        </w:rPr>
        <w:t xml:space="preserve">  </w:t>
      </w:r>
      <w:r>
        <w:rPr>
          <w:rFonts w:hint="eastAsia"/>
          <w:bCs/>
          <w:sz w:val="24"/>
        </w:rPr>
        <w:t>手外伤及断肢（指）再植</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复习手部解剖、功能的特点。</w:t>
      </w:r>
    </w:p>
    <w:p w:rsidR="003717A0" w:rsidRDefault="003717A0">
      <w:pPr>
        <w:spacing w:line="360" w:lineRule="exact"/>
        <w:ind w:firstLine="435"/>
        <w:rPr>
          <w:szCs w:val="21"/>
        </w:rPr>
      </w:pPr>
      <w:r>
        <w:rPr>
          <w:szCs w:val="21"/>
        </w:rPr>
        <w:t>2.</w:t>
      </w:r>
      <w:r>
        <w:rPr>
          <w:rFonts w:hint="eastAsia"/>
          <w:szCs w:val="21"/>
        </w:rPr>
        <w:t>了解手外伤的检查方法。</w:t>
      </w:r>
    </w:p>
    <w:p w:rsidR="003717A0" w:rsidRDefault="003717A0">
      <w:pPr>
        <w:spacing w:line="360" w:lineRule="exact"/>
        <w:ind w:firstLine="435"/>
        <w:rPr>
          <w:szCs w:val="21"/>
        </w:rPr>
      </w:pPr>
      <w:r>
        <w:rPr>
          <w:szCs w:val="21"/>
        </w:rPr>
        <w:t>3.</w:t>
      </w:r>
      <w:r>
        <w:rPr>
          <w:rFonts w:hint="eastAsia"/>
          <w:szCs w:val="21"/>
        </w:rPr>
        <w:t>熟悉手外伤的治疗原则。</w:t>
      </w:r>
    </w:p>
    <w:p w:rsidR="003717A0" w:rsidRDefault="003717A0">
      <w:pPr>
        <w:spacing w:line="360" w:lineRule="exact"/>
        <w:ind w:firstLine="435"/>
        <w:rPr>
          <w:szCs w:val="21"/>
        </w:rPr>
      </w:pPr>
      <w:r>
        <w:rPr>
          <w:szCs w:val="21"/>
        </w:rPr>
        <w:t>4.</w:t>
      </w:r>
      <w:r>
        <w:rPr>
          <w:rFonts w:hint="eastAsia"/>
          <w:szCs w:val="21"/>
        </w:rPr>
        <w:t>了解断肢再植的原则、断肢的保存、治疗原则和手术指征。</w:t>
      </w:r>
    </w:p>
    <w:p w:rsidR="003717A0" w:rsidRDefault="003717A0">
      <w:pPr>
        <w:spacing w:line="360" w:lineRule="exact"/>
        <w:ind w:firstLine="435"/>
        <w:rPr>
          <w:szCs w:val="21"/>
        </w:rPr>
      </w:pPr>
      <w:r>
        <w:rPr>
          <w:szCs w:val="21"/>
        </w:rPr>
        <w:t>5.</w:t>
      </w:r>
      <w:r>
        <w:rPr>
          <w:rFonts w:hint="eastAsia"/>
          <w:szCs w:val="21"/>
        </w:rPr>
        <w:t>了解我国断肢再植的成就。</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手的解剖、生理、手外伤的检查治疗原则。断肢（指）的病理、病人的急救，断肢的保存，断肢再植的指征及手术要点、术后处理及并发症的防治。</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手部的肌腱、神经及关节损伤的治疗原则。</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lastRenderedPageBreak/>
        <w:t>第六十一章</w:t>
      </w:r>
      <w:r>
        <w:rPr>
          <w:bCs/>
          <w:sz w:val="24"/>
        </w:rPr>
        <w:t xml:space="preserve">  </w:t>
      </w:r>
      <w:r>
        <w:rPr>
          <w:rFonts w:hint="eastAsia"/>
          <w:bCs/>
          <w:sz w:val="24"/>
        </w:rPr>
        <w:t>下肢骨、关节损伤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熟悉股骨转子间骨折及胫腓骨骨折的移位特点、临床表现和治疗原则。</w:t>
      </w:r>
    </w:p>
    <w:p w:rsidR="003717A0" w:rsidRDefault="003717A0">
      <w:pPr>
        <w:spacing w:line="360" w:lineRule="exact"/>
        <w:ind w:firstLine="435"/>
        <w:rPr>
          <w:szCs w:val="21"/>
        </w:rPr>
      </w:pPr>
      <w:r>
        <w:rPr>
          <w:szCs w:val="21"/>
        </w:rPr>
        <w:t>2.</w:t>
      </w:r>
      <w:r>
        <w:rPr>
          <w:rFonts w:hint="eastAsia"/>
          <w:szCs w:val="21"/>
        </w:rPr>
        <w:t>了解股骨颈骨折、膝半月板损伤的临床表现和治疗原则。</w:t>
      </w:r>
    </w:p>
    <w:p w:rsidR="003717A0" w:rsidRDefault="003717A0">
      <w:pPr>
        <w:spacing w:line="360" w:lineRule="exact"/>
        <w:ind w:firstLine="435"/>
        <w:rPr>
          <w:szCs w:val="21"/>
        </w:rPr>
      </w:pPr>
      <w:r>
        <w:rPr>
          <w:szCs w:val="21"/>
        </w:rPr>
        <w:t>3.</w:t>
      </w:r>
      <w:r>
        <w:rPr>
          <w:rFonts w:hint="eastAsia"/>
          <w:szCs w:val="21"/>
        </w:rPr>
        <w:t>了解髋关节脱位的诊断及复位方法。</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股骨颈骨折、股骨转子间骨折，股骨干骨折及胫腓骨骨折的病因、移位特点、临床表现和治疗。</w:t>
      </w:r>
    </w:p>
    <w:p w:rsidR="003717A0" w:rsidRDefault="003717A0">
      <w:pPr>
        <w:spacing w:line="360" w:lineRule="exact"/>
        <w:ind w:firstLine="435"/>
        <w:rPr>
          <w:szCs w:val="21"/>
        </w:rPr>
      </w:pPr>
      <w:r>
        <w:rPr>
          <w:rFonts w:hint="eastAsia"/>
          <w:szCs w:val="21"/>
        </w:rPr>
        <w:t>膝关节关月板损伤的病因，临床表现即治疗原则。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髌骨骨折和踝部招工伤的病因、分类、诊断和治疗原则。原则。</w:t>
      </w:r>
    </w:p>
    <w:p w:rsidR="003717A0" w:rsidRDefault="003717A0">
      <w:pPr>
        <w:spacing w:line="360" w:lineRule="exact"/>
        <w:ind w:firstLine="435"/>
        <w:rPr>
          <w:szCs w:val="21"/>
        </w:rPr>
      </w:pPr>
      <w:r>
        <w:rPr>
          <w:rFonts w:hint="eastAsia"/>
          <w:szCs w:val="21"/>
        </w:rPr>
        <w:t>踝部骨折、跟骨骨折、跟腱断裂和膝部韧带损伤的原因、临床表现及治疗原则。</w:t>
      </w:r>
    </w:p>
    <w:p w:rsidR="003717A0" w:rsidRDefault="003717A0">
      <w:pPr>
        <w:spacing w:line="360" w:lineRule="exact"/>
        <w:ind w:firstLine="435"/>
        <w:rPr>
          <w:szCs w:val="21"/>
        </w:rPr>
      </w:pPr>
      <w:r>
        <w:rPr>
          <w:rFonts w:hint="eastAsia"/>
          <w:szCs w:val="21"/>
        </w:rPr>
        <w:t>髋关节脱位的分类、临床表现、诊断及治疗原则。肘关节及小儿桡骨头半脱位的诊断及治疗原则。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典型病例示范、配合</w:t>
      </w:r>
      <w:r>
        <w:rPr>
          <w:szCs w:val="21"/>
        </w:rPr>
        <w:t>X</w:t>
      </w:r>
      <w:r>
        <w:rPr>
          <w:rFonts w:hint="eastAsia"/>
          <w:szCs w:val="21"/>
        </w:rPr>
        <w:t>线片、幻灯、电影等，并结合具体操作如骨折的手法复位、石膏绷带、小夹板固定、牵引术等。</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第六十二、六十三章</w:t>
      </w:r>
      <w:r>
        <w:rPr>
          <w:bCs/>
          <w:sz w:val="24"/>
        </w:rPr>
        <w:t xml:space="preserve">  </w:t>
      </w:r>
      <w:r>
        <w:rPr>
          <w:rFonts w:hint="eastAsia"/>
          <w:bCs/>
          <w:sz w:val="24"/>
        </w:rPr>
        <w:t>脊柱、脊髓损伤及骨盆、髋臼骨折</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熟悉胸腰椎骨折的分类、临床表现、急救处理及治疗原则。</w:t>
      </w:r>
    </w:p>
    <w:p w:rsidR="003717A0" w:rsidRDefault="003717A0">
      <w:pPr>
        <w:spacing w:line="360" w:lineRule="exact"/>
        <w:ind w:firstLine="435"/>
        <w:rPr>
          <w:szCs w:val="21"/>
        </w:rPr>
      </w:pPr>
      <w:r>
        <w:rPr>
          <w:szCs w:val="21"/>
        </w:rPr>
        <w:t>2.</w:t>
      </w:r>
      <w:r>
        <w:rPr>
          <w:rFonts w:hint="eastAsia"/>
          <w:szCs w:val="21"/>
        </w:rPr>
        <w:t>了解颈椎骨折的治疗原则。</w:t>
      </w:r>
    </w:p>
    <w:p w:rsidR="003717A0" w:rsidRDefault="003717A0">
      <w:pPr>
        <w:spacing w:line="360" w:lineRule="exact"/>
        <w:ind w:firstLine="435"/>
        <w:rPr>
          <w:szCs w:val="21"/>
        </w:rPr>
      </w:pPr>
      <w:r>
        <w:rPr>
          <w:szCs w:val="21"/>
        </w:rPr>
        <w:t>3.</w:t>
      </w:r>
      <w:r>
        <w:rPr>
          <w:rFonts w:hint="eastAsia"/>
          <w:szCs w:val="21"/>
        </w:rPr>
        <w:t>熟悉骨盆骨折的分类、并发症和处理原则。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胸腰椎骨折的分类，临床表现及治疗原则。脊柱骨折脱位合并脊髓神经损伤的诊断、截瘫及其并发症的预防原则。骨盆骨折的原因、分类、临床表现、并发症和处理原则。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颈椎骨折的分类、临床表现、急救及治疗原则。</w:t>
      </w:r>
    </w:p>
    <w:p w:rsidR="003717A0" w:rsidRDefault="003717A0">
      <w:pPr>
        <w:spacing w:line="360" w:lineRule="exact"/>
        <w:rPr>
          <w:szCs w:val="21"/>
        </w:rPr>
      </w:pPr>
      <w:r>
        <w:rPr>
          <w:rFonts w:hint="eastAsia"/>
          <w:szCs w:val="21"/>
        </w:rPr>
        <w:t>【见习】</w:t>
      </w:r>
    </w:p>
    <w:p w:rsidR="003717A0" w:rsidRDefault="003717A0">
      <w:pPr>
        <w:spacing w:line="360" w:lineRule="exact"/>
        <w:rPr>
          <w:szCs w:val="21"/>
        </w:rPr>
      </w:pPr>
      <w:r>
        <w:rPr>
          <w:szCs w:val="21"/>
        </w:rPr>
        <w:t xml:space="preserve">   </w:t>
      </w:r>
      <w:r>
        <w:rPr>
          <w:rFonts w:hint="eastAsia"/>
          <w:szCs w:val="21"/>
        </w:rPr>
        <w:t>示范脊椎骨折的典型病例，配合</w:t>
      </w:r>
      <w:r>
        <w:rPr>
          <w:szCs w:val="21"/>
        </w:rPr>
        <w:t>X</w:t>
      </w:r>
      <w:r>
        <w:rPr>
          <w:rFonts w:hint="eastAsia"/>
          <w:szCs w:val="21"/>
        </w:rPr>
        <w:t>线片、幻灯或电影等。示范脊柱骨折病人的复位，石膏固定及功能锻炼等。</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第六十四章</w:t>
      </w:r>
      <w:r>
        <w:rPr>
          <w:bCs/>
          <w:sz w:val="24"/>
        </w:rPr>
        <w:t xml:space="preserve">  </w:t>
      </w:r>
      <w:r>
        <w:rPr>
          <w:rFonts w:hint="eastAsia"/>
          <w:bCs/>
          <w:sz w:val="24"/>
        </w:rPr>
        <w:t>周围神经损伤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了解周围神经损伤的临床表现、诊断及治疗原则。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复习周围神经的组织解剖，了解周围神经损伤的临床表现及治疗原则。</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第六十五章</w:t>
      </w:r>
      <w:r>
        <w:rPr>
          <w:bCs/>
          <w:sz w:val="24"/>
        </w:rPr>
        <w:t xml:space="preserve">  </w:t>
      </w:r>
      <w:r>
        <w:rPr>
          <w:rFonts w:hint="eastAsia"/>
          <w:bCs/>
          <w:sz w:val="24"/>
        </w:rPr>
        <w:t>运动系统慢性损伤</w:t>
      </w:r>
    </w:p>
    <w:p w:rsidR="003717A0" w:rsidRDefault="003717A0">
      <w:pPr>
        <w:spacing w:line="360" w:lineRule="exact"/>
        <w:rPr>
          <w:szCs w:val="21"/>
        </w:rPr>
      </w:pPr>
      <w:r>
        <w:rPr>
          <w:rFonts w:hint="eastAsia"/>
          <w:szCs w:val="21"/>
        </w:rPr>
        <w:lastRenderedPageBreak/>
        <w:t>【目的与要求】</w:t>
      </w:r>
    </w:p>
    <w:p w:rsidR="003717A0" w:rsidRDefault="003717A0">
      <w:pPr>
        <w:spacing w:line="360" w:lineRule="exact"/>
        <w:ind w:firstLine="435"/>
        <w:rPr>
          <w:szCs w:val="21"/>
        </w:rPr>
      </w:pPr>
      <w:r>
        <w:rPr>
          <w:rFonts w:hint="eastAsia"/>
          <w:szCs w:val="21"/>
        </w:rPr>
        <w:t>熟悉常见的慢性损伤的诊断和治疗原则。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概论常见慢性损伤的临床表现、诊断和和治疗原则。肩关节周围炎、肱骨外上髁炎、髌故软骨软化症。狭窄性腱鞘炎、腕管综合征、胫骨节骨软骨病。</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腱鞘囊肿、滑囊炎及肌骨头骺骨软骨病。</w:t>
      </w:r>
    </w:p>
    <w:p w:rsidR="003717A0" w:rsidRDefault="003717A0">
      <w:pPr>
        <w:spacing w:line="360" w:lineRule="exact"/>
        <w:jc w:val="center"/>
        <w:rPr>
          <w:bCs/>
          <w:sz w:val="24"/>
        </w:rPr>
      </w:pPr>
    </w:p>
    <w:p w:rsidR="003717A0" w:rsidRDefault="003717A0">
      <w:pPr>
        <w:spacing w:line="360" w:lineRule="exact"/>
        <w:jc w:val="center"/>
        <w:rPr>
          <w:bCs/>
          <w:sz w:val="24"/>
        </w:rPr>
      </w:pPr>
      <w:r>
        <w:rPr>
          <w:rFonts w:hint="eastAsia"/>
          <w:bCs/>
          <w:sz w:val="24"/>
        </w:rPr>
        <w:t>第六十六章</w:t>
      </w:r>
      <w:r>
        <w:rPr>
          <w:bCs/>
          <w:sz w:val="24"/>
        </w:rPr>
        <w:t xml:space="preserve">  </w:t>
      </w:r>
      <w:r>
        <w:rPr>
          <w:rFonts w:hint="eastAsia"/>
          <w:bCs/>
          <w:sz w:val="24"/>
        </w:rPr>
        <w:t>股骨头坏死</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了解股骨头坏死的病因、临床表现、诊断及治疗原则。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股骨头坏死的病因、临床表现、诊断及外科治疗。</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第六十七章</w:t>
      </w:r>
      <w:r>
        <w:rPr>
          <w:bCs/>
          <w:sz w:val="24"/>
        </w:rPr>
        <w:t xml:space="preserve">   </w:t>
      </w:r>
      <w:r>
        <w:rPr>
          <w:rFonts w:hint="eastAsia"/>
          <w:bCs/>
          <w:sz w:val="24"/>
        </w:rPr>
        <w:t>椎间盘突出症</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了解颈椎、胸椎、腰椎间盘突出症的病因、分类、诊断及治疗原则。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Chars="200" w:firstLine="420"/>
        <w:rPr>
          <w:szCs w:val="21"/>
        </w:rPr>
      </w:pPr>
      <w:r>
        <w:rPr>
          <w:rFonts w:hint="eastAsia"/>
          <w:szCs w:val="21"/>
        </w:rPr>
        <w:t>颈椎、胸椎、腰椎间盘突出症的病因、分类、诊断及外科治疗。</w:t>
      </w:r>
    </w:p>
    <w:p w:rsidR="003717A0" w:rsidRDefault="003717A0">
      <w:pPr>
        <w:spacing w:line="360" w:lineRule="exact"/>
        <w:rPr>
          <w:bCs/>
          <w:sz w:val="24"/>
        </w:rPr>
      </w:pPr>
    </w:p>
    <w:p w:rsidR="003717A0" w:rsidRDefault="003717A0">
      <w:pPr>
        <w:spacing w:line="360" w:lineRule="exact"/>
        <w:jc w:val="center"/>
        <w:rPr>
          <w:bCs/>
          <w:sz w:val="24"/>
        </w:rPr>
      </w:pPr>
      <w:r>
        <w:rPr>
          <w:rFonts w:hint="eastAsia"/>
          <w:bCs/>
          <w:sz w:val="24"/>
        </w:rPr>
        <w:t>第六十八章</w:t>
      </w:r>
      <w:r>
        <w:rPr>
          <w:bCs/>
          <w:sz w:val="24"/>
        </w:rPr>
        <w:t xml:space="preserve">  </w:t>
      </w:r>
      <w:r>
        <w:rPr>
          <w:rFonts w:hint="eastAsia"/>
          <w:bCs/>
          <w:sz w:val="24"/>
        </w:rPr>
        <w:t>骨与关节化脓性感染</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掌握骨或关节急性化脓性感染的发病机理、早期诊断及治疗原则。</w:t>
      </w:r>
    </w:p>
    <w:p w:rsidR="003717A0" w:rsidRDefault="003717A0">
      <w:pPr>
        <w:spacing w:line="360" w:lineRule="exact"/>
        <w:ind w:firstLine="435"/>
        <w:rPr>
          <w:szCs w:val="21"/>
        </w:rPr>
      </w:pPr>
      <w:r>
        <w:rPr>
          <w:szCs w:val="21"/>
        </w:rPr>
        <w:t>2.</w:t>
      </w:r>
      <w:r>
        <w:rPr>
          <w:rFonts w:hint="eastAsia"/>
          <w:szCs w:val="21"/>
        </w:rPr>
        <w:t>熟悉慢性化脓性骨髓炎的成因、诊断及治疗原则。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急性血源性化脓性骨髓炎的发病机理及病理、临床表现、早期诊断及治疗原则。慢性化脓性骨髓炎的成因、诊断及治疗原则、手术法方法的选择。化脓性关节炎的诊断及治疗原则。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示范典型病例，并配合</w:t>
      </w:r>
      <w:r>
        <w:rPr>
          <w:szCs w:val="21"/>
        </w:rPr>
        <w:t>X</w:t>
      </w:r>
      <w:r>
        <w:rPr>
          <w:rFonts w:hint="eastAsia"/>
          <w:szCs w:val="21"/>
        </w:rPr>
        <w:t>线片或幻灯。示范关节刺的方法。</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第六十九章</w:t>
      </w:r>
      <w:r>
        <w:rPr>
          <w:bCs/>
          <w:sz w:val="24"/>
        </w:rPr>
        <w:t xml:space="preserve">  </w:t>
      </w:r>
      <w:r>
        <w:rPr>
          <w:rFonts w:hint="eastAsia"/>
          <w:bCs/>
          <w:sz w:val="24"/>
        </w:rPr>
        <w:t>骨与关节结核</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掌握骨关节结核的早期诊断和治疗原则。</w:t>
      </w:r>
    </w:p>
    <w:p w:rsidR="003717A0" w:rsidRDefault="003717A0">
      <w:pPr>
        <w:spacing w:line="360" w:lineRule="exact"/>
        <w:ind w:firstLine="435"/>
        <w:rPr>
          <w:szCs w:val="21"/>
        </w:rPr>
      </w:pPr>
      <w:r>
        <w:rPr>
          <w:szCs w:val="21"/>
        </w:rPr>
        <w:t>2.</w:t>
      </w:r>
      <w:r>
        <w:rPr>
          <w:rFonts w:hint="eastAsia"/>
          <w:szCs w:val="21"/>
        </w:rPr>
        <w:t>熟悉髋关节结核及脊柱的临床表现、治疗原则及手术指征。</w:t>
      </w:r>
    </w:p>
    <w:p w:rsidR="003717A0" w:rsidRDefault="003717A0">
      <w:pPr>
        <w:spacing w:line="360" w:lineRule="exact"/>
        <w:ind w:firstLine="435"/>
        <w:rPr>
          <w:szCs w:val="21"/>
        </w:rPr>
      </w:pPr>
      <w:r>
        <w:rPr>
          <w:szCs w:val="21"/>
        </w:rPr>
        <w:t>3.</w:t>
      </w:r>
      <w:r>
        <w:rPr>
          <w:rFonts w:hint="eastAsia"/>
          <w:szCs w:val="21"/>
        </w:rPr>
        <w:t>了解析关节结核的临床表现和治疗原则。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ind w:firstLine="435"/>
        <w:rPr>
          <w:szCs w:val="21"/>
        </w:rPr>
      </w:pPr>
      <w:r>
        <w:rPr>
          <w:rFonts w:hint="eastAsia"/>
          <w:szCs w:val="21"/>
        </w:rPr>
        <w:t>骨关节结核概论：病因、病理、临床表现、诊断及治疗原则。</w:t>
      </w:r>
    </w:p>
    <w:p w:rsidR="003717A0" w:rsidRDefault="003717A0">
      <w:pPr>
        <w:spacing w:line="360" w:lineRule="exact"/>
        <w:ind w:firstLine="435"/>
        <w:rPr>
          <w:szCs w:val="21"/>
        </w:rPr>
      </w:pPr>
      <w:r>
        <w:rPr>
          <w:rFonts w:hint="eastAsia"/>
          <w:szCs w:val="21"/>
        </w:rPr>
        <w:t>髋关节结核及脊柱结核的临床表现、诊断及治疗原则。</w:t>
      </w:r>
    </w:p>
    <w:p w:rsidR="003717A0" w:rsidRDefault="003717A0">
      <w:pPr>
        <w:spacing w:line="360" w:lineRule="exact"/>
        <w:rPr>
          <w:szCs w:val="21"/>
        </w:rPr>
      </w:pPr>
      <w:r>
        <w:rPr>
          <w:rFonts w:hint="eastAsia"/>
          <w:szCs w:val="21"/>
        </w:rPr>
        <w:lastRenderedPageBreak/>
        <w:t>【自学内容】</w:t>
      </w:r>
    </w:p>
    <w:p w:rsidR="003717A0" w:rsidRDefault="003717A0">
      <w:pPr>
        <w:spacing w:line="360" w:lineRule="exact"/>
        <w:ind w:firstLine="435"/>
        <w:rPr>
          <w:szCs w:val="21"/>
        </w:rPr>
      </w:pPr>
      <w:r>
        <w:rPr>
          <w:rFonts w:hint="eastAsia"/>
          <w:szCs w:val="21"/>
        </w:rPr>
        <w:t>指关节结核的临床表现及治疗原则。</w:t>
      </w:r>
    </w:p>
    <w:p w:rsidR="003717A0" w:rsidRDefault="003717A0">
      <w:pPr>
        <w:spacing w:line="360" w:lineRule="exact"/>
        <w:rPr>
          <w:szCs w:val="21"/>
        </w:rPr>
      </w:pPr>
      <w:r>
        <w:rPr>
          <w:rFonts w:hint="eastAsia"/>
          <w:szCs w:val="21"/>
        </w:rPr>
        <w:t>【见习】</w:t>
      </w:r>
    </w:p>
    <w:p w:rsidR="003717A0" w:rsidRDefault="003717A0">
      <w:pPr>
        <w:spacing w:line="360" w:lineRule="exact"/>
        <w:ind w:firstLine="435"/>
        <w:rPr>
          <w:szCs w:val="21"/>
        </w:rPr>
      </w:pPr>
      <w:r>
        <w:rPr>
          <w:rFonts w:hint="eastAsia"/>
          <w:szCs w:val="21"/>
        </w:rPr>
        <w:t>示范四种骨关节结核的典型体征及检查方法，配合</w:t>
      </w:r>
      <w:r>
        <w:rPr>
          <w:szCs w:val="21"/>
        </w:rPr>
        <w:t>X</w:t>
      </w:r>
      <w:r>
        <w:rPr>
          <w:rFonts w:hint="eastAsia"/>
          <w:szCs w:val="21"/>
        </w:rPr>
        <w:t>线片及幻灯。</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第七十章</w:t>
      </w:r>
      <w:r>
        <w:rPr>
          <w:bCs/>
          <w:sz w:val="24"/>
        </w:rPr>
        <w:t xml:space="preserve">  </w:t>
      </w:r>
      <w:r>
        <w:rPr>
          <w:rFonts w:hint="eastAsia"/>
          <w:bCs/>
          <w:sz w:val="24"/>
        </w:rPr>
        <w:t>非化脓性关节炎</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rFonts w:hint="eastAsia"/>
          <w:szCs w:val="21"/>
        </w:rPr>
        <w:t>了解骨关节病、类风湿关节炎及大骨节病的临床表现、诊断及治疗原则。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骨关节的病因、分类、病理、临床表现及治疗原则。类风湿关节炎的临床表现、诊断及治疗原则。类风湿关节炎的临床表现、诊断及治疗原则。大骨节病的病因、病理、临床表现及治疗原则。</w:t>
      </w:r>
    </w:p>
    <w:p w:rsidR="003717A0" w:rsidRDefault="003717A0">
      <w:pPr>
        <w:spacing w:line="360" w:lineRule="exact"/>
        <w:rPr>
          <w:szCs w:val="21"/>
        </w:rPr>
      </w:pPr>
    </w:p>
    <w:p w:rsidR="003717A0" w:rsidRDefault="003717A0">
      <w:pPr>
        <w:spacing w:line="360" w:lineRule="exact"/>
        <w:jc w:val="center"/>
        <w:rPr>
          <w:bCs/>
          <w:sz w:val="24"/>
        </w:rPr>
      </w:pPr>
      <w:r>
        <w:rPr>
          <w:rFonts w:hint="eastAsia"/>
          <w:bCs/>
          <w:sz w:val="24"/>
        </w:rPr>
        <w:t>第七十一章</w:t>
      </w:r>
      <w:r>
        <w:rPr>
          <w:bCs/>
          <w:sz w:val="24"/>
        </w:rPr>
        <w:t xml:space="preserve">  </w:t>
      </w:r>
      <w:r>
        <w:rPr>
          <w:rFonts w:hint="eastAsia"/>
          <w:bCs/>
          <w:sz w:val="24"/>
        </w:rPr>
        <w:t>骨肿瘤</w:t>
      </w:r>
    </w:p>
    <w:p w:rsidR="003717A0" w:rsidRDefault="003717A0">
      <w:pPr>
        <w:spacing w:line="360" w:lineRule="exact"/>
        <w:rPr>
          <w:szCs w:val="21"/>
        </w:rPr>
      </w:pPr>
      <w:r>
        <w:rPr>
          <w:rFonts w:hint="eastAsia"/>
          <w:szCs w:val="21"/>
        </w:rPr>
        <w:t>【目的与要求】</w:t>
      </w:r>
    </w:p>
    <w:p w:rsidR="003717A0" w:rsidRDefault="003717A0">
      <w:pPr>
        <w:spacing w:line="360" w:lineRule="exact"/>
        <w:ind w:firstLine="435"/>
        <w:rPr>
          <w:szCs w:val="21"/>
        </w:rPr>
      </w:pPr>
      <w:r>
        <w:rPr>
          <w:szCs w:val="21"/>
        </w:rPr>
        <w:t>1.</w:t>
      </w:r>
      <w:r>
        <w:rPr>
          <w:rFonts w:hint="eastAsia"/>
          <w:szCs w:val="21"/>
        </w:rPr>
        <w:t>熟悉骨肿瘤的分类、良性与恶性骨肿瘤的鉴别诊断和治疗原则。</w:t>
      </w:r>
    </w:p>
    <w:p w:rsidR="003717A0" w:rsidRDefault="003717A0">
      <w:pPr>
        <w:spacing w:line="360" w:lineRule="exact"/>
        <w:ind w:firstLine="435"/>
        <w:rPr>
          <w:szCs w:val="21"/>
        </w:rPr>
      </w:pPr>
      <w:r>
        <w:rPr>
          <w:szCs w:val="21"/>
        </w:rPr>
        <w:t>2.</w:t>
      </w:r>
      <w:r>
        <w:rPr>
          <w:rFonts w:hint="eastAsia"/>
          <w:szCs w:val="21"/>
        </w:rPr>
        <w:t>了解骨软骨瘤、软骨瘤、骨巨细胞瘤及骨肉瘤的临床表现、</w:t>
      </w:r>
      <w:r>
        <w:rPr>
          <w:szCs w:val="21"/>
        </w:rPr>
        <w:t>X</w:t>
      </w:r>
      <w:r>
        <w:rPr>
          <w:rFonts w:hint="eastAsia"/>
          <w:szCs w:val="21"/>
        </w:rPr>
        <w:t>线诊断和治疗原则。</w:t>
      </w:r>
    </w:p>
    <w:p w:rsidR="003717A0" w:rsidRDefault="003717A0">
      <w:pPr>
        <w:spacing w:line="360" w:lineRule="exact"/>
        <w:rPr>
          <w:szCs w:val="21"/>
        </w:rPr>
      </w:pPr>
      <w:r>
        <w:rPr>
          <w:rFonts w:hint="eastAsia"/>
          <w:szCs w:val="21"/>
        </w:rPr>
        <w:t>【讲授内容】</w:t>
      </w:r>
    </w:p>
    <w:p w:rsidR="003717A0" w:rsidRDefault="003717A0">
      <w:pPr>
        <w:spacing w:line="360" w:lineRule="exact"/>
        <w:rPr>
          <w:szCs w:val="21"/>
        </w:rPr>
      </w:pPr>
      <w:r>
        <w:rPr>
          <w:szCs w:val="21"/>
        </w:rPr>
        <w:t xml:space="preserve">    </w:t>
      </w:r>
      <w:r>
        <w:rPr>
          <w:rFonts w:hint="eastAsia"/>
          <w:szCs w:val="21"/>
        </w:rPr>
        <w:t>骨肿瘤概论：分类、良性与恶性骨肿瘤的鉴别诊断和治疗原则。</w:t>
      </w:r>
    </w:p>
    <w:p w:rsidR="003717A0" w:rsidRDefault="003717A0">
      <w:pPr>
        <w:spacing w:line="360" w:lineRule="exact"/>
        <w:ind w:firstLine="435"/>
        <w:rPr>
          <w:szCs w:val="21"/>
        </w:rPr>
      </w:pPr>
      <w:r>
        <w:rPr>
          <w:rFonts w:hint="eastAsia"/>
          <w:szCs w:val="21"/>
        </w:rPr>
        <w:t>良性骨组织肿瘤（骨软骨瘤、软骨瘤、骨巨细胞瘤）的临床表现、诊断和治疗原则。</w:t>
      </w:r>
    </w:p>
    <w:p w:rsidR="003717A0" w:rsidRDefault="003717A0">
      <w:pPr>
        <w:spacing w:line="360" w:lineRule="exact"/>
        <w:ind w:firstLine="435"/>
        <w:rPr>
          <w:szCs w:val="21"/>
        </w:rPr>
      </w:pPr>
      <w:r>
        <w:rPr>
          <w:rFonts w:hint="eastAsia"/>
          <w:szCs w:val="21"/>
        </w:rPr>
        <w:t>原发性恶性骨组织瘤（骨肉瘤、骨纤维肉瘤）的临床表现、诊断和治疗原则。</w:t>
      </w:r>
    </w:p>
    <w:p w:rsidR="003717A0" w:rsidRDefault="003717A0">
      <w:pPr>
        <w:spacing w:line="360" w:lineRule="exact"/>
        <w:ind w:firstLine="435"/>
        <w:rPr>
          <w:szCs w:val="21"/>
        </w:rPr>
      </w:pPr>
      <w:r>
        <w:rPr>
          <w:rFonts w:hint="eastAsia"/>
          <w:szCs w:val="21"/>
        </w:rPr>
        <w:t>转移性骨肿瘤的临床表现及治疗原则。</w:t>
      </w:r>
    </w:p>
    <w:p w:rsidR="003717A0" w:rsidRDefault="003717A0">
      <w:pPr>
        <w:spacing w:line="360" w:lineRule="exact"/>
        <w:rPr>
          <w:szCs w:val="21"/>
        </w:rPr>
      </w:pPr>
      <w:r>
        <w:rPr>
          <w:rFonts w:hint="eastAsia"/>
          <w:szCs w:val="21"/>
        </w:rPr>
        <w:t>【自学内容】</w:t>
      </w:r>
    </w:p>
    <w:p w:rsidR="003717A0" w:rsidRDefault="003717A0">
      <w:pPr>
        <w:spacing w:line="360" w:lineRule="exact"/>
        <w:ind w:firstLine="435"/>
        <w:rPr>
          <w:szCs w:val="21"/>
        </w:rPr>
      </w:pPr>
      <w:r>
        <w:rPr>
          <w:rFonts w:hint="eastAsia"/>
          <w:szCs w:val="21"/>
        </w:rPr>
        <w:t>骨瘤、骨样骨瘤、骨囊肿的临床表现、诊断及治疗原则，原发性恶性骨附属组织肿瘤（尤文氏瘤、骨髓瘤）肿瘤样病变（动脉瘤样骨囊肿、嗜酸性肉芽肿、骨纤维异样增殖症）等的临床表现、诊断及治疗原则。</w:t>
      </w:r>
    </w:p>
    <w:p w:rsidR="003717A0" w:rsidRDefault="003717A0">
      <w:pPr>
        <w:ind w:firstLine="435"/>
        <w:rPr>
          <w:szCs w:val="21"/>
        </w:rPr>
      </w:pPr>
    </w:p>
    <w:p w:rsidR="003717A0" w:rsidRDefault="003717A0">
      <w:pPr>
        <w:ind w:firstLine="435"/>
        <w:rPr>
          <w:szCs w:val="21"/>
        </w:rPr>
      </w:pPr>
    </w:p>
    <w:p w:rsidR="003717A0" w:rsidRDefault="003717A0">
      <w:pPr>
        <w:jc w:val="center"/>
        <w:rPr>
          <w:b/>
          <w:sz w:val="28"/>
          <w:szCs w:val="28"/>
        </w:rPr>
      </w:pPr>
      <w:r>
        <w:rPr>
          <w:rFonts w:hint="eastAsia"/>
          <w:b/>
          <w:sz w:val="28"/>
          <w:szCs w:val="28"/>
        </w:rPr>
        <w:t>课程学时分配</w:t>
      </w:r>
    </w:p>
    <w:tbl>
      <w:tblPr>
        <w:tblW w:w="8336" w:type="dxa"/>
        <w:tblInd w:w="93" w:type="dxa"/>
        <w:tblLayout w:type="fixed"/>
        <w:tblLook w:val="00A0"/>
      </w:tblPr>
      <w:tblGrid>
        <w:gridCol w:w="2385"/>
        <w:gridCol w:w="30"/>
        <w:gridCol w:w="3173"/>
        <w:gridCol w:w="30"/>
        <w:gridCol w:w="1495"/>
        <w:gridCol w:w="1223"/>
      </w:tblGrid>
      <w:tr w:rsidR="003717A0">
        <w:trPr>
          <w:trHeight w:val="285"/>
        </w:trPr>
        <w:tc>
          <w:tcPr>
            <w:tcW w:w="2415" w:type="dxa"/>
            <w:gridSpan w:val="2"/>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内容</w:t>
            </w:r>
          </w:p>
        </w:tc>
        <w:tc>
          <w:tcPr>
            <w:tcW w:w="3173" w:type="dxa"/>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讲授</w:t>
            </w:r>
          </w:p>
        </w:tc>
        <w:tc>
          <w:tcPr>
            <w:tcW w:w="2748" w:type="dxa"/>
            <w:gridSpan w:val="3"/>
            <w:tcBorders>
              <w:top w:val="single" w:sz="4" w:space="0" w:color="auto"/>
              <w:left w:val="nil"/>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见习或实习</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普通外科</w:t>
            </w:r>
          </w:p>
        </w:tc>
        <w:tc>
          <w:tcPr>
            <w:tcW w:w="317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20</w:t>
            </w:r>
          </w:p>
        </w:tc>
        <w:tc>
          <w:tcPr>
            <w:tcW w:w="2748" w:type="dxa"/>
            <w:gridSpan w:val="3"/>
            <w:tcBorders>
              <w:top w:val="single" w:sz="4" w:space="0" w:color="auto"/>
              <w:left w:val="nil"/>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9</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骨科</w:t>
            </w:r>
          </w:p>
        </w:tc>
        <w:tc>
          <w:tcPr>
            <w:tcW w:w="317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20</w:t>
            </w:r>
          </w:p>
        </w:tc>
        <w:tc>
          <w:tcPr>
            <w:tcW w:w="2748" w:type="dxa"/>
            <w:gridSpan w:val="3"/>
            <w:tcBorders>
              <w:top w:val="single" w:sz="4" w:space="0" w:color="auto"/>
              <w:left w:val="nil"/>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9</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泌尿外科</w:t>
            </w:r>
          </w:p>
        </w:tc>
        <w:tc>
          <w:tcPr>
            <w:tcW w:w="317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8</w:t>
            </w:r>
          </w:p>
        </w:tc>
        <w:tc>
          <w:tcPr>
            <w:tcW w:w="2748" w:type="dxa"/>
            <w:gridSpan w:val="3"/>
            <w:tcBorders>
              <w:top w:val="single" w:sz="4" w:space="0" w:color="auto"/>
              <w:left w:val="nil"/>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6</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胸心外科</w:t>
            </w:r>
          </w:p>
        </w:tc>
        <w:tc>
          <w:tcPr>
            <w:tcW w:w="317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8</w:t>
            </w:r>
          </w:p>
        </w:tc>
        <w:tc>
          <w:tcPr>
            <w:tcW w:w="2748" w:type="dxa"/>
            <w:gridSpan w:val="3"/>
            <w:tcBorders>
              <w:top w:val="single" w:sz="4" w:space="0" w:color="auto"/>
              <w:left w:val="nil"/>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4</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神经外科</w:t>
            </w:r>
          </w:p>
        </w:tc>
        <w:tc>
          <w:tcPr>
            <w:tcW w:w="317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4</w:t>
            </w:r>
          </w:p>
        </w:tc>
        <w:tc>
          <w:tcPr>
            <w:tcW w:w="2748" w:type="dxa"/>
            <w:gridSpan w:val="3"/>
            <w:tcBorders>
              <w:top w:val="single" w:sz="4" w:space="0" w:color="auto"/>
              <w:left w:val="nil"/>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317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60</w:t>
            </w:r>
          </w:p>
        </w:tc>
        <w:tc>
          <w:tcPr>
            <w:tcW w:w="2748"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30</w:t>
            </w:r>
          </w:p>
        </w:tc>
      </w:tr>
      <w:tr w:rsidR="003717A0">
        <w:trPr>
          <w:trHeight w:val="285"/>
        </w:trPr>
        <w:tc>
          <w:tcPr>
            <w:tcW w:w="2415" w:type="dxa"/>
            <w:gridSpan w:val="2"/>
            <w:tcBorders>
              <w:top w:val="single" w:sz="4" w:space="0" w:color="auto"/>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合计</w:t>
            </w:r>
          </w:p>
        </w:tc>
        <w:tc>
          <w:tcPr>
            <w:tcW w:w="5921" w:type="dxa"/>
            <w:gridSpan w:val="4"/>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90</w:t>
            </w:r>
            <w:r>
              <w:rPr>
                <w:rFonts w:ascii="Times New Roman" w:hint="eastAsia"/>
              </w:rPr>
              <w:t>学时</w:t>
            </w:r>
          </w:p>
        </w:tc>
      </w:tr>
      <w:tr w:rsidR="003717A0">
        <w:trPr>
          <w:trHeight w:val="285"/>
        </w:trPr>
        <w:tc>
          <w:tcPr>
            <w:tcW w:w="8336" w:type="dxa"/>
            <w:gridSpan w:val="6"/>
            <w:tcBorders>
              <w:top w:val="single" w:sz="4" w:space="0" w:color="auto"/>
              <w:left w:val="single" w:sz="4" w:space="0" w:color="auto"/>
              <w:bottom w:val="single" w:sz="4" w:space="0" w:color="auto"/>
              <w:right w:val="single" w:sz="4" w:space="0" w:color="000000"/>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教学时间分配</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章节</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内容</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讲授</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见习</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lastRenderedPageBreak/>
              <w:t>第</w:t>
            </w:r>
            <w:r>
              <w:rPr>
                <w:rFonts w:ascii="Times New Roman"/>
              </w:rPr>
              <w:t>17</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颅内压增高</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18</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颅脑损伤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21</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脑和脊髓先天性畸形</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22</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颈部疾病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23</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乳房疾病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24</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胸部损伤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25</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胸壁胸膜疾病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26</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肺部疾病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27</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食管疾病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28</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原发性纵隔肿瘤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29</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心脏疾病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31</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腹外疝</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32</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腹部损伤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33</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急性化脓性腹膜炎</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34</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胃、十二指肠疾病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35</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小肠疾病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36</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阑尾疾病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37</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结、直肠与肛管疾病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38</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肝脏疾病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39</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门静脉高压症</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40</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胆道疾病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41</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上消化道大出血的鉴别诊断</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43</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胰腺疾病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45</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周围血管和淋巴管疾病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46</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泌尿、男生殖系统外科检查</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47</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泌尿男生殖系先天畸形</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48</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泌尿系损伤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49</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泌尿男生殖系感染</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50</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泌尿男生殖结核</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51</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泌尿系梗阻病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52</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尿石症</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single" w:sz="4" w:space="0" w:color="auto"/>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53</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泌尿及男生殖系肿瘤</w:t>
            </w:r>
          </w:p>
        </w:tc>
        <w:tc>
          <w:tcPr>
            <w:tcW w:w="1495" w:type="dxa"/>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54</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泌尿男生殖系的其他疾病</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56</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男性计划生育</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58</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骨折概论</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59</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上肢骨、关节损伤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60</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手外伤及断肢（指）再植</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lastRenderedPageBreak/>
              <w:t>第</w:t>
            </w:r>
            <w:r>
              <w:rPr>
                <w:rFonts w:ascii="Times New Roman"/>
              </w:rPr>
              <w:t>61</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下肢骨、关节损伤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62</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脊柱、脊髓损伤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63</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骨盆、髋臼骨折</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64</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周围神经损伤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65</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运动系统慢性损伤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67</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椎间盘突出症</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68</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骨与关节化脓性感染</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69</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骨与关节结核</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70</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非化脓性关节炎</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p>
        </w:tc>
      </w:tr>
      <w:tr w:rsidR="003717A0">
        <w:trPr>
          <w:trHeight w:val="285"/>
        </w:trPr>
        <w:tc>
          <w:tcPr>
            <w:tcW w:w="2385" w:type="dxa"/>
            <w:tcBorders>
              <w:top w:val="nil"/>
              <w:left w:val="single" w:sz="4" w:space="0" w:color="auto"/>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第</w:t>
            </w:r>
            <w:r>
              <w:rPr>
                <w:rFonts w:ascii="Times New Roman"/>
              </w:rPr>
              <w:t>71</w:t>
            </w:r>
            <w:r>
              <w:rPr>
                <w:rFonts w:ascii="Times New Roman" w:hint="eastAsia"/>
              </w:rPr>
              <w:t>章</w:t>
            </w:r>
          </w:p>
        </w:tc>
        <w:tc>
          <w:tcPr>
            <w:tcW w:w="3233" w:type="dxa"/>
            <w:gridSpan w:val="3"/>
            <w:tcBorders>
              <w:top w:val="single" w:sz="4" w:space="0" w:color="auto"/>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hint="eastAsia"/>
              </w:rPr>
              <w:t>骨肿瘤</w:t>
            </w:r>
          </w:p>
        </w:tc>
        <w:tc>
          <w:tcPr>
            <w:tcW w:w="1495"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2</w:t>
            </w:r>
          </w:p>
        </w:tc>
        <w:tc>
          <w:tcPr>
            <w:tcW w:w="1223" w:type="dxa"/>
            <w:tcBorders>
              <w:top w:val="nil"/>
              <w:left w:val="nil"/>
              <w:bottom w:val="single" w:sz="4" w:space="0" w:color="auto"/>
              <w:right w:val="single" w:sz="4" w:space="0" w:color="auto"/>
            </w:tcBorders>
            <w:vAlign w:val="center"/>
          </w:tcPr>
          <w:p w:rsidR="003717A0" w:rsidRDefault="003717A0">
            <w:pPr>
              <w:adjustRightInd w:val="0"/>
              <w:snapToGrid w:val="0"/>
              <w:spacing w:line="360" w:lineRule="exact"/>
              <w:ind w:right="4" w:firstLineChars="200" w:firstLine="420"/>
              <w:rPr>
                <w:rFonts w:ascii="Times New Roman"/>
              </w:rPr>
            </w:pPr>
            <w:r>
              <w:rPr>
                <w:rFonts w:ascii="Times New Roman"/>
              </w:rPr>
              <w:t>1</w:t>
            </w:r>
          </w:p>
        </w:tc>
      </w:tr>
    </w:tbl>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exact"/>
        <w:ind w:right="4" w:firstLineChars="200" w:firstLine="420"/>
        <w:rPr>
          <w:rFonts w:ascii="Times New Roman"/>
        </w:rPr>
      </w:pPr>
      <w:r>
        <w:rPr>
          <w:rFonts w:ascii="Times New Roman" w:hint="eastAsia"/>
        </w:rPr>
        <w:t>多媒体教室。附属医外科病区。</w:t>
      </w:r>
    </w:p>
    <w:p w:rsidR="003717A0" w:rsidRDefault="003717A0">
      <w:pPr>
        <w:autoSpaceDE w:val="0"/>
        <w:autoSpaceDN w:val="0"/>
        <w:adjustRightInd w:val="0"/>
        <w:snapToGrid w:val="0"/>
        <w:spacing w:line="360" w:lineRule="exact"/>
        <w:ind w:firstLineChars="200" w:firstLine="420"/>
        <w:jc w:val="left"/>
        <w:rPr>
          <w:rFonts w:ascii="Times New Roman"/>
        </w:rPr>
      </w:pPr>
      <w:r>
        <w:rPr>
          <w:rFonts w:ascii="Times New Roman" w:hint="eastAsia"/>
        </w:rPr>
        <w:t>多媒体教学课件。</w:t>
      </w:r>
    </w:p>
    <w:p w:rsidR="003717A0" w:rsidRDefault="003717A0">
      <w:pPr>
        <w:autoSpaceDE w:val="0"/>
        <w:autoSpaceDN w:val="0"/>
        <w:adjustRightInd w:val="0"/>
        <w:snapToGrid w:val="0"/>
        <w:spacing w:line="360" w:lineRule="exact"/>
        <w:ind w:firstLineChars="200" w:firstLine="420"/>
        <w:jc w:val="left"/>
        <w:rPr>
          <w:rFonts w:ascii="Times New Roman" w:eastAsia="黑体" w:hAnsi="Times New Roman"/>
          <w:b/>
          <w:kern w:val="0"/>
          <w:sz w:val="24"/>
          <w:szCs w:val="24"/>
        </w:rPr>
      </w:pPr>
      <w:r>
        <w:rPr>
          <w:rFonts w:ascii="Times New Roman" w:hint="eastAsia"/>
        </w:rPr>
        <w:t>电教片。</w:t>
      </w: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exact"/>
        <w:ind w:right="4" w:firstLineChars="200" w:firstLine="420"/>
        <w:rPr>
          <w:rFonts w:ascii="Times New Roman"/>
        </w:rPr>
      </w:pPr>
      <w:r>
        <w:rPr>
          <w:rFonts w:ascii="Times New Roman" w:hint="eastAsia"/>
        </w:rPr>
        <w:t>本课程考试采用闭卷考核方法，时间为</w:t>
      </w:r>
      <w:r>
        <w:rPr>
          <w:rFonts w:ascii="Times New Roman"/>
        </w:rPr>
        <w:t xml:space="preserve">2 </w:t>
      </w:r>
      <w:r>
        <w:rPr>
          <w:rFonts w:ascii="Times New Roman" w:hint="eastAsia"/>
        </w:rPr>
        <w:t>小时。</w:t>
      </w:r>
    </w:p>
    <w:p w:rsidR="003717A0" w:rsidRDefault="003717A0">
      <w:pPr>
        <w:adjustRightInd w:val="0"/>
        <w:snapToGrid w:val="0"/>
        <w:spacing w:line="360" w:lineRule="exact"/>
        <w:ind w:right="4" w:firstLineChars="200" w:firstLine="420"/>
        <w:rPr>
          <w:rFonts w:ascii="Times New Roman"/>
        </w:rPr>
      </w:pPr>
      <w:r>
        <w:rPr>
          <w:rFonts w:ascii="Times New Roman" w:hint="eastAsia"/>
        </w:rPr>
        <w:t>期末考试成绩占总成绩的</w:t>
      </w:r>
      <w:r>
        <w:rPr>
          <w:rFonts w:ascii="Times New Roman"/>
        </w:rPr>
        <w:t>100%</w:t>
      </w:r>
      <w:r>
        <w:rPr>
          <w:rFonts w:ascii="Times New Roman" w:hint="eastAsia"/>
        </w:rPr>
        <w:t>。</w:t>
      </w:r>
    </w:p>
    <w:p w:rsidR="003717A0" w:rsidRDefault="003717A0">
      <w:pPr>
        <w:adjustRightInd w:val="0"/>
        <w:snapToGrid w:val="0"/>
        <w:spacing w:line="360" w:lineRule="exact"/>
        <w:ind w:right="4" w:firstLineChars="200" w:firstLine="420"/>
        <w:rPr>
          <w:rFonts w:ascii="Times New Roman"/>
        </w:rPr>
      </w:pPr>
      <w:r>
        <w:rPr>
          <w:rFonts w:ascii="Times New Roman" w:hint="eastAsia"/>
        </w:rPr>
        <w:t>此外平时采用课堂提问、小测验（不计入总分）并及时讲解等多种形成性评价方法，注意收集学生反馈意见，掌握学生学习情况；同时让学生也对自己的知识掌握情况有所了解，并及时发现和纠正对知识的理解有所偏差的部分。</w:t>
      </w:r>
    </w:p>
    <w:p w:rsidR="003717A0" w:rsidRDefault="003717A0">
      <w:pPr>
        <w:autoSpaceDE w:val="0"/>
        <w:autoSpaceDN w:val="0"/>
        <w:adjustRightInd w:val="0"/>
        <w:snapToGrid w:val="0"/>
        <w:spacing w:line="36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exact"/>
        <w:ind w:right="4" w:firstLineChars="200" w:firstLine="420"/>
        <w:rPr>
          <w:rFonts w:ascii="Times New Roman"/>
        </w:rPr>
      </w:pPr>
      <w:r>
        <w:rPr>
          <w:rFonts w:ascii="Times New Roman" w:hint="eastAsia"/>
        </w:rPr>
        <w:t>陈孝平、汪建平主编</w:t>
      </w:r>
      <w:r>
        <w:rPr>
          <w:rFonts w:ascii="Times New Roman"/>
        </w:rPr>
        <w:t>.</w:t>
      </w:r>
      <w:r>
        <w:rPr>
          <w:rFonts w:ascii="Times New Roman" w:hint="eastAsia"/>
        </w:rPr>
        <w:t>《外科学》第八版</w:t>
      </w:r>
      <w:r>
        <w:rPr>
          <w:rFonts w:ascii="Times New Roman"/>
        </w:rPr>
        <w:t>.</w:t>
      </w:r>
      <w:r>
        <w:rPr>
          <w:rFonts w:ascii="Times New Roman" w:hint="eastAsia"/>
        </w:rPr>
        <w:t>北京：人民卫生出版社，</w:t>
      </w:r>
      <w:r>
        <w:rPr>
          <w:rFonts w:ascii="Times New Roman"/>
        </w:rPr>
        <w:t>2013</w:t>
      </w:r>
    </w:p>
    <w:p w:rsidR="003717A0" w:rsidRDefault="003717A0">
      <w:pPr>
        <w:adjustRightInd w:val="0"/>
        <w:snapToGrid w:val="0"/>
        <w:spacing w:line="360" w:lineRule="exact"/>
        <w:ind w:right="4" w:firstLineChars="200" w:firstLine="420"/>
        <w:rPr>
          <w:rFonts w:ascii="Times New Roman"/>
        </w:rPr>
      </w:pPr>
      <w:r>
        <w:rPr>
          <w:rFonts w:ascii="Times New Roman" w:hint="eastAsia"/>
        </w:rPr>
        <w:t>杨镇主编</w:t>
      </w:r>
      <w:r>
        <w:rPr>
          <w:rFonts w:ascii="Times New Roman"/>
        </w:rPr>
        <w:t>.</w:t>
      </w:r>
      <w:r>
        <w:rPr>
          <w:rFonts w:ascii="Times New Roman" w:hint="eastAsia"/>
        </w:rPr>
        <w:t>《外科学实习医生手册》第五版</w:t>
      </w:r>
      <w:r>
        <w:rPr>
          <w:rFonts w:ascii="Times New Roman"/>
        </w:rPr>
        <w:t>.</w:t>
      </w:r>
      <w:r>
        <w:rPr>
          <w:rFonts w:ascii="Times New Roman" w:hint="eastAsia"/>
        </w:rPr>
        <w:t>北京：人民卫生出版社，</w:t>
      </w:r>
      <w:r>
        <w:rPr>
          <w:rFonts w:ascii="Times New Roman"/>
        </w:rPr>
        <w:t>2013</w:t>
      </w:r>
    </w:p>
    <w:p w:rsidR="003717A0" w:rsidRDefault="003717A0">
      <w:pPr>
        <w:adjustRightInd w:val="0"/>
        <w:snapToGrid w:val="0"/>
        <w:spacing w:line="360" w:lineRule="exact"/>
        <w:ind w:right="4" w:firstLineChars="200" w:firstLine="420"/>
        <w:rPr>
          <w:rFonts w:ascii="Times New Roman"/>
        </w:rPr>
      </w:pPr>
      <w:r>
        <w:rPr>
          <w:rFonts w:ascii="Times New Roman" w:hint="eastAsia"/>
        </w:rPr>
        <w:t>吴国豪主编</w:t>
      </w:r>
      <w:r>
        <w:rPr>
          <w:rFonts w:ascii="Times New Roman"/>
        </w:rPr>
        <w:t>.</w:t>
      </w:r>
      <w:r>
        <w:rPr>
          <w:rFonts w:ascii="Times New Roman" w:hint="eastAsia"/>
        </w:rPr>
        <w:t>《外科学学习指导与习题集》第三版</w:t>
      </w:r>
      <w:r>
        <w:rPr>
          <w:rFonts w:ascii="Times New Roman"/>
        </w:rPr>
        <w:t>.</w:t>
      </w:r>
      <w:r>
        <w:rPr>
          <w:rFonts w:ascii="Times New Roman" w:hint="eastAsia"/>
        </w:rPr>
        <w:t>北京：人民卫生出版社，</w:t>
      </w:r>
      <w:r>
        <w:rPr>
          <w:rFonts w:ascii="Times New Roman"/>
        </w:rPr>
        <w:t>2013</w:t>
      </w:r>
    </w:p>
    <w:p w:rsidR="003717A0" w:rsidRDefault="003717A0">
      <w:pPr>
        <w:adjustRightInd w:val="0"/>
        <w:snapToGrid w:val="0"/>
        <w:spacing w:line="360" w:lineRule="exact"/>
        <w:ind w:right="4" w:firstLineChars="200" w:firstLine="420"/>
        <w:rPr>
          <w:rFonts w:ascii="Times New Roman"/>
        </w:rPr>
      </w:pPr>
      <w:r>
        <w:rPr>
          <w:rFonts w:ascii="Times New Roman"/>
        </w:rPr>
        <w:t xml:space="preserve">                                                    </w:t>
      </w:r>
    </w:p>
    <w:p w:rsidR="003717A0" w:rsidRPr="00566E4D" w:rsidRDefault="003717A0">
      <w:pPr>
        <w:adjustRightInd w:val="0"/>
        <w:snapToGrid w:val="0"/>
        <w:spacing w:line="360" w:lineRule="exact"/>
        <w:ind w:right="4" w:firstLineChars="200" w:firstLine="420"/>
        <w:rPr>
          <w:rFonts w:ascii="黑体" w:eastAsia="黑体" w:hAnsi="黑体"/>
        </w:rPr>
      </w:pPr>
      <w:r w:rsidRPr="00566E4D">
        <w:rPr>
          <w:rFonts w:ascii="黑体" w:eastAsia="黑体" w:hAnsi="黑体"/>
        </w:rPr>
        <w:t xml:space="preserve">                                                    </w:t>
      </w:r>
      <w:r w:rsidRPr="00566E4D">
        <w:rPr>
          <w:rFonts w:ascii="黑体" w:eastAsia="黑体" w:hAnsi="黑体" w:hint="eastAsia"/>
        </w:rPr>
        <w:t>制定者：王庆庆</w:t>
      </w:r>
    </w:p>
    <w:p w:rsidR="003717A0" w:rsidRPr="00566E4D" w:rsidRDefault="003717A0" w:rsidP="00566E4D">
      <w:pPr>
        <w:adjustRightInd w:val="0"/>
        <w:snapToGrid w:val="0"/>
        <w:spacing w:line="360" w:lineRule="exact"/>
        <w:ind w:right="4" w:firstLineChars="200" w:firstLine="420"/>
        <w:rPr>
          <w:rFonts w:ascii="黑体" w:eastAsia="黑体" w:hAnsi="黑体"/>
        </w:rPr>
      </w:pPr>
      <w:r w:rsidRPr="00566E4D">
        <w:rPr>
          <w:rFonts w:ascii="黑体" w:eastAsia="黑体" w:hAnsi="黑体"/>
        </w:rPr>
        <w:t xml:space="preserve">                                                    </w:t>
      </w:r>
      <w:r w:rsidRPr="00566E4D">
        <w:rPr>
          <w:rFonts w:ascii="黑体" w:eastAsia="黑体" w:hAnsi="黑体" w:hint="eastAsia"/>
        </w:rPr>
        <w:t>审核者：王志伟</w:t>
      </w:r>
      <w:r w:rsidRPr="00566E4D">
        <w:rPr>
          <w:rFonts w:ascii="黑体" w:eastAsia="黑体" w:hAnsi="黑体"/>
        </w:rPr>
        <w:t xml:space="preserve"> </w:t>
      </w:r>
      <w:r w:rsidRPr="00566E4D">
        <w:rPr>
          <w:rFonts w:ascii="黑体" w:eastAsia="黑体" w:hAnsi="黑体" w:hint="eastAsia"/>
        </w:rPr>
        <w:t>王华</w:t>
      </w:r>
    </w:p>
    <w:p w:rsidR="003717A0" w:rsidRDefault="003717A0"/>
    <w:p w:rsidR="003717A0" w:rsidRDefault="003717A0">
      <w:pPr>
        <w:autoSpaceDE w:val="0"/>
        <w:autoSpaceDN w:val="0"/>
        <w:adjustRightInd w:val="0"/>
        <w:spacing w:line="360" w:lineRule="exact"/>
        <w:ind w:leftChars="3510" w:left="7371" w:firstLineChars="157" w:firstLine="283"/>
        <w:jc w:val="left"/>
        <w:rPr>
          <w:rFonts w:ascii="黑体" w:eastAsia="黑体" w:cs="黑体"/>
          <w:kern w:val="0"/>
          <w:sz w:val="18"/>
          <w:szCs w:val="18"/>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numPr>
          <w:ilvl w:val="0"/>
          <w:numId w:val="499"/>
        </w:numPr>
        <w:adjustRightInd w:val="0"/>
        <w:snapToGrid w:val="0"/>
        <w:spacing w:line="400" w:lineRule="exact"/>
        <w:ind w:right="4" w:hanging="660"/>
        <w:rPr>
          <w:rFonts w:ascii="Times New Roman"/>
        </w:rPr>
      </w:pPr>
      <w:r>
        <w:rPr>
          <w:rFonts w:ascii="Times New Roman" w:hint="eastAsia"/>
        </w:rPr>
        <w:t>修读完本课程规定内容的康复治疗学专业的本科学生；</w:t>
      </w:r>
    </w:p>
    <w:p w:rsidR="003717A0" w:rsidRDefault="003717A0">
      <w:pPr>
        <w:numPr>
          <w:ilvl w:val="0"/>
          <w:numId w:val="499"/>
        </w:numPr>
        <w:adjustRightInd w:val="0"/>
        <w:snapToGrid w:val="0"/>
        <w:spacing w:line="400" w:lineRule="exact"/>
        <w:ind w:right="4" w:hanging="660"/>
        <w:rPr>
          <w:rFonts w:ascii="Times New Roman"/>
        </w:rPr>
      </w:pPr>
      <w:r>
        <w:rPr>
          <w:rFonts w:ascii="Times New Roman" w:hint="eastAsia"/>
        </w:rPr>
        <w:t>提出并获准免修本课程、申请进行课程水平考核的康复治疗学专业的本科学生。</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00" w:lineRule="exact"/>
        <w:ind w:firstLineChars="193" w:firstLine="405"/>
        <w:jc w:val="left"/>
        <w:rPr>
          <w:rFonts w:ascii="宋体"/>
          <w:szCs w:val="21"/>
        </w:rPr>
      </w:pPr>
      <w:r>
        <w:rPr>
          <w:rFonts w:ascii="宋体" w:hAnsi="宋体" w:hint="eastAsia"/>
          <w:szCs w:val="21"/>
        </w:rPr>
        <w:t>通过考核来检查和了解学生对本门课程内容的掌握程度，考核学生对</w:t>
      </w:r>
      <w:r>
        <w:rPr>
          <w:rFonts w:hint="eastAsia"/>
        </w:rPr>
        <w:t>外科常见疾病介绍其病因、发展规律、病理、临床表现、系统检查、诊断要点、鉴别诊断、预防和治疗原则、手术适应证等</w:t>
      </w:r>
      <w:r>
        <w:rPr>
          <w:rFonts w:ascii="宋体" w:hAnsi="宋体" w:hint="eastAsia"/>
          <w:szCs w:val="21"/>
        </w:rPr>
        <w:t>知识的理解和掌握情况，并可通过考核促使、帮助学生掌握相关知识。</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00" w:lineRule="exact"/>
        <w:ind w:firstLineChars="200" w:firstLine="420"/>
        <w:jc w:val="left"/>
        <w:rPr>
          <w:rFonts w:ascii="Times New Roman" w:eastAsia="黑体" w:hAnsi="Times New Roman"/>
          <w:b/>
          <w:kern w:val="0"/>
          <w:sz w:val="24"/>
          <w:szCs w:val="24"/>
        </w:rPr>
      </w:pPr>
      <w:r>
        <w:rPr>
          <w:rFonts w:ascii="宋体" w:hAnsi="宋体" w:hint="eastAsia"/>
          <w:szCs w:val="21"/>
        </w:rPr>
        <w:t>期末闭卷理论考核及外科操作考核</w:t>
      </w:r>
      <w:r>
        <w:rPr>
          <w:rFonts w:hint="eastAsia"/>
          <w:sz w:val="22"/>
        </w:rPr>
        <w:t>。</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00" w:lineRule="exact"/>
        <w:ind w:firstLineChars="200" w:firstLine="420"/>
        <w:jc w:val="left"/>
        <w:rPr>
          <w:rFonts w:ascii="Times New Roman" w:eastAsia="黑体" w:hAnsi="Times New Roman"/>
          <w:b/>
          <w:kern w:val="0"/>
          <w:sz w:val="24"/>
          <w:szCs w:val="24"/>
        </w:rPr>
      </w:pPr>
      <w:r>
        <w:rPr>
          <w:rFonts w:ascii="宋体" w:hAnsi="宋体" w:hint="eastAsia"/>
          <w:szCs w:val="21"/>
        </w:rPr>
        <w:t>期末考试</w:t>
      </w:r>
      <w:r>
        <w:rPr>
          <w:rFonts w:ascii="宋体" w:hAnsi="宋体"/>
          <w:szCs w:val="21"/>
        </w:rPr>
        <w:t>100%</w:t>
      </w:r>
    </w:p>
    <w:p w:rsidR="003717A0" w:rsidRDefault="003717A0">
      <w:pPr>
        <w:autoSpaceDE w:val="0"/>
        <w:autoSpaceDN w:val="0"/>
        <w:adjustRightInd w:val="0"/>
        <w:snapToGrid w:val="0"/>
        <w:spacing w:line="40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0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00" w:lineRule="exact"/>
        <w:ind w:firstLineChars="192" w:firstLine="403"/>
        <w:jc w:val="left"/>
      </w:pPr>
      <w:r>
        <w:rPr>
          <w:rFonts w:hint="eastAsia"/>
        </w:rPr>
        <w:t>外科常见疾病介绍其病因、发展规律、病理、临床表现、系统检查、诊断要点、鉴别诊断、预防和治疗原则、手术适应证等</w:t>
      </w:r>
    </w:p>
    <w:p w:rsidR="003717A0" w:rsidRDefault="003717A0">
      <w:pPr>
        <w:autoSpaceDE w:val="0"/>
        <w:autoSpaceDN w:val="0"/>
        <w:adjustRightInd w:val="0"/>
        <w:spacing w:line="40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00" w:lineRule="exact"/>
        <w:ind w:firstLineChars="192" w:firstLine="422"/>
        <w:jc w:val="left"/>
        <w:rPr>
          <w:sz w:val="22"/>
        </w:rPr>
      </w:pPr>
      <w:r>
        <w:rPr>
          <w:rFonts w:hint="eastAsia"/>
          <w:sz w:val="22"/>
        </w:rPr>
        <w:t>通过上述知识点的考核，反映学生对外科基本概念、各种常见外科疾病的诊断及治疗知识的掌握情况。</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eastAsia="黑体"/>
          <w:b/>
          <w:kern w:val="0"/>
          <w:sz w:val="24"/>
        </w:rPr>
      </w:pPr>
      <w:r>
        <w:rPr>
          <w:rFonts w:eastAsia="黑体" w:hint="eastAsia"/>
          <w:b/>
          <w:kern w:val="0"/>
          <w:sz w:val="24"/>
        </w:rPr>
        <w:t>外科学课程考试试题</w:t>
      </w:r>
    </w:p>
    <w:p w:rsidR="003717A0" w:rsidRDefault="003717A0">
      <w:pPr>
        <w:autoSpaceDE w:val="0"/>
        <w:autoSpaceDN w:val="0"/>
        <w:adjustRightInd w:val="0"/>
        <w:snapToGrid w:val="0"/>
        <w:spacing w:line="440" w:lineRule="exact"/>
        <w:jc w:val="center"/>
        <w:rPr>
          <w:kern w:val="0"/>
          <w:sz w:val="22"/>
        </w:rPr>
      </w:pPr>
      <w:r>
        <w:rPr>
          <w:kern w:val="0"/>
          <w:sz w:val="22"/>
          <w:u w:val="single"/>
        </w:rPr>
        <w:t xml:space="preserve">  </w:t>
      </w:r>
      <w:r>
        <w:rPr>
          <w:rFonts w:hint="eastAsia"/>
          <w:kern w:val="0"/>
          <w:sz w:val="22"/>
          <w:u w:val="single"/>
        </w:rPr>
        <w:t>ⅩⅩⅩⅩⅩ</w:t>
      </w:r>
      <w:r>
        <w:rPr>
          <w:kern w:val="0"/>
          <w:sz w:val="22"/>
          <w:u w:val="single"/>
        </w:rPr>
        <w:t>---</w:t>
      </w:r>
      <w:r>
        <w:rPr>
          <w:rFonts w:hint="eastAsia"/>
          <w:kern w:val="0"/>
          <w:sz w:val="22"/>
          <w:u w:val="single"/>
        </w:rPr>
        <w:t>ⅩⅩⅩ</w:t>
      </w:r>
      <w:r>
        <w:rPr>
          <w:kern w:val="0"/>
          <w:sz w:val="22"/>
          <w:u w:val="single"/>
        </w:rPr>
        <w:t xml:space="preserve"> </w:t>
      </w:r>
      <w:r>
        <w:rPr>
          <w:rFonts w:hint="eastAsia"/>
          <w:kern w:val="0"/>
          <w:sz w:val="22"/>
        </w:rPr>
        <w:t>学年</w:t>
      </w:r>
      <w:r>
        <w:rPr>
          <w:sz w:val="32"/>
          <w:u w:val="single"/>
        </w:rPr>
        <w:t xml:space="preserve"> </w:t>
      </w:r>
      <w:r>
        <w:rPr>
          <w:rFonts w:hint="eastAsia"/>
          <w:kern w:val="0"/>
          <w:sz w:val="22"/>
          <w:u w:val="single"/>
        </w:rPr>
        <w:t>ⅩⅩ</w:t>
      </w:r>
      <w:r>
        <w:rPr>
          <w:kern w:val="0"/>
          <w:sz w:val="22"/>
          <w:u w:val="single"/>
        </w:rPr>
        <w:t xml:space="preserve"> </w:t>
      </w:r>
      <w:r>
        <w:rPr>
          <w:rFonts w:hint="eastAsia"/>
          <w:kern w:val="0"/>
          <w:sz w:val="22"/>
        </w:rPr>
        <w:t>学期</w:t>
      </w:r>
      <w:r>
        <w:rPr>
          <w:sz w:val="32"/>
          <w:u w:val="single"/>
        </w:rPr>
        <w:t xml:space="preserve">  </w:t>
      </w:r>
      <w:r>
        <w:rPr>
          <w:rFonts w:hint="eastAsia"/>
          <w:kern w:val="0"/>
          <w:sz w:val="22"/>
          <w:u w:val="single"/>
        </w:rPr>
        <w:t>康复治疗学ⅩⅩⅩ</w:t>
      </w:r>
      <w:r>
        <w:rPr>
          <w:kern w:val="0"/>
          <w:sz w:val="22"/>
          <w:u w:val="single"/>
        </w:rPr>
        <w:t xml:space="preserve">  </w:t>
      </w:r>
      <w:r>
        <w:rPr>
          <w:rFonts w:hint="eastAsia"/>
          <w:kern w:val="0"/>
          <w:sz w:val="22"/>
        </w:rPr>
        <w:t>班级</w:t>
      </w:r>
    </w:p>
    <w:p w:rsidR="003717A0" w:rsidRDefault="003717A0">
      <w:pPr>
        <w:autoSpaceDE w:val="0"/>
        <w:autoSpaceDN w:val="0"/>
        <w:adjustRightInd w:val="0"/>
        <w:spacing w:line="440" w:lineRule="exact"/>
        <w:ind w:firstLineChars="193" w:firstLine="426"/>
        <w:jc w:val="center"/>
        <w:rPr>
          <w:b/>
          <w:kern w:val="0"/>
          <w:sz w:val="22"/>
        </w:rPr>
      </w:pPr>
      <w:r>
        <w:rPr>
          <w:rFonts w:hint="eastAsia"/>
          <w:b/>
          <w:kern w:val="0"/>
          <w:sz w:val="22"/>
        </w:rPr>
        <w:t>时间：</w:t>
      </w:r>
      <w:r>
        <w:rPr>
          <w:b/>
          <w:kern w:val="0"/>
          <w:sz w:val="22"/>
        </w:rPr>
        <w:t>120</w:t>
      </w:r>
      <w:r>
        <w:rPr>
          <w:rFonts w:hint="eastAsia"/>
          <w:b/>
          <w:kern w:val="0"/>
          <w:sz w:val="22"/>
        </w:rPr>
        <w:t>分钟</w:t>
      </w:r>
      <w:r>
        <w:rPr>
          <w:b/>
          <w:kern w:val="0"/>
          <w:sz w:val="22"/>
        </w:rPr>
        <w:t xml:space="preserve">     </w:t>
      </w:r>
      <w:r>
        <w:rPr>
          <w:rFonts w:hint="eastAsia"/>
          <w:b/>
          <w:kern w:val="0"/>
          <w:sz w:val="22"/>
        </w:rPr>
        <w:t>总分：</w:t>
      </w:r>
      <w:r>
        <w:rPr>
          <w:b/>
          <w:kern w:val="0"/>
          <w:sz w:val="22"/>
        </w:rPr>
        <w:t>100</w:t>
      </w:r>
      <w:r>
        <w:rPr>
          <w:rFonts w:hint="eastAsia"/>
          <w:b/>
          <w:kern w:val="0"/>
          <w:sz w:val="22"/>
        </w:rPr>
        <w:t>分</w:t>
      </w:r>
    </w:p>
    <w:p w:rsidR="003717A0" w:rsidRDefault="003717A0">
      <w:pPr>
        <w:autoSpaceDE w:val="0"/>
        <w:autoSpaceDN w:val="0"/>
        <w:adjustRightInd w:val="0"/>
        <w:spacing w:line="360" w:lineRule="auto"/>
        <w:jc w:val="left"/>
        <w:rPr>
          <w:sz w:val="24"/>
        </w:rPr>
      </w:pPr>
      <w:r>
        <w:rPr>
          <w:rFonts w:hint="eastAsia"/>
          <w:sz w:val="24"/>
        </w:rPr>
        <w:t>神经外科</w:t>
      </w:r>
      <w:r>
        <w:rPr>
          <w:sz w:val="24"/>
        </w:rPr>
        <w:t xml:space="preserve">      10</w:t>
      </w:r>
      <w:r>
        <w:rPr>
          <w:rFonts w:hint="eastAsia"/>
          <w:sz w:val="24"/>
        </w:rPr>
        <w:t>分</w:t>
      </w:r>
    </w:p>
    <w:p w:rsidR="003717A0" w:rsidRDefault="003717A0">
      <w:r>
        <w:rPr>
          <w:rFonts w:hint="eastAsia"/>
        </w:rPr>
        <w:t>一、名词解释</w:t>
      </w:r>
      <w:r>
        <w:rPr>
          <w:rFonts w:ascii="宋体" w:hAnsi="宋体" w:hint="eastAsia"/>
          <w:szCs w:val="21"/>
        </w:rPr>
        <w:t>（每题</w:t>
      </w:r>
      <w:r>
        <w:rPr>
          <w:rFonts w:ascii="宋体" w:hAnsi="宋体"/>
          <w:szCs w:val="21"/>
        </w:rPr>
        <w:t>3</w:t>
      </w:r>
      <w:r>
        <w:rPr>
          <w:rFonts w:ascii="宋体" w:hAnsi="宋体" w:hint="eastAsia"/>
          <w:szCs w:val="21"/>
        </w:rPr>
        <w:t>分，共</w:t>
      </w:r>
      <w:r>
        <w:rPr>
          <w:rFonts w:ascii="宋体" w:hAnsi="宋体"/>
          <w:szCs w:val="21"/>
        </w:rPr>
        <w:t>6</w:t>
      </w:r>
      <w:r>
        <w:rPr>
          <w:rFonts w:ascii="宋体" w:hAnsi="宋体" w:hint="eastAsia"/>
          <w:szCs w:val="21"/>
        </w:rPr>
        <w:t>分）</w:t>
      </w:r>
    </w:p>
    <w:p w:rsidR="003717A0" w:rsidRDefault="003717A0">
      <w:r>
        <w:t>1.</w:t>
      </w:r>
      <w:r>
        <w:rPr>
          <w:rFonts w:hint="eastAsia"/>
        </w:rPr>
        <w:t>熊猫眼征</w:t>
      </w:r>
    </w:p>
    <w:p w:rsidR="003717A0" w:rsidRDefault="003717A0"/>
    <w:p w:rsidR="003717A0" w:rsidRDefault="003717A0">
      <w:pPr>
        <w:rPr>
          <w:rFonts w:ascii="宋体"/>
          <w:sz w:val="24"/>
          <w:lang w:val="zh-CN"/>
        </w:rPr>
      </w:pPr>
      <w:r>
        <w:t>2. .Battle</w:t>
      </w:r>
      <w:r>
        <w:rPr>
          <w:rFonts w:hint="eastAsia"/>
        </w:rPr>
        <w:t>征</w:t>
      </w:r>
    </w:p>
    <w:p w:rsidR="003717A0" w:rsidRDefault="003717A0"/>
    <w:p w:rsidR="003717A0" w:rsidRDefault="003717A0">
      <w:pPr>
        <w:rPr>
          <w:rStyle w:val="javascript"/>
          <w:rFonts w:ascii="Tahoma" w:hAnsi="Tahoma" w:cs="Tahoma"/>
          <w:szCs w:val="21"/>
        </w:rPr>
      </w:pPr>
      <w:r>
        <w:rPr>
          <w:rStyle w:val="javascript"/>
          <w:rFonts w:ascii="Tahoma" w:hAnsi="Tahoma" w:cs="Tahoma" w:hint="eastAsia"/>
          <w:szCs w:val="21"/>
        </w:rPr>
        <w:t>二、简答题（</w:t>
      </w:r>
      <w:r>
        <w:rPr>
          <w:rStyle w:val="javascript"/>
          <w:rFonts w:ascii="Tahoma" w:hAnsi="Tahoma" w:cs="Tahoma"/>
          <w:szCs w:val="21"/>
        </w:rPr>
        <w:t>4</w:t>
      </w:r>
      <w:r>
        <w:rPr>
          <w:rStyle w:val="javascript"/>
          <w:rFonts w:ascii="Tahoma" w:hAnsi="Tahoma" w:cs="Tahoma" w:hint="eastAsia"/>
          <w:szCs w:val="21"/>
        </w:rPr>
        <w:t>分）</w:t>
      </w:r>
    </w:p>
    <w:p w:rsidR="003717A0" w:rsidRDefault="003717A0">
      <w:pPr>
        <w:ind w:firstLineChars="50" w:firstLine="105"/>
        <w:rPr>
          <w:szCs w:val="21"/>
        </w:rPr>
      </w:pPr>
      <w:r>
        <w:rPr>
          <w:rStyle w:val="javascript"/>
          <w:rFonts w:ascii="Tahoma" w:hAnsi="Tahoma" w:cs="Tahoma" w:hint="eastAsia"/>
          <w:szCs w:val="21"/>
        </w:rPr>
        <w:t>试述小脑幕切迹疝的临床表现</w:t>
      </w:r>
      <w:r>
        <w:rPr>
          <w:rFonts w:hint="eastAsia"/>
          <w:szCs w:val="21"/>
        </w:rPr>
        <w:t>？</w:t>
      </w:r>
    </w:p>
    <w:p w:rsidR="003717A0" w:rsidRDefault="003717A0">
      <w:pPr>
        <w:rPr>
          <w:rFonts w:ascii="宋体"/>
          <w:sz w:val="24"/>
        </w:rPr>
      </w:pPr>
    </w:p>
    <w:p w:rsidR="003717A0" w:rsidRDefault="003717A0">
      <w:pPr>
        <w:rPr>
          <w:sz w:val="24"/>
        </w:rPr>
      </w:pPr>
      <w:r>
        <w:rPr>
          <w:rFonts w:hint="eastAsia"/>
          <w:sz w:val="24"/>
        </w:rPr>
        <w:t>泌尿外科</w:t>
      </w:r>
      <w:r>
        <w:rPr>
          <w:sz w:val="24"/>
        </w:rPr>
        <w:t xml:space="preserve">       20</w:t>
      </w:r>
      <w:r>
        <w:rPr>
          <w:rFonts w:hint="eastAsia"/>
          <w:sz w:val="24"/>
        </w:rPr>
        <w:t>分</w:t>
      </w:r>
    </w:p>
    <w:p w:rsidR="003717A0" w:rsidRDefault="003717A0">
      <w:r>
        <w:rPr>
          <w:rFonts w:hint="eastAsia"/>
        </w:rPr>
        <w:t>一、名词解释</w:t>
      </w:r>
      <w:r>
        <w:rPr>
          <w:rFonts w:ascii="宋体" w:hAnsi="宋体" w:hint="eastAsia"/>
          <w:szCs w:val="21"/>
        </w:rPr>
        <w:t>（每题</w:t>
      </w:r>
      <w:r>
        <w:rPr>
          <w:rFonts w:ascii="宋体" w:hAnsi="宋体"/>
          <w:szCs w:val="21"/>
        </w:rPr>
        <w:t>3</w:t>
      </w:r>
      <w:r>
        <w:rPr>
          <w:rFonts w:ascii="宋体" w:hAnsi="宋体" w:hint="eastAsia"/>
          <w:szCs w:val="21"/>
        </w:rPr>
        <w:t>分，共</w:t>
      </w:r>
      <w:r>
        <w:rPr>
          <w:rFonts w:ascii="宋体" w:hAnsi="宋体"/>
          <w:szCs w:val="21"/>
        </w:rPr>
        <w:t>9</w:t>
      </w:r>
      <w:r>
        <w:rPr>
          <w:rFonts w:ascii="宋体" w:hAnsi="宋体" w:hint="eastAsia"/>
          <w:szCs w:val="21"/>
        </w:rPr>
        <w:t>分）</w:t>
      </w:r>
    </w:p>
    <w:p w:rsidR="003717A0" w:rsidRDefault="003717A0">
      <w:r>
        <w:t>1.</w:t>
      </w:r>
      <w:r>
        <w:rPr>
          <w:rFonts w:hint="eastAsia"/>
        </w:rPr>
        <w:t>脓尿</w:t>
      </w:r>
    </w:p>
    <w:p w:rsidR="003717A0" w:rsidRDefault="003717A0"/>
    <w:p w:rsidR="003717A0" w:rsidRDefault="003717A0">
      <w:pPr>
        <w:rPr>
          <w:rFonts w:ascii="宋体"/>
          <w:szCs w:val="21"/>
        </w:rPr>
      </w:pPr>
      <w:r>
        <w:rPr>
          <w:rFonts w:ascii="宋体" w:hAnsi="宋体"/>
          <w:szCs w:val="21"/>
        </w:rPr>
        <w:lastRenderedPageBreak/>
        <w:t>2.</w:t>
      </w:r>
      <w:r>
        <w:rPr>
          <w:rFonts w:ascii="宋体" w:hAnsi="宋体" w:hint="eastAsia"/>
          <w:szCs w:val="21"/>
        </w:rPr>
        <w:t>肾绞痛</w:t>
      </w:r>
    </w:p>
    <w:p w:rsidR="003717A0" w:rsidRDefault="003717A0">
      <w:pPr>
        <w:rPr>
          <w:rFonts w:ascii="宋体"/>
          <w:szCs w:val="21"/>
        </w:rPr>
      </w:pPr>
    </w:p>
    <w:p w:rsidR="003717A0" w:rsidRDefault="003717A0">
      <w:r>
        <w:t>3.</w:t>
      </w:r>
      <w:r>
        <w:rPr>
          <w:rFonts w:hint="eastAsia"/>
        </w:rPr>
        <w:t>充溢性尿失禁</w:t>
      </w:r>
    </w:p>
    <w:p w:rsidR="003717A0" w:rsidRDefault="003717A0"/>
    <w:p w:rsidR="003717A0" w:rsidRDefault="003717A0">
      <w:pPr>
        <w:rPr>
          <w:rStyle w:val="javascript"/>
          <w:rFonts w:ascii="Tahoma" w:hAnsi="Tahoma" w:cs="Tahoma"/>
          <w:szCs w:val="21"/>
        </w:rPr>
      </w:pPr>
      <w:r>
        <w:rPr>
          <w:rStyle w:val="javascript"/>
          <w:rFonts w:ascii="Tahoma" w:hAnsi="Tahoma" w:cs="Tahoma" w:hint="eastAsia"/>
          <w:szCs w:val="21"/>
        </w:rPr>
        <w:t>二、简答题（</w:t>
      </w:r>
      <w:r>
        <w:rPr>
          <w:rStyle w:val="javascript"/>
          <w:rFonts w:ascii="Tahoma" w:hAnsi="Tahoma" w:cs="Tahoma"/>
          <w:szCs w:val="21"/>
        </w:rPr>
        <w:t>11</w:t>
      </w:r>
      <w:r>
        <w:rPr>
          <w:rStyle w:val="javascript"/>
          <w:rFonts w:ascii="Tahoma" w:hAnsi="Tahoma" w:cs="Tahoma" w:hint="eastAsia"/>
          <w:szCs w:val="21"/>
        </w:rPr>
        <w:t>分）</w:t>
      </w:r>
    </w:p>
    <w:p w:rsidR="003717A0" w:rsidRDefault="003717A0">
      <w:pPr>
        <w:rPr>
          <w:szCs w:val="21"/>
        </w:rPr>
      </w:pPr>
      <w:r>
        <w:rPr>
          <w:szCs w:val="21"/>
        </w:rPr>
        <w:t>1.</w:t>
      </w:r>
      <w:r>
        <w:rPr>
          <w:rFonts w:hint="eastAsia"/>
          <w:szCs w:val="21"/>
        </w:rPr>
        <w:t>后尿道损伤的治疗原则</w:t>
      </w:r>
      <w:r>
        <w:rPr>
          <w:szCs w:val="21"/>
        </w:rPr>
        <w:t xml:space="preserve">? </w:t>
      </w:r>
      <w:r>
        <w:rPr>
          <w:rFonts w:hint="eastAsia"/>
          <w:szCs w:val="21"/>
        </w:rPr>
        <w:t>（</w:t>
      </w:r>
      <w:r>
        <w:rPr>
          <w:szCs w:val="21"/>
        </w:rPr>
        <w:t>6</w:t>
      </w:r>
      <w:r>
        <w:rPr>
          <w:rFonts w:hint="eastAsia"/>
          <w:szCs w:val="21"/>
        </w:rPr>
        <w:t>分）</w:t>
      </w:r>
    </w:p>
    <w:p w:rsidR="003717A0" w:rsidRDefault="003717A0">
      <w:pPr>
        <w:rPr>
          <w:szCs w:val="21"/>
        </w:rPr>
      </w:pPr>
    </w:p>
    <w:p w:rsidR="003717A0" w:rsidRDefault="003717A0">
      <w:pPr>
        <w:rPr>
          <w:szCs w:val="21"/>
        </w:rPr>
      </w:pPr>
      <w:r>
        <w:rPr>
          <w:szCs w:val="21"/>
        </w:rPr>
        <w:t>2.</w:t>
      </w:r>
      <w:r>
        <w:t xml:space="preserve"> </w:t>
      </w:r>
      <w:r>
        <w:rPr>
          <w:rFonts w:hint="eastAsia"/>
        </w:rPr>
        <w:t>肾盂肿瘤的临床表现及手术范围</w:t>
      </w:r>
      <w:r>
        <w:t>?</w:t>
      </w:r>
      <w:r>
        <w:rPr>
          <w:rFonts w:hint="eastAsia"/>
        </w:rPr>
        <w:t>（</w:t>
      </w:r>
      <w:r>
        <w:t>5</w:t>
      </w:r>
      <w:r>
        <w:rPr>
          <w:rFonts w:hint="eastAsia"/>
        </w:rPr>
        <w:t>分）</w:t>
      </w:r>
    </w:p>
    <w:p w:rsidR="003717A0" w:rsidRDefault="003717A0"/>
    <w:p w:rsidR="003717A0" w:rsidRDefault="003717A0">
      <w:pPr>
        <w:rPr>
          <w:sz w:val="24"/>
        </w:rPr>
      </w:pPr>
      <w:r>
        <w:rPr>
          <w:rFonts w:hint="eastAsia"/>
          <w:sz w:val="24"/>
        </w:rPr>
        <w:t>骨科</w:t>
      </w:r>
      <w:r>
        <w:rPr>
          <w:sz w:val="24"/>
        </w:rPr>
        <w:t xml:space="preserve">          20</w:t>
      </w:r>
      <w:r>
        <w:rPr>
          <w:rFonts w:hint="eastAsia"/>
          <w:sz w:val="24"/>
        </w:rPr>
        <w:t>分</w:t>
      </w:r>
    </w:p>
    <w:p w:rsidR="003717A0" w:rsidRDefault="003717A0">
      <w:r>
        <w:rPr>
          <w:rFonts w:hint="eastAsia"/>
        </w:rPr>
        <w:t>一、名词解释</w:t>
      </w:r>
      <w:r>
        <w:rPr>
          <w:rFonts w:ascii="宋体" w:hAnsi="宋体" w:hint="eastAsia"/>
          <w:szCs w:val="21"/>
        </w:rPr>
        <w:t>（每题</w:t>
      </w:r>
      <w:r>
        <w:rPr>
          <w:rFonts w:ascii="宋体" w:hAnsi="宋体"/>
          <w:szCs w:val="21"/>
        </w:rPr>
        <w:t>3</w:t>
      </w:r>
      <w:r>
        <w:rPr>
          <w:rFonts w:ascii="宋体" w:hAnsi="宋体" w:hint="eastAsia"/>
          <w:szCs w:val="21"/>
        </w:rPr>
        <w:t>分，共</w:t>
      </w:r>
      <w:r>
        <w:rPr>
          <w:rFonts w:ascii="宋体" w:hAnsi="宋体"/>
          <w:szCs w:val="21"/>
        </w:rPr>
        <w:t>9</w:t>
      </w:r>
      <w:r>
        <w:rPr>
          <w:rFonts w:ascii="宋体" w:hAnsi="宋体" w:hint="eastAsia"/>
          <w:szCs w:val="21"/>
        </w:rPr>
        <w:t>分）</w:t>
      </w:r>
    </w:p>
    <w:p w:rsidR="003717A0" w:rsidRDefault="003717A0">
      <w:r>
        <w:t>1   Dugas</w:t>
      </w:r>
      <w:r>
        <w:rPr>
          <w:rFonts w:hint="eastAsia"/>
        </w:rPr>
        <w:t>征</w:t>
      </w:r>
    </w:p>
    <w:p w:rsidR="003717A0" w:rsidRDefault="003717A0"/>
    <w:p w:rsidR="003717A0" w:rsidRDefault="003717A0">
      <w:r>
        <w:t xml:space="preserve">2  </w:t>
      </w:r>
      <w:r>
        <w:rPr>
          <w:rFonts w:hint="eastAsia"/>
        </w:rPr>
        <w:t>骨折延迟愈合</w:t>
      </w:r>
    </w:p>
    <w:p w:rsidR="003717A0" w:rsidRDefault="003717A0"/>
    <w:p w:rsidR="003717A0" w:rsidRDefault="003717A0">
      <w:r>
        <w:t xml:space="preserve">3  </w:t>
      </w:r>
      <w:r>
        <w:rPr>
          <w:rFonts w:hint="eastAsia"/>
        </w:rPr>
        <w:t>骨筋膜室综合征</w:t>
      </w:r>
    </w:p>
    <w:p w:rsidR="003717A0" w:rsidRDefault="003717A0"/>
    <w:p w:rsidR="003717A0" w:rsidRDefault="003717A0">
      <w:r>
        <w:rPr>
          <w:rFonts w:hint="eastAsia"/>
        </w:rPr>
        <w:t>二、简答题：</w:t>
      </w:r>
      <w:r>
        <w:t>(</w:t>
      </w:r>
      <w:r>
        <w:rPr>
          <w:rFonts w:hint="eastAsia"/>
        </w:rPr>
        <w:t>共</w:t>
      </w:r>
      <w:r>
        <w:t>11</w:t>
      </w:r>
      <w:r>
        <w:rPr>
          <w:rFonts w:hint="eastAsia"/>
        </w:rPr>
        <w:t>分</w:t>
      </w:r>
      <w:r>
        <w:t>)</w:t>
      </w:r>
    </w:p>
    <w:p w:rsidR="003717A0" w:rsidRDefault="003717A0">
      <w:r>
        <w:t>1</w:t>
      </w:r>
      <w:r>
        <w:rPr>
          <w:rFonts w:hint="eastAsia"/>
        </w:rPr>
        <w:t>简述骨折端的移位方式（</w:t>
      </w:r>
      <w:r>
        <w:t>6</w:t>
      </w:r>
      <w:r>
        <w:rPr>
          <w:rFonts w:hint="eastAsia"/>
        </w:rPr>
        <w:t>分）</w:t>
      </w:r>
    </w:p>
    <w:p w:rsidR="003717A0" w:rsidRDefault="003717A0"/>
    <w:p w:rsidR="003717A0" w:rsidRDefault="003717A0">
      <w:r>
        <w:t>2</w:t>
      </w:r>
      <w:r>
        <w:rPr>
          <w:rFonts w:hint="eastAsia"/>
        </w:rPr>
        <w:t>简述骨折愈合的临床标准（</w:t>
      </w:r>
      <w:r>
        <w:t>5</w:t>
      </w:r>
      <w:r>
        <w:rPr>
          <w:rFonts w:hint="eastAsia"/>
        </w:rPr>
        <w:t>分）</w:t>
      </w:r>
    </w:p>
    <w:p w:rsidR="003717A0" w:rsidRDefault="003717A0"/>
    <w:p w:rsidR="003717A0" w:rsidRDefault="003717A0">
      <w:pPr>
        <w:rPr>
          <w:sz w:val="24"/>
        </w:rPr>
      </w:pPr>
      <w:r>
        <w:rPr>
          <w:rFonts w:hint="eastAsia"/>
          <w:sz w:val="24"/>
        </w:rPr>
        <w:t>胸外</w:t>
      </w:r>
      <w:r>
        <w:rPr>
          <w:sz w:val="24"/>
        </w:rPr>
        <w:t xml:space="preserve">           10</w:t>
      </w:r>
      <w:r>
        <w:rPr>
          <w:rFonts w:hint="eastAsia"/>
          <w:sz w:val="24"/>
        </w:rPr>
        <w:t>分</w:t>
      </w:r>
    </w:p>
    <w:p w:rsidR="003717A0" w:rsidRDefault="003717A0">
      <w:r>
        <w:rPr>
          <w:rFonts w:hint="eastAsia"/>
        </w:rPr>
        <w:t>一、名词解释</w:t>
      </w:r>
      <w:r>
        <w:rPr>
          <w:rFonts w:ascii="宋体" w:hAnsi="宋体" w:hint="eastAsia"/>
          <w:szCs w:val="21"/>
        </w:rPr>
        <w:t>（每题</w:t>
      </w:r>
      <w:r>
        <w:rPr>
          <w:rFonts w:ascii="宋体" w:hAnsi="宋体"/>
          <w:szCs w:val="21"/>
        </w:rPr>
        <w:t>3</w:t>
      </w:r>
      <w:r>
        <w:rPr>
          <w:rFonts w:ascii="宋体" w:hAnsi="宋体" w:hint="eastAsia"/>
          <w:szCs w:val="21"/>
        </w:rPr>
        <w:t>分，共</w:t>
      </w:r>
      <w:r>
        <w:rPr>
          <w:rFonts w:ascii="宋体" w:hAnsi="宋体"/>
          <w:szCs w:val="21"/>
        </w:rPr>
        <w:t>6</w:t>
      </w:r>
      <w:r>
        <w:rPr>
          <w:rFonts w:ascii="宋体" w:hAnsi="宋体" w:hint="eastAsia"/>
          <w:szCs w:val="21"/>
        </w:rPr>
        <w:t>分）</w:t>
      </w:r>
    </w:p>
    <w:p w:rsidR="003717A0" w:rsidRDefault="003717A0">
      <w:pPr>
        <w:widowControl/>
        <w:numPr>
          <w:ilvl w:val="0"/>
          <w:numId w:val="500"/>
        </w:numPr>
        <w:tabs>
          <w:tab w:val="left" w:pos="0"/>
          <w:tab w:val="left" w:pos="360"/>
        </w:tabs>
        <w:spacing w:before="100" w:beforeAutospacing="1" w:after="100" w:afterAutospacing="1" w:line="300" w:lineRule="exact"/>
        <w:ind w:left="0" w:firstLine="0"/>
        <w:jc w:val="left"/>
      </w:pPr>
      <w:r>
        <w:rPr>
          <w:rFonts w:hint="eastAsia"/>
        </w:rPr>
        <w:t>连枷胸</w:t>
      </w:r>
    </w:p>
    <w:p w:rsidR="003717A0" w:rsidRDefault="003717A0">
      <w:pPr>
        <w:widowControl/>
        <w:tabs>
          <w:tab w:val="left" w:pos="360"/>
        </w:tabs>
        <w:jc w:val="left"/>
      </w:pPr>
    </w:p>
    <w:p w:rsidR="003717A0" w:rsidRDefault="003717A0">
      <w:pPr>
        <w:widowControl/>
        <w:numPr>
          <w:ilvl w:val="0"/>
          <w:numId w:val="500"/>
        </w:numPr>
        <w:tabs>
          <w:tab w:val="left" w:pos="0"/>
          <w:tab w:val="left" w:pos="360"/>
        </w:tabs>
        <w:spacing w:before="100" w:beforeAutospacing="1" w:after="100" w:afterAutospacing="1" w:line="300" w:lineRule="exact"/>
        <w:ind w:left="0" w:firstLine="0"/>
        <w:jc w:val="left"/>
      </w:pPr>
      <w:r>
        <w:rPr>
          <w:rFonts w:hint="eastAsia"/>
        </w:rPr>
        <w:t>创伤性窒息</w:t>
      </w:r>
    </w:p>
    <w:p w:rsidR="003717A0" w:rsidRDefault="003717A0"/>
    <w:p w:rsidR="003717A0" w:rsidRDefault="003717A0">
      <w:pPr>
        <w:autoSpaceDE w:val="0"/>
        <w:autoSpaceDN w:val="0"/>
        <w:adjustRightInd w:val="0"/>
        <w:spacing w:before="1" w:line="360" w:lineRule="exact"/>
        <w:ind w:right="694"/>
        <w:jc w:val="left"/>
        <w:rPr>
          <w:rFonts w:ascii="宋体"/>
          <w:kern w:val="0"/>
          <w:szCs w:val="21"/>
        </w:rPr>
      </w:pPr>
      <w:r>
        <w:rPr>
          <w:rFonts w:ascii="宋体" w:hAnsi="宋体" w:hint="eastAsia"/>
          <w:kern w:val="0"/>
          <w:szCs w:val="21"/>
        </w:rPr>
        <w:t>二、简答题</w:t>
      </w:r>
      <w:r>
        <w:rPr>
          <w:rFonts w:hint="eastAsia"/>
        </w:rPr>
        <w:t>（</w:t>
      </w:r>
      <w:r>
        <w:t>4</w:t>
      </w:r>
      <w:r>
        <w:rPr>
          <w:rFonts w:hint="eastAsia"/>
        </w:rPr>
        <w:t>分）</w:t>
      </w:r>
    </w:p>
    <w:p w:rsidR="003717A0" w:rsidRDefault="003717A0">
      <w:pPr>
        <w:widowControl/>
        <w:tabs>
          <w:tab w:val="left" w:pos="180"/>
          <w:tab w:val="left" w:pos="360"/>
          <w:tab w:val="left" w:pos="720"/>
        </w:tabs>
        <w:spacing w:line="360" w:lineRule="exact"/>
        <w:jc w:val="left"/>
        <w:rPr>
          <w:u w:val="single"/>
        </w:rPr>
      </w:pPr>
      <w:r>
        <w:rPr>
          <w:rFonts w:hint="eastAsia"/>
        </w:rPr>
        <w:t>简述食管癌的主要临床表现？</w:t>
      </w:r>
    </w:p>
    <w:p w:rsidR="003717A0" w:rsidRDefault="003717A0">
      <w:pPr>
        <w:rPr>
          <w:rFonts w:ascii="宋体"/>
          <w:kern w:val="0"/>
          <w:sz w:val="24"/>
        </w:rPr>
      </w:pPr>
    </w:p>
    <w:p w:rsidR="003717A0" w:rsidRDefault="003717A0">
      <w:pPr>
        <w:autoSpaceDE w:val="0"/>
        <w:autoSpaceDN w:val="0"/>
        <w:adjustRightInd w:val="0"/>
        <w:spacing w:before="1" w:line="360" w:lineRule="exact"/>
        <w:ind w:right="694"/>
        <w:jc w:val="left"/>
        <w:rPr>
          <w:rFonts w:ascii="宋体"/>
          <w:kern w:val="0"/>
          <w:sz w:val="24"/>
        </w:rPr>
      </w:pPr>
      <w:r>
        <w:rPr>
          <w:rFonts w:ascii="宋体" w:hAnsi="宋体" w:hint="eastAsia"/>
          <w:kern w:val="0"/>
          <w:sz w:val="24"/>
        </w:rPr>
        <w:t>普外</w:t>
      </w:r>
      <w:r>
        <w:rPr>
          <w:rFonts w:ascii="宋体" w:hAnsi="宋体"/>
          <w:kern w:val="0"/>
          <w:sz w:val="24"/>
        </w:rPr>
        <w:t xml:space="preserve">           40</w:t>
      </w:r>
      <w:r>
        <w:rPr>
          <w:rFonts w:ascii="宋体" w:hAnsi="宋体" w:hint="eastAsia"/>
          <w:kern w:val="0"/>
          <w:sz w:val="24"/>
        </w:rPr>
        <w:t>分</w:t>
      </w:r>
    </w:p>
    <w:p w:rsidR="003717A0" w:rsidRDefault="003717A0">
      <w:pPr>
        <w:autoSpaceDE w:val="0"/>
        <w:autoSpaceDN w:val="0"/>
        <w:adjustRightInd w:val="0"/>
        <w:spacing w:before="1" w:line="360" w:lineRule="exact"/>
        <w:ind w:right="694"/>
        <w:jc w:val="left"/>
        <w:rPr>
          <w:rFonts w:ascii="宋体"/>
          <w:kern w:val="0"/>
          <w:szCs w:val="21"/>
        </w:rPr>
      </w:pPr>
      <w:r>
        <w:rPr>
          <w:rFonts w:hint="eastAsia"/>
        </w:rPr>
        <w:t>一、名词解释</w:t>
      </w:r>
      <w:r>
        <w:rPr>
          <w:rFonts w:ascii="宋体" w:hAnsi="宋体" w:hint="eastAsia"/>
          <w:szCs w:val="21"/>
        </w:rPr>
        <w:t>（每题</w:t>
      </w:r>
      <w:r>
        <w:rPr>
          <w:rFonts w:ascii="宋体" w:hAnsi="宋体"/>
          <w:szCs w:val="21"/>
        </w:rPr>
        <w:t>3</w:t>
      </w:r>
      <w:r>
        <w:rPr>
          <w:rFonts w:ascii="宋体" w:hAnsi="宋体" w:hint="eastAsia"/>
          <w:szCs w:val="21"/>
        </w:rPr>
        <w:t>分，共</w:t>
      </w:r>
      <w:r>
        <w:rPr>
          <w:rFonts w:ascii="宋体" w:hAnsi="宋体"/>
          <w:szCs w:val="21"/>
        </w:rPr>
        <w:t>12</w:t>
      </w:r>
      <w:r>
        <w:rPr>
          <w:rFonts w:ascii="宋体" w:hAnsi="宋体" w:hint="eastAsia"/>
          <w:szCs w:val="21"/>
        </w:rPr>
        <w:t>分）</w:t>
      </w:r>
    </w:p>
    <w:p w:rsidR="003717A0" w:rsidRDefault="003717A0">
      <w:pPr>
        <w:rPr>
          <w:rFonts w:ascii="宋体"/>
          <w:szCs w:val="21"/>
        </w:rPr>
      </w:pPr>
      <w:r>
        <w:rPr>
          <w:rFonts w:ascii="宋体" w:hAnsi="宋体"/>
          <w:szCs w:val="21"/>
        </w:rPr>
        <w:t>1.Grey-Turner</w:t>
      </w:r>
      <w:r>
        <w:rPr>
          <w:rFonts w:ascii="宋体" w:hAnsi="宋体" w:hint="eastAsia"/>
          <w:szCs w:val="21"/>
        </w:rPr>
        <w:t>征</w:t>
      </w:r>
      <w:r>
        <w:rPr>
          <w:rFonts w:ascii="宋体" w:hAnsi="宋体"/>
          <w:szCs w:val="21"/>
        </w:rPr>
        <w:t xml:space="preserve"> </w:t>
      </w:r>
    </w:p>
    <w:p w:rsidR="003717A0" w:rsidRDefault="003717A0"/>
    <w:p w:rsidR="003717A0" w:rsidRDefault="003717A0">
      <w:pPr>
        <w:rPr>
          <w:rFonts w:ascii="宋体"/>
          <w:szCs w:val="21"/>
        </w:rPr>
      </w:pPr>
      <w:r>
        <w:rPr>
          <w:rFonts w:ascii="宋体" w:hAnsi="宋体"/>
          <w:szCs w:val="21"/>
        </w:rPr>
        <w:t>2.Calot</w:t>
      </w:r>
      <w:r>
        <w:rPr>
          <w:rFonts w:ascii="宋体" w:hAnsi="宋体" w:hint="eastAsia"/>
          <w:szCs w:val="21"/>
        </w:rPr>
        <w:t>三角</w:t>
      </w:r>
      <w:r>
        <w:rPr>
          <w:rFonts w:ascii="宋体" w:hAnsi="宋体"/>
          <w:szCs w:val="21"/>
        </w:rPr>
        <w:t xml:space="preserve"> </w:t>
      </w:r>
    </w:p>
    <w:p w:rsidR="003717A0" w:rsidRDefault="003717A0">
      <w:pPr>
        <w:rPr>
          <w:rFonts w:ascii="宋体"/>
          <w:szCs w:val="21"/>
        </w:rPr>
      </w:pPr>
      <w:r>
        <w:rPr>
          <w:rFonts w:ascii="宋体" w:hAnsi="宋体"/>
          <w:szCs w:val="21"/>
        </w:rPr>
        <w:t xml:space="preserve"> </w:t>
      </w:r>
    </w:p>
    <w:p w:rsidR="003717A0" w:rsidRDefault="003717A0">
      <w:r>
        <w:rPr>
          <w:rFonts w:ascii="宋体"/>
          <w:kern w:val="0"/>
          <w:szCs w:val="21"/>
        </w:rPr>
        <w:t>3.</w:t>
      </w:r>
      <w:r>
        <w:rPr>
          <w:rFonts w:ascii="宋体"/>
          <w:kern w:val="0"/>
          <w:szCs w:val="21"/>
          <w:lang w:val="zh-CN"/>
        </w:rPr>
        <w:t>Mirizzi</w:t>
      </w:r>
      <w:r>
        <w:rPr>
          <w:rFonts w:ascii="宋体" w:hint="eastAsia"/>
          <w:kern w:val="0"/>
          <w:szCs w:val="21"/>
          <w:lang w:val="zh-CN"/>
        </w:rPr>
        <w:t>综合征</w:t>
      </w:r>
    </w:p>
    <w:p w:rsidR="003717A0" w:rsidRDefault="003717A0"/>
    <w:p w:rsidR="003717A0" w:rsidRDefault="003717A0">
      <w:pPr>
        <w:rPr>
          <w:rFonts w:ascii="宋体"/>
          <w:kern w:val="0"/>
          <w:szCs w:val="21"/>
          <w:lang w:val="zh-CN"/>
        </w:rPr>
      </w:pPr>
      <w:r>
        <w:rPr>
          <w:rFonts w:ascii="宋体"/>
          <w:kern w:val="0"/>
          <w:szCs w:val="21"/>
          <w:lang w:val="zh-CN"/>
        </w:rPr>
        <w:t>4.</w:t>
      </w:r>
      <w:r>
        <w:rPr>
          <w:rFonts w:ascii="宋体" w:hint="eastAsia"/>
          <w:kern w:val="0"/>
          <w:szCs w:val="21"/>
          <w:lang w:val="zh-CN"/>
        </w:rPr>
        <w:t>残胃癌</w:t>
      </w:r>
    </w:p>
    <w:p w:rsidR="003717A0" w:rsidRDefault="003717A0">
      <w:pPr>
        <w:rPr>
          <w:szCs w:val="21"/>
        </w:rPr>
      </w:pPr>
    </w:p>
    <w:p w:rsidR="003717A0" w:rsidRDefault="003717A0">
      <w:pPr>
        <w:rPr>
          <w:rFonts w:ascii="宋体"/>
          <w:szCs w:val="21"/>
        </w:rPr>
      </w:pPr>
      <w:r>
        <w:rPr>
          <w:rFonts w:ascii="宋体" w:hAnsi="宋体" w:hint="eastAsia"/>
          <w:szCs w:val="21"/>
        </w:rPr>
        <w:t>二、填空（每格</w:t>
      </w:r>
      <w:r>
        <w:rPr>
          <w:rFonts w:ascii="宋体" w:hAnsi="宋体"/>
          <w:szCs w:val="21"/>
        </w:rPr>
        <w:t>1</w:t>
      </w:r>
      <w:r>
        <w:rPr>
          <w:rFonts w:ascii="宋体" w:hAnsi="宋体" w:hint="eastAsia"/>
          <w:szCs w:val="21"/>
        </w:rPr>
        <w:t>分，共</w:t>
      </w:r>
      <w:r>
        <w:rPr>
          <w:rFonts w:ascii="宋体" w:hAnsi="宋体"/>
          <w:szCs w:val="21"/>
        </w:rPr>
        <w:t>8</w:t>
      </w:r>
      <w:r>
        <w:rPr>
          <w:rFonts w:ascii="宋体" w:hAnsi="宋体" w:hint="eastAsia"/>
          <w:szCs w:val="21"/>
        </w:rPr>
        <w:t>分）</w:t>
      </w:r>
    </w:p>
    <w:p w:rsidR="003717A0" w:rsidRDefault="003717A0">
      <w:r>
        <w:rPr>
          <w:rFonts w:ascii="宋体" w:hAnsi="宋体"/>
          <w:szCs w:val="21"/>
        </w:rPr>
        <w:t>1.</w:t>
      </w:r>
      <w:r>
        <w:rPr>
          <w:rFonts w:ascii="宋体" w:hAnsi="宋体" w:hint="eastAsia"/>
          <w:szCs w:val="21"/>
        </w:rPr>
        <w:t>甲状腺癌的病理分型包括</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hint="eastAsia"/>
          <w:szCs w:val="21"/>
        </w:rPr>
        <w:t>；</w:t>
      </w:r>
      <w:r>
        <w:rPr>
          <w:rFonts w:ascii="宋体" w:hAnsi="宋体"/>
          <w:szCs w:val="21"/>
          <w:u w:val="single"/>
        </w:rPr>
        <w:t xml:space="preserve">           </w:t>
      </w:r>
      <w:r>
        <w:rPr>
          <w:rFonts w:ascii="宋体" w:hAnsi="宋体" w:hint="eastAsia"/>
          <w:szCs w:val="21"/>
        </w:rPr>
        <w:t>。</w:t>
      </w:r>
      <w:r>
        <w:rPr>
          <w:rFonts w:ascii="宋体"/>
          <w:szCs w:val="21"/>
        </w:rPr>
        <w:tab/>
      </w:r>
    </w:p>
    <w:p w:rsidR="003717A0" w:rsidRDefault="003717A0">
      <w:pPr>
        <w:autoSpaceDE w:val="0"/>
        <w:autoSpaceDN w:val="0"/>
        <w:adjustRightInd w:val="0"/>
        <w:jc w:val="left"/>
        <w:rPr>
          <w:rFonts w:ascii="宋体"/>
          <w:kern w:val="0"/>
          <w:szCs w:val="21"/>
          <w:lang w:val="zh-CN"/>
        </w:rPr>
      </w:pPr>
      <w:r>
        <w:rPr>
          <w:rFonts w:ascii="宋体"/>
          <w:kern w:val="0"/>
          <w:szCs w:val="21"/>
          <w:lang w:val="zh-CN"/>
        </w:rPr>
        <w:t>2.</w:t>
      </w:r>
      <w:r>
        <w:rPr>
          <w:rFonts w:ascii="宋体" w:hint="eastAsia"/>
          <w:kern w:val="0"/>
          <w:szCs w:val="21"/>
          <w:lang w:val="zh-CN"/>
        </w:rPr>
        <w:t>疝最多发生于腹部，典型的腹外疝由疝囊、</w:t>
      </w:r>
      <w:r>
        <w:rPr>
          <w:rFonts w:ascii="宋体"/>
          <w:kern w:val="0"/>
          <w:szCs w:val="21"/>
          <w:u w:val="single"/>
          <w:lang w:val="zh-CN"/>
        </w:rPr>
        <w:t xml:space="preserve">              </w:t>
      </w:r>
      <w:r>
        <w:rPr>
          <w:rFonts w:ascii="宋体" w:hint="eastAsia"/>
          <w:kern w:val="0"/>
          <w:szCs w:val="21"/>
          <w:lang w:val="zh-CN"/>
        </w:rPr>
        <w:t>、</w:t>
      </w:r>
      <w:r>
        <w:rPr>
          <w:rFonts w:ascii="宋体"/>
          <w:kern w:val="0"/>
          <w:szCs w:val="21"/>
          <w:u w:val="single"/>
          <w:lang w:val="zh-CN"/>
        </w:rPr>
        <w:t xml:space="preserve">            </w:t>
      </w:r>
      <w:r>
        <w:rPr>
          <w:rFonts w:ascii="宋体" w:hint="eastAsia"/>
          <w:kern w:val="0"/>
          <w:szCs w:val="21"/>
          <w:lang w:val="zh-CN"/>
        </w:rPr>
        <w:t>等组成。</w:t>
      </w:r>
    </w:p>
    <w:p w:rsidR="003717A0" w:rsidRDefault="003717A0">
      <w:pPr>
        <w:autoSpaceDE w:val="0"/>
        <w:autoSpaceDN w:val="0"/>
        <w:adjustRightInd w:val="0"/>
        <w:jc w:val="left"/>
        <w:rPr>
          <w:rFonts w:ascii="宋体"/>
          <w:kern w:val="0"/>
          <w:szCs w:val="21"/>
          <w:lang w:val="zh-CN"/>
        </w:rPr>
      </w:pPr>
      <w:r>
        <w:rPr>
          <w:rFonts w:ascii="宋体"/>
          <w:kern w:val="0"/>
          <w:szCs w:val="21"/>
          <w:lang w:val="zh-CN"/>
        </w:rPr>
        <w:t>3.</w:t>
      </w:r>
      <w:r>
        <w:rPr>
          <w:rFonts w:ascii="宋体" w:hint="eastAsia"/>
          <w:kern w:val="0"/>
          <w:szCs w:val="21"/>
          <w:lang w:val="zh-CN"/>
        </w:rPr>
        <w:t>急性胰腺炎的病理分型包括</w:t>
      </w:r>
      <w:r>
        <w:rPr>
          <w:rFonts w:ascii="宋体"/>
          <w:kern w:val="0"/>
          <w:szCs w:val="21"/>
          <w:u w:val="single"/>
          <w:lang w:val="zh-CN"/>
        </w:rPr>
        <w:t xml:space="preserve">                 </w:t>
      </w:r>
      <w:r>
        <w:rPr>
          <w:rFonts w:ascii="宋体" w:hint="eastAsia"/>
          <w:kern w:val="0"/>
          <w:szCs w:val="21"/>
          <w:lang w:val="zh-CN"/>
        </w:rPr>
        <w:t>及</w:t>
      </w:r>
      <w:r>
        <w:rPr>
          <w:rFonts w:ascii="宋体"/>
          <w:kern w:val="0"/>
          <w:szCs w:val="21"/>
          <w:u w:val="single"/>
          <w:lang w:val="zh-CN"/>
        </w:rPr>
        <w:t xml:space="preserve">                   </w:t>
      </w:r>
      <w:r>
        <w:rPr>
          <w:rFonts w:ascii="宋体" w:hint="eastAsia"/>
          <w:kern w:val="0"/>
          <w:szCs w:val="21"/>
          <w:lang w:val="zh-CN"/>
        </w:rPr>
        <w:t>。</w:t>
      </w:r>
    </w:p>
    <w:p w:rsidR="003717A0" w:rsidRDefault="003717A0">
      <w:pPr>
        <w:spacing w:line="360" w:lineRule="exact"/>
        <w:jc w:val="left"/>
      </w:pPr>
      <w:r>
        <w:rPr>
          <w:rFonts w:ascii="宋体" w:hAnsi="宋体" w:hint="eastAsia"/>
          <w:szCs w:val="21"/>
        </w:rPr>
        <w:t>三、选择题</w:t>
      </w:r>
      <w:r>
        <w:rPr>
          <w:rFonts w:ascii="宋体" w:hAnsi="宋体"/>
          <w:szCs w:val="21"/>
        </w:rPr>
        <w:t>:</w:t>
      </w:r>
      <w:r>
        <w:rPr>
          <w:rFonts w:ascii="宋体" w:hAnsi="宋体" w:hint="eastAsia"/>
          <w:szCs w:val="21"/>
        </w:rPr>
        <w:t>（每题</w:t>
      </w:r>
      <w:r>
        <w:rPr>
          <w:rFonts w:ascii="宋体" w:hAnsi="宋体"/>
          <w:szCs w:val="21"/>
        </w:rPr>
        <w:t>1</w:t>
      </w:r>
      <w:r>
        <w:rPr>
          <w:rFonts w:ascii="宋体" w:hAnsi="宋体" w:hint="eastAsia"/>
          <w:szCs w:val="21"/>
        </w:rPr>
        <w:t>分，共</w:t>
      </w:r>
      <w:r>
        <w:rPr>
          <w:rFonts w:ascii="宋体" w:hAnsi="宋体"/>
          <w:szCs w:val="21"/>
        </w:rPr>
        <w:t>5</w:t>
      </w:r>
      <w:r>
        <w:rPr>
          <w:rFonts w:ascii="宋体" w:hAnsi="宋体" w:hint="eastAsia"/>
          <w:szCs w:val="21"/>
        </w:rPr>
        <w:t>分）</w:t>
      </w:r>
    </w:p>
    <w:p w:rsidR="003717A0" w:rsidRDefault="003717A0">
      <w:pPr>
        <w:pStyle w:val="af0"/>
        <w:spacing w:before="0" w:beforeAutospacing="0" w:after="0" w:afterAutospacing="0" w:line="360" w:lineRule="exact"/>
        <w:rPr>
          <w:sz w:val="21"/>
          <w:szCs w:val="21"/>
        </w:rPr>
      </w:pPr>
      <w:r>
        <w:rPr>
          <w:sz w:val="21"/>
          <w:szCs w:val="21"/>
        </w:rPr>
        <w:t>1.</w:t>
      </w:r>
      <w:r>
        <w:rPr>
          <w:rFonts w:hint="eastAsia"/>
          <w:sz w:val="21"/>
          <w:szCs w:val="21"/>
        </w:rPr>
        <w:t>急性阑尾炎腹痛发生的特点是</w:t>
      </w:r>
      <w:r>
        <w:rPr>
          <w:sz w:val="21"/>
          <w:szCs w:val="21"/>
        </w:rPr>
        <w:t>      </w:t>
      </w:r>
    </w:p>
    <w:p w:rsidR="003717A0" w:rsidRDefault="003717A0">
      <w:pPr>
        <w:pStyle w:val="af0"/>
        <w:spacing w:before="0" w:beforeAutospacing="0" w:after="0" w:afterAutospacing="0" w:line="360" w:lineRule="exact"/>
        <w:ind w:leftChars="50" w:left="105"/>
        <w:rPr>
          <w:sz w:val="21"/>
          <w:szCs w:val="21"/>
        </w:rPr>
      </w:pPr>
      <w:r>
        <w:rPr>
          <w:sz w:val="21"/>
          <w:szCs w:val="21"/>
        </w:rPr>
        <w:t>A</w:t>
      </w:r>
      <w:r>
        <w:rPr>
          <w:rFonts w:hint="eastAsia"/>
          <w:sz w:val="21"/>
          <w:szCs w:val="21"/>
        </w:rPr>
        <w:t>左下腹痛转移到右下腹痛</w:t>
      </w:r>
      <w:r>
        <w:rPr>
          <w:sz w:val="21"/>
          <w:szCs w:val="21"/>
        </w:rPr>
        <w:t xml:space="preserve">      B</w:t>
      </w:r>
      <w:r>
        <w:rPr>
          <w:rFonts w:hint="eastAsia"/>
          <w:sz w:val="21"/>
          <w:szCs w:val="21"/>
        </w:rPr>
        <w:t>左上腹痛后右下腹痛</w:t>
      </w:r>
      <w:r>
        <w:rPr>
          <w:sz w:val="21"/>
          <w:szCs w:val="21"/>
        </w:rPr>
        <w:t xml:space="preserve"> </w:t>
      </w:r>
      <w:r>
        <w:rPr>
          <w:sz w:val="21"/>
          <w:szCs w:val="21"/>
        </w:rPr>
        <w:br/>
        <w:t>C</w:t>
      </w:r>
      <w:r>
        <w:rPr>
          <w:rFonts w:hint="eastAsia"/>
          <w:sz w:val="21"/>
          <w:szCs w:val="21"/>
        </w:rPr>
        <w:t>腹痛一开始即出现在右下腹部</w:t>
      </w:r>
      <w:r>
        <w:rPr>
          <w:sz w:val="21"/>
          <w:szCs w:val="21"/>
        </w:rPr>
        <w:t xml:space="preserve">      D</w:t>
      </w:r>
      <w:r>
        <w:rPr>
          <w:rFonts w:hint="eastAsia"/>
          <w:sz w:val="21"/>
          <w:szCs w:val="21"/>
        </w:rPr>
        <w:t>先上腹痛，后右下腹痛</w:t>
      </w:r>
      <w:r>
        <w:rPr>
          <w:sz w:val="21"/>
          <w:szCs w:val="21"/>
        </w:rPr>
        <w:br/>
        <w:t>E</w:t>
      </w:r>
      <w:r>
        <w:rPr>
          <w:rFonts w:hint="eastAsia"/>
          <w:sz w:val="21"/>
          <w:szCs w:val="21"/>
        </w:rPr>
        <w:t>没有明确的特点</w:t>
      </w:r>
    </w:p>
    <w:p w:rsidR="003717A0" w:rsidRDefault="003717A0">
      <w:pPr>
        <w:pStyle w:val="af0"/>
        <w:spacing w:before="0" w:beforeAutospacing="0" w:after="0" w:afterAutospacing="0" w:line="360" w:lineRule="exact"/>
        <w:rPr>
          <w:sz w:val="21"/>
          <w:szCs w:val="21"/>
        </w:rPr>
      </w:pPr>
      <w:r>
        <w:rPr>
          <w:sz w:val="21"/>
          <w:szCs w:val="21"/>
        </w:rPr>
        <w:t>2.</w:t>
      </w:r>
      <w:r>
        <w:rPr>
          <w:rFonts w:hint="eastAsia"/>
          <w:sz w:val="21"/>
          <w:szCs w:val="21"/>
        </w:rPr>
        <w:t>引起上消化道上出血的原因不包括</w:t>
      </w:r>
      <w:r>
        <w:rPr>
          <w:sz w:val="21"/>
          <w:szCs w:val="21"/>
        </w:rPr>
        <w:t>      </w:t>
      </w:r>
    </w:p>
    <w:p w:rsidR="003717A0" w:rsidRDefault="003717A0">
      <w:pPr>
        <w:pStyle w:val="af0"/>
        <w:spacing w:before="0" w:beforeAutospacing="0" w:after="0" w:afterAutospacing="0" w:line="360" w:lineRule="exact"/>
        <w:ind w:left="69"/>
        <w:rPr>
          <w:sz w:val="21"/>
          <w:szCs w:val="21"/>
        </w:rPr>
      </w:pPr>
      <w:r>
        <w:rPr>
          <w:sz w:val="21"/>
          <w:szCs w:val="21"/>
        </w:rPr>
        <w:t>A</w:t>
      </w:r>
      <w:r>
        <w:rPr>
          <w:rFonts w:hint="eastAsia"/>
          <w:sz w:val="21"/>
          <w:szCs w:val="21"/>
        </w:rPr>
        <w:t>胃十二指肠溃疡</w:t>
      </w:r>
      <w:r>
        <w:rPr>
          <w:sz w:val="21"/>
          <w:szCs w:val="21"/>
        </w:rPr>
        <w:t>     B</w:t>
      </w:r>
      <w:r>
        <w:rPr>
          <w:rFonts w:hint="eastAsia"/>
          <w:sz w:val="21"/>
          <w:szCs w:val="21"/>
        </w:rPr>
        <w:t>．慢性胃炎</w:t>
      </w:r>
      <w:r>
        <w:rPr>
          <w:sz w:val="21"/>
          <w:szCs w:val="21"/>
        </w:rPr>
        <w:t xml:space="preserve">    </w:t>
      </w:r>
      <w:r>
        <w:rPr>
          <w:sz w:val="21"/>
          <w:szCs w:val="21"/>
        </w:rPr>
        <w:br/>
        <w:t>C</w:t>
      </w:r>
      <w:r>
        <w:rPr>
          <w:rFonts w:hint="eastAsia"/>
          <w:sz w:val="21"/>
          <w:szCs w:val="21"/>
        </w:rPr>
        <w:t>门静脉高压症</w:t>
      </w:r>
      <w:r>
        <w:rPr>
          <w:sz w:val="21"/>
          <w:szCs w:val="21"/>
        </w:rPr>
        <w:t>    D</w:t>
      </w:r>
      <w:r>
        <w:rPr>
          <w:rFonts w:hint="eastAsia"/>
          <w:sz w:val="21"/>
          <w:szCs w:val="21"/>
        </w:rPr>
        <w:t>．出血性胃炎</w:t>
      </w:r>
      <w:r>
        <w:rPr>
          <w:sz w:val="21"/>
          <w:szCs w:val="21"/>
        </w:rPr>
        <w:t>      E</w:t>
      </w:r>
      <w:r>
        <w:rPr>
          <w:rFonts w:hint="eastAsia"/>
          <w:sz w:val="21"/>
          <w:szCs w:val="21"/>
        </w:rPr>
        <w:t>．胃癌</w:t>
      </w:r>
    </w:p>
    <w:p w:rsidR="003717A0" w:rsidRDefault="003717A0">
      <w:pPr>
        <w:pStyle w:val="af0"/>
        <w:spacing w:before="0" w:beforeAutospacing="0" w:after="0" w:afterAutospacing="0" w:line="360" w:lineRule="exact"/>
        <w:rPr>
          <w:sz w:val="21"/>
          <w:szCs w:val="21"/>
        </w:rPr>
      </w:pPr>
      <w:r>
        <w:rPr>
          <w:sz w:val="21"/>
          <w:szCs w:val="21"/>
        </w:rPr>
        <w:t>3.</w:t>
      </w:r>
      <w:r>
        <w:rPr>
          <w:rFonts w:hint="eastAsia"/>
          <w:sz w:val="21"/>
          <w:szCs w:val="21"/>
        </w:rPr>
        <w:t>男性，</w:t>
      </w:r>
      <w:r>
        <w:rPr>
          <w:sz w:val="21"/>
          <w:szCs w:val="21"/>
        </w:rPr>
        <w:t>55</w:t>
      </w:r>
      <w:r>
        <w:rPr>
          <w:rFonts w:hint="eastAsia"/>
          <w:sz w:val="21"/>
          <w:szCs w:val="21"/>
        </w:rPr>
        <w:t>岁，上腹部痛</w:t>
      </w:r>
      <w:r>
        <w:rPr>
          <w:sz w:val="21"/>
          <w:szCs w:val="21"/>
        </w:rPr>
        <w:t>4</w:t>
      </w:r>
      <w:r>
        <w:rPr>
          <w:rFonts w:hint="eastAsia"/>
          <w:sz w:val="21"/>
          <w:szCs w:val="21"/>
        </w:rPr>
        <w:t>天，加重</w:t>
      </w:r>
      <w:r>
        <w:rPr>
          <w:sz w:val="21"/>
          <w:szCs w:val="21"/>
        </w:rPr>
        <w:t>2</w:t>
      </w:r>
      <w:r>
        <w:rPr>
          <w:rFonts w:hint="eastAsia"/>
          <w:sz w:val="21"/>
          <w:szCs w:val="21"/>
        </w:rPr>
        <w:t>小时，伴恶心、呕吐、发热。曾有“溃疡病病史”。查体：</w:t>
      </w:r>
      <w:r>
        <w:rPr>
          <w:sz w:val="21"/>
          <w:szCs w:val="21"/>
        </w:rPr>
        <w:t>T38</w:t>
      </w:r>
      <w:r>
        <w:rPr>
          <w:rFonts w:hint="eastAsia"/>
          <w:sz w:val="21"/>
          <w:szCs w:val="21"/>
        </w:rPr>
        <w:t>、</w:t>
      </w:r>
      <w:r>
        <w:rPr>
          <w:sz w:val="21"/>
          <w:szCs w:val="21"/>
        </w:rPr>
        <w:t>6</w:t>
      </w:r>
      <w:r>
        <w:rPr>
          <w:rFonts w:hint="eastAsia"/>
          <w:sz w:val="21"/>
          <w:szCs w:val="21"/>
        </w:rPr>
        <w:t>℃</w:t>
      </w:r>
      <w:r>
        <w:rPr>
          <w:sz w:val="21"/>
          <w:szCs w:val="21"/>
        </w:rPr>
        <w:t>,</w:t>
      </w:r>
      <w:r>
        <w:rPr>
          <w:rFonts w:hint="eastAsia"/>
          <w:sz w:val="21"/>
          <w:szCs w:val="21"/>
        </w:rPr>
        <w:t>颈软，剑突下及右上腹均有压痛，有轻度肌紧张及反跳痛，肝区叩击痛阳性，白细胞：</w:t>
      </w:r>
      <w:r>
        <w:rPr>
          <w:sz w:val="21"/>
          <w:szCs w:val="21"/>
        </w:rPr>
        <w:t>13.9</w:t>
      </w:r>
      <w:r>
        <w:rPr>
          <w:rFonts w:hint="eastAsia"/>
          <w:sz w:val="21"/>
          <w:szCs w:val="21"/>
        </w:rPr>
        <w:t>×</w:t>
      </w:r>
      <w:r>
        <w:rPr>
          <w:sz w:val="21"/>
          <w:szCs w:val="21"/>
        </w:rPr>
        <w:t>10</w:t>
      </w:r>
      <w:r>
        <w:rPr>
          <w:sz w:val="21"/>
          <w:szCs w:val="21"/>
          <w:vertAlign w:val="superscript"/>
        </w:rPr>
        <w:t>9</w:t>
      </w:r>
      <w:r>
        <w:rPr>
          <w:sz w:val="21"/>
          <w:szCs w:val="21"/>
        </w:rPr>
        <w:t xml:space="preserve">/L </w:t>
      </w:r>
      <w:r>
        <w:rPr>
          <w:rFonts w:hint="eastAsia"/>
          <w:sz w:val="21"/>
          <w:szCs w:val="21"/>
        </w:rPr>
        <w:t>中性粒</w:t>
      </w:r>
      <w:r>
        <w:rPr>
          <w:sz w:val="21"/>
          <w:szCs w:val="21"/>
        </w:rPr>
        <w:t>89%</w:t>
      </w:r>
      <w:r>
        <w:rPr>
          <w:rFonts w:hint="eastAsia"/>
          <w:sz w:val="21"/>
          <w:szCs w:val="21"/>
        </w:rPr>
        <w:t>，拟诊为</w:t>
      </w:r>
      <w:r>
        <w:rPr>
          <w:sz w:val="21"/>
          <w:szCs w:val="21"/>
        </w:rPr>
        <w:t xml:space="preserve">         </w:t>
      </w:r>
    </w:p>
    <w:p w:rsidR="003717A0" w:rsidRDefault="003717A0">
      <w:pPr>
        <w:pStyle w:val="af0"/>
        <w:spacing w:before="0" w:beforeAutospacing="0" w:after="0" w:afterAutospacing="0" w:line="360" w:lineRule="exact"/>
        <w:ind w:left="69"/>
        <w:rPr>
          <w:sz w:val="21"/>
          <w:szCs w:val="21"/>
        </w:rPr>
      </w:pPr>
      <w:r>
        <w:rPr>
          <w:sz w:val="21"/>
          <w:szCs w:val="21"/>
        </w:rPr>
        <w:t>A</w:t>
      </w:r>
      <w:r>
        <w:rPr>
          <w:rFonts w:hint="eastAsia"/>
          <w:sz w:val="21"/>
          <w:szCs w:val="21"/>
        </w:rPr>
        <w:t>．急性腹膜炎</w:t>
      </w:r>
      <w:r>
        <w:rPr>
          <w:sz w:val="21"/>
          <w:szCs w:val="21"/>
        </w:rPr>
        <w:t>       B</w:t>
      </w:r>
      <w:r>
        <w:rPr>
          <w:rFonts w:hint="eastAsia"/>
          <w:sz w:val="21"/>
          <w:szCs w:val="21"/>
        </w:rPr>
        <w:t>．急性消化道溃疡性穿孔</w:t>
      </w:r>
      <w:r>
        <w:rPr>
          <w:sz w:val="21"/>
          <w:szCs w:val="21"/>
        </w:rPr>
        <w:t xml:space="preserve">   </w:t>
      </w:r>
      <w:r>
        <w:rPr>
          <w:sz w:val="21"/>
          <w:szCs w:val="21"/>
        </w:rPr>
        <w:br/>
        <w:t>C</w:t>
      </w:r>
      <w:r>
        <w:rPr>
          <w:rFonts w:hint="eastAsia"/>
          <w:sz w:val="21"/>
          <w:szCs w:val="21"/>
        </w:rPr>
        <w:t>．急性肠系膜动脉栓塞</w:t>
      </w:r>
      <w:r>
        <w:rPr>
          <w:sz w:val="21"/>
          <w:szCs w:val="21"/>
        </w:rPr>
        <w:t xml:space="preserve">     D</w:t>
      </w:r>
      <w:r>
        <w:rPr>
          <w:rFonts w:hint="eastAsia"/>
          <w:sz w:val="21"/>
          <w:szCs w:val="21"/>
        </w:rPr>
        <w:t>．急性胆管炎</w:t>
      </w:r>
      <w:r>
        <w:rPr>
          <w:sz w:val="21"/>
          <w:szCs w:val="21"/>
        </w:rPr>
        <w:t>      E</w:t>
      </w:r>
      <w:r>
        <w:rPr>
          <w:rFonts w:hint="eastAsia"/>
          <w:sz w:val="21"/>
          <w:szCs w:val="21"/>
        </w:rPr>
        <w:t>．急性胆囊炎，胆石症</w:t>
      </w:r>
    </w:p>
    <w:p w:rsidR="003717A0" w:rsidRDefault="003717A0">
      <w:pPr>
        <w:spacing w:line="360" w:lineRule="exact"/>
        <w:jc w:val="left"/>
        <w:rPr>
          <w:rFonts w:ascii="宋体"/>
          <w:szCs w:val="21"/>
        </w:rPr>
      </w:pPr>
      <w:r>
        <w:rPr>
          <w:rFonts w:ascii="宋体" w:hAnsi="宋体"/>
          <w:szCs w:val="21"/>
        </w:rPr>
        <w:t>4.</w:t>
      </w:r>
      <w:r>
        <w:rPr>
          <w:rFonts w:ascii="宋体" w:hAnsi="宋体" w:hint="eastAsia"/>
          <w:szCs w:val="21"/>
        </w:rPr>
        <w:t>急性胰腺炎最常见的病因是？</w:t>
      </w:r>
      <w:r>
        <w:rPr>
          <w:rFonts w:ascii="宋体" w:hAnsi="宋体"/>
          <w:szCs w:val="21"/>
        </w:rPr>
        <w:t xml:space="preserve">   </w:t>
      </w:r>
    </w:p>
    <w:p w:rsidR="003717A0" w:rsidRDefault="003717A0">
      <w:pPr>
        <w:spacing w:line="360" w:lineRule="exact"/>
        <w:ind w:firstLineChars="50" w:firstLine="105"/>
        <w:jc w:val="left"/>
        <w:rPr>
          <w:rFonts w:ascii="宋体"/>
          <w:szCs w:val="21"/>
        </w:rPr>
      </w:pPr>
      <w:r>
        <w:rPr>
          <w:rFonts w:ascii="宋体" w:hAnsi="宋体"/>
          <w:szCs w:val="21"/>
        </w:rPr>
        <w:t>A</w:t>
      </w:r>
      <w:r>
        <w:rPr>
          <w:rFonts w:ascii="宋体" w:hAnsi="宋体" w:hint="eastAsia"/>
          <w:szCs w:val="21"/>
        </w:rPr>
        <w:t>、损伤</w:t>
      </w:r>
      <w:r>
        <w:rPr>
          <w:rFonts w:ascii="宋体" w:hAnsi="宋体"/>
          <w:szCs w:val="21"/>
        </w:rPr>
        <w:t xml:space="preserve">     B</w:t>
      </w:r>
      <w:r>
        <w:rPr>
          <w:rFonts w:ascii="宋体" w:hAnsi="宋体" w:hint="eastAsia"/>
          <w:szCs w:val="21"/>
        </w:rPr>
        <w:t>、酗酒或暴饮暴食</w:t>
      </w:r>
      <w:r>
        <w:rPr>
          <w:rFonts w:ascii="宋体" w:hAnsi="宋体"/>
          <w:szCs w:val="21"/>
        </w:rPr>
        <w:t xml:space="preserve">     C</w:t>
      </w:r>
      <w:r>
        <w:rPr>
          <w:rFonts w:ascii="宋体" w:hAnsi="宋体" w:hint="eastAsia"/>
          <w:szCs w:val="21"/>
        </w:rPr>
        <w:t>、感染</w:t>
      </w:r>
      <w:r>
        <w:rPr>
          <w:rFonts w:ascii="宋体" w:hAnsi="宋体"/>
          <w:szCs w:val="21"/>
        </w:rPr>
        <w:t xml:space="preserve">     D</w:t>
      </w:r>
      <w:r>
        <w:rPr>
          <w:rFonts w:ascii="宋体" w:hAnsi="宋体" w:hint="eastAsia"/>
          <w:szCs w:val="21"/>
        </w:rPr>
        <w:t>、胆道疾病</w:t>
      </w:r>
      <w:r>
        <w:rPr>
          <w:rFonts w:ascii="宋体" w:hAnsi="宋体"/>
          <w:szCs w:val="21"/>
        </w:rPr>
        <w:t xml:space="preserve">     E</w:t>
      </w:r>
      <w:r>
        <w:rPr>
          <w:rFonts w:ascii="宋体" w:hAnsi="宋体" w:hint="eastAsia"/>
          <w:szCs w:val="21"/>
        </w:rPr>
        <w:t>、甲旁亢、糖尿病</w:t>
      </w:r>
    </w:p>
    <w:p w:rsidR="003717A0" w:rsidRDefault="003717A0">
      <w:pPr>
        <w:pStyle w:val="af0"/>
        <w:spacing w:before="0" w:beforeAutospacing="0" w:after="0" w:afterAutospacing="0" w:line="360" w:lineRule="exact"/>
        <w:rPr>
          <w:sz w:val="21"/>
          <w:szCs w:val="21"/>
        </w:rPr>
      </w:pPr>
      <w:r>
        <w:rPr>
          <w:sz w:val="21"/>
          <w:szCs w:val="21"/>
        </w:rPr>
        <w:t xml:space="preserve"> 5.</w:t>
      </w:r>
      <w:r>
        <w:rPr>
          <w:rFonts w:hint="eastAsia"/>
          <w:sz w:val="21"/>
          <w:szCs w:val="21"/>
        </w:rPr>
        <w:t>胃的血供来源，哪些是错误的</w:t>
      </w:r>
      <w:r>
        <w:rPr>
          <w:sz w:val="21"/>
          <w:szCs w:val="21"/>
        </w:rPr>
        <w:t>      </w:t>
      </w:r>
    </w:p>
    <w:p w:rsidR="003717A0" w:rsidRDefault="003717A0">
      <w:pPr>
        <w:spacing w:line="360" w:lineRule="exact"/>
        <w:jc w:val="left"/>
        <w:rPr>
          <w:szCs w:val="21"/>
        </w:rPr>
      </w:pPr>
      <w:r>
        <w:rPr>
          <w:szCs w:val="21"/>
        </w:rPr>
        <w:t xml:space="preserve"> A</w:t>
      </w:r>
      <w:r>
        <w:rPr>
          <w:rFonts w:hint="eastAsia"/>
          <w:szCs w:val="21"/>
        </w:rPr>
        <w:t>．胃腹腔动脉干分出胃左动脉</w:t>
      </w:r>
      <w:r>
        <w:rPr>
          <w:szCs w:val="21"/>
        </w:rPr>
        <w:t xml:space="preserve">          B</w:t>
      </w:r>
      <w:r>
        <w:rPr>
          <w:rFonts w:hint="eastAsia"/>
          <w:szCs w:val="21"/>
        </w:rPr>
        <w:t>．</w:t>
      </w:r>
      <w:r>
        <w:rPr>
          <w:szCs w:val="21"/>
        </w:rPr>
        <w:t xml:space="preserve"> </w:t>
      </w:r>
      <w:r>
        <w:rPr>
          <w:rFonts w:hint="eastAsia"/>
          <w:szCs w:val="21"/>
        </w:rPr>
        <w:t>肝固有动脉分出胃右动脉</w:t>
      </w:r>
      <w:r>
        <w:rPr>
          <w:szCs w:val="21"/>
        </w:rPr>
        <w:t xml:space="preserve"> </w:t>
      </w:r>
      <w:r>
        <w:rPr>
          <w:szCs w:val="21"/>
        </w:rPr>
        <w:br/>
        <w:t xml:space="preserve"> C</w:t>
      </w:r>
      <w:r>
        <w:rPr>
          <w:rFonts w:hint="eastAsia"/>
          <w:szCs w:val="21"/>
        </w:rPr>
        <w:t>．胰十二指肠上动脉分出胃网膜右动脉</w:t>
      </w:r>
      <w:r>
        <w:rPr>
          <w:szCs w:val="21"/>
        </w:rPr>
        <w:t xml:space="preserve">   D</w:t>
      </w:r>
      <w:r>
        <w:rPr>
          <w:rFonts w:hint="eastAsia"/>
          <w:szCs w:val="21"/>
        </w:rPr>
        <w:t>．脾动脉分出胃网膜左动脉</w:t>
      </w:r>
      <w:r>
        <w:rPr>
          <w:szCs w:val="21"/>
        </w:rPr>
        <w:t xml:space="preserve">        </w:t>
      </w:r>
    </w:p>
    <w:p w:rsidR="003717A0" w:rsidRDefault="003717A0">
      <w:pPr>
        <w:spacing w:line="360" w:lineRule="exact"/>
        <w:ind w:firstLineChars="50" w:firstLine="105"/>
        <w:jc w:val="left"/>
        <w:rPr>
          <w:szCs w:val="21"/>
        </w:rPr>
      </w:pPr>
      <w:r>
        <w:rPr>
          <w:szCs w:val="21"/>
        </w:rPr>
        <w:t>E</w:t>
      </w:r>
      <w:r>
        <w:rPr>
          <w:rFonts w:hint="eastAsia"/>
          <w:szCs w:val="21"/>
        </w:rPr>
        <w:t>．脾动脉分出胃短动脉</w:t>
      </w:r>
    </w:p>
    <w:p w:rsidR="003717A0" w:rsidRDefault="003717A0">
      <w:pPr>
        <w:spacing w:line="360" w:lineRule="exact"/>
        <w:jc w:val="left"/>
      </w:pPr>
      <w:r>
        <w:rPr>
          <w:rStyle w:val="javascript"/>
          <w:rFonts w:ascii="Tahoma" w:hAnsi="Tahoma" w:cs="Tahoma" w:hint="eastAsia"/>
          <w:sz w:val="24"/>
        </w:rPr>
        <w:t>四简答题</w:t>
      </w:r>
      <w:r>
        <w:rPr>
          <w:rFonts w:ascii="宋体" w:hAnsi="宋体" w:hint="eastAsia"/>
          <w:szCs w:val="21"/>
        </w:rPr>
        <w:t>（每题</w:t>
      </w:r>
      <w:r>
        <w:rPr>
          <w:rFonts w:ascii="宋体" w:hAnsi="宋体"/>
          <w:szCs w:val="21"/>
        </w:rPr>
        <w:t>5</w:t>
      </w:r>
      <w:r>
        <w:rPr>
          <w:rFonts w:ascii="宋体" w:hAnsi="宋体" w:hint="eastAsia"/>
          <w:szCs w:val="21"/>
        </w:rPr>
        <w:t>分，共</w:t>
      </w:r>
      <w:r>
        <w:rPr>
          <w:rFonts w:ascii="宋体" w:hAnsi="宋体"/>
          <w:szCs w:val="21"/>
        </w:rPr>
        <w:t>15</w:t>
      </w:r>
      <w:r>
        <w:rPr>
          <w:rFonts w:ascii="宋体" w:hAnsi="宋体" w:hint="eastAsia"/>
          <w:szCs w:val="21"/>
        </w:rPr>
        <w:t>分）</w:t>
      </w:r>
    </w:p>
    <w:p w:rsidR="003717A0" w:rsidRDefault="003717A0">
      <w:pPr>
        <w:spacing w:line="360" w:lineRule="exact"/>
        <w:jc w:val="left"/>
        <w:rPr>
          <w:rFonts w:ascii="宋体"/>
          <w:szCs w:val="21"/>
        </w:rPr>
      </w:pPr>
      <w:r>
        <w:rPr>
          <w:rFonts w:ascii="宋体"/>
          <w:kern w:val="0"/>
          <w:szCs w:val="21"/>
        </w:rPr>
        <w:t>1.</w:t>
      </w:r>
      <w:r>
        <w:rPr>
          <w:rFonts w:ascii="宋体" w:hAnsi="宋体"/>
          <w:szCs w:val="21"/>
        </w:rPr>
        <w:t xml:space="preserve"> </w:t>
      </w:r>
      <w:r>
        <w:rPr>
          <w:rFonts w:ascii="宋体" w:hAnsi="宋体" w:hint="eastAsia"/>
          <w:szCs w:val="21"/>
        </w:rPr>
        <w:t>简述肠梗阻的主要临床表现</w:t>
      </w:r>
      <w:r>
        <w:rPr>
          <w:rFonts w:ascii="宋体" w:hAnsi="宋体"/>
          <w:szCs w:val="21"/>
        </w:rPr>
        <w:t>?</w:t>
      </w:r>
    </w:p>
    <w:p w:rsidR="003717A0" w:rsidRDefault="003717A0">
      <w:pPr>
        <w:autoSpaceDE w:val="0"/>
        <w:autoSpaceDN w:val="0"/>
        <w:adjustRightInd w:val="0"/>
        <w:jc w:val="left"/>
        <w:rPr>
          <w:rFonts w:ascii="宋体"/>
          <w:kern w:val="0"/>
          <w:szCs w:val="21"/>
          <w:lang w:val="zh-CN"/>
        </w:rPr>
      </w:pPr>
    </w:p>
    <w:p w:rsidR="003717A0" w:rsidRDefault="003717A0">
      <w:pPr>
        <w:rPr>
          <w:rFonts w:ascii="宋体"/>
          <w:szCs w:val="21"/>
        </w:rPr>
      </w:pPr>
      <w:r>
        <w:rPr>
          <w:rFonts w:ascii="宋体" w:hAnsi="宋体"/>
          <w:szCs w:val="21"/>
        </w:rPr>
        <w:t>2.</w:t>
      </w:r>
      <w:r>
        <w:rPr>
          <w:rFonts w:ascii="宋体" w:hAnsi="宋体" w:hint="eastAsia"/>
          <w:szCs w:val="21"/>
        </w:rPr>
        <w:t>简述急性胰腺炎的非手术治疗方法</w:t>
      </w:r>
      <w:r>
        <w:rPr>
          <w:rFonts w:ascii="宋体" w:hAnsi="宋体"/>
          <w:szCs w:val="21"/>
        </w:rPr>
        <w:t>?</w:t>
      </w:r>
    </w:p>
    <w:p w:rsidR="003717A0" w:rsidRDefault="003717A0"/>
    <w:p w:rsidR="003717A0" w:rsidRDefault="003717A0">
      <w:pPr>
        <w:rPr>
          <w:rFonts w:ascii="宋体"/>
          <w:szCs w:val="21"/>
        </w:rPr>
      </w:pPr>
      <w:r>
        <w:rPr>
          <w:rFonts w:ascii="宋体" w:hAnsi="宋体"/>
          <w:szCs w:val="21"/>
        </w:rPr>
        <w:t>3.</w:t>
      </w:r>
      <w:r>
        <w:rPr>
          <w:rFonts w:ascii="宋体" w:hAnsi="宋体" w:hint="eastAsia"/>
          <w:szCs w:val="21"/>
        </w:rPr>
        <w:t>试述甲状腺危象的处理原则</w:t>
      </w:r>
    </w:p>
    <w:p w:rsidR="003717A0" w:rsidRDefault="003717A0">
      <w:pPr>
        <w:widowControl/>
        <w:jc w:val="left"/>
        <w:rPr>
          <w:rFonts w:ascii="Times New Roman" w:eastAsia="黑体" w:hAnsi="Times New Roman"/>
          <w:kern w:val="0"/>
          <w:sz w:val="34"/>
          <w:szCs w:val="34"/>
        </w:rPr>
      </w:pPr>
    </w:p>
    <w:p w:rsidR="003717A0" w:rsidRDefault="003717A0">
      <w:pPr>
        <w:widowControl/>
        <w:jc w:val="left"/>
        <w:rPr>
          <w:rFonts w:ascii="Times New Roman" w:eastAsia="黑体" w:hAnsi="Times New Roman"/>
          <w:kern w:val="0"/>
          <w:sz w:val="34"/>
          <w:szCs w:val="34"/>
        </w:rPr>
      </w:pPr>
    </w:p>
    <w:p w:rsidR="003717A0" w:rsidRDefault="003717A0">
      <w:pPr>
        <w:widowControl/>
        <w:jc w:val="left"/>
        <w:rPr>
          <w:rFonts w:ascii="Times New Roman" w:eastAsia="黑体" w:hAnsi="Times New Roman"/>
          <w:kern w:val="0"/>
          <w:sz w:val="34"/>
          <w:szCs w:val="34"/>
        </w:rPr>
      </w:pPr>
    </w:p>
    <w:p w:rsidR="003717A0" w:rsidRDefault="003717A0">
      <w:pPr>
        <w:widowControl/>
        <w:jc w:val="left"/>
        <w:rPr>
          <w:rFonts w:ascii="Times New Roman" w:eastAsia="黑体" w:hAnsi="Times New Roman"/>
          <w:kern w:val="0"/>
          <w:sz w:val="34"/>
          <w:szCs w:val="34"/>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Pr>
          <w:rFonts w:ascii="Times New Roman" w:eastAsia="黑体" w:hAnsi="Times New Roman"/>
          <w:kern w:val="0"/>
          <w:sz w:val="34"/>
          <w:szCs w:val="34"/>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46"/>
        <w:gridCol w:w="8482"/>
        <w:gridCol w:w="26"/>
      </w:tblGrid>
      <w:tr w:rsidR="003717A0">
        <w:trPr>
          <w:cantSplit/>
          <w:trHeight w:val="1137"/>
          <w:jc w:val="center"/>
        </w:trPr>
        <w:tc>
          <w:tcPr>
            <w:tcW w:w="1140" w:type="dxa"/>
            <w:gridSpan w:val="3"/>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508" w:type="dxa"/>
            <w:gridSpan w:val="2"/>
            <w:vAlign w:val="center"/>
          </w:tcPr>
          <w:p w:rsidR="003717A0" w:rsidRDefault="003717A0">
            <w:pPr>
              <w:autoSpaceDE w:val="0"/>
              <w:autoSpaceDN w:val="0"/>
              <w:adjustRightInd w:val="0"/>
              <w:snapToGrid w:val="0"/>
              <w:ind w:firstLineChars="200" w:firstLine="420"/>
              <w:jc w:val="left"/>
              <w:rPr>
                <w:rFonts w:ascii="Times New Roman" w:hAnsi="宋体"/>
                <w:kern w:val="0"/>
                <w:sz w:val="22"/>
              </w:rPr>
            </w:pPr>
            <w:r>
              <w:rPr>
                <w:rFonts w:ascii="宋体" w:hAnsi="宋体" w:hint="eastAsia"/>
                <w:szCs w:val="21"/>
              </w:rPr>
              <w:t>教师应充分研究本大纲所规定的各章内容，对重点和难点进行深入浅出的讲解。通过见习病例强化对课堂教学内容的掌握。教师应关心本学科的研究进展，使教学内容能反映学科的新知识和发展趋势的内容。教师在平时教学过程中要注意收集学生的反馈意见，通过分析教学方案、教学过程中存在的问题，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46"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508" w:type="dxa"/>
            <w:gridSpan w:val="2"/>
            <w:vAlign w:val="center"/>
          </w:tcPr>
          <w:p w:rsidR="003717A0" w:rsidRDefault="003717A0">
            <w:pPr>
              <w:autoSpaceDE w:val="0"/>
              <w:autoSpaceDN w:val="0"/>
              <w:adjustRightInd w:val="0"/>
              <w:snapToGrid w:val="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501"/>
              </w:numPr>
              <w:autoSpaceDE w:val="0"/>
              <w:autoSpaceDN w:val="0"/>
              <w:adjustRightInd w:val="0"/>
              <w:snapToGrid w:val="0"/>
              <w:spacing w:line="300" w:lineRule="exact"/>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熟悉教材各章节，借助相关专业书籍资料，并依据教学大纲编写授课计划，编写每次授课的教案。教案内容包括章节标题、教学目的、教法设计、课堂类型、时间分配、授课内容、教学效果分析等方面。</w:t>
            </w:r>
          </w:p>
          <w:p w:rsidR="003717A0" w:rsidRDefault="003717A0">
            <w:pPr>
              <w:numPr>
                <w:ilvl w:val="0"/>
                <w:numId w:val="501"/>
              </w:numPr>
              <w:autoSpaceDE w:val="0"/>
              <w:autoSpaceDN w:val="0"/>
              <w:adjustRightInd w:val="0"/>
              <w:snapToGrid w:val="0"/>
              <w:spacing w:line="300" w:lineRule="exact"/>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autoSpaceDE w:val="0"/>
              <w:autoSpaceDN w:val="0"/>
              <w:adjustRightInd w:val="0"/>
              <w:snapToGrid w:val="0"/>
              <w:jc w:val="left"/>
            </w:pPr>
            <w:r>
              <w:rPr>
                <w:rFonts w:ascii="Times New Roman" w:hAnsi="宋体"/>
                <w:szCs w:val="21"/>
              </w:rPr>
              <w:t xml:space="preserve">3.  </w:t>
            </w: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46"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508" w:type="dxa"/>
            <w:gridSpan w:val="2"/>
            <w:vAlign w:val="center"/>
          </w:tcPr>
          <w:p w:rsidR="003717A0" w:rsidRDefault="003717A0">
            <w:pPr>
              <w:autoSpaceDE w:val="0"/>
              <w:autoSpaceDN w:val="0"/>
              <w:adjustRightInd w:val="0"/>
              <w:snapToGrid w:val="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502"/>
              </w:numPr>
              <w:autoSpaceDE w:val="0"/>
              <w:autoSpaceDN w:val="0"/>
              <w:adjustRightInd w:val="0"/>
              <w:snapToGrid w:val="0"/>
              <w:spacing w:line="300" w:lineRule="exact"/>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502"/>
              </w:numPr>
              <w:autoSpaceDE w:val="0"/>
              <w:autoSpaceDN w:val="0"/>
              <w:adjustRightInd w:val="0"/>
              <w:snapToGrid w:val="0"/>
              <w:spacing w:line="300" w:lineRule="exact"/>
              <w:jc w:val="left"/>
              <w:rPr>
                <w:rFonts w:ascii="Times New Roman" w:hAnsi="宋体"/>
                <w:szCs w:val="21"/>
              </w:rPr>
            </w:pPr>
            <w:r>
              <w:rPr>
                <w:rFonts w:ascii="Times New Roman" w:hAnsi="宋体" w:hint="eastAsia"/>
                <w:szCs w:val="21"/>
              </w:rPr>
              <w:t>采用多种教学方式（如启发式教学、案例分析教学、多媒体示范教学等），注重培养学生的专业素质，提高学生发现、分析和解决问题的能力，以便让学生能体会和领略学科研究的思路和方法。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ind w:left="315" w:hangingChars="150" w:hanging="315"/>
              <w:jc w:val="left"/>
            </w:pPr>
            <w:r>
              <w:rPr>
                <w:rFonts w:ascii="Times New Roman" w:hAnsi="宋体"/>
                <w:szCs w:val="21"/>
              </w:rPr>
              <w:t>3</w:t>
            </w: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33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64"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82" w:type="dxa"/>
            <w:vAlign w:val="center"/>
          </w:tcPr>
          <w:p w:rsidR="003717A0" w:rsidRDefault="003717A0">
            <w:pPr>
              <w:autoSpaceDE w:val="0"/>
              <w:autoSpaceDN w:val="0"/>
              <w:adjustRightInd w:val="0"/>
              <w:snapToGrid w:val="0"/>
              <w:ind w:firstLineChars="193" w:firstLine="425"/>
              <w:jc w:val="left"/>
              <w:rPr>
                <w:rFonts w:ascii="Times New Roman" w:hAnsi="宋体"/>
                <w:kern w:val="0"/>
                <w:sz w:val="22"/>
              </w:rPr>
            </w:pPr>
            <w:r>
              <w:rPr>
                <w:rFonts w:hint="eastAsia"/>
                <w:sz w:val="22"/>
              </w:rPr>
              <w:t>无作业</w:t>
            </w:r>
          </w:p>
        </w:tc>
      </w:tr>
      <w:tr w:rsidR="003717A0">
        <w:trPr>
          <w:gridAfter w:val="1"/>
          <w:wAfter w:w="26" w:type="dxa"/>
          <w:cantSplit/>
          <w:trHeight w:val="1086"/>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64" w:type="dxa"/>
            <w:gridSpan w:val="2"/>
            <w:textDirection w:val="tbRlV"/>
            <w:vAlign w:val="center"/>
          </w:tcPr>
          <w:p w:rsidR="003717A0" w:rsidRDefault="003717A0">
            <w:pPr>
              <w:spacing w:line="280" w:lineRule="exact"/>
              <w:ind w:left="113" w:right="113"/>
              <w:jc w:val="center"/>
              <w:rPr>
                <w:rFonts w:ascii="黑体" w:eastAsia="黑体"/>
                <w:b/>
                <w:sz w:val="24"/>
                <w:szCs w:val="24"/>
              </w:rPr>
            </w:pPr>
            <w:r>
              <w:rPr>
                <w:rFonts w:ascii="黑体" w:eastAsia="黑体" w:hint="eastAsia"/>
                <w:b/>
                <w:sz w:val="24"/>
                <w:szCs w:val="24"/>
              </w:rPr>
              <w:t>课外</w:t>
            </w:r>
          </w:p>
          <w:p w:rsidR="003717A0" w:rsidRDefault="003717A0">
            <w:pPr>
              <w:spacing w:line="280" w:lineRule="exact"/>
              <w:ind w:left="113" w:right="113"/>
              <w:jc w:val="center"/>
              <w:rPr>
                <w:rFonts w:ascii="黑体" w:eastAsia="黑体"/>
                <w:b/>
                <w:sz w:val="24"/>
                <w:szCs w:val="24"/>
              </w:rPr>
            </w:pPr>
            <w:r>
              <w:rPr>
                <w:rFonts w:ascii="黑体" w:eastAsia="黑体" w:hint="eastAsia"/>
                <w:b/>
                <w:sz w:val="24"/>
                <w:szCs w:val="24"/>
              </w:rPr>
              <w:t>答疑</w:t>
            </w:r>
          </w:p>
        </w:tc>
        <w:tc>
          <w:tcPr>
            <w:tcW w:w="8482" w:type="dxa"/>
            <w:vAlign w:val="center"/>
          </w:tcPr>
          <w:p w:rsidR="003717A0" w:rsidRDefault="003717A0">
            <w:pPr>
              <w:autoSpaceDE w:val="0"/>
              <w:autoSpaceDN w:val="0"/>
              <w:adjustRightInd w:val="0"/>
              <w:snapToGrid w:val="0"/>
              <w:ind w:firstLineChars="193" w:firstLine="405"/>
              <w:jc w:val="left"/>
              <w:rPr>
                <w:rFonts w:ascii="宋体"/>
                <w:kern w:val="0"/>
                <w:szCs w:val="21"/>
              </w:rPr>
            </w:pPr>
            <w:r>
              <w:rPr>
                <w:rFonts w:ascii="宋体" w:hAnsi="宋体" w:hint="eastAsia"/>
                <w:szCs w:val="21"/>
              </w:rPr>
              <w:t>在教室、病区内，多与学生进行面对面的交流互动，及时了解学生对教学过程的反应，帮助学生进一步理解和消化课堂上所学知识、改进学习方法和思维方式，培养其独立思考问题的能力。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64"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82" w:type="dxa"/>
            <w:vAlign w:val="center"/>
          </w:tcPr>
          <w:p w:rsidR="003717A0" w:rsidRDefault="003717A0">
            <w:pPr>
              <w:autoSpaceDE w:val="0"/>
              <w:autoSpaceDN w:val="0"/>
              <w:adjustRightInd w:val="0"/>
              <w:snapToGrid w:val="0"/>
              <w:ind w:firstLineChars="193" w:firstLine="405"/>
              <w:jc w:val="left"/>
              <w:rPr>
                <w:rFonts w:ascii="宋体"/>
                <w:szCs w:val="21"/>
              </w:rPr>
            </w:pPr>
            <w:r>
              <w:rPr>
                <w:rFonts w:ascii="宋体" w:hAnsi="宋体" w:hint="eastAsia"/>
                <w:szCs w:val="21"/>
              </w:rPr>
              <w:t>本课程为学期课程，成绩考核的方式：考试。考试时实行同一专业统考，即统一命题，统一考试，统一阅卷。考试学期总评成绩的评定方法如下：</w:t>
            </w:r>
          </w:p>
          <w:p w:rsidR="003717A0" w:rsidRDefault="003717A0">
            <w:pPr>
              <w:numPr>
                <w:ilvl w:val="0"/>
                <w:numId w:val="503"/>
              </w:numPr>
              <w:autoSpaceDE w:val="0"/>
              <w:autoSpaceDN w:val="0"/>
              <w:adjustRightInd w:val="0"/>
              <w:snapToGrid w:val="0"/>
              <w:spacing w:line="300" w:lineRule="exact"/>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100%</w:t>
            </w:r>
            <w:r>
              <w:rPr>
                <w:rFonts w:ascii="Times New Roman" w:hAnsi="宋体" w:hint="eastAsia"/>
                <w:szCs w:val="21"/>
              </w:rPr>
              <w:t>；</w:t>
            </w:r>
          </w:p>
          <w:p w:rsidR="003717A0" w:rsidRDefault="003717A0">
            <w:pPr>
              <w:autoSpaceDE w:val="0"/>
              <w:autoSpaceDN w:val="0"/>
              <w:adjustRightInd w:val="0"/>
              <w:snapToGrid w:val="0"/>
              <w:jc w:val="left"/>
              <w:rPr>
                <w:rFonts w:ascii="Times New Roman" w:hAnsi="宋体"/>
                <w:kern w:val="0"/>
                <w:sz w:val="22"/>
              </w:rPr>
            </w:pPr>
            <w:r>
              <w:rPr>
                <w:rFonts w:ascii="Times New Roman" w:hAnsi="宋体"/>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以上者，总评成绩为不及格。</w:t>
            </w:r>
          </w:p>
        </w:tc>
      </w:tr>
      <w:tr w:rsidR="003717A0">
        <w:trPr>
          <w:gridAfter w:val="1"/>
          <w:wAfter w:w="26" w:type="dxa"/>
          <w:cantSplit/>
          <w:trHeight w:val="1674"/>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64"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82" w:type="dxa"/>
            <w:vAlign w:val="center"/>
          </w:tcPr>
          <w:p w:rsidR="003717A0" w:rsidRDefault="003717A0">
            <w:pPr>
              <w:autoSpaceDE w:val="0"/>
              <w:autoSpaceDN w:val="0"/>
              <w:adjustRightInd w:val="0"/>
              <w:snapToGrid w:val="0"/>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为了培养学生综合运用所学知识解决实际问题的能力和创新能力，本课程教师应鼓励利用课余时间参与一定的临床工作，多接触临床病例，以帮助掌握所学理论知识和培养初步的专业基本技能。</w:t>
            </w:r>
          </w:p>
        </w:tc>
      </w:tr>
      <w:tr w:rsidR="003717A0">
        <w:trPr>
          <w:gridAfter w:val="1"/>
          <w:wAfter w:w="26" w:type="dxa"/>
          <w:cantSplit/>
          <w:trHeight w:val="454"/>
          <w:jc w:val="center"/>
        </w:trPr>
        <w:tc>
          <w:tcPr>
            <w:tcW w:w="1140"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82" w:type="dxa"/>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bookmarkStart w:id="113" w:name="_Toc469313018"/>
      <w:bookmarkStart w:id="114" w:name="_Toc471830730"/>
      <w:r w:rsidRPr="00566E4D">
        <w:rPr>
          <w:rFonts w:hint="eastAsia"/>
          <w:b/>
        </w:rPr>
        <w:lastRenderedPageBreak/>
        <w:t>《社会心理障碍的作业治疗》课程质量标准</w:t>
      </w:r>
      <w:bookmarkEnd w:id="113"/>
      <w:bookmarkEnd w:id="114"/>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rPr>
              <w:t>社会心理障碍的作业治疗</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rFonts w:ascii="Arial" w:hAnsi="Arial"/>
                <w:sz w:val="24"/>
              </w:rPr>
              <w:t>The occupational therapy of social psychological barriers</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170704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45</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2</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w:t>
            </w:r>
            <w:r>
              <w:rPr>
                <w:rFonts w:ascii="宋体" w:hint="eastAsia"/>
                <w:szCs w:val="21"/>
              </w:rPr>
              <w:t>■</w:t>
            </w:r>
            <w:r>
              <w:rPr>
                <w:rFonts w:ascii="宋体" w:hint="eastAsia"/>
                <w:sz w:val="22"/>
              </w:rPr>
              <w:t>专业课□专业选修课□公共选修课</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康复医学科</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暂未出版</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 w:val="22"/>
              </w:rPr>
              <w:t>□考试□考查□开卷</w:t>
            </w:r>
            <w:r>
              <w:rPr>
                <w:rFonts w:ascii="宋体" w:hint="eastAsia"/>
                <w:szCs w:val="21"/>
              </w:rPr>
              <w:t>■</w:t>
            </w:r>
            <w:r>
              <w:rPr>
                <w:rFonts w:ascii="宋体" w:hint="eastAsia"/>
                <w:sz w:val="22"/>
              </w:rPr>
              <w:t>闭卷□课程设计□学期论文□其他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100%</w:t>
            </w: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566E4D">
        <w:trPr>
          <w:jc w:val="center"/>
        </w:trPr>
        <w:tc>
          <w:tcPr>
            <w:tcW w:w="1668" w:type="dxa"/>
          </w:tcPr>
          <w:p w:rsidR="003717A0" w:rsidRDefault="003717A0">
            <w:pPr>
              <w:adjustRightInd w:val="0"/>
              <w:snapToGrid w:val="0"/>
              <w:spacing w:line="500" w:lineRule="exact"/>
              <w:ind w:firstLineChars="150" w:firstLine="330"/>
              <w:rPr>
                <w:sz w:val="22"/>
              </w:rPr>
            </w:pPr>
            <w:r>
              <w:rPr>
                <w:rFonts w:hint="eastAsia"/>
                <w:sz w:val="22"/>
              </w:rPr>
              <w:t>沈光宇</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本科</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学士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教授</w:t>
            </w:r>
          </w:p>
        </w:tc>
        <w:tc>
          <w:tcPr>
            <w:tcW w:w="1524" w:type="dxa"/>
          </w:tcPr>
          <w:p w:rsidR="003717A0" w:rsidRDefault="003717A0">
            <w:pPr>
              <w:adjustRightInd w:val="0"/>
              <w:snapToGrid w:val="0"/>
              <w:spacing w:line="500" w:lineRule="exact"/>
              <w:ind w:firstLineChars="100" w:firstLine="220"/>
              <w:rPr>
                <w:sz w:val="22"/>
              </w:rPr>
            </w:pPr>
            <w:r>
              <w:rPr>
                <w:sz w:val="22"/>
              </w:rPr>
              <w:t>1985.06</w:t>
            </w:r>
          </w:p>
        </w:tc>
      </w:tr>
      <w:tr w:rsidR="003717A0" w:rsidTr="00566E4D">
        <w:trPr>
          <w:jc w:val="center"/>
        </w:trPr>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胡玉明</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2003.09</w:t>
            </w:r>
          </w:p>
        </w:tc>
      </w:tr>
      <w:tr w:rsidR="003717A0" w:rsidTr="00566E4D">
        <w:trPr>
          <w:jc w:val="center"/>
        </w:trPr>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顾琦</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本科</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学士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2005.09</w:t>
            </w:r>
          </w:p>
        </w:tc>
      </w:tr>
      <w:tr w:rsidR="003717A0" w:rsidTr="00566E4D">
        <w:trPr>
          <w:jc w:val="center"/>
        </w:trPr>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rsidTr="00566E4D">
        <w:trPr>
          <w:jc w:val="center"/>
        </w:trPr>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rPr>
              <w:t>社会心理障碍的作业治疗是临床作业疗法中的一个重要组成部分。本课程比较详细地介绍了社会心理障碍作业治疗的理论框架，整体评估和康复途径，以及常见社会心理障碍的一般临床知识和诊断、功能障碍的特点、作业评定方法、治疗目标和治疗技术。本课程的设计和编写，参考了国外作业疗法的大量资料和专著，并结合国内现状；参照了江苏省康复医学十二五规划的要求和</w:t>
            </w:r>
            <w:r>
              <w:t>WFOT</w:t>
            </w:r>
            <w:r>
              <w:rPr>
                <w:rFonts w:hint="eastAsia"/>
              </w:rPr>
              <w:t>的教学指南。旨在培养符合国际化的作业治疗师。</w:t>
            </w:r>
          </w:p>
        </w:tc>
      </w:tr>
    </w:tbl>
    <w:p w:rsidR="003717A0" w:rsidRDefault="003717A0" w:rsidP="00566E4D">
      <w:pPr>
        <w:adjustRightInd w:val="0"/>
        <w:snapToGrid w:val="0"/>
        <w:spacing w:line="360" w:lineRule="auto"/>
        <w:jc w:val="center"/>
        <w:rPr>
          <w:rFonts w:ascii="Times New Roman" w:eastAsia="黑体" w:hAnsi="Times New Roman" w:cs="Times New Roman"/>
          <w:b/>
          <w:bCs/>
          <w:kern w:val="0"/>
          <w:sz w:val="32"/>
          <w:szCs w:val="32"/>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适应对象：本科层次，作业治疗学专业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rFonts w:ascii="Times New Roman" w:hAnsi="Times New Roman"/>
          <w:kern w:val="0"/>
          <w:sz w:val="22"/>
        </w:rPr>
        <w:t>170704</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rPr>
          <w:rFonts w:ascii="Times New Roman" w:hAnsi="Times New Roman"/>
          <w:kern w:val="0"/>
          <w:sz w:val="22"/>
        </w:rPr>
        <w:t>45</w:t>
      </w:r>
      <w:r>
        <w:rPr>
          <w:rFonts w:ascii="Times New Roman" w:hAnsi="Times New Roman" w:hint="eastAsia"/>
          <w:kern w:val="0"/>
          <w:sz w:val="22"/>
        </w:rPr>
        <w:t>学时（理论课：</w:t>
      </w:r>
      <w:r>
        <w:rPr>
          <w:rFonts w:ascii="Times New Roman" w:hAnsi="Times New Roman"/>
          <w:kern w:val="0"/>
          <w:sz w:val="22"/>
        </w:rPr>
        <w:t>27</w:t>
      </w:r>
      <w:r>
        <w:rPr>
          <w:rFonts w:ascii="Times New Roman" w:hAnsi="Times New Roman" w:hint="eastAsia"/>
          <w:kern w:val="0"/>
          <w:sz w:val="22"/>
        </w:rPr>
        <w:t>学时</w:t>
      </w:r>
      <w:r>
        <w:rPr>
          <w:rFonts w:ascii="Times New Roman" w:hAnsi="Times New Roman"/>
          <w:kern w:val="0"/>
          <w:sz w:val="22"/>
        </w:rPr>
        <w:t xml:space="preserve">  </w:t>
      </w:r>
      <w:r>
        <w:rPr>
          <w:rFonts w:ascii="Times New Roman" w:hAnsi="Times New Roman" w:hint="eastAsia"/>
          <w:kern w:val="0"/>
          <w:sz w:val="22"/>
        </w:rPr>
        <w:t>实习：</w:t>
      </w:r>
      <w:r>
        <w:rPr>
          <w:rFonts w:ascii="Times New Roman" w:hAnsi="Times New Roman"/>
          <w:kern w:val="0"/>
          <w:sz w:val="22"/>
        </w:rPr>
        <w:t>18</w:t>
      </w:r>
      <w:r>
        <w:rPr>
          <w:rFonts w:ascii="Times New Roman" w:hAnsi="Times New Roman" w:hint="eastAsia"/>
          <w:kern w:val="0"/>
          <w:sz w:val="22"/>
        </w:rPr>
        <w:t>学时）</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 xml:space="preserve"> 2</w:t>
      </w:r>
      <w:r>
        <w:rPr>
          <w:rFonts w:ascii="Times New Roman" w:hAnsi="Times New Roman" w:hint="eastAsia"/>
          <w:kern w:val="0"/>
          <w:sz w:val="22"/>
        </w:rPr>
        <w:t>分</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w:t>
      </w:r>
      <w:r>
        <w:rPr>
          <w:rFonts w:ascii="宋体" w:hint="eastAsia"/>
          <w:szCs w:val="21"/>
        </w:rPr>
        <w:t>康复评定学</w:t>
      </w:r>
      <w:r>
        <w:rPr>
          <w:rFonts w:ascii="宋体"/>
          <w:szCs w:val="21"/>
        </w:rPr>
        <w:t xml:space="preserve">  </w:t>
      </w:r>
      <w:r>
        <w:rPr>
          <w:rFonts w:ascii="宋体" w:hint="eastAsia"/>
          <w:szCs w:val="21"/>
        </w:rPr>
        <w:t>作业治疗学概论</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ind w:firstLineChars="200" w:firstLine="420"/>
        <w:jc w:val="left"/>
      </w:pPr>
      <w:r>
        <w:rPr>
          <w:rFonts w:hint="eastAsia"/>
        </w:rPr>
        <w:t>本课程主要涵盖对有作业障碍的精神及情绪病患者的全人管理。透过对不同的精神病患（例如精神分裂症、抑郁症等）的个案研习，加强学生对临床个案管理的认识及能力，使学生从评估状况到评价效果都有所掌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ind w:firstLineChars="245" w:firstLine="514"/>
        <w:jc w:val="left"/>
        <w:rPr>
          <w:rFonts w:ascii="Times New Roman" w:eastAsia="黑体" w:hAnsi="Times New Roman"/>
          <w:b/>
          <w:kern w:val="0"/>
          <w:sz w:val="24"/>
          <w:szCs w:val="24"/>
        </w:rPr>
      </w:pPr>
      <w:r>
        <w:rPr>
          <w:rFonts w:ascii="宋体" w:hint="eastAsia"/>
          <w:szCs w:val="21"/>
        </w:rPr>
        <w:t>通过本课程学习，使学生重点掌握</w:t>
      </w:r>
      <w:r>
        <w:rPr>
          <w:rFonts w:hint="eastAsia"/>
        </w:rPr>
        <w:t>社会心理障碍</w:t>
      </w:r>
      <w:r>
        <w:rPr>
          <w:rFonts w:ascii="宋体" w:hint="eastAsia"/>
          <w:szCs w:val="21"/>
        </w:rPr>
        <w:t>作业治疗的相关原理和理论、</w:t>
      </w:r>
      <w:r>
        <w:rPr>
          <w:rFonts w:hint="eastAsia"/>
        </w:rPr>
        <w:t>社会心理障碍</w:t>
      </w:r>
      <w:r>
        <w:rPr>
          <w:rFonts w:ascii="宋体" w:hint="eastAsia"/>
          <w:szCs w:val="21"/>
        </w:rPr>
        <w:t>作业治疗的功能评定、作业治疗技术，掌握精神分裂症、狂躁症、神经症、孤独症等临床常见疾病的特点、分类、评价及其作业治疗方法。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rPr>
          <w:rFonts w:ascii="宋体"/>
          <w:szCs w:val="21"/>
        </w:rPr>
      </w:pPr>
      <w:r>
        <w:rPr>
          <w:rFonts w:ascii="宋体" w:hint="eastAsia"/>
          <w:szCs w:val="21"/>
        </w:rPr>
        <w:t>第一章</w:t>
      </w:r>
      <w:r>
        <w:rPr>
          <w:rFonts w:ascii="宋体"/>
          <w:szCs w:val="21"/>
        </w:rPr>
        <w:t xml:space="preserve">   </w:t>
      </w:r>
      <w:r>
        <w:rPr>
          <w:rFonts w:ascii="宋体" w:hint="eastAsia"/>
          <w:szCs w:val="21"/>
        </w:rPr>
        <w:t>社会心理障碍的作业治疗</w:t>
      </w:r>
      <w:r>
        <w:rPr>
          <w:rFonts w:ascii="宋体"/>
          <w:szCs w:val="21"/>
        </w:rPr>
        <w:t>——</w:t>
      </w:r>
      <w:r>
        <w:rPr>
          <w:rFonts w:ascii="宋体" w:hint="eastAsia"/>
          <w:szCs w:val="21"/>
        </w:rPr>
        <w:t>概述</w:t>
      </w:r>
    </w:p>
    <w:p w:rsidR="003717A0" w:rsidRDefault="003717A0">
      <w:pPr>
        <w:jc w:val="left"/>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、了解精神疾病的定义、病因及分类</w:t>
      </w:r>
    </w:p>
    <w:p w:rsidR="003717A0" w:rsidRDefault="003717A0">
      <w:pPr>
        <w:rPr>
          <w:rFonts w:ascii="宋体"/>
          <w:szCs w:val="21"/>
        </w:rPr>
      </w:pPr>
      <w:r>
        <w:rPr>
          <w:rFonts w:ascii="宋体"/>
          <w:szCs w:val="21"/>
        </w:rPr>
        <w:t>2</w:t>
      </w:r>
      <w:r>
        <w:rPr>
          <w:rFonts w:ascii="宋体" w:hint="eastAsia"/>
          <w:szCs w:val="21"/>
        </w:rPr>
        <w:t>、掌握作业疗法的作用和原则</w:t>
      </w:r>
    </w:p>
    <w:p w:rsidR="003717A0" w:rsidRDefault="003717A0">
      <w:pPr>
        <w:rPr>
          <w:rFonts w:ascii="宋体"/>
          <w:szCs w:val="21"/>
        </w:rPr>
      </w:pPr>
      <w:r>
        <w:rPr>
          <w:rFonts w:ascii="宋体"/>
          <w:szCs w:val="21"/>
        </w:rPr>
        <w:t>3</w:t>
      </w:r>
      <w:r>
        <w:rPr>
          <w:rFonts w:ascii="宋体" w:hint="eastAsia"/>
          <w:szCs w:val="21"/>
        </w:rPr>
        <w:t>、熟悉作业疗法对精神疾病的治疗目的</w:t>
      </w:r>
    </w:p>
    <w:p w:rsidR="003717A0" w:rsidRDefault="003717A0">
      <w:pPr>
        <w:jc w:val="left"/>
        <w:rPr>
          <w:rFonts w:ascii="宋体"/>
          <w:szCs w:val="21"/>
        </w:rPr>
      </w:pPr>
      <w:r>
        <w:rPr>
          <w:rFonts w:ascii="宋体"/>
          <w:szCs w:val="21"/>
        </w:rPr>
        <w:t>4</w:t>
      </w:r>
      <w:r>
        <w:rPr>
          <w:rFonts w:ascii="宋体" w:hint="eastAsia"/>
          <w:szCs w:val="21"/>
        </w:rPr>
        <w:t>、掌握作业疗法采用的技术和方法</w:t>
      </w:r>
    </w:p>
    <w:p w:rsidR="003717A0" w:rsidRDefault="003717A0">
      <w:pPr>
        <w:jc w:val="left"/>
        <w:rPr>
          <w:rFonts w:ascii="宋体"/>
          <w:szCs w:val="21"/>
        </w:rPr>
      </w:pPr>
      <w:r>
        <w:rPr>
          <w:rFonts w:ascii="宋体"/>
          <w:szCs w:val="21"/>
        </w:rPr>
        <w:t xml:space="preserve">      </w:t>
      </w:r>
      <w:r>
        <w:rPr>
          <w:rFonts w:ascii="宋体" w:hint="eastAsia"/>
          <w:szCs w:val="21"/>
        </w:rPr>
        <w:t>教学内容：</w:t>
      </w:r>
    </w:p>
    <w:p w:rsidR="003717A0" w:rsidRDefault="003717A0">
      <w:pPr>
        <w:ind w:firstLineChars="100" w:firstLine="210"/>
        <w:jc w:val="left"/>
        <w:rPr>
          <w:rFonts w:ascii="宋体"/>
          <w:szCs w:val="21"/>
        </w:rPr>
      </w:pPr>
      <w:r>
        <w:rPr>
          <w:rFonts w:ascii="宋体" w:hint="eastAsia"/>
          <w:szCs w:val="21"/>
        </w:rPr>
        <w:t>第一节</w:t>
      </w:r>
      <w:r>
        <w:rPr>
          <w:rFonts w:ascii="宋体"/>
          <w:szCs w:val="21"/>
        </w:rPr>
        <w:t xml:space="preserve">  </w:t>
      </w:r>
      <w:r>
        <w:rPr>
          <w:rFonts w:ascii="宋体" w:hint="eastAsia"/>
          <w:szCs w:val="21"/>
        </w:rPr>
        <w:t>精神疾病</w:t>
      </w:r>
    </w:p>
    <w:p w:rsidR="003717A0" w:rsidRDefault="003717A0">
      <w:pPr>
        <w:ind w:firstLineChars="100" w:firstLine="210"/>
        <w:jc w:val="left"/>
        <w:rPr>
          <w:rFonts w:ascii="宋体"/>
          <w:szCs w:val="21"/>
        </w:rPr>
      </w:pPr>
      <w:r>
        <w:rPr>
          <w:rFonts w:ascii="宋体"/>
          <w:szCs w:val="21"/>
        </w:rPr>
        <w:t xml:space="preserve">         </w:t>
      </w:r>
      <w:r>
        <w:rPr>
          <w:rFonts w:ascii="宋体" w:hint="eastAsia"/>
          <w:szCs w:val="21"/>
        </w:rPr>
        <w:t>概念</w:t>
      </w:r>
    </w:p>
    <w:p w:rsidR="003717A0" w:rsidRDefault="003717A0">
      <w:pPr>
        <w:ind w:firstLineChars="100" w:firstLine="210"/>
        <w:jc w:val="left"/>
        <w:rPr>
          <w:rFonts w:ascii="宋体"/>
          <w:szCs w:val="21"/>
        </w:rPr>
      </w:pPr>
      <w:r>
        <w:rPr>
          <w:rFonts w:ascii="宋体"/>
          <w:szCs w:val="21"/>
        </w:rPr>
        <w:t xml:space="preserve">         </w:t>
      </w:r>
      <w:r>
        <w:rPr>
          <w:rFonts w:ascii="宋体" w:hint="eastAsia"/>
          <w:szCs w:val="21"/>
        </w:rPr>
        <w:t>病因</w:t>
      </w:r>
    </w:p>
    <w:p w:rsidR="003717A0" w:rsidRDefault="003717A0">
      <w:pPr>
        <w:ind w:firstLineChars="100" w:firstLine="210"/>
        <w:jc w:val="left"/>
        <w:rPr>
          <w:rFonts w:ascii="宋体"/>
          <w:szCs w:val="21"/>
        </w:rPr>
      </w:pPr>
      <w:r>
        <w:rPr>
          <w:rFonts w:ascii="宋体"/>
          <w:szCs w:val="21"/>
        </w:rPr>
        <w:t xml:space="preserve">         </w:t>
      </w:r>
      <w:r>
        <w:rPr>
          <w:rFonts w:ascii="宋体" w:hint="eastAsia"/>
          <w:szCs w:val="21"/>
        </w:rPr>
        <w:t>分类</w:t>
      </w:r>
    </w:p>
    <w:p w:rsidR="003717A0" w:rsidRDefault="003717A0">
      <w:pPr>
        <w:ind w:firstLineChars="100" w:firstLine="210"/>
        <w:jc w:val="left"/>
        <w:rPr>
          <w:rFonts w:ascii="宋体"/>
          <w:szCs w:val="21"/>
        </w:rPr>
      </w:pPr>
      <w:r>
        <w:rPr>
          <w:rFonts w:ascii="宋体" w:hint="eastAsia"/>
          <w:szCs w:val="21"/>
        </w:rPr>
        <w:t>第二节</w:t>
      </w:r>
      <w:r>
        <w:rPr>
          <w:rFonts w:ascii="宋体"/>
          <w:szCs w:val="21"/>
        </w:rPr>
        <w:t xml:space="preserve">  </w:t>
      </w:r>
      <w:r>
        <w:rPr>
          <w:rFonts w:ascii="宋体" w:hint="eastAsia"/>
          <w:szCs w:val="21"/>
        </w:rPr>
        <w:t>作业治疗作用</w:t>
      </w:r>
    </w:p>
    <w:p w:rsidR="003717A0" w:rsidRDefault="003717A0">
      <w:pPr>
        <w:ind w:firstLineChars="100" w:firstLine="210"/>
        <w:jc w:val="left"/>
        <w:rPr>
          <w:rFonts w:ascii="宋体"/>
          <w:szCs w:val="21"/>
        </w:rPr>
      </w:pPr>
      <w:r>
        <w:rPr>
          <w:rFonts w:ascii="宋体" w:hint="eastAsia"/>
          <w:szCs w:val="21"/>
        </w:rPr>
        <w:t>第三节</w:t>
      </w:r>
      <w:r>
        <w:rPr>
          <w:rFonts w:ascii="宋体"/>
          <w:szCs w:val="21"/>
        </w:rPr>
        <w:t xml:space="preserve">  </w:t>
      </w:r>
      <w:r>
        <w:rPr>
          <w:rFonts w:ascii="宋体" w:hint="eastAsia"/>
          <w:szCs w:val="21"/>
        </w:rPr>
        <w:t>作业治疗治疗目的</w:t>
      </w:r>
    </w:p>
    <w:p w:rsidR="003717A0" w:rsidRDefault="003717A0">
      <w:pPr>
        <w:ind w:firstLineChars="100" w:firstLine="210"/>
        <w:jc w:val="left"/>
        <w:rPr>
          <w:rFonts w:ascii="宋体"/>
          <w:szCs w:val="21"/>
        </w:rPr>
      </w:pPr>
      <w:r>
        <w:rPr>
          <w:rFonts w:ascii="宋体" w:hint="eastAsia"/>
          <w:szCs w:val="21"/>
        </w:rPr>
        <w:t>第四节</w:t>
      </w:r>
      <w:r>
        <w:rPr>
          <w:rFonts w:ascii="宋体"/>
          <w:szCs w:val="21"/>
        </w:rPr>
        <w:t xml:space="preserve">  </w:t>
      </w:r>
      <w:r>
        <w:rPr>
          <w:rFonts w:ascii="宋体" w:hint="eastAsia"/>
          <w:szCs w:val="21"/>
        </w:rPr>
        <w:t>作业治疗技术和方法</w:t>
      </w:r>
    </w:p>
    <w:p w:rsidR="003717A0" w:rsidRDefault="003717A0">
      <w:pPr>
        <w:jc w:val="left"/>
        <w:rPr>
          <w:rFonts w:ascii="宋体"/>
          <w:szCs w:val="21"/>
        </w:rPr>
      </w:pPr>
    </w:p>
    <w:p w:rsidR="003717A0" w:rsidRDefault="003717A0">
      <w:pPr>
        <w:jc w:val="left"/>
        <w:rPr>
          <w:rFonts w:ascii="宋体"/>
          <w:szCs w:val="21"/>
        </w:rPr>
      </w:pPr>
      <w:r>
        <w:rPr>
          <w:rFonts w:ascii="宋体"/>
          <w:szCs w:val="21"/>
        </w:rPr>
        <w:t xml:space="preserve">  </w:t>
      </w:r>
      <w:r>
        <w:rPr>
          <w:rFonts w:ascii="宋体" w:hint="eastAsia"/>
          <w:szCs w:val="21"/>
        </w:rPr>
        <w:t>第二章</w:t>
      </w:r>
      <w:r>
        <w:rPr>
          <w:rFonts w:ascii="宋体"/>
          <w:szCs w:val="21"/>
        </w:rPr>
        <w:t xml:space="preserve">  </w:t>
      </w:r>
      <w:r>
        <w:rPr>
          <w:rFonts w:ascii="宋体" w:hint="eastAsia"/>
          <w:szCs w:val="21"/>
        </w:rPr>
        <w:t>精神疾病作业疗法的理论</w:t>
      </w:r>
    </w:p>
    <w:p w:rsidR="003717A0" w:rsidRDefault="003717A0">
      <w:pPr>
        <w:jc w:val="left"/>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、了解精神疾病作业疗法理论的历史演变</w:t>
      </w:r>
    </w:p>
    <w:p w:rsidR="003717A0" w:rsidRDefault="003717A0">
      <w:pPr>
        <w:rPr>
          <w:rFonts w:ascii="宋体"/>
          <w:szCs w:val="21"/>
        </w:rPr>
      </w:pPr>
      <w:r>
        <w:rPr>
          <w:rFonts w:ascii="宋体"/>
          <w:szCs w:val="21"/>
        </w:rPr>
        <w:t>2</w:t>
      </w:r>
      <w:r>
        <w:rPr>
          <w:rFonts w:ascii="宋体" w:hint="eastAsia"/>
          <w:szCs w:val="21"/>
        </w:rPr>
        <w:t>、了解精神疾病作业治疗的理论模式</w:t>
      </w:r>
    </w:p>
    <w:p w:rsidR="003717A0" w:rsidRDefault="003717A0">
      <w:pPr>
        <w:jc w:val="left"/>
        <w:rPr>
          <w:rFonts w:ascii="宋体"/>
          <w:szCs w:val="21"/>
        </w:rPr>
      </w:pPr>
      <w:r>
        <w:rPr>
          <w:rFonts w:ascii="宋体"/>
          <w:szCs w:val="21"/>
        </w:rPr>
        <w:t>3</w:t>
      </w:r>
      <w:r>
        <w:rPr>
          <w:rFonts w:ascii="宋体" w:hint="eastAsia"/>
          <w:szCs w:val="21"/>
        </w:rPr>
        <w:t>、掌握人类作业治疗模式</w:t>
      </w:r>
    </w:p>
    <w:p w:rsidR="003717A0" w:rsidRDefault="003717A0">
      <w:pPr>
        <w:jc w:val="left"/>
        <w:rPr>
          <w:rFonts w:ascii="宋体"/>
          <w:szCs w:val="21"/>
        </w:rPr>
      </w:pPr>
    </w:p>
    <w:p w:rsidR="003717A0" w:rsidRDefault="003717A0">
      <w:pPr>
        <w:jc w:val="left"/>
        <w:rPr>
          <w:rFonts w:ascii="宋体"/>
          <w:szCs w:val="21"/>
        </w:rPr>
      </w:pPr>
      <w:r>
        <w:rPr>
          <w:rFonts w:ascii="宋体"/>
          <w:szCs w:val="21"/>
        </w:rPr>
        <w:lastRenderedPageBreak/>
        <w:t xml:space="preserve">     </w:t>
      </w:r>
      <w:r>
        <w:rPr>
          <w:rFonts w:ascii="宋体" w:hint="eastAsia"/>
          <w:szCs w:val="21"/>
        </w:rPr>
        <w:t>教学内容</w:t>
      </w:r>
    </w:p>
    <w:p w:rsidR="003717A0" w:rsidRDefault="003717A0">
      <w:pPr>
        <w:jc w:val="left"/>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精神病作业治疗理论的历史演变</w:t>
      </w:r>
    </w:p>
    <w:p w:rsidR="003717A0" w:rsidRDefault="003717A0">
      <w:pPr>
        <w:jc w:val="left"/>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精神疾病作业治疗理论模式</w:t>
      </w:r>
    </w:p>
    <w:p w:rsidR="003717A0" w:rsidRDefault="003717A0">
      <w:pPr>
        <w:jc w:val="left"/>
        <w:rPr>
          <w:rFonts w:ascii="宋体"/>
          <w:szCs w:val="21"/>
        </w:rPr>
      </w:pPr>
      <w:r>
        <w:rPr>
          <w:rFonts w:ascii="宋体"/>
          <w:szCs w:val="21"/>
        </w:rPr>
        <w:t xml:space="preserve">  </w:t>
      </w:r>
      <w:r>
        <w:rPr>
          <w:rFonts w:ascii="宋体" w:hint="eastAsia"/>
          <w:szCs w:val="21"/>
        </w:rPr>
        <w:t>第三节</w:t>
      </w:r>
      <w:r>
        <w:rPr>
          <w:rFonts w:ascii="宋体"/>
          <w:szCs w:val="21"/>
        </w:rPr>
        <w:t xml:space="preserve">  </w:t>
      </w:r>
      <w:r>
        <w:rPr>
          <w:rFonts w:ascii="宋体" w:hint="eastAsia"/>
          <w:szCs w:val="21"/>
        </w:rPr>
        <w:t>人类作业治疗模式</w:t>
      </w:r>
    </w:p>
    <w:p w:rsidR="003717A0" w:rsidRDefault="003717A0">
      <w:pPr>
        <w:jc w:val="left"/>
        <w:rPr>
          <w:rFonts w:ascii="宋体"/>
          <w:szCs w:val="21"/>
        </w:rPr>
      </w:pPr>
      <w:r>
        <w:rPr>
          <w:rFonts w:ascii="宋体"/>
          <w:szCs w:val="21"/>
        </w:rPr>
        <w:t xml:space="preserve">           </w:t>
      </w:r>
    </w:p>
    <w:p w:rsidR="003717A0" w:rsidRDefault="003717A0">
      <w:pPr>
        <w:rPr>
          <w:rFonts w:ascii="宋体"/>
          <w:szCs w:val="21"/>
        </w:rPr>
      </w:pPr>
      <w:r>
        <w:rPr>
          <w:rFonts w:ascii="宋体"/>
          <w:szCs w:val="21"/>
        </w:rPr>
        <w:t xml:space="preserve">  </w:t>
      </w:r>
      <w:r>
        <w:rPr>
          <w:rFonts w:ascii="宋体" w:hint="eastAsia"/>
          <w:szCs w:val="21"/>
        </w:rPr>
        <w:t>第三章</w:t>
      </w:r>
      <w:r>
        <w:rPr>
          <w:rFonts w:ascii="宋体"/>
          <w:szCs w:val="21"/>
        </w:rPr>
        <w:t xml:space="preserve">  </w:t>
      </w:r>
      <w:r>
        <w:rPr>
          <w:rFonts w:ascii="宋体" w:hint="eastAsia"/>
          <w:szCs w:val="21"/>
        </w:rPr>
        <w:t>精神分裂症的康复</w:t>
      </w:r>
    </w:p>
    <w:p w:rsidR="003717A0" w:rsidRDefault="003717A0">
      <w:pPr>
        <w:jc w:val="left"/>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、了解精神分裂症的定义、特点</w:t>
      </w:r>
    </w:p>
    <w:p w:rsidR="003717A0" w:rsidRDefault="003717A0">
      <w:pPr>
        <w:rPr>
          <w:rFonts w:ascii="宋体"/>
          <w:szCs w:val="21"/>
        </w:rPr>
      </w:pPr>
      <w:r>
        <w:rPr>
          <w:rFonts w:ascii="宋体"/>
          <w:szCs w:val="21"/>
        </w:rPr>
        <w:t>2</w:t>
      </w:r>
      <w:r>
        <w:rPr>
          <w:rFonts w:ascii="宋体" w:hint="eastAsia"/>
          <w:szCs w:val="21"/>
        </w:rPr>
        <w:t>、熟悉精神分裂症的功能障碍特点</w:t>
      </w:r>
    </w:p>
    <w:p w:rsidR="003717A0" w:rsidRDefault="003717A0">
      <w:pPr>
        <w:rPr>
          <w:rFonts w:ascii="宋体"/>
          <w:szCs w:val="21"/>
        </w:rPr>
      </w:pPr>
      <w:r>
        <w:rPr>
          <w:rFonts w:ascii="宋体"/>
          <w:szCs w:val="21"/>
        </w:rPr>
        <w:t>3</w:t>
      </w:r>
      <w:r>
        <w:rPr>
          <w:rFonts w:ascii="宋体" w:hint="eastAsia"/>
          <w:szCs w:val="21"/>
        </w:rPr>
        <w:t>、掌握精神分裂症的功能评定</w:t>
      </w:r>
    </w:p>
    <w:p w:rsidR="003717A0" w:rsidRDefault="003717A0">
      <w:pPr>
        <w:numPr>
          <w:ilvl w:val="0"/>
          <w:numId w:val="504"/>
        </w:numPr>
        <w:rPr>
          <w:rFonts w:ascii="宋体"/>
          <w:szCs w:val="21"/>
        </w:rPr>
      </w:pPr>
      <w:r>
        <w:rPr>
          <w:rFonts w:ascii="宋体" w:hint="eastAsia"/>
          <w:szCs w:val="21"/>
        </w:rPr>
        <w:t>掌握精神分裂症的作业治疗</w:t>
      </w:r>
    </w:p>
    <w:p w:rsidR="003717A0" w:rsidRDefault="003717A0">
      <w:pPr>
        <w:jc w:val="left"/>
        <w:rPr>
          <w:rFonts w:ascii="宋体"/>
          <w:szCs w:val="21"/>
        </w:rPr>
      </w:pPr>
      <w:r>
        <w:rPr>
          <w:rFonts w:ascii="宋体"/>
          <w:szCs w:val="21"/>
        </w:rPr>
        <w:t xml:space="preserve">     </w:t>
      </w:r>
    </w:p>
    <w:p w:rsidR="003717A0" w:rsidRDefault="003717A0">
      <w:pPr>
        <w:jc w:val="left"/>
        <w:rPr>
          <w:rFonts w:ascii="宋体"/>
          <w:szCs w:val="21"/>
        </w:rPr>
      </w:pPr>
      <w:r>
        <w:rPr>
          <w:rFonts w:ascii="宋体"/>
          <w:szCs w:val="21"/>
        </w:rPr>
        <w:t xml:space="preserve">     </w:t>
      </w:r>
      <w:r>
        <w:rPr>
          <w:rFonts w:ascii="宋体" w:hint="eastAsia"/>
          <w:szCs w:val="21"/>
        </w:rPr>
        <w:t>教学内容：</w:t>
      </w:r>
    </w:p>
    <w:p w:rsidR="003717A0" w:rsidRDefault="003717A0">
      <w:pPr>
        <w:jc w:val="left"/>
        <w:rPr>
          <w:rFonts w:ascii="宋体"/>
          <w:szCs w:val="21"/>
        </w:rPr>
      </w:pPr>
      <w:r>
        <w:rPr>
          <w:rFonts w:ascii="宋体" w:hint="eastAsia"/>
          <w:szCs w:val="21"/>
        </w:rPr>
        <w:t>第一节</w:t>
      </w:r>
      <w:r>
        <w:rPr>
          <w:rFonts w:ascii="宋体"/>
          <w:szCs w:val="21"/>
        </w:rPr>
        <w:t xml:space="preserve">  </w:t>
      </w:r>
      <w:r>
        <w:rPr>
          <w:rFonts w:ascii="宋体" w:hint="eastAsia"/>
          <w:szCs w:val="21"/>
        </w:rPr>
        <w:t>精神分裂症</w:t>
      </w:r>
    </w:p>
    <w:p w:rsidR="003717A0" w:rsidRDefault="003717A0">
      <w:pPr>
        <w:jc w:val="left"/>
        <w:rPr>
          <w:rFonts w:ascii="宋体"/>
          <w:szCs w:val="21"/>
        </w:rPr>
      </w:pPr>
      <w:r>
        <w:rPr>
          <w:rFonts w:ascii="宋体"/>
          <w:szCs w:val="21"/>
        </w:rPr>
        <w:t xml:space="preserve">            </w:t>
      </w:r>
      <w:r>
        <w:rPr>
          <w:rFonts w:ascii="宋体" w:hint="eastAsia"/>
          <w:szCs w:val="21"/>
        </w:rPr>
        <w:t>定义</w:t>
      </w:r>
      <w:r>
        <w:rPr>
          <w:rFonts w:ascii="宋体"/>
          <w:szCs w:val="21"/>
        </w:rPr>
        <w:t xml:space="preserve"> </w:t>
      </w:r>
    </w:p>
    <w:p w:rsidR="003717A0" w:rsidRDefault="003717A0">
      <w:pPr>
        <w:jc w:val="left"/>
        <w:rPr>
          <w:rFonts w:ascii="宋体"/>
          <w:szCs w:val="21"/>
        </w:rPr>
      </w:pPr>
      <w:r>
        <w:rPr>
          <w:rFonts w:ascii="宋体"/>
          <w:szCs w:val="21"/>
        </w:rPr>
        <w:t xml:space="preserve">            </w:t>
      </w:r>
      <w:r>
        <w:rPr>
          <w:rFonts w:ascii="宋体" w:hint="eastAsia"/>
          <w:szCs w:val="21"/>
        </w:rPr>
        <w:t>特点</w:t>
      </w:r>
    </w:p>
    <w:p w:rsidR="003717A0" w:rsidRDefault="003717A0">
      <w:pPr>
        <w:jc w:val="left"/>
        <w:rPr>
          <w:rFonts w:ascii="宋体"/>
          <w:szCs w:val="21"/>
        </w:rPr>
      </w:pPr>
      <w:r>
        <w:rPr>
          <w:rFonts w:ascii="宋体"/>
          <w:szCs w:val="21"/>
        </w:rPr>
        <w:t xml:space="preserve">1. </w:t>
      </w:r>
      <w:r>
        <w:rPr>
          <w:rFonts w:ascii="宋体" w:hint="eastAsia"/>
          <w:szCs w:val="21"/>
        </w:rPr>
        <w:t>精神分裂症的功能障碍</w:t>
      </w:r>
    </w:p>
    <w:p w:rsidR="003717A0" w:rsidRDefault="003717A0">
      <w:pPr>
        <w:jc w:val="left"/>
        <w:rPr>
          <w:rFonts w:ascii="宋体"/>
          <w:szCs w:val="21"/>
        </w:rPr>
      </w:pPr>
      <w:r>
        <w:rPr>
          <w:rFonts w:ascii="宋体"/>
          <w:szCs w:val="21"/>
        </w:rPr>
        <w:t xml:space="preserve">2. </w:t>
      </w:r>
      <w:r>
        <w:rPr>
          <w:rFonts w:ascii="宋体" w:hint="eastAsia"/>
          <w:szCs w:val="21"/>
        </w:rPr>
        <w:t>精神分裂症的功能评定</w:t>
      </w:r>
    </w:p>
    <w:p w:rsidR="003717A0" w:rsidRDefault="003717A0">
      <w:pPr>
        <w:jc w:val="left"/>
        <w:rPr>
          <w:rFonts w:ascii="宋体"/>
          <w:szCs w:val="21"/>
        </w:rPr>
      </w:pPr>
      <w:r>
        <w:rPr>
          <w:rFonts w:ascii="宋体"/>
          <w:szCs w:val="21"/>
        </w:rPr>
        <w:t xml:space="preserve">3. </w:t>
      </w:r>
      <w:r>
        <w:rPr>
          <w:rFonts w:ascii="宋体" w:hint="eastAsia"/>
          <w:szCs w:val="21"/>
        </w:rPr>
        <w:t>精神分裂症的作业治疗</w:t>
      </w:r>
    </w:p>
    <w:p w:rsidR="003717A0" w:rsidRDefault="003717A0">
      <w:pPr>
        <w:rPr>
          <w:rFonts w:ascii="宋体"/>
          <w:szCs w:val="21"/>
        </w:rPr>
      </w:pPr>
      <w:r>
        <w:rPr>
          <w:rFonts w:ascii="宋体"/>
          <w:szCs w:val="21"/>
        </w:rPr>
        <w:t xml:space="preserve">  </w:t>
      </w:r>
      <w:r>
        <w:rPr>
          <w:rFonts w:ascii="宋体" w:hint="eastAsia"/>
          <w:szCs w:val="21"/>
        </w:rPr>
        <w:t>第四章</w:t>
      </w:r>
      <w:r>
        <w:rPr>
          <w:rFonts w:ascii="宋体"/>
          <w:szCs w:val="21"/>
        </w:rPr>
        <w:t xml:space="preserve">   </w:t>
      </w:r>
      <w:r>
        <w:rPr>
          <w:rFonts w:ascii="宋体" w:hint="eastAsia"/>
          <w:szCs w:val="21"/>
        </w:rPr>
        <w:t>躁狂症的康复</w:t>
      </w:r>
    </w:p>
    <w:p w:rsidR="003717A0" w:rsidRDefault="003717A0">
      <w:pPr>
        <w:jc w:val="left"/>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、了解躁狂症的定义和病因</w:t>
      </w:r>
    </w:p>
    <w:p w:rsidR="003717A0" w:rsidRDefault="003717A0">
      <w:pPr>
        <w:rPr>
          <w:rFonts w:ascii="宋体"/>
          <w:szCs w:val="21"/>
        </w:rPr>
      </w:pPr>
      <w:r>
        <w:rPr>
          <w:rFonts w:ascii="宋体"/>
          <w:szCs w:val="21"/>
        </w:rPr>
        <w:t>2</w:t>
      </w:r>
      <w:r>
        <w:rPr>
          <w:rFonts w:ascii="宋体" w:hint="eastAsia"/>
          <w:szCs w:val="21"/>
        </w:rPr>
        <w:t>、熟悉躁狂症的临床表现、诊断及病程预后</w:t>
      </w:r>
    </w:p>
    <w:p w:rsidR="003717A0" w:rsidRDefault="003717A0">
      <w:pPr>
        <w:rPr>
          <w:rFonts w:ascii="宋体"/>
          <w:szCs w:val="21"/>
        </w:rPr>
      </w:pPr>
      <w:r>
        <w:rPr>
          <w:rFonts w:ascii="宋体"/>
          <w:szCs w:val="21"/>
        </w:rPr>
        <w:t>3</w:t>
      </w:r>
      <w:r>
        <w:rPr>
          <w:rFonts w:ascii="宋体" w:hint="eastAsia"/>
          <w:szCs w:val="21"/>
        </w:rPr>
        <w:t>、掌握躁狂症的评定及治疗</w:t>
      </w:r>
    </w:p>
    <w:p w:rsidR="003717A0" w:rsidRDefault="003717A0">
      <w:pPr>
        <w:jc w:val="left"/>
        <w:rPr>
          <w:rFonts w:ascii="宋体"/>
          <w:szCs w:val="21"/>
        </w:rPr>
      </w:pPr>
    </w:p>
    <w:p w:rsidR="003717A0" w:rsidRDefault="003717A0">
      <w:pPr>
        <w:jc w:val="left"/>
        <w:rPr>
          <w:rFonts w:ascii="宋体"/>
          <w:szCs w:val="21"/>
        </w:rPr>
      </w:pPr>
      <w:r>
        <w:rPr>
          <w:rFonts w:ascii="宋体"/>
          <w:szCs w:val="21"/>
        </w:rPr>
        <w:t xml:space="preserve">      </w:t>
      </w:r>
      <w:r>
        <w:rPr>
          <w:rFonts w:ascii="宋体" w:hint="eastAsia"/>
          <w:szCs w:val="21"/>
        </w:rPr>
        <w:t>教学内容：</w:t>
      </w:r>
    </w:p>
    <w:p w:rsidR="003717A0" w:rsidRDefault="003717A0">
      <w:pPr>
        <w:jc w:val="left"/>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狂躁症</w:t>
      </w:r>
    </w:p>
    <w:p w:rsidR="003717A0" w:rsidRDefault="003717A0">
      <w:pPr>
        <w:jc w:val="left"/>
        <w:rPr>
          <w:rFonts w:ascii="宋体"/>
          <w:szCs w:val="21"/>
        </w:rPr>
      </w:pPr>
      <w:r>
        <w:rPr>
          <w:rFonts w:ascii="宋体"/>
          <w:szCs w:val="21"/>
        </w:rPr>
        <w:t xml:space="preserve">           </w:t>
      </w:r>
      <w:r>
        <w:rPr>
          <w:rFonts w:ascii="宋体" w:hint="eastAsia"/>
          <w:szCs w:val="21"/>
        </w:rPr>
        <w:t>定义</w:t>
      </w:r>
    </w:p>
    <w:p w:rsidR="003717A0" w:rsidRDefault="003717A0">
      <w:pPr>
        <w:jc w:val="left"/>
        <w:rPr>
          <w:rFonts w:ascii="宋体"/>
          <w:szCs w:val="21"/>
        </w:rPr>
      </w:pPr>
      <w:r>
        <w:rPr>
          <w:rFonts w:ascii="宋体"/>
          <w:szCs w:val="21"/>
        </w:rPr>
        <w:t xml:space="preserve">           </w:t>
      </w:r>
      <w:r>
        <w:rPr>
          <w:rFonts w:ascii="宋体" w:hint="eastAsia"/>
          <w:szCs w:val="21"/>
        </w:rPr>
        <w:t>病因</w:t>
      </w:r>
    </w:p>
    <w:p w:rsidR="003717A0" w:rsidRDefault="003717A0">
      <w:pPr>
        <w:jc w:val="left"/>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狂躁症的临床表现和诊断</w:t>
      </w:r>
    </w:p>
    <w:p w:rsidR="003717A0" w:rsidRDefault="003717A0">
      <w:pPr>
        <w:jc w:val="left"/>
        <w:rPr>
          <w:rFonts w:ascii="宋体"/>
          <w:szCs w:val="21"/>
        </w:rPr>
      </w:pPr>
      <w:r>
        <w:rPr>
          <w:rFonts w:ascii="宋体"/>
          <w:szCs w:val="21"/>
        </w:rPr>
        <w:t xml:space="preserve">  </w:t>
      </w:r>
      <w:r>
        <w:rPr>
          <w:rFonts w:ascii="宋体" w:hint="eastAsia"/>
          <w:szCs w:val="21"/>
        </w:rPr>
        <w:t>第三节</w:t>
      </w:r>
      <w:r>
        <w:rPr>
          <w:rFonts w:ascii="宋体"/>
          <w:szCs w:val="21"/>
        </w:rPr>
        <w:t xml:space="preserve">   </w:t>
      </w:r>
      <w:r>
        <w:rPr>
          <w:rFonts w:ascii="宋体" w:hint="eastAsia"/>
          <w:szCs w:val="21"/>
        </w:rPr>
        <w:t>狂躁症的评定和治疗</w:t>
      </w:r>
    </w:p>
    <w:p w:rsidR="003717A0" w:rsidRDefault="003717A0">
      <w:pPr>
        <w:jc w:val="left"/>
        <w:rPr>
          <w:rFonts w:ascii="宋体"/>
          <w:szCs w:val="21"/>
        </w:rPr>
      </w:pPr>
    </w:p>
    <w:p w:rsidR="003717A0" w:rsidRDefault="003717A0">
      <w:pPr>
        <w:rPr>
          <w:rFonts w:ascii="宋体"/>
          <w:szCs w:val="21"/>
        </w:rPr>
      </w:pPr>
      <w:r>
        <w:rPr>
          <w:rFonts w:ascii="宋体"/>
          <w:szCs w:val="21"/>
        </w:rPr>
        <w:t xml:space="preserve">    </w:t>
      </w:r>
      <w:r>
        <w:rPr>
          <w:rFonts w:ascii="宋体" w:hint="eastAsia"/>
          <w:szCs w:val="21"/>
        </w:rPr>
        <w:t>第五章</w:t>
      </w:r>
      <w:r>
        <w:rPr>
          <w:rFonts w:ascii="宋体"/>
          <w:szCs w:val="21"/>
        </w:rPr>
        <w:t xml:space="preserve">   </w:t>
      </w:r>
      <w:r>
        <w:rPr>
          <w:rFonts w:ascii="宋体" w:hint="eastAsia"/>
          <w:szCs w:val="21"/>
        </w:rPr>
        <w:t>边缘性人格障碍</w:t>
      </w:r>
    </w:p>
    <w:p w:rsidR="003717A0" w:rsidRDefault="003717A0">
      <w:pPr>
        <w:jc w:val="left"/>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、了解边缘性人格障碍的基本概念</w:t>
      </w:r>
    </w:p>
    <w:p w:rsidR="003717A0" w:rsidRDefault="003717A0">
      <w:pPr>
        <w:rPr>
          <w:rFonts w:ascii="宋体"/>
          <w:szCs w:val="21"/>
        </w:rPr>
      </w:pPr>
      <w:r>
        <w:rPr>
          <w:rFonts w:ascii="宋体"/>
          <w:szCs w:val="21"/>
        </w:rPr>
        <w:t>2</w:t>
      </w:r>
      <w:r>
        <w:rPr>
          <w:rFonts w:ascii="宋体" w:hint="eastAsia"/>
          <w:szCs w:val="21"/>
        </w:rPr>
        <w:t>、熟悉边缘性人格障碍的临床表现及症状</w:t>
      </w:r>
    </w:p>
    <w:p w:rsidR="003717A0" w:rsidRDefault="003717A0">
      <w:pPr>
        <w:rPr>
          <w:rFonts w:ascii="宋体"/>
          <w:szCs w:val="21"/>
        </w:rPr>
      </w:pPr>
      <w:r>
        <w:rPr>
          <w:rFonts w:ascii="宋体"/>
          <w:szCs w:val="21"/>
        </w:rPr>
        <w:t>3</w:t>
      </w:r>
      <w:r>
        <w:rPr>
          <w:rFonts w:ascii="宋体" w:hint="eastAsia"/>
          <w:szCs w:val="21"/>
        </w:rPr>
        <w:t>、掌握边缘性人格障碍的治疗</w:t>
      </w:r>
    </w:p>
    <w:p w:rsidR="003717A0" w:rsidRDefault="003717A0">
      <w:pPr>
        <w:rPr>
          <w:rFonts w:ascii="宋体"/>
          <w:szCs w:val="21"/>
        </w:rPr>
      </w:pPr>
      <w:r>
        <w:rPr>
          <w:rFonts w:ascii="宋体"/>
          <w:szCs w:val="21"/>
        </w:rPr>
        <w:t>4</w:t>
      </w:r>
      <w:r>
        <w:rPr>
          <w:rFonts w:ascii="宋体" w:hint="eastAsia"/>
          <w:szCs w:val="21"/>
        </w:rPr>
        <w:t>、掌握边缘性人格障碍的作业治疗方法的目标及方法</w:t>
      </w:r>
    </w:p>
    <w:p w:rsidR="003717A0" w:rsidRDefault="003717A0">
      <w:pPr>
        <w:rPr>
          <w:rFonts w:ascii="宋体"/>
          <w:szCs w:val="21"/>
        </w:rPr>
      </w:pPr>
    </w:p>
    <w:p w:rsidR="003717A0" w:rsidRDefault="003717A0">
      <w:pPr>
        <w:rPr>
          <w:rFonts w:ascii="宋体"/>
          <w:szCs w:val="21"/>
        </w:rPr>
      </w:pPr>
      <w:r>
        <w:rPr>
          <w:rFonts w:ascii="宋体"/>
          <w:szCs w:val="21"/>
        </w:rPr>
        <w:t xml:space="preserve">        </w:t>
      </w:r>
      <w:r>
        <w:rPr>
          <w:rFonts w:ascii="宋体" w:hint="eastAsia"/>
          <w:szCs w:val="21"/>
        </w:rPr>
        <w:t>教学内容：</w:t>
      </w:r>
    </w:p>
    <w:p w:rsidR="003717A0" w:rsidRDefault="003717A0">
      <w:pPr>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边缘性人格障碍</w:t>
      </w:r>
    </w:p>
    <w:p w:rsidR="003717A0" w:rsidRDefault="003717A0">
      <w:pPr>
        <w:rPr>
          <w:rFonts w:ascii="宋体"/>
          <w:szCs w:val="21"/>
        </w:rPr>
      </w:pPr>
      <w:r>
        <w:rPr>
          <w:rFonts w:ascii="宋体"/>
          <w:szCs w:val="21"/>
        </w:rPr>
        <w:t xml:space="preserve">           </w:t>
      </w:r>
      <w:r>
        <w:rPr>
          <w:rFonts w:ascii="宋体" w:hint="eastAsia"/>
          <w:szCs w:val="21"/>
        </w:rPr>
        <w:t>概念</w:t>
      </w:r>
    </w:p>
    <w:p w:rsidR="003717A0" w:rsidRDefault="003717A0">
      <w:pPr>
        <w:rPr>
          <w:rFonts w:ascii="宋体"/>
          <w:szCs w:val="21"/>
        </w:rPr>
      </w:pPr>
      <w:r>
        <w:rPr>
          <w:rFonts w:ascii="宋体"/>
          <w:szCs w:val="21"/>
        </w:rPr>
        <w:t xml:space="preserve">           </w:t>
      </w:r>
      <w:r>
        <w:rPr>
          <w:rFonts w:ascii="宋体" w:hint="eastAsia"/>
          <w:szCs w:val="21"/>
        </w:rPr>
        <w:t>病因</w:t>
      </w:r>
    </w:p>
    <w:p w:rsidR="003717A0" w:rsidRDefault="003717A0">
      <w:pPr>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边缘性人格障碍的临床表现和症状</w:t>
      </w:r>
    </w:p>
    <w:p w:rsidR="003717A0" w:rsidRDefault="003717A0">
      <w:pPr>
        <w:rPr>
          <w:rFonts w:ascii="宋体"/>
          <w:szCs w:val="21"/>
        </w:rPr>
      </w:pPr>
      <w:r>
        <w:rPr>
          <w:rFonts w:ascii="宋体"/>
          <w:szCs w:val="21"/>
        </w:rPr>
        <w:lastRenderedPageBreak/>
        <w:t xml:space="preserve">  </w:t>
      </w:r>
      <w:r>
        <w:rPr>
          <w:rFonts w:ascii="宋体" w:hint="eastAsia"/>
          <w:szCs w:val="21"/>
        </w:rPr>
        <w:t>第三节</w:t>
      </w:r>
      <w:r>
        <w:rPr>
          <w:rFonts w:ascii="宋体"/>
          <w:szCs w:val="21"/>
        </w:rPr>
        <w:t xml:space="preserve">  </w:t>
      </w:r>
      <w:r>
        <w:rPr>
          <w:rFonts w:ascii="宋体" w:hint="eastAsia"/>
          <w:szCs w:val="21"/>
        </w:rPr>
        <w:t>边缘性人格障碍的治疗</w:t>
      </w:r>
    </w:p>
    <w:p w:rsidR="003717A0" w:rsidRDefault="003717A0">
      <w:pPr>
        <w:rPr>
          <w:rFonts w:ascii="宋体"/>
          <w:szCs w:val="21"/>
        </w:rPr>
      </w:pPr>
      <w:r>
        <w:rPr>
          <w:rFonts w:ascii="宋体"/>
          <w:szCs w:val="21"/>
        </w:rPr>
        <w:t xml:space="preserve">  </w:t>
      </w:r>
      <w:r>
        <w:rPr>
          <w:rFonts w:ascii="宋体" w:hint="eastAsia"/>
          <w:szCs w:val="21"/>
        </w:rPr>
        <w:t>第四节</w:t>
      </w:r>
      <w:r>
        <w:rPr>
          <w:rFonts w:ascii="宋体"/>
          <w:szCs w:val="21"/>
        </w:rPr>
        <w:t xml:space="preserve">  </w:t>
      </w:r>
      <w:r>
        <w:rPr>
          <w:rFonts w:ascii="宋体" w:hint="eastAsia"/>
          <w:szCs w:val="21"/>
        </w:rPr>
        <w:t>缘性人格障碍的作业治疗方法</w:t>
      </w:r>
    </w:p>
    <w:p w:rsidR="003717A0" w:rsidRDefault="003717A0">
      <w:pPr>
        <w:rPr>
          <w:rFonts w:ascii="宋体"/>
          <w:szCs w:val="21"/>
        </w:rPr>
      </w:pPr>
    </w:p>
    <w:p w:rsidR="003717A0" w:rsidRDefault="003717A0">
      <w:pPr>
        <w:ind w:firstLineChars="200" w:firstLine="420"/>
        <w:rPr>
          <w:rFonts w:ascii="宋体"/>
          <w:szCs w:val="21"/>
        </w:rPr>
      </w:pPr>
      <w:r>
        <w:rPr>
          <w:rFonts w:ascii="宋体" w:hint="eastAsia"/>
          <w:szCs w:val="21"/>
        </w:rPr>
        <w:t>第六章</w:t>
      </w:r>
      <w:r>
        <w:rPr>
          <w:rFonts w:ascii="宋体"/>
          <w:szCs w:val="21"/>
        </w:rPr>
        <w:t xml:space="preserve">  </w:t>
      </w:r>
      <w:r>
        <w:rPr>
          <w:rFonts w:ascii="宋体" w:hint="eastAsia"/>
          <w:szCs w:val="21"/>
        </w:rPr>
        <w:t>成瘾症的康复</w:t>
      </w:r>
    </w:p>
    <w:p w:rsidR="003717A0" w:rsidRDefault="003717A0">
      <w:pPr>
        <w:ind w:firstLineChars="200" w:firstLine="420"/>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、了解成瘾症的概述</w:t>
      </w:r>
    </w:p>
    <w:p w:rsidR="003717A0" w:rsidRDefault="003717A0">
      <w:pPr>
        <w:rPr>
          <w:rFonts w:ascii="宋体"/>
          <w:szCs w:val="21"/>
        </w:rPr>
      </w:pPr>
      <w:r>
        <w:rPr>
          <w:rFonts w:ascii="宋体"/>
          <w:szCs w:val="21"/>
        </w:rPr>
        <w:t>2</w:t>
      </w:r>
      <w:r>
        <w:rPr>
          <w:rFonts w:ascii="宋体" w:hint="eastAsia"/>
          <w:szCs w:val="21"/>
        </w:rPr>
        <w:t>、熟悉成瘾症的功能障碍特点</w:t>
      </w:r>
    </w:p>
    <w:p w:rsidR="003717A0" w:rsidRDefault="003717A0">
      <w:pPr>
        <w:rPr>
          <w:rFonts w:ascii="宋体"/>
          <w:szCs w:val="21"/>
        </w:rPr>
      </w:pPr>
      <w:r>
        <w:rPr>
          <w:rFonts w:ascii="宋体"/>
          <w:szCs w:val="21"/>
        </w:rPr>
        <w:t>3</w:t>
      </w:r>
      <w:r>
        <w:rPr>
          <w:rFonts w:ascii="宋体" w:hint="eastAsia"/>
          <w:szCs w:val="21"/>
        </w:rPr>
        <w:t>、掌握成瘾症的作业治疗</w:t>
      </w:r>
    </w:p>
    <w:p w:rsidR="003717A0" w:rsidRDefault="003717A0">
      <w:pPr>
        <w:rPr>
          <w:rFonts w:ascii="宋体"/>
          <w:szCs w:val="21"/>
        </w:rPr>
      </w:pPr>
      <w:r>
        <w:rPr>
          <w:rFonts w:ascii="宋体"/>
          <w:szCs w:val="21"/>
        </w:rPr>
        <w:t>4</w:t>
      </w:r>
      <w:r>
        <w:rPr>
          <w:rFonts w:ascii="宋体" w:hint="eastAsia"/>
          <w:szCs w:val="21"/>
        </w:rPr>
        <w:t>、熟悉各类成瘾性疾病的治疗</w:t>
      </w:r>
    </w:p>
    <w:p w:rsidR="003717A0" w:rsidRDefault="003717A0">
      <w:pPr>
        <w:rPr>
          <w:rFonts w:ascii="宋体"/>
          <w:szCs w:val="21"/>
        </w:rPr>
      </w:pPr>
      <w:r>
        <w:rPr>
          <w:rFonts w:ascii="宋体"/>
          <w:szCs w:val="21"/>
        </w:rPr>
        <w:t>5</w:t>
      </w:r>
      <w:r>
        <w:rPr>
          <w:rFonts w:ascii="宋体" w:hint="eastAsia"/>
          <w:szCs w:val="21"/>
        </w:rPr>
        <w:t>、掌握酒精、阿片类物质及烟草所致的成瘾症的康复</w:t>
      </w:r>
    </w:p>
    <w:p w:rsidR="003717A0" w:rsidRDefault="003717A0">
      <w:pPr>
        <w:ind w:firstLineChars="200" w:firstLine="420"/>
        <w:rPr>
          <w:rFonts w:ascii="宋体"/>
          <w:szCs w:val="21"/>
        </w:rPr>
      </w:pPr>
    </w:p>
    <w:p w:rsidR="003717A0" w:rsidRDefault="003717A0">
      <w:pPr>
        <w:ind w:firstLineChars="200" w:firstLine="420"/>
        <w:rPr>
          <w:rFonts w:ascii="宋体"/>
          <w:szCs w:val="21"/>
        </w:rPr>
      </w:pPr>
      <w:r>
        <w:rPr>
          <w:rFonts w:ascii="宋体"/>
          <w:szCs w:val="21"/>
        </w:rPr>
        <w:t xml:space="preserve">    </w:t>
      </w:r>
      <w:r>
        <w:rPr>
          <w:rFonts w:ascii="宋体" w:hint="eastAsia"/>
          <w:szCs w:val="21"/>
        </w:rPr>
        <w:t>教学内容：</w:t>
      </w:r>
    </w:p>
    <w:p w:rsidR="003717A0" w:rsidRDefault="003717A0">
      <w:pPr>
        <w:numPr>
          <w:ilvl w:val="0"/>
          <w:numId w:val="505"/>
        </w:numPr>
        <w:ind w:firstLineChars="200" w:firstLine="420"/>
        <w:rPr>
          <w:rFonts w:ascii="宋体"/>
          <w:szCs w:val="21"/>
        </w:rPr>
      </w:pPr>
      <w:r>
        <w:rPr>
          <w:rFonts w:ascii="宋体"/>
          <w:szCs w:val="21"/>
        </w:rPr>
        <w:t xml:space="preserve"> </w:t>
      </w:r>
      <w:r>
        <w:rPr>
          <w:rFonts w:ascii="宋体" w:hint="eastAsia"/>
          <w:szCs w:val="21"/>
        </w:rPr>
        <w:t>成瘾症</w:t>
      </w:r>
    </w:p>
    <w:p w:rsidR="003717A0" w:rsidRDefault="003717A0">
      <w:pPr>
        <w:rPr>
          <w:rFonts w:ascii="宋体"/>
          <w:szCs w:val="21"/>
        </w:rPr>
      </w:pPr>
      <w:r>
        <w:rPr>
          <w:rFonts w:ascii="宋体"/>
          <w:szCs w:val="21"/>
        </w:rPr>
        <w:t xml:space="preserve">             </w:t>
      </w:r>
      <w:r>
        <w:rPr>
          <w:rFonts w:ascii="宋体" w:hint="eastAsia"/>
          <w:szCs w:val="21"/>
        </w:rPr>
        <w:t>定义</w:t>
      </w:r>
    </w:p>
    <w:p w:rsidR="003717A0" w:rsidRDefault="003717A0">
      <w:pPr>
        <w:rPr>
          <w:rFonts w:ascii="宋体"/>
          <w:szCs w:val="21"/>
        </w:rPr>
      </w:pPr>
      <w:r>
        <w:rPr>
          <w:rFonts w:ascii="宋体"/>
          <w:szCs w:val="21"/>
        </w:rPr>
        <w:t xml:space="preserve">             </w:t>
      </w:r>
      <w:r>
        <w:rPr>
          <w:rFonts w:ascii="宋体" w:hint="eastAsia"/>
          <w:szCs w:val="21"/>
        </w:rPr>
        <w:t>病因</w:t>
      </w:r>
    </w:p>
    <w:p w:rsidR="003717A0" w:rsidRDefault="003717A0">
      <w:pPr>
        <w:ind w:firstLineChars="200" w:firstLine="420"/>
        <w:rPr>
          <w:rFonts w:ascii="宋体"/>
          <w:szCs w:val="21"/>
        </w:rPr>
      </w:pPr>
      <w:r>
        <w:rPr>
          <w:rFonts w:ascii="宋体" w:hint="eastAsia"/>
          <w:szCs w:val="21"/>
        </w:rPr>
        <w:t>第二节</w:t>
      </w:r>
      <w:r>
        <w:rPr>
          <w:rFonts w:ascii="宋体"/>
          <w:szCs w:val="21"/>
        </w:rPr>
        <w:t xml:space="preserve">  </w:t>
      </w:r>
      <w:r>
        <w:rPr>
          <w:rFonts w:ascii="宋体" w:hint="eastAsia"/>
          <w:szCs w:val="21"/>
        </w:rPr>
        <w:t>成瘾症的功能障碍</w:t>
      </w:r>
    </w:p>
    <w:p w:rsidR="003717A0" w:rsidRDefault="003717A0">
      <w:pPr>
        <w:ind w:firstLineChars="200" w:firstLine="420"/>
        <w:rPr>
          <w:rFonts w:ascii="宋体"/>
          <w:szCs w:val="21"/>
        </w:rPr>
      </w:pPr>
      <w:r>
        <w:rPr>
          <w:rFonts w:ascii="宋体" w:hint="eastAsia"/>
          <w:szCs w:val="21"/>
        </w:rPr>
        <w:t>第三节</w:t>
      </w:r>
      <w:r>
        <w:rPr>
          <w:rFonts w:ascii="宋体"/>
          <w:szCs w:val="21"/>
        </w:rPr>
        <w:t xml:space="preserve">  </w:t>
      </w:r>
      <w:r>
        <w:rPr>
          <w:rFonts w:ascii="宋体" w:hint="eastAsia"/>
          <w:szCs w:val="21"/>
        </w:rPr>
        <w:t>成瘾症的作业治疗</w:t>
      </w:r>
    </w:p>
    <w:p w:rsidR="003717A0" w:rsidRDefault="003717A0">
      <w:pPr>
        <w:ind w:firstLineChars="200" w:firstLine="420"/>
        <w:rPr>
          <w:rFonts w:ascii="宋体"/>
          <w:szCs w:val="21"/>
        </w:rPr>
      </w:pPr>
    </w:p>
    <w:p w:rsidR="003717A0" w:rsidRDefault="003717A0">
      <w:pPr>
        <w:rPr>
          <w:rFonts w:ascii="宋体"/>
          <w:szCs w:val="21"/>
        </w:rPr>
      </w:pPr>
      <w:r>
        <w:rPr>
          <w:rFonts w:ascii="宋体"/>
          <w:szCs w:val="21"/>
        </w:rPr>
        <w:t xml:space="preserve">   </w:t>
      </w:r>
      <w:r>
        <w:rPr>
          <w:rFonts w:ascii="宋体" w:hint="eastAsia"/>
          <w:szCs w:val="21"/>
        </w:rPr>
        <w:t>第七章</w:t>
      </w:r>
      <w:r>
        <w:rPr>
          <w:rFonts w:ascii="宋体"/>
          <w:szCs w:val="21"/>
        </w:rPr>
        <w:t xml:space="preserve">  </w:t>
      </w:r>
      <w:r>
        <w:rPr>
          <w:rFonts w:ascii="宋体" w:hint="eastAsia"/>
          <w:szCs w:val="21"/>
        </w:rPr>
        <w:t>神经症的康复</w:t>
      </w:r>
    </w:p>
    <w:p w:rsidR="003717A0" w:rsidRDefault="003717A0">
      <w:pPr>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、了解神经症的定义、分类、病因及发病机制</w:t>
      </w:r>
    </w:p>
    <w:p w:rsidR="003717A0" w:rsidRDefault="003717A0">
      <w:pPr>
        <w:rPr>
          <w:rFonts w:ascii="宋体"/>
          <w:szCs w:val="21"/>
        </w:rPr>
      </w:pPr>
      <w:r>
        <w:rPr>
          <w:rFonts w:ascii="宋体"/>
          <w:szCs w:val="21"/>
        </w:rPr>
        <w:t>2</w:t>
      </w:r>
      <w:r>
        <w:rPr>
          <w:rFonts w:ascii="宋体" w:hint="eastAsia"/>
          <w:szCs w:val="21"/>
        </w:rPr>
        <w:t>、熟悉神经症的临床特点和常见症状</w:t>
      </w:r>
    </w:p>
    <w:p w:rsidR="003717A0" w:rsidRDefault="003717A0">
      <w:pPr>
        <w:rPr>
          <w:rFonts w:ascii="宋体"/>
          <w:szCs w:val="21"/>
        </w:rPr>
      </w:pPr>
      <w:r>
        <w:rPr>
          <w:rFonts w:ascii="宋体"/>
          <w:szCs w:val="21"/>
        </w:rPr>
        <w:t>3</w:t>
      </w:r>
      <w:r>
        <w:rPr>
          <w:rFonts w:ascii="宋体" w:hint="eastAsia"/>
          <w:szCs w:val="21"/>
        </w:rPr>
        <w:t>、掌握神经症的康复治疗</w:t>
      </w:r>
    </w:p>
    <w:p w:rsidR="003717A0" w:rsidRDefault="003717A0">
      <w:pPr>
        <w:rPr>
          <w:rFonts w:ascii="宋体"/>
          <w:szCs w:val="21"/>
        </w:rPr>
      </w:pPr>
    </w:p>
    <w:p w:rsidR="003717A0" w:rsidRDefault="003717A0">
      <w:pPr>
        <w:rPr>
          <w:rFonts w:ascii="宋体"/>
          <w:szCs w:val="21"/>
        </w:rPr>
      </w:pPr>
      <w:r>
        <w:rPr>
          <w:rFonts w:ascii="宋体"/>
          <w:szCs w:val="21"/>
        </w:rPr>
        <w:t xml:space="preserve">         </w:t>
      </w:r>
      <w:r>
        <w:rPr>
          <w:rFonts w:ascii="宋体" w:hint="eastAsia"/>
          <w:szCs w:val="21"/>
        </w:rPr>
        <w:t>教学内容：</w:t>
      </w:r>
    </w:p>
    <w:p w:rsidR="003717A0" w:rsidRDefault="003717A0">
      <w:pPr>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神经症</w:t>
      </w:r>
    </w:p>
    <w:p w:rsidR="003717A0" w:rsidRDefault="003717A0">
      <w:pPr>
        <w:rPr>
          <w:rFonts w:ascii="宋体"/>
          <w:szCs w:val="21"/>
        </w:rPr>
      </w:pPr>
      <w:r>
        <w:rPr>
          <w:rFonts w:ascii="宋体"/>
          <w:szCs w:val="21"/>
        </w:rPr>
        <w:t xml:space="preserve">              </w:t>
      </w:r>
      <w:r>
        <w:rPr>
          <w:rFonts w:ascii="宋体" w:hint="eastAsia"/>
          <w:szCs w:val="21"/>
        </w:rPr>
        <w:t>定义</w:t>
      </w:r>
    </w:p>
    <w:p w:rsidR="003717A0" w:rsidRDefault="003717A0">
      <w:pPr>
        <w:rPr>
          <w:rFonts w:ascii="宋体"/>
          <w:szCs w:val="21"/>
        </w:rPr>
      </w:pPr>
      <w:r>
        <w:rPr>
          <w:rFonts w:ascii="宋体"/>
          <w:szCs w:val="21"/>
        </w:rPr>
        <w:t xml:space="preserve">              </w:t>
      </w:r>
      <w:r>
        <w:rPr>
          <w:rFonts w:ascii="宋体" w:hint="eastAsia"/>
          <w:szCs w:val="21"/>
        </w:rPr>
        <w:t>分类</w:t>
      </w:r>
    </w:p>
    <w:p w:rsidR="003717A0" w:rsidRDefault="003717A0">
      <w:pPr>
        <w:rPr>
          <w:rFonts w:ascii="宋体"/>
          <w:szCs w:val="21"/>
        </w:rPr>
      </w:pPr>
      <w:r>
        <w:rPr>
          <w:rFonts w:ascii="宋体"/>
          <w:szCs w:val="21"/>
        </w:rPr>
        <w:t xml:space="preserve">              </w:t>
      </w:r>
      <w:r>
        <w:rPr>
          <w:rFonts w:ascii="宋体" w:hint="eastAsia"/>
          <w:szCs w:val="21"/>
        </w:rPr>
        <w:t>病因</w:t>
      </w:r>
    </w:p>
    <w:p w:rsidR="003717A0" w:rsidRDefault="003717A0">
      <w:pPr>
        <w:rPr>
          <w:rFonts w:ascii="宋体"/>
          <w:szCs w:val="21"/>
        </w:rPr>
      </w:pPr>
      <w:r>
        <w:rPr>
          <w:rFonts w:ascii="宋体"/>
          <w:szCs w:val="21"/>
        </w:rPr>
        <w:t xml:space="preserve">              </w:t>
      </w:r>
      <w:r>
        <w:rPr>
          <w:rFonts w:ascii="宋体" w:hint="eastAsia"/>
          <w:szCs w:val="21"/>
        </w:rPr>
        <w:t>发病机制</w:t>
      </w:r>
    </w:p>
    <w:p w:rsidR="003717A0" w:rsidRDefault="003717A0">
      <w:pPr>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神经症的临床特点</w:t>
      </w:r>
    </w:p>
    <w:p w:rsidR="003717A0" w:rsidRDefault="003717A0">
      <w:pPr>
        <w:rPr>
          <w:rFonts w:ascii="宋体"/>
          <w:szCs w:val="21"/>
        </w:rPr>
      </w:pPr>
      <w:r>
        <w:rPr>
          <w:rFonts w:ascii="宋体"/>
          <w:szCs w:val="21"/>
        </w:rPr>
        <w:t xml:space="preserve">     </w:t>
      </w:r>
      <w:r>
        <w:rPr>
          <w:rFonts w:ascii="宋体" w:hint="eastAsia"/>
          <w:szCs w:val="21"/>
        </w:rPr>
        <w:t>第三节</w:t>
      </w:r>
      <w:r>
        <w:rPr>
          <w:rFonts w:ascii="宋体"/>
          <w:szCs w:val="21"/>
        </w:rPr>
        <w:t xml:space="preserve">  </w:t>
      </w:r>
      <w:r>
        <w:rPr>
          <w:rFonts w:ascii="宋体" w:hint="eastAsia"/>
          <w:szCs w:val="21"/>
        </w:rPr>
        <w:t>神经症的作业治疗</w:t>
      </w:r>
    </w:p>
    <w:p w:rsidR="003717A0" w:rsidRDefault="003717A0">
      <w:pPr>
        <w:rPr>
          <w:rFonts w:ascii="宋体"/>
          <w:szCs w:val="21"/>
        </w:rPr>
      </w:pPr>
    </w:p>
    <w:p w:rsidR="003717A0" w:rsidRDefault="003717A0">
      <w:pPr>
        <w:rPr>
          <w:rFonts w:ascii="宋体"/>
          <w:szCs w:val="21"/>
        </w:rPr>
      </w:pPr>
      <w:r>
        <w:rPr>
          <w:rFonts w:ascii="宋体"/>
          <w:szCs w:val="21"/>
        </w:rPr>
        <w:t xml:space="preserve">   </w:t>
      </w:r>
      <w:r>
        <w:rPr>
          <w:rFonts w:ascii="宋体" w:hint="eastAsia"/>
          <w:szCs w:val="21"/>
        </w:rPr>
        <w:t>第八章</w:t>
      </w:r>
      <w:r>
        <w:rPr>
          <w:rFonts w:ascii="宋体"/>
          <w:szCs w:val="21"/>
        </w:rPr>
        <w:t xml:space="preserve">  </w:t>
      </w:r>
      <w:r>
        <w:rPr>
          <w:rFonts w:ascii="宋体" w:hint="eastAsia"/>
          <w:szCs w:val="21"/>
        </w:rPr>
        <w:t>神经性厌食症的康复</w:t>
      </w:r>
    </w:p>
    <w:p w:rsidR="003717A0" w:rsidRDefault="003717A0">
      <w:pPr>
        <w:rPr>
          <w:rFonts w:ascii="宋体"/>
          <w:szCs w:val="21"/>
        </w:rPr>
      </w:pPr>
      <w:r>
        <w:rPr>
          <w:rFonts w:ascii="宋体"/>
          <w:szCs w:val="21"/>
        </w:rPr>
        <w:t xml:space="preserve">          </w:t>
      </w:r>
      <w:r>
        <w:rPr>
          <w:rFonts w:ascii="宋体" w:hint="eastAsia"/>
          <w:szCs w:val="21"/>
        </w:rPr>
        <w:t>目的要求：</w:t>
      </w:r>
    </w:p>
    <w:p w:rsidR="003717A0" w:rsidRDefault="003717A0">
      <w:pPr>
        <w:rPr>
          <w:rFonts w:ascii="宋体"/>
          <w:szCs w:val="21"/>
        </w:rPr>
      </w:pPr>
      <w:r>
        <w:rPr>
          <w:rFonts w:ascii="宋体"/>
          <w:szCs w:val="21"/>
        </w:rPr>
        <w:t>1</w:t>
      </w:r>
      <w:r>
        <w:rPr>
          <w:rFonts w:ascii="宋体" w:hint="eastAsia"/>
          <w:szCs w:val="21"/>
        </w:rPr>
        <w:t>、了解神经性厌食症的定义、病因</w:t>
      </w:r>
    </w:p>
    <w:p w:rsidR="003717A0" w:rsidRDefault="003717A0">
      <w:pPr>
        <w:rPr>
          <w:rFonts w:ascii="宋体"/>
          <w:szCs w:val="21"/>
        </w:rPr>
      </w:pPr>
      <w:r>
        <w:rPr>
          <w:rFonts w:ascii="宋体"/>
          <w:szCs w:val="21"/>
        </w:rPr>
        <w:t>2</w:t>
      </w:r>
      <w:r>
        <w:rPr>
          <w:rFonts w:ascii="宋体" w:hint="eastAsia"/>
          <w:szCs w:val="21"/>
        </w:rPr>
        <w:t>、熟悉神经性厌食症的临床表现</w:t>
      </w:r>
    </w:p>
    <w:p w:rsidR="003717A0" w:rsidRDefault="003717A0">
      <w:pPr>
        <w:rPr>
          <w:rFonts w:ascii="宋体"/>
          <w:szCs w:val="21"/>
        </w:rPr>
      </w:pPr>
      <w:r>
        <w:rPr>
          <w:rFonts w:ascii="宋体"/>
          <w:szCs w:val="21"/>
        </w:rPr>
        <w:t>3</w:t>
      </w:r>
      <w:r>
        <w:rPr>
          <w:rFonts w:ascii="宋体" w:hint="eastAsia"/>
          <w:szCs w:val="21"/>
        </w:rPr>
        <w:t>、掌握神经性厌食症的治疗</w:t>
      </w:r>
    </w:p>
    <w:p w:rsidR="003717A0" w:rsidRDefault="003717A0">
      <w:pPr>
        <w:rPr>
          <w:rFonts w:ascii="宋体"/>
          <w:szCs w:val="21"/>
        </w:rPr>
      </w:pPr>
      <w:r>
        <w:rPr>
          <w:rFonts w:ascii="宋体"/>
          <w:szCs w:val="21"/>
        </w:rPr>
        <w:t xml:space="preserve">         </w:t>
      </w:r>
      <w:r>
        <w:rPr>
          <w:rFonts w:ascii="宋体" w:hint="eastAsia"/>
          <w:szCs w:val="21"/>
        </w:rPr>
        <w:t>教学内容：</w:t>
      </w:r>
    </w:p>
    <w:p w:rsidR="003717A0" w:rsidRDefault="003717A0">
      <w:pPr>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神经性厌食症</w:t>
      </w:r>
    </w:p>
    <w:p w:rsidR="003717A0" w:rsidRDefault="003717A0">
      <w:pPr>
        <w:rPr>
          <w:rFonts w:ascii="宋体"/>
          <w:szCs w:val="21"/>
        </w:rPr>
      </w:pPr>
      <w:r>
        <w:rPr>
          <w:rFonts w:ascii="宋体"/>
          <w:szCs w:val="21"/>
        </w:rPr>
        <w:t xml:space="preserve">                </w:t>
      </w:r>
      <w:r>
        <w:rPr>
          <w:rFonts w:ascii="宋体" w:hint="eastAsia"/>
          <w:szCs w:val="21"/>
        </w:rPr>
        <w:t>定义</w:t>
      </w:r>
    </w:p>
    <w:p w:rsidR="003717A0" w:rsidRDefault="003717A0">
      <w:pPr>
        <w:rPr>
          <w:rFonts w:ascii="宋体"/>
          <w:szCs w:val="21"/>
        </w:rPr>
      </w:pPr>
      <w:r>
        <w:rPr>
          <w:rFonts w:ascii="宋体"/>
          <w:szCs w:val="21"/>
        </w:rPr>
        <w:t xml:space="preserve">                </w:t>
      </w:r>
      <w:r>
        <w:rPr>
          <w:rFonts w:ascii="宋体" w:hint="eastAsia"/>
          <w:szCs w:val="21"/>
        </w:rPr>
        <w:t>病因</w:t>
      </w:r>
    </w:p>
    <w:p w:rsidR="003717A0" w:rsidRDefault="003717A0">
      <w:pPr>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神经性厌食症的临床表现</w:t>
      </w:r>
    </w:p>
    <w:p w:rsidR="003717A0" w:rsidRDefault="003717A0">
      <w:pPr>
        <w:rPr>
          <w:rFonts w:ascii="宋体"/>
          <w:szCs w:val="21"/>
        </w:rPr>
      </w:pPr>
      <w:r>
        <w:rPr>
          <w:rFonts w:ascii="宋体"/>
          <w:szCs w:val="21"/>
        </w:rPr>
        <w:t xml:space="preserve">      </w:t>
      </w:r>
      <w:r>
        <w:rPr>
          <w:rFonts w:ascii="宋体" w:hint="eastAsia"/>
          <w:szCs w:val="21"/>
        </w:rPr>
        <w:t>第三节</w:t>
      </w:r>
      <w:r>
        <w:rPr>
          <w:rFonts w:ascii="宋体"/>
          <w:szCs w:val="21"/>
        </w:rPr>
        <w:t xml:space="preserve">  </w:t>
      </w:r>
      <w:r>
        <w:rPr>
          <w:rFonts w:ascii="宋体" w:hint="eastAsia"/>
          <w:szCs w:val="21"/>
        </w:rPr>
        <w:t>神经性厌食症的作业治疗</w:t>
      </w:r>
    </w:p>
    <w:p w:rsidR="003717A0" w:rsidRDefault="003717A0">
      <w:pPr>
        <w:rPr>
          <w:rFonts w:ascii="宋体"/>
          <w:szCs w:val="21"/>
        </w:rPr>
      </w:pPr>
      <w:r>
        <w:rPr>
          <w:rFonts w:ascii="宋体"/>
          <w:szCs w:val="21"/>
        </w:rPr>
        <w:lastRenderedPageBreak/>
        <w:t xml:space="preserve">   </w:t>
      </w:r>
      <w:r>
        <w:rPr>
          <w:rFonts w:ascii="宋体" w:hint="eastAsia"/>
          <w:szCs w:val="21"/>
        </w:rPr>
        <w:t>第九章</w:t>
      </w:r>
      <w:r>
        <w:rPr>
          <w:rFonts w:ascii="宋体"/>
          <w:szCs w:val="21"/>
        </w:rPr>
        <w:t xml:space="preserve">   </w:t>
      </w:r>
      <w:r>
        <w:rPr>
          <w:rFonts w:ascii="宋体" w:hint="eastAsia"/>
          <w:szCs w:val="21"/>
        </w:rPr>
        <w:t>孤独症的康复</w:t>
      </w:r>
    </w:p>
    <w:p w:rsidR="003717A0" w:rsidRDefault="003717A0">
      <w:pPr>
        <w:rPr>
          <w:rFonts w:ascii="宋体"/>
          <w:szCs w:val="21"/>
        </w:rPr>
      </w:pPr>
      <w:r>
        <w:rPr>
          <w:rFonts w:ascii="宋体"/>
          <w:szCs w:val="21"/>
        </w:rPr>
        <w:t>1</w:t>
      </w:r>
      <w:r>
        <w:rPr>
          <w:rFonts w:ascii="宋体" w:hint="eastAsia"/>
          <w:szCs w:val="21"/>
        </w:rPr>
        <w:t>、了解孤独症的基本概念</w:t>
      </w:r>
    </w:p>
    <w:p w:rsidR="003717A0" w:rsidRDefault="003717A0">
      <w:pPr>
        <w:rPr>
          <w:rFonts w:ascii="宋体"/>
          <w:szCs w:val="21"/>
        </w:rPr>
      </w:pPr>
      <w:r>
        <w:rPr>
          <w:rFonts w:ascii="宋体"/>
          <w:szCs w:val="21"/>
        </w:rPr>
        <w:t>2</w:t>
      </w:r>
      <w:r>
        <w:rPr>
          <w:rFonts w:ascii="宋体" w:hint="eastAsia"/>
          <w:szCs w:val="21"/>
        </w:rPr>
        <w:t>、熟悉孤独症的临床表现及症状</w:t>
      </w:r>
    </w:p>
    <w:p w:rsidR="003717A0" w:rsidRDefault="003717A0">
      <w:pPr>
        <w:rPr>
          <w:rFonts w:ascii="宋体"/>
          <w:szCs w:val="21"/>
        </w:rPr>
      </w:pPr>
      <w:r>
        <w:rPr>
          <w:rFonts w:ascii="宋体"/>
          <w:szCs w:val="21"/>
        </w:rPr>
        <w:t>3</w:t>
      </w:r>
      <w:r>
        <w:rPr>
          <w:rFonts w:ascii="宋体" w:hint="eastAsia"/>
          <w:szCs w:val="21"/>
        </w:rPr>
        <w:t>、掌握孤独症的作业治疗</w:t>
      </w:r>
    </w:p>
    <w:p w:rsidR="003717A0" w:rsidRDefault="003717A0">
      <w:pPr>
        <w:rPr>
          <w:rFonts w:ascii="宋体"/>
          <w:szCs w:val="21"/>
        </w:rPr>
      </w:pPr>
      <w:r>
        <w:rPr>
          <w:rFonts w:ascii="宋体"/>
          <w:szCs w:val="21"/>
        </w:rPr>
        <w:t xml:space="preserve">          </w:t>
      </w:r>
      <w:r>
        <w:rPr>
          <w:rFonts w:ascii="宋体" w:hint="eastAsia"/>
          <w:szCs w:val="21"/>
        </w:rPr>
        <w:t>教学内容：</w:t>
      </w:r>
    </w:p>
    <w:p w:rsidR="003717A0" w:rsidRDefault="003717A0">
      <w:pPr>
        <w:rPr>
          <w:rFonts w:ascii="宋体"/>
          <w:szCs w:val="21"/>
        </w:rPr>
      </w:pPr>
      <w:r>
        <w:rPr>
          <w:rFonts w:ascii="宋体"/>
          <w:szCs w:val="21"/>
        </w:rPr>
        <w:t xml:space="preserve">      </w:t>
      </w:r>
      <w:r>
        <w:rPr>
          <w:rFonts w:ascii="宋体" w:hint="eastAsia"/>
          <w:szCs w:val="21"/>
        </w:rPr>
        <w:t>第一节</w:t>
      </w:r>
      <w:r>
        <w:rPr>
          <w:rFonts w:ascii="宋体"/>
          <w:szCs w:val="21"/>
        </w:rPr>
        <w:t xml:space="preserve">  </w:t>
      </w:r>
      <w:r>
        <w:rPr>
          <w:rFonts w:ascii="宋体" w:hint="eastAsia"/>
          <w:szCs w:val="21"/>
        </w:rPr>
        <w:t>孤独症</w:t>
      </w:r>
    </w:p>
    <w:p w:rsidR="003717A0" w:rsidRDefault="003717A0">
      <w:pPr>
        <w:rPr>
          <w:rFonts w:ascii="宋体"/>
          <w:szCs w:val="21"/>
        </w:rPr>
      </w:pPr>
      <w:r>
        <w:rPr>
          <w:rFonts w:ascii="宋体"/>
          <w:szCs w:val="21"/>
        </w:rPr>
        <w:t xml:space="preserve">                </w:t>
      </w:r>
      <w:r>
        <w:rPr>
          <w:rFonts w:ascii="宋体" w:hint="eastAsia"/>
          <w:szCs w:val="21"/>
        </w:rPr>
        <w:t>概念</w:t>
      </w:r>
    </w:p>
    <w:p w:rsidR="003717A0" w:rsidRDefault="003717A0">
      <w:pPr>
        <w:rPr>
          <w:rFonts w:ascii="宋体"/>
          <w:szCs w:val="21"/>
        </w:rPr>
      </w:pPr>
      <w:r>
        <w:rPr>
          <w:rFonts w:ascii="宋体"/>
          <w:szCs w:val="21"/>
        </w:rPr>
        <w:t xml:space="preserve">                </w:t>
      </w:r>
      <w:r>
        <w:rPr>
          <w:rFonts w:ascii="宋体" w:hint="eastAsia"/>
          <w:szCs w:val="21"/>
        </w:rPr>
        <w:t>症状</w:t>
      </w:r>
    </w:p>
    <w:p w:rsidR="003717A0" w:rsidRDefault="003717A0">
      <w:pPr>
        <w:rPr>
          <w:rFonts w:ascii="宋体"/>
          <w:szCs w:val="21"/>
        </w:rPr>
      </w:pPr>
      <w:r>
        <w:rPr>
          <w:rFonts w:ascii="宋体"/>
          <w:szCs w:val="21"/>
        </w:rPr>
        <w:t xml:space="preserve">      </w:t>
      </w:r>
      <w:r>
        <w:rPr>
          <w:rFonts w:ascii="宋体" w:hint="eastAsia"/>
          <w:szCs w:val="21"/>
        </w:rPr>
        <w:t>第二节</w:t>
      </w:r>
      <w:r>
        <w:rPr>
          <w:rFonts w:ascii="宋体"/>
          <w:szCs w:val="21"/>
        </w:rPr>
        <w:t xml:space="preserve">  </w:t>
      </w:r>
      <w:r>
        <w:rPr>
          <w:rFonts w:ascii="宋体" w:hint="eastAsia"/>
          <w:szCs w:val="21"/>
        </w:rPr>
        <w:t>孤独症的临床表现及诊断</w:t>
      </w:r>
    </w:p>
    <w:p w:rsidR="003717A0" w:rsidRDefault="003717A0">
      <w:pPr>
        <w:rPr>
          <w:rFonts w:ascii="宋体"/>
          <w:szCs w:val="21"/>
        </w:rPr>
      </w:pPr>
      <w:r>
        <w:rPr>
          <w:rFonts w:ascii="宋体"/>
          <w:szCs w:val="21"/>
        </w:rPr>
        <w:t xml:space="preserve">      </w:t>
      </w:r>
      <w:r>
        <w:rPr>
          <w:rFonts w:ascii="宋体" w:hint="eastAsia"/>
          <w:szCs w:val="21"/>
        </w:rPr>
        <w:t>第三节</w:t>
      </w:r>
      <w:r>
        <w:rPr>
          <w:rFonts w:ascii="宋体"/>
          <w:szCs w:val="21"/>
        </w:rPr>
        <w:t xml:space="preserve">  </w:t>
      </w:r>
      <w:r>
        <w:rPr>
          <w:rFonts w:ascii="宋体" w:hint="eastAsia"/>
          <w:szCs w:val="21"/>
        </w:rPr>
        <w:t>孤独症的作业治疗</w:t>
      </w:r>
    </w:p>
    <w:p w:rsidR="003717A0" w:rsidRDefault="003717A0">
      <w:pPr>
        <w:jc w:val="left"/>
        <w:rPr>
          <w:b/>
        </w:rPr>
      </w:pPr>
      <w:r>
        <w:rPr>
          <w:rFonts w:hint="eastAsia"/>
          <w:b/>
        </w:rPr>
        <w:t>教学方法</w:t>
      </w:r>
    </w:p>
    <w:p w:rsidR="003717A0" w:rsidRDefault="003717A0">
      <w:pPr>
        <w:ind w:firstLineChars="200" w:firstLine="420"/>
        <w:jc w:val="left"/>
      </w:pPr>
      <w:r>
        <w:rPr>
          <w:rFonts w:hint="eastAsia"/>
        </w:rPr>
        <w:t>讲授</w:t>
      </w:r>
      <w:r>
        <w:t xml:space="preserve">  </w:t>
      </w:r>
      <w:r>
        <w:rPr>
          <w:rFonts w:hint="eastAsia"/>
        </w:rPr>
        <w:t>为学生讲解老年人生理、心理特点及成功老龄化和相关老年疾病的理论知识以及在作业治疗程序上的应用。</w:t>
      </w:r>
    </w:p>
    <w:p w:rsidR="003717A0" w:rsidRDefault="003717A0">
      <w:pPr>
        <w:ind w:firstLineChars="200" w:firstLine="420"/>
        <w:jc w:val="left"/>
      </w:pPr>
      <w:r>
        <w:rPr>
          <w:rFonts w:hint="eastAsia"/>
        </w:rPr>
        <w:t>实践</w:t>
      </w:r>
      <w:r>
        <w:t xml:space="preserve">  </w:t>
      </w:r>
      <w:r>
        <w:rPr>
          <w:rFonts w:hint="eastAsia"/>
        </w:rPr>
        <w:t>学生实践老年患者的作业治疗，学生自己模拟老年人的生活状态或对需要进行作业治疗的老年人进行家访。</w:t>
      </w:r>
    </w:p>
    <w:p w:rsidR="003717A0" w:rsidRDefault="003717A0">
      <w:pPr>
        <w:jc w:val="left"/>
      </w:pPr>
    </w:p>
    <w:p w:rsidR="003717A0" w:rsidRDefault="003717A0">
      <w:pPr>
        <w:jc w:val="left"/>
      </w:pPr>
    </w:p>
    <w:p w:rsidR="003717A0" w:rsidRDefault="003717A0">
      <w:pPr>
        <w:jc w:val="left"/>
      </w:pPr>
    </w:p>
    <w:p w:rsidR="003717A0" w:rsidRDefault="003717A0">
      <w:pPr>
        <w:jc w:val="left"/>
      </w:pPr>
    </w:p>
    <w:p w:rsidR="003717A0" w:rsidRDefault="003717A0">
      <w:pPr>
        <w:jc w:val="left"/>
        <w:rPr>
          <w:b/>
        </w:rPr>
      </w:pPr>
      <w:r>
        <w:rPr>
          <w:rFonts w:hint="eastAsia"/>
          <w:b/>
        </w:rPr>
        <w:t>教学时数分配</w:t>
      </w:r>
    </w:p>
    <w:tbl>
      <w:tblPr>
        <w:tblW w:w="81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0"/>
        <w:gridCol w:w="3700"/>
        <w:gridCol w:w="1220"/>
        <w:gridCol w:w="1020"/>
        <w:gridCol w:w="1080"/>
      </w:tblGrid>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章节</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教学内容</w:t>
            </w:r>
          </w:p>
        </w:tc>
        <w:tc>
          <w:tcPr>
            <w:tcW w:w="122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主讲课</w:t>
            </w:r>
          </w:p>
        </w:tc>
        <w:tc>
          <w:tcPr>
            <w:tcW w:w="102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见习</w:t>
            </w:r>
          </w:p>
        </w:tc>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合计</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第一章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社会心理障碍的作业治疗</w:t>
            </w:r>
            <w:r>
              <w:rPr>
                <w:rFonts w:ascii="宋体" w:cs="宋体"/>
                <w:kern w:val="0"/>
                <w:sz w:val="24"/>
                <w:szCs w:val="24"/>
              </w:rPr>
              <w:t>——</w:t>
            </w:r>
            <w:r>
              <w:rPr>
                <w:rFonts w:ascii="宋体" w:cs="宋体" w:hint="eastAsia"/>
                <w:kern w:val="0"/>
                <w:sz w:val="24"/>
                <w:szCs w:val="24"/>
              </w:rPr>
              <w:t>概述</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left"/>
              <w:rPr>
                <w:rFonts w:ascii="宋体" w:cs="宋体"/>
                <w:kern w:val="0"/>
                <w:sz w:val="24"/>
                <w:szCs w:val="24"/>
              </w:rPr>
            </w:pP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第二章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精神疾病作业疗法的理论</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left"/>
              <w:rPr>
                <w:rFonts w:ascii="宋体" w:cs="宋体"/>
                <w:kern w:val="0"/>
                <w:sz w:val="24"/>
                <w:szCs w:val="24"/>
              </w:rPr>
            </w:pP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第三章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精神分裂症的康复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第四章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躁狂症的康复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第五章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边缘性人格障碍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第六章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成瘾症的康复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第七章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神经症的康复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第八章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神经性厌食症的康复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第九章</w:t>
            </w:r>
          </w:p>
        </w:tc>
        <w:tc>
          <w:tcPr>
            <w:tcW w:w="370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儿童孤独症的康复</w:t>
            </w: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3</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6</w:t>
            </w:r>
          </w:p>
        </w:tc>
      </w:tr>
      <w:tr w:rsidR="003717A0" w:rsidTr="006E108B">
        <w:trPr>
          <w:trHeight w:val="285"/>
        </w:trPr>
        <w:tc>
          <w:tcPr>
            <w:tcW w:w="1080" w:type="dxa"/>
            <w:vAlign w:val="center"/>
          </w:tcPr>
          <w:p w:rsidR="003717A0" w:rsidRDefault="003717A0">
            <w:pPr>
              <w:widowControl/>
              <w:jc w:val="left"/>
              <w:rPr>
                <w:rFonts w:ascii="宋体" w:cs="宋体"/>
                <w:kern w:val="0"/>
                <w:sz w:val="24"/>
                <w:szCs w:val="24"/>
              </w:rPr>
            </w:pPr>
            <w:r>
              <w:rPr>
                <w:rFonts w:ascii="宋体" w:cs="宋体" w:hint="eastAsia"/>
                <w:kern w:val="0"/>
                <w:sz w:val="24"/>
                <w:szCs w:val="24"/>
              </w:rPr>
              <w:t>合计</w:t>
            </w:r>
          </w:p>
        </w:tc>
        <w:tc>
          <w:tcPr>
            <w:tcW w:w="3700" w:type="dxa"/>
            <w:vAlign w:val="center"/>
          </w:tcPr>
          <w:p w:rsidR="003717A0" w:rsidRDefault="003717A0">
            <w:pPr>
              <w:widowControl/>
              <w:jc w:val="left"/>
              <w:rPr>
                <w:rFonts w:ascii="宋体" w:cs="宋体"/>
                <w:kern w:val="0"/>
                <w:sz w:val="24"/>
                <w:szCs w:val="24"/>
              </w:rPr>
            </w:pPr>
          </w:p>
        </w:tc>
        <w:tc>
          <w:tcPr>
            <w:tcW w:w="1220" w:type="dxa"/>
            <w:vAlign w:val="center"/>
          </w:tcPr>
          <w:p w:rsidR="003717A0" w:rsidRDefault="003717A0">
            <w:pPr>
              <w:widowControl/>
              <w:jc w:val="right"/>
              <w:rPr>
                <w:rFonts w:ascii="宋体" w:cs="宋体"/>
                <w:kern w:val="0"/>
                <w:sz w:val="24"/>
                <w:szCs w:val="24"/>
              </w:rPr>
            </w:pPr>
            <w:r>
              <w:rPr>
                <w:rFonts w:ascii="宋体" w:cs="宋体"/>
                <w:kern w:val="0"/>
                <w:sz w:val="24"/>
                <w:szCs w:val="24"/>
              </w:rPr>
              <w:t>27</w:t>
            </w:r>
          </w:p>
        </w:tc>
        <w:tc>
          <w:tcPr>
            <w:tcW w:w="1020" w:type="dxa"/>
            <w:vAlign w:val="center"/>
          </w:tcPr>
          <w:p w:rsidR="003717A0" w:rsidRDefault="003717A0">
            <w:pPr>
              <w:widowControl/>
              <w:jc w:val="right"/>
              <w:rPr>
                <w:rFonts w:ascii="宋体" w:cs="宋体"/>
                <w:kern w:val="0"/>
                <w:sz w:val="24"/>
                <w:szCs w:val="24"/>
              </w:rPr>
            </w:pPr>
            <w:r>
              <w:rPr>
                <w:rFonts w:ascii="宋体" w:cs="宋体"/>
                <w:kern w:val="0"/>
                <w:sz w:val="24"/>
                <w:szCs w:val="24"/>
              </w:rPr>
              <w:t>18</w:t>
            </w:r>
          </w:p>
        </w:tc>
        <w:tc>
          <w:tcPr>
            <w:tcW w:w="1080" w:type="dxa"/>
            <w:vAlign w:val="center"/>
          </w:tcPr>
          <w:p w:rsidR="003717A0" w:rsidRDefault="003717A0">
            <w:pPr>
              <w:widowControl/>
              <w:jc w:val="right"/>
              <w:rPr>
                <w:rFonts w:ascii="宋体" w:cs="宋体"/>
                <w:kern w:val="0"/>
                <w:sz w:val="24"/>
                <w:szCs w:val="24"/>
              </w:rPr>
            </w:pPr>
            <w:r>
              <w:rPr>
                <w:rFonts w:ascii="宋体" w:cs="宋体"/>
                <w:kern w:val="0"/>
                <w:sz w:val="24"/>
                <w:szCs w:val="24"/>
              </w:rPr>
              <w:t>45</w:t>
            </w:r>
          </w:p>
        </w:tc>
      </w:tr>
    </w:tbl>
    <w:p w:rsidR="003717A0" w:rsidRDefault="003717A0">
      <w:pPr>
        <w:jc w:val="left"/>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ind w:firstLineChars="150" w:firstLine="315"/>
        <w:rPr>
          <w:rFonts w:ascii="宋体"/>
          <w:szCs w:val="21"/>
        </w:rPr>
      </w:pPr>
      <w:r>
        <w:rPr>
          <w:rFonts w:ascii="宋体" w:hint="eastAsia"/>
          <w:szCs w:val="21"/>
        </w:rPr>
        <w:t>课堂教学以大班上课为主，讲课按教学大纲进行讲课时要做到目地明确，层次分明，讲究教学方法，充分利用图表、幻灯、录相、多媒体等教学工具。</w:t>
      </w:r>
    </w:p>
    <w:p w:rsidR="003717A0" w:rsidRDefault="003717A0">
      <w:pPr>
        <w:ind w:firstLineChars="150" w:firstLine="315"/>
        <w:rPr>
          <w:rFonts w:ascii="宋体"/>
          <w:szCs w:val="21"/>
        </w:rPr>
      </w:pPr>
      <w:r>
        <w:rPr>
          <w:rFonts w:ascii="宋体" w:hint="eastAsia"/>
          <w:szCs w:val="21"/>
        </w:rPr>
        <w:t>在实习中，利用各种检查仪器和治疗工具示教，小组带教互动以学生动手学习操作为主，结合对病人治疗进行必要的重点讲解，以巩固和深化课堂所讲授的知识。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napToGrid w:val="0"/>
        <w:spacing w:line="440" w:lineRule="exact"/>
        <w:jc w:val="left"/>
        <w:rPr>
          <w:rFonts w:ascii="宋体"/>
          <w:szCs w:val="21"/>
        </w:rPr>
      </w:pPr>
      <w:r>
        <w:rPr>
          <w:rFonts w:ascii="宋体" w:hint="eastAsia"/>
          <w:szCs w:val="21"/>
        </w:rPr>
        <w:t>期末考试</w:t>
      </w:r>
      <w:r>
        <w:rPr>
          <w:rFonts w:ascii="宋体"/>
          <w:szCs w:val="21"/>
        </w:rPr>
        <w:t xml:space="preserve"> 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lastRenderedPageBreak/>
        <w:t>七、附录</w:t>
      </w:r>
    </w:p>
    <w:p w:rsidR="003717A0" w:rsidRDefault="003717A0">
      <w:pPr>
        <w:pStyle w:val="a7"/>
        <w:rPr>
          <w:rFonts w:ascii="宋体"/>
          <w:szCs w:val="21"/>
        </w:rPr>
      </w:pPr>
      <w:r>
        <w:rPr>
          <w:rFonts w:ascii="宋体" w:hint="eastAsia"/>
          <w:szCs w:val="21"/>
        </w:rPr>
        <w:t>主要参考书：</w:t>
      </w:r>
      <w:r>
        <w:rPr>
          <w:rFonts w:ascii="宋体"/>
          <w:szCs w:val="21"/>
        </w:rPr>
        <w:t xml:space="preserve">   </w:t>
      </w:r>
      <w:r>
        <w:rPr>
          <w:rFonts w:ascii="宋体" w:hint="eastAsia"/>
          <w:szCs w:val="21"/>
        </w:rPr>
        <w:t>窦祖林主编</w:t>
      </w:r>
      <w:r>
        <w:rPr>
          <w:rFonts w:ascii="宋体"/>
          <w:szCs w:val="21"/>
        </w:rPr>
        <w:t xml:space="preserve">  </w:t>
      </w:r>
      <w:r>
        <w:rPr>
          <w:rFonts w:ascii="宋体" w:hint="eastAsia"/>
          <w:szCs w:val="21"/>
        </w:rPr>
        <w:t>《作业治疗学》</w:t>
      </w:r>
      <w:r>
        <w:rPr>
          <w:rFonts w:ascii="宋体"/>
          <w:szCs w:val="21"/>
        </w:rPr>
        <w:t xml:space="preserve"> </w:t>
      </w:r>
      <w:r>
        <w:rPr>
          <w:rFonts w:ascii="宋体" w:hint="eastAsia"/>
          <w:szCs w:val="21"/>
        </w:rPr>
        <w:t>人民卫生出版社</w:t>
      </w:r>
      <w:r>
        <w:rPr>
          <w:rFonts w:ascii="宋体"/>
          <w:szCs w:val="21"/>
        </w:rPr>
        <w:t xml:space="preserve">  2008</w:t>
      </w:r>
      <w:r>
        <w:rPr>
          <w:rFonts w:ascii="宋体" w:hint="eastAsia"/>
          <w:szCs w:val="21"/>
        </w:rPr>
        <w:t>年</w:t>
      </w:r>
    </w:p>
    <w:p w:rsidR="003717A0" w:rsidRDefault="003717A0">
      <w:pPr>
        <w:pStyle w:val="a7"/>
        <w:ind w:left="359" w:firstLineChars="750" w:firstLine="1575"/>
        <w:rPr>
          <w:rFonts w:ascii="宋体"/>
          <w:szCs w:val="21"/>
        </w:rPr>
      </w:pPr>
      <w:r>
        <w:rPr>
          <w:rFonts w:ascii="宋体" w:hint="eastAsia"/>
          <w:szCs w:val="21"/>
        </w:rPr>
        <w:t>陈立嘉主编</w:t>
      </w:r>
      <w:r>
        <w:rPr>
          <w:rFonts w:ascii="宋体"/>
          <w:szCs w:val="21"/>
        </w:rPr>
        <w:t xml:space="preserve">   </w:t>
      </w:r>
      <w:r>
        <w:rPr>
          <w:rFonts w:ascii="宋体" w:hint="eastAsia"/>
          <w:szCs w:val="21"/>
        </w:rPr>
        <w:t>《基础作业学》</w:t>
      </w:r>
      <w:r>
        <w:rPr>
          <w:rFonts w:ascii="宋体"/>
          <w:szCs w:val="21"/>
        </w:rPr>
        <w:t xml:space="preserve">     </w:t>
      </w:r>
      <w:r>
        <w:rPr>
          <w:rFonts w:ascii="宋体" w:hint="eastAsia"/>
          <w:szCs w:val="21"/>
        </w:rPr>
        <w:t>华夏出版社</w:t>
      </w:r>
      <w:r>
        <w:rPr>
          <w:rFonts w:ascii="宋体"/>
          <w:szCs w:val="21"/>
        </w:rPr>
        <w:t xml:space="preserve">  2003</w:t>
      </w:r>
      <w:r>
        <w:rPr>
          <w:rFonts w:ascii="宋体" w:hint="eastAsia"/>
          <w:szCs w:val="21"/>
        </w:rPr>
        <w:t>年</w:t>
      </w:r>
    </w:p>
    <w:p w:rsidR="003717A0" w:rsidRDefault="003717A0">
      <w:pPr>
        <w:pStyle w:val="a7"/>
        <w:rPr>
          <w:rFonts w:ascii="宋体"/>
          <w:szCs w:val="21"/>
        </w:rPr>
      </w:pPr>
      <w:r>
        <w:rPr>
          <w:rFonts w:ascii="宋体"/>
          <w:szCs w:val="21"/>
        </w:rPr>
        <w:t xml:space="preserve">               </w:t>
      </w:r>
      <w:r>
        <w:rPr>
          <w:rFonts w:ascii="宋体" w:hint="eastAsia"/>
          <w:szCs w:val="21"/>
        </w:rPr>
        <w:t>王刚王彤主编</w:t>
      </w:r>
      <w:r>
        <w:rPr>
          <w:rFonts w:ascii="宋体"/>
          <w:szCs w:val="21"/>
        </w:rPr>
        <w:t xml:space="preserve"> </w:t>
      </w:r>
      <w:r>
        <w:rPr>
          <w:rFonts w:ascii="宋体" w:hint="eastAsia"/>
          <w:szCs w:val="21"/>
        </w:rPr>
        <w:t>《临床作业疗法学》</w:t>
      </w:r>
      <w:r>
        <w:rPr>
          <w:rFonts w:ascii="宋体"/>
          <w:szCs w:val="21"/>
        </w:rPr>
        <w:t xml:space="preserve"> </w:t>
      </w:r>
      <w:r>
        <w:rPr>
          <w:rFonts w:ascii="宋体" w:hint="eastAsia"/>
          <w:szCs w:val="21"/>
        </w:rPr>
        <w:t>华夏出版社</w:t>
      </w:r>
      <w:r>
        <w:rPr>
          <w:rFonts w:ascii="宋体"/>
          <w:szCs w:val="21"/>
        </w:rPr>
        <w:t xml:space="preserve">  2003</w:t>
      </w:r>
      <w:r>
        <w:rPr>
          <w:rFonts w:ascii="宋体" w:hint="eastAsia"/>
          <w:szCs w:val="21"/>
        </w:rPr>
        <w:t>年</w:t>
      </w:r>
    </w:p>
    <w:p w:rsidR="003717A0" w:rsidRDefault="003717A0">
      <w:pPr>
        <w:pStyle w:val="a7"/>
        <w:rPr>
          <w:rFonts w:ascii="黑体" w:eastAsia="黑体" w:cs="黑体"/>
          <w:sz w:val="18"/>
          <w:szCs w:val="18"/>
        </w:rPr>
      </w:pPr>
      <w:r>
        <w:rPr>
          <w:rFonts w:ascii="宋体"/>
          <w:szCs w:val="21"/>
        </w:rPr>
        <w:t xml:space="preserve">               </w:t>
      </w:r>
    </w:p>
    <w:p w:rsidR="003717A0" w:rsidRDefault="003717A0">
      <w:pPr>
        <w:pStyle w:val="a7"/>
        <w:rPr>
          <w:rFonts w:ascii="宋体"/>
          <w:szCs w:val="21"/>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Pr="00566E4D" w:rsidRDefault="003717A0" w:rsidP="00566E4D">
      <w:pPr>
        <w:autoSpaceDE w:val="0"/>
        <w:autoSpaceDN w:val="0"/>
        <w:adjustRightInd w:val="0"/>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制定人：沙磊磊</w:t>
      </w:r>
    </w:p>
    <w:p w:rsidR="003717A0" w:rsidRDefault="003717A0" w:rsidP="00566E4D">
      <w:pPr>
        <w:autoSpaceDE w:val="0"/>
        <w:autoSpaceDN w:val="0"/>
        <w:adjustRightInd w:val="0"/>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审核人：沈光宇</w:t>
      </w:r>
    </w:p>
    <w:p w:rsidR="003717A0" w:rsidRPr="00566E4D" w:rsidRDefault="003717A0" w:rsidP="00566E4D">
      <w:pPr>
        <w:adjustRightInd w:val="0"/>
        <w:snapToGrid w:val="0"/>
        <w:spacing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20"/>
        <w:jc w:val="left"/>
        <w:rPr>
          <w:rFonts w:ascii="Times New Roman" w:hAnsi="Times New Roman"/>
        </w:rPr>
      </w:pPr>
      <w:r>
        <w:rPr>
          <w:rFonts w:ascii="Times New Roman" w:hAnsi="Times New Roman" w:hint="eastAsia"/>
        </w:rPr>
        <w:t>修读完本课程规定内容的康复治疗专业作业治疗方向的本科学生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通过考核来检查和了解学生对本门课程内容的掌握程度，考核学生对常见的社会心理障碍的作业治疗理解和掌握情况，包括在如何用</w:t>
      </w:r>
      <w:r>
        <w:rPr>
          <w:rFonts w:ascii="宋体"/>
          <w:szCs w:val="21"/>
        </w:rPr>
        <w:t>PEO</w:t>
      </w:r>
      <w:r>
        <w:rPr>
          <w:rFonts w:ascii="宋体" w:hint="eastAsia"/>
          <w:szCs w:val="21"/>
        </w:rPr>
        <w:t>、</w:t>
      </w:r>
      <w:r>
        <w:rPr>
          <w:rFonts w:ascii="宋体"/>
          <w:szCs w:val="21"/>
        </w:rPr>
        <w:t>MOHO</w:t>
      </w:r>
      <w:r>
        <w:rPr>
          <w:rFonts w:ascii="宋体" w:hint="eastAsia"/>
          <w:szCs w:val="21"/>
        </w:rPr>
        <w:t>等实践模式进行案例分析和活动分析</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宋体" w:hint="eastAsia"/>
          <w:szCs w:val="21"/>
        </w:rPr>
        <w:t>期末闭卷理论考核和平时小组汇报形式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Times New Roman" w:eastAsia="黑体" w:hAnsi="Times New Roman"/>
          <w:b/>
          <w:kern w:val="0"/>
          <w:sz w:val="24"/>
          <w:szCs w:val="24"/>
        </w:rPr>
      </w:pPr>
      <w:r>
        <w:rPr>
          <w:rFonts w:ascii="宋体" w:hint="eastAsia"/>
          <w:szCs w:val="21"/>
        </w:rPr>
        <w:t>期末考试成绩占总成绩的</w:t>
      </w:r>
      <w:r>
        <w:rPr>
          <w:rFonts w:ascii="宋体"/>
          <w:szCs w:val="21"/>
        </w:rP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03"/>
        <w:jc w:val="left"/>
        <w:rPr>
          <w:rFonts w:ascii="宋体"/>
          <w:szCs w:val="21"/>
        </w:rPr>
      </w:pPr>
      <w:r>
        <w:rPr>
          <w:rFonts w:hint="eastAsia"/>
        </w:rPr>
        <w:t>社会心理障碍</w:t>
      </w:r>
      <w:r>
        <w:rPr>
          <w:rFonts w:hint="eastAsia"/>
          <w:sz w:val="22"/>
        </w:rPr>
        <w:t>常见的评估，</w:t>
      </w:r>
      <w:r>
        <w:rPr>
          <w:rFonts w:ascii="宋体" w:hint="eastAsia"/>
          <w:szCs w:val="21"/>
        </w:rPr>
        <w:t>精神分裂症、狂躁症、神经症、孤独症等疾病的作业分析和治疗</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掌握</w:t>
      </w:r>
      <w:r>
        <w:rPr>
          <w:rFonts w:hint="eastAsia"/>
        </w:rPr>
        <w:t>社会心理障碍</w:t>
      </w:r>
      <w:r>
        <w:rPr>
          <w:rFonts w:hint="eastAsia"/>
          <w:sz w:val="22"/>
        </w:rPr>
        <w:t>的概念和评估过程及内容，掌握常见病症的作业治疗方案</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hint="eastAsia"/>
          <w:b/>
          <w:sz w:val="22"/>
        </w:rPr>
        <w:t>社会心理障碍的作业治疗</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b/>
          <w:kern w:val="0"/>
          <w:sz w:val="22"/>
          <w:u w:val="single"/>
        </w:rPr>
        <w:t xml:space="preserve"> </w:t>
      </w: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康复治疗ⅩⅩⅩ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90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50</w:t>
      </w:r>
      <w:r>
        <w:rPr>
          <w:rFonts w:ascii="Times New Roman" w:hAnsi="Times New Roman" w:hint="eastAsia"/>
          <w:b/>
          <w:kern w:val="0"/>
          <w:sz w:val="22"/>
        </w:rPr>
        <w:t>分</w:t>
      </w: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20</w:t>
      </w:r>
      <w:r>
        <w:rPr>
          <w:rFonts w:ascii="Times New Roman" w:hAnsi="Times New Roman" w:hint="eastAsia"/>
          <w:b/>
          <w:kern w:val="0"/>
          <w:sz w:val="22"/>
        </w:rPr>
        <w:t>分）</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1</w:t>
      </w:r>
      <w:r>
        <w:rPr>
          <w:rFonts w:ascii="Times New Roman" w:hAnsi="Times New Roman" w:hint="eastAsia"/>
          <w:kern w:val="0"/>
          <w:sz w:val="22"/>
        </w:rPr>
        <w:t>、</w:t>
      </w:r>
      <w:r>
        <w:rPr>
          <w:rFonts w:ascii="宋体" w:hint="eastAsia"/>
          <w:szCs w:val="21"/>
        </w:rPr>
        <w:t>精神疾病</w:t>
      </w:r>
    </w:p>
    <w:p w:rsidR="003717A0" w:rsidRDefault="003717A0">
      <w:pPr>
        <w:autoSpaceDE w:val="0"/>
        <w:autoSpaceDN w:val="0"/>
        <w:adjustRightInd w:val="0"/>
        <w:spacing w:line="440" w:lineRule="exact"/>
        <w:rPr>
          <w:rFonts w:ascii="Times New Roman" w:hAnsi="Times New Roman"/>
          <w:kern w:val="0"/>
          <w:sz w:val="22"/>
        </w:rPr>
      </w:pPr>
      <w:r>
        <w:rPr>
          <w:rFonts w:ascii="Times New Roman" w:hAnsi="Times New Roman"/>
          <w:kern w:val="0"/>
          <w:sz w:val="22"/>
        </w:rPr>
        <w:t xml:space="preserve">       2</w:t>
      </w:r>
      <w:r>
        <w:rPr>
          <w:rFonts w:ascii="Times New Roman" w:hAnsi="Times New Roman" w:hint="eastAsia"/>
          <w:kern w:val="0"/>
          <w:sz w:val="22"/>
        </w:rPr>
        <w:t>、</w:t>
      </w:r>
      <w:r>
        <w:rPr>
          <w:rFonts w:ascii="宋体" w:hint="eastAsia"/>
          <w:szCs w:val="21"/>
        </w:rPr>
        <w:t>狂躁症</w:t>
      </w:r>
    </w:p>
    <w:p w:rsidR="003717A0" w:rsidRDefault="003717A0">
      <w:pPr>
        <w:autoSpaceDE w:val="0"/>
        <w:autoSpaceDN w:val="0"/>
        <w:adjustRightInd w:val="0"/>
        <w:spacing w:line="440" w:lineRule="exact"/>
        <w:rPr>
          <w:rFonts w:ascii="宋体"/>
          <w:szCs w:val="21"/>
        </w:rPr>
      </w:pPr>
      <w:r>
        <w:rPr>
          <w:rFonts w:ascii="Times New Roman" w:hAnsi="Times New Roman"/>
          <w:kern w:val="0"/>
          <w:sz w:val="22"/>
        </w:rPr>
        <w:t xml:space="preserve">       3</w:t>
      </w:r>
      <w:r>
        <w:rPr>
          <w:rFonts w:ascii="Times New Roman" w:hAnsi="Times New Roman" w:hint="eastAsia"/>
          <w:b/>
          <w:kern w:val="0"/>
          <w:sz w:val="22"/>
        </w:rPr>
        <w:t>、</w:t>
      </w:r>
      <w:r>
        <w:rPr>
          <w:rFonts w:ascii="宋体" w:hint="eastAsia"/>
          <w:szCs w:val="21"/>
        </w:rPr>
        <w:t>边缘性人格障碍</w:t>
      </w:r>
    </w:p>
    <w:p w:rsidR="003717A0" w:rsidRDefault="003717A0">
      <w:pPr>
        <w:autoSpaceDE w:val="0"/>
        <w:autoSpaceDN w:val="0"/>
        <w:adjustRightInd w:val="0"/>
        <w:spacing w:line="440" w:lineRule="exact"/>
        <w:ind w:firstLineChars="350" w:firstLine="770"/>
        <w:rPr>
          <w:rFonts w:ascii="宋体"/>
          <w:szCs w:val="21"/>
        </w:rPr>
      </w:pPr>
      <w:r>
        <w:rPr>
          <w:rFonts w:ascii="Times New Roman" w:hAnsi="Times New Roman"/>
          <w:kern w:val="0"/>
          <w:sz w:val="22"/>
        </w:rPr>
        <w:t>4</w:t>
      </w:r>
      <w:r>
        <w:rPr>
          <w:rFonts w:ascii="Times New Roman" w:hAnsi="Times New Roman" w:hint="eastAsia"/>
          <w:b/>
          <w:kern w:val="0"/>
          <w:sz w:val="22"/>
        </w:rPr>
        <w:t>、</w:t>
      </w:r>
      <w:r>
        <w:rPr>
          <w:rFonts w:ascii="宋体" w:hint="eastAsia"/>
          <w:szCs w:val="21"/>
        </w:rPr>
        <w:t>精神分裂症</w:t>
      </w:r>
    </w:p>
    <w:p w:rsidR="003717A0" w:rsidRDefault="003717A0">
      <w:pPr>
        <w:autoSpaceDE w:val="0"/>
        <w:autoSpaceDN w:val="0"/>
        <w:adjustRightInd w:val="0"/>
        <w:spacing w:line="440" w:lineRule="exact"/>
        <w:rPr>
          <w:rFonts w:ascii="宋体"/>
          <w:szCs w:val="21"/>
        </w:rPr>
      </w:pPr>
    </w:p>
    <w:p w:rsidR="003717A0" w:rsidRDefault="003717A0">
      <w:pPr>
        <w:autoSpaceDE w:val="0"/>
        <w:autoSpaceDN w:val="0"/>
        <w:adjustRightInd w:val="0"/>
        <w:spacing w:line="440" w:lineRule="exact"/>
        <w:rPr>
          <w:rFonts w:ascii="Times New Roman" w:hAnsi="Times New Roman"/>
          <w:b/>
          <w:kern w:val="0"/>
          <w:sz w:val="22"/>
        </w:rPr>
      </w:pPr>
    </w:p>
    <w:p w:rsidR="003717A0" w:rsidRDefault="003717A0">
      <w:pPr>
        <w:numPr>
          <w:ilvl w:val="1"/>
          <w:numId w:val="447"/>
        </w:numPr>
        <w:tabs>
          <w:tab w:val="clear" w:pos="840"/>
          <w:tab w:val="left" w:pos="1260"/>
        </w:tabs>
        <w:autoSpaceDE w:val="0"/>
        <w:autoSpaceDN w:val="0"/>
        <w:adjustRightInd w:val="0"/>
        <w:spacing w:line="440" w:lineRule="exact"/>
        <w:ind w:left="1260" w:hanging="840"/>
        <w:rPr>
          <w:rFonts w:ascii="Times New Roman" w:hAnsi="Times New Roman"/>
          <w:b/>
          <w:kern w:val="0"/>
          <w:sz w:val="22"/>
        </w:rPr>
      </w:pPr>
      <w:r>
        <w:rPr>
          <w:rFonts w:ascii="Times New Roman" w:hAnsi="Times New Roman" w:hint="eastAsia"/>
          <w:b/>
          <w:kern w:val="0"/>
          <w:sz w:val="22"/>
        </w:rPr>
        <w:t>简答题：（每题</w:t>
      </w:r>
      <w:r>
        <w:rPr>
          <w:rFonts w:ascii="Times New Roman" w:hAnsi="Times New Roman"/>
          <w:b/>
          <w:kern w:val="0"/>
          <w:sz w:val="22"/>
        </w:rPr>
        <w:t>10</w:t>
      </w:r>
      <w:r>
        <w:rPr>
          <w:rFonts w:ascii="Times New Roman" w:hAnsi="Times New Roman" w:hint="eastAsia"/>
          <w:b/>
          <w:kern w:val="0"/>
          <w:sz w:val="22"/>
        </w:rPr>
        <w:t>分，共</w:t>
      </w:r>
      <w:r>
        <w:rPr>
          <w:rFonts w:ascii="Times New Roman" w:hAnsi="Times New Roman"/>
          <w:b/>
          <w:kern w:val="0"/>
          <w:sz w:val="22"/>
        </w:rPr>
        <w:t>30</w:t>
      </w:r>
      <w:r>
        <w:rPr>
          <w:rFonts w:ascii="Times New Roman" w:hAnsi="Times New Roman" w:hint="eastAsia"/>
          <w:b/>
          <w:kern w:val="0"/>
          <w:sz w:val="22"/>
        </w:rPr>
        <w:t>分）</w:t>
      </w:r>
    </w:p>
    <w:p w:rsidR="003717A0" w:rsidRDefault="003717A0">
      <w:pPr>
        <w:autoSpaceDE w:val="0"/>
        <w:autoSpaceDN w:val="0"/>
        <w:adjustRightInd w:val="0"/>
        <w:spacing w:line="440" w:lineRule="exact"/>
        <w:ind w:left="420"/>
        <w:rPr>
          <w:rFonts w:ascii="Times New Roman" w:hAnsi="Times New Roman"/>
          <w:kern w:val="0"/>
          <w:sz w:val="22"/>
        </w:rPr>
      </w:pPr>
      <w:r>
        <w:rPr>
          <w:rFonts w:ascii="Times New Roman" w:hAnsi="Times New Roman"/>
          <w:b/>
          <w:kern w:val="0"/>
          <w:sz w:val="22"/>
        </w:rPr>
        <w:t xml:space="preserve"> </w:t>
      </w:r>
      <w:r>
        <w:rPr>
          <w:rFonts w:ascii="Times New Roman" w:hAnsi="Times New Roman"/>
          <w:kern w:val="0"/>
          <w:sz w:val="22"/>
        </w:rPr>
        <w:t xml:space="preserve">  1</w:t>
      </w:r>
      <w:r>
        <w:rPr>
          <w:rFonts w:ascii="Times New Roman" w:hAnsi="Times New Roman" w:hint="eastAsia"/>
          <w:kern w:val="0"/>
          <w:sz w:val="22"/>
        </w:rPr>
        <w:t>、</w:t>
      </w:r>
      <w:r>
        <w:rPr>
          <w:rFonts w:ascii="宋体" w:hint="eastAsia"/>
          <w:szCs w:val="21"/>
        </w:rPr>
        <w:t>人类作业治疗模式</w:t>
      </w:r>
    </w:p>
    <w:p w:rsidR="003717A0" w:rsidRDefault="003717A0">
      <w:pPr>
        <w:autoSpaceDE w:val="0"/>
        <w:autoSpaceDN w:val="0"/>
        <w:adjustRightInd w:val="0"/>
        <w:spacing w:line="440" w:lineRule="exact"/>
        <w:ind w:firstLineChars="350" w:firstLine="770"/>
        <w:rPr>
          <w:rFonts w:ascii="宋体"/>
          <w:szCs w:val="21"/>
        </w:rPr>
      </w:pPr>
      <w:r>
        <w:rPr>
          <w:rFonts w:ascii="Times New Roman" w:hAnsi="Times New Roman"/>
          <w:kern w:val="0"/>
          <w:sz w:val="22"/>
        </w:rPr>
        <w:t>2</w:t>
      </w:r>
      <w:r>
        <w:rPr>
          <w:rFonts w:ascii="Times New Roman" w:hAnsi="Times New Roman" w:hint="eastAsia"/>
          <w:kern w:val="0"/>
          <w:sz w:val="22"/>
        </w:rPr>
        <w:t>、</w:t>
      </w:r>
      <w:r>
        <w:rPr>
          <w:rFonts w:ascii="宋体" w:hint="eastAsia"/>
          <w:szCs w:val="21"/>
        </w:rPr>
        <w:t>神经性厌食症的临床表现和主要作业治疗方案</w:t>
      </w:r>
    </w:p>
    <w:p w:rsidR="003717A0" w:rsidRDefault="003717A0">
      <w:pPr>
        <w:autoSpaceDE w:val="0"/>
        <w:autoSpaceDN w:val="0"/>
        <w:adjustRightInd w:val="0"/>
        <w:spacing w:line="440" w:lineRule="exact"/>
        <w:ind w:firstLineChars="350" w:firstLine="770"/>
        <w:rPr>
          <w:rFonts w:ascii="仿宋_GB2312" w:eastAsia="仿宋_GB2312"/>
          <w:kern w:val="0"/>
          <w:sz w:val="22"/>
        </w:rPr>
      </w:pPr>
      <w:r>
        <w:rPr>
          <w:rFonts w:ascii="Times New Roman" w:hAnsi="Times New Roman"/>
          <w:kern w:val="0"/>
          <w:sz w:val="22"/>
        </w:rPr>
        <w:t>3</w:t>
      </w:r>
      <w:r>
        <w:rPr>
          <w:rFonts w:ascii="Times New Roman" w:hAnsi="Times New Roman" w:hint="eastAsia"/>
          <w:kern w:val="0"/>
          <w:sz w:val="22"/>
        </w:rPr>
        <w:t>、</w:t>
      </w:r>
      <w:r>
        <w:rPr>
          <w:rFonts w:ascii="宋体" w:hint="eastAsia"/>
          <w:szCs w:val="21"/>
        </w:rPr>
        <w:t>成瘾症的功能障碍特点和作业治疗方案</w:t>
      </w: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8" w:firstLine="17"/>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中让学生来加强理解。教师应关心社会心理障碍作业疗法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szCs w:val="21"/>
              </w:rPr>
              <w:t>3</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rFonts w:ascii="Times New Roman" w:hAnsi="Times New Roman"/>
                <w:kern w:val="0"/>
                <w:sz w:val="22"/>
              </w:rPr>
            </w:pPr>
            <w:r>
              <w:rPr>
                <w:rFonts w:hint="eastAsia"/>
                <w:sz w:val="22"/>
              </w:rPr>
              <w:t>无作业</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本课程为学期课程，成绩考核的方式：考试。考试时实行同一专业统考，即统一命题，统一考试，统一阅卷。考试学期总评成绩的评定方法如下：</w:t>
            </w:r>
          </w:p>
          <w:p w:rsidR="003717A0" w:rsidRDefault="003717A0">
            <w:r>
              <w:t xml:space="preserve"> 1. </w:t>
            </w:r>
            <w:r>
              <w:rPr>
                <w:rFonts w:hint="eastAsia"/>
              </w:rPr>
              <w:t>笔试</w:t>
            </w:r>
            <w:r>
              <w:t>100%</w:t>
            </w:r>
          </w:p>
          <w:p w:rsidR="003717A0" w:rsidRDefault="003717A0">
            <w:pPr>
              <w:autoSpaceDE w:val="0"/>
              <w:autoSpaceDN w:val="0"/>
              <w:adjustRightInd w:val="0"/>
              <w:snapToGrid w:val="0"/>
              <w:spacing w:line="360" w:lineRule="auto"/>
              <w:ind w:firstLineChars="250" w:firstLine="525"/>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115" w:name="_Toc469313019"/>
      <w:bookmarkStart w:id="116" w:name="_Toc471830731"/>
      <w:r w:rsidRPr="00566E4D">
        <w:rPr>
          <w:rFonts w:hint="eastAsia"/>
          <w:b/>
        </w:rPr>
        <w:lastRenderedPageBreak/>
        <w:t>《肉毒毒素注射技术及应用》课程质量标准</w:t>
      </w:r>
      <w:bookmarkEnd w:id="115"/>
      <w:bookmarkEnd w:id="116"/>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课程名称</w:t>
            </w:r>
          </w:p>
        </w:tc>
        <w:tc>
          <w:tcPr>
            <w:tcW w:w="7618" w:type="dxa"/>
            <w:gridSpan w:val="9"/>
          </w:tcPr>
          <w:p w:rsidR="003717A0" w:rsidRDefault="003717A0" w:rsidP="00566E4D">
            <w:pPr>
              <w:adjustRightInd w:val="0"/>
              <w:snapToGrid w:val="0"/>
              <w:spacing w:line="440" w:lineRule="exact"/>
              <w:jc w:val="center"/>
              <w:rPr>
                <w:sz w:val="22"/>
              </w:rPr>
            </w:pPr>
            <w:r>
              <w:rPr>
                <w:rFonts w:hint="eastAsia"/>
                <w:sz w:val="22"/>
              </w:rPr>
              <w:t>肉毒毒素注射技术及应用</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英译名称</w:t>
            </w:r>
          </w:p>
        </w:tc>
        <w:tc>
          <w:tcPr>
            <w:tcW w:w="7618" w:type="dxa"/>
            <w:gridSpan w:val="9"/>
          </w:tcPr>
          <w:p w:rsidR="003717A0" w:rsidRDefault="003717A0" w:rsidP="00566E4D">
            <w:pPr>
              <w:adjustRightInd w:val="0"/>
              <w:snapToGrid w:val="0"/>
              <w:spacing w:line="440" w:lineRule="exact"/>
              <w:jc w:val="center"/>
              <w:rPr>
                <w:sz w:val="22"/>
              </w:rPr>
            </w:pPr>
            <w:r>
              <w:rPr>
                <w:sz w:val="22"/>
              </w:rPr>
              <w:t>Botulinum toxin injection technology and Application</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课程代码</w:t>
            </w:r>
          </w:p>
        </w:tc>
        <w:tc>
          <w:tcPr>
            <w:tcW w:w="2350" w:type="dxa"/>
            <w:gridSpan w:val="2"/>
          </w:tcPr>
          <w:p w:rsidR="003717A0" w:rsidRDefault="003717A0" w:rsidP="00566E4D">
            <w:pPr>
              <w:adjustRightInd w:val="0"/>
              <w:snapToGrid w:val="0"/>
              <w:spacing w:line="440" w:lineRule="exact"/>
              <w:jc w:val="center"/>
              <w:rPr>
                <w:sz w:val="22"/>
              </w:rPr>
            </w:pPr>
            <w:r>
              <w:rPr>
                <w:sz w:val="22"/>
              </w:rPr>
              <w:t>170716</w:t>
            </w:r>
          </w:p>
        </w:tc>
        <w:tc>
          <w:tcPr>
            <w:tcW w:w="1902" w:type="dxa"/>
            <w:gridSpan w:val="3"/>
          </w:tcPr>
          <w:p w:rsidR="003717A0" w:rsidRDefault="003717A0" w:rsidP="00566E4D">
            <w:pPr>
              <w:adjustRightInd w:val="0"/>
              <w:snapToGrid w:val="0"/>
              <w:spacing w:line="440" w:lineRule="exact"/>
              <w:jc w:val="center"/>
              <w:rPr>
                <w:sz w:val="22"/>
              </w:rPr>
            </w:pPr>
            <w:r>
              <w:rPr>
                <w:rFonts w:hint="eastAsia"/>
                <w:sz w:val="22"/>
              </w:rPr>
              <w:t>课程开设学期</w:t>
            </w:r>
          </w:p>
        </w:tc>
        <w:tc>
          <w:tcPr>
            <w:tcW w:w="3366" w:type="dxa"/>
            <w:gridSpan w:val="4"/>
          </w:tcPr>
          <w:p w:rsidR="003717A0" w:rsidRDefault="003717A0" w:rsidP="00566E4D">
            <w:pPr>
              <w:adjustRightInd w:val="0"/>
              <w:snapToGrid w:val="0"/>
              <w:spacing w:line="440" w:lineRule="exact"/>
              <w:jc w:val="center"/>
              <w:rPr>
                <w:sz w:val="22"/>
              </w:rPr>
            </w:pPr>
            <w:r>
              <w:rPr>
                <w:rFonts w:hint="eastAsia"/>
                <w:sz w:val="22"/>
              </w:rPr>
              <w:t>六</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课程学时</w:t>
            </w:r>
          </w:p>
        </w:tc>
        <w:tc>
          <w:tcPr>
            <w:tcW w:w="2350" w:type="dxa"/>
            <w:gridSpan w:val="2"/>
          </w:tcPr>
          <w:p w:rsidR="003717A0" w:rsidRDefault="003717A0" w:rsidP="00566E4D">
            <w:pPr>
              <w:adjustRightInd w:val="0"/>
              <w:snapToGrid w:val="0"/>
              <w:spacing w:line="440" w:lineRule="exact"/>
              <w:jc w:val="center"/>
              <w:rPr>
                <w:sz w:val="22"/>
              </w:rPr>
            </w:pPr>
            <w:r>
              <w:rPr>
                <w:sz w:val="22"/>
              </w:rPr>
              <w:t>18</w:t>
            </w:r>
          </w:p>
        </w:tc>
        <w:tc>
          <w:tcPr>
            <w:tcW w:w="1902" w:type="dxa"/>
            <w:gridSpan w:val="3"/>
          </w:tcPr>
          <w:p w:rsidR="003717A0" w:rsidRDefault="003717A0" w:rsidP="00566E4D">
            <w:pPr>
              <w:adjustRightInd w:val="0"/>
              <w:snapToGrid w:val="0"/>
              <w:spacing w:line="440" w:lineRule="exact"/>
              <w:jc w:val="center"/>
              <w:rPr>
                <w:sz w:val="22"/>
              </w:rPr>
            </w:pPr>
            <w:r>
              <w:rPr>
                <w:rFonts w:hint="eastAsia"/>
                <w:sz w:val="22"/>
              </w:rPr>
              <w:t>课程学分</w:t>
            </w:r>
          </w:p>
        </w:tc>
        <w:tc>
          <w:tcPr>
            <w:tcW w:w="3366" w:type="dxa"/>
            <w:gridSpan w:val="4"/>
          </w:tcPr>
          <w:p w:rsidR="003717A0" w:rsidRDefault="003717A0" w:rsidP="00566E4D">
            <w:pPr>
              <w:adjustRightInd w:val="0"/>
              <w:snapToGrid w:val="0"/>
              <w:spacing w:line="440" w:lineRule="exact"/>
              <w:jc w:val="center"/>
              <w:rPr>
                <w:sz w:val="22"/>
              </w:rPr>
            </w:pPr>
            <w:r>
              <w:rPr>
                <w:sz w:val="22"/>
              </w:rPr>
              <w:t>1</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课程类型</w:t>
            </w:r>
          </w:p>
        </w:tc>
        <w:tc>
          <w:tcPr>
            <w:tcW w:w="7618" w:type="dxa"/>
            <w:gridSpan w:val="9"/>
          </w:tcPr>
          <w:p w:rsidR="003717A0" w:rsidRDefault="003717A0" w:rsidP="00566E4D">
            <w:pPr>
              <w:adjustRightInd w:val="0"/>
              <w:snapToGrid w:val="0"/>
              <w:spacing w:line="440" w:lineRule="exac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□专业基础课□专业课</w:t>
            </w:r>
            <w:r>
              <w:rPr>
                <w:rFonts w:ascii="宋体" w:hAnsi="宋体" w:hint="eastAsia"/>
                <w:szCs w:val="21"/>
              </w:rPr>
              <w:t>■</w:t>
            </w:r>
            <w:r>
              <w:rPr>
                <w:rFonts w:ascii="宋体" w:hAnsi="宋体" w:hint="eastAsia"/>
                <w:sz w:val="22"/>
              </w:rPr>
              <w:t>专业选修课□公共选修课</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授课学院</w:t>
            </w:r>
          </w:p>
        </w:tc>
        <w:tc>
          <w:tcPr>
            <w:tcW w:w="2350" w:type="dxa"/>
            <w:gridSpan w:val="2"/>
          </w:tcPr>
          <w:p w:rsidR="003717A0" w:rsidRDefault="003717A0" w:rsidP="00566E4D">
            <w:pPr>
              <w:adjustRightInd w:val="0"/>
              <w:snapToGrid w:val="0"/>
              <w:spacing w:line="440" w:lineRule="exact"/>
              <w:jc w:val="center"/>
              <w:rPr>
                <w:sz w:val="22"/>
              </w:rPr>
            </w:pPr>
            <w:r>
              <w:rPr>
                <w:rFonts w:hint="eastAsia"/>
                <w:sz w:val="22"/>
              </w:rPr>
              <w:t>医学院</w:t>
            </w:r>
          </w:p>
        </w:tc>
        <w:tc>
          <w:tcPr>
            <w:tcW w:w="2634" w:type="dxa"/>
            <w:gridSpan w:val="5"/>
          </w:tcPr>
          <w:p w:rsidR="003717A0" w:rsidRDefault="003717A0" w:rsidP="00566E4D">
            <w:pPr>
              <w:adjustRightInd w:val="0"/>
              <w:snapToGrid w:val="0"/>
              <w:spacing w:line="44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566E4D">
            <w:pPr>
              <w:adjustRightInd w:val="0"/>
              <w:snapToGrid w:val="0"/>
              <w:spacing w:line="440" w:lineRule="exact"/>
              <w:jc w:val="center"/>
              <w:rPr>
                <w:sz w:val="22"/>
              </w:rPr>
            </w:pPr>
            <w:r>
              <w:rPr>
                <w:rFonts w:hint="eastAsia"/>
                <w:sz w:val="22"/>
              </w:rPr>
              <w:t>康复医学系</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教材名称</w:t>
            </w:r>
          </w:p>
        </w:tc>
        <w:tc>
          <w:tcPr>
            <w:tcW w:w="7618" w:type="dxa"/>
            <w:gridSpan w:val="9"/>
          </w:tcPr>
          <w:p w:rsidR="003717A0" w:rsidRDefault="003717A0" w:rsidP="00566E4D">
            <w:pPr>
              <w:adjustRightInd w:val="0"/>
              <w:snapToGrid w:val="0"/>
              <w:spacing w:line="440" w:lineRule="exact"/>
              <w:jc w:val="center"/>
              <w:rPr>
                <w:sz w:val="22"/>
              </w:rPr>
            </w:pPr>
            <w:r>
              <w:rPr>
                <w:rFonts w:hint="eastAsia"/>
                <w:sz w:val="22"/>
              </w:rPr>
              <w:t>多媒体课件</w:t>
            </w:r>
          </w:p>
        </w:tc>
      </w:tr>
      <w:tr w:rsidR="003717A0" w:rsidTr="00566E4D">
        <w:trPr>
          <w:jc w:val="center"/>
        </w:trPr>
        <w:tc>
          <w:tcPr>
            <w:tcW w:w="1668" w:type="dxa"/>
          </w:tcPr>
          <w:p w:rsidR="003717A0" w:rsidRDefault="003717A0" w:rsidP="00566E4D">
            <w:pPr>
              <w:adjustRightInd w:val="0"/>
              <w:snapToGrid w:val="0"/>
              <w:spacing w:line="440" w:lineRule="exact"/>
              <w:rPr>
                <w:sz w:val="22"/>
              </w:rPr>
            </w:pPr>
            <w:r>
              <w:rPr>
                <w:rFonts w:hint="eastAsia"/>
                <w:sz w:val="22"/>
              </w:rPr>
              <w:t>教材出版信息</w:t>
            </w:r>
          </w:p>
        </w:tc>
        <w:tc>
          <w:tcPr>
            <w:tcW w:w="7618" w:type="dxa"/>
            <w:gridSpan w:val="9"/>
          </w:tcPr>
          <w:p w:rsidR="003717A0" w:rsidRDefault="003717A0" w:rsidP="00566E4D">
            <w:pPr>
              <w:adjustRightInd w:val="0"/>
              <w:snapToGrid w:val="0"/>
              <w:spacing w:line="440" w:lineRule="exact"/>
              <w:jc w:val="center"/>
              <w:rPr>
                <w:sz w:val="22"/>
              </w:rPr>
            </w:pPr>
            <w:r>
              <w:rPr>
                <w:rFonts w:hint="eastAsia"/>
                <w:sz w:val="22"/>
              </w:rPr>
              <w:t>多媒体课件</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教材性质</w:t>
            </w:r>
          </w:p>
        </w:tc>
        <w:tc>
          <w:tcPr>
            <w:tcW w:w="7618" w:type="dxa"/>
            <w:gridSpan w:val="9"/>
          </w:tcPr>
          <w:p w:rsidR="003717A0" w:rsidRDefault="003717A0" w:rsidP="00566E4D">
            <w:pPr>
              <w:adjustRightInd w:val="0"/>
              <w:snapToGrid w:val="0"/>
              <w:spacing w:line="440" w:lineRule="exact"/>
              <w:rPr>
                <w:sz w:val="22"/>
              </w:rPr>
            </w:pPr>
            <w:r>
              <w:rPr>
                <w:rFonts w:ascii="宋体" w:hAnsi="宋体" w:hint="eastAsia"/>
                <w:sz w:val="22"/>
              </w:rPr>
              <w:t>□国家□部级规划□省级规划□自编</w:t>
            </w:r>
            <w:r>
              <w:rPr>
                <w:rFonts w:ascii="宋体" w:hAnsi="宋体" w:hint="eastAsia"/>
                <w:szCs w:val="21"/>
              </w:rPr>
              <w:t>■</w:t>
            </w:r>
            <w:r>
              <w:rPr>
                <w:rFonts w:ascii="宋体" w:hAnsi="宋体" w:hint="eastAsia"/>
                <w:sz w:val="22"/>
              </w:rPr>
              <w:t>其他</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考核方式</w:t>
            </w:r>
          </w:p>
        </w:tc>
        <w:tc>
          <w:tcPr>
            <w:tcW w:w="7618" w:type="dxa"/>
            <w:gridSpan w:val="9"/>
          </w:tcPr>
          <w:p w:rsidR="003717A0" w:rsidRDefault="003717A0" w:rsidP="00566E4D">
            <w:pPr>
              <w:adjustRightInd w:val="0"/>
              <w:snapToGrid w:val="0"/>
              <w:spacing w:line="440" w:lineRule="exact"/>
              <w:rPr>
                <w:sz w:val="22"/>
              </w:rPr>
            </w:pPr>
            <w:r>
              <w:rPr>
                <w:rFonts w:ascii="宋体" w:hAnsi="宋体" w:hint="eastAsia"/>
                <w:sz w:val="22"/>
              </w:rPr>
              <w:t>□考试</w:t>
            </w:r>
            <w:r>
              <w:rPr>
                <w:rFonts w:ascii="宋体" w:hAnsi="宋体" w:hint="eastAsia"/>
                <w:szCs w:val="21"/>
              </w:rPr>
              <w:t>■</w:t>
            </w:r>
            <w:r>
              <w:rPr>
                <w:rFonts w:ascii="宋体" w:hAnsi="宋体" w:hint="eastAsia"/>
                <w:sz w:val="22"/>
              </w:rPr>
              <w:t>考查</w:t>
            </w:r>
            <w:r>
              <w:rPr>
                <w:rFonts w:ascii="宋体" w:hAnsi="宋体" w:hint="eastAsia"/>
                <w:szCs w:val="21"/>
              </w:rPr>
              <w:t>■</w:t>
            </w:r>
            <w:r>
              <w:rPr>
                <w:rFonts w:ascii="宋体" w:hAnsi="宋体" w:hint="eastAsia"/>
                <w:sz w:val="22"/>
              </w:rPr>
              <w:t>开卷□闭卷□课程设计□学期论文□其他</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课程成绩</w:t>
            </w:r>
          </w:p>
        </w:tc>
        <w:tc>
          <w:tcPr>
            <w:tcW w:w="3809" w:type="dxa"/>
            <w:gridSpan w:val="4"/>
          </w:tcPr>
          <w:p w:rsidR="003717A0" w:rsidRDefault="003717A0" w:rsidP="00566E4D">
            <w:pPr>
              <w:adjustRightInd w:val="0"/>
              <w:snapToGrid w:val="0"/>
              <w:spacing w:line="440" w:lineRule="exact"/>
              <w:jc w:val="left"/>
              <w:rPr>
                <w:sz w:val="22"/>
              </w:rPr>
            </w:pPr>
            <w:r>
              <w:rPr>
                <w:rFonts w:hint="eastAsia"/>
                <w:sz w:val="22"/>
              </w:rPr>
              <w:t>平时成绩</w:t>
            </w:r>
            <w:r>
              <w:rPr>
                <w:sz w:val="22"/>
              </w:rPr>
              <w:t>50%</w:t>
            </w:r>
          </w:p>
        </w:tc>
        <w:tc>
          <w:tcPr>
            <w:tcW w:w="3809" w:type="dxa"/>
            <w:gridSpan w:val="5"/>
          </w:tcPr>
          <w:p w:rsidR="003717A0" w:rsidRDefault="003717A0" w:rsidP="00566E4D">
            <w:pPr>
              <w:adjustRightInd w:val="0"/>
              <w:snapToGrid w:val="0"/>
              <w:spacing w:line="440" w:lineRule="exact"/>
              <w:jc w:val="left"/>
              <w:rPr>
                <w:sz w:val="22"/>
              </w:rPr>
            </w:pPr>
            <w:r>
              <w:rPr>
                <w:rFonts w:hint="eastAsia"/>
                <w:sz w:val="22"/>
              </w:rPr>
              <w:t>期末成绩</w:t>
            </w:r>
            <w:r>
              <w:rPr>
                <w:sz w:val="22"/>
              </w:rPr>
              <w:t>50%</w:t>
            </w:r>
          </w:p>
        </w:tc>
      </w:tr>
      <w:tr w:rsidR="003717A0" w:rsidTr="00566E4D">
        <w:trPr>
          <w:jc w:val="center"/>
        </w:trPr>
        <w:tc>
          <w:tcPr>
            <w:tcW w:w="9286" w:type="dxa"/>
            <w:gridSpan w:val="10"/>
          </w:tcPr>
          <w:p w:rsidR="003717A0" w:rsidRDefault="003717A0" w:rsidP="00566E4D">
            <w:pPr>
              <w:adjustRightInd w:val="0"/>
              <w:snapToGrid w:val="0"/>
              <w:spacing w:line="440" w:lineRule="exact"/>
              <w:rPr>
                <w:sz w:val="22"/>
              </w:rPr>
            </w:pPr>
            <w:r>
              <w:rPr>
                <w:rFonts w:hint="eastAsia"/>
                <w:sz w:val="22"/>
              </w:rPr>
              <w:t>课程负责人及团队骨干（五人以内）</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姓名</w:t>
            </w:r>
          </w:p>
        </w:tc>
        <w:tc>
          <w:tcPr>
            <w:tcW w:w="1523" w:type="dxa"/>
          </w:tcPr>
          <w:p w:rsidR="003717A0" w:rsidRDefault="003717A0" w:rsidP="00566E4D">
            <w:pPr>
              <w:adjustRightInd w:val="0"/>
              <w:snapToGrid w:val="0"/>
              <w:spacing w:line="440" w:lineRule="exact"/>
              <w:jc w:val="center"/>
              <w:rPr>
                <w:sz w:val="22"/>
              </w:rPr>
            </w:pPr>
            <w:r>
              <w:rPr>
                <w:rFonts w:hint="eastAsia"/>
                <w:sz w:val="22"/>
              </w:rPr>
              <w:t>性别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学历</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学位</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职称</w:t>
            </w:r>
          </w:p>
        </w:tc>
        <w:tc>
          <w:tcPr>
            <w:tcW w:w="1524" w:type="dxa"/>
          </w:tcPr>
          <w:p w:rsidR="003717A0" w:rsidRDefault="003717A0" w:rsidP="00566E4D">
            <w:pPr>
              <w:adjustRightInd w:val="0"/>
              <w:snapToGrid w:val="0"/>
              <w:spacing w:line="440" w:lineRule="exact"/>
              <w:jc w:val="center"/>
              <w:rPr>
                <w:sz w:val="22"/>
              </w:rPr>
            </w:pPr>
            <w:r>
              <w:rPr>
                <w:rFonts w:hint="eastAsia"/>
                <w:sz w:val="22"/>
              </w:rPr>
              <w:t>从教时间</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沈光宇</w:t>
            </w:r>
          </w:p>
        </w:tc>
        <w:tc>
          <w:tcPr>
            <w:tcW w:w="1523" w:type="dxa"/>
          </w:tcPr>
          <w:p w:rsidR="003717A0" w:rsidRDefault="003717A0" w:rsidP="00566E4D">
            <w:pPr>
              <w:adjustRightInd w:val="0"/>
              <w:snapToGrid w:val="0"/>
              <w:spacing w:line="440" w:lineRule="exact"/>
              <w:jc w:val="center"/>
              <w:rPr>
                <w:sz w:val="22"/>
              </w:rPr>
            </w:pPr>
            <w:r>
              <w:rPr>
                <w:rFonts w:hint="eastAsia"/>
                <w:sz w:val="22"/>
              </w:rPr>
              <w:t>男</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本科</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学士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教授</w:t>
            </w:r>
          </w:p>
        </w:tc>
        <w:tc>
          <w:tcPr>
            <w:tcW w:w="1524" w:type="dxa"/>
          </w:tcPr>
          <w:p w:rsidR="003717A0" w:rsidRDefault="003717A0" w:rsidP="00566E4D">
            <w:pPr>
              <w:adjustRightInd w:val="0"/>
              <w:snapToGrid w:val="0"/>
              <w:spacing w:line="440" w:lineRule="exact"/>
              <w:jc w:val="center"/>
              <w:rPr>
                <w:sz w:val="22"/>
              </w:rPr>
            </w:pPr>
            <w:r>
              <w:rPr>
                <w:sz w:val="22"/>
              </w:rPr>
              <w:t>1985.7</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郭爱松</w:t>
            </w:r>
          </w:p>
        </w:tc>
        <w:tc>
          <w:tcPr>
            <w:tcW w:w="1523" w:type="dxa"/>
          </w:tcPr>
          <w:p w:rsidR="003717A0" w:rsidRDefault="003717A0" w:rsidP="00566E4D">
            <w:pPr>
              <w:adjustRightInd w:val="0"/>
              <w:snapToGrid w:val="0"/>
              <w:spacing w:line="440" w:lineRule="exact"/>
              <w:jc w:val="center"/>
              <w:rPr>
                <w:sz w:val="22"/>
              </w:rPr>
            </w:pPr>
            <w:r>
              <w:rPr>
                <w:rFonts w:hint="eastAsia"/>
                <w:sz w:val="22"/>
              </w:rPr>
              <w:t>男</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博士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副教授</w:t>
            </w:r>
          </w:p>
        </w:tc>
        <w:tc>
          <w:tcPr>
            <w:tcW w:w="1524" w:type="dxa"/>
          </w:tcPr>
          <w:p w:rsidR="003717A0" w:rsidRDefault="003717A0" w:rsidP="00566E4D">
            <w:pPr>
              <w:adjustRightInd w:val="0"/>
              <w:snapToGrid w:val="0"/>
              <w:spacing w:line="440" w:lineRule="exact"/>
              <w:jc w:val="center"/>
              <w:rPr>
                <w:sz w:val="22"/>
              </w:rPr>
            </w:pPr>
            <w:r>
              <w:rPr>
                <w:sz w:val="22"/>
              </w:rPr>
              <w:t>1993.08</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陈伟观</w:t>
            </w:r>
          </w:p>
        </w:tc>
        <w:tc>
          <w:tcPr>
            <w:tcW w:w="1523" w:type="dxa"/>
          </w:tcPr>
          <w:p w:rsidR="003717A0" w:rsidRDefault="003717A0" w:rsidP="00566E4D">
            <w:pPr>
              <w:adjustRightInd w:val="0"/>
              <w:snapToGrid w:val="0"/>
              <w:spacing w:line="440" w:lineRule="exact"/>
              <w:jc w:val="center"/>
              <w:rPr>
                <w:sz w:val="22"/>
              </w:rPr>
            </w:pPr>
            <w:r>
              <w:rPr>
                <w:rFonts w:hint="eastAsia"/>
                <w:sz w:val="22"/>
              </w:rPr>
              <w:t>男</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硕士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讲师</w:t>
            </w:r>
          </w:p>
        </w:tc>
        <w:tc>
          <w:tcPr>
            <w:tcW w:w="1524" w:type="dxa"/>
          </w:tcPr>
          <w:p w:rsidR="003717A0" w:rsidRDefault="003717A0" w:rsidP="00566E4D">
            <w:pPr>
              <w:adjustRightInd w:val="0"/>
              <w:snapToGrid w:val="0"/>
              <w:spacing w:line="440" w:lineRule="exact"/>
              <w:jc w:val="center"/>
              <w:rPr>
                <w:sz w:val="22"/>
              </w:rPr>
            </w:pPr>
            <w:r>
              <w:rPr>
                <w:sz w:val="22"/>
              </w:rPr>
              <w:t>2009.08</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r>
              <w:rPr>
                <w:rFonts w:hint="eastAsia"/>
                <w:sz w:val="22"/>
              </w:rPr>
              <w:t>朱振杰</w:t>
            </w:r>
          </w:p>
        </w:tc>
        <w:tc>
          <w:tcPr>
            <w:tcW w:w="1523" w:type="dxa"/>
          </w:tcPr>
          <w:p w:rsidR="003717A0" w:rsidRDefault="003717A0" w:rsidP="00566E4D">
            <w:pPr>
              <w:adjustRightInd w:val="0"/>
              <w:snapToGrid w:val="0"/>
              <w:spacing w:line="440" w:lineRule="exact"/>
              <w:jc w:val="center"/>
              <w:rPr>
                <w:sz w:val="22"/>
              </w:rPr>
            </w:pPr>
            <w:r>
              <w:rPr>
                <w:rFonts w:hint="eastAsia"/>
                <w:sz w:val="22"/>
              </w:rPr>
              <w:t>男</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研究生</w:t>
            </w:r>
          </w:p>
        </w:tc>
        <w:tc>
          <w:tcPr>
            <w:tcW w:w="1523" w:type="dxa"/>
            <w:gridSpan w:val="3"/>
          </w:tcPr>
          <w:p w:rsidR="003717A0" w:rsidRDefault="003717A0" w:rsidP="00566E4D">
            <w:pPr>
              <w:adjustRightInd w:val="0"/>
              <w:snapToGrid w:val="0"/>
              <w:spacing w:line="440" w:lineRule="exact"/>
              <w:jc w:val="center"/>
              <w:rPr>
                <w:sz w:val="22"/>
              </w:rPr>
            </w:pPr>
            <w:r>
              <w:rPr>
                <w:rFonts w:hint="eastAsia"/>
                <w:sz w:val="22"/>
              </w:rPr>
              <w:t>硕士</w:t>
            </w:r>
          </w:p>
        </w:tc>
        <w:tc>
          <w:tcPr>
            <w:tcW w:w="1524" w:type="dxa"/>
            <w:gridSpan w:val="2"/>
          </w:tcPr>
          <w:p w:rsidR="003717A0" w:rsidRDefault="003717A0" w:rsidP="00566E4D">
            <w:pPr>
              <w:adjustRightInd w:val="0"/>
              <w:snapToGrid w:val="0"/>
              <w:spacing w:line="440" w:lineRule="exact"/>
              <w:jc w:val="center"/>
              <w:rPr>
                <w:sz w:val="22"/>
              </w:rPr>
            </w:pPr>
            <w:r>
              <w:rPr>
                <w:rFonts w:hint="eastAsia"/>
                <w:sz w:val="22"/>
              </w:rPr>
              <w:t>讲师</w:t>
            </w:r>
          </w:p>
        </w:tc>
        <w:tc>
          <w:tcPr>
            <w:tcW w:w="1524" w:type="dxa"/>
          </w:tcPr>
          <w:p w:rsidR="003717A0" w:rsidRDefault="003717A0" w:rsidP="00566E4D">
            <w:pPr>
              <w:adjustRightInd w:val="0"/>
              <w:snapToGrid w:val="0"/>
              <w:spacing w:line="440" w:lineRule="exact"/>
              <w:jc w:val="center"/>
              <w:rPr>
                <w:sz w:val="22"/>
              </w:rPr>
            </w:pPr>
            <w:r>
              <w:rPr>
                <w:sz w:val="22"/>
              </w:rPr>
              <w:t>2006.08</w:t>
            </w:r>
          </w:p>
        </w:tc>
      </w:tr>
      <w:tr w:rsidR="003717A0" w:rsidTr="00566E4D">
        <w:trPr>
          <w:jc w:val="center"/>
        </w:trPr>
        <w:tc>
          <w:tcPr>
            <w:tcW w:w="1668" w:type="dxa"/>
          </w:tcPr>
          <w:p w:rsidR="003717A0" w:rsidRDefault="003717A0" w:rsidP="00566E4D">
            <w:pPr>
              <w:adjustRightInd w:val="0"/>
              <w:snapToGrid w:val="0"/>
              <w:spacing w:line="440" w:lineRule="exact"/>
              <w:jc w:val="center"/>
              <w:rPr>
                <w:sz w:val="22"/>
              </w:rPr>
            </w:pPr>
          </w:p>
        </w:tc>
        <w:tc>
          <w:tcPr>
            <w:tcW w:w="1523" w:type="dxa"/>
          </w:tcPr>
          <w:p w:rsidR="003717A0" w:rsidRDefault="003717A0" w:rsidP="00566E4D">
            <w:pPr>
              <w:adjustRightInd w:val="0"/>
              <w:snapToGrid w:val="0"/>
              <w:spacing w:line="440" w:lineRule="exact"/>
              <w:jc w:val="center"/>
              <w:rPr>
                <w:sz w:val="22"/>
              </w:rPr>
            </w:pPr>
          </w:p>
        </w:tc>
        <w:tc>
          <w:tcPr>
            <w:tcW w:w="1524" w:type="dxa"/>
            <w:gridSpan w:val="2"/>
          </w:tcPr>
          <w:p w:rsidR="003717A0" w:rsidRDefault="003717A0" w:rsidP="00566E4D">
            <w:pPr>
              <w:adjustRightInd w:val="0"/>
              <w:snapToGrid w:val="0"/>
              <w:spacing w:line="440" w:lineRule="exact"/>
              <w:jc w:val="center"/>
              <w:rPr>
                <w:sz w:val="22"/>
              </w:rPr>
            </w:pPr>
          </w:p>
        </w:tc>
        <w:tc>
          <w:tcPr>
            <w:tcW w:w="1523" w:type="dxa"/>
            <w:gridSpan w:val="3"/>
          </w:tcPr>
          <w:p w:rsidR="003717A0" w:rsidRDefault="003717A0" w:rsidP="00566E4D">
            <w:pPr>
              <w:adjustRightInd w:val="0"/>
              <w:snapToGrid w:val="0"/>
              <w:spacing w:line="440" w:lineRule="exact"/>
              <w:jc w:val="center"/>
              <w:rPr>
                <w:sz w:val="22"/>
              </w:rPr>
            </w:pPr>
          </w:p>
        </w:tc>
        <w:tc>
          <w:tcPr>
            <w:tcW w:w="1524" w:type="dxa"/>
            <w:gridSpan w:val="2"/>
          </w:tcPr>
          <w:p w:rsidR="003717A0" w:rsidRDefault="003717A0" w:rsidP="00566E4D">
            <w:pPr>
              <w:adjustRightInd w:val="0"/>
              <w:snapToGrid w:val="0"/>
              <w:spacing w:line="440" w:lineRule="exact"/>
              <w:jc w:val="center"/>
              <w:rPr>
                <w:sz w:val="22"/>
              </w:rPr>
            </w:pPr>
          </w:p>
        </w:tc>
        <w:tc>
          <w:tcPr>
            <w:tcW w:w="1524" w:type="dxa"/>
          </w:tcPr>
          <w:p w:rsidR="003717A0" w:rsidRDefault="003717A0" w:rsidP="00566E4D">
            <w:pPr>
              <w:adjustRightInd w:val="0"/>
              <w:snapToGrid w:val="0"/>
              <w:spacing w:line="440" w:lineRule="exact"/>
              <w:jc w:val="center"/>
              <w:rPr>
                <w:sz w:val="22"/>
              </w:rPr>
            </w:pPr>
          </w:p>
        </w:tc>
      </w:tr>
      <w:tr w:rsidR="003717A0" w:rsidTr="00566E4D">
        <w:trPr>
          <w:jc w:val="center"/>
        </w:trPr>
        <w:tc>
          <w:tcPr>
            <w:tcW w:w="9286" w:type="dxa"/>
            <w:gridSpan w:val="10"/>
          </w:tcPr>
          <w:p w:rsidR="003717A0" w:rsidRDefault="003717A0" w:rsidP="00566E4D">
            <w:pPr>
              <w:adjustRightInd w:val="0"/>
              <w:snapToGrid w:val="0"/>
              <w:spacing w:line="440" w:lineRule="exact"/>
              <w:rPr>
                <w:sz w:val="22"/>
              </w:rPr>
            </w:pPr>
            <w:r>
              <w:rPr>
                <w:rFonts w:hint="eastAsia"/>
                <w:sz w:val="22"/>
              </w:rPr>
              <w:t>课程简介</w:t>
            </w:r>
          </w:p>
        </w:tc>
      </w:tr>
      <w:tr w:rsidR="003717A0" w:rsidTr="00566E4D">
        <w:trPr>
          <w:jc w:val="center"/>
        </w:trPr>
        <w:tc>
          <w:tcPr>
            <w:tcW w:w="9286" w:type="dxa"/>
            <w:gridSpan w:val="10"/>
          </w:tcPr>
          <w:p w:rsidR="003717A0" w:rsidRDefault="003717A0" w:rsidP="00566E4D">
            <w:pPr>
              <w:adjustRightInd w:val="0"/>
              <w:snapToGrid w:val="0"/>
              <w:spacing w:line="440" w:lineRule="exact"/>
              <w:ind w:firstLineChars="250" w:firstLine="550"/>
              <w:rPr>
                <w:rFonts w:ascii="Times New Roman" w:hAnsi="Times New Roman"/>
                <w:sz w:val="22"/>
              </w:rPr>
            </w:pPr>
            <w:r>
              <w:rPr>
                <w:rFonts w:hint="eastAsia"/>
                <w:sz w:val="22"/>
              </w:rPr>
              <w:t>肉毒毒素注射治疗技术在临床上有广泛的适应证，可应用神经科、眼科、耳鼻喉科、美容科、皮肤科、疼痛科等多学科领域，是康复医学重要的临床技术。康复医学系依托附属医院康复医学科，自</w:t>
            </w:r>
            <w:r>
              <w:rPr>
                <w:sz w:val="22"/>
              </w:rPr>
              <w:t>2011</w:t>
            </w:r>
            <w:r>
              <w:rPr>
                <w:rFonts w:hint="eastAsia"/>
                <w:sz w:val="22"/>
              </w:rPr>
              <w:t>年开展肉毒毒素治疗以来，积累了丰富的临床经验和病例资料。根据目前的临床趋势及实际要求，有能力也有必要开设肉毒毒素注射技术及应用作为医学相关专业选修课程。课程内容主要包括肉毒毒素的基本知识，痉挛的定义、临床问题、评定及治疗，以及肉毒毒素注射技术在临床相关疾病中的应用等方面。本课程通过课堂理论教学和临床实践操作演示等方式，要求学生能达到掌握肉毒毒素的基本知识以及临床操作技能，从而为今后在临床实践中的应用提供规范化的指导。</w:t>
            </w:r>
          </w:p>
        </w:tc>
      </w:tr>
    </w:tbl>
    <w:p w:rsidR="003717A0" w:rsidRDefault="003717A0">
      <w:pPr>
        <w:adjustRightInd w:val="0"/>
        <w:spacing w:line="360" w:lineRule="auto"/>
        <w:contextualSpacing/>
        <w:jc w:val="center"/>
        <w:rPr>
          <w:rFonts w:ascii="黑体" w:eastAsia="黑体"/>
          <w:b/>
          <w:sz w:val="30"/>
          <w:szCs w:val="30"/>
        </w:rPr>
      </w:pPr>
    </w:p>
    <w:p w:rsidR="003717A0" w:rsidRPr="00566E4D" w:rsidRDefault="003717A0" w:rsidP="00566E4D">
      <w:pPr>
        <w:adjustRightInd w:val="0"/>
        <w:snapToGrid w:val="0"/>
        <w:spacing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适应对象：本科层次，康复治疗学专业</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课程代码：</w:t>
      </w:r>
      <w:r>
        <w:rPr>
          <w:sz w:val="22"/>
        </w:rPr>
        <w:t>170716</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学时分配：</w:t>
      </w:r>
      <w:r>
        <w:rPr>
          <w:rFonts w:ascii="Times New Roman" w:hAnsi="Times New Roman"/>
          <w:kern w:val="0"/>
          <w:szCs w:val="21"/>
        </w:rPr>
        <w:t>18</w:t>
      </w:r>
      <w:r>
        <w:rPr>
          <w:rFonts w:ascii="Times New Roman" w:hAnsi="Times New Roman" w:hint="eastAsia"/>
          <w:kern w:val="0"/>
          <w:szCs w:val="21"/>
        </w:rPr>
        <w:t>学时（理论学时</w:t>
      </w:r>
      <w:r>
        <w:rPr>
          <w:rFonts w:ascii="Times New Roman" w:hAnsi="Times New Roman"/>
          <w:kern w:val="0"/>
          <w:szCs w:val="21"/>
        </w:rPr>
        <w:t>15</w:t>
      </w:r>
      <w:r>
        <w:rPr>
          <w:rFonts w:ascii="Times New Roman" w:hAnsi="Times New Roman" w:hint="eastAsia"/>
          <w:kern w:val="0"/>
          <w:szCs w:val="21"/>
        </w:rPr>
        <w:t>，实验学时</w:t>
      </w:r>
      <w:r>
        <w:rPr>
          <w:rFonts w:ascii="Times New Roman" w:hAnsi="Times New Roman"/>
          <w:kern w:val="0"/>
          <w:szCs w:val="21"/>
        </w:rPr>
        <w:t>3</w:t>
      </w:r>
      <w:r>
        <w:rPr>
          <w:rFonts w:ascii="Times New Roman" w:hAnsi="Times New Roman" w:hint="eastAsia"/>
          <w:kern w:val="0"/>
          <w:szCs w:val="21"/>
        </w:rPr>
        <w:t>）</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赋予学分：</w:t>
      </w:r>
      <w:r>
        <w:rPr>
          <w:rFonts w:ascii="Times New Roman" w:hAnsi="Times New Roman"/>
          <w:kern w:val="0"/>
          <w:szCs w:val="21"/>
        </w:rPr>
        <w:t>1</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先修课程：康复治疗学</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后续课程：</w:t>
      </w:r>
      <w:r>
        <w:rPr>
          <w:rFonts w:ascii="Times New Roman" w:hAnsi="Times New Roman"/>
          <w:kern w:val="0"/>
          <w:szCs w:val="21"/>
        </w:rPr>
        <w:t xml:space="preserve"> </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360" w:lineRule="auto"/>
        <w:ind w:firstLineChars="193" w:firstLine="425"/>
        <w:jc w:val="left"/>
        <w:rPr>
          <w:rFonts w:ascii="Times New Roman" w:hAnsi="Times New Roman"/>
          <w:kern w:val="0"/>
          <w:szCs w:val="21"/>
        </w:rPr>
      </w:pPr>
      <w:r>
        <w:rPr>
          <w:rFonts w:hint="eastAsia"/>
          <w:sz w:val="22"/>
        </w:rPr>
        <w:t>肉毒毒素注射治疗技术在临床上有广泛的适应证，可应用神经科、眼科、耳鼻喉科、美容科、皮肤科、疼痛科等多学科领域，是康复医学重要的临床技术。本课程通过课堂理论教学和临床实践操作演示等方式，要求学生能达到掌握肉毒毒素的基本知识以及临床操作技能，从而为今后在临床实践中的应用提供规范化的指导。</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360" w:lineRule="auto"/>
        <w:ind w:firstLineChars="193" w:firstLine="405"/>
        <w:jc w:val="left"/>
        <w:rPr>
          <w:rFonts w:ascii="Times New Roman" w:hAnsi="Times New Roman"/>
          <w:kern w:val="0"/>
          <w:szCs w:val="21"/>
        </w:rPr>
      </w:pPr>
      <w:r>
        <w:rPr>
          <w:rFonts w:ascii="Times New Roman" w:hAnsi="Times New Roman" w:hint="eastAsia"/>
          <w:kern w:val="0"/>
          <w:szCs w:val="21"/>
        </w:rPr>
        <w:t>通过本课程的学习，</w:t>
      </w:r>
      <w:r>
        <w:rPr>
          <w:rFonts w:hint="eastAsia"/>
          <w:sz w:val="22"/>
        </w:rPr>
        <w:t>要求学生能达到掌握括肉毒毒素的基本知识，痉挛的定义、临床问题、评定及治疗，以及肉毒毒素注射技术在临床相关疾病中的应用和临床操作技能，从而在今后的临床实践能够将肉毒毒素规范化的应用于临床治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肉毒毒素的基本知识</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506"/>
        </w:numPr>
        <w:adjustRightInd w:val="0"/>
        <w:snapToGrid w:val="0"/>
        <w:spacing w:line="360" w:lineRule="auto"/>
        <w:ind w:left="0" w:right="4" w:firstLine="720"/>
        <w:rPr>
          <w:rFonts w:ascii="Times New Roman"/>
        </w:rPr>
      </w:pPr>
      <w:r>
        <w:rPr>
          <w:rFonts w:ascii="Times New Roman" w:hint="eastAsia"/>
        </w:rPr>
        <w:t>什么是肉毒毒素及其产品。</w:t>
      </w:r>
    </w:p>
    <w:p w:rsidR="003717A0" w:rsidRDefault="003717A0">
      <w:pPr>
        <w:numPr>
          <w:ilvl w:val="0"/>
          <w:numId w:val="506"/>
        </w:numPr>
        <w:adjustRightInd w:val="0"/>
        <w:snapToGrid w:val="0"/>
        <w:spacing w:line="360" w:lineRule="auto"/>
        <w:ind w:left="0" w:right="4" w:firstLine="720"/>
        <w:rPr>
          <w:rFonts w:ascii="Times New Roman" w:hAnsi="Times New Roman"/>
        </w:rPr>
      </w:pPr>
      <w:r>
        <w:rPr>
          <w:rFonts w:ascii="Times New Roman" w:hint="eastAsia"/>
        </w:rPr>
        <w:t>肉毒毒素的作用机制。</w:t>
      </w:r>
    </w:p>
    <w:p w:rsidR="003717A0" w:rsidRDefault="003717A0">
      <w:pPr>
        <w:numPr>
          <w:ilvl w:val="0"/>
          <w:numId w:val="506"/>
        </w:numPr>
        <w:adjustRightInd w:val="0"/>
        <w:snapToGrid w:val="0"/>
        <w:spacing w:line="360" w:lineRule="auto"/>
        <w:ind w:left="0" w:right="4" w:firstLine="720"/>
        <w:rPr>
          <w:rFonts w:ascii="Times New Roman" w:hAnsi="Times New Roman"/>
        </w:rPr>
      </w:pPr>
      <w:r>
        <w:rPr>
          <w:rFonts w:ascii="Times New Roman" w:hAnsi="Times New Roman" w:hint="eastAsia"/>
        </w:rPr>
        <w:t>肉毒毒素注射的适应症和禁忌证。</w:t>
      </w:r>
    </w:p>
    <w:p w:rsidR="003717A0" w:rsidRDefault="003717A0">
      <w:pPr>
        <w:numPr>
          <w:ilvl w:val="0"/>
          <w:numId w:val="506"/>
        </w:numPr>
        <w:adjustRightInd w:val="0"/>
        <w:snapToGrid w:val="0"/>
        <w:spacing w:line="360" w:lineRule="auto"/>
        <w:ind w:left="0" w:right="4" w:firstLine="720"/>
        <w:rPr>
          <w:rFonts w:ascii="Times New Roman" w:hAnsi="Times New Roman"/>
        </w:rPr>
      </w:pPr>
      <w:r>
        <w:rPr>
          <w:rFonts w:ascii="Times New Roman" w:hAnsi="Times New Roman" w:hint="eastAsia"/>
        </w:rPr>
        <w:t>肉毒毒素注射的不良反应及注意事项。</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numPr>
          <w:ilvl w:val="0"/>
          <w:numId w:val="507"/>
        </w:numPr>
        <w:adjustRightInd w:val="0"/>
        <w:snapToGrid w:val="0"/>
        <w:spacing w:line="360" w:lineRule="auto"/>
        <w:ind w:left="0" w:right="4" w:firstLine="720"/>
        <w:rPr>
          <w:rFonts w:ascii="Times New Roman"/>
        </w:rPr>
      </w:pPr>
      <w:r>
        <w:rPr>
          <w:rFonts w:ascii="Times New Roman" w:hint="eastAsia"/>
        </w:rPr>
        <w:t>熟悉肉毒毒素的基本知识。</w:t>
      </w:r>
    </w:p>
    <w:p w:rsidR="003717A0" w:rsidRDefault="003717A0">
      <w:pPr>
        <w:numPr>
          <w:ilvl w:val="0"/>
          <w:numId w:val="507"/>
        </w:numPr>
        <w:adjustRightInd w:val="0"/>
        <w:snapToGrid w:val="0"/>
        <w:spacing w:line="360" w:lineRule="auto"/>
        <w:ind w:left="0" w:right="4" w:firstLine="720"/>
        <w:rPr>
          <w:rFonts w:ascii="Times New Roman" w:hAnsi="Times New Roman"/>
        </w:rPr>
      </w:pPr>
      <w:r>
        <w:rPr>
          <w:rFonts w:ascii="Times New Roman" w:hint="eastAsia"/>
        </w:rPr>
        <w:t>掌握肉毒毒素注射的适应症和禁忌证。</w:t>
      </w:r>
    </w:p>
    <w:p w:rsidR="003717A0" w:rsidRDefault="003717A0">
      <w:pPr>
        <w:numPr>
          <w:ilvl w:val="0"/>
          <w:numId w:val="507"/>
        </w:numPr>
        <w:adjustRightInd w:val="0"/>
        <w:snapToGrid w:val="0"/>
        <w:spacing w:line="360" w:lineRule="auto"/>
        <w:ind w:left="0" w:right="4" w:firstLine="720"/>
        <w:rPr>
          <w:rFonts w:ascii="Times New Roman" w:hAnsi="Times New Roman"/>
        </w:rPr>
      </w:pPr>
      <w:r>
        <w:rPr>
          <w:rFonts w:ascii="Times New Roman" w:hAnsi="Times New Roman" w:hint="eastAsia"/>
        </w:rPr>
        <w:t>熟悉肉毒毒素注射的不良反应及注意事项</w:t>
      </w:r>
      <w:r>
        <w:rPr>
          <w:rFonts w:ascii="Times New Roman" w:hint="eastAsia"/>
        </w:rPr>
        <w:t>。</w:t>
      </w:r>
    </w:p>
    <w:p w:rsidR="003717A0" w:rsidRDefault="003717A0" w:rsidP="005E20B5">
      <w:pPr>
        <w:adjustRightInd w:val="0"/>
        <w:snapToGrid w:val="0"/>
        <w:spacing w:beforeLines="50" w:line="360" w:lineRule="auto"/>
        <w:ind w:right="6"/>
        <w:jc w:val="center"/>
        <w:rPr>
          <w:b/>
          <w:sz w:val="22"/>
        </w:rPr>
      </w:pPr>
      <w:r>
        <w:rPr>
          <w:rFonts w:hint="eastAsia"/>
          <w:b/>
          <w:sz w:val="22"/>
        </w:rPr>
        <w:t>第二章</w:t>
      </w:r>
      <w:r>
        <w:rPr>
          <w:b/>
          <w:sz w:val="22"/>
        </w:rPr>
        <w:t xml:space="preserve">  </w:t>
      </w:r>
      <w:r>
        <w:rPr>
          <w:rFonts w:hint="eastAsia"/>
          <w:b/>
          <w:sz w:val="22"/>
        </w:rPr>
        <w:t>痉挛及其评定与治疗</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508"/>
        </w:numPr>
        <w:adjustRightInd w:val="0"/>
        <w:snapToGrid w:val="0"/>
        <w:spacing w:line="360" w:lineRule="auto"/>
        <w:ind w:left="0" w:right="4" w:firstLine="720"/>
        <w:rPr>
          <w:rFonts w:ascii="Times New Roman"/>
        </w:rPr>
      </w:pPr>
      <w:r>
        <w:rPr>
          <w:rFonts w:ascii="Times New Roman" w:hint="eastAsia"/>
        </w:rPr>
        <w:t>痉挛的定义及流行病学。</w:t>
      </w:r>
    </w:p>
    <w:p w:rsidR="003717A0" w:rsidRDefault="003717A0">
      <w:pPr>
        <w:numPr>
          <w:ilvl w:val="0"/>
          <w:numId w:val="508"/>
        </w:numPr>
        <w:adjustRightInd w:val="0"/>
        <w:snapToGrid w:val="0"/>
        <w:spacing w:line="360" w:lineRule="auto"/>
        <w:ind w:left="0" w:right="4" w:firstLine="720"/>
        <w:rPr>
          <w:rFonts w:ascii="Times New Roman" w:hAnsi="Times New Roman"/>
        </w:rPr>
      </w:pPr>
      <w:r>
        <w:rPr>
          <w:rFonts w:ascii="Times New Roman" w:hint="eastAsia"/>
        </w:rPr>
        <w:t>痉挛导致的临床问题。</w:t>
      </w:r>
    </w:p>
    <w:p w:rsidR="003717A0" w:rsidRDefault="003717A0">
      <w:pPr>
        <w:numPr>
          <w:ilvl w:val="0"/>
          <w:numId w:val="508"/>
        </w:numPr>
        <w:adjustRightInd w:val="0"/>
        <w:snapToGrid w:val="0"/>
        <w:spacing w:line="360" w:lineRule="auto"/>
        <w:ind w:left="0" w:right="4" w:firstLine="720"/>
        <w:rPr>
          <w:rFonts w:ascii="Times New Roman" w:hAnsi="Times New Roman"/>
        </w:rPr>
      </w:pPr>
      <w:r>
        <w:rPr>
          <w:rFonts w:ascii="Times New Roman" w:hint="eastAsia"/>
        </w:rPr>
        <w:lastRenderedPageBreak/>
        <w:t>常见的痉挛模式。</w:t>
      </w:r>
    </w:p>
    <w:p w:rsidR="003717A0" w:rsidRDefault="003717A0">
      <w:pPr>
        <w:numPr>
          <w:ilvl w:val="0"/>
          <w:numId w:val="508"/>
        </w:numPr>
        <w:adjustRightInd w:val="0"/>
        <w:snapToGrid w:val="0"/>
        <w:spacing w:line="360" w:lineRule="auto"/>
        <w:ind w:left="0" w:right="4" w:firstLine="720"/>
        <w:rPr>
          <w:rFonts w:ascii="Times New Roman" w:hAnsi="Times New Roman"/>
        </w:rPr>
      </w:pPr>
      <w:r>
        <w:rPr>
          <w:rFonts w:ascii="Times New Roman" w:hint="eastAsia"/>
        </w:rPr>
        <w:t>治疗痉挛的必要性。</w:t>
      </w:r>
    </w:p>
    <w:p w:rsidR="003717A0" w:rsidRDefault="003717A0">
      <w:pPr>
        <w:numPr>
          <w:ilvl w:val="0"/>
          <w:numId w:val="508"/>
        </w:numPr>
        <w:adjustRightInd w:val="0"/>
        <w:snapToGrid w:val="0"/>
        <w:spacing w:line="360" w:lineRule="auto"/>
        <w:ind w:left="0" w:right="4" w:firstLine="720"/>
        <w:rPr>
          <w:rFonts w:ascii="Times New Roman" w:hAnsi="Times New Roman"/>
        </w:rPr>
      </w:pPr>
      <w:r>
        <w:rPr>
          <w:rFonts w:ascii="Times New Roman" w:hint="eastAsia"/>
        </w:rPr>
        <w:t>痉挛的康复评定。</w:t>
      </w:r>
    </w:p>
    <w:p w:rsidR="003717A0" w:rsidRDefault="003717A0">
      <w:pPr>
        <w:numPr>
          <w:ilvl w:val="0"/>
          <w:numId w:val="508"/>
        </w:numPr>
        <w:adjustRightInd w:val="0"/>
        <w:snapToGrid w:val="0"/>
        <w:spacing w:line="360" w:lineRule="auto"/>
        <w:ind w:left="0" w:right="4" w:firstLine="720"/>
        <w:rPr>
          <w:rFonts w:ascii="Times New Roman" w:hAnsi="Times New Roman"/>
        </w:rPr>
      </w:pPr>
      <w:r>
        <w:rPr>
          <w:rFonts w:ascii="Times New Roman" w:hint="eastAsia"/>
        </w:rPr>
        <w:t>痉挛的临床治疗。</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numPr>
          <w:ilvl w:val="0"/>
          <w:numId w:val="509"/>
        </w:numPr>
        <w:adjustRightInd w:val="0"/>
        <w:snapToGrid w:val="0"/>
        <w:spacing w:line="360" w:lineRule="auto"/>
        <w:ind w:right="4" w:hanging="60"/>
        <w:rPr>
          <w:rFonts w:ascii="Times New Roman"/>
        </w:rPr>
      </w:pPr>
      <w:r>
        <w:rPr>
          <w:rFonts w:ascii="Times New Roman" w:hint="eastAsia"/>
        </w:rPr>
        <w:t>掌握痉挛的定义。</w:t>
      </w:r>
    </w:p>
    <w:p w:rsidR="003717A0" w:rsidRDefault="003717A0">
      <w:pPr>
        <w:numPr>
          <w:ilvl w:val="0"/>
          <w:numId w:val="509"/>
        </w:numPr>
        <w:adjustRightInd w:val="0"/>
        <w:snapToGrid w:val="0"/>
        <w:spacing w:line="360" w:lineRule="auto"/>
        <w:ind w:right="4" w:hanging="60"/>
        <w:rPr>
          <w:rFonts w:ascii="Times New Roman" w:hAnsi="Times New Roman"/>
        </w:rPr>
      </w:pPr>
      <w:r>
        <w:rPr>
          <w:rFonts w:ascii="Times New Roman" w:hint="eastAsia"/>
        </w:rPr>
        <w:t>熟悉痉挛导致的临床问题及治疗痉挛的必要性。</w:t>
      </w:r>
    </w:p>
    <w:p w:rsidR="003717A0" w:rsidRDefault="003717A0">
      <w:pPr>
        <w:numPr>
          <w:ilvl w:val="0"/>
          <w:numId w:val="509"/>
        </w:numPr>
        <w:adjustRightInd w:val="0"/>
        <w:snapToGrid w:val="0"/>
        <w:spacing w:line="360" w:lineRule="auto"/>
        <w:ind w:right="4" w:hanging="60"/>
        <w:rPr>
          <w:rFonts w:ascii="Times New Roman" w:hAnsi="Times New Roman"/>
        </w:rPr>
      </w:pPr>
      <w:r>
        <w:rPr>
          <w:rFonts w:ascii="Times New Roman" w:hint="eastAsia"/>
        </w:rPr>
        <w:t>掌握痉挛的康复评定及治疗。</w:t>
      </w: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肉毒毒素注射在痉挛治疗中的应用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6</w:t>
      </w:r>
      <w:r>
        <w:rPr>
          <w:rFonts w:ascii="Times New Roman" w:hint="eastAsia"/>
          <w:b/>
        </w:rPr>
        <w:t>学时）</w:t>
      </w:r>
    </w:p>
    <w:p w:rsidR="003717A0" w:rsidRDefault="003717A0">
      <w:pPr>
        <w:numPr>
          <w:ilvl w:val="0"/>
          <w:numId w:val="510"/>
        </w:numPr>
        <w:adjustRightInd w:val="0"/>
        <w:snapToGrid w:val="0"/>
        <w:spacing w:line="360" w:lineRule="auto"/>
        <w:ind w:left="0" w:rightChars="2" w:right="4" w:firstLine="720"/>
        <w:rPr>
          <w:rFonts w:ascii="Times New Roman"/>
        </w:rPr>
      </w:pPr>
      <w:r>
        <w:rPr>
          <w:rFonts w:ascii="Times New Roman" w:hint="eastAsia"/>
        </w:rPr>
        <w:t>肉毒毒素注射在痉挛治疗中的总体原则。</w:t>
      </w:r>
    </w:p>
    <w:p w:rsidR="003717A0" w:rsidRDefault="003717A0">
      <w:pPr>
        <w:numPr>
          <w:ilvl w:val="0"/>
          <w:numId w:val="510"/>
        </w:numPr>
        <w:adjustRightInd w:val="0"/>
        <w:snapToGrid w:val="0"/>
        <w:spacing w:line="360" w:lineRule="auto"/>
        <w:ind w:left="0" w:rightChars="2" w:right="4" w:firstLine="720"/>
        <w:rPr>
          <w:rFonts w:ascii="Times New Roman" w:hAnsi="Times New Roman"/>
        </w:rPr>
      </w:pPr>
      <w:r>
        <w:rPr>
          <w:rFonts w:ascii="Times New Roman" w:hint="eastAsia"/>
        </w:rPr>
        <w:t>使用肉毒毒素治疗痉挛的主要步骤。</w:t>
      </w:r>
    </w:p>
    <w:p w:rsidR="003717A0" w:rsidRDefault="003717A0">
      <w:pPr>
        <w:numPr>
          <w:ilvl w:val="0"/>
          <w:numId w:val="510"/>
        </w:numPr>
        <w:adjustRightInd w:val="0"/>
        <w:snapToGrid w:val="0"/>
        <w:spacing w:line="360" w:lineRule="auto"/>
        <w:ind w:left="0" w:right="4" w:firstLine="720"/>
        <w:rPr>
          <w:rFonts w:ascii="Times New Roman" w:hAnsi="Times New Roman"/>
        </w:rPr>
      </w:pPr>
      <w:r>
        <w:rPr>
          <w:rFonts w:ascii="Times New Roman" w:hint="eastAsia"/>
        </w:rPr>
        <w:t>治疗目标的确定与靶肌肉的选择。</w:t>
      </w:r>
    </w:p>
    <w:p w:rsidR="003717A0" w:rsidRDefault="003717A0">
      <w:pPr>
        <w:numPr>
          <w:ilvl w:val="0"/>
          <w:numId w:val="510"/>
        </w:numPr>
        <w:adjustRightInd w:val="0"/>
        <w:snapToGrid w:val="0"/>
        <w:spacing w:line="360" w:lineRule="auto"/>
        <w:ind w:left="0" w:right="4" w:firstLine="720"/>
        <w:rPr>
          <w:rFonts w:ascii="Times New Roman" w:hAnsi="Times New Roman"/>
        </w:rPr>
      </w:pPr>
      <w:r>
        <w:rPr>
          <w:rFonts w:ascii="Times New Roman" w:hint="eastAsia"/>
        </w:rPr>
        <w:t>肉毒毒素注射的常用定位方法。</w:t>
      </w:r>
    </w:p>
    <w:p w:rsidR="003717A0" w:rsidRDefault="003717A0">
      <w:pPr>
        <w:numPr>
          <w:ilvl w:val="0"/>
          <w:numId w:val="510"/>
        </w:numPr>
        <w:adjustRightInd w:val="0"/>
        <w:snapToGrid w:val="0"/>
        <w:spacing w:line="360" w:lineRule="auto"/>
        <w:ind w:left="0" w:right="4" w:firstLine="720"/>
        <w:rPr>
          <w:rFonts w:ascii="Times New Roman" w:hAnsi="Times New Roman"/>
        </w:rPr>
      </w:pPr>
      <w:r>
        <w:rPr>
          <w:rFonts w:ascii="Times New Roman" w:hint="eastAsia"/>
        </w:rPr>
        <w:t>肉毒毒素注射技术及策略。</w:t>
      </w:r>
    </w:p>
    <w:p w:rsidR="003717A0" w:rsidRDefault="003717A0">
      <w:pPr>
        <w:numPr>
          <w:ilvl w:val="0"/>
          <w:numId w:val="510"/>
        </w:numPr>
        <w:adjustRightInd w:val="0"/>
        <w:snapToGrid w:val="0"/>
        <w:spacing w:line="360" w:lineRule="auto"/>
        <w:ind w:left="0" w:right="4" w:firstLine="720"/>
        <w:rPr>
          <w:rFonts w:ascii="Times New Roman" w:hAnsi="Times New Roman"/>
        </w:rPr>
      </w:pPr>
      <w:r>
        <w:rPr>
          <w:rFonts w:ascii="Times New Roman" w:hint="eastAsia"/>
        </w:rPr>
        <w:t>肉毒毒素注射治疗后的康复治疗技术。</w:t>
      </w:r>
    </w:p>
    <w:p w:rsidR="003717A0" w:rsidRDefault="003717A0">
      <w:pPr>
        <w:numPr>
          <w:ilvl w:val="0"/>
          <w:numId w:val="510"/>
        </w:numPr>
        <w:adjustRightInd w:val="0"/>
        <w:snapToGrid w:val="0"/>
        <w:spacing w:line="360" w:lineRule="auto"/>
        <w:ind w:left="0" w:right="4" w:firstLine="720"/>
        <w:rPr>
          <w:rFonts w:ascii="Times New Roman" w:hAnsi="Times New Roman"/>
        </w:rPr>
      </w:pPr>
      <w:r>
        <w:rPr>
          <w:rFonts w:ascii="Times New Roman" w:hint="eastAsia"/>
        </w:rPr>
        <w:t>肉毒毒素注射治疗有效性的评估。</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Ansi="Times New Roman" w:hint="eastAsia"/>
          <w:b/>
        </w:rPr>
        <w:t>目的要求</w:t>
      </w:r>
    </w:p>
    <w:p w:rsidR="003717A0" w:rsidRDefault="003717A0">
      <w:pPr>
        <w:numPr>
          <w:ilvl w:val="0"/>
          <w:numId w:val="511"/>
        </w:numPr>
        <w:adjustRightInd w:val="0"/>
        <w:snapToGrid w:val="0"/>
        <w:spacing w:line="360" w:lineRule="auto"/>
        <w:ind w:right="4" w:firstLine="300"/>
        <w:rPr>
          <w:rFonts w:ascii="Times New Roman"/>
        </w:rPr>
      </w:pPr>
      <w:r>
        <w:rPr>
          <w:rFonts w:ascii="Times New Roman" w:cs="Times New Roman" w:hint="eastAsia"/>
        </w:rPr>
        <w:t>了解</w:t>
      </w:r>
      <w:r>
        <w:rPr>
          <w:rFonts w:ascii="Times New Roman" w:hint="eastAsia"/>
        </w:rPr>
        <w:t>肉毒毒素注射在痉挛治疗中的总体原则。</w:t>
      </w:r>
    </w:p>
    <w:p w:rsidR="003717A0" w:rsidRDefault="003717A0">
      <w:pPr>
        <w:numPr>
          <w:ilvl w:val="0"/>
          <w:numId w:val="511"/>
        </w:numPr>
        <w:adjustRightInd w:val="0"/>
        <w:snapToGrid w:val="0"/>
        <w:spacing w:line="360" w:lineRule="auto"/>
        <w:ind w:right="4" w:firstLine="300"/>
        <w:rPr>
          <w:rFonts w:ascii="Times New Roman" w:hAnsi="Times New Roman"/>
        </w:rPr>
      </w:pPr>
      <w:r>
        <w:rPr>
          <w:rFonts w:ascii="Times New Roman" w:hAnsi="Times New Roman" w:cs="Times New Roman" w:hint="eastAsia"/>
        </w:rPr>
        <w:t>熟悉</w:t>
      </w:r>
      <w:r>
        <w:rPr>
          <w:rFonts w:ascii="Times New Roman" w:hint="eastAsia"/>
        </w:rPr>
        <w:t>肉毒毒素注射治疗目标的确定与常用定位方法</w:t>
      </w:r>
      <w:r>
        <w:rPr>
          <w:rFonts w:ascii="Times New Roman" w:hAnsi="Times New Roman" w:hint="eastAsia"/>
        </w:rPr>
        <w:t>。</w:t>
      </w:r>
    </w:p>
    <w:p w:rsidR="003717A0" w:rsidRDefault="003717A0">
      <w:pPr>
        <w:numPr>
          <w:ilvl w:val="0"/>
          <w:numId w:val="511"/>
        </w:numPr>
        <w:adjustRightInd w:val="0"/>
        <w:snapToGrid w:val="0"/>
        <w:spacing w:line="360" w:lineRule="auto"/>
        <w:ind w:right="4" w:firstLine="300"/>
        <w:rPr>
          <w:rFonts w:ascii="Times New Roman" w:hAnsi="Times New Roman"/>
        </w:rPr>
      </w:pPr>
      <w:r>
        <w:rPr>
          <w:rFonts w:ascii="Times New Roman" w:hAnsi="Times New Roman" w:cs="Times New Roman" w:hint="eastAsia"/>
        </w:rPr>
        <w:t>熟悉</w:t>
      </w:r>
      <w:r>
        <w:rPr>
          <w:rFonts w:ascii="Times New Roman" w:hint="eastAsia"/>
        </w:rPr>
        <w:t>肉毒毒素注射技术</w:t>
      </w:r>
      <w:r>
        <w:rPr>
          <w:rFonts w:ascii="Times New Roman" w:hAnsi="Times New Roman" w:hint="eastAsia"/>
        </w:rPr>
        <w:t>。</w:t>
      </w:r>
    </w:p>
    <w:p w:rsidR="003717A0" w:rsidRDefault="003717A0">
      <w:pPr>
        <w:numPr>
          <w:ilvl w:val="0"/>
          <w:numId w:val="511"/>
        </w:numPr>
        <w:adjustRightInd w:val="0"/>
        <w:snapToGrid w:val="0"/>
        <w:spacing w:line="360" w:lineRule="auto"/>
        <w:ind w:right="4" w:firstLine="300"/>
        <w:rPr>
          <w:rFonts w:ascii="Times New Roman" w:hAnsi="Times New Roman"/>
          <w:sz w:val="22"/>
        </w:rPr>
      </w:pPr>
      <w:r>
        <w:rPr>
          <w:rFonts w:ascii="Times New Roman" w:cs="Times New Roman" w:hint="eastAsia"/>
        </w:rPr>
        <w:t>掌握肉毒毒素注射治疗后的康复治疗技术及功能评价</w:t>
      </w:r>
      <w:r>
        <w:rPr>
          <w:rFonts w:ascii="Times New Roman" w:hAnsi="Times New Roman" w:hint="eastAsia"/>
        </w:rPr>
        <w:t>。</w:t>
      </w:r>
    </w:p>
    <w:p w:rsidR="003717A0" w:rsidRDefault="003717A0" w:rsidP="005E20B5">
      <w:pPr>
        <w:adjustRightInd w:val="0"/>
        <w:snapToGrid w:val="0"/>
        <w:spacing w:beforeLines="50" w:line="360" w:lineRule="auto"/>
        <w:ind w:leftChars="-200" w:right="4" w:hangingChars="190" w:hanging="420"/>
        <w:jc w:val="center"/>
        <w:rPr>
          <w:b/>
          <w:sz w:val="22"/>
        </w:rPr>
      </w:pPr>
      <w:r>
        <w:rPr>
          <w:rFonts w:hint="eastAsia"/>
          <w:b/>
          <w:sz w:val="22"/>
        </w:rPr>
        <w:t>第四章</w:t>
      </w:r>
      <w:r>
        <w:rPr>
          <w:b/>
          <w:sz w:val="22"/>
        </w:rPr>
        <w:t xml:space="preserve">  </w:t>
      </w:r>
      <w:r>
        <w:rPr>
          <w:rFonts w:hint="eastAsia"/>
          <w:b/>
          <w:sz w:val="22"/>
        </w:rPr>
        <w:t>肉毒毒素注射在其它疾病中的应用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教学内容（</w:t>
      </w:r>
      <w:r>
        <w:rPr>
          <w:rFonts w:ascii="Times New Roman" w:hAnsi="Times New Roman"/>
          <w:b/>
        </w:rPr>
        <w:t>3</w:t>
      </w:r>
      <w:r>
        <w:rPr>
          <w:rFonts w:ascii="Times New Roman" w:hint="eastAsia"/>
          <w:b/>
        </w:rPr>
        <w:t>学时）</w:t>
      </w:r>
    </w:p>
    <w:p w:rsidR="003717A0" w:rsidRDefault="003717A0">
      <w:pPr>
        <w:numPr>
          <w:ilvl w:val="0"/>
          <w:numId w:val="512"/>
        </w:numPr>
        <w:tabs>
          <w:tab w:val="left" w:pos="1260"/>
        </w:tabs>
        <w:adjustRightInd w:val="0"/>
        <w:snapToGrid w:val="0"/>
        <w:spacing w:line="360" w:lineRule="auto"/>
        <w:ind w:left="0" w:rightChars="2" w:right="4" w:firstLine="720"/>
        <w:rPr>
          <w:rFonts w:ascii="Times New Roman"/>
        </w:rPr>
      </w:pPr>
      <w:r>
        <w:rPr>
          <w:rFonts w:ascii="Times New Roman" w:hint="eastAsia"/>
        </w:rPr>
        <w:t>肉毒毒素注射在神经系统疾病治疗中的应用。</w:t>
      </w:r>
    </w:p>
    <w:p w:rsidR="003717A0" w:rsidRDefault="003717A0">
      <w:pPr>
        <w:numPr>
          <w:ilvl w:val="0"/>
          <w:numId w:val="512"/>
        </w:numPr>
        <w:tabs>
          <w:tab w:val="left" w:pos="1260"/>
        </w:tabs>
        <w:adjustRightInd w:val="0"/>
        <w:snapToGrid w:val="0"/>
        <w:spacing w:line="360" w:lineRule="auto"/>
        <w:ind w:left="0" w:rightChars="2" w:right="4" w:firstLine="720"/>
        <w:rPr>
          <w:rFonts w:ascii="Times New Roman" w:hAnsi="Times New Roman"/>
        </w:rPr>
      </w:pPr>
      <w:r>
        <w:rPr>
          <w:rFonts w:ascii="Times New Roman" w:hint="eastAsia"/>
        </w:rPr>
        <w:t>肉毒毒素注射在疼痛治疗中的应用。</w:t>
      </w:r>
    </w:p>
    <w:p w:rsidR="003717A0" w:rsidRDefault="003717A0">
      <w:pPr>
        <w:pStyle w:val="a8"/>
        <w:numPr>
          <w:ilvl w:val="0"/>
          <w:numId w:val="512"/>
        </w:numPr>
        <w:tabs>
          <w:tab w:val="left" w:pos="1260"/>
        </w:tabs>
        <w:adjustRightInd w:val="0"/>
        <w:snapToGrid w:val="0"/>
        <w:spacing w:line="360" w:lineRule="auto"/>
        <w:ind w:left="0" w:rightChars="2" w:right="4" w:firstLine="720"/>
        <w:jc w:val="both"/>
        <w:rPr>
          <w:sz w:val="21"/>
        </w:rPr>
      </w:pPr>
      <w:r>
        <w:rPr>
          <w:rFonts w:hint="eastAsia"/>
          <w:sz w:val="21"/>
        </w:rPr>
        <w:t>肉毒毒素注射在神经源性膀胱治疗中的应用。</w:t>
      </w:r>
    </w:p>
    <w:p w:rsidR="003717A0" w:rsidRDefault="003717A0">
      <w:pPr>
        <w:numPr>
          <w:ilvl w:val="0"/>
          <w:numId w:val="512"/>
        </w:numPr>
        <w:tabs>
          <w:tab w:val="left" w:pos="1260"/>
        </w:tabs>
        <w:adjustRightInd w:val="0"/>
        <w:snapToGrid w:val="0"/>
        <w:spacing w:line="360" w:lineRule="auto"/>
        <w:ind w:left="0" w:rightChars="2" w:right="4" w:firstLine="720"/>
        <w:rPr>
          <w:rFonts w:ascii="Times New Roman" w:hAnsi="Times New Roman"/>
        </w:rPr>
      </w:pPr>
      <w:r>
        <w:rPr>
          <w:rFonts w:ascii="Times New Roman" w:hint="eastAsia"/>
        </w:rPr>
        <w:t>肉毒毒素注射在五官科及美容治疗中的应用。</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numPr>
          <w:ilvl w:val="0"/>
          <w:numId w:val="513"/>
        </w:numPr>
        <w:tabs>
          <w:tab w:val="clear" w:pos="1860"/>
          <w:tab w:val="left" w:pos="1260"/>
        </w:tabs>
        <w:adjustRightInd w:val="0"/>
        <w:snapToGrid w:val="0"/>
        <w:spacing w:line="360" w:lineRule="auto"/>
        <w:ind w:left="1260" w:right="4" w:hanging="540"/>
        <w:rPr>
          <w:rFonts w:ascii="Times New Roman" w:hAnsi="Times New Roman"/>
        </w:rPr>
      </w:pPr>
      <w:r>
        <w:rPr>
          <w:rFonts w:ascii="Times New Roman" w:hint="eastAsia"/>
        </w:rPr>
        <w:t>掌握肉毒毒素注射在神经系统疾病及疼痛治疗中的应用。</w:t>
      </w:r>
    </w:p>
    <w:p w:rsidR="003717A0" w:rsidRDefault="003717A0">
      <w:pPr>
        <w:numPr>
          <w:ilvl w:val="0"/>
          <w:numId w:val="513"/>
        </w:numPr>
        <w:tabs>
          <w:tab w:val="clear" w:pos="1860"/>
          <w:tab w:val="left" w:pos="1260"/>
        </w:tabs>
        <w:adjustRightInd w:val="0"/>
        <w:snapToGrid w:val="0"/>
        <w:spacing w:line="360" w:lineRule="auto"/>
        <w:ind w:left="1260" w:right="4" w:hanging="540"/>
        <w:rPr>
          <w:rFonts w:ascii="Times New Roman" w:hAnsi="Times New Roman"/>
        </w:rPr>
      </w:pPr>
      <w:r>
        <w:rPr>
          <w:rFonts w:ascii="Times New Roman" w:hint="eastAsia"/>
        </w:rPr>
        <w:t>了解肉毒毒素注射在其它疾病治疗中的应用。</w:t>
      </w:r>
    </w:p>
    <w:p w:rsidR="003717A0" w:rsidRDefault="003717A0" w:rsidP="005E20B5">
      <w:pPr>
        <w:adjustRightInd w:val="0"/>
        <w:snapToGrid w:val="0"/>
        <w:spacing w:beforeLines="50" w:line="360" w:lineRule="auto"/>
        <w:ind w:right="6"/>
        <w:jc w:val="center"/>
        <w:rPr>
          <w:b/>
          <w:sz w:val="22"/>
        </w:rPr>
      </w:pPr>
      <w:r>
        <w:rPr>
          <w:rFonts w:hint="eastAsia"/>
          <w:b/>
          <w:sz w:val="22"/>
        </w:rPr>
        <w:t>第五章</w:t>
      </w:r>
      <w:r>
        <w:rPr>
          <w:b/>
          <w:sz w:val="22"/>
        </w:rPr>
        <w:t xml:space="preserve">  </w:t>
      </w:r>
      <w:r>
        <w:rPr>
          <w:rFonts w:hint="eastAsia"/>
          <w:b/>
          <w:sz w:val="22"/>
        </w:rPr>
        <w:t>临床病例分析及操作演示</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实习内容（</w:t>
      </w:r>
      <w:r>
        <w:rPr>
          <w:rFonts w:ascii="Times New Roman" w:hAnsi="Times New Roman"/>
          <w:b/>
        </w:rPr>
        <w:t>3</w:t>
      </w:r>
      <w:r>
        <w:rPr>
          <w:rFonts w:ascii="Times New Roman" w:hint="eastAsia"/>
          <w:b/>
        </w:rPr>
        <w:t>学时）</w:t>
      </w:r>
    </w:p>
    <w:p w:rsidR="003717A0" w:rsidRDefault="003717A0">
      <w:pPr>
        <w:numPr>
          <w:ilvl w:val="0"/>
          <w:numId w:val="514"/>
        </w:numPr>
        <w:tabs>
          <w:tab w:val="left" w:pos="1800"/>
        </w:tabs>
        <w:adjustRightInd w:val="0"/>
        <w:snapToGrid w:val="0"/>
        <w:spacing w:line="360" w:lineRule="auto"/>
        <w:ind w:left="0" w:right="4" w:firstLine="720"/>
        <w:rPr>
          <w:rFonts w:ascii="Times New Roman" w:hAnsi="Times New Roman"/>
        </w:rPr>
      </w:pPr>
      <w:r>
        <w:rPr>
          <w:rFonts w:ascii="Times New Roman" w:hAnsi="Times New Roman" w:hint="eastAsia"/>
        </w:rPr>
        <w:lastRenderedPageBreak/>
        <w:t>肉毒毒素注射治疗知情同意书。</w:t>
      </w:r>
    </w:p>
    <w:p w:rsidR="003717A0" w:rsidRDefault="003717A0">
      <w:pPr>
        <w:numPr>
          <w:ilvl w:val="0"/>
          <w:numId w:val="514"/>
        </w:numPr>
        <w:tabs>
          <w:tab w:val="left" w:pos="1800"/>
        </w:tabs>
        <w:adjustRightInd w:val="0"/>
        <w:snapToGrid w:val="0"/>
        <w:spacing w:line="360" w:lineRule="auto"/>
        <w:ind w:left="0" w:right="4" w:firstLine="720"/>
        <w:rPr>
          <w:rFonts w:ascii="Times New Roman" w:hAnsi="Times New Roman"/>
        </w:rPr>
      </w:pPr>
      <w:r>
        <w:rPr>
          <w:rFonts w:ascii="Times New Roman" w:hAnsi="Times New Roman" w:hint="eastAsia"/>
        </w:rPr>
        <w:t>痉挛的评定量表。</w:t>
      </w:r>
    </w:p>
    <w:p w:rsidR="003717A0" w:rsidRDefault="003717A0">
      <w:pPr>
        <w:numPr>
          <w:ilvl w:val="0"/>
          <w:numId w:val="514"/>
        </w:numPr>
        <w:tabs>
          <w:tab w:val="left" w:pos="1800"/>
        </w:tabs>
        <w:adjustRightInd w:val="0"/>
        <w:snapToGrid w:val="0"/>
        <w:spacing w:line="360" w:lineRule="auto"/>
        <w:ind w:left="0" w:right="4" w:firstLine="720"/>
        <w:rPr>
          <w:rFonts w:ascii="Times New Roman" w:hAnsi="Times New Roman"/>
        </w:rPr>
      </w:pPr>
      <w:r>
        <w:rPr>
          <w:rFonts w:ascii="Times New Roman" w:hint="eastAsia"/>
        </w:rPr>
        <w:t>临床病例分析。</w:t>
      </w:r>
    </w:p>
    <w:p w:rsidR="003717A0" w:rsidRDefault="003717A0">
      <w:pPr>
        <w:numPr>
          <w:ilvl w:val="0"/>
          <w:numId w:val="514"/>
        </w:numPr>
        <w:tabs>
          <w:tab w:val="left" w:pos="1800"/>
        </w:tabs>
        <w:adjustRightInd w:val="0"/>
        <w:snapToGrid w:val="0"/>
        <w:spacing w:line="360" w:lineRule="auto"/>
        <w:ind w:left="0" w:right="4" w:firstLine="720"/>
        <w:rPr>
          <w:rFonts w:ascii="Times New Roman" w:hAnsi="Times New Roman"/>
        </w:rPr>
      </w:pPr>
      <w:r>
        <w:rPr>
          <w:rFonts w:ascii="Times New Roman" w:hint="eastAsia"/>
        </w:rPr>
        <w:t>肉毒毒素注射治疗演示。</w:t>
      </w:r>
    </w:p>
    <w:p w:rsidR="003717A0" w:rsidRDefault="003717A0">
      <w:pPr>
        <w:adjustRightInd w:val="0"/>
        <w:snapToGrid w:val="0"/>
        <w:spacing w:line="360" w:lineRule="auto"/>
        <w:ind w:right="6" w:firstLineChars="200" w:firstLine="422"/>
        <w:rPr>
          <w:rFonts w:ascii="Times New Roman" w:hAnsi="Times New Roman"/>
          <w:b/>
        </w:rPr>
      </w:pPr>
      <w:r>
        <w:rPr>
          <w:rFonts w:ascii="Times New Roman" w:hint="eastAsia"/>
          <w:b/>
        </w:rPr>
        <w:t>目的要求</w:t>
      </w:r>
    </w:p>
    <w:p w:rsidR="003717A0" w:rsidRDefault="003717A0">
      <w:pPr>
        <w:numPr>
          <w:ilvl w:val="0"/>
          <w:numId w:val="515"/>
        </w:numPr>
        <w:adjustRightInd w:val="0"/>
        <w:snapToGrid w:val="0"/>
        <w:spacing w:line="360" w:lineRule="auto"/>
        <w:ind w:rightChars="2" w:right="4" w:firstLine="300"/>
        <w:rPr>
          <w:rFonts w:ascii="Times New Roman"/>
        </w:rPr>
      </w:pPr>
      <w:r>
        <w:rPr>
          <w:rFonts w:ascii="Times New Roman" w:cs="Times New Roman" w:hint="eastAsia"/>
        </w:rPr>
        <w:t>独立判断肉毒毒素治疗的适应症。</w:t>
      </w:r>
    </w:p>
    <w:p w:rsidR="003717A0" w:rsidRDefault="003717A0">
      <w:pPr>
        <w:numPr>
          <w:ilvl w:val="0"/>
          <w:numId w:val="515"/>
        </w:numPr>
        <w:adjustRightInd w:val="0"/>
        <w:snapToGrid w:val="0"/>
        <w:spacing w:line="360" w:lineRule="auto"/>
        <w:ind w:rightChars="2" w:right="4" w:firstLine="300"/>
        <w:rPr>
          <w:rFonts w:ascii="Times New Roman" w:hAnsi="Times New Roman"/>
        </w:rPr>
      </w:pPr>
      <w:r>
        <w:rPr>
          <w:rFonts w:ascii="Times New Roman" w:cs="Times New Roman" w:hint="eastAsia"/>
        </w:rPr>
        <w:t>熟悉肉毒毒素注射治疗的基本过程。</w:t>
      </w:r>
    </w:p>
    <w:p w:rsidR="003717A0" w:rsidRDefault="003717A0">
      <w:pPr>
        <w:adjustRightInd w:val="0"/>
        <w:snapToGrid w:val="0"/>
        <w:spacing w:line="360" w:lineRule="auto"/>
        <w:ind w:left="709" w:right="4"/>
      </w:pPr>
    </w:p>
    <w:p w:rsidR="003717A0" w:rsidRDefault="003717A0">
      <w:pPr>
        <w:adjustRightInd w:val="0"/>
        <w:snapToGrid w:val="0"/>
        <w:spacing w:line="360" w:lineRule="auto"/>
        <w:jc w:val="center"/>
        <w:rPr>
          <w:b/>
          <w:bCs/>
          <w:sz w:val="28"/>
          <w:szCs w:val="28"/>
        </w:rPr>
      </w:pPr>
      <w:r>
        <w:rPr>
          <w:rFonts w:hint="eastAsia"/>
          <w:b/>
          <w:bCs/>
          <w:sz w:val="28"/>
          <w:szCs w:val="28"/>
        </w:rPr>
        <w:t>理论课学时分配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544"/>
        <w:gridCol w:w="992"/>
        <w:gridCol w:w="2693"/>
        <w:gridCol w:w="851"/>
      </w:tblGrid>
      <w:tr w:rsidR="003717A0">
        <w:tc>
          <w:tcPr>
            <w:tcW w:w="817" w:type="dxa"/>
            <w:vAlign w:val="center"/>
          </w:tcPr>
          <w:p w:rsidR="003717A0" w:rsidRDefault="003717A0">
            <w:pPr>
              <w:jc w:val="center"/>
              <w:rPr>
                <w:sz w:val="24"/>
              </w:rPr>
            </w:pPr>
            <w:r>
              <w:rPr>
                <w:rFonts w:hint="eastAsia"/>
                <w:sz w:val="24"/>
              </w:rPr>
              <w:t>序号</w:t>
            </w:r>
          </w:p>
        </w:tc>
        <w:tc>
          <w:tcPr>
            <w:tcW w:w="3544"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992" w:type="dxa"/>
            <w:vAlign w:val="center"/>
          </w:tcPr>
          <w:p w:rsidR="003717A0" w:rsidRDefault="003717A0">
            <w:pPr>
              <w:jc w:val="center"/>
              <w:rPr>
                <w:sz w:val="24"/>
              </w:rPr>
            </w:pPr>
            <w:r>
              <w:rPr>
                <w:rFonts w:hint="eastAsia"/>
                <w:sz w:val="24"/>
              </w:rPr>
              <w:t>学时</w:t>
            </w:r>
          </w:p>
        </w:tc>
        <w:tc>
          <w:tcPr>
            <w:tcW w:w="2693"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544" w:type="dxa"/>
          </w:tcPr>
          <w:p w:rsidR="003717A0" w:rsidRDefault="003717A0">
            <w:pPr>
              <w:ind w:firstLineChars="53" w:firstLine="111"/>
              <w:rPr>
                <w:rFonts w:ascii="Times New Roman" w:hAnsi="Times New Roman"/>
              </w:rPr>
            </w:pPr>
            <w:r>
              <w:rPr>
                <w:rFonts w:ascii="Times New Roman" w:hint="eastAsia"/>
              </w:rPr>
              <w:t>肉毒毒素的基本知识</w:t>
            </w:r>
          </w:p>
        </w:tc>
        <w:tc>
          <w:tcPr>
            <w:tcW w:w="992" w:type="dxa"/>
            <w:vAlign w:val="center"/>
          </w:tcPr>
          <w:p w:rsidR="003717A0" w:rsidRDefault="003717A0">
            <w:pPr>
              <w:jc w:val="center"/>
              <w:rPr>
                <w:rFonts w:ascii="Times New Roman" w:hAnsi="Times New Roman"/>
              </w:rPr>
            </w:pPr>
            <w:r>
              <w:rPr>
                <w:rFonts w:ascii="Times New Roman" w:hAnsi="Times New Roman"/>
              </w:rPr>
              <w:t>3</w:t>
            </w:r>
          </w:p>
        </w:tc>
        <w:tc>
          <w:tcPr>
            <w:tcW w:w="2693"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544" w:type="dxa"/>
          </w:tcPr>
          <w:p w:rsidR="003717A0" w:rsidRDefault="003717A0">
            <w:pPr>
              <w:ind w:firstLineChars="53" w:firstLine="111"/>
              <w:rPr>
                <w:rFonts w:ascii="Times New Roman" w:hAnsi="Times New Roman"/>
              </w:rPr>
            </w:pPr>
            <w:r>
              <w:rPr>
                <w:rFonts w:ascii="Times New Roman" w:hint="eastAsia"/>
              </w:rPr>
              <w:t>痉挛及其评定与治疗</w:t>
            </w:r>
          </w:p>
        </w:tc>
        <w:tc>
          <w:tcPr>
            <w:tcW w:w="992" w:type="dxa"/>
            <w:vAlign w:val="center"/>
          </w:tcPr>
          <w:p w:rsidR="003717A0" w:rsidRDefault="003717A0">
            <w:pPr>
              <w:jc w:val="center"/>
              <w:rPr>
                <w:rFonts w:ascii="Times New Roman" w:hAnsi="Times New Roman"/>
              </w:rPr>
            </w:pPr>
            <w:r>
              <w:rPr>
                <w:rFonts w:ascii="Times New Roman" w:hAnsi="Times New Roman"/>
              </w:rPr>
              <w:t>3</w:t>
            </w:r>
          </w:p>
        </w:tc>
        <w:tc>
          <w:tcPr>
            <w:tcW w:w="2693"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544" w:type="dxa"/>
          </w:tcPr>
          <w:p w:rsidR="003717A0" w:rsidRDefault="003717A0">
            <w:pPr>
              <w:ind w:firstLineChars="53" w:firstLine="111"/>
              <w:rPr>
                <w:rFonts w:ascii="Times New Roman" w:hAnsi="Times New Roman"/>
              </w:rPr>
            </w:pPr>
            <w:r>
              <w:rPr>
                <w:rFonts w:ascii="Times New Roman" w:hint="eastAsia"/>
              </w:rPr>
              <w:t>肉毒毒素注射在痉挛治疗中的应用</w:t>
            </w:r>
          </w:p>
        </w:tc>
        <w:tc>
          <w:tcPr>
            <w:tcW w:w="992" w:type="dxa"/>
            <w:vAlign w:val="center"/>
          </w:tcPr>
          <w:p w:rsidR="003717A0" w:rsidRDefault="003717A0">
            <w:pPr>
              <w:jc w:val="center"/>
              <w:rPr>
                <w:rFonts w:ascii="Times New Roman" w:hAnsi="Times New Roman"/>
              </w:rPr>
            </w:pPr>
            <w:r>
              <w:rPr>
                <w:rFonts w:ascii="Times New Roman" w:hAnsi="Times New Roman"/>
              </w:rPr>
              <w:t>6</w:t>
            </w:r>
          </w:p>
        </w:tc>
        <w:tc>
          <w:tcPr>
            <w:tcW w:w="2693"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544" w:type="dxa"/>
          </w:tcPr>
          <w:p w:rsidR="003717A0" w:rsidRDefault="003717A0">
            <w:pPr>
              <w:ind w:firstLineChars="53" w:firstLine="111"/>
              <w:rPr>
                <w:rFonts w:ascii="Times New Roman" w:hAnsi="Times New Roman"/>
              </w:rPr>
            </w:pPr>
            <w:r>
              <w:rPr>
                <w:rFonts w:ascii="Times New Roman" w:hint="eastAsia"/>
              </w:rPr>
              <w:t>肉毒毒素注射在其它疾病中的应用</w:t>
            </w:r>
          </w:p>
        </w:tc>
        <w:tc>
          <w:tcPr>
            <w:tcW w:w="992" w:type="dxa"/>
            <w:vAlign w:val="center"/>
          </w:tcPr>
          <w:p w:rsidR="003717A0" w:rsidRDefault="003717A0">
            <w:pPr>
              <w:jc w:val="center"/>
              <w:rPr>
                <w:rFonts w:ascii="Times New Roman" w:hAnsi="Times New Roman"/>
              </w:rPr>
            </w:pPr>
            <w:r>
              <w:rPr>
                <w:rFonts w:ascii="Times New Roman" w:hAnsi="Times New Roman"/>
              </w:rPr>
              <w:t>3</w:t>
            </w:r>
          </w:p>
        </w:tc>
        <w:tc>
          <w:tcPr>
            <w:tcW w:w="2693"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544" w:type="dxa"/>
          </w:tcPr>
          <w:p w:rsidR="003717A0" w:rsidRDefault="003717A0">
            <w:pPr>
              <w:ind w:firstLineChars="53" w:firstLine="111"/>
              <w:rPr>
                <w:rFonts w:ascii="Times New Roman" w:hAnsi="Times New Roman"/>
              </w:rPr>
            </w:pPr>
            <w:r>
              <w:rPr>
                <w:rFonts w:ascii="Times New Roman" w:hint="eastAsia"/>
              </w:rPr>
              <w:t>合计</w:t>
            </w:r>
          </w:p>
        </w:tc>
        <w:tc>
          <w:tcPr>
            <w:tcW w:w="992" w:type="dxa"/>
            <w:vAlign w:val="center"/>
          </w:tcPr>
          <w:p w:rsidR="003717A0" w:rsidRDefault="003717A0">
            <w:pPr>
              <w:jc w:val="center"/>
              <w:rPr>
                <w:rFonts w:ascii="Times New Roman" w:hAnsi="Times New Roman"/>
              </w:rPr>
            </w:pPr>
            <w:r>
              <w:rPr>
                <w:rFonts w:ascii="Times New Roman" w:hAnsi="Times New Roman"/>
              </w:rPr>
              <w:t>15</w:t>
            </w:r>
          </w:p>
        </w:tc>
        <w:tc>
          <w:tcPr>
            <w:tcW w:w="2693" w:type="dxa"/>
          </w:tcPr>
          <w:p w:rsidR="003717A0" w:rsidRDefault="003717A0"/>
        </w:tc>
        <w:tc>
          <w:tcPr>
            <w:tcW w:w="851" w:type="dxa"/>
          </w:tcPr>
          <w:p w:rsidR="003717A0" w:rsidRDefault="003717A0"/>
        </w:tc>
      </w:tr>
    </w:tbl>
    <w:p w:rsidR="003717A0" w:rsidRDefault="003717A0">
      <w:pPr>
        <w:adjustRightInd w:val="0"/>
        <w:snapToGrid w:val="0"/>
        <w:spacing w:line="360" w:lineRule="auto"/>
        <w:jc w:val="center"/>
      </w:pPr>
    </w:p>
    <w:p w:rsidR="003717A0" w:rsidRDefault="003717A0">
      <w:pPr>
        <w:adjustRightInd w:val="0"/>
        <w:snapToGrid w:val="0"/>
        <w:spacing w:line="360" w:lineRule="auto"/>
        <w:jc w:val="center"/>
        <w:rPr>
          <w:b/>
          <w:bCs/>
          <w:sz w:val="28"/>
          <w:szCs w:val="28"/>
        </w:rPr>
      </w:pPr>
      <w:r>
        <w:rPr>
          <w:rFonts w:hint="eastAsia"/>
          <w:b/>
          <w:bCs/>
          <w:sz w:val="28"/>
          <w:szCs w:val="28"/>
        </w:rPr>
        <w:t>实验课学时分配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544"/>
        <w:gridCol w:w="992"/>
        <w:gridCol w:w="2693"/>
        <w:gridCol w:w="851"/>
      </w:tblGrid>
      <w:tr w:rsidR="003717A0">
        <w:tc>
          <w:tcPr>
            <w:tcW w:w="817" w:type="dxa"/>
            <w:vAlign w:val="center"/>
          </w:tcPr>
          <w:p w:rsidR="003717A0" w:rsidRDefault="003717A0">
            <w:pPr>
              <w:adjustRightInd w:val="0"/>
              <w:snapToGrid w:val="0"/>
              <w:jc w:val="center"/>
              <w:rPr>
                <w:sz w:val="24"/>
              </w:rPr>
            </w:pPr>
            <w:r>
              <w:rPr>
                <w:rFonts w:hint="eastAsia"/>
                <w:sz w:val="24"/>
              </w:rPr>
              <w:t>序号</w:t>
            </w:r>
          </w:p>
        </w:tc>
        <w:tc>
          <w:tcPr>
            <w:tcW w:w="3544" w:type="dxa"/>
            <w:vAlign w:val="center"/>
          </w:tcPr>
          <w:p w:rsidR="003717A0" w:rsidRDefault="003717A0">
            <w:pPr>
              <w:adjustRightInd w:val="0"/>
              <w:snapToGrid w:val="0"/>
              <w:jc w:val="center"/>
              <w:rPr>
                <w:sz w:val="24"/>
              </w:rPr>
            </w:pPr>
            <w:r>
              <w:rPr>
                <w:rFonts w:hint="eastAsia"/>
                <w:sz w:val="24"/>
              </w:rPr>
              <w:t>实验内容</w:t>
            </w:r>
          </w:p>
        </w:tc>
        <w:tc>
          <w:tcPr>
            <w:tcW w:w="992" w:type="dxa"/>
            <w:vAlign w:val="center"/>
          </w:tcPr>
          <w:p w:rsidR="003717A0" w:rsidRDefault="003717A0">
            <w:pPr>
              <w:adjustRightInd w:val="0"/>
              <w:snapToGrid w:val="0"/>
              <w:jc w:val="center"/>
              <w:rPr>
                <w:sz w:val="24"/>
              </w:rPr>
            </w:pPr>
            <w:r>
              <w:rPr>
                <w:rFonts w:hint="eastAsia"/>
                <w:sz w:val="24"/>
              </w:rPr>
              <w:t>学时</w:t>
            </w:r>
          </w:p>
        </w:tc>
        <w:tc>
          <w:tcPr>
            <w:tcW w:w="2693" w:type="dxa"/>
            <w:vAlign w:val="center"/>
          </w:tcPr>
          <w:p w:rsidR="003717A0" w:rsidRDefault="003717A0">
            <w:pPr>
              <w:adjustRightInd w:val="0"/>
              <w:snapToGrid w:val="0"/>
              <w:jc w:val="center"/>
              <w:rPr>
                <w:sz w:val="24"/>
              </w:rPr>
            </w:pPr>
            <w:r>
              <w:rPr>
                <w:rFonts w:hint="eastAsia"/>
                <w:sz w:val="24"/>
              </w:rPr>
              <w:t>作业</w:t>
            </w:r>
          </w:p>
        </w:tc>
        <w:tc>
          <w:tcPr>
            <w:tcW w:w="851" w:type="dxa"/>
            <w:vAlign w:val="center"/>
          </w:tcPr>
          <w:p w:rsidR="003717A0" w:rsidRDefault="003717A0">
            <w:pPr>
              <w:adjustRightInd w:val="0"/>
              <w:snapToGrid w:val="0"/>
              <w:jc w:val="center"/>
              <w:rPr>
                <w:sz w:val="24"/>
              </w:rPr>
            </w:pPr>
            <w:r>
              <w:rPr>
                <w:rFonts w:hint="eastAsia"/>
                <w:sz w:val="24"/>
              </w:rPr>
              <w:t>备注</w:t>
            </w:r>
          </w:p>
        </w:tc>
      </w:tr>
      <w:tr w:rsidR="003717A0">
        <w:tc>
          <w:tcPr>
            <w:tcW w:w="817" w:type="dxa"/>
            <w:vAlign w:val="center"/>
          </w:tcPr>
          <w:p w:rsidR="003717A0" w:rsidRDefault="003717A0">
            <w:pPr>
              <w:jc w:val="center"/>
              <w:rPr>
                <w:rFonts w:ascii="Times New Roman" w:hAnsi="Times New Roman"/>
              </w:rPr>
            </w:pPr>
            <w:r>
              <w:rPr>
                <w:rFonts w:ascii="Times New Roman" w:hAnsi="Times New Roman"/>
              </w:rPr>
              <w:t>1</w:t>
            </w:r>
          </w:p>
        </w:tc>
        <w:tc>
          <w:tcPr>
            <w:tcW w:w="3544" w:type="dxa"/>
            <w:vAlign w:val="center"/>
          </w:tcPr>
          <w:p w:rsidR="003717A0" w:rsidRDefault="003717A0">
            <w:pPr>
              <w:ind w:firstLineChars="53" w:firstLine="111"/>
              <w:rPr>
                <w:rFonts w:ascii="Times New Roman" w:hAnsi="Times New Roman"/>
              </w:rPr>
            </w:pPr>
            <w:r>
              <w:rPr>
                <w:rFonts w:ascii="Times New Roman" w:hint="eastAsia"/>
              </w:rPr>
              <w:t>临床病例分析及操作演示</w:t>
            </w:r>
          </w:p>
        </w:tc>
        <w:tc>
          <w:tcPr>
            <w:tcW w:w="992" w:type="dxa"/>
            <w:vAlign w:val="center"/>
          </w:tcPr>
          <w:p w:rsidR="003717A0" w:rsidRDefault="003717A0">
            <w:pPr>
              <w:jc w:val="center"/>
              <w:rPr>
                <w:rFonts w:ascii="Times New Roman" w:hAnsi="Times New Roman"/>
              </w:rPr>
            </w:pPr>
            <w:r>
              <w:rPr>
                <w:rFonts w:ascii="Times New Roman" w:hAnsi="Times New Roman"/>
              </w:rPr>
              <w:t>3</w:t>
            </w:r>
          </w:p>
        </w:tc>
        <w:tc>
          <w:tcPr>
            <w:tcW w:w="2693" w:type="dxa"/>
            <w:vAlign w:val="center"/>
          </w:tcPr>
          <w:p w:rsidR="003717A0" w:rsidRDefault="003717A0">
            <w:pPr>
              <w:rPr>
                <w:rFonts w:ascii="Times New Roman" w:hAnsi="Times New Roman"/>
              </w:rPr>
            </w:pPr>
          </w:p>
        </w:tc>
        <w:tc>
          <w:tcPr>
            <w:tcW w:w="851" w:type="dxa"/>
          </w:tcPr>
          <w:p w:rsidR="003717A0" w:rsidRDefault="003717A0"/>
        </w:tc>
      </w:tr>
      <w:tr w:rsidR="003717A0">
        <w:tc>
          <w:tcPr>
            <w:tcW w:w="817" w:type="dxa"/>
          </w:tcPr>
          <w:p w:rsidR="003717A0" w:rsidRDefault="003717A0">
            <w:pPr>
              <w:rPr>
                <w:rFonts w:ascii="Times New Roman" w:hAnsi="Times New Roman"/>
              </w:rPr>
            </w:pPr>
          </w:p>
        </w:tc>
        <w:tc>
          <w:tcPr>
            <w:tcW w:w="3544" w:type="dxa"/>
          </w:tcPr>
          <w:p w:rsidR="003717A0" w:rsidRDefault="003717A0">
            <w:pPr>
              <w:ind w:firstLineChars="53" w:firstLine="111"/>
              <w:rPr>
                <w:rFonts w:ascii="Times New Roman" w:hAnsi="Times New Roman"/>
              </w:rPr>
            </w:pPr>
            <w:r>
              <w:rPr>
                <w:rFonts w:ascii="Times New Roman" w:hint="eastAsia"/>
              </w:rPr>
              <w:t>合计</w:t>
            </w:r>
          </w:p>
        </w:tc>
        <w:tc>
          <w:tcPr>
            <w:tcW w:w="992" w:type="dxa"/>
            <w:vAlign w:val="center"/>
          </w:tcPr>
          <w:p w:rsidR="003717A0" w:rsidRDefault="003717A0">
            <w:pPr>
              <w:jc w:val="center"/>
              <w:rPr>
                <w:rFonts w:ascii="Times New Roman" w:hAnsi="Times New Roman"/>
              </w:rPr>
            </w:pPr>
            <w:r>
              <w:rPr>
                <w:rFonts w:ascii="Times New Roman" w:hAnsi="Times New Roman"/>
              </w:rPr>
              <w:t>3</w:t>
            </w:r>
          </w:p>
        </w:tc>
        <w:tc>
          <w:tcPr>
            <w:tcW w:w="2693" w:type="dxa"/>
          </w:tcPr>
          <w:p w:rsidR="003717A0" w:rsidRDefault="003717A0">
            <w:pPr>
              <w:rPr>
                <w:rFonts w:ascii="Times New Roman" w:hAnsi="Times New Roman"/>
              </w:rPr>
            </w:pPr>
          </w:p>
        </w:tc>
        <w:tc>
          <w:tcPr>
            <w:tcW w:w="851" w:type="dxa"/>
          </w:tcPr>
          <w:p w:rsidR="003717A0" w:rsidRDefault="003717A0"/>
        </w:tc>
      </w:tr>
    </w:tbl>
    <w:p w:rsidR="003717A0" w:rsidRDefault="003717A0">
      <w:pPr>
        <w:adjustRightInd w:val="0"/>
        <w:snapToGrid w:val="0"/>
        <w:jc w:val="center"/>
        <w:rPr>
          <w:b/>
          <w:bCs/>
          <w:sz w:val="28"/>
          <w:szCs w:val="28"/>
        </w:rPr>
      </w:pP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多媒体教室、康复医学系实验室等；</w:t>
      </w:r>
    </w:p>
    <w:p w:rsidR="003717A0" w:rsidRDefault="003717A0">
      <w:pPr>
        <w:adjustRightInd w:val="0"/>
        <w:snapToGrid w:val="0"/>
        <w:spacing w:line="360" w:lineRule="auto"/>
        <w:ind w:right="4" w:firstLineChars="200" w:firstLine="420"/>
        <w:rPr>
          <w:rFonts w:ascii="Times New Roman"/>
        </w:rPr>
      </w:pPr>
      <w:r>
        <w:rPr>
          <w:rFonts w:ascii="Times New Roman" w:hint="eastAsia"/>
        </w:rPr>
        <w:t>多媒体教学课件、模型教具等。</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djustRightInd w:val="0"/>
        <w:snapToGrid w:val="0"/>
        <w:spacing w:line="360" w:lineRule="auto"/>
        <w:ind w:right="4" w:firstLineChars="200" w:firstLine="420"/>
        <w:rPr>
          <w:rFonts w:ascii="Times New Roman"/>
        </w:rPr>
      </w:pPr>
      <w:r>
        <w:rPr>
          <w:rFonts w:ascii="Times New Roman" w:hint="eastAsia"/>
        </w:rPr>
        <w:t>本课程考试采用开卷考查方法，时间为</w:t>
      </w:r>
      <w:r>
        <w:rPr>
          <w:rFonts w:ascii="Times New Roman"/>
        </w:rPr>
        <w:t xml:space="preserve">1 </w:t>
      </w:r>
      <w:r>
        <w:rPr>
          <w:rFonts w:ascii="Times New Roman" w:hint="eastAsia"/>
        </w:rPr>
        <w:t>小时。</w:t>
      </w:r>
    </w:p>
    <w:p w:rsidR="003717A0" w:rsidRDefault="003717A0">
      <w:pPr>
        <w:adjustRightInd w:val="0"/>
        <w:snapToGrid w:val="0"/>
        <w:spacing w:line="360" w:lineRule="auto"/>
        <w:ind w:right="4" w:firstLineChars="200" w:firstLine="420"/>
        <w:rPr>
          <w:rFonts w:ascii="Times New Roman"/>
        </w:rPr>
      </w:pPr>
      <w:r>
        <w:rPr>
          <w:rFonts w:ascii="Times New Roman" w:hint="eastAsia"/>
        </w:rPr>
        <w:t>期末考试成绩占总成绩的</w:t>
      </w:r>
      <w:r>
        <w:rPr>
          <w:rFonts w:ascii="Times New Roman"/>
        </w:rPr>
        <w:t>50%</w:t>
      </w:r>
      <w:r>
        <w:rPr>
          <w:rFonts w:ascii="Times New Roman" w:hint="eastAsia"/>
        </w:rPr>
        <w:t>。</w:t>
      </w:r>
    </w:p>
    <w:p w:rsidR="003717A0" w:rsidRDefault="003717A0">
      <w:pPr>
        <w:adjustRightInd w:val="0"/>
        <w:snapToGrid w:val="0"/>
        <w:spacing w:line="360" w:lineRule="auto"/>
        <w:ind w:right="4" w:firstLineChars="200" w:firstLine="420"/>
        <w:rPr>
          <w:rFonts w:ascii="Times New Roman"/>
        </w:rPr>
      </w:pPr>
      <w:r>
        <w:rPr>
          <w:rFonts w:ascii="Times New Roman" w:hint="eastAsia"/>
        </w:rPr>
        <w:t>平时成绩占总成绩的</w:t>
      </w:r>
      <w:r>
        <w:rPr>
          <w:rFonts w:ascii="Times New Roman"/>
        </w:rPr>
        <w:t>50%</w:t>
      </w:r>
      <w:r>
        <w:rPr>
          <w:rFonts w:ascii="Times New Roman" w:hint="eastAsia"/>
        </w:rPr>
        <w:t>，其中平时作业、课堂问答为</w:t>
      </w:r>
      <w:r>
        <w:rPr>
          <w:rFonts w:ascii="Times New Roman"/>
        </w:rPr>
        <w:t>30%</w:t>
      </w:r>
      <w:r>
        <w:rPr>
          <w:rFonts w:ascii="Times New Roman" w:hint="eastAsia"/>
        </w:rPr>
        <w:t>，出勤率为</w:t>
      </w:r>
      <w:r>
        <w:rPr>
          <w:rFonts w:ascii="Times New Roman"/>
        </w:rPr>
        <w:t>20%</w:t>
      </w:r>
      <w:r>
        <w:rPr>
          <w:rFonts w:ascii="Times New Roman" w:hint="eastAsia"/>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djustRightInd w:val="0"/>
        <w:snapToGrid w:val="0"/>
        <w:spacing w:line="360" w:lineRule="auto"/>
        <w:ind w:right="4" w:firstLineChars="200" w:firstLine="420"/>
        <w:rPr>
          <w:rFonts w:ascii="Times New Roman" w:hAnsi="Times New Roman"/>
        </w:rPr>
      </w:pPr>
      <w:r>
        <w:rPr>
          <w:rFonts w:ascii="Times New Roman" w:hAnsi="Times New Roman" w:hint="eastAsia"/>
        </w:rPr>
        <w:t>主要参考书及网页：</w:t>
      </w:r>
    </w:p>
    <w:p w:rsidR="003717A0" w:rsidRDefault="003717A0">
      <w:pPr>
        <w:numPr>
          <w:ilvl w:val="0"/>
          <w:numId w:val="516"/>
        </w:numPr>
        <w:adjustRightInd w:val="0"/>
        <w:snapToGrid w:val="0"/>
        <w:spacing w:line="360" w:lineRule="auto"/>
        <w:ind w:right="4"/>
        <w:rPr>
          <w:rFonts w:ascii="Times New Roman"/>
        </w:rPr>
      </w:pPr>
      <w:r>
        <w:rPr>
          <w:rFonts w:ascii="Times New Roman" w:hint="eastAsia"/>
        </w:rPr>
        <w:t>中国康复医学会，肉毒毒素治疗成人肢体肌痉挛中国指南（</w:t>
      </w:r>
      <w:r>
        <w:rPr>
          <w:rFonts w:ascii="Times New Roman"/>
        </w:rPr>
        <w:t>2010</w:t>
      </w:r>
      <w:r>
        <w:rPr>
          <w:rFonts w:ascii="Times New Roman" w:hint="eastAsia"/>
        </w:rPr>
        <w:t>），中国康复医学杂志，</w:t>
      </w:r>
      <w:r>
        <w:rPr>
          <w:rFonts w:ascii="Times New Roman"/>
        </w:rPr>
        <w:t>2010</w:t>
      </w:r>
      <w:r>
        <w:rPr>
          <w:rFonts w:ascii="Times New Roman" w:hint="eastAsia"/>
        </w:rPr>
        <w:t>年，第</w:t>
      </w:r>
      <w:r>
        <w:rPr>
          <w:rFonts w:ascii="Times New Roman"/>
        </w:rPr>
        <w:t>25</w:t>
      </w:r>
      <w:r>
        <w:rPr>
          <w:rFonts w:ascii="Times New Roman" w:hint="eastAsia"/>
        </w:rPr>
        <w:t>卷，第</w:t>
      </w:r>
      <w:r>
        <w:rPr>
          <w:rFonts w:ascii="Times New Roman"/>
        </w:rPr>
        <w:t>6</w:t>
      </w:r>
      <w:r>
        <w:rPr>
          <w:rFonts w:ascii="Times New Roman" w:hint="eastAsia"/>
        </w:rPr>
        <w:t>期，</w:t>
      </w:r>
      <w:r>
        <w:rPr>
          <w:rFonts w:ascii="Times New Roman"/>
        </w:rPr>
        <w:t>595-620</w:t>
      </w:r>
    </w:p>
    <w:p w:rsidR="003717A0" w:rsidRDefault="003717A0">
      <w:pPr>
        <w:numPr>
          <w:ilvl w:val="0"/>
          <w:numId w:val="516"/>
        </w:numPr>
        <w:adjustRightInd w:val="0"/>
        <w:snapToGrid w:val="0"/>
        <w:spacing w:line="360" w:lineRule="auto"/>
        <w:ind w:left="0" w:right="4" w:firstLine="480"/>
        <w:rPr>
          <w:rFonts w:ascii="Times New Roman"/>
        </w:rPr>
      </w:pPr>
      <w:r>
        <w:rPr>
          <w:rFonts w:ascii="Times New Roman" w:hint="eastAsia"/>
        </w:rPr>
        <w:t>李铁山主译，《肉毒毒素注射指南》，北京大学医学出版社，</w:t>
      </w:r>
      <w:r>
        <w:rPr>
          <w:rFonts w:ascii="Times New Roman"/>
        </w:rPr>
        <w:t>2009</w:t>
      </w:r>
    </w:p>
    <w:p w:rsidR="003717A0" w:rsidRDefault="003717A0">
      <w:pPr>
        <w:numPr>
          <w:ilvl w:val="0"/>
          <w:numId w:val="516"/>
        </w:numPr>
        <w:adjustRightInd w:val="0"/>
        <w:snapToGrid w:val="0"/>
        <w:spacing w:line="360" w:lineRule="auto"/>
        <w:ind w:left="0" w:right="4" w:firstLine="480"/>
        <w:rPr>
          <w:rFonts w:ascii="Times New Roman"/>
        </w:rPr>
      </w:pPr>
      <w:r>
        <w:rPr>
          <w:rFonts w:ascii="Times New Roman" w:hint="eastAsia"/>
        </w:rPr>
        <w:t>窦祖林、欧海宁主编，《痉挛</w:t>
      </w:r>
      <w:r>
        <w:rPr>
          <w:rFonts w:ascii="Times New Roman"/>
        </w:rPr>
        <w:t>-</w:t>
      </w:r>
      <w:r>
        <w:rPr>
          <w:rFonts w:ascii="Times New Roman" w:hint="eastAsia"/>
        </w:rPr>
        <w:t>肉毒毒素实用注射技术》，人民卫生出版社，</w:t>
      </w:r>
      <w:r>
        <w:rPr>
          <w:rFonts w:ascii="Times New Roman"/>
        </w:rPr>
        <w:t>2012</w:t>
      </w:r>
    </w:p>
    <w:p w:rsidR="003717A0" w:rsidRDefault="003717A0">
      <w:pPr>
        <w:numPr>
          <w:ilvl w:val="0"/>
          <w:numId w:val="516"/>
        </w:numPr>
        <w:adjustRightInd w:val="0"/>
        <w:snapToGrid w:val="0"/>
        <w:spacing w:line="360" w:lineRule="auto"/>
        <w:ind w:left="0" w:right="4" w:firstLine="480"/>
        <w:rPr>
          <w:rFonts w:ascii="Times New Roman"/>
        </w:rPr>
      </w:pPr>
      <w:r>
        <w:rPr>
          <w:rFonts w:ascii="Times New Roman" w:hint="eastAsia"/>
        </w:rPr>
        <w:lastRenderedPageBreak/>
        <w:t>李铁山主译，《肉毒毒素治疗手册》，北京大学医学出版社，</w:t>
      </w:r>
      <w:r>
        <w:rPr>
          <w:rFonts w:ascii="Times New Roman"/>
        </w:rPr>
        <w:t>2012</w:t>
      </w:r>
    </w:p>
    <w:p w:rsidR="003717A0" w:rsidRDefault="003717A0">
      <w:pPr>
        <w:numPr>
          <w:ilvl w:val="0"/>
          <w:numId w:val="516"/>
        </w:numPr>
        <w:adjustRightInd w:val="0"/>
        <w:snapToGrid w:val="0"/>
        <w:spacing w:line="360" w:lineRule="auto"/>
        <w:ind w:left="0" w:right="4" w:firstLine="480"/>
        <w:rPr>
          <w:rFonts w:ascii="Times New Roman"/>
        </w:rPr>
      </w:pPr>
      <w:r>
        <w:rPr>
          <w:rFonts w:ascii="Times New Roman"/>
        </w:rPr>
        <w:t>Kate Coleman-Moriarty</w:t>
      </w:r>
      <w:r>
        <w:rPr>
          <w:rFonts w:ascii="Times New Roman" w:hint="eastAsia"/>
        </w:rPr>
        <w:t>等主编，《</w:t>
      </w:r>
      <w:r>
        <w:rPr>
          <w:rFonts w:ascii="Times New Roman"/>
        </w:rPr>
        <w:t>Botulinum Toxin in Facial Rejuvenation</w:t>
      </w:r>
      <w:r>
        <w:rPr>
          <w:rFonts w:ascii="Times New Roman" w:hint="eastAsia"/>
        </w:rPr>
        <w:t>》，</w:t>
      </w:r>
      <w:r>
        <w:rPr>
          <w:rFonts w:ascii="Times New Roman"/>
        </w:rPr>
        <w:t>Mosby</w:t>
      </w:r>
      <w:r>
        <w:rPr>
          <w:rFonts w:ascii="Times New Roman" w:hint="eastAsia"/>
        </w:rPr>
        <w:t>，</w:t>
      </w:r>
      <w:r>
        <w:rPr>
          <w:rFonts w:ascii="Times New Roman"/>
        </w:rPr>
        <w:t>2004</w:t>
      </w: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p>
    <w:p w:rsidR="003717A0" w:rsidRDefault="003717A0">
      <w:pPr>
        <w:autoSpaceDE w:val="0"/>
        <w:autoSpaceDN w:val="0"/>
        <w:adjustRightInd w:val="0"/>
        <w:snapToGrid w:val="0"/>
        <w:spacing w:line="360" w:lineRule="auto"/>
        <w:ind w:firstLineChars="2700" w:firstLine="5670"/>
        <w:jc w:val="left"/>
        <w:rPr>
          <w:rFonts w:ascii="黑体" w:eastAsia="黑体" w:cs="黑体"/>
          <w:kern w:val="0"/>
          <w:szCs w:val="21"/>
        </w:rPr>
      </w:pPr>
      <w:r>
        <w:rPr>
          <w:rFonts w:ascii="黑体" w:eastAsia="黑体" w:cs="黑体" w:hint="eastAsia"/>
          <w:kern w:val="0"/>
          <w:szCs w:val="21"/>
        </w:rPr>
        <w:t>制定人：陈伟观</w:t>
      </w:r>
    </w:p>
    <w:p w:rsidR="003717A0" w:rsidRDefault="003717A0" w:rsidP="005E20B5">
      <w:pPr>
        <w:adjustRightInd w:val="0"/>
        <w:snapToGrid w:val="0"/>
        <w:spacing w:beforeLines="50" w:afterLines="50" w:line="360" w:lineRule="auto"/>
        <w:jc w:val="center"/>
        <w:rPr>
          <w:rFonts w:ascii="黑体" w:eastAsia="黑体" w:cs="黑体"/>
          <w:kern w:val="0"/>
          <w:szCs w:val="21"/>
        </w:rPr>
      </w:pPr>
      <w:r>
        <w:rPr>
          <w:rFonts w:ascii="黑体" w:eastAsia="黑体" w:cs="黑体"/>
          <w:kern w:val="0"/>
          <w:szCs w:val="21"/>
        </w:rPr>
        <w:t xml:space="preserve">    </w:t>
      </w:r>
      <w:r w:rsidR="00045E41">
        <w:rPr>
          <w:rFonts w:ascii="黑体" w:eastAsia="黑体" w:cs="黑体"/>
          <w:kern w:val="0"/>
          <w:szCs w:val="21"/>
        </w:rPr>
        <w:t xml:space="preserve">                               </w:t>
      </w:r>
      <w:r>
        <w:rPr>
          <w:rFonts w:ascii="黑体" w:eastAsia="黑体" w:cs="黑体" w:hint="eastAsia"/>
          <w:kern w:val="0"/>
          <w:szCs w:val="21"/>
        </w:rPr>
        <w:t>审核人：沈光宇</w:t>
      </w:r>
    </w:p>
    <w:p w:rsidR="003717A0" w:rsidRDefault="003717A0" w:rsidP="005E20B5">
      <w:pPr>
        <w:adjustRightInd w:val="0"/>
        <w:snapToGrid w:val="0"/>
        <w:spacing w:beforeLines="50" w:afterLines="50" w:line="360" w:lineRule="auto"/>
        <w:jc w:val="center"/>
        <w:rPr>
          <w:rFonts w:ascii="黑体" w:eastAsia="黑体"/>
          <w:b/>
          <w:sz w:val="30"/>
          <w:szCs w:val="30"/>
        </w:rPr>
      </w:pPr>
      <w:r>
        <w:rPr>
          <w:rFonts w:ascii="黑体" w:eastAsia="黑体" w:cs="黑体"/>
          <w:kern w:val="0"/>
          <w:szCs w:val="21"/>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numPr>
          <w:ilvl w:val="0"/>
          <w:numId w:val="517"/>
        </w:num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适应对象</w:t>
      </w:r>
    </w:p>
    <w:p w:rsidR="003717A0" w:rsidRDefault="003717A0">
      <w:pPr>
        <w:adjustRightInd w:val="0"/>
        <w:snapToGrid w:val="0"/>
        <w:spacing w:line="360" w:lineRule="auto"/>
        <w:ind w:left="210" w:right="4" w:firstLineChars="100" w:firstLine="210"/>
        <w:rPr>
          <w:rFonts w:ascii="Times New Roman"/>
        </w:rPr>
      </w:pPr>
      <w:r>
        <w:rPr>
          <w:rFonts w:ascii="Times New Roman" w:hint="eastAsia"/>
        </w:rPr>
        <w:t>修读完本课程规定内容的康复医学专业的本科学生。</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通过考查了解学生对本门课程内容的掌握程度，考查学生对肉毒毒素基本知识及临床应用，痉挛的定义及康复评定和治疗等的理解和掌握情况，包括实践操作能力。</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期末开卷理论考查和实验操作（临床病例）考查。</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期末考试成绩占总成绩的</w:t>
      </w:r>
      <w:r>
        <w:rPr>
          <w:rFonts w:ascii="宋体" w:hAnsi="宋体"/>
          <w:szCs w:val="21"/>
        </w:rPr>
        <w:t>50%</w:t>
      </w:r>
      <w:r>
        <w:rPr>
          <w:rFonts w:ascii="宋体" w:hAnsi="宋体" w:hint="eastAsia"/>
          <w:szCs w:val="21"/>
        </w:rPr>
        <w:t>。</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平时成绩占总成绩的</w:t>
      </w:r>
      <w:r>
        <w:rPr>
          <w:rFonts w:ascii="宋体" w:hAnsi="宋体"/>
          <w:szCs w:val="21"/>
        </w:rPr>
        <w:t>50%</w:t>
      </w:r>
      <w:r>
        <w:rPr>
          <w:rFonts w:ascii="宋体" w:hAnsi="宋体" w:hint="eastAsia"/>
          <w:szCs w:val="21"/>
        </w:rPr>
        <w:t>，其中平时作业、课堂问答为</w:t>
      </w:r>
      <w:r>
        <w:rPr>
          <w:rFonts w:ascii="宋体" w:hAnsi="宋体"/>
          <w:szCs w:val="21"/>
        </w:rPr>
        <w:t>30%</w:t>
      </w:r>
      <w:r>
        <w:rPr>
          <w:rFonts w:ascii="宋体" w:hAnsi="宋体" w:hint="eastAsia"/>
          <w:szCs w:val="21"/>
        </w:rPr>
        <w:t>，出勤率为</w:t>
      </w:r>
      <w:r>
        <w:rPr>
          <w:rFonts w:ascii="宋体" w:hAnsi="宋体"/>
          <w:szCs w:val="21"/>
        </w:rPr>
        <w:t>20%</w:t>
      </w:r>
      <w:r>
        <w:rPr>
          <w:rFonts w:ascii="宋体" w:hAnsi="宋体" w:hint="eastAsia"/>
          <w:szCs w:val="21"/>
        </w:rPr>
        <w:t>。</w:t>
      </w:r>
    </w:p>
    <w:p w:rsidR="003717A0" w:rsidRDefault="003717A0">
      <w:pPr>
        <w:autoSpaceDE w:val="0"/>
        <w:autoSpaceDN w:val="0"/>
        <w:adjustRightInd w:val="0"/>
        <w:snapToGrid w:val="0"/>
        <w:spacing w:line="360" w:lineRule="auto"/>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Ansi="宋体" w:hint="eastAsia"/>
          <w:szCs w:val="21"/>
        </w:rPr>
        <w:t>肉毒毒素的基本知识、适应症和禁忌证、注意事项、主要操作步骤；痉挛的定义，常用的定位方法、评定及治疗防范；肉毒毒素注射临床应用的疾病谱等。</w:t>
      </w:r>
    </w:p>
    <w:p w:rsidR="003717A0" w:rsidRDefault="003717A0">
      <w:pPr>
        <w:autoSpaceDE w:val="0"/>
        <w:autoSpaceDN w:val="0"/>
        <w:adjustRightInd w:val="0"/>
        <w:snapToGrid w:val="0"/>
        <w:spacing w:line="360" w:lineRule="auto"/>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以肉毒毒素的基本知识和临床应用为考试重点，考核学生运用课程知识分析问题、解决问题的能力，同时检查学生实践操作的能力。</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肉毒毒素注射技术及应用课程考试试题</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u w:val="single"/>
        </w:rPr>
        <w:t xml:space="preserve">  </w:t>
      </w:r>
      <w:r>
        <w:rPr>
          <w:rFonts w:ascii="Times New Roman" w:hAnsi="Times New Roman" w:hint="eastAsia"/>
          <w:kern w:val="0"/>
          <w:sz w:val="22"/>
          <w:u w:val="single"/>
        </w:rPr>
        <w:t>ⅩⅩⅩⅩⅩ</w:t>
      </w:r>
      <w:r>
        <w:rPr>
          <w:rFonts w:ascii="Times New Roman" w:hAnsi="Times New Roman"/>
          <w:kern w:val="0"/>
          <w:sz w:val="22"/>
          <w:u w:val="single"/>
        </w:rPr>
        <w:t>---</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学年</w:t>
      </w:r>
      <w:r>
        <w:rPr>
          <w:sz w:val="32"/>
          <w:u w:val="single"/>
        </w:rPr>
        <w:t xml:space="preserve"> </w:t>
      </w:r>
      <w:r>
        <w:rPr>
          <w:rFonts w:ascii="Times New Roman" w:hAnsi="Times New Roman" w:hint="eastAsia"/>
          <w:kern w:val="0"/>
          <w:sz w:val="22"/>
          <w:u w:val="single"/>
        </w:rPr>
        <w:t>ⅩⅩ</w:t>
      </w:r>
      <w:r>
        <w:rPr>
          <w:rFonts w:ascii="Times New Roman" w:hAnsi="Times New Roman"/>
          <w:kern w:val="0"/>
          <w:sz w:val="2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u w:val="single"/>
        </w:rPr>
        <w:t>ⅩⅩⅩ</w:t>
      </w:r>
      <w:r>
        <w:rPr>
          <w:rFonts w:ascii="Times New Roman" w:hAnsi="Times New Roman"/>
          <w:kern w:val="0"/>
          <w:sz w:val="22"/>
          <w:u w:val="single"/>
        </w:rPr>
        <w:t xml:space="preserve">  </w:t>
      </w:r>
      <w:r>
        <w:rPr>
          <w:rFonts w:ascii="Times New Roman" w:hAnsi="Times New Roman" w:hint="eastAsia"/>
          <w:kern w:val="0"/>
          <w:sz w:val="22"/>
        </w:rPr>
        <w:t>班级</w:t>
      </w:r>
    </w:p>
    <w:p w:rsidR="003717A0" w:rsidRDefault="003717A0">
      <w:pPr>
        <w:autoSpaceDE w:val="0"/>
        <w:autoSpaceDN w:val="0"/>
        <w:adjustRightInd w:val="0"/>
        <w:spacing w:line="440" w:lineRule="exact"/>
        <w:ind w:firstLineChars="193" w:firstLine="426"/>
        <w:jc w:val="center"/>
        <w:rPr>
          <w:rFonts w:ascii="Times New Roman" w:hAnsi="Times New Roman"/>
          <w:b/>
          <w:kern w:val="0"/>
          <w:sz w:val="22"/>
        </w:rPr>
      </w:pPr>
      <w:r>
        <w:rPr>
          <w:rFonts w:ascii="Times New Roman" w:hAnsi="Times New Roman" w:hint="eastAsia"/>
          <w:b/>
          <w:kern w:val="0"/>
          <w:sz w:val="22"/>
        </w:rPr>
        <w:t>时间：</w:t>
      </w:r>
      <w:r>
        <w:rPr>
          <w:rFonts w:ascii="Times New Roman" w:hAnsi="Times New Roman"/>
          <w:b/>
          <w:kern w:val="0"/>
          <w:sz w:val="22"/>
        </w:rPr>
        <w:t>60</w:t>
      </w:r>
      <w:r>
        <w:rPr>
          <w:rFonts w:ascii="Times New Roman" w:hAnsi="Times New Roman" w:hint="eastAsia"/>
          <w:b/>
          <w:kern w:val="0"/>
          <w:sz w:val="22"/>
        </w:rPr>
        <w:t>分钟</w:t>
      </w:r>
      <w:r>
        <w:rPr>
          <w:rFonts w:ascii="Times New Roman" w:hAnsi="Times New Roman"/>
          <w:b/>
          <w:kern w:val="0"/>
          <w:sz w:val="22"/>
        </w:rPr>
        <w:t xml:space="preserve">     </w:t>
      </w:r>
      <w:r>
        <w:rPr>
          <w:rFonts w:ascii="Times New Roman" w:hAnsi="Times New Roman" w:hint="eastAsia"/>
          <w:b/>
          <w:kern w:val="0"/>
          <w:sz w:val="22"/>
        </w:rPr>
        <w:t>总分：</w:t>
      </w:r>
      <w:r>
        <w:rPr>
          <w:rFonts w:ascii="Times New Roman" w:hAnsi="Times New Roman"/>
          <w:b/>
          <w:kern w:val="0"/>
          <w:sz w:val="22"/>
        </w:rPr>
        <w:t>100</w:t>
      </w:r>
      <w:r>
        <w:rPr>
          <w:rFonts w:ascii="Times New Roman" w:hAnsi="Times New Roman" w:hint="eastAsia"/>
          <w:b/>
          <w:kern w:val="0"/>
          <w:sz w:val="22"/>
        </w:rPr>
        <w:t>分</w:t>
      </w:r>
    </w:p>
    <w:p w:rsidR="003717A0" w:rsidRDefault="003717A0">
      <w:pPr>
        <w:widowControl/>
        <w:adjustRightInd w:val="0"/>
        <w:snapToGrid w:val="0"/>
        <w:spacing w:line="440" w:lineRule="exact"/>
        <w:ind w:firstLineChars="162" w:firstLine="358"/>
        <w:rPr>
          <w:rFonts w:ascii="Times New Roman" w:hAnsi="Times New Roman"/>
          <w:b/>
          <w:kern w:val="0"/>
          <w:sz w:val="22"/>
        </w:rPr>
      </w:pPr>
      <w:r>
        <w:rPr>
          <w:rFonts w:ascii="Times New Roman" w:hAnsi="Times New Roman" w:hint="eastAsia"/>
          <w:b/>
          <w:kern w:val="0"/>
          <w:sz w:val="22"/>
        </w:rPr>
        <w:t>一、名词解释：（每题</w:t>
      </w:r>
      <w:r>
        <w:rPr>
          <w:rFonts w:ascii="Times New Roman" w:hAnsi="Times New Roman"/>
          <w:b/>
          <w:kern w:val="0"/>
          <w:sz w:val="22"/>
        </w:rPr>
        <w:t>5</w:t>
      </w:r>
      <w:r>
        <w:rPr>
          <w:rFonts w:ascii="Times New Roman" w:hAnsi="Times New Roman" w:hint="eastAsia"/>
          <w:b/>
          <w:kern w:val="0"/>
          <w:sz w:val="22"/>
        </w:rPr>
        <w:t>分，共</w:t>
      </w:r>
      <w:r>
        <w:rPr>
          <w:rFonts w:ascii="Times New Roman" w:hAnsi="Times New Roman"/>
          <w:b/>
          <w:kern w:val="0"/>
          <w:sz w:val="22"/>
        </w:rPr>
        <w:t>25</w:t>
      </w:r>
      <w:r>
        <w:rPr>
          <w:rFonts w:ascii="Times New Roman" w:hAnsi="Times New Roman" w:hint="eastAsia"/>
          <w:b/>
          <w:kern w:val="0"/>
          <w:sz w:val="22"/>
        </w:rPr>
        <w:t>分）</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1.</w:t>
      </w:r>
      <w:r>
        <w:rPr>
          <w:rFonts w:ascii="Times New Roman" w:hAnsi="Times New Roman" w:hint="eastAsia"/>
          <w:szCs w:val="21"/>
        </w:rPr>
        <w:t>痉挛</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2.</w:t>
      </w:r>
      <w:r>
        <w:rPr>
          <w:rFonts w:ascii="Times New Roman" w:hAnsi="Times New Roman" w:hint="eastAsia"/>
          <w:szCs w:val="21"/>
        </w:rPr>
        <w:t>肌张力</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3.Meige</w:t>
      </w:r>
      <w:r>
        <w:rPr>
          <w:rFonts w:ascii="Times New Roman" w:hAnsi="Times New Roman" w:hint="eastAsia"/>
          <w:szCs w:val="21"/>
        </w:rPr>
        <w:t>综合征</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4.</w:t>
      </w:r>
      <w:r>
        <w:rPr>
          <w:rFonts w:ascii="Times New Roman" w:hAnsi="Times New Roman" w:hint="eastAsia"/>
          <w:szCs w:val="21"/>
        </w:rPr>
        <w:t>疼痛</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5.</w:t>
      </w:r>
      <w:r>
        <w:rPr>
          <w:rFonts w:ascii="Times New Roman" w:hAnsi="Times New Roman" w:hint="eastAsia"/>
          <w:szCs w:val="21"/>
        </w:rPr>
        <w:t>上运动神经元综合征</w:t>
      </w:r>
    </w:p>
    <w:p w:rsidR="003717A0" w:rsidRDefault="003717A0" w:rsidP="005E20B5">
      <w:pPr>
        <w:widowControl/>
        <w:adjustRightInd w:val="0"/>
        <w:snapToGrid w:val="0"/>
        <w:spacing w:beforeLines="50" w:line="440" w:lineRule="exact"/>
        <w:ind w:firstLineChars="162" w:firstLine="358"/>
        <w:rPr>
          <w:rFonts w:ascii="Times New Roman" w:hAnsi="Times New Roman"/>
          <w:b/>
          <w:kern w:val="0"/>
          <w:sz w:val="22"/>
        </w:rPr>
      </w:pPr>
      <w:r>
        <w:rPr>
          <w:rFonts w:ascii="Times New Roman" w:hAnsi="Times New Roman" w:hint="eastAsia"/>
          <w:b/>
          <w:kern w:val="0"/>
          <w:sz w:val="22"/>
        </w:rPr>
        <w:t>二、简答题：（每题</w:t>
      </w:r>
      <w:r>
        <w:rPr>
          <w:rFonts w:ascii="Times New Roman" w:hAnsi="Times New Roman"/>
          <w:b/>
          <w:kern w:val="0"/>
          <w:sz w:val="22"/>
        </w:rPr>
        <w:t>15</w:t>
      </w:r>
      <w:r>
        <w:rPr>
          <w:rFonts w:ascii="Times New Roman" w:hAnsi="Times New Roman" w:hint="eastAsia"/>
          <w:b/>
          <w:kern w:val="0"/>
          <w:sz w:val="22"/>
        </w:rPr>
        <w:t>分，共</w:t>
      </w:r>
      <w:r>
        <w:rPr>
          <w:rFonts w:ascii="Times New Roman" w:hAnsi="Times New Roman"/>
          <w:b/>
          <w:kern w:val="0"/>
          <w:sz w:val="22"/>
        </w:rPr>
        <w:t>45</w:t>
      </w:r>
      <w:r>
        <w:rPr>
          <w:rFonts w:ascii="Times New Roman" w:hAnsi="Times New Roman" w:hint="eastAsia"/>
          <w:b/>
          <w:kern w:val="0"/>
          <w:sz w:val="22"/>
        </w:rPr>
        <w:t>分）</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1.</w:t>
      </w:r>
      <w:r>
        <w:rPr>
          <w:rFonts w:ascii="Times New Roman" w:hAnsi="Times New Roman" w:hint="eastAsia"/>
          <w:szCs w:val="21"/>
        </w:rPr>
        <w:t>简述痉挛导致的临床问题。</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t>2.</w:t>
      </w:r>
      <w:r>
        <w:rPr>
          <w:rFonts w:ascii="Times New Roman" w:hAnsi="Times New Roman" w:hint="eastAsia"/>
          <w:szCs w:val="21"/>
        </w:rPr>
        <w:t>简述痉挛的评定量表。</w:t>
      </w:r>
    </w:p>
    <w:p w:rsidR="003717A0" w:rsidRDefault="003717A0">
      <w:pPr>
        <w:adjustRightInd w:val="0"/>
        <w:snapToGrid w:val="0"/>
        <w:spacing w:line="440" w:lineRule="exact"/>
        <w:ind w:leftChars="171" w:left="359"/>
        <w:jc w:val="left"/>
        <w:rPr>
          <w:rFonts w:ascii="Times New Roman" w:hAnsi="Times New Roman"/>
          <w:szCs w:val="21"/>
        </w:rPr>
      </w:pPr>
      <w:r>
        <w:rPr>
          <w:rFonts w:ascii="Times New Roman" w:hAnsi="Times New Roman"/>
          <w:szCs w:val="21"/>
        </w:rPr>
        <w:lastRenderedPageBreak/>
        <w:t>3.</w:t>
      </w:r>
      <w:r>
        <w:rPr>
          <w:rFonts w:ascii="Times New Roman" w:hAnsi="Times New Roman" w:hint="eastAsia"/>
          <w:szCs w:val="21"/>
        </w:rPr>
        <w:t>简述可以应用肉毒毒素注射治疗的疾病有哪些（至少五种以上）？</w:t>
      </w:r>
    </w:p>
    <w:p w:rsidR="003717A0" w:rsidRDefault="003717A0" w:rsidP="005E20B5">
      <w:pPr>
        <w:widowControl/>
        <w:adjustRightInd w:val="0"/>
        <w:snapToGrid w:val="0"/>
        <w:spacing w:beforeLines="50" w:line="440" w:lineRule="exact"/>
        <w:ind w:firstLineChars="162" w:firstLine="358"/>
        <w:rPr>
          <w:rFonts w:ascii="Times New Roman" w:hAnsi="Times New Roman"/>
          <w:b/>
          <w:kern w:val="0"/>
          <w:sz w:val="22"/>
        </w:rPr>
      </w:pPr>
      <w:r>
        <w:rPr>
          <w:rFonts w:ascii="Times New Roman" w:hAnsi="Times New Roman" w:hint="eastAsia"/>
          <w:b/>
          <w:kern w:val="0"/>
          <w:sz w:val="22"/>
        </w:rPr>
        <w:t>三、论述题：（</w:t>
      </w:r>
      <w:r>
        <w:rPr>
          <w:rFonts w:ascii="Times New Roman" w:hAnsi="Times New Roman"/>
          <w:b/>
          <w:kern w:val="0"/>
          <w:sz w:val="22"/>
        </w:rPr>
        <w:t>30</w:t>
      </w:r>
      <w:r>
        <w:rPr>
          <w:rFonts w:ascii="Times New Roman" w:hAnsi="Times New Roman" w:hint="eastAsia"/>
          <w:b/>
          <w:kern w:val="0"/>
          <w:sz w:val="22"/>
        </w:rPr>
        <w:t>分）</w:t>
      </w:r>
    </w:p>
    <w:p w:rsidR="003717A0" w:rsidRDefault="003717A0">
      <w:pPr>
        <w:adjustRightInd w:val="0"/>
        <w:snapToGrid w:val="0"/>
        <w:spacing w:line="440" w:lineRule="exact"/>
        <w:ind w:leftChars="171" w:left="359" w:firstLineChars="200" w:firstLine="420"/>
        <w:jc w:val="left"/>
        <w:rPr>
          <w:rFonts w:ascii="Times New Roman" w:hAnsi="Times New Roman"/>
          <w:szCs w:val="21"/>
        </w:rPr>
      </w:pPr>
      <w:r>
        <w:rPr>
          <w:rFonts w:ascii="Times New Roman" w:hAnsi="Times New Roman" w:hint="eastAsia"/>
          <w:szCs w:val="21"/>
        </w:rPr>
        <w:t>试述脑损伤所致的上肢肌痉挛的异常模式以及通常选择的靶肌肉有哪些及其剂量范围？如何定位靶肌肉？常用的痉挛康复技术有哪些？</w:t>
      </w:r>
    </w:p>
    <w:p w:rsidR="003717A0" w:rsidRDefault="003717A0">
      <w:pPr>
        <w:spacing w:line="300" w:lineRule="auto"/>
        <w:rPr>
          <w:szCs w:val="21"/>
        </w:rPr>
      </w:pPr>
    </w:p>
    <w:p w:rsidR="003717A0" w:rsidRDefault="003717A0">
      <w:pPr>
        <w:spacing w:line="300" w:lineRule="auto"/>
        <w:rPr>
          <w:szCs w:val="21"/>
        </w:rPr>
      </w:pPr>
    </w:p>
    <w:p w:rsidR="003717A0" w:rsidRDefault="003717A0" w:rsidP="005E20B5">
      <w:pPr>
        <w:adjustRightInd w:val="0"/>
        <w:snapToGrid w:val="0"/>
        <w:spacing w:beforeLines="50" w:afterLines="50" w:line="360" w:lineRule="auto"/>
        <w:jc w:val="center"/>
        <w:rPr>
          <w:rFonts w:ascii="Times New Roman" w:eastAsia="黑体" w:hAnsi="Times New Roman"/>
          <w:kern w:val="0"/>
          <w:sz w:val="34"/>
          <w:szCs w:val="34"/>
        </w:rPr>
      </w:pPr>
      <w:r>
        <w:rPr>
          <w:rFonts w:ascii="Times New Roman" w:hAnsi="Times New Roman"/>
          <w:b/>
          <w:kern w:val="0"/>
          <w:sz w:val="22"/>
        </w:rPr>
        <w:br w:type="page"/>
      </w:r>
      <w:r w:rsidRPr="00566E4D">
        <w:rPr>
          <w:rFonts w:ascii="Times New Roman" w:eastAsia="黑体" w:hAnsi="Times New Roman" w:cs="Times New Roman" w:hint="eastAsia"/>
          <w:b/>
          <w:bCs/>
          <w:kern w:val="0"/>
          <w:sz w:val="32"/>
          <w:szCs w:val="32"/>
        </w:rPr>
        <w:lastRenderedPageBreak/>
        <w:t>四、课程实施与保障</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1"/>
        <w:gridCol w:w="425"/>
        <w:gridCol w:w="9142"/>
      </w:tblGrid>
      <w:tr w:rsidR="003717A0">
        <w:trPr>
          <w:cantSplit/>
          <w:trHeight w:val="1137"/>
          <w:jc w:val="center"/>
        </w:trPr>
        <w:tc>
          <w:tcPr>
            <w:tcW w:w="856"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9142" w:type="dxa"/>
            <w:vAlign w:val="center"/>
          </w:tcPr>
          <w:p w:rsidR="003717A0" w:rsidRDefault="003717A0">
            <w:pPr>
              <w:autoSpaceDE w:val="0"/>
              <w:autoSpaceDN w:val="0"/>
              <w:adjustRightInd w:val="0"/>
              <w:snapToGrid w:val="0"/>
              <w:spacing w:line="360" w:lineRule="auto"/>
              <w:ind w:firstLineChars="207" w:firstLine="435"/>
              <w:jc w:val="left"/>
              <w:rPr>
                <w:rFonts w:ascii="宋体"/>
                <w:kern w:val="0"/>
                <w:szCs w:val="21"/>
              </w:rPr>
            </w:pPr>
            <w:r>
              <w:rPr>
                <w:rFonts w:ascii="宋体" w:hAnsi="宋体" w:hint="eastAsia"/>
                <w:szCs w:val="21"/>
              </w:rPr>
              <w:t>教师应充分研究本大纲所规定的各章内容，对重点和难点进行深入浅出的讲解。增加自学和拓展环节，注意培养学生的自学能力。教师应关心临床研究进展，使教学内容能反映学科的发展趋势，但要避免在课堂上讲授实验证据不充分、科学依据不足的内容。教师在平时教学过程中要注意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431" w:type="dxa"/>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51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518"/>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pPr>
              <w:numPr>
                <w:ilvl w:val="0"/>
                <w:numId w:val="518"/>
              </w:numPr>
              <w:autoSpaceDE w:val="0"/>
              <w:autoSpaceDN w:val="0"/>
              <w:adjustRightInd w:val="0"/>
              <w:snapToGrid w:val="0"/>
              <w:spacing w:line="360" w:lineRule="auto"/>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431" w:type="dxa"/>
            <w:vMerge/>
            <w:vAlign w:val="center"/>
          </w:tcPr>
          <w:p w:rsidR="003717A0" w:rsidRDefault="003717A0">
            <w:pPr>
              <w:spacing w:line="340" w:lineRule="exact"/>
              <w:jc w:val="center"/>
            </w:pPr>
          </w:p>
        </w:tc>
        <w:tc>
          <w:tcPr>
            <w:tcW w:w="425" w:type="dxa"/>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9142" w:type="dxa"/>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51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51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519"/>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pPr>
              <w:numPr>
                <w:ilvl w:val="0"/>
                <w:numId w:val="519"/>
              </w:numPr>
              <w:autoSpaceDE w:val="0"/>
              <w:autoSpaceDN w:val="0"/>
              <w:adjustRightInd w:val="0"/>
              <w:snapToGrid w:val="0"/>
              <w:spacing w:line="360" w:lineRule="auto"/>
              <w:jc w:val="left"/>
              <w:rPr>
                <w:rFonts w:ascii="楷体_GB2312" w:eastAsia="楷体_GB2312"/>
                <w:sz w:val="24"/>
                <w:szCs w:val="24"/>
              </w:rPr>
            </w:pPr>
            <w:r>
              <w:rPr>
                <w:rFonts w:ascii="Times New Roman" w:hAnsi="宋体" w:hint="eastAsia"/>
                <w:szCs w:val="21"/>
              </w:rPr>
              <w:t>表达方式尽量便于学生理解、接受，力求形象生动，使学生在掌握知识的过程中，保持较为浓厚的兴趣。</w:t>
            </w:r>
          </w:p>
        </w:tc>
      </w:tr>
      <w:tr w:rsidR="003717A0">
        <w:trPr>
          <w:trHeight w:val="1976"/>
          <w:jc w:val="center"/>
        </w:trPr>
        <w:tc>
          <w:tcPr>
            <w:tcW w:w="431"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主要教学环节的质量标准</w:t>
            </w: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9142" w:type="dxa"/>
            <w:vAlign w:val="center"/>
          </w:tcPr>
          <w:p w:rsidR="003717A0" w:rsidRDefault="003717A0">
            <w:pPr>
              <w:autoSpaceDE w:val="0"/>
              <w:autoSpaceDN w:val="0"/>
              <w:adjustRightInd w:val="0"/>
              <w:snapToGrid w:val="0"/>
              <w:spacing w:line="360" w:lineRule="auto"/>
              <w:ind w:firstLineChars="193" w:firstLine="425"/>
              <w:jc w:val="left"/>
              <w:rPr>
                <w:sz w:val="22"/>
              </w:rPr>
            </w:pPr>
            <w:r>
              <w:rPr>
                <w:rFonts w:hint="eastAsia"/>
                <w:sz w:val="22"/>
              </w:rPr>
              <w:t>学生需完成一定数量的平时作业，包括参考文献阅读、临床病例收集、</w:t>
            </w:r>
            <w:r>
              <w:rPr>
                <w:sz w:val="22"/>
              </w:rPr>
              <w:t>PPT</w:t>
            </w:r>
            <w:r>
              <w:rPr>
                <w:rFonts w:hint="eastAsia"/>
                <w:sz w:val="22"/>
              </w:rPr>
              <w:t>制作等。</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一、学生完成作业的主要内容：</w:t>
            </w:r>
          </w:p>
          <w:p w:rsidR="003717A0" w:rsidRDefault="003717A0">
            <w:pPr>
              <w:numPr>
                <w:ilvl w:val="0"/>
                <w:numId w:val="52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理论上后需完成一定量的参考文献的阅读；实习课上，要求学生能熟练地判别患者的异常模式，靶肌肉的定位，常用剂量及主要操作步骤。</w:t>
            </w:r>
          </w:p>
          <w:p w:rsidR="003717A0" w:rsidRDefault="003717A0">
            <w:pPr>
              <w:numPr>
                <w:ilvl w:val="0"/>
                <w:numId w:val="52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学生</w:t>
            </w:r>
            <w:r>
              <w:rPr>
                <w:rFonts w:ascii="Times New Roman" w:hAnsi="Times New Roman" w:hint="eastAsia"/>
                <w:szCs w:val="21"/>
              </w:rPr>
              <w:t>由</w:t>
            </w:r>
            <w:r>
              <w:rPr>
                <w:rFonts w:ascii="Times New Roman" w:hAnsi="Times New Roman"/>
                <w:szCs w:val="21"/>
              </w:rPr>
              <w:t>5-6</w:t>
            </w:r>
            <w:r>
              <w:rPr>
                <w:rFonts w:ascii="Times New Roman" w:hAnsi="Times New Roman" w:hint="eastAsia"/>
                <w:szCs w:val="21"/>
              </w:rPr>
              <w:t>人组成小组，收集临床资料、学习、整理、制作相关</w:t>
            </w:r>
            <w:r>
              <w:rPr>
                <w:rFonts w:ascii="Times New Roman" w:hAnsi="Times New Roman"/>
                <w:szCs w:val="21"/>
              </w:rPr>
              <w:t>PPT</w:t>
            </w:r>
            <w:r>
              <w:rPr>
                <w:rFonts w:ascii="Times New Roman" w:hAnsi="Times New Roman" w:hint="eastAsia"/>
                <w:szCs w:val="21"/>
              </w:rPr>
              <w:t>，</w:t>
            </w:r>
            <w:r>
              <w:rPr>
                <w:rFonts w:ascii="Times New Roman" w:hAnsi="宋体" w:hint="eastAsia"/>
                <w:szCs w:val="21"/>
              </w:rPr>
              <w:t>并进行全班交流和讨论，拓展与本课程相关的知识及操作技能。</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二、学生完成的作业必须达到以下基本要求：</w:t>
            </w:r>
          </w:p>
          <w:p w:rsidR="003717A0" w:rsidRDefault="003717A0">
            <w:pPr>
              <w:numPr>
                <w:ilvl w:val="0"/>
                <w:numId w:val="52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按时按量完成作业，不缺交，不抄袭；</w:t>
            </w:r>
          </w:p>
          <w:p w:rsidR="003717A0" w:rsidRDefault="003717A0">
            <w:pPr>
              <w:numPr>
                <w:ilvl w:val="0"/>
                <w:numId w:val="52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作业规范，书写清晰；</w:t>
            </w:r>
          </w:p>
          <w:p w:rsidR="003717A0" w:rsidRDefault="003717A0">
            <w:pPr>
              <w:numPr>
                <w:ilvl w:val="0"/>
                <w:numId w:val="52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答案正确。</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lastRenderedPageBreak/>
              <w:t>三、教师批改或讲评作业的数量和次数要求如下：</w:t>
            </w:r>
          </w:p>
          <w:p w:rsidR="003717A0" w:rsidRDefault="003717A0">
            <w:pPr>
              <w:numPr>
                <w:ilvl w:val="0"/>
                <w:numId w:val="52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学生的作业要全批全改，并按时批改、讲评学生每次交来的作业；</w:t>
            </w:r>
          </w:p>
          <w:p w:rsidR="003717A0" w:rsidRDefault="003717A0">
            <w:pPr>
              <w:numPr>
                <w:ilvl w:val="0"/>
                <w:numId w:val="52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教师批改或讲评作业要认真、细致，并写明日期；</w:t>
            </w:r>
          </w:p>
          <w:p w:rsidR="003717A0" w:rsidRDefault="003717A0">
            <w:pPr>
              <w:numPr>
                <w:ilvl w:val="0"/>
                <w:numId w:val="522"/>
              </w:numPr>
              <w:autoSpaceDE w:val="0"/>
              <w:autoSpaceDN w:val="0"/>
              <w:adjustRightInd w:val="0"/>
              <w:snapToGrid w:val="0"/>
              <w:spacing w:line="360" w:lineRule="auto"/>
              <w:jc w:val="left"/>
              <w:rPr>
                <w:sz w:val="22"/>
              </w:rPr>
            </w:pPr>
            <w:r>
              <w:rPr>
                <w:rFonts w:ascii="Times New Roman" w:hAnsi="宋体" w:hint="eastAsia"/>
                <w:szCs w:val="21"/>
              </w:rPr>
              <w:t>期末按百分制评出每个学生作业的总评成绩，作为本课程学期总评成绩中平时成绩的重要组成部分。</w:t>
            </w:r>
          </w:p>
        </w:tc>
      </w:tr>
      <w:tr w:rsidR="003717A0">
        <w:trPr>
          <w:cantSplit/>
          <w:trHeight w:val="1260"/>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kern w:val="0"/>
                <w:szCs w:val="21"/>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cantSplit/>
          <w:trHeight w:val="1272"/>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本课程为选修课程，成绩考核的方式：考查。考试学期总评成绩的评定方法如下：</w:t>
            </w:r>
          </w:p>
          <w:p w:rsidR="003717A0" w:rsidRDefault="003717A0">
            <w:pPr>
              <w:numPr>
                <w:ilvl w:val="0"/>
                <w:numId w:val="5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平时作业、课堂问答占总评成绩的</w:t>
            </w:r>
            <w:r>
              <w:rPr>
                <w:rFonts w:ascii="Times New Roman" w:hAnsi="宋体"/>
                <w:szCs w:val="21"/>
              </w:rPr>
              <w:t>30%</w:t>
            </w:r>
            <w:r>
              <w:rPr>
                <w:rFonts w:ascii="Times New Roman" w:hAnsi="宋体" w:hint="eastAsia"/>
                <w:szCs w:val="21"/>
              </w:rPr>
              <w:t>；</w:t>
            </w:r>
          </w:p>
          <w:p w:rsidR="003717A0" w:rsidRDefault="003717A0">
            <w:pPr>
              <w:numPr>
                <w:ilvl w:val="0"/>
                <w:numId w:val="5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出勤率占总评成绩的</w:t>
            </w:r>
            <w:r>
              <w:rPr>
                <w:rFonts w:ascii="Times New Roman" w:hAnsi="宋体"/>
                <w:szCs w:val="21"/>
              </w:rPr>
              <w:t>20%</w:t>
            </w:r>
            <w:r>
              <w:rPr>
                <w:rFonts w:ascii="Times New Roman" w:hAnsi="宋体" w:hint="eastAsia"/>
                <w:szCs w:val="21"/>
              </w:rPr>
              <w:t>；</w:t>
            </w:r>
          </w:p>
          <w:p w:rsidR="003717A0" w:rsidRDefault="003717A0">
            <w:pPr>
              <w:numPr>
                <w:ilvl w:val="0"/>
                <w:numId w:val="5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期末考试成绩占总评成绩的</w:t>
            </w:r>
            <w:r>
              <w:rPr>
                <w:rFonts w:ascii="Times New Roman" w:hAnsi="宋体"/>
                <w:szCs w:val="21"/>
              </w:rPr>
              <w:t>50%</w:t>
            </w:r>
            <w:r>
              <w:rPr>
                <w:rFonts w:ascii="Times New Roman" w:hAnsi="宋体" w:hint="eastAsia"/>
                <w:szCs w:val="21"/>
              </w:rPr>
              <w:t>；</w:t>
            </w:r>
          </w:p>
          <w:p w:rsidR="003717A0" w:rsidRDefault="003717A0">
            <w:pPr>
              <w:numPr>
                <w:ilvl w:val="0"/>
                <w:numId w:val="523"/>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pPr>
              <w:autoSpaceDE w:val="0"/>
              <w:autoSpaceDN w:val="0"/>
              <w:adjustRightInd w:val="0"/>
              <w:snapToGrid w:val="0"/>
              <w:spacing w:line="360" w:lineRule="auto"/>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cantSplit/>
          <w:trHeight w:val="2098"/>
          <w:jc w:val="center"/>
        </w:trPr>
        <w:tc>
          <w:tcPr>
            <w:tcW w:w="431" w:type="dxa"/>
            <w:vMerge/>
            <w:vAlign w:val="center"/>
          </w:tcPr>
          <w:p w:rsidR="003717A0" w:rsidRDefault="003717A0">
            <w:pPr>
              <w:spacing w:line="340" w:lineRule="exact"/>
              <w:ind w:left="113" w:right="113"/>
              <w:jc w:val="center"/>
              <w:rPr>
                <w:rFonts w:ascii="黑体" w:eastAsia="黑体"/>
                <w:b/>
                <w:sz w:val="24"/>
                <w:szCs w:val="24"/>
              </w:rPr>
            </w:pPr>
          </w:p>
        </w:tc>
        <w:tc>
          <w:tcPr>
            <w:tcW w:w="425" w:type="dxa"/>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9142" w:type="dxa"/>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为了培养学生综合运用所学知识解决实际问题的能力和创新能力，本课程教师应鼓励和指导学生深入临床，参与教师的实际操作，完成相关作业，以培养和提高实践操作能力和专业基本技能。</w:t>
            </w:r>
          </w:p>
        </w:tc>
      </w:tr>
      <w:tr w:rsidR="003717A0">
        <w:trPr>
          <w:cantSplit/>
          <w:trHeight w:val="454"/>
          <w:jc w:val="center"/>
        </w:trPr>
        <w:tc>
          <w:tcPr>
            <w:tcW w:w="856" w:type="dxa"/>
            <w:gridSpan w:val="2"/>
            <w:vAlign w:val="center"/>
          </w:tcPr>
          <w:p w:rsidR="003717A0" w:rsidRDefault="003717A0">
            <w:pPr>
              <w:spacing w:line="340" w:lineRule="exact"/>
              <w:ind w:left="113" w:right="113"/>
              <w:jc w:val="center"/>
            </w:pPr>
            <w:r>
              <w:rPr>
                <w:rFonts w:ascii="黑体" w:eastAsia="黑体" w:hint="eastAsia"/>
                <w:b/>
                <w:sz w:val="24"/>
                <w:szCs w:val="24"/>
              </w:rPr>
              <w:t>备注</w:t>
            </w:r>
          </w:p>
        </w:tc>
        <w:tc>
          <w:tcPr>
            <w:tcW w:w="9142" w:type="dxa"/>
            <w:vAlign w:val="center"/>
          </w:tcPr>
          <w:p w:rsidR="003717A0" w:rsidRDefault="003717A0"/>
        </w:tc>
      </w:tr>
    </w:tbl>
    <w:p w:rsidR="00045E41" w:rsidRDefault="00045E41" w:rsidP="00045E41">
      <w:bookmarkStart w:id="117" w:name="_Toc469313020"/>
      <w:bookmarkStart w:id="118" w:name="_Toc471830732"/>
    </w:p>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045E41" w:rsidRDefault="00045E41" w:rsidP="00045E41"/>
    <w:p w:rsidR="003717A0" w:rsidRPr="00566E4D" w:rsidRDefault="003717A0" w:rsidP="00566E4D">
      <w:pPr>
        <w:pStyle w:val="1"/>
        <w:rPr>
          <w:b/>
        </w:rPr>
      </w:pPr>
      <w:r w:rsidRPr="00566E4D">
        <w:rPr>
          <w:rFonts w:hint="eastAsia"/>
          <w:b/>
        </w:rPr>
        <w:lastRenderedPageBreak/>
        <w:t>《平衡协调治疗技术的实践》课程质量标准</w:t>
      </w:r>
      <w:bookmarkEnd w:id="117"/>
      <w:bookmarkEnd w:id="118"/>
    </w:p>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课程名称</w:t>
            </w:r>
          </w:p>
        </w:tc>
        <w:tc>
          <w:tcPr>
            <w:tcW w:w="7618" w:type="dxa"/>
            <w:gridSpan w:val="9"/>
          </w:tcPr>
          <w:p w:rsidR="003717A0" w:rsidRDefault="003717A0" w:rsidP="00566E4D">
            <w:pPr>
              <w:adjustRightInd w:val="0"/>
              <w:snapToGrid w:val="0"/>
              <w:spacing w:line="440" w:lineRule="atLeast"/>
              <w:jc w:val="center"/>
              <w:rPr>
                <w:sz w:val="22"/>
              </w:rPr>
            </w:pPr>
            <w:r>
              <w:rPr>
                <w:rFonts w:hint="eastAsia"/>
                <w:sz w:val="22"/>
              </w:rPr>
              <w:t>平衡协调治疗技术的实践</w:t>
            </w:r>
          </w:p>
        </w:tc>
      </w:tr>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英译名称</w:t>
            </w:r>
          </w:p>
        </w:tc>
        <w:tc>
          <w:tcPr>
            <w:tcW w:w="7618" w:type="dxa"/>
            <w:gridSpan w:val="9"/>
          </w:tcPr>
          <w:p w:rsidR="003717A0" w:rsidRDefault="003717A0" w:rsidP="00566E4D">
            <w:pPr>
              <w:adjustRightInd w:val="0"/>
              <w:snapToGrid w:val="0"/>
              <w:spacing w:line="440" w:lineRule="atLeast"/>
              <w:jc w:val="center"/>
              <w:rPr>
                <w:sz w:val="22"/>
              </w:rPr>
            </w:pPr>
            <w:r>
              <w:rPr>
                <w:sz w:val="22"/>
              </w:rPr>
              <w:t>The practice of balance and coordination treatment technology</w:t>
            </w:r>
          </w:p>
        </w:tc>
      </w:tr>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课程代码</w:t>
            </w:r>
          </w:p>
        </w:tc>
        <w:tc>
          <w:tcPr>
            <w:tcW w:w="2350" w:type="dxa"/>
            <w:gridSpan w:val="2"/>
          </w:tcPr>
          <w:p w:rsidR="003717A0" w:rsidRDefault="003717A0" w:rsidP="00566E4D">
            <w:pPr>
              <w:adjustRightInd w:val="0"/>
              <w:snapToGrid w:val="0"/>
              <w:spacing w:line="440" w:lineRule="atLeast"/>
              <w:jc w:val="center"/>
              <w:rPr>
                <w:sz w:val="22"/>
              </w:rPr>
            </w:pPr>
            <w:r>
              <w:rPr>
                <w:sz w:val="22"/>
              </w:rPr>
              <w:t>170715</w:t>
            </w:r>
          </w:p>
        </w:tc>
        <w:tc>
          <w:tcPr>
            <w:tcW w:w="1902" w:type="dxa"/>
            <w:gridSpan w:val="3"/>
          </w:tcPr>
          <w:p w:rsidR="003717A0" w:rsidRDefault="003717A0" w:rsidP="00566E4D">
            <w:pPr>
              <w:adjustRightInd w:val="0"/>
              <w:snapToGrid w:val="0"/>
              <w:spacing w:line="440" w:lineRule="atLeast"/>
              <w:jc w:val="center"/>
              <w:rPr>
                <w:sz w:val="22"/>
              </w:rPr>
            </w:pPr>
            <w:r>
              <w:rPr>
                <w:rFonts w:hint="eastAsia"/>
                <w:sz w:val="22"/>
              </w:rPr>
              <w:t>课程开设学期</w:t>
            </w:r>
          </w:p>
        </w:tc>
        <w:tc>
          <w:tcPr>
            <w:tcW w:w="3366" w:type="dxa"/>
            <w:gridSpan w:val="4"/>
          </w:tcPr>
          <w:p w:rsidR="003717A0" w:rsidRDefault="003717A0" w:rsidP="00566E4D">
            <w:pPr>
              <w:adjustRightInd w:val="0"/>
              <w:snapToGrid w:val="0"/>
              <w:spacing w:line="440" w:lineRule="atLeast"/>
              <w:jc w:val="center"/>
              <w:rPr>
                <w:sz w:val="22"/>
              </w:rPr>
            </w:pPr>
            <w:r>
              <w:rPr>
                <w:rFonts w:hint="eastAsia"/>
                <w:sz w:val="22"/>
              </w:rPr>
              <w:t>五</w:t>
            </w:r>
          </w:p>
        </w:tc>
      </w:tr>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课程学时</w:t>
            </w:r>
          </w:p>
        </w:tc>
        <w:tc>
          <w:tcPr>
            <w:tcW w:w="2350" w:type="dxa"/>
            <w:gridSpan w:val="2"/>
          </w:tcPr>
          <w:p w:rsidR="003717A0" w:rsidRDefault="003717A0" w:rsidP="00566E4D">
            <w:pPr>
              <w:adjustRightInd w:val="0"/>
              <w:snapToGrid w:val="0"/>
              <w:spacing w:line="440" w:lineRule="atLeast"/>
              <w:jc w:val="center"/>
              <w:rPr>
                <w:sz w:val="22"/>
              </w:rPr>
            </w:pPr>
            <w:r>
              <w:rPr>
                <w:sz w:val="22"/>
              </w:rPr>
              <w:t>18</w:t>
            </w:r>
          </w:p>
        </w:tc>
        <w:tc>
          <w:tcPr>
            <w:tcW w:w="1902" w:type="dxa"/>
            <w:gridSpan w:val="3"/>
          </w:tcPr>
          <w:p w:rsidR="003717A0" w:rsidRDefault="003717A0" w:rsidP="00566E4D">
            <w:pPr>
              <w:adjustRightInd w:val="0"/>
              <w:snapToGrid w:val="0"/>
              <w:spacing w:line="440" w:lineRule="atLeast"/>
              <w:jc w:val="center"/>
              <w:rPr>
                <w:sz w:val="22"/>
              </w:rPr>
            </w:pPr>
            <w:r>
              <w:rPr>
                <w:rFonts w:hint="eastAsia"/>
                <w:sz w:val="22"/>
              </w:rPr>
              <w:t>课程学分</w:t>
            </w:r>
          </w:p>
        </w:tc>
        <w:tc>
          <w:tcPr>
            <w:tcW w:w="3366" w:type="dxa"/>
            <w:gridSpan w:val="4"/>
          </w:tcPr>
          <w:p w:rsidR="003717A0" w:rsidRDefault="003717A0" w:rsidP="00566E4D">
            <w:pPr>
              <w:adjustRightInd w:val="0"/>
              <w:snapToGrid w:val="0"/>
              <w:spacing w:line="440" w:lineRule="atLeast"/>
              <w:jc w:val="center"/>
              <w:rPr>
                <w:sz w:val="22"/>
              </w:rPr>
            </w:pPr>
            <w:r>
              <w:rPr>
                <w:sz w:val="22"/>
              </w:rPr>
              <w:t>1</w:t>
            </w:r>
          </w:p>
        </w:tc>
      </w:tr>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课程类型</w:t>
            </w:r>
          </w:p>
        </w:tc>
        <w:tc>
          <w:tcPr>
            <w:tcW w:w="7618" w:type="dxa"/>
            <w:gridSpan w:val="9"/>
          </w:tcPr>
          <w:p w:rsidR="003717A0" w:rsidRDefault="003717A0" w:rsidP="00566E4D">
            <w:pPr>
              <w:adjustRightInd w:val="0"/>
              <w:snapToGrid w:val="0"/>
              <w:spacing w:line="440" w:lineRule="atLeas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□专业基础课□专业课</w:t>
            </w:r>
            <w:r>
              <w:rPr>
                <w:rFonts w:ascii="宋体" w:hAnsi="宋体" w:hint="eastAsia"/>
                <w:szCs w:val="21"/>
              </w:rPr>
              <w:t>■</w:t>
            </w:r>
            <w:r>
              <w:rPr>
                <w:rFonts w:ascii="宋体" w:hAnsi="宋体" w:hint="eastAsia"/>
                <w:sz w:val="22"/>
              </w:rPr>
              <w:t>专业选修课□公共选修课</w:t>
            </w:r>
          </w:p>
        </w:tc>
      </w:tr>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授课学院</w:t>
            </w:r>
          </w:p>
        </w:tc>
        <w:tc>
          <w:tcPr>
            <w:tcW w:w="2350" w:type="dxa"/>
            <w:gridSpan w:val="2"/>
          </w:tcPr>
          <w:p w:rsidR="003717A0" w:rsidRDefault="003717A0" w:rsidP="00566E4D">
            <w:pPr>
              <w:adjustRightInd w:val="0"/>
              <w:snapToGrid w:val="0"/>
              <w:spacing w:line="440" w:lineRule="atLeast"/>
              <w:jc w:val="center"/>
              <w:rPr>
                <w:sz w:val="22"/>
              </w:rPr>
            </w:pPr>
            <w:r>
              <w:rPr>
                <w:rFonts w:hint="eastAsia"/>
                <w:sz w:val="22"/>
              </w:rPr>
              <w:t>医学院</w:t>
            </w:r>
          </w:p>
        </w:tc>
        <w:tc>
          <w:tcPr>
            <w:tcW w:w="2634" w:type="dxa"/>
            <w:gridSpan w:val="5"/>
          </w:tcPr>
          <w:p w:rsidR="003717A0" w:rsidRDefault="003717A0" w:rsidP="00566E4D">
            <w:pPr>
              <w:adjustRightInd w:val="0"/>
              <w:snapToGrid w:val="0"/>
              <w:spacing w:line="440" w:lineRule="atLeas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566E4D">
            <w:pPr>
              <w:adjustRightInd w:val="0"/>
              <w:snapToGrid w:val="0"/>
              <w:spacing w:line="440" w:lineRule="atLeast"/>
              <w:jc w:val="center"/>
              <w:rPr>
                <w:sz w:val="22"/>
              </w:rPr>
            </w:pPr>
            <w:r>
              <w:rPr>
                <w:rFonts w:hint="eastAsia"/>
                <w:sz w:val="22"/>
              </w:rPr>
              <w:t>康复医学教研室</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教材名称</w:t>
            </w:r>
          </w:p>
        </w:tc>
        <w:tc>
          <w:tcPr>
            <w:tcW w:w="7618" w:type="dxa"/>
            <w:gridSpan w:val="9"/>
          </w:tcPr>
          <w:p w:rsidR="003717A0" w:rsidRDefault="003717A0" w:rsidP="00566E4D">
            <w:pPr>
              <w:adjustRightInd w:val="0"/>
              <w:snapToGrid w:val="0"/>
              <w:spacing w:line="440" w:lineRule="atLeast"/>
              <w:rPr>
                <w:sz w:val="22"/>
              </w:rPr>
            </w:pPr>
            <w:r>
              <w:rPr>
                <w:rFonts w:hint="eastAsia"/>
                <w:sz w:val="22"/>
              </w:rPr>
              <w:t>物理治疗学</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教材出版信息</w:t>
            </w:r>
          </w:p>
        </w:tc>
        <w:tc>
          <w:tcPr>
            <w:tcW w:w="7618" w:type="dxa"/>
            <w:gridSpan w:val="9"/>
          </w:tcPr>
          <w:p w:rsidR="003717A0" w:rsidRDefault="003717A0" w:rsidP="00566E4D">
            <w:pPr>
              <w:adjustRightInd w:val="0"/>
              <w:snapToGrid w:val="0"/>
              <w:spacing w:line="440" w:lineRule="atLeast"/>
              <w:rPr>
                <w:sz w:val="22"/>
              </w:rPr>
            </w:pPr>
            <w:r>
              <w:rPr>
                <w:rFonts w:hint="eastAsia"/>
                <w:sz w:val="22"/>
              </w:rPr>
              <w:t>人民卫生出版社</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教材性质</w:t>
            </w:r>
          </w:p>
        </w:tc>
        <w:tc>
          <w:tcPr>
            <w:tcW w:w="7618" w:type="dxa"/>
            <w:gridSpan w:val="9"/>
          </w:tcPr>
          <w:p w:rsidR="003717A0" w:rsidRDefault="003717A0" w:rsidP="00566E4D">
            <w:pPr>
              <w:adjustRightInd w:val="0"/>
              <w:snapToGrid w:val="0"/>
              <w:spacing w:line="440" w:lineRule="atLeast"/>
              <w:rPr>
                <w:sz w:val="22"/>
              </w:rPr>
            </w:pPr>
            <w:r>
              <w:rPr>
                <w:rFonts w:ascii="宋体" w:hAnsi="宋体" w:hint="eastAsia"/>
                <w:sz w:val="22"/>
              </w:rPr>
              <w:t>□国家□部级规划□省级规划</w:t>
            </w:r>
            <w:r>
              <w:rPr>
                <w:rFonts w:ascii="宋体" w:hAnsi="宋体" w:hint="eastAsia"/>
                <w:szCs w:val="21"/>
              </w:rPr>
              <w:t>■</w:t>
            </w:r>
            <w:r>
              <w:rPr>
                <w:rFonts w:ascii="宋体" w:hAnsi="宋体" w:hint="eastAsia"/>
                <w:sz w:val="22"/>
              </w:rPr>
              <w:t>自编□其他</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考核方式</w:t>
            </w:r>
          </w:p>
        </w:tc>
        <w:tc>
          <w:tcPr>
            <w:tcW w:w="7618" w:type="dxa"/>
            <w:gridSpan w:val="9"/>
          </w:tcPr>
          <w:p w:rsidR="003717A0" w:rsidRDefault="003717A0" w:rsidP="00566E4D">
            <w:pPr>
              <w:adjustRightInd w:val="0"/>
              <w:snapToGrid w:val="0"/>
              <w:spacing w:line="440" w:lineRule="atLeast"/>
              <w:rPr>
                <w:sz w:val="22"/>
              </w:rPr>
            </w:pPr>
            <w:r>
              <w:rPr>
                <w:rFonts w:ascii="宋体" w:hAnsi="宋体" w:hint="eastAsia"/>
                <w:sz w:val="22"/>
              </w:rPr>
              <w:t>□考试</w:t>
            </w:r>
            <w:r>
              <w:rPr>
                <w:rFonts w:ascii="宋体" w:hAnsi="宋体" w:hint="eastAsia"/>
                <w:szCs w:val="21"/>
              </w:rPr>
              <w:t>■</w:t>
            </w:r>
            <w:r>
              <w:rPr>
                <w:rFonts w:ascii="宋体" w:hAnsi="宋体" w:hint="eastAsia"/>
                <w:sz w:val="22"/>
              </w:rPr>
              <w:t>考查□开卷□闭卷□课程设计</w:t>
            </w:r>
            <w:r>
              <w:rPr>
                <w:rFonts w:ascii="宋体" w:hAnsi="宋体" w:hint="eastAsia"/>
                <w:szCs w:val="21"/>
              </w:rPr>
              <w:t>■</w:t>
            </w:r>
            <w:r>
              <w:rPr>
                <w:rFonts w:ascii="宋体" w:hAnsi="宋体" w:hint="eastAsia"/>
                <w:sz w:val="22"/>
              </w:rPr>
              <w:t>学期论文□其他</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课程成绩</w:t>
            </w:r>
          </w:p>
        </w:tc>
        <w:tc>
          <w:tcPr>
            <w:tcW w:w="3809" w:type="dxa"/>
            <w:gridSpan w:val="4"/>
          </w:tcPr>
          <w:p w:rsidR="003717A0" w:rsidRDefault="003717A0" w:rsidP="00566E4D">
            <w:pPr>
              <w:adjustRightInd w:val="0"/>
              <w:snapToGrid w:val="0"/>
              <w:spacing w:line="440" w:lineRule="atLeast"/>
              <w:rPr>
                <w:sz w:val="22"/>
              </w:rPr>
            </w:pPr>
            <w:r>
              <w:rPr>
                <w:rFonts w:hint="eastAsia"/>
                <w:sz w:val="22"/>
              </w:rPr>
              <w:t>平时成绩</w:t>
            </w:r>
            <w:r>
              <w:rPr>
                <w:sz w:val="22"/>
              </w:rPr>
              <w:t xml:space="preserve">  40%</w:t>
            </w:r>
          </w:p>
        </w:tc>
        <w:tc>
          <w:tcPr>
            <w:tcW w:w="3809" w:type="dxa"/>
            <w:gridSpan w:val="5"/>
          </w:tcPr>
          <w:p w:rsidR="003717A0" w:rsidRDefault="003717A0" w:rsidP="00566E4D">
            <w:pPr>
              <w:adjustRightInd w:val="0"/>
              <w:snapToGrid w:val="0"/>
              <w:spacing w:line="440" w:lineRule="atLeast"/>
              <w:rPr>
                <w:sz w:val="22"/>
              </w:rPr>
            </w:pPr>
            <w:r>
              <w:rPr>
                <w:rFonts w:hint="eastAsia"/>
                <w:sz w:val="22"/>
              </w:rPr>
              <w:t>期末成绩</w:t>
            </w:r>
            <w:r>
              <w:rPr>
                <w:sz w:val="22"/>
              </w:rPr>
              <w:t>60%</w:t>
            </w:r>
          </w:p>
        </w:tc>
      </w:tr>
      <w:tr w:rsidR="003717A0" w:rsidTr="00566E4D">
        <w:trPr>
          <w:jc w:val="center"/>
        </w:trPr>
        <w:tc>
          <w:tcPr>
            <w:tcW w:w="9286" w:type="dxa"/>
            <w:gridSpan w:val="10"/>
          </w:tcPr>
          <w:p w:rsidR="003717A0" w:rsidRDefault="003717A0" w:rsidP="00566E4D">
            <w:pPr>
              <w:adjustRightInd w:val="0"/>
              <w:snapToGrid w:val="0"/>
              <w:spacing w:line="440" w:lineRule="atLeast"/>
              <w:rPr>
                <w:sz w:val="22"/>
              </w:rPr>
            </w:pPr>
            <w:r>
              <w:rPr>
                <w:rFonts w:hint="eastAsia"/>
                <w:sz w:val="22"/>
              </w:rPr>
              <w:t>课程负责人及团队骨干（五人以内）</w:t>
            </w:r>
          </w:p>
        </w:tc>
      </w:tr>
      <w:tr w:rsidR="003717A0" w:rsidTr="00566E4D">
        <w:trPr>
          <w:jc w:val="center"/>
        </w:trPr>
        <w:tc>
          <w:tcPr>
            <w:tcW w:w="1668" w:type="dxa"/>
          </w:tcPr>
          <w:p w:rsidR="003717A0" w:rsidRDefault="003717A0" w:rsidP="00566E4D">
            <w:pPr>
              <w:adjustRightInd w:val="0"/>
              <w:snapToGrid w:val="0"/>
              <w:spacing w:line="440" w:lineRule="atLeast"/>
              <w:jc w:val="center"/>
              <w:rPr>
                <w:sz w:val="22"/>
              </w:rPr>
            </w:pPr>
            <w:r>
              <w:rPr>
                <w:rFonts w:hint="eastAsia"/>
                <w:sz w:val="22"/>
              </w:rPr>
              <w:t>姓名</w:t>
            </w:r>
          </w:p>
        </w:tc>
        <w:tc>
          <w:tcPr>
            <w:tcW w:w="1523" w:type="dxa"/>
          </w:tcPr>
          <w:p w:rsidR="003717A0" w:rsidRDefault="003717A0" w:rsidP="00566E4D">
            <w:pPr>
              <w:adjustRightInd w:val="0"/>
              <w:snapToGrid w:val="0"/>
              <w:spacing w:line="440" w:lineRule="atLeast"/>
              <w:jc w:val="center"/>
              <w:rPr>
                <w:sz w:val="22"/>
              </w:rPr>
            </w:pPr>
            <w:r>
              <w:rPr>
                <w:rFonts w:hint="eastAsia"/>
                <w:sz w:val="22"/>
              </w:rPr>
              <w:t>性别</w:t>
            </w:r>
          </w:p>
        </w:tc>
        <w:tc>
          <w:tcPr>
            <w:tcW w:w="1524" w:type="dxa"/>
            <w:gridSpan w:val="2"/>
          </w:tcPr>
          <w:p w:rsidR="003717A0" w:rsidRDefault="003717A0" w:rsidP="00566E4D">
            <w:pPr>
              <w:adjustRightInd w:val="0"/>
              <w:snapToGrid w:val="0"/>
              <w:spacing w:line="440" w:lineRule="atLeast"/>
              <w:jc w:val="center"/>
              <w:rPr>
                <w:sz w:val="22"/>
              </w:rPr>
            </w:pPr>
            <w:r>
              <w:rPr>
                <w:rFonts w:hint="eastAsia"/>
                <w:sz w:val="22"/>
              </w:rPr>
              <w:t>学历</w:t>
            </w:r>
          </w:p>
        </w:tc>
        <w:tc>
          <w:tcPr>
            <w:tcW w:w="1523" w:type="dxa"/>
            <w:gridSpan w:val="3"/>
          </w:tcPr>
          <w:p w:rsidR="003717A0" w:rsidRDefault="003717A0" w:rsidP="00566E4D">
            <w:pPr>
              <w:adjustRightInd w:val="0"/>
              <w:snapToGrid w:val="0"/>
              <w:spacing w:line="440" w:lineRule="atLeast"/>
              <w:jc w:val="center"/>
              <w:rPr>
                <w:sz w:val="22"/>
              </w:rPr>
            </w:pPr>
            <w:r>
              <w:rPr>
                <w:rFonts w:hint="eastAsia"/>
                <w:sz w:val="22"/>
              </w:rPr>
              <w:t>学位</w:t>
            </w:r>
          </w:p>
        </w:tc>
        <w:tc>
          <w:tcPr>
            <w:tcW w:w="1524" w:type="dxa"/>
            <w:gridSpan w:val="2"/>
          </w:tcPr>
          <w:p w:rsidR="003717A0" w:rsidRDefault="003717A0" w:rsidP="00566E4D">
            <w:pPr>
              <w:adjustRightInd w:val="0"/>
              <w:snapToGrid w:val="0"/>
              <w:spacing w:line="440" w:lineRule="atLeast"/>
              <w:jc w:val="center"/>
              <w:rPr>
                <w:sz w:val="22"/>
              </w:rPr>
            </w:pPr>
            <w:r>
              <w:rPr>
                <w:rFonts w:hint="eastAsia"/>
                <w:sz w:val="22"/>
              </w:rPr>
              <w:t>职称</w:t>
            </w:r>
          </w:p>
        </w:tc>
        <w:tc>
          <w:tcPr>
            <w:tcW w:w="1524" w:type="dxa"/>
          </w:tcPr>
          <w:p w:rsidR="003717A0" w:rsidRDefault="003717A0" w:rsidP="00566E4D">
            <w:pPr>
              <w:adjustRightInd w:val="0"/>
              <w:snapToGrid w:val="0"/>
              <w:spacing w:line="440" w:lineRule="atLeast"/>
              <w:jc w:val="center"/>
              <w:rPr>
                <w:sz w:val="22"/>
              </w:rPr>
            </w:pPr>
            <w:r>
              <w:rPr>
                <w:rFonts w:hint="eastAsia"/>
                <w:sz w:val="22"/>
              </w:rPr>
              <w:t>从教时间</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沈光宇</w:t>
            </w:r>
          </w:p>
        </w:tc>
        <w:tc>
          <w:tcPr>
            <w:tcW w:w="1523" w:type="dxa"/>
          </w:tcPr>
          <w:p w:rsidR="003717A0" w:rsidRDefault="003717A0" w:rsidP="00566E4D">
            <w:pPr>
              <w:adjustRightInd w:val="0"/>
              <w:snapToGrid w:val="0"/>
              <w:spacing w:line="440" w:lineRule="atLeast"/>
              <w:rPr>
                <w:sz w:val="22"/>
              </w:rPr>
            </w:pPr>
            <w:r>
              <w:rPr>
                <w:rFonts w:hint="eastAsia"/>
                <w:sz w:val="22"/>
              </w:rPr>
              <w:t>男</w:t>
            </w:r>
          </w:p>
        </w:tc>
        <w:tc>
          <w:tcPr>
            <w:tcW w:w="1524" w:type="dxa"/>
            <w:gridSpan w:val="2"/>
          </w:tcPr>
          <w:p w:rsidR="003717A0" w:rsidRDefault="003717A0" w:rsidP="00566E4D">
            <w:pPr>
              <w:adjustRightInd w:val="0"/>
              <w:snapToGrid w:val="0"/>
              <w:spacing w:line="440" w:lineRule="atLeast"/>
              <w:rPr>
                <w:sz w:val="22"/>
              </w:rPr>
            </w:pPr>
            <w:r>
              <w:rPr>
                <w:rFonts w:hint="eastAsia"/>
                <w:sz w:val="22"/>
              </w:rPr>
              <w:t>本科</w:t>
            </w:r>
          </w:p>
        </w:tc>
        <w:tc>
          <w:tcPr>
            <w:tcW w:w="1523" w:type="dxa"/>
            <w:gridSpan w:val="3"/>
          </w:tcPr>
          <w:p w:rsidR="003717A0" w:rsidRDefault="003717A0" w:rsidP="00566E4D">
            <w:pPr>
              <w:adjustRightInd w:val="0"/>
              <w:snapToGrid w:val="0"/>
              <w:spacing w:line="440" w:lineRule="atLeast"/>
              <w:rPr>
                <w:sz w:val="22"/>
              </w:rPr>
            </w:pPr>
            <w:r>
              <w:rPr>
                <w:rFonts w:hint="eastAsia"/>
                <w:sz w:val="22"/>
              </w:rPr>
              <w:t>学士</w:t>
            </w:r>
          </w:p>
        </w:tc>
        <w:tc>
          <w:tcPr>
            <w:tcW w:w="1524" w:type="dxa"/>
            <w:gridSpan w:val="2"/>
          </w:tcPr>
          <w:p w:rsidR="003717A0" w:rsidRDefault="003717A0" w:rsidP="00566E4D">
            <w:pPr>
              <w:adjustRightInd w:val="0"/>
              <w:snapToGrid w:val="0"/>
              <w:spacing w:line="440" w:lineRule="atLeast"/>
              <w:rPr>
                <w:sz w:val="22"/>
              </w:rPr>
            </w:pPr>
            <w:r>
              <w:rPr>
                <w:rFonts w:hint="eastAsia"/>
                <w:sz w:val="22"/>
              </w:rPr>
              <w:t>教授</w:t>
            </w:r>
          </w:p>
        </w:tc>
        <w:tc>
          <w:tcPr>
            <w:tcW w:w="1524" w:type="dxa"/>
          </w:tcPr>
          <w:p w:rsidR="003717A0" w:rsidRDefault="003717A0" w:rsidP="00566E4D">
            <w:pPr>
              <w:adjustRightInd w:val="0"/>
              <w:snapToGrid w:val="0"/>
              <w:spacing w:line="440" w:lineRule="atLeast"/>
              <w:rPr>
                <w:sz w:val="22"/>
              </w:rPr>
            </w:pPr>
            <w:r>
              <w:rPr>
                <w:sz w:val="22"/>
              </w:rPr>
              <w:t>1985.06</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胡玉明</w:t>
            </w:r>
          </w:p>
        </w:tc>
        <w:tc>
          <w:tcPr>
            <w:tcW w:w="1523" w:type="dxa"/>
          </w:tcPr>
          <w:p w:rsidR="003717A0" w:rsidRDefault="003717A0" w:rsidP="00566E4D">
            <w:pPr>
              <w:adjustRightInd w:val="0"/>
              <w:snapToGrid w:val="0"/>
              <w:spacing w:line="440" w:lineRule="atLeast"/>
              <w:rPr>
                <w:sz w:val="22"/>
              </w:rPr>
            </w:pPr>
            <w:r>
              <w:rPr>
                <w:rFonts w:hint="eastAsia"/>
                <w:sz w:val="22"/>
              </w:rPr>
              <w:t>女</w:t>
            </w:r>
          </w:p>
        </w:tc>
        <w:tc>
          <w:tcPr>
            <w:tcW w:w="1524" w:type="dxa"/>
            <w:gridSpan w:val="2"/>
          </w:tcPr>
          <w:p w:rsidR="003717A0" w:rsidRDefault="003717A0" w:rsidP="00566E4D">
            <w:pPr>
              <w:adjustRightInd w:val="0"/>
              <w:snapToGrid w:val="0"/>
              <w:spacing w:line="440" w:lineRule="atLeast"/>
              <w:rPr>
                <w:sz w:val="22"/>
              </w:rPr>
            </w:pPr>
            <w:r>
              <w:rPr>
                <w:rFonts w:hint="eastAsia"/>
                <w:sz w:val="22"/>
              </w:rPr>
              <w:t>研究生</w:t>
            </w:r>
          </w:p>
        </w:tc>
        <w:tc>
          <w:tcPr>
            <w:tcW w:w="1523" w:type="dxa"/>
            <w:gridSpan w:val="3"/>
          </w:tcPr>
          <w:p w:rsidR="003717A0" w:rsidRDefault="003717A0" w:rsidP="00566E4D">
            <w:pPr>
              <w:adjustRightInd w:val="0"/>
              <w:snapToGrid w:val="0"/>
              <w:spacing w:line="440" w:lineRule="atLeast"/>
              <w:rPr>
                <w:sz w:val="22"/>
              </w:rPr>
            </w:pPr>
            <w:r>
              <w:rPr>
                <w:rFonts w:hint="eastAsia"/>
                <w:sz w:val="22"/>
              </w:rPr>
              <w:t>硕士</w:t>
            </w:r>
          </w:p>
        </w:tc>
        <w:tc>
          <w:tcPr>
            <w:tcW w:w="1524" w:type="dxa"/>
            <w:gridSpan w:val="2"/>
          </w:tcPr>
          <w:p w:rsidR="003717A0" w:rsidRDefault="003717A0" w:rsidP="00566E4D">
            <w:pPr>
              <w:adjustRightInd w:val="0"/>
              <w:snapToGrid w:val="0"/>
              <w:spacing w:line="440" w:lineRule="atLeast"/>
              <w:rPr>
                <w:sz w:val="22"/>
              </w:rPr>
            </w:pPr>
            <w:r>
              <w:rPr>
                <w:rFonts w:hint="eastAsia"/>
                <w:sz w:val="22"/>
              </w:rPr>
              <w:t>讲师</w:t>
            </w:r>
          </w:p>
        </w:tc>
        <w:tc>
          <w:tcPr>
            <w:tcW w:w="1524" w:type="dxa"/>
          </w:tcPr>
          <w:p w:rsidR="003717A0" w:rsidRDefault="003717A0" w:rsidP="00566E4D">
            <w:pPr>
              <w:adjustRightInd w:val="0"/>
              <w:snapToGrid w:val="0"/>
              <w:spacing w:line="440" w:lineRule="atLeast"/>
              <w:rPr>
                <w:sz w:val="22"/>
              </w:rPr>
            </w:pPr>
            <w:r>
              <w:rPr>
                <w:sz w:val="22"/>
              </w:rPr>
              <w:t>2003.08</w:t>
            </w:r>
          </w:p>
        </w:tc>
      </w:tr>
      <w:tr w:rsidR="003717A0" w:rsidTr="00566E4D">
        <w:trPr>
          <w:jc w:val="center"/>
        </w:trPr>
        <w:tc>
          <w:tcPr>
            <w:tcW w:w="1668" w:type="dxa"/>
          </w:tcPr>
          <w:p w:rsidR="003717A0" w:rsidRDefault="003717A0" w:rsidP="00566E4D">
            <w:pPr>
              <w:adjustRightInd w:val="0"/>
              <w:snapToGrid w:val="0"/>
              <w:spacing w:line="440" w:lineRule="atLeast"/>
              <w:rPr>
                <w:sz w:val="22"/>
              </w:rPr>
            </w:pPr>
            <w:r>
              <w:rPr>
                <w:rFonts w:hint="eastAsia"/>
                <w:sz w:val="22"/>
              </w:rPr>
              <w:t>鞠晶昀</w:t>
            </w:r>
          </w:p>
        </w:tc>
        <w:tc>
          <w:tcPr>
            <w:tcW w:w="1523" w:type="dxa"/>
          </w:tcPr>
          <w:p w:rsidR="003717A0" w:rsidRDefault="003717A0" w:rsidP="00566E4D">
            <w:pPr>
              <w:adjustRightInd w:val="0"/>
              <w:snapToGrid w:val="0"/>
              <w:spacing w:line="440" w:lineRule="atLeast"/>
              <w:rPr>
                <w:sz w:val="22"/>
              </w:rPr>
            </w:pPr>
            <w:r>
              <w:rPr>
                <w:rFonts w:hint="eastAsia"/>
                <w:sz w:val="22"/>
              </w:rPr>
              <w:t>女</w:t>
            </w:r>
          </w:p>
        </w:tc>
        <w:tc>
          <w:tcPr>
            <w:tcW w:w="1524" w:type="dxa"/>
            <w:gridSpan w:val="2"/>
          </w:tcPr>
          <w:p w:rsidR="003717A0" w:rsidRDefault="003717A0" w:rsidP="00566E4D">
            <w:pPr>
              <w:adjustRightInd w:val="0"/>
              <w:snapToGrid w:val="0"/>
              <w:spacing w:line="440" w:lineRule="atLeast"/>
              <w:rPr>
                <w:sz w:val="22"/>
              </w:rPr>
            </w:pPr>
            <w:r>
              <w:rPr>
                <w:rFonts w:hint="eastAsia"/>
                <w:sz w:val="22"/>
              </w:rPr>
              <w:t>研究生</w:t>
            </w:r>
          </w:p>
        </w:tc>
        <w:tc>
          <w:tcPr>
            <w:tcW w:w="1523" w:type="dxa"/>
            <w:gridSpan w:val="3"/>
          </w:tcPr>
          <w:p w:rsidR="003717A0" w:rsidRDefault="003717A0" w:rsidP="00566E4D">
            <w:pPr>
              <w:adjustRightInd w:val="0"/>
              <w:snapToGrid w:val="0"/>
              <w:spacing w:line="440" w:lineRule="atLeast"/>
              <w:rPr>
                <w:sz w:val="22"/>
              </w:rPr>
            </w:pPr>
            <w:r>
              <w:rPr>
                <w:rFonts w:hint="eastAsia"/>
                <w:sz w:val="22"/>
              </w:rPr>
              <w:t>硕士</w:t>
            </w:r>
          </w:p>
        </w:tc>
        <w:tc>
          <w:tcPr>
            <w:tcW w:w="1524" w:type="dxa"/>
            <w:gridSpan w:val="2"/>
          </w:tcPr>
          <w:p w:rsidR="003717A0" w:rsidRDefault="003717A0" w:rsidP="00566E4D">
            <w:pPr>
              <w:adjustRightInd w:val="0"/>
              <w:snapToGrid w:val="0"/>
              <w:spacing w:line="440" w:lineRule="atLeast"/>
              <w:rPr>
                <w:sz w:val="22"/>
              </w:rPr>
            </w:pPr>
            <w:r>
              <w:rPr>
                <w:rFonts w:hint="eastAsia"/>
                <w:sz w:val="22"/>
              </w:rPr>
              <w:t>讲师</w:t>
            </w:r>
          </w:p>
        </w:tc>
        <w:tc>
          <w:tcPr>
            <w:tcW w:w="1524" w:type="dxa"/>
          </w:tcPr>
          <w:p w:rsidR="003717A0" w:rsidRDefault="003717A0" w:rsidP="00566E4D">
            <w:pPr>
              <w:adjustRightInd w:val="0"/>
              <w:snapToGrid w:val="0"/>
              <w:spacing w:line="440" w:lineRule="atLeast"/>
              <w:rPr>
                <w:sz w:val="22"/>
              </w:rPr>
            </w:pPr>
            <w:r>
              <w:rPr>
                <w:sz w:val="22"/>
              </w:rPr>
              <w:t>2005.08</w:t>
            </w:r>
          </w:p>
        </w:tc>
      </w:tr>
      <w:tr w:rsidR="003717A0" w:rsidTr="00566E4D">
        <w:trPr>
          <w:jc w:val="center"/>
        </w:trPr>
        <w:tc>
          <w:tcPr>
            <w:tcW w:w="1668" w:type="dxa"/>
          </w:tcPr>
          <w:p w:rsidR="003717A0" w:rsidRDefault="003717A0" w:rsidP="00566E4D">
            <w:pPr>
              <w:adjustRightInd w:val="0"/>
              <w:snapToGrid w:val="0"/>
              <w:spacing w:line="440" w:lineRule="atLeast"/>
              <w:rPr>
                <w:sz w:val="22"/>
              </w:rPr>
            </w:pPr>
          </w:p>
        </w:tc>
        <w:tc>
          <w:tcPr>
            <w:tcW w:w="1523" w:type="dxa"/>
          </w:tcPr>
          <w:p w:rsidR="003717A0" w:rsidRDefault="003717A0" w:rsidP="00566E4D">
            <w:pPr>
              <w:adjustRightInd w:val="0"/>
              <w:snapToGrid w:val="0"/>
              <w:spacing w:line="440" w:lineRule="atLeast"/>
              <w:rPr>
                <w:sz w:val="22"/>
              </w:rPr>
            </w:pPr>
          </w:p>
        </w:tc>
        <w:tc>
          <w:tcPr>
            <w:tcW w:w="1524" w:type="dxa"/>
            <w:gridSpan w:val="2"/>
          </w:tcPr>
          <w:p w:rsidR="003717A0" w:rsidRDefault="003717A0" w:rsidP="00566E4D">
            <w:pPr>
              <w:adjustRightInd w:val="0"/>
              <w:snapToGrid w:val="0"/>
              <w:spacing w:line="440" w:lineRule="atLeast"/>
              <w:rPr>
                <w:sz w:val="22"/>
              </w:rPr>
            </w:pPr>
          </w:p>
        </w:tc>
        <w:tc>
          <w:tcPr>
            <w:tcW w:w="1523" w:type="dxa"/>
            <w:gridSpan w:val="3"/>
          </w:tcPr>
          <w:p w:rsidR="003717A0" w:rsidRDefault="003717A0" w:rsidP="00566E4D">
            <w:pPr>
              <w:adjustRightInd w:val="0"/>
              <w:snapToGrid w:val="0"/>
              <w:spacing w:line="440" w:lineRule="atLeast"/>
              <w:rPr>
                <w:sz w:val="22"/>
              </w:rPr>
            </w:pPr>
          </w:p>
        </w:tc>
        <w:tc>
          <w:tcPr>
            <w:tcW w:w="1524" w:type="dxa"/>
            <w:gridSpan w:val="2"/>
          </w:tcPr>
          <w:p w:rsidR="003717A0" w:rsidRDefault="003717A0" w:rsidP="00566E4D">
            <w:pPr>
              <w:adjustRightInd w:val="0"/>
              <w:snapToGrid w:val="0"/>
              <w:spacing w:line="440" w:lineRule="atLeast"/>
              <w:rPr>
                <w:sz w:val="22"/>
              </w:rPr>
            </w:pPr>
          </w:p>
        </w:tc>
        <w:tc>
          <w:tcPr>
            <w:tcW w:w="1524" w:type="dxa"/>
          </w:tcPr>
          <w:p w:rsidR="003717A0" w:rsidRDefault="003717A0" w:rsidP="00566E4D">
            <w:pPr>
              <w:adjustRightInd w:val="0"/>
              <w:snapToGrid w:val="0"/>
              <w:spacing w:line="440" w:lineRule="atLeast"/>
              <w:rPr>
                <w:sz w:val="22"/>
              </w:rPr>
            </w:pPr>
          </w:p>
        </w:tc>
      </w:tr>
      <w:tr w:rsidR="003717A0" w:rsidTr="00566E4D">
        <w:trPr>
          <w:jc w:val="center"/>
        </w:trPr>
        <w:tc>
          <w:tcPr>
            <w:tcW w:w="1668" w:type="dxa"/>
          </w:tcPr>
          <w:p w:rsidR="003717A0" w:rsidRDefault="003717A0" w:rsidP="00566E4D">
            <w:pPr>
              <w:adjustRightInd w:val="0"/>
              <w:snapToGrid w:val="0"/>
              <w:spacing w:line="440" w:lineRule="atLeast"/>
              <w:rPr>
                <w:sz w:val="22"/>
              </w:rPr>
            </w:pPr>
          </w:p>
        </w:tc>
        <w:tc>
          <w:tcPr>
            <w:tcW w:w="1523" w:type="dxa"/>
          </w:tcPr>
          <w:p w:rsidR="003717A0" w:rsidRDefault="003717A0" w:rsidP="00566E4D">
            <w:pPr>
              <w:adjustRightInd w:val="0"/>
              <w:snapToGrid w:val="0"/>
              <w:spacing w:line="440" w:lineRule="atLeast"/>
              <w:rPr>
                <w:sz w:val="22"/>
              </w:rPr>
            </w:pPr>
          </w:p>
        </w:tc>
        <w:tc>
          <w:tcPr>
            <w:tcW w:w="1524" w:type="dxa"/>
            <w:gridSpan w:val="2"/>
          </w:tcPr>
          <w:p w:rsidR="003717A0" w:rsidRDefault="003717A0" w:rsidP="00566E4D">
            <w:pPr>
              <w:adjustRightInd w:val="0"/>
              <w:snapToGrid w:val="0"/>
              <w:spacing w:line="440" w:lineRule="atLeast"/>
              <w:rPr>
                <w:sz w:val="22"/>
              </w:rPr>
            </w:pPr>
          </w:p>
        </w:tc>
        <w:tc>
          <w:tcPr>
            <w:tcW w:w="1523" w:type="dxa"/>
            <w:gridSpan w:val="3"/>
          </w:tcPr>
          <w:p w:rsidR="003717A0" w:rsidRDefault="003717A0" w:rsidP="00566E4D">
            <w:pPr>
              <w:adjustRightInd w:val="0"/>
              <w:snapToGrid w:val="0"/>
              <w:spacing w:line="440" w:lineRule="atLeast"/>
              <w:rPr>
                <w:sz w:val="22"/>
              </w:rPr>
            </w:pPr>
          </w:p>
        </w:tc>
        <w:tc>
          <w:tcPr>
            <w:tcW w:w="1524" w:type="dxa"/>
            <w:gridSpan w:val="2"/>
          </w:tcPr>
          <w:p w:rsidR="003717A0" w:rsidRDefault="003717A0" w:rsidP="00566E4D">
            <w:pPr>
              <w:adjustRightInd w:val="0"/>
              <w:snapToGrid w:val="0"/>
              <w:spacing w:line="440" w:lineRule="atLeast"/>
              <w:rPr>
                <w:sz w:val="22"/>
              </w:rPr>
            </w:pPr>
          </w:p>
        </w:tc>
        <w:tc>
          <w:tcPr>
            <w:tcW w:w="1524" w:type="dxa"/>
          </w:tcPr>
          <w:p w:rsidR="003717A0" w:rsidRDefault="003717A0" w:rsidP="00566E4D">
            <w:pPr>
              <w:adjustRightInd w:val="0"/>
              <w:snapToGrid w:val="0"/>
              <w:spacing w:line="440" w:lineRule="atLeast"/>
              <w:rPr>
                <w:sz w:val="22"/>
              </w:rPr>
            </w:pPr>
          </w:p>
        </w:tc>
      </w:tr>
      <w:tr w:rsidR="003717A0" w:rsidTr="00566E4D">
        <w:trPr>
          <w:jc w:val="center"/>
        </w:trPr>
        <w:tc>
          <w:tcPr>
            <w:tcW w:w="9286" w:type="dxa"/>
            <w:gridSpan w:val="10"/>
          </w:tcPr>
          <w:p w:rsidR="003717A0" w:rsidRDefault="003717A0" w:rsidP="00566E4D">
            <w:pPr>
              <w:adjustRightInd w:val="0"/>
              <w:snapToGrid w:val="0"/>
              <w:spacing w:line="440" w:lineRule="atLeast"/>
              <w:rPr>
                <w:sz w:val="22"/>
              </w:rPr>
            </w:pPr>
            <w:r>
              <w:rPr>
                <w:rFonts w:hint="eastAsia"/>
                <w:sz w:val="22"/>
              </w:rPr>
              <w:t>课程简介</w:t>
            </w:r>
          </w:p>
        </w:tc>
      </w:tr>
      <w:tr w:rsidR="003717A0" w:rsidTr="00566E4D">
        <w:trPr>
          <w:jc w:val="center"/>
        </w:trPr>
        <w:tc>
          <w:tcPr>
            <w:tcW w:w="9286" w:type="dxa"/>
            <w:gridSpan w:val="10"/>
          </w:tcPr>
          <w:p w:rsidR="003717A0" w:rsidRDefault="003717A0" w:rsidP="00566E4D">
            <w:pPr>
              <w:adjustRightInd w:val="0"/>
              <w:snapToGrid w:val="0"/>
              <w:spacing w:line="440" w:lineRule="atLeast"/>
              <w:rPr>
                <w:sz w:val="22"/>
              </w:rPr>
            </w:pPr>
            <w:r>
              <w:rPr>
                <w:sz w:val="22"/>
              </w:rPr>
              <w:t xml:space="preserve">    </w:t>
            </w:r>
            <w:r>
              <w:rPr>
                <w:rFonts w:hint="eastAsia"/>
                <w:sz w:val="22"/>
              </w:rPr>
              <w:t>平衡协调治疗技术的实践是康复治疗本科专业学生的专业选修课程。课程主要内容包括影响平衡与协调的生理学机制，平衡与协调功能的意义，平衡协调训练的原则、方法及训练的注意事项，通过本课程的教学，要求学生能判断引起患者平衡与协调障碍的原因及机制并能给予相应的治疗方法。教学的主要路径与方法：（</w:t>
            </w:r>
            <w:r>
              <w:rPr>
                <w:sz w:val="22"/>
              </w:rPr>
              <w:t>1</w:t>
            </w:r>
            <w:r>
              <w:rPr>
                <w:rFonts w:hint="eastAsia"/>
                <w:sz w:val="22"/>
              </w:rPr>
              <w:t>）</w:t>
            </w:r>
            <w:r>
              <w:rPr>
                <w:sz w:val="22"/>
              </w:rPr>
              <w:t xml:space="preserve"> </w:t>
            </w:r>
            <w:r>
              <w:rPr>
                <w:rFonts w:hint="eastAsia"/>
                <w:sz w:val="22"/>
              </w:rPr>
              <w:t>通过理论课堂讲解有关平衡与协调的基本概念，使学生掌握这些基本概念。（</w:t>
            </w:r>
            <w:r>
              <w:rPr>
                <w:sz w:val="22"/>
              </w:rPr>
              <w:t>2</w:t>
            </w:r>
            <w:r>
              <w:rPr>
                <w:rFonts w:hint="eastAsia"/>
                <w:sz w:val="22"/>
              </w:rPr>
              <w:t>）播放平衡协调障碍患者的视频，让学生自主分析讨论障碍的原因。（</w:t>
            </w:r>
            <w:r>
              <w:rPr>
                <w:sz w:val="22"/>
              </w:rPr>
              <w:t>3</w:t>
            </w:r>
            <w:r>
              <w:rPr>
                <w:rFonts w:hint="eastAsia"/>
                <w:sz w:val="22"/>
              </w:rPr>
              <w:t>）实践操作。模拟平衡协调障碍的表现，并给予相应的训练方法（</w:t>
            </w:r>
            <w:r>
              <w:rPr>
                <w:sz w:val="22"/>
              </w:rPr>
              <w:t>4</w:t>
            </w:r>
            <w:r>
              <w:rPr>
                <w:rFonts w:hint="eastAsia"/>
                <w:sz w:val="22"/>
              </w:rPr>
              <w:t>）根据讲授的内容，给予</w:t>
            </w:r>
            <w:r>
              <w:rPr>
                <w:sz w:val="22"/>
              </w:rPr>
              <w:t>5</w:t>
            </w:r>
            <w:r>
              <w:rPr>
                <w:rFonts w:hint="eastAsia"/>
                <w:sz w:val="22"/>
              </w:rPr>
              <w:t>个真实的案例，学生自由分成</w:t>
            </w:r>
            <w:r>
              <w:rPr>
                <w:sz w:val="22"/>
              </w:rPr>
              <w:t>5</w:t>
            </w:r>
            <w:r>
              <w:rPr>
                <w:rFonts w:hint="eastAsia"/>
                <w:sz w:val="22"/>
              </w:rPr>
              <w:t>组，收集资料，自学、整理、制作相关</w:t>
            </w:r>
            <w:r>
              <w:rPr>
                <w:sz w:val="22"/>
              </w:rPr>
              <w:t>PPT</w:t>
            </w:r>
            <w:r>
              <w:rPr>
                <w:rFonts w:hint="eastAsia"/>
                <w:sz w:val="22"/>
              </w:rPr>
              <w:t>，并进行全班交流和讨论，拓展与本课程相关的知识。</w:t>
            </w:r>
          </w:p>
        </w:tc>
      </w:tr>
    </w:tbl>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170715</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宋体"/>
          <w:kern w:val="0"/>
          <w:sz w:val="22"/>
        </w:rPr>
        <w:t>18</w:t>
      </w:r>
      <w:r>
        <w:rPr>
          <w:rFonts w:ascii="Times New Roman" w:hAnsi="宋体" w:hint="eastAsia"/>
          <w:kern w:val="0"/>
          <w:sz w:val="22"/>
        </w:rPr>
        <w:t>学时（理论学时：</w:t>
      </w:r>
      <w:r>
        <w:rPr>
          <w:rFonts w:ascii="Times New Roman" w:hAnsi="宋体"/>
          <w:kern w:val="0"/>
          <w:sz w:val="22"/>
        </w:rPr>
        <w:t>12</w:t>
      </w:r>
      <w:r>
        <w:rPr>
          <w:rFonts w:ascii="Times New Roman" w:hAnsi="宋体" w:hint="eastAsia"/>
          <w:kern w:val="0"/>
          <w:sz w:val="22"/>
        </w:rPr>
        <w:t>，实践学时：</w:t>
      </w:r>
      <w:r>
        <w:rPr>
          <w:rFonts w:ascii="Times New Roman" w:hAnsi="宋体"/>
          <w:kern w:val="0"/>
          <w:sz w:val="22"/>
        </w:rPr>
        <w:t>6</w:t>
      </w:r>
      <w:r>
        <w:rPr>
          <w:rFonts w:ascii="Times New Roman" w:hAnsi="宋体" w:hint="eastAsia"/>
          <w:kern w:val="0"/>
          <w:sz w:val="22"/>
        </w:rPr>
        <w:t>）</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宋体"/>
          <w:kern w:val="0"/>
          <w:sz w:val="22"/>
        </w:rPr>
        <w:t>1</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先修课程：康复评定学</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后续课程：</w:t>
      </w:r>
      <w:r>
        <w:rPr>
          <w:rFonts w:ascii="Times New Roman" w:hAnsi="Times New Roman"/>
          <w:kern w:val="0"/>
          <w:szCs w:val="21"/>
        </w:rPr>
        <w:t xml:space="preserve"> </w:t>
      </w:r>
      <w:r>
        <w:rPr>
          <w:rFonts w:ascii="Times New Roman" w:hAnsi="Times New Roman" w:hint="eastAsia"/>
          <w:kern w:val="0"/>
          <w:szCs w:val="21"/>
        </w:rPr>
        <w:t>临床康复学</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ind w:firstLineChars="200" w:firstLine="440"/>
        <w:jc w:val="left"/>
        <w:rPr>
          <w:rFonts w:ascii="Times New Roman" w:hAnsi="宋体"/>
          <w:kern w:val="0"/>
          <w:sz w:val="22"/>
        </w:rPr>
      </w:pPr>
      <w:r>
        <w:rPr>
          <w:rFonts w:hint="eastAsia"/>
          <w:sz w:val="22"/>
        </w:rPr>
        <w:t>性质：</w:t>
      </w:r>
      <w:r>
        <w:rPr>
          <w:rFonts w:ascii="Times New Roman" w:hAnsi="宋体" w:hint="eastAsia"/>
          <w:kern w:val="0"/>
          <w:sz w:val="22"/>
        </w:rPr>
        <w:t>作为康复治疗专业的学生，要对平衡协调功能障碍的患者进行训练，必须对其发生机制，影响因素，障碍类型有全面的了解，另外在掌握平衡和协调治疗技术及训练方法的基础上，更要能够将其切实运用到实际案例中，经过实际的应用于操作，才能更好的理解与掌握。</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ascii="Times New Roman" w:hAnsi="宋体" w:hint="eastAsia"/>
          <w:kern w:val="0"/>
          <w:sz w:val="22"/>
        </w:rPr>
        <w:t>任务：让每一位学生能够独自处理有平衡协调障碍的患者，正确分清其障碍类型并给予合适的指导及训练。</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三、教学目的与要求</w:t>
      </w:r>
    </w:p>
    <w:p w:rsidR="003717A0" w:rsidRDefault="003717A0">
      <w:pPr>
        <w:autoSpaceDE w:val="0"/>
        <w:autoSpaceDN w:val="0"/>
        <w:adjustRightInd w:val="0"/>
        <w:snapToGrid w:val="0"/>
        <w:spacing w:line="440" w:lineRule="exact"/>
        <w:jc w:val="left"/>
        <w:rPr>
          <w:rFonts w:ascii="Times New Roman" w:hAnsi="宋体"/>
          <w:kern w:val="0"/>
          <w:sz w:val="22"/>
        </w:rPr>
      </w:pPr>
      <w:r>
        <w:rPr>
          <w:sz w:val="22"/>
        </w:rPr>
        <w:t xml:space="preserve">   </w:t>
      </w:r>
      <w:r>
        <w:rPr>
          <w:rFonts w:ascii="Times New Roman" w:hAnsi="宋体"/>
          <w:kern w:val="0"/>
          <w:sz w:val="22"/>
        </w:rPr>
        <w:t>1.</w:t>
      </w:r>
      <w:r>
        <w:rPr>
          <w:rFonts w:ascii="Times New Roman" w:hAnsi="宋体" w:hint="eastAsia"/>
          <w:kern w:val="0"/>
          <w:sz w:val="22"/>
        </w:rPr>
        <w:t>了解影响人体平衡及协调功能的生理机制</w:t>
      </w:r>
    </w:p>
    <w:p w:rsidR="003717A0" w:rsidRDefault="003717A0">
      <w:pPr>
        <w:autoSpaceDE w:val="0"/>
        <w:autoSpaceDN w:val="0"/>
        <w:adjustRightInd w:val="0"/>
        <w:snapToGrid w:val="0"/>
        <w:spacing w:line="440" w:lineRule="exact"/>
        <w:ind w:firstLineChars="50" w:firstLine="110"/>
        <w:jc w:val="left"/>
        <w:rPr>
          <w:rFonts w:ascii="Times New Roman" w:hAnsi="宋体"/>
          <w:kern w:val="0"/>
          <w:sz w:val="22"/>
        </w:rPr>
      </w:pPr>
      <w:r>
        <w:rPr>
          <w:rFonts w:ascii="Times New Roman" w:hAnsi="宋体"/>
          <w:kern w:val="0"/>
          <w:sz w:val="22"/>
        </w:rPr>
        <w:t xml:space="preserve">  2.</w:t>
      </w:r>
      <w:r>
        <w:rPr>
          <w:rFonts w:ascii="Times New Roman" w:hAnsi="宋体" w:hint="eastAsia"/>
          <w:kern w:val="0"/>
          <w:sz w:val="22"/>
        </w:rPr>
        <w:t>熟悉平衡协调功能训练的分类及影响因素。</w:t>
      </w:r>
    </w:p>
    <w:p w:rsidR="003717A0" w:rsidRDefault="003717A0">
      <w:pPr>
        <w:autoSpaceDE w:val="0"/>
        <w:autoSpaceDN w:val="0"/>
        <w:adjustRightInd w:val="0"/>
        <w:snapToGrid w:val="0"/>
        <w:spacing w:line="440" w:lineRule="exact"/>
        <w:ind w:firstLineChars="50" w:firstLine="110"/>
        <w:jc w:val="left"/>
        <w:rPr>
          <w:rFonts w:ascii="Times New Roman" w:hAnsi="宋体"/>
          <w:kern w:val="0"/>
          <w:sz w:val="22"/>
        </w:rPr>
      </w:pPr>
      <w:r>
        <w:rPr>
          <w:rFonts w:ascii="Times New Roman" w:hAnsi="宋体"/>
          <w:kern w:val="0"/>
          <w:sz w:val="22"/>
        </w:rPr>
        <w:t xml:space="preserve">  3.</w:t>
      </w:r>
      <w:r>
        <w:rPr>
          <w:rFonts w:ascii="Times New Roman" w:hAnsi="宋体" w:hint="eastAsia"/>
          <w:kern w:val="0"/>
          <w:sz w:val="22"/>
        </w:rPr>
        <w:t>掌握平衡协调功能训练的基本原则及具体训练技术。</w:t>
      </w:r>
      <w:r>
        <w:rPr>
          <w:rFonts w:ascii="Times New Roman" w:hAnsi="宋体"/>
          <w:kern w:val="0"/>
          <w:sz w:val="22"/>
        </w:rPr>
        <w:t xml:space="preserve"> </w:t>
      </w:r>
    </w:p>
    <w:p w:rsidR="003717A0" w:rsidRDefault="003717A0">
      <w:pPr>
        <w:autoSpaceDE w:val="0"/>
        <w:autoSpaceDN w:val="0"/>
        <w:adjustRightInd w:val="0"/>
        <w:snapToGrid w:val="0"/>
        <w:spacing w:line="440" w:lineRule="exact"/>
        <w:ind w:firstLineChars="150" w:firstLine="330"/>
        <w:jc w:val="left"/>
        <w:rPr>
          <w:rFonts w:ascii="Times New Roman" w:hAnsi="宋体"/>
          <w:kern w:val="0"/>
          <w:sz w:val="22"/>
        </w:rPr>
      </w:pPr>
      <w:r>
        <w:rPr>
          <w:rFonts w:ascii="Times New Roman" w:hAnsi="宋体"/>
          <w:kern w:val="0"/>
          <w:sz w:val="22"/>
        </w:rPr>
        <w:t>4.</w:t>
      </w:r>
      <w:r>
        <w:rPr>
          <w:rFonts w:ascii="Times New Roman" w:hAnsi="宋体" w:hint="eastAsia"/>
          <w:kern w:val="0"/>
          <w:sz w:val="22"/>
        </w:rPr>
        <w:t>掌握平衡协调治疗技术在临床中的应用</w:t>
      </w:r>
    </w:p>
    <w:p w:rsidR="003717A0" w:rsidRDefault="003717A0">
      <w:pPr>
        <w:autoSpaceDE w:val="0"/>
        <w:autoSpaceDN w:val="0"/>
        <w:adjustRightInd w:val="0"/>
        <w:snapToGrid w:val="0"/>
        <w:spacing w:line="440" w:lineRule="exact"/>
        <w:ind w:firstLineChars="150" w:firstLine="361"/>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宋体"/>
          <w:b/>
          <w:kern w:val="0"/>
          <w:sz w:val="24"/>
          <w:szCs w:val="24"/>
        </w:rPr>
      </w:pPr>
      <w:r>
        <w:rPr>
          <w:rFonts w:ascii="宋体" w:hAnsi="宋体" w:hint="eastAsia"/>
          <w:b/>
          <w:kern w:val="0"/>
          <w:sz w:val="24"/>
          <w:szCs w:val="24"/>
        </w:rPr>
        <w:t>四、教学内容与安排</w:t>
      </w:r>
    </w:p>
    <w:p w:rsidR="003717A0" w:rsidRDefault="003717A0">
      <w:pPr>
        <w:autoSpaceDE w:val="0"/>
        <w:autoSpaceDN w:val="0"/>
        <w:adjustRightInd w:val="0"/>
        <w:snapToGrid w:val="0"/>
        <w:spacing w:line="440" w:lineRule="exact"/>
        <w:jc w:val="center"/>
        <w:rPr>
          <w:rFonts w:ascii="宋体"/>
          <w:b/>
          <w:kern w:val="0"/>
          <w:sz w:val="22"/>
          <w:szCs w:val="24"/>
        </w:rPr>
      </w:pPr>
      <w:r>
        <w:rPr>
          <w:rFonts w:ascii="宋体" w:hAnsi="宋体" w:hint="eastAsia"/>
          <w:b/>
          <w:kern w:val="0"/>
          <w:sz w:val="22"/>
          <w:szCs w:val="24"/>
        </w:rPr>
        <w:t>第一章</w:t>
      </w:r>
      <w:r>
        <w:rPr>
          <w:rFonts w:ascii="宋体" w:hAnsi="宋体"/>
          <w:b/>
          <w:kern w:val="0"/>
          <w:sz w:val="22"/>
          <w:szCs w:val="24"/>
        </w:rPr>
        <w:t xml:space="preserve"> </w:t>
      </w:r>
      <w:r>
        <w:rPr>
          <w:rFonts w:ascii="宋体" w:hAnsi="宋体" w:hint="eastAsia"/>
          <w:b/>
          <w:kern w:val="0"/>
          <w:sz w:val="22"/>
          <w:szCs w:val="24"/>
        </w:rPr>
        <w:t>平衡协调治疗技术的绪论</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教学内容（</w:t>
      </w:r>
      <w:r>
        <w:rPr>
          <w:rFonts w:ascii="宋体" w:hAnsi="宋体"/>
          <w:b/>
          <w:kern w:val="0"/>
          <w:sz w:val="22"/>
          <w:szCs w:val="24"/>
        </w:rPr>
        <w:t>3</w:t>
      </w:r>
      <w:r>
        <w:rPr>
          <w:rFonts w:ascii="宋体" w:hAnsi="宋体" w:hint="eastAsia"/>
          <w:b/>
          <w:kern w:val="0"/>
          <w:sz w:val="22"/>
          <w:szCs w:val="24"/>
        </w:rPr>
        <w:t>学时）</w:t>
      </w:r>
    </w:p>
    <w:p w:rsidR="003717A0" w:rsidRDefault="003717A0">
      <w:pPr>
        <w:numPr>
          <w:ilvl w:val="0"/>
          <w:numId w:val="524"/>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平衡与协调的定义和内容</w:t>
      </w:r>
    </w:p>
    <w:p w:rsidR="003717A0" w:rsidRDefault="003717A0">
      <w:pPr>
        <w:numPr>
          <w:ilvl w:val="0"/>
          <w:numId w:val="524"/>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人体平衡与协调的维持机制</w:t>
      </w:r>
    </w:p>
    <w:p w:rsidR="003717A0" w:rsidRDefault="003717A0">
      <w:pPr>
        <w:numPr>
          <w:ilvl w:val="0"/>
          <w:numId w:val="524"/>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影响人体平衡与协调功能的因素</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教学目的</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1</w:t>
      </w:r>
      <w:r>
        <w:rPr>
          <w:rFonts w:ascii="宋体" w:hAnsi="宋体" w:hint="eastAsia"/>
          <w:kern w:val="0"/>
          <w:sz w:val="22"/>
          <w:szCs w:val="24"/>
        </w:rPr>
        <w:t>、了解平衡与协调的定义</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2</w:t>
      </w:r>
      <w:r>
        <w:rPr>
          <w:rFonts w:ascii="宋体" w:hAnsi="宋体" w:hint="eastAsia"/>
          <w:kern w:val="0"/>
          <w:sz w:val="22"/>
          <w:szCs w:val="24"/>
        </w:rPr>
        <w:t>、了解影响平衡与协调功能的维持机制</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3</w:t>
      </w:r>
      <w:r>
        <w:rPr>
          <w:rFonts w:ascii="宋体" w:hAnsi="宋体" w:hint="eastAsia"/>
          <w:kern w:val="0"/>
          <w:sz w:val="22"/>
          <w:szCs w:val="24"/>
        </w:rPr>
        <w:t>、掌握平衡与协调的影响因素</w:t>
      </w:r>
    </w:p>
    <w:p w:rsidR="003717A0" w:rsidRDefault="003717A0">
      <w:pPr>
        <w:autoSpaceDE w:val="0"/>
        <w:autoSpaceDN w:val="0"/>
        <w:adjustRightInd w:val="0"/>
        <w:snapToGrid w:val="0"/>
        <w:spacing w:line="440" w:lineRule="exact"/>
        <w:jc w:val="center"/>
        <w:rPr>
          <w:rFonts w:ascii="宋体"/>
          <w:b/>
          <w:kern w:val="0"/>
          <w:sz w:val="22"/>
          <w:szCs w:val="24"/>
        </w:rPr>
      </w:pPr>
      <w:r>
        <w:rPr>
          <w:rFonts w:ascii="宋体" w:hAnsi="宋体" w:hint="eastAsia"/>
          <w:b/>
          <w:kern w:val="0"/>
          <w:sz w:val="22"/>
          <w:szCs w:val="24"/>
        </w:rPr>
        <w:t>第二章</w:t>
      </w:r>
      <w:r>
        <w:rPr>
          <w:rFonts w:ascii="宋体" w:hAnsi="宋体"/>
          <w:b/>
          <w:kern w:val="0"/>
          <w:sz w:val="22"/>
          <w:szCs w:val="24"/>
        </w:rPr>
        <w:t xml:space="preserve"> </w:t>
      </w:r>
      <w:r>
        <w:rPr>
          <w:rFonts w:ascii="宋体" w:hAnsi="宋体" w:hint="eastAsia"/>
          <w:b/>
          <w:kern w:val="0"/>
          <w:sz w:val="22"/>
          <w:szCs w:val="24"/>
        </w:rPr>
        <w:t>平衡能力训练</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教学内容（</w:t>
      </w:r>
      <w:r>
        <w:rPr>
          <w:rFonts w:ascii="宋体" w:hAnsi="宋体"/>
          <w:b/>
          <w:kern w:val="0"/>
          <w:sz w:val="22"/>
          <w:szCs w:val="24"/>
        </w:rPr>
        <w:t>3</w:t>
      </w:r>
      <w:r>
        <w:rPr>
          <w:rFonts w:ascii="宋体" w:hAnsi="宋体" w:hint="eastAsia"/>
          <w:b/>
          <w:kern w:val="0"/>
          <w:sz w:val="22"/>
          <w:szCs w:val="24"/>
        </w:rPr>
        <w:t>学时）</w:t>
      </w:r>
    </w:p>
    <w:p w:rsidR="003717A0" w:rsidRDefault="003717A0">
      <w:pPr>
        <w:numPr>
          <w:ilvl w:val="0"/>
          <w:numId w:val="525"/>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lastRenderedPageBreak/>
        <w:t>平衡的分级</w:t>
      </w:r>
    </w:p>
    <w:p w:rsidR="003717A0" w:rsidRDefault="003717A0">
      <w:pPr>
        <w:numPr>
          <w:ilvl w:val="0"/>
          <w:numId w:val="525"/>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平衡训练的原则</w:t>
      </w:r>
    </w:p>
    <w:p w:rsidR="003717A0" w:rsidRDefault="003717A0">
      <w:pPr>
        <w:numPr>
          <w:ilvl w:val="0"/>
          <w:numId w:val="525"/>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平衡训练方法</w:t>
      </w:r>
    </w:p>
    <w:p w:rsidR="003717A0" w:rsidRDefault="003717A0">
      <w:pPr>
        <w:numPr>
          <w:ilvl w:val="0"/>
          <w:numId w:val="525"/>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平衡训练的注意事项</w:t>
      </w:r>
    </w:p>
    <w:p w:rsidR="003717A0" w:rsidRDefault="003717A0">
      <w:pPr>
        <w:numPr>
          <w:ilvl w:val="0"/>
          <w:numId w:val="525"/>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平衡功能训练的临床应用</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实习内容（</w:t>
      </w:r>
      <w:r>
        <w:rPr>
          <w:rFonts w:ascii="宋体" w:hAnsi="宋体"/>
          <w:b/>
          <w:kern w:val="0"/>
          <w:sz w:val="22"/>
          <w:szCs w:val="24"/>
        </w:rPr>
        <w:t>3</w:t>
      </w:r>
      <w:r>
        <w:rPr>
          <w:rFonts w:ascii="宋体" w:hAnsi="宋体" w:hint="eastAsia"/>
          <w:b/>
          <w:kern w:val="0"/>
          <w:sz w:val="22"/>
          <w:szCs w:val="24"/>
        </w:rPr>
        <w:t>学时）</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1</w:t>
      </w:r>
      <w:r>
        <w:rPr>
          <w:rFonts w:ascii="宋体" w:hAnsi="宋体" w:hint="eastAsia"/>
          <w:kern w:val="0"/>
          <w:sz w:val="22"/>
          <w:szCs w:val="24"/>
        </w:rPr>
        <w:t>、沟通技巧：如何与患者建立良好的医患关系，取得患者的信赖</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2</w:t>
      </w:r>
      <w:r>
        <w:rPr>
          <w:rFonts w:ascii="宋体" w:hAnsi="宋体" w:hint="eastAsia"/>
          <w:kern w:val="0"/>
          <w:sz w:val="22"/>
          <w:szCs w:val="24"/>
        </w:rPr>
        <w:t>、平衡功能的评估</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3</w:t>
      </w:r>
      <w:r>
        <w:rPr>
          <w:rFonts w:ascii="宋体" w:hAnsi="宋体" w:hint="eastAsia"/>
          <w:kern w:val="0"/>
          <w:sz w:val="22"/>
          <w:szCs w:val="24"/>
        </w:rPr>
        <w:t>、针对不同程度的平衡障碍，给予相应的平衡功能训练</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4</w:t>
      </w:r>
      <w:r>
        <w:rPr>
          <w:rFonts w:ascii="宋体" w:hAnsi="宋体" w:hint="eastAsia"/>
          <w:kern w:val="0"/>
          <w:sz w:val="22"/>
          <w:szCs w:val="24"/>
        </w:rPr>
        <w:t>、给予患者安全教育，避免平衡障碍引起的各种安全风险。</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教学目的</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1</w:t>
      </w:r>
      <w:r>
        <w:rPr>
          <w:rFonts w:ascii="宋体" w:hAnsi="宋体" w:hint="eastAsia"/>
          <w:kern w:val="0"/>
          <w:sz w:val="22"/>
          <w:szCs w:val="24"/>
        </w:rPr>
        <w:t>、熟悉平衡的分级</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2</w:t>
      </w:r>
      <w:r>
        <w:rPr>
          <w:rFonts w:ascii="宋体" w:hAnsi="宋体" w:hint="eastAsia"/>
          <w:kern w:val="0"/>
          <w:sz w:val="22"/>
          <w:szCs w:val="24"/>
        </w:rPr>
        <w:t>、掌握平衡训练的原则及方法</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3</w:t>
      </w:r>
      <w:r>
        <w:rPr>
          <w:rFonts w:ascii="宋体" w:hAnsi="宋体" w:hint="eastAsia"/>
          <w:kern w:val="0"/>
          <w:sz w:val="22"/>
          <w:szCs w:val="24"/>
        </w:rPr>
        <w:t>、熟悉平衡训练的适应症、禁忌症及注意事项</w:t>
      </w:r>
    </w:p>
    <w:p w:rsidR="003717A0" w:rsidRDefault="003717A0">
      <w:pPr>
        <w:autoSpaceDE w:val="0"/>
        <w:autoSpaceDN w:val="0"/>
        <w:adjustRightInd w:val="0"/>
        <w:snapToGrid w:val="0"/>
        <w:spacing w:line="440" w:lineRule="exact"/>
        <w:jc w:val="center"/>
        <w:rPr>
          <w:rFonts w:ascii="宋体"/>
          <w:b/>
          <w:kern w:val="0"/>
          <w:sz w:val="22"/>
          <w:szCs w:val="24"/>
        </w:rPr>
      </w:pPr>
      <w:r>
        <w:rPr>
          <w:rFonts w:ascii="宋体" w:hAnsi="宋体" w:hint="eastAsia"/>
          <w:b/>
          <w:kern w:val="0"/>
          <w:sz w:val="22"/>
          <w:szCs w:val="24"/>
        </w:rPr>
        <w:t>第三章</w:t>
      </w:r>
      <w:r>
        <w:rPr>
          <w:rFonts w:ascii="宋体" w:hAnsi="宋体"/>
          <w:b/>
          <w:kern w:val="0"/>
          <w:sz w:val="22"/>
          <w:szCs w:val="24"/>
        </w:rPr>
        <w:t xml:space="preserve"> </w:t>
      </w:r>
      <w:r>
        <w:rPr>
          <w:rFonts w:ascii="宋体" w:hAnsi="宋体" w:hint="eastAsia"/>
          <w:b/>
          <w:kern w:val="0"/>
          <w:sz w:val="22"/>
          <w:szCs w:val="24"/>
        </w:rPr>
        <w:t>协调能力训练</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教学内容（</w:t>
      </w:r>
      <w:r>
        <w:rPr>
          <w:rFonts w:ascii="宋体" w:hAnsi="宋体"/>
          <w:b/>
          <w:kern w:val="0"/>
          <w:sz w:val="22"/>
          <w:szCs w:val="24"/>
        </w:rPr>
        <w:t>3</w:t>
      </w:r>
      <w:r>
        <w:rPr>
          <w:rFonts w:ascii="宋体" w:hAnsi="宋体" w:hint="eastAsia"/>
          <w:b/>
          <w:kern w:val="0"/>
          <w:sz w:val="22"/>
          <w:szCs w:val="24"/>
        </w:rPr>
        <w:t>学时）</w:t>
      </w:r>
    </w:p>
    <w:p w:rsidR="003717A0" w:rsidRDefault="003717A0">
      <w:pPr>
        <w:numPr>
          <w:ilvl w:val="0"/>
          <w:numId w:val="526"/>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协调障碍的分类及表现</w:t>
      </w:r>
    </w:p>
    <w:p w:rsidR="003717A0" w:rsidRDefault="003717A0">
      <w:pPr>
        <w:numPr>
          <w:ilvl w:val="0"/>
          <w:numId w:val="526"/>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协调训练的原理及其适应症和禁忌症</w:t>
      </w:r>
    </w:p>
    <w:p w:rsidR="003717A0" w:rsidRDefault="003717A0">
      <w:pPr>
        <w:numPr>
          <w:ilvl w:val="0"/>
          <w:numId w:val="526"/>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协调训练方法</w:t>
      </w:r>
    </w:p>
    <w:p w:rsidR="003717A0" w:rsidRDefault="003717A0">
      <w:pPr>
        <w:numPr>
          <w:ilvl w:val="0"/>
          <w:numId w:val="526"/>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协调训练的注意事项</w:t>
      </w:r>
    </w:p>
    <w:p w:rsidR="003717A0" w:rsidRDefault="003717A0">
      <w:pPr>
        <w:numPr>
          <w:ilvl w:val="0"/>
          <w:numId w:val="526"/>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协调功能训练的临床应用</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实习内容（</w:t>
      </w:r>
      <w:r>
        <w:rPr>
          <w:rFonts w:ascii="宋体" w:hAnsi="宋体"/>
          <w:b/>
          <w:kern w:val="0"/>
          <w:sz w:val="22"/>
          <w:szCs w:val="24"/>
        </w:rPr>
        <w:t>3</w:t>
      </w:r>
      <w:r>
        <w:rPr>
          <w:rFonts w:ascii="宋体" w:hAnsi="宋体" w:hint="eastAsia"/>
          <w:b/>
          <w:kern w:val="0"/>
          <w:sz w:val="22"/>
          <w:szCs w:val="24"/>
        </w:rPr>
        <w:t>学时）</w:t>
      </w:r>
    </w:p>
    <w:p w:rsidR="003717A0" w:rsidRDefault="003717A0">
      <w:pPr>
        <w:numPr>
          <w:ilvl w:val="0"/>
          <w:numId w:val="527"/>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协调功能障碍类型的模仿</w:t>
      </w:r>
    </w:p>
    <w:p w:rsidR="003717A0" w:rsidRDefault="003717A0">
      <w:pPr>
        <w:numPr>
          <w:ilvl w:val="0"/>
          <w:numId w:val="527"/>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协调功能障碍的评估</w:t>
      </w:r>
    </w:p>
    <w:p w:rsidR="003717A0" w:rsidRDefault="003717A0">
      <w:pPr>
        <w:numPr>
          <w:ilvl w:val="0"/>
          <w:numId w:val="527"/>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针对不同类型的协调功能障碍，给予相应的协调训练</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教学目的</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1</w:t>
      </w:r>
      <w:r>
        <w:rPr>
          <w:rFonts w:ascii="宋体" w:hAnsi="宋体" w:hint="eastAsia"/>
          <w:kern w:val="0"/>
          <w:sz w:val="22"/>
          <w:szCs w:val="24"/>
        </w:rPr>
        <w:t>、熟悉协调障碍的分类</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2</w:t>
      </w:r>
      <w:r>
        <w:rPr>
          <w:rFonts w:ascii="宋体" w:hAnsi="宋体" w:hint="eastAsia"/>
          <w:kern w:val="0"/>
          <w:sz w:val="22"/>
          <w:szCs w:val="24"/>
        </w:rPr>
        <w:t>、掌握协调训练的原理及方法</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3</w:t>
      </w:r>
      <w:r>
        <w:rPr>
          <w:rFonts w:ascii="宋体" w:hAnsi="宋体" w:hint="eastAsia"/>
          <w:kern w:val="0"/>
          <w:sz w:val="22"/>
          <w:szCs w:val="24"/>
        </w:rPr>
        <w:t>、熟悉协调训练的适应症、禁忌症及注意事项</w:t>
      </w:r>
    </w:p>
    <w:p w:rsidR="003717A0" w:rsidRDefault="003717A0">
      <w:pPr>
        <w:autoSpaceDE w:val="0"/>
        <w:autoSpaceDN w:val="0"/>
        <w:adjustRightInd w:val="0"/>
        <w:snapToGrid w:val="0"/>
        <w:spacing w:line="440" w:lineRule="exact"/>
        <w:jc w:val="center"/>
        <w:rPr>
          <w:rFonts w:ascii="宋体"/>
          <w:b/>
          <w:kern w:val="0"/>
          <w:sz w:val="22"/>
          <w:szCs w:val="24"/>
        </w:rPr>
      </w:pPr>
      <w:r>
        <w:rPr>
          <w:rFonts w:ascii="宋体" w:hAnsi="宋体" w:hint="eastAsia"/>
          <w:b/>
          <w:kern w:val="0"/>
          <w:sz w:val="22"/>
          <w:szCs w:val="24"/>
        </w:rPr>
        <w:t>小组汇报</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教学内容（</w:t>
      </w:r>
      <w:r>
        <w:rPr>
          <w:rFonts w:ascii="宋体" w:hAnsi="宋体"/>
          <w:b/>
          <w:kern w:val="0"/>
          <w:sz w:val="22"/>
          <w:szCs w:val="24"/>
        </w:rPr>
        <w:t>3</w:t>
      </w:r>
      <w:r>
        <w:rPr>
          <w:rFonts w:ascii="宋体" w:hAnsi="宋体" w:hint="eastAsia"/>
          <w:b/>
          <w:kern w:val="0"/>
          <w:sz w:val="22"/>
          <w:szCs w:val="24"/>
        </w:rPr>
        <w:t>学时）</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lastRenderedPageBreak/>
        <w:t>1</w:t>
      </w:r>
      <w:r>
        <w:rPr>
          <w:rFonts w:ascii="宋体" w:hAnsi="宋体" w:hint="eastAsia"/>
          <w:kern w:val="0"/>
          <w:sz w:val="22"/>
          <w:szCs w:val="24"/>
        </w:rPr>
        <w:t>、</w:t>
      </w:r>
      <w:r>
        <w:rPr>
          <w:rFonts w:ascii="宋体" w:hAnsi="宋体"/>
          <w:kern w:val="0"/>
          <w:sz w:val="22"/>
          <w:szCs w:val="24"/>
        </w:rPr>
        <w:t>5</w:t>
      </w:r>
      <w:r>
        <w:rPr>
          <w:rFonts w:ascii="宋体" w:hAnsi="宋体" w:hint="eastAsia"/>
          <w:kern w:val="0"/>
          <w:sz w:val="22"/>
          <w:szCs w:val="24"/>
        </w:rPr>
        <w:t>个小组逐一进行案例汇报</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2</w:t>
      </w:r>
      <w:r>
        <w:rPr>
          <w:rFonts w:ascii="宋体" w:hAnsi="宋体" w:hint="eastAsia"/>
          <w:kern w:val="0"/>
          <w:sz w:val="22"/>
          <w:szCs w:val="24"/>
        </w:rPr>
        <w:t>、其余同学对汇报内容进行提问</w:t>
      </w:r>
    </w:p>
    <w:p w:rsidR="003717A0" w:rsidRDefault="003717A0">
      <w:pPr>
        <w:autoSpaceDE w:val="0"/>
        <w:autoSpaceDN w:val="0"/>
        <w:adjustRightInd w:val="0"/>
        <w:snapToGrid w:val="0"/>
        <w:spacing w:line="440" w:lineRule="exact"/>
        <w:jc w:val="left"/>
        <w:rPr>
          <w:rFonts w:ascii="宋体"/>
          <w:kern w:val="0"/>
          <w:sz w:val="22"/>
          <w:szCs w:val="24"/>
        </w:rPr>
      </w:pPr>
      <w:r>
        <w:rPr>
          <w:rFonts w:ascii="宋体" w:hAnsi="宋体"/>
          <w:kern w:val="0"/>
          <w:sz w:val="22"/>
          <w:szCs w:val="24"/>
        </w:rPr>
        <w:t>3</w:t>
      </w:r>
      <w:r>
        <w:rPr>
          <w:rFonts w:ascii="宋体" w:hAnsi="宋体" w:hint="eastAsia"/>
          <w:kern w:val="0"/>
          <w:sz w:val="22"/>
          <w:szCs w:val="24"/>
        </w:rPr>
        <w:t>、反馈总结</w:t>
      </w:r>
    </w:p>
    <w:p w:rsidR="003717A0" w:rsidRDefault="003717A0">
      <w:pPr>
        <w:autoSpaceDE w:val="0"/>
        <w:autoSpaceDN w:val="0"/>
        <w:adjustRightInd w:val="0"/>
        <w:snapToGrid w:val="0"/>
        <w:spacing w:line="440" w:lineRule="exact"/>
        <w:jc w:val="left"/>
        <w:rPr>
          <w:rFonts w:ascii="宋体"/>
          <w:b/>
          <w:kern w:val="0"/>
          <w:sz w:val="22"/>
          <w:szCs w:val="24"/>
        </w:rPr>
      </w:pPr>
      <w:r>
        <w:rPr>
          <w:rFonts w:ascii="宋体" w:hAnsi="宋体" w:hint="eastAsia"/>
          <w:b/>
          <w:kern w:val="0"/>
          <w:sz w:val="22"/>
          <w:szCs w:val="24"/>
        </w:rPr>
        <w:t>教学目的：</w:t>
      </w:r>
    </w:p>
    <w:p w:rsidR="003717A0" w:rsidRDefault="003717A0">
      <w:pPr>
        <w:numPr>
          <w:ilvl w:val="0"/>
          <w:numId w:val="528"/>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进一步理解平衡协调治疗</w:t>
      </w:r>
    </w:p>
    <w:p w:rsidR="003717A0" w:rsidRDefault="003717A0">
      <w:pPr>
        <w:numPr>
          <w:ilvl w:val="0"/>
          <w:numId w:val="528"/>
        </w:numPr>
        <w:autoSpaceDE w:val="0"/>
        <w:autoSpaceDN w:val="0"/>
        <w:adjustRightInd w:val="0"/>
        <w:snapToGrid w:val="0"/>
        <w:spacing w:line="440" w:lineRule="exact"/>
        <w:jc w:val="left"/>
        <w:rPr>
          <w:rFonts w:ascii="宋体"/>
          <w:kern w:val="0"/>
          <w:sz w:val="22"/>
          <w:szCs w:val="24"/>
        </w:rPr>
      </w:pPr>
      <w:r>
        <w:rPr>
          <w:rFonts w:ascii="宋体" w:hAnsi="宋体" w:hint="eastAsia"/>
          <w:kern w:val="0"/>
          <w:sz w:val="22"/>
          <w:szCs w:val="24"/>
        </w:rPr>
        <w:t>掌握平衡协调治疗在具体案例中的应用。</w:t>
      </w:r>
    </w:p>
    <w:p w:rsidR="003717A0" w:rsidRDefault="003717A0">
      <w:pPr>
        <w:autoSpaceDE w:val="0"/>
        <w:autoSpaceDN w:val="0"/>
        <w:adjustRightInd w:val="0"/>
        <w:snapToGrid w:val="0"/>
        <w:spacing w:line="440" w:lineRule="exact"/>
        <w:jc w:val="left"/>
        <w:rPr>
          <w:rFonts w:ascii="Times New Roman" w:eastAsia="黑体" w:hAnsi="Times New Roman"/>
          <w:kern w:val="0"/>
          <w:sz w:val="22"/>
          <w:szCs w:val="24"/>
        </w:rPr>
      </w:pPr>
    </w:p>
    <w:p w:rsidR="003717A0" w:rsidRDefault="003717A0">
      <w:pPr>
        <w:adjustRightInd w:val="0"/>
        <w:snapToGrid w:val="0"/>
        <w:spacing w:line="360" w:lineRule="auto"/>
        <w:jc w:val="center"/>
        <w:rPr>
          <w:b/>
          <w:bCs/>
          <w:sz w:val="28"/>
          <w:szCs w:val="28"/>
        </w:rPr>
      </w:pPr>
      <w:r>
        <w:rPr>
          <w:rFonts w:hint="eastAsia"/>
          <w:b/>
          <w:bCs/>
          <w:sz w:val="28"/>
          <w:szCs w:val="28"/>
        </w:rPr>
        <w:t>学时分配</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850"/>
        <w:gridCol w:w="3260"/>
        <w:gridCol w:w="851"/>
      </w:tblGrid>
      <w:tr w:rsidR="003717A0">
        <w:tc>
          <w:tcPr>
            <w:tcW w:w="817" w:type="dxa"/>
            <w:vAlign w:val="center"/>
          </w:tcPr>
          <w:p w:rsidR="003717A0" w:rsidRDefault="003717A0">
            <w:pPr>
              <w:jc w:val="center"/>
              <w:rPr>
                <w:sz w:val="24"/>
              </w:rPr>
            </w:pPr>
            <w:r>
              <w:rPr>
                <w:rFonts w:hint="eastAsia"/>
                <w:sz w:val="24"/>
              </w:rPr>
              <w:t>序号</w:t>
            </w:r>
          </w:p>
        </w:tc>
        <w:tc>
          <w:tcPr>
            <w:tcW w:w="3119" w:type="dxa"/>
            <w:vAlign w:val="center"/>
          </w:tcPr>
          <w:p w:rsidR="003717A0" w:rsidRDefault="003717A0">
            <w:pPr>
              <w:adjustRightInd w:val="0"/>
              <w:snapToGrid w:val="0"/>
              <w:jc w:val="center"/>
              <w:rPr>
                <w:sz w:val="24"/>
              </w:rPr>
            </w:pPr>
            <w:r>
              <w:rPr>
                <w:rFonts w:hint="eastAsia"/>
                <w:sz w:val="24"/>
              </w:rPr>
              <w:t>讲课内容</w:t>
            </w:r>
          </w:p>
          <w:p w:rsidR="003717A0" w:rsidRDefault="003717A0">
            <w:pPr>
              <w:adjustRightInd w:val="0"/>
              <w:snapToGrid w:val="0"/>
              <w:jc w:val="center"/>
              <w:rPr>
                <w:sz w:val="24"/>
              </w:rPr>
            </w:pPr>
            <w:r>
              <w:rPr>
                <w:rFonts w:hint="eastAsia"/>
                <w:sz w:val="24"/>
              </w:rPr>
              <w:t>（具体章节或实验）</w:t>
            </w:r>
          </w:p>
        </w:tc>
        <w:tc>
          <w:tcPr>
            <w:tcW w:w="850" w:type="dxa"/>
            <w:vAlign w:val="center"/>
          </w:tcPr>
          <w:p w:rsidR="003717A0" w:rsidRDefault="003717A0">
            <w:pPr>
              <w:jc w:val="center"/>
              <w:rPr>
                <w:sz w:val="24"/>
              </w:rPr>
            </w:pPr>
            <w:r>
              <w:rPr>
                <w:rFonts w:hint="eastAsia"/>
                <w:sz w:val="24"/>
              </w:rPr>
              <w:t>学时</w:t>
            </w:r>
          </w:p>
        </w:tc>
        <w:tc>
          <w:tcPr>
            <w:tcW w:w="3260" w:type="dxa"/>
            <w:vAlign w:val="center"/>
          </w:tcPr>
          <w:p w:rsidR="003717A0" w:rsidRDefault="003717A0">
            <w:pPr>
              <w:jc w:val="center"/>
              <w:rPr>
                <w:sz w:val="24"/>
              </w:rPr>
            </w:pPr>
            <w:r>
              <w:rPr>
                <w:rFonts w:hint="eastAsia"/>
                <w:sz w:val="24"/>
              </w:rPr>
              <w:t>作业</w:t>
            </w:r>
          </w:p>
        </w:tc>
        <w:tc>
          <w:tcPr>
            <w:tcW w:w="851" w:type="dxa"/>
            <w:vAlign w:val="center"/>
          </w:tcPr>
          <w:p w:rsidR="003717A0" w:rsidRDefault="003717A0">
            <w:pPr>
              <w:jc w:val="center"/>
              <w:rPr>
                <w:sz w:val="24"/>
              </w:rPr>
            </w:pPr>
            <w:r>
              <w:rPr>
                <w:rFonts w:hint="eastAsia"/>
                <w:sz w:val="24"/>
              </w:rPr>
              <w:t>备注</w:t>
            </w:r>
          </w:p>
        </w:tc>
      </w:tr>
      <w:tr w:rsidR="003717A0">
        <w:tc>
          <w:tcPr>
            <w:tcW w:w="817" w:type="dxa"/>
          </w:tcPr>
          <w:p w:rsidR="003717A0" w:rsidRDefault="003717A0">
            <w:pPr>
              <w:jc w:val="center"/>
              <w:rPr>
                <w:rFonts w:ascii="Times New Roman" w:hAnsi="Times New Roman"/>
              </w:rPr>
            </w:pPr>
            <w:r>
              <w:rPr>
                <w:rFonts w:ascii="Times New Roman" w:hAnsi="Times New Roman"/>
              </w:rPr>
              <w:t>1</w:t>
            </w:r>
          </w:p>
        </w:tc>
        <w:tc>
          <w:tcPr>
            <w:tcW w:w="3119" w:type="dxa"/>
          </w:tcPr>
          <w:p w:rsidR="003717A0" w:rsidRDefault="003717A0">
            <w:pPr>
              <w:ind w:firstLineChars="53" w:firstLine="111"/>
              <w:rPr>
                <w:rFonts w:ascii="Times New Roman" w:hAnsi="Times New Roman"/>
              </w:rPr>
            </w:pPr>
            <w:r>
              <w:rPr>
                <w:rFonts w:ascii="Times New Roman" w:hint="eastAsia"/>
              </w:rPr>
              <w:t>平衡协调治疗技术的绪论</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2</w:t>
            </w:r>
          </w:p>
        </w:tc>
        <w:tc>
          <w:tcPr>
            <w:tcW w:w="3119" w:type="dxa"/>
          </w:tcPr>
          <w:p w:rsidR="003717A0" w:rsidRDefault="003717A0">
            <w:pPr>
              <w:ind w:firstLineChars="53" w:firstLine="111"/>
              <w:rPr>
                <w:rFonts w:ascii="Times New Roman" w:hAnsi="Times New Roman"/>
              </w:rPr>
            </w:pPr>
            <w:r>
              <w:rPr>
                <w:rFonts w:ascii="Times New Roman" w:hint="eastAsia"/>
              </w:rPr>
              <w:t>平衡能力训练</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3</w:t>
            </w:r>
          </w:p>
        </w:tc>
        <w:tc>
          <w:tcPr>
            <w:tcW w:w="3119" w:type="dxa"/>
          </w:tcPr>
          <w:p w:rsidR="003717A0" w:rsidRDefault="003717A0">
            <w:pPr>
              <w:ind w:firstLineChars="53" w:firstLine="111"/>
              <w:rPr>
                <w:rFonts w:ascii="Times New Roman"/>
              </w:rPr>
            </w:pPr>
            <w:r>
              <w:rPr>
                <w:rFonts w:ascii="Times New Roman" w:hint="eastAsia"/>
              </w:rPr>
              <w:t>平衡能力训练（实践）</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4</w:t>
            </w:r>
          </w:p>
        </w:tc>
        <w:tc>
          <w:tcPr>
            <w:tcW w:w="3119" w:type="dxa"/>
          </w:tcPr>
          <w:p w:rsidR="003717A0" w:rsidRDefault="003717A0">
            <w:pPr>
              <w:ind w:firstLineChars="53" w:firstLine="111"/>
              <w:rPr>
                <w:rFonts w:ascii="Times New Roman" w:hAnsi="Times New Roman"/>
              </w:rPr>
            </w:pPr>
            <w:r>
              <w:rPr>
                <w:rFonts w:ascii="Times New Roman" w:hint="eastAsia"/>
              </w:rPr>
              <w:t>协调能力训练</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5</w:t>
            </w:r>
          </w:p>
        </w:tc>
        <w:tc>
          <w:tcPr>
            <w:tcW w:w="3119" w:type="dxa"/>
          </w:tcPr>
          <w:p w:rsidR="003717A0" w:rsidRDefault="003717A0">
            <w:pPr>
              <w:ind w:firstLineChars="53" w:firstLine="111"/>
              <w:rPr>
                <w:rFonts w:ascii="Times New Roman"/>
              </w:rPr>
            </w:pPr>
            <w:r>
              <w:rPr>
                <w:rFonts w:ascii="Times New Roman" w:hint="eastAsia"/>
              </w:rPr>
              <w:t>协调能力训练（实践）</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r>
              <w:rPr>
                <w:rFonts w:ascii="Times New Roman" w:hAnsi="Times New Roman"/>
              </w:rPr>
              <w:t>6</w:t>
            </w:r>
          </w:p>
        </w:tc>
        <w:tc>
          <w:tcPr>
            <w:tcW w:w="3119" w:type="dxa"/>
          </w:tcPr>
          <w:p w:rsidR="003717A0" w:rsidRDefault="003717A0">
            <w:pPr>
              <w:ind w:firstLineChars="53" w:firstLine="111"/>
              <w:rPr>
                <w:rFonts w:ascii="Times New Roman" w:hAnsi="Times New Roman"/>
              </w:rPr>
            </w:pPr>
            <w:r>
              <w:rPr>
                <w:rFonts w:ascii="Times New Roman" w:hint="eastAsia"/>
              </w:rPr>
              <w:t>学生小组汇报</w:t>
            </w:r>
          </w:p>
        </w:tc>
        <w:tc>
          <w:tcPr>
            <w:tcW w:w="850" w:type="dxa"/>
            <w:vAlign w:val="center"/>
          </w:tcPr>
          <w:p w:rsidR="003717A0" w:rsidRDefault="003717A0">
            <w:pPr>
              <w:jc w:val="center"/>
              <w:rPr>
                <w:rFonts w:ascii="Times New Roman" w:hAnsi="Times New Roman"/>
              </w:rPr>
            </w:pPr>
            <w:r>
              <w:rPr>
                <w:rFonts w:ascii="Times New Roman" w:hAnsi="Times New Roman"/>
              </w:rPr>
              <w:t>3</w:t>
            </w:r>
          </w:p>
        </w:tc>
        <w:tc>
          <w:tcPr>
            <w:tcW w:w="3260" w:type="dxa"/>
          </w:tcPr>
          <w:p w:rsidR="003717A0" w:rsidRDefault="003717A0">
            <w:pPr>
              <w:ind w:firstLineChars="2" w:firstLine="4"/>
              <w:jc w:val="left"/>
            </w:pPr>
          </w:p>
        </w:tc>
        <w:tc>
          <w:tcPr>
            <w:tcW w:w="851" w:type="dxa"/>
          </w:tcPr>
          <w:p w:rsidR="003717A0" w:rsidRDefault="003717A0"/>
        </w:tc>
      </w:tr>
      <w:tr w:rsidR="003717A0">
        <w:tc>
          <w:tcPr>
            <w:tcW w:w="817" w:type="dxa"/>
          </w:tcPr>
          <w:p w:rsidR="003717A0" w:rsidRDefault="003717A0">
            <w:pPr>
              <w:jc w:val="center"/>
              <w:rPr>
                <w:rFonts w:ascii="Times New Roman" w:hAnsi="Times New Roman"/>
              </w:rPr>
            </w:pPr>
          </w:p>
        </w:tc>
        <w:tc>
          <w:tcPr>
            <w:tcW w:w="3119" w:type="dxa"/>
          </w:tcPr>
          <w:p w:rsidR="003717A0" w:rsidRDefault="003717A0">
            <w:pPr>
              <w:ind w:firstLineChars="53" w:firstLine="111"/>
              <w:rPr>
                <w:rFonts w:ascii="Times New Roman"/>
              </w:rPr>
            </w:pPr>
            <w:r>
              <w:rPr>
                <w:rFonts w:ascii="Times New Roman" w:hint="eastAsia"/>
              </w:rPr>
              <w:t>合计</w:t>
            </w:r>
          </w:p>
        </w:tc>
        <w:tc>
          <w:tcPr>
            <w:tcW w:w="850" w:type="dxa"/>
            <w:vAlign w:val="center"/>
          </w:tcPr>
          <w:p w:rsidR="003717A0" w:rsidRDefault="003717A0">
            <w:pPr>
              <w:jc w:val="center"/>
              <w:rPr>
                <w:rFonts w:ascii="Times New Roman" w:hAnsi="Times New Roman"/>
              </w:rPr>
            </w:pPr>
            <w:r>
              <w:rPr>
                <w:rFonts w:ascii="Times New Roman" w:hAnsi="Times New Roman"/>
              </w:rPr>
              <w:t>18</w:t>
            </w:r>
          </w:p>
        </w:tc>
        <w:tc>
          <w:tcPr>
            <w:tcW w:w="3260" w:type="dxa"/>
          </w:tcPr>
          <w:p w:rsidR="003717A0" w:rsidRDefault="003717A0">
            <w:pPr>
              <w:ind w:firstLineChars="2" w:firstLine="4"/>
              <w:jc w:val="left"/>
            </w:pPr>
          </w:p>
        </w:tc>
        <w:tc>
          <w:tcPr>
            <w:tcW w:w="851" w:type="dxa"/>
          </w:tcPr>
          <w:p w:rsidR="003717A0" w:rsidRDefault="003717A0"/>
        </w:tc>
      </w:tr>
    </w:tbl>
    <w:p w:rsidR="003717A0" w:rsidRPr="003E5344"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r w:rsidRPr="003E5344">
        <w:rPr>
          <w:rFonts w:asciiTheme="minorEastAsia" w:eastAsiaTheme="minorEastAsia" w:hAnsiTheme="minorEastAsia" w:hint="eastAsia"/>
          <w:b/>
          <w:kern w:val="0"/>
          <w:sz w:val="24"/>
          <w:szCs w:val="24"/>
        </w:rPr>
        <w:t>五、教学设备和设施</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多媒体教室，多媒体教学课件，平衡协调障碍患者视频，物理治疗实验室</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r w:rsidRPr="003E5344">
        <w:rPr>
          <w:rFonts w:asciiTheme="minorEastAsia" w:eastAsiaTheme="minorEastAsia" w:hAnsiTheme="minorEastAsia" w:hint="eastAsia"/>
          <w:b/>
          <w:kern w:val="0"/>
          <w:sz w:val="24"/>
          <w:szCs w:val="24"/>
        </w:rPr>
        <w:t>六、课程考核与评估</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平时成绩</w:t>
      </w:r>
      <w:r w:rsidRPr="003E5344">
        <w:rPr>
          <w:rFonts w:asciiTheme="minorEastAsia" w:eastAsiaTheme="minorEastAsia" w:hAnsiTheme="minorEastAsia"/>
          <w:kern w:val="0"/>
          <w:sz w:val="22"/>
          <w:szCs w:val="24"/>
        </w:rPr>
        <w:t>40%</w:t>
      </w:r>
      <w:r w:rsidRPr="003E5344">
        <w:rPr>
          <w:rFonts w:asciiTheme="minorEastAsia" w:eastAsiaTheme="minorEastAsia" w:hAnsiTheme="minorEastAsia" w:hint="eastAsia"/>
          <w:kern w:val="0"/>
          <w:sz w:val="22"/>
          <w:szCs w:val="24"/>
        </w:rPr>
        <w:t>（实践操作</w:t>
      </w:r>
      <w:r w:rsidRPr="003E5344">
        <w:rPr>
          <w:rFonts w:asciiTheme="minorEastAsia" w:eastAsiaTheme="minorEastAsia" w:hAnsiTheme="minorEastAsia"/>
          <w:kern w:val="0"/>
          <w:sz w:val="22"/>
          <w:szCs w:val="24"/>
        </w:rPr>
        <w:t>20%+</w:t>
      </w:r>
      <w:r w:rsidRPr="003E5344">
        <w:rPr>
          <w:rFonts w:asciiTheme="minorEastAsia" w:eastAsiaTheme="minorEastAsia" w:hAnsiTheme="minorEastAsia" w:hint="eastAsia"/>
          <w:kern w:val="0"/>
          <w:sz w:val="22"/>
          <w:szCs w:val="24"/>
        </w:rPr>
        <w:t>小组汇报</w:t>
      </w:r>
      <w:r w:rsidRPr="003E5344">
        <w:rPr>
          <w:rFonts w:asciiTheme="minorEastAsia" w:eastAsiaTheme="minorEastAsia" w:hAnsiTheme="minorEastAsia"/>
          <w:kern w:val="0"/>
          <w:sz w:val="22"/>
          <w:szCs w:val="24"/>
        </w:rPr>
        <w:t>20%</w:t>
      </w:r>
      <w:r w:rsidRPr="003E5344">
        <w:rPr>
          <w:rFonts w:asciiTheme="minorEastAsia" w:eastAsiaTheme="minorEastAsia" w:hAnsiTheme="minorEastAsia" w:hint="eastAsia"/>
          <w:kern w:val="0"/>
          <w:sz w:val="22"/>
          <w:szCs w:val="24"/>
        </w:rPr>
        <w:t>）</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期末成绩</w:t>
      </w:r>
      <w:r w:rsidRPr="003E5344">
        <w:rPr>
          <w:rFonts w:asciiTheme="minorEastAsia" w:eastAsiaTheme="minorEastAsia" w:hAnsiTheme="minorEastAsia"/>
          <w:kern w:val="0"/>
          <w:sz w:val="22"/>
          <w:szCs w:val="24"/>
        </w:rPr>
        <w:t>60%</w:t>
      </w:r>
      <w:r w:rsidRPr="003E5344">
        <w:rPr>
          <w:rFonts w:asciiTheme="minorEastAsia" w:eastAsiaTheme="minorEastAsia" w:hAnsiTheme="minorEastAsia" w:hint="eastAsia"/>
          <w:kern w:val="0"/>
          <w:sz w:val="22"/>
          <w:szCs w:val="24"/>
        </w:rPr>
        <w:t>（论文：</w:t>
      </w:r>
      <w:r w:rsidRPr="003E5344">
        <w:rPr>
          <w:rFonts w:asciiTheme="minorEastAsia" w:eastAsiaTheme="minorEastAsia" w:hAnsiTheme="minorEastAsia"/>
          <w:kern w:val="0"/>
          <w:sz w:val="22"/>
          <w:szCs w:val="24"/>
        </w:rPr>
        <w:t>1</w:t>
      </w:r>
      <w:r w:rsidRPr="003E5344">
        <w:rPr>
          <w:rFonts w:asciiTheme="minorEastAsia" w:eastAsiaTheme="minorEastAsia" w:hAnsiTheme="minorEastAsia" w:hint="eastAsia"/>
          <w:kern w:val="0"/>
          <w:sz w:val="22"/>
          <w:szCs w:val="24"/>
        </w:rPr>
        <w:t>、如何将你所学的运用到生活中。</w:t>
      </w:r>
      <w:r w:rsidRPr="003E5344">
        <w:rPr>
          <w:rFonts w:asciiTheme="minorEastAsia" w:eastAsiaTheme="minorEastAsia" w:hAnsiTheme="minorEastAsia"/>
          <w:kern w:val="0"/>
          <w:sz w:val="22"/>
          <w:szCs w:val="24"/>
        </w:rPr>
        <w:t>2</w:t>
      </w:r>
      <w:r w:rsidRPr="003E5344">
        <w:rPr>
          <w:rFonts w:asciiTheme="minorEastAsia" w:eastAsiaTheme="minorEastAsia" w:hAnsiTheme="minorEastAsia" w:hint="eastAsia"/>
          <w:kern w:val="0"/>
          <w:sz w:val="22"/>
          <w:szCs w:val="24"/>
        </w:rPr>
        <w:t>、你觉得现在所学的技术能在哪些方面再有所提高。</w:t>
      </w:r>
      <w:r w:rsidRPr="003E5344">
        <w:rPr>
          <w:rFonts w:asciiTheme="minorEastAsia" w:eastAsiaTheme="minorEastAsia" w:hAnsiTheme="minorEastAsia"/>
          <w:kern w:val="0"/>
          <w:sz w:val="22"/>
          <w:szCs w:val="24"/>
        </w:rPr>
        <w:t>3</w:t>
      </w:r>
      <w:r w:rsidRPr="003E5344">
        <w:rPr>
          <w:rFonts w:asciiTheme="minorEastAsia" w:eastAsiaTheme="minorEastAsia" w:hAnsiTheme="minorEastAsia" w:hint="eastAsia"/>
          <w:kern w:val="0"/>
          <w:sz w:val="22"/>
          <w:szCs w:val="24"/>
        </w:rPr>
        <w:t>、还有什么方法可以帮助提高平衡协调功能。选择其中的一个方面写一篇论文）</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r w:rsidRPr="003E5344">
        <w:rPr>
          <w:rFonts w:asciiTheme="minorEastAsia" w:eastAsiaTheme="minorEastAsia" w:hAnsiTheme="minorEastAsia" w:hint="eastAsia"/>
          <w:b/>
          <w:kern w:val="0"/>
          <w:sz w:val="24"/>
          <w:szCs w:val="24"/>
        </w:rPr>
        <w:t>七、附录</w:t>
      </w:r>
    </w:p>
    <w:p w:rsidR="003717A0" w:rsidRPr="003E5344" w:rsidRDefault="003717A0">
      <w:pPr>
        <w:autoSpaceDE w:val="0"/>
        <w:autoSpaceDN w:val="0"/>
        <w:adjustRightInd w:val="0"/>
        <w:spacing w:line="36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主要参考书：</w:t>
      </w:r>
    </w:p>
    <w:p w:rsidR="003717A0" w:rsidRPr="003E5344" w:rsidRDefault="003717A0">
      <w:pPr>
        <w:numPr>
          <w:ilvl w:val="0"/>
          <w:numId w:val="529"/>
        </w:numPr>
        <w:autoSpaceDE w:val="0"/>
        <w:autoSpaceDN w:val="0"/>
        <w:adjustRightInd w:val="0"/>
        <w:spacing w:line="36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燕铁斌主编，《物理治疗学》（第二版），人民卫生出版社，</w:t>
      </w:r>
      <w:r w:rsidRPr="003E5344">
        <w:rPr>
          <w:rFonts w:asciiTheme="minorEastAsia" w:eastAsiaTheme="minorEastAsia" w:hAnsiTheme="minorEastAsia"/>
          <w:kern w:val="0"/>
          <w:sz w:val="22"/>
          <w:szCs w:val="24"/>
        </w:rPr>
        <w:t>2013.8</w:t>
      </w:r>
    </w:p>
    <w:p w:rsidR="003717A0" w:rsidRPr="003E5344" w:rsidRDefault="003717A0">
      <w:pPr>
        <w:numPr>
          <w:ilvl w:val="0"/>
          <w:numId w:val="529"/>
        </w:numPr>
        <w:autoSpaceDE w:val="0"/>
        <w:autoSpaceDN w:val="0"/>
        <w:adjustRightInd w:val="0"/>
        <w:spacing w:line="36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纪树荣主编，《运动疗法技术学》（第二版），华夏出版社，</w:t>
      </w:r>
      <w:r w:rsidRPr="003E5344">
        <w:rPr>
          <w:rFonts w:asciiTheme="minorEastAsia" w:eastAsiaTheme="minorEastAsia" w:hAnsiTheme="minorEastAsia"/>
          <w:kern w:val="0"/>
          <w:sz w:val="22"/>
          <w:szCs w:val="24"/>
        </w:rPr>
        <w:t>2011.8</w:t>
      </w:r>
    </w:p>
    <w:p w:rsidR="003717A0" w:rsidRPr="003E5344" w:rsidRDefault="003717A0">
      <w:pPr>
        <w:numPr>
          <w:ilvl w:val="0"/>
          <w:numId w:val="529"/>
        </w:numPr>
        <w:autoSpaceDE w:val="0"/>
        <w:autoSpaceDN w:val="0"/>
        <w:adjustRightInd w:val="0"/>
        <w:spacing w:line="36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朱大年主编，《生理学》（第</w:t>
      </w:r>
      <w:r w:rsidRPr="003E5344">
        <w:rPr>
          <w:rFonts w:asciiTheme="minorEastAsia" w:eastAsiaTheme="minorEastAsia" w:hAnsiTheme="minorEastAsia"/>
          <w:kern w:val="0"/>
          <w:sz w:val="22"/>
          <w:szCs w:val="24"/>
        </w:rPr>
        <w:t>8</w:t>
      </w:r>
      <w:r w:rsidRPr="003E5344">
        <w:rPr>
          <w:rFonts w:asciiTheme="minorEastAsia" w:eastAsiaTheme="minorEastAsia" w:hAnsiTheme="minorEastAsia" w:hint="eastAsia"/>
          <w:kern w:val="0"/>
          <w:sz w:val="22"/>
          <w:szCs w:val="24"/>
        </w:rPr>
        <w:t>版），人民卫生出版社，</w:t>
      </w:r>
      <w:r w:rsidRPr="003E5344">
        <w:rPr>
          <w:rFonts w:asciiTheme="minorEastAsia" w:eastAsiaTheme="minorEastAsia" w:hAnsiTheme="minorEastAsia"/>
          <w:kern w:val="0"/>
          <w:sz w:val="22"/>
          <w:szCs w:val="24"/>
        </w:rPr>
        <w:t>2013.3</w:t>
      </w:r>
    </w:p>
    <w:p w:rsidR="003717A0" w:rsidRPr="003E5344" w:rsidRDefault="003717A0">
      <w:pPr>
        <w:numPr>
          <w:ilvl w:val="0"/>
          <w:numId w:val="529"/>
        </w:numPr>
        <w:autoSpaceDE w:val="0"/>
        <w:autoSpaceDN w:val="0"/>
        <w:adjustRightInd w:val="0"/>
        <w:spacing w:line="36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周士枋，丁伯坦编，《运动学》，华夏出版社，</w:t>
      </w:r>
      <w:r w:rsidRPr="003E5344">
        <w:rPr>
          <w:rFonts w:asciiTheme="minorEastAsia" w:eastAsiaTheme="minorEastAsia" w:hAnsiTheme="minorEastAsia"/>
          <w:kern w:val="0"/>
          <w:sz w:val="22"/>
          <w:szCs w:val="24"/>
        </w:rPr>
        <w:t>2006.2</w:t>
      </w:r>
    </w:p>
    <w:p w:rsidR="003717A0" w:rsidRPr="003E5344" w:rsidRDefault="003717A0">
      <w:pPr>
        <w:autoSpaceDE w:val="0"/>
        <w:autoSpaceDN w:val="0"/>
        <w:adjustRightInd w:val="0"/>
        <w:ind w:leftChars="3510" w:left="7371" w:firstLineChars="157" w:firstLine="283"/>
        <w:jc w:val="left"/>
        <w:rPr>
          <w:rFonts w:asciiTheme="minorEastAsia" w:eastAsiaTheme="minorEastAsia" w:hAnsiTheme="minorEastAsia" w:cs="黑体"/>
          <w:kern w:val="0"/>
          <w:sz w:val="18"/>
          <w:szCs w:val="18"/>
        </w:rPr>
      </w:pPr>
    </w:p>
    <w:p w:rsidR="003717A0" w:rsidRPr="003E5344" w:rsidRDefault="003717A0">
      <w:pPr>
        <w:autoSpaceDE w:val="0"/>
        <w:autoSpaceDN w:val="0"/>
        <w:adjustRightInd w:val="0"/>
        <w:ind w:leftChars="3510" w:left="7371" w:firstLineChars="157" w:firstLine="283"/>
        <w:jc w:val="left"/>
        <w:rPr>
          <w:rFonts w:asciiTheme="minorEastAsia" w:eastAsiaTheme="minorEastAsia" w:hAnsiTheme="minorEastAsia" w:cs="黑体"/>
          <w:kern w:val="0"/>
          <w:sz w:val="18"/>
          <w:szCs w:val="18"/>
        </w:rPr>
      </w:pPr>
    </w:p>
    <w:p w:rsidR="003717A0" w:rsidRPr="003E5344" w:rsidRDefault="003717A0">
      <w:pPr>
        <w:autoSpaceDE w:val="0"/>
        <w:autoSpaceDN w:val="0"/>
        <w:adjustRightInd w:val="0"/>
        <w:ind w:leftChars="3510" w:left="7371" w:firstLineChars="157" w:firstLine="283"/>
        <w:jc w:val="left"/>
        <w:rPr>
          <w:rFonts w:asciiTheme="minorEastAsia" w:eastAsiaTheme="minorEastAsia" w:hAnsiTheme="minorEastAsia" w:cs="黑体"/>
          <w:kern w:val="0"/>
          <w:sz w:val="18"/>
          <w:szCs w:val="18"/>
        </w:rPr>
      </w:pPr>
    </w:p>
    <w:p w:rsidR="003717A0" w:rsidRPr="003E5344" w:rsidRDefault="003717A0">
      <w:pPr>
        <w:autoSpaceDE w:val="0"/>
        <w:autoSpaceDN w:val="0"/>
        <w:adjustRightInd w:val="0"/>
        <w:ind w:leftChars="2900" w:left="6090"/>
        <w:jc w:val="left"/>
        <w:rPr>
          <w:rFonts w:asciiTheme="minorEastAsia" w:eastAsiaTheme="minorEastAsia" w:hAnsiTheme="minorEastAsia" w:cs="黑体"/>
          <w:kern w:val="0"/>
          <w:szCs w:val="21"/>
        </w:rPr>
      </w:pPr>
      <w:r w:rsidRPr="003E5344">
        <w:rPr>
          <w:rFonts w:asciiTheme="minorEastAsia" w:eastAsiaTheme="minorEastAsia" w:hAnsiTheme="minorEastAsia" w:cs="黑体" w:hint="eastAsia"/>
          <w:kern w:val="0"/>
          <w:szCs w:val="21"/>
        </w:rPr>
        <w:t>制定人：胡玉明</w:t>
      </w:r>
    </w:p>
    <w:p w:rsidR="003717A0" w:rsidRPr="003E5344" w:rsidRDefault="003717A0" w:rsidP="00566E4D">
      <w:pPr>
        <w:autoSpaceDE w:val="0"/>
        <w:autoSpaceDN w:val="0"/>
        <w:adjustRightInd w:val="0"/>
        <w:spacing w:line="360" w:lineRule="exact"/>
        <w:ind w:leftChars="2900" w:left="6090"/>
        <w:jc w:val="left"/>
        <w:rPr>
          <w:rFonts w:asciiTheme="minorEastAsia" w:eastAsiaTheme="minorEastAsia" w:hAnsiTheme="minorEastAsia" w:cs="黑体"/>
          <w:kern w:val="0"/>
          <w:szCs w:val="21"/>
        </w:rPr>
      </w:pPr>
      <w:r w:rsidRPr="003E5344">
        <w:rPr>
          <w:rFonts w:asciiTheme="minorEastAsia" w:eastAsiaTheme="minorEastAsia" w:hAnsiTheme="minorEastAsia" w:cs="黑体" w:hint="eastAsia"/>
          <w:kern w:val="0"/>
          <w:szCs w:val="21"/>
        </w:rPr>
        <w:t>审核人：沈光宇</w:t>
      </w:r>
    </w:p>
    <w:p w:rsidR="003717A0" w:rsidRPr="00566E4D" w:rsidRDefault="003717A0" w:rsidP="005E20B5">
      <w:pPr>
        <w:adjustRightInd w:val="0"/>
        <w:snapToGrid w:val="0"/>
        <w:spacing w:beforeLines="50" w:afterLines="50"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jc w:val="left"/>
        <w:rPr>
          <w:rFonts w:ascii="Times New Roman" w:hAnsi="Times New Roman"/>
          <w:kern w:val="0"/>
          <w:sz w:val="22"/>
        </w:rPr>
      </w:pPr>
      <w:r>
        <w:rPr>
          <w:sz w:val="22"/>
        </w:rPr>
        <w:t>1</w:t>
      </w:r>
      <w:r>
        <w:rPr>
          <w:rFonts w:hint="eastAsia"/>
          <w:sz w:val="22"/>
        </w:rPr>
        <w:t>、</w:t>
      </w:r>
      <w:r>
        <w:rPr>
          <w:rFonts w:ascii="Times New Roman" w:hAnsi="Times New Roman" w:hint="eastAsia"/>
          <w:kern w:val="0"/>
          <w:sz w:val="22"/>
        </w:rPr>
        <w:t>修读完本课程规定内容的康复治疗学专业本科学生；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hAnsi="Times New Roman"/>
          <w:kern w:val="0"/>
          <w:sz w:val="22"/>
        </w:rPr>
        <w:t>2</w:t>
      </w:r>
      <w:r>
        <w:rPr>
          <w:rFonts w:ascii="Times New Roman" w:hAnsi="Times New Roman" w:hint="eastAsia"/>
          <w:kern w:val="0"/>
          <w:sz w:val="22"/>
        </w:rPr>
        <w:t>、提出并获准免修本课程、申请进行课程水平考核的康复治疗学专业本科学生。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420"/>
        <w:jc w:val="left"/>
        <w:rPr>
          <w:rFonts w:ascii="Times New Roman" w:eastAsia="黑体" w:hAnsi="Times New Roman"/>
          <w:b/>
          <w:kern w:val="0"/>
          <w:sz w:val="24"/>
          <w:szCs w:val="24"/>
        </w:rPr>
      </w:pPr>
      <w:r>
        <w:rPr>
          <w:rFonts w:ascii="宋体" w:hAnsi="宋体" w:hint="eastAsia"/>
          <w:szCs w:val="21"/>
        </w:rPr>
        <w:t>通过考核来检查和了解学生对本门课程内容的掌握程度，考核学生对平衡与协调治疗技术的理解与实际应用，通过本课程的学习，学生应能够判断真实个体的障碍类型并能给予相应的训练。</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420"/>
        <w:jc w:val="left"/>
        <w:rPr>
          <w:rFonts w:ascii="Times New Roman" w:eastAsia="黑体" w:hAnsi="Times New Roman"/>
          <w:b/>
          <w:kern w:val="0"/>
          <w:sz w:val="24"/>
          <w:szCs w:val="24"/>
        </w:rPr>
      </w:pPr>
      <w:r>
        <w:rPr>
          <w:rFonts w:ascii="宋体" w:hAnsi="宋体" w:hint="eastAsia"/>
          <w:szCs w:val="21"/>
        </w:rPr>
        <w:t>期末论文和实践操作以及小组汇报</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期末论文占总成绩的</w:t>
      </w:r>
      <w:r>
        <w:rPr>
          <w:rFonts w:ascii="宋体" w:hAnsi="宋体"/>
          <w:szCs w:val="21"/>
        </w:rPr>
        <w:t>60%</w:t>
      </w:r>
      <w:r>
        <w:rPr>
          <w:rFonts w:ascii="宋体" w:hAnsi="宋体" w:hint="eastAsia"/>
          <w:szCs w:val="21"/>
        </w:rPr>
        <w:t>。</w:t>
      </w:r>
    </w:p>
    <w:p w:rsidR="003717A0" w:rsidRDefault="003717A0">
      <w:pPr>
        <w:autoSpaceDE w:val="0"/>
        <w:autoSpaceDN w:val="0"/>
        <w:adjustRightInd w:val="0"/>
        <w:snapToGrid w:val="0"/>
        <w:spacing w:line="360" w:lineRule="auto"/>
        <w:ind w:firstLineChars="193" w:firstLine="405"/>
        <w:jc w:val="left"/>
        <w:rPr>
          <w:rFonts w:ascii="Times New Roman" w:eastAsia="黑体" w:hAnsi="Times New Roman"/>
          <w:b/>
          <w:kern w:val="0"/>
          <w:sz w:val="24"/>
          <w:szCs w:val="24"/>
        </w:rPr>
      </w:pPr>
      <w:r>
        <w:rPr>
          <w:rFonts w:ascii="宋体" w:hAnsi="宋体" w:hint="eastAsia"/>
          <w:szCs w:val="21"/>
        </w:rPr>
        <w:t>平时成绩占总成绩的</w:t>
      </w:r>
      <w:r>
        <w:rPr>
          <w:rFonts w:ascii="宋体" w:hAnsi="宋体"/>
          <w:szCs w:val="21"/>
        </w:rPr>
        <w:t>40%</w:t>
      </w:r>
      <w:r>
        <w:rPr>
          <w:rFonts w:ascii="宋体" w:hAnsi="宋体" w:hint="eastAsia"/>
          <w:szCs w:val="21"/>
        </w:rPr>
        <w:t>，其中实践操作为</w:t>
      </w:r>
      <w:r>
        <w:rPr>
          <w:rFonts w:ascii="宋体" w:hAnsi="宋体"/>
          <w:szCs w:val="21"/>
        </w:rPr>
        <w:t>20%</w:t>
      </w:r>
      <w:r>
        <w:rPr>
          <w:rFonts w:ascii="宋体" w:hAnsi="宋体" w:hint="eastAsia"/>
          <w:szCs w:val="21"/>
        </w:rPr>
        <w:t>，小组汇报为</w:t>
      </w:r>
      <w:r>
        <w:rPr>
          <w:rFonts w:ascii="宋体" w:hAnsi="宋体"/>
          <w:szCs w:val="21"/>
        </w:rPr>
        <w:t>20%</w:t>
      </w:r>
      <w:r>
        <w:rPr>
          <w:rFonts w:ascii="宋体" w:hAnsi="宋体" w:hint="eastAsia"/>
          <w:szCs w:val="21"/>
        </w:rPr>
        <w:t>。</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pacing w:line="440" w:lineRule="exact"/>
        <w:ind w:firstLineChars="192" w:firstLine="422"/>
        <w:jc w:val="left"/>
        <w:rPr>
          <w:rFonts w:ascii="Times New Roman" w:eastAsia="黑体" w:hAnsi="Times New Roman"/>
          <w:kern w:val="0"/>
          <w:sz w:val="22"/>
        </w:rPr>
      </w:pPr>
      <w:r>
        <w:rPr>
          <w:rFonts w:hint="eastAsia"/>
          <w:sz w:val="22"/>
        </w:rPr>
        <w:t>操作平衡与协调的评估；操作平衡与协调能力具体训练方法；小组案例分析及汇报；平衡与协调治疗技术的拓展论文。</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pacing w:line="440" w:lineRule="exact"/>
        <w:ind w:firstLineChars="192" w:firstLine="422"/>
        <w:jc w:val="left"/>
        <w:rPr>
          <w:rFonts w:ascii="Times New Roman" w:eastAsia="黑体" w:hAnsi="Times New Roman"/>
          <w:b/>
          <w:kern w:val="0"/>
          <w:sz w:val="22"/>
        </w:rPr>
      </w:pPr>
      <w:r>
        <w:rPr>
          <w:rFonts w:hint="eastAsia"/>
          <w:sz w:val="22"/>
        </w:rPr>
        <w:t>注意与患者的沟通与交流，严格遵守平衡与</w:t>
      </w:r>
      <w:r>
        <w:rPr>
          <w:sz w:val="22"/>
        </w:rPr>
        <w:t xml:space="preserve"> </w:t>
      </w:r>
      <w:r>
        <w:rPr>
          <w:rFonts w:hint="eastAsia"/>
          <w:sz w:val="22"/>
        </w:rPr>
        <w:t>协调评估的流程，选择正确的评估工具，患者于治疗师正确的体位，准确有效的训练方法，操作规范，并能严格遵守适应症与禁忌症的要求操作。同时，培养学生的自学能力，自己收集、整理资料，拓展相关内容。</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hint="eastAsia"/>
          <w:kern w:val="0"/>
          <w:sz w:val="22"/>
          <w:szCs w:val="24"/>
        </w:rPr>
        <w:t>论文：选择其中的一个方面写一篇论文</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kern w:val="0"/>
          <w:sz w:val="22"/>
          <w:szCs w:val="24"/>
        </w:rPr>
        <w:t>1</w:t>
      </w:r>
      <w:r w:rsidRPr="003E5344">
        <w:rPr>
          <w:rFonts w:asciiTheme="minorEastAsia" w:eastAsiaTheme="minorEastAsia" w:hAnsiTheme="minorEastAsia" w:hint="eastAsia"/>
          <w:kern w:val="0"/>
          <w:sz w:val="22"/>
          <w:szCs w:val="24"/>
        </w:rPr>
        <w:t>、如何将你所学的运用到生活中。</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kern w:val="0"/>
          <w:sz w:val="22"/>
          <w:szCs w:val="24"/>
        </w:rPr>
        <w:t>2</w:t>
      </w:r>
      <w:r w:rsidRPr="003E5344">
        <w:rPr>
          <w:rFonts w:asciiTheme="minorEastAsia" w:eastAsiaTheme="minorEastAsia" w:hAnsiTheme="minorEastAsia" w:hint="eastAsia"/>
          <w:kern w:val="0"/>
          <w:sz w:val="22"/>
          <w:szCs w:val="24"/>
        </w:rPr>
        <w:t>、你觉得现在所学的技术能在哪些方面再有所提高。</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kern w:val="0"/>
          <w:sz w:val="22"/>
          <w:szCs w:val="24"/>
        </w:rPr>
      </w:pPr>
      <w:r w:rsidRPr="003E5344">
        <w:rPr>
          <w:rFonts w:asciiTheme="minorEastAsia" w:eastAsiaTheme="minorEastAsia" w:hAnsiTheme="minorEastAsia"/>
          <w:kern w:val="0"/>
          <w:sz w:val="22"/>
          <w:szCs w:val="24"/>
        </w:rPr>
        <w:t>3</w:t>
      </w:r>
      <w:r w:rsidRPr="003E5344">
        <w:rPr>
          <w:rFonts w:asciiTheme="minorEastAsia" w:eastAsiaTheme="minorEastAsia" w:hAnsiTheme="minorEastAsia" w:hint="eastAsia"/>
          <w:kern w:val="0"/>
          <w:sz w:val="22"/>
          <w:szCs w:val="24"/>
        </w:rPr>
        <w:t>、还有什么方法可以帮助提高平衡协调功能。</w:t>
      </w:r>
    </w:p>
    <w:p w:rsidR="003717A0" w:rsidRPr="003E5344"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p>
    <w:p w:rsidR="003717A0" w:rsidRDefault="003717A0">
      <w:pPr>
        <w:widowControl/>
        <w:jc w:val="left"/>
        <w:rPr>
          <w:rFonts w:ascii="Times New Roman" w:eastAsia="黑体" w:hAnsi="Times New Roman"/>
          <w:kern w:val="0"/>
          <w:sz w:val="34"/>
          <w:szCs w:val="34"/>
        </w:rPr>
      </w:pPr>
    </w:p>
    <w:p w:rsidR="003717A0" w:rsidRDefault="003717A0" w:rsidP="005E20B5">
      <w:pPr>
        <w:adjustRightInd w:val="0"/>
        <w:snapToGrid w:val="0"/>
        <w:spacing w:beforeLines="50" w:afterLines="50" w:line="400" w:lineRule="exact"/>
        <w:jc w:val="center"/>
        <w:rPr>
          <w:rFonts w:ascii="Times New Roman" w:eastAsia="黑体" w:hAnsi="Times New Roman"/>
          <w:kern w:val="0"/>
          <w:sz w:val="34"/>
          <w:szCs w:val="34"/>
        </w:rPr>
      </w:pPr>
    </w:p>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200" w:firstLine="420"/>
              <w:jc w:val="left"/>
              <w:rPr>
                <w:rFonts w:ascii="Times New Roman" w:hAnsi="宋体"/>
                <w:kern w:val="0"/>
                <w:sz w:val="22"/>
              </w:rPr>
            </w:pPr>
            <w:r>
              <w:rPr>
                <w:rFonts w:ascii="宋体" w:hAnsi="宋体" w:hint="eastAsia"/>
                <w:szCs w:val="21"/>
              </w:rPr>
              <w:t>教师应充分研究本大纲所规定的各章内容，对其有彻底的掌握，对重点和难点进行深入浅出的讲解。并能列举具体案例借以说明，使教学形象生动，更有说服力。注重与学生的交流和互动，给学生们讨论的机会，针对具体的案例给予分析，教师能就学生的思路给予引导与启发。注重反馈，并及时修正。</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pPr>
              <w:numPr>
                <w:ilvl w:val="0"/>
                <w:numId w:val="53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530"/>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结合课程特点，制作课件，运用多媒体教学手段讲授部分教学内容，并且播放相关视频资料。</w:t>
            </w:r>
          </w:p>
          <w:p w:rsidR="003717A0" w:rsidRDefault="003717A0">
            <w:pPr>
              <w:autoSpaceDE w:val="0"/>
              <w:autoSpaceDN w:val="0"/>
              <w:adjustRightInd w:val="0"/>
              <w:snapToGrid w:val="0"/>
              <w:spacing w:line="360" w:lineRule="exact"/>
              <w:jc w:val="left"/>
            </w:pPr>
            <w:r>
              <w:rPr>
                <w:rFonts w:ascii="Times New Roman" w:hAnsi="宋体"/>
                <w:szCs w:val="21"/>
              </w:rPr>
              <w:t xml:space="preserve">3.  </w:t>
            </w: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pPr>
              <w:spacing w:line="340" w:lineRule="exact"/>
              <w:jc w:val="center"/>
            </w:pP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pPr>
              <w:numPr>
                <w:ilvl w:val="0"/>
                <w:numId w:val="53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pPr>
              <w:numPr>
                <w:ilvl w:val="0"/>
                <w:numId w:val="53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531"/>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多媒体教学手段、视频资料、真实案例分析、实践模拟操作、以培养学生实践动手的能力。</w:t>
            </w:r>
          </w:p>
          <w:p w:rsidR="003717A0" w:rsidRDefault="003717A0">
            <w:pPr>
              <w:autoSpaceDE w:val="0"/>
              <w:autoSpaceDN w:val="0"/>
              <w:adjustRightInd w:val="0"/>
              <w:snapToGrid w:val="0"/>
              <w:spacing w:line="360" w:lineRule="exact"/>
              <w:jc w:val="left"/>
            </w:pPr>
            <w:r>
              <w:rPr>
                <w:rFonts w:ascii="Times New Roman" w:hAnsi="宋体"/>
                <w:szCs w:val="21"/>
              </w:rPr>
              <w:t xml:space="preserve">4.  </w:t>
            </w: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lastRenderedPageBreak/>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auto"/>
              <w:ind w:firstLineChars="193" w:firstLine="425"/>
              <w:jc w:val="left"/>
              <w:rPr>
                <w:sz w:val="22"/>
              </w:rPr>
            </w:pPr>
            <w:r>
              <w:rPr>
                <w:rFonts w:hint="eastAsia"/>
                <w:sz w:val="22"/>
              </w:rPr>
              <w:t>学生需完成一定数量的平时作业，包括实践操作，资料收集与整理，真实案例分析，</w:t>
            </w:r>
            <w:r>
              <w:rPr>
                <w:sz w:val="22"/>
              </w:rPr>
              <w:t>PPT</w:t>
            </w:r>
            <w:r>
              <w:rPr>
                <w:rFonts w:hint="eastAsia"/>
                <w:sz w:val="22"/>
              </w:rPr>
              <w:t>制作，期末论文书写。</w:t>
            </w:r>
          </w:p>
          <w:p w:rsidR="003717A0" w:rsidRDefault="003717A0">
            <w:pPr>
              <w:autoSpaceDE w:val="0"/>
              <w:autoSpaceDN w:val="0"/>
              <w:adjustRightInd w:val="0"/>
              <w:snapToGrid w:val="0"/>
              <w:spacing w:line="360" w:lineRule="exact"/>
              <w:jc w:val="left"/>
              <w:rPr>
                <w:rFonts w:ascii="Times New Roman" w:hAnsi="宋体"/>
                <w:szCs w:val="21"/>
              </w:rPr>
            </w:pPr>
            <w:r>
              <w:rPr>
                <w:rFonts w:ascii="Times New Roman" w:hAnsi="宋体" w:hint="eastAsia"/>
                <w:szCs w:val="21"/>
              </w:rPr>
              <w:t>一、学生完成作业的主要内容：</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平衡能力的评定及治疗方法演示</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协调能力的评定及治疗方法演示</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根据真实案例，学生以小组为单位，收集、整理资料，制作相关</w:t>
            </w:r>
            <w:r>
              <w:rPr>
                <w:rFonts w:ascii="Times New Roman" w:hAnsi="宋体"/>
                <w:kern w:val="0"/>
                <w:sz w:val="22"/>
              </w:rPr>
              <w:t>PPT</w:t>
            </w:r>
            <w:r>
              <w:rPr>
                <w:rFonts w:ascii="Times New Roman" w:hAnsi="宋体" w:hint="eastAsia"/>
                <w:kern w:val="0"/>
                <w:sz w:val="22"/>
              </w:rPr>
              <w:t>，并进行全班交流和讨论，拓展与本课程相关的知识</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4.  </w:t>
            </w:r>
            <w:r>
              <w:rPr>
                <w:rFonts w:ascii="Times New Roman" w:hAnsi="宋体" w:hint="eastAsia"/>
                <w:kern w:val="0"/>
                <w:sz w:val="22"/>
              </w:rPr>
              <w:t>期末论文书写</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二、学生完成作业必须达到以下基本要求：</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按时按量完成作业，不缺交，不抄袭；</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论文规范，书写清晰切题；</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操作规范严谨，体位正确舒适。</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hint="eastAsia"/>
                <w:kern w:val="0"/>
                <w:sz w:val="22"/>
              </w:rPr>
              <w:t>三、教师批改或讲评作业的数量和次数要求如下：</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1.  </w:t>
            </w:r>
            <w:r>
              <w:rPr>
                <w:rFonts w:ascii="Times New Roman" w:hAnsi="宋体" w:hint="eastAsia"/>
                <w:kern w:val="0"/>
                <w:sz w:val="22"/>
              </w:rPr>
              <w:t>及时纠正学生操作演示过程中的不足，并给予相应的指导；</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2.  </w:t>
            </w:r>
            <w:r>
              <w:rPr>
                <w:rFonts w:ascii="Times New Roman" w:hAnsi="宋体" w:hint="eastAsia"/>
                <w:kern w:val="0"/>
                <w:sz w:val="22"/>
              </w:rPr>
              <w:t>对小组汇报的内容给予反馈和建议；</w:t>
            </w:r>
          </w:p>
          <w:p w:rsidR="003717A0" w:rsidRDefault="003717A0">
            <w:pPr>
              <w:autoSpaceDE w:val="0"/>
              <w:autoSpaceDN w:val="0"/>
              <w:adjustRightInd w:val="0"/>
              <w:snapToGrid w:val="0"/>
              <w:spacing w:line="360" w:lineRule="exact"/>
              <w:jc w:val="left"/>
              <w:rPr>
                <w:rFonts w:ascii="Times New Roman" w:hAnsi="宋体"/>
                <w:kern w:val="0"/>
                <w:sz w:val="22"/>
              </w:rPr>
            </w:pPr>
            <w:r>
              <w:rPr>
                <w:rFonts w:ascii="Times New Roman" w:hAnsi="宋体"/>
                <w:kern w:val="0"/>
                <w:sz w:val="22"/>
              </w:rPr>
              <w:t xml:space="preserve">3.  </w:t>
            </w:r>
            <w:r>
              <w:rPr>
                <w:rFonts w:ascii="Times New Roman" w:hAnsi="宋体" w:hint="eastAsia"/>
                <w:kern w:val="0"/>
                <w:sz w:val="22"/>
              </w:rPr>
              <w:t>认真研读学生的论文，给予客观的评分。</w:t>
            </w:r>
          </w:p>
        </w:tc>
      </w:tr>
      <w:tr w:rsidR="003717A0">
        <w:trPr>
          <w:gridAfter w:val="1"/>
          <w:wAfter w:w="26" w:type="dxa"/>
          <w:cantSplit/>
          <w:trHeight w:val="1260"/>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宋体"/>
                <w:kern w:val="0"/>
                <w:sz w:val="22"/>
              </w:rPr>
            </w:pPr>
            <w:r>
              <w:rPr>
                <w:rFonts w:ascii="宋体" w:hAnsi="宋体" w:hint="eastAsia"/>
                <w:szCs w:val="21"/>
              </w:rPr>
              <w:t>在教室、实验室内，多与学生进行面对面的交流互动，同时充分利用微信、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Ansi="宋体" w:hint="eastAsia"/>
                <w:szCs w:val="21"/>
              </w:rPr>
              <w:t>本课程为学期课程，成绩考核的方式：论文。考试学期总评成绩的评定方法如下：</w:t>
            </w:r>
          </w:p>
          <w:p w:rsidR="003717A0" w:rsidRDefault="003717A0">
            <w:pPr>
              <w:numPr>
                <w:ilvl w:val="0"/>
                <w:numId w:val="53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平时操作占总评成绩的</w:t>
            </w:r>
            <w:r>
              <w:rPr>
                <w:rFonts w:ascii="Times New Roman" w:hAnsi="宋体"/>
                <w:szCs w:val="21"/>
              </w:rPr>
              <w:t>20%</w:t>
            </w:r>
            <w:r>
              <w:rPr>
                <w:rFonts w:ascii="Times New Roman" w:hAnsi="宋体" w:hint="eastAsia"/>
                <w:szCs w:val="21"/>
              </w:rPr>
              <w:t>；</w:t>
            </w:r>
          </w:p>
          <w:p w:rsidR="003717A0" w:rsidRDefault="003717A0">
            <w:pPr>
              <w:numPr>
                <w:ilvl w:val="0"/>
                <w:numId w:val="53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小组汇报占总评成绩的</w:t>
            </w:r>
            <w:r>
              <w:rPr>
                <w:rFonts w:ascii="Times New Roman" w:hAnsi="宋体"/>
                <w:szCs w:val="21"/>
              </w:rPr>
              <w:t>20%</w:t>
            </w:r>
            <w:r>
              <w:rPr>
                <w:rFonts w:ascii="Times New Roman" w:hAnsi="宋体" w:hint="eastAsia"/>
                <w:szCs w:val="21"/>
              </w:rPr>
              <w:t>；</w:t>
            </w:r>
          </w:p>
          <w:p w:rsidR="003717A0" w:rsidRDefault="003717A0">
            <w:pPr>
              <w:numPr>
                <w:ilvl w:val="0"/>
                <w:numId w:val="53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期末论文成绩占总评成绩的</w:t>
            </w:r>
            <w:r>
              <w:rPr>
                <w:rFonts w:ascii="Times New Roman" w:hAnsi="宋体"/>
                <w:szCs w:val="21"/>
              </w:rPr>
              <w:t>60%</w:t>
            </w:r>
            <w:r>
              <w:rPr>
                <w:rFonts w:ascii="Times New Roman" w:hAnsi="宋体" w:hint="eastAsia"/>
                <w:szCs w:val="21"/>
              </w:rPr>
              <w:t>；</w:t>
            </w:r>
          </w:p>
          <w:p w:rsidR="003717A0" w:rsidRDefault="003717A0">
            <w:pPr>
              <w:numPr>
                <w:ilvl w:val="0"/>
                <w:numId w:val="532"/>
              </w:numPr>
              <w:autoSpaceDE w:val="0"/>
              <w:autoSpaceDN w:val="0"/>
              <w:adjustRightInd w:val="0"/>
              <w:snapToGrid w:val="0"/>
              <w:spacing w:line="360" w:lineRule="auto"/>
              <w:jc w:val="left"/>
              <w:rPr>
                <w:rFonts w:ascii="Times New Roman" w:hAnsi="宋体"/>
                <w:szCs w:val="21"/>
              </w:rPr>
            </w:pPr>
            <w:r>
              <w:rPr>
                <w:rFonts w:ascii="Times New Roman" w:hAnsi="宋体" w:hint="eastAsia"/>
                <w:szCs w:val="21"/>
              </w:rPr>
              <w:t>有下列情况之一者，总评成绩为不及格：</w:t>
            </w:r>
          </w:p>
          <w:p w:rsidR="003717A0" w:rsidRDefault="003717A0">
            <w:pPr>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）缺交论文者；</w:t>
            </w:r>
          </w:p>
          <w:p w:rsidR="003717A0" w:rsidRDefault="003717A0">
            <w:pPr>
              <w:autoSpaceDE w:val="0"/>
              <w:autoSpaceDN w:val="0"/>
              <w:adjustRightInd w:val="0"/>
              <w:snapToGrid w:val="0"/>
              <w:spacing w:line="360" w:lineRule="exact"/>
              <w:ind w:firstLineChars="200" w:firstLine="420"/>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）缺课次数达本课程总授课学时的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pPr>
              <w:spacing w:line="340" w:lineRule="exact"/>
              <w:ind w:left="113" w:right="113"/>
              <w:jc w:val="center"/>
              <w:rPr>
                <w:rFonts w:ascii="黑体" w:eastAsia="黑体"/>
                <w:b/>
                <w:sz w:val="24"/>
                <w:szCs w:val="24"/>
              </w:rPr>
            </w:pP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exact"/>
              <w:jc w:val="left"/>
              <w:rPr>
                <w:rFonts w:ascii="Times New Roman" w:hAnsi="宋体"/>
                <w:kern w:val="0"/>
                <w:sz w:val="22"/>
              </w:rPr>
            </w:pPr>
            <w:r>
              <w:rPr>
                <w:rFonts w:ascii="宋体" w:hAnsi="宋体" w:hint="eastAsia"/>
                <w:szCs w:val="21"/>
              </w:rPr>
              <w:t>为了培养学生综合运用所学知识解决实际问题的能力和创新能力，本课程教师应鼓励和指导学生积极参加课外学术活动兴趣小组，并能去医院参观真实病人训练过程，尝试与病人建立关系，能给予一些帮助，参与到训练中去。</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bookmarkStart w:id="119" w:name="_Toc469313021"/>
      <w:bookmarkStart w:id="120" w:name="_Toc471830733"/>
      <w:r w:rsidRPr="00566E4D">
        <w:rPr>
          <w:rFonts w:hint="eastAsia"/>
          <w:b/>
        </w:rPr>
        <w:lastRenderedPageBreak/>
        <w:t>《吞咽言语功能障碍的临床治疗》课程质量标准</w:t>
      </w:r>
      <w:bookmarkEnd w:id="119"/>
      <w:bookmarkEnd w:id="120"/>
    </w:p>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吞咽言语功能障碍的临床治疗</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Swallowing dysfunction in clinical treatment</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170714</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五</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18</w:t>
            </w:r>
            <w:r>
              <w:rPr>
                <w:rFonts w:hint="eastAsia"/>
                <w:sz w:val="22"/>
              </w:rPr>
              <w:t>学时</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1</w:t>
            </w:r>
            <w:r>
              <w:rPr>
                <w:rFonts w:hint="eastAsia"/>
                <w:sz w:val="22"/>
              </w:rPr>
              <w:t>学分</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□专业基础课□专业课■专业选修课□公共选修课</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康复医学科</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暂未出版</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□国家□部级规划□省级规划■自编□其他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 w:val="22"/>
              </w:rPr>
              <w:t>□考试■考查□开卷□闭卷□课程设计□学期论文□其他</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100%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w:t>
            </w:r>
            <w:r>
              <w:rPr>
                <w:rFonts w:hint="eastAsia"/>
                <w:sz w:val="22"/>
              </w:rPr>
              <w:t>无</w:t>
            </w: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rsidTr="00566E4D">
        <w:trPr>
          <w:jc w:val="center"/>
        </w:trPr>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沈光宇</w:t>
            </w:r>
          </w:p>
        </w:tc>
        <w:tc>
          <w:tcPr>
            <w:tcW w:w="1523" w:type="dxa"/>
          </w:tcPr>
          <w:p w:rsidR="003717A0" w:rsidRDefault="003717A0">
            <w:pPr>
              <w:adjustRightInd w:val="0"/>
              <w:snapToGrid w:val="0"/>
              <w:spacing w:line="500" w:lineRule="exact"/>
              <w:rPr>
                <w:sz w:val="22"/>
              </w:rPr>
            </w:pPr>
            <w:r>
              <w:rPr>
                <w:rFonts w:hint="eastAsia"/>
                <w:sz w:val="22"/>
              </w:rPr>
              <w:t>男</w:t>
            </w:r>
          </w:p>
        </w:tc>
        <w:tc>
          <w:tcPr>
            <w:tcW w:w="1524" w:type="dxa"/>
            <w:gridSpan w:val="2"/>
          </w:tcPr>
          <w:p w:rsidR="003717A0" w:rsidRDefault="003717A0">
            <w:pPr>
              <w:adjustRightInd w:val="0"/>
              <w:snapToGrid w:val="0"/>
              <w:spacing w:line="500" w:lineRule="exact"/>
              <w:rPr>
                <w:sz w:val="22"/>
              </w:rPr>
            </w:pPr>
            <w:r>
              <w:rPr>
                <w:rFonts w:hint="eastAsia"/>
                <w:sz w:val="22"/>
              </w:rPr>
              <w:t>本科</w:t>
            </w:r>
          </w:p>
        </w:tc>
        <w:tc>
          <w:tcPr>
            <w:tcW w:w="1523" w:type="dxa"/>
            <w:gridSpan w:val="3"/>
          </w:tcPr>
          <w:p w:rsidR="003717A0" w:rsidRDefault="003717A0">
            <w:pPr>
              <w:adjustRightInd w:val="0"/>
              <w:snapToGrid w:val="0"/>
              <w:spacing w:line="500" w:lineRule="exact"/>
              <w:rPr>
                <w:sz w:val="22"/>
              </w:rPr>
            </w:pPr>
            <w:r>
              <w:rPr>
                <w:rFonts w:hint="eastAsia"/>
                <w:sz w:val="22"/>
              </w:rPr>
              <w:t>学士</w:t>
            </w:r>
          </w:p>
        </w:tc>
        <w:tc>
          <w:tcPr>
            <w:tcW w:w="1524" w:type="dxa"/>
            <w:gridSpan w:val="2"/>
          </w:tcPr>
          <w:p w:rsidR="003717A0" w:rsidRDefault="003717A0">
            <w:pPr>
              <w:adjustRightInd w:val="0"/>
              <w:snapToGrid w:val="0"/>
              <w:spacing w:line="500" w:lineRule="exact"/>
              <w:rPr>
                <w:sz w:val="22"/>
              </w:rPr>
            </w:pPr>
            <w:r>
              <w:rPr>
                <w:rFonts w:hint="eastAsia"/>
                <w:sz w:val="22"/>
              </w:rPr>
              <w:t>教授</w:t>
            </w:r>
          </w:p>
        </w:tc>
        <w:tc>
          <w:tcPr>
            <w:tcW w:w="1524" w:type="dxa"/>
          </w:tcPr>
          <w:p w:rsidR="003717A0" w:rsidRDefault="003717A0">
            <w:pPr>
              <w:adjustRightInd w:val="0"/>
              <w:snapToGrid w:val="0"/>
              <w:spacing w:line="500" w:lineRule="exact"/>
              <w:rPr>
                <w:sz w:val="22"/>
              </w:rPr>
            </w:pPr>
            <w:r>
              <w:rPr>
                <w:sz w:val="22"/>
              </w:rPr>
              <w:t>1985.06</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胡玉明</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2003.08</w:t>
            </w:r>
          </w:p>
        </w:tc>
      </w:tr>
      <w:tr w:rsidR="003717A0" w:rsidTr="00566E4D">
        <w:trPr>
          <w:jc w:val="center"/>
        </w:trPr>
        <w:tc>
          <w:tcPr>
            <w:tcW w:w="1668" w:type="dxa"/>
          </w:tcPr>
          <w:p w:rsidR="003717A0" w:rsidRDefault="003717A0">
            <w:pPr>
              <w:adjustRightInd w:val="0"/>
              <w:snapToGrid w:val="0"/>
              <w:spacing w:line="500" w:lineRule="exact"/>
              <w:rPr>
                <w:sz w:val="22"/>
              </w:rPr>
            </w:pPr>
            <w:r>
              <w:rPr>
                <w:rFonts w:hint="eastAsia"/>
                <w:sz w:val="22"/>
              </w:rPr>
              <w:t>孙丽</w:t>
            </w:r>
          </w:p>
        </w:tc>
        <w:tc>
          <w:tcPr>
            <w:tcW w:w="1523" w:type="dxa"/>
          </w:tcPr>
          <w:p w:rsidR="003717A0" w:rsidRDefault="003717A0">
            <w:pPr>
              <w:adjustRightInd w:val="0"/>
              <w:snapToGrid w:val="0"/>
              <w:spacing w:line="500" w:lineRule="exact"/>
              <w:rPr>
                <w:sz w:val="22"/>
              </w:rPr>
            </w:pPr>
            <w:r>
              <w:rPr>
                <w:rFonts w:hint="eastAsia"/>
                <w:sz w:val="22"/>
              </w:rPr>
              <w:t>女</w:t>
            </w:r>
          </w:p>
        </w:tc>
        <w:tc>
          <w:tcPr>
            <w:tcW w:w="1524" w:type="dxa"/>
            <w:gridSpan w:val="2"/>
          </w:tcPr>
          <w:p w:rsidR="003717A0" w:rsidRDefault="003717A0">
            <w:pPr>
              <w:adjustRightInd w:val="0"/>
              <w:snapToGrid w:val="0"/>
              <w:spacing w:line="500" w:lineRule="exact"/>
              <w:rPr>
                <w:sz w:val="22"/>
              </w:rPr>
            </w:pPr>
            <w:r>
              <w:rPr>
                <w:rFonts w:hint="eastAsia"/>
                <w:sz w:val="22"/>
              </w:rPr>
              <w:t>研究生</w:t>
            </w:r>
          </w:p>
        </w:tc>
        <w:tc>
          <w:tcPr>
            <w:tcW w:w="1523" w:type="dxa"/>
            <w:gridSpan w:val="3"/>
          </w:tcPr>
          <w:p w:rsidR="003717A0" w:rsidRDefault="003717A0">
            <w:pPr>
              <w:adjustRightInd w:val="0"/>
              <w:snapToGrid w:val="0"/>
              <w:spacing w:line="500" w:lineRule="exact"/>
              <w:rPr>
                <w:sz w:val="22"/>
              </w:rPr>
            </w:pPr>
            <w:r>
              <w:rPr>
                <w:rFonts w:hint="eastAsia"/>
                <w:sz w:val="22"/>
              </w:rPr>
              <w:t>硕士</w:t>
            </w:r>
          </w:p>
        </w:tc>
        <w:tc>
          <w:tcPr>
            <w:tcW w:w="1524" w:type="dxa"/>
            <w:gridSpan w:val="2"/>
          </w:tcPr>
          <w:p w:rsidR="003717A0" w:rsidRDefault="003717A0">
            <w:pPr>
              <w:adjustRightInd w:val="0"/>
              <w:snapToGrid w:val="0"/>
              <w:spacing w:line="500" w:lineRule="exact"/>
              <w:rPr>
                <w:sz w:val="22"/>
              </w:rPr>
            </w:pPr>
            <w:r>
              <w:rPr>
                <w:rFonts w:hint="eastAsia"/>
                <w:sz w:val="22"/>
              </w:rPr>
              <w:t>讲师</w:t>
            </w:r>
          </w:p>
        </w:tc>
        <w:tc>
          <w:tcPr>
            <w:tcW w:w="1524" w:type="dxa"/>
          </w:tcPr>
          <w:p w:rsidR="003717A0" w:rsidRDefault="003717A0">
            <w:pPr>
              <w:adjustRightInd w:val="0"/>
              <w:snapToGrid w:val="0"/>
              <w:spacing w:line="500" w:lineRule="exact"/>
              <w:rPr>
                <w:sz w:val="22"/>
              </w:rPr>
            </w:pPr>
            <w:r>
              <w:rPr>
                <w:sz w:val="22"/>
              </w:rPr>
              <w:t>2010.09</w:t>
            </w:r>
          </w:p>
        </w:tc>
      </w:tr>
      <w:tr w:rsidR="003717A0" w:rsidTr="00566E4D">
        <w:trPr>
          <w:jc w:val="center"/>
        </w:trPr>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rsidTr="00566E4D">
        <w:trPr>
          <w:jc w:val="center"/>
        </w:trPr>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rsidTr="00566E4D">
        <w:trPr>
          <w:jc w:val="center"/>
        </w:trPr>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rsidTr="00566E4D">
        <w:trPr>
          <w:jc w:val="center"/>
        </w:trPr>
        <w:tc>
          <w:tcPr>
            <w:tcW w:w="9286" w:type="dxa"/>
            <w:gridSpan w:val="10"/>
          </w:tcPr>
          <w:p w:rsidR="003717A0" w:rsidRDefault="003717A0">
            <w:pPr>
              <w:adjustRightInd w:val="0"/>
              <w:snapToGrid w:val="0"/>
              <w:spacing w:line="500" w:lineRule="exact"/>
              <w:ind w:firstLineChars="200" w:firstLine="440"/>
              <w:rPr>
                <w:sz w:val="22"/>
              </w:rPr>
            </w:pPr>
            <w:r>
              <w:rPr>
                <w:rFonts w:hint="eastAsia"/>
                <w:sz w:val="22"/>
              </w:rPr>
              <w:t>吞咽功能障碍的临床治疗是临床言语治疗中的一个重要组成部分，是康复治疗学的重要组成部分。本课程比较详尽的介绍了吞咽相关的正常解剖、正常的吞咽过程及吞咽过程的神经支配，吞咽障碍的定义、病因及临床表现，对于吞咽障碍的详细评估与具体治疗。通过本课程的学习，对吞咽障碍有全面的认识与了解。</w:t>
            </w:r>
          </w:p>
          <w:p w:rsidR="003717A0" w:rsidRDefault="003717A0">
            <w:pPr>
              <w:adjustRightInd w:val="0"/>
              <w:snapToGrid w:val="0"/>
              <w:spacing w:line="500" w:lineRule="exact"/>
              <w:rPr>
                <w:sz w:val="22"/>
              </w:rPr>
            </w:pPr>
          </w:p>
        </w:tc>
      </w:tr>
    </w:tbl>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适应对象：（本科层次，康复治疗学专业）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rFonts w:ascii="Times New Roman" w:hAnsi="Times New Roman"/>
          <w:kern w:val="0"/>
          <w:sz w:val="22"/>
        </w:rPr>
        <w:t>170714</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rPr>
          <w:rFonts w:ascii="Times New Roman" w:hAnsi="Times New Roman"/>
          <w:kern w:val="0"/>
          <w:sz w:val="22"/>
        </w:rPr>
        <w:t>18</w:t>
      </w:r>
      <w:r>
        <w:rPr>
          <w:rFonts w:ascii="Times New Roman" w:hAnsi="Times New Roman" w:hint="eastAsia"/>
          <w:kern w:val="0"/>
          <w:sz w:val="22"/>
        </w:rPr>
        <w:t>学时</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1</w:t>
      </w:r>
      <w:r>
        <w:rPr>
          <w:rFonts w:ascii="Times New Roman" w:hAnsi="Times New Roman" w:hint="eastAsia"/>
          <w:kern w:val="0"/>
          <w:sz w:val="22"/>
        </w:rPr>
        <w:t>学分</w:t>
      </w:r>
      <w:r>
        <w:rPr>
          <w:rFonts w:ascii="Times New Roman" w:hAnsi="Times New Roman"/>
          <w:kern w:val="0"/>
          <w:sz w:val="22"/>
        </w:rPr>
        <w:t xml:space="preserve"> </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先修课程：言语治疗学</w:t>
      </w:r>
      <w:r>
        <w:rPr>
          <w:rFonts w:ascii="Times New Roman" w:hAnsi="Times New Roman"/>
          <w:kern w:val="0"/>
          <w:szCs w:val="21"/>
        </w:rPr>
        <w:t xml:space="preserve">  </w:t>
      </w:r>
      <w:r>
        <w:rPr>
          <w:rFonts w:ascii="Times New Roman" w:hAnsi="Times New Roman" w:hint="eastAsia"/>
          <w:kern w:val="0"/>
          <w:szCs w:val="21"/>
        </w:rPr>
        <w:t>康复评定学</w:t>
      </w:r>
      <w:r>
        <w:rPr>
          <w:rFonts w:ascii="Times New Roman" w:hAnsi="Times New Roman"/>
          <w:kern w:val="0"/>
          <w:szCs w:val="21"/>
        </w:rPr>
        <w:t xml:space="preserve">  </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后续课程：无</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吞咽功能障碍的临床治疗是临床言语治疗中的一个重要组成部分，是康复治疗学的重要组成部分。本课程比较详尽的介绍了吞咽障碍的定义，与吞咽相关的正常解剖、正常的吞咽过程及吞咽过程的神经支配，吞咽障碍的病因及临床表现，对于吞咽障碍的评估与治疗。</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通过对本课程的教学，让学生了解吞咽相关的正常解剖、正常的吞咽过程及吞咽过程的神经支配，掌握吞咽障碍的病因及临床表现，重点掌握吞咽障碍的评估与治疗，能够在未来的医务工作中运用所学的专业知识完成对康复对象的诊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通过对本课程的教学，让学生了解吞咽障碍的定义，与吞咽相关的正常解剖、正常的吞咽过程及吞咽过程的神经支配，掌握吞咽障碍的病因及临床表现，重点掌握吞咽障碍的评估与治疗，能够在未来的医务工作中运用所学的专业知识完成对康复对象的诊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第一章</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概论</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目的要求</w:t>
      </w:r>
    </w:p>
    <w:p w:rsidR="003717A0" w:rsidRDefault="003717A0">
      <w:pPr>
        <w:autoSpaceDE w:val="0"/>
        <w:autoSpaceDN w:val="0"/>
        <w:adjustRightInd w:val="0"/>
        <w:snapToGrid w:val="0"/>
        <w:spacing w:line="440" w:lineRule="exact"/>
        <w:ind w:firstLineChars="200" w:firstLine="440"/>
        <w:jc w:val="left"/>
        <w:rPr>
          <w:sz w:val="22"/>
        </w:rPr>
      </w:pPr>
      <w:r>
        <w:rPr>
          <w:sz w:val="22"/>
        </w:rPr>
        <w:t>1</w:t>
      </w:r>
      <w:r>
        <w:rPr>
          <w:rFonts w:hint="eastAsia"/>
          <w:sz w:val="22"/>
        </w:rPr>
        <w:t>、了解吞咽障碍的定义及分类</w:t>
      </w:r>
    </w:p>
    <w:p w:rsidR="003717A0" w:rsidRDefault="003717A0">
      <w:pPr>
        <w:autoSpaceDE w:val="0"/>
        <w:autoSpaceDN w:val="0"/>
        <w:adjustRightInd w:val="0"/>
        <w:snapToGrid w:val="0"/>
        <w:spacing w:line="440" w:lineRule="exact"/>
        <w:ind w:firstLineChars="200" w:firstLine="440"/>
        <w:jc w:val="left"/>
        <w:rPr>
          <w:sz w:val="22"/>
        </w:rPr>
      </w:pPr>
      <w:r>
        <w:rPr>
          <w:sz w:val="22"/>
        </w:rPr>
        <w:t>2</w:t>
      </w:r>
      <w:r>
        <w:rPr>
          <w:rFonts w:hint="eastAsia"/>
          <w:sz w:val="22"/>
        </w:rPr>
        <w:t>、知道不同阶段的不同处理原则</w:t>
      </w:r>
    </w:p>
    <w:p w:rsidR="003717A0" w:rsidRDefault="003717A0">
      <w:pPr>
        <w:autoSpaceDE w:val="0"/>
        <w:autoSpaceDN w:val="0"/>
        <w:adjustRightInd w:val="0"/>
        <w:snapToGrid w:val="0"/>
        <w:spacing w:line="440" w:lineRule="exact"/>
        <w:ind w:firstLineChars="200" w:firstLine="440"/>
        <w:jc w:val="left"/>
        <w:rPr>
          <w:sz w:val="22"/>
        </w:rPr>
      </w:pPr>
      <w:r>
        <w:rPr>
          <w:sz w:val="22"/>
        </w:rPr>
        <w:t>3</w:t>
      </w:r>
      <w:r>
        <w:rPr>
          <w:rFonts w:hint="eastAsia"/>
          <w:sz w:val="22"/>
        </w:rPr>
        <w:t>、了解现状及发展趋势</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教学内容</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第一节基本概念</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第二节处理原则</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第三节现状及未来发展趋势</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第二章</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正常吞咽的神经病学基础</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目的要求</w:t>
      </w:r>
    </w:p>
    <w:p w:rsidR="003717A0" w:rsidRDefault="003717A0">
      <w:pPr>
        <w:autoSpaceDE w:val="0"/>
        <w:autoSpaceDN w:val="0"/>
        <w:adjustRightInd w:val="0"/>
        <w:snapToGrid w:val="0"/>
        <w:spacing w:line="440" w:lineRule="exact"/>
        <w:ind w:firstLineChars="200" w:firstLine="440"/>
        <w:jc w:val="left"/>
        <w:rPr>
          <w:rFonts w:ascii="宋体"/>
          <w:sz w:val="22"/>
        </w:rPr>
      </w:pPr>
      <w:r>
        <w:rPr>
          <w:rFonts w:ascii="宋体"/>
          <w:sz w:val="22"/>
        </w:rPr>
        <w:lastRenderedPageBreak/>
        <w:t>1</w:t>
      </w:r>
      <w:r>
        <w:rPr>
          <w:rFonts w:ascii="宋体" w:hint="eastAsia"/>
          <w:sz w:val="22"/>
        </w:rPr>
        <w:t>、熟悉口腔、咽部、食管的解剖</w:t>
      </w:r>
    </w:p>
    <w:p w:rsidR="003717A0" w:rsidRDefault="003717A0">
      <w:pPr>
        <w:autoSpaceDE w:val="0"/>
        <w:autoSpaceDN w:val="0"/>
        <w:adjustRightInd w:val="0"/>
        <w:snapToGrid w:val="0"/>
        <w:spacing w:line="440" w:lineRule="exact"/>
        <w:ind w:firstLineChars="200" w:firstLine="440"/>
        <w:jc w:val="left"/>
        <w:rPr>
          <w:rFonts w:ascii="宋体"/>
          <w:sz w:val="22"/>
        </w:rPr>
      </w:pPr>
      <w:r>
        <w:rPr>
          <w:rFonts w:ascii="宋体"/>
          <w:sz w:val="22"/>
        </w:rPr>
        <w:t>2</w:t>
      </w:r>
      <w:r>
        <w:rPr>
          <w:rFonts w:ascii="宋体" w:hint="eastAsia"/>
          <w:sz w:val="22"/>
        </w:rPr>
        <w:t>、掌握吞咽的</w:t>
      </w:r>
      <w:r>
        <w:rPr>
          <w:rFonts w:ascii="宋体"/>
          <w:sz w:val="22"/>
        </w:rPr>
        <w:t>5</w:t>
      </w:r>
      <w:r>
        <w:rPr>
          <w:rFonts w:ascii="宋体" w:hint="eastAsia"/>
          <w:sz w:val="22"/>
        </w:rPr>
        <w:t>个阶段</w:t>
      </w:r>
    </w:p>
    <w:p w:rsidR="003717A0" w:rsidRDefault="003717A0">
      <w:pPr>
        <w:autoSpaceDE w:val="0"/>
        <w:autoSpaceDN w:val="0"/>
        <w:adjustRightInd w:val="0"/>
        <w:snapToGrid w:val="0"/>
        <w:spacing w:line="440" w:lineRule="exact"/>
        <w:ind w:firstLineChars="200" w:firstLine="440"/>
        <w:jc w:val="left"/>
        <w:rPr>
          <w:rFonts w:ascii="宋体"/>
          <w:sz w:val="22"/>
        </w:rPr>
      </w:pPr>
      <w:r>
        <w:rPr>
          <w:rFonts w:ascii="宋体"/>
          <w:sz w:val="22"/>
        </w:rPr>
        <w:t>3</w:t>
      </w:r>
      <w:r>
        <w:rPr>
          <w:rFonts w:ascii="宋体" w:hint="eastAsia"/>
          <w:sz w:val="22"/>
        </w:rPr>
        <w:t>、熟悉各个阶段的神经支配</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教学内容</w:t>
      </w:r>
    </w:p>
    <w:p w:rsidR="003717A0" w:rsidRDefault="003717A0">
      <w:pPr>
        <w:autoSpaceDE w:val="0"/>
        <w:autoSpaceDN w:val="0"/>
        <w:adjustRightInd w:val="0"/>
        <w:snapToGrid w:val="0"/>
        <w:spacing w:line="440" w:lineRule="exact"/>
        <w:ind w:left="420"/>
        <w:jc w:val="left"/>
        <w:rPr>
          <w:sz w:val="22"/>
        </w:rPr>
      </w:pPr>
      <w:r>
        <w:rPr>
          <w:rFonts w:hint="eastAsia"/>
          <w:sz w:val="22"/>
        </w:rPr>
        <w:t>第一节</w:t>
      </w:r>
      <w:r>
        <w:rPr>
          <w:sz w:val="22"/>
        </w:rPr>
        <w:t xml:space="preserve"> </w:t>
      </w:r>
      <w:r>
        <w:rPr>
          <w:rFonts w:hint="eastAsia"/>
          <w:sz w:val="22"/>
        </w:rPr>
        <w:t>吞咽相关的正常解剖</w:t>
      </w:r>
    </w:p>
    <w:p w:rsidR="003717A0" w:rsidRDefault="003717A0">
      <w:pPr>
        <w:autoSpaceDE w:val="0"/>
        <w:autoSpaceDN w:val="0"/>
        <w:adjustRightInd w:val="0"/>
        <w:snapToGrid w:val="0"/>
        <w:spacing w:line="440" w:lineRule="exact"/>
        <w:ind w:left="426"/>
        <w:jc w:val="left"/>
        <w:rPr>
          <w:sz w:val="22"/>
        </w:rPr>
      </w:pPr>
      <w:r>
        <w:rPr>
          <w:rFonts w:hint="eastAsia"/>
          <w:sz w:val="22"/>
        </w:rPr>
        <w:t>第二节</w:t>
      </w:r>
      <w:r>
        <w:rPr>
          <w:sz w:val="22"/>
        </w:rPr>
        <w:t xml:space="preserve"> </w:t>
      </w:r>
      <w:r>
        <w:rPr>
          <w:rFonts w:hint="eastAsia"/>
          <w:sz w:val="22"/>
        </w:rPr>
        <w:t>正常人的吞咽过程</w:t>
      </w:r>
    </w:p>
    <w:p w:rsidR="003717A0" w:rsidRDefault="003717A0">
      <w:pPr>
        <w:autoSpaceDE w:val="0"/>
        <w:autoSpaceDN w:val="0"/>
        <w:adjustRightInd w:val="0"/>
        <w:snapToGrid w:val="0"/>
        <w:spacing w:line="440" w:lineRule="exact"/>
        <w:ind w:left="426"/>
        <w:jc w:val="left"/>
        <w:rPr>
          <w:sz w:val="22"/>
        </w:rPr>
      </w:pPr>
      <w:r>
        <w:rPr>
          <w:rFonts w:hint="eastAsia"/>
          <w:sz w:val="22"/>
        </w:rPr>
        <w:t>第三节</w:t>
      </w:r>
      <w:r>
        <w:rPr>
          <w:sz w:val="22"/>
        </w:rPr>
        <w:t xml:space="preserve"> </w:t>
      </w:r>
      <w:r>
        <w:rPr>
          <w:rFonts w:hint="eastAsia"/>
          <w:sz w:val="22"/>
        </w:rPr>
        <w:t>吞咽过程的神经支配</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第三章吞咽障碍的病理生理学</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目的要求</w:t>
      </w:r>
    </w:p>
    <w:p w:rsidR="003717A0" w:rsidRDefault="003717A0">
      <w:pPr>
        <w:autoSpaceDE w:val="0"/>
        <w:autoSpaceDN w:val="0"/>
        <w:adjustRightInd w:val="0"/>
        <w:snapToGrid w:val="0"/>
        <w:spacing w:line="440" w:lineRule="exact"/>
        <w:ind w:left="426"/>
        <w:jc w:val="left"/>
        <w:rPr>
          <w:sz w:val="22"/>
        </w:rPr>
      </w:pPr>
      <w:r>
        <w:rPr>
          <w:sz w:val="22"/>
        </w:rPr>
        <w:t>1</w:t>
      </w:r>
      <w:r>
        <w:rPr>
          <w:rFonts w:hint="eastAsia"/>
          <w:sz w:val="22"/>
        </w:rPr>
        <w:t>、熟悉脑卒中与吞咽障碍的关系</w:t>
      </w:r>
    </w:p>
    <w:p w:rsidR="003717A0" w:rsidRDefault="003717A0">
      <w:pPr>
        <w:autoSpaceDE w:val="0"/>
        <w:autoSpaceDN w:val="0"/>
        <w:adjustRightInd w:val="0"/>
        <w:snapToGrid w:val="0"/>
        <w:spacing w:line="440" w:lineRule="exact"/>
        <w:ind w:left="426"/>
        <w:jc w:val="left"/>
        <w:rPr>
          <w:sz w:val="22"/>
        </w:rPr>
      </w:pPr>
      <w:r>
        <w:rPr>
          <w:sz w:val="22"/>
        </w:rPr>
        <w:t>2</w:t>
      </w:r>
      <w:r>
        <w:rPr>
          <w:rFonts w:hint="eastAsia"/>
          <w:sz w:val="22"/>
        </w:rPr>
        <w:t>、熟悉气管切开与误吸的危害</w:t>
      </w:r>
    </w:p>
    <w:p w:rsidR="003717A0" w:rsidRDefault="003717A0">
      <w:pPr>
        <w:autoSpaceDE w:val="0"/>
        <w:autoSpaceDN w:val="0"/>
        <w:adjustRightInd w:val="0"/>
        <w:snapToGrid w:val="0"/>
        <w:spacing w:line="440" w:lineRule="exact"/>
        <w:ind w:left="426"/>
        <w:jc w:val="left"/>
        <w:rPr>
          <w:sz w:val="22"/>
        </w:rPr>
      </w:pPr>
      <w:r>
        <w:rPr>
          <w:sz w:val="22"/>
        </w:rPr>
        <w:t>3</w:t>
      </w:r>
      <w:r>
        <w:rPr>
          <w:rFonts w:hint="eastAsia"/>
          <w:sz w:val="22"/>
        </w:rPr>
        <w:t>、了解口烟术后及喉切除术后的吞咽障碍</w:t>
      </w:r>
    </w:p>
    <w:p w:rsidR="003717A0" w:rsidRDefault="003717A0">
      <w:pPr>
        <w:autoSpaceDE w:val="0"/>
        <w:autoSpaceDN w:val="0"/>
        <w:adjustRightInd w:val="0"/>
        <w:snapToGrid w:val="0"/>
        <w:spacing w:line="440" w:lineRule="exact"/>
        <w:ind w:left="482"/>
        <w:jc w:val="left"/>
        <w:rPr>
          <w:rFonts w:ascii="Times New Roman" w:eastAsia="黑体" w:hAnsi="Times New Roman"/>
          <w:b/>
          <w:kern w:val="0"/>
          <w:sz w:val="24"/>
          <w:szCs w:val="24"/>
        </w:rPr>
      </w:pPr>
      <w:r>
        <w:rPr>
          <w:rFonts w:ascii="Times New Roman" w:eastAsia="黑体" w:hAnsi="Times New Roman" w:hint="eastAsia"/>
          <w:b/>
          <w:kern w:val="0"/>
          <w:sz w:val="24"/>
          <w:szCs w:val="24"/>
        </w:rPr>
        <w:t>教学内容</w:t>
      </w:r>
    </w:p>
    <w:p w:rsidR="003717A0" w:rsidRDefault="003717A0">
      <w:pPr>
        <w:autoSpaceDE w:val="0"/>
        <w:autoSpaceDN w:val="0"/>
        <w:adjustRightInd w:val="0"/>
        <w:snapToGrid w:val="0"/>
        <w:spacing w:line="440" w:lineRule="exact"/>
        <w:ind w:left="482"/>
        <w:jc w:val="left"/>
        <w:rPr>
          <w:rFonts w:ascii="宋体"/>
          <w:sz w:val="22"/>
        </w:rPr>
      </w:pPr>
      <w:r>
        <w:rPr>
          <w:rFonts w:ascii="宋体" w:hint="eastAsia"/>
          <w:sz w:val="22"/>
        </w:rPr>
        <w:t>第一节脑卒中与吞咽功能障碍</w:t>
      </w:r>
    </w:p>
    <w:p w:rsidR="003717A0" w:rsidRDefault="003717A0">
      <w:pPr>
        <w:autoSpaceDE w:val="0"/>
        <w:autoSpaceDN w:val="0"/>
        <w:adjustRightInd w:val="0"/>
        <w:snapToGrid w:val="0"/>
        <w:spacing w:line="440" w:lineRule="exact"/>
        <w:ind w:left="482"/>
        <w:jc w:val="left"/>
        <w:rPr>
          <w:rFonts w:ascii="宋体"/>
          <w:sz w:val="22"/>
        </w:rPr>
      </w:pPr>
      <w:r>
        <w:rPr>
          <w:rFonts w:ascii="宋体" w:hint="eastAsia"/>
          <w:sz w:val="22"/>
        </w:rPr>
        <w:t>第二节气管切开与误吸</w:t>
      </w:r>
    </w:p>
    <w:p w:rsidR="003717A0" w:rsidRDefault="003717A0">
      <w:pPr>
        <w:autoSpaceDE w:val="0"/>
        <w:autoSpaceDN w:val="0"/>
        <w:adjustRightInd w:val="0"/>
        <w:snapToGrid w:val="0"/>
        <w:spacing w:line="440" w:lineRule="exact"/>
        <w:ind w:left="482"/>
        <w:jc w:val="left"/>
        <w:rPr>
          <w:rFonts w:ascii="宋体"/>
          <w:sz w:val="22"/>
        </w:rPr>
      </w:pPr>
      <w:r>
        <w:rPr>
          <w:rFonts w:ascii="宋体" w:hint="eastAsia"/>
          <w:sz w:val="22"/>
        </w:rPr>
        <w:t>第三节口咽术后与吞咽</w:t>
      </w:r>
    </w:p>
    <w:p w:rsidR="003717A0" w:rsidRDefault="003717A0">
      <w:pPr>
        <w:autoSpaceDE w:val="0"/>
        <w:autoSpaceDN w:val="0"/>
        <w:adjustRightInd w:val="0"/>
        <w:snapToGrid w:val="0"/>
        <w:spacing w:line="440" w:lineRule="exact"/>
        <w:ind w:leftChars="130" w:left="273" w:firstLineChars="100" w:firstLine="220"/>
        <w:jc w:val="left"/>
        <w:rPr>
          <w:rFonts w:ascii="宋体"/>
          <w:sz w:val="22"/>
        </w:rPr>
      </w:pPr>
      <w:r>
        <w:rPr>
          <w:rFonts w:ascii="宋体" w:hint="eastAsia"/>
          <w:sz w:val="22"/>
        </w:rPr>
        <w:t>第四节喉切除术后与吞咽</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第四章吞咽障碍的功能评价</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目的要求</w:t>
      </w:r>
    </w:p>
    <w:p w:rsidR="003717A0" w:rsidRDefault="003717A0">
      <w:pPr>
        <w:autoSpaceDE w:val="0"/>
        <w:autoSpaceDN w:val="0"/>
        <w:adjustRightInd w:val="0"/>
        <w:snapToGrid w:val="0"/>
        <w:spacing w:line="440" w:lineRule="exact"/>
        <w:ind w:firstLineChars="200" w:firstLine="440"/>
        <w:jc w:val="left"/>
        <w:rPr>
          <w:sz w:val="22"/>
        </w:rPr>
      </w:pPr>
      <w:r>
        <w:rPr>
          <w:sz w:val="22"/>
        </w:rPr>
        <w:t>1</w:t>
      </w:r>
      <w:r>
        <w:rPr>
          <w:rFonts w:hint="eastAsia"/>
          <w:sz w:val="22"/>
        </w:rPr>
        <w:t>、熟悉吞咽障碍的主观评估、客观评估</w:t>
      </w:r>
    </w:p>
    <w:p w:rsidR="003717A0" w:rsidRDefault="003717A0">
      <w:pPr>
        <w:autoSpaceDE w:val="0"/>
        <w:autoSpaceDN w:val="0"/>
        <w:adjustRightInd w:val="0"/>
        <w:snapToGrid w:val="0"/>
        <w:spacing w:line="440" w:lineRule="exact"/>
        <w:ind w:firstLineChars="200" w:firstLine="440"/>
        <w:jc w:val="left"/>
        <w:rPr>
          <w:sz w:val="22"/>
        </w:rPr>
      </w:pPr>
      <w:r>
        <w:rPr>
          <w:sz w:val="22"/>
        </w:rPr>
        <w:t>2</w:t>
      </w:r>
      <w:r>
        <w:rPr>
          <w:rFonts w:hint="eastAsia"/>
          <w:sz w:val="22"/>
        </w:rPr>
        <w:t>、熟悉各项影像学检查</w:t>
      </w:r>
    </w:p>
    <w:p w:rsidR="003717A0" w:rsidRDefault="003717A0">
      <w:pPr>
        <w:autoSpaceDE w:val="0"/>
        <w:autoSpaceDN w:val="0"/>
        <w:adjustRightInd w:val="0"/>
        <w:snapToGrid w:val="0"/>
        <w:spacing w:line="440" w:lineRule="exact"/>
        <w:ind w:firstLineChars="200" w:firstLine="440"/>
        <w:jc w:val="left"/>
        <w:rPr>
          <w:sz w:val="22"/>
        </w:rPr>
      </w:pPr>
      <w:r>
        <w:rPr>
          <w:sz w:val="22"/>
        </w:rPr>
        <w:t>3</w:t>
      </w:r>
      <w:r>
        <w:rPr>
          <w:rFonts w:hint="eastAsia"/>
          <w:sz w:val="22"/>
        </w:rPr>
        <w:t>、了解评估流程</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教学内容</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第一节吞咽障碍的临床功能检查</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第二节吞咽障碍的辅助检查</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第三节吞咽障碍的评估流程</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第五章吞咽障碍的治疗</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目的要求</w:t>
      </w:r>
    </w:p>
    <w:p w:rsidR="003717A0" w:rsidRDefault="003717A0">
      <w:pPr>
        <w:autoSpaceDE w:val="0"/>
        <w:autoSpaceDN w:val="0"/>
        <w:adjustRightInd w:val="0"/>
        <w:snapToGrid w:val="0"/>
        <w:spacing w:line="440" w:lineRule="exact"/>
        <w:ind w:firstLineChars="200" w:firstLine="440"/>
        <w:jc w:val="left"/>
        <w:rPr>
          <w:sz w:val="22"/>
        </w:rPr>
      </w:pPr>
      <w:r>
        <w:rPr>
          <w:sz w:val="22"/>
        </w:rPr>
        <w:t>1</w:t>
      </w:r>
      <w:r>
        <w:rPr>
          <w:rFonts w:hint="eastAsia"/>
          <w:sz w:val="22"/>
        </w:rPr>
        <w:t>、熟悉吞咽障碍的宣教项目</w:t>
      </w:r>
    </w:p>
    <w:p w:rsidR="003717A0" w:rsidRDefault="003717A0">
      <w:pPr>
        <w:autoSpaceDE w:val="0"/>
        <w:autoSpaceDN w:val="0"/>
        <w:adjustRightInd w:val="0"/>
        <w:snapToGrid w:val="0"/>
        <w:spacing w:line="440" w:lineRule="exact"/>
        <w:ind w:firstLineChars="200" w:firstLine="440"/>
        <w:jc w:val="left"/>
        <w:rPr>
          <w:sz w:val="22"/>
        </w:rPr>
      </w:pPr>
      <w:r>
        <w:rPr>
          <w:sz w:val="22"/>
        </w:rPr>
        <w:t>2</w:t>
      </w:r>
      <w:r>
        <w:rPr>
          <w:rFonts w:hint="eastAsia"/>
          <w:sz w:val="22"/>
        </w:rPr>
        <w:t>、掌握唇、下颌、舌、软腭及声带的运动训练</w:t>
      </w:r>
    </w:p>
    <w:p w:rsidR="003717A0" w:rsidRDefault="003717A0">
      <w:pPr>
        <w:autoSpaceDE w:val="0"/>
        <w:autoSpaceDN w:val="0"/>
        <w:adjustRightInd w:val="0"/>
        <w:snapToGrid w:val="0"/>
        <w:spacing w:line="440" w:lineRule="exact"/>
        <w:ind w:firstLineChars="200" w:firstLine="440"/>
        <w:jc w:val="left"/>
        <w:rPr>
          <w:sz w:val="22"/>
        </w:rPr>
      </w:pPr>
      <w:r>
        <w:rPr>
          <w:sz w:val="22"/>
        </w:rPr>
        <w:t>3</w:t>
      </w:r>
      <w:r>
        <w:rPr>
          <w:rFonts w:hint="eastAsia"/>
          <w:sz w:val="22"/>
        </w:rPr>
        <w:t>、熟悉感觉训练</w:t>
      </w:r>
    </w:p>
    <w:p w:rsidR="003717A0" w:rsidRDefault="003717A0">
      <w:pPr>
        <w:autoSpaceDE w:val="0"/>
        <w:autoSpaceDN w:val="0"/>
        <w:adjustRightInd w:val="0"/>
        <w:snapToGrid w:val="0"/>
        <w:spacing w:line="440" w:lineRule="exact"/>
        <w:ind w:firstLineChars="200" w:firstLine="440"/>
        <w:jc w:val="left"/>
        <w:rPr>
          <w:sz w:val="22"/>
        </w:rPr>
      </w:pPr>
      <w:r>
        <w:rPr>
          <w:sz w:val="22"/>
        </w:rPr>
        <w:lastRenderedPageBreak/>
        <w:t>4</w:t>
      </w:r>
      <w:r>
        <w:rPr>
          <w:rFonts w:hint="eastAsia"/>
          <w:sz w:val="22"/>
        </w:rPr>
        <w:t>、掌握直接摄食训练的训练方法</w:t>
      </w:r>
    </w:p>
    <w:p w:rsidR="003717A0" w:rsidRDefault="003717A0">
      <w:pPr>
        <w:autoSpaceDE w:val="0"/>
        <w:autoSpaceDN w:val="0"/>
        <w:adjustRightInd w:val="0"/>
        <w:snapToGrid w:val="0"/>
        <w:spacing w:line="440" w:lineRule="exact"/>
        <w:ind w:firstLineChars="200" w:firstLine="440"/>
        <w:jc w:val="left"/>
        <w:rPr>
          <w:sz w:val="22"/>
        </w:rPr>
      </w:pPr>
      <w:r>
        <w:rPr>
          <w:sz w:val="22"/>
        </w:rPr>
        <w:t>5</w:t>
      </w:r>
      <w:r>
        <w:rPr>
          <w:rFonts w:hint="eastAsia"/>
          <w:sz w:val="22"/>
        </w:rPr>
        <w:t>、掌握电刺激的部位、剂量及时间</w:t>
      </w:r>
    </w:p>
    <w:p w:rsidR="003717A0" w:rsidRDefault="003717A0">
      <w:pPr>
        <w:autoSpaceDE w:val="0"/>
        <w:autoSpaceDN w:val="0"/>
        <w:adjustRightInd w:val="0"/>
        <w:snapToGrid w:val="0"/>
        <w:spacing w:line="440" w:lineRule="exact"/>
        <w:ind w:firstLineChars="200" w:firstLine="440"/>
        <w:jc w:val="left"/>
        <w:rPr>
          <w:sz w:val="22"/>
        </w:rPr>
      </w:pPr>
      <w:r>
        <w:rPr>
          <w:sz w:val="22"/>
        </w:rPr>
        <w:t>6</w:t>
      </w:r>
      <w:r>
        <w:rPr>
          <w:rFonts w:hint="eastAsia"/>
          <w:sz w:val="22"/>
        </w:rPr>
        <w:t>、了解球囊扩张术、辅助具的使用及手术治疗</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r>
        <w:rPr>
          <w:rFonts w:ascii="Times New Roman" w:eastAsia="黑体" w:hAnsi="Times New Roman" w:hint="eastAsia"/>
          <w:b/>
          <w:kern w:val="0"/>
          <w:sz w:val="24"/>
          <w:szCs w:val="24"/>
        </w:rPr>
        <w:t>教学内容</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第一节对患者及家属的教育及指导</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第二节吞咽器官运动训练</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第三节感觉促进综合训练</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第四节摄食训练</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第五节电刺激</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第六节球囊扩张术</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第七节针灸治疗</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第八节辅助具矫正</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第九节手术治疗</w:t>
      </w: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p>
    <w:p w:rsidR="003717A0" w:rsidRDefault="003717A0">
      <w:pPr>
        <w:ind w:firstLineChars="1190" w:firstLine="2509"/>
        <w:rPr>
          <w:rFonts w:ascii="宋体"/>
          <w:b/>
          <w:szCs w:val="21"/>
        </w:rPr>
      </w:pPr>
      <w:r>
        <w:rPr>
          <w:rFonts w:ascii="宋体" w:hint="eastAsia"/>
          <w:b/>
          <w:szCs w:val="21"/>
        </w:rPr>
        <w:t>课程学时分配</w:t>
      </w:r>
    </w:p>
    <w:tbl>
      <w:tblPr>
        <w:tblW w:w="6391" w:type="dxa"/>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8"/>
        <w:gridCol w:w="3072"/>
        <w:gridCol w:w="2131"/>
      </w:tblGrid>
      <w:tr w:rsidR="003717A0">
        <w:tc>
          <w:tcPr>
            <w:tcW w:w="1188"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序号</w:t>
            </w:r>
          </w:p>
        </w:tc>
        <w:tc>
          <w:tcPr>
            <w:tcW w:w="3072"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内容</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学时</w:t>
            </w:r>
          </w:p>
        </w:tc>
      </w:tr>
      <w:tr w:rsidR="003717A0">
        <w:tc>
          <w:tcPr>
            <w:tcW w:w="1188" w:type="dxa"/>
          </w:tcPr>
          <w:p w:rsidR="003717A0" w:rsidRDefault="003717A0">
            <w:pPr>
              <w:autoSpaceDE w:val="0"/>
              <w:autoSpaceDN w:val="0"/>
              <w:adjustRightInd w:val="0"/>
              <w:snapToGrid w:val="0"/>
              <w:spacing w:line="440" w:lineRule="exact"/>
              <w:ind w:firstLineChars="200" w:firstLine="440"/>
              <w:jc w:val="left"/>
              <w:rPr>
                <w:sz w:val="22"/>
              </w:rPr>
            </w:pPr>
            <w:r>
              <w:rPr>
                <w:sz w:val="22"/>
              </w:rPr>
              <w:t>1</w:t>
            </w:r>
          </w:p>
        </w:tc>
        <w:tc>
          <w:tcPr>
            <w:tcW w:w="3072"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概论</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sz w:val="22"/>
              </w:rPr>
              <w:t>3</w:t>
            </w:r>
          </w:p>
        </w:tc>
      </w:tr>
      <w:tr w:rsidR="003717A0">
        <w:tc>
          <w:tcPr>
            <w:tcW w:w="1188" w:type="dxa"/>
          </w:tcPr>
          <w:p w:rsidR="003717A0" w:rsidRDefault="003717A0">
            <w:pPr>
              <w:autoSpaceDE w:val="0"/>
              <w:autoSpaceDN w:val="0"/>
              <w:adjustRightInd w:val="0"/>
              <w:snapToGrid w:val="0"/>
              <w:spacing w:line="440" w:lineRule="exact"/>
              <w:ind w:firstLineChars="200" w:firstLine="440"/>
              <w:jc w:val="left"/>
              <w:rPr>
                <w:sz w:val="22"/>
              </w:rPr>
            </w:pPr>
            <w:r>
              <w:rPr>
                <w:sz w:val="22"/>
              </w:rPr>
              <w:t>2</w:t>
            </w:r>
          </w:p>
        </w:tc>
        <w:tc>
          <w:tcPr>
            <w:tcW w:w="3072" w:type="dxa"/>
          </w:tcPr>
          <w:p w:rsidR="003717A0" w:rsidRDefault="003717A0">
            <w:pPr>
              <w:autoSpaceDE w:val="0"/>
              <w:autoSpaceDN w:val="0"/>
              <w:adjustRightInd w:val="0"/>
              <w:snapToGrid w:val="0"/>
              <w:spacing w:line="440" w:lineRule="exact"/>
              <w:ind w:firstLineChars="50" w:firstLine="110"/>
              <w:jc w:val="left"/>
              <w:rPr>
                <w:sz w:val="22"/>
              </w:rPr>
            </w:pPr>
            <w:r>
              <w:rPr>
                <w:rFonts w:hint="eastAsia"/>
                <w:sz w:val="22"/>
              </w:rPr>
              <w:t>正常吞咽的神经病学基础</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sz w:val="22"/>
              </w:rPr>
              <w:t>3</w:t>
            </w:r>
          </w:p>
        </w:tc>
      </w:tr>
      <w:tr w:rsidR="003717A0">
        <w:tc>
          <w:tcPr>
            <w:tcW w:w="1188" w:type="dxa"/>
          </w:tcPr>
          <w:p w:rsidR="003717A0" w:rsidRDefault="003717A0">
            <w:pPr>
              <w:autoSpaceDE w:val="0"/>
              <w:autoSpaceDN w:val="0"/>
              <w:adjustRightInd w:val="0"/>
              <w:snapToGrid w:val="0"/>
              <w:spacing w:line="440" w:lineRule="exact"/>
              <w:ind w:firstLineChars="200" w:firstLine="440"/>
              <w:jc w:val="left"/>
              <w:rPr>
                <w:sz w:val="22"/>
              </w:rPr>
            </w:pPr>
            <w:r>
              <w:rPr>
                <w:sz w:val="22"/>
              </w:rPr>
              <w:t>3</w:t>
            </w:r>
          </w:p>
        </w:tc>
        <w:tc>
          <w:tcPr>
            <w:tcW w:w="3072"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吞咽障碍的病理生理学</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sz w:val="22"/>
              </w:rPr>
              <w:t>3</w:t>
            </w:r>
          </w:p>
        </w:tc>
      </w:tr>
      <w:tr w:rsidR="003717A0">
        <w:tc>
          <w:tcPr>
            <w:tcW w:w="1188" w:type="dxa"/>
          </w:tcPr>
          <w:p w:rsidR="003717A0" w:rsidRDefault="003717A0">
            <w:pPr>
              <w:autoSpaceDE w:val="0"/>
              <w:autoSpaceDN w:val="0"/>
              <w:adjustRightInd w:val="0"/>
              <w:snapToGrid w:val="0"/>
              <w:spacing w:line="440" w:lineRule="exact"/>
              <w:ind w:firstLineChars="200" w:firstLine="440"/>
              <w:jc w:val="left"/>
              <w:rPr>
                <w:sz w:val="22"/>
              </w:rPr>
            </w:pPr>
            <w:r>
              <w:rPr>
                <w:sz w:val="22"/>
              </w:rPr>
              <w:t>4</w:t>
            </w:r>
          </w:p>
        </w:tc>
        <w:tc>
          <w:tcPr>
            <w:tcW w:w="3072"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吞咽障碍的功能评价</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sz w:val="22"/>
              </w:rPr>
              <w:t>3</w:t>
            </w:r>
          </w:p>
        </w:tc>
      </w:tr>
      <w:tr w:rsidR="003717A0">
        <w:tc>
          <w:tcPr>
            <w:tcW w:w="1188" w:type="dxa"/>
          </w:tcPr>
          <w:p w:rsidR="003717A0" w:rsidRDefault="003717A0">
            <w:pPr>
              <w:autoSpaceDE w:val="0"/>
              <w:autoSpaceDN w:val="0"/>
              <w:adjustRightInd w:val="0"/>
              <w:snapToGrid w:val="0"/>
              <w:spacing w:line="440" w:lineRule="exact"/>
              <w:ind w:firstLineChars="200" w:firstLine="440"/>
              <w:jc w:val="left"/>
              <w:rPr>
                <w:sz w:val="22"/>
              </w:rPr>
            </w:pPr>
            <w:r>
              <w:rPr>
                <w:sz w:val="22"/>
              </w:rPr>
              <w:t>5</w:t>
            </w:r>
          </w:p>
        </w:tc>
        <w:tc>
          <w:tcPr>
            <w:tcW w:w="3072" w:type="dxa"/>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吞咽障碍的治疗</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sz w:val="22"/>
              </w:rPr>
              <w:t>6</w:t>
            </w:r>
          </w:p>
        </w:tc>
      </w:tr>
      <w:tr w:rsidR="003717A0">
        <w:trPr>
          <w:trHeight w:val="369"/>
        </w:trPr>
        <w:tc>
          <w:tcPr>
            <w:tcW w:w="4260" w:type="dxa"/>
            <w:gridSpan w:val="2"/>
          </w:tcPr>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合计</w:t>
            </w:r>
            <w:r>
              <w:rPr>
                <w:sz w:val="22"/>
              </w:rPr>
              <w:t xml:space="preserve">  </w:t>
            </w:r>
          </w:p>
        </w:tc>
        <w:tc>
          <w:tcPr>
            <w:tcW w:w="2131" w:type="dxa"/>
          </w:tcPr>
          <w:p w:rsidR="003717A0" w:rsidRDefault="003717A0">
            <w:pPr>
              <w:autoSpaceDE w:val="0"/>
              <w:autoSpaceDN w:val="0"/>
              <w:adjustRightInd w:val="0"/>
              <w:snapToGrid w:val="0"/>
              <w:spacing w:line="440" w:lineRule="exact"/>
              <w:ind w:firstLineChars="200" w:firstLine="440"/>
              <w:jc w:val="left"/>
              <w:rPr>
                <w:sz w:val="22"/>
              </w:rPr>
            </w:pPr>
            <w:r>
              <w:rPr>
                <w:sz w:val="22"/>
              </w:rPr>
              <w:t>18</w:t>
            </w:r>
          </w:p>
        </w:tc>
      </w:tr>
    </w:tbl>
    <w:p w:rsidR="003717A0" w:rsidRDefault="003717A0">
      <w:pPr>
        <w:autoSpaceDE w:val="0"/>
        <w:autoSpaceDN w:val="0"/>
        <w:adjustRightInd w:val="0"/>
        <w:snapToGrid w:val="0"/>
        <w:spacing w:line="440" w:lineRule="exact"/>
        <w:ind w:firstLineChars="200" w:firstLine="440"/>
        <w:jc w:val="left"/>
        <w:rPr>
          <w:sz w:val="22"/>
        </w:rPr>
      </w:pP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ind w:firstLineChars="200" w:firstLine="482"/>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课堂教学以大班上课为主，讲课按教学大纲进行讲课时要做到目地明确，层次分明，讲究教学方法，充分利用图表、幻灯、录相、多媒体等教学工具。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平时成绩：</w:t>
      </w:r>
      <w:r>
        <w:rPr>
          <w:sz w:val="22"/>
        </w:rPr>
        <w:t>100%</w:t>
      </w:r>
    </w:p>
    <w:p w:rsidR="003717A0" w:rsidRDefault="003717A0">
      <w:pPr>
        <w:autoSpaceDE w:val="0"/>
        <w:autoSpaceDN w:val="0"/>
        <w:adjustRightInd w:val="0"/>
        <w:snapToGrid w:val="0"/>
        <w:spacing w:line="440" w:lineRule="exact"/>
        <w:ind w:firstLineChars="200" w:firstLine="420"/>
        <w:jc w:val="left"/>
        <w:rPr>
          <w:sz w:val="22"/>
        </w:rPr>
      </w:pPr>
      <w:r>
        <w:rPr>
          <w:rFonts w:ascii="Times New Roman" w:hAnsi="Times New Roman" w:hint="eastAsia"/>
        </w:rPr>
        <w:t>平时采用课堂提问并及时讲解等多种形成性评价方法，注意收集学生反馈意见，掌握学生学习</w:t>
      </w:r>
      <w:r>
        <w:rPr>
          <w:rFonts w:ascii="Times New Roman" w:hAnsi="Times New Roman" w:hint="eastAsia"/>
        </w:rPr>
        <w:lastRenderedPageBreak/>
        <w:t>情况；同时让学生也对自己的知识掌握情况有所了解，并及时发现和纠正对知识的理解有所偏差的部分。</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rsidP="00566E4D">
      <w:pPr>
        <w:pStyle w:val="a7"/>
        <w:rPr>
          <w:rFonts w:ascii="Calibri" w:hAnsi="Calibri"/>
          <w:sz w:val="22"/>
          <w:szCs w:val="22"/>
        </w:rPr>
      </w:pPr>
      <w:r>
        <w:rPr>
          <w:rFonts w:ascii="Calibri" w:hAnsi="Calibri" w:hint="eastAsia"/>
          <w:sz w:val="22"/>
          <w:szCs w:val="22"/>
        </w:rPr>
        <w:t>教材：</w:t>
      </w:r>
      <w:r>
        <w:rPr>
          <w:rFonts w:ascii="Calibri" w:hAnsi="Calibri"/>
          <w:sz w:val="22"/>
          <w:szCs w:val="22"/>
        </w:rPr>
        <w:t xml:space="preserve"> </w:t>
      </w:r>
      <w:r>
        <w:rPr>
          <w:rFonts w:ascii="Calibri" w:hAnsi="Calibri" w:hint="eastAsia"/>
          <w:sz w:val="22"/>
          <w:szCs w:val="22"/>
        </w:rPr>
        <w:t>自编讲义《吞咽功能障碍的临床治疗》</w:t>
      </w:r>
    </w:p>
    <w:p w:rsidR="003717A0" w:rsidRDefault="003717A0">
      <w:pPr>
        <w:pStyle w:val="a7"/>
        <w:rPr>
          <w:rFonts w:ascii="Calibri" w:hAnsi="Calibri"/>
          <w:sz w:val="22"/>
          <w:szCs w:val="22"/>
        </w:rPr>
      </w:pPr>
      <w:r>
        <w:rPr>
          <w:rFonts w:ascii="Calibri" w:hAnsi="Calibri" w:hint="eastAsia"/>
          <w:sz w:val="22"/>
          <w:szCs w:val="22"/>
        </w:rPr>
        <w:t>主要参考书：</w:t>
      </w:r>
      <w:r>
        <w:rPr>
          <w:rFonts w:ascii="Calibri" w:hAnsi="Calibri"/>
          <w:sz w:val="22"/>
          <w:szCs w:val="22"/>
        </w:rPr>
        <w:t xml:space="preserve">   </w:t>
      </w:r>
      <w:r>
        <w:rPr>
          <w:rFonts w:ascii="Calibri" w:hAnsi="Calibri" w:hint="eastAsia"/>
          <w:sz w:val="22"/>
          <w:szCs w:val="22"/>
        </w:rPr>
        <w:t>窦祖林主编</w:t>
      </w:r>
      <w:r>
        <w:rPr>
          <w:rFonts w:ascii="Calibri" w:hAnsi="Calibri"/>
          <w:sz w:val="22"/>
          <w:szCs w:val="22"/>
        </w:rPr>
        <w:t xml:space="preserve">  </w:t>
      </w:r>
      <w:r>
        <w:rPr>
          <w:rFonts w:ascii="Calibri" w:hAnsi="Calibri" w:hint="eastAsia"/>
          <w:sz w:val="22"/>
          <w:szCs w:val="22"/>
        </w:rPr>
        <w:t>《吞咽障碍评估与治疗》</w:t>
      </w:r>
      <w:r>
        <w:rPr>
          <w:rFonts w:ascii="Calibri" w:hAnsi="Calibri"/>
          <w:sz w:val="22"/>
          <w:szCs w:val="22"/>
        </w:rPr>
        <w:t xml:space="preserve"> </w:t>
      </w:r>
      <w:r>
        <w:rPr>
          <w:rFonts w:ascii="Calibri" w:hAnsi="Calibri" w:hint="eastAsia"/>
          <w:sz w:val="22"/>
          <w:szCs w:val="22"/>
        </w:rPr>
        <w:t>人民卫生出版社</w:t>
      </w:r>
      <w:r>
        <w:rPr>
          <w:rFonts w:ascii="Calibri" w:hAnsi="Calibri"/>
          <w:sz w:val="22"/>
          <w:szCs w:val="22"/>
        </w:rPr>
        <w:t xml:space="preserve">  2009</w:t>
      </w:r>
      <w:r>
        <w:rPr>
          <w:rFonts w:ascii="Calibri" w:hAnsi="Calibri" w:hint="eastAsia"/>
          <w:sz w:val="22"/>
          <w:szCs w:val="22"/>
        </w:rPr>
        <w:t>年</w:t>
      </w:r>
    </w:p>
    <w:p w:rsidR="003717A0" w:rsidRDefault="003717A0">
      <w:pPr>
        <w:pStyle w:val="a7"/>
        <w:ind w:left="359" w:firstLineChars="750" w:firstLine="1650"/>
        <w:rPr>
          <w:rFonts w:ascii="Calibri" w:hAnsi="Calibri"/>
          <w:sz w:val="22"/>
          <w:szCs w:val="22"/>
        </w:rPr>
      </w:pPr>
      <w:r>
        <w:rPr>
          <w:rFonts w:ascii="Calibri" w:hAnsi="Calibri" w:hint="eastAsia"/>
          <w:sz w:val="22"/>
          <w:szCs w:val="22"/>
        </w:rPr>
        <w:t>李胜利主编</w:t>
      </w:r>
      <w:r>
        <w:rPr>
          <w:rFonts w:ascii="Calibri" w:hAnsi="Calibri"/>
          <w:sz w:val="22"/>
          <w:szCs w:val="22"/>
        </w:rPr>
        <w:t xml:space="preserve">   </w:t>
      </w:r>
      <w:r>
        <w:rPr>
          <w:rFonts w:ascii="Calibri" w:hAnsi="Calibri" w:hint="eastAsia"/>
          <w:sz w:val="22"/>
          <w:szCs w:val="22"/>
        </w:rPr>
        <w:t>《言语治疗学》</w:t>
      </w:r>
      <w:r>
        <w:rPr>
          <w:rFonts w:ascii="Calibri" w:hAnsi="Calibri"/>
          <w:sz w:val="22"/>
          <w:szCs w:val="22"/>
        </w:rPr>
        <w:t xml:space="preserve">    </w:t>
      </w:r>
      <w:r>
        <w:rPr>
          <w:rFonts w:ascii="Calibri" w:hAnsi="Calibri" w:hint="eastAsia"/>
          <w:sz w:val="22"/>
          <w:szCs w:val="22"/>
        </w:rPr>
        <w:t>人民卫生出版社</w:t>
      </w:r>
      <w:r>
        <w:rPr>
          <w:rFonts w:ascii="Calibri" w:hAnsi="Calibri"/>
          <w:sz w:val="22"/>
          <w:szCs w:val="22"/>
        </w:rPr>
        <w:t xml:space="preserve">  2008</w:t>
      </w:r>
      <w:r>
        <w:rPr>
          <w:rFonts w:ascii="Calibri" w:hAnsi="Calibri" w:hint="eastAsia"/>
          <w:sz w:val="22"/>
          <w:szCs w:val="22"/>
        </w:rPr>
        <w:t>年</w:t>
      </w:r>
    </w:p>
    <w:p w:rsidR="003717A0" w:rsidRDefault="003717A0">
      <w:pPr>
        <w:autoSpaceDE w:val="0"/>
        <w:autoSpaceDN w:val="0"/>
        <w:adjustRightInd w:val="0"/>
        <w:jc w:val="left"/>
        <w:rPr>
          <w:sz w:val="22"/>
        </w:rPr>
      </w:pPr>
    </w:p>
    <w:p w:rsidR="003717A0" w:rsidRDefault="003717A0">
      <w:pPr>
        <w:autoSpaceDE w:val="0"/>
        <w:autoSpaceDN w:val="0"/>
        <w:adjustRightInd w:val="0"/>
        <w:ind w:leftChars="3509" w:left="7369" w:firstLineChars="157" w:firstLine="283"/>
        <w:jc w:val="left"/>
        <w:rPr>
          <w:rFonts w:ascii="黑体" w:eastAsia="黑体" w:cs="黑体"/>
          <w:kern w:val="0"/>
          <w:sz w:val="18"/>
          <w:szCs w:val="18"/>
        </w:rPr>
      </w:pPr>
    </w:p>
    <w:p w:rsidR="003717A0" w:rsidRDefault="003717A0">
      <w:pPr>
        <w:autoSpaceDE w:val="0"/>
        <w:autoSpaceDN w:val="0"/>
        <w:adjustRightInd w:val="0"/>
        <w:ind w:leftChars="2900" w:left="6090"/>
        <w:jc w:val="left"/>
        <w:rPr>
          <w:rFonts w:ascii="黑体" w:eastAsia="黑体" w:cs="黑体"/>
          <w:kern w:val="0"/>
          <w:sz w:val="18"/>
          <w:szCs w:val="18"/>
        </w:rPr>
      </w:pPr>
    </w:p>
    <w:p w:rsidR="003717A0" w:rsidRPr="00566E4D" w:rsidRDefault="003717A0">
      <w:pPr>
        <w:autoSpaceDE w:val="0"/>
        <w:autoSpaceDN w:val="0"/>
        <w:adjustRightInd w:val="0"/>
        <w:ind w:leftChars="2900" w:left="6090"/>
        <w:jc w:val="left"/>
        <w:rPr>
          <w:rFonts w:ascii="黑体" w:eastAsia="黑体" w:cs="黑体"/>
          <w:kern w:val="0"/>
          <w:szCs w:val="21"/>
        </w:rPr>
      </w:pPr>
      <w:r>
        <w:rPr>
          <w:rFonts w:ascii="黑体" w:eastAsia="黑体" w:cs="黑体"/>
          <w:kern w:val="0"/>
          <w:sz w:val="18"/>
          <w:szCs w:val="18"/>
        </w:rPr>
        <w:t xml:space="preserve">                                                                                  </w:t>
      </w:r>
      <w:r w:rsidRPr="00566E4D">
        <w:rPr>
          <w:rFonts w:ascii="黑体" w:eastAsia="黑体" w:cs="黑体" w:hint="eastAsia"/>
          <w:kern w:val="0"/>
          <w:szCs w:val="21"/>
        </w:rPr>
        <w:t>制定人：张娟娟</w:t>
      </w:r>
    </w:p>
    <w:p w:rsidR="003717A0" w:rsidRPr="00566E4D" w:rsidRDefault="003717A0">
      <w:pPr>
        <w:autoSpaceDE w:val="0"/>
        <w:autoSpaceDN w:val="0"/>
        <w:adjustRightInd w:val="0"/>
        <w:spacing w:line="360" w:lineRule="exact"/>
        <w:ind w:leftChars="2900" w:left="6090"/>
        <w:jc w:val="left"/>
        <w:rPr>
          <w:rFonts w:ascii="黑体" w:eastAsia="黑体" w:cs="黑体"/>
          <w:kern w:val="0"/>
          <w:szCs w:val="21"/>
        </w:rPr>
      </w:pPr>
      <w:r w:rsidRPr="00566E4D">
        <w:rPr>
          <w:rFonts w:ascii="黑体" w:eastAsia="黑体" w:cs="黑体" w:hint="eastAsia"/>
          <w:kern w:val="0"/>
          <w:szCs w:val="21"/>
        </w:rPr>
        <w:t>审核</w:t>
      </w:r>
      <w:r w:rsidR="005036FE" w:rsidRPr="00566E4D">
        <w:rPr>
          <w:rFonts w:ascii="黑体" w:eastAsia="黑体" w:cs="黑体" w:hint="eastAsia"/>
          <w:kern w:val="0"/>
          <w:szCs w:val="21"/>
        </w:rPr>
        <w:t>人</w:t>
      </w:r>
      <w:r w:rsidRPr="00566E4D">
        <w:rPr>
          <w:rFonts w:ascii="黑体" w:eastAsia="黑体" w:cs="黑体" w:hint="eastAsia"/>
          <w:kern w:val="0"/>
          <w:szCs w:val="21"/>
        </w:rPr>
        <w:t>：沈光宇</w:t>
      </w:r>
    </w:p>
    <w:p w:rsidR="003717A0" w:rsidRPr="00566E4D" w:rsidRDefault="003717A0" w:rsidP="005E20B5">
      <w:pPr>
        <w:adjustRightInd w:val="0"/>
        <w:snapToGrid w:val="0"/>
        <w:spacing w:beforeLines="50" w:afterLines="50"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szCs w:val="21"/>
        </w:rPr>
        <w:t>1.</w:t>
      </w:r>
      <w:r>
        <w:rPr>
          <w:rFonts w:ascii="宋体" w:hint="eastAsia"/>
          <w:szCs w:val="21"/>
        </w:rPr>
        <w:t>修读完本课程规定内容的康复治疗学专业本科学生；</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szCs w:val="21"/>
        </w:rPr>
        <w:t>2.</w:t>
      </w:r>
      <w:r>
        <w:rPr>
          <w:rFonts w:ascii="宋体" w:hint="eastAsia"/>
          <w:szCs w:val="21"/>
        </w:rPr>
        <w:t>提出并获准免修本课程、申请进行课程水平考核的康复治疗学专业本科学生；</w:t>
      </w:r>
    </w:p>
    <w:p w:rsidR="003717A0" w:rsidRDefault="003717A0">
      <w:pPr>
        <w:autoSpaceDE w:val="0"/>
        <w:autoSpaceDN w:val="0"/>
        <w:adjustRightInd w:val="0"/>
        <w:snapToGrid w:val="0"/>
        <w:spacing w:line="440" w:lineRule="exact"/>
        <w:ind w:firstLineChars="200" w:firstLine="420"/>
        <w:jc w:val="left"/>
        <w:rPr>
          <w:rFonts w:ascii="宋体"/>
          <w:szCs w:val="21"/>
        </w:rPr>
      </w:pPr>
      <w:r>
        <w:rPr>
          <w:rFonts w:ascii="宋体"/>
          <w:szCs w:val="21"/>
        </w:rPr>
        <w:t>3.</w:t>
      </w:r>
      <w:r>
        <w:rPr>
          <w:rFonts w:ascii="宋体" w:hint="eastAsia"/>
          <w:szCs w:val="21"/>
        </w:rPr>
        <w:t>提出并获准辅修第二专业、申请进行课程水平考核的本科学生。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20"/>
        <w:jc w:val="left"/>
        <w:rPr>
          <w:rFonts w:ascii="Times New Roman" w:eastAsia="黑体" w:hAnsi="Times New Roman"/>
          <w:b/>
          <w:kern w:val="0"/>
          <w:sz w:val="24"/>
          <w:szCs w:val="24"/>
        </w:rPr>
      </w:pPr>
      <w:r>
        <w:rPr>
          <w:rFonts w:ascii="宋体" w:hint="eastAsia"/>
          <w:szCs w:val="21"/>
        </w:rPr>
        <w:t>通过考核来检查和了解学生对本门课程内容的掌握程度，考核学生对正常人体的吞咽解剖、吞咽功能的评估以及吞咽障碍的治疗等的理解和掌握情况。通过本课程的学习，促进学生能够在整个学期稳定持续的进步。</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宋体" w:hint="eastAsia"/>
          <w:szCs w:val="21"/>
        </w:rPr>
        <w:t>考查</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宋体" w:hint="eastAsia"/>
          <w:szCs w:val="21"/>
        </w:rPr>
        <w:t>平时成绩占总成绩的</w:t>
      </w:r>
      <w:r>
        <w:rPr>
          <w:rFonts w:ascii="宋体"/>
          <w:szCs w:val="21"/>
        </w:rP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autoSpaceDE w:val="0"/>
        <w:autoSpaceDN w:val="0"/>
        <w:adjustRightInd w:val="0"/>
        <w:snapToGrid w:val="0"/>
        <w:spacing w:line="360" w:lineRule="auto"/>
        <w:ind w:firstLineChars="192" w:firstLine="403"/>
        <w:jc w:val="left"/>
        <w:rPr>
          <w:rFonts w:ascii="宋体"/>
          <w:szCs w:val="21"/>
        </w:rPr>
      </w:pPr>
    </w:p>
    <w:p w:rsidR="003717A0" w:rsidRDefault="003717A0">
      <w:pPr>
        <w:autoSpaceDE w:val="0"/>
        <w:autoSpaceDN w:val="0"/>
        <w:adjustRightInd w:val="0"/>
        <w:snapToGrid w:val="0"/>
        <w:spacing w:line="360" w:lineRule="auto"/>
        <w:ind w:firstLineChars="192" w:firstLine="403"/>
        <w:jc w:val="left"/>
        <w:rPr>
          <w:rFonts w:ascii="宋体"/>
          <w:b/>
          <w:kern w:val="0"/>
          <w:szCs w:val="21"/>
        </w:rPr>
      </w:pPr>
      <w:r>
        <w:rPr>
          <w:rFonts w:ascii="宋体" w:hint="eastAsia"/>
          <w:szCs w:val="21"/>
        </w:rPr>
        <w:t>吞咽障碍的基本概念；主要专业名词；吞咽障碍的评估及治疗方法。</w:t>
      </w:r>
      <w:r>
        <w:rPr>
          <w:rFonts w:ascii="宋体"/>
          <w:b/>
          <w:kern w:val="0"/>
          <w:szCs w:val="21"/>
        </w:rPr>
        <w:t xml:space="preserve"> </w:t>
      </w:r>
    </w:p>
    <w:p w:rsidR="003717A0" w:rsidRDefault="003717A0">
      <w:pPr>
        <w:autoSpaceDE w:val="0"/>
        <w:autoSpaceDN w:val="0"/>
        <w:adjustRightInd w:val="0"/>
        <w:spacing w:line="440" w:lineRule="exact"/>
        <w:ind w:firstLineChars="200" w:firstLine="442"/>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以正常人体的吞咽过程、吞咽障碍的临床表现、评估与治疗为考试重点，考核学生运用课程知识分析问题、解决问题的能力。</w:t>
      </w:r>
      <w:r>
        <w:rPr>
          <w:rFonts w:ascii="宋体"/>
          <w:szCs w:val="21"/>
        </w:rPr>
        <w:t xml:space="preserve"> </w:t>
      </w:r>
    </w:p>
    <w:p w:rsidR="003717A0" w:rsidRDefault="003717A0">
      <w:pPr>
        <w:autoSpaceDE w:val="0"/>
        <w:autoSpaceDN w:val="0"/>
        <w:adjustRightInd w:val="0"/>
        <w:snapToGrid w:val="0"/>
        <w:spacing w:line="440" w:lineRule="exact"/>
        <w:jc w:val="center"/>
        <w:rPr>
          <w:rFonts w:ascii="Times New Roman" w:hAnsi="Times New Roman"/>
          <w:kern w:val="0"/>
          <w:sz w:val="22"/>
        </w:rPr>
      </w:pP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center"/>
        <w:rPr>
          <w:rFonts w:ascii="Times New Roman" w:hAnsi="Times New Roman"/>
          <w:kern w:val="0"/>
          <w:sz w:val="22"/>
        </w:rPr>
      </w:pPr>
    </w:p>
    <w:p w:rsidR="003717A0" w:rsidRDefault="003717A0">
      <w:pPr>
        <w:autoSpaceDE w:val="0"/>
        <w:autoSpaceDN w:val="0"/>
        <w:adjustRightInd w:val="0"/>
        <w:snapToGrid w:val="0"/>
        <w:spacing w:line="440" w:lineRule="exact"/>
        <w:jc w:val="center"/>
        <w:rPr>
          <w:rFonts w:ascii="Times New Roman" w:hAnsi="Times New Roman"/>
          <w:kern w:val="0"/>
          <w:sz w:val="22"/>
        </w:rPr>
      </w:pPr>
    </w:p>
    <w:p w:rsidR="003717A0" w:rsidRDefault="003717A0">
      <w:pPr>
        <w:autoSpaceDE w:val="0"/>
        <w:autoSpaceDN w:val="0"/>
        <w:adjustRightInd w:val="0"/>
        <w:snapToGrid w:val="0"/>
        <w:spacing w:line="440" w:lineRule="exact"/>
        <w:jc w:val="center"/>
        <w:rPr>
          <w:rFonts w:ascii="Times New Roman" w:hAnsi="Times New Roman"/>
          <w:kern w:val="0"/>
          <w:sz w:val="22"/>
        </w:rPr>
      </w:pPr>
    </w:p>
    <w:p w:rsidR="003717A0" w:rsidRDefault="003717A0">
      <w:pPr>
        <w:autoSpaceDE w:val="0"/>
        <w:autoSpaceDN w:val="0"/>
        <w:adjustRightInd w:val="0"/>
        <w:snapToGrid w:val="0"/>
        <w:spacing w:line="440" w:lineRule="exact"/>
        <w:jc w:val="center"/>
        <w:rPr>
          <w:rFonts w:ascii="Times New Roman" w:hAnsi="Times New Roman"/>
          <w:kern w:val="0"/>
          <w:sz w:val="22"/>
        </w:rPr>
      </w:pPr>
    </w:p>
    <w:p w:rsidR="003717A0" w:rsidRDefault="003717A0">
      <w:pPr>
        <w:autoSpaceDE w:val="0"/>
        <w:autoSpaceDN w:val="0"/>
        <w:adjustRightInd w:val="0"/>
        <w:snapToGrid w:val="0"/>
        <w:spacing w:line="440" w:lineRule="exact"/>
        <w:jc w:val="center"/>
        <w:rPr>
          <w:rFonts w:ascii="Times New Roman" w:hAnsi="Times New Roman"/>
          <w:kern w:val="0"/>
          <w:sz w:val="22"/>
        </w:rPr>
      </w:pPr>
    </w:p>
    <w:p w:rsidR="003717A0" w:rsidRDefault="003717A0" w:rsidP="005E20B5">
      <w:pPr>
        <w:adjustRightInd w:val="0"/>
        <w:snapToGrid w:val="0"/>
        <w:spacing w:beforeLines="50" w:afterLines="50" w:line="360" w:lineRule="auto"/>
        <w:jc w:val="center"/>
        <w:rPr>
          <w:rFonts w:ascii="Times New Roman" w:eastAsia="黑体" w:hAnsi="Times New Roman"/>
          <w:kern w:val="0"/>
          <w:sz w:val="34"/>
          <w:szCs w:val="34"/>
        </w:rPr>
      </w:pPr>
      <w:r>
        <w:rPr>
          <w:rFonts w:ascii="Times New Roman" w:eastAsia="黑体" w:hAnsi="Times New Roman"/>
          <w:kern w:val="0"/>
          <w:sz w:val="34"/>
          <w:szCs w:val="34"/>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exact"/>
              <w:ind w:firstLineChars="108" w:firstLine="227"/>
              <w:jc w:val="left"/>
              <w:rPr>
                <w:rFonts w:ascii="宋体"/>
                <w:szCs w:val="21"/>
              </w:rPr>
            </w:pPr>
            <w:r>
              <w:rPr>
                <w:rFonts w:ascii="宋体" w:hint="eastAsia"/>
                <w:szCs w:val="21"/>
              </w:rPr>
              <w:t>教师应充分研究本大纲所规定的各章内容，对重点和难点进行深入浅出的讲解。增加自学和拓展环节，注意培养学生的自学能力。教师应关心吞咽功能障碍的研究进展，使教学内容能反映学科的发展趋势，但要避免在课堂上讲授实验证据不充分、科学依据不足的内容。教师在平时教学过程中要注意通过学习记录、实习手册等方式系统的收集学生的反馈意见，通过分析教学方案、教学过程中存在的问题；同时通过形成评价方式，让学生对自己的知识掌握情况有所了解，并及时发现和纠正对知识的理解有所偏差的部分。</w:t>
            </w:r>
          </w:p>
          <w:p w:rsidR="003717A0" w:rsidRDefault="003717A0">
            <w:pPr>
              <w:autoSpaceDE w:val="0"/>
              <w:autoSpaceDN w:val="0"/>
              <w:adjustRightInd w:val="0"/>
              <w:snapToGrid w:val="0"/>
              <w:spacing w:line="360" w:lineRule="exact"/>
              <w:ind w:firstLineChars="108" w:firstLine="227"/>
              <w:jc w:val="left"/>
              <w:rPr>
                <w:rFonts w:ascii="宋体"/>
                <w:szCs w:val="21"/>
              </w:rPr>
            </w:pP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Times New Roman" w:hint="eastAsia"/>
                <w:szCs w:val="21"/>
              </w:rPr>
              <w:t>掌握本课程教学大纲内容，严格按照教学大纲要求进行本课程教学内容的组织。</w:t>
            </w:r>
          </w:p>
          <w:p w:rsidR="003717A0" w:rsidRDefault="003717A0">
            <w:pPr>
              <w:numPr>
                <w:ilvl w:val="0"/>
                <w:numId w:val="533"/>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rsidR="003717A0" w:rsidRDefault="003717A0">
            <w:pPr>
              <w:numPr>
                <w:ilvl w:val="0"/>
                <w:numId w:val="533"/>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结合课程特点，制作课件，运用多媒体教学手段讲授部分教学内容。</w:t>
            </w:r>
          </w:p>
          <w:p w:rsidR="003717A0" w:rsidRDefault="003717A0">
            <w:pPr>
              <w:autoSpaceDE w:val="0"/>
              <w:autoSpaceDN w:val="0"/>
              <w:adjustRightInd w:val="0"/>
              <w:snapToGrid w:val="0"/>
              <w:spacing w:line="360" w:lineRule="exact"/>
              <w:jc w:val="left"/>
            </w:pP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Times New Roman"/>
                <w:szCs w:val="21"/>
              </w:rPr>
            </w:pPr>
            <w:r>
              <w:rPr>
                <w:rFonts w:ascii="Times New Roman" w:hAnsi="Times New Roman" w:hint="eastAsia"/>
                <w:szCs w:val="21"/>
              </w:rPr>
              <w:t>概念准确，推理正确，条理清晰，重点突出，理论联系实际。</w:t>
            </w:r>
          </w:p>
          <w:p w:rsidR="003717A0" w:rsidRDefault="003717A0">
            <w:pPr>
              <w:numPr>
                <w:ilvl w:val="0"/>
                <w:numId w:val="534"/>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numPr>
                <w:ilvl w:val="0"/>
                <w:numId w:val="534"/>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numPr>
                <w:ilvl w:val="0"/>
                <w:numId w:val="534"/>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多媒体教学手段、实物演示相结合，以培养学生实践动手的能力。</w:t>
            </w:r>
          </w:p>
          <w:p w:rsidR="003717A0" w:rsidRDefault="003717A0">
            <w:pPr>
              <w:autoSpaceDE w:val="0"/>
              <w:autoSpaceDN w:val="0"/>
              <w:adjustRightInd w:val="0"/>
              <w:snapToGrid w:val="0"/>
              <w:spacing w:line="360" w:lineRule="exact"/>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lastRenderedPageBreak/>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exact"/>
              <w:ind w:firstLineChars="193" w:firstLine="425"/>
              <w:jc w:val="left"/>
              <w:rPr>
                <w:sz w:val="22"/>
              </w:rPr>
            </w:pPr>
            <w:r>
              <w:rPr>
                <w:rFonts w:hint="eastAsia"/>
                <w:sz w:val="22"/>
              </w:rPr>
              <w:t>学生需完成一定数量的平时作业，包括课前预习，小组汇报等等。</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一、学生完成作业的主要内容：</w:t>
            </w:r>
          </w:p>
          <w:p w:rsidR="003717A0" w:rsidRDefault="003717A0">
            <w:pPr>
              <w:numPr>
                <w:ilvl w:val="0"/>
                <w:numId w:val="535"/>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每位学生在每章节后自选</w:t>
            </w:r>
            <w:r>
              <w:rPr>
                <w:rFonts w:ascii="Times New Roman" w:hAnsi="Times New Roman"/>
                <w:szCs w:val="21"/>
              </w:rPr>
              <w:t>1</w:t>
            </w:r>
            <w:r>
              <w:rPr>
                <w:rFonts w:ascii="Times New Roman" w:hAnsi="Times New Roman" w:hint="eastAsia"/>
                <w:szCs w:val="21"/>
              </w:rPr>
              <w:t>个题目，通过查阅资料自学，然后针对题目撰写</w:t>
            </w:r>
            <w:r>
              <w:rPr>
                <w:rFonts w:ascii="Times New Roman" w:hAnsi="Times New Roman"/>
                <w:szCs w:val="21"/>
              </w:rPr>
              <w:t>500-800</w:t>
            </w:r>
            <w:r>
              <w:rPr>
                <w:rFonts w:ascii="Times New Roman" w:hAnsi="Times New Roman" w:hint="eastAsia"/>
                <w:szCs w:val="21"/>
              </w:rPr>
              <w:t>字的书面小结，在规定时间内提交。本课程结束时，每位学生需完成</w:t>
            </w:r>
            <w:r>
              <w:rPr>
                <w:rFonts w:ascii="Times New Roman" w:hAnsi="Times New Roman"/>
                <w:szCs w:val="21"/>
              </w:rPr>
              <w:t>3</w:t>
            </w:r>
            <w:r>
              <w:rPr>
                <w:rFonts w:ascii="Times New Roman" w:hAnsi="Times New Roman" w:hint="eastAsia"/>
                <w:szCs w:val="21"/>
              </w:rPr>
              <w:t>个题目的小结。</w:t>
            </w:r>
          </w:p>
          <w:p w:rsidR="003717A0" w:rsidRDefault="003717A0">
            <w:pPr>
              <w:numPr>
                <w:ilvl w:val="0"/>
                <w:numId w:val="535"/>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根据理论课中每个章节给出的学生论坛专题，由</w:t>
            </w:r>
            <w:r>
              <w:rPr>
                <w:rFonts w:ascii="Times New Roman" w:hAnsi="Times New Roman"/>
                <w:szCs w:val="21"/>
              </w:rPr>
              <w:t>5-6</w:t>
            </w:r>
            <w:r>
              <w:rPr>
                <w:rFonts w:ascii="Times New Roman" w:hAnsi="Times New Roman" w:hint="eastAsia"/>
                <w:szCs w:val="21"/>
              </w:rPr>
              <w:t>人组成小组，收集资料、学习、整理、制作相关</w:t>
            </w:r>
            <w:r>
              <w:rPr>
                <w:rFonts w:ascii="Times New Roman" w:hAnsi="Times New Roman"/>
                <w:szCs w:val="21"/>
              </w:rPr>
              <w:t>PPT</w:t>
            </w:r>
            <w:r>
              <w:rPr>
                <w:rFonts w:ascii="Times New Roman" w:hAnsi="Times New Roman" w:hint="eastAsia"/>
                <w:szCs w:val="21"/>
              </w:rPr>
              <w:t>，并进行全班交流和讨论，拓展与本课程相关的知识。</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二、学生完成的作业必须达到以下基本要求：</w:t>
            </w:r>
          </w:p>
          <w:p w:rsidR="003717A0" w:rsidRDefault="003717A0">
            <w:pPr>
              <w:numPr>
                <w:ilvl w:val="0"/>
                <w:numId w:val="536"/>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按时按量完成作业，不缺交，不抄袭；</w:t>
            </w:r>
          </w:p>
          <w:p w:rsidR="003717A0" w:rsidRDefault="003717A0">
            <w:pPr>
              <w:numPr>
                <w:ilvl w:val="0"/>
                <w:numId w:val="536"/>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作业规范，书写清晰；</w:t>
            </w:r>
          </w:p>
          <w:p w:rsidR="003717A0" w:rsidRDefault="003717A0">
            <w:pPr>
              <w:numPr>
                <w:ilvl w:val="0"/>
                <w:numId w:val="536"/>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答案正确。</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三、教师批改或讲评作业的数量和次数要求如下：</w:t>
            </w:r>
          </w:p>
          <w:p w:rsidR="003717A0" w:rsidRDefault="003717A0">
            <w:pPr>
              <w:numPr>
                <w:ilvl w:val="0"/>
                <w:numId w:val="537"/>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学生的作业要全批全改，并按时批改、讲评学生每次交来的作业；</w:t>
            </w:r>
          </w:p>
          <w:p w:rsidR="003717A0" w:rsidRDefault="003717A0">
            <w:pPr>
              <w:numPr>
                <w:ilvl w:val="0"/>
                <w:numId w:val="537"/>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教师批改或讲评作业要认真、细致，并写明日期；</w:t>
            </w:r>
          </w:p>
          <w:p w:rsidR="003717A0" w:rsidRDefault="003717A0">
            <w:pPr>
              <w:autoSpaceDE w:val="0"/>
              <w:autoSpaceDN w:val="0"/>
              <w:adjustRightInd w:val="0"/>
              <w:snapToGrid w:val="0"/>
              <w:spacing w:line="360" w:lineRule="exact"/>
              <w:ind w:firstLineChars="193" w:firstLine="405"/>
              <w:jc w:val="left"/>
              <w:rPr>
                <w:sz w:val="22"/>
              </w:rPr>
            </w:pPr>
            <w:r>
              <w:rPr>
                <w:rFonts w:ascii="Times New Roman" w:hAnsi="Times New Roman" w:hint="eastAsia"/>
                <w:szCs w:val="21"/>
              </w:rPr>
              <w:t>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宋体" w:hint="eastAsia"/>
                <w:szCs w:val="21"/>
              </w:rPr>
              <w:t>在教室内，多与学生进行面对面的交流互动，同时充分利用</w:t>
            </w:r>
            <w:r>
              <w:rPr>
                <w:rFonts w:ascii="宋体"/>
                <w:szCs w:val="21"/>
              </w:rPr>
              <w:t>blackboard</w:t>
            </w:r>
            <w:r>
              <w:rPr>
                <w:rFonts w:ascii="宋体" w:hint="eastAsia"/>
                <w:szCs w:val="21"/>
              </w:rPr>
              <w:t>、微信、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本课程为学期课程，成绩考核的方式：平时作业。考试学期总评成绩的评定方法如下：</w:t>
            </w:r>
          </w:p>
          <w:p w:rsidR="003717A0" w:rsidRDefault="003717A0">
            <w:pPr>
              <w:numPr>
                <w:ilvl w:val="0"/>
                <w:numId w:val="538"/>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平时作业占总评成绩的</w:t>
            </w:r>
            <w:r>
              <w:rPr>
                <w:rFonts w:ascii="Times New Roman" w:hAnsi="Times New Roman"/>
                <w:szCs w:val="21"/>
              </w:rPr>
              <w:t>100%</w:t>
            </w:r>
            <w:r>
              <w:rPr>
                <w:rFonts w:ascii="Times New Roman" w:hAnsi="Times New Roman" w:hint="eastAsia"/>
                <w:szCs w:val="21"/>
              </w:rPr>
              <w:t>；</w:t>
            </w:r>
          </w:p>
          <w:p w:rsidR="003717A0" w:rsidRDefault="003717A0">
            <w:pPr>
              <w:numPr>
                <w:ilvl w:val="0"/>
                <w:numId w:val="538"/>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exact"/>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无</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bookmarkStart w:id="121" w:name="_Toc469313022"/>
      <w:bookmarkStart w:id="122" w:name="_Toc471830734"/>
      <w:r w:rsidRPr="00566E4D">
        <w:rPr>
          <w:rFonts w:hint="eastAsia"/>
          <w:b/>
        </w:rPr>
        <w:lastRenderedPageBreak/>
        <w:t>《支具的应用与制作》课程质量标准</w:t>
      </w:r>
      <w:bookmarkEnd w:id="121"/>
      <w:bookmarkEnd w:id="122"/>
    </w:p>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课程名称</w:t>
            </w:r>
          </w:p>
        </w:tc>
        <w:tc>
          <w:tcPr>
            <w:tcW w:w="7618" w:type="dxa"/>
            <w:gridSpan w:val="9"/>
          </w:tcPr>
          <w:p w:rsidR="003717A0" w:rsidRDefault="003717A0" w:rsidP="00566E4D">
            <w:pPr>
              <w:adjustRightInd w:val="0"/>
              <w:snapToGrid w:val="0"/>
              <w:spacing w:line="420" w:lineRule="atLeast"/>
              <w:jc w:val="center"/>
              <w:rPr>
                <w:sz w:val="22"/>
              </w:rPr>
            </w:pPr>
            <w:r>
              <w:rPr>
                <w:rFonts w:hint="eastAsia"/>
                <w:sz w:val="22"/>
              </w:rPr>
              <w:t>支具的应用与制作</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英译名称</w:t>
            </w:r>
          </w:p>
        </w:tc>
        <w:tc>
          <w:tcPr>
            <w:tcW w:w="7618" w:type="dxa"/>
            <w:gridSpan w:val="9"/>
          </w:tcPr>
          <w:p w:rsidR="003717A0" w:rsidRDefault="003717A0" w:rsidP="00566E4D">
            <w:pPr>
              <w:adjustRightInd w:val="0"/>
              <w:snapToGrid w:val="0"/>
              <w:spacing w:line="420" w:lineRule="atLeast"/>
              <w:jc w:val="center"/>
              <w:rPr>
                <w:sz w:val="22"/>
              </w:rPr>
            </w:pPr>
            <w:r>
              <w:rPr>
                <w:sz w:val="22"/>
              </w:rPr>
              <w:t>splint application and production</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课程代码</w:t>
            </w:r>
          </w:p>
        </w:tc>
        <w:tc>
          <w:tcPr>
            <w:tcW w:w="2350" w:type="dxa"/>
            <w:gridSpan w:val="2"/>
          </w:tcPr>
          <w:p w:rsidR="003717A0" w:rsidRDefault="003717A0" w:rsidP="00566E4D">
            <w:pPr>
              <w:adjustRightInd w:val="0"/>
              <w:snapToGrid w:val="0"/>
              <w:spacing w:line="420" w:lineRule="atLeast"/>
              <w:jc w:val="center"/>
              <w:rPr>
                <w:sz w:val="22"/>
              </w:rPr>
            </w:pPr>
            <w:r>
              <w:rPr>
                <w:sz w:val="22"/>
              </w:rPr>
              <w:t>170717</w:t>
            </w:r>
          </w:p>
        </w:tc>
        <w:tc>
          <w:tcPr>
            <w:tcW w:w="1902" w:type="dxa"/>
            <w:gridSpan w:val="3"/>
          </w:tcPr>
          <w:p w:rsidR="003717A0" w:rsidRDefault="003717A0" w:rsidP="00566E4D">
            <w:pPr>
              <w:adjustRightInd w:val="0"/>
              <w:snapToGrid w:val="0"/>
              <w:spacing w:line="420" w:lineRule="atLeast"/>
              <w:jc w:val="center"/>
              <w:rPr>
                <w:sz w:val="22"/>
              </w:rPr>
            </w:pPr>
            <w:r>
              <w:rPr>
                <w:rFonts w:hint="eastAsia"/>
                <w:sz w:val="22"/>
              </w:rPr>
              <w:t>课程开设学期</w:t>
            </w:r>
          </w:p>
        </w:tc>
        <w:tc>
          <w:tcPr>
            <w:tcW w:w="3366" w:type="dxa"/>
            <w:gridSpan w:val="4"/>
          </w:tcPr>
          <w:p w:rsidR="003717A0" w:rsidRDefault="003717A0" w:rsidP="00566E4D">
            <w:pPr>
              <w:adjustRightInd w:val="0"/>
              <w:snapToGrid w:val="0"/>
              <w:spacing w:line="420" w:lineRule="atLeast"/>
              <w:jc w:val="center"/>
              <w:rPr>
                <w:sz w:val="22"/>
              </w:rPr>
            </w:pPr>
            <w:r>
              <w:rPr>
                <w:rFonts w:hint="eastAsia"/>
                <w:sz w:val="22"/>
              </w:rPr>
              <w:t>五</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课程学时</w:t>
            </w:r>
          </w:p>
        </w:tc>
        <w:tc>
          <w:tcPr>
            <w:tcW w:w="2350" w:type="dxa"/>
            <w:gridSpan w:val="2"/>
          </w:tcPr>
          <w:p w:rsidR="003717A0" w:rsidRDefault="003717A0" w:rsidP="00566E4D">
            <w:pPr>
              <w:adjustRightInd w:val="0"/>
              <w:snapToGrid w:val="0"/>
              <w:spacing w:line="420" w:lineRule="atLeast"/>
              <w:jc w:val="center"/>
              <w:rPr>
                <w:sz w:val="22"/>
              </w:rPr>
            </w:pPr>
            <w:r>
              <w:rPr>
                <w:sz w:val="22"/>
              </w:rPr>
              <w:t>18</w:t>
            </w:r>
          </w:p>
        </w:tc>
        <w:tc>
          <w:tcPr>
            <w:tcW w:w="1902" w:type="dxa"/>
            <w:gridSpan w:val="3"/>
          </w:tcPr>
          <w:p w:rsidR="003717A0" w:rsidRDefault="003717A0" w:rsidP="00566E4D">
            <w:pPr>
              <w:adjustRightInd w:val="0"/>
              <w:snapToGrid w:val="0"/>
              <w:spacing w:line="420" w:lineRule="atLeast"/>
              <w:jc w:val="center"/>
              <w:rPr>
                <w:sz w:val="22"/>
              </w:rPr>
            </w:pPr>
            <w:r>
              <w:rPr>
                <w:rFonts w:hint="eastAsia"/>
                <w:sz w:val="22"/>
              </w:rPr>
              <w:t>课程学分</w:t>
            </w:r>
          </w:p>
        </w:tc>
        <w:tc>
          <w:tcPr>
            <w:tcW w:w="3366" w:type="dxa"/>
            <w:gridSpan w:val="4"/>
          </w:tcPr>
          <w:p w:rsidR="003717A0" w:rsidRDefault="003717A0" w:rsidP="00566E4D">
            <w:pPr>
              <w:adjustRightInd w:val="0"/>
              <w:snapToGrid w:val="0"/>
              <w:spacing w:line="420" w:lineRule="atLeast"/>
              <w:jc w:val="center"/>
              <w:rPr>
                <w:sz w:val="22"/>
              </w:rPr>
            </w:pPr>
            <w:r>
              <w:rPr>
                <w:sz w:val="22"/>
              </w:rPr>
              <w:t>1</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课程类型</w:t>
            </w:r>
          </w:p>
        </w:tc>
        <w:tc>
          <w:tcPr>
            <w:tcW w:w="7618" w:type="dxa"/>
            <w:gridSpan w:val="9"/>
          </w:tcPr>
          <w:p w:rsidR="003717A0" w:rsidRDefault="003717A0" w:rsidP="00566E4D">
            <w:pPr>
              <w:adjustRightInd w:val="0"/>
              <w:snapToGrid w:val="0"/>
              <w:spacing w:line="420" w:lineRule="atLeast"/>
              <w:jc w:val="center"/>
              <w:rPr>
                <w:sz w:val="22"/>
              </w:rPr>
            </w:pPr>
            <w:r>
              <w:rPr>
                <w:rFonts w:ascii="宋体" w:hAnsi="宋体" w:hint="eastAsia"/>
                <w:sz w:val="22"/>
              </w:rPr>
              <w:t>□</w:t>
            </w:r>
            <w:r>
              <w:rPr>
                <w:rFonts w:hint="eastAsia"/>
                <w:sz w:val="22"/>
              </w:rPr>
              <w:t>公共基础课</w:t>
            </w:r>
            <w:r>
              <w:rPr>
                <w:rFonts w:ascii="宋体" w:hAnsi="宋体" w:hint="eastAsia"/>
                <w:sz w:val="22"/>
              </w:rPr>
              <w:t>□专业基础课□专业课</w:t>
            </w:r>
            <w:bookmarkStart w:id="123" w:name="OLE_LINK6"/>
            <w:bookmarkStart w:id="124" w:name="OLE_LINK7"/>
            <w:r>
              <w:rPr>
                <w:rFonts w:ascii="宋体" w:hAnsi="宋体" w:hint="eastAsia"/>
                <w:szCs w:val="21"/>
              </w:rPr>
              <w:t>■</w:t>
            </w:r>
            <w:bookmarkEnd w:id="123"/>
            <w:bookmarkEnd w:id="124"/>
            <w:r>
              <w:rPr>
                <w:rFonts w:ascii="宋体" w:hAnsi="宋体" w:hint="eastAsia"/>
                <w:sz w:val="22"/>
              </w:rPr>
              <w:t>专业选修课□公共选修课</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授课学院</w:t>
            </w:r>
          </w:p>
        </w:tc>
        <w:tc>
          <w:tcPr>
            <w:tcW w:w="2350" w:type="dxa"/>
            <w:gridSpan w:val="2"/>
          </w:tcPr>
          <w:p w:rsidR="003717A0" w:rsidRDefault="003717A0" w:rsidP="00566E4D">
            <w:pPr>
              <w:adjustRightInd w:val="0"/>
              <w:snapToGrid w:val="0"/>
              <w:spacing w:line="420" w:lineRule="atLeast"/>
              <w:jc w:val="center"/>
              <w:rPr>
                <w:sz w:val="22"/>
              </w:rPr>
            </w:pPr>
            <w:r>
              <w:rPr>
                <w:rFonts w:hint="eastAsia"/>
                <w:sz w:val="22"/>
              </w:rPr>
              <w:t>医学院</w:t>
            </w:r>
          </w:p>
        </w:tc>
        <w:tc>
          <w:tcPr>
            <w:tcW w:w="2634" w:type="dxa"/>
            <w:gridSpan w:val="5"/>
          </w:tcPr>
          <w:p w:rsidR="003717A0" w:rsidRDefault="003717A0" w:rsidP="00566E4D">
            <w:pPr>
              <w:adjustRightInd w:val="0"/>
              <w:snapToGrid w:val="0"/>
              <w:spacing w:line="420" w:lineRule="atLeas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rsidP="00566E4D">
            <w:pPr>
              <w:adjustRightInd w:val="0"/>
              <w:snapToGrid w:val="0"/>
              <w:spacing w:line="420" w:lineRule="atLeast"/>
              <w:jc w:val="center"/>
              <w:rPr>
                <w:sz w:val="22"/>
              </w:rPr>
            </w:pPr>
            <w:r>
              <w:rPr>
                <w:rFonts w:hint="eastAsia"/>
                <w:sz w:val="22"/>
              </w:rPr>
              <w:t>康复医学教研室</w:t>
            </w:r>
          </w:p>
        </w:tc>
      </w:tr>
      <w:tr w:rsidR="003717A0" w:rsidTr="00566E4D">
        <w:trPr>
          <w:jc w:val="center"/>
        </w:trPr>
        <w:tc>
          <w:tcPr>
            <w:tcW w:w="1668" w:type="dxa"/>
          </w:tcPr>
          <w:p w:rsidR="003717A0" w:rsidRDefault="003717A0" w:rsidP="00566E4D">
            <w:pPr>
              <w:adjustRightInd w:val="0"/>
              <w:snapToGrid w:val="0"/>
              <w:spacing w:line="420" w:lineRule="atLeast"/>
              <w:rPr>
                <w:sz w:val="22"/>
              </w:rPr>
            </w:pPr>
            <w:r>
              <w:rPr>
                <w:rFonts w:hint="eastAsia"/>
                <w:sz w:val="22"/>
              </w:rPr>
              <w:t>教材名称</w:t>
            </w:r>
          </w:p>
        </w:tc>
        <w:tc>
          <w:tcPr>
            <w:tcW w:w="7618" w:type="dxa"/>
            <w:gridSpan w:val="9"/>
          </w:tcPr>
          <w:p w:rsidR="003717A0" w:rsidRDefault="003717A0" w:rsidP="00566E4D">
            <w:pPr>
              <w:adjustRightInd w:val="0"/>
              <w:snapToGrid w:val="0"/>
              <w:spacing w:line="420" w:lineRule="atLeast"/>
              <w:rPr>
                <w:sz w:val="22"/>
              </w:rPr>
            </w:pPr>
            <w:r>
              <w:rPr>
                <w:sz w:val="22"/>
              </w:rPr>
              <w:t>Splint manual for occupational therapist</w:t>
            </w:r>
          </w:p>
        </w:tc>
      </w:tr>
      <w:tr w:rsidR="003717A0" w:rsidTr="00566E4D">
        <w:trPr>
          <w:jc w:val="center"/>
        </w:trPr>
        <w:tc>
          <w:tcPr>
            <w:tcW w:w="1668" w:type="dxa"/>
          </w:tcPr>
          <w:p w:rsidR="003717A0" w:rsidRDefault="003717A0" w:rsidP="00566E4D">
            <w:pPr>
              <w:adjustRightInd w:val="0"/>
              <w:snapToGrid w:val="0"/>
              <w:spacing w:line="420" w:lineRule="atLeast"/>
              <w:rPr>
                <w:sz w:val="22"/>
              </w:rPr>
            </w:pPr>
            <w:r>
              <w:rPr>
                <w:rFonts w:hint="eastAsia"/>
                <w:sz w:val="22"/>
              </w:rPr>
              <w:t>教材出版信息</w:t>
            </w:r>
          </w:p>
        </w:tc>
        <w:tc>
          <w:tcPr>
            <w:tcW w:w="7618" w:type="dxa"/>
            <w:gridSpan w:val="9"/>
          </w:tcPr>
          <w:p w:rsidR="003717A0" w:rsidRDefault="003717A0" w:rsidP="00566E4D">
            <w:pPr>
              <w:adjustRightInd w:val="0"/>
              <w:snapToGrid w:val="0"/>
              <w:spacing w:line="420" w:lineRule="atLeast"/>
              <w:rPr>
                <w:sz w:val="22"/>
              </w:rPr>
            </w:pPr>
          </w:p>
        </w:tc>
      </w:tr>
      <w:tr w:rsidR="003717A0" w:rsidTr="00566E4D">
        <w:trPr>
          <w:jc w:val="center"/>
        </w:trPr>
        <w:tc>
          <w:tcPr>
            <w:tcW w:w="1668" w:type="dxa"/>
          </w:tcPr>
          <w:p w:rsidR="003717A0" w:rsidRDefault="003717A0" w:rsidP="00566E4D">
            <w:pPr>
              <w:adjustRightInd w:val="0"/>
              <w:snapToGrid w:val="0"/>
              <w:spacing w:line="420" w:lineRule="atLeast"/>
              <w:rPr>
                <w:sz w:val="22"/>
              </w:rPr>
            </w:pPr>
            <w:r>
              <w:rPr>
                <w:rFonts w:hint="eastAsia"/>
                <w:sz w:val="22"/>
              </w:rPr>
              <w:t>教材性质</w:t>
            </w:r>
          </w:p>
        </w:tc>
        <w:tc>
          <w:tcPr>
            <w:tcW w:w="7618" w:type="dxa"/>
            <w:gridSpan w:val="9"/>
          </w:tcPr>
          <w:p w:rsidR="003717A0" w:rsidRDefault="003717A0" w:rsidP="00566E4D">
            <w:pPr>
              <w:adjustRightInd w:val="0"/>
              <w:snapToGrid w:val="0"/>
              <w:spacing w:line="420" w:lineRule="atLeast"/>
              <w:rPr>
                <w:sz w:val="22"/>
              </w:rPr>
            </w:pPr>
            <w:r>
              <w:rPr>
                <w:rFonts w:ascii="宋体" w:hAnsi="宋体" w:hint="eastAsia"/>
                <w:sz w:val="22"/>
              </w:rPr>
              <w:t>□国家□部级规划□省级规划</w:t>
            </w:r>
            <w:r>
              <w:rPr>
                <w:rFonts w:ascii="宋体" w:hAnsi="宋体" w:hint="eastAsia"/>
                <w:szCs w:val="21"/>
              </w:rPr>
              <w:t>■</w:t>
            </w:r>
            <w:r>
              <w:rPr>
                <w:rFonts w:ascii="宋体" w:hAnsi="宋体" w:hint="eastAsia"/>
                <w:sz w:val="22"/>
              </w:rPr>
              <w:t>自编□其他</w:t>
            </w:r>
          </w:p>
        </w:tc>
      </w:tr>
      <w:tr w:rsidR="003717A0" w:rsidTr="00566E4D">
        <w:trPr>
          <w:jc w:val="center"/>
        </w:trPr>
        <w:tc>
          <w:tcPr>
            <w:tcW w:w="1668" w:type="dxa"/>
          </w:tcPr>
          <w:p w:rsidR="003717A0" w:rsidRDefault="003717A0" w:rsidP="00566E4D">
            <w:pPr>
              <w:adjustRightInd w:val="0"/>
              <w:snapToGrid w:val="0"/>
              <w:spacing w:line="420" w:lineRule="atLeast"/>
              <w:rPr>
                <w:sz w:val="22"/>
              </w:rPr>
            </w:pPr>
            <w:r>
              <w:rPr>
                <w:rFonts w:hint="eastAsia"/>
                <w:sz w:val="22"/>
              </w:rPr>
              <w:t>考核方式</w:t>
            </w:r>
          </w:p>
        </w:tc>
        <w:tc>
          <w:tcPr>
            <w:tcW w:w="7618" w:type="dxa"/>
            <w:gridSpan w:val="9"/>
          </w:tcPr>
          <w:p w:rsidR="003717A0" w:rsidRDefault="003717A0" w:rsidP="00566E4D">
            <w:pPr>
              <w:adjustRightInd w:val="0"/>
              <w:snapToGrid w:val="0"/>
              <w:spacing w:line="420" w:lineRule="atLeast"/>
              <w:rPr>
                <w:sz w:val="22"/>
              </w:rPr>
            </w:pPr>
            <w:r>
              <w:rPr>
                <w:rFonts w:ascii="宋体" w:hAnsi="宋体" w:hint="eastAsia"/>
                <w:sz w:val="22"/>
              </w:rPr>
              <w:t>□考试</w:t>
            </w:r>
            <w:r>
              <w:rPr>
                <w:rFonts w:ascii="宋体" w:hAnsi="宋体" w:hint="eastAsia"/>
                <w:szCs w:val="21"/>
              </w:rPr>
              <w:t>■</w:t>
            </w:r>
            <w:r>
              <w:rPr>
                <w:rFonts w:ascii="宋体" w:hAnsi="宋体" w:hint="eastAsia"/>
                <w:sz w:val="22"/>
              </w:rPr>
              <w:t>考查□开卷□闭卷□课程设计□学期论文□其他</w:t>
            </w:r>
          </w:p>
        </w:tc>
      </w:tr>
      <w:tr w:rsidR="003717A0" w:rsidTr="00566E4D">
        <w:trPr>
          <w:jc w:val="center"/>
        </w:trPr>
        <w:tc>
          <w:tcPr>
            <w:tcW w:w="1668" w:type="dxa"/>
          </w:tcPr>
          <w:p w:rsidR="003717A0" w:rsidRDefault="003717A0" w:rsidP="00566E4D">
            <w:pPr>
              <w:adjustRightInd w:val="0"/>
              <w:snapToGrid w:val="0"/>
              <w:spacing w:line="420" w:lineRule="atLeast"/>
              <w:rPr>
                <w:sz w:val="22"/>
              </w:rPr>
            </w:pPr>
            <w:r>
              <w:rPr>
                <w:rFonts w:hint="eastAsia"/>
                <w:sz w:val="22"/>
              </w:rPr>
              <w:t>课程成绩</w:t>
            </w:r>
          </w:p>
        </w:tc>
        <w:tc>
          <w:tcPr>
            <w:tcW w:w="3809" w:type="dxa"/>
            <w:gridSpan w:val="4"/>
          </w:tcPr>
          <w:p w:rsidR="003717A0" w:rsidRDefault="003717A0" w:rsidP="00566E4D">
            <w:pPr>
              <w:adjustRightInd w:val="0"/>
              <w:snapToGrid w:val="0"/>
              <w:spacing w:line="420" w:lineRule="atLeast"/>
              <w:rPr>
                <w:sz w:val="22"/>
              </w:rPr>
            </w:pPr>
            <w:r>
              <w:rPr>
                <w:rFonts w:hint="eastAsia"/>
                <w:sz w:val="22"/>
              </w:rPr>
              <w:t>平时成绩</w:t>
            </w:r>
            <w:r>
              <w:rPr>
                <w:sz w:val="22"/>
              </w:rPr>
              <w:t xml:space="preserve">  50% </w:t>
            </w:r>
          </w:p>
        </w:tc>
        <w:tc>
          <w:tcPr>
            <w:tcW w:w="3809" w:type="dxa"/>
            <w:gridSpan w:val="5"/>
          </w:tcPr>
          <w:p w:rsidR="003717A0" w:rsidRDefault="003717A0" w:rsidP="00566E4D">
            <w:pPr>
              <w:adjustRightInd w:val="0"/>
              <w:snapToGrid w:val="0"/>
              <w:spacing w:line="420" w:lineRule="atLeast"/>
              <w:rPr>
                <w:sz w:val="22"/>
              </w:rPr>
            </w:pPr>
            <w:r>
              <w:rPr>
                <w:rFonts w:hint="eastAsia"/>
                <w:sz w:val="22"/>
              </w:rPr>
              <w:t>期末成绩</w:t>
            </w:r>
            <w:r>
              <w:rPr>
                <w:sz w:val="22"/>
              </w:rPr>
              <w:t xml:space="preserve">  50%</w:t>
            </w:r>
          </w:p>
        </w:tc>
      </w:tr>
      <w:tr w:rsidR="003717A0" w:rsidTr="00566E4D">
        <w:trPr>
          <w:jc w:val="center"/>
        </w:trPr>
        <w:tc>
          <w:tcPr>
            <w:tcW w:w="9286" w:type="dxa"/>
            <w:gridSpan w:val="10"/>
          </w:tcPr>
          <w:p w:rsidR="003717A0" w:rsidRDefault="003717A0" w:rsidP="00566E4D">
            <w:pPr>
              <w:adjustRightInd w:val="0"/>
              <w:snapToGrid w:val="0"/>
              <w:spacing w:line="420" w:lineRule="atLeast"/>
              <w:rPr>
                <w:sz w:val="22"/>
              </w:rPr>
            </w:pPr>
            <w:r>
              <w:rPr>
                <w:rFonts w:hint="eastAsia"/>
                <w:sz w:val="22"/>
              </w:rPr>
              <w:t>课程负责人及团队骨干（五人以内）</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姓名</w:t>
            </w:r>
          </w:p>
        </w:tc>
        <w:tc>
          <w:tcPr>
            <w:tcW w:w="1523" w:type="dxa"/>
          </w:tcPr>
          <w:p w:rsidR="003717A0" w:rsidRDefault="003717A0" w:rsidP="00566E4D">
            <w:pPr>
              <w:adjustRightInd w:val="0"/>
              <w:snapToGrid w:val="0"/>
              <w:spacing w:line="420" w:lineRule="atLeast"/>
              <w:jc w:val="center"/>
              <w:rPr>
                <w:sz w:val="22"/>
              </w:rPr>
            </w:pPr>
            <w:r>
              <w:rPr>
                <w:rFonts w:hint="eastAsia"/>
                <w:sz w:val="22"/>
              </w:rPr>
              <w:t>性别</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学历</w:t>
            </w:r>
          </w:p>
        </w:tc>
        <w:tc>
          <w:tcPr>
            <w:tcW w:w="1523" w:type="dxa"/>
            <w:gridSpan w:val="3"/>
          </w:tcPr>
          <w:p w:rsidR="003717A0" w:rsidRDefault="003717A0" w:rsidP="00566E4D">
            <w:pPr>
              <w:adjustRightInd w:val="0"/>
              <w:snapToGrid w:val="0"/>
              <w:spacing w:line="420" w:lineRule="atLeast"/>
              <w:jc w:val="center"/>
              <w:rPr>
                <w:sz w:val="22"/>
              </w:rPr>
            </w:pPr>
            <w:r>
              <w:rPr>
                <w:rFonts w:hint="eastAsia"/>
                <w:sz w:val="22"/>
              </w:rPr>
              <w:t>学位</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职称</w:t>
            </w:r>
          </w:p>
        </w:tc>
        <w:tc>
          <w:tcPr>
            <w:tcW w:w="1524" w:type="dxa"/>
          </w:tcPr>
          <w:p w:rsidR="003717A0" w:rsidRDefault="003717A0" w:rsidP="00566E4D">
            <w:pPr>
              <w:adjustRightInd w:val="0"/>
              <w:snapToGrid w:val="0"/>
              <w:spacing w:line="420" w:lineRule="atLeast"/>
              <w:jc w:val="center"/>
              <w:rPr>
                <w:sz w:val="22"/>
              </w:rPr>
            </w:pPr>
            <w:r>
              <w:rPr>
                <w:rFonts w:hint="eastAsia"/>
                <w:sz w:val="22"/>
              </w:rPr>
              <w:t>从教时间</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沈光宇</w:t>
            </w:r>
          </w:p>
        </w:tc>
        <w:tc>
          <w:tcPr>
            <w:tcW w:w="1523" w:type="dxa"/>
          </w:tcPr>
          <w:p w:rsidR="003717A0" w:rsidRDefault="003717A0" w:rsidP="00566E4D">
            <w:pPr>
              <w:adjustRightInd w:val="0"/>
              <w:snapToGrid w:val="0"/>
              <w:spacing w:line="420" w:lineRule="atLeast"/>
              <w:jc w:val="center"/>
              <w:rPr>
                <w:sz w:val="22"/>
              </w:rPr>
            </w:pPr>
            <w:r>
              <w:rPr>
                <w:rFonts w:hint="eastAsia"/>
                <w:sz w:val="22"/>
              </w:rPr>
              <w:t>男</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本科生</w:t>
            </w:r>
          </w:p>
        </w:tc>
        <w:tc>
          <w:tcPr>
            <w:tcW w:w="1523" w:type="dxa"/>
            <w:gridSpan w:val="3"/>
          </w:tcPr>
          <w:p w:rsidR="003717A0" w:rsidRDefault="003717A0" w:rsidP="00566E4D">
            <w:pPr>
              <w:adjustRightInd w:val="0"/>
              <w:snapToGrid w:val="0"/>
              <w:spacing w:line="420" w:lineRule="atLeast"/>
              <w:jc w:val="center"/>
              <w:rPr>
                <w:sz w:val="22"/>
              </w:rPr>
            </w:pPr>
            <w:r>
              <w:rPr>
                <w:rFonts w:hint="eastAsia"/>
                <w:sz w:val="22"/>
              </w:rPr>
              <w:t>学士</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教授</w:t>
            </w:r>
          </w:p>
        </w:tc>
        <w:tc>
          <w:tcPr>
            <w:tcW w:w="1524" w:type="dxa"/>
          </w:tcPr>
          <w:p w:rsidR="003717A0" w:rsidRDefault="003717A0" w:rsidP="00566E4D">
            <w:pPr>
              <w:adjustRightInd w:val="0"/>
              <w:snapToGrid w:val="0"/>
              <w:spacing w:line="420" w:lineRule="atLeast"/>
              <w:jc w:val="center"/>
              <w:rPr>
                <w:sz w:val="22"/>
              </w:rPr>
            </w:pPr>
            <w:r>
              <w:rPr>
                <w:sz w:val="22"/>
              </w:rPr>
              <w:t>1982.1</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顾琦</w:t>
            </w:r>
          </w:p>
        </w:tc>
        <w:tc>
          <w:tcPr>
            <w:tcW w:w="1523" w:type="dxa"/>
          </w:tcPr>
          <w:p w:rsidR="003717A0" w:rsidRDefault="003717A0" w:rsidP="00566E4D">
            <w:pPr>
              <w:adjustRightInd w:val="0"/>
              <w:snapToGrid w:val="0"/>
              <w:spacing w:line="420" w:lineRule="atLeast"/>
              <w:jc w:val="center"/>
              <w:rPr>
                <w:sz w:val="22"/>
              </w:rPr>
            </w:pPr>
            <w:r>
              <w:rPr>
                <w:rFonts w:hint="eastAsia"/>
                <w:sz w:val="22"/>
              </w:rPr>
              <w:t>女</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研究生</w:t>
            </w:r>
          </w:p>
        </w:tc>
        <w:tc>
          <w:tcPr>
            <w:tcW w:w="1523" w:type="dxa"/>
            <w:gridSpan w:val="3"/>
          </w:tcPr>
          <w:p w:rsidR="003717A0" w:rsidRDefault="003717A0" w:rsidP="00566E4D">
            <w:pPr>
              <w:adjustRightInd w:val="0"/>
              <w:snapToGrid w:val="0"/>
              <w:spacing w:line="420" w:lineRule="atLeast"/>
              <w:jc w:val="center"/>
              <w:rPr>
                <w:sz w:val="22"/>
              </w:rPr>
            </w:pPr>
            <w:r>
              <w:rPr>
                <w:rFonts w:hint="eastAsia"/>
                <w:sz w:val="22"/>
              </w:rPr>
              <w:t>硕士</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讲师</w:t>
            </w:r>
          </w:p>
        </w:tc>
        <w:tc>
          <w:tcPr>
            <w:tcW w:w="1524" w:type="dxa"/>
          </w:tcPr>
          <w:p w:rsidR="003717A0" w:rsidRDefault="003717A0" w:rsidP="00566E4D">
            <w:pPr>
              <w:adjustRightInd w:val="0"/>
              <w:snapToGrid w:val="0"/>
              <w:spacing w:line="420" w:lineRule="atLeast"/>
              <w:jc w:val="center"/>
              <w:rPr>
                <w:sz w:val="22"/>
              </w:rPr>
            </w:pPr>
            <w:r>
              <w:rPr>
                <w:sz w:val="22"/>
              </w:rPr>
              <w:t>2005.8</w:t>
            </w:r>
          </w:p>
        </w:tc>
      </w:tr>
      <w:tr w:rsidR="003717A0" w:rsidTr="00566E4D">
        <w:trPr>
          <w:jc w:val="center"/>
        </w:trPr>
        <w:tc>
          <w:tcPr>
            <w:tcW w:w="1668" w:type="dxa"/>
          </w:tcPr>
          <w:p w:rsidR="003717A0" w:rsidRDefault="003717A0" w:rsidP="00566E4D">
            <w:pPr>
              <w:adjustRightInd w:val="0"/>
              <w:snapToGrid w:val="0"/>
              <w:spacing w:line="420" w:lineRule="atLeast"/>
              <w:jc w:val="center"/>
              <w:rPr>
                <w:sz w:val="22"/>
              </w:rPr>
            </w:pPr>
            <w:r>
              <w:rPr>
                <w:rFonts w:hint="eastAsia"/>
                <w:sz w:val="22"/>
              </w:rPr>
              <w:t>陈伟观</w:t>
            </w:r>
            <w:r>
              <w:rPr>
                <w:sz w:val="22"/>
              </w:rPr>
              <w:t xml:space="preserve"> </w:t>
            </w:r>
          </w:p>
        </w:tc>
        <w:tc>
          <w:tcPr>
            <w:tcW w:w="1523" w:type="dxa"/>
          </w:tcPr>
          <w:p w:rsidR="003717A0" w:rsidRDefault="003717A0" w:rsidP="00566E4D">
            <w:pPr>
              <w:adjustRightInd w:val="0"/>
              <w:snapToGrid w:val="0"/>
              <w:spacing w:line="420" w:lineRule="atLeast"/>
              <w:jc w:val="center"/>
              <w:rPr>
                <w:sz w:val="22"/>
              </w:rPr>
            </w:pPr>
            <w:r>
              <w:rPr>
                <w:rFonts w:hint="eastAsia"/>
                <w:sz w:val="22"/>
              </w:rPr>
              <w:t>男</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研究生</w:t>
            </w:r>
          </w:p>
        </w:tc>
        <w:tc>
          <w:tcPr>
            <w:tcW w:w="1523" w:type="dxa"/>
            <w:gridSpan w:val="3"/>
          </w:tcPr>
          <w:p w:rsidR="003717A0" w:rsidRDefault="003717A0" w:rsidP="00566E4D">
            <w:pPr>
              <w:adjustRightInd w:val="0"/>
              <w:snapToGrid w:val="0"/>
              <w:spacing w:line="420" w:lineRule="atLeast"/>
              <w:jc w:val="center"/>
              <w:rPr>
                <w:sz w:val="22"/>
              </w:rPr>
            </w:pPr>
            <w:r>
              <w:rPr>
                <w:rFonts w:hint="eastAsia"/>
                <w:sz w:val="22"/>
              </w:rPr>
              <w:t>博士</w:t>
            </w:r>
          </w:p>
        </w:tc>
        <w:tc>
          <w:tcPr>
            <w:tcW w:w="1524" w:type="dxa"/>
            <w:gridSpan w:val="2"/>
          </w:tcPr>
          <w:p w:rsidR="003717A0" w:rsidRDefault="003717A0" w:rsidP="00566E4D">
            <w:pPr>
              <w:adjustRightInd w:val="0"/>
              <w:snapToGrid w:val="0"/>
              <w:spacing w:line="420" w:lineRule="atLeast"/>
              <w:jc w:val="center"/>
              <w:rPr>
                <w:sz w:val="22"/>
              </w:rPr>
            </w:pPr>
            <w:r>
              <w:rPr>
                <w:rFonts w:hint="eastAsia"/>
                <w:sz w:val="22"/>
              </w:rPr>
              <w:t>讲师</w:t>
            </w:r>
          </w:p>
        </w:tc>
        <w:tc>
          <w:tcPr>
            <w:tcW w:w="1524" w:type="dxa"/>
          </w:tcPr>
          <w:p w:rsidR="003717A0" w:rsidRDefault="003717A0" w:rsidP="00566E4D">
            <w:pPr>
              <w:adjustRightInd w:val="0"/>
              <w:snapToGrid w:val="0"/>
              <w:spacing w:line="420" w:lineRule="atLeast"/>
              <w:jc w:val="center"/>
              <w:rPr>
                <w:sz w:val="22"/>
              </w:rPr>
            </w:pPr>
            <w:r>
              <w:rPr>
                <w:sz w:val="22"/>
              </w:rPr>
              <w:t>2009.08</w:t>
            </w:r>
          </w:p>
        </w:tc>
      </w:tr>
      <w:tr w:rsidR="003717A0" w:rsidTr="00566E4D">
        <w:trPr>
          <w:jc w:val="center"/>
        </w:trPr>
        <w:tc>
          <w:tcPr>
            <w:tcW w:w="1668" w:type="dxa"/>
          </w:tcPr>
          <w:p w:rsidR="003717A0" w:rsidRDefault="003717A0" w:rsidP="00566E4D">
            <w:pPr>
              <w:adjustRightInd w:val="0"/>
              <w:snapToGrid w:val="0"/>
              <w:spacing w:line="420" w:lineRule="atLeast"/>
              <w:rPr>
                <w:sz w:val="22"/>
              </w:rPr>
            </w:pPr>
          </w:p>
        </w:tc>
        <w:tc>
          <w:tcPr>
            <w:tcW w:w="1523" w:type="dxa"/>
          </w:tcPr>
          <w:p w:rsidR="003717A0" w:rsidRDefault="003717A0" w:rsidP="00566E4D">
            <w:pPr>
              <w:adjustRightInd w:val="0"/>
              <w:snapToGrid w:val="0"/>
              <w:spacing w:line="420" w:lineRule="atLeast"/>
              <w:rPr>
                <w:sz w:val="22"/>
              </w:rPr>
            </w:pPr>
          </w:p>
        </w:tc>
        <w:tc>
          <w:tcPr>
            <w:tcW w:w="1524" w:type="dxa"/>
            <w:gridSpan w:val="2"/>
          </w:tcPr>
          <w:p w:rsidR="003717A0" w:rsidRDefault="003717A0" w:rsidP="00566E4D">
            <w:pPr>
              <w:adjustRightInd w:val="0"/>
              <w:snapToGrid w:val="0"/>
              <w:spacing w:line="420" w:lineRule="atLeast"/>
              <w:rPr>
                <w:sz w:val="22"/>
              </w:rPr>
            </w:pPr>
          </w:p>
        </w:tc>
        <w:tc>
          <w:tcPr>
            <w:tcW w:w="1523" w:type="dxa"/>
            <w:gridSpan w:val="3"/>
          </w:tcPr>
          <w:p w:rsidR="003717A0" w:rsidRDefault="003717A0" w:rsidP="00566E4D">
            <w:pPr>
              <w:adjustRightInd w:val="0"/>
              <w:snapToGrid w:val="0"/>
              <w:spacing w:line="420" w:lineRule="atLeast"/>
              <w:rPr>
                <w:sz w:val="22"/>
              </w:rPr>
            </w:pPr>
          </w:p>
        </w:tc>
        <w:tc>
          <w:tcPr>
            <w:tcW w:w="1524" w:type="dxa"/>
            <w:gridSpan w:val="2"/>
          </w:tcPr>
          <w:p w:rsidR="003717A0" w:rsidRDefault="003717A0" w:rsidP="00566E4D">
            <w:pPr>
              <w:adjustRightInd w:val="0"/>
              <w:snapToGrid w:val="0"/>
              <w:spacing w:line="420" w:lineRule="atLeast"/>
              <w:rPr>
                <w:sz w:val="22"/>
              </w:rPr>
            </w:pPr>
          </w:p>
        </w:tc>
        <w:tc>
          <w:tcPr>
            <w:tcW w:w="1524" w:type="dxa"/>
          </w:tcPr>
          <w:p w:rsidR="003717A0" w:rsidRDefault="003717A0" w:rsidP="00566E4D">
            <w:pPr>
              <w:adjustRightInd w:val="0"/>
              <w:snapToGrid w:val="0"/>
              <w:spacing w:line="420" w:lineRule="atLeast"/>
              <w:rPr>
                <w:sz w:val="22"/>
              </w:rPr>
            </w:pPr>
          </w:p>
        </w:tc>
      </w:tr>
      <w:tr w:rsidR="003717A0" w:rsidTr="00566E4D">
        <w:trPr>
          <w:jc w:val="center"/>
        </w:trPr>
        <w:tc>
          <w:tcPr>
            <w:tcW w:w="1668" w:type="dxa"/>
          </w:tcPr>
          <w:p w:rsidR="003717A0" w:rsidRDefault="003717A0" w:rsidP="00566E4D">
            <w:pPr>
              <w:adjustRightInd w:val="0"/>
              <w:snapToGrid w:val="0"/>
              <w:spacing w:line="420" w:lineRule="atLeast"/>
              <w:rPr>
                <w:sz w:val="22"/>
              </w:rPr>
            </w:pPr>
          </w:p>
        </w:tc>
        <w:tc>
          <w:tcPr>
            <w:tcW w:w="1523" w:type="dxa"/>
          </w:tcPr>
          <w:p w:rsidR="003717A0" w:rsidRDefault="003717A0" w:rsidP="00566E4D">
            <w:pPr>
              <w:adjustRightInd w:val="0"/>
              <w:snapToGrid w:val="0"/>
              <w:spacing w:line="420" w:lineRule="atLeast"/>
              <w:rPr>
                <w:sz w:val="22"/>
              </w:rPr>
            </w:pPr>
          </w:p>
        </w:tc>
        <w:tc>
          <w:tcPr>
            <w:tcW w:w="1524" w:type="dxa"/>
            <w:gridSpan w:val="2"/>
          </w:tcPr>
          <w:p w:rsidR="003717A0" w:rsidRDefault="003717A0" w:rsidP="00566E4D">
            <w:pPr>
              <w:adjustRightInd w:val="0"/>
              <w:snapToGrid w:val="0"/>
              <w:spacing w:line="420" w:lineRule="atLeast"/>
              <w:rPr>
                <w:sz w:val="22"/>
              </w:rPr>
            </w:pPr>
          </w:p>
        </w:tc>
        <w:tc>
          <w:tcPr>
            <w:tcW w:w="1523" w:type="dxa"/>
            <w:gridSpan w:val="3"/>
          </w:tcPr>
          <w:p w:rsidR="003717A0" w:rsidRDefault="003717A0" w:rsidP="00566E4D">
            <w:pPr>
              <w:adjustRightInd w:val="0"/>
              <w:snapToGrid w:val="0"/>
              <w:spacing w:line="420" w:lineRule="atLeast"/>
              <w:rPr>
                <w:sz w:val="22"/>
              </w:rPr>
            </w:pPr>
          </w:p>
        </w:tc>
        <w:tc>
          <w:tcPr>
            <w:tcW w:w="1524" w:type="dxa"/>
            <w:gridSpan w:val="2"/>
          </w:tcPr>
          <w:p w:rsidR="003717A0" w:rsidRDefault="003717A0" w:rsidP="00566E4D">
            <w:pPr>
              <w:adjustRightInd w:val="0"/>
              <w:snapToGrid w:val="0"/>
              <w:spacing w:line="420" w:lineRule="atLeast"/>
              <w:rPr>
                <w:sz w:val="22"/>
              </w:rPr>
            </w:pPr>
          </w:p>
        </w:tc>
        <w:tc>
          <w:tcPr>
            <w:tcW w:w="1524" w:type="dxa"/>
          </w:tcPr>
          <w:p w:rsidR="003717A0" w:rsidRDefault="003717A0" w:rsidP="00566E4D">
            <w:pPr>
              <w:adjustRightInd w:val="0"/>
              <w:snapToGrid w:val="0"/>
              <w:spacing w:line="420" w:lineRule="atLeast"/>
              <w:rPr>
                <w:sz w:val="22"/>
              </w:rPr>
            </w:pPr>
          </w:p>
        </w:tc>
      </w:tr>
      <w:tr w:rsidR="003717A0" w:rsidTr="00566E4D">
        <w:trPr>
          <w:jc w:val="center"/>
        </w:trPr>
        <w:tc>
          <w:tcPr>
            <w:tcW w:w="9286" w:type="dxa"/>
            <w:gridSpan w:val="10"/>
          </w:tcPr>
          <w:p w:rsidR="003717A0" w:rsidRDefault="003717A0" w:rsidP="00566E4D">
            <w:pPr>
              <w:adjustRightInd w:val="0"/>
              <w:snapToGrid w:val="0"/>
              <w:spacing w:line="420" w:lineRule="atLeast"/>
              <w:rPr>
                <w:sz w:val="22"/>
              </w:rPr>
            </w:pPr>
            <w:r>
              <w:rPr>
                <w:rFonts w:hint="eastAsia"/>
                <w:sz w:val="22"/>
              </w:rPr>
              <w:t>课程简介</w:t>
            </w:r>
          </w:p>
        </w:tc>
      </w:tr>
      <w:tr w:rsidR="003717A0" w:rsidTr="00566E4D">
        <w:trPr>
          <w:trHeight w:val="140"/>
          <w:jc w:val="center"/>
        </w:trPr>
        <w:tc>
          <w:tcPr>
            <w:tcW w:w="9286" w:type="dxa"/>
            <w:gridSpan w:val="10"/>
          </w:tcPr>
          <w:p w:rsidR="003717A0" w:rsidRDefault="003717A0" w:rsidP="00566E4D">
            <w:pPr>
              <w:adjustRightInd w:val="0"/>
              <w:snapToGrid w:val="0"/>
              <w:spacing w:line="420" w:lineRule="atLeast"/>
              <w:ind w:firstLineChars="200" w:firstLine="440"/>
              <w:rPr>
                <w:sz w:val="22"/>
              </w:rPr>
            </w:pPr>
            <w:r>
              <w:rPr>
                <w:rFonts w:hint="eastAsia"/>
                <w:sz w:val="22"/>
              </w:rPr>
              <w:t>支具的应用及制作是康复治疗本科专业学生的专业选修课，尤其是其分支专业作业治疗学的专业选修课。支具是肌肉骨骼疾病康复治疗的一个重要手段。这门课包括两个部分：手支具的制作及应用和日常生活辅助具的选择及应用。手支具的应用主要要求学生掌握上肢骨折、神经损伤、肌腱损伤及烧伤的支具制作和应用。生活日常生活辅助具主要向学生介绍针对不同病种所需要的生活辅助具及使用方法。通过本课程的教学，要求学生掌握不同疾病所适用的支具及辅助具，佩戴时间及注意事项等。本课程教学的主要路径与方法：（</w:t>
            </w:r>
            <w:r>
              <w:rPr>
                <w:sz w:val="22"/>
              </w:rPr>
              <w:t>1</w:t>
            </w:r>
            <w:r>
              <w:rPr>
                <w:rFonts w:hint="eastAsia"/>
                <w:sz w:val="22"/>
              </w:rPr>
              <w:t>）通过理论课程讲解支具的历史及生物力学基础。（</w:t>
            </w:r>
            <w:r>
              <w:rPr>
                <w:sz w:val="22"/>
              </w:rPr>
              <w:t>2</w:t>
            </w:r>
            <w:r>
              <w:rPr>
                <w:rFonts w:hint="eastAsia"/>
                <w:sz w:val="22"/>
              </w:rPr>
              <w:t>）通过教学视频展示动、静态手部支具的制作过程。通过相关</w:t>
            </w:r>
            <w:r>
              <w:rPr>
                <w:sz w:val="22"/>
              </w:rPr>
              <w:t>PPT</w:t>
            </w:r>
            <w:r>
              <w:rPr>
                <w:rFonts w:hint="eastAsia"/>
                <w:sz w:val="22"/>
              </w:rPr>
              <w:t>讲解支具处方，包括佩戴时间、注意事项等。（</w:t>
            </w:r>
            <w:r>
              <w:rPr>
                <w:sz w:val="22"/>
              </w:rPr>
              <w:t>3</w:t>
            </w:r>
            <w:r>
              <w:rPr>
                <w:rFonts w:hint="eastAsia"/>
                <w:sz w:val="22"/>
              </w:rPr>
              <w:t>）通过图片展示日常生活辅助具，通过相关</w:t>
            </w:r>
            <w:r>
              <w:rPr>
                <w:sz w:val="22"/>
              </w:rPr>
              <w:t>PPT</w:t>
            </w:r>
            <w:r>
              <w:rPr>
                <w:rFonts w:hint="eastAsia"/>
                <w:sz w:val="22"/>
              </w:rPr>
              <w:t>讲解生活辅助具的选择及应用。</w:t>
            </w:r>
          </w:p>
        </w:tc>
      </w:tr>
    </w:tbl>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宋体"/>
          <w:kern w:val="0"/>
          <w:sz w:val="22"/>
        </w:rPr>
      </w:pPr>
      <w:r>
        <w:rPr>
          <w:rFonts w:ascii="Times New Roman" w:hAnsi="宋体" w:hint="eastAsia"/>
          <w:kern w:val="0"/>
          <w:sz w:val="22"/>
        </w:rPr>
        <w:t>适应对象：本科层次，康复治疗学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课程代码：</w:t>
      </w:r>
      <w:r>
        <w:rPr>
          <w:rFonts w:ascii="Times New Roman" w:hAnsi="宋体"/>
          <w:kern w:val="0"/>
          <w:sz w:val="22"/>
        </w:rPr>
        <w:t>170717</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学时分配：</w:t>
      </w:r>
      <w:r>
        <w:rPr>
          <w:rFonts w:ascii="Times New Roman" w:hAnsi="Times New Roman"/>
          <w:kern w:val="0"/>
          <w:sz w:val="22"/>
        </w:rPr>
        <w:t xml:space="preserve"> 18</w:t>
      </w:r>
      <w:r>
        <w:rPr>
          <w:rFonts w:ascii="Times New Roman" w:hAnsi="Times New Roman" w:hint="eastAsia"/>
          <w:kern w:val="0"/>
          <w:sz w:val="22"/>
        </w:rPr>
        <w:t>学时（理论</w:t>
      </w:r>
      <w:r>
        <w:rPr>
          <w:rFonts w:ascii="Times New Roman" w:hAnsi="Times New Roman"/>
          <w:kern w:val="0"/>
          <w:sz w:val="22"/>
        </w:rPr>
        <w:t>12</w:t>
      </w:r>
      <w:r>
        <w:rPr>
          <w:rFonts w:ascii="Times New Roman" w:hAnsi="Times New Roman" w:hint="eastAsia"/>
          <w:kern w:val="0"/>
          <w:sz w:val="22"/>
        </w:rPr>
        <w:t>，实践</w:t>
      </w:r>
      <w:r>
        <w:rPr>
          <w:rFonts w:ascii="Times New Roman" w:hAnsi="Times New Roman"/>
          <w:kern w:val="0"/>
          <w:sz w:val="22"/>
        </w:rPr>
        <w:t>6</w:t>
      </w:r>
      <w:r>
        <w:rPr>
          <w:rFonts w:ascii="Times New Roman" w:hAnsi="Times New Roman" w:hint="eastAsia"/>
          <w:kern w:val="0"/>
          <w:sz w:val="22"/>
        </w:rPr>
        <w:t>）</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赋予学分：</w:t>
      </w:r>
      <w:r>
        <w:rPr>
          <w:rFonts w:ascii="Times New Roman" w:hAnsi="Times New Roman"/>
          <w:kern w:val="0"/>
          <w:sz w:val="22"/>
        </w:rPr>
        <w:t xml:space="preserve"> 1</w:t>
      </w:r>
    </w:p>
    <w:p w:rsidR="003717A0" w:rsidRDefault="003717A0">
      <w:pPr>
        <w:autoSpaceDE w:val="0"/>
        <w:autoSpaceDN w:val="0"/>
        <w:adjustRightInd w:val="0"/>
        <w:spacing w:line="360" w:lineRule="exact"/>
        <w:ind w:firstLineChars="193" w:firstLine="405"/>
        <w:jc w:val="left"/>
        <w:rPr>
          <w:rFonts w:ascii="Times New Roman" w:hAnsi="宋体"/>
          <w:kern w:val="0"/>
          <w:sz w:val="22"/>
        </w:rPr>
      </w:pPr>
      <w:r>
        <w:rPr>
          <w:rFonts w:ascii="Times New Roman" w:hAnsi="Times New Roman" w:hint="eastAsia"/>
          <w:kern w:val="0"/>
          <w:szCs w:val="21"/>
        </w:rPr>
        <w:t>先修课程：骨骼肌肉的作业治疗</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宋体" w:hint="eastAsia"/>
          <w:kern w:val="0"/>
          <w:sz w:val="22"/>
        </w:rPr>
        <w:t>后续课程：临床康复学</w:t>
      </w:r>
      <w:r>
        <w:rPr>
          <w:rFonts w:ascii="Times New Roman" w:hAnsi="Times New Roman"/>
          <w:kern w:val="0"/>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napToGrid w:val="0"/>
        <w:spacing w:line="440" w:lineRule="exact"/>
        <w:ind w:firstLine="420"/>
        <w:jc w:val="left"/>
        <w:rPr>
          <w:sz w:val="22"/>
        </w:rPr>
      </w:pPr>
      <w:r>
        <w:rPr>
          <w:rFonts w:hint="eastAsia"/>
          <w:sz w:val="22"/>
        </w:rPr>
        <w:t>支具的制作及应用是康复治疗技术的重要组成部分，主要介绍各类支具及生活辅助具在康复治疗中的应用。支具的制作与应用属于康复工程的一部分，与普通的康复治疗技术不同，它要借助一些高科技的材料，治疗师经过对患者的测量，功能的评估和实际需要量身定做适合该患者的支具。通过本课程的学习，要求学生能够了解支具的发展历史、生物力学基础，应用的领域等；掌握几种基本和常用支具的制作、佩戴处方、注意事项等。很好的发挥支具在康复中的重要作用。本课程还要求学生能够根据实际情况给患者推荐合适的生活辅助具。</w:t>
      </w:r>
    </w:p>
    <w:p w:rsidR="003717A0" w:rsidRDefault="003717A0">
      <w:pPr>
        <w:autoSpaceDE w:val="0"/>
        <w:autoSpaceDN w:val="0"/>
        <w:adjustRightInd w:val="0"/>
        <w:snapToGrid w:val="0"/>
        <w:spacing w:line="440" w:lineRule="exact"/>
        <w:jc w:val="left"/>
        <w:rPr>
          <w:sz w:val="22"/>
        </w:rPr>
      </w:pP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numPr>
          <w:ilvl w:val="0"/>
          <w:numId w:val="539"/>
        </w:numPr>
        <w:autoSpaceDE w:val="0"/>
        <w:autoSpaceDN w:val="0"/>
        <w:adjustRightInd w:val="0"/>
        <w:snapToGrid w:val="0"/>
        <w:spacing w:line="440" w:lineRule="exact"/>
        <w:jc w:val="left"/>
        <w:rPr>
          <w:sz w:val="22"/>
        </w:rPr>
      </w:pPr>
      <w:r>
        <w:rPr>
          <w:rFonts w:hint="eastAsia"/>
          <w:sz w:val="22"/>
        </w:rPr>
        <w:t>掌握和了解支具在康复治疗学中涉及的范围，理解其临床应用的意义。</w:t>
      </w:r>
    </w:p>
    <w:p w:rsidR="003717A0" w:rsidRDefault="003717A0">
      <w:pPr>
        <w:numPr>
          <w:ilvl w:val="0"/>
          <w:numId w:val="539"/>
        </w:numPr>
        <w:autoSpaceDE w:val="0"/>
        <w:autoSpaceDN w:val="0"/>
        <w:adjustRightInd w:val="0"/>
        <w:snapToGrid w:val="0"/>
        <w:spacing w:line="440" w:lineRule="exact"/>
        <w:jc w:val="left"/>
        <w:rPr>
          <w:sz w:val="22"/>
        </w:rPr>
      </w:pPr>
      <w:r>
        <w:rPr>
          <w:rFonts w:hint="eastAsia"/>
          <w:sz w:val="22"/>
        </w:rPr>
        <w:t>了解支具的历史、种类、结构特点、生物力学特性及适应症。</w:t>
      </w:r>
    </w:p>
    <w:p w:rsidR="003717A0" w:rsidRDefault="003717A0">
      <w:pPr>
        <w:numPr>
          <w:ilvl w:val="0"/>
          <w:numId w:val="539"/>
        </w:numPr>
        <w:autoSpaceDE w:val="0"/>
        <w:autoSpaceDN w:val="0"/>
        <w:adjustRightInd w:val="0"/>
        <w:snapToGrid w:val="0"/>
        <w:spacing w:line="440" w:lineRule="exact"/>
        <w:jc w:val="left"/>
        <w:rPr>
          <w:sz w:val="22"/>
        </w:rPr>
      </w:pPr>
      <w:r>
        <w:rPr>
          <w:rFonts w:hint="eastAsia"/>
          <w:sz w:val="22"/>
        </w:rPr>
        <w:t>能根据病情，初步开具支具制作及佩戴处方，并进行支具适配性检查与评估。</w:t>
      </w:r>
    </w:p>
    <w:p w:rsidR="003717A0" w:rsidRDefault="003717A0">
      <w:pPr>
        <w:numPr>
          <w:ilvl w:val="0"/>
          <w:numId w:val="539"/>
        </w:numPr>
        <w:autoSpaceDE w:val="0"/>
        <w:autoSpaceDN w:val="0"/>
        <w:adjustRightInd w:val="0"/>
        <w:snapToGrid w:val="0"/>
        <w:spacing w:line="440" w:lineRule="exact"/>
        <w:jc w:val="left"/>
        <w:rPr>
          <w:sz w:val="22"/>
        </w:rPr>
      </w:pPr>
      <w:r>
        <w:rPr>
          <w:rFonts w:hint="eastAsia"/>
          <w:sz w:val="22"/>
        </w:rPr>
        <w:t>对国内外支具及辅助具的最新动态及发展有所了解。</w:t>
      </w:r>
    </w:p>
    <w:p w:rsidR="003717A0" w:rsidRDefault="003717A0">
      <w:pPr>
        <w:autoSpaceDE w:val="0"/>
        <w:autoSpaceDN w:val="0"/>
        <w:adjustRightInd w:val="0"/>
        <w:snapToGrid w:val="0"/>
        <w:spacing w:line="440" w:lineRule="exact"/>
        <w:ind w:firstLineChars="49" w:firstLine="118"/>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pPr>
        <w:autoSpaceDE w:val="0"/>
        <w:autoSpaceDN w:val="0"/>
        <w:adjustRightInd w:val="0"/>
        <w:snapToGrid w:val="0"/>
        <w:spacing w:line="440" w:lineRule="exact"/>
        <w:jc w:val="center"/>
        <w:rPr>
          <w:rFonts w:ascii="Times New Roman" w:eastAsia="黑体" w:hAnsi="Times New Roman"/>
          <w:kern w:val="0"/>
          <w:sz w:val="24"/>
          <w:szCs w:val="24"/>
        </w:rPr>
      </w:pPr>
      <w:r>
        <w:rPr>
          <w:rFonts w:ascii="Times New Roman" w:eastAsia="黑体" w:hAnsi="Times New Roman" w:hint="eastAsia"/>
          <w:kern w:val="0"/>
          <w:sz w:val="24"/>
          <w:szCs w:val="24"/>
        </w:rPr>
        <w:t>第一节</w:t>
      </w:r>
      <w:r>
        <w:rPr>
          <w:rFonts w:ascii="Times New Roman" w:eastAsia="黑体" w:hAnsi="Times New Roman"/>
          <w:kern w:val="0"/>
          <w:sz w:val="24"/>
          <w:szCs w:val="24"/>
        </w:rPr>
        <w:t xml:space="preserve"> </w:t>
      </w:r>
      <w:r>
        <w:rPr>
          <w:rFonts w:ascii="Times New Roman" w:eastAsia="黑体" w:hAnsi="Times New Roman" w:hint="eastAsia"/>
          <w:kern w:val="0"/>
          <w:sz w:val="24"/>
          <w:szCs w:val="24"/>
        </w:rPr>
        <w:t>概述</w:t>
      </w:r>
    </w:p>
    <w:p w:rsidR="003717A0" w:rsidRDefault="003717A0">
      <w:pPr>
        <w:autoSpaceDE w:val="0"/>
        <w:autoSpaceDN w:val="0"/>
        <w:adjustRightInd w:val="0"/>
        <w:snapToGrid w:val="0"/>
        <w:spacing w:line="440" w:lineRule="exact"/>
        <w:jc w:val="left"/>
        <w:rPr>
          <w:rFonts w:ascii="Times New Roman" w:eastAsia="黑体" w:hAnsi="Times New Roman"/>
          <w:kern w:val="0"/>
          <w:sz w:val="24"/>
          <w:szCs w:val="24"/>
        </w:rPr>
      </w:pPr>
      <w:r>
        <w:rPr>
          <w:rFonts w:ascii="Times New Roman" w:eastAsia="黑体" w:hAnsi="Times New Roman" w:hint="eastAsia"/>
          <w:kern w:val="0"/>
          <w:sz w:val="24"/>
          <w:szCs w:val="24"/>
        </w:rPr>
        <w:t>教学内容（</w:t>
      </w:r>
      <w:r>
        <w:rPr>
          <w:rFonts w:ascii="Times New Roman" w:eastAsia="黑体" w:hAnsi="Times New Roman"/>
          <w:kern w:val="0"/>
          <w:sz w:val="24"/>
          <w:szCs w:val="24"/>
        </w:rPr>
        <w:t>3</w:t>
      </w:r>
      <w:r>
        <w:rPr>
          <w:rFonts w:ascii="Times New Roman" w:eastAsia="黑体" w:hAnsi="Times New Roman" w:hint="eastAsia"/>
          <w:kern w:val="0"/>
          <w:sz w:val="24"/>
          <w:szCs w:val="24"/>
        </w:rPr>
        <w:t>学时）</w:t>
      </w:r>
    </w:p>
    <w:p w:rsidR="003717A0" w:rsidRDefault="003717A0">
      <w:pPr>
        <w:numPr>
          <w:ilvl w:val="0"/>
          <w:numId w:val="540"/>
        </w:numPr>
        <w:autoSpaceDE w:val="0"/>
        <w:autoSpaceDN w:val="0"/>
        <w:adjustRightInd w:val="0"/>
        <w:snapToGrid w:val="0"/>
        <w:spacing w:line="440" w:lineRule="exact"/>
        <w:jc w:val="left"/>
        <w:rPr>
          <w:sz w:val="22"/>
        </w:rPr>
      </w:pPr>
      <w:r>
        <w:rPr>
          <w:rFonts w:hint="eastAsia"/>
          <w:sz w:val="22"/>
        </w:rPr>
        <w:t>支具的历史</w:t>
      </w:r>
    </w:p>
    <w:p w:rsidR="003717A0" w:rsidRDefault="003717A0">
      <w:pPr>
        <w:numPr>
          <w:ilvl w:val="0"/>
          <w:numId w:val="540"/>
        </w:numPr>
        <w:autoSpaceDE w:val="0"/>
        <w:autoSpaceDN w:val="0"/>
        <w:adjustRightInd w:val="0"/>
        <w:snapToGrid w:val="0"/>
        <w:spacing w:line="440" w:lineRule="exact"/>
        <w:jc w:val="left"/>
        <w:rPr>
          <w:sz w:val="22"/>
        </w:rPr>
      </w:pPr>
      <w:r>
        <w:rPr>
          <w:rFonts w:hint="eastAsia"/>
          <w:sz w:val="22"/>
        </w:rPr>
        <w:t>支具的分类</w:t>
      </w:r>
    </w:p>
    <w:p w:rsidR="003717A0" w:rsidRDefault="003717A0">
      <w:pPr>
        <w:numPr>
          <w:ilvl w:val="0"/>
          <w:numId w:val="540"/>
        </w:numPr>
        <w:autoSpaceDE w:val="0"/>
        <w:autoSpaceDN w:val="0"/>
        <w:adjustRightInd w:val="0"/>
        <w:snapToGrid w:val="0"/>
        <w:spacing w:line="440" w:lineRule="exact"/>
        <w:jc w:val="left"/>
        <w:rPr>
          <w:sz w:val="22"/>
        </w:rPr>
      </w:pPr>
      <w:r>
        <w:rPr>
          <w:rFonts w:hint="eastAsia"/>
          <w:sz w:val="22"/>
        </w:rPr>
        <w:t>支具制作的材料、部件、工具、设备等基础知识</w:t>
      </w:r>
    </w:p>
    <w:p w:rsidR="003717A0" w:rsidRDefault="003717A0">
      <w:pPr>
        <w:numPr>
          <w:ilvl w:val="0"/>
          <w:numId w:val="540"/>
        </w:numPr>
        <w:autoSpaceDE w:val="0"/>
        <w:autoSpaceDN w:val="0"/>
        <w:adjustRightInd w:val="0"/>
        <w:snapToGrid w:val="0"/>
        <w:spacing w:line="440" w:lineRule="exact"/>
        <w:jc w:val="left"/>
        <w:rPr>
          <w:sz w:val="22"/>
        </w:rPr>
      </w:pPr>
      <w:r>
        <w:rPr>
          <w:rFonts w:hint="eastAsia"/>
          <w:sz w:val="22"/>
        </w:rPr>
        <w:t>治疗师在支具制作及应用中的主要任务。</w:t>
      </w:r>
    </w:p>
    <w:p w:rsidR="003717A0" w:rsidRDefault="003717A0">
      <w:pPr>
        <w:numPr>
          <w:ilvl w:val="0"/>
          <w:numId w:val="540"/>
        </w:numPr>
        <w:autoSpaceDE w:val="0"/>
        <w:autoSpaceDN w:val="0"/>
        <w:adjustRightInd w:val="0"/>
        <w:snapToGrid w:val="0"/>
        <w:spacing w:line="440" w:lineRule="exact"/>
        <w:jc w:val="left"/>
        <w:rPr>
          <w:sz w:val="22"/>
        </w:rPr>
      </w:pPr>
      <w:r>
        <w:rPr>
          <w:rFonts w:hint="eastAsia"/>
          <w:sz w:val="22"/>
        </w:rPr>
        <w:t>生活辅助具在临床治疗中的应用。</w:t>
      </w:r>
    </w:p>
    <w:p w:rsidR="003717A0" w:rsidRDefault="003717A0">
      <w:pPr>
        <w:autoSpaceDE w:val="0"/>
        <w:autoSpaceDN w:val="0"/>
        <w:adjustRightInd w:val="0"/>
        <w:snapToGrid w:val="0"/>
        <w:spacing w:line="440" w:lineRule="exact"/>
        <w:jc w:val="left"/>
        <w:rPr>
          <w:rFonts w:ascii="黑体" w:eastAsia="黑体" w:hAnsi="黑体"/>
          <w:sz w:val="22"/>
        </w:rPr>
      </w:pPr>
      <w:r>
        <w:rPr>
          <w:rFonts w:ascii="黑体" w:eastAsia="黑体" w:hAnsi="黑体" w:hint="eastAsia"/>
          <w:sz w:val="22"/>
        </w:rPr>
        <w:t>目的要求：</w:t>
      </w:r>
    </w:p>
    <w:p w:rsidR="003717A0" w:rsidRDefault="003717A0">
      <w:pPr>
        <w:numPr>
          <w:ilvl w:val="0"/>
          <w:numId w:val="541"/>
        </w:numPr>
        <w:autoSpaceDE w:val="0"/>
        <w:autoSpaceDN w:val="0"/>
        <w:adjustRightInd w:val="0"/>
        <w:snapToGrid w:val="0"/>
        <w:spacing w:line="440" w:lineRule="exact"/>
        <w:jc w:val="left"/>
        <w:rPr>
          <w:rFonts w:ascii="宋体"/>
          <w:sz w:val="22"/>
        </w:rPr>
      </w:pPr>
      <w:r>
        <w:rPr>
          <w:rFonts w:ascii="宋体" w:hAnsi="宋体" w:hint="eastAsia"/>
          <w:sz w:val="22"/>
        </w:rPr>
        <w:t>了解本课程的学习内容和学习目的</w:t>
      </w:r>
    </w:p>
    <w:p w:rsidR="003717A0" w:rsidRDefault="003717A0">
      <w:pPr>
        <w:numPr>
          <w:ilvl w:val="0"/>
          <w:numId w:val="541"/>
        </w:numPr>
        <w:autoSpaceDE w:val="0"/>
        <w:autoSpaceDN w:val="0"/>
        <w:adjustRightInd w:val="0"/>
        <w:snapToGrid w:val="0"/>
        <w:spacing w:line="440" w:lineRule="exact"/>
        <w:jc w:val="left"/>
        <w:rPr>
          <w:rFonts w:ascii="宋体"/>
          <w:sz w:val="22"/>
        </w:rPr>
      </w:pPr>
      <w:r>
        <w:rPr>
          <w:rFonts w:ascii="宋体" w:hAnsi="宋体" w:hint="eastAsia"/>
          <w:sz w:val="22"/>
        </w:rPr>
        <w:t>了解支具的发展历史和分类</w:t>
      </w:r>
    </w:p>
    <w:p w:rsidR="003717A0" w:rsidRDefault="003717A0">
      <w:pPr>
        <w:numPr>
          <w:ilvl w:val="0"/>
          <w:numId w:val="541"/>
        </w:numPr>
        <w:autoSpaceDE w:val="0"/>
        <w:autoSpaceDN w:val="0"/>
        <w:adjustRightInd w:val="0"/>
        <w:snapToGrid w:val="0"/>
        <w:spacing w:line="440" w:lineRule="exact"/>
        <w:jc w:val="left"/>
        <w:rPr>
          <w:rFonts w:ascii="宋体"/>
          <w:sz w:val="22"/>
        </w:rPr>
      </w:pPr>
      <w:r>
        <w:rPr>
          <w:rFonts w:ascii="宋体" w:hAnsi="宋体" w:hint="eastAsia"/>
          <w:sz w:val="22"/>
        </w:rPr>
        <w:t>掌握不同支具材料和特性</w:t>
      </w:r>
    </w:p>
    <w:p w:rsidR="003717A0" w:rsidRDefault="003717A0">
      <w:pPr>
        <w:numPr>
          <w:ilvl w:val="0"/>
          <w:numId w:val="541"/>
        </w:numPr>
        <w:autoSpaceDE w:val="0"/>
        <w:autoSpaceDN w:val="0"/>
        <w:adjustRightInd w:val="0"/>
        <w:snapToGrid w:val="0"/>
        <w:spacing w:line="440" w:lineRule="exact"/>
        <w:jc w:val="left"/>
        <w:rPr>
          <w:rFonts w:ascii="宋体"/>
          <w:sz w:val="22"/>
        </w:rPr>
      </w:pPr>
      <w:r>
        <w:rPr>
          <w:rFonts w:ascii="宋体" w:hAnsi="宋体" w:hint="eastAsia"/>
          <w:sz w:val="22"/>
        </w:rPr>
        <w:lastRenderedPageBreak/>
        <w:t>了解治疗师在支具制作及应用中的主要任务</w:t>
      </w:r>
    </w:p>
    <w:p w:rsidR="003717A0" w:rsidRDefault="003717A0">
      <w:pPr>
        <w:numPr>
          <w:ilvl w:val="0"/>
          <w:numId w:val="541"/>
        </w:numPr>
        <w:autoSpaceDE w:val="0"/>
        <w:autoSpaceDN w:val="0"/>
        <w:adjustRightInd w:val="0"/>
        <w:snapToGrid w:val="0"/>
        <w:spacing w:line="440" w:lineRule="exact"/>
        <w:jc w:val="left"/>
        <w:rPr>
          <w:rFonts w:ascii="宋体"/>
          <w:sz w:val="22"/>
        </w:rPr>
      </w:pPr>
      <w:r>
        <w:rPr>
          <w:rFonts w:ascii="宋体" w:hAnsi="宋体" w:hint="eastAsia"/>
          <w:sz w:val="22"/>
        </w:rPr>
        <w:t>熟悉常用的生活辅助具，并能根据不同需求开具辅助具处方。</w:t>
      </w:r>
    </w:p>
    <w:p w:rsidR="003717A0" w:rsidRDefault="003717A0">
      <w:pPr>
        <w:autoSpaceDE w:val="0"/>
        <w:autoSpaceDN w:val="0"/>
        <w:adjustRightInd w:val="0"/>
        <w:snapToGrid w:val="0"/>
        <w:spacing w:line="440" w:lineRule="exact"/>
        <w:jc w:val="center"/>
        <w:rPr>
          <w:rFonts w:ascii="宋体"/>
          <w:b/>
          <w:sz w:val="22"/>
        </w:rPr>
      </w:pPr>
      <w:r>
        <w:rPr>
          <w:rFonts w:ascii="宋体" w:hAnsi="宋体" w:hint="eastAsia"/>
          <w:b/>
          <w:sz w:val="22"/>
        </w:rPr>
        <w:t>第二节</w:t>
      </w:r>
      <w:r>
        <w:rPr>
          <w:rFonts w:ascii="宋体" w:hAnsi="宋体"/>
          <w:b/>
          <w:sz w:val="22"/>
        </w:rPr>
        <w:t xml:space="preserve"> </w:t>
      </w:r>
      <w:r>
        <w:rPr>
          <w:rFonts w:ascii="宋体" w:hAnsi="宋体" w:hint="eastAsia"/>
          <w:b/>
          <w:sz w:val="22"/>
        </w:rPr>
        <w:t>支具的生物力学特性</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t>教学内容（</w:t>
      </w:r>
      <w:r>
        <w:rPr>
          <w:rFonts w:ascii="宋体" w:hAnsi="宋体"/>
          <w:b/>
          <w:sz w:val="22"/>
        </w:rPr>
        <w:t>3</w:t>
      </w:r>
      <w:r>
        <w:rPr>
          <w:rFonts w:ascii="宋体" w:hAnsi="宋体" w:hint="eastAsia"/>
          <w:b/>
          <w:sz w:val="22"/>
        </w:rPr>
        <w:t>学时）</w:t>
      </w:r>
    </w:p>
    <w:p w:rsidR="003717A0" w:rsidRDefault="003717A0">
      <w:pPr>
        <w:numPr>
          <w:ilvl w:val="0"/>
          <w:numId w:val="542"/>
        </w:numPr>
        <w:autoSpaceDE w:val="0"/>
        <w:autoSpaceDN w:val="0"/>
        <w:adjustRightInd w:val="0"/>
        <w:snapToGrid w:val="0"/>
        <w:spacing w:line="440" w:lineRule="exact"/>
        <w:rPr>
          <w:rFonts w:ascii="宋体"/>
          <w:sz w:val="22"/>
        </w:rPr>
      </w:pPr>
      <w:r>
        <w:rPr>
          <w:rFonts w:ascii="宋体" w:hAnsi="宋体" w:hint="eastAsia"/>
          <w:sz w:val="22"/>
        </w:rPr>
        <w:t>支具的定义及构成</w:t>
      </w:r>
    </w:p>
    <w:p w:rsidR="003717A0" w:rsidRDefault="003717A0">
      <w:pPr>
        <w:numPr>
          <w:ilvl w:val="0"/>
          <w:numId w:val="542"/>
        </w:numPr>
        <w:autoSpaceDE w:val="0"/>
        <w:autoSpaceDN w:val="0"/>
        <w:adjustRightInd w:val="0"/>
        <w:snapToGrid w:val="0"/>
        <w:spacing w:line="440" w:lineRule="exact"/>
        <w:rPr>
          <w:rFonts w:ascii="宋体"/>
          <w:sz w:val="22"/>
        </w:rPr>
      </w:pPr>
      <w:r>
        <w:rPr>
          <w:rFonts w:ascii="宋体" w:hAnsi="宋体" w:hint="eastAsia"/>
          <w:sz w:val="22"/>
        </w:rPr>
        <w:t>支具的功能</w:t>
      </w:r>
    </w:p>
    <w:p w:rsidR="003717A0" w:rsidRDefault="003717A0">
      <w:pPr>
        <w:numPr>
          <w:ilvl w:val="0"/>
          <w:numId w:val="542"/>
        </w:numPr>
        <w:autoSpaceDE w:val="0"/>
        <w:autoSpaceDN w:val="0"/>
        <w:adjustRightInd w:val="0"/>
        <w:snapToGrid w:val="0"/>
        <w:spacing w:line="440" w:lineRule="exact"/>
        <w:rPr>
          <w:rFonts w:ascii="宋体"/>
          <w:sz w:val="22"/>
        </w:rPr>
      </w:pPr>
      <w:r>
        <w:rPr>
          <w:rFonts w:ascii="宋体" w:hAnsi="宋体" w:hint="eastAsia"/>
          <w:sz w:val="22"/>
        </w:rPr>
        <w:t>支具的力学原则</w:t>
      </w:r>
    </w:p>
    <w:p w:rsidR="003717A0" w:rsidRDefault="003717A0">
      <w:pPr>
        <w:numPr>
          <w:ilvl w:val="0"/>
          <w:numId w:val="542"/>
        </w:numPr>
        <w:autoSpaceDE w:val="0"/>
        <w:autoSpaceDN w:val="0"/>
        <w:adjustRightInd w:val="0"/>
        <w:snapToGrid w:val="0"/>
        <w:spacing w:line="440" w:lineRule="exact"/>
        <w:rPr>
          <w:rFonts w:ascii="宋体"/>
          <w:sz w:val="22"/>
        </w:rPr>
      </w:pPr>
      <w:r>
        <w:rPr>
          <w:rFonts w:ascii="宋体" w:hAnsi="宋体" w:hint="eastAsia"/>
          <w:sz w:val="22"/>
        </w:rPr>
        <w:t>静态支具介绍及力学效应</w:t>
      </w:r>
    </w:p>
    <w:p w:rsidR="003717A0" w:rsidRDefault="003717A0">
      <w:pPr>
        <w:numPr>
          <w:ilvl w:val="0"/>
          <w:numId w:val="542"/>
        </w:numPr>
        <w:autoSpaceDE w:val="0"/>
        <w:autoSpaceDN w:val="0"/>
        <w:adjustRightInd w:val="0"/>
        <w:snapToGrid w:val="0"/>
        <w:spacing w:line="440" w:lineRule="exact"/>
        <w:rPr>
          <w:rFonts w:ascii="宋体"/>
          <w:sz w:val="22"/>
        </w:rPr>
      </w:pPr>
      <w:r>
        <w:rPr>
          <w:rFonts w:ascii="宋体" w:hAnsi="宋体" w:hint="eastAsia"/>
          <w:sz w:val="22"/>
        </w:rPr>
        <w:t>动态支具介绍及力学效应</w:t>
      </w:r>
    </w:p>
    <w:p w:rsidR="003717A0" w:rsidRDefault="003717A0">
      <w:pPr>
        <w:numPr>
          <w:ilvl w:val="0"/>
          <w:numId w:val="542"/>
        </w:numPr>
        <w:autoSpaceDE w:val="0"/>
        <w:autoSpaceDN w:val="0"/>
        <w:adjustRightInd w:val="0"/>
        <w:snapToGrid w:val="0"/>
        <w:spacing w:line="440" w:lineRule="exact"/>
        <w:rPr>
          <w:rFonts w:ascii="宋体"/>
          <w:sz w:val="22"/>
        </w:rPr>
      </w:pPr>
      <w:r>
        <w:rPr>
          <w:rFonts w:ascii="宋体" w:hAnsi="宋体" w:hint="eastAsia"/>
          <w:sz w:val="22"/>
        </w:rPr>
        <w:t>支具装配说明</w:t>
      </w:r>
    </w:p>
    <w:p w:rsidR="003717A0" w:rsidRDefault="003717A0">
      <w:pPr>
        <w:autoSpaceDE w:val="0"/>
        <w:autoSpaceDN w:val="0"/>
        <w:adjustRightInd w:val="0"/>
        <w:snapToGrid w:val="0"/>
        <w:spacing w:line="440" w:lineRule="exact"/>
        <w:rPr>
          <w:rFonts w:ascii="黑体" w:eastAsia="黑体" w:hAnsi="黑体"/>
          <w:sz w:val="22"/>
        </w:rPr>
      </w:pPr>
      <w:r>
        <w:rPr>
          <w:rFonts w:ascii="黑体" w:eastAsia="黑体" w:hAnsi="黑体" w:hint="eastAsia"/>
          <w:sz w:val="22"/>
        </w:rPr>
        <w:t>目的要求：</w:t>
      </w:r>
    </w:p>
    <w:p w:rsidR="003717A0" w:rsidRDefault="003717A0">
      <w:pPr>
        <w:numPr>
          <w:ilvl w:val="0"/>
          <w:numId w:val="543"/>
        </w:numPr>
        <w:autoSpaceDE w:val="0"/>
        <w:autoSpaceDN w:val="0"/>
        <w:adjustRightInd w:val="0"/>
        <w:snapToGrid w:val="0"/>
        <w:spacing w:line="440" w:lineRule="exact"/>
        <w:rPr>
          <w:rFonts w:ascii="宋体"/>
          <w:sz w:val="22"/>
        </w:rPr>
      </w:pPr>
      <w:r>
        <w:rPr>
          <w:rFonts w:ascii="宋体" w:hAnsi="宋体" w:hint="eastAsia"/>
          <w:sz w:val="22"/>
        </w:rPr>
        <w:t>了解支具的一般构成及功能。</w:t>
      </w:r>
    </w:p>
    <w:p w:rsidR="003717A0" w:rsidRDefault="003717A0">
      <w:pPr>
        <w:numPr>
          <w:ilvl w:val="0"/>
          <w:numId w:val="543"/>
        </w:numPr>
        <w:autoSpaceDE w:val="0"/>
        <w:autoSpaceDN w:val="0"/>
        <w:adjustRightInd w:val="0"/>
        <w:snapToGrid w:val="0"/>
        <w:spacing w:line="440" w:lineRule="exact"/>
        <w:rPr>
          <w:rFonts w:ascii="宋体"/>
          <w:sz w:val="22"/>
        </w:rPr>
      </w:pPr>
      <w:r>
        <w:rPr>
          <w:rFonts w:ascii="宋体" w:hAnsi="宋体" w:hint="eastAsia"/>
          <w:sz w:val="22"/>
        </w:rPr>
        <w:t>掌握并能灵活运用支具的力学原理</w:t>
      </w:r>
    </w:p>
    <w:p w:rsidR="003717A0" w:rsidRDefault="003717A0">
      <w:pPr>
        <w:numPr>
          <w:ilvl w:val="0"/>
          <w:numId w:val="543"/>
        </w:numPr>
        <w:autoSpaceDE w:val="0"/>
        <w:autoSpaceDN w:val="0"/>
        <w:adjustRightInd w:val="0"/>
        <w:snapToGrid w:val="0"/>
        <w:spacing w:line="440" w:lineRule="exact"/>
        <w:rPr>
          <w:rFonts w:ascii="宋体"/>
          <w:sz w:val="22"/>
        </w:rPr>
      </w:pPr>
      <w:r>
        <w:rPr>
          <w:rFonts w:ascii="宋体" w:hAnsi="宋体" w:hint="eastAsia"/>
          <w:sz w:val="22"/>
        </w:rPr>
        <w:t>掌握</w:t>
      </w:r>
      <w:r>
        <w:rPr>
          <w:rFonts w:ascii="宋体" w:hAnsi="宋体"/>
          <w:sz w:val="22"/>
        </w:rPr>
        <w:t>2</w:t>
      </w:r>
      <w:r>
        <w:rPr>
          <w:rFonts w:ascii="宋体" w:hAnsi="宋体" w:hint="eastAsia"/>
          <w:sz w:val="22"/>
        </w:rPr>
        <w:t>至</w:t>
      </w:r>
      <w:r>
        <w:rPr>
          <w:rFonts w:ascii="宋体" w:hAnsi="宋体"/>
          <w:sz w:val="22"/>
        </w:rPr>
        <w:t>3</w:t>
      </w:r>
      <w:r>
        <w:rPr>
          <w:rFonts w:ascii="宋体" w:hAnsi="宋体" w:hint="eastAsia"/>
          <w:sz w:val="22"/>
        </w:rPr>
        <w:t>种最基本的动静态支具，了解其力学效应。</w:t>
      </w:r>
    </w:p>
    <w:p w:rsidR="003717A0" w:rsidRDefault="003717A0">
      <w:pPr>
        <w:autoSpaceDE w:val="0"/>
        <w:autoSpaceDN w:val="0"/>
        <w:adjustRightInd w:val="0"/>
        <w:snapToGrid w:val="0"/>
        <w:spacing w:line="440" w:lineRule="exact"/>
        <w:jc w:val="center"/>
        <w:rPr>
          <w:rFonts w:ascii="宋体"/>
          <w:b/>
          <w:sz w:val="22"/>
        </w:rPr>
      </w:pPr>
      <w:r>
        <w:rPr>
          <w:rFonts w:ascii="宋体" w:hAnsi="宋体" w:hint="eastAsia"/>
          <w:b/>
          <w:sz w:val="22"/>
        </w:rPr>
        <w:t>第三节</w:t>
      </w:r>
      <w:r>
        <w:rPr>
          <w:rFonts w:ascii="宋体" w:hAnsi="宋体"/>
          <w:b/>
          <w:sz w:val="22"/>
        </w:rPr>
        <w:t xml:space="preserve"> </w:t>
      </w:r>
      <w:r>
        <w:rPr>
          <w:rFonts w:ascii="宋体" w:hAnsi="宋体" w:hint="eastAsia"/>
          <w:b/>
          <w:sz w:val="22"/>
        </w:rPr>
        <w:t>几种基本静态支具的制作及应用</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t>教学内容（</w:t>
      </w:r>
      <w:r>
        <w:rPr>
          <w:rFonts w:ascii="宋体" w:hAnsi="宋体"/>
          <w:b/>
          <w:sz w:val="22"/>
        </w:rPr>
        <w:t>3</w:t>
      </w:r>
      <w:r>
        <w:rPr>
          <w:rFonts w:ascii="宋体" w:hAnsi="宋体" w:hint="eastAsia"/>
          <w:b/>
          <w:sz w:val="22"/>
        </w:rPr>
        <w:t>学时）</w:t>
      </w:r>
    </w:p>
    <w:p w:rsidR="003717A0" w:rsidRDefault="003717A0">
      <w:pPr>
        <w:numPr>
          <w:ilvl w:val="0"/>
          <w:numId w:val="544"/>
        </w:numPr>
        <w:autoSpaceDE w:val="0"/>
        <w:autoSpaceDN w:val="0"/>
        <w:adjustRightInd w:val="0"/>
        <w:snapToGrid w:val="0"/>
        <w:spacing w:line="440" w:lineRule="exact"/>
        <w:rPr>
          <w:rFonts w:ascii="宋体"/>
          <w:sz w:val="22"/>
        </w:rPr>
      </w:pPr>
      <w:r>
        <w:rPr>
          <w:rFonts w:ascii="宋体" w:hAnsi="宋体" w:hint="eastAsia"/>
          <w:sz w:val="22"/>
        </w:rPr>
        <w:t>上肢骨折使用的静态支具介绍、制作方法及佩戴处方</w:t>
      </w:r>
    </w:p>
    <w:p w:rsidR="003717A0" w:rsidRDefault="003717A0">
      <w:pPr>
        <w:numPr>
          <w:ilvl w:val="0"/>
          <w:numId w:val="544"/>
        </w:numPr>
        <w:autoSpaceDE w:val="0"/>
        <w:autoSpaceDN w:val="0"/>
        <w:adjustRightInd w:val="0"/>
        <w:snapToGrid w:val="0"/>
        <w:spacing w:line="440" w:lineRule="exact"/>
        <w:rPr>
          <w:rFonts w:ascii="宋体"/>
          <w:sz w:val="22"/>
        </w:rPr>
      </w:pPr>
      <w:r>
        <w:rPr>
          <w:rFonts w:ascii="宋体" w:hAnsi="宋体" w:hint="eastAsia"/>
          <w:sz w:val="22"/>
        </w:rPr>
        <w:t>中枢神经系统疾病抗痉挛静态支具的介绍、制作方法及佩戴处方</w:t>
      </w:r>
    </w:p>
    <w:p w:rsidR="003717A0" w:rsidRDefault="003717A0">
      <w:pPr>
        <w:numPr>
          <w:ilvl w:val="0"/>
          <w:numId w:val="544"/>
        </w:numPr>
        <w:autoSpaceDE w:val="0"/>
        <w:autoSpaceDN w:val="0"/>
        <w:adjustRightInd w:val="0"/>
        <w:snapToGrid w:val="0"/>
        <w:spacing w:line="440" w:lineRule="exact"/>
        <w:rPr>
          <w:rFonts w:ascii="宋体"/>
          <w:sz w:val="22"/>
        </w:rPr>
      </w:pPr>
      <w:r>
        <w:rPr>
          <w:rFonts w:ascii="宋体" w:hAnsi="宋体" w:hint="eastAsia"/>
          <w:sz w:val="22"/>
        </w:rPr>
        <w:t>烧伤早期抗挛缩静态支具的应用</w:t>
      </w:r>
    </w:p>
    <w:p w:rsidR="003717A0" w:rsidRDefault="003717A0">
      <w:pPr>
        <w:numPr>
          <w:ilvl w:val="0"/>
          <w:numId w:val="544"/>
        </w:numPr>
        <w:autoSpaceDE w:val="0"/>
        <w:autoSpaceDN w:val="0"/>
        <w:adjustRightInd w:val="0"/>
        <w:snapToGrid w:val="0"/>
        <w:spacing w:line="440" w:lineRule="exact"/>
        <w:rPr>
          <w:rFonts w:ascii="宋体"/>
          <w:sz w:val="22"/>
        </w:rPr>
      </w:pPr>
      <w:r>
        <w:rPr>
          <w:rFonts w:ascii="宋体" w:hAnsi="宋体" w:hint="eastAsia"/>
          <w:sz w:val="22"/>
        </w:rPr>
        <w:t>类风湿性关节炎静态支具的应用</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t>实习内容（</w:t>
      </w:r>
      <w:r>
        <w:rPr>
          <w:rFonts w:ascii="宋体" w:hAnsi="宋体"/>
          <w:b/>
          <w:sz w:val="22"/>
        </w:rPr>
        <w:t>3</w:t>
      </w:r>
      <w:r>
        <w:rPr>
          <w:rFonts w:ascii="宋体" w:hAnsi="宋体" w:hint="eastAsia"/>
          <w:b/>
          <w:sz w:val="22"/>
        </w:rPr>
        <w:t>学时）</w:t>
      </w:r>
    </w:p>
    <w:p w:rsidR="003717A0" w:rsidRDefault="003717A0">
      <w:pPr>
        <w:autoSpaceDE w:val="0"/>
        <w:autoSpaceDN w:val="0"/>
        <w:adjustRightInd w:val="0"/>
        <w:snapToGrid w:val="0"/>
        <w:spacing w:line="440" w:lineRule="exact"/>
        <w:ind w:left="450"/>
        <w:rPr>
          <w:rFonts w:ascii="宋体"/>
          <w:sz w:val="22"/>
        </w:rPr>
      </w:pPr>
      <w:r>
        <w:rPr>
          <w:rFonts w:ascii="宋体" w:hAnsi="宋体" w:hint="eastAsia"/>
          <w:sz w:val="22"/>
        </w:rPr>
        <w:t>休息位功能性静态手支具（</w:t>
      </w:r>
      <w:r>
        <w:rPr>
          <w:rFonts w:ascii="宋体" w:hAnsi="宋体"/>
          <w:sz w:val="22"/>
        </w:rPr>
        <w:t>hand resting splint</w:t>
      </w:r>
      <w:r>
        <w:rPr>
          <w:rFonts w:ascii="宋体" w:hAnsi="宋体" w:hint="eastAsia"/>
          <w:sz w:val="22"/>
        </w:rPr>
        <w:t>）的制作、功能介绍、适应症及佩戴处方</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t>目的要求：</w:t>
      </w:r>
    </w:p>
    <w:p w:rsidR="003717A0" w:rsidRDefault="003717A0">
      <w:pPr>
        <w:numPr>
          <w:ilvl w:val="0"/>
          <w:numId w:val="545"/>
        </w:numPr>
        <w:autoSpaceDE w:val="0"/>
        <w:autoSpaceDN w:val="0"/>
        <w:adjustRightInd w:val="0"/>
        <w:snapToGrid w:val="0"/>
        <w:spacing w:line="440" w:lineRule="exact"/>
        <w:rPr>
          <w:rFonts w:ascii="宋体"/>
          <w:sz w:val="22"/>
        </w:rPr>
      </w:pPr>
      <w:r>
        <w:rPr>
          <w:rFonts w:ascii="宋体" w:hAnsi="宋体" w:hint="eastAsia"/>
          <w:sz w:val="22"/>
        </w:rPr>
        <w:t>掌握不同病种适应的静态支具</w:t>
      </w:r>
    </w:p>
    <w:p w:rsidR="003717A0" w:rsidRDefault="003717A0">
      <w:pPr>
        <w:numPr>
          <w:ilvl w:val="0"/>
          <w:numId w:val="545"/>
        </w:numPr>
        <w:autoSpaceDE w:val="0"/>
        <w:autoSpaceDN w:val="0"/>
        <w:adjustRightInd w:val="0"/>
        <w:snapToGrid w:val="0"/>
        <w:spacing w:line="440" w:lineRule="exact"/>
        <w:rPr>
          <w:rFonts w:ascii="宋体"/>
          <w:sz w:val="22"/>
        </w:rPr>
      </w:pPr>
      <w:r>
        <w:rPr>
          <w:rFonts w:ascii="宋体" w:hAnsi="宋体" w:hint="eastAsia"/>
          <w:sz w:val="22"/>
        </w:rPr>
        <w:t>了解几种基本静态支具的制作方法。</w:t>
      </w:r>
    </w:p>
    <w:p w:rsidR="003717A0" w:rsidRDefault="003717A0">
      <w:pPr>
        <w:numPr>
          <w:ilvl w:val="0"/>
          <w:numId w:val="545"/>
        </w:numPr>
        <w:autoSpaceDE w:val="0"/>
        <w:autoSpaceDN w:val="0"/>
        <w:adjustRightInd w:val="0"/>
        <w:snapToGrid w:val="0"/>
        <w:spacing w:line="440" w:lineRule="exact"/>
        <w:rPr>
          <w:rFonts w:ascii="宋体"/>
          <w:sz w:val="22"/>
        </w:rPr>
      </w:pPr>
      <w:r>
        <w:rPr>
          <w:rFonts w:ascii="宋体" w:hAnsi="宋体" w:hint="eastAsia"/>
          <w:sz w:val="22"/>
        </w:rPr>
        <w:t>掌握休息位功能性静态手支具的制作和适应症及佩戴处方，能在实际中制作。</w:t>
      </w:r>
    </w:p>
    <w:p w:rsidR="003717A0" w:rsidRDefault="003717A0">
      <w:pPr>
        <w:autoSpaceDE w:val="0"/>
        <w:autoSpaceDN w:val="0"/>
        <w:adjustRightInd w:val="0"/>
        <w:snapToGrid w:val="0"/>
        <w:spacing w:line="440" w:lineRule="exact"/>
        <w:jc w:val="center"/>
        <w:rPr>
          <w:rFonts w:ascii="宋体"/>
          <w:b/>
          <w:sz w:val="22"/>
        </w:rPr>
      </w:pPr>
      <w:r>
        <w:rPr>
          <w:rFonts w:ascii="宋体" w:hAnsi="宋体" w:hint="eastAsia"/>
          <w:b/>
          <w:sz w:val="22"/>
        </w:rPr>
        <w:t>第四节</w:t>
      </w:r>
      <w:r>
        <w:rPr>
          <w:rFonts w:ascii="宋体" w:hAnsi="宋体"/>
          <w:b/>
          <w:sz w:val="22"/>
        </w:rPr>
        <w:t xml:space="preserve"> </w:t>
      </w:r>
      <w:r>
        <w:rPr>
          <w:rFonts w:ascii="宋体" w:hAnsi="宋体" w:hint="eastAsia"/>
          <w:b/>
          <w:sz w:val="22"/>
        </w:rPr>
        <w:t>几种基本动态支具的制作和应用</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t>教学内容（</w:t>
      </w:r>
      <w:r>
        <w:rPr>
          <w:rFonts w:ascii="宋体" w:hAnsi="宋体"/>
          <w:b/>
          <w:sz w:val="22"/>
        </w:rPr>
        <w:t>3</w:t>
      </w:r>
      <w:r>
        <w:rPr>
          <w:rFonts w:ascii="宋体" w:hAnsi="宋体" w:hint="eastAsia"/>
          <w:b/>
          <w:sz w:val="22"/>
        </w:rPr>
        <w:t>学时）</w:t>
      </w:r>
    </w:p>
    <w:p w:rsidR="003717A0" w:rsidRDefault="003717A0">
      <w:pPr>
        <w:numPr>
          <w:ilvl w:val="0"/>
          <w:numId w:val="546"/>
        </w:numPr>
        <w:autoSpaceDE w:val="0"/>
        <w:autoSpaceDN w:val="0"/>
        <w:adjustRightInd w:val="0"/>
        <w:snapToGrid w:val="0"/>
        <w:spacing w:line="440" w:lineRule="exact"/>
        <w:rPr>
          <w:rFonts w:ascii="宋体"/>
          <w:sz w:val="22"/>
        </w:rPr>
      </w:pPr>
      <w:r>
        <w:rPr>
          <w:rFonts w:ascii="宋体" w:hAnsi="宋体"/>
          <w:sz w:val="22"/>
        </w:rPr>
        <w:t xml:space="preserve">Kleinert Splint </w:t>
      </w:r>
      <w:r>
        <w:rPr>
          <w:rFonts w:ascii="宋体" w:hAnsi="宋体" w:hint="eastAsia"/>
          <w:sz w:val="22"/>
        </w:rPr>
        <w:t>的功能、制作、适应症及佩戴处方。</w:t>
      </w:r>
    </w:p>
    <w:p w:rsidR="003717A0" w:rsidRDefault="003717A0">
      <w:pPr>
        <w:numPr>
          <w:ilvl w:val="0"/>
          <w:numId w:val="546"/>
        </w:numPr>
        <w:autoSpaceDE w:val="0"/>
        <w:autoSpaceDN w:val="0"/>
        <w:adjustRightInd w:val="0"/>
        <w:snapToGrid w:val="0"/>
        <w:spacing w:line="440" w:lineRule="exact"/>
        <w:rPr>
          <w:rFonts w:ascii="宋体"/>
          <w:sz w:val="22"/>
        </w:rPr>
      </w:pPr>
      <w:r>
        <w:rPr>
          <w:rFonts w:ascii="宋体" w:hAnsi="宋体" w:hint="eastAsia"/>
          <w:sz w:val="22"/>
        </w:rPr>
        <w:t>几种神经损伤的动态支具制作、佩戴及配合训练方法。</w:t>
      </w:r>
    </w:p>
    <w:p w:rsidR="003717A0" w:rsidRDefault="003717A0">
      <w:pPr>
        <w:numPr>
          <w:ilvl w:val="0"/>
          <w:numId w:val="546"/>
        </w:numPr>
        <w:autoSpaceDE w:val="0"/>
        <w:autoSpaceDN w:val="0"/>
        <w:adjustRightInd w:val="0"/>
        <w:snapToGrid w:val="0"/>
        <w:spacing w:line="440" w:lineRule="exact"/>
        <w:rPr>
          <w:rFonts w:ascii="宋体"/>
          <w:sz w:val="22"/>
        </w:rPr>
      </w:pPr>
      <w:r>
        <w:rPr>
          <w:rFonts w:ascii="宋体" w:hAnsi="宋体" w:hint="eastAsia"/>
          <w:sz w:val="22"/>
        </w:rPr>
        <w:t>几种肌腱损伤的冬天支具制作、佩戴及配合训练方法</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lastRenderedPageBreak/>
        <w:t>实习内容（</w:t>
      </w:r>
      <w:r>
        <w:rPr>
          <w:rFonts w:ascii="宋体" w:hAnsi="宋体"/>
          <w:b/>
          <w:sz w:val="22"/>
        </w:rPr>
        <w:t>3</w:t>
      </w:r>
      <w:r>
        <w:rPr>
          <w:rFonts w:ascii="宋体" w:hAnsi="宋体" w:hint="eastAsia"/>
          <w:b/>
          <w:sz w:val="22"/>
        </w:rPr>
        <w:t>学时）</w:t>
      </w:r>
    </w:p>
    <w:p w:rsidR="003717A0" w:rsidRDefault="003717A0">
      <w:pPr>
        <w:autoSpaceDE w:val="0"/>
        <w:autoSpaceDN w:val="0"/>
        <w:adjustRightInd w:val="0"/>
        <w:snapToGrid w:val="0"/>
        <w:spacing w:line="440" w:lineRule="exact"/>
        <w:ind w:firstLine="435"/>
        <w:rPr>
          <w:rFonts w:ascii="宋体"/>
          <w:sz w:val="22"/>
        </w:rPr>
      </w:pPr>
      <w:r>
        <w:rPr>
          <w:rFonts w:ascii="宋体" w:hAnsi="宋体"/>
          <w:sz w:val="22"/>
        </w:rPr>
        <w:t>1</w:t>
      </w:r>
      <w:r>
        <w:rPr>
          <w:rFonts w:ascii="宋体" w:hAnsi="宋体" w:hint="eastAsia"/>
          <w:sz w:val="22"/>
        </w:rPr>
        <w:t>、学习桡神经损伤适用的动态支具的制作，并开具佩戴处方。</w:t>
      </w:r>
    </w:p>
    <w:p w:rsidR="003717A0" w:rsidRDefault="003717A0">
      <w:pPr>
        <w:autoSpaceDE w:val="0"/>
        <w:autoSpaceDN w:val="0"/>
        <w:adjustRightInd w:val="0"/>
        <w:snapToGrid w:val="0"/>
        <w:spacing w:line="440" w:lineRule="exact"/>
        <w:ind w:firstLine="435"/>
        <w:rPr>
          <w:rFonts w:ascii="宋体"/>
          <w:sz w:val="22"/>
        </w:rPr>
      </w:pPr>
      <w:r>
        <w:rPr>
          <w:rFonts w:ascii="宋体" w:hAnsi="宋体"/>
          <w:sz w:val="22"/>
        </w:rPr>
        <w:t>2</w:t>
      </w:r>
      <w:r>
        <w:rPr>
          <w:rFonts w:ascii="宋体" w:hAnsi="宋体" w:hint="eastAsia"/>
          <w:sz w:val="22"/>
        </w:rPr>
        <w:t>、学习屈肌腱、伸肌腱损伤的动态支具制作，并指导佩戴和相配合的锻炼。</w:t>
      </w:r>
    </w:p>
    <w:p w:rsidR="003717A0" w:rsidRDefault="003717A0">
      <w:pPr>
        <w:autoSpaceDE w:val="0"/>
        <w:autoSpaceDN w:val="0"/>
        <w:adjustRightInd w:val="0"/>
        <w:snapToGrid w:val="0"/>
        <w:spacing w:line="440" w:lineRule="exact"/>
        <w:rPr>
          <w:rFonts w:ascii="宋体"/>
          <w:b/>
          <w:sz w:val="22"/>
        </w:rPr>
      </w:pPr>
      <w:r>
        <w:rPr>
          <w:rFonts w:ascii="宋体" w:hAnsi="宋体" w:hint="eastAsia"/>
          <w:b/>
          <w:sz w:val="22"/>
        </w:rPr>
        <w:t>目的要求：</w:t>
      </w:r>
    </w:p>
    <w:p w:rsidR="003717A0" w:rsidRDefault="003717A0">
      <w:pPr>
        <w:numPr>
          <w:ilvl w:val="0"/>
          <w:numId w:val="547"/>
        </w:numPr>
        <w:autoSpaceDE w:val="0"/>
        <w:autoSpaceDN w:val="0"/>
        <w:adjustRightInd w:val="0"/>
        <w:snapToGrid w:val="0"/>
        <w:spacing w:line="440" w:lineRule="exact"/>
        <w:rPr>
          <w:rFonts w:ascii="宋体"/>
          <w:sz w:val="22"/>
        </w:rPr>
      </w:pPr>
      <w:r>
        <w:rPr>
          <w:rFonts w:ascii="宋体" w:hAnsi="宋体" w:hint="eastAsia"/>
          <w:sz w:val="22"/>
        </w:rPr>
        <w:t>掌握各种动态支具的作用，适应症及佩戴时间。</w:t>
      </w:r>
    </w:p>
    <w:p w:rsidR="003717A0" w:rsidRDefault="003717A0">
      <w:pPr>
        <w:numPr>
          <w:ilvl w:val="0"/>
          <w:numId w:val="547"/>
        </w:numPr>
        <w:autoSpaceDE w:val="0"/>
        <w:autoSpaceDN w:val="0"/>
        <w:adjustRightInd w:val="0"/>
        <w:snapToGrid w:val="0"/>
        <w:spacing w:line="440" w:lineRule="exact"/>
        <w:rPr>
          <w:rFonts w:ascii="宋体"/>
          <w:sz w:val="22"/>
        </w:rPr>
      </w:pPr>
      <w:r>
        <w:rPr>
          <w:rFonts w:ascii="宋体" w:hAnsi="宋体" w:hint="eastAsia"/>
          <w:sz w:val="22"/>
        </w:rPr>
        <w:t>掌握动态支具的制作，自己完成一个动态支具。</w:t>
      </w:r>
    </w:p>
    <w:p w:rsidR="003717A0" w:rsidRDefault="003717A0">
      <w:pPr>
        <w:numPr>
          <w:ilvl w:val="0"/>
          <w:numId w:val="547"/>
        </w:numPr>
        <w:autoSpaceDE w:val="0"/>
        <w:autoSpaceDN w:val="0"/>
        <w:adjustRightInd w:val="0"/>
        <w:snapToGrid w:val="0"/>
        <w:spacing w:line="440" w:lineRule="exact"/>
        <w:rPr>
          <w:rFonts w:ascii="宋体"/>
          <w:sz w:val="22"/>
        </w:rPr>
      </w:pPr>
      <w:r>
        <w:rPr>
          <w:rFonts w:ascii="宋体" w:hAnsi="宋体" w:hint="eastAsia"/>
          <w:sz w:val="22"/>
        </w:rPr>
        <w:t>掌握肌腱损伤动态支具的制作、应用，并能根据恢复的时间节点指导锻炼。</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五、教学设备和设施</w:t>
      </w:r>
    </w:p>
    <w:p w:rsidR="003717A0" w:rsidRDefault="003717A0">
      <w:pPr>
        <w:autoSpaceDE w:val="0"/>
        <w:autoSpaceDN w:val="0"/>
        <w:adjustRightInd w:val="0"/>
        <w:snapToGrid w:val="0"/>
        <w:spacing w:line="440" w:lineRule="exact"/>
        <w:jc w:val="left"/>
        <w:rPr>
          <w:sz w:val="22"/>
        </w:rPr>
      </w:pPr>
      <w:r>
        <w:rPr>
          <w:rFonts w:hint="eastAsia"/>
          <w:sz w:val="22"/>
        </w:rPr>
        <w:t>多媒体教室，作业治疗康复实验室。</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hint="eastAsia"/>
          <w:sz w:val="22"/>
        </w:rPr>
        <w:t>多媒体教学课件，动、静态手部支具模型教具，生活辅助具实物教具。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六、课程考核与评估</w:t>
      </w:r>
    </w:p>
    <w:p w:rsidR="003717A0" w:rsidRDefault="003717A0">
      <w:pPr>
        <w:autoSpaceDE w:val="0"/>
        <w:autoSpaceDN w:val="0"/>
        <w:adjustRightInd w:val="0"/>
        <w:snapToGrid w:val="0"/>
        <w:spacing w:line="440" w:lineRule="exact"/>
        <w:jc w:val="left"/>
        <w:rPr>
          <w:sz w:val="22"/>
        </w:rPr>
      </w:pPr>
      <w:r>
        <w:rPr>
          <w:rFonts w:hint="eastAsia"/>
          <w:sz w:val="22"/>
        </w:rPr>
        <w:t>期末考试：论文写作，完成时间</w:t>
      </w:r>
      <w:r>
        <w:rPr>
          <w:sz w:val="22"/>
        </w:rPr>
        <w:t>1</w:t>
      </w:r>
      <w:r>
        <w:rPr>
          <w:rFonts w:hint="eastAsia"/>
          <w:sz w:val="22"/>
        </w:rPr>
        <w:t>周，占总成绩的</w:t>
      </w:r>
      <w:r>
        <w:rPr>
          <w:sz w:val="22"/>
        </w:rPr>
        <w:t>50%</w:t>
      </w:r>
      <w:r>
        <w:rPr>
          <w:rFonts w:hint="eastAsia"/>
          <w:sz w:val="22"/>
        </w:rPr>
        <w:t>。</w:t>
      </w:r>
    </w:p>
    <w:p w:rsidR="003717A0" w:rsidRDefault="003717A0">
      <w:pPr>
        <w:autoSpaceDE w:val="0"/>
        <w:autoSpaceDN w:val="0"/>
        <w:adjustRightInd w:val="0"/>
        <w:snapToGrid w:val="0"/>
        <w:spacing w:line="440" w:lineRule="exact"/>
        <w:jc w:val="left"/>
        <w:rPr>
          <w:sz w:val="22"/>
        </w:rPr>
      </w:pPr>
      <w:r>
        <w:rPr>
          <w:rFonts w:hint="eastAsia"/>
          <w:sz w:val="22"/>
        </w:rPr>
        <w:t>平时成绩占</w:t>
      </w:r>
      <w:r>
        <w:rPr>
          <w:sz w:val="22"/>
        </w:rPr>
        <w:t>50%</w:t>
      </w:r>
      <w:r>
        <w:rPr>
          <w:rFonts w:hint="eastAsia"/>
          <w:sz w:val="22"/>
        </w:rPr>
        <w:t>，其中实践课支具制作成绩占</w:t>
      </w:r>
      <w:r>
        <w:rPr>
          <w:sz w:val="22"/>
        </w:rPr>
        <w:t>20%</w:t>
      </w:r>
      <w:r>
        <w:rPr>
          <w:rFonts w:hint="eastAsia"/>
          <w:sz w:val="22"/>
        </w:rPr>
        <w:t>，平时提问</w:t>
      </w:r>
      <w:r>
        <w:rPr>
          <w:sz w:val="22"/>
        </w:rPr>
        <w:t>15%</w:t>
      </w:r>
      <w:r>
        <w:rPr>
          <w:rFonts w:hint="eastAsia"/>
          <w:sz w:val="22"/>
        </w:rPr>
        <w:t>，病例讨论</w:t>
      </w:r>
      <w:r>
        <w:rPr>
          <w:sz w:val="22"/>
        </w:rPr>
        <w:t>15%</w:t>
      </w:r>
      <w:r>
        <w:rPr>
          <w:rFonts w:hint="eastAsia"/>
          <w:sz w:val="22"/>
        </w:rPr>
        <w:t>。平时采用课堂提问，小组活动报告等形式评价，学生反馈意见，掌握学生学习情况，及时解决存在问题。</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七、附录</w:t>
      </w:r>
    </w:p>
    <w:p w:rsidR="003717A0" w:rsidRDefault="003717A0">
      <w:pPr>
        <w:autoSpaceDE w:val="0"/>
        <w:autoSpaceDN w:val="0"/>
        <w:adjustRightInd w:val="0"/>
        <w:spacing w:line="360" w:lineRule="exact"/>
        <w:jc w:val="left"/>
        <w:rPr>
          <w:rFonts w:ascii="Times New Roman" w:hAnsi="Times New Roman"/>
          <w:kern w:val="0"/>
          <w:sz w:val="22"/>
        </w:rPr>
      </w:pPr>
      <w:r>
        <w:rPr>
          <w:rFonts w:ascii="Times New Roman" w:hAnsi="Times New Roman"/>
          <w:kern w:val="0"/>
          <w:sz w:val="22"/>
        </w:rPr>
        <w:t>1</w:t>
      </w:r>
      <w:r>
        <w:rPr>
          <w:rFonts w:ascii="Times New Roman" w:hAnsi="Times New Roman" w:hint="eastAsia"/>
          <w:kern w:val="0"/>
          <w:sz w:val="22"/>
        </w:rPr>
        <w:t>、《</w:t>
      </w:r>
      <w:r>
        <w:rPr>
          <w:rFonts w:ascii="Times New Roman" w:hAnsi="Times New Roman"/>
          <w:kern w:val="0"/>
          <w:sz w:val="22"/>
        </w:rPr>
        <w:t>Splint Manual for Occupational Therapist</w:t>
      </w:r>
      <w:r>
        <w:rPr>
          <w:rFonts w:ascii="Times New Roman" w:hAnsi="Times New Roman" w:hint="eastAsia"/>
          <w:kern w:val="0"/>
          <w:sz w:val="22"/>
        </w:rPr>
        <w:t>》</w:t>
      </w:r>
      <w:r>
        <w:rPr>
          <w:rFonts w:ascii="Times New Roman" w:hAnsi="Times New Roman"/>
          <w:kern w:val="0"/>
          <w:sz w:val="22"/>
        </w:rPr>
        <w:t>, Splint Working Group, Occupational Therapists, Hong Kong,1996.</w:t>
      </w:r>
    </w:p>
    <w:p w:rsidR="003717A0" w:rsidRDefault="003717A0">
      <w:pPr>
        <w:autoSpaceDE w:val="0"/>
        <w:autoSpaceDN w:val="0"/>
        <w:adjustRightInd w:val="0"/>
        <w:spacing w:line="360" w:lineRule="exact"/>
        <w:jc w:val="left"/>
        <w:rPr>
          <w:rFonts w:ascii="Times New Roman" w:hAnsi="Times New Roman"/>
          <w:kern w:val="0"/>
          <w:sz w:val="22"/>
        </w:rPr>
      </w:pPr>
      <w:r>
        <w:rPr>
          <w:rFonts w:ascii="Times New Roman" w:hAnsi="Times New Roman"/>
          <w:kern w:val="0"/>
          <w:sz w:val="22"/>
        </w:rPr>
        <w:t>2</w:t>
      </w:r>
      <w:r>
        <w:rPr>
          <w:rFonts w:ascii="Times New Roman" w:hAnsi="Times New Roman" w:hint="eastAsia"/>
          <w:kern w:val="0"/>
          <w:sz w:val="22"/>
        </w:rPr>
        <w:t>、张晓玉，《人体物理学与矫形器设计原理》，武汉大学出版社，</w:t>
      </w:r>
      <w:r>
        <w:rPr>
          <w:rFonts w:ascii="Times New Roman" w:hAnsi="Times New Roman"/>
          <w:kern w:val="0"/>
          <w:sz w:val="22"/>
        </w:rPr>
        <w:t>1989.</w:t>
      </w:r>
    </w:p>
    <w:p w:rsidR="003717A0" w:rsidRDefault="003717A0">
      <w:pPr>
        <w:autoSpaceDE w:val="0"/>
        <w:autoSpaceDN w:val="0"/>
        <w:adjustRightInd w:val="0"/>
        <w:spacing w:line="360" w:lineRule="exact"/>
        <w:jc w:val="left"/>
        <w:rPr>
          <w:rFonts w:ascii="Times New Roman" w:hAnsi="Times New Roman"/>
          <w:kern w:val="0"/>
          <w:sz w:val="22"/>
        </w:rPr>
      </w:pPr>
      <w:r>
        <w:rPr>
          <w:rFonts w:ascii="Times New Roman" w:hAnsi="Times New Roman"/>
          <w:kern w:val="0"/>
          <w:sz w:val="22"/>
        </w:rPr>
        <w:t>3</w:t>
      </w:r>
      <w:r>
        <w:rPr>
          <w:rFonts w:ascii="Times New Roman" w:hAnsi="Times New Roman" w:hint="eastAsia"/>
          <w:kern w:val="0"/>
          <w:sz w:val="22"/>
        </w:rPr>
        <w:t>、赵辉三主编，《假肢与矫形器学》，华夏出版社，</w:t>
      </w:r>
      <w:r>
        <w:rPr>
          <w:rFonts w:ascii="Times New Roman" w:hAnsi="Times New Roman"/>
          <w:kern w:val="0"/>
          <w:sz w:val="22"/>
        </w:rPr>
        <w:t>2005.</w:t>
      </w:r>
    </w:p>
    <w:p w:rsidR="003717A0" w:rsidRDefault="003717A0">
      <w:pPr>
        <w:autoSpaceDE w:val="0"/>
        <w:autoSpaceDN w:val="0"/>
        <w:adjustRightInd w:val="0"/>
        <w:spacing w:line="360" w:lineRule="exact"/>
        <w:jc w:val="left"/>
        <w:rPr>
          <w:rFonts w:ascii="Times New Roman" w:hAnsi="Times New Roman"/>
          <w:kern w:val="0"/>
          <w:sz w:val="22"/>
        </w:rPr>
      </w:pPr>
      <w:r>
        <w:rPr>
          <w:rFonts w:ascii="Times New Roman" w:hAnsi="Times New Roman"/>
          <w:kern w:val="0"/>
          <w:sz w:val="22"/>
        </w:rPr>
        <w:t>4</w:t>
      </w:r>
      <w:r>
        <w:rPr>
          <w:rFonts w:ascii="Times New Roman" w:hAnsi="Times New Roman" w:hint="eastAsia"/>
          <w:kern w:val="0"/>
          <w:sz w:val="22"/>
        </w:rPr>
        <w:t>、刘夕东主编，《康复工程学》，人民卫生出版社，</w:t>
      </w:r>
      <w:r>
        <w:rPr>
          <w:rFonts w:ascii="Times New Roman" w:hAnsi="Times New Roman"/>
          <w:kern w:val="0"/>
          <w:sz w:val="22"/>
        </w:rPr>
        <w:t>2012.</w:t>
      </w: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Default="003717A0">
      <w:pPr>
        <w:autoSpaceDE w:val="0"/>
        <w:autoSpaceDN w:val="0"/>
        <w:adjustRightInd w:val="0"/>
        <w:ind w:leftChars="3510" w:left="7371" w:firstLineChars="157" w:firstLine="283"/>
        <w:jc w:val="left"/>
        <w:rPr>
          <w:rFonts w:ascii="黑体" w:eastAsia="黑体" w:cs="黑体"/>
          <w:kern w:val="0"/>
          <w:sz w:val="18"/>
          <w:szCs w:val="18"/>
        </w:rPr>
      </w:pPr>
    </w:p>
    <w:p w:rsidR="003717A0" w:rsidRPr="00566E4D" w:rsidRDefault="003717A0" w:rsidP="00566E4D">
      <w:pPr>
        <w:autoSpaceDE w:val="0"/>
        <w:autoSpaceDN w:val="0"/>
        <w:adjustRightInd w:val="0"/>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制定人：顾琦</w:t>
      </w:r>
    </w:p>
    <w:p w:rsidR="003717A0" w:rsidRDefault="003717A0" w:rsidP="00566E4D">
      <w:pPr>
        <w:autoSpaceDE w:val="0"/>
        <w:autoSpaceDN w:val="0"/>
        <w:adjustRightInd w:val="0"/>
        <w:spacing w:line="360" w:lineRule="exact"/>
        <w:ind w:leftChars="2900" w:left="6090" w:firstLineChars="157" w:firstLine="330"/>
        <w:jc w:val="left"/>
        <w:rPr>
          <w:rFonts w:ascii="黑体" w:eastAsia="黑体" w:cs="黑体"/>
          <w:kern w:val="0"/>
          <w:szCs w:val="21"/>
        </w:rPr>
      </w:pPr>
      <w:r w:rsidRPr="00566E4D">
        <w:rPr>
          <w:rFonts w:ascii="黑体" w:eastAsia="黑体" w:cs="黑体" w:hint="eastAsia"/>
          <w:kern w:val="0"/>
          <w:szCs w:val="21"/>
        </w:rPr>
        <w:t>审核人：沈光宇</w:t>
      </w:r>
    </w:p>
    <w:p w:rsidR="003717A0" w:rsidRPr="00566E4D" w:rsidRDefault="003717A0" w:rsidP="005E20B5">
      <w:pPr>
        <w:adjustRightInd w:val="0"/>
        <w:snapToGrid w:val="0"/>
        <w:spacing w:beforeLines="50" w:afterLines="50" w:line="360" w:lineRule="auto"/>
        <w:jc w:val="center"/>
        <w:rPr>
          <w:rFonts w:ascii="黑体" w:eastAsia="黑体" w:cs="黑体"/>
          <w:kern w:val="0"/>
          <w:sz w:val="18"/>
          <w:szCs w:val="18"/>
        </w:rPr>
      </w:pPr>
      <w:r>
        <w:rPr>
          <w:rFonts w:ascii="黑体" w:eastAsia="黑体" w:cs="黑体"/>
          <w:kern w:val="0"/>
          <w:sz w:val="18"/>
          <w:szCs w:val="18"/>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utoSpaceDE w:val="0"/>
        <w:autoSpaceDN w:val="0"/>
        <w:adjustRightInd w:val="0"/>
        <w:snapToGrid w:val="0"/>
        <w:spacing w:line="440" w:lineRule="exact"/>
        <w:ind w:firstLineChars="200" w:firstLine="440"/>
        <w:jc w:val="left"/>
        <w:rPr>
          <w:rFonts w:ascii="Times New Roman" w:hAnsi="Times New Roman"/>
          <w:kern w:val="0"/>
          <w:sz w:val="22"/>
        </w:rPr>
      </w:pPr>
      <w:r>
        <w:rPr>
          <w:rFonts w:ascii="Times New Roman" w:hAnsi="Times New Roman" w:hint="eastAsia"/>
          <w:kern w:val="0"/>
          <w:sz w:val="22"/>
        </w:rPr>
        <w:t>修读完本课程规定内容的康复治疗专业本科学生；</w:t>
      </w:r>
    </w:p>
    <w:p w:rsidR="003717A0" w:rsidRDefault="003717A0">
      <w:pPr>
        <w:autoSpaceDE w:val="0"/>
        <w:autoSpaceDN w:val="0"/>
        <w:adjustRightInd w:val="0"/>
        <w:snapToGrid w:val="0"/>
        <w:spacing w:line="440" w:lineRule="exact"/>
        <w:ind w:firstLineChars="200" w:firstLine="440"/>
        <w:jc w:val="left"/>
        <w:rPr>
          <w:rFonts w:ascii="Times New Roman" w:hAnsi="Times New Roman"/>
          <w:kern w:val="0"/>
          <w:sz w:val="22"/>
        </w:rPr>
      </w:pPr>
      <w:r>
        <w:rPr>
          <w:rFonts w:ascii="Times New Roman" w:hAnsi="Times New Roman" w:hint="eastAsia"/>
          <w:kern w:val="0"/>
          <w:sz w:val="22"/>
        </w:rPr>
        <w:t>提出并获准免修本课程、申请进行课程水平考核的康复治疗专业的本科学生；</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b/>
          <w:kern w:val="0"/>
          <w:sz w:val="24"/>
          <w:szCs w:val="24"/>
        </w:rPr>
      </w:pPr>
      <w:r>
        <w:rPr>
          <w:rFonts w:ascii="Times New Roman" w:hAnsi="Times New Roman" w:hint="eastAsia"/>
          <w:kern w:val="0"/>
          <w:sz w:val="22"/>
        </w:rPr>
        <w:t>提出并获准辅修第二专业、申请进行课程水平考核的本科学生。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pPr>
        <w:autoSpaceDE w:val="0"/>
        <w:autoSpaceDN w:val="0"/>
        <w:adjustRightInd w:val="0"/>
        <w:snapToGrid w:val="0"/>
        <w:spacing w:line="440" w:lineRule="exact"/>
        <w:ind w:firstLineChars="200" w:firstLine="480"/>
        <w:jc w:val="left"/>
        <w:rPr>
          <w:rFonts w:ascii="宋体"/>
          <w:kern w:val="0"/>
          <w:sz w:val="24"/>
          <w:szCs w:val="24"/>
        </w:rPr>
      </w:pPr>
      <w:r>
        <w:rPr>
          <w:rFonts w:ascii="宋体" w:hAnsi="宋体" w:hint="eastAsia"/>
          <w:kern w:val="0"/>
          <w:sz w:val="24"/>
          <w:szCs w:val="24"/>
        </w:rPr>
        <w:t>通过考核来检查和了解学生对本门课程内容的掌握程度，考核学生对各类支具的了解，对其生物力学特性的掌握情况，对各类支具适应症的掌握程度。实践操作考核学生实际动手操作能力，是否能完成动、静态支具的制作，能否开具支具处方，能否为患者推荐合适的生活辅助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440" w:lineRule="exact"/>
        <w:ind w:firstLineChars="200" w:firstLine="440"/>
        <w:jc w:val="left"/>
        <w:rPr>
          <w:sz w:val="22"/>
        </w:rPr>
      </w:pPr>
      <w:r>
        <w:rPr>
          <w:rFonts w:hint="eastAsia"/>
          <w:sz w:val="22"/>
        </w:rPr>
        <w:t>理论部分考察采用论文写作方式考核。</w:t>
      </w:r>
    </w:p>
    <w:p w:rsidR="003717A0" w:rsidRDefault="003717A0">
      <w:pPr>
        <w:autoSpaceDE w:val="0"/>
        <w:autoSpaceDN w:val="0"/>
        <w:adjustRightInd w:val="0"/>
        <w:snapToGrid w:val="0"/>
        <w:spacing w:line="440" w:lineRule="exact"/>
        <w:ind w:firstLineChars="200" w:firstLine="440"/>
        <w:jc w:val="left"/>
        <w:rPr>
          <w:rFonts w:ascii="Times New Roman" w:eastAsia="黑体" w:hAnsi="Times New Roman"/>
          <w:kern w:val="0"/>
          <w:sz w:val="24"/>
          <w:szCs w:val="24"/>
        </w:rPr>
      </w:pPr>
      <w:r>
        <w:rPr>
          <w:rFonts w:hint="eastAsia"/>
          <w:sz w:val="22"/>
        </w:rPr>
        <w:t>实践部分考察根据学生制作的支具及回答问题情况打分。</w:t>
      </w:r>
    </w:p>
    <w:p w:rsidR="003717A0" w:rsidRPr="00B643D0"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r w:rsidRPr="00B643D0">
        <w:rPr>
          <w:rFonts w:asciiTheme="minorEastAsia" w:eastAsiaTheme="minorEastAsia" w:hAnsiTheme="minorEastAsia" w:hint="eastAsia"/>
          <w:b/>
          <w:kern w:val="0"/>
          <w:sz w:val="24"/>
          <w:szCs w:val="24"/>
        </w:rPr>
        <w:t>四、课程考核成绩构成</w:t>
      </w:r>
    </w:p>
    <w:p w:rsidR="003717A0" w:rsidRPr="00B643D0" w:rsidRDefault="003717A0">
      <w:pPr>
        <w:autoSpaceDE w:val="0"/>
        <w:autoSpaceDN w:val="0"/>
        <w:adjustRightInd w:val="0"/>
        <w:snapToGrid w:val="0"/>
        <w:spacing w:line="440" w:lineRule="exact"/>
        <w:ind w:firstLineChars="200" w:firstLine="440"/>
        <w:jc w:val="left"/>
        <w:rPr>
          <w:rFonts w:asciiTheme="minorEastAsia" w:eastAsiaTheme="minorEastAsia" w:hAnsiTheme="minorEastAsia"/>
          <w:sz w:val="22"/>
        </w:rPr>
      </w:pPr>
      <w:r w:rsidRPr="00B643D0">
        <w:rPr>
          <w:rFonts w:asciiTheme="minorEastAsia" w:eastAsiaTheme="minorEastAsia" w:hAnsiTheme="minorEastAsia" w:hint="eastAsia"/>
          <w:sz w:val="22"/>
        </w:rPr>
        <w:t>平时成绩占</w:t>
      </w:r>
      <w:r w:rsidRPr="00B643D0">
        <w:rPr>
          <w:rFonts w:asciiTheme="minorEastAsia" w:eastAsiaTheme="minorEastAsia" w:hAnsiTheme="minorEastAsia"/>
          <w:sz w:val="22"/>
        </w:rPr>
        <w:t>50%</w:t>
      </w:r>
      <w:r w:rsidRPr="00B643D0">
        <w:rPr>
          <w:rFonts w:asciiTheme="minorEastAsia" w:eastAsiaTheme="minorEastAsia" w:hAnsiTheme="minorEastAsia" w:hint="eastAsia"/>
          <w:sz w:val="22"/>
        </w:rPr>
        <w:t>，期末成绩占</w:t>
      </w:r>
      <w:r w:rsidRPr="00B643D0">
        <w:rPr>
          <w:rFonts w:asciiTheme="minorEastAsia" w:eastAsiaTheme="minorEastAsia" w:hAnsiTheme="minorEastAsia"/>
          <w:sz w:val="22"/>
        </w:rPr>
        <w:t>50%</w:t>
      </w:r>
      <w:r w:rsidRPr="00B643D0">
        <w:rPr>
          <w:rFonts w:asciiTheme="minorEastAsia" w:eastAsiaTheme="minorEastAsia" w:hAnsiTheme="minorEastAsia" w:hint="eastAsia"/>
          <w:sz w:val="22"/>
        </w:rPr>
        <w:t>。</w:t>
      </w:r>
    </w:p>
    <w:p w:rsidR="003717A0" w:rsidRPr="00B643D0" w:rsidRDefault="003717A0">
      <w:pPr>
        <w:autoSpaceDE w:val="0"/>
        <w:autoSpaceDN w:val="0"/>
        <w:adjustRightInd w:val="0"/>
        <w:snapToGrid w:val="0"/>
        <w:spacing w:line="440" w:lineRule="exact"/>
        <w:jc w:val="left"/>
        <w:rPr>
          <w:rFonts w:asciiTheme="minorEastAsia" w:eastAsiaTheme="minorEastAsia" w:hAnsiTheme="minorEastAsia"/>
          <w:b/>
          <w:kern w:val="0"/>
          <w:sz w:val="24"/>
          <w:szCs w:val="24"/>
        </w:rPr>
      </w:pPr>
      <w:r w:rsidRPr="00B643D0">
        <w:rPr>
          <w:rFonts w:asciiTheme="minorEastAsia" w:eastAsiaTheme="minorEastAsia" w:hAnsiTheme="minorEastAsia" w:hint="eastAsia"/>
          <w:b/>
          <w:kern w:val="0"/>
          <w:sz w:val="24"/>
          <w:szCs w:val="24"/>
        </w:rPr>
        <w:t>五、考核内容与要求</w:t>
      </w:r>
    </w:p>
    <w:p w:rsidR="003717A0" w:rsidRPr="00B643D0" w:rsidRDefault="003717A0">
      <w:pPr>
        <w:autoSpaceDE w:val="0"/>
        <w:autoSpaceDN w:val="0"/>
        <w:adjustRightInd w:val="0"/>
        <w:spacing w:line="440" w:lineRule="exact"/>
        <w:ind w:firstLineChars="192" w:firstLine="424"/>
        <w:jc w:val="left"/>
        <w:rPr>
          <w:rFonts w:asciiTheme="minorEastAsia" w:eastAsiaTheme="minorEastAsia" w:hAnsiTheme="minorEastAsia"/>
          <w:b/>
          <w:kern w:val="0"/>
          <w:sz w:val="22"/>
        </w:rPr>
      </w:pPr>
      <w:r w:rsidRPr="00B643D0">
        <w:rPr>
          <w:rFonts w:asciiTheme="minorEastAsia" w:eastAsiaTheme="minorEastAsia" w:hAnsiTheme="minorEastAsia" w:hint="eastAsia"/>
          <w:b/>
          <w:kern w:val="0"/>
          <w:sz w:val="22"/>
        </w:rPr>
        <w:t>考核内容：</w:t>
      </w:r>
    </w:p>
    <w:p w:rsidR="003717A0" w:rsidRPr="00B643D0" w:rsidRDefault="003717A0">
      <w:pPr>
        <w:autoSpaceDE w:val="0"/>
        <w:autoSpaceDN w:val="0"/>
        <w:adjustRightInd w:val="0"/>
        <w:spacing w:line="440" w:lineRule="exact"/>
        <w:ind w:firstLineChars="192" w:firstLine="422"/>
        <w:jc w:val="left"/>
        <w:rPr>
          <w:rFonts w:asciiTheme="minorEastAsia" w:eastAsiaTheme="minorEastAsia" w:hAnsiTheme="minorEastAsia"/>
          <w:kern w:val="0"/>
          <w:sz w:val="22"/>
        </w:rPr>
      </w:pPr>
      <w:r w:rsidRPr="00B643D0">
        <w:rPr>
          <w:rFonts w:asciiTheme="minorEastAsia" w:eastAsiaTheme="minorEastAsia" w:hAnsiTheme="minorEastAsia" w:hint="eastAsia"/>
          <w:kern w:val="0"/>
          <w:sz w:val="22"/>
        </w:rPr>
        <w:t>支具的历史；支具的分类；常用制作支具材料；支具的生物力学特性；不同类型疾病适应的支具类型、制作方法、佩戴处方及注意事项。生活辅助具的类型及应用。</w:t>
      </w:r>
    </w:p>
    <w:p w:rsidR="003717A0" w:rsidRPr="00B643D0" w:rsidRDefault="003717A0">
      <w:pPr>
        <w:autoSpaceDE w:val="0"/>
        <w:autoSpaceDN w:val="0"/>
        <w:adjustRightInd w:val="0"/>
        <w:spacing w:line="440" w:lineRule="exact"/>
        <w:ind w:firstLineChars="192" w:firstLine="424"/>
        <w:jc w:val="left"/>
        <w:rPr>
          <w:rFonts w:asciiTheme="minorEastAsia" w:eastAsiaTheme="minorEastAsia" w:hAnsiTheme="minorEastAsia"/>
          <w:b/>
          <w:kern w:val="0"/>
          <w:sz w:val="22"/>
        </w:rPr>
      </w:pPr>
      <w:r w:rsidRPr="00B643D0">
        <w:rPr>
          <w:rFonts w:asciiTheme="minorEastAsia" w:eastAsiaTheme="minorEastAsia" w:hAnsiTheme="minorEastAsia" w:hint="eastAsia"/>
          <w:b/>
          <w:kern w:val="0"/>
          <w:sz w:val="22"/>
        </w:rPr>
        <w:t>考核要求：</w:t>
      </w:r>
    </w:p>
    <w:p w:rsidR="003717A0" w:rsidRPr="00B643D0" w:rsidRDefault="003717A0">
      <w:pPr>
        <w:autoSpaceDE w:val="0"/>
        <w:autoSpaceDN w:val="0"/>
        <w:adjustRightInd w:val="0"/>
        <w:spacing w:line="440" w:lineRule="exact"/>
        <w:ind w:firstLineChars="192" w:firstLine="422"/>
        <w:jc w:val="left"/>
        <w:rPr>
          <w:rFonts w:asciiTheme="minorEastAsia" w:eastAsiaTheme="minorEastAsia" w:hAnsiTheme="minorEastAsia"/>
          <w:kern w:val="0"/>
          <w:sz w:val="22"/>
        </w:rPr>
      </w:pPr>
      <w:r w:rsidRPr="00B643D0">
        <w:rPr>
          <w:rFonts w:asciiTheme="minorEastAsia" w:eastAsiaTheme="minorEastAsia" w:hAnsiTheme="minorEastAsia" w:hint="eastAsia"/>
          <w:kern w:val="0"/>
          <w:sz w:val="22"/>
        </w:rPr>
        <w:t>对支具的历史、生物力学特性有所了解，能够针对不同的疾病选择合适的支具并制作，提供支具佩戴的建议。了解常用的生活辅助具的种类和用途，能根据不同需要给予建议。</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六、样卷</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理论考察：</w:t>
      </w:r>
    </w:p>
    <w:p w:rsidR="003717A0" w:rsidRDefault="003717A0">
      <w:pPr>
        <w:autoSpaceDE w:val="0"/>
        <w:autoSpaceDN w:val="0"/>
        <w:adjustRightInd w:val="0"/>
        <w:snapToGrid w:val="0"/>
        <w:spacing w:line="440" w:lineRule="exact"/>
        <w:jc w:val="center"/>
        <w:rPr>
          <w:rFonts w:ascii="Times New Roman" w:eastAsia="黑体" w:hAnsi="Times New Roman"/>
          <w:b/>
          <w:kern w:val="0"/>
          <w:sz w:val="24"/>
          <w:szCs w:val="24"/>
        </w:rPr>
      </w:pPr>
      <w:r>
        <w:rPr>
          <w:rFonts w:ascii="Times New Roman" w:eastAsia="黑体" w:hAnsi="Times New Roman" w:hint="eastAsia"/>
          <w:b/>
          <w:kern w:val="0"/>
          <w:sz w:val="24"/>
          <w:szCs w:val="24"/>
        </w:rPr>
        <w:t>课程考试试题</w:t>
      </w:r>
    </w:p>
    <w:p w:rsidR="003717A0" w:rsidRDefault="003717A0">
      <w:pPr>
        <w:autoSpaceDE w:val="0"/>
        <w:autoSpaceDN w:val="0"/>
        <w:adjustRightInd w:val="0"/>
        <w:snapToGrid w:val="0"/>
        <w:spacing w:line="440" w:lineRule="exact"/>
        <w:ind w:firstLineChars="600" w:firstLine="1320"/>
        <w:jc w:val="center"/>
        <w:rPr>
          <w:rFonts w:ascii="Times New Roman" w:hAnsi="Times New Roman"/>
          <w:kern w:val="0"/>
          <w:sz w:val="22"/>
        </w:rPr>
      </w:pPr>
      <w:r>
        <w:rPr>
          <w:rFonts w:ascii="Times New Roman" w:hAnsi="Times New Roman"/>
          <w:kern w:val="0"/>
          <w:sz w:val="22"/>
        </w:rPr>
        <w:t>__________</w:t>
      </w:r>
      <w:r>
        <w:rPr>
          <w:rFonts w:ascii="Times New Roman" w:hAnsi="Times New Roman" w:hint="eastAsia"/>
          <w:kern w:val="0"/>
          <w:sz w:val="22"/>
        </w:rPr>
        <w:t>年</w:t>
      </w:r>
      <w:r>
        <w:rPr>
          <w:sz w:val="32"/>
          <w:u w:val="single"/>
        </w:rPr>
        <w:t xml:space="preserve">       </w:t>
      </w:r>
      <w:r>
        <w:rPr>
          <w:rFonts w:ascii="Times New Roman" w:hAnsi="Times New Roman" w:hint="eastAsia"/>
          <w:kern w:val="0"/>
          <w:sz w:val="22"/>
        </w:rPr>
        <w:t>学期</w:t>
      </w:r>
      <w:r>
        <w:rPr>
          <w:sz w:val="32"/>
          <w:u w:val="single"/>
        </w:rPr>
        <w:t xml:space="preserve">       </w:t>
      </w:r>
      <w:r>
        <w:rPr>
          <w:rFonts w:ascii="Times New Roman" w:hAnsi="Times New Roman" w:hint="eastAsia"/>
          <w:kern w:val="0"/>
          <w:sz w:val="22"/>
        </w:rPr>
        <w:t>班级</w:t>
      </w:r>
    </w:p>
    <w:p w:rsidR="003717A0" w:rsidRDefault="003717A0">
      <w:pPr>
        <w:widowControl/>
        <w:jc w:val="left"/>
        <w:rPr>
          <w:rFonts w:ascii="宋体"/>
          <w:kern w:val="0"/>
          <w:szCs w:val="21"/>
        </w:rPr>
      </w:pPr>
      <w:r>
        <w:rPr>
          <w:rFonts w:ascii="宋体" w:hAnsi="宋体"/>
          <w:kern w:val="0"/>
          <w:sz w:val="24"/>
          <w:szCs w:val="24"/>
        </w:rPr>
        <w:t xml:space="preserve">     </w:t>
      </w:r>
      <w:r>
        <w:rPr>
          <w:rFonts w:ascii="宋体" w:hAnsi="宋体" w:hint="eastAsia"/>
          <w:kern w:val="0"/>
          <w:szCs w:val="21"/>
        </w:rPr>
        <w:t>学习完《支具的应用与制作》这门课程，你有什么体会和感想？通过这门课的学习你有什么收获？你认为这门课程中对你而言最有价值或你最感兴趣的部分是哪些？如果还可以进一步学习，你希望更深入的了解哪些方面的知识？请针对以上问题写一篇不少于</w:t>
      </w:r>
      <w:r>
        <w:rPr>
          <w:rFonts w:ascii="宋体" w:hAnsi="宋体"/>
          <w:kern w:val="0"/>
          <w:szCs w:val="21"/>
        </w:rPr>
        <w:t>800</w:t>
      </w:r>
      <w:r>
        <w:rPr>
          <w:rFonts w:ascii="宋体" w:hAnsi="宋体" w:hint="eastAsia"/>
          <w:kern w:val="0"/>
          <w:szCs w:val="21"/>
        </w:rPr>
        <w:t>字的文章。</w:t>
      </w:r>
    </w:p>
    <w:p w:rsidR="003717A0" w:rsidRDefault="003717A0">
      <w:pPr>
        <w:widowControl/>
        <w:jc w:val="left"/>
        <w:rPr>
          <w:rFonts w:ascii="宋体"/>
          <w:b/>
          <w:kern w:val="0"/>
          <w:szCs w:val="21"/>
        </w:rPr>
      </w:pPr>
      <w:r>
        <w:rPr>
          <w:rFonts w:ascii="宋体" w:hAnsi="宋体" w:hint="eastAsia"/>
          <w:b/>
          <w:kern w:val="0"/>
          <w:szCs w:val="21"/>
        </w:rPr>
        <w:t>实践操作考察：</w:t>
      </w:r>
    </w:p>
    <w:p w:rsidR="003717A0" w:rsidRPr="00566E4D" w:rsidRDefault="003717A0" w:rsidP="00566E4D">
      <w:pPr>
        <w:widowControl/>
        <w:ind w:firstLineChars="200" w:firstLine="420"/>
        <w:jc w:val="center"/>
        <w:rPr>
          <w:rFonts w:ascii="宋体"/>
          <w:kern w:val="0"/>
          <w:szCs w:val="21"/>
        </w:rPr>
      </w:pPr>
      <w:r>
        <w:rPr>
          <w:rFonts w:ascii="宋体" w:hAnsi="宋体" w:hint="eastAsia"/>
          <w:kern w:val="0"/>
          <w:szCs w:val="21"/>
        </w:rPr>
        <w:t>学生两两一组，完成休息位功能性静态支具的制作。一人制作时另一人为病人，每位学生有</w:t>
      </w:r>
      <w:r>
        <w:rPr>
          <w:rFonts w:ascii="宋体" w:hAnsi="宋体"/>
          <w:kern w:val="0"/>
          <w:szCs w:val="21"/>
        </w:rPr>
        <w:t>1</w:t>
      </w:r>
      <w:r>
        <w:rPr>
          <w:rFonts w:ascii="宋体" w:hAnsi="宋体" w:hint="eastAsia"/>
          <w:kern w:val="0"/>
          <w:szCs w:val="21"/>
        </w:rPr>
        <w:t>个小时的制作时间。在制作过程中扮演病人的学生接受老师相关知识的提问，成绩计入总分。</w:t>
      </w:r>
      <w:r>
        <w:rPr>
          <w:rFonts w:ascii="宋体"/>
          <w:kern w:val="0"/>
          <w:szCs w:val="21"/>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rsidP="00566E4D">
            <w:pPr>
              <w:spacing w:line="320" w:lineRule="atLeas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rsidP="00566E4D">
            <w:pPr>
              <w:autoSpaceDE w:val="0"/>
              <w:autoSpaceDN w:val="0"/>
              <w:adjustRightInd w:val="0"/>
              <w:snapToGrid w:val="0"/>
              <w:spacing w:line="320" w:lineRule="atLeast"/>
              <w:jc w:val="left"/>
              <w:rPr>
                <w:rFonts w:ascii="Times New Roman" w:hAnsi="宋体"/>
                <w:kern w:val="0"/>
                <w:sz w:val="22"/>
              </w:rPr>
            </w:pPr>
            <w:r>
              <w:rPr>
                <w:rFonts w:hint="eastAsia"/>
                <w:sz w:val="22"/>
              </w:rPr>
              <w:t>教师应充分研究本大纲所规定的各章内容，对重点和难点进行深入浅出的讲解。增加自学和拓展知识，注意培养学生的自学能力。这是一门注重培养学生动手能力的课程，应注重学生的实践操作技能，在实习课中通过演示和鼓励学生多动手多联系来加强对理论知识的理解。教师应结合临床，关心支具在康复临床应用中的进展，以保证课程的先进性。教师在平时教学过程中要注意通过学习记录，实习手册等方式收集学生的反馈意见，通过分析教学方案，教学过程中存在的问题，为教学工作提供反馈信息，以改进、完善和提高实践教学活动质量。</w:t>
            </w:r>
          </w:p>
        </w:tc>
      </w:tr>
      <w:tr w:rsidR="003717A0">
        <w:trPr>
          <w:cantSplit/>
          <w:trHeight w:val="1408"/>
          <w:jc w:val="center"/>
        </w:trPr>
        <w:tc>
          <w:tcPr>
            <w:tcW w:w="594" w:type="dxa"/>
            <w:gridSpan w:val="2"/>
            <w:vMerge w:val="restart"/>
            <w:textDirection w:val="tbRlV"/>
            <w:vAlign w:val="center"/>
          </w:tcPr>
          <w:p w:rsidR="003717A0" w:rsidRDefault="003717A0" w:rsidP="00566E4D">
            <w:pPr>
              <w:spacing w:line="320" w:lineRule="atLeas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rsidP="00566E4D">
            <w:pPr>
              <w:spacing w:line="320" w:lineRule="atLeas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rsidP="00566E4D">
            <w:pPr>
              <w:autoSpaceDE w:val="0"/>
              <w:autoSpaceDN w:val="0"/>
              <w:adjustRightInd w:val="0"/>
              <w:snapToGrid w:val="0"/>
              <w:spacing w:line="320" w:lineRule="atLeast"/>
              <w:ind w:firstLineChars="200" w:firstLine="420"/>
              <w:jc w:val="left"/>
              <w:rPr>
                <w:rFonts w:ascii="Times New Roman" w:hAnsi="宋体"/>
                <w:szCs w:val="21"/>
              </w:rPr>
            </w:pPr>
            <w:r>
              <w:rPr>
                <w:rFonts w:ascii="Times New Roman" w:hAnsi="宋体" w:hint="eastAsia"/>
                <w:szCs w:val="21"/>
              </w:rPr>
              <w:t>掌握本课程教学大纲内容，严格按照教学大纲要求进行本课程教学内容的组织。</w:t>
            </w:r>
          </w:p>
          <w:p w:rsidR="003717A0" w:rsidRDefault="003717A0" w:rsidP="00566E4D">
            <w:pPr>
              <w:numPr>
                <w:ilvl w:val="0"/>
                <w:numId w:val="548"/>
              </w:numPr>
              <w:autoSpaceDE w:val="0"/>
              <w:autoSpaceDN w:val="0"/>
              <w:adjustRightInd w:val="0"/>
              <w:snapToGrid w:val="0"/>
              <w:spacing w:line="320" w:lineRule="atLeast"/>
              <w:jc w:val="left"/>
              <w:rPr>
                <w:rFonts w:ascii="Times New Roman" w:hAnsi="宋体"/>
                <w:szCs w:val="21"/>
              </w:rPr>
            </w:pPr>
            <w:r>
              <w:rPr>
                <w:rFonts w:ascii="Times New Roman" w:hAnsi="宋体" w:hint="eastAsia"/>
                <w:szCs w:val="21"/>
              </w:rPr>
              <w:t>熟悉自编教材，借助相关专业书籍资料，并依据教学大纲编写授课计划，编写每次授课的教案。教案内容包括章节标题、教学目的、教法设计、课堂类型、时间分配、授课内容、课后作业、教学效果分析等方面。</w:t>
            </w:r>
          </w:p>
          <w:p w:rsidR="003717A0" w:rsidRDefault="003717A0" w:rsidP="00566E4D">
            <w:pPr>
              <w:numPr>
                <w:ilvl w:val="0"/>
                <w:numId w:val="548"/>
              </w:numPr>
              <w:autoSpaceDE w:val="0"/>
              <w:autoSpaceDN w:val="0"/>
              <w:adjustRightInd w:val="0"/>
              <w:snapToGrid w:val="0"/>
              <w:spacing w:line="320" w:lineRule="atLeast"/>
              <w:jc w:val="left"/>
              <w:rPr>
                <w:rFonts w:ascii="Times New Roman" w:hAnsi="宋体"/>
                <w:szCs w:val="21"/>
              </w:rPr>
            </w:pPr>
            <w:r>
              <w:rPr>
                <w:rFonts w:ascii="Times New Roman" w:hAnsi="宋体" w:hint="eastAsia"/>
                <w:szCs w:val="21"/>
              </w:rPr>
              <w:t>结合课程特点，制作课件，运用多媒体教学手段讲授部分教学内容。</w:t>
            </w:r>
          </w:p>
          <w:p w:rsidR="003717A0" w:rsidRDefault="003717A0" w:rsidP="00566E4D">
            <w:pPr>
              <w:autoSpaceDE w:val="0"/>
              <w:autoSpaceDN w:val="0"/>
              <w:adjustRightInd w:val="0"/>
              <w:snapToGrid w:val="0"/>
              <w:spacing w:line="320" w:lineRule="atLeast"/>
              <w:jc w:val="left"/>
            </w:pPr>
            <w:r>
              <w:rPr>
                <w:rFonts w:ascii="Times New Roman" w:hAnsi="宋体"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rsidP="00566E4D">
            <w:pPr>
              <w:spacing w:line="320" w:lineRule="atLeast"/>
              <w:jc w:val="center"/>
            </w:pPr>
          </w:p>
        </w:tc>
        <w:tc>
          <w:tcPr>
            <w:tcW w:w="593" w:type="dxa"/>
            <w:gridSpan w:val="2"/>
            <w:textDirection w:val="tbRlV"/>
            <w:vAlign w:val="center"/>
          </w:tcPr>
          <w:p w:rsidR="003717A0" w:rsidRDefault="003717A0" w:rsidP="00566E4D">
            <w:pPr>
              <w:spacing w:line="320" w:lineRule="atLeas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rsidP="00566E4D">
            <w:pPr>
              <w:autoSpaceDE w:val="0"/>
              <w:autoSpaceDN w:val="0"/>
              <w:adjustRightInd w:val="0"/>
              <w:snapToGrid w:val="0"/>
              <w:spacing w:line="320" w:lineRule="atLeast"/>
              <w:ind w:firstLineChars="200" w:firstLine="420"/>
              <w:jc w:val="left"/>
              <w:rPr>
                <w:rFonts w:ascii="Times New Roman" w:hAnsi="宋体"/>
                <w:szCs w:val="21"/>
              </w:rPr>
            </w:pPr>
            <w:r>
              <w:rPr>
                <w:rFonts w:ascii="Times New Roman" w:hAnsi="宋体" w:hint="eastAsia"/>
                <w:szCs w:val="21"/>
              </w:rPr>
              <w:t>概念准确，推理正确，条理清晰，重点突出，理论联系实际。</w:t>
            </w:r>
          </w:p>
          <w:p w:rsidR="003717A0" w:rsidRDefault="003717A0" w:rsidP="00566E4D">
            <w:pPr>
              <w:numPr>
                <w:ilvl w:val="0"/>
                <w:numId w:val="549"/>
              </w:numPr>
              <w:autoSpaceDE w:val="0"/>
              <w:autoSpaceDN w:val="0"/>
              <w:adjustRightInd w:val="0"/>
              <w:snapToGrid w:val="0"/>
              <w:spacing w:line="320" w:lineRule="atLeast"/>
              <w:jc w:val="left"/>
              <w:rPr>
                <w:rFonts w:ascii="Times New Roman" w:hAnsi="宋体"/>
                <w:szCs w:val="21"/>
              </w:rPr>
            </w:pPr>
            <w:r>
              <w:rPr>
                <w:rFonts w:ascii="Times New Roman" w:hAnsi="宋体" w:hint="eastAsia"/>
                <w:szCs w:val="21"/>
              </w:rPr>
              <w:t>对重点问题和难点问题进行深入浅出的讲解，内容相对简单或知识拓展部分让学生自学，注意培养学生自主学习的能力。</w:t>
            </w:r>
          </w:p>
          <w:p w:rsidR="003717A0" w:rsidRDefault="003717A0" w:rsidP="00566E4D">
            <w:pPr>
              <w:numPr>
                <w:ilvl w:val="0"/>
                <w:numId w:val="549"/>
              </w:numPr>
              <w:autoSpaceDE w:val="0"/>
              <w:autoSpaceDN w:val="0"/>
              <w:adjustRightInd w:val="0"/>
              <w:snapToGrid w:val="0"/>
              <w:spacing w:line="320" w:lineRule="atLeast"/>
              <w:jc w:val="left"/>
              <w:rPr>
                <w:rFonts w:ascii="Times New Roman" w:hAnsi="宋体"/>
                <w:szCs w:val="21"/>
              </w:rPr>
            </w:pPr>
            <w:r>
              <w:rPr>
                <w:rFonts w:ascii="Times New Roman" w:hAnsi="宋体"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rsidP="00566E4D">
            <w:pPr>
              <w:numPr>
                <w:ilvl w:val="0"/>
                <w:numId w:val="549"/>
              </w:numPr>
              <w:autoSpaceDE w:val="0"/>
              <w:autoSpaceDN w:val="0"/>
              <w:adjustRightInd w:val="0"/>
              <w:snapToGrid w:val="0"/>
              <w:spacing w:line="320" w:lineRule="atLeast"/>
              <w:jc w:val="left"/>
              <w:rPr>
                <w:rFonts w:ascii="Times New Roman" w:hAnsi="宋体"/>
                <w:szCs w:val="21"/>
              </w:rPr>
            </w:pPr>
            <w:r>
              <w:rPr>
                <w:rFonts w:ascii="Times New Roman" w:hAnsi="宋体" w:hint="eastAsia"/>
                <w:szCs w:val="21"/>
              </w:rPr>
              <w:t>多媒体教学手段、课堂实验、实物演示相结合，以培养学生实践动手的能力。</w:t>
            </w:r>
          </w:p>
          <w:p w:rsidR="003717A0" w:rsidRDefault="003717A0" w:rsidP="00566E4D">
            <w:pPr>
              <w:autoSpaceDE w:val="0"/>
              <w:autoSpaceDN w:val="0"/>
              <w:adjustRightInd w:val="0"/>
              <w:snapToGrid w:val="0"/>
              <w:spacing w:line="320" w:lineRule="atLeast"/>
              <w:jc w:val="left"/>
            </w:pPr>
            <w:r>
              <w:rPr>
                <w:rFonts w:ascii="Times New Roman" w:hAnsi="宋体"/>
                <w:szCs w:val="21"/>
              </w:rPr>
              <w:t>4</w:t>
            </w:r>
            <w:r>
              <w:rPr>
                <w:rFonts w:ascii="Times New Roman" w:hAnsi="宋体" w:hint="eastAsia"/>
                <w:szCs w:val="21"/>
              </w:rPr>
              <w:t>．</w:t>
            </w:r>
            <w:r>
              <w:rPr>
                <w:rFonts w:ascii="Times New Roman" w:hAnsi="宋体"/>
                <w:szCs w:val="21"/>
              </w:rPr>
              <w:t xml:space="preserve"> </w:t>
            </w:r>
            <w:r>
              <w:rPr>
                <w:rFonts w:ascii="Times New Roman" w:hAnsi="宋体"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rsidP="00566E4D">
            <w:pPr>
              <w:spacing w:line="320" w:lineRule="atLeast"/>
              <w:ind w:left="113" w:right="113"/>
              <w:jc w:val="center"/>
              <w:rPr>
                <w:rFonts w:ascii="黑体" w:eastAsia="黑体"/>
                <w:b/>
                <w:sz w:val="24"/>
                <w:szCs w:val="24"/>
              </w:rPr>
            </w:pPr>
            <w:r>
              <w:rPr>
                <w:rFonts w:ascii="黑体" w:eastAsia="黑体" w:hint="eastAsia"/>
                <w:b/>
                <w:sz w:val="24"/>
                <w:szCs w:val="24"/>
              </w:rPr>
              <w:t>主要教学环节的质量标准</w:t>
            </w:r>
          </w:p>
        </w:tc>
        <w:tc>
          <w:tcPr>
            <w:tcW w:w="588" w:type="dxa"/>
            <w:gridSpan w:val="2"/>
            <w:textDirection w:val="tbRlV"/>
            <w:vAlign w:val="center"/>
          </w:tcPr>
          <w:p w:rsidR="003717A0" w:rsidRDefault="003717A0" w:rsidP="00566E4D">
            <w:pPr>
              <w:spacing w:line="320" w:lineRule="atLeas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rsidP="00566E4D">
            <w:pPr>
              <w:autoSpaceDE w:val="0"/>
              <w:autoSpaceDN w:val="0"/>
              <w:adjustRightInd w:val="0"/>
              <w:snapToGrid w:val="0"/>
              <w:spacing w:line="320" w:lineRule="atLeast"/>
              <w:ind w:firstLineChars="193" w:firstLine="425"/>
              <w:jc w:val="left"/>
              <w:rPr>
                <w:rFonts w:ascii="Times New Roman" w:hAnsi="宋体"/>
                <w:kern w:val="0"/>
                <w:sz w:val="22"/>
              </w:rPr>
            </w:pPr>
            <w:r>
              <w:rPr>
                <w:rFonts w:ascii="Times New Roman" w:hAnsi="宋体" w:hint="eastAsia"/>
                <w:kern w:val="0"/>
                <w:sz w:val="22"/>
              </w:rPr>
              <w:t>学生需完成一定数量的平时作业，包括课前预习，指定主题的课外阅读，病例讨论报告等。</w:t>
            </w:r>
          </w:p>
          <w:p w:rsidR="003717A0" w:rsidRDefault="003717A0" w:rsidP="00566E4D">
            <w:pPr>
              <w:numPr>
                <w:ilvl w:val="0"/>
                <w:numId w:val="550"/>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学生完成作业的主要内容：</w:t>
            </w:r>
          </w:p>
          <w:p w:rsidR="003717A0" w:rsidRDefault="003717A0" w:rsidP="00566E4D">
            <w:pPr>
              <w:numPr>
                <w:ilvl w:val="0"/>
                <w:numId w:val="551"/>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理论课第一节后，留拓展学习作业，针对不同类型支具及应用或者常用的辅助具的类型及应用这两个主题选其一自行收集资料，在下节课时汇报。</w:t>
            </w:r>
          </w:p>
          <w:p w:rsidR="003717A0" w:rsidRDefault="003717A0" w:rsidP="00566E4D">
            <w:pPr>
              <w:numPr>
                <w:ilvl w:val="0"/>
                <w:numId w:val="551"/>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理论课第三节后，要求学生针对课堂中设计的适应症选其一，系统的了解该疾病适合的静态辅助具，在下节课时汇报。</w:t>
            </w:r>
          </w:p>
          <w:p w:rsidR="003717A0" w:rsidRDefault="003717A0" w:rsidP="00566E4D">
            <w:pPr>
              <w:numPr>
                <w:ilvl w:val="0"/>
                <w:numId w:val="550"/>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学生完成的作业必须达到以下要求：</w:t>
            </w:r>
          </w:p>
          <w:p w:rsidR="003717A0" w:rsidRDefault="003717A0" w:rsidP="00566E4D">
            <w:pPr>
              <w:numPr>
                <w:ilvl w:val="0"/>
                <w:numId w:val="552"/>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按时按要求完成，不缺交，不抄袭。</w:t>
            </w:r>
          </w:p>
          <w:p w:rsidR="003717A0" w:rsidRDefault="003717A0" w:rsidP="00566E4D">
            <w:pPr>
              <w:numPr>
                <w:ilvl w:val="0"/>
                <w:numId w:val="552"/>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思路清晰，有自己想法和理解。</w:t>
            </w:r>
          </w:p>
          <w:p w:rsidR="003717A0" w:rsidRDefault="003717A0" w:rsidP="00566E4D">
            <w:pPr>
              <w:numPr>
                <w:ilvl w:val="0"/>
                <w:numId w:val="550"/>
              </w:numPr>
              <w:autoSpaceDE w:val="0"/>
              <w:autoSpaceDN w:val="0"/>
              <w:adjustRightInd w:val="0"/>
              <w:snapToGrid w:val="0"/>
              <w:spacing w:line="320" w:lineRule="atLeast"/>
              <w:jc w:val="left"/>
              <w:rPr>
                <w:rFonts w:ascii="Times New Roman" w:hAnsi="宋体"/>
                <w:kern w:val="0"/>
                <w:sz w:val="22"/>
              </w:rPr>
            </w:pPr>
            <w:r>
              <w:rPr>
                <w:rFonts w:ascii="Times New Roman" w:hAnsi="宋体" w:hint="eastAsia"/>
                <w:kern w:val="0"/>
                <w:sz w:val="22"/>
              </w:rPr>
              <w:t>教师评价作业的要求如下：</w:t>
            </w:r>
          </w:p>
          <w:p w:rsidR="003717A0" w:rsidRDefault="003717A0" w:rsidP="00566E4D">
            <w:pPr>
              <w:autoSpaceDE w:val="0"/>
              <w:autoSpaceDN w:val="0"/>
              <w:adjustRightInd w:val="0"/>
              <w:snapToGrid w:val="0"/>
              <w:spacing w:line="320" w:lineRule="atLeast"/>
              <w:jc w:val="left"/>
              <w:rPr>
                <w:rFonts w:ascii="Times New Roman" w:hAnsi="宋体"/>
                <w:szCs w:val="21"/>
              </w:rPr>
            </w:pPr>
            <w:r>
              <w:rPr>
                <w:rFonts w:ascii="Times New Roman" w:hAnsi="宋体"/>
                <w:szCs w:val="21"/>
              </w:rPr>
              <w:t>1</w:t>
            </w:r>
            <w:r>
              <w:rPr>
                <w:rFonts w:ascii="Times New Roman" w:hAnsi="宋体" w:hint="eastAsia"/>
                <w:szCs w:val="21"/>
              </w:rPr>
              <w:t>、学生的作业要全批全改，并按时批改、讲评学生每次交来的作业；</w:t>
            </w:r>
          </w:p>
          <w:p w:rsidR="003717A0" w:rsidRDefault="003717A0" w:rsidP="00566E4D">
            <w:pPr>
              <w:autoSpaceDE w:val="0"/>
              <w:autoSpaceDN w:val="0"/>
              <w:adjustRightInd w:val="0"/>
              <w:snapToGrid w:val="0"/>
              <w:spacing w:line="320" w:lineRule="atLeast"/>
              <w:jc w:val="left"/>
              <w:rPr>
                <w:rFonts w:ascii="Times New Roman" w:hAnsi="宋体"/>
                <w:szCs w:val="21"/>
              </w:rPr>
            </w:pPr>
            <w:r>
              <w:rPr>
                <w:rFonts w:ascii="Times New Roman" w:hAnsi="宋体"/>
                <w:szCs w:val="21"/>
              </w:rPr>
              <w:t>2</w:t>
            </w:r>
            <w:r>
              <w:rPr>
                <w:rFonts w:ascii="Times New Roman" w:hAnsi="宋体" w:hint="eastAsia"/>
                <w:szCs w:val="21"/>
              </w:rPr>
              <w:t>、教师批改或讲评作业要认真、细致，并写明日期；</w:t>
            </w:r>
          </w:p>
          <w:p w:rsidR="003717A0" w:rsidRDefault="003717A0" w:rsidP="00566E4D">
            <w:pPr>
              <w:autoSpaceDE w:val="0"/>
              <w:autoSpaceDN w:val="0"/>
              <w:adjustRightInd w:val="0"/>
              <w:snapToGrid w:val="0"/>
              <w:spacing w:line="320" w:lineRule="atLeast"/>
              <w:jc w:val="left"/>
              <w:rPr>
                <w:rFonts w:ascii="Times New Roman" w:hAnsi="宋体"/>
                <w:kern w:val="0"/>
                <w:sz w:val="22"/>
              </w:rPr>
            </w:pPr>
            <w:r>
              <w:rPr>
                <w:rFonts w:ascii="Times New Roman" w:hAnsi="宋体"/>
                <w:szCs w:val="21"/>
              </w:rPr>
              <w:t>3</w:t>
            </w:r>
            <w:r>
              <w:rPr>
                <w:rFonts w:ascii="Times New Roman" w:hAnsi="宋体" w:hint="eastAsia"/>
                <w:szCs w:val="21"/>
              </w:rPr>
              <w:t>、期末按百分制评出每个学生作业的总评成绩，作为本课程学期总评成绩中平时成绩的重要组成部分。</w:t>
            </w:r>
          </w:p>
        </w:tc>
      </w:tr>
      <w:tr w:rsidR="003717A0">
        <w:trPr>
          <w:gridAfter w:val="1"/>
          <w:wAfter w:w="26" w:type="dxa"/>
          <w:cantSplit/>
          <w:trHeight w:val="1260"/>
          <w:jc w:val="center"/>
        </w:trPr>
        <w:tc>
          <w:tcPr>
            <w:tcW w:w="576" w:type="dxa"/>
            <w:vMerge/>
            <w:vAlign w:val="center"/>
          </w:tcPr>
          <w:p w:rsidR="003717A0" w:rsidRDefault="003717A0" w:rsidP="00566E4D">
            <w:pPr>
              <w:spacing w:line="320" w:lineRule="atLeast"/>
              <w:ind w:left="113" w:right="113"/>
              <w:jc w:val="center"/>
              <w:rPr>
                <w:rFonts w:ascii="黑体" w:eastAsia="黑体"/>
                <w:b/>
                <w:sz w:val="24"/>
                <w:szCs w:val="24"/>
              </w:rPr>
            </w:pPr>
          </w:p>
        </w:tc>
        <w:tc>
          <w:tcPr>
            <w:tcW w:w="588" w:type="dxa"/>
            <w:gridSpan w:val="2"/>
            <w:textDirection w:val="tbRlV"/>
            <w:vAlign w:val="center"/>
          </w:tcPr>
          <w:p w:rsidR="003717A0" w:rsidRDefault="003717A0" w:rsidP="00566E4D">
            <w:pPr>
              <w:spacing w:line="320" w:lineRule="atLeas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rsidP="00566E4D">
            <w:pPr>
              <w:autoSpaceDE w:val="0"/>
              <w:autoSpaceDN w:val="0"/>
              <w:adjustRightInd w:val="0"/>
              <w:snapToGrid w:val="0"/>
              <w:spacing w:line="320" w:lineRule="atLeast"/>
              <w:jc w:val="left"/>
              <w:rPr>
                <w:rFonts w:ascii="Times New Roman" w:hAnsi="宋体"/>
                <w:kern w:val="0"/>
                <w:sz w:val="22"/>
              </w:rPr>
            </w:pPr>
            <w:r>
              <w:rPr>
                <w:rFonts w:ascii="宋体" w:hAnsi="宋体" w:hint="eastAsia"/>
                <w:szCs w:val="21"/>
              </w:rPr>
              <w:t>在教室、实验室内，多与学生进行面对面的交流互动，同时充分利用</w:t>
            </w:r>
            <w:r>
              <w:rPr>
                <w:rFonts w:ascii="宋体" w:hAnsi="宋体"/>
                <w:szCs w:val="21"/>
              </w:rPr>
              <w:t>blackboard</w:t>
            </w:r>
            <w:r>
              <w:rPr>
                <w:rFonts w:ascii="宋体" w:hAnsi="宋体" w:hint="eastAsia"/>
                <w:szCs w:val="21"/>
              </w:rPr>
              <w:t>、微信、</w:t>
            </w:r>
            <w:r>
              <w:rPr>
                <w:rFonts w:ascii="宋体" w:hAnsi="宋体"/>
                <w:szCs w:val="21"/>
              </w:rPr>
              <w:t>QQ</w:t>
            </w:r>
            <w:r>
              <w:rPr>
                <w:rFonts w:ascii="宋体" w:hAns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rsidP="00566E4D">
            <w:pPr>
              <w:spacing w:line="320" w:lineRule="atLeast"/>
              <w:ind w:left="113" w:right="113"/>
              <w:jc w:val="center"/>
              <w:rPr>
                <w:rFonts w:ascii="黑体" w:eastAsia="黑体"/>
                <w:b/>
                <w:sz w:val="24"/>
                <w:szCs w:val="24"/>
              </w:rPr>
            </w:pPr>
          </w:p>
        </w:tc>
        <w:tc>
          <w:tcPr>
            <w:tcW w:w="588" w:type="dxa"/>
            <w:gridSpan w:val="2"/>
            <w:textDirection w:val="tbRlV"/>
            <w:vAlign w:val="center"/>
          </w:tcPr>
          <w:p w:rsidR="003717A0" w:rsidRDefault="003717A0" w:rsidP="00566E4D">
            <w:pPr>
              <w:spacing w:line="320" w:lineRule="atLeas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rsidP="00566E4D">
            <w:pPr>
              <w:autoSpaceDE w:val="0"/>
              <w:autoSpaceDN w:val="0"/>
              <w:adjustRightInd w:val="0"/>
              <w:snapToGrid w:val="0"/>
              <w:spacing w:line="320" w:lineRule="atLeast"/>
              <w:jc w:val="left"/>
              <w:rPr>
                <w:rFonts w:ascii="宋体"/>
                <w:szCs w:val="21"/>
              </w:rPr>
            </w:pPr>
            <w:r>
              <w:rPr>
                <w:rFonts w:ascii="宋体" w:hAnsi="宋体" w:hint="eastAsia"/>
                <w:szCs w:val="21"/>
              </w:rPr>
              <w:t>本课程为学期课程，成绩考核的方式：考试。考试学期总评成绩的评定方法如下：</w:t>
            </w:r>
          </w:p>
          <w:p w:rsidR="003717A0" w:rsidRDefault="003717A0" w:rsidP="00566E4D">
            <w:pPr>
              <w:numPr>
                <w:ilvl w:val="0"/>
                <w:numId w:val="553"/>
              </w:numPr>
              <w:autoSpaceDE w:val="0"/>
              <w:autoSpaceDN w:val="0"/>
              <w:adjustRightInd w:val="0"/>
              <w:snapToGrid w:val="0"/>
              <w:spacing w:line="320" w:lineRule="atLeast"/>
              <w:jc w:val="left"/>
              <w:rPr>
                <w:rFonts w:ascii="宋体"/>
                <w:szCs w:val="21"/>
              </w:rPr>
            </w:pPr>
            <w:r>
              <w:rPr>
                <w:rFonts w:ascii="宋体" w:hAnsi="宋体" w:hint="eastAsia"/>
                <w:szCs w:val="21"/>
              </w:rPr>
              <w:t>平时成绩占总成绩的</w:t>
            </w:r>
            <w:r>
              <w:rPr>
                <w:rFonts w:ascii="宋体" w:hAnsi="宋体"/>
                <w:szCs w:val="21"/>
              </w:rPr>
              <w:t>50%</w:t>
            </w:r>
            <w:r>
              <w:rPr>
                <w:rFonts w:ascii="宋体" w:hAnsi="宋体" w:hint="eastAsia"/>
                <w:szCs w:val="21"/>
              </w:rPr>
              <w:t>其中操作考试成绩占</w:t>
            </w:r>
            <w:r>
              <w:rPr>
                <w:rFonts w:ascii="宋体" w:hAnsi="宋体"/>
                <w:szCs w:val="21"/>
              </w:rPr>
              <w:t>20%</w:t>
            </w:r>
          </w:p>
          <w:p w:rsidR="003717A0" w:rsidRDefault="003717A0" w:rsidP="00566E4D">
            <w:pPr>
              <w:numPr>
                <w:ilvl w:val="0"/>
                <w:numId w:val="553"/>
              </w:numPr>
              <w:autoSpaceDE w:val="0"/>
              <w:autoSpaceDN w:val="0"/>
              <w:adjustRightInd w:val="0"/>
              <w:snapToGrid w:val="0"/>
              <w:spacing w:line="320" w:lineRule="atLeast"/>
              <w:jc w:val="left"/>
              <w:rPr>
                <w:rFonts w:ascii="Times New Roman" w:hAnsi="宋体"/>
                <w:kern w:val="0"/>
                <w:sz w:val="22"/>
              </w:rPr>
            </w:pPr>
            <w:r>
              <w:rPr>
                <w:rFonts w:ascii="宋体" w:hAnsi="宋体" w:hint="eastAsia"/>
                <w:szCs w:val="21"/>
              </w:rPr>
              <w:t>期末论文成绩占总成绩的</w:t>
            </w:r>
            <w:r>
              <w:rPr>
                <w:rFonts w:ascii="宋体" w:hAnsi="宋体"/>
                <w:szCs w:val="21"/>
              </w:rPr>
              <w:t>50%</w:t>
            </w:r>
            <w:r>
              <w:rPr>
                <w:rFonts w:ascii="宋体" w:hAnsi="宋体" w:hint="eastAsia"/>
                <w:szCs w:val="21"/>
              </w:rPr>
              <w:t>。</w:t>
            </w:r>
          </w:p>
          <w:p w:rsidR="003717A0" w:rsidRDefault="003717A0" w:rsidP="00566E4D">
            <w:pPr>
              <w:numPr>
                <w:ilvl w:val="0"/>
                <w:numId w:val="553"/>
              </w:numPr>
              <w:autoSpaceDE w:val="0"/>
              <w:autoSpaceDN w:val="0"/>
              <w:adjustRightInd w:val="0"/>
              <w:snapToGrid w:val="0"/>
              <w:spacing w:line="320" w:lineRule="atLeast"/>
              <w:jc w:val="left"/>
              <w:rPr>
                <w:rFonts w:ascii="Times New Roman" w:hAnsi="宋体"/>
                <w:szCs w:val="21"/>
              </w:rPr>
            </w:pPr>
            <w:r>
              <w:rPr>
                <w:rFonts w:ascii="Times New Roman" w:hAnsi="宋体" w:hint="eastAsia"/>
                <w:szCs w:val="21"/>
              </w:rPr>
              <w:t>有下列情况之一者，总评成绩为不及格：</w:t>
            </w:r>
          </w:p>
          <w:p w:rsidR="003717A0" w:rsidRDefault="003717A0" w:rsidP="00566E4D">
            <w:pPr>
              <w:autoSpaceDE w:val="0"/>
              <w:autoSpaceDN w:val="0"/>
              <w:adjustRightInd w:val="0"/>
              <w:snapToGrid w:val="0"/>
              <w:spacing w:line="320" w:lineRule="atLeast"/>
              <w:jc w:val="left"/>
              <w:rPr>
                <w:rFonts w:ascii="Times New Roman" w:hAnsi="Times New Roman"/>
                <w:szCs w:val="21"/>
              </w:rPr>
            </w:pPr>
            <w:r>
              <w:rPr>
                <w:rFonts w:ascii="Times New Roman" w:hAnsi="宋体" w:hint="eastAsia"/>
                <w:szCs w:val="21"/>
              </w:rPr>
              <w:t>（</w:t>
            </w:r>
            <w:r>
              <w:rPr>
                <w:rFonts w:ascii="Times New Roman" w:hAnsi="Times New Roman"/>
                <w:szCs w:val="21"/>
              </w:rPr>
              <w:t>1</w:t>
            </w:r>
            <w:r>
              <w:rPr>
                <w:rFonts w:ascii="Times New Roman" w:hAnsi="宋体" w:hint="eastAsia"/>
                <w:szCs w:val="21"/>
              </w:rPr>
              <w:t>）缺交作业次数达</w:t>
            </w:r>
            <w:r>
              <w:rPr>
                <w:rFonts w:ascii="Times New Roman" w:hAnsi="Times New Roman"/>
                <w:szCs w:val="21"/>
              </w:rPr>
              <w:t>1/3</w:t>
            </w:r>
            <w:r>
              <w:rPr>
                <w:rFonts w:ascii="Times New Roman" w:hAnsi="宋体" w:hint="eastAsia"/>
                <w:szCs w:val="21"/>
              </w:rPr>
              <w:t>以上者；</w:t>
            </w:r>
          </w:p>
          <w:p w:rsidR="003717A0" w:rsidRDefault="003717A0" w:rsidP="00566E4D">
            <w:pPr>
              <w:autoSpaceDE w:val="0"/>
              <w:autoSpaceDN w:val="0"/>
              <w:adjustRightInd w:val="0"/>
              <w:snapToGrid w:val="0"/>
              <w:spacing w:line="320" w:lineRule="atLeast"/>
              <w:jc w:val="left"/>
              <w:rPr>
                <w:rFonts w:ascii="Times New Roman" w:hAnsi="宋体"/>
                <w:kern w:val="0"/>
                <w:sz w:val="22"/>
              </w:rPr>
            </w:pPr>
            <w:r>
              <w:rPr>
                <w:rFonts w:ascii="Times New Roman" w:hAnsi="宋体" w:hint="eastAsia"/>
                <w:szCs w:val="21"/>
              </w:rPr>
              <w:t>（</w:t>
            </w:r>
            <w:r>
              <w:rPr>
                <w:rFonts w:ascii="Times New Roman" w:hAnsi="Times New Roman"/>
                <w:szCs w:val="21"/>
              </w:rPr>
              <w:t>2</w:t>
            </w:r>
            <w:r>
              <w:rPr>
                <w:rFonts w:ascii="Times New Roman" w:hAnsi="宋体" w:hint="eastAsia"/>
                <w:szCs w:val="21"/>
              </w:rPr>
              <w:t>）缺课次数达本学期总授课学时的</w:t>
            </w:r>
            <w:r>
              <w:rPr>
                <w:rFonts w:ascii="Times New Roman" w:hAnsi="Times New Roman"/>
                <w:szCs w:val="21"/>
              </w:rPr>
              <w:t>1/3</w:t>
            </w:r>
            <w:r>
              <w:rPr>
                <w:rFonts w:ascii="Times New Roman" w:hAnsi="宋体"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rsidP="00566E4D">
            <w:pPr>
              <w:spacing w:line="320" w:lineRule="atLeast"/>
              <w:ind w:left="113" w:right="113"/>
              <w:jc w:val="center"/>
              <w:rPr>
                <w:rFonts w:ascii="黑体" w:eastAsia="黑体"/>
                <w:b/>
                <w:sz w:val="24"/>
                <w:szCs w:val="24"/>
              </w:rPr>
            </w:pPr>
          </w:p>
        </w:tc>
        <w:tc>
          <w:tcPr>
            <w:tcW w:w="588" w:type="dxa"/>
            <w:gridSpan w:val="2"/>
            <w:textDirection w:val="tbRlV"/>
            <w:vAlign w:val="center"/>
          </w:tcPr>
          <w:p w:rsidR="003717A0" w:rsidRDefault="003717A0" w:rsidP="00566E4D">
            <w:pPr>
              <w:spacing w:line="320" w:lineRule="atLeas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rsidP="00566E4D">
            <w:pPr>
              <w:autoSpaceDE w:val="0"/>
              <w:autoSpaceDN w:val="0"/>
              <w:adjustRightInd w:val="0"/>
              <w:snapToGrid w:val="0"/>
              <w:spacing w:line="320" w:lineRule="atLeast"/>
              <w:jc w:val="left"/>
              <w:rPr>
                <w:rFonts w:ascii="Times New Roman" w:hAnsi="宋体"/>
                <w:kern w:val="0"/>
                <w:sz w:val="22"/>
              </w:rPr>
            </w:pPr>
            <w:r>
              <w:rPr>
                <w:rFonts w:ascii="宋体" w:hAnsi="宋体" w:hint="eastAsia"/>
                <w:szCs w:val="21"/>
              </w:rPr>
              <w:t>为了培养学生综合运用所学知识解决实际问题的能力和创新能力，本课程教师应鼓励和指导学生积极参加课外学术活动兴趣小组，参与教师的科学研究活动，培养和提高实践操作能力和专业基本技能。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rsidP="00566E4D">
            <w:pPr>
              <w:spacing w:line="320" w:lineRule="atLeast"/>
              <w:ind w:left="113" w:right="113"/>
              <w:jc w:val="center"/>
            </w:pPr>
            <w:r>
              <w:rPr>
                <w:rFonts w:ascii="黑体" w:eastAsia="黑体" w:hint="eastAsia"/>
                <w:b/>
                <w:sz w:val="24"/>
                <w:szCs w:val="24"/>
              </w:rPr>
              <w:t>备注</w:t>
            </w:r>
          </w:p>
        </w:tc>
        <w:tc>
          <w:tcPr>
            <w:tcW w:w="8458" w:type="dxa"/>
            <w:gridSpan w:val="2"/>
            <w:vAlign w:val="center"/>
          </w:tcPr>
          <w:p w:rsidR="003717A0" w:rsidRDefault="003717A0" w:rsidP="00566E4D">
            <w:pPr>
              <w:spacing w:line="320" w:lineRule="atLeast"/>
            </w:pPr>
          </w:p>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rsidP="005E20B5">
      <w:pPr>
        <w:adjustRightInd w:val="0"/>
        <w:snapToGrid w:val="0"/>
        <w:spacing w:beforeLines="50" w:afterLines="50" w:line="400" w:lineRule="exact"/>
        <w:rPr>
          <w:rFonts w:ascii="Times New Roman" w:hAnsi="Times New Roman"/>
          <w:sz w:val="22"/>
        </w:rPr>
      </w:pPr>
    </w:p>
    <w:p w:rsidR="003717A0" w:rsidRPr="00566E4D" w:rsidRDefault="003717A0">
      <w:pPr>
        <w:pStyle w:val="1"/>
        <w:rPr>
          <w:b/>
        </w:rPr>
      </w:pPr>
      <w:r>
        <w:br w:type="page"/>
      </w:r>
      <w:bookmarkStart w:id="125" w:name="_Toc469313023"/>
      <w:bookmarkStart w:id="126" w:name="_Toc471830735"/>
      <w:r w:rsidRPr="00566E4D">
        <w:rPr>
          <w:rFonts w:hint="eastAsia"/>
          <w:b/>
        </w:rPr>
        <w:lastRenderedPageBreak/>
        <w:t>《中西结合运动治疗技术》课程质量标准</w:t>
      </w:r>
      <w:bookmarkEnd w:id="125"/>
      <w:bookmarkEnd w:id="126"/>
    </w:p>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sidRPr="00566E4D">
        <w:rPr>
          <w:rFonts w:ascii="Times New Roman" w:eastAsia="黑体" w:hAnsi="Times New Roman" w:cs="Times New Roman" w:hint="eastAsia"/>
          <w:b/>
          <w:bCs/>
          <w:kern w:val="0"/>
          <w:sz w:val="32"/>
          <w:szCs w:val="32"/>
        </w:rPr>
        <w:t>一、课程简介</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523"/>
        <w:gridCol w:w="827"/>
        <w:gridCol w:w="697"/>
        <w:gridCol w:w="762"/>
        <w:gridCol w:w="443"/>
        <w:gridCol w:w="318"/>
        <w:gridCol w:w="414"/>
        <w:gridCol w:w="1110"/>
        <w:gridCol w:w="1524"/>
      </w:tblGrid>
      <w:tr w:rsidR="003717A0">
        <w:tc>
          <w:tcPr>
            <w:tcW w:w="1668" w:type="dxa"/>
          </w:tcPr>
          <w:p w:rsidR="003717A0" w:rsidRDefault="003717A0">
            <w:pPr>
              <w:adjustRightInd w:val="0"/>
              <w:snapToGrid w:val="0"/>
              <w:spacing w:line="500" w:lineRule="exact"/>
              <w:jc w:val="center"/>
              <w:rPr>
                <w:sz w:val="22"/>
              </w:rPr>
            </w:pPr>
            <w:r>
              <w:rPr>
                <w:rFonts w:hint="eastAsia"/>
                <w:sz w:val="22"/>
              </w:rPr>
              <w:t>课程名称</w:t>
            </w:r>
          </w:p>
        </w:tc>
        <w:tc>
          <w:tcPr>
            <w:tcW w:w="7618" w:type="dxa"/>
            <w:gridSpan w:val="9"/>
          </w:tcPr>
          <w:p w:rsidR="003717A0" w:rsidRDefault="003717A0">
            <w:pPr>
              <w:adjustRightInd w:val="0"/>
              <w:snapToGrid w:val="0"/>
              <w:spacing w:line="500" w:lineRule="exact"/>
              <w:jc w:val="center"/>
              <w:rPr>
                <w:sz w:val="22"/>
              </w:rPr>
            </w:pPr>
            <w:r>
              <w:rPr>
                <w:rFonts w:hint="eastAsia"/>
                <w:sz w:val="22"/>
              </w:rPr>
              <w:t>中西结合运动治疗技术</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英译名称</w:t>
            </w:r>
          </w:p>
        </w:tc>
        <w:tc>
          <w:tcPr>
            <w:tcW w:w="7618" w:type="dxa"/>
            <w:gridSpan w:val="9"/>
          </w:tcPr>
          <w:p w:rsidR="003717A0" w:rsidRDefault="003717A0">
            <w:pPr>
              <w:adjustRightInd w:val="0"/>
              <w:snapToGrid w:val="0"/>
              <w:spacing w:line="500" w:lineRule="exact"/>
              <w:jc w:val="center"/>
              <w:rPr>
                <w:sz w:val="22"/>
              </w:rPr>
            </w:pPr>
            <w:r>
              <w:rPr>
                <w:sz w:val="22"/>
              </w:rPr>
              <w:t>exercise therapy technology combined with Chinese and western</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课程代码</w:t>
            </w:r>
          </w:p>
        </w:tc>
        <w:tc>
          <w:tcPr>
            <w:tcW w:w="2350" w:type="dxa"/>
            <w:gridSpan w:val="2"/>
          </w:tcPr>
          <w:p w:rsidR="003717A0" w:rsidRDefault="003717A0">
            <w:pPr>
              <w:adjustRightInd w:val="0"/>
              <w:snapToGrid w:val="0"/>
              <w:spacing w:line="500" w:lineRule="exact"/>
              <w:jc w:val="center"/>
              <w:rPr>
                <w:sz w:val="22"/>
              </w:rPr>
            </w:pPr>
            <w:r>
              <w:rPr>
                <w:sz w:val="22"/>
              </w:rPr>
              <w:t>170713</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课程开设学期</w:t>
            </w:r>
          </w:p>
        </w:tc>
        <w:tc>
          <w:tcPr>
            <w:tcW w:w="3366" w:type="dxa"/>
            <w:gridSpan w:val="4"/>
          </w:tcPr>
          <w:p w:rsidR="003717A0" w:rsidRDefault="003717A0">
            <w:pPr>
              <w:adjustRightInd w:val="0"/>
              <w:snapToGrid w:val="0"/>
              <w:spacing w:line="500" w:lineRule="exact"/>
              <w:jc w:val="center"/>
              <w:rPr>
                <w:sz w:val="22"/>
              </w:rPr>
            </w:pPr>
            <w:r>
              <w:rPr>
                <w:rFonts w:hint="eastAsia"/>
                <w:sz w:val="22"/>
              </w:rPr>
              <w:t>六</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课程学时</w:t>
            </w:r>
          </w:p>
        </w:tc>
        <w:tc>
          <w:tcPr>
            <w:tcW w:w="2350" w:type="dxa"/>
            <w:gridSpan w:val="2"/>
          </w:tcPr>
          <w:p w:rsidR="003717A0" w:rsidRDefault="003717A0">
            <w:pPr>
              <w:adjustRightInd w:val="0"/>
              <w:snapToGrid w:val="0"/>
              <w:spacing w:line="500" w:lineRule="exact"/>
              <w:jc w:val="center"/>
              <w:rPr>
                <w:sz w:val="22"/>
              </w:rPr>
            </w:pPr>
            <w:r>
              <w:rPr>
                <w:sz w:val="22"/>
              </w:rPr>
              <w:t>18</w:t>
            </w:r>
          </w:p>
        </w:tc>
        <w:tc>
          <w:tcPr>
            <w:tcW w:w="1902" w:type="dxa"/>
            <w:gridSpan w:val="3"/>
          </w:tcPr>
          <w:p w:rsidR="003717A0" w:rsidRDefault="003717A0">
            <w:pPr>
              <w:adjustRightInd w:val="0"/>
              <w:snapToGrid w:val="0"/>
              <w:spacing w:line="500" w:lineRule="exact"/>
              <w:jc w:val="center"/>
              <w:rPr>
                <w:sz w:val="22"/>
              </w:rPr>
            </w:pPr>
            <w:r>
              <w:rPr>
                <w:rFonts w:hint="eastAsia"/>
                <w:sz w:val="22"/>
              </w:rPr>
              <w:t>课程学分</w:t>
            </w:r>
          </w:p>
        </w:tc>
        <w:tc>
          <w:tcPr>
            <w:tcW w:w="3366" w:type="dxa"/>
            <w:gridSpan w:val="4"/>
          </w:tcPr>
          <w:p w:rsidR="003717A0" w:rsidRDefault="003717A0">
            <w:pPr>
              <w:adjustRightInd w:val="0"/>
              <w:snapToGrid w:val="0"/>
              <w:spacing w:line="500" w:lineRule="exact"/>
              <w:jc w:val="center"/>
              <w:rPr>
                <w:sz w:val="22"/>
              </w:rPr>
            </w:pPr>
            <w:r>
              <w:rPr>
                <w:sz w:val="22"/>
              </w:rPr>
              <w:t>1</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课程类型</w:t>
            </w:r>
          </w:p>
        </w:tc>
        <w:tc>
          <w:tcPr>
            <w:tcW w:w="7618" w:type="dxa"/>
            <w:gridSpan w:val="9"/>
          </w:tcPr>
          <w:p w:rsidR="003717A0" w:rsidRDefault="003717A0">
            <w:pPr>
              <w:adjustRightInd w:val="0"/>
              <w:snapToGrid w:val="0"/>
              <w:spacing w:line="500" w:lineRule="exact"/>
              <w:jc w:val="center"/>
              <w:rPr>
                <w:sz w:val="22"/>
              </w:rPr>
            </w:pPr>
            <w:r>
              <w:rPr>
                <w:rFonts w:ascii="宋体" w:hint="eastAsia"/>
                <w:sz w:val="22"/>
              </w:rPr>
              <w:t>□</w:t>
            </w:r>
            <w:r>
              <w:rPr>
                <w:rFonts w:hint="eastAsia"/>
                <w:sz w:val="22"/>
              </w:rPr>
              <w:t>公共基础课</w:t>
            </w:r>
            <w:r>
              <w:rPr>
                <w:rFonts w:ascii="宋体" w:hint="eastAsia"/>
                <w:sz w:val="22"/>
              </w:rPr>
              <w:t>□专业基础课□专业课</w:t>
            </w:r>
            <w:r>
              <w:rPr>
                <w:rFonts w:ascii="宋体" w:hint="eastAsia"/>
                <w:szCs w:val="21"/>
              </w:rPr>
              <w:t>■</w:t>
            </w:r>
            <w:r>
              <w:rPr>
                <w:rFonts w:ascii="宋体" w:hint="eastAsia"/>
                <w:sz w:val="22"/>
              </w:rPr>
              <w:t>专业选修课□公共选修课</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授课学院</w:t>
            </w:r>
          </w:p>
        </w:tc>
        <w:tc>
          <w:tcPr>
            <w:tcW w:w="2350" w:type="dxa"/>
            <w:gridSpan w:val="2"/>
          </w:tcPr>
          <w:p w:rsidR="003717A0" w:rsidRDefault="003717A0">
            <w:pPr>
              <w:adjustRightInd w:val="0"/>
              <w:snapToGrid w:val="0"/>
              <w:spacing w:line="500" w:lineRule="exact"/>
              <w:jc w:val="center"/>
              <w:rPr>
                <w:sz w:val="22"/>
              </w:rPr>
            </w:pPr>
            <w:r>
              <w:rPr>
                <w:rFonts w:hint="eastAsia"/>
                <w:sz w:val="22"/>
              </w:rPr>
              <w:t>医学院</w:t>
            </w:r>
          </w:p>
        </w:tc>
        <w:tc>
          <w:tcPr>
            <w:tcW w:w="2634" w:type="dxa"/>
            <w:gridSpan w:val="5"/>
          </w:tcPr>
          <w:p w:rsidR="003717A0" w:rsidRDefault="003717A0">
            <w:pPr>
              <w:adjustRightInd w:val="0"/>
              <w:snapToGrid w:val="0"/>
              <w:spacing w:line="500" w:lineRule="exact"/>
              <w:jc w:val="center"/>
              <w:rPr>
                <w:sz w:val="22"/>
              </w:rPr>
            </w:pPr>
            <w:r>
              <w:rPr>
                <w:rFonts w:hint="eastAsia"/>
                <w:sz w:val="22"/>
              </w:rPr>
              <w:t>教学研究室</w:t>
            </w:r>
            <w:r>
              <w:rPr>
                <w:sz w:val="22"/>
              </w:rPr>
              <w:t>/</w:t>
            </w:r>
            <w:r>
              <w:rPr>
                <w:rFonts w:hint="eastAsia"/>
                <w:sz w:val="22"/>
              </w:rPr>
              <w:t>系</w:t>
            </w:r>
          </w:p>
        </w:tc>
        <w:tc>
          <w:tcPr>
            <w:tcW w:w="2634" w:type="dxa"/>
            <w:gridSpan w:val="2"/>
          </w:tcPr>
          <w:p w:rsidR="003717A0" w:rsidRDefault="003717A0">
            <w:pPr>
              <w:adjustRightInd w:val="0"/>
              <w:snapToGrid w:val="0"/>
              <w:spacing w:line="500" w:lineRule="exact"/>
              <w:jc w:val="center"/>
              <w:rPr>
                <w:sz w:val="22"/>
              </w:rPr>
            </w:pPr>
            <w:r>
              <w:rPr>
                <w:rFonts w:hint="eastAsia"/>
                <w:sz w:val="22"/>
              </w:rPr>
              <w:t>康复医学系</w:t>
            </w:r>
          </w:p>
        </w:tc>
      </w:tr>
      <w:tr w:rsidR="003717A0">
        <w:tc>
          <w:tcPr>
            <w:tcW w:w="1668" w:type="dxa"/>
          </w:tcPr>
          <w:p w:rsidR="003717A0" w:rsidRDefault="003717A0">
            <w:pPr>
              <w:adjustRightInd w:val="0"/>
              <w:snapToGrid w:val="0"/>
              <w:spacing w:line="500" w:lineRule="exact"/>
              <w:rPr>
                <w:sz w:val="22"/>
              </w:rPr>
            </w:pPr>
            <w:r>
              <w:rPr>
                <w:rFonts w:hint="eastAsia"/>
                <w:sz w:val="22"/>
              </w:rPr>
              <w:t>教材名称</w:t>
            </w:r>
          </w:p>
        </w:tc>
        <w:tc>
          <w:tcPr>
            <w:tcW w:w="7618" w:type="dxa"/>
            <w:gridSpan w:val="9"/>
          </w:tcPr>
          <w:p w:rsidR="003717A0" w:rsidRDefault="003717A0">
            <w:pPr>
              <w:adjustRightInd w:val="0"/>
              <w:snapToGrid w:val="0"/>
              <w:spacing w:line="500" w:lineRule="exact"/>
              <w:rPr>
                <w:sz w:val="22"/>
              </w:rPr>
            </w:pPr>
            <w:r>
              <w:rPr>
                <w:rFonts w:hint="eastAsia"/>
                <w:sz w:val="22"/>
              </w:rPr>
              <w:t>自编</w:t>
            </w:r>
          </w:p>
        </w:tc>
      </w:tr>
      <w:tr w:rsidR="003717A0">
        <w:tc>
          <w:tcPr>
            <w:tcW w:w="1668" w:type="dxa"/>
          </w:tcPr>
          <w:p w:rsidR="003717A0" w:rsidRDefault="003717A0">
            <w:pPr>
              <w:adjustRightInd w:val="0"/>
              <w:snapToGrid w:val="0"/>
              <w:spacing w:line="500" w:lineRule="exact"/>
              <w:rPr>
                <w:sz w:val="22"/>
              </w:rPr>
            </w:pPr>
            <w:r>
              <w:rPr>
                <w:rFonts w:hint="eastAsia"/>
                <w:sz w:val="22"/>
              </w:rPr>
              <w:t>教材出版信息</w:t>
            </w:r>
          </w:p>
        </w:tc>
        <w:tc>
          <w:tcPr>
            <w:tcW w:w="7618" w:type="dxa"/>
            <w:gridSpan w:val="9"/>
          </w:tcPr>
          <w:p w:rsidR="003717A0" w:rsidRDefault="003717A0">
            <w:pPr>
              <w:adjustRightInd w:val="0"/>
              <w:snapToGrid w:val="0"/>
              <w:spacing w:line="500" w:lineRule="exact"/>
              <w:rPr>
                <w:sz w:val="22"/>
              </w:rPr>
            </w:pPr>
            <w:r>
              <w:rPr>
                <w:rFonts w:hint="eastAsia"/>
                <w:sz w:val="22"/>
              </w:rPr>
              <w:t>未出版</w:t>
            </w:r>
          </w:p>
        </w:tc>
      </w:tr>
      <w:tr w:rsidR="003717A0">
        <w:tc>
          <w:tcPr>
            <w:tcW w:w="1668" w:type="dxa"/>
          </w:tcPr>
          <w:p w:rsidR="003717A0" w:rsidRDefault="003717A0">
            <w:pPr>
              <w:adjustRightInd w:val="0"/>
              <w:snapToGrid w:val="0"/>
              <w:spacing w:line="500" w:lineRule="exact"/>
              <w:rPr>
                <w:sz w:val="22"/>
              </w:rPr>
            </w:pPr>
            <w:r>
              <w:rPr>
                <w:rFonts w:hint="eastAsia"/>
                <w:sz w:val="22"/>
              </w:rPr>
              <w:t>教材性质</w:t>
            </w:r>
          </w:p>
        </w:tc>
        <w:tc>
          <w:tcPr>
            <w:tcW w:w="7618" w:type="dxa"/>
            <w:gridSpan w:val="9"/>
          </w:tcPr>
          <w:p w:rsidR="003717A0" w:rsidRDefault="003717A0">
            <w:pPr>
              <w:adjustRightInd w:val="0"/>
              <w:snapToGrid w:val="0"/>
              <w:spacing w:line="500" w:lineRule="exact"/>
              <w:rPr>
                <w:sz w:val="22"/>
              </w:rPr>
            </w:pPr>
            <w:r>
              <w:rPr>
                <w:rFonts w:ascii="宋体" w:hint="eastAsia"/>
                <w:sz w:val="22"/>
              </w:rPr>
              <w:t>□国家□部级规划□省级规划</w:t>
            </w:r>
            <w:r>
              <w:rPr>
                <w:rFonts w:ascii="宋体" w:hint="eastAsia"/>
                <w:szCs w:val="21"/>
              </w:rPr>
              <w:t>■</w:t>
            </w:r>
            <w:r>
              <w:rPr>
                <w:rFonts w:ascii="宋体" w:hint="eastAsia"/>
                <w:sz w:val="22"/>
              </w:rPr>
              <w:t>自编□其他</w:t>
            </w:r>
          </w:p>
        </w:tc>
      </w:tr>
      <w:tr w:rsidR="003717A0">
        <w:tc>
          <w:tcPr>
            <w:tcW w:w="1668" w:type="dxa"/>
          </w:tcPr>
          <w:p w:rsidR="003717A0" w:rsidRDefault="003717A0">
            <w:pPr>
              <w:adjustRightInd w:val="0"/>
              <w:snapToGrid w:val="0"/>
              <w:spacing w:line="500" w:lineRule="exact"/>
              <w:rPr>
                <w:sz w:val="22"/>
              </w:rPr>
            </w:pPr>
            <w:r>
              <w:rPr>
                <w:rFonts w:hint="eastAsia"/>
                <w:sz w:val="22"/>
              </w:rPr>
              <w:t>考核方式</w:t>
            </w:r>
          </w:p>
        </w:tc>
        <w:tc>
          <w:tcPr>
            <w:tcW w:w="7618" w:type="dxa"/>
            <w:gridSpan w:val="9"/>
          </w:tcPr>
          <w:p w:rsidR="003717A0" w:rsidRDefault="003717A0">
            <w:pPr>
              <w:adjustRightInd w:val="0"/>
              <w:snapToGrid w:val="0"/>
              <w:spacing w:line="500" w:lineRule="exact"/>
              <w:rPr>
                <w:sz w:val="22"/>
              </w:rPr>
            </w:pPr>
            <w:r>
              <w:rPr>
                <w:rFonts w:ascii="宋体" w:hint="eastAsia"/>
                <w:sz w:val="22"/>
              </w:rPr>
              <w:t>□考试□考查□开卷□闭卷□课程设计□学期论文</w:t>
            </w:r>
            <w:r>
              <w:rPr>
                <w:rFonts w:ascii="宋体" w:hint="eastAsia"/>
                <w:szCs w:val="21"/>
              </w:rPr>
              <w:t>■</w:t>
            </w:r>
            <w:r>
              <w:rPr>
                <w:rFonts w:ascii="宋体" w:hint="eastAsia"/>
                <w:sz w:val="22"/>
              </w:rPr>
              <w:t>其他</w:t>
            </w:r>
          </w:p>
        </w:tc>
      </w:tr>
      <w:tr w:rsidR="003717A0">
        <w:tc>
          <w:tcPr>
            <w:tcW w:w="1668" w:type="dxa"/>
          </w:tcPr>
          <w:p w:rsidR="003717A0" w:rsidRDefault="003717A0">
            <w:pPr>
              <w:adjustRightInd w:val="0"/>
              <w:snapToGrid w:val="0"/>
              <w:spacing w:line="500" w:lineRule="exact"/>
              <w:rPr>
                <w:sz w:val="22"/>
              </w:rPr>
            </w:pPr>
            <w:r>
              <w:rPr>
                <w:rFonts w:hint="eastAsia"/>
                <w:sz w:val="22"/>
              </w:rPr>
              <w:t>课程成绩</w:t>
            </w:r>
          </w:p>
        </w:tc>
        <w:tc>
          <w:tcPr>
            <w:tcW w:w="3809" w:type="dxa"/>
            <w:gridSpan w:val="4"/>
          </w:tcPr>
          <w:p w:rsidR="003717A0" w:rsidRDefault="003717A0">
            <w:pPr>
              <w:adjustRightInd w:val="0"/>
              <w:snapToGrid w:val="0"/>
              <w:spacing w:line="500" w:lineRule="exact"/>
              <w:rPr>
                <w:sz w:val="22"/>
              </w:rPr>
            </w:pPr>
            <w:r>
              <w:rPr>
                <w:rFonts w:hint="eastAsia"/>
                <w:sz w:val="22"/>
              </w:rPr>
              <w:t>平时成绩</w:t>
            </w:r>
            <w:r>
              <w:rPr>
                <w:sz w:val="22"/>
              </w:rPr>
              <w:t xml:space="preserve">  100%</w:t>
            </w:r>
          </w:p>
        </w:tc>
        <w:tc>
          <w:tcPr>
            <w:tcW w:w="3809" w:type="dxa"/>
            <w:gridSpan w:val="5"/>
          </w:tcPr>
          <w:p w:rsidR="003717A0" w:rsidRDefault="003717A0">
            <w:pPr>
              <w:adjustRightInd w:val="0"/>
              <w:snapToGrid w:val="0"/>
              <w:spacing w:line="500" w:lineRule="exact"/>
              <w:rPr>
                <w:sz w:val="22"/>
              </w:rPr>
            </w:pPr>
            <w:r>
              <w:rPr>
                <w:rFonts w:hint="eastAsia"/>
                <w:sz w:val="22"/>
              </w:rPr>
              <w:t>期末成绩</w:t>
            </w:r>
            <w:r>
              <w:rPr>
                <w:sz w:val="22"/>
              </w:rPr>
              <w:t xml:space="preserve"> 0%</w:t>
            </w: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课程负责人及团队骨干（五人以内）</w:t>
            </w:r>
          </w:p>
        </w:tc>
      </w:tr>
      <w:tr w:rsidR="003717A0">
        <w:tc>
          <w:tcPr>
            <w:tcW w:w="1668" w:type="dxa"/>
          </w:tcPr>
          <w:p w:rsidR="003717A0" w:rsidRDefault="003717A0">
            <w:pPr>
              <w:adjustRightInd w:val="0"/>
              <w:snapToGrid w:val="0"/>
              <w:spacing w:line="500" w:lineRule="exact"/>
              <w:jc w:val="center"/>
              <w:rPr>
                <w:sz w:val="22"/>
              </w:rPr>
            </w:pPr>
            <w:r>
              <w:rPr>
                <w:rFonts w:hint="eastAsia"/>
                <w:sz w:val="22"/>
              </w:rPr>
              <w:t>姓名</w:t>
            </w:r>
          </w:p>
        </w:tc>
        <w:tc>
          <w:tcPr>
            <w:tcW w:w="1523" w:type="dxa"/>
          </w:tcPr>
          <w:p w:rsidR="003717A0" w:rsidRDefault="003717A0">
            <w:pPr>
              <w:adjustRightInd w:val="0"/>
              <w:snapToGrid w:val="0"/>
              <w:spacing w:line="500" w:lineRule="exact"/>
              <w:jc w:val="center"/>
              <w:rPr>
                <w:sz w:val="22"/>
              </w:rPr>
            </w:pPr>
            <w:r>
              <w:rPr>
                <w:rFonts w:hint="eastAsia"/>
                <w:sz w:val="22"/>
              </w:rPr>
              <w:t>性别</w:t>
            </w:r>
          </w:p>
        </w:tc>
        <w:tc>
          <w:tcPr>
            <w:tcW w:w="1524" w:type="dxa"/>
            <w:gridSpan w:val="2"/>
          </w:tcPr>
          <w:p w:rsidR="003717A0" w:rsidRDefault="003717A0">
            <w:pPr>
              <w:adjustRightInd w:val="0"/>
              <w:snapToGrid w:val="0"/>
              <w:spacing w:line="500" w:lineRule="exact"/>
              <w:jc w:val="center"/>
              <w:rPr>
                <w:sz w:val="22"/>
              </w:rPr>
            </w:pPr>
            <w:r>
              <w:rPr>
                <w:rFonts w:hint="eastAsia"/>
                <w:sz w:val="22"/>
              </w:rPr>
              <w:t>学历</w:t>
            </w:r>
          </w:p>
        </w:tc>
        <w:tc>
          <w:tcPr>
            <w:tcW w:w="1523" w:type="dxa"/>
            <w:gridSpan w:val="3"/>
          </w:tcPr>
          <w:p w:rsidR="003717A0" w:rsidRDefault="003717A0">
            <w:pPr>
              <w:adjustRightInd w:val="0"/>
              <w:snapToGrid w:val="0"/>
              <w:spacing w:line="500" w:lineRule="exact"/>
              <w:jc w:val="center"/>
              <w:rPr>
                <w:sz w:val="22"/>
              </w:rPr>
            </w:pPr>
            <w:r>
              <w:rPr>
                <w:rFonts w:hint="eastAsia"/>
                <w:sz w:val="22"/>
              </w:rPr>
              <w:t>学位</w:t>
            </w:r>
          </w:p>
        </w:tc>
        <w:tc>
          <w:tcPr>
            <w:tcW w:w="1524" w:type="dxa"/>
            <w:gridSpan w:val="2"/>
          </w:tcPr>
          <w:p w:rsidR="003717A0" w:rsidRDefault="003717A0">
            <w:pPr>
              <w:adjustRightInd w:val="0"/>
              <w:snapToGrid w:val="0"/>
              <w:spacing w:line="500" w:lineRule="exact"/>
              <w:jc w:val="center"/>
              <w:rPr>
                <w:sz w:val="22"/>
              </w:rPr>
            </w:pPr>
            <w:r>
              <w:rPr>
                <w:rFonts w:hint="eastAsia"/>
                <w:sz w:val="22"/>
              </w:rPr>
              <w:t>职称</w:t>
            </w:r>
          </w:p>
        </w:tc>
        <w:tc>
          <w:tcPr>
            <w:tcW w:w="1524" w:type="dxa"/>
          </w:tcPr>
          <w:p w:rsidR="003717A0" w:rsidRDefault="003717A0">
            <w:pPr>
              <w:adjustRightInd w:val="0"/>
              <w:snapToGrid w:val="0"/>
              <w:spacing w:line="500" w:lineRule="exact"/>
              <w:jc w:val="center"/>
              <w:rPr>
                <w:sz w:val="22"/>
              </w:rPr>
            </w:pPr>
            <w:r>
              <w:rPr>
                <w:rFonts w:hint="eastAsia"/>
                <w:sz w:val="22"/>
              </w:rPr>
              <w:t>从教时间</w:t>
            </w:r>
          </w:p>
        </w:tc>
      </w:tr>
      <w:tr w:rsidR="003717A0">
        <w:tc>
          <w:tcPr>
            <w:tcW w:w="1668" w:type="dxa"/>
          </w:tcPr>
          <w:p w:rsidR="003717A0" w:rsidRDefault="003717A0">
            <w:pPr>
              <w:adjustRightInd w:val="0"/>
              <w:snapToGrid w:val="0"/>
              <w:spacing w:line="500" w:lineRule="exact"/>
              <w:rPr>
                <w:sz w:val="22"/>
              </w:rPr>
            </w:pPr>
            <w:r>
              <w:rPr>
                <w:sz w:val="22"/>
              </w:rPr>
              <w:t xml:space="preserve">   </w:t>
            </w:r>
            <w:r>
              <w:rPr>
                <w:rFonts w:hint="eastAsia"/>
                <w:sz w:val="22"/>
              </w:rPr>
              <w:t>鞠晶昀</w:t>
            </w:r>
          </w:p>
        </w:tc>
        <w:tc>
          <w:tcPr>
            <w:tcW w:w="1523" w:type="dxa"/>
          </w:tcPr>
          <w:p w:rsidR="003717A0" w:rsidRDefault="003717A0">
            <w:pPr>
              <w:adjustRightInd w:val="0"/>
              <w:snapToGrid w:val="0"/>
              <w:spacing w:line="500" w:lineRule="exact"/>
              <w:rPr>
                <w:sz w:val="22"/>
              </w:rPr>
            </w:pPr>
            <w:r>
              <w:rPr>
                <w:sz w:val="22"/>
              </w:rPr>
              <w:t xml:space="preserve">    </w:t>
            </w:r>
            <w:r>
              <w:rPr>
                <w:rFonts w:hint="eastAsia"/>
                <w:sz w:val="22"/>
              </w:rPr>
              <w:t>女</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研究生</w:t>
            </w:r>
          </w:p>
        </w:tc>
        <w:tc>
          <w:tcPr>
            <w:tcW w:w="1523" w:type="dxa"/>
            <w:gridSpan w:val="3"/>
          </w:tcPr>
          <w:p w:rsidR="003717A0" w:rsidRDefault="003717A0">
            <w:pPr>
              <w:adjustRightInd w:val="0"/>
              <w:snapToGrid w:val="0"/>
              <w:spacing w:line="500" w:lineRule="exact"/>
              <w:rPr>
                <w:sz w:val="22"/>
              </w:rPr>
            </w:pPr>
            <w:r>
              <w:rPr>
                <w:sz w:val="22"/>
              </w:rPr>
              <w:t xml:space="preserve">    </w:t>
            </w:r>
            <w:r>
              <w:rPr>
                <w:rFonts w:hint="eastAsia"/>
                <w:sz w:val="22"/>
              </w:rPr>
              <w:t>硕士</w:t>
            </w:r>
          </w:p>
        </w:tc>
        <w:tc>
          <w:tcPr>
            <w:tcW w:w="1524" w:type="dxa"/>
            <w:gridSpan w:val="2"/>
          </w:tcPr>
          <w:p w:rsidR="003717A0" w:rsidRDefault="003717A0">
            <w:pPr>
              <w:adjustRightInd w:val="0"/>
              <w:snapToGrid w:val="0"/>
              <w:spacing w:line="500" w:lineRule="exact"/>
              <w:rPr>
                <w:sz w:val="22"/>
              </w:rPr>
            </w:pPr>
            <w:r>
              <w:rPr>
                <w:sz w:val="22"/>
              </w:rPr>
              <w:t xml:space="preserve">    </w:t>
            </w:r>
            <w:r>
              <w:rPr>
                <w:rFonts w:hint="eastAsia"/>
                <w:sz w:val="22"/>
              </w:rPr>
              <w:t>讲师</w:t>
            </w:r>
          </w:p>
        </w:tc>
        <w:tc>
          <w:tcPr>
            <w:tcW w:w="1524" w:type="dxa"/>
          </w:tcPr>
          <w:p w:rsidR="003717A0" w:rsidRDefault="003717A0">
            <w:pPr>
              <w:adjustRightInd w:val="0"/>
              <w:snapToGrid w:val="0"/>
              <w:spacing w:line="500" w:lineRule="exact"/>
              <w:rPr>
                <w:sz w:val="22"/>
              </w:rPr>
            </w:pPr>
            <w:r>
              <w:rPr>
                <w:sz w:val="22"/>
              </w:rPr>
              <w:t xml:space="preserve">  2005.09</w:t>
            </w:r>
          </w:p>
        </w:tc>
      </w:tr>
      <w:tr w:rsidR="003717A0">
        <w:tc>
          <w:tcPr>
            <w:tcW w:w="1668" w:type="dxa"/>
          </w:tcPr>
          <w:p w:rsidR="003717A0" w:rsidRDefault="003717A0">
            <w:pPr>
              <w:adjustRightInd w:val="0"/>
              <w:snapToGrid w:val="0"/>
              <w:spacing w:line="500" w:lineRule="exact"/>
              <w:ind w:firstLineChars="150" w:firstLine="330"/>
              <w:rPr>
                <w:sz w:val="22"/>
              </w:rPr>
            </w:pPr>
            <w:r>
              <w:rPr>
                <w:rFonts w:hint="eastAsia"/>
                <w:sz w:val="22"/>
              </w:rPr>
              <w:t>吴勤峰</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150" w:firstLine="330"/>
              <w:rPr>
                <w:sz w:val="22"/>
              </w:rPr>
            </w:pPr>
            <w:r>
              <w:rPr>
                <w:rFonts w:hint="eastAsia"/>
                <w:sz w:val="22"/>
              </w:rPr>
              <w:t>研究生</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博士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讲师</w:t>
            </w:r>
          </w:p>
        </w:tc>
        <w:tc>
          <w:tcPr>
            <w:tcW w:w="1524" w:type="dxa"/>
          </w:tcPr>
          <w:p w:rsidR="003717A0" w:rsidRDefault="003717A0">
            <w:pPr>
              <w:adjustRightInd w:val="0"/>
              <w:snapToGrid w:val="0"/>
              <w:spacing w:line="500" w:lineRule="exact"/>
              <w:ind w:firstLineChars="100" w:firstLine="220"/>
              <w:rPr>
                <w:sz w:val="22"/>
              </w:rPr>
            </w:pPr>
            <w:r>
              <w:rPr>
                <w:sz w:val="22"/>
              </w:rPr>
              <w:t>2008.9</w:t>
            </w:r>
          </w:p>
        </w:tc>
      </w:tr>
      <w:tr w:rsidR="003717A0">
        <w:tc>
          <w:tcPr>
            <w:tcW w:w="1668" w:type="dxa"/>
          </w:tcPr>
          <w:p w:rsidR="003717A0" w:rsidRDefault="003717A0">
            <w:pPr>
              <w:adjustRightInd w:val="0"/>
              <w:snapToGrid w:val="0"/>
              <w:spacing w:line="500" w:lineRule="exact"/>
              <w:ind w:firstLineChars="150" w:firstLine="330"/>
              <w:rPr>
                <w:sz w:val="22"/>
              </w:rPr>
            </w:pPr>
            <w:r>
              <w:rPr>
                <w:rFonts w:hint="eastAsia"/>
                <w:sz w:val="22"/>
              </w:rPr>
              <w:t>周</w:t>
            </w:r>
            <w:r>
              <w:rPr>
                <w:sz w:val="22"/>
              </w:rPr>
              <w:t xml:space="preserve"> </w:t>
            </w:r>
            <w:r>
              <w:rPr>
                <w:rFonts w:hint="eastAsia"/>
                <w:sz w:val="22"/>
              </w:rPr>
              <w:t>鑫</w:t>
            </w:r>
          </w:p>
        </w:tc>
        <w:tc>
          <w:tcPr>
            <w:tcW w:w="1523" w:type="dxa"/>
          </w:tcPr>
          <w:p w:rsidR="003717A0" w:rsidRDefault="003717A0">
            <w:pPr>
              <w:adjustRightInd w:val="0"/>
              <w:snapToGrid w:val="0"/>
              <w:spacing w:line="500" w:lineRule="exact"/>
              <w:ind w:firstLineChars="200" w:firstLine="440"/>
              <w:rPr>
                <w:sz w:val="22"/>
              </w:rPr>
            </w:pPr>
            <w:r>
              <w:rPr>
                <w:rFonts w:hint="eastAsia"/>
                <w:sz w:val="22"/>
              </w:rPr>
              <w:t>男</w:t>
            </w:r>
          </w:p>
        </w:tc>
        <w:tc>
          <w:tcPr>
            <w:tcW w:w="1524" w:type="dxa"/>
            <w:gridSpan w:val="2"/>
          </w:tcPr>
          <w:p w:rsidR="003717A0" w:rsidRDefault="003717A0">
            <w:pPr>
              <w:adjustRightInd w:val="0"/>
              <w:snapToGrid w:val="0"/>
              <w:spacing w:line="500" w:lineRule="exact"/>
              <w:ind w:firstLineChars="150" w:firstLine="330"/>
              <w:rPr>
                <w:sz w:val="22"/>
              </w:rPr>
            </w:pPr>
            <w:r>
              <w:rPr>
                <w:rFonts w:hint="eastAsia"/>
                <w:sz w:val="22"/>
              </w:rPr>
              <w:t>本</w:t>
            </w:r>
            <w:r>
              <w:rPr>
                <w:sz w:val="22"/>
              </w:rPr>
              <w:t xml:space="preserve"> </w:t>
            </w:r>
            <w:r>
              <w:rPr>
                <w:rFonts w:hint="eastAsia"/>
                <w:sz w:val="22"/>
              </w:rPr>
              <w:t>科</w:t>
            </w:r>
          </w:p>
        </w:tc>
        <w:tc>
          <w:tcPr>
            <w:tcW w:w="1523" w:type="dxa"/>
            <w:gridSpan w:val="3"/>
          </w:tcPr>
          <w:p w:rsidR="003717A0" w:rsidRDefault="003717A0">
            <w:pPr>
              <w:adjustRightInd w:val="0"/>
              <w:snapToGrid w:val="0"/>
              <w:spacing w:line="500" w:lineRule="exact"/>
              <w:ind w:firstLineChars="200" w:firstLine="440"/>
              <w:rPr>
                <w:sz w:val="22"/>
              </w:rPr>
            </w:pPr>
            <w:r>
              <w:rPr>
                <w:rFonts w:hint="eastAsia"/>
                <w:sz w:val="22"/>
              </w:rPr>
              <w:t>学士</w:t>
            </w:r>
          </w:p>
        </w:tc>
        <w:tc>
          <w:tcPr>
            <w:tcW w:w="1524" w:type="dxa"/>
            <w:gridSpan w:val="2"/>
          </w:tcPr>
          <w:p w:rsidR="003717A0" w:rsidRDefault="003717A0">
            <w:pPr>
              <w:adjustRightInd w:val="0"/>
              <w:snapToGrid w:val="0"/>
              <w:spacing w:line="500" w:lineRule="exact"/>
              <w:ind w:firstLineChars="200" w:firstLine="440"/>
              <w:rPr>
                <w:sz w:val="22"/>
              </w:rPr>
            </w:pPr>
            <w:r>
              <w:rPr>
                <w:rFonts w:hint="eastAsia"/>
                <w:sz w:val="22"/>
              </w:rPr>
              <w:t>助教</w:t>
            </w:r>
          </w:p>
        </w:tc>
        <w:tc>
          <w:tcPr>
            <w:tcW w:w="1524" w:type="dxa"/>
          </w:tcPr>
          <w:p w:rsidR="003717A0" w:rsidRDefault="003717A0">
            <w:pPr>
              <w:adjustRightInd w:val="0"/>
              <w:snapToGrid w:val="0"/>
              <w:spacing w:line="500" w:lineRule="exact"/>
              <w:ind w:firstLineChars="100" w:firstLine="220"/>
              <w:rPr>
                <w:sz w:val="22"/>
              </w:rPr>
            </w:pPr>
            <w:r>
              <w:rPr>
                <w:sz w:val="22"/>
              </w:rPr>
              <w:t>2012.9</w:t>
            </w: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1668" w:type="dxa"/>
          </w:tcPr>
          <w:p w:rsidR="003717A0" w:rsidRDefault="003717A0">
            <w:pPr>
              <w:adjustRightInd w:val="0"/>
              <w:snapToGrid w:val="0"/>
              <w:spacing w:line="500" w:lineRule="exact"/>
              <w:rPr>
                <w:sz w:val="22"/>
              </w:rPr>
            </w:pPr>
          </w:p>
        </w:tc>
        <w:tc>
          <w:tcPr>
            <w:tcW w:w="1523" w:type="dxa"/>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3" w:type="dxa"/>
            <w:gridSpan w:val="3"/>
          </w:tcPr>
          <w:p w:rsidR="003717A0" w:rsidRDefault="003717A0">
            <w:pPr>
              <w:adjustRightInd w:val="0"/>
              <w:snapToGrid w:val="0"/>
              <w:spacing w:line="500" w:lineRule="exact"/>
              <w:rPr>
                <w:sz w:val="22"/>
              </w:rPr>
            </w:pPr>
          </w:p>
        </w:tc>
        <w:tc>
          <w:tcPr>
            <w:tcW w:w="1524" w:type="dxa"/>
            <w:gridSpan w:val="2"/>
          </w:tcPr>
          <w:p w:rsidR="003717A0" w:rsidRDefault="003717A0">
            <w:pPr>
              <w:adjustRightInd w:val="0"/>
              <w:snapToGrid w:val="0"/>
              <w:spacing w:line="500" w:lineRule="exact"/>
              <w:rPr>
                <w:sz w:val="22"/>
              </w:rPr>
            </w:pPr>
          </w:p>
        </w:tc>
        <w:tc>
          <w:tcPr>
            <w:tcW w:w="1524" w:type="dxa"/>
          </w:tcPr>
          <w:p w:rsidR="003717A0" w:rsidRDefault="003717A0">
            <w:pPr>
              <w:adjustRightInd w:val="0"/>
              <w:snapToGrid w:val="0"/>
              <w:spacing w:line="500" w:lineRule="exact"/>
              <w:rPr>
                <w:sz w:val="22"/>
              </w:rPr>
            </w:pPr>
          </w:p>
        </w:tc>
      </w:tr>
      <w:tr w:rsidR="003717A0">
        <w:tc>
          <w:tcPr>
            <w:tcW w:w="9286" w:type="dxa"/>
            <w:gridSpan w:val="10"/>
          </w:tcPr>
          <w:p w:rsidR="003717A0" w:rsidRDefault="003717A0">
            <w:pPr>
              <w:adjustRightInd w:val="0"/>
              <w:snapToGrid w:val="0"/>
              <w:spacing w:line="500" w:lineRule="exact"/>
              <w:rPr>
                <w:sz w:val="22"/>
              </w:rPr>
            </w:pPr>
            <w:r>
              <w:rPr>
                <w:rFonts w:hint="eastAsia"/>
                <w:sz w:val="22"/>
              </w:rPr>
              <w:t>课程简介</w:t>
            </w:r>
          </w:p>
        </w:tc>
      </w:tr>
      <w:tr w:rsidR="003717A0">
        <w:tc>
          <w:tcPr>
            <w:tcW w:w="9286" w:type="dxa"/>
            <w:gridSpan w:val="10"/>
          </w:tcPr>
          <w:p w:rsidR="003717A0" w:rsidRDefault="003717A0">
            <w:pPr>
              <w:adjustRightInd w:val="0"/>
              <w:snapToGrid w:val="0"/>
              <w:spacing w:line="500" w:lineRule="exact"/>
              <w:rPr>
                <w:sz w:val="22"/>
              </w:rPr>
            </w:pPr>
            <w:r>
              <w:rPr>
                <w:sz w:val="22"/>
              </w:rPr>
              <w:t xml:space="preserve">     </w:t>
            </w:r>
            <w:r>
              <w:rPr>
                <w:rFonts w:hint="eastAsia"/>
                <w:sz w:val="22"/>
              </w:rPr>
              <w:t>中西结合运动治疗技术是是应用徒手或肢体的某些部位，以特定的技术动作施于患者体表，对脊柱、四肢关节以及软组织施加外力，产生防病、治病、保健作用的学科。主要包括关节松动技术、推拿手法、麦肯基力学疗法等，讲述运动治疗基本知识和基本技能，阐述各常见骨骼肌肉、神经、心血管和呼吸等系统疾病的常规治疗性运动的实施机制和基本技术操作内容，学习治疗性运动计划与方案的制定。是物理治疗学专业的基本组成部分。本课程通过教学使学</w:t>
            </w:r>
            <w:r>
              <w:rPr>
                <w:rFonts w:hint="eastAsia"/>
                <w:sz w:val="22"/>
              </w:rPr>
              <w:lastRenderedPageBreak/>
              <w:t>生熟练掌握手法的分类、分级和临床应用、涉及手法正确应用的相关检查与评定、以及针对脊柱、四肢关节和软组织操作的手法基本技能。本课程教学的主要路径与方法：（</w:t>
            </w:r>
            <w:r>
              <w:rPr>
                <w:sz w:val="22"/>
              </w:rPr>
              <w:t>1</w:t>
            </w:r>
            <w:r>
              <w:rPr>
                <w:rFonts w:hint="eastAsia"/>
                <w:sz w:val="22"/>
              </w:rPr>
              <w:t>）通过理论课堂讲解基本手法和运动治疗的基本知识，使学生掌握本课程的基本概念和知识，同时利用参考书和网络平台，辅导学生逐步形成自主学习的能力；（</w:t>
            </w:r>
            <w:r>
              <w:rPr>
                <w:sz w:val="22"/>
              </w:rPr>
              <w:t>2</w:t>
            </w:r>
            <w:r>
              <w:rPr>
                <w:rFonts w:hint="eastAsia"/>
                <w:sz w:val="22"/>
              </w:rPr>
              <w:t>）利用手法教学，让学生掌握手法基本技能；（</w:t>
            </w:r>
            <w:r>
              <w:rPr>
                <w:sz w:val="22"/>
              </w:rPr>
              <w:t>3</w:t>
            </w:r>
            <w:r>
              <w:rPr>
                <w:rFonts w:hint="eastAsia"/>
                <w:sz w:val="22"/>
              </w:rPr>
              <w:t>）根据多媒体课件播放录像，让学生更形象化了解手法治疗的要点；（</w:t>
            </w:r>
            <w:r>
              <w:rPr>
                <w:sz w:val="22"/>
              </w:rPr>
              <w:t>4</w:t>
            </w:r>
            <w:r>
              <w:rPr>
                <w:rFonts w:hint="eastAsia"/>
                <w:sz w:val="22"/>
              </w:rPr>
              <w:t>）学生分组自行操作，感受手法技巧和要点</w:t>
            </w:r>
            <w:r>
              <w:rPr>
                <w:rFonts w:hint="eastAsia"/>
                <w:sz w:val="24"/>
              </w:rPr>
              <w:t>。</w:t>
            </w:r>
          </w:p>
        </w:tc>
      </w:tr>
    </w:tbl>
    <w:p w:rsidR="003717A0"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p>
    <w:p w:rsidR="003717A0" w:rsidRPr="00566E4D" w:rsidRDefault="003717A0" w:rsidP="005E20B5">
      <w:pPr>
        <w:adjustRightInd w:val="0"/>
        <w:snapToGrid w:val="0"/>
        <w:spacing w:beforeLines="50" w:afterLines="50" w:line="360" w:lineRule="auto"/>
        <w:jc w:val="center"/>
        <w:rPr>
          <w:rFonts w:ascii="Times New Roman" w:eastAsia="黑体" w:hAnsi="Times New Roman" w:cs="Times New Roman"/>
          <w:b/>
          <w:bCs/>
          <w:kern w:val="0"/>
          <w:sz w:val="32"/>
          <w:szCs w:val="32"/>
        </w:rPr>
      </w:pPr>
      <w:r>
        <w:rPr>
          <w:rFonts w:ascii="Times New Roman" w:eastAsia="黑体" w:hAnsi="Times New Roman" w:cs="Times New Roman"/>
          <w:b/>
          <w:bCs/>
          <w:kern w:val="0"/>
          <w:sz w:val="32"/>
          <w:szCs w:val="32"/>
        </w:rPr>
        <w:br w:type="page"/>
      </w:r>
      <w:r w:rsidRPr="00566E4D">
        <w:rPr>
          <w:rFonts w:ascii="Times New Roman" w:eastAsia="黑体" w:hAnsi="Times New Roman" w:cs="Times New Roman" w:hint="eastAsia"/>
          <w:b/>
          <w:bCs/>
          <w:kern w:val="0"/>
          <w:sz w:val="32"/>
          <w:szCs w:val="32"/>
        </w:rPr>
        <w:lastRenderedPageBreak/>
        <w:t>二、课程教学大纲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一、课程的基本信息</w:t>
      </w:r>
    </w:p>
    <w:p w:rsidR="003717A0" w:rsidRDefault="003717A0">
      <w:pPr>
        <w:autoSpaceDE w:val="0"/>
        <w:autoSpaceDN w:val="0"/>
        <w:adjustRightInd w:val="0"/>
        <w:spacing w:line="360" w:lineRule="exact"/>
        <w:ind w:firstLineChars="193" w:firstLine="425"/>
        <w:jc w:val="left"/>
        <w:rPr>
          <w:rFonts w:ascii="Times New Roman" w:hAnsi="Times New Roman"/>
          <w:kern w:val="0"/>
          <w:szCs w:val="21"/>
        </w:rPr>
      </w:pPr>
      <w:r>
        <w:rPr>
          <w:rFonts w:ascii="Times New Roman" w:hAnsi="Times New Roman" w:hint="eastAsia"/>
          <w:kern w:val="0"/>
          <w:sz w:val="22"/>
        </w:rPr>
        <w:t>适应对象：</w:t>
      </w:r>
      <w:r>
        <w:rPr>
          <w:rFonts w:ascii="Times New Roman" w:hAnsi="Times New Roman" w:hint="eastAsia"/>
          <w:kern w:val="0"/>
          <w:szCs w:val="21"/>
        </w:rPr>
        <w:t>本科层次，康复治疗学专业</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课程代码：</w:t>
      </w:r>
      <w:r>
        <w:rPr>
          <w:rFonts w:ascii="Times New Roman" w:hAnsi="Times New Roman"/>
          <w:kern w:val="0"/>
          <w:sz w:val="22"/>
        </w:rPr>
        <w:t>170713</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学时分配：</w:t>
      </w:r>
      <w:r>
        <w:rPr>
          <w:rFonts w:ascii="Times New Roman" w:hAnsi="Times New Roman"/>
          <w:kern w:val="0"/>
          <w:sz w:val="22"/>
        </w:rPr>
        <w:t xml:space="preserve"> 18</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赋予学分：</w:t>
      </w:r>
      <w:r>
        <w:rPr>
          <w:rFonts w:ascii="Times New Roman" w:hAnsi="Times New Roman"/>
          <w:kern w:val="0"/>
          <w:sz w:val="22"/>
        </w:rPr>
        <w:t xml:space="preserve"> 1</w:t>
      </w:r>
    </w:p>
    <w:p w:rsidR="003717A0" w:rsidRDefault="003717A0">
      <w:pPr>
        <w:autoSpaceDE w:val="0"/>
        <w:autoSpaceDN w:val="0"/>
        <w:adjustRightInd w:val="0"/>
        <w:spacing w:line="360" w:lineRule="exact"/>
        <w:ind w:firstLineChars="193" w:firstLine="405"/>
        <w:jc w:val="left"/>
        <w:rPr>
          <w:rFonts w:ascii="Times New Roman" w:hAnsi="Times New Roman"/>
          <w:kern w:val="0"/>
          <w:sz w:val="22"/>
        </w:rPr>
      </w:pPr>
      <w:r>
        <w:rPr>
          <w:rFonts w:ascii="Times New Roman" w:hAnsi="Times New Roman" w:hint="eastAsia"/>
          <w:kern w:val="0"/>
          <w:szCs w:val="21"/>
        </w:rPr>
        <w:t>先修课程：康复医学概论，人体解剖学，物理治疗学，人体运动学</w:t>
      </w:r>
    </w:p>
    <w:p w:rsidR="003717A0" w:rsidRDefault="003717A0">
      <w:pPr>
        <w:autoSpaceDE w:val="0"/>
        <w:autoSpaceDN w:val="0"/>
        <w:adjustRightInd w:val="0"/>
        <w:spacing w:line="360" w:lineRule="exact"/>
        <w:ind w:firstLineChars="193" w:firstLine="425"/>
        <w:jc w:val="left"/>
        <w:rPr>
          <w:rFonts w:ascii="Times New Roman" w:hAnsi="Times New Roman"/>
          <w:kern w:val="0"/>
          <w:sz w:val="22"/>
        </w:rPr>
      </w:pPr>
      <w:r>
        <w:rPr>
          <w:rFonts w:ascii="Times New Roman" w:hAnsi="Times New Roman" w:hint="eastAsia"/>
          <w:kern w:val="0"/>
          <w:sz w:val="22"/>
        </w:rPr>
        <w:t>后续课程：肌肉骨骼疾病物理治疗</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二、课程性质与任务：</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运动治疗技术是康复治疗的基础，将中西医结合到运动治疗技术中将更全面系统的讲述手法治疗学的基本理论，包括关节松动技术、推拿手法、麦肯基力学疗法，主要有脊柱手法治疗学和四肢关节手法治疗学两部分，麦肯基力学疗法中治疗师操作技术则主要是针对脊柱进行的手法治疗。由浅入深，循序渐进地组织教学，使学生能正确掌握手法治疗学基本理论。技术操作课能够激发学生学习积极性，发挥学生的主动性，注重培养立体思维，提高分析问题、解决问题的能力，配合手法治疗技术图谱，通过技术示范和带教，指导学生正确规范操作，鼓励学生自我或相互操练，通过实践加深对手法治疗理论的记忆和深入理解。</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w:t>
      </w:r>
      <w:r>
        <w:rPr>
          <w:rFonts w:ascii="Times New Roman" w:eastAsia="黑体" w:hAnsi="Times New Roman"/>
          <w:b/>
          <w:kern w:val="0"/>
          <w:sz w:val="24"/>
          <w:szCs w:val="24"/>
        </w:rPr>
        <w:t xml:space="preserve"> </w:t>
      </w:r>
      <w:r>
        <w:rPr>
          <w:rFonts w:ascii="Times New Roman" w:eastAsia="黑体" w:hAnsi="Times New Roman" w:hint="eastAsia"/>
          <w:b/>
          <w:kern w:val="0"/>
          <w:sz w:val="24"/>
          <w:szCs w:val="24"/>
        </w:rPr>
        <w:t>教学目的与要求</w:t>
      </w:r>
    </w:p>
    <w:p w:rsidR="003717A0" w:rsidRDefault="003717A0">
      <w:pPr>
        <w:autoSpaceDE w:val="0"/>
        <w:autoSpaceDN w:val="0"/>
        <w:adjustRightInd w:val="0"/>
        <w:spacing w:line="360" w:lineRule="exact"/>
        <w:ind w:firstLineChars="193" w:firstLine="405"/>
        <w:jc w:val="left"/>
        <w:rPr>
          <w:rFonts w:ascii="Times New Roman" w:hAnsi="Times New Roman"/>
          <w:kern w:val="0"/>
          <w:szCs w:val="21"/>
        </w:rPr>
      </w:pPr>
      <w:r>
        <w:rPr>
          <w:rFonts w:ascii="Times New Roman" w:hAnsi="Times New Roman" w:hint="eastAsia"/>
          <w:kern w:val="0"/>
          <w:szCs w:val="21"/>
        </w:rPr>
        <w:t>通过本课程的学习，让学生熟悉关节松动技术、推拿手法、麦肯基力学疗法等中西方手法联合治疗方法，并通过技术操作课示范并操作活动度、阻力运动、牵伸等基本技术，以及骨骼肌肉、神经、心血管和呼吸等系统疾病的常规治疗性运动技术。</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四、教学内容与安排</w:t>
      </w:r>
    </w:p>
    <w:p w:rsidR="003717A0" w:rsidRDefault="003717A0" w:rsidP="005E20B5">
      <w:pPr>
        <w:adjustRightInd w:val="0"/>
        <w:snapToGrid w:val="0"/>
        <w:spacing w:beforeLines="50" w:line="360" w:lineRule="auto"/>
        <w:ind w:right="6"/>
        <w:jc w:val="center"/>
        <w:rPr>
          <w:b/>
          <w:sz w:val="22"/>
        </w:rPr>
      </w:pPr>
      <w:r>
        <w:rPr>
          <w:rFonts w:hint="eastAsia"/>
          <w:b/>
          <w:sz w:val="22"/>
        </w:rPr>
        <w:t>第一章</w:t>
      </w:r>
      <w:r>
        <w:rPr>
          <w:b/>
          <w:sz w:val="22"/>
        </w:rPr>
        <w:t xml:space="preserve">  </w:t>
      </w:r>
      <w:r>
        <w:rPr>
          <w:rFonts w:hint="eastAsia"/>
          <w:b/>
          <w:sz w:val="22"/>
        </w:rPr>
        <w:t>中西结合运动治疗技术绪论</w:t>
      </w:r>
    </w:p>
    <w:p w:rsidR="003717A0" w:rsidRDefault="003717A0">
      <w:pPr>
        <w:adjustRightInd w:val="0"/>
        <w:snapToGrid w:val="0"/>
        <w:spacing w:line="360" w:lineRule="auto"/>
        <w:ind w:right="6" w:firstLineChars="200" w:firstLine="442"/>
        <w:rPr>
          <w:rFonts w:ascii="Times New Roman" w:hAnsi="Times New Roman"/>
          <w:b/>
          <w:sz w:val="22"/>
        </w:rPr>
      </w:pPr>
      <w:r>
        <w:rPr>
          <w:rFonts w:ascii="Times New Roman" w:hAnsi="Times New Roman" w:hint="eastAsia"/>
          <w:b/>
          <w:sz w:val="22"/>
        </w:rPr>
        <w:t>教学内容（</w:t>
      </w:r>
      <w:r>
        <w:rPr>
          <w:rFonts w:ascii="Times New Roman" w:hAnsi="Times New Roman"/>
          <w:b/>
          <w:sz w:val="22"/>
        </w:rPr>
        <w:t>3</w:t>
      </w:r>
      <w:r>
        <w:rPr>
          <w:rFonts w:ascii="Times New Roman" w:hAnsi="Times New Roman" w:hint="eastAsia"/>
          <w:b/>
          <w:sz w:val="22"/>
        </w:rPr>
        <w:t>学时）</w:t>
      </w:r>
    </w:p>
    <w:p w:rsidR="003717A0" w:rsidRDefault="003717A0">
      <w:pPr>
        <w:numPr>
          <w:ilvl w:val="0"/>
          <w:numId w:val="554"/>
        </w:numPr>
        <w:tabs>
          <w:tab w:val="left" w:pos="988"/>
        </w:tabs>
        <w:adjustRightInd w:val="0"/>
        <w:snapToGrid w:val="0"/>
        <w:spacing w:line="360" w:lineRule="auto"/>
        <w:ind w:left="0" w:right="4" w:firstLine="720"/>
        <w:rPr>
          <w:sz w:val="22"/>
        </w:rPr>
      </w:pPr>
      <w:r>
        <w:rPr>
          <w:rFonts w:hint="eastAsia"/>
          <w:sz w:val="22"/>
        </w:rPr>
        <w:t>了解手法治疗学的分类，以及相关的发展史。</w:t>
      </w:r>
      <w:r>
        <w:rPr>
          <w:sz w:val="22"/>
        </w:rPr>
        <w:t xml:space="preserve"> </w:t>
      </w:r>
    </w:p>
    <w:p w:rsidR="003717A0" w:rsidRDefault="003717A0">
      <w:pPr>
        <w:numPr>
          <w:ilvl w:val="0"/>
          <w:numId w:val="554"/>
        </w:numPr>
        <w:tabs>
          <w:tab w:val="left" w:pos="988"/>
        </w:tabs>
        <w:adjustRightInd w:val="0"/>
        <w:snapToGrid w:val="0"/>
        <w:spacing w:line="360" w:lineRule="auto"/>
        <w:ind w:left="0" w:right="4" w:firstLine="720"/>
        <w:rPr>
          <w:rFonts w:ascii="Times New Roman" w:hAnsi="Times New Roman"/>
          <w:sz w:val="22"/>
        </w:rPr>
      </w:pPr>
      <w:r>
        <w:rPr>
          <w:rFonts w:hint="eastAsia"/>
          <w:sz w:val="22"/>
        </w:rPr>
        <w:t>运动治疗的目标，根据实际制定的目标、计划实施的程序。</w:t>
      </w:r>
    </w:p>
    <w:p w:rsidR="003717A0" w:rsidRDefault="003717A0">
      <w:pPr>
        <w:numPr>
          <w:ilvl w:val="0"/>
          <w:numId w:val="554"/>
        </w:numPr>
        <w:tabs>
          <w:tab w:val="left" w:pos="988"/>
        </w:tabs>
        <w:adjustRightInd w:val="0"/>
        <w:snapToGrid w:val="0"/>
        <w:spacing w:line="360" w:lineRule="auto"/>
        <w:ind w:left="0" w:right="4" w:firstLine="720"/>
        <w:rPr>
          <w:rFonts w:ascii="Times New Roman" w:hAnsi="Times New Roman"/>
          <w:sz w:val="22"/>
        </w:rPr>
      </w:pPr>
      <w:r>
        <w:rPr>
          <w:rFonts w:hint="eastAsia"/>
          <w:sz w:val="22"/>
        </w:rPr>
        <w:t>活动度及其影响因素，关节活动度运动的适应征及目标，关节活动度运动技巧的步骤，各关节的被动活动操作及技巧。</w:t>
      </w:r>
    </w:p>
    <w:p w:rsidR="003717A0" w:rsidRDefault="003717A0">
      <w:pPr>
        <w:adjustRightInd w:val="0"/>
        <w:snapToGrid w:val="0"/>
        <w:spacing w:line="360" w:lineRule="auto"/>
        <w:ind w:right="6" w:firstLineChars="200" w:firstLine="442"/>
        <w:rPr>
          <w:rFonts w:ascii="Times New Roman" w:hAnsi="Times New Roman"/>
          <w:b/>
          <w:sz w:val="22"/>
        </w:rPr>
      </w:pPr>
      <w:r>
        <w:rPr>
          <w:rFonts w:ascii="Times New Roman" w:hAnsi="Times New Roman" w:hint="eastAsia"/>
          <w:b/>
          <w:sz w:val="22"/>
        </w:rPr>
        <w:t>目的要求</w:t>
      </w:r>
    </w:p>
    <w:p w:rsidR="003717A0" w:rsidRDefault="003717A0">
      <w:pPr>
        <w:numPr>
          <w:ilvl w:val="0"/>
          <w:numId w:val="555"/>
        </w:numPr>
        <w:adjustRightInd w:val="0"/>
        <w:snapToGrid w:val="0"/>
        <w:spacing w:line="360" w:lineRule="auto"/>
        <w:ind w:right="4"/>
        <w:rPr>
          <w:sz w:val="22"/>
        </w:rPr>
      </w:pPr>
      <w:r>
        <w:rPr>
          <w:rFonts w:hint="eastAsia"/>
          <w:sz w:val="22"/>
        </w:rPr>
        <w:t>了解手法治疗学的分类，以及相关的发展史。</w:t>
      </w:r>
    </w:p>
    <w:p w:rsidR="003717A0" w:rsidRDefault="003717A0">
      <w:pPr>
        <w:numPr>
          <w:ilvl w:val="0"/>
          <w:numId w:val="555"/>
        </w:numPr>
        <w:adjustRightInd w:val="0"/>
        <w:snapToGrid w:val="0"/>
        <w:spacing w:line="360" w:lineRule="auto"/>
        <w:ind w:right="4"/>
        <w:rPr>
          <w:sz w:val="22"/>
        </w:rPr>
      </w:pPr>
      <w:r>
        <w:rPr>
          <w:rFonts w:hint="eastAsia"/>
          <w:sz w:val="22"/>
        </w:rPr>
        <w:t>运动治疗的目标，根据实际制定的目标、计划实施的程序。</w:t>
      </w:r>
    </w:p>
    <w:p w:rsidR="003717A0" w:rsidRDefault="003717A0">
      <w:pPr>
        <w:numPr>
          <w:ilvl w:val="0"/>
          <w:numId w:val="555"/>
        </w:numPr>
        <w:adjustRightInd w:val="0"/>
        <w:snapToGrid w:val="0"/>
        <w:spacing w:line="360" w:lineRule="auto"/>
        <w:ind w:right="4"/>
        <w:rPr>
          <w:sz w:val="22"/>
        </w:rPr>
      </w:pPr>
      <w:r>
        <w:rPr>
          <w:rFonts w:hint="eastAsia"/>
          <w:sz w:val="22"/>
        </w:rPr>
        <w:t>活动度及其影响因素，关节活动度运动的适应征及目标，关节活动度运动技巧的步骤，各关节的被动活动操作及技巧。</w:t>
      </w:r>
    </w:p>
    <w:p w:rsidR="003717A0" w:rsidRDefault="003717A0" w:rsidP="005E20B5">
      <w:pPr>
        <w:adjustRightInd w:val="0"/>
        <w:snapToGrid w:val="0"/>
        <w:spacing w:beforeLines="50" w:line="360" w:lineRule="auto"/>
        <w:ind w:right="6"/>
        <w:jc w:val="center"/>
        <w:rPr>
          <w:sz w:val="22"/>
        </w:rPr>
      </w:pPr>
      <w:r>
        <w:rPr>
          <w:rFonts w:hint="eastAsia"/>
          <w:b/>
          <w:sz w:val="22"/>
        </w:rPr>
        <w:t>第二章</w:t>
      </w:r>
      <w:r>
        <w:rPr>
          <w:b/>
          <w:sz w:val="22"/>
        </w:rPr>
        <w:t xml:space="preserve">  </w:t>
      </w:r>
      <w:r>
        <w:rPr>
          <w:rFonts w:hint="eastAsia"/>
          <w:sz w:val="22"/>
        </w:rPr>
        <w:t>解剖结构和运动机能学基础</w:t>
      </w:r>
    </w:p>
    <w:p w:rsidR="003717A0" w:rsidRDefault="003717A0" w:rsidP="005E20B5">
      <w:pPr>
        <w:adjustRightInd w:val="0"/>
        <w:snapToGrid w:val="0"/>
        <w:spacing w:beforeLines="50" w:line="360" w:lineRule="auto"/>
        <w:ind w:right="6"/>
        <w:rPr>
          <w:sz w:val="22"/>
        </w:rPr>
      </w:pPr>
      <w:r>
        <w:rPr>
          <w:rFonts w:ascii="Times New Roman" w:hAnsi="Times New Roman" w:hint="eastAsia"/>
          <w:b/>
          <w:sz w:val="22"/>
        </w:rPr>
        <w:lastRenderedPageBreak/>
        <w:t>教学内容（</w:t>
      </w:r>
      <w:r>
        <w:rPr>
          <w:rFonts w:ascii="Times New Roman" w:hAnsi="Times New Roman"/>
          <w:b/>
          <w:sz w:val="22"/>
        </w:rPr>
        <w:t>3</w:t>
      </w:r>
      <w:r>
        <w:rPr>
          <w:rFonts w:ascii="Times New Roman" w:hAnsi="Times New Roman" w:hint="eastAsia"/>
          <w:b/>
          <w:sz w:val="22"/>
        </w:rPr>
        <w:t>学时）</w:t>
      </w:r>
    </w:p>
    <w:p w:rsidR="003717A0" w:rsidRDefault="003717A0">
      <w:pPr>
        <w:numPr>
          <w:ilvl w:val="0"/>
          <w:numId w:val="556"/>
        </w:numPr>
        <w:adjustRightInd w:val="0"/>
        <w:snapToGrid w:val="0"/>
        <w:spacing w:line="360" w:lineRule="auto"/>
        <w:ind w:left="0" w:right="4" w:firstLine="720"/>
        <w:rPr>
          <w:sz w:val="22"/>
        </w:rPr>
      </w:pPr>
      <w:r>
        <w:rPr>
          <w:rFonts w:hint="eastAsia"/>
          <w:sz w:val="22"/>
        </w:rPr>
        <w:t>颈椎、胸廓、腰椎、骨盆的运动学特征分析</w:t>
      </w:r>
      <w:r>
        <w:rPr>
          <w:sz w:val="22"/>
        </w:rPr>
        <w:t xml:space="preserve"> </w:t>
      </w:r>
    </w:p>
    <w:p w:rsidR="003717A0" w:rsidRDefault="003717A0">
      <w:pPr>
        <w:numPr>
          <w:ilvl w:val="0"/>
          <w:numId w:val="556"/>
        </w:numPr>
        <w:adjustRightInd w:val="0"/>
        <w:snapToGrid w:val="0"/>
        <w:spacing w:line="360" w:lineRule="auto"/>
        <w:ind w:left="0" w:right="4" w:firstLine="720"/>
        <w:rPr>
          <w:rFonts w:ascii="Times New Roman" w:hAnsi="Times New Roman"/>
          <w:sz w:val="22"/>
        </w:rPr>
      </w:pPr>
      <w:r>
        <w:rPr>
          <w:rFonts w:hint="eastAsia"/>
          <w:sz w:val="22"/>
        </w:rPr>
        <w:t>四肢关节手法的分类和主要作用原理</w:t>
      </w:r>
      <w:r>
        <w:rPr>
          <w:rFonts w:ascii="Times New Roman" w:hAnsi="Times New Roman"/>
          <w:sz w:val="22"/>
        </w:rPr>
        <w:t xml:space="preserve"> </w:t>
      </w:r>
    </w:p>
    <w:p w:rsidR="003717A0" w:rsidRDefault="003717A0">
      <w:pPr>
        <w:adjustRightInd w:val="0"/>
        <w:snapToGrid w:val="0"/>
        <w:spacing w:line="360" w:lineRule="auto"/>
        <w:ind w:right="6" w:firstLineChars="300" w:firstLine="660"/>
        <w:rPr>
          <w:sz w:val="22"/>
        </w:rPr>
      </w:pPr>
      <w:r>
        <w:rPr>
          <w:sz w:val="22"/>
        </w:rPr>
        <w:t>3</w:t>
      </w:r>
      <w:r>
        <w:rPr>
          <w:rFonts w:hint="eastAsia"/>
          <w:sz w:val="22"/>
        </w:rPr>
        <w:t>、</w:t>
      </w:r>
      <w:r>
        <w:rPr>
          <w:sz w:val="22"/>
        </w:rPr>
        <w:t xml:space="preserve"> </w:t>
      </w:r>
      <w:r>
        <w:rPr>
          <w:rFonts w:hint="eastAsia"/>
          <w:sz w:val="22"/>
        </w:rPr>
        <w:t>四肢关节相关的骨骼神经的解剖学结构和主要体表标志</w:t>
      </w:r>
    </w:p>
    <w:p w:rsidR="003717A0" w:rsidRDefault="003717A0">
      <w:pPr>
        <w:adjustRightInd w:val="0"/>
        <w:snapToGrid w:val="0"/>
        <w:spacing w:line="360" w:lineRule="auto"/>
        <w:ind w:right="6" w:firstLineChars="300" w:firstLine="660"/>
        <w:rPr>
          <w:sz w:val="22"/>
        </w:rPr>
      </w:pPr>
      <w:r>
        <w:rPr>
          <w:sz w:val="22"/>
        </w:rPr>
        <w:t>4</w:t>
      </w:r>
      <w:r>
        <w:rPr>
          <w:rFonts w:hint="eastAsia"/>
          <w:sz w:val="22"/>
        </w:rPr>
        <w:t>、四肢关节手法治疗的临床选择依据</w:t>
      </w:r>
    </w:p>
    <w:p w:rsidR="003717A0" w:rsidRDefault="003717A0">
      <w:pPr>
        <w:tabs>
          <w:tab w:val="left" w:pos="1260"/>
        </w:tabs>
        <w:adjustRightInd w:val="0"/>
        <w:snapToGrid w:val="0"/>
        <w:spacing w:line="360" w:lineRule="auto"/>
        <w:ind w:right="4"/>
        <w:rPr>
          <w:rFonts w:ascii="Times New Roman" w:hAnsi="Times New Roman"/>
          <w:sz w:val="22"/>
        </w:rPr>
      </w:pPr>
    </w:p>
    <w:p w:rsidR="003717A0" w:rsidRDefault="003717A0">
      <w:pPr>
        <w:adjustRightInd w:val="0"/>
        <w:snapToGrid w:val="0"/>
        <w:spacing w:line="360" w:lineRule="auto"/>
        <w:ind w:right="6"/>
        <w:rPr>
          <w:rFonts w:ascii="Times New Roman" w:hAnsi="Times New Roman"/>
          <w:b/>
          <w:sz w:val="22"/>
        </w:rPr>
      </w:pPr>
      <w:r>
        <w:rPr>
          <w:rFonts w:ascii="Times New Roman" w:hAnsi="Times New Roman" w:hint="eastAsia"/>
          <w:b/>
          <w:sz w:val="22"/>
        </w:rPr>
        <w:t>目的要求</w:t>
      </w:r>
    </w:p>
    <w:p w:rsidR="003717A0" w:rsidRDefault="003717A0">
      <w:pPr>
        <w:numPr>
          <w:ilvl w:val="0"/>
          <w:numId w:val="557"/>
        </w:numPr>
        <w:adjustRightInd w:val="0"/>
        <w:snapToGrid w:val="0"/>
        <w:spacing w:line="360" w:lineRule="auto"/>
        <w:ind w:right="4"/>
        <w:rPr>
          <w:sz w:val="22"/>
        </w:rPr>
      </w:pPr>
      <w:r>
        <w:rPr>
          <w:rFonts w:hint="eastAsia"/>
          <w:sz w:val="22"/>
        </w:rPr>
        <w:t>熟悉身体各解剖结构及运动技能学基础</w:t>
      </w:r>
    </w:p>
    <w:p w:rsidR="003717A0" w:rsidRDefault="003717A0">
      <w:pPr>
        <w:numPr>
          <w:ilvl w:val="0"/>
          <w:numId w:val="557"/>
        </w:numPr>
        <w:adjustRightInd w:val="0"/>
        <w:snapToGrid w:val="0"/>
        <w:spacing w:line="360" w:lineRule="auto"/>
        <w:ind w:right="6"/>
        <w:rPr>
          <w:sz w:val="22"/>
        </w:rPr>
      </w:pPr>
      <w:r>
        <w:rPr>
          <w:rFonts w:hint="eastAsia"/>
          <w:sz w:val="22"/>
        </w:rPr>
        <w:t>熟悉身体骨骼神经解剖学结构和主要体表标志</w:t>
      </w:r>
    </w:p>
    <w:p w:rsidR="003717A0" w:rsidRDefault="003717A0">
      <w:pPr>
        <w:numPr>
          <w:ilvl w:val="0"/>
          <w:numId w:val="557"/>
        </w:numPr>
        <w:adjustRightInd w:val="0"/>
        <w:snapToGrid w:val="0"/>
        <w:spacing w:line="360" w:lineRule="auto"/>
        <w:ind w:right="6"/>
        <w:rPr>
          <w:sz w:val="22"/>
        </w:rPr>
      </w:pPr>
      <w:r>
        <w:rPr>
          <w:rFonts w:hint="eastAsia"/>
          <w:sz w:val="22"/>
        </w:rPr>
        <w:t>四肢关节手法治疗的临床选择依据</w:t>
      </w:r>
    </w:p>
    <w:p w:rsidR="003717A0" w:rsidRDefault="003717A0" w:rsidP="005E20B5">
      <w:pPr>
        <w:adjustRightInd w:val="0"/>
        <w:snapToGrid w:val="0"/>
        <w:spacing w:beforeLines="50" w:line="360" w:lineRule="auto"/>
        <w:ind w:right="6"/>
        <w:rPr>
          <w:b/>
          <w:sz w:val="22"/>
        </w:rPr>
      </w:pPr>
    </w:p>
    <w:p w:rsidR="003717A0" w:rsidRDefault="003717A0" w:rsidP="005E20B5">
      <w:pPr>
        <w:adjustRightInd w:val="0"/>
        <w:snapToGrid w:val="0"/>
        <w:spacing w:beforeLines="50" w:line="360" w:lineRule="auto"/>
        <w:ind w:right="6"/>
        <w:jc w:val="center"/>
        <w:rPr>
          <w:b/>
          <w:sz w:val="22"/>
        </w:rPr>
      </w:pPr>
      <w:r>
        <w:rPr>
          <w:rFonts w:hint="eastAsia"/>
          <w:b/>
          <w:sz w:val="22"/>
        </w:rPr>
        <w:t>第三章</w:t>
      </w:r>
      <w:r>
        <w:rPr>
          <w:b/>
          <w:sz w:val="22"/>
        </w:rPr>
        <w:t xml:space="preserve">  </w:t>
      </w:r>
      <w:r>
        <w:rPr>
          <w:rFonts w:hint="eastAsia"/>
          <w:b/>
          <w:sz w:val="22"/>
        </w:rPr>
        <w:t>手法治疗技术</w:t>
      </w:r>
    </w:p>
    <w:p w:rsidR="003717A0" w:rsidRDefault="003717A0">
      <w:pPr>
        <w:adjustRightInd w:val="0"/>
        <w:snapToGrid w:val="0"/>
        <w:spacing w:line="360" w:lineRule="auto"/>
        <w:ind w:right="6" w:firstLineChars="200" w:firstLine="442"/>
        <w:rPr>
          <w:rFonts w:ascii="Times New Roman" w:hAnsi="Times New Roman"/>
          <w:b/>
          <w:sz w:val="22"/>
        </w:rPr>
      </w:pPr>
      <w:r>
        <w:rPr>
          <w:rFonts w:ascii="Times New Roman" w:hAnsi="Times New Roman" w:hint="eastAsia"/>
          <w:b/>
          <w:sz w:val="22"/>
        </w:rPr>
        <w:t>教学内容（</w:t>
      </w:r>
      <w:r>
        <w:rPr>
          <w:rFonts w:ascii="Times New Roman" w:hAnsi="Times New Roman"/>
          <w:b/>
          <w:sz w:val="22"/>
        </w:rPr>
        <w:t>3</w:t>
      </w:r>
      <w:r>
        <w:rPr>
          <w:rFonts w:ascii="Times New Roman" w:hAnsi="Times New Roman" w:hint="eastAsia"/>
          <w:b/>
          <w:sz w:val="22"/>
        </w:rPr>
        <w:t>学时）</w:t>
      </w:r>
    </w:p>
    <w:p w:rsidR="003717A0" w:rsidRDefault="003717A0">
      <w:pPr>
        <w:adjustRightInd w:val="0"/>
        <w:snapToGrid w:val="0"/>
        <w:spacing w:line="360" w:lineRule="auto"/>
        <w:ind w:right="6" w:firstLineChars="200" w:firstLine="440"/>
        <w:rPr>
          <w:rFonts w:ascii="Times New Roman" w:hAnsi="Times New Roman"/>
          <w:b/>
          <w:sz w:val="22"/>
        </w:rPr>
      </w:pPr>
      <w:r>
        <w:rPr>
          <w:sz w:val="22"/>
        </w:rPr>
        <w:t>1</w:t>
      </w:r>
      <w:r>
        <w:rPr>
          <w:rFonts w:hint="eastAsia"/>
          <w:sz w:val="22"/>
        </w:rPr>
        <w:t>、了解推拿术（</w:t>
      </w:r>
      <w:r>
        <w:rPr>
          <w:sz w:val="22"/>
        </w:rPr>
        <w:t>Massage</w:t>
      </w:r>
      <w:r>
        <w:rPr>
          <w:rFonts w:hint="eastAsia"/>
          <w:sz w:val="22"/>
        </w:rPr>
        <w:t>）的涵义、以麦特兰德（</w:t>
      </w:r>
      <w:r>
        <w:rPr>
          <w:sz w:val="22"/>
        </w:rPr>
        <w:t>Maitland Concept</w:t>
      </w:r>
      <w:r>
        <w:rPr>
          <w:rFonts w:hint="eastAsia"/>
          <w:sz w:val="22"/>
        </w:rPr>
        <w:t>）为代表的西式手法（</w:t>
      </w:r>
      <w:r>
        <w:rPr>
          <w:sz w:val="22"/>
        </w:rPr>
        <w:t>Mobilization</w:t>
      </w:r>
      <w:r>
        <w:rPr>
          <w:rFonts w:hint="eastAsia"/>
          <w:sz w:val="22"/>
        </w:rPr>
        <w:t>）的应用范畴及规律，手法（</w:t>
      </w:r>
      <w:r>
        <w:rPr>
          <w:sz w:val="22"/>
        </w:rPr>
        <w:t>Manipulation</w:t>
      </w:r>
      <w:r>
        <w:rPr>
          <w:rFonts w:hint="eastAsia"/>
          <w:sz w:val="22"/>
        </w:rPr>
        <w:t>）概念的内涵，了解三者之间的联系与区别，及选择性应用。</w:t>
      </w:r>
    </w:p>
    <w:p w:rsidR="003717A0" w:rsidRDefault="003717A0">
      <w:pPr>
        <w:adjustRightInd w:val="0"/>
        <w:snapToGrid w:val="0"/>
        <w:spacing w:line="360" w:lineRule="auto"/>
        <w:ind w:right="6" w:firstLineChars="200" w:firstLine="440"/>
        <w:rPr>
          <w:rFonts w:ascii="Times New Roman" w:hAnsi="Times New Roman"/>
          <w:b/>
          <w:sz w:val="22"/>
        </w:rPr>
      </w:pPr>
      <w:r>
        <w:rPr>
          <w:sz w:val="22"/>
        </w:rPr>
        <w:t>2</w:t>
      </w:r>
      <w:r>
        <w:rPr>
          <w:rFonts w:hint="eastAsia"/>
          <w:sz w:val="22"/>
        </w:rPr>
        <w:t>、了解推拿手法的作用、应用范畴以及操作规范。</w:t>
      </w:r>
    </w:p>
    <w:p w:rsidR="003717A0" w:rsidRDefault="003717A0">
      <w:pPr>
        <w:adjustRightInd w:val="0"/>
        <w:snapToGrid w:val="0"/>
        <w:spacing w:line="360" w:lineRule="auto"/>
        <w:ind w:right="6" w:firstLineChars="145" w:firstLine="319"/>
        <w:rPr>
          <w:rFonts w:ascii="Times New Roman" w:hAnsi="Times New Roman"/>
          <w:b/>
          <w:sz w:val="22"/>
        </w:rPr>
      </w:pPr>
      <w:r>
        <w:rPr>
          <w:sz w:val="22"/>
        </w:rPr>
        <w:t xml:space="preserve"> 3</w:t>
      </w:r>
      <w:r>
        <w:rPr>
          <w:rFonts w:hint="eastAsia"/>
          <w:sz w:val="22"/>
        </w:rPr>
        <w:t>、了解西方麦肯基力学疗法中治疗师操作技术的作用、应用范畴以及操作规范。</w:t>
      </w:r>
    </w:p>
    <w:p w:rsidR="003717A0" w:rsidRDefault="003717A0">
      <w:pPr>
        <w:adjustRightInd w:val="0"/>
        <w:snapToGrid w:val="0"/>
        <w:spacing w:line="360" w:lineRule="auto"/>
        <w:ind w:right="6" w:firstLineChars="147" w:firstLine="325"/>
        <w:rPr>
          <w:rFonts w:ascii="Times New Roman" w:hAnsi="Times New Roman"/>
          <w:b/>
          <w:sz w:val="22"/>
        </w:rPr>
      </w:pPr>
      <w:r>
        <w:rPr>
          <w:rFonts w:ascii="Times New Roman" w:hAnsi="Times New Roman" w:hint="eastAsia"/>
          <w:b/>
          <w:sz w:val="22"/>
        </w:rPr>
        <w:t>实习内容（</w:t>
      </w:r>
      <w:r>
        <w:rPr>
          <w:rFonts w:ascii="Times New Roman" w:hAnsi="Times New Roman"/>
          <w:b/>
          <w:sz w:val="22"/>
        </w:rPr>
        <w:t>3</w:t>
      </w:r>
      <w:r>
        <w:rPr>
          <w:rFonts w:ascii="Times New Roman" w:hAnsi="Times New Roman" w:hint="eastAsia"/>
          <w:b/>
          <w:sz w:val="22"/>
        </w:rPr>
        <w:t>学时）</w:t>
      </w:r>
    </w:p>
    <w:p w:rsidR="003717A0" w:rsidRDefault="003717A0">
      <w:pPr>
        <w:numPr>
          <w:ilvl w:val="0"/>
          <w:numId w:val="558"/>
        </w:numPr>
        <w:adjustRightInd w:val="0"/>
        <w:snapToGrid w:val="0"/>
        <w:spacing w:line="360" w:lineRule="auto"/>
        <w:ind w:right="6"/>
        <w:rPr>
          <w:sz w:val="22"/>
        </w:rPr>
      </w:pPr>
      <w:r>
        <w:rPr>
          <w:rFonts w:hint="eastAsia"/>
          <w:sz w:val="22"/>
        </w:rPr>
        <w:t>熟悉推拿手法</w:t>
      </w:r>
    </w:p>
    <w:p w:rsidR="003717A0" w:rsidRDefault="003717A0">
      <w:pPr>
        <w:numPr>
          <w:ilvl w:val="0"/>
          <w:numId w:val="558"/>
        </w:numPr>
        <w:adjustRightInd w:val="0"/>
        <w:snapToGrid w:val="0"/>
        <w:spacing w:line="360" w:lineRule="auto"/>
        <w:ind w:right="6"/>
        <w:rPr>
          <w:rFonts w:ascii="Times New Roman" w:hAnsi="Times New Roman"/>
          <w:b/>
          <w:sz w:val="22"/>
        </w:rPr>
      </w:pPr>
      <w:r>
        <w:rPr>
          <w:rFonts w:hint="eastAsia"/>
          <w:sz w:val="22"/>
        </w:rPr>
        <w:t>熟悉西方麦肯基力学疗法的操作技术</w:t>
      </w:r>
    </w:p>
    <w:p w:rsidR="003717A0" w:rsidRDefault="003717A0">
      <w:pPr>
        <w:adjustRightInd w:val="0"/>
        <w:snapToGrid w:val="0"/>
        <w:spacing w:line="360" w:lineRule="auto"/>
        <w:ind w:right="6"/>
        <w:rPr>
          <w:rFonts w:ascii="Times New Roman" w:hAnsi="Times New Roman"/>
          <w:b/>
          <w:sz w:val="22"/>
        </w:rPr>
      </w:pPr>
    </w:p>
    <w:p w:rsidR="003717A0" w:rsidRDefault="003717A0">
      <w:pPr>
        <w:adjustRightInd w:val="0"/>
        <w:snapToGrid w:val="0"/>
        <w:spacing w:line="360" w:lineRule="auto"/>
        <w:ind w:right="6"/>
        <w:rPr>
          <w:rFonts w:ascii="Times New Roman" w:hAnsi="Times New Roman"/>
          <w:b/>
          <w:sz w:val="22"/>
        </w:rPr>
      </w:pPr>
      <w:r>
        <w:rPr>
          <w:rFonts w:ascii="Times New Roman" w:hAnsi="Times New Roman" w:hint="eastAsia"/>
          <w:b/>
          <w:sz w:val="22"/>
        </w:rPr>
        <w:t>目的要求</w:t>
      </w:r>
    </w:p>
    <w:p w:rsidR="003717A0" w:rsidRDefault="003717A0" w:rsidP="005E20B5">
      <w:pPr>
        <w:numPr>
          <w:ilvl w:val="0"/>
          <w:numId w:val="559"/>
        </w:numPr>
        <w:adjustRightInd w:val="0"/>
        <w:snapToGrid w:val="0"/>
        <w:spacing w:beforeLines="50" w:line="360" w:lineRule="auto"/>
        <w:ind w:right="6"/>
        <w:rPr>
          <w:sz w:val="22"/>
        </w:rPr>
      </w:pPr>
      <w:r>
        <w:rPr>
          <w:sz w:val="22"/>
        </w:rPr>
        <w:t xml:space="preserve"> </w:t>
      </w:r>
      <w:r>
        <w:rPr>
          <w:rFonts w:hint="eastAsia"/>
          <w:sz w:val="22"/>
        </w:rPr>
        <w:t>了解各种手法治疗技术的含义及应用</w:t>
      </w:r>
    </w:p>
    <w:p w:rsidR="003717A0" w:rsidRDefault="003717A0" w:rsidP="005E20B5">
      <w:pPr>
        <w:numPr>
          <w:ilvl w:val="0"/>
          <w:numId w:val="559"/>
        </w:numPr>
        <w:adjustRightInd w:val="0"/>
        <w:snapToGrid w:val="0"/>
        <w:spacing w:beforeLines="50" w:line="360" w:lineRule="auto"/>
        <w:ind w:right="6"/>
        <w:rPr>
          <w:b/>
          <w:sz w:val="22"/>
        </w:rPr>
      </w:pPr>
      <w:r>
        <w:rPr>
          <w:sz w:val="22"/>
        </w:rPr>
        <w:t xml:space="preserve"> </w:t>
      </w:r>
      <w:r>
        <w:rPr>
          <w:rFonts w:hint="eastAsia"/>
          <w:sz w:val="22"/>
        </w:rPr>
        <w:t>熟悉各种手法的操作规范</w:t>
      </w:r>
    </w:p>
    <w:p w:rsidR="003717A0" w:rsidRDefault="003717A0">
      <w:pPr>
        <w:adjustRightInd w:val="0"/>
        <w:snapToGrid w:val="0"/>
        <w:spacing w:line="360" w:lineRule="auto"/>
        <w:ind w:right="4"/>
        <w:rPr>
          <w:rFonts w:ascii="Times New Roman" w:hAnsi="Times New Roman"/>
          <w:sz w:val="22"/>
        </w:rPr>
      </w:pPr>
    </w:p>
    <w:p w:rsidR="003717A0" w:rsidRDefault="003717A0" w:rsidP="005E20B5">
      <w:pPr>
        <w:adjustRightInd w:val="0"/>
        <w:snapToGrid w:val="0"/>
        <w:spacing w:beforeLines="50" w:line="360" w:lineRule="auto"/>
        <w:ind w:right="6"/>
        <w:jc w:val="center"/>
        <w:rPr>
          <w:b/>
          <w:sz w:val="22"/>
        </w:rPr>
      </w:pPr>
      <w:r>
        <w:rPr>
          <w:rFonts w:hint="eastAsia"/>
          <w:b/>
          <w:sz w:val="22"/>
        </w:rPr>
        <w:t>第四章</w:t>
      </w:r>
      <w:r>
        <w:rPr>
          <w:b/>
          <w:sz w:val="22"/>
        </w:rPr>
        <w:t xml:space="preserve">  </w:t>
      </w:r>
      <w:r>
        <w:rPr>
          <w:rFonts w:hint="eastAsia"/>
          <w:b/>
          <w:sz w:val="22"/>
        </w:rPr>
        <w:t>各种疾病的中西医运动技术</w:t>
      </w:r>
    </w:p>
    <w:p w:rsidR="003717A0" w:rsidRDefault="003717A0">
      <w:pPr>
        <w:adjustRightInd w:val="0"/>
        <w:snapToGrid w:val="0"/>
        <w:spacing w:line="360" w:lineRule="auto"/>
        <w:ind w:right="6"/>
        <w:rPr>
          <w:rFonts w:ascii="Times New Roman" w:hAnsi="Times New Roman"/>
          <w:b/>
          <w:sz w:val="22"/>
        </w:rPr>
      </w:pPr>
      <w:r>
        <w:rPr>
          <w:rFonts w:ascii="Times New Roman" w:hAnsi="Times New Roman" w:hint="eastAsia"/>
          <w:b/>
          <w:sz w:val="22"/>
        </w:rPr>
        <w:t>教学内容（</w:t>
      </w:r>
      <w:r>
        <w:rPr>
          <w:rFonts w:ascii="Times New Roman" w:hAnsi="Times New Roman"/>
          <w:b/>
          <w:sz w:val="22"/>
        </w:rPr>
        <w:t>3</w:t>
      </w:r>
      <w:r>
        <w:rPr>
          <w:rFonts w:ascii="Times New Roman" w:hAnsi="Times New Roman" w:hint="eastAsia"/>
          <w:b/>
          <w:sz w:val="22"/>
        </w:rPr>
        <w:t>学时）</w:t>
      </w:r>
    </w:p>
    <w:p w:rsidR="003717A0" w:rsidRDefault="003717A0">
      <w:pPr>
        <w:numPr>
          <w:ilvl w:val="0"/>
          <w:numId w:val="560"/>
        </w:numPr>
        <w:spacing w:before="100" w:beforeAutospacing="1" w:after="100" w:afterAutospacing="1" w:line="360" w:lineRule="auto"/>
        <w:rPr>
          <w:sz w:val="22"/>
        </w:rPr>
      </w:pPr>
      <w:r>
        <w:rPr>
          <w:rFonts w:hint="eastAsia"/>
          <w:sz w:val="22"/>
        </w:rPr>
        <w:t>软组织损伤急、慢性期的临床考虑，骨折后恢复的治疗目标和计划，手术前后处理的治疗目标和计划</w:t>
      </w:r>
    </w:p>
    <w:p w:rsidR="003717A0" w:rsidRDefault="003717A0">
      <w:pPr>
        <w:spacing w:line="360" w:lineRule="auto"/>
        <w:rPr>
          <w:sz w:val="22"/>
        </w:rPr>
      </w:pPr>
      <w:r>
        <w:rPr>
          <w:sz w:val="22"/>
        </w:rPr>
        <w:lastRenderedPageBreak/>
        <w:t>2</w:t>
      </w:r>
      <w:r>
        <w:rPr>
          <w:rFonts w:hint="eastAsia"/>
          <w:sz w:val="22"/>
        </w:rPr>
        <w:t>、肩部急性和亚急性早期软组织损害治疗的运动技巧，亚急性和慢性肩部问题的肌力和柔软度不平衡的运动技巧，盂肱（全肩）关节置换术后的处理，肩关节脱臼后非手术治疗的技术。</w:t>
      </w:r>
    </w:p>
    <w:p w:rsidR="003717A0" w:rsidRDefault="003717A0">
      <w:pPr>
        <w:spacing w:line="360" w:lineRule="auto"/>
        <w:rPr>
          <w:sz w:val="22"/>
        </w:rPr>
      </w:pPr>
      <w:r>
        <w:rPr>
          <w:sz w:val="22"/>
        </w:rPr>
        <w:t>3</w:t>
      </w:r>
      <w:r>
        <w:rPr>
          <w:rFonts w:hint="eastAsia"/>
          <w:sz w:val="22"/>
        </w:rPr>
        <w:t>、髋关节损伤后急性期、亚急性期和慢性期处理，全髋关节置换术术前的指导技术和术后的处理技术，髋周各紧绷肌肉的自我牵伸技巧，增强肌力</w:t>
      </w:r>
      <w:r>
        <w:rPr>
          <w:sz w:val="22"/>
        </w:rPr>
        <w:t>-</w:t>
      </w:r>
      <w:r>
        <w:rPr>
          <w:rFonts w:hint="eastAsia"/>
          <w:sz w:val="22"/>
        </w:rPr>
        <w:t>稳定度和负重控制的技巧。</w:t>
      </w:r>
    </w:p>
    <w:p w:rsidR="003717A0" w:rsidRDefault="003717A0">
      <w:pPr>
        <w:spacing w:line="360" w:lineRule="auto"/>
        <w:rPr>
          <w:sz w:val="22"/>
        </w:rPr>
      </w:pPr>
      <w:r>
        <w:rPr>
          <w:sz w:val="22"/>
        </w:rPr>
        <w:t>4</w:t>
      </w:r>
      <w:r>
        <w:rPr>
          <w:rFonts w:hint="eastAsia"/>
          <w:sz w:val="22"/>
        </w:rPr>
        <w:t>、膝关节急性关节损伤的处理技术，亚急性和慢性关节问题的处理技术，膝关节手术和术后的处理目标，全膝关节置换术术后的技术。</w:t>
      </w:r>
    </w:p>
    <w:p w:rsidR="003717A0" w:rsidRDefault="003717A0">
      <w:pPr>
        <w:spacing w:line="360" w:lineRule="auto"/>
        <w:rPr>
          <w:sz w:val="22"/>
        </w:rPr>
      </w:pPr>
      <w:r>
        <w:rPr>
          <w:sz w:val="22"/>
        </w:rPr>
        <w:t>5</w:t>
      </w:r>
      <w:r>
        <w:rPr>
          <w:rFonts w:hint="eastAsia"/>
          <w:sz w:val="22"/>
        </w:rPr>
        <w:t>．脊柱中影响动作和稳定性的结构；急性期椎间盘病变的治疗原则；脊柱损伤急性期的一般治疗目标和照护计划，以及注意事项和禁忌；治疗急性症状的通则中解除症状或舒适的姿势的方法，患者的卫教工作内容；机械式减轻腰椎椎间盘的髓核突出或肿胀组织的治疗技巧；脊柱相关肌肉与软组织的病变的急性期的处理的基本技术；斜颈的处理方法、颞颌关节功能缺失的处理方法。</w:t>
      </w:r>
    </w:p>
    <w:p w:rsidR="003717A0" w:rsidRDefault="003717A0">
      <w:pPr>
        <w:spacing w:line="360" w:lineRule="auto"/>
        <w:rPr>
          <w:sz w:val="22"/>
        </w:rPr>
      </w:pPr>
      <w:r>
        <w:rPr>
          <w:sz w:val="22"/>
        </w:rPr>
        <w:t xml:space="preserve">   6</w:t>
      </w:r>
      <w:r>
        <w:rPr>
          <w:rFonts w:hint="eastAsia"/>
          <w:sz w:val="22"/>
        </w:rPr>
        <w:t>．脊柱慢性康复期一般性的治疗目标及照护计划；姿势控制其肌肉功能的训练和强化及耐力发展的一般原则；脊柱重建运动及本体感觉治疗时使用的增强技巧；针对姿势控制其肌肉功能的训练和强化及耐力发展的程序中颈部和腰部的技术；重建运动及本体感觉治疗时使用的增强技巧。</w:t>
      </w:r>
    </w:p>
    <w:p w:rsidR="003717A0" w:rsidRDefault="003717A0">
      <w:pPr>
        <w:adjustRightInd w:val="0"/>
        <w:snapToGrid w:val="0"/>
        <w:spacing w:line="360" w:lineRule="auto"/>
        <w:ind w:right="6"/>
        <w:rPr>
          <w:rFonts w:ascii="Times New Roman" w:hAnsi="Times New Roman"/>
          <w:b/>
          <w:sz w:val="22"/>
        </w:rPr>
      </w:pPr>
      <w:r>
        <w:rPr>
          <w:rFonts w:ascii="Times New Roman" w:hAnsi="Times New Roman" w:hint="eastAsia"/>
          <w:b/>
          <w:sz w:val="22"/>
        </w:rPr>
        <w:t>实习内容（</w:t>
      </w:r>
      <w:r>
        <w:rPr>
          <w:rFonts w:ascii="Times New Roman" w:hAnsi="Times New Roman"/>
          <w:b/>
          <w:sz w:val="22"/>
        </w:rPr>
        <w:t>3</w:t>
      </w:r>
      <w:r>
        <w:rPr>
          <w:rFonts w:ascii="Times New Roman" w:hAnsi="Times New Roman" w:hint="eastAsia"/>
          <w:b/>
          <w:sz w:val="22"/>
        </w:rPr>
        <w:t>学时）</w:t>
      </w:r>
    </w:p>
    <w:p w:rsidR="003717A0" w:rsidRDefault="003717A0">
      <w:pPr>
        <w:numPr>
          <w:ilvl w:val="0"/>
          <w:numId w:val="561"/>
        </w:numPr>
        <w:adjustRightInd w:val="0"/>
        <w:snapToGrid w:val="0"/>
        <w:spacing w:line="360" w:lineRule="auto"/>
        <w:ind w:right="4"/>
        <w:rPr>
          <w:rFonts w:ascii="Times New Roman" w:hAnsi="Times New Roman"/>
          <w:sz w:val="22"/>
        </w:rPr>
      </w:pPr>
      <w:r>
        <w:rPr>
          <w:rFonts w:ascii="Times New Roman" w:hAnsi="Times New Roman" w:hint="eastAsia"/>
          <w:sz w:val="22"/>
        </w:rPr>
        <w:t>熟悉常见疾病的中西医运动治疗技术</w:t>
      </w:r>
    </w:p>
    <w:p w:rsidR="003717A0" w:rsidRDefault="003717A0">
      <w:pPr>
        <w:adjustRightInd w:val="0"/>
        <w:snapToGrid w:val="0"/>
        <w:spacing w:line="360" w:lineRule="auto"/>
        <w:ind w:right="6"/>
        <w:rPr>
          <w:rFonts w:ascii="Times New Roman" w:hAnsi="Times New Roman"/>
          <w:b/>
          <w:sz w:val="22"/>
        </w:rPr>
      </w:pPr>
    </w:p>
    <w:p w:rsidR="003717A0" w:rsidRDefault="003717A0">
      <w:pPr>
        <w:adjustRightInd w:val="0"/>
        <w:snapToGrid w:val="0"/>
        <w:spacing w:line="360" w:lineRule="auto"/>
        <w:ind w:right="6"/>
        <w:rPr>
          <w:rFonts w:ascii="Times New Roman" w:hAnsi="Times New Roman"/>
          <w:b/>
          <w:sz w:val="22"/>
        </w:rPr>
      </w:pPr>
      <w:r>
        <w:rPr>
          <w:rFonts w:ascii="Times New Roman" w:hAnsi="Times New Roman" w:hint="eastAsia"/>
          <w:b/>
          <w:sz w:val="22"/>
        </w:rPr>
        <w:t>目的要求</w:t>
      </w:r>
    </w:p>
    <w:p w:rsidR="003717A0" w:rsidRDefault="003717A0">
      <w:pPr>
        <w:numPr>
          <w:ilvl w:val="0"/>
          <w:numId w:val="562"/>
        </w:numPr>
        <w:adjustRightInd w:val="0"/>
        <w:snapToGrid w:val="0"/>
        <w:spacing w:line="360" w:lineRule="auto"/>
        <w:ind w:right="4"/>
        <w:rPr>
          <w:rFonts w:ascii="Times New Roman" w:hAnsi="Times New Roman"/>
          <w:sz w:val="22"/>
        </w:rPr>
      </w:pPr>
      <w:r>
        <w:rPr>
          <w:rFonts w:ascii="Times New Roman" w:hAnsi="Times New Roman" w:cs="Times New Roman" w:hint="eastAsia"/>
          <w:sz w:val="22"/>
        </w:rPr>
        <w:t>熟悉常见疾病的中西医运动治疗技术</w:t>
      </w:r>
    </w:p>
    <w:p w:rsidR="003717A0" w:rsidRDefault="003717A0">
      <w:pPr>
        <w:ind w:firstLineChars="1274" w:firstLine="2814"/>
        <w:rPr>
          <w:b/>
          <w:sz w:val="22"/>
        </w:rPr>
      </w:pPr>
      <w:r>
        <w:rPr>
          <w:b/>
          <w:sz w:val="22"/>
        </w:rPr>
        <w:t xml:space="preserve"> </w:t>
      </w:r>
      <w:r>
        <w:rPr>
          <w:rFonts w:hint="eastAsia"/>
          <w:b/>
          <w:sz w:val="22"/>
        </w:rPr>
        <w:t>理论课学时分配</w:t>
      </w:r>
    </w:p>
    <w:tbl>
      <w:tblPr>
        <w:tblpPr w:leftFromText="180" w:rightFromText="180" w:vertAnchor="text" w:horzAnchor="margin" w:tblpY="323"/>
        <w:tblW w:w="7349" w:type="dxa"/>
        <w:tblBorders>
          <w:top w:val="single" w:sz="2" w:space="0" w:color="auto"/>
          <w:bottom w:val="single" w:sz="2" w:space="0" w:color="auto"/>
        </w:tblBorders>
        <w:tblLayout w:type="fixed"/>
        <w:tblLook w:val="00A0"/>
      </w:tblPr>
      <w:tblGrid>
        <w:gridCol w:w="1008"/>
        <w:gridCol w:w="3780"/>
        <w:gridCol w:w="900"/>
        <w:gridCol w:w="987"/>
        <w:gridCol w:w="674"/>
      </w:tblGrid>
      <w:tr w:rsidR="003717A0">
        <w:tc>
          <w:tcPr>
            <w:tcW w:w="1008" w:type="dxa"/>
            <w:tcBorders>
              <w:top w:val="single" w:sz="2" w:space="0" w:color="auto"/>
              <w:bottom w:val="single" w:sz="2" w:space="0" w:color="auto"/>
            </w:tcBorders>
          </w:tcPr>
          <w:p w:rsidR="003717A0" w:rsidRDefault="003717A0">
            <w:pPr>
              <w:jc w:val="center"/>
              <w:rPr>
                <w:sz w:val="22"/>
              </w:rPr>
            </w:pPr>
            <w:r>
              <w:rPr>
                <w:rFonts w:hint="eastAsia"/>
                <w:sz w:val="22"/>
              </w:rPr>
              <w:t>章节</w:t>
            </w:r>
          </w:p>
        </w:tc>
        <w:tc>
          <w:tcPr>
            <w:tcW w:w="3780" w:type="dxa"/>
            <w:tcBorders>
              <w:top w:val="single" w:sz="2" w:space="0" w:color="auto"/>
              <w:bottom w:val="single" w:sz="2" w:space="0" w:color="auto"/>
            </w:tcBorders>
          </w:tcPr>
          <w:p w:rsidR="003717A0" w:rsidRDefault="003717A0">
            <w:pPr>
              <w:jc w:val="center"/>
              <w:rPr>
                <w:sz w:val="22"/>
              </w:rPr>
            </w:pPr>
            <w:r>
              <w:rPr>
                <w:rFonts w:hint="eastAsia"/>
                <w:sz w:val="22"/>
              </w:rPr>
              <w:t>教学内容</w:t>
            </w:r>
          </w:p>
        </w:tc>
        <w:tc>
          <w:tcPr>
            <w:tcW w:w="900" w:type="dxa"/>
            <w:tcBorders>
              <w:top w:val="single" w:sz="2" w:space="0" w:color="auto"/>
              <w:bottom w:val="single" w:sz="2" w:space="0" w:color="auto"/>
            </w:tcBorders>
          </w:tcPr>
          <w:p w:rsidR="003717A0" w:rsidRDefault="003717A0">
            <w:pPr>
              <w:jc w:val="center"/>
              <w:rPr>
                <w:sz w:val="22"/>
              </w:rPr>
            </w:pPr>
            <w:r>
              <w:rPr>
                <w:rFonts w:hint="eastAsia"/>
                <w:sz w:val="22"/>
              </w:rPr>
              <w:t>主讲课</w:t>
            </w:r>
          </w:p>
        </w:tc>
        <w:tc>
          <w:tcPr>
            <w:tcW w:w="987" w:type="dxa"/>
            <w:tcBorders>
              <w:top w:val="single" w:sz="2" w:space="0" w:color="auto"/>
              <w:bottom w:val="single" w:sz="2" w:space="0" w:color="auto"/>
            </w:tcBorders>
          </w:tcPr>
          <w:p w:rsidR="003717A0" w:rsidRDefault="003717A0">
            <w:pPr>
              <w:jc w:val="center"/>
              <w:rPr>
                <w:sz w:val="22"/>
              </w:rPr>
            </w:pPr>
            <w:r>
              <w:rPr>
                <w:rFonts w:hint="eastAsia"/>
                <w:sz w:val="22"/>
              </w:rPr>
              <w:t>见习</w:t>
            </w:r>
          </w:p>
        </w:tc>
        <w:tc>
          <w:tcPr>
            <w:tcW w:w="674" w:type="dxa"/>
            <w:tcBorders>
              <w:top w:val="single" w:sz="2" w:space="0" w:color="auto"/>
              <w:bottom w:val="single" w:sz="2" w:space="0" w:color="auto"/>
            </w:tcBorders>
          </w:tcPr>
          <w:p w:rsidR="003717A0" w:rsidRDefault="003717A0">
            <w:pPr>
              <w:jc w:val="center"/>
              <w:rPr>
                <w:sz w:val="22"/>
              </w:rPr>
            </w:pPr>
            <w:r>
              <w:rPr>
                <w:rFonts w:hint="eastAsia"/>
                <w:sz w:val="22"/>
              </w:rPr>
              <w:t>合计</w:t>
            </w:r>
          </w:p>
        </w:tc>
      </w:tr>
      <w:tr w:rsidR="003717A0">
        <w:tc>
          <w:tcPr>
            <w:tcW w:w="1008" w:type="dxa"/>
            <w:tcBorders>
              <w:top w:val="single" w:sz="2" w:space="0" w:color="auto"/>
              <w:bottom w:val="nil"/>
            </w:tcBorders>
          </w:tcPr>
          <w:p w:rsidR="003717A0" w:rsidRDefault="003717A0">
            <w:pPr>
              <w:jc w:val="center"/>
              <w:rPr>
                <w:sz w:val="22"/>
              </w:rPr>
            </w:pPr>
            <w:r>
              <w:rPr>
                <w:rFonts w:hint="eastAsia"/>
                <w:sz w:val="22"/>
              </w:rPr>
              <w:t>第一章</w:t>
            </w:r>
          </w:p>
        </w:tc>
        <w:tc>
          <w:tcPr>
            <w:tcW w:w="3780" w:type="dxa"/>
            <w:tcBorders>
              <w:top w:val="single" w:sz="2" w:space="0" w:color="auto"/>
              <w:bottom w:val="nil"/>
            </w:tcBorders>
          </w:tcPr>
          <w:p w:rsidR="003717A0" w:rsidRDefault="003717A0" w:rsidP="005E20B5">
            <w:pPr>
              <w:adjustRightInd w:val="0"/>
              <w:snapToGrid w:val="0"/>
              <w:spacing w:beforeLines="50" w:line="360" w:lineRule="auto"/>
              <w:ind w:right="6"/>
              <w:jc w:val="center"/>
              <w:rPr>
                <w:sz w:val="22"/>
              </w:rPr>
            </w:pPr>
            <w:r>
              <w:rPr>
                <w:rFonts w:hint="eastAsia"/>
                <w:sz w:val="22"/>
              </w:rPr>
              <w:t>中西结合运动治疗技术绪论</w:t>
            </w:r>
          </w:p>
        </w:tc>
        <w:tc>
          <w:tcPr>
            <w:tcW w:w="900" w:type="dxa"/>
            <w:tcBorders>
              <w:top w:val="single" w:sz="2" w:space="0" w:color="auto"/>
              <w:bottom w:val="nil"/>
            </w:tcBorders>
          </w:tcPr>
          <w:p w:rsidR="003717A0" w:rsidRDefault="003717A0">
            <w:pPr>
              <w:jc w:val="center"/>
              <w:rPr>
                <w:sz w:val="22"/>
              </w:rPr>
            </w:pPr>
            <w:r>
              <w:rPr>
                <w:sz w:val="22"/>
              </w:rPr>
              <w:t>3</w:t>
            </w:r>
          </w:p>
        </w:tc>
        <w:tc>
          <w:tcPr>
            <w:tcW w:w="987" w:type="dxa"/>
            <w:tcBorders>
              <w:top w:val="single" w:sz="2" w:space="0" w:color="auto"/>
              <w:bottom w:val="nil"/>
            </w:tcBorders>
          </w:tcPr>
          <w:p w:rsidR="003717A0" w:rsidRDefault="003717A0">
            <w:pPr>
              <w:jc w:val="center"/>
              <w:rPr>
                <w:sz w:val="22"/>
              </w:rPr>
            </w:pPr>
          </w:p>
        </w:tc>
        <w:tc>
          <w:tcPr>
            <w:tcW w:w="674" w:type="dxa"/>
            <w:tcBorders>
              <w:top w:val="single" w:sz="2" w:space="0" w:color="auto"/>
              <w:bottom w:val="nil"/>
            </w:tcBorders>
          </w:tcPr>
          <w:p w:rsidR="003717A0" w:rsidRDefault="003717A0">
            <w:pPr>
              <w:jc w:val="center"/>
              <w:rPr>
                <w:sz w:val="22"/>
              </w:rPr>
            </w:pPr>
            <w:r>
              <w:rPr>
                <w:sz w:val="22"/>
              </w:rPr>
              <w:t>3</w:t>
            </w:r>
          </w:p>
        </w:tc>
      </w:tr>
      <w:tr w:rsidR="003717A0">
        <w:tc>
          <w:tcPr>
            <w:tcW w:w="1008" w:type="dxa"/>
            <w:tcBorders>
              <w:top w:val="nil"/>
            </w:tcBorders>
          </w:tcPr>
          <w:p w:rsidR="003717A0" w:rsidRDefault="003717A0">
            <w:pPr>
              <w:jc w:val="center"/>
              <w:rPr>
                <w:sz w:val="22"/>
              </w:rPr>
            </w:pPr>
            <w:r>
              <w:rPr>
                <w:rFonts w:hint="eastAsia"/>
                <w:sz w:val="22"/>
              </w:rPr>
              <w:t>第二章</w:t>
            </w:r>
          </w:p>
        </w:tc>
        <w:tc>
          <w:tcPr>
            <w:tcW w:w="3780" w:type="dxa"/>
            <w:tcBorders>
              <w:top w:val="nil"/>
            </w:tcBorders>
          </w:tcPr>
          <w:p w:rsidR="003717A0" w:rsidRDefault="003717A0" w:rsidP="005E20B5">
            <w:pPr>
              <w:adjustRightInd w:val="0"/>
              <w:snapToGrid w:val="0"/>
              <w:spacing w:beforeLines="50" w:line="360" w:lineRule="auto"/>
              <w:ind w:right="6"/>
              <w:jc w:val="center"/>
              <w:rPr>
                <w:sz w:val="22"/>
              </w:rPr>
            </w:pPr>
            <w:r>
              <w:rPr>
                <w:b/>
                <w:sz w:val="22"/>
              </w:rPr>
              <w:t xml:space="preserve">  </w:t>
            </w:r>
            <w:r>
              <w:rPr>
                <w:rFonts w:hint="eastAsia"/>
                <w:sz w:val="22"/>
              </w:rPr>
              <w:t>解剖结构和运动机能学基础</w:t>
            </w:r>
          </w:p>
        </w:tc>
        <w:tc>
          <w:tcPr>
            <w:tcW w:w="900" w:type="dxa"/>
            <w:tcBorders>
              <w:top w:val="nil"/>
            </w:tcBorders>
          </w:tcPr>
          <w:p w:rsidR="003717A0" w:rsidRDefault="003717A0">
            <w:pPr>
              <w:jc w:val="center"/>
              <w:rPr>
                <w:sz w:val="22"/>
              </w:rPr>
            </w:pPr>
            <w:r>
              <w:rPr>
                <w:sz w:val="22"/>
              </w:rPr>
              <w:t>3</w:t>
            </w:r>
          </w:p>
        </w:tc>
        <w:tc>
          <w:tcPr>
            <w:tcW w:w="987" w:type="dxa"/>
            <w:tcBorders>
              <w:top w:val="nil"/>
            </w:tcBorders>
          </w:tcPr>
          <w:p w:rsidR="003717A0" w:rsidRDefault="003717A0">
            <w:pPr>
              <w:jc w:val="center"/>
              <w:rPr>
                <w:sz w:val="22"/>
              </w:rPr>
            </w:pPr>
            <w:r>
              <w:rPr>
                <w:sz w:val="22"/>
              </w:rPr>
              <w:t xml:space="preserve"> </w:t>
            </w:r>
          </w:p>
        </w:tc>
        <w:tc>
          <w:tcPr>
            <w:tcW w:w="674" w:type="dxa"/>
            <w:tcBorders>
              <w:top w:val="nil"/>
            </w:tcBorders>
          </w:tcPr>
          <w:p w:rsidR="003717A0" w:rsidRDefault="003717A0">
            <w:pPr>
              <w:jc w:val="center"/>
              <w:rPr>
                <w:sz w:val="22"/>
              </w:rPr>
            </w:pPr>
            <w:r>
              <w:rPr>
                <w:sz w:val="22"/>
              </w:rPr>
              <w:t>3</w:t>
            </w:r>
          </w:p>
        </w:tc>
      </w:tr>
      <w:tr w:rsidR="003717A0">
        <w:tc>
          <w:tcPr>
            <w:tcW w:w="1008" w:type="dxa"/>
          </w:tcPr>
          <w:p w:rsidR="003717A0" w:rsidRDefault="003717A0">
            <w:pPr>
              <w:jc w:val="center"/>
              <w:rPr>
                <w:sz w:val="22"/>
              </w:rPr>
            </w:pPr>
            <w:r>
              <w:rPr>
                <w:rFonts w:hint="eastAsia"/>
                <w:sz w:val="22"/>
              </w:rPr>
              <w:t>第三章</w:t>
            </w:r>
          </w:p>
        </w:tc>
        <w:tc>
          <w:tcPr>
            <w:tcW w:w="3780" w:type="dxa"/>
          </w:tcPr>
          <w:p w:rsidR="003717A0" w:rsidRDefault="003717A0" w:rsidP="005E20B5">
            <w:pPr>
              <w:adjustRightInd w:val="0"/>
              <w:snapToGrid w:val="0"/>
              <w:spacing w:beforeLines="50" w:line="360" w:lineRule="auto"/>
              <w:ind w:right="6"/>
              <w:rPr>
                <w:sz w:val="22"/>
              </w:rPr>
            </w:pPr>
            <w:r>
              <w:rPr>
                <w:b/>
                <w:sz w:val="22"/>
              </w:rPr>
              <w:t xml:space="preserve">  </w:t>
            </w:r>
            <w:r>
              <w:rPr>
                <w:rFonts w:hint="eastAsia"/>
                <w:sz w:val="22"/>
              </w:rPr>
              <w:t>手法治疗技术</w:t>
            </w:r>
          </w:p>
        </w:tc>
        <w:tc>
          <w:tcPr>
            <w:tcW w:w="900" w:type="dxa"/>
          </w:tcPr>
          <w:p w:rsidR="003717A0" w:rsidRDefault="003717A0">
            <w:pPr>
              <w:jc w:val="center"/>
              <w:rPr>
                <w:sz w:val="22"/>
              </w:rPr>
            </w:pPr>
            <w:r>
              <w:rPr>
                <w:sz w:val="22"/>
              </w:rPr>
              <w:t>3</w:t>
            </w:r>
          </w:p>
        </w:tc>
        <w:tc>
          <w:tcPr>
            <w:tcW w:w="987" w:type="dxa"/>
          </w:tcPr>
          <w:p w:rsidR="003717A0" w:rsidRDefault="003717A0">
            <w:pPr>
              <w:jc w:val="center"/>
              <w:rPr>
                <w:sz w:val="22"/>
              </w:rPr>
            </w:pPr>
            <w:r>
              <w:rPr>
                <w:sz w:val="22"/>
              </w:rPr>
              <w:t>3</w:t>
            </w:r>
          </w:p>
        </w:tc>
        <w:tc>
          <w:tcPr>
            <w:tcW w:w="674" w:type="dxa"/>
          </w:tcPr>
          <w:p w:rsidR="003717A0" w:rsidRDefault="003717A0">
            <w:pPr>
              <w:jc w:val="center"/>
              <w:rPr>
                <w:sz w:val="22"/>
              </w:rPr>
            </w:pPr>
            <w:r>
              <w:rPr>
                <w:sz w:val="22"/>
              </w:rPr>
              <w:t>6</w:t>
            </w:r>
          </w:p>
        </w:tc>
      </w:tr>
      <w:tr w:rsidR="003717A0">
        <w:tc>
          <w:tcPr>
            <w:tcW w:w="1008" w:type="dxa"/>
          </w:tcPr>
          <w:p w:rsidR="003717A0" w:rsidRDefault="003717A0">
            <w:pPr>
              <w:jc w:val="center"/>
              <w:rPr>
                <w:sz w:val="22"/>
              </w:rPr>
            </w:pPr>
            <w:r>
              <w:rPr>
                <w:rFonts w:hint="eastAsia"/>
                <w:sz w:val="22"/>
              </w:rPr>
              <w:t>第四章</w:t>
            </w:r>
          </w:p>
        </w:tc>
        <w:tc>
          <w:tcPr>
            <w:tcW w:w="3780" w:type="dxa"/>
          </w:tcPr>
          <w:p w:rsidR="003717A0" w:rsidRDefault="003717A0" w:rsidP="005E20B5">
            <w:pPr>
              <w:adjustRightInd w:val="0"/>
              <w:snapToGrid w:val="0"/>
              <w:spacing w:beforeLines="50" w:line="360" w:lineRule="auto"/>
              <w:ind w:right="6"/>
              <w:rPr>
                <w:sz w:val="22"/>
              </w:rPr>
            </w:pPr>
            <w:r>
              <w:rPr>
                <w:rFonts w:hint="eastAsia"/>
                <w:sz w:val="22"/>
              </w:rPr>
              <w:t>各种疾病的中西医运动技术</w:t>
            </w:r>
          </w:p>
        </w:tc>
        <w:tc>
          <w:tcPr>
            <w:tcW w:w="900" w:type="dxa"/>
          </w:tcPr>
          <w:p w:rsidR="003717A0" w:rsidRDefault="003717A0">
            <w:pPr>
              <w:jc w:val="center"/>
              <w:rPr>
                <w:sz w:val="22"/>
              </w:rPr>
            </w:pPr>
            <w:r>
              <w:rPr>
                <w:sz w:val="22"/>
              </w:rPr>
              <w:t>3</w:t>
            </w:r>
          </w:p>
        </w:tc>
        <w:tc>
          <w:tcPr>
            <w:tcW w:w="987" w:type="dxa"/>
          </w:tcPr>
          <w:p w:rsidR="003717A0" w:rsidRDefault="003717A0">
            <w:pPr>
              <w:jc w:val="center"/>
              <w:rPr>
                <w:sz w:val="22"/>
              </w:rPr>
            </w:pPr>
            <w:r>
              <w:rPr>
                <w:sz w:val="22"/>
              </w:rPr>
              <w:t>3</w:t>
            </w:r>
          </w:p>
        </w:tc>
        <w:tc>
          <w:tcPr>
            <w:tcW w:w="674" w:type="dxa"/>
          </w:tcPr>
          <w:p w:rsidR="003717A0" w:rsidRDefault="003717A0">
            <w:pPr>
              <w:jc w:val="center"/>
              <w:rPr>
                <w:sz w:val="22"/>
              </w:rPr>
            </w:pPr>
            <w:r>
              <w:rPr>
                <w:sz w:val="22"/>
              </w:rPr>
              <w:t>6</w:t>
            </w:r>
          </w:p>
        </w:tc>
      </w:tr>
      <w:tr w:rsidR="003717A0">
        <w:tc>
          <w:tcPr>
            <w:tcW w:w="1008" w:type="dxa"/>
            <w:tcBorders>
              <w:bottom w:val="single" w:sz="2" w:space="0" w:color="auto"/>
            </w:tcBorders>
          </w:tcPr>
          <w:p w:rsidR="003717A0" w:rsidRDefault="003717A0">
            <w:pPr>
              <w:jc w:val="center"/>
              <w:rPr>
                <w:sz w:val="22"/>
              </w:rPr>
            </w:pPr>
            <w:r>
              <w:rPr>
                <w:rFonts w:hint="eastAsia"/>
                <w:sz w:val="22"/>
              </w:rPr>
              <w:t>合计</w:t>
            </w:r>
          </w:p>
        </w:tc>
        <w:tc>
          <w:tcPr>
            <w:tcW w:w="3780" w:type="dxa"/>
            <w:tcBorders>
              <w:bottom w:val="single" w:sz="2" w:space="0" w:color="auto"/>
            </w:tcBorders>
          </w:tcPr>
          <w:p w:rsidR="003717A0" w:rsidRDefault="003717A0">
            <w:pPr>
              <w:jc w:val="center"/>
              <w:rPr>
                <w:sz w:val="22"/>
              </w:rPr>
            </w:pPr>
          </w:p>
        </w:tc>
        <w:tc>
          <w:tcPr>
            <w:tcW w:w="900" w:type="dxa"/>
            <w:tcBorders>
              <w:bottom w:val="single" w:sz="2" w:space="0" w:color="auto"/>
            </w:tcBorders>
          </w:tcPr>
          <w:p w:rsidR="003717A0" w:rsidRDefault="003717A0">
            <w:pPr>
              <w:jc w:val="center"/>
              <w:rPr>
                <w:sz w:val="22"/>
              </w:rPr>
            </w:pPr>
            <w:r>
              <w:rPr>
                <w:sz w:val="22"/>
              </w:rPr>
              <w:t>12</w:t>
            </w:r>
          </w:p>
        </w:tc>
        <w:tc>
          <w:tcPr>
            <w:tcW w:w="987" w:type="dxa"/>
            <w:tcBorders>
              <w:bottom w:val="single" w:sz="2" w:space="0" w:color="auto"/>
            </w:tcBorders>
          </w:tcPr>
          <w:p w:rsidR="003717A0" w:rsidRDefault="003717A0">
            <w:pPr>
              <w:jc w:val="center"/>
              <w:rPr>
                <w:sz w:val="22"/>
              </w:rPr>
            </w:pPr>
            <w:r>
              <w:rPr>
                <w:sz w:val="22"/>
              </w:rPr>
              <w:t>6</w:t>
            </w:r>
          </w:p>
        </w:tc>
        <w:tc>
          <w:tcPr>
            <w:tcW w:w="674" w:type="dxa"/>
            <w:tcBorders>
              <w:bottom w:val="single" w:sz="2" w:space="0" w:color="auto"/>
            </w:tcBorders>
          </w:tcPr>
          <w:p w:rsidR="003717A0" w:rsidRDefault="003717A0">
            <w:pPr>
              <w:jc w:val="center"/>
              <w:rPr>
                <w:sz w:val="22"/>
              </w:rPr>
            </w:pPr>
            <w:r>
              <w:rPr>
                <w:sz w:val="22"/>
              </w:rPr>
              <w:t>18</w:t>
            </w:r>
          </w:p>
        </w:tc>
      </w:tr>
    </w:tbl>
    <w:p w:rsidR="003717A0" w:rsidRDefault="003717A0">
      <w:pPr>
        <w:adjustRightInd w:val="0"/>
        <w:snapToGrid w:val="0"/>
        <w:spacing w:line="360" w:lineRule="auto"/>
        <w:ind w:right="4"/>
        <w:rPr>
          <w:rFonts w:ascii="Times New Roman" w:hAnsi="Times New Roman"/>
          <w:sz w:val="22"/>
        </w:rPr>
      </w:pPr>
    </w:p>
    <w:p w:rsidR="003717A0" w:rsidRDefault="003717A0">
      <w:pPr>
        <w:adjustRightInd w:val="0"/>
        <w:snapToGrid w:val="0"/>
        <w:spacing w:line="360" w:lineRule="auto"/>
        <w:ind w:right="4"/>
        <w:rPr>
          <w:rFonts w:ascii="Times New Roman" w:hAnsi="Times New Roman"/>
          <w:sz w:val="22"/>
        </w:rPr>
      </w:pPr>
    </w:p>
    <w:p w:rsidR="003717A0" w:rsidRDefault="003717A0">
      <w:pPr>
        <w:adjustRightInd w:val="0"/>
        <w:snapToGrid w:val="0"/>
        <w:spacing w:line="360" w:lineRule="auto"/>
        <w:ind w:right="4"/>
        <w:rPr>
          <w:rFonts w:ascii="Times New Roman" w:hAnsi="Times New Roman"/>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p>
    <w:p w:rsidR="00B643D0" w:rsidRDefault="00B643D0">
      <w:pPr>
        <w:autoSpaceDE w:val="0"/>
        <w:autoSpaceDN w:val="0"/>
        <w:adjustRightInd w:val="0"/>
        <w:snapToGrid w:val="0"/>
        <w:spacing w:line="440" w:lineRule="exact"/>
        <w:jc w:val="left"/>
        <w:rPr>
          <w:rFonts w:ascii="Times New Roman" w:eastAsia="黑体" w:hAnsi="Times New Roman"/>
          <w:b/>
          <w:kern w:val="0"/>
          <w:sz w:val="22"/>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r>
        <w:rPr>
          <w:rFonts w:ascii="Times New Roman" w:eastAsia="黑体" w:hAnsi="Times New Roman" w:hint="eastAsia"/>
          <w:b/>
          <w:kern w:val="0"/>
          <w:sz w:val="22"/>
        </w:rPr>
        <w:t>五、教学设备和设施</w:t>
      </w:r>
    </w:p>
    <w:p w:rsidR="003717A0" w:rsidRDefault="003717A0">
      <w:pPr>
        <w:adjustRightInd w:val="0"/>
        <w:snapToGrid w:val="0"/>
        <w:spacing w:line="360" w:lineRule="auto"/>
        <w:ind w:right="4" w:firstLineChars="200" w:firstLine="440"/>
        <w:rPr>
          <w:rFonts w:ascii="Times New Roman" w:hAnsi="Times New Roman"/>
          <w:sz w:val="22"/>
        </w:rPr>
      </w:pPr>
      <w:r>
        <w:rPr>
          <w:rFonts w:ascii="Times New Roman" w:hAnsi="Times New Roman" w:hint="eastAsia"/>
          <w:sz w:val="22"/>
        </w:rPr>
        <w:t>多媒体教室、物理疗法实验室、网络平台等；</w:t>
      </w:r>
    </w:p>
    <w:p w:rsidR="003717A0" w:rsidRDefault="003717A0">
      <w:pPr>
        <w:adjustRightInd w:val="0"/>
        <w:snapToGrid w:val="0"/>
        <w:spacing w:line="360" w:lineRule="auto"/>
        <w:ind w:right="4" w:firstLineChars="200" w:firstLine="440"/>
        <w:rPr>
          <w:rFonts w:ascii="Times New Roman" w:hAnsi="Times New Roman"/>
          <w:sz w:val="22"/>
        </w:rPr>
      </w:pPr>
      <w:r>
        <w:rPr>
          <w:rFonts w:ascii="Times New Roman" w:hAnsi="Times New Roman"/>
          <w:sz w:val="22"/>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r>
        <w:rPr>
          <w:rFonts w:ascii="Times New Roman" w:eastAsia="黑体" w:hAnsi="Times New Roman" w:hint="eastAsia"/>
          <w:b/>
          <w:kern w:val="0"/>
          <w:sz w:val="22"/>
        </w:rPr>
        <w:lastRenderedPageBreak/>
        <w:t>六、课程考核与评估</w:t>
      </w:r>
    </w:p>
    <w:p w:rsidR="003717A0" w:rsidRDefault="003717A0">
      <w:pPr>
        <w:rPr>
          <w:sz w:val="22"/>
        </w:rPr>
      </w:pPr>
      <w:r>
        <w:rPr>
          <w:rFonts w:hint="eastAsia"/>
          <w:sz w:val="22"/>
        </w:rPr>
        <w:t>考核方式：</w:t>
      </w:r>
      <w:r>
        <w:rPr>
          <w:sz w:val="22"/>
        </w:rPr>
        <w:t xml:space="preserve">  </w:t>
      </w:r>
      <w:r>
        <w:rPr>
          <w:rFonts w:hint="eastAsia"/>
          <w:sz w:val="22"/>
        </w:rPr>
        <w:t>平时</w:t>
      </w:r>
      <w:r>
        <w:rPr>
          <w:sz w:val="22"/>
        </w:rPr>
        <w:t>100%</w:t>
      </w:r>
    </w:p>
    <w:p w:rsidR="003717A0" w:rsidRDefault="003717A0">
      <w:pPr>
        <w:autoSpaceDE w:val="0"/>
        <w:autoSpaceDN w:val="0"/>
        <w:adjustRightInd w:val="0"/>
        <w:snapToGrid w:val="0"/>
        <w:spacing w:line="440" w:lineRule="exact"/>
        <w:jc w:val="left"/>
        <w:rPr>
          <w:rFonts w:ascii="Times New Roman" w:eastAsia="黑体" w:hAnsi="Times New Roman"/>
          <w:b/>
          <w:kern w:val="0"/>
          <w:sz w:val="22"/>
        </w:rPr>
      </w:pPr>
      <w:r>
        <w:rPr>
          <w:rFonts w:ascii="Times New Roman" w:eastAsia="黑体" w:hAnsi="Times New Roman" w:hint="eastAsia"/>
          <w:b/>
          <w:kern w:val="0"/>
          <w:sz w:val="22"/>
        </w:rPr>
        <w:t>七、附录</w:t>
      </w:r>
    </w:p>
    <w:p w:rsidR="003717A0" w:rsidRDefault="003717A0">
      <w:pPr>
        <w:pStyle w:val="a7"/>
        <w:rPr>
          <w:rFonts w:ascii="宋体"/>
          <w:sz w:val="22"/>
          <w:szCs w:val="22"/>
        </w:rPr>
      </w:pPr>
    </w:p>
    <w:p w:rsidR="003717A0" w:rsidRDefault="003717A0">
      <w:pPr>
        <w:pStyle w:val="a7"/>
        <w:rPr>
          <w:rFonts w:ascii="宋体"/>
          <w:sz w:val="22"/>
          <w:szCs w:val="22"/>
        </w:rPr>
      </w:pPr>
      <w:r>
        <w:rPr>
          <w:rFonts w:ascii="宋体" w:hint="eastAsia"/>
          <w:sz w:val="22"/>
          <w:szCs w:val="22"/>
        </w:rPr>
        <w:t>教材：</w:t>
      </w:r>
      <w:r>
        <w:rPr>
          <w:rFonts w:ascii="宋体"/>
          <w:sz w:val="22"/>
          <w:szCs w:val="22"/>
        </w:rPr>
        <w:t xml:space="preserve"> </w:t>
      </w:r>
      <w:r>
        <w:rPr>
          <w:rFonts w:ascii="宋体" w:hint="eastAsia"/>
          <w:sz w:val="22"/>
          <w:szCs w:val="22"/>
        </w:rPr>
        <w:t>《中西结合运动治疗技术》</w:t>
      </w:r>
    </w:p>
    <w:p w:rsidR="003717A0" w:rsidRDefault="003717A0">
      <w:pPr>
        <w:rPr>
          <w:rFonts w:ascii="宋体"/>
          <w:sz w:val="22"/>
        </w:rPr>
      </w:pPr>
      <w:r>
        <w:rPr>
          <w:rFonts w:ascii="宋体" w:hint="eastAsia"/>
          <w:sz w:val="22"/>
        </w:rPr>
        <w:t>主要参考书：</w:t>
      </w:r>
    </w:p>
    <w:p w:rsidR="003717A0" w:rsidRDefault="003717A0">
      <w:pPr>
        <w:spacing w:line="360" w:lineRule="auto"/>
        <w:rPr>
          <w:sz w:val="22"/>
        </w:rPr>
      </w:pPr>
      <w:r>
        <w:rPr>
          <w:sz w:val="22"/>
        </w:rPr>
        <w:t xml:space="preserve">   1. Carolyn Kisner, Lynn Colby. Therapeutic Exercise: Foundations and Techniques, 6</w:t>
      </w:r>
      <w:r>
        <w:rPr>
          <w:sz w:val="22"/>
          <w:vertAlign w:val="superscript"/>
        </w:rPr>
        <w:t>th</w:t>
      </w:r>
      <w:r>
        <w:rPr>
          <w:sz w:val="22"/>
        </w:rPr>
        <w:t xml:space="preserve"> Edition. Philadelphia, F.A. Davis Company; 2012.</w:t>
      </w:r>
    </w:p>
    <w:p w:rsidR="003717A0" w:rsidRDefault="003717A0">
      <w:pPr>
        <w:spacing w:line="360" w:lineRule="auto"/>
        <w:rPr>
          <w:sz w:val="22"/>
        </w:rPr>
      </w:pPr>
      <w:r>
        <w:rPr>
          <w:sz w:val="22"/>
        </w:rPr>
        <w:t xml:space="preserve">    2</w:t>
      </w:r>
      <w:r>
        <w:rPr>
          <w:rFonts w:hint="eastAsia"/>
          <w:sz w:val="22"/>
        </w:rPr>
        <w:t>．励建安，</w:t>
      </w:r>
      <w:r>
        <w:rPr>
          <w:sz w:val="22"/>
        </w:rPr>
        <w:t>2005</w:t>
      </w:r>
      <w:r>
        <w:rPr>
          <w:rFonts w:hint="eastAsia"/>
          <w:sz w:val="22"/>
        </w:rPr>
        <w:t>年，临床运动疗法学，北京，华夏出版社。</w:t>
      </w:r>
      <w:r>
        <w:rPr>
          <w:sz w:val="22"/>
        </w:rPr>
        <w:t xml:space="preserve"> </w:t>
      </w:r>
    </w:p>
    <w:p w:rsidR="003717A0" w:rsidRDefault="003717A0">
      <w:pPr>
        <w:spacing w:line="360" w:lineRule="auto"/>
        <w:rPr>
          <w:sz w:val="22"/>
        </w:rPr>
      </w:pPr>
      <w:r>
        <w:rPr>
          <w:sz w:val="22"/>
        </w:rPr>
        <w:t xml:space="preserve">    3. Lori Thein Brody, Carrie M. Hall. Therapeutic Exercise: Moving Toward Function, 3</w:t>
      </w:r>
      <w:r>
        <w:rPr>
          <w:sz w:val="22"/>
          <w:vertAlign w:val="superscript"/>
        </w:rPr>
        <w:t>rd</w:t>
      </w:r>
      <w:r>
        <w:rPr>
          <w:sz w:val="22"/>
        </w:rPr>
        <w:t xml:space="preserve"> Edition, Lippincott Williams &amp; Wilkins; 2010.</w:t>
      </w:r>
    </w:p>
    <w:p w:rsidR="003717A0" w:rsidRDefault="003717A0">
      <w:pPr>
        <w:spacing w:line="360" w:lineRule="auto"/>
        <w:ind w:firstLine="480"/>
        <w:rPr>
          <w:sz w:val="22"/>
        </w:rPr>
      </w:pPr>
      <w:r>
        <w:rPr>
          <w:sz w:val="22"/>
        </w:rPr>
        <w:t>4. Michael Higgins. Therapeutic Exercise: From Theory to Practice.1</w:t>
      </w:r>
      <w:r>
        <w:rPr>
          <w:sz w:val="22"/>
          <w:vertAlign w:val="superscript"/>
        </w:rPr>
        <w:t>st</w:t>
      </w:r>
      <w:r>
        <w:rPr>
          <w:sz w:val="22"/>
        </w:rPr>
        <w:t xml:space="preserve"> edition. Philadelphia, F.A. Davis Company; 2011.</w:t>
      </w:r>
    </w:p>
    <w:p w:rsidR="003717A0" w:rsidRDefault="003717A0">
      <w:pPr>
        <w:spacing w:line="360" w:lineRule="auto"/>
        <w:ind w:firstLineChars="200" w:firstLine="440"/>
        <w:rPr>
          <w:sz w:val="22"/>
        </w:rPr>
      </w:pPr>
      <w:r>
        <w:rPr>
          <w:sz w:val="22"/>
        </w:rPr>
        <w:t>5</w:t>
      </w:r>
      <w:r>
        <w:rPr>
          <w:rFonts w:hint="eastAsia"/>
          <w:sz w:val="22"/>
        </w:rPr>
        <w:t>．</w:t>
      </w:r>
      <w:r>
        <w:rPr>
          <w:sz w:val="22"/>
        </w:rPr>
        <w:t>G.D.Maitland, K.Banks, K.English, et al. Maitland’s Vertebral Manipulation, 5</w:t>
      </w:r>
      <w:r>
        <w:rPr>
          <w:sz w:val="22"/>
          <w:vertAlign w:val="superscript"/>
        </w:rPr>
        <w:t>th</w:t>
      </w:r>
      <w:r>
        <w:rPr>
          <w:sz w:val="22"/>
        </w:rPr>
        <w:t xml:space="preserve"> Edition. Edinburg; Elsevier/Butterworth Heinemann, 2005.</w:t>
      </w:r>
    </w:p>
    <w:p w:rsidR="003717A0" w:rsidRDefault="003717A0">
      <w:pPr>
        <w:spacing w:line="360" w:lineRule="auto"/>
        <w:rPr>
          <w:sz w:val="22"/>
        </w:rPr>
      </w:pPr>
      <w:r>
        <w:rPr>
          <w:sz w:val="22"/>
        </w:rPr>
        <w:t xml:space="preserve">    6</w:t>
      </w:r>
      <w:r>
        <w:rPr>
          <w:rFonts w:hint="eastAsia"/>
          <w:sz w:val="22"/>
        </w:rPr>
        <w:t>．</w:t>
      </w:r>
      <w:r>
        <w:rPr>
          <w:sz w:val="22"/>
        </w:rPr>
        <w:t>G.D.Maitland. Peripheral Manipulation, 3</w:t>
      </w:r>
      <w:r>
        <w:rPr>
          <w:sz w:val="22"/>
          <w:vertAlign w:val="superscript"/>
        </w:rPr>
        <w:t>rd</w:t>
      </w:r>
      <w:r>
        <w:rPr>
          <w:sz w:val="22"/>
        </w:rPr>
        <w:t xml:space="preserve"> Edition. Edinburg; Elsevier/ Butterworth Heinemann, 2005. </w:t>
      </w:r>
    </w:p>
    <w:p w:rsidR="003717A0" w:rsidRDefault="003717A0">
      <w:pPr>
        <w:spacing w:line="360" w:lineRule="auto"/>
        <w:rPr>
          <w:sz w:val="22"/>
        </w:rPr>
      </w:pPr>
      <w:r>
        <w:rPr>
          <w:sz w:val="22"/>
        </w:rPr>
        <w:t xml:space="preserve">   7</w:t>
      </w:r>
      <w:r>
        <w:rPr>
          <w:rFonts w:hint="eastAsia"/>
          <w:sz w:val="22"/>
        </w:rPr>
        <w:t>．</w:t>
      </w:r>
      <w:r>
        <w:rPr>
          <w:sz w:val="22"/>
        </w:rPr>
        <w:t>Neuromusculoskeletal Examination and Assessment: A Handbook for Therapists with PAGEBURST Access, 4</w:t>
      </w:r>
      <w:r>
        <w:rPr>
          <w:sz w:val="22"/>
          <w:vertAlign w:val="superscript"/>
        </w:rPr>
        <w:t>th</w:t>
      </w:r>
      <w:r>
        <w:rPr>
          <w:sz w:val="22"/>
        </w:rPr>
        <w:t xml:space="preserve"> Edition. Edinburg; New York: Churchill Livingstone, 2011. </w:t>
      </w:r>
    </w:p>
    <w:p w:rsidR="003717A0" w:rsidRDefault="003717A0">
      <w:pPr>
        <w:spacing w:line="360" w:lineRule="auto"/>
        <w:ind w:firstLine="480"/>
        <w:rPr>
          <w:sz w:val="22"/>
        </w:rPr>
      </w:pPr>
    </w:p>
    <w:p w:rsidR="003717A0" w:rsidRDefault="003717A0">
      <w:pPr>
        <w:spacing w:line="360" w:lineRule="auto"/>
        <w:ind w:firstLine="480"/>
        <w:rPr>
          <w:sz w:val="22"/>
        </w:rPr>
      </w:pPr>
    </w:p>
    <w:p w:rsidR="003717A0" w:rsidRDefault="003717A0">
      <w:pPr>
        <w:autoSpaceDE w:val="0"/>
        <w:autoSpaceDN w:val="0"/>
        <w:adjustRightInd w:val="0"/>
        <w:ind w:leftChars="2900" w:left="6090"/>
        <w:jc w:val="left"/>
        <w:rPr>
          <w:rFonts w:ascii="黑体" w:eastAsia="黑体" w:cs="黑体"/>
          <w:kern w:val="0"/>
          <w:sz w:val="22"/>
        </w:rPr>
      </w:pPr>
      <w:r>
        <w:rPr>
          <w:rFonts w:ascii="黑体" w:eastAsia="黑体" w:cs="黑体" w:hint="eastAsia"/>
          <w:kern w:val="0"/>
          <w:sz w:val="22"/>
        </w:rPr>
        <w:t>制定人：鞠晶昀</w:t>
      </w:r>
    </w:p>
    <w:p w:rsidR="003717A0" w:rsidRDefault="003717A0" w:rsidP="00566E4D">
      <w:pPr>
        <w:autoSpaceDE w:val="0"/>
        <w:autoSpaceDN w:val="0"/>
        <w:adjustRightInd w:val="0"/>
        <w:ind w:leftChars="2900" w:left="6090"/>
        <w:jc w:val="left"/>
        <w:rPr>
          <w:rFonts w:ascii="黑体" w:eastAsia="黑体" w:cs="黑体"/>
          <w:kern w:val="0"/>
          <w:sz w:val="22"/>
        </w:rPr>
      </w:pPr>
      <w:r>
        <w:rPr>
          <w:rFonts w:ascii="黑体" w:eastAsia="黑体" w:cs="黑体" w:hint="eastAsia"/>
          <w:kern w:val="0"/>
          <w:sz w:val="22"/>
        </w:rPr>
        <w:t>审核人：沈光宇</w:t>
      </w:r>
    </w:p>
    <w:p w:rsidR="003717A0" w:rsidRPr="00566E4D" w:rsidRDefault="003717A0" w:rsidP="005E20B5">
      <w:pPr>
        <w:adjustRightInd w:val="0"/>
        <w:snapToGrid w:val="0"/>
        <w:spacing w:beforeLines="50" w:afterLines="50" w:line="360" w:lineRule="auto"/>
        <w:jc w:val="center"/>
        <w:rPr>
          <w:rFonts w:ascii="黑体" w:eastAsia="黑体" w:cs="黑体"/>
          <w:kern w:val="0"/>
          <w:sz w:val="24"/>
          <w:szCs w:val="24"/>
        </w:rPr>
      </w:pPr>
      <w:r>
        <w:rPr>
          <w:rFonts w:ascii="黑体" w:eastAsia="黑体" w:cs="黑体"/>
          <w:kern w:val="0"/>
          <w:sz w:val="22"/>
        </w:rPr>
        <w:br w:type="page"/>
      </w:r>
      <w:r w:rsidRPr="00566E4D">
        <w:rPr>
          <w:rFonts w:ascii="Times New Roman" w:eastAsia="黑体" w:hAnsi="Times New Roman" w:cs="Times New Roman" w:hint="eastAsia"/>
          <w:b/>
          <w:bCs/>
          <w:kern w:val="0"/>
          <w:sz w:val="32"/>
          <w:szCs w:val="32"/>
        </w:rPr>
        <w:lastRenderedPageBreak/>
        <w:t>三、考核大纲</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一、适应对象</w:t>
      </w:r>
    </w:p>
    <w:p w:rsidR="003717A0" w:rsidRDefault="003717A0">
      <w:pPr>
        <w:adjustRightInd w:val="0"/>
        <w:snapToGrid w:val="0"/>
        <w:spacing w:line="360" w:lineRule="auto"/>
        <w:ind w:right="4" w:firstLineChars="150" w:firstLine="315"/>
        <w:rPr>
          <w:rFonts w:ascii="Times New Roman" w:hAnsi="Times New Roman"/>
        </w:rPr>
      </w:pPr>
      <w:r>
        <w:rPr>
          <w:rFonts w:ascii="Times New Roman" w:hAnsi="Times New Roman" w:hint="eastAsia"/>
        </w:rPr>
        <w:t>修读完本课程规定内容的物理治疗专业的本科学生；</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二、考核目的</w:t>
      </w:r>
    </w:p>
    <w:p w:rsidR="003717A0" w:rsidRDefault="003717A0">
      <w:r>
        <w:rPr>
          <w:rFonts w:hint="eastAsia"/>
        </w:rPr>
        <w:t>通过考察了解学术是否按照教学大纲的目的和要求掌握本课程的基本内容，为今后的实践加深印象。</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三、考核形式与方法</w:t>
      </w:r>
    </w:p>
    <w:p w:rsidR="003717A0" w:rsidRDefault="003717A0">
      <w:pPr>
        <w:autoSpaceDE w:val="0"/>
        <w:autoSpaceDN w:val="0"/>
        <w:adjustRightInd w:val="0"/>
        <w:snapToGrid w:val="0"/>
        <w:spacing w:line="360" w:lineRule="auto"/>
        <w:ind w:firstLineChars="193" w:firstLine="405"/>
        <w:jc w:val="left"/>
        <w:rPr>
          <w:rFonts w:ascii="宋体"/>
          <w:szCs w:val="21"/>
        </w:rPr>
      </w:pPr>
      <w:r>
        <w:rPr>
          <w:rFonts w:ascii="宋体" w:hint="eastAsia"/>
          <w:szCs w:val="21"/>
        </w:rPr>
        <w:t>期末开卷理论考核和平时小组实践考核形式</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四、课程考核成绩构成</w:t>
      </w:r>
    </w:p>
    <w:p w:rsidR="003717A0" w:rsidRDefault="003717A0">
      <w:pPr>
        <w:ind w:firstLineChars="200" w:firstLine="420"/>
      </w:pPr>
      <w:r>
        <w:rPr>
          <w:rFonts w:hint="eastAsia"/>
        </w:rPr>
        <w:t>考核方式：平时考核</w:t>
      </w:r>
      <w:r>
        <w:t xml:space="preserve"> 100%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hint="eastAsia"/>
          <w:b/>
          <w:kern w:val="0"/>
          <w:sz w:val="24"/>
          <w:szCs w:val="24"/>
        </w:rPr>
        <w:t>五、考核内容与要求</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考核内容：</w:t>
      </w:r>
    </w:p>
    <w:p w:rsidR="003717A0" w:rsidRDefault="003717A0">
      <w:pPr>
        <w:tabs>
          <w:tab w:val="left" w:pos="720"/>
        </w:tabs>
        <w:spacing w:line="360" w:lineRule="auto"/>
        <w:ind w:firstLineChars="200" w:firstLine="420"/>
      </w:pPr>
      <w:r>
        <w:rPr>
          <w:rFonts w:hint="eastAsia"/>
        </w:rPr>
        <w:t>通过本课程的学生，让学生熟悉关节松动技术、推拿手法、麦肯基力学疗法等中西方手法联合治疗方法，并通过技术操作课示范并操作活动度、阻力运动、牵伸等基本技术，以及骨骼肌肉、神经、心血管和呼吸等系统疾病的常规治疗性运动技术。</w:t>
      </w:r>
    </w:p>
    <w:p w:rsidR="003717A0" w:rsidRDefault="003717A0">
      <w:pPr>
        <w:autoSpaceDE w:val="0"/>
        <w:autoSpaceDN w:val="0"/>
        <w:adjustRightInd w:val="0"/>
        <w:spacing w:line="440" w:lineRule="exact"/>
        <w:ind w:firstLineChars="192" w:firstLine="424"/>
        <w:jc w:val="left"/>
        <w:rPr>
          <w:rFonts w:ascii="Times New Roman" w:eastAsia="黑体" w:hAnsi="Times New Roman"/>
          <w:b/>
          <w:kern w:val="0"/>
          <w:sz w:val="22"/>
        </w:rPr>
      </w:pPr>
      <w:r>
        <w:rPr>
          <w:rFonts w:ascii="Times New Roman" w:eastAsia="黑体" w:hAnsi="Times New Roman" w:hint="eastAsia"/>
          <w:b/>
          <w:kern w:val="0"/>
          <w:sz w:val="22"/>
        </w:rPr>
        <w:t>考核要求：</w:t>
      </w:r>
    </w:p>
    <w:p w:rsidR="003717A0" w:rsidRDefault="003717A0">
      <w:pPr>
        <w:tabs>
          <w:tab w:val="left" w:pos="720"/>
        </w:tabs>
        <w:spacing w:line="360" w:lineRule="auto"/>
        <w:ind w:firstLineChars="250" w:firstLine="525"/>
      </w:pPr>
      <w:r>
        <w:rPr>
          <w:rFonts w:hint="eastAsia"/>
        </w:rPr>
        <w:t>通过本课程的学生，让学生熟悉关节松动技术、推拿手法、麦肯基力学疗法等中西方手法联合治疗方法，并通过技术操作课示范并操作活动度、阻力运动、牵伸等基本技术，以及骨骼肌肉、神经、心血管和呼吸等系统疾病的常规治疗性运动技术。</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r>
        <w:rPr>
          <w:rFonts w:ascii="Times New Roman" w:eastAsia="黑体" w:hAnsi="Times New Roman"/>
          <w:b/>
          <w:kern w:val="0"/>
          <w:sz w:val="24"/>
          <w:szCs w:val="24"/>
        </w:rPr>
        <w:t xml:space="preserve"> </w:t>
      </w: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pPr>
        <w:autoSpaceDE w:val="0"/>
        <w:autoSpaceDN w:val="0"/>
        <w:adjustRightInd w:val="0"/>
        <w:snapToGrid w:val="0"/>
        <w:spacing w:line="440" w:lineRule="exact"/>
        <w:jc w:val="left"/>
        <w:rPr>
          <w:rFonts w:ascii="Times New Roman" w:eastAsia="黑体" w:hAnsi="Times New Roman"/>
          <w:b/>
          <w:kern w:val="0"/>
          <w:sz w:val="24"/>
          <w:szCs w:val="24"/>
        </w:rPr>
      </w:pPr>
    </w:p>
    <w:p w:rsidR="003717A0" w:rsidRDefault="003717A0" w:rsidP="005E20B5">
      <w:pPr>
        <w:adjustRightInd w:val="0"/>
        <w:snapToGrid w:val="0"/>
        <w:spacing w:beforeLines="50" w:afterLines="50" w:line="360" w:lineRule="auto"/>
        <w:jc w:val="center"/>
        <w:rPr>
          <w:rFonts w:ascii="Times New Roman" w:eastAsia="黑体" w:hAnsi="Times New Roman"/>
          <w:kern w:val="0"/>
          <w:sz w:val="30"/>
          <w:szCs w:val="30"/>
        </w:rPr>
      </w:pPr>
      <w:r>
        <w:rPr>
          <w:rFonts w:ascii="Times New Roman" w:eastAsia="黑体" w:hAnsi="Times New Roman"/>
          <w:kern w:val="0"/>
          <w:sz w:val="30"/>
          <w:szCs w:val="30"/>
        </w:rPr>
        <w:br w:type="page"/>
      </w:r>
      <w:r w:rsidRPr="00566E4D">
        <w:rPr>
          <w:rFonts w:ascii="Times New Roman" w:eastAsia="黑体" w:hAnsi="Times New Roman" w:cs="Times New Roman" w:hint="eastAsia"/>
          <w:b/>
          <w:bCs/>
          <w:kern w:val="0"/>
          <w:sz w:val="32"/>
          <w:szCs w:val="32"/>
        </w:rPr>
        <w:lastRenderedPageBreak/>
        <w:t>四、课程实施与保障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18"/>
        <w:gridCol w:w="570"/>
        <w:gridCol w:w="23"/>
        <w:gridCol w:w="8435"/>
        <w:gridCol w:w="26"/>
      </w:tblGrid>
      <w:tr w:rsidR="003717A0">
        <w:trPr>
          <w:cantSplit/>
          <w:trHeight w:val="1137"/>
          <w:jc w:val="center"/>
        </w:trPr>
        <w:tc>
          <w:tcPr>
            <w:tcW w:w="1187" w:type="dxa"/>
            <w:gridSpan w:val="4"/>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教</w:t>
            </w:r>
            <w:r>
              <w:rPr>
                <w:rFonts w:ascii="黑体" w:eastAsia="黑体"/>
                <w:b/>
                <w:sz w:val="24"/>
                <w:szCs w:val="24"/>
              </w:rPr>
              <w:t xml:space="preserve"> </w:t>
            </w:r>
            <w:r>
              <w:rPr>
                <w:rFonts w:ascii="黑体" w:eastAsia="黑体" w:hint="eastAsia"/>
                <w:b/>
                <w:sz w:val="24"/>
                <w:szCs w:val="24"/>
              </w:rPr>
              <w:t>学</w:t>
            </w:r>
            <w:r>
              <w:rPr>
                <w:rFonts w:ascii="黑体" w:eastAsia="黑体"/>
                <w:b/>
                <w:sz w:val="24"/>
                <w:szCs w:val="24"/>
              </w:rPr>
              <w:t xml:space="preserve"> </w:t>
            </w:r>
            <w:r>
              <w:rPr>
                <w:rFonts w:ascii="黑体" w:eastAsia="黑体" w:hint="eastAsia"/>
                <w:b/>
                <w:sz w:val="24"/>
                <w:szCs w:val="24"/>
              </w:rPr>
              <w:t>基</w:t>
            </w:r>
            <w:r>
              <w:rPr>
                <w:rFonts w:ascii="黑体" w:eastAsia="黑体"/>
                <w:b/>
                <w:sz w:val="24"/>
                <w:szCs w:val="24"/>
              </w:rPr>
              <w:t xml:space="preserve"> </w:t>
            </w:r>
            <w:r>
              <w:rPr>
                <w:rFonts w:ascii="黑体" w:eastAsia="黑体" w:hint="eastAsia"/>
                <w:b/>
                <w:sz w:val="24"/>
                <w:szCs w:val="24"/>
              </w:rPr>
              <w:t>本</w:t>
            </w:r>
            <w:r>
              <w:rPr>
                <w:rFonts w:ascii="黑体" w:eastAsia="黑体"/>
                <w:b/>
                <w:sz w:val="24"/>
                <w:szCs w:val="24"/>
              </w:rPr>
              <w:t xml:space="preserve"> </w:t>
            </w:r>
            <w:r>
              <w:rPr>
                <w:rFonts w:ascii="黑体" w:eastAsia="黑体" w:hint="eastAsia"/>
                <w:b/>
                <w:sz w:val="24"/>
                <w:szCs w:val="24"/>
              </w:rPr>
              <w:t>要</w:t>
            </w:r>
            <w:r>
              <w:rPr>
                <w:rFonts w:ascii="黑体" w:eastAsia="黑体"/>
                <w:b/>
                <w:sz w:val="24"/>
                <w:szCs w:val="24"/>
              </w:rPr>
              <w:t xml:space="preserve"> </w:t>
            </w:r>
            <w:r>
              <w:rPr>
                <w:rFonts w:ascii="黑体" w:eastAsia="黑体" w:hint="eastAsia"/>
                <w:b/>
                <w:sz w:val="24"/>
                <w:szCs w:val="24"/>
              </w:rPr>
              <w:t>求</w:t>
            </w:r>
          </w:p>
        </w:tc>
        <w:tc>
          <w:tcPr>
            <w:tcW w:w="8461" w:type="dxa"/>
            <w:gridSpan w:val="2"/>
            <w:vAlign w:val="center"/>
          </w:tcPr>
          <w:p w:rsidR="003717A0" w:rsidRDefault="003717A0">
            <w:pPr>
              <w:autoSpaceDE w:val="0"/>
              <w:autoSpaceDN w:val="0"/>
              <w:adjustRightInd w:val="0"/>
              <w:snapToGrid w:val="0"/>
              <w:spacing w:line="360" w:lineRule="auto"/>
              <w:ind w:firstLineChars="208" w:firstLine="437"/>
              <w:jc w:val="left"/>
              <w:rPr>
                <w:rFonts w:ascii="Times New Roman" w:hAnsi="Times New Roman"/>
                <w:kern w:val="0"/>
                <w:sz w:val="22"/>
              </w:rPr>
            </w:pPr>
            <w:r>
              <w:rPr>
                <w:rFonts w:ascii="宋体" w:hint="eastAsia"/>
                <w:szCs w:val="21"/>
              </w:rPr>
              <w:t>教师应充分研究本大纲所规定的各章内容，对重点和难点进行深入浅出的讲解。增加自学和拓展环节，注意培养学生的自学能力。部分实例的讲解，可在见习课或工作坊中让学生来加强理解。教师应关心运动疗法及物理治疗学的研究进展，使教学内容能反映学科的发展趋势，但要避免在课堂上讲授实验证据不充分、科学依据不足的内容。教师在平时教学过程中要注意通过学习记录、问答等方式系统的收集学生的反馈意见，通过分析教学方案、教学过程中存在的问题，为教学工作提供反馈信息，以改进、完善和提高实践教学活动质量；同时通过形成性评价方式，让学生对自己的知识掌握情况有所了解，并及时发现和纠正对知识的理解有所偏差的部分。</w:t>
            </w:r>
          </w:p>
        </w:tc>
      </w:tr>
      <w:tr w:rsidR="003717A0">
        <w:trPr>
          <w:cantSplit/>
          <w:trHeight w:val="1408"/>
          <w:jc w:val="center"/>
        </w:trPr>
        <w:tc>
          <w:tcPr>
            <w:tcW w:w="594" w:type="dxa"/>
            <w:gridSpan w:val="2"/>
            <w:vMerge w:val="restart"/>
            <w:textDirection w:val="tbRlV"/>
            <w:vAlign w:val="center"/>
          </w:tcPr>
          <w:p w:rsidR="003717A0" w:rsidRDefault="003717A0">
            <w:pPr>
              <w:spacing w:line="340" w:lineRule="exact"/>
              <w:ind w:left="113" w:right="113"/>
              <w:jc w:val="center"/>
            </w:pPr>
            <w:r>
              <w:rPr>
                <w:rFonts w:ascii="黑体" w:eastAsia="黑体" w:hint="eastAsia"/>
                <w:b/>
                <w:sz w:val="24"/>
                <w:szCs w:val="24"/>
              </w:rPr>
              <w:t>主要教学环节的质量标准</w:t>
            </w:r>
          </w:p>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备</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、掌握本课程教学大纲内容，严格按照教学大纲要求进行本课程教学内容的组织。</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、熟悉教材各章节，借助相关专业书籍资料，并依据教学大纲编写授课计划，结合课程特点，制作课件，运用多媒体教学手段讲授部分教学内容。</w:t>
            </w:r>
          </w:p>
          <w:p w:rsidR="003717A0" w:rsidRDefault="003717A0">
            <w:pPr>
              <w:autoSpaceDE w:val="0"/>
              <w:autoSpaceDN w:val="0"/>
              <w:adjustRightInd w:val="0"/>
              <w:snapToGrid w:val="0"/>
              <w:spacing w:line="360" w:lineRule="auto"/>
              <w:jc w:val="left"/>
            </w:pPr>
            <w:r>
              <w:rPr>
                <w:rFonts w:ascii="Times New Roman" w:hAnsi="Times New Roman"/>
                <w:szCs w:val="21"/>
              </w:rPr>
              <w:t>3</w:t>
            </w:r>
            <w:r>
              <w:rPr>
                <w:rFonts w:ascii="Times New Roman" w:hAnsi="Times New Roman" w:hint="eastAsia"/>
                <w:szCs w:val="21"/>
              </w:rPr>
              <w:t>、</w:t>
            </w:r>
            <w:r>
              <w:rPr>
                <w:rFonts w:ascii="Times New Roman" w:hAnsi="Times New Roman"/>
                <w:szCs w:val="21"/>
              </w:rPr>
              <w:t xml:space="preserve"> </w:t>
            </w:r>
            <w:r>
              <w:rPr>
                <w:rFonts w:ascii="Times New Roman" w:hAnsi="Times New Roman" w:hint="eastAsia"/>
                <w:szCs w:val="21"/>
              </w:rPr>
              <w:t>确定各章节课程内容的教学方法，构思授课思路、技巧和方法。</w:t>
            </w:r>
          </w:p>
        </w:tc>
      </w:tr>
      <w:tr w:rsidR="003717A0">
        <w:trPr>
          <w:cantSplit/>
          <w:trHeight w:val="1697"/>
          <w:jc w:val="center"/>
        </w:trPr>
        <w:tc>
          <w:tcPr>
            <w:tcW w:w="594" w:type="dxa"/>
            <w:gridSpan w:val="2"/>
            <w:vMerge/>
            <w:vAlign w:val="center"/>
          </w:tcPr>
          <w:p w:rsidR="003717A0" w:rsidRDefault="003717A0"/>
        </w:tc>
        <w:tc>
          <w:tcPr>
            <w:tcW w:w="593" w:type="dxa"/>
            <w:gridSpan w:val="2"/>
            <w:textDirection w:val="tbRlV"/>
            <w:vAlign w:val="center"/>
          </w:tcPr>
          <w:p w:rsidR="003717A0" w:rsidRDefault="003717A0">
            <w:pPr>
              <w:spacing w:line="340" w:lineRule="exact"/>
              <w:ind w:left="113" w:right="113"/>
              <w:jc w:val="center"/>
            </w:pPr>
            <w:r>
              <w:rPr>
                <w:rFonts w:ascii="黑体" w:eastAsia="黑体" w:hint="eastAsia"/>
                <w:b/>
                <w:sz w:val="24"/>
                <w:szCs w:val="24"/>
              </w:rPr>
              <w:t>授</w:t>
            </w:r>
            <w:r>
              <w:rPr>
                <w:rFonts w:ascii="黑体" w:eastAsia="黑体"/>
                <w:b/>
                <w:sz w:val="24"/>
                <w:szCs w:val="24"/>
              </w:rPr>
              <w:t xml:space="preserve">   </w:t>
            </w:r>
            <w:r>
              <w:rPr>
                <w:rFonts w:ascii="黑体" w:eastAsia="黑体" w:hint="eastAsia"/>
                <w:b/>
                <w:sz w:val="24"/>
                <w:szCs w:val="24"/>
              </w:rPr>
              <w:t>课</w:t>
            </w:r>
          </w:p>
        </w:tc>
        <w:tc>
          <w:tcPr>
            <w:tcW w:w="8461" w:type="dxa"/>
            <w:gridSpan w:val="2"/>
            <w:vAlign w:val="center"/>
          </w:tcPr>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1</w:t>
            </w:r>
            <w:r>
              <w:rPr>
                <w:rFonts w:ascii="Times New Roman" w:hAnsi="Times New Roman" w:hint="eastAsia"/>
                <w:szCs w:val="21"/>
              </w:rPr>
              <w:t>、对重点问题和难点问题进行深入浅出的讲解，内容相对简单或知识拓展部分让学生自学，注意培养学生自主学习的能力。</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2</w:t>
            </w:r>
            <w:r>
              <w:rPr>
                <w:rFonts w:ascii="Times New Roman" w:hAnsi="Times New Roman"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szCs w:val="21"/>
              </w:rPr>
              <w:t>3</w:t>
            </w:r>
            <w:r>
              <w:rPr>
                <w:rFonts w:ascii="Times New Roman" w:hAnsi="Times New Roman" w:hint="eastAsia"/>
                <w:szCs w:val="21"/>
              </w:rPr>
              <w:t>、多媒体教学手段、课堂实验、实物演示相结合，以培养学生实践动手的能力。</w:t>
            </w:r>
          </w:p>
          <w:p w:rsidR="003717A0" w:rsidRDefault="003717A0">
            <w:pPr>
              <w:autoSpaceDE w:val="0"/>
              <w:autoSpaceDN w:val="0"/>
              <w:adjustRightInd w:val="0"/>
              <w:snapToGrid w:val="0"/>
              <w:spacing w:line="360" w:lineRule="auto"/>
              <w:jc w:val="left"/>
            </w:pPr>
            <w:r>
              <w:rPr>
                <w:rFonts w:ascii="Times New Roman" w:hAnsi="Times New Roman" w:hint="eastAsia"/>
                <w:szCs w:val="21"/>
              </w:rPr>
              <w:t>表达方式尽量便于学生理解、接受，力求形象生动，使学生在掌握知识的过程中，保持较为浓厚的兴趣。</w:t>
            </w:r>
          </w:p>
        </w:tc>
      </w:tr>
      <w:tr w:rsidR="003717A0">
        <w:trPr>
          <w:gridAfter w:val="1"/>
          <w:wAfter w:w="26" w:type="dxa"/>
          <w:cantSplit/>
          <w:trHeight w:val="1976"/>
          <w:jc w:val="center"/>
        </w:trPr>
        <w:tc>
          <w:tcPr>
            <w:tcW w:w="576" w:type="dxa"/>
            <w:vMerge w:val="restart"/>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lastRenderedPageBreak/>
              <w:t>主要教学环节的质量标准</w:t>
            </w:r>
          </w:p>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作业布置与批改</w:t>
            </w:r>
          </w:p>
        </w:tc>
        <w:tc>
          <w:tcPr>
            <w:tcW w:w="8458" w:type="dxa"/>
            <w:gridSpan w:val="2"/>
            <w:vAlign w:val="center"/>
          </w:tcPr>
          <w:p w:rsidR="003717A0" w:rsidRDefault="003717A0">
            <w:pPr>
              <w:autoSpaceDE w:val="0"/>
              <w:autoSpaceDN w:val="0"/>
              <w:adjustRightInd w:val="0"/>
              <w:snapToGrid w:val="0"/>
              <w:spacing w:line="360" w:lineRule="auto"/>
              <w:ind w:firstLineChars="193" w:firstLine="425"/>
              <w:jc w:val="left"/>
              <w:rPr>
                <w:sz w:val="22"/>
              </w:rPr>
            </w:pPr>
            <w:r>
              <w:rPr>
                <w:rFonts w:hint="eastAsia"/>
                <w:sz w:val="22"/>
              </w:rPr>
              <w:t>学生需完成一定数量的平时作业，包括课前预习，小组汇报等</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一、学生完成作业的主要内容：</w:t>
            </w:r>
          </w:p>
          <w:p w:rsidR="003717A0" w:rsidRDefault="003717A0">
            <w:pPr>
              <w:numPr>
                <w:ilvl w:val="0"/>
                <w:numId w:val="563"/>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根据理论课给出学生论坛专题，由</w:t>
            </w:r>
            <w:r>
              <w:rPr>
                <w:rFonts w:ascii="Times New Roman" w:hAnsi="Times New Roman"/>
                <w:szCs w:val="21"/>
              </w:rPr>
              <w:t>5-6</w:t>
            </w:r>
            <w:r>
              <w:rPr>
                <w:rFonts w:ascii="Times New Roman" w:hAnsi="Times New Roman" w:hint="eastAsia"/>
                <w:szCs w:val="21"/>
              </w:rPr>
              <w:t>人组成小组，收集资料、学习、整理、制作相关</w:t>
            </w:r>
            <w:r>
              <w:rPr>
                <w:rFonts w:ascii="Times New Roman" w:hAnsi="Times New Roman"/>
                <w:szCs w:val="21"/>
              </w:rPr>
              <w:t>PPT</w:t>
            </w:r>
            <w:r>
              <w:rPr>
                <w:rFonts w:ascii="Times New Roman" w:hAnsi="Times New Roman" w:hint="eastAsia"/>
                <w:szCs w:val="21"/>
              </w:rPr>
              <w:t>，并进行全班交流和讨论，拓展与本课程相关的知识。</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二、学生完成的作业必须达到以下基本要求：</w:t>
            </w:r>
          </w:p>
          <w:p w:rsidR="003717A0" w:rsidRDefault="003717A0">
            <w:pPr>
              <w:numPr>
                <w:ilvl w:val="0"/>
                <w:numId w:val="564"/>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按时按量完成作业，不缺交，不抄袭；</w:t>
            </w:r>
          </w:p>
          <w:p w:rsidR="003717A0" w:rsidRDefault="003717A0">
            <w:pPr>
              <w:numPr>
                <w:ilvl w:val="0"/>
                <w:numId w:val="564"/>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作业规范，书写清晰；</w:t>
            </w:r>
          </w:p>
          <w:p w:rsidR="003717A0" w:rsidRDefault="003717A0">
            <w:pPr>
              <w:numPr>
                <w:ilvl w:val="0"/>
                <w:numId w:val="564"/>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答案全面</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三、教师讲评作业要求如下：</w:t>
            </w:r>
          </w:p>
          <w:p w:rsidR="003717A0" w:rsidRDefault="003717A0">
            <w:pPr>
              <w:numPr>
                <w:ilvl w:val="0"/>
                <w:numId w:val="565"/>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学生的作业要全批全改，并按时讲评学生交来的作业；</w:t>
            </w:r>
          </w:p>
          <w:p w:rsidR="003717A0" w:rsidRDefault="003717A0">
            <w:pPr>
              <w:numPr>
                <w:ilvl w:val="0"/>
                <w:numId w:val="565"/>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教师讲评作业要认真、细致</w:t>
            </w:r>
          </w:p>
          <w:p w:rsidR="003717A0" w:rsidRDefault="003717A0">
            <w:pPr>
              <w:autoSpaceDE w:val="0"/>
              <w:autoSpaceDN w:val="0"/>
              <w:adjustRightInd w:val="0"/>
              <w:snapToGrid w:val="0"/>
              <w:spacing w:line="360" w:lineRule="exact"/>
              <w:ind w:firstLineChars="193" w:firstLine="405"/>
              <w:jc w:val="left"/>
              <w:rPr>
                <w:rFonts w:ascii="Times New Roman" w:hAnsi="Times New Roman"/>
                <w:kern w:val="0"/>
                <w:sz w:val="22"/>
              </w:rPr>
            </w:pPr>
            <w:r>
              <w:rPr>
                <w:rFonts w:ascii="Times New Roman" w:hAnsi="Times New Roman"/>
                <w:szCs w:val="21"/>
              </w:rPr>
              <w:t xml:space="preserve"> </w:t>
            </w:r>
          </w:p>
        </w:tc>
      </w:tr>
      <w:tr w:rsidR="003717A0">
        <w:trPr>
          <w:gridAfter w:val="1"/>
          <w:wAfter w:w="26" w:type="dxa"/>
          <w:cantSplit/>
          <w:trHeight w:val="1260"/>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课外答疑</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Times New Roman" w:hAnsi="Times New Roman"/>
                <w:kern w:val="0"/>
                <w:sz w:val="22"/>
              </w:rPr>
            </w:pPr>
            <w:r>
              <w:rPr>
                <w:rFonts w:ascii="宋体" w:hint="eastAsia"/>
                <w:szCs w:val="21"/>
              </w:rPr>
              <w:t>在教室、实验室内，多与学生进行面对面的交流互动，同时充分利用微信、</w:t>
            </w:r>
            <w:r>
              <w:rPr>
                <w:rFonts w:ascii="宋体"/>
                <w:szCs w:val="21"/>
              </w:rPr>
              <w:t>QQ</w:t>
            </w:r>
            <w:r>
              <w:rPr>
                <w:rFonts w:ascii="宋体" w:hint="eastAsia"/>
                <w:szCs w:val="21"/>
              </w:rPr>
              <w:t>等网络平台建立教师与学生间的互动窗口，及时了解学生对教学过程的反应，帮助学生进一步理解和消化课堂上所学知识、改进学习方法和思维方式，培养其独立思考问题的能力。</w:t>
            </w:r>
          </w:p>
        </w:tc>
      </w:tr>
      <w:tr w:rsidR="003717A0">
        <w:trPr>
          <w:gridAfter w:val="1"/>
          <w:wAfter w:w="26" w:type="dxa"/>
          <w:cantSplit/>
          <w:trHeight w:val="1272"/>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成绩考核</w:t>
            </w:r>
          </w:p>
        </w:tc>
        <w:tc>
          <w:tcPr>
            <w:tcW w:w="8458" w:type="dxa"/>
            <w:gridSpan w:val="2"/>
            <w:vAlign w:val="center"/>
          </w:tcPr>
          <w:p w:rsidR="003717A0" w:rsidRDefault="003717A0">
            <w:pPr>
              <w:autoSpaceDE w:val="0"/>
              <w:autoSpaceDN w:val="0"/>
              <w:adjustRightInd w:val="0"/>
              <w:snapToGrid w:val="0"/>
              <w:spacing w:line="360" w:lineRule="auto"/>
              <w:ind w:firstLineChars="193" w:firstLine="405"/>
              <w:jc w:val="left"/>
              <w:rPr>
                <w:rFonts w:ascii="宋体"/>
                <w:szCs w:val="21"/>
              </w:rPr>
            </w:pPr>
          </w:p>
          <w:p w:rsidR="003717A0" w:rsidRDefault="003717A0">
            <w:pPr>
              <w:autoSpaceDE w:val="0"/>
              <w:autoSpaceDN w:val="0"/>
              <w:adjustRightInd w:val="0"/>
              <w:snapToGrid w:val="0"/>
              <w:spacing w:line="360" w:lineRule="auto"/>
              <w:ind w:leftChars="190" w:left="399"/>
              <w:jc w:val="left"/>
              <w:rPr>
                <w:rFonts w:ascii="宋体"/>
                <w:szCs w:val="21"/>
              </w:rPr>
            </w:pPr>
            <w:r>
              <w:rPr>
                <w:rFonts w:ascii="宋体" w:hint="eastAsia"/>
                <w:szCs w:val="21"/>
              </w:rPr>
              <w:t>本课程为学期课程，成绩考核的方式：平时成绩。考试学期总评成绩的评定方法如下：</w:t>
            </w:r>
            <w:r>
              <w:rPr>
                <w:rFonts w:hint="eastAsia"/>
              </w:rPr>
              <w:t>平时考核</w:t>
            </w:r>
            <w:r>
              <w:t>100%</w:t>
            </w:r>
          </w:p>
          <w:p w:rsidR="003717A0" w:rsidRDefault="003717A0">
            <w:pPr>
              <w:numPr>
                <w:ilvl w:val="0"/>
                <w:numId w:val="566"/>
              </w:num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有下列情况之一者，总评成绩为不及格：</w:t>
            </w:r>
          </w:p>
          <w:p w:rsidR="003717A0" w:rsidRDefault="003717A0">
            <w:pPr>
              <w:autoSpaceDE w:val="0"/>
              <w:autoSpaceDN w:val="0"/>
              <w:adjustRightInd w:val="0"/>
              <w:snapToGrid w:val="0"/>
              <w:spacing w:line="360" w:lineRule="auto"/>
              <w:jc w:val="left"/>
              <w:rPr>
                <w:rFonts w:ascii="Times New Roman" w:hAnsi="Times New Roman"/>
                <w:szCs w:val="21"/>
              </w:rPr>
            </w:pPr>
            <w:r>
              <w:rPr>
                <w:rFonts w:ascii="Times New Roman" w:hAnsi="Times New Roman" w:hint="eastAsia"/>
                <w:szCs w:val="21"/>
              </w:rPr>
              <w:t>（</w:t>
            </w:r>
            <w:r>
              <w:rPr>
                <w:rFonts w:ascii="Times New Roman" w:hAnsi="Times New Roman"/>
                <w:szCs w:val="21"/>
              </w:rPr>
              <w:t>1</w:t>
            </w:r>
            <w:r>
              <w:rPr>
                <w:rFonts w:ascii="Times New Roman" w:hAnsi="Times New Roman" w:hint="eastAsia"/>
                <w:szCs w:val="21"/>
              </w:rPr>
              <w:t>）缺交作业次数达</w:t>
            </w:r>
            <w:r>
              <w:rPr>
                <w:rFonts w:ascii="Times New Roman" w:hAnsi="Times New Roman"/>
                <w:szCs w:val="21"/>
              </w:rPr>
              <w:t>1/3</w:t>
            </w:r>
            <w:r>
              <w:rPr>
                <w:rFonts w:ascii="Times New Roman" w:hAnsi="Times New Roman" w:hint="eastAsia"/>
                <w:szCs w:val="21"/>
              </w:rPr>
              <w:t>以上者；</w:t>
            </w:r>
          </w:p>
          <w:p w:rsidR="003717A0" w:rsidRDefault="003717A0">
            <w:pPr>
              <w:autoSpaceDE w:val="0"/>
              <w:autoSpaceDN w:val="0"/>
              <w:adjustRightInd w:val="0"/>
              <w:snapToGrid w:val="0"/>
              <w:spacing w:line="360" w:lineRule="auto"/>
              <w:jc w:val="left"/>
              <w:rPr>
                <w:rFonts w:ascii="Times New Roman" w:hAnsi="Times New Roman"/>
                <w:kern w:val="0"/>
                <w:sz w:val="22"/>
              </w:rPr>
            </w:pPr>
            <w:r>
              <w:rPr>
                <w:rFonts w:ascii="Times New Roman" w:hAnsi="Times New Roman" w:hint="eastAsia"/>
                <w:szCs w:val="21"/>
              </w:rPr>
              <w:t>（</w:t>
            </w:r>
            <w:r>
              <w:rPr>
                <w:rFonts w:ascii="Times New Roman" w:hAnsi="Times New Roman"/>
                <w:szCs w:val="21"/>
              </w:rPr>
              <w:t>2</w:t>
            </w:r>
            <w:r>
              <w:rPr>
                <w:rFonts w:ascii="Times New Roman" w:hAnsi="Times New Roman" w:hint="eastAsia"/>
                <w:szCs w:val="21"/>
              </w:rPr>
              <w:t>）缺课次数达本学期总授课学时的</w:t>
            </w:r>
            <w:r>
              <w:rPr>
                <w:rFonts w:ascii="Times New Roman" w:hAnsi="Times New Roman"/>
                <w:szCs w:val="21"/>
              </w:rPr>
              <w:t>1/3</w:t>
            </w:r>
            <w:r>
              <w:rPr>
                <w:rFonts w:ascii="Times New Roman" w:hAnsi="Times New Roman" w:hint="eastAsia"/>
                <w:szCs w:val="21"/>
              </w:rPr>
              <w:t>以上者。</w:t>
            </w:r>
          </w:p>
        </w:tc>
      </w:tr>
      <w:tr w:rsidR="003717A0">
        <w:trPr>
          <w:gridAfter w:val="1"/>
          <w:wAfter w:w="26" w:type="dxa"/>
          <w:cantSplit/>
          <w:trHeight w:val="2098"/>
          <w:jc w:val="center"/>
        </w:trPr>
        <w:tc>
          <w:tcPr>
            <w:tcW w:w="576" w:type="dxa"/>
            <w:vMerge/>
            <w:vAlign w:val="center"/>
          </w:tcPr>
          <w:p w:rsidR="003717A0" w:rsidRDefault="003717A0"/>
        </w:tc>
        <w:tc>
          <w:tcPr>
            <w:tcW w:w="588" w:type="dxa"/>
            <w:gridSpan w:val="2"/>
            <w:textDirection w:val="tbRlV"/>
            <w:vAlign w:val="center"/>
          </w:tcPr>
          <w:p w:rsidR="003717A0" w:rsidRDefault="003717A0">
            <w:pPr>
              <w:spacing w:line="340" w:lineRule="exact"/>
              <w:ind w:left="113" w:right="113"/>
              <w:jc w:val="center"/>
              <w:rPr>
                <w:rFonts w:ascii="黑体" w:eastAsia="黑体"/>
                <w:b/>
                <w:sz w:val="24"/>
                <w:szCs w:val="24"/>
              </w:rPr>
            </w:pPr>
            <w:r>
              <w:rPr>
                <w:rFonts w:ascii="黑体" w:eastAsia="黑体" w:hint="eastAsia"/>
                <w:b/>
                <w:sz w:val="24"/>
                <w:szCs w:val="24"/>
              </w:rPr>
              <w:t>第二课堂活动</w:t>
            </w:r>
          </w:p>
        </w:tc>
        <w:tc>
          <w:tcPr>
            <w:tcW w:w="8458" w:type="dxa"/>
            <w:gridSpan w:val="2"/>
            <w:vAlign w:val="center"/>
          </w:tcPr>
          <w:p w:rsidR="003717A0" w:rsidRDefault="003717A0">
            <w:pPr>
              <w:autoSpaceDE w:val="0"/>
              <w:autoSpaceDN w:val="0"/>
              <w:adjustRightInd w:val="0"/>
              <w:snapToGrid w:val="0"/>
              <w:spacing w:line="360" w:lineRule="auto"/>
              <w:ind w:firstLineChars="200" w:firstLine="420"/>
              <w:jc w:val="left"/>
              <w:rPr>
                <w:rFonts w:ascii="Times New Roman" w:hAnsi="Times New Roman"/>
                <w:kern w:val="0"/>
                <w:sz w:val="22"/>
              </w:rPr>
            </w:pPr>
            <w:r>
              <w:rPr>
                <w:rFonts w:ascii="宋体" w:hint="eastAsia"/>
                <w:szCs w:val="21"/>
              </w:rPr>
              <w:t>为了培养学生综合运用所学知识解决实际问题的能力和创新能力，本课程教师应鼓励和指导学生积极参加实践活动，同时还鼓励学生选修康复治疗学相关课程，培养和提高实践操作能力和专业基本技能。</w:t>
            </w:r>
          </w:p>
        </w:tc>
      </w:tr>
      <w:tr w:rsidR="003717A0">
        <w:trPr>
          <w:gridAfter w:val="1"/>
          <w:wAfter w:w="26" w:type="dxa"/>
          <w:cantSplit/>
          <w:trHeight w:val="454"/>
          <w:jc w:val="center"/>
        </w:trPr>
        <w:tc>
          <w:tcPr>
            <w:tcW w:w="1164" w:type="dxa"/>
            <w:gridSpan w:val="3"/>
            <w:vAlign w:val="center"/>
          </w:tcPr>
          <w:p w:rsidR="003717A0" w:rsidRDefault="003717A0">
            <w:pPr>
              <w:spacing w:line="340" w:lineRule="exact"/>
              <w:ind w:left="113" w:right="113"/>
              <w:jc w:val="center"/>
            </w:pPr>
            <w:r>
              <w:rPr>
                <w:rFonts w:ascii="黑体" w:eastAsia="黑体" w:hint="eastAsia"/>
                <w:b/>
                <w:sz w:val="24"/>
                <w:szCs w:val="24"/>
              </w:rPr>
              <w:t>备注</w:t>
            </w:r>
          </w:p>
        </w:tc>
        <w:tc>
          <w:tcPr>
            <w:tcW w:w="8458" w:type="dxa"/>
            <w:gridSpan w:val="2"/>
            <w:vAlign w:val="center"/>
          </w:tcPr>
          <w:p w:rsidR="003717A0" w:rsidRDefault="003717A0"/>
        </w:tc>
      </w:tr>
    </w:tbl>
    <w:p w:rsidR="003717A0" w:rsidRDefault="003717A0" w:rsidP="005E20B5">
      <w:pPr>
        <w:adjustRightInd w:val="0"/>
        <w:snapToGrid w:val="0"/>
        <w:spacing w:beforeLines="50" w:afterLines="50" w:line="400" w:lineRule="exact"/>
        <w:rPr>
          <w:rFonts w:ascii="Times New Roman" w:hAnsi="Times New Roman"/>
          <w:sz w:val="22"/>
        </w:rPr>
      </w:pPr>
    </w:p>
    <w:p w:rsidR="003717A0" w:rsidRDefault="003717A0"/>
    <w:sectPr w:rsidR="003717A0" w:rsidSect="00DB621C">
      <w:footerReference w:type="default" r:id="rId83"/>
      <w:pgSz w:w="11906" w:h="16838"/>
      <w:pgMar w:top="1418" w:right="1418" w:bottom="1418" w:left="1418" w:header="851" w:footer="992" w:gutter="0"/>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FC9" w:rsidRDefault="00775FC9" w:rsidP="00DB621C">
      <w:r>
        <w:separator/>
      </w:r>
    </w:p>
  </w:endnote>
  <w:endnote w:type="continuationSeparator" w:id="1">
    <w:p w:rsidR="00775FC9" w:rsidRDefault="00775FC9" w:rsidP="00DB62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方正小标宋_GBK">
    <w:altName w:val="Arial Unicode MS"/>
    <w:charset w:val="86"/>
    <w:family w:val="script"/>
    <w:pitch w:val="fixed"/>
    <w:sig w:usb0="00000000" w:usb1="080E0000" w:usb2="00000010" w:usb3="00000000" w:csb0="00040000" w:csb1="00000000"/>
  </w:font>
  <w:font w:name="MS Minchofalt">
    <w:altName w:val="MS Mincho"/>
    <w:panose1 w:val="00000000000000000000"/>
    <w:charset w:val="80"/>
    <w:family w:val="modern"/>
    <w:notTrueType/>
    <w:pitch w:val="default"/>
    <w:sig w:usb0="00000001" w:usb1="08070000" w:usb2="00000010" w:usb3="00000000" w:csb0="00020000" w:csb1="00000000"/>
  </w:font>
  <w:font w:name="HTJ-PK7482000042d-Identity-H">
    <w:altName w:val="方正兰亭超细黑简体"/>
    <w:panose1 w:val="00000000000000000000"/>
    <w:charset w:val="86"/>
    <w:family w:val="auto"/>
    <w:notTrueType/>
    <w:pitch w:val="default"/>
    <w:sig w:usb0="00000001" w:usb1="080E0000" w:usb2="00000010" w:usb3="00000000" w:csb0="00040000" w:csb1="00000000"/>
  </w:font>
  <w:font w:name="E-HZ-PK7482f0-Identity-H">
    <w:altName w:val="方正兰亭超细黑简体"/>
    <w:panose1 w:val="00000000000000000000"/>
    <w:charset w:val="86"/>
    <w:family w:val="auto"/>
    <w:notTrueType/>
    <w:pitch w:val="default"/>
    <w:sig w:usb0="00000001" w:usb1="080E0000" w:usb2="00000010" w:usb3="00000000" w:csb0="00040000" w:csb1="00000000"/>
  </w:font>
  <w:font w:name="E-BZ-PK74835d-Identity-H">
    <w:altName w:val="方正兰亭超细黑简体"/>
    <w:panose1 w:val="00000000000000000000"/>
    <w:charset w:val="86"/>
    <w:family w:val="auto"/>
    <w:notTrueType/>
    <w:pitch w:val="default"/>
    <w:sig w:usb0="00000001" w:usb1="080E0000" w:usb2="00000010" w:usb3="00000000" w:csb0="00040000" w:csb1="00000000"/>
  </w:font>
  <w:font w:name="SSJ-PK74820000426-Identity-H">
    <w:altName w:val="方正兰亭超细黑简体"/>
    <w:panose1 w:val="00000000000000000000"/>
    <w:charset w:val="86"/>
    <w:family w:val="auto"/>
    <w:notTrueType/>
    <w:pitch w:val="default"/>
    <w:sig w:usb0="00000001" w:usb1="080E0000" w:usb2="00000010" w:usb3="00000000" w:csb0="00040000" w:csb1="00000000"/>
  </w:font>
  <w:font w:name="O3-PK748274-Identity-H">
    <w:altName w:val="方正兰亭超细黑简体"/>
    <w:panose1 w:val="00000000000000000000"/>
    <w:charset w:val="86"/>
    <w:family w:val="auto"/>
    <w:notTrueType/>
    <w:pitch w:val="default"/>
    <w:sig w:usb0="00000001" w:usb1="080E0000" w:usb2="00000010" w:usb3="00000000" w:csb0="00040000" w:csb1="00000000"/>
  </w:font>
  <w:font w:name="FN-BZ-PK748379-Identity-H">
    <w:altName w:val="方正兰亭超细黑简体"/>
    <w:panose1 w:val="00000000000000000000"/>
    <w:charset w:val="86"/>
    <w:family w:val="auto"/>
    <w:notTrueType/>
    <w:pitch w:val="default"/>
    <w:sig w:usb0="00000001" w:usb1="080E0000" w:usb2="00000010" w:usb3="00000000" w:csb0="00040000" w:csb1="00000000"/>
  </w:font>
  <w:font w:name="FSJ-PK74820000480-Identity-H">
    <w:altName w:val="方正兰亭超细黑简体"/>
    <w:panose1 w:val="00000000000000000000"/>
    <w:charset w:val="86"/>
    <w:family w:val="auto"/>
    <w:notTrueType/>
    <w:pitch w:val="default"/>
    <w:sig w:usb0="00000001" w:usb1="080E0000" w:usb2="00000010" w:usb3="00000000" w:csb0="00040000" w:csb1="00000000"/>
  </w:font>
  <w:font w:name="MingLiU_HKSCS">
    <w:altName w:val="Malgun Gothic Semilight"/>
    <w:panose1 w:val="02020500000000000000"/>
    <w:charset w:val="88"/>
    <w:family w:val="roman"/>
    <w:pitch w:val="variable"/>
    <w:sig w:usb0="A00002FF" w:usb1="38CFFCFA" w:usb2="00000016" w:usb3="00000000" w:csb0="00100001" w:csb1="00000000"/>
  </w:font>
  <w:font w:name="楷体_GB2312">
    <w:altName w:val="楷体"/>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rebuchet MS Bold">
    <w:altName w:val="Trebuchet MS"/>
    <w:panose1 w:val="020B0703020202020204"/>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
    <w:altName w:val="Times New Roman"/>
    <w:panose1 w:val="00000000000000000000"/>
    <w:charset w:val="00"/>
    <w:family w:val="roman"/>
    <w:notTrueType/>
    <w:pitch w:val="default"/>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B56" w:rsidRDefault="00514AB1">
    <w:pPr>
      <w:pStyle w:val="ad"/>
      <w:framePr w:wrap="around" w:vAnchor="text" w:hAnchor="margin" w:xAlign="center" w:y="1"/>
      <w:rPr>
        <w:rStyle w:val="af3"/>
      </w:rPr>
    </w:pPr>
    <w:r>
      <w:rPr>
        <w:rStyle w:val="af3"/>
      </w:rPr>
      <w:fldChar w:fldCharType="begin"/>
    </w:r>
    <w:r w:rsidR="00913B56">
      <w:rPr>
        <w:rStyle w:val="af3"/>
      </w:rPr>
      <w:instrText xml:space="preserve">PAGE  </w:instrText>
    </w:r>
    <w:r>
      <w:rPr>
        <w:rStyle w:val="af3"/>
      </w:rPr>
      <w:fldChar w:fldCharType="end"/>
    </w:r>
  </w:p>
  <w:p w:rsidR="00913B56" w:rsidRDefault="00913B56">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B56" w:rsidRDefault="00514AB1">
    <w:pPr>
      <w:pStyle w:val="ad"/>
      <w:framePr w:wrap="around" w:vAnchor="text" w:hAnchor="margin" w:xAlign="center" w:y="1"/>
      <w:rPr>
        <w:rStyle w:val="af3"/>
        <w:rFonts w:ascii="Times New Roman" w:hAnsi="Times New Roman"/>
      </w:rPr>
    </w:pPr>
    <w:r>
      <w:rPr>
        <w:rStyle w:val="af3"/>
        <w:rFonts w:ascii="Times New Roman" w:hAnsi="Times New Roman"/>
      </w:rPr>
      <w:fldChar w:fldCharType="begin"/>
    </w:r>
    <w:r w:rsidR="00913B56">
      <w:rPr>
        <w:rStyle w:val="af3"/>
        <w:rFonts w:ascii="Times New Roman" w:hAnsi="Times New Roman"/>
      </w:rPr>
      <w:instrText xml:space="preserve">PAGE  </w:instrText>
    </w:r>
    <w:r>
      <w:rPr>
        <w:rStyle w:val="af3"/>
        <w:rFonts w:ascii="Times New Roman" w:hAnsi="Times New Roman"/>
      </w:rPr>
      <w:fldChar w:fldCharType="separate"/>
    </w:r>
    <w:r w:rsidR="003018D3">
      <w:rPr>
        <w:rStyle w:val="af3"/>
        <w:rFonts w:ascii="Times New Roman" w:hAnsi="Times New Roman"/>
        <w:noProof/>
      </w:rPr>
      <w:t>1</w:t>
    </w:r>
    <w:r>
      <w:rPr>
        <w:rStyle w:val="af3"/>
        <w:rFonts w:ascii="Times New Roman" w:hAnsi="Times New Roman"/>
      </w:rPr>
      <w:fldChar w:fldCharType="end"/>
    </w:r>
  </w:p>
  <w:p w:rsidR="00913B56" w:rsidRDefault="00913B56">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B56" w:rsidRDefault="00514AB1">
    <w:pPr>
      <w:pStyle w:val="ad"/>
      <w:jc w:val="center"/>
    </w:pPr>
    <w:fldSimple w:instr=" PAGE   \* MERGEFORMAT ">
      <w:r w:rsidR="003018D3" w:rsidRPr="003018D3">
        <w:rPr>
          <w:noProof/>
          <w:lang w:val="zh-CN"/>
        </w:rPr>
        <w:t>151</w:t>
      </w:r>
    </w:fldSimple>
  </w:p>
  <w:p w:rsidR="00913B56" w:rsidRDefault="00913B5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FC9" w:rsidRDefault="00775FC9" w:rsidP="00DB621C">
      <w:r>
        <w:separator/>
      </w:r>
    </w:p>
  </w:footnote>
  <w:footnote w:type="continuationSeparator" w:id="1">
    <w:p w:rsidR="00775FC9" w:rsidRDefault="00775FC9" w:rsidP="00DB62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4540C6"/>
    <w:multiLevelType w:val="multilevel"/>
    <w:tmpl w:val="B04540C6"/>
    <w:lvl w:ilvl="0">
      <w:start w:val="1"/>
      <w:numFmt w:val="decimal"/>
      <w:lvlText w:val="%1、"/>
      <w:lvlJc w:val="left"/>
      <w:pPr>
        <w:tabs>
          <w:tab w:val="left" w:pos="780"/>
        </w:tabs>
        <w:ind w:left="780" w:hanging="360"/>
      </w:pPr>
      <w:rPr>
        <w:rFonts w:cs="Times New Roman"/>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1">
    <w:nsid w:val="00000001"/>
    <w:multiLevelType w:val="singleLevel"/>
    <w:tmpl w:val="00000001"/>
    <w:lvl w:ilvl="0">
      <w:start w:val="1"/>
      <w:numFmt w:val="decimal"/>
      <w:suff w:val="nothing"/>
      <w:lvlText w:val="%1)"/>
      <w:lvlJc w:val="left"/>
      <w:rPr>
        <w:rFonts w:cs="Times New Roman"/>
      </w:rPr>
    </w:lvl>
  </w:abstractNum>
  <w:abstractNum w:abstractNumId="2">
    <w:nsid w:val="00000002"/>
    <w:multiLevelType w:val="multilevel"/>
    <w:tmpl w:val="00000002"/>
    <w:lvl w:ilvl="0">
      <w:start w:val="1"/>
      <w:numFmt w:val="decimal"/>
      <w:lvlText w:val="%1."/>
      <w:lvlJc w:val="left"/>
      <w:pPr>
        <w:tabs>
          <w:tab w:val="left" w:pos="1320"/>
        </w:tabs>
        <w:ind w:left="1320" w:hanging="360"/>
      </w:pPr>
      <w:rPr>
        <w:rFonts w:cs="Times New Roman" w:hint="default"/>
      </w:rPr>
    </w:lvl>
    <w:lvl w:ilvl="1">
      <w:start w:val="1"/>
      <w:numFmt w:val="lowerLetter"/>
      <w:lvlText w:val="%2)"/>
      <w:lvlJc w:val="left"/>
      <w:pPr>
        <w:tabs>
          <w:tab w:val="left" w:pos="1800"/>
        </w:tabs>
        <w:ind w:left="1800" w:hanging="420"/>
      </w:pPr>
      <w:rPr>
        <w:rFonts w:cs="Times New Roman"/>
      </w:rPr>
    </w:lvl>
    <w:lvl w:ilvl="2">
      <w:start w:val="1"/>
      <w:numFmt w:val="lowerRoman"/>
      <w:lvlText w:val="%3."/>
      <w:lvlJc w:val="right"/>
      <w:pPr>
        <w:tabs>
          <w:tab w:val="left" w:pos="2220"/>
        </w:tabs>
        <w:ind w:left="2220" w:hanging="420"/>
      </w:pPr>
      <w:rPr>
        <w:rFonts w:cs="Times New Roman"/>
      </w:rPr>
    </w:lvl>
    <w:lvl w:ilvl="3">
      <w:start w:val="1"/>
      <w:numFmt w:val="decimal"/>
      <w:lvlText w:val="%4."/>
      <w:lvlJc w:val="left"/>
      <w:pPr>
        <w:tabs>
          <w:tab w:val="left" w:pos="2640"/>
        </w:tabs>
        <w:ind w:left="2640" w:hanging="420"/>
      </w:pPr>
      <w:rPr>
        <w:rFonts w:cs="Times New Roman"/>
      </w:rPr>
    </w:lvl>
    <w:lvl w:ilvl="4">
      <w:start w:val="1"/>
      <w:numFmt w:val="lowerLetter"/>
      <w:lvlText w:val="%5)"/>
      <w:lvlJc w:val="left"/>
      <w:pPr>
        <w:tabs>
          <w:tab w:val="left" w:pos="3060"/>
        </w:tabs>
        <w:ind w:left="3060" w:hanging="420"/>
      </w:pPr>
      <w:rPr>
        <w:rFonts w:cs="Times New Roman"/>
      </w:rPr>
    </w:lvl>
    <w:lvl w:ilvl="5">
      <w:start w:val="1"/>
      <w:numFmt w:val="lowerRoman"/>
      <w:lvlText w:val="%6."/>
      <w:lvlJc w:val="right"/>
      <w:pPr>
        <w:tabs>
          <w:tab w:val="left" w:pos="3480"/>
        </w:tabs>
        <w:ind w:left="3480" w:hanging="420"/>
      </w:pPr>
      <w:rPr>
        <w:rFonts w:cs="Times New Roman"/>
      </w:rPr>
    </w:lvl>
    <w:lvl w:ilvl="6">
      <w:start w:val="1"/>
      <w:numFmt w:val="decimal"/>
      <w:lvlText w:val="%7."/>
      <w:lvlJc w:val="left"/>
      <w:pPr>
        <w:tabs>
          <w:tab w:val="left" w:pos="3900"/>
        </w:tabs>
        <w:ind w:left="3900" w:hanging="420"/>
      </w:pPr>
      <w:rPr>
        <w:rFonts w:cs="Times New Roman"/>
      </w:rPr>
    </w:lvl>
    <w:lvl w:ilvl="7">
      <w:start w:val="1"/>
      <w:numFmt w:val="lowerLetter"/>
      <w:lvlText w:val="%8)"/>
      <w:lvlJc w:val="left"/>
      <w:pPr>
        <w:tabs>
          <w:tab w:val="left" w:pos="4320"/>
        </w:tabs>
        <w:ind w:left="4320" w:hanging="420"/>
      </w:pPr>
      <w:rPr>
        <w:rFonts w:cs="Times New Roman"/>
      </w:rPr>
    </w:lvl>
    <w:lvl w:ilvl="8">
      <w:start w:val="1"/>
      <w:numFmt w:val="lowerRoman"/>
      <w:lvlText w:val="%9."/>
      <w:lvlJc w:val="right"/>
      <w:pPr>
        <w:tabs>
          <w:tab w:val="left" w:pos="4740"/>
        </w:tabs>
        <w:ind w:left="4740" w:hanging="420"/>
      </w:pPr>
      <w:rPr>
        <w:rFonts w:cs="Times New Roman"/>
      </w:rPr>
    </w:lvl>
  </w:abstractNum>
  <w:abstractNum w:abstractNumId="3">
    <w:nsid w:val="00000003"/>
    <w:multiLevelType w:val="multilevel"/>
    <w:tmpl w:val="00000003"/>
    <w:lvl w:ilvl="0">
      <w:start w:val="1"/>
      <w:numFmt w:val="decimal"/>
      <w:lvlText w:val="%1."/>
      <w:lvlJc w:val="left"/>
      <w:pPr>
        <w:tabs>
          <w:tab w:val="left" w:pos="360"/>
        </w:tabs>
        <w:ind w:left="360" w:hanging="360"/>
      </w:pPr>
      <w:rPr>
        <w:rFonts w:cs="Times New Roman" w:hint="default"/>
      </w:rPr>
    </w:lvl>
    <w:lvl w:ilvl="1">
      <w:start w:val="1"/>
      <w:numFmt w:val="decimal"/>
      <w:lvlText w:val="%2、"/>
      <w:lvlJc w:val="left"/>
      <w:pPr>
        <w:tabs>
          <w:tab w:val="left" w:pos="780"/>
        </w:tabs>
        <w:ind w:left="780" w:hanging="360"/>
      </w:pPr>
      <w:rPr>
        <w:rFonts w:cs="Times New Roman" w:hint="default"/>
      </w:rPr>
    </w:lvl>
    <w:lvl w:ilvl="2">
      <w:start w:val="1"/>
      <w:numFmt w:val="decimal"/>
      <w:lvlText w:val="%3)"/>
      <w:lvlJc w:val="left"/>
      <w:pPr>
        <w:tabs>
          <w:tab w:val="left" w:pos="1200"/>
        </w:tabs>
        <w:ind w:left="1200" w:hanging="36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nsid w:val="00000004"/>
    <w:multiLevelType w:val="multilevel"/>
    <w:tmpl w:val="00000004"/>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nsid w:val="00000005"/>
    <w:multiLevelType w:val="multilevel"/>
    <w:tmpl w:val="00000005"/>
    <w:lvl w:ilvl="0">
      <w:start w:val="1"/>
      <w:numFmt w:val="decimal"/>
      <w:lvlText w:val="%1."/>
      <w:lvlJc w:val="left"/>
      <w:pPr>
        <w:tabs>
          <w:tab w:val="left" w:pos="360"/>
        </w:tabs>
        <w:ind w:left="360" w:hanging="360"/>
      </w:pPr>
      <w:rPr>
        <w:rFonts w:cs="Times New Roman" w:hint="default"/>
      </w:rPr>
    </w:lvl>
    <w:lvl w:ilvl="1">
      <w:start w:val="1"/>
      <w:numFmt w:val="decimal"/>
      <w:lvlText w:val="%2、"/>
      <w:lvlJc w:val="left"/>
      <w:pPr>
        <w:tabs>
          <w:tab w:val="left" w:pos="780"/>
        </w:tabs>
        <w:ind w:left="780" w:hanging="36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nsid w:val="00000006"/>
    <w:multiLevelType w:val="multilevel"/>
    <w:tmpl w:val="00000006"/>
    <w:lvl w:ilvl="0">
      <w:start w:val="1"/>
      <w:numFmt w:val="decimal"/>
      <w:lvlText w:val="%1."/>
      <w:lvlJc w:val="left"/>
      <w:rPr>
        <w:rFonts w:ascii="宋体" w:eastAsia="宋体" w:hAnsi="宋体" w:cs="宋体" w:hint="default"/>
        <w:position w:val="0"/>
      </w:rPr>
    </w:lvl>
    <w:lvl w:ilvl="1">
      <w:start w:val="1"/>
      <w:numFmt w:val="lowerLetter"/>
      <w:lvlText w:val="%2)"/>
      <w:lvlJc w:val="left"/>
      <w:rPr>
        <w:rFonts w:ascii="宋体" w:eastAsia="宋体" w:hAnsi="宋体" w:cs="宋体" w:hint="default"/>
        <w:position w:val="0"/>
      </w:rPr>
    </w:lvl>
    <w:lvl w:ilvl="2">
      <w:start w:val="1"/>
      <w:numFmt w:val="lowerRoman"/>
      <w:lvlText w:val="%3."/>
      <w:lvlJc w:val="left"/>
      <w:rPr>
        <w:rFonts w:ascii="宋体" w:eastAsia="宋体" w:hAnsi="宋体" w:cs="宋体" w:hint="default"/>
        <w:position w:val="0"/>
      </w:rPr>
    </w:lvl>
    <w:lvl w:ilvl="3">
      <w:start w:val="1"/>
      <w:numFmt w:val="decimal"/>
      <w:lvlText w:val="%4."/>
      <w:lvlJc w:val="left"/>
      <w:rPr>
        <w:rFonts w:ascii="宋体" w:eastAsia="宋体" w:hAnsi="宋体" w:cs="宋体" w:hint="default"/>
        <w:position w:val="0"/>
      </w:rPr>
    </w:lvl>
    <w:lvl w:ilvl="4">
      <w:start w:val="1"/>
      <w:numFmt w:val="lowerLetter"/>
      <w:lvlText w:val="%5)"/>
      <w:lvlJc w:val="left"/>
      <w:rPr>
        <w:rFonts w:ascii="宋体" w:eastAsia="宋体" w:hAnsi="宋体" w:cs="宋体" w:hint="default"/>
        <w:position w:val="0"/>
      </w:rPr>
    </w:lvl>
    <w:lvl w:ilvl="5">
      <w:start w:val="1"/>
      <w:numFmt w:val="lowerRoman"/>
      <w:lvlText w:val="%6."/>
      <w:lvlJc w:val="left"/>
      <w:rPr>
        <w:rFonts w:ascii="宋体" w:eastAsia="宋体" w:hAnsi="宋体" w:cs="宋体" w:hint="default"/>
        <w:position w:val="0"/>
      </w:rPr>
    </w:lvl>
    <w:lvl w:ilvl="6">
      <w:start w:val="1"/>
      <w:numFmt w:val="decimal"/>
      <w:lvlText w:val="%7."/>
      <w:lvlJc w:val="left"/>
      <w:rPr>
        <w:rFonts w:ascii="宋体" w:eastAsia="宋体" w:hAnsi="宋体" w:cs="宋体" w:hint="default"/>
        <w:position w:val="0"/>
      </w:rPr>
    </w:lvl>
    <w:lvl w:ilvl="7">
      <w:start w:val="1"/>
      <w:numFmt w:val="lowerLetter"/>
      <w:lvlText w:val="%8)"/>
      <w:lvlJc w:val="left"/>
      <w:rPr>
        <w:rFonts w:ascii="宋体" w:eastAsia="宋体" w:hAnsi="宋体" w:cs="宋体" w:hint="default"/>
        <w:position w:val="0"/>
      </w:rPr>
    </w:lvl>
    <w:lvl w:ilvl="8">
      <w:start w:val="1"/>
      <w:numFmt w:val="lowerRoman"/>
      <w:lvlText w:val="%9."/>
      <w:lvlJc w:val="left"/>
      <w:rPr>
        <w:rFonts w:ascii="宋体" w:eastAsia="宋体" w:hAnsi="宋体" w:cs="宋体" w:hint="default"/>
        <w:position w:val="0"/>
      </w:rPr>
    </w:lvl>
  </w:abstractNum>
  <w:abstractNum w:abstractNumId="7">
    <w:nsid w:val="00000008"/>
    <w:multiLevelType w:val="multilevel"/>
    <w:tmpl w:val="00000008"/>
    <w:lvl w:ilvl="0">
      <w:start w:val="1"/>
      <w:numFmt w:val="decimal"/>
      <w:lvlText w:val="%1."/>
      <w:lvlJc w:val="left"/>
      <w:pPr>
        <w:tabs>
          <w:tab w:val="left" w:pos="1637"/>
        </w:tabs>
        <w:ind w:left="1637"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
    <w:nsid w:val="00000009"/>
    <w:multiLevelType w:val="multilevel"/>
    <w:tmpl w:val="00000009"/>
    <w:lvl w:ilvl="0">
      <w:start w:val="1"/>
      <w:numFmt w:val="decimal"/>
      <w:lvlText w:val="%1."/>
      <w:lvlJc w:val="left"/>
      <w:rPr>
        <w:rFonts w:ascii="宋体" w:eastAsia="宋体" w:hAnsi="宋体" w:cs="宋体" w:hint="default"/>
        <w:position w:val="0"/>
      </w:rPr>
    </w:lvl>
    <w:lvl w:ilvl="1">
      <w:start w:val="1"/>
      <w:numFmt w:val="decimal"/>
      <w:lvlText w:val="%2."/>
      <w:lvlJc w:val="left"/>
      <w:rPr>
        <w:rFonts w:ascii="宋体" w:eastAsia="宋体" w:hAnsi="宋体" w:cs="宋体" w:hint="default"/>
        <w:position w:val="0"/>
      </w:rPr>
    </w:lvl>
    <w:lvl w:ilvl="2">
      <w:start w:val="1"/>
      <w:numFmt w:val="lowerRoman"/>
      <w:lvlText w:val="%3."/>
      <w:lvlJc w:val="left"/>
      <w:rPr>
        <w:rFonts w:ascii="宋体" w:eastAsia="宋体" w:hAnsi="宋体" w:cs="宋体" w:hint="default"/>
        <w:position w:val="0"/>
      </w:rPr>
    </w:lvl>
    <w:lvl w:ilvl="3">
      <w:start w:val="1"/>
      <w:numFmt w:val="decimal"/>
      <w:lvlText w:val="%4."/>
      <w:lvlJc w:val="left"/>
      <w:rPr>
        <w:rFonts w:ascii="宋体" w:eastAsia="宋体" w:hAnsi="宋体" w:cs="宋体" w:hint="default"/>
        <w:position w:val="0"/>
      </w:rPr>
    </w:lvl>
    <w:lvl w:ilvl="4">
      <w:start w:val="1"/>
      <w:numFmt w:val="lowerLetter"/>
      <w:lvlText w:val="%5)"/>
      <w:lvlJc w:val="left"/>
      <w:rPr>
        <w:rFonts w:ascii="宋体" w:eastAsia="宋体" w:hAnsi="宋体" w:cs="宋体" w:hint="default"/>
        <w:position w:val="0"/>
      </w:rPr>
    </w:lvl>
    <w:lvl w:ilvl="5">
      <w:start w:val="1"/>
      <w:numFmt w:val="lowerRoman"/>
      <w:lvlText w:val="%6."/>
      <w:lvlJc w:val="left"/>
      <w:rPr>
        <w:rFonts w:ascii="宋体" w:eastAsia="宋体" w:hAnsi="宋体" w:cs="宋体" w:hint="default"/>
        <w:position w:val="0"/>
      </w:rPr>
    </w:lvl>
    <w:lvl w:ilvl="6">
      <w:start w:val="1"/>
      <w:numFmt w:val="decimal"/>
      <w:lvlText w:val="%7."/>
      <w:lvlJc w:val="left"/>
      <w:rPr>
        <w:rFonts w:ascii="宋体" w:eastAsia="宋体" w:hAnsi="宋体" w:cs="宋体" w:hint="default"/>
        <w:position w:val="0"/>
      </w:rPr>
    </w:lvl>
    <w:lvl w:ilvl="7">
      <w:start w:val="1"/>
      <w:numFmt w:val="lowerLetter"/>
      <w:lvlText w:val="%8)"/>
      <w:lvlJc w:val="left"/>
      <w:rPr>
        <w:rFonts w:ascii="宋体" w:eastAsia="宋体" w:hAnsi="宋体" w:cs="宋体" w:hint="default"/>
        <w:position w:val="0"/>
      </w:rPr>
    </w:lvl>
    <w:lvl w:ilvl="8">
      <w:start w:val="1"/>
      <w:numFmt w:val="lowerRoman"/>
      <w:lvlText w:val="%9."/>
      <w:lvlJc w:val="left"/>
      <w:rPr>
        <w:rFonts w:ascii="宋体" w:eastAsia="宋体" w:hAnsi="宋体" w:cs="宋体" w:hint="default"/>
        <w:position w:val="0"/>
      </w:rPr>
    </w:lvl>
  </w:abstractNum>
  <w:abstractNum w:abstractNumId="9">
    <w:nsid w:val="0000000A"/>
    <w:multiLevelType w:val="multilevel"/>
    <w:tmpl w:val="0000000A"/>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
    <w:nsid w:val="0000000B"/>
    <w:multiLevelType w:val="multilevel"/>
    <w:tmpl w:val="0000000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0000000C"/>
    <w:multiLevelType w:val="multilevel"/>
    <w:tmpl w:val="0000000C"/>
    <w:lvl w:ilvl="0">
      <w:start w:val="1"/>
      <w:numFmt w:val="decimal"/>
      <w:lvlText w:val="%1."/>
      <w:lvlJc w:val="left"/>
      <w:pPr>
        <w:tabs>
          <w:tab w:val="left" w:pos="1425"/>
        </w:tabs>
        <w:ind w:left="1425" w:hanging="360"/>
      </w:pPr>
      <w:rPr>
        <w:rFonts w:cs="Times New Roman" w:hint="default"/>
      </w:rPr>
    </w:lvl>
    <w:lvl w:ilvl="1">
      <w:start w:val="1"/>
      <w:numFmt w:val="lowerLetter"/>
      <w:lvlText w:val="%2)"/>
      <w:lvlJc w:val="left"/>
      <w:pPr>
        <w:tabs>
          <w:tab w:val="left" w:pos="1905"/>
        </w:tabs>
        <w:ind w:left="1905" w:hanging="420"/>
      </w:pPr>
      <w:rPr>
        <w:rFonts w:cs="Times New Roman"/>
      </w:rPr>
    </w:lvl>
    <w:lvl w:ilvl="2">
      <w:start w:val="1"/>
      <w:numFmt w:val="lowerRoman"/>
      <w:lvlText w:val="%3."/>
      <w:lvlJc w:val="right"/>
      <w:pPr>
        <w:tabs>
          <w:tab w:val="left" w:pos="2325"/>
        </w:tabs>
        <w:ind w:left="2325" w:hanging="420"/>
      </w:pPr>
      <w:rPr>
        <w:rFonts w:cs="Times New Roman"/>
      </w:rPr>
    </w:lvl>
    <w:lvl w:ilvl="3">
      <w:start w:val="1"/>
      <w:numFmt w:val="decimal"/>
      <w:lvlText w:val="%4."/>
      <w:lvlJc w:val="left"/>
      <w:pPr>
        <w:tabs>
          <w:tab w:val="left" w:pos="2745"/>
        </w:tabs>
        <w:ind w:left="2745" w:hanging="420"/>
      </w:pPr>
      <w:rPr>
        <w:rFonts w:cs="Times New Roman"/>
      </w:rPr>
    </w:lvl>
    <w:lvl w:ilvl="4">
      <w:start w:val="1"/>
      <w:numFmt w:val="lowerLetter"/>
      <w:lvlText w:val="%5)"/>
      <w:lvlJc w:val="left"/>
      <w:pPr>
        <w:tabs>
          <w:tab w:val="left" w:pos="3165"/>
        </w:tabs>
        <w:ind w:left="3165" w:hanging="420"/>
      </w:pPr>
      <w:rPr>
        <w:rFonts w:cs="Times New Roman"/>
      </w:rPr>
    </w:lvl>
    <w:lvl w:ilvl="5">
      <w:start w:val="1"/>
      <w:numFmt w:val="lowerRoman"/>
      <w:lvlText w:val="%6."/>
      <w:lvlJc w:val="right"/>
      <w:pPr>
        <w:tabs>
          <w:tab w:val="left" w:pos="3585"/>
        </w:tabs>
        <w:ind w:left="3585" w:hanging="420"/>
      </w:pPr>
      <w:rPr>
        <w:rFonts w:cs="Times New Roman"/>
      </w:rPr>
    </w:lvl>
    <w:lvl w:ilvl="6">
      <w:start w:val="1"/>
      <w:numFmt w:val="decimal"/>
      <w:lvlText w:val="%7."/>
      <w:lvlJc w:val="left"/>
      <w:pPr>
        <w:tabs>
          <w:tab w:val="left" w:pos="4005"/>
        </w:tabs>
        <w:ind w:left="4005" w:hanging="420"/>
      </w:pPr>
      <w:rPr>
        <w:rFonts w:cs="Times New Roman"/>
      </w:rPr>
    </w:lvl>
    <w:lvl w:ilvl="7">
      <w:start w:val="1"/>
      <w:numFmt w:val="lowerLetter"/>
      <w:lvlText w:val="%8)"/>
      <w:lvlJc w:val="left"/>
      <w:pPr>
        <w:tabs>
          <w:tab w:val="left" w:pos="4425"/>
        </w:tabs>
        <w:ind w:left="4425" w:hanging="420"/>
      </w:pPr>
      <w:rPr>
        <w:rFonts w:cs="Times New Roman"/>
      </w:rPr>
    </w:lvl>
    <w:lvl w:ilvl="8">
      <w:start w:val="1"/>
      <w:numFmt w:val="lowerRoman"/>
      <w:lvlText w:val="%9."/>
      <w:lvlJc w:val="right"/>
      <w:pPr>
        <w:tabs>
          <w:tab w:val="left" w:pos="4845"/>
        </w:tabs>
        <w:ind w:left="4845" w:hanging="420"/>
      </w:pPr>
      <w:rPr>
        <w:rFonts w:cs="Times New Roman"/>
      </w:rPr>
    </w:lvl>
  </w:abstractNum>
  <w:abstractNum w:abstractNumId="12">
    <w:nsid w:val="0000000D"/>
    <w:multiLevelType w:val="singleLevel"/>
    <w:tmpl w:val="0000000D"/>
    <w:lvl w:ilvl="0">
      <w:start w:val="2"/>
      <w:numFmt w:val="decimal"/>
      <w:suff w:val="nothing"/>
      <w:lvlText w:val="%1)"/>
      <w:lvlJc w:val="left"/>
      <w:rPr>
        <w:rFonts w:cs="Times New Roman"/>
      </w:rPr>
    </w:lvl>
  </w:abstractNum>
  <w:abstractNum w:abstractNumId="13">
    <w:nsid w:val="0000000E"/>
    <w:multiLevelType w:val="multilevel"/>
    <w:tmpl w:val="0000000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
    <w:nsid w:val="0000000F"/>
    <w:multiLevelType w:val="multilevel"/>
    <w:tmpl w:val="0000000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
    <w:nsid w:val="00000010"/>
    <w:multiLevelType w:val="multilevel"/>
    <w:tmpl w:val="0000001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6">
    <w:nsid w:val="00000011"/>
    <w:multiLevelType w:val="singleLevel"/>
    <w:tmpl w:val="00000011"/>
    <w:lvl w:ilvl="0">
      <w:start w:val="1"/>
      <w:numFmt w:val="decimal"/>
      <w:suff w:val="space"/>
      <w:lvlText w:val="%1."/>
      <w:lvlJc w:val="left"/>
      <w:rPr>
        <w:rFonts w:cs="Times New Roman"/>
      </w:rPr>
    </w:lvl>
  </w:abstractNum>
  <w:abstractNum w:abstractNumId="17">
    <w:nsid w:val="00000012"/>
    <w:multiLevelType w:val="multilevel"/>
    <w:tmpl w:val="00000012"/>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
    <w:nsid w:val="00000013"/>
    <w:multiLevelType w:val="singleLevel"/>
    <w:tmpl w:val="00000013"/>
    <w:lvl w:ilvl="0">
      <w:start w:val="1"/>
      <w:numFmt w:val="decimal"/>
      <w:suff w:val="space"/>
      <w:lvlText w:val="%1."/>
      <w:lvlJc w:val="left"/>
      <w:rPr>
        <w:rFonts w:cs="Times New Roman"/>
      </w:rPr>
    </w:lvl>
  </w:abstractNum>
  <w:abstractNum w:abstractNumId="19">
    <w:nsid w:val="00000014"/>
    <w:multiLevelType w:val="multilevel"/>
    <w:tmpl w:val="00000014"/>
    <w:lvl w:ilvl="0">
      <w:start w:val="1"/>
      <w:numFmt w:val="decimal"/>
      <w:lvlText w:val="%1."/>
      <w:lvlJc w:val="left"/>
      <w:pPr>
        <w:tabs>
          <w:tab w:val="left" w:pos="1425"/>
        </w:tabs>
        <w:ind w:left="1425" w:hanging="360"/>
      </w:pPr>
      <w:rPr>
        <w:rFonts w:cs="Times New Roman" w:hint="default"/>
      </w:rPr>
    </w:lvl>
    <w:lvl w:ilvl="1">
      <w:start w:val="1"/>
      <w:numFmt w:val="lowerLetter"/>
      <w:lvlText w:val="%2)"/>
      <w:lvlJc w:val="left"/>
      <w:pPr>
        <w:tabs>
          <w:tab w:val="left" w:pos="1905"/>
        </w:tabs>
        <w:ind w:left="1905" w:hanging="420"/>
      </w:pPr>
      <w:rPr>
        <w:rFonts w:cs="Times New Roman"/>
      </w:rPr>
    </w:lvl>
    <w:lvl w:ilvl="2">
      <w:start w:val="1"/>
      <w:numFmt w:val="lowerRoman"/>
      <w:lvlText w:val="%3."/>
      <w:lvlJc w:val="right"/>
      <w:pPr>
        <w:tabs>
          <w:tab w:val="left" w:pos="2325"/>
        </w:tabs>
        <w:ind w:left="2325" w:hanging="420"/>
      </w:pPr>
      <w:rPr>
        <w:rFonts w:cs="Times New Roman"/>
      </w:rPr>
    </w:lvl>
    <w:lvl w:ilvl="3">
      <w:start w:val="1"/>
      <w:numFmt w:val="decimal"/>
      <w:lvlText w:val="%4."/>
      <w:lvlJc w:val="left"/>
      <w:pPr>
        <w:tabs>
          <w:tab w:val="left" w:pos="2745"/>
        </w:tabs>
        <w:ind w:left="2745" w:hanging="420"/>
      </w:pPr>
      <w:rPr>
        <w:rFonts w:cs="Times New Roman"/>
      </w:rPr>
    </w:lvl>
    <w:lvl w:ilvl="4">
      <w:start w:val="1"/>
      <w:numFmt w:val="lowerLetter"/>
      <w:lvlText w:val="%5)"/>
      <w:lvlJc w:val="left"/>
      <w:pPr>
        <w:tabs>
          <w:tab w:val="left" w:pos="3165"/>
        </w:tabs>
        <w:ind w:left="3165" w:hanging="420"/>
      </w:pPr>
      <w:rPr>
        <w:rFonts w:cs="Times New Roman"/>
      </w:rPr>
    </w:lvl>
    <w:lvl w:ilvl="5">
      <w:start w:val="1"/>
      <w:numFmt w:val="lowerRoman"/>
      <w:lvlText w:val="%6."/>
      <w:lvlJc w:val="right"/>
      <w:pPr>
        <w:tabs>
          <w:tab w:val="left" w:pos="3585"/>
        </w:tabs>
        <w:ind w:left="3585" w:hanging="420"/>
      </w:pPr>
      <w:rPr>
        <w:rFonts w:cs="Times New Roman"/>
      </w:rPr>
    </w:lvl>
    <w:lvl w:ilvl="6">
      <w:start w:val="1"/>
      <w:numFmt w:val="decimal"/>
      <w:lvlText w:val="%7."/>
      <w:lvlJc w:val="left"/>
      <w:pPr>
        <w:tabs>
          <w:tab w:val="left" w:pos="4005"/>
        </w:tabs>
        <w:ind w:left="4005" w:hanging="420"/>
      </w:pPr>
      <w:rPr>
        <w:rFonts w:cs="Times New Roman"/>
      </w:rPr>
    </w:lvl>
    <w:lvl w:ilvl="7">
      <w:start w:val="1"/>
      <w:numFmt w:val="lowerLetter"/>
      <w:lvlText w:val="%8)"/>
      <w:lvlJc w:val="left"/>
      <w:pPr>
        <w:tabs>
          <w:tab w:val="left" w:pos="4425"/>
        </w:tabs>
        <w:ind w:left="4425" w:hanging="420"/>
      </w:pPr>
      <w:rPr>
        <w:rFonts w:cs="Times New Roman"/>
      </w:rPr>
    </w:lvl>
    <w:lvl w:ilvl="8">
      <w:start w:val="1"/>
      <w:numFmt w:val="lowerRoman"/>
      <w:lvlText w:val="%9."/>
      <w:lvlJc w:val="right"/>
      <w:pPr>
        <w:tabs>
          <w:tab w:val="left" w:pos="4845"/>
        </w:tabs>
        <w:ind w:left="4845" w:hanging="420"/>
      </w:pPr>
      <w:rPr>
        <w:rFonts w:cs="Times New Roman"/>
      </w:rPr>
    </w:lvl>
  </w:abstractNum>
  <w:abstractNum w:abstractNumId="20">
    <w:nsid w:val="00000015"/>
    <w:multiLevelType w:val="multilevel"/>
    <w:tmpl w:val="00000015"/>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
    <w:nsid w:val="00000016"/>
    <w:multiLevelType w:val="multilevel"/>
    <w:tmpl w:val="0000001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
    <w:nsid w:val="00000017"/>
    <w:multiLevelType w:val="multilevel"/>
    <w:tmpl w:val="00000017"/>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
    <w:nsid w:val="00000018"/>
    <w:multiLevelType w:val="multilevel"/>
    <w:tmpl w:val="00000018"/>
    <w:lvl w:ilvl="0">
      <w:start w:val="3"/>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4">
    <w:nsid w:val="00000019"/>
    <w:multiLevelType w:val="multilevel"/>
    <w:tmpl w:val="00000019"/>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
    <w:nsid w:val="0000001A"/>
    <w:multiLevelType w:val="singleLevel"/>
    <w:tmpl w:val="0000001A"/>
    <w:lvl w:ilvl="0">
      <w:start w:val="3"/>
      <w:numFmt w:val="decimal"/>
      <w:suff w:val="space"/>
      <w:lvlText w:val="%1."/>
      <w:lvlJc w:val="left"/>
      <w:rPr>
        <w:rFonts w:cs="Times New Roman"/>
      </w:rPr>
    </w:lvl>
  </w:abstractNum>
  <w:abstractNum w:abstractNumId="26">
    <w:nsid w:val="0000001B"/>
    <w:multiLevelType w:val="multilevel"/>
    <w:tmpl w:val="0000001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
    <w:nsid w:val="0000001C"/>
    <w:multiLevelType w:val="multilevel"/>
    <w:tmpl w:val="0000001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8">
    <w:nsid w:val="0000001D"/>
    <w:multiLevelType w:val="multilevel"/>
    <w:tmpl w:val="0000001D"/>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9">
    <w:nsid w:val="0000001E"/>
    <w:multiLevelType w:val="multilevel"/>
    <w:tmpl w:val="0000001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
    <w:nsid w:val="0000001F"/>
    <w:multiLevelType w:val="multilevel"/>
    <w:tmpl w:val="0000001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1">
    <w:nsid w:val="00000020"/>
    <w:multiLevelType w:val="singleLevel"/>
    <w:tmpl w:val="00000020"/>
    <w:lvl w:ilvl="0">
      <w:start w:val="1"/>
      <w:numFmt w:val="decimal"/>
      <w:suff w:val="space"/>
      <w:lvlText w:val="%1."/>
      <w:lvlJc w:val="left"/>
      <w:rPr>
        <w:rFonts w:cs="Times New Roman"/>
      </w:rPr>
    </w:lvl>
  </w:abstractNum>
  <w:abstractNum w:abstractNumId="32">
    <w:nsid w:val="00000021"/>
    <w:multiLevelType w:val="singleLevel"/>
    <w:tmpl w:val="00000021"/>
    <w:lvl w:ilvl="0">
      <w:start w:val="2"/>
      <w:numFmt w:val="decimal"/>
      <w:suff w:val="nothing"/>
      <w:lvlText w:val="%1."/>
      <w:lvlJc w:val="left"/>
      <w:rPr>
        <w:rFonts w:cs="Times New Roman"/>
      </w:rPr>
    </w:lvl>
  </w:abstractNum>
  <w:abstractNum w:abstractNumId="33">
    <w:nsid w:val="00000022"/>
    <w:multiLevelType w:val="multilevel"/>
    <w:tmpl w:val="00000022"/>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4">
    <w:nsid w:val="00000023"/>
    <w:multiLevelType w:val="multilevel"/>
    <w:tmpl w:val="00000023"/>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
    <w:nsid w:val="00000024"/>
    <w:multiLevelType w:val="multilevel"/>
    <w:tmpl w:val="00000024"/>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6">
    <w:nsid w:val="00000025"/>
    <w:multiLevelType w:val="multilevel"/>
    <w:tmpl w:val="00000025"/>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
    <w:nsid w:val="00000026"/>
    <w:multiLevelType w:val="multilevel"/>
    <w:tmpl w:val="0000002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8">
    <w:nsid w:val="00000027"/>
    <w:multiLevelType w:val="multilevel"/>
    <w:tmpl w:val="00000027"/>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
    <w:nsid w:val="00000028"/>
    <w:multiLevelType w:val="multilevel"/>
    <w:tmpl w:val="00000028"/>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0">
    <w:nsid w:val="00000029"/>
    <w:multiLevelType w:val="multilevel"/>
    <w:tmpl w:val="00000029"/>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
    <w:nsid w:val="0000002A"/>
    <w:multiLevelType w:val="multilevel"/>
    <w:tmpl w:val="0000002A"/>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2">
    <w:nsid w:val="0000002B"/>
    <w:multiLevelType w:val="multilevel"/>
    <w:tmpl w:val="0000002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3">
    <w:nsid w:val="0000002C"/>
    <w:multiLevelType w:val="multilevel"/>
    <w:tmpl w:val="0000002C"/>
    <w:lvl w:ilvl="0">
      <w:start w:val="1"/>
      <w:numFmt w:val="decimal"/>
      <w:lvlText w:val="%1."/>
      <w:lvlJc w:val="left"/>
      <w:pPr>
        <w:tabs>
          <w:tab w:val="left" w:pos="1425"/>
        </w:tabs>
        <w:ind w:left="1425" w:hanging="360"/>
      </w:pPr>
      <w:rPr>
        <w:rFonts w:cs="Times New Roman" w:hint="default"/>
      </w:rPr>
    </w:lvl>
    <w:lvl w:ilvl="1">
      <w:start w:val="1"/>
      <w:numFmt w:val="lowerLetter"/>
      <w:lvlText w:val="%2)"/>
      <w:lvlJc w:val="left"/>
      <w:pPr>
        <w:tabs>
          <w:tab w:val="left" w:pos="1905"/>
        </w:tabs>
        <w:ind w:left="1905" w:hanging="420"/>
      </w:pPr>
      <w:rPr>
        <w:rFonts w:cs="Times New Roman"/>
      </w:rPr>
    </w:lvl>
    <w:lvl w:ilvl="2">
      <w:start w:val="1"/>
      <w:numFmt w:val="lowerRoman"/>
      <w:lvlText w:val="%3."/>
      <w:lvlJc w:val="right"/>
      <w:pPr>
        <w:tabs>
          <w:tab w:val="left" w:pos="2325"/>
        </w:tabs>
        <w:ind w:left="2325" w:hanging="420"/>
      </w:pPr>
      <w:rPr>
        <w:rFonts w:cs="Times New Roman"/>
      </w:rPr>
    </w:lvl>
    <w:lvl w:ilvl="3">
      <w:start w:val="1"/>
      <w:numFmt w:val="decimal"/>
      <w:lvlText w:val="%4."/>
      <w:lvlJc w:val="left"/>
      <w:pPr>
        <w:tabs>
          <w:tab w:val="left" w:pos="2745"/>
        </w:tabs>
        <w:ind w:left="2745" w:hanging="420"/>
      </w:pPr>
      <w:rPr>
        <w:rFonts w:cs="Times New Roman"/>
      </w:rPr>
    </w:lvl>
    <w:lvl w:ilvl="4">
      <w:start w:val="1"/>
      <w:numFmt w:val="lowerLetter"/>
      <w:lvlText w:val="%5)"/>
      <w:lvlJc w:val="left"/>
      <w:pPr>
        <w:tabs>
          <w:tab w:val="left" w:pos="3165"/>
        </w:tabs>
        <w:ind w:left="3165" w:hanging="420"/>
      </w:pPr>
      <w:rPr>
        <w:rFonts w:cs="Times New Roman"/>
      </w:rPr>
    </w:lvl>
    <w:lvl w:ilvl="5">
      <w:start w:val="1"/>
      <w:numFmt w:val="lowerRoman"/>
      <w:lvlText w:val="%6."/>
      <w:lvlJc w:val="right"/>
      <w:pPr>
        <w:tabs>
          <w:tab w:val="left" w:pos="3585"/>
        </w:tabs>
        <w:ind w:left="3585" w:hanging="420"/>
      </w:pPr>
      <w:rPr>
        <w:rFonts w:cs="Times New Roman"/>
      </w:rPr>
    </w:lvl>
    <w:lvl w:ilvl="6">
      <w:start w:val="1"/>
      <w:numFmt w:val="decimal"/>
      <w:lvlText w:val="%7."/>
      <w:lvlJc w:val="left"/>
      <w:pPr>
        <w:tabs>
          <w:tab w:val="left" w:pos="4005"/>
        </w:tabs>
        <w:ind w:left="4005" w:hanging="420"/>
      </w:pPr>
      <w:rPr>
        <w:rFonts w:cs="Times New Roman"/>
      </w:rPr>
    </w:lvl>
    <w:lvl w:ilvl="7">
      <w:start w:val="1"/>
      <w:numFmt w:val="lowerLetter"/>
      <w:lvlText w:val="%8)"/>
      <w:lvlJc w:val="left"/>
      <w:pPr>
        <w:tabs>
          <w:tab w:val="left" w:pos="4425"/>
        </w:tabs>
        <w:ind w:left="4425" w:hanging="420"/>
      </w:pPr>
      <w:rPr>
        <w:rFonts w:cs="Times New Roman"/>
      </w:rPr>
    </w:lvl>
    <w:lvl w:ilvl="8">
      <w:start w:val="1"/>
      <w:numFmt w:val="lowerRoman"/>
      <w:lvlText w:val="%9."/>
      <w:lvlJc w:val="right"/>
      <w:pPr>
        <w:tabs>
          <w:tab w:val="left" w:pos="4845"/>
        </w:tabs>
        <w:ind w:left="4845" w:hanging="420"/>
      </w:pPr>
      <w:rPr>
        <w:rFonts w:cs="Times New Roman"/>
      </w:rPr>
    </w:lvl>
  </w:abstractNum>
  <w:abstractNum w:abstractNumId="44">
    <w:nsid w:val="0000002D"/>
    <w:multiLevelType w:val="multilevel"/>
    <w:tmpl w:val="0000002D"/>
    <w:lvl w:ilvl="0">
      <w:start w:val="1"/>
      <w:numFmt w:val="decimal"/>
      <w:lvlText w:val="%1."/>
      <w:lvlJc w:val="left"/>
      <w:pPr>
        <w:tabs>
          <w:tab w:val="left" w:pos="1425"/>
        </w:tabs>
        <w:ind w:left="1425" w:hanging="360"/>
      </w:pPr>
      <w:rPr>
        <w:rFonts w:cs="Times New Roman" w:hint="default"/>
      </w:rPr>
    </w:lvl>
    <w:lvl w:ilvl="1">
      <w:start w:val="1"/>
      <w:numFmt w:val="lowerLetter"/>
      <w:lvlText w:val="%2)"/>
      <w:lvlJc w:val="left"/>
      <w:pPr>
        <w:tabs>
          <w:tab w:val="left" w:pos="1905"/>
        </w:tabs>
        <w:ind w:left="1905" w:hanging="420"/>
      </w:pPr>
      <w:rPr>
        <w:rFonts w:cs="Times New Roman"/>
      </w:rPr>
    </w:lvl>
    <w:lvl w:ilvl="2">
      <w:start w:val="1"/>
      <w:numFmt w:val="lowerRoman"/>
      <w:lvlText w:val="%3."/>
      <w:lvlJc w:val="right"/>
      <w:pPr>
        <w:tabs>
          <w:tab w:val="left" w:pos="2325"/>
        </w:tabs>
        <w:ind w:left="2325" w:hanging="420"/>
      </w:pPr>
      <w:rPr>
        <w:rFonts w:cs="Times New Roman"/>
      </w:rPr>
    </w:lvl>
    <w:lvl w:ilvl="3">
      <w:start w:val="1"/>
      <w:numFmt w:val="decimal"/>
      <w:lvlText w:val="%4."/>
      <w:lvlJc w:val="left"/>
      <w:pPr>
        <w:tabs>
          <w:tab w:val="left" w:pos="2745"/>
        </w:tabs>
        <w:ind w:left="2745" w:hanging="420"/>
      </w:pPr>
      <w:rPr>
        <w:rFonts w:cs="Times New Roman"/>
      </w:rPr>
    </w:lvl>
    <w:lvl w:ilvl="4">
      <w:start w:val="1"/>
      <w:numFmt w:val="lowerLetter"/>
      <w:lvlText w:val="%5)"/>
      <w:lvlJc w:val="left"/>
      <w:pPr>
        <w:tabs>
          <w:tab w:val="left" w:pos="3165"/>
        </w:tabs>
        <w:ind w:left="3165" w:hanging="420"/>
      </w:pPr>
      <w:rPr>
        <w:rFonts w:cs="Times New Roman"/>
      </w:rPr>
    </w:lvl>
    <w:lvl w:ilvl="5">
      <w:start w:val="1"/>
      <w:numFmt w:val="lowerRoman"/>
      <w:lvlText w:val="%6."/>
      <w:lvlJc w:val="right"/>
      <w:pPr>
        <w:tabs>
          <w:tab w:val="left" w:pos="3585"/>
        </w:tabs>
        <w:ind w:left="3585" w:hanging="420"/>
      </w:pPr>
      <w:rPr>
        <w:rFonts w:cs="Times New Roman"/>
      </w:rPr>
    </w:lvl>
    <w:lvl w:ilvl="6">
      <w:start w:val="1"/>
      <w:numFmt w:val="decimal"/>
      <w:lvlText w:val="%7."/>
      <w:lvlJc w:val="left"/>
      <w:pPr>
        <w:tabs>
          <w:tab w:val="left" w:pos="4005"/>
        </w:tabs>
        <w:ind w:left="4005" w:hanging="420"/>
      </w:pPr>
      <w:rPr>
        <w:rFonts w:cs="Times New Roman"/>
      </w:rPr>
    </w:lvl>
    <w:lvl w:ilvl="7">
      <w:start w:val="1"/>
      <w:numFmt w:val="lowerLetter"/>
      <w:lvlText w:val="%8)"/>
      <w:lvlJc w:val="left"/>
      <w:pPr>
        <w:tabs>
          <w:tab w:val="left" w:pos="4425"/>
        </w:tabs>
        <w:ind w:left="4425" w:hanging="420"/>
      </w:pPr>
      <w:rPr>
        <w:rFonts w:cs="Times New Roman"/>
      </w:rPr>
    </w:lvl>
    <w:lvl w:ilvl="8">
      <w:start w:val="1"/>
      <w:numFmt w:val="lowerRoman"/>
      <w:lvlText w:val="%9."/>
      <w:lvlJc w:val="right"/>
      <w:pPr>
        <w:tabs>
          <w:tab w:val="left" w:pos="4845"/>
        </w:tabs>
        <w:ind w:left="4845" w:hanging="420"/>
      </w:pPr>
      <w:rPr>
        <w:rFonts w:cs="Times New Roman"/>
      </w:rPr>
    </w:lvl>
  </w:abstractNum>
  <w:abstractNum w:abstractNumId="45">
    <w:nsid w:val="0000002E"/>
    <w:multiLevelType w:val="multilevel"/>
    <w:tmpl w:val="0000002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
    <w:nsid w:val="0000002F"/>
    <w:multiLevelType w:val="multilevel"/>
    <w:tmpl w:val="0000002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7">
    <w:nsid w:val="00000030"/>
    <w:multiLevelType w:val="multilevel"/>
    <w:tmpl w:val="0000003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8">
    <w:nsid w:val="00000034"/>
    <w:multiLevelType w:val="multilevel"/>
    <w:tmpl w:val="00000034"/>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
    <w:nsid w:val="00000037"/>
    <w:multiLevelType w:val="multilevel"/>
    <w:tmpl w:val="00000037"/>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
    <w:nsid w:val="00000123"/>
    <w:multiLevelType w:val="multilevel"/>
    <w:tmpl w:val="00000123"/>
    <w:lvl w:ilvl="0">
      <w:start w:val="1"/>
      <w:numFmt w:val="chineseCounting"/>
      <w:lvlText w:val="%1."/>
      <w:lvlJc w:val="left"/>
      <w:rPr>
        <w:rFonts w:cs="Times New Roman" w:hint="default"/>
        <w:position w:val="0"/>
      </w:rPr>
    </w:lvl>
    <w:lvl w:ilvl="1">
      <w:start w:val="1"/>
      <w:numFmt w:val="chineseCounting"/>
      <w:lvlText w:val="%1.%2."/>
      <w:lvlJc w:val="left"/>
      <w:rPr>
        <w:rFonts w:cs="Times New Roman" w:hint="default"/>
        <w:position w:val="0"/>
      </w:rPr>
    </w:lvl>
    <w:lvl w:ilvl="2">
      <w:start w:val="1"/>
      <w:numFmt w:val="chineseCounting"/>
      <w:lvlText w:val="%3."/>
      <w:lvlJc w:val="left"/>
      <w:rPr>
        <w:rFonts w:cs="Times New Roman" w:hint="default"/>
        <w:position w:val="0"/>
      </w:rPr>
    </w:lvl>
    <w:lvl w:ilvl="3">
      <w:start w:val="1"/>
      <w:numFmt w:val="chineseCounting"/>
      <w:lvlText w:val="%4."/>
      <w:lvlJc w:val="left"/>
      <w:rPr>
        <w:rFonts w:cs="Times New Roman" w:hint="default"/>
        <w:position w:val="0"/>
      </w:rPr>
    </w:lvl>
    <w:lvl w:ilvl="4">
      <w:start w:val="1"/>
      <w:numFmt w:val="chineseCounting"/>
      <w:lvlText w:val="%5."/>
      <w:lvlJc w:val="left"/>
      <w:rPr>
        <w:rFonts w:cs="Times New Roman" w:hint="default"/>
        <w:position w:val="0"/>
      </w:rPr>
    </w:lvl>
    <w:lvl w:ilvl="5">
      <w:start w:val="1"/>
      <w:numFmt w:val="chineseCounting"/>
      <w:lvlText w:val="%6."/>
      <w:lvlJc w:val="left"/>
      <w:rPr>
        <w:rFonts w:cs="Times New Roman" w:hint="default"/>
        <w:position w:val="0"/>
      </w:rPr>
    </w:lvl>
    <w:lvl w:ilvl="6">
      <w:start w:val="1"/>
      <w:numFmt w:val="chineseCounting"/>
      <w:lvlText w:val="%7."/>
      <w:lvlJc w:val="left"/>
      <w:rPr>
        <w:rFonts w:cs="Times New Roman" w:hint="default"/>
        <w:position w:val="0"/>
      </w:rPr>
    </w:lvl>
    <w:lvl w:ilvl="7">
      <w:start w:val="1"/>
      <w:numFmt w:val="chineseCounting"/>
      <w:lvlText w:val="%8."/>
      <w:lvlJc w:val="left"/>
      <w:rPr>
        <w:rFonts w:cs="Times New Roman" w:hint="default"/>
        <w:position w:val="0"/>
      </w:rPr>
    </w:lvl>
    <w:lvl w:ilvl="8">
      <w:start w:val="1"/>
      <w:numFmt w:val="chineseCounting"/>
      <w:lvlText w:val="%9."/>
      <w:lvlJc w:val="left"/>
      <w:rPr>
        <w:rFonts w:cs="Times New Roman" w:hint="default"/>
        <w:position w:val="0"/>
      </w:rPr>
    </w:lvl>
  </w:abstractNum>
  <w:abstractNum w:abstractNumId="51">
    <w:nsid w:val="00000129"/>
    <w:multiLevelType w:val="multilevel"/>
    <w:tmpl w:val="00000129"/>
    <w:lvl w:ilvl="0">
      <w:start w:val="1"/>
      <w:numFmt w:val="ideographDigital"/>
      <w:lvlText w:val="%1."/>
      <w:lvlJc w:val="left"/>
      <w:rPr>
        <w:rFonts w:cs="Times New Roman" w:hint="default"/>
        <w:position w:val="0"/>
      </w:rPr>
    </w:lvl>
    <w:lvl w:ilvl="1">
      <w:start w:val="1"/>
      <w:numFmt w:val="ideographDigital"/>
      <w:lvlText w:val="%2."/>
      <w:lvlJc w:val="left"/>
      <w:rPr>
        <w:rFonts w:cs="Times New Roman" w:hint="default"/>
        <w:position w:val="0"/>
      </w:rPr>
    </w:lvl>
    <w:lvl w:ilvl="2">
      <w:start w:val="1"/>
      <w:numFmt w:val="ideographDigital"/>
      <w:lvlText w:val="%3."/>
      <w:lvlJc w:val="left"/>
      <w:rPr>
        <w:rFonts w:cs="Times New Roman" w:hint="default"/>
        <w:position w:val="0"/>
      </w:rPr>
    </w:lvl>
    <w:lvl w:ilvl="3">
      <w:start w:val="1"/>
      <w:numFmt w:val="decimal"/>
      <w:lvlText w:val="%4."/>
      <w:lvlJc w:val="left"/>
      <w:rPr>
        <w:rFonts w:cs="Times New Roman" w:hint="default"/>
        <w:position w:val="0"/>
      </w:rPr>
    </w:lvl>
    <w:lvl w:ilvl="4">
      <w:start w:val="1"/>
      <w:numFmt w:val="lowerLetter"/>
      <w:lvlText w:val="%5)"/>
      <w:lvlJc w:val="left"/>
      <w:rPr>
        <w:rFonts w:cs="Times New Roman" w:hint="default"/>
        <w:position w:val="0"/>
      </w:rPr>
    </w:lvl>
    <w:lvl w:ilvl="5">
      <w:start w:val="1"/>
      <w:numFmt w:val="lowerRoman"/>
      <w:lvlText w:val="%6."/>
      <w:lvlJc w:val="left"/>
      <w:rPr>
        <w:rFonts w:cs="Times New Roman" w:hint="default"/>
        <w:position w:val="0"/>
      </w:rPr>
    </w:lvl>
    <w:lvl w:ilvl="6">
      <w:start w:val="1"/>
      <w:numFmt w:val="decimal"/>
      <w:lvlText w:val="%7."/>
      <w:lvlJc w:val="left"/>
      <w:rPr>
        <w:rFonts w:cs="Times New Roman" w:hint="default"/>
        <w:position w:val="0"/>
      </w:rPr>
    </w:lvl>
    <w:lvl w:ilvl="7">
      <w:start w:val="1"/>
      <w:numFmt w:val="lowerLetter"/>
      <w:lvlText w:val="%8)"/>
      <w:lvlJc w:val="left"/>
      <w:rPr>
        <w:rFonts w:cs="Times New Roman" w:hint="default"/>
        <w:position w:val="0"/>
      </w:rPr>
    </w:lvl>
    <w:lvl w:ilvl="8">
      <w:start w:val="1"/>
      <w:numFmt w:val="lowerRoman"/>
      <w:lvlText w:val="%9."/>
      <w:lvlJc w:val="left"/>
      <w:rPr>
        <w:rFonts w:cs="Times New Roman" w:hint="default"/>
        <w:position w:val="0"/>
      </w:rPr>
    </w:lvl>
  </w:abstractNum>
  <w:abstractNum w:abstractNumId="52">
    <w:nsid w:val="0000012C"/>
    <w:multiLevelType w:val="multilevel"/>
    <w:tmpl w:val="0000012C"/>
    <w:lvl w:ilvl="0">
      <w:start w:val="1"/>
      <w:numFmt w:val="ideographDigital"/>
      <w:lvlText w:val="%1."/>
      <w:lvlJc w:val="left"/>
      <w:rPr>
        <w:rFonts w:cs="Times New Roman" w:hint="default"/>
        <w:position w:val="0"/>
      </w:rPr>
    </w:lvl>
    <w:lvl w:ilvl="1">
      <w:start w:val="1"/>
      <w:numFmt w:val="lowerLetter"/>
      <w:lvlText w:val="%2)"/>
      <w:lvlJc w:val="left"/>
      <w:rPr>
        <w:rFonts w:cs="Times New Roman" w:hint="default"/>
        <w:position w:val="0"/>
      </w:rPr>
    </w:lvl>
    <w:lvl w:ilvl="2">
      <w:start w:val="1"/>
      <w:numFmt w:val="lowerRoman"/>
      <w:lvlText w:val="%3."/>
      <w:lvlJc w:val="left"/>
      <w:rPr>
        <w:rFonts w:cs="Times New Roman" w:hint="default"/>
        <w:position w:val="0"/>
      </w:rPr>
    </w:lvl>
    <w:lvl w:ilvl="3">
      <w:start w:val="1"/>
      <w:numFmt w:val="decimal"/>
      <w:lvlText w:val="%4."/>
      <w:lvlJc w:val="left"/>
      <w:rPr>
        <w:rFonts w:cs="Times New Roman" w:hint="default"/>
        <w:position w:val="0"/>
      </w:rPr>
    </w:lvl>
    <w:lvl w:ilvl="4">
      <w:start w:val="1"/>
      <w:numFmt w:val="lowerLetter"/>
      <w:lvlText w:val="%5)"/>
      <w:lvlJc w:val="left"/>
      <w:rPr>
        <w:rFonts w:cs="Times New Roman" w:hint="default"/>
        <w:position w:val="0"/>
      </w:rPr>
    </w:lvl>
    <w:lvl w:ilvl="5">
      <w:start w:val="1"/>
      <w:numFmt w:val="lowerRoman"/>
      <w:lvlText w:val="%6."/>
      <w:lvlJc w:val="left"/>
      <w:rPr>
        <w:rFonts w:cs="Times New Roman" w:hint="default"/>
        <w:position w:val="0"/>
      </w:rPr>
    </w:lvl>
    <w:lvl w:ilvl="6">
      <w:start w:val="1"/>
      <w:numFmt w:val="decimal"/>
      <w:lvlText w:val="%7."/>
      <w:lvlJc w:val="left"/>
      <w:rPr>
        <w:rFonts w:cs="Times New Roman" w:hint="default"/>
        <w:position w:val="0"/>
      </w:rPr>
    </w:lvl>
    <w:lvl w:ilvl="7">
      <w:start w:val="1"/>
      <w:numFmt w:val="lowerLetter"/>
      <w:lvlText w:val="%8)"/>
      <w:lvlJc w:val="left"/>
      <w:rPr>
        <w:rFonts w:cs="Times New Roman" w:hint="default"/>
        <w:position w:val="0"/>
      </w:rPr>
    </w:lvl>
    <w:lvl w:ilvl="8">
      <w:start w:val="1"/>
      <w:numFmt w:val="lowerRoman"/>
      <w:lvlText w:val="%9."/>
      <w:lvlJc w:val="left"/>
      <w:rPr>
        <w:rFonts w:cs="Times New Roman" w:hint="default"/>
        <w:position w:val="0"/>
      </w:rPr>
    </w:lvl>
  </w:abstractNum>
  <w:abstractNum w:abstractNumId="53">
    <w:nsid w:val="00000130"/>
    <w:multiLevelType w:val="multilevel"/>
    <w:tmpl w:val="00000130"/>
    <w:lvl w:ilvl="0">
      <w:start w:val="1"/>
      <w:numFmt w:val="decimal"/>
      <w:lvlText w:val="%1."/>
      <w:lvlJc w:val="left"/>
      <w:pPr>
        <w:tabs>
          <w:tab w:val="left" w:pos="89"/>
        </w:tabs>
        <w:ind w:left="89" w:hanging="89"/>
      </w:pPr>
      <w:rPr>
        <w:rFonts w:ascii="Times Roman" w:eastAsia="Times New Roman" w:hAnsi="Times Roman" w:cs="Times Roman" w:hint="default"/>
        <w:caps w:val="0"/>
        <w:smallCaps w:val="0"/>
        <w:strike w:val="0"/>
        <w:dstrike w:val="0"/>
        <w:outline w:val="0"/>
        <w:color w:val="000000"/>
        <w:spacing w:val="0"/>
        <w:kern w:val="2"/>
        <w:position w:val="0"/>
        <w:sz w:val="21"/>
        <w:szCs w:val="21"/>
        <w:u w:val="none" w:color="000000"/>
        <w:vertAlign w:val="baseline"/>
      </w:rPr>
    </w:lvl>
    <w:lvl w:ilvl="1">
      <w:start w:val="1"/>
      <w:numFmt w:val="decimal"/>
      <w:lvlText w:val="%1.%2."/>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2">
      <w:start w:val="1"/>
      <w:numFmt w:val="decimal"/>
      <w:lvlText w:val="%3."/>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3">
      <w:start w:val="1"/>
      <w:numFmt w:val="decimal"/>
      <w:lvlText w:val="%4."/>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4">
      <w:start w:val="1"/>
      <w:numFmt w:val="decimal"/>
      <w:lvlText w:val="%5."/>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5">
      <w:start w:val="1"/>
      <w:numFmt w:val="decimal"/>
      <w:lvlText w:val="%6."/>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6">
      <w:start w:val="1"/>
      <w:numFmt w:val="decimal"/>
      <w:lvlText w:val="%7."/>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7">
      <w:start w:val="1"/>
      <w:numFmt w:val="decimal"/>
      <w:lvlText w:val="%8."/>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8">
      <w:start w:val="1"/>
      <w:numFmt w:val="decimal"/>
      <w:lvlText w:val="%9."/>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abstractNum>
  <w:abstractNum w:abstractNumId="54">
    <w:nsid w:val="00000133"/>
    <w:multiLevelType w:val="multilevel"/>
    <w:tmpl w:val="00000133"/>
    <w:lvl w:ilvl="0">
      <w:start w:val="3"/>
      <w:numFmt w:val="chineseCounting"/>
      <w:lvlText w:val="%1."/>
      <w:lvlJc w:val="left"/>
      <w:pPr>
        <w:tabs>
          <w:tab w:val="left" w:pos="89"/>
        </w:tabs>
        <w:ind w:left="89" w:hanging="89"/>
      </w:pPr>
      <w:rPr>
        <w:rFonts w:ascii="Times Roman" w:eastAsia="Times New Roman" w:hAnsi="Times Roman" w:cs="Times Roman" w:hint="default"/>
        <w:caps w:val="0"/>
        <w:smallCaps w:val="0"/>
        <w:strike w:val="0"/>
        <w:dstrike w:val="0"/>
        <w:outline w:val="0"/>
        <w:color w:val="000000"/>
        <w:spacing w:val="0"/>
        <w:kern w:val="2"/>
        <w:position w:val="0"/>
        <w:sz w:val="21"/>
        <w:szCs w:val="21"/>
        <w:u w:val="none" w:color="000000"/>
        <w:vertAlign w:val="baseline"/>
      </w:rPr>
    </w:lvl>
    <w:lvl w:ilvl="1">
      <w:start w:val="1"/>
      <w:numFmt w:val="chineseCounting"/>
      <w:lvlText w:val="%1.%2."/>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2">
      <w:start w:val="1"/>
      <w:numFmt w:val="chineseCounting"/>
      <w:lvlText w:val="%3."/>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3">
      <w:start w:val="1"/>
      <w:numFmt w:val="chineseCounting"/>
      <w:lvlText w:val="%4."/>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4">
      <w:start w:val="1"/>
      <w:numFmt w:val="chineseCounting"/>
      <w:lvlText w:val="%5."/>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5">
      <w:start w:val="1"/>
      <w:numFmt w:val="chineseCounting"/>
      <w:lvlText w:val="%6."/>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6">
      <w:start w:val="1"/>
      <w:numFmt w:val="chineseCounting"/>
      <w:lvlText w:val="%7."/>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7">
      <w:start w:val="1"/>
      <w:numFmt w:val="chineseCounting"/>
      <w:lvlText w:val="%8."/>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8">
      <w:start w:val="1"/>
      <w:numFmt w:val="chineseCounting"/>
      <w:lvlText w:val="%9."/>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abstractNum>
  <w:abstractNum w:abstractNumId="55">
    <w:nsid w:val="00000136"/>
    <w:multiLevelType w:val="multilevel"/>
    <w:tmpl w:val="00000136"/>
    <w:lvl w:ilvl="0">
      <w:start w:val="5"/>
      <w:numFmt w:val="chineseCounting"/>
      <w:lvlText w:val="%1."/>
      <w:lvlJc w:val="left"/>
      <w:pPr>
        <w:tabs>
          <w:tab w:val="left" w:pos="89"/>
        </w:tabs>
        <w:ind w:left="89" w:hanging="89"/>
      </w:pPr>
      <w:rPr>
        <w:rFonts w:ascii="Times Roman" w:eastAsia="Times New Roman" w:hAnsi="Times Roman" w:cs="Times Roman" w:hint="default"/>
        <w:caps w:val="0"/>
        <w:smallCaps w:val="0"/>
        <w:strike w:val="0"/>
        <w:dstrike w:val="0"/>
        <w:outline w:val="0"/>
        <w:color w:val="000000"/>
        <w:spacing w:val="0"/>
        <w:kern w:val="2"/>
        <w:position w:val="0"/>
        <w:sz w:val="21"/>
        <w:szCs w:val="21"/>
        <w:u w:val="none" w:color="000000"/>
        <w:vertAlign w:val="baseline"/>
      </w:rPr>
    </w:lvl>
    <w:lvl w:ilvl="1">
      <w:start w:val="1"/>
      <w:numFmt w:val="chineseCounting"/>
      <w:lvlText w:val="%1.%2."/>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2">
      <w:start w:val="1"/>
      <w:numFmt w:val="chineseCounting"/>
      <w:lvlText w:val="%3."/>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3">
      <w:start w:val="1"/>
      <w:numFmt w:val="chineseCounting"/>
      <w:lvlText w:val="%4."/>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4">
      <w:start w:val="1"/>
      <w:numFmt w:val="chineseCounting"/>
      <w:lvlText w:val="%5."/>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5">
      <w:start w:val="1"/>
      <w:numFmt w:val="chineseCounting"/>
      <w:lvlText w:val="%6."/>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6">
      <w:start w:val="1"/>
      <w:numFmt w:val="chineseCounting"/>
      <w:lvlText w:val="%7."/>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7">
      <w:start w:val="1"/>
      <w:numFmt w:val="chineseCounting"/>
      <w:lvlText w:val="%8."/>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8">
      <w:start w:val="1"/>
      <w:numFmt w:val="chineseCounting"/>
      <w:lvlText w:val="%9."/>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abstractNum>
  <w:abstractNum w:abstractNumId="56">
    <w:nsid w:val="00000138"/>
    <w:multiLevelType w:val="multilevel"/>
    <w:tmpl w:val="00000138"/>
    <w:lvl w:ilvl="0">
      <w:start w:val="1"/>
      <w:numFmt w:val="decimal"/>
      <w:lvlText w:val="%1."/>
      <w:lvlJc w:val="left"/>
      <w:pPr>
        <w:tabs>
          <w:tab w:val="left" w:pos="89"/>
        </w:tabs>
        <w:ind w:left="89" w:hanging="89"/>
      </w:pPr>
      <w:rPr>
        <w:rFonts w:ascii="Times Roman" w:eastAsia="Times New Roman" w:hAnsi="Times Roman" w:cs="Times Roman" w:hint="default"/>
        <w:caps w:val="0"/>
        <w:smallCaps w:val="0"/>
        <w:strike w:val="0"/>
        <w:dstrike w:val="0"/>
        <w:outline w:val="0"/>
        <w:color w:val="000000"/>
        <w:spacing w:val="0"/>
        <w:kern w:val="2"/>
        <w:position w:val="0"/>
        <w:sz w:val="21"/>
        <w:szCs w:val="21"/>
        <w:u w:val="none" w:color="000000"/>
        <w:vertAlign w:val="baseline"/>
      </w:rPr>
    </w:lvl>
    <w:lvl w:ilvl="1">
      <w:start w:val="1"/>
      <w:numFmt w:val="decimal"/>
      <w:lvlText w:val="%1.%2."/>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2">
      <w:start w:val="1"/>
      <w:numFmt w:val="decimal"/>
      <w:lvlText w:val="%3."/>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3">
      <w:start w:val="1"/>
      <w:numFmt w:val="decimal"/>
      <w:lvlText w:val="%4."/>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4">
      <w:start w:val="1"/>
      <w:numFmt w:val="decimal"/>
      <w:lvlText w:val="%5."/>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5">
      <w:start w:val="1"/>
      <w:numFmt w:val="decimal"/>
      <w:lvlText w:val="%6."/>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6">
      <w:start w:val="1"/>
      <w:numFmt w:val="decimal"/>
      <w:lvlText w:val="%7."/>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7">
      <w:start w:val="1"/>
      <w:numFmt w:val="decimal"/>
      <w:lvlText w:val="%8."/>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8">
      <w:start w:val="1"/>
      <w:numFmt w:val="decimal"/>
      <w:lvlText w:val="%9."/>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abstractNum>
  <w:abstractNum w:abstractNumId="57">
    <w:nsid w:val="0000013B"/>
    <w:multiLevelType w:val="multilevel"/>
    <w:tmpl w:val="0000013B"/>
    <w:lvl w:ilvl="0">
      <w:start w:val="1"/>
      <w:numFmt w:val="chineseCounting"/>
      <w:lvlText w:val="%1."/>
      <w:lvlJc w:val="left"/>
      <w:pPr>
        <w:tabs>
          <w:tab w:val="left" w:pos="89"/>
        </w:tabs>
        <w:ind w:left="89" w:hanging="89"/>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1">
      <w:start w:val="1"/>
      <w:numFmt w:val="chineseCounting"/>
      <w:lvlText w:val="%1.%2."/>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2">
      <w:start w:val="1"/>
      <w:numFmt w:val="chineseCounting"/>
      <w:lvlText w:val="%3."/>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3">
      <w:start w:val="1"/>
      <w:numFmt w:val="chineseCounting"/>
      <w:lvlText w:val="%4."/>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4">
      <w:start w:val="1"/>
      <w:numFmt w:val="chineseCounting"/>
      <w:lvlText w:val="%5."/>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5">
      <w:start w:val="1"/>
      <w:numFmt w:val="chineseCounting"/>
      <w:lvlText w:val="%6."/>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6">
      <w:start w:val="1"/>
      <w:numFmt w:val="chineseCounting"/>
      <w:lvlText w:val="%7."/>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7">
      <w:start w:val="1"/>
      <w:numFmt w:val="chineseCounting"/>
      <w:lvlText w:val="%8."/>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lvl w:ilvl="8">
      <w:start w:val="1"/>
      <w:numFmt w:val="chineseCounting"/>
      <w:lvlText w:val="%9."/>
      <w:lvlJc w:val="left"/>
      <w:pPr>
        <w:tabs>
          <w:tab w:val="left" w:pos="91"/>
        </w:tabs>
      </w:pPr>
      <w:rPr>
        <w:rFonts w:ascii="宋体" w:eastAsia="宋体" w:hAnsi="宋体" w:cs="宋体" w:hint="default"/>
        <w:caps w:val="0"/>
        <w:smallCaps w:val="0"/>
        <w:strike w:val="0"/>
        <w:dstrike w:val="0"/>
        <w:outline w:val="0"/>
        <w:color w:val="000000"/>
        <w:spacing w:val="0"/>
        <w:kern w:val="2"/>
        <w:position w:val="0"/>
        <w:sz w:val="21"/>
        <w:szCs w:val="21"/>
        <w:u w:val="none" w:color="000000"/>
        <w:vertAlign w:val="baseline"/>
      </w:rPr>
    </w:lvl>
  </w:abstractNum>
  <w:abstractNum w:abstractNumId="58">
    <w:nsid w:val="00502D42"/>
    <w:multiLevelType w:val="singleLevel"/>
    <w:tmpl w:val="00502D42"/>
    <w:lvl w:ilvl="0">
      <w:start w:val="1"/>
      <w:numFmt w:val="decimal"/>
      <w:lvlText w:val="%1."/>
      <w:lvlJc w:val="left"/>
      <w:pPr>
        <w:tabs>
          <w:tab w:val="left" w:pos="1060"/>
        </w:tabs>
        <w:ind w:left="1060" w:hanging="420"/>
      </w:pPr>
      <w:rPr>
        <w:rFonts w:cs="Times New Roman" w:hint="eastAsia"/>
      </w:rPr>
    </w:lvl>
  </w:abstractNum>
  <w:abstractNum w:abstractNumId="59">
    <w:nsid w:val="00696DD3"/>
    <w:multiLevelType w:val="multilevel"/>
    <w:tmpl w:val="00696DD3"/>
    <w:lvl w:ilvl="0">
      <w:start w:val="1"/>
      <w:numFmt w:val="decimal"/>
      <w:lvlText w:val="%1、"/>
      <w:lvlJc w:val="left"/>
      <w:pPr>
        <w:ind w:left="795" w:hanging="360"/>
      </w:pPr>
      <w:rPr>
        <w:rFonts w:cs="Times New Roman" w:hint="default"/>
      </w:rPr>
    </w:lvl>
    <w:lvl w:ilvl="1">
      <w:start w:val="1"/>
      <w:numFmt w:val="lowerLetter"/>
      <w:lvlText w:val="%2)"/>
      <w:lvlJc w:val="left"/>
      <w:pPr>
        <w:ind w:left="1275" w:hanging="420"/>
      </w:pPr>
      <w:rPr>
        <w:rFonts w:cs="Times New Roman"/>
      </w:rPr>
    </w:lvl>
    <w:lvl w:ilvl="2">
      <w:start w:val="1"/>
      <w:numFmt w:val="lowerRoman"/>
      <w:lvlText w:val="%3."/>
      <w:lvlJc w:val="right"/>
      <w:pPr>
        <w:ind w:left="1695" w:hanging="420"/>
      </w:pPr>
      <w:rPr>
        <w:rFonts w:cs="Times New Roman"/>
      </w:rPr>
    </w:lvl>
    <w:lvl w:ilvl="3">
      <w:start w:val="1"/>
      <w:numFmt w:val="decimal"/>
      <w:lvlText w:val="%4."/>
      <w:lvlJc w:val="left"/>
      <w:pPr>
        <w:ind w:left="2115" w:hanging="420"/>
      </w:pPr>
      <w:rPr>
        <w:rFonts w:cs="Times New Roman"/>
      </w:rPr>
    </w:lvl>
    <w:lvl w:ilvl="4">
      <w:start w:val="1"/>
      <w:numFmt w:val="lowerLetter"/>
      <w:lvlText w:val="%5)"/>
      <w:lvlJc w:val="left"/>
      <w:pPr>
        <w:ind w:left="2535" w:hanging="420"/>
      </w:pPr>
      <w:rPr>
        <w:rFonts w:cs="Times New Roman"/>
      </w:rPr>
    </w:lvl>
    <w:lvl w:ilvl="5">
      <w:start w:val="1"/>
      <w:numFmt w:val="lowerRoman"/>
      <w:lvlText w:val="%6."/>
      <w:lvlJc w:val="right"/>
      <w:pPr>
        <w:ind w:left="2955" w:hanging="420"/>
      </w:pPr>
      <w:rPr>
        <w:rFonts w:cs="Times New Roman"/>
      </w:rPr>
    </w:lvl>
    <w:lvl w:ilvl="6">
      <w:start w:val="1"/>
      <w:numFmt w:val="decimal"/>
      <w:lvlText w:val="%7."/>
      <w:lvlJc w:val="left"/>
      <w:pPr>
        <w:ind w:left="3375" w:hanging="420"/>
      </w:pPr>
      <w:rPr>
        <w:rFonts w:cs="Times New Roman"/>
      </w:rPr>
    </w:lvl>
    <w:lvl w:ilvl="7">
      <w:start w:val="1"/>
      <w:numFmt w:val="lowerLetter"/>
      <w:lvlText w:val="%8)"/>
      <w:lvlJc w:val="left"/>
      <w:pPr>
        <w:ind w:left="3795" w:hanging="420"/>
      </w:pPr>
      <w:rPr>
        <w:rFonts w:cs="Times New Roman"/>
      </w:rPr>
    </w:lvl>
    <w:lvl w:ilvl="8">
      <w:start w:val="1"/>
      <w:numFmt w:val="lowerRoman"/>
      <w:lvlText w:val="%9."/>
      <w:lvlJc w:val="right"/>
      <w:pPr>
        <w:ind w:left="4215" w:hanging="420"/>
      </w:pPr>
      <w:rPr>
        <w:rFonts w:cs="Times New Roman"/>
      </w:rPr>
    </w:lvl>
  </w:abstractNum>
  <w:abstractNum w:abstractNumId="60">
    <w:nsid w:val="009B64B2"/>
    <w:multiLevelType w:val="multilevel"/>
    <w:tmpl w:val="009B64B2"/>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1">
    <w:nsid w:val="00A13DA5"/>
    <w:multiLevelType w:val="multilevel"/>
    <w:tmpl w:val="00A13DA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2">
    <w:nsid w:val="00AE30F2"/>
    <w:multiLevelType w:val="multilevel"/>
    <w:tmpl w:val="00AE30F2"/>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63">
    <w:nsid w:val="00C07ECF"/>
    <w:multiLevelType w:val="multilevel"/>
    <w:tmpl w:val="00C07EC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4">
    <w:nsid w:val="00C83879"/>
    <w:multiLevelType w:val="multilevel"/>
    <w:tmpl w:val="00C83879"/>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5">
    <w:nsid w:val="00D51AF6"/>
    <w:multiLevelType w:val="multilevel"/>
    <w:tmpl w:val="00D51AF6"/>
    <w:lvl w:ilvl="0">
      <w:start w:val="1"/>
      <w:numFmt w:val="japaneseCounting"/>
      <w:lvlText w:val="第%1节"/>
      <w:lvlJc w:val="left"/>
      <w:pPr>
        <w:tabs>
          <w:tab w:val="left" w:pos="990"/>
        </w:tabs>
        <w:ind w:left="990" w:hanging="99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6">
    <w:nsid w:val="00E33554"/>
    <w:multiLevelType w:val="singleLevel"/>
    <w:tmpl w:val="00E33554"/>
    <w:lvl w:ilvl="0">
      <w:start w:val="1"/>
      <w:numFmt w:val="decimal"/>
      <w:lvlText w:val="%1."/>
      <w:lvlJc w:val="left"/>
      <w:pPr>
        <w:tabs>
          <w:tab w:val="left" w:pos="1060"/>
        </w:tabs>
        <w:ind w:left="1060" w:hanging="420"/>
      </w:pPr>
      <w:rPr>
        <w:rFonts w:cs="Times New Roman" w:hint="eastAsia"/>
      </w:rPr>
    </w:lvl>
  </w:abstractNum>
  <w:abstractNum w:abstractNumId="67">
    <w:nsid w:val="013B6D21"/>
    <w:multiLevelType w:val="multilevel"/>
    <w:tmpl w:val="013B6D21"/>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8">
    <w:nsid w:val="01AB2B52"/>
    <w:multiLevelType w:val="multilevel"/>
    <w:tmpl w:val="01AB2B52"/>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9">
    <w:nsid w:val="01C334BA"/>
    <w:multiLevelType w:val="multilevel"/>
    <w:tmpl w:val="01C334BA"/>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0">
    <w:nsid w:val="01C45981"/>
    <w:multiLevelType w:val="multilevel"/>
    <w:tmpl w:val="01C45981"/>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1">
    <w:nsid w:val="01C4760F"/>
    <w:multiLevelType w:val="multilevel"/>
    <w:tmpl w:val="01C4760F"/>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2">
    <w:nsid w:val="022D2B52"/>
    <w:multiLevelType w:val="multilevel"/>
    <w:tmpl w:val="022D2B52"/>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3">
    <w:nsid w:val="025B1ECB"/>
    <w:multiLevelType w:val="multilevel"/>
    <w:tmpl w:val="025B1ECB"/>
    <w:lvl w:ilvl="0">
      <w:start w:val="1"/>
      <w:numFmt w:val="decimal"/>
      <w:lvlText w:val="%1."/>
      <w:lvlJc w:val="left"/>
      <w:pPr>
        <w:ind w:left="1140" w:hanging="420"/>
      </w:pPr>
      <w:rPr>
        <w:rFonts w:cs="Times New Roman"/>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74">
    <w:nsid w:val="02DF46A0"/>
    <w:multiLevelType w:val="multilevel"/>
    <w:tmpl w:val="02DF46A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5">
    <w:nsid w:val="038C4865"/>
    <w:multiLevelType w:val="multilevel"/>
    <w:tmpl w:val="038C486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6">
    <w:nsid w:val="039F0A02"/>
    <w:multiLevelType w:val="multilevel"/>
    <w:tmpl w:val="039F0A02"/>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7">
    <w:nsid w:val="03DC3C48"/>
    <w:multiLevelType w:val="multilevel"/>
    <w:tmpl w:val="03DC3C48"/>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8">
    <w:nsid w:val="03E33EE5"/>
    <w:multiLevelType w:val="multilevel"/>
    <w:tmpl w:val="03E33EE5"/>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9">
    <w:nsid w:val="04043297"/>
    <w:multiLevelType w:val="multilevel"/>
    <w:tmpl w:val="0404329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0">
    <w:nsid w:val="049C0821"/>
    <w:multiLevelType w:val="multilevel"/>
    <w:tmpl w:val="049C0821"/>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1">
    <w:nsid w:val="05222C04"/>
    <w:multiLevelType w:val="multilevel"/>
    <w:tmpl w:val="05222C04"/>
    <w:lvl w:ilvl="0">
      <w:start w:val="1"/>
      <w:numFmt w:val="decimal"/>
      <w:lvlText w:val="%1."/>
      <w:lvlJc w:val="left"/>
      <w:pPr>
        <w:tabs>
          <w:tab w:val="left" w:pos="1215"/>
        </w:tabs>
        <w:ind w:left="1215" w:hanging="360"/>
      </w:pPr>
      <w:rPr>
        <w:rFonts w:cs="Times New Roman" w:hint="default"/>
      </w:rPr>
    </w:lvl>
    <w:lvl w:ilvl="1">
      <w:start w:val="1"/>
      <w:numFmt w:val="lowerLetter"/>
      <w:lvlText w:val="%2)"/>
      <w:lvlJc w:val="left"/>
      <w:pPr>
        <w:tabs>
          <w:tab w:val="left" w:pos="1695"/>
        </w:tabs>
        <w:ind w:left="1695" w:hanging="420"/>
      </w:pPr>
      <w:rPr>
        <w:rFonts w:cs="Times New Roman"/>
      </w:rPr>
    </w:lvl>
    <w:lvl w:ilvl="2">
      <w:start w:val="1"/>
      <w:numFmt w:val="lowerRoman"/>
      <w:lvlText w:val="%3."/>
      <w:lvlJc w:val="right"/>
      <w:pPr>
        <w:tabs>
          <w:tab w:val="left" w:pos="2115"/>
        </w:tabs>
        <w:ind w:left="2115" w:hanging="420"/>
      </w:pPr>
      <w:rPr>
        <w:rFonts w:cs="Times New Roman"/>
      </w:rPr>
    </w:lvl>
    <w:lvl w:ilvl="3">
      <w:start w:val="1"/>
      <w:numFmt w:val="decimal"/>
      <w:lvlText w:val="%4."/>
      <w:lvlJc w:val="left"/>
      <w:pPr>
        <w:tabs>
          <w:tab w:val="left" w:pos="2535"/>
        </w:tabs>
        <w:ind w:left="2535" w:hanging="420"/>
      </w:pPr>
      <w:rPr>
        <w:rFonts w:cs="Times New Roman"/>
      </w:rPr>
    </w:lvl>
    <w:lvl w:ilvl="4">
      <w:start w:val="1"/>
      <w:numFmt w:val="lowerLetter"/>
      <w:lvlText w:val="%5)"/>
      <w:lvlJc w:val="left"/>
      <w:pPr>
        <w:tabs>
          <w:tab w:val="left" w:pos="2955"/>
        </w:tabs>
        <w:ind w:left="2955" w:hanging="420"/>
      </w:pPr>
      <w:rPr>
        <w:rFonts w:cs="Times New Roman"/>
      </w:rPr>
    </w:lvl>
    <w:lvl w:ilvl="5">
      <w:start w:val="1"/>
      <w:numFmt w:val="lowerRoman"/>
      <w:lvlText w:val="%6."/>
      <w:lvlJc w:val="right"/>
      <w:pPr>
        <w:tabs>
          <w:tab w:val="left" w:pos="3375"/>
        </w:tabs>
        <w:ind w:left="3375" w:hanging="420"/>
      </w:pPr>
      <w:rPr>
        <w:rFonts w:cs="Times New Roman"/>
      </w:rPr>
    </w:lvl>
    <w:lvl w:ilvl="6">
      <w:start w:val="1"/>
      <w:numFmt w:val="decimal"/>
      <w:lvlText w:val="%7."/>
      <w:lvlJc w:val="left"/>
      <w:pPr>
        <w:tabs>
          <w:tab w:val="left" w:pos="3795"/>
        </w:tabs>
        <w:ind w:left="3795" w:hanging="420"/>
      </w:pPr>
      <w:rPr>
        <w:rFonts w:cs="Times New Roman"/>
      </w:rPr>
    </w:lvl>
    <w:lvl w:ilvl="7">
      <w:start w:val="1"/>
      <w:numFmt w:val="lowerLetter"/>
      <w:lvlText w:val="%8)"/>
      <w:lvlJc w:val="left"/>
      <w:pPr>
        <w:tabs>
          <w:tab w:val="left" w:pos="4215"/>
        </w:tabs>
        <w:ind w:left="4215" w:hanging="420"/>
      </w:pPr>
      <w:rPr>
        <w:rFonts w:cs="Times New Roman"/>
      </w:rPr>
    </w:lvl>
    <w:lvl w:ilvl="8">
      <w:start w:val="1"/>
      <w:numFmt w:val="lowerRoman"/>
      <w:lvlText w:val="%9."/>
      <w:lvlJc w:val="right"/>
      <w:pPr>
        <w:tabs>
          <w:tab w:val="left" w:pos="4635"/>
        </w:tabs>
        <w:ind w:left="4635" w:hanging="420"/>
      </w:pPr>
      <w:rPr>
        <w:rFonts w:cs="Times New Roman"/>
      </w:rPr>
    </w:lvl>
  </w:abstractNum>
  <w:abstractNum w:abstractNumId="82">
    <w:nsid w:val="053A4189"/>
    <w:multiLevelType w:val="multilevel"/>
    <w:tmpl w:val="053A4189"/>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3">
    <w:nsid w:val="057B6B20"/>
    <w:multiLevelType w:val="multilevel"/>
    <w:tmpl w:val="057B6B20"/>
    <w:lvl w:ilvl="0">
      <w:start w:val="1"/>
      <w:numFmt w:val="decimal"/>
      <w:lvlText w:val="%1."/>
      <w:lvlJc w:val="left"/>
      <w:pPr>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4">
    <w:nsid w:val="059B4527"/>
    <w:multiLevelType w:val="multilevel"/>
    <w:tmpl w:val="059B4527"/>
    <w:lvl w:ilvl="0">
      <w:start w:val="1"/>
      <w:numFmt w:val="decimal"/>
      <w:lvlText w:val="%1."/>
      <w:lvlJc w:val="left"/>
      <w:pPr>
        <w:tabs>
          <w:tab w:val="left" w:pos="987"/>
        </w:tabs>
        <w:ind w:left="987" w:hanging="420"/>
      </w:pPr>
      <w:rPr>
        <w:rFonts w:cs="Times New Roman" w:hint="eastAsia"/>
      </w:rPr>
    </w:lvl>
    <w:lvl w:ilvl="1">
      <w:start w:val="1"/>
      <w:numFmt w:val="lowerLetter"/>
      <w:lvlText w:val="%2)"/>
      <w:lvlJc w:val="left"/>
      <w:pPr>
        <w:ind w:left="767" w:hanging="420"/>
      </w:pPr>
      <w:rPr>
        <w:rFonts w:cs="Times New Roman"/>
      </w:rPr>
    </w:lvl>
    <w:lvl w:ilvl="2">
      <w:start w:val="1"/>
      <w:numFmt w:val="lowerRoman"/>
      <w:lvlText w:val="%3."/>
      <w:lvlJc w:val="right"/>
      <w:pPr>
        <w:ind w:left="1187" w:hanging="420"/>
      </w:pPr>
      <w:rPr>
        <w:rFonts w:cs="Times New Roman"/>
      </w:rPr>
    </w:lvl>
    <w:lvl w:ilvl="3">
      <w:start w:val="1"/>
      <w:numFmt w:val="decimal"/>
      <w:lvlText w:val="%4."/>
      <w:lvlJc w:val="left"/>
      <w:pPr>
        <w:ind w:left="1607" w:hanging="420"/>
      </w:pPr>
      <w:rPr>
        <w:rFonts w:cs="Times New Roman"/>
      </w:rPr>
    </w:lvl>
    <w:lvl w:ilvl="4">
      <w:start w:val="1"/>
      <w:numFmt w:val="lowerLetter"/>
      <w:lvlText w:val="%5)"/>
      <w:lvlJc w:val="left"/>
      <w:pPr>
        <w:ind w:left="2027" w:hanging="420"/>
      </w:pPr>
      <w:rPr>
        <w:rFonts w:cs="Times New Roman"/>
      </w:rPr>
    </w:lvl>
    <w:lvl w:ilvl="5">
      <w:start w:val="1"/>
      <w:numFmt w:val="lowerRoman"/>
      <w:lvlText w:val="%6."/>
      <w:lvlJc w:val="right"/>
      <w:pPr>
        <w:ind w:left="2447" w:hanging="420"/>
      </w:pPr>
      <w:rPr>
        <w:rFonts w:cs="Times New Roman"/>
      </w:rPr>
    </w:lvl>
    <w:lvl w:ilvl="6">
      <w:start w:val="1"/>
      <w:numFmt w:val="decimal"/>
      <w:lvlText w:val="%7."/>
      <w:lvlJc w:val="left"/>
      <w:pPr>
        <w:ind w:left="2867" w:hanging="420"/>
      </w:pPr>
      <w:rPr>
        <w:rFonts w:cs="Times New Roman"/>
      </w:rPr>
    </w:lvl>
    <w:lvl w:ilvl="7">
      <w:start w:val="1"/>
      <w:numFmt w:val="lowerLetter"/>
      <w:lvlText w:val="%8)"/>
      <w:lvlJc w:val="left"/>
      <w:pPr>
        <w:ind w:left="3287" w:hanging="420"/>
      </w:pPr>
      <w:rPr>
        <w:rFonts w:cs="Times New Roman"/>
      </w:rPr>
    </w:lvl>
    <w:lvl w:ilvl="8">
      <w:start w:val="1"/>
      <w:numFmt w:val="lowerRoman"/>
      <w:lvlText w:val="%9."/>
      <w:lvlJc w:val="right"/>
      <w:pPr>
        <w:ind w:left="3707" w:hanging="420"/>
      </w:pPr>
      <w:rPr>
        <w:rFonts w:cs="Times New Roman"/>
      </w:rPr>
    </w:lvl>
  </w:abstractNum>
  <w:abstractNum w:abstractNumId="85">
    <w:nsid w:val="05FB1786"/>
    <w:multiLevelType w:val="multilevel"/>
    <w:tmpl w:val="05FB178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6">
    <w:nsid w:val="061E5E87"/>
    <w:multiLevelType w:val="multilevel"/>
    <w:tmpl w:val="061E5E87"/>
    <w:lvl w:ilvl="0">
      <w:start w:val="1"/>
      <w:numFmt w:val="decimal"/>
      <w:lvlText w:val="%1."/>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7">
    <w:nsid w:val="0631288A"/>
    <w:multiLevelType w:val="multilevel"/>
    <w:tmpl w:val="0631288A"/>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8">
    <w:nsid w:val="06B62E3B"/>
    <w:multiLevelType w:val="multilevel"/>
    <w:tmpl w:val="06B62E3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9">
    <w:nsid w:val="06DB2990"/>
    <w:multiLevelType w:val="multilevel"/>
    <w:tmpl w:val="06DB2990"/>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0">
    <w:nsid w:val="070320DE"/>
    <w:multiLevelType w:val="multilevel"/>
    <w:tmpl w:val="070320DE"/>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1">
    <w:nsid w:val="07196D30"/>
    <w:multiLevelType w:val="multilevel"/>
    <w:tmpl w:val="07196D30"/>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2">
    <w:nsid w:val="075E5840"/>
    <w:multiLevelType w:val="multilevel"/>
    <w:tmpl w:val="075E5840"/>
    <w:lvl w:ilvl="0">
      <w:start w:val="4"/>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3">
    <w:nsid w:val="07824153"/>
    <w:multiLevelType w:val="multilevel"/>
    <w:tmpl w:val="07824153"/>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4">
    <w:nsid w:val="0784039B"/>
    <w:multiLevelType w:val="multilevel"/>
    <w:tmpl w:val="00000008"/>
    <w:lvl w:ilvl="0">
      <w:start w:val="1"/>
      <w:numFmt w:val="decimal"/>
      <w:lvlText w:val="%1."/>
      <w:lvlJc w:val="left"/>
      <w:pPr>
        <w:tabs>
          <w:tab w:val="left" w:pos="1637"/>
        </w:tabs>
        <w:ind w:left="1637"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5">
    <w:nsid w:val="08135ED7"/>
    <w:multiLevelType w:val="multilevel"/>
    <w:tmpl w:val="08135ED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6">
    <w:nsid w:val="08525BD2"/>
    <w:multiLevelType w:val="multilevel"/>
    <w:tmpl w:val="08525BD2"/>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7">
    <w:nsid w:val="085F4E71"/>
    <w:multiLevelType w:val="multilevel"/>
    <w:tmpl w:val="085F4E71"/>
    <w:lvl w:ilvl="0">
      <w:start w:val="2"/>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8">
    <w:nsid w:val="08706D1C"/>
    <w:multiLevelType w:val="multilevel"/>
    <w:tmpl w:val="08706D1C"/>
    <w:lvl w:ilvl="0">
      <w:start w:val="1"/>
      <w:numFmt w:val="japaneseCounting"/>
      <w:lvlText w:val="第%1节"/>
      <w:lvlJc w:val="left"/>
      <w:pPr>
        <w:tabs>
          <w:tab w:val="left" w:pos="1080"/>
        </w:tabs>
        <w:ind w:left="1080" w:hanging="108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9">
    <w:nsid w:val="08CF0F6F"/>
    <w:multiLevelType w:val="multilevel"/>
    <w:tmpl w:val="08CF0F6F"/>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100">
    <w:nsid w:val="08FF565C"/>
    <w:multiLevelType w:val="multilevel"/>
    <w:tmpl w:val="08FF565C"/>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101">
    <w:nsid w:val="098023DA"/>
    <w:multiLevelType w:val="multilevel"/>
    <w:tmpl w:val="098023DA"/>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2">
    <w:nsid w:val="098E4DF2"/>
    <w:multiLevelType w:val="singleLevel"/>
    <w:tmpl w:val="098E4DF2"/>
    <w:lvl w:ilvl="0">
      <w:start w:val="1"/>
      <w:numFmt w:val="decimal"/>
      <w:lvlText w:val="%1."/>
      <w:lvlJc w:val="left"/>
      <w:pPr>
        <w:tabs>
          <w:tab w:val="left" w:pos="1060"/>
        </w:tabs>
        <w:ind w:left="1060" w:hanging="420"/>
      </w:pPr>
      <w:rPr>
        <w:rFonts w:cs="Times New Roman" w:hint="eastAsia"/>
      </w:rPr>
    </w:lvl>
  </w:abstractNum>
  <w:abstractNum w:abstractNumId="103">
    <w:nsid w:val="09C20108"/>
    <w:multiLevelType w:val="multilevel"/>
    <w:tmpl w:val="09C20108"/>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4">
    <w:nsid w:val="0A854BB1"/>
    <w:multiLevelType w:val="multilevel"/>
    <w:tmpl w:val="0A854BB1"/>
    <w:lvl w:ilvl="0">
      <w:start w:val="1"/>
      <w:numFmt w:val="decimal"/>
      <w:lvlText w:val="%1."/>
      <w:lvlJc w:val="left"/>
      <w:pPr>
        <w:tabs>
          <w:tab w:val="left" w:pos="1129"/>
        </w:tabs>
        <w:ind w:left="1129" w:hanging="420"/>
      </w:pPr>
      <w:rPr>
        <w:rFonts w:cs="Times New Roman"/>
      </w:rPr>
    </w:lvl>
    <w:lvl w:ilvl="1">
      <w:start w:val="1"/>
      <w:numFmt w:val="lowerLetter"/>
      <w:lvlText w:val="%2)"/>
      <w:lvlJc w:val="left"/>
      <w:pPr>
        <w:tabs>
          <w:tab w:val="left" w:pos="1549"/>
        </w:tabs>
        <w:ind w:left="1549" w:hanging="420"/>
      </w:pPr>
      <w:rPr>
        <w:rFonts w:cs="Times New Roman"/>
      </w:rPr>
    </w:lvl>
    <w:lvl w:ilvl="2">
      <w:start w:val="1"/>
      <w:numFmt w:val="lowerRoman"/>
      <w:lvlText w:val="%3."/>
      <w:lvlJc w:val="right"/>
      <w:pPr>
        <w:tabs>
          <w:tab w:val="left" w:pos="1969"/>
        </w:tabs>
        <w:ind w:left="1969" w:hanging="420"/>
      </w:pPr>
      <w:rPr>
        <w:rFonts w:cs="Times New Roman"/>
      </w:rPr>
    </w:lvl>
    <w:lvl w:ilvl="3">
      <w:start w:val="1"/>
      <w:numFmt w:val="decimal"/>
      <w:lvlText w:val="%4."/>
      <w:lvlJc w:val="left"/>
      <w:pPr>
        <w:tabs>
          <w:tab w:val="left" w:pos="2389"/>
        </w:tabs>
        <w:ind w:left="2389" w:hanging="420"/>
      </w:pPr>
      <w:rPr>
        <w:rFonts w:cs="Times New Roman"/>
      </w:rPr>
    </w:lvl>
    <w:lvl w:ilvl="4">
      <w:start w:val="1"/>
      <w:numFmt w:val="lowerLetter"/>
      <w:lvlText w:val="%5)"/>
      <w:lvlJc w:val="left"/>
      <w:pPr>
        <w:tabs>
          <w:tab w:val="left" w:pos="2809"/>
        </w:tabs>
        <w:ind w:left="2809" w:hanging="420"/>
      </w:pPr>
      <w:rPr>
        <w:rFonts w:cs="Times New Roman"/>
      </w:rPr>
    </w:lvl>
    <w:lvl w:ilvl="5">
      <w:start w:val="1"/>
      <w:numFmt w:val="lowerRoman"/>
      <w:lvlText w:val="%6."/>
      <w:lvlJc w:val="right"/>
      <w:pPr>
        <w:tabs>
          <w:tab w:val="left" w:pos="3229"/>
        </w:tabs>
        <w:ind w:left="3229" w:hanging="420"/>
      </w:pPr>
      <w:rPr>
        <w:rFonts w:cs="Times New Roman"/>
      </w:rPr>
    </w:lvl>
    <w:lvl w:ilvl="6">
      <w:start w:val="1"/>
      <w:numFmt w:val="decimal"/>
      <w:lvlText w:val="%7."/>
      <w:lvlJc w:val="left"/>
      <w:pPr>
        <w:tabs>
          <w:tab w:val="left" w:pos="3649"/>
        </w:tabs>
        <w:ind w:left="3649" w:hanging="420"/>
      </w:pPr>
      <w:rPr>
        <w:rFonts w:cs="Times New Roman"/>
      </w:rPr>
    </w:lvl>
    <w:lvl w:ilvl="7">
      <w:start w:val="1"/>
      <w:numFmt w:val="lowerLetter"/>
      <w:lvlText w:val="%8)"/>
      <w:lvlJc w:val="left"/>
      <w:pPr>
        <w:tabs>
          <w:tab w:val="left" w:pos="4069"/>
        </w:tabs>
        <w:ind w:left="4069" w:hanging="420"/>
      </w:pPr>
      <w:rPr>
        <w:rFonts w:cs="Times New Roman"/>
      </w:rPr>
    </w:lvl>
    <w:lvl w:ilvl="8">
      <w:start w:val="1"/>
      <w:numFmt w:val="lowerRoman"/>
      <w:lvlText w:val="%9."/>
      <w:lvlJc w:val="right"/>
      <w:pPr>
        <w:tabs>
          <w:tab w:val="left" w:pos="4489"/>
        </w:tabs>
        <w:ind w:left="4489" w:hanging="420"/>
      </w:pPr>
      <w:rPr>
        <w:rFonts w:cs="Times New Roman"/>
      </w:rPr>
    </w:lvl>
  </w:abstractNum>
  <w:abstractNum w:abstractNumId="105">
    <w:nsid w:val="0B404BBF"/>
    <w:multiLevelType w:val="multilevel"/>
    <w:tmpl w:val="0B404BBF"/>
    <w:lvl w:ilvl="0">
      <w:start w:val="1"/>
      <w:numFmt w:val="upperLetter"/>
      <w:lvlText w:val="%1、"/>
      <w:lvlJc w:val="left"/>
      <w:pPr>
        <w:tabs>
          <w:tab w:val="left" w:pos="405"/>
        </w:tabs>
        <w:ind w:left="405" w:hanging="405"/>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6">
    <w:nsid w:val="0B9753F7"/>
    <w:multiLevelType w:val="multilevel"/>
    <w:tmpl w:val="0B9753F7"/>
    <w:lvl w:ilvl="0">
      <w:start w:val="1"/>
      <w:numFmt w:val="decimal"/>
      <w:lvlText w:val="%1．"/>
      <w:lvlJc w:val="left"/>
      <w:pPr>
        <w:ind w:left="360" w:hanging="360"/>
      </w:pPr>
      <w:rPr>
        <w:rFonts w:cs="Times New Roman" w:hint="default"/>
        <w:b w:val="0"/>
      </w:rPr>
    </w:lvl>
    <w:lvl w:ilvl="1">
      <w:start w:val="1"/>
      <w:numFmt w:val="decimal"/>
      <w:lvlText w:val="%2."/>
      <w:lvlJc w:val="left"/>
      <w:pPr>
        <w:ind w:left="780" w:hanging="36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7">
    <w:nsid w:val="0BF565DB"/>
    <w:multiLevelType w:val="multilevel"/>
    <w:tmpl w:val="0BF565DB"/>
    <w:lvl w:ilvl="0">
      <w:start w:val="1"/>
      <w:numFmt w:val="decimal"/>
      <w:lvlText w:val="%1、"/>
      <w:lvlJc w:val="left"/>
      <w:pPr>
        <w:tabs>
          <w:tab w:val="left" w:pos="570"/>
        </w:tabs>
        <w:ind w:left="570" w:hanging="360"/>
      </w:pPr>
      <w:rPr>
        <w:rFonts w:cs="Times New Roman" w:hint="default"/>
      </w:rPr>
    </w:lvl>
    <w:lvl w:ilvl="1">
      <w:start w:val="1"/>
      <w:numFmt w:val="decimal"/>
      <w:lvlText w:val="%2、"/>
      <w:lvlJc w:val="left"/>
      <w:pPr>
        <w:tabs>
          <w:tab w:val="left" w:pos="720"/>
        </w:tabs>
        <w:ind w:left="720" w:hanging="360"/>
      </w:pPr>
      <w:rPr>
        <w:rFonts w:cs="Times New Roman" w:hint="default"/>
      </w:rPr>
    </w:lvl>
    <w:lvl w:ilvl="2">
      <w:start w:val="1"/>
      <w:numFmt w:val="lowerRoman"/>
      <w:lvlText w:val="%3."/>
      <w:lvlJc w:val="right"/>
      <w:pPr>
        <w:tabs>
          <w:tab w:val="left" w:pos="1470"/>
        </w:tabs>
        <w:ind w:left="1470" w:hanging="420"/>
      </w:pPr>
      <w:rPr>
        <w:rFonts w:cs="Times New Roman"/>
      </w:rPr>
    </w:lvl>
    <w:lvl w:ilvl="3">
      <w:start w:val="1"/>
      <w:numFmt w:val="decimal"/>
      <w:lvlText w:val="%4."/>
      <w:lvlJc w:val="left"/>
      <w:pPr>
        <w:tabs>
          <w:tab w:val="left" w:pos="1890"/>
        </w:tabs>
        <w:ind w:left="1890" w:hanging="420"/>
      </w:pPr>
      <w:rPr>
        <w:rFonts w:cs="Times New Roman"/>
      </w:rPr>
    </w:lvl>
    <w:lvl w:ilvl="4">
      <w:start w:val="1"/>
      <w:numFmt w:val="lowerLetter"/>
      <w:lvlText w:val="%5)"/>
      <w:lvlJc w:val="left"/>
      <w:pPr>
        <w:tabs>
          <w:tab w:val="left" w:pos="2310"/>
        </w:tabs>
        <w:ind w:left="2310" w:hanging="420"/>
      </w:pPr>
      <w:rPr>
        <w:rFonts w:cs="Times New Roman"/>
      </w:rPr>
    </w:lvl>
    <w:lvl w:ilvl="5">
      <w:start w:val="1"/>
      <w:numFmt w:val="lowerRoman"/>
      <w:lvlText w:val="%6."/>
      <w:lvlJc w:val="right"/>
      <w:pPr>
        <w:tabs>
          <w:tab w:val="left" w:pos="2730"/>
        </w:tabs>
        <w:ind w:left="2730" w:hanging="420"/>
      </w:pPr>
      <w:rPr>
        <w:rFonts w:cs="Times New Roman"/>
      </w:rPr>
    </w:lvl>
    <w:lvl w:ilvl="6">
      <w:start w:val="1"/>
      <w:numFmt w:val="decimal"/>
      <w:lvlText w:val="%7."/>
      <w:lvlJc w:val="left"/>
      <w:pPr>
        <w:tabs>
          <w:tab w:val="left" w:pos="3150"/>
        </w:tabs>
        <w:ind w:left="3150" w:hanging="420"/>
      </w:pPr>
      <w:rPr>
        <w:rFonts w:cs="Times New Roman"/>
      </w:rPr>
    </w:lvl>
    <w:lvl w:ilvl="7">
      <w:start w:val="1"/>
      <w:numFmt w:val="lowerLetter"/>
      <w:lvlText w:val="%8)"/>
      <w:lvlJc w:val="left"/>
      <w:pPr>
        <w:tabs>
          <w:tab w:val="left" w:pos="3570"/>
        </w:tabs>
        <w:ind w:left="3570" w:hanging="420"/>
      </w:pPr>
      <w:rPr>
        <w:rFonts w:cs="Times New Roman"/>
      </w:rPr>
    </w:lvl>
    <w:lvl w:ilvl="8">
      <w:start w:val="1"/>
      <w:numFmt w:val="lowerRoman"/>
      <w:lvlText w:val="%9."/>
      <w:lvlJc w:val="right"/>
      <w:pPr>
        <w:tabs>
          <w:tab w:val="left" w:pos="3990"/>
        </w:tabs>
        <w:ind w:left="3990" w:hanging="420"/>
      </w:pPr>
      <w:rPr>
        <w:rFonts w:cs="Times New Roman"/>
      </w:rPr>
    </w:lvl>
  </w:abstractNum>
  <w:abstractNum w:abstractNumId="108">
    <w:nsid w:val="0C195075"/>
    <w:multiLevelType w:val="multilevel"/>
    <w:tmpl w:val="0C195075"/>
    <w:lvl w:ilvl="0">
      <w:start w:val="4"/>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9">
    <w:nsid w:val="0C29361F"/>
    <w:multiLevelType w:val="multilevel"/>
    <w:tmpl w:val="0C29361F"/>
    <w:lvl w:ilvl="0">
      <w:start w:val="1"/>
      <w:numFmt w:val="japaneseCounting"/>
      <w:lvlText w:val="第%1节"/>
      <w:lvlJc w:val="left"/>
      <w:pPr>
        <w:ind w:left="765" w:hanging="76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0">
    <w:nsid w:val="0CA14155"/>
    <w:multiLevelType w:val="multilevel"/>
    <w:tmpl w:val="0CA14155"/>
    <w:lvl w:ilvl="0">
      <w:start w:val="1"/>
      <w:numFmt w:val="decimal"/>
      <w:lvlText w:val="%1、"/>
      <w:lvlJc w:val="left"/>
      <w:pPr>
        <w:tabs>
          <w:tab w:val="left" w:pos="644"/>
        </w:tabs>
        <w:ind w:left="644" w:hanging="360"/>
      </w:pPr>
      <w:rPr>
        <w:rFonts w:cs="Times New Roman" w:hint="default"/>
      </w:rPr>
    </w:lvl>
    <w:lvl w:ilvl="1">
      <w:start w:val="1"/>
      <w:numFmt w:val="lowerLetter"/>
      <w:lvlText w:val="%2)"/>
      <w:lvlJc w:val="left"/>
      <w:pPr>
        <w:tabs>
          <w:tab w:val="left" w:pos="1124"/>
        </w:tabs>
        <w:ind w:left="1124" w:hanging="420"/>
      </w:pPr>
      <w:rPr>
        <w:rFonts w:cs="Times New Roman"/>
      </w:rPr>
    </w:lvl>
    <w:lvl w:ilvl="2">
      <w:start w:val="1"/>
      <w:numFmt w:val="lowerRoman"/>
      <w:lvlText w:val="%3."/>
      <w:lvlJc w:val="right"/>
      <w:pPr>
        <w:tabs>
          <w:tab w:val="left" w:pos="1544"/>
        </w:tabs>
        <w:ind w:left="1544" w:hanging="420"/>
      </w:pPr>
      <w:rPr>
        <w:rFonts w:cs="Times New Roman"/>
      </w:rPr>
    </w:lvl>
    <w:lvl w:ilvl="3">
      <w:start w:val="1"/>
      <w:numFmt w:val="decimal"/>
      <w:lvlText w:val="%4."/>
      <w:lvlJc w:val="left"/>
      <w:pPr>
        <w:tabs>
          <w:tab w:val="left" w:pos="1964"/>
        </w:tabs>
        <w:ind w:left="1964" w:hanging="420"/>
      </w:pPr>
      <w:rPr>
        <w:rFonts w:cs="Times New Roman"/>
      </w:rPr>
    </w:lvl>
    <w:lvl w:ilvl="4">
      <w:start w:val="1"/>
      <w:numFmt w:val="lowerLetter"/>
      <w:lvlText w:val="%5)"/>
      <w:lvlJc w:val="left"/>
      <w:pPr>
        <w:tabs>
          <w:tab w:val="left" w:pos="2384"/>
        </w:tabs>
        <w:ind w:left="2384" w:hanging="420"/>
      </w:pPr>
      <w:rPr>
        <w:rFonts w:cs="Times New Roman"/>
      </w:rPr>
    </w:lvl>
    <w:lvl w:ilvl="5">
      <w:start w:val="1"/>
      <w:numFmt w:val="lowerRoman"/>
      <w:lvlText w:val="%6."/>
      <w:lvlJc w:val="right"/>
      <w:pPr>
        <w:tabs>
          <w:tab w:val="left" w:pos="2804"/>
        </w:tabs>
        <w:ind w:left="2804" w:hanging="420"/>
      </w:pPr>
      <w:rPr>
        <w:rFonts w:cs="Times New Roman"/>
      </w:rPr>
    </w:lvl>
    <w:lvl w:ilvl="6">
      <w:start w:val="1"/>
      <w:numFmt w:val="decimal"/>
      <w:lvlText w:val="%7."/>
      <w:lvlJc w:val="left"/>
      <w:pPr>
        <w:tabs>
          <w:tab w:val="left" w:pos="3224"/>
        </w:tabs>
        <w:ind w:left="3224" w:hanging="420"/>
      </w:pPr>
      <w:rPr>
        <w:rFonts w:cs="Times New Roman"/>
      </w:rPr>
    </w:lvl>
    <w:lvl w:ilvl="7">
      <w:start w:val="1"/>
      <w:numFmt w:val="lowerLetter"/>
      <w:lvlText w:val="%8)"/>
      <w:lvlJc w:val="left"/>
      <w:pPr>
        <w:tabs>
          <w:tab w:val="left" w:pos="3644"/>
        </w:tabs>
        <w:ind w:left="3644" w:hanging="420"/>
      </w:pPr>
      <w:rPr>
        <w:rFonts w:cs="Times New Roman"/>
      </w:rPr>
    </w:lvl>
    <w:lvl w:ilvl="8">
      <w:start w:val="1"/>
      <w:numFmt w:val="lowerRoman"/>
      <w:lvlText w:val="%9."/>
      <w:lvlJc w:val="right"/>
      <w:pPr>
        <w:tabs>
          <w:tab w:val="left" w:pos="4064"/>
        </w:tabs>
        <w:ind w:left="4064" w:hanging="420"/>
      </w:pPr>
      <w:rPr>
        <w:rFonts w:cs="Times New Roman"/>
      </w:rPr>
    </w:lvl>
  </w:abstractNum>
  <w:abstractNum w:abstractNumId="111">
    <w:nsid w:val="0CDE40C9"/>
    <w:multiLevelType w:val="multilevel"/>
    <w:tmpl w:val="D490191C"/>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2">
    <w:nsid w:val="0D3C62BC"/>
    <w:multiLevelType w:val="multilevel"/>
    <w:tmpl w:val="0D3C62BC"/>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3">
    <w:nsid w:val="0D484360"/>
    <w:multiLevelType w:val="multilevel"/>
    <w:tmpl w:val="0D484360"/>
    <w:lvl w:ilvl="0">
      <w:start w:val="1"/>
      <w:numFmt w:val="decimal"/>
      <w:lvlText w:val="%1."/>
      <w:lvlJc w:val="left"/>
      <w:pPr>
        <w:tabs>
          <w:tab w:val="left" w:pos="1860"/>
        </w:tabs>
        <w:ind w:left="1860" w:hanging="420"/>
      </w:pPr>
      <w:rPr>
        <w:rFonts w:cs="Times New Roman"/>
      </w:rPr>
    </w:lvl>
    <w:lvl w:ilvl="1">
      <w:start w:val="1"/>
      <w:numFmt w:val="lowerLetter"/>
      <w:lvlText w:val="%2)"/>
      <w:lvlJc w:val="left"/>
      <w:pPr>
        <w:tabs>
          <w:tab w:val="left" w:pos="2280"/>
        </w:tabs>
        <w:ind w:left="2280" w:hanging="420"/>
      </w:pPr>
      <w:rPr>
        <w:rFonts w:cs="Times New Roman"/>
      </w:rPr>
    </w:lvl>
    <w:lvl w:ilvl="2">
      <w:start w:val="1"/>
      <w:numFmt w:val="lowerRoman"/>
      <w:lvlText w:val="%3."/>
      <w:lvlJc w:val="right"/>
      <w:pPr>
        <w:tabs>
          <w:tab w:val="left" w:pos="2700"/>
        </w:tabs>
        <w:ind w:left="2700" w:hanging="420"/>
      </w:pPr>
      <w:rPr>
        <w:rFonts w:cs="Times New Roman"/>
      </w:rPr>
    </w:lvl>
    <w:lvl w:ilvl="3">
      <w:start w:val="1"/>
      <w:numFmt w:val="decimal"/>
      <w:lvlText w:val="%4."/>
      <w:lvlJc w:val="left"/>
      <w:pPr>
        <w:tabs>
          <w:tab w:val="left" w:pos="3120"/>
        </w:tabs>
        <w:ind w:left="3120" w:hanging="420"/>
      </w:pPr>
      <w:rPr>
        <w:rFonts w:cs="Times New Roman"/>
      </w:rPr>
    </w:lvl>
    <w:lvl w:ilvl="4">
      <w:start w:val="1"/>
      <w:numFmt w:val="lowerLetter"/>
      <w:lvlText w:val="%5)"/>
      <w:lvlJc w:val="left"/>
      <w:pPr>
        <w:tabs>
          <w:tab w:val="left" w:pos="3540"/>
        </w:tabs>
        <w:ind w:left="3540" w:hanging="420"/>
      </w:pPr>
      <w:rPr>
        <w:rFonts w:cs="Times New Roman"/>
      </w:rPr>
    </w:lvl>
    <w:lvl w:ilvl="5">
      <w:start w:val="1"/>
      <w:numFmt w:val="lowerRoman"/>
      <w:lvlText w:val="%6."/>
      <w:lvlJc w:val="right"/>
      <w:pPr>
        <w:tabs>
          <w:tab w:val="left" w:pos="3960"/>
        </w:tabs>
        <w:ind w:left="3960" w:hanging="420"/>
      </w:pPr>
      <w:rPr>
        <w:rFonts w:cs="Times New Roman"/>
      </w:rPr>
    </w:lvl>
    <w:lvl w:ilvl="6">
      <w:start w:val="1"/>
      <w:numFmt w:val="decimal"/>
      <w:lvlText w:val="%7."/>
      <w:lvlJc w:val="left"/>
      <w:pPr>
        <w:tabs>
          <w:tab w:val="left" w:pos="4380"/>
        </w:tabs>
        <w:ind w:left="4380" w:hanging="420"/>
      </w:pPr>
      <w:rPr>
        <w:rFonts w:cs="Times New Roman"/>
      </w:rPr>
    </w:lvl>
    <w:lvl w:ilvl="7">
      <w:start w:val="1"/>
      <w:numFmt w:val="lowerLetter"/>
      <w:lvlText w:val="%8)"/>
      <w:lvlJc w:val="left"/>
      <w:pPr>
        <w:tabs>
          <w:tab w:val="left" w:pos="4800"/>
        </w:tabs>
        <w:ind w:left="4800" w:hanging="420"/>
      </w:pPr>
      <w:rPr>
        <w:rFonts w:cs="Times New Roman"/>
      </w:rPr>
    </w:lvl>
    <w:lvl w:ilvl="8">
      <w:start w:val="1"/>
      <w:numFmt w:val="lowerRoman"/>
      <w:lvlText w:val="%9."/>
      <w:lvlJc w:val="right"/>
      <w:pPr>
        <w:tabs>
          <w:tab w:val="left" w:pos="5220"/>
        </w:tabs>
        <w:ind w:left="5220" w:hanging="420"/>
      </w:pPr>
      <w:rPr>
        <w:rFonts w:cs="Times New Roman"/>
      </w:rPr>
    </w:lvl>
  </w:abstractNum>
  <w:abstractNum w:abstractNumId="114">
    <w:nsid w:val="0D5F3A17"/>
    <w:multiLevelType w:val="multilevel"/>
    <w:tmpl w:val="B460596A"/>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5">
    <w:nsid w:val="0DA22441"/>
    <w:multiLevelType w:val="multilevel"/>
    <w:tmpl w:val="0DA22441"/>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6">
    <w:nsid w:val="0DC57021"/>
    <w:multiLevelType w:val="multilevel"/>
    <w:tmpl w:val="0DC5702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7">
    <w:nsid w:val="0DD55C11"/>
    <w:multiLevelType w:val="multilevel"/>
    <w:tmpl w:val="0DD55C11"/>
    <w:lvl w:ilvl="0">
      <w:start w:val="1"/>
      <w:numFmt w:val="decimal"/>
      <w:lvlText w:val="%1、"/>
      <w:lvlJc w:val="left"/>
      <w:pPr>
        <w:tabs>
          <w:tab w:val="left" w:pos="772"/>
        </w:tabs>
        <w:ind w:left="772" w:hanging="360"/>
      </w:pPr>
      <w:rPr>
        <w:rFonts w:cs="Times New Roman" w:hint="default"/>
      </w:rPr>
    </w:lvl>
    <w:lvl w:ilvl="1">
      <w:start w:val="1"/>
      <w:numFmt w:val="lowerLetter"/>
      <w:lvlText w:val="%2)"/>
      <w:lvlJc w:val="left"/>
      <w:pPr>
        <w:tabs>
          <w:tab w:val="left" w:pos="1252"/>
        </w:tabs>
        <w:ind w:left="1252" w:hanging="420"/>
      </w:pPr>
      <w:rPr>
        <w:rFonts w:cs="Times New Roman"/>
      </w:rPr>
    </w:lvl>
    <w:lvl w:ilvl="2">
      <w:start w:val="1"/>
      <w:numFmt w:val="lowerRoman"/>
      <w:lvlText w:val="%3."/>
      <w:lvlJc w:val="right"/>
      <w:pPr>
        <w:tabs>
          <w:tab w:val="left" w:pos="1672"/>
        </w:tabs>
        <w:ind w:left="1672" w:hanging="420"/>
      </w:pPr>
      <w:rPr>
        <w:rFonts w:cs="Times New Roman"/>
      </w:rPr>
    </w:lvl>
    <w:lvl w:ilvl="3">
      <w:start w:val="1"/>
      <w:numFmt w:val="decimal"/>
      <w:lvlText w:val="%4."/>
      <w:lvlJc w:val="left"/>
      <w:pPr>
        <w:tabs>
          <w:tab w:val="left" w:pos="2092"/>
        </w:tabs>
        <w:ind w:left="2092" w:hanging="420"/>
      </w:pPr>
      <w:rPr>
        <w:rFonts w:cs="Times New Roman"/>
      </w:rPr>
    </w:lvl>
    <w:lvl w:ilvl="4">
      <w:start w:val="1"/>
      <w:numFmt w:val="lowerLetter"/>
      <w:lvlText w:val="%5)"/>
      <w:lvlJc w:val="left"/>
      <w:pPr>
        <w:tabs>
          <w:tab w:val="left" w:pos="2512"/>
        </w:tabs>
        <w:ind w:left="2512" w:hanging="420"/>
      </w:pPr>
      <w:rPr>
        <w:rFonts w:cs="Times New Roman"/>
      </w:rPr>
    </w:lvl>
    <w:lvl w:ilvl="5">
      <w:start w:val="1"/>
      <w:numFmt w:val="lowerRoman"/>
      <w:lvlText w:val="%6."/>
      <w:lvlJc w:val="right"/>
      <w:pPr>
        <w:tabs>
          <w:tab w:val="left" w:pos="2932"/>
        </w:tabs>
        <w:ind w:left="2932" w:hanging="420"/>
      </w:pPr>
      <w:rPr>
        <w:rFonts w:cs="Times New Roman"/>
      </w:rPr>
    </w:lvl>
    <w:lvl w:ilvl="6">
      <w:start w:val="1"/>
      <w:numFmt w:val="decimal"/>
      <w:lvlText w:val="%7."/>
      <w:lvlJc w:val="left"/>
      <w:pPr>
        <w:tabs>
          <w:tab w:val="left" w:pos="3352"/>
        </w:tabs>
        <w:ind w:left="3352" w:hanging="420"/>
      </w:pPr>
      <w:rPr>
        <w:rFonts w:cs="Times New Roman"/>
      </w:rPr>
    </w:lvl>
    <w:lvl w:ilvl="7">
      <w:start w:val="1"/>
      <w:numFmt w:val="lowerLetter"/>
      <w:lvlText w:val="%8)"/>
      <w:lvlJc w:val="left"/>
      <w:pPr>
        <w:tabs>
          <w:tab w:val="left" w:pos="3772"/>
        </w:tabs>
        <w:ind w:left="3772" w:hanging="420"/>
      </w:pPr>
      <w:rPr>
        <w:rFonts w:cs="Times New Roman"/>
      </w:rPr>
    </w:lvl>
    <w:lvl w:ilvl="8">
      <w:start w:val="1"/>
      <w:numFmt w:val="lowerRoman"/>
      <w:lvlText w:val="%9."/>
      <w:lvlJc w:val="right"/>
      <w:pPr>
        <w:tabs>
          <w:tab w:val="left" w:pos="4192"/>
        </w:tabs>
        <w:ind w:left="4192" w:hanging="420"/>
      </w:pPr>
      <w:rPr>
        <w:rFonts w:cs="Times New Roman"/>
      </w:rPr>
    </w:lvl>
  </w:abstractNum>
  <w:abstractNum w:abstractNumId="118">
    <w:nsid w:val="0E8A00FE"/>
    <w:multiLevelType w:val="multilevel"/>
    <w:tmpl w:val="0E8A00FE"/>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9">
    <w:nsid w:val="0ED068D9"/>
    <w:multiLevelType w:val="multilevel"/>
    <w:tmpl w:val="0ED068D9"/>
    <w:lvl w:ilvl="0">
      <w:start w:val="1"/>
      <w:numFmt w:val="decimal"/>
      <w:lvlText w:val="%1、"/>
      <w:lvlJc w:val="left"/>
      <w:pPr>
        <w:ind w:left="785" w:hanging="360"/>
      </w:pPr>
      <w:rPr>
        <w:rFonts w:cs="Times New Roman" w:hint="default"/>
      </w:rPr>
    </w:lvl>
    <w:lvl w:ilvl="1">
      <w:start w:val="1"/>
      <w:numFmt w:val="lowerLetter"/>
      <w:lvlText w:val="%2)"/>
      <w:lvlJc w:val="left"/>
      <w:pPr>
        <w:ind w:left="1265" w:hanging="420"/>
      </w:pPr>
      <w:rPr>
        <w:rFonts w:cs="Times New Roman"/>
      </w:rPr>
    </w:lvl>
    <w:lvl w:ilvl="2">
      <w:start w:val="1"/>
      <w:numFmt w:val="lowerRoman"/>
      <w:lvlText w:val="%3."/>
      <w:lvlJc w:val="right"/>
      <w:pPr>
        <w:ind w:left="1685" w:hanging="420"/>
      </w:pPr>
      <w:rPr>
        <w:rFonts w:cs="Times New Roman"/>
      </w:rPr>
    </w:lvl>
    <w:lvl w:ilvl="3">
      <w:start w:val="1"/>
      <w:numFmt w:val="decimal"/>
      <w:lvlText w:val="%4."/>
      <w:lvlJc w:val="left"/>
      <w:pPr>
        <w:ind w:left="2105" w:hanging="420"/>
      </w:pPr>
      <w:rPr>
        <w:rFonts w:cs="Times New Roman"/>
      </w:rPr>
    </w:lvl>
    <w:lvl w:ilvl="4">
      <w:start w:val="1"/>
      <w:numFmt w:val="lowerLetter"/>
      <w:lvlText w:val="%5)"/>
      <w:lvlJc w:val="left"/>
      <w:pPr>
        <w:ind w:left="2525" w:hanging="420"/>
      </w:pPr>
      <w:rPr>
        <w:rFonts w:cs="Times New Roman"/>
      </w:rPr>
    </w:lvl>
    <w:lvl w:ilvl="5">
      <w:start w:val="1"/>
      <w:numFmt w:val="lowerRoman"/>
      <w:lvlText w:val="%6."/>
      <w:lvlJc w:val="right"/>
      <w:pPr>
        <w:ind w:left="2945" w:hanging="420"/>
      </w:pPr>
      <w:rPr>
        <w:rFonts w:cs="Times New Roman"/>
      </w:rPr>
    </w:lvl>
    <w:lvl w:ilvl="6">
      <w:start w:val="1"/>
      <w:numFmt w:val="decimal"/>
      <w:lvlText w:val="%7."/>
      <w:lvlJc w:val="left"/>
      <w:pPr>
        <w:ind w:left="3365" w:hanging="420"/>
      </w:pPr>
      <w:rPr>
        <w:rFonts w:cs="Times New Roman"/>
      </w:rPr>
    </w:lvl>
    <w:lvl w:ilvl="7">
      <w:start w:val="1"/>
      <w:numFmt w:val="lowerLetter"/>
      <w:lvlText w:val="%8)"/>
      <w:lvlJc w:val="left"/>
      <w:pPr>
        <w:ind w:left="3785" w:hanging="420"/>
      </w:pPr>
      <w:rPr>
        <w:rFonts w:cs="Times New Roman"/>
      </w:rPr>
    </w:lvl>
    <w:lvl w:ilvl="8">
      <w:start w:val="1"/>
      <w:numFmt w:val="lowerRoman"/>
      <w:lvlText w:val="%9."/>
      <w:lvlJc w:val="right"/>
      <w:pPr>
        <w:ind w:left="4205" w:hanging="420"/>
      </w:pPr>
      <w:rPr>
        <w:rFonts w:cs="Times New Roman"/>
      </w:rPr>
    </w:lvl>
  </w:abstractNum>
  <w:abstractNum w:abstractNumId="120">
    <w:nsid w:val="0ED94654"/>
    <w:multiLevelType w:val="multilevel"/>
    <w:tmpl w:val="0ED94654"/>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1">
    <w:nsid w:val="0EFA4D39"/>
    <w:multiLevelType w:val="multilevel"/>
    <w:tmpl w:val="0EFA4D39"/>
    <w:lvl w:ilvl="0">
      <w:start w:val="2"/>
      <w:numFmt w:val="japaneseCounting"/>
      <w:lvlText w:val="%1、"/>
      <w:lvlJc w:val="left"/>
      <w:pPr>
        <w:tabs>
          <w:tab w:val="left" w:pos="480"/>
        </w:tabs>
        <w:ind w:left="480" w:hanging="48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2">
    <w:nsid w:val="0F0A3009"/>
    <w:multiLevelType w:val="multilevel"/>
    <w:tmpl w:val="0F0A3009"/>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3">
    <w:nsid w:val="10024CAF"/>
    <w:multiLevelType w:val="multilevel"/>
    <w:tmpl w:val="10024CAF"/>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4">
    <w:nsid w:val="102D50B7"/>
    <w:multiLevelType w:val="multilevel"/>
    <w:tmpl w:val="102D50B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5">
    <w:nsid w:val="10FF3C13"/>
    <w:multiLevelType w:val="multilevel"/>
    <w:tmpl w:val="10FF3C13"/>
    <w:lvl w:ilvl="0">
      <w:start w:val="1"/>
      <w:numFmt w:val="japaneseCounting"/>
      <w:lvlText w:val="第%1节"/>
      <w:lvlJc w:val="left"/>
      <w:pPr>
        <w:tabs>
          <w:tab w:val="left" w:pos="990"/>
        </w:tabs>
        <w:ind w:left="990" w:hanging="99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6">
    <w:nsid w:val="11687C91"/>
    <w:multiLevelType w:val="multilevel"/>
    <w:tmpl w:val="11687C9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7">
    <w:nsid w:val="11731DC1"/>
    <w:multiLevelType w:val="multilevel"/>
    <w:tmpl w:val="11731DC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28">
    <w:nsid w:val="11B4477B"/>
    <w:multiLevelType w:val="multilevel"/>
    <w:tmpl w:val="11B4477B"/>
    <w:lvl w:ilvl="0">
      <w:start w:val="1"/>
      <w:numFmt w:val="decimal"/>
      <w:lvlText w:val="%1、"/>
      <w:lvlJc w:val="left"/>
      <w:pPr>
        <w:ind w:left="795" w:hanging="360"/>
      </w:pPr>
      <w:rPr>
        <w:rFonts w:cs="Times New Roman" w:hint="default"/>
      </w:rPr>
    </w:lvl>
    <w:lvl w:ilvl="1">
      <w:start w:val="1"/>
      <w:numFmt w:val="lowerLetter"/>
      <w:lvlText w:val="%2)"/>
      <w:lvlJc w:val="left"/>
      <w:pPr>
        <w:ind w:left="1275" w:hanging="420"/>
      </w:pPr>
      <w:rPr>
        <w:rFonts w:cs="Times New Roman"/>
      </w:rPr>
    </w:lvl>
    <w:lvl w:ilvl="2">
      <w:start w:val="1"/>
      <w:numFmt w:val="lowerRoman"/>
      <w:lvlText w:val="%3."/>
      <w:lvlJc w:val="right"/>
      <w:pPr>
        <w:ind w:left="1695" w:hanging="420"/>
      </w:pPr>
      <w:rPr>
        <w:rFonts w:cs="Times New Roman"/>
      </w:rPr>
    </w:lvl>
    <w:lvl w:ilvl="3">
      <w:start w:val="1"/>
      <w:numFmt w:val="decimal"/>
      <w:lvlText w:val="%4."/>
      <w:lvlJc w:val="left"/>
      <w:pPr>
        <w:ind w:left="2115" w:hanging="420"/>
      </w:pPr>
      <w:rPr>
        <w:rFonts w:cs="Times New Roman"/>
      </w:rPr>
    </w:lvl>
    <w:lvl w:ilvl="4">
      <w:start w:val="1"/>
      <w:numFmt w:val="lowerLetter"/>
      <w:lvlText w:val="%5)"/>
      <w:lvlJc w:val="left"/>
      <w:pPr>
        <w:ind w:left="2535" w:hanging="420"/>
      </w:pPr>
      <w:rPr>
        <w:rFonts w:cs="Times New Roman"/>
      </w:rPr>
    </w:lvl>
    <w:lvl w:ilvl="5">
      <w:start w:val="1"/>
      <w:numFmt w:val="lowerRoman"/>
      <w:lvlText w:val="%6."/>
      <w:lvlJc w:val="right"/>
      <w:pPr>
        <w:ind w:left="2955" w:hanging="420"/>
      </w:pPr>
      <w:rPr>
        <w:rFonts w:cs="Times New Roman"/>
      </w:rPr>
    </w:lvl>
    <w:lvl w:ilvl="6">
      <w:start w:val="1"/>
      <w:numFmt w:val="decimal"/>
      <w:lvlText w:val="%7."/>
      <w:lvlJc w:val="left"/>
      <w:pPr>
        <w:ind w:left="3375" w:hanging="420"/>
      </w:pPr>
      <w:rPr>
        <w:rFonts w:cs="Times New Roman"/>
      </w:rPr>
    </w:lvl>
    <w:lvl w:ilvl="7">
      <w:start w:val="1"/>
      <w:numFmt w:val="lowerLetter"/>
      <w:lvlText w:val="%8)"/>
      <w:lvlJc w:val="left"/>
      <w:pPr>
        <w:ind w:left="3795" w:hanging="420"/>
      </w:pPr>
      <w:rPr>
        <w:rFonts w:cs="Times New Roman"/>
      </w:rPr>
    </w:lvl>
    <w:lvl w:ilvl="8">
      <w:start w:val="1"/>
      <w:numFmt w:val="lowerRoman"/>
      <w:lvlText w:val="%9."/>
      <w:lvlJc w:val="right"/>
      <w:pPr>
        <w:ind w:left="4215" w:hanging="420"/>
      </w:pPr>
      <w:rPr>
        <w:rFonts w:cs="Times New Roman"/>
      </w:rPr>
    </w:lvl>
  </w:abstractNum>
  <w:abstractNum w:abstractNumId="129">
    <w:nsid w:val="11F920EF"/>
    <w:multiLevelType w:val="multilevel"/>
    <w:tmpl w:val="11F920EF"/>
    <w:lvl w:ilvl="0">
      <w:start w:val="1"/>
      <w:numFmt w:val="decimal"/>
      <w:lvlText w:val="%1．"/>
      <w:lvlJc w:val="left"/>
      <w:pPr>
        <w:tabs>
          <w:tab w:val="left" w:pos="0"/>
        </w:tabs>
        <w:ind w:left="1192" w:hanging="36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130">
    <w:nsid w:val="12033D73"/>
    <w:multiLevelType w:val="multilevel"/>
    <w:tmpl w:val="12033D73"/>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1">
    <w:nsid w:val="128F2160"/>
    <w:multiLevelType w:val="multilevel"/>
    <w:tmpl w:val="128F2160"/>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2">
    <w:nsid w:val="12DD55BC"/>
    <w:multiLevelType w:val="multilevel"/>
    <w:tmpl w:val="12DD55B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3">
    <w:nsid w:val="132B7C93"/>
    <w:multiLevelType w:val="multilevel"/>
    <w:tmpl w:val="132B7C93"/>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4">
    <w:nsid w:val="13420DB2"/>
    <w:multiLevelType w:val="multilevel"/>
    <w:tmpl w:val="13420DB2"/>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5">
    <w:nsid w:val="13A41E4D"/>
    <w:multiLevelType w:val="multilevel"/>
    <w:tmpl w:val="13A41E4D"/>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tabs>
          <w:tab w:val="left" w:pos="1549"/>
        </w:tabs>
        <w:ind w:left="1549" w:hanging="420"/>
      </w:pPr>
      <w:rPr>
        <w:rFonts w:cs="Times New Roman"/>
      </w:rPr>
    </w:lvl>
    <w:lvl w:ilvl="2">
      <w:start w:val="1"/>
      <w:numFmt w:val="lowerRoman"/>
      <w:lvlText w:val="%3."/>
      <w:lvlJc w:val="right"/>
      <w:pPr>
        <w:tabs>
          <w:tab w:val="left" w:pos="1969"/>
        </w:tabs>
        <w:ind w:left="1969" w:hanging="420"/>
      </w:pPr>
      <w:rPr>
        <w:rFonts w:cs="Times New Roman"/>
      </w:rPr>
    </w:lvl>
    <w:lvl w:ilvl="3">
      <w:start w:val="1"/>
      <w:numFmt w:val="decimal"/>
      <w:lvlText w:val="%4."/>
      <w:lvlJc w:val="left"/>
      <w:pPr>
        <w:tabs>
          <w:tab w:val="left" w:pos="2389"/>
        </w:tabs>
        <w:ind w:left="2389" w:hanging="420"/>
      </w:pPr>
      <w:rPr>
        <w:rFonts w:cs="Times New Roman"/>
      </w:rPr>
    </w:lvl>
    <w:lvl w:ilvl="4">
      <w:start w:val="1"/>
      <w:numFmt w:val="lowerLetter"/>
      <w:lvlText w:val="%5)"/>
      <w:lvlJc w:val="left"/>
      <w:pPr>
        <w:tabs>
          <w:tab w:val="left" w:pos="2809"/>
        </w:tabs>
        <w:ind w:left="2809" w:hanging="420"/>
      </w:pPr>
      <w:rPr>
        <w:rFonts w:cs="Times New Roman"/>
      </w:rPr>
    </w:lvl>
    <w:lvl w:ilvl="5">
      <w:start w:val="1"/>
      <w:numFmt w:val="lowerRoman"/>
      <w:lvlText w:val="%6."/>
      <w:lvlJc w:val="right"/>
      <w:pPr>
        <w:tabs>
          <w:tab w:val="left" w:pos="3229"/>
        </w:tabs>
        <w:ind w:left="3229" w:hanging="420"/>
      </w:pPr>
      <w:rPr>
        <w:rFonts w:cs="Times New Roman"/>
      </w:rPr>
    </w:lvl>
    <w:lvl w:ilvl="6">
      <w:start w:val="1"/>
      <w:numFmt w:val="decimal"/>
      <w:lvlText w:val="%7."/>
      <w:lvlJc w:val="left"/>
      <w:pPr>
        <w:tabs>
          <w:tab w:val="left" w:pos="3649"/>
        </w:tabs>
        <w:ind w:left="3649" w:hanging="420"/>
      </w:pPr>
      <w:rPr>
        <w:rFonts w:cs="Times New Roman"/>
      </w:rPr>
    </w:lvl>
    <w:lvl w:ilvl="7">
      <w:start w:val="1"/>
      <w:numFmt w:val="lowerLetter"/>
      <w:lvlText w:val="%8)"/>
      <w:lvlJc w:val="left"/>
      <w:pPr>
        <w:tabs>
          <w:tab w:val="left" w:pos="4069"/>
        </w:tabs>
        <w:ind w:left="4069" w:hanging="420"/>
      </w:pPr>
      <w:rPr>
        <w:rFonts w:cs="Times New Roman"/>
      </w:rPr>
    </w:lvl>
    <w:lvl w:ilvl="8">
      <w:start w:val="1"/>
      <w:numFmt w:val="lowerRoman"/>
      <w:lvlText w:val="%9."/>
      <w:lvlJc w:val="right"/>
      <w:pPr>
        <w:tabs>
          <w:tab w:val="left" w:pos="4489"/>
        </w:tabs>
        <w:ind w:left="4489" w:hanging="420"/>
      </w:pPr>
      <w:rPr>
        <w:rFonts w:cs="Times New Roman"/>
      </w:rPr>
    </w:lvl>
  </w:abstractNum>
  <w:abstractNum w:abstractNumId="136">
    <w:nsid w:val="150D5AE1"/>
    <w:multiLevelType w:val="multilevel"/>
    <w:tmpl w:val="150D5AE1"/>
    <w:lvl w:ilvl="0">
      <w:start w:val="1"/>
      <w:numFmt w:val="decimal"/>
      <w:lvlText w:val="%1."/>
      <w:lvlJc w:val="left"/>
      <w:pPr>
        <w:ind w:left="1140" w:hanging="420"/>
      </w:pPr>
      <w:rPr>
        <w:rFonts w:cs="Times New Roman" w:hint="eastAsia"/>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137">
    <w:nsid w:val="15231D93"/>
    <w:multiLevelType w:val="multilevel"/>
    <w:tmpl w:val="15231D93"/>
    <w:lvl w:ilvl="0">
      <w:start w:val="2"/>
      <w:numFmt w:val="japaneseCounting"/>
      <w:lvlText w:val="第%1章"/>
      <w:lvlJc w:val="left"/>
      <w:pPr>
        <w:tabs>
          <w:tab w:val="left" w:pos="855"/>
        </w:tabs>
        <w:ind w:left="855" w:hanging="855"/>
      </w:pPr>
      <w:rPr>
        <w:rFonts w:cs="Times New Roman" w:hint="default"/>
      </w:rPr>
    </w:lvl>
    <w:lvl w:ilvl="1">
      <w:start w:val="1"/>
      <w:numFmt w:val="japaneseCounting"/>
      <w:lvlText w:val="第%2节"/>
      <w:lvlJc w:val="left"/>
      <w:pPr>
        <w:tabs>
          <w:tab w:val="left" w:pos="1275"/>
        </w:tabs>
        <w:ind w:left="1275" w:hanging="855"/>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8">
    <w:nsid w:val="15307D6C"/>
    <w:multiLevelType w:val="multilevel"/>
    <w:tmpl w:val="15307D6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9">
    <w:nsid w:val="15E10041"/>
    <w:multiLevelType w:val="multilevel"/>
    <w:tmpl w:val="15E10041"/>
    <w:lvl w:ilvl="0">
      <w:start w:val="1"/>
      <w:numFmt w:val="decimal"/>
      <w:lvlText w:val="%1."/>
      <w:lvlJc w:val="left"/>
      <w:pPr>
        <w:tabs>
          <w:tab w:val="left" w:pos="0"/>
        </w:tabs>
        <w:ind w:left="1192" w:hanging="36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140">
    <w:nsid w:val="16240AE6"/>
    <w:multiLevelType w:val="multilevel"/>
    <w:tmpl w:val="16240AE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1">
    <w:nsid w:val="167E224A"/>
    <w:multiLevelType w:val="multilevel"/>
    <w:tmpl w:val="00000017"/>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2">
    <w:nsid w:val="16851672"/>
    <w:multiLevelType w:val="multilevel"/>
    <w:tmpl w:val="16851672"/>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3">
    <w:nsid w:val="16AA19D3"/>
    <w:multiLevelType w:val="multilevel"/>
    <w:tmpl w:val="16AA19D3"/>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4">
    <w:nsid w:val="16CA68BC"/>
    <w:multiLevelType w:val="multilevel"/>
    <w:tmpl w:val="CA3CDC96"/>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5">
    <w:nsid w:val="17391FCA"/>
    <w:multiLevelType w:val="multilevel"/>
    <w:tmpl w:val="2ABE0952"/>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6">
    <w:nsid w:val="17E31377"/>
    <w:multiLevelType w:val="multilevel"/>
    <w:tmpl w:val="17E3137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7">
    <w:nsid w:val="17F41C0B"/>
    <w:multiLevelType w:val="multilevel"/>
    <w:tmpl w:val="17F41C0B"/>
    <w:lvl w:ilvl="0">
      <w:start w:val="1"/>
      <w:numFmt w:val="upperLetter"/>
      <w:lvlText w:val="%1．"/>
      <w:lvlJc w:val="left"/>
      <w:pPr>
        <w:tabs>
          <w:tab w:val="left" w:pos="405"/>
        </w:tabs>
        <w:ind w:left="405" w:hanging="405"/>
      </w:pPr>
      <w:rPr>
        <w:rFonts w:ascii="Times New Roman" w:eastAsia="Times New Roman" w:hAnsi="Times New Roman"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8">
    <w:nsid w:val="181471DC"/>
    <w:multiLevelType w:val="singleLevel"/>
    <w:tmpl w:val="181471DC"/>
    <w:lvl w:ilvl="0">
      <w:start w:val="1"/>
      <w:numFmt w:val="decimal"/>
      <w:lvlText w:val="%1."/>
      <w:lvlJc w:val="left"/>
      <w:pPr>
        <w:tabs>
          <w:tab w:val="left" w:pos="420"/>
        </w:tabs>
        <w:ind w:left="420" w:hanging="420"/>
      </w:pPr>
      <w:rPr>
        <w:rFonts w:cs="Times New Roman" w:hint="eastAsia"/>
      </w:rPr>
    </w:lvl>
  </w:abstractNum>
  <w:abstractNum w:abstractNumId="149">
    <w:nsid w:val="18215FCC"/>
    <w:multiLevelType w:val="multilevel"/>
    <w:tmpl w:val="18215FC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0">
    <w:nsid w:val="18273F87"/>
    <w:multiLevelType w:val="multilevel"/>
    <w:tmpl w:val="18273F8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1">
    <w:nsid w:val="183D14A8"/>
    <w:multiLevelType w:val="multilevel"/>
    <w:tmpl w:val="183D14A8"/>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2">
    <w:nsid w:val="18470E19"/>
    <w:multiLevelType w:val="multilevel"/>
    <w:tmpl w:val="18470E19"/>
    <w:lvl w:ilvl="0">
      <w:start w:val="1"/>
      <w:numFmt w:val="decimal"/>
      <w:lvlText w:val="%1."/>
      <w:lvlJc w:val="left"/>
      <w:pPr>
        <w:tabs>
          <w:tab w:val="left" w:pos="0"/>
        </w:tabs>
        <w:ind w:left="1192" w:hanging="36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153">
    <w:nsid w:val="18D97846"/>
    <w:multiLevelType w:val="multilevel"/>
    <w:tmpl w:val="18D97846"/>
    <w:lvl w:ilvl="0">
      <w:start w:val="1"/>
      <w:numFmt w:val="japaneseCounting"/>
      <w:lvlText w:val="%1、"/>
      <w:lvlJc w:val="left"/>
      <w:pPr>
        <w:tabs>
          <w:tab w:val="left" w:pos="480"/>
        </w:tabs>
        <w:ind w:left="480" w:hanging="48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4">
    <w:nsid w:val="18EA0162"/>
    <w:multiLevelType w:val="multilevel"/>
    <w:tmpl w:val="18EA0162"/>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5">
    <w:nsid w:val="19092BD2"/>
    <w:multiLevelType w:val="multilevel"/>
    <w:tmpl w:val="19092BD2"/>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56">
    <w:nsid w:val="191E3A24"/>
    <w:multiLevelType w:val="multilevel"/>
    <w:tmpl w:val="191E3A24"/>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7">
    <w:nsid w:val="193B22BE"/>
    <w:multiLevelType w:val="multilevel"/>
    <w:tmpl w:val="193B22BE"/>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158">
    <w:nsid w:val="194B08E6"/>
    <w:multiLevelType w:val="multilevel"/>
    <w:tmpl w:val="194B08E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9">
    <w:nsid w:val="19551482"/>
    <w:multiLevelType w:val="multilevel"/>
    <w:tmpl w:val="19551482"/>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60">
    <w:nsid w:val="19C53F2A"/>
    <w:multiLevelType w:val="multilevel"/>
    <w:tmpl w:val="19C53F2A"/>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1">
    <w:nsid w:val="1A8B6C7F"/>
    <w:multiLevelType w:val="multilevel"/>
    <w:tmpl w:val="1A8B6C7F"/>
    <w:lvl w:ilvl="0">
      <w:start w:val="1"/>
      <w:numFmt w:val="japaneseCounting"/>
      <w:lvlText w:val="第%1章"/>
      <w:lvlJc w:val="left"/>
      <w:pPr>
        <w:tabs>
          <w:tab w:val="left" w:pos="855"/>
        </w:tabs>
        <w:ind w:left="855" w:hanging="85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62">
    <w:nsid w:val="1A920E97"/>
    <w:multiLevelType w:val="multilevel"/>
    <w:tmpl w:val="1A920E9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63">
    <w:nsid w:val="1AA8676F"/>
    <w:multiLevelType w:val="multilevel"/>
    <w:tmpl w:val="1AA8676F"/>
    <w:lvl w:ilvl="0">
      <w:start w:val="1"/>
      <w:numFmt w:val="decimal"/>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64">
    <w:nsid w:val="1C1D3802"/>
    <w:multiLevelType w:val="multilevel"/>
    <w:tmpl w:val="1C1D3802"/>
    <w:lvl w:ilvl="0">
      <w:start w:val="1"/>
      <w:numFmt w:val="decimal"/>
      <w:lvlText w:val="%1."/>
      <w:lvlJc w:val="left"/>
      <w:pPr>
        <w:tabs>
          <w:tab w:val="left" w:pos="1215"/>
        </w:tabs>
        <w:ind w:left="1215" w:hanging="360"/>
      </w:pPr>
      <w:rPr>
        <w:rFonts w:cs="Times New Roman" w:hint="default"/>
      </w:rPr>
    </w:lvl>
    <w:lvl w:ilvl="1">
      <w:start w:val="1"/>
      <w:numFmt w:val="lowerLetter"/>
      <w:lvlText w:val="%2)"/>
      <w:lvlJc w:val="left"/>
      <w:pPr>
        <w:tabs>
          <w:tab w:val="left" w:pos="1695"/>
        </w:tabs>
        <w:ind w:left="1695" w:hanging="420"/>
      </w:pPr>
      <w:rPr>
        <w:rFonts w:cs="Times New Roman"/>
      </w:rPr>
    </w:lvl>
    <w:lvl w:ilvl="2">
      <w:start w:val="1"/>
      <w:numFmt w:val="lowerRoman"/>
      <w:lvlText w:val="%3."/>
      <w:lvlJc w:val="right"/>
      <w:pPr>
        <w:tabs>
          <w:tab w:val="left" w:pos="2115"/>
        </w:tabs>
        <w:ind w:left="2115" w:hanging="420"/>
      </w:pPr>
      <w:rPr>
        <w:rFonts w:cs="Times New Roman"/>
      </w:rPr>
    </w:lvl>
    <w:lvl w:ilvl="3">
      <w:start w:val="1"/>
      <w:numFmt w:val="decimal"/>
      <w:lvlText w:val="%4."/>
      <w:lvlJc w:val="left"/>
      <w:pPr>
        <w:tabs>
          <w:tab w:val="left" w:pos="2535"/>
        </w:tabs>
        <w:ind w:left="2535" w:hanging="420"/>
      </w:pPr>
      <w:rPr>
        <w:rFonts w:cs="Times New Roman"/>
      </w:rPr>
    </w:lvl>
    <w:lvl w:ilvl="4">
      <w:start w:val="1"/>
      <w:numFmt w:val="lowerLetter"/>
      <w:lvlText w:val="%5)"/>
      <w:lvlJc w:val="left"/>
      <w:pPr>
        <w:tabs>
          <w:tab w:val="left" w:pos="2955"/>
        </w:tabs>
        <w:ind w:left="2955" w:hanging="420"/>
      </w:pPr>
      <w:rPr>
        <w:rFonts w:cs="Times New Roman"/>
      </w:rPr>
    </w:lvl>
    <w:lvl w:ilvl="5">
      <w:start w:val="1"/>
      <w:numFmt w:val="lowerRoman"/>
      <w:lvlText w:val="%6."/>
      <w:lvlJc w:val="right"/>
      <w:pPr>
        <w:tabs>
          <w:tab w:val="left" w:pos="3375"/>
        </w:tabs>
        <w:ind w:left="3375" w:hanging="420"/>
      </w:pPr>
      <w:rPr>
        <w:rFonts w:cs="Times New Roman"/>
      </w:rPr>
    </w:lvl>
    <w:lvl w:ilvl="6">
      <w:start w:val="1"/>
      <w:numFmt w:val="decimal"/>
      <w:lvlText w:val="%7."/>
      <w:lvlJc w:val="left"/>
      <w:pPr>
        <w:tabs>
          <w:tab w:val="left" w:pos="3795"/>
        </w:tabs>
        <w:ind w:left="3795" w:hanging="420"/>
      </w:pPr>
      <w:rPr>
        <w:rFonts w:cs="Times New Roman"/>
      </w:rPr>
    </w:lvl>
    <w:lvl w:ilvl="7">
      <w:start w:val="1"/>
      <w:numFmt w:val="lowerLetter"/>
      <w:lvlText w:val="%8)"/>
      <w:lvlJc w:val="left"/>
      <w:pPr>
        <w:tabs>
          <w:tab w:val="left" w:pos="4215"/>
        </w:tabs>
        <w:ind w:left="4215" w:hanging="420"/>
      </w:pPr>
      <w:rPr>
        <w:rFonts w:cs="Times New Roman"/>
      </w:rPr>
    </w:lvl>
    <w:lvl w:ilvl="8">
      <w:start w:val="1"/>
      <w:numFmt w:val="lowerRoman"/>
      <w:lvlText w:val="%9."/>
      <w:lvlJc w:val="right"/>
      <w:pPr>
        <w:tabs>
          <w:tab w:val="left" w:pos="4635"/>
        </w:tabs>
        <w:ind w:left="4635" w:hanging="420"/>
      </w:pPr>
      <w:rPr>
        <w:rFonts w:cs="Times New Roman"/>
      </w:rPr>
    </w:lvl>
  </w:abstractNum>
  <w:abstractNum w:abstractNumId="165">
    <w:nsid w:val="1C89724B"/>
    <w:multiLevelType w:val="multilevel"/>
    <w:tmpl w:val="1C89724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66">
    <w:nsid w:val="1C8F3DBF"/>
    <w:multiLevelType w:val="multilevel"/>
    <w:tmpl w:val="1C8F3DBF"/>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167">
    <w:nsid w:val="1CB76033"/>
    <w:multiLevelType w:val="multilevel"/>
    <w:tmpl w:val="1CB76033"/>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68">
    <w:nsid w:val="1D027C68"/>
    <w:multiLevelType w:val="multilevel"/>
    <w:tmpl w:val="1D027C68"/>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69">
    <w:nsid w:val="1D145168"/>
    <w:multiLevelType w:val="multilevel"/>
    <w:tmpl w:val="1D145168"/>
    <w:lvl w:ilvl="0">
      <w:start w:val="1"/>
      <w:numFmt w:val="japaneseCounting"/>
      <w:lvlText w:val="第%1章"/>
      <w:lvlJc w:val="left"/>
      <w:pPr>
        <w:ind w:left="1275" w:hanging="1275"/>
      </w:pPr>
      <w:rPr>
        <w:rFonts w:cs="Times New Roman" w:hint="default"/>
      </w:rPr>
    </w:lvl>
    <w:lvl w:ilvl="1">
      <w:start w:val="2"/>
      <w:numFmt w:val="japaneseCounting"/>
      <w:lvlText w:val="第%2节"/>
      <w:lvlJc w:val="left"/>
      <w:pPr>
        <w:tabs>
          <w:tab w:val="left" w:pos="1365"/>
        </w:tabs>
        <w:ind w:left="1365" w:hanging="945"/>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0">
    <w:nsid w:val="1D4B0007"/>
    <w:multiLevelType w:val="multilevel"/>
    <w:tmpl w:val="1D4B0007"/>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71">
    <w:nsid w:val="1D795CAF"/>
    <w:multiLevelType w:val="multilevel"/>
    <w:tmpl w:val="1D795CAF"/>
    <w:lvl w:ilvl="0">
      <w:start w:val="1"/>
      <w:numFmt w:val="decimal"/>
      <w:lvlText w:val="%1、"/>
      <w:lvlJc w:val="left"/>
      <w:pPr>
        <w:tabs>
          <w:tab w:val="left" w:pos="795"/>
        </w:tabs>
        <w:ind w:left="795" w:hanging="360"/>
      </w:pPr>
      <w:rPr>
        <w:rFonts w:cs="Times New Roman" w:hint="default"/>
      </w:rPr>
    </w:lvl>
    <w:lvl w:ilvl="1">
      <w:start w:val="1"/>
      <w:numFmt w:val="lowerLetter"/>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lvlText w:val="%4."/>
      <w:lvlJc w:val="left"/>
      <w:pPr>
        <w:tabs>
          <w:tab w:val="left" w:pos="2115"/>
        </w:tabs>
        <w:ind w:left="2115" w:hanging="420"/>
      </w:pPr>
      <w:rPr>
        <w:rFonts w:cs="Times New Roman"/>
      </w:rPr>
    </w:lvl>
    <w:lvl w:ilvl="4">
      <w:start w:val="1"/>
      <w:numFmt w:val="lowerLetter"/>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172">
    <w:nsid w:val="1DA16C1C"/>
    <w:multiLevelType w:val="multilevel"/>
    <w:tmpl w:val="1DA16C1C"/>
    <w:lvl w:ilvl="0">
      <w:start w:val="1"/>
      <w:numFmt w:val="decimal"/>
      <w:lvlText w:val="%1."/>
      <w:lvlJc w:val="left"/>
      <w:pPr>
        <w:tabs>
          <w:tab w:val="left" w:pos="1860"/>
        </w:tabs>
        <w:ind w:left="1860" w:hanging="420"/>
      </w:pPr>
      <w:rPr>
        <w:rFonts w:cs="Times New Roman"/>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173">
    <w:nsid w:val="1DCB1CE1"/>
    <w:multiLevelType w:val="multilevel"/>
    <w:tmpl w:val="1DCB1CE1"/>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174">
    <w:nsid w:val="1E404422"/>
    <w:multiLevelType w:val="multilevel"/>
    <w:tmpl w:val="1E404422"/>
    <w:lvl w:ilvl="0">
      <w:start w:val="1"/>
      <w:numFmt w:val="decimal"/>
      <w:lvlText w:val="%1."/>
      <w:lvlJc w:val="left"/>
      <w:pPr>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5">
    <w:nsid w:val="1E4B6000"/>
    <w:multiLevelType w:val="multilevel"/>
    <w:tmpl w:val="1E4B600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76">
    <w:nsid w:val="1E6E2844"/>
    <w:multiLevelType w:val="multilevel"/>
    <w:tmpl w:val="1E6E2844"/>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7">
    <w:nsid w:val="1F3146B0"/>
    <w:multiLevelType w:val="multilevel"/>
    <w:tmpl w:val="1F3146B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8">
    <w:nsid w:val="1F471128"/>
    <w:multiLevelType w:val="multilevel"/>
    <w:tmpl w:val="1F471128"/>
    <w:lvl w:ilvl="0">
      <w:start w:val="1"/>
      <w:numFmt w:val="decimal"/>
      <w:lvlText w:val="%1、"/>
      <w:lvlJc w:val="left"/>
      <w:pPr>
        <w:tabs>
          <w:tab w:val="left" w:pos="1260"/>
        </w:tabs>
        <w:ind w:left="1260" w:hanging="360"/>
      </w:pPr>
      <w:rPr>
        <w:rFonts w:cs="Times New Roman" w:hint="default"/>
      </w:rPr>
    </w:lvl>
    <w:lvl w:ilvl="1">
      <w:start w:val="1"/>
      <w:numFmt w:val="lowerLetter"/>
      <w:lvlText w:val="%2)"/>
      <w:lvlJc w:val="left"/>
      <w:pPr>
        <w:tabs>
          <w:tab w:val="left" w:pos="1740"/>
        </w:tabs>
        <w:ind w:left="1740" w:hanging="420"/>
      </w:pPr>
      <w:rPr>
        <w:rFonts w:cs="Times New Roman"/>
      </w:rPr>
    </w:lvl>
    <w:lvl w:ilvl="2">
      <w:start w:val="1"/>
      <w:numFmt w:val="lowerRoman"/>
      <w:lvlText w:val="%3."/>
      <w:lvlJc w:val="right"/>
      <w:pPr>
        <w:tabs>
          <w:tab w:val="left" w:pos="2160"/>
        </w:tabs>
        <w:ind w:left="2160" w:hanging="420"/>
      </w:pPr>
      <w:rPr>
        <w:rFonts w:cs="Times New Roman"/>
      </w:rPr>
    </w:lvl>
    <w:lvl w:ilvl="3">
      <w:start w:val="1"/>
      <w:numFmt w:val="decimal"/>
      <w:lvlText w:val="%4."/>
      <w:lvlJc w:val="left"/>
      <w:pPr>
        <w:tabs>
          <w:tab w:val="left" w:pos="2580"/>
        </w:tabs>
        <w:ind w:left="2580" w:hanging="420"/>
      </w:pPr>
      <w:rPr>
        <w:rFonts w:cs="Times New Roman"/>
      </w:rPr>
    </w:lvl>
    <w:lvl w:ilvl="4">
      <w:start w:val="1"/>
      <w:numFmt w:val="lowerLetter"/>
      <w:lvlText w:val="%5)"/>
      <w:lvlJc w:val="left"/>
      <w:pPr>
        <w:tabs>
          <w:tab w:val="left" w:pos="3000"/>
        </w:tabs>
        <w:ind w:left="3000" w:hanging="420"/>
      </w:pPr>
      <w:rPr>
        <w:rFonts w:cs="Times New Roman"/>
      </w:rPr>
    </w:lvl>
    <w:lvl w:ilvl="5">
      <w:start w:val="1"/>
      <w:numFmt w:val="lowerRoman"/>
      <w:lvlText w:val="%6."/>
      <w:lvlJc w:val="right"/>
      <w:pPr>
        <w:tabs>
          <w:tab w:val="left" w:pos="3420"/>
        </w:tabs>
        <w:ind w:left="3420" w:hanging="420"/>
      </w:pPr>
      <w:rPr>
        <w:rFonts w:cs="Times New Roman"/>
      </w:rPr>
    </w:lvl>
    <w:lvl w:ilvl="6">
      <w:start w:val="1"/>
      <w:numFmt w:val="decimal"/>
      <w:lvlText w:val="%7."/>
      <w:lvlJc w:val="left"/>
      <w:pPr>
        <w:tabs>
          <w:tab w:val="left" w:pos="3840"/>
        </w:tabs>
        <w:ind w:left="3840" w:hanging="420"/>
      </w:pPr>
      <w:rPr>
        <w:rFonts w:cs="Times New Roman"/>
      </w:rPr>
    </w:lvl>
    <w:lvl w:ilvl="7">
      <w:start w:val="1"/>
      <w:numFmt w:val="lowerLetter"/>
      <w:lvlText w:val="%8)"/>
      <w:lvlJc w:val="left"/>
      <w:pPr>
        <w:tabs>
          <w:tab w:val="left" w:pos="4260"/>
        </w:tabs>
        <w:ind w:left="4260" w:hanging="420"/>
      </w:pPr>
      <w:rPr>
        <w:rFonts w:cs="Times New Roman"/>
      </w:rPr>
    </w:lvl>
    <w:lvl w:ilvl="8">
      <w:start w:val="1"/>
      <w:numFmt w:val="lowerRoman"/>
      <w:lvlText w:val="%9."/>
      <w:lvlJc w:val="right"/>
      <w:pPr>
        <w:tabs>
          <w:tab w:val="left" w:pos="4680"/>
        </w:tabs>
        <w:ind w:left="4680" w:hanging="420"/>
      </w:pPr>
      <w:rPr>
        <w:rFonts w:cs="Times New Roman"/>
      </w:rPr>
    </w:lvl>
  </w:abstractNum>
  <w:abstractNum w:abstractNumId="179">
    <w:nsid w:val="1FFB17DB"/>
    <w:multiLevelType w:val="multilevel"/>
    <w:tmpl w:val="1FFB17DB"/>
    <w:lvl w:ilvl="0">
      <w:start w:val="1"/>
      <w:numFmt w:val="japaneseCounting"/>
      <w:lvlText w:val="%1、"/>
      <w:lvlJc w:val="left"/>
      <w:pPr>
        <w:tabs>
          <w:tab w:val="left" w:pos="480"/>
        </w:tabs>
        <w:ind w:left="480" w:hanging="480"/>
      </w:pPr>
      <w:rPr>
        <w:rFonts w:cs="Times New Roman" w:hint="default"/>
      </w:rPr>
    </w:lvl>
    <w:lvl w:ilvl="1">
      <w:start w:val="11"/>
      <w:numFmt w:val="decimal"/>
      <w:lvlText w:val="%2、"/>
      <w:lvlJc w:val="left"/>
      <w:pPr>
        <w:tabs>
          <w:tab w:val="left" w:pos="825"/>
        </w:tabs>
        <w:ind w:left="825" w:hanging="405"/>
      </w:pPr>
      <w:rPr>
        <w:rFonts w:cs="Times New Roman" w:hint="default"/>
      </w:rPr>
    </w:lvl>
    <w:lvl w:ilvl="2">
      <w:start w:val="1"/>
      <w:numFmt w:val="upperLetter"/>
      <w:lvlText w:val="%3、"/>
      <w:lvlJc w:val="left"/>
      <w:pPr>
        <w:tabs>
          <w:tab w:val="left" w:pos="1245"/>
        </w:tabs>
        <w:ind w:left="1245" w:hanging="405"/>
      </w:pPr>
      <w:rPr>
        <w:rFonts w:cs="Times New Roman" w:hint="eastAsia"/>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0">
    <w:nsid w:val="203669FF"/>
    <w:multiLevelType w:val="multilevel"/>
    <w:tmpl w:val="203669F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1">
    <w:nsid w:val="204C363A"/>
    <w:multiLevelType w:val="multilevel"/>
    <w:tmpl w:val="204C363A"/>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2">
    <w:nsid w:val="20755A18"/>
    <w:multiLevelType w:val="multilevel"/>
    <w:tmpl w:val="20755A18"/>
    <w:lvl w:ilvl="0">
      <w:start w:val="1"/>
      <w:numFmt w:val="decimal"/>
      <w:lvlText w:val="%1."/>
      <w:lvlJc w:val="left"/>
      <w:pPr>
        <w:tabs>
          <w:tab w:val="left" w:pos="360"/>
        </w:tabs>
        <w:ind w:left="360" w:hanging="360"/>
      </w:pPr>
      <w:rPr>
        <w:rFonts w:cs="Times New Roman" w:hint="default"/>
      </w:rPr>
    </w:lvl>
    <w:lvl w:ilvl="1">
      <w:start w:val="1"/>
      <w:numFmt w:val="decimal"/>
      <w:lvlText w:val="%2、"/>
      <w:lvlJc w:val="left"/>
      <w:pPr>
        <w:tabs>
          <w:tab w:val="left" w:pos="780"/>
        </w:tabs>
        <w:ind w:left="780" w:hanging="36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3">
    <w:nsid w:val="20A62F26"/>
    <w:multiLevelType w:val="multilevel"/>
    <w:tmpl w:val="20A62F26"/>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184">
    <w:nsid w:val="20CA3057"/>
    <w:multiLevelType w:val="multilevel"/>
    <w:tmpl w:val="20CA3057"/>
    <w:lvl w:ilvl="0">
      <w:start w:val="1"/>
      <w:numFmt w:val="japaneseCounting"/>
      <w:lvlText w:val="第%1节"/>
      <w:lvlJc w:val="left"/>
      <w:pPr>
        <w:ind w:left="765" w:hanging="76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5">
    <w:nsid w:val="20EC3AEF"/>
    <w:multiLevelType w:val="multilevel"/>
    <w:tmpl w:val="20EC3AE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6">
    <w:nsid w:val="21197D0B"/>
    <w:multiLevelType w:val="multilevel"/>
    <w:tmpl w:val="21197D0B"/>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7">
    <w:nsid w:val="211F6A50"/>
    <w:multiLevelType w:val="multilevel"/>
    <w:tmpl w:val="211F6A50"/>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8">
    <w:nsid w:val="215145C7"/>
    <w:multiLevelType w:val="multilevel"/>
    <w:tmpl w:val="215145C7"/>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9">
    <w:nsid w:val="21671CBC"/>
    <w:multiLevelType w:val="multilevel"/>
    <w:tmpl w:val="C3203DA8"/>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0">
    <w:nsid w:val="2198081C"/>
    <w:multiLevelType w:val="multilevel"/>
    <w:tmpl w:val="2198081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1">
    <w:nsid w:val="21DF31F0"/>
    <w:multiLevelType w:val="multilevel"/>
    <w:tmpl w:val="21DF31F0"/>
    <w:lvl w:ilvl="0">
      <w:start w:val="1"/>
      <w:numFmt w:val="decimal"/>
      <w:lvlText w:val="%1、"/>
      <w:lvlJc w:val="left"/>
      <w:pPr>
        <w:tabs>
          <w:tab w:val="left" w:pos="0"/>
        </w:tabs>
        <w:ind w:left="675" w:hanging="360"/>
      </w:pPr>
      <w:rPr>
        <w:rFonts w:cs="Times New Roman" w:hint="default"/>
      </w:rPr>
    </w:lvl>
    <w:lvl w:ilvl="1">
      <w:start w:val="1"/>
      <w:numFmt w:val="lowerLetter"/>
      <w:lvlText w:val="%2)"/>
      <w:lvlJc w:val="left"/>
      <w:pPr>
        <w:tabs>
          <w:tab w:val="left" w:pos="0"/>
        </w:tabs>
        <w:ind w:left="1155" w:hanging="420"/>
      </w:pPr>
      <w:rPr>
        <w:rFonts w:cs="Times New Roman"/>
      </w:rPr>
    </w:lvl>
    <w:lvl w:ilvl="2">
      <w:start w:val="1"/>
      <w:numFmt w:val="lowerRoman"/>
      <w:lvlText w:val="%3."/>
      <w:lvlJc w:val="right"/>
      <w:pPr>
        <w:tabs>
          <w:tab w:val="left" w:pos="0"/>
        </w:tabs>
        <w:ind w:left="1575" w:hanging="420"/>
      </w:pPr>
      <w:rPr>
        <w:rFonts w:cs="Times New Roman"/>
      </w:rPr>
    </w:lvl>
    <w:lvl w:ilvl="3">
      <w:start w:val="1"/>
      <w:numFmt w:val="decimal"/>
      <w:lvlText w:val="%4."/>
      <w:lvlJc w:val="left"/>
      <w:pPr>
        <w:tabs>
          <w:tab w:val="left" w:pos="0"/>
        </w:tabs>
        <w:ind w:left="1995" w:hanging="420"/>
      </w:pPr>
      <w:rPr>
        <w:rFonts w:cs="Times New Roman"/>
      </w:rPr>
    </w:lvl>
    <w:lvl w:ilvl="4">
      <w:start w:val="1"/>
      <w:numFmt w:val="lowerLetter"/>
      <w:lvlText w:val="%5)"/>
      <w:lvlJc w:val="left"/>
      <w:pPr>
        <w:tabs>
          <w:tab w:val="left" w:pos="0"/>
        </w:tabs>
        <w:ind w:left="2415" w:hanging="420"/>
      </w:pPr>
      <w:rPr>
        <w:rFonts w:cs="Times New Roman"/>
      </w:rPr>
    </w:lvl>
    <w:lvl w:ilvl="5">
      <w:start w:val="1"/>
      <w:numFmt w:val="lowerRoman"/>
      <w:lvlText w:val="%6."/>
      <w:lvlJc w:val="right"/>
      <w:pPr>
        <w:tabs>
          <w:tab w:val="left" w:pos="0"/>
        </w:tabs>
        <w:ind w:left="2835" w:hanging="420"/>
      </w:pPr>
      <w:rPr>
        <w:rFonts w:cs="Times New Roman"/>
      </w:rPr>
    </w:lvl>
    <w:lvl w:ilvl="6">
      <w:start w:val="1"/>
      <w:numFmt w:val="decimal"/>
      <w:lvlText w:val="%7."/>
      <w:lvlJc w:val="left"/>
      <w:pPr>
        <w:tabs>
          <w:tab w:val="left" w:pos="0"/>
        </w:tabs>
        <w:ind w:left="3255" w:hanging="420"/>
      </w:pPr>
      <w:rPr>
        <w:rFonts w:cs="Times New Roman"/>
      </w:rPr>
    </w:lvl>
    <w:lvl w:ilvl="7">
      <w:start w:val="1"/>
      <w:numFmt w:val="lowerLetter"/>
      <w:lvlText w:val="%8)"/>
      <w:lvlJc w:val="left"/>
      <w:pPr>
        <w:tabs>
          <w:tab w:val="left" w:pos="0"/>
        </w:tabs>
        <w:ind w:left="3675" w:hanging="420"/>
      </w:pPr>
      <w:rPr>
        <w:rFonts w:cs="Times New Roman"/>
      </w:rPr>
    </w:lvl>
    <w:lvl w:ilvl="8">
      <w:start w:val="1"/>
      <w:numFmt w:val="lowerRoman"/>
      <w:lvlText w:val="%9."/>
      <w:lvlJc w:val="right"/>
      <w:pPr>
        <w:tabs>
          <w:tab w:val="left" w:pos="0"/>
        </w:tabs>
        <w:ind w:left="4095" w:hanging="420"/>
      </w:pPr>
      <w:rPr>
        <w:rFonts w:cs="Times New Roman"/>
      </w:rPr>
    </w:lvl>
  </w:abstractNum>
  <w:abstractNum w:abstractNumId="192">
    <w:nsid w:val="21E05084"/>
    <w:multiLevelType w:val="multilevel"/>
    <w:tmpl w:val="21E05084"/>
    <w:lvl w:ilvl="0">
      <w:start w:val="1"/>
      <w:numFmt w:val="decimal"/>
      <w:lvlText w:val="%1."/>
      <w:lvlJc w:val="left"/>
      <w:pPr>
        <w:ind w:left="720" w:hanging="360"/>
      </w:pPr>
      <w:rPr>
        <w:rFonts w:cs="Times New Roman" w:hint="default"/>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93">
    <w:nsid w:val="22107EF7"/>
    <w:multiLevelType w:val="multilevel"/>
    <w:tmpl w:val="22107EF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4">
    <w:nsid w:val="22431EF2"/>
    <w:multiLevelType w:val="multilevel"/>
    <w:tmpl w:val="22431EF2"/>
    <w:lvl w:ilvl="0">
      <w:start w:val="1"/>
      <w:numFmt w:val="japaneseCounting"/>
      <w:lvlText w:val="第%1节"/>
      <w:lvlJc w:val="left"/>
      <w:pPr>
        <w:tabs>
          <w:tab w:val="left" w:pos="945"/>
        </w:tabs>
        <w:ind w:left="945" w:hanging="945"/>
      </w:pPr>
      <w:rPr>
        <w:rFonts w:ascii="宋体" w:eastAsia="宋体"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5">
    <w:nsid w:val="22537ECA"/>
    <w:multiLevelType w:val="multilevel"/>
    <w:tmpl w:val="22537ECA"/>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96">
    <w:nsid w:val="22C04FE7"/>
    <w:multiLevelType w:val="multilevel"/>
    <w:tmpl w:val="22C04FE7"/>
    <w:lvl w:ilvl="0">
      <w:start w:val="1"/>
      <w:numFmt w:val="decimal"/>
      <w:lvlText w:val="%1."/>
      <w:lvlJc w:val="left"/>
      <w:pPr>
        <w:tabs>
          <w:tab w:val="left" w:pos="0"/>
        </w:tabs>
        <w:ind w:left="1200" w:hanging="360"/>
      </w:pPr>
      <w:rPr>
        <w:rFonts w:cs="Times New Roman" w:hint="default"/>
      </w:rPr>
    </w:lvl>
    <w:lvl w:ilvl="1">
      <w:start w:val="1"/>
      <w:numFmt w:val="lowerLetter"/>
      <w:lvlText w:val="%2)"/>
      <w:lvlJc w:val="left"/>
      <w:pPr>
        <w:tabs>
          <w:tab w:val="left" w:pos="0"/>
        </w:tabs>
        <w:ind w:left="1680" w:hanging="420"/>
      </w:pPr>
      <w:rPr>
        <w:rFonts w:cs="Times New Roman"/>
      </w:rPr>
    </w:lvl>
    <w:lvl w:ilvl="2">
      <w:start w:val="1"/>
      <w:numFmt w:val="lowerRoman"/>
      <w:lvlText w:val="%3."/>
      <w:lvlJc w:val="right"/>
      <w:pPr>
        <w:tabs>
          <w:tab w:val="left" w:pos="0"/>
        </w:tabs>
        <w:ind w:left="2100" w:hanging="420"/>
      </w:pPr>
      <w:rPr>
        <w:rFonts w:cs="Times New Roman"/>
      </w:rPr>
    </w:lvl>
    <w:lvl w:ilvl="3">
      <w:start w:val="1"/>
      <w:numFmt w:val="decimal"/>
      <w:lvlText w:val="%4."/>
      <w:lvlJc w:val="left"/>
      <w:pPr>
        <w:tabs>
          <w:tab w:val="left" w:pos="0"/>
        </w:tabs>
        <w:ind w:left="2520" w:hanging="420"/>
      </w:pPr>
      <w:rPr>
        <w:rFonts w:cs="Times New Roman"/>
      </w:rPr>
    </w:lvl>
    <w:lvl w:ilvl="4">
      <w:start w:val="1"/>
      <w:numFmt w:val="lowerLetter"/>
      <w:lvlText w:val="%5)"/>
      <w:lvlJc w:val="left"/>
      <w:pPr>
        <w:tabs>
          <w:tab w:val="left" w:pos="0"/>
        </w:tabs>
        <w:ind w:left="2940" w:hanging="420"/>
      </w:pPr>
      <w:rPr>
        <w:rFonts w:cs="Times New Roman"/>
      </w:rPr>
    </w:lvl>
    <w:lvl w:ilvl="5">
      <w:start w:val="1"/>
      <w:numFmt w:val="lowerRoman"/>
      <w:lvlText w:val="%6."/>
      <w:lvlJc w:val="right"/>
      <w:pPr>
        <w:tabs>
          <w:tab w:val="left" w:pos="0"/>
        </w:tabs>
        <w:ind w:left="3360" w:hanging="420"/>
      </w:pPr>
      <w:rPr>
        <w:rFonts w:cs="Times New Roman"/>
      </w:rPr>
    </w:lvl>
    <w:lvl w:ilvl="6">
      <w:start w:val="1"/>
      <w:numFmt w:val="decimal"/>
      <w:lvlText w:val="%7."/>
      <w:lvlJc w:val="left"/>
      <w:pPr>
        <w:tabs>
          <w:tab w:val="left" w:pos="0"/>
        </w:tabs>
        <w:ind w:left="3780" w:hanging="420"/>
      </w:pPr>
      <w:rPr>
        <w:rFonts w:cs="Times New Roman"/>
      </w:rPr>
    </w:lvl>
    <w:lvl w:ilvl="7">
      <w:start w:val="1"/>
      <w:numFmt w:val="lowerLetter"/>
      <w:lvlText w:val="%8)"/>
      <w:lvlJc w:val="left"/>
      <w:pPr>
        <w:tabs>
          <w:tab w:val="left" w:pos="0"/>
        </w:tabs>
        <w:ind w:left="4200" w:hanging="420"/>
      </w:pPr>
      <w:rPr>
        <w:rFonts w:cs="Times New Roman"/>
      </w:rPr>
    </w:lvl>
    <w:lvl w:ilvl="8">
      <w:start w:val="1"/>
      <w:numFmt w:val="lowerRoman"/>
      <w:lvlText w:val="%9."/>
      <w:lvlJc w:val="right"/>
      <w:pPr>
        <w:tabs>
          <w:tab w:val="left" w:pos="0"/>
        </w:tabs>
        <w:ind w:left="4620" w:hanging="420"/>
      </w:pPr>
      <w:rPr>
        <w:rFonts w:cs="Times New Roman"/>
      </w:rPr>
    </w:lvl>
  </w:abstractNum>
  <w:abstractNum w:abstractNumId="197">
    <w:nsid w:val="23E1169F"/>
    <w:multiLevelType w:val="multilevel"/>
    <w:tmpl w:val="23E1169F"/>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8">
    <w:nsid w:val="242D1E5F"/>
    <w:multiLevelType w:val="multilevel"/>
    <w:tmpl w:val="242D1E5F"/>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99">
    <w:nsid w:val="244C345E"/>
    <w:multiLevelType w:val="multilevel"/>
    <w:tmpl w:val="244C345E"/>
    <w:lvl w:ilvl="0">
      <w:start w:val="1"/>
      <w:numFmt w:val="decimal"/>
      <w:lvlText w:val="%1."/>
      <w:lvlJc w:val="left"/>
      <w:pPr>
        <w:tabs>
          <w:tab w:val="left" w:pos="1780"/>
        </w:tabs>
        <w:ind w:left="1780" w:hanging="420"/>
      </w:pPr>
      <w:rPr>
        <w:rFonts w:cs="Times New Roman" w:hint="eastAsia"/>
      </w:rPr>
    </w:lvl>
    <w:lvl w:ilvl="1">
      <w:start w:val="1"/>
      <w:numFmt w:val="decimal"/>
      <w:lvlText w:val="%2."/>
      <w:lvlJc w:val="left"/>
      <w:pPr>
        <w:ind w:left="1129" w:hanging="420"/>
      </w:pPr>
      <w:rPr>
        <w:rFonts w:cs="Times New Roman" w:hint="eastAsia"/>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200">
    <w:nsid w:val="24882FD2"/>
    <w:multiLevelType w:val="multilevel"/>
    <w:tmpl w:val="24882FD2"/>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1">
    <w:nsid w:val="24C717CF"/>
    <w:multiLevelType w:val="multilevel"/>
    <w:tmpl w:val="24C717CF"/>
    <w:lvl w:ilvl="0">
      <w:start w:val="1"/>
      <w:numFmt w:val="japaneseCounting"/>
      <w:lvlText w:val="（%1）"/>
      <w:lvlJc w:val="left"/>
      <w:pPr>
        <w:tabs>
          <w:tab w:val="left" w:pos="1140"/>
        </w:tabs>
        <w:ind w:left="1140" w:hanging="72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202">
    <w:nsid w:val="24D07CFB"/>
    <w:multiLevelType w:val="multilevel"/>
    <w:tmpl w:val="24D07CFB"/>
    <w:lvl w:ilvl="0">
      <w:start w:val="1"/>
      <w:numFmt w:val="decimal"/>
      <w:lvlText w:val="%1."/>
      <w:lvlJc w:val="left"/>
      <w:pPr>
        <w:tabs>
          <w:tab w:val="left" w:pos="420"/>
        </w:tabs>
        <w:ind w:left="420" w:hanging="420"/>
      </w:pPr>
      <w:rPr>
        <w:rFonts w:cs="Times New Roman" w:hint="eastAsia"/>
      </w:rPr>
    </w:lvl>
    <w:lvl w:ilvl="1">
      <w:start w:val="1"/>
      <w:numFmt w:val="japaneseCounting"/>
      <w:lvlText w:val="第%2篇"/>
      <w:lvlJc w:val="left"/>
      <w:pPr>
        <w:ind w:left="1140" w:hanging="720"/>
      </w:pPr>
      <w:rPr>
        <w:rFonts w:ascii="Times New Roman" w:hAnsi="Times New Roman"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3">
    <w:nsid w:val="24F20181"/>
    <w:multiLevelType w:val="multilevel"/>
    <w:tmpl w:val="24F20181"/>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4">
    <w:nsid w:val="25211B8E"/>
    <w:multiLevelType w:val="multilevel"/>
    <w:tmpl w:val="25211B8E"/>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05">
    <w:nsid w:val="25264CF2"/>
    <w:multiLevelType w:val="multilevel"/>
    <w:tmpl w:val="25264CF2"/>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109" w:hanging="420"/>
      </w:pPr>
      <w:rPr>
        <w:rFonts w:cs="Times New Roman"/>
      </w:rPr>
    </w:lvl>
    <w:lvl w:ilvl="2">
      <w:start w:val="1"/>
      <w:numFmt w:val="lowerRoman"/>
      <w:lvlText w:val="%3."/>
      <w:lvlJc w:val="right"/>
      <w:pPr>
        <w:ind w:left="529" w:hanging="420"/>
      </w:pPr>
      <w:rPr>
        <w:rFonts w:cs="Times New Roman"/>
      </w:rPr>
    </w:lvl>
    <w:lvl w:ilvl="3">
      <w:start w:val="1"/>
      <w:numFmt w:val="decimal"/>
      <w:lvlText w:val="%4."/>
      <w:lvlJc w:val="left"/>
      <w:pPr>
        <w:ind w:left="949" w:hanging="420"/>
      </w:pPr>
      <w:rPr>
        <w:rFonts w:cs="Times New Roman"/>
      </w:rPr>
    </w:lvl>
    <w:lvl w:ilvl="4">
      <w:start w:val="1"/>
      <w:numFmt w:val="lowerLetter"/>
      <w:lvlText w:val="%5)"/>
      <w:lvlJc w:val="left"/>
      <w:pPr>
        <w:ind w:left="1369" w:hanging="420"/>
      </w:pPr>
      <w:rPr>
        <w:rFonts w:cs="Times New Roman"/>
      </w:rPr>
    </w:lvl>
    <w:lvl w:ilvl="5">
      <w:start w:val="1"/>
      <w:numFmt w:val="lowerRoman"/>
      <w:lvlText w:val="%6."/>
      <w:lvlJc w:val="right"/>
      <w:pPr>
        <w:ind w:left="1789" w:hanging="420"/>
      </w:pPr>
      <w:rPr>
        <w:rFonts w:cs="Times New Roman"/>
      </w:rPr>
    </w:lvl>
    <w:lvl w:ilvl="6">
      <w:start w:val="1"/>
      <w:numFmt w:val="decimal"/>
      <w:lvlText w:val="%7."/>
      <w:lvlJc w:val="left"/>
      <w:pPr>
        <w:ind w:left="2209" w:hanging="420"/>
      </w:pPr>
      <w:rPr>
        <w:rFonts w:cs="Times New Roman"/>
      </w:rPr>
    </w:lvl>
    <w:lvl w:ilvl="7">
      <w:start w:val="1"/>
      <w:numFmt w:val="lowerLetter"/>
      <w:lvlText w:val="%8)"/>
      <w:lvlJc w:val="left"/>
      <w:pPr>
        <w:ind w:left="2629" w:hanging="420"/>
      </w:pPr>
      <w:rPr>
        <w:rFonts w:cs="Times New Roman"/>
      </w:rPr>
    </w:lvl>
    <w:lvl w:ilvl="8">
      <w:start w:val="1"/>
      <w:numFmt w:val="lowerRoman"/>
      <w:lvlText w:val="%9."/>
      <w:lvlJc w:val="right"/>
      <w:pPr>
        <w:ind w:left="3049" w:hanging="420"/>
      </w:pPr>
      <w:rPr>
        <w:rFonts w:cs="Times New Roman"/>
      </w:rPr>
    </w:lvl>
  </w:abstractNum>
  <w:abstractNum w:abstractNumId="206">
    <w:nsid w:val="25487B82"/>
    <w:multiLevelType w:val="multilevel"/>
    <w:tmpl w:val="25487B82"/>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7">
    <w:nsid w:val="25723E5B"/>
    <w:multiLevelType w:val="multilevel"/>
    <w:tmpl w:val="25723E5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08">
    <w:nsid w:val="26374D58"/>
    <w:multiLevelType w:val="multilevel"/>
    <w:tmpl w:val="26374D58"/>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09">
    <w:nsid w:val="266B05BE"/>
    <w:multiLevelType w:val="multilevel"/>
    <w:tmpl w:val="266B05B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0">
    <w:nsid w:val="26A5514B"/>
    <w:multiLevelType w:val="multilevel"/>
    <w:tmpl w:val="26A5514B"/>
    <w:lvl w:ilvl="0">
      <w:start w:val="3"/>
      <w:numFmt w:val="japaneseCounting"/>
      <w:lvlText w:val="第%1章"/>
      <w:lvlJc w:val="left"/>
      <w:pPr>
        <w:tabs>
          <w:tab w:val="left" w:pos="840"/>
        </w:tabs>
        <w:ind w:left="840" w:hanging="84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1">
    <w:nsid w:val="26B47800"/>
    <w:multiLevelType w:val="multilevel"/>
    <w:tmpl w:val="26B47800"/>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2">
    <w:nsid w:val="270B13DC"/>
    <w:multiLevelType w:val="multilevel"/>
    <w:tmpl w:val="270B13DC"/>
    <w:lvl w:ilvl="0">
      <w:start w:val="1"/>
      <w:numFmt w:val="decimal"/>
      <w:lvlText w:val="%1．"/>
      <w:lvlJc w:val="left"/>
      <w:pPr>
        <w:tabs>
          <w:tab w:val="left" w:pos="358"/>
        </w:tabs>
        <w:ind w:left="358" w:hanging="360"/>
      </w:pPr>
      <w:rPr>
        <w:rFonts w:cs="Times New Roman" w:hint="eastAsia"/>
      </w:rPr>
    </w:lvl>
    <w:lvl w:ilvl="1">
      <w:start w:val="1"/>
      <w:numFmt w:val="lowerLetter"/>
      <w:lvlText w:val="%2)"/>
      <w:lvlJc w:val="left"/>
      <w:pPr>
        <w:tabs>
          <w:tab w:val="left" w:pos="838"/>
        </w:tabs>
        <w:ind w:left="838" w:hanging="420"/>
      </w:pPr>
      <w:rPr>
        <w:rFonts w:cs="Times New Roman"/>
      </w:rPr>
    </w:lvl>
    <w:lvl w:ilvl="2">
      <w:start w:val="1"/>
      <w:numFmt w:val="lowerRoman"/>
      <w:lvlText w:val="%3."/>
      <w:lvlJc w:val="right"/>
      <w:pPr>
        <w:tabs>
          <w:tab w:val="left" w:pos="1258"/>
        </w:tabs>
        <w:ind w:left="1258" w:hanging="420"/>
      </w:pPr>
      <w:rPr>
        <w:rFonts w:cs="Times New Roman"/>
      </w:rPr>
    </w:lvl>
    <w:lvl w:ilvl="3">
      <w:start w:val="1"/>
      <w:numFmt w:val="decimal"/>
      <w:lvlText w:val="%4."/>
      <w:lvlJc w:val="left"/>
      <w:pPr>
        <w:tabs>
          <w:tab w:val="left" w:pos="1678"/>
        </w:tabs>
        <w:ind w:left="1678" w:hanging="420"/>
      </w:pPr>
      <w:rPr>
        <w:rFonts w:cs="Times New Roman"/>
      </w:rPr>
    </w:lvl>
    <w:lvl w:ilvl="4">
      <w:start w:val="1"/>
      <w:numFmt w:val="lowerLetter"/>
      <w:lvlText w:val="%5)"/>
      <w:lvlJc w:val="left"/>
      <w:pPr>
        <w:tabs>
          <w:tab w:val="left" w:pos="2098"/>
        </w:tabs>
        <w:ind w:left="2098" w:hanging="420"/>
      </w:pPr>
      <w:rPr>
        <w:rFonts w:cs="Times New Roman"/>
      </w:rPr>
    </w:lvl>
    <w:lvl w:ilvl="5">
      <w:start w:val="1"/>
      <w:numFmt w:val="lowerRoman"/>
      <w:lvlText w:val="%6."/>
      <w:lvlJc w:val="right"/>
      <w:pPr>
        <w:tabs>
          <w:tab w:val="left" w:pos="2518"/>
        </w:tabs>
        <w:ind w:left="2518" w:hanging="420"/>
      </w:pPr>
      <w:rPr>
        <w:rFonts w:cs="Times New Roman"/>
      </w:rPr>
    </w:lvl>
    <w:lvl w:ilvl="6">
      <w:start w:val="1"/>
      <w:numFmt w:val="decimal"/>
      <w:lvlText w:val="%7."/>
      <w:lvlJc w:val="left"/>
      <w:pPr>
        <w:tabs>
          <w:tab w:val="left" w:pos="2938"/>
        </w:tabs>
        <w:ind w:left="2938" w:hanging="420"/>
      </w:pPr>
      <w:rPr>
        <w:rFonts w:cs="Times New Roman"/>
      </w:rPr>
    </w:lvl>
    <w:lvl w:ilvl="7">
      <w:start w:val="1"/>
      <w:numFmt w:val="lowerLetter"/>
      <w:lvlText w:val="%8)"/>
      <w:lvlJc w:val="left"/>
      <w:pPr>
        <w:tabs>
          <w:tab w:val="left" w:pos="3358"/>
        </w:tabs>
        <w:ind w:left="3358" w:hanging="420"/>
      </w:pPr>
      <w:rPr>
        <w:rFonts w:cs="Times New Roman"/>
      </w:rPr>
    </w:lvl>
    <w:lvl w:ilvl="8">
      <w:start w:val="1"/>
      <w:numFmt w:val="lowerRoman"/>
      <w:lvlText w:val="%9."/>
      <w:lvlJc w:val="right"/>
      <w:pPr>
        <w:tabs>
          <w:tab w:val="left" w:pos="3778"/>
        </w:tabs>
        <w:ind w:left="3778" w:hanging="420"/>
      </w:pPr>
      <w:rPr>
        <w:rFonts w:cs="Times New Roman"/>
      </w:rPr>
    </w:lvl>
  </w:abstractNum>
  <w:abstractNum w:abstractNumId="213">
    <w:nsid w:val="27E54350"/>
    <w:multiLevelType w:val="multilevel"/>
    <w:tmpl w:val="27E54350"/>
    <w:lvl w:ilvl="0">
      <w:start w:val="2"/>
      <w:numFmt w:val="japaneseCounting"/>
      <w:lvlText w:val="第%1章"/>
      <w:lvlJc w:val="left"/>
      <w:pPr>
        <w:tabs>
          <w:tab w:val="left" w:pos="990"/>
        </w:tabs>
        <w:ind w:left="990" w:hanging="990"/>
      </w:pPr>
      <w:rPr>
        <w:rFonts w:cs="Times New Roman" w:hint="default"/>
      </w:rPr>
    </w:lvl>
    <w:lvl w:ilvl="1">
      <w:start w:val="1"/>
      <w:numFmt w:val="japaneseCounting"/>
      <w:lvlText w:val="第%2节"/>
      <w:lvlJc w:val="left"/>
      <w:pPr>
        <w:tabs>
          <w:tab w:val="left" w:pos="1140"/>
        </w:tabs>
        <w:ind w:left="1140" w:hanging="720"/>
      </w:pPr>
      <w:rPr>
        <w:rFonts w:cs="Times New Roman" w:hint="default"/>
      </w:rPr>
    </w:lvl>
    <w:lvl w:ilvl="2">
      <w:start w:val="1"/>
      <w:numFmt w:val="decimal"/>
      <w:lvlText w:val="%3."/>
      <w:lvlJc w:val="left"/>
      <w:pPr>
        <w:tabs>
          <w:tab w:val="left" w:pos="1200"/>
        </w:tabs>
        <w:ind w:left="1200" w:hanging="36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4">
    <w:nsid w:val="27F22728"/>
    <w:multiLevelType w:val="multilevel"/>
    <w:tmpl w:val="1E4B600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5">
    <w:nsid w:val="286C665D"/>
    <w:multiLevelType w:val="multilevel"/>
    <w:tmpl w:val="286C665D"/>
    <w:lvl w:ilvl="0">
      <w:start w:val="1"/>
      <w:numFmt w:val="decimal"/>
      <w:lvlText w:val="%1."/>
      <w:lvlJc w:val="left"/>
      <w:pPr>
        <w:tabs>
          <w:tab w:val="left" w:pos="0"/>
        </w:tabs>
        <w:ind w:left="1200" w:hanging="360"/>
      </w:pPr>
      <w:rPr>
        <w:rFonts w:cs="Times New Roman" w:hint="default"/>
      </w:rPr>
    </w:lvl>
    <w:lvl w:ilvl="1">
      <w:start w:val="1"/>
      <w:numFmt w:val="lowerLetter"/>
      <w:lvlText w:val="%2)"/>
      <w:lvlJc w:val="left"/>
      <w:pPr>
        <w:tabs>
          <w:tab w:val="left" w:pos="0"/>
        </w:tabs>
        <w:ind w:left="1680" w:hanging="420"/>
      </w:pPr>
      <w:rPr>
        <w:rFonts w:cs="Times New Roman"/>
      </w:rPr>
    </w:lvl>
    <w:lvl w:ilvl="2">
      <w:start w:val="1"/>
      <w:numFmt w:val="lowerRoman"/>
      <w:lvlText w:val="%3."/>
      <w:lvlJc w:val="right"/>
      <w:pPr>
        <w:tabs>
          <w:tab w:val="left" w:pos="0"/>
        </w:tabs>
        <w:ind w:left="2100" w:hanging="420"/>
      </w:pPr>
      <w:rPr>
        <w:rFonts w:cs="Times New Roman"/>
      </w:rPr>
    </w:lvl>
    <w:lvl w:ilvl="3">
      <w:start w:val="1"/>
      <w:numFmt w:val="decimal"/>
      <w:lvlText w:val="%4."/>
      <w:lvlJc w:val="left"/>
      <w:pPr>
        <w:tabs>
          <w:tab w:val="left" w:pos="0"/>
        </w:tabs>
        <w:ind w:left="2520" w:hanging="420"/>
      </w:pPr>
      <w:rPr>
        <w:rFonts w:cs="Times New Roman"/>
      </w:rPr>
    </w:lvl>
    <w:lvl w:ilvl="4">
      <w:start w:val="1"/>
      <w:numFmt w:val="lowerLetter"/>
      <w:lvlText w:val="%5)"/>
      <w:lvlJc w:val="left"/>
      <w:pPr>
        <w:tabs>
          <w:tab w:val="left" w:pos="0"/>
        </w:tabs>
        <w:ind w:left="2940" w:hanging="420"/>
      </w:pPr>
      <w:rPr>
        <w:rFonts w:cs="Times New Roman"/>
      </w:rPr>
    </w:lvl>
    <w:lvl w:ilvl="5">
      <w:start w:val="1"/>
      <w:numFmt w:val="lowerRoman"/>
      <w:lvlText w:val="%6."/>
      <w:lvlJc w:val="right"/>
      <w:pPr>
        <w:tabs>
          <w:tab w:val="left" w:pos="0"/>
        </w:tabs>
        <w:ind w:left="3360" w:hanging="420"/>
      </w:pPr>
      <w:rPr>
        <w:rFonts w:cs="Times New Roman"/>
      </w:rPr>
    </w:lvl>
    <w:lvl w:ilvl="6">
      <w:start w:val="1"/>
      <w:numFmt w:val="decimal"/>
      <w:lvlText w:val="%7."/>
      <w:lvlJc w:val="left"/>
      <w:pPr>
        <w:tabs>
          <w:tab w:val="left" w:pos="0"/>
        </w:tabs>
        <w:ind w:left="3780" w:hanging="420"/>
      </w:pPr>
      <w:rPr>
        <w:rFonts w:cs="Times New Roman"/>
      </w:rPr>
    </w:lvl>
    <w:lvl w:ilvl="7">
      <w:start w:val="1"/>
      <w:numFmt w:val="lowerLetter"/>
      <w:lvlText w:val="%8)"/>
      <w:lvlJc w:val="left"/>
      <w:pPr>
        <w:tabs>
          <w:tab w:val="left" w:pos="0"/>
        </w:tabs>
        <w:ind w:left="4200" w:hanging="420"/>
      </w:pPr>
      <w:rPr>
        <w:rFonts w:cs="Times New Roman"/>
      </w:rPr>
    </w:lvl>
    <w:lvl w:ilvl="8">
      <w:start w:val="1"/>
      <w:numFmt w:val="lowerRoman"/>
      <w:lvlText w:val="%9."/>
      <w:lvlJc w:val="right"/>
      <w:pPr>
        <w:tabs>
          <w:tab w:val="left" w:pos="0"/>
        </w:tabs>
        <w:ind w:left="4620" w:hanging="420"/>
      </w:pPr>
      <w:rPr>
        <w:rFonts w:cs="Times New Roman"/>
      </w:rPr>
    </w:lvl>
  </w:abstractNum>
  <w:abstractNum w:abstractNumId="216">
    <w:nsid w:val="28EB69C4"/>
    <w:multiLevelType w:val="multilevel"/>
    <w:tmpl w:val="28EB69C4"/>
    <w:lvl w:ilvl="0">
      <w:start w:val="1"/>
      <w:numFmt w:val="decimal"/>
      <w:lvlText w:val="%1."/>
      <w:lvlJc w:val="left"/>
      <w:pPr>
        <w:ind w:left="1140" w:hanging="420"/>
      </w:pPr>
      <w:rPr>
        <w:rFonts w:cs="Times New Roman" w:hint="eastAsia"/>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217">
    <w:nsid w:val="291A0661"/>
    <w:multiLevelType w:val="multilevel"/>
    <w:tmpl w:val="291A0661"/>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8">
    <w:nsid w:val="296B26FC"/>
    <w:multiLevelType w:val="multilevel"/>
    <w:tmpl w:val="296B26F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19">
    <w:nsid w:val="29C114FF"/>
    <w:multiLevelType w:val="multilevel"/>
    <w:tmpl w:val="29C114FF"/>
    <w:lvl w:ilvl="0">
      <w:start w:val="1"/>
      <w:numFmt w:val="decimal"/>
      <w:lvlText w:val="%1、"/>
      <w:lvlJc w:val="left"/>
      <w:pPr>
        <w:tabs>
          <w:tab w:val="left" w:pos="679"/>
        </w:tabs>
        <w:ind w:left="679" w:hanging="360"/>
      </w:pPr>
      <w:rPr>
        <w:rFonts w:cs="Times New Roman" w:hint="default"/>
      </w:rPr>
    </w:lvl>
    <w:lvl w:ilvl="1">
      <w:start w:val="1"/>
      <w:numFmt w:val="lowerLetter"/>
      <w:lvlText w:val="%2)"/>
      <w:lvlJc w:val="left"/>
      <w:pPr>
        <w:tabs>
          <w:tab w:val="left" w:pos="1159"/>
        </w:tabs>
        <w:ind w:left="1159" w:hanging="420"/>
      </w:pPr>
      <w:rPr>
        <w:rFonts w:cs="Times New Roman"/>
      </w:rPr>
    </w:lvl>
    <w:lvl w:ilvl="2">
      <w:start w:val="1"/>
      <w:numFmt w:val="lowerRoman"/>
      <w:lvlText w:val="%3."/>
      <w:lvlJc w:val="right"/>
      <w:pPr>
        <w:tabs>
          <w:tab w:val="left" w:pos="1579"/>
        </w:tabs>
        <w:ind w:left="1579" w:hanging="420"/>
      </w:pPr>
      <w:rPr>
        <w:rFonts w:cs="Times New Roman"/>
      </w:rPr>
    </w:lvl>
    <w:lvl w:ilvl="3">
      <w:start w:val="1"/>
      <w:numFmt w:val="decimal"/>
      <w:lvlText w:val="%4."/>
      <w:lvlJc w:val="left"/>
      <w:pPr>
        <w:tabs>
          <w:tab w:val="left" w:pos="1999"/>
        </w:tabs>
        <w:ind w:left="1999" w:hanging="420"/>
      </w:pPr>
      <w:rPr>
        <w:rFonts w:cs="Times New Roman"/>
      </w:rPr>
    </w:lvl>
    <w:lvl w:ilvl="4">
      <w:start w:val="1"/>
      <w:numFmt w:val="lowerLetter"/>
      <w:lvlText w:val="%5)"/>
      <w:lvlJc w:val="left"/>
      <w:pPr>
        <w:tabs>
          <w:tab w:val="left" w:pos="2419"/>
        </w:tabs>
        <w:ind w:left="2419" w:hanging="420"/>
      </w:pPr>
      <w:rPr>
        <w:rFonts w:cs="Times New Roman"/>
      </w:rPr>
    </w:lvl>
    <w:lvl w:ilvl="5">
      <w:start w:val="1"/>
      <w:numFmt w:val="lowerRoman"/>
      <w:lvlText w:val="%6."/>
      <w:lvlJc w:val="right"/>
      <w:pPr>
        <w:tabs>
          <w:tab w:val="left" w:pos="2839"/>
        </w:tabs>
        <w:ind w:left="2839" w:hanging="420"/>
      </w:pPr>
      <w:rPr>
        <w:rFonts w:cs="Times New Roman"/>
      </w:rPr>
    </w:lvl>
    <w:lvl w:ilvl="6">
      <w:start w:val="1"/>
      <w:numFmt w:val="decimal"/>
      <w:lvlText w:val="%7."/>
      <w:lvlJc w:val="left"/>
      <w:pPr>
        <w:tabs>
          <w:tab w:val="left" w:pos="3259"/>
        </w:tabs>
        <w:ind w:left="3259" w:hanging="420"/>
      </w:pPr>
      <w:rPr>
        <w:rFonts w:cs="Times New Roman"/>
      </w:rPr>
    </w:lvl>
    <w:lvl w:ilvl="7">
      <w:start w:val="1"/>
      <w:numFmt w:val="lowerLetter"/>
      <w:lvlText w:val="%8)"/>
      <w:lvlJc w:val="left"/>
      <w:pPr>
        <w:tabs>
          <w:tab w:val="left" w:pos="3679"/>
        </w:tabs>
        <w:ind w:left="3679" w:hanging="420"/>
      </w:pPr>
      <w:rPr>
        <w:rFonts w:cs="Times New Roman"/>
      </w:rPr>
    </w:lvl>
    <w:lvl w:ilvl="8">
      <w:start w:val="1"/>
      <w:numFmt w:val="lowerRoman"/>
      <w:lvlText w:val="%9."/>
      <w:lvlJc w:val="right"/>
      <w:pPr>
        <w:tabs>
          <w:tab w:val="left" w:pos="4099"/>
        </w:tabs>
        <w:ind w:left="4099" w:hanging="420"/>
      </w:pPr>
      <w:rPr>
        <w:rFonts w:cs="Times New Roman"/>
      </w:rPr>
    </w:lvl>
  </w:abstractNum>
  <w:abstractNum w:abstractNumId="220">
    <w:nsid w:val="2A2E6FE1"/>
    <w:multiLevelType w:val="multilevel"/>
    <w:tmpl w:val="2A2E6FE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1">
    <w:nsid w:val="2A6A5989"/>
    <w:multiLevelType w:val="multilevel"/>
    <w:tmpl w:val="2A6A5989"/>
    <w:lvl w:ilvl="0">
      <w:start w:val="1"/>
      <w:numFmt w:val="decimal"/>
      <w:lvlText w:val="%1、"/>
      <w:lvlJc w:val="left"/>
      <w:pPr>
        <w:ind w:left="675" w:hanging="360"/>
      </w:pPr>
      <w:rPr>
        <w:rFonts w:cs="Times New Roman" w:hint="default"/>
      </w:rPr>
    </w:lvl>
    <w:lvl w:ilvl="1">
      <w:start w:val="1"/>
      <w:numFmt w:val="lowerLetter"/>
      <w:lvlText w:val="%2)"/>
      <w:lvlJc w:val="left"/>
      <w:pPr>
        <w:ind w:left="1155" w:hanging="420"/>
      </w:pPr>
      <w:rPr>
        <w:rFonts w:cs="Times New Roman"/>
      </w:rPr>
    </w:lvl>
    <w:lvl w:ilvl="2">
      <w:start w:val="1"/>
      <w:numFmt w:val="lowerRoman"/>
      <w:lvlText w:val="%3."/>
      <w:lvlJc w:val="right"/>
      <w:pPr>
        <w:ind w:left="1575" w:hanging="420"/>
      </w:pPr>
      <w:rPr>
        <w:rFonts w:cs="Times New Roman"/>
      </w:rPr>
    </w:lvl>
    <w:lvl w:ilvl="3">
      <w:start w:val="1"/>
      <w:numFmt w:val="decimal"/>
      <w:lvlText w:val="%4."/>
      <w:lvlJc w:val="left"/>
      <w:pPr>
        <w:ind w:left="1995" w:hanging="420"/>
      </w:pPr>
      <w:rPr>
        <w:rFonts w:cs="Times New Roman"/>
      </w:rPr>
    </w:lvl>
    <w:lvl w:ilvl="4">
      <w:start w:val="1"/>
      <w:numFmt w:val="lowerLetter"/>
      <w:lvlText w:val="%5)"/>
      <w:lvlJc w:val="left"/>
      <w:pPr>
        <w:ind w:left="2415" w:hanging="420"/>
      </w:pPr>
      <w:rPr>
        <w:rFonts w:cs="Times New Roman"/>
      </w:rPr>
    </w:lvl>
    <w:lvl w:ilvl="5">
      <w:start w:val="1"/>
      <w:numFmt w:val="lowerRoman"/>
      <w:lvlText w:val="%6."/>
      <w:lvlJc w:val="right"/>
      <w:pPr>
        <w:ind w:left="2835" w:hanging="420"/>
      </w:pPr>
      <w:rPr>
        <w:rFonts w:cs="Times New Roman"/>
      </w:rPr>
    </w:lvl>
    <w:lvl w:ilvl="6">
      <w:start w:val="1"/>
      <w:numFmt w:val="decimal"/>
      <w:lvlText w:val="%7."/>
      <w:lvlJc w:val="left"/>
      <w:pPr>
        <w:ind w:left="3255" w:hanging="420"/>
      </w:pPr>
      <w:rPr>
        <w:rFonts w:cs="Times New Roman"/>
      </w:rPr>
    </w:lvl>
    <w:lvl w:ilvl="7">
      <w:start w:val="1"/>
      <w:numFmt w:val="lowerLetter"/>
      <w:lvlText w:val="%8)"/>
      <w:lvlJc w:val="left"/>
      <w:pPr>
        <w:ind w:left="3675" w:hanging="420"/>
      </w:pPr>
      <w:rPr>
        <w:rFonts w:cs="Times New Roman"/>
      </w:rPr>
    </w:lvl>
    <w:lvl w:ilvl="8">
      <w:start w:val="1"/>
      <w:numFmt w:val="lowerRoman"/>
      <w:lvlText w:val="%9."/>
      <w:lvlJc w:val="right"/>
      <w:pPr>
        <w:ind w:left="4095" w:hanging="420"/>
      </w:pPr>
      <w:rPr>
        <w:rFonts w:cs="Times New Roman"/>
      </w:rPr>
    </w:lvl>
  </w:abstractNum>
  <w:abstractNum w:abstractNumId="222">
    <w:nsid w:val="2A9B480A"/>
    <w:multiLevelType w:val="multilevel"/>
    <w:tmpl w:val="2A9B480A"/>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3">
    <w:nsid w:val="2AC05289"/>
    <w:multiLevelType w:val="multilevel"/>
    <w:tmpl w:val="2AC05289"/>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4">
    <w:nsid w:val="2AFC3455"/>
    <w:multiLevelType w:val="multilevel"/>
    <w:tmpl w:val="2AFC345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5">
    <w:nsid w:val="2B116B9F"/>
    <w:multiLevelType w:val="multilevel"/>
    <w:tmpl w:val="2B116B9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6">
    <w:nsid w:val="2B215388"/>
    <w:multiLevelType w:val="multilevel"/>
    <w:tmpl w:val="2B215388"/>
    <w:lvl w:ilvl="0">
      <w:start w:val="1"/>
      <w:numFmt w:val="decimal"/>
      <w:lvlText w:val="%1."/>
      <w:lvlJc w:val="left"/>
      <w:pPr>
        <w:tabs>
          <w:tab w:val="left" w:pos="780"/>
        </w:tabs>
        <w:ind w:left="780" w:hanging="420"/>
      </w:pPr>
      <w:rPr>
        <w:rFonts w:cs="Times New Roman"/>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227">
    <w:nsid w:val="2B633CF3"/>
    <w:multiLevelType w:val="multilevel"/>
    <w:tmpl w:val="2B633CF3"/>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228">
    <w:nsid w:val="2B69099B"/>
    <w:multiLevelType w:val="multilevel"/>
    <w:tmpl w:val="2B69099B"/>
    <w:lvl w:ilvl="0">
      <w:start w:val="1"/>
      <w:numFmt w:val="japaneseCounting"/>
      <w:lvlText w:val="第%1节"/>
      <w:lvlJc w:val="left"/>
      <w:pPr>
        <w:ind w:left="1177" w:hanging="103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29">
    <w:nsid w:val="2BA17CB6"/>
    <w:multiLevelType w:val="multilevel"/>
    <w:tmpl w:val="2BA17CB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0">
    <w:nsid w:val="2C0A3B9F"/>
    <w:multiLevelType w:val="multilevel"/>
    <w:tmpl w:val="2C0A3B9F"/>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31">
    <w:nsid w:val="2C196515"/>
    <w:multiLevelType w:val="multilevel"/>
    <w:tmpl w:val="2C19651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2">
    <w:nsid w:val="2C1C58D1"/>
    <w:multiLevelType w:val="multilevel"/>
    <w:tmpl w:val="2C1C58D1"/>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33">
    <w:nsid w:val="2CDB0DBF"/>
    <w:multiLevelType w:val="multilevel"/>
    <w:tmpl w:val="2CDB0DBF"/>
    <w:lvl w:ilvl="0">
      <w:start w:val="1"/>
      <w:numFmt w:val="decimal"/>
      <w:lvlText w:val="%1、"/>
      <w:lvlJc w:val="left"/>
      <w:pPr>
        <w:tabs>
          <w:tab w:val="left" w:pos="480"/>
        </w:tabs>
        <w:ind w:left="480" w:hanging="360"/>
      </w:pPr>
      <w:rPr>
        <w:rFonts w:cs="Times New Roman" w:hint="default"/>
      </w:rPr>
    </w:lvl>
    <w:lvl w:ilvl="1">
      <w:start w:val="1"/>
      <w:numFmt w:val="lowerLetter"/>
      <w:lvlText w:val="%2)"/>
      <w:lvlJc w:val="left"/>
      <w:pPr>
        <w:tabs>
          <w:tab w:val="left" w:pos="960"/>
        </w:tabs>
        <w:ind w:left="960" w:hanging="420"/>
      </w:pPr>
      <w:rPr>
        <w:rFonts w:cs="Times New Roman"/>
      </w:rPr>
    </w:lvl>
    <w:lvl w:ilvl="2">
      <w:start w:val="1"/>
      <w:numFmt w:val="lowerRoman"/>
      <w:lvlText w:val="%3."/>
      <w:lvlJc w:val="right"/>
      <w:pPr>
        <w:tabs>
          <w:tab w:val="left" w:pos="1380"/>
        </w:tabs>
        <w:ind w:left="1380" w:hanging="420"/>
      </w:pPr>
      <w:rPr>
        <w:rFonts w:cs="Times New Roman"/>
      </w:rPr>
    </w:lvl>
    <w:lvl w:ilvl="3">
      <w:start w:val="1"/>
      <w:numFmt w:val="decimal"/>
      <w:lvlText w:val="%4."/>
      <w:lvlJc w:val="left"/>
      <w:pPr>
        <w:tabs>
          <w:tab w:val="left" w:pos="1800"/>
        </w:tabs>
        <w:ind w:left="1800" w:hanging="420"/>
      </w:pPr>
      <w:rPr>
        <w:rFonts w:cs="Times New Roman"/>
      </w:rPr>
    </w:lvl>
    <w:lvl w:ilvl="4">
      <w:start w:val="1"/>
      <w:numFmt w:val="lowerLetter"/>
      <w:lvlText w:val="%5)"/>
      <w:lvlJc w:val="left"/>
      <w:pPr>
        <w:tabs>
          <w:tab w:val="left" w:pos="2220"/>
        </w:tabs>
        <w:ind w:left="2220" w:hanging="420"/>
      </w:pPr>
      <w:rPr>
        <w:rFonts w:cs="Times New Roman"/>
      </w:rPr>
    </w:lvl>
    <w:lvl w:ilvl="5">
      <w:start w:val="1"/>
      <w:numFmt w:val="lowerRoman"/>
      <w:lvlText w:val="%6."/>
      <w:lvlJc w:val="right"/>
      <w:pPr>
        <w:tabs>
          <w:tab w:val="left" w:pos="2640"/>
        </w:tabs>
        <w:ind w:left="2640" w:hanging="420"/>
      </w:pPr>
      <w:rPr>
        <w:rFonts w:cs="Times New Roman"/>
      </w:rPr>
    </w:lvl>
    <w:lvl w:ilvl="6">
      <w:start w:val="1"/>
      <w:numFmt w:val="decimal"/>
      <w:lvlText w:val="%7."/>
      <w:lvlJc w:val="left"/>
      <w:pPr>
        <w:tabs>
          <w:tab w:val="left" w:pos="3060"/>
        </w:tabs>
        <w:ind w:left="3060" w:hanging="420"/>
      </w:pPr>
      <w:rPr>
        <w:rFonts w:cs="Times New Roman"/>
      </w:rPr>
    </w:lvl>
    <w:lvl w:ilvl="7">
      <w:start w:val="1"/>
      <w:numFmt w:val="lowerLetter"/>
      <w:lvlText w:val="%8)"/>
      <w:lvlJc w:val="left"/>
      <w:pPr>
        <w:tabs>
          <w:tab w:val="left" w:pos="3480"/>
        </w:tabs>
        <w:ind w:left="3480" w:hanging="420"/>
      </w:pPr>
      <w:rPr>
        <w:rFonts w:cs="Times New Roman"/>
      </w:rPr>
    </w:lvl>
    <w:lvl w:ilvl="8">
      <w:start w:val="1"/>
      <w:numFmt w:val="lowerRoman"/>
      <w:lvlText w:val="%9."/>
      <w:lvlJc w:val="right"/>
      <w:pPr>
        <w:tabs>
          <w:tab w:val="left" w:pos="3900"/>
        </w:tabs>
        <w:ind w:left="3900" w:hanging="420"/>
      </w:pPr>
      <w:rPr>
        <w:rFonts w:cs="Times New Roman"/>
      </w:rPr>
    </w:lvl>
  </w:abstractNum>
  <w:abstractNum w:abstractNumId="234">
    <w:nsid w:val="2CDE70D7"/>
    <w:multiLevelType w:val="multilevel"/>
    <w:tmpl w:val="2CDE70D7"/>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5">
    <w:nsid w:val="2D33360F"/>
    <w:multiLevelType w:val="multilevel"/>
    <w:tmpl w:val="2D33360F"/>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109" w:hanging="420"/>
      </w:pPr>
      <w:rPr>
        <w:rFonts w:cs="Times New Roman"/>
      </w:rPr>
    </w:lvl>
    <w:lvl w:ilvl="2">
      <w:start w:val="1"/>
      <w:numFmt w:val="lowerRoman"/>
      <w:lvlText w:val="%3."/>
      <w:lvlJc w:val="right"/>
      <w:pPr>
        <w:ind w:left="529" w:hanging="420"/>
      </w:pPr>
      <w:rPr>
        <w:rFonts w:cs="Times New Roman"/>
      </w:rPr>
    </w:lvl>
    <w:lvl w:ilvl="3">
      <w:start w:val="1"/>
      <w:numFmt w:val="decimal"/>
      <w:lvlText w:val="%4."/>
      <w:lvlJc w:val="left"/>
      <w:pPr>
        <w:ind w:left="949" w:hanging="420"/>
      </w:pPr>
      <w:rPr>
        <w:rFonts w:cs="Times New Roman"/>
      </w:rPr>
    </w:lvl>
    <w:lvl w:ilvl="4">
      <w:start w:val="1"/>
      <w:numFmt w:val="lowerLetter"/>
      <w:lvlText w:val="%5)"/>
      <w:lvlJc w:val="left"/>
      <w:pPr>
        <w:ind w:left="1369" w:hanging="420"/>
      </w:pPr>
      <w:rPr>
        <w:rFonts w:cs="Times New Roman"/>
      </w:rPr>
    </w:lvl>
    <w:lvl w:ilvl="5">
      <w:start w:val="1"/>
      <w:numFmt w:val="lowerRoman"/>
      <w:lvlText w:val="%6."/>
      <w:lvlJc w:val="right"/>
      <w:pPr>
        <w:ind w:left="1789" w:hanging="420"/>
      </w:pPr>
      <w:rPr>
        <w:rFonts w:cs="Times New Roman"/>
      </w:rPr>
    </w:lvl>
    <w:lvl w:ilvl="6">
      <w:start w:val="1"/>
      <w:numFmt w:val="decimal"/>
      <w:lvlText w:val="%7."/>
      <w:lvlJc w:val="left"/>
      <w:pPr>
        <w:ind w:left="2209" w:hanging="420"/>
      </w:pPr>
      <w:rPr>
        <w:rFonts w:cs="Times New Roman"/>
      </w:rPr>
    </w:lvl>
    <w:lvl w:ilvl="7">
      <w:start w:val="1"/>
      <w:numFmt w:val="lowerLetter"/>
      <w:lvlText w:val="%8)"/>
      <w:lvlJc w:val="left"/>
      <w:pPr>
        <w:ind w:left="2629" w:hanging="420"/>
      </w:pPr>
      <w:rPr>
        <w:rFonts w:cs="Times New Roman"/>
      </w:rPr>
    </w:lvl>
    <w:lvl w:ilvl="8">
      <w:start w:val="1"/>
      <w:numFmt w:val="lowerRoman"/>
      <w:lvlText w:val="%9."/>
      <w:lvlJc w:val="right"/>
      <w:pPr>
        <w:ind w:left="3049" w:hanging="420"/>
      </w:pPr>
      <w:rPr>
        <w:rFonts w:cs="Times New Roman"/>
      </w:rPr>
    </w:lvl>
  </w:abstractNum>
  <w:abstractNum w:abstractNumId="236">
    <w:nsid w:val="2DC2230C"/>
    <w:multiLevelType w:val="multilevel"/>
    <w:tmpl w:val="2DC2230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7">
    <w:nsid w:val="2DEB5327"/>
    <w:multiLevelType w:val="multilevel"/>
    <w:tmpl w:val="2DEB5327"/>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8">
    <w:nsid w:val="2E4536FE"/>
    <w:multiLevelType w:val="multilevel"/>
    <w:tmpl w:val="2E4536FE"/>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39">
    <w:nsid w:val="2E5F24A8"/>
    <w:multiLevelType w:val="multilevel"/>
    <w:tmpl w:val="2E5F24A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0">
    <w:nsid w:val="2E7B616C"/>
    <w:multiLevelType w:val="multilevel"/>
    <w:tmpl w:val="2E7B616C"/>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241">
    <w:nsid w:val="2EA0705B"/>
    <w:multiLevelType w:val="multilevel"/>
    <w:tmpl w:val="2EA0705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42">
    <w:nsid w:val="2ED03083"/>
    <w:multiLevelType w:val="multilevel"/>
    <w:tmpl w:val="2ED03083"/>
    <w:lvl w:ilvl="0">
      <w:start w:val="1"/>
      <w:numFmt w:val="decimal"/>
      <w:lvlText w:val="%1、"/>
      <w:lvlJc w:val="left"/>
      <w:pPr>
        <w:tabs>
          <w:tab w:val="left" w:pos="1260"/>
        </w:tabs>
        <w:ind w:left="1260" w:hanging="360"/>
      </w:pPr>
      <w:rPr>
        <w:rFonts w:cs="Times New Roman" w:hint="default"/>
      </w:rPr>
    </w:lvl>
    <w:lvl w:ilvl="1">
      <w:start w:val="1"/>
      <w:numFmt w:val="lowerLetter"/>
      <w:lvlText w:val="%2)"/>
      <w:lvlJc w:val="left"/>
      <w:pPr>
        <w:tabs>
          <w:tab w:val="left" w:pos="1740"/>
        </w:tabs>
        <w:ind w:left="1740" w:hanging="420"/>
      </w:pPr>
      <w:rPr>
        <w:rFonts w:cs="Times New Roman"/>
      </w:rPr>
    </w:lvl>
    <w:lvl w:ilvl="2">
      <w:start w:val="1"/>
      <w:numFmt w:val="lowerRoman"/>
      <w:lvlText w:val="%3."/>
      <w:lvlJc w:val="right"/>
      <w:pPr>
        <w:tabs>
          <w:tab w:val="left" w:pos="2160"/>
        </w:tabs>
        <w:ind w:left="2160" w:hanging="420"/>
      </w:pPr>
      <w:rPr>
        <w:rFonts w:cs="Times New Roman"/>
      </w:rPr>
    </w:lvl>
    <w:lvl w:ilvl="3">
      <w:start w:val="1"/>
      <w:numFmt w:val="decimal"/>
      <w:lvlText w:val="%4."/>
      <w:lvlJc w:val="left"/>
      <w:pPr>
        <w:tabs>
          <w:tab w:val="left" w:pos="2580"/>
        </w:tabs>
        <w:ind w:left="2580" w:hanging="420"/>
      </w:pPr>
      <w:rPr>
        <w:rFonts w:cs="Times New Roman"/>
      </w:rPr>
    </w:lvl>
    <w:lvl w:ilvl="4">
      <w:start w:val="1"/>
      <w:numFmt w:val="lowerLetter"/>
      <w:lvlText w:val="%5)"/>
      <w:lvlJc w:val="left"/>
      <w:pPr>
        <w:tabs>
          <w:tab w:val="left" w:pos="3000"/>
        </w:tabs>
        <w:ind w:left="3000" w:hanging="420"/>
      </w:pPr>
      <w:rPr>
        <w:rFonts w:cs="Times New Roman"/>
      </w:rPr>
    </w:lvl>
    <w:lvl w:ilvl="5">
      <w:start w:val="1"/>
      <w:numFmt w:val="lowerRoman"/>
      <w:lvlText w:val="%6."/>
      <w:lvlJc w:val="right"/>
      <w:pPr>
        <w:tabs>
          <w:tab w:val="left" w:pos="3420"/>
        </w:tabs>
        <w:ind w:left="3420" w:hanging="420"/>
      </w:pPr>
      <w:rPr>
        <w:rFonts w:cs="Times New Roman"/>
      </w:rPr>
    </w:lvl>
    <w:lvl w:ilvl="6">
      <w:start w:val="1"/>
      <w:numFmt w:val="decimal"/>
      <w:lvlText w:val="%7."/>
      <w:lvlJc w:val="left"/>
      <w:pPr>
        <w:tabs>
          <w:tab w:val="left" w:pos="3840"/>
        </w:tabs>
        <w:ind w:left="3840" w:hanging="420"/>
      </w:pPr>
      <w:rPr>
        <w:rFonts w:cs="Times New Roman"/>
      </w:rPr>
    </w:lvl>
    <w:lvl w:ilvl="7">
      <w:start w:val="1"/>
      <w:numFmt w:val="lowerLetter"/>
      <w:lvlText w:val="%8)"/>
      <w:lvlJc w:val="left"/>
      <w:pPr>
        <w:tabs>
          <w:tab w:val="left" w:pos="4260"/>
        </w:tabs>
        <w:ind w:left="4260" w:hanging="420"/>
      </w:pPr>
      <w:rPr>
        <w:rFonts w:cs="Times New Roman"/>
      </w:rPr>
    </w:lvl>
    <w:lvl w:ilvl="8">
      <w:start w:val="1"/>
      <w:numFmt w:val="lowerRoman"/>
      <w:lvlText w:val="%9."/>
      <w:lvlJc w:val="right"/>
      <w:pPr>
        <w:tabs>
          <w:tab w:val="left" w:pos="4680"/>
        </w:tabs>
        <w:ind w:left="4680" w:hanging="420"/>
      </w:pPr>
      <w:rPr>
        <w:rFonts w:cs="Times New Roman"/>
      </w:rPr>
    </w:lvl>
  </w:abstractNum>
  <w:abstractNum w:abstractNumId="243">
    <w:nsid w:val="2EDB3436"/>
    <w:multiLevelType w:val="multilevel"/>
    <w:tmpl w:val="2EDB3436"/>
    <w:lvl w:ilvl="0">
      <w:start w:val="3"/>
      <w:numFmt w:val="decimal"/>
      <w:lvlText w:val="%1."/>
      <w:lvlJc w:val="left"/>
      <w:pPr>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4">
    <w:nsid w:val="2EEC4506"/>
    <w:multiLevelType w:val="multilevel"/>
    <w:tmpl w:val="2EEC4506"/>
    <w:lvl w:ilvl="0">
      <w:start w:val="1"/>
      <w:numFmt w:val="decimal"/>
      <w:lvlText w:val="%1."/>
      <w:lvlJc w:val="left"/>
      <w:pPr>
        <w:tabs>
          <w:tab w:val="left" w:pos="0"/>
        </w:tabs>
        <w:ind w:left="1208" w:hanging="360"/>
      </w:pPr>
      <w:rPr>
        <w:rFonts w:cs="Times New Roman" w:hint="default"/>
      </w:rPr>
    </w:lvl>
    <w:lvl w:ilvl="1">
      <w:start w:val="1"/>
      <w:numFmt w:val="lowerLetter"/>
      <w:lvlText w:val="%2)"/>
      <w:lvlJc w:val="left"/>
      <w:pPr>
        <w:tabs>
          <w:tab w:val="left" w:pos="0"/>
        </w:tabs>
        <w:ind w:left="1688" w:hanging="420"/>
      </w:pPr>
      <w:rPr>
        <w:rFonts w:cs="Times New Roman"/>
      </w:rPr>
    </w:lvl>
    <w:lvl w:ilvl="2">
      <w:start w:val="1"/>
      <w:numFmt w:val="lowerRoman"/>
      <w:lvlText w:val="%3."/>
      <w:lvlJc w:val="right"/>
      <w:pPr>
        <w:tabs>
          <w:tab w:val="left" w:pos="0"/>
        </w:tabs>
        <w:ind w:left="2108" w:hanging="420"/>
      </w:pPr>
      <w:rPr>
        <w:rFonts w:cs="Times New Roman"/>
      </w:rPr>
    </w:lvl>
    <w:lvl w:ilvl="3">
      <w:start w:val="1"/>
      <w:numFmt w:val="decimal"/>
      <w:lvlText w:val="%4."/>
      <w:lvlJc w:val="left"/>
      <w:pPr>
        <w:tabs>
          <w:tab w:val="left" w:pos="0"/>
        </w:tabs>
        <w:ind w:left="2528" w:hanging="420"/>
      </w:pPr>
      <w:rPr>
        <w:rFonts w:cs="Times New Roman"/>
      </w:rPr>
    </w:lvl>
    <w:lvl w:ilvl="4">
      <w:start w:val="1"/>
      <w:numFmt w:val="lowerLetter"/>
      <w:lvlText w:val="%5)"/>
      <w:lvlJc w:val="left"/>
      <w:pPr>
        <w:tabs>
          <w:tab w:val="left" w:pos="0"/>
        </w:tabs>
        <w:ind w:left="2948" w:hanging="420"/>
      </w:pPr>
      <w:rPr>
        <w:rFonts w:cs="Times New Roman"/>
      </w:rPr>
    </w:lvl>
    <w:lvl w:ilvl="5">
      <w:start w:val="1"/>
      <w:numFmt w:val="lowerRoman"/>
      <w:lvlText w:val="%6."/>
      <w:lvlJc w:val="right"/>
      <w:pPr>
        <w:tabs>
          <w:tab w:val="left" w:pos="0"/>
        </w:tabs>
        <w:ind w:left="3368" w:hanging="420"/>
      </w:pPr>
      <w:rPr>
        <w:rFonts w:cs="Times New Roman"/>
      </w:rPr>
    </w:lvl>
    <w:lvl w:ilvl="6">
      <w:start w:val="1"/>
      <w:numFmt w:val="decimal"/>
      <w:lvlText w:val="%7."/>
      <w:lvlJc w:val="left"/>
      <w:pPr>
        <w:tabs>
          <w:tab w:val="left" w:pos="0"/>
        </w:tabs>
        <w:ind w:left="3788" w:hanging="420"/>
      </w:pPr>
      <w:rPr>
        <w:rFonts w:cs="Times New Roman"/>
      </w:rPr>
    </w:lvl>
    <w:lvl w:ilvl="7">
      <w:start w:val="1"/>
      <w:numFmt w:val="lowerLetter"/>
      <w:lvlText w:val="%8)"/>
      <w:lvlJc w:val="left"/>
      <w:pPr>
        <w:tabs>
          <w:tab w:val="left" w:pos="0"/>
        </w:tabs>
        <w:ind w:left="4208" w:hanging="420"/>
      </w:pPr>
      <w:rPr>
        <w:rFonts w:cs="Times New Roman"/>
      </w:rPr>
    </w:lvl>
    <w:lvl w:ilvl="8">
      <w:start w:val="1"/>
      <w:numFmt w:val="lowerRoman"/>
      <w:lvlText w:val="%9."/>
      <w:lvlJc w:val="right"/>
      <w:pPr>
        <w:tabs>
          <w:tab w:val="left" w:pos="0"/>
        </w:tabs>
        <w:ind w:left="4628" w:hanging="420"/>
      </w:pPr>
      <w:rPr>
        <w:rFonts w:cs="Times New Roman"/>
      </w:rPr>
    </w:lvl>
  </w:abstractNum>
  <w:abstractNum w:abstractNumId="245">
    <w:nsid w:val="2EF52547"/>
    <w:multiLevelType w:val="multilevel"/>
    <w:tmpl w:val="2EF5254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46">
    <w:nsid w:val="2EFA72AC"/>
    <w:multiLevelType w:val="multilevel"/>
    <w:tmpl w:val="2EFA72A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47">
    <w:nsid w:val="2F0F19FD"/>
    <w:multiLevelType w:val="multilevel"/>
    <w:tmpl w:val="2F0F19FD"/>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8">
    <w:nsid w:val="2F230824"/>
    <w:multiLevelType w:val="multilevel"/>
    <w:tmpl w:val="2F230824"/>
    <w:lvl w:ilvl="0">
      <w:start w:val="1"/>
      <w:numFmt w:val="decimal"/>
      <w:lvlText w:val="%1."/>
      <w:lvlJc w:val="left"/>
      <w:pPr>
        <w:tabs>
          <w:tab w:val="left" w:pos="785"/>
        </w:tabs>
        <w:ind w:left="785" w:hanging="360"/>
      </w:pPr>
      <w:rPr>
        <w:rFonts w:cs="Times New Roman" w:hint="default"/>
      </w:rPr>
    </w:lvl>
    <w:lvl w:ilvl="1">
      <w:start w:val="1"/>
      <w:numFmt w:val="lowerLetter"/>
      <w:lvlText w:val="%2)"/>
      <w:lvlJc w:val="left"/>
      <w:pPr>
        <w:tabs>
          <w:tab w:val="left" w:pos="1265"/>
        </w:tabs>
        <w:ind w:left="1265" w:hanging="420"/>
      </w:pPr>
      <w:rPr>
        <w:rFonts w:cs="Times New Roman"/>
      </w:rPr>
    </w:lvl>
    <w:lvl w:ilvl="2">
      <w:start w:val="1"/>
      <w:numFmt w:val="lowerRoman"/>
      <w:lvlText w:val="%3."/>
      <w:lvlJc w:val="right"/>
      <w:pPr>
        <w:tabs>
          <w:tab w:val="left" w:pos="1685"/>
        </w:tabs>
        <w:ind w:left="1685" w:hanging="420"/>
      </w:pPr>
      <w:rPr>
        <w:rFonts w:cs="Times New Roman"/>
      </w:rPr>
    </w:lvl>
    <w:lvl w:ilvl="3">
      <w:start w:val="1"/>
      <w:numFmt w:val="decimal"/>
      <w:lvlText w:val="%4."/>
      <w:lvlJc w:val="left"/>
      <w:pPr>
        <w:tabs>
          <w:tab w:val="left" w:pos="2105"/>
        </w:tabs>
        <w:ind w:left="2105" w:hanging="420"/>
      </w:pPr>
      <w:rPr>
        <w:rFonts w:cs="Times New Roman"/>
      </w:rPr>
    </w:lvl>
    <w:lvl w:ilvl="4">
      <w:start w:val="1"/>
      <w:numFmt w:val="lowerLetter"/>
      <w:lvlText w:val="%5)"/>
      <w:lvlJc w:val="left"/>
      <w:pPr>
        <w:tabs>
          <w:tab w:val="left" w:pos="2525"/>
        </w:tabs>
        <w:ind w:left="2525" w:hanging="420"/>
      </w:pPr>
      <w:rPr>
        <w:rFonts w:cs="Times New Roman"/>
      </w:rPr>
    </w:lvl>
    <w:lvl w:ilvl="5">
      <w:start w:val="1"/>
      <w:numFmt w:val="lowerRoman"/>
      <w:lvlText w:val="%6."/>
      <w:lvlJc w:val="right"/>
      <w:pPr>
        <w:tabs>
          <w:tab w:val="left" w:pos="2945"/>
        </w:tabs>
        <w:ind w:left="2945" w:hanging="420"/>
      </w:pPr>
      <w:rPr>
        <w:rFonts w:cs="Times New Roman"/>
      </w:rPr>
    </w:lvl>
    <w:lvl w:ilvl="6">
      <w:start w:val="1"/>
      <w:numFmt w:val="decimal"/>
      <w:lvlText w:val="%7."/>
      <w:lvlJc w:val="left"/>
      <w:pPr>
        <w:tabs>
          <w:tab w:val="left" w:pos="3365"/>
        </w:tabs>
        <w:ind w:left="3365" w:hanging="420"/>
      </w:pPr>
      <w:rPr>
        <w:rFonts w:cs="Times New Roman"/>
      </w:rPr>
    </w:lvl>
    <w:lvl w:ilvl="7">
      <w:start w:val="1"/>
      <w:numFmt w:val="lowerLetter"/>
      <w:lvlText w:val="%8)"/>
      <w:lvlJc w:val="left"/>
      <w:pPr>
        <w:tabs>
          <w:tab w:val="left" w:pos="3785"/>
        </w:tabs>
        <w:ind w:left="3785" w:hanging="420"/>
      </w:pPr>
      <w:rPr>
        <w:rFonts w:cs="Times New Roman"/>
      </w:rPr>
    </w:lvl>
    <w:lvl w:ilvl="8">
      <w:start w:val="1"/>
      <w:numFmt w:val="lowerRoman"/>
      <w:lvlText w:val="%9."/>
      <w:lvlJc w:val="right"/>
      <w:pPr>
        <w:tabs>
          <w:tab w:val="left" w:pos="4205"/>
        </w:tabs>
        <w:ind w:left="4205" w:hanging="420"/>
      </w:pPr>
      <w:rPr>
        <w:rFonts w:cs="Times New Roman"/>
      </w:rPr>
    </w:lvl>
  </w:abstractNum>
  <w:abstractNum w:abstractNumId="249">
    <w:nsid w:val="2F7267E5"/>
    <w:multiLevelType w:val="multilevel"/>
    <w:tmpl w:val="2F7267E5"/>
    <w:lvl w:ilvl="0">
      <w:start w:val="1"/>
      <w:numFmt w:val="decimal"/>
      <w:lvlText w:val="%1."/>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0">
    <w:nsid w:val="2F811D80"/>
    <w:multiLevelType w:val="multilevel"/>
    <w:tmpl w:val="2F811D80"/>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1">
    <w:nsid w:val="2FA474D2"/>
    <w:multiLevelType w:val="multilevel"/>
    <w:tmpl w:val="2FA474D2"/>
    <w:lvl w:ilvl="0">
      <w:start w:val="1"/>
      <w:numFmt w:val="japaneseCounting"/>
      <w:lvlText w:val="第%1节"/>
      <w:lvlJc w:val="left"/>
      <w:pPr>
        <w:tabs>
          <w:tab w:val="left" w:pos="990"/>
        </w:tabs>
        <w:ind w:left="990" w:hanging="99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2">
    <w:nsid w:val="2FB1458F"/>
    <w:multiLevelType w:val="multilevel"/>
    <w:tmpl w:val="2FB1458F"/>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253">
    <w:nsid w:val="2FFE5589"/>
    <w:multiLevelType w:val="multilevel"/>
    <w:tmpl w:val="2FFE5589"/>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4">
    <w:nsid w:val="30573626"/>
    <w:multiLevelType w:val="singleLevel"/>
    <w:tmpl w:val="30573626"/>
    <w:lvl w:ilvl="0">
      <w:start w:val="1"/>
      <w:numFmt w:val="decimal"/>
      <w:lvlText w:val="%1."/>
      <w:lvlJc w:val="left"/>
      <w:pPr>
        <w:tabs>
          <w:tab w:val="left" w:pos="700"/>
        </w:tabs>
        <w:ind w:left="700" w:hanging="420"/>
      </w:pPr>
      <w:rPr>
        <w:rFonts w:cs="Times New Roman" w:hint="eastAsia"/>
      </w:rPr>
    </w:lvl>
  </w:abstractNum>
  <w:abstractNum w:abstractNumId="255">
    <w:nsid w:val="3064182A"/>
    <w:multiLevelType w:val="multilevel"/>
    <w:tmpl w:val="3064182A"/>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6">
    <w:nsid w:val="30724933"/>
    <w:multiLevelType w:val="multilevel"/>
    <w:tmpl w:val="30724933"/>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57">
    <w:nsid w:val="310079DC"/>
    <w:multiLevelType w:val="multilevel"/>
    <w:tmpl w:val="310079D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8">
    <w:nsid w:val="31427FBA"/>
    <w:multiLevelType w:val="multilevel"/>
    <w:tmpl w:val="31427FBA"/>
    <w:lvl w:ilvl="0">
      <w:start w:val="1"/>
      <w:numFmt w:val="decimal"/>
      <w:lvlText w:val="%1、"/>
      <w:lvlJc w:val="left"/>
      <w:pPr>
        <w:tabs>
          <w:tab w:val="left" w:pos="670"/>
        </w:tabs>
        <w:ind w:left="670" w:hanging="360"/>
      </w:pPr>
      <w:rPr>
        <w:rFonts w:ascii="Calibri" w:eastAsia="宋体" w:hAnsi="Calibri" w:cs="Times New Roman"/>
      </w:rPr>
    </w:lvl>
    <w:lvl w:ilvl="1">
      <w:start w:val="1"/>
      <w:numFmt w:val="lowerLetter"/>
      <w:lvlText w:val="%2)"/>
      <w:lvlJc w:val="left"/>
      <w:pPr>
        <w:tabs>
          <w:tab w:val="left" w:pos="1150"/>
        </w:tabs>
        <w:ind w:left="1150" w:hanging="420"/>
      </w:pPr>
      <w:rPr>
        <w:rFonts w:cs="Times New Roman"/>
      </w:rPr>
    </w:lvl>
    <w:lvl w:ilvl="2">
      <w:start w:val="1"/>
      <w:numFmt w:val="lowerRoman"/>
      <w:lvlText w:val="%3."/>
      <w:lvlJc w:val="right"/>
      <w:pPr>
        <w:tabs>
          <w:tab w:val="left" w:pos="1570"/>
        </w:tabs>
        <w:ind w:left="1570" w:hanging="420"/>
      </w:pPr>
      <w:rPr>
        <w:rFonts w:cs="Times New Roman"/>
      </w:rPr>
    </w:lvl>
    <w:lvl w:ilvl="3">
      <w:start w:val="1"/>
      <w:numFmt w:val="decimal"/>
      <w:lvlText w:val="%4."/>
      <w:lvlJc w:val="left"/>
      <w:pPr>
        <w:tabs>
          <w:tab w:val="left" w:pos="1990"/>
        </w:tabs>
        <w:ind w:left="1990" w:hanging="420"/>
      </w:pPr>
      <w:rPr>
        <w:rFonts w:cs="Times New Roman"/>
      </w:rPr>
    </w:lvl>
    <w:lvl w:ilvl="4">
      <w:start w:val="1"/>
      <w:numFmt w:val="lowerLetter"/>
      <w:lvlText w:val="%5)"/>
      <w:lvlJc w:val="left"/>
      <w:pPr>
        <w:tabs>
          <w:tab w:val="left" w:pos="2410"/>
        </w:tabs>
        <w:ind w:left="2410" w:hanging="420"/>
      </w:pPr>
      <w:rPr>
        <w:rFonts w:cs="Times New Roman"/>
      </w:rPr>
    </w:lvl>
    <w:lvl w:ilvl="5">
      <w:start w:val="1"/>
      <w:numFmt w:val="lowerRoman"/>
      <w:lvlText w:val="%6."/>
      <w:lvlJc w:val="right"/>
      <w:pPr>
        <w:tabs>
          <w:tab w:val="left" w:pos="2830"/>
        </w:tabs>
        <w:ind w:left="2830" w:hanging="420"/>
      </w:pPr>
      <w:rPr>
        <w:rFonts w:cs="Times New Roman"/>
      </w:rPr>
    </w:lvl>
    <w:lvl w:ilvl="6">
      <w:start w:val="1"/>
      <w:numFmt w:val="decimal"/>
      <w:lvlText w:val="%7."/>
      <w:lvlJc w:val="left"/>
      <w:pPr>
        <w:tabs>
          <w:tab w:val="left" w:pos="3250"/>
        </w:tabs>
        <w:ind w:left="3250" w:hanging="420"/>
      </w:pPr>
      <w:rPr>
        <w:rFonts w:cs="Times New Roman"/>
      </w:rPr>
    </w:lvl>
    <w:lvl w:ilvl="7">
      <w:start w:val="1"/>
      <w:numFmt w:val="lowerLetter"/>
      <w:lvlText w:val="%8)"/>
      <w:lvlJc w:val="left"/>
      <w:pPr>
        <w:tabs>
          <w:tab w:val="left" w:pos="3670"/>
        </w:tabs>
        <w:ind w:left="3670" w:hanging="420"/>
      </w:pPr>
      <w:rPr>
        <w:rFonts w:cs="Times New Roman"/>
      </w:rPr>
    </w:lvl>
    <w:lvl w:ilvl="8">
      <w:start w:val="1"/>
      <w:numFmt w:val="lowerRoman"/>
      <w:lvlText w:val="%9."/>
      <w:lvlJc w:val="right"/>
      <w:pPr>
        <w:tabs>
          <w:tab w:val="left" w:pos="4090"/>
        </w:tabs>
        <w:ind w:left="4090" w:hanging="420"/>
      </w:pPr>
      <w:rPr>
        <w:rFonts w:cs="Times New Roman"/>
      </w:rPr>
    </w:lvl>
  </w:abstractNum>
  <w:abstractNum w:abstractNumId="259">
    <w:nsid w:val="318B53B5"/>
    <w:multiLevelType w:val="multilevel"/>
    <w:tmpl w:val="318B53B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60">
    <w:nsid w:val="31A40F68"/>
    <w:multiLevelType w:val="multilevel"/>
    <w:tmpl w:val="31A40F68"/>
    <w:lvl w:ilvl="0">
      <w:start w:val="1"/>
      <w:numFmt w:val="decimal"/>
      <w:lvlText w:val="%1、"/>
      <w:lvlJc w:val="left"/>
      <w:pPr>
        <w:ind w:left="795" w:hanging="360"/>
      </w:pPr>
      <w:rPr>
        <w:rFonts w:cs="Times New Roman" w:hint="default"/>
      </w:rPr>
    </w:lvl>
    <w:lvl w:ilvl="1">
      <w:start w:val="1"/>
      <w:numFmt w:val="lowerLetter"/>
      <w:lvlText w:val="%2)"/>
      <w:lvlJc w:val="left"/>
      <w:pPr>
        <w:ind w:left="1275" w:hanging="420"/>
      </w:pPr>
      <w:rPr>
        <w:rFonts w:cs="Times New Roman"/>
      </w:rPr>
    </w:lvl>
    <w:lvl w:ilvl="2">
      <w:start w:val="1"/>
      <w:numFmt w:val="lowerRoman"/>
      <w:lvlText w:val="%3."/>
      <w:lvlJc w:val="right"/>
      <w:pPr>
        <w:ind w:left="1695" w:hanging="420"/>
      </w:pPr>
      <w:rPr>
        <w:rFonts w:cs="Times New Roman"/>
      </w:rPr>
    </w:lvl>
    <w:lvl w:ilvl="3">
      <w:start w:val="1"/>
      <w:numFmt w:val="decimal"/>
      <w:lvlText w:val="%4."/>
      <w:lvlJc w:val="left"/>
      <w:pPr>
        <w:ind w:left="2115" w:hanging="420"/>
      </w:pPr>
      <w:rPr>
        <w:rFonts w:cs="Times New Roman"/>
      </w:rPr>
    </w:lvl>
    <w:lvl w:ilvl="4">
      <w:start w:val="1"/>
      <w:numFmt w:val="lowerLetter"/>
      <w:lvlText w:val="%5)"/>
      <w:lvlJc w:val="left"/>
      <w:pPr>
        <w:ind w:left="2535" w:hanging="420"/>
      </w:pPr>
      <w:rPr>
        <w:rFonts w:cs="Times New Roman"/>
      </w:rPr>
    </w:lvl>
    <w:lvl w:ilvl="5">
      <w:start w:val="1"/>
      <w:numFmt w:val="lowerRoman"/>
      <w:lvlText w:val="%6."/>
      <w:lvlJc w:val="right"/>
      <w:pPr>
        <w:ind w:left="2955" w:hanging="420"/>
      </w:pPr>
      <w:rPr>
        <w:rFonts w:cs="Times New Roman"/>
      </w:rPr>
    </w:lvl>
    <w:lvl w:ilvl="6">
      <w:start w:val="1"/>
      <w:numFmt w:val="decimal"/>
      <w:lvlText w:val="%7."/>
      <w:lvlJc w:val="left"/>
      <w:pPr>
        <w:ind w:left="3375" w:hanging="420"/>
      </w:pPr>
      <w:rPr>
        <w:rFonts w:cs="Times New Roman"/>
      </w:rPr>
    </w:lvl>
    <w:lvl w:ilvl="7">
      <w:start w:val="1"/>
      <w:numFmt w:val="lowerLetter"/>
      <w:lvlText w:val="%8)"/>
      <w:lvlJc w:val="left"/>
      <w:pPr>
        <w:ind w:left="3795" w:hanging="420"/>
      </w:pPr>
      <w:rPr>
        <w:rFonts w:cs="Times New Roman"/>
      </w:rPr>
    </w:lvl>
    <w:lvl w:ilvl="8">
      <w:start w:val="1"/>
      <w:numFmt w:val="lowerRoman"/>
      <w:lvlText w:val="%9."/>
      <w:lvlJc w:val="right"/>
      <w:pPr>
        <w:ind w:left="4215" w:hanging="420"/>
      </w:pPr>
      <w:rPr>
        <w:rFonts w:cs="Times New Roman"/>
      </w:rPr>
    </w:lvl>
  </w:abstractNum>
  <w:abstractNum w:abstractNumId="261">
    <w:nsid w:val="31FB2BC6"/>
    <w:multiLevelType w:val="multilevel"/>
    <w:tmpl w:val="31FB2BC6"/>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262">
    <w:nsid w:val="32024165"/>
    <w:multiLevelType w:val="multilevel"/>
    <w:tmpl w:val="32024165"/>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263">
    <w:nsid w:val="32B21A48"/>
    <w:multiLevelType w:val="multilevel"/>
    <w:tmpl w:val="32B21A48"/>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64">
    <w:nsid w:val="32B762EE"/>
    <w:multiLevelType w:val="multilevel"/>
    <w:tmpl w:val="32B762EE"/>
    <w:lvl w:ilvl="0">
      <w:start w:val="1"/>
      <w:numFmt w:val="decimal"/>
      <w:lvlText w:val="%1."/>
      <w:lvlJc w:val="left"/>
      <w:pPr>
        <w:tabs>
          <w:tab w:val="left" w:pos="780"/>
        </w:tabs>
        <w:ind w:left="78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5">
    <w:nsid w:val="33370BE8"/>
    <w:multiLevelType w:val="multilevel"/>
    <w:tmpl w:val="33370BE8"/>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66">
    <w:nsid w:val="335745F0"/>
    <w:multiLevelType w:val="multilevel"/>
    <w:tmpl w:val="335745F0"/>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7">
    <w:nsid w:val="33737C58"/>
    <w:multiLevelType w:val="multilevel"/>
    <w:tmpl w:val="33737C58"/>
    <w:lvl w:ilvl="0">
      <w:start w:val="1"/>
      <w:numFmt w:val="upperLetter"/>
      <w:lvlText w:val="%1."/>
      <w:lvlJc w:val="left"/>
      <w:pPr>
        <w:tabs>
          <w:tab w:val="left" w:pos="780"/>
        </w:tabs>
        <w:ind w:left="7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8">
    <w:nsid w:val="33BD27D8"/>
    <w:multiLevelType w:val="multilevel"/>
    <w:tmpl w:val="33BD27D8"/>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9">
    <w:nsid w:val="33FB60CF"/>
    <w:multiLevelType w:val="multilevel"/>
    <w:tmpl w:val="33FB60CF"/>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0">
    <w:nsid w:val="345C7AF4"/>
    <w:multiLevelType w:val="multilevel"/>
    <w:tmpl w:val="345C7AF4"/>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1">
    <w:nsid w:val="346832CB"/>
    <w:multiLevelType w:val="multilevel"/>
    <w:tmpl w:val="346832CB"/>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72">
    <w:nsid w:val="34F56079"/>
    <w:multiLevelType w:val="multilevel"/>
    <w:tmpl w:val="34F56079"/>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3">
    <w:nsid w:val="352175FD"/>
    <w:multiLevelType w:val="multilevel"/>
    <w:tmpl w:val="352175FD"/>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4">
    <w:nsid w:val="3573316D"/>
    <w:multiLevelType w:val="multilevel"/>
    <w:tmpl w:val="3573316D"/>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5">
    <w:nsid w:val="361B61BF"/>
    <w:multiLevelType w:val="multilevel"/>
    <w:tmpl w:val="361B61B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6">
    <w:nsid w:val="368B3B51"/>
    <w:multiLevelType w:val="multilevel"/>
    <w:tmpl w:val="368B3B51"/>
    <w:lvl w:ilvl="0">
      <w:start w:val="1"/>
      <w:numFmt w:val="decimal"/>
      <w:lvlText w:val="%1、"/>
      <w:lvlJc w:val="left"/>
      <w:pPr>
        <w:tabs>
          <w:tab w:val="left" w:pos="795"/>
        </w:tabs>
        <w:ind w:left="795" w:hanging="360"/>
      </w:pPr>
      <w:rPr>
        <w:rFonts w:cs="Times New Roman" w:hint="default"/>
      </w:rPr>
    </w:lvl>
    <w:lvl w:ilvl="1">
      <w:start w:val="1"/>
      <w:numFmt w:val="lowerLetter"/>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lvlText w:val="%4."/>
      <w:lvlJc w:val="left"/>
      <w:pPr>
        <w:tabs>
          <w:tab w:val="left" w:pos="2115"/>
        </w:tabs>
        <w:ind w:left="2115" w:hanging="420"/>
      </w:pPr>
      <w:rPr>
        <w:rFonts w:cs="Times New Roman"/>
      </w:rPr>
    </w:lvl>
    <w:lvl w:ilvl="4">
      <w:start w:val="1"/>
      <w:numFmt w:val="lowerLetter"/>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277">
    <w:nsid w:val="369C3B23"/>
    <w:multiLevelType w:val="multilevel"/>
    <w:tmpl w:val="369C3B23"/>
    <w:lvl w:ilvl="0">
      <w:start w:val="1"/>
      <w:numFmt w:val="decimal"/>
      <w:lvlText w:val="%1."/>
      <w:lvlJc w:val="left"/>
      <w:pPr>
        <w:tabs>
          <w:tab w:val="left" w:pos="0"/>
        </w:tabs>
        <w:ind w:left="1200" w:hanging="360"/>
      </w:pPr>
      <w:rPr>
        <w:rFonts w:cs="Times New Roman" w:hint="default"/>
      </w:rPr>
    </w:lvl>
    <w:lvl w:ilvl="1">
      <w:start w:val="1"/>
      <w:numFmt w:val="lowerLetter"/>
      <w:lvlText w:val="%2)"/>
      <w:lvlJc w:val="left"/>
      <w:pPr>
        <w:tabs>
          <w:tab w:val="left" w:pos="0"/>
        </w:tabs>
        <w:ind w:left="1680" w:hanging="420"/>
      </w:pPr>
      <w:rPr>
        <w:rFonts w:cs="Times New Roman"/>
      </w:rPr>
    </w:lvl>
    <w:lvl w:ilvl="2">
      <w:start w:val="1"/>
      <w:numFmt w:val="lowerRoman"/>
      <w:lvlText w:val="%3."/>
      <w:lvlJc w:val="right"/>
      <w:pPr>
        <w:tabs>
          <w:tab w:val="left" w:pos="0"/>
        </w:tabs>
        <w:ind w:left="2100" w:hanging="420"/>
      </w:pPr>
      <w:rPr>
        <w:rFonts w:cs="Times New Roman"/>
      </w:rPr>
    </w:lvl>
    <w:lvl w:ilvl="3">
      <w:start w:val="1"/>
      <w:numFmt w:val="decimal"/>
      <w:lvlText w:val="%4."/>
      <w:lvlJc w:val="left"/>
      <w:pPr>
        <w:tabs>
          <w:tab w:val="left" w:pos="0"/>
        </w:tabs>
        <w:ind w:left="2520" w:hanging="420"/>
      </w:pPr>
      <w:rPr>
        <w:rFonts w:cs="Times New Roman"/>
      </w:rPr>
    </w:lvl>
    <w:lvl w:ilvl="4">
      <w:start w:val="1"/>
      <w:numFmt w:val="lowerLetter"/>
      <w:lvlText w:val="%5)"/>
      <w:lvlJc w:val="left"/>
      <w:pPr>
        <w:tabs>
          <w:tab w:val="left" w:pos="0"/>
        </w:tabs>
        <w:ind w:left="2940" w:hanging="420"/>
      </w:pPr>
      <w:rPr>
        <w:rFonts w:cs="Times New Roman"/>
      </w:rPr>
    </w:lvl>
    <w:lvl w:ilvl="5">
      <w:start w:val="1"/>
      <w:numFmt w:val="lowerRoman"/>
      <w:lvlText w:val="%6."/>
      <w:lvlJc w:val="right"/>
      <w:pPr>
        <w:tabs>
          <w:tab w:val="left" w:pos="0"/>
        </w:tabs>
        <w:ind w:left="3360" w:hanging="420"/>
      </w:pPr>
      <w:rPr>
        <w:rFonts w:cs="Times New Roman"/>
      </w:rPr>
    </w:lvl>
    <w:lvl w:ilvl="6">
      <w:start w:val="1"/>
      <w:numFmt w:val="decimal"/>
      <w:lvlText w:val="%7."/>
      <w:lvlJc w:val="left"/>
      <w:pPr>
        <w:tabs>
          <w:tab w:val="left" w:pos="0"/>
        </w:tabs>
        <w:ind w:left="3780" w:hanging="420"/>
      </w:pPr>
      <w:rPr>
        <w:rFonts w:cs="Times New Roman"/>
      </w:rPr>
    </w:lvl>
    <w:lvl w:ilvl="7">
      <w:start w:val="1"/>
      <w:numFmt w:val="lowerLetter"/>
      <w:lvlText w:val="%8)"/>
      <w:lvlJc w:val="left"/>
      <w:pPr>
        <w:tabs>
          <w:tab w:val="left" w:pos="0"/>
        </w:tabs>
        <w:ind w:left="4200" w:hanging="420"/>
      </w:pPr>
      <w:rPr>
        <w:rFonts w:cs="Times New Roman"/>
      </w:rPr>
    </w:lvl>
    <w:lvl w:ilvl="8">
      <w:start w:val="1"/>
      <w:numFmt w:val="lowerRoman"/>
      <w:lvlText w:val="%9."/>
      <w:lvlJc w:val="right"/>
      <w:pPr>
        <w:tabs>
          <w:tab w:val="left" w:pos="0"/>
        </w:tabs>
        <w:ind w:left="4620" w:hanging="420"/>
      </w:pPr>
      <w:rPr>
        <w:rFonts w:cs="Times New Roman"/>
      </w:rPr>
    </w:lvl>
  </w:abstractNum>
  <w:abstractNum w:abstractNumId="278">
    <w:nsid w:val="36A05907"/>
    <w:multiLevelType w:val="multilevel"/>
    <w:tmpl w:val="36A0590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79">
    <w:nsid w:val="36C31879"/>
    <w:multiLevelType w:val="multilevel"/>
    <w:tmpl w:val="36C31879"/>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80">
    <w:nsid w:val="370D37E1"/>
    <w:multiLevelType w:val="multilevel"/>
    <w:tmpl w:val="370D37E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81">
    <w:nsid w:val="376130EB"/>
    <w:multiLevelType w:val="multilevel"/>
    <w:tmpl w:val="376130EB"/>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282">
    <w:nsid w:val="382645ED"/>
    <w:multiLevelType w:val="multilevel"/>
    <w:tmpl w:val="382645ED"/>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283">
    <w:nsid w:val="383C1BCB"/>
    <w:multiLevelType w:val="multilevel"/>
    <w:tmpl w:val="383C1BCB"/>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284">
    <w:nsid w:val="387B1595"/>
    <w:multiLevelType w:val="multilevel"/>
    <w:tmpl w:val="387B159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85">
    <w:nsid w:val="38C057A0"/>
    <w:multiLevelType w:val="multilevel"/>
    <w:tmpl w:val="38C057A0"/>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86">
    <w:nsid w:val="38E31510"/>
    <w:multiLevelType w:val="multilevel"/>
    <w:tmpl w:val="38E31510"/>
    <w:lvl w:ilvl="0">
      <w:start w:val="1"/>
      <w:numFmt w:val="decimal"/>
      <w:lvlText w:val="%1."/>
      <w:lvlJc w:val="left"/>
      <w:pPr>
        <w:ind w:left="1129" w:hanging="420"/>
      </w:pPr>
      <w:rPr>
        <w:rFonts w:cs="Times New Roman" w:hint="eastAsia"/>
      </w:rPr>
    </w:lvl>
    <w:lvl w:ilvl="1">
      <w:start w:val="1"/>
      <w:numFmt w:val="lowerLetter"/>
      <w:lvlText w:val="%2)"/>
      <w:lvlJc w:val="left"/>
      <w:pPr>
        <w:ind w:left="909" w:hanging="420"/>
      </w:pPr>
      <w:rPr>
        <w:rFonts w:cs="Times New Roman"/>
      </w:rPr>
    </w:lvl>
    <w:lvl w:ilvl="2">
      <w:start w:val="1"/>
      <w:numFmt w:val="lowerRoman"/>
      <w:lvlText w:val="%3."/>
      <w:lvlJc w:val="right"/>
      <w:pPr>
        <w:ind w:left="1329" w:hanging="420"/>
      </w:pPr>
      <w:rPr>
        <w:rFonts w:cs="Times New Roman"/>
      </w:rPr>
    </w:lvl>
    <w:lvl w:ilvl="3">
      <w:start w:val="1"/>
      <w:numFmt w:val="decimal"/>
      <w:lvlText w:val="%4."/>
      <w:lvlJc w:val="left"/>
      <w:pPr>
        <w:ind w:left="1749" w:hanging="420"/>
      </w:pPr>
      <w:rPr>
        <w:rFonts w:cs="Times New Roman"/>
      </w:rPr>
    </w:lvl>
    <w:lvl w:ilvl="4">
      <w:start w:val="1"/>
      <w:numFmt w:val="lowerLetter"/>
      <w:lvlText w:val="%5)"/>
      <w:lvlJc w:val="left"/>
      <w:pPr>
        <w:ind w:left="2169" w:hanging="420"/>
      </w:pPr>
      <w:rPr>
        <w:rFonts w:cs="Times New Roman"/>
      </w:rPr>
    </w:lvl>
    <w:lvl w:ilvl="5">
      <w:start w:val="1"/>
      <w:numFmt w:val="lowerRoman"/>
      <w:lvlText w:val="%6."/>
      <w:lvlJc w:val="right"/>
      <w:pPr>
        <w:ind w:left="2589" w:hanging="420"/>
      </w:pPr>
      <w:rPr>
        <w:rFonts w:cs="Times New Roman"/>
      </w:rPr>
    </w:lvl>
    <w:lvl w:ilvl="6">
      <w:start w:val="1"/>
      <w:numFmt w:val="decimal"/>
      <w:lvlText w:val="%7."/>
      <w:lvlJc w:val="left"/>
      <w:pPr>
        <w:ind w:left="3009" w:hanging="420"/>
      </w:pPr>
      <w:rPr>
        <w:rFonts w:cs="Times New Roman"/>
      </w:rPr>
    </w:lvl>
    <w:lvl w:ilvl="7">
      <w:start w:val="1"/>
      <w:numFmt w:val="lowerLetter"/>
      <w:lvlText w:val="%8)"/>
      <w:lvlJc w:val="left"/>
      <w:pPr>
        <w:ind w:left="3429" w:hanging="420"/>
      </w:pPr>
      <w:rPr>
        <w:rFonts w:cs="Times New Roman"/>
      </w:rPr>
    </w:lvl>
    <w:lvl w:ilvl="8">
      <w:start w:val="1"/>
      <w:numFmt w:val="lowerRoman"/>
      <w:lvlText w:val="%9."/>
      <w:lvlJc w:val="right"/>
      <w:pPr>
        <w:ind w:left="3849" w:hanging="420"/>
      </w:pPr>
      <w:rPr>
        <w:rFonts w:cs="Times New Roman"/>
      </w:rPr>
    </w:lvl>
  </w:abstractNum>
  <w:abstractNum w:abstractNumId="287">
    <w:nsid w:val="39232E34"/>
    <w:multiLevelType w:val="multilevel"/>
    <w:tmpl w:val="39232E34"/>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288">
    <w:nsid w:val="39565978"/>
    <w:multiLevelType w:val="multilevel"/>
    <w:tmpl w:val="39565978"/>
    <w:lvl w:ilvl="0">
      <w:start w:val="1"/>
      <w:numFmt w:val="decimal"/>
      <w:lvlText w:val="%1、"/>
      <w:lvlJc w:val="left"/>
      <w:pPr>
        <w:ind w:left="795" w:hanging="360"/>
      </w:pPr>
      <w:rPr>
        <w:rFonts w:cs="Times New Roman" w:hint="default"/>
      </w:rPr>
    </w:lvl>
    <w:lvl w:ilvl="1">
      <w:start w:val="1"/>
      <w:numFmt w:val="lowerLetter"/>
      <w:lvlText w:val="%2)"/>
      <w:lvlJc w:val="left"/>
      <w:pPr>
        <w:ind w:left="1275" w:hanging="420"/>
      </w:pPr>
      <w:rPr>
        <w:rFonts w:cs="Times New Roman"/>
      </w:rPr>
    </w:lvl>
    <w:lvl w:ilvl="2">
      <w:start w:val="1"/>
      <w:numFmt w:val="lowerRoman"/>
      <w:lvlText w:val="%3."/>
      <w:lvlJc w:val="right"/>
      <w:pPr>
        <w:ind w:left="1695" w:hanging="420"/>
      </w:pPr>
      <w:rPr>
        <w:rFonts w:cs="Times New Roman"/>
      </w:rPr>
    </w:lvl>
    <w:lvl w:ilvl="3">
      <w:start w:val="1"/>
      <w:numFmt w:val="decimal"/>
      <w:lvlText w:val="%4."/>
      <w:lvlJc w:val="left"/>
      <w:pPr>
        <w:ind w:left="2115" w:hanging="420"/>
      </w:pPr>
      <w:rPr>
        <w:rFonts w:cs="Times New Roman"/>
      </w:rPr>
    </w:lvl>
    <w:lvl w:ilvl="4">
      <w:start w:val="1"/>
      <w:numFmt w:val="lowerLetter"/>
      <w:lvlText w:val="%5)"/>
      <w:lvlJc w:val="left"/>
      <w:pPr>
        <w:ind w:left="2535" w:hanging="420"/>
      </w:pPr>
      <w:rPr>
        <w:rFonts w:cs="Times New Roman"/>
      </w:rPr>
    </w:lvl>
    <w:lvl w:ilvl="5">
      <w:start w:val="1"/>
      <w:numFmt w:val="lowerRoman"/>
      <w:lvlText w:val="%6."/>
      <w:lvlJc w:val="right"/>
      <w:pPr>
        <w:ind w:left="2955" w:hanging="420"/>
      </w:pPr>
      <w:rPr>
        <w:rFonts w:cs="Times New Roman"/>
      </w:rPr>
    </w:lvl>
    <w:lvl w:ilvl="6">
      <w:start w:val="1"/>
      <w:numFmt w:val="decimal"/>
      <w:lvlText w:val="%7."/>
      <w:lvlJc w:val="left"/>
      <w:pPr>
        <w:ind w:left="3375" w:hanging="420"/>
      </w:pPr>
      <w:rPr>
        <w:rFonts w:cs="Times New Roman"/>
      </w:rPr>
    </w:lvl>
    <w:lvl w:ilvl="7">
      <w:start w:val="1"/>
      <w:numFmt w:val="lowerLetter"/>
      <w:lvlText w:val="%8)"/>
      <w:lvlJc w:val="left"/>
      <w:pPr>
        <w:ind w:left="3795" w:hanging="420"/>
      </w:pPr>
      <w:rPr>
        <w:rFonts w:cs="Times New Roman"/>
      </w:rPr>
    </w:lvl>
    <w:lvl w:ilvl="8">
      <w:start w:val="1"/>
      <w:numFmt w:val="lowerRoman"/>
      <w:lvlText w:val="%9."/>
      <w:lvlJc w:val="right"/>
      <w:pPr>
        <w:ind w:left="4215" w:hanging="420"/>
      </w:pPr>
      <w:rPr>
        <w:rFonts w:cs="Times New Roman"/>
      </w:rPr>
    </w:lvl>
  </w:abstractNum>
  <w:abstractNum w:abstractNumId="289">
    <w:nsid w:val="39B92FC7"/>
    <w:multiLevelType w:val="multilevel"/>
    <w:tmpl w:val="39B92FC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90">
    <w:nsid w:val="3A2732F6"/>
    <w:multiLevelType w:val="multilevel"/>
    <w:tmpl w:val="3A2732F6"/>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91">
    <w:nsid w:val="3A7268AA"/>
    <w:multiLevelType w:val="multilevel"/>
    <w:tmpl w:val="3A7268AA"/>
    <w:lvl w:ilvl="0">
      <w:start w:val="1"/>
      <w:numFmt w:val="decimal"/>
      <w:lvlText w:val="%1、"/>
      <w:lvlJc w:val="left"/>
      <w:pPr>
        <w:ind w:left="825" w:hanging="375"/>
      </w:pPr>
      <w:rPr>
        <w:rFonts w:cs="Times New Roman" w:hint="default"/>
      </w:rPr>
    </w:lvl>
    <w:lvl w:ilvl="1">
      <w:start w:val="1"/>
      <w:numFmt w:val="lowerLetter"/>
      <w:lvlText w:val="%2)"/>
      <w:lvlJc w:val="left"/>
      <w:pPr>
        <w:ind w:left="1290" w:hanging="420"/>
      </w:pPr>
      <w:rPr>
        <w:rFonts w:cs="Times New Roman"/>
      </w:rPr>
    </w:lvl>
    <w:lvl w:ilvl="2">
      <w:start w:val="1"/>
      <w:numFmt w:val="lowerRoman"/>
      <w:lvlText w:val="%3."/>
      <w:lvlJc w:val="right"/>
      <w:pPr>
        <w:ind w:left="1710" w:hanging="420"/>
      </w:pPr>
      <w:rPr>
        <w:rFonts w:cs="Times New Roman"/>
      </w:rPr>
    </w:lvl>
    <w:lvl w:ilvl="3">
      <w:start w:val="1"/>
      <w:numFmt w:val="decimal"/>
      <w:lvlText w:val="%4."/>
      <w:lvlJc w:val="left"/>
      <w:pPr>
        <w:ind w:left="2130" w:hanging="420"/>
      </w:pPr>
      <w:rPr>
        <w:rFonts w:cs="Times New Roman"/>
      </w:rPr>
    </w:lvl>
    <w:lvl w:ilvl="4">
      <w:start w:val="1"/>
      <w:numFmt w:val="lowerLetter"/>
      <w:lvlText w:val="%5)"/>
      <w:lvlJc w:val="left"/>
      <w:pPr>
        <w:ind w:left="2550" w:hanging="420"/>
      </w:pPr>
      <w:rPr>
        <w:rFonts w:cs="Times New Roman"/>
      </w:rPr>
    </w:lvl>
    <w:lvl w:ilvl="5">
      <w:start w:val="1"/>
      <w:numFmt w:val="lowerRoman"/>
      <w:lvlText w:val="%6."/>
      <w:lvlJc w:val="right"/>
      <w:pPr>
        <w:ind w:left="2970" w:hanging="420"/>
      </w:pPr>
      <w:rPr>
        <w:rFonts w:cs="Times New Roman"/>
      </w:rPr>
    </w:lvl>
    <w:lvl w:ilvl="6">
      <w:start w:val="1"/>
      <w:numFmt w:val="decimal"/>
      <w:lvlText w:val="%7."/>
      <w:lvlJc w:val="left"/>
      <w:pPr>
        <w:ind w:left="3390" w:hanging="420"/>
      </w:pPr>
      <w:rPr>
        <w:rFonts w:cs="Times New Roman"/>
      </w:rPr>
    </w:lvl>
    <w:lvl w:ilvl="7">
      <w:start w:val="1"/>
      <w:numFmt w:val="lowerLetter"/>
      <w:lvlText w:val="%8)"/>
      <w:lvlJc w:val="left"/>
      <w:pPr>
        <w:ind w:left="3810" w:hanging="420"/>
      </w:pPr>
      <w:rPr>
        <w:rFonts w:cs="Times New Roman"/>
      </w:rPr>
    </w:lvl>
    <w:lvl w:ilvl="8">
      <w:start w:val="1"/>
      <w:numFmt w:val="lowerRoman"/>
      <w:lvlText w:val="%9."/>
      <w:lvlJc w:val="right"/>
      <w:pPr>
        <w:ind w:left="4230" w:hanging="420"/>
      </w:pPr>
      <w:rPr>
        <w:rFonts w:cs="Times New Roman"/>
      </w:rPr>
    </w:lvl>
  </w:abstractNum>
  <w:abstractNum w:abstractNumId="292">
    <w:nsid w:val="3A8E1876"/>
    <w:multiLevelType w:val="multilevel"/>
    <w:tmpl w:val="3A8E1876"/>
    <w:lvl w:ilvl="0">
      <w:start w:val="1"/>
      <w:numFmt w:val="decimal"/>
      <w:lvlText w:val="%1."/>
      <w:lvlJc w:val="left"/>
      <w:pPr>
        <w:tabs>
          <w:tab w:val="left" w:pos="780"/>
        </w:tabs>
        <w:ind w:left="780" w:hanging="420"/>
      </w:pPr>
      <w:rPr>
        <w:rFonts w:cs="Times New Roman"/>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293">
    <w:nsid w:val="3AEA5DAB"/>
    <w:multiLevelType w:val="multilevel"/>
    <w:tmpl w:val="3AEA5DAB"/>
    <w:lvl w:ilvl="0">
      <w:start w:val="1"/>
      <w:numFmt w:val="japaneseCounting"/>
      <w:lvlText w:val="第%1节"/>
      <w:lvlJc w:val="left"/>
      <w:pPr>
        <w:ind w:left="765" w:hanging="765"/>
      </w:pPr>
      <w:rPr>
        <w:rFonts w:ascii="Calibri" w:eastAsia="宋体" w:hAnsi="Calibri"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4">
    <w:nsid w:val="3AFE63FC"/>
    <w:multiLevelType w:val="multilevel"/>
    <w:tmpl w:val="3AFE63FC"/>
    <w:lvl w:ilvl="0">
      <w:start w:val="1"/>
      <w:numFmt w:val="decimal"/>
      <w:lvlText w:val="%1、"/>
      <w:lvlJc w:val="left"/>
      <w:pPr>
        <w:tabs>
          <w:tab w:val="left" w:pos="360"/>
        </w:tabs>
        <w:ind w:left="360" w:hanging="360"/>
      </w:pPr>
      <w:rPr>
        <w:rFonts w:cs="Times New Roman" w:hint="default"/>
      </w:rPr>
    </w:lvl>
    <w:lvl w:ilvl="1">
      <w:start w:val="1"/>
      <w:numFmt w:val="japaneseCounting"/>
      <w:lvlText w:val="%2、"/>
      <w:lvlJc w:val="left"/>
      <w:pPr>
        <w:tabs>
          <w:tab w:val="left" w:pos="870"/>
        </w:tabs>
        <w:ind w:left="870" w:hanging="450"/>
      </w:pPr>
      <w:rPr>
        <w:rFonts w:cs="Times New Roman" w:hint="default"/>
        <w:sz w:val="22"/>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95">
    <w:nsid w:val="3B0E3CA9"/>
    <w:multiLevelType w:val="multilevel"/>
    <w:tmpl w:val="3B0E3CA9"/>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96">
    <w:nsid w:val="3B4C2399"/>
    <w:multiLevelType w:val="multilevel"/>
    <w:tmpl w:val="3B4C2399"/>
    <w:lvl w:ilvl="0">
      <w:start w:val="1"/>
      <w:numFmt w:val="decimal"/>
      <w:lvlText w:val="%1."/>
      <w:lvlJc w:val="left"/>
      <w:pPr>
        <w:ind w:left="840" w:hanging="420"/>
      </w:pPr>
      <w:rPr>
        <w:rFonts w:cs="Times New Roman" w:hint="eastAsia"/>
      </w:rPr>
    </w:lvl>
    <w:lvl w:ilvl="1">
      <w:start w:val="1"/>
      <w:numFmt w:val="lowerLetter"/>
      <w:lvlText w:val="%2)"/>
      <w:lvlJc w:val="left"/>
      <w:pPr>
        <w:ind w:left="551" w:hanging="420"/>
      </w:pPr>
      <w:rPr>
        <w:rFonts w:cs="Times New Roman"/>
      </w:rPr>
    </w:lvl>
    <w:lvl w:ilvl="2">
      <w:start w:val="1"/>
      <w:numFmt w:val="lowerRoman"/>
      <w:lvlText w:val="%3."/>
      <w:lvlJc w:val="right"/>
      <w:pPr>
        <w:ind w:left="971" w:hanging="420"/>
      </w:pPr>
      <w:rPr>
        <w:rFonts w:cs="Times New Roman"/>
      </w:rPr>
    </w:lvl>
    <w:lvl w:ilvl="3">
      <w:start w:val="1"/>
      <w:numFmt w:val="decimal"/>
      <w:lvlText w:val="%4."/>
      <w:lvlJc w:val="left"/>
      <w:pPr>
        <w:ind w:left="1391" w:hanging="420"/>
      </w:pPr>
      <w:rPr>
        <w:rFonts w:cs="Times New Roman"/>
      </w:rPr>
    </w:lvl>
    <w:lvl w:ilvl="4">
      <w:start w:val="1"/>
      <w:numFmt w:val="lowerLetter"/>
      <w:lvlText w:val="%5)"/>
      <w:lvlJc w:val="left"/>
      <w:pPr>
        <w:ind w:left="1811" w:hanging="420"/>
      </w:pPr>
      <w:rPr>
        <w:rFonts w:cs="Times New Roman"/>
      </w:rPr>
    </w:lvl>
    <w:lvl w:ilvl="5">
      <w:start w:val="1"/>
      <w:numFmt w:val="lowerRoman"/>
      <w:lvlText w:val="%6."/>
      <w:lvlJc w:val="right"/>
      <w:pPr>
        <w:ind w:left="2231" w:hanging="420"/>
      </w:pPr>
      <w:rPr>
        <w:rFonts w:cs="Times New Roman"/>
      </w:rPr>
    </w:lvl>
    <w:lvl w:ilvl="6">
      <w:start w:val="1"/>
      <w:numFmt w:val="decimal"/>
      <w:lvlText w:val="%7."/>
      <w:lvlJc w:val="left"/>
      <w:pPr>
        <w:ind w:left="2651" w:hanging="420"/>
      </w:pPr>
      <w:rPr>
        <w:rFonts w:cs="Times New Roman"/>
      </w:rPr>
    </w:lvl>
    <w:lvl w:ilvl="7">
      <w:start w:val="1"/>
      <w:numFmt w:val="lowerLetter"/>
      <w:lvlText w:val="%8)"/>
      <w:lvlJc w:val="left"/>
      <w:pPr>
        <w:ind w:left="3071" w:hanging="420"/>
      </w:pPr>
      <w:rPr>
        <w:rFonts w:cs="Times New Roman"/>
      </w:rPr>
    </w:lvl>
    <w:lvl w:ilvl="8">
      <w:start w:val="1"/>
      <w:numFmt w:val="lowerRoman"/>
      <w:lvlText w:val="%9."/>
      <w:lvlJc w:val="right"/>
      <w:pPr>
        <w:ind w:left="3491" w:hanging="420"/>
      </w:pPr>
      <w:rPr>
        <w:rFonts w:cs="Times New Roman"/>
      </w:rPr>
    </w:lvl>
  </w:abstractNum>
  <w:abstractNum w:abstractNumId="297">
    <w:nsid w:val="3B5C721F"/>
    <w:multiLevelType w:val="multilevel"/>
    <w:tmpl w:val="3B5C721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98">
    <w:nsid w:val="3B7C4D50"/>
    <w:multiLevelType w:val="multilevel"/>
    <w:tmpl w:val="3B7C4D50"/>
    <w:lvl w:ilvl="0">
      <w:start w:val="1"/>
      <w:numFmt w:val="decimal"/>
      <w:lvlText w:val="%1."/>
      <w:lvlJc w:val="left"/>
      <w:pPr>
        <w:tabs>
          <w:tab w:val="left" w:pos="0"/>
        </w:tabs>
        <w:ind w:left="1200" w:hanging="360"/>
      </w:pPr>
      <w:rPr>
        <w:rFonts w:cs="Times New Roman" w:hint="default"/>
      </w:rPr>
    </w:lvl>
    <w:lvl w:ilvl="1">
      <w:start w:val="1"/>
      <w:numFmt w:val="lowerLetter"/>
      <w:lvlText w:val="%2)"/>
      <w:lvlJc w:val="left"/>
      <w:pPr>
        <w:tabs>
          <w:tab w:val="left" w:pos="0"/>
        </w:tabs>
        <w:ind w:left="1680" w:hanging="420"/>
      </w:pPr>
      <w:rPr>
        <w:rFonts w:cs="Times New Roman"/>
      </w:rPr>
    </w:lvl>
    <w:lvl w:ilvl="2">
      <w:start w:val="1"/>
      <w:numFmt w:val="lowerRoman"/>
      <w:lvlText w:val="%3."/>
      <w:lvlJc w:val="right"/>
      <w:pPr>
        <w:tabs>
          <w:tab w:val="left" w:pos="0"/>
        </w:tabs>
        <w:ind w:left="2100" w:hanging="420"/>
      </w:pPr>
      <w:rPr>
        <w:rFonts w:cs="Times New Roman"/>
      </w:rPr>
    </w:lvl>
    <w:lvl w:ilvl="3">
      <w:start w:val="1"/>
      <w:numFmt w:val="decimal"/>
      <w:lvlText w:val="%4."/>
      <w:lvlJc w:val="left"/>
      <w:pPr>
        <w:tabs>
          <w:tab w:val="left" w:pos="0"/>
        </w:tabs>
        <w:ind w:left="2520" w:hanging="420"/>
      </w:pPr>
      <w:rPr>
        <w:rFonts w:cs="Times New Roman"/>
      </w:rPr>
    </w:lvl>
    <w:lvl w:ilvl="4">
      <w:start w:val="1"/>
      <w:numFmt w:val="lowerLetter"/>
      <w:lvlText w:val="%5)"/>
      <w:lvlJc w:val="left"/>
      <w:pPr>
        <w:tabs>
          <w:tab w:val="left" w:pos="0"/>
        </w:tabs>
        <w:ind w:left="2940" w:hanging="420"/>
      </w:pPr>
      <w:rPr>
        <w:rFonts w:cs="Times New Roman"/>
      </w:rPr>
    </w:lvl>
    <w:lvl w:ilvl="5">
      <w:start w:val="1"/>
      <w:numFmt w:val="lowerRoman"/>
      <w:lvlText w:val="%6."/>
      <w:lvlJc w:val="right"/>
      <w:pPr>
        <w:tabs>
          <w:tab w:val="left" w:pos="0"/>
        </w:tabs>
        <w:ind w:left="3360" w:hanging="420"/>
      </w:pPr>
      <w:rPr>
        <w:rFonts w:cs="Times New Roman"/>
      </w:rPr>
    </w:lvl>
    <w:lvl w:ilvl="6">
      <w:start w:val="1"/>
      <w:numFmt w:val="decimal"/>
      <w:lvlText w:val="%7."/>
      <w:lvlJc w:val="left"/>
      <w:pPr>
        <w:tabs>
          <w:tab w:val="left" w:pos="0"/>
        </w:tabs>
        <w:ind w:left="3780" w:hanging="420"/>
      </w:pPr>
      <w:rPr>
        <w:rFonts w:cs="Times New Roman"/>
      </w:rPr>
    </w:lvl>
    <w:lvl w:ilvl="7">
      <w:start w:val="1"/>
      <w:numFmt w:val="lowerLetter"/>
      <w:lvlText w:val="%8)"/>
      <w:lvlJc w:val="left"/>
      <w:pPr>
        <w:tabs>
          <w:tab w:val="left" w:pos="0"/>
        </w:tabs>
        <w:ind w:left="4200" w:hanging="420"/>
      </w:pPr>
      <w:rPr>
        <w:rFonts w:cs="Times New Roman"/>
      </w:rPr>
    </w:lvl>
    <w:lvl w:ilvl="8">
      <w:start w:val="1"/>
      <w:numFmt w:val="lowerRoman"/>
      <w:lvlText w:val="%9."/>
      <w:lvlJc w:val="right"/>
      <w:pPr>
        <w:tabs>
          <w:tab w:val="left" w:pos="0"/>
        </w:tabs>
        <w:ind w:left="4620" w:hanging="420"/>
      </w:pPr>
      <w:rPr>
        <w:rFonts w:cs="Times New Roman"/>
      </w:rPr>
    </w:lvl>
  </w:abstractNum>
  <w:abstractNum w:abstractNumId="299">
    <w:nsid w:val="3B915832"/>
    <w:multiLevelType w:val="multilevel"/>
    <w:tmpl w:val="3B915832"/>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00">
    <w:nsid w:val="3BC1189A"/>
    <w:multiLevelType w:val="multilevel"/>
    <w:tmpl w:val="3BC1189A"/>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01">
    <w:nsid w:val="3C0B3E3C"/>
    <w:multiLevelType w:val="multilevel"/>
    <w:tmpl w:val="3C0B3E3C"/>
    <w:lvl w:ilvl="0">
      <w:start w:val="1"/>
      <w:numFmt w:val="decimal"/>
      <w:lvlText w:val="%1."/>
      <w:lvlJc w:val="left"/>
      <w:pPr>
        <w:ind w:left="1129" w:hanging="420"/>
      </w:pPr>
      <w:rPr>
        <w:rFonts w:cs="Times New Roman" w:hint="eastAsia"/>
      </w:rPr>
    </w:lvl>
    <w:lvl w:ilvl="1">
      <w:start w:val="1"/>
      <w:numFmt w:val="lowerLetter"/>
      <w:lvlText w:val="%2)"/>
      <w:lvlJc w:val="left"/>
      <w:pPr>
        <w:ind w:left="909" w:hanging="420"/>
      </w:pPr>
      <w:rPr>
        <w:rFonts w:cs="Times New Roman"/>
      </w:rPr>
    </w:lvl>
    <w:lvl w:ilvl="2">
      <w:start w:val="1"/>
      <w:numFmt w:val="lowerRoman"/>
      <w:lvlText w:val="%3."/>
      <w:lvlJc w:val="right"/>
      <w:pPr>
        <w:ind w:left="1329" w:hanging="420"/>
      </w:pPr>
      <w:rPr>
        <w:rFonts w:cs="Times New Roman"/>
      </w:rPr>
    </w:lvl>
    <w:lvl w:ilvl="3">
      <w:start w:val="1"/>
      <w:numFmt w:val="decimal"/>
      <w:lvlText w:val="%4."/>
      <w:lvlJc w:val="left"/>
      <w:pPr>
        <w:ind w:left="1749" w:hanging="420"/>
      </w:pPr>
      <w:rPr>
        <w:rFonts w:cs="Times New Roman"/>
      </w:rPr>
    </w:lvl>
    <w:lvl w:ilvl="4">
      <w:start w:val="1"/>
      <w:numFmt w:val="lowerLetter"/>
      <w:lvlText w:val="%5)"/>
      <w:lvlJc w:val="left"/>
      <w:pPr>
        <w:ind w:left="2169" w:hanging="420"/>
      </w:pPr>
      <w:rPr>
        <w:rFonts w:cs="Times New Roman"/>
      </w:rPr>
    </w:lvl>
    <w:lvl w:ilvl="5">
      <w:start w:val="1"/>
      <w:numFmt w:val="lowerRoman"/>
      <w:lvlText w:val="%6."/>
      <w:lvlJc w:val="right"/>
      <w:pPr>
        <w:ind w:left="2589" w:hanging="420"/>
      </w:pPr>
      <w:rPr>
        <w:rFonts w:cs="Times New Roman"/>
      </w:rPr>
    </w:lvl>
    <w:lvl w:ilvl="6">
      <w:start w:val="1"/>
      <w:numFmt w:val="decimal"/>
      <w:lvlText w:val="%7."/>
      <w:lvlJc w:val="left"/>
      <w:pPr>
        <w:ind w:left="3009" w:hanging="420"/>
      </w:pPr>
      <w:rPr>
        <w:rFonts w:cs="Times New Roman"/>
      </w:rPr>
    </w:lvl>
    <w:lvl w:ilvl="7">
      <w:start w:val="1"/>
      <w:numFmt w:val="lowerLetter"/>
      <w:lvlText w:val="%8)"/>
      <w:lvlJc w:val="left"/>
      <w:pPr>
        <w:ind w:left="3429" w:hanging="420"/>
      </w:pPr>
      <w:rPr>
        <w:rFonts w:cs="Times New Roman"/>
      </w:rPr>
    </w:lvl>
    <w:lvl w:ilvl="8">
      <w:start w:val="1"/>
      <w:numFmt w:val="lowerRoman"/>
      <w:lvlText w:val="%9."/>
      <w:lvlJc w:val="right"/>
      <w:pPr>
        <w:ind w:left="3849" w:hanging="420"/>
      </w:pPr>
      <w:rPr>
        <w:rFonts w:cs="Times New Roman"/>
      </w:rPr>
    </w:lvl>
  </w:abstractNum>
  <w:abstractNum w:abstractNumId="302">
    <w:nsid w:val="3C1E0197"/>
    <w:multiLevelType w:val="multilevel"/>
    <w:tmpl w:val="3C1E0197"/>
    <w:lvl w:ilvl="0">
      <w:start w:val="1"/>
      <w:numFmt w:val="decimal"/>
      <w:lvlText w:val="%1."/>
      <w:lvlJc w:val="left"/>
      <w:pPr>
        <w:tabs>
          <w:tab w:val="left" w:pos="420"/>
        </w:tabs>
        <w:ind w:left="420" w:hanging="420"/>
      </w:pPr>
      <w:rPr>
        <w:rFonts w:cs="Times New Roman"/>
      </w:rPr>
    </w:lvl>
    <w:lvl w:ilvl="1">
      <w:start w:val="3"/>
      <w:numFmt w:val="japaneseCounting"/>
      <w:lvlText w:val="第%2篇"/>
      <w:lvlJc w:val="left"/>
      <w:pPr>
        <w:ind w:left="1140" w:hanging="72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3">
    <w:nsid w:val="3C3628BF"/>
    <w:multiLevelType w:val="multilevel"/>
    <w:tmpl w:val="3C3628B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4">
    <w:nsid w:val="3C554122"/>
    <w:multiLevelType w:val="multilevel"/>
    <w:tmpl w:val="3C554122"/>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05">
    <w:nsid w:val="3C6C4C3E"/>
    <w:multiLevelType w:val="multilevel"/>
    <w:tmpl w:val="3C6C4C3E"/>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306">
    <w:nsid w:val="3C9901A9"/>
    <w:multiLevelType w:val="multilevel"/>
    <w:tmpl w:val="3C9901A9"/>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7">
    <w:nsid w:val="3D064200"/>
    <w:multiLevelType w:val="multilevel"/>
    <w:tmpl w:val="3D064200"/>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8">
    <w:nsid w:val="3D1C1032"/>
    <w:multiLevelType w:val="multilevel"/>
    <w:tmpl w:val="3D1C1032"/>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9">
    <w:nsid w:val="3D312F10"/>
    <w:multiLevelType w:val="multilevel"/>
    <w:tmpl w:val="3D312F1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10">
    <w:nsid w:val="3D757500"/>
    <w:multiLevelType w:val="multilevel"/>
    <w:tmpl w:val="3D757500"/>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11">
    <w:nsid w:val="3D8C5710"/>
    <w:multiLevelType w:val="multilevel"/>
    <w:tmpl w:val="3D8C5710"/>
    <w:lvl w:ilvl="0">
      <w:start w:val="1"/>
      <w:numFmt w:val="decimal"/>
      <w:lvlText w:val="%1、"/>
      <w:lvlJc w:val="left"/>
      <w:pPr>
        <w:tabs>
          <w:tab w:val="left" w:pos="786"/>
        </w:tabs>
        <w:ind w:left="786" w:hanging="360"/>
      </w:pPr>
      <w:rPr>
        <w:rFonts w:ascii="Calibri" w:eastAsia="宋体" w:hAnsi="Calibri"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12">
    <w:nsid w:val="3D8F58EA"/>
    <w:multiLevelType w:val="multilevel"/>
    <w:tmpl w:val="3D8F58EA"/>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13">
    <w:nsid w:val="3D912797"/>
    <w:multiLevelType w:val="multilevel"/>
    <w:tmpl w:val="3D912797"/>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14">
    <w:nsid w:val="3DCF617A"/>
    <w:multiLevelType w:val="multilevel"/>
    <w:tmpl w:val="3DCF617A"/>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315">
    <w:nsid w:val="3E4B077F"/>
    <w:multiLevelType w:val="multilevel"/>
    <w:tmpl w:val="3E4B077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16">
    <w:nsid w:val="3E4F126E"/>
    <w:multiLevelType w:val="multilevel"/>
    <w:tmpl w:val="3E4F126E"/>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317">
    <w:nsid w:val="3EA92BA0"/>
    <w:multiLevelType w:val="multilevel"/>
    <w:tmpl w:val="3EA92BA0"/>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18">
    <w:nsid w:val="3F3E7154"/>
    <w:multiLevelType w:val="singleLevel"/>
    <w:tmpl w:val="3F3E7154"/>
    <w:lvl w:ilvl="0">
      <w:start w:val="1"/>
      <w:numFmt w:val="decimal"/>
      <w:lvlText w:val="%1."/>
      <w:lvlJc w:val="left"/>
      <w:pPr>
        <w:tabs>
          <w:tab w:val="left" w:pos="420"/>
        </w:tabs>
        <w:ind w:left="420" w:hanging="420"/>
      </w:pPr>
      <w:rPr>
        <w:rFonts w:cs="Times New Roman" w:hint="eastAsia"/>
      </w:rPr>
    </w:lvl>
  </w:abstractNum>
  <w:abstractNum w:abstractNumId="319">
    <w:nsid w:val="3F753F66"/>
    <w:multiLevelType w:val="multilevel"/>
    <w:tmpl w:val="3F753F66"/>
    <w:lvl w:ilvl="0">
      <w:start w:val="1"/>
      <w:numFmt w:val="decimal"/>
      <w:lvlText w:val="%1、"/>
      <w:lvlJc w:val="left"/>
      <w:pPr>
        <w:tabs>
          <w:tab w:val="left" w:pos="800"/>
        </w:tabs>
        <w:ind w:left="800" w:hanging="360"/>
      </w:pPr>
      <w:rPr>
        <w:rFonts w:cs="Times New Roman" w:hint="default"/>
      </w:rPr>
    </w:lvl>
    <w:lvl w:ilvl="1">
      <w:start w:val="1"/>
      <w:numFmt w:val="lowerLetter"/>
      <w:lvlText w:val="%2)"/>
      <w:lvlJc w:val="left"/>
      <w:pPr>
        <w:tabs>
          <w:tab w:val="left" w:pos="1280"/>
        </w:tabs>
        <w:ind w:left="1280" w:hanging="420"/>
      </w:pPr>
      <w:rPr>
        <w:rFonts w:cs="Times New Roman"/>
      </w:rPr>
    </w:lvl>
    <w:lvl w:ilvl="2">
      <w:start w:val="1"/>
      <w:numFmt w:val="lowerRoman"/>
      <w:lvlText w:val="%3."/>
      <w:lvlJc w:val="right"/>
      <w:pPr>
        <w:tabs>
          <w:tab w:val="left" w:pos="1700"/>
        </w:tabs>
        <w:ind w:left="1700" w:hanging="420"/>
      </w:pPr>
      <w:rPr>
        <w:rFonts w:cs="Times New Roman"/>
      </w:rPr>
    </w:lvl>
    <w:lvl w:ilvl="3">
      <w:start w:val="1"/>
      <w:numFmt w:val="decimal"/>
      <w:lvlText w:val="%4."/>
      <w:lvlJc w:val="left"/>
      <w:pPr>
        <w:tabs>
          <w:tab w:val="left" w:pos="2120"/>
        </w:tabs>
        <w:ind w:left="2120" w:hanging="420"/>
      </w:pPr>
      <w:rPr>
        <w:rFonts w:cs="Times New Roman"/>
      </w:rPr>
    </w:lvl>
    <w:lvl w:ilvl="4">
      <w:start w:val="1"/>
      <w:numFmt w:val="lowerLetter"/>
      <w:lvlText w:val="%5)"/>
      <w:lvlJc w:val="left"/>
      <w:pPr>
        <w:tabs>
          <w:tab w:val="left" w:pos="2540"/>
        </w:tabs>
        <w:ind w:left="2540" w:hanging="420"/>
      </w:pPr>
      <w:rPr>
        <w:rFonts w:cs="Times New Roman"/>
      </w:rPr>
    </w:lvl>
    <w:lvl w:ilvl="5">
      <w:start w:val="1"/>
      <w:numFmt w:val="lowerRoman"/>
      <w:lvlText w:val="%6."/>
      <w:lvlJc w:val="right"/>
      <w:pPr>
        <w:tabs>
          <w:tab w:val="left" w:pos="2960"/>
        </w:tabs>
        <w:ind w:left="2960" w:hanging="420"/>
      </w:pPr>
      <w:rPr>
        <w:rFonts w:cs="Times New Roman"/>
      </w:rPr>
    </w:lvl>
    <w:lvl w:ilvl="6">
      <w:start w:val="1"/>
      <w:numFmt w:val="decimal"/>
      <w:lvlText w:val="%7."/>
      <w:lvlJc w:val="left"/>
      <w:pPr>
        <w:tabs>
          <w:tab w:val="left" w:pos="3380"/>
        </w:tabs>
        <w:ind w:left="3380" w:hanging="420"/>
      </w:pPr>
      <w:rPr>
        <w:rFonts w:cs="Times New Roman"/>
      </w:rPr>
    </w:lvl>
    <w:lvl w:ilvl="7">
      <w:start w:val="1"/>
      <w:numFmt w:val="lowerLetter"/>
      <w:lvlText w:val="%8)"/>
      <w:lvlJc w:val="left"/>
      <w:pPr>
        <w:tabs>
          <w:tab w:val="left" w:pos="3800"/>
        </w:tabs>
        <w:ind w:left="3800" w:hanging="420"/>
      </w:pPr>
      <w:rPr>
        <w:rFonts w:cs="Times New Roman"/>
      </w:rPr>
    </w:lvl>
    <w:lvl w:ilvl="8">
      <w:start w:val="1"/>
      <w:numFmt w:val="lowerRoman"/>
      <w:lvlText w:val="%9."/>
      <w:lvlJc w:val="right"/>
      <w:pPr>
        <w:tabs>
          <w:tab w:val="left" w:pos="4220"/>
        </w:tabs>
        <w:ind w:left="4220" w:hanging="420"/>
      </w:pPr>
      <w:rPr>
        <w:rFonts w:cs="Times New Roman"/>
      </w:rPr>
    </w:lvl>
  </w:abstractNum>
  <w:abstractNum w:abstractNumId="320">
    <w:nsid w:val="3F8041A2"/>
    <w:multiLevelType w:val="multilevel"/>
    <w:tmpl w:val="3F8041A2"/>
    <w:lvl w:ilvl="0">
      <w:start w:val="3"/>
      <w:numFmt w:val="japaneseCounting"/>
      <w:lvlText w:val="%1、"/>
      <w:lvlJc w:val="left"/>
      <w:pPr>
        <w:tabs>
          <w:tab w:val="left" w:pos="480"/>
        </w:tabs>
        <w:ind w:left="480" w:hanging="480"/>
      </w:pPr>
      <w:rPr>
        <w:rFonts w:ascii="Times New Roman" w:eastAsia="黑体" w:hAnsi="Times New Roman" w:cs="Times New Roman" w:hint="default"/>
        <w:b/>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21">
    <w:nsid w:val="3FC93410"/>
    <w:multiLevelType w:val="multilevel"/>
    <w:tmpl w:val="3FC93410"/>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22">
    <w:nsid w:val="3FEB4996"/>
    <w:multiLevelType w:val="multilevel"/>
    <w:tmpl w:val="3FEB4996"/>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23">
    <w:nsid w:val="3FEF716D"/>
    <w:multiLevelType w:val="multilevel"/>
    <w:tmpl w:val="3FEF716D"/>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24">
    <w:nsid w:val="4098556F"/>
    <w:multiLevelType w:val="multilevel"/>
    <w:tmpl w:val="EE48C13E"/>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25">
    <w:nsid w:val="413F424A"/>
    <w:multiLevelType w:val="multilevel"/>
    <w:tmpl w:val="413F424A"/>
    <w:lvl w:ilvl="0">
      <w:start w:val="1"/>
      <w:numFmt w:val="decimal"/>
      <w:lvlText w:val="%1."/>
      <w:lvlJc w:val="left"/>
      <w:pPr>
        <w:tabs>
          <w:tab w:val="left" w:pos="420"/>
        </w:tabs>
        <w:ind w:left="420" w:hanging="420"/>
      </w:pPr>
      <w:rPr>
        <w:rFonts w:cs="Times New Roman"/>
      </w:rPr>
    </w:lvl>
    <w:lvl w:ilvl="1">
      <w:start w:val="1"/>
      <w:numFmt w:val="decimal"/>
      <w:lvlText w:val="%2."/>
      <w:lvlJc w:val="left"/>
      <w:pPr>
        <w:tabs>
          <w:tab w:val="left" w:pos="780"/>
        </w:tabs>
        <w:ind w:left="780" w:hanging="36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26">
    <w:nsid w:val="413F55D6"/>
    <w:multiLevelType w:val="multilevel"/>
    <w:tmpl w:val="413F55D6"/>
    <w:lvl w:ilvl="0">
      <w:start w:val="1"/>
      <w:numFmt w:val="decimal"/>
      <w:lvlText w:val="%1."/>
      <w:lvlJc w:val="left"/>
      <w:pPr>
        <w:tabs>
          <w:tab w:val="left" w:pos="0"/>
        </w:tabs>
        <w:ind w:left="1200" w:hanging="360"/>
      </w:pPr>
      <w:rPr>
        <w:rFonts w:cs="Times New Roman" w:hint="default"/>
      </w:rPr>
    </w:lvl>
    <w:lvl w:ilvl="1">
      <w:start w:val="1"/>
      <w:numFmt w:val="lowerLetter"/>
      <w:lvlText w:val="%2)"/>
      <w:lvlJc w:val="left"/>
      <w:pPr>
        <w:tabs>
          <w:tab w:val="left" w:pos="0"/>
        </w:tabs>
        <w:ind w:left="1680" w:hanging="420"/>
      </w:pPr>
      <w:rPr>
        <w:rFonts w:cs="Times New Roman"/>
      </w:rPr>
    </w:lvl>
    <w:lvl w:ilvl="2">
      <w:start w:val="1"/>
      <w:numFmt w:val="lowerRoman"/>
      <w:lvlText w:val="%3."/>
      <w:lvlJc w:val="right"/>
      <w:pPr>
        <w:tabs>
          <w:tab w:val="left" w:pos="0"/>
        </w:tabs>
        <w:ind w:left="2100" w:hanging="420"/>
      </w:pPr>
      <w:rPr>
        <w:rFonts w:cs="Times New Roman"/>
      </w:rPr>
    </w:lvl>
    <w:lvl w:ilvl="3">
      <w:start w:val="1"/>
      <w:numFmt w:val="decimal"/>
      <w:lvlText w:val="%4."/>
      <w:lvlJc w:val="left"/>
      <w:pPr>
        <w:tabs>
          <w:tab w:val="left" w:pos="0"/>
        </w:tabs>
        <w:ind w:left="2520" w:hanging="420"/>
      </w:pPr>
      <w:rPr>
        <w:rFonts w:cs="Times New Roman"/>
      </w:rPr>
    </w:lvl>
    <w:lvl w:ilvl="4">
      <w:start w:val="1"/>
      <w:numFmt w:val="lowerLetter"/>
      <w:lvlText w:val="%5)"/>
      <w:lvlJc w:val="left"/>
      <w:pPr>
        <w:tabs>
          <w:tab w:val="left" w:pos="0"/>
        </w:tabs>
        <w:ind w:left="2940" w:hanging="420"/>
      </w:pPr>
      <w:rPr>
        <w:rFonts w:cs="Times New Roman"/>
      </w:rPr>
    </w:lvl>
    <w:lvl w:ilvl="5">
      <w:start w:val="1"/>
      <w:numFmt w:val="lowerRoman"/>
      <w:lvlText w:val="%6."/>
      <w:lvlJc w:val="right"/>
      <w:pPr>
        <w:tabs>
          <w:tab w:val="left" w:pos="0"/>
        </w:tabs>
        <w:ind w:left="3360" w:hanging="420"/>
      </w:pPr>
      <w:rPr>
        <w:rFonts w:cs="Times New Roman"/>
      </w:rPr>
    </w:lvl>
    <w:lvl w:ilvl="6">
      <w:start w:val="1"/>
      <w:numFmt w:val="decimal"/>
      <w:lvlText w:val="%7."/>
      <w:lvlJc w:val="left"/>
      <w:pPr>
        <w:tabs>
          <w:tab w:val="left" w:pos="0"/>
        </w:tabs>
        <w:ind w:left="3780" w:hanging="420"/>
      </w:pPr>
      <w:rPr>
        <w:rFonts w:cs="Times New Roman"/>
      </w:rPr>
    </w:lvl>
    <w:lvl w:ilvl="7">
      <w:start w:val="1"/>
      <w:numFmt w:val="lowerLetter"/>
      <w:lvlText w:val="%8)"/>
      <w:lvlJc w:val="left"/>
      <w:pPr>
        <w:tabs>
          <w:tab w:val="left" w:pos="0"/>
        </w:tabs>
        <w:ind w:left="4200" w:hanging="420"/>
      </w:pPr>
      <w:rPr>
        <w:rFonts w:cs="Times New Roman"/>
      </w:rPr>
    </w:lvl>
    <w:lvl w:ilvl="8">
      <w:start w:val="1"/>
      <w:numFmt w:val="lowerRoman"/>
      <w:lvlText w:val="%9."/>
      <w:lvlJc w:val="right"/>
      <w:pPr>
        <w:tabs>
          <w:tab w:val="left" w:pos="0"/>
        </w:tabs>
        <w:ind w:left="4620" w:hanging="420"/>
      </w:pPr>
      <w:rPr>
        <w:rFonts w:cs="Times New Roman"/>
      </w:rPr>
    </w:lvl>
  </w:abstractNum>
  <w:abstractNum w:abstractNumId="327">
    <w:nsid w:val="41575D22"/>
    <w:multiLevelType w:val="multilevel"/>
    <w:tmpl w:val="41575D22"/>
    <w:lvl w:ilvl="0">
      <w:start w:val="1"/>
      <w:numFmt w:val="decimal"/>
      <w:lvlText w:val="%1、"/>
      <w:lvlJc w:val="left"/>
      <w:pPr>
        <w:tabs>
          <w:tab w:val="left" w:pos="420"/>
        </w:tabs>
        <w:ind w:left="42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28">
    <w:nsid w:val="416578D3"/>
    <w:multiLevelType w:val="multilevel"/>
    <w:tmpl w:val="416578D3"/>
    <w:lvl w:ilvl="0">
      <w:start w:val="1"/>
      <w:numFmt w:val="decimal"/>
      <w:lvlText w:val="%1、"/>
      <w:lvlJc w:val="left"/>
      <w:pPr>
        <w:tabs>
          <w:tab w:val="left" w:pos="900"/>
        </w:tabs>
        <w:ind w:left="900" w:hanging="360"/>
      </w:pPr>
      <w:rPr>
        <w:rFonts w:ascii="Times New Roman" w:eastAsia="宋体" w:hAnsi="Times New Roman" w:cs="Times New Roman"/>
      </w:rPr>
    </w:lvl>
    <w:lvl w:ilvl="1">
      <w:start w:val="1"/>
      <w:numFmt w:val="decimal"/>
      <w:lvlText w:val="%2、"/>
      <w:lvlJc w:val="left"/>
      <w:pPr>
        <w:tabs>
          <w:tab w:val="left" w:pos="1320"/>
        </w:tabs>
        <w:ind w:left="1320" w:hanging="360"/>
      </w:pPr>
      <w:rPr>
        <w:rFonts w:cs="Times New Roman" w:hint="default"/>
      </w:rPr>
    </w:lvl>
    <w:lvl w:ilvl="2">
      <w:start w:val="1"/>
      <w:numFmt w:val="lowerRoman"/>
      <w:lvlText w:val="%3."/>
      <w:lvlJc w:val="right"/>
      <w:pPr>
        <w:tabs>
          <w:tab w:val="left" w:pos="1800"/>
        </w:tabs>
        <w:ind w:left="1800" w:hanging="420"/>
      </w:pPr>
      <w:rPr>
        <w:rFonts w:cs="Times New Roman"/>
      </w:rPr>
    </w:lvl>
    <w:lvl w:ilvl="3">
      <w:start w:val="1"/>
      <w:numFmt w:val="decimal"/>
      <w:lvlText w:val="%4."/>
      <w:lvlJc w:val="left"/>
      <w:pPr>
        <w:tabs>
          <w:tab w:val="left" w:pos="2220"/>
        </w:tabs>
        <w:ind w:left="2220" w:hanging="420"/>
      </w:pPr>
      <w:rPr>
        <w:rFonts w:cs="Times New Roman"/>
      </w:rPr>
    </w:lvl>
    <w:lvl w:ilvl="4">
      <w:start w:val="1"/>
      <w:numFmt w:val="lowerLetter"/>
      <w:lvlText w:val="%5)"/>
      <w:lvlJc w:val="left"/>
      <w:pPr>
        <w:tabs>
          <w:tab w:val="left" w:pos="2640"/>
        </w:tabs>
        <w:ind w:left="2640" w:hanging="420"/>
      </w:pPr>
      <w:rPr>
        <w:rFonts w:cs="Times New Roman"/>
      </w:rPr>
    </w:lvl>
    <w:lvl w:ilvl="5">
      <w:start w:val="1"/>
      <w:numFmt w:val="lowerRoman"/>
      <w:lvlText w:val="%6."/>
      <w:lvlJc w:val="right"/>
      <w:pPr>
        <w:tabs>
          <w:tab w:val="left" w:pos="3060"/>
        </w:tabs>
        <w:ind w:left="3060" w:hanging="420"/>
      </w:pPr>
      <w:rPr>
        <w:rFonts w:cs="Times New Roman"/>
      </w:rPr>
    </w:lvl>
    <w:lvl w:ilvl="6">
      <w:start w:val="1"/>
      <w:numFmt w:val="decimal"/>
      <w:lvlText w:val="%7."/>
      <w:lvlJc w:val="left"/>
      <w:pPr>
        <w:tabs>
          <w:tab w:val="left" w:pos="3480"/>
        </w:tabs>
        <w:ind w:left="3480" w:hanging="420"/>
      </w:pPr>
      <w:rPr>
        <w:rFonts w:cs="Times New Roman"/>
      </w:rPr>
    </w:lvl>
    <w:lvl w:ilvl="7">
      <w:start w:val="1"/>
      <w:numFmt w:val="lowerLetter"/>
      <w:lvlText w:val="%8)"/>
      <w:lvlJc w:val="left"/>
      <w:pPr>
        <w:tabs>
          <w:tab w:val="left" w:pos="3900"/>
        </w:tabs>
        <w:ind w:left="3900" w:hanging="420"/>
      </w:pPr>
      <w:rPr>
        <w:rFonts w:cs="Times New Roman"/>
      </w:rPr>
    </w:lvl>
    <w:lvl w:ilvl="8">
      <w:start w:val="1"/>
      <w:numFmt w:val="lowerRoman"/>
      <w:lvlText w:val="%9."/>
      <w:lvlJc w:val="right"/>
      <w:pPr>
        <w:tabs>
          <w:tab w:val="left" w:pos="4320"/>
        </w:tabs>
        <w:ind w:left="4320" w:hanging="420"/>
      </w:pPr>
      <w:rPr>
        <w:rFonts w:cs="Times New Roman"/>
      </w:rPr>
    </w:lvl>
  </w:abstractNum>
  <w:abstractNum w:abstractNumId="329">
    <w:nsid w:val="41995057"/>
    <w:multiLevelType w:val="multilevel"/>
    <w:tmpl w:val="41995057"/>
    <w:lvl w:ilvl="0">
      <w:start w:val="1"/>
      <w:numFmt w:val="japaneseCounting"/>
      <w:lvlText w:val="第%1节"/>
      <w:lvlJc w:val="left"/>
      <w:pPr>
        <w:ind w:left="720" w:hanging="720"/>
      </w:pPr>
      <w:rPr>
        <w:rFonts w:cs="Times New Roman" w:hint="default"/>
      </w:rPr>
    </w:lvl>
    <w:lvl w:ilvl="1">
      <w:start w:val="10"/>
      <w:numFmt w:val="japaneseCounting"/>
      <w:lvlText w:val="第%2章"/>
      <w:lvlJc w:val="left"/>
      <w:pPr>
        <w:tabs>
          <w:tab w:val="left" w:pos="1260"/>
        </w:tabs>
        <w:ind w:left="1260" w:hanging="84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30">
    <w:nsid w:val="41B87753"/>
    <w:multiLevelType w:val="multilevel"/>
    <w:tmpl w:val="41B87753"/>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31">
    <w:nsid w:val="420A3803"/>
    <w:multiLevelType w:val="multilevel"/>
    <w:tmpl w:val="420A3803"/>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32">
    <w:nsid w:val="42FA266C"/>
    <w:multiLevelType w:val="multilevel"/>
    <w:tmpl w:val="BA5A8BF0"/>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33">
    <w:nsid w:val="43194F75"/>
    <w:multiLevelType w:val="multilevel"/>
    <w:tmpl w:val="43194F75"/>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34">
    <w:nsid w:val="43206E85"/>
    <w:multiLevelType w:val="multilevel"/>
    <w:tmpl w:val="43206E85"/>
    <w:lvl w:ilvl="0">
      <w:start w:val="1"/>
      <w:numFmt w:val="decimal"/>
      <w:lvlText w:val="%1."/>
      <w:lvlJc w:val="left"/>
      <w:pPr>
        <w:tabs>
          <w:tab w:val="left" w:pos="1129"/>
        </w:tabs>
        <w:ind w:left="1129"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35">
    <w:nsid w:val="43211C8E"/>
    <w:multiLevelType w:val="multilevel"/>
    <w:tmpl w:val="43211C8E"/>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336">
    <w:nsid w:val="43235B4B"/>
    <w:multiLevelType w:val="multilevel"/>
    <w:tmpl w:val="43235B4B"/>
    <w:lvl w:ilvl="0">
      <w:start w:val="1"/>
      <w:numFmt w:val="decimal"/>
      <w:lvlText w:val="%1、"/>
      <w:lvlJc w:val="left"/>
      <w:pPr>
        <w:ind w:left="720" w:hanging="360"/>
      </w:pPr>
      <w:rPr>
        <w:rFonts w:ascii="Calibri" w:eastAsia="宋体" w:hAnsi="Calibri" w:cs="Times New Roman"/>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337">
    <w:nsid w:val="44012161"/>
    <w:multiLevelType w:val="singleLevel"/>
    <w:tmpl w:val="44012161"/>
    <w:lvl w:ilvl="0">
      <w:start w:val="1"/>
      <w:numFmt w:val="decimal"/>
      <w:lvlText w:val="%1."/>
      <w:lvlJc w:val="left"/>
      <w:pPr>
        <w:tabs>
          <w:tab w:val="left" w:pos="1060"/>
        </w:tabs>
        <w:ind w:left="1060" w:hanging="420"/>
      </w:pPr>
      <w:rPr>
        <w:rFonts w:cs="Times New Roman" w:hint="eastAsia"/>
      </w:rPr>
    </w:lvl>
  </w:abstractNum>
  <w:abstractNum w:abstractNumId="338">
    <w:nsid w:val="44646321"/>
    <w:multiLevelType w:val="multilevel"/>
    <w:tmpl w:val="44646321"/>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39">
    <w:nsid w:val="45162F2B"/>
    <w:multiLevelType w:val="multilevel"/>
    <w:tmpl w:val="45162F2B"/>
    <w:lvl w:ilvl="0">
      <w:start w:val="1"/>
      <w:numFmt w:val="decimal"/>
      <w:lvlText w:val="%1."/>
      <w:lvlJc w:val="left"/>
      <w:pPr>
        <w:tabs>
          <w:tab w:val="left" w:pos="0"/>
        </w:tabs>
        <w:ind w:left="1192" w:hanging="36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340">
    <w:nsid w:val="45365F15"/>
    <w:multiLevelType w:val="multilevel"/>
    <w:tmpl w:val="45365F15"/>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1">
    <w:nsid w:val="454D4CA5"/>
    <w:multiLevelType w:val="multilevel"/>
    <w:tmpl w:val="454D4CA5"/>
    <w:lvl w:ilvl="0">
      <w:start w:val="1"/>
      <w:numFmt w:val="decimal"/>
      <w:lvlText w:val="%1."/>
      <w:lvlJc w:val="left"/>
      <w:pPr>
        <w:tabs>
          <w:tab w:val="left" w:pos="1129"/>
        </w:tabs>
        <w:ind w:left="1129"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42">
    <w:nsid w:val="456C032D"/>
    <w:multiLevelType w:val="multilevel"/>
    <w:tmpl w:val="456C032D"/>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3">
    <w:nsid w:val="459B1CBF"/>
    <w:multiLevelType w:val="multilevel"/>
    <w:tmpl w:val="459B1CBF"/>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4">
    <w:nsid w:val="45F620E5"/>
    <w:multiLevelType w:val="multilevel"/>
    <w:tmpl w:val="45F620E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45">
    <w:nsid w:val="46236491"/>
    <w:multiLevelType w:val="multilevel"/>
    <w:tmpl w:val="4623649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46">
    <w:nsid w:val="462D7AA1"/>
    <w:multiLevelType w:val="multilevel"/>
    <w:tmpl w:val="462D7AA1"/>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347">
    <w:nsid w:val="46A7466C"/>
    <w:multiLevelType w:val="multilevel"/>
    <w:tmpl w:val="46A7466C"/>
    <w:lvl w:ilvl="0">
      <w:start w:val="1"/>
      <w:numFmt w:val="japaneseCounting"/>
      <w:lvlText w:val="%1、"/>
      <w:lvlJc w:val="left"/>
      <w:pPr>
        <w:ind w:left="510" w:hanging="51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8">
    <w:nsid w:val="46FC68A3"/>
    <w:multiLevelType w:val="multilevel"/>
    <w:tmpl w:val="46FC68A3"/>
    <w:lvl w:ilvl="0">
      <w:start w:val="1"/>
      <w:numFmt w:val="decimal"/>
      <w:lvlText w:val="%1."/>
      <w:lvlJc w:val="left"/>
      <w:pPr>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49">
    <w:nsid w:val="475D78A5"/>
    <w:multiLevelType w:val="multilevel"/>
    <w:tmpl w:val="4AD2CE68"/>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0">
    <w:nsid w:val="47664B7A"/>
    <w:multiLevelType w:val="multilevel"/>
    <w:tmpl w:val="47664B7A"/>
    <w:lvl w:ilvl="0">
      <w:start w:val="1"/>
      <w:numFmt w:val="decimal"/>
      <w:lvlText w:val="%1．"/>
      <w:lvlJc w:val="left"/>
      <w:pPr>
        <w:tabs>
          <w:tab w:val="left" w:pos="0"/>
        </w:tabs>
        <w:ind w:left="1552" w:hanging="72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351">
    <w:nsid w:val="47930804"/>
    <w:multiLevelType w:val="multilevel"/>
    <w:tmpl w:val="47930804"/>
    <w:lvl w:ilvl="0">
      <w:start w:val="1"/>
      <w:numFmt w:val="decimal"/>
      <w:lvlText w:val="%1."/>
      <w:lvlJc w:val="left"/>
      <w:pPr>
        <w:tabs>
          <w:tab w:val="left" w:pos="1140"/>
        </w:tabs>
        <w:ind w:left="1140" w:hanging="420"/>
      </w:pPr>
      <w:rPr>
        <w:rFonts w:cs="Times New Roman"/>
      </w:rPr>
    </w:lvl>
    <w:lvl w:ilvl="1">
      <w:start w:val="1"/>
      <w:numFmt w:val="lowerLetter"/>
      <w:lvlText w:val="%2)"/>
      <w:lvlJc w:val="left"/>
      <w:pPr>
        <w:tabs>
          <w:tab w:val="left" w:pos="1560"/>
        </w:tabs>
        <w:ind w:left="1560" w:hanging="420"/>
      </w:pPr>
      <w:rPr>
        <w:rFonts w:cs="Times New Roman"/>
      </w:rPr>
    </w:lvl>
    <w:lvl w:ilvl="2">
      <w:start w:val="1"/>
      <w:numFmt w:val="lowerRoman"/>
      <w:lvlText w:val="%3."/>
      <w:lvlJc w:val="right"/>
      <w:pPr>
        <w:tabs>
          <w:tab w:val="left" w:pos="1980"/>
        </w:tabs>
        <w:ind w:left="1980" w:hanging="420"/>
      </w:pPr>
      <w:rPr>
        <w:rFonts w:cs="Times New Roman"/>
      </w:rPr>
    </w:lvl>
    <w:lvl w:ilvl="3">
      <w:start w:val="1"/>
      <w:numFmt w:val="decimal"/>
      <w:lvlText w:val="%4."/>
      <w:lvlJc w:val="left"/>
      <w:pPr>
        <w:tabs>
          <w:tab w:val="left" w:pos="2400"/>
        </w:tabs>
        <w:ind w:left="2400" w:hanging="420"/>
      </w:pPr>
      <w:rPr>
        <w:rFonts w:cs="Times New Roman"/>
      </w:rPr>
    </w:lvl>
    <w:lvl w:ilvl="4">
      <w:start w:val="1"/>
      <w:numFmt w:val="lowerLetter"/>
      <w:lvlText w:val="%5)"/>
      <w:lvlJc w:val="left"/>
      <w:pPr>
        <w:tabs>
          <w:tab w:val="left" w:pos="2820"/>
        </w:tabs>
        <w:ind w:left="2820" w:hanging="420"/>
      </w:pPr>
      <w:rPr>
        <w:rFonts w:cs="Times New Roman"/>
      </w:rPr>
    </w:lvl>
    <w:lvl w:ilvl="5">
      <w:start w:val="1"/>
      <w:numFmt w:val="lowerRoman"/>
      <w:lvlText w:val="%6."/>
      <w:lvlJc w:val="right"/>
      <w:pPr>
        <w:tabs>
          <w:tab w:val="left" w:pos="3240"/>
        </w:tabs>
        <w:ind w:left="3240" w:hanging="420"/>
      </w:pPr>
      <w:rPr>
        <w:rFonts w:cs="Times New Roman"/>
      </w:rPr>
    </w:lvl>
    <w:lvl w:ilvl="6">
      <w:start w:val="1"/>
      <w:numFmt w:val="decimal"/>
      <w:lvlText w:val="%7."/>
      <w:lvlJc w:val="left"/>
      <w:pPr>
        <w:tabs>
          <w:tab w:val="left" w:pos="3660"/>
        </w:tabs>
        <w:ind w:left="3660" w:hanging="420"/>
      </w:pPr>
      <w:rPr>
        <w:rFonts w:cs="Times New Roman"/>
      </w:rPr>
    </w:lvl>
    <w:lvl w:ilvl="7">
      <w:start w:val="1"/>
      <w:numFmt w:val="lowerLetter"/>
      <w:lvlText w:val="%8)"/>
      <w:lvlJc w:val="left"/>
      <w:pPr>
        <w:tabs>
          <w:tab w:val="left" w:pos="4080"/>
        </w:tabs>
        <w:ind w:left="4080" w:hanging="420"/>
      </w:pPr>
      <w:rPr>
        <w:rFonts w:cs="Times New Roman"/>
      </w:rPr>
    </w:lvl>
    <w:lvl w:ilvl="8">
      <w:start w:val="1"/>
      <w:numFmt w:val="lowerRoman"/>
      <w:lvlText w:val="%9."/>
      <w:lvlJc w:val="right"/>
      <w:pPr>
        <w:tabs>
          <w:tab w:val="left" w:pos="4500"/>
        </w:tabs>
        <w:ind w:left="4500" w:hanging="420"/>
      </w:pPr>
      <w:rPr>
        <w:rFonts w:cs="Times New Roman"/>
      </w:rPr>
    </w:lvl>
  </w:abstractNum>
  <w:abstractNum w:abstractNumId="352">
    <w:nsid w:val="479B487C"/>
    <w:multiLevelType w:val="multilevel"/>
    <w:tmpl w:val="479B487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3">
    <w:nsid w:val="47BA777F"/>
    <w:multiLevelType w:val="multilevel"/>
    <w:tmpl w:val="47BA777F"/>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54">
    <w:nsid w:val="484E0D7E"/>
    <w:multiLevelType w:val="multilevel"/>
    <w:tmpl w:val="484E0D7E"/>
    <w:lvl w:ilvl="0">
      <w:start w:val="1"/>
      <w:numFmt w:val="decimal"/>
      <w:lvlText w:val="%1."/>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5">
    <w:nsid w:val="48B62F7D"/>
    <w:multiLevelType w:val="multilevel"/>
    <w:tmpl w:val="48B62F7D"/>
    <w:lvl w:ilvl="0">
      <w:start w:val="1"/>
      <w:numFmt w:val="decimal"/>
      <w:lvlText w:val="%1."/>
      <w:lvlJc w:val="left"/>
      <w:pPr>
        <w:ind w:left="1129" w:hanging="420"/>
      </w:pPr>
      <w:rPr>
        <w:rFonts w:cs="Times New Roman"/>
      </w:rPr>
    </w:lvl>
    <w:lvl w:ilvl="1">
      <w:start w:val="1"/>
      <w:numFmt w:val="lowerLetter"/>
      <w:lvlText w:val="%2)"/>
      <w:lvlJc w:val="left"/>
      <w:pPr>
        <w:ind w:left="703" w:hanging="420"/>
      </w:pPr>
      <w:rPr>
        <w:rFonts w:cs="Times New Roman"/>
      </w:rPr>
    </w:lvl>
    <w:lvl w:ilvl="2">
      <w:start w:val="1"/>
      <w:numFmt w:val="lowerRoman"/>
      <w:lvlText w:val="%3."/>
      <w:lvlJc w:val="right"/>
      <w:pPr>
        <w:ind w:left="1123" w:hanging="420"/>
      </w:pPr>
      <w:rPr>
        <w:rFonts w:cs="Times New Roman"/>
      </w:rPr>
    </w:lvl>
    <w:lvl w:ilvl="3">
      <w:start w:val="1"/>
      <w:numFmt w:val="decimal"/>
      <w:lvlText w:val="%4."/>
      <w:lvlJc w:val="left"/>
      <w:pPr>
        <w:ind w:left="1543" w:hanging="420"/>
      </w:pPr>
      <w:rPr>
        <w:rFonts w:cs="Times New Roman"/>
      </w:rPr>
    </w:lvl>
    <w:lvl w:ilvl="4">
      <w:start w:val="1"/>
      <w:numFmt w:val="lowerLetter"/>
      <w:lvlText w:val="%5)"/>
      <w:lvlJc w:val="left"/>
      <w:pPr>
        <w:ind w:left="1963" w:hanging="420"/>
      </w:pPr>
      <w:rPr>
        <w:rFonts w:cs="Times New Roman"/>
      </w:rPr>
    </w:lvl>
    <w:lvl w:ilvl="5">
      <w:start w:val="1"/>
      <w:numFmt w:val="lowerRoman"/>
      <w:lvlText w:val="%6."/>
      <w:lvlJc w:val="right"/>
      <w:pPr>
        <w:ind w:left="2383" w:hanging="420"/>
      </w:pPr>
      <w:rPr>
        <w:rFonts w:cs="Times New Roman"/>
      </w:rPr>
    </w:lvl>
    <w:lvl w:ilvl="6">
      <w:start w:val="1"/>
      <w:numFmt w:val="decimal"/>
      <w:lvlText w:val="%7."/>
      <w:lvlJc w:val="left"/>
      <w:pPr>
        <w:ind w:left="2803" w:hanging="420"/>
      </w:pPr>
      <w:rPr>
        <w:rFonts w:cs="Times New Roman"/>
      </w:rPr>
    </w:lvl>
    <w:lvl w:ilvl="7">
      <w:start w:val="1"/>
      <w:numFmt w:val="lowerLetter"/>
      <w:lvlText w:val="%8)"/>
      <w:lvlJc w:val="left"/>
      <w:pPr>
        <w:ind w:left="3223" w:hanging="420"/>
      </w:pPr>
      <w:rPr>
        <w:rFonts w:cs="Times New Roman"/>
      </w:rPr>
    </w:lvl>
    <w:lvl w:ilvl="8">
      <w:start w:val="1"/>
      <w:numFmt w:val="lowerRoman"/>
      <w:lvlText w:val="%9."/>
      <w:lvlJc w:val="right"/>
      <w:pPr>
        <w:ind w:left="3643" w:hanging="420"/>
      </w:pPr>
      <w:rPr>
        <w:rFonts w:cs="Times New Roman"/>
      </w:rPr>
    </w:lvl>
  </w:abstractNum>
  <w:abstractNum w:abstractNumId="356">
    <w:nsid w:val="48CB4D56"/>
    <w:multiLevelType w:val="multilevel"/>
    <w:tmpl w:val="48CB4D56"/>
    <w:lvl w:ilvl="0">
      <w:start w:val="1"/>
      <w:numFmt w:val="decimal"/>
      <w:lvlText w:val="%1、"/>
      <w:lvlJc w:val="left"/>
      <w:pPr>
        <w:tabs>
          <w:tab w:val="left" w:pos="785"/>
        </w:tabs>
        <w:ind w:left="785" w:hanging="360"/>
      </w:pPr>
      <w:rPr>
        <w:rFonts w:cs="Times New Roman" w:hint="default"/>
      </w:rPr>
    </w:lvl>
    <w:lvl w:ilvl="1">
      <w:start w:val="1"/>
      <w:numFmt w:val="decimal"/>
      <w:lvlText w:val="%2、"/>
      <w:lvlJc w:val="left"/>
      <w:pPr>
        <w:tabs>
          <w:tab w:val="left" w:pos="1260"/>
        </w:tabs>
        <w:ind w:left="1260" w:hanging="360"/>
      </w:pPr>
      <w:rPr>
        <w:rFonts w:cs="Times New Roman" w:hint="default"/>
      </w:rPr>
    </w:lvl>
    <w:lvl w:ilvl="2">
      <w:start w:val="1"/>
      <w:numFmt w:val="lowerRoman"/>
      <w:lvlText w:val="%3."/>
      <w:lvlJc w:val="right"/>
      <w:pPr>
        <w:tabs>
          <w:tab w:val="left" w:pos="1685"/>
        </w:tabs>
        <w:ind w:left="1685" w:hanging="420"/>
      </w:pPr>
      <w:rPr>
        <w:rFonts w:cs="Times New Roman"/>
      </w:rPr>
    </w:lvl>
    <w:lvl w:ilvl="3">
      <w:start w:val="1"/>
      <w:numFmt w:val="decimal"/>
      <w:lvlText w:val="%4."/>
      <w:lvlJc w:val="left"/>
      <w:pPr>
        <w:tabs>
          <w:tab w:val="left" w:pos="2105"/>
        </w:tabs>
        <w:ind w:left="2105" w:hanging="420"/>
      </w:pPr>
      <w:rPr>
        <w:rFonts w:cs="Times New Roman"/>
      </w:rPr>
    </w:lvl>
    <w:lvl w:ilvl="4">
      <w:start w:val="1"/>
      <w:numFmt w:val="lowerLetter"/>
      <w:lvlText w:val="%5)"/>
      <w:lvlJc w:val="left"/>
      <w:pPr>
        <w:tabs>
          <w:tab w:val="left" w:pos="2525"/>
        </w:tabs>
        <w:ind w:left="2525" w:hanging="420"/>
      </w:pPr>
      <w:rPr>
        <w:rFonts w:cs="Times New Roman"/>
      </w:rPr>
    </w:lvl>
    <w:lvl w:ilvl="5">
      <w:start w:val="1"/>
      <w:numFmt w:val="lowerRoman"/>
      <w:lvlText w:val="%6."/>
      <w:lvlJc w:val="right"/>
      <w:pPr>
        <w:tabs>
          <w:tab w:val="left" w:pos="2945"/>
        </w:tabs>
        <w:ind w:left="2945" w:hanging="420"/>
      </w:pPr>
      <w:rPr>
        <w:rFonts w:cs="Times New Roman"/>
      </w:rPr>
    </w:lvl>
    <w:lvl w:ilvl="6">
      <w:start w:val="1"/>
      <w:numFmt w:val="decimal"/>
      <w:lvlText w:val="%7."/>
      <w:lvlJc w:val="left"/>
      <w:pPr>
        <w:tabs>
          <w:tab w:val="left" w:pos="3365"/>
        </w:tabs>
        <w:ind w:left="3365" w:hanging="420"/>
      </w:pPr>
      <w:rPr>
        <w:rFonts w:cs="Times New Roman"/>
      </w:rPr>
    </w:lvl>
    <w:lvl w:ilvl="7">
      <w:start w:val="1"/>
      <w:numFmt w:val="lowerLetter"/>
      <w:lvlText w:val="%8)"/>
      <w:lvlJc w:val="left"/>
      <w:pPr>
        <w:tabs>
          <w:tab w:val="left" w:pos="3785"/>
        </w:tabs>
        <w:ind w:left="3785" w:hanging="420"/>
      </w:pPr>
      <w:rPr>
        <w:rFonts w:cs="Times New Roman"/>
      </w:rPr>
    </w:lvl>
    <w:lvl w:ilvl="8">
      <w:start w:val="1"/>
      <w:numFmt w:val="lowerRoman"/>
      <w:lvlText w:val="%9."/>
      <w:lvlJc w:val="right"/>
      <w:pPr>
        <w:tabs>
          <w:tab w:val="left" w:pos="4205"/>
        </w:tabs>
        <w:ind w:left="4205" w:hanging="420"/>
      </w:pPr>
      <w:rPr>
        <w:rFonts w:cs="Times New Roman"/>
      </w:rPr>
    </w:lvl>
  </w:abstractNum>
  <w:abstractNum w:abstractNumId="357">
    <w:nsid w:val="49614558"/>
    <w:multiLevelType w:val="multilevel"/>
    <w:tmpl w:val="49614558"/>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8">
    <w:nsid w:val="49614BCC"/>
    <w:multiLevelType w:val="multilevel"/>
    <w:tmpl w:val="49614BCC"/>
    <w:lvl w:ilvl="0">
      <w:start w:val="1"/>
      <w:numFmt w:val="decimal"/>
      <w:lvlText w:val="%1、"/>
      <w:lvlJc w:val="left"/>
      <w:pPr>
        <w:tabs>
          <w:tab w:val="left" w:pos="0"/>
        </w:tabs>
        <w:ind w:left="720" w:hanging="360"/>
      </w:pPr>
      <w:rPr>
        <w:rFonts w:cs="Times New Roman" w:hint="default"/>
      </w:rPr>
    </w:lvl>
    <w:lvl w:ilvl="1">
      <w:start w:val="1"/>
      <w:numFmt w:val="lowerLetter"/>
      <w:lvlText w:val="%2)"/>
      <w:lvlJc w:val="left"/>
      <w:pPr>
        <w:tabs>
          <w:tab w:val="left" w:pos="0"/>
        </w:tabs>
        <w:ind w:left="1200" w:hanging="420"/>
      </w:pPr>
      <w:rPr>
        <w:rFonts w:cs="Times New Roman"/>
      </w:rPr>
    </w:lvl>
    <w:lvl w:ilvl="2">
      <w:start w:val="1"/>
      <w:numFmt w:val="lowerRoman"/>
      <w:lvlText w:val="%3."/>
      <w:lvlJc w:val="right"/>
      <w:pPr>
        <w:tabs>
          <w:tab w:val="left" w:pos="0"/>
        </w:tabs>
        <w:ind w:left="1620" w:hanging="420"/>
      </w:pPr>
      <w:rPr>
        <w:rFonts w:cs="Times New Roman"/>
      </w:rPr>
    </w:lvl>
    <w:lvl w:ilvl="3">
      <w:start w:val="1"/>
      <w:numFmt w:val="decimal"/>
      <w:lvlText w:val="%4."/>
      <w:lvlJc w:val="left"/>
      <w:pPr>
        <w:tabs>
          <w:tab w:val="left" w:pos="0"/>
        </w:tabs>
        <w:ind w:left="2040" w:hanging="420"/>
      </w:pPr>
      <w:rPr>
        <w:rFonts w:cs="Times New Roman"/>
      </w:rPr>
    </w:lvl>
    <w:lvl w:ilvl="4">
      <w:start w:val="1"/>
      <w:numFmt w:val="lowerLetter"/>
      <w:lvlText w:val="%5)"/>
      <w:lvlJc w:val="left"/>
      <w:pPr>
        <w:tabs>
          <w:tab w:val="left" w:pos="0"/>
        </w:tabs>
        <w:ind w:left="2460" w:hanging="420"/>
      </w:pPr>
      <w:rPr>
        <w:rFonts w:cs="Times New Roman"/>
      </w:rPr>
    </w:lvl>
    <w:lvl w:ilvl="5">
      <w:start w:val="1"/>
      <w:numFmt w:val="lowerRoman"/>
      <w:lvlText w:val="%6."/>
      <w:lvlJc w:val="right"/>
      <w:pPr>
        <w:tabs>
          <w:tab w:val="left" w:pos="0"/>
        </w:tabs>
        <w:ind w:left="2880" w:hanging="420"/>
      </w:pPr>
      <w:rPr>
        <w:rFonts w:cs="Times New Roman"/>
      </w:rPr>
    </w:lvl>
    <w:lvl w:ilvl="6">
      <w:start w:val="1"/>
      <w:numFmt w:val="decimal"/>
      <w:lvlText w:val="%7."/>
      <w:lvlJc w:val="left"/>
      <w:pPr>
        <w:tabs>
          <w:tab w:val="left" w:pos="0"/>
        </w:tabs>
        <w:ind w:left="3300" w:hanging="420"/>
      </w:pPr>
      <w:rPr>
        <w:rFonts w:cs="Times New Roman"/>
      </w:rPr>
    </w:lvl>
    <w:lvl w:ilvl="7">
      <w:start w:val="1"/>
      <w:numFmt w:val="lowerLetter"/>
      <w:lvlText w:val="%8)"/>
      <w:lvlJc w:val="left"/>
      <w:pPr>
        <w:tabs>
          <w:tab w:val="left" w:pos="0"/>
        </w:tabs>
        <w:ind w:left="3720" w:hanging="420"/>
      </w:pPr>
      <w:rPr>
        <w:rFonts w:cs="Times New Roman"/>
      </w:rPr>
    </w:lvl>
    <w:lvl w:ilvl="8">
      <w:start w:val="1"/>
      <w:numFmt w:val="lowerRoman"/>
      <w:lvlText w:val="%9."/>
      <w:lvlJc w:val="right"/>
      <w:pPr>
        <w:tabs>
          <w:tab w:val="left" w:pos="0"/>
        </w:tabs>
        <w:ind w:left="4140" w:hanging="420"/>
      </w:pPr>
      <w:rPr>
        <w:rFonts w:cs="Times New Roman"/>
      </w:rPr>
    </w:lvl>
  </w:abstractNum>
  <w:abstractNum w:abstractNumId="359">
    <w:nsid w:val="49B737D7"/>
    <w:multiLevelType w:val="multilevel"/>
    <w:tmpl w:val="49B737D7"/>
    <w:lvl w:ilvl="0">
      <w:start w:val="1"/>
      <w:numFmt w:val="japaneseCounting"/>
      <w:lvlText w:val="第%1节"/>
      <w:lvlJc w:val="left"/>
      <w:pPr>
        <w:ind w:left="765" w:hanging="765"/>
      </w:pPr>
      <w:rPr>
        <w:rFonts w:ascii="Calibri" w:eastAsia="宋体" w:hAnsi="Calibri"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60">
    <w:nsid w:val="49D40018"/>
    <w:multiLevelType w:val="multilevel"/>
    <w:tmpl w:val="49D40018"/>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361">
    <w:nsid w:val="49DB2C34"/>
    <w:multiLevelType w:val="multilevel"/>
    <w:tmpl w:val="49DB2C34"/>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62">
    <w:nsid w:val="49E7785C"/>
    <w:multiLevelType w:val="multilevel"/>
    <w:tmpl w:val="49E7785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63">
    <w:nsid w:val="49F75B0D"/>
    <w:multiLevelType w:val="multilevel"/>
    <w:tmpl w:val="49F75B0D"/>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64">
    <w:nsid w:val="4A24789F"/>
    <w:multiLevelType w:val="multilevel"/>
    <w:tmpl w:val="4A24789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65">
    <w:nsid w:val="4A350E53"/>
    <w:multiLevelType w:val="multilevel"/>
    <w:tmpl w:val="4A350E53"/>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66">
    <w:nsid w:val="4A927603"/>
    <w:multiLevelType w:val="multilevel"/>
    <w:tmpl w:val="4A927603"/>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67">
    <w:nsid w:val="4A9D2F1D"/>
    <w:multiLevelType w:val="multilevel"/>
    <w:tmpl w:val="4A9D2F1D"/>
    <w:lvl w:ilvl="0">
      <w:start w:val="1"/>
      <w:numFmt w:val="decimal"/>
      <w:lvlText w:val="%1."/>
      <w:lvlJc w:val="left"/>
      <w:pPr>
        <w:tabs>
          <w:tab w:val="left" w:pos="785"/>
        </w:tabs>
        <w:ind w:left="785" w:hanging="360"/>
      </w:pPr>
      <w:rPr>
        <w:rFonts w:cs="Times New Roman" w:hint="default"/>
      </w:rPr>
    </w:lvl>
    <w:lvl w:ilvl="1">
      <w:start w:val="1"/>
      <w:numFmt w:val="lowerLetter"/>
      <w:lvlText w:val="%2)"/>
      <w:lvlJc w:val="left"/>
      <w:pPr>
        <w:tabs>
          <w:tab w:val="left" w:pos="1265"/>
        </w:tabs>
        <w:ind w:left="1265" w:hanging="420"/>
      </w:pPr>
      <w:rPr>
        <w:rFonts w:cs="Times New Roman"/>
      </w:rPr>
    </w:lvl>
    <w:lvl w:ilvl="2">
      <w:start w:val="1"/>
      <w:numFmt w:val="lowerRoman"/>
      <w:lvlText w:val="%3."/>
      <w:lvlJc w:val="right"/>
      <w:pPr>
        <w:tabs>
          <w:tab w:val="left" w:pos="1685"/>
        </w:tabs>
        <w:ind w:left="1685" w:hanging="420"/>
      </w:pPr>
      <w:rPr>
        <w:rFonts w:cs="Times New Roman"/>
      </w:rPr>
    </w:lvl>
    <w:lvl w:ilvl="3">
      <w:start w:val="1"/>
      <w:numFmt w:val="decimal"/>
      <w:lvlText w:val="%4."/>
      <w:lvlJc w:val="left"/>
      <w:pPr>
        <w:tabs>
          <w:tab w:val="left" w:pos="2105"/>
        </w:tabs>
        <w:ind w:left="2105" w:hanging="420"/>
      </w:pPr>
      <w:rPr>
        <w:rFonts w:cs="Times New Roman"/>
      </w:rPr>
    </w:lvl>
    <w:lvl w:ilvl="4">
      <w:start w:val="1"/>
      <w:numFmt w:val="lowerLetter"/>
      <w:lvlText w:val="%5)"/>
      <w:lvlJc w:val="left"/>
      <w:pPr>
        <w:tabs>
          <w:tab w:val="left" w:pos="2525"/>
        </w:tabs>
        <w:ind w:left="2525" w:hanging="420"/>
      </w:pPr>
      <w:rPr>
        <w:rFonts w:cs="Times New Roman"/>
      </w:rPr>
    </w:lvl>
    <w:lvl w:ilvl="5">
      <w:start w:val="1"/>
      <w:numFmt w:val="lowerRoman"/>
      <w:lvlText w:val="%6."/>
      <w:lvlJc w:val="right"/>
      <w:pPr>
        <w:tabs>
          <w:tab w:val="left" w:pos="2945"/>
        </w:tabs>
        <w:ind w:left="2945" w:hanging="420"/>
      </w:pPr>
      <w:rPr>
        <w:rFonts w:cs="Times New Roman"/>
      </w:rPr>
    </w:lvl>
    <w:lvl w:ilvl="6">
      <w:start w:val="1"/>
      <w:numFmt w:val="decimal"/>
      <w:lvlText w:val="%7."/>
      <w:lvlJc w:val="left"/>
      <w:pPr>
        <w:tabs>
          <w:tab w:val="left" w:pos="3365"/>
        </w:tabs>
        <w:ind w:left="3365" w:hanging="420"/>
      </w:pPr>
      <w:rPr>
        <w:rFonts w:cs="Times New Roman"/>
      </w:rPr>
    </w:lvl>
    <w:lvl w:ilvl="7">
      <w:start w:val="1"/>
      <w:numFmt w:val="lowerLetter"/>
      <w:lvlText w:val="%8)"/>
      <w:lvlJc w:val="left"/>
      <w:pPr>
        <w:tabs>
          <w:tab w:val="left" w:pos="3785"/>
        </w:tabs>
        <w:ind w:left="3785" w:hanging="420"/>
      </w:pPr>
      <w:rPr>
        <w:rFonts w:cs="Times New Roman"/>
      </w:rPr>
    </w:lvl>
    <w:lvl w:ilvl="8">
      <w:start w:val="1"/>
      <w:numFmt w:val="lowerRoman"/>
      <w:lvlText w:val="%9."/>
      <w:lvlJc w:val="right"/>
      <w:pPr>
        <w:tabs>
          <w:tab w:val="left" w:pos="4205"/>
        </w:tabs>
        <w:ind w:left="4205" w:hanging="420"/>
      </w:pPr>
      <w:rPr>
        <w:rFonts w:cs="Times New Roman"/>
      </w:rPr>
    </w:lvl>
  </w:abstractNum>
  <w:abstractNum w:abstractNumId="368">
    <w:nsid w:val="4AF00CEE"/>
    <w:multiLevelType w:val="multilevel"/>
    <w:tmpl w:val="4AF00CEE"/>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69">
    <w:nsid w:val="4B210151"/>
    <w:multiLevelType w:val="multilevel"/>
    <w:tmpl w:val="4B21015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0">
    <w:nsid w:val="4B622A75"/>
    <w:multiLevelType w:val="multilevel"/>
    <w:tmpl w:val="4B622A75"/>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371">
    <w:nsid w:val="4B682C0F"/>
    <w:multiLevelType w:val="multilevel"/>
    <w:tmpl w:val="4B682C0F"/>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72">
    <w:nsid w:val="4BA81F1C"/>
    <w:multiLevelType w:val="multilevel"/>
    <w:tmpl w:val="4BA81F1C"/>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373">
    <w:nsid w:val="4BEC5C6A"/>
    <w:multiLevelType w:val="multilevel"/>
    <w:tmpl w:val="4BEC5C6A"/>
    <w:lvl w:ilvl="0">
      <w:start w:val="1"/>
      <w:numFmt w:val="japaneseCounting"/>
      <w:lvlText w:val="%1、"/>
      <w:lvlJc w:val="left"/>
      <w:pPr>
        <w:tabs>
          <w:tab w:val="left" w:pos="420"/>
        </w:tabs>
        <w:ind w:left="420" w:hanging="420"/>
      </w:pPr>
      <w:rPr>
        <w:rFonts w:cs="Times New Roman" w:hint="default"/>
      </w:rPr>
    </w:lvl>
    <w:lvl w:ilvl="1">
      <w:start w:val="1"/>
      <w:numFmt w:val="decimal"/>
      <w:lvlText w:val="%2."/>
      <w:lvlJc w:val="left"/>
      <w:pPr>
        <w:tabs>
          <w:tab w:val="left" w:pos="720"/>
        </w:tabs>
        <w:ind w:left="720" w:hanging="36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4">
    <w:nsid w:val="4BFE224E"/>
    <w:multiLevelType w:val="multilevel"/>
    <w:tmpl w:val="4BFE224E"/>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5">
    <w:nsid w:val="4C342451"/>
    <w:multiLevelType w:val="singleLevel"/>
    <w:tmpl w:val="4C342451"/>
    <w:lvl w:ilvl="0">
      <w:start w:val="1"/>
      <w:numFmt w:val="decimal"/>
      <w:lvlText w:val="%1."/>
      <w:lvlJc w:val="left"/>
      <w:pPr>
        <w:tabs>
          <w:tab w:val="left" w:pos="420"/>
        </w:tabs>
        <w:ind w:left="420" w:hanging="420"/>
      </w:pPr>
      <w:rPr>
        <w:rFonts w:cs="Times New Roman" w:hint="eastAsia"/>
      </w:rPr>
    </w:lvl>
  </w:abstractNum>
  <w:abstractNum w:abstractNumId="376">
    <w:nsid w:val="4CC146BE"/>
    <w:multiLevelType w:val="multilevel"/>
    <w:tmpl w:val="4CC146B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7">
    <w:nsid w:val="4D1E3A46"/>
    <w:multiLevelType w:val="multilevel"/>
    <w:tmpl w:val="4D1E3A46"/>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8">
    <w:nsid w:val="4D410617"/>
    <w:multiLevelType w:val="multilevel"/>
    <w:tmpl w:val="4D410617"/>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tabs>
          <w:tab w:val="left" w:pos="1549"/>
        </w:tabs>
        <w:ind w:left="1549" w:hanging="420"/>
      </w:pPr>
      <w:rPr>
        <w:rFonts w:cs="Times New Roman"/>
      </w:rPr>
    </w:lvl>
    <w:lvl w:ilvl="2">
      <w:start w:val="1"/>
      <w:numFmt w:val="lowerRoman"/>
      <w:lvlText w:val="%3."/>
      <w:lvlJc w:val="right"/>
      <w:pPr>
        <w:tabs>
          <w:tab w:val="left" w:pos="1969"/>
        </w:tabs>
        <w:ind w:left="1969" w:hanging="420"/>
      </w:pPr>
      <w:rPr>
        <w:rFonts w:cs="Times New Roman"/>
      </w:rPr>
    </w:lvl>
    <w:lvl w:ilvl="3">
      <w:start w:val="1"/>
      <w:numFmt w:val="decimal"/>
      <w:lvlText w:val="%4."/>
      <w:lvlJc w:val="left"/>
      <w:pPr>
        <w:tabs>
          <w:tab w:val="left" w:pos="2389"/>
        </w:tabs>
        <w:ind w:left="2389" w:hanging="420"/>
      </w:pPr>
      <w:rPr>
        <w:rFonts w:cs="Times New Roman"/>
      </w:rPr>
    </w:lvl>
    <w:lvl w:ilvl="4">
      <w:start w:val="1"/>
      <w:numFmt w:val="lowerLetter"/>
      <w:lvlText w:val="%5)"/>
      <w:lvlJc w:val="left"/>
      <w:pPr>
        <w:tabs>
          <w:tab w:val="left" w:pos="2809"/>
        </w:tabs>
        <w:ind w:left="2809" w:hanging="420"/>
      </w:pPr>
      <w:rPr>
        <w:rFonts w:cs="Times New Roman"/>
      </w:rPr>
    </w:lvl>
    <w:lvl w:ilvl="5">
      <w:start w:val="1"/>
      <w:numFmt w:val="lowerRoman"/>
      <w:lvlText w:val="%6."/>
      <w:lvlJc w:val="right"/>
      <w:pPr>
        <w:tabs>
          <w:tab w:val="left" w:pos="3229"/>
        </w:tabs>
        <w:ind w:left="3229" w:hanging="420"/>
      </w:pPr>
      <w:rPr>
        <w:rFonts w:cs="Times New Roman"/>
      </w:rPr>
    </w:lvl>
    <w:lvl w:ilvl="6">
      <w:start w:val="1"/>
      <w:numFmt w:val="decimal"/>
      <w:lvlText w:val="%7."/>
      <w:lvlJc w:val="left"/>
      <w:pPr>
        <w:tabs>
          <w:tab w:val="left" w:pos="3649"/>
        </w:tabs>
        <w:ind w:left="3649" w:hanging="420"/>
      </w:pPr>
      <w:rPr>
        <w:rFonts w:cs="Times New Roman"/>
      </w:rPr>
    </w:lvl>
    <w:lvl w:ilvl="7">
      <w:start w:val="1"/>
      <w:numFmt w:val="lowerLetter"/>
      <w:lvlText w:val="%8)"/>
      <w:lvlJc w:val="left"/>
      <w:pPr>
        <w:tabs>
          <w:tab w:val="left" w:pos="4069"/>
        </w:tabs>
        <w:ind w:left="4069" w:hanging="420"/>
      </w:pPr>
      <w:rPr>
        <w:rFonts w:cs="Times New Roman"/>
      </w:rPr>
    </w:lvl>
    <w:lvl w:ilvl="8">
      <w:start w:val="1"/>
      <w:numFmt w:val="lowerRoman"/>
      <w:lvlText w:val="%9."/>
      <w:lvlJc w:val="right"/>
      <w:pPr>
        <w:tabs>
          <w:tab w:val="left" w:pos="4489"/>
        </w:tabs>
        <w:ind w:left="4489" w:hanging="420"/>
      </w:pPr>
      <w:rPr>
        <w:rFonts w:cs="Times New Roman"/>
      </w:rPr>
    </w:lvl>
  </w:abstractNum>
  <w:abstractNum w:abstractNumId="379">
    <w:nsid w:val="4D6C5C49"/>
    <w:multiLevelType w:val="multilevel"/>
    <w:tmpl w:val="4D6C5C49"/>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80">
    <w:nsid w:val="4D7B1B75"/>
    <w:multiLevelType w:val="multilevel"/>
    <w:tmpl w:val="4D7B1B75"/>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81">
    <w:nsid w:val="4DD22D0E"/>
    <w:multiLevelType w:val="multilevel"/>
    <w:tmpl w:val="4DD22D0E"/>
    <w:lvl w:ilvl="0">
      <w:start w:val="1"/>
      <w:numFmt w:val="decimal"/>
      <w:lvlText w:val="%1."/>
      <w:lvlJc w:val="left"/>
      <w:pPr>
        <w:tabs>
          <w:tab w:val="left" w:pos="780"/>
        </w:tabs>
        <w:ind w:left="780" w:hanging="420"/>
      </w:pPr>
      <w:rPr>
        <w:rFonts w:cs="Times New Roman"/>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82">
    <w:nsid w:val="4E2E05DD"/>
    <w:multiLevelType w:val="multilevel"/>
    <w:tmpl w:val="4E2E05DD"/>
    <w:lvl w:ilvl="0">
      <w:start w:val="1"/>
      <w:numFmt w:val="decimal"/>
      <w:lvlText w:val="%1、"/>
      <w:lvlJc w:val="left"/>
      <w:pPr>
        <w:ind w:left="795" w:hanging="360"/>
      </w:pPr>
      <w:rPr>
        <w:rFonts w:cs="Times New Roman" w:hint="default"/>
      </w:rPr>
    </w:lvl>
    <w:lvl w:ilvl="1">
      <w:start w:val="1"/>
      <w:numFmt w:val="lowerLetter"/>
      <w:lvlText w:val="%2)"/>
      <w:lvlJc w:val="left"/>
      <w:pPr>
        <w:ind w:left="1275" w:hanging="420"/>
      </w:pPr>
      <w:rPr>
        <w:rFonts w:cs="Times New Roman"/>
      </w:rPr>
    </w:lvl>
    <w:lvl w:ilvl="2">
      <w:start w:val="1"/>
      <w:numFmt w:val="lowerRoman"/>
      <w:lvlText w:val="%3."/>
      <w:lvlJc w:val="right"/>
      <w:pPr>
        <w:ind w:left="1695" w:hanging="420"/>
      </w:pPr>
      <w:rPr>
        <w:rFonts w:cs="Times New Roman"/>
      </w:rPr>
    </w:lvl>
    <w:lvl w:ilvl="3">
      <w:start w:val="1"/>
      <w:numFmt w:val="decimal"/>
      <w:lvlText w:val="%4."/>
      <w:lvlJc w:val="left"/>
      <w:pPr>
        <w:ind w:left="2115" w:hanging="420"/>
      </w:pPr>
      <w:rPr>
        <w:rFonts w:cs="Times New Roman"/>
      </w:rPr>
    </w:lvl>
    <w:lvl w:ilvl="4">
      <w:start w:val="1"/>
      <w:numFmt w:val="lowerLetter"/>
      <w:lvlText w:val="%5)"/>
      <w:lvlJc w:val="left"/>
      <w:pPr>
        <w:ind w:left="2535" w:hanging="420"/>
      </w:pPr>
      <w:rPr>
        <w:rFonts w:cs="Times New Roman"/>
      </w:rPr>
    </w:lvl>
    <w:lvl w:ilvl="5">
      <w:start w:val="1"/>
      <w:numFmt w:val="lowerRoman"/>
      <w:lvlText w:val="%6."/>
      <w:lvlJc w:val="right"/>
      <w:pPr>
        <w:ind w:left="2955" w:hanging="420"/>
      </w:pPr>
      <w:rPr>
        <w:rFonts w:cs="Times New Roman"/>
      </w:rPr>
    </w:lvl>
    <w:lvl w:ilvl="6">
      <w:start w:val="1"/>
      <w:numFmt w:val="decimal"/>
      <w:lvlText w:val="%7."/>
      <w:lvlJc w:val="left"/>
      <w:pPr>
        <w:ind w:left="3375" w:hanging="420"/>
      </w:pPr>
      <w:rPr>
        <w:rFonts w:cs="Times New Roman"/>
      </w:rPr>
    </w:lvl>
    <w:lvl w:ilvl="7">
      <w:start w:val="1"/>
      <w:numFmt w:val="lowerLetter"/>
      <w:lvlText w:val="%8)"/>
      <w:lvlJc w:val="left"/>
      <w:pPr>
        <w:ind w:left="3795" w:hanging="420"/>
      </w:pPr>
      <w:rPr>
        <w:rFonts w:cs="Times New Roman"/>
      </w:rPr>
    </w:lvl>
    <w:lvl w:ilvl="8">
      <w:start w:val="1"/>
      <w:numFmt w:val="lowerRoman"/>
      <w:lvlText w:val="%9."/>
      <w:lvlJc w:val="right"/>
      <w:pPr>
        <w:ind w:left="4215" w:hanging="420"/>
      </w:pPr>
      <w:rPr>
        <w:rFonts w:cs="Times New Roman"/>
      </w:rPr>
    </w:lvl>
  </w:abstractNum>
  <w:abstractNum w:abstractNumId="383">
    <w:nsid w:val="4EBF489F"/>
    <w:multiLevelType w:val="multilevel"/>
    <w:tmpl w:val="4EBF489F"/>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84">
    <w:nsid w:val="4F1C1A9B"/>
    <w:multiLevelType w:val="multilevel"/>
    <w:tmpl w:val="4F1C1A9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85">
    <w:nsid w:val="4F385FCA"/>
    <w:multiLevelType w:val="multilevel"/>
    <w:tmpl w:val="4F385FCA"/>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86">
    <w:nsid w:val="4F3D2AC5"/>
    <w:multiLevelType w:val="multilevel"/>
    <w:tmpl w:val="4F3D2AC5"/>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87">
    <w:nsid w:val="50017F31"/>
    <w:multiLevelType w:val="multilevel"/>
    <w:tmpl w:val="50017F31"/>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388">
    <w:nsid w:val="5101638E"/>
    <w:multiLevelType w:val="multilevel"/>
    <w:tmpl w:val="5101638E"/>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89">
    <w:nsid w:val="51295446"/>
    <w:multiLevelType w:val="multilevel"/>
    <w:tmpl w:val="51295446"/>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90">
    <w:nsid w:val="51783F02"/>
    <w:multiLevelType w:val="multilevel"/>
    <w:tmpl w:val="51783F02"/>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1">
    <w:nsid w:val="51B010F7"/>
    <w:multiLevelType w:val="multilevel"/>
    <w:tmpl w:val="72F8ED46"/>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2">
    <w:nsid w:val="51BF40D0"/>
    <w:multiLevelType w:val="multilevel"/>
    <w:tmpl w:val="51BF40D0"/>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3">
    <w:nsid w:val="52610D83"/>
    <w:multiLevelType w:val="multilevel"/>
    <w:tmpl w:val="52610D83"/>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394">
    <w:nsid w:val="52781E71"/>
    <w:multiLevelType w:val="multilevel"/>
    <w:tmpl w:val="52781E7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5">
    <w:nsid w:val="52CE0024"/>
    <w:multiLevelType w:val="multilevel"/>
    <w:tmpl w:val="52CE0024"/>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6">
    <w:nsid w:val="53005DF7"/>
    <w:multiLevelType w:val="multilevel"/>
    <w:tmpl w:val="53005DF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97">
    <w:nsid w:val="5327BD52"/>
    <w:multiLevelType w:val="singleLevel"/>
    <w:tmpl w:val="5327BD52"/>
    <w:lvl w:ilvl="0">
      <w:start w:val="1"/>
      <w:numFmt w:val="decimal"/>
      <w:suff w:val="nothing"/>
      <w:lvlText w:val="%1."/>
      <w:lvlJc w:val="left"/>
      <w:rPr>
        <w:rFonts w:cs="Times New Roman"/>
      </w:rPr>
    </w:lvl>
  </w:abstractNum>
  <w:abstractNum w:abstractNumId="398">
    <w:nsid w:val="5327BECA"/>
    <w:multiLevelType w:val="singleLevel"/>
    <w:tmpl w:val="5327BECA"/>
    <w:lvl w:ilvl="0">
      <w:start w:val="1"/>
      <w:numFmt w:val="decimal"/>
      <w:suff w:val="nothing"/>
      <w:lvlText w:val="%1."/>
      <w:lvlJc w:val="left"/>
      <w:rPr>
        <w:rFonts w:cs="Times New Roman"/>
      </w:rPr>
    </w:lvl>
  </w:abstractNum>
  <w:abstractNum w:abstractNumId="399">
    <w:nsid w:val="5327BFDB"/>
    <w:multiLevelType w:val="singleLevel"/>
    <w:tmpl w:val="5327BFDB"/>
    <w:lvl w:ilvl="0">
      <w:start w:val="1"/>
      <w:numFmt w:val="decimal"/>
      <w:suff w:val="nothing"/>
      <w:lvlText w:val="%1."/>
      <w:lvlJc w:val="left"/>
      <w:rPr>
        <w:rFonts w:cs="Times New Roman"/>
      </w:rPr>
    </w:lvl>
  </w:abstractNum>
  <w:abstractNum w:abstractNumId="400">
    <w:nsid w:val="5327C1CD"/>
    <w:multiLevelType w:val="singleLevel"/>
    <w:tmpl w:val="5327C1CD"/>
    <w:lvl w:ilvl="0">
      <w:start w:val="1"/>
      <w:numFmt w:val="decimal"/>
      <w:suff w:val="space"/>
      <w:lvlText w:val="%1."/>
      <w:lvlJc w:val="left"/>
      <w:rPr>
        <w:rFonts w:cs="Times New Roman"/>
      </w:rPr>
    </w:lvl>
  </w:abstractNum>
  <w:abstractNum w:abstractNumId="401">
    <w:nsid w:val="5327C2E6"/>
    <w:multiLevelType w:val="singleLevel"/>
    <w:tmpl w:val="5327C2E6"/>
    <w:lvl w:ilvl="0">
      <w:start w:val="1"/>
      <w:numFmt w:val="decimal"/>
      <w:suff w:val="space"/>
      <w:lvlText w:val="%1."/>
      <w:lvlJc w:val="left"/>
      <w:rPr>
        <w:rFonts w:cs="Times New Roman"/>
      </w:rPr>
    </w:lvl>
  </w:abstractNum>
  <w:abstractNum w:abstractNumId="402">
    <w:nsid w:val="5327CA9D"/>
    <w:multiLevelType w:val="singleLevel"/>
    <w:tmpl w:val="5327CA9D"/>
    <w:lvl w:ilvl="0">
      <w:start w:val="1"/>
      <w:numFmt w:val="decimal"/>
      <w:suff w:val="space"/>
      <w:lvlText w:val="%1."/>
      <w:lvlJc w:val="left"/>
      <w:rPr>
        <w:rFonts w:cs="Times New Roman"/>
      </w:rPr>
    </w:lvl>
  </w:abstractNum>
  <w:abstractNum w:abstractNumId="403">
    <w:nsid w:val="5327CDD5"/>
    <w:multiLevelType w:val="singleLevel"/>
    <w:tmpl w:val="5327CDD5"/>
    <w:lvl w:ilvl="0">
      <w:start w:val="1"/>
      <w:numFmt w:val="decimal"/>
      <w:suff w:val="nothing"/>
      <w:lvlText w:val="%1."/>
      <w:lvlJc w:val="left"/>
      <w:rPr>
        <w:rFonts w:cs="Times New Roman"/>
      </w:rPr>
    </w:lvl>
  </w:abstractNum>
  <w:abstractNum w:abstractNumId="404">
    <w:nsid w:val="53413058"/>
    <w:multiLevelType w:val="multilevel"/>
    <w:tmpl w:val="53413058"/>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05">
    <w:nsid w:val="53A3F676"/>
    <w:multiLevelType w:val="singleLevel"/>
    <w:tmpl w:val="53A3F676"/>
    <w:lvl w:ilvl="0">
      <w:start w:val="1"/>
      <w:numFmt w:val="upperLetter"/>
      <w:suff w:val="nothing"/>
      <w:lvlText w:val="%1、"/>
      <w:lvlJc w:val="left"/>
      <w:rPr>
        <w:rFonts w:cs="Times New Roman"/>
      </w:rPr>
    </w:lvl>
  </w:abstractNum>
  <w:abstractNum w:abstractNumId="406">
    <w:nsid w:val="53A3F6F1"/>
    <w:multiLevelType w:val="singleLevel"/>
    <w:tmpl w:val="53A3F6F1"/>
    <w:lvl w:ilvl="0">
      <w:start w:val="20"/>
      <w:numFmt w:val="decimal"/>
      <w:suff w:val="nothing"/>
      <w:lvlText w:val="%1."/>
      <w:lvlJc w:val="left"/>
      <w:rPr>
        <w:rFonts w:cs="Times New Roman"/>
      </w:rPr>
    </w:lvl>
  </w:abstractNum>
  <w:abstractNum w:abstractNumId="407">
    <w:nsid w:val="53A3F72C"/>
    <w:multiLevelType w:val="singleLevel"/>
    <w:tmpl w:val="53A3F72C"/>
    <w:lvl w:ilvl="0">
      <w:start w:val="1"/>
      <w:numFmt w:val="upperLetter"/>
      <w:suff w:val="nothing"/>
      <w:lvlText w:val="%1."/>
      <w:lvlJc w:val="left"/>
      <w:rPr>
        <w:rFonts w:cs="Times New Roman"/>
      </w:rPr>
    </w:lvl>
  </w:abstractNum>
  <w:abstractNum w:abstractNumId="408">
    <w:nsid w:val="53AD5B3F"/>
    <w:multiLevelType w:val="multilevel"/>
    <w:tmpl w:val="53AD5B3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09">
    <w:nsid w:val="5416133A"/>
    <w:multiLevelType w:val="multilevel"/>
    <w:tmpl w:val="83689FD0"/>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0">
    <w:nsid w:val="541BDF97"/>
    <w:multiLevelType w:val="singleLevel"/>
    <w:tmpl w:val="541BDF97"/>
    <w:lvl w:ilvl="0">
      <w:start w:val="2"/>
      <w:numFmt w:val="chineseCounting"/>
      <w:suff w:val="nothing"/>
      <w:lvlText w:val="%1、"/>
      <w:lvlJc w:val="left"/>
      <w:rPr>
        <w:rFonts w:cs="Times New Roman"/>
      </w:rPr>
    </w:lvl>
  </w:abstractNum>
  <w:abstractNum w:abstractNumId="411">
    <w:nsid w:val="542A0DB8"/>
    <w:multiLevelType w:val="multilevel"/>
    <w:tmpl w:val="92846F84"/>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2">
    <w:nsid w:val="54311491"/>
    <w:multiLevelType w:val="multilevel"/>
    <w:tmpl w:val="54311491"/>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3">
    <w:nsid w:val="54435BEA"/>
    <w:multiLevelType w:val="singleLevel"/>
    <w:tmpl w:val="54435BEA"/>
    <w:lvl w:ilvl="0">
      <w:start w:val="1"/>
      <w:numFmt w:val="decimal"/>
      <w:lvlText w:val="%1."/>
      <w:lvlJc w:val="left"/>
      <w:pPr>
        <w:tabs>
          <w:tab w:val="left" w:pos="1300"/>
        </w:tabs>
        <w:ind w:left="1300" w:hanging="420"/>
      </w:pPr>
      <w:rPr>
        <w:rFonts w:cs="Times New Roman" w:hint="eastAsia"/>
      </w:rPr>
    </w:lvl>
  </w:abstractNum>
  <w:abstractNum w:abstractNumId="414">
    <w:nsid w:val="544F25FA"/>
    <w:multiLevelType w:val="multilevel"/>
    <w:tmpl w:val="544F25FA"/>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5">
    <w:nsid w:val="54BC0429"/>
    <w:multiLevelType w:val="multilevel"/>
    <w:tmpl w:val="54BC0429"/>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6">
    <w:nsid w:val="54BE43AB"/>
    <w:multiLevelType w:val="multilevel"/>
    <w:tmpl w:val="54BE43AB"/>
    <w:lvl w:ilvl="0">
      <w:start w:val="1"/>
      <w:numFmt w:val="decimal"/>
      <w:lvlText w:val="%1、"/>
      <w:lvlJc w:val="left"/>
      <w:pPr>
        <w:ind w:left="795" w:hanging="360"/>
      </w:pPr>
      <w:rPr>
        <w:rFonts w:cs="Times New Roman" w:hint="default"/>
      </w:rPr>
    </w:lvl>
    <w:lvl w:ilvl="1">
      <w:start w:val="1"/>
      <w:numFmt w:val="lowerLetter"/>
      <w:lvlText w:val="%2)"/>
      <w:lvlJc w:val="left"/>
      <w:pPr>
        <w:ind w:left="1275" w:hanging="420"/>
      </w:pPr>
      <w:rPr>
        <w:rFonts w:cs="Times New Roman"/>
      </w:rPr>
    </w:lvl>
    <w:lvl w:ilvl="2">
      <w:start w:val="1"/>
      <w:numFmt w:val="lowerRoman"/>
      <w:lvlText w:val="%3."/>
      <w:lvlJc w:val="right"/>
      <w:pPr>
        <w:ind w:left="1695" w:hanging="420"/>
      </w:pPr>
      <w:rPr>
        <w:rFonts w:cs="Times New Roman"/>
      </w:rPr>
    </w:lvl>
    <w:lvl w:ilvl="3">
      <w:start w:val="1"/>
      <w:numFmt w:val="decimal"/>
      <w:lvlText w:val="%4."/>
      <w:lvlJc w:val="left"/>
      <w:pPr>
        <w:ind w:left="2115" w:hanging="420"/>
      </w:pPr>
      <w:rPr>
        <w:rFonts w:cs="Times New Roman"/>
      </w:rPr>
    </w:lvl>
    <w:lvl w:ilvl="4">
      <w:start w:val="1"/>
      <w:numFmt w:val="lowerLetter"/>
      <w:lvlText w:val="%5)"/>
      <w:lvlJc w:val="left"/>
      <w:pPr>
        <w:ind w:left="2535" w:hanging="420"/>
      </w:pPr>
      <w:rPr>
        <w:rFonts w:cs="Times New Roman"/>
      </w:rPr>
    </w:lvl>
    <w:lvl w:ilvl="5">
      <w:start w:val="1"/>
      <w:numFmt w:val="lowerRoman"/>
      <w:lvlText w:val="%6."/>
      <w:lvlJc w:val="right"/>
      <w:pPr>
        <w:ind w:left="2955" w:hanging="420"/>
      </w:pPr>
      <w:rPr>
        <w:rFonts w:cs="Times New Roman"/>
      </w:rPr>
    </w:lvl>
    <w:lvl w:ilvl="6">
      <w:start w:val="1"/>
      <w:numFmt w:val="decimal"/>
      <w:lvlText w:val="%7."/>
      <w:lvlJc w:val="left"/>
      <w:pPr>
        <w:ind w:left="3375" w:hanging="420"/>
      </w:pPr>
      <w:rPr>
        <w:rFonts w:cs="Times New Roman"/>
      </w:rPr>
    </w:lvl>
    <w:lvl w:ilvl="7">
      <w:start w:val="1"/>
      <w:numFmt w:val="lowerLetter"/>
      <w:lvlText w:val="%8)"/>
      <w:lvlJc w:val="left"/>
      <w:pPr>
        <w:ind w:left="3795" w:hanging="420"/>
      </w:pPr>
      <w:rPr>
        <w:rFonts w:cs="Times New Roman"/>
      </w:rPr>
    </w:lvl>
    <w:lvl w:ilvl="8">
      <w:start w:val="1"/>
      <w:numFmt w:val="lowerRoman"/>
      <w:lvlText w:val="%9."/>
      <w:lvlJc w:val="right"/>
      <w:pPr>
        <w:ind w:left="4215" w:hanging="420"/>
      </w:pPr>
      <w:rPr>
        <w:rFonts w:cs="Times New Roman"/>
      </w:rPr>
    </w:lvl>
  </w:abstractNum>
  <w:abstractNum w:abstractNumId="417">
    <w:nsid w:val="54C37ABA"/>
    <w:multiLevelType w:val="multilevel"/>
    <w:tmpl w:val="54C37ABA"/>
    <w:lvl w:ilvl="0">
      <w:start w:val="1"/>
      <w:numFmt w:val="japaneseCounting"/>
      <w:lvlText w:val="第%1节"/>
      <w:lvlJc w:val="left"/>
      <w:pPr>
        <w:tabs>
          <w:tab w:val="left" w:pos="990"/>
        </w:tabs>
        <w:ind w:left="990" w:hanging="99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8">
    <w:nsid w:val="553E7549"/>
    <w:multiLevelType w:val="multilevel"/>
    <w:tmpl w:val="553E7549"/>
    <w:lvl w:ilvl="0">
      <w:start w:val="1"/>
      <w:numFmt w:val="decimal"/>
      <w:lvlText w:val="%1、"/>
      <w:lvlJc w:val="left"/>
      <w:pPr>
        <w:tabs>
          <w:tab w:val="left" w:pos="795"/>
        </w:tabs>
        <w:ind w:left="795" w:hanging="360"/>
      </w:pPr>
      <w:rPr>
        <w:rFonts w:cs="Times New Roman" w:hint="default"/>
      </w:rPr>
    </w:lvl>
    <w:lvl w:ilvl="1">
      <w:start w:val="1"/>
      <w:numFmt w:val="lowerLetter"/>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lvlText w:val="%4."/>
      <w:lvlJc w:val="left"/>
      <w:pPr>
        <w:tabs>
          <w:tab w:val="left" w:pos="2115"/>
        </w:tabs>
        <w:ind w:left="2115" w:hanging="420"/>
      </w:pPr>
      <w:rPr>
        <w:rFonts w:cs="Times New Roman"/>
      </w:rPr>
    </w:lvl>
    <w:lvl w:ilvl="4">
      <w:start w:val="1"/>
      <w:numFmt w:val="lowerLetter"/>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419">
    <w:nsid w:val="55600D9B"/>
    <w:multiLevelType w:val="multilevel"/>
    <w:tmpl w:val="55600D9B"/>
    <w:lvl w:ilvl="0">
      <w:start w:val="1"/>
      <w:numFmt w:val="japaneseCounting"/>
      <w:lvlText w:val="第%1节"/>
      <w:lvlJc w:val="left"/>
      <w:pPr>
        <w:ind w:left="1065" w:hanging="106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20">
    <w:nsid w:val="55F3195C"/>
    <w:multiLevelType w:val="multilevel"/>
    <w:tmpl w:val="55F3195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21">
    <w:nsid w:val="55F8DABF"/>
    <w:multiLevelType w:val="singleLevel"/>
    <w:tmpl w:val="55F8DABF"/>
    <w:lvl w:ilvl="0">
      <w:start w:val="25"/>
      <w:numFmt w:val="decimal"/>
      <w:suff w:val="nothing"/>
      <w:lvlText w:val="%1."/>
      <w:lvlJc w:val="left"/>
      <w:rPr>
        <w:rFonts w:cs="Times New Roman"/>
      </w:rPr>
    </w:lvl>
  </w:abstractNum>
  <w:abstractNum w:abstractNumId="422">
    <w:nsid w:val="55F93131"/>
    <w:multiLevelType w:val="singleLevel"/>
    <w:tmpl w:val="55F93131"/>
    <w:lvl w:ilvl="0">
      <w:start w:val="2"/>
      <w:numFmt w:val="decimal"/>
      <w:suff w:val="space"/>
      <w:lvlText w:val="%1."/>
      <w:lvlJc w:val="left"/>
      <w:rPr>
        <w:rFonts w:cs="Times New Roman"/>
      </w:rPr>
    </w:lvl>
  </w:abstractNum>
  <w:abstractNum w:abstractNumId="423">
    <w:nsid w:val="55F93890"/>
    <w:multiLevelType w:val="singleLevel"/>
    <w:tmpl w:val="55F93890"/>
    <w:lvl w:ilvl="0">
      <w:start w:val="19"/>
      <w:numFmt w:val="decimal"/>
      <w:suff w:val="space"/>
      <w:lvlText w:val="%1."/>
      <w:lvlJc w:val="left"/>
      <w:rPr>
        <w:rFonts w:cs="Times New Roman"/>
      </w:rPr>
    </w:lvl>
  </w:abstractNum>
  <w:abstractNum w:abstractNumId="424">
    <w:nsid w:val="55FB704F"/>
    <w:multiLevelType w:val="singleLevel"/>
    <w:tmpl w:val="55FB704F"/>
    <w:lvl w:ilvl="0">
      <w:start w:val="3"/>
      <w:numFmt w:val="decimal"/>
      <w:suff w:val="space"/>
      <w:lvlText w:val="%1."/>
      <w:lvlJc w:val="left"/>
      <w:rPr>
        <w:rFonts w:cs="Times New Roman"/>
      </w:rPr>
    </w:lvl>
  </w:abstractNum>
  <w:abstractNum w:abstractNumId="425">
    <w:nsid w:val="562B6B35"/>
    <w:multiLevelType w:val="multilevel"/>
    <w:tmpl w:val="562B6B3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26">
    <w:nsid w:val="5656BFB1"/>
    <w:multiLevelType w:val="singleLevel"/>
    <w:tmpl w:val="5656BFB1"/>
    <w:lvl w:ilvl="0">
      <w:start w:val="4"/>
      <w:numFmt w:val="decimal"/>
      <w:suff w:val="space"/>
      <w:lvlText w:val="%1."/>
      <w:lvlJc w:val="left"/>
      <w:rPr>
        <w:rFonts w:cs="Times New Roman"/>
      </w:rPr>
    </w:lvl>
  </w:abstractNum>
  <w:abstractNum w:abstractNumId="427">
    <w:nsid w:val="5656C33A"/>
    <w:multiLevelType w:val="singleLevel"/>
    <w:tmpl w:val="5656C33A"/>
    <w:lvl w:ilvl="0">
      <w:start w:val="1"/>
      <w:numFmt w:val="decimal"/>
      <w:suff w:val="space"/>
      <w:lvlText w:val="%1."/>
      <w:lvlJc w:val="left"/>
      <w:rPr>
        <w:rFonts w:cs="Times New Roman"/>
      </w:rPr>
    </w:lvl>
  </w:abstractNum>
  <w:abstractNum w:abstractNumId="428">
    <w:nsid w:val="5656C72E"/>
    <w:multiLevelType w:val="singleLevel"/>
    <w:tmpl w:val="5656C72E"/>
    <w:lvl w:ilvl="0">
      <w:start w:val="2"/>
      <w:numFmt w:val="decimal"/>
      <w:suff w:val="space"/>
      <w:lvlText w:val="%1."/>
      <w:lvlJc w:val="left"/>
      <w:rPr>
        <w:rFonts w:cs="Times New Roman"/>
      </w:rPr>
    </w:lvl>
  </w:abstractNum>
  <w:abstractNum w:abstractNumId="429">
    <w:nsid w:val="5656CDC9"/>
    <w:multiLevelType w:val="singleLevel"/>
    <w:tmpl w:val="5656CDC9"/>
    <w:lvl w:ilvl="0">
      <w:start w:val="1"/>
      <w:numFmt w:val="decimal"/>
      <w:suff w:val="nothing"/>
      <w:lvlText w:val="%1）"/>
      <w:lvlJc w:val="left"/>
      <w:rPr>
        <w:rFonts w:cs="Times New Roman"/>
      </w:rPr>
    </w:lvl>
  </w:abstractNum>
  <w:abstractNum w:abstractNumId="430">
    <w:nsid w:val="5656E2EA"/>
    <w:multiLevelType w:val="singleLevel"/>
    <w:tmpl w:val="5656E2EA"/>
    <w:lvl w:ilvl="0">
      <w:start w:val="5"/>
      <w:numFmt w:val="decimal"/>
      <w:suff w:val="nothing"/>
      <w:lvlText w:val="%1）"/>
      <w:lvlJc w:val="left"/>
      <w:rPr>
        <w:rFonts w:cs="Times New Roman"/>
      </w:rPr>
    </w:lvl>
  </w:abstractNum>
  <w:abstractNum w:abstractNumId="431">
    <w:nsid w:val="5656FC69"/>
    <w:multiLevelType w:val="singleLevel"/>
    <w:tmpl w:val="5656FC69"/>
    <w:lvl w:ilvl="0">
      <w:start w:val="4"/>
      <w:numFmt w:val="decimal"/>
      <w:suff w:val="nothing"/>
      <w:lvlText w:val="%1）"/>
      <w:lvlJc w:val="left"/>
      <w:rPr>
        <w:rFonts w:cs="Times New Roman"/>
      </w:rPr>
    </w:lvl>
  </w:abstractNum>
  <w:abstractNum w:abstractNumId="432">
    <w:nsid w:val="56C044EE"/>
    <w:multiLevelType w:val="multilevel"/>
    <w:tmpl w:val="56C044EE"/>
    <w:lvl w:ilvl="0">
      <w:start w:val="1"/>
      <w:numFmt w:val="decimal"/>
      <w:lvlText w:val="%1."/>
      <w:lvlJc w:val="left"/>
      <w:pPr>
        <w:tabs>
          <w:tab w:val="left" w:pos="1125"/>
        </w:tabs>
        <w:ind w:left="1125" w:hanging="360"/>
      </w:pPr>
      <w:rPr>
        <w:rFonts w:ascii="Times New Roman" w:eastAsia="Times New Roman" w:hAnsi="Times New Roman" w:cs="Times New Roman"/>
      </w:rPr>
    </w:lvl>
    <w:lvl w:ilvl="1">
      <w:start w:val="1"/>
      <w:numFmt w:val="decimal"/>
      <w:lvlText w:val="%2."/>
      <w:lvlJc w:val="left"/>
      <w:pPr>
        <w:tabs>
          <w:tab w:val="left" w:pos="1545"/>
        </w:tabs>
        <w:ind w:left="1545" w:hanging="360"/>
      </w:pPr>
      <w:rPr>
        <w:rFonts w:ascii="Times New Roman" w:eastAsia="Times New Roman" w:hAnsi="Times New Roman" w:cs="Times New Roman"/>
      </w:rPr>
    </w:lvl>
    <w:lvl w:ilvl="2">
      <w:start w:val="1"/>
      <w:numFmt w:val="lowerRoman"/>
      <w:lvlText w:val="%3."/>
      <w:lvlJc w:val="right"/>
      <w:pPr>
        <w:tabs>
          <w:tab w:val="left" w:pos="2025"/>
        </w:tabs>
        <w:ind w:left="2025" w:hanging="420"/>
      </w:pPr>
      <w:rPr>
        <w:rFonts w:cs="Times New Roman"/>
      </w:rPr>
    </w:lvl>
    <w:lvl w:ilvl="3">
      <w:start w:val="1"/>
      <w:numFmt w:val="decimal"/>
      <w:lvlText w:val="%4."/>
      <w:lvlJc w:val="left"/>
      <w:pPr>
        <w:tabs>
          <w:tab w:val="left" w:pos="2445"/>
        </w:tabs>
        <w:ind w:left="2445" w:hanging="420"/>
      </w:pPr>
      <w:rPr>
        <w:rFonts w:cs="Times New Roman"/>
      </w:rPr>
    </w:lvl>
    <w:lvl w:ilvl="4">
      <w:start w:val="1"/>
      <w:numFmt w:val="lowerLetter"/>
      <w:lvlText w:val="%5)"/>
      <w:lvlJc w:val="left"/>
      <w:pPr>
        <w:tabs>
          <w:tab w:val="left" w:pos="2865"/>
        </w:tabs>
        <w:ind w:left="2865" w:hanging="420"/>
      </w:pPr>
      <w:rPr>
        <w:rFonts w:cs="Times New Roman"/>
      </w:rPr>
    </w:lvl>
    <w:lvl w:ilvl="5">
      <w:start w:val="1"/>
      <w:numFmt w:val="lowerRoman"/>
      <w:lvlText w:val="%6."/>
      <w:lvlJc w:val="right"/>
      <w:pPr>
        <w:tabs>
          <w:tab w:val="left" w:pos="3285"/>
        </w:tabs>
        <w:ind w:left="3285" w:hanging="420"/>
      </w:pPr>
      <w:rPr>
        <w:rFonts w:cs="Times New Roman"/>
      </w:rPr>
    </w:lvl>
    <w:lvl w:ilvl="6">
      <w:start w:val="1"/>
      <w:numFmt w:val="decimal"/>
      <w:lvlText w:val="%7."/>
      <w:lvlJc w:val="left"/>
      <w:pPr>
        <w:tabs>
          <w:tab w:val="left" w:pos="3705"/>
        </w:tabs>
        <w:ind w:left="3705" w:hanging="420"/>
      </w:pPr>
      <w:rPr>
        <w:rFonts w:cs="Times New Roman"/>
      </w:rPr>
    </w:lvl>
    <w:lvl w:ilvl="7">
      <w:start w:val="1"/>
      <w:numFmt w:val="lowerLetter"/>
      <w:lvlText w:val="%8)"/>
      <w:lvlJc w:val="left"/>
      <w:pPr>
        <w:tabs>
          <w:tab w:val="left" w:pos="4125"/>
        </w:tabs>
        <w:ind w:left="4125" w:hanging="420"/>
      </w:pPr>
      <w:rPr>
        <w:rFonts w:cs="Times New Roman"/>
      </w:rPr>
    </w:lvl>
    <w:lvl w:ilvl="8">
      <w:start w:val="1"/>
      <w:numFmt w:val="lowerRoman"/>
      <w:lvlText w:val="%9."/>
      <w:lvlJc w:val="right"/>
      <w:pPr>
        <w:tabs>
          <w:tab w:val="left" w:pos="4545"/>
        </w:tabs>
        <w:ind w:left="4545" w:hanging="420"/>
      </w:pPr>
      <w:rPr>
        <w:rFonts w:cs="Times New Roman"/>
      </w:rPr>
    </w:lvl>
  </w:abstractNum>
  <w:abstractNum w:abstractNumId="433">
    <w:nsid w:val="56D85FCC"/>
    <w:multiLevelType w:val="multilevel"/>
    <w:tmpl w:val="56D85FC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34">
    <w:nsid w:val="56F12F18"/>
    <w:multiLevelType w:val="multilevel"/>
    <w:tmpl w:val="56F12F18"/>
    <w:lvl w:ilvl="0">
      <w:start w:val="1"/>
      <w:numFmt w:val="decimal"/>
      <w:lvlText w:val="%1."/>
      <w:lvlJc w:val="left"/>
      <w:pPr>
        <w:tabs>
          <w:tab w:val="left" w:pos="1630"/>
        </w:tabs>
        <w:ind w:left="1630" w:hanging="420"/>
      </w:pPr>
      <w:rPr>
        <w:rFonts w:cs="Times New Roman"/>
        <w:b w:val="0"/>
      </w:rPr>
    </w:lvl>
    <w:lvl w:ilvl="1">
      <w:start w:val="1"/>
      <w:numFmt w:val="lowerLetter"/>
      <w:lvlText w:val="%2)"/>
      <w:lvlJc w:val="left"/>
      <w:pPr>
        <w:tabs>
          <w:tab w:val="left" w:pos="970"/>
        </w:tabs>
        <w:ind w:left="970" w:hanging="420"/>
      </w:pPr>
      <w:rPr>
        <w:rFonts w:cs="Times New Roman"/>
      </w:rPr>
    </w:lvl>
    <w:lvl w:ilvl="2">
      <w:start w:val="1"/>
      <w:numFmt w:val="lowerRoman"/>
      <w:lvlText w:val="%3."/>
      <w:lvlJc w:val="right"/>
      <w:pPr>
        <w:tabs>
          <w:tab w:val="left" w:pos="1390"/>
        </w:tabs>
        <w:ind w:left="1390" w:hanging="420"/>
      </w:pPr>
      <w:rPr>
        <w:rFonts w:cs="Times New Roman"/>
      </w:rPr>
    </w:lvl>
    <w:lvl w:ilvl="3">
      <w:start w:val="1"/>
      <w:numFmt w:val="decimal"/>
      <w:lvlText w:val="%4."/>
      <w:lvlJc w:val="left"/>
      <w:pPr>
        <w:tabs>
          <w:tab w:val="left" w:pos="1810"/>
        </w:tabs>
        <w:ind w:left="1810" w:hanging="420"/>
      </w:pPr>
      <w:rPr>
        <w:rFonts w:cs="Times New Roman"/>
      </w:rPr>
    </w:lvl>
    <w:lvl w:ilvl="4">
      <w:start w:val="1"/>
      <w:numFmt w:val="lowerLetter"/>
      <w:lvlText w:val="%5)"/>
      <w:lvlJc w:val="left"/>
      <w:pPr>
        <w:tabs>
          <w:tab w:val="left" w:pos="2230"/>
        </w:tabs>
        <w:ind w:left="2230" w:hanging="420"/>
      </w:pPr>
      <w:rPr>
        <w:rFonts w:cs="Times New Roman"/>
      </w:rPr>
    </w:lvl>
    <w:lvl w:ilvl="5">
      <w:start w:val="1"/>
      <w:numFmt w:val="lowerRoman"/>
      <w:lvlText w:val="%6."/>
      <w:lvlJc w:val="right"/>
      <w:pPr>
        <w:tabs>
          <w:tab w:val="left" w:pos="2650"/>
        </w:tabs>
        <w:ind w:left="2650" w:hanging="420"/>
      </w:pPr>
      <w:rPr>
        <w:rFonts w:cs="Times New Roman"/>
      </w:rPr>
    </w:lvl>
    <w:lvl w:ilvl="6">
      <w:start w:val="1"/>
      <w:numFmt w:val="decimal"/>
      <w:lvlText w:val="%7."/>
      <w:lvlJc w:val="left"/>
      <w:pPr>
        <w:tabs>
          <w:tab w:val="left" w:pos="3070"/>
        </w:tabs>
        <w:ind w:left="3070" w:hanging="420"/>
      </w:pPr>
      <w:rPr>
        <w:rFonts w:cs="Times New Roman"/>
      </w:rPr>
    </w:lvl>
    <w:lvl w:ilvl="7">
      <w:start w:val="1"/>
      <w:numFmt w:val="lowerLetter"/>
      <w:lvlText w:val="%8)"/>
      <w:lvlJc w:val="left"/>
      <w:pPr>
        <w:tabs>
          <w:tab w:val="left" w:pos="3490"/>
        </w:tabs>
        <w:ind w:left="3490" w:hanging="420"/>
      </w:pPr>
      <w:rPr>
        <w:rFonts w:cs="Times New Roman"/>
      </w:rPr>
    </w:lvl>
    <w:lvl w:ilvl="8">
      <w:start w:val="1"/>
      <w:numFmt w:val="lowerRoman"/>
      <w:lvlText w:val="%9."/>
      <w:lvlJc w:val="right"/>
      <w:pPr>
        <w:tabs>
          <w:tab w:val="left" w:pos="3910"/>
        </w:tabs>
        <w:ind w:left="3910" w:hanging="420"/>
      </w:pPr>
      <w:rPr>
        <w:rFonts w:cs="Times New Roman"/>
      </w:rPr>
    </w:lvl>
  </w:abstractNum>
  <w:abstractNum w:abstractNumId="435">
    <w:nsid w:val="570F1E25"/>
    <w:multiLevelType w:val="multilevel"/>
    <w:tmpl w:val="570F1E2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36">
    <w:nsid w:val="570F2EC6"/>
    <w:multiLevelType w:val="multilevel"/>
    <w:tmpl w:val="570F2EC6"/>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437">
    <w:nsid w:val="574376D1"/>
    <w:multiLevelType w:val="multilevel"/>
    <w:tmpl w:val="574376D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38">
    <w:nsid w:val="5767415F"/>
    <w:multiLevelType w:val="multilevel"/>
    <w:tmpl w:val="5767415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39">
    <w:nsid w:val="57FD4664"/>
    <w:multiLevelType w:val="multilevel"/>
    <w:tmpl w:val="57FD4664"/>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440">
    <w:nsid w:val="5845148F"/>
    <w:multiLevelType w:val="multilevel"/>
    <w:tmpl w:val="5845148F"/>
    <w:lvl w:ilvl="0">
      <w:start w:val="1"/>
      <w:numFmt w:val="decimal"/>
      <w:lvlText w:val="%1."/>
      <w:lvlJc w:val="left"/>
      <w:pPr>
        <w:tabs>
          <w:tab w:val="left" w:pos="420"/>
        </w:tabs>
        <w:ind w:left="420" w:hanging="420"/>
      </w:pPr>
      <w:rPr>
        <w:rFonts w:cs="Times New Roman"/>
      </w:rPr>
    </w:lvl>
    <w:lvl w:ilvl="1">
      <w:start w:val="6"/>
      <w:numFmt w:val="japaneseCounting"/>
      <w:lvlText w:val="第%2章"/>
      <w:lvlJc w:val="left"/>
      <w:pPr>
        <w:ind w:left="1140" w:hanging="72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41">
    <w:nsid w:val="58E052DC"/>
    <w:multiLevelType w:val="multilevel"/>
    <w:tmpl w:val="58E052DC"/>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42">
    <w:nsid w:val="59364392"/>
    <w:multiLevelType w:val="multilevel"/>
    <w:tmpl w:val="59364392"/>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43">
    <w:nsid w:val="596C59FC"/>
    <w:multiLevelType w:val="multilevel"/>
    <w:tmpl w:val="596C59FC"/>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444">
    <w:nsid w:val="5A40179D"/>
    <w:multiLevelType w:val="multilevel"/>
    <w:tmpl w:val="5A40179D"/>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45">
    <w:nsid w:val="5AC9199A"/>
    <w:multiLevelType w:val="multilevel"/>
    <w:tmpl w:val="5AC9199A"/>
    <w:lvl w:ilvl="0">
      <w:start w:val="1"/>
      <w:numFmt w:val="decimal"/>
      <w:lvlText w:val="%1."/>
      <w:lvlJc w:val="left"/>
      <w:pPr>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46">
    <w:nsid w:val="5B6A3192"/>
    <w:multiLevelType w:val="multilevel"/>
    <w:tmpl w:val="5B6A3192"/>
    <w:lvl w:ilvl="0">
      <w:start w:val="1"/>
      <w:numFmt w:val="decimal"/>
      <w:lvlText w:val="%1."/>
      <w:lvlJc w:val="left"/>
      <w:pPr>
        <w:tabs>
          <w:tab w:val="left" w:pos="987"/>
        </w:tabs>
        <w:ind w:left="987" w:hanging="420"/>
      </w:pPr>
      <w:rPr>
        <w:rFonts w:cs="Times New Roman" w:hint="eastAsia"/>
      </w:rPr>
    </w:lvl>
    <w:lvl w:ilvl="1">
      <w:start w:val="1"/>
      <w:numFmt w:val="lowerLetter"/>
      <w:lvlText w:val="%2)"/>
      <w:lvlJc w:val="left"/>
      <w:pPr>
        <w:ind w:left="767" w:hanging="420"/>
      </w:pPr>
      <w:rPr>
        <w:rFonts w:cs="Times New Roman"/>
      </w:rPr>
    </w:lvl>
    <w:lvl w:ilvl="2">
      <w:start w:val="1"/>
      <w:numFmt w:val="lowerRoman"/>
      <w:lvlText w:val="%3."/>
      <w:lvlJc w:val="right"/>
      <w:pPr>
        <w:ind w:left="1187" w:hanging="420"/>
      </w:pPr>
      <w:rPr>
        <w:rFonts w:cs="Times New Roman"/>
      </w:rPr>
    </w:lvl>
    <w:lvl w:ilvl="3">
      <w:start w:val="1"/>
      <w:numFmt w:val="decimal"/>
      <w:lvlText w:val="%4."/>
      <w:lvlJc w:val="left"/>
      <w:pPr>
        <w:ind w:left="1607" w:hanging="420"/>
      </w:pPr>
      <w:rPr>
        <w:rFonts w:cs="Times New Roman"/>
      </w:rPr>
    </w:lvl>
    <w:lvl w:ilvl="4">
      <w:start w:val="1"/>
      <w:numFmt w:val="lowerLetter"/>
      <w:lvlText w:val="%5)"/>
      <w:lvlJc w:val="left"/>
      <w:pPr>
        <w:ind w:left="2027" w:hanging="420"/>
      </w:pPr>
      <w:rPr>
        <w:rFonts w:cs="Times New Roman"/>
      </w:rPr>
    </w:lvl>
    <w:lvl w:ilvl="5">
      <w:start w:val="1"/>
      <w:numFmt w:val="lowerRoman"/>
      <w:lvlText w:val="%6."/>
      <w:lvlJc w:val="right"/>
      <w:pPr>
        <w:ind w:left="2447" w:hanging="420"/>
      </w:pPr>
      <w:rPr>
        <w:rFonts w:cs="Times New Roman"/>
      </w:rPr>
    </w:lvl>
    <w:lvl w:ilvl="6">
      <w:start w:val="1"/>
      <w:numFmt w:val="decimal"/>
      <w:lvlText w:val="%7."/>
      <w:lvlJc w:val="left"/>
      <w:pPr>
        <w:ind w:left="2867" w:hanging="420"/>
      </w:pPr>
      <w:rPr>
        <w:rFonts w:cs="Times New Roman"/>
      </w:rPr>
    </w:lvl>
    <w:lvl w:ilvl="7">
      <w:start w:val="1"/>
      <w:numFmt w:val="lowerLetter"/>
      <w:lvlText w:val="%8)"/>
      <w:lvlJc w:val="left"/>
      <w:pPr>
        <w:ind w:left="3287" w:hanging="420"/>
      </w:pPr>
      <w:rPr>
        <w:rFonts w:cs="Times New Roman"/>
      </w:rPr>
    </w:lvl>
    <w:lvl w:ilvl="8">
      <w:start w:val="1"/>
      <w:numFmt w:val="lowerRoman"/>
      <w:lvlText w:val="%9."/>
      <w:lvlJc w:val="right"/>
      <w:pPr>
        <w:ind w:left="3707" w:hanging="420"/>
      </w:pPr>
      <w:rPr>
        <w:rFonts w:cs="Times New Roman"/>
      </w:rPr>
    </w:lvl>
  </w:abstractNum>
  <w:abstractNum w:abstractNumId="447">
    <w:nsid w:val="5B9F3ABB"/>
    <w:multiLevelType w:val="multilevel"/>
    <w:tmpl w:val="5B9F3AB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48">
    <w:nsid w:val="5C057B77"/>
    <w:multiLevelType w:val="multilevel"/>
    <w:tmpl w:val="5C057B7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49">
    <w:nsid w:val="5C3F2DB2"/>
    <w:multiLevelType w:val="multilevel"/>
    <w:tmpl w:val="5C3F2DB2"/>
    <w:lvl w:ilvl="0">
      <w:start w:val="1"/>
      <w:numFmt w:val="decimal"/>
      <w:lvlText w:val="%1、"/>
      <w:lvlJc w:val="left"/>
      <w:pPr>
        <w:tabs>
          <w:tab w:val="left" w:pos="785"/>
        </w:tabs>
        <w:ind w:left="785" w:hanging="360"/>
      </w:pPr>
      <w:rPr>
        <w:rFonts w:cs="Times New Roman" w:hint="default"/>
      </w:rPr>
    </w:lvl>
    <w:lvl w:ilvl="1">
      <w:start w:val="1"/>
      <w:numFmt w:val="decimal"/>
      <w:lvlText w:val="%2、"/>
      <w:lvlJc w:val="left"/>
      <w:pPr>
        <w:tabs>
          <w:tab w:val="left" w:pos="1205"/>
        </w:tabs>
        <w:ind w:left="1205" w:hanging="360"/>
      </w:pPr>
      <w:rPr>
        <w:rFonts w:cs="Times New Roman" w:hint="default"/>
      </w:rPr>
    </w:lvl>
    <w:lvl w:ilvl="2">
      <w:start w:val="1"/>
      <w:numFmt w:val="lowerRoman"/>
      <w:lvlText w:val="%3."/>
      <w:lvlJc w:val="right"/>
      <w:pPr>
        <w:tabs>
          <w:tab w:val="left" w:pos="1685"/>
        </w:tabs>
        <w:ind w:left="1685" w:hanging="420"/>
      </w:pPr>
      <w:rPr>
        <w:rFonts w:cs="Times New Roman"/>
      </w:rPr>
    </w:lvl>
    <w:lvl w:ilvl="3">
      <w:start w:val="1"/>
      <w:numFmt w:val="decimal"/>
      <w:lvlText w:val="%4."/>
      <w:lvlJc w:val="left"/>
      <w:pPr>
        <w:tabs>
          <w:tab w:val="left" w:pos="2105"/>
        </w:tabs>
        <w:ind w:left="2105" w:hanging="420"/>
      </w:pPr>
      <w:rPr>
        <w:rFonts w:cs="Times New Roman"/>
      </w:rPr>
    </w:lvl>
    <w:lvl w:ilvl="4">
      <w:start w:val="1"/>
      <w:numFmt w:val="lowerLetter"/>
      <w:lvlText w:val="%5)"/>
      <w:lvlJc w:val="left"/>
      <w:pPr>
        <w:tabs>
          <w:tab w:val="left" w:pos="2525"/>
        </w:tabs>
        <w:ind w:left="2525" w:hanging="420"/>
      </w:pPr>
      <w:rPr>
        <w:rFonts w:cs="Times New Roman"/>
      </w:rPr>
    </w:lvl>
    <w:lvl w:ilvl="5">
      <w:start w:val="1"/>
      <w:numFmt w:val="lowerRoman"/>
      <w:lvlText w:val="%6."/>
      <w:lvlJc w:val="right"/>
      <w:pPr>
        <w:tabs>
          <w:tab w:val="left" w:pos="2945"/>
        </w:tabs>
        <w:ind w:left="2945" w:hanging="420"/>
      </w:pPr>
      <w:rPr>
        <w:rFonts w:cs="Times New Roman"/>
      </w:rPr>
    </w:lvl>
    <w:lvl w:ilvl="6">
      <w:start w:val="1"/>
      <w:numFmt w:val="decimal"/>
      <w:lvlText w:val="%7."/>
      <w:lvlJc w:val="left"/>
      <w:pPr>
        <w:tabs>
          <w:tab w:val="left" w:pos="3365"/>
        </w:tabs>
        <w:ind w:left="3365" w:hanging="420"/>
      </w:pPr>
      <w:rPr>
        <w:rFonts w:cs="Times New Roman"/>
      </w:rPr>
    </w:lvl>
    <w:lvl w:ilvl="7">
      <w:start w:val="1"/>
      <w:numFmt w:val="lowerLetter"/>
      <w:lvlText w:val="%8)"/>
      <w:lvlJc w:val="left"/>
      <w:pPr>
        <w:tabs>
          <w:tab w:val="left" w:pos="3785"/>
        </w:tabs>
        <w:ind w:left="3785" w:hanging="420"/>
      </w:pPr>
      <w:rPr>
        <w:rFonts w:cs="Times New Roman"/>
      </w:rPr>
    </w:lvl>
    <w:lvl w:ilvl="8">
      <w:start w:val="1"/>
      <w:numFmt w:val="lowerRoman"/>
      <w:lvlText w:val="%9."/>
      <w:lvlJc w:val="right"/>
      <w:pPr>
        <w:tabs>
          <w:tab w:val="left" w:pos="4205"/>
        </w:tabs>
        <w:ind w:left="4205" w:hanging="420"/>
      </w:pPr>
      <w:rPr>
        <w:rFonts w:cs="Times New Roman"/>
      </w:rPr>
    </w:lvl>
  </w:abstractNum>
  <w:abstractNum w:abstractNumId="450">
    <w:nsid w:val="5C4B613C"/>
    <w:multiLevelType w:val="multilevel"/>
    <w:tmpl w:val="5C4B613C"/>
    <w:lvl w:ilvl="0">
      <w:start w:val="1"/>
      <w:numFmt w:val="japaneseCounting"/>
      <w:lvlText w:val="%1、"/>
      <w:lvlJc w:val="left"/>
      <w:pPr>
        <w:ind w:left="450" w:hanging="45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51">
    <w:nsid w:val="5C6A1201"/>
    <w:multiLevelType w:val="multilevel"/>
    <w:tmpl w:val="5C6A120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52">
    <w:nsid w:val="5D3B6818"/>
    <w:multiLevelType w:val="multilevel"/>
    <w:tmpl w:val="5D3B6818"/>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53">
    <w:nsid w:val="5D3D366A"/>
    <w:multiLevelType w:val="multilevel"/>
    <w:tmpl w:val="5D3D366A"/>
    <w:lvl w:ilvl="0">
      <w:start w:val="1"/>
      <w:numFmt w:val="decimal"/>
      <w:lvlText w:val="%1."/>
      <w:lvlJc w:val="left"/>
      <w:pPr>
        <w:ind w:left="845" w:hanging="420"/>
      </w:pPr>
      <w:rPr>
        <w:rFonts w:cs="Times New Roman"/>
      </w:rPr>
    </w:lvl>
    <w:lvl w:ilvl="1">
      <w:start w:val="1"/>
      <w:numFmt w:val="lowerLetter"/>
      <w:lvlText w:val="%2)"/>
      <w:lvlJc w:val="left"/>
      <w:pPr>
        <w:ind w:left="1265" w:hanging="420"/>
      </w:pPr>
      <w:rPr>
        <w:rFonts w:cs="Times New Roman"/>
      </w:rPr>
    </w:lvl>
    <w:lvl w:ilvl="2">
      <w:start w:val="1"/>
      <w:numFmt w:val="lowerRoman"/>
      <w:lvlText w:val="%3."/>
      <w:lvlJc w:val="right"/>
      <w:pPr>
        <w:ind w:left="1685" w:hanging="420"/>
      </w:pPr>
      <w:rPr>
        <w:rFonts w:cs="Times New Roman"/>
      </w:rPr>
    </w:lvl>
    <w:lvl w:ilvl="3">
      <w:start w:val="1"/>
      <w:numFmt w:val="decimal"/>
      <w:lvlText w:val="%4."/>
      <w:lvlJc w:val="left"/>
      <w:pPr>
        <w:ind w:left="2105" w:hanging="420"/>
      </w:pPr>
      <w:rPr>
        <w:rFonts w:cs="Times New Roman"/>
      </w:rPr>
    </w:lvl>
    <w:lvl w:ilvl="4">
      <w:start w:val="1"/>
      <w:numFmt w:val="lowerLetter"/>
      <w:lvlText w:val="%5)"/>
      <w:lvlJc w:val="left"/>
      <w:pPr>
        <w:ind w:left="2525" w:hanging="420"/>
      </w:pPr>
      <w:rPr>
        <w:rFonts w:cs="Times New Roman"/>
      </w:rPr>
    </w:lvl>
    <w:lvl w:ilvl="5">
      <w:start w:val="1"/>
      <w:numFmt w:val="lowerRoman"/>
      <w:lvlText w:val="%6."/>
      <w:lvlJc w:val="right"/>
      <w:pPr>
        <w:ind w:left="2945" w:hanging="420"/>
      </w:pPr>
      <w:rPr>
        <w:rFonts w:cs="Times New Roman"/>
      </w:rPr>
    </w:lvl>
    <w:lvl w:ilvl="6">
      <w:start w:val="1"/>
      <w:numFmt w:val="decimal"/>
      <w:lvlText w:val="%7."/>
      <w:lvlJc w:val="left"/>
      <w:pPr>
        <w:ind w:left="3365" w:hanging="420"/>
      </w:pPr>
      <w:rPr>
        <w:rFonts w:cs="Times New Roman"/>
      </w:rPr>
    </w:lvl>
    <w:lvl w:ilvl="7">
      <w:start w:val="1"/>
      <w:numFmt w:val="lowerLetter"/>
      <w:lvlText w:val="%8)"/>
      <w:lvlJc w:val="left"/>
      <w:pPr>
        <w:ind w:left="3785" w:hanging="420"/>
      </w:pPr>
      <w:rPr>
        <w:rFonts w:cs="Times New Roman"/>
      </w:rPr>
    </w:lvl>
    <w:lvl w:ilvl="8">
      <w:start w:val="1"/>
      <w:numFmt w:val="lowerRoman"/>
      <w:lvlText w:val="%9."/>
      <w:lvlJc w:val="right"/>
      <w:pPr>
        <w:ind w:left="4205" w:hanging="420"/>
      </w:pPr>
      <w:rPr>
        <w:rFonts w:cs="Times New Roman"/>
      </w:rPr>
    </w:lvl>
  </w:abstractNum>
  <w:abstractNum w:abstractNumId="454">
    <w:nsid w:val="5D86313C"/>
    <w:multiLevelType w:val="multilevel"/>
    <w:tmpl w:val="5D86313C"/>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55">
    <w:nsid w:val="5E4425D6"/>
    <w:multiLevelType w:val="multilevel"/>
    <w:tmpl w:val="5E4425D6"/>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56">
    <w:nsid w:val="5E4C6347"/>
    <w:multiLevelType w:val="multilevel"/>
    <w:tmpl w:val="5E4C6347"/>
    <w:lvl w:ilvl="0">
      <w:start w:val="1"/>
      <w:numFmt w:val="decimal"/>
      <w:lvlText w:val="%1."/>
      <w:lvlJc w:val="left"/>
      <w:pPr>
        <w:tabs>
          <w:tab w:val="left" w:pos="780"/>
        </w:tabs>
        <w:ind w:left="780" w:hanging="420"/>
      </w:pPr>
      <w:rPr>
        <w:rFonts w:cs="Times New Roman" w:hint="default"/>
      </w:rPr>
    </w:lvl>
    <w:lvl w:ilvl="1">
      <w:start w:val="3"/>
      <w:numFmt w:val="japaneseCounting"/>
      <w:lvlText w:val="第%2章"/>
      <w:lvlJc w:val="left"/>
      <w:pPr>
        <w:tabs>
          <w:tab w:val="left" w:pos="1665"/>
        </w:tabs>
        <w:ind w:left="1665" w:hanging="885"/>
      </w:pPr>
      <w:rPr>
        <w:rFonts w:cs="Times New Roman" w:hint="default"/>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457">
    <w:nsid w:val="5EC91946"/>
    <w:multiLevelType w:val="multilevel"/>
    <w:tmpl w:val="5EC91946"/>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58">
    <w:nsid w:val="5EE429AC"/>
    <w:multiLevelType w:val="multilevel"/>
    <w:tmpl w:val="5EE429AC"/>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59">
    <w:nsid w:val="5F5A4037"/>
    <w:multiLevelType w:val="multilevel"/>
    <w:tmpl w:val="5F5A403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0">
    <w:nsid w:val="5F8250A2"/>
    <w:multiLevelType w:val="multilevel"/>
    <w:tmpl w:val="5F8250A2"/>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1">
    <w:nsid w:val="5FAB72C0"/>
    <w:multiLevelType w:val="multilevel"/>
    <w:tmpl w:val="5FAB72C0"/>
    <w:lvl w:ilvl="0">
      <w:start w:val="1"/>
      <w:numFmt w:val="decimal"/>
      <w:lvlText w:val="%1、"/>
      <w:lvlJc w:val="left"/>
      <w:pPr>
        <w:tabs>
          <w:tab w:val="left" w:pos="644"/>
        </w:tabs>
        <w:ind w:left="644" w:hanging="360"/>
      </w:pPr>
      <w:rPr>
        <w:rFonts w:cs="Times New Roman" w:hint="default"/>
      </w:rPr>
    </w:lvl>
    <w:lvl w:ilvl="1">
      <w:start w:val="1"/>
      <w:numFmt w:val="lowerLetter"/>
      <w:lvlText w:val="%2)"/>
      <w:lvlJc w:val="left"/>
      <w:pPr>
        <w:tabs>
          <w:tab w:val="left" w:pos="1124"/>
        </w:tabs>
        <w:ind w:left="1124" w:hanging="420"/>
      </w:pPr>
      <w:rPr>
        <w:rFonts w:cs="Times New Roman"/>
      </w:rPr>
    </w:lvl>
    <w:lvl w:ilvl="2">
      <w:start w:val="1"/>
      <w:numFmt w:val="lowerRoman"/>
      <w:lvlText w:val="%3."/>
      <w:lvlJc w:val="right"/>
      <w:pPr>
        <w:tabs>
          <w:tab w:val="left" w:pos="1544"/>
        </w:tabs>
        <w:ind w:left="1544" w:hanging="420"/>
      </w:pPr>
      <w:rPr>
        <w:rFonts w:cs="Times New Roman"/>
      </w:rPr>
    </w:lvl>
    <w:lvl w:ilvl="3">
      <w:start w:val="1"/>
      <w:numFmt w:val="decimal"/>
      <w:lvlText w:val="%4."/>
      <w:lvlJc w:val="left"/>
      <w:pPr>
        <w:tabs>
          <w:tab w:val="left" w:pos="1964"/>
        </w:tabs>
        <w:ind w:left="1964" w:hanging="420"/>
      </w:pPr>
      <w:rPr>
        <w:rFonts w:cs="Times New Roman"/>
      </w:rPr>
    </w:lvl>
    <w:lvl w:ilvl="4">
      <w:start w:val="1"/>
      <w:numFmt w:val="lowerLetter"/>
      <w:lvlText w:val="%5)"/>
      <w:lvlJc w:val="left"/>
      <w:pPr>
        <w:tabs>
          <w:tab w:val="left" w:pos="2384"/>
        </w:tabs>
        <w:ind w:left="2384" w:hanging="420"/>
      </w:pPr>
      <w:rPr>
        <w:rFonts w:cs="Times New Roman"/>
      </w:rPr>
    </w:lvl>
    <w:lvl w:ilvl="5">
      <w:start w:val="1"/>
      <w:numFmt w:val="lowerRoman"/>
      <w:lvlText w:val="%6."/>
      <w:lvlJc w:val="right"/>
      <w:pPr>
        <w:tabs>
          <w:tab w:val="left" w:pos="2804"/>
        </w:tabs>
        <w:ind w:left="2804" w:hanging="420"/>
      </w:pPr>
      <w:rPr>
        <w:rFonts w:cs="Times New Roman"/>
      </w:rPr>
    </w:lvl>
    <w:lvl w:ilvl="6">
      <w:start w:val="1"/>
      <w:numFmt w:val="decimal"/>
      <w:lvlText w:val="%7."/>
      <w:lvlJc w:val="left"/>
      <w:pPr>
        <w:tabs>
          <w:tab w:val="left" w:pos="3224"/>
        </w:tabs>
        <w:ind w:left="3224" w:hanging="420"/>
      </w:pPr>
      <w:rPr>
        <w:rFonts w:cs="Times New Roman"/>
      </w:rPr>
    </w:lvl>
    <w:lvl w:ilvl="7">
      <w:start w:val="1"/>
      <w:numFmt w:val="lowerLetter"/>
      <w:lvlText w:val="%8)"/>
      <w:lvlJc w:val="left"/>
      <w:pPr>
        <w:tabs>
          <w:tab w:val="left" w:pos="3644"/>
        </w:tabs>
        <w:ind w:left="3644" w:hanging="420"/>
      </w:pPr>
      <w:rPr>
        <w:rFonts w:cs="Times New Roman"/>
      </w:rPr>
    </w:lvl>
    <w:lvl w:ilvl="8">
      <w:start w:val="1"/>
      <w:numFmt w:val="lowerRoman"/>
      <w:lvlText w:val="%9."/>
      <w:lvlJc w:val="right"/>
      <w:pPr>
        <w:tabs>
          <w:tab w:val="left" w:pos="4064"/>
        </w:tabs>
        <w:ind w:left="4064" w:hanging="420"/>
      </w:pPr>
      <w:rPr>
        <w:rFonts w:cs="Times New Roman"/>
      </w:rPr>
    </w:lvl>
  </w:abstractNum>
  <w:abstractNum w:abstractNumId="462">
    <w:nsid w:val="5FB03761"/>
    <w:multiLevelType w:val="multilevel"/>
    <w:tmpl w:val="5FB03761"/>
    <w:lvl w:ilvl="0">
      <w:start w:val="1"/>
      <w:numFmt w:val="decimal"/>
      <w:lvlText w:val="%1、"/>
      <w:lvlJc w:val="left"/>
      <w:pPr>
        <w:tabs>
          <w:tab w:val="left" w:pos="900"/>
        </w:tabs>
        <w:ind w:left="900" w:hanging="360"/>
      </w:pPr>
      <w:rPr>
        <w:rFonts w:ascii="Times New Roman" w:eastAsia="宋体" w:hAnsi="Times New Roman" w:cs="Times New Roman"/>
      </w:rPr>
    </w:lvl>
    <w:lvl w:ilvl="1">
      <w:start w:val="1"/>
      <w:numFmt w:val="decimal"/>
      <w:lvlText w:val="%2、"/>
      <w:lvlJc w:val="left"/>
      <w:pPr>
        <w:tabs>
          <w:tab w:val="left" w:pos="1320"/>
        </w:tabs>
        <w:ind w:left="1320" w:hanging="360"/>
      </w:pPr>
      <w:rPr>
        <w:rFonts w:cs="Times New Roman" w:hint="default"/>
      </w:rPr>
    </w:lvl>
    <w:lvl w:ilvl="2">
      <w:start w:val="1"/>
      <w:numFmt w:val="lowerRoman"/>
      <w:lvlText w:val="%3."/>
      <w:lvlJc w:val="right"/>
      <w:pPr>
        <w:tabs>
          <w:tab w:val="left" w:pos="1800"/>
        </w:tabs>
        <w:ind w:left="1800" w:hanging="420"/>
      </w:pPr>
      <w:rPr>
        <w:rFonts w:cs="Times New Roman"/>
      </w:rPr>
    </w:lvl>
    <w:lvl w:ilvl="3">
      <w:start w:val="1"/>
      <w:numFmt w:val="decimal"/>
      <w:lvlText w:val="%4."/>
      <w:lvlJc w:val="left"/>
      <w:pPr>
        <w:tabs>
          <w:tab w:val="left" w:pos="2220"/>
        </w:tabs>
        <w:ind w:left="2220" w:hanging="420"/>
      </w:pPr>
      <w:rPr>
        <w:rFonts w:cs="Times New Roman"/>
      </w:rPr>
    </w:lvl>
    <w:lvl w:ilvl="4">
      <w:start w:val="1"/>
      <w:numFmt w:val="lowerLetter"/>
      <w:lvlText w:val="%5)"/>
      <w:lvlJc w:val="left"/>
      <w:pPr>
        <w:tabs>
          <w:tab w:val="left" w:pos="2640"/>
        </w:tabs>
        <w:ind w:left="2640" w:hanging="420"/>
      </w:pPr>
      <w:rPr>
        <w:rFonts w:cs="Times New Roman"/>
      </w:rPr>
    </w:lvl>
    <w:lvl w:ilvl="5">
      <w:start w:val="1"/>
      <w:numFmt w:val="lowerRoman"/>
      <w:lvlText w:val="%6."/>
      <w:lvlJc w:val="right"/>
      <w:pPr>
        <w:tabs>
          <w:tab w:val="left" w:pos="3060"/>
        </w:tabs>
        <w:ind w:left="3060" w:hanging="420"/>
      </w:pPr>
      <w:rPr>
        <w:rFonts w:cs="Times New Roman"/>
      </w:rPr>
    </w:lvl>
    <w:lvl w:ilvl="6">
      <w:start w:val="1"/>
      <w:numFmt w:val="decimal"/>
      <w:lvlText w:val="%7."/>
      <w:lvlJc w:val="left"/>
      <w:pPr>
        <w:tabs>
          <w:tab w:val="left" w:pos="3480"/>
        </w:tabs>
        <w:ind w:left="3480" w:hanging="420"/>
      </w:pPr>
      <w:rPr>
        <w:rFonts w:cs="Times New Roman"/>
      </w:rPr>
    </w:lvl>
    <w:lvl w:ilvl="7">
      <w:start w:val="1"/>
      <w:numFmt w:val="lowerLetter"/>
      <w:lvlText w:val="%8)"/>
      <w:lvlJc w:val="left"/>
      <w:pPr>
        <w:tabs>
          <w:tab w:val="left" w:pos="3900"/>
        </w:tabs>
        <w:ind w:left="3900" w:hanging="420"/>
      </w:pPr>
      <w:rPr>
        <w:rFonts w:cs="Times New Roman"/>
      </w:rPr>
    </w:lvl>
    <w:lvl w:ilvl="8">
      <w:start w:val="1"/>
      <w:numFmt w:val="lowerRoman"/>
      <w:lvlText w:val="%9."/>
      <w:lvlJc w:val="right"/>
      <w:pPr>
        <w:tabs>
          <w:tab w:val="left" w:pos="4320"/>
        </w:tabs>
        <w:ind w:left="4320" w:hanging="420"/>
      </w:pPr>
      <w:rPr>
        <w:rFonts w:cs="Times New Roman"/>
      </w:rPr>
    </w:lvl>
  </w:abstractNum>
  <w:abstractNum w:abstractNumId="463">
    <w:nsid w:val="60030E12"/>
    <w:multiLevelType w:val="multilevel"/>
    <w:tmpl w:val="60030E12"/>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64">
    <w:nsid w:val="60BC6196"/>
    <w:multiLevelType w:val="multilevel"/>
    <w:tmpl w:val="60BC6196"/>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5">
    <w:nsid w:val="60F443D1"/>
    <w:multiLevelType w:val="multilevel"/>
    <w:tmpl w:val="60F443D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6">
    <w:nsid w:val="6149007C"/>
    <w:multiLevelType w:val="multilevel"/>
    <w:tmpl w:val="6149007C"/>
    <w:lvl w:ilvl="0">
      <w:start w:val="2"/>
      <w:numFmt w:val="decimal"/>
      <w:lvlText w:val="%1."/>
      <w:lvlJc w:val="left"/>
      <w:pPr>
        <w:tabs>
          <w:tab w:val="left" w:pos="375"/>
        </w:tabs>
        <w:ind w:left="375" w:hanging="37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67">
    <w:nsid w:val="618D1C80"/>
    <w:multiLevelType w:val="multilevel"/>
    <w:tmpl w:val="618D1C80"/>
    <w:lvl w:ilvl="0">
      <w:start w:val="1"/>
      <w:numFmt w:val="japaneseCounting"/>
      <w:lvlText w:val="第%1节"/>
      <w:lvlJc w:val="left"/>
      <w:pPr>
        <w:ind w:left="1200" w:hanging="120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68">
    <w:nsid w:val="61960E61"/>
    <w:multiLevelType w:val="multilevel"/>
    <w:tmpl w:val="61960E61"/>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69">
    <w:nsid w:val="61AE0FD6"/>
    <w:multiLevelType w:val="multilevel"/>
    <w:tmpl w:val="61AE0FD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70">
    <w:nsid w:val="61B9546A"/>
    <w:multiLevelType w:val="multilevel"/>
    <w:tmpl w:val="61B9546A"/>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71">
    <w:nsid w:val="61CC1FDB"/>
    <w:multiLevelType w:val="multilevel"/>
    <w:tmpl w:val="61CC1FDB"/>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72">
    <w:nsid w:val="61E841DF"/>
    <w:multiLevelType w:val="multilevel"/>
    <w:tmpl w:val="61E841DF"/>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73">
    <w:nsid w:val="61F42226"/>
    <w:multiLevelType w:val="multilevel"/>
    <w:tmpl w:val="61F42226"/>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74">
    <w:nsid w:val="61FC5B9F"/>
    <w:multiLevelType w:val="multilevel"/>
    <w:tmpl w:val="61FC5B9F"/>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tabs>
          <w:tab w:val="left" w:pos="1549"/>
        </w:tabs>
        <w:ind w:left="1549" w:hanging="420"/>
      </w:pPr>
      <w:rPr>
        <w:rFonts w:cs="Times New Roman"/>
      </w:rPr>
    </w:lvl>
    <w:lvl w:ilvl="2">
      <w:start w:val="1"/>
      <w:numFmt w:val="lowerRoman"/>
      <w:lvlText w:val="%3."/>
      <w:lvlJc w:val="right"/>
      <w:pPr>
        <w:tabs>
          <w:tab w:val="left" w:pos="1969"/>
        </w:tabs>
        <w:ind w:left="1969" w:hanging="420"/>
      </w:pPr>
      <w:rPr>
        <w:rFonts w:cs="Times New Roman"/>
      </w:rPr>
    </w:lvl>
    <w:lvl w:ilvl="3">
      <w:start w:val="1"/>
      <w:numFmt w:val="decimal"/>
      <w:lvlText w:val="%4."/>
      <w:lvlJc w:val="left"/>
      <w:pPr>
        <w:tabs>
          <w:tab w:val="left" w:pos="2389"/>
        </w:tabs>
        <w:ind w:left="2389" w:hanging="420"/>
      </w:pPr>
      <w:rPr>
        <w:rFonts w:cs="Times New Roman"/>
      </w:rPr>
    </w:lvl>
    <w:lvl w:ilvl="4">
      <w:start w:val="1"/>
      <w:numFmt w:val="lowerLetter"/>
      <w:lvlText w:val="%5)"/>
      <w:lvlJc w:val="left"/>
      <w:pPr>
        <w:tabs>
          <w:tab w:val="left" w:pos="2809"/>
        </w:tabs>
        <w:ind w:left="2809" w:hanging="420"/>
      </w:pPr>
      <w:rPr>
        <w:rFonts w:cs="Times New Roman"/>
      </w:rPr>
    </w:lvl>
    <w:lvl w:ilvl="5">
      <w:start w:val="1"/>
      <w:numFmt w:val="lowerRoman"/>
      <w:lvlText w:val="%6."/>
      <w:lvlJc w:val="right"/>
      <w:pPr>
        <w:tabs>
          <w:tab w:val="left" w:pos="3229"/>
        </w:tabs>
        <w:ind w:left="3229" w:hanging="420"/>
      </w:pPr>
      <w:rPr>
        <w:rFonts w:cs="Times New Roman"/>
      </w:rPr>
    </w:lvl>
    <w:lvl w:ilvl="6">
      <w:start w:val="1"/>
      <w:numFmt w:val="decimal"/>
      <w:lvlText w:val="%7."/>
      <w:lvlJc w:val="left"/>
      <w:pPr>
        <w:tabs>
          <w:tab w:val="left" w:pos="3649"/>
        </w:tabs>
        <w:ind w:left="3649" w:hanging="420"/>
      </w:pPr>
      <w:rPr>
        <w:rFonts w:cs="Times New Roman"/>
      </w:rPr>
    </w:lvl>
    <w:lvl w:ilvl="7">
      <w:start w:val="1"/>
      <w:numFmt w:val="lowerLetter"/>
      <w:lvlText w:val="%8)"/>
      <w:lvlJc w:val="left"/>
      <w:pPr>
        <w:tabs>
          <w:tab w:val="left" w:pos="4069"/>
        </w:tabs>
        <w:ind w:left="4069" w:hanging="420"/>
      </w:pPr>
      <w:rPr>
        <w:rFonts w:cs="Times New Roman"/>
      </w:rPr>
    </w:lvl>
    <w:lvl w:ilvl="8">
      <w:start w:val="1"/>
      <w:numFmt w:val="lowerRoman"/>
      <w:lvlText w:val="%9."/>
      <w:lvlJc w:val="right"/>
      <w:pPr>
        <w:tabs>
          <w:tab w:val="left" w:pos="4489"/>
        </w:tabs>
        <w:ind w:left="4489" w:hanging="420"/>
      </w:pPr>
      <w:rPr>
        <w:rFonts w:cs="Times New Roman"/>
      </w:rPr>
    </w:lvl>
  </w:abstractNum>
  <w:abstractNum w:abstractNumId="475">
    <w:nsid w:val="623A28A9"/>
    <w:multiLevelType w:val="multilevel"/>
    <w:tmpl w:val="623A28A9"/>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76">
    <w:nsid w:val="6291210D"/>
    <w:multiLevelType w:val="multilevel"/>
    <w:tmpl w:val="6291210D"/>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77">
    <w:nsid w:val="62A46C5B"/>
    <w:multiLevelType w:val="multilevel"/>
    <w:tmpl w:val="62A46C5B"/>
    <w:lvl w:ilvl="0">
      <w:start w:val="1"/>
      <w:numFmt w:val="japaneseCounting"/>
      <w:lvlText w:val="第%1节"/>
      <w:lvlJc w:val="left"/>
      <w:pPr>
        <w:ind w:left="765" w:hanging="76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78">
    <w:nsid w:val="62CB5AEA"/>
    <w:multiLevelType w:val="multilevel"/>
    <w:tmpl w:val="62CB5AEA"/>
    <w:lvl w:ilvl="0">
      <w:start w:val="1"/>
      <w:numFmt w:val="decimal"/>
      <w:lvlText w:val="%1、"/>
      <w:lvlJc w:val="left"/>
      <w:pPr>
        <w:tabs>
          <w:tab w:val="left" w:pos="785"/>
        </w:tabs>
        <w:ind w:left="785" w:hanging="360"/>
      </w:pPr>
      <w:rPr>
        <w:rFonts w:cs="Times New Roman" w:hint="default"/>
      </w:rPr>
    </w:lvl>
    <w:lvl w:ilvl="1">
      <w:start w:val="1"/>
      <w:numFmt w:val="lowerLetter"/>
      <w:lvlText w:val="%2)"/>
      <w:lvlJc w:val="left"/>
      <w:pPr>
        <w:tabs>
          <w:tab w:val="left" w:pos="1265"/>
        </w:tabs>
        <w:ind w:left="1265" w:hanging="420"/>
      </w:pPr>
      <w:rPr>
        <w:rFonts w:cs="Times New Roman"/>
      </w:rPr>
    </w:lvl>
    <w:lvl w:ilvl="2">
      <w:start w:val="1"/>
      <w:numFmt w:val="lowerRoman"/>
      <w:lvlText w:val="%3."/>
      <w:lvlJc w:val="right"/>
      <w:pPr>
        <w:tabs>
          <w:tab w:val="left" w:pos="1685"/>
        </w:tabs>
        <w:ind w:left="1685" w:hanging="420"/>
      </w:pPr>
      <w:rPr>
        <w:rFonts w:cs="Times New Roman"/>
      </w:rPr>
    </w:lvl>
    <w:lvl w:ilvl="3">
      <w:start w:val="1"/>
      <w:numFmt w:val="decimal"/>
      <w:lvlText w:val="%4."/>
      <w:lvlJc w:val="left"/>
      <w:pPr>
        <w:tabs>
          <w:tab w:val="left" w:pos="2105"/>
        </w:tabs>
        <w:ind w:left="2105" w:hanging="420"/>
      </w:pPr>
      <w:rPr>
        <w:rFonts w:cs="Times New Roman"/>
      </w:rPr>
    </w:lvl>
    <w:lvl w:ilvl="4">
      <w:start w:val="1"/>
      <w:numFmt w:val="lowerLetter"/>
      <w:lvlText w:val="%5)"/>
      <w:lvlJc w:val="left"/>
      <w:pPr>
        <w:tabs>
          <w:tab w:val="left" w:pos="2525"/>
        </w:tabs>
        <w:ind w:left="2525" w:hanging="420"/>
      </w:pPr>
      <w:rPr>
        <w:rFonts w:cs="Times New Roman"/>
      </w:rPr>
    </w:lvl>
    <w:lvl w:ilvl="5">
      <w:start w:val="1"/>
      <w:numFmt w:val="lowerRoman"/>
      <w:lvlText w:val="%6."/>
      <w:lvlJc w:val="right"/>
      <w:pPr>
        <w:tabs>
          <w:tab w:val="left" w:pos="2945"/>
        </w:tabs>
        <w:ind w:left="2945" w:hanging="420"/>
      </w:pPr>
      <w:rPr>
        <w:rFonts w:cs="Times New Roman"/>
      </w:rPr>
    </w:lvl>
    <w:lvl w:ilvl="6">
      <w:start w:val="1"/>
      <w:numFmt w:val="decimal"/>
      <w:lvlText w:val="%7."/>
      <w:lvlJc w:val="left"/>
      <w:pPr>
        <w:tabs>
          <w:tab w:val="left" w:pos="3365"/>
        </w:tabs>
        <w:ind w:left="3365" w:hanging="420"/>
      </w:pPr>
      <w:rPr>
        <w:rFonts w:cs="Times New Roman"/>
      </w:rPr>
    </w:lvl>
    <w:lvl w:ilvl="7">
      <w:start w:val="1"/>
      <w:numFmt w:val="lowerLetter"/>
      <w:lvlText w:val="%8)"/>
      <w:lvlJc w:val="left"/>
      <w:pPr>
        <w:tabs>
          <w:tab w:val="left" w:pos="3785"/>
        </w:tabs>
        <w:ind w:left="3785" w:hanging="420"/>
      </w:pPr>
      <w:rPr>
        <w:rFonts w:cs="Times New Roman"/>
      </w:rPr>
    </w:lvl>
    <w:lvl w:ilvl="8">
      <w:start w:val="1"/>
      <w:numFmt w:val="lowerRoman"/>
      <w:lvlText w:val="%9."/>
      <w:lvlJc w:val="right"/>
      <w:pPr>
        <w:tabs>
          <w:tab w:val="left" w:pos="4205"/>
        </w:tabs>
        <w:ind w:left="4205" w:hanging="420"/>
      </w:pPr>
      <w:rPr>
        <w:rFonts w:cs="Times New Roman"/>
      </w:rPr>
    </w:lvl>
  </w:abstractNum>
  <w:abstractNum w:abstractNumId="479">
    <w:nsid w:val="6318511F"/>
    <w:multiLevelType w:val="multilevel"/>
    <w:tmpl w:val="6318511F"/>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80">
    <w:nsid w:val="633543AB"/>
    <w:multiLevelType w:val="multilevel"/>
    <w:tmpl w:val="633543A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81">
    <w:nsid w:val="6377196F"/>
    <w:multiLevelType w:val="multilevel"/>
    <w:tmpl w:val="6377196F"/>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82">
    <w:nsid w:val="642360EA"/>
    <w:multiLevelType w:val="multilevel"/>
    <w:tmpl w:val="642360EA"/>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483">
    <w:nsid w:val="642A7138"/>
    <w:multiLevelType w:val="multilevel"/>
    <w:tmpl w:val="642A7138"/>
    <w:lvl w:ilvl="0">
      <w:start w:val="1"/>
      <w:numFmt w:val="japaneseCounting"/>
      <w:lvlText w:val="第%1章"/>
      <w:lvlJc w:val="left"/>
      <w:pPr>
        <w:tabs>
          <w:tab w:val="left" w:pos="735"/>
        </w:tabs>
        <w:ind w:left="735" w:hanging="73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84">
    <w:nsid w:val="644B4F6C"/>
    <w:multiLevelType w:val="multilevel"/>
    <w:tmpl w:val="644B4F6C"/>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85">
    <w:nsid w:val="64683F06"/>
    <w:multiLevelType w:val="multilevel"/>
    <w:tmpl w:val="64683F06"/>
    <w:lvl w:ilvl="0">
      <w:start w:val="1"/>
      <w:numFmt w:val="decimal"/>
      <w:lvlText w:val="%1."/>
      <w:lvlJc w:val="left"/>
      <w:pPr>
        <w:tabs>
          <w:tab w:val="left" w:pos="0"/>
        </w:tabs>
        <w:ind w:left="1192" w:hanging="36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486">
    <w:nsid w:val="649D3577"/>
    <w:multiLevelType w:val="multilevel"/>
    <w:tmpl w:val="649D3577"/>
    <w:lvl w:ilvl="0">
      <w:start w:val="1"/>
      <w:numFmt w:val="decimal"/>
      <w:lvlText w:val="%1."/>
      <w:lvlJc w:val="left"/>
      <w:pPr>
        <w:tabs>
          <w:tab w:val="left" w:pos="1425"/>
        </w:tabs>
        <w:ind w:left="1425" w:hanging="360"/>
      </w:pPr>
      <w:rPr>
        <w:rFonts w:cs="Times New Roman" w:hint="default"/>
      </w:rPr>
    </w:lvl>
    <w:lvl w:ilvl="1">
      <w:start w:val="1"/>
      <w:numFmt w:val="lowerLetter"/>
      <w:lvlText w:val="%2)"/>
      <w:lvlJc w:val="left"/>
      <w:pPr>
        <w:tabs>
          <w:tab w:val="left" w:pos="1905"/>
        </w:tabs>
        <w:ind w:left="1905" w:hanging="420"/>
      </w:pPr>
      <w:rPr>
        <w:rFonts w:cs="Times New Roman"/>
      </w:rPr>
    </w:lvl>
    <w:lvl w:ilvl="2">
      <w:start w:val="1"/>
      <w:numFmt w:val="lowerRoman"/>
      <w:lvlText w:val="%3."/>
      <w:lvlJc w:val="right"/>
      <w:pPr>
        <w:tabs>
          <w:tab w:val="left" w:pos="2325"/>
        </w:tabs>
        <w:ind w:left="2325" w:hanging="420"/>
      </w:pPr>
      <w:rPr>
        <w:rFonts w:cs="Times New Roman"/>
      </w:rPr>
    </w:lvl>
    <w:lvl w:ilvl="3">
      <w:start w:val="1"/>
      <w:numFmt w:val="decimal"/>
      <w:lvlText w:val="%4."/>
      <w:lvlJc w:val="left"/>
      <w:pPr>
        <w:tabs>
          <w:tab w:val="left" w:pos="2745"/>
        </w:tabs>
        <w:ind w:left="2745" w:hanging="420"/>
      </w:pPr>
      <w:rPr>
        <w:rFonts w:cs="Times New Roman"/>
      </w:rPr>
    </w:lvl>
    <w:lvl w:ilvl="4">
      <w:start w:val="1"/>
      <w:numFmt w:val="lowerLetter"/>
      <w:lvlText w:val="%5)"/>
      <w:lvlJc w:val="left"/>
      <w:pPr>
        <w:tabs>
          <w:tab w:val="left" w:pos="3165"/>
        </w:tabs>
        <w:ind w:left="3165" w:hanging="420"/>
      </w:pPr>
      <w:rPr>
        <w:rFonts w:cs="Times New Roman"/>
      </w:rPr>
    </w:lvl>
    <w:lvl w:ilvl="5">
      <w:start w:val="1"/>
      <w:numFmt w:val="lowerRoman"/>
      <w:lvlText w:val="%6."/>
      <w:lvlJc w:val="right"/>
      <w:pPr>
        <w:tabs>
          <w:tab w:val="left" w:pos="3585"/>
        </w:tabs>
        <w:ind w:left="3585" w:hanging="420"/>
      </w:pPr>
      <w:rPr>
        <w:rFonts w:cs="Times New Roman"/>
      </w:rPr>
    </w:lvl>
    <w:lvl w:ilvl="6">
      <w:start w:val="1"/>
      <w:numFmt w:val="decimal"/>
      <w:lvlText w:val="%7."/>
      <w:lvlJc w:val="left"/>
      <w:pPr>
        <w:tabs>
          <w:tab w:val="left" w:pos="4005"/>
        </w:tabs>
        <w:ind w:left="4005" w:hanging="420"/>
      </w:pPr>
      <w:rPr>
        <w:rFonts w:cs="Times New Roman"/>
      </w:rPr>
    </w:lvl>
    <w:lvl w:ilvl="7">
      <w:start w:val="1"/>
      <w:numFmt w:val="lowerLetter"/>
      <w:lvlText w:val="%8)"/>
      <w:lvlJc w:val="left"/>
      <w:pPr>
        <w:tabs>
          <w:tab w:val="left" w:pos="4425"/>
        </w:tabs>
        <w:ind w:left="4425" w:hanging="420"/>
      </w:pPr>
      <w:rPr>
        <w:rFonts w:cs="Times New Roman"/>
      </w:rPr>
    </w:lvl>
    <w:lvl w:ilvl="8">
      <w:start w:val="1"/>
      <w:numFmt w:val="lowerRoman"/>
      <w:lvlText w:val="%9."/>
      <w:lvlJc w:val="right"/>
      <w:pPr>
        <w:tabs>
          <w:tab w:val="left" w:pos="4845"/>
        </w:tabs>
        <w:ind w:left="4845" w:hanging="420"/>
      </w:pPr>
      <w:rPr>
        <w:rFonts w:cs="Times New Roman"/>
      </w:rPr>
    </w:lvl>
  </w:abstractNum>
  <w:abstractNum w:abstractNumId="487">
    <w:nsid w:val="649E480B"/>
    <w:multiLevelType w:val="multilevel"/>
    <w:tmpl w:val="649E480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88">
    <w:nsid w:val="64AB4D43"/>
    <w:multiLevelType w:val="multilevel"/>
    <w:tmpl w:val="64AB4D43"/>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89">
    <w:nsid w:val="651E7967"/>
    <w:multiLevelType w:val="multilevel"/>
    <w:tmpl w:val="651E7967"/>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490">
    <w:nsid w:val="65640C77"/>
    <w:multiLevelType w:val="multilevel"/>
    <w:tmpl w:val="65640C7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1">
    <w:nsid w:val="66161E1D"/>
    <w:multiLevelType w:val="multilevel"/>
    <w:tmpl w:val="54311491"/>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2">
    <w:nsid w:val="663F4E64"/>
    <w:multiLevelType w:val="multilevel"/>
    <w:tmpl w:val="663F4E64"/>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93">
    <w:nsid w:val="66EC4BF9"/>
    <w:multiLevelType w:val="multilevel"/>
    <w:tmpl w:val="66EC4BF9"/>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94">
    <w:nsid w:val="67D05EB4"/>
    <w:multiLevelType w:val="multilevel"/>
    <w:tmpl w:val="67D05EB4"/>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95">
    <w:nsid w:val="690A692B"/>
    <w:multiLevelType w:val="multilevel"/>
    <w:tmpl w:val="690A692B"/>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6">
    <w:nsid w:val="69181994"/>
    <w:multiLevelType w:val="multilevel"/>
    <w:tmpl w:val="69181994"/>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7">
    <w:nsid w:val="693B4B6A"/>
    <w:multiLevelType w:val="multilevel"/>
    <w:tmpl w:val="693B4B6A"/>
    <w:lvl w:ilvl="0">
      <w:start w:val="1"/>
      <w:numFmt w:val="decimal"/>
      <w:lvlText w:val="%1．"/>
      <w:lvlJc w:val="left"/>
      <w:pPr>
        <w:tabs>
          <w:tab w:val="left" w:pos="360"/>
        </w:tabs>
        <w:ind w:left="360" w:hanging="360"/>
      </w:pPr>
      <w:rPr>
        <w:rFonts w:cs="Times New Roman" w:hint="default"/>
      </w:rPr>
    </w:lvl>
    <w:lvl w:ilvl="1">
      <w:start w:val="1"/>
      <w:numFmt w:val="upperLetter"/>
      <w:lvlText w:val="%2．"/>
      <w:lvlJc w:val="left"/>
      <w:pPr>
        <w:tabs>
          <w:tab w:val="left" w:pos="825"/>
        </w:tabs>
        <w:ind w:left="825" w:hanging="405"/>
      </w:pPr>
      <w:rPr>
        <w:rFonts w:cs="Times New Roman" w:hint="default"/>
      </w:rPr>
    </w:lvl>
    <w:lvl w:ilvl="2">
      <w:start w:val="5"/>
      <w:numFmt w:val="japaneseCounting"/>
      <w:lvlText w:val="%3、"/>
      <w:lvlJc w:val="left"/>
      <w:pPr>
        <w:tabs>
          <w:tab w:val="left" w:pos="1320"/>
        </w:tabs>
        <w:ind w:left="1320" w:hanging="480"/>
      </w:pPr>
      <w:rPr>
        <w:rFonts w:cs="Times New Roman" w:hint="eastAsia"/>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8">
    <w:nsid w:val="6940128A"/>
    <w:multiLevelType w:val="multilevel"/>
    <w:tmpl w:val="6940128A"/>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9">
    <w:nsid w:val="698A2900"/>
    <w:multiLevelType w:val="multilevel"/>
    <w:tmpl w:val="698A2900"/>
    <w:lvl w:ilvl="0">
      <w:start w:val="1"/>
      <w:numFmt w:val="decimal"/>
      <w:lvlText w:val="%1."/>
      <w:lvlJc w:val="left"/>
      <w:pPr>
        <w:ind w:left="1140" w:hanging="420"/>
      </w:pPr>
      <w:rPr>
        <w:rFonts w:cs="Times New Roman"/>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500">
    <w:nsid w:val="69D60E85"/>
    <w:multiLevelType w:val="multilevel"/>
    <w:tmpl w:val="69D60E85"/>
    <w:lvl w:ilvl="0">
      <w:start w:val="1"/>
      <w:numFmt w:val="decimal"/>
      <w:lvlText w:val="%1."/>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1">
    <w:nsid w:val="69EE1881"/>
    <w:multiLevelType w:val="multilevel"/>
    <w:tmpl w:val="69EE1881"/>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2">
    <w:nsid w:val="6AC30D16"/>
    <w:multiLevelType w:val="multilevel"/>
    <w:tmpl w:val="6AC30D16"/>
    <w:lvl w:ilvl="0">
      <w:start w:val="1"/>
      <w:numFmt w:val="decimal"/>
      <w:lvlText w:val="%1."/>
      <w:lvlJc w:val="left"/>
      <w:pPr>
        <w:tabs>
          <w:tab w:val="left" w:pos="420"/>
        </w:tabs>
        <w:ind w:left="420" w:hanging="42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3">
    <w:nsid w:val="6B113AFF"/>
    <w:multiLevelType w:val="multilevel"/>
    <w:tmpl w:val="6B113AFF"/>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4">
    <w:nsid w:val="6B125A08"/>
    <w:multiLevelType w:val="multilevel"/>
    <w:tmpl w:val="6B125A08"/>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05">
    <w:nsid w:val="6B3A6E5F"/>
    <w:multiLevelType w:val="singleLevel"/>
    <w:tmpl w:val="6B3A6E5F"/>
    <w:lvl w:ilvl="0">
      <w:start w:val="1"/>
      <w:numFmt w:val="decimal"/>
      <w:lvlText w:val="%1."/>
      <w:lvlJc w:val="left"/>
      <w:pPr>
        <w:tabs>
          <w:tab w:val="left" w:pos="420"/>
        </w:tabs>
        <w:ind w:left="420" w:hanging="420"/>
      </w:pPr>
      <w:rPr>
        <w:rFonts w:cs="Times New Roman" w:hint="eastAsia"/>
      </w:rPr>
    </w:lvl>
  </w:abstractNum>
  <w:abstractNum w:abstractNumId="506">
    <w:nsid w:val="6B5E4BC2"/>
    <w:multiLevelType w:val="multilevel"/>
    <w:tmpl w:val="6B5E4BC2"/>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7">
    <w:nsid w:val="6BD87D9A"/>
    <w:multiLevelType w:val="multilevel"/>
    <w:tmpl w:val="6BD87D9A"/>
    <w:lvl w:ilvl="0">
      <w:start w:val="1"/>
      <w:numFmt w:val="japaneseCounting"/>
      <w:lvlText w:val="第%1节"/>
      <w:lvlJc w:val="left"/>
      <w:pPr>
        <w:ind w:left="720" w:hanging="720"/>
      </w:pPr>
      <w:rPr>
        <w:rFonts w:ascii="Calibri" w:eastAsia="宋体" w:hAnsi="Calibri"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08">
    <w:nsid w:val="6C1E13DF"/>
    <w:multiLevelType w:val="multilevel"/>
    <w:tmpl w:val="6C1E13DF"/>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09">
    <w:nsid w:val="6C444488"/>
    <w:multiLevelType w:val="multilevel"/>
    <w:tmpl w:val="6C444488"/>
    <w:lvl w:ilvl="0">
      <w:start w:val="1"/>
      <w:numFmt w:val="decimal"/>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510">
    <w:nsid w:val="6C833223"/>
    <w:multiLevelType w:val="multilevel"/>
    <w:tmpl w:val="6C833223"/>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11">
    <w:nsid w:val="6C8441A2"/>
    <w:multiLevelType w:val="multilevel"/>
    <w:tmpl w:val="6C8441A2"/>
    <w:lvl w:ilvl="0">
      <w:start w:val="1"/>
      <w:numFmt w:val="japaneseCounting"/>
      <w:lvlText w:val="第%1节"/>
      <w:lvlJc w:val="left"/>
      <w:pPr>
        <w:tabs>
          <w:tab w:val="left" w:pos="1202"/>
        </w:tabs>
        <w:ind w:left="1202" w:hanging="780"/>
      </w:pPr>
      <w:rPr>
        <w:rFonts w:cs="Times New Roman" w:hint="default"/>
      </w:rPr>
    </w:lvl>
    <w:lvl w:ilvl="1">
      <w:start w:val="1"/>
      <w:numFmt w:val="lowerLetter"/>
      <w:lvlText w:val="%2)"/>
      <w:lvlJc w:val="left"/>
      <w:pPr>
        <w:tabs>
          <w:tab w:val="left" w:pos="1262"/>
        </w:tabs>
        <w:ind w:left="1262" w:hanging="420"/>
      </w:pPr>
      <w:rPr>
        <w:rFonts w:cs="Times New Roman"/>
      </w:rPr>
    </w:lvl>
    <w:lvl w:ilvl="2">
      <w:start w:val="1"/>
      <w:numFmt w:val="lowerRoman"/>
      <w:lvlText w:val="%3."/>
      <w:lvlJc w:val="right"/>
      <w:pPr>
        <w:tabs>
          <w:tab w:val="left" w:pos="1682"/>
        </w:tabs>
        <w:ind w:left="1682" w:hanging="420"/>
      </w:pPr>
      <w:rPr>
        <w:rFonts w:cs="Times New Roman"/>
      </w:rPr>
    </w:lvl>
    <w:lvl w:ilvl="3">
      <w:start w:val="1"/>
      <w:numFmt w:val="decimal"/>
      <w:lvlText w:val="%4."/>
      <w:lvlJc w:val="left"/>
      <w:pPr>
        <w:tabs>
          <w:tab w:val="left" w:pos="2102"/>
        </w:tabs>
        <w:ind w:left="2102" w:hanging="420"/>
      </w:pPr>
      <w:rPr>
        <w:rFonts w:cs="Times New Roman"/>
      </w:rPr>
    </w:lvl>
    <w:lvl w:ilvl="4">
      <w:start w:val="1"/>
      <w:numFmt w:val="lowerLetter"/>
      <w:lvlText w:val="%5)"/>
      <w:lvlJc w:val="left"/>
      <w:pPr>
        <w:tabs>
          <w:tab w:val="left" w:pos="2522"/>
        </w:tabs>
        <w:ind w:left="2522" w:hanging="420"/>
      </w:pPr>
      <w:rPr>
        <w:rFonts w:cs="Times New Roman"/>
      </w:rPr>
    </w:lvl>
    <w:lvl w:ilvl="5">
      <w:start w:val="1"/>
      <w:numFmt w:val="lowerRoman"/>
      <w:lvlText w:val="%6."/>
      <w:lvlJc w:val="right"/>
      <w:pPr>
        <w:tabs>
          <w:tab w:val="left" w:pos="2942"/>
        </w:tabs>
        <w:ind w:left="2942" w:hanging="420"/>
      </w:pPr>
      <w:rPr>
        <w:rFonts w:cs="Times New Roman"/>
      </w:rPr>
    </w:lvl>
    <w:lvl w:ilvl="6">
      <w:start w:val="1"/>
      <w:numFmt w:val="decimal"/>
      <w:lvlText w:val="%7."/>
      <w:lvlJc w:val="left"/>
      <w:pPr>
        <w:tabs>
          <w:tab w:val="left" w:pos="3362"/>
        </w:tabs>
        <w:ind w:left="3362" w:hanging="420"/>
      </w:pPr>
      <w:rPr>
        <w:rFonts w:cs="Times New Roman"/>
      </w:rPr>
    </w:lvl>
    <w:lvl w:ilvl="7">
      <w:start w:val="1"/>
      <w:numFmt w:val="lowerLetter"/>
      <w:lvlText w:val="%8)"/>
      <w:lvlJc w:val="left"/>
      <w:pPr>
        <w:tabs>
          <w:tab w:val="left" w:pos="3782"/>
        </w:tabs>
        <w:ind w:left="3782" w:hanging="420"/>
      </w:pPr>
      <w:rPr>
        <w:rFonts w:cs="Times New Roman"/>
      </w:rPr>
    </w:lvl>
    <w:lvl w:ilvl="8">
      <w:start w:val="1"/>
      <w:numFmt w:val="lowerRoman"/>
      <w:lvlText w:val="%9."/>
      <w:lvlJc w:val="right"/>
      <w:pPr>
        <w:tabs>
          <w:tab w:val="left" w:pos="4202"/>
        </w:tabs>
        <w:ind w:left="4202" w:hanging="420"/>
      </w:pPr>
      <w:rPr>
        <w:rFonts w:cs="Times New Roman"/>
      </w:rPr>
    </w:lvl>
  </w:abstractNum>
  <w:abstractNum w:abstractNumId="512">
    <w:nsid w:val="6CA00AE0"/>
    <w:multiLevelType w:val="multilevel"/>
    <w:tmpl w:val="6CA00AE0"/>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13">
    <w:nsid w:val="6CB52A42"/>
    <w:multiLevelType w:val="multilevel"/>
    <w:tmpl w:val="6CB52A42"/>
    <w:lvl w:ilvl="0">
      <w:start w:val="1"/>
      <w:numFmt w:val="japaneseCounting"/>
      <w:lvlText w:val="第%1节"/>
      <w:lvlJc w:val="left"/>
      <w:pPr>
        <w:ind w:left="1065" w:hanging="106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14">
    <w:nsid w:val="6CC81438"/>
    <w:multiLevelType w:val="multilevel"/>
    <w:tmpl w:val="6CC81438"/>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15">
    <w:nsid w:val="6D2321EA"/>
    <w:multiLevelType w:val="multilevel"/>
    <w:tmpl w:val="6D2321EA"/>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16">
    <w:nsid w:val="6DED7AB7"/>
    <w:multiLevelType w:val="multilevel"/>
    <w:tmpl w:val="0BF565DB"/>
    <w:lvl w:ilvl="0">
      <w:start w:val="1"/>
      <w:numFmt w:val="decimal"/>
      <w:lvlText w:val="%1、"/>
      <w:lvlJc w:val="left"/>
      <w:pPr>
        <w:tabs>
          <w:tab w:val="left" w:pos="570"/>
        </w:tabs>
        <w:ind w:left="570" w:hanging="360"/>
      </w:pPr>
      <w:rPr>
        <w:rFonts w:cs="Times New Roman" w:hint="default"/>
      </w:rPr>
    </w:lvl>
    <w:lvl w:ilvl="1">
      <w:start w:val="1"/>
      <w:numFmt w:val="decimal"/>
      <w:lvlText w:val="%2、"/>
      <w:lvlJc w:val="left"/>
      <w:pPr>
        <w:tabs>
          <w:tab w:val="left" w:pos="720"/>
        </w:tabs>
        <w:ind w:left="720" w:hanging="360"/>
      </w:pPr>
      <w:rPr>
        <w:rFonts w:cs="Times New Roman" w:hint="default"/>
      </w:rPr>
    </w:lvl>
    <w:lvl w:ilvl="2">
      <w:start w:val="1"/>
      <w:numFmt w:val="lowerRoman"/>
      <w:lvlText w:val="%3."/>
      <w:lvlJc w:val="right"/>
      <w:pPr>
        <w:tabs>
          <w:tab w:val="left" w:pos="1470"/>
        </w:tabs>
        <w:ind w:left="1470" w:hanging="420"/>
      </w:pPr>
      <w:rPr>
        <w:rFonts w:cs="Times New Roman"/>
      </w:rPr>
    </w:lvl>
    <w:lvl w:ilvl="3">
      <w:start w:val="1"/>
      <w:numFmt w:val="decimal"/>
      <w:lvlText w:val="%4."/>
      <w:lvlJc w:val="left"/>
      <w:pPr>
        <w:tabs>
          <w:tab w:val="left" w:pos="1890"/>
        </w:tabs>
        <w:ind w:left="1890" w:hanging="420"/>
      </w:pPr>
      <w:rPr>
        <w:rFonts w:cs="Times New Roman"/>
      </w:rPr>
    </w:lvl>
    <w:lvl w:ilvl="4">
      <w:start w:val="1"/>
      <w:numFmt w:val="lowerLetter"/>
      <w:lvlText w:val="%5)"/>
      <w:lvlJc w:val="left"/>
      <w:pPr>
        <w:tabs>
          <w:tab w:val="left" w:pos="2310"/>
        </w:tabs>
        <w:ind w:left="2310" w:hanging="420"/>
      </w:pPr>
      <w:rPr>
        <w:rFonts w:cs="Times New Roman"/>
      </w:rPr>
    </w:lvl>
    <w:lvl w:ilvl="5">
      <w:start w:val="1"/>
      <w:numFmt w:val="lowerRoman"/>
      <w:lvlText w:val="%6."/>
      <w:lvlJc w:val="right"/>
      <w:pPr>
        <w:tabs>
          <w:tab w:val="left" w:pos="2730"/>
        </w:tabs>
        <w:ind w:left="2730" w:hanging="420"/>
      </w:pPr>
      <w:rPr>
        <w:rFonts w:cs="Times New Roman"/>
      </w:rPr>
    </w:lvl>
    <w:lvl w:ilvl="6">
      <w:start w:val="1"/>
      <w:numFmt w:val="decimal"/>
      <w:lvlText w:val="%7."/>
      <w:lvlJc w:val="left"/>
      <w:pPr>
        <w:tabs>
          <w:tab w:val="left" w:pos="3150"/>
        </w:tabs>
        <w:ind w:left="3150" w:hanging="420"/>
      </w:pPr>
      <w:rPr>
        <w:rFonts w:cs="Times New Roman"/>
      </w:rPr>
    </w:lvl>
    <w:lvl w:ilvl="7">
      <w:start w:val="1"/>
      <w:numFmt w:val="lowerLetter"/>
      <w:lvlText w:val="%8)"/>
      <w:lvlJc w:val="left"/>
      <w:pPr>
        <w:tabs>
          <w:tab w:val="left" w:pos="3570"/>
        </w:tabs>
        <w:ind w:left="3570" w:hanging="420"/>
      </w:pPr>
      <w:rPr>
        <w:rFonts w:cs="Times New Roman"/>
      </w:rPr>
    </w:lvl>
    <w:lvl w:ilvl="8">
      <w:start w:val="1"/>
      <w:numFmt w:val="lowerRoman"/>
      <w:lvlText w:val="%9."/>
      <w:lvlJc w:val="right"/>
      <w:pPr>
        <w:tabs>
          <w:tab w:val="left" w:pos="3990"/>
        </w:tabs>
        <w:ind w:left="3990" w:hanging="420"/>
      </w:pPr>
      <w:rPr>
        <w:rFonts w:cs="Times New Roman"/>
      </w:rPr>
    </w:lvl>
  </w:abstractNum>
  <w:abstractNum w:abstractNumId="517">
    <w:nsid w:val="6E447EBC"/>
    <w:multiLevelType w:val="multilevel"/>
    <w:tmpl w:val="6E447EBC"/>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18">
    <w:nsid w:val="6EB60102"/>
    <w:multiLevelType w:val="multilevel"/>
    <w:tmpl w:val="6EB60102"/>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19">
    <w:nsid w:val="6F7B7E6E"/>
    <w:multiLevelType w:val="multilevel"/>
    <w:tmpl w:val="6F7B7E6E"/>
    <w:lvl w:ilvl="0">
      <w:start w:val="3"/>
      <w:numFmt w:val="japaneseCounting"/>
      <w:lvlText w:val="第%1章"/>
      <w:lvlJc w:val="left"/>
      <w:pPr>
        <w:tabs>
          <w:tab w:val="left" w:pos="840"/>
        </w:tabs>
        <w:ind w:left="840" w:hanging="840"/>
      </w:pPr>
      <w:rPr>
        <w:rFonts w:cs="Times New Roman" w:hint="default"/>
      </w:rPr>
    </w:lvl>
    <w:lvl w:ilvl="1">
      <w:start w:val="1"/>
      <w:numFmt w:val="japaneseCounting"/>
      <w:lvlText w:val="第%2节"/>
      <w:lvlJc w:val="left"/>
      <w:pPr>
        <w:tabs>
          <w:tab w:val="left" w:pos="1140"/>
        </w:tabs>
        <w:ind w:left="1140" w:hanging="720"/>
      </w:pPr>
      <w:rPr>
        <w:rFonts w:cs="Times New Roman" w:hint="default"/>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20">
    <w:nsid w:val="6FFC5696"/>
    <w:multiLevelType w:val="multilevel"/>
    <w:tmpl w:val="6FFC5696"/>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21">
    <w:nsid w:val="701806EC"/>
    <w:multiLevelType w:val="multilevel"/>
    <w:tmpl w:val="701806EC"/>
    <w:lvl w:ilvl="0">
      <w:start w:val="1"/>
      <w:numFmt w:val="decimal"/>
      <w:lvlText w:val="%1."/>
      <w:lvlJc w:val="left"/>
      <w:pPr>
        <w:tabs>
          <w:tab w:val="left" w:pos="1860"/>
        </w:tabs>
        <w:ind w:left="1860" w:hanging="420"/>
      </w:pPr>
      <w:rPr>
        <w:rFonts w:cs="Times New Roman"/>
      </w:rPr>
    </w:lvl>
    <w:lvl w:ilvl="1">
      <w:start w:val="1"/>
      <w:numFmt w:val="lowerLetter"/>
      <w:lvlText w:val="%2)"/>
      <w:lvlJc w:val="left"/>
      <w:pPr>
        <w:tabs>
          <w:tab w:val="left" w:pos="2280"/>
        </w:tabs>
        <w:ind w:left="2280" w:hanging="420"/>
      </w:pPr>
      <w:rPr>
        <w:rFonts w:cs="Times New Roman"/>
      </w:rPr>
    </w:lvl>
    <w:lvl w:ilvl="2">
      <w:start w:val="1"/>
      <w:numFmt w:val="lowerRoman"/>
      <w:lvlText w:val="%3."/>
      <w:lvlJc w:val="right"/>
      <w:pPr>
        <w:tabs>
          <w:tab w:val="left" w:pos="2700"/>
        </w:tabs>
        <w:ind w:left="2700" w:hanging="420"/>
      </w:pPr>
      <w:rPr>
        <w:rFonts w:cs="Times New Roman"/>
      </w:rPr>
    </w:lvl>
    <w:lvl w:ilvl="3">
      <w:start w:val="1"/>
      <w:numFmt w:val="decimal"/>
      <w:lvlText w:val="%4."/>
      <w:lvlJc w:val="left"/>
      <w:pPr>
        <w:tabs>
          <w:tab w:val="left" w:pos="3120"/>
        </w:tabs>
        <w:ind w:left="3120" w:hanging="420"/>
      </w:pPr>
      <w:rPr>
        <w:rFonts w:cs="Times New Roman"/>
      </w:rPr>
    </w:lvl>
    <w:lvl w:ilvl="4">
      <w:start w:val="1"/>
      <w:numFmt w:val="lowerLetter"/>
      <w:lvlText w:val="%5)"/>
      <w:lvlJc w:val="left"/>
      <w:pPr>
        <w:tabs>
          <w:tab w:val="left" w:pos="3540"/>
        </w:tabs>
        <w:ind w:left="3540" w:hanging="420"/>
      </w:pPr>
      <w:rPr>
        <w:rFonts w:cs="Times New Roman"/>
      </w:rPr>
    </w:lvl>
    <w:lvl w:ilvl="5">
      <w:start w:val="1"/>
      <w:numFmt w:val="lowerRoman"/>
      <w:lvlText w:val="%6."/>
      <w:lvlJc w:val="right"/>
      <w:pPr>
        <w:tabs>
          <w:tab w:val="left" w:pos="3960"/>
        </w:tabs>
        <w:ind w:left="3960" w:hanging="420"/>
      </w:pPr>
      <w:rPr>
        <w:rFonts w:cs="Times New Roman"/>
      </w:rPr>
    </w:lvl>
    <w:lvl w:ilvl="6">
      <w:start w:val="1"/>
      <w:numFmt w:val="decimal"/>
      <w:lvlText w:val="%7."/>
      <w:lvlJc w:val="left"/>
      <w:pPr>
        <w:tabs>
          <w:tab w:val="left" w:pos="4380"/>
        </w:tabs>
        <w:ind w:left="4380" w:hanging="420"/>
      </w:pPr>
      <w:rPr>
        <w:rFonts w:cs="Times New Roman"/>
      </w:rPr>
    </w:lvl>
    <w:lvl w:ilvl="7">
      <w:start w:val="1"/>
      <w:numFmt w:val="lowerLetter"/>
      <w:lvlText w:val="%8)"/>
      <w:lvlJc w:val="left"/>
      <w:pPr>
        <w:tabs>
          <w:tab w:val="left" w:pos="4800"/>
        </w:tabs>
        <w:ind w:left="4800" w:hanging="420"/>
      </w:pPr>
      <w:rPr>
        <w:rFonts w:cs="Times New Roman"/>
      </w:rPr>
    </w:lvl>
    <w:lvl w:ilvl="8">
      <w:start w:val="1"/>
      <w:numFmt w:val="lowerRoman"/>
      <w:lvlText w:val="%9."/>
      <w:lvlJc w:val="right"/>
      <w:pPr>
        <w:tabs>
          <w:tab w:val="left" w:pos="5220"/>
        </w:tabs>
        <w:ind w:left="5220" w:hanging="420"/>
      </w:pPr>
      <w:rPr>
        <w:rFonts w:cs="Times New Roman"/>
      </w:rPr>
    </w:lvl>
  </w:abstractNum>
  <w:abstractNum w:abstractNumId="522">
    <w:nsid w:val="70286FBE"/>
    <w:multiLevelType w:val="multilevel"/>
    <w:tmpl w:val="70286FBE"/>
    <w:lvl w:ilvl="0">
      <w:start w:val="1"/>
      <w:numFmt w:val="decimal"/>
      <w:lvlText w:val="%1、"/>
      <w:lvlJc w:val="left"/>
      <w:pPr>
        <w:tabs>
          <w:tab w:val="left" w:pos="840"/>
        </w:tabs>
        <w:ind w:left="840" w:hanging="360"/>
      </w:pPr>
      <w:rPr>
        <w:rFonts w:cs="Times New Roman" w:hint="default"/>
      </w:rPr>
    </w:lvl>
    <w:lvl w:ilvl="1">
      <w:start w:val="1"/>
      <w:numFmt w:val="lowerLetter"/>
      <w:lvlText w:val="%2)"/>
      <w:lvlJc w:val="left"/>
      <w:pPr>
        <w:tabs>
          <w:tab w:val="left" w:pos="1320"/>
        </w:tabs>
        <w:ind w:left="1320" w:hanging="420"/>
      </w:pPr>
      <w:rPr>
        <w:rFonts w:cs="Times New Roman"/>
      </w:rPr>
    </w:lvl>
    <w:lvl w:ilvl="2">
      <w:start w:val="1"/>
      <w:numFmt w:val="lowerRoman"/>
      <w:lvlText w:val="%3."/>
      <w:lvlJc w:val="right"/>
      <w:pPr>
        <w:tabs>
          <w:tab w:val="left" w:pos="1740"/>
        </w:tabs>
        <w:ind w:left="1740" w:hanging="420"/>
      </w:pPr>
      <w:rPr>
        <w:rFonts w:cs="Times New Roman"/>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523">
    <w:nsid w:val="703C6C30"/>
    <w:multiLevelType w:val="multilevel"/>
    <w:tmpl w:val="703C6C30"/>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24">
    <w:nsid w:val="709F4F12"/>
    <w:multiLevelType w:val="multilevel"/>
    <w:tmpl w:val="709F4F12"/>
    <w:lvl w:ilvl="0">
      <w:start w:val="1"/>
      <w:numFmt w:val="japaneseCounting"/>
      <w:lvlText w:val="第%1节"/>
      <w:lvlJc w:val="left"/>
      <w:pPr>
        <w:ind w:left="1065" w:hanging="106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25">
    <w:nsid w:val="72E51CC9"/>
    <w:multiLevelType w:val="multilevel"/>
    <w:tmpl w:val="72E51CC9"/>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26">
    <w:nsid w:val="73537581"/>
    <w:multiLevelType w:val="multilevel"/>
    <w:tmpl w:val="73537581"/>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27">
    <w:nsid w:val="73722685"/>
    <w:multiLevelType w:val="multilevel"/>
    <w:tmpl w:val="73722685"/>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528">
    <w:nsid w:val="73D03FC4"/>
    <w:multiLevelType w:val="multilevel"/>
    <w:tmpl w:val="73D03FC4"/>
    <w:lvl w:ilvl="0">
      <w:start w:val="1"/>
      <w:numFmt w:val="decimal"/>
      <w:lvlText w:val="%1."/>
      <w:lvlJc w:val="left"/>
      <w:pPr>
        <w:tabs>
          <w:tab w:val="left" w:pos="0"/>
        </w:tabs>
        <w:ind w:left="1200" w:hanging="360"/>
      </w:pPr>
      <w:rPr>
        <w:rFonts w:cs="Times New Roman" w:hint="default"/>
      </w:rPr>
    </w:lvl>
    <w:lvl w:ilvl="1">
      <w:start w:val="1"/>
      <w:numFmt w:val="lowerLetter"/>
      <w:lvlText w:val="%2)"/>
      <w:lvlJc w:val="left"/>
      <w:pPr>
        <w:tabs>
          <w:tab w:val="left" w:pos="0"/>
        </w:tabs>
        <w:ind w:left="1680" w:hanging="420"/>
      </w:pPr>
      <w:rPr>
        <w:rFonts w:cs="Times New Roman"/>
      </w:rPr>
    </w:lvl>
    <w:lvl w:ilvl="2">
      <w:start w:val="1"/>
      <w:numFmt w:val="lowerRoman"/>
      <w:lvlText w:val="%3."/>
      <w:lvlJc w:val="right"/>
      <w:pPr>
        <w:tabs>
          <w:tab w:val="left" w:pos="0"/>
        </w:tabs>
        <w:ind w:left="2100" w:hanging="420"/>
      </w:pPr>
      <w:rPr>
        <w:rFonts w:cs="Times New Roman"/>
      </w:rPr>
    </w:lvl>
    <w:lvl w:ilvl="3">
      <w:start w:val="1"/>
      <w:numFmt w:val="decimal"/>
      <w:lvlText w:val="%4."/>
      <w:lvlJc w:val="left"/>
      <w:pPr>
        <w:tabs>
          <w:tab w:val="left" w:pos="0"/>
        </w:tabs>
        <w:ind w:left="2520" w:hanging="420"/>
      </w:pPr>
      <w:rPr>
        <w:rFonts w:cs="Times New Roman"/>
      </w:rPr>
    </w:lvl>
    <w:lvl w:ilvl="4">
      <w:start w:val="1"/>
      <w:numFmt w:val="lowerLetter"/>
      <w:lvlText w:val="%5)"/>
      <w:lvlJc w:val="left"/>
      <w:pPr>
        <w:tabs>
          <w:tab w:val="left" w:pos="0"/>
        </w:tabs>
        <w:ind w:left="2940" w:hanging="420"/>
      </w:pPr>
      <w:rPr>
        <w:rFonts w:cs="Times New Roman"/>
      </w:rPr>
    </w:lvl>
    <w:lvl w:ilvl="5">
      <w:start w:val="1"/>
      <w:numFmt w:val="lowerRoman"/>
      <w:lvlText w:val="%6."/>
      <w:lvlJc w:val="right"/>
      <w:pPr>
        <w:tabs>
          <w:tab w:val="left" w:pos="0"/>
        </w:tabs>
        <w:ind w:left="3360" w:hanging="420"/>
      </w:pPr>
      <w:rPr>
        <w:rFonts w:cs="Times New Roman"/>
      </w:rPr>
    </w:lvl>
    <w:lvl w:ilvl="6">
      <w:start w:val="1"/>
      <w:numFmt w:val="decimal"/>
      <w:lvlText w:val="%7."/>
      <w:lvlJc w:val="left"/>
      <w:pPr>
        <w:tabs>
          <w:tab w:val="left" w:pos="0"/>
        </w:tabs>
        <w:ind w:left="3780" w:hanging="420"/>
      </w:pPr>
      <w:rPr>
        <w:rFonts w:cs="Times New Roman"/>
      </w:rPr>
    </w:lvl>
    <w:lvl w:ilvl="7">
      <w:start w:val="1"/>
      <w:numFmt w:val="lowerLetter"/>
      <w:lvlText w:val="%8)"/>
      <w:lvlJc w:val="left"/>
      <w:pPr>
        <w:tabs>
          <w:tab w:val="left" w:pos="0"/>
        </w:tabs>
        <w:ind w:left="4200" w:hanging="420"/>
      </w:pPr>
      <w:rPr>
        <w:rFonts w:cs="Times New Roman"/>
      </w:rPr>
    </w:lvl>
    <w:lvl w:ilvl="8">
      <w:start w:val="1"/>
      <w:numFmt w:val="lowerRoman"/>
      <w:lvlText w:val="%9."/>
      <w:lvlJc w:val="right"/>
      <w:pPr>
        <w:tabs>
          <w:tab w:val="left" w:pos="0"/>
        </w:tabs>
        <w:ind w:left="4620" w:hanging="420"/>
      </w:pPr>
      <w:rPr>
        <w:rFonts w:cs="Times New Roman"/>
      </w:rPr>
    </w:lvl>
  </w:abstractNum>
  <w:abstractNum w:abstractNumId="529">
    <w:nsid w:val="742345C7"/>
    <w:multiLevelType w:val="multilevel"/>
    <w:tmpl w:val="742345C7"/>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0">
    <w:nsid w:val="744253F9"/>
    <w:multiLevelType w:val="multilevel"/>
    <w:tmpl w:val="744253F9"/>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531">
    <w:nsid w:val="74454120"/>
    <w:multiLevelType w:val="multilevel"/>
    <w:tmpl w:val="74454120"/>
    <w:lvl w:ilvl="0">
      <w:start w:val="1"/>
      <w:numFmt w:val="decimal"/>
      <w:lvlText w:val="%1．"/>
      <w:lvlJc w:val="left"/>
      <w:pPr>
        <w:ind w:left="360" w:hanging="36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32">
    <w:nsid w:val="74676B0E"/>
    <w:multiLevelType w:val="multilevel"/>
    <w:tmpl w:val="74676B0E"/>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33">
    <w:nsid w:val="746E009D"/>
    <w:multiLevelType w:val="multilevel"/>
    <w:tmpl w:val="746E009D"/>
    <w:lvl w:ilvl="0">
      <w:start w:val="3"/>
      <w:numFmt w:val="japaneseCounting"/>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4">
    <w:nsid w:val="74873B7B"/>
    <w:multiLevelType w:val="multilevel"/>
    <w:tmpl w:val="74873B7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5">
    <w:nsid w:val="74DD19C0"/>
    <w:multiLevelType w:val="multilevel"/>
    <w:tmpl w:val="74DD19C0"/>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6">
    <w:nsid w:val="74F101A8"/>
    <w:multiLevelType w:val="multilevel"/>
    <w:tmpl w:val="74F101A8"/>
    <w:lvl w:ilvl="0">
      <w:start w:val="1"/>
      <w:numFmt w:val="decimal"/>
      <w:lvlText w:val="%1."/>
      <w:lvlJc w:val="left"/>
      <w:pPr>
        <w:ind w:left="114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7">
    <w:nsid w:val="75AD4D59"/>
    <w:multiLevelType w:val="multilevel"/>
    <w:tmpl w:val="75AD4D59"/>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38">
    <w:nsid w:val="75B14F8E"/>
    <w:multiLevelType w:val="multilevel"/>
    <w:tmpl w:val="75B14F8E"/>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39">
    <w:nsid w:val="76A14C4B"/>
    <w:multiLevelType w:val="multilevel"/>
    <w:tmpl w:val="76A14C4B"/>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0">
    <w:nsid w:val="76B30859"/>
    <w:multiLevelType w:val="multilevel"/>
    <w:tmpl w:val="76B30859"/>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1">
    <w:nsid w:val="77217693"/>
    <w:multiLevelType w:val="multilevel"/>
    <w:tmpl w:val="77217693"/>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2">
    <w:nsid w:val="77413DD3"/>
    <w:multiLevelType w:val="multilevel"/>
    <w:tmpl w:val="5FC80760"/>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3">
    <w:nsid w:val="77C16D07"/>
    <w:multiLevelType w:val="multilevel"/>
    <w:tmpl w:val="77C16D07"/>
    <w:lvl w:ilvl="0">
      <w:start w:val="1"/>
      <w:numFmt w:val="japaneseCounting"/>
      <w:lvlText w:val="第%1节"/>
      <w:lvlJc w:val="left"/>
      <w:pPr>
        <w:tabs>
          <w:tab w:val="left" w:pos="990"/>
        </w:tabs>
        <w:ind w:left="990" w:hanging="99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4">
    <w:nsid w:val="77E718A5"/>
    <w:multiLevelType w:val="multilevel"/>
    <w:tmpl w:val="77E718A5"/>
    <w:lvl w:ilvl="0">
      <w:start w:val="1"/>
      <w:numFmt w:val="decimal"/>
      <w:lvlText w:val="%1."/>
      <w:lvlJc w:val="left"/>
      <w:pPr>
        <w:tabs>
          <w:tab w:val="left" w:pos="1060"/>
        </w:tabs>
        <w:ind w:left="1060" w:hanging="420"/>
      </w:pPr>
      <w:rPr>
        <w:rFonts w:cs="Times New Roman"/>
      </w:rPr>
    </w:lvl>
    <w:lvl w:ilvl="1">
      <w:start w:val="1"/>
      <w:numFmt w:val="lowerLetter"/>
      <w:lvlText w:val="%2)"/>
      <w:lvlJc w:val="left"/>
      <w:pPr>
        <w:tabs>
          <w:tab w:val="left" w:pos="1480"/>
        </w:tabs>
        <w:ind w:left="1480" w:hanging="420"/>
      </w:pPr>
      <w:rPr>
        <w:rFonts w:cs="Times New Roman"/>
      </w:rPr>
    </w:lvl>
    <w:lvl w:ilvl="2">
      <w:start w:val="1"/>
      <w:numFmt w:val="lowerRoman"/>
      <w:lvlText w:val="%3."/>
      <w:lvlJc w:val="right"/>
      <w:pPr>
        <w:tabs>
          <w:tab w:val="left" w:pos="1900"/>
        </w:tabs>
        <w:ind w:left="1900" w:hanging="420"/>
      </w:pPr>
      <w:rPr>
        <w:rFonts w:cs="Times New Roman"/>
      </w:rPr>
    </w:lvl>
    <w:lvl w:ilvl="3">
      <w:start w:val="1"/>
      <w:numFmt w:val="decimal"/>
      <w:lvlText w:val="%4."/>
      <w:lvlJc w:val="left"/>
      <w:pPr>
        <w:tabs>
          <w:tab w:val="left" w:pos="2320"/>
        </w:tabs>
        <w:ind w:left="2320" w:hanging="420"/>
      </w:pPr>
      <w:rPr>
        <w:rFonts w:cs="Times New Roman"/>
      </w:rPr>
    </w:lvl>
    <w:lvl w:ilvl="4">
      <w:start w:val="1"/>
      <w:numFmt w:val="lowerLetter"/>
      <w:lvlText w:val="%5)"/>
      <w:lvlJc w:val="left"/>
      <w:pPr>
        <w:tabs>
          <w:tab w:val="left" w:pos="2740"/>
        </w:tabs>
        <w:ind w:left="2740" w:hanging="420"/>
      </w:pPr>
      <w:rPr>
        <w:rFonts w:cs="Times New Roman"/>
      </w:rPr>
    </w:lvl>
    <w:lvl w:ilvl="5">
      <w:start w:val="1"/>
      <w:numFmt w:val="lowerRoman"/>
      <w:lvlText w:val="%6."/>
      <w:lvlJc w:val="right"/>
      <w:pPr>
        <w:tabs>
          <w:tab w:val="left" w:pos="3160"/>
        </w:tabs>
        <w:ind w:left="3160" w:hanging="420"/>
      </w:pPr>
      <w:rPr>
        <w:rFonts w:cs="Times New Roman"/>
      </w:rPr>
    </w:lvl>
    <w:lvl w:ilvl="6">
      <w:start w:val="1"/>
      <w:numFmt w:val="decimal"/>
      <w:lvlText w:val="%7."/>
      <w:lvlJc w:val="left"/>
      <w:pPr>
        <w:tabs>
          <w:tab w:val="left" w:pos="3580"/>
        </w:tabs>
        <w:ind w:left="3580" w:hanging="420"/>
      </w:pPr>
      <w:rPr>
        <w:rFonts w:cs="Times New Roman"/>
      </w:rPr>
    </w:lvl>
    <w:lvl w:ilvl="7">
      <w:start w:val="1"/>
      <w:numFmt w:val="lowerLetter"/>
      <w:lvlText w:val="%8)"/>
      <w:lvlJc w:val="left"/>
      <w:pPr>
        <w:tabs>
          <w:tab w:val="left" w:pos="4000"/>
        </w:tabs>
        <w:ind w:left="4000" w:hanging="420"/>
      </w:pPr>
      <w:rPr>
        <w:rFonts w:cs="Times New Roman"/>
      </w:rPr>
    </w:lvl>
    <w:lvl w:ilvl="8">
      <w:start w:val="1"/>
      <w:numFmt w:val="lowerRoman"/>
      <w:lvlText w:val="%9."/>
      <w:lvlJc w:val="right"/>
      <w:pPr>
        <w:tabs>
          <w:tab w:val="left" w:pos="4420"/>
        </w:tabs>
        <w:ind w:left="4420" w:hanging="420"/>
      </w:pPr>
      <w:rPr>
        <w:rFonts w:cs="Times New Roman"/>
      </w:rPr>
    </w:lvl>
  </w:abstractNum>
  <w:abstractNum w:abstractNumId="545">
    <w:nsid w:val="782731B2"/>
    <w:multiLevelType w:val="multilevel"/>
    <w:tmpl w:val="782731B2"/>
    <w:lvl w:ilvl="0">
      <w:start w:val="12"/>
      <w:numFmt w:val="decimal"/>
      <w:lvlText w:val="%1、"/>
      <w:lvlJc w:val="left"/>
      <w:pPr>
        <w:tabs>
          <w:tab w:val="left" w:pos="420"/>
        </w:tabs>
        <w:ind w:left="420" w:hanging="4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6">
    <w:nsid w:val="783F63EC"/>
    <w:multiLevelType w:val="multilevel"/>
    <w:tmpl w:val="783F63EC"/>
    <w:lvl w:ilvl="0">
      <w:start w:val="1"/>
      <w:numFmt w:val="decimal"/>
      <w:lvlText w:val="%1."/>
      <w:lvlJc w:val="left"/>
      <w:pPr>
        <w:tabs>
          <w:tab w:val="left" w:pos="1060"/>
        </w:tabs>
        <w:ind w:left="106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47">
    <w:nsid w:val="78510AFC"/>
    <w:multiLevelType w:val="multilevel"/>
    <w:tmpl w:val="78510AFC"/>
    <w:lvl w:ilvl="0">
      <w:start w:val="1"/>
      <w:numFmt w:val="decimal"/>
      <w:lvlText w:val="%1."/>
      <w:lvlJc w:val="left"/>
      <w:pPr>
        <w:tabs>
          <w:tab w:val="left" w:pos="1630"/>
        </w:tabs>
        <w:ind w:left="1630" w:hanging="420"/>
      </w:pPr>
      <w:rPr>
        <w:rFonts w:cs="Times New Roman"/>
        <w:b w:val="0"/>
      </w:rPr>
    </w:lvl>
    <w:lvl w:ilvl="1">
      <w:start w:val="1"/>
      <w:numFmt w:val="lowerLetter"/>
      <w:lvlText w:val="%2)"/>
      <w:lvlJc w:val="left"/>
      <w:pPr>
        <w:tabs>
          <w:tab w:val="left" w:pos="970"/>
        </w:tabs>
        <w:ind w:left="970" w:hanging="420"/>
      </w:pPr>
      <w:rPr>
        <w:rFonts w:cs="Times New Roman"/>
      </w:rPr>
    </w:lvl>
    <w:lvl w:ilvl="2">
      <w:start w:val="1"/>
      <w:numFmt w:val="lowerRoman"/>
      <w:lvlText w:val="%3."/>
      <w:lvlJc w:val="right"/>
      <w:pPr>
        <w:tabs>
          <w:tab w:val="left" w:pos="1390"/>
        </w:tabs>
        <w:ind w:left="1390" w:hanging="420"/>
      </w:pPr>
      <w:rPr>
        <w:rFonts w:cs="Times New Roman"/>
      </w:rPr>
    </w:lvl>
    <w:lvl w:ilvl="3">
      <w:start w:val="1"/>
      <w:numFmt w:val="decimal"/>
      <w:lvlText w:val="%4."/>
      <w:lvlJc w:val="left"/>
      <w:pPr>
        <w:tabs>
          <w:tab w:val="left" w:pos="1810"/>
        </w:tabs>
        <w:ind w:left="1810" w:hanging="420"/>
      </w:pPr>
      <w:rPr>
        <w:rFonts w:cs="Times New Roman"/>
      </w:rPr>
    </w:lvl>
    <w:lvl w:ilvl="4">
      <w:start w:val="1"/>
      <w:numFmt w:val="lowerLetter"/>
      <w:lvlText w:val="%5)"/>
      <w:lvlJc w:val="left"/>
      <w:pPr>
        <w:tabs>
          <w:tab w:val="left" w:pos="2230"/>
        </w:tabs>
        <w:ind w:left="2230" w:hanging="420"/>
      </w:pPr>
      <w:rPr>
        <w:rFonts w:cs="Times New Roman"/>
      </w:rPr>
    </w:lvl>
    <w:lvl w:ilvl="5">
      <w:start w:val="1"/>
      <w:numFmt w:val="lowerRoman"/>
      <w:lvlText w:val="%6."/>
      <w:lvlJc w:val="right"/>
      <w:pPr>
        <w:tabs>
          <w:tab w:val="left" w:pos="2650"/>
        </w:tabs>
        <w:ind w:left="2650" w:hanging="420"/>
      </w:pPr>
      <w:rPr>
        <w:rFonts w:cs="Times New Roman"/>
      </w:rPr>
    </w:lvl>
    <w:lvl w:ilvl="6">
      <w:start w:val="1"/>
      <w:numFmt w:val="decimal"/>
      <w:lvlText w:val="%7."/>
      <w:lvlJc w:val="left"/>
      <w:pPr>
        <w:tabs>
          <w:tab w:val="left" w:pos="3070"/>
        </w:tabs>
        <w:ind w:left="3070" w:hanging="420"/>
      </w:pPr>
      <w:rPr>
        <w:rFonts w:cs="Times New Roman"/>
      </w:rPr>
    </w:lvl>
    <w:lvl w:ilvl="7">
      <w:start w:val="1"/>
      <w:numFmt w:val="lowerLetter"/>
      <w:lvlText w:val="%8)"/>
      <w:lvlJc w:val="left"/>
      <w:pPr>
        <w:tabs>
          <w:tab w:val="left" w:pos="3490"/>
        </w:tabs>
        <w:ind w:left="3490" w:hanging="420"/>
      </w:pPr>
      <w:rPr>
        <w:rFonts w:cs="Times New Roman"/>
      </w:rPr>
    </w:lvl>
    <w:lvl w:ilvl="8">
      <w:start w:val="1"/>
      <w:numFmt w:val="lowerRoman"/>
      <w:lvlText w:val="%9."/>
      <w:lvlJc w:val="right"/>
      <w:pPr>
        <w:tabs>
          <w:tab w:val="left" w:pos="3910"/>
        </w:tabs>
        <w:ind w:left="3910" w:hanging="420"/>
      </w:pPr>
      <w:rPr>
        <w:rFonts w:cs="Times New Roman"/>
      </w:rPr>
    </w:lvl>
  </w:abstractNum>
  <w:abstractNum w:abstractNumId="548">
    <w:nsid w:val="78C20A0E"/>
    <w:multiLevelType w:val="multilevel"/>
    <w:tmpl w:val="78C20A0E"/>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49">
    <w:nsid w:val="78C32549"/>
    <w:multiLevelType w:val="multilevel"/>
    <w:tmpl w:val="78C32549"/>
    <w:lvl w:ilvl="0">
      <w:start w:val="1"/>
      <w:numFmt w:val="decimal"/>
      <w:lvlText w:val="%1."/>
      <w:lvlJc w:val="left"/>
      <w:pPr>
        <w:ind w:left="1129" w:hanging="420"/>
      </w:pPr>
      <w:rPr>
        <w:rFonts w:cs="Times New Roman"/>
      </w:rPr>
    </w:lvl>
    <w:lvl w:ilvl="1">
      <w:start w:val="1"/>
      <w:numFmt w:val="lowerLetter"/>
      <w:lvlText w:val="%2)"/>
      <w:lvlJc w:val="left"/>
      <w:pPr>
        <w:ind w:left="703" w:hanging="420"/>
      </w:pPr>
      <w:rPr>
        <w:rFonts w:cs="Times New Roman"/>
      </w:rPr>
    </w:lvl>
    <w:lvl w:ilvl="2">
      <w:start w:val="1"/>
      <w:numFmt w:val="lowerRoman"/>
      <w:lvlText w:val="%3."/>
      <w:lvlJc w:val="right"/>
      <w:pPr>
        <w:ind w:left="1123" w:hanging="420"/>
      </w:pPr>
      <w:rPr>
        <w:rFonts w:cs="Times New Roman"/>
      </w:rPr>
    </w:lvl>
    <w:lvl w:ilvl="3">
      <w:start w:val="1"/>
      <w:numFmt w:val="decimal"/>
      <w:lvlText w:val="%4."/>
      <w:lvlJc w:val="left"/>
      <w:pPr>
        <w:ind w:left="1543" w:hanging="420"/>
      </w:pPr>
      <w:rPr>
        <w:rFonts w:cs="Times New Roman"/>
      </w:rPr>
    </w:lvl>
    <w:lvl w:ilvl="4">
      <w:start w:val="1"/>
      <w:numFmt w:val="lowerLetter"/>
      <w:lvlText w:val="%5)"/>
      <w:lvlJc w:val="left"/>
      <w:pPr>
        <w:ind w:left="1963" w:hanging="420"/>
      </w:pPr>
      <w:rPr>
        <w:rFonts w:cs="Times New Roman"/>
      </w:rPr>
    </w:lvl>
    <w:lvl w:ilvl="5">
      <w:start w:val="1"/>
      <w:numFmt w:val="lowerRoman"/>
      <w:lvlText w:val="%6."/>
      <w:lvlJc w:val="right"/>
      <w:pPr>
        <w:ind w:left="2383" w:hanging="420"/>
      </w:pPr>
      <w:rPr>
        <w:rFonts w:cs="Times New Roman"/>
      </w:rPr>
    </w:lvl>
    <w:lvl w:ilvl="6">
      <w:start w:val="1"/>
      <w:numFmt w:val="decimal"/>
      <w:lvlText w:val="%7."/>
      <w:lvlJc w:val="left"/>
      <w:pPr>
        <w:ind w:left="2803" w:hanging="420"/>
      </w:pPr>
      <w:rPr>
        <w:rFonts w:cs="Times New Roman"/>
      </w:rPr>
    </w:lvl>
    <w:lvl w:ilvl="7">
      <w:start w:val="1"/>
      <w:numFmt w:val="lowerLetter"/>
      <w:lvlText w:val="%8)"/>
      <w:lvlJc w:val="left"/>
      <w:pPr>
        <w:ind w:left="3223" w:hanging="420"/>
      </w:pPr>
      <w:rPr>
        <w:rFonts w:cs="Times New Roman"/>
      </w:rPr>
    </w:lvl>
    <w:lvl w:ilvl="8">
      <w:start w:val="1"/>
      <w:numFmt w:val="lowerRoman"/>
      <w:lvlText w:val="%9."/>
      <w:lvlJc w:val="right"/>
      <w:pPr>
        <w:ind w:left="3643" w:hanging="420"/>
      </w:pPr>
      <w:rPr>
        <w:rFonts w:cs="Times New Roman"/>
      </w:rPr>
    </w:lvl>
  </w:abstractNum>
  <w:abstractNum w:abstractNumId="550">
    <w:nsid w:val="79063B6D"/>
    <w:multiLevelType w:val="multilevel"/>
    <w:tmpl w:val="79063B6D"/>
    <w:lvl w:ilvl="0">
      <w:start w:val="2"/>
      <w:numFmt w:val="decimal"/>
      <w:lvlText w:val="%1."/>
      <w:lvlJc w:val="left"/>
      <w:pPr>
        <w:tabs>
          <w:tab w:val="left" w:pos="1129"/>
        </w:tabs>
        <w:ind w:left="1129"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51">
    <w:nsid w:val="79B86ABA"/>
    <w:multiLevelType w:val="multilevel"/>
    <w:tmpl w:val="79B86ABA"/>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52">
    <w:nsid w:val="79EE7674"/>
    <w:multiLevelType w:val="multilevel"/>
    <w:tmpl w:val="79EE7674"/>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53">
    <w:nsid w:val="7AFC5A0B"/>
    <w:multiLevelType w:val="multilevel"/>
    <w:tmpl w:val="7AFC5A0B"/>
    <w:lvl w:ilvl="0">
      <w:start w:val="1"/>
      <w:numFmt w:val="decimal"/>
      <w:lvlText w:val="%1."/>
      <w:lvlJc w:val="left"/>
      <w:pPr>
        <w:tabs>
          <w:tab w:val="left" w:pos="1129"/>
        </w:tabs>
        <w:ind w:left="1129" w:hanging="420"/>
      </w:pPr>
      <w:rPr>
        <w:rFonts w:cs="Times New Roman" w:hint="eastAsia"/>
      </w:rPr>
    </w:lvl>
    <w:lvl w:ilvl="1">
      <w:start w:val="1"/>
      <w:numFmt w:val="lowerLetter"/>
      <w:lvlText w:val="%2)"/>
      <w:lvlJc w:val="left"/>
      <w:pPr>
        <w:tabs>
          <w:tab w:val="left" w:pos="1549"/>
        </w:tabs>
        <w:ind w:left="1549" w:hanging="420"/>
      </w:pPr>
      <w:rPr>
        <w:rFonts w:cs="Times New Roman"/>
      </w:rPr>
    </w:lvl>
    <w:lvl w:ilvl="2">
      <w:start w:val="1"/>
      <w:numFmt w:val="lowerRoman"/>
      <w:lvlText w:val="%3."/>
      <w:lvlJc w:val="right"/>
      <w:pPr>
        <w:tabs>
          <w:tab w:val="left" w:pos="1969"/>
        </w:tabs>
        <w:ind w:left="1969" w:hanging="420"/>
      </w:pPr>
      <w:rPr>
        <w:rFonts w:cs="Times New Roman"/>
      </w:rPr>
    </w:lvl>
    <w:lvl w:ilvl="3">
      <w:start w:val="1"/>
      <w:numFmt w:val="decimal"/>
      <w:lvlText w:val="%4."/>
      <w:lvlJc w:val="left"/>
      <w:pPr>
        <w:tabs>
          <w:tab w:val="left" w:pos="2389"/>
        </w:tabs>
        <w:ind w:left="2389" w:hanging="420"/>
      </w:pPr>
      <w:rPr>
        <w:rFonts w:cs="Times New Roman"/>
      </w:rPr>
    </w:lvl>
    <w:lvl w:ilvl="4">
      <w:start w:val="1"/>
      <w:numFmt w:val="lowerLetter"/>
      <w:lvlText w:val="%5)"/>
      <w:lvlJc w:val="left"/>
      <w:pPr>
        <w:tabs>
          <w:tab w:val="left" w:pos="2809"/>
        </w:tabs>
        <w:ind w:left="2809" w:hanging="420"/>
      </w:pPr>
      <w:rPr>
        <w:rFonts w:cs="Times New Roman"/>
      </w:rPr>
    </w:lvl>
    <w:lvl w:ilvl="5">
      <w:start w:val="1"/>
      <w:numFmt w:val="lowerRoman"/>
      <w:lvlText w:val="%6."/>
      <w:lvlJc w:val="right"/>
      <w:pPr>
        <w:tabs>
          <w:tab w:val="left" w:pos="3229"/>
        </w:tabs>
        <w:ind w:left="3229" w:hanging="420"/>
      </w:pPr>
      <w:rPr>
        <w:rFonts w:cs="Times New Roman"/>
      </w:rPr>
    </w:lvl>
    <w:lvl w:ilvl="6">
      <w:start w:val="1"/>
      <w:numFmt w:val="decimal"/>
      <w:lvlText w:val="%7."/>
      <w:lvlJc w:val="left"/>
      <w:pPr>
        <w:tabs>
          <w:tab w:val="left" w:pos="3649"/>
        </w:tabs>
        <w:ind w:left="3649" w:hanging="420"/>
      </w:pPr>
      <w:rPr>
        <w:rFonts w:cs="Times New Roman"/>
      </w:rPr>
    </w:lvl>
    <w:lvl w:ilvl="7">
      <w:start w:val="1"/>
      <w:numFmt w:val="lowerLetter"/>
      <w:lvlText w:val="%8)"/>
      <w:lvlJc w:val="left"/>
      <w:pPr>
        <w:tabs>
          <w:tab w:val="left" w:pos="4069"/>
        </w:tabs>
        <w:ind w:left="4069" w:hanging="420"/>
      </w:pPr>
      <w:rPr>
        <w:rFonts w:cs="Times New Roman"/>
      </w:rPr>
    </w:lvl>
    <w:lvl w:ilvl="8">
      <w:start w:val="1"/>
      <w:numFmt w:val="lowerRoman"/>
      <w:lvlText w:val="%9."/>
      <w:lvlJc w:val="right"/>
      <w:pPr>
        <w:tabs>
          <w:tab w:val="left" w:pos="4489"/>
        </w:tabs>
        <w:ind w:left="4489" w:hanging="420"/>
      </w:pPr>
      <w:rPr>
        <w:rFonts w:cs="Times New Roman"/>
      </w:rPr>
    </w:lvl>
  </w:abstractNum>
  <w:abstractNum w:abstractNumId="554">
    <w:nsid w:val="7B512257"/>
    <w:multiLevelType w:val="multilevel"/>
    <w:tmpl w:val="7B512257"/>
    <w:lvl w:ilvl="0">
      <w:start w:val="1"/>
      <w:numFmt w:val="decimal"/>
      <w:lvlText w:val="%1、"/>
      <w:lvlJc w:val="left"/>
      <w:pPr>
        <w:tabs>
          <w:tab w:val="left" w:pos="1260"/>
        </w:tabs>
        <w:ind w:left="1260" w:hanging="360"/>
      </w:pPr>
      <w:rPr>
        <w:rFonts w:cs="Times New Roman" w:hint="default"/>
      </w:rPr>
    </w:lvl>
    <w:lvl w:ilvl="1">
      <w:start w:val="1"/>
      <w:numFmt w:val="lowerLetter"/>
      <w:lvlText w:val="%2)"/>
      <w:lvlJc w:val="left"/>
      <w:pPr>
        <w:tabs>
          <w:tab w:val="left" w:pos="1695"/>
        </w:tabs>
        <w:ind w:left="1695" w:hanging="420"/>
      </w:pPr>
      <w:rPr>
        <w:rFonts w:cs="Times New Roman"/>
      </w:rPr>
    </w:lvl>
    <w:lvl w:ilvl="2">
      <w:start w:val="1"/>
      <w:numFmt w:val="lowerRoman"/>
      <w:lvlText w:val="%3."/>
      <w:lvlJc w:val="right"/>
      <w:pPr>
        <w:tabs>
          <w:tab w:val="left" w:pos="2115"/>
        </w:tabs>
        <w:ind w:left="2115" w:hanging="420"/>
      </w:pPr>
      <w:rPr>
        <w:rFonts w:cs="Times New Roman"/>
      </w:rPr>
    </w:lvl>
    <w:lvl w:ilvl="3">
      <w:start w:val="1"/>
      <w:numFmt w:val="decimal"/>
      <w:lvlText w:val="%4."/>
      <w:lvlJc w:val="left"/>
      <w:pPr>
        <w:tabs>
          <w:tab w:val="left" w:pos="2535"/>
        </w:tabs>
        <w:ind w:left="2535" w:hanging="420"/>
      </w:pPr>
      <w:rPr>
        <w:rFonts w:cs="Times New Roman"/>
      </w:rPr>
    </w:lvl>
    <w:lvl w:ilvl="4">
      <w:start w:val="1"/>
      <w:numFmt w:val="lowerLetter"/>
      <w:lvlText w:val="%5)"/>
      <w:lvlJc w:val="left"/>
      <w:pPr>
        <w:tabs>
          <w:tab w:val="left" w:pos="2955"/>
        </w:tabs>
        <w:ind w:left="2955" w:hanging="420"/>
      </w:pPr>
      <w:rPr>
        <w:rFonts w:cs="Times New Roman"/>
      </w:rPr>
    </w:lvl>
    <w:lvl w:ilvl="5">
      <w:start w:val="1"/>
      <w:numFmt w:val="lowerRoman"/>
      <w:lvlText w:val="%6."/>
      <w:lvlJc w:val="right"/>
      <w:pPr>
        <w:tabs>
          <w:tab w:val="left" w:pos="3375"/>
        </w:tabs>
        <w:ind w:left="3375" w:hanging="420"/>
      </w:pPr>
      <w:rPr>
        <w:rFonts w:cs="Times New Roman"/>
      </w:rPr>
    </w:lvl>
    <w:lvl w:ilvl="6">
      <w:start w:val="1"/>
      <w:numFmt w:val="decimal"/>
      <w:lvlText w:val="%7."/>
      <w:lvlJc w:val="left"/>
      <w:pPr>
        <w:tabs>
          <w:tab w:val="left" w:pos="3795"/>
        </w:tabs>
        <w:ind w:left="3795" w:hanging="420"/>
      </w:pPr>
      <w:rPr>
        <w:rFonts w:cs="Times New Roman"/>
      </w:rPr>
    </w:lvl>
    <w:lvl w:ilvl="7">
      <w:start w:val="1"/>
      <w:numFmt w:val="lowerLetter"/>
      <w:lvlText w:val="%8)"/>
      <w:lvlJc w:val="left"/>
      <w:pPr>
        <w:tabs>
          <w:tab w:val="left" w:pos="4215"/>
        </w:tabs>
        <w:ind w:left="4215" w:hanging="420"/>
      </w:pPr>
      <w:rPr>
        <w:rFonts w:cs="Times New Roman"/>
      </w:rPr>
    </w:lvl>
    <w:lvl w:ilvl="8">
      <w:start w:val="1"/>
      <w:numFmt w:val="lowerRoman"/>
      <w:lvlText w:val="%9."/>
      <w:lvlJc w:val="right"/>
      <w:pPr>
        <w:tabs>
          <w:tab w:val="left" w:pos="4635"/>
        </w:tabs>
        <w:ind w:left="4635" w:hanging="420"/>
      </w:pPr>
      <w:rPr>
        <w:rFonts w:cs="Times New Roman"/>
      </w:rPr>
    </w:lvl>
  </w:abstractNum>
  <w:abstractNum w:abstractNumId="555">
    <w:nsid w:val="7BA1165D"/>
    <w:multiLevelType w:val="multilevel"/>
    <w:tmpl w:val="00000027"/>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56">
    <w:nsid w:val="7BAC5B54"/>
    <w:multiLevelType w:val="multilevel"/>
    <w:tmpl w:val="7BAC5B54"/>
    <w:lvl w:ilvl="0">
      <w:start w:val="1"/>
      <w:numFmt w:val="japaneseCounting"/>
      <w:lvlText w:val="%1、"/>
      <w:lvlJc w:val="left"/>
      <w:pPr>
        <w:ind w:left="510" w:hanging="51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57">
    <w:nsid w:val="7BB77F3F"/>
    <w:multiLevelType w:val="multilevel"/>
    <w:tmpl w:val="843EBA3E"/>
    <w:lvl w:ilvl="0">
      <w:start w:val="1"/>
      <w:numFmt w:val="decimal"/>
      <w:lvlText w:val="%1."/>
      <w:lvlJc w:val="left"/>
      <w:pPr>
        <w:tabs>
          <w:tab w:val="left" w:pos="420"/>
        </w:tabs>
        <w:ind w:left="420" w:hanging="420"/>
      </w:pPr>
      <w:rPr>
        <w:rFonts w:ascii="Times New Roman" w:hAnsi="Times New Roman" w:cs="Times New Roman" w:hint="default"/>
        <w:color w:val="auto"/>
        <w:sz w:val="21"/>
        <w:szCs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58">
    <w:nsid w:val="7BC17D45"/>
    <w:multiLevelType w:val="multilevel"/>
    <w:tmpl w:val="7BC17D45"/>
    <w:lvl w:ilvl="0">
      <w:start w:val="4"/>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59">
    <w:nsid w:val="7C081E3D"/>
    <w:multiLevelType w:val="multilevel"/>
    <w:tmpl w:val="7C081E3D"/>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60">
    <w:nsid w:val="7C896A7F"/>
    <w:multiLevelType w:val="multilevel"/>
    <w:tmpl w:val="7C896A7F"/>
    <w:lvl w:ilvl="0">
      <w:start w:val="1"/>
      <w:numFmt w:val="decimal"/>
      <w:lvlText w:val="%1."/>
      <w:lvlJc w:val="left"/>
      <w:pPr>
        <w:tabs>
          <w:tab w:val="left" w:pos="1860"/>
        </w:tabs>
        <w:ind w:left="1860" w:hanging="420"/>
      </w:pPr>
      <w:rPr>
        <w:rFonts w:cs="Times New Roman"/>
      </w:rPr>
    </w:lvl>
    <w:lvl w:ilvl="1">
      <w:start w:val="1"/>
      <w:numFmt w:val="lowerLetter"/>
      <w:lvlText w:val="%2)"/>
      <w:lvlJc w:val="left"/>
      <w:pPr>
        <w:tabs>
          <w:tab w:val="left" w:pos="2280"/>
        </w:tabs>
        <w:ind w:left="2280" w:hanging="420"/>
      </w:pPr>
      <w:rPr>
        <w:rFonts w:cs="Times New Roman"/>
      </w:rPr>
    </w:lvl>
    <w:lvl w:ilvl="2">
      <w:start w:val="1"/>
      <w:numFmt w:val="lowerRoman"/>
      <w:lvlText w:val="%3."/>
      <w:lvlJc w:val="right"/>
      <w:pPr>
        <w:tabs>
          <w:tab w:val="left" w:pos="2700"/>
        </w:tabs>
        <w:ind w:left="2700" w:hanging="420"/>
      </w:pPr>
      <w:rPr>
        <w:rFonts w:cs="Times New Roman"/>
      </w:rPr>
    </w:lvl>
    <w:lvl w:ilvl="3">
      <w:start w:val="1"/>
      <w:numFmt w:val="decimal"/>
      <w:lvlText w:val="%4."/>
      <w:lvlJc w:val="left"/>
      <w:pPr>
        <w:tabs>
          <w:tab w:val="left" w:pos="3120"/>
        </w:tabs>
        <w:ind w:left="3120" w:hanging="420"/>
      </w:pPr>
      <w:rPr>
        <w:rFonts w:cs="Times New Roman"/>
      </w:rPr>
    </w:lvl>
    <w:lvl w:ilvl="4">
      <w:start w:val="1"/>
      <w:numFmt w:val="lowerLetter"/>
      <w:lvlText w:val="%5)"/>
      <w:lvlJc w:val="left"/>
      <w:pPr>
        <w:tabs>
          <w:tab w:val="left" w:pos="3540"/>
        </w:tabs>
        <w:ind w:left="3540" w:hanging="420"/>
      </w:pPr>
      <w:rPr>
        <w:rFonts w:cs="Times New Roman"/>
      </w:rPr>
    </w:lvl>
    <w:lvl w:ilvl="5">
      <w:start w:val="1"/>
      <w:numFmt w:val="lowerRoman"/>
      <w:lvlText w:val="%6."/>
      <w:lvlJc w:val="right"/>
      <w:pPr>
        <w:tabs>
          <w:tab w:val="left" w:pos="3960"/>
        </w:tabs>
        <w:ind w:left="3960" w:hanging="420"/>
      </w:pPr>
      <w:rPr>
        <w:rFonts w:cs="Times New Roman"/>
      </w:rPr>
    </w:lvl>
    <w:lvl w:ilvl="6">
      <w:start w:val="1"/>
      <w:numFmt w:val="decimal"/>
      <w:lvlText w:val="%7."/>
      <w:lvlJc w:val="left"/>
      <w:pPr>
        <w:tabs>
          <w:tab w:val="left" w:pos="4380"/>
        </w:tabs>
        <w:ind w:left="4380" w:hanging="420"/>
      </w:pPr>
      <w:rPr>
        <w:rFonts w:cs="Times New Roman"/>
      </w:rPr>
    </w:lvl>
    <w:lvl w:ilvl="7">
      <w:start w:val="1"/>
      <w:numFmt w:val="lowerLetter"/>
      <w:lvlText w:val="%8)"/>
      <w:lvlJc w:val="left"/>
      <w:pPr>
        <w:tabs>
          <w:tab w:val="left" w:pos="4800"/>
        </w:tabs>
        <w:ind w:left="4800" w:hanging="420"/>
      </w:pPr>
      <w:rPr>
        <w:rFonts w:cs="Times New Roman"/>
      </w:rPr>
    </w:lvl>
    <w:lvl w:ilvl="8">
      <w:start w:val="1"/>
      <w:numFmt w:val="lowerRoman"/>
      <w:lvlText w:val="%9."/>
      <w:lvlJc w:val="right"/>
      <w:pPr>
        <w:tabs>
          <w:tab w:val="left" w:pos="5220"/>
        </w:tabs>
        <w:ind w:left="5220" w:hanging="420"/>
      </w:pPr>
      <w:rPr>
        <w:rFonts w:cs="Times New Roman"/>
      </w:rPr>
    </w:lvl>
  </w:abstractNum>
  <w:abstractNum w:abstractNumId="561">
    <w:nsid w:val="7CA04A24"/>
    <w:multiLevelType w:val="multilevel"/>
    <w:tmpl w:val="7CA04A24"/>
    <w:lvl w:ilvl="0">
      <w:start w:val="1"/>
      <w:numFmt w:val="decimal"/>
      <w:lvlText w:val="%1、"/>
      <w:lvlJc w:val="left"/>
      <w:pPr>
        <w:tabs>
          <w:tab w:val="left" w:pos="795"/>
        </w:tabs>
        <w:ind w:left="795" w:hanging="360"/>
      </w:pPr>
      <w:rPr>
        <w:rFonts w:cs="Times New Roman" w:hint="default"/>
      </w:rPr>
    </w:lvl>
    <w:lvl w:ilvl="1">
      <w:start w:val="1"/>
      <w:numFmt w:val="lowerLetter"/>
      <w:lvlText w:val="%2)"/>
      <w:lvlJc w:val="left"/>
      <w:pPr>
        <w:tabs>
          <w:tab w:val="left" w:pos="1275"/>
        </w:tabs>
        <w:ind w:left="1275" w:hanging="420"/>
      </w:pPr>
      <w:rPr>
        <w:rFonts w:cs="Times New Roman"/>
      </w:rPr>
    </w:lvl>
    <w:lvl w:ilvl="2">
      <w:start w:val="1"/>
      <w:numFmt w:val="lowerRoman"/>
      <w:lvlText w:val="%3."/>
      <w:lvlJc w:val="right"/>
      <w:pPr>
        <w:tabs>
          <w:tab w:val="left" w:pos="1695"/>
        </w:tabs>
        <w:ind w:left="1695" w:hanging="420"/>
      </w:pPr>
      <w:rPr>
        <w:rFonts w:cs="Times New Roman"/>
      </w:rPr>
    </w:lvl>
    <w:lvl w:ilvl="3">
      <w:start w:val="1"/>
      <w:numFmt w:val="decimal"/>
      <w:lvlText w:val="%4."/>
      <w:lvlJc w:val="left"/>
      <w:pPr>
        <w:tabs>
          <w:tab w:val="left" w:pos="2115"/>
        </w:tabs>
        <w:ind w:left="2115" w:hanging="420"/>
      </w:pPr>
      <w:rPr>
        <w:rFonts w:cs="Times New Roman"/>
      </w:rPr>
    </w:lvl>
    <w:lvl w:ilvl="4">
      <w:start w:val="1"/>
      <w:numFmt w:val="lowerLetter"/>
      <w:lvlText w:val="%5)"/>
      <w:lvlJc w:val="left"/>
      <w:pPr>
        <w:tabs>
          <w:tab w:val="left" w:pos="2535"/>
        </w:tabs>
        <w:ind w:left="2535" w:hanging="420"/>
      </w:pPr>
      <w:rPr>
        <w:rFonts w:cs="Times New Roman"/>
      </w:rPr>
    </w:lvl>
    <w:lvl w:ilvl="5">
      <w:start w:val="1"/>
      <w:numFmt w:val="lowerRoman"/>
      <w:lvlText w:val="%6."/>
      <w:lvlJc w:val="right"/>
      <w:pPr>
        <w:tabs>
          <w:tab w:val="left" w:pos="2955"/>
        </w:tabs>
        <w:ind w:left="2955" w:hanging="420"/>
      </w:pPr>
      <w:rPr>
        <w:rFonts w:cs="Times New Roman"/>
      </w:rPr>
    </w:lvl>
    <w:lvl w:ilvl="6">
      <w:start w:val="1"/>
      <w:numFmt w:val="decimal"/>
      <w:lvlText w:val="%7."/>
      <w:lvlJc w:val="left"/>
      <w:pPr>
        <w:tabs>
          <w:tab w:val="left" w:pos="3375"/>
        </w:tabs>
        <w:ind w:left="3375" w:hanging="420"/>
      </w:pPr>
      <w:rPr>
        <w:rFonts w:cs="Times New Roman"/>
      </w:rPr>
    </w:lvl>
    <w:lvl w:ilvl="7">
      <w:start w:val="1"/>
      <w:numFmt w:val="lowerLetter"/>
      <w:lvlText w:val="%8)"/>
      <w:lvlJc w:val="left"/>
      <w:pPr>
        <w:tabs>
          <w:tab w:val="left" w:pos="3795"/>
        </w:tabs>
        <w:ind w:left="3795" w:hanging="420"/>
      </w:pPr>
      <w:rPr>
        <w:rFonts w:cs="Times New Roman"/>
      </w:rPr>
    </w:lvl>
    <w:lvl w:ilvl="8">
      <w:start w:val="1"/>
      <w:numFmt w:val="lowerRoman"/>
      <w:lvlText w:val="%9."/>
      <w:lvlJc w:val="right"/>
      <w:pPr>
        <w:tabs>
          <w:tab w:val="left" w:pos="4215"/>
        </w:tabs>
        <w:ind w:left="4215" w:hanging="420"/>
      </w:pPr>
      <w:rPr>
        <w:rFonts w:cs="Times New Roman"/>
      </w:rPr>
    </w:lvl>
  </w:abstractNum>
  <w:abstractNum w:abstractNumId="562">
    <w:nsid w:val="7CC27192"/>
    <w:multiLevelType w:val="multilevel"/>
    <w:tmpl w:val="7CC27192"/>
    <w:lvl w:ilvl="0">
      <w:start w:val="1"/>
      <w:numFmt w:val="decimal"/>
      <w:lvlText w:val="%1．"/>
      <w:lvlJc w:val="left"/>
      <w:pPr>
        <w:tabs>
          <w:tab w:val="left" w:pos="0"/>
        </w:tabs>
        <w:ind w:left="1192" w:hanging="360"/>
      </w:pPr>
      <w:rPr>
        <w:rFonts w:cs="Times New Roman" w:hint="default"/>
      </w:rPr>
    </w:lvl>
    <w:lvl w:ilvl="1">
      <w:start w:val="1"/>
      <w:numFmt w:val="lowerLetter"/>
      <w:lvlText w:val="%2)"/>
      <w:lvlJc w:val="left"/>
      <w:pPr>
        <w:tabs>
          <w:tab w:val="left" w:pos="0"/>
        </w:tabs>
        <w:ind w:left="1672" w:hanging="420"/>
      </w:pPr>
      <w:rPr>
        <w:rFonts w:cs="Times New Roman"/>
      </w:rPr>
    </w:lvl>
    <w:lvl w:ilvl="2">
      <w:start w:val="1"/>
      <w:numFmt w:val="lowerRoman"/>
      <w:lvlText w:val="%3."/>
      <w:lvlJc w:val="right"/>
      <w:pPr>
        <w:tabs>
          <w:tab w:val="left" w:pos="0"/>
        </w:tabs>
        <w:ind w:left="2092" w:hanging="420"/>
      </w:pPr>
      <w:rPr>
        <w:rFonts w:cs="Times New Roman"/>
      </w:rPr>
    </w:lvl>
    <w:lvl w:ilvl="3">
      <w:start w:val="1"/>
      <w:numFmt w:val="decimal"/>
      <w:lvlText w:val="%4."/>
      <w:lvlJc w:val="left"/>
      <w:pPr>
        <w:tabs>
          <w:tab w:val="left" w:pos="0"/>
        </w:tabs>
        <w:ind w:left="2512" w:hanging="420"/>
      </w:pPr>
      <w:rPr>
        <w:rFonts w:cs="Times New Roman"/>
      </w:rPr>
    </w:lvl>
    <w:lvl w:ilvl="4">
      <w:start w:val="1"/>
      <w:numFmt w:val="lowerLetter"/>
      <w:lvlText w:val="%5)"/>
      <w:lvlJc w:val="left"/>
      <w:pPr>
        <w:tabs>
          <w:tab w:val="left" w:pos="0"/>
        </w:tabs>
        <w:ind w:left="2932" w:hanging="420"/>
      </w:pPr>
      <w:rPr>
        <w:rFonts w:cs="Times New Roman"/>
      </w:rPr>
    </w:lvl>
    <w:lvl w:ilvl="5">
      <w:start w:val="1"/>
      <w:numFmt w:val="lowerRoman"/>
      <w:lvlText w:val="%6."/>
      <w:lvlJc w:val="right"/>
      <w:pPr>
        <w:tabs>
          <w:tab w:val="left" w:pos="0"/>
        </w:tabs>
        <w:ind w:left="3352" w:hanging="420"/>
      </w:pPr>
      <w:rPr>
        <w:rFonts w:cs="Times New Roman"/>
      </w:rPr>
    </w:lvl>
    <w:lvl w:ilvl="6">
      <w:start w:val="1"/>
      <w:numFmt w:val="decimal"/>
      <w:lvlText w:val="%7."/>
      <w:lvlJc w:val="left"/>
      <w:pPr>
        <w:tabs>
          <w:tab w:val="left" w:pos="0"/>
        </w:tabs>
        <w:ind w:left="3772" w:hanging="420"/>
      </w:pPr>
      <w:rPr>
        <w:rFonts w:cs="Times New Roman"/>
      </w:rPr>
    </w:lvl>
    <w:lvl w:ilvl="7">
      <w:start w:val="1"/>
      <w:numFmt w:val="lowerLetter"/>
      <w:lvlText w:val="%8)"/>
      <w:lvlJc w:val="left"/>
      <w:pPr>
        <w:tabs>
          <w:tab w:val="left" w:pos="0"/>
        </w:tabs>
        <w:ind w:left="4192" w:hanging="420"/>
      </w:pPr>
      <w:rPr>
        <w:rFonts w:cs="Times New Roman"/>
      </w:rPr>
    </w:lvl>
    <w:lvl w:ilvl="8">
      <w:start w:val="1"/>
      <w:numFmt w:val="lowerRoman"/>
      <w:lvlText w:val="%9."/>
      <w:lvlJc w:val="right"/>
      <w:pPr>
        <w:tabs>
          <w:tab w:val="left" w:pos="0"/>
        </w:tabs>
        <w:ind w:left="4612" w:hanging="420"/>
      </w:pPr>
      <w:rPr>
        <w:rFonts w:cs="Times New Roman"/>
      </w:rPr>
    </w:lvl>
  </w:abstractNum>
  <w:abstractNum w:abstractNumId="563">
    <w:nsid w:val="7CD723C5"/>
    <w:multiLevelType w:val="multilevel"/>
    <w:tmpl w:val="7CD723C5"/>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64">
    <w:nsid w:val="7CE112C1"/>
    <w:multiLevelType w:val="multilevel"/>
    <w:tmpl w:val="7CE112C1"/>
    <w:lvl w:ilvl="0">
      <w:start w:val="1"/>
      <w:numFmt w:val="decimal"/>
      <w:lvlText w:val="%1、"/>
      <w:lvlJc w:val="left"/>
      <w:pPr>
        <w:tabs>
          <w:tab w:val="left" w:pos="360"/>
        </w:tabs>
        <w:ind w:left="360" w:hanging="360"/>
      </w:pPr>
      <w:rPr>
        <w:rFonts w:ascii="Times New Roman" w:hAnsi="Times New Roman"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65">
    <w:nsid w:val="7D190DFB"/>
    <w:multiLevelType w:val="multilevel"/>
    <w:tmpl w:val="7D190DFB"/>
    <w:lvl w:ilvl="0">
      <w:start w:val="1"/>
      <w:numFmt w:val="decimal"/>
      <w:lvlText w:val="%1."/>
      <w:lvlJc w:val="left"/>
      <w:pPr>
        <w:ind w:left="1129" w:hanging="420"/>
      </w:pPr>
      <w:rPr>
        <w:rFonts w:cs="Times New Roman"/>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566">
    <w:nsid w:val="7D99336B"/>
    <w:multiLevelType w:val="multilevel"/>
    <w:tmpl w:val="7D99336B"/>
    <w:lvl w:ilvl="0">
      <w:start w:val="1"/>
      <w:numFmt w:val="japaneseCounting"/>
      <w:lvlText w:val="第%1节"/>
      <w:lvlJc w:val="left"/>
      <w:pPr>
        <w:tabs>
          <w:tab w:val="left" w:pos="1202"/>
        </w:tabs>
        <w:ind w:left="1202" w:hanging="780"/>
      </w:pPr>
      <w:rPr>
        <w:rFonts w:cs="Times New Roman" w:hint="default"/>
      </w:rPr>
    </w:lvl>
    <w:lvl w:ilvl="1">
      <w:start w:val="1"/>
      <w:numFmt w:val="lowerLetter"/>
      <w:lvlText w:val="%2)"/>
      <w:lvlJc w:val="left"/>
      <w:pPr>
        <w:tabs>
          <w:tab w:val="left" w:pos="1262"/>
        </w:tabs>
        <w:ind w:left="1262" w:hanging="420"/>
      </w:pPr>
      <w:rPr>
        <w:rFonts w:cs="Times New Roman"/>
      </w:rPr>
    </w:lvl>
    <w:lvl w:ilvl="2">
      <w:start w:val="1"/>
      <w:numFmt w:val="lowerRoman"/>
      <w:lvlText w:val="%3."/>
      <w:lvlJc w:val="right"/>
      <w:pPr>
        <w:tabs>
          <w:tab w:val="left" w:pos="1682"/>
        </w:tabs>
        <w:ind w:left="1682" w:hanging="420"/>
      </w:pPr>
      <w:rPr>
        <w:rFonts w:cs="Times New Roman"/>
      </w:rPr>
    </w:lvl>
    <w:lvl w:ilvl="3">
      <w:start w:val="1"/>
      <w:numFmt w:val="decimal"/>
      <w:lvlText w:val="%4."/>
      <w:lvlJc w:val="left"/>
      <w:pPr>
        <w:tabs>
          <w:tab w:val="left" w:pos="2102"/>
        </w:tabs>
        <w:ind w:left="2102" w:hanging="420"/>
      </w:pPr>
      <w:rPr>
        <w:rFonts w:cs="Times New Roman"/>
      </w:rPr>
    </w:lvl>
    <w:lvl w:ilvl="4">
      <w:start w:val="1"/>
      <w:numFmt w:val="lowerLetter"/>
      <w:lvlText w:val="%5)"/>
      <w:lvlJc w:val="left"/>
      <w:pPr>
        <w:tabs>
          <w:tab w:val="left" w:pos="2522"/>
        </w:tabs>
        <w:ind w:left="2522" w:hanging="420"/>
      </w:pPr>
      <w:rPr>
        <w:rFonts w:cs="Times New Roman"/>
      </w:rPr>
    </w:lvl>
    <w:lvl w:ilvl="5">
      <w:start w:val="1"/>
      <w:numFmt w:val="lowerRoman"/>
      <w:lvlText w:val="%6."/>
      <w:lvlJc w:val="right"/>
      <w:pPr>
        <w:tabs>
          <w:tab w:val="left" w:pos="2942"/>
        </w:tabs>
        <w:ind w:left="2942" w:hanging="420"/>
      </w:pPr>
      <w:rPr>
        <w:rFonts w:cs="Times New Roman"/>
      </w:rPr>
    </w:lvl>
    <w:lvl w:ilvl="6">
      <w:start w:val="1"/>
      <w:numFmt w:val="decimal"/>
      <w:lvlText w:val="%7."/>
      <w:lvlJc w:val="left"/>
      <w:pPr>
        <w:tabs>
          <w:tab w:val="left" w:pos="3362"/>
        </w:tabs>
        <w:ind w:left="3362" w:hanging="420"/>
      </w:pPr>
      <w:rPr>
        <w:rFonts w:cs="Times New Roman"/>
      </w:rPr>
    </w:lvl>
    <w:lvl w:ilvl="7">
      <w:start w:val="1"/>
      <w:numFmt w:val="lowerLetter"/>
      <w:lvlText w:val="%8)"/>
      <w:lvlJc w:val="left"/>
      <w:pPr>
        <w:tabs>
          <w:tab w:val="left" w:pos="3782"/>
        </w:tabs>
        <w:ind w:left="3782" w:hanging="420"/>
      </w:pPr>
      <w:rPr>
        <w:rFonts w:cs="Times New Roman"/>
      </w:rPr>
    </w:lvl>
    <w:lvl w:ilvl="8">
      <w:start w:val="1"/>
      <w:numFmt w:val="lowerRoman"/>
      <w:lvlText w:val="%9."/>
      <w:lvlJc w:val="right"/>
      <w:pPr>
        <w:tabs>
          <w:tab w:val="left" w:pos="4202"/>
        </w:tabs>
        <w:ind w:left="4202" w:hanging="420"/>
      </w:pPr>
      <w:rPr>
        <w:rFonts w:cs="Times New Roman"/>
      </w:rPr>
    </w:lvl>
  </w:abstractNum>
  <w:abstractNum w:abstractNumId="567">
    <w:nsid w:val="7DC011D4"/>
    <w:multiLevelType w:val="multilevel"/>
    <w:tmpl w:val="7DC011D4"/>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68">
    <w:nsid w:val="7EAE30B1"/>
    <w:multiLevelType w:val="multilevel"/>
    <w:tmpl w:val="7EAE30B1"/>
    <w:lvl w:ilvl="0">
      <w:start w:val="1"/>
      <w:numFmt w:val="japaneseCounting"/>
      <w:lvlText w:val="第%1节"/>
      <w:lvlJc w:val="left"/>
      <w:pPr>
        <w:tabs>
          <w:tab w:val="left" w:pos="945"/>
        </w:tabs>
        <w:ind w:left="945" w:hanging="945"/>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69">
    <w:nsid w:val="7EE915EE"/>
    <w:multiLevelType w:val="multilevel"/>
    <w:tmpl w:val="7EE915EE"/>
    <w:lvl w:ilvl="0">
      <w:start w:val="1"/>
      <w:numFmt w:val="japaneseCounting"/>
      <w:lvlText w:val="第%1节"/>
      <w:lvlJc w:val="left"/>
      <w:pPr>
        <w:tabs>
          <w:tab w:val="left" w:pos="990"/>
        </w:tabs>
        <w:ind w:left="990" w:hanging="99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70">
    <w:nsid w:val="7F3B5B4F"/>
    <w:multiLevelType w:val="multilevel"/>
    <w:tmpl w:val="7F3B5B4F"/>
    <w:lvl w:ilvl="0">
      <w:start w:val="1"/>
      <w:numFmt w:val="decimal"/>
      <w:lvlText w:val="%1、"/>
      <w:lvlJc w:val="left"/>
      <w:pPr>
        <w:tabs>
          <w:tab w:val="left" w:pos="720"/>
        </w:tabs>
        <w:ind w:left="720" w:hanging="360"/>
      </w:pPr>
      <w:rPr>
        <w:rFonts w:ascii="Times New Roman" w:hAnsi="Times New Roman" w:cs="Times New Roman" w:hint="default"/>
      </w:rPr>
    </w:lvl>
    <w:lvl w:ilvl="1">
      <w:start w:val="2"/>
      <w:numFmt w:val="japaneseCounting"/>
      <w:lvlText w:val="%2、"/>
      <w:lvlJc w:val="left"/>
      <w:pPr>
        <w:tabs>
          <w:tab w:val="left" w:pos="1560"/>
        </w:tabs>
        <w:ind w:left="1560" w:hanging="480"/>
      </w:pPr>
      <w:rPr>
        <w:rFonts w:cs="Times New Roman" w:hint="default"/>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71">
    <w:nsid w:val="7F97214D"/>
    <w:multiLevelType w:val="multilevel"/>
    <w:tmpl w:val="7F97214D"/>
    <w:lvl w:ilvl="0">
      <w:start w:val="1"/>
      <w:numFmt w:val="decimal"/>
      <w:lvlText w:val="%1."/>
      <w:lvlJc w:val="left"/>
      <w:pPr>
        <w:tabs>
          <w:tab w:val="left" w:pos="420"/>
        </w:tabs>
        <w:ind w:left="420" w:hanging="420"/>
      </w:pPr>
      <w:rPr>
        <w:rFonts w:ascii="Times New Roman" w:hAnsi="Times New Roman"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453"/>
  </w:num>
  <w:num w:numId="2">
    <w:abstractNumId w:val="410"/>
  </w:num>
  <w:num w:numId="3">
    <w:abstractNumId w:val="481"/>
  </w:num>
  <w:num w:numId="4">
    <w:abstractNumId w:val="473"/>
  </w:num>
  <w:num w:numId="5">
    <w:abstractNumId w:val="119"/>
  </w:num>
  <w:num w:numId="6">
    <w:abstractNumId w:val="27"/>
  </w:num>
  <w:num w:numId="7">
    <w:abstractNumId w:val="31"/>
  </w:num>
  <w:num w:numId="8">
    <w:abstractNumId w:val="21"/>
  </w:num>
  <w:num w:numId="9">
    <w:abstractNumId w:val="30"/>
  </w:num>
  <w:num w:numId="10">
    <w:abstractNumId w:val="26"/>
  </w:num>
  <w:num w:numId="11">
    <w:abstractNumId w:val="24"/>
  </w:num>
  <w:num w:numId="12">
    <w:abstractNumId w:val="19"/>
  </w:num>
  <w:num w:numId="13">
    <w:abstractNumId w:val="36"/>
  </w:num>
  <w:num w:numId="14">
    <w:abstractNumId w:val="29"/>
  </w:num>
  <w:num w:numId="15">
    <w:abstractNumId w:val="25"/>
  </w:num>
  <w:num w:numId="16">
    <w:abstractNumId w:val="28"/>
  </w:num>
  <w:num w:numId="17">
    <w:abstractNumId w:val="42"/>
  </w:num>
  <w:num w:numId="18">
    <w:abstractNumId w:val="13"/>
  </w:num>
  <w:num w:numId="19">
    <w:abstractNumId w:val="18"/>
  </w:num>
  <w:num w:numId="20">
    <w:abstractNumId w:val="15"/>
  </w:num>
  <w:num w:numId="21">
    <w:abstractNumId w:val="38"/>
  </w:num>
  <w:num w:numId="22">
    <w:abstractNumId w:val="12"/>
  </w:num>
  <w:num w:numId="23">
    <w:abstractNumId w:val="32"/>
  </w:num>
  <w:num w:numId="24">
    <w:abstractNumId w:val="2"/>
  </w:num>
  <w:num w:numId="25">
    <w:abstractNumId w:val="41"/>
  </w:num>
  <w:num w:numId="26">
    <w:abstractNumId w:val="40"/>
  </w:num>
  <w:num w:numId="27">
    <w:abstractNumId w:val="23"/>
  </w:num>
  <w:num w:numId="28">
    <w:abstractNumId w:val="33"/>
  </w:num>
  <w:num w:numId="29">
    <w:abstractNumId w:val="11"/>
  </w:num>
  <w:num w:numId="30">
    <w:abstractNumId w:val="35"/>
  </w:num>
  <w:num w:numId="31">
    <w:abstractNumId w:val="20"/>
  </w:num>
  <w:num w:numId="32">
    <w:abstractNumId w:val="22"/>
  </w:num>
  <w:num w:numId="33">
    <w:abstractNumId w:val="14"/>
  </w:num>
  <w:num w:numId="34">
    <w:abstractNumId w:val="39"/>
  </w:num>
  <w:num w:numId="35">
    <w:abstractNumId w:val="17"/>
  </w:num>
  <w:num w:numId="36">
    <w:abstractNumId w:val="16"/>
  </w:num>
  <w:num w:numId="37">
    <w:abstractNumId w:val="43"/>
  </w:num>
  <w:num w:numId="38">
    <w:abstractNumId w:val="34"/>
  </w:num>
  <w:num w:numId="39">
    <w:abstractNumId w:val="45"/>
  </w:num>
  <w:num w:numId="40">
    <w:abstractNumId w:val="46"/>
  </w:num>
  <w:num w:numId="41">
    <w:abstractNumId w:val="44"/>
  </w:num>
  <w:num w:numId="42">
    <w:abstractNumId w:val="47"/>
  </w:num>
  <w:num w:numId="43">
    <w:abstractNumId w:val="37"/>
  </w:num>
  <w:num w:numId="44">
    <w:abstractNumId w:val="1"/>
  </w:num>
  <w:num w:numId="45">
    <w:abstractNumId w:val="182"/>
  </w:num>
  <w:num w:numId="46">
    <w:abstractNumId w:val="369"/>
  </w:num>
  <w:num w:numId="47">
    <w:abstractNumId w:val="60"/>
  </w:num>
  <w:num w:numId="48">
    <w:abstractNumId w:val="384"/>
  </w:num>
  <w:num w:numId="49">
    <w:abstractNumId w:val="295"/>
  </w:num>
  <w:num w:numId="50">
    <w:abstractNumId w:val="158"/>
  </w:num>
  <w:num w:numId="51">
    <w:abstractNumId w:val="517"/>
  </w:num>
  <w:num w:numId="52">
    <w:abstractNumId w:val="273"/>
  </w:num>
  <w:num w:numId="53">
    <w:abstractNumId w:val="345"/>
  </w:num>
  <w:num w:numId="54">
    <w:abstractNumId w:val="190"/>
  </w:num>
  <w:num w:numId="55">
    <w:abstractNumId w:val="126"/>
  </w:num>
  <w:num w:numId="56">
    <w:abstractNumId w:val="5"/>
  </w:num>
  <w:num w:numId="57">
    <w:abstractNumId w:val="7"/>
  </w:num>
  <w:num w:numId="58">
    <w:abstractNumId w:val="10"/>
  </w:num>
  <w:num w:numId="59">
    <w:abstractNumId w:val="9"/>
  </w:num>
  <w:num w:numId="60">
    <w:abstractNumId w:val="432"/>
  </w:num>
  <w:num w:numId="61">
    <w:abstractNumId w:val="438"/>
  </w:num>
  <w:num w:numId="62">
    <w:abstractNumId w:val="97"/>
  </w:num>
  <w:num w:numId="63">
    <w:abstractNumId w:val="108"/>
  </w:num>
  <w:num w:numId="64">
    <w:abstractNumId w:val="3"/>
  </w:num>
  <w:num w:numId="65">
    <w:abstractNumId w:val="4"/>
  </w:num>
  <w:num w:numId="66">
    <w:abstractNumId w:val="85"/>
  </w:num>
  <w:num w:numId="67">
    <w:abstractNumId w:val="421"/>
  </w:num>
  <w:num w:numId="68">
    <w:abstractNumId w:val="140"/>
  </w:num>
  <w:num w:numId="69">
    <w:abstractNumId w:val="486"/>
  </w:num>
  <w:num w:numId="70">
    <w:abstractNumId w:val="422"/>
  </w:num>
  <w:num w:numId="71">
    <w:abstractNumId w:val="504"/>
  </w:num>
  <w:num w:numId="72">
    <w:abstractNumId w:val="423"/>
  </w:num>
  <w:num w:numId="73">
    <w:abstractNumId w:val="424"/>
  </w:num>
  <w:num w:numId="74">
    <w:abstractNumId w:val="397"/>
  </w:num>
  <w:num w:numId="75">
    <w:abstractNumId w:val="398"/>
  </w:num>
  <w:num w:numId="76">
    <w:abstractNumId w:val="399"/>
  </w:num>
  <w:num w:numId="77">
    <w:abstractNumId w:val="400"/>
  </w:num>
  <w:num w:numId="78">
    <w:abstractNumId w:val="401"/>
  </w:num>
  <w:num w:numId="79">
    <w:abstractNumId w:val="402"/>
  </w:num>
  <w:num w:numId="80">
    <w:abstractNumId w:val="403"/>
  </w:num>
  <w:num w:numId="81">
    <w:abstractNumId w:val="511"/>
  </w:num>
  <w:num w:numId="82">
    <w:abstractNumId w:val="566"/>
  </w:num>
  <w:num w:numId="83">
    <w:abstractNumId w:val="442"/>
  </w:num>
  <w:num w:numId="84">
    <w:abstractNumId w:val="180"/>
  </w:num>
  <w:num w:numId="85">
    <w:abstractNumId w:val="396"/>
  </w:num>
  <w:num w:numId="86">
    <w:abstractNumId w:val="193"/>
  </w:num>
  <w:num w:numId="87">
    <w:abstractNumId w:val="435"/>
  </w:num>
  <w:num w:numId="88">
    <w:abstractNumId w:val="465"/>
  </w:num>
  <w:num w:numId="89">
    <w:abstractNumId w:val="149"/>
  </w:num>
  <w:num w:numId="90">
    <w:abstractNumId w:val="490"/>
  </w:num>
  <w:num w:numId="91">
    <w:abstractNumId w:val="394"/>
  </w:num>
  <w:num w:numId="92">
    <w:abstractNumId w:val="567"/>
  </w:num>
  <w:num w:numId="93">
    <w:abstractNumId w:val="265"/>
  </w:num>
  <w:num w:numId="94">
    <w:abstractNumId w:val="529"/>
  </w:num>
  <w:num w:numId="95">
    <w:abstractNumId w:val="48"/>
  </w:num>
  <w:num w:numId="96">
    <w:abstractNumId w:val="49"/>
  </w:num>
  <w:num w:numId="97">
    <w:abstractNumId w:val="50"/>
  </w:num>
  <w:num w:numId="98">
    <w:abstractNumId w:val="51"/>
  </w:num>
  <w:num w:numId="99">
    <w:abstractNumId w:val="52"/>
  </w:num>
  <w:num w:numId="100">
    <w:abstractNumId w:val="53"/>
  </w:num>
  <w:num w:numId="101">
    <w:abstractNumId w:val="54"/>
  </w:num>
  <w:num w:numId="102">
    <w:abstractNumId w:val="55"/>
  </w:num>
  <w:num w:numId="103">
    <w:abstractNumId w:val="56"/>
  </w:num>
  <w:num w:numId="104">
    <w:abstractNumId w:val="57"/>
  </w:num>
  <w:num w:numId="105">
    <w:abstractNumId w:val="395"/>
  </w:num>
  <w:num w:numId="106">
    <w:abstractNumId w:val="202"/>
  </w:num>
  <w:num w:numId="107">
    <w:abstractNumId w:val="176"/>
  </w:num>
  <w:num w:numId="108">
    <w:abstractNumId w:val="371"/>
  </w:num>
  <w:num w:numId="109">
    <w:abstractNumId w:val="234"/>
  </w:num>
  <w:num w:numId="110">
    <w:abstractNumId w:val="106"/>
  </w:num>
  <w:num w:numId="111">
    <w:abstractNumId w:val="232"/>
  </w:num>
  <w:num w:numId="112">
    <w:abstractNumId w:val="343"/>
  </w:num>
  <w:num w:numId="113">
    <w:abstractNumId w:val="70"/>
  </w:num>
  <w:num w:numId="114">
    <w:abstractNumId w:val="67"/>
  </w:num>
  <w:num w:numId="115">
    <w:abstractNumId w:val="304"/>
  </w:num>
  <w:num w:numId="116">
    <w:abstractNumId w:val="170"/>
  </w:num>
  <w:num w:numId="117">
    <w:abstractNumId w:val="218"/>
  </w:num>
  <w:num w:numId="118">
    <w:abstractNumId w:val="181"/>
  </w:num>
  <w:num w:numId="119">
    <w:abstractNumId w:val="440"/>
  </w:num>
  <w:num w:numId="120">
    <w:abstractNumId w:val="475"/>
  </w:num>
  <w:num w:numId="121">
    <w:abstractNumId w:val="188"/>
  </w:num>
  <w:num w:numId="122">
    <w:abstractNumId w:val="559"/>
  </w:num>
  <w:num w:numId="123">
    <w:abstractNumId w:val="479"/>
  </w:num>
  <w:num w:numId="124">
    <w:abstractNumId w:val="510"/>
  </w:num>
  <w:num w:numId="125">
    <w:abstractNumId w:val="525"/>
  </w:num>
  <w:num w:numId="126">
    <w:abstractNumId w:val="404"/>
  </w:num>
  <w:num w:numId="127">
    <w:abstractNumId w:val="302"/>
  </w:num>
  <w:num w:numId="128">
    <w:abstractNumId w:val="239"/>
  </w:num>
  <w:num w:numId="129">
    <w:abstractNumId w:val="531"/>
  </w:num>
  <w:num w:numId="130">
    <w:abstractNumId w:val="269"/>
  </w:num>
  <w:num w:numId="131">
    <w:abstractNumId w:val="177"/>
  </w:num>
  <w:num w:numId="132">
    <w:abstractNumId w:val="195"/>
  </w:num>
  <w:num w:numId="133">
    <w:abstractNumId w:val="390"/>
  </w:num>
  <w:num w:numId="134">
    <w:abstractNumId w:val="385"/>
  </w:num>
  <w:num w:numId="135">
    <w:abstractNumId w:val="160"/>
  </w:num>
  <w:num w:numId="136">
    <w:abstractNumId w:val="464"/>
  </w:num>
  <w:num w:numId="137">
    <w:abstractNumId w:val="309"/>
  </w:num>
  <w:num w:numId="138">
    <w:abstractNumId w:val="80"/>
  </w:num>
  <w:num w:numId="139">
    <w:abstractNumId w:val="122"/>
  </w:num>
  <w:num w:numId="140">
    <w:abstractNumId w:val="433"/>
  </w:num>
  <w:num w:numId="141">
    <w:abstractNumId w:val="425"/>
  </w:num>
  <w:num w:numId="142">
    <w:abstractNumId w:val="123"/>
  </w:num>
  <w:num w:numId="143">
    <w:abstractNumId w:val="271"/>
  </w:num>
  <w:num w:numId="144">
    <w:abstractNumId w:val="71"/>
  </w:num>
  <w:num w:numId="145">
    <w:abstractNumId w:val="325"/>
  </w:num>
  <w:num w:numId="146">
    <w:abstractNumId w:val="388"/>
  </w:num>
  <w:num w:numId="147">
    <w:abstractNumId w:val="323"/>
  </w:num>
  <w:num w:numId="148">
    <w:abstractNumId w:val="208"/>
  </w:num>
  <w:num w:numId="149">
    <w:abstractNumId w:val="412"/>
  </w:num>
  <w:num w:numId="150">
    <w:abstractNumId w:val="552"/>
  </w:num>
  <w:num w:numId="151">
    <w:abstractNumId w:val="114"/>
  </w:num>
  <w:num w:numId="152">
    <w:abstractNumId w:val="279"/>
  </w:num>
  <w:num w:numId="153">
    <w:abstractNumId w:val="571"/>
  </w:num>
  <w:num w:numId="154">
    <w:abstractNumId w:val="322"/>
  </w:num>
  <w:num w:numId="155">
    <w:abstractNumId w:val="161"/>
  </w:num>
  <w:num w:numId="156">
    <w:abstractNumId w:val="287"/>
  </w:num>
  <w:num w:numId="157">
    <w:abstractNumId w:val="372"/>
  </w:num>
  <w:num w:numId="158">
    <w:abstractNumId w:val="360"/>
  </w:num>
  <w:num w:numId="159">
    <w:abstractNumId w:val="261"/>
  </w:num>
  <w:num w:numId="160">
    <w:abstractNumId w:val="482"/>
  </w:num>
  <w:num w:numId="161">
    <w:abstractNumId w:val="305"/>
  </w:num>
  <w:num w:numId="162">
    <w:abstractNumId w:val="506"/>
  </w:num>
  <w:num w:numId="163">
    <w:abstractNumId w:val="88"/>
  </w:num>
  <w:num w:numId="164">
    <w:abstractNumId w:val="278"/>
  </w:num>
  <w:num w:numId="165">
    <w:abstractNumId w:val="217"/>
  </w:num>
  <w:num w:numId="166">
    <w:abstractNumId w:val="204"/>
  </w:num>
  <w:num w:numId="167">
    <w:abstractNumId w:val="361"/>
  </w:num>
  <w:num w:numId="168">
    <w:abstractNumId w:val="542"/>
  </w:num>
  <w:num w:numId="169">
    <w:abstractNumId w:val="124"/>
  </w:num>
  <w:num w:numId="170">
    <w:abstractNumId w:val="134"/>
  </w:num>
  <w:num w:numId="171">
    <w:abstractNumId w:val="225"/>
  </w:num>
  <w:num w:numId="172">
    <w:abstractNumId w:val="539"/>
  </w:num>
  <w:num w:numId="173">
    <w:abstractNumId w:val="246"/>
  </w:num>
  <w:num w:numId="174">
    <w:abstractNumId w:val="563"/>
  </w:num>
  <w:num w:numId="175">
    <w:abstractNumId w:val="95"/>
  </w:num>
  <w:num w:numId="176">
    <w:abstractNumId w:val="201"/>
  </w:num>
  <w:num w:numId="177">
    <w:abstractNumId w:val="87"/>
  </w:num>
  <w:num w:numId="178">
    <w:abstractNumId w:val="458"/>
  </w:num>
  <w:num w:numId="179">
    <w:abstractNumId w:val="373"/>
  </w:num>
  <w:num w:numId="180">
    <w:abstractNumId w:val="405"/>
  </w:num>
  <w:num w:numId="181">
    <w:abstractNumId w:val="6"/>
  </w:num>
  <w:num w:numId="182">
    <w:abstractNumId w:val="406"/>
  </w:num>
  <w:num w:numId="183">
    <w:abstractNumId w:val="407"/>
  </w:num>
  <w:num w:numId="184">
    <w:abstractNumId w:val="207"/>
  </w:num>
  <w:num w:numId="185">
    <w:abstractNumId w:val="512"/>
  </w:num>
  <w:num w:numId="186">
    <w:abstractNumId w:val="392"/>
  </w:num>
  <w:num w:numId="187">
    <w:abstractNumId w:val="297"/>
  </w:num>
  <w:num w:numId="188">
    <w:abstractNumId w:val="535"/>
  </w:num>
  <w:num w:numId="189">
    <w:abstractNumId w:val="101"/>
  </w:num>
  <w:num w:numId="190">
    <w:abstractNumId w:val="142"/>
  </w:num>
  <w:num w:numId="191">
    <w:abstractNumId w:val="351"/>
  </w:num>
  <w:num w:numId="192">
    <w:abstractNumId w:val="72"/>
  </w:num>
  <w:num w:numId="193">
    <w:abstractNumId w:val="547"/>
  </w:num>
  <w:num w:numId="194">
    <w:abstractNumId w:val="318"/>
  </w:num>
  <w:num w:numId="195">
    <w:abstractNumId w:val="521"/>
  </w:num>
  <w:num w:numId="196">
    <w:abstractNumId w:val="413"/>
  </w:num>
  <w:num w:numId="197">
    <w:abstractNumId w:val="503"/>
  </w:num>
  <w:num w:numId="198">
    <w:abstractNumId w:val="66"/>
  </w:num>
  <w:num w:numId="199">
    <w:abstractNumId w:val="321"/>
  </w:num>
  <w:num w:numId="200">
    <w:abstractNumId w:val="337"/>
  </w:num>
  <w:num w:numId="201">
    <w:abstractNumId w:val="151"/>
  </w:num>
  <w:num w:numId="202">
    <w:abstractNumId w:val="270"/>
  </w:num>
  <w:num w:numId="203">
    <w:abstractNumId w:val="335"/>
  </w:num>
  <w:num w:numId="204">
    <w:abstractNumId w:val="157"/>
  </w:num>
  <w:num w:numId="205">
    <w:abstractNumId w:val="436"/>
  </w:num>
  <w:num w:numId="206">
    <w:abstractNumId w:val="508"/>
  </w:num>
  <w:num w:numId="207">
    <w:abstractNumId w:val="443"/>
  </w:num>
  <w:num w:numId="208">
    <w:abstractNumId w:val="173"/>
  </w:num>
  <w:num w:numId="209">
    <w:abstractNumId w:val="530"/>
  </w:num>
  <w:num w:numId="210">
    <w:abstractNumId w:val="254"/>
  </w:num>
  <w:num w:numId="211">
    <w:abstractNumId w:val="290"/>
  </w:num>
  <w:num w:numId="212">
    <w:abstractNumId w:val="363"/>
  </w:num>
  <w:num w:numId="213">
    <w:abstractNumId w:val="317"/>
  </w:num>
  <w:num w:numId="214">
    <w:abstractNumId w:val="414"/>
  </w:num>
  <w:num w:numId="215">
    <w:abstractNumId w:val="145"/>
  </w:num>
  <w:num w:numId="216">
    <w:abstractNumId w:val="306"/>
  </w:num>
  <w:num w:numId="217">
    <w:abstractNumId w:val="441"/>
  </w:num>
  <w:num w:numId="218">
    <w:abstractNumId w:val="429"/>
  </w:num>
  <w:num w:numId="219">
    <w:abstractNumId w:val="430"/>
  </w:num>
  <w:num w:numId="220">
    <w:abstractNumId w:val="431"/>
  </w:num>
  <w:num w:numId="221">
    <w:abstractNumId w:val="74"/>
  </w:num>
  <w:num w:numId="222">
    <w:abstractNumId w:val="426"/>
  </w:num>
  <w:num w:numId="223">
    <w:abstractNumId w:val="427"/>
  </w:num>
  <w:num w:numId="224">
    <w:abstractNumId w:val="428"/>
  </w:num>
  <w:num w:numId="225">
    <w:abstractNumId w:val="215"/>
  </w:num>
  <w:num w:numId="226">
    <w:abstractNumId w:val="139"/>
  </w:num>
  <w:num w:numId="227">
    <w:abstractNumId w:val="152"/>
  </w:num>
  <w:num w:numId="228">
    <w:abstractNumId w:val="298"/>
  </w:num>
  <w:num w:numId="229">
    <w:abstractNumId w:val="339"/>
  </w:num>
  <w:num w:numId="230">
    <w:abstractNumId w:val="528"/>
  </w:num>
  <w:num w:numId="231">
    <w:abstractNumId w:val="350"/>
  </w:num>
  <w:num w:numId="232">
    <w:abstractNumId w:val="562"/>
  </w:num>
  <w:num w:numId="233">
    <w:abstractNumId w:val="129"/>
  </w:num>
  <w:num w:numId="234">
    <w:abstractNumId w:val="277"/>
  </w:num>
  <w:num w:numId="235">
    <w:abstractNumId w:val="485"/>
  </w:num>
  <w:num w:numId="236">
    <w:abstractNumId w:val="196"/>
  </w:num>
  <w:num w:numId="237">
    <w:abstractNumId w:val="244"/>
  </w:num>
  <w:num w:numId="238">
    <w:abstractNumId w:val="326"/>
  </w:num>
  <w:num w:numId="239">
    <w:abstractNumId w:val="358"/>
  </w:num>
  <w:num w:numId="240">
    <w:abstractNumId w:val="0"/>
  </w:num>
  <w:num w:numId="241">
    <w:abstractNumId w:val="191"/>
  </w:num>
  <w:num w:numId="242">
    <w:abstractNumId w:val="247"/>
  </w:num>
  <w:num w:numId="243">
    <w:abstractNumId w:val="192"/>
  </w:num>
  <w:num w:numId="244">
    <w:abstractNumId w:val="163"/>
  </w:num>
  <w:num w:numId="245">
    <w:abstractNumId w:val="498"/>
  </w:num>
  <w:num w:numId="246">
    <w:abstractNumId w:val="448"/>
  </w:num>
  <w:num w:numId="247">
    <w:abstractNumId w:val="349"/>
  </w:num>
  <w:num w:numId="248">
    <w:abstractNumId w:val="187"/>
  </w:num>
  <w:num w:numId="249">
    <w:abstractNumId w:val="495"/>
  </w:num>
  <w:num w:numId="250">
    <w:abstractNumId w:val="98"/>
  </w:num>
  <w:num w:numId="251">
    <w:abstractNumId w:val="213"/>
  </w:num>
  <w:num w:numId="252">
    <w:abstractNumId w:val="65"/>
  </w:num>
  <w:num w:numId="253">
    <w:abstractNumId w:val="543"/>
  </w:num>
  <w:num w:numId="254">
    <w:abstractNumId w:val="569"/>
  </w:num>
  <w:num w:numId="255">
    <w:abstractNumId w:val="125"/>
  </w:num>
  <w:num w:numId="256">
    <w:abstractNumId w:val="417"/>
  </w:num>
  <w:num w:numId="257">
    <w:abstractNumId w:val="251"/>
  </w:num>
  <w:num w:numId="258">
    <w:abstractNumId w:val="179"/>
  </w:num>
  <w:num w:numId="259">
    <w:abstractNumId w:val="175"/>
  </w:num>
  <w:num w:numId="260">
    <w:abstractNumId w:val="147"/>
  </w:num>
  <w:num w:numId="261">
    <w:abstractNumId w:val="105"/>
  </w:num>
  <w:num w:numId="262">
    <w:abstractNumId w:val="327"/>
  </w:num>
  <w:num w:numId="263">
    <w:abstractNumId w:val="497"/>
  </w:num>
  <w:num w:numId="264">
    <w:abstractNumId w:val="308"/>
  </w:num>
  <w:num w:numId="265">
    <w:abstractNumId w:val="500"/>
  </w:num>
  <w:num w:numId="266">
    <w:abstractNumId w:val="334"/>
  </w:num>
  <w:num w:numId="267">
    <w:abstractNumId w:val="115"/>
  </w:num>
  <w:num w:numId="268">
    <w:abstractNumId w:val="378"/>
  </w:num>
  <w:num w:numId="269">
    <w:abstractNumId w:val="357"/>
  </w:num>
  <w:num w:numId="270">
    <w:abstractNumId w:val="238"/>
  </w:num>
  <w:num w:numId="271">
    <w:abstractNumId w:val="155"/>
  </w:num>
  <w:num w:numId="272">
    <w:abstractNumId w:val="381"/>
  </w:num>
  <w:num w:numId="273">
    <w:abstractNumId w:val="104"/>
  </w:num>
  <w:num w:numId="274">
    <w:abstractNumId w:val="549"/>
  </w:num>
  <w:num w:numId="275">
    <w:abstractNumId w:val="370"/>
  </w:num>
  <w:num w:numId="276">
    <w:abstractNumId w:val="253"/>
  </w:num>
  <w:num w:numId="277">
    <w:abstractNumId w:val="199"/>
  </w:num>
  <w:num w:numId="278">
    <w:abstractNumId w:val="240"/>
  </w:num>
  <w:num w:numId="279">
    <w:abstractNumId w:val="316"/>
  </w:num>
  <w:num w:numId="280">
    <w:abstractNumId w:val="256"/>
  </w:num>
  <w:num w:numId="281">
    <w:abstractNumId w:val="243"/>
  </w:num>
  <w:num w:numId="282">
    <w:abstractNumId w:val="565"/>
  </w:num>
  <w:num w:numId="283">
    <w:abstractNumId w:val="58"/>
  </w:num>
  <w:num w:numId="284">
    <w:abstractNumId w:val="380"/>
  </w:num>
  <w:num w:numId="285">
    <w:abstractNumId w:val="300"/>
  </w:num>
  <w:num w:numId="286">
    <w:abstractNumId w:val="560"/>
  </w:num>
  <w:num w:numId="287">
    <w:abstractNumId w:val="235"/>
  </w:num>
  <w:num w:numId="288">
    <w:abstractNumId w:val="389"/>
  </w:num>
  <w:num w:numId="289">
    <w:abstractNumId w:val="387"/>
  </w:num>
  <w:num w:numId="290">
    <w:abstractNumId w:val="472"/>
  </w:num>
  <w:num w:numId="291">
    <w:abstractNumId w:val="200"/>
  </w:num>
  <w:num w:numId="292">
    <w:abstractNumId w:val="314"/>
  </w:num>
  <w:num w:numId="293">
    <w:abstractNumId w:val="550"/>
  </w:num>
  <w:num w:numId="294">
    <w:abstractNumId w:val="523"/>
  </w:num>
  <w:num w:numId="295">
    <w:abstractNumId w:val="489"/>
  </w:num>
  <w:num w:numId="296">
    <w:abstractNumId w:val="73"/>
  </w:num>
  <w:num w:numId="297">
    <w:abstractNumId w:val="136"/>
  </w:num>
  <w:num w:numId="298">
    <w:abstractNumId w:val="544"/>
  </w:num>
  <w:num w:numId="299">
    <w:abstractNumId w:val="154"/>
  </w:num>
  <w:num w:numId="300">
    <w:abstractNumId w:val="342"/>
  </w:num>
  <w:num w:numId="301">
    <w:abstractNumId w:val="379"/>
  </w:num>
  <w:num w:numId="302">
    <w:abstractNumId w:val="274"/>
  </w:num>
  <w:num w:numId="303">
    <w:abstractNumId w:val="135"/>
  </w:num>
  <w:num w:numId="304">
    <w:abstractNumId w:val="266"/>
  </w:num>
  <w:num w:numId="305">
    <w:abstractNumId w:val="230"/>
  </w:num>
  <w:num w:numId="306">
    <w:abstractNumId w:val="348"/>
  </w:num>
  <w:num w:numId="307">
    <w:abstractNumId w:val="365"/>
  </w:num>
  <w:num w:numId="308">
    <w:abstractNumId w:val="203"/>
  </w:num>
  <w:num w:numId="309">
    <w:abstractNumId w:val="445"/>
  </w:num>
  <w:num w:numId="310">
    <w:abstractNumId w:val="103"/>
  </w:num>
  <w:num w:numId="311">
    <w:abstractNumId w:val="90"/>
  </w:num>
  <w:num w:numId="312">
    <w:abstractNumId w:val="174"/>
  </w:num>
  <w:num w:numId="313">
    <w:abstractNumId w:val="84"/>
  </w:num>
  <w:num w:numId="314">
    <w:abstractNumId w:val="222"/>
  </w:num>
  <w:num w:numId="315">
    <w:abstractNumId w:val="301"/>
  </w:num>
  <w:num w:numId="316">
    <w:abstractNumId w:val="368"/>
  </w:num>
  <w:num w:numId="317">
    <w:abstractNumId w:val="96"/>
  </w:num>
  <w:num w:numId="318">
    <w:abstractNumId w:val="454"/>
  </w:num>
  <w:num w:numId="319">
    <w:abstractNumId w:val="488"/>
  </w:num>
  <w:num w:numId="320">
    <w:abstractNumId w:val="347"/>
  </w:num>
  <w:num w:numId="321">
    <w:abstractNumId w:val="233"/>
  </w:num>
  <w:num w:numId="322">
    <w:abstractNumId w:val="272"/>
  </w:num>
  <w:num w:numId="323">
    <w:abstractNumId w:val="411"/>
  </w:num>
  <w:num w:numId="324">
    <w:abstractNumId w:val="548"/>
  </w:num>
  <w:num w:numId="325">
    <w:abstractNumId w:val="536"/>
  </w:num>
  <w:num w:numId="326">
    <w:abstractNumId w:val="8"/>
  </w:num>
  <w:num w:numId="327">
    <w:abstractNumId w:val="330"/>
  </w:num>
  <w:num w:numId="328">
    <w:abstractNumId w:val="111"/>
  </w:num>
  <w:num w:numId="329">
    <w:abstractNumId w:val="220"/>
  </w:num>
  <w:num w:numId="330">
    <w:abstractNumId w:val="211"/>
  </w:num>
  <w:num w:numId="331">
    <w:abstractNumId w:val="153"/>
  </w:num>
  <w:num w:numId="332">
    <w:abstractNumId w:val="121"/>
  </w:num>
  <w:num w:numId="333">
    <w:abstractNumId w:val="480"/>
  </w:num>
  <w:num w:numId="334">
    <w:abstractNumId w:val="332"/>
  </w:num>
  <w:num w:numId="335">
    <w:abstractNumId w:val="307"/>
  </w:num>
  <w:num w:numId="336">
    <w:abstractNumId w:val="367"/>
  </w:num>
  <w:num w:numId="337">
    <w:abstractNumId w:val="164"/>
  </w:num>
  <w:num w:numId="338">
    <w:abstractNumId w:val="554"/>
  </w:num>
  <w:num w:numId="339">
    <w:abstractNumId w:val="242"/>
  </w:num>
  <w:num w:numId="340">
    <w:abstractNumId w:val="99"/>
  </w:num>
  <w:num w:numId="341">
    <w:abstractNumId w:val="462"/>
  </w:num>
  <w:num w:numId="342">
    <w:abstractNumId w:val="299"/>
  </w:num>
  <w:num w:numId="343">
    <w:abstractNumId w:val="171"/>
  </w:num>
  <w:num w:numId="344">
    <w:abstractNumId w:val="100"/>
  </w:num>
  <w:num w:numId="345">
    <w:abstractNumId w:val="227"/>
  </w:num>
  <w:num w:numId="346">
    <w:abstractNumId w:val="252"/>
  </w:num>
  <w:num w:numId="347">
    <w:abstractNumId w:val="509"/>
  </w:num>
  <w:num w:numId="348">
    <w:abstractNumId w:val="310"/>
  </w:num>
  <w:num w:numId="349">
    <w:abstractNumId w:val="276"/>
  </w:num>
  <w:num w:numId="350">
    <w:abstractNumId w:val="561"/>
  </w:num>
  <w:num w:numId="351">
    <w:abstractNumId w:val="283"/>
  </w:num>
  <w:num w:numId="352">
    <w:abstractNumId w:val="362"/>
  </w:num>
  <w:num w:numId="353">
    <w:abstractNumId w:val="374"/>
  </w:num>
  <w:num w:numId="354">
    <w:abstractNumId w:val="303"/>
  </w:num>
  <w:num w:numId="355">
    <w:abstractNumId w:val="514"/>
  </w:num>
  <w:num w:numId="356">
    <w:abstractNumId w:val="487"/>
  </w:num>
  <w:num w:numId="357">
    <w:abstractNumId w:val="519"/>
  </w:num>
  <w:num w:numId="358">
    <w:abstractNumId w:val="540"/>
  </w:num>
  <w:num w:numId="359">
    <w:abstractNumId w:val="210"/>
  </w:num>
  <w:num w:numId="360">
    <w:abstractNumId w:val="194"/>
  </w:num>
  <w:num w:numId="361">
    <w:abstractNumId w:val="75"/>
  </w:num>
  <w:num w:numId="362">
    <w:abstractNumId w:val="132"/>
  </w:num>
  <w:num w:numId="363">
    <w:abstractNumId w:val="460"/>
  </w:num>
  <w:num w:numId="364">
    <w:abstractNumId w:val="78"/>
  </w:num>
  <w:num w:numId="365">
    <w:abstractNumId w:val="545"/>
  </w:num>
  <w:num w:numId="366">
    <w:abstractNumId w:val="186"/>
  </w:num>
  <w:num w:numId="367">
    <w:abstractNumId w:val="320"/>
  </w:num>
  <w:num w:numId="368">
    <w:abstractNumId w:val="236"/>
  </w:num>
  <w:num w:numId="369">
    <w:abstractNumId w:val="437"/>
  </w:num>
  <w:num w:numId="370">
    <w:abstractNumId w:val="82"/>
  </w:num>
  <w:num w:numId="371">
    <w:abstractNumId w:val="457"/>
  </w:num>
  <w:num w:numId="372">
    <w:abstractNumId w:val="354"/>
  </w:num>
  <w:num w:numId="373">
    <w:abstractNumId w:val="341"/>
  </w:num>
  <w:num w:numId="374">
    <w:abstractNumId w:val="197"/>
  </w:num>
  <w:num w:numId="375">
    <w:abstractNumId w:val="553"/>
  </w:num>
  <w:num w:numId="376">
    <w:abstractNumId w:val="226"/>
  </w:num>
  <w:num w:numId="377">
    <w:abstractNumId w:val="264"/>
  </w:num>
  <w:num w:numId="378">
    <w:abstractNumId w:val="355"/>
  </w:num>
  <w:num w:numId="379">
    <w:abstractNumId w:val="131"/>
  </w:num>
  <w:num w:numId="380">
    <w:abstractNumId w:val="120"/>
  </w:num>
  <w:num w:numId="381">
    <w:abstractNumId w:val="268"/>
  </w:num>
  <w:num w:numId="382">
    <w:abstractNumId w:val="492"/>
  </w:num>
  <w:num w:numId="383">
    <w:abstractNumId w:val="183"/>
  </w:num>
  <w:num w:numId="384">
    <w:abstractNumId w:val="93"/>
  </w:num>
  <w:num w:numId="385">
    <w:abstractNumId w:val="515"/>
  </w:num>
  <w:num w:numId="386">
    <w:abstractNumId w:val="527"/>
  </w:num>
  <w:num w:numId="387">
    <w:abstractNumId w:val="537"/>
  </w:num>
  <w:num w:numId="388">
    <w:abstractNumId w:val="206"/>
  </w:num>
  <w:num w:numId="389">
    <w:abstractNumId w:val="113"/>
  </w:num>
  <w:num w:numId="390">
    <w:abstractNumId w:val="205"/>
  </w:num>
  <w:num w:numId="391">
    <w:abstractNumId w:val="262"/>
  </w:num>
  <w:num w:numId="392">
    <w:abstractNumId w:val="102"/>
  </w:num>
  <w:num w:numId="393">
    <w:abstractNumId w:val="532"/>
  </w:num>
  <w:num w:numId="394">
    <w:abstractNumId w:val="62"/>
  </w:num>
  <w:num w:numId="395">
    <w:abstractNumId w:val="499"/>
  </w:num>
  <w:num w:numId="396">
    <w:abstractNumId w:val="216"/>
  </w:num>
  <w:num w:numId="397">
    <w:abstractNumId w:val="333"/>
  </w:num>
  <w:num w:numId="398">
    <w:abstractNumId w:val="133"/>
  </w:num>
  <w:num w:numId="399">
    <w:abstractNumId w:val="474"/>
  </w:num>
  <w:num w:numId="400">
    <w:abstractNumId w:val="281"/>
  </w:num>
  <w:num w:numId="401">
    <w:abstractNumId w:val="493"/>
  </w:num>
  <w:num w:numId="402">
    <w:abstractNumId w:val="338"/>
  </w:num>
  <w:num w:numId="403">
    <w:abstractNumId w:val="346"/>
  </w:num>
  <w:num w:numId="404">
    <w:abstractNumId w:val="415"/>
  </w:num>
  <w:num w:numId="405">
    <w:abstractNumId w:val="296"/>
  </w:num>
  <w:num w:numId="406">
    <w:abstractNumId w:val="439"/>
  </w:num>
  <w:num w:numId="407">
    <w:abstractNumId w:val="166"/>
  </w:num>
  <w:num w:numId="408">
    <w:abstractNumId w:val="68"/>
  </w:num>
  <w:num w:numId="409">
    <w:abstractNumId w:val="167"/>
  </w:num>
  <w:num w:numId="410">
    <w:abstractNumId w:val="463"/>
  </w:num>
  <w:num w:numId="411">
    <w:abstractNumId w:val="83"/>
  </w:num>
  <w:num w:numId="412">
    <w:abstractNumId w:val="494"/>
  </w:num>
  <w:num w:numId="413">
    <w:abstractNumId w:val="546"/>
  </w:num>
  <w:num w:numId="414">
    <w:abstractNumId w:val="250"/>
  </w:num>
  <w:num w:numId="415">
    <w:abstractNumId w:val="340"/>
  </w:num>
  <w:num w:numId="416">
    <w:abstractNumId w:val="446"/>
  </w:num>
  <w:num w:numId="417">
    <w:abstractNumId w:val="476"/>
  </w:num>
  <w:num w:numId="418">
    <w:abstractNumId w:val="286"/>
  </w:num>
  <w:num w:numId="419">
    <w:abstractNumId w:val="259"/>
  </w:num>
  <w:num w:numId="420">
    <w:abstractNumId w:val="557"/>
  </w:num>
  <w:num w:numId="421">
    <w:abstractNumId w:val="534"/>
  </w:num>
  <w:num w:numId="422">
    <w:abstractNumId w:val="319"/>
  </w:num>
  <w:num w:numId="423">
    <w:abstractNumId w:val="219"/>
  </w:num>
  <w:num w:numId="424">
    <w:abstractNumId w:val="484"/>
  </w:num>
  <w:num w:numId="42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4"/>
  </w:num>
  <w:num w:numId="427">
    <w:abstractNumId w:val="409"/>
  </w:num>
  <w:num w:numId="428">
    <w:abstractNumId w:val="455"/>
  </w:num>
  <w:num w:numId="429">
    <w:abstractNumId w:val="383"/>
  </w:num>
  <w:num w:numId="430">
    <w:abstractNumId w:val="444"/>
  </w:num>
  <w:num w:numId="431">
    <w:abstractNumId w:val="189"/>
  </w:num>
  <w:num w:numId="432">
    <w:abstractNumId w:val="146"/>
  </w:num>
  <w:num w:numId="433">
    <w:abstractNumId w:val="159"/>
  </w:num>
  <w:num w:numId="434">
    <w:abstractNumId w:val="237"/>
  </w:num>
  <w:num w:numId="435">
    <w:abstractNumId w:val="212"/>
  </w:num>
  <w:num w:numId="436">
    <w:abstractNumId w:val="331"/>
  </w:num>
  <w:num w:numId="437">
    <w:abstractNumId w:val="376"/>
  </w:num>
  <w:num w:numId="438">
    <w:abstractNumId w:val="143"/>
  </w:num>
  <w:num w:numId="439">
    <w:abstractNumId w:val="466"/>
  </w:num>
  <w:num w:numId="440">
    <w:abstractNumId w:val="198"/>
  </w:num>
  <w:num w:numId="441">
    <w:abstractNumId w:val="452"/>
  </w:num>
  <w:num w:numId="442">
    <w:abstractNumId w:val="533"/>
  </w:num>
  <w:num w:numId="443">
    <w:abstractNumId w:val="64"/>
  </w:num>
  <w:num w:numId="444">
    <w:abstractNumId w:val="324"/>
  </w:num>
  <w:num w:numId="445">
    <w:abstractNumId w:val="352"/>
  </w:num>
  <w:num w:numId="446">
    <w:abstractNumId w:val="107"/>
  </w:num>
  <w:num w:numId="447">
    <w:abstractNumId w:val="568"/>
  </w:num>
  <w:num w:numId="448">
    <w:abstractNumId w:val="137"/>
  </w:num>
  <w:num w:numId="449">
    <w:abstractNumId w:val="520"/>
  </w:num>
  <w:num w:numId="450">
    <w:abstractNumId w:val="469"/>
  </w:num>
  <w:num w:numId="451">
    <w:abstractNumId w:val="364"/>
  </w:num>
  <w:num w:numId="452">
    <w:abstractNumId w:val="501"/>
  </w:num>
  <w:num w:numId="453">
    <w:abstractNumId w:val="564"/>
  </w:num>
  <w:num w:numId="454">
    <w:abstractNumId w:val="241"/>
  </w:num>
  <w:num w:numId="455">
    <w:abstractNumId w:val="393"/>
  </w:num>
  <w:num w:numId="456">
    <w:abstractNumId w:val="483"/>
  </w:num>
  <w:num w:numId="457">
    <w:abstractNumId w:val="117"/>
  </w:num>
  <w:num w:numId="458">
    <w:abstractNumId w:val="359"/>
  </w:num>
  <w:num w:numId="459">
    <w:abstractNumId w:val="169"/>
  </w:num>
  <w:num w:numId="460">
    <w:abstractNumId w:val="513"/>
  </w:num>
  <w:num w:numId="461">
    <w:abstractNumId w:val="329"/>
  </w:num>
  <w:num w:numId="462">
    <w:abstractNumId w:val="477"/>
  </w:num>
  <w:num w:numId="463">
    <w:abstractNumId w:val="109"/>
  </w:num>
  <w:num w:numId="464">
    <w:abstractNumId w:val="524"/>
  </w:num>
  <w:num w:numId="465">
    <w:abstractNumId w:val="419"/>
  </w:num>
  <w:num w:numId="466">
    <w:abstractNumId w:val="507"/>
  </w:num>
  <w:num w:numId="467">
    <w:abstractNumId w:val="184"/>
  </w:num>
  <w:num w:numId="468">
    <w:abstractNumId w:val="228"/>
  </w:num>
  <w:num w:numId="469">
    <w:abstractNumId w:val="293"/>
  </w:num>
  <w:num w:numId="470">
    <w:abstractNumId w:val="467"/>
  </w:num>
  <w:num w:numId="471">
    <w:abstractNumId w:val="209"/>
  </w:num>
  <w:num w:numId="472">
    <w:abstractNumId w:val="91"/>
  </w:num>
  <w:num w:numId="473">
    <w:abstractNumId w:val="162"/>
  </w:num>
  <w:num w:numId="474">
    <w:abstractNumId w:val="459"/>
  </w:num>
  <w:num w:numId="475">
    <w:abstractNumId w:val="471"/>
  </w:num>
  <w:num w:numId="476">
    <w:abstractNumId w:val="526"/>
  </w:num>
  <w:num w:numId="477">
    <w:abstractNumId w:val="255"/>
  </w:num>
  <w:num w:numId="478">
    <w:abstractNumId w:val="245"/>
  </w:num>
  <w:num w:numId="479">
    <w:abstractNumId w:val="248"/>
  </w:num>
  <w:num w:numId="480">
    <w:abstractNumId w:val="478"/>
  </w:num>
  <w:num w:numId="481">
    <w:abstractNumId w:val="449"/>
  </w:num>
  <w:num w:numId="482">
    <w:abstractNumId w:val="81"/>
  </w:num>
  <w:num w:numId="483">
    <w:abstractNumId w:val="356"/>
  </w:num>
  <w:num w:numId="484">
    <w:abstractNumId w:val="178"/>
  </w:num>
  <w:num w:numId="485">
    <w:abstractNumId w:val="418"/>
  </w:num>
  <w:num w:numId="486">
    <w:abstractNumId w:val="328"/>
  </w:num>
  <w:num w:numId="487">
    <w:abstractNumId w:val="315"/>
  </w:num>
  <w:num w:numId="488">
    <w:abstractNumId w:val="313"/>
  </w:num>
  <w:num w:numId="489">
    <w:abstractNumId w:val="408"/>
  </w:num>
  <w:num w:numId="490">
    <w:abstractNumId w:val="282"/>
  </w:num>
  <w:num w:numId="491">
    <w:abstractNumId w:val="522"/>
  </w:num>
  <w:num w:numId="492">
    <w:abstractNumId w:val="353"/>
  </w:num>
  <w:num w:numId="493">
    <w:abstractNumId w:val="285"/>
  </w:num>
  <w:num w:numId="494">
    <w:abstractNumId w:val="79"/>
  </w:num>
  <w:num w:numId="495">
    <w:abstractNumId w:val="144"/>
  </w:num>
  <w:num w:numId="496">
    <w:abstractNumId w:val="366"/>
  </w:num>
  <w:num w:numId="497">
    <w:abstractNumId w:val="284"/>
  </w:num>
  <w:num w:numId="498">
    <w:abstractNumId w:val="280"/>
  </w:num>
  <w:num w:numId="499">
    <w:abstractNumId w:val="77"/>
  </w:num>
  <w:num w:numId="500">
    <w:abstractNumId w:val="570"/>
  </w:num>
  <w:num w:numId="501">
    <w:abstractNumId w:val="138"/>
  </w:num>
  <w:num w:numId="502">
    <w:abstractNumId w:val="447"/>
  </w:num>
  <w:num w:numId="503">
    <w:abstractNumId w:val="344"/>
  </w:num>
  <w:num w:numId="504">
    <w:abstractNumId w:val="92"/>
  </w:num>
  <w:num w:numId="505">
    <w:abstractNumId w:val="558"/>
  </w:num>
  <w:num w:numId="506">
    <w:abstractNumId w:val="86"/>
  </w:num>
  <w:num w:numId="507">
    <w:abstractNumId w:val="502"/>
  </w:num>
  <w:num w:numId="508">
    <w:abstractNumId w:val="118"/>
  </w:num>
  <w:num w:numId="509">
    <w:abstractNumId w:val="456"/>
  </w:num>
  <w:num w:numId="510">
    <w:abstractNumId w:val="292"/>
  </w:num>
  <w:num w:numId="511">
    <w:abstractNumId w:val="375"/>
  </w:num>
  <w:num w:numId="512">
    <w:abstractNumId w:val="551"/>
  </w:num>
  <w:num w:numId="513">
    <w:abstractNumId w:val="172"/>
  </w:num>
  <w:num w:numId="514">
    <w:abstractNumId w:val="434"/>
  </w:num>
  <w:num w:numId="515">
    <w:abstractNumId w:val="505"/>
  </w:num>
  <w:num w:numId="516">
    <w:abstractNumId w:val="112"/>
  </w:num>
  <w:num w:numId="517">
    <w:abstractNumId w:val="556"/>
  </w:num>
  <w:num w:numId="518">
    <w:abstractNumId w:val="538"/>
  </w:num>
  <w:num w:numId="519">
    <w:abstractNumId w:val="391"/>
  </w:num>
  <w:num w:numId="520">
    <w:abstractNumId w:val="76"/>
  </w:num>
  <w:num w:numId="521">
    <w:abstractNumId w:val="165"/>
  </w:num>
  <w:num w:numId="522">
    <w:abstractNumId w:val="89"/>
  </w:num>
  <w:num w:numId="523">
    <w:abstractNumId w:val="257"/>
  </w:num>
  <w:num w:numId="524">
    <w:abstractNumId w:val="69"/>
  </w:num>
  <w:num w:numId="525">
    <w:abstractNumId w:val="229"/>
  </w:num>
  <w:num w:numId="526">
    <w:abstractNumId w:val="294"/>
  </w:num>
  <w:num w:numId="527">
    <w:abstractNumId w:val="223"/>
  </w:num>
  <w:num w:numId="528">
    <w:abstractNumId w:val="275"/>
  </w:num>
  <w:num w:numId="529">
    <w:abstractNumId w:val="386"/>
  </w:num>
  <w:num w:numId="530">
    <w:abstractNumId w:val="470"/>
  </w:num>
  <w:num w:numId="531">
    <w:abstractNumId w:val="185"/>
  </w:num>
  <w:num w:numId="532">
    <w:abstractNumId w:val="150"/>
  </w:num>
  <w:num w:numId="533">
    <w:abstractNumId w:val="116"/>
  </w:num>
  <w:num w:numId="534">
    <w:abstractNumId w:val="541"/>
  </w:num>
  <w:num w:numId="535">
    <w:abstractNumId w:val="289"/>
  </w:num>
  <w:num w:numId="536">
    <w:abstractNumId w:val="263"/>
  </w:num>
  <w:num w:numId="537">
    <w:abstractNumId w:val="63"/>
  </w:num>
  <w:num w:numId="538">
    <w:abstractNumId w:val="168"/>
  </w:num>
  <w:num w:numId="539">
    <w:abstractNumId w:val="221"/>
  </w:num>
  <w:num w:numId="540">
    <w:abstractNumId w:val="336"/>
  </w:num>
  <w:num w:numId="541">
    <w:abstractNumId w:val="59"/>
  </w:num>
  <w:num w:numId="542">
    <w:abstractNumId w:val="260"/>
  </w:num>
  <w:num w:numId="543">
    <w:abstractNumId w:val="382"/>
  </w:num>
  <w:num w:numId="544">
    <w:abstractNumId w:val="291"/>
  </w:num>
  <w:num w:numId="545">
    <w:abstractNumId w:val="128"/>
  </w:num>
  <w:num w:numId="546">
    <w:abstractNumId w:val="288"/>
  </w:num>
  <w:num w:numId="547">
    <w:abstractNumId w:val="416"/>
  </w:num>
  <w:num w:numId="548">
    <w:abstractNumId w:val="130"/>
  </w:num>
  <w:num w:numId="549">
    <w:abstractNumId w:val="231"/>
  </w:num>
  <w:num w:numId="550">
    <w:abstractNumId w:val="450"/>
  </w:num>
  <w:num w:numId="551">
    <w:abstractNumId w:val="518"/>
  </w:num>
  <w:num w:numId="552">
    <w:abstractNumId w:val="468"/>
  </w:num>
  <w:num w:numId="553">
    <w:abstractNumId w:val="420"/>
  </w:num>
  <w:num w:numId="554">
    <w:abstractNumId w:val="249"/>
  </w:num>
  <w:num w:numId="555">
    <w:abstractNumId w:val="461"/>
  </w:num>
  <w:num w:numId="556">
    <w:abstractNumId w:val="496"/>
  </w:num>
  <w:num w:numId="557">
    <w:abstractNumId w:val="110"/>
  </w:num>
  <w:num w:numId="558">
    <w:abstractNumId w:val="258"/>
  </w:num>
  <w:num w:numId="559">
    <w:abstractNumId w:val="311"/>
  </w:num>
  <w:num w:numId="560">
    <w:abstractNumId w:val="156"/>
  </w:num>
  <w:num w:numId="561">
    <w:abstractNumId w:val="451"/>
  </w:num>
  <w:num w:numId="562">
    <w:abstractNumId w:val="148"/>
  </w:num>
  <w:num w:numId="563">
    <w:abstractNumId w:val="61"/>
  </w:num>
  <w:num w:numId="564">
    <w:abstractNumId w:val="127"/>
  </w:num>
  <w:num w:numId="565">
    <w:abstractNumId w:val="312"/>
  </w:num>
  <w:num w:numId="566">
    <w:abstractNumId w:val="377"/>
  </w:num>
  <w:num w:numId="567">
    <w:abstractNumId w:val="94"/>
  </w:num>
  <w:num w:numId="568">
    <w:abstractNumId w:val="555"/>
  </w:num>
  <w:num w:numId="569">
    <w:abstractNumId w:val="214"/>
  </w:num>
  <w:num w:numId="570">
    <w:abstractNumId w:val="491"/>
  </w:num>
  <w:num w:numId="571">
    <w:abstractNumId w:val="516"/>
  </w:num>
  <w:num w:numId="572">
    <w:abstractNumId w:val="141"/>
  </w:num>
  <w:numIdMacAtCleanup w:val="5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0E93"/>
    <w:rsid w:val="0000494F"/>
    <w:rsid w:val="00014590"/>
    <w:rsid w:val="00026B24"/>
    <w:rsid w:val="000272CE"/>
    <w:rsid w:val="000358C7"/>
    <w:rsid w:val="00037A21"/>
    <w:rsid w:val="00040E93"/>
    <w:rsid w:val="0004440F"/>
    <w:rsid w:val="00045E41"/>
    <w:rsid w:val="0004719E"/>
    <w:rsid w:val="000807C1"/>
    <w:rsid w:val="000851D2"/>
    <w:rsid w:val="00097A14"/>
    <w:rsid w:val="000E7677"/>
    <w:rsid w:val="000E7DCD"/>
    <w:rsid w:val="000F1B33"/>
    <w:rsid w:val="000F4737"/>
    <w:rsid w:val="00107DC4"/>
    <w:rsid w:val="00133A5B"/>
    <w:rsid w:val="001572AF"/>
    <w:rsid w:val="00162D69"/>
    <w:rsid w:val="00167CE2"/>
    <w:rsid w:val="00184E46"/>
    <w:rsid w:val="001908C8"/>
    <w:rsid w:val="001C0563"/>
    <w:rsid w:val="001D7AFE"/>
    <w:rsid w:val="001F0230"/>
    <w:rsid w:val="002078D1"/>
    <w:rsid w:val="00213C29"/>
    <w:rsid w:val="00261431"/>
    <w:rsid w:val="002851AA"/>
    <w:rsid w:val="002908AB"/>
    <w:rsid w:val="00295C61"/>
    <w:rsid w:val="002A7C9B"/>
    <w:rsid w:val="003000C6"/>
    <w:rsid w:val="003018D3"/>
    <w:rsid w:val="00313034"/>
    <w:rsid w:val="003265A2"/>
    <w:rsid w:val="00331A6E"/>
    <w:rsid w:val="003669D9"/>
    <w:rsid w:val="003717A0"/>
    <w:rsid w:val="00372466"/>
    <w:rsid w:val="00377A70"/>
    <w:rsid w:val="00377CF0"/>
    <w:rsid w:val="003A32AA"/>
    <w:rsid w:val="003B4CD1"/>
    <w:rsid w:val="003C6347"/>
    <w:rsid w:val="003E0489"/>
    <w:rsid w:val="003E0F71"/>
    <w:rsid w:val="003E5344"/>
    <w:rsid w:val="004273F5"/>
    <w:rsid w:val="00443B48"/>
    <w:rsid w:val="00443EA4"/>
    <w:rsid w:val="00451DC6"/>
    <w:rsid w:val="004648B3"/>
    <w:rsid w:val="00481657"/>
    <w:rsid w:val="00491A99"/>
    <w:rsid w:val="00495132"/>
    <w:rsid w:val="004B44D8"/>
    <w:rsid w:val="004D1806"/>
    <w:rsid w:val="004D27CB"/>
    <w:rsid w:val="004E7ABC"/>
    <w:rsid w:val="004F0EA0"/>
    <w:rsid w:val="004F1D06"/>
    <w:rsid w:val="005036FE"/>
    <w:rsid w:val="00514AB1"/>
    <w:rsid w:val="00521C7D"/>
    <w:rsid w:val="0052573D"/>
    <w:rsid w:val="005436F0"/>
    <w:rsid w:val="00544EB5"/>
    <w:rsid w:val="00553236"/>
    <w:rsid w:val="00566E4D"/>
    <w:rsid w:val="005D6B2F"/>
    <w:rsid w:val="005E20B5"/>
    <w:rsid w:val="005F0A71"/>
    <w:rsid w:val="005F1809"/>
    <w:rsid w:val="005F5550"/>
    <w:rsid w:val="00631882"/>
    <w:rsid w:val="00664AA5"/>
    <w:rsid w:val="00672EEF"/>
    <w:rsid w:val="00680989"/>
    <w:rsid w:val="00681E4E"/>
    <w:rsid w:val="00684FE3"/>
    <w:rsid w:val="00695411"/>
    <w:rsid w:val="006A2CA6"/>
    <w:rsid w:val="006C4E25"/>
    <w:rsid w:val="006E108B"/>
    <w:rsid w:val="006E336D"/>
    <w:rsid w:val="006E459D"/>
    <w:rsid w:val="00745871"/>
    <w:rsid w:val="00746B72"/>
    <w:rsid w:val="00775FC9"/>
    <w:rsid w:val="007A7CF2"/>
    <w:rsid w:val="007E54D0"/>
    <w:rsid w:val="007F6AFA"/>
    <w:rsid w:val="008128E1"/>
    <w:rsid w:val="00836C9B"/>
    <w:rsid w:val="00850A28"/>
    <w:rsid w:val="008555FA"/>
    <w:rsid w:val="008647EC"/>
    <w:rsid w:val="00881B85"/>
    <w:rsid w:val="00884E0E"/>
    <w:rsid w:val="0089514C"/>
    <w:rsid w:val="008B7082"/>
    <w:rsid w:val="008D4585"/>
    <w:rsid w:val="008E38D4"/>
    <w:rsid w:val="008E6C9D"/>
    <w:rsid w:val="008F4A56"/>
    <w:rsid w:val="0091339D"/>
    <w:rsid w:val="00913B56"/>
    <w:rsid w:val="009355E4"/>
    <w:rsid w:val="00946979"/>
    <w:rsid w:val="009956C7"/>
    <w:rsid w:val="009B65D1"/>
    <w:rsid w:val="009F5173"/>
    <w:rsid w:val="009F65E2"/>
    <w:rsid w:val="00A01C9A"/>
    <w:rsid w:val="00A255AC"/>
    <w:rsid w:val="00A31CF5"/>
    <w:rsid w:val="00A77A25"/>
    <w:rsid w:val="00A80E1A"/>
    <w:rsid w:val="00A90796"/>
    <w:rsid w:val="00A936BC"/>
    <w:rsid w:val="00AB118F"/>
    <w:rsid w:val="00AB34F6"/>
    <w:rsid w:val="00AC68D9"/>
    <w:rsid w:val="00B26D47"/>
    <w:rsid w:val="00B643D0"/>
    <w:rsid w:val="00BA0282"/>
    <w:rsid w:val="00BA5C48"/>
    <w:rsid w:val="00BB2FDD"/>
    <w:rsid w:val="00BB65F4"/>
    <w:rsid w:val="00BB7268"/>
    <w:rsid w:val="00BE3D89"/>
    <w:rsid w:val="00BF7C35"/>
    <w:rsid w:val="00C06C4A"/>
    <w:rsid w:val="00C3614D"/>
    <w:rsid w:val="00C43799"/>
    <w:rsid w:val="00C94632"/>
    <w:rsid w:val="00CB5E38"/>
    <w:rsid w:val="00CF187E"/>
    <w:rsid w:val="00D30C70"/>
    <w:rsid w:val="00D54FBD"/>
    <w:rsid w:val="00D81910"/>
    <w:rsid w:val="00DA3BDA"/>
    <w:rsid w:val="00DB5AD0"/>
    <w:rsid w:val="00DB621C"/>
    <w:rsid w:val="00DD2A93"/>
    <w:rsid w:val="00DD7C79"/>
    <w:rsid w:val="00DE0EB1"/>
    <w:rsid w:val="00DF515D"/>
    <w:rsid w:val="00E0056E"/>
    <w:rsid w:val="00E251AC"/>
    <w:rsid w:val="00E30CC2"/>
    <w:rsid w:val="00E65A9F"/>
    <w:rsid w:val="00EA5BFD"/>
    <w:rsid w:val="00EB572E"/>
    <w:rsid w:val="00EC15A8"/>
    <w:rsid w:val="00F309B3"/>
    <w:rsid w:val="00F5156D"/>
    <w:rsid w:val="00F52D2A"/>
    <w:rsid w:val="00F739CD"/>
    <w:rsid w:val="00FA0A9A"/>
    <w:rsid w:val="00FD1498"/>
    <w:rsid w:val="00FE2A74"/>
    <w:rsid w:val="00FF4A28"/>
    <w:rsid w:val="1A1652D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21C"/>
    <w:pPr>
      <w:widowControl w:val="0"/>
      <w:jc w:val="both"/>
    </w:pPr>
    <w:rPr>
      <w:kern w:val="2"/>
      <w:sz w:val="21"/>
      <w:szCs w:val="22"/>
    </w:rPr>
  </w:style>
  <w:style w:type="paragraph" w:styleId="1">
    <w:name w:val="heading 1"/>
    <w:basedOn w:val="a"/>
    <w:next w:val="a"/>
    <w:link w:val="1Char"/>
    <w:uiPriority w:val="99"/>
    <w:qFormat/>
    <w:rsid w:val="00DB621C"/>
    <w:pPr>
      <w:keepNext/>
      <w:keepLines/>
      <w:jc w:val="center"/>
      <w:outlineLvl w:val="0"/>
    </w:pPr>
    <w:rPr>
      <w:rFonts w:ascii="Times New Roman" w:eastAsia="黑体" w:hAnsi="Times New Roman" w:cs="Times New Roman"/>
      <w:bCs/>
      <w:kern w:val="44"/>
      <w:sz w:val="28"/>
      <w:szCs w:val="44"/>
    </w:rPr>
  </w:style>
  <w:style w:type="paragraph" w:styleId="2">
    <w:name w:val="heading 2"/>
    <w:basedOn w:val="a"/>
    <w:next w:val="a"/>
    <w:link w:val="2Char"/>
    <w:uiPriority w:val="99"/>
    <w:qFormat/>
    <w:rsid w:val="00DB621C"/>
    <w:pPr>
      <w:keepNext/>
      <w:ind w:firstLineChars="794" w:firstLine="2188"/>
      <w:outlineLvl w:val="1"/>
    </w:pPr>
    <w:rPr>
      <w:rFonts w:ascii="Times New Roman" w:hAnsi="Times New Roman" w:cs="Times New Roman"/>
      <w:b/>
      <w:bCs/>
      <w:sz w:val="28"/>
      <w:szCs w:val="20"/>
    </w:rPr>
  </w:style>
  <w:style w:type="paragraph" w:styleId="3">
    <w:name w:val="heading 3"/>
    <w:basedOn w:val="a"/>
    <w:next w:val="a"/>
    <w:link w:val="3Char"/>
    <w:uiPriority w:val="99"/>
    <w:qFormat/>
    <w:rsid w:val="00DB621C"/>
    <w:pPr>
      <w:keepNext/>
      <w:keepLines/>
      <w:spacing w:before="260" w:after="260" w:line="416" w:lineRule="auto"/>
      <w:outlineLvl w:val="2"/>
    </w:pPr>
    <w:rPr>
      <w:rFonts w:ascii="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B621C"/>
    <w:rPr>
      <w:rFonts w:ascii="Times New Roman" w:eastAsia="黑体" w:hAnsi="Times New Roman" w:cs="Times New Roman"/>
      <w:bCs/>
      <w:kern w:val="44"/>
      <w:sz w:val="44"/>
      <w:szCs w:val="44"/>
    </w:rPr>
  </w:style>
  <w:style w:type="character" w:customStyle="1" w:styleId="2Char">
    <w:name w:val="标题 2 Char"/>
    <w:basedOn w:val="a0"/>
    <w:link w:val="2"/>
    <w:uiPriority w:val="99"/>
    <w:locked/>
    <w:rsid w:val="00DB621C"/>
    <w:rPr>
      <w:rFonts w:ascii="Times New Roman" w:eastAsia="宋体" w:hAnsi="Times New Roman" w:cs="Times New Roman"/>
      <w:b/>
      <w:bCs/>
      <w:sz w:val="20"/>
      <w:szCs w:val="20"/>
    </w:rPr>
  </w:style>
  <w:style w:type="character" w:customStyle="1" w:styleId="3Char">
    <w:name w:val="标题 3 Char"/>
    <w:basedOn w:val="a0"/>
    <w:link w:val="3"/>
    <w:uiPriority w:val="99"/>
    <w:locked/>
    <w:rsid w:val="00DB621C"/>
    <w:rPr>
      <w:rFonts w:ascii="Times New Roman" w:eastAsia="宋体" w:hAnsi="Times New Roman" w:cs="Times New Roman"/>
      <w:b/>
      <w:sz w:val="20"/>
      <w:szCs w:val="20"/>
    </w:rPr>
  </w:style>
  <w:style w:type="paragraph" w:styleId="a3">
    <w:name w:val="annotation text"/>
    <w:basedOn w:val="a"/>
    <w:link w:val="Char"/>
    <w:uiPriority w:val="99"/>
    <w:rsid w:val="00DB621C"/>
    <w:pPr>
      <w:jc w:val="left"/>
    </w:pPr>
    <w:rPr>
      <w:rFonts w:ascii="Times New Roman" w:hAnsi="Times New Roman" w:cs="Times New Roman"/>
      <w:szCs w:val="24"/>
    </w:rPr>
  </w:style>
  <w:style w:type="character" w:customStyle="1" w:styleId="Char">
    <w:name w:val="批注文字 Char"/>
    <w:basedOn w:val="a0"/>
    <w:link w:val="a3"/>
    <w:uiPriority w:val="99"/>
    <w:locked/>
    <w:rsid w:val="00DB621C"/>
    <w:rPr>
      <w:rFonts w:ascii="Times New Roman" w:eastAsia="宋体" w:hAnsi="Times New Roman" w:cs="Times New Roman"/>
      <w:sz w:val="24"/>
      <w:szCs w:val="24"/>
    </w:rPr>
  </w:style>
  <w:style w:type="paragraph" w:styleId="a4">
    <w:name w:val="annotation subject"/>
    <w:basedOn w:val="a3"/>
    <w:next w:val="a3"/>
    <w:link w:val="Char0"/>
    <w:uiPriority w:val="99"/>
    <w:rsid w:val="00DB621C"/>
    <w:rPr>
      <w:b/>
      <w:bCs/>
    </w:rPr>
  </w:style>
  <w:style w:type="character" w:customStyle="1" w:styleId="Char0">
    <w:name w:val="批注主题 Char"/>
    <w:basedOn w:val="Char"/>
    <w:link w:val="a4"/>
    <w:uiPriority w:val="99"/>
    <w:locked/>
    <w:rsid w:val="00DB621C"/>
    <w:rPr>
      <w:b/>
      <w:bCs/>
    </w:rPr>
  </w:style>
  <w:style w:type="paragraph" w:styleId="a5">
    <w:name w:val="Normal Indent"/>
    <w:basedOn w:val="a"/>
    <w:uiPriority w:val="99"/>
    <w:rsid w:val="00DB621C"/>
    <w:pPr>
      <w:spacing w:line="300" w:lineRule="atLeast"/>
      <w:ind w:firstLine="420"/>
    </w:pPr>
    <w:rPr>
      <w:rFonts w:ascii="Times New Roman" w:hAnsi="Times New Roman" w:cs="Times New Roman"/>
      <w:szCs w:val="21"/>
    </w:rPr>
  </w:style>
  <w:style w:type="paragraph" w:styleId="a6">
    <w:name w:val="Body Text"/>
    <w:basedOn w:val="a"/>
    <w:link w:val="Char1"/>
    <w:uiPriority w:val="99"/>
    <w:rsid w:val="00DB621C"/>
    <w:pPr>
      <w:widowControl/>
      <w:spacing w:before="100" w:beforeAutospacing="1" w:after="100" w:afterAutospacing="1"/>
      <w:jc w:val="left"/>
    </w:pPr>
    <w:rPr>
      <w:rFonts w:ascii="宋体" w:hAnsi="宋体" w:cs="宋体"/>
      <w:kern w:val="0"/>
      <w:sz w:val="24"/>
      <w:szCs w:val="24"/>
    </w:rPr>
  </w:style>
  <w:style w:type="character" w:customStyle="1" w:styleId="Char1">
    <w:name w:val="正文文本 Char"/>
    <w:basedOn w:val="a0"/>
    <w:link w:val="a6"/>
    <w:uiPriority w:val="99"/>
    <w:locked/>
    <w:rsid w:val="00DB621C"/>
    <w:rPr>
      <w:rFonts w:ascii="宋体" w:eastAsia="宋体" w:hAnsi="宋体" w:cs="宋体"/>
      <w:kern w:val="0"/>
      <w:sz w:val="24"/>
      <w:szCs w:val="24"/>
    </w:rPr>
  </w:style>
  <w:style w:type="paragraph" w:styleId="a7">
    <w:name w:val="Body Text Indent"/>
    <w:basedOn w:val="a"/>
    <w:link w:val="Char2"/>
    <w:uiPriority w:val="99"/>
    <w:rsid w:val="00DB621C"/>
    <w:pPr>
      <w:widowControl/>
      <w:adjustRightInd w:val="0"/>
      <w:ind w:leftChars="171" w:left="360" w:hanging="1"/>
      <w:jc w:val="left"/>
    </w:pPr>
    <w:rPr>
      <w:rFonts w:ascii="Times New Roman" w:hAnsi="Times New Roman" w:cs="Times New Roman"/>
      <w:szCs w:val="24"/>
    </w:rPr>
  </w:style>
  <w:style w:type="character" w:customStyle="1" w:styleId="Char2">
    <w:name w:val="正文文本缩进 Char"/>
    <w:basedOn w:val="a0"/>
    <w:link w:val="a7"/>
    <w:uiPriority w:val="99"/>
    <w:locked/>
    <w:rsid w:val="00DB621C"/>
    <w:rPr>
      <w:rFonts w:ascii="Times New Roman" w:eastAsia="宋体" w:hAnsi="Times New Roman" w:cs="Times New Roman"/>
      <w:sz w:val="24"/>
      <w:szCs w:val="24"/>
    </w:rPr>
  </w:style>
  <w:style w:type="paragraph" w:styleId="a8">
    <w:name w:val="Block Text"/>
    <w:basedOn w:val="a"/>
    <w:uiPriority w:val="99"/>
    <w:rsid w:val="00DB621C"/>
    <w:pPr>
      <w:ind w:left="280" w:right="-1774"/>
      <w:jc w:val="left"/>
    </w:pPr>
    <w:rPr>
      <w:rFonts w:ascii="Times New Roman" w:hAnsi="Times New Roman" w:cs="Times New Roman"/>
      <w:sz w:val="32"/>
      <w:szCs w:val="20"/>
    </w:rPr>
  </w:style>
  <w:style w:type="paragraph" w:styleId="30">
    <w:name w:val="toc 3"/>
    <w:basedOn w:val="a"/>
    <w:next w:val="a"/>
    <w:uiPriority w:val="99"/>
    <w:rsid w:val="00DB621C"/>
    <w:pPr>
      <w:ind w:leftChars="400" w:left="840"/>
    </w:pPr>
  </w:style>
  <w:style w:type="paragraph" w:styleId="a9">
    <w:name w:val="Plain Text"/>
    <w:basedOn w:val="a"/>
    <w:link w:val="Char3"/>
    <w:uiPriority w:val="99"/>
    <w:rsid w:val="00DB621C"/>
    <w:rPr>
      <w:rFonts w:ascii="宋体" w:hAnsi="Courier New" w:cs="Courier New"/>
      <w:szCs w:val="21"/>
    </w:rPr>
  </w:style>
  <w:style w:type="character" w:customStyle="1" w:styleId="Char3">
    <w:name w:val="纯文本 Char"/>
    <w:basedOn w:val="a0"/>
    <w:link w:val="a9"/>
    <w:uiPriority w:val="99"/>
    <w:locked/>
    <w:rsid w:val="00DB621C"/>
    <w:rPr>
      <w:rFonts w:ascii="宋体" w:eastAsia="宋体" w:hAnsi="Courier New" w:cs="Courier New"/>
      <w:sz w:val="21"/>
      <w:szCs w:val="21"/>
    </w:rPr>
  </w:style>
  <w:style w:type="paragraph" w:styleId="aa">
    <w:name w:val="Date"/>
    <w:basedOn w:val="a"/>
    <w:next w:val="a"/>
    <w:link w:val="Char4"/>
    <w:uiPriority w:val="99"/>
    <w:rsid w:val="00DB621C"/>
    <w:rPr>
      <w:rFonts w:ascii="Times New Roman" w:hAnsi="Times New Roman" w:cs="Times New Roman"/>
      <w:szCs w:val="24"/>
    </w:rPr>
  </w:style>
  <w:style w:type="character" w:customStyle="1" w:styleId="Char4">
    <w:name w:val="日期 Char"/>
    <w:basedOn w:val="a0"/>
    <w:link w:val="aa"/>
    <w:uiPriority w:val="99"/>
    <w:locked/>
    <w:rsid w:val="00DB621C"/>
    <w:rPr>
      <w:rFonts w:ascii="Times New Roman" w:eastAsia="宋体" w:hAnsi="Times New Roman" w:cs="Times New Roman"/>
      <w:sz w:val="24"/>
      <w:szCs w:val="24"/>
    </w:rPr>
  </w:style>
  <w:style w:type="paragraph" w:styleId="20">
    <w:name w:val="Body Text Indent 2"/>
    <w:basedOn w:val="a"/>
    <w:link w:val="2Char0"/>
    <w:uiPriority w:val="99"/>
    <w:rsid w:val="00DB621C"/>
    <w:pPr>
      <w:ind w:firstLineChars="200" w:firstLine="420"/>
    </w:pPr>
    <w:rPr>
      <w:rFonts w:ascii="Times New Roman" w:hAnsi="Times New Roman" w:cs="Times New Roman"/>
      <w:szCs w:val="20"/>
    </w:rPr>
  </w:style>
  <w:style w:type="character" w:customStyle="1" w:styleId="2Char0">
    <w:name w:val="正文文本缩进 2 Char"/>
    <w:basedOn w:val="a0"/>
    <w:link w:val="20"/>
    <w:uiPriority w:val="99"/>
    <w:locked/>
    <w:rsid w:val="00DB621C"/>
    <w:rPr>
      <w:rFonts w:ascii="Times New Roman" w:eastAsia="宋体" w:hAnsi="Times New Roman" w:cs="Times New Roman"/>
      <w:sz w:val="20"/>
      <w:szCs w:val="20"/>
    </w:rPr>
  </w:style>
  <w:style w:type="paragraph" w:styleId="ab">
    <w:name w:val="endnote text"/>
    <w:basedOn w:val="a"/>
    <w:link w:val="Char5"/>
    <w:uiPriority w:val="99"/>
    <w:rsid w:val="00DB621C"/>
    <w:rPr>
      <w:rFonts w:ascii="Times New Roman" w:hAnsi="Times New Roman" w:cs="Times New Roman"/>
      <w:sz w:val="20"/>
      <w:szCs w:val="20"/>
    </w:rPr>
  </w:style>
  <w:style w:type="character" w:customStyle="1" w:styleId="Char5">
    <w:name w:val="尾注文本 Char"/>
    <w:basedOn w:val="a0"/>
    <w:link w:val="ab"/>
    <w:uiPriority w:val="99"/>
    <w:locked/>
    <w:rsid w:val="00DB621C"/>
    <w:rPr>
      <w:rFonts w:ascii="Times New Roman" w:eastAsia="宋体" w:hAnsi="Times New Roman" w:cs="Times New Roman"/>
      <w:sz w:val="20"/>
      <w:szCs w:val="20"/>
    </w:rPr>
  </w:style>
  <w:style w:type="paragraph" w:styleId="ac">
    <w:name w:val="Balloon Text"/>
    <w:basedOn w:val="a"/>
    <w:link w:val="Char6"/>
    <w:uiPriority w:val="99"/>
    <w:rsid w:val="00DB621C"/>
    <w:pPr>
      <w:spacing w:beforeAutospacing="1" w:afterAutospacing="1"/>
    </w:pPr>
    <w:rPr>
      <w:rFonts w:cs="Times New Roman"/>
      <w:kern w:val="0"/>
      <w:sz w:val="18"/>
      <w:szCs w:val="20"/>
    </w:rPr>
  </w:style>
  <w:style w:type="character" w:customStyle="1" w:styleId="BalloonTextChar">
    <w:name w:val="Balloon Text Char"/>
    <w:basedOn w:val="a0"/>
    <w:link w:val="ac"/>
    <w:uiPriority w:val="99"/>
    <w:semiHidden/>
    <w:locked/>
    <w:rsid w:val="00DB621C"/>
    <w:rPr>
      <w:rFonts w:cs="Times New Roman"/>
      <w:sz w:val="18"/>
      <w:szCs w:val="18"/>
    </w:rPr>
  </w:style>
  <w:style w:type="paragraph" w:styleId="ad">
    <w:name w:val="footer"/>
    <w:basedOn w:val="a"/>
    <w:link w:val="Char10"/>
    <w:uiPriority w:val="99"/>
    <w:rsid w:val="00DB621C"/>
    <w:pPr>
      <w:tabs>
        <w:tab w:val="center" w:pos="4153"/>
        <w:tab w:val="right" w:pos="8306"/>
      </w:tabs>
      <w:snapToGrid w:val="0"/>
      <w:jc w:val="left"/>
    </w:pPr>
    <w:rPr>
      <w:sz w:val="18"/>
      <w:szCs w:val="18"/>
    </w:rPr>
  </w:style>
  <w:style w:type="character" w:customStyle="1" w:styleId="Char10">
    <w:name w:val="页脚 Char1"/>
    <w:basedOn w:val="a0"/>
    <w:link w:val="ad"/>
    <w:uiPriority w:val="99"/>
    <w:locked/>
    <w:rsid w:val="00DB621C"/>
    <w:rPr>
      <w:rFonts w:cs="Times New Roman"/>
      <w:sz w:val="18"/>
      <w:szCs w:val="18"/>
    </w:rPr>
  </w:style>
  <w:style w:type="paragraph" w:styleId="21">
    <w:name w:val="Body Text First Indent 2"/>
    <w:basedOn w:val="a7"/>
    <w:link w:val="2Char1"/>
    <w:uiPriority w:val="99"/>
    <w:rsid w:val="00DB621C"/>
    <w:pPr>
      <w:widowControl w:val="0"/>
      <w:adjustRightInd/>
      <w:spacing w:after="120" w:line="240" w:lineRule="atLeast"/>
      <w:ind w:leftChars="200" w:left="420" w:firstLineChars="200" w:firstLine="420"/>
    </w:pPr>
    <w:rPr>
      <w:rFonts w:ascii="宋体"/>
      <w:kern w:val="0"/>
      <w:sz w:val="20"/>
      <w:szCs w:val="20"/>
    </w:rPr>
  </w:style>
  <w:style w:type="character" w:customStyle="1" w:styleId="2Char1">
    <w:name w:val="正文首行缩进 2 Char"/>
    <w:basedOn w:val="Char2"/>
    <w:link w:val="21"/>
    <w:uiPriority w:val="99"/>
    <w:locked/>
    <w:rsid w:val="00DB621C"/>
    <w:rPr>
      <w:rFonts w:ascii="宋体"/>
      <w:snapToGrid w:val="0"/>
      <w:kern w:val="0"/>
      <w:sz w:val="20"/>
      <w:szCs w:val="20"/>
    </w:rPr>
  </w:style>
  <w:style w:type="paragraph" w:styleId="ae">
    <w:name w:val="header"/>
    <w:basedOn w:val="a"/>
    <w:link w:val="Char7"/>
    <w:uiPriority w:val="99"/>
    <w:rsid w:val="00DB621C"/>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e"/>
    <w:uiPriority w:val="99"/>
    <w:locked/>
    <w:rsid w:val="00DB621C"/>
    <w:rPr>
      <w:rFonts w:cs="Times New Roman"/>
      <w:sz w:val="18"/>
      <w:szCs w:val="18"/>
    </w:rPr>
  </w:style>
  <w:style w:type="paragraph" w:styleId="10">
    <w:name w:val="toc 1"/>
    <w:basedOn w:val="a"/>
    <w:next w:val="a"/>
    <w:uiPriority w:val="39"/>
    <w:rsid w:val="00DB621C"/>
    <w:pPr>
      <w:widowControl/>
      <w:spacing w:after="100" w:line="276" w:lineRule="auto"/>
      <w:jc w:val="left"/>
    </w:pPr>
    <w:rPr>
      <w:rFonts w:cs="Times New Roman"/>
      <w:kern w:val="0"/>
      <w:sz w:val="22"/>
    </w:rPr>
  </w:style>
  <w:style w:type="paragraph" w:styleId="af">
    <w:name w:val="List"/>
    <w:basedOn w:val="a"/>
    <w:uiPriority w:val="99"/>
    <w:rsid w:val="00DB621C"/>
    <w:pPr>
      <w:ind w:left="200" w:hangingChars="200" w:hanging="200"/>
    </w:pPr>
    <w:rPr>
      <w:rFonts w:ascii="Times New Roman" w:hAnsi="Times New Roman" w:cs="Times New Roman"/>
      <w:szCs w:val="24"/>
    </w:rPr>
  </w:style>
  <w:style w:type="paragraph" w:styleId="31">
    <w:name w:val="Body Text Indent 3"/>
    <w:basedOn w:val="a"/>
    <w:link w:val="3Char0"/>
    <w:uiPriority w:val="99"/>
    <w:rsid w:val="00DB621C"/>
    <w:pPr>
      <w:ind w:leftChars="157" w:left="1170" w:hangingChars="400" w:hanging="840"/>
    </w:pPr>
    <w:rPr>
      <w:rFonts w:ascii="Times New Roman" w:hAnsi="Times New Roman" w:cs="Times New Roman"/>
      <w:szCs w:val="20"/>
    </w:rPr>
  </w:style>
  <w:style w:type="character" w:customStyle="1" w:styleId="3Char0">
    <w:name w:val="正文文本缩进 3 Char"/>
    <w:basedOn w:val="a0"/>
    <w:link w:val="31"/>
    <w:uiPriority w:val="99"/>
    <w:locked/>
    <w:rsid w:val="00DB621C"/>
    <w:rPr>
      <w:rFonts w:ascii="Times New Roman" w:eastAsia="宋体" w:hAnsi="Times New Roman" w:cs="Times New Roman"/>
      <w:sz w:val="20"/>
      <w:szCs w:val="20"/>
    </w:rPr>
  </w:style>
  <w:style w:type="paragraph" w:styleId="22">
    <w:name w:val="toc 2"/>
    <w:basedOn w:val="a"/>
    <w:next w:val="a"/>
    <w:uiPriority w:val="99"/>
    <w:semiHidden/>
    <w:rsid w:val="00DB621C"/>
    <w:pPr>
      <w:spacing w:before="100" w:beforeAutospacing="1" w:after="100" w:afterAutospacing="1" w:line="300" w:lineRule="exact"/>
      <w:ind w:leftChars="200" w:left="420"/>
    </w:pPr>
    <w:rPr>
      <w:rFonts w:cs="Times New Roman"/>
    </w:rPr>
  </w:style>
  <w:style w:type="paragraph" w:styleId="HTML">
    <w:name w:val="HTML Preformatted"/>
    <w:basedOn w:val="a"/>
    <w:link w:val="HTMLChar"/>
    <w:uiPriority w:val="99"/>
    <w:rsid w:val="00DB62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DB621C"/>
    <w:rPr>
      <w:rFonts w:ascii="宋体" w:eastAsia="宋体" w:hAnsi="宋体" w:cs="宋体"/>
      <w:kern w:val="0"/>
      <w:sz w:val="24"/>
      <w:szCs w:val="24"/>
    </w:rPr>
  </w:style>
  <w:style w:type="paragraph" w:styleId="af0">
    <w:name w:val="Normal (Web)"/>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styleId="af1">
    <w:name w:val="Title"/>
    <w:basedOn w:val="a"/>
    <w:link w:val="Char8"/>
    <w:uiPriority w:val="99"/>
    <w:qFormat/>
    <w:rsid w:val="00DB621C"/>
    <w:pPr>
      <w:jc w:val="center"/>
    </w:pPr>
    <w:rPr>
      <w:rFonts w:ascii="Times New Roman" w:hAnsi="Times New Roman" w:cs="Times New Roman"/>
      <w:b/>
      <w:sz w:val="24"/>
      <w:szCs w:val="24"/>
    </w:rPr>
  </w:style>
  <w:style w:type="character" w:customStyle="1" w:styleId="Char8">
    <w:name w:val="标题 Char"/>
    <w:basedOn w:val="a0"/>
    <w:link w:val="af1"/>
    <w:uiPriority w:val="99"/>
    <w:locked/>
    <w:rsid w:val="00DB621C"/>
    <w:rPr>
      <w:rFonts w:ascii="Times New Roman" w:eastAsia="宋体" w:hAnsi="Times New Roman" w:cs="Times New Roman"/>
      <w:b/>
      <w:sz w:val="24"/>
      <w:szCs w:val="24"/>
    </w:rPr>
  </w:style>
  <w:style w:type="character" w:styleId="af2">
    <w:name w:val="Strong"/>
    <w:basedOn w:val="a0"/>
    <w:uiPriority w:val="99"/>
    <w:qFormat/>
    <w:rsid w:val="00DB621C"/>
    <w:rPr>
      <w:rFonts w:cs="Times New Roman"/>
      <w:b/>
      <w:bCs/>
    </w:rPr>
  </w:style>
  <w:style w:type="character" w:styleId="af3">
    <w:name w:val="page number"/>
    <w:basedOn w:val="a0"/>
    <w:uiPriority w:val="99"/>
    <w:rsid w:val="00DB621C"/>
    <w:rPr>
      <w:rFonts w:cs="Times New Roman"/>
    </w:rPr>
  </w:style>
  <w:style w:type="character" w:styleId="af4">
    <w:name w:val="Hyperlink"/>
    <w:basedOn w:val="a0"/>
    <w:uiPriority w:val="99"/>
    <w:rsid w:val="00DB621C"/>
    <w:rPr>
      <w:rFonts w:cs="Times New Roman"/>
      <w:color w:val="0000FF"/>
      <w:u w:val="single"/>
    </w:rPr>
  </w:style>
  <w:style w:type="character" w:styleId="af5">
    <w:name w:val="annotation reference"/>
    <w:basedOn w:val="a0"/>
    <w:uiPriority w:val="99"/>
    <w:rsid w:val="00DB621C"/>
    <w:rPr>
      <w:rFonts w:cs="Times New Roman"/>
      <w:sz w:val="21"/>
      <w:szCs w:val="21"/>
    </w:rPr>
  </w:style>
  <w:style w:type="table" w:styleId="af6">
    <w:name w:val="Table Grid"/>
    <w:basedOn w:val="a1"/>
    <w:uiPriority w:val="99"/>
    <w:rsid w:val="00DB621C"/>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uiPriority w:val="99"/>
    <w:locked/>
    <w:rsid w:val="00DB621C"/>
    <w:rPr>
      <w:sz w:val="18"/>
    </w:rPr>
  </w:style>
  <w:style w:type="character" w:customStyle="1" w:styleId="Char6">
    <w:name w:val="批注框文本 Char"/>
    <w:basedOn w:val="a0"/>
    <w:link w:val="ac"/>
    <w:uiPriority w:val="99"/>
    <w:semiHidden/>
    <w:locked/>
    <w:rsid w:val="00DB621C"/>
    <w:rPr>
      <w:rFonts w:cs="Times New Roman"/>
      <w:sz w:val="18"/>
      <w:szCs w:val="18"/>
    </w:rPr>
  </w:style>
  <w:style w:type="character" w:customStyle="1" w:styleId="opdicttext22">
    <w:name w:val="op_dict_text22"/>
    <w:basedOn w:val="a0"/>
    <w:uiPriority w:val="99"/>
    <w:rsid w:val="00DB621C"/>
    <w:rPr>
      <w:rFonts w:cs="Times New Roman"/>
    </w:rPr>
  </w:style>
  <w:style w:type="character" w:customStyle="1" w:styleId="form91">
    <w:name w:val="form91"/>
    <w:uiPriority w:val="99"/>
    <w:rsid w:val="00DB621C"/>
    <w:rPr>
      <w:sz w:val="20"/>
    </w:rPr>
  </w:style>
  <w:style w:type="character" w:customStyle="1" w:styleId="highlight">
    <w:name w:val="highlight"/>
    <w:basedOn w:val="a0"/>
    <w:uiPriority w:val="99"/>
    <w:rsid w:val="00DB621C"/>
    <w:rPr>
      <w:rFonts w:cs="Times New Roman"/>
    </w:rPr>
  </w:style>
  <w:style w:type="character" w:customStyle="1" w:styleId="style21">
    <w:name w:val="style21"/>
    <w:uiPriority w:val="99"/>
    <w:rsid w:val="00DB621C"/>
    <w:rPr>
      <w:color w:val="003399"/>
    </w:rPr>
  </w:style>
  <w:style w:type="paragraph" w:customStyle="1" w:styleId="block-2">
    <w:name w:val="block-2"/>
    <w:basedOn w:val="a"/>
    <w:uiPriority w:val="99"/>
    <w:rsid w:val="00DB621C"/>
    <w:pPr>
      <w:widowControl/>
      <w:spacing w:before="100" w:beforeAutospacing="1" w:after="100" w:afterAutospacing="1"/>
      <w:jc w:val="left"/>
    </w:pPr>
    <w:rPr>
      <w:rFonts w:ascii="宋体" w:hAnsi="宋体" w:cs="宋体"/>
      <w:kern w:val="0"/>
      <w:sz w:val="24"/>
      <w:szCs w:val="20"/>
    </w:rPr>
  </w:style>
  <w:style w:type="paragraph" w:customStyle="1" w:styleId="block-3">
    <w:name w:val="block-3"/>
    <w:basedOn w:val="a"/>
    <w:uiPriority w:val="99"/>
    <w:rsid w:val="00DB621C"/>
    <w:pPr>
      <w:widowControl/>
      <w:spacing w:before="100" w:beforeAutospacing="1" w:after="100" w:afterAutospacing="1"/>
      <w:jc w:val="left"/>
    </w:pPr>
    <w:rPr>
      <w:rFonts w:ascii="宋体" w:hAnsi="宋体" w:cs="宋体"/>
      <w:kern w:val="0"/>
      <w:sz w:val="24"/>
      <w:szCs w:val="20"/>
    </w:rPr>
  </w:style>
  <w:style w:type="character" w:customStyle="1" w:styleId="black1">
    <w:name w:val="black1"/>
    <w:uiPriority w:val="99"/>
    <w:rsid w:val="00DB621C"/>
    <w:rPr>
      <w:b/>
    </w:rPr>
  </w:style>
  <w:style w:type="character" w:customStyle="1" w:styleId="texta1">
    <w:name w:val="text_a1"/>
    <w:uiPriority w:val="99"/>
    <w:rsid w:val="00DB621C"/>
    <w:rPr>
      <w:rFonts w:ascii="Verdana" w:hAnsi="Verdana"/>
      <w:sz w:val="20"/>
    </w:rPr>
  </w:style>
  <w:style w:type="character" w:customStyle="1" w:styleId="dash6b63-6587--char">
    <w:name w:val="dash6b63-6587--char"/>
    <w:basedOn w:val="a0"/>
    <w:uiPriority w:val="99"/>
    <w:rsid w:val="00DB621C"/>
    <w:rPr>
      <w:rFonts w:cs="Times New Roman"/>
    </w:rPr>
  </w:style>
  <w:style w:type="paragraph" w:customStyle="1" w:styleId="dash6b63-6587">
    <w:name w:val="dash6b63-6587"/>
    <w:basedOn w:val="a"/>
    <w:uiPriority w:val="99"/>
    <w:rsid w:val="00DB621C"/>
    <w:pPr>
      <w:widowControl/>
      <w:spacing w:before="100" w:beforeAutospacing="1" w:after="100" w:afterAutospacing="1"/>
      <w:jc w:val="left"/>
    </w:pPr>
    <w:rPr>
      <w:rFonts w:ascii="宋体" w:hAnsi="宋体" w:cs="Times New Roman"/>
      <w:kern w:val="0"/>
      <w:sz w:val="24"/>
      <w:szCs w:val="24"/>
    </w:rPr>
  </w:style>
  <w:style w:type="paragraph" w:customStyle="1" w:styleId="CharCharCharChar">
    <w:name w:val="Char Char Char Char"/>
    <w:basedOn w:val="a"/>
    <w:uiPriority w:val="99"/>
    <w:rsid w:val="00DB621C"/>
    <w:pPr>
      <w:widowControl/>
      <w:spacing w:after="160" w:line="240" w:lineRule="exact"/>
      <w:jc w:val="left"/>
    </w:pPr>
    <w:rPr>
      <w:rFonts w:ascii="Arial" w:hAnsi="Arial" w:cs="Verdana"/>
      <w:b/>
      <w:kern w:val="0"/>
      <w:sz w:val="24"/>
      <w:szCs w:val="24"/>
      <w:lang w:eastAsia="en-US"/>
    </w:rPr>
  </w:style>
  <w:style w:type="paragraph" w:customStyle="1" w:styleId="reader-word-layer">
    <w:name w:val="reader-word-layer"/>
    <w:basedOn w:val="a"/>
    <w:uiPriority w:val="99"/>
    <w:rsid w:val="00DB621C"/>
    <w:pPr>
      <w:widowControl/>
      <w:spacing w:before="100" w:beforeAutospacing="1" w:after="100" w:afterAutospacing="1"/>
      <w:jc w:val="left"/>
    </w:pPr>
    <w:rPr>
      <w:rFonts w:ascii="宋体" w:hAnsi="宋体" w:cs="宋体"/>
      <w:kern w:val="0"/>
      <w:sz w:val="24"/>
      <w:szCs w:val="24"/>
    </w:rPr>
  </w:style>
  <w:style w:type="character" w:customStyle="1" w:styleId="af7">
    <w:name w:val="试卷小题号"/>
    <w:uiPriority w:val="99"/>
    <w:rsid w:val="00DB621C"/>
    <w:rPr>
      <w:rFonts w:ascii="宋体" w:eastAsia="宋体" w:hAnsi="宋体"/>
      <w:b/>
      <w:sz w:val="21"/>
    </w:rPr>
  </w:style>
  <w:style w:type="character" w:customStyle="1" w:styleId="apple-converted-space">
    <w:name w:val="apple-converted-space"/>
    <w:basedOn w:val="a0"/>
    <w:uiPriority w:val="99"/>
    <w:rsid w:val="00DB621C"/>
    <w:rPr>
      <w:rFonts w:cs="Times New Roman"/>
    </w:rPr>
  </w:style>
  <w:style w:type="character" w:customStyle="1" w:styleId="a-size-large1">
    <w:name w:val="a-size-large1"/>
    <w:uiPriority w:val="99"/>
    <w:rsid w:val="00DB621C"/>
    <w:rPr>
      <w:rFonts w:ascii="Arial" w:hAnsi="Arial"/>
    </w:rPr>
  </w:style>
  <w:style w:type="paragraph" w:customStyle="1" w:styleId="tgt2">
    <w:name w:val="tgt2"/>
    <w:basedOn w:val="a"/>
    <w:uiPriority w:val="99"/>
    <w:rsid w:val="00DB621C"/>
    <w:pPr>
      <w:widowControl/>
      <w:spacing w:after="150" w:line="360" w:lineRule="auto"/>
      <w:jc w:val="left"/>
    </w:pPr>
    <w:rPr>
      <w:rFonts w:ascii="宋体" w:hAnsi="宋体" w:cs="宋体"/>
      <w:b/>
      <w:bCs/>
      <w:kern w:val="0"/>
      <w:sz w:val="36"/>
      <w:szCs w:val="36"/>
    </w:rPr>
  </w:style>
  <w:style w:type="character" w:customStyle="1" w:styleId="FontStyle26">
    <w:name w:val="Font Style26"/>
    <w:uiPriority w:val="99"/>
    <w:rsid w:val="00DB621C"/>
    <w:rPr>
      <w:rFonts w:ascii="宋体" w:eastAsia="宋体"/>
      <w:b/>
      <w:spacing w:val="-10"/>
      <w:sz w:val="22"/>
    </w:rPr>
  </w:style>
  <w:style w:type="paragraph" w:customStyle="1" w:styleId="TOC1">
    <w:name w:val="TOC 标题1"/>
    <w:basedOn w:val="1"/>
    <w:next w:val="a"/>
    <w:uiPriority w:val="99"/>
    <w:rsid w:val="00DB621C"/>
    <w:pPr>
      <w:widowControl/>
      <w:spacing w:before="480" w:line="276" w:lineRule="auto"/>
      <w:jc w:val="left"/>
      <w:outlineLvl w:val="9"/>
    </w:pPr>
    <w:rPr>
      <w:rFonts w:ascii="Calibri Light" w:eastAsia="宋体" w:hAnsi="Calibri Light"/>
      <w:b/>
      <w:color w:val="2E74B5"/>
      <w:kern w:val="0"/>
      <w:szCs w:val="28"/>
    </w:rPr>
  </w:style>
  <w:style w:type="paragraph" w:customStyle="1" w:styleId="Default">
    <w:name w:val="Default"/>
    <w:uiPriority w:val="99"/>
    <w:rsid w:val="00DB621C"/>
    <w:pPr>
      <w:widowControl w:val="0"/>
      <w:autoSpaceDE w:val="0"/>
      <w:autoSpaceDN w:val="0"/>
      <w:adjustRightInd w:val="0"/>
    </w:pPr>
    <w:rPr>
      <w:rFonts w:ascii="宋体" w:hAnsi="Times New Roman" w:cs="宋体"/>
      <w:color w:val="000000"/>
      <w:sz w:val="24"/>
      <w:szCs w:val="24"/>
    </w:rPr>
  </w:style>
  <w:style w:type="paragraph" w:customStyle="1" w:styleId="af8">
    <w:name w:val="页眉与页脚"/>
    <w:uiPriority w:val="99"/>
    <w:rsid w:val="00DB621C"/>
    <w:pPr>
      <w:tabs>
        <w:tab w:val="right" w:pos="9020"/>
      </w:tabs>
    </w:pPr>
    <w:rPr>
      <w:rFonts w:ascii="Helvetica" w:eastAsia="Times New Roman" w:hAnsi="Arial Unicode MS" w:cs="Arial Unicode MS"/>
      <w:color w:val="000000"/>
      <w:sz w:val="24"/>
      <w:szCs w:val="24"/>
    </w:rPr>
  </w:style>
  <w:style w:type="paragraph" w:customStyle="1" w:styleId="Af9">
    <w:name w:val="正文 A"/>
    <w:uiPriority w:val="99"/>
    <w:rsid w:val="00DB621C"/>
    <w:pPr>
      <w:widowControl w:val="0"/>
      <w:spacing w:before="100" w:after="100" w:line="300" w:lineRule="exact"/>
      <w:jc w:val="both"/>
    </w:pPr>
    <w:rPr>
      <w:rFonts w:cs="Calibri"/>
      <w:color w:val="000000"/>
      <w:kern w:val="2"/>
      <w:sz w:val="21"/>
      <w:szCs w:val="21"/>
      <w:u w:color="000000"/>
    </w:rPr>
  </w:style>
  <w:style w:type="character" w:customStyle="1" w:styleId="afa">
    <w:name w:val="无"/>
    <w:uiPriority w:val="99"/>
    <w:rsid w:val="00DB621C"/>
  </w:style>
  <w:style w:type="character" w:customStyle="1" w:styleId="Hyperlink0">
    <w:name w:val="Hyperlink.0"/>
    <w:basedOn w:val="afa"/>
    <w:uiPriority w:val="99"/>
    <w:rsid w:val="00DB621C"/>
    <w:rPr>
      <w:rFonts w:cs="Times New Roman"/>
    </w:rPr>
  </w:style>
  <w:style w:type="character" w:customStyle="1" w:styleId="Hyperlink1">
    <w:name w:val="Hyperlink.1"/>
    <w:basedOn w:val="afa"/>
    <w:uiPriority w:val="99"/>
    <w:rsid w:val="00DB621C"/>
    <w:rPr>
      <w:rFonts w:ascii="Trebuchet MS" w:hAnsi="Trebuchet MS" w:cs="Trebuchet MS"/>
    </w:rPr>
  </w:style>
  <w:style w:type="paragraph" w:customStyle="1" w:styleId="11">
    <w:name w:val="文本块1"/>
    <w:uiPriority w:val="99"/>
    <w:rsid w:val="00DB621C"/>
    <w:pPr>
      <w:widowControl w:val="0"/>
      <w:ind w:left="280"/>
    </w:pPr>
    <w:rPr>
      <w:rFonts w:ascii="Times New Roman" w:hAnsi="Times New Roman" w:cs="Times New Roman"/>
      <w:color w:val="000000"/>
      <w:kern w:val="2"/>
      <w:sz w:val="32"/>
      <w:szCs w:val="32"/>
      <w:u w:color="000000"/>
    </w:rPr>
  </w:style>
  <w:style w:type="paragraph" w:customStyle="1" w:styleId="tt1">
    <w:name w:val="tt1"/>
    <w:uiPriority w:val="99"/>
    <w:rsid w:val="00DB621C"/>
    <w:pPr>
      <w:spacing w:before="100" w:after="100"/>
    </w:pPr>
    <w:rPr>
      <w:rFonts w:ascii="宋体" w:hAnsi="宋体" w:cs="宋体"/>
      <w:color w:val="000000"/>
      <w:sz w:val="24"/>
      <w:szCs w:val="24"/>
      <w:u w:color="000000"/>
    </w:rPr>
  </w:style>
  <w:style w:type="paragraph" w:customStyle="1" w:styleId="ListParagraph1">
    <w:name w:val="List Paragraph1"/>
    <w:basedOn w:val="a"/>
    <w:uiPriority w:val="99"/>
    <w:rsid w:val="00DB621C"/>
    <w:pPr>
      <w:ind w:firstLineChars="200" w:firstLine="420"/>
    </w:pPr>
    <w:rPr>
      <w:rFonts w:cs="Times New Roman"/>
    </w:rPr>
  </w:style>
  <w:style w:type="paragraph" w:customStyle="1" w:styleId="afb">
    <w:name w:val="参考文献内容"/>
    <w:basedOn w:val="a"/>
    <w:uiPriority w:val="99"/>
    <w:rsid w:val="00DB621C"/>
    <w:pPr>
      <w:spacing w:line="360" w:lineRule="auto"/>
      <w:ind w:left="200" w:hangingChars="200" w:hanging="200"/>
    </w:pPr>
    <w:rPr>
      <w:rFonts w:ascii="Times New Roman" w:hAnsi="Times New Roman" w:cs="Times New Roman"/>
      <w:color w:val="000000"/>
      <w:sz w:val="24"/>
      <w:szCs w:val="24"/>
    </w:rPr>
  </w:style>
  <w:style w:type="paragraph" w:customStyle="1" w:styleId="ListParagraph11">
    <w:name w:val="List Paragraph11"/>
    <w:basedOn w:val="a"/>
    <w:uiPriority w:val="99"/>
    <w:rsid w:val="00DB621C"/>
    <w:pPr>
      <w:ind w:firstLineChars="200" w:firstLine="200"/>
    </w:pPr>
    <w:rPr>
      <w:rFonts w:cs="Times New Roman"/>
    </w:rPr>
  </w:style>
  <w:style w:type="paragraph" w:customStyle="1" w:styleId="reader-word-layerreader-word-s1-16">
    <w:name w:val="reader-word-layer reader-word-s1-16"/>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1-9">
    <w:name w:val="reader-word-layer reader-word-s1-9"/>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2-3">
    <w:name w:val="reader-word-layer reader-word-s2-3"/>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2-5">
    <w:name w:val="reader-word-layer reader-word-s2-5"/>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2-4">
    <w:name w:val="reader-word-layer reader-word-s2-4"/>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2-2">
    <w:name w:val="reader-word-layer reader-word-s2-2"/>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2-9">
    <w:name w:val="reader-word-layer reader-word-s2-9"/>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2-13">
    <w:name w:val="reader-word-layer reader-word-s2-13"/>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1">
    <w:name w:val="reader-word-layer reader-word-s3-1"/>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2">
    <w:name w:val="reader-word-layer reader-word-s3-2"/>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7">
    <w:name w:val="reader-word-layer reader-word-s3-7"/>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8">
    <w:name w:val="reader-word-layer reader-word-s3-8"/>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9">
    <w:name w:val="reader-word-layer reader-word-s3-9"/>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11">
    <w:name w:val="reader-word-layer reader-word-s3-11"/>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13">
    <w:name w:val="reader-word-layer reader-word-s3-13"/>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14">
    <w:name w:val="reader-word-layer reader-word-s3-14"/>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15">
    <w:name w:val="reader-word-layer reader-word-s3-15"/>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3-17">
    <w:name w:val="reader-word-layer reader-word-s3-17"/>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4-1">
    <w:name w:val="reader-word-layer reader-word-s4-1"/>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4-8">
    <w:name w:val="reader-word-layer reader-word-s4-8"/>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4-11">
    <w:name w:val="reader-word-layer reader-word-s4-11"/>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4-15">
    <w:name w:val="reader-word-layer reader-word-s4-15"/>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4-4">
    <w:name w:val="reader-word-layer reader-word-s4-4"/>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5-0">
    <w:name w:val="reader-word-layer reader-word-s5-0"/>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reader-word-layerreader-word-s5-7">
    <w:name w:val="reader-word-layer reader-word-s5-7"/>
    <w:basedOn w:val="a"/>
    <w:uiPriority w:val="99"/>
    <w:rsid w:val="00DB621C"/>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99"/>
    <w:rsid w:val="00DB621C"/>
    <w:pPr>
      <w:widowControl w:val="0"/>
      <w:jc w:val="both"/>
    </w:pPr>
    <w:rPr>
      <w:rFonts w:cs="Times New Roman"/>
      <w:kern w:val="2"/>
      <w:sz w:val="21"/>
      <w:szCs w:val="22"/>
    </w:rPr>
  </w:style>
  <w:style w:type="character" w:customStyle="1" w:styleId="description">
    <w:name w:val="description"/>
    <w:basedOn w:val="a0"/>
    <w:uiPriority w:val="99"/>
    <w:rsid w:val="00DB621C"/>
    <w:rPr>
      <w:rFonts w:cs="Times New Roman"/>
    </w:rPr>
  </w:style>
  <w:style w:type="character" w:customStyle="1" w:styleId="javascript">
    <w:name w:val="javascript"/>
    <w:basedOn w:val="a0"/>
    <w:uiPriority w:val="99"/>
    <w:rsid w:val="00DB621C"/>
    <w:rPr>
      <w:rFonts w:cs="Times New Roman"/>
    </w:rPr>
  </w:style>
  <w:style w:type="character" w:customStyle="1" w:styleId="Char9">
    <w:name w:val="页脚 Char"/>
    <w:basedOn w:val="a0"/>
    <w:uiPriority w:val="99"/>
    <w:rsid w:val="00DB621C"/>
    <w:rPr>
      <w:rFonts w:ascii="Calibri" w:eastAsia="宋体" w:hAnsi="Calibri" w:cs="Times New Roman"/>
      <w:kern w:val="2"/>
      <w:sz w:val="18"/>
      <w:szCs w:val="18"/>
      <w:lang w:val="en-US" w:eastAsia="zh-CN" w:bidi="ar-SA"/>
    </w:rPr>
  </w:style>
  <w:style w:type="paragraph" w:styleId="TOC">
    <w:name w:val="TOC Heading"/>
    <w:basedOn w:val="1"/>
    <w:next w:val="a"/>
    <w:uiPriority w:val="39"/>
    <w:semiHidden/>
    <w:unhideWhenUsed/>
    <w:qFormat/>
    <w:rsid w:val="00F52D2A"/>
    <w:pPr>
      <w:widowControl/>
      <w:spacing w:before="480" w:line="276" w:lineRule="auto"/>
      <w:jc w:val="left"/>
      <w:outlineLvl w:val="9"/>
    </w:pPr>
    <w:rPr>
      <w:rFonts w:ascii="Cambria" w:eastAsia="宋体" w:hAnsi="Cambria"/>
      <w:b/>
      <w:color w:val="365F91"/>
      <w:kern w:val="0"/>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wmf"/><Relationship Id="rId76" Type="http://schemas.openxmlformats.org/officeDocument/2006/relationships/image" Target="media/image68.wmf"/><Relationship Id="rId84"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3.wmf"/><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6.wmf"/><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3.wmf"/><Relationship Id="rId82" Type="http://schemas.openxmlformats.org/officeDocument/2006/relationships/image" Target="media/image74.wmf"/><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9.wmf"/><Relationship Id="rId8" Type="http://schemas.openxmlformats.org/officeDocument/2006/relationships/footer" Target="footer2.xml"/><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w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wmf"/><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2.e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574</TotalTime>
  <Pages>1</Pages>
  <Words>93937</Words>
  <Characters>535442</Characters>
  <Application>Microsoft Office Word</Application>
  <DocSecurity>0</DocSecurity>
  <Lines>4462</Lines>
  <Paragraphs>1256</Paragraphs>
  <ScaleCrop>false</ScaleCrop>
  <Company/>
  <LinksUpToDate>false</LinksUpToDate>
  <CharactersWithSpaces>628123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康复治疗学专业课程</dc:title>
  <dc:subject/>
  <dc:creator>系统管理员</dc:creator>
  <cp:keywords/>
  <dc:description/>
  <cp:lastModifiedBy>系统管理员</cp:lastModifiedBy>
  <cp:revision>37</cp:revision>
  <cp:lastPrinted>2016-12-02T03:11:00Z</cp:lastPrinted>
  <dcterms:created xsi:type="dcterms:W3CDTF">2016-12-04T06:43:00Z</dcterms:created>
  <dcterms:modified xsi:type="dcterms:W3CDTF">2017-01-11T06:59:00Z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